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5BB09F">
        <w:tblPrEx>
          <w:tblCellMar>
            <w:top w:w="0" w:type="dxa"/>
            <w:left w:w="0" w:type="dxa"/>
            <w:bottom w:w="0" w:type="dxa"/>
            <w:right w:w="0" w:type="dxa"/>
          </w:tblCellMar>
        </w:tblPrEx>
        <w:trPr>
          <w:wBefore w:w="0" w:type="auto"/>
          <w:tblCellSpacing w:w="0" w:type="dxa"/>
        </w:trPr>
        <w:tc>
          <w:tcPr>
            <w:tcW w:w="0" w:type="auto"/>
            <w:noWrap w:val="0"/>
            <w:vAlign w:val="center"/>
          </w:tcPr>
          <w:p w14:paraId="00DCC68F">
            <w:bookmarkStart w:id="0" w:name="_GoBack"/>
            <w:bookmarkEnd w:id="0"/>
            <w:r>
              <w:rPr>
                <w:rStyle w:val="10"/>
                <w:rFonts w:hint="eastAsia"/>
              </w:rPr>
              <w:t>登记证号：</w:t>
            </w:r>
            <w:r>
              <w:rPr>
                <w:rFonts w:hint="eastAsia"/>
              </w:rPr>
              <w:t>PD20211804</w:t>
            </w:r>
          </w:p>
        </w:tc>
      </w:tr>
      <w:tr w14:paraId="5630A70F">
        <w:tblPrEx>
          <w:tblCellMar>
            <w:top w:w="0" w:type="dxa"/>
            <w:left w:w="0" w:type="dxa"/>
            <w:bottom w:w="0" w:type="dxa"/>
            <w:right w:w="0" w:type="dxa"/>
          </w:tblCellMar>
        </w:tblPrEx>
        <w:trPr>
          <w:wBefore w:w="0" w:type="auto"/>
          <w:tblCellSpacing w:w="0" w:type="dxa"/>
        </w:trPr>
        <w:tc>
          <w:tcPr>
            <w:tcW w:w="0" w:type="auto"/>
            <w:noWrap w:val="0"/>
            <w:vAlign w:val="center"/>
          </w:tcPr>
          <w:p w14:paraId="572FAA44">
            <w:r>
              <w:rPr>
                <w:rStyle w:val="10"/>
                <w:rFonts w:hint="eastAsia"/>
              </w:rPr>
              <w:t>登记证持有人：</w:t>
            </w:r>
            <w:r>
              <w:rPr>
                <w:rFonts w:hint="eastAsia"/>
              </w:rPr>
              <w:t>四川润尔科技有限公司</w:t>
            </w:r>
          </w:p>
        </w:tc>
      </w:tr>
      <w:tr w14:paraId="00FDF9A4">
        <w:tblPrEx>
          <w:tblCellMar>
            <w:top w:w="0" w:type="dxa"/>
            <w:left w:w="0" w:type="dxa"/>
            <w:bottom w:w="0" w:type="dxa"/>
            <w:right w:w="0" w:type="dxa"/>
          </w:tblCellMar>
        </w:tblPrEx>
        <w:trPr>
          <w:wBefore w:w="0" w:type="auto"/>
          <w:tblCellSpacing w:w="0" w:type="dxa"/>
        </w:trPr>
        <w:tc>
          <w:tcPr>
            <w:tcW w:w="0" w:type="auto"/>
            <w:noWrap w:val="0"/>
            <w:vAlign w:val="center"/>
          </w:tcPr>
          <w:p w14:paraId="2AFE6D81">
            <w:r>
              <w:rPr>
                <w:rStyle w:val="10"/>
                <w:rFonts w:hint="eastAsia"/>
              </w:rPr>
              <w:t>农药名称：</w:t>
            </w:r>
            <w:r>
              <w:rPr>
                <w:rFonts w:hint="eastAsia"/>
              </w:rPr>
              <w:t>噻虫嗪</w:t>
            </w:r>
          </w:p>
        </w:tc>
      </w:tr>
      <w:tr w14:paraId="66D6F524">
        <w:tblPrEx>
          <w:tblCellMar>
            <w:top w:w="0" w:type="dxa"/>
            <w:left w:w="0" w:type="dxa"/>
            <w:bottom w:w="0" w:type="dxa"/>
            <w:right w:w="0" w:type="dxa"/>
          </w:tblCellMar>
        </w:tblPrEx>
        <w:trPr>
          <w:wBefore w:w="0" w:type="auto"/>
          <w:tblCellSpacing w:w="0" w:type="dxa"/>
        </w:trPr>
        <w:tc>
          <w:tcPr>
            <w:tcW w:w="0" w:type="auto"/>
            <w:noWrap w:val="0"/>
            <w:vAlign w:val="center"/>
          </w:tcPr>
          <w:p w14:paraId="59B2C0A5">
            <w:r>
              <w:rPr>
                <w:rStyle w:val="10"/>
                <w:rFonts w:hint="eastAsia"/>
              </w:rPr>
              <w:t>剂型：</w:t>
            </w:r>
            <w:r>
              <w:rPr>
                <w:rFonts w:hint="eastAsia"/>
              </w:rPr>
              <w:t>悬浮剂</w:t>
            </w:r>
          </w:p>
        </w:tc>
      </w:tr>
      <w:tr w14:paraId="4CE5D0D5">
        <w:tblPrEx>
          <w:tblCellMar>
            <w:top w:w="0" w:type="dxa"/>
            <w:left w:w="0" w:type="dxa"/>
            <w:bottom w:w="0" w:type="dxa"/>
            <w:right w:w="0" w:type="dxa"/>
          </w:tblCellMar>
        </w:tblPrEx>
        <w:trPr>
          <w:wBefore w:w="0" w:type="auto"/>
          <w:tblCellSpacing w:w="0" w:type="dxa"/>
        </w:trPr>
        <w:tc>
          <w:tcPr>
            <w:tcW w:w="0" w:type="auto"/>
            <w:noWrap w:val="0"/>
            <w:vAlign w:val="center"/>
          </w:tcPr>
          <w:p w14:paraId="0CBE059F">
            <w:r>
              <w:rPr>
                <w:rStyle w:val="10"/>
                <w:rFonts w:hint="eastAsia"/>
              </w:rPr>
              <w:t>毒性及其标识：</w:t>
            </w:r>
            <w:r>
              <w:rPr>
                <w:rFonts w:hint="eastAsia"/>
              </w:rPr>
              <w:t xml:space="preserve"> </w:t>
            </w:r>
            <w:r>
              <w:rPr>
                <w:lang/>
              </w:rPr>
              <w:drawing>
                <wp:inline distT="0" distB="0" distL="114300" distR="114300">
                  <wp:extent cx="476250" cy="323850"/>
                  <wp:effectExtent l="0" t="0" r="0" b="0"/>
                  <wp:docPr id="1" name="图片 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6320A03">
        <w:tblPrEx>
          <w:tblCellMar>
            <w:top w:w="0" w:type="dxa"/>
            <w:left w:w="0" w:type="dxa"/>
            <w:bottom w:w="0" w:type="dxa"/>
            <w:right w:w="0" w:type="dxa"/>
          </w:tblCellMar>
        </w:tblPrEx>
        <w:trPr>
          <w:wBefore w:w="0" w:type="auto"/>
          <w:tblCellSpacing w:w="0" w:type="dxa"/>
        </w:trPr>
        <w:tc>
          <w:tcPr>
            <w:tcW w:w="0" w:type="auto"/>
            <w:noWrap w:val="0"/>
            <w:vAlign w:val="center"/>
          </w:tcPr>
          <w:p w14:paraId="2466E7E4">
            <w:r>
              <w:rPr>
                <w:rStyle w:val="10"/>
                <w:rFonts w:hint="eastAsia"/>
              </w:rPr>
              <w:t>总有效成分含量：</w:t>
            </w:r>
            <w:r>
              <w:rPr>
                <w:rFonts w:hint="eastAsia"/>
              </w:rPr>
              <w:t>30%</w:t>
            </w:r>
          </w:p>
        </w:tc>
      </w:tr>
      <w:tr w14:paraId="582C0D86">
        <w:tblPrEx>
          <w:tblCellMar>
            <w:top w:w="0" w:type="dxa"/>
            <w:left w:w="0" w:type="dxa"/>
            <w:bottom w:w="0" w:type="dxa"/>
            <w:right w:w="0" w:type="dxa"/>
          </w:tblCellMar>
        </w:tblPrEx>
        <w:trPr>
          <w:wBefore w:w="0" w:type="auto"/>
          <w:tblCellSpacing w:w="0" w:type="dxa"/>
        </w:trPr>
        <w:tc>
          <w:tcPr>
            <w:tcW w:w="0" w:type="auto"/>
            <w:noWrap w:val="0"/>
            <w:vAlign w:val="center"/>
          </w:tcPr>
          <w:p w14:paraId="2338A3AE">
            <w:r>
              <w:rPr>
                <w:rFonts w:hint="eastAsia"/>
              </w:rPr>
              <w:t xml:space="preserve">有效成分及其含量： </w:t>
            </w:r>
          </w:p>
          <w:p w14:paraId="69078FFD">
            <w:r>
              <w:rPr>
                <w:rFonts w:hint="eastAsia"/>
              </w:rPr>
              <w:t xml:space="preserve">    噻虫嗪30%    </w:t>
            </w:r>
          </w:p>
        </w:tc>
      </w:tr>
      <w:tr w14:paraId="2932FD19">
        <w:tblPrEx>
          <w:tblCellMar>
            <w:top w:w="0" w:type="dxa"/>
            <w:left w:w="0" w:type="dxa"/>
            <w:bottom w:w="0" w:type="dxa"/>
            <w:right w:w="0" w:type="dxa"/>
          </w:tblCellMar>
        </w:tblPrEx>
        <w:trPr>
          <w:wBefore w:w="0" w:type="auto"/>
          <w:tblCellSpacing w:w="0" w:type="dxa"/>
        </w:trPr>
        <w:tc>
          <w:tcPr>
            <w:tcW w:w="0" w:type="auto"/>
            <w:noWrap w:val="0"/>
            <w:vAlign w:val="center"/>
          </w:tcPr>
          <w:p w14:paraId="64C3393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9"/>
            </w:tblGrid>
            <w:tr w14:paraId="25BF3C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B2371A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03D0AB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CAF44A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1177C6A">
                  <w:r>
                    <w:rPr>
                      <w:rStyle w:val="11"/>
                      <w:rFonts w:hint="eastAsia"/>
                    </w:rPr>
                    <w:t>施用方式</w:t>
                  </w:r>
                </w:p>
              </w:tc>
            </w:tr>
            <w:tr w14:paraId="0C4BD1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0ED8893">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799005">
                  <w:r>
                    <w:rPr>
                      <w:rStyle w:val="11"/>
                      <w:rFonts w:hint="eastAsia"/>
                    </w:rPr>
                    <w:t>稻飞虱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3443BC">
                  <w:r>
                    <w:rPr>
                      <w:rStyle w:val="11"/>
                      <w:rFonts w:hint="eastAsia"/>
                    </w:rPr>
                    <w:t>3-4毫升/亩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C38587">
                  <w:r>
                    <w:rPr>
                      <w:rStyle w:val="11"/>
                      <w:rFonts w:hint="eastAsia"/>
                    </w:rPr>
                    <w:t>喷雾</w:t>
                  </w:r>
                </w:p>
              </w:tc>
            </w:tr>
          </w:tbl>
          <w:p w14:paraId="3863263B">
            <w:pPr>
              <w:rPr>
                <w:rFonts w:ascii="Times New Roman" w:hAnsi="Times New Roman" w:cs="Times New Roman"/>
                <w:sz w:val="20"/>
                <w:szCs w:val="20"/>
              </w:rPr>
            </w:pPr>
          </w:p>
        </w:tc>
      </w:tr>
      <w:tr w14:paraId="0FE4DC0D">
        <w:tblPrEx>
          <w:tblCellMar>
            <w:top w:w="0" w:type="dxa"/>
            <w:left w:w="0" w:type="dxa"/>
            <w:bottom w:w="0" w:type="dxa"/>
            <w:right w:w="0" w:type="dxa"/>
          </w:tblCellMar>
        </w:tblPrEx>
        <w:trPr>
          <w:wBefore w:w="0" w:type="auto"/>
          <w:tblCellSpacing w:w="0" w:type="dxa"/>
        </w:trPr>
        <w:tc>
          <w:tcPr>
            <w:tcW w:w="0" w:type="auto"/>
            <w:noWrap w:val="0"/>
            <w:vAlign w:val="center"/>
          </w:tcPr>
          <w:p w14:paraId="24881B52">
            <w:r>
              <w:rPr>
                <w:rStyle w:val="10"/>
                <w:rFonts w:hint="eastAsia"/>
              </w:rPr>
              <w:t>使用技术要求:</w:t>
            </w:r>
            <w:r>
              <w:rPr>
                <w:rFonts w:hint="eastAsia"/>
              </w:rPr>
              <w:br w:type="textWrapping"/>
            </w:r>
            <w:r>
              <w:rPr>
                <w:rStyle w:val="11"/>
                <w:rFonts w:hint="eastAsia"/>
              </w:rPr>
              <w:t>1.应于水稻稻飞虱若虫高峰期喷雾使用，喷雾应均匀。2.大风天或预计2小时内降雨，请勿施药。3.每季使用1次，安全间隔使用期为14天。</w:t>
            </w:r>
          </w:p>
        </w:tc>
      </w:tr>
      <w:tr w14:paraId="3AF59B22">
        <w:tblPrEx>
          <w:tblCellMar>
            <w:top w:w="0" w:type="dxa"/>
            <w:left w:w="0" w:type="dxa"/>
            <w:bottom w:w="0" w:type="dxa"/>
            <w:right w:w="0" w:type="dxa"/>
          </w:tblCellMar>
        </w:tblPrEx>
        <w:trPr>
          <w:wBefore w:w="0" w:type="auto"/>
          <w:tblCellSpacing w:w="0" w:type="dxa"/>
        </w:trPr>
        <w:tc>
          <w:tcPr>
            <w:tcW w:w="0" w:type="auto"/>
            <w:noWrap w:val="0"/>
            <w:vAlign w:val="center"/>
          </w:tcPr>
          <w:p w14:paraId="4671B510">
            <w:r>
              <w:rPr>
                <w:rStyle w:val="10"/>
                <w:rFonts w:hint="eastAsia"/>
              </w:rPr>
              <w:t>产品性能:</w:t>
            </w:r>
            <w:r>
              <w:rPr>
                <w:rFonts w:hint="eastAsia"/>
              </w:rPr>
              <w:br w:type="textWrapping"/>
            </w:r>
            <w:r>
              <w:rPr>
                <w:rStyle w:val="11"/>
                <w:rFonts w:hint="eastAsia"/>
              </w:rPr>
              <w:t>噻虫嗪属于新烟碱类高效低毒杀虫剂，具有胃毒、触杀及内吸活性，对水稻稻飞虱具有较好的防治效果。</w:t>
            </w:r>
          </w:p>
        </w:tc>
      </w:tr>
      <w:tr w14:paraId="69C8E132">
        <w:tblPrEx>
          <w:tblCellMar>
            <w:top w:w="0" w:type="dxa"/>
            <w:left w:w="0" w:type="dxa"/>
            <w:bottom w:w="0" w:type="dxa"/>
            <w:right w:w="0" w:type="dxa"/>
          </w:tblCellMar>
        </w:tblPrEx>
        <w:trPr>
          <w:wBefore w:w="0" w:type="auto"/>
          <w:tblCellSpacing w:w="0" w:type="dxa"/>
        </w:trPr>
        <w:tc>
          <w:tcPr>
            <w:tcW w:w="0" w:type="auto"/>
            <w:noWrap w:val="0"/>
            <w:vAlign w:val="center"/>
          </w:tcPr>
          <w:p w14:paraId="14175726">
            <w:r>
              <w:rPr>
                <w:rStyle w:val="10"/>
                <w:rFonts w:hint="eastAsia"/>
              </w:rPr>
              <w:t>注意事项：</w:t>
            </w:r>
            <w:r>
              <w:rPr>
                <w:rFonts w:hint="eastAsia"/>
              </w:rPr>
              <w:br w:type="textWrapping"/>
            </w:r>
            <w:r>
              <w:rPr>
                <w:rStyle w:val="11"/>
                <w:rFonts w:hint="eastAsia"/>
              </w:rPr>
              <w:t>1.掌握好用药时期，若不按照推荐使用技术和使用方法施用，均可能会对作物产生药害。2.建议与其他作用机理的农药轮换使用，以延缓抗性的产生。3.避免与强碱性物质混用。4.用过的包装物及未用完的药液不能随意丢弃，也不能作他用，应交当地农业部门或环保部门指定的单位进行回收处理。5.使用本品时务必穿戴好帽子、口罩、长衣、长裤、手套和鞋，建议佩戴防护眼镜或防护面罩，施药期间不可吃东西和饮水，施药后应及时洗手和洗脸。6.禁止在河塘等水体中清洗施药器具。7.（周围）开花植物花期禁用，使用期间应密切关注对附近蜂群的影响；蚕室及桑园附近禁用；赤眼蜂等天敌放飞区域禁用。8.孕妇及哺乳期妇女应避免接触本产品。</w:t>
            </w:r>
          </w:p>
        </w:tc>
      </w:tr>
      <w:tr w14:paraId="1329D649">
        <w:tblPrEx>
          <w:tblCellMar>
            <w:top w:w="0" w:type="dxa"/>
            <w:left w:w="0" w:type="dxa"/>
            <w:bottom w:w="0" w:type="dxa"/>
            <w:right w:w="0" w:type="dxa"/>
          </w:tblCellMar>
        </w:tblPrEx>
        <w:trPr>
          <w:wBefore w:w="0" w:type="auto"/>
          <w:tblCellSpacing w:w="0" w:type="dxa"/>
        </w:trPr>
        <w:tc>
          <w:tcPr>
            <w:tcW w:w="0" w:type="auto"/>
            <w:noWrap w:val="0"/>
            <w:vAlign w:val="center"/>
          </w:tcPr>
          <w:p w14:paraId="097B7CEA">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2.皮肤接触：立即脱掉被污染的衣物，用大量清水冲洗被污染的皮肤，再用肥皂清洗，然后用清水冲净。3.眼睛溅药：立即将眼睑翻开，用清水冲洗至少15分钟，再请医生诊治。4.发生吸入：立即将吸入者转移到空气新鲜处，如果吸入者停止呼吸， 需进行人工呼吸。请医生诊治。5.误服：请勿引吐，立即携带标签，送医就诊。无专用解毒剂，对症治疗。</w:t>
            </w:r>
          </w:p>
        </w:tc>
      </w:tr>
      <w:tr w14:paraId="7CEE750A">
        <w:tblPrEx>
          <w:tblCellMar>
            <w:top w:w="0" w:type="dxa"/>
            <w:left w:w="0" w:type="dxa"/>
            <w:bottom w:w="0" w:type="dxa"/>
            <w:right w:w="0" w:type="dxa"/>
          </w:tblCellMar>
        </w:tblPrEx>
        <w:trPr>
          <w:wBefore w:w="0" w:type="auto"/>
          <w:tblCellSpacing w:w="0" w:type="dxa"/>
        </w:trPr>
        <w:tc>
          <w:tcPr>
            <w:tcW w:w="0" w:type="auto"/>
            <w:noWrap w:val="0"/>
            <w:vAlign w:val="center"/>
          </w:tcPr>
          <w:p w14:paraId="259B7FF9">
            <w:r>
              <w:rPr>
                <w:rStyle w:val="10"/>
                <w:rFonts w:hint="eastAsia"/>
              </w:rPr>
              <w:t>储存和运输方法：</w:t>
            </w:r>
            <w:r>
              <w:rPr>
                <w:rFonts w:hint="eastAsia"/>
              </w:rPr>
              <w:br w:type="textWrapping"/>
            </w:r>
            <w:r>
              <w:rPr>
                <w:rStyle w:val="11"/>
                <w:rFonts w:hint="eastAsia"/>
              </w:rPr>
              <w:t>本品应贮存于干燥、阴凉、通风处，远离火源或热源，不宜受冻。置于儿童触及不到之处，并加锁。勿与食物、饮料、种子、饲料、肥料、粮食等同贮同运。</w:t>
            </w:r>
          </w:p>
        </w:tc>
      </w:tr>
      <w:tr w14:paraId="1332A9C9">
        <w:tblPrEx>
          <w:tblCellMar>
            <w:top w:w="0" w:type="dxa"/>
            <w:left w:w="0" w:type="dxa"/>
            <w:bottom w:w="0" w:type="dxa"/>
            <w:right w:w="0" w:type="dxa"/>
          </w:tblCellMar>
        </w:tblPrEx>
        <w:trPr>
          <w:wBefore w:w="0" w:type="auto"/>
          <w:tblCellSpacing w:w="0" w:type="dxa"/>
        </w:trPr>
        <w:tc>
          <w:tcPr>
            <w:tcW w:w="0" w:type="auto"/>
            <w:noWrap w:val="0"/>
            <w:vAlign w:val="center"/>
          </w:tcPr>
          <w:p w14:paraId="4CEAC109">
            <w:r>
              <w:rPr>
                <w:rStyle w:val="10"/>
                <w:rFonts w:hint="eastAsia"/>
              </w:rPr>
              <w:t>质量保证期：</w:t>
            </w:r>
            <w:r>
              <w:rPr>
                <w:rStyle w:val="11"/>
                <w:rFonts w:hint="eastAsia"/>
              </w:rPr>
              <w:t>2年</w:t>
            </w:r>
          </w:p>
        </w:tc>
      </w:tr>
      <w:tr w14:paraId="2FD879CE">
        <w:tblPrEx>
          <w:tblCellMar>
            <w:top w:w="0" w:type="dxa"/>
            <w:left w:w="0" w:type="dxa"/>
            <w:bottom w:w="0" w:type="dxa"/>
            <w:right w:w="0" w:type="dxa"/>
          </w:tblCellMar>
        </w:tblPrEx>
        <w:trPr>
          <w:wBefore w:w="0" w:type="auto"/>
          <w:tblCellSpacing w:w="0" w:type="dxa"/>
        </w:trPr>
        <w:tc>
          <w:tcPr>
            <w:tcW w:w="0" w:type="auto"/>
            <w:noWrap w:val="0"/>
            <w:vAlign w:val="center"/>
          </w:tcPr>
          <w:p w14:paraId="6700B161">
            <w:r>
              <w:rPr>
                <w:rStyle w:val="10"/>
                <w:rFonts w:hint="eastAsia"/>
              </w:rPr>
              <w:t>备注：</w:t>
            </w:r>
          </w:p>
        </w:tc>
      </w:tr>
    </w:tbl>
    <w:p w14:paraId="4E6C77A0"/>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5F81BA4">
        <w:tblPrEx>
          <w:tblCellMar>
            <w:top w:w="0" w:type="dxa"/>
            <w:left w:w="0" w:type="dxa"/>
            <w:bottom w:w="0" w:type="dxa"/>
            <w:right w:w="0" w:type="dxa"/>
          </w:tblCellMar>
        </w:tblPrEx>
        <w:trPr>
          <w:wBefore w:w="0" w:type="auto"/>
          <w:tblCellSpacing w:w="0" w:type="dxa"/>
        </w:trPr>
        <w:tc>
          <w:tcPr>
            <w:tcW w:w="0" w:type="auto"/>
            <w:noWrap w:val="0"/>
            <w:vAlign w:val="center"/>
          </w:tcPr>
          <w:p w14:paraId="1C2FC9BD">
            <w:r>
              <w:rPr>
                <w:rStyle w:val="10"/>
                <w:rFonts w:hint="eastAsia"/>
              </w:rPr>
              <w:t>登记证号：</w:t>
            </w:r>
            <w:r>
              <w:rPr>
                <w:rFonts w:hint="eastAsia"/>
              </w:rPr>
              <w:t>PD20212154</w:t>
            </w:r>
          </w:p>
        </w:tc>
      </w:tr>
      <w:tr w14:paraId="0CDD6658">
        <w:tblPrEx>
          <w:tblCellMar>
            <w:top w:w="0" w:type="dxa"/>
            <w:left w:w="0" w:type="dxa"/>
            <w:bottom w:w="0" w:type="dxa"/>
            <w:right w:w="0" w:type="dxa"/>
          </w:tblCellMar>
        </w:tblPrEx>
        <w:trPr>
          <w:wBefore w:w="0" w:type="auto"/>
          <w:tblCellSpacing w:w="0" w:type="dxa"/>
        </w:trPr>
        <w:tc>
          <w:tcPr>
            <w:tcW w:w="0" w:type="auto"/>
            <w:noWrap w:val="0"/>
            <w:vAlign w:val="center"/>
          </w:tcPr>
          <w:p w14:paraId="09816201">
            <w:r>
              <w:rPr>
                <w:rStyle w:val="10"/>
                <w:rFonts w:hint="eastAsia"/>
              </w:rPr>
              <w:t>登记证持有人：</w:t>
            </w:r>
            <w:r>
              <w:rPr>
                <w:rFonts w:hint="eastAsia"/>
              </w:rPr>
              <w:t>黑龙江双盈生物科技有限公司</w:t>
            </w:r>
          </w:p>
        </w:tc>
      </w:tr>
      <w:tr w14:paraId="4E08EDE4">
        <w:tblPrEx>
          <w:tblCellMar>
            <w:top w:w="0" w:type="dxa"/>
            <w:left w:w="0" w:type="dxa"/>
            <w:bottom w:w="0" w:type="dxa"/>
            <w:right w:w="0" w:type="dxa"/>
          </w:tblCellMar>
        </w:tblPrEx>
        <w:trPr>
          <w:wBefore w:w="0" w:type="auto"/>
          <w:tblCellSpacing w:w="0" w:type="dxa"/>
        </w:trPr>
        <w:tc>
          <w:tcPr>
            <w:tcW w:w="0" w:type="auto"/>
            <w:noWrap w:val="0"/>
            <w:vAlign w:val="center"/>
          </w:tcPr>
          <w:p w14:paraId="7863992E">
            <w:r>
              <w:rPr>
                <w:rStyle w:val="10"/>
                <w:rFonts w:hint="eastAsia"/>
              </w:rPr>
              <w:t>农药名称：</w:t>
            </w:r>
            <w:r>
              <w:rPr>
                <w:rFonts w:hint="eastAsia"/>
              </w:rPr>
              <w:t>烟嘧·特丁津</w:t>
            </w:r>
          </w:p>
        </w:tc>
      </w:tr>
      <w:tr w14:paraId="321DC77F">
        <w:tblPrEx>
          <w:tblCellMar>
            <w:top w:w="0" w:type="dxa"/>
            <w:left w:w="0" w:type="dxa"/>
            <w:bottom w:w="0" w:type="dxa"/>
            <w:right w:w="0" w:type="dxa"/>
          </w:tblCellMar>
        </w:tblPrEx>
        <w:trPr>
          <w:wBefore w:w="0" w:type="auto"/>
          <w:tblCellSpacing w:w="0" w:type="dxa"/>
        </w:trPr>
        <w:tc>
          <w:tcPr>
            <w:tcW w:w="0" w:type="auto"/>
            <w:noWrap w:val="0"/>
            <w:vAlign w:val="center"/>
          </w:tcPr>
          <w:p w14:paraId="0E688802">
            <w:r>
              <w:rPr>
                <w:rStyle w:val="10"/>
                <w:rFonts w:hint="eastAsia"/>
              </w:rPr>
              <w:t>剂型：</w:t>
            </w:r>
            <w:r>
              <w:rPr>
                <w:rFonts w:hint="eastAsia"/>
              </w:rPr>
              <w:t>可分散油悬浮剂</w:t>
            </w:r>
          </w:p>
        </w:tc>
      </w:tr>
      <w:tr w14:paraId="1D4BA2B8">
        <w:tblPrEx>
          <w:tblCellMar>
            <w:top w:w="0" w:type="dxa"/>
            <w:left w:w="0" w:type="dxa"/>
            <w:bottom w:w="0" w:type="dxa"/>
            <w:right w:w="0" w:type="dxa"/>
          </w:tblCellMar>
        </w:tblPrEx>
        <w:trPr>
          <w:wBefore w:w="0" w:type="auto"/>
          <w:tblCellSpacing w:w="0" w:type="dxa"/>
        </w:trPr>
        <w:tc>
          <w:tcPr>
            <w:tcW w:w="0" w:type="auto"/>
            <w:noWrap w:val="0"/>
            <w:vAlign w:val="center"/>
          </w:tcPr>
          <w:p w14:paraId="5333B2E8">
            <w:r>
              <w:rPr>
                <w:rStyle w:val="10"/>
                <w:rFonts w:hint="eastAsia"/>
              </w:rPr>
              <w:t>毒性及其标识：</w:t>
            </w:r>
            <w:r>
              <w:rPr>
                <w:rFonts w:hint="eastAsia"/>
              </w:rPr>
              <w:t xml:space="preserve"> </w:t>
            </w:r>
            <w:r>
              <w:rPr>
                <w:lang/>
              </w:rPr>
              <w:drawing>
                <wp:inline distT="0" distB="0" distL="114300" distR="114300">
                  <wp:extent cx="476250" cy="323850"/>
                  <wp:effectExtent l="0" t="0" r="0" b="0"/>
                  <wp:docPr id="2" name="图片 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DD33087">
        <w:tblPrEx>
          <w:tblCellMar>
            <w:top w:w="0" w:type="dxa"/>
            <w:left w:w="0" w:type="dxa"/>
            <w:bottom w:w="0" w:type="dxa"/>
            <w:right w:w="0" w:type="dxa"/>
          </w:tblCellMar>
        </w:tblPrEx>
        <w:trPr>
          <w:wBefore w:w="0" w:type="auto"/>
          <w:tblCellSpacing w:w="0" w:type="dxa"/>
        </w:trPr>
        <w:tc>
          <w:tcPr>
            <w:tcW w:w="0" w:type="auto"/>
            <w:noWrap w:val="0"/>
            <w:vAlign w:val="center"/>
          </w:tcPr>
          <w:p w14:paraId="1F176579">
            <w:r>
              <w:rPr>
                <w:rStyle w:val="10"/>
                <w:rFonts w:hint="eastAsia"/>
              </w:rPr>
              <w:t>总有效成分含量：</w:t>
            </w:r>
            <w:r>
              <w:rPr>
                <w:rFonts w:hint="eastAsia"/>
              </w:rPr>
              <w:t>33%</w:t>
            </w:r>
          </w:p>
        </w:tc>
      </w:tr>
      <w:tr w14:paraId="0AF9812A">
        <w:tblPrEx>
          <w:tblCellMar>
            <w:top w:w="0" w:type="dxa"/>
            <w:left w:w="0" w:type="dxa"/>
            <w:bottom w:w="0" w:type="dxa"/>
            <w:right w:w="0" w:type="dxa"/>
          </w:tblCellMar>
        </w:tblPrEx>
        <w:trPr>
          <w:wBefore w:w="0" w:type="auto"/>
          <w:tblCellSpacing w:w="0" w:type="dxa"/>
        </w:trPr>
        <w:tc>
          <w:tcPr>
            <w:tcW w:w="0" w:type="auto"/>
            <w:noWrap w:val="0"/>
            <w:vAlign w:val="center"/>
          </w:tcPr>
          <w:p w14:paraId="348B6A40">
            <w:r>
              <w:rPr>
                <w:rFonts w:hint="eastAsia"/>
              </w:rPr>
              <w:t xml:space="preserve">有效成分及其含量： </w:t>
            </w:r>
          </w:p>
          <w:p w14:paraId="3B8A902F">
            <w:r>
              <w:rPr>
                <w:rFonts w:hint="eastAsia"/>
              </w:rPr>
              <w:t xml:space="preserve">    特丁津28%    烟嘧磺隆5%    </w:t>
            </w:r>
          </w:p>
        </w:tc>
      </w:tr>
      <w:tr w14:paraId="26A452C5">
        <w:tblPrEx>
          <w:tblCellMar>
            <w:top w:w="0" w:type="dxa"/>
            <w:left w:w="0" w:type="dxa"/>
            <w:bottom w:w="0" w:type="dxa"/>
            <w:right w:w="0" w:type="dxa"/>
          </w:tblCellMar>
        </w:tblPrEx>
        <w:trPr>
          <w:wBefore w:w="0" w:type="auto"/>
          <w:tblCellSpacing w:w="0" w:type="dxa"/>
        </w:trPr>
        <w:tc>
          <w:tcPr>
            <w:tcW w:w="0" w:type="auto"/>
            <w:noWrap w:val="0"/>
            <w:vAlign w:val="center"/>
          </w:tcPr>
          <w:p w14:paraId="7EEA7BA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9"/>
            </w:tblGrid>
            <w:tr w14:paraId="03CA62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96F1A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B5B654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9BDA22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566A189">
                  <w:r>
                    <w:rPr>
                      <w:rStyle w:val="11"/>
                      <w:rFonts w:hint="eastAsia"/>
                    </w:rPr>
                    <w:t>施用方式</w:t>
                  </w:r>
                </w:p>
              </w:tc>
            </w:tr>
            <w:tr w14:paraId="0AABC73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EB7B390">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49BEBF">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AED3A0">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4623F7">
                  <w:r>
                    <w:rPr>
                      <w:rStyle w:val="11"/>
                      <w:rFonts w:hint="eastAsia"/>
                    </w:rPr>
                    <w:t>茎叶喷雾</w:t>
                  </w:r>
                </w:p>
              </w:tc>
            </w:tr>
          </w:tbl>
          <w:p w14:paraId="14DACA70">
            <w:pPr>
              <w:rPr>
                <w:rFonts w:ascii="Times New Roman" w:hAnsi="Times New Roman" w:cs="Times New Roman"/>
                <w:sz w:val="20"/>
                <w:szCs w:val="20"/>
              </w:rPr>
            </w:pPr>
          </w:p>
        </w:tc>
      </w:tr>
      <w:tr w14:paraId="5AC48F1B">
        <w:tblPrEx>
          <w:tblCellMar>
            <w:top w:w="0" w:type="dxa"/>
            <w:left w:w="0" w:type="dxa"/>
            <w:bottom w:w="0" w:type="dxa"/>
            <w:right w:w="0" w:type="dxa"/>
          </w:tblCellMar>
        </w:tblPrEx>
        <w:trPr>
          <w:wBefore w:w="0" w:type="auto"/>
          <w:tblCellSpacing w:w="0" w:type="dxa"/>
        </w:trPr>
        <w:tc>
          <w:tcPr>
            <w:tcW w:w="0" w:type="auto"/>
            <w:noWrap w:val="0"/>
            <w:vAlign w:val="center"/>
          </w:tcPr>
          <w:p w14:paraId="068D8DC5">
            <w:r>
              <w:rPr>
                <w:rStyle w:val="10"/>
                <w:rFonts w:hint="eastAsia"/>
              </w:rPr>
              <w:t>使用技术要求:</w:t>
            </w:r>
            <w:r>
              <w:rPr>
                <w:rFonts w:hint="eastAsia"/>
              </w:rPr>
              <w:br w:type="textWrapping"/>
            </w:r>
            <w:r>
              <w:rPr>
                <w:rStyle w:val="11"/>
                <w:rFonts w:hint="eastAsia"/>
              </w:rPr>
              <w:t>1. 于玉米3-5叶期、杂草2-5叶期茎叶喷雾施药一次，制剂用药量80-100毫升/亩。不同玉米品种对本品安全性存在差异，其中观赏玉米、爆裂玉米、糯玉米、甜玉米等较敏感，不宜使用。2. 大风天或预计1小时内有降雨，请勿施药。3. 每季作物最多使用1次。</w:t>
            </w:r>
          </w:p>
        </w:tc>
      </w:tr>
      <w:tr w14:paraId="039CFF39">
        <w:tblPrEx>
          <w:tblCellMar>
            <w:top w:w="0" w:type="dxa"/>
            <w:left w:w="0" w:type="dxa"/>
            <w:bottom w:w="0" w:type="dxa"/>
            <w:right w:w="0" w:type="dxa"/>
          </w:tblCellMar>
        </w:tblPrEx>
        <w:trPr>
          <w:wBefore w:w="0" w:type="auto"/>
          <w:tblCellSpacing w:w="0" w:type="dxa"/>
        </w:trPr>
        <w:tc>
          <w:tcPr>
            <w:tcW w:w="0" w:type="auto"/>
            <w:noWrap w:val="0"/>
            <w:vAlign w:val="center"/>
          </w:tcPr>
          <w:p w14:paraId="314E2549">
            <w:r>
              <w:rPr>
                <w:rStyle w:val="10"/>
                <w:rFonts w:hint="eastAsia"/>
              </w:rPr>
              <w:t>产品性能:</w:t>
            </w:r>
            <w:r>
              <w:rPr>
                <w:rFonts w:hint="eastAsia"/>
              </w:rPr>
              <w:br w:type="textWrapping"/>
            </w:r>
            <w:r>
              <w:rPr>
                <w:rStyle w:val="11"/>
                <w:rFonts w:hint="eastAsia"/>
              </w:rPr>
              <w:t>本品为类白色悬浮液体，无刺激性气味。烟嘧磺隆是一种内吸性、磺酰脲类除草剂，抑制植物乙酰乳酸合成酶（支链氨基酸合成抑制剂）。可用于防除玉米田一年生和多年生禾本科杂草、莎草和某些阔叶杂草。特丁津是一种内吸传导型除草剂。根吸为主，茎叶吸收很少，传导到植物分生组织及叶部，干扰光合作用，使杂草致死。</w:t>
            </w:r>
          </w:p>
        </w:tc>
      </w:tr>
      <w:tr w14:paraId="2B774A61">
        <w:tblPrEx>
          <w:tblCellMar>
            <w:top w:w="0" w:type="dxa"/>
            <w:left w:w="0" w:type="dxa"/>
            <w:bottom w:w="0" w:type="dxa"/>
            <w:right w:w="0" w:type="dxa"/>
          </w:tblCellMar>
        </w:tblPrEx>
        <w:trPr>
          <w:wBefore w:w="0" w:type="auto"/>
          <w:tblCellSpacing w:w="0" w:type="dxa"/>
        </w:trPr>
        <w:tc>
          <w:tcPr>
            <w:tcW w:w="0" w:type="auto"/>
            <w:noWrap w:val="0"/>
            <w:vAlign w:val="center"/>
          </w:tcPr>
          <w:p w14:paraId="7287D7D2">
            <w:r>
              <w:rPr>
                <w:rStyle w:val="10"/>
                <w:rFonts w:hint="eastAsia"/>
              </w:rPr>
              <w:t>注意事项：</w:t>
            </w:r>
            <w:r>
              <w:rPr>
                <w:rFonts w:hint="eastAsia"/>
              </w:rPr>
              <w:br w:type="textWrapping"/>
            </w:r>
            <w:r>
              <w:rPr>
                <w:rStyle w:val="11"/>
                <w:rFonts w:hint="eastAsia"/>
              </w:rPr>
              <w:t>1. 药剂应现混、现兑，配好的药液要立即使用。2. 本品对眼睛有刺激性，使用时避免接触眼睛，穿戴长衣、长裤、帽子、口罩、手套等防护措施。3. 避免吸入有害气体、雾液或粉尘。4. 操作时应远离儿童和家畜，不可饮食、喝水，吸烟。5. 操作时不要污染水面或灌渠。6. 施药后用清水及肥皂彻底清洗脸部及其它裸露部位，并及时更换衣物。7. 空包装按照当地的有关规定处置所有废弃物。废弃的空包装及用过的容器应妥善处理，不可随意丢弃，也不可作他用。8. 使用过的药械需清洗三遍， 在洗涤药械或处置废弃物时不要污染水源。9. 远离水产养殖区、河塘等水体施药，禁止在河塘等水体中清洗施药器具。10. 桑园及蚕室附近禁用，鸟类保护区禁用。11. 孕妇及哺乳期妇女禁止接触。</w:t>
            </w:r>
          </w:p>
        </w:tc>
      </w:tr>
      <w:tr w14:paraId="2F08248C">
        <w:tblPrEx>
          <w:tblCellMar>
            <w:top w:w="0" w:type="dxa"/>
            <w:left w:w="0" w:type="dxa"/>
            <w:bottom w:w="0" w:type="dxa"/>
            <w:right w:w="0" w:type="dxa"/>
          </w:tblCellMar>
        </w:tblPrEx>
        <w:trPr>
          <w:wBefore w:w="0" w:type="auto"/>
          <w:tblCellSpacing w:w="0" w:type="dxa"/>
        </w:trPr>
        <w:tc>
          <w:tcPr>
            <w:tcW w:w="0" w:type="auto"/>
            <w:noWrap w:val="0"/>
            <w:vAlign w:val="center"/>
          </w:tcPr>
          <w:p w14:paraId="60D54BCF">
            <w:r>
              <w:rPr>
                <w:rStyle w:val="10"/>
                <w:rFonts w:hint="eastAsia"/>
              </w:rPr>
              <w:t>中毒急救措施：</w:t>
            </w:r>
            <w:r>
              <w:rPr>
                <w:rFonts w:hint="eastAsia"/>
              </w:rPr>
              <w:br w:type="textWrapping"/>
            </w:r>
            <w:r>
              <w:rPr>
                <w:rStyle w:val="11"/>
                <w:rFonts w:hint="eastAsia"/>
              </w:rPr>
              <w:t>本品对皮肤有刺激性，使用时应避免药液接触皮肤，黏膜和伤口等。 1. 中毒症状：对眼、皮肤及呼吸道有刺激作用，一般不会产生全身中毒。 2. 皮肤接触：立即脱掉被污染的衣物，用肥皂和大量清水彻底清洗受污染的皮肤。 3. 眼睛溅药：立即将眼睑翻开，用清水冲洗至少10-15分钟，再请医生诊治。 4. 不慎吸入：立即将吸入者转移到空气新鲜处，请医生诊治。 5. 如误服，应立即携带此标签去医院诊治。无解毒剂，对症治疗。</w:t>
            </w:r>
          </w:p>
        </w:tc>
      </w:tr>
      <w:tr w14:paraId="0E3D493A">
        <w:tblPrEx>
          <w:tblCellMar>
            <w:top w:w="0" w:type="dxa"/>
            <w:left w:w="0" w:type="dxa"/>
            <w:bottom w:w="0" w:type="dxa"/>
            <w:right w:w="0" w:type="dxa"/>
          </w:tblCellMar>
        </w:tblPrEx>
        <w:trPr>
          <w:wBefore w:w="0" w:type="auto"/>
          <w:tblCellSpacing w:w="0" w:type="dxa"/>
        </w:trPr>
        <w:tc>
          <w:tcPr>
            <w:tcW w:w="0" w:type="auto"/>
            <w:noWrap w:val="0"/>
            <w:vAlign w:val="center"/>
          </w:tcPr>
          <w:p w14:paraId="4F7CADF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本品应贮存在干燥、阴凉、通风、防雨处，远离火源或热源；置于儿童、无关人员触及不到之处，并加锁。不能与食品、饮料、粮食、饲料等物品同贮同运。</w:t>
            </w:r>
          </w:p>
        </w:tc>
      </w:tr>
      <w:tr w14:paraId="43C16145">
        <w:tblPrEx>
          <w:tblCellMar>
            <w:top w:w="0" w:type="dxa"/>
            <w:left w:w="0" w:type="dxa"/>
            <w:bottom w:w="0" w:type="dxa"/>
            <w:right w:w="0" w:type="dxa"/>
          </w:tblCellMar>
        </w:tblPrEx>
        <w:trPr>
          <w:wBefore w:w="0" w:type="auto"/>
          <w:tblCellSpacing w:w="0" w:type="dxa"/>
        </w:trPr>
        <w:tc>
          <w:tcPr>
            <w:tcW w:w="0" w:type="auto"/>
            <w:noWrap w:val="0"/>
            <w:vAlign w:val="center"/>
          </w:tcPr>
          <w:p w14:paraId="2169E24D">
            <w:r>
              <w:rPr>
                <w:rStyle w:val="10"/>
                <w:rFonts w:hint="eastAsia"/>
              </w:rPr>
              <w:t>质量保证期：</w:t>
            </w:r>
            <w:r>
              <w:rPr>
                <w:rStyle w:val="11"/>
                <w:rFonts w:hint="eastAsia"/>
              </w:rPr>
              <w:t>2年</w:t>
            </w:r>
          </w:p>
        </w:tc>
      </w:tr>
      <w:tr w14:paraId="111C378B">
        <w:tblPrEx>
          <w:tblCellMar>
            <w:top w:w="0" w:type="dxa"/>
            <w:left w:w="0" w:type="dxa"/>
            <w:bottom w:w="0" w:type="dxa"/>
            <w:right w:w="0" w:type="dxa"/>
          </w:tblCellMar>
        </w:tblPrEx>
        <w:trPr>
          <w:wBefore w:w="0" w:type="auto"/>
          <w:tblCellSpacing w:w="0" w:type="dxa"/>
        </w:trPr>
        <w:tc>
          <w:tcPr>
            <w:tcW w:w="0" w:type="auto"/>
            <w:noWrap w:val="0"/>
            <w:vAlign w:val="center"/>
          </w:tcPr>
          <w:p w14:paraId="0CA2FCB3">
            <w:r>
              <w:rPr>
                <w:rStyle w:val="10"/>
                <w:rFonts w:hint="eastAsia"/>
              </w:rPr>
              <w:t>备注：</w:t>
            </w:r>
          </w:p>
        </w:tc>
      </w:tr>
    </w:tbl>
    <w:p w14:paraId="032645A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E8C0E4">
        <w:tblPrEx>
          <w:tblCellMar>
            <w:top w:w="0" w:type="dxa"/>
            <w:left w:w="0" w:type="dxa"/>
            <w:bottom w:w="0" w:type="dxa"/>
            <w:right w:w="0" w:type="dxa"/>
          </w:tblCellMar>
        </w:tblPrEx>
        <w:trPr>
          <w:wBefore w:w="0" w:type="auto"/>
          <w:tblCellSpacing w:w="0" w:type="dxa"/>
        </w:trPr>
        <w:tc>
          <w:tcPr>
            <w:tcW w:w="0" w:type="auto"/>
            <w:noWrap w:val="0"/>
            <w:vAlign w:val="center"/>
          </w:tcPr>
          <w:p w14:paraId="514DD41A">
            <w:r>
              <w:rPr>
                <w:rStyle w:val="10"/>
                <w:rFonts w:hint="eastAsia"/>
              </w:rPr>
              <w:t>登记证号：</w:t>
            </w:r>
            <w:r>
              <w:rPr>
                <w:rFonts w:hint="eastAsia"/>
              </w:rPr>
              <w:t>PD20211865</w:t>
            </w:r>
          </w:p>
        </w:tc>
      </w:tr>
      <w:tr w14:paraId="012654DF">
        <w:tblPrEx>
          <w:tblCellMar>
            <w:top w:w="0" w:type="dxa"/>
            <w:left w:w="0" w:type="dxa"/>
            <w:bottom w:w="0" w:type="dxa"/>
            <w:right w:w="0" w:type="dxa"/>
          </w:tblCellMar>
        </w:tblPrEx>
        <w:trPr>
          <w:wBefore w:w="0" w:type="auto"/>
          <w:tblCellSpacing w:w="0" w:type="dxa"/>
        </w:trPr>
        <w:tc>
          <w:tcPr>
            <w:tcW w:w="0" w:type="auto"/>
            <w:noWrap w:val="0"/>
            <w:vAlign w:val="center"/>
          </w:tcPr>
          <w:p w14:paraId="54AF00D1">
            <w:r>
              <w:rPr>
                <w:rStyle w:val="10"/>
                <w:rFonts w:hint="eastAsia"/>
              </w:rPr>
              <w:t>登记证持有人：</w:t>
            </w:r>
            <w:r>
              <w:rPr>
                <w:rFonts w:hint="eastAsia"/>
              </w:rPr>
              <w:t>陕西康禾立丰生物科技药业有限公司</w:t>
            </w:r>
          </w:p>
        </w:tc>
      </w:tr>
      <w:tr w14:paraId="1CD515BF">
        <w:tblPrEx>
          <w:tblCellMar>
            <w:top w:w="0" w:type="dxa"/>
            <w:left w:w="0" w:type="dxa"/>
            <w:bottom w:w="0" w:type="dxa"/>
            <w:right w:w="0" w:type="dxa"/>
          </w:tblCellMar>
        </w:tblPrEx>
        <w:trPr>
          <w:wBefore w:w="0" w:type="auto"/>
          <w:tblCellSpacing w:w="0" w:type="dxa"/>
        </w:trPr>
        <w:tc>
          <w:tcPr>
            <w:tcW w:w="0" w:type="auto"/>
            <w:noWrap w:val="0"/>
            <w:vAlign w:val="center"/>
          </w:tcPr>
          <w:p w14:paraId="404A8E66">
            <w:r>
              <w:rPr>
                <w:rStyle w:val="10"/>
                <w:rFonts w:hint="eastAsia"/>
              </w:rPr>
              <w:t>农药名称：</w:t>
            </w:r>
            <w:r>
              <w:rPr>
                <w:rFonts w:hint="eastAsia"/>
              </w:rPr>
              <w:t>虫螨腈·啶虫脒</w:t>
            </w:r>
          </w:p>
        </w:tc>
      </w:tr>
      <w:tr w14:paraId="757569CF">
        <w:tblPrEx>
          <w:tblCellMar>
            <w:top w:w="0" w:type="dxa"/>
            <w:left w:w="0" w:type="dxa"/>
            <w:bottom w:w="0" w:type="dxa"/>
            <w:right w:w="0" w:type="dxa"/>
          </w:tblCellMar>
        </w:tblPrEx>
        <w:trPr>
          <w:wBefore w:w="0" w:type="auto"/>
          <w:tblCellSpacing w:w="0" w:type="dxa"/>
        </w:trPr>
        <w:tc>
          <w:tcPr>
            <w:tcW w:w="0" w:type="auto"/>
            <w:noWrap w:val="0"/>
            <w:vAlign w:val="center"/>
          </w:tcPr>
          <w:p w14:paraId="3AD514A9">
            <w:r>
              <w:rPr>
                <w:rStyle w:val="10"/>
                <w:rFonts w:hint="eastAsia"/>
              </w:rPr>
              <w:t>剂型：</w:t>
            </w:r>
            <w:r>
              <w:rPr>
                <w:rFonts w:hint="eastAsia"/>
              </w:rPr>
              <w:t>微乳剂</w:t>
            </w:r>
          </w:p>
        </w:tc>
      </w:tr>
      <w:tr w14:paraId="0A88220C">
        <w:tblPrEx>
          <w:tblCellMar>
            <w:top w:w="0" w:type="dxa"/>
            <w:left w:w="0" w:type="dxa"/>
            <w:bottom w:w="0" w:type="dxa"/>
            <w:right w:w="0" w:type="dxa"/>
          </w:tblCellMar>
        </w:tblPrEx>
        <w:trPr>
          <w:wBefore w:w="0" w:type="auto"/>
          <w:tblCellSpacing w:w="0" w:type="dxa"/>
        </w:trPr>
        <w:tc>
          <w:tcPr>
            <w:tcW w:w="0" w:type="auto"/>
            <w:noWrap w:val="0"/>
            <w:vAlign w:val="center"/>
          </w:tcPr>
          <w:p w14:paraId="4617C0CB">
            <w:r>
              <w:rPr>
                <w:rStyle w:val="10"/>
                <w:rFonts w:hint="eastAsia"/>
              </w:rPr>
              <w:t>毒性及其标识：</w:t>
            </w:r>
            <w:r>
              <w:rPr>
                <w:rFonts w:hint="eastAsia"/>
              </w:rPr>
              <w:t xml:space="preserve"> </w:t>
            </w:r>
            <w:r>
              <w:rPr>
                <w:lang/>
              </w:rPr>
              <w:drawing>
                <wp:inline distT="0" distB="0" distL="114300" distR="114300">
                  <wp:extent cx="476250" cy="323850"/>
                  <wp:effectExtent l="0" t="0" r="0" b="0"/>
                  <wp:docPr id="3" name="图片 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C5E9F6">
        <w:tblPrEx>
          <w:tblCellMar>
            <w:top w:w="0" w:type="dxa"/>
            <w:left w:w="0" w:type="dxa"/>
            <w:bottom w:w="0" w:type="dxa"/>
            <w:right w:w="0" w:type="dxa"/>
          </w:tblCellMar>
        </w:tblPrEx>
        <w:trPr>
          <w:wBefore w:w="0" w:type="auto"/>
          <w:tblCellSpacing w:w="0" w:type="dxa"/>
        </w:trPr>
        <w:tc>
          <w:tcPr>
            <w:tcW w:w="0" w:type="auto"/>
            <w:noWrap w:val="0"/>
            <w:vAlign w:val="center"/>
          </w:tcPr>
          <w:p w14:paraId="659B216E">
            <w:r>
              <w:rPr>
                <w:rStyle w:val="10"/>
                <w:rFonts w:hint="eastAsia"/>
              </w:rPr>
              <w:t>总有效成分含量：</w:t>
            </w:r>
            <w:r>
              <w:rPr>
                <w:rFonts w:hint="eastAsia"/>
              </w:rPr>
              <w:t>11%</w:t>
            </w:r>
          </w:p>
        </w:tc>
      </w:tr>
      <w:tr w14:paraId="6A8A99DA">
        <w:tblPrEx>
          <w:tblCellMar>
            <w:top w:w="0" w:type="dxa"/>
            <w:left w:w="0" w:type="dxa"/>
            <w:bottom w:w="0" w:type="dxa"/>
            <w:right w:w="0" w:type="dxa"/>
          </w:tblCellMar>
        </w:tblPrEx>
        <w:trPr>
          <w:wBefore w:w="0" w:type="auto"/>
          <w:tblCellSpacing w:w="0" w:type="dxa"/>
        </w:trPr>
        <w:tc>
          <w:tcPr>
            <w:tcW w:w="0" w:type="auto"/>
            <w:noWrap w:val="0"/>
            <w:vAlign w:val="center"/>
          </w:tcPr>
          <w:p w14:paraId="0FD1AC5C">
            <w:r>
              <w:rPr>
                <w:rFonts w:hint="eastAsia"/>
              </w:rPr>
              <w:t xml:space="preserve">有效成分及其含量： </w:t>
            </w:r>
          </w:p>
          <w:p w14:paraId="34BA5933">
            <w:r>
              <w:rPr>
                <w:rFonts w:hint="eastAsia"/>
              </w:rPr>
              <w:t xml:space="preserve">    啶虫脒7%    虫螨腈4%    </w:t>
            </w:r>
          </w:p>
        </w:tc>
      </w:tr>
      <w:tr w14:paraId="280DEFF8">
        <w:tblPrEx>
          <w:tblCellMar>
            <w:top w:w="0" w:type="dxa"/>
            <w:left w:w="0" w:type="dxa"/>
            <w:bottom w:w="0" w:type="dxa"/>
            <w:right w:w="0" w:type="dxa"/>
          </w:tblCellMar>
        </w:tblPrEx>
        <w:trPr>
          <w:wBefore w:w="0" w:type="auto"/>
          <w:tblCellSpacing w:w="0" w:type="dxa"/>
        </w:trPr>
        <w:tc>
          <w:tcPr>
            <w:tcW w:w="0" w:type="auto"/>
            <w:noWrap w:val="0"/>
            <w:vAlign w:val="center"/>
          </w:tcPr>
          <w:p w14:paraId="7ACF776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6D746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59FAC9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DAE518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86A771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F5C11B9">
                  <w:r>
                    <w:rPr>
                      <w:rStyle w:val="11"/>
                      <w:rFonts w:hint="eastAsia"/>
                    </w:rPr>
                    <w:t>施用方式</w:t>
                  </w:r>
                </w:p>
              </w:tc>
            </w:tr>
            <w:tr w14:paraId="3606B83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110DD0B">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ECD292">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B15AED">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982C98">
                  <w:r>
                    <w:rPr>
                      <w:rStyle w:val="11"/>
                      <w:rFonts w:hint="eastAsia"/>
                    </w:rPr>
                    <w:t>喷雾</w:t>
                  </w:r>
                </w:p>
              </w:tc>
            </w:tr>
          </w:tbl>
          <w:p w14:paraId="2D26018F">
            <w:pPr>
              <w:rPr>
                <w:rFonts w:ascii="Times New Roman" w:hAnsi="Times New Roman" w:cs="Times New Roman"/>
                <w:sz w:val="20"/>
                <w:szCs w:val="20"/>
              </w:rPr>
            </w:pPr>
          </w:p>
        </w:tc>
      </w:tr>
      <w:tr w14:paraId="798B3FA5">
        <w:tblPrEx>
          <w:tblCellMar>
            <w:top w:w="0" w:type="dxa"/>
            <w:left w:w="0" w:type="dxa"/>
            <w:bottom w:w="0" w:type="dxa"/>
            <w:right w:w="0" w:type="dxa"/>
          </w:tblCellMar>
        </w:tblPrEx>
        <w:trPr>
          <w:wBefore w:w="0" w:type="auto"/>
          <w:tblCellSpacing w:w="0" w:type="dxa"/>
        </w:trPr>
        <w:tc>
          <w:tcPr>
            <w:tcW w:w="0" w:type="auto"/>
            <w:noWrap w:val="0"/>
            <w:vAlign w:val="center"/>
          </w:tcPr>
          <w:p w14:paraId="314E8AF5">
            <w:r>
              <w:rPr>
                <w:rStyle w:val="10"/>
                <w:rFonts w:hint="eastAsia"/>
              </w:rPr>
              <w:t>使用技术要求:</w:t>
            </w:r>
            <w:r>
              <w:rPr>
                <w:rFonts w:hint="eastAsia"/>
              </w:rPr>
              <w:br w:type="textWrapping"/>
            </w:r>
            <w:r>
              <w:rPr>
                <w:rStyle w:val="11"/>
                <w:rFonts w:hint="eastAsia"/>
              </w:rPr>
              <w:t>1.在甘蓝上的使用安全间隔期为7天，每季作物使用1次。2.在甘蓝跳甲发生初期时施药。施药时应均匀喷雾。 3.大风天或预计1小时内降雨，请勿施药。 4. 施药时应避免药液漂移到其它作物上，以防产生药害。</w:t>
            </w:r>
          </w:p>
        </w:tc>
      </w:tr>
      <w:tr w14:paraId="59AFB54C">
        <w:tblPrEx>
          <w:tblCellMar>
            <w:top w:w="0" w:type="dxa"/>
            <w:left w:w="0" w:type="dxa"/>
            <w:bottom w:w="0" w:type="dxa"/>
            <w:right w:w="0" w:type="dxa"/>
          </w:tblCellMar>
        </w:tblPrEx>
        <w:trPr>
          <w:wBefore w:w="0" w:type="auto"/>
          <w:tblCellSpacing w:w="0" w:type="dxa"/>
        </w:trPr>
        <w:tc>
          <w:tcPr>
            <w:tcW w:w="0" w:type="auto"/>
            <w:noWrap w:val="0"/>
            <w:vAlign w:val="center"/>
          </w:tcPr>
          <w:p w14:paraId="26ED2DF1">
            <w:r>
              <w:rPr>
                <w:rStyle w:val="10"/>
                <w:rFonts w:hint="eastAsia"/>
              </w:rPr>
              <w:t>产品性能:</w:t>
            </w:r>
            <w:r>
              <w:rPr>
                <w:rFonts w:hint="eastAsia"/>
              </w:rPr>
              <w:br w:type="textWrapping"/>
            </w:r>
            <w:r>
              <w:rPr>
                <w:rStyle w:val="11"/>
                <w:rFonts w:hint="eastAsia"/>
              </w:rPr>
              <w:t>本品是由虫螨腈与啶虫脒复配而成的杀虫剂，具有触杀、胃毒作用，并具有较强渗透作用，用于防治甘蓝跳甲。</w:t>
            </w:r>
          </w:p>
        </w:tc>
      </w:tr>
      <w:tr w14:paraId="1B608F3C">
        <w:tblPrEx>
          <w:tblCellMar>
            <w:top w:w="0" w:type="dxa"/>
            <w:left w:w="0" w:type="dxa"/>
            <w:bottom w:w="0" w:type="dxa"/>
            <w:right w:w="0" w:type="dxa"/>
          </w:tblCellMar>
        </w:tblPrEx>
        <w:trPr>
          <w:wBefore w:w="0" w:type="auto"/>
          <w:tblCellSpacing w:w="0" w:type="dxa"/>
        </w:trPr>
        <w:tc>
          <w:tcPr>
            <w:tcW w:w="0" w:type="auto"/>
            <w:noWrap w:val="0"/>
            <w:vAlign w:val="center"/>
          </w:tcPr>
          <w:p w14:paraId="6F2CC437">
            <w:r>
              <w:rPr>
                <w:rStyle w:val="10"/>
                <w:rFonts w:hint="eastAsia"/>
              </w:rPr>
              <w:t>注意事项：</w:t>
            </w:r>
            <w:r>
              <w:rPr>
                <w:rFonts w:hint="eastAsia"/>
              </w:rPr>
              <w:br w:type="textWrapping"/>
            </w:r>
            <w:r>
              <w:rPr>
                <w:rStyle w:val="11"/>
                <w:rFonts w:hint="eastAsia"/>
              </w:rPr>
              <w:t>1.本品不可碱性农药及铜制剂混用。避免与氧化剂接触。 2.建议与其他作用机制不同的杀虫剂轮换使用，以延缓抗性产生。 3</w:t>
            </w:r>
            <w:r>
              <w:rPr>
                <w:rStyle w:val="11"/>
                <w:rFonts w:hint="eastAsia"/>
              </w:rPr>
              <w:t> </w:t>
            </w:r>
            <w:r>
              <w:rPr>
                <w:rStyle w:val="11"/>
                <w:rFonts w:hint="eastAsia"/>
              </w:rPr>
              <w:t>.水产养殖区、河塘等水体附近禁用，禁止在河塘等水域清洗施药器具。4.（周围）开花植物花期禁用；</w:t>
            </w:r>
            <w:r>
              <w:rPr>
                <w:rStyle w:val="11"/>
                <w:rFonts w:hint="eastAsia"/>
              </w:rPr>
              <w:t> </w:t>
            </w:r>
            <w:r>
              <w:rPr>
                <w:rStyle w:val="11"/>
                <w:rFonts w:hint="eastAsia"/>
              </w:rPr>
              <w:t>桑园及蚕室附近禁用；</w:t>
            </w:r>
            <w:r>
              <w:rPr>
                <w:rStyle w:val="11"/>
                <w:rFonts w:hint="eastAsia"/>
              </w:rPr>
              <w:t> </w:t>
            </w:r>
            <w:r>
              <w:rPr>
                <w:rStyle w:val="11"/>
                <w:rFonts w:hint="eastAsia"/>
              </w:rPr>
              <w:t>赤眼蜂等天敌放飞区域禁用；.鸟类保护区附近禁用。5.注意药剂喷雾不可喷施到土壤表面，雨天及预计下雨前不可使用。 6.使用时应穿长衣长裤、靴子，戴帽子、护目镜、口罩、手套等防护用具；施药期间不可吃东西、饮水、吸烟等；施药后应及时洗手、洗脸并洗涤施药时穿着的衣物。7.用过的容器应妥善处理，不可做他用，也不可随意丢弃。 8.孕妇及哺乳期妇女禁止接触本品。</w:t>
            </w:r>
          </w:p>
        </w:tc>
      </w:tr>
      <w:tr w14:paraId="7F3A6FAE">
        <w:tblPrEx>
          <w:tblCellMar>
            <w:top w:w="0" w:type="dxa"/>
            <w:left w:w="0" w:type="dxa"/>
            <w:bottom w:w="0" w:type="dxa"/>
            <w:right w:w="0" w:type="dxa"/>
          </w:tblCellMar>
        </w:tblPrEx>
        <w:trPr>
          <w:wBefore w:w="0" w:type="auto"/>
          <w:tblCellSpacing w:w="0" w:type="dxa"/>
        </w:trPr>
        <w:tc>
          <w:tcPr>
            <w:tcW w:w="0" w:type="auto"/>
            <w:noWrap w:val="0"/>
            <w:vAlign w:val="center"/>
          </w:tcPr>
          <w:p w14:paraId="714083F2">
            <w:r>
              <w:rPr>
                <w:rStyle w:val="10"/>
                <w:rFonts w:hint="eastAsia"/>
              </w:rPr>
              <w:t>中毒急救措施：</w:t>
            </w:r>
            <w:r>
              <w:rPr>
                <w:rFonts w:hint="eastAsia"/>
              </w:rPr>
              <w:br w:type="textWrapping"/>
            </w:r>
            <w:r>
              <w:rPr>
                <w:rStyle w:val="11"/>
                <w:rFonts w:hint="eastAsia"/>
              </w:rPr>
              <w:t>本品对眼睛有刺激性。1.使用中或使用后如果感觉不适，应立即停止工作，采取急救措施，并携带标签送医院就诊。 2.本品如误入眼睛，立即用流动的清水至少冲洗15分钟，仍有不适应立即就医。 3.如接触皮肤，立即脱去被污染的衣物，用大量清水和肥皂冲洗。4.发生吸入立即将吸入者转移到空气新鲜处，如果吸入者停止呼吸，需进行人工呼吸，就医诊治。 5.如误服，立即用大量清水漱口并立即携此标签将病人送医院对症治疗。</w:t>
            </w:r>
          </w:p>
        </w:tc>
      </w:tr>
      <w:tr w14:paraId="445AC483">
        <w:tblPrEx>
          <w:tblCellMar>
            <w:top w:w="0" w:type="dxa"/>
            <w:left w:w="0" w:type="dxa"/>
            <w:bottom w:w="0" w:type="dxa"/>
            <w:right w:w="0" w:type="dxa"/>
          </w:tblCellMar>
        </w:tblPrEx>
        <w:trPr>
          <w:wBefore w:w="0" w:type="auto"/>
          <w:tblCellSpacing w:w="0" w:type="dxa"/>
        </w:trPr>
        <w:tc>
          <w:tcPr>
            <w:tcW w:w="0" w:type="auto"/>
            <w:noWrap w:val="0"/>
            <w:vAlign w:val="center"/>
          </w:tcPr>
          <w:p w14:paraId="486FD98C">
            <w:r>
              <w:rPr>
                <w:rStyle w:val="10"/>
                <w:rFonts w:hint="eastAsia"/>
              </w:rPr>
              <w:t>储存和运输方法：</w:t>
            </w:r>
            <w:r>
              <w:rPr>
                <w:rFonts w:hint="eastAsia"/>
              </w:rPr>
              <w:br w:type="textWrapping"/>
            </w:r>
            <w:r>
              <w:rPr>
                <w:rStyle w:val="11"/>
                <w:rFonts w:hint="eastAsia"/>
              </w:rPr>
              <w:t>1.本品应以原包装贮存于阴凉、干燥和通风处。 远离热源或者火源。2.本品勿与食物、饲料、饮料和种子等同贮同运，并放置于儿童接触不到的地方， 加锁保管。 3.运输时应注意防水防潮，避免雨淋；搬运时轻搬轻放，不可倒置。</w:t>
            </w:r>
          </w:p>
        </w:tc>
      </w:tr>
      <w:tr w14:paraId="72CAD54B">
        <w:tblPrEx>
          <w:tblCellMar>
            <w:top w:w="0" w:type="dxa"/>
            <w:left w:w="0" w:type="dxa"/>
            <w:bottom w:w="0" w:type="dxa"/>
            <w:right w:w="0" w:type="dxa"/>
          </w:tblCellMar>
        </w:tblPrEx>
        <w:trPr>
          <w:wBefore w:w="0" w:type="auto"/>
          <w:tblCellSpacing w:w="0" w:type="dxa"/>
        </w:trPr>
        <w:tc>
          <w:tcPr>
            <w:tcW w:w="0" w:type="auto"/>
            <w:noWrap w:val="0"/>
            <w:vAlign w:val="center"/>
          </w:tcPr>
          <w:p w14:paraId="4FD3CAF7">
            <w:r>
              <w:rPr>
                <w:rStyle w:val="10"/>
                <w:rFonts w:hint="eastAsia"/>
              </w:rPr>
              <w:t>质量保证期：</w:t>
            </w:r>
            <w:r>
              <w:rPr>
                <w:rStyle w:val="11"/>
                <w:rFonts w:hint="eastAsia"/>
              </w:rPr>
              <w:t>2年</w:t>
            </w:r>
          </w:p>
        </w:tc>
      </w:tr>
      <w:tr w14:paraId="25601487">
        <w:tblPrEx>
          <w:tblCellMar>
            <w:top w:w="0" w:type="dxa"/>
            <w:left w:w="0" w:type="dxa"/>
            <w:bottom w:w="0" w:type="dxa"/>
            <w:right w:w="0" w:type="dxa"/>
          </w:tblCellMar>
        </w:tblPrEx>
        <w:trPr>
          <w:wBefore w:w="0" w:type="auto"/>
          <w:tblCellSpacing w:w="0" w:type="dxa"/>
        </w:trPr>
        <w:tc>
          <w:tcPr>
            <w:tcW w:w="0" w:type="auto"/>
            <w:noWrap w:val="0"/>
            <w:vAlign w:val="center"/>
          </w:tcPr>
          <w:p w14:paraId="4AF4D8E2">
            <w:r>
              <w:rPr>
                <w:rStyle w:val="10"/>
                <w:rFonts w:hint="eastAsia"/>
              </w:rPr>
              <w:t>备注：</w:t>
            </w:r>
          </w:p>
        </w:tc>
      </w:tr>
    </w:tbl>
    <w:p w14:paraId="65609C7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17AA63D">
        <w:tblPrEx>
          <w:tblCellMar>
            <w:top w:w="0" w:type="dxa"/>
            <w:left w:w="0" w:type="dxa"/>
            <w:bottom w:w="0" w:type="dxa"/>
            <w:right w:w="0" w:type="dxa"/>
          </w:tblCellMar>
        </w:tblPrEx>
        <w:trPr>
          <w:wBefore w:w="0" w:type="auto"/>
          <w:tblCellSpacing w:w="0" w:type="dxa"/>
        </w:trPr>
        <w:tc>
          <w:tcPr>
            <w:tcW w:w="0" w:type="auto"/>
            <w:noWrap w:val="0"/>
            <w:vAlign w:val="center"/>
          </w:tcPr>
          <w:p w14:paraId="3D6BE92E">
            <w:r>
              <w:rPr>
                <w:rStyle w:val="10"/>
                <w:rFonts w:hint="eastAsia"/>
              </w:rPr>
              <w:t>登记证号：</w:t>
            </w:r>
            <w:r>
              <w:rPr>
                <w:rFonts w:hint="eastAsia"/>
              </w:rPr>
              <w:t>WP20210260</w:t>
            </w:r>
          </w:p>
        </w:tc>
      </w:tr>
      <w:tr w14:paraId="543522E1">
        <w:tblPrEx>
          <w:tblCellMar>
            <w:top w:w="0" w:type="dxa"/>
            <w:left w:w="0" w:type="dxa"/>
            <w:bottom w:w="0" w:type="dxa"/>
            <w:right w:w="0" w:type="dxa"/>
          </w:tblCellMar>
        </w:tblPrEx>
        <w:trPr>
          <w:wBefore w:w="0" w:type="auto"/>
          <w:tblCellSpacing w:w="0" w:type="dxa"/>
        </w:trPr>
        <w:tc>
          <w:tcPr>
            <w:tcW w:w="0" w:type="auto"/>
            <w:noWrap w:val="0"/>
            <w:vAlign w:val="center"/>
          </w:tcPr>
          <w:p w14:paraId="10EBAF64">
            <w:r>
              <w:rPr>
                <w:rStyle w:val="10"/>
                <w:rFonts w:hint="eastAsia"/>
              </w:rPr>
              <w:t>登记证持有人：</w:t>
            </w:r>
            <w:r>
              <w:rPr>
                <w:rFonts w:hint="eastAsia"/>
              </w:rPr>
              <w:t>中山榄菊日化实业有限公司</w:t>
            </w:r>
          </w:p>
        </w:tc>
      </w:tr>
      <w:tr w14:paraId="18085820">
        <w:tblPrEx>
          <w:tblCellMar>
            <w:top w:w="0" w:type="dxa"/>
            <w:left w:w="0" w:type="dxa"/>
            <w:bottom w:w="0" w:type="dxa"/>
            <w:right w:w="0" w:type="dxa"/>
          </w:tblCellMar>
        </w:tblPrEx>
        <w:trPr>
          <w:wBefore w:w="0" w:type="auto"/>
          <w:tblCellSpacing w:w="0" w:type="dxa"/>
        </w:trPr>
        <w:tc>
          <w:tcPr>
            <w:tcW w:w="0" w:type="auto"/>
            <w:noWrap w:val="0"/>
            <w:vAlign w:val="center"/>
          </w:tcPr>
          <w:p w14:paraId="270803D6">
            <w:r>
              <w:rPr>
                <w:rStyle w:val="10"/>
                <w:rFonts w:hint="eastAsia"/>
              </w:rPr>
              <w:t>农药名称：</w:t>
            </w:r>
            <w:r>
              <w:rPr>
                <w:rFonts w:hint="eastAsia"/>
              </w:rPr>
              <w:t>驱蚊花露水</w:t>
            </w:r>
          </w:p>
        </w:tc>
      </w:tr>
      <w:tr w14:paraId="43B94C16">
        <w:tblPrEx>
          <w:tblCellMar>
            <w:top w:w="0" w:type="dxa"/>
            <w:left w:w="0" w:type="dxa"/>
            <w:bottom w:w="0" w:type="dxa"/>
            <w:right w:w="0" w:type="dxa"/>
          </w:tblCellMar>
        </w:tblPrEx>
        <w:trPr>
          <w:wBefore w:w="0" w:type="auto"/>
          <w:tblCellSpacing w:w="0" w:type="dxa"/>
        </w:trPr>
        <w:tc>
          <w:tcPr>
            <w:tcW w:w="0" w:type="auto"/>
            <w:noWrap w:val="0"/>
            <w:vAlign w:val="center"/>
          </w:tcPr>
          <w:p w14:paraId="011D287B">
            <w:r>
              <w:rPr>
                <w:rStyle w:val="10"/>
                <w:rFonts w:hint="eastAsia"/>
              </w:rPr>
              <w:t>剂型：</w:t>
            </w:r>
            <w:r>
              <w:rPr>
                <w:rFonts w:hint="eastAsia"/>
              </w:rPr>
              <w:t>驱蚊花露水</w:t>
            </w:r>
          </w:p>
        </w:tc>
      </w:tr>
      <w:tr w14:paraId="373B157A">
        <w:tblPrEx>
          <w:tblCellMar>
            <w:top w:w="0" w:type="dxa"/>
            <w:left w:w="0" w:type="dxa"/>
            <w:bottom w:w="0" w:type="dxa"/>
            <w:right w:w="0" w:type="dxa"/>
          </w:tblCellMar>
        </w:tblPrEx>
        <w:trPr>
          <w:wBefore w:w="0" w:type="auto"/>
          <w:tblCellSpacing w:w="0" w:type="dxa"/>
        </w:trPr>
        <w:tc>
          <w:tcPr>
            <w:tcW w:w="0" w:type="auto"/>
            <w:noWrap w:val="0"/>
            <w:vAlign w:val="center"/>
          </w:tcPr>
          <w:p w14:paraId="2C88B7A1">
            <w:r>
              <w:rPr>
                <w:rStyle w:val="10"/>
                <w:rFonts w:hint="eastAsia"/>
              </w:rPr>
              <w:t>毒性及其标识：</w:t>
            </w:r>
            <w:r>
              <w:rPr>
                <w:rFonts w:hint="eastAsia"/>
              </w:rPr>
              <w:t xml:space="preserve"> 微毒 </w:t>
            </w:r>
          </w:p>
        </w:tc>
      </w:tr>
      <w:tr w14:paraId="442B6B5C">
        <w:tblPrEx>
          <w:tblCellMar>
            <w:top w:w="0" w:type="dxa"/>
            <w:left w:w="0" w:type="dxa"/>
            <w:bottom w:w="0" w:type="dxa"/>
            <w:right w:w="0" w:type="dxa"/>
          </w:tblCellMar>
        </w:tblPrEx>
        <w:trPr>
          <w:wBefore w:w="0" w:type="auto"/>
          <w:tblCellSpacing w:w="0" w:type="dxa"/>
        </w:trPr>
        <w:tc>
          <w:tcPr>
            <w:tcW w:w="0" w:type="auto"/>
            <w:noWrap w:val="0"/>
            <w:vAlign w:val="center"/>
          </w:tcPr>
          <w:p w14:paraId="46906069">
            <w:r>
              <w:rPr>
                <w:rStyle w:val="10"/>
                <w:rFonts w:hint="eastAsia"/>
              </w:rPr>
              <w:t>总有效成分含量：</w:t>
            </w:r>
            <w:r>
              <w:rPr>
                <w:rFonts w:hint="eastAsia"/>
              </w:rPr>
              <w:t>5%</w:t>
            </w:r>
          </w:p>
        </w:tc>
      </w:tr>
      <w:tr w14:paraId="3F1CFEFB">
        <w:tblPrEx>
          <w:tblCellMar>
            <w:top w:w="0" w:type="dxa"/>
            <w:left w:w="0" w:type="dxa"/>
            <w:bottom w:w="0" w:type="dxa"/>
            <w:right w:w="0" w:type="dxa"/>
          </w:tblCellMar>
        </w:tblPrEx>
        <w:trPr>
          <w:wBefore w:w="0" w:type="auto"/>
          <w:tblCellSpacing w:w="0" w:type="dxa"/>
        </w:trPr>
        <w:tc>
          <w:tcPr>
            <w:tcW w:w="0" w:type="auto"/>
            <w:noWrap w:val="0"/>
            <w:vAlign w:val="center"/>
          </w:tcPr>
          <w:p w14:paraId="5C10C7C1">
            <w:r>
              <w:rPr>
                <w:rFonts w:hint="eastAsia"/>
              </w:rPr>
              <w:t xml:space="preserve">有效成分及其含量： </w:t>
            </w:r>
          </w:p>
          <w:p w14:paraId="00BDB180">
            <w:r>
              <w:rPr>
                <w:rFonts w:hint="eastAsia"/>
              </w:rPr>
              <w:t xml:space="preserve">    羟哌酯5%    </w:t>
            </w:r>
          </w:p>
        </w:tc>
      </w:tr>
      <w:tr w14:paraId="3CD2C69A">
        <w:tblPrEx>
          <w:tblCellMar>
            <w:top w:w="0" w:type="dxa"/>
            <w:left w:w="0" w:type="dxa"/>
            <w:bottom w:w="0" w:type="dxa"/>
            <w:right w:w="0" w:type="dxa"/>
          </w:tblCellMar>
        </w:tblPrEx>
        <w:trPr>
          <w:wBefore w:w="0" w:type="auto"/>
          <w:tblCellSpacing w:w="0" w:type="dxa"/>
        </w:trPr>
        <w:tc>
          <w:tcPr>
            <w:tcW w:w="0" w:type="auto"/>
            <w:noWrap w:val="0"/>
            <w:vAlign w:val="center"/>
          </w:tcPr>
          <w:p w14:paraId="6E6F7F9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41C5A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CAEBAC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E05E57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A14687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4E81E26">
                  <w:r>
                    <w:rPr>
                      <w:rStyle w:val="11"/>
                      <w:rFonts w:hint="eastAsia"/>
                    </w:rPr>
                    <w:t>施用方式</w:t>
                  </w:r>
                </w:p>
              </w:tc>
            </w:tr>
            <w:tr w14:paraId="582E97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ACB955F">
                  <w:r>
                    <w:rPr>
                      <w:rStyle w:val="11"/>
                      <w:rFonts w:hint="eastAsia"/>
                    </w:rPr>
                    <w:t>卫生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8E352D">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C1CAA8">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8F324D">
                  <w:r>
                    <w:rPr>
                      <w:rStyle w:val="11"/>
                      <w:rFonts w:hint="eastAsia"/>
                    </w:rPr>
                    <w:t>涂抹</w:t>
                  </w:r>
                </w:p>
              </w:tc>
            </w:tr>
          </w:tbl>
          <w:p w14:paraId="12625C8A">
            <w:pPr>
              <w:rPr>
                <w:rFonts w:ascii="Times New Roman" w:hAnsi="Times New Roman" w:cs="Times New Roman"/>
                <w:sz w:val="20"/>
                <w:szCs w:val="20"/>
              </w:rPr>
            </w:pPr>
          </w:p>
        </w:tc>
      </w:tr>
      <w:tr w14:paraId="0CD6AB05">
        <w:tblPrEx>
          <w:tblCellMar>
            <w:top w:w="0" w:type="dxa"/>
            <w:left w:w="0" w:type="dxa"/>
            <w:bottom w:w="0" w:type="dxa"/>
            <w:right w:w="0" w:type="dxa"/>
          </w:tblCellMar>
        </w:tblPrEx>
        <w:trPr>
          <w:wBefore w:w="0" w:type="auto"/>
          <w:tblCellSpacing w:w="0" w:type="dxa"/>
        </w:trPr>
        <w:tc>
          <w:tcPr>
            <w:tcW w:w="0" w:type="auto"/>
            <w:noWrap w:val="0"/>
            <w:vAlign w:val="center"/>
          </w:tcPr>
          <w:p w14:paraId="65134D70">
            <w:r>
              <w:rPr>
                <w:rStyle w:val="10"/>
                <w:rFonts w:hint="eastAsia"/>
              </w:rPr>
              <w:t>使用技术要求:</w:t>
            </w:r>
            <w:r>
              <w:rPr>
                <w:rFonts w:hint="eastAsia"/>
              </w:rPr>
              <w:br w:type="textWrapping"/>
            </w:r>
            <w:r>
              <w:rPr>
                <w:rStyle w:val="11"/>
                <w:rFonts w:hint="eastAsia"/>
              </w:rPr>
              <w:t>均匀喷涂于所需的裸露肌肤部位，形成保护屏障，可避免蚊子叮咬。</w:t>
            </w:r>
          </w:p>
        </w:tc>
      </w:tr>
      <w:tr w14:paraId="71396A27">
        <w:tblPrEx>
          <w:tblCellMar>
            <w:top w:w="0" w:type="dxa"/>
            <w:left w:w="0" w:type="dxa"/>
            <w:bottom w:w="0" w:type="dxa"/>
            <w:right w:w="0" w:type="dxa"/>
          </w:tblCellMar>
        </w:tblPrEx>
        <w:trPr>
          <w:wBefore w:w="0" w:type="auto"/>
          <w:tblCellSpacing w:w="0" w:type="dxa"/>
        </w:trPr>
        <w:tc>
          <w:tcPr>
            <w:tcW w:w="0" w:type="auto"/>
            <w:noWrap w:val="0"/>
            <w:vAlign w:val="center"/>
          </w:tcPr>
          <w:p w14:paraId="00862CB5">
            <w:r>
              <w:rPr>
                <w:rStyle w:val="10"/>
                <w:rFonts w:hint="eastAsia"/>
              </w:rPr>
              <w:t>产品性能:</w:t>
            </w:r>
            <w:r>
              <w:rPr>
                <w:rFonts w:hint="eastAsia"/>
              </w:rPr>
              <w:br w:type="textWrapping"/>
            </w:r>
            <w:r>
              <w:rPr>
                <w:rStyle w:val="11"/>
                <w:rFonts w:hint="eastAsia"/>
              </w:rPr>
              <w:t>采用羟哌酯为有效成分，有效驱避传播登革热的伊蚊，驱蚊长达7小时。</w:t>
            </w:r>
          </w:p>
        </w:tc>
      </w:tr>
      <w:tr w14:paraId="3AE53D2C">
        <w:tblPrEx>
          <w:tblCellMar>
            <w:top w:w="0" w:type="dxa"/>
            <w:left w:w="0" w:type="dxa"/>
            <w:bottom w:w="0" w:type="dxa"/>
            <w:right w:w="0" w:type="dxa"/>
          </w:tblCellMar>
        </w:tblPrEx>
        <w:trPr>
          <w:wBefore w:w="0" w:type="auto"/>
          <w:tblCellSpacing w:w="0" w:type="dxa"/>
        </w:trPr>
        <w:tc>
          <w:tcPr>
            <w:tcW w:w="0" w:type="auto"/>
            <w:noWrap w:val="0"/>
            <w:vAlign w:val="center"/>
          </w:tcPr>
          <w:p w14:paraId="50426AC9">
            <w:r>
              <w:rPr>
                <w:rStyle w:val="10"/>
                <w:rFonts w:hint="eastAsia"/>
              </w:rPr>
              <w:t>注意事项：</w:t>
            </w:r>
            <w:r>
              <w:rPr>
                <w:rFonts w:hint="eastAsia"/>
              </w:rPr>
              <w:br w:type="textWrapping"/>
            </w:r>
            <w:r>
              <w:rPr>
                <w:rStyle w:val="11"/>
                <w:rFonts w:hint="eastAsia"/>
              </w:rPr>
              <w:t>外用品，勿食用；避免用于眼睛、口部及其周围皮肤；有皮炎和皮肤破损者禁用；过敏者禁用；婴儿、孕妇慎用；用后及时洗手；本产品含酒精，应避火使用；使用中有任何不良反应，请携带此包装及时就医。</w:t>
            </w:r>
          </w:p>
        </w:tc>
      </w:tr>
      <w:tr w14:paraId="02115EAE">
        <w:tblPrEx>
          <w:tblCellMar>
            <w:top w:w="0" w:type="dxa"/>
            <w:left w:w="0" w:type="dxa"/>
            <w:bottom w:w="0" w:type="dxa"/>
            <w:right w:w="0" w:type="dxa"/>
          </w:tblCellMar>
        </w:tblPrEx>
        <w:trPr>
          <w:wBefore w:w="0" w:type="auto"/>
          <w:tblCellSpacing w:w="0" w:type="dxa"/>
        </w:trPr>
        <w:tc>
          <w:tcPr>
            <w:tcW w:w="0" w:type="auto"/>
            <w:noWrap w:val="0"/>
            <w:vAlign w:val="center"/>
          </w:tcPr>
          <w:p w14:paraId="3C4CD3C6">
            <w:r>
              <w:rPr>
                <w:rStyle w:val="10"/>
                <w:rFonts w:hint="eastAsia"/>
              </w:rPr>
              <w:t>中毒急救措施：</w:t>
            </w:r>
            <w:r>
              <w:rPr>
                <w:rFonts w:hint="eastAsia"/>
              </w:rPr>
              <w:br w:type="textWrapping"/>
            </w:r>
            <w:r>
              <w:rPr>
                <w:rStyle w:val="11"/>
                <w:rFonts w:hint="eastAsia"/>
              </w:rPr>
              <w:t>若不慎溅入眼睛，请立即用水冲洗；若不慎误食，请大量饮水，请及时携此包装就医。</w:t>
            </w:r>
          </w:p>
        </w:tc>
      </w:tr>
      <w:tr w14:paraId="352EF7BE">
        <w:tblPrEx>
          <w:tblCellMar>
            <w:top w:w="0" w:type="dxa"/>
            <w:left w:w="0" w:type="dxa"/>
            <w:bottom w:w="0" w:type="dxa"/>
            <w:right w:w="0" w:type="dxa"/>
          </w:tblCellMar>
        </w:tblPrEx>
        <w:trPr>
          <w:wBefore w:w="0" w:type="auto"/>
          <w:tblCellSpacing w:w="0" w:type="dxa"/>
        </w:trPr>
        <w:tc>
          <w:tcPr>
            <w:tcW w:w="0" w:type="auto"/>
            <w:noWrap w:val="0"/>
            <w:vAlign w:val="center"/>
          </w:tcPr>
          <w:p w14:paraId="5F6DBC10">
            <w:r>
              <w:rPr>
                <w:rStyle w:val="10"/>
                <w:rFonts w:hint="eastAsia"/>
              </w:rPr>
              <w:t>储存和运输方法：</w:t>
            </w:r>
            <w:r>
              <w:rPr>
                <w:rFonts w:hint="eastAsia"/>
              </w:rPr>
              <w:br w:type="textWrapping"/>
            </w:r>
            <w:r>
              <w:rPr>
                <w:rStyle w:val="11"/>
                <w:rFonts w:hint="eastAsia"/>
              </w:rPr>
              <w:t>本产品含酒精，避开火源储藏于阴凉、干燥的地方；置于儿童接触不到的地方；勿与食品、种子、饲料、饮料及易燃易爆品等混放混运。</w:t>
            </w:r>
          </w:p>
        </w:tc>
      </w:tr>
      <w:tr w14:paraId="3C2B0EA8">
        <w:tblPrEx>
          <w:tblCellMar>
            <w:top w:w="0" w:type="dxa"/>
            <w:left w:w="0" w:type="dxa"/>
            <w:bottom w:w="0" w:type="dxa"/>
            <w:right w:w="0" w:type="dxa"/>
          </w:tblCellMar>
        </w:tblPrEx>
        <w:trPr>
          <w:wBefore w:w="0" w:type="auto"/>
          <w:tblCellSpacing w:w="0" w:type="dxa"/>
        </w:trPr>
        <w:tc>
          <w:tcPr>
            <w:tcW w:w="0" w:type="auto"/>
            <w:noWrap w:val="0"/>
            <w:vAlign w:val="center"/>
          </w:tcPr>
          <w:p w14:paraId="2FC20074">
            <w:r>
              <w:rPr>
                <w:rStyle w:val="10"/>
                <w:rFonts w:hint="eastAsia"/>
              </w:rPr>
              <w:t>质量保证期：</w:t>
            </w:r>
            <w:r>
              <w:rPr>
                <w:rStyle w:val="11"/>
                <w:rFonts w:hint="eastAsia"/>
              </w:rPr>
              <w:t>3年</w:t>
            </w:r>
          </w:p>
        </w:tc>
      </w:tr>
      <w:tr w14:paraId="5652C082">
        <w:tblPrEx>
          <w:tblCellMar>
            <w:top w:w="0" w:type="dxa"/>
            <w:left w:w="0" w:type="dxa"/>
            <w:bottom w:w="0" w:type="dxa"/>
            <w:right w:w="0" w:type="dxa"/>
          </w:tblCellMar>
        </w:tblPrEx>
        <w:trPr>
          <w:wBefore w:w="0" w:type="auto"/>
          <w:tblCellSpacing w:w="0" w:type="dxa"/>
        </w:trPr>
        <w:tc>
          <w:tcPr>
            <w:tcW w:w="0" w:type="auto"/>
            <w:noWrap w:val="0"/>
            <w:vAlign w:val="center"/>
          </w:tcPr>
          <w:p w14:paraId="686232C0">
            <w:r>
              <w:rPr>
                <w:rStyle w:val="10"/>
                <w:rFonts w:hint="eastAsia"/>
              </w:rPr>
              <w:t>备注：</w:t>
            </w:r>
          </w:p>
        </w:tc>
      </w:tr>
    </w:tbl>
    <w:p w14:paraId="5C06E73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B95C29A">
        <w:tblPrEx>
          <w:tblCellMar>
            <w:top w:w="0" w:type="dxa"/>
            <w:left w:w="0" w:type="dxa"/>
            <w:bottom w:w="0" w:type="dxa"/>
            <w:right w:w="0" w:type="dxa"/>
          </w:tblCellMar>
        </w:tblPrEx>
        <w:trPr>
          <w:wBefore w:w="0" w:type="auto"/>
          <w:tblCellSpacing w:w="0" w:type="dxa"/>
        </w:trPr>
        <w:tc>
          <w:tcPr>
            <w:tcW w:w="0" w:type="auto"/>
            <w:noWrap w:val="0"/>
            <w:vAlign w:val="center"/>
          </w:tcPr>
          <w:p w14:paraId="4D4D1D77">
            <w:r>
              <w:rPr>
                <w:rStyle w:val="10"/>
                <w:rFonts w:hint="eastAsia"/>
              </w:rPr>
              <w:t>登记证号：</w:t>
            </w:r>
            <w:r>
              <w:rPr>
                <w:rFonts w:hint="eastAsia"/>
              </w:rPr>
              <w:t>PD20212146</w:t>
            </w:r>
          </w:p>
        </w:tc>
      </w:tr>
      <w:tr w14:paraId="7303D5A9">
        <w:tblPrEx>
          <w:tblCellMar>
            <w:top w:w="0" w:type="dxa"/>
            <w:left w:w="0" w:type="dxa"/>
            <w:bottom w:w="0" w:type="dxa"/>
            <w:right w:w="0" w:type="dxa"/>
          </w:tblCellMar>
        </w:tblPrEx>
        <w:trPr>
          <w:wBefore w:w="0" w:type="auto"/>
          <w:tblCellSpacing w:w="0" w:type="dxa"/>
        </w:trPr>
        <w:tc>
          <w:tcPr>
            <w:tcW w:w="0" w:type="auto"/>
            <w:noWrap w:val="0"/>
            <w:vAlign w:val="center"/>
          </w:tcPr>
          <w:p w14:paraId="2AFC70C6">
            <w:r>
              <w:rPr>
                <w:rStyle w:val="10"/>
                <w:rFonts w:hint="eastAsia"/>
              </w:rPr>
              <w:t>登记证持有人：</w:t>
            </w:r>
            <w:r>
              <w:rPr>
                <w:rFonts w:hint="eastAsia"/>
              </w:rPr>
              <w:t>吉林金秋农药有限公司</w:t>
            </w:r>
          </w:p>
        </w:tc>
      </w:tr>
      <w:tr w14:paraId="5ED1D0D2">
        <w:tblPrEx>
          <w:tblCellMar>
            <w:top w:w="0" w:type="dxa"/>
            <w:left w:w="0" w:type="dxa"/>
            <w:bottom w:w="0" w:type="dxa"/>
            <w:right w:w="0" w:type="dxa"/>
          </w:tblCellMar>
        </w:tblPrEx>
        <w:trPr>
          <w:wBefore w:w="0" w:type="auto"/>
          <w:tblCellSpacing w:w="0" w:type="dxa"/>
        </w:trPr>
        <w:tc>
          <w:tcPr>
            <w:tcW w:w="0" w:type="auto"/>
            <w:noWrap w:val="0"/>
            <w:vAlign w:val="center"/>
          </w:tcPr>
          <w:p w14:paraId="3D32E43D">
            <w:r>
              <w:rPr>
                <w:rStyle w:val="10"/>
                <w:rFonts w:hint="eastAsia"/>
              </w:rPr>
              <w:t>农药名称：</w:t>
            </w:r>
            <w:r>
              <w:rPr>
                <w:rFonts w:hint="eastAsia"/>
              </w:rPr>
              <w:t>硝·烟·莠去津</w:t>
            </w:r>
          </w:p>
        </w:tc>
      </w:tr>
      <w:tr w14:paraId="126D2BA2">
        <w:tblPrEx>
          <w:tblCellMar>
            <w:top w:w="0" w:type="dxa"/>
            <w:left w:w="0" w:type="dxa"/>
            <w:bottom w:w="0" w:type="dxa"/>
            <w:right w:w="0" w:type="dxa"/>
          </w:tblCellMar>
        </w:tblPrEx>
        <w:trPr>
          <w:wBefore w:w="0" w:type="auto"/>
          <w:tblCellSpacing w:w="0" w:type="dxa"/>
        </w:trPr>
        <w:tc>
          <w:tcPr>
            <w:tcW w:w="0" w:type="auto"/>
            <w:noWrap w:val="0"/>
            <w:vAlign w:val="center"/>
          </w:tcPr>
          <w:p w14:paraId="45347CC1">
            <w:r>
              <w:rPr>
                <w:rStyle w:val="10"/>
                <w:rFonts w:hint="eastAsia"/>
              </w:rPr>
              <w:t>剂型：</w:t>
            </w:r>
            <w:r>
              <w:rPr>
                <w:rFonts w:hint="eastAsia"/>
              </w:rPr>
              <w:t>可分散油悬浮剂</w:t>
            </w:r>
          </w:p>
        </w:tc>
      </w:tr>
      <w:tr w14:paraId="238908DB">
        <w:tblPrEx>
          <w:tblCellMar>
            <w:top w:w="0" w:type="dxa"/>
            <w:left w:w="0" w:type="dxa"/>
            <w:bottom w:w="0" w:type="dxa"/>
            <w:right w:w="0" w:type="dxa"/>
          </w:tblCellMar>
        </w:tblPrEx>
        <w:trPr>
          <w:wBefore w:w="0" w:type="auto"/>
          <w:tblCellSpacing w:w="0" w:type="dxa"/>
        </w:trPr>
        <w:tc>
          <w:tcPr>
            <w:tcW w:w="0" w:type="auto"/>
            <w:noWrap w:val="0"/>
            <w:vAlign w:val="center"/>
          </w:tcPr>
          <w:p w14:paraId="47F7248E">
            <w:r>
              <w:rPr>
                <w:rStyle w:val="10"/>
                <w:rFonts w:hint="eastAsia"/>
              </w:rPr>
              <w:t>毒性及其标识：</w:t>
            </w:r>
            <w:r>
              <w:rPr>
                <w:rFonts w:hint="eastAsia"/>
              </w:rPr>
              <w:t xml:space="preserve"> </w:t>
            </w:r>
            <w:r>
              <w:rPr>
                <w:lang/>
              </w:rPr>
              <w:drawing>
                <wp:inline distT="0" distB="0" distL="114300" distR="114300">
                  <wp:extent cx="476250" cy="323850"/>
                  <wp:effectExtent l="0" t="0" r="0" b="0"/>
                  <wp:docPr id="4" name="图片 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A3D892D">
        <w:tblPrEx>
          <w:tblCellMar>
            <w:top w:w="0" w:type="dxa"/>
            <w:left w:w="0" w:type="dxa"/>
            <w:bottom w:w="0" w:type="dxa"/>
            <w:right w:w="0" w:type="dxa"/>
          </w:tblCellMar>
        </w:tblPrEx>
        <w:trPr>
          <w:wBefore w:w="0" w:type="auto"/>
          <w:tblCellSpacing w:w="0" w:type="dxa"/>
        </w:trPr>
        <w:tc>
          <w:tcPr>
            <w:tcW w:w="0" w:type="auto"/>
            <w:noWrap w:val="0"/>
            <w:vAlign w:val="center"/>
          </w:tcPr>
          <w:p w14:paraId="621AF8AD">
            <w:r>
              <w:rPr>
                <w:rStyle w:val="10"/>
                <w:rFonts w:hint="eastAsia"/>
              </w:rPr>
              <w:t>总有效成分含量：</w:t>
            </w:r>
            <w:r>
              <w:rPr>
                <w:rFonts w:hint="eastAsia"/>
              </w:rPr>
              <w:t>36%</w:t>
            </w:r>
          </w:p>
        </w:tc>
      </w:tr>
      <w:tr w14:paraId="04A2CE03">
        <w:tblPrEx>
          <w:tblCellMar>
            <w:top w:w="0" w:type="dxa"/>
            <w:left w:w="0" w:type="dxa"/>
            <w:bottom w:w="0" w:type="dxa"/>
            <w:right w:w="0" w:type="dxa"/>
          </w:tblCellMar>
        </w:tblPrEx>
        <w:trPr>
          <w:wBefore w:w="0" w:type="auto"/>
          <w:tblCellSpacing w:w="0" w:type="dxa"/>
        </w:trPr>
        <w:tc>
          <w:tcPr>
            <w:tcW w:w="0" w:type="auto"/>
            <w:noWrap w:val="0"/>
            <w:vAlign w:val="center"/>
          </w:tcPr>
          <w:p w14:paraId="11141CBF">
            <w:r>
              <w:rPr>
                <w:rFonts w:hint="eastAsia"/>
              </w:rPr>
              <w:t xml:space="preserve">有效成分及其含量： </w:t>
            </w:r>
          </w:p>
          <w:p w14:paraId="4EA9110E">
            <w:r>
              <w:rPr>
                <w:rFonts w:hint="eastAsia"/>
              </w:rPr>
              <w:t xml:space="preserve">    烟嘧磺隆4%    莠去津26%    硝磺草酮6%    </w:t>
            </w:r>
          </w:p>
        </w:tc>
      </w:tr>
      <w:tr w14:paraId="6613EB3A">
        <w:tblPrEx>
          <w:tblCellMar>
            <w:top w:w="0" w:type="dxa"/>
            <w:left w:w="0" w:type="dxa"/>
            <w:bottom w:w="0" w:type="dxa"/>
            <w:right w:w="0" w:type="dxa"/>
          </w:tblCellMar>
        </w:tblPrEx>
        <w:trPr>
          <w:wBefore w:w="0" w:type="auto"/>
          <w:tblCellSpacing w:w="0" w:type="dxa"/>
        </w:trPr>
        <w:tc>
          <w:tcPr>
            <w:tcW w:w="0" w:type="auto"/>
            <w:noWrap w:val="0"/>
            <w:vAlign w:val="center"/>
          </w:tcPr>
          <w:p w14:paraId="76061A3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49145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6326AE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DD931C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1C735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2DE4D17">
                  <w:r>
                    <w:rPr>
                      <w:rStyle w:val="11"/>
                      <w:rFonts w:hint="eastAsia"/>
                    </w:rPr>
                    <w:t>施用方式</w:t>
                  </w:r>
                </w:p>
              </w:tc>
            </w:tr>
            <w:tr w14:paraId="07B3F1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B0F6CA">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4EF3AF">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B89837">
                  <w:r>
                    <w:rPr>
                      <w:rStyle w:val="11"/>
                      <w:rFonts w:hint="eastAsia"/>
                    </w:rPr>
                    <w:t>70-100毫升/亩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512DDD">
                  <w:r>
                    <w:rPr>
                      <w:rStyle w:val="11"/>
                      <w:rFonts w:hint="eastAsia"/>
                    </w:rPr>
                    <w:t>茎叶喷雾</w:t>
                  </w:r>
                </w:p>
              </w:tc>
            </w:tr>
          </w:tbl>
          <w:p w14:paraId="1F6B3348">
            <w:pPr>
              <w:rPr>
                <w:rFonts w:ascii="Times New Roman" w:hAnsi="Times New Roman" w:cs="Times New Roman"/>
                <w:sz w:val="20"/>
                <w:szCs w:val="20"/>
              </w:rPr>
            </w:pPr>
          </w:p>
        </w:tc>
      </w:tr>
      <w:tr w14:paraId="0F704F92">
        <w:tblPrEx>
          <w:tblCellMar>
            <w:top w:w="0" w:type="dxa"/>
            <w:left w:w="0" w:type="dxa"/>
            <w:bottom w:w="0" w:type="dxa"/>
            <w:right w:w="0" w:type="dxa"/>
          </w:tblCellMar>
        </w:tblPrEx>
        <w:trPr>
          <w:wBefore w:w="0" w:type="auto"/>
          <w:tblCellSpacing w:w="0" w:type="dxa"/>
        </w:trPr>
        <w:tc>
          <w:tcPr>
            <w:tcW w:w="0" w:type="auto"/>
            <w:noWrap w:val="0"/>
            <w:vAlign w:val="center"/>
          </w:tcPr>
          <w:p w14:paraId="0B42F7B5">
            <w:r>
              <w:rPr>
                <w:rStyle w:val="10"/>
                <w:rFonts w:hint="eastAsia"/>
              </w:rPr>
              <w:t>使用技术要求:</w:t>
            </w:r>
            <w:r>
              <w:rPr>
                <w:rFonts w:hint="eastAsia"/>
              </w:rPr>
              <w:br w:type="textWrapping"/>
            </w:r>
            <w:r>
              <w:rPr>
                <w:rStyle w:val="11"/>
                <w:rFonts w:hint="eastAsia"/>
              </w:rPr>
              <w:t>1.在春玉米苗后3-5叶期，杂草2-5叶期，以推荐剂量每亩兑水40升左右均匀茎叶喷雾施药一次。2.尽量选择无风的天气施药，大风天或预计1小时内降雨请勿施药。3.合理安排后茬作物，保证安全间隔期。4.每季使用1次。</w:t>
            </w:r>
          </w:p>
        </w:tc>
      </w:tr>
      <w:tr w14:paraId="50E4E9A2">
        <w:tblPrEx>
          <w:tblCellMar>
            <w:top w:w="0" w:type="dxa"/>
            <w:left w:w="0" w:type="dxa"/>
            <w:bottom w:w="0" w:type="dxa"/>
            <w:right w:w="0" w:type="dxa"/>
          </w:tblCellMar>
        </w:tblPrEx>
        <w:trPr>
          <w:wBefore w:w="0" w:type="auto"/>
          <w:tblCellSpacing w:w="0" w:type="dxa"/>
        </w:trPr>
        <w:tc>
          <w:tcPr>
            <w:tcW w:w="0" w:type="auto"/>
            <w:noWrap w:val="0"/>
            <w:vAlign w:val="center"/>
          </w:tcPr>
          <w:p w14:paraId="785C01DE">
            <w:r>
              <w:rPr>
                <w:rStyle w:val="10"/>
                <w:rFonts w:hint="eastAsia"/>
              </w:rPr>
              <w:t>产品性能:</w:t>
            </w:r>
            <w:r>
              <w:rPr>
                <w:rFonts w:hint="eastAsia"/>
              </w:rPr>
              <w:br w:type="textWrapping"/>
            </w:r>
            <w:r>
              <w:rPr>
                <w:rStyle w:val="11"/>
                <w:rFonts w:hint="eastAsia"/>
              </w:rPr>
              <w:t>本品为春玉米田专用苗后茎叶除草剂，能有效防除春玉米田一年生禾本科和阔叶杂草。</w:t>
            </w:r>
          </w:p>
        </w:tc>
      </w:tr>
      <w:tr w14:paraId="5BD4A63D">
        <w:tblPrEx>
          <w:tblCellMar>
            <w:top w:w="0" w:type="dxa"/>
            <w:left w:w="0" w:type="dxa"/>
            <w:bottom w:w="0" w:type="dxa"/>
            <w:right w:w="0" w:type="dxa"/>
          </w:tblCellMar>
        </w:tblPrEx>
        <w:trPr>
          <w:wBefore w:w="0" w:type="auto"/>
          <w:tblCellSpacing w:w="0" w:type="dxa"/>
        </w:trPr>
        <w:tc>
          <w:tcPr>
            <w:tcW w:w="0" w:type="auto"/>
            <w:noWrap w:val="0"/>
            <w:vAlign w:val="center"/>
          </w:tcPr>
          <w:p w14:paraId="210A1FA8">
            <w:r>
              <w:rPr>
                <w:rStyle w:val="10"/>
                <w:rFonts w:hint="eastAsia"/>
              </w:rPr>
              <w:t>注意事项：</w:t>
            </w:r>
            <w:r>
              <w:rPr>
                <w:rFonts w:hint="eastAsia"/>
              </w:rPr>
              <w:br w:type="textWrapping"/>
            </w:r>
            <w:r>
              <w:rPr>
                <w:rStyle w:val="11"/>
                <w:rFonts w:hint="eastAsia"/>
              </w:rPr>
              <w:t>1.使用前，请详细阅读本标签并按推荐方法和剂量使用。 2.本剂不能与有机磷类农药混用，如使用有机磷类农药，间隔期必须在7天以上。 3.施药后，玉米个别品种或个别叶片出现白化条纹，属于正常药性反应，对玉米生长无不良影响。 4.本剂如在玉米5叶期以后用药，应压低喷头顺垄喷雾，防止药液喷洒在小喇叭口内。 5.本剂不能用弥雾机施药，以免产生药害。 6.甜玉米、粘玉米、爆裂玉米、自交系及制种田不宜使用，个别玉米新品种对烟嘧磺隆敏感，使用时应注意对玉米的安全性。 7.用药前要充分摇匀，喷药不要漏喷、重喷。药液量过少喷不均匀或过多落入地面都影响药效。 8.异常的高温高湿天气不宜用药。 9.因本品含莠去津，对豆类、水稻、瓜类、杨树、桃树等敏感，防止药液飘移。 10.禁止在蚕室和桑园附近使用。远离水产养殖区、河塘等水域施药；禁止在河塘等水体中清洗施药器具。地下水、饮用水源地附近禁用。 11.使用本品时应穿戴防护服、护目镜和手套，避免吸入药液；施药期间不可吃东西和饮水，施药后应及时洗手和洗脸。 12.用过的容器应妥善处理，不可做他用，也不可随意丢弃。13.孕妇及哺乳期妇女应避免接触。</w:t>
            </w:r>
          </w:p>
        </w:tc>
      </w:tr>
      <w:tr w14:paraId="4CB411C5">
        <w:tblPrEx>
          <w:tblCellMar>
            <w:top w:w="0" w:type="dxa"/>
            <w:left w:w="0" w:type="dxa"/>
            <w:bottom w:w="0" w:type="dxa"/>
            <w:right w:w="0" w:type="dxa"/>
          </w:tblCellMar>
        </w:tblPrEx>
        <w:trPr>
          <w:wBefore w:w="0" w:type="auto"/>
          <w:tblCellSpacing w:w="0" w:type="dxa"/>
        </w:trPr>
        <w:tc>
          <w:tcPr>
            <w:tcW w:w="0" w:type="auto"/>
            <w:noWrap w:val="0"/>
            <w:vAlign w:val="center"/>
          </w:tcPr>
          <w:p w14:paraId="7EDC9CF4">
            <w:r>
              <w:rPr>
                <w:rStyle w:val="10"/>
                <w:rFonts w:hint="eastAsia"/>
              </w:rPr>
              <w:t>中毒急救措施：</w:t>
            </w:r>
            <w:r>
              <w:rPr>
                <w:rFonts w:hint="eastAsia"/>
              </w:rPr>
              <w:br w:type="textWrapping"/>
            </w:r>
            <w:r>
              <w:rPr>
                <w:rStyle w:val="11"/>
                <w:rFonts w:hint="eastAsia"/>
              </w:rPr>
              <w:t>本品对皮肤、眼睛有刺激性，使用时应避免药液接触眼睛、皮肤，黏膜和伤口等。 1.中毒症状：对眼、皮肤及呼吸道有刺激作用，一般不会产生全身中毒。 2.皮肤接触：立即脱掉被污染的衣物，用肥皂和大量清水彻底清洗受污染的皮肤。 3.眼睛溅药：立即将眼睑翻开，用清水冲洗至少10-15分钟，再请医生诊治。 4.不慎吸入：立即将吸入者转移到空气新鲜处，请医生诊治。 5.如误服，应立即携带此标签去医院诊治。无解毒剂，对症治疗。</w:t>
            </w:r>
          </w:p>
        </w:tc>
      </w:tr>
      <w:tr w14:paraId="48512866">
        <w:tblPrEx>
          <w:tblCellMar>
            <w:top w:w="0" w:type="dxa"/>
            <w:left w:w="0" w:type="dxa"/>
            <w:bottom w:w="0" w:type="dxa"/>
            <w:right w:w="0" w:type="dxa"/>
          </w:tblCellMar>
        </w:tblPrEx>
        <w:trPr>
          <w:wBefore w:w="0" w:type="auto"/>
          <w:tblCellSpacing w:w="0" w:type="dxa"/>
        </w:trPr>
        <w:tc>
          <w:tcPr>
            <w:tcW w:w="0" w:type="auto"/>
            <w:noWrap w:val="0"/>
            <w:vAlign w:val="center"/>
          </w:tcPr>
          <w:p w14:paraId="1E0DEC7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本品应贮存在干燥、阴凉、通风、防雨处，远离火源或热源；置于儿童、无关人员触及不到之处，并加锁。不能与食品、饮料、粮食、饲料等同贮同运。</w:t>
            </w:r>
          </w:p>
        </w:tc>
      </w:tr>
      <w:tr w14:paraId="4E01DD40">
        <w:tblPrEx>
          <w:tblCellMar>
            <w:top w:w="0" w:type="dxa"/>
            <w:left w:w="0" w:type="dxa"/>
            <w:bottom w:w="0" w:type="dxa"/>
            <w:right w:w="0" w:type="dxa"/>
          </w:tblCellMar>
        </w:tblPrEx>
        <w:trPr>
          <w:wBefore w:w="0" w:type="auto"/>
          <w:tblCellSpacing w:w="0" w:type="dxa"/>
        </w:trPr>
        <w:tc>
          <w:tcPr>
            <w:tcW w:w="0" w:type="auto"/>
            <w:noWrap w:val="0"/>
            <w:vAlign w:val="center"/>
          </w:tcPr>
          <w:p w14:paraId="3D93615E">
            <w:r>
              <w:rPr>
                <w:rStyle w:val="10"/>
                <w:rFonts w:hint="eastAsia"/>
              </w:rPr>
              <w:t>质量保证期：</w:t>
            </w:r>
            <w:r>
              <w:rPr>
                <w:rStyle w:val="11"/>
                <w:rFonts w:hint="eastAsia"/>
              </w:rPr>
              <w:t>2年</w:t>
            </w:r>
          </w:p>
        </w:tc>
      </w:tr>
      <w:tr w14:paraId="287BE9F4">
        <w:tblPrEx>
          <w:tblCellMar>
            <w:top w:w="0" w:type="dxa"/>
            <w:left w:w="0" w:type="dxa"/>
            <w:bottom w:w="0" w:type="dxa"/>
            <w:right w:w="0" w:type="dxa"/>
          </w:tblCellMar>
        </w:tblPrEx>
        <w:trPr>
          <w:wBefore w:w="0" w:type="auto"/>
          <w:tblCellSpacing w:w="0" w:type="dxa"/>
        </w:trPr>
        <w:tc>
          <w:tcPr>
            <w:tcW w:w="0" w:type="auto"/>
            <w:noWrap w:val="0"/>
            <w:vAlign w:val="center"/>
          </w:tcPr>
          <w:p w14:paraId="192EF244">
            <w:r>
              <w:rPr>
                <w:rStyle w:val="10"/>
                <w:rFonts w:hint="eastAsia"/>
              </w:rPr>
              <w:t>备注：</w:t>
            </w:r>
          </w:p>
        </w:tc>
      </w:tr>
    </w:tbl>
    <w:p w14:paraId="7EABDE0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E7016DC">
        <w:tblPrEx>
          <w:tblCellMar>
            <w:top w:w="0" w:type="dxa"/>
            <w:left w:w="0" w:type="dxa"/>
            <w:bottom w:w="0" w:type="dxa"/>
            <w:right w:w="0" w:type="dxa"/>
          </w:tblCellMar>
        </w:tblPrEx>
        <w:trPr>
          <w:wBefore w:w="0" w:type="auto"/>
          <w:tblCellSpacing w:w="0" w:type="dxa"/>
        </w:trPr>
        <w:tc>
          <w:tcPr>
            <w:tcW w:w="0" w:type="auto"/>
            <w:noWrap w:val="0"/>
            <w:vAlign w:val="center"/>
          </w:tcPr>
          <w:p w14:paraId="550973A9">
            <w:r>
              <w:rPr>
                <w:rStyle w:val="10"/>
                <w:rFonts w:hint="eastAsia"/>
              </w:rPr>
              <w:t>登记证号：</w:t>
            </w:r>
            <w:r>
              <w:rPr>
                <w:rFonts w:hint="eastAsia"/>
              </w:rPr>
              <w:t>PD20212059</w:t>
            </w:r>
          </w:p>
        </w:tc>
      </w:tr>
      <w:tr w14:paraId="4087C1C6">
        <w:tblPrEx>
          <w:tblCellMar>
            <w:top w:w="0" w:type="dxa"/>
            <w:left w:w="0" w:type="dxa"/>
            <w:bottom w:w="0" w:type="dxa"/>
            <w:right w:w="0" w:type="dxa"/>
          </w:tblCellMar>
        </w:tblPrEx>
        <w:trPr>
          <w:wBefore w:w="0" w:type="auto"/>
          <w:tblCellSpacing w:w="0" w:type="dxa"/>
        </w:trPr>
        <w:tc>
          <w:tcPr>
            <w:tcW w:w="0" w:type="auto"/>
            <w:noWrap w:val="0"/>
            <w:vAlign w:val="center"/>
          </w:tcPr>
          <w:p w14:paraId="508D6067">
            <w:r>
              <w:rPr>
                <w:rStyle w:val="10"/>
                <w:rFonts w:hint="eastAsia"/>
              </w:rPr>
              <w:t>登记证持有人：</w:t>
            </w:r>
            <w:r>
              <w:rPr>
                <w:rFonts w:hint="eastAsia"/>
              </w:rPr>
              <w:t>山东奥坤作物科学股份有限公司</w:t>
            </w:r>
          </w:p>
        </w:tc>
      </w:tr>
      <w:tr w14:paraId="11C97A84">
        <w:tblPrEx>
          <w:tblCellMar>
            <w:top w:w="0" w:type="dxa"/>
            <w:left w:w="0" w:type="dxa"/>
            <w:bottom w:w="0" w:type="dxa"/>
            <w:right w:w="0" w:type="dxa"/>
          </w:tblCellMar>
        </w:tblPrEx>
        <w:trPr>
          <w:wBefore w:w="0" w:type="auto"/>
          <w:tblCellSpacing w:w="0" w:type="dxa"/>
        </w:trPr>
        <w:tc>
          <w:tcPr>
            <w:tcW w:w="0" w:type="auto"/>
            <w:noWrap w:val="0"/>
            <w:vAlign w:val="center"/>
          </w:tcPr>
          <w:p w14:paraId="4C780622">
            <w:r>
              <w:rPr>
                <w:rStyle w:val="10"/>
                <w:rFonts w:hint="eastAsia"/>
              </w:rPr>
              <w:t>农药名称：</w:t>
            </w:r>
            <w:r>
              <w:rPr>
                <w:rFonts w:hint="eastAsia"/>
              </w:rPr>
              <w:t>24-表芸·嘌呤</w:t>
            </w:r>
          </w:p>
        </w:tc>
      </w:tr>
      <w:tr w14:paraId="2ED53508">
        <w:tblPrEx>
          <w:tblCellMar>
            <w:top w:w="0" w:type="dxa"/>
            <w:left w:w="0" w:type="dxa"/>
            <w:bottom w:w="0" w:type="dxa"/>
            <w:right w:w="0" w:type="dxa"/>
          </w:tblCellMar>
        </w:tblPrEx>
        <w:trPr>
          <w:wBefore w:w="0" w:type="auto"/>
          <w:tblCellSpacing w:w="0" w:type="dxa"/>
        </w:trPr>
        <w:tc>
          <w:tcPr>
            <w:tcW w:w="0" w:type="auto"/>
            <w:noWrap w:val="0"/>
            <w:vAlign w:val="center"/>
          </w:tcPr>
          <w:p w14:paraId="71E5039E">
            <w:r>
              <w:rPr>
                <w:rStyle w:val="10"/>
                <w:rFonts w:hint="eastAsia"/>
              </w:rPr>
              <w:t>剂型：</w:t>
            </w:r>
            <w:r>
              <w:rPr>
                <w:rFonts w:hint="eastAsia"/>
              </w:rPr>
              <w:t>水分散粒剂</w:t>
            </w:r>
          </w:p>
        </w:tc>
      </w:tr>
      <w:tr w14:paraId="0CDE77FE">
        <w:tblPrEx>
          <w:tblCellMar>
            <w:top w:w="0" w:type="dxa"/>
            <w:left w:w="0" w:type="dxa"/>
            <w:bottom w:w="0" w:type="dxa"/>
            <w:right w:w="0" w:type="dxa"/>
          </w:tblCellMar>
        </w:tblPrEx>
        <w:trPr>
          <w:wBefore w:w="0" w:type="auto"/>
          <w:tblCellSpacing w:w="0" w:type="dxa"/>
        </w:trPr>
        <w:tc>
          <w:tcPr>
            <w:tcW w:w="0" w:type="auto"/>
            <w:noWrap w:val="0"/>
            <w:vAlign w:val="center"/>
          </w:tcPr>
          <w:p w14:paraId="1793B204">
            <w:r>
              <w:rPr>
                <w:rStyle w:val="10"/>
                <w:rFonts w:hint="eastAsia"/>
              </w:rPr>
              <w:t>毒性及其标识：</w:t>
            </w:r>
            <w:r>
              <w:rPr>
                <w:rFonts w:hint="eastAsia"/>
              </w:rPr>
              <w:t xml:space="preserve"> </w:t>
            </w:r>
            <w:r>
              <w:rPr>
                <w:lang/>
              </w:rPr>
              <w:drawing>
                <wp:inline distT="0" distB="0" distL="114300" distR="114300">
                  <wp:extent cx="476250" cy="323850"/>
                  <wp:effectExtent l="0" t="0" r="0" b="0"/>
                  <wp:docPr id="5" name="图片 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C049450">
        <w:tblPrEx>
          <w:tblCellMar>
            <w:top w:w="0" w:type="dxa"/>
            <w:left w:w="0" w:type="dxa"/>
            <w:bottom w:w="0" w:type="dxa"/>
            <w:right w:w="0" w:type="dxa"/>
          </w:tblCellMar>
        </w:tblPrEx>
        <w:trPr>
          <w:wBefore w:w="0" w:type="auto"/>
          <w:tblCellSpacing w:w="0" w:type="dxa"/>
        </w:trPr>
        <w:tc>
          <w:tcPr>
            <w:tcW w:w="0" w:type="auto"/>
            <w:noWrap w:val="0"/>
            <w:vAlign w:val="center"/>
          </w:tcPr>
          <w:p w14:paraId="541CC302">
            <w:r>
              <w:rPr>
                <w:rStyle w:val="10"/>
                <w:rFonts w:hint="eastAsia"/>
              </w:rPr>
              <w:t>总有效成分含量：</w:t>
            </w:r>
            <w:r>
              <w:rPr>
                <w:rFonts w:hint="eastAsia"/>
              </w:rPr>
              <w:t>2%</w:t>
            </w:r>
          </w:p>
        </w:tc>
      </w:tr>
      <w:tr w14:paraId="5FC71216">
        <w:tblPrEx>
          <w:tblCellMar>
            <w:top w:w="0" w:type="dxa"/>
            <w:left w:w="0" w:type="dxa"/>
            <w:bottom w:w="0" w:type="dxa"/>
            <w:right w:w="0" w:type="dxa"/>
          </w:tblCellMar>
        </w:tblPrEx>
        <w:trPr>
          <w:wBefore w:w="0" w:type="auto"/>
          <w:tblCellSpacing w:w="0" w:type="dxa"/>
        </w:trPr>
        <w:tc>
          <w:tcPr>
            <w:tcW w:w="0" w:type="auto"/>
            <w:noWrap w:val="0"/>
            <w:vAlign w:val="center"/>
          </w:tcPr>
          <w:p w14:paraId="1AC8301D">
            <w:r>
              <w:rPr>
                <w:rFonts w:hint="eastAsia"/>
              </w:rPr>
              <w:t xml:space="preserve">有效成分及其含量： </w:t>
            </w:r>
          </w:p>
          <w:p w14:paraId="590489A2">
            <w:r>
              <w:rPr>
                <w:rFonts w:hint="eastAsia"/>
              </w:rPr>
              <w:t xml:space="preserve">    24-表芸苔素内酯0.01%    苄氨基嘌呤1.99%    </w:t>
            </w:r>
          </w:p>
        </w:tc>
      </w:tr>
      <w:tr w14:paraId="514E5A29">
        <w:tblPrEx>
          <w:tblCellMar>
            <w:top w:w="0" w:type="dxa"/>
            <w:left w:w="0" w:type="dxa"/>
            <w:bottom w:w="0" w:type="dxa"/>
            <w:right w:w="0" w:type="dxa"/>
          </w:tblCellMar>
        </w:tblPrEx>
        <w:trPr>
          <w:wBefore w:w="0" w:type="auto"/>
          <w:tblCellSpacing w:w="0" w:type="dxa"/>
        </w:trPr>
        <w:tc>
          <w:tcPr>
            <w:tcW w:w="0" w:type="auto"/>
            <w:noWrap w:val="0"/>
            <w:vAlign w:val="center"/>
          </w:tcPr>
          <w:p w14:paraId="2677C11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DA92B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BD99DE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FC1E6A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C71374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5CDF1AE">
                  <w:r>
                    <w:rPr>
                      <w:rStyle w:val="11"/>
                      <w:rFonts w:hint="eastAsia"/>
                    </w:rPr>
                    <w:t>施用方式</w:t>
                  </w:r>
                </w:p>
              </w:tc>
            </w:tr>
            <w:tr w14:paraId="32B52E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C08902E">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AF368F">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FB912B">
                  <w:r>
                    <w:rPr>
                      <w:rStyle w:val="11"/>
                      <w:rFonts w:hint="eastAsia"/>
                    </w:rPr>
                    <w:t>5500-6500倍</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5C6079">
                  <w:r>
                    <w:rPr>
                      <w:rStyle w:val="11"/>
                      <w:rFonts w:hint="eastAsia"/>
                    </w:rPr>
                    <w:t>喷雾</w:t>
                  </w:r>
                </w:p>
              </w:tc>
            </w:tr>
          </w:tbl>
          <w:p w14:paraId="1CF638FF">
            <w:pPr>
              <w:rPr>
                <w:rFonts w:ascii="Times New Roman" w:hAnsi="Times New Roman" w:cs="Times New Roman"/>
                <w:sz w:val="20"/>
                <w:szCs w:val="20"/>
              </w:rPr>
            </w:pPr>
          </w:p>
        </w:tc>
      </w:tr>
      <w:tr w14:paraId="38F9D994">
        <w:tblPrEx>
          <w:tblCellMar>
            <w:top w:w="0" w:type="dxa"/>
            <w:left w:w="0" w:type="dxa"/>
            <w:bottom w:w="0" w:type="dxa"/>
            <w:right w:w="0" w:type="dxa"/>
          </w:tblCellMar>
        </w:tblPrEx>
        <w:trPr>
          <w:wBefore w:w="0" w:type="auto"/>
          <w:tblCellSpacing w:w="0" w:type="dxa"/>
        </w:trPr>
        <w:tc>
          <w:tcPr>
            <w:tcW w:w="0" w:type="auto"/>
            <w:noWrap w:val="0"/>
            <w:vAlign w:val="center"/>
          </w:tcPr>
          <w:p w14:paraId="5C87FB13">
            <w:r>
              <w:rPr>
                <w:rStyle w:val="10"/>
                <w:rFonts w:hint="eastAsia"/>
              </w:rPr>
              <w:t>使用技术要求:</w:t>
            </w:r>
            <w:r>
              <w:rPr>
                <w:rFonts w:hint="eastAsia"/>
              </w:rPr>
              <w:br w:type="textWrapping"/>
            </w:r>
            <w:r>
              <w:rPr>
                <w:rStyle w:val="11"/>
                <w:rFonts w:hint="eastAsia"/>
              </w:rPr>
              <w:t>1．本品应于苹果树花期、幼果期及果实膨大期各施药一次，使用时注意喷雾均匀、周到。2．大风天或下雨前后，请勿施药。</w:t>
            </w:r>
          </w:p>
        </w:tc>
      </w:tr>
      <w:tr w14:paraId="32ECB699">
        <w:tblPrEx>
          <w:tblCellMar>
            <w:top w:w="0" w:type="dxa"/>
            <w:left w:w="0" w:type="dxa"/>
            <w:bottom w:w="0" w:type="dxa"/>
            <w:right w:w="0" w:type="dxa"/>
          </w:tblCellMar>
        </w:tblPrEx>
        <w:trPr>
          <w:wBefore w:w="0" w:type="auto"/>
          <w:tblCellSpacing w:w="0" w:type="dxa"/>
        </w:trPr>
        <w:tc>
          <w:tcPr>
            <w:tcW w:w="0" w:type="auto"/>
            <w:noWrap w:val="0"/>
            <w:vAlign w:val="center"/>
          </w:tcPr>
          <w:p w14:paraId="6287A938">
            <w:r>
              <w:rPr>
                <w:rStyle w:val="10"/>
                <w:rFonts w:hint="eastAsia"/>
              </w:rPr>
              <w:t>产品性能:</w:t>
            </w:r>
          </w:p>
        </w:tc>
      </w:tr>
      <w:tr w14:paraId="1C98CA68">
        <w:tblPrEx>
          <w:tblCellMar>
            <w:top w:w="0" w:type="dxa"/>
            <w:left w:w="0" w:type="dxa"/>
            <w:bottom w:w="0" w:type="dxa"/>
            <w:right w:w="0" w:type="dxa"/>
          </w:tblCellMar>
        </w:tblPrEx>
        <w:trPr>
          <w:wBefore w:w="0" w:type="auto"/>
          <w:tblCellSpacing w:w="0" w:type="dxa"/>
        </w:trPr>
        <w:tc>
          <w:tcPr>
            <w:tcW w:w="0" w:type="auto"/>
            <w:noWrap w:val="0"/>
            <w:vAlign w:val="center"/>
          </w:tcPr>
          <w:p w14:paraId="6CA92542">
            <w:r>
              <w:rPr>
                <w:rStyle w:val="10"/>
                <w:rFonts w:hint="eastAsia"/>
              </w:rPr>
              <w:t>注意事项：</w:t>
            </w:r>
            <w:r>
              <w:rPr>
                <w:rFonts w:hint="eastAsia"/>
              </w:rPr>
              <w:br w:type="textWrapping"/>
            </w:r>
            <w:r>
              <w:rPr>
                <w:rStyle w:val="11"/>
                <w:rFonts w:hint="eastAsia"/>
              </w:rPr>
              <w:t>1．严格按照规定用药量和方法使用。 2．该产品不可与碱性农药等物质混用，建议与其他作用机制不同的植物生长调节剂轮换使用，以延缓抗性产生。 3．禁止在河塘等水体中清洗施药器具。药液及其废液不得污染各类水域、土壤等环境。 4．使用本品应采取相应的安全防护措施，穿防护服，戴防护手套、口罩和护目镜等，避免眼睛、皮肤接触及口鼻吸入。使用中不可吸烟、饮水及吃东西，使用后及时清洗手、脸等暴露部位皮肤并更换衣物。 5．用药后包装物及用过的容器应妥善处理，不可做他用，也不可随意丢弃。 6．孕妇及哺乳期妇女禁止接触。</w:t>
            </w:r>
          </w:p>
        </w:tc>
      </w:tr>
      <w:tr w14:paraId="605692F1">
        <w:tblPrEx>
          <w:tblCellMar>
            <w:top w:w="0" w:type="dxa"/>
            <w:left w:w="0" w:type="dxa"/>
            <w:bottom w:w="0" w:type="dxa"/>
            <w:right w:w="0" w:type="dxa"/>
          </w:tblCellMar>
        </w:tblPrEx>
        <w:trPr>
          <w:wBefore w:w="0" w:type="auto"/>
          <w:tblCellSpacing w:w="0" w:type="dxa"/>
        </w:trPr>
        <w:tc>
          <w:tcPr>
            <w:tcW w:w="0" w:type="auto"/>
            <w:noWrap w:val="0"/>
            <w:vAlign w:val="center"/>
          </w:tcPr>
          <w:p w14:paraId="52A17F61">
            <w:r>
              <w:rPr>
                <w:rStyle w:val="10"/>
                <w:rFonts w:hint="eastAsia"/>
              </w:rPr>
              <w:t>中毒急救措施：</w:t>
            </w:r>
            <w:r>
              <w:rPr>
                <w:rFonts w:hint="eastAsia"/>
              </w:rPr>
              <w:br w:type="textWrapping"/>
            </w:r>
            <w:r>
              <w:rPr>
                <w:rStyle w:val="11"/>
                <w:rFonts w:hint="eastAsia"/>
              </w:rPr>
              <w:t>本品对眼睛有刺激性。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038D9ABE">
        <w:tblPrEx>
          <w:tblCellMar>
            <w:top w:w="0" w:type="dxa"/>
            <w:left w:w="0" w:type="dxa"/>
            <w:bottom w:w="0" w:type="dxa"/>
            <w:right w:w="0" w:type="dxa"/>
          </w:tblCellMar>
        </w:tblPrEx>
        <w:trPr>
          <w:wBefore w:w="0" w:type="auto"/>
          <w:tblCellSpacing w:w="0" w:type="dxa"/>
        </w:trPr>
        <w:tc>
          <w:tcPr>
            <w:tcW w:w="0" w:type="auto"/>
            <w:noWrap w:val="0"/>
            <w:vAlign w:val="center"/>
          </w:tcPr>
          <w:p w14:paraId="0998F44A">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本品应贮存在干燥、阴凉、通风、防雨处，远离火源或热源。置于儿童、无关人员及动物触及不到之处，并加锁。勿与食品、种子、饲料、粮食等同贮同运。</w:t>
            </w:r>
          </w:p>
        </w:tc>
      </w:tr>
      <w:tr w14:paraId="481582A4">
        <w:tblPrEx>
          <w:tblCellMar>
            <w:top w:w="0" w:type="dxa"/>
            <w:left w:w="0" w:type="dxa"/>
            <w:bottom w:w="0" w:type="dxa"/>
            <w:right w:w="0" w:type="dxa"/>
          </w:tblCellMar>
        </w:tblPrEx>
        <w:trPr>
          <w:wBefore w:w="0" w:type="auto"/>
          <w:tblCellSpacing w:w="0" w:type="dxa"/>
        </w:trPr>
        <w:tc>
          <w:tcPr>
            <w:tcW w:w="0" w:type="auto"/>
            <w:noWrap w:val="0"/>
            <w:vAlign w:val="center"/>
          </w:tcPr>
          <w:p w14:paraId="14A30371">
            <w:r>
              <w:rPr>
                <w:rStyle w:val="10"/>
                <w:rFonts w:hint="eastAsia"/>
              </w:rPr>
              <w:t>质量保证期：</w:t>
            </w:r>
            <w:r>
              <w:rPr>
                <w:rStyle w:val="11"/>
                <w:rFonts w:hint="eastAsia"/>
              </w:rPr>
              <w:t>2年</w:t>
            </w:r>
          </w:p>
        </w:tc>
      </w:tr>
      <w:tr w14:paraId="33DA367D">
        <w:tblPrEx>
          <w:tblCellMar>
            <w:top w:w="0" w:type="dxa"/>
            <w:left w:w="0" w:type="dxa"/>
            <w:bottom w:w="0" w:type="dxa"/>
            <w:right w:w="0" w:type="dxa"/>
          </w:tblCellMar>
        </w:tblPrEx>
        <w:trPr>
          <w:wBefore w:w="0" w:type="auto"/>
          <w:tblCellSpacing w:w="0" w:type="dxa"/>
        </w:trPr>
        <w:tc>
          <w:tcPr>
            <w:tcW w:w="0" w:type="auto"/>
            <w:noWrap w:val="0"/>
            <w:vAlign w:val="center"/>
          </w:tcPr>
          <w:p w14:paraId="63560E23">
            <w:r>
              <w:rPr>
                <w:rStyle w:val="10"/>
                <w:rFonts w:hint="eastAsia"/>
              </w:rPr>
              <w:t>备注：</w:t>
            </w:r>
          </w:p>
        </w:tc>
      </w:tr>
    </w:tbl>
    <w:p w14:paraId="1997F59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E32DC5">
        <w:tblPrEx>
          <w:tblCellMar>
            <w:top w:w="0" w:type="dxa"/>
            <w:left w:w="0" w:type="dxa"/>
            <w:bottom w:w="0" w:type="dxa"/>
            <w:right w:w="0" w:type="dxa"/>
          </w:tblCellMar>
        </w:tblPrEx>
        <w:trPr>
          <w:wBefore w:w="0" w:type="auto"/>
          <w:tblCellSpacing w:w="0" w:type="dxa"/>
        </w:trPr>
        <w:tc>
          <w:tcPr>
            <w:tcW w:w="0" w:type="auto"/>
            <w:noWrap w:val="0"/>
            <w:vAlign w:val="center"/>
          </w:tcPr>
          <w:p w14:paraId="6F239CC7">
            <w:r>
              <w:rPr>
                <w:rStyle w:val="10"/>
                <w:rFonts w:hint="eastAsia"/>
              </w:rPr>
              <w:t>登记证号：</w:t>
            </w:r>
            <w:r>
              <w:rPr>
                <w:rFonts w:hint="eastAsia"/>
              </w:rPr>
              <w:t>PD20210473</w:t>
            </w:r>
          </w:p>
        </w:tc>
      </w:tr>
      <w:tr w14:paraId="73379A92">
        <w:tblPrEx>
          <w:tblCellMar>
            <w:top w:w="0" w:type="dxa"/>
            <w:left w:w="0" w:type="dxa"/>
            <w:bottom w:w="0" w:type="dxa"/>
            <w:right w:w="0" w:type="dxa"/>
          </w:tblCellMar>
        </w:tblPrEx>
        <w:trPr>
          <w:wBefore w:w="0" w:type="auto"/>
          <w:tblCellSpacing w:w="0" w:type="dxa"/>
        </w:trPr>
        <w:tc>
          <w:tcPr>
            <w:tcW w:w="0" w:type="auto"/>
            <w:noWrap w:val="0"/>
            <w:vAlign w:val="center"/>
          </w:tcPr>
          <w:p w14:paraId="52F31D25">
            <w:r>
              <w:rPr>
                <w:rStyle w:val="10"/>
                <w:rFonts w:hint="eastAsia"/>
              </w:rPr>
              <w:t>登记证持有人：</w:t>
            </w:r>
            <w:r>
              <w:rPr>
                <w:rFonts w:hint="eastAsia"/>
              </w:rPr>
              <w:t>山东麒麟农化有限公司</w:t>
            </w:r>
          </w:p>
        </w:tc>
      </w:tr>
      <w:tr w14:paraId="345834EE">
        <w:tblPrEx>
          <w:tblCellMar>
            <w:top w:w="0" w:type="dxa"/>
            <w:left w:w="0" w:type="dxa"/>
            <w:bottom w:w="0" w:type="dxa"/>
            <w:right w:w="0" w:type="dxa"/>
          </w:tblCellMar>
        </w:tblPrEx>
        <w:trPr>
          <w:wBefore w:w="0" w:type="auto"/>
          <w:tblCellSpacing w:w="0" w:type="dxa"/>
        </w:trPr>
        <w:tc>
          <w:tcPr>
            <w:tcW w:w="0" w:type="auto"/>
            <w:noWrap w:val="0"/>
            <w:vAlign w:val="center"/>
          </w:tcPr>
          <w:p w14:paraId="755D6E20">
            <w:r>
              <w:rPr>
                <w:rStyle w:val="10"/>
                <w:rFonts w:hint="eastAsia"/>
              </w:rPr>
              <w:t>农药名称：</w:t>
            </w:r>
            <w:r>
              <w:rPr>
                <w:rFonts w:hint="eastAsia"/>
              </w:rPr>
              <w:t>2甲·草甘膦</w:t>
            </w:r>
          </w:p>
        </w:tc>
      </w:tr>
      <w:tr w14:paraId="5CC6256B">
        <w:tblPrEx>
          <w:tblCellMar>
            <w:top w:w="0" w:type="dxa"/>
            <w:left w:w="0" w:type="dxa"/>
            <w:bottom w:w="0" w:type="dxa"/>
            <w:right w:w="0" w:type="dxa"/>
          </w:tblCellMar>
        </w:tblPrEx>
        <w:trPr>
          <w:wBefore w:w="0" w:type="auto"/>
          <w:tblCellSpacing w:w="0" w:type="dxa"/>
        </w:trPr>
        <w:tc>
          <w:tcPr>
            <w:tcW w:w="0" w:type="auto"/>
            <w:noWrap w:val="0"/>
            <w:vAlign w:val="center"/>
          </w:tcPr>
          <w:p w14:paraId="179ECB3C">
            <w:r>
              <w:rPr>
                <w:rStyle w:val="10"/>
                <w:rFonts w:hint="eastAsia"/>
              </w:rPr>
              <w:t>剂型：</w:t>
            </w:r>
            <w:r>
              <w:rPr>
                <w:rFonts w:hint="eastAsia"/>
              </w:rPr>
              <w:t>可溶液剂</w:t>
            </w:r>
          </w:p>
        </w:tc>
      </w:tr>
      <w:tr w14:paraId="610FD0FA">
        <w:tblPrEx>
          <w:tblCellMar>
            <w:top w:w="0" w:type="dxa"/>
            <w:left w:w="0" w:type="dxa"/>
            <w:bottom w:w="0" w:type="dxa"/>
            <w:right w:w="0" w:type="dxa"/>
          </w:tblCellMar>
        </w:tblPrEx>
        <w:trPr>
          <w:wBefore w:w="0" w:type="auto"/>
          <w:tblCellSpacing w:w="0" w:type="dxa"/>
        </w:trPr>
        <w:tc>
          <w:tcPr>
            <w:tcW w:w="0" w:type="auto"/>
            <w:noWrap w:val="0"/>
            <w:vAlign w:val="center"/>
          </w:tcPr>
          <w:p w14:paraId="27274FD6">
            <w:r>
              <w:rPr>
                <w:rStyle w:val="10"/>
                <w:rFonts w:hint="eastAsia"/>
              </w:rPr>
              <w:t>毒性及其标识：</w:t>
            </w:r>
            <w:r>
              <w:rPr>
                <w:rFonts w:hint="eastAsia"/>
              </w:rPr>
              <w:t xml:space="preserve"> </w:t>
            </w:r>
            <w:r>
              <w:rPr>
                <w:lang/>
              </w:rPr>
              <w:drawing>
                <wp:inline distT="0" distB="0" distL="114300" distR="114300">
                  <wp:extent cx="476250" cy="323850"/>
                  <wp:effectExtent l="0" t="0" r="0" b="0"/>
                  <wp:docPr id="6" name="图片 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2B75CF7">
        <w:tblPrEx>
          <w:tblCellMar>
            <w:top w:w="0" w:type="dxa"/>
            <w:left w:w="0" w:type="dxa"/>
            <w:bottom w:w="0" w:type="dxa"/>
            <w:right w:w="0" w:type="dxa"/>
          </w:tblCellMar>
        </w:tblPrEx>
        <w:trPr>
          <w:wBefore w:w="0" w:type="auto"/>
          <w:tblCellSpacing w:w="0" w:type="dxa"/>
        </w:trPr>
        <w:tc>
          <w:tcPr>
            <w:tcW w:w="0" w:type="auto"/>
            <w:noWrap w:val="0"/>
            <w:vAlign w:val="center"/>
          </w:tcPr>
          <w:p w14:paraId="3BFAC20E">
            <w:r>
              <w:rPr>
                <w:rStyle w:val="10"/>
                <w:rFonts w:hint="eastAsia"/>
              </w:rPr>
              <w:t>总有效成分含量：</w:t>
            </w:r>
            <w:r>
              <w:rPr>
                <w:rFonts w:hint="eastAsia"/>
              </w:rPr>
              <w:t>35%</w:t>
            </w:r>
          </w:p>
        </w:tc>
      </w:tr>
      <w:tr w14:paraId="433230B9">
        <w:tblPrEx>
          <w:tblCellMar>
            <w:top w:w="0" w:type="dxa"/>
            <w:left w:w="0" w:type="dxa"/>
            <w:bottom w:w="0" w:type="dxa"/>
            <w:right w:w="0" w:type="dxa"/>
          </w:tblCellMar>
        </w:tblPrEx>
        <w:trPr>
          <w:wBefore w:w="0" w:type="auto"/>
          <w:tblCellSpacing w:w="0" w:type="dxa"/>
        </w:trPr>
        <w:tc>
          <w:tcPr>
            <w:tcW w:w="0" w:type="auto"/>
            <w:noWrap w:val="0"/>
            <w:vAlign w:val="center"/>
          </w:tcPr>
          <w:p w14:paraId="33C69E59">
            <w:r>
              <w:rPr>
                <w:rFonts w:hint="eastAsia"/>
              </w:rPr>
              <w:t xml:space="preserve">有效成分及其含量： </w:t>
            </w:r>
          </w:p>
          <w:p w14:paraId="1AFB09F2">
            <w:r>
              <w:rPr>
                <w:rFonts w:hint="eastAsia"/>
              </w:rPr>
              <w:t xml:space="preserve">    草甘膦30%    2甲4氯5%    </w:t>
            </w:r>
          </w:p>
        </w:tc>
      </w:tr>
      <w:tr w14:paraId="5127E50B">
        <w:tblPrEx>
          <w:tblCellMar>
            <w:top w:w="0" w:type="dxa"/>
            <w:left w:w="0" w:type="dxa"/>
            <w:bottom w:w="0" w:type="dxa"/>
            <w:right w:w="0" w:type="dxa"/>
          </w:tblCellMar>
        </w:tblPrEx>
        <w:trPr>
          <w:wBefore w:w="0" w:type="auto"/>
          <w:tblCellSpacing w:w="0" w:type="dxa"/>
        </w:trPr>
        <w:tc>
          <w:tcPr>
            <w:tcW w:w="0" w:type="auto"/>
            <w:noWrap w:val="0"/>
            <w:vAlign w:val="center"/>
          </w:tcPr>
          <w:p w14:paraId="0A3A94F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FB89D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5481CB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C1D1A9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D5649F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6F35679">
                  <w:r>
                    <w:rPr>
                      <w:rStyle w:val="11"/>
                      <w:rFonts w:hint="eastAsia"/>
                    </w:rPr>
                    <w:t>施用方式</w:t>
                  </w:r>
                </w:p>
              </w:tc>
            </w:tr>
            <w:tr w14:paraId="046FC6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D1BAECD">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DD5611">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5C1037">
                  <w:r>
                    <w:rPr>
                      <w:rStyle w:val="11"/>
                      <w:rFonts w:hint="eastAsia"/>
                    </w:rPr>
                    <w:t>200-250毫升/亩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330E6C">
                  <w:r>
                    <w:rPr>
                      <w:rStyle w:val="11"/>
                      <w:rFonts w:hint="eastAsia"/>
                    </w:rPr>
                    <w:t>茎叶喷雾</w:t>
                  </w:r>
                </w:p>
              </w:tc>
            </w:tr>
          </w:tbl>
          <w:p w14:paraId="2B059CCA">
            <w:pPr>
              <w:rPr>
                <w:rFonts w:ascii="Times New Roman" w:hAnsi="Times New Roman" w:cs="Times New Roman"/>
                <w:sz w:val="20"/>
                <w:szCs w:val="20"/>
              </w:rPr>
            </w:pPr>
          </w:p>
        </w:tc>
      </w:tr>
      <w:tr w14:paraId="51D7E534">
        <w:tblPrEx>
          <w:tblCellMar>
            <w:top w:w="0" w:type="dxa"/>
            <w:left w:w="0" w:type="dxa"/>
            <w:bottom w:w="0" w:type="dxa"/>
            <w:right w:w="0" w:type="dxa"/>
          </w:tblCellMar>
        </w:tblPrEx>
        <w:trPr>
          <w:wBefore w:w="0" w:type="auto"/>
          <w:tblCellSpacing w:w="0" w:type="dxa"/>
        </w:trPr>
        <w:tc>
          <w:tcPr>
            <w:tcW w:w="0" w:type="auto"/>
            <w:noWrap w:val="0"/>
            <w:vAlign w:val="center"/>
          </w:tcPr>
          <w:p w14:paraId="19ED2EB2">
            <w:r>
              <w:rPr>
                <w:rStyle w:val="10"/>
                <w:rFonts w:hint="eastAsia"/>
              </w:rPr>
              <w:t>使用技术要求:</w:t>
            </w:r>
            <w:r>
              <w:rPr>
                <w:rFonts w:hint="eastAsia"/>
              </w:rPr>
              <w:br w:type="textWrapping"/>
            </w:r>
            <w:r>
              <w:rPr>
                <w:rStyle w:val="11"/>
                <w:rFonts w:hint="eastAsia"/>
              </w:rPr>
              <w:t>1、本品应于杂草生长旺盛期使用，应喷雾均匀。2、施药时应避免药液漂移到其它作物上，以防产生药害。 3、大风天或预计4小时内降雨，请勿施药。</w:t>
            </w:r>
          </w:p>
        </w:tc>
      </w:tr>
      <w:tr w14:paraId="1EE52987">
        <w:tblPrEx>
          <w:tblCellMar>
            <w:top w:w="0" w:type="dxa"/>
            <w:left w:w="0" w:type="dxa"/>
            <w:bottom w:w="0" w:type="dxa"/>
            <w:right w:w="0" w:type="dxa"/>
          </w:tblCellMar>
        </w:tblPrEx>
        <w:trPr>
          <w:wBefore w:w="0" w:type="auto"/>
          <w:tblCellSpacing w:w="0" w:type="dxa"/>
        </w:trPr>
        <w:tc>
          <w:tcPr>
            <w:tcW w:w="0" w:type="auto"/>
            <w:noWrap w:val="0"/>
            <w:vAlign w:val="center"/>
          </w:tcPr>
          <w:p w14:paraId="50D744A0">
            <w:r>
              <w:rPr>
                <w:rStyle w:val="10"/>
                <w:rFonts w:hint="eastAsia"/>
              </w:rPr>
              <w:t>产品性能:</w:t>
            </w:r>
            <w:r>
              <w:rPr>
                <w:rFonts w:hint="eastAsia"/>
              </w:rPr>
              <w:br w:type="textWrapping"/>
            </w:r>
            <w:r>
              <w:rPr>
                <w:rStyle w:val="11"/>
                <w:rFonts w:hint="eastAsia"/>
              </w:rPr>
              <w:t>本产品是由非选择性触杀型杂草茎叶处理除草剂草甘膦和苯氧乙酸类选择性内吸传导激素型除草剂2甲4氯复配而成的灭生性除草剂。用于防除非耕地一年生杂草，包括单子叶和双子叶、一年生和多年生杂草。</w:t>
            </w:r>
          </w:p>
        </w:tc>
      </w:tr>
      <w:tr w14:paraId="41A941C4">
        <w:tblPrEx>
          <w:tblCellMar>
            <w:top w:w="0" w:type="dxa"/>
            <w:left w:w="0" w:type="dxa"/>
            <w:bottom w:w="0" w:type="dxa"/>
            <w:right w:w="0" w:type="dxa"/>
          </w:tblCellMar>
        </w:tblPrEx>
        <w:trPr>
          <w:wBefore w:w="0" w:type="auto"/>
          <w:tblCellSpacing w:w="0" w:type="dxa"/>
        </w:trPr>
        <w:tc>
          <w:tcPr>
            <w:tcW w:w="0" w:type="auto"/>
            <w:noWrap w:val="0"/>
            <w:vAlign w:val="center"/>
          </w:tcPr>
          <w:p w14:paraId="3ABB9F20">
            <w:r>
              <w:rPr>
                <w:rStyle w:val="10"/>
                <w:rFonts w:hint="eastAsia"/>
              </w:rPr>
              <w:t>注意事项：</w:t>
            </w:r>
            <w:r>
              <w:rPr>
                <w:rFonts w:hint="eastAsia"/>
              </w:rPr>
              <w:br w:type="textWrapping"/>
            </w:r>
            <w:r>
              <w:rPr>
                <w:rStyle w:val="11"/>
                <w:rFonts w:hint="eastAsia"/>
              </w:rPr>
              <w:t>1、本品不可与强碱性物质混合使用， 2、本品与土壤接触立即钝化丧失活性，施药时间宜在杂草初期处于旺盛生长期到开花前，有较大叶面积能接触较多药液为宜。 3、本品对家蚕有毒，蚕室和桑园附近禁用。4、天敌放飞区禁用。5、禁止在河塘等水体中清洗施药器具；废弃物应妥善处理，不可随意丢弃，也不可他用； 6、使用本品时应穿戴防护服和手套，施药后应及时洗手和洗脸；7、孕妇及哺乳期的妇女避免接触此药。</w:t>
            </w:r>
          </w:p>
        </w:tc>
      </w:tr>
      <w:tr w14:paraId="12734CBA">
        <w:tblPrEx>
          <w:tblCellMar>
            <w:top w:w="0" w:type="dxa"/>
            <w:left w:w="0" w:type="dxa"/>
            <w:bottom w:w="0" w:type="dxa"/>
            <w:right w:w="0" w:type="dxa"/>
          </w:tblCellMar>
        </w:tblPrEx>
        <w:trPr>
          <w:wBefore w:w="0" w:type="auto"/>
          <w:tblCellSpacing w:w="0" w:type="dxa"/>
        </w:trPr>
        <w:tc>
          <w:tcPr>
            <w:tcW w:w="0" w:type="auto"/>
            <w:noWrap w:val="0"/>
            <w:vAlign w:val="center"/>
          </w:tcPr>
          <w:p w14:paraId="206E7BF0">
            <w:r>
              <w:rPr>
                <w:rStyle w:val="10"/>
                <w:rFonts w:hint="eastAsia"/>
              </w:rPr>
              <w:t>中毒急救措施：</w:t>
            </w:r>
            <w:r>
              <w:rPr>
                <w:rFonts w:hint="eastAsia"/>
              </w:rPr>
              <w:br w:type="textWrapping"/>
            </w:r>
            <w:r>
              <w:rPr>
                <w:rStyle w:val="11"/>
                <w:rFonts w:hint="eastAsia"/>
              </w:rPr>
              <w:t>中毒症状表现为头晕、恶心、呕吐等。 若本产品溅到皮肤上，用大量清水及肥皂洗干净。溅入眼睛中，立即用清水冲洗至少15分钟，仍有不适时，就医。如不慎吸入，立即离开施药场地，到空气清新的地方，保持呼吸畅通；误服，立即催吐，并带标签送医诊治，进行对症治疗。无特效解毒剂。</w:t>
            </w:r>
          </w:p>
        </w:tc>
      </w:tr>
      <w:tr w14:paraId="7A616AF3">
        <w:tblPrEx>
          <w:tblCellMar>
            <w:top w:w="0" w:type="dxa"/>
            <w:left w:w="0" w:type="dxa"/>
            <w:bottom w:w="0" w:type="dxa"/>
            <w:right w:w="0" w:type="dxa"/>
          </w:tblCellMar>
        </w:tblPrEx>
        <w:trPr>
          <w:wBefore w:w="0" w:type="auto"/>
          <w:tblCellSpacing w:w="0" w:type="dxa"/>
        </w:trPr>
        <w:tc>
          <w:tcPr>
            <w:tcW w:w="0" w:type="auto"/>
            <w:noWrap w:val="0"/>
            <w:vAlign w:val="center"/>
          </w:tcPr>
          <w:p w14:paraId="5569EC7A">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本品应贮存在干燥、阴凉、通风、防雨处，远离火源或热源。置于儿童、无关人员触及不到之处，并加锁。勿与食品、饮料、粮食、饲料等物其他商品同贮同运。</w:t>
            </w:r>
          </w:p>
        </w:tc>
      </w:tr>
      <w:tr w14:paraId="27DD2C9E">
        <w:tblPrEx>
          <w:tblCellMar>
            <w:top w:w="0" w:type="dxa"/>
            <w:left w:w="0" w:type="dxa"/>
            <w:bottom w:w="0" w:type="dxa"/>
            <w:right w:w="0" w:type="dxa"/>
          </w:tblCellMar>
        </w:tblPrEx>
        <w:trPr>
          <w:wBefore w:w="0" w:type="auto"/>
          <w:tblCellSpacing w:w="0" w:type="dxa"/>
        </w:trPr>
        <w:tc>
          <w:tcPr>
            <w:tcW w:w="0" w:type="auto"/>
            <w:noWrap w:val="0"/>
            <w:vAlign w:val="center"/>
          </w:tcPr>
          <w:p w14:paraId="11CB31F4">
            <w:r>
              <w:rPr>
                <w:rStyle w:val="10"/>
                <w:rFonts w:hint="eastAsia"/>
              </w:rPr>
              <w:t>质量保证期：</w:t>
            </w:r>
            <w:r>
              <w:rPr>
                <w:rStyle w:val="11"/>
                <w:rFonts w:hint="eastAsia"/>
              </w:rPr>
              <w:t>2年</w:t>
            </w:r>
          </w:p>
        </w:tc>
      </w:tr>
      <w:tr w14:paraId="4BED8B7F">
        <w:tblPrEx>
          <w:tblCellMar>
            <w:top w:w="0" w:type="dxa"/>
            <w:left w:w="0" w:type="dxa"/>
            <w:bottom w:w="0" w:type="dxa"/>
            <w:right w:w="0" w:type="dxa"/>
          </w:tblCellMar>
        </w:tblPrEx>
        <w:trPr>
          <w:wBefore w:w="0" w:type="auto"/>
          <w:tblCellSpacing w:w="0" w:type="dxa"/>
        </w:trPr>
        <w:tc>
          <w:tcPr>
            <w:tcW w:w="0" w:type="auto"/>
            <w:noWrap w:val="0"/>
            <w:vAlign w:val="center"/>
          </w:tcPr>
          <w:p w14:paraId="225461A5">
            <w:r>
              <w:rPr>
                <w:rStyle w:val="10"/>
                <w:rFonts w:hint="eastAsia"/>
              </w:rPr>
              <w:t>备注：</w:t>
            </w:r>
            <w:r>
              <w:rPr>
                <w:rFonts w:hint="eastAsia"/>
              </w:rPr>
              <w:br w:type="textWrapping"/>
            </w:r>
            <w:r>
              <w:rPr>
                <w:rStyle w:val="11"/>
                <w:rFonts w:hint="eastAsia"/>
              </w:rPr>
              <w:t>2甲4氯异丙铵盐6.5%，草甘膦异丙铵盐41%。</w:t>
            </w:r>
          </w:p>
        </w:tc>
      </w:tr>
    </w:tbl>
    <w:p w14:paraId="370413D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1BCEE8A">
        <w:tblPrEx>
          <w:tblCellMar>
            <w:top w:w="0" w:type="dxa"/>
            <w:left w:w="0" w:type="dxa"/>
            <w:bottom w:w="0" w:type="dxa"/>
            <w:right w:w="0" w:type="dxa"/>
          </w:tblCellMar>
        </w:tblPrEx>
        <w:trPr>
          <w:wBefore w:w="0" w:type="auto"/>
          <w:tblCellSpacing w:w="0" w:type="dxa"/>
        </w:trPr>
        <w:tc>
          <w:tcPr>
            <w:tcW w:w="0" w:type="auto"/>
            <w:noWrap w:val="0"/>
            <w:vAlign w:val="center"/>
          </w:tcPr>
          <w:p w14:paraId="34510A7B">
            <w:r>
              <w:rPr>
                <w:rStyle w:val="10"/>
                <w:rFonts w:hint="eastAsia"/>
              </w:rPr>
              <w:t>登记证号：</w:t>
            </w:r>
            <w:r>
              <w:rPr>
                <w:rFonts w:hint="eastAsia"/>
              </w:rPr>
              <w:t>PD20181392</w:t>
            </w:r>
          </w:p>
        </w:tc>
      </w:tr>
      <w:tr w14:paraId="54E1543A">
        <w:tblPrEx>
          <w:tblCellMar>
            <w:top w:w="0" w:type="dxa"/>
            <w:left w:w="0" w:type="dxa"/>
            <w:bottom w:w="0" w:type="dxa"/>
            <w:right w:w="0" w:type="dxa"/>
          </w:tblCellMar>
        </w:tblPrEx>
        <w:trPr>
          <w:wBefore w:w="0" w:type="auto"/>
          <w:tblCellSpacing w:w="0" w:type="dxa"/>
        </w:trPr>
        <w:tc>
          <w:tcPr>
            <w:tcW w:w="0" w:type="auto"/>
            <w:noWrap w:val="0"/>
            <w:vAlign w:val="center"/>
          </w:tcPr>
          <w:p w14:paraId="130F3C29">
            <w:r>
              <w:rPr>
                <w:rStyle w:val="10"/>
                <w:rFonts w:hint="eastAsia"/>
              </w:rPr>
              <w:t>登记证持有人：</w:t>
            </w:r>
            <w:r>
              <w:rPr>
                <w:rFonts w:hint="eastAsia"/>
              </w:rPr>
              <w:t>河南瀚斯作物保护有限公司</w:t>
            </w:r>
          </w:p>
        </w:tc>
      </w:tr>
      <w:tr w14:paraId="79110A16">
        <w:tblPrEx>
          <w:tblCellMar>
            <w:top w:w="0" w:type="dxa"/>
            <w:left w:w="0" w:type="dxa"/>
            <w:bottom w:w="0" w:type="dxa"/>
            <w:right w:w="0" w:type="dxa"/>
          </w:tblCellMar>
        </w:tblPrEx>
        <w:trPr>
          <w:wBefore w:w="0" w:type="auto"/>
          <w:tblCellSpacing w:w="0" w:type="dxa"/>
        </w:trPr>
        <w:tc>
          <w:tcPr>
            <w:tcW w:w="0" w:type="auto"/>
            <w:noWrap w:val="0"/>
            <w:vAlign w:val="center"/>
          </w:tcPr>
          <w:p w14:paraId="7BD08546">
            <w:r>
              <w:rPr>
                <w:rStyle w:val="10"/>
                <w:rFonts w:hint="eastAsia"/>
              </w:rPr>
              <w:t>农药名称：</w:t>
            </w:r>
            <w:r>
              <w:rPr>
                <w:rFonts w:hint="eastAsia"/>
              </w:rPr>
              <w:t>苯醚·咯·噻虫</w:t>
            </w:r>
          </w:p>
        </w:tc>
      </w:tr>
      <w:tr w14:paraId="6502F9C9">
        <w:tblPrEx>
          <w:tblCellMar>
            <w:top w:w="0" w:type="dxa"/>
            <w:left w:w="0" w:type="dxa"/>
            <w:bottom w:w="0" w:type="dxa"/>
            <w:right w:w="0" w:type="dxa"/>
          </w:tblCellMar>
        </w:tblPrEx>
        <w:trPr>
          <w:wBefore w:w="0" w:type="auto"/>
          <w:tblCellSpacing w:w="0" w:type="dxa"/>
        </w:trPr>
        <w:tc>
          <w:tcPr>
            <w:tcW w:w="0" w:type="auto"/>
            <w:noWrap w:val="0"/>
            <w:vAlign w:val="center"/>
          </w:tcPr>
          <w:p w14:paraId="4CDC2676">
            <w:r>
              <w:rPr>
                <w:rStyle w:val="10"/>
                <w:rFonts w:hint="eastAsia"/>
              </w:rPr>
              <w:t>剂型：</w:t>
            </w:r>
            <w:r>
              <w:rPr>
                <w:rFonts w:hint="eastAsia"/>
              </w:rPr>
              <w:t>悬浮种衣剂</w:t>
            </w:r>
          </w:p>
        </w:tc>
      </w:tr>
      <w:tr w14:paraId="7A082563">
        <w:tblPrEx>
          <w:tblCellMar>
            <w:top w:w="0" w:type="dxa"/>
            <w:left w:w="0" w:type="dxa"/>
            <w:bottom w:w="0" w:type="dxa"/>
            <w:right w:w="0" w:type="dxa"/>
          </w:tblCellMar>
        </w:tblPrEx>
        <w:trPr>
          <w:wBefore w:w="0" w:type="auto"/>
          <w:tblCellSpacing w:w="0" w:type="dxa"/>
        </w:trPr>
        <w:tc>
          <w:tcPr>
            <w:tcW w:w="0" w:type="auto"/>
            <w:noWrap w:val="0"/>
            <w:vAlign w:val="center"/>
          </w:tcPr>
          <w:p w14:paraId="3209C4DC">
            <w:r>
              <w:rPr>
                <w:rStyle w:val="10"/>
                <w:rFonts w:hint="eastAsia"/>
              </w:rPr>
              <w:t>毒性及其标识：</w:t>
            </w:r>
            <w:r>
              <w:rPr>
                <w:rFonts w:hint="eastAsia"/>
              </w:rPr>
              <w:t xml:space="preserve"> </w:t>
            </w:r>
            <w:r>
              <w:rPr>
                <w:lang/>
              </w:rPr>
              <w:drawing>
                <wp:inline distT="0" distB="0" distL="114300" distR="114300">
                  <wp:extent cx="476250" cy="323850"/>
                  <wp:effectExtent l="0" t="0" r="0" b="0"/>
                  <wp:docPr id="7" name="图片 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8D14ED9">
        <w:tblPrEx>
          <w:tblCellMar>
            <w:top w:w="0" w:type="dxa"/>
            <w:left w:w="0" w:type="dxa"/>
            <w:bottom w:w="0" w:type="dxa"/>
            <w:right w:w="0" w:type="dxa"/>
          </w:tblCellMar>
        </w:tblPrEx>
        <w:trPr>
          <w:wBefore w:w="0" w:type="auto"/>
          <w:tblCellSpacing w:w="0" w:type="dxa"/>
        </w:trPr>
        <w:tc>
          <w:tcPr>
            <w:tcW w:w="0" w:type="auto"/>
            <w:noWrap w:val="0"/>
            <w:vAlign w:val="center"/>
          </w:tcPr>
          <w:p w14:paraId="193C478D">
            <w:r>
              <w:rPr>
                <w:rStyle w:val="10"/>
                <w:rFonts w:hint="eastAsia"/>
              </w:rPr>
              <w:t>总有效成分含量：</w:t>
            </w:r>
            <w:r>
              <w:rPr>
                <w:rFonts w:hint="eastAsia"/>
              </w:rPr>
              <w:t>22%</w:t>
            </w:r>
          </w:p>
        </w:tc>
      </w:tr>
      <w:tr w14:paraId="16387A0D">
        <w:tblPrEx>
          <w:tblCellMar>
            <w:top w:w="0" w:type="dxa"/>
            <w:left w:w="0" w:type="dxa"/>
            <w:bottom w:w="0" w:type="dxa"/>
            <w:right w:w="0" w:type="dxa"/>
          </w:tblCellMar>
        </w:tblPrEx>
        <w:trPr>
          <w:wBefore w:w="0" w:type="auto"/>
          <w:tblCellSpacing w:w="0" w:type="dxa"/>
        </w:trPr>
        <w:tc>
          <w:tcPr>
            <w:tcW w:w="0" w:type="auto"/>
            <w:noWrap w:val="0"/>
            <w:vAlign w:val="center"/>
          </w:tcPr>
          <w:p w14:paraId="5F89C464">
            <w:r>
              <w:rPr>
                <w:rFonts w:hint="eastAsia"/>
              </w:rPr>
              <w:t xml:space="preserve">有效成分及其含量： </w:t>
            </w:r>
          </w:p>
          <w:p w14:paraId="01BD5D65">
            <w:r>
              <w:rPr>
                <w:rFonts w:hint="eastAsia"/>
              </w:rPr>
              <w:t xml:space="preserve">    苯醚甲环唑1%    咯菌腈1%    噻虫嗪20%    </w:t>
            </w:r>
          </w:p>
        </w:tc>
      </w:tr>
      <w:tr w14:paraId="156D6146">
        <w:tblPrEx>
          <w:tblCellMar>
            <w:top w:w="0" w:type="dxa"/>
            <w:left w:w="0" w:type="dxa"/>
            <w:bottom w:w="0" w:type="dxa"/>
            <w:right w:w="0" w:type="dxa"/>
          </w:tblCellMar>
        </w:tblPrEx>
        <w:trPr>
          <w:wBefore w:w="0" w:type="auto"/>
          <w:tblCellSpacing w:w="0" w:type="dxa"/>
        </w:trPr>
        <w:tc>
          <w:tcPr>
            <w:tcW w:w="0" w:type="auto"/>
            <w:noWrap w:val="0"/>
            <w:vAlign w:val="center"/>
          </w:tcPr>
          <w:p w14:paraId="338E888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1771D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902443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4AECD0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7062EB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E163A17">
                  <w:r>
                    <w:rPr>
                      <w:rStyle w:val="11"/>
                      <w:rFonts w:hint="eastAsia"/>
                    </w:rPr>
                    <w:t>施用方式</w:t>
                  </w:r>
                </w:p>
              </w:tc>
            </w:tr>
            <w:tr w14:paraId="0E67CE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1CFC839">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BB48C8">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4D554D">
                  <w:r>
                    <w:rPr>
                      <w:rStyle w:val="11"/>
                      <w:rFonts w:hint="eastAsia"/>
                    </w:rPr>
                    <w:t>425-500毫升/100千克种子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F12D89">
                  <w:r>
                    <w:rPr>
                      <w:rStyle w:val="11"/>
                      <w:rFonts w:hint="eastAsia"/>
                    </w:rPr>
                    <w:t>种子包衣</w:t>
                  </w:r>
                </w:p>
              </w:tc>
            </w:tr>
            <w:tr w14:paraId="5B7471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E08F05B">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89057E">
                  <w:r>
                    <w:rPr>
                      <w:rStyle w:val="11"/>
                      <w:rFonts w:hint="eastAsia"/>
                    </w:rPr>
                    <w:t>全蚀病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793048">
                  <w:r>
                    <w:rPr>
                      <w:rStyle w:val="11"/>
                      <w:rFonts w:hint="eastAsia"/>
                    </w:rPr>
                    <w:t>425-500毫升/100千克种子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0B8C52">
                  <w:r>
                    <w:rPr>
                      <w:rStyle w:val="11"/>
                      <w:rFonts w:hint="eastAsia"/>
                    </w:rPr>
                    <w:t>种子包衣</w:t>
                  </w:r>
                </w:p>
              </w:tc>
            </w:tr>
            <w:tr w14:paraId="750668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2EB9A5B">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F4B972">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DA50EE">
                  <w:r>
                    <w:rPr>
                      <w:rStyle w:val="11"/>
                      <w:rFonts w:hint="eastAsia"/>
                    </w:rPr>
                    <w:t>425-500毫升/100千克种子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8D75FE">
                  <w:r>
                    <w:rPr>
                      <w:rStyle w:val="11"/>
                      <w:rFonts w:hint="eastAsia"/>
                    </w:rPr>
                    <w:t>种子包衣</w:t>
                  </w:r>
                </w:p>
              </w:tc>
            </w:tr>
            <w:tr w14:paraId="643DA9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6E9B195">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7FA107">
                  <w:r>
                    <w:rPr>
                      <w:rStyle w:val="11"/>
                      <w:rFonts w:hint="eastAsia"/>
                    </w:rPr>
                    <w:t>恶苗病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A6B13C">
                  <w:r>
                    <w:rPr>
                      <w:rStyle w:val="11"/>
                      <w:rFonts w:hint="eastAsia"/>
                    </w:rPr>
                    <w:t>425-500毫升/100千克种子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3B28C5">
                  <w:r>
                    <w:rPr>
                      <w:rStyle w:val="11"/>
                      <w:rFonts w:hint="eastAsia"/>
                    </w:rPr>
                    <w:t>种子包衣</w:t>
                  </w:r>
                </w:p>
              </w:tc>
            </w:tr>
          </w:tbl>
          <w:p w14:paraId="4E6B258C">
            <w:pPr>
              <w:rPr>
                <w:rFonts w:ascii="Times New Roman" w:hAnsi="Times New Roman" w:cs="Times New Roman"/>
                <w:sz w:val="20"/>
                <w:szCs w:val="20"/>
              </w:rPr>
            </w:pPr>
          </w:p>
        </w:tc>
      </w:tr>
      <w:tr w14:paraId="44652836">
        <w:tblPrEx>
          <w:tblCellMar>
            <w:top w:w="0" w:type="dxa"/>
            <w:left w:w="0" w:type="dxa"/>
            <w:bottom w:w="0" w:type="dxa"/>
            <w:right w:w="0" w:type="dxa"/>
          </w:tblCellMar>
        </w:tblPrEx>
        <w:trPr>
          <w:wBefore w:w="0" w:type="auto"/>
          <w:tblCellSpacing w:w="0" w:type="dxa"/>
        </w:trPr>
        <w:tc>
          <w:tcPr>
            <w:tcW w:w="0" w:type="auto"/>
            <w:noWrap w:val="0"/>
            <w:vAlign w:val="center"/>
          </w:tcPr>
          <w:p w14:paraId="2E658EAE">
            <w:r>
              <w:rPr>
                <w:rStyle w:val="10"/>
                <w:rFonts w:hint="eastAsia"/>
              </w:rPr>
              <w:t>使用技术要求:</w:t>
            </w:r>
            <w:r>
              <w:rPr>
                <w:rFonts w:hint="eastAsia"/>
              </w:rPr>
              <w:br w:type="textWrapping"/>
            </w:r>
            <w:r>
              <w:rPr>
                <w:rStyle w:val="11"/>
                <w:rFonts w:hint="eastAsia"/>
              </w:rPr>
              <w:t>1. 本产品拌种使用，每季作物生长用药1次,种子包衣方法：按照播种量，量取推荐用量的药剂，加入适量水稀释并搅拌均匀成药浆（药浆种子比为1:50-100，即100公斤种子对应的药浆为1-2升），将种子倒入，充分搅拌均匀，晾干后即可播种。2. 配制好的药液应在24小时内使用。3. 包衣后的种子应及时播种，如需贮存，需控制含水量在安全范围内。4. 播种后必须覆土.</w:t>
            </w:r>
          </w:p>
        </w:tc>
      </w:tr>
      <w:tr w14:paraId="2E7FF5A3">
        <w:tblPrEx>
          <w:tblCellMar>
            <w:top w:w="0" w:type="dxa"/>
            <w:left w:w="0" w:type="dxa"/>
            <w:bottom w:w="0" w:type="dxa"/>
            <w:right w:w="0" w:type="dxa"/>
          </w:tblCellMar>
        </w:tblPrEx>
        <w:trPr>
          <w:wBefore w:w="0" w:type="auto"/>
          <w:tblCellSpacing w:w="0" w:type="dxa"/>
        </w:trPr>
        <w:tc>
          <w:tcPr>
            <w:tcW w:w="0" w:type="auto"/>
            <w:noWrap w:val="0"/>
            <w:vAlign w:val="center"/>
          </w:tcPr>
          <w:p w14:paraId="50BE4501">
            <w:r>
              <w:rPr>
                <w:rStyle w:val="10"/>
                <w:rFonts w:hint="eastAsia"/>
              </w:rPr>
              <w:t>产品性能:</w:t>
            </w:r>
            <w:r>
              <w:rPr>
                <w:rFonts w:hint="eastAsia"/>
              </w:rPr>
              <w:br w:type="textWrapping"/>
            </w:r>
            <w:r>
              <w:rPr>
                <w:rStyle w:val="11"/>
                <w:rFonts w:hint="eastAsia"/>
              </w:rPr>
              <w:t>本品为三元复配杀虫杀菌种衣剂。噻虫嗪是一种烟碱类杀虫剂。用于种子处理，可被作物根迅速内吸，并传导到植株各部位，能有效防治花生蚜虫。咯菌腈对许多病原菌引起的种传和土传病害有较好的防效。苯醚甲环唑是三唑类中种子处理剂，内吸传导，兼具预防和治疗活性，对花生根腐病有较好防效。</w:t>
            </w:r>
          </w:p>
        </w:tc>
      </w:tr>
      <w:tr w14:paraId="605FF326">
        <w:tblPrEx>
          <w:tblCellMar>
            <w:top w:w="0" w:type="dxa"/>
            <w:left w:w="0" w:type="dxa"/>
            <w:bottom w:w="0" w:type="dxa"/>
            <w:right w:w="0" w:type="dxa"/>
          </w:tblCellMar>
        </w:tblPrEx>
        <w:trPr>
          <w:wBefore w:w="0" w:type="auto"/>
          <w:tblCellSpacing w:w="0" w:type="dxa"/>
        </w:trPr>
        <w:tc>
          <w:tcPr>
            <w:tcW w:w="0" w:type="auto"/>
            <w:noWrap w:val="0"/>
            <w:vAlign w:val="center"/>
          </w:tcPr>
          <w:p w14:paraId="54C82583">
            <w:r>
              <w:rPr>
                <w:rStyle w:val="10"/>
                <w:rFonts w:hint="eastAsia"/>
              </w:rPr>
              <w:t>注意事项：</w:t>
            </w:r>
            <w:r>
              <w:rPr>
                <w:rFonts w:hint="eastAsia"/>
              </w:rPr>
              <w:br w:type="textWrapping"/>
            </w:r>
            <w:r>
              <w:rPr>
                <w:rStyle w:val="11"/>
                <w:rFonts w:hint="eastAsia"/>
              </w:rPr>
              <w:t>1.配药和种子处理时应在通风处进行，操作人员需提前做好保护措施，施用时穿长衣长裤，戴好手套、面罩或护目镜等，严禁抽烟或饮食。2.种子处理结束后，彻底清洗防护用具，并更换和清洗工作服。3.处理后的种子必须放置在有明显标签的容器内，勿与食物、饲料一起存放，禁止用于饲喂禽畜。4.鸟类保护区附近禁用，严禁畜禽进入。5.未用完的制剂应放在原包装内封存，切勿将本品置于饮食容器中。6.勿将本品及其废液弃于池塘、河溪、湖泊等，以免污染水源。禁止在河塘等水体中清洗施药器具。7.使用后的包装袋应妥善处理，不得他用或随意丢弃。8.孕妇及哺乳期妇女禁止接触本品。过敏者禁用。</w:t>
            </w:r>
          </w:p>
        </w:tc>
      </w:tr>
      <w:tr w14:paraId="66F12B35">
        <w:tblPrEx>
          <w:tblCellMar>
            <w:top w:w="0" w:type="dxa"/>
            <w:left w:w="0" w:type="dxa"/>
            <w:bottom w:w="0" w:type="dxa"/>
            <w:right w:w="0" w:type="dxa"/>
          </w:tblCellMar>
        </w:tblPrEx>
        <w:trPr>
          <w:wBefore w:w="0" w:type="auto"/>
          <w:tblCellSpacing w:w="0" w:type="dxa"/>
        </w:trPr>
        <w:tc>
          <w:tcPr>
            <w:tcW w:w="0" w:type="auto"/>
            <w:noWrap w:val="0"/>
            <w:vAlign w:val="center"/>
          </w:tcPr>
          <w:p w14:paraId="369799F1">
            <w:r>
              <w:rPr>
                <w:rStyle w:val="10"/>
                <w:rFonts w:hint="eastAsia"/>
              </w:rPr>
              <w:t>中毒急救措施：</w:t>
            </w:r>
            <w:r>
              <w:rPr>
                <w:rFonts w:hint="eastAsia"/>
              </w:rPr>
              <w:br w:type="textWrapping"/>
            </w:r>
            <w:r>
              <w:rPr>
                <w:rStyle w:val="11"/>
                <w:rFonts w:hint="eastAsia"/>
              </w:rPr>
              <w:t>1.用药时如果感觉不适，请立即停止工作，采取急救措施，并携此标签送医就诊。2.皮肤接触：立即脱掉被污染的衣物，用肥皂和大量清水彻底清洗受污染的皮肤。必要时请医生诊治。3.眼睛溅药：立即将眼睑翻开，用清水轻柔冲洗至少15分钟，再请医生诊治。4.发生吸入：立即将吸入者转移到空气新鲜处，注意保暖和休息，请医生诊治。5.误服：立即携带标签，送医就诊。紧急医疗措施：使用医用活性炭洗胃，洗胃时防止胃残余物进入呼吸道。如果病人已昏迷，切勿经口喂入东西或引吐。</w:t>
            </w:r>
          </w:p>
        </w:tc>
      </w:tr>
      <w:tr w14:paraId="4E556788">
        <w:tblPrEx>
          <w:tblCellMar>
            <w:top w:w="0" w:type="dxa"/>
            <w:left w:w="0" w:type="dxa"/>
            <w:bottom w:w="0" w:type="dxa"/>
            <w:right w:w="0" w:type="dxa"/>
          </w:tblCellMar>
        </w:tblPrEx>
        <w:trPr>
          <w:wBefore w:w="0" w:type="auto"/>
          <w:tblCellSpacing w:w="0" w:type="dxa"/>
        </w:trPr>
        <w:tc>
          <w:tcPr>
            <w:tcW w:w="0" w:type="auto"/>
            <w:noWrap w:val="0"/>
            <w:vAlign w:val="center"/>
          </w:tcPr>
          <w:p w14:paraId="475A28BF">
            <w:r>
              <w:rPr>
                <w:rStyle w:val="10"/>
                <w:rFonts w:hint="eastAsia"/>
              </w:rPr>
              <w:t>储存和运输方法：</w:t>
            </w:r>
            <w:r>
              <w:rPr>
                <w:rFonts w:hint="eastAsia"/>
              </w:rPr>
              <w:br w:type="textWrapping"/>
            </w:r>
            <w:r>
              <w:rPr>
                <w:rStyle w:val="11"/>
                <w:rFonts w:hint="eastAsia"/>
              </w:rPr>
              <w:t>1.本品应加锁保存，勿让儿童和动物接触。2.应贮存在避光、干燥、阴凉、通风处，储藏温度应避免低于-5℃或高于35℃。3.运输时应注意避光，防高温、雨淋。4.不能与食品、饮料、粮食、饲料和种子等物品在一起存放或运输。</w:t>
            </w:r>
          </w:p>
        </w:tc>
      </w:tr>
      <w:tr w14:paraId="05D216D8">
        <w:tblPrEx>
          <w:tblCellMar>
            <w:top w:w="0" w:type="dxa"/>
            <w:left w:w="0" w:type="dxa"/>
            <w:bottom w:w="0" w:type="dxa"/>
            <w:right w:w="0" w:type="dxa"/>
          </w:tblCellMar>
        </w:tblPrEx>
        <w:trPr>
          <w:wBefore w:w="0" w:type="auto"/>
          <w:tblCellSpacing w:w="0" w:type="dxa"/>
        </w:trPr>
        <w:tc>
          <w:tcPr>
            <w:tcW w:w="0" w:type="auto"/>
            <w:noWrap w:val="0"/>
            <w:vAlign w:val="center"/>
          </w:tcPr>
          <w:p w14:paraId="39E2FADE">
            <w:r>
              <w:rPr>
                <w:rStyle w:val="10"/>
                <w:rFonts w:hint="eastAsia"/>
              </w:rPr>
              <w:t>质量保证期：</w:t>
            </w:r>
            <w:r>
              <w:rPr>
                <w:rStyle w:val="11"/>
                <w:rFonts w:hint="eastAsia"/>
              </w:rPr>
              <w:t>2年</w:t>
            </w:r>
          </w:p>
        </w:tc>
      </w:tr>
      <w:tr w14:paraId="056009F9">
        <w:tblPrEx>
          <w:tblCellMar>
            <w:top w:w="0" w:type="dxa"/>
            <w:left w:w="0" w:type="dxa"/>
            <w:bottom w:w="0" w:type="dxa"/>
            <w:right w:w="0" w:type="dxa"/>
          </w:tblCellMar>
        </w:tblPrEx>
        <w:trPr>
          <w:wBefore w:w="0" w:type="auto"/>
          <w:tblCellSpacing w:w="0" w:type="dxa"/>
        </w:trPr>
        <w:tc>
          <w:tcPr>
            <w:tcW w:w="0" w:type="auto"/>
            <w:noWrap w:val="0"/>
            <w:vAlign w:val="center"/>
          </w:tcPr>
          <w:p w14:paraId="7881867C">
            <w:r>
              <w:rPr>
                <w:rStyle w:val="10"/>
                <w:rFonts w:hint="eastAsia"/>
              </w:rPr>
              <w:t>备注：</w:t>
            </w:r>
          </w:p>
        </w:tc>
      </w:tr>
    </w:tbl>
    <w:p w14:paraId="68725A2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9612591">
        <w:tblPrEx>
          <w:tblCellMar>
            <w:top w:w="0" w:type="dxa"/>
            <w:left w:w="0" w:type="dxa"/>
            <w:bottom w:w="0" w:type="dxa"/>
            <w:right w:w="0" w:type="dxa"/>
          </w:tblCellMar>
        </w:tblPrEx>
        <w:trPr>
          <w:wBefore w:w="0" w:type="auto"/>
          <w:tblCellSpacing w:w="0" w:type="dxa"/>
        </w:trPr>
        <w:tc>
          <w:tcPr>
            <w:tcW w:w="0" w:type="auto"/>
            <w:noWrap w:val="0"/>
            <w:vAlign w:val="center"/>
          </w:tcPr>
          <w:p w14:paraId="276CBC2A">
            <w:r>
              <w:rPr>
                <w:rStyle w:val="10"/>
                <w:rFonts w:hint="eastAsia"/>
              </w:rPr>
              <w:t>登记证号：</w:t>
            </w:r>
            <w:r>
              <w:rPr>
                <w:rFonts w:hint="eastAsia"/>
              </w:rPr>
              <w:t>PD20161083</w:t>
            </w:r>
          </w:p>
        </w:tc>
      </w:tr>
      <w:tr w14:paraId="333A40C4">
        <w:tblPrEx>
          <w:tblCellMar>
            <w:top w:w="0" w:type="dxa"/>
            <w:left w:w="0" w:type="dxa"/>
            <w:bottom w:w="0" w:type="dxa"/>
            <w:right w:w="0" w:type="dxa"/>
          </w:tblCellMar>
        </w:tblPrEx>
        <w:trPr>
          <w:wBefore w:w="0" w:type="auto"/>
          <w:tblCellSpacing w:w="0" w:type="dxa"/>
        </w:trPr>
        <w:tc>
          <w:tcPr>
            <w:tcW w:w="0" w:type="auto"/>
            <w:noWrap w:val="0"/>
            <w:vAlign w:val="center"/>
          </w:tcPr>
          <w:p w14:paraId="49F2D537">
            <w:r>
              <w:rPr>
                <w:rStyle w:val="10"/>
                <w:rFonts w:hint="eastAsia"/>
              </w:rPr>
              <w:t>登记证持有人：</w:t>
            </w:r>
            <w:r>
              <w:rPr>
                <w:rFonts w:hint="eastAsia"/>
              </w:rPr>
              <w:t>山东省青岛凯源祥化工有限公司</w:t>
            </w:r>
          </w:p>
        </w:tc>
      </w:tr>
      <w:tr w14:paraId="76E8F4E1">
        <w:tblPrEx>
          <w:tblCellMar>
            <w:top w:w="0" w:type="dxa"/>
            <w:left w:w="0" w:type="dxa"/>
            <w:bottom w:w="0" w:type="dxa"/>
            <w:right w:w="0" w:type="dxa"/>
          </w:tblCellMar>
        </w:tblPrEx>
        <w:trPr>
          <w:wBefore w:w="0" w:type="auto"/>
          <w:tblCellSpacing w:w="0" w:type="dxa"/>
        </w:trPr>
        <w:tc>
          <w:tcPr>
            <w:tcW w:w="0" w:type="auto"/>
            <w:noWrap w:val="0"/>
            <w:vAlign w:val="center"/>
          </w:tcPr>
          <w:p w14:paraId="52C6D961">
            <w:r>
              <w:rPr>
                <w:rStyle w:val="10"/>
                <w:rFonts w:hint="eastAsia"/>
              </w:rPr>
              <w:t>农药名称：</w:t>
            </w:r>
            <w:r>
              <w:rPr>
                <w:rFonts w:hint="eastAsia"/>
              </w:rPr>
              <w:t>苯醚甲环唑</w:t>
            </w:r>
          </w:p>
        </w:tc>
      </w:tr>
      <w:tr w14:paraId="2321ECA7">
        <w:tblPrEx>
          <w:tblCellMar>
            <w:top w:w="0" w:type="dxa"/>
            <w:left w:w="0" w:type="dxa"/>
            <w:bottom w:w="0" w:type="dxa"/>
            <w:right w:w="0" w:type="dxa"/>
          </w:tblCellMar>
        </w:tblPrEx>
        <w:trPr>
          <w:wBefore w:w="0" w:type="auto"/>
          <w:tblCellSpacing w:w="0" w:type="dxa"/>
        </w:trPr>
        <w:tc>
          <w:tcPr>
            <w:tcW w:w="0" w:type="auto"/>
            <w:noWrap w:val="0"/>
            <w:vAlign w:val="center"/>
          </w:tcPr>
          <w:p w14:paraId="7BF402B3">
            <w:r>
              <w:rPr>
                <w:rStyle w:val="10"/>
                <w:rFonts w:hint="eastAsia"/>
              </w:rPr>
              <w:t>剂型：</w:t>
            </w:r>
            <w:r>
              <w:rPr>
                <w:rFonts w:hint="eastAsia"/>
              </w:rPr>
              <w:t>水分散粒剂</w:t>
            </w:r>
          </w:p>
        </w:tc>
      </w:tr>
      <w:tr w14:paraId="67DB1B33">
        <w:tblPrEx>
          <w:tblCellMar>
            <w:top w:w="0" w:type="dxa"/>
            <w:left w:w="0" w:type="dxa"/>
            <w:bottom w:w="0" w:type="dxa"/>
            <w:right w:w="0" w:type="dxa"/>
          </w:tblCellMar>
        </w:tblPrEx>
        <w:trPr>
          <w:wBefore w:w="0" w:type="auto"/>
          <w:tblCellSpacing w:w="0" w:type="dxa"/>
        </w:trPr>
        <w:tc>
          <w:tcPr>
            <w:tcW w:w="0" w:type="auto"/>
            <w:noWrap w:val="0"/>
            <w:vAlign w:val="center"/>
          </w:tcPr>
          <w:p w14:paraId="32085008">
            <w:r>
              <w:rPr>
                <w:rStyle w:val="10"/>
                <w:rFonts w:hint="eastAsia"/>
              </w:rPr>
              <w:t>毒性及其标识：</w:t>
            </w:r>
            <w:r>
              <w:rPr>
                <w:rFonts w:hint="eastAsia"/>
              </w:rPr>
              <w:t xml:space="preserve"> </w:t>
            </w:r>
            <w:r>
              <w:rPr>
                <w:lang/>
              </w:rPr>
              <w:drawing>
                <wp:inline distT="0" distB="0" distL="114300" distR="114300">
                  <wp:extent cx="476250" cy="323850"/>
                  <wp:effectExtent l="0" t="0" r="0" b="0"/>
                  <wp:docPr id="8" name="图片 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220383F">
        <w:tblPrEx>
          <w:tblCellMar>
            <w:top w:w="0" w:type="dxa"/>
            <w:left w:w="0" w:type="dxa"/>
            <w:bottom w:w="0" w:type="dxa"/>
            <w:right w:w="0" w:type="dxa"/>
          </w:tblCellMar>
        </w:tblPrEx>
        <w:trPr>
          <w:wBefore w:w="0" w:type="auto"/>
          <w:tblCellSpacing w:w="0" w:type="dxa"/>
        </w:trPr>
        <w:tc>
          <w:tcPr>
            <w:tcW w:w="0" w:type="auto"/>
            <w:noWrap w:val="0"/>
            <w:vAlign w:val="center"/>
          </w:tcPr>
          <w:p w14:paraId="329A4061">
            <w:r>
              <w:rPr>
                <w:rStyle w:val="10"/>
                <w:rFonts w:hint="eastAsia"/>
              </w:rPr>
              <w:t>总有效成分含量：</w:t>
            </w:r>
            <w:r>
              <w:rPr>
                <w:rFonts w:hint="eastAsia"/>
              </w:rPr>
              <w:t>60%</w:t>
            </w:r>
          </w:p>
        </w:tc>
      </w:tr>
      <w:tr w14:paraId="149810CB">
        <w:tblPrEx>
          <w:tblCellMar>
            <w:top w:w="0" w:type="dxa"/>
            <w:left w:w="0" w:type="dxa"/>
            <w:bottom w:w="0" w:type="dxa"/>
            <w:right w:w="0" w:type="dxa"/>
          </w:tblCellMar>
        </w:tblPrEx>
        <w:trPr>
          <w:wBefore w:w="0" w:type="auto"/>
          <w:tblCellSpacing w:w="0" w:type="dxa"/>
        </w:trPr>
        <w:tc>
          <w:tcPr>
            <w:tcW w:w="0" w:type="auto"/>
            <w:noWrap w:val="0"/>
            <w:vAlign w:val="center"/>
          </w:tcPr>
          <w:p w14:paraId="2FCA53AA">
            <w:r>
              <w:rPr>
                <w:rFonts w:hint="eastAsia"/>
              </w:rPr>
              <w:t xml:space="preserve">有效成分及其含量： </w:t>
            </w:r>
          </w:p>
          <w:p w14:paraId="3EF35445">
            <w:r>
              <w:rPr>
                <w:rFonts w:hint="eastAsia"/>
              </w:rPr>
              <w:t xml:space="preserve">    苯醚甲环唑60%    </w:t>
            </w:r>
          </w:p>
        </w:tc>
      </w:tr>
      <w:tr w14:paraId="5ACE38C2">
        <w:tblPrEx>
          <w:tblCellMar>
            <w:top w:w="0" w:type="dxa"/>
            <w:left w:w="0" w:type="dxa"/>
            <w:bottom w:w="0" w:type="dxa"/>
            <w:right w:w="0" w:type="dxa"/>
          </w:tblCellMar>
        </w:tblPrEx>
        <w:trPr>
          <w:wBefore w:w="0" w:type="auto"/>
          <w:tblCellSpacing w:w="0" w:type="dxa"/>
        </w:trPr>
        <w:tc>
          <w:tcPr>
            <w:tcW w:w="0" w:type="auto"/>
            <w:noWrap w:val="0"/>
            <w:vAlign w:val="center"/>
          </w:tcPr>
          <w:p w14:paraId="3D4D103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7C7D9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64174C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5D84F2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7C085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E2C581">
                  <w:r>
                    <w:rPr>
                      <w:rStyle w:val="11"/>
                      <w:rFonts w:hint="eastAsia"/>
                    </w:rPr>
                    <w:t>施用方式</w:t>
                  </w:r>
                </w:p>
              </w:tc>
            </w:tr>
            <w:tr w14:paraId="0D76B5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367C7C7">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E11562">
                  <w:r>
                    <w:rPr>
                      <w:rStyle w:val="11"/>
                      <w:rFonts w:hint="eastAsia"/>
                    </w:rPr>
                    <w:t>纹枯病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BE05BE">
                  <w:r>
                    <w:rPr>
                      <w:rStyle w:val="11"/>
                      <w:rFonts w:hint="eastAsia"/>
                    </w:rPr>
                    <w:t>3-6克/亩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67883A">
                  <w:r>
                    <w:rPr>
                      <w:rStyle w:val="11"/>
                      <w:rFonts w:hint="eastAsia"/>
                    </w:rPr>
                    <w:t>喷雾</w:t>
                  </w:r>
                </w:p>
              </w:tc>
            </w:tr>
          </w:tbl>
          <w:p w14:paraId="59E0A3D9">
            <w:pPr>
              <w:rPr>
                <w:rFonts w:ascii="Times New Roman" w:hAnsi="Times New Roman" w:cs="Times New Roman"/>
                <w:sz w:val="20"/>
                <w:szCs w:val="20"/>
              </w:rPr>
            </w:pPr>
          </w:p>
        </w:tc>
      </w:tr>
      <w:tr w14:paraId="65950156">
        <w:tblPrEx>
          <w:tblCellMar>
            <w:top w:w="0" w:type="dxa"/>
            <w:left w:w="0" w:type="dxa"/>
            <w:bottom w:w="0" w:type="dxa"/>
            <w:right w:w="0" w:type="dxa"/>
          </w:tblCellMar>
        </w:tblPrEx>
        <w:trPr>
          <w:wBefore w:w="0" w:type="auto"/>
          <w:tblCellSpacing w:w="0" w:type="dxa"/>
        </w:trPr>
        <w:tc>
          <w:tcPr>
            <w:tcW w:w="0" w:type="auto"/>
            <w:noWrap w:val="0"/>
            <w:vAlign w:val="center"/>
          </w:tcPr>
          <w:p w14:paraId="27A04E87">
            <w:r>
              <w:rPr>
                <w:rStyle w:val="10"/>
                <w:rFonts w:hint="eastAsia"/>
              </w:rPr>
              <w:t>使用技术要求:</w:t>
            </w:r>
            <w:r>
              <w:rPr>
                <w:rFonts w:hint="eastAsia"/>
              </w:rPr>
              <w:br w:type="textWrapping"/>
            </w:r>
            <w:r>
              <w:rPr>
                <w:rStyle w:val="11"/>
                <w:rFonts w:hint="eastAsia"/>
              </w:rPr>
              <w:t>1. 本品应于病害发生前或发生初期使用，进行茎叶均匀喷雾处理。防治小麦纹枯病应于拔节孕穗其或发病前进行常规喷雾施药，间隔7天左右再施药1次，共用药2次。在黄瓜上每季最多使用2次，安全间隔期为3天。在姜上每季最多使用2次，安全间隔期为14天。在金银花上每季最多使用2次，安全间隔期为7天。在大葱上每季最多使用2次，安全间隔期为21天。在小麦上每季最多使用2次，安全间隔期21天。2. 施药时应避免药液漂移到其他作物上，以免产生药害。3、大风天或预计2小时内降雨，请勿施药。</w:t>
            </w:r>
          </w:p>
        </w:tc>
      </w:tr>
      <w:tr w14:paraId="6BF2FF49">
        <w:tblPrEx>
          <w:tblCellMar>
            <w:top w:w="0" w:type="dxa"/>
            <w:left w:w="0" w:type="dxa"/>
            <w:bottom w:w="0" w:type="dxa"/>
            <w:right w:w="0" w:type="dxa"/>
          </w:tblCellMar>
        </w:tblPrEx>
        <w:trPr>
          <w:wBefore w:w="0" w:type="auto"/>
          <w:tblCellSpacing w:w="0" w:type="dxa"/>
        </w:trPr>
        <w:tc>
          <w:tcPr>
            <w:tcW w:w="0" w:type="auto"/>
            <w:noWrap w:val="0"/>
            <w:vAlign w:val="center"/>
          </w:tcPr>
          <w:p w14:paraId="45B477AD">
            <w:r>
              <w:rPr>
                <w:rStyle w:val="10"/>
                <w:rFonts w:hint="eastAsia"/>
              </w:rPr>
              <w:t>产品性能:</w:t>
            </w:r>
            <w:r>
              <w:rPr>
                <w:rFonts w:hint="eastAsia"/>
              </w:rPr>
              <w:br w:type="textWrapping"/>
            </w:r>
            <w:r>
              <w:rPr>
                <w:rStyle w:val="11"/>
                <w:rFonts w:hint="eastAsia"/>
              </w:rPr>
              <w:t>苯醚甲环唑是甾醇脱甲基化抑制剂，抑制细胞壁甾醇的生物合成，阻止真菌的生长。具有保护、治疗和内吸活性。</w:t>
            </w:r>
          </w:p>
        </w:tc>
      </w:tr>
      <w:tr w14:paraId="4E53A267">
        <w:tblPrEx>
          <w:tblCellMar>
            <w:top w:w="0" w:type="dxa"/>
            <w:left w:w="0" w:type="dxa"/>
            <w:bottom w:w="0" w:type="dxa"/>
            <w:right w:w="0" w:type="dxa"/>
          </w:tblCellMar>
        </w:tblPrEx>
        <w:trPr>
          <w:wBefore w:w="0" w:type="auto"/>
          <w:tblCellSpacing w:w="0" w:type="dxa"/>
        </w:trPr>
        <w:tc>
          <w:tcPr>
            <w:tcW w:w="0" w:type="auto"/>
            <w:noWrap w:val="0"/>
            <w:vAlign w:val="center"/>
          </w:tcPr>
          <w:p w14:paraId="3E062E25">
            <w:r>
              <w:rPr>
                <w:rStyle w:val="10"/>
                <w:rFonts w:hint="eastAsia"/>
              </w:rPr>
              <w:t>注意事项：</w:t>
            </w:r>
            <w:r>
              <w:rPr>
                <w:rFonts w:hint="eastAsia"/>
              </w:rPr>
              <w:br w:type="textWrapping"/>
            </w:r>
            <w:r>
              <w:rPr>
                <w:rStyle w:val="11"/>
                <w:rFonts w:hint="eastAsia"/>
              </w:rPr>
              <w:t>1. 建议与其他作用机理不同的农药轮换使用，以延缓抗性的产生。2. 避免与强碱性物质混用，以免降低药效。3. 施药时应避免药液漂移到其他作物上，以防产生药害。4. 在开花植物开花期以及水塘附近禁止使用；蚕室及桑园附近禁用；水产养殖区、河塘等水体附近禁用，禁止在河塘等水域清洗施药器具。5.使用时应穿长衣长裤、靴子，戴帽子、护目镜、口罩、手套等防护用具；施药期间不可吃东西、饮水、吸烟等；施药后应及时洗手、洗脸并洗涤施药时穿着的衣物。6.孕妇及哺乳期妇女应避免接触。7. 废弃物、用过的容器应妥善处理，不可做他用，也不可随意丢弃。</w:t>
            </w:r>
          </w:p>
        </w:tc>
      </w:tr>
      <w:tr w14:paraId="3FE12B61">
        <w:tblPrEx>
          <w:tblCellMar>
            <w:top w:w="0" w:type="dxa"/>
            <w:left w:w="0" w:type="dxa"/>
            <w:bottom w:w="0" w:type="dxa"/>
            <w:right w:w="0" w:type="dxa"/>
          </w:tblCellMar>
        </w:tblPrEx>
        <w:trPr>
          <w:wBefore w:w="0" w:type="auto"/>
          <w:tblCellSpacing w:w="0" w:type="dxa"/>
        </w:trPr>
        <w:tc>
          <w:tcPr>
            <w:tcW w:w="0" w:type="auto"/>
            <w:noWrap w:val="0"/>
            <w:vAlign w:val="center"/>
          </w:tcPr>
          <w:p w14:paraId="735262A5">
            <w:r>
              <w:rPr>
                <w:rStyle w:val="10"/>
                <w:rFonts w:hint="eastAsia"/>
              </w:rPr>
              <w:t>中毒急救措施：</w:t>
            </w:r>
            <w:r>
              <w:rPr>
                <w:rFonts w:hint="eastAsia"/>
              </w:rPr>
              <w:br w:type="textWrapping"/>
            </w:r>
            <w:r>
              <w:rPr>
                <w:rStyle w:val="11"/>
                <w:rFonts w:hint="eastAsia"/>
              </w:rPr>
              <w:t>1. 用药时如果感觉不适，立即停止工作，采取急救措施，并携此标签送医就诊。2.皮肤接触：立即脱掉被污染的衣物，用大量清水冲洗被污染的皮肤，再用肥皂清洗，然后用清水冲净。3.眼睛溅药：立即将眼睑翻开，用清水冲洗至少15分钟，再请医生诊治。4. 发生吸入：立即将吸入者转移到空气新鲜处，如果吸入者停止呼吸，需进行人工呼吸，请医生诊治。5. 误服：请勿引吐，立即携带标签，送医就诊，无专用解毒剂，对症治疗。</w:t>
            </w:r>
          </w:p>
        </w:tc>
      </w:tr>
      <w:tr w14:paraId="3062A094">
        <w:tblPrEx>
          <w:tblCellMar>
            <w:top w:w="0" w:type="dxa"/>
            <w:left w:w="0" w:type="dxa"/>
            <w:bottom w:w="0" w:type="dxa"/>
            <w:right w:w="0" w:type="dxa"/>
          </w:tblCellMar>
        </w:tblPrEx>
        <w:trPr>
          <w:wBefore w:w="0" w:type="auto"/>
          <w:tblCellSpacing w:w="0" w:type="dxa"/>
        </w:trPr>
        <w:tc>
          <w:tcPr>
            <w:tcW w:w="0" w:type="auto"/>
            <w:noWrap w:val="0"/>
            <w:vAlign w:val="center"/>
          </w:tcPr>
          <w:p w14:paraId="7852B057">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本品应贮存在干燥、阴凉、通风、防雨处，远离火源或热源。置于儿童及无关人员触及不到之处，并加锁。勿与食品、饮料、粮食、饲料等同贮同运。</w:t>
            </w:r>
          </w:p>
        </w:tc>
      </w:tr>
      <w:tr w14:paraId="60DF5CFA">
        <w:tblPrEx>
          <w:tblCellMar>
            <w:top w:w="0" w:type="dxa"/>
            <w:left w:w="0" w:type="dxa"/>
            <w:bottom w:w="0" w:type="dxa"/>
            <w:right w:w="0" w:type="dxa"/>
          </w:tblCellMar>
        </w:tblPrEx>
        <w:trPr>
          <w:wBefore w:w="0" w:type="auto"/>
          <w:tblCellSpacing w:w="0" w:type="dxa"/>
        </w:trPr>
        <w:tc>
          <w:tcPr>
            <w:tcW w:w="0" w:type="auto"/>
            <w:noWrap w:val="0"/>
            <w:vAlign w:val="center"/>
          </w:tcPr>
          <w:p w14:paraId="4BBC473F">
            <w:r>
              <w:rPr>
                <w:rStyle w:val="10"/>
                <w:rFonts w:hint="eastAsia"/>
              </w:rPr>
              <w:t>质量保证期：</w:t>
            </w:r>
            <w:r>
              <w:rPr>
                <w:rStyle w:val="11"/>
                <w:rFonts w:hint="eastAsia"/>
              </w:rPr>
              <w:t>2年</w:t>
            </w:r>
          </w:p>
        </w:tc>
      </w:tr>
      <w:tr w14:paraId="0B8D8E28">
        <w:tblPrEx>
          <w:tblCellMar>
            <w:top w:w="0" w:type="dxa"/>
            <w:left w:w="0" w:type="dxa"/>
            <w:bottom w:w="0" w:type="dxa"/>
            <w:right w:w="0" w:type="dxa"/>
          </w:tblCellMar>
        </w:tblPrEx>
        <w:trPr>
          <w:wBefore w:w="0" w:type="auto"/>
          <w:tblCellSpacing w:w="0" w:type="dxa"/>
        </w:trPr>
        <w:tc>
          <w:tcPr>
            <w:tcW w:w="0" w:type="auto"/>
            <w:noWrap w:val="0"/>
            <w:vAlign w:val="center"/>
          </w:tcPr>
          <w:p w14:paraId="7D411583">
            <w:r>
              <w:rPr>
                <w:rStyle w:val="10"/>
                <w:rFonts w:hint="eastAsia"/>
              </w:rPr>
              <w:t>备注：</w:t>
            </w:r>
          </w:p>
        </w:tc>
      </w:tr>
    </w:tbl>
    <w:p w14:paraId="42863DB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D50DA6">
        <w:tblPrEx>
          <w:tblCellMar>
            <w:top w:w="0" w:type="dxa"/>
            <w:left w:w="0" w:type="dxa"/>
            <w:bottom w:w="0" w:type="dxa"/>
            <w:right w:w="0" w:type="dxa"/>
          </w:tblCellMar>
        </w:tblPrEx>
        <w:trPr>
          <w:wBefore w:w="0" w:type="auto"/>
          <w:tblCellSpacing w:w="0" w:type="dxa"/>
        </w:trPr>
        <w:tc>
          <w:tcPr>
            <w:tcW w:w="0" w:type="auto"/>
            <w:noWrap w:val="0"/>
            <w:vAlign w:val="center"/>
          </w:tcPr>
          <w:p w14:paraId="6F38600E">
            <w:r>
              <w:rPr>
                <w:rStyle w:val="10"/>
                <w:rFonts w:hint="eastAsia"/>
              </w:rPr>
              <w:t>登记证号：</w:t>
            </w:r>
            <w:r>
              <w:rPr>
                <w:rFonts w:hint="eastAsia"/>
              </w:rPr>
              <w:t>PD20190114</w:t>
            </w:r>
          </w:p>
        </w:tc>
      </w:tr>
      <w:tr w14:paraId="7B2E96E4">
        <w:tblPrEx>
          <w:tblCellMar>
            <w:top w:w="0" w:type="dxa"/>
            <w:left w:w="0" w:type="dxa"/>
            <w:bottom w:w="0" w:type="dxa"/>
            <w:right w:w="0" w:type="dxa"/>
          </w:tblCellMar>
        </w:tblPrEx>
        <w:trPr>
          <w:wBefore w:w="0" w:type="auto"/>
          <w:tblCellSpacing w:w="0" w:type="dxa"/>
        </w:trPr>
        <w:tc>
          <w:tcPr>
            <w:tcW w:w="0" w:type="auto"/>
            <w:noWrap w:val="0"/>
            <w:vAlign w:val="center"/>
          </w:tcPr>
          <w:p w14:paraId="6FE47871">
            <w:r>
              <w:rPr>
                <w:rStyle w:val="10"/>
                <w:rFonts w:hint="eastAsia"/>
              </w:rPr>
              <w:t>登记证持有人：</w:t>
            </w:r>
            <w:r>
              <w:rPr>
                <w:rFonts w:hint="eastAsia"/>
              </w:rPr>
              <w:t>湖南大方农化股份有限公司</w:t>
            </w:r>
          </w:p>
        </w:tc>
      </w:tr>
      <w:tr w14:paraId="586534F8">
        <w:tblPrEx>
          <w:tblCellMar>
            <w:top w:w="0" w:type="dxa"/>
            <w:left w:w="0" w:type="dxa"/>
            <w:bottom w:w="0" w:type="dxa"/>
            <w:right w:w="0" w:type="dxa"/>
          </w:tblCellMar>
        </w:tblPrEx>
        <w:trPr>
          <w:wBefore w:w="0" w:type="auto"/>
          <w:tblCellSpacing w:w="0" w:type="dxa"/>
        </w:trPr>
        <w:tc>
          <w:tcPr>
            <w:tcW w:w="0" w:type="auto"/>
            <w:noWrap w:val="0"/>
            <w:vAlign w:val="center"/>
          </w:tcPr>
          <w:p w14:paraId="39E854B4">
            <w:r>
              <w:rPr>
                <w:rStyle w:val="10"/>
                <w:rFonts w:hint="eastAsia"/>
              </w:rPr>
              <w:t>农药名称：</w:t>
            </w:r>
            <w:r>
              <w:rPr>
                <w:rFonts w:hint="eastAsia"/>
              </w:rPr>
              <w:t>噻虫·咯·霜灵</w:t>
            </w:r>
          </w:p>
        </w:tc>
      </w:tr>
      <w:tr w14:paraId="2426EE92">
        <w:tblPrEx>
          <w:tblCellMar>
            <w:top w:w="0" w:type="dxa"/>
            <w:left w:w="0" w:type="dxa"/>
            <w:bottom w:w="0" w:type="dxa"/>
            <w:right w:w="0" w:type="dxa"/>
          </w:tblCellMar>
        </w:tblPrEx>
        <w:trPr>
          <w:wBefore w:w="0" w:type="auto"/>
          <w:tblCellSpacing w:w="0" w:type="dxa"/>
        </w:trPr>
        <w:tc>
          <w:tcPr>
            <w:tcW w:w="0" w:type="auto"/>
            <w:noWrap w:val="0"/>
            <w:vAlign w:val="center"/>
          </w:tcPr>
          <w:p w14:paraId="42AB176B">
            <w:r>
              <w:rPr>
                <w:rStyle w:val="10"/>
                <w:rFonts w:hint="eastAsia"/>
              </w:rPr>
              <w:t>剂型：</w:t>
            </w:r>
            <w:r>
              <w:rPr>
                <w:rFonts w:hint="eastAsia"/>
              </w:rPr>
              <w:t>种子处理悬浮剂</w:t>
            </w:r>
          </w:p>
        </w:tc>
      </w:tr>
      <w:tr w14:paraId="3036F199">
        <w:tblPrEx>
          <w:tblCellMar>
            <w:top w:w="0" w:type="dxa"/>
            <w:left w:w="0" w:type="dxa"/>
            <w:bottom w:w="0" w:type="dxa"/>
            <w:right w:w="0" w:type="dxa"/>
          </w:tblCellMar>
        </w:tblPrEx>
        <w:trPr>
          <w:wBefore w:w="0" w:type="auto"/>
          <w:tblCellSpacing w:w="0" w:type="dxa"/>
        </w:trPr>
        <w:tc>
          <w:tcPr>
            <w:tcW w:w="0" w:type="auto"/>
            <w:noWrap w:val="0"/>
            <w:vAlign w:val="center"/>
          </w:tcPr>
          <w:p w14:paraId="5F568FE2">
            <w:r>
              <w:rPr>
                <w:rStyle w:val="10"/>
                <w:rFonts w:hint="eastAsia"/>
              </w:rPr>
              <w:t>毒性及其标识：</w:t>
            </w:r>
            <w:r>
              <w:rPr>
                <w:rFonts w:hint="eastAsia"/>
              </w:rPr>
              <w:t xml:space="preserve"> </w:t>
            </w:r>
            <w:r>
              <w:rPr>
                <w:lang/>
              </w:rPr>
              <w:drawing>
                <wp:inline distT="0" distB="0" distL="114300" distR="114300">
                  <wp:extent cx="476250" cy="323850"/>
                  <wp:effectExtent l="0" t="0" r="0" b="0"/>
                  <wp:docPr id="9" name="图片 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560A21D">
        <w:tblPrEx>
          <w:tblCellMar>
            <w:top w:w="0" w:type="dxa"/>
            <w:left w:w="0" w:type="dxa"/>
            <w:bottom w:w="0" w:type="dxa"/>
            <w:right w:w="0" w:type="dxa"/>
          </w:tblCellMar>
        </w:tblPrEx>
        <w:trPr>
          <w:wBefore w:w="0" w:type="auto"/>
          <w:tblCellSpacing w:w="0" w:type="dxa"/>
        </w:trPr>
        <w:tc>
          <w:tcPr>
            <w:tcW w:w="0" w:type="auto"/>
            <w:noWrap w:val="0"/>
            <w:vAlign w:val="center"/>
          </w:tcPr>
          <w:p w14:paraId="12055563">
            <w:r>
              <w:rPr>
                <w:rStyle w:val="10"/>
                <w:rFonts w:hint="eastAsia"/>
              </w:rPr>
              <w:t>总有效成分含量：</w:t>
            </w:r>
            <w:r>
              <w:rPr>
                <w:rFonts w:hint="eastAsia"/>
              </w:rPr>
              <w:t>25%</w:t>
            </w:r>
          </w:p>
        </w:tc>
      </w:tr>
      <w:tr w14:paraId="293D90C9">
        <w:tblPrEx>
          <w:tblCellMar>
            <w:top w:w="0" w:type="dxa"/>
            <w:left w:w="0" w:type="dxa"/>
            <w:bottom w:w="0" w:type="dxa"/>
            <w:right w:w="0" w:type="dxa"/>
          </w:tblCellMar>
        </w:tblPrEx>
        <w:trPr>
          <w:wBefore w:w="0" w:type="auto"/>
          <w:tblCellSpacing w:w="0" w:type="dxa"/>
        </w:trPr>
        <w:tc>
          <w:tcPr>
            <w:tcW w:w="0" w:type="auto"/>
            <w:noWrap w:val="0"/>
            <w:vAlign w:val="center"/>
          </w:tcPr>
          <w:p w14:paraId="03B55F82">
            <w:r>
              <w:rPr>
                <w:rFonts w:hint="eastAsia"/>
              </w:rPr>
              <w:t xml:space="preserve">有效成分及其含量： </w:t>
            </w:r>
          </w:p>
          <w:p w14:paraId="3C1E1464">
            <w:r>
              <w:rPr>
                <w:rFonts w:hint="eastAsia"/>
              </w:rPr>
              <w:t xml:space="preserve">    噻虫嗪22.2%    咯菌腈1.1%    精甲霜灵1.7%    </w:t>
            </w:r>
          </w:p>
        </w:tc>
      </w:tr>
      <w:tr w14:paraId="666019BC">
        <w:tblPrEx>
          <w:tblCellMar>
            <w:top w:w="0" w:type="dxa"/>
            <w:left w:w="0" w:type="dxa"/>
            <w:bottom w:w="0" w:type="dxa"/>
            <w:right w:w="0" w:type="dxa"/>
          </w:tblCellMar>
        </w:tblPrEx>
        <w:trPr>
          <w:wBefore w:w="0" w:type="auto"/>
          <w:tblCellSpacing w:w="0" w:type="dxa"/>
        </w:trPr>
        <w:tc>
          <w:tcPr>
            <w:tcW w:w="0" w:type="auto"/>
            <w:noWrap w:val="0"/>
            <w:vAlign w:val="center"/>
          </w:tcPr>
          <w:p w14:paraId="5BBF51A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85A21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EBAEE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3022A6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94F086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E365BF">
                  <w:r>
                    <w:rPr>
                      <w:rStyle w:val="11"/>
                      <w:rFonts w:hint="eastAsia"/>
                    </w:rPr>
                    <w:t>施用方式</w:t>
                  </w:r>
                </w:p>
              </w:tc>
            </w:tr>
            <w:tr w14:paraId="0A751E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6C5BE0">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AB47B4">
                  <w:r>
                    <w:rPr>
                      <w:rStyle w:val="11"/>
                      <w:rFonts w:hint="eastAsia"/>
                    </w:rPr>
                    <w:t>烂秧病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BF245D">
                  <w:r>
                    <w:rPr>
                      <w:rStyle w:val="11"/>
                      <w:rFonts w:hint="eastAsia"/>
                    </w:rPr>
                    <w:t>200-300毫升/100千克种子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FFD3C2">
                  <w:r>
                    <w:rPr>
                      <w:rStyle w:val="11"/>
                      <w:rFonts w:hint="eastAsia"/>
                    </w:rPr>
                    <w:t>种子包衣</w:t>
                  </w:r>
                </w:p>
              </w:tc>
            </w:tr>
          </w:tbl>
          <w:p w14:paraId="47992785">
            <w:pPr>
              <w:rPr>
                <w:rFonts w:ascii="Times New Roman" w:hAnsi="Times New Roman" w:cs="Times New Roman"/>
                <w:sz w:val="20"/>
                <w:szCs w:val="20"/>
              </w:rPr>
            </w:pPr>
          </w:p>
        </w:tc>
      </w:tr>
      <w:tr w14:paraId="4F827D80">
        <w:tblPrEx>
          <w:tblCellMar>
            <w:top w:w="0" w:type="dxa"/>
            <w:left w:w="0" w:type="dxa"/>
            <w:bottom w:w="0" w:type="dxa"/>
            <w:right w:w="0" w:type="dxa"/>
          </w:tblCellMar>
        </w:tblPrEx>
        <w:trPr>
          <w:wBefore w:w="0" w:type="auto"/>
          <w:tblCellSpacing w:w="0" w:type="dxa"/>
        </w:trPr>
        <w:tc>
          <w:tcPr>
            <w:tcW w:w="0" w:type="auto"/>
            <w:noWrap w:val="0"/>
            <w:vAlign w:val="center"/>
          </w:tcPr>
          <w:p w14:paraId="0ACB2EC7">
            <w:r>
              <w:rPr>
                <w:rStyle w:val="10"/>
                <w:rFonts w:hint="eastAsia"/>
              </w:rPr>
              <w:t>使用技术要求:</w:t>
            </w:r>
            <w:r>
              <w:rPr>
                <w:rFonts w:hint="eastAsia"/>
              </w:rPr>
              <w:br w:type="textWrapping"/>
            </w:r>
            <w:r>
              <w:rPr>
                <w:rStyle w:val="11"/>
                <w:rFonts w:hint="eastAsia"/>
              </w:rPr>
              <w:t>应于播种前进行种子包衣。种子包衣方法：按照播种量，取推荐剂量的药剂，使用前摇匀，加入适量的水并搅拌均匀为药浆，药种比为1：50-100，即100公斤种子，对应的的药浆为1-2升，将种子倒入，充分搅拌均匀，晾干后即可播种。配置好的药液必须在24小时内使用，直接拌种或催芽露白拌种均可。</w:t>
            </w:r>
          </w:p>
        </w:tc>
      </w:tr>
      <w:tr w14:paraId="73796C68">
        <w:tblPrEx>
          <w:tblCellMar>
            <w:top w:w="0" w:type="dxa"/>
            <w:left w:w="0" w:type="dxa"/>
            <w:bottom w:w="0" w:type="dxa"/>
            <w:right w:w="0" w:type="dxa"/>
          </w:tblCellMar>
        </w:tblPrEx>
        <w:trPr>
          <w:wBefore w:w="0" w:type="auto"/>
          <w:tblCellSpacing w:w="0" w:type="dxa"/>
        </w:trPr>
        <w:tc>
          <w:tcPr>
            <w:tcW w:w="0" w:type="auto"/>
            <w:noWrap w:val="0"/>
            <w:vAlign w:val="center"/>
          </w:tcPr>
          <w:p w14:paraId="72BFFAFC">
            <w:r>
              <w:rPr>
                <w:rStyle w:val="10"/>
                <w:rFonts w:hint="eastAsia"/>
              </w:rPr>
              <w:t>产品性能:</w:t>
            </w:r>
            <w:r>
              <w:rPr>
                <w:rFonts w:hint="eastAsia"/>
              </w:rPr>
              <w:br w:type="textWrapping"/>
            </w:r>
            <w:r>
              <w:rPr>
                <w:rStyle w:val="11"/>
                <w:rFonts w:hint="eastAsia"/>
              </w:rPr>
              <w:t>三元复配杀虫杀菌剂。其中的噻虫嗪是一种结构全新的烟碱类杀虫剂。用于种子处理，可被作物根迅速内吸，并传导到植株各部位。精甲霜灵为内吸性苯胺类化合物，对卵菌纲真菌如腐霉、绵霉等低等真菌引起的多种种传和土传病害有较好防效。咯菌腈为非内吸苯吡咯类化合物，对子囊菌、担子菌、半知菌等病原菌引起的种传和土传病害有较好防效</w:t>
            </w:r>
          </w:p>
        </w:tc>
      </w:tr>
      <w:tr w14:paraId="44B7B300">
        <w:tblPrEx>
          <w:tblCellMar>
            <w:top w:w="0" w:type="dxa"/>
            <w:left w:w="0" w:type="dxa"/>
            <w:bottom w:w="0" w:type="dxa"/>
            <w:right w:w="0" w:type="dxa"/>
          </w:tblCellMar>
        </w:tblPrEx>
        <w:trPr>
          <w:wBefore w:w="0" w:type="auto"/>
          <w:tblCellSpacing w:w="0" w:type="dxa"/>
        </w:trPr>
        <w:tc>
          <w:tcPr>
            <w:tcW w:w="0" w:type="auto"/>
            <w:noWrap w:val="0"/>
            <w:vAlign w:val="center"/>
          </w:tcPr>
          <w:p w14:paraId="5BC0EADD">
            <w:r>
              <w:rPr>
                <w:rStyle w:val="10"/>
                <w:rFonts w:hint="eastAsia"/>
              </w:rPr>
              <w:t>注意事项：</w:t>
            </w:r>
            <w:r>
              <w:rPr>
                <w:rFonts w:hint="eastAsia"/>
              </w:rPr>
              <w:br w:type="textWrapping"/>
            </w:r>
            <w:r>
              <w:rPr>
                <w:rStyle w:val="11"/>
                <w:rFonts w:hint="eastAsia"/>
              </w:rPr>
              <w:t>1.请按照农药安全使用准则使用本品。药液及其废液不得污染各类水域，土壤等环境。在种子处理过程中，避免药液接触皮肤、眼睛和污染衣物，避免吸入药液。 2.配药和种子处理应在通风处进行，操作人员应戴防渗手套、口罩、穿长袖衣、长裤、靴子等。 此时不可饮食、吸烟等。种子处理结束后，彻底清洗防护用具，洗澡，并更换和清洗工作服。 3.鸟类保护区附近禁用，施药后立即覆土。4.用药后包装物及用过的容器应妥善处理，不可做他用，也不可随意丢弃。所有施药器具所有施药器具，用后应立即用清水或适当的洗涤剂清洗。水产养殖区、河塘等水体附近禁用，禁止在河塘等水体中清洗施药器具。5.（周围）开花植物花期禁用，使用时应密切关注对附近蜂群的影响；勿将本品及其废液弃于池塘、河溪、湖泊等，以免污染水源。 6..孕妇及哺乳期的妇女避免接触本品。7.鱼或虾蟹套养稻田禁用、施药后的田水不得直接排入水体。</w:t>
            </w:r>
          </w:p>
        </w:tc>
      </w:tr>
      <w:tr w14:paraId="10658D88">
        <w:tblPrEx>
          <w:tblCellMar>
            <w:top w:w="0" w:type="dxa"/>
            <w:left w:w="0" w:type="dxa"/>
            <w:bottom w:w="0" w:type="dxa"/>
            <w:right w:w="0" w:type="dxa"/>
          </w:tblCellMar>
        </w:tblPrEx>
        <w:trPr>
          <w:wBefore w:w="0" w:type="auto"/>
          <w:tblCellSpacing w:w="0" w:type="dxa"/>
        </w:trPr>
        <w:tc>
          <w:tcPr>
            <w:tcW w:w="0" w:type="auto"/>
            <w:noWrap w:val="0"/>
            <w:vAlign w:val="center"/>
          </w:tcPr>
          <w:p w14:paraId="09E882D5">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 2.皮肤接触：立即脱掉被污染的衣物，用肥皂和大量清水彻底清洗受污染的皮肤。必要时请医生诊治。 3.眼睛溅药：立即将眼睑翻开，用清水冲洗至少15分钟，再请医生诊治。 4.发生吸入：立即将吸入者转移到空气新鲜处，注意保暖和休息，请医生诊治。 5.误服：请勿引吐。立即携带标签，送医就诊。紧急医疗措施：使用医用活性炭洗胃，洗胃时注意防止胃容物进入呼吸道。注意：对昏迷病人，切勿经口喂入任何东西或引吐。 解毒剂：无专用解毒剂，对症治疗</w:t>
            </w:r>
          </w:p>
        </w:tc>
      </w:tr>
      <w:tr w14:paraId="6A2AAFF5">
        <w:tblPrEx>
          <w:tblCellMar>
            <w:top w:w="0" w:type="dxa"/>
            <w:left w:w="0" w:type="dxa"/>
            <w:bottom w:w="0" w:type="dxa"/>
            <w:right w:w="0" w:type="dxa"/>
          </w:tblCellMar>
        </w:tblPrEx>
        <w:trPr>
          <w:wBefore w:w="0" w:type="auto"/>
          <w:tblCellSpacing w:w="0" w:type="dxa"/>
        </w:trPr>
        <w:tc>
          <w:tcPr>
            <w:tcW w:w="0" w:type="auto"/>
            <w:noWrap w:val="0"/>
            <w:vAlign w:val="center"/>
          </w:tcPr>
          <w:p w14:paraId="29557A77">
            <w:r>
              <w:rPr>
                <w:rStyle w:val="10"/>
                <w:rFonts w:hint="eastAsia"/>
              </w:rPr>
              <w:t>储存和运输方法：</w:t>
            </w:r>
            <w:r>
              <w:rPr>
                <w:rFonts w:hint="eastAsia"/>
              </w:rPr>
              <w:br w:type="textWrapping"/>
            </w:r>
            <w:r>
              <w:rPr>
                <w:rStyle w:val="11"/>
                <w:rFonts w:hint="eastAsia"/>
              </w:rPr>
              <w:t>本品贮存应注意阴凉、干燥、通风，远离火源或热源。置于儿童接触不到的地方，并加锁；不能与食品、饮料、粮食、饲料等混合储存。</w:t>
            </w:r>
          </w:p>
        </w:tc>
      </w:tr>
      <w:tr w14:paraId="7D78D60D">
        <w:tblPrEx>
          <w:tblCellMar>
            <w:top w:w="0" w:type="dxa"/>
            <w:left w:w="0" w:type="dxa"/>
            <w:bottom w:w="0" w:type="dxa"/>
            <w:right w:w="0" w:type="dxa"/>
          </w:tblCellMar>
        </w:tblPrEx>
        <w:trPr>
          <w:wBefore w:w="0" w:type="auto"/>
          <w:tblCellSpacing w:w="0" w:type="dxa"/>
        </w:trPr>
        <w:tc>
          <w:tcPr>
            <w:tcW w:w="0" w:type="auto"/>
            <w:noWrap w:val="0"/>
            <w:vAlign w:val="center"/>
          </w:tcPr>
          <w:p w14:paraId="4B484C1D">
            <w:r>
              <w:rPr>
                <w:rStyle w:val="10"/>
                <w:rFonts w:hint="eastAsia"/>
              </w:rPr>
              <w:t>质量保证期：</w:t>
            </w:r>
            <w:r>
              <w:rPr>
                <w:rStyle w:val="11"/>
                <w:rFonts w:hint="eastAsia"/>
              </w:rPr>
              <w:t>2年</w:t>
            </w:r>
          </w:p>
        </w:tc>
      </w:tr>
      <w:tr w14:paraId="218B600E">
        <w:tblPrEx>
          <w:tblCellMar>
            <w:top w:w="0" w:type="dxa"/>
            <w:left w:w="0" w:type="dxa"/>
            <w:bottom w:w="0" w:type="dxa"/>
            <w:right w:w="0" w:type="dxa"/>
          </w:tblCellMar>
        </w:tblPrEx>
        <w:trPr>
          <w:wBefore w:w="0" w:type="auto"/>
          <w:tblCellSpacing w:w="0" w:type="dxa"/>
        </w:trPr>
        <w:tc>
          <w:tcPr>
            <w:tcW w:w="0" w:type="auto"/>
            <w:noWrap w:val="0"/>
            <w:vAlign w:val="center"/>
          </w:tcPr>
          <w:p w14:paraId="22292EB1">
            <w:r>
              <w:rPr>
                <w:rStyle w:val="10"/>
                <w:rFonts w:hint="eastAsia"/>
              </w:rPr>
              <w:t>备注：</w:t>
            </w:r>
          </w:p>
        </w:tc>
      </w:tr>
    </w:tbl>
    <w:p w14:paraId="3DD80BF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08D413A">
        <w:trPr>
          <w:wBefore w:w="0" w:type="auto"/>
          <w:tblCellSpacing w:w="0" w:type="dxa"/>
        </w:trPr>
        <w:tc>
          <w:tcPr>
            <w:tcW w:w="0" w:type="auto"/>
            <w:noWrap w:val="0"/>
            <w:vAlign w:val="center"/>
          </w:tcPr>
          <w:p w14:paraId="0939A9D4">
            <w:r>
              <w:rPr>
                <w:rStyle w:val="10"/>
                <w:rFonts w:hint="eastAsia"/>
              </w:rPr>
              <w:t>登记证号：</w:t>
            </w:r>
            <w:r>
              <w:rPr>
                <w:rFonts w:hint="eastAsia"/>
              </w:rPr>
              <w:t>PD20211712</w:t>
            </w:r>
          </w:p>
        </w:tc>
      </w:tr>
      <w:tr w14:paraId="5F1E4CBD">
        <w:tblPrEx>
          <w:tblCellMar>
            <w:top w:w="0" w:type="dxa"/>
            <w:left w:w="0" w:type="dxa"/>
            <w:bottom w:w="0" w:type="dxa"/>
            <w:right w:w="0" w:type="dxa"/>
          </w:tblCellMar>
        </w:tblPrEx>
        <w:trPr>
          <w:wBefore w:w="0" w:type="auto"/>
          <w:tblCellSpacing w:w="0" w:type="dxa"/>
        </w:trPr>
        <w:tc>
          <w:tcPr>
            <w:tcW w:w="0" w:type="auto"/>
            <w:noWrap w:val="0"/>
            <w:vAlign w:val="center"/>
          </w:tcPr>
          <w:p w14:paraId="3D809354">
            <w:r>
              <w:rPr>
                <w:rStyle w:val="10"/>
                <w:rFonts w:hint="eastAsia"/>
              </w:rPr>
              <w:t>登记证持有人：</w:t>
            </w:r>
            <w:r>
              <w:rPr>
                <w:rFonts w:hint="eastAsia"/>
              </w:rPr>
              <w:t>六夫丁作物保护有限公司</w:t>
            </w:r>
          </w:p>
        </w:tc>
      </w:tr>
      <w:tr w14:paraId="278B30E4">
        <w:tblPrEx>
          <w:tblCellMar>
            <w:top w:w="0" w:type="dxa"/>
            <w:left w:w="0" w:type="dxa"/>
            <w:bottom w:w="0" w:type="dxa"/>
            <w:right w:w="0" w:type="dxa"/>
          </w:tblCellMar>
        </w:tblPrEx>
        <w:trPr>
          <w:wBefore w:w="0" w:type="auto"/>
          <w:tblCellSpacing w:w="0" w:type="dxa"/>
        </w:trPr>
        <w:tc>
          <w:tcPr>
            <w:tcW w:w="0" w:type="auto"/>
            <w:noWrap w:val="0"/>
            <w:vAlign w:val="center"/>
          </w:tcPr>
          <w:p w14:paraId="780D5C66">
            <w:r>
              <w:rPr>
                <w:rStyle w:val="10"/>
                <w:rFonts w:hint="eastAsia"/>
              </w:rPr>
              <w:t>农药名称：</w:t>
            </w:r>
            <w:r>
              <w:rPr>
                <w:rFonts w:hint="eastAsia"/>
              </w:rPr>
              <w:t>氟啶虫酰胺·联苯菊酯</w:t>
            </w:r>
          </w:p>
        </w:tc>
      </w:tr>
      <w:tr w14:paraId="34B75302">
        <w:tblPrEx>
          <w:tblCellMar>
            <w:top w:w="0" w:type="dxa"/>
            <w:left w:w="0" w:type="dxa"/>
            <w:bottom w:w="0" w:type="dxa"/>
            <w:right w:w="0" w:type="dxa"/>
          </w:tblCellMar>
        </w:tblPrEx>
        <w:trPr>
          <w:wBefore w:w="0" w:type="auto"/>
          <w:tblCellSpacing w:w="0" w:type="dxa"/>
        </w:trPr>
        <w:tc>
          <w:tcPr>
            <w:tcW w:w="0" w:type="auto"/>
            <w:noWrap w:val="0"/>
            <w:vAlign w:val="center"/>
          </w:tcPr>
          <w:p w14:paraId="5E5EC585">
            <w:r>
              <w:rPr>
                <w:rStyle w:val="10"/>
                <w:rFonts w:hint="eastAsia"/>
              </w:rPr>
              <w:t>剂型：</w:t>
            </w:r>
            <w:r>
              <w:rPr>
                <w:rFonts w:hint="eastAsia"/>
              </w:rPr>
              <w:t>悬浮剂</w:t>
            </w:r>
          </w:p>
        </w:tc>
      </w:tr>
      <w:tr w14:paraId="2A7E58AD">
        <w:tblPrEx>
          <w:tblCellMar>
            <w:top w:w="0" w:type="dxa"/>
            <w:left w:w="0" w:type="dxa"/>
            <w:bottom w:w="0" w:type="dxa"/>
            <w:right w:w="0" w:type="dxa"/>
          </w:tblCellMar>
        </w:tblPrEx>
        <w:trPr>
          <w:wBefore w:w="0" w:type="auto"/>
          <w:tblCellSpacing w:w="0" w:type="dxa"/>
        </w:trPr>
        <w:tc>
          <w:tcPr>
            <w:tcW w:w="0" w:type="auto"/>
            <w:noWrap w:val="0"/>
            <w:vAlign w:val="center"/>
          </w:tcPr>
          <w:p w14:paraId="7207BF4C">
            <w:r>
              <w:rPr>
                <w:rStyle w:val="10"/>
                <w:rFonts w:hint="eastAsia"/>
              </w:rPr>
              <w:t>毒性及其标识：</w:t>
            </w:r>
            <w:r>
              <w:rPr>
                <w:rFonts w:hint="eastAsia"/>
              </w:rPr>
              <w:t xml:space="preserve"> </w:t>
            </w:r>
            <w:r>
              <w:rPr>
                <w:lang/>
              </w:rPr>
              <w:drawing>
                <wp:inline distT="0" distB="0" distL="114300" distR="114300">
                  <wp:extent cx="476250" cy="323850"/>
                  <wp:effectExtent l="0" t="0" r="0" b="0"/>
                  <wp:docPr id="10" name="图片 1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27E4A5C">
        <w:tblPrEx>
          <w:tblCellMar>
            <w:top w:w="0" w:type="dxa"/>
            <w:left w:w="0" w:type="dxa"/>
            <w:bottom w:w="0" w:type="dxa"/>
            <w:right w:w="0" w:type="dxa"/>
          </w:tblCellMar>
        </w:tblPrEx>
        <w:trPr>
          <w:wBefore w:w="0" w:type="auto"/>
          <w:tblCellSpacing w:w="0" w:type="dxa"/>
        </w:trPr>
        <w:tc>
          <w:tcPr>
            <w:tcW w:w="0" w:type="auto"/>
            <w:noWrap w:val="0"/>
            <w:vAlign w:val="center"/>
          </w:tcPr>
          <w:p w14:paraId="01BBD4C4">
            <w:r>
              <w:rPr>
                <w:rStyle w:val="10"/>
                <w:rFonts w:hint="eastAsia"/>
              </w:rPr>
              <w:t>总有效成分含量：</w:t>
            </w:r>
            <w:r>
              <w:rPr>
                <w:rFonts w:hint="eastAsia"/>
              </w:rPr>
              <w:t>20%</w:t>
            </w:r>
          </w:p>
        </w:tc>
      </w:tr>
      <w:tr w14:paraId="4A533EFD">
        <w:tblPrEx>
          <w:tblCellMar>
            <w:top w:w="0" w:type="dxa"/>
            <w:left w:w="0" w:type="dxa"/>
            <w:bottom w:w="0" w:type="dxa"/>
            <w:right w:w="0" w:type="dxa"/>
          </w:tblCellMar>
        </w:tblPrEx>
        <w:trPr>
          <w:wBefore w:w="0" w:type="auto"/>
          <w:tblCellSpacing w:w="0" w:type="dxa"/>
        </w:trPr>
        <w:tc>
          <w:tcPr>
            <w:tcW w:w="0" w:type="auto"/>
            <w:noWrap w:val="0"/>
            <w:vAlign w:val="center"/>
          </w:tcPr>
          <w:p w14:paraId="7D524930">
            <w:r>
              <w:rPr>
                <w:rFonts w:hint="eastAsia"/>
              </w:rPr>
              <w:t xml:space="preserve">有效成分及其含量： </w:t>
            </w:r>
          </w:p>
          <w:p w14:paraId="34A8A4FF">
            <w:r>
              <w:rPr>
                <w:rFonts w:hint="eastAsia"/>
              </w:rPr>
              <w:t xml:space="preserve">    氟啶虫酰胺15%    联苯菊酯5%    </w:t>
            </w:r>
          </w:p>
        </w:tc>
      </w:tr>
      <w:tr w14:paraId="5AD27098">
        <w:tblPrEx>
          <w:tblCellMar>
            <w:top w:w="0" w:type="dxa"/>
            <w:left w:w="0" w:type="dxa"/>
            <w:bottom w:w="0" w:type="dxa"/>
            <w:right w:w="0" w:type="dxa"/>
          </w:tblCellMar>
        </w:tblPrEx>
        <w:trPr>
          <w:wBefore w:w="0" w:type="auto"/>
          <w:tblCellSpacing w:w="0" w:type="dxa"/>
        </w:trPr>
        <w:tc>
          <w:tcPr>
            <w:tcW w:w="0" w:type="auto"/>
            <w:noWrap w:val="0"/>
            <w:vAlign w:val="center"/>
          </w:tcPr>
          <w:p w14:paraId="658A8CF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068D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3E13AB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7FB09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7DFB6D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C0ADB8F">
                  <w:r>
                    <w:rPr>
                      <w:rStyle w:val="11"/>
                      <w:rFonts w:hint="eastAsia"/>
                    </w:rPr>
                    <w:t>施用方式</w:t>
                  </w:r>
                </w:p>
              </w:tc>
            </w:tr>
            <w:tr w14:paraId="69926A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A1CD913">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3D3571">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0E8BCF">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0B6A40">
                  <w:r>
                    <w:rPr>
                      <w:rStyle w:val="11"/>
                      <w:rFonts w:hint="eastAsia"/>
                    </w:rPr>
                    <w:t>喷雾</w:t>
                  </w:r>
                </w:p>
              </w:tc>
            </w:tr>
          </w:tbl>
          <w:p w14:paraId="088EAA22">
            <w:pPr>
              <w:rPr>
                <w:rFonts w:ascii="Times New Roman" w:hAnsi="Times New Roman" w:cs="Times New Roman"/>
                <w:sz w:val="20"/>
                <w:szCs w:val="20"/>
              </w:rPr>
            </w:pPr>
          </w:p>
        </w:tc>
      </w:tr>
      <w:tr w14:paraId="43521682">
        <w:tblPrEx>
          <w:tblCellMar>
            <w:top w:w="0" w:type="dxa"/>
            <w:left w:w="0" w:type="dxa"/>
            <w:bottom w:w="0" w:type="dxa"/>
            <w:right w:w="0" w:type="dxa"/>
          </w:tblCellMar>
        </w:tblPrEx>
        <w:trPr>
          <w:wBefore w:w="0" w:type="auto"/>
          <w:tblCellSpacing w:w="0" w:type="dxa"/>
        </w:trPr>
        <w:tc>
          <w:tcPr>
            <w:tcW w:w="0" w:type="auto"/>
            <w:noWrap w:val="0"/>
            <w:vAlign w:val="center"/>
          </w:tcPr>
          <w:p w14:paraId="094B4430">
            <w:r>
              <w:rPr>
                <w:rStyle w:val="10"/>
                <w:rFonts w:hint="eastAsia"/>
              </w:rPr>
              <w:t>使用技术要求:</w:t>
            </w:r>
            <w:r>
              <w:rPr>
                <w:rFonts w:hint="eastAsia"/>
              </w:rPr>
              <w:br w:type="textWrapping"/>
            </w:r>
            <w:r>
              <w:rPr>
                <w:rStyle w:val="11"/>
                <w:rFonts w:hint="eastAsia"/>
              </w:rPr>
              <w:t>1、在甘蓝蚜虫低龄若虫盛发期施药，施药时雾滴要细，喷雾要均匀。 2、本品在甘蓝上使用的安全间隔期为14天，每季作物最多使用1次。 3、大风天或预计1小时内有降雨，请勿施药。</w:t>
            </w:r>
          </w:p>
        </w:tc>
      </w:tr>
      <w:tr w14:paraId="094759BA">
        <w:tblPrEx>
          <w:tblCellMar>
            <w:top w:w="0" w:type="dxa"/>
            <w:left w:w="0" w:type="dxa"/>
            <w:bottom w:w="0" w:type="dxa"/>
            <w:right w:w="0" w:type="dxa"/>
          </w:tblCellMar>
        </w:tblPrEx>
        <w:trPr>
          <w:wBefore w:w="0" w:type="auto"/>
          <w:tblCellSpacing w:w="0" w:type="dxa"/>
        </w:trPr>
        <w:tc>
          <w:tcPr>
            <w:tcW w:w="0" w:type="auto"/>
            <w:noWrap w:val="0"/>
            <w:vAlign w:val="center"/>
          </w:tcPr>
          <w:p w14:paraId="6D989566">
            <w:r>
              <w:rPr>
                <w:rStyle w:val="10"/>
                <w:rFonts w:hint="eastAsia"/>
              </w:rPr>
              <w:t>产品性能:</w:t>
            </w:r>
            <w:r>
              <w:rPr>
                <w:rFonts w:hint="eastAsia"/>
              </w:rPr>
              <w:br w:type="textWrapping"/>
            </w:r>
            <w:r>
              <w:rPr>
                <w:rStyle w:val="11"/>
                <w:rFonts w:hint="eastAsia"/>
              </w:rPr>
              <w:t>联苯菊酯属拟除虫菊酯类杀虫剂，具有触杀、胃毒作用，杀虫谱广、作用迅速。氟啶虫酰胺是一种新型低毒吡啶酰胺类昆虫生长调节剂类杀虫剂，除具有触杀和胃毒作用，还具有很好的神经毒剂和快速拒食作用。该产品可以使得两种药剂的速效性和持效性产生互补效果，降低单剂的用药量，有效提高防治效果。</w:t>
            </w:r>
          </w:p>
        </w:tc>
      </w:tr>
      <w:tr w14:paraId="6A22593B">
        <w:tblPrEx>
          <w:tblCellMar>
            <w:top w:w="0" w:type="dxa"/>
            <w:left w:w="0" w:type="dxa"/>
            <w:bottom w:w="0" w:type="dxa"/>
            <w:right w:w="0" w:type="dxa"/>
          </w:tblCellMar>
        </w:tblPrEx>
        <w:trPr>
          <w:wBefore w:w="0" w:type="auto"/>
          <w:tblCellSpacing w:w="0" w:type="dxa"/>
        </w:trPr>
        <w:tc>
          <w:tcPr>
            <w:tcW w:w="0" w:type="auto"/>
            <w:noWrap w:val="0"/>
            <w:vAlign w:val="center"/>
          </w:tcPr>
          <w:p w14:paraId="3AC60A21">
            <w:r>
              <w:rPr>
                <w:rStyle w:val="10"/>
                <w:rFonts w:hint="eastAsia"/>
              </w:rPr>
              <w:t>注意事项：</w:t>
            </w:r>
            <w:r>
              <w:rPr>
                <w:rFonts w:hint="eastAsia"/>
              </w:rPr>
              <w:br w:type="textWrapping"/>
            </w:r>
            <w:r>
              <w:rPr>
                <w:rStyle w:val="11"/>
                <w:rFonts w:hint="eastAsia"/>
              </w:rPr>
              <w:t>1. 本品不可与呈碱性的农药等物质混合使用。2.使用本品时应穿戴防护服和手套、口罩等，避免眼睛、皮肤接触及口鼻吸入药液。施药期间不可吃东西和饮水，施药后应及时洗手和洗脸。3.本品对蜜蜂、鱼等水生生物、家蚕有毒，施药期间避免对周围蜂群的影响、蜜源/粉源植物花期、蚕室和桑园附近禁用。远离水产养殖区、河塘等水体附近施药，避免药液污染水源，禁止在河塘等水域中清洗施药器具。赤眼蜂等天敌放飞区域禁用。4.用过的容器应妥善处理，不可做他用，也不可随意丢弃。5.孕妇及哺乳期妇女应避免接触本品。6.建议与其他作用机制不同的杀虫剂轮换使用，以延缓抗性的产生。</w:t>
            </w:r>
          </w:p>
        </w:tc>
      </w:tr>
      <w:tr w14:paraId="3256923E">
        <w:tblPrEx>
          <w:tblCellMar>
            <w:top w:w="0" w:type="dxa"/>
            <w:left w:w="0" w:type="dxa"/>
            <w:bottom w:w="0" w:type="dxa"/>
            <w:right w:w="0" w:type="dxa"/>
          </w:tblCellMar>
        </w:tblPrEx>
        <w:trPr>
          <w:wBefore w:w="0" w:type="auto"/>
          <w:tblCellSpacing w:w="0" w:type="dxa"/>
        </w:trPr>
        <w:tc>
          <w:tcPr>
            <w:tcW w:w="0" w:type="auto"/>
            <w:noWrap w:val="0"/>
            <w:vAlign w:val="center"/>
          </w:tcPr>
          <w:p w14:paraId="61397B18">
            <w:r>
              <w:rPr>
                <w:rStyle w:val="10"/>
                <w:rFonts w:hint="eastAsia"/>
              </w:rPr>
              <w:t>中毒急救措施：</w:t>
            </w:r>
            <w:r>
              <w:rPr>
                <w:rFonts w:hint="eastAsia"/>
              </w:rPr>
              <w:br w:type="textWrapping"/>
            </w:r>
            <w:r>
              <w:rPr>
                <w:rStyle w:val="11"/>
                <w:rFonts w:hint="eastAsia"/>
              </w:rPr>
              <w:t xml:space="preserve">中毒症状：对眼睛和皮肤有刺激作用。用药时如果感觉不适，立即停止工作，采取急救措施，并携此标签送医就诊。 急救措施：1. 皮肤接触：立即脱掉被污染的衣物，用大量清水冲洗被污染的皮肤，再用肥皂清洗，然后用清水冲净。2.眼睛溅药：立即将眼睑翻开，用清水冲洗至少15分钟，再请医生诊治。3.发生吸入：立即将吸入者转移到空气新鲜处，如果吸入者停止呼吸，需进行人工呼吸。请医生诊治。4. 误服：请勿引吐，立即携此标签，送医就诊。 </w:t>
            </w:r>
          </w:p>
        </w:tc>
      </w:tr>
      <w:tr w14:paraId="2A2B18AA">
        <w:tblPrEx>
          <w:tblCellMar>
            <w:top w:w="0" w:type="dxa"/>
            <w:left w:w="0" w:type="dxa"/>
            <w:bottom w:w="0" w:type="dxa"/>
            <w:right w:w="0" w:type="dxa"/>
          </w:tblCellMar>
        </w:tblPrEx>
        <w:trPr>
          <w:wBefore w:w="0" w:type="auto"/>
          <w:tblCellSpacing w:w="0" w:type="dxa"/>
        </w:trPr>
        <w:tc>
          <w:tcPr>
            <w:tcW w:w="0" w:type="auto"/>
            <w:noWrap w:val="0"/>
            <w:vAlign w:val="center"/>
          </w:tcPr>
          <w:p w14:paraId="517564BD">
            <w:r>
              <w:rPr>
                <w:rStyle w:val="10"/>
                <w:rFonts w:hint="eastAsia"/>
              </w:rPr>
              <w:t>储存和运输方法：</w:t>
            </w:r>
            <w:r>
              <w:rPr>
                <w:rFonts w:hint="eastAsia"/>
              </w:rPr>
              <w:br w:type="textWrapping"/>
            </w:r>
            <w:r>
              <w:rPr>
                <w:rStyle w:val="11"/>
                <w:rFonts w:hint="eastAsia"/>
              </w:rPr>
              <w:t xml:space="preserve">本品应贮存在干燥、通风、阴凉、防雨处，远离火源或热源；本品应置于儿童、无关人员及动物接触不到的地方，并加锁保存；勿与食品、饮料、饲料、粮食等其他商品同贮同运；运输时应注意避光、防高温、雨淋。 </w:t>
            </w:r>
          </w:p>
        </w:tc>
      </w:tr>
      <w:tr w14:paraId="41BD4D6F">
        <w:tblPrEx>
          <w:tblCellMar>
            <w:top w:w="0" w:type="dxa"/>
            <w:left w:w="0" w:type="dxa"/>
            <w:bottom w:w="0" w:type="dxa"/>
            <w:right w:w="0" w:type="dxa"/>
          </w:tblCellMar>
        </w:tblPrEx>
        <w:trPr>
          <w:wBefore w:w="0" w:type="auto"/>
          <w:tblCellSpacing w:w="0" w:type="dxa"/>
        </w:trPr>
        <w:tc>
          <w:tcPr>
            <w:tcW w:w="0" w:type="auto"/>
            <w:noWrap w:val="0"/>
            <w:vAlign w:val="center"/>
          </w:tcPr>
          <w:p w14:paraId="70BECE29">
            <w:r>
              <w:rPr>
                <w:rStyle w:val="10"/>
                <w:rFonts w:hint="eastAsia"/>
              </w:rPr>
              <w:t>质量保证期：</w:t>
            </w:r>
            <w:r>
              <w:rPr>
                <w:rStyle w:val="11"/>
                <w:rFonts w:hint="eastAsia"/>
              </w:rPr>
              <w:t>2年</w:t>
            </w:r>
          </w:p>
        </w:tc>
      </w:tr>
      <w:tr w14:paraId="695859E9">
        <w:tblPrEx>
          <w:tblCellMar>
            <w:top w:w="0" w:type="dxa"/>
            <w:left w:w="0" w:type="dxa"/>
            <w:bottom w:w="0" w:type="dxa"/>
            <w:right w:w="0" w:type="dxa"/>
          </w:tblCellMar>
        </w:tblPrEx>
        <w:trPr>
          <w:wBefore w:w="0" w:type="auto"/>
          <w:tblCellSpacing w:w="0" w:type="dxa"/>
        </w:trPr>
        <w:tc>
          <w:tcPr>
            <w:tcW w:w="0" w:type="auto"/>
            <w:noWrap w:val="0"/>
            <w:vAlign w:val="center"/>
          </w:tcPr>
          <w:p w14:paraId="4E83780B">
            <w:r>
              <w:rPr>
                <w:rStyle w:val="10"/>
                <w:rFonts w:hint="eastAsia"/>
              </w:rPr>
              <w:t>备注：</w:t>
            </w:r>
          </w:p>
        </w:tc>
      </w:tr>
    </w:tbl>
    <w:p w14:paraId="027A940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EA470D0">
        <w:tblPrEx>
          <w:tblCellMar>
            <w:top w:w="0" w:type="dxa"/>
            <w:left w:w="0" w:type="dxa"/>
            <w:bottom w:w="0" w:type="dxa"/>
            <w:right w:w="0" w:type="dxa"/>
          </w:tblCellMar>
        </w:tblPrEx>
        <w:trPr>
          <w:wBefore w:w="0" w:type="auto"/>
          <w:tblCellSpacing w:w="0" w:type="dxa"/>
        </w:trPr>
        <w:tc>
          <w:tcPr>
            <w:tcW w:w="0" w:type="auto"/>
            <w:noWrap w:val="0"/>
            <w:vAlign w:val="center"/>
          </w:tcPr>
          <w:p w14:paraId="5C5A0542">
            <w:r>
              <w:rPr>
                <w:rStyle w:val="10"/>
                <w:rFonts w:hint="eastAsia"/>
              </w:rPr>
              <w:t>登记证号：</w:t>
            </w:r>
            <w:r>
              <w:rPr>
                <w:rFonts w:hint="eastAsia"/>
              </w:rPr>
              <w:t>PD20095866</w:t>
            </w:r>
          </w:p>
        </w:tc>
      </w:tr>
      <w:tr w14:paraId="54EC7A75">
        <w:tblPrEx>
          <w:tblCellMar>
            <w:top w:w="0" w:type="dxa"/>
            <w:left w:w="0" w:type="dxa"/>
            <w:bottom w:w="0" w:type="dxa"/>
            <w:right w:w="0" w:type="dxa"/>
          </w:tblCellMar>
        </w:tblPrEx>
        <w:trPr>
          <w:wBefore w:w="0" w:type="auto"/>
          <w:tblCellSpacing w:w="0" w:type="dxa"/>
        </w:trPr>
        <w:tc>
          <w:tcPr>
            <w:tcW w:w="0" w:type="auto"/>
            <w:noWrap w:val="0"/>
            <w:vAlign w:val="center"/>
          </w:tcPr>
          <w:p w14:paraId="6DB785C2">
            <w:r>
              <w:rPr>
                <w:rStyle w:val="10"/>
                <w:rFonts w:hint="eastAsia"/>
              </w:rPr>
              <w:t>登记证持有人：</w:t>
            </w:r>
            <w:r>
              <w:rPr>
                <w:rFonts w:hint="eastAsia"/>
              </w:rPr>
              <w:t>兴农股份有限公司</w:t>
            </w:r>
          </w:p>
        </w:tc>
      </w:tr>
      <w:tr w14:paraId="3E070BC0">
        <w:tblPrEx>
          <w:tblCellMar>
            <w:top w:w="0" w:type="dxa"/>
            <w:left w:w="0" w:type="dxa"/>
            <w:bottom w:w="0" w:type="dxa"/>
            <w:right w:w="0" w:type="dxa"/>
          </w:tblCellMar>
        </w:tblPrEx>
        <w:trPr>
          <w:wBefore w:w="0" w:type="auto"/>
          <w:tblCellSpacing w:w="0" w:type="dxa"/>
        </w:trPr>
        <w:tc>
          <w:tcPr>
            <w:tcW w:w="0" w:type="auto"/>
            <w:noWrap w:val="0"/>
            <w:vAlign w:val="center"/>
          </w:tcPr>
          <w:p w14:paraId="0F4C0BB9">
            <w:r>
              <w:rPr>
                <w:rStyle w:val="10"/>
                <w:rFonts w:hint="eastAsia"/>
              </w:rPr>
              <w:t>农药名称：</w:t>
            </w:r>
            <w:r>
              <w:rPr>
                <w:rFonts w:hint="eastAsia"/>
              </w:rPr>
              <w:t>喹啉铜</w:t>
            </w:r>
          </w:p>
        </w:tc>
      </w:tr>
      <w:tr w14:paraId="17E96E23">
        <w:tblPrEx>
          <w:tblCellMar>
            <w:top w:w="0" w:type="dxa"/>
            <w:left w:w="0" w:type="dxa"/>
            <w:bottom w:w="0" w:type="dxa"/>
            <w:right w:w="0" w:type="dxa"/>
          </w:tblCellMar>
        </w:tblPrEx>
        <w:trPr>
          <w:wBefore w:w="0" w:type="auto"/>
          <w:tblCellSpacing w:w="0" w:type="dxa"/>
        </w:trPr>
        <w:tc>
          <w:tcPr>
            <w:tcW w:w="0" w:type="auto"/>
            <w:noWrap w:val="0"/>
            <w:vAlign w:val="center"/>
          </w:tcPr>
          <w:p w14:paraId="58D672F5">
            <w:r>
              <w:rPr>
                <w:rStyle w:val="10"/>
                <w:rFonts w:hint="eastAsia"/>
              </w:rPr>
              <w:t>剂型：</w:t>
            </w:r>
            <w:r>
              <w:rPr>
                <w:rFonts w:hint="eastAsia"/>
              </w:rPr>
              <w:t>悬浮剂</w:t>
            </w:r>
          </w:p>
        </w:tc>
      </w:tr>
      <w:tr w14:paraId="5830D2D4">
        <w:tblPrEx>
          <w:tblCellMar>
            <w:top w:w="0" w:type="dxa"/>
            <w:left w:w="0" w:type="dxa"/>
            <w:bottom w:w="0" w:type="dxa"/>
            <w:right w:w="0" w:type="dxa"/>
          </w:tblCellMar>
        </w:tblPrEx>
        <w:trPr>
          <w:wBefore w:w="0" w:type="auto"/>
          <w:tblCellSpacing w:w="0" w:type="dxa"/>
        </w:trPr>
        <w:tc>
          <w:tcPr>
            <w:tcW w:w="0" w:type="auto"/>
            <w:noWrap w:val="0"/>
            <w:vAlign w:val="center"/>
          </w:tcPr>
          <w:p w14:paraId="35DF7B99">
            <w:r>
              <w:rPr>
                <w:rStyle w:val="10"/>
                <w:rFonts w:hint="eastAsia"/>
              </w:rPr>
              <w:t>毒性及其标识：</w:t>
            </w:r>
            <w:r>
              <w:rPr>
                <w:rFonts w:hint="eastAsia"/>
              </w:rPr>
              <w:t xml:space="preserve"> </w:t>
            </w:r>
            <w:r>
              <w:rPr>
                <w:lang/>
              </w:rPr>
              <w:drawing>
                <wp:inline distT="0" distB="0" distL="114300" distR="114300">
                  <wp:extent cx="476250" cy="323850"/>
                  <wp:effectExtent l="0" t="0" r="0" b="0"/>
                  <wp:docPr id="11" name="图片 1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B372BFE">
        <w:tblPrEx>
          <w:tblCellMar>
            <w:top w:w="0" w:type="dxa"/>
            <w:left w:w="0" w:type="dxa"/>
            <w:bottom w:w="0" w:type="dxa"/>
            <w:right w:w="0" w:type="dxa"/>
          </w:tblCellMar>
        </w:tblPrEx>
        <w:trPr>
          <w:wBefore w:w="0" w:type="auto"/>
          <w:tblCellSpacing w:w="0" w:type="dxa"/>
        </w:trPr>
        <w:tc>
          <w:tcPr>
            <w:tcW w:w="0" w:type="auto"/>
            <w:noWrap w:val="0"/>
            <w:vAlign w:val="center"/>
          </w:tcPr>
          <w:p w14:paraId="36DDE49B">
            <w:r>
              <w:rPr>
                <w:rStyle w:val="10"/>
                <w:rFonts w:hint="eastAsia"/>
              </w:rPr>
              <w:t>总有效成分含量：</w:t>
            </w:r>
            <w:r>
              <w:rPr>
                <w:rFonts w:hint="eastAsia"/>
              </w:rPr>
              <w:t>33.5%</w:t>
            </w:r>
          </w:p>
        </w:tc>
      </w:tr>
      <w:tr w14:paraId="55528603">
        <w:tblPrEx>
          <w:tblCellMar>
            <w:top w:w="0" w:type="dxa"/>
            <w:left w:w="0" w:type="dxa"/>
            <w:bottom w:w="0" w:type="dxa"/>
            <w:right w:w="0" w:type="dxa"/>
          </w:tblCellMar>
        </w:tblPrEx>
        <w:trPr>
          <w:wBefore w:w="0" w:type="auto"/>
          <w:tblCellSpacing w:w="0" w:type="dxa"/>
        </w:trPr>
        <w:tc>
          <w:tcPr>
            <w:tcW w:w="0" w:type="auto"/>
            <w:noWrap w:val="0"/>
            <w:vAlign w:val="center"/>
          </w:tcPr>
          <w:p w14:paraId="0C5A13C9">
            <w:r>
              <w:rPr>
                <w:rFonts w:hint="eastAsia"/>
              </w:rPr>
              <w:t xml:space="preserve">有效成分及其含量： </w:t>
            </w:r>
          </w:p>
          <w:p w14:paraId="75B91869">
            <w:r>
              <w:rPr>
                <w:rFonts w:hint="eastAsia"/>
              </w:rPr>
              <w:t xml:space="preserve">    喹啉铜33.5%    </w:t>
            </w:r>
          </w:p>
        </w:tc>
      </w:tr>
      <w:tr w14:paraId="4E7B12D5">
        <w:tblPrEx>
          <w:tblCellMar>
            <w:top w:w="0" w:type="dxa"/>
            <w:left w:w="0" w:type="dxa"/>
            <w:bottom w:w="0" w:type="dxa"/>
            <w:right w:w="0" w:type="dxa"/>
          </w:tblCellMar>
        </w:tblPrEx>
        <w:trPr>
          <w:wBefore w:w="0" w:type="auto"/>
          <w:tblCellSpacing w:w="0" w:type="dxa"/>
        </w:trPr>
        <w:tc>
          <w:tcPr>
            <w:tcW w:w="0" w:type="auto"/>
            <w:noWrap w:val="0"/>
            <w:vAlign w:val="center"/>
          </w:tcPr>
          <w:p w14:paraId="5831027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0F41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68D931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A72E1E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5C5072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5F9BF9E">
                  <w:r>
                    <w:rPr>
                      <w:rStyle w:val="11"/>
                      <w:rFonts w:hint="eastAsia"/>
                    </w:rPr>
                    <w:t>施用方式</w:t>
                  </w:r>
                </w:p>
              </w:tc>
            </w:tr>
            <w:tr w14:paraId="183AC2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9C9067E">
                  <w:r>
                    <w:rPr>
                      <w:rStyle w:val="11"/>
                      <w:rFonts w:hint="eastAsia"/>
                    </w:rPr>
                    <w:t>猕猴桃</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55EC75">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3A2ACB">
                  <w:r>
                    <w:rPr>
                      <w:rStyle w:val="11"/>
                      <w:rFonts w:hint="eastAsia"/>
                    </w:rPr>
                    <w:t>800-1200倍液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980B06">
                  <w:r>
                    <w:rPr>
                      <w:rStyle w:val="11"/>
                      <w:rFonts w:hint="eastAsia"/>
                    </w:rPr>
                    <w:t>喷雾</w:t>
                  </w:r>
                </w:p>
              </w:tc>
            </w:tr>
            <w:tr w14:paraId="3A7A93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7F4C872">
                  <w:r>
                    <w:rPr>
                      <w:rStyle w:val="11"/>
                      <w:rFonts w:hint="eastAsia"/>
                    </w:rPr>
                    <w:t>猕猴桃</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49F673">
                  <w:r>
                    <w:rPr>
                      <w:rStyle w:val="11"/>
                      <w:rFonts w:hint="eastAsia"/>
                    </w:rPr>
                    <w:t>花腐病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1F7A70">
                  <w:r>
                    <w:rPr>
                      <w:rStyle w:val="11"/>
                      <w:rFonts w:hint="eastAsia"/>
                    </w:rPr>
                    <w:t>800-1200倍液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050B72">
                  <w:r>
                    <w:rPr>
                      <w:rStyle w:val="11"/>
                      <w:rFonts w:hint="eastAsia"/>
                    </w:rPr>
                    <w:t>喷雾</w:t>
                  </w:r>
                </w:p>
              </w:tc>
            </w:tr>
          </w:tbl>
          <w:p w14:paraId="18C285DC">
            <w:pPr>
              <w:rPr>
                <w:rFonts w:ascii="Times New Roman" w:hAnsi="Times New Roman" w:cs="Times New Roman"/>
                <w:sz w:val="20"/>
                <w:szCs w:val="20"/>
              </w:rPr>
            </w:pPr>
          </w:p>
        </w:tc>
      </w:tr>
      <w:tr w14:paraId="529DEE08">
        <w:tblPrEx>
          <w:tblCellMar>
            <w:top w:w="0" w:type="dxa"/>
            <w:left w:w="0" w:type="dxa"/>
            <w:bottom w:w="0" w:type="dxa"/>
            <w:right w:w="0" w:type="dxa"/>
          </w:tblCellMar>
        </w:tblPrEx>
        <w:trPr>
          <w:wBefore w:w="0" w:type="auto"/>
          <w:tblCellSpacing w:w="0" w:type="dxa"/>
        </w:trPr>
        <w:tc>
          <w:tcPr>
            <w:tcW w:w="0" w:type="auto"/>
            <w:noWrap w:val="0"/>
            <w:vAlign w:val="center"/>
          </w:tcPr>
          <w:p w14:paraId="11DC0AB6">
            <w:r>
              <w:rPr>
                <w:rStyle w:val="10"/>
                <w:rFonts w:hint="eastAsia"/>
              </w:rPr>
              <w:t>使用技术要求:</w:t>
            </w:r>
            <w:r>
              <w:rPr>
                <w:rFonts w:hint="eastAsia"/>
              </w:rPr>
              <w:br w:type="textWrapping"/>
            </w:r>
            <w:r>
              <w:rPr>
                <w:rStyle w:val="11"/>
                <w:rFonts w:hint="eastAsia"/>
              </w:rPr>
              <w:t>1.防治黄瓜霜霉病发病前或发病初期开始施药，之后每隔5-7天喷雾施药1次，共喷施3次。防治猕猴桃溃疡病，于入冬前清园、立春至萌芽前、花后各喷雾施药1次，共施药3次。防治猕猴桃花腐病，于现蕾期、初花期、落花期各喷雾施药1次，共施药3次。2.防治黄瓜霜霉病 安全间隔期3天，每季作物最多使用3次。防治猕猴桃溃疡病、花腐病每季作物最多使用3次。3.在猕猴桃上花期用药，在推广使用前须先进行小范围安全性试验。</w:t>
            </w:r>
          </w:p>
        </w:tc>
      </w:tr>
      <w:tr w14:paraId="2F8B1E63">
        <w:tblPrEx>
          <w:tblCellMar>
            <w:top w:w="0" w:type="dxa"/>
            <w:left w:w="0" w:type="dxa"/>
            <w:bottom w:w="0" w:type="dxa"/>
            <w:right w:w="0" w:type="dxa"/>
          </w:tblCellMar>
        </w:tblPrEx>
        <w:trPr>
          <w:wBefore w:w="0" w:type="auto"/>
          <w:tblCellSpacing w:w="0" w:type="dxa"/>
        </w:trPr>
        <w:tc>
          <w:tcPr>
            <w:tcW w:w="0" w:type="auto"/>
            <w:noWrap w:val="0"/>
            <w:vAlign w:val="center"/>
          </w:tcPr>
          <w:p w14:paraId="74188E21">
            <w:r>
              <w:rPr>
                <w:rStyle w:val="10"/>
                <w:rFonts w:hint="eastAsia"/>
              </w:rPr>
              <w:t>产品性能:</w:t>
            </w:r>
            <w:r>
              <w:rPr>
                <w:rFonts w:hint="eastAsia"/>
              </w:rPr>
              <w:br w:type="textWrapping"/>
            </w:r>
            <w:r>
              <w:rPr>
                <w:rStyle w:val="11"/>
                <w:rFonts w:hint="eastAsia"/>
              </w:rPr>
              <w:t>本品是一种有机铜</w:t>
            </w:r>
            <w:r>
              <w:rPr>
                <w:rStyle w:val="11"/>
                <w:rFonts w:hint="eastAsia"/>
                <w:lang w:eastAsia="zh-CN"/>
              </w:rPr>
              <w:t>螯合</w:t>
            </w:r>
            <w:r>
              <w:rPr>
                <w:rStyle w:val="11"/>
                <w:rFonts w:hint="eastAsia"/>
              </w:rPr>
              <w:t>物，对真菌性病害具有较好的预防和治疗作用。在作物表面形成一层严密的保护膜，抑制病菌萌发和侵入，从而达到防病治病的目的。对黄瓜霜霉病，猕猴桃溃疡病、花腐病有防治作用。</w:t>
            </w:r>
          </w:p>
        </w:tc>
      </w:tr>
      <w:tr w14:paraId="54154420">
        <w:tblPrEx>
          <w:tblCellMar>
            <w:top w:w="0" w:type="dxa"/>
            <w:left w:w="0" w:type="dxa"/>
            <w:bottom w:w="0" w:type="dxa"/>
            <w:right w:w="0" w:type="dxa"/>
          </w:tblCellMar>
        </w:tblPrEx>
        <w:trPr>
          <w:wBefore w:w="0" w:type="auto"/>
          <w:tblCellSpacing w:w="0" w:type="dxa"/>
        </w:trPr>
        <w:tc>
          <w:tcPr>
            <w:tcW w:w="0" w:type="auto"/>
            <w:noWrap w:val="0"/>
            <w:vAlign w:val="center"/>
          </w:tcPr>
          <w:p w14:paraId="2B9371F5">
            <w:r>
              <w:rPr>
                <w:rStyle w:val="10"/>
                <w:rFonts w:hint="eastAsia"/>
              </w:rPr>
              <w:t>注意事项：</w:t>
            </w:r>
            <w:r>
              <w:rPr>
                <w:rFonts w:hint="eastAsia"/>
              </w:rPr>
              <w:br w:type="textWrapping"/>
            </w:r>
            <w:r>
              <w:rPr>
                <w:rStyle w:val="11"/>
                <w:rFonts w:hint="eastAsia"/>
              </w:rPr>
              <w:t>1. 2. 施用时应注意穿戴防护衣物；使用时，请勿吸烟及饮食；施用后及时清洗外露的皮肤、用过的器具和污染的衣物。 3. 本剂对水生生物毒性高，操作使用时请不要将药液、器械清洗液倒入江河，以免污染水源。禁止在河塘等水域清洗施药器具。禁止在水田使用，注意对水生生物的影响。 4. 建议选择不同机制的杀菌剂，轮换使用，缓解抗性产生。 5.孕妇和哺乳期妇女禁止接触。 6.过敏者禁用，使用中有任何不良反应请及时就医。 7.使用后容器需集中深埋处理，或交由专门收集处理部门。</w:t>
            </w:r>
          </w:p>
        </w:tc>
      </w:tr>
      <w:tr w14:paraId="0C934F17">
        <w:tblPrEx>
          <w:tblCellMar>
            <w:top w:w="0" w:type="dxa"/>
            <w:left w:w="0" w:type="dxa"/>
            <w:bottom w:w="0" w:type="dxa"/>
            <w:right w:w="0" w:type="dxa"/>
          </w:tblCellMar>
        </w:tblPrEx>
        <w:trPr>
          <w:wBefore w:w="0" w:type="auto"/>
          <w:tblCellSpacing w:w="0" w:type="dxa"/>
        </w:trPr>
        <w:tc>
          <w:tcPr>
            <w:tcW w:w="0" w:type="auto"/>
            <w:noWrap w:val="0"/>
            <w:vAlign w:val="center"/>
          </w:tcPr>
          <w:p w14:paraId="40B5E736">
            <w:r>
              <w:rPr>
                <w:rStyle w:val="10"/>
                <w:rFonts w:hint="eastAsia"/>
              </w:rPr>
              <w:t>中毒急救措施：</w:t>
            </w:r>
            <w:r>
              <w:rPr>
                <w:rFonts w:hint="eastAsia"/>
              </w:rPr>
              <w:br w:type="textWrapping"/>
            </w:r>
            <w:r>
              <w:rPr>
                <w:rStyle w:val="11"/>
                <w:rFonts w:hint="eastAsia"/>
              </w:rPr>
              <w:t>1. 中毒症状：对眼睛有刺激。 2. 如误服，不要引吐，应立即饮下大量牛奶、蛋白或清水，立即携带本包装袋并送患者或动物就医，对症处理。若不慎进入眼睛或接触皮肤，应用清水冲洗至少15 分钟。并就医。 3. 此药无解毒剂，对症治疗。</w:t>
            </w:r>
          </w:p>
        </w:tc>
      </w:tr>
      <w:tr w14:paraId="657DE2AC">
        <w:tblPrEx>
          <w:tblCellMar>
            <w:top w:w="0" w:type="dxa"/>
            <w:left w:w="0" w:type="dxa"/>
            <w:bottom w:w="0" w:type="dxa"/>
            <w:right w:w="0" w:type="dxa"/>
          </w:tblCellMar>
        </w:tblPrEx>
        <w:trPr>
          <w:wBefore w:w="0" w:type="auto"/>
          <w:tblCellSpacing w:w="0" w:type="dxa"/>
        </w:trPr>
        <w:tc>
          <w:tcPr>
            <w:tcW w:w="0" w:type="auto"/>
            <w:noWrap w:val="0"/>
            <w:vAlign w:val="center"/>
          </w:tcPr>
          <w:p w14:paraId="170A5B10">
            <w:r>
              <w:rPr>
                <w:rStyle w:val="10"/>
                <w:rFonts w:hint="eastAsia"/>
              </w:rPr>
              <w:t>储存和运输方法：</w:t>
            </w:r>
            <w:r>
              <w:rPr>
                <w:rFonts w:hint="eastAsia"/>
              </w:rPr>
              <w:br w:type="textWrapping"/>
            </w:r>
            <w:r>
              <w:rPr>
                <w:rStyle w:val="11"/>
                <w:rFonts w:hint="eastAsia"/>
              </w:rPr>
              <w:t>1. 本剂应存放在阴凉干燥且儿童接触不到之处，并加锁。 2. 勿与食品、饮料、饲料、粮食等混合运输贮存。 3. 贮运时要严防潮湿和日晒，保持阴凉和通风。</w:t>
            </w:r>
          </w:p>
        </w:tc>
      </w:tr>
      <w:tr w14:paraId="6BD3DA7B">
        <w:tblPrEx>
          <w:tblCellMar>
            <w:top w:w="0" w:type="dxa"/>
            <w:left w:w="0" w:type="dxa"/>
            <w:bottom w:w="0" w:type="dxa"/>
            <w:right w:w="0" w:type="dxa"/>
          </w:tblCellMar>
        </w:tblPrEx>
        <w:trPr>
          <w:wBefore w:w="0" w:type="auto"/>
          <w:tblCellSpacing w:w="0" w:type="dxa"/>
        </w:trPr>
        <w:tc>
          <w:tcPr>
            <w:tcW w:w="0" w:type="auto"/>
            <w:noWrap w:val="0"/>
            <w:vAlign w:val="center"/>
          </w:tcPr>
          <w:p w14:paraId="4CEA486B">
            <w:r>
              <w:rPr>
                <w:rStyle w:val="10"/>
                <w:rFonts w:hint="eastAsia"/>
              </w:rPr>
              <w:t>质量保证期：</w:t>
            </w:r>
            <w:r>
              <w:rPr>
                <w:rStyle w:val="11"/>
                <w:rFonts w:hint="eastAsia"/>
              </w:rPr>
              <w:t>2年</w:t>
            </w:r>
          </w:p>
        </w:tc>
      </w:tr>
      <w:tr w14:paraId="02545A72">
        <w:tblPrEx>
          <w:tblCellMar>
            <w:top w:w="0" w:type="dxa"/>
            <w:left w:w="0" w:type="dxa"/>
            <w:bottom w:w="0" w:type="dxa"/>
            <w:right w:w="0" w:type="dxa"/>
          </w:tblCellMar>
        </w:tblPrEx>
        <w:trPr>
          <w:wBefore w:w="0" w:type="auto"/>
          <w:tblCellSpacing w:w="0" w:type="dxa"/>
        </w:trPr>
        <w:tc>
          <w:tcPr>
            <w:tcW w:w="0" w:type="auto"/>
            <w:noWrap w:val="0"/>
            <w:vAlign w:val="center"/>
          </w:tcPr>
          <w:p w14:paraId="0EDAB8A3">
            <w:r>
              <w:rPr>
                <w:rStyle w:val="10"/>
                <w:rFonts w:hint="eastAsia"/>
              </w:rPr>
              <w:t>备注：</w:t>
            </w:r>
          </w:p>
        </w:tc>
      </w:tr>
    </w:tbl>
    <w:p w14:paraId="5B6BBBC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168A48">
        <w:tblPrEx>
          <w:tblCellMar>
            <w:top w:w="0" w:type="dxa"/>
            <w:left w:w="0" w:type="dxa"/>
            <w:bottom w:w="0" w:type="dxa"/>
            <w:right w:w="0" w:type="dxa"/>
          </w:tblCellMar>
        </w:tblPrEx>
        <w:trPr>
          <w:wBefore w:w="0" w:type="auto"/>
          <w:tblCellSpacing w:w="0" w:type="dxa"/>
        </w:trPr>
        <w:tc>
          <w:tcPr>
            <w:tcW w:w="0" w:type="auto"/>
            <w:noWrap w:val="0"/>
            <w:vAlign w:val="center"/>
          </w:tcPr>
          <w:p w14:paraId="3E12206B">
            <w:r>
              <w:rPr>
                <w:rStyle w:val="10"/>
                <w:rFonts w:hint="eastAsia"/>
              </w:rPr>
              <w:t>登记证号：</w:t>
            </w:r>
            <w:r>
              <w:rPr>
                <w:rFonts w:hint="eastAsia"/>
              </w:rPr>
              <w:t>PD20086340</w:t>
            </w:r>
          </w:p>
        </w:tc>
      </w:tr>
      <w:tr w14:paraId="5F27C736">
        <w:tblPrEx>
          <w:tblCellMar>
            <w:top w:w="0" w:type="dxa"/>
            <w:left w:w="0" w:type="dxa"/>
            <w:bottom w:w="0" w:type="dxa"/>
            <w:right w:w="0" w:type="dxa"/>
          </w:tblCellMar>
        </w:tblPrEx>
        <w:trPr>
          <w:wBefore w:w="0" w:type="auto"/>
          <w:tblCellSpacing w:w="0" w:type="dxa"/>
        </w:trPr>
        <w:tc>
          <w:tcPr>
            <w:tcW w:w="0" w:type="auto"/>
            <w:noWrap w:val="0"/>
            <w:vAlign w:val="center"/>
          </w:tcPr>
          <w:p w14:paraId="745CE5B0">
            <w:r>
              <w:rPr>
                <w:rStyle w:val="10"/>
                <w:rFonts w:hint="eastAsia"/>
              </w:rPr>
              <w:t>登记证持有人：</w:t>
            </w:r>
            <w:r>
              <w:rPr>
                <w:rFonts w:hint="eastAsia"/>
              </w:rPr>
              <w:t>兴农药业(中国)有限公司</w:t>
            </w:r>
          </w:p>
        </w:tc>
      </w:tr>
      <w:tr w14:paraId="2794CD33">
        <w:tblPrEx>
          <w:tblCellMar>
            <w:top w:w="0" w:type="dxa"/>
            <w:left w:w="0" w:type="dxa"/>
            <w:bottom w:w="0" w:type="dxa"/>
            <w:right w:w="0" w:type="dxa"/>
          </w:tblCellMar>
        </w:tblPrEx>
        <w:trPr>
          <w:wBefore w:w="0" w:type="auto"/>
          <w:tblCellSpacing w:w="0" w:type="dxa"/>
        </w:trPr>
        <w:tc>
          <w:tcPr>
            <w:tcW w:w="0" w:type="auto"/>
            <w:noWrap w:val="0"/>
            <w:vAlign w:val="center"/>
          </w:tcPr>
          <w:p w14:paraId="60E50D06">
            <w:r>
              <w:rPr>
                <w:rStyle w:val="10"/>
                <w:rFonts w:hint="eastAsia"/>
              </w:rPr>
              <w:t>农药名称：</w:t>
            </w:r>
            <w:r>
              <w:rPr>
                <w:rFonts w:hint="eastAsia"/>
              </w:rPr>
              <w:t>春雷霉素</w:t>
            </w:r>
          </w:p>
        </w:tc>
      </w:tr>
      <w:tr w14:paraId="1CDFE1B2">
        <w:tblPrEx>
          <w:tblCellMar>
            <w:top w:w="0" w:type="dxa"/>
            <w:left w:w="0" w:type="dxa"/>
            <w:bottom w:w="0" w:type="dxa"/>
            <w:right w:w="0" w:type="dxa"/>
          </w:tblCellMar>
        </w:tblPrEx>
        <w:trPr>
          <w:wBefore w:w="0" w:type="auto"/>
          <w:tblCellSpacing w:w="0" w:type="dxa"/>
        </w:trPr>
        <w:tc>
          <w:tcPr>
            <w:tcW w:w="0" w:type="auto"/>
            <w:noWrap w:val="0"/>
            <w:vAlign w:val="center"/>
          </w:tcPr>
          <w:p w14:paraId="7B2C20FC">
            <w:r>
              <w:rPr>
                <w:rStyle w:val="10"/>
                <w:rFonts w:hint="eastAsia"/>
              </w:rPr>
              <w:t>剂型：</w:t>
            </w:r>
            <w:r>
              <w:rPr>
                <w:rFonts w:hint="eastAsia"/>
              </w:rPr>
              <w:t>可湿性粉剂</w:t>
            </w:r>
          </w:p>
        </w:tc>
      </w:tr>
      <w:tr w14:paraId="146EB0DD">
        <w:tblPrEx>
          <w:tblCellMar>
            <w:top w:w="0" w:type="dxa"/>
            <w:left w:w="0" w:type="dxa"/>
            <w:bottom w:w="0" w:type="dxa"/>
            <w:right w:w="0" w:type="dxa"/>
          </w:tblCellMar>
        </w:tblPrEx>
        <w:trPr>
          <w:wBefore w:w="0" w:type="auto"/>
          <w:tblCellSpacing w:w="0" w:type="dxa"/>
        </w:trPr>
        <w:tc>
          <w:tcPr>
            <w:tcW w:w="0" w:type="auto"/>
            <w:noWrap w:val="0"/>
            <w:vAlign w:val="center"/>
          </w:tcPr>
          <w:p w14:paraId="5198E3C9">
            <w:r>
              <w:rPr>
                <w:rStyle w:val="10"/>
                <w:rFonts w:hint="eastAsia"/>
              </w:rPr>
              <w:t>毒性及其标识：</w:t>
            </w:r>
            <w:r>
              <w:rPr>
                <w:rFonts w:hint="eastAsia"/>
              </w:rPr>
              <w:t xml:space="preserve"> 微毒 </w:t>
            </w:r>
          </w:p>
        </w:tc>
      </w:tr>
      <w:tr w14:paraId="3F755516">
        <w:tblPrEx>
          <w:tblCellMar>
            <w:top w:w="0" w:type="dxa"/>
            <w:left w:w="0" w:type="dxa"/>
            <w:bottom w:w="0" w:type="dxa"/>
            <w:right w:w="0" w:type="dxa"/>
          </w:tblCellMar>
        </w:tblPrEx>
        <w:trPr>
          <w:wBefore w:w="0" w:type="auto"/>
          <w:tblCellSpacing w:w="0" w:type="dxa"/>
        </w:trPr>
        <w:tc>
          <w:tcPr>
            <w:tcW w:w="0" w:type="auto"/>
            <w:noWrap w:val="0"/>
            <w:vAlign w:val="center"/>
          </w:tcPr>
          <w:p w14:paraId="47A4009C">
            <w:r>
              <w:rPr>
                <w:rStyle w:val="10"/>
                <w:rFonts w:hint="eastAsia"/>
              </w:rPr>
              <w:t>总有效成分含量：</w:t>
            </w:r>
            <w:r>
              <w:rPr>
                <w:rFonts w:hint="eastAsia"/>
              </w:rPr>
              <w:t>6%</w:t>
            </w:r>
          </w:p>
        </w:tc>
      </w:tr>
      <w:tr w14:paraId="78390310">
        <w:tblPrEx>
          <w:tblCellMar>
            <w:top w:w="0" w:type="dxa"/>
            <w:left w:w="0" w:type="dxa"/>
            <w:bottom w:w="0" w:type="dxa"/>
            <w:right w:w="0" w:type="dxa"/>
          </w:tblCellMar>
        </w:tblPrEx>
        <w:trPr>
          <w:wBefore w:w="0" w:type="auto"/>
          <w:tblCellSpacing w:w="0" w:type="dxa"/>
        </w:trPr>
        <w:tc>
          <w:tcPr>
            <w:tcW w:w="0" w:type="auto"/>
            <w:noWrap w:val="0"/>
            <w:vAlign w:val="center"/>
          </w:tcPr>
          <w:p w14:paraId="3450ED47">
            <w:r>
              <w:rPr>
                <w:rFonts w:hint="eastAsia"/>
              </w:rPr>
              <w:t xml:space="preserve">有效成分及其含量： </w:t>
            </w:r>
          </w:p>
          <w:p w14:paraId="7632EA62">
            <w:r>
              <w:rPr>
                <w:rFonts w:hint="eastAsia"/>
              </w:rPr>
              <w:t xml:space="preserve">    春雷霉素6%    </w:t>
            </w:r>
          </w:p>
        </w:tc>
      </w:tr>
      <w:tr w14:paraId="51CD9BE0">
        <w:tblPrEx>
          <w:tblCellMar>
            <w:top w:w="0" w:type="dxa"/>
            <w:left w:w="0" w:type="dxa"/>
            <w:bottom w:w="0" w:type="dxa"/>
            <w:right w:w="0" w:type="dxa"/>
          </w:tblCellMar>
        </w:tblPrEx>
        <w:trPr>
          <w:wBefore w:w="0" w:type="auto"/>
          <w:tblCellSpacing w:w="0" w:type="dxa"/>
        </w:trPr>
        <w:tc>
          <w:tcPr>
            <w:tcW w:w="0" w:type="auto"/>
            <w:noWrap w:val="0"/>
            <w:vAlign w:val="center"/>
          </w:tcPr>
          <w:p w14:paraId="603294F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4B8A1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02BFA6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840180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854604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A9AD9E4">
                  <w:r>
                    <w:rPr>
                      <w:rStyle w:val="11"/>
                      <w:rFonts w:hint="eastAsia"/>
                    </w:rPr>
                    <w:t>施用方式</w:t>
                  </w:r>
                </w:p>
              </w:tc>
            </w:tr>
            <w:tr w14:paraId="436CD8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C1B415A">
                  <w:r>
                    <w:rPr>
                      <w:rStyle w:val="11"/>
                      <w:rFonts w:hint="eastAsia"/>
                    </w:rPr>
                    <w:t>三七</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C86D01">
                  <w:r>
                    <w:rPr>
                      <w:rStyle w:val="11"/>
                      <w:rFonts w:hint="eastAsia"/>
                    </w:rPr>
                    <w:t>圆斑病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ED9712">
                  <w:r>
                    <w:rPr>
                      <w:rStyle w:val="11"/>
                      <w:rFonts w:hint="eastAsia"/>
                    </w:rPr>
                    <w:t>40-50克/亩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090F43">
                  <w:r>
                    <w:rPr>
                      <w:rStyle w:val="11"/>
                      <w:rFonts w:hint="eastAsia"/>
                    </w:rPr>
                    <w:t>喷雾</w:t>
                  </w:r>
                </w:p>
              </w:tc>
            </w:tr>
          </w:tbl>
          <w:p w14:paraId="6A1D4C64">
            <w:pPr>
              <w:rPr>
                <w:rFonts w:ascii="Times New Roman" w:hAnsi="Times New Roman" w:cs="Times New Roman"/>
                <w:sz w:val="20"/>
                <w:szCs w:val="20"/>
              </w:rPr>
            </w:pPr>
          </w:p>
        </w:tc>
      </w:tr>
      <w:tr w14:paraId="7F7E6473">
        <w:tblPrEx>
          <w:tblCellMar>
            <w:top w:w="0" w:type="dxa"/>
            <w:left w:w="0" w:type="dxa"/>
            <w:bottom w:w="0" w:type="dxa"/>
            <w:right w:w="0" w:type="dxa"/>
          </w:tblCellMar>
        </w:tblPrEx>
        <w:trPr>
          <w:wBefore w:w="0" w:type="auto"/>
          <w:tblCellSpacing w:w="0" w:type="dxa"/>
        </w:trPr>
        <w:tc>
          <w:tcPr>
            <w:tcW w:w="0" w:type="auto"/>
            <w:noWrap w:val="0"/>
            <w:vAlign w:val="center"/>
          </w:tcPr>
          <w:p w14:paraId="57D8F6A1">
            <w:r>
              <w:rPr>
                <w:rStyle w:val="10"/>
                <w:rFonts w:hint="eastAsia"/>
              </w:rPr>
              <w:t>使用技术要求:</w:t>
            </w:r>
            <w:r>
              <w:rPr>
                <w:rFonts w:hint="eastAsia"/>
              </w:rPr>
              <w:br w:type="textWrapping"/>
            </w:r>
            <w:r>
              <w:rPr>
                <w:rStyle w:val="11"/>
                <w:rFonts w:hint="eastAsia"/>
              </w:rPr>
              <w:t>1.在病害发病初期开始喷药,喷洒均匀。水稻稻瘟病每隔7-14天喷药一次，西瓜细菌性角斑病和马铃薯黑胫病每隔7天施药一次，大白菜黑腐病每隔7-10天施药一次在三七圆斑病发病前或发病初期喷雾施药，施药3次，每次间隔7-14天。注意在病害发生严重时，应缩短用药间隔期并提高药剂用量。 2.本制剂应随配随用，以防霉菌污染失效。 3.喷施最好在早晚有露水时进行，有利于药剂附着到作物上。 4.春雷霉素施药5-6小时后，遇雨对药效无影响。5.在水稻上安全间隔期21天，在西瓜、三七、大白菜和马铃薯上安全间隔期14天，每季作物均最多使用3次。</w:t>
            </w:r>
          </w:p>
        </w:tc>
      </w:tr>
      <w:tr w14:paraId="571C18E8">
        <w:tblPrEx>
          <w:tblCellMar>
            <w:top w:w="0" w:type="dxa"/>
            <w:left w:w="0" w:type="dxa"/>
            <w:bottom w:w="0" w:type="dxa"/>
            <w:right w:w="0" w:type="dxa"/>
          </w:tblCellMar>
        </w:tblPrEx>
        <w:trPr>
          <w:wBefore w:w="0" w:type="auto"/>
          <w:tblCellSpacing w:w="0" w:type="dxa"/>
        </w:trPr>
        <w:tc>
          <w:tcPr>
            <w:tcW w:w="0" w:type="auto"/>
            <w:noWrap w:val="0"/>
            <w:vAlign w:val="center"/>
          </w:tcPr>
          <w:p w14:paraId="4FAAF856">
            <w:r>
              <w:rPr>
                <w:rStyle w:val="10"/>
                <w:rFonts w:hint="eastAsia"/>
              </w:rPr>
              <w:t>产品性能:</w:t>
            </w:r>
            <w:r>
              <w:rPr>
                <w:rFonts w:hint="eastAsia"/>
              </w:rPr>
              <w:br w:type="textWrapping"/>
            </w:r>
            <w:r>
              <w:rPr>
                <w:rStyle w:val="11"/>
                <w:rFonts w:hint="eastAsia"/>
              </w:rPr>
              <w:t>本品属于农用抗菌类杀菌剂，具有较强的内吸性，具有预防和治疗作用，其治疗效果较好。其渗透性强并能在植物体内移行，喷药后见效快，耐雨水冲刷，持效期较长。</w:t>
            </w:r>
          </w:p>
        </w:tc>
      </w:tr>
      <w:tr w14:paraId="2084FE19">
        <w:tblPrEx>
          <w:tblCellMar>
            <w:top w:w="0" w:type="dxa"/>
            <w:left w:w="0" w:type="dxa"/>
            <w:bottom w:w="0" w:type="dxa"/>
            <w:right w:w="0" w:type="dxa"/>
          </w:tblCellMar>
        </w:tblPrEx>
        <w:trPr>
          <w:wBefore w:w="0" w:type="auto"/>
          <w:tblCellSpacing w:w="0" w:type="dxa"/>
        </w:trPr>
        <w:tc>
          <w:tcPr>
            <w:tcW w:w="0" w:type="auto"/>
            <w:noWrap w:val="0"/>
            <w:vAlign w:val="center"/>
          </w:tcPr>
          <w:p w14:paraId="30085CBD">
            <w:r>
              <w:rPr>
                <w:rStyle w:val="10"/>
                <w:rFonts w:hint="eastAsia"/>
              </w:rPr>
              <w:t>注意事项：</w:t>
            </w:r>
            <w:r>
              <w:rPr>
                <w:rFonts w:hint="eastAsia"/>
              </w:rPr>
              <w:br w:type="textWrapping"/>
            </w:r>
            <w:r>
              <w:rPr>
                <w:rStyle w:val="11"/>
                <w:rFonts w:hint="eastAsia"/>
              </w:rPr>
              <w:t>1.不能与碱性农药等物质混合使用，最好不要长时间使用金属容器混配或盛放。 2.开启包装时注意避开大风以免粉末飞扬。使用时应穿长衣长裤、靴子，戴帽子、护目镜、口罩、手套等防护用具；施药期间不可吃东西、饮水、吸烟等；施药后应及时洗手、洗脸并洗涤施药时穿着的衣物。 3.远离水产养殖区施药，禁止在河塘等水体中清洗施药器具；对鸟类有毒，鸟类觅食区慎用。4.建议与其他不同作用机制的杀菌剂轮换使用。 5.使用后容器需集中深埋处理，或交由专门收集处理部门。6.孕妇及哺乳期妇女禁止接触本品。</w:t>
            </w:r>
          </w:p>
        </w:tc>
      </w:tr>
      <w:tr w14:paraId="662F096F">
        <w:tblPrEx>
          <w:tblCellMar>
            <w:top w:w="0" w:type="dxa"/>
            <w:left w:w="0" w:type="dxa"/>
            <w:bottom w:w="0" w:type="dxa"/>
            <w:right w:w="0" w:type="dxa"/>
          </w:tblCellMar>
        </w:tblPrEx>
        <w:trPr>
          <w:wBefore w:w="0" w:type="auto"/>
          <w:tblCellSpacing w:w="0" w:type="dxa"/>
        </w:trPr>
        <w:tc>
          <w:tcPr>
            <w:tcW w:w="0" w:type="auto"/>
            <w:noWrap w:val="0"/>
            <w:vAlign w:val="center"/>
          </w:tcPr>
          <w:p w14:paraId="574BBB68">
            <w:r>
              <w:rPr>
                <w:rStyle w:val="10"/>
                <w:rFonts w:hint="eastAsia"/>
              </w:rPr>
              <w:t>中毒急救措施：</w:t>
            </w:r>
            <w:r>
              <w:rPr>
                <w:rFonts w:hint="eastAsia"/>
              </w:rPr>
              <w:br w:type="textWrapping"/>
            </w:r>
            <w:r>
              <w:rPr>
                <w:rStyle w:val="11"/>
                <w:rFonts w:hint="eastAsia"/>
              </w:rPr>
              <w:t>1.若不慎进入眼睛或接触皮肤，应用清水连续冲洗15分钟。不慎吸入，应将病人移至空气流通处，若误食此药，需饮用食盐水催吐，请立即携带本包装袋并送患者就医。 2. 此药剂无特殊解毒剂。若不慎误服，则对症治疗。</w:t>
            </w:r>
          </w:p>
        </w:tc>
      </w:tr>
      <w:tr w14:paraId="2899718A">
        <w:tblPrEx>
          <w:tblCellMar>
            <w:top w:w="0" w:type="dxa"/>
            <w:left w:w="0" w:type="dxa"/>
            <w:bottom w:w="0" w:type="dxa"/>
            <w:right w:w="0" w:type="dxa"/>
          </w:tblCellMar>
        </w:tblPrEx>
        <w:trPr>
          <w:wBefore w:w="0" w:type="auto"/>
          <w:tblCellSpacing w:w="0" w:type="dxa"/>
        </w:trPr>
        <w:tc>
          <w:tcPr>
            <w:tcW w:w="0" w:type="auto"/>
            <w:noWrap w:val="0"/>
            <w:vAlign w:val="center"/>
          </w:tcPr>
          <w:p w14:paraId="7CC805BD">
            <w:r>
              <w:rPr>
                <w:rStyle w:val="10"/>
                <w:rFonts w:hint="eastAsia"/>
              </w:rPr>
              <w:t>储存和运输方法：</w:t>
            </w:r>
            <w:r>
              <w:rPr>
                <w:rFonts w:hint="eastAsia"/>
              </w:rPr>
              <w:br w:type="textWrapping"/>
            </w:r>
            <w:r>
              <w:rPr>
                <w:rStyle w:val="11"/>
                <w:rFonts w:hint="eastAsia"/>
              </w:rPr>
              <w:t>1.本剂应存放在阴凉干燥处、通风及儿童不易接触之处，并加锁。 2.勿与食品、饮料、饲料、粮食等混合贮存和运输。 3.本品若失火，可使用水及干粉灭火器灭火。</w:t>
            </w:r>
          </w:p>
        </w:tc>
      </w:tr>
      <w:tr w14:paraId="60BAA355">
        <w:tblPrEx>
          <w:tblCellMar>
            <w:top w:w="0" w:type="dxa"/>
            <w:left w:w="0" w:type="dxa"/>
            <w:bottom w:w="0" w:type="dxa"/>
            <w:right w:w="0" w:type="dxa"/>
          </w:tblCellMar>
        </w:tblPrEx>
        <w:trPr>
          <w:wBefore w:w="0" w:type="auto"/>
          <w:tblCellSpacing w:w="0" w:type="dxa"/>
        </w:trPr>
        <w:tc>
          <w:tcPr>
            <w:tcW w:w="0" w:type="auto"/>
            <w:noWrap w:val="0"/>
            <w:vAlign w:val="center"/>
          </w:tcPr>
          <w:p w14:paraId="6BEA961F">
            <w:r>
              <w:rPr>
                <w:rStyle w:val="10"/>
                <w:rFonts w:hint="eastAsia"/>
              </w:rPr>
              <w:t>质量保证期：</w:t>
            </w:r>
            <w:r>
              <w:rPr>
                <w:rStyle w:val="11"/>
                <w:rFonts w:hint="eastAsia"/>
              </w:rPr>
              <w:t>2年</w:t>
            </w:r>
          </w:p>
        </w:tc>
      </w:tr>
      <w:tr w14:paraId="2D1460A1">
        <w:tblPrEx>
          <w:tblCellMar>
            <w:top w:w="0" w:type="dxa"/>
            <w:left w:w="0" w:type="dxa"/>
            <w:bottom w:w="0" w:type="dxa"/>
            <w:right w:w="0" w:type="dxa"/>
          </w:tblCellMar>
        </w:tblPrEx>
        <w:trPr>
          <w:wBefore w:w="0" w:type="auto"/>
          <w:tblCellSpacing w:w="0" w:type="dxa"/>
        </w:trPr>
        <w:tc>
          <w:tcPr>
            <w:tcW w:w="0" w:type="auto"/>
            <w:noWrap w:val="0"/>
            <w:vAlign w:val="center"/>
          </w:tcPr>
          <w:p w14:paraId="4FC12F70">
            <w:r>
              <w:rPr>
                <w:rStyle w:val="10"/>
                <w:rFonts w:hint="eastAsia"/>
              </w:rPr>
              <w:t>备注：</w:t>
            </w:r>
          </w:p>
        </w:tc>
      </w:tr>
    </w:tbl>
    <w:p w14:paraId="4F3CC26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76010BB">
        <w:tblPrEx>
          <w:tblCellMar>
            <w:top w:w="0" w:type="dxa"/>
            <w:left w:w="0" w:type="dxa"/>
            <w:bottom w:w="0" w:type="dxa"/>
            <w:right w:w="0" w:type="dxa"/>
          </w:tblCellMar>
        </w:tblPrEx>
        <w:trPr>
          <w:wBefore w:w="0" w:type="auto"/>
          <w:tblCellSpacing w:w="0" w:type="dxa"/>
        </w:trPr>
        <w:tc>
          <w:tcPr>
            <w:tcW w:w="0" w:type="auto"/>
            <w:noWrap w:val="0"/>
            <w:vAlign w:val="center"/>
          </w:tcPr>
          <w:p w14:paraId="2801E1DD">
            <w:r>
              <w:rPr>
                <w:rStyle w:val="10"/>
                <w:rFonts w:hint="eastAsia"/>
              </w:rPr>
              <w:t>登记证号：</w:t>
            </w:r>
            <w:r>
              <w:rPr>
                <w:rFonts w:hint="eastAsia"/>
              </w:rPr>
              <w:t>PD20184008</w:t>
            </w:r>
          </w:p>
        </w:tc>
      </w:tr>
      <w:tr w14:paraId="1B8F4DDF">
        <w:tblPrEx>
          <w:tblCellMar>
            <w:top w:w="0" w:type="dxa"/>
            <w:left w:w="0" w:type="dxa"/>
            <w:bottom w:w="0" w:type="dxa"/>
            <w:right w:w="0" w:type="dxa"/>
          </w:tblCellMar>
        </w:tblPrEx>
        <w:trPr>
          <w:wBefore w:w="0" w:type="auto"/>
          <w:tblCellSpacing w:w="0" w:type="dxa"/>
        </w:trPr>
        <w:tc>
          <w:tcPr>
            <w:tcW w:w="0" w:type="auto"/>
            <w:noWrap w:val="0"/>
            <w:vAlign w:val="center"/>
          </w:tcPr>
          <w:p w14:paraId="43BAA8FC">
            <w:r>
              <w:rPr>
                <w:rStyle w:val="10"/>
                <w:rFonts w:hint="eastAsia"/>
              </w:rPr>
              <w:t>登记证持有人：</w:t>
            </w:r>
            <w:r>
              <w:rPr>
                <w:rFonts w:hint="eastAsia"/>
              </w:rPr>
              <w:t>奥罗阿格瑞国际有限公司</w:t>
            </w:r>
          </w:p>
        </w:tc>
      </w:tr>
      <w:tr w14:paraId="1F97CE4E">
        <w:tblPrEx>
          <w:tblCellMar>
            <w:top w:w="0" w:type="dxa"/>
            <w:left w:w="0" w:type="dxa"/>
            <w:bottom w:w="0" w:type="dxa"/>
            <w:right w:w="0" w:type="dxa"/>
          </w:tblCellMar>
        </w:tblPrEx>
        <w:trPr>
          <w:wBefore w:w="0" w:type="auto"/>
          <w:tblCellSpacing w:w="0" w:type="dxa"/>
        </w:trPr>
        <w:tc>
          <w:tcPr>
            <w:tcW w:w="0" w:type="auto"/>
            <w:noWrap w:val="0"/>
            <w:vAlign w:val="center"/>
          </w:tcPr>
          <w:p w14:paraId="61934AE7">
            <w:r>
              <w:rPr>
                <w:rStyle w:val="10"/>
                <w:rFonts w:hint="eastAsia"/>
              </w:rPr>
              <w:t>农药名称：</w:t>
            </w:r>
            <w:r>
              <w:rPr>
                <w:rFonts w:hint="eastAsia"/>
              </w:rPr>
              <w:t>d-柠檬烯</w:t>
            </w:r>
          </w:p>
        </w:tc>
      </w:tr>
      <w:tr w14:paraId="09167FA6">
        <w:tblPrEx>
          <w:tblCellMar>
            <w:top w:w="0" w:type="dxa"/>
            <w:left w:w="0" w:type="dxa"/>
            <w:bottom w:w="0" w:type="dxa"/>
            <w:right w:w="0" w:type="dxa"/>
          </w:tblCellMar>
        </w:tblPrEx>
        <w:trPr>
          <w:wBefore w:w="0" w:type="auto"/>
          <w:tblCellSpacing w:w="0" w:type="dxa"/>
        </w:trPr>
        <w:tc>
          <w:tcPr>
            <w:tcW w:w="0" w:type="auto"/>
            <w:noWrap w:val="0"/>
            <w:vAlign w:val="center"/>
          </w:tcPr>
          <w:p w14:paraId="25314667">
            <w:r>
              <w:rPr>
                <w:rStyle w:val="10"/>
                <w:rFonts w:hint="eastAsia"/>
              </w:rPr>
              <w:t>剂型：</w:t>
            </w:r>
            <w:r>
              <w:rPr>
                <w:rFonts w:hint="eastAsia"/>
              </w:rPr>
              <w:t>可溶液剂</w:t>
            </w:r>
          </w:p>
        </w:tc>
      </w:tr>
      <w:tr w14:paraId="46FC4694">
        <w:tblPrEx>
          <w:tblCellMar>
            <w:top w:w="0" w:type="dxa"/>
            <w:left w:w="0" w:type="dxa"/>
            <w:bottom w:w="0" w:type="dxa"/>
            <w:right w:w="0" w:type="dxa"/>
          </w:tblCellMar>
        </w:tblPrEx>
        <w:trPr>
          <w:wBefore w:w="0" w:type="auto"/>
          <w:tblCellSpacing w:w="0" w:type="dxa"/>
        </w:trPr>
        <w:tc>
          <w:tcPr>
            <w:tcW w:w="0" w:type="auto"/>
            <w:noWrap w:val="0"/>
            <w:vAlign w:val="center"/>
          </w:tcPr>
          <w:p w14:paraId="514716B4">
            <w:r>
              <w:rPr>
                <w:rStyle w:val="10"/>
                <w:rFonts w:hint="eastAsia"/>
              </w:rPr>
              <w:t>毒性及其标识：</w:t>
            </w:r>
            <w:r>
              <w:rPr>
                <w:rFonts w:hint="eastAsia"/>
              </w:rPr>
              <w:t xml:space="preserve"> </w:t>
            </w:r>
            <w:r>
              <w:rPr>
                <w:lang/>
              </w:rPr>
              <w:drawing>
                <wp:inline distT="0" distB="0" distL="114300" distR="114300">
                  <wp:extent cx="476250" cy="323850"/>
                  <wp:effectExtent l="0" t="0" r="0" b="0"/>
                  <wp:docPr id="12" name="图片 1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3AA29D0">
        <w:tblPrEx>
          <w:tblCellMar>
            <w:top w:w="0" w:type="dxa"/>
            <w:left w:w="0" w:type="dxa"/>
            <w:bottom w:w="0" w:type="dxa"/>
            <w:right w:w="0" w:type="dxa"/>
          </w:tblCellMar>
        </w:tblPrEx>
        <w:trPr>
          <w:wBefore w:w="0" w:type="auto"/>
          <w:tblCellSpacing w:w="0" w:type="dxa"/>
        </w:trPr>
        <w:tc>
          <w:tcPr>
            <w:tcW w:w="0" w:type="auto"/>
            <w:noWrap w:val="0"/>
            <w:vAlign w:val="center"/>
          </w:tcPr>
          <w:p w14:paraId="590918C7">
            <w:r>
              <w:rPr>
                <w:rStyle w:val="10"/>
                <w:rFonts w:hint="eastAsia"/>
              </w:rPr>
              <w:t>总有效成分含量：</w:t>
            </w:r>
            <w:r>
              <w:rPr>
                <w:rFonts w:hint="eastAsia"/>
              </w:rPr>
              <w:t>5%</w:t>
            </w:r>
          </w:p>
        </w:tc>
      </w:tr>
      <w:tr w14:paraId="230C683B">
        <w:tblPrEx>
          <w:tblCellMar>
            <w:top w:w="0" w:type="dxa"/>
            <w:left w:w="0" w:type="dxa"/>
            <w:bottom w:w="0" w:type="dxa"/>
            <w:right w:w="0" w:type="dxa"/>
          </w:tblCellMar>
        </w:tblPrEx>
        <w:trPr>
          <w:wBefore w:w="0" w:type="auto"/>
          <w:tblCellSpacing w:w="0" w:type="dxa"/>
        </w:trPr>
        <w:tc>
          <w:tcPr>
            <w:tcW w:w="0" w:type="auto"/>
            <w:noWrap w:val="0"/>
            <w:vAlign w:val="center"/>
          </w:tcPr>
          <w:p w14:paraId="1803D78F">
            <w:r>
              <w:rPr>
                <w:rFonts w:hint="eastAsia"/>
              </w:rPr>
              <w:t xml:space="preserve">有效成分及其含量： </w:t>
            </w:r>
          </w:p>
          <w:p w14:paraId="42511827">
            <w:r>
              <w:rPr>
                <w:rFonts w:hint="eastAsia"/>
              </w:rPr>
              <w:t xml:space="preserve">    d-柠檬烯5%    </w:t>
            </w:r>
          </w:p>
        </w:tc>
      </w:tr>
      <w:tr w14:paraId="3C5225EA">
        <w:tblPrEx>
          <w:tblCellMar>
            <w:top w:w="0" w:type="dxa"/>
            <w:left w:w="0" w:type="dxa"/>
            <w:bottom w:w="0" w:type="dxa"/>
            <w:right w:w="0" w:type="dxa"/>
          </w:tblCellMar>
        </w:tblPrEx>
        <w:trPr>
          <w:wBefore w:w="0" w:type="auto"/>
          <w:tblCellSpacing w:w="0" w:type="dxa"/>
        </w:trPr>
        <w:tc>
          <w:tcPr>
            <w:tcW w:w="0" w:type="auto"/>
            <w:noWrap w:val="0"/>
            <w:vAlign w:val="center"/>
          </w:tcPr>
          <w:p w14:paraId="4401F33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4E820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1EB277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F7E951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FE7202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A4A4B71">
                  <w:r>
                    <w:rPr>
                      <w:rStyle w:val="11"/>
                      <w:rFonts w:hint="eastAsia"/>
                    </w:rPr>
                    <w:t>施用方式</w:t>
                  </w:r>
                </w:p>
              </w:tc>
            </w:tr>
            <w:tr w14:paraId="1E79AE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3D9D8A1">
                  <w:r>
                    <w:rPr>
                      <w:rStyle w:val="11"/>
                      <w:rFonts w:hint="eastAsia"/>
                    </w:rPr>
                    <w:t>草莓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1454FC">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119496">
                  <w:r>
                    <w:rPr>
                      <w:rStyle w:val="11"/>
                      <w:rFonts w:hint="eastAsia"/>
                    </w:rPr>
                    <w:t>90-120毫升/亩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E6E2AF">
                  <w:r>
                    <w:rPr>
                      <w:rStyle w:val="11"/>
                      <w:rFonts w:hint="eastAsia"/>
                    </w:rPr>
                    <w:t>喷雾</w:t>
                  </w:r>
                </w:p>
              </w:tc>
            </w:tr>
          </w:tbl>
          <w:p w14:paraId="4BC4D5EE">
            <w:pPr>
              <w:rPr>
                <w:rFonts w:ascii="Times New Roman" w:hAnsi="Times New Roman" w:cs="Times New Roman"/>
                <w:sz w:val="20"/>
                <w:szCs w:val="20"/>
              </w:rPr>
            </w:pPr>
          </w:p>
        </w:tc>
      </w:tr>
      <w:tr w14:paraId="72E8B330">
        <w:tblPrEx>
          <w:tblCellMar>
            <w:top w:w="0" w:type="dxa"/>
            <w:left w:w="0" w:type="dxa"/>
            <w:bottom w:w="0" w:type="dxa"/>
            <w:right w:w="0" w:type="dxa"/>
          </w:tblCellMar>
        </w:tblPrEx>
        <w:trPr>
          <w:wBefore w:w="0" w:type="auto"/>
          <w:tblCellSpacing w:w="0" w:type="dxa"/>
        </w:trPr>
        <w:tc>
          <w:tcPr>
            <w:tcW w:w="0" w:type="auto"/>
            <w:noWrap w:val="0"/>
            <w:vAlign w:val="center"/>
          </w:tcPr>
          <w:p w14:paraId="14E00F8C">
            <w:r>
              <w:rPr>
                <w:rStyle w:val="10"/>
                <w:rFonts w:hint="eastAsia"/>
              </w:rPr>
              <w:t>使用技术要求:</w:t>
            </w:r>
            <w:r>
              <w:rPr>
                <w:rFonts w:hint="eastAsia"/>
              </w:rPr>
              <w:br w:type="textWrapping"/>
            </w:r>
            <w:r>
              <w:rPr>
                <w:rStyle w:val="11"/>
                <w:rFonts w:hint="eastAsia"/>
              </w:rPr>
              <w:t>于番茄烟粉虱和柑橘红蜘蛛发生初期，根据推荐剂量均匀喷雾处理，番茄烟粉虱间隔5-7天防治一次，柑橘红蜘蛛间隔20天左右防治一次；于黄瓜白粉病发病前至病斑初见期按推荐剂量均匀喷雾处理，间隔 7-10天防治1次，连续防治2-3次；草莓炭疽病发病前或发病初期施药，可施药3次，间隔7天左右。喷雾时要求喷足水量，叶片正反面都要喷到。</w:t>
            </w:r>
          </w:p>
        </w:tc>
      </w:tr>
      <w:tr w14:paraId="291A3779">
        <w:tblPrEx>
          <w:tblCellMar>
            <w:top w:w="0" w:type="dxa"/>
            <w:left w:w="0" w:type="dxa"/>
            <w:bottom w:w="0" w:type="dxa"/>
            <w:right w:w="0" w:type="dxa"/>
          </w:tblCellMar>
        </w:tblPrEx>
        <w:trPr>
          <w:wBefore w:w="0" w:type="auto"/>
          <w:tblCellSpacing w:w="0" w:type="dxa"/>
        </w:trPr>
        <w:tc>
          <w:tcPr>
            <w:tcW w:w="0" w:type="auto"/>
            <w:noWrap w:val="0"/>
            <w:vAlign w:val="center"/>
          </w:tcPr>
          <w:p w14:paraId="6A8CBE55">
            <w:r>
              <w:rPr>
                <w:rStyle w:val="10"/>
                <w:rFonts w:hint="eastAsia"/>
              </w:rPr>
              <w:t>产品性能:</w:t>
            </w:r>
            <w:r>
              <w:rPr>
                <w:rFonts w:hint="eastAsia"/>
              </w:rPr>
              <w:br w:type="textWrapping"/>
            </w:r>
            <w:r>
              <w:rPr>
                <w:rStyle w:val="11"/>
                <w:rFonts w:hint="eastAsia"/>
              </w:rPr>
              <w:t>本品有效成分是用专业的冷压技术从橙皮中提取的橙油，属于天然的植物源农药。对害虫害螨作用方式为物理触杀作用，与常用的化学农药无交互抗性，杀虫杀螨机理是溶解害虫害螨体表蜡质层，使其呈现快速击倒，呈明显的失水状态而死，并可抑制害虫害螨产卵，降低种群数量。对病菌的作用是使病菌磷脂双分子层脱水干燥而起到杀菌效果。可用于防治番茄烟粉虱、柑橘红蜘蛛、黄瓜白粉病和草莓炭疽病。</w:t>
            </w:r>
          </w:p>
        </w:tc>
      </w:tr>
      <w:tr w14:paraId="7E42EB1D">
        <w:tblPrEx>
          <w:tblCellMar>
            <w:top w:w="0" w:type="dxa"/>
            <w:left w:w="0" w:type="dxa"/>
            <w:bottom w:w="0" w:type="dxa"/>
            <w:right w:w="0" w:type="dxa"/>
          </w:tblCellMar>
        </w:tblPrEx>
        <w:trPr>
          <w:wBefore w:w="0" w:type="auto"/>
          <w:tblCellSpacing w:w="0" w:type="dxa"/>
        </w:trPr>
        <w:tc>
          <w:tcPr>
            <w:tcW w:w="0" w:type="auto"/>
            <w:noWrap w:val="0"/>
            <w:vAlign w:val="center"/>
          </w:tcPr>
          <w:p w14:paraId="0C7B025E">
            <w:r>
              <w:rPr>
                <w:rStyle w:val="10"/>
                <w:rFonts w:hint="eastAsia"/>
              </w:rPr>
              <w:t>注意事项：</w:t>
            </w:r>
            <w:r>
              <w:rPr>
                <w:rFonts w:hint="eastAsia"/>
              </w:rPr>
              <w:br w:type="textWrapping"/>
            </w:r>
            <w:r>
              <w:rPr>
                <w:rStyle w:val="11"/>
                <w:rFonts w:hint="eastAsia"/>
              </w:rPr>
              <w:t>1.请按照农药安全使用准则使用本品。2. d-柠檬烯是以触杀作用为主，施用时应使作物叶片和枝条等充分着药。 3.为了避免害虫产生抗药性，建议与其它不同作用机制的杀虫剂轮用。 4.在配制和施用本品时，应穿防护服、戴手套、口罩，严禁吸烟和饮食。 5.本品对鱼和鸟中等毒，切勿将本品及其废液弃于池塘、河溪和湖泊等，水产养殖区、河塘等水体附近禁用，禁止在河塘等水域清洗施药器具。在鸟类保护区慎用。6.妥善处理盛装过本品的容器，不可做他用或随意丢弃。7、孕妇和哺乳期妇女避免接触。</w:t>
            </w:r>
          </w:p>
        </w:tc>
      </w:tr>
      <w:tr w14:paraId="47CDEBA2">
        <w:tblPrEx>
          <w:tblCellMar>
            <w:top w:w="0" w:type="dxa"/>
            <w:left w:w="0" w:type="dxa"/>
            <w:bottom w:w="0" w:type="dxa"/>
            <w:right w:w="0" w:type="dxa"/>
          </w:tblCellMar>
        </w:tblPrEx>
        <w:trPr>
          <w:wBefore w:w="0" w:type="auto"/>
          <w:tblCellSpacing w:w="0" w:type="dxa"/>
        </w:trPr>
        <w:tc>
          <w:tcPr>
            <w:tcW w:w="0" w:type="auto"/>
            <w:noWrap w:val="0"/>
            <w:vAlign w:val="center"/>
          </w:tcPr>
          <w:p w14:paraId="3C58DC3F">
            <w:r>
              <w:rPr>
                <w:rStyle w:val="10"/>
                <w:rFonts w:hint="eastAsia"/>
              </w:rPr>
              <w:t>中毒急救措施：</w:t>
            </w:r>
            <w:r>
              <w:rPr>
                <w:rFonts w:hint="eastAsia"/>
              </w:rPr>
              <w:br w:type="textWrapping"/>
            </w:r>
            <w:r>
              <w:rPr>
                <w:rStyle w:val="11"/>
                <w:rFonts w:hint="eastAsia"/>
              </w:rPr>
              <w:t>对眼睛有刺激性，使用时应避免药液接触眼睛、粘膜和伤口等。1.皮肤接触：立即脱掉被污染的衣物，用肥皂和大量清水彻底清洗受污染的皮肤。 2.眼睛溅药：立即将眼睑翻开，用清水冲洗10-15分钟，再请医生诊治。 3.发生吸入：立即将吸入者转移到空气新鲜处，请医生诊治。 4.误服：请勿引吐，立即携带标签，送医就诊。 5.解毒剂：无专用解毒剂，对症治疗。</w:t>
            </w:r>
          </w:p>
        </w:tc>
      </w:tr>
      <w:tr w14:paraId="512E2430">
        <w:tblPrEx>
          <w:tblCellMar>
            <w:top w:w="0" w:type="dxa"/>
            <w:left w:w="0" w:type="dxa"/>
            <w:bottom w:w="0" w:type="dxa"/>
            <w:right w:w="0" w:type="dxa"/>
          </w:tblCellMar>
        </w:tblPrEx>
        <w:trPr>
          <w:wBefore w:w="0" w:type="auto"/>
          <w:tblCellSpacing w:w="0" w:type="dxa"/>
        </w:trPr>
        <w:tc>
          <w:tcPr>
            <w:tcW w:w="0" w:type="auto"/>
            <w:noWrap w:val="0"/>
            <w:vAlign w:val="center"/>
          </w:tcPr>
          <w:p w14:paraId="642F5CEB">
            <w:r>
              <w:rPr>
                <w:rStyle w:val="10"/>
                <w:rFonts w:hint="eastAsia"/>
              </w:rPr>
              <w:t>储存和运输方法：</w:t>
            </w:r>
            <w:r>
              <w:rPr>
                <w:rFonts w:hint="eastAsia"/>
              </w:rPr>
              <w:br w:type="textWrapping"/>
            </w:r>
            <w:r>
              <w:rPr>
                <w:rStyle w:val="11"/>
                <w:rFonts w:hint="eastAsia"/>
              </w:rPr>
              <w:t>1. 本品应贮藏在常温、避光、干燥、通风处。运输时应注意避光、防高温、雨淋。2.本品置于儿童接触不到的地方并加锁保存。勿与食物、饮料、粮食和动物饲料在一起存放或运输。</w:t>
            </w:r>
          </w:p>
        </w:tc>
      </w:tr>
      <w:tr w14:paraId="28C7C7D0">
        <w:tblPrEx>
          <w:tblCellMar>
            <w:top w:w="0" w:type="dxa"/>
            <w:left w:w="0" w:type="dxa"/>
            <w:bottom w:w="0" w:type="dxa"/>
            <w:right w:w="0" w:type="dxa"/>
          </w:tblCellMar>
        </w:tblPrEx>
        <w:trPr>
          <w:wBefore w:w="0" w:type="auto"/>
          <w:tblCellSpacing w:w="0" w:type="dxa"/>
        </w:trPr>
        <w:tc>
          <w:tcPr>
            <w:tcW w:w="0" w:type="auto"/>
            <w:noWrap w:val="0"/>
            <w:vAlign w:val="center"/>
          </w:tcPr>
          <w:p w14:paraId="40B2889B">
            <w:r>
              <w:rPr>
                <w:rStyle w:val="10"/>
                <w:rFonts w:hint="eastAsia"/>
              </w:rPr>
              <w:t>质量保证期：</w:t>
            </w:r>
            <w:r>
              <w:rPr>
                <w:rStyle w:val="11"/>
                <w:rFonts w:hint="eastAsia"/>
              </w:rPr>
              <w:t>2年</w:t>
            </w:r>
          </w:p>
        </w:tc>
      </w:tr>
      <w:tr w14:paraId="0E49D0FA">
        <w:tblPrEx>
          <w:tblCellMar>
            <w:top w:w="0" w:type="dxa"/>
            <w:left w:w="0" w:type="dxa"/>
            <w:bottom w:w="0" w:type="dxa"/>
            <w:right w:w="0" w:type="dxa"/>
          </w:tblCellMar>
        </w:tblPrEx>
        <w:trPr>
          <w:wBefore w:w="0" w:type="auto"/>
          <w:tblCellSpacing w:w="0" w:type="dxa"/>
        </w:trPr>
        <w:tc>
          <w:tcPr>
            <w:tcW w:w="0" w:type="auto"/>
            <w:noWrap w:val="0"/>
            <w:vAlign w:val="center"/>
          </w:tcPr>
          <w:p w14:paraId="2C7A7038">
            <w:r>
              <w:rPr>
                <w:rStyle w:val="10"/>
                <w:rFonts w:hint="eastAsia"/>
              </w:rPr>
              <w:t>备注：</w:t>
            </w:r>
          </w:p>
        </w:tc>
      </w:tr>
    </w:tbl>
    <w:p w14:paraId="6D1072F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BA6B10">
        <w:tblPrEx>
          <w:tblCellMar>
            <w:top w:w="0" w:type="dxa"/>
            <w:left w:w="0" w:type="dxa"/>
            <w:bottom w:w="0" w:type="dxa"/>
            <w:right w:w="0" w:type="dxa"/>
          </w:tblCellMar>
        </w:tblPrEx>
        <w:trPr>
          <w:wBefore w:w="0" w:type="auto"/>
          <w:tblCellSpacing w:w="0" w:type="dxa"/>
        </w:trPr>
        <w:tc>
          <w:tcPr>
            <w:tcW w:w="0" w:type="auto"/>
            <w:noWrap w:val="0"/>
            <w:vAlign w:val="center"/>
          </w:tcPr>
          <w:p w14:paraId="4B6D4814">
            <w:r>
              <w:rPr>
                <w:rStyle w:val="10"/>
                <w:rFonts w:hint="eastAsia"/>
              </w:rPr>
              <w:t>登记证号：</w:t>
            </w:r>
            <w:r>
              <w:rPr>
                <w:rFonts w:hint="eastAsia"/>
              </w:rPr>
              <w:t>PD20131080</w:t>
            </w:r>
          </w:p>
        </w:tc>
      </w:tr>
      <w:tr w14:paraId="01C5354D">
        <w:tblPrEx>
          <w:tblCellMar>
            <w:top w:w="0" w:type="dxa"/>
            <w:left w:w="0" w:type="dxa"/>
            <w:bottom w:w="0" w:type="dxa"/>
            <w:right w:w="0" w:type="dxa"/>
          </w:tblCellMar>
        </w:tblPrEx>
        <w:trPr>
          <w:wBefore w:w="0" w:type="auto"/>
          <w:tblCellSpacing w:w="0" w:type="dxa"/>
        </w:trPr>
        <w:tc>
          <w:tcPr>
            <w:tcW w:w="0" w:type="auto"/>
            <w:noWrap w:val="0"/>
            <w:vAlign w:val="center"/>
          </w:tcPr>
          <w:p w14:paraId="1BBE9B23">
            <w:r>
              <w:rPr>
                <w:rStyle w:val="10"/>
                <w:rFonts w:hint="eastAsia"/>
              </w:rPr>
              <w:t>登记证持有人：</w:t>
            </w:r>
            <w:r>
              <w:rPr>
                <w:rFonts w:hint="eastAsia"/>
              </w:rPr>
              <w:t>四川润尔科技有限公司</w:t>
            </w:r>
          </w:p>
        </w:tc>
      </w:tr>
      <w:tr w14:paraId="0F0AF48F">
        <w:tblPrEx>
          <w:tblCellMar>
            <w:top w:w="0" w:type="dxa"/>
            <w:left w:w="0" w:type="dxa"/>
            <w:bottom w:w="0" w:type="dxa"/>
            <w:right w:w="0" w:type="dxa"/>
          </w:tblCellMar>
        </w:tblPrEx>
        <w:trPr>
          <w:wBefore w:w="0" w:type="auto"/>
          <w:tblCellSpacing w:w="0" w:type="dxa"/>
        </w:trPr>
        <w:tc>
          <w:tcPr>
            <w:tcW w:w="0" w:type="auto"/>
            <w:noWrap w:val="0"/>
            <w:vAlign w:val="center"/>
          </w:tcPr>
          <w:p w14:paraId="1E6B3388">
            <w:r>
              <w:rPr>
                <w:rStyle w:val="10"/>
                <w:rFonts w:hint="eastAsia"/>
              </w:rPr>
              <w:t>农药名称：</w:t>
            </w:r>
            <w:r>
              <w:rPr>
                <w:rFonts w:hint="eastAsia"/>
              </w:rPr>
              <w:t>胺鲜·乙烯利</w:t>
            </w:r>
          </w:p>
        </w:tc>
      </w:tr>
      <w:tr w14:paraId="7B82795F">
        <w:tblPrEx>
          <w:tblCellMar>
            <w:top w:w="0" w:type="dxa"/>
            <w:left w:w="0" w:type="dxa"/>
            <w:bottom w:w="0" w:type="dxa"/>
            <w:right w:w="0" w:type="dxa"/>
          </w:tblCellMar>
        </w:tblPrEx>
        <w:trPr>
          <w:wBefore w:w="0" w:type="auto"/>
          <w:tblCellSpacing w:w="0" w:type="dxa"/>
        </w:trPr>
        <w:tc>
          <w:tcPr>
            <w:tcW w:w="0" w:type="auto"/>
            <w:noWrap w:val="0"/>
            <w:vAlign w:val="center"/>
          </w:tcPr>
          <w:p w14:paraId="399BF797">
            <w:r>
              <w:rPr>
                <w:rStyle w:val="10"/>
                <w:rFonts w:hint="eastAsia"/>
              </w:rPr>
              <w:t>剂型：</w:t>
            </w:r>
            <w:r>
              <w:rPr>
                <w:rFonts w:hint="eastAsia"/>
              </w:rPr>
              <w:t>水剂</w:t>
            </w:r>
          </w:p>
        </w:tc>
      </w:tr>
      <w:tr w14:paraId="1DD99DB1">
        <w:tblPrEx>
          <w:tblCellMar>
            <w:top w:w="0" w:type="dxa"/>
            <w:left w:w="0" w:type="dxa"/>
            <w:bottom w:w="0" w:type="dxa"/>
            <w:right w:w="0" w:type="dxa"/>
          </w:tblCellMar>
        </w:tblPrEx>
        <w:trPr>
          <w:wBefore w:w="0" w:type="auto"/>
          <w:tblCellSpacing w:w="0" w:type="dxa"/>
        </w:trPr>
        <w:tc>
          <w:tcPr>
            <w:tcW w:w="0" w:type="auto"/>
            <w:noWrap w:val="0"/>
            <w:vAlign w:val="center"/>
          </w:tcPr>
          <w:p w14:paraId="53EB3B7F">
            <w:r>
              <w:rPr>
                <w:rStyle w:val="10"/>
                <w:rFonts w:hint="eastAsia"/>
              </w:rPr>
              <w:t>毒性及其标识：</w:t>
            </w:r>
            <w:r>
              <w:rPr>
                <w:rFonts w:hint="eastAsia"/>
              </w:rPr>
              <w:t xml:space="preserve"> </w:t>
            </w:r>
            <w:r>
              <w:rPr>
                <w:lang/>
              </w:rPr>
              <w:drawing>
                <wp:inline distT="0" distB="0" distL="114300" distR="114300">
                  <wp:extent cx="476250" cy="323850"/>
                  <wp:effectExtent l="0" t="0" r="0" b="0"/>
                  <wp:docPr id="13" name="图片 1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9CEF29">
        <w:tblPrEx>
          <w:tblCellMar>
            <w:top w:w="0" w:type="dxa"/>
            <w:left w:w="0" w:type="dxa"/>
            <w:bottom w:w="0" w:type="dxa"/>
            <w:right w:w="0" w:type="dxa"/>
          </w:tblCellMar>
        </w:tblPrEx>
        <w:trPr>
          <w:wBefore w:w="0" w:type="auto"/>
          <w:tblCellSpacing w:w="0" w:type="dxa"/>
        </w:trPr>
        <w:tc>
          <w:tcPr>
            <w:tcW w:w="0" w:type="auto"/>
            <w:noWrap w:val="0"/>
            <w:vAlign w:val="center"/>
          </w:tcPr>
          <w:p w14:paraId="3296BE5D">
            <w:r>
              <w:rPr>
                <w:rStyle w:val="10"/>
                <w:rFonts w:hint="eastAsia"/>
              </w:rPr>
              <w:t>总有效成分含量：</w:t>
            </w:r>
            <w:r>
              <w:rPr>
                <w:rFonts w:hint="eastAsia"/>
              </w:rPr>
              <w:t>30%</w:t>
            </w:r>
          </w:p>
        </w:tc>
      </w:tr>
      <w:tr w14:paraId="32CA3F41">
        <w:tblPrEx>
          <w:tblCellMar>
            <w:top w:w="0" w:type="dxa"/>
            <w:left w:w="0" w:type="dxa"/>
            <w:bottom w:w="0" w:type="dxa"/>
            <w:right w:w="0" w:type="dxa"/>
          </w:tblCellMar>
        </w:tblPrEx>
        <w:trPr>
          <w:wBefore w:w="0" w:type="auto"/>
          <w:tblCellSpacing w:w="0" w:type="dxa"/>
        </w:trPr>
        <w:tc>
          <w:tcPr>
            <w:tcW w:w="0" w:type="auto"/>
            <w:noWrap w:val="0"/>
            <w:vAlign w:val="center"/>
          </w:tcPr>
          <w:p w14:paraId="5CFC99F1">
            <w:r>
              <w:rPr>
                <w:rFonts w:hint="eastAsia"/>
              </w:rPr>
              <w:t xml:space="preserve">有效成分及其含量： </w:t>
            </w:r>
          </w:p>
          <w:p w14:paraId="75EE59AA">
            <w:r>
              <w:rPr>
                <w:rFonts w:hint="eastAsia"/>
              </w:rPr>
              <w:t xml:space="preserve">    乙烯利27%    胺鲜酯3%    </w:t>
            </w:r>
          </w:p>
        </w:tc>
      </w:tr>
      <w:tr w14:paraId="1A877656">
        <w:tblPrEx>
          <w:tblCellMar>
            <w:top w:w="0" w:type="dxa"/>
            <w:left w:w="0" w:type="dxa"/>
            <w:bottom w:w="0" w:type="dxa"/>
            <w:right w:w="0" w:type="dxa"/>
          </w:tblCellMar>
        </w:tblPrEx>
        <w:trPr>
          <w:wBefore w:w="0" w:type="auto"/>
          <w:tblCellSpacing w:w="0" w:type="dxa"/>
        </w:trPr>
        <w:tc>
          <w:tcPr>
            <w:tcW w:w="0" w:type="auto"/>
            <w:noWrap w:val="0"/>
            <w:vAlign w:val="center"/>
          </w:tcPr>
          <w:p w14:paraId="7E2F856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19C57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D9862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C29475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A6891B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A486902">
                  <w:r>
                    <w:rPr>
                      <w:rStyle w:val="11"/>
                      <w:rFonts w:hint="eastAsia"/>
                    </w:rPr>
                    <w:t>施用方式</w:t>
                  </w:r>
                </w:p>
              </w:tc>
            </w:tr>
            <w:tr w14:paraId="4E21C2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314289">
                  <w:r>
                    <w:rPr>
                      <w:rStyle w:val="11"/>
                      <w:rFonts w:hint="eastAsia"/>
                    </w:rPr>
                    <w:t>核桃</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AEF0D3">
                  <w:r>
                    <w:rPr>
                      <w:rStyle w:val="11"/>
                      <w:rFonts w:hint="eastAsia"/>
                    </w:rPr>
                    <w:t>脱皮</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E2337B">
                  <w:r>
                    <w:rPr>
                      <w:rStyle w:val="11"/>
                      <w:rFonts w:hint="eastAsia"/>
                    </w:rPr>
                    <w:t>100-200倍液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6D0815">
                  <w:r>
                    <w:rPr>
                      <w:rStyle w:val="11"/>
                      <w:rFonts w:hint="eastAsia"/>
                    </w:rPr>
                    <w:t>浸果</w:t>
                  </w:r>
                </w:p>
              </w:tc>
            </w:tr>
          </w:tbl>
          <w:p w14:paraId="45F2FA7A">
            <w:pPr>
              <w:rPr>
                <w:rFonts w:ascii="Times New Roman" w:hAnsi="Times New Roman" w:cs="Times New Roman"/>
                <w:sz w:val="20"/>
                <w:szCs w:val="20"/>
              </w:rPr>
            </w:pPr>
          </w:p>
        </w:tc>
      </w:tr>
      <w:tr w14:paraId="4596BBAC">
        <w:tblPrEx>
          <w:tblCellMar>
            <w:top w:w="0" w:type="dxa"/>
            <w:left w:w="0" w:type="dxa"/>
            <w:bottom w:w="0" w:type="dxa"/>
            <w:right w:w="0" w:type="dxa"/>
          </w:tblCellMar>
        </w:tblPrEx>
        <w:trPr>
          <w:wBefore w:w="0" w:type="auto"/>
          <w:tblCellSpacing w:w="0" w:type="dxa"/>
        </w:trPr>
        <w:tc>
          <w:tcPr>
            <w:tcW w:w="0" w:type="auto"/>
            <w:noWrap w:val="0"/>
            <w:vAlign w:val="center"/>
          </w:tcPr>
          <w:p w14:paraId="5D31A33E">
            <w:r>
              <w:rPr>
                <w:rStyle w:val="10"/>
                <w:rFonts w:hint="eastAsia"/>
              </w:rPr>
              <w:t>使用技术要求:</w:t>
            </w:r>
            <w:r>
              <w:rPr>
                <w:rFonts w:hint="eastAsia"/>
              </w:rPr>
              <w:br w:type="textWrapping"/>
            </w:r>
            <w:r>
              <w:rPr>
                <w:rStyle w:val="11"/>
                <w:rFonts w:hint="eastAsia"/>
              </w:rPr>
              <w:t>1. 在玉米有6-13片展开叶时叶面喷雾一次，不重喷；亩用22.5-25毫升药剂兑水15-30千克均匀喷雾。干旱期及弱苗不喷，不能随意增大浓度和用量。在核桃采收后浸果一次，浸果时间不超过30秒，制剂用药量100-200倍液。2. 玉米：每季最多使用1次，安全间隔期45天；核桃：每季作物最多使用1次，安全间隔期为5天。</w:t>
            </w:r>
          </w:p>
        </w:tc>
      </w:tr>
      <w:tr w14:paraId="760196C4">
        <w:tblPrEx>
          <w:tblCellMar>
            <w:top w:w="0" w:type="dxa"/>
            <w:left w:w="0" w:type="dxa"/>
            <w:bottom w:w="0" w:type="dxa"/>
            <w:right w:w="0" w:type="dxa"/>
          </w:tblCellMar>
        </w:tblPrEx>
        <w:trPr>
          <w:wBefore w:w="0" w:type="auto"/>
          <w:tblCellSpacing w:w="0" w:type="dxa"/>
        </w:trPr>
        <w:tc>
          <w:tcPr>
            <w:tcW w:w="0" w:type="auto"/>
            <w:noWrap w:val="0"/>
            <w:vAlign w:val="center"/>
          </w:tcPr>
          <w:p w14:paraId="193E1148">
            <w:r>
              <w:rPr>
                <w:rStyle w:val="10"/>
                <w:rFonts w:hint="eastAsia"/>
              </w:rPr>
              <w:t>产品性能:</w:t>
            </w:r>
            <w:r>
              <w:rPr>
                <w:rFonts w:hint="eastAsia"/>
              </w:rPr>
              <w:br w:type="textWrapping"/>
            </w:r>
            <w:r>
              <w:rPr>
                <w:rStyle w:val="11"/>
                <w:rFonts w:hint="eastAsia"/>
              </w:rPr>
              <w:t>本品能有效调节玉米生长，促进根系发达、气根增多；节间缩短、茎秆增粗；穗位高度降低，增强植株抗倒伏能力。本品能使玉米穗长和千粒重增加。在核桃上采后浸果可以促进脱皮。</w:t>
            </w:r>
          </w:p>
        </w:tc>
      </w:tr>
      <w:tr w14:paraId="1107AE83">
        <w:tblPrEx>
          <w:tblCellMar>
            <w:top w:w="0" w:type="dxa"/>
            <w:left w:w="0" w:type="dxa"/>
            <w:bottom w:w="0" w:type="dxa"/>
            <w:right w:w="0" w:type="dxa"/>
          </w:tblCellMar>
        </w:tblPrEx>
        <w:trPr>
          <w:wBefore w:w="0" w:type="auto"/>
          <w:tblCellSpacing w:w="0" w:type="dxa"/>
        </w:trPr>
        <w:tc>
          <w:tcPr>
            <w:tcW w:w="0" w:type="auto"/>
            <w:noWrap w:val="0"/>
            <w:vAlign w:val="center"/>
          </w:tcPr>
          <w:p w14:paraId="29224C70">
            <w:r>
              <w:rPr>
                <w:rStyle w:val="10"/>
                <w:rFonts w:hint="eastAsia"/>
              </w:rPr>
              <w:t>注意事项：</w:t>
            </w:r>
            <w:r>
              <w:rPr>
                <w:rFonts w:hint="eastAsia"/>
              </w:rPr>
              <w:br w:type="textWrapping"/>
            </w:r>
            <w:r>
              <w:rPr>
                <w:rStyle w:val="11"/>
                <w:rFonts w:hint="eastAsia"/>
              </w:rPr>
              <w:t>1. 掌握好用药时期，请按推荐用法用量使用。2. 本品不能与碱性药肥混用。3. 在使用本品时，应喷雾均匀，防止重喷。4. 植株长势弱及干旱时不用。5. 本品不能代替肥水，用后应加强肥水管理。6. 使用本品时应穿戴防护服、口罩（面罩）和手套等防护用具，避免吸入药液。施药期间不可吃东西、喝水和吸烟。施药后应及时洗手和洗脸。7. 禁止在河塘等水域内清洗施药器具或将清洗施药器具的废水倒入河流、池塘等水源。8. 用过的容器和废气物应妥善处理，不可随意丢弃或做他用。8. 孕妇及哺乳期妇女避免接触此药。</w:t>
            </w:r>
          </w:p>
        </w:tc>
      </w:tr>
      <w:tr w14:paraId="3615C251">
        <w:tblPrEx>
          <w:tblCellMar>
            <w:top w:w="0" w:type="dxa"/>
            <w:left w:w="0" w:type="dxa"/>
            <w:bottom w:w="0" w:type="dxa"/>
            <w:right w:w="0" w:type="dxa"/>
          </w:tblCellMar>
        </w:tblPrEx>
        <w:trPr>
          <w:wBefore w:w="0" w:type="auto"/>
          <w:tblCellSpacing w:w="0" w:type="dxa"/>
        </w:trPr>
        <w:tc>
          <w:tcPr>
            <w:tcW w:w="0" w:type="auto"/>
            <w:noWrap w:val="0"/>
            <w:vAlign w:val="center"/>
          </w:tcPr>
          <w:p w14:paraId="1ABC4B43">
            <w:r>
              <w:rPr>
                <w:rStyle w:val="10"/>
                <w:rFonts w:hint="eastAsia"/>
              </w:rPr>
              <w:t>中毒急救措施：</w:t>
            </w:r>
            <w:r>
              <w:rPr>
                <w:rFonts w:hint="eastAsia"/>
              </w:rPr>
              <w:br w:type="textWrapping"/>
            </w:r>
            <w:r>
              <w:rPr>
                <w:rStyle w:val="11"/>
                <w:rFonts w:hint="eastAsia"/>
              </w:rPr>
              <w:t>1. 本品对眼睛有较强的刺激性，使用时应注意防护，避免药液触及眼睛和皮肤，如皮肤接触，立即脱去污染的衣着，用大量流动清水冲洗至少15分钟。接触眼睛，应立即提起眼睑，用大量流动清水或生理盐水彻底冲洗至少15分钟。严重的请携标签就医。2. 如误服本品应对症治疗，不能引吐。</w:t>
            </w:r>
          </w:p>
        </w:tc>
      </w:tr>
      <w:tr w14:paraId="0BF5DF6B">
        <w:tblPrEx>
          <w:tblCellMar>
            <w:top w:w="0" w:type="dxa"/>
            <w:left w:w="0" w:type="dxa"/>
            <w:bottom w:w="0" w:type="dxa"/>
            <w:right w:w="0" w:type="dxa"/>
          </w:tblCellMar>
        </w:tblPrEx>
        <w:trPr>
          <w:wBefore w:w="0" w:type="auto"/>
          <w:tblCellSpacing w:w="0" w:type="dxa"/>
        </w:trPr>
        <w:tc>
          <w:tcPr>
            <w:tcW w:w="0" w:type="auto"/>
            <w:noWrap w:val="0"/>
            <w:vAlign w:val="center"/>
          </w:tcPr>
          <w:p w14:paraId="09843898">
            <w:r>
              <w:rPr>
                <w:rStyle w:val="10"/>
                <w:rFonts w:hint="eastAsia"/>
              </w:rPr>
              <w:t>储存和运输方法：</w:t>
            </w:r>
            <w:r>
              <w:rPr>
                <w:rFonts w:hint="eastAsia"/>
              </w:rPr>
              <w:br w:type="textWrapping"/>
            </w:r>
            <w:r>
              <w:rPr>
                <w:rStyle w:val="11"/>
                <w:rFonts w:hint="eastAsia"/>
              </w:rPr>
              <w:t>1. 本品在运输和贮藏时应注意防止机械损伤和包装破损。2. 置于儿童和无关人员触及不到的地方，并加锁保存。严禁与食品、药品、种子、粮食、饮料、饲料以及除草剂等同贮同运。</w:t>
            </w:r>
          </w:p>
        </w:tc>
      </w:tr>
      <w:tr w14:paraId="0D2E401D">
        <w:tblPrEx>
          <w:tblCellMar>
            <w:top w:w="0" w:type="dxa"/>
            <w:left w:w="0" w:type="dxa"/>
            <w:bottom w:w="0" w:type="dxa"/>
            <w:right w:w="0" w:type="dxa"/>
          </w:tblCellMar>
        </w:tblPrEx>
        <w:trPr>
          <w:wBefore w:w="0" w:type="auto"/>
          <w:tblCellSpacing w:w="0" w:type="dxa"/>
        </w:trPr>
        <w:tc>
          <w:tcPr>
            <w:tcW w:w="0" w:type="auto"/>
            <w:noWrap w:val="0"/>
            <w:vAlign w:val="center"/>
          </w:tcPr>
          <w:p w14:paraId="40FF04F3">
            <w:r>
              <w:rPr>
                <w:rStyle w:val="10"/>
                <w:rFonts w:hint="eastAsia"/>
              </w:rPr>
              <w:t>质量保证期：</w:t>
            </w:r>
            <w:r>
              <w:rPr>
                <w:rStyle w:val="11"/>
                <w:rFonts w:hint="eastAsia"/>
              </w:rPr>
              <w:t>2年</w:t>
            </w:r>
          </w:p>
        </w:tc>
      </w:tr>
      <w:tr w14:paraId="1C47696F">
        <w:tblPrEx>
          <w:tblCellMar>
            <w:top w:w="0" w:type="dxa"/>
            <w:left w:w="0" w:type="dxa"/>
            <w:bottom w:w="0" w:type="dxa"/>
            <w:right w:w="0" w:type="dxa"/>
          </w:tblCellMar>
        </w:tblPrEx>
        <w:trPr>
          <w:wBefore w:w="0" w:type="auto"/>
          <w:tblCellSpacing w:w="0" w:type="dxa"/>
        </w:trPr>
        <w:tc>
          <w:tcPr>
            <w:tcW w:w="0" w:type="auto"/>
            <w:noWrap w:val="0"/>
            <w:vAlign w:val="center"/>
          </w:tcPr>
          <w:p w14:paraId="55EBEF65">
            <w:r>
              <w:rPr>
                <w:rStyle w:val="10"/>
                <w:rFonts w:hint="eastAsia"/>
              </w:rPr>
              <w:t>备注：</w:t>
            </w:r>
          </w:p>
        </w:tc>
      </w:tr>
    </w:tbl>
    <w:p w14:paraId="0E08379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FBA3C2E">
        <w:tblPrEx>
          <w:tblCellMar>
            <w:top w:w="0" w:type="dxa"/>
            <w:left w:w="0" w:type="dxa"/>
            <w:bottom w:w="0" w:type="dxa"/>
            <w:right w:w="0" w:type="dxa"/>
          </w:tblCellMar>
        </w:tblPrEx>
        <w:trPr>
          <w:wBefore w:w="0" w:type="auto"/>
          <w:tblCellSpacing w:w="0" w:type="dxa"/>
        </w:trPr>
        <w:tc>
          <w:tcPr>
            <w:tcW w:w="0" w:type="auto"/>
            <w:noWrap w:val="0"/>
            <w:vAlign w:val="center"/>
          </w:tcPr>
          <w:p w14:paraId="430B0920">
            <w:r>
              <w:rPr>
                <w:rStyle w:val="10"/>
                <w:rFonts w:hint="eastAsia"/>
              </w:rPr>
              <w:t>登记证号：</w:t>
            </w:r>
            <w:r>
              <w:rPr>
                <w:rFonts w:hint="eastAsia"/>
              </w:rPr>
              <w:t>PD20101353</w:t>
            </w:r>
          </w:p>
        </w:tc>
      </w:tr>
      <w:tr w14:paraId="7BE39B9D">
        <w:tblPrEx>
          <w:tblCellMar>
            <w:top w:w="0" w:type="dxa"/>
            <w:left w:w="0" w:type="dxa"/>
            <w:bottom w:w="0" w:type="dxa"/>
            <w:right w:w="0" w:type="dxa"/>
          </w:tblCellMar>
        </w:tblPrEx>
        <w:trPr>
          <w:wBefore w:w="0" w:type="auto"/>
          <w:tblCellSpacing w:w="0" w:type="dxa"/>
        </w:trPr>
        <w:tc>
          <w:tcPr>
            <w:tcW w:w="0" w:type="auto"/>
            <w:noWrap w:val="0"/>
            <w:vAlign w:val="center"/>
          </w:tcPr>
          <w:p w14:paraId="525DC733">
            <w:r>
              <w:rPr>
                <w:rStyle w:val="10"/>
                <w:rFonts w:hint="eastAsia"/>
              </w:rPr>
              <w:t>登记证持有人：</w:t>
            </w:r>
            <w:r>
              <w:rPr>
                <w:rFonts w:hint="eastAsia"/>
              </w:rPr>
              <w:t>陕西省咸阳德丰有限责任公司</w:t>
            </w:r>
          </w:p>
        </w:tc>
      </w:tr>
      <w:tr w14:paraId="6999DF49">
        <w:tblPrEx>
          <w:tblCellMar>
            <w:top w:w="0" w:type="dxa"/>
            <w:left w:w="0" w:type="dxa"/>
            <w:bottom w:w="0" w:type="dxa"/>
            <w:right w:w="0" w:type="dxa"/>
          </w:tblCellMar>
        </w:tblPrEx>
        <w:trPr>
          <w:wBefore w:w="0" w:type="auto"/>
          <w:tblCellSpacing w:w="0" w:type="dxa"/>
        </w:trPr>
        <w:tc>
          <w:tcPr>
            <w:tcW w:w="0" w:type="auto"/>
            <w:noWrap w:val="0"/>
            <w:vAlign w:val="center"/>
          </w:tcPr>
          <w:p w14:paraId="1C0F2220">
            <w:r>
              <w:rPr>
                <w:rStyle w:val="10"/>
                <w:rFonts w:hint="eastAsia"/>
              </w:rPr>
              <w:t>农药名称：</w:t>
            </w:r>
            <w:r>
              <w:rPr>
                <w:rFonts w:hint="eastAsia"/>
              </w:rPr>
              <w:t>噻苯隆</w:t>
            </w:r>
          </w:p>
        </w:tc>
      </w:tr>
      <w:tr w14:paraId="0A922817">
        <w:tblPrEx>
          <w:tblCellMar>
            <w:top w:w="0" w:type="dxa"/>
            <w:left w:w="0" w:type="dxa"/>
            <w:bottom w:w="0" w:type="dxa"/>
            <w:right w:w="0" w:type="dxa"/>
          </w:tblCellMar>
        </w:tblPrEx>
        <w:trPr>
          <w:wBefore w:w="0" w:type="auto"/>
          <w:tblCellSpacing w:w="0" w:type="dxa"/>
        </w:trPr>
        <w:tc>
          <w:tcPr>
            <w:tcW w:w="0" w:type="auto"/>
            <w:noWrap w:val="0"/>
            <w:vAlign w:val="center"/>
          </w:tcPr>
          <w:p w14:paraId="71BB867B">
            <w:r>
              <w:rPr>
                <w:rStyle w:val="10"/>
                <w:rFonts w:hint="eastAsia"/>
              </w:rPr>
              <w:t>剂型：</w:t>
            </w:r>
            <w:r>
              <w:rPr>
                <w:rFonts w:hint="eastAsia"/>
              </w:rPr>
              <w:t>可溶液剂</w:t>
            </w:r>
          </w:p>
        </w:tc>
      </w:tr>
      <w:tr w14:paraId="05CAF3DE">
        <w:tblPrEx>
          <w:tblCellMar>
            <w:top w:w="0" w:type="dxa"/>
            <w:left w:w="0" w:type="dxa"/>
            <w:bottom w:w="0" w:type="dxa"/>
            <w:right w:w="0" w:type="dxa"/>
          </w:tblCellMar>
        </w:tblPrEx>
        <w:trPr>
          <w:wBefore w:w="0" w:type="auto"/>
          <w:tblCellSpacing w:w="0" w:type="dxa"/>
        </w:trPr>
        <w:tc>
          <w:tcPr>
            <w:tcW w:w="0" w:type="auto"/>
            <w:noWrap w:val="0"/>
            <w:vAlign w:val="center"/>
          </w:tcPr>
          <w:p w14:paraId="0FD47910">
            <w:r>
              <w:rPr>
                <w:rStyle w:val="10"/>
                <w:rFonts w:hint="eastAsia"/>
              </w:rPr>
              <w:t>毒性及其标识：</w:t>
            </w:r>
            <w:r>
              <w:rPr>
                <w:rFonts w:hint="eastAsia"/>
              </w:rPr>
              <w:t xml:space="preserve"> </w:t>
            </w:r>
            <w:r>
              <w:rPr>
                <w:lang/>
              </w:rPr>
              <w:drawing>
                <wp:inline distT="0" distB="0" distL="114300" distR="114300">
                  <wp:extent cx="476250" cy="323850"/>
                  <wp:effectExtent l="0" t="0" r="0" b="0"/>
                  <wp:docPr id="14" name="图片 1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3A3AF25">
        <w:tblPrEx>
          <w:tblCellMar>
            <w:top w:w="0" w:type="dxa"/>
            <w:left w:w="0" w:type="dxa"/>
            <w:bottom w:w="0" w:type="dxa"/>
            <w:right w:w="0" w:type="dxa"/>
          </w:tblCellMar>
        </w:tblPrEx>
        <w:trPr>
          <w:wBefore w:w="0" w:type="auto"/>
          <w:tblCellSpacing w:w="0" w:type="dxa"/>
        </w:trPr>
        <w:tc>
          <w:tcPr>
            <w:tcW w:w="0" w:type="auto"/>
            <w:noWrap w:val="0"/>
            <w:vAlign w:val="center"/>
          </w:tcPr>
          <w:p w14:paraId="5812D2B7">
            <w:r>
              <w:rPr>
                <w:rStyle w:val="10"/>
                <w:rFonts w:hint="eastAsia"/>
              </w:rPr>
              <w:t>总有效成分含量：</w:t>
            </w:r>
            <w:r>
              <w:rPr>
                <w:rFonts w:hint="eastAsia"/>
              </w:rPr>
              <w:t>0.1%</w:t>
            </w:r>
          </w:p>
        </w:tc>
      </w:tr>
      <w:tr w14:paraId="5DE4AC4E">
        <w:tblPrEx>
          <w:tblCellMar>
            <w:top w:w="0" w:type="dxa"/>
            <w:left w:w="0" w:type="dxa"/>
            <w:bottom w:w="0" w:type="dxa"/>
            <w:right w:w="0" w:type="dxa"/>
          </w:tblCellMar>
        </w:tblPrEx>
        <w:trPr>
          <w:wBefore w:w="0" w:type="auto"/>
          <w:tblCellSpacing w:w="0" w:type="dxa"/>
        </w:trPr>
        <w:tc>
          <w:tcPr>
            <w:tcW w:w="0" w:type="auto"/>
            <w:noWrap w:val="0"/>
            <w:vAlign w:val="center"/>
          </w:tcPr>
          <w:p w14:paraId="7DA4ED5C">
            <w:r>
              <w:rPr>
                <w:rFonts w:hint="eastAsia"/>
              </w:rPr>
              <w:t xml:space="preserve">有效成分及其含量： </w:t>
            </w:r>
          </w:p>
          <w:p w14:paraId="631875CD">
            <w:r>
              <w:rPr>
                <w:rFonts w:hint="eastAsia"/>
              </w:rPr>
              <w:t xml:space="preserve">    噻苯隆0.1%    </w:t>
            </w:r>
          </w:p>
        </w:tc>
      </w:tr>
      <w:tr w14:paraId="7DA90937">
        <w:tblPrEx>
          <w:tblCellMar>
            <w:top w:w="0" w:type="dxa"/>
            <w:left w:w="0" w:type="dxa"/>
            <w:bottom w:w="0" w:type="dxa"/>
            <w:right w:w="0" w:type="dxa"/>
          </w:tblCellMar>
        </w:tblPrEx>
        <w:trPr>
          <w:wBefore w:w="0" w:type="auto"/>
          <w:tblCellSpacing w:w="0" w:type="dxa"/>
        </w:trPr>
        <w:tc>
          <w:tcPr>
            <w:tcW w:w="0" w:type="auto"/>
            <w:noWrap w:val="0"/>
            <w:vAlign w:val="center"/>
          </w:tcPr>
          <w:p w14:paraId="7551676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775AC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B41FF2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4A6B20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D5589A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B3CC9C2">
                  <w:r>
                    <w:rPr>
                      <w:rStyle w:val="11"/>
                      <w:rFonts w:hint="eastAsia"/>
                    </w:rPr>
                    <w:t>施用方式</w:t>
                  </w:r>
                </w:p>
              </w:tc>
            </w:tr>
            <w:tr w14:paraId="0B21A9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429B76">
                  <w:r>
                    <w:rPr>
                      <w:rStyle w:val="11"/>
                      <w:rFonts w:hint="eastAsia"/>
                    </w:rPr>
                    <w:t>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DC2049">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422977">
                  <w:r>
                    <w:rPr>
                      <w:rStyle w:val="11"/>
                      <w:rFonts w:hint="eastAsia"/>
                    </w:rPr>
                    <w:t>600-1000倍液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1B15FB">
                  <w:r>
                    <w:rPr>
                      <w:rStyle w:val="11"/>
                      <w:rFonts w:hint="eastAsia"/>
                    </w:rPr>
                    <w:t>喷雾</w:t>
                  </w:r>
                </w:p>
              </w:tc>
            </w:tr>
          </w:tbl>
          <w:p w14:paraId="4E9F095F">
            <w:pPr>
              <w:rPr>
                <w:rFonts w:ascii="Times New Roman" w:hAnsi="Times New Roman" w:cs="Times New Roman"/>
                <w:sz w:val="20"/>
                <w:szCs w:val="20"/>
              </w:rPr>
            </w:pPr>
          </w:p>
        </w:tc>
      </w:tr>
      <w:tr w14:paraId="32201CE7">
        <w:tblPrEx>
          <w:tblCellMar>
            <w:top w:w="0" w:type="dxa"/>
            <w:left w:w="0" w:type="dxa"/>
            <w:bottom w:w="0" w:type="dxa"/>
            <w:right w:w="0" w:type="dxa"/>
          </w:tblCellMar>
        </w:tblPrEx>
        <w:trPr>
          <w:wBefore w:w="0" w:type="auto"/>
          <w:tblCellSpacing w:w="0" w:type="dxa"/>
        </w:trPr>
        <w:tc>
          <w:tcPr>
            <w:tcW w:w="0" w:type="auto"/>
            <w:noWrap w:val="0"/>
            <w:vAlign w:val="center"/>
          </w:tcPr>
          <w:p w14:paraId="6001FC0D">
            <w:r>
              <w:rPr>
                <w:rStyle w:val="10"/>
                <w:rFonts w:hint="eastAsia"/>
              </w:rPr>
              <w:t>使用技术要求:</w:t>
            </w:r>
            <w:r>
              <w:rPr>
                <w:rFonts w:hint="eastAsia"/>
              </w:rPr>
              <w:br w:type="textWrapping"/>
            </w:r>
            <w:r>
              <w:rPr>
                <w:rStyle w:val="11"/>
                <w:rFonts w:hint="eastAsia"/>
              </w:rPr>
              <w:t>1. 于番茄（保护地）70%以上植株坐第三穗果后开始第一次施药，施药间隔15天，每季最多使用3次，安全间隔期7天。2. 在葡萄花期开始施药,将本品按推荐用量稀释后均匀喷雾。每季作物最多施药次，安全间隔期30天。3. 在枣树坐果后，幼果期喷施1次，施药方法为全株喷雾。4. 金橘树谢花约三分之二时喷雾施药一次，间隔15天再喷施一次。共计施药2次。大风天或下雨前后,请勿施药。</w:t>
            </w:r>
          </w:p>
        </w:tc>
      </w:tr>
      <w:tr w14:paraId="03CC680B">
        <w:tblPrEx>
          <w:tblCellMar>
            <w:top w:w="0" w:type="dxa"/>
            <w:left w:w="0" w:type="dxa"/>
            <w:bottom w:w="0" w:type="dxa"/>
            <w:right w:w="0" w:type="dxa"/>
          </w:tblCellMar>
        </w:tblPrEx>
        <w:trPr>
          <w:wBefore w:w="0" w:type="auto"/>
          <w:tblCellSpacing w:w="0" w:type="dxa"/>
        </w:trPr>
        <w:tc>
          <w:tcPr>
            <w:tcW w:w="0" w:type="auto"/>
            <w:noWrap w:val="0"/>
            <w:vAlign w:val="center"/>
          </w:tcPr>
          <w:p w14:paraId="6D797850">
            <w:r>
              <w:rPr>
                <w:rStyle w:val="10"/>
                <w:rFonts w:hint="eastAsia"/>
              </w:rPr>
              <w:t>产品性能:</w:t>
            </w:r>
            <w:r>
              <w:rPr>
                <w:rFonts w:hint="eastAsia"/>
              </w:rPr>
              <w:br w:type="textWrapping"/>
            </w:r>
            <w:r>
              <w:rPr>
                <w:rStyle w:val="11"/>
                <w:rFonts w:hint="eastAsia"/>
              </w:rPr>
              <w:t>本品是一种植物生长调节剂,能调整作物生长。</w:t>
            </w:r>
          </w:p>
        </w:tc>
      </w:tr>
      <w:tr w14:paraId="29C17305">
        <w:tblPrEx>
          <w:tblCellMar>
            <w:top w:w="0" w:type="dxa"/>
            <w:left w:w="0" w:type="dxa"/>
            <w:bottom w:w="0" w:type="dxa"/>
            <w:right w:w="0" w:type="dxa"/>
          </w:tblCellMar>
        </w:tblPrEx>
        <w:trPr>
          <w:wBefore w:w="0" w:type="auto"/>
          <w:tblCellSpacing w:w="0" w:type="dxa"/>
        </w:trPr>
        <w:tc>
          <w:tcPr>
            <w:tcW w:w="0" w:type="auto"/>
            <w:noWrap w:val="0"/>
            <w:vAlign w:val="center"/>
          </w:tcPr>
          <w:p w14:paraId="5E47AD87">
            <w:r>
              <w:rPr>
                <w:rStyle w:val="10"/>
                <w:rFonts w:hint="eastAsia"/>
              </w:rPr>
              <w:t>注意事项：</w:t>
            </w:r>
            <w:r>
              <w:rPr>
                <w:rFonts w:hint="eastAsia"/>
              </w:rPr>
              <w:br w:type="textWrapping"/>
            </w:r>
            <w:r>
              <w:rPr>
                <w:rStyle w:val="11"/>
                <w:rFonts w:hint="eastAsia"/>
              </w:rPr>
              <w:t>1. 最好在上午10时以前、下午5时以后使用。不能与其他农药混用。 2. 使用本品时应穿戴防护服、手套等,避免吸入药液。施药期间不可吃东西、/饮水等。施药后应及时洗手、洗脸等。 3. 清洗施药器械等的污水不可污染地下水源、河塘等各种水域,避免对环境中其它生物造成危害。用过的容器应妥善处理，不可做他用，也不可随意丢弃。 4. 避免孕妇及哺乳期的妇女接触本品。</w:t>
            </w:r>
          </w:p>
        </w:tc>
      </w:tr>
      <w:tr w14:paraId="4EC541F5">
        <w:tblPrEx>
          <w:tblCellMar>
            <w:top w:w="0" w:type="dxa"/>
            <w:left w:w="0" w:type="dxa"/>
            <w:bottom w:w="0" w:type="dxa"/>
            <w:right w:w="0" w:type="dxa"/>
          </w:tblCellMar>
        </w:tblPrEx>
        <w:trPr>
          <w:wBefore w:w="0" w:type="auto"/>
          <w:tblCellSpacing w:w="0" w:type="dxa"/>
        </w:trPr>
        <w:tc>
          <w:tcPr>
            <w:tcW w:w="0" w:type="auto"/>
            <w:noWrap w:val="0"/>
            <w:vAlign w:val="center"/>
          </w:tcPr>
          <w:p w14:paraId="24167212">
            <w:r>
              <w:rPr>
                <w:rStyle w:val="10"/>
                <w:rFonts w:hint="eastAsia"/>
              </w:rPr>
              <w:t>中毒急救措施：</w:t>
            </w:r>
            <w:r>
              <w:rPr>
                <w:rFonts w:hint="eastAsia"/>
              </w:rPr>
              <w:br w:type="textWrapping"/>
            </w:r>
            <w:r>
              <w:rPr>
                <w:rStyle w:val="11"/>
                <w:rFonts w:hint="eastAsia"/>
              </w:rPr>
              <w:t>对眼睛轻微刺激性,对皮肤有灼烧感。溅入眼睛中,立即用清水冲洗至少15分钟,仍有不适时,就医。皮肤接触时,用清水及肥皂洗干净。误服时立即携此标签将病人送医院诊治。对症治疗,无特效解毒剂。</w:t>
            </w:r>
          </w:p>
        </w:tc>
      </w:tr>
      <w:tr w14:paraId="0506D349">
        <w:tblPrEx>
          <w:tblCellMar>
            <w:top w:w="0" w:type="dxa"/>
            <w:left w:w="0" w:type="dxa"/>
            <w:bottom w:w="0" w:type="dxa"/>
            <w:right w:w="0" w:type="dxa"/>
          </w:tblCellMar>
        </w:tblPrEx>
        <w:trPr>
          <w:wBefore w:w="0" w:type="auto"/>
          <w:tblCellSpacing w:w="0" w:type="dxa"/>
        </w:trPr>
        <w:tc>
          <w:tcPr>
            <w:tcW w:w="0" w:type="auto"/>
            <w:noWrap w:val="0"/>
            <w:vAlign w:val="center"/>
          </w:tcPr>
          <w:p w14:paraId="04E32220">
            <w:r>
              <w:rPr>
                <w:rStyle w:val="10"/>
                <w:rFonts w:hint="eastAsia"/>
              </w:rPr>
              <w:t>储存和运输方法：</w:t>
            </w:r>
            <w:r>
              <w:rPr>
                <w:rFonts w:hint="eastAsia"/>
              </w:rPr>
              <w:br w:type="textWrapping"/>
            </w:r>
            <w:r>
              <w:rPr>
                <w:rStyle w:val="11"/>
                <w:rFonts w:hint="eastAsia"/>
              </w:rPr>
              <w:t>本品应贮存在干燥、阴凉、通风、防雨处。远离火源或热源。贮运时,严防潮湿和日晒。不得与食物、种子、饲料、化肥、饮料等同贮同运。避免与皮肤、眼睛接触，防止口鼻吸入。置于儿童触及不到之处，并加锁。</w:t>
            </w:r>
          </w:p>
        </w:tc>
      </w:tr>
      <w:tr w14:paraId="41D553F3">
        <w:tblPrEx>
          <w:tblCellMar>
            <w:top w:w="0" w:type="dxa"/>
            <w:left w:w="0" w:type="dxa"/>
            <w:bottom w:w="0" w:type="dxa"/>
            <w:right w:w="0" w:type="dxa"/>
          </w:tblCellMar>
        </w:tblPrEx>
        <w:trPr>
          <w:wBefore w:w="0" w:type="auto"/>
          <w:tblCellSpacing w:w="0" w:type="dxa"/>
        </w:trPr>
        <w:tc>
          <w:tcPr>
            <w:tcW w:w="0" w:type="auto"/>
            <w:noWrap w:val="0"/>
            <w:vAlign w:val="center"/>
          </w:tcPr>
          <w:p w14:paraId="6F2443D5">
            <w:r>
              <w:rPr>
                <w:rStyle w:val="10"/>
                <w:rFonts w:hint="eastAsia"/>
              </w:rPr>
              <w:t>质量保证期：</w:t>
            </w:r>
            <w:r>
              <w:rPr>
                <w:rStyle w:val="11"/>
                <w:rFonts w:hint="eastAsia"/>
              </w:rPr>
              <w:t>2年</w:t>
            </w:r>
          </w:p>
        </w:tc>
      </w:tr>
      <w:tr w14:paraId="205BCB5F">
        <w:tblPrEx>
          <w:tblCellMar>
            <w:top w:w="0" w:type="dxa"/>
            <w:left w:w="0" w:type="dxa"/>
            <w:bottom w:w="0" w:type="dxa"/>
            <w:right w:w="0" w:type="dxa"/>
          </w:tblCellMar>
        </w:tblPrEx>
        <w:trPr>
          <w:wBefore w:w="0" w:type="auto"/>
          <w:tblCellSpacing w:w="0" w:type="dxa"/>
        </w:trPr>
        <w:tc>
          <w:tcPr>
            <w:tcW w:w="0" w:type="auto"/>
            <w:noWrap w:val="0"/>
            <w:vAlign w:val="center"/>
          </w:tcPr>
          <w:p w14:paraId="5ABC55EB">
            <w:r>
              <w:rPr>
                <w:rStyle w:val="10"/>
                <w:rFonts w:hint="eastAsia"/>
              </w:rPr>
              <w:t>备注：</w:t>
            </w:r>
          </w:p>
        </w:tc>
      </w:tr>
    </w:tbl>
    <w:p w14:paraId="53BBD50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F5C35EF">
        <w:tblPrEx>
          <w:tblCellMar>
            <w:top w:w="0" w:type="dxa"/>
            <w:left w:w="0" w:type="dxa"/>
            <w:bottom w:w="0" w:type="dxa"/>
            <w:right w:w="0" w:type="dxa"/>
          </w:tblCellMar>
        </w:tblPrEx>
        <w:trPr>
          <w:wBefore w:w="0" w:type="auto"/>
          <w:tblCellSpacing w:w="0" w:type="dxa"/>
        </w:trPr>
        <w:tc>
          <w:tcPr>
            <w:tcW w:w="0" w:type="auto"/>
            <w:noWrap w:val="0"/>
            <w:vAlign w:val="center"/>
          </w:tcPr>
          <w:p w14:paraId="4C8DF336">
            <w:r>
              <w:rPr>
                <w:rStyle w:val="10"/>
                <w:rFonts w:hint="eastAsia"/>
              </w:rPr>
              <w:t>登记证号：</w:t>
            </w:r>
            <w:r>
              <w:rPr>
                <w:rFonts w:hint="eastAsia"/>
              </w:rPr>
              <w:t>PD20141977</w:t>
            </w:r>
          </w:p>
        </w:tc>
      </w:tr>
      <w:tr w14:paraId="503648D0">
        <w:tblPrEx>
          <w:tblCellMar>
            <w:top w:w="0" w:type="dxa"/>
            <w:left w:w="0" w:type="dxa"/>
            <w:bottom w:w="0" w:type="dxa"/>
            <w:right w:w="0" w:type="dxa"/>
          </w:tblCellMar>
        </w:tblPrEx>
        <w:trPr>
          <w:wBefore w:w="0" w:type="auto"/>
          <w:tblCellSpacing w:w="0" w:type="dxa"/>
        </w:trPr>
        <w:tc>
          <w:tcPr>
            <w:tcW w:w="0" w:type="auto"/>
            <w:noWrap w:val="0"/>
            <w:vAlign w:val="center"/>
          </w:tcPr>
          <w:p w14:paraId="7978F2DB">
            <w:r>
              <w:rPr>
                <w:rStyle w:val="10"/>
                <w:rFonts w:hint="eastAsia"/>
              </w:rPr>
              <w:t>登记证持有人：</w:t>
            </w:r>
            <w:r>
              <w:rPr>
                <w:rFonts w:hint="eastAsia"/>
              </w:rPr>
              <w:t>江阴苏利化学股份有限公司</w:t>
            </w:r>
          </w:p>
        </w:tc>
      </w:tr>
      <w:tr w14:paraId="68A48F1A">
        <w:tblPrEx>
          <w:tblCellMar>
            <w:top w:w="0" w:type="dxa"/>
            <w:left w:w="0" w:type="dxa"/>
            <w:bottom w:w="0" w:type="dxa"/>
            <w:right w:w="0" w:type="dxa"/>
          </w:tblCellMar>
        </w:tblPrEx>
        <w:trPr>
          <w:wBefore w:w="0" w:type="auto"/>
          <w:tblCellSpacing w:w="0" w:type="dxa"/>
        </w:trPr>
        <w:tc>
          <w:tcPr>
            <w:tcW w:w="0" w:type="auto"/>
            <w:noWrap w:val="0"/>
            <w:vAlign w:val="center"/>
          </w:tcPr>
          <w:p w14:paraId="5CE69E74">
            <w:r>
              <w:rPr>
                <w:rStyle w:val="10"/>
                <w:rFonts w:hint="eastAsia"/>
              </w:rPr>
              <w:t>农药名称：</w:t>
            </w:r>
            <w:r>
              <w:rPr>
                <w:rFonts w:hint="eastAsia"/>
              </w:rPr>
              <w:t>氟啶胺</w:t>
            </w:r>
          </w:p>
        </w:tc>
      </w:tr>
      <w:tr w14:paraId="24ED1441">
        <w:tblPrEx>
          <w:tblCellMar>
            <w:top w:w="0" w:type="dxa"/>
            <w:left w:w="0" w:type="dxa"/>
            <w:bottom w:w="0" w:type="dxa"/>
            <w:right w:w="0" w:type="dxa"/>
          </w:tblCellMar>
        </w:tblPrEx>
        <w:trPr>
          <w:wBefore w:w="0" w:type="auto"/>
          <w:tblCellSpacing w:w="0" w:type="dxa"/>
        </w:trPr>
        <w:tc>
          <w:tcPr>
            <w:tcW w:w="0" w:type="auto"/>
            <w:noWrap w:val="0"/>
            <w:vAlign w:val="center"/>
          </w:tcPr>
          <w:p w14:paraId="12FD9AAB">
            <w:r>
              <w:rPr>
                <w:rStyle w:val="10"/>
                <w:rFonts w:hint="eastAsia"/>
              </w:rPr>
              <w:t>剂型：</w:t>
            </w:r>
            <w:r>
              <w:rPr>
                <w:rFonts w:hint="eastAsia"/>
              </w:rPr>
              <w:t>悬浮剂</w:t>
            </w:r>
          </w:p>
        </w:tc>
      </w:tr>
      <w:tr w14:paraId="260ACC3A">
        <w:tblPrEx>
          <w:tblCellMar>
            <w:top w:w="0" w:type="dxa"/>
            <w:left w:w="0" w:type="dxa"/>
            <w:bottom w:w="0" w:type="dxa"/>
            <w:right w:w="0" w:type="dxa"/>
          </w:tblCellMar>
        </w:tblPrEx>
        <w:trPr>
          <w:wBefore w:w="0" w:type="auto"/>
          <w:tblCellSpacing w:w="0" w:type="dxa"/>
        </w:trPr>
        <w:tc>
          <w:tcPr>
            <w:tcW w:w="0" w:type="auto"/>
            <w:noWrap w:val="0"/>
            <w:vAlign w:val="center"/>
          </w:tcPr>
          <w:p w14:paraId="45B6ECE8">
            <w:r>
              <w:rPr>
                <w:rStyle w:val="10"/>
                <w:rFonts w:hint="eastAsia"/>
              </w:rPr>
              <w:t>毒性及其标识：</w:t>
            </w:r>
            <w:r>
              <w:rPr>
                <w:rFonts w:hint="eastAsia"/>
              </w:rPr>
              <w:t xml:space="preserve"> </w:t>
            </w:r>
            <w:r>
              <w:rPr>
                <w:lang/>
              </w:rPr>
              <w:drawing>
                <wp:inline distT="0" distB="0" distL="114300" distR="114300">
                  <wp:extent cx="476250" cy="323850"/>
                  <wp:effectExtent l="0" t="0" r="0" b="0"/>
                  <wp:docPr id="15" name="图片 1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32D5586">
        <w:tblPrEx>
          <w:tblCellMar>
            <w:top w:w="0" w:type="dxa"/>
            <w:left w:w="0" w:type="dxa"/>
            <w:bottom w:w="0" w:type="dxa"/>
            <w:right w:w="0" w:type="dxa"/>
          </w:tblCellMar>
        </w:tblPrEx>
        <w:trPr>
          <w:wBefore w:w="0" w:type="auto"/>
          <w:tblCellSpacing w:w="0" w:type="dxa"/>
        </w:trPr>
        <w:tc>
          <w:tcPr>
            <w:tcW w:w="0" w:type="auto"/>
            <w:noWrap w:val="0"/>
            <w:vAlign w:val="center"/>
          </w:tcPr>
          <w:p w14:paraId="170B745D">
            <w:r>
              <w:rPr>
                <w:rStyle w:val="10"/>
                <w:rFonts w:hint="eastAsia"/>
              </w:rPr>
              <w:t>总有效成分含量：</w:t>
            </w:r>
            <w:r>
              <w:rPr>
                <w:rFonts w:hint="eastAsia"/>
              </w:rPr>
              <w:t>500克/升</w:t>
            </w:r>
          </w:p>
        </w:tc>
      </w:tr>
      <w:tr w14:paraId="6435E83B">
        <w:tblPrEx>
          <w:tblCellMar>
            <w:top w:w="0" w:type="dxa"/>
            <w:left w:w="0" w:type="dxa"/>
            <w:bottom w:w="0" w:type="dxa"/>
            <w:right w:w="0" w:type="dxa"/>
          </w:tblCellMar>
        </w:tblPrEx>
        <w:trPr>
          <w:wBefore w:w="0" w:type="auto"/>
          <w:tblCellSpacing w:w="0" w:type="dxa"/>
        </w:trPr>
        <w:tc>
          <w:tcPr>
            <w:tcW w:w="0" w:type="auto"/>
            <w:noWrap w:val="0"/>
            <w:vAlign w:val="center"/>
          </w:tcPr>
          <w:p w14:paraId="474A8043">
            <w:r>
              <w:rPr>
                <w:rFonts w:hint="eastAsia"/>
              </w:rPr>
              <w:t xml:space="preserve">有效成分及其含量： </w:t>
            </w:r>
          </w:p>
          <w:p w14:paraId="05D91A8A">
            <w:r>
              <w:rPr>
                <w:rFonts w:hint="eastAsia"/>
              </w:rPr>
              <w:t xml:space="preserve">    氟啶胺500克/升    </w:t>
            </w:r>
          </w:p>
        </w:tc>
      </w:tr>
      <w:tr w14:paraId="010F545E">
        <w:tblPrEx>
          <w:tblCellMar>
            <w:top w:w="0" w:type="dxa"/>
            <w:left w:w="0" w:type="dxa"/>
            <w:bottom w:w="0" w:type="dxa"/>
            <w:right w:w="0" w:type="dxa"/>
          </w:tblCellMar>
        </w:tblPrEx>
        <w:trPr>
          <w:wBefore w:w="0" w:type="auto"/>
          <w:tblCellSpacing w:w="0" w:type="dxa"/>
        </w:trPr>
        <w:tc>
          <w:tcPr>
            <w:tcW w:w="0" w:type="auto"/>
            <w:noWrap w:val="0"/>
            <w:vAlign w:val="center"/>
          </w:tcPr>
          <w:p w14:paraId="0CA6AAA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EE69D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324B6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6AE6AA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79EB27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52FFF8D">
                  <w:r>
                    <w:rPr>
                      <w:rStyle w:val="11"/>
                      <w:rFonts w:hint="eastAsia"/>
                    </w:rPr>
                    <w:t>施用方式</w:t>
                  </w:r>
                </w:p>
              </w:tc>
            </w:tr>
            <w:tr w14:paraId="48D1AF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6B6AB43">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27B2FF">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29E0EA">
                  <w:r>
                    <w:rPr>
                      <w:rStyle w:val="11"/>
                      <w:rFonts w:hint="eastAsia"/>
                    </w:rPr>
                    <w:t>1000-2000倍液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B0D779">
                  <w:r>
                    <w:rPr>
                      <w:rStyle w:val="11"/>
                      <w:rFonts w:hint="eastAsia"/>
                    </w:rPr>
                    <w:t>喷雾</w:t>
                  </w:r>
                </w:p>
              </w:tc>
            </w:tr>
            <w:tr w14:paraId="5E8798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403FDC">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2598D2">
                  <w:r>
                    <w:rPr>
                      <w:rStyle w:val="11"/>
                      <w:rFonts w:hint="eastAsia"/>
                    </w:rPr>
                    <w:t>树脂病(砂皮病)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C030DB">
                  <w:r>
                    <w:rPr>
                      <w:rStyle w:val="11"/>
                      <w:rFonts w:hint="eastAsia"/>
                    </w:rPr>
                    <w:t>1000-2000倍液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D49F72">
                  <w:r>
                    <w:rPr>
                      <w:rStyle w:val="11"/>
                      <w:rFonts w:hint="eastAsia"/>
                    </w:rPr>
                    <w:t>喷雾</w:t>
                  </w:r>
                </w:p>
              </w:tc>
            </w:tr>
          </w:tbl>
          <w:p w14:paraId="77145670">
            <w:pPr>
              <w:rPr>
                <w:rFonts w:ascii="Times New Roman" w:hAnsi="Times New Roman" w:cs="Times New Roman"/>
                <w:sz w:val="20"/>
                <w:szCs w:val="20"/>
              </w:rPr>
            </w:pPr>
          </w:p>
        </w:tc>
      </w:tr>
      <w:tr w14:paraId="07530A5F">
        <w:tblPrEx>
          <w:tblCellMar>
            <w:top w:w="0" w:type="dxa"/>
            <w:left w:w="0" w:type="dxa"/>
            <w:bottom w:w="0" w:type="dxa"/>
            <w:right w:w="0" w:type="dxa"/>
          </w:tblCellMar>
        </w:tblPrEx>
        <w:trPr>
          <w:wBefore w:w="0" w:type="auto"/>
          <w:tblCellSpacing w:w="0" w:type="dxa"/>
        </w:trPr>
        <w:tc>
          <w:tcPr>
            <w:tcW w:w="0" w:type="auto"/>
            <w:noWrap w:val="0"/>
            <w:vAlign w:val="center"/>
          </w:tcPr>
          <w:p w14:paraId="2EE51ADF">
            <w:r>
              <w:rPr>
                <w:rStyle w:val="10"/>
                <w:rFonts w:hint="eastAsia"/>
              </w:rPr>
              <w:t>使用技术要求:</w:t>
            </w:r>
            <w:r>
              <w:rPr>
                <w:rFonts w:hint="eastAsia"/>
              </w:rPr>
              <w:br w:type="textWrapping"/>
            </w:r>
            <w:r>
              <w:rPr>
                <w:rStyle w:val="11"/>
                <w:rFonts w:hint="eastAsia"/>
              </w:rPr>
              <w:t>1.本品防治马铃薯晚疫病、辣椒疫病和辣椒炭疽病、番茄晚疫病和草莓炭疽病，最佳用药时间为发病初期，视病情发展可连续用药2-3次，施药间隔7-10天。2.防治大白菜根肿病，在移栽前兑水喷雾于土壤表面，然后混土15-20厘米。3.防治柑橘树红蜘蛛，适宜施药时期为柑橘红蜘蛛幼、若螨盛发期或在红蜘蛛每叶达2头以上时，一般在新梢抽发期，防治柑橘树砂皮病，适宜施药时期为发病前或发病初期，连续施药2次，施药间隔7-10天。4.本品在马铃薯、辣椒、番茄上的安全间隔期均为7天，马铃薯每季最多使用4次，辣椒、番茄每季最多使用3次。大白菜安全间隔期为21天，每季最多使用1次。柑橘树上安全间隔期为28天，每季最多使用2次。5.为了延缓抗性的产生，建议与其他作用机理的药剂轮换使用。6.大风或预计1小时内下雨天气，请勿施药。</w:t>
            </w:r>
          </w:p>
        </w:tc>
      </w:tr>
      <w:tr w14:paraId="29B92E51">
        <w:tblPrEx>
          <w:tblCellMar>
            <w:top w:w="0" w:type="dxa"/>
            <w:left w:w="0" w:type="dxa"/>
            <w:bottom w:w="0" w:type="dxa"/>
            <w:right w:w="0" w:type="dxa"/>
          </w:tblCellMar>
        </w:tblPrEx>
        <w:trPr>
          <w:wBefore w:w="0" w:type="auto"/>
          <w:tblCellSpacing w:w="0" w:type="dxa"/>
        </w:trPr>
        <w:tc>
          <w:tcPr>
            <w:tcW w:w="0" w:type="auto"/>
            <w:noWrap w:val="0"/>
            <w:vAlign w:val="center"/>
          </w:tcPr>
          <w:p w14:paraId="481B9C8F">
            <w:r>
              <w:rPr>
                <w:rStyle w:val="10"/>
                <w:rFonts w:hint="eastAsia"/>
              </w:rPr>
              <w:t>产品性能:</w:t>
            </w:r>
            <w:r>
              <w:rPr>
                <w:rFonts w:hint="eastAsia"/>
              </w:rPr>
              <w:br w:type="textWrapping"/>
            </w:r>
            <w:r>
              <w:rPr>
                <w:rStyle w:val="11"/>
                <w:rFonts w:hint="eastAsia"/>
              </w:rPr>
              <w:t xml:space="preserve">本品为二甲基苯胺类杀螨剂和杀菌剂，是一种强有力的解偶联剂，破坏氧化磷酸化，通过抑制孢子萌发、菌丝突破、生长和孢子形成而抑制所有阶段的感染过程。 </w:t>
            </w:r>
          </w:p>
        </w:tc>
      </w:tr>
      <w:tr w14:paraId="768B56AF">
        <w:tblPrEx>
          <w:tblCellMar>
            <w:top w:w="0" w:type="dxa"/>
            <w:left w:w="0" w:type="dxa"/>
            <w:bottom w:w="0" w:type="dxa"/>
            <w:right w:w="0" w:type="dxa"/>
          </w:tblCellMar>
        </w:tblPrEx>
        <w:trPr>
          <w:wBefore w:w="0" w:type="auto"/>
          <w:tblCellSpacing w:w="0" w:type="dxa"/>
        </w:trPr>
        <w:tc>
          <w:tcPr>
            <w:tcW w:w="0" w:type="auto"/>
            <w:noWrap w:val="0"/>
            <w:vAlign w:val="center"/>
          </w:tcPr>
          <w:p w14:paraId="59A93D42">
            <w:r>
              <w:rPr>
                <w:rStyle w:val="10"/>
                <w:rFonts w:hint="eastAsia"/>
              </w:rPr>
              <w:t>注意事项：</w:t>
            </w:r>
            <w:r>
              <w:rPr>
                <w:rFonts w:hint="eastAsia"/>
              </w:rPr>
              <w:br w:type="textWrapping"/>
            </w:r>
            <w:r>
              <w:rPr>
                <w:rStyle w:val="11"/>
                <w:rFonts w:hint="eastAsia"/>
              </w:rPr>
              <w:t>1.请按照农药安全使用准则使用本品，避免药液接触皮肤、眼睛和污染衣物，避免吸入雾滴。切勿在施药现场抽烟或饮食。在饮水、进食和抽烟前，应先洗手、洗脸。2.使用时穿戴长衣、长裤帽子、口罩、手套等安全防护措施。3.孕妇及哺乳期妇女禁止接触本品。4.施药后，彻底清洗防护用具，洗澡，并更换和清洗工作服。5.使用过的空包装，用清水冲洗三次后妥善处理，切勿重复使用或改作其它用途。所有施药器具，用后应立即用清水或适当的洗涤剂清洗。6.本品对鱼有毒，水产养殖区、河塘等水域附近禁用；禁止在河塘等水域清洗施药器具；避免影响鱼类和污染水源。赤眼蜂、瓢虫等天敌放飞区域禁用。7.未用完的制剂应放在原包装内密闭保存，切勿将本品置于饮、食容器中。</w:t>
            </w:r>
          </w:p>
        </w:tc>
      </w:tr>
      <w:tr w14:paraId="0B16F472">
        <w:tblPrEx>
          <w:tblCellMar>
            <w:top w:w="0" w:type="dxa"/>
            <w:left w:w="0" w:type="dxa"/>
            <w:bottom w:w="0" w:type="dxa"/>
            <w:right w:w="0" w:type="dxa"/>
          </w:tblCellMar>
        </w:tblPrEx>
        <w:trPr>
          <w:wBefore w:w="0" w:type="auto"/>
          <w:tblCellSpacing w:w="0" w:type="dxa"/>
        </w:trPr>
        <w:tc>
          <w:tcPr>
            <w:tcW w:w="0" w:type="auto"/>
            <w:noWrap w:val="0"/>
            <w:vAlign w:val="center"/>
          </w:tcPr>
          <w:p w14:paraId="2582AB8A">
            <w:r>
              <w:rPr>
                <w:rStyle w:val="10"/>
                <w:rFonts w:hint="eastAsia"/>
              </w:rPr>
              <w:t>中毒急救措施：</w:t>
            </w:r>
            <w:r>
              <w:rPr>
                <w:rFonts w:hint="eastAsia"/>
              </w:rPr>
              <w:br w:type="textWrapping"/>
            </w:r>
            <w:r>
              <w:rPr>
                <w:rStyle w:val="11"/>
                <w:rFonts w:hint="eastAsia"/>
              </w:rPr>
              <w:t>接触该药剂后请更换衣服，如果药剂进入眼睛，用大量水冲洗至少15分钟；如果接触皮肤，用水和肥皂冲洗；如误服，请用水充分漱口后，并立即到医院就诊。</w:t>
            </w:r>
          </w:p>
        </w:tc>
      </w:tr>
      <w:tr w14:paraId="284A6FEB">
        <w:tblPrEx>
          <w:tblCellMar>
            <w:top w:w="0" w:type="dxa"/>
            <w:left w:w="0" w:type="dxa"/>
            <w:bottom w:w="0" w:type="dxa"/>
            <w:right w:w="0" w:type="dxa"/>
          </w:tblCellMar>
        </w:tblPrEx>
        <w:trPr>
          <w:wBefore w:w="0" w:type="auto"/>
          <w:tblCellSpacing w:w="0" w:type="dxa"/>
        </w:trPr>
        <w:tc>
          <w:tcPr>
            <w:tcW w:w="0" w:type="auto"/>
            <w:noWrap w:val="0"/>
            <w:vAlign w:val="center"/>
          </w:tcPr>
          <w:p w14:paraId="57C82A4F">
            <w:r>
              <w:rPr>
                <w:rStyle w:val="10"/>
                <w:rFonts w:hint="eastAsia"/>
              </w:rPr>
              <w:t>储存和运输方法：</w:t>
            </w:r>
            <w:r>
              <w:rPr>
                <w:rFonts w:hint="eastAsia"/>
              </w:rPr>
              <w:br w:type="textWrapping"/>
            </w:r>
            <w:r>
              <w:rPr>
                <w:rStyle w:val="11"/>
                <w:rFonts w:hint="eastAsia"/>
              </w:rPr>
              <w:t>1.本品应加锁保存，勿让儿童、无关人员和动物接触。勿与食物、饮料、粮食和动物饲料在一起存放或运输。2.本品应贮藏在避光、干燥、通风处。运输时应注意避光、防高温、雨淋。3.贮藏温度应避免低于-10℃或高于35℃。</w:t>
            </w:r>
          </w:p>
        </w:tc>
      </w:tr>
      <w:tr w14:paraId="18C49EA6">
        <w:tblPrEx>
          <w:tblCellMar>
            <w:top w:w="0" w:type="dxa"/>
            <w:left w:w="0" w:type="dxa"/>
            <w:bottom w:w="0" w:type="dxa"/>
            <w:right w:w="0" w:type="dxa"/>
          </w:tblCellMar>
        </w:tblPrEx>
        <w:trPr>
          <w:wBefore w:w="0" w:type="auto"/>
          <w:tblCellSpacing w:w="0" w:type="dxa"/>
        </w:trPr>
        <w:tc>
          <w:tcPr>
            <w:tcW w:w="0" w:type="auto"/>
            <w:noWrap w:val="0"/>
            <w:vAlign w:val="center"/>
          </w:tcPr>
          <w:p w14:paraId="37B5EF50">
            <w:r>
              <w:rPr>
                <w:rStyle w:val="10"/>
                <w:rFonts w:hint="eastAsia"/>
              </w:rPr>
              <w:t>质量保证期：</w:t>
            </w:r>
            <w:r>
              <w:rPr>
                <w:rStyle w:val="11"/>
                <w:rFonts w:hint="eastAsia"/>
              </w:rPr>
              <w:t>2年</w:t>
            </w:r>
          </w:p>
        </w:tc>
      </w:tr>
      <w:tr w14:paraId="69BAC56D">
        <w:tblPrEx>
          <w:tblCellMar>
            <w:top w:w="0" w:type="dxa"/>
            <w:left w:w="0" w:type="dxa"/>
            <w:bottom w:w="0" w:type="dxa"/>
            <w:right w:w="0" w:type="dxa"/>
          </w:tblCellMar>
        </w:tblPrEx>
        <w:trPr>
          <w:wBefore w:w="0" w:type="auto"/>
          <w:tblCellSpacing w:w="0" w:type="dxa"/>
        </w:trPr>
        <w:tc>
          <w:tcPr>
            <w:tcW w:w="0" w:type="auto"/>
            <w:noWrap w:val="0"/>
            <w:vAlign w:val="center"/>
          </w:tcPr>
          <w:p w14:paraId="65095B47">
            <w:r>
              <w:rPr>
                <w:rStyle w:val="10"/>
                <w:rFonts w:hint="eastAsia"/>
              </w:rPr>
              <w:t>备注：</w:t>
            </w:r>
          </w:p>
        </w:tc>
      </w:tr>
    </w:tbl>
    <w:p w14:paraId="28D5BB0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D1265F9">
        <w:tblPrEx>
          <w:tblCellMar>
            <w:top w:w="0" w:type="dxa"/>
            <w:left w:w="0" w:type="dxa"/>
            <w:bottom w:w="0" w:type="dxa"/>
            <w:right w:w="0" w:type="dxa"/>
          </w:tblCellMar>
        </w:tblPrEx>
        <w:trPr>
          <w:wBefore w:w="0" w:type="auto"/>
          <w:tblCellSpacing w:w="0" w:type="dxa"/>
        </w:trPr>
        <w:tc>
          <w:tcPr>
            <w:tcW w:w="0" w:type="auto"/>
            <w:noWrap w:val="0"/>
            <w:vAlign w:val="center"/>
          </w:tcPr>
          <w:p w14:paraId="05F0AE5C">
            <w:r>
              <w:rPr>
                <w:rStyle w:val="10"/>
                <w:rFonts w:hint="eastAsia"/>
              </w:rPr>
              <w:t>登记证号：</w:t>
            </w:r>
            <w:r>
              <w:rPr>
                <w:rFonts w:hint="eastAsia"/>
              </w:rPr>
              <w:t>PD20183136</w:t>
            </w:r>
          </w:p>
        </w:tc>
      </w:tr>
      <w:tr w14:paraId="7D98F4F8">
        <w:tblPrEx>
          <w:tblCellMar>
            <w:top w:w="0" w:type="dxa"/>
            <w:left w:w="0" w:type="dxa"/>
            <w:bottom w:w="0" w:type="dxa"/>
            <w:right w:w="0" w:type="dxa"/>
          </w:tblCellMar>
        </w:tblPrEx>
        <w:trPr>
          <w:wBefore w:w="0" w:type="auto"/>
          <w:tblCellSpacing w:w="0" w:type="dxa"/>
        </w:trPr>
        <w:tc>
          <w:tcPr>
            <w:tcW w:w="0" w:type="auto"/>
            <w:noWrap w:val="0"/>
            <w:vAlign w:val="center"/>
          </w:tcPr>
          <w:p w14:paraId="34B682B7">
            <w:r>
              <w:rPr>
                <w:rStyle w:val="10"/>
                <w:rFonts w:hint="eastAsia"/>
              </w:rPr>
              <w:t>登记证持有人：</w:t>
            </w:r>
            <w:r>
              <w:rPr>
                <w:rFonts w:hint="eastAsia"/>
              </w:rPr>
              <w:t>河南豫之星作物保护有限公司</w:t>
            </w:r>
          </w:p>
        </w:tc>
      </w:tr>
      <w:tr w14:paraId="1635AC25">
        <w:tblPrEx>
          <w:tblCellMar>
            <w:top w:w="0" w:type="dxa"/>
            <w:left w:w="0" w:type="dxa"/>
            <w:bottom w:w="0" w:type="dxa"/>
            <w:right w:w="0" w:type="dxa"/>
          </w:tblCellMar>
        </w:tblPrEx>
        <w:trPr>
          <w:wBefore w:w="0" w:type="auto"/>
          <w:tblCellSpacing w:w="0" w:type="dxa"/>
        </w:trPr>
        <w:tc>
          <w:tcPr>
            <w:tcW w:w="0" w:type="auto"/>
            <w:noWrap w:val="0"/>
            <w:vAlign w:val="center"/>
          </w:tcPr>
          <w:p w14:paraId="21CA5427">
            <w:r>
              <w:rPr>
                <w:rStyle w:val="10"/>
                <w:rFonts w:hint="eastAsia"/>
              </w:rPr>
              <w:t>农药名称：</w:t>
            </w:r>
            <w:r>
              <w:rPr>
                <w:rFonts w:hint="eastAsia"/>
              </w:rPr>
              <w:t>唑醚·氟环唑</w:t>
            </w:r>
          </w:p>
        </w:tc>
      </w:tr>
      <w:tr w14:paraId="6622A12A">
        <w:tblPrEx>
          <w:tblCellMar>
            <w:top w:w="0" w:type="dxa"/>
            <w:left w:w="0" w:type="dxa"/>
            <w:bottom w:w="0" w:type="dxa"/>
            <w:right w:w="0" w:type="dxa"/>
          </w:tblCellMar>
        </w:tblPrEx>
        <w:trPr>
          <w:wBefore w:w="0" w:type="auto"/>
          <w:tblCellSpacing w:w="0" w:type="dxa"/>
        </w:trPr>
        <w:tc>
          <w:tcPr>
            <w:tcW w:w="0" w:type="auto"/>
            <w:noWrap w:val="0"/>
            <w:vAlign w:val="center"/>
          </w:tcPr>
          <w:p w14:paraId="0E659B42">
            <w:r>
              <w:rPr>
                <w:rStyle w:val="10"/>
                <w:rFonts w:hint="eastAsia"/>
              </w:rPr>
              <w:t>剂型：</w:t>
            </w:r>
            <w:r>
              <w:rPr>
                <w:rFonts w:hint="eastAsia"/>
              </w:rPr>
              <w:t>悬浮剂</w:t>
            </w:r>
          </w:p>
        </w:tc>
      </w:tr>
      <w:tr w14:paraId="750AD4DF">
        <w:tblPrEx>
          <w:tblCellMar>
            <w:top w:w="0" w:type="dxa"/>
            <w:left w:w="0" w:type="dxa"/>
            <w:bottom w:w="0" w:type="dxa"/>
            <w:right w:w="0" w:type="dxa"/>
          </w:tblCellMar>
        </w:tblPrEx>
        <w:trPr>
          <w:wBefore w:w="0" w:type="auto"/>
          <w:tblCellSpacing w:w="0" w:type="dxa"/>
        </w:trPr>
        <w:tc>
          <w:tcPr>
            <w:tcW w:w="0" w:type="auto"/>
            <w:noWrap w:val="0"/>
            <w:vAlign w:val="center"/>
          </w:tcPr>
          <w:p w14:paraId="062A4CA1">
            <w:r>
              <w:rPr>
                <w:rStyle w:val="10"/>
                <w:rFonts w:hint="eastAsia"/>
              </w:rPr>
              <w:t>毒性及其标识：</w:t>
            </w:r>
            <w:r>
              <w:rPr>
                <w:rFonts w:hint="eastAsia"/>
              </w:rPr>
              <w:t xml:space="preserve"> </w:t>
            </w:r>
            <w:r>
              <w:rPr>
                <w:lang/>
              </w:rPr>
              <w:drawing>
                <wp:inline distT="0" distB="0" distL="114300" distR="114300">
                  <wp:extent cx="476250" cy="323850"/>
                  <wp:effectExtent l="0" t="0" r="0" b="0"/>
                  <wp:docPr id="16" name="图片 1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FC13003">
        <w:tblPrEx>
          <w:tblCellMar>
            <w:top w:w="0" w:type="dxa"/>
            <w:left w:w="0" w:type="dxa"/>
            <w:bottom w:w="0" w:type="dxa"/>
            <w:right w:w="0" w:type="dxa"/>
          </w:tblCellMar>
        </w:tblPrEx>
        <w:trPr>
          <w:wBefore w:w="0" w:type="auto"/>
          <w:tblCellSpacing w:w="0" w:type="dxa"/>
        </w:trPr>
        <w:tc>
          <w:tcPr>
            <w:tcW w:w="0" w:type="auto"/>
            <w:noWrap w:val="0"/>
            <w:vAlign w:val="center"/>
          </w:tcPr>
          <w:p w14:paraId="33536B59">
            <w:r>
              <w:rPr>
                <w:rStyle w:val="10"/>
                <w:rFonts w:hint="eastAsia"/>
              </w:rPr>
              <w:t>总有效成分含量：</w:t>
            </w:r>
            <w:r>
              <w:rPr>
                <w:rFonts w:hint="eastAsia"/>
              </w:rPr>
              <w:t>35%</w:t>
            </w:r>
          </w:p>
        </w:tc>
      </w:tr>
      <w:tr w14:paraId="48684766">
        <w:tblPrEx>
          <w:tblCellMar>
            <w:top w:w="0" w:type="dxa"/>
            <w:left w:w="0" w:type="dxa"/>
            <w:bottom w:w="0" w:type="dxa"/>
            <w:right w:w="0" w:type="dxa"/>
          </w:tblCellMar>
        </w:tblPrEx>
        <w:trPr>
          <w:wBefore w:w="0" w:type="auto"/>
          <w:tblCellSpacing w:w="0" w:type="dxa"/>
        </w:trPr>
        <w:tc>
          <w:tcPr>
            <w:tcW w:w="0" w:type="auto"/>
            <w:noWrap w:val="0"/>
            <w:vAlign w:val="center"/>
          </w:tcPr>
          <w:p w14:paraId="06DD5D6F">
            <w:r>
              <w:rPr>
                <w:rFonts w:hint="eastAsia"/>
              </w:rPr>
              <w:t xml:space="preserve">有效成分及其含量： </w:t>
            </w:r>
          </w:p>
          <w:p w14:paraId="66CACFD8">
            <w:r>
              <w:rPr>
                <w:rFonts w:hint="eastAsia"/>
              </w:rPr>
              <w:t xml:space="preserve">    吡唑醚菌酯20%    氟环唑15%    </w:t>
            </w:r>
          </w:p>
        </w:tc>
      </w:tr>
      <w:tr w14:paraId="21BB6B20">
        <w:tblPrEx>
          <w:tblCellMar>
            <w:top w:w="0" w:type="dxa"/>
            <w:left w:w="0" w:type="dxa"/>
            <w:bottom w:w="0" w:type="dxa"/>
            <w:right w:w="0" w:type="dxa"/>
          </w:tblCellMar>
        </w:tblPrEx>
        <w:trPr>
          <w:wBefore w:w="0" w:type="auto"/>
          <w:tblCellSpacing w:w="0" w:type="dxa"/>
        </w:trPr>
        <w:tc>
          <w:tcPr>
            <w:tcW w:w="0" w:type="auto"/>
            <w:noWrap w:val="0"/>
            <w:vAlign w:val="center"/>
          </w:tcPr>
          <w:p w14:paraId="7AD5C2D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4B264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C98C90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9F40C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E8366B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9B61CA0">
                  <w:r>
                    <w:rPr>
                      <w:rStyle w:val="11"/>
                      <w:rFonts w:hint="eastAsia"/>
                    </w:rPr>
                    <w:t>施用方式</w:t>
                  </w:r>
                </w:p>
              </w:tc>
            </w:tr>
            <w:tr w14:paraId="77629393">
              <w:tblPrEx>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D20AA13">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3C3E90">
                  <w:r>
                    <w:rPr>
                      <w:rStyle w:val="11"/>
                      <w:rFonts w:hint="eastAsia"/>
                    </w:rPr>
                    <w:t>赤霉病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F52E63">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3265EE">
                  <w:r>
                    <w:rPr>
                      <w:rStyle w:val="11"/>
                      <w:rFonts w:hint="eastAsia"/>
                    </w:rPr>
                    <w:t>喷雾</w:t>
                  </w:r>
                </w:p>
              </w:tc>
            </w:tr>
            <w:tr w14:paraId="18DB3A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21B5F00">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7CD837">
                  <w:r>
                    <w:rPr>
                      <w:rStyle w:val="11"/>
                      <w:rFonts w:hint="eastAsia"/>
                    </w:rPr>
                    <w:t>大斑病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AA0A43">
                  <w:r>
                    <w:rPr>
                      <w:rStyle w:val="11"/>
                      <w:rFonts w:hint="eastAsia"/>
                    </w:rPr>
                    <w:t>25-40毫升/亩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7DC4D5">
                  <w:r>
                    <w:rPr>
                      <w:rStyle w:val="11"/>
                      <w:rFonts w:hint="eastAsia"/>
                    </w:rPr>
                    <w:t>喷雾</w:t>
                  </w:r>
                </w:p>
              </w:tc>
            </w:tr>
          </w:tbl>
          <w:p w14:paraId="067281A4">
            <w:pPr>
              <w:rPr>
                <w:rFonts w:ascii="Times New Roman" w:hAnsi="Times New Roman" w:cs="Times New Roman"/>
                <w:sz w:val="20"/>
                <w:szCs w:val="20"/>
              </w:rPr>
            </w:pPr>
          </w:p>
        </w:tc>
      </w:tr>
      <w:tr w14:paraId="1EB699B9">
        <w:tblPrEx>
          <w:tblCellMar>
            <w:top w:w="0" w:type="dxa"/>
            <w:left w:w="0" w:type="dxa"/>
            <w:bottom w:w="0" w:type="dxa"/>
            <w:right w:w="0" w:type="dxa"/>
          </w:tblCellMar>
        </w:tblPrEx>
        <w:trPr>
          <w:wBefore w:w="0" w:type="auto"/>
          <w:tblCellSpacing w:w="0" w:type="dxa"/>
        </w:trPr>
        <w:tc>
          <w:tcPr>
            <w:tcW w:w="0" w:type="auto"/>
            <w:noWrap w:val="0"/>
            <w:vAlign w:val="center"/>
          </w:tcPr>
          <w:p w14:paraId="72D672EE">
            <w:r>
              <w:rPr>
                <w:rStyle w:val="10"/>
                <w:rFonts w:hint="eastAsia"/>
              </w:rPr>
              <w:t>使用技术要求:</w:t>
            </w:r>
            <w:r>
              <w:rPr>
                <w:rFonts w:hint="eastAsia"/>
              </w:rPr>
              <w:br w:type="textWrapping"/>
            </w:r>
            <w:r>
              <w:rPr>
                <w:rStyle w:val="11"/>
                <w:rFonts w:hint="eastAsia"/>
              </w:rPr>
              <w:t>香蕉叶斑病发病初期用药，间隔7-15天连续施药，每季最多施药3次，在香蕉上的安全间隔期为42天；防治小麦赤霉病于小麦扬花初期施药，施药间隔期7-10天施药1次，每季最多使用2次，在小麦上的安全间隔期为30天。防治玉米大斑病于发病前或发病初期施药，施药间隔期7-10天施药1次，每季最多使用2次，在玉米上的安全间隔期为28天。注意喷雾均匀、周到。大风天气或预计1小时内降雨，请勿施药。</w:t>
            </w:r>
          </w:p>
        </w:tc>
      </w:tr>
      <w:tr w14:paraId="04660FD4">
        <w:tblPrEx>
          <w:tblCellMar>
            <w:top w:w="0" w:type="dxa"/>
            <w:left w:w="0" w:type="dxa"/>
            <w:bottom w:w="0" w:type="dxa"/>
            <w:right w:w="0" w:type="dxa"/>
          </w:tblCellMar>
        </w:tblPrEx>
        <w:trPr>
          <w:wBefore w:w="0" w:type="auto"/>
          <w:tblCellSpacing w:w="0" w:type="dxa"/>
        </w:trPr>
        <w:tc>
          <w:tcPr>
            <w:tcW w:w="0" w:type="auto"/>
            <w:noWrap w:val="0"/>
            <w:vAlign w:val="center"/>
          </w:tcPr>
          <w:p w14:paraId="6D775FCE">
            <w:r>
              <w:rPr>
                <w:rStyle w:val="10"/>
                <w:rFonts w:hint="eastAsia"/>
              </w:rPr>
              <w:t>产品性能:</w:t>
            </w:r>
            <w:r>
              <w:rPr>
                <w:rFonts w:hint="eastAsia"/>
              </w:rPr>
              <w:br w:type="textWrapping"/>
            </w:r>
            <w:r>
              <w:rPr>
                <w:rStyle w:val="11"/>
                <w:rFonts w:hint="eastAsia"/>
              </w:rPr>
              <w:t>本品由吡唑醚菌酯和氟环唑复配而成的杀菌剂，吡唑醚菌酯为线粒体呼吸抑制剂，具有保护、治疗、叶片渗透传导作用。氟环唑为三唑类杀菌剂，其作用机制为抑制病原菌麦角甾醇的生物合成，具有保护、治疗、铲除作用，其活性较高、内吸性较强、持效期较长。按推荐剂量使用时，对香蕉叶斑病、小麦赤霉病、玉米大斑病有较好的防效。</w:t>
            </w:r>
          </w:p>
        </w:tc>
      </w:tr>
      <w:tr w14:paraId="3F7FC80C">
        <w:tblPrEx>
          <w:tblCellMar>
            <w:top w:w="0" w:type="dxa"/>
            <w:left w:w="0" w:type="dxa"/>
            <w:bottom w:w="0" w:type="dxa"/>
            <w:right w:w="0" w:type="dxa"/>
          </w:tblCellMar>
        </w:tblPrEx>
        <w:trPr>
          <w:wBefore w:w="0" w:type="auto"/>
          <w:tblCellSpacing w:w="0" w:type="dxa"/>
        </w:trPr>
        <w:tc>
          <w:tcPr>
            <w:tcW w:w="0" w:type="auto"/>
            <w:noWrap w:val="0"/>
            <w:vAlign w:val="center"/>
          </w:tcPr>
          <w:p w14:paraId="57EC34C9">
            <w:r>
              <w:rPr>
                <w:rStyle w:val="10"/>
                <w:rFonts w:hint="eastAsia"/>
              </w:rPr>
              <w:t>注意事项：</w:t>
            </w:r>
            <w:r>
              <w:rPr>
                <w:rFonts w:hint="eastAsia"/>
              </w:rPr>
              <w:br w:type="textWrapping"/>
            </w:r>
            <w:r>
              <w:rPr>
                <w:rStyle w:val="11"/>
                <w:rFonts w:hint="eastAsia"/>
              </w:rPr>
              <w:t>1. 建议与其他作用机制不同的杀菌剂轮换使用，以延缓抗性产生。 2. 本品不宜与碱性物质混用。 3. 使用时戴长衣、长裤、帽子、口罩、手套等防护措施。不可吸烟、饮水、进食；施药后洗净手、脸及其他裸露部位，洗净工作服。 4. 本品对鱼、大型溞等水生生物、家蚕毒性高，水产养殖区、河塘等水体附近禁用；鸟类活动区附近禁用，蚕室及桑园附近区域禁用；禁止在河塘等水体中清洗施药器具；赤眼蜂等天敌放飞区域禁用。 5. 用过的容器应妥善处理，不可作他用，也不可随意丢弃，药液及其废液不得污染各类水域、土壤等环境。 6. 孕妇及哺乳期妇女避免接触本品。</w:t>
            </w:r>
          </w:p>
        </w:tc>
      </w:tr>
      <w:tr w14:paraId="26739630">
        <w:tblPrEx>
          <w:tblCellMar>
            <w:top w:w="0" w:type="dxa"/>
            <w:left w:w="0" w:type="dxa"/>
            <w:bottom w:w="0" w:type="dxa"/>
            <w:right w:w="0" w:type="dxa"/>
          </w:tblCellMar>
        </w:tblPrEx>
        <w:trPr>
          <w:wBefore w:w="0" w:type="auto"/>
          <w:tblCellSpacing w:w="0" w:type="dxa"/>
        </w:trPr>
        <w:tc>
          <w:tcPr>
            <w:tcW w:w="0" w:type="auto"/>
            <w:noWrap w:val="0"/>
            <w:vAlign w:val="center"/>
          </w:tcPr>
          <w:p w14:paraId="4549D3A3">
            <w:r>
              <w:rPr>
                <w:rStyle w:val="10"/>
                <w:rFonts w:hint="eastAsia"/>
              </w:rPr>
              <w:t>中毒急救措施：</w:t>
            </w:r>
            <w:r>
              <w:rPr>
                <w:rFonts w:hint="eastAsia"/>
              </w:rPr>
              <w:br w:type="textWrapping"/>
            </w:r>
            <w:r>
              <w:rPr>
                <w:rStyle w:val="11"/>
                <w:rFonts w:hint="eastAsia"/>
              </w:rPr>
              <w:t>中毒症状：对皮肤有轻微刺激性。 急救措施：不慎吸入，应将病人移至空气流通处。不慎接触皮肤应脱去污染衣物，用软布刷干净，用肥皂和清水洗干净，溅入眼睛，应翻开眼睑，用大量清水冲洗至少15分钟，仍有不适时，请及时就医。因疏忽或误服而发生中毒现象时，禁止引吐，请速携标签就医，并依据中毒情况对症治疗。无特效解毒剂。</w:t>
            </w:r>
          </w:p>
        </w:tc>
      </w:tr>
      <w:tr w14:paraId="14B83AA1">
        <w:tblPrEx>
          <w:tblCellMar>
            <w:top w:w="0" w:type="dxa"/>
            <w:left w:w="0" w:type="dxa"/>
            <w:bottom w:w="0" w:type="dxa"/>
            <w:right w:w="0" w:type="dxa"/>
          </w:tblCellMar>
        </w:tblPrEx>
        <w:trPr>
          <w:wBefore w:w="0" w:type="auto"/>
          <w:tblCellSpacing w:w="0" w:type="dxa"/>
        </w:trPr>
        <w:tc>
          <w:tcPr>
            <w:tcW w:w="0" w:type="auto"/>
            <w:noWrap w:val="0"/>
            <w:vAlign w:val="center"/>
          </w:tcPr>
          <w:p w14:paraId="3E911223">
            <w:r>
              <w:rPr>
                <w:rStyle w:val="10"/>
                <w:rFonts w:hint="eastAsia"/>
              </w:rPr>
              <w:t>储存和运输方法：</w:t>
            </w:r>
            <w:r>
              <w:rPr>
                <w:rFonts w:hint="eastAsia"/>
              </w:rPr>
              <w:br w:type="textWrapping"/>
            </w:r>
            <w:r>
              <w:rPr>
                <w:rStyle w:val="11"/>
                <w:rFonts w:hint="eastAsia"/>
              </w:rPr>
              <w:t>本品应贮存于干燥、阴凉、通风、防雨处；远离火源或热源；存放于儿童及无关人员触及不到之处，并加锁；勿与食物、饮料、粮食、饲料、种子和肥料等其它商品同贮同运；运输时应注意防水防潮，避免雨淋；搬运时轻搬轻放，不可倒置。</w:t>
            </w:r>
          </w:p>
        </w:tc>
      </w:tr>
      <w:tr w14:paraId="0E5A3979">
        <w:tblPrEx>
          <w:tblCellMar>
            <w:top w:w="0" w:type="dxa"/>
            <w:left w:w="0" w:type="dxa"/>
            <w:bottom w:w="0" w:type="dxa"/>
            <w:right w:w="0" w:type="dxa"/>
          </w:tblCellMar>
        </w:tblPrEx>
        <w:trPr>
          <w:wBefore w:w="0" w:type="auto"/>
          <w:tblCellSpacing w:w="0" w:type="dxa"/>
        </w:trPr>
        <w:tc>
          <w:tcPr>
            <w:tcW w:w="0" w:type="auto"/>
            <w:noWrap w:val="0"/>
            <w:vAlign w:val="center"/>
          </w:tcPr>
          <w:p w14:paraId="484F145A">
            <w:r>
              <w:rPr>
                <w:rStyle w:val="10"/>
                <w:rFonts w:hint="eastAsia"/>
              </w:rPr>
              <w:t>质量保证期：</w:t>
            </w:r>
            <w:r>
              <w:rPr>
                <w:rStyle w:val="11"/>
                <w:rFonts w:hint="eastAsia"/>
              </w:rPr>
              <w:t>2年</w:t>
            </w:r>
          </w:p>
        </w:tc>
      </w:tr>
      <w:tr w14:paraId="0285B0A5">
        <w:tblPrEx>
          <w:tblCellMar>
            <w:top w:w="0" w:type="dxa"/>
            <w:left w:w="0" w:type="dxa"/>
            <w:bottom w:w="0" w:type="dxa"/>
            <w:right w:w="0" w:type="dxa"/>
          </w:tblCellMar>
        </w:tblPrEx>
        <w:trPr>
          <w:wBefore w:w="0" w:type="auto"/>
          <w:tblCellSpacing w:w="0" w:type="dxa"/>
        </w:trPr>
        <w:tc>
          <w:tcPr>
            <w:tcW w:w="0" w:type="auto"/>
            <w:noWrap w:val="0"/>
            <w:vAlign w:val="center"/>
          </w:tcPr>
          <w:p w14:paraId="540B6919">
            <w:r>
              <w:rPr>
                <w:rStyle w:val="10"/>
                <w:rFonts w:hint="eastAsia"/>
              </w:rPr>
              <w:t>备注：</w:t>
            </w:r>
          </w:p>
        </w:tc>
      </w:tr>
    </w:tbl>
    <w:p w14:paraId="190B29E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5B2851E">
        <w:tblPrEx>
          <w:tblCellMar>
            <w:top w:w="0" w:type="dxa"/>
            <w:left w:w="0" w:type="dxa"/>
            <w:bottom w:w="0" w:type="dxa"/>
            <w:right w:w="0" w:type="dxa"/>
          </w:tblCellMar>
        </w:tblPrEx>
        <w:trPr>
          <w:wBefore w:w="0" w:type="auto"/>
          <w:tblCellSpacing w:w="0" w:type="dxa"/>
        </w:trPr>
        <w:tc>
          <w:tcPr>
            <w:tcW w:w="0" w:type="auto"/>
            <w:noWrap w:val="0"/>
            <w:vAlign w:val="center"/>
          </w:tcPr>
          <w:p w14:paraId="440E07F9">
            <w:r>
              <w:rPr>
                <w:rStyle w:val="10"/>
                <w:rFonts w:hint="eastAsia"/>
              </w:rPr>
              <w:t>登记证号：</w:t>
            </w:r>
            <w:r>
              <w:rPr>
                <w:rFonts w:hint="eastAsia"/>
              </w:rPr>
              <w:t>PD20200659</w:t>
            </w:r>
          </w:p>
        </w:tc>
      </w:tr>
      <w:tr w14:paraId="512C401C">
        <w:tblPrEx>
          <w:tblCellMar>
            <w:top w:w="0" w:type="dxa"/>
            <w:left w:w="0" w:type="dxa"/>
            <w:bottom w:w="0" w:type="dxa"/>
            <w:right w:w="0" w:type="dxa"/>
          </w:tblCellMar>
        </w:tblPrEx>
        <w:trPr>
          <w:wBefore w:w="0" w:type="auto"/>
          <w:tblCellSpacing w:w="0" w:type="dxa"/>
        </w:trPr>
        <w:tc>
          <w:tcPr>
            <w:tcW w:w="0" w:type="auto"/>
            <w:noWrap w:val="0"/>
            <w:vAlign w:val="center"/>
          </w:tcPr>
          <w:p w14:paraId="33EE6E08">
            <w:r>
              <w:rPr>
                <w:rStyle w:val="10"/>
                <w:rFonts w:hint="eastAsia"/>
              </w:rPr>
              <w:t>登记证持有人：</w:t>
            </w:r>
            <w:r>
              <w:rPr>
                <w:rFonts w:hint="eastAsia"/>
              </w:rPr>
              <w:t>拜耳股份公司</w:t>
            </w:r>
          </w:p>
        </w:tc>
      </w:tr>
      <w:tr w14:paraId="6D502538">
        <w:tblPrEx>
          <w:tblCellMar>
            <w:top w:w="0" w:type="dxa"/>
            <w:left w:w="0" w:type="dxa"/>
            <w:bottom w:w="0" w:type="dxa"/>
            <w:right w:w="0" w:type="dxa"/>
          </w:tblCellMar>
        </w:tblPrEx>
        <w:trPr>
          <w:wBefore w:w="0" w:type="auto"/>
          <w:tblCellSpacing w:w="0" w:type="dxa"/>
        </w:trPr>
        <w:tc>
          <w:tcPr>
            <w:tcW w:w="0" w:type="auto"/>
            <w:noWrap w:val="0"/>
            <w:vAlign w:val="center"/>
          </w:tcPr>
          <w:p w14:paraId="6EFF5D72">
            <w:r>
              <w:rPr>
                <w:rStyle w:val="10"/>
                <w:rFonts w:hint="eastAsia"/>
              </w:rPr>
              <w:t>农药名称：</w:t>
            </w:r>
            <w:r>
              <w:rPr>
                <w:rFonts w:hint="eastAsia"/>
              </w:rPr>
              <w:t>四唑虫酰胺</w:t>
            </w:r>
          </w:p>
        </w:tc>
      </w:tr>
      <w:tr w14:paraId="4FD9AA1D">
        <w:tblPrEx>
          <w:tblCellMar>
            <w:top w:w="0" w:type="dxa"/>
            <w:left w:w="0" w:type="dxa"/>
            <w:bottom w:w="0" w:type="dxa"/>
            <w:right w:w="0" w:type="dxa"/>
          </w:tblCellMar>
        </w:tblPrEx>
        <w:trPr>
          <w:wBefore w:w="0" w:type="auto"/>
          <w:tblCellSpacing w:w="0" w:type="dxa"/>
        </w:trPr>
        <w:tc>
          <w:tcPr>
            <w:tcW w:w="0" w:type="auto"/>
            <w:noWrap w:val="0"/>
            <w:vAlign w:val="center"/>
          </w:tcPr>
          <w:p w14:paraId="20DCFB53">
            <w:r>
              <w:rPr>
                <w:rStyle w:val="10"/>
                <w:rFonts w:hint="eastAsia"/>
              </w:rPr>
              <w:t>剂型：</w:t>
            </w:r>
            <w:r>
              <w:rPr>
                <w:rFonts w:hint="eastAsia"/>
              </w:rPr>
              <w:t>悬浮剂</w:t>
            </w:r>
          </w:p>
        </w:tc>
      </w:tr>
      <w:tr w14:paraId="602C5B72">
        <w:tblPrEx>
          <w:tblCellMar>
            <w:top w:w="0" w:type="dxa"/>
            <w:left w:w="0" w:type="dxa"/>
            <w:bottom w:w="0" w:type="dxa"/>
            <w:right w:w="0" w:type="dxa"/>
          </w:tblCellMar>
        </w:tblPrEx>
        <w:trPr>
          <w:wBefore w:w="0" w:type="auto"/>
          <w:tblCellSpacing w:w="0" w:type="dxa"/>
        </w:trPr>
        <w:tc>
          <w:tcPr>
            <w:tcW w:w="0" w:type="auto"/>
            <w:noWrap w:val="0"/>
            <w:vAlign w:val="center"/>
          </w:tcPr>
          <w:p w14:paraId="09F2E1F4">
            <w:r>
              <w:rPr>
                <w:rStyle w:val="10"/>
                <w:rFonts w:hint="eastAsia"/>
              </w:rPr>
              <w:t>毒性及其标识：</w:t>
            </w:r>
            <w:r>
              <w:rPr>
                <w:rFonts w:hint="eastAsia"/>
              </w:rPr>
              <w:t xml:space="preserve"> </w:t>
            </w:r>
            <w:r>
              <w:rPr>
                <w:lang/>
              </w:rPr>
              <w:drawing>
                <wp:inline distT="0" distB="0" distL="114300" distR="114300">
                  <wp:extent cx="476250" cy="323850"/>
                  <wp:effectExtent l="0" t="0" r="0" b="0"/>
                  <wp:docPr id="17" name="图片 1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5F06718">
        <w:tblPrEx>
          <w:tblCellMar>
            <w:top w:w="0" w:type="dxa"/>
            <w:left w:w="0" w:type="dxa"/>
            <w:bottom w:w="0" w:type="dxa"/>
            <w:right w:w="0" w:type="dxa"/>
          </w:tblCellMar>
        </w:tblPrEx>
        <w:trPr>
          <w:wBefore w:w="0" w:type="auto"/>
          <w:tblCellSpacing w:w="0" w:type="dxa"/>
        </w:trPr>
        <w:tc>
          <w:tcPr>
            <w:tcW w:w="0" w:type="auto"/>
            <w:noWrap w:val="0"/>
            <w:vAlign w:val="center"/>
          </w:tcPr>
          <w:p w14:paraId="4D8759AE">
            <w:r>
              <w:rPr>
                <w:rStyle w:val="10"/>
                <w:rFonts w:hint="eastAsia"/>
              </w:rPr>
              <w:t>总有效成分含量：</w:t>
            </w:r>
            <w:r>
              <w:rPr>
                <w:rFonts w:hint="eastAsia"/>
              </w:rPr>
              <w:t>200克/升</w:t>
            </w:r>
          </w:p>
        </w:tc>
      </w:tr>
      <w:tr w14:paraId="003126D2">
        <w:tblPrEx>
          <w:tblCellMar>
            <w:top w:w="0" w:type="dxa"/>
            <w:left w:w="0" w:type="dxa"/>
            <w:bottom w:w="0" w:type="dxa"/>
            <w:right w:w="0" w:type="dxa"/>
          </w:tblCellMar>
        </w:tblPrEx>
        <w:trPr>
          <w:wBefore w:w="0" w:type="auto"/>
          <w:tblCellSpacing w:w="0" w:type="dxa"/>
        </w:trPr>
        <w:tc>
          <w:tcPr>
            <w:tcW w:w="0" w:type="auto"/>
            <w:noWrap w:val="0"/>
            <w:vAlign w:val="center"/>
          </w:tcPr>
          <w:p w14:paraId="4AE0DD88">
            <w:r>
              <w:rPr>
                <w:rFonts w:hint="eastAsia"/>
              </w:rPr>
              <w:t xml:space="preserve">有效成分及其含量： </w:t>
            </w:r>
          </w:p>
          <w:p w14:paraId="1C1A5121">
            <w:r>
              <w:rPr>
                <w:rFonts w:hint="eastAsia"/>
              </w:rPr>
              <w:t xml:space="preserve">    四唑虫酰胺200克/升    </w:t>
            </w:r>
          </w:p>
        </w:tc>
      </w:tr>
      <w:tr w14:paraId="27936856">
        <w:tblPrEx>
          <w:tblCellMar>
            <w:top w:w="0" w:type="dxa"/>
            <w:left w:w="0" w:type="dxa"/>
            <w:bottom w:w="0" w:type="dxa"/>
            <w:right w:w="0" w:type="dxa"/>
          </w:tblCellMar>
        </w:tblPrEx>
        <w:trPr>
          <w:wBefore w:w="0" w:type="auto"/>
          <w:tblCellSpacing w:w="0" w:type="dxa"/>
        </w:trPr>
        <w:tc>
          <w:tcPr>
            <w:tcW w:w="0" w:type="auto"/>
            <w:noWrap w:val="0"/>
            <w:vAlign w:val="center"/>
          </w:tcPr>
          <w:p w14:paraId="4943F38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685D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435065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A52AC8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731C2A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9718D4C">
                  <w:r>
                    <w:rPr>
                      <w:rStyle w:val="11"/>
                      <w:rFonts w:hint="eastAsia"/>
                    </w:rPr>
                    <w:t>施用方式</w:t>
                  </w:r>
                </w:p>
              </w:tc>
            </w:tr>
            <w:tr w14:paraId="3DD34C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16C8A6C">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3EA65D">
                  <w:r>
                    <w:rPr>
                      <w:rStyle w:val="11"/>
                      <w:rFonts w:hint="eastAsia"/>
                    </w:rPr>
                    <w:t>二化螟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E9E8A0">
                  <w:r>
                    <w:rPr>
                      <w:rStyle w:val="11"/>
                      <w:rFonts w:hint="eastAsia"/>
                    </w:rPr>
                    <w:t>7-10毫升/亩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5ADBEC">
                  <w:r>
                    <w:rPr>
                      <w:rStyle w:val="11"/>
                      <w:rFonts w:hint="eastAsia"/>
                    </w:rPr>
                    <w:t>喷雾</w:t>
                  </w:r>
                </w:p>
              </w:tc>
            </w:tr>
            <w:tr w14:paraId="44C279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BC61CD">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A43FC9">
                  <w:r>
                    <w:rPr>
                      <w:rStyle w:val="11"/>
                      <w:rFonts w:hint="eastAsia"/>
                    </w:rPr>
                    <w:t>桃小食心虫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074378">
                  <w:r>
                    <w:rPr>
                      <w:rStyle w:val="11"/>
                      <w:rFonts w:hint="eastAsia"/>
                    </w:rPr>
                    <w:t>5000-7000倍液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2D7502">
                  <w:r>
                    <w:rPr>
                      <w:rStyle w:val="11"/>
                      <w:rFonts w:hint="eastAsia"/>
                    </w:rPr>
                    <w:t>喷雾</w:t>
                  </w:r>
                </w:p>
              </w:tc>
            </w:tr>
            <w:tr w14:paraId="243AE5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B0A72D1">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73BB9C">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CA7D6B">
                  <w:r>
                    <w:rPr>
                      <w:rStyle w:val="11"/>
                      <w:rFonts w:hint="eastAsia"/>
                    </w:rPr>
                    <w:t>7-10毫升/亩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EA0D5D">
                  <w:r>
                    <w:rPr>
                      <w:rStyle w:val="11"/>
                      <w:rFonts w:hint="eastAsia"/>
                    </w:rPr>
                    <w:t>喷雾</w:t>
                  </w:r>
                </w:p>
              </w:tc>
            </w:tr>
            <w:tr w14:paraId="24721F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FD0BFCC">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93DDD9">
                  <w:r>
                    <w:rPr>
                      <w:rStyle w:val="11"/>
                      <w:rFonts w:hint="eastAsia"/>
                    </w:rPr>
                    <w:t>潜叶蛾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74C21B">
                  <w:r>
                    <w:rPr>
                      <w:rStyle w:val="11"/>
                      <w:rFonts w:hint="eastAsia"/>
                    </w:rPr>
                    <w:t>10000-20000倍液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344A3B">
                  <w:r>
                    <w:rPr>
                      <w:rStyle w:val="11"/>
                      <w:rFonts w:hint="eastAsia"/>
                    </w:rPr>
                    <w:t>喷雾</w:t>
                  </w:r>
                </w:p>
              </w:tc>
            </w:tr>
          </w:tbl>
          <w:p w14:paraId="1711F3BC">
            <w:pPr>
              <w:rPr>
                <w:rFonts w:ascii="Times New Roman" w:hAnsi="Times New Roman" w:cs="Times New Roman"/>
                <w:sz w:val="20"/>
                <w:szCs w:val="20"/>
              </w:rPr>
            </w:pPr>
          </w:p>
        </w:tc>
      </w:tr>
      <w:tr w14:paraId="73B07FDD">
        <w:tblPrEx>
          <w:tblCellMar>
            <w:top w:w="0" w:type="dxa"/>
            <w:left w:w="0" w:type="dxa"/>
            <w:bottom w:w="0" w:type="dxa"/>
            <w:right w:w="0" w:type="dxa"/>
          </w:tblCellMar>
        </w:tblPrEx>
        <w:trPr>
          <w:wBefore w:w="0" w:type="auto"/>
          <w:tblCellSpacing w:w="0" w:type="dxa"/>
        </w:trPr>
        <w:tc>
          <w:tcPr>
            <w:tcW w:w="0" w:type="auto"/>
            <w:noWrap w:val="0"/>
            <w:vAlign w:val="center"/>
          </w:tcPr>
          <w:p w14:paraId="4402058B">
            <w:r>
              <w:rPr>
                <w:rStyle w:val="10"/>
                <w:rFonts w:hint="eastAsia"/>
              </w:rPr>
              <w:t>使用技术要求:</w:t>
            </w:r>
            <w:r>
              <w:rPr>
                <w:rFonts w:hint="eastAsia"/>
              </w:rPr>
              <w:br w:type="textWrapping"/>
            </w:r>
            <w:r>
              <w:rPr>
                <w:rStyle w:val="11"/>
                <w:rFonts w:hint="eastAsia"/>
              </w:rPr>
              <w:t>1.配药前先将原包装摇匀，再采用二次稀释法配药。2.防治甘蓝甜菜夜蛾于低龄幼虫发生初期喷雾施药；防治水稻稻纵卷叶螟于卵孵盛期至低龄幼虫始盛期喷雾施药1次；防治水稻二化螟于卵孵盛期至低龄幼虫期喷雾施药1次；防治苹果桃小食心虫于卵孵盛期至低龄幼虫期喷雾施药2次；防治柑橘潜叶蛾于潜叶蛾幼虫卵孵盛期喷雾施药1次。3.安全间隔期：甘蓝7天，每个生长季最多施用2次；水稻每季作物最多施药2次，施药间隔14天，安全间隔期28天；苹果每季作物最多施药2次，施药间隔14天，安全间隔期15天；柑橘每季作物最多使用1次，安全间隔期7天。4.严格按照批准的使用次和用药量使用。5.大风天或预计1小时内降雨，请勿施药。</w:t>
            </w:r>
          </w:p>
        </w:tc>
      </w:tr>
      <w:tr w14:paraId="749A4346">
        <w:tblPrEx>
          <w:tblCellMar>
            <w:top w:w="0" w:type="dxa"/>
            <w:left w:w="0" w:type="dxa"/>
            <w:bottom w:w="0" w:type="dxa"/>
            <w:right w:w="0" w:type="dxa"/>
          </w:tblCellMar>
        </w:tblPrEx>
        <w:trPr>
          <w:wBefore w:w="0" w:type="auto"/>
          <w:tblCellSpacing w:w="0" w:type="dxa"/>
        </w:trPr>
        <w:tc>
          <w:tcPr>
            <w:tcW w:w="0" w:type="auto"/>
            <w:noWrap w:val="0"/>
            <w:vAlign w:val="center"/>
          </w:tcPr>
          <w:p w14:paraId="6F5F71C2">
            <w:r>
              <w:rPr>
                <w:rStyle w:val="10"/>
                <w:rFonts w:hint="eastAsia"/>
              </w:rPr>
              <w:t>产品性能:</w:t>
            </w:r>
            <w:r>
              <w:rPr>
                <w:rFonts w:hint="eastAsia"/>
              </w:rPr>
              <w:br w:type="textWrapping"/>
            </w:r>
            <w:r>
              <w:rPr>
                <w:rStyle w:val="11"/>
                <w:rFonts w:hint="eastAsia"/>
              </w:rPr>
              <w:t>本品为双酰胺类杀虫剂，作用于害虫的鱼尼丁受体，引起细胞内钙离子无节制释放，导致肌肉收缩、麻痹直至害虫死亡。本品以胃毒为主，能够有效防治鳞翅目害虫为害。</w:t>
            </w:r>
          </w:p>
        </w:tc>
      </w:tr>
      <w:tr w14:paraId="280ACC4C">
        <w:tblPrEx>
          <w:tblCellMar>
            <w:top w:w="0" w:type="dxa"/>
            <w:left w:w="0" w:type="dxa"/>
            <w:bottom w:w="0" w:type="dxa"/>
            <w:right w:w="0" w:type="dxa"/>
          </w:tblCellMar>
        </w:tblPrEx>
        <w:trPr>
          <w:wBefore w:w="0" w:type="auto"/>
          <w:tblCellSpacing w:w="0" w:type="dxa"/>
        </w:trPr>
        <w:tc>
          <w:tcPr>
            <w:tcW w:w="0" w:type="auto"/>
            <w:noWrap w:val="0"/>
            <w:vAlign w:val="center"/>
          </w:tcPr>
          <w:p w14:paraId="51B10B62">
            <w:r>
              <w:rPr>
                <w:rStyle w:val="10"/>
                <w:rFonts w:hint="eastAsia"/>
              </w:rPr>
              <w:t>注意事项：</w:t>
            </w:r>
            <w:r>
              <w:rPr>
                <w:rFonts w:hint="eastAsia"/>
              </w:rPr>
              <w:br w:type="textWrapping"/>
            </w:r>
            <w:r>
              <w:rPr>
                <w:rStyle w:val="11"/>
                <w:rFonts w:hint="eastAsia"/>
              </w:rPr>
              <w:t>1.四唑虫酰胺与氯虫苯甲酰胺存在一定的交互抗性风险，为了更好的避免抗性的产生，严格按照标签推荐的剂量和每季最多用药次数使用，生产中应尽量避免与氯虫苯甲酰胺混用或轮换使用，可以与其他作用机理不同且无交互抗性风险的药剂轮换使用。2.操作本品时应戴防护手套、口罩、防护镜、穿防护服、雨靴等，禁止饮食、饮水和吸烟等。3.施药后应及时洗澡，清洗防护用具和衣物等。4.避免孕妇及哺乳期的妇女接触本品。5. 用过的容器应妥善处理，不可做他用，也不可随意丢弃。6.药液及废液严禁污染各类水域、土壤等环境；远离水产养殖区、河塘等水体施药；禁止在河塘等水体中清洗施药器具。鱼或虾蟹套养稻田禁用，施药后的田水不得直接排入水体。7.禁止在柑橘树春梢期用药；（周围）开花植物花期禁用，使用本品应注意避免对蜜蜂、授粉昆虫及蚕室造成影响。使用时应密切关注对附近蜂群的影响；蚕室及桑园附近禁用；赤眼蜂或其他天敌放飞区域禁用。</w:t>
            </w:r>
          </w:p>
        </w:tc>
      </w:tr>
      <w:tr w14:paraId="7C6C09CB">
        <w:tblPrEx>
          <w:tblCellMar>
            <w:top w:w="0" w:type="dxa"/>
            <w:left w:w="0" w:type="dxa"/>
            <w:bottom w:w="0" w:type="dxa"/>
            <w:right w:w="0" w:type="dxa"/>
          </w:tblCellMar>
        </w:tblPrEx>
        <w:trPr>
          <w:wBefore w:w="0" w:type="auto"/>
          <w:tblCellSpacing w:w="0" w:type="dxa"/>
        </w:trPr>
        <w:tc>
          <w:tcPr>
            <w:tcW w:w="0" w:type="auto"/>
            <w:noWrap w:val="0"/>
            <w:vAlign w:val="center"/>
          </w:tcPr>
          <w:p w14:paraId="1950FFC6">
            <w:r>
              <w:rPr>
                <w:rStyle w:val="10"/>
                <w:rFonts w:hint="eastAsia"/>
              </w:rPr>
              <w:t>中毒急救措施：</w:t>
            </w:r>
            <w:r>
              <w:rPr>
                <w:rFonts w:hint="eastAsia"/>
              </w:rPr>
              <w:br w:type="textWrapping"/>
            </w:r>
            <w:r>
              <w:rPr>
                <w:rStyle w:val="11"/>
                <w:rFonts w:hint="eastAsia"/>
              </w:rPr>
              <w:t>有任何不良反应请及时携标签就医。1.一般建议：将中毒者从危险区域转移，脱去受污染衣物并妥善处置，转移时需保持中毒者处于稳定的侧卧体位。2.如皮肤接触：用肥皂和大量清水彻底清洗，如有条件，先用聚乙二醇400清洗再用清水冲洗，如仍有不适应立即就医。3.如误入眼睛：立即用大量清水冲洗至少15分钟；如戴隐形眼镜，先冲洗5分钟，摘掉眼镜后再继续冲洗，如仍有不适，应立即就医。4.如误吸入：将患者移到空气新鲜处，使其保持温暖和休息，如仍有不适，应立即就医。5.如误食：禁止引吐，用水漱口并立即携此标签就医。6.无已知的中毒症状，无特定解毒剂，建议医生根据患者症状对症治疗，大量吞食两小时内应考虑洗胃，可给服活性炭和硫酸钠。7.如发生中毒事故或化学事故请拨打国家化学事故应急响应专线0532-83889090。</w:t>
            </w:r>
          </w:p>
        </w:tc>
      </w:tr>
      <w:tr w14:paraId="6C79E431">
        <w:tblPrEx>
          <w:tblCellMar>
            <w:top w:w="0" w:type="dxa"/>
            <w:left w:w="0" w:type="dxa"/>
            <w:bottom w:w="0" w:type="dxa"/>
            <w:right w:w="0" w:type="dxa"/>
          </w:tblCellMar>
        </w:tblPrEx>
        <w:trPr>
          <w:wBefore w:w="0" w:type="auto"/>
          <w:tblCellSpacing w:w="0" w:type="dxa"/>
        </w:trPr>
        <w:tc>
          <w:tcPr>
            <w:tcW w:w="0" w:type="auto"/>
            <w:noWrap w:val="0"/>
            <w:vAlign w:val="center"/>
          </w:tcPr>
          <w:p w14:paraId="52F92BD4">
            <w:r>
              <w:rPr>
                <w:rStyle w:val="10"/>
                <w:rFonts w:hint="eastAsia"/>
              </w:rPr>
              <w:t>储存和运输方法：</w:t>
            </w:r>
            <w:r>
              <w:rPr>
                <w:rFonts w:hint="eastAsia"/>
              </w:rPr>
              <w:br w:type="textWrapping"/>
            </w:r>
            <w:r>
              <w:rPr>
                <w:rStyle w:val="11"/>
                <w:rFonts w:hint="eastAsia"/>
              </w:rPr>
              <w:t>1.本品应以密封的原包装储存于阴凉、干燥和通风处。2.加锁保存，置于儿童及无关人员接触不到的地方。3.勿与食品、饮料、粮食、饲料、种子、肥料等其他商品同贮同运。4.适宜的储存温度为0℃—35℃。5.运输时应注意防水防潮，避免雨淋日晒；搬运时轻搬轻放，不可倒置。6.远离火源或热源。</w:t>
            </w:r>
          </w:p>
        </w:tc>
      </w:tr>
      <w:tr w14:paraId="0A966632">
        <w:tblPrEx>
          <w:tblCellMar>
            <w:top w:w="0" w:type="dxa"/>
            <w:left w:w="0" w:type="dxa"/>
            <w:bottom w:w="0" w:type="dxa"/>
            <w:right w:w="0" w:type="dxa"/>
          </w:tblCellMar>
        </w:tblPrEx>
        <w:trPr>
          <w:wBefore w:w="0" w:type="auto"/>
          <w:tblCellSpacing w:w="0" w:type="dxa"/>
        </w:trPr>
        <w:tc>
          <w:tcPr>
            <w:tcW w:w="0" w:type="auto"/>
            <w:noWrap w:val="0"/>
            <w:vAlign w:val="center"/>
          </w:tcPr>
          <w:p w14:paraId="7222F330">
            <w:r>
              <w:rPr>
                <w:rStyle w:val="10"/>
                <w:rFonts w:hint="eastAsia"/>
              </w:rPr>
              <w:t>质量保证期：</w:t>
            </w:r>
            <w:r>
              <w:rPr>
                <w:rStyle w:val="11"/>
                <w:rFonts w:hint="eastAsia"/>
              </w:rPr>
              <w:t>3年</w:t>
            </w:r>
          </w:p>
        </w:tc>
      </w:tr>
      <w:tr w14:paraId="4E1083B4">
        <w:tblPrEx>
          <w:tblCellMar>
            <w:top w:w="0" w:type="dxa"/>
            <w:left w:w="0" w:type="dxa"/>
            <w:bottom w:w="0" w:type="dxa"/>
            <w:right w:w="0" w:type="dxa"/>
          </w:tblCellMar>
        </w:tblPrEx>
        <w:trPr>
          <w:wBefore w:w="0" w:type="auto"/>
          <w:tblCellSpacing w:w="0" w:type="dxa"/>
        </w:trPr>
        <w:tc>
          <w:tcPr>
            <w:tcW w:w="0" w:type="auto"/>
            <w:noWrap w:val="0"/>
            <w:vAlign w:val="center"/>
          </w:tcPr>
          <w:p w14:paraId="5D2B1BA1">
            <w:r>
              <w:rPr>
                <w:rStyle w:val="10"/>
                <w:rFonts w:hint="eastAsia"/>
              </w:rPr>
              <w:t>备注：</w:t>
            </w:r>
          </w:p>
        </w:tc>
      </w:tr>
    </w:tbl>
    <w:p w14:paraId="6AB3224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15924C">
        <w:tblPrEx>
          <w:tblCellMar>
            <w:top w:w="0" w:type="dxa"/>
            <w:left w:w="0" w:type="dxa"/>
            <w:bottom w:w="0" w:type="dxa"/>
            <w:right w:w="0" w:type="dxa"/>
          </w:tblCellMar>
        </w:tblPrEx>
        <w:trPr>
          <w:wBefore w:w="0" w:type="auto"/>
          <w:tblCellSpacing w:w="0" w:type="dxa"/>
        </w:trPr>
        <w:tc>
          <w:tcPr>
            <w:tcW w:w="0" w:type="auto"/>
            <w:noWrap w:val="0"/>
            <w:vAlign w:val="center"/>
          </w:tcPr>
          <w:p w14:paraId="1269805E">
            <w:r>
              <w:rPr>
                <w:rStyle w:val="10"/>
                <w:rFonts w:hint="eastAsia"/>
              </w:rPr>
              <w:t>登记证号：</w:t>
            </w:r>
            <w:r>
              <w:rPr>
                <w:rFonts w:hint="eastAsia"/>
              </w:rPr>
              <w:t>PD20201075</w:t>
            </w:r>
          </w:p>
        </w:tc>
      </w:tr>
      <w:tr w14:paraId="0917B09C">
        <w:tblPrEx>
          <w:tblCellMar>
            <w:top w:w="0" w:type="dxa"/>
            <w:left w:w="0" w:type="dxa"/>
            <w:bottom w:w="0" w:type="dxa"/>
            <w:right w:w="0" w:type="dxa"/>
          </w:tblCellMar>
        </w:tblPrEx>
        <w:trPr>
          <w:wBefore w:w="0" w:type="auto"/>
          <w:tblCellSpacing w:w="0" w:type="dxa"/>
        </w:trPr>
        <w:tc>
          <w:tcPr>
            <w:tcW w:w="0" w:type="auto"/>
            <w:noWrap w:val="0"/>
            <w:vAlign w:val="center"/>
          </w:tcPr>
          <w:p w14:paraId="1907352F">
            <w:r>
              <w:rPr>
                <w:rStyle w:val="10"/>
                <w:rFonts w:hint="eastAsia"/>
              </w:rPr>
              <w:t>登记证持有人：</w:t>
            </w:r>
            <w:r>
              <w:rPr>
                <w:rFonts w:hint="eastAsia"/>
              </w:rPr>
              <w:t>江苏省盐城利民农化有限公司</w:t>
            </w:r>
          </w:p>
        </w:tc>
      </w:tr>
      <w:tr w14:paraId="7A0E7D83">
        <w:tblPrEx>
          <w:tblCellMar>
            <w:top w:w="0" w:type="dxa"/>
            <w:left w:w="0" w:type="dxa"/>
            <w:bottom w:w="0" w:type="dxa"/>
            <w:right w:w="0" w:type="dxa"/>
          </w:tblCellMar>
        </w:tblPrEx>
        <w:trPr>
          <w:wBefore w:w="0" w:type="auto"/>
          <w:tblCellSpacing w:w="0" w:type="dxa"/>
        </w:trPr>
        <w:tc>
          <w:tcPr>
            <w:tcW w:w="0" w:type="auto"/>
            <w:noWrap w:val="0"/>
            <w:vAlign w:val="center"/>
          </w:tcPr>
          <w:p w14:paraId="2616ED96">
            <w:r>
              <w:rPr>
                <w:rStyle w:val="10"/>
                <w:rFonts w:hint="eastAsia"/>
              </w:rPr>
              <w:t>农药名称：</w:t>
            </w:r>
            <w:r>
              <w:rPr>
                <w:rFonts w:hint="eastAsia"/>
              </w:rPr>
              <w:t>噻呋·嘧菌酯</w:t>
            </w:r>
          </w:p>
        </w:tc>
      </w:tr>
      <w:tr w14:paraId="067B39F1">
        <w:tblPrEx>
          <w:tblCellMar>
            <w:top w:w="0" w:type="dxa"/>
            <w:left w:w="0" w:type="dxa"/>
            <w:bottom w:w="0" w:type="dxa"/>
            <w:right w:w="0" w:type="dxa"/>
          </w:tblCellMar>
        </w:tblPrEx>
        <w:trPr>
          <w:wBefore w:w="0" w:type="auto"/>
          <w:tblCellSpacing w:w="0" w:type="dxa"/>
        </w:trPr>
        <w:tc>
          <w:tcPr>
            <w:tcW w:w="0" w:type="auto"/>
            <w:noWrap w:val="0"/>
            <w:vAlign w:val="center"/>
          </w:tcPr>
          <w:p w14:paraId="24B652D4">
            <w:r>
              <w:rPr>
                <w:rStyle w:val="10"/>
                <w:rFonts w:hint="eastAsia"/>
              </w:rPr>
              <w:t>剂型：</w:t>
            </w:r>
            <w:r>
              <w:rPr>
                <w:rFonts w:hint="eastAsia"/>
              </w:rPr>
              <w:t>悬浮剂</w:t>
            </w:r>
          </w:p>
        </w:tc>
      </w:tr>
      <w:tr w14:paraId="2DBB1AD0">
        <w:tblPrEx>
          <w:tblCellMar>
            <w:top w:w="0" w:type="dxa"/>
            <w:left w:w="0" w:type="dxa"/>
            <w:bottom w:w="0" w:type="dxa"/>
            <w:right w:w="0" w:type="dxa"/>
          </w:tblCellMar>
        </w:tblPrEx>
        <w:trPr>
          <w:wBefore w:w="0" w:type="auto"/>
          <w:tblCellSpacing w:w="0" w:type="dxa"/>
        </w:trPr>
        <w:tc>
          <w:tcPr>
            <w:tcW w:w="0" w:type="auto"/>
            <w:noWrap w:val="0"/>
            <w:vAlign w:val="center"/>
          </w:tcPr>
          <w:p w14:paraId="3D67EE36">
            <w:r>
              <w:rPr>
                <w:rStyle w:val="10"/>
                <w:rFonts w:hint="eastAsia"/>
              </w:rPr>
              <w:t>毒性及其标识：</w:t>
            </w:r>
            <w:r>
              <w:rPr>
                <w:rFonts w:hint="eastAsia"/>
              </w:rPr>
              <w:t xml:space="preserve"> </w:t>
            </w:r>
            <w:r>
              <w:rPr>
                <w:lang/>
              </w:rPr>
              <w:drawing>
                <wp:inline distT="0" distB="0" distL="114300" distR="114300">
                  <wp:extent cx="476250" cy="323850"/>
                  <wp:effectExtent l="0" t="0" r="0" b="0"/>
                  <wp:docPr id="18" name="图片 1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25CA19D">
        <w:tblPrEx>
          <w:tblCellMar>
            <w:top w:w="0" w:type="dxa"/>
            <w:left w:w="0" w:type="dxa"/>
            <w:bottom w:w="0" w:type="dxa"/>
            <w:right w:w="0" w:type="dxa"/>
          </w:tblCellMar>
        </w:tblPrEx>
        <w:trPr>
          <w:wBefore w:w="0" w:type="auto"/>
          <w:tblCellSpacing w:w="0" w:type="dxa"/>
        </w:trPr>
        <w:tc>
          <w:tcPr>
            <w:tcW w:w="0" w:type="auto"/>
            <w:noWrap w:val="0"/>
            <w:vAlign w:val="center"/>
          </w:tcPr>
          <w:p w14:paraId="1170C1BA">
            <w:r>
              <w:rPr>
                <w:rStyle w:val="10"/>
                <w:rFonts w:hint="eastAsia"/>
              </w:rPr>
              <w:t>总有效成分含量：</w:t>
            </w:r>
            <w:r>
              <w:rPr>
                <w:rFonts w:hint="eastAsia"/>
              </w:rPr>
              <w:t>40%</w:t>
            </w:r>
          </w:p>
        </w:tc>
      </w:tr>
      <w:tr w14:paraId="158E3FBB">
        <w:tblPrEx>
          <w:tblCellMar>
            <w:top w:w="0" w:type="dxa"/>
            <w:left w:w="0" w:type="dxa"/>
            <w:bottom w:w="0" w:type="dxa"/>
            <w:right w:w="0" w:type="dxa"/>
          </w:tblCellMar>
        </w:tblPrEx>
        <w:trPr>
          <w:wBefore w:w="0" w:type="auto"/>
          <w:tblCellSpacing w:w="0" w:type="dxa"/>
        </w:trPr>
        <w:tc>
          <w:tcPr>
            <w:tcW w:w="0" w:type="auto"/>
            <w:noWrap w:val="0"/>
            <w:vAlign w:val="center"/>
          </w:tcPr>
          <w:p w14:paraId="3CB1EAD0">
            <w:r>
              <w:rPr>
                <w:rFonts w:hint="eastAsia"/>
              </w:rPr>
              <w:t xml:space="preserve">有效成分及其含量： </w:t>
            </w:r>
          </w:p>
          <w:p w14:paraId="198D4CBC">
            <w:r>
              <w:rPr>
                <w:rFonts w:hint="eastAsia"/>
              </w:rPr>
              <w:t xml:space="preserve">    嘧菌酯32%    噻呋酰胺8%    </w:t>
            </w:r>
          </w:p>
        </w:tc>
      </w:tr>
      <w:tr w14:paraId="4404FCDA">
        <w:tblPrEx>
          <w:tblCellMar>
            <w:top w:w="0" w:type="dxa"/>
            <w:left w:w="0" w:type="dxa"/>
            <w:bottom w:w="0" w:type="dxa"/>
            <w:right w:w="0" w:type="dxa"/>
          </w:tblCellMar>
        </w:tblPrEx>
        <w:trPr>
          <w:wBefore w:w="0" w:type="auto"/>
          <w:tblCellSpacing w:w="0" w:type="dxa"/>
        </w:trPr>
        <w:tc>
          <w:tcPr>
            <w:tcW w:w="0" w:type="auto"/>
            <w:noWrap w:val="0"/>
            <w:vAlign w:val="center"/>
          </w:tcPr>
          <w:p w14:paraId="26BE1B2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0C49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256C5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BA2436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61D785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5829787">
                  <w:r>
                    <w:rPr>
                      <w:rStyle w:val="11"/>
                      <w:rFonts w:hint="eastAsia"/>
                    </w:rPr>
                    <w:t>施用方式</w:t>
                  </w:r>
                </w:p>
              </w:tc>
            </w:tr>
            <w:tr w14:paraId="67AAF1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3979323">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760E19">
                  <w:r>
                    <w:rPr>
                      <w:rStyle w:val="11"/>
                      <w:rFonts w:hint="eastAsia"/>
                    </w:rPr>
                    <w:t>稻瘟病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537455">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6C682C">
                  <w:r>
                    <w:rPr>
                      <w:rStyle w:val="11"/>
                      <w:rFonts w:hint="eastAsia"/>
                    </w:rPr>
                    <w:t>喷雾</w:t>
                  </w:r>
                </w:p>
              </w:tc>
            </w:tr>
            <w:tr w14:paraId="62E5B5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36FE085">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E1847F">
                  <w:r>
                    <w:rPr>
                      <w:rStyle w:val="11"/>
                      <w:rFonts w:hint="eastAsia"/>
                    </w:rPr>
                    <w:t>纹枯病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CB9870">
                  <w:r>
                    <w:rPr>
                      <w:rStyle w:val="11"/>
                      <w:rFonts w:hint="eastAsia"/>
                    </w:rPr>
                    <w:t>20-40毫升/亩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09F92B">
                  <w:r>
                    <w:rPr>
                      <w:rStyle w:val="11"/>
                      <w:rFonts w:hint="eastAsia"/>
                    </w:rPr>
                    <w:t>喷雾</w:t>
                  </w:r>
                </w:p>
              </w:tc>
            </w:tr>
            <w:tr w14:paraId="37419D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51CE09">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9DA0D4">
                  <w:r>
                    <w:rPr>
                      <w:rStyle w:val="11"/>
                      <w:rFonts w:hint="eastAsia"/>
                    </w:rPr>
                    <w:t>稻曲病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515E2C">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510B84">
                  <w:r>
                    <w:rPr>
                      <w:rStyle w:val="11"/>
                      <w:rFonts w:hint="eastAsia"/>
                    </w:rPr>
                    <w:t>喷雾</w:t>
                  </w:r>
                </w:p>
              </w:tc>
            </w:tr>
          </w:tbl>
          <w:p w14:paraId="153E8BC9">
            <w:pPr>
              <w:rPr>
                <w:rFonts w:ascii="Times New Roman" w:hAnsi="Times New Roman" w:cs="Times New Roman"/>
                <w:sz w:val="20"/>
                <w:szCs w:val="20"/>
              </w:rPr>
            </w:pPr>
          </w:p>
        </w:tc>
      </w:tr>
      <w:tr w14:paraId="7FF1D986">
        <w:tblPrEx>
          <w:tblCellMar>
            <w:top w:w="0" w:type="dxa"/>
            <w:left w:w="0" w:type="dxa"/>
            <w:bottom w:w="0" w:type="dxa"/>
            <w:right w:w="0" w:type="dxa"/>
          </w:tblCellMar>
        </w:tblPrEx>
        <w:trPr>
          <w:wBefore w:w="0" w:type="auto"/>
          <w:tblCellSpacing w:w="0" w:type="dxa"/>
        </w:trPr>
        <w:tc>
          <w:tcPr>
            <w:tcW w:w="0" w:type="auto"/>
            <w:noWrap w:val="0"/>
            <w:vAlign w:val="center"/>
          </w:tcPr>
          <w:p w14:paraId="03B5C843">
            <w:r>
              <w:rPr>
                <w:rStyle w:val="10"/>
                <w:rFonts w:hint="eastAsia"/>
              </w:rPr>
              <w:t>使用技术要求:</w:t>
            </w:r>
            <w:r>
              <w:rPr>
                <w:rFonts w:hint="eastAsia"/>
              </w:rPr>
              <w:br w:type="textWrapping"/>
            </w:r>
            <w:r>
              <w:rPr>
                <w:rStyle w:val="11"/>
                <w:rFonts w:hint="eastAsia"/>
              </w:rPr>
              <w:t>1、本品应于发病前或初期施药，亩兑水量40-60公斤，搅匀后均匀喷雾，施药间隔7天左右；2、大风天或预计1小时内降雨，请勿施药。 3、本品在水稻上使用的安全间隔期为21天，每季作物最多使用2次。</w:t>
            </w:r>
          </w:p>
        </w:tc>
      </w:tr>
      <w:tr w14:paraId="0FECEC8C">
        <w:tblPrEx>
          <w:tblCellMar>
            <w:top w:w="0" w:type="dxa"/>
            <w:left w:w="0" w:type="dxa"/>
            <w:bottom w:w="0" w:type="dxa"/>
            <w:right w:w="0" w:type="dxa"/>
          </w:tblCellMar>
        </w:tblPrEx>
        <w:trPr>
          <w:wBefore w:w="0" w:type="auto"/>
          <w:tblCellSpacing w:w="0" w:type="dxa"/>
        </w:trPr>
        <w:tc>
          <w:tcPr>
            <w:tcW w:w="0" w:type="auto"/>
            <w:noWrap w:val="0"/>
            <w:vAlign w:val="center"/>
          </w:tcPr>
          <w:p w14:paraId="47FBED82">
            <w:r>
              <w:rPr>
                <w:rStyle w:val="10"/>
                <w:rFonts w:hint="eastAsia"/>
              </w:rPr>
              <w:t>产品性能:</w:t>
            </w:r>
            <w:r>
              <w:rPr>
                <w:rFonts w:hint="eastAsia"/>
              </w:rPr>
              <w:br w:type="textWrapping"/>
            </w:r>
            <w:r>
              <w:rPr>
                <w:rStyle w:val="11"/>
                <w:rFonts w:hint="eastAsia"/>
              </w:rPr>
              <w:t>本品由噻唑酰胺类杀菌剂和甲氧基丙烯酸酯类杀菌剂复配而成，具有内吸传导性。可有效预防和治疗水稻纹枯病、稻瘟病、稻曲病。</w:t>
            </w:r>
          </w:p>
        </w:tc>
      </w:tr>
      <w:tr w14:paraId="5B31C888">
        <w:tblPrEx>
          <w:tblCellMar>
            <w:top w:w="0" w:type="dxa"/>
            <w:left w:w="0" w:type="dxa"/>
            <w:bottom w:w="0" w:type="dxa"/>
            <w:right w:w="0" w:type="dxa"/>
          </w:tblCellMar>
        </w:tblPrEx>
        <w:trPr>
          <w:wBefore w:w="0" w:type="auto"/>
          <w:tblCellSpacing w:w="0" w:type="dxa"/>
        </w:trPr>
        <w:tc>
          <w:tcPr>
            <w:tcW w:w="0" w:type="auto"/>
            <w:noWrap w:val="0"/>
            <w:vAlign w:val="center"/>
          </w:tcPr>
          <w:p w14:paraId="0900240F">
            <w:r>
              <w:rPr>
                <w:rStyle w:val="10"/>
                <w:rFonts w:hint="eastAsia"/>
              </w:rPr>
              <w:t>注意事项：</w:t>
            </w:r>
            <w:r>
              <w:rPr>
                <w:rFonts w:hint="eastAsia"/>
              </w:rPr>
              <w:br w:type="textWrapping"/>
            </w:r>
            <w:r>
              <w:rPr>
                <w:rStyle w:val="11"/>
                <w:rFonts w:hint="eastAsia"/>
              </w:rPr>
              <w:t>1、使用本品时应穿戴适当的防护服及用具，避免吸入药液。施药期间不可吃东西和饮水。施药后应用肥皂和大量清水洗净手部、脸部及接触到药剂的身体部位。 2、本品对鱼类等水生生物有毒，远离水产养殖区施药，禁止在河塘等水体清洗施药器具，避免污染水源；虾蟹套养稻田禁用，施药后的田水不得直接排入水体；蚕室附近禁用。 3、建议与其它作用机制不同的杀菌剂轮换使用。 4、孕妇及哺乳期妇女禁止接触。 5、用过的容器应妥善处理，不可随意丢弃或作他用。 6、本品不可与呈碱性的农药等物质混合使用。</w:t>
            </w:r>
          </w:p>
        </w:tc>
      </w:tr>
      <w:tr w14:paraId="512D68E9">
        <w:tblPrEx>
          <w:tblCellMar>
            <w:top w:w="0" w:type="dxa"/>
            <w:left w:w="0" w:type="dxa"/>
            <w:bottom w:w="0" w:type="dxa"/>
            <w:right w:w="0" w:type="dxa"/>
          </w:tblCellMar>
        </w:tblPrEx>
        <w:trPr>
          <w:wBefore w:w="0" w:type="auto"/>
          <w:tblCellSpacing w:w="0" w:type="dxa"/>
        </w:trPr>
        <w:tc>
          <w:tcPr>
            <w:tcW w:w="0" w:type="auto"/>
            <w:noWrap w:val="0"/>
            <w:vAlign w:val="center"/>
          </w:tcPr>
          <w:p w14:paraId="0A95C5B4">
            <w:r>
              <w:rPr>
                <w:rStyle w:val="10"/>
                <w:rFonts w:hint="eastAsia"/>
              </w:rPr>
              <w:t>中毒急救措施：</w:t>
            </w:r>
            <w:r>
              <w:rPr>
                <w:rFonts w:hint="eastAsia"/>
              </w:rPr>
              <w:br w:type="textWrapping"/>
            </w:r>
            <w:r>
              <w:rPr>
                <w:rStyle w:val="11"/>
                <w:rFonts w:hint="eastAsia"/>
              </w:rPr>
              <w:t>中毒症状：表现为头晕、头痛、恶心、呕吐。不慎溅入眼睛、皮肤后，应立即用流动的清水冲洗至少15分钟，就医。如吸入，立即脱离现场转到空气新鲜处，保持呼吸通畅。无特殊解毒剂，若发生中毒，立即催吐，请医生对症用药。</w:t>
            </w:r>
          </w:p>
        </w:tc>
      </w:tr>
      <w:tr w14:paraId="61DC74D8">
        <w:tblPrEx>
          <w:tblCellMar>
            <w:top w:w="0" w:type="dxa"/>
            <w:left w:w="0" w:type="dxa"/>
            <w:bottom w:w="0" w:type="dxa"/>
            <w:right w:w="0" w:type="dxa"/>
          </w:tblCellMar>
        </w:tblPrEx>
        <w:trPr>
          <w:wBefore w:w="0" w:type="auto"/>
          <w:tblCellSpacing w:w="0" w:type="dxa"/>
        </w:trPr>
        <w:tc>
          <w:tcPr>
            <w:tcW w:w="0" w:type="auto"/>
            <w:noWrap w:val="0"/>
            <w:vAlign w:val="center"/>
          </w:tcPr>
          <w:p w14:paraId="24612D63">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本品应贮存在干燥、阴凉、通风、防雨处，远离火源或热源。置于儿童、无关人员及动物接触不到的地方，并加锁保存。勿与食品、饮料、饲料、粮食等同贮同运。</w:t>
            </w:r>
          </w:p>
        </w:tc>
      </w:tr>
      <w:tr w14:paraId="31AD748E">
        <w:tblPrEx>
          <w:tblCellMar>
            <w:top w:w="0" w:type="dxa"/>
            <w:left w:w="0" w:type="dxa"/>
            <w:bottom w:w="0" w:type="dxa"/>
            <w:right w:w="0" w:type="dxa"/>
          </w:tblCellMar>
        </w:tblPrEx>
        <w:trPr>
          <w:wBefore w:w="0" w:type="auto"/>
          <w:tblCellSpacing w:w="0" w:type="dxa"/>
        </w:trPr>
        <w:tc>
          <w:tcPr>
            <w:tcW w:w="0" w:type="auto"/>
            <w:noWrap w:val="0"/>
            <w:vAlign w:val="center"/>
          </w:tcPr>
          <w:p w14:paraId="4B6AE214">
            <w:r>
              <w:rPr>
                <w:rStyle w:val="10"/>
                <w:rFonts w:hint="eastAsia"/>
              </w:rPr>
              <w:t>质量保证期：</w:t>
            </w:r>
            <w:r>
              <w:rPr>
                <w:rStyle w:val="11"/>
                <w:rFonts w:hint="eastAsia"/>
              </w:rPr>
              <w:t>2年</w:t>
            </w:r>
          </w:p>
        </w:tc>
      </w:tr>
      <w:tr w14:paraId="49E26F0B">
        <w:tblPrEx>
          <w:tblCellMar>
            <w:top w:w="0" w:type="dxa"/>
            <w:left w:w="0" w:type="dxa"/>
            <w:bottom w:w="0" w:type="dxa"/>
            <w:right w:w="0" w:type="dxa"/>
          </w:tblCellMar>
        </w:tblPrEx>
        <w:trPr>
          <w:wBefore w:w="0" w:type="auto"/>
          <w:tblCellSpacing w:w="0" w:type="dxa"/>
        </w:trPr>
        <w:tc>
          <w:tcPr>
            <w:tcW w:w="0" w:type="auto"/>
            <w:noWrap w:val="0"/>
            <w:vAlign w:val="center"/>
          </w:tcPr>
          <w:p w14:paraId="7C645C70">
            <w:r>
              <w:rPr>
                <w:rStyle w:val="10"/>
                <w:rFonts w:hint="eastAsia"/>
              </w:rPr>
              <w:t>备注：</w:t>
            </w:r>
          </w:p>
        </w:tc>
      </w:tr>
    </w:tbl>
    <w:p w14:paraId="382B1CB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6F6FACF">
        <w:tblPrEx>
          <w:tblCellMar>
            <w:top w:w="0" w:type="dxa"/>
            <w:left w:w="0" w:type="dxa"/>
            <w:bottom w:w="0" w:type="dxa"/>
            <w:right w:w="0" w:type="dxa"/>
          </w:tblCellMar>
        </w:tblPrEx>
        <w:trPr>
          <w:wBefore w:w="0" w:type="auto"/>
          <w:tblCellSpacing w:w="0" w:type="dxa"/>
        </w:trPr>
        <w:tc>
          <w:tcPr>
            <w:tcW w:w="0" w:type="auto"/>
            <w:noWrap w:val="0"/>
            <w:vAlign w:val="center"/>
          </w:tcPr>
          <w:p w14:paraId="41E9BE09">
            <w:r>
              <w:rPr>
                <w:rStyle w:val="10"/>
                <w:rFonts w:hint="eastAsia"/>
              </w:rPr>
              <w:t>登记证号：</w:t>
            </w:r>
            <w:r>
              <w:rPr>
                <w:rFonts w:hint="eastAsia"/>
              </w:rPr>
              <w:t>PD20181556</w:t>
            </w:r>
          </w:p>
        </w:tc>
      </w:tr>
      <w:tr w14:paraId="28351269">
        <w:tblPrEx>
          <w:tblCellMar>
            <w:top w:w="0" w:type="dxa"/>
            <w:left w:w="0" w:type="dxa"/>
            <w:bottom w:w="0" w:type="dxa"/>
            <w:right w:w="0" w:type="dxa"/>
          </w:tblCellMar>
        </w:tblPrEx>
        <w:trPr>
          <w:wBefore w:w="0" w:type="auto"/>
          <w:tblCellSpacing w:w="0" w:type="dxa"/>
        </w:trPr>
        <w:tc>
          <w:tcPr>
            <w:tcW w:w="0" w:type="auto"/>
            <w:noWrap w:val="0"/>
            <w:vAlign w:val="center"/>
          </w:tcPr>
          <w:p w14:paraId="2068B720">
            <w:r>
              <w:rPr>
                <w:rStyle w:val="10"/>
                <w:rFonts w:hint="eastAsia"/>
              </w:rPr>
              <w:t>登记证持有人：</w:t>
            </w:r>
            <w:r>
              <w:rPr>
                <w:rFonts w:hint="eastAsia"/>
              </w:rPr>
              <w:t>湖南新长山农业发展股份有限公司</w:t>
            </w:r>
          </w:p>
        </w:tc>
      </w:tr>
      <w:tr w14:paraId="73ACC25F">
        <w:tblPrEx>
          <w:tblCellMar>
            <w:top w:w="0" w:type="dxa"/>
            <w:left w:w="0" w:type="dxa"/>
            <w:bottom w:w="0" w:type="dxa"/>
            <w:right w:w="0" w:type="dxa"/>
          </w:tblCellMar>
        </w:tblPrEx>
        <w:trPr>
          <w:wBefore w:w="0" w:type="auto"/>
          <w:tblCellSpacing w:w="0" w:type="dxa"/>
        </w:trPr>
        <w:tc>
          <w:tcPr>
            <w:tcW w:w="0" w:type="auto"/>
            <w:noWrap w:val="0"/>
            <w:vAlign w:val="center"/>
          </w:tcPr>
          <w:p w14:paraId="7950388A">
            <w:r>
              <w:rPr>
                <w:rStyle w:val="10"/>
                <w:rFonts w:hint="eastAsia"/>
              </w:rPr>
              <w:t>农药名称：</w:t>
            </w:r>
            <w:r>
              <w:rPr>
                <w:rFonts w:hint="eastAsia"/>
              </w:rPr>
              <w:t>阿维·螺虫酯</w:t>
            </w:r>
          </w:p>
        </w:tc>
      </w:tr>
      <w:tr w14:paraId="387FC119">
        <w:tblPrEx>
          <w:tblCellMar>
            <w:top w:w="0" w:type="dxa"/>
            <w:left w:w="0" w:type="dxa"/>
            <w:bottom w:w="0" w:type="dxa"/>
            <w:right w:w="0" w:type="dxa"/>
          </w:tblCellMar>
        </w:tblPrEx>
        <w:trPr>
          <w:wBefore w:w="0" w:type="auto"/>
          <w:tblCellSpacing w:w="0" w:type="dxa"/>
        </w:trPr>
        <w:tc>
          <w:tcPr>
            <w:tcW w:w="0" w:type="auto"/>
            <w:noWrap w:val="0"/>
            <w:vAlign w:val="center"/>
          </w:tcPr>
          <w:p w14:paraId="77EEDDCA">
            <w:r>
              <w:rPr>
                <w:rStyle w:val="10"/>
                <w:rFonts w:hint="eastAsia"/>
              </w:rPr>
              <w:t>剂型：</w:t>
            </w:r>
            <w:r>
              <w:rPr>
                <w:rFonts w:hint="eastAsia"/>
              </w:rPr>
              <w:t>悬浮剂</w:t>
            </w:r>
          </w:p>
        </w:tc>
      </w:tr>
      <w:tr w14:paraId="5E35E067">
        <w:tblPrEx>
          <w:tblCellMar>
            <w:top w:w="0" w:type="dxa"/>
            <w:left w:w="0" w:type="dxa"/>
            <w:bottom w:w="0" w:type="dxa"/>
            <w:right w:w="0" w:type="dxa"/>
          </w:tblCellMar>
        </w:tblPrEx>
        <w:trPr>
          <w:wBefore w:w="0" w:type="auto"/>
          <w:tblCellSpacing w:w="0" w:type="dxa"/>
        </w:trPr>
        <w:tc>
          <w:tcPr>
            <w:tcW w:w="0" w:type="auto"/>
            <w:noWrap w:val="0"/>
            <w:vAlign w:val="center"/>
          </w:tcPr>
          <w:p w14:paraId="74AAD0B3">
            <w:r>
              <w:rPr>
                <w:rStyle w:val="10"/>
                <w:rFonts w:hint="eastAsia"/>
              </w:rPr>
              <w:t>毒性及其标识：</w:t>
            </w:r>
            <w:r>
              <w:rPr>
                <w:rFonts w:hint="eastAsia"/>
              </w:rPr>
              <w:t xml:space="preserve"> </w:t>
            </w:r>
            <w:r>
              <w:rPr>
                <w:lang/>
              </w:rPr>
              <w:drawing>
                <wp:inline distT="0" distB="0" distL="114300" distR="114300">
                  <wp:extent cx="476250" cy="323850"/>
                  <wp:effectExtent l="0" t="0" r="0" b="0"/>
                  <wp:docPr id="19" name="图片 1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51826EC1">
        <w:tblPrEx>
          <w:tblCellMar>
            <w:top w:w="0" w:type="dxa"/>
            <w:left w:w="0" w:type="dxa"/>
            <w:bottom w:w="0" w:type="dxa"/>
            <w:right w:w="0" w:type="dxa"/>
          </w:tblCellMar>
        </w:tblPrEx>
        <w:trPr>
          <w:wBefore w:w="0" w:type="auto"/>
          <w:tblCellSpacing w:w="0" w:type="dxa"/>
        </w:trPr>
        <w:tc>
          <w:tcPr>
            <w:tcW w:w="0" w:type="auto"/>
            <w:noWrap w:val="0"/>
            <w:vAlign w:val="center"/>
          </w:tcPr>
          <w:p w14:paraId="467BA65C">
            <w:r>
              <w:rPr>
                <w:rStyle w:val="10"/>
                <w:rFonts w:hint="eastAsia"/>
              </w:rPr>
              <w:t>总有效成分含量：</w:t>
            </w:r>
            <w:r>
              <w:rPr>
                <w:rFonts w:hint="eastAsia"/>
              </w:rPr>
              <w:t>15%</w:t>
            </w:r>
          </w:p>
        </w:tc>
      </w:tr>
      <w:tr w14:paraId="69BB75F4">
        <w:tblPrEx>
          <w:tblCellMar>
            <w:top w:w="0" w:type="dxa"/>
            <w:left w:w="0" w:type="dxa"/>
            <w:bottom w:w="0" w:type="dxa"/>
            <w:right w:w="0" w:type="dxa"/>
          </w:tblCellMar>
        </w:tblPrEx>
        <w:trPr>
          <w:wBefore w:w="0" w:type="auto"/>
          <w:tblCellSpacing w:w="0" w:type="dxa"/>
        </w:trPr>
        <w:tc>
          <w:tcPr>
            <w:tcW w:w="0" w:type="auto"/>
            <w:noWrap w:val="0"/>
            <w:vAlign w:val="center"/>
          </w:tcPr>
          <w:p w14:paraId="2B77BBA3">
            <w:r>
              <w:rPr>
                <w:rFonts w:hint="eastAsia"/>
              </w:rPr>
              <w:t xml:space="preserve">有效成分及其含量： </w:t>
            </w:r>
          </w:p>
          <w:p w14:paraId="755709AB">
            <w:r>
              <w:rPr>
                <w:rFonts w:hint="eastAsia"/>
              </w:rPr>
              <w:t xml:space="preserve">    阿维菌素3%    螺虫乙酯12%    </w:t>
            </w:r>
          </w:p>
        </w:tc>
      </w:tr>
      <w:tr w14:paraId="77D2B049">
        <w:tblPrEx>
          <w:tblCellMar>
            <w:top w:w="0" w:type="dxa"/>
            <w:left w:w="0" w:type="dxa"/>
            <w:bottom w:w="0" w:type="dxa"/>
            <w:right w:w="0" w:type="dxa"/>
          </w:tblCellMar>
        </w:tblPrEx>
        <w:trPr>
          <w:wBefore w:w="0" w:type="auto"/>
          <w:tblCellSpacing w:w="0" w:type="dxa"/>
        </w:trPr>
        <w:tc>
          <w:tcPr>
            <w:tcW w:w="0" w:type="auto"/>
            <w:noWrap w:val="0"/>
            <w:vAlign w:val="center"/>
          </w:tcPr>
          <w:p w14:paraId="0410DD3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2E79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38DCA0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F2ACD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25CB91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7BEF50C">
                  <w:r>
                    <w:rPr>
                      <w:rStyle w:val="11"/>
                      <w:rFonts w:hint="eastAsia"/>
                    </w:rPr>
                    <w:t>施用方式</w:t>
                  </w:r>
                </w:p>
              </w:tc>
            </w:tr>
            <w:tr w14:paraId="5256D0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7CBEE5">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EAACBC">
                  <w:r>
                    <w:rPr>
                      <w:rStyle w:val="11"/>
                      <w:rFonts w:hint="eastAsia"/>
                    </w:rPr>
                    <w:t>介壳虫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77FEE4">
                  <w:r>
                    <w:rPr>
                      <w:rStyle w:val="11"/>
                      <w:rFonts w:hint="eastAsia"/>
                    </w:rPr>
                    <w:t>2000-2500倍液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F28690">
                  <w:r>
                    <w:rPr>
                      <w:rStyle w:val="11"/>
                      <w:rFonts w:hint="eastAsia"/>
                    </w:rPr>
                    <w:t>喷雾</w:t>
                  </w:r>
                </w:p>
              </w:tc>
            </w:tr>
          </w:tbl>
          <w:p w14:paraId="57E3FCD3">
            <w:pPr>
              <w:rPr>
                <w:rFonts w:ascii="Times New Roman" w:hAnsi="Times New Roman" w:cs="Times New Roman"/>
                <w:sz w:val="20"/>
                <w:szCs w:val="20"/>
              </w:rPr>
            </w:pPr>
          </w:p>
        </w:tc>
      </w:tr>
      <w:tr w14:paraId="2296B75B">
        <w:tblPrEx>
          <w:tblCellMar>
            <w:top w:w="0" w:type="dxa"/>
            <w:left w:w="0" w:type="dxa"/>
            <w:bottom w:w="0" w:type="dxa"/>
            <w:right w:w="0" w:type="dxa"/>
          </w:tblCellMar>
        </w:tblPrEx>
        <w:trPr>
          <w:wBefore w:w="0" w:type="auto"/>
          <w:tblCellSpacing w:w="0" w:type="dxa"/>
        </w:trPr>
        <w:tc>
          <w:tcPr>
            <w:tcW w:w="0" w:type="auto"/>
            <w:noWrap w:val="0"/>
            <w:vAlign w:val="center"/>
          </w:tcPr>
          <w:p w14:paraId="7F8AEF22">
            <w:r>
              <w:rPr>
                <w:rStyle w:val="10"/>
                <w:rFonts w:hint="eastAsia"/>
              </w:rPr>
              <w:t>使用技术要求:</w:t>
            </w:r>
            <w:r>
              <w:rPr>
                <w:rFonts w:hint="eastAsia"/>
              </w:rPr>
              <w:br w:type="textWrapping"/>
            </w:r>
            <w:r>
              <w:rPr>
                <w:rStyle w:val="11"/>
                <w:rFonts w:hint="eastAsia"/>
              </w:rPr>
              <w:t>1.在柑橘树红蜘蛛、介壳虫始发初盛期施药，喷雾均匀周到。2.阿维菌素见光易分解，请在早晚使用。3.大风天或预计1小时内降雨，请勿施药。4.本品在柑橘上安全间隔期为30天，每季作物最多使用次数为2次。</w:t>
            </w:r>
          </w:p>
        </w:tc>
      </w:tr>
      <w:tr w14:paraId="24B8BBD9">
        <w:tblPrEx>
          <w:tblCellMar>
            <w:top w:w="0" w:type="dxa"/>
            <w:left w:w="0" w:type="dxa"/>
            <w:bottom w:w="0" w:type="dxa"/>
            <w:right w:w="0" w:type="dxa"/>
          </w:tblCellMar>
        </w:tblPrEx>
        <w:trPr>
          <w:wBefore w:w="0" w:type="auto"/>
          <w:tblCellSpacing w:w="0" w:type="dxa"/>
        </w:trPr>
        <w:tc>
          <w:tcPr>
            <w:tcW w:w="0" w:type="auto"/>
            <w:noWrap w:val="0"/>
            <w:vAlign w:val="center"/>
          </w:tcPr>
          <w:p w14:paraId="63D24970">
            <w:r>
              <w:rPr>
                <w:rStyle w:val="10"/>
                <w:rFonts w:hint="eastAsia"/>
              </w:rPr>
              <w:t>产品性能:</w:t>
            </w:r>
            <w:r>
              <w:rPr>
                <w:rFonts w:hint="eastAsia"/>
              </w:rPr>
              <w:br w:type="textWrapping"/>
            </w:r>
            <w:r>
              <w:rPr>
                <w:rStyle w:val="11"/>
                <w:rFonts w:hint="eastAsia"/>
              </w:rPr>
              <w:t>本品是阿维菌素和螺虫乙酯复配制剂。阿维菌素对螨类和昆虫具有胃毒和触杀作用，不能杀卵。它能干扰神经生理活动，刺激释放γ-氨基丁酸，对节肢动物的神经传导有抑制作用。螺虫乙酯是季酮酸类化合物，被植物吸收后可在植株体内上下传导，其作用机制为干扰害虫脂肪合成、阻断能量代谢。二者复配具有增效作用。</w:t>
            </w:r>
          </w:p>
        </w:tc>
      </w:tr>
      <w:tr w14:paraId="198BDD3D">
        <w:tblPrEx>
          <w:tblCellMar>
            <w:top w:w="0" w:type="dxa"/>
            <w:left w:w="0" w:type="dxa"/>
            <w:bottom w:w="0" w:type="dxa"/>
            <w:right w:w="0" w:type="dxa"/>
          </w:tblCellMar>
        </w:tblPrEx>
        <w:trPr>
          <w:wBefore w:w="0" w:type="auto"/>
          <w:tblCellSpacing w:w="0" w:type="dxa"/>
        </w:trPr>
        <w:tc>
          <w:tcPr>
            <w:tcW w:w="0" w:type="auto"/>
            <w:noWrap w:val="0"/>
            <w:vAlign w:val="center"/>
          </w:tcPr>
          <w:p w14:paraId="0949603E">
            <w:r>
              <w:rPr>
                <w:rStyle w:val="10"/>
                <w:rFonts w:hint="eastAsia"/>
              </w:rPr>
              <w:t>注意事项：</w:t>
            </w:r>
            <w:r>
              <w:rPr>
                <w:rFonts w:hint="eastAsia"/>
              </w:rPr>
              <w:br w:type="textWrapping"/>
            </w:r>
            <w:r>
              <w:rPr>
                <w:rStyle w:val="11"/>
                <w:rFonts w:hint="eastAsia"/>
              </w:rPr>
              <w:t>1.本品对蜜蜂和家蚕有毒，(周围)开花植物花期、桑园、蚕室周围禁用。施药期间应密切关注对附近蜂群的影响，赤眼蜂等天敌放飞区域禁用。2.使用本品时，穿戴防护衣服及手套，避免与皮肤接触，施药后应立即用肥皂清洗。3.本品对鱼类、水生生物等有毒，切勿直接施用在水道或湿地上，在丢弃器具清洗用水或残液时，应避免流入湖泊、河流和鱼塘，切勿污染水源。水产养殖区、河塘等水体附近禁用，禁止在河塘等水域清洗施药器具。4.建议与其他作物机制杀虫剂交替使用。5.用过的容器应妥善处理，不可做他用，也不可随意丢弃。6.孕妇及哺乳期妇女禁止接触本品。</w:t>
            </w:r>
          </w:p>
        </w:tc>
      </w:tr>
      <w:tr w14:paraId="73527B15">
        <w:tblPrEx>
          <w:tblCellMar>
            <w:top w:w="0" w:type="dxa"/>
            <w:left w:w="0" w:type="dxa"/>
            <w:bottom w:w="0" w:type="dxa"/>
            <w:right w:w="0" w:type="dxa"/>
          </w:tblCellMar>
        </w:tblPrEx>
        <w:trPr>
          <w:wBefore w:w="0" w:type="auto"/>
          <w:tblCellSpacing w:w="0" w:type="dxa"/>
        </w:trPr>
        <w:tc>
          <w:tcPr>
            <w:tcW w:w="0" w:type="auto"/>
            <w:noWrap w:val="0"/>
            <w:vAlign w:val="center"/>
          </w:tcPr>
          <w:p w14:paraId="48AF1597">
            <w:r>
              <w:rPr>
                <w:rStyle w:val="10"/>
                <w:rFonts w:hint="eastAsia"/>
              </w:rPr>
              <w:t>中毒急救措施：</w:t>
            </w:r>
            <w:r>
              <w:rPr>
                <w:rFonts w:hint="eastAsia"/>
              </w:rPr>
              <w:br w:type="textWrapping"/>
            </w:r>
            <w:r>
              <w:rPr>
                <w:rStyle w:val="11"/>
                <w:rFonts w:hint="eastAsia"/>
              </w:rPr>
              <w:t>使用本品时，如溅至眼睛或皮肤，应用大量清水冲洗15分钟。不慎吸入，请 立即离开施药现场，转移到空气清新处。如误服，请立即停止服用，携此标签立即就医。对症治疗。</w:t>
            </w:r>
          </w:p>
        </w:tc>
      </w:tr>
      <w:tr w14:paraId="16B02173">
        <w:tblPrEx>
          <w:tblCellMar>
            <w:top w:w="0" w:type="dxa"/>
            <w:left w:w="0" w:type="dxa"/>
            <w:bottom w:w="0" w:type="dxa"/>
            <w:right w:w="0" w:type="dxa"/>
          </w:tblCellMar>
        </w:tblPrEx>
        <w:trPr>
          <w:wBefore w:w="0" w:type="auto"/>
          <w:tblCellSpacing w:w="0" w:type="dxa"/>
        </w:trPr>
        <w:tc>
          <w:tcPr>
            <w:tcW w:w="0" w:type="auto"/>
            <w:noWrap w:val="0"/>
            <w:vAlign w:val="center"/>
          </w:tcPr>
          <w:p w14:paraId="7F592400">
            <w:r>
              <w:rPr>
                <w:rStyle w:val="10"/>
                <w:rFonts w:hint="eastAsia"/>
              </w:rPr>
              <w:t>储存和运输方法：</w:t>
            </w:r>
            <w:r>
              <w:rPr>
                <w:rFonts w:hint="eastAsia"/>
              </w:rPr>
              <w:br w:type="textWrapping"/>
            </w:r>
            <w:r>
              <w:rPr>
                <w:rStyle w:val="11"/>
                <w:rFonts w:hint="eastAsia"/>
              </w:rPr>
              <w:t>1.本品宜存放在通风阴凉干燥防雨处及儿童、无关人员触及不到的地方，并加锁保存，远离火源和热源。2、勿与食品、饮料、饲料、粮食等同贮同运。</w:t>
            </w:r>
          </w:p>
        </w:tc>
      </w:tr>
      <w:tr w14:paraId="4E6EE5AF">
        <w:tblPrEx>
          <w:tblCellMar>
            <w:top w:w="0" w:type="dxa"/>
            <w:left w:w="0" w:type="dxa"/>
            <w:bottom w:w="0" w:type="dxa"/>
            <w:right w:w="0" w:type="dxa"/>
          </w:tblCellMar>
        </w:tblPrEx>
        <w:trPr>
          <w:wBefore w:w="0" w:type="auto"/>
          <w:tblCellSpacing w:w="0" w:type="dxa"/>
        </w:trPr>
        <w:tc>
          <w:tcPr>
            <w:tcW w:w="0" w:type="auto"/>
            <w:noWrap w:val="0"/>
            <w:vAlign w:val="center"/>
          </w:tcPr>
          <w:p w14:paraId="7B4101AE">
            <w:r>
              <w:rPr>
                <w:rStyle w:val="10"/>
                <w:rFonts w:hint="eastAsia"/>
              </w:rPr>
              <w:t>质量保证期：</w:t>
            </w:r>
            <w:r>
              <w:rPr>
                <w:rStyle w:val="11"/>
                <w:rFonts w:hint="eastAsia"/>
              </w:rPr>
              <w:t>2年</w:t>
            </w:r>
          </w:p>
        </w:tc>
      </w:tr>
      <w:tr w14:paraId="052D581B">
        <w:tblPrEx>
          <w:tblCellMar>
            <w:top w:w="0" w:type="dxa"/>
            <w:left w:w="0" w:type="dxa"/>
            <w:bottom w:w="0" w:type="dxa"/>
            <w:right w:w="0" w:type="dxa"/>
          </w:tblCellMar>
        </w:tblPrEx>
        <w:trPr>
          <w:wBefore w:w="0" w:type="auto"/>
          <w:tblCellSpacing w:w="0" w:type="dxa"/>
        </w:trPr>
        <w:tc>
          <w:tcPr>
            <w:tcW w:w="0" w:type="auto"/>
            <w:noWrap w:val="0"/>
            <w:vAlign w:val="center"/>
          </w:tcPr>
          <w:p w14:paraId="366D931C">
            <w:r>
              <w:rPr>
                <w:rStyle w:val="10"/>
                <w:rFonts w:hint="eastAsia"/>
              </w:rPr>
              <w:t>备注：</w:t>
            </w:r>
          </w:p>
        </w:tc>
      </w:tr>
    </w:tbl>
    <w:p w14:paraId="48D770E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3098336">
        <w:tblPrEx>
          <w:tblCellMar>
            <w:top w:w="0" w:type="dxa"/>
            <w:left w:w="0" w:type="dxa"/>
            <w:bottom w:w="0" w:type="dxa"/>
            <w:right w:w="0" w:type="dxa"/>
          </w:tblCellMar>
        </w:tblPrEx>
        <w:trPr>
          <w:wBefore w:w="0" w:type="auto"/>
          <w:tblCellSpacing w:w="0" w:type="dxa"/>
        </w:trPr>
        <w:tc>
          <w:tcPr>
            <w:tcW w:w="0" w:type="auto"/>
            <w:noWrap w:val="0"/>
            <w:vAlign w:val="center"/>
          </w:tcPr>
          <w:p w14:paraId="0C8D0259">
            <w:r>
              <w:rPr>
                <w:rStyle w:val="10"/>
                <w:rFonts w:hint="eastAsia"/>
              </w:rPr>
              <w:t>登记证号：</w:t>
            </w:r>
            <w:r>
              <w:rPr>
                <w:rFonts w:hint="eastAsia"/>
              </w:rPr>
              <w:t>PD20190007</w:t>
            </w:r>
          </w:p>
        </w:tc>
      </w:tr>
      <w:tr w14:paraId="1CC3DE0C">
        <w:tblPrEx>
          <w:tblCellMar>
            <w:top w:w="0" w:type="dxa"/>
            <w:left w:w="0" w:type="dxa"/>
            <w:bottom w:w="0" w:type="dxa"/>
            <w:right w:w="0" w:type="dxa"/>
          </w:tblCellMar>
        </w:tblPrEx>
        <w:trPr>
          <w:wBefore w:w="0" w:type="auto"/>
          <w:tblCellSpacing w:w="0" w:type="dxa"/>
        </w:trPr>
        <w:tc>
          <w:tcPr>
            <w:tcW w:w="0" w:type="auto"/>
            <w:noWrap w:val="0"/>
            <w:vAlign w:val="center"/>
          </w:tcPr>
          <w:p w14:paraId="0B994A23">
            <w:r>
              <w:rPr>
                <w:rStyle w:val="10"/>
                <w:rFonts w:hint="eastAsia"/>
              </w:rPr>
              <w:t>登记证持有人：</w:t>
            </w:r>
            <w:r>
              <w:rPr>
                <w:rFonts w:hint="eastAsia"/>
              </w:rPr>
              <w:t>安道麦马克西姆有限公司</w:t>
            </w:r>
          </w:p>
        </w:tc>
      </w:tr>
      <w:tr w14:paraId="6DE95915">
        <w:tblPrEx>
          <w:tblCellMar>
            <w:top w:w="0" w:type="dxa"/>
            <w:left w:w="0" w:type="dxa"/>
            <w:bottom w:w="0" w:type="dxa"/>
            <w:right w:w="0" w:type="dxa"/>
          </w:tblCellMar>
        </w:tblPrEx>
        <w:trPr>
          <w:wBefore w:w="0" w:type="auto"/>
          <w:tblCellSpacing w:w="0" w:type="dxa"/>
        </w:trPr>
        <w:tc>
          <w:tcPr>
            <w:tcW w:w="0" w:type="auto"/>
            <w:noWrap w:val="0"/>
            <w:vAlign w:val="center"/>
          </w:tcPr>
          <w:p w14:paraId="7483407D">
            <w:r>
              <w:rPr>
                <w:rStyle w:val="10"/>
                <w:rFonts w:hint="eastAsia"/>
              </w:rPr>
              <w:t>农药名称：</w:t>
            </w:r>
            <w:r>
              <w:rPr>
                <w:rFonts w:hint="eastAsia"/>
              </w:rPr>
              <w:t>氟烯线砜</w:t>
            </w:r>
          </w:p>
        </w:tc>
      </w:tr>
      <w:tr w14:paraId="0754A9CD">
        <w:tblPrEx>
          <w:tblCellMar>
            <w:top w:w="0" w:type="dxa"/>
            <w:left w:w="0" w:type="dxa"/>
            <w:bottom w:w="0" w:type="dxa"/>
            <w:right w:w="0" w:type="dxa"/>
          </w:tblCellMar>
        </w:tblPrEx>
        <w:trPr>
          <w:wBefore w:w="0" w:type="auto"/>
          <w:tblCellSpacing w:w="0" w:type="dxa"/>
        </w:trPr>
        <w:tc>
          <w:tcPr>
            <w:tcW w:w="0" w:type="auto"/>
            <w:noWrap w:val="0"/>
            <w:vAlign w:val="center"/>
          </w:tcPr>
          <w:p w14:paraId="252226F8">
            <w:r>
              <w:rPr>
                <w:rStyle w:val="10"/>
                <w:rFonts w:hint="eastAsia"/>
              </w:rPr>
              <w:t>剂型：</w:t>
            </w:r>
            <w:r>
              <w:rPr>
                <w:rFonts w:hint="eastAsia"/>
              </w:rPr>
              <w:t>乳油</w:t>
            </w:r>
          </w:p>
        </w:tc>
      </w:tr>
      <w:tr w14:paraId="6D56A710">
        <w:tblPrEx>
          <w:tblCellMar>
            <w:top w:w="0" w:type="dxa"/>
            <w:left w:w="0" w:type="dxa"/>
            <w:bottom w:w="0" w:type="dxa"/>
            <w:right w:w="0" w:type="dxa"/>
          </w:tblCellMar>
        </w:tblPrEx>
        <w:trPr>
          <w:wBefore w:w="0" w:type="auto"/>
          <w:tblCellSpacing w:w="0" w:type="dxa"/>
        </w:trPr>
        <w:tc>
          <w:tcPr>
            <w:tcW w:w="0" w:type="auto"/>
            <w:noWrap w:val="0"/>
            <w:vAlign w:val="center"/>
          </w:tcPr>
          <w:p w14:paraId="3793994C">
            <w:r>
              <w:rPr>
                <w:rStyle w:val="10"/>
                <w:rFonts w:hint="eastAsia"/>
              </w:rPr>
              <w:t>毒性及其标识：</w:t>
            </w:r>
            <w:r>
              <w:rPr>
                <w:rFonts w:hint="eastAsia"/>
              </w:rPr>
              <w:t xml:space="preserve"> </w:t>
            </w:r>
            <w:r>
              <w:rPr>
                <w:lang/>
              </w:rPr>
              <w:drawing>
                <wp:inline distT="0" distB="0" distL="114300" distR="114300">
                  <wp:extent cx="476250" cy="323850"/>
                  <wp:effectExtent l="0" t="0" r="0" b="0"/>
                  <wp:docPr id="20" name="图片 2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389ABB1">
        <w:tblPrEx>
          <w:tblCellMar>
            <w:top w:w="0" w:type="dxa"/>
            <w:left w:w="0" w:type="dxa"/>
            <w:bottom w:w="0" w:type="dxa"/>
            <w:right w:w="0" w:type="dxa"/>
          </w:tblCellMar>
        </w:tblPrEx>
        <w:trPr>
          <w:wBefore w:w="0" w:type="auto"/>
          <w:tblCellSpacing w:w="0" w:type="dxa"/>
        </w:trPr>
        <w:tc>
          <w:tcPr>
            <w:tcW w:w="0" w:type="auto"/>
            <w:noWrap w:val="0"/>
            <w:vAlign w:val="center"/>
          </w:tcPr>
          <w:p w14:paraId="29C5A14E">
            <w:r>
              <w:rPr>
                <w:rStyle w:val="10"/>
                <w:rFonts w:hint="eastAsia"/>
              </w:rPr>
              <w:t>总有效成分含量：</w:t>
            </w:r>
            <w:r>
              <w:rPr>
                <w:rFonts w:hint="eastAsia"/>
              </w:rPr>
              <w:t>40%</w:t>
            </w:r>
          </w:p>
        </w:tc>
      </w:tr>
      <w:tr w14:paraId="18C94B6E">
        <w:tblPrEx>
          <w:tblCellMar>
            <w:top w:w="0" w:type="dxa"/>
            <w:left w:w="0" w:type="dxa"/>
            <w:bottom w:w="0" w:type="dxa"/>
            <w:right w:w="0" w:type="dxa"/>
          </w:tblCellMar>
        </w:tblPrEx>
        <w:trPr>
          <w:wBefore w:w="0" w:type="auto"/>
          <w:tblCellSpacing w:w="0" w:type="dxa"/>
        </w:trPr>
        <w:tc>
          <w:tcPr>
            <w:tcW w:w="0" w:type="auto"/>
            <w:noWrap w:val="0"/>
            <w:vAlign w:val="center"/>
          </w:tcPr>
          <w:p w14:paraId="7F637FA8">
            <w:r>
              <w:rPr>
                <w:rFonts w:hint="eastAsia"/>
              </w:rPr>
              <w:t xml:space="preserve">有效成分及其含量： </w:t>
            </w:r>
          </w:p>
          <w:p w14:paraId="5D913D41">
            <w:r>
              <w:rPr>
                <w:rFonts w:hint="eastAsia"/>
              </w:rPr>
              <w:t xml:space="preserve">    氟烯线砜40%    </w:t>
            </w:r>
          </w:p>
        </w:tc>
      </w:tr>
      <w:tr w14:paraId="0E7D8D78">
        <w:tblPrEx>
          <w:tblCellMar>
            <w:top w:w="0" w:type="dxa"/>
            <w:left w:w="0" w:type="dxa"/>
            <w:bottom w:w="0" w:type="dxa"/>
            <w:right w:w="0" w:type="dxa"/>
          </w:tblCellMar>
        </w:tblPrEx>
        <w:trPr>
          <w:wBefore w:w="0" w:type="auto"/>
          <w:tblCellSpacing w:w="0" w:type="dxa"/>
        </w:trPr>
        <w:tc>
          <w:tcPr>
            <w:tcW w:w="0" w:type="auto"/>
            <w:noWrap w:val="0"/>
            <w:vAlign w:val="center"/>
          </w:tcPr>
          <w:p w14:paraId="48E3CA1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90A0A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2CD583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67513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BED5B8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36338AC">
                  <w:r>
                    <w:rPr>
                      <w:rStyle w:val="11"/>
                      <w:rFonts w:hint="eastAsia"/>
                    </w:rPr>
                    <w:t>施用方式</w:t>
                  </w:r>
                </w:p>
              </w:tc>
            </w:tr>
            <w:tr w14:paraId="726213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2681658">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24DE92">
                  <w:r>
                    <w:rPr>
                      <w:rStyle w:val="11"/>
                      <w:rFonts w:hint="eastAsia"/>
                    </w:rPr>
                    <w:t>根结线虫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68C879">
                  <w:r>
                    <w:rPr>
                      <w:rStyle w:val="11"/>
                      <w:rFonts w:hint="eastAsia"/>
                    </w:rPr>
                    <w:t>400-600毫升/亩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417B65">
                  <w:r>
                    <w:rPr>
                      <w:rStyle w:val="11"/>
                      <w:rFonts w:hint="eastAsia"/>
                    </w:rPr>
                    <w:t>土壤喷雾</w:t>
                  </w:r>
                </w:p>
              </w:tc>
            </w:tr>
          </w:tbl>
          <w:p w14:paraId="45334CFF">
            <w:pPr>
              <w:rPr>
                <w:rFonts w:ascii="Times New Roman" w:hAnsi="Times New Roman" w:cs="Times New Roman"/>
                <w:sz w:val="20"/>
                <w:szCs w:val="20"/>
              </w:rPr>
            </w:pPr>
          </w:p>
        </w:tc>
      </w:tr>
      <w:tr w14:paraId="11DD50E8">
        <w:tblPrEx>
          <w:tblCellMar>
            <w:top w:w="0" w:type="dxa"/>
            <w:left w:w="0" w:type="dxa"/>
            <w:bottom w:w="0" w:type="dxa"/>
            <w:right w:w="0" w:type="dxa"/>
          </w:tblCellMar>
        </w:tblPrEx>
        <w:trPr>
          <w:wBefore w:w="0" w:type="auto"/>
          <w:tblCellSpacing w:w="0" w:type="dxa"/>
        </w:trPr>
        <w:tc>
          <w:tcPr>
            <w:tcW w:w="0" w:type="auto"/>
            <w:noWrap w:val="0"/>
            <w:vAlign w:val="center"/>
          </w:tcPr>
          <w:p w14:paraId="4BB723C5">
            <w:r>
              <w:rPr>
                <w:rStyle w:val="10"/>
                <w:rFonts w:hint="eastAsia"/>
              </w:rPr>
              <w:t>使用技术要求:</w:t>
            </w:r>
            <w:r>
              <w:rPr>
                <w:rFonts w:hint="eastAsia"/>
              </w:rPr>
              <w:br w:type="textWrapping"/>
            </w:r>
            <w:r>
              <w:rPr>
                <w:rStyle w:val="11"/>
                <w:rFonts w:hint="eastAsia"/>
              </w:rPr>
              <w:t>防治黄瓜、番茄根结线虫，于种植前至少7天进行土壤喷雾。首先将药液稀释并均匀喷洒在土壤表面，随即进行旋耕，深度15-20厘米，使土壤与药剂充分混合均匀。2-3天后浇水，浇水量不得少于30千升/公顷。每季最多施药1次，安全间隔期为收获期。</w:t>
            </w:r>
          </w:p>
        </w:tc>
      </w:tr>
      <w:tr w14:paraId="498A9AB5">
        <w:tblPrEx>
          <w:tblCellMar>
            <w:top w:w="0" w:type="dxa"/>
            <w:left w:w="0" w:type="dxa"/>
            <w:bottom w:w="0" w:type="dxa"/>
            <w:right w:w="0" w:type="dxa"/>
          </w:tblCellMar>
        </w:tblPrEx>
        <w:trPr>
          <w:wBefore w:w="0" w:type="auto"/>
          <w:tblCellSpacing w:w="0" w:type="dxa"/>
        </w:trPr>
        <w:tc>
          <w:tcPr>
            <w:tcW w:w="0" w:type="auto"/>
            <w:noWrap w:val="0"/>
            <w:vAlign w:val="center"/>
          </w:tcPr>
          <w:p w14:paraId="005CE827">
            <w:r>
              <w:rPr>
                <w:rStyle w:val="10"/>
                <w:rFonts w:hint="eastAsia"/>
              </w:rPr>
              <w:t>产品性能:</w:t>
            </w:r>
            <w:r>
              <w:rPr>
                <w:rFonts w:hint="eastAsia"/>
              </w:rPr>
              <w:br w:type="textWrapping"/>
            </w:r>
            <w:r>
              <w:rPr>
                <w:rStyle w:val="11"/>
                <w:rFonts w:hint="eastAsia"/>
              </w:rPr>
              <w:t>氟烯线砜属于新型杂环氟代砜类低毒杀线虫剂，是植物寄生线虫获取能量储备过程的代谢抑制剂，通过与线虫接触阻断线虫获取能量通道从而杀死线虫。</w:t>
            </w:r>
          </w:p>
        </w:tc>
      </w:tr>
      <w:tr w14:paraId="55C45292">
        <w:tblPrEx>
          <w:tblCellMar>
            <w:top w:w="0" w:type="dxa"/>
            <w:left w:w="0" w:type="dxa"/>
            <w:bottom w:w="0" w:type="dxa"/>
            <w:right w:w="0" w:type="dxa"/>
          </w:tblCellMar>
        </w:tblPrEx>
        <w:trPr>
          <w:wBefore w:w="0" w:type="auto"/>
          <w:tblCellSpacing w:w="0" w:type="dxa"/>
        </w:trPr>
        <w:tc>
          <w:tcPr>
            <w:tcW w:w="0" w:type="auto"/>
            <w:noWrap w:val="0"/>
            <w:vAlign w:val="center"/>
          </w:tcPr>
          <w:p w14:paraId="25805197">
            <w:r>
              <w:rPr>
                <w:rStyle w:val="10"/>
                <w:rFonts w:hint="eastAsia"/>
              </w:rPr>
              <w:t>注意事项：</w:t>
            </w:r>
            <w:r>
              <w:rPr>
                <w:rFonts w:hint="eastAsia"/>
              </w:rPr>
              <w:br w:type="textWrapping"/>
            </w:r>
            <w:r>
              <w:rPr>
                <w:rStyle w:val="11"/>
                <w:rFonts w:hint="eastAsia"/>
              </w:rPr>
              <w:t>1. 使用时应戴防护镜、口罩、手套和靴子，穿防护服。2. 在使用本品过程中禁止饮食、吸烟、饮水等。3. 施药后用肥皂和足量清水彻底清洗手、面部以及其它可能接触药液的身体部位，被污染的衣物及个人防护用具再次使用前需清洗干净。4. 本品对水生生物及寄生蜂有毒，药品及废液不得污染各类水域，水产养殖区、河塘等水体附近禁用。禁止在河塘等水体清洗施药器械。5. 空包装应清洗后妥善处理。6. 孕妇及哺乳期妇女禁止接触本品。7. 桑园及蚕室附近禁用，赤眼蜂等天敌放飞区域禁用。鸟类保护区附近禁用。</w:t>
            </w:r>
          </w:p>
        </w:tc>
      </w:tr>
      <w:tr w14:paraId="7C5D2370">
        <w:tblPrEx>
          <w:tblCellMar>
            <w:top w:w="0" w:type="dxa"/>
            <w:left w:w="0" w:type="dxa"/>
            <w:bottom w:w="0" w:type="dxa"/>
            <w:right w:w="0" w:type="dxa"/>
          </w:tblCellMar>
        </w:tblPrEx>
        <w:trPr>
          <w:wBefore w:w="0" w:type="auto"/>
          <w:tblCellSpacing w:w="0" w:type="dxa"/>
        </w:trPr>
        <w:tc>
          <w:tcPr>
            <w:tcW w:w="0" w:type="auto"/>
            <w:noWrap w:val="0"/>
            <w:vAlign w:val="center"/>
          </w:tcPr>
          <w:p w14:paraId="634E8445">
            <w:r>
              <w:rPr>
                <w:rStyle w:val="10"/>
                <w:rFonts w:hint="eastAsia"/>
              </w:rPr>
              <w:t>中毒急救措施：</w:t>
            </w:r>
            <w:r>
              <w:rPr>
                <w:rFonts w:hint="eastAsia"/>
              </w:rPr>
              <w:br w:type="textWrapping"/>
            </w:r>
            <w:r>
              <w:rPr>
                <w:rStyle w:val="11"/>
                <w:rFonts w:hint="eastAsia"/>
              </w:rPr>
              <w:t>1.如误吸入：将患者转移到空气新鲜处，如果出现呼吸异常或停止，请立即实施人工呼吸并就医。2.眼睛接触：立即用大量清水冲洗，摘掉隐形眼镜，继续冲洗至少15分钟，冲洗时保持眼睑睁开。如果症状持续请立即就医。3.皮肤接触：立即脱掉污染的衣物、鞋子，并用肥皂和大量清水冲洗被污染的皮肤。如有任何不适，请及时就医。4.误服：禁止引吐，用大量清水漱口，大量饮水，如果症状持续，请及时就医。5.本品无特殊解毒剂，请对症治疗。</w:t>
            </w:r>
          </w:p>
        </w:tc>
      </w:tr>
      <w:tr w14:paraId="70F54B92">
        <w:tblPrEx>
          <w:tblCellMar>
            <w:top w:w="0" w:type="dxa"/>
            <w:left w:w="0" w:type="dxa"/>
            <w:bottom w:w="0" w:type="dxa"/>
            <w:right w:w="0" w:type="dxa"/>
          </w:tblCellMar>
        </w:tblPrEx>
        <w:trPr>
          <w:wBefore w:w="0" w:type="auto"/>
          <w:tblCellSpacing w:w="0" w:type="dxa"/>
        </w:trPr>
        <w:tc>
          <w:tcPr>
            <w:tcW w:w="0" w:type="auto"/>
            <w:noWrap w:val="0"/>
            <w:vAlign w:val="center"/>
          </w:tcPr>
          <w:p w14:paraId="3FAED490">
            <w:r>
              <w:rPr>
                <w:rStyle w:val="10"/>
                <w:rFonts w:hint="eastAsia"/>
              </w:rPr>
              <w:t>储存和运输方法：</w:t>
            </w:r>
            <w:r>
              <w:rPr>
                <w:rFonts w:hint="eastAsia"/>
              </w:rPr>
              <w:br w:type="textWrapping"/>
            </w:r>
            <w:r>
              <w:rPr>
                <w:rStyle w:val="11"/>
                <w:rFonts w:hint="eastAsia"/>
              </w:rPr>
              <w:t>1.本品应以原包装贮存于阴凉、干燥和通风处，避免阳光直射，避免高温，远离火源或热源。2.不能与食品、饮料、粮食、饲料等混合储存。3.置于儿童、无关人员及动物接触不到的地方，加锁保管。4.运输时应注意防水防潮，避免雨淋；搬运时轻搬轻放，不可倒置。5.储存温度4-34℃。</w:t>
            </w:r>
          </w:p>
        </w:tc>
      </w:tr>
      <w:tr w14:paraId="79DB1A76">
        <w:tblPrEx>
          <w:tblCellMar>
            <w:top w:w="0" w:type="dxa"/>
            <w:left w:w="0" w:type="dxa"/>
            <w:bottom w:w="0" w:type="dxa"/>
            <w:right w:w="0" w:type="dxa"/>
          </w:tblCellMar>
        </w:tblPrEx>
        <w:trPr>
          <w:wBefore w:w="0" w:type="auto"/>
          <w:tblCellSpacing w:w="0" w:type="dxa"/>
        </w:trPr>
        <w:tc>
          <w:tcPr>
            <w:tcW w:w="0" w:type="auto"/>
            <w:noWrap w:val="0"/>
            <w:vAlign w:val="center"/>
          </w:tcPr>
          <w:p w14:paraId="33449AF2">
            <w:r>
              <w:rPr>
                <w:rStyle w:val="10"/>
                <w:rFonts w:hint="eastAsia"/>
              </w:rPr>
              <w:t>质量保证期：</w:t>
            </w:r>
            <w:r>
              <w:rPr>
                <w:rStyle w:val="11"/>
                <w:rFonts w:hint="eastAsia"/>
              </w:rPr>
              <w:t>2年</w:t>
            </w:r>
          </w:p>
        </w:tc>
      </w:tr>
      <w:tr w14:paraId="3D4B390F">
        <w:tblPrEx>
          <w:tblCellMar>
            <w:top w:w="0" w:type="dxa"/>
            <w:left w:w="0" w:type="dxa"/>
            <w:bottom w:w="0" w:type="dxa"/>
            <w:right w:w="0" w:type="dxa"/>
          </w:tblCellMar>
        </w:tblPrEx>
        <w:trPr>
          <w:wBefore w:w="0" w:type="auto"/>
          <w:tblCellSpacing w:w="0" w:type="dxa"/>
        </w:trPr>
        <w:tc>
          <w:tcPr>
            <w:tcW w:w="0" w:type="auto"/>
            <w:noWrap w:val="0"/>
            <w:vAlign w:val="center"/>
          </w:tcPr>
          <w:p w14:paraId="4E061C20">
            <w:r>
              <w:rPr>
                <w:rStyle w:val="10"/>
                <w:rFonts w:hint="eastAsia"/>
              </w:rPr>
              <w:t>备注：</w:t>
            </w:r>
          </w:p>
        </w:tc>
      </w:tr>
    </w:tbl>
    <w:p w14:paraId="1229233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227164A">
        <w:tblPrEx>
          <w:tblCellMar>
            <w:top w:w="0" w:type="dxa"/>
            <w:left w:w="0" w:type="dxa"/>
            <w:bottom w:w="0" w:type="dxa"/>
            <w:right w:w="0" w:type="dxa"/>
          </w:tblCellMar>
        </w:tblPrEx>
        <w:trPr>
          <w:wBefore w:w="0" w:type="auto"/>
          <w:tblCellSpacing w:w="0" w:type="dxa"/>
        </w:trPr>
        <w:tc>
          <w:tcPr>
            <w:tcW w:w="0" w:type="auto"/>
            <w:noWrap w:val="0"/>
            <w:vAlign w:val="center"/>
          </w:tcPr>
          <w:p w14:paraId="093D2ED9">
            <w:r>
              <w:rPr>
                <w:rStyle w:val="10"/>
                <w:rFonts w:hint="eastAsia"/>
              </w:rPr>
              <w:t>登记证号：</w:t>
            </w:r>
            <w:r>
              <w:rPr>
                <w:rFonts w:hint="eastAsia"/>
              </w:rPr>
              <w:t>PD20210505</w:t>
            </w:r>
          </w:p>
        </w:tc>
      </w:tr>
      <w:tr w14:paraId="275223DE">
        <w:tblPrEx>
          <w:tblCellMar>
            <w:top w:w="0" w:type="dxa"/>
            <w:left w:w="0" w:type="dxa"/>
            <w:bottom w:w="0" w:type="dxa"/>
            <w:right w:w="0" w:type="dxa"/>
          </w:tblCellMar>
        </w:tblPrEx>
        <w:trPr>
          <w:wBefore w:w="0" w:type="auto"/>
          <w:tblCellSpacing w:w="0" w:type="dxa"/>
        </w:trPr>
        <w:tc>
          <w:tcPr>
            <w:tcW w:w="0" w:type="auto"/>
            <w:noWrap w:val="0"/>
            <w:vAlign w:val="center"/>
          </w:tcPr>
          <w:p w14:paraId="15A23A4C">
            <w:r>
              <w:rPr>
                <w:rStyle w:val="10"/>
                <w:rFonts w:hint="eastAsia"/>
              </w:rPr>
              <w:t>登记证持有人：</w:t>
            </w:r>
            <w:r>
              <w:rPr>
                <w:rFonts w:hint="eastAsia"/>
              </w:rPr>
              <w:t>辽宁津田科技有限公司</w:t>
            </w:r>
          </w:p>
        </w:tc>
      </w:tr>
      <w:tr w14:paraId="27CC4BFC">
        <w:tblPrEx>
          <w:tblCellMar>
            <w:top w:w="0" w:type="dxa"/>
            <w:left w:w="0" w:type="dxa"/>
            <w:bottom w:w="0" w:type="dxa"/>
            <w:right w:w="0" w:type="dxa"/>
          </w:tblCellMar>
        </w:tblPrEx>
        <w:trPr>
          <w:wBefore w:w="0" w:type="auto"/>
          <w:tblCellSpacing w:w="0" w:type="dxa"/>
        </w:trPr>
        <w:tc>
          <w:tcPr>
            <w:tcW w:w="0" w:type="auto"/>
            <w:noWrap w:val="0"/>
            <w:vAlign w:val="center"/>
          </w:tcPr>
          <w:p w14:paraId="4A200411">
            <w:r>
              <w:rPr>
                <w:rStyle w:val="10"/>
                <w:rFonts w:hint="eastAsia"/>
              </w:rPr>
              <w:t>农药名称：</w:t>
            </w:r>
            <w:r>
              <w:rPr>
                <w:rFonts w:hint="eastAsia"/>
              </w:rPr>
              <w:t>2甲·乙·莠</w:t>
            </w:r>
          </w:p>
        </w:tc>
      </w:tr>
      <w:tr w14:paraId="7CF771C4">
        <w:tblPrEx>
          <w:tblCellMar>
            <w:top w:w="0" w:type="dxa"/>
            <w:left w:w="0" w:type="dxa"/>
            <w:bottom w:w="0" w:type="dxa"/>
            <w:right w:w="0" w:type="dxa"/>
          </w:tblCellMar>
        </w:tblPrEx>
        <w:trPr>
          <w:wBefore w:w="0" w:type="auto"/>
          <w:tblCellSpacing w:w="0" w:type="dxa"/>
        </w:trPr>
        <w:tc>
          <w:tcPr>
            <w:tcW w:w="0" w:type="auto"/>
            <w:noWrap w:val="0"/>
            <w:vAlign w:val="center"/>
          </w:tcPr>
          <w:p w14:paraId="4BAFDCBB">
            <w:r>
              <w:rPr>
                <w:rStyle w:val="10"/>
                <w:rFonts w:hint="eastAsia"/>
              </w:rPr>
              <w:t>剂型：</w:t>
            </w:r>
            <w:r>
              <w:rPr>
                <w:rFonts w:hint="eastAsia"/>
              </w:rPr>
              <w:t>悬乳剂</w:t>
            </w:r>
          </w:p>
        </w:tc>
      </w:tr>
      <w:tr w14:paraId="69FAE434">
        <w:tblPrEx>
          <w:tblCellMar>
            <w:top w:w="0" w:type="dxa"/>
            <w:left w:w="0" w:type="dxa"/>
            <w:bottom w:w="0" w:type="dxa"/>
            <w:right w:w="0" w:type="dxa"/>
          </w:tblCellMar>
        </w:tblPrEx>
        <w:trPr>
          <w:wBefore w:w="0" w:type="auto"/>
          <w:tblCellSpacing w:w="0" w:type="dxa"/>
        </w:trPr>
        <w:tc>
          <w:tcPr>
            <w:tcW w:w="0" w:type="auto"/>
            <w:noWrap w:val="0"/>
            <w:vAlign w:val="center"/>
          </w:tcPr>
          <w:p w14:paraId="391CEC86">
            <w:r>
              <w:rPr>
                <w:rStyle w:val="10"/>
                <w:rFonts w:hint="eastAsia"/>
              </w:rPr>
              <w:t>毒性及其标识：</w:t>
            </w:r>
            <w:r>
              <w:rPr>
                <w:rFonts w:hint="eastAsia"/>
              </w:rPr>
              <w:t xml:space="preserve"> </w:t>
            </w:r>
            <w:r>
              <w:rPr>
                <w:lang/>
              </w:rPr>
              <w:drawing>
                <wp:inline distT="0" distB="0" distL="114300" distR="114300">
                  <wp:extent cx="476250" cy="323850"/>
                  <wp:effectExtent l="0" t="0" r="0" b="0"/>
                  <wp:docPr id="21" name="图片 2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1BD891F">
        <w:tblPrEx>
          <w:tblCellMar>
            <w:top w:w="0" w:type="dxa"/>
            <w:left w:w="0" w:type="dxa"/>
            <w:bottom w:w="0" w:type="dxa"/>
            <w:right w:w="0" w:type="dxa"/>
          </w:tblCellMar>
        </w:tblPrEx>
        <w:trPr>
          <w:wBefore w:w="0" w:type="auto"/>
          <w:tblCellSpacing w:w="0" w:type="dxa"/>
        </w:trPr>
        <w:tc>
          <w:tcPr>
            <w:tcW w:w="0" w:type="auto"/>
            <w:noWrap w:val="0"/>
            <w:vAlign w:val="center"/>
          </w:tcPr>
          <w:p w14:paraId="28E18014">
            <w:r>
              <w:rPr>
                <w:rStyle w:val="10"/>
                <w:rFonts w:hint="eastAsia"/>
              </w:rPr>
              <w:t>总有效成分含量：</w:t>
            </w:r>
            <w:r>
              <w:rPr>
                <w:rFonts w:hint="eastAsia"/>
              </w:rPr>
              <w:t>75.6%</w:t>
            </w:r>
          </w:p>
        </w:tc>
      </w:tr>
      <w:tr w14:paraId="3165E9F0">
        <w:tblPrEx>
          <w:tblCellMar>
            <w:top w:w="0" w:type="dxa"/>
            <w:left w:w="0" w:type="dxa"/>
            <w:bottom w:w="0" w:type="dxa"/>
            <w:right w:w="0" w:type="dxa"/>
          </w:tblCellMar>
        </w:tblPrEx>
        <w:trPr>
          <w:wBefore w:w="0" w:type="auto"/>
          <w:tblCellSpacing w:w="0" w:type="dxa"/>
        </w:trPr>
        <w:tc>
          <w:tcPr>
            <w:tcW w:w="0" w:type="auto"/>
            <w:noWrap w:val="0"/>
            <w:vAlign w:val="center"/>
          </w:tcPr>
          <w:p w14:paraId="36E99F27">
            <w:r>
              <w:rPr>
                <w:rFonts w:hint="eastAsia"/>
              </w:rPr>
              <w:t xml:space="preserve">有效成分及其含量： </w:t>
            </w:r>
          </w:p>
          <w:p w14:paraId="33427FCF">
            <w:r>
              <w:rPr>
                <w:rFonts w:hint="eastAsia"/>
              </w:rPr>
              <w:t xml:space="preserve">    乙草胺42%    莠去津24%    2甲4氯异辛酯9.6%    </w:t>
            </w:r>
          </w:p>
        </w:tc>
      </w:tr>
      <w:tr w14:paraId="6C543871">
        <w:tblPrEx>
          <w:tblCellMar>
            <w:top w:w="0" w:type="dxa"/>
            <w:left w:w="0" w:type="dxa"/>
            <w:bottom w:w="0" w:type="dxa"/>
            <w:right w:w="0" w:type="dxa"/>
          </w:tblCellMar>
        </w:tblPrEx>
        <w:trPr>
          <w:wBefore w:w="0" w:type="auto"/>
          <w:tblCellSpacing w:w="0" w:type="dxa"/>
        </w:trPr>
        <w:tc>
          <w:tcPr>
            <w:tcW w:w="0" w:type="auto"/>
            <w:noWrap w:val="0"/>
            <w:vAlign w:val="center"/>
          </w:tcPr>
          <w:p w14:paraId="4C07BBF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7409F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E5F639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E5FF9B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F0D3BE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C97291B">
                  <w:r>
                    <w:rPr>
                      <w:rStyle w:val="11"/>
                      <w:rFonts w:hint="eastAsia"/>
                    </w:rPr>
                    <w:t>施用方式</w:t>
                  </w:r>
                </w:p>
              </w:tc>
            </w:tr>
            <w:tr w14:paraId="191025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BEE93D4">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EAA531">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4CC41B">
                  <w:r>
                    <w:rPr>
                      <w:rStyle w:val="11"/>
                      <w:rFonts w:hint="eastAsia"/>
                    </w:rPr>
                    <w:t>150-180毫升/亩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3854D8">
                  <w:r>
                    <w:rPr>
                      <w:rStyle w:val="11"/>
                      <w:rFonts w:hint="eastAsia"/>
                    </w:rPr>
                    <w:t>土壤喷雾</w:t>
                  </w:r>
                </w:p>
              </w:tc>
            </w:tr>
          </w:tbl>
          <w:p w14:paraId="173BB056">
            <w:pPr>
              <w:rPr>
                <w:rFonts w:ascii="Times New Roman" w:hAnsi="Times New Roman" w:cs="Times New Roman"/>
                <w:sz w:val="20"/>
                <w:szCs w:val="20"/>
              </w:rPr>
            </w:pPr>
          </w:p>
        </w:tc>
      </w:tr>
      <w:tr w14:paraId="1C628DC0">
        <w:tblPrEx>
          <w:tblCellMar>
            <w:top w:w="0" w:type="dxa"/>
            <w:left w:w="0" w:type="dxa"/>
            <w:bottom w:w="0" w:type="dxa"/>
            <w:right w:w="0" w:type="dxa"/>
          </w:tblCellMar>
        </w:tblPrEx>
        <w:trPr>
          <w:wBefore w:w="0" w:type="auto"/>
          <w:tblCellSpacing w:w="0" w:type="dxa"/>
        </w:trPr>
        <w:tc>
          <w:tcPr>
            <w:tcW w:w="0" w:type="auto"/>
            <w:noWrap w:val="0"/>
            <w:vAlign w:val="center"/>
          </w:tcPr>
          <w:p w14:paraId="2B9401B3">
            <w:r>
              <w:rPr>
                <w:rStyle w:val="10"/>
                <w:rFonts w:hint="eastAsia"/>
              </w:rPr>
              <w:t>使用技术要求:</w:t>
            </w:r>
            <w:r>
              <w:rPr>
                <w:rFonts w:hint="eastAsia"/>
              </w:rPr>
              <w:br w:type="textWrapping"/>
            </w:r>
            <w:r>
              <w:rPr>
                <w:rStyle w:val="11"/>
                <w:rFonts w:hint="eastAsia"/>
              </w:rPr>
              <w:t>每季作物最多使用1次。按施药面积计算所需药量，并准确量取，先加入少量水兑成母液，然后加入混药桶中，充分搅拌均匀。亩用水量50-60公斤，倒行土壤均匀喷雾施药。施药应选择早上或傍晚进行。在土地干旱或机收麦茬高田、北方干旱地区，用药量和用水量用登记批准高剂量，以保证除草效果。苗后使用请酌情减少用药量。大风天气请勿施药，施药时避免药液飘移到邻近敏感作物田。</w:t>
            </w:r>
          </w:p>
        </w:tc>
      </w:tr>
      <w:tr w14:paraId="7534FC3D">
        <w:tblPrEx>
          <w:tblCellMar>
            <w:top w:w="0" w:type="dxa"/>
            <w:left w:w="0" w:type="dxa"/>
            <w:bottom w:w="0" w:type="dxa"/>
            <w:right w:w="0" w:type="dxa"/>
          </w:tblCellMar>
        </w:tblPrEx>
        <w:trPr>
          <w:wBefore w:w="0" w:type="auto"/>
          <w:tblCellSpacing w:w="0" w:type="dxa"/>
        </w:trPr>
        <w:tc>
          <w:tcPr>
            <w:tcW w:w="0" w:type="auto"/>
            <w:noWrap w:val="0"/>
            <w:vAlign w:val="center"/>
          </w:tcPr>
          <w:p w14:paraId="4D417DA1">
            <w:r>
              <w:rPr>
                <w:rStyle w:val="10"/>
                <w:rFonts w:hint="eastAsia"/>
              </w:rPr>
              <w:t>产品性能:</w:t>
            </w:r>
            <w:r>
              <w:rPr>
                <w:rFonts w:hint="eastAsia"/>
              </w:rPr>
              <w:br w:type="textWrapping"/>
            </w:r>
            <w:r>
              <w:rPr>
                <w:rStyle w:val="11"/>
                <w:rFonts w:hint="eastAsia"/>
              </w:rPr>
              <w:t>本品是由乙草胺、莠去津、2甲4氯异辛酯组成的三元复配制剂，为玉米田除草剂，具有活性高、持效期长等特点，能有效的防除玉米田一年生禾本生杂草和阔叶杂草如：马唐、牛筋草、马齿苋、鸭跖草、稗草、铁苋菜、藜、刺蓼、苍耳、反枝苋、狗尾草等杂草。其中2甲4氯异辛酯是一种苯氧羧酸类选择性激素型内吸除草剂，可被植物根茎叶吸收并传导，可有效地防除玉米田一年生阔叶杂草和莎草科杂草。</w:t>
            </w:r>
          </w:p>
        </w:tc>
      </w:tr>
      <w:tr w14:paraId="528842CA">
        <w:tblPrEx>
          <w:tblCellMar>
            <w:top w:w="0" w:type="dxa"/>
            <w:left w:w="0" w:type="dxa"/>
            <w:bottom w:w="0" w:type="dxa"/>
            <w:right w:w="0" w:type="dxa"/>
          </w:tblCellMar>
        </w:tblPrEx>
        <w:trPr>
          <w:wBefore w:w="0" w:type="auto"/>
          <w:tblCellSpacing w:w="0" w:type="dxa"/>
        </w:trPr>
        <w:tc>
          <w:tcPr>
            <w:tcW w:w="0" w:type="auto"/>
            <w:noWrap w:val="0"/>
            <w:vAlign w:val="center"/>
          </w:tcPr>
          <w:p w14:paraId="6D9EC510">
            <w:r>
              <w:rPr>
                <w:rStyle w:val="10"/>
                <w:rFonts w:hint="eastAsia"/>
              </w:rPr>
              <w:t>注意事项：</w:t>
            </w:r>
            <w:r>
              <w:rPr>
                <w:rFonts w:hint="eastAsia"/>
              </w:rPr>
              <w:br w:type="textWrapping"/>
            </w:r>
            <w:r>
              <w:rPr>
                <w:rStyle w:val="11"/>
                <w:rFonts w:hint="eastAsia"/>
              </w:rPr>
              <w:t>1、使用前请详细阅读产品说明。施药时要量准土地，精细整地，去残茬。2、玉米田与其它作物间套田禁用。使用最佳时期为杂草萌芽前或草龄2-3叶期。土壤墒情影响药效发挥，最好在雨前、雨中（小雨）、雨后或水浇地后施药。涝洼地有积水的地块适当减少用药量。3、有机质含量高的地块、天气干旱时，应适当加大用药量（推茬药剂上限），应在无风或微风天施药，避免药液飘移至邻近棉花、豆类、蔬菜、瓜类、葡萄、马铃薯、果树、林木、水稻、小麦等对该药敏感的作物田。 4、使用本药剂的喷雾器及其它器具必须专用。 5、对皮肤和眼睛有刺激性，有皮肤致敏性。施药时，穿长衣长裤、戴手套、眼镜等防护用品，做好安全防护；此过程中，不能吃东西、吸烟等；施药后，应用肥皂和清水彻底清洗脸、手和裸露部位。 6、水产养殖区、河塘等水体附近禁用，禁止在河塘等水域清洗施药器具，清洗器具的废水不能排入河流、池塘等水源，废弃物要妥善处理，不能乱丢乱放，也不能做它用。桑园及蚕室附近禁用，赤眼蜂等天敌放飞区域禁用，鸟类保护区附近禁用。地下饮用水、水源地禁用。 7、避免孕妇和哺乳期妇女接触此药。</w:t>
            </w:r>
          </w:p>
        </w:tc>
      </w:tr>
      <w:tr w14:paraId="66266C63">
        <w:tblPrEx>
          <w:tblCellMar>
            <w:top w:w="0" w:type="dxa"/>
            <w:left w:w="0" w:type="dxa"/>
            <w:bottom w:w="0" w:type="dxa"/>
            <w:right w:w="0" w:type="dxa"/>
          </w:tblCellMar>
        </w:tblPrEx>
        <w:trPr>
          <w:wBefore w:w="0" w:type="auto"/>
          <w:tblCellSpacing w:w="0" w:type="dxa"/>
        </w:trPr>
        <w:tc>
          <w:tcPr>
            <w:tcW w:w="0" w:type="auto"/>
            <w:noWrap w:val="0"/>
            <w:vAlign w:val="center"/>
          </w:tcPr>
          <w:p w14:paraId="3C855BB0">
            <w:r>
              <w:rPr>
                <w:rStyle w:val="10"/>
                <w:rFonts w:hint="eastAsia"/>
              </w:rPr>
              <w:t>中毒急救措施：</w:t>
            </w:r>
            <w:r>
              <w:rPr>
                <w:rFonts w:hint="eastAsia"/>
              </w:rPr>
              <w:br w:type="textWrapping"/>
            </w:r>
            <w:r>
              <w:rPr>
                <w:rStyle w:val="11"/>
                <w:rFonts w:hint="eastAsia"/>
              </w:rPr>
              <w:t>若不慎接触皮肤，应用大量清水冲洗干净；本品对眼睛有刺激性，若溅入眼睛中，立即将眼睑翻开，用流动清水冲洗至少15分钟；如不慎吸入，应将病人移至空气流通处，严重时送医院诊治；误服时，带标签就医对症治疗。本品无特效解毒剂。</w:t>
            </w:r>
          </w:p>
        </w:tc>
      </w:tr>
      <w:tr w14:paraId="6A21B6A3">
        <w:tblPrEx>
          <w:tblCellMar>
            <w:top w:w="0" w:type="dxa"/>
            <w:left w:w="0" w:type="dxa"/>
            <w:bottom w:w="0" w:type="dxa"/>
            <w:right w:w="0" w:type="dxa"/>
          </w:tblCellMar>
        </w:tblPrEx>
        <w:trPr>
          <w:wBefore w:w="0" w:type="auto"/>
          <w:tblCellSpacing w:w="0" w:type="dxa"/>
        </w:trPr>
        <w:tc>
          <w:tcPr>
            <w:tcW w:w="0" w:type="auto"/>
            <w:noWrap w:val="0"/>
            <w:vAlign w:val="center"/>
          </w:tcPr>
          <w:p w14:paraId="4420F7D2">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本品应贮存在干燥、阴凉、通风、防雨处。远离火源或热源。置于儿童触及不到之处，并加锁。勿与食品、饮料、饲料等物品同贮同运。</w:t>
            </w:r>
          </w:p>
        </w:tc>
      </w:tr>
      <w:tr w14:paraId="1A72D574">
        <w:tblPrEx>
          <w:tblCellMar>
            <w:top w:w="0" w:type="dxa"/>
            <w:left w:w="0" w:type="dxa"/>
            <w:bottom w:w="0" w:type="dxa"/>
            <w:right w:w="0" w:type="dxa"/>
          </w:tblCellMar>
        </w:tblPrEx>
        <w:trPr>
          <w:wBefore w:w="0" w:type="auto"/>
          <w:tblCellSpacing w:w="0" w:type="dxa"/>
        </w:trPr>
        <w:tc>
          <w:tcPr>
            <w:tcW w:w="0" w:type="auto"/>
            <w:noWrap w:val="0"/>
            <w:vAlign w:val="center"/>
          </w:tcPr>
          <w:p w14:paraId="3D0D9947">
            <w:r>
              <w:rPr>
                <w:rStyle w:val="10"/>
                <w:rFonts w:hint="eastAsia"/>
              </w:rPr>
              <w:t>质量保证期：</w:t>
            </w:r>
            <w:r>
              <w:rPr>
                <w:rStyle w:val="11"/>
                <w:rFonts w:hint="eastAsia"/>
              </w:rPr>
              <w:t>2年</w:t>
            </w:r>
          </w:p>
        </w:tc>
      </w:tr>
      <w:tr w14:paraId="7B72B849">
        <w:tblPrEx>
          <w:tblCellMar>
            <w:top w:w="0" w:type="dxa"/>
            <w:left w:w="0" w:type="dxa"/>
            <w:bottom w:w="0" w:type="dxa"/>
            <w:right w:w="0" w:type="dxa"/>
          </w:tblCellMar>
        </w:tblPrEx>
        <w:trPr>
          <w:wBefore w:w="0" w:type="auto"/>
          <w:tblCellSpacing w:w="0" w:type="dxa"/>
        </w:trPr>
        <w:tc>
          <w:tcPr>
            <w:tcW w:w="0" w:type="auto"/>
            <w:noWrap w:val="0"/>
            <w:vAlign w:val="center"/>
          </w:tcPr>
          <w:p w14:paraId="2927E835">
            <w:r>
              <w:rPr>
                <w:rStyle w:val="10"/>
                <w:rFonts w:hint="eastAsia"/>
              </w:rPr>
              <w:t>备注：</w:t>
            </w:r>
          </w:p>
        </w:tc>
      </w:tr>
    </w:tbl>
    <w:p w14:paraId="55B4B73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F0DCB3C">
        <w:tblPrEx>
          <w:tblCellMar>
            <w:top w:w="0" w:type="dxa"/>
            <w:left w:w="0" w:type="dxa"/>
            <w:bottom w:w="0" w:type="dxa"/>
            <w:right w:w="0" w:type="dxa"/>
          </w:tblCellMar>
        </w:tblPrEx>
        <w:trPr>
          <w:wBefore w:w="0" w:type="auto"/>
          <w:tblCellSpacing w:w="0" w:type="dxa"/>
        </w:trPr>
        <w:tc>
          <w:tcPr>
            <w:tcW w:w="0" w:type="auto"/>
            <w:noWrap w:val="0"/>
            <w:vAlign w:val="center"/>
          </w:tcPr>
          <w:p w14:paraId="73BD3B87">
            <w:r>
              <w:rPr>
                <w:rStyle w:val="10"/>
                <w:rFonts w:hint="eastAsia"/>
              </w:rPr>
              <w:t>登记证号：</w:t>
            </w:r>
            <w:r>
              <w:rPr>
                <w:rFonts w:hint="eastAsia"/>
              </w:rPr>
              <w:t>PD20211873</w:t>
            </w:r>
          </w:p>
        </w:tc>
      </w:tr>
      <w:tr w14:paraId="068DDF15">
        <w:tblPrEx>
          <w:tblCellMar>
            <w:top w:w="0" w:type="dxa"/>
            <w:left w:w="0" w:type="dxa"/>
            <w:bottom w:w="0" w:type="dxa"/>
            <w:right w:w="0" w:type="dxa"/>
          </w:tblCellMar>
        </w:tblPrEx>
        <w:trPr>
          <w:wBefore w:w="0" w:type="auto"/>
          <w:tblCellSpacing w:w="0" w:type="dxa"/>
        </w:trPr>
        <w:tc>
          <w:tcPr>
            <w:tcW w:w="0" w:type="auto"/>
            <w:noWrap w:val="0"/>
            <w:vAlign w:val="center"/>
          </w:tcPr>
          <w:p w14:paraId="531B52B2">
            <w:r>
              <w:rPr>
                <w:rStyle w:val="10"/>
                <w:rFonts w:hint="eastAsia"/>
              </w:rPr>
              <w:t>登记证持有人：</w:t>
            </w:r>
            <w:r>
              <w:rPr>
                <w:rFonts w:hint="eastAsia"/>
              </w:rPr>
              <w:t>合肥合农农药有限公司</w:t>
            </w:r>
          </w:p>
        </w:tc>
      </w:tr>
      <w:tr w14:paraId="314C5ADB">
        <w:tblPrEx>
          <w:tblCellMar>
            <w:top w:w="0" w:type="dxa"/>
            <w:left w:w="0" w:type="dxa"/>
            <w:bottom w:w="0" w:type="dxa"/>
            <w:right w:w="0" w:type="dxa"/>
          </w:tblCellMar>
        </w:tblPrEx>
        <w:trPr>
          <w:wBefore w:w="0" w:type="auto"/>
          <w:tblCellSpacing w:w="0" w:type="dxa"/>
        </w:trPr>
        <w:tc>
          <w:tcPr>
            <w:tcW w:w="0" w:type="auto"/>
            <w:noWrap w:val="0"/>
            <w:vAlign w:val="center"/>
          </w:tcPr>
          <w:p w14:paraId="74E51C84">
            <w:r>
              <w:rPr>
                <w:rStyle w:val="10"/>
                <w:rFonts w:hint="eastAsia"/>
              </w:rPr>
              <w:t>农药名称：</w:t>
            </w:r>
            <w:r>
              <w:rPr>
                <w:rFonts w:hint="eastAsia"/>
              </w:rPr>
              <w:t>阿维·氟铃脲</w:t>
            </w:r>
          </w:p>
        </w:tc>
      </w:tr>
      <w:tr w14:paraId="43206AD9">
        <w:tblPrEx>
          <w:tblCellMar>
            <w:top w:w="0" w:type="dxa"/>
            <w:left w:w="0" w:type="dxa"/>
            <w:bottom w:w="0" w:type="dxa"/>
            <w:right w:w="0" w:type="dxa"/>
          </w:tblCellMar>
        </w:tblPrEx>
        <w:trPr>
          <w:wBefore w:w="0" w:type="auto"/>
          <w:tblCellSpacing w:w="0" w:type="dxa"/>
        </w:trPr>
        <w:tc>
          <w:tcPr>
            <w:tcW w:w="0" w:type="auto"/>
            <w:noWrap w:val="0"/>
            <w:vAlign w:val="center"/>
          </w:tcPr>
          <w:p w14:paraId="4F84A1F6">
            <w:r>
              <w:rPr>
                <w:rStyle w:val="10"/>
                <w:rFonts w:hint="eastAsia"/>
              </w:rPr>
              <w:t>剂型：</w:t>
            </w:r>
            <w:r>
              <w:rPr>
                <w:rFonts w:hint="eastAsia"/>
              </w:rPr>
              <w:t>乳油</w:t>
            </w:r>
          </w:p>
        </w:tc>
      </w:tr>
      <w:tr w14:paraId="0B74C30C">
        <w:tblPrEx>
          <w:tblCellMar>
            <w:top w:w="0" w:type="dxa"/>
            <w:left w:w="0" w:type="dxa"/>
            <w:bottom w:w="0" w:type="dxa"/>
            <w:right w:w="0" w:type="dxa"/>
          </w:tblCellMar>
        </w:tblPrEx>
        <w:trPr>
          <w:wBefore w:w="0" w:type="auto"/>
          <w:tblCellSpacing w:w="0" w:type="dxa"/>
        </w:trPr>
        <w:tc>
          <w:tcPr>
            <w:tcW w:w="0" w:type="auto"/>
            <w:noWrap w:val="0"/>
            <w:vAlign w:val="center"/>
          </w:tcPr>
          <w:p w14:paraId="732A9309">
            <w:r>
              <w:rPr>
                <w:rStyle w:val="10"/>
                <w:rFonts w:hint="eastAsia"/>
              </w:rPr>
              <w:t>毒性及其标识：</w:t>
            </w:r>
            <w:r>
              <w:rPr>
                <w:rFonts w:hint="eastAsia"/>
              </w:rPr>
              <w:t xml:space="preserve"> </w:t>
            </w:r>
            <w:r>
              <w:rPr>
                <w:lang/>
              </w:rPr>
              <w:drawing>
                <wp:inline distT="0" distB="0" distL="114300" distR="114300">
                  <wp:extent cx="476250" cy="323850"/>
                  <wp:effectExtent l="0" t="0" r="0" b="0"/>
                  <wp:docPr id="22" name="图片 22"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中等毒 </w:t>
            </w:r>
            <w:r>
              <w:rPr>
                <w:rFonts w:hint="eastAsia"/>
              </w:rPr>
              <w:br w:type="textWrapping"/>
            </w:r>
            <w:r>
              <w:rPr>
                <w:rFonts w:hint="eastAsia"/>
              </w:rPr>
              <w:t xml:space="preserve">(原药高毒) </w:t>
            </w:r>
          </w:p>
        </w:tc>
      </w:tr>
      <w:tr w14:paraId="6BA69977">
        <w:tblPrEx>
          <w:tblCellMar>
            <w:top w:w="0" w:type="dxa"/>
            <w:left w:w="0" w:type="dxa"/>
            <w:bottom w:w="0" w:type="dxa"/>
            <w:right w:w="0" w:type="dxa"/>
          </w:tblCellMar>
        </w:tblPrEx>
        <w:trPr>
          <w:wBefore w:w="0" w:type="auto"/>
          <w:tblCellSpacing w:w="0" w:type="dxa"/>
        </w:trPr>
        <w:tc>
          <w:tcPr>
            <w:tcW w:w="0" w:type="auto"/>
            <w:noWrap w:val="0"/>
            <w:vAlign w:val="center"/>
          </w:tcPr>
          <w:p w14:paraId="4E9C01A9">
            <w:r>
              <w:rPr>
                <w:rStyle w:val="10"/>
                <w:rFonts w:hint="eastAsia"/>
              </w:rPr>
              <w:t>总有效成分含量：</w:t>
            </w:r>
            <w:r>
              <w:rPr>
                <w:rFonts w:hint="eastAsia"/>
              </w:rPr>
              <w:t>8%</w:t>
            </w:r>
          </w:p>
        </w:tc>
      </w:tr>
      <w:tr w14:paraId="6C803391">
        <w:tblPrEx>
          <w:tblCellMar>
            <w:top w:w="0" w:type="dxa"/>
            <w:left w:w="0" w:type="dxa"/>
            <w:bottom w:w="0" w:type="dxa"/>
            <w:right w:w="0" w:type="dxa"/>
          </w:tblCellMar>
        </w:tblPrEx>
        <w:trPr>
          <w:wBefore w:w="0" w:type="auto"/>
          <w:tblCellSpacing w:w="0" w:type="dxa"/>
        </w:trPr>
        <w:tc>
          <w:tcPr>
            <w:tcW w:w="0" w:type="auto"/>
            <w:noWrap w:val="0"/>
            <w:vAlign w:val="center"/>
          </w:tcPr>
          <w:p w14:paraId="397AA62E">
            <w:r>
              <w:rPr>
                <w:rFonts w:hint="eastAsia"/>
              </w:rPr>
              <w:t xml:space="preserve">有效成分及其含量： </w:t>
            </w:r>
          </w:p>
          <w:p w14:paraId="6518463B">
            <w:r>
              <w:rPr>
                <w:rFonts w:hint="eastAsia"/>
              </w:rPr>
              <w:t xml:space="preserve">    阿维菌素5%    氟铃脲3%    </w:t>
            </w:r>
          </w:p>
        </w:tc>
      </w:tr>
      <w:tr w14:paraId="42BCE131">
        <w:tblPrEx>
          <w:tblCellMar>
            <w:top w:w="0" w:type="dxa"/>
            <w:left w:w="0" w:type="dxa"/>
            <w:bottom w:w="0" w:type="dxa"/>
            <w:right w:w="0" w:type="dxa"/>
          </w:tblCellMar>
        </w:tblPrEx>
        <w:trPr>
          <w:wBefore w:w="0" w:type="auto"/>
          <w:tblCellSpacing w:w="0" w:type="dxa"/>
        </w:trPr>
        <w:tc>
          <w:tcPr>
            <w:tcW w:w="0" w:type="auto"/>
            <w:noWrap w:val="0"/>
            <w:vAlign w:val="center"/>
          </w:tcPr>
          <w:p w14:paraId="0497279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AB358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F74DB2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4D22C1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74D200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697305D">
                  <w:r>
                    <w:rPr>
                      <w:rStyle w:val="11"/>
                      <w:rFonts w:hint="eastAsia"/>
                    </w:rPr>
                    <w:t>施用方式</w:t>
                  </w:r>
                </w:p>
              </w:tc>
            </w:tr>
            <w:tr w14:paraId="31854C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38235A6">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A6C909">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C8A49A">
                  <w:r>
                    <w:rPr>
                      <w:rStyle w:val="11"/>
                      <w:rFonts w:hint="eastAsia"/>
                    </w:rPr>
                    <w:t>12-18毫升/亩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020EE5">
                  <w:r>
                    <w:rPr>
                      <w:rStyle w:val="11"/>
                      <w:rFonts w:hint="eastAsia"/>
                    </w:rPr>
                    <w:t>喷雾</w:t>
                  </w:r>
                </w:p>
              </w:tc>
            </w:tr>
          </w:tbl>
          <w:p w14:paraId="370A3A48">
            <w:pPr>
              <w:rPr>
                <w:rFonts w:ascii="Times New Roman" w:hAnsi="Times New Roman" w:cs="Times New Roman"/>
                <w:sz w:val="20"/>
                <w:szCs w:val="20"/>
              </w:rPr>
            </w:pPr>
          </w:p>
        </w:tc>
      </w:tr>
      <w:tr w14:paraId="576349D4">
        <w:tblPrEx>
          <w:tblCellMar>
            <w:top w:w="0" w:type="dxa"/>
            <w:left w:w="0" w:type="dxa"/>
            <w:bottom w:w="0" w:type="dxa"/>
            <w:right w:w="0" w:type="dxa"/>
          </w:tblCellMar>
        </w:tblPrEx>
        <w:trPr>
          <w:wBefore w:w="0" w:type="auto"/>
          <w:tblCellSpacing w:w="0" w:type="dxa"/>
        </w:trPr>
        <w:tc>
          <w:tcPr>
            <w:tcW w:w="0" w:type="auto"/>
            <w:noWrap w:val="0"/>
            <w:vAlign w:val="center"/>
          </w:tcPr>
          <w:p w14:paraId="0C72E2C5">
            <w:r>
              <w:rPr>
                <w:rStyle w:val="10"/>
                <w:rFonts w:hint="eastAsia"/>
              </w:rPr>
              <w:t>使用技术要求:</w:t>
            </w:r>
            <w:r>
              <w:rPr>
                <w:rFonts w:hint="eastAsia"/>
              </w:rPr>
              <w:br w:type="textWrapping"/>
            </w:r>
            <w:r>
              <w:rPr>
                <w:rStyle w:val="11"/>
                <w:rFonts w:hint="eastAsia"/>
              </w:rPr>
              <w:t>1.在甘蓝小菜蛾卵孵化盛期至低龄幼虫期施药。施药后的地块 24 小时内禁止放牧和畜禽进入；2.大风天或预计1小时内降雨，请勿施药。3.在甘蓝上的安全间隔期为7天，每季最多使用1次。</w:t>
            </w:r>
          </w:p>
        </w:tc>
      </w:tr>
      <w:tr w14:paraId="7FC670E6">
        <w:tblPrEx>
          <w:tblCellMar>
            <w:top w:w="0" w:type="dxa"/>
            <w:left w:w="0" w:type="dxa"/>
            <w:bottom w:w="0" w:type="dxa"/>
            <w:right w:w="0" w:type="dxa"/>
          </w:tblCellMar>
        </w:tblPrEx>
        <w:trPr>
          <w:wBefore w:w="0" w:type="auto"/>
          <w:tblCellSpacing w:w="0" w:type="dxa"/>
        </w:trPr>
        <w:tc>
          <w:tcPr>
            <w:tcW w:w="0" w:type="auto"/>
            <w:noWrap w:val="0"/>
            <w:vAlign w:val="center"/>
          </w:tcPr>
          <w:p w14:paraId="6A21B4D1">
            <w:r>
              <w:rPr>
                <w:rStyle w:val="10"/>
                <w:rFonts w:hint="eastAsia"/>
              </w:rPr>
              <w:t>产品性能:</w:t>
            </w:r>
            <w:r>
              <w:rPr>
                <w:rFonts w:hint="eastAsia"/>
              </w:rPr>
              <w:br w:type="textWrapping"/>
            </w:r>
            <w:r>
              <w:rPr>
                <w:rStyle w:val="11"/>
                <w:rFonts w:hint="eastAsia"/>
              </w:rPr>
              <w:t>本品由阿维菌素和氟铃脲复配而成的杀虫剂。阿维菌素具有触杀和胃毒作用并有微弱的熏蒸作用，无内吸作用，对叶片有很强的渗透作用，可杀死表皮下的害虫，不杀卵。氟铃脲为苯甲酰脲类杀虫剂，是几丁质合成抑制剂，具有较高的杀虫和杀卵活性。二者复配使用能够有效防治甘蓝小菜蛾。</w:t>
            </w:r>
          </w:p>
        </w:tc>
      </w:tr>
      <w:tr w14:paraId="2887408D">
        <w:tblPrEx>
          <w:tblCellMar>
            <w:top w:w="0" w:type="dxa"/>
            <w:left w:w="0" w:type="dxa"/>
            <w:bottom w:w="0" w:type="dxa"/>
            <w:right w:w="0" w:type="dxa"/>
          </w:tblCellMar>
        </w:tblPrEx>
        <w:trPr>
          <w:wBefore w:w="0" w:type="auto"/>
          <w:tblCellSpacing w:w="0" w:type="dxa"/>
        </w:trPr>
        <w:tc>
          <w:tcPr>
            <w:tcW w:w="0" w:type="auto"/>
            <w:noWrap w:val="0"/>
            <w:vAlign w:val="center"/>
          </w:tcPr>
          <w:p w14:paraId="34B9D8DE">
            <w:r>
              <w:rPr>
                <w:rStyle w:val="10"/>
                <w:rFonts w:hint="eastAsia"/>
              </w:rPr>
              <w:t>注意事项：</w:t>
            </w:r>
            <w:r>
              <w:rPr>
                <w:rFonts w:hint="eastAsia"/>
              </w:rPr>
              <w:br w:type="textWrapping"/>
            </w:r>
            <w:r>
              <w:rPr>
                <w:rStyle w:val="11"/>
                <w:rFonts w:hint="eastAsia"/>
              </w:rPr>
              <w:t>1. 本品对蜜蜂、水蚤等水生生物、家蚕有毒，施药期间应避免对周围蜂群的影响，开花植物花期、鸟类保护区、蚕室和桑园附近禁用。赤眼蜂、瓢虫（或其他代表性天敌）等天敌放飞区禁用。远离水产养殖区、河塘等水体附近施药，禁止在河塘等水体中清洗施药器具。2. 使用时应穿长衣长裤、靴子，戴帽子、护目镜、口罩、手套等防护用具；施药期间不可吃东西、饮水、吸烟等；施药后应及时洗手、洗脸并洗涤施药时穿着的衣物。3. 勿在安全间隔期内进行采收。4.未用完的制剂应放在原包装内密封保存，切勿将本品置于饮、食容器内，使用过的空包装，用清水冲洗后妥善处理，切勿重复使用或改作其它用途。5. 建议与其它作用机制的杀虫剂轮换使用。6. 孕妇及哺乳期妇女及过敏者禁用。 7. 本品不能与碱性农药等物质混用。</w:t>
            </w:r>
          </w:p>
        </w:tc>
      </w:tr>
      <w:tr w14:paraId="68B64339">
        <w:tblPrEx>
          <w:tblCellMar>
            <w:top w:w="0" w:type="dxa"/>
            <w:left w:w="0" w:type="dxa"/>
            <w:bottom w:w="0" w:type="dxa"/>
            <w:right w:w="0" w:type="dxa"/>
          </w:tblCellMar>
        </w:tblPrEx>
        <w:trPr>
          <w:wBefore w:w="0" w:type="auto"/>
          <w:tblCellSpacing w:w="0" w:type="dxa"/>
        </w:trPr>
        <w:tc>
          <w:tcPr>
            <w:tcW w:w="0" w:type="auto"/>
            <w:noWrap w:val="0"/>
            <w:vAlign w:val="center"/>
          </w:tcPr>
          <w:p w14:paraId="449BAB26">
            <w:r>
              <w:rPr>
                <w:rStyle w:val="10"/>
                <w:rFonts w:hint="eastAsia"/>
              </w:rPr>
              <w:t>中毒急救措施：</w:t>
            </w:r>
            <w:r>
              <w:rPr>
                <w:rFonts w:hint="eastAsia"/>
              </w:rPr>
              <w:br w:type="textWrapping"/>
            </w:r>
            <w:r>
              <w:rPr>
                <w:rStyle w:val="11"/>
                <w:rFonts w:hint="eastAsia"/>
              </w:rPr>
              <w:t>本品对眼睛、皮肤有刺激性。1．眼睛溅入：立刻用大量清水冲洗15-20分钟，如配戴隐形眼镜，冲洗5分钟后摘掉眼镜再冲洗15分钟。携此标签去医院诊治。2．误食：不要自行引吐，携此标签送医诊治。3．皮肤沾附：脱去被溅到衣服。立即用大量清水冲洗皮肤。衣服彻底清洗后方可再穿。4．误吸：转移至空气清新处，如症状持续，向医生咨询。5．给医护人员的提示：无特殊解毒药，请医生根据症状治疗。</w:t>
            </w:r>
          </w:p>
        </w:tc>
      </w:tr>
      <w:tr w14:paraId="368910AF">
        <w:tblPrEx>
          <w:tblCellMar>
            <w:top w:w="0" w:type="dxa"/>
            <w:left w:w="0" w:type="dxa"/>
            <w:bottom w:w="0" w:type="dxa"/>
            <w:right w:w="0" w:type="dxa"/>
          </w:tblCellMar>
        </w:tblPrEx>
        <w:trPr>
          <w:wBefore w:w="0" w:type="auto"/>
          <w:tblCellSpacing w:w="0" w:type="dxa"/>
        </w:trPr>
        <w:tc>
          <w:tcPr>
            <w:tcW w:w="0" w:type="auto"/>
            <w:noWrap w:val="0"/>
            <w:vAlign w:val="center"/>
          </w:tcPr>
          <w:p w14:paraId="413FF4B1">
            <w:r>
              <w:rPr>
                <w:rStyle w:val="10"/>
                <w:rFonts w:hint="eastAsia"/>
              </w:rPr>
              <w:t>储存和运输方法：</w:t>
            </w:r>
            <w:r>
              <w:rPr>
                <w:rFonts w:hint="eastAsia"/>
              </w:rPr>
              <w:br w:type="textWrapping"/>
            </w:r>
            <w:r>
              <w:rPr>
                <w:rStyle w:val="11"/>
                <w:rFonts w:hint="eastAsia"/>
              </w:rPr>
              <w:t>1.本品应贮存于通风、干燥、防雨、阴凉处，远离火源或热源置于儿童触及不到之处，并加锁，勿与食品、饮料、饲料、种子等混合储存。2.贮运时，严防潮湿和日晒，避免与皮肤、眼睛接触，防止口鼻吸入。3.运输前先检查包装容器是否完整、密封。运输过程中确保容器不泄漏、不倒塌、不坠落、不损坏。</w:t>
            </w:r>
          </w:p>
        </w:tc>
      </w:tr>
      <w:tr w14:paraId="61BFACBE">
        <w:tblPrEx>
          <w:tblCellMar>
            <w:top w:w="0" w:type="dxa"/>
            <w:left w:w="0" w:type="dxa"/>
            <w:bottom w:w="0" w:type="dxa"/>
            <w:right w:w="0" w:type="dxa"/>
          </w:tblCellMar>
        </w:tblPrEx>
        <w:trPr>
          <w:wBefore w:w="0" w:type="auto"/>
          <w:tblCellSpacing w:w="0" w:type="dxa"/>
        </w:trPr>
        <w:tc>
          <w:tcPr>
            <w:tcW w:w="0" w:type="auto"/>
            <w:noWrap w:val="0"/>
            <w:vAlign w:val="center"/>
          </w:tcPr>
          <w:p w14:paraId="4EAFD7C4">
            <w:r>
              <w:rPr>
                <w:rStyle w:val="10"/>
                <w:rFonts w:hint="eastAsia"/>
              </w:rPr>
              <w:t>质量保证期：</w:t>
            </w:r>
            <w:r>
              <w:rPr>
                <w:rStyle w:val="11"/>
                <w:rFonts w:hint="eastAsia"/>
              </w:rPr>
              <w:t>2年</w:t>
            </w:r>
          </w:p>
        </w:tc>
      </w:tr>
      <w:tr w14:paraId="1B619612">
        <w:tblPrEx>
          <w:tblCellMar>
            <w:top w:w="0" w:type="dxa"/>
            <w:left w:w="0" w:type="dxa"/>
            <w:bottom w:w="0" w:type="dxa"/>
            <w:right w:w="0" w:type="dxa"/>
          </w:tblCellMar>
        </w:tblPrEx>
        <w:trPr>
          <w:wBefore w:w="0" w:type="auto"/>
          <w:tblCellSpacing w:w="0" w:type="dxa"/>
        </w:trPr>
        <w:tc>
          <w:tcPr>
            <w:tcW w:w="0" w:type="auto"/>
            <w:noWrap w:val="0"/>
            <w:vAlign w:val="center"/>
          </w:tcPr>
          <w:p w14:paraId="7A9F12EF">
            <w:r>
              <w:rPr>
                <w:rStyle w:val="10"/>
                <w:rFonts w:hint="eastAsia"/>
              </w:rPr>
              <w:t>备注：</w:t>
            </w:r>
          </w:p>
        </w:tc>
      </w:tr>
    </w:tbl>
    <w:p w14:paraId="2483FBA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037D618">
        <w:tblPrEx>
          <w:tblCellMar>
            <w:top w:w="0" w:type="dxa"/>
            <w:left w:w="0" w:type="dxa"/>
            <w:bottom w:w="0" w:type="dxa"/>
            <w:right w:w="0" w:type="dxa"/>
          </w:tblCellMar>
        </w:tblPrEx>
        <w:trPr>
          <w:wBefore w:w="0" w:type="auto"/>
          <w:tblCellSpacing w:w="0" w:type="dxa"/>
        </w:trPr>
        <w:tc>
          <w:tcPr>
            <w:tcW w:w="0" w:type="auto"/>
            <w:noWrap w:val="0"/>
            <w:vAlign w:val="center"/>
          </w:tcPr>
          <w:p w14:paraId="1C0EEDCD">
            <w:r>
              <w:rPr>
                <w:rStyle w:val="10"/>
                <w:rFonts w:hint="eastAsia"/>
              </w:rPr>
              <w:t>登记证号：</w:t>
            </w:r>
            <w:r>
              <w:rPr>
                <w:rFonts w:hint="eastAsia"/>
              </w:rPr>
              <w:t>PD20211711</w:t>
            </w:r>
          </w:p>
        </w:tc>
      </w:tr>
      <w:tr w14:paraId="6CA1D6AC">
        <w:tblPrEx>
          <w:tblCellMar>
            <w:top w:w="0" w:type="dxa"/>
            <w:left w:w="0" w:type="dxa"/>
            <w:bottom w:w="0" w:type="dxa"/>
            <w:right w:w="0" w:type="dxa"/>
          </w:tblCellMar>
        </w:tblPrEx>
        <w:trPr>
          <w:wBefore w:w="0" w:type="auto"/>
          <w:tblCellSpacing w:w="0" w:type="dxa"/>
        </w:trPr>
        <w:tc>
          <w:tcPr>
            <w:tcW w:w="0" w:type="auto"/>
            <w:noWrap w:val="0"/>
            <w:vAlign w:val="center"/>
          </w:tcPr>
          <w:p w14:paraId="0C3AF1AF">
            <w:r>
              <w:rPr>
                <w:rStyle w:val="10"/>
                <w:rFonts w:hint="eastAsia"/>
              </w:rPr>
              <w:t>登记证持有人：</w:t>
            </w:r>
            <w:r>
              <w:rPr>
                <w:rFonts w:hint="eastAsia"/>
              </w:rPr>
              <w:t>江苏省农药研究所股份有限公司</w:t>
            </w:r>
          </w:p>
        </w:tc>
      </w:tr>
      <w:tr w14:paraId="6AF8A87F">
        <w:tblPrEx>
          <w:tblCellMar>
            <w:top w:w="0" w:type="dxa"/>
            <w:left w:w="0" w:type="dxa"/>
            <w:bottom w:w="0" w:type="dxa"/>
            <w:right w:w="0" w:type="dxa"/>
          </w:tblCellMar>
        </w:tblPrEx>
        <w:trPr>
          <w:wBefore w:w="0" w:type="auto"/>
          <w:tblCellSpacing w:w="0" w:type="dxa"/>
        </w:trPr>
        <w:tc>
          <w:tcPr>
            <w:tcW w:w="0" w:type="auto"/>
            <w:noWrap w:val="0"/>
            <w:vAlign w:val="center"/>
          </w:tcPr>
          <w:p w14:paraId="36DBA1BF">
            <w:r>
              <w:rPr>
                <w:rStyle w:val="10"/>
                <w:rFonts w:hint="eastAsia"/>
              </w:rPr>
              <w:t>农药名称：</w:t>
            </w:r>
            <w:r>
              <w:rPr>
                <w:rFonts w:hint="eastAsia"/>
              </w:rPr>
              <w:t>呋虫胺·茚虫威</w:t>
            </w:r>
          </w:p>
        </w:tc>
      </w:tr>
      <w:tr w14:paraId="4523C097">
        <w:tblPrEx>
          <w:tblCellMar>
            <w:top w:w="0" w:type="dxa"/>
            <w:left w:w="0" w:type="dxa"/>
            <w:bottom w:w="0" w:type="dxa"/>
            <w:right w:w="0" w:type="dxa"/>
          </w:tblCellMar>
        </w:tblPrEx>
        <w:trPr>
          <w:wBefore w:w="0" w:type="auto"/>
          <w:tblCellSpacing w:w="0" w:type="dxa"/>
        </w:trPr>
        <w:tc>
          <w:tcPr>
            <w:tcW w:w="0" w:type="auto"/>
            <w:noWrap w:val="0"/>
            <w:vAlign w:val="center"/>
          </w:tcPr>
          <w:p w14:paraId="3F507515">
            <w:r>
              <w:rPr>
                <w:rStyle w:val="10"/>
                <w:rFonts w:hint="eastAsia"/>
              </w:rPr>
              <w:t>剂型：</w:t>
            </w:r>
            <w:r>
              <w:rPr>
                <w:rFonts w:hint="eastAsia"/>
              </w:rPr>
              <w:t>水分散粒剂</w:t>
            </w:r>
          </w:p>
        </w:tc>
      </w:tr>
      <w:tr w14:paraId="61D90411">
        <w:tblPrEx>
          <w:tblCellMar>
            <w:top w:w="0" w:type="dxa"/>
            <w:left w:w="0" w:type="dxa"/>
            <w:bottom w:w="0" w:type="dxa"/>
            <w:right w:w="0" w:type="dxa"/>
          </w:tblCellMar>
        </w:tblPrEx>
        <w:trPr>
          <w:wBefore w:w="0" w:type="auto"/>
          <w:tblCellSpacing w:w="0" w:type="dxa"/>
        </w:trPr>
        <w:tc>
          <w:tcPr>
            <w:tcW w:w="0" w:type="auto"/>
            <w:noWrap w:val="0"/>
            <w:vAlign w:val="center"/>
          </w:tcPr>
          <w:p w14:paraId="3AEFC158">
            <w:r>
              <w:rPr>
                <w:rStyle w:val="10"/>
                <w:rFonts w:hint="eastAsia"/>
              </w:rPr>
              <w:t>毒性及其标识：</w:t>
            </w:r>
            <w:r>
              <w:rPr>
                <w:rFonts w:hint="eastAsia"/>
              </w:rPr>
              <w:t xml:space="preserve"> </w:t>
            </w:r>
            <w:r>
              <w:rPr>
                <w:lang/>
              </w:rPr>
              <w:drawing>
                <wp:inline distT="0" distB="0" distL="114300" distR="114300">
                  <wp:extent cx="476250" cy="323850"/>
                  <wp:effectExtent l="0" t="0" r="0" b="0"/>
                  <wp:docPr id="23" name="图片 2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F09485D">
        <w:tblPrEx>
          <w:tblCellMar>
            <w:top w:w="0" w:type="dxa"/>
            <w:left w:w="0" w:type="dxa"/>
            <w:bottom w:w="0" w:type="dxa"/>
            <w:right w:w="0" w:type="dxa"/>
          </w:tblCellMar>
        </w:tblPrEx>
        <w:trPr>
          <w:wBefore w:w="0" w:type="auto"/>
          <w:tblCellSpacing w:w="0" w:type="dxa"/>
        </w:trPr>
        <w:tc>
          <w:tcPr>
            <w:tcW w:w="0" w:type="auto"/>
            <w:noWrap w:val="0"/>
            <w:vAlign w:val="center"/>
          </w:tcPr>
          <w:p w14:paraId="6F42AE3A">
            <w:r>
              <w:rPr>
                <w:rStyle w:val="10"/>
                <w:rFonts w:hint="eastAsia"/>
              </w:rPr>
              <w:t>总有效成分含量：</w:t>
            </w:r>
            <w:r>
              <w:rPr>
                <w:rFonts w:hint="eastAsia"/>
              </w:rPr>
              <w:t>60%</w:t>
            </w:r>
          </w:p>
        </w:tc>
      </w:tr>
      <w:tr w14:paraId="7A69F684">
        <w:tblPrEx>
          <w:tblCellMar>
            <w:top w:w="0" w:type="dxa"/>
            <w:left w:w="0" w:type="dxa"/>
            <w:bottom w:w="0" w:type="dxa"/>
            <w:right w:w="0" w:type="dxa"/>
          </w:tblCellMar>
        </w:tblPrEx>
        <w:trPr>
          <w:wBefore w:w="0" w:type="auto"/>
          <w:tblCellSpacing w:w="0" w:type="dxa"/>
        </w:trPr>
        <w:tc>
          <w:tcPr>
            <w:tcW w:w="0" w:type="auto"/>
            <w:noWrap w:val="0"/>
            <w:vAlign w:val="center"/>
          </w:tcPr>
          <w:p w14:paraId="60965E00">
            <w:r>
              <w:rPr>
                <w:rFonts w:hint="eastAsia"/>
              </w:rPr>
              <w:t xml:space="preserve">有效成分及其含量： </w:t>
            </w:r>
          </w:p>
          <w:p w14:paraId="0CA7DC0F">
            <w:r>
              <w:rPr>
                <w:rFonts w:hint="eastAsia"/>
              </w:rPr>
              <w:t xml:space="preserve">    呋虫胺40%    茚虫威20%    </w:t>
            </w:r>
          </w:p>
        </w:tc>
      </w:tr>
      <w:tr w14:paraId="61F0D000">
        <w:tblPrEx>
          <w:tblCellMar>
            <w:top w:w="0" w:type="dxa"/>
            <w:left w:w="0" w:type="dxa"/>
            <w:bottom w:w="0" w:type="dxa"/>
            <w:right w:w="0" w:type="dxa"/>
          </w:tblCellMar>
        </w:tblPrEx>
        <w:trPr>
          <w:wBefore w:w="0" w:type="auto"/>
          <w:tblCellSpacing w:w="0" w:type="dxa"/>
        </w:trPr>
        <w:tc>
          <w:tcPr>
            <w:tcW w:w="0" w:type="auto"/>
            <w:noWrap w:val="0"/>
            <w:vAlign w:val="center"/>
          </w:tcPr>
          <w:p w14:paraId="5ACF648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86E57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D1D30F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ED50C0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B1A01B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DCAE328">
                  <w:r>
                    <w:rPr>
                      <w:rStyle w:val="11"/>
                      <w:rFonts w:hint="eastAsia"/>
                    </w:rPr>
                    <w:t>施用方式</w:t>
                  </w:r>
                </w:p>
              </w:tc>
            </w:tr>
            <w:tr w14:paraId="3897CC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720A609">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41340F">
                  <w:r>
                    <w:rPr>
                      <w:rStyle w:val="11"/>
                      <w:rFonts w:hint="eastAsia"/>
                    </w:rPr>
                    <w:t>二化螟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21EBDB">
                  <w:r>
                    <w:rPr>
                      <w:rStyle w:val="11"/>
                      <w:rFonts w:hint="eastAsia"/>
                    </w:rPr>
                    <w:t>8-10克/亩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3B0543">
                  <w:r>
                    <w:rPr>
                      <w:rStyle w:val="11"/>
                      <w:rFonts w:hint="eastAsia"/>
                    </w:rPr>
                    <w:t>喷雾</w:t>
                  </w:r>
                </w:p>
              </w:tc>
            </w:tr>
          </w:tbl>
          <w:p w14:paraId="4D44239C">
            <w:pPr>
              <w:rPr>
                <w:rFonts w:ascii="Times New Roman" w:hAnsi="Times New Roman" w:cs="Times New Roman"/>
                <w:sz w:val="20"/>
                <w:szCs w:val="20"/>
              </w:rPr>
            </w:pPr>
          </w:p>
        </w:tc>
      </w:tr>
      <w:tr w14:paraId="4842D118">
        <w:tblPrEx>
          <w:tblCellMar>
            <w:top w:w="0" w:type="dxa"/>
            <w:left w:w="0" w:type="dxa"/>
            <w:bottom w:w="0" w:type="dxa"/>
            <w:right w:w="0" w:type="dxa"/>
          </w:tblCellMar>
        </w:tblPrEx>
        <w:trPr>
          <w:wBefore w:w="0" w:type="auto"/>
          <w:tblCellSpacing w:w="0" w:type="dxa"/>
        </w:trPr>
        <w:tc>
          <w:tcPr>
            <w:tcW w:w="0" w:type="auto"/>
            <w:noWrap w:val="0"/>
            <w:vAlign w:val="center"/>
          </w:tcPr>
          <w:p w14:paraId="4CF09CA8">
            <w:r>
              <w:rPr>
                <w:rStyle w:val="10"/>
                <w:rFonts w:hint="eastAsia"/>
              </w:rPr>
              <w:t>使用技术要求:</w:t>
            </w:r>
            <w:r>
              <w:rPr>
                <w:rFonts w:hint="eastAsia"/>
              </w:rPr>
              <w:br w:type="textWrapping"/>
            </w:r>
            <w:r>
              <w:rPr>
                <w:rStyle w:val="11"/>
                <w:rFonts w:hint="eastAsia"/>
              </w:rPr>
              <w:t>1. 防治稻飞虱在卵孵化高峰期至低龄若虫盛发期施药；防治二化螟、稻纵卷叶螟在卵孵化高峰期至低龄幼虫盛发期施药。注意要均匀喷施。 2.大风天或预计1小时内降雨，请勿施药。 3. 安全间隔期21天，每季最多使用1次。</w:t>
            </w:r>
          </w:p>
        </w:tc>
      </w:tr>
      <w:tr w14:paraId="23D42ED3">
        <w:tblPrEx>
          <w:tblCellMar>
            <w:top w:w="0" w:type="dxa"/>
            <w:left w:w="0" w:type="dxa"/>
            <w:bottom w:w="0" w:type="dxa"/>
            <w:right w:w="0" w:type="dxa"/>
          </w:tblCellMar>
        </w:tblPrEx>
        <w:trPr>
          <w:wBefore w:w="0" w:type="auto"/>
          <w:tblCellSpacing w:w="0" w:type="dxa"/>
        </w:trPr>
        <w:tc>
          <w:tcPr>
            <w:tcW w:w="0" w:type="auto"/>
            <w:noWrap w:val="0"/>
            <w:vAlign w:val="center"/>
          </w:tcPr>
          <w:p w14:paraId="5BED2421">
            <w:r>
              <w:rPr>
                <w:rStyle w:val="10"/>
                <w:rFonts w:hint="eastAsia"/>
              </w:rPr>
              <w:t>产品性能:</w:t>
            </w:r>
            <w:r>
              <w:rPr>
                <w:rFonts w:hint="eastAsia"/>
              </w:rPr>
              <w:br w:type="textWrapping"/>
            </w:r>
            <w:r>
              <w:rPr>
                <w:rStyle w:val="11"/>
                <w:rFonts w:hint="eastAsia"/>
              </w:rPr>
              <w:t>本品是新烟碱类和噁二嗪类复配而成的杀虫剂，作用于昆虫神经传递系统，具有触杀、胃毒作用。可用于防治水稻稻飞虱、二化螟和稻纵卷叶螟等害虫。</w:t>
            </w:r>
          </w:p>
        </w:tc>
      </w:tr>
      <w:tr w14:paraId="7E767343">
        <w:tblPrEx>
          <w:tblCellMar>
            <w:top w:w="0" w:type="dxa"/>
            <w:left w:w="0" w:type="dxa"/>
            <w:bottom w:w="0" w:type="dxa"/>
            <w:right w:w="0" w:type="dxa"/>
          </w:tblCellMar>
        </w:tblPrEx>
        <w:trPr>
          <w:wBefore w:w="0" w:type="auto"/>
          <w:tblCellSpacing w:w="0" w:type="dxa"/>
        </w:trPr>
        <w:tc>
          <w:tcPr>
            <w:tcW w:w="0" w:type="auto"/>
            <w:noWrap w:val="0"/>
            <w:vAlign w:val="center"/>
          </w:tcPr>
          <w:p w14:paraId="798FB26C">
            <w:r>
              <w:rPr>
                <w:rStyle w:val="10"/>
                <w:rFonts w:hint="eastAsia"/>
              </w:rPr>
              <w:t>注意事项：</w:t>
            </w:r>
            <w:r>
              <w:rPr>
                <w:rFonts w:hint="eastAsia"/>
              </w:rPr>
              <w:br w:type="textWrapping"/>
            </w:r>
            <w:r>
              <w:rPr>
                <w:rStyle w:val="11"/>
                <w:rFonts w:hint="eastAsia"/>
              </w:rPr>
              <w:t>1、本品对家蚕、蜜蜂、赤眼蜂毒性高，蚕室和桑园、赤眼蜂等天敌放飞区禁用，养蜂场所和蜜源植物开花期禁用，使用时密切关注对周围蜂群的影响。2、使用本品时应穿戴防护服和手套，避免吸入药液。施药期间不可吃东西和饮水。施药后应及时洗手和洗脸。3、远离水产养殖区、河塘等水体施药；禁止在河塘等水体中清洗施药器具；鱼或虾蟹套养稻田禁用；施药后的田水不得直接排入水体；周围开花植物花期禁用；蚕室及桑园附近禁用；赤眼蜂等天敌放飞区域禁用。4、孕妇和哺乳期妇女禁止接触。5、用过的容器应妥善处理，不可做他用，也不可随意丢弃。</w:t>
            </w:r>
          </w:p>
        </w:tc>
      </w:tr>
      <w:tr w14:paraId="58EA52C2">
        <w:tblPrEx>
          <w:tblCellMar>
            <w:top w:w="0" w:type="dxa"/>
            <w:left w:w="0" w:type="dxa"/>
            <w:bottom w:w="0" w:type="dxa"/>
            <w:right w:w="0" w:type="dxa"/>
          </w:tblCellMar>
        </w:tblPrEx>
        <w:trPr>
          <w:wBefore w:w="0" w:type="auto"/>
          <w:tblCellSpacing w:w="0" w:type="dxa"/>
        </w:trPr>
        <w:tc>
          <w:tcPr>
            <w:tcW w:w="0" w:type="auto"/>
            <w:noWrap w:val="0"/>
            <w:vAlign w:val="center"/>
          </w:tcPr>
          <w:p w14:paraId="4FB71DE0">
            <w:r>
              <w:rPr>
                <w:rStyle w:val="10"/>
                <w:rFonts w:hint="eastAsia"/>
              </w:rPr>
              <w:t>中毒急救措施：</w:t>
            </w:r>
            <w:r>
              <w:rPr>
                <w:rFonts w:hint="eastAsia"/>
              </w:rPr>
              <w:br w:type="textWrapping"/>
            </w:r>
            <w:r>
              <w:rPr>
                <w:rStyle w:val="11"/>
                <w:rFonts w:hint="eastAsia"/>
              </w:rPr>
              <w:t>皮肤接触：立即脱掉污染的衣服和鞋子，并立即用肥皂和大量的水冲洗。眼睛接触：用大量水彻底冲洗至少15分钟，包括眼睑。如果眼睛受刺激症状持续，请及时就医。误吸：转移到新鲜空气处，就医。误服：立即携此标签就医，没有医生的建议不要催吐。无特效解毒剂，对症治疗。</w:t>
            </w:r>
          </w:p>
        </w:tc>
      </w:tr>
      <w:tr w14:paraId="1EC96D8B">
        <w:tblPrEx>
          <w:tblCellMar>
            <w:top w:w="0" w:type="dxa"/>
            <w:left w:w="0" w:type="dxa"/>
            <w:bottom w:w="0" w:type="dxa"/>
            <w:right w:w="0" w:type="dxa"/>
          </w:tblCellMar>
        </w:tblPrEx>
        <w:trPr>
          <w:wBefore w:w="0" w:type="auto"/>
          <w:tblCellSpacing w:w="0" w:type="dxa"/>
        </w:trPr>
        <w:tc>
          <w:tcPr>
            <w:tcW w:w="0" w:type="auto"/>
            <w:noWrap w:val="0"/>
            <w:vAlign w:val="center"/>
          </w:tcPr>
          <w:p w14:paraId="60ADB879">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及易燃易爆物等其他商品同贮同运。运输中确保不泄露、不倒塌、不坠落、不损坏，轻装轻卸，防高温、雨淋，运输车辆应配备相应品种和数量的消防器材及泄漏应急处理设备。公路运输时要按规定路线行驶，勿在居民区和人口稠密区停留。</w:t>
            </w:r>
          </w:p>
        </w:tc>
      </w:tr>
      <w:tr w14:paraId="5C1399BF">
        <w:tblPrEx>
          <w:tblCellMar>
            <w:top w:w="0" w:type="dxa"/>
            <w:left w:w="0" w:type="dxa"/>
            <w:bottom w:w="0" w:type="dxa"/>
            <w:right w:w="0" w:type="dxa"/>
          </w:tblCellMar>
        </w:tblPrEx>
        <w:trPr>
          <w:wBefore w:w="0" w:type="auto"/>
          <w:tblCellSpacing w:w="0" w:type="dxa"/>
        </w:trPr>
        <w:tc>
          <w:tcPr>
            <w:tcW w:w="0" w:type="auto"/>
            <w:noWrap w:val="0"/>
            <w:vAlign w:val="center"/>
          </w:tcPr>
          <w:p w14:paraId="0083CBBA">
            <w:r>
              <w:rPr>
                <w:rStyle w:val="10"/>
                <w:rFonts w:hint="eastAsia"/>
              </w:rPr>
              <w:t>质量保证期：</w:t>
            </w:r>
            <w:r>
              <w:rPr>
                <w:rStyle w:val="11"/>
                <w:rFonts w:hint="eastAsia"/>
              </w:rPr>
              <w:t>2年</w:t>
            </w:r>
          </w:p>
        </w:tc>
      </w:tr>
      <w:tr w14:paraId="1D977AE6">
        <w:tblPrEx>
          <w:tblCellMar>
            <w:top w:w="0" w:type="dxa"/>
            <w:left w:w="0" w:type="dxa"/>
            <w:bottom w:w="0" w:type="dxa"/>
            <w:right w:w="0" w:type="dxa"/>
          </w:tblCellMar>
        </w:tblPrEx>
        <w:trPr>
          <w:wBefore w:w="0" w:type="auto"/>
          <w:tblCellSpacing w:w="0" w:type="dxa"/>
        </w:trPr>
        <w:tc>
          <w:tcPr>
            <w:tcW w:w="0" w:type="auto"/>
            <w:noWrap w:val="0"/>
            <w:vAlign w:val="center"/>
          </w:tcPr>
          <w:p w14:paraId="35F3DC35">
            <w:r>
              <w:rPr>
                <w:rStyle w:val="10"/>
                <w:rFonts w:hint="eastAsia"/>
              </w:rPr>
              <w:t>备注：</w:t>
            </w:r>
          </w:p>
        </w:tc>
      </w:tr>
    </w:tbl>
    <w:p w14:paraId="4F07C86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2B11F49">
        <w:tblPrEx>
          <w:tblCellMar>
            <w:top w:w="0" w:type="dxa"/>
            <w:left w:w="0" w:type="dxa"/>
            <w:bottom w:w="0" w:type="dxa"/>
            <w:right w:w="0" w:type="dxa"/>
          </w:tblCellMar>
        </w:tblPrEx>
        <w:trPr>
          <w:wBefore w:w="0" w:type="auto"/>
          <w:tblCellSpacing w:w="0" w:type="dxa"/>
        </w:trPr>
        <w:tc>
          <w:tcPr>
            <w:tcW w:w="0" w:type="auto"/>
            <w:noWrap w:val="0"/>
            <w:vAlign w:val="center"/>
          </w:tcPr>
          <w:p w14:paraId="18C31707">
            <w:r>
              <w:rPr>
                <w:rStyle w:val="10"/>
                <w:rFonts w:hint="eastAsia"/>
              </w:rPr>
              <w:t>登记证号：</w:t>
            </w:r>
            <w:r>
              <w:rPr>
                <w:rFonts w:hint="eastAsia"/>
              </w:rPr>
              <w:t>PD20171089</w:t>
            </w:r>
          </w:p>
        </w:tc>
      </w:tr>
      <w:tr w14:paraId="3DD07D8D">
        <w:tblPrEx>
          <w:tblCellMar>
            <w:top w:w="0" w:type="dxa"/>
            <w:left w:w="0" w:type="dxa"/>
            <w:bottom w:w="0" w:type="dxa"/>
            <w:right w:w="0" w:type="dxa"/>
          </w:tblCellMar>
        </w:tblPrEx>
        <w:trPr>
          <w:wBefore w:w="0" w:type="auto"/>
          <w:tblCellSpacing w:w="0" w:type="dxa"/>
        </w:trPr>
        <w:tc>
          <w:tcPr>
            <w:tcW w:w="0" w:type="auto"/>
            <w:noWrap w:val="0"/>
            <w:vAlign w:val="center"/>
          </w:tcPr>
          <w:p w14:paraId="3F47D7CB">
            <w:r>
              <w:rPr>
                <w:rStyle w:val="10"/>
                <w:rFonts w:hint="eastAsia"/>
              </w:rPr>
              <w:t>登记证持有人：</w:t>
            </w:r>
            <w:r>
              <w:rPr>
                <w:rFonts w:hint="eastAsia"/>
              </w:rPr>
              <w:t>山东中新科农生物科技有限公司</w:t>
            </w:r>
          </w:p>
        </w:tc>
      </w:tr>
      <w:tr w14:paraId="7E3DDC53">
        <w:tblPrEx>
          <w:tblCellMar>
            <w:top w:w="0" w:type="dxa"/>
            <w:left w:w="0" w:type="dxa"/>
            <w:bottom w:w="0" w:type="dxa"/>
            <w:right w:w="0" w:type="dxa"/>
          </w:tblCellMar>
        </w:tblPrEx>
        <w:trPr>
          <w:wBefore w:w="0" w:type="auto"/>
          <w:tblCellSpacing w:w="0" w:type="dxa"/>
        </w:trPr>
        <w:tc>
          <w:tcPr>
            <w:tcW w:w="0" w:type="auto"/>
            <w:noWrap w:val="0"/>
            <w:vAlign w:val="center"/>
          </w:tcPr>
          <w:p w14:paraId="14952D55">
            <w:r>
              <w:rPr>
                <w:rStyle w:val="10"/>
                <w:rFonts w:hint="eastAsia"/>
              </w:rPr>
              <w:t>农药名称：</w:t>
            </w:r>
            <w:r>
              <w:rPr>
                <w:rFonts w:hint="eastAsia"/>
              </w:rPr>
              <w:t>草甘膦异丙胺盐</w:t>
            </w:r>
          </w:p>
        </w:tc>
      </w:tr>
      <w:tr w14:paraId="19F9276F">
        <w:tblPrEx>
          <w:tblCellMar>
            <w:top w:w="0" w:type="dxa"/>
            <w:left w:w="0" w:type="dxa"/>
            <w:bottom w:w="0" w:type="dxa"/>
            <w:right w:w="0" w:type="dxa"/>
          </w:tblCellMar>
        </w:tblPrEx>
        <w:trPr>
          <w:wBefore w:w="0" w:type="auto"/>
          <w:tblCellSpacing w:w="0" w:type="dxa"/>
        </w:trPr>
        <w:tc>
          <w:tcPr>
            <w:tcW w:w="0" w:type="auto"/>
            <w:noWrap w:val="0"/>
            <w:vAlign w:val="center"/>
          </w:tcPr>
          <w:p w14:paraId="2EC9A6D9">
            <w:r>
              <w:rPr>
                <w:rStyle w:val="10"/>
                <w:rFonts w:hint="eastAsia"/>
              </w:rPr>
              <w:t>剂型：</w:t>
            </w:r>
            <w:r>
              <w:rPr>
                <w:rFonts w:hint="eastAsia"/>
              </w:rPr>
              <w:t>可溶液剂</w:t>
            </w:r>
          </w:p>
        </w:tc>
      </w:tr>
      <w:tr w14:paraId="64FBED9A">
        <w:tblPrEx>
          <w:tblCellMar>
            <w:top w:w="0" w:type="dxa"/>
            <w:left w:w="0" w:type="dxa"/>
            <w:bottom w:w="0" w:type="dxa"/>
            <w:right w:w="0" w:type="dxa"/>
          </w:tblCellMar>
        </w:tblPrEx>
        <w:trPr>
          <w:wBefore w:w="0" w:type="auto"/>
          <w:tblCellSpacing w:w="0" w:type="dxa"/>
        </w:trPr>
        <w:tc>
          <w:tcPr>
            <w:tcW w:w="0" w:type="auto"/>
            <w:noWrap w:val="0"/>
            <w:vAlign w:val="center"/>
          </w:tcPr>
          <w:p w14:paraId="765E2CE3">
            <w:r>
              <w:rPr>
                <w:rStyle w:val="10"/>
                <w:rFonts w:hint="eastAsia"/>
              </w:rPr>
              <w:t>毒性及其标识：</w:t>
            </w:r>
            <w:r>
              <w:rPr>
                <w:rFonts w:hint="eastAsia"/>
              </w:rPr>
              <w:t xml:space="preserve"> </w:t>
            </w:r>
            <w:r>
              <w:rPr>
                <w:lang/>
              </w:rPr>
              <w:drawing>
                <wp:inline distT="0" distB="0" distL="114300" distR="114300">
                  <wp:extent cx="476250" cy="323850"/>
                  <wp:effectExtent l="0" t="0" r="0" b="0"/>
                  <wp:docPr id="24" name="图片 2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231BC8E">
        <w:tblPrEx>
          <w:tblCellMar>
            <w:top w:w="0" w:type="dxa"/>
            <w:left w:w="0" w:type="dxa"/>
            <w:bottom w:w="0" w:type="dxa"/>
            <w:right w:w="0" w:type="dxa"/>
          </w:tblCellMar>
        </w:tblPrEx>
        <w:trPr>
          <w:wBefore w:w="0" w:type="auto"/>
          <w:tblCellSpacing w:w="0" w:type="dxa"/>
        </w:trPr>
        <w:tc>
          <w:tcPr>
            <w:tcW w:w="0" w:type="auto"/>
            <w:noWrap w:val="0"/>
            <w:vAlign w:val="center"/>
          </w:tcPr>
          <w:p w14:paraId="2D6A7456">
            <w:r>
              <w:rPr>
                <w:rStyle w:val="10"/>
                <w:rFonts w:hint="eastAsia"/>
              </w:rPr>
              <w:t>总有效成分含量：</w:t>
            </w:r>
            <w:r>
              <w:rPr>
                <w:rFonts w:hint="eastAsia"/>
              </w:rPr>
              <w:t>41%</w:t>
            </w:r>
          </w:p>
        </w:tc>
      </w:tr>
      <w:tr w14:paraId="1BDC5E28">
        <w:tblPrEx>
          <w:tblCellMar>
            <w:top w:w="0" w:type="dxa"/>
            <w:left w:w="0" w:type="dxa"/>
            <w:bottom w:w="0" w:type="dxa"/>
            <w:right w:w="0" w:type="dxa"/>
          </w:tblCellMar>
        </w:tblPrEx>
        <w:trPr>
          <w:wBefore w:w="0" w:type="auto"/>
          <w:tblCellSpacing w:w="0" w:type="dxa"/>
        </w:trPr>
        <w:tc>
          <w:tcPr>
            <w:tcW w:w="0" w:type="auto"/>
            <w:noWrap w:val="0"/>
            <w:vAlign w:val="center"/>
          </w:tcPr>
          <w:p w14:paraId="45180B7A">
            <w:r>
              <w:rPr>
                <w:rFonts w:hint="eastAsia"/>
              </w:rPr>
              <w:t xml:space="preserve">有效成分及其含量： </w:t>
            </w:r>
          </w:p>
          <w:p w14:paraId="76833C93">
            <w:r>
              <w:rPr>
                <w:rFonts w:hint="eastAsia"/>
              </w:rPr>
              <w:t xml:space="preserve">    草甘膦30%    </w:t>
            </w:r>
          </w:p>
        </w:tc>
      </w:tr>
      <w:tr w14:paraId="3D0681F2">
        <w:tblPrEx>
          <w:tblCellMar>
            <w:top w:w="0" w:type="dxa"/>
            <w:left w:w="0" w:type="dxa"/>
            <w:bottom w:w="0" w:type="dxa"/>
            <w:right w:w="0" w:type="dxa"/>
          </w:tblCellMar>
        </w:tblPrEx>
        <w:trPr>
          <w:wBefore w:w="0" w:type="auto"/>
          <w:tblCellSpacing w:w="0" w:type="dxa"/>
        </w:trPr>
        <w:tc>
          <w:tcPr>
            <w:tcW w:w="0" w:type="auto"/>
            <w:noWrap w:val="0"/>
            <w:vAlign w:val="center"/>
          </w:tcPr>
          <w:p w14:paraId="7C36364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69B3D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F17A20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E60E37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E234FE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EFA96C6">
                  <w:r>
                    <w:rPr>
                      <w:rStyle w:val="11"/>
                      <w:rFonts w:hint="eastAsia"/>
                    </w:rPr>
                    <w:t>施用方式</w:t>
                  </w:r>
                </w:p>
              </w:tc>
            </w:tr>
            <w:tr w14:paraId="3CB38F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D9E862">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FE63D9">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F6DD7E">
                  <w:r>
                    <w:rPr>
                      <w:rStyle w:val="11"/>
                      <w:rFonts w:hint="eastAsia"/>
                    </w:rPr>
                    <w:t>200-400克/亩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E1D7FA">
                  <w:r>
                    <w:rPr>
                      <w:rStyle w:val="11"/>
                      <w:rFonts w:hint="eastAsia"/>
                    </w:rPr>
                    <w:t>茎叶喷雾</w:t>
                  </w:r>
                </w:p>
              </w:tc>
            </w:tr>
          </w:tbl>
          <w:p w14:paraId="4EB02077">
            <w:pPr>
              <w:rPr>
                <w:rFonts w:ascii="Times New Roman" w:hAnsi="Times New Roman" w:cs="Times New Roman"/>
                <w:sz w:val="20"/>
                <w:szCs w:val="20"/>
              </w:rPr>
            </w:pPr>
          </w:p>
        </w:tc>
      </w:tr>
      <w:tr w14:paraId="38259229">
        <w:tblPrEx>
          <w:tblCellMar>
            <w:top w:w="0" w:type="dxa"/>
            <w:left w:w="0" w:type="dxa"/>
            <w:bottom w:w="0" w:type="dxa"/>
            <w:right w:w="0" w:type="dxa"/>
          </w:tblCellMar>
        </w:tblPrEx>
        <w:trPr>
          <w:wBefore w:w="0" w:type="auto"/>
          <w:tblCellSpacing w:w="0" w:type="dxa"/>
        </w:trPr>
        <w:tc>
          <w:tcPr>
            <w:tcW w:w="0" w:type="auto"/>
            <w:noWrap w:val="0"/>
            <w:vAlign w:val="center"/>
          </w:tcPr>
          <w:p w14:paraId="5DFC8408">
            <w:r>
              <w:rPr>
                <w:rStyle w:val="10"/>
                <w:rFonts w:hint="eastAsia"/>
              </w:rPr>
              <w:t>使用技术要求:</w:t>
            </w:r>
            <w:r>
              <w:rPr>
                <w:rFonts w:hint="eastAsia"/>
              </w:rPr>
              <w:br w:type="textWrapping"/>
            </w:r>
            <w:r>
              <w:rPr>
                <w:rStyle w:val="11"/>
                <w:rFonts w:hint="eastAsia"/>
              </w:rPr>
              <w:t>1、本品适宜的施药时期为非耕地杂草生长旺盛期施药，喷雾1次，均匀、周到喷雾，以确保防效。 2、大风天或预计1小时内降雨，请勿施药。喷药后4小时内下雨，药效会降低，建议补喷。 3、温暖晴天施药效果优于低温天气。</w:t>
            </w:r>
          </w:p>
        </w:tc>
      </w:tr>
      <w:tr w14:paraId="773AA091">
        <w:tblPrEx>
          <w:tblCellMar>
            <w:top w:w="0" w:type="dxa"/>
            <w:left w:w="0" w:type="dxa"/>
            <w:bottom w:w="0" w:type="dxa"/>
            <w:right w:w="0" w:type="dxa"/>
          </w:tblCellMar>
        </w:tblPrEx>
        <w:trPr>
          <w:wBefore w:w="0" w:type="auto"/>
          <w:tblCellSpacing w:w="0" w:type="dxa"/>
        </w:trPr>
        <w:tc>
          <w:tcPr>
            <w:tcW w:w="0" w:type="auto"/>
            <w:noWrap w:val="0"/>
            <w:vAlign w:val="center"/>
          </w:tcPr>
          <w:p w14:paraId="2C9440B4">
            <w:r>
              <w:rPr>
                <w:rStyle w:val="10"/>
                <w:rFonts w:hint="eastAsia"/>
              </w:rPr>
              <w:t>产品性能:</w:t>
            </w:r>
            <w:r>
              <w:rPr>
                <w:rFonts w:hint="eastAsia"/>
              </w:rPr>
              <w:br w:type="textWrapping"/>
            </w:r>
            <w:r>
              <w:rPr>
                <w:rStyle w:val="11"/>
                <w:rFonts w:hint="eastAsia"/>
              </w:rPr>
              <w:t>本品是一种灭生性内吸传导型茎叶处理除草剂，通过植物绿色部位吸收，将杂草连根杀死。</w:t>
            </w:r>
          </w:p>
        </w:tc>
      </w:tr>
      <w:tr w14:paraId="72F86511">
        <w:tblPrEx>
          <w:tblCellMar>
            <w:top w:w="0" w:type="dxa"/>
            <w:left w:w="0" w:type="dxa"/>
            <w:bottom w:w="0" w:type="dxa"/>
            <w:right w:w="0" w:type="dxa"/>
          </w:tblCellMar>
        </w:tblPrEx>
        <w:trPr>
          <w:wBefore w:w="0" w:type="auto"/>
          <w:tblCellSpacing w:w="0" w:type="dxa"/>
        </w:trPr>
        <w:tc>
          <w:tcPr>
            <w:tcW w:w="0" w:type="auto"/>
            <w:noWrap w:val="0"/>
            <w:vAlign w:val="center"/>
          </w:tcPr>
          <w:p w14:paraId="50B6D850">
            <w:r>
              <w:rPr>
                <w:rStyle w:val="10"/>
                <w:rFonts w:hint="eastAsia"/>
              </w:rPr>
              <w:t>注意事项：</w:t>
            </w:r>
            <w:r>
              <w:rPr>
                <w:rFonts w:hint="eastAsia"/>
              </w:rPr>
              <w:br w:type="textWrapping"/>
            </w:r>
            <w:r>
              <w:rPr>
                <w:rStyle w:val="11"/>
                <w:rFonts w:hint="eastAsia"/>
              </w:rPr>
              <w:t>1、严格按规定用药量和方法使用。 2、本品勿用浊水稀释，以免降低药效，应使用清洁的软水配制药液。 3、本品为非选择性除草剂，因此施药时应防止药液漂移到非靶标作物茎叶上，以免方式要害。 4、避免孕妇及哺乳期的妇女接触。 5、禁止在河塘等水体中清洗施药器具。 6、使用本品时应穿戴防护服和手套，避免吸入药液。施药期间不可吃东西和饮水。施药后应及时洗手和洗脸。用药后包装物妥善处理，勿污染环境。</w:t>
            </w:r>
          </w:p>
        </w:tc>
      </w:tr>
      <w:tr w14:paraId="6110DEAB">
        <w:tblPrEx>
          <w:tblCellMar>
            <w:top w:w="0" w:type="dxa"/>
            <w:left w:w="0" w:type="dxa"/>
            <w:bottom w:w="0" w:type="dxa"/>
            <w:right w:w="0" w:type="dxa"/>
          </w:tblCellMar>
        </w:tblPrEx>
        <w:trPr>
          <w:wBefore w:w="0" w:type="auto"/>
          <w:tblCellSpacing w:w="0" w:type="dxa"/>
        </w:trPr>
        <w:tc>
          <w:tcPr>
            <w:tcW w:w="0" w:type="auto"/>
            <w:noWrap w:val="0"/>
            <w:vAlign w:val="center"/>
          </w:tcPr>
          <w:p w14:paraId="32A867CC">
            <w:r>
              <w:rPr>
                <w:rStyle w:val="10"/>
                <w:rFonts w:hint="eastAsia"/>
              </w:rPr>
              <w:t>中毒急救措施：</w:t>
            </w:r>
            <w:r>
              <w:rPr>
                <w:rFonts w:hint="eastAsia"/>
              </w:rPr>
              <w:br w:type="textWrapping"/>
            </w:r>
            <w:r>
              <w:rPr>
                <w:rStyle w:val="11"/>
                <w:rFonts w:hint="eastAsia"/>
              </w:rPr>
              <w:t>中毒症状；对皮肤、眼睛和上呼吸道有刺激作用。不慎接触皮肤或溅入眼睛，应用大量清水冲洗至少15分钟。不慎吸入，应迅速移至空气新鲜处。误服则立即饮入大量清水并立即就医诊治。</w:t>
            </w:r>
          </w:p>
        </w:tc>
      </w:tr>
      <w:tr w14:paraId="45E3A881">
        <w:tblPrEx>
          <w:tblCellMar>
            <w:top w:w="0" w:type="dxa"/>
            <w:left w:w="0" w:type="dxa"/>
            <w:bottom w:w="0" w:type="dxa"/>
            <w:right w:w="0" w:type="dxa"/>
          </w:tblCellMar>
        </w:tblPrEx>
        <w:trPr>
          <w:wBefore w:w="0" w:type="auto"/>
          <w:tblCellSpacing w:w="0" w:type="dxa"/>
        </w:trPr>
        <w:tc>
          <w:tcPr>
            <w:tcW w:w="0" w:type="auto"/>
            <w:noWrap w:val="0"/>
            <w:vAlign w:val="center"/>
          </w:tcPr>
          <w:p w14:paraId="6ECFDFEE">
            <w:r>
              <w:rPr>
                <w:rStyle w:val="10"/>
                <w:rFonts w:hint="eastAsia"/>
              </w:rPr>
              <w:t>储存和运输方法：</w:t>
            </w:r>
            <w:r>
              <w:rPr>
                <w:rFonts w:hint="eastAsia"/>
              </w:rPr>
              <w:br w:type="textWrapping"/>
            </w:r>
            <w:r>
              <w:rPr>
                <w:rStyle w:val="11"/>
                <w:rFonts w:hint="eastAsia"/>
              </w:rPr>
              <w:t>本品应贮存在干燥、阴凉、通风处，远离火源或热源。置于儿童触及不到之处，并加锁。勿与食品、饮料、饲料、粮食等其他商品同贮同运。用过的容器听妥善处理，不可做他用，也不可随意丢弃。</w:t>
            </w:r>
          </w:p>
        </w:tc>
      </w:tr>
      <w:tr w14:paraId="46A3B616">
        <w:tblPrEx>
          <w:tblCellMar>
            <w:top w:w="0" w:type="dxa"/>
            <w:left w:w="0" w:type="dxa"/>
            <w:bottom w:w="0" w:type="dxa"/>
            <w:right w:w="0" w:type="dxa"/>
          </w:tblCellMar>
        </w:tblPrEx>
        <w:trPr>
          <w:wBefore w:w="0" w:type="auto"/>
          <w:tblCellSpacing w:w="0" w:type="dxa"/>
        </w:trPr>
        <w:tc>
          <w:tcPr>
            <w:tcW w:w="0" w:type="auto"/>
            <w:noWrap w:val="0"/>
            <w:vAlign w:val="center"/>
          </w:tcPr>
          <w:p w14:paraId="422A30BA">
            <w:r>
              <w:rPr>
                <w:rStyle w:val="10"/>
                <w:rFonts w:hint="eastAsia"/>
              </w:rPr>
              <w:t>质量保证期：</w:t>
            </w:r>
            <w:r>
              <w:rPr>
                <w:rStyle w:val="11"/>
                <w:rFonts w:hint="eastAsia"/>
              </w:rPr>
              <w:t>2年</w:t>
            </w:r>
          </w:p>
        </w:tc>
      </w:tr>
      <w:tr w14:paraId="1176F490">
        <w:tblPrEx>
          <w:tblCellMar>
            <w:top w:w="0" w:type="dxa"/>
            <w:left w:w="0" w:type="dxa"/>
            <w:bottom w:w="0" w:type="dxa"/>
            <w:right w:w="0" w:type="dxa"/>
          </w:tblCellMar>
        </w:tblPrEx>
        <w:trPr>
          <w:wBefore w:w="0" w:type="auto"/>
          <w:tblCellSpacing w:w="0" w:type="dxa"/>
        </w:trPr>
        <w:tc>
          <w:tcPr>
            <w:tcW w:w="0" w:type="auto"/>
            <w:noWrap w:val="0"/>
            <w:vAlign w:val="center"/>
          </w:tcPr>
          <w:p w14:paraId="42F96D7C">
            <w:r>
              <w:rPr>
                <w:rStyle w:val="10"/>
                <w:rFonts w:hint="eastAsia"/>
              </w:rPr>
              <w:t>备注：</w:t>
            </w:r>
          </w:p>
        </w:tc>
      </w:tr>
    </w:tbl>
    <w:p w14:paraId="56C31CE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51D8442">
        <w:tblPrEx>
          <w:tblCellMar>
            <w:top w:w="0" w:type="dxa"/>
            <w:left w:w="0" w:type="dxa"/>
            <w:bottom w:w="0" w:type="dxa"/>
            <w:right w:w="0" w:type="dxa"/>
          </w:tblCellMar>
        </w:tblPrEx>
        <w:trPr>
          <w:wBefore w:w="0" w:type="auto"/>
          <w:tblCellSpacing w:w="0" w:type="dxa"/>
        </w:trPr>
        <w:tc>
          <w:tcPr>
            <w:tcW w:w="0" w:type="auto"/>
            <w:noWrap w:val="0"/>
            <w:vAlign w:val="center"/>
          </w:tcPr>
          <w:p w14:paraId="5D022F2A">
            <w:r>
              <w:rPr>
                <w:rStyle w:val="10"/>
                <w:rFonts w:hint="eastAsia"/>
              </w:rPr>
              <w:t>登记证号：</w:t>
            </w:r>
            <w:r>
              <w:rPr>
                <w:rFonts w:hint="eastAsia"/>
              </w:rPr>
              <w:t>PD20170416</w:t>
            </w:r>
          </w:p>
        </w:tc>
      </w:tr>
      <w:tr w14:paraId="37AF98AD">
        <w:tblPrEx>
          <w:tblCellMar>
            <w:top w:w="0" w:type="dxa"/>
            <w:left w:w="0" w:type="dxa"/>
            <w:bottom w:w="0" w:type="dxa"/>
            <w:right w:w="0" w:type="dxa"/>
          </w:tblCellMar>
        </w:tblPrEx>
        <w:trPr>
          <w:wBefore w:w="0" w:type="auto"/>
          <w:tblCellSpacing w:w="0" w:type="dxa"/>
        </w:trPr>
        <w:tc>
          <w:tcPr>
            <w:tcW w:w="0" w:type="auto"/>
            <w:noWrap w:val="0"/>
            <w:vAlign w:val="center"/>
          </w:tcPr>
          <w:p w14:paraId="1263BF1A">
            <w:r>
              <w:rPr>
                <w:rStyle w:val="10"/>
                <w:rFonts w:hint="eastAsia"/>
              </w:rPr>
              <w:t>登记证持有人：</w:t>
            </w:r>
            <w:r>
              <w:rPr>
                <w:rFonts w:hint="eastAsia"/>
              </w:rPr>
              <w:t>山东中新科农生物科技有限公司</w:t>
            </w:r>
          </w:p>
        </w:tc>
      </w:tr>
      <w:tr w14:paraId="5A8A9E87">
        <w:tblPrEx>
          <w:tblCellMar>
            <w:top w:w="0" w:type="dxa"/>
            <w:left w:w="0" w:type="dxa"/>
            <w:bottom w:w="0" w:type="dxa"/>
            <w:right w:w="0" w:type="dxa"/>
          </w:tblCellMar>
        </w:tblPrEx>
        <w:trPr>
          <w:wBefore w:w="0" w:type="auto"/>
          <w:tblCellSpacing w:w="0" w:type="dxa"/>
        </w:trPr>
        <w:tc>
          <w:tcPr>
            <w:tcW w:w="0" w:type="auto"/>
            <w:noWrap w:val="0"/>
            <w:vAlign w:val="center"/>
          </w:tcPr>
          <w:p w14:paraId="015FAF92">
            <w:r>
              <w:rPr>
                <w:rStyle w:val="10"/>
                <w:rFonts w:hint="eastAsia"/>
              </w:rPr>
              <w:t>农药名称：</w:t>
            </w:r>
            <w:r>
              <w:rPr>
                <w:rFonts w:hint="eastAsia"/>
              </w:rPr>
              <w:t>草甘膦异丙胺盐</w:t>
            </w:r>
          </w:p>
        </w:tc>
      </w:tr>
      <w:tr w14:paraId="28C66BBB">
        <w:tblPrEx>
          <w:tblCellMar>
            <w:top w:w="0" w:type="dxa"/>
            <w:left w:w="0" w:type="dxa"/>
            <w:bottom w:w="0" w:type="dxa"/>
            <w:right w:w="0" w:type="dxa"/>
          </w:tblCellMar>
        </w:tblPrEx>
        <w:trPr>
          <w:wBefore w:w="0" w:type="auto"/>
          <w:tblCellSpacing w:w="0" w:type="dxa"/>
        </w:trPr>
        <w:tc>
          <w:tcPr>
            <w:tcW w:w="0" w:type="auto"/>
            <w:noWrap w:val="0"/>
            <w:vAlign w:val="center"/>
          </w:tcPr>
          <w:p w14:paraId="4F9FF01A">
            <w:r>
              <w:rPr>
                <w:rStyle w:val="10"/>
                <w:rFonts w:hint="eastAsia"/>
              </w:rPr>
              <w:t>剂型：</w:t>
            </w:r>
            <w:r>
              <w:rPr>
                <w:rFonts w:hint="eastAsia"/>
              </w:rPr>
              <w:t>可溶液剂</w:t>
            </w:r>
          </w:p>
        </w:tc>
      </w:tr>
      <w:tr w14:paraId="453933C6">
        <w:tblPrEx>
          <w:tblCellMar>
            <w:top w:w="0" w:type="dxa"/>
            <w:left w:w="0" w:type="dxa"/>
            <w:bottom w:w="0" w:type="dxa"/>
            <w:right w:w="0" w:type="dxa"/>
          </w:tblCellMar>
        </w:tblPrEx>
        <w:trPr>
          <w:wBefore w:w="0" w:type="auto"/>
          <w:tblCellSpacing w:w="0" w:type="dxa"/>
        </w:trPr>
        <w:tc>
          <w:tcPr>
            <w:tcW w:w="0" w:type="auto"/>
            <w:noWrap w:val="0"/>
            <w:vAlign w:val="center"/>
          </w:tcPr>
          <w:p w14:paraId="5F998DCF">
            <w:r>
              <w:rPr>
                <w:rStyle w:val="10"/>
                <w:rFonts w:hint="eastAsia"/>
              </w:rPr>
              <w:t>毒性及其标识：</w:t>
            </w:r>
            <w:r>
              <w:rPr>
                <w:rFonts w:hint="eastAsia"/>
              </w:rPr>
              <w:t xml:space="preserve"> </w:t>
            </w:r>
            <w:r>
              <w:rPr>
                <w:lang/>
              </w:rPr>
              <w:drawing>
                <wp:inline distT="0" distB="0" distL="114300" distR="114300">
                  <wp:extent cx="476250" cy="323850"/>
                  <wp:effectExtent l="0" t="0" r="0" b="0"/>
                  <wp:docPr id="25" name="图片 2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86EB92D">
        <w:tblPrEx>
          <w:tblCellMar>
            <w:top w:w="0" w:type="dxa"/>
            <w:left w:w="0" w:type="dxa"/>
            <w:bottom w:w="0" w:type="dxa"/>
            <w:right w:w="0" w:type="dxa"/>
          </w:tblCellMar>
        </w:tblPrEx>
        <w:trPr>
          <w:wBefore w:w="0" w:type="auto"/>
          <w:tblCellSpacing w:w="0" w:type="dxa"/>
        </w:trPr>
        <w:tc>
          <w:tcPr>
            <w:tcW w:w="0" w:type="auto"/>
            <w:noWrap w:val="0"/>
            <w:vAlign w:val="center"/>
          </w:tcPr>
          <w:p w14:paraId="69F4E739">
            <w:r>
              <w:rPr>
                <w:rStyle w:val="10"/>
                <w:rFonts w:hint="eastAsia"/>
              </w:rPr>
              <w:t>总有效成分含量：</w:t>
            </w:r>
            <w:r>
              <w:rPr>
                <w:rFonts w:hint="eastAsia"/>
              </w:rPr>
              <w:t>41%</w:t>
            </w:r>
          </w:p>
        </w:tc>
      </w:tr>
      <w:tr w14:paraId="38BFC563">
        <w:tblPrEx>
          <w:tblCellMar>
            <w:top w:w="0" w:type="dxa"/>
            <w:left w:w="0" w:type="dxa"/>
            <w:bottom w:w="0" w:type="dxa"/>
            <w:right w:w="0" w:type="dxa"/>
          </w:tblCellMar>
        </w:tblPrEx>
        <w:trPr>
          <w:wBefore w:w="0" w:type="auto"/>
          <w:tblCellSpacing w:w="0" w:type="dxa"/>
        </w:trPr>
        <w:tc>
          <w:tcPr>
            <w:tcW w:w="0" w:type="auto"/>
            <w:noWrap w:val="0"/>
            <w:vAlign w:val="center"/>
          </w:tcPr>
          <w:p w14:paraId="1C140393">
            <w:r>
              <w:rPr>
                <w:rFonts w:hint="eastAsia"/>
              </w:rPr>
              <w:t xml:space="preserve">有效成分及其含量： </w:t>
            </w:r>
          </w:p>
          <w:p w14:paraId="13CE9A2A">
            <w:r>
              <w:rPr>
                <w:rFonts w:hint="eastAsia"/>
              </w:rPr>
              <w:t xml:space="preserve">    草甘膦41%    </w:t>
            </w:r>
          </w:p>
        </w:tc>
      </w:tr>
      <w:tr w14:paraId="6937E0AA">
        <w:tblPrEx>
          <w:tblCellMar>
            <w:top w:w="0" w:type="dxa"/>
            <w:left w:w="0" w:type="dxa"/>
            <w:bottom w:w="0" w:type="dxa"/>
            <w:right w:w="0" w:type="dxa"/>
          </w:tblCellMar>
        </w:tblPrEx>
        <w:trPr>
          <w:wBefore w:w="0" w:type="auto"/>
          <w:tblCellSpacing w:w="0" w:type="dxa"/>
        </w:trPr>
        <w:tc>
          <w:tcPr>
            <w:tcW w:w="0" w:type="auto"/>
            <w:noWrap w:val="0"/>
            <w:vAlign w:val="center"/>
          </w:tcPr>
          <w:p w14:paraId="724DB17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BE15D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7B13F1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ACD905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E8D8ED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FCF8484">
                  <w:r>
                    <w:rPr>
                      <w:rStyle w:val="11"/>
                      <w:rFonts w:hint="eastAsia"/>
                    </w:rPr>
                    <w:t>施用方式</w:t>
                  </w:r>
                </w:p>
              </w:tc>
            </w:tr>
            <w:tr w14:paraId="4A89BC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8C97FC0">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78FD92">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616849">
                  <w:r>
                    <w:rPr>
                      <w:rStyle w:val="11"/>
                      <w:rFonts w:hint="eastAsia"/>
                    </w:rPr>
                    <w:t>183-366毫升/亩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7B4CCA">
                  <w:r>
                    <w:rPr>
                      <w:rStyle w:val="11"/>
                      <w:rFonts w:hint="eastAsia"/>
                    </w:rPr>
                    <w:t>茎叶喷雾</w:t>
                  </w:r>
                </w:p>
              </w:tc>
            </w:tr>
          </w:tbl>
          <w:p w14:paraId="105A50E8">
            <w:pPr>
              <w:rPr>
                <w:rFonts w:ascii="Times New Roman" w:hAnsi="Times New Roman" w:cs="Times New Roman"/>
                <w:sz w:val="20"/>
                <w:szCs w:val="20"/>
              </w:rPr>
            </w:pPr>
          </w:p>
        </w:tc>
      </w:tr>
      <w:tr w14:paraId="06F24C25">
        <w:tblPrEx>
          <w:tblCellMar>
            <w:top w:w="0" w:type="dxa"/>
            <w:left w:w="0" w:type="dxa"/>
            <w:bottom w:w="0" w:type="dxa"/>
            <w:right w:w="0" w:type="dxa"/>
          </w:tblCellMar>
        </w:tblPrEx>
        <w:trPr>
          <w:wBefore w:w="0" w:type="auto"/>
          <w:tblCellSpacing w:w="0" w:type="dxa"/>
        </w:trPr>
        <w:tc>
          <w:tcPr>
            <w:tcW w:w="0" w:type="auto"/>
            <w:noWrap w:val="0"/>
            <w:vAlign w:val="center"/>
          </w:tcPr>
          <w:p w14:paraId="3D36F010">
            <w:r>
              <w:rPr>
                <w:rStyle w:val="10"/>
                <w:rFonts w:hint="eastAsia"/>
              </w:rPr>
              <w:t>使用技术要求:</w:t>
            </w:r>
            <w:r>
              <w:rPr>
                <w:rFonts w:hint="eastAsia"/>
              </w:rPr>
              <w:br w:type="textWrapping"/>
            </w:r>
            <w:r>
              <w:rPr>
                <w:rStyle w:val="11"/>
                <w:rFonts w:hint="eastAsia"/>
              </w:rPr>
              <w:t>1、本品用于防除非耕地杂草，应于非耕地杂草生长旺盛期，杂草株高15厘米以下，均匀茎叶喷雾施药。 2、本品为灭生性除草剂，宜在晴天露水干后喷药，用清水将本剂稀释后均匀喷雾在杂草叶面上，不得用污水、硬水，以免影响药效， 3、使用时应注意避免飘移到邻近作物田及果树幼嫩茎叶上，以免产生药害。 4、如施药后4-8小时内降雨，会降低药效，应补喷。 5、用清水稀释药液，否则会降低药效。</w:t>
            </w:r>
          </w:p>
        </w:tc>
      </w:tr>
      <w:tr w14:paraId="339A0E61">
        <w:tblPrEx>
          <w:tblCellMar>
            <w:top w:w="0" w:type="dxa"/>
            <w:left w:w="0" w:type="dxa"/>
            <w:bottom w:w="0" w:type="dxa"/>
            <w:right w:w="0" w:type="dxa"/>
          </w:tblCellMar>
        </w:tblPrEx>
        <w:trPr>
          <w:wBefore w:w="0" w:type="auto"/>
          <w:tblCellSpacing w:w="0" w:type="dxa"/>
        </w:trPr>
        <w:tc>
          <w:tcPr>
            <w:tcW w:w="0" w:type="auto"/>
            <w:noWrap w:val="0"/>
            <w:vAlign w:val="center"/>
          </w:tcPr>
          <w:p w14:paraId="361CA138">
            <w:r>
              <w:rPr>
                <w:rStyle w:val="10"/>
                <w:rFonts w:hint="eastAsia"/>
              </w:rPr>
              <w:t>产品性能:</w:t>
            </w:r>
            <w:r>
              <w:rPr>
                <w:rFonts w:hint="eastAsia"/>
              </w:rPr>
              <w:br w:type="textWrapping"/>
            </w:r>
            <w:r>
              <w:rPr>
                <w:rStyle w:val="11"/>
                <w:rFonts w:hint="eastAsia"/>
              </w:rPr>
              <w:t>本品为内吸传导型灭生性除草剂，主要通过抑制植物体内烯醇丙酮基莽草素磷酸合成酶，从而抑制莽草素向苯丙氨酸、酪氨酸 及色氨酸的转化，使蛋白质的合成受到干扰导致植物死亡。本品主要用于防除非耕地杂草。</w:t>
            </w:r>
          </w:p>
        </w:tc>
      </w:tr>
      <w:tr w14:paraId="1CA20529">
        <w:tblPrEx>
          <w:tblCellMar>
            <w:top w:w="0" w:type="dxa"/>
            <w:left w:w="0" w:type="dxa"/>
            <w:bottom w:w="0" w:type="dxa"/>
            <w:right w:w="0" w:type="dxa"/>
          </w:tblCellMar>
        </w:tblPrEx>
        <w:trPr>
          <w:wBefore w:w="0" w:type="auto"/>
          <w:tblCellSpacing w:w="0" w:type="dxa"/>
        </w:trPr>
        <w:tc>
          <w:tcPr>
            <w:tcW w:w="0" w:type="auto"/>
            <w:noWrap w:val="0"/>
            <w:vAlign w:val="center"/>
          </w:tcPr>
          <w:p w14:paraId="2B30F475">
            <w:r>
              <w:rPr>
                <w:rStyle w:val="10"/>
                <w:rFonts w:hint="eastAsia"/>
              </w:rPr>
              <w:t>注意事项：</w:t>
            </w:r>
            <w:r>
              <w:rPr>
                <w:rFonts w:hint="eastAsia"/>
              </w:rPr>
              <w:br w:type="textWrapping"/>
            </w:r>
            <w:r>
              <w:rPr>
                <w:rStyle w:val="11"/>
                <w:rFonts w:hint="eastAsia"/>
              </w:rPr>
              <w:t>1.本品施药后5天内勿割草、放牧、翻地等。 2.本品对金属有腐蚀性。不可用铁器存放，并且不能使用无镶衬的铁质喷雾器喷雾。贮藏和使用时应尽量使用塑料容器。 3.低温贮存时会有结晶析出，用时应充分摇动容器，使结晶溶解，以保证药效。 3、使用本品应采取相应的安全防护措施，穿长袖上衣、长裤、靴子，戴防护手套、口罩等；避免皮肤接触及口鼻吸入。使用中不可吸烟、饮水及吃东西，使用后及时用大量清水和肥皂清洗手、脸等暴露部位皮肤并更换衣物。 4. 清洗器具的废水不能排入河流、池塘等水源。水产养殖区附近禁用。禁止在河塘等水体中清洗施药器具。 5.废弃物要妥善处理，不可随意丢失，也不能做他用。 6、避免孕妇及哺乳期的妇女接触本品。</w:t>
            </w:r>
          </w:p>
        </w:tc>
      </w:tr>
      <w:tr w14:paraId="42052EE2">
        <w:tblPrEx>
          <w:tblCellMar>
            <w:top w:w="0" w:type="dxa"/>
            <w:left w:w="0" w:type="dxa"/>
            <w:bottom w:w="0" w:type="dxa"/>
            <w:right w:w="0" w:type="dxa"/>
          </w:tblCellMar>
        </w:tblPrEx>
        <w:trPr>
          <w:wBefore w:w="0" w:type="auto"/>
          <w:tblCellSpacing w:w="0" w:type="dxa"/>
        </w:trPr>
        <w:tc>
          <w:tcPr>
            <w:tcW w:w="0" w:type="auto"/>
            <w:noWrap w:val="0"/>
            <w:vAlign w:val="center"/>
          </w:tcPr>
          <w:p w14:paraId="558514ED">
            <w:r>
              <w:rPr>
                <w:rStyle w:val="10"/>
                <w:rFonts w:hint="eastAsia"/>
              </w:rPr>
              <w:t>中毒急救措施：</w:t>
            </w:r>
            <w:r>
              <w:rPr>
                <w:rFonts w:hint="eastAsia"/>
              </w:rPr>
              <w:br w:type="textWrapping"/>
            </w:r>
            <w:r>
              <w:rPr>
                <w:rStyle w:val="11"/>
                <w:rFonts w:hint="eastAsia"/>
              </w:rPr>
              <w:t>中毒症状：对眼睛、皮肤有刺激作用。 急救措施：使用中或使用后如果感觉不适，应立即停止工作，采取急救措施，并携带标签送医院就诊。眼睛接触：提起眼睑，用流动清水冲洗至少15分钟。皮肤接触：脱掉污染衣物，用软布去除污染农药，用大量清水和肥皂冲洗。吸入：立即离开施药现场，转移到空气新鲜处。误服：立即停止服用，用清水充分漱口后，立即携带农药标签到医院就诊，对症治疗。本品无特殊解毒剂。</w:t>
            </w:r>
          </w:p>
        </w:tc>
      </w:tr>
      <w:tr w14:paraId="2664A7DD">
        <w:tblPrEx>
          <w:tblCellMar>
            <w:top w:w="0" w:type="dxa"/>
            <w:left w:w="0" w:type="dxa"/>
            <w:bottom w:w="0" w:type="dxa"/>
            <w:right w:w="0" w:type="dxa"/>
          </w:tblCellMar>
        </w:tblPrEx>
        <w:trPr>
          <w:wBefore w:w="0" w:type="auto"/>
          <w:tblCellSpacing w:w="0" w:type="dxa"/>
        </w:trPr>
        <w:tc>
          <w:tcPr>
            <w:tcW w:w="0" w:type="auto"/>
            <w:noWrap w:val="0"/>
            <w:vAlign w:val="center"/>
          </w:tcPr>
          <w:p w14:paraId="4EB07CFF">
            <w:r>
              <w:rPr>
                <w:rStyle w:val="10"/>
                <w:rFonts w:hint="eastAsia"/>
              </w:rPr>
              <w:t>储存和运输方法：</w:t>
            </w:r>
            <w:r>
              <w:rPr>
                <w:rFonts w:hint="eastAsia"/>
              </w:rPr>
              <w:br w:type="textWrapping"/>
            </w:r>
            <w:r>
              <w:rPr>
                <w:rStyle w:val="11"/>
                <w:rFonts w:hint="eastAsia"/>
              </w:rPr>
              <w:t>本品应贮存在干燥、阴凉、通风、防雨处，远离火源或热源。 置于儿童、无关人员及动物触及不到的地方，并加锁保存。 勿与食品、种子、饲料等同贮同运。</w:t>
            </w:r>
          </w:p>
        </w:tc>
      </w:tr>
      <w:tr w14:paraId="3155D0D6">
        <w:tblPrEx>
          <w:tblCellMar>
            <w:top w:w="0" w:type="dxa"/>
            <w:left w:w="0" w:type="dxa"/>
            <w:bottom w:w="0" w:type="dxa"/>
            <w:right w:w="0" w:type="dxa"/>
          </w:tblCellMar>
        </w:tblPrEx>
        <w:trPr>
          <w:wBefore w:w="0" w:type="auto"/>
          <w:tblCellSpacing w:w="0" w:type="dxa"/>
        </w:trPr>
        <w:tc>
          <w:tcPr>
            <w:tcW w:w="0" w:type="auto"/>
            <w:noWrap w:val="0"/>
            <w:vAlign w:val="center"/>
          </w:tcPr>
          <w:p w14:paraId="0B1B82FC">
            <w:r>
              <w:rPr>
                <w:rStyle w:val="10"/>
                <w:rFonts w:hint="eastAsia"/>
              </w:rPr>
              <w:t>质量保证期：</w:t>
            </w:r>
            <w:r>
              <w:rPr>
                <w:rStyle w:val="11"/>
                <w:rFonts w:hint="eastAsia"/>
              </w:rPr>
              <w:t>2年</w:t>
            </w:r>
          </w:p>
        </w:tc>
      </w:tr>
      <w:tr w14:paraId="59110487">
        <w:tblPrEx>
          <w:tblCellMar>
            <w:top w:w="0" w:type="dxa"/>
            <w:left w:w="0" w:type="dxa"/>
            <w:bottom w:w="0" w:type="dxa"/>
            <w:right w:w="0" w:type="dxa"/>
          </w:tblCellMar>
        </w:tblPrEx>
        <w:trPr>
          <w:wBefore w:w="0" w:type="auto"/>
          <w:tblCellSpacing w:w="0" w:type="dxa"/>
        </w:trPr>
        <w:tc>
          <w:tcPr>
            <w:tcW w:w="0" w:type="auto"/>
            <w:noWrap w:val="0"/>
            <w:vAlign w:val="center"/>
          </w:tcPr>
          <w:p w14:paraId="64ABA30A">
            <w:r>
              <w:rPr>
                <w:rStyle w:val="10"/>
                <w:rFonts w:hint="eastAsia"/>
              </w:rPr>
              <w:t>备注：</w:t>
            </w:r>
          </w:p>
        </w:tc>
      </w:tr>
    </w:tbl>
    <w:p w14:paraId="36627BB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AB2B359">
        <w:tblPrEx>
          <w:tblCellMar>
            <w:top w:w="0" w:type="dxa"/>
            <w:left w:w="0" w:type="dxa"/>
            <w:bottom w:w="0" w:type="dxa"/>
            <w:right w:w="0" w:type="dxa"/>
          </w:tblCellMar>
        </w:tblPrEx>
        <w:trPr>
          <w:wBefore w:w="0" w:type="auto"/>
          <w:tblCellSpacing w:w="0" w:type="dxa"/>
        </w:trPr>
        <w:tc>
          <w:tcPr>
            <w:tcW w:w="0" w:type="auto"/>
            <w:noWrap w:val="0"/>
            <w:vAlign w:val="center"/>
          </w:tcPr>
          <w:p w14:paraId="184FA902">
            <w:r>
              <w:rPr>
                <w:rStyle w:val="10"/>
                <w:rFonts w:hint="eastAsia"/>
              </w:rPr>
              <w:t>登记证号：</w:t>
            </w:r>
            <w:r>
              <w:rPr>
                <w:rFonts w:hint="eastAsia"/>
              </w:rPr>
              <w:t>PD20212052</w:t>
            </w:r>
          </w:p>
        </w:tc>
      </w:tr>
      <w:tr w14:paraId="127C7A22">
        <w:tblPrEx>
          <w:tblCellMar>
            <w:top w:w="0" w:type="dxa"/>
            <w:left w:w="0" w:type="dxa"/>
            <w:bottom w:w="0" w:type="dxa"/>
            <w:right w:w="0" w:type="dxa"/>
          </w:tblCellMar>
        </w:tblPrEx>
        <w:trPr>
          <w:wBefore w:w="0" w:type="auto"/>
          <w:tblCellSpacing w:w="0" w:type="dxa"/>
        </w:trPr>
        <w:tc>
          <w:tcPr>
            <w:tcW w:w="0" w:type="auto"/>
            <w:noWrap w:val="0"/>
            <w:vAlign w:val="center"/>
          </w:tcPr>
          <w:p w14:paraId="6AEA7DE1">
            <w:r>
              <w:rPr>
                <w:rStyle w:val="10"/>
                <w:rFonts w:hint="eastAsia"/>
              </w:rPr>
              <w:t>登记证持有人：</w:t>
            </w:r>
            <w:r>
              <w:rPr>
                <w:rFonts w:hint="eastAsia"/>
              </w:rPr>
              <w:t>河南波尔森农业科技有限公司</w:t>
            </w:r>
          </w:p>
        </w:tc>
      </w:tr>
      <w:tr w14:paraId="3E319A6C">
        <w:tblPrEx>
          <w:tblCellMar>
            <w:top w:w="0" w:type="dxa"/>
            <w:left w:w="0" w:type="dxa"/>
            <w:bottom w:w="0" w:type="dxa"/>
            <w:right w:w="0" w:type="dxa"/>
          </w:tblCellMar>
        </w:tblPrEx>
        <w:trPr>
          <w:wBefore w:w="0" w:type="auto"/>
          <w:tblCellSpacing w:w="0" w:type="dxa"/>
        </w:trPr>
        <w:tc>
          <w:tcPr>
            <w:tcW w:w="0" w:type="auto"/>
            <w:noWrap w:val="0"/>
            <w:vAlign w:val="center"/>
          </w:tcPr>
          <w:p w14:paraId="18B8753F">
            <w:r>
              <w:rPr>
                <w:rStyle w:val="10"/>
                <w:rFonts w:hint="eastAsia"/>
              </w:rPr>
              <w:t>农药名称：</w:t>
            </w:r>
            <w:r>
              <w:rPr>
                <w:rFonts w:hint="eastAsia"/>
              </w:rPr>
              <w:t>24-表芸·赤霉酸</w:t>
            </w:r>
          </w:p>
        </w:tc>
      </w:tr>
      <w:tr w14:paraId="278A5C03">
        <w:tblPrEx>
          <w:tblCellMar>
            <w:top w:w="0" w:type="dxa"/>
            <w:left w:w="0" w:type="dxa"/>
            <w:bottom w:w="0" w:type="dxa"/>
            <w:right w:w="0" w:type="dxa"/>
          </w:tblCellMar>
        </w:tblPrEx>
        <w:trPr>
          <w:wBefore w:w="0" w:type="auto"/>
          <w:tblCellSpacing w:w="0" w:type="dxa"/>
        </w:trPr>
        <w:tc>
          <w:tcPr>
            <w:tcW w:w="0" w:type="auto"/>
            <w:noWrap w:val="0"/>
            <w:vAlign w:val="center"/>
          </w:tcPr>
          <w:p w14:paraId="28B8D77B">
            <w:r>
              <w:rPr>
                <w:rStyle w:val="10"/>
                <w:rFonts w:hint="eastAsia"/>
              </w:rPr>
              <w:t>剂型：</w:t>
            </w:r>
            <w:r>
              <w:rPr>
                <w:rFonts w:hint="eastAsia"/>
              </w:rPr>
              <w:t>可溶液剂</w:t>
            </w:r>
          </w:p>
        </w:tc>
      </w:tr>
      <w:tr w14:paraId="56A3FD29">
        <w:tblPrEx>
          <w:tblCellMar>
            <w:top w:w="0" w:type="dxa"/>
            <w:left w:w="0" w:type="dxa"/>
            <w:bottom w:w="0" w:type="dxa"/>
            <w:right w:w="0" w:type="dxa"/>
          </w:tblCellMar>
        </w:tblPrEx>
        <w:trPr>
          <w:wBefore w:w="0" w:type="auto"/>
          <w:tblCellSpacing w:w="0" w:type="dxa"/>
        </w:trPr>
        <w:tc>
          <w:tcPr>
            <w:tcW w:w="0" w:type="auto"/>
            <w:noWrap w:val="0"/>
            <w:vAlign w:val="center"/>
          </w:tcPr>
          <w:p w14:paraId="285885AD">
            <w:r>
              <w:rPr>
                <w:rStyle w:val="10"/>
                <w:rFonts w:hint="eastAsia"/>
              </w:rPr>
              <w:t>毒性及其标识：</w:t>
            </w:r>
            <w:r>
              <w:rPr>
                <w:rFonts w:hint="eastAsia"/>
              </w:rPr>
              <w:t xml:space="preserve"> </w:t>
            </w:r>
            <w:r>
              <w:rPr>
                <w:lang/>
              </w:rPr>
              <w:drawing>
                <wp:inline distT="0" distB="0" distL="114300" distR="114300">
                  <wp:extent cx="476250" cy="323850"/>
                  <wp:effectExtent l="0" t="0" r="0" b="0"/>
                  <wp:docPr id="26" name="图片 2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C15B8D1">
        <w:tblPrEx>
          <w:tblCellMar>
            <w:top w:w="0" w:type="dxa"/>
            <w:left w:w="0" w:type="dxa"/>
            <w:bottom w:w="0" w:type="dxa"/>
            <w:right w:w="0" w:type="dxa"/>
          </w:tblCellMar>
        </w:tblPrEx>
        <w:trPr>
          <w:wBefore w:w="0" w:type="auto"/>
          <w:tblCellSpacing w:w="0" w:type="dxa"/>
        </w:trPr>
        <w:tc>
          <w:tcPr>
            <w:tcW w:w="0" w:type="auto"/>
            <w:noWrap w:val="0"/>
            <w:vAlign w:val="center"/>
          </w:tcPr>
          <w:p w14:paraId="3239E295">
            <w:r>
              <w:rPr>
                <w:rStyle w:val="10"/>
                <w:rFonts w:hint="eastAsia"/>
              </w:rPr>
              <w:t>总有效成分含量：</w:t>
            </w:r>
            <w:r>
              <w:rPr>
                <w:rFonts w:hint="eastAsia"/>
              </w:rPr>
              <w:t>0.4%</w:t>
            </w:r>
          </w:p>
        </w:tc>
      </w:tr>
      <w:tr w14:paraId="75A25167">
        <w:tblPrEx>
          <w:tblCellMar>
            <w:top w:w="0" w:type="dxa"/>
            <w:left w:w="0" w:type="dxa"/>
            <w:bottom w:w="0" w:type="dxa"/>
            <w:right w:w="0" w:type="dxa"/>
          </w:tblCellMar>
        </w:tblPrEx>
        <w:trPr>
          <w:wBefore w:w="0" w:type="auto"/>
          <w:tblCellSpacing w:w="0" w:type="dxa"/>
        </w:trPr>
        <w:tc>
          <w:tcPr>
            <w:tcW w:w="0" w:type="auto"/>
            <w:noWrap w:val="0"/>
            <w:vAlign w:val="center"/>
          </w:tcPr>
          <w:p w14:paraId="539B4812">
            <w:r>
              <w:rPr>
                <w:rFonts w:hint="eastAsia"/>
              </w:rPr>
              <w:t xml:space="preserve">有效成分及其含量： </w:t>
            </w:r>
          </w:p>
          <w:p w14:paraId="3B6BCF53">
            <w:r>
              <w:rPr>
                <w:rFonts w:hint="eastAsia"/>
              </w:rPr>
              <w:t xml:space="preserve">    24-表芸苔素内酯0.002%    赤霉酸0.398%    </w:t>
            </w:r>
          </w:p>
        </w:tc>
      </w:tr>
      <w:tr w14:paraId="7489A02A">
        <w:tblPrEx>
          <w:tblCellMar>
            <w:top w:w="0" w:type="dxa"/>
            <w:left w:w="0" w:type="dxa"/>
            <w:bottom w:w="0" w:type="dxa"/>
            <w:right w:w="0" w:type="dxa"/>
          </w:tblCellMar>
        </w:tblPrEx>
        <w:trPr>
          <w:wBefore w:w="0" w:type="auto"/>
          <w:tblCellSpacing w:w="0" w:type="dxa"/>
        </w:trPr>
        <w:tc>
          <w:tcPr>
            <w:tcW w:w="0" w:type="auto"/>
            <w:noWrap w:val="0"/>
            <w:vAlign w:val="center"/>
          </w:tcPr>
          <w:p w14:paraId="12455FB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3F47F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E50021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090ACE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5FCA40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E5AF3A6">
                  <w:r>
                    <w:rPr>
                      <w:rStyle w:val="11"/>
                      <w:rFonts w:hint="eastAsia"/>
                    </w:rPr>
                    <w:t>施用方式</w:t>
                  </w:r>
                </w:p>
              </w:tc>
            </w:tr>
            <w:tr w14:paraId="29B656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662E66A">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ABD223">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76AB25">
                  <w:r>
                    <w:rPr>
                      <w:rStyle w:val="11"/>
                      <w:rFonts w:hint="eastAsia"/>
                    </w:rPr>
                    <w:t>1000-1600倍液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FFB78F">
                  <w:r>
                    <w:rPr>
                      <w:rStyle w:val="11"/>
                      <w:rFonts w:hint="eastAsia"/>
                    </w:rPr>
                    <w:t>喷雾</w:t>
                  </w:r>
                </w:p>
              </w:tc>
            </w:tr>
          </w:tbl>
          <w:p w14:paraId="5107A3C2">
            <w:pPr>
              <w:rPr>
                <w:rFonts w:ascii="Times New Roman" w:hAnsi="Times New Roman" w:cs="Times New Roman"/>
                <w:sz w:val="20"/>
                <w:szCs w:val="20"/>
              </w:rPr>
            </w:pPr>
          </w:p>
        </w:tc>
      </w:tr>
      <w:tr w14:paraId="360F40DF">
        <w:tblPrEx>
          <w:tblCellMar>
            <w:top w:w="0" w:type="dxa"/>
            <w:left w:w="0" w:type="dxa"/>
            <w:bottom w:w="0" w:type="dxa"/>
            <w:right w:w="0" w:type="dxa"/>
          </w:tblCellMar>
        </w:tblPrEx>
        <w:trPr>
          <w:wBefore w:w="0" w:type="auto"/>
          <w:tblCellSpacing w:w="0" w:type="dxa"/>
        </w:trPr>
        <w:tc>
          <w:tcPr>
            <w:tcW w:w="0" w:type="auto"/>
            <w:noWrap w:val="0"/>
            <w:vAlign w:val="center"/>
          </w:tcPr>
          <w:p w14:paraId="7DE61040">
            <w:r>
              <w:rPr>
                <w:rStyle w:val="10"/>
                <w:rFonts w:hint="eastAsia"/>
              </w:rPr>
              <w:t>使用技术要求:</w:t>
            </w:r>
            <w:r>
              <w:rPr>
                <w:rFonts w:hint="eastAsia"/>
              </w:rPr>
              <w:br w:type="textWrapping"/>
            </w:r>
            <w:r>
              <w:rPr>
                <w:rStyle w:val="11"/>
                <w:rFonts w:hint="eastAsia"/>
              </w:rPr>
              <w:t>1．本品应于水稻孕穗期、齐穗期各喷施1次，使用次数2次。施药时应周到、均匀，勿重喷或漏喷。2．大风天或预计1小时内降雨，请勿施药。</w:t>
            </w:r>
          </w:p>
        </w:tc>
      </w:tr>
      <w:tr w14:paraId="3A9A4E55">
        <w:tblPrEx>
          <w:tblCellMar>
            <w:top w:w="0" w:type="dxa"/>
            <w:left w:w="0" w:type="dxa"/>
            <w:bottom w:w="0" w:type="dxa"/>
            <w:right w:w="0" w:type="dxa"/>
          </w:tblCellMar>
        </w:tblPrEx>
        <w:trPr>
          <w:wBefore w:w="0" w:type="auto"/>
          <w:tblCellSpacing w:w="0" w:type="dxa"/>
        </w:trPr>
        <w:tc>
          <w:tcPr>
            <w:tcW w:w="0" w:type="auto"/>
            <w:noWrap w:val="0"/>
            <w:vAlign w:val="center"/>
          </w:tcPr>
          <w:p w14:paraId="3C9205EA">
            <w:r>
              <w:rPr>
                <w:rStyle w:val="10"/>
                <w:rFonts w:hint="eastAsia"/>
              </w:rPr>
              <w:t>产品性能:</w:t>
            </w:r>
            <w:r>
              <w:rPr>
                <w:rFonts w:hint="eastAsia"/>
              </w:rPr>
              <w:br w:type="textWrapping"/>
            </w:r>
            <w:r>
              <w:rPr>
                <w:rStyle w:val="11"/>
                <w:rFonts w:hint="eastAsia"/>
              </w:rPr>
              <w:t xml:space="preserve">本品具有使植物细胞分裂和延长的双重作用，促进根系发达，增强光合作用，提高作物叶绿素含量，促进作物对肥料的有效吸收。按登记剂量使用时，对水稻生长有较好的调节作用。 </w:t>
            </w:r>
          </w:p>
        </w:tc>
      </w:tr>
      <w:tr w14:paraId="2BE8E54E">
        <w:tblPrEx>
          <w:tblCellMar>
            <w:top w:w="0" w:type="dxa"/>
            <w:left w:w="0" w:type="dxa"/>
            <w:bottom w:w="0" w:type="dxa"/>
            <w:right w:w="0" w:type="dxa"/>
          </w:tblCellMar>
        </w:tblPrEx>
        <w:trPr>
          <w:wBefore w:w="0" w:type="auto"/>
          <w:tblCellSpacing w:w="0" w:type="dxa"/>
        </w:trPr>
        <w:tc>
          <w:tcPr>
            <w:tcW w:w="0" w:type="auto"/>
            <w:noWrap w:val="0"/>
            <w:vAlign w:val="center"/>
          </w:tcPr>
          <w:p w14:paraId="3415B2EC">
            <w:r>
              <w:rPr>
                <w:rStyle w:val="10"/>
                <w:rFonts w:hint="eastAsia"/>
              </w:rPr>
              <w:t>注意事项：</w:t>
            </w:r>
            <w:r>
              <w:rPr>
                <w:rFonts w:hint="eastAsia"/>
              </w:rPr>
              <w:br w:type="textWrapping"/>
            </w:r>
            <w:r>
              <w:rPr>
                <w:rStyle w:val="11"/>
                <w:rFonts w:hint="eastAsia"/>
              </w:rPr>
              <w:t>1.本品不可与碱性农药等物质混用。建议与其他作用机制不同的植物生长调节剂轮换使用，以延缓抗性产生。 2.禁止在河塘等水体中清洗施药器具。 3.使用时应穿长衣长裤、靴子，戴帽子、护目镜、口罩、手套等防护用具；施药期间不可吃东西、饮水、吸烟等；施药后应及时洗手、洗脸并洗涤施药时穿着的衣物。 4.用药后包装物及用过的容器应妥善处理，不可做他用，也不可随意丢弃。 5.孕妇及哺乳期妇女禁止接触本品。</w:t>
            </w:r>
          </w:p>
        </w:tc>
      </w:tr>
      <w:tr w14:paraId="291672F3">
        <w:tblPrEx>
          <w:tblCellMar>
            <w:top w:w="0" w:type="dxa"/>
            <w:left w:w="0" w:type="dxa"/>
            <w:bottom w:w="0" w:type="dxa"/>
            <w:right w:w="0" w:type="dxa"/>
          </w:tblCellMar>
        </w:tblPrEx>
        <w:trPr>
          <w:wBefore w:w="0" w:type="auto"/>
          <w:tblCellSpacing w:w="0" w:type="dxa"/>
        </w:trPr>
        <w:tc>
          <w:tcPr>
            <w:tcW w:w="0" w:type="auto"/>
            <w:noWrap w:val="0"/>
            <w:vAlign w:val="center"/>
          </w:tcPr>
          <w:p w14:paraId="3BC425E6">
            <w:r>
              <w:rPr>
                <w:rStyle w:val="10"/>
                <w:rFonts w:hint="eastAsia"/>
              </w:rPr>
              <w:t>中毒急救措施：</w:t>
            </w:r>
            <w:r>
              <w:rPr>
                <w:rFonts w:hint="eastAsia"/>
              </w:rPr>
              <w:br w:type="textWrapping"/>
            </w:r>
            <w:r>
              <w:rPr>
                <w:rStyle w:val="11"/>
                <w:rFonts w:hint="eastAsia"/>
              </w:rPr>
              <w:t>中毒症状：对眼睛、皮肤有刺激性。急救措施：不慎吸入，应将病人移至空气流通处。不慎接触皮肤或溅入眼睛，应用大量清水冲洗至少15分钟，仍有不适时，请及时就医。因疏忽或误服而发生中毒现象时，禁止引吐，请速携标签就医，并依据中毒情况对症治疗。无特效解毒剂。</w:t>
            </w:r>
          </w:p>
        </w:tc>
      </w:tr>
      <w:tr w14:paraId="3E4A0DB8">
        <w:tblPrEx>
          <w:tblCellMar>
            <w:top w:w="0" w:type="dxa"/>
            <w:left w:w="0" w:type="dxa"/>
            <w:bottom w:w="0" w:type="dxa"/>
            <w:right w:w="0" w:type="dxa"/>
          </w:tblCellMar>
        </w:tblPrEx>
        <w:trPr>
          <w:wBefore w:w="0" w:type="auto"/>
          <w:tblCellSpacing w:w="0" w:type="dxa"/>
        </w:trPr>
        <w:tc>
          <w:tcPr>
            <w:tcW w:w="0" w:type="auto"/>
            <w:noWrap w:val="0"/>
            <w:vAlign w:val="center"/>
          </w:tcPr>
          <w:p w14:paraId="11AF34CE">
            <w:r>
              <w:rPr>
                <w:rStyle w:val="10"/>
                <w:rFonts w:hint="eastAsia"/>
              </w:rPr>
              <w:t>储存和运输方法：</w:t>
            </w:r>
            <w:r>
              <w:rPr>
                <w:rFonts w:hint="eastAsia"/>
              </w:rPr>
              <w:br w:type="textWrapping"/>
            </w:r>
            <w:r>
              <w:rPr>
                <w:rStyle w:val="11"/>
                <w:rFonts w:hint="eastAsia"/>
              </w:rPr>
              <w:t>本品为易燃液体，应贮存于干燥、阴凉、通风、防雨处；远离火源或热源；存放于儿童触及不到之处，并加锁；不能与食品、饮料、粮食、饲料等混合储运；运输时应注意防水防潮，避免雨淋；搬运时轻搬轻放，不可倒置。</w:t>
            </w:r>
          </w:p>
        </w:tc>
      </w:tr>
      <w:tr w14:paraId="13647BA6">
        <w:tblPrEx>
          <w:tblCellMar>
            <w:top w:w="0" w:type="dxa"/>
            <w:left w:w="0" w:type="dxa"/>
            <w:bottom w:w="0" w:type="dxa"/>
            <w:right w:w="0" w:type="dxa"/>
          </w:tblCellMar>
        </w:tblPrEx>
        <w:trPr>
          <w:wBefore w:w="0" w:type="auto"/>
          <w:tblCellSpacing w:w="0" w:type="dxa"/>
        </w:trPr>
        <w:tc>
          <w:tcPr>
            <w:tcW w:w="0" w:type="auto"/>
            <w:noWrap w:val="0"/>
            <w:vAlign w:val="center"/>
          </w:tcPr>
          <w:p w14:paraId="36B58159">
            <w:r>
              <w:rPr>
                <w:rStyle w:val="10"/>
                <w:rFonts w:hint="eastAsia"/>
              </w:rPr>
              <w:t>质量保证期：</w:t>
            </w:r>
            <w:r>
              <w:rPr>
                <w:rStyle w:val="11"/>
                <w:rFonts w:hint="eastAsia"/>
              </w:rPr>
              <w:t>2年</w:t>
            </w:r>
          </w:p>
        </w:tc>
      </w:tr>
      <w:tr w14:paraId="08D48EFC">
        <w:tblPrEx>
          <w:tblCellMar>
            <w:top w:w="0" w:type="dxa"/>
            <w:left w:w="0" w:type="dxa"/>
            <w:bottom w:w="0" w:type="dxa"/>
            <w:right w:w="0" w:type="dxa"/>
          </w:tblCellMar>
        </w:tblPrEx>
        <w:trPr>
          <w:wBefore w:w="0" w:type="auto"/>
          <w:tblCellSpacing w:w="0" w:type="dxa"/>
        </w:trPr>
        <w:tc>
          <w:tcPr>
            <w:tcW w:w="0" w:type="auto"/>
            <w:noWrap w:val="0"/>
            <w:vAlign w:val="center"/>
          </w:tcPr>
          <w:p w14:paraId="09A49D94">
            <w:r>
              <w:rPr>
                <w:rStyle w:val="10"/>
                <w:rFonts w:hint="eastAsia"/>
              </w:rPr>
              <w:t>备注：</w:t>
            </w:r>
          </w:p>
        </w:tc>
      </w:tr>
    </w:tbl>
    <w:p w14:paraId="7067172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8AA74C5">
        <w:tblPrEx>
          <w:tblCellMar>
            <w:top w:w="0" w:type="dxa"/>
            <w:left w:w="0" w:type="dxa"/>
            <w:bottom w:w="0" w:type="dxa"/>
            <w:right w:w="0" w:type="dxa"/>
          </w:tblCellMar>
        </w:tblPrEx>
        <w:trPr>
          <w:wBefore w:w="0" w:type="auto"/>
          <w:tblCellSpacing w:w="0" w:type="dxa"/>
        </w:trPr>
        <w:tc>
          <w:tcPr>
            <w:tcW w:w="0" w:type="auto"/>
            <w:noWrap w:val="0"/>
            <w:vAlign w:val="center"/>
          </w:tcPr>
          <w:p w14:paraId="51379A8A">
            <w:r>
              <w:rPr>
                <w:rStyle w:val="10"/>
                <w:rFonts w:hint="eastAsia"/>
              </w:rPr>
              <w:t>登记证号：</w:t>
            </w:r>
            <w:r>
              <w:rPr>
                <w:rFonts w:hint="eastAsia"/>
              </w:rPr>
              <w:t>PD20211844</w:t>
            </w:r>
          </w:p>
        </w:tc>
      </w:tr>
      <w:tr w14:paraId="0738323B">
        <w:tblPrEx>
          <w:tblCellMar>
            <w:top w:w="0" w:type="dxa"/>
            <w:left w:w="0" w:type="dxa"/>
            <w:bottom w:w="0" w:type="dxa"/>
            <w:right w:w="0" w:type="dxa"/>
          </w:tblCellMar>
        </w:tblPrEx>
        <w:trPr>
          <w:wBefore w:w="0" w:type="auto"/>
          <w:tblCellSpacing w:w="0" w:type="dxa"/>
        </w:trPr>
        <w:tc>
          <w:tcPr>
            <w:tcW w:w="0" w:type="auto"/>
            <w:noWrap w:val="0"/>
            <w:vAlign w:val="center"/>
          </w:tcPr>
          <w:p w14:paraId="0E7174BF">
            <w:r>
              <w:rPr>
                <w:rStyle w:val="10"/>
                <w:rFonts w:hint="eastAsia"/>
              </w:rPr>
              <w:t>登记证持有人：</w:t>
            </w:r>
            <w:r>
              <w:rPr>
                <w:rFonts w:hint="eastAsia"/>
              </w:rPr>
              <w:t>山东润扬化学有限公司</w:t>
            </w:r>
          </w:p>
        </w:tc>
      </w:tr>
      <w:tr w14:paraId="563976EF">
        <w:tblPrEx>
          <w:tblCellMar>
            <w:top w:w="0" w:type="dxa"/>
            <w:left w:w="0" w:type="dxa"/>
            <w:bottom w:w="0" w:type="dxa"/>
            <w:right w:w="0" w:type="dxa"/>
          </w:tblCellMar>
        </w:tblPrEx>
        <w:trPr>
          <w:wBefore w:w="0" w:type="auto"/>
          <w:tblCellSpacing w:w="0" w:type="dxa"/>
        </w:trPr>
        <w:tc>
          <w:tcPr>
            <w:tcW w:w="0" w:type="auto"/>
            <w:noWrap w:val="0"/>
            <w:vAlign w:val="center"/>
          </w:tcPr>
          <w:p w14:paraId="092BD067">
            <w:r>
              <w:rPr>
                <w:rStyle w:val="10"/>
                <w:rFonts w:hint="eastAsia"/>
              </w:rPr>
              <w:t>农药名称：</w:t>
            </w:r>
            <w:r>
              <w:rPr>
                <w:rFonts w:hint="eastAsia"/>
              </w:rPr>
              <w:t>甲氨基阿维菌素苯甲酸盐</w:t>
            </w:r>
          </w:p>
        </w:tc>
      </w:tr>
      <w:tr w14:paraId="174BFE0C">
        <w:tblPrEx>
          <w:tblCellMar>
            <w:top w:w="0" w:type="dxa"/>
            <w:left w:w="0" w:type="dxa"/>
            <w:bottom w:w="0" w:type="dxa"/>
            <w:right w:w="0" w:type="dxa"/>
          </w:tblCellMar>
        </w:tblPrEx>
        <w:trPr>
          <w:wBefore w:w="0" w:type="auto"/>
          <w:tblCellSpacing w:w="0" w:type="dxa"/>
        </w:trPr>
        <w:tc>
          <w:tcPr>
            <w:tcW w:w="0" w:type="auto"/>
            <w:noWrap w:val="0"/>
            <w:vAlign w:val="center"/>
          </w:tcPr>
          <w:p w14:paraId="6E40BC23">
            <w:r>
              <w:rPr>
                <w:rStyle w:val="10"/>
                <w:rFonts w:hint="eastAsia"/>
              </w:rPr>
              <w:t>剂型：</w:t>
            </w:r>
            <w:r>
              <w:rPr>
                <w:rFonts w:hint="eastAsia"/>
              </w:rPr>
              <w:t>微乳剂</w:t>
            </w:r>
          </w:p>
        </w:tc>
      </w:tr>
      <w:tr w14:paraId="1064D23D">
        <w:tblPrEx>
          <w:tblCellMar>
            <w:top w:w="0" w:type="dxa"/>
            <w:left w:w="0" w:type="dxa"/>
            <w:bottom w:w="0" w:type="dxa"/>
            <w:right w:w="0" w:type="dxa"/>
          </w:tblCellMar>
        </w:tblPrEx>
        <w:trPr>
          <w:wBefore w:w="0" w:type="auto"/>
          <w:tblCellSpacing w:w="0" w:type="dxa"/>
        </w:trPr>
        <w:tc>
          <w:tcPr>
            <w:tcW w:w="0" w:type="auto"/>
            <w:noWrap w:val="0"/>
            <w:vAlign w:val="center"/>
          </w:tcPr>
          <w:p w14:paraId="22ACAF52">
            <w:r>
              <w:rPr>
                <w:rStyle w:val="10"/>
                <w:rFonts w:hint="eastAsia"/>
              </w:rPr>
              <w:t>毒性及其标识：</w:t>
            </w:r>
            <w:r>
              <w:rPr>
                <w:rFonts w:hint="eastAsia"/>
              </w:rPr>
              <w:t xml:space="preserve"> </w:t>
            </w:r>
            <w:r>
              <w:rPr>
                <w:lang/>
              </w:rPr>
              <w:drawing>
                <wp:inline distT="0" distB="0" distL="114300" distR="114300">
                  <wp:extent cx="476250" cy="323850"/>
                  <wp:effectExtent l="0" t="0" r="0" b="0"/>
                  <wp:docPr id="27" name="图片 2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C8E7F02">
        <w:tblPrEx>
          <w:tblCellMar>
            <w:top w:w="0" w:type="dxa"/>
            <w:left w:w="0" w:type="dxa"/>
            <w:bottom w:w="0" w:type="dxa"/>
            <w:right w:w="0" w:type="dxa"/>
          </w:tblCellMar>
        </w:tblPrEx>
        <w:trPr>
          <w:wBefore w:w="0" w:type="auto"/>
          <w:tblCellSpacing w:w="0" w:type="dxa"/>
        </w:trPr>
        <w:tc>
          <w:tcPr>
            <w:tcW w:w="0" w:type="auto"/>
            <w:noWrap w:val="0"/>
            <w:vAlign w:val="center"/>
          </w:tcPr>
          <w:p w14:paraId="4E1E60C4">
            <w:r>
              <w:rPr>
                <w:rStyle w:val="10"/>
                <w:rFonts w:hint="eastAsia"/>
              </w:rPr>
              <w:t>总有效成分含量：</w:t>
            </w:r>
            <w:r>
              <w:rPr>
                <w:rFonts w:hint="eastAsia"/>
              </w:rPr>
              <w:t>1%</w:t>
            </w:r>
          </w:p>
        </w:tc>
      </w:tr>
      <w:tr w14:paraId="6524EA6D">
        <w:tblPrEx>
          <w:tblCellMar>
            <w:top w:w="0" w:type="dxa"/>
            <w:left w:w="0" w:type="dxa"/>
            <w:bottom w:w="0" w:type="dxa"/>
            <w:right w:w="0" w:type="dxa"/>
          </w:tblCellMar>
        </w:tblPrEx>
        <w:trPr>
          <w:wBefore w:w="0" w:type="auto"/>
          <w:tblCellSpacing w:w="0" w:type="dxa"/>
        </w:trPr>
        <w:tc>
          <w:tcPr>
            <w:tcW w:w="0" w:type="auto"/>
            <w:noWrap w:val="0"/>
            <w:vAlign w:val="center"/>
          </w:tcPr>
          <w:p w14:paraId="67D5B8FA">
            <w:r>
              <w:rPr>
                <w:rFonts w:hint="eastAsia"/>
              </w:rPr>
              <w:t xml:space="preserve">有效成分及其含量： </w:t>
            </w:r>
          </w:p>
          <w:p w14:paraId="3F496A61">
            <w:r>
              <w:rPr>
                <w:rFonts w:hint="eastAsia"/>
              </w:rPr>
              <w:t xml:space="preserve">    甲氨基阿维菌素1%    </w:t>
            </w:r>
          </w:p>
        </w:tc>
      </w:tr>
      <w:tr w14:paraId="5CE1ADE8">
        <w:tblPrEx>
          <w:tblCellMar>
            <w:top w:w="0" w:type="dxa"/>
            <w:left w:w="0" w:type="dxa"/>
            <w:bottom w:w="0" w:type="dxa"/>
            <w:right w:w="0" w:type="dxa"/>
          </w:tblCellMar>
        </w:tblPrEx>
        <w:trPr>
          <w:wBefore w:w="0" w:type="auto"/>
          <w:tblCellSpacing w:w="0" w:type="dxa"/>
        </w:trPr>
        <w:tc>
          <w:tcPr>
            <w:tcW w:w="0" w:type="auto"/>
            <w:noWrap w:val="0"/>
            <w:vAlign w:val="center"/>
          </w:tcPr>
          <w:p w14:paraId="0AD4BC2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4BCDE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B3BF6F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991A4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C788B7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6F3D07F">
                  <w:r>
                    <w:rPr>
                      <w:rStyle w:val="11"/>
                      <w:rFonts w:hint="eastAsia"/>
                    </w:rPr>
                    <w:t>施用方式</w:t>
                  </w:r>
                </w:p>
              </w:tc>
            </w:tr>
            <w:tr w14:paraId="1C5C95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90665B">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49F5B9">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52A744">
                  <w:r>
                    <w:rPr>
                      <w:rStyle w:val="11"/>
                      <w:rFonts w:hint="eastAsia"/>
                    </w:rPr>
                    <w:t>60-100毫升/亩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471FB4">
                  <w:r>
                    <w:rPr>
                      <w:rStyle w:val="11"/>
                      <w:rFonts w:hint="eastAsia"/>
                    </w:rPr>
                    <w:t>喷雾</w:t>
                  </w:r>
                </w:p>
              </w:tc>
            </w:tr>
          </w:tbl>
          <w:p w14:paraId="13699010">
            <w:pPr>
              <w:rPr>
                <w:rFonts w:ascii="Times New Roman" w:hAnsi="Times New Roman" w:cs="Times New Roman"/>
                <w:sz w:val="20"/>
                <w:szCs w:val="20"/>
              </w:rPr>
            </w:pPr>
          </w:p>
        </w:tc>
      </w:tr>
      <w:tr w14:paraId="10CB6D07">
        <w:tblPrEx>
          <w:tblCellMar>
            <w:top w:w="0" w:type="dxa"/>
            <w:left w:w="0" w:type="dxa"/>
            <w:bottom w:w="0" w:type="dxa"/>
            <w:right w:w="0" w:type="dxa"/>
          </w:tblCellMar>
        </w:tblPrEx>
        <w:trPr>
          <w:wBefore w:w="0" w:type="auto"/>
          <w:tblCellSpacing w:w="0" w:type="dxa"/>
        </w:trPr>
        <w:tc>
          <w:tcPr>
            <w:tcW w:w="0" w:type="auto"/>
            <w:noWrap w:val="0"/>
            <w:vAlign w:val="center"/>
          </w:tcPr>
          <w:p w14:paraId="7065B4BC">
            <w:r>
              <w:rPr>
                <w:rStyle w:val="10"/>
                <w:rFonts w:hint="eastAsia"/>
              </w:rPr>
              <w:t>使用技术要求:</w:t>
            </w:r>
            <w:r>
              <w:rPr>
                <w:rFonts w:hint="eastAsia"/>
              </w:rPr>
              <w:br w:type="textWrapping"/>
            </w:r>
            <w:r>
              <w:rPr>
                <w:rStyle w:val="11"/>
                <w:rFonts w:hint="eastAsia"/>
              </w:rPr>
              <w:t>水稻稻纵卷叶螟卵孵化盛期至低龄若虫发生期，以推荐用量兑水均匀喷雾施药1次。大风天或预计1小时内有雨请勿施药。在水稻上安全间隔期21天，每季作物最多施药1次。</w:t>
            </w:r>
          </w:p>
        </w:tc>
      </w:tr>
      <w:tr w14:paraId="4D238992">
        <w:tblPrEx>
          <w:tblCellMar>
            <w:top w:w="0" w:type="dxa"/>
            <w:left w:w="0" w:type="dxa"/>
            <w:bottom w:w="0" w:type="dxa"/>
            <w:right w:w="0" w:type="dxa"/>
          </w:tblCellMar>
        </w:tblPrEx>
        <w:trPr>
          <w:wBefore w:w="0" w:type="auto"/>
          <w:tblCellSpacing w:w="0" w:type="dxa"/>
        </w:trPr>
        <w:tc>
          <w:tcPr>
            <w:tcW w:w="0" w:type="auto"/>
            <w:noWrap w:val="0"/>
            <w:vAlign w:val="center"/>
          </w:tcPr>
          <w:p w14:paraId="783DC279">
            <w:r>
              <w:rPr>
                <w:rStyle w:val="10"/>
                <w:rFonts w:hint="eastAsia"/>
              </w:rPr>
              <w:t>产品性能:</w:t>
            </w:r>
            <w:r>
              <w:rPr>
                <w:rFonts w:hint="eastAsia"/>
              </w:rPr>
              <w:br w:type="textWrapping"/>
            </w:r>
            <w:r>
              <w:rPr>
                <w:rStyle w:val="11"/>
                <w:rFonts w:hint="eastAsia"/>
              </w:rPr>
              <w:t>本品是一种具有触杀和胃毒双重作用的杀虫剂，其作用机理为阻碍害虫运动神经信息传递，使害虫细胞功能丧失，扰乱神经传导，发生不可逆转的麻痹，在3-4天内达到最高致死率。</w:t>
            </w:r>
          </w:p>
        </w:tc>
      </w:tr>
      <w:tr w14:paraId="19859B90">
        <w:tblPrEx>
          <w:tblCellMar>
            <w:top w:w="0" w:type="dxa"/>
            <w:left w:w="0" w:type="dxa"/>
            <w:bottom w:w="0" w:type="dxa"/>
            <w:right w:w="0" w:type="dxa"/>
          </w:tblCellMar>
        </w:tblPrEx>
        <w:trPr>
          <w:wBefore w:w="0" w:type="auto"/>
          <w:tblCellSpacing w:w="0" w:type="dxa"/>
        </w:trPr>
        <w:tc>
          <w:tcPr>
            <w:tcW w:w="0" w:type="auto"/>
            <w:noWrap w:val="0"/>
            <w:vAlign w:val="center"/>
          </w:tcPr>
          <w:p w14:paraId="2CB5EB77">
            <w:r>
              <w:rPr>
                <w:rStyle w:val="10"/>
                <w:rFonts w:hint="eastAsia"/>
              </w:rPr>
              <w:t>注意事项：</w:t>
            </w:r>
            <w:r>
              <w:rPr>
                <w:rFonts w:hint="eastAsia"/>
              </w:rPr>
              <w:br w:type="textWrapping"/>
            </w:r>
            <w:r>
              <w:rPr>
                <w:rStyle w:val="11"/>
                <w:rFonts w:hint="eastAsia"/>
              </w:rPr>
              <w:t>1.请严格按照标签推荐剂量、使用方法和适用范围使用本品。为避免产生抗药性，建议与其它作用机理不同的杀虫剂轮换或交替使用。2.本品对眼睛中毒刺激，使用时避免药液接触眼睛，穿戴长衣长裤、帽子、口罩、手套、鞋等安全防护措施。 施药时不能吃东西、饮水、吸烟等。喷药后，应立即洗澡，并更换和清洗工作服。 3.本品对蜜蜂、鱼、家蚕有毒，施药时应避免对周围蜂群的影响，（周围）开花植物花期、蚕室和桑园附近禁用。使用农药3日前告知所在地及邻近3000米以内的养蜂者。施药期间应密切关注对附近蜂群的影响。 4.远离水产养殖区、河塘等水体附近施药。鱼或虾蟹套养稻田禁用，施药后的田水不得直接排入水体。禁止在河塘等水体中清洗施药器具，避免污染水源。 5.施药器具用后立即清洗，未用完的药品，应妥善保存。用过的容器应妥善处理，不可作他用，也不可随意丢弃。 6.孕妇及哺乳期妇女禁止接触本品。</w:t>
            </w:r>
          </w:p>
        </w:tc>
      </w:tr>
      <w:tr w14:paraId="2EE59250">
        <w:tblPrEx>
          <w:tblCellMar>
            <w:top w:w="0" w:type="dxa"/>
            <w:left w:w="0" w:type="dxa"/>
            <w:bottom w:w="0" w:type="dxa"/>
            <w:right w:w="0" w:type="dxa"/>
          </w:tblCellMar>
        </w:tblPrEx>
        <w:trPr>
          <w:wBefore w:w="0" w:type="auto"/>
          <w:tblCellSpacing w:w="0" w:type="dxa"/>
        </w:trPr>
        <w:tc>
          <w:tcPr>
            <w:tcW w:w="0" w:type="auto"/>
            <w:noWrap w:val="0"/>
            <w:vAlign w:val="center"/>
          </w:tcPr>
          <w:p w14:paraId="5A352632">
            <w:r>
              <w:rPr>
                <w:rStyle w:val="10"/>
                <w:rFonts w:hint="eastAsia"/>
              </w:rPr>
              <w:t>中毒急救措施：</w:t>
            </w:r>
            <w:r>
              <w:rPr>
                <w:rFonts w:hint="eastAsia"/>
              </w:rPr>
              <w:br w:type="textWrapping"/>
            </w:r>
            <w:r>
              <w:rPr>
                <w:rStyle w:val="11"/>
                <w:rFonts w:hint="eastAsia"/>
              </w:rPr>
              <w:t>中毒症状:早期症状为瞳孔放大，行动失调，肌肉颤抖，严重时导致呕吐。 中毒急救： 1、若不慎吸入，应立即将病人移至空气流通处；2、若不慎接触皮肤，立即脱去污染的衣物，用大量清水和肥皂冲洗干净；3、若溅入眼睛，立即翻开眼睑，用大量清水冲洗至少15分钟，仍有不适，就医；4、若误服，立即携此标签请医生诊治，引吐并给患者服用吐根糖浆或麻黄素，但勿给昏迷患者催吐或灌任何东西。抢救时避免给患者使用增强γ-氨基丁酸活性的药物（如巴比妥、丙戊酸等）。</w:t>
            </w:r>
          </w:p>
        </w:tc>
      </w:tr>
      <w:tr w14:paraId="7B6B4996">
        <w:tblPrEx>
          <w:tblCellMar>
            <w:top w:w="0" w:type="dxa"/>
            <w:left w:w="0" w:type="dxa"/>
            <w:bottom w:w="0" w:type="dxa"/>
            <w:right w:w="0" w:type="dxa"/>
          </w:tblCellMar>
        </w:tblPrEx>
        <w:trPr>
          <w:wBefore w:w="0" w:type="auto"/>
          <w:tblCellSpacing w:w="0" w:type="dxa"/>
        </w:trPr>
        <w:tc>
          <w:tcPr>
            <w:tcW w:w="0" w:type="auto"/>
            <w:noWrap w:val="0"/>
            <w:vAlign w:val="center"/>
          </w:tcPr>
          <w:p w14:paraId="59C6A679">
            <w:r>
              <w:rPr>
                <w:rStyle w:val="10"/>
                <w:rFonts w:hint="eastAsia"/>
              </w:rPr>
              <w:t>储存和运输方法：</w:t>
            </w:r>
            <w:r>
              <w:rPr>
                <w:rFonts w:hint="eastAsia"/>
              </w:rPr>
              <w:br w:type="textWrapping"/>
            </w:r>
            <w:r>
              <w:rPr>
                <w:rStyle w:val="11"/>
                <w:rFonts w:hint="eastAsia"/>
              </w:rPr>
              <w:t>1、本品应贮存在干燥、阴凉、通风、防雨处，远离火源或热源。 避免与氧化剂接触或混合。2、置于儿童、无关人员触及不到之处，并加锁。勿与食品、饮料、饲料、粮食等同贮同运。</w:t>
            </w:r>
          </w:p>
        </w:tc>
      </w:tr>
      <w:tr w14:paraId="4E0B1D1E">
        <w:tblPrEx>
          <w:tblCellMar>
            <w:top w:w="0" w:type="dxa"/>
            <w:left w:w="0" w:type="dxa"/>
            <w:bottom w:w="0" w:type="dxa"/>
            <w:right w:w="0" w:type="dxa"/>
          </w:tblCellMar>
        </w:tblPrEx>
        <w:trPr>
          <w:wBefore w:w="0" w:type="auto"/>
          <w:tblCellSpacing w:w="0" w:type="dxa"/>
        </w:trPr>
        <w:tc>
          <w:tcPr>
            <w:tcW w:w="0" w:type="auto"/>
            <w:noWrap w:val="0"/>
            <w:vAlign w:val="center"/>
          </w:tcPr>
          <w:p w14:paraId="4215777D">
            <w:r>
              <w:rPr>
                <w:rStyle w:val="10"/>
                <w:rFonts w:hint="eastAsia"/>
              </w:rPr>
              <w:t>质量保证期：</w:t>
            </w:r>
            <w:r>
              <w:rPr>
                <w:rStyle w:val="11"/>
                <w:rFonts w:hint="eastAsia"/>
              </w:rPr>
              <w:t>2年</w:t>
            </w:r>
          </w:p>
        </w:tc>
      </w:tr>
      <w:tr w14:paraId="40A00214">
        <w:tblPrEx>
          <w:tblCellMar>
            <w:top w:w="0" w:type="dxa"/>
            <w:left w:w="0" w:type="dxa"/>
            <w:bottom w:w="0" w:type="dxa"/>
            <w:right w:w="0" w:type="dxa"/>
          </w:tblCellMar>
        </w:tblPrEx>
        <w:trPr>
          <w:wBefore w:w="0" w:type="auto"/>
          <w:tblCellSpacing w:w="0" w:type="dxa"/>
        </w:trPr>
        <w:tc>
          <w:tcPr>
            <w:tcW w:w="0" w:type="auto"/>
            <w:noWrap w:val="0"/>
            <w:vAlign w:val="center"/>
          </w:tcPr>
          <w:p w14:paraId="4433697A">
            <w:r>
              <w:rPr>
                <w:rStyle w:val="10"/>
                <w:rFonts w:hint="eastAsia"/>
              </w:rPr>
              <w:t>备注：</w:t>
            </w:r>
            <w:r>
              <w:rPr>
                <w:rFonts w:hint="eastAsia"/>
              </w:rPr>
              <w:br w:type="textWrapping"/>
            </w:r>
            <w:r>
              <w:rPr>
                <w:rStyle w:val="11"/>
                <w:rFonts w:hint="eastAsia"/>
              </w:rPr>
              <w:t>甲氨基阿维菌素苯甲酸盐1.14%。</w:t>
            </w:r>
          </w:p>
        </w:tc>
      </w:tr>
    </w:tbl>
    <w:p w14:paraId="553E3D5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0DA6C25">
        <w:tblPrEx>
          <w:tblCellMar>
            <w:top w:w="0" w:type="dxa"/>
            <w:left w:w="0" w:type="dxa"/>
            <w:bottom w:w="0" w:type="dxa"/>
            <w:right w:w="0" w:type="dxa"/>
          </w:tblCellMar>
        </w:tblPrEx>
        <w:trPr>
          <w:wBefore w:w="0" w:type="auto"/>
          <w:tblCellSpacing w:w="0" w:type="dxa"/>
        </w:trPr>
        <w:tc>
          <w:tcPr>
            <w:tcW w:w="0" w:type="auto"/>
            <w:noWrap w:val="0"/>
            <w:vAlign w:val="center"/>
          </w:tcPr>
          <w:p w14:paraId="1939D7CA">
            <w:r>
              <w:rPr>
                <w:rStyle w:val="10"/>
                <w:rFonts w:hint="eastAsia"/>
              </w:rPr>
              <w:t>登记证号：</w:t>
            </w:r>
            <w:r>
              <w:rPr>
                <w:rFonts w:hint="eastAsia"/>
              </w:rPr>
              <w:t>WP20210203</w:t>
            </w:r>
          </w:p>
        </w:tc>
      </w:tr>
      <w:tr w14:paraId="20738A19">
        <w:tblPrEx>
          <w:tblCellMar>
            <w:top w:w="0" w:type="dxa"/>
            <w:left w:w="0" w:type="dxa"/>
            <w:bottom w:w="0" w:type="dxa"/>
            <w:right w:w="0" w:type="dxa"/>
          </w:tblCellMar>
        </w:tblPrEx>
        <w:trPr>
          <w:wBefore w:w="0" w:type="auto"/>
          <w:tblCellSpacing w:w="0" w:type="dxa"/>
        </w:trPr>
        <w:tc>
          <w:tcPr>
            <w:tcW w:w="0" w:type="auto"/>
            <w:noWrap w:val="0"/>
            <w:vAlign w:val="center"/>
          </w:tcPr>
          <w:p w14:paraId="1A7E37F6">
            <w:r>
              <w:rPr>
                <w:rStyle w:val="10"/>
                <w:rFonts w:hint="eastAsia"/>
              </w:rPr>
              <w:t>登记证持有人：</w:t>
            </w:r>
            <w:r>
              <w:rPr>
                <w:rFonts w:hint="eastAsia"/>
              </w:rPr>
              <w:t>浙江省义乌市稠城夏宝日化厂</w:t>
            </w:r>
          </w:p>
        </w:tc>
      </w:tr>
      <w:tr w14:paraId="3DED0449">
        <w:tblPrEx>
          <w:tblCellMar>
            <w:top w:w="0" w:type="dxa"/>
            <w:left w:w="0" w:type="dxa"/>
            <w:bottom w:w="0" w:type="dxa"/>
            <w:right w:w="0" w:type="dxa"/>
          </w:tblCellMar>
        </w:tblPrEx>
        <w:trPr>
          <w:wBefore w:w="0" w:type="auto"/>
          <w:tblCellSpacing w:w="0" w:type="dxa"/>
        </w:trPr>
        <w:tc>
          <w:tcPr>
            <w:tcW w:w="0" w:type="auto"/>
            <w:noWrap w:val="0"/>
            <w:vAlign w:val="center"/>
          </w:tcPr>
          <w:p w14:paraId="0A15EB1C">
            <w:r>
              <w:rPr>
                <w:rStyle w:val="10"/>
                <w:rFonts w:hint="eastAsia"/>
              </w:rPr>
              <w:t>农药名称：</w:t>
            </w:r>
            <w:r>
              <w:rPr>
                <w:rFonts w:hint="eastAsia"/>
              </w:rPr>
              <w:t>杀蟑饵剂</w:t>
            </w:r>
          </w:p>
        </w:tc>
      </w:tr>
      <w:tr w14:paraId="2B8785D4">
        <w:tblPrEx>
          <w:tblCellMar>
            <w:top w:w="0" w:type="dxa"/>
            <w:left w:w="0" w:type="dxa"/>
            <w:bottom w:w="0" w:type="dxa"/>
            <w:right w:w="0" w:type="dxa"/>
          </w:tblCellMar>
        </w:tblPrEx>
        <w:trPr>
          <w:wBefore w:w="0" w:type="auto"/>
          <w:tblCellSpacing w:w="0" w:type="dxa"/>
        </w:trPr>
        <w:tc>
          <w:tcPr>
            <w:tcW w:w="0" w:type="auto"/>
            <w:noWrap w:val="0"/>
            <w:vAlign w:val="center"/>
          </w:tcPr>
          <w:p w14:paraId="3BA0C6B1">
            <w:r>
              <w:rPr>
                <w:rStyle w:val="10"/>
                <w:rFonts w:hint="eastAsia"/>
              </w:rPr>
              <w:t>剂型：</w:t>
            </w:r>
            <w:r>
              <w:rPr>
                <w:rFonts w:hint="eastAsia"/>
              </w:rPr>
              <w:t>饵剂</w:t>
            </w:r>
          </w:p>
        </w:tc>
      </w:tr>
      <w:tr w14:paraId="0E2DFD46">
        <w:tblPrEx>
          <w:tblCellMar>
            <w:top w:w="0" w:type="dxa"/>
            <w:left w:w="0" w:type="dxa"/>
            <w:bottom w:w="0" w:type="dxa"/>
            <w:right w:w="0" w:type="dxa"/>
          </w:tblCellMar>
        </w:tblPrEx>
        <w:trPr>
          <w:wBefore w:w="0" w:type="auto"/>
          <w:tblCellSpacing w:w="0" w:type="dxa"/>
        </w:trPr>
        <w:tc>
          <w:tcPr>
            <w:tcW w:w="0" w:type="auto"/>
            <w:noWrap w:val="0"/>
            <w:vAlign w:val="center"/>
          </w:tcPr>
          <w:p w14:paraId="39654AD6">
            <w:r>
              <w:rPr>
                <w:rStyle w:val="10"/>
                <w:rFonts w:hint="eastAsia"/>
              </w:rPr>
              <w:t>毒性及其标识：</w:t>
            </w:r>
            <w:r>
              <w:rPr>
                <w:rFonts w:hint="eastAsia"/>
              </w:rPr>
              <w:t xml:space="preserve"> 微毒 </w:t>
            </w:r>
          </w:p>
        </w:tc>
      </w:tr>
      <w:tr w14:paraId="0700BD48">
        <w:tblPrEx>
          <w:tblCellMar>
            <w:top w:w="0" w:type="dxa"/>
            <w:left w:w="0" w:type="dxa"/>
            <w:bottom w:w="0" w:type="dxa"/>
            <w:right w:w="0" w:type="dxa"/>
          </w:tblCellMar>
        </w:tblPrEx>
        <w:trPr>
          <w:wBefore w:w="0" w:type="auto"/>
          <w:tblCellSpacing w:w="0" w:type="dxa"/>
        </w:trPr>
        <w:tc>
          <w:tcPr>
            <w:tcW w:w="0" w:type="auto"/>
            <w:noWrap w:val="0"/>
            <w:vAlign w:val="center"/>
          </w:tcPr>
          <w:p w14:paraId="75DB5A7A">
            <w:r>
              <w:rPr>
                <w:rStyle w:val="10"/>
                <w:rFonts w:hint="eastAsia"/>
              </w:rPr>
              <w:t>总有效成分含量：</w:t>
            </w:r>
            <w:r>
              <w:rPr>
                <w:rFonts w:hint="eastAsia"/>
              </w:rPr>
              <w:t>2.5%</w:t>
            </w:r>
          </w:p>
        </w:tc>
      </w:tr>
      <w:tr w14:paraId="410992B9">
        <w:tblPrEx>
          <w:tblCellMar>
            <w:top w:w="0" w:type="dxa"/>
            <w:left w:w="0" w:type="dxa"/>
            <w:bottom w:w="0" w:type="dxa"/>
            <w:right w:w="0" w:type="dxa"/>
          </w:tblCellMar>
        </w:tblPrEx>
        <w:trPr>
          <w:wBefore w:w="0" w:type="auto"/>
          <w:tblCellSpacing w:w="0" w:type="dxa"/>
        </w:trPr>
        <w:tc>
          <w:tcPr>
            <w:tcW w:w="0" w:type="auto"/>
            <w:noWrap w:val="0"/>
            <w:vAlign w:val="center"/>
          </w:tcPr>
          <w:p w14:paraId="295FB7AA">
            <w:r>
              <w:rPr>
                <w:rFonts w:hint="eastAsia"/>
              </w:rPr>
              <w:t xml:space="preserve">有效成分及其含量： </w:t>
            </w:r>
          </w:p>
          <w:p w14:paraId="41528E9B">
            <w:r>
              <w:rPr>
                <w:rFonts w:hint="eastAsia"/>
              </w:rPr>
              <w:t xml:space="preserve">    吡虫啉2.5%    </w:t>
            </w:r>
          </w:p>
        </w:tc>
      </w:tr>
      <w:tr w14:paraId="338DFBB2">
        <w:tblPrEx>
          <w:tblCellMar>
            <w:top w:w="0" w:type="dxa"/>
            <w:left w:w="0" w:type="dxa"/>
            <w:bottom w:w="0" w:type="dxa"/>
            <w:right w:w="0" w:type="dxa"/>
          </w:tblCellMar>
        </w:tblPrEx>
        <w:trPr>
          <w:wBefore w:w="0" w:type="auto"/>
          <w:tblCellSpacing w:w="0" w:type="dxa"/>
        </w:trPr>
        <w:tc>
          <w:tcPr>
            <w:tcW w:w="0" w:type="auto"/>
            <w:noWrap w:val="0"/>
            <w:vAlign w:val="center"/>
          </w:tcPr>
          <w:p w14:paraId="25D73DD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EB893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DE4D58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423DB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927C75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9F05CAD">
                  <w:r>
                    <w:rPr>
                      <w:rStyle w:val="11"/>
                      <w:rFonts w:hint="eastAsia"/>
                    </w:rPr>
                    <w:t>施用方式</w:t>
                  </w:r>
                </w:p>
              </w:tc>
            </w:tr>
            <w:tr w14:paraId="4BE2695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9EE06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5218AB">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B4B9DF">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92C1F5">
                  <w:r>
                    <w:rPr>
                      <w:rStyle w:val="11"/>
                      <w:rFonts w:hint="eastAsia"/>
                    </w:rPr>
                    <w:t>投放</w:t>
                  </w:r>
                </w:p>
              </w:tc>
            </w:tr>
          </w:tbl>
          <w:p w14:paraId="23D00AE8">
            <w:pPr>
              <w:rPr>
                <w:rFonts w:ascii="Times New Roman" w:hAnsi="Times New Roman" w:cs="Times New Roman"/>
                <w:sz w:val="20"/>
                <w:szCs w:val="20"/>
              </w:rPr>
            </w:pPr>
          </w:p>
        </w:tc>
      </w:tr>
      <w:tr w14:paraId="21523CFC">
        <w:tblPrEx>
          <w:tblCellMar>
            <w:top w:w="0" w:type="dxa"/>
            <w:left w:w="0" w:type="dxa"/>
            <w:bottom w:w="0" w:type="dxa"/>
            <w:right w:w="0" w:type="dxa"/>
          </w:tblCellMar>
        </w:tblPrEx>
        <w:trPr>
          <w:wBefore w:w="0" w:type="auto"/>
          <w:tblCellSpacing w:w="0" w:type="dxa"/>
        </w:trPr>
        <w:tc>
          <w:tcPr>
            <w:tcW w:w="0" w:type="auto"/>
            <w:noWrap w:val="0"/>
            <w:vAlign w:val="center"/>
          </w:tcPr>
          <w:p w14:paraId="5F502113">
            <w:r>
              <w:rPr>
                <w:rStyle w:val="10"/>
                <w:rFonts w:hint="eastAsia"/>
              </w:rPr>
              <w:t>使用技术要求:</w:t>
            </w:r>
            <w:r>
              <w:rPr>
                <w:rFonts w:hint="eastAsia"/>
              </w:rPr>
              <w:br w:type="textWrapping"/>
            </w:r>
            <w:r>
              <w:rPr>
                <w:rStyle w:val="11"/>
                <w:rFonts w:hint="eastAsia"/>
              </w:rPr>
              <w:t>将本品投放于蜚蠊（蟑螂）活动和危害场所。药要施在角落、缝隙等人不易接触、擦抹的位置。</w:t>
            </w:r>
          </w:p>
        </w:tc>
      </w:tr>
      <w:tr w14:paraId="7837F793">
        <w:tblPrEx>
          <w:tblCellMar>
            <w:top w:w="0" w:type="dxa"/>
            <w:left w:w="0" w:type="dxa"/>
            <w:bottom w:w="0" w:type="dxa"/>
            <w:right w:w="0" w:type="dxa"/>
          </w:tblCellMar>
        </w:tblPrEx>
        <w:trPr>
          <w:wBefore w:w="0" w:type="auto"/>
          <w:tblCellSpacing w:w="0" w:type="dxa"/>
        </w:trPr>
        <w:tc>
          <w:tcPr>
            <w:tcW w:w="0" w:type="auto"/>
            <w:noWrap w:val="0"/>
            <w:vAlign w:val="center"/>
          </w:tcPr>
          <w:p w14:paraId="2A509E7D">
            <w:r>
              <w:rPr>
                <w:rStyle w:val="10"/>
                <w:rFonts w:hint="eastAsia"/>
              </w:rPr>
              <w:t>产品性能:</w:t>
            </w:r>
            <w:r>
              <w:rPr>
                <w:rFonts w:hint="eastAsia"/>
              </w:rPr>
              <w:br w:type="textWrapping"/>
            </w:r>
            <w:r>
              <w:rPr>
                <w:rStyle w:val="11"/>
                <w:rFonts w:hint="eastAsia"/>
              </w:rPr>
              <w:t>本品对蟑螂具有防治作用。适用于家庭、宾馆、饭店、办公场所及各类交通工具等。</w:t>
            </w:r>
          </w:p>
        </w:tc>
      </w:tr>
      <w:tr w14:paraId="03A29794">
        <w:tblPrEx>
          <w:tblCellMar>
            <w:top w:w="0" w:type="dxa"/>
            <w:left w:w="0" w:type="dxa"/>
            <w:bottom w:w="0" w:type="dxa"/>
            <w:right w:w="0" w:type="dxa"/>
          </w:tblCellMar>
        </w:tblPrEx>
        <w:trPr>
          <w:wBefore w:w="0" w:type="auto"/>
          <w:tblCellSpacing w:w="0" w:type="dxa"/>
        </w:trPr>
        <w:tc>
          <w:tcPr>
            <w:tcW w:w="0" w:type="auto"/>
            <w:noWrap w:val="0"/>
            <w:vAlign w:val="center"/>
          </w:tcPr>
          <w:p w14:paraId="1618899D">
            <w:r>
              <w:rPr>
                <w:rStyle w:val="10"/>
                <w:rFonts w:hint="eastAsia"/>
              </w:rPr>
              <w:t>注意事项：</w:t>
            </w:r>
            <w:r>
              <w:rPr>
                <w:rFonts w:hint="eastAsia"/>
              </w:rPr>
              <w:br w:type="textWrapping"/>
            </w:r>
            <w:r>
              <w:rPr>
                <w:rStyle w:val="11"/>
                <w:rFonts w:hint="eastAsia"/>
              </w:rPr>
              <w:t>1.不要在药饵周围施用其它杀虫剂以免引起驱避，使蟑螂拒食。 2.不要将本品施放于水流通道处，以免影响本品的持效作用。 3. 施药后应清洗双手。 4. 使用时勿污染食品及饮用水。 5. 蚕室及其附近禁用。过敏者禁用。使用中有任何不良反应请及时就医。 6.避免孕妇及哺乳期妇女接触。7.仅限室内使用。</w:t>
            </w:r>
          </w:p>
        </w:tc>
      </w:tr>
      <w:tr w14:paraId="0C9DBE74">
        <w:tblPrEx>
          <w:tblCellMar>
            <w:top w:w="0" w:type="dxa"/>
            <w:left w:w="0" w:type="dxa"/>
            <w:bottom w:w="0" w:type="dxa"/>
            <w:right w:w="0" w:type="dxa"/>
          </w:tblCellMar>
        </w:tblPrEx>
        <w:trPr>
          <w:wBefore w:w="0" w:type="auto"/>
          <w:tblCellSpacing w:w="0" w:type="dxa"/>
        </w:trPr>
        <w:tc>
          <w:tcPr>
            <w:tcW w:w="0" w:type="auto"/>
            <w:noWrap w:val="0"/>
            <w:vAlign w:val="center"/>
          </w:tcPr>
          <w:p w14:paraId="65D0D7F1">
            <w:r>
              <w:rPr>
                <w:rStyle w:val="10"/>
                <w:rFonts w:hint="eastAsia"/>
              </w:rPr>
              <w:t>中毒急救措施：</w:t>
            </w:r>
            <w:r>
              <w:rPr>
                <w:rFonts w:hint="eastAsia"/>
              </w:rPr>
              <w:br w:type="textWrapping"/>
            </w:r>
            <w:r>
              <w:rPr>
                <w:rStyle w:val="11"/>
                <w:rFonts w:hint="eastAsia"/>
              </w:rPr>
              <w:t>若不慎接触皮肤或眼睛，应用大量清水冲洗干净。误服则应立即携此标签将病人送医院诊治。本品无特殊解毒剂，请医生对症治疗。</w:t>
            </w:r>
          </w:p>
        </w:tc>
      </w:tr>
      <w:tr w14:paraId="6990BFDD">
        <w:tblPrEx>
          <w:tblCellMar>
            <w:top w:w="0" w:type="dxa"/>
            <w:left w:w="0" w:type="dxa"/>
            <w:bottom w:w="0" w:type="dxa"/>
            <w:right w:w="0" w:type="dxa"/>
          </w:tblCellMar>
        </w:tblPrEx>
        <w:trPr>
          <w:wBefore w:w="0" w:type="auto"/>
          <w:tblCellSpacing w:w="0" w:type="dxa"/>
        </w:trPr>
        <w:tc>
          <w:tcPr>
            <w:tcW w:w="0" w:type="auto"/>
            <w:noWrap w:val="0"/>
            <w:vAlign w:val="center"/>
          </w:tcPr>
          <w:p w14:paraId="48790CFF">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本品应贮存在干燥、阴凉、通风、防雨处，远离火源或热源。置于儿童接触不到的地方，不能与食品、饮料、粮食、饲料等混合储存和运输。运输和装卸时注意轻拿轻放。 </w:t>
            </w:r>
          </w:p>
        </w:tc>
      </w:tr>
      <w:tr w14:paraId="4BDD6488">
        <w:tblPrEx>
          <w:tblCellMar>
            <w:top w:w="0" w:type="dxa"/>
            <w:left w:w="0" w:type="dxa"/>
            <w:bottom w:w="0" w:type="dxa"/>
            <w:right w:w="0" w:type="dxa"/>
          </w:tblCellMar>
        </w:tblPrEx>
        <w:trPr>
          <w:wBefore w:w="0" w:type="auto"/>
          <w:tblCellSpacing w:w="0" w:type="dxa"/>
        </w:trPr>
        <w:tc>
          <w:tcPr>
            <w:tcW w:w="0" w:type="auto"/>
            <w:noWrap w:val="0"/>
            <w:vAlign w:val="center"/>
          </w:tcPr>
          <w:p w14:paraId="40C9FF5E">
            <w:r>
              <w:rPr>
                <w:rStyle w:val="10"/>
                <w:rFonts w:hint="eastAsia"/>
              </w:rPr>
              <w:t>质量保证期：</w:t>
            </w:r>
            <w:r>
              <w:rPr>
                <w:rStyle w:val="11"/>
                <w:rFonts w:hint="eastAsia"/>
              </w:rPr>
              <w:t>2年</w:t>
            </w:r>
          </w:p>
        </w:tc>
      </w:tr>
      <w:tr w14:paraId="25C032E8">
        <w:tblPrEx>
          <w:tblCellMar>
            <w:top w:w="0" w:type="dxa"/>
            <w:left w:w="0" w:type="dxa"/>
            <w:bottom w:w="0" w:type="dxa"/>
            <w:right w:w="0" w:type="dxa"/>
          </w:tblCellMar>
        </w:tblPrEx>
        <w:trPr>
          <w:wBefore w:w="0" w:type="auto"/>
          <w:tblCellSpacing w:w="0" w:type="dxa"/>
        </w:trPr>
        <w:tc>
          <w:tcPr>
            <w:tcW w:w="0" w:type="auto"/>
            <w:noWrap w:val="0"/>
            <w:vAlign w:val="center"/>
          </w:tcPr>
          <w:p w14:paraId="53BFAF03">
            <w:r>
              <w:rPr>
                <w:rStyle w:val="10"/>
                <w:rFonts w:hint="eastAsia"/>
              </w:rPr>
              <w:t>备注：</w:t>
            </w:r>
          </w:p>
        </w:tc>
      </w:tr>
    </w:tbl>
    <w:p w14:paraId="4D9CF8B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A32BC1">
        <w:tblPrEx>
          <w:tblCellMar>
            <w:top w:w="0" w:type="dxa"/>
            <w:left w:w="0" w:type="dxa"/>
            <w:bottom w:w="0" w:type="dxa"/>
            <w:right w:w="0" w:type="dxa"/>
          </w:tblCellMar>
        </w:tblPrEx>
        <w:trPr>
          <w:wBefore w:w="0" w:type="auto"/>
          <w:tblCellSpacing w:w="0" w:type="dxa"/>
        </w:trPr>
        <w:tc>
          <w:tcPr>
            <w:tcW w:w="0" w:type="auto"/>
            <w:noWrap w:val="0"/>
            <w:vAlign w:val="center"/>
          </w:tcPr>
          <w:p w14:paraId="739A42D6">
            <w:r>
              <w:rPr>
                <w:rStyle w:val="10"/>
                <w:rFonts w:hint="eastAsia"/>
              </w:rPr>
              <w:t>登记证号：</w:t>
            </w:r>
            <w:r>
              <w:rPr>
                <w:rFonts w:hint="eastAsia"/>
              </w:rPr>
              <w:t>PD20212202</w:t>
            </w:r>
          </w:p>
        </w:tc>
      </w:tr>
      <w:tr w14:paraId="3EE4CFC6">
        <w:tblPrEx>
          <w:tblCellMar>
            <w:top w:w="0" w:type="dxa"/>
            <w:left w:w="0" w:type="dxa"/>
            <w:bottom w:w="0" w:type="dxa"/>
            <w:right w:w="0" w:type="dxa"/>
          </w:tblCellMar>
        </w:tblPrEx>
        <w:trPr>
          <w:wBefore w:w="0" w:type="auto"/>
          <w:tblCellSpacing w:w="0" w:type="dxa"/>
        </w:trPr>
        <w:tc>
          <w:tcPr>
            <w:tcW w:w="0" w:type="auto"/>
            <w:noWrap w:val="0"/>
            <w:vAlign w:val="center"/>
          </w:tcPr>
          <w:p w14:paraId="2FB90DC5">
            <w:r>
              <w:rPr>
                <w:rStyle w:val="10"/>
                <w:rFonts w:hint="eastAsia"/>
              </w:rPr>
              <w:t>登记证持有人：</w:t>
            </w:r>
            <w:r>
              <w:rPr>
                <w:rFonts w:hint="eastAsia"/>
              </w:rPr>
              <w:t>广西威迪生物科技有限公司</w:t>
            </w:r>
          </w:p>
        </w:tc>
      </w:tr>
      <w:tr w14:paraId="4CFC2823">
        <w:tblPrEx>
          <w:tblCellMar>
            <w:top w:w="0" w:type="dxa"/>
            <w:left w:w="0" w:type="dxa"/>
            <w:bottom w:w="0" w:type="dxa"/>
            <w:right w:w="0" w:type="dxa"/>
          </w:tblCellMar>
        </w:tblPrEx>
        <w:trPr>
          <w:wBefore w:w="0" w:type="auto"/>
          <w:tblCellSpacing w:w="0" w:type="dxa"/>
        </w:trPr>
        <w:tc>
          <w:tcPr>
            <w:tcW w:w="0" w:type="auto"/>
            <w:noWrap w:val="0"/>
            <w:vAlign w:val="center"/>
          </w:tcPr>
          <w:p w14:paraId="1582B480">
            <w:r>
              <w:rPr>
                <w:rStyle w:val="10"/>
                <w:rFonts w:hint="eastAsia"/>
              </w:rPr>
              <w:t>农药名称：</w:t>
            </w:r>
            <w:r>
              <w:rPr>
                <w:rFonts w:hint="eastAsia"/>
              </w:rPr>
              <w:t>滴酸·草甘膦</w:t>
            </w:r>
          </w:p>
        </w:tc>
      </w:tr>
      <w:tr w14:paraId="6CA65D26">
        <w:tblPrEx>
          <w:tblCellMar>
            <w:top w:w="0" w:type="dxa"/>
            <w:left w:w="0" w:type="dxa"/>
            <w:bottom w:w="0" w:type="dxa"/>
            <w:right w:w="0" w:type="dxa"/>
          </w:tblCellMar>
        </w:tblPrEx>
        <w:trPr>
          <w:wBefore w:w="0" w:type="auto"/>
          <w:tblCellSpacing w:w="0" w:type="dxa"/>
        </w:trPr>
        <w:tc>
          <w:tcPr>
            <w:tcW w:w="0" w:type="auto"/>
            <w:noWrap w:val="0"/>
            <w:vAlign w:val="center"/>
          </w:tcPr>
          <w:p w14:paraId="60D7AF84">
            <w:r>
              <w:rPr>
                <w:rStyle w:val="10"/>
                <w:rFonts w:hint="eastAsia"/>
              </w:rPr>
              <w:t>剂型：</w:t>
            </w:r>
            <w:r>
              <w:rPr>
                <w:rFonts w:hint="eastAsia"/>
              </w:rPr>
              <w:t>可溶液剂</w:t>
            </w:r>
          </w:p>
        </w:tc>
      </w:tr>
      <w:tr w14:paraId="0AE06EFA">
        <w:tblPrEx>
          <w:tblCellMar>
            <w:top w:w="0" w:type="dxa"/>
            <w:left w:w="0" w:type="dxa"/>
            <w:bottom w:w="0" w:type="dxa"/>
            <w:right w:w="0" w:type="dxa"/>
          </w:tblCellMar>
        </w:tblPrEx>
        <w:trPr>
          <w:wBefore w:w="0" w:type="auto"/>
          <w:tblCellSpacing w:w="0" w:type="dxa"/>
        </w:trPr>
        <w:tc>
          <w:tcPr>
            <w:tcW w:w="0" w:type="auto"/>
            <w:noWrap w:val="0"/>
            <w:vAlign w:val="center"/>
          </w:tcPr>
          <w:p w14:paraId="6BB563AC">
            <w:r>
              <w:rPr>
                <w:rStyle w:val="10"/>
                <w:rFonts w:hint="eastAsia"/>
              </w:rPr>
              <w:t>毒性及其标识：</w:t>
            </w:r>
            <w:r>
              <w:rPr>
                <w:rFonts w:hint="eastAsia"/>
              </w:rPr>
              <w:t xml:space="preserve"> </w:t>
            </w:r>
            <w:r>
              <w:rPr>
                <w:lang/>
              </w:rPr>
              <w:drawing>
                <wp:inline distT="0" distB="0" distL="114300" distR="114300">
                  <wp:extent cx="476250" cy="323850"/>
                  <wp:effectExtent l="0" t="0" r="0" b="0"/>
                  <wp:docPr id="28" name="图片 2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6A7594D">
        <w:tblPrEx>
          <w:tblCellMar>
            <w:top w:w="0" w:type="dxa"/>
            <w:left w:w="0" w:type="dxa"/>
            <w:bottom w:w="0" w:type="dxa"/>
            <w:right w:w="0" w:type="dxa"/>
          </w:tblCellMar>
        </w:tblPrEx>
        <w:trPr>
          <w:wBefore w:w="0" w:type="auto"/>
          <w:tblCellSpacing w:w="0" w:type="dxa"/>
        </w:trPr>
        <w:tc>
          <w:tcPr>
            <w:tcW w:w="0" w:type="auto"/>
            <w:noWrap w:val="0"/>
            <w:vAlign w:val="center"/>
          </w:tcPr>
          <w:p w14:paraId="41BF2F42">
            <w:r>
              <w:rPr>
                <w:rStyle w:val="10"/>
                <w:rFonts w:hint="eastAsia"/>
              </w:rPr>
              <w:t>总有效成分含量：</w:t>
            </w:r>
            <w:r>
              <w:rPr>
                <w:rFonts w:hint="eastAsia"/>
              </w:rPr>
              <w:t>32%</w:t>
            </w:r>
          </w:p>
        </w:tc>
      </w:tr>
      <w:tr w14:paraId="5F11D4CD">
        <w:tblPrEx>
          <w:tblCellMar>
            <w:top w:w="0" w:type="dxa"/>
            <w:left w:w="0" w:type="dxa"/>
            <w:bottom w:w="0" w:type="dxa"/>
            <w:right w:w="0" w:type="dxa"/>
          </w:tblCellMar>
        </w:tblPrEx>
        <w:trPr>
          <w:wBefore w:w="0" w:type="auto"/>
          <w:tblCellSpacing w:w="0" w:type="dxa"/>
        </w:trPr>
        <w:tc>
          <w:tcPr>
            <w:tcW w:w="0" w:type="auto"/>
            <w:noWrap w:val="0"/>
            <w:vAlign w:val="center"/>
          </w:tcPr>
          <w:p w14:paraId="50D25E24">
            <w:r>
              <w:rPr>
                <w:rFonts w:hint="eastAsia"/>
              </w:rPr>
              <w:t xml:space="preserve">有效成分及其含量： </w:t>
            </w:r>
          </w:p>
          <w:p w14:paraId="629CE3F2">
            <w:r>
              <w:rPr>
                <w:rFonts w:hint="eastAsia"/>
              </w:rPr>
              <w:t xml:space="preserve">    2,4-滴2%    草甘膦30%    </w:t>
            </w:r>
          </w:p>
        </w:tc>
      </w:tr>
      <w:tr w14:paraId="076389AB">
        <w:tblPrEx>
          <w:tblCellMar>
            <w:top w:w="0" w:type="dxa"/>
            <w:left w:w="0" w:type="dxa"/>
            <w:bottom w:w="0" w:type="dxa"/>
            <w:right w:w="0" w:type="dxa"/>
          </w:tblCellMar>
        </w:tblPrEx>
        <w:trPr>
          <w:wBefore w:w="0" w:type="auto"/>
          <w:tblCellSpacing w:w="0" w:type="dxa"/>
        </w:trPr>
        <w:tc>
          <w:tcPr>
            <w:tcW w:w="0" w:type="auto"/>
            <w:noWrap w:val="0"/>
            <w:vAlign w:val="center"/>
          </w:tcPr>
          <w:p w14:paraId="23E113E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C88EC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B23F3E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256C91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185BE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039C71B">
                  <w:r>
                    <w:rPr>
                      <w:rStyle w:val="11"/>
                      <w:rFonts w:hint="eastAsia"/>
                    </w:rPr>
                    <w:t>施用方式</w:t>
                  </w:r>
                </w:p>
              </w:tc>
            </w:tr>
            <w:tr w14:paraId="3CDDFB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46CB49">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7BA69C">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D7450B">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B19121">
                  <w:r>
                    <w:rPr>
                      <w:rStyle w:val="11"/>
                      <w:rFonts w:hint="eastAsia"/>
                    </w:rPr>
                    <w:t>茎叶喷雾</w:t>
                  </w:r>
                </w:p>
              </w:tc>
            </w:tr>
          </w:tbl>
          <w:p w14:paraId="752270FA">
            <w:pPr>
              <w:rPr>
                <w:rFonts w:ascii="Times New Roman" w:hAnsi="Times New Roman" w:cs="Times New Roman"/>
                <w:sz w:val="20"/>
                <w:szCs w:val="20"/>
              </w:rPr>
            </w:pPr>
          </w:p>
        </w:tc>
      </w:tr>
      <w:tr w14:paraId="05C13882">
        <w:tblPrEx>
          <w:tblCellMar>
            <w:top w:w="0" w:type="dxa"/>
            <w:left w:w="0" w:type="dxa"/>
            <w:bottom w:w="0" w:type="dxa"/>
            <w:right w:w="0" w:type="dxa"/>
          </w:tblCellMar>
        </w:tblPrEx>
        <w:trPr>
          <w:wBefore w:w="0" w:type="auto"/>
          <w:tblCellSpacing w:w="0" w:type="dxa"/>
        </w:trPr>
        <w:tc>
          <w:tcPr>
            <w:tcW w:w="0" w:type="auto"/>
            <w:noWrap w:val="0"/>
            <w:vAlign w:val="center"/>
          </w:tcPr>
          <w:p w14:paraId="7C4A35C7">
            <w:r>
              <w:rPr>
                <w:rStyle w:val="10"/>
                <w:rFonts w:hint="eastAsia"/>
              </w:rPr>
              <w:t>使用技术要求:</w:t>
            </w:r>
            <w:r>
              <w:rPr>
                <w:rFonts w:hint="eastAsia"/>
              </w:rPr>
              <w:br w:type="textWrapping"/>
            </w:r>
            <w:r>
              <w:rPr>
                <w:rStyle w:val="11"/>
                <w:rFonts w:hint="eastAsia"/>
              </w:rPr>
              <w:t>1. 在非耕地杂草旺盛生长期茎叶喷雾施药一次。2. 施药时应选择无风或微风天气常规方法喷雾，严防雾滴漂移到果木和邻近作物田，以免发生药害。3.大风天或预计1小时之内有降雨，请勿使用。4. 每季最多使用1次。4. 禁止在田间道路、田埂、果树行间、休耕地、林场林地等农林业区域使用。</w:t>
            </w:r>
          </w:p>
        </w:tc>
      </w:tr>
      <w:tr w14:paraId="1FB77F91">
        <w:tblPrEx>
          <w:tblCellMar>
            <w:top w:w="0" w:type="dxa"/>
            <w:left w:w="0" w:type="dxa"/>
            <w:bottom w:w="0" w:type="dxa"/>
            <w:right w:w="0" w:type="dxa"/>
          </w:tblCellMar>
        </w:tblPrEx>
        <w:trPr>
          <w:wBefore w:w="0" w:type="auto"/>
          <w:tblCellSpacing w:w="0" w:type="dxa"/>
        </w:trPr>
        <w:tc>
          <w:tcPr>
            <w:tcW w:w="0" w:type="auto"/>
            <w:noWrap w:val="0"/>
            <w:vAlign w:val="center"/>
          </w:tcPr>
          <w:p w14:paraId="2180258F">
            <w:r>
              <w:rPr>
                <w:rStyle w:val="10"/>
                <w:rFonts w:hint="eastAsia"/>
              </w:rPr>
              <w:t>产品性能:</w:t>
            </w:r>
            <w:r>
              <w:rPr>
                <w:rFonts w:hint="eastAsia"/>
              </w:rPr>
              <w:br w:type="textWrapping"/>
            </w:r>
            <w:r>
              <w:rPr>
                <w:rStyle w:val="11"/>
                <w:rFonts w:hint="eastAsia"/>
              </w:rPr>
              <w:t>本品为草甘膦和2,4-滴的混配制剂，草甘膦为内吸传导型灭生性除草剂；2,4-滴可以干扰植物体内激素平衡，破坏核酸与蛋白质代谢，促进或抑制某些器官生长。本品是灭生性除草剂，具有杀草谱广、除草效果好、持效期长等特点。能有效地防除非耕地杂草。</w:t>
            </w:r>
          </w:p>
        </w:tc>
      </w:tr>
      <w:tr w14:paraId="12222310">
        <w:tblPrEx>
          <w:tblCellMar>
            <w:top w:w="0" w:type="dxa"/>
            <w:left w:w="0" w:type="dxa"/>
            <w:bottom w:w="0" w:type="dxa"/>
            <w:right w:w="0" w:type="dxa"/>
          </w:tblCellMar>
        </w:tblPrEx>
        <w:trPr>
          <w:wBefore w:w="0" w:type="auto"/>
          <w:tblCellSpacing w:w="0" w:type="dxa"/>
        </w:trPr>
        <w:tc>
          <w:tcPr>
            <w:tcW w:w="0" w:type="auto"/>
            <w:noWrap w:val="0"/>
            <w:vAlign w:val="center"/>
          </w:tcPr>
          <w:p w14:paraId="05BBE011">
            <w:r>
              <w:rPr>
                <w:rStyle w:val="10"/>
                <w:rFonts w:hint="eastAsia"/>
              </w:rPr>
              <w:t>注意事项：</w:t>
            </w:r>
            <w:r>
              <w:rPr>
                <w:rFonts w:hint="eastAsia"/>
              </w:rPr>
              <w:br w:type="textWrapping"/>
            </w:r>
            <w:r>
              <w:rPr>
                <w:rStyle w:val="11"/>
                <w:rFonts w:hint="eastAsia"/>
              </w:rPr>
              <w:t>1. 严格按农药安全使用规则正确使用，未用完的液体就保存在原包装内，盖紧瓶盖，并远离儿童、饮料和食物。2. 喷雾器使用后彻底清洗干净，清洗废液妥善处理，剩余药剂及废弃包装不得随意丢弃，更不可留做他用。3. 该产品对眼睛有刺激性，使用时避免接触眼睛，穿戴长衣、长裤、帽子、口罩、手套等防护措施。避免吸入药剂。施药期间不可进食和饮水等。施药后应及时洗手和洗脸等。4. 桑园或蚕室附近禁止使用。5. 水产养殖区、河塘等水体附近禁用，严禁药液流入江河湖泊等鱼类养殖水体，禁止在河塘水体洗涤施药器械。6. 赤眼蜂等天敌放飞区域禁用。7. 避免与氧化剂接触。8. 孕妇及哺乳期妇女避免接触本品。</w:t>
            </w:r>
          </w:p>
        </w:tc>
      </w:tr>
      <w:tr w14:paraId="04954C14">
        <w:tblPrEx>
          <w:tblCellMar>
            <w:top w:w="0" w:type="dxa"/>
            <w:left w:w="0" w:type="dxa"/>
            <w:bottom w:w="0" w:type="dxa"/>
            <w:right w:w="0" w:type="dxa"/>
          </w:tblCellMar>
        </w:tblPrEx>
        <w:trPr>
          <w:wBefore w:w="0" w:type="auto"/>
          <w:tblCellSpacing w:w="0" w:type="dxa"/>
        </w:trPr>
        <w:tc>
          <w:tcPr>
            <w:tcW w:w="0" w:type="auto"/>
            <w:noWrap w:val="0"/>
            <w:vAlign w:val="center"/>
          </w:tcPr>
          <w:p w14:paraId="703D4EAB">
            <w:r>
              <w:rPr>
                <w:rStyle w:val="10"/>
                <w:rFonts w:hint="eastAsia"/>
              </w:rPr>
              <w:t>中毒急救措施：</w:t>
            </w:r>
            <w:r>
              <w:rPr>
                <w:rFonts w:hint="eastAsia"/>
              </w:rPr>
              <w:br w:type="textWrapping"/>
            </w:r>
            <w:r>
              <w:rPr>
                <w:rStyle w:val="11"/>
                <w:rFonts w:hint="eastAsia"/>
              </w:rPr>
              <w:t>中毒症状：本品对眼睛具有刺激，严格按照标签推荐方法使用，用药时如果感觉不适，立即停止工作，采取急救措施。 皮肤接触：立即脱去被污染的衣物，用肥皂和大量清水冲洗皮肤暴露部位。如皮肤刺激感持续，请医生诊治。眼睛溅入：立即翻开眼睑，用清水冲洗至少15分钟，再请医生诊治。吸 入：立即将吸入者转移到空气清新处，若吸入者停止呼吸，需要进行人工呼吸。注意保暖和休息，请医生诊治。误 食：严禁引吐，应先立即用清水漱口，再携带产品标签送医就诊，对症治疗。注意：对昏迷病人，切勿经口喂入任何东西。</w:t>
            </w:r>
          </w:p>
        </w:tc>
      </w:tr>
      <w:tr w14:paraId="09EA99AD">
        <w:tblPrEx>
          <w:tblCellMar>
            <w:top w:w="0" w:type="dxa"/>
            <w:left w:w="0" w:type="dxa"/>
            <w:bottom w:w="0" w:type="dxa"/>
            <w:right w:w="0" w:type="dxa"/>
          </w:tblCellMar>
        </w:tblPrEx>
        <w:trPr>
          <w:wBefore w:w="0" w:type="auto"/>
          <w:tblCellSpacing w:w="0" w:type="dxa"/>
        </w:trPr>
        <w:tc>
          <w:tcPr>
            <w:tcW w:w="0" w:type="auto"/>
            <w:noWrap w:val="0"/>
            <w:vAlign w:val="center"/>
          </w:tcPr>
          <w:p w14:paraId="292F0ABB">
            <w:r>
              <w:rPr>
                <w:rStyle w:val="10"/>
                <w:rFonts w:hint="eastAsia"/>
              </w:rPr>
              <w:t>储存和运输方法：</w:t>
            </w:r>
            <w:r>
              <w:rPr>
                <w:rFonts w:hint="eastAsia"/>
              </w:rPr>
              <w:br w:type="textWrapping"/>
            </w:r>
            <w:r>
              <w:rPr>
                <w:rStyle w:val="11"/>
                <w:rFonts w:hint="eastAsia"/>
              </w:rPr>
              <w:t>本品应储存在干燥、阴凉、通风、防雨处，远离火源或热源，置于儿童触及不到的地方，并加锁。装卸、运输过程中，需专门车辆运输，轻拿轻放，确保包装不泄露、不损坏。不能与食品、饮料、粮食、饲料等混合储存。</w:t>
            </w:r>
          </w:p>
        </w:tc>
      </w:tr>
      <w:tr w14:paraId="53FEBE62">
        <w:tblPrEx>
          <w:tblCellMar>
            <w:top w:w="0" w:type="dxa"/>
            <w:left w:w="0" w:type="dxa"/>
            <w:bottom w:w="0" w:type="dxa"/>
            <w:right w:w="0" w:type="dxa"/>
          </w:tblCellMar>
        </w:tblPrEx>
        <w:trPr>
          <w:wBefore w:w="0" w:type="auto"/>
          <w:tblCellSpacing w:w="0" w:type="dxa"/>
        </w:trPr>
        <w:tc>
          <w:tcPr>
            <w:tcW w:w="0" w:type="auto"/>
            <w:noWrap w:val="0"/>
            <w:vAlign w:val="center"/>
          </w:tcPr>
          <w:p w14:paraId="1EC140AE">
            <w:r>
              <w:rPr>
                <w:rStyle w:val="10"/>
                <w:rFonts w:hint="eastAsia"/>
              </w:rPr>
              <w:t>质量保证期：</w:t>
            </w:r>
            <w:r>
              <w:rPr>
                <w:rStyle w:val="11"/>
                <w:rFonts w:hint="eastAsia"/>
              </w:rPr>
              <w:t>2年</w:t>
            </w:r>
          </w:p>
        </w:tc>
      </w:tr>
      <w:tr w14:paraId="29F9B011">
        <w:tblPrEx>
          <w:tblCellMar>
            <w:top w:w="0" w:type="dxa"/>
            <w:left w:w="0" w:type="dxa"/>
            <w:bottom w:w="0" w:type="dxa"/>
            <w:right w:w="0" w:type="dxa"/>
          </w:tblCellMar>
        </w:tblPrEx>
        <w:trPr>
          <w:wBefore w:w="0" w:type="auto"/>
          <w:tblCellSpacing w:w="0" w:type="dxa"/>
        </w:trPr>
        <w:tc>
          <w:tcPr>
            <w:tcW w:w="0" w:type="auto"/>
            <w:noWrap w:val="0"/>
            <w:vAlign w:val="center"/>
          </w:tcPr>
          <w:p w14:paraId="720D216E">
            <w:r>
              <w:rPr>
                <w:rStyle w:val="10"/>
                <w:rFonts w:hint="eastAsia"/>
              </w:rPr>
              <w:t>备注：</w:t>
            </w:r>
            <w:r>
              <w:rPr>
                <w:rFonts w:hint="eastAsia"/>
              </w:rPr>
              <w:br w:type="textWrapping"/>
            </w:r>
            <w:r>
              <w:rPr>
                <w:rStyle w:val="11"/>
                <w:rFonts w:hint="eastAsia"/>
              </w:rPr>
              <w:t>2.4-滴钠盐2.2%，草甘膦铵盐33%。</w:t>
            </w:r>
          </w:p>
        </w:tc>
      </w:tr>
    </w:tbl>
    <w:p w14:paraId="3975918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5245040">
        <w:tblPrEx>
          <w:tblCellMar>
            <w:top w:w="0" w:type="dxa"/>
            <w:left w:w="0" w:type="dxa"/>
            <w:bottom w:w="0" w:type="dxa"/>
            <w:right w:w="0" w:type="dxa"/>
          </w:tblCellMar>
        </w:tblPrEx>
        <w:trPr>
          <w:wBefore w:w="0" w:type="auto"/>
          <w:tblCellSpacing w:w="0" w:type="dxa"/>
        </w:trPr>
        <w:tc>
          <w:tcPr>
            <w:tcW w:w="0" w:type="auto"/>
            <w:noWrap w:val="0"/>
            <w:vAlign w:val="center"/>
          </w:tcPr>
          <w:p w14:paraId="3DB06FEE">
            <w:r>
              <w:rPr>
                <w:rStyle w:val="10"/>
                <w:rFonts w:hint="eastAsia"/>
              </w:rPr>
              <w:t>登记证号：</w:t>
            </w:r>
            <w:r>
              <w:rPr>
                <w:rFonts w:hint="eastAsia"/>
              </w:rPr>
              <w:t>PD20211981</w:t>
            </w:r>
          </w:p>
        </w:tc>
      </w:tr>
      <w:tr w14:paraId="36EF85D0">
        <w:tblPrEx>
          <w:tblCellMar>
            <w:top w:w="0" w:type="dxa"/>
            <w:left w:w="0" w:type="dxa"/>
            <w:bottom w:w="0" w:type="dxa"/>
            <w:right w:w="0" w:type="dxa"/>
          </w:tblCellMar>
        </w:tblPrEx>
        <w:trPr>
          <w:wBefore w:w="0" w:type="auto"/>
          <w:tblCellSpacing w:w="0" w:type="dxa"/>
        </w:trPr>
        <w:tc>
          <w:tcPr>
            <w:tcW w:w="0" w:type="auto"/>
            <w:noWrap w:val="0"/>
            <w:vAlign w:val="center"/>
          </w:tcPr>
          <w:p w14:paraId="5934E069">
            <w:r>
              <w:rPr>
                <w:rStyle w:val="10"/>
                <w:rFonts w:hint="eastAsia"/>
              </w:rPr>
              <w:t>登记证持有人：</w:t>
            </w:r>
            <w:r>
              <w:rPr>
                <w:rFonts w:hint="eastAsia"/>
              </w:rPr>
              <w:t>广东省佛山市盈辉作物科学有限公司</w:t>
            </w:r>
          </w:p>
        </w:tc>
      </w:tr>
      <w:tr w14:paraId="0D08D078">
        <w:tblPrEx>
          <w:tblCellMar>
            <w:top w:w="0" w:type="dxa"/>
            <w:left w:w="0" w:type="dxa"/>
            <w:bottom w:w="0" w:type="dxa"/>
            <w:right w:w="0" w:type="dxa"/>
          </w:tblCellMar>
        </w:tblPrEx>
        <w:trPr>
          <w:wBefore w:w="0" w:type="auto"/>
          <w:tblCellSpacing w:w="0" w:type="dxa"/>
        </w:trPr>
        <w:tc>
          <w:tcPr>
            <w:tcW w:w="0" w:type="auto"/>
            <w:noWrap w:val="0"/>
            <w:vAlign w:val="center"/>
          </w:tcPr>
          <w:p w14:paraId="67465898">
            <w:r>
              <w:rPr>
                <w:rStyle w:val="10"/>
                <w:rFonts w:hint="eastAsia"/>
              </w:rPr>
              <w:t>农药名称：</w:t>
            </w:r>
            <w:r>
              <w:rPr>
                <w:rFonts w:hint="eastAsia"/>
              </w:rPr>
              <w:t>噻虫嗪·噻唑膦</w:t>
            </w:r>
          </w:p>
        </w:tc>
      </w:tr>
      <w:tr w14:paraId="0903D012">
        <w:tblPrEx>
          <w:tblCellMar>
            <w:top w:w="0" w:type="dxa"/>
            <w:left w:w="0" w:type="dxa"/>
            <w:bottom w:w="0" w:type="dxa"/>
            <w:right w:w="0" w:type="dxa"/>
          </w:tblCellMar>
        </w:tblPrEx>
        <w:trPr>
          <w:wBefore w:w="0" w:type="auto"/>
          <w:tblCellSpacing w:w="0" w:type="dxa"/>
        </w:trPr>
        <w:tc>
          <w:tcPr>
            <w:tcW w:w="0" w:type="auto"/>
            <w:noWrap w:val="0"/>
            <w:vAlign w:val="center"/>
          </w:tcPr>
          <w:p w14:paraId="63ED192B">
            <w:r>
              <w:rPr>
                <w:rStyle w:val="10"/>
                <w:rFonts w:hint="eastAsia"/>
              </w:rPr>
              <w:t>剂型：</w:t>
            </w:r>
            <w:r>
              <w:rPr>
                <w:rFonts w:hint="eastAsia"/>
              </w:rPr>
              <w:t>颗粒剂</w:t>
            </w:r>
          </w:p>
        </w:tc>
      </w:tr>
      <w:tr w14:paraId="393E42E1">
        <w:tblPrEx>
          <w:tblCellMar>
            <w:top w:w="0" w:type="dxa"/>
            <w:left w:w="0" w:type="dxa"/>
            <w:bottom w:w="0" w:type="dxa"/>
            <w:right w:w="0" w:type="dxa"/>
          </w:tblCellMar>
        </w:tblPrEx>
        <w:trPr>
          <w:wBefore w:w="0" w:type="auto"/>
          <w:tblCellSpacing w:w="0" w:type="dxa"/>
        </w:trPr>
        <w:tc>
          <w:tcPr>
            <w:tcW w:w="0" w:type="auto"/>
            <w:noWrap w:val="0"/>
            <w:vAlign w:val="center"/>
          </w:tcPr>
          <w:p w14:paraId="648FA722">
            <w:r>
              <w:rPr>
                <w:rStyle w:val="10"/>
                <w:rFonts w:hint="eastAsia"/>
              </w:rPr>
              <w:t>毒性及其标识：</w:t>
            </w:r>
            <w:r>
              <w:rPr>
                <w:rFonts w:hint="eastAsia"/>
              </w:rPr>
              <w:t xml:space="preserve"> </w:t>
            </w:r>
            <w:r>
              <w:rPr>
                <w:lang/>
              </w:rPr>
              <w:drawing>
                <wp:inline distT="0" distB="0" distL="114300" distR="114300">
                  <wp:extent cx="476250" cy="323850"/>
                  <wp:effectExtent l="0" t="0" r="0" b="0"/>
                  <wp:docPr id="29" name="图片 2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2151AF">
        <w:tblPrEx>
          <w:tblCellMar>
            <w:top w:w="0" w:type="dxa"/>
            <w:left w:w="0" w:type="dxa"/>
            <w:bottom w:w="0" w:type="dxa"/>
            <w:right w:w="0" w:type="dxa"/>
          </w:tblCellMar>
        </w:tblPrEx>
        <w:trPr>
          <w:wBefore w:w="0" w:type="auto"/>
          <w:tblCellSpacing w:w="0" w:type="dxa"/>
        </w:trPr>
        <w:tc>
          <w:tcPr>
            <w:tcW w:w="0" w:type="auto"/>
            <w:noWrap w:val="0"/>
            <w:vAlign w:val="center"/>
          </w:tcPr>
          <w:p w14:paraId="796F3A4C">
            <w:r>
              <w:rPr>
                <w:rStyle w:val="10"/>
                <w:rFonts w:hint="eastAsia"/>
              </w:rPr>
              <w:t>总有效成分含量：</w:t>
            </w:r>
            <w:r>
              <w:rPr>
                <w:rFonts w:hint="eastAsia"/>
              </w:rPr>
              <w:t>12%</w:t>
            </w:r>
          </w:p>
        </w:tc>
      </w:tr>
      <w:tr w14:paraId="602A20A2">
        <w:tblPrEx>
          <w:tblCellMar>
            <w:top w:w="0" w:type="dxa"/>
            <w:left w:w="0" w:type="dxa"/>
            <w:bottom w:w="0" w:type="dxa"/>
            <w:right w:w="0" w:type="dxa"/>
          </w:tblCellMar>
        </w:tblPrEx>
        <w:trPr>
          <w:wBefore w:w="0" w:type="auto"/>
          <w:tblCellSpacing w:w="0" w:type="dxa"/>
        </w:trPr>
        <w:tc>
          <w:tcPr>
            <w:tcW w:w="0" w:type="auto"/>
            <w:noWrap w:val="0"/>
            <w:vAlign w:val="center"/>
          </w:tcPr>
          <w:p w14:paraId="75C96C20">
            <w:r>
              <w:rPr>
                <w:rFonts w:hint="eastAsia"/>
              </w:rPr>
              <w:t xml:space="preserve">有效成分及其含量： </w:t>
            </w:r>
          </w:p>
          <w:p w14:paraId="5428020D">
            <w:r>
              <w:rPr>
                <w:rFonts w:hint="eastAsia"/>
              </w:rPr>
              <w:t xml:space="preserve">    噻唑膦10%    噻虫嗪2%    </w:t>
            </w:r>
          </w:p>
        </w:tc>
      </w:tr>
      <w:tr w14:paraId="7A094B4B">
        <w:tblPrEx>
          <w:tblCellMar>
            <w:top w:w="0" w:type="dxa"/>
            <w:left w:w="0" w:type="dxa"/>
            <w:bottom w:w="0" w:type="dxa"/>
            <w:right w:w="0" w:type="dxa"/>
          </w:tblCellMar>
        </w:tblPrEx>
        <w:trPr>
          <w:wBefore w:w="0" w:type="auto"/>
          <w:tblCellSpacing w:w="0" w:type="dxa"/>
        </w:trPr>
        <w:tc>
          <w:tcPr>
            <w:tcW w:w="0" w:type="auto"/>
            <w:noWrap w:val="0"/>
            <w:vAlign w:val="center"/>
          </w:tcPr>
          <w:p w14:paraId="785E070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56BA8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D32F8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C02224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6F676E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FD2B1B">
                  <w:r>
                    <w:rPr>
                      <w:rStyle w:val="11"/>
                      <w:rFonts w:hint="eastAsia"/>
                    </w:rPr>
                    <w:t>施用方式</w:t>
                  </w:r>
                </w:p>
              </w:tc>
            </w:tr>
            <w:tr w14:paraId="5B0297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493FB39">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906314">
                  <w:r>
                    <w:rPr>
                      <w:rStyle w:val="11"/>
                      <w:rFonts w:hint="eastAsia"/>
                    </w:rPr>
                    <w:t>根结线虫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7D9DE1">
                  <w:r>
                    <w:rPr>
                      <w:rStyle w:val="11"/>
                      <w:rFonts w:hint="eastAsia"/>
                    </w:rPr>
                    <w:t>1500-2000克/亩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D91EA3">
                  <w:r>
                    <w:rPr>
                      <w:rStyle w:val="11"/>
                      <w:rFonts w:hint="eastAsia"/>
                    </w:rPr>
                    <w:t>撒施</w:t>
                  </w:r>
                </w:p>
              </w:tc>
            </w:tr>
          </w:tbl>
          <w:p w14:paraId="304F9E0A">
            <w:pPr>
              <w:rPr>
                <w:rFonts w:ascii="Times New Roman" w:hAnsi="Times New Roman" w:cs="Times New Roman"/>
                <w:sz w:val="20"/>
                <w:szCs w:val="20"/>
              </w:rPr>
            </w:pPr>
          </w:p>
        </w:tc>
      </w:tr>
      <w:tr w14:paraId="3B688E32">
        <w:tblPrEx>
          <w:tblCellMar>
            <w:top w:w="0" w:type="dxa"/>
            <w:left w:w="0" w:type="dxa"/>
            <w:bottom w:w="0" w:type="dxa"/>
            <w:right w:w="0" w:type="dxa"/>
          </w:tblCellMar>
        </w:tblPrEx>
        <w:trPr>
          <w:wBefore w:w="0" w:type="auto"/>
          <w:tblCellSpacing w:w="0" w:type="dxa"/>
        </w:trPr>
        <w:tc>
          <w:tcPr>
            <w:tcW w:w="0" w:type="auto"/>
            <w:noWrap w:val="0"/>
            <w:vAlign w:val="center"/>
          </w:tcPr>
          <w:p w14:paraId="328E6F97">
            <w:r>
              <w:rPr>
                <w:rStyle w:val="10"/>
                <w:rFonts w:hint="eastAsia"/>
              </w:rPr>
              <w:t>使用技术要求:</w:t>
            </w:r>
            <w:r>
              <w:rPr>
                <w:rFonts w:hint="eastAsia"/>
              </w:rPr>
              <w:br w:type="textWrapping"/>
            </w:r>
            <w:r>
              <w:rPr>
                <w:rStyle w:val="11"/>
                <w:rFonts w:hint="eastAsia"/>
              </w:rPr>
              <w:t>1. 烟草移栽前，药剂拌细土撒施，覆土后移栽烟草。2．本品每季作物使用1次。</w:t>
            </w:r>
          </w:p>
        </w:tc>
      </w:tr>
      <w:tr w14:paraId="4E180E30">
        <w:tblPrEx>
          <w:tblCellMar>
            <w:top w:w="0" w:type="dxa"/>
            <w:left w:w="0" w:type="dxa"/>
            <w:bottom w:w="0" w:type="dxa"/>
            <w:right w:w="0" w:type="dxa"/>
          </w:tblCellMar>
        </w:tblPrEx>
        <w:trPr>
          <w:wBefore w:w="0" w:type="auto"/>
          <w:tblCellSpacing w:w="0" w:type="dxa"/>
        </w:trPr>
        <w:tc>
          <w:tcPr>
            <w:tcW w:w="0" w:type="auto"/>
            <w:noWrap w:val="0"/>
            <w:vAlign w:val="center"/>
          </w:tcPr>
          <w:p w14:paraId="4DB15BA5">
            <w:r>
              <w:rPr>
                <w:rStyle w:val="10"/>
                <w:rFonts w:hint="eastAsia"/>
              </w:rPr>
              <w:t>产品性能:</w:t>
            </w:r>
            <w:r>
              <w:rPr>
                <w:rFonts w:hint="eastAsia"/>
              </w:rPr>
              <w:br w:type="textWrapping"/>
            </w:r>
            <w:r>
              <w:rPr>
                <w:rStyle w:val="11"/>
                <w:rFonts w:hint="eastAsia"/>
              </w:rPr>
              <w:t>本品由噻虫嗪和噻唑膦复配而成，具有胃毒、触杀和内吸作用，两种成分类型不同、杀虫机理不同，对害虫有一定增效作用，对烟草根结线虫和烟草地老虎具有良好的防效</w:t>
            </w:r>
          </w:p>
        </w:tc>
      </w:tr>
      <w:tr w14:paraId="4CED6A8B">
        <w:tblPrEx>
          <w:tblCellMar>
            <w:top w:w="0" w:type="dxa"/>
            <w:left w:w="0" w:type="dxa"/>
            <w:bottom w:w="0" w:type="dxa"/>
            <w:right w:w="0" w:type="dxa"/>
          </w:tblCellMar>
        </w:tblPrEx>
        <w:trPr>
          <w:wBefore w:w="0" w:type="auto"/>
          <w:tblCellSpacing w:w="0" w:type="dxa"/>
        </w:trPr>
        <w:tc>
          <w:tcPr>
            <w:tcW w:w="0" w:type="auto"/>
            <w:noWrap w:val="0"/>
            <w:vAlign w:val="center"/>
          </w:tcPr>
          <w:p w14:paraId="01F889D6">
            <w:r>
              <w:rPr>
                <w:rStyle w:val="10"/>
                <w:rFonts w:hint="eastAsia"/>
              </w:rPr>
              <w:t>注意事项：</w:t>
            </w:r>
            <w:r>
              <w:rPr>
                <w:rFonts w:hint="eastAsia"/>
              </w:rPr>
              <w:br w:type="textWrapping"/>
            </w:r>
            <w:r>
              <w:rPr>
                <w:rStyle w:val="11"/>
                <w:rFonts w:hint="eastAsia"/>
              </w:rPr>
              <w:t>1、使用本品时应穿戴防护服、手套等，避免吸入药液；施药期间不可吃东西、饮水等。施药后应及时洗手、洗脸等。2、清洗施药器具的废水不能排入河流、池塘等水源。废弃物应妥善处理，不可做他用，也不可随意丢弃。3、本品对鱼类等水生生物有毒，远离水产养殖区、河塘等水域施药，禁止河塘等水体清洗施药器械，远离桑蚕养殖基地，在桑蚕基地施药时要设置隔离带。4、孕妇及哺乳期妇女应避免接触本品。</w:t>
            </w:r>
          </w:p>
        </w:tc>
      </w:tr>
      <w:tr w14:paraId="3252AB87">
        <w:tblPrEx>
          <w:tblCellMar>
            <w:top w:w="0" w:type="dxa"/>
            <w:left w:w="0" w:type="dxa"/>
            <w:bottom w:w="0" w:type="dxa"/>
            <w:right w:w="0" w:type="dxa"/>
          </w:tblCellMar>
        </w:tblPrEx>
        <w:trPr>
          <w:wBefore w:w="0" w:type="auto"/>
          <w:tblCellSpacing w:w="0" w:type="dxa"/>
        </w:trPr>
        <w:tc>
          <w:tcPr>
            <w:tcW w:w="0" w:type="auto"/>
            <w:noWrap w:val="0"/>
            <w:vAlign w:val="center"/>
          </w:tcPr>
          <w:p w14:paraId="7189B758">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应立即用清水漱口，严禁引吐，避免呕吐物吸入肺部，立即携带标签到对症治疗。</w:t>
            </w:r>
          </w:p>
        </w:tc>
      </w:tr>
      <w:tr w14:paraId="0CDFE1AA">
        <w:tblPrEx>
          <w:tblCellMar>
            <w:top w:w="0" w:type="dxa"/>
            <w:left w:w="0" w:type="dxa"/>
            <w:bottom w:w="0" w:type="dxa"/>
            <w:right w:w="0" w:type="dxa"/>
          </w:tblCellMar>
        </w:tblPrEx>
        <w:trPr>
          <w:wBefore w:w="0" w:type="auto"/>
          <w:tblCellSpacing w:w="0" w:type="dxa"/>
        </w:trPr>
        <w:tc>
          <w:tcPr>
            <w:tcW w:w="0" w:type="auto"/>
            <w:noWrap w:val="0"/>
            <w:vAlign w:val="center"/>
          </w:tcPr>
          <w:p w14:paraId="78B8AABB">
            <w:r>
              <w:rPr>
                <w:rStyle w:val="10"/>
                <w:rFonts w:hint="eastAsia"/>
              </w:rPr>
              <w:t>储存和运输方法：</w:t>
            </w:r>
            <w:r>
              <w:rPr>
                <w:rFonts w:hint="eastAsia"/>
              </w:rPr>
              <w:br w:type="textWrapping"/>
            </w:r>
            <w:r>
              <w:rPr>
                <w:rStyle w:val="11"/>
                <w:rFonts w:hint="eastAsia"/>
              </w:rPr>
              <w:t>贮运时应严防潮湿和日晒，保持良好通风，置于儿童、无关人员及动物接触不到的地方，并加锁保存；避免与食物、种子、粮食、饮料、饲料混放混运。</w:t>
            </w:r>
          </w:p>
        </w:tc>
      </w:tr>
      <w:tr w14:paraId="34DA5493">
        <w:tblPrEx>
          <w:tblCellMar>
            <w:top w:w="0" w:type="dxa"/>
            <w:left w:w="0" w:type="dxa"/>
            <w:bottom w:w="0" w:type="dxa"/>
            <w:right w:w="0" w:type="dxa"/>
          </w:tblCellMar>
        </w:tblPrEx>
        <w:trPr>
          <w:wBefore w:w="0" w:type="auto"/>
          <w:tblCellSpacing w:w="0" w:type="dxa"/>
        </w:trPr>
        <w:tc>
          <w:tcPr>
            <w:tcW w:w="0" w:type="auto"/>
            <w:noWrap w:val="0"/>
            <w:vAlign w:val="center"/>
          </w:tcPr>
          <w:p w14:paraId="3E76743E">
            <w:r>
              <w:rPr>
                <w:rStyle w:val="10"/>
                <w:rFonts w:hint="eastAsia"/>
              </w:rPr>
              <w:t>质量保证期：</w:t>
            </w:r>
            <w:r>
              <w:rPr>
                <w:rStyle w:val="11"/>
                <w:rFonts w:hint="eastAsia"/>
              </w:rPr>
              <w:t>2年</w:t>
            </w:r>
          </w:p>
        </w:tc>
      </w:tr>
      <w:tr w14:paraId="0F51401C">
        <w:tblPrEx>
          <w:tblCellMar>
            <w:top w:w="0" w:type="dxa"/>
            <w:left w:w="0" w:type="dxa"/>
            <w:bottom w:w="0" w:type="dxa"/>
            <w:right w:w="0" w:type="dxa"/>
          </w:tblCellMar>
        </w:tblPrEx>
        <w:trPr>
          <w:wBefore w:w="0" w:type="auto"/>
          <w:tblCellSpacing w:w="0" w:type="dxa"/>
        </w:trPr>
        <w:tc>
          <w:tcPr>
            <w:tcW w:w="0" w:type="auto"/>
            <w:noWrap w:val="0"/>
            <w:vAlign w:val="center"/>
          </w:tcPr>
          <w:p w14:paraId="022032AD">
            <w:r>
              <w:rPr>
                <w:rStyle w:val="10"/>
                <w:rFonts w:hint="eastAsia"/>
              </w:rPr>
              <w:t>备注：</w:t>
            </w:r>
          </w:p>
        </w:tc>
      </w:tr>
    </w:tbl>
    <w:p w14:paraId="1EC4FA3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085E2B1">
        <w:tblPrEx>
          <w:tblCellMar>
            <w:top w:w="0" w:type="dxa"/>
            <w:left w:w="0" w:type="dxa"/>
            <w:bottom w:w="0" w:type="dxa"/>
            <w:right w:w="0" w:type="dxa"/>
          </w:tblCellMar>
        </w:tblPrEx>
        <w:trPr>
          <w:wBefore w:w="0" w:type="auto"/>
          <w:tblCellSpacing w:w="0" w:type="dxa"/>
        </w:trPr>
        <w:tc>
          <w:tcPr>
            <w:tcW w:w="0" w:type="auto"/>
            <w:noWrap w:val="0"/>
            <w:vAlign w:val="center"/>
          </w:tcPr>
          <w:p w14:paraId="44FE8740">
            <w:r>
              <w:rPr>
                <w:rStyle w:val="10"/>
                <w:rFonts w:hint="eastAsia"/>
              </w:rPr>
              <w:t>登记证号：</w:t>
            </w:r>
            <w:r>
              <w:rPr>
                <w:rFonts w:hint="eastAsia"/>
              </w:rPr>
              <w:t>PD20212019</w:t>
            </w:r>
          </w:p>
        </w:tc>
      </w:tr>
      <w:tr w14:paraId="405A575C">
        <w:tblPrEx>
          <w:tblCellMar>
            <w:top w:w="0" w:type="dxa"/>
            <w:left w:w="0" w:type="dxa"/>
            <w:bottom w:w="0" w:type="dxa"/>
            <w:right w:w="0" w:type="dxa"/>
          </w:tblCellMar>
        </w:tblPrEx>
        <w:trPr>
          <w:wBefore w:w="0" w:type="auto"/>
          <w:tblCellSpacing w:w="0" w:type="dxa"/>
        </w:trPr>
        <w:tc>
          <w:tcPr>
            <w:tcW w:w="0" w:type="auto"/>
            <w:noWrap w:val="0"/>
            <w:vAlign w:val="center"/>
          </w:tcPr>
          <w:p w14:paraId="49EC28E9">
            <w:r>
              <w:rPr>
                <w:rStyle w:val="10"/>
                <w:rFonts w:hint="eastAsia"/>
              </w:rPr>
              <w:t>登记证持有人：</w:t>
            </w:r>
            <w:r>
              <w:rPr>
                <w:rFonts w:hint="eastAsia"/>
              </w:rPr>
              <w:t>河南瀚斯作物保护有限公司</w:t>
            </w:r>
          </w:p>
        </w:tc>
      </w:tr>
      <w:tr w14:paraId="46892FA0">
        <w:tblPrEx>
          <w:tblCellMar>
            <w:top w:w="0" w:type="dxa"/>
            <w:left w:w="0" w:type="dxa"/>
            <w:bottom w:w="0" w:type="dxa"/>
            <w:right w:w="0" w:type="dxa"/>
          </w:tblCellMar>
        </w:tblPrEx>
        <w:trPr>
          <w:wBefore w:w="0" w:type="auto"/>
          <w:tblCellSpacing w:w="0" w:type="dxa"/>
        </w:trPr>
        <w:tc>
          <w:tcPr>
            <w:tcW w:w="0" w:type="auto"/>
            <w:noWrap w:val="0"/>
            <w:vAlign w:val="center"/>
          </w:tcPr>
          <w:p w14:paraId="7370FF0C">
            <w:r>
              <w:rPr>
                <w:rStyle w:val="10"/>
                <w:rFonts w:hint="eastAsia"/>
              </w:rPr>
              <w:t>农药名称：</w:t>
            </w:r>
            <w:r>
              <w:rPr>
                <w:rFonts w:hint="eastAsia"/>
              </w:rPr>
              <w:t>咯菌腈·噻虫胺·噻呋</w:t>
            </w:r>
          </w:p>
        </w:tc>
      </w:tr>
      <w:tr w14:paraId="4CDCC8A5">
        <w:tblPrEx>
          <w:tblCellMar>
            <w:top w:w="0" w:type="dxa"/>
            <w:left w:w="0" w:type="dxa"/>
            <w:bottom w:w="0" w:type="dxa"/>
            <w:right w:w="0" w:type="dxa"/>
          </w:tblCellMar>
        </w:tblPrEx>
        <w:trPr>
          <w:wBefore w:w="0" w:type="auto"/>
          <w:tblCellSpacing w:w="0" w:type="dxa"/>
        </w:trPr>
        <w:tc>
          <w:tcPr>
            <w:tcW w:w="0" w:type="auto"/>
            <w:noWrap w:val="0"/>
            <w:vAlign w:val="center"/>
          </w:tcPr>
          <w:p w14:paraId="6F794231">
            <w:r>
              <w:rPr>
                <w:rStyle w:val="10"/>
                <w:rFonts w:hint="eastAsia"/>
              </w:rPr>
              <w:t>剂型：</w:t>
            </w:r>
            <w:r>
              <w:rPr>
                <w:rFonts w:hint="eastAsia"/>
              </w:rPr>
              <w:t>种子处理悬浮剂</w:t>
            </w:r>
          </w:p>
        </w:tc>
      </w:tr>
      <w:tr w14:paraId="253D1876">
        <w:tblPrEx>
          <w:tblCellMar>
            <w:top w:w="0" w:type="dxa"/>
            <w:left w:w="0" w:type="dxa"/>
            <w:bottom w:w="0" w:type="dxa"/>
            <w:right w:w="0" w:type="dxa"/>
          </w:tblCellMar>
        </w:tblPrEx>
        <w:trPr>
          <w:wBefore w:w="0" w:type="auto"/>
          <w:tblCellSpacing w:w="0" w:type="dxa"/>
        </w:trPr>
        <w:tc>
          <w:tcPr>
            <w:tcW w:w="0" w:type="auto"/>
            <w:noWrap w:val="0"/>
            <w:vAlign w:val="center"/>
          </w:tcPr>
          <w:p w14:paraId="457764B7">
            <w:r>
              <w:rPr>
                <w:rStyle w:val="10"/>
                <w:rFonts w:hint="eastAsia"/>
              </w:rPr>
              <w:t>毒性及其标识：</w:t>
            </w:r>
            <w:r>
              <w:rPr>
                <w:rFonts w:hint="eastAsia"/>
              </w:rPr>
              <w:t xml:space="preserve"> </w:t>
            </w:r>
            <w:r>
              <w:rPr>
                <w:lang/>
              </w:rPr>
              <w:drawing>
                <wp:inline distT="0" distB="0" distL="114300" distR="114300">
                  <wp:extent cx="476250" cy="323850"/>
                  <wp:effectExtent l="0" t="0" r="0" b="0"/>
                  <wp:docPr id="30" name="图片 3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51FE5D4">
        <w:tblPrEx>
          <w:tblCellMar>
            <w:top w:w="0" w:type="dxa"/>
            <w:left w:w="0" w:type="dxa"/>
            <w:bottom w:w="0" w:type="dxa"/>
            <w:right w:w="0" w:type="dxa"/>
          </w:tblCellMar>
        </w:tblPrEx>
        <w:trPr>
          <w:wBefore w:w="0" w:type="auto"/>
          <w:tblCellSpacing w:w="0" w:type="dxa"/>
        </w:trPr>
        <w:tc>
          <w:tcPr>
            <w:tcW w:w="0" w:type="auto"/>
            <w:noWrap w:val="0"/>
            <w:vAlign w:val="center"/>
          </w:tcPr>
          <w:p w14:paraId="5123C9A8">
            <w:r>
              <w:rPr>
                <w:rStyle w:val="10"/>
                <w:rFonts w:hint="eastAsia"/>
              </w:rPr>
              <w:t>总有效成分含量：</w:t>
            </w:r>
            <w:r>
              <w:rPr>
                <w:rFonts w:hint="eastAsia"/>
              </w:rPr>
              <w:t>22%</w:t>
            </w:r>
          </w:p>
        </w:tc>
      </w:tr>
      <w:tr w14:paraId="1CD196A8">
        <w:tblPrEx>
          <w:tblCellMar>
            <w:top w:w="0" w:type="dxa"/>
            <w:left w:w="0" w:type="dxa"/>
            <w:bottom w:w="0" w:type="dxa"/>
            <w:right w:w="0" w:type="dxa"/>
          </w:tblCellMar>
        </w:tblPrEx>
        <w:trPr>
          <w:wBefore w:w="0" w:type="auto"/>
          <w:tblCellSpacing w:w="0" w:type="dxa"/>
        </w:trPr>
        <w:tc>
          <w:tcPr>
            <w:tcW w:w="0" w:type="auto"/>
            <w:noWrap w:val="0"/>
            <w:vAlign w:val="center"/>
          </w:tcPr>
          <w:p w14:paraId="3D4CA41D">
            <w:r>
              <w:rPr>
                <w:rFonts w:hint="eastAsia"/>
              </w:rPr>
              <w:t xml:space="preserve">有效成分及其含量： </w:t>
            </w:r>
          </w:p>
          <w:p w14:paraId="78411B3E">
            <w:r>
              <w:rPr>
                <w:rFonts w:hint="eastAsia"/>
              </w:rPr>
              <w:t xml:space="preserve">    噻虫胺20%    噻呋酰胺1.3%    咯菌腈0.7%    </w:t>
            </w:r>
          </w:p>
        </w:tc>
      </w:tr>
      <w:tr w14:paraId="77718B25">
        <w:tblPrEx>
          <w:tblCellMar>
            <w:top w:w="0" w:type="dxa"/>
            <w:left w:w="0" w:type="dxa"/>
            <w:bottom w:w="0" w:type="dxa"/>
            <w:right w:w="0" w:type="dxa"/>
          </w:tblCellMar>
        </w:tblPrEx>
        <w:trPr>
          <w:wBefore w:w="0" w:type="auto"/>
          <w:tblCellSpacing w:w="0" w:type="dxa"/>
        </w:trPr>
        <w:tc>
          <w:tcPr>
            <w:tcW w:w="0" w:type="auto"/>
            <w:noWrap w:val="0"/>
            <w:vAlign w:val="center"/>
          </w:tcPr>
          <w:p w14:paraId="5043487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6957E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D84950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CC2429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443125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FEAD39">
                  <w:r>
                    <w:rPr>
                      <w:rStyle w:val="11"/>
                      <w:rFonts w:hint="eastAsia"/>
                    </w:rPr>
                    <w:t>施用方式</w:t>
                  </w:r>
                </w:p>
              </w:tc>
            </w:tr>
            <w:tr w14:paraId="0E0115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78F6137">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3FAA93">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CCE9A5">
                  <w:r>
                    <w:rPr>
                      <w:rStyle w:val="11"/>
                      <w:rFonts w:hint="eastAsia"/>
                    </w:rPr>
                    <w:t>480-580毫升/100千克种子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72AC3B">
                  <w:r>
                    <w:rPr>
                      <w:rStyle w:val="11"/>
                      <w:rFonts w:hint="eastAsia"/>
                    </w:rPr>
                    <w:t>种子包衣</w:t>
                  </w:r>
                </w:p>
              </w:tc>
            </w:tr>
            <w:tr w14:paraId="732EE3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969949D">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8123FA">
                  <w:r>
                    <w:rPr>
                      <w:rStyle w:val="11"/>
                      <w:rFonts w:hint="eastAsia"/>
                    </w:rPr>
                    <w:t>白绢病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480232">
                  <w:r>
                    <w:rPr>
                      <w:rStyle w:val="11"/>
                      <w:rFonts w:hint="eastAsia"/>
                    </w:rPr>
                    <w:t>480-580毫升/100千克种子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010CF0">
                  <w:r>
                    <w:rPr>
                      <w:rStyle w:val="11"/>
                      <w:rFonts w:hint="eastAsia"/>
                    </w:rPr>
                    <w:t>种子包衣</w:t>
                  </w:r>
                </w:p>
              </w:tc>
            </w:tr>
          </w:tbl>
          <w:p w14:paraId="54A1540C">
            <w:pPr>
              <w:rPr>
                <w:rFonts w:ascii="Times New Roman" w:hAnsi="Times New Roman" w:cs="Times New Roman"/>
                <w:sz w:val="20"/>
                <w:szCs w:val="20"/>
              </w:rPr>
            </w:pPr>
          </w:p>
        </w:tc>
      </w:tr>
      <w:tr w14:paraId="0DEC6BA5">
        <w:tblPrEx>
          <w:tblCellMar>
            <w:top w:w="0" w:type="dxa"/>
            <w:left w:w="0" w:type="dxa"/>
            <w:bottom w:w="0" w:type="dxa"/>
            <w:right w:w="0" w:type="dxa"/>
          </w:tblCellMar>
        </w:tblPrEx>
        <w:trPr>
          <w:wBefore w:w="0" w:type="auto"/>
          <w:tblCellSpacing w:w="0" w:type="dxa"/>
        </w:trPr>
        <w:tc>
          <w:tcPr>
            <w:tcW w:w="0" w:type="auto"/>
            <w:noWrap w:val="0"/>
            <w:vAlign w:val="center"/>
          </w:tcPr>
          <w:p w14:paraId="6FEC88A7">
            <w:r>
              <w:rPr>
                <w:rStyle w:val="10"/>
                <w:rFonts w:hint="eastAsia"/>
              </w:rPr>
              <w:t>使用技术要求:</w:t>
            </w:r>
            <w:r>
              <w:rPr>
                <w:rFonts w:hint="eastAsia"/>
              </w:rPr>
              <w:br w:type="textWrapping"/>
            </w:r>
            <w:r>
              <w:rPr>
                <w:rStyle w:val="11"/>
                <w:rFonts w:hint="eastAsia"/>
              </w:rPr>
              <w:t>1、在花生播种前施药1次，将药剂用适量清水稀释后与种子混合均匀，自然晾干后播种。 2、配制好的药液应在24小时内使用完。</w:t>
            </w:r>
          </w:p>
        </w:tc>
      </w:tr>
      <w:tr w14:paraId="61CD9EDF">
        <w:tblPrEx>
          <w:tblCellMar>
            <w:top w:w="0" w:type="dxa"/>
            <w:left w:w="0" w:type="dxa"/>
            <w:bottom w:w="0" w:type="dxa"/>
            <w:right w:w="0" w:type="dxa"/>
          </w:tblCellMar>
        </w:tblPrEx>
        <w:trPr>
          <w:wBefore w:w="0" w:type="auto"/>
          <w:tblCellSpacing w:w="0" w:type="dxa"/>
        </w:trPr>
        <w:tc>
          <w:tcPr>
            <w:tcW w:w="0" w:type="auto"/>
            <w:noWrap w:val="0"/>
            <w:vAlign w:val="center"/>
          </w:tcPr>
          <w:p w14:paraId="51FBC7B2">
            <w:r>
              <w:rPr>
                <w:rStyle w:val="10"/>
                <w:rFonts w:hint="eastAsia"/>
              </w:rPr>
              <w:t>产品性能:</w:t>
            </w:r>
            <w:r>
              <w:rPr>
                <w:rFonts w:hint="eastAsia"/>
              </w:rPr>
              <w:br w:type="textWrapping"/>
            </w:r>
            <w:r>
              <w:rPr>
                <w:rStyle w:val="11"/>
                <w:rFonts w:hint="eastAsia"/>
              </w:rPr>
              <w:t>本品是咯菌腈、噻呋酰胺和噻虫胺三元复配的种子处理剂，咯菌腈为信号传导中的蛋白激酶细胞分裂抑制剂，不具有内吸性，主要抑制孢子的萌发、芽管的伸长和菌丝的生长；噻呋酰胺具有内吸传导性和长持效性，是琥珀酸酯脱氢酶抑制剂，对丝核菌属、柄锈菌属、黑粉菌属、腥黑粉菌属、伏革菌属、核腔菌属等致病真菌均有活性，对担子菌纲真菌引起的病害如白绢病等有效。噻虫胺具有根内吸活性和层间传导性，是乙酰胆碱受体激动剂，作用于昆虫中枢神经系统的突触，可作为种子处理剂防治花生等作物的刺吸式和咀嚼式害虫，如蚜虫等，该产品对花生白绢病、蚜虫有较好防效。</w:t>
            </w:r>
          </w:p>
        </w:tc>
      </w:tr>
      <w:tr w14:paraId="61567764">
        <w:tblPrEx>
          <w:tblCellMar>
            <w:top w:w="0" w:type="dxa"/>
            <w:left w:w="0" w:type="dxa"/>
            <w:bottom w:w="0" w:type="dxa"/>
            <w:right w:w="0" w:type="dxa"/>
          </w:tblCellMar>
        </w:tblPrEx>
        <w:trPr>
          <w:wBefore w:w="0" w:type="auto"/>
          <w:tblCellSpacing w:w="0" w:type="dxa"/>
        </w:trPr>
        <w:tc>
          <w:tcPr>
            <w:tcW w:w="0" w:type="auto"/>
            <w:noWrap w:val="0"/>
            <w:vAlign w:val="center"/>
          </w:tcPr>
          <w:p w14:paraId="5631040C">
            <w:r>
              <w:rPr>
                <w:rStyle w:val="10"/>
                <w:rFonts w:hint="eastAsia"/>
              </w:rPr>
              <w:t>注意事项：</w:t>
            </w:r>
            <w:r>
              <w:rPr>
                <w:rFonts w:hint="eastAsia"/>
              </w:rPr>
              <w:br w:type="textWrapping"/>
            </w:r>
            <w:r>
              <w:rPr>
                <w:rStyle w:val="11"/>
                <w:rFonts w:hint="eastAsia"/>
              </w:rPr>
              <w:t>1、本品在花生播种前种子包衣。 2、配药和种子处理时应在通风处进行，操作人员需提前做好保护措施，戴好手套、面罩或护目镜等，严禁抽烟或饮食；在种子处理过程中，避免药液接触皮肤、眼睛和污染衣物，避免吸入药液；处理后应用肥皂和清水彻底清洗暴露在外的皮肤，并及时更换衣物。3、施药前后要彻底清洗施药器械，不能在河流等水体清洗施药器械，勿将本品及其废液弃于池塘、河溪、湖泊等，以免污染水源。4、本品对蜜蜂高毒，开花植物花期禁用；鸟类保护区附近禁用，播种后应立即覆土。 水产养殖区、河塘等水体附近禁用，禁止在河塘等水域清洗施药器具。5、用过的容器应妥善处理，不可做他用，也不可随意丢弃。6、孕妇及哺乳期妇女避免接触本产品。</w:t>
            </w:r>
          </w:p>
        </w:tc>
      </w:tr>
      <w:tr w14:paraId="323C15F2">
        <w:tblPrEx>
          <w:tblCellMar>
            <w:top w:w="0" w:type="dxa"/>
            <w:left w:w="0" w:type="dxa"/>
            <w:bottom w:w="0" w:type="dxa"/>
            <w:right w:w="0" w:type="dxa"/>
          </w:tblCellMar>
        </w:tblPrEx>
        <w:trPr>
          <w:wBefore w:w="0" w:type="auto"/>
          <w:tblCellSpacing w:w="0" w:type="dxa"/>
        </w:trPr>
        <w:tc>
          <w:tcPr>
            <w:tcW w:w="0" w:type="auto"/>
            <w:noWrap w:val="0"/>
            <w:vAlign w:val="center"/>
          </w:tcPr>
          <w:p w14:paraId="62E24874">
            <w:r>
              <w:rPr>
                <w:rStyle w:val="10"/>
                <w:rFonts w:hint="eastAsia"/>
              </w:rPr>
              <w:t>中毒急救措施：</w:t>
            </w:r>
            <w:r>
              <w:rPr>
                <w:rFonts w:hint="eastAsia"/>
              </w:rPr>
              <w:br w:type="textWrapping"/>
            </w:r>
            <w:r>
              <w:rPr>
                <w:rStyle w:val="11"/>
                <w:rFonts w:hint="eastAsia"/>
              </w:rPr>
              <w:t>1、中毒症状表现为头痛、呕吐、恶心、呼吸急促、抽搐、昏迷等。严重时对肝、肾损伤。2.眼睛溅入：立刻用大量清水冲洗，如配戴隐形眼镜，冲洗1-2分钟后摘掉眼镜再冲洗数分钟。如症状持续，请就医。3、不慎吸入，将病人移至空气流通处。4．皮肤沾附∶除去被溅及衣物，并立刻用肥皂和大量清水冲洗皮肤。被溅及衣物须彻底清洗后方可再穿。5. 误食∶请勿引吐。如误食请就医，对症治疗。无特效解毒剂。</w:t>
            </w:r>
          </w:p>
        </w:tc>
      </w:tr>
      <w:tr w14:paraId="53556483">
        <w:tblPrEx>
          <w:tblCellMar>
            <w:top w:w="0" w:type="dxa"/>
            <w:left w:w="0" w:type="dxa"/>
            <w:bottom w:w="0" w:type="dxa"/>
            <w:right w:w="0" w:type="dxa"/>
          </w:tblCellMar>
        </w:tblPrEx>
        <w:trPr>
          <w:wBefore w:w="0" w:type="auto"/>
          <w:tblCellSpacing w:w="0" w:type="dxa"/>
        </w:trPr>
        <w:tc>
          <w:tcPr>
            <w:tcW w:w="0" w:type="auto"/>
            <w:noWrap w:val="0"/>
            <w:vAlign w:val="center"/>
          </w:tcPr>
          <w:p w14:paraId="57ED171B">
            <w:r>
              <w:rPr>
                <w:rStyle w:val="10"/>
                <w:rFonts w:hint="eastAsia"/>
              </w:rPr>
              <w:t>储存和运输方法：</w:t>
            </w:r>
            <w:r>
              <w:rPr>
                <w:rFonts w:hint="eastAsia"/>
              </w:rPr>
              <w:br w:type="textWrapping"/>
            </w:r>
            <w:r>
              <w:rPr>
                <w:rStyle w:val="11"/>
                <w:rFonts w:hint="eastAsia"/>
              </w:rPr>
              <w:t>本品应贮存在干燥、阴凉、通风处、防雨防湿防潮，远离火源或热源。置于儿童及动物触及不到的地方，并加锁保存。勿与食品、饮料、种子、饲料等其他商品同贮同运。</w:t>
            </w:r>
          </w:p>
        </w:tc>
      </w:tr>
      <w:tr w14:paraId="4E4B615A">
        <w:tblPrEx>
          <w:tblCellMar>
            <w:top w:w="0" w:type="dxa"/>
            <w:left w:w="0" w:type="dxa"/>
            <w:bottom w:w="0" w:type="dxa"/>
            <w:right w:w="0" w:type="dxa"/>
          </w:tblCellMar>
        </w:tblPrEx>
        <w:trPr>
          <w:wBefore w:w="0" w:type="auto"/>
          <w:tblCellSpacing w:w="0" w:type="dxa"/>
        </w:trPr>
        <w:tc>
          <w:tcPr>
            <w:tcW w:w="0" w:type="auto"/>
            <w:noWrap w:val="0"/>
            <w:vAlign w:val="center"/>
          </w:tcPr>
          <w:p w14:paraId="53D4126D">
            <w:r>
              <w:rPr>
                <w:rStyle w:val="10"/>
                <w:rFonts w:hint="eastAsia"/>
              </w:rPr>
              <w:t>质量保证期：</w:t>
            </w:r>
            <w:r>
              <w:rPr>
                <w:rStyle w:val="11"/>
                <w:rFonts w:hint="eastAsia"/>
              </w:rPr>
              <w:t>2年</w:t>
            </w:r>
          </w:p>
        </w:tc>
      </w:tr>
      <w:tr w14:paraId="27EC9D0D">
        <w:tblPrEx>
          <w:tblCellMar>
            <w:top w:w="0" w:type="dxa"/>
            <w:left w:w="0" w:type="dxa"/>
            <w:bottom w:w="0" w:type="dxa"/>
            <w:right w:w="0" w:type="dxa"/>
          </w:tblCellMar>
        </w:tblPrEx>
        <w:trPr>
          <w:wBefore w:w="0" w:type="auto"/>
          <w:tblCellSpacing w:w="0" w:type="dxa"/>
        </w:trPr>
        <w:tc>
          <w:tcPr>
            <w:tcW w:w="0" w:type="auto"/>
            <w:noWrap w:val="0"/>
            <w:vAlign w:val="center"/>
          </w:tcPr>
          <w:p w14:paraId="63178DCD">
            <w:r>
              <w:rPr>
                <w:rStyle w:val="10"/>
                <w:rFonts w:hint="eastAsia"/>
              </w:rPr>
              <w:t>备注：</w:t>
            </w:r>
          </w:p>
        </w:tc>
      </w:tr>
    </w:tbl>
    <w:p w14:paraId="679FAD5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E33AFA">
        <w:tblPrEx>
          <w:tblCellMar>
            <w:top w:w="0" w:type="dxa"/>
            <w:left w:w="0" w:type="dxa"/>
            <w:bottom w:w="0" w:type="dxa"/>
            <w:right w:w="0" w:type="dxa"/>
          </w:tblCellMar>
        </w:tblPrEx>
        <w:trPr>
          <w:wBefore w:w="0" w:type="auto"/>
          <w:tblCellSpacing w:w="0" w:type="dxa"/>
        </w:trPr>
        <w:tc>
          <w:tcPr>
            <w:tcW w:w="0" w:type="auto"/>
            <w:noWrap w:val="0"/>
            <w:vAlign w:val="center"/>
          </w:tcPr>
          <w:p w14:paraId="47A02651">
            <w:r>
              <w:rPr>
                <w:rStyle w:val="10"/>
                <w:rFonts w:hint="eastAsia"/>
              </w:rPr>
              <w:t>登记证号：</w:t>
            </w:r>
            <w:r>
              <w:rPr>
                <w:rFonts w:hint="eastAsia"/>
              </w:rPr>
              <w:t>PD20212282</w:t>
            </w:r>
          </w:p>
        </w:tc>
      </w:tr>
      <w:tr w14:paraId="57D7A0BA">
        <w:tblPrEx>
          <w:tblCellMar>
            <w:top w:w="0" w:type="dxa"/>
            <w:left w:w="0" w:type="dxa"/>
            <w:bottom w:w="0" w:type="dxa"/>
            <w:right w:w="0" w:type="dxa"/>
          </w:tblCellMar>
        </w:tblPrEx>
        <w:trPr>
          <w:wBefore w:w="0" w:type="auto"/>
          <w:tblCellSpacing w:w="0" w:type="dxa"/>
        </w:trPr>
        <w:tc>
          <w:tcPr>
            <w:tcW w:w="0" w:type="auto"/>
            <w:noWrap w:val="0"/>
            <w:vAlign w:val="center"/>
          </w:tcPr>
          <w:p w14:paraId="67F8B194">
            <w:r>
              <w:rPr>
                <w:rStyle w:val="10"/>
                <w:rFonts w:hint="eastAsia"/>
              </w:rPr>
              <w:t>登记证持有人：</w:t>
            </w:r>
            <w:r>
              <w:rPr>
                <w:rFonts w:hint="eastAsia"/>
              </w:rPr>
              <w:t>山东科赛基农生物科技有限公司</w:t>
            </w:r>
          </w:p>
        </w:tc>
      </w:tr>
      <w:tr w14:paraId="70A312DD">
        <w:tblPrEx>
          <w:tblCellMar>
            <w:top w:w="0" w:type="dxa"/>
            <w:left w:w="0" w:type="dxa"/>
            <w:bottom w:w="0" w:type="dxa"/>
            <w:right w:w="0" w:type="dxa"/>
          </w:tblCellMar>
        </w:tblPrEx>
        <w:trPr>
          <w:wBefore w:w="0" w:type="auto"/>
          <w:tblCellSpacing w:w="0" w:type="dxa"/>
        </w:trPr>
        <w:tc>
          <w:tcPr>
            <w:tcW w:w="0" w:type="auto"/>
            <w:noWrap w:val="0"/>
            <w:vAlign w:val="center"/>
          </w:tcPr>
          <w:p w14:paraId="1D3C8C34">
            <w:r>
              <w:rPr>
                <w:rStyle w:val="10"/>
                <w:rFonts w:hint="eastAsia"/>
              </w:rPr>
              <w:t>农药名称：</w:t>
            </w:r>
            <w:r>
              <w:rPr>
                <w:rFonts w:hint="eastAsia"/>
              </w:rPr>
              <w:t>高氟吡·嗪草酮</w:t>
            </w:r>
          </w:p>
        </w:tc>
      </w:tr>
      <w:tr w14:paraId="627FC026">
        <w:tblPrEx>
          <w:tblCellMar>
            <w:top w:w="0" w:type="dxa"/>
            <w:left w:w="0" w:type="dxa"/>
            <w:bottom w:w="0" w:type="dxa"/>
            <w:right w:w="0" w:type="dxa"/>
          </w:tblCellMar>
        </w:tblPrEx>
        <w:trPr>
          <w:wBefore w:w="0" w:type="auto"/>
          <w:tblCellSpacing w:w="0" w:type="dxa"/>
        </w:trPr>
        <w:tc>
          <w:tcPr>
            <w:tcW w:w="0" w:type="auto"/>
            <w:noWrap w:val="0"/>
            <w:vAlign w:val="center"/>
          </w:tcPr>
          <w:p w14:paraId="14090898">
            <w:r>
              <w:rPr>
                <w:rStyle w:val="10"/>
                <w:rFonts w:hint="eastAsia"/>
              </w:rPr>
              <w:t>剂型：</w:t>
            </w:r>
            <w:r>
              <w:rPr>
                <w:rFonts w:hint="eastAsia"/>
              </w:rPr>
              <w:t>可分散油悬浮剂</w:t>
            </w:r>
          </w:p>
        </w:tc>
      </w:tr>
      <w:tr w14:paraId="4EB4CC7D">
        <w:tblPrEx>
          <w:tblCellMar>
            <w:top w:w="0" w:type="dxa"/>
            <w:left w:w="0" w:type="dxa"/>
            <w:bottom w:w="0" w:type="dxa"/>
            <w:right w:w="0" w:type="dxa"/>
          </w:tblCellMar>
        </w:tblPrEx>
        <w:trPr>
          <w:wBefore w:w="0" w:type="auto"/>
          <w:tblCellSpacing w:w="0" w:type="dxa"/>
        </w:trPr>
        <w:tc>
          <w:tcPr>
            <w:tcW w:w="0" w:type="auto"/>
            <w:noWrap w:val="0"/>
            <w:vAlign w:val="center"/>
          </w:tcPr>
          <w:p w14:paraId="2FFB3067">
            <w:r>
              <w:rPr>
                <w:rStyle w:val="10"/>
                <w:rFonts w:hint="eastAsia"/>
              </w:rPr>
              <w:t>毒性及其标识：</w:t>
            </w:r>
            <w:r>
              <w:rPr>
                <w:rFonts w:hint="eastAsia"/>
              </w:rPr>
              <w:t xml:space="preserve"> </w:t>
            </w:r>
            <w:r>
              <w:rPr>
                <w:lang/>
              </w:rPr>
              <w:drawing>
                <wp:inline distT="0" distB="0" distL="114300" distR="114300">
                  <wp:extent cx="476250" cy="323850"/>
                  <wp:effectExtent l="0" t="0" r="0" b="0"/>
                  <wp:docPr id="31" name="图片 3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CF47173">
        <w:tblPrEx>
          <w:tblCellMar>
            <w:top w:w="0" w:type="dxa"/>
            <w:left w:w="0" w:type="dxa"/>
            <w:bottom w:w="0" w:type="dxa"/>
            <w:right w:w="0" w:type="dxa"/>
          </w:tblCellMar>
        </w:tblPrEx>
        <w:trPr>
          <w:wBefore w:w="0" w:type="auto"/>
          <w:tblCellSpacing w:w="0" w:type="dxa"/>
        </w:trPr>
        <w:tc>
          <w:tcPr>
            <w:tcW w:w="0" w:type="auto"/>
            <w:noWrap w:val="0"/>
            <w:vAlign w:val="center"/>
          </w:tcPr>
          <w:p w14:paraId="4E17B35C">
            <w:r>
              <w:rPr>
                <w:rStyle w:val="10"/>
                <w:rFonts w:hint="eastAsia"/>
              </w:rPr>
              <w:t>总有效成分含量：</w:t>
            </w:r>
            <w:r>
              <w:rPr>
                <w:rFonts w:hint="eastAsia"/>
              </w:rPr>
              <w:t>25%</w:t>
            </w:r>
          </w:p>
        </w:tc>
      </w:tr>
      <w:tr w14:paraId="139F6AA0">
        <w:tblPrEx>
          <w:tblCellMar>
            <w:top w:w="0" w:type="dxa"/>
            <w:left w:w="0" w:type="dxa"/>
            <w:bottom w:w="0" w:type="dxa"/>
            <w:right w:w="0" w:type="dxa"/>
          </w:tblCellMar>
        </w:tblPrEx>
        <w:trPr>
          <w:wBefore w:w="0" w:type="auto"/>
          <w:tblCellSpacing w:w="0" w:type="dxa"/>
        </w:trPr>
        <w:tc>
          <w:tcPr>
            <w:tcW w:w="0" w:type="auto"/>
            <w:noWrap w:val="0"/>
            <w:vAlign w:val="center"/>
          </w:tcPr>
          <w:p w14:paraId="05EAB9F7">
            <w:r>
              <w:rPr>
                <w:rFonts w:hint="eastAsia"/>
              </w:rPr>
              <w:t xml:space="preserve">有效成分及其含量： </w:t>
            </w:r>
          </w:p>
          <w:p w14:paraId="4764D180">
            <w:r>
              <w:rPr>
                <w:rFonts w:hint="eastAsia"/>
              </w:rPr>
              <w:t xml:space="preserve">    嗪草酮20%    高效氟吡甲禾灵5%    </w:t>
            </w:r>
          </w:p>
        </w:tc>
      </w:tr>
      <w:tr w14:paraId="16B7DDCA">
        <w:tblPrEx>
          <w:tblCellMar>
            <w:top w:w="0" w:type="dxa"/>
            <w:left w:w="0" w:type="dxa"/>
            <w:bottom w:w="0" w:type="dxa"/>
            <w:right w:w="0" w:type="dxa"/>
          </w:tblCellMar>
        </w:tblPrEx>
        <w:trPr>
          <w:wBefore w:w="0" w:type="auto"/>
          <w:tblCellSpacing w:w="0" w:type="dxa"/>
        </w:trPr>
        <w:tc>
          <w:tcPr>
            <w:tcW w:w="0" w:type="auto"/>
            <w:noWrap w:val="0"/>
            <w:vAlign w:val="center"/>
          </w:tcPr>
          <w:p w14:paraId="3BDF7DE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A2509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72807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9A5DC9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0B643F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9465590">
                  <w:r>
                    <w:rPr>
                      <w:rStyle w:val="11"/>
                      <w:rFonts w:hint="eastAsia"/>
                    </w:rPr>
                    <w:t>施用方式</w:t>
                  </w:r>
                </w:p>
              </w:tc>
            </w:tr>
            <w:tr w14:paraId="5106DE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C056FF">
                  <w:r>
                    <w:rPr>
                      <w:rStyle w:val="11"/>
                      <w:rFonts w:hint="eastAsia"/>
                    </w:rPr>
                    <w:t>马铃薯田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E0E832">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131C51">
                  <w:r>
                    <w:rPr>
                      <w:rStyle w:val="11"/>
                      <w:rFonts w:hint="eastAsia"/>
                    </w:rPr>
                    <w:t>90-120毫升/亩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076C7F">
                  <w:r>
                    <w:rPr>
                      <w:rStyle w:val="11"/>
                      <w:rFonts w:hint="eastAsia"/>
                    </w:rPr>
                    <w:t>茎叶喷雾</w:t>
                  </w:r>
                </w:p>
              </w:tc>
            </w:tr>
          </w:tbl>
          <w:p w14:paraId="2AB6900B">
            <w:pPr>
              <w:rPr>
                <w:rFonts w:ascii="Times New Roman" w:hAnsi="Times New Roman" w:cs="Times New Roman"/>
                <w:sz w:val="20"/>
                <w:szCs w:val="20"/>
              </w:rPr>
            </w:pPr>
          </w:p>
        </w:tc>
      </w:tr>
      <w:tr w14:paraId="5439444E">
        <w:tblPrEx>
          <w:tblCellMar>
            <w:top w:w="0" w:type="dxa"/>
            <w:left w:w="0" w:type="dxa"/>
            <w:bottom w:w="0" w:type="dxa"/>
            <w:right w:w="0" w:type="dxa"/>
          </w:tblCellMar>
        </w:tblPrEx>
        <w:trPr>
          <w:wBefore w:w="0" w:type="auto"/>
          <w:tblCellSpacing w:w="0" w:type="dxa"/>
        </w:trPr>
        <w:tc>
          <w:tcPr>
            <w:tcW w:w="0" w:type="auto"/>
            <w:noWrap w:val="0"/>
            <w:vAlign w:val="center"/>
          </w:tcPr>
          <w:p w14:paraId="4FBD027A">
            <w:r>
              <w:rPr>
                <w:rStyle w:val="10"/>
                <w:rFonts w:hint="eastAsia"/>
              </w:rPr>
              <w:t>使用技术要求:</w:t>
            </w:r>
            <w:r>
              <w:rPr>
                <w:rFonts w:hint="eastAsia"/>
              </w:rPr>
              <w:br w:type="textWrapping"/>
            </w:r>
            <w:r>
              <w:rPr>
                <w:rStyle w:val="11"/>
                <w:rFonts w:hint="eastAsia"/>
              </w:rPr>
              <w:t>于马铃薯出苗后株高10厘米前,杂草2-4叶期, 细雾滴均匀茎叶喷雾，喷液量30升/亩，勿重喷或漏喷。避免中午高温时施药，大风天或降雨前，勿施药。每季最多使用1次。</w:t>
            </w:r>
          </w:p>
        </w:tc>
      </w:tr>
      <w:tr w14:paraId="01A903A4">
        <w:tblPrEx>
          <w:tblCellMar>
            <w:top w:w="0" w:type="dxa"/>
            <w:left w:w="0" w:type="dxa"/>
            <w:bottom w:w="0" w:type="dxa"/>
            <w:right w:w="0" w:type="dxa"/>
          </w:tblCellMar>
        </w:tblPrEx>
        <w:trPr>
          <w:wBefore w:w="0" w:type="auto"/>
          <w:tblCellSpacing w:w="0" w:type="dxa"/>
        </w:trPr>
        <w:tc>
          <w:tcPr>
            <w:tcW w:w="0" w:type="auto"/>
            <w:noWrap w:val="0"/>
            <w:vAlign w:val="center"/>
          </w:tcPr>
          <w:p w14:paraId="078AB92D">
            <w:r>
              <w:rPr>
                <w:rStyle w:val="10"/>
                <w:rFonts w:hint="eastAsia"/>
              </w:rPr>
              <w:t>产品性能:</w:t>
            </w:r>
            <w:r>
              <w:rPr>
                <w:rFonts w:hint="eastAsia"/>
              </w:rPr>
              <w:br w:type="textWrapping"/>
            </w:r>
            <w:r>
              <w:rPr>
                <w:rStyle w:val="11"/>
                <w:rFonts w:hint="eastAsia"/>
              </w:rPr>
              <w:t>本品是由高效氟吡甲禾灵和嗪草酮复配的除草剂，可有效防除马铃薯田一年生杂草，防效高且对后茬作物安全。</w:t>
            </w:r>
          </w:p>
        </w:tc>
      </w:tr>
      <w:tr w14:paraId="0A1918FD">
        <w:tblPrEx>
          <w:tblCellMar>
            <w:top w:w="0" w:type="dxa"/>
            <w:left w:w="0" w:type="dxa"/>
            <w:bottom w:w="0" w:type="dxa"/>
            <w:right w:w="0" w:type="dxa"/>
          </w:tblCellMar>
        </w:tblPrEx>
        <w:trPr>
          <w:wBefore w:w="0" w:type="auto"/>
          <w:tblCellSpacing w:w="0" w:type="dxa"/>
        </w:trPr>
        <w:tc>
          <w:tcPr>
            <w:tcW w:w="0" w:type="auto"/>
            <w:noWrap w:val="0"/>
            <w:vAlign w:val="center"/>
          </w:tcPr>
          <w:p w14:paraId="68C13124">
            <w:r>
              <w:rPr>
                <w:rStyle w:val="10"/>
                <w:rFonts w:hint="eastAsia"/>
              </w:rPr>
              <w:t>注意事项：</w:t>
            </w:r>
            <w:r>
              <w:rPr>
                <w:rFonts w:hint="eastAsia"/>
              </w:rPr>
              <w:br w:type="textWrapping"/>
            </w:r>
            <w:r>
              <w:rPr>
                <w:rStyle w:val="11"/>
                <w:rFonts w:hint="eastAsia"/>
              </w:rPr>
              <w:t>1、本品为马铃薯田专用除草剂，仅限马铃薯田苗后使用，其他作物严禁使用。2、使用时严格按照推荐剂量施药，严禁随意加大使用剂量，喷雾要均匀、严禁重喷漏喷。3、施药后浇水及降雨可能会使作物产生轻微药害或影响药效。4、药效受土壤水分影响较大，当春季土壤墒情好或施药后有一定的降水时则药效易发挥，施药前后持续干旱药效差。5、施药时注意个人防护，穿长衣长裤、戴手套、眼镜、戴口罩等；此时不能吸烟、饮水等；施药后清洗干净手脸等。6、本品对鸟类有毒，鸟类保护区附近禁用；对藻类等水生生物有毒，应远离水产养殖区、河塘等水体施药，禁止在河塘等水体中清洗施药器具。清洗器具的废水不能排入河流、池塘等水源，废弃物要妥善处理，不能随意丢弃，也不能做他用。7、避免孕妇及哺乳期的妇女接触。8、结合当地实际情况，在农业技术人员指导下使用。</w:t>
            </w:r>
          </w:p>
        </w:tc>
      </w:tr>
      <w:tr w14:paraId="1A830784">
        <w:tblPrEx>
          <w:tblCellMar>
            <w:top w:w="0" w:type="dxa"/>
            <w:left w:w="0" w:type="dxa"/>
            <w:bottom w:w="0" w:type="dxa"/>
            <w:right w:w="0" w:type="dxa"/>
          </w:tblCellMar>
        </w:tblPrEx>
        <w:trPr>
          <w:wBefore w:w="0" w:type="auto"/>
          <w:tblCellSpacing w:w="0" w:type="dxa"/>
        </w:trPr>
        <w:tc>
          <w:tcPr>
            <w:tcW w:w="0" w:type="auto"/>
            <w:noWrap w:val="0"/>
            <w:vAlign w:val="center"/>
          </w:tcPr>
          <w:p w14:paraId="64A1CA64">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应立即用清水漱口，严禁引吐，避免呕吐物吸入肺部，立即携带标签到医院对症治疗。</w:t>
            </w:r>
          </w:p>
        </w:tc>
      </w:tr>
      <w:tr w14:paraId="6B6E4E3F">
        <w:tblPrEx>
          <w:tblCellMar>
            <w:top w:w="0" w:type="dxa"/>
            <w:left w:w="0" w:type="dxa"/>
            <w:bottom w:w="0" w:type="dxa"/>
            <w:right w:w="0" w:type="dxa"/>
          </w:tblCellMar>
        </w:tblPrEx>
        <w:trPr>
          <w:wBefore w:w="0" w:type="auto"/>
          <w:tblCellSpacing w:w="0" w:type="dxa"/>
        </w:trPr>
        <w:tc>
          <w:tcPr>
            <w:tcW w:w="0" w:type="auto"/>
            <w:noWrap w:val="0"/>
            <w:vAlign w:val="center"/>
          </w:tcPr>
          <w:p w14:paraId="7987CAD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本品应贮存在干燥、阴凉、通风、防雨处，远离火源或热源。置于儿童、无关人员及动物触及不到的地方，并加锁保存。勿与食品、饮料、粮食、饲料等其他商品同贮同运。</w:t>
            </w:r>
          </w:p>
        </w:tc>
      </w:tr>
      <w:tr w14:paraId="70449392">
        <w:tblPrEx>
          <w:tblCellMar>
            <w:top w:w="0" w:type="dxa"/>
            <w:left w:w="0" w:type="dxa"/>
            <w:bottom w:w="0" w:type="dxa"/>
            <w:right w:w="0" w:type="dxa"/>
          </w:tblCellMar>
        </w:tblPrEx>
        <w:trPr>
          <w:wBefore w:w="0" w:type="auto"/>
          <w:tblCellSpacing w:w="0" w:type="dxa"/>
        </w:trPr>
        <w:tc>
          <w:tcPr>
            <w:tcW w:w="0" w:type="auto"/>
            <w:noWrap w:val="0"/>
            <w:vAlign w:val="center"/>
          </w:tcPr>
          <w:p w14:paraId="3BC97638">
            <w:r>
              <w:rPr>
                <w:rStyle w:val="10"/>
                <w:rFonts w:hint="eastAsia"/>
              </w:rPr>
              <w:t>质量保证期：</w:t>
            </w:r>
            <w:r>
              <w:rPr>
                <w:rStyle w:val="11"/>
                <w:rFonts w:hint="eastAsia"/>
              </w:rPr>
              <w:t>2年</w:t>
            </w:r>
          </w:p>
        </w:tc>
      </w:tr>
      <w:tr w14:paraId="014EF7E3">
        <w:tblPrEx>
          <w:tblCellMar>
            <w:top w:w="0" w:type="dxa"/>
            <w:left w:w="0" w:type="dxa"/>
            <w:bottom w:w="0" w:type="dxa"/>
            <w:right w:w="0" w:type="dxa"/>
          </w:tblCellMar>
        </w:tblPrEx>
        <w:trPr>
          <w:wBefore w:w="0" w:type="auto"/>
          <w:tblCellSpacing w:w="0" w:type="dxa"/>
        </w:trPr>
        <w:tc>
          <w:tcPr>
            <w:tcW w:w="0" w:type="auto"/>
            <w:noWrap w:val="0"/>
            <w:vAlign w:val="center"/>
          </w:tcPr>
          <w:p w14:paraId="215F8720">
            <w:r>
              <w:rPr>
                <w:rStyle w:val="10"/>
                <w:rFonts w:hint="eastAsia"/>
              </w:rPr>
              <w:t>备注：</w:t>
            </w:r>
          </w:p>
        </w:tc>
      </w:tr>
    </w:tbl>
    <w:p w14:paraId="4FE887C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C1F36E">
        <w:tblPrEx>
          <w:tblCellMar>
            <w:top w:w="0" w:type="dxa"/>
            <w:left w:w="0" w:type="dxa"/>
            <w:bottom w:w="0" w:type="dxa"/>
            <w:right w:w="0" w:type="dxa"/>
          </w:tblCellMar>
        </w:tblPrEx>
        <w:trPr>
          <w:wBefore w:w="0" w:type="auto"/>
          <w:tblCellSpacing w:w="0" w:type="dxa"/>
        </w:trPr>
        <w:tc>
          <w:tcPr>
            <w:tcW w:w="0" w:type="auto"/>
            <w:noWrap w:val="0"/>
            <w:vAlign w:val="center"/>
          </w:tcPr>
          <w:p w14:paraId="42609B45">
            <w:r>
              <w:rPr>
                <w:rStyle w:val="10"/>
                <w:rFonts w:hint="eastAsia"/>
              </w:rPr>
              <w:t>登记证号：</w:t>
            </w:r>
            <w:r>
              <w:rPr>
                <w:rFonts w:hint="eastAsia"/>
              </w:rPr>
              <w:t>WP20210243</w:t>
            </w:r>
          </w:p>
        </w:tc>
      </w:tr>
      <w:tr w14:paraId="6046BD65">
        <w:tblPrEx>
          <w:tblCellMar>
            <w:top w:w="0" w:type="dxa"/>
            <w:left w:w="0" w:type="dxa"/>
            <w:bottom w:w="0" w:type="dxa"/>
            <w:right w:w="0" w:type="dxa"/>
          </w:tblCellMar>
        </w:tblPrEx>
        <w:trPr>
          <w:wBefore w:w="0" w:type="auto"/>
          <w:tblCellSpacing w:w="0" w:type="dxa"/>
        </w:trPr>
        <w:tc>
          <w:tcPr>
            <w:tcW w:w="0" w:type="auto"/>
            <w:noWrap w:val="0"/>
            <w:vAlign w:val="center"/>
          </w:tcPr>
          <w:p w14:paraId="5CEDB4E1">
            <w:r>
              <w:rPr>
                <w:rStyle w:val="10"/>
                <w:rFonts w:hint="eastAsia"/>
              </w:rPr>
              <w:t>登记证持有人：</w:t>
            </w:r>
            <w:r>
              <w:rPr>
                <w:rFonts w:hint="eastAsia"/>
              </w:rPr>
              <w:t>蛙王(福建)日化有限公司</w:t>
            </w:r>
          </w:p>
        </w:tc>
      </w:tr>
      <w:tr w14:paraId="5184CB8F">
        <w:tblPrEx>
          <w:tblCellMar>
            <w:top w:w="0" w:type="dxa"/>
            <w:left w:w="0" w:type="dxa"/>
            <w:bottom w:w="0" w:type="dxa"/>
            <w:right w:w="0" w:type="dxa"/>
          </w:tblCellMar>
        </w:tblPrEx>
        <w:trPr>
          <w:wBefore w:w="0" w:type="auto"/>
          <w:tblCellSpacing w:w="0" w:type="dxa"/>
        </w:trPr>
        <w:tc>
          <w:tcPr>
            <w:tcW w:w="0" w:type="auto"/>
            <w:noWrap w:val="0"/>
            <w:vAlign w:val="center"/>
          </w:tcPr>
          <w:p w14:paraId="4B1551CA">
            <w:r>
              <w:rPr>
                <w:rStyle w:val="10"/>
                <w:rFonts w:hint="eastAsia"/>
              </w:rPr>
              <w:t>农药名称：</w:t>
            </w:r>
            <w:r>
              <w:rPr>
                <w:rFonts w:hint="eastAsia"/>
              </w:rPr>
              <w:t>电热蚊香液</w:t>
            </w:r>
          </w:p>
        </w:tc>
      </w:tr>
      <w:tr w14:paraId="1939C54D">
        <w:tblPrEx>
          <w:tblCellMar>
            <w:top w:w="0" w:type="dxa"/>
            <w:left w:w="0" w:type="dxa"/>
            <w:bottom w:w="0" w:type="dxa"/>
            <w:right w:w="0" w:type="dxa"/>
          </w:tblCellMar>
        </w:tblPrEx>
        <w:trPr>
          <w:wBefore w:w="0" w:type="auto"/>
          <w:tblCellSpacing w:w="0" w:type="dxa"/>
        </w:trPr>
        <w:tc>
          <w:tcPr>
            <w:tcW w:w="0" w:type="auto"/>
            <w:noWrap w:val="0"/>
            <w:vAlign w:val="center"/>
          </w:tcPr>
          <w:p w14:paraId="414ED1B9">
            <w:r>
              <w:rPr>
                <w:rStyle w:val="10"/>
                <w:rFonts w:hint="eastAsia"/>
              </w:rPr>
              <w:t>剂型：</w:t>
            </w:r>
            <w:r>
              <w:rPr>
                <w:rFonts w:hint="eastAsia"/>
              </w:rPr>
              <w:t>电热香蚊液</w:t>
            </w:r>
          </w:p>
        </w:tc>
      </w:tr>
      <w:tr w14:paraId="1EEA4A05">
        <w:tblPrEx>
          <w:tblCellMar>
            <w:top w:w="0" w:type="dxa"/>
            <w:left w:w="0" w:type="dxa"/>
            <w:bottom w:w="0" w:type="dxa"/>
            <w:right w:w="0" w:type="dxa"/>
          </w:tblCellMar>
        </w:tblPrEx>
        <w:trPr>
          <w:wBefore w:w="0" w:type="auto"/>
          <w:tblCellSpacing w:w="0" w:type="dxa"/>
        </w:trPr>
        <w:tc>
          <w:tcPr>
            <w:tcW w:w="0" w:type="auto"/>
            <w:noWrap w:val="0"/>
            <w:vAlign w:val="center"/>
          </w:tcPr>
          <w:p w14:paraId="22C085D3">
            <w:r>
              <w:rPr>
                <w:rStyle w:val="10"/>
                <w:rFonts w:hint="eastAsia"/>
              </w:rPr>
              <w:t>毒性及其标识：</w:t>
            </w:r>
            <w:r>
              <w:rPr>
                <w:rFonts w:hint="eastAsia"/>
              </w:rPr>
              <w:t xml:space="preserve"> </w:t>
            </w:r>
            <w:r>
              <w:rPr>
                <w:lang/>
              </w:rPr>
              <w:drawing>
                <wp:inline distT="0" distB="0" distL="114300" distR="114300">
                  <wp:extent cx="476250" cy="323850"/>
                  <wp:effectExtent l="0" t="0" r="0" b="0"/>
                  <wp:docPr id="32" name="图片 3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22C7E01">
        <w:tblPrEx>
          <w:tblCellMar>
            <w:top w:w="0" w:type="dxa"/>
            <w:left w:w="0" w:type="dxa"/>
            <w:bottom w:w="0" w:type="dxa"/>
            <w:right w:w="0" w:type="dxa"/>
          </w:tblCellMar>
        </w:tblPrEx>
        <w:trPr>
          <w:wBefore w:w="0" w:type="auto"/>
          <w:tblCellSpacing w:w="0" w:type="dxa"/>
        </w:trPr>
        <w:tc>
          <w:tcPr>
            <w:tcW w:w="0" w:type="auto"/>
            <w:noWrap w:val="0"/>
            <w:vAlign w:val="center"/>
          </w:tcPr>
          <w:p w14:paraId="4A5E54AA">
            <w:r>
              <w:rPr>
                <w:rStyle w:val="10"/>
                <w:rFonts w:hint="eastAsia"/>
              </w:rPr>
              <w:t>总有效成分含量：</w:t>
            </w:r>
            <w:r>
              <w:rPr>
                <w:rFonts w:hint="eastAsia"/>
              </w:rPr>
              <w:t>1%</w:t>
            </w:r>
          </w:p>
        </w:tc>
      </w:tr>
      <w:tr w14:paraId="5936F1BA">
        <w:tblPrEx>
          <w:tblCellMar>
            <w:top w:w="0" w:type="dxa"/>
            <w:left w:w="0" w:type="dxa"/>
            <w:bottom w:w="0" w:type="dxa"/>
            <w:right w:w="0" w:type="dxa"/>
          </w:tblCellMar>
        </w:tblPrEx>
        <w:trPr>
          <w:wBefore w:w="0" w:type="auto"/>
          <w:tblCellSpacing w:w="0" w:type="dxa"/>
        </w:trPr>
        <w:tc>
          <w:tcPr>
            <w:tcW w:w="0" w:type="auto"/>
            <w:noWrap w:val="0"/>
            <w:vAlign w:val="center"/>
          </w:tcPr>
          <w:p w14:paraId="18ECBE17">
            <w:r>
              <w:rPr>
                <w:rFonts w:hint="eastAsia"/>
              </w:rPr>
              <w:t xml:space="preserve">有效成分及其含量： </w:t>
            </w:r>
          </w:p>
          <w:p w14:paraId="3080EF93">
            <w:r>
              <w:rPr>
                <w:rFonts w:hint="eastAsia"/>
              </w:rPr>
              <w:t xml:space="preserve">    氯氟醚菊酯1%    </w:t>
            </w:r>
          </w:p>
        </w:tc>
      </w:tr>
      <w:tr w14:paraId="3FE74D5E">
        <w:tblPrEx>
          <w:tblCellMar>
            <w:top w:w="0" w:type="dxa"/>
            <w:left w:w="0" w:type="dxa"/>
            <w:bottom w:w="0" w:type="dxa"/>
            <w:right w:w="0" w:type="dxa"/>
          </w:tblCellMar>
        </w:tblPrEx>
        <w:trPr>
          <w:wBefore w:w="0" w:type="auto"/>
          <w:tblCellSpacing w:w="0" w:type="dxa"/>
        </w:trPr>
        <w:tc>
          <w:tcPr>
            <w:tcW w:w="0" w:type="auto"/>
            <w:noWrap w:val="0"/>
            <w:vAlign w:val="center"/>
          </w:tcPr>
          <w:p w14:paraId="01E9988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44F6E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AF2EEA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822E75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6A4593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6AEB128">
                  <w:r>
                    <w:rPr>
                      <w:rStyle w:val="11"/>
                      <w:rFonts w:hint="eastAsia"/>
                    </w:rPr>
                    <w:t>施用方式</w:t>
                  </w:r>
                </w:p>
              </w:tc>
            </w:tr>
            <w:tr w14:paraId="3AF016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221F592">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28124F">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0FA433">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95DE23">
                  <w:r>
                    <w:rPr>
                      <w:rStyle w:val="11"/>
                      <w:rFonts w:hint="eastAsia"/>
                    </w:rPr>
                    <w:t>电热加温</w:t>
                  </w:r>
                </w:p>
              </w:tc>
            </w:tr>
          </w:tbl>
          <w:p w14:paraId="54FF83C5">
            <w:pPr>
              <w:rPr>
                <w:rFonts w:ascii="Times New Roman" w:hAnsi="Times New Roman" w:cs="Times New Roman"/>
                <w:sz w:val="20"/>
                <w:szCs w:val="20"/>
              </w:rPr>
            </w:pPr>
          </w:p>
        </w:tc>
      </w:tr>
      <w:tr w14:paraId="66988CE6">
        <w:tblPrEx>
          <w:tblCellMar>
            <w:top w:w="0" w:type="dxa"/>
            <w:left w:w="0" w:type="dxa"/>
            <w:bottom w:w="0" w:type="dxa"/>
            <w:right w:w="0" w:type="dxa"/>
          </w:tblCellMar>
        </w:tblPrEx>
        <w:trPr>
          <w:wBefore w:w="0" w:type="auto"/>
          <w:tblCellSpacing w:w="0" w:type="dxa"/>
        </w:trPr>
        <w:tc>
          <w:tcPr>
            <w:tcW w:w="0" w:type="auto"/>
            <w:noWrap w:val="0"/>
            <w:vAlign w:val="center"/>
          </w:tcPr>
          <w:p w14:paraId="650E14BA">
            <w:r>
              <w:rPr>
                <w:rStyle w:val="10"/>
                <w:rFonts w:hint="eastAsia"/>
              </w:rPr>
              <w:t>使用技术要求:</w:t>
            </w:r>
            <w:r>
              <w:rPr>
                <w:rFonts w:hint="eastAsia"/>
              </w:rPr>
              <w:br w:type="textWrapping"/>
            </w:r>
            <w:r>
              <w:rPr>
                <w:rStyle w:val="11"/>
                <w:rFonts w:hint="eastAsia"/>
              </w:rPr>
              <w:t>逆时针旋开瓶盖，注意不要碰及芯棒的顶部。将液体瓶向上旋入加热器中。 配合插座方向，转动加热器插头，确保工作时液瓶呈竖直向上状态；接通电源（220V），灯亮时表示加热器开始工作。 使用完毕请将加热器拔离插座，保持液瓶竖直状态，无需旋下液瓶。 当药液用完，请将加热器拔离插座，然后更换液瓶。 使用时勿侧放或倒放蚊香液。请将加热器置于上风处，于睡前半小时使用。初次使用请提前一小时通电预热。</w:t>
            </w:r>
          </w:p>
        </w:tc>
      </w:tr>
      <w:tr w14:paraId="1BDBE2CA">
        <w:tblPrEx>
          <w:tblCellMar>
            <w:top w:w="0" w:type="dxa"/>
            <w:left w:w="0" w:type="dxa"/>
            <w:bottom w:w="0" w:type="dxa"/>
            <w:right w:w="0" w:type="dxa"/>
          </w:tblCellMar>
        </w:tblPrEx>
        <w:trPr>
          <w:wBefore w:w="0" w:type="auto"/>
          <w:tblCellSpacing w:w="0" w:type="dxa"/>
        </w:trPr>
        <w:tc>
          <w:tcPr>
            <w:tcW w:w="0" w:type="auto"/>
            <w:noWrap w:val="0"/>
            <w:vAlign w:val="center"/>
          </w:tcPr>
          <w:p w14:paraId="00B53973">
            <w:r>
              <w:rPr>
                <w:rStyle w:val="10"/>
                <w:rFonts w:hint="eastAsia"/>
              </w:rPr>
              <w:t>产品性能:</w:t>
            </w:r>
            <w:r>
              <w:rPr>
                <w:rFonts w:hint="eastAsia"/>
              </w:rPr>
              <w:br w:type="textWrapping"/>
            </w:r>
            <w:r>
              <w:rPr>
                <w:rStyle w:val="11"/>
                <w:rFonts w:hint="eastAsia"/>
              </w:rPr>
              <w:t>本品以氯氟醚菊酯为有效成分配制而成，能有效防治蚊子侵扰。</w:t>
            </w:r>
          </w:p>
        </w:tc>
      </w:tr>
      <w:tr w14:paraId="7739E23D">
        <w:tblPrEx>
          <w:tblCellMar>
            <w:top w:w="0" w:type="dxa"/>
            <w:left w:w="0" w:type="dxa"/>
            <w:bottom w:w="0" w:type="dxa"/>
            <w:right w:w="0" w:type="dxa"/>
          </w:tblCellMar>
        </w:tblPrEx>
        <w:trPr>
          <w:wBefore w:w="0" w:type="auto"/>
          <w:tblCellSpacing w:w="0" w:type="dxa"/>
        </w:trPr>
        <w:tc>
          <w:tcPr>
            <w:tcW w:w="0" w:type="auto"/>
            <w:noWrap w:val="0"/>
            <w:vAlign w:val="center"/>
          </w:tcPr>
          <w:p w14:paraId="5E53D42A">
            <w:r>
              <w:rPr>
                <w:rStyle w:val="10"/>
                <w:rFonts w:hint="eastAsia"/>
              </w:rPr>
              <w:t>注意事项：</w:t>
            </w:r>
            <w:r>
              <w:rPr>
                <w:rFonts w:hint="eastAsia"/>
              </w:rPr>
              <w:br w:type="textWrapping"/>
            </w:r>
            <w:r>
              <w:rPr>
                <w:rStyle w:val="11"/>
                <w:rFonts w:hint="eastAsia"/>
              </w:rPr>
              <w:t>使用时，请注意通风。加热器工作时表面不要覆盖任何物体, 确保不被窗帘，床单遮盖。使用时注意用电及防火安全。当加热器工作时，请勿用湿手接触加热器，不要触摸或插入任何物体。加热器的使用寿命一般为2－3年，如您发现连续几夜后，电热蚊香液没有减少，同时使用寿命已超过正常年限，请购买新的电热蚊香液加热器。使用本产品时，将门或窗保持半开状态，以驱赶蚊子保持通风。对鱼、蚕有毒。吞食有毒。蚕室内及其附近禁用。孕妇及哺乳期妇女、过敏者禁用。用后洗手。废弃物应妥善处理，不可随意丢弃或做他用。</w:t>
            </w:r>
          </w:p>
        </w:tc>
      </w:tr>
      <w:tr w14:paraId="1B7BCB0F">
        <w:tblPrEx>
          <w:tblCellMar>
            <w:top w:w="0" w:type="dxa"/>
            <w:left w:w="0" w:type="dxa"/>
            <w:bottom w:w="0" w:type="dxa"/>
            <w:right w:w="0" w:type="dxa"/>
          </w:tblCellMar>
        </w:tblPrEx>
        <w:trPr>
          <w:wBefore w:w="0" w:type="auto"/>
          <w:tblCellSpacing w:w="0" w:type="dxa"/>
        </w:trPr>
        <w:tc>
          <w:tcPr>
            <w:tcW w:w="0" w:type="auto"/>
            <w:noWrap w:val="0"/>
            <w:vAlign w:val="center"/>
          </w:tcPr>
          <w:p w14:paraId="29B32F91">
            <w:r>
              <w:rPr>
                <w:rStyle w:val="10"/>
                <w:rFonts w:hint="eastAsia"/>
              </w:rPr>
              <w:t>中毒急救措施：</w:t>
            </w:r>
            <w:r>
              <w:rPr>
                <w:rFonts w:hint="eastAsia"/>
              </w:rPr>
              <w:br w:type="textWrapping"/>
            </w:r>
            <w:r>
              <w:rPr>
                <w:rStyle w:val="11"/>
                <w:rFonts w:hint="eastAsia"/>
              </w:rPr>
              <w:t>若不慎吞入，切勿催吐，立即就医，并出示本产品包装。 如不慎将液体接触到衣物或皮肤，立刻使用肥皂和清水洗干净。 如不慎接触到眼睛，立刻用大量清水冲洗，如有刺激反应，立刻携此标签就医。</w:t>
            </w:r>
          </w:p>
        </w:tc>
      </w:tr>
      <w:tr w14:paraId="1171E243">
        <w:tblPrEx>
          <w:tblCellMar>
            <w:top w:w="0" w:type="dxa"/>
            <w:left w:w="0" w:type="dxa"/>
            <w:bottom w:w="0" w:type="dxa"/>
            <w:right w:w="0" w:type="dxa"/>
          </w:tblCellMar>
        </w:tblPrEx>
        <w:trPr>
          <w:wBefore w:w="0" w:type="auto"/>
          <w:tblCellSpacing w:w="0" w:type="dxa"/>
        </w:trPr>
        <w:tc>
          <w:tcPr>
            <w:tcW w:w="0" w:type="auto"/>
            <w:noWrap w:val="0"/>
            <w:vAlign w:val="center"/>
          </w:tcPr>
          <w:p w14:paraId="0B8505E0">
            <w:r>
              <w:rPr>
                <w:rStyle w:val="10"/>
                <w:rFonts w:hint="eastAsia"/>
              </w:rPr>
              <w:t>储存和运输方法：</w:t>
            </w:r>
            <w:r>
              <w:rPr>
                <w:rFonts w:hint="eastAsia"/>
              </w:rPr>
              <w:br w:type="textWrapping"/>
            </w:r>
            <w:r>
              <w:rPr>
                <w:rStyle w:val="11"/>
                <w:rFonts w:hint="eastAsia"/>
              </w:rPr>
              <w:t>请放置于阴凉干燥，通风处。置于儿童及宠物接触不到的地方，并加锁保存。不能与食品、饮料、种子、饲料、粮食或易燃易爆品等混合储存。</w:t>
            </w:r>
          </w:p>
        </w:tc>
      </w:tr>
      <w:tr w14:paraId="4D33D23D">
        <w:tblPrEx>
          <w:tblCellMar>
            <w:top w:w="0" w:type="dxa"/>
            <w:left w:w="0" w:type="dxa"/>
            <w:bottom w:w="0" w:type="dxa"/>
            <w:right w:w="0" w:type="dxa"/>
          </w:tblCellMar>
        </w:tblPrEx>
        <w:trPr>
          <w:wBefore w:w="0" w:type="auto"/>
          <w:tblCellSpacing w:w="0" w:type="dxa"/>
        </w:trPr>
        <w:tc>
          <w:tcPr>
            <w:tcW w:w="0" w:type="auto"/>
            <w:noWrap w:val="0"/>
            <w:vAlign w:val="center"/>
          </w:tcPr>
          <w:p w14:paraId="38AA3383">
            <w:r>
              <w:rPr>
                <w:rStyle w:val="10"/>
                <w:rFonts w:hint="eastAsia"/>
              </w:rPr>
              <w:t>质量保证期：</w:t>
            </w:r>
            <w:r>
              <w:rPr>
                <w:rStyle w:val="11"/>
                <w:rFonts w:hint="eastAsia"/>
              </w:rPr>
              <w:t>3年</w:t>
            </w:r>
          </w:p>
        </w:tc>
      </w:tr>
      <w:tr w14:paraId="08BCF793">
        <w:tblPrEx>
          <w:tblCellMar>
            <w:top w:w="0" w:type="dxa"/>
            <w:left w:w="0" w:type="dxa"/>
            <w:bottom w:w="0" w:type="dxa"/>
            <w:right w:w="0" w:type="dxa"/>
          </w:tblCellMar>
        </w:tblPrEx>
        <w:trPr>
          <w:wBefore w:w="0" w:type="auto"/>
          <w:tblCellSpacing w:w="0" w:type="dxa"/>
        </w:trPr>
        <w:tc>
          <w:tcPr>
            <w:tcW w:w="0" w:type="auto"/>
            <w:noWrap w:val="0"/>
            <w:vAlign w:val="center"/>
          </w:tcPr>
          <w:p w14:paraId="46CB79B2">
            <w:r>
              <w:rPr>
                <w:rStyle w:val="10"/>
                <w:rFonts w:hint="eastAsia"/>
              </w:rPr>
              <w:t>备注：</w:t>
            </w:r>
          </w:p>
        </w:tc>
      </w:tr>
    </w:tbl>
    <w:p w14:paraId="43A13F6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6042B34">
        <w:tblPrEx>
          <w:tblCellMar>
            <w:top w:w="0" w:type="dxa"/>
            <w:left w:w="0" w:type="dxa"/>
            <w:bottom w:w="0" w:type="dxa"/>
            <w:right w:w="0" w:type="dxa"/>
          </w:tblCellMar>
        </w:tblPrEx>
        <w:trPr>
          <w:wBefore w:w="0" w:type="auto"/>
          <w:tblCellSpacing w:w="0" w:type="dxa"/>
        </w:trPr>
        <w:tc>
          <w:tcPr>
            <w:tcW w:w="0" w:type="auto"/>
            <w:noWrap w:val="0"/>
            <w:vAlign w:val="center"/>
          </w:tcPr>
          <w:p w14:paraId="1765EDD9">
            <w:r>
              <w:rPr>
                <w:rStyle w:val="10"/>
                <w:rFonts w:hint="eastAsia"/>
              </w:rPr>
              <w:t>登记证号：</w:t>
            </w:r>
            <w:r>
              <w:rPr>
                <w:rFonts w:hint="eastAsia"/>
              </w:rPr>
              <w:t>PD20212261</w:t>
            </w:r>
          </w:p>
        </w:tc>
      </w:tr>
      <w:tr w14:paraId="4D7E79F3">
        <w:tblPrEx>
          <w:tblCellMar>
            <w:top w:w="0" w:type="dxa"/>
            <w:left w:w="0" w:type="dxa"/>
            <w:bottom w:w="0" w:type="dxa"/>
            <w:right w:w="0" w:type="dxa"/>
          </w:tblCellMar>
        </w:tblPrEx>
        <w:trPr>
          <w:wBefore w:w="0" w:type="auto"/>
          <w:tblCellSpacing w:w="0" w:type="dxa"/>
        </w:trPr>
        <w:tc>
          <w:tcPr>
            <w:tcW w:w="0" w:type="auto"/>
            <w:noWrap w:val="0"/>
            <w:vAlign w:val="center"/>
          </w:tcPr>
          <w:p w14:paraId="38307473">
            <w:r>
              <w:rPr>
                <w:rStyle w:val="10"/>
                <w:rFonts w:hint="eastAsia"/>
              </w:rPr>
              <w:t>登记证持有人：</w:t>
            </w:r>
            <w:r>
              <w:rPr>
                <w:rFonts w:hint="eastAsia"/>
              </w:rPr>
              <w:t>广西瑞施特生物科技有限公司</w:t>
            </w:r>
          </w:p>
        </w:tc>
      </w:tr>
      <w:tr w14:paraId="6B1DC4C5">
        <w:tblPrEx>
          <w:tblCellMar>
            <w:top w:w="0" w:type="dxa"/>
            <w:left w:w="0" w:type="dxa"/>
            <w:bottom w:w="0" w:type="dxa"/>
            <w:right w:w="0" w:type="dxa"/>
          </w:tblCellMar>
        </w:tblPrEx>
        <w:trPr>
          <w:wBefore w:w="0" w:type="auto"/>
          <w:tblCellSpacing w:w="0" w:type="dxa"/>
        </w:trPr>
        <w:tc>
          <w:tcPr>
            <w:tcW w:w="0" w:type="auto"/>
            <w:noWrap w:val="0"/>
            <w:vAlign w:val="center"/>
          </w:tcPr>
          <w:p w14:paraId="0C6E1E97">
            <w:r>
              <w:rPr>
                <w:rStyle w:val="10"/>
                <w:rFonts w:hint="eastAsia"/>
              </w:rPr>
              <w:t>农药名称：</w:t>
            </w:r>
            <w:r>
              <w:rPr>
                <w:rFonts w:hint="eastAsia"/>
              </w:rPr>
              <w:t>草铵膦</w:t>
            </w:r>
          </w:p>
        </w:tc>
      </w:tr>
      <w:tr w14:paraId="466BCA97">
        <w:tblPrEx>
          <w:tblCellMar>
            <w:top w:w="0" w:type="dxa"/>
            <w:left w:w="0" w:type="dxa"/>
            <w:bottom w:w="0" w:type="dxa"/>
            <w:right w:w="0" w:type="dxa"/>
          </w:tblCellMar>
        </w:tblPrEx>
        <w:trPr>
          <w:wBefore w:w="0" w:type="auto"/>
          <w:tblCellSpacing w:w="0" w:type="dxa"/>
        </w:trPr>
        <w:tc>
          <w:tcPr>
            <w:tcW w:w="0" w:type="auto"/>
            <w:noWrap w:val="0"/>
            <w:vAlign w:val="center"/>
          </w:tcPr>
          <w:p w14:paraId="46EB9046">
            <w:r>
              <w:rPr>
                <w:rStyle w:val="10"/>
                <w:rFonts w:hint="eastAsia"/>
              </w:rPr>
              <w:t>剂型：</w:t>
            </w:r>
            <w:r>
              <w:rPr>
                <w:rFonts w:hint="eastAsia"/>
              </w:rPr>
              <w:t>可溶液剂</w:t>
            </w:r>
          </w:p>
        </w:tc>
      </w:tr>
      <w:tr w14:paraId="1E755566">
        <w:tblPrEx>
          <w:tblCellMar>
            <w:top w:w="0" w:type="dxa"/>
            <w:left w:w="0" w:type="dxa"/>
            <w:bottom w:w="0" w:type="dxa"/>
            <w:right w:w="0" w:type="dxa"/>
          </w:tblCellMar>
        </w:tblPrEx>
        <w:trPr>
          <w:wBefore w:w="0" w:type="auto"/>
          <w:tblCellSpacing w:w="0" w:type="dxa"/>
        </w:trPr>
        <w:tc>
          <w:tcPr>
            <w:tcW w:w="0" w:type="auto"/>
            <w:noWrap w:val="0"/>
            <w:vAlign w:val="center"/>
          </w:tcPr>
          <w:p w14:paraId="021C3CA4">
            <w:r>
              <w:rPr>
                <w:rStyle w:val="10"/>
                <w:rFonts w:hint="eastAsia"/>
              </w:rPr>
              <w:t>毒性及其标识：</w:t>
            </w:r>
            <w:r>
              <w:rPr>
                <w:rFonts w:hint="eastAsia"/>
              </w:rPr>
              <w:t xml:space="preserve"> </w:t>
            </w:r>
            <w:r>
              <w:rPr>
                <w:lang/>
              </w:rPr>
              <w:drawing>
                <wp:inline distT="0" distB="0" distL="114300" distR="114300">
                  <wp:extent cx="476250" cy="323850"/>
                  <wp:effectExtent l="0" t="0" r="0" b="0"/>
                  <wp:docPr id="33" name="图片 3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EBBEA76">
        <w:tblPrEx>
          <w:tblCellMar>
            <w:top w:w="0" w:type="dxa"/>
            <w:left w:w="0" w:type="dxa"/>
            <w:bottom w:w="0" w:type="dxa"/>
            <w:right w:w="0" w:type="dxa"/>
          </w:tblCellMar>
        </w:tblPrEx>
        <w:trPr>
          <w:wBefore w:w="0" w:type="auto"/>
          <w:tblCellSpacing w:w="0" w:type="dxa"/>
        </w:trPr>
        <w:tc>
          <w:tcPr>
            <w:tcW w:w="0" w:type="auto"/>
            <w:noWrap w:val="0"/>
            <w:vAlign w:val="center"/>
          </w:tcPr>
          <w:p w14:paraId="262CD729">
            <w:r>
              <w:rPr>
                <w:rStyle w:val="10"/>
                <w:rFonts w:hint="eastAsia"/>
              </w:rPr>
              <w:t>总有效成分含量：</w:t>
            </w:r>
            <w:r>
              <w:rPr>
                <w:rFonts w:hint="eastAsia"/>
              </w:rPr>
              <w:t>200克/升</w:t>
            </w:r>
          </w:p>
        </w:tc>
      </w:tr>
      <w:tr w14:paraId="14C819B5">
        <w:tblPrEx>
          <w:tblCellMar>
            <w:top w:w="0" w:type="dxa"/>
            <w:left w:w="0" w:type="dxa"/>
            <w:bottom w:w="0" w:type="dxa"/>
            <w:right w:w="0" w:type="dxa"/>
          </w:tblCellMar>
        </w:tblPrEx>
        <w:trPr>
          <w:wBefore w:w="0" w:type="auto"/>
          <w:tblCellSpacing w:w="0" w:type="dxa"/>
        </w:trPr>
        <w:tc>
          <w:tcPr>
            <w:tcW w:w="0" w:type="auto"/>
            <w:noWrap w:val="0"/>
            <w:vAlign w:val="center"/>
          </w:tcPr>
          <w:p w14:paraId="30B1C16C">
            <w:r>
              <w:rPr>
                <w:rFonts w:hint="eastAsia"/>
              </w:rPr>
              <w:t xml:space="preserve">有效成分及其含量： </w:t>
            </w:r>
          </w:p>
          <w:p w14:paraId="53858835">
            <w:r>
              <w:rPr>
                <w:rFonts w:hint="eastAsia"/>
              </w:rPr>
              <w:t xml:space="preserve">    草铵膦200克/升    </w:t>
            </w:r>
          </w:p>
        </w:tc>
      </w:tr>
      <w:tr w14:paraId="53B1A4D9">
        <w:tblPrEx>
          <w:tblCellMar>
            <w:top w:w="0" w:type="dxa"/>
            <w:left w:w="0" w:type="dxa"/>
            <w:bottom w:w="0" w:type="dxa"/>
            <w:right w:w="0" w:type="dxa"/>
          </w:tblCellMar>
        </w:tblPrEx>
        <w:trPr>
          <w:wBefore w:w="0" w:type="auto"/>
          <w:tblCellSpacing w:w="0" w:type="dxa"/>
        </w:trPr>
        <w:tc>
          <w:tcPr>
            <w:tcW w:w="0" w:type="auto"/>
            <w:noWrap w:val="0"/>
            <w:vAlign w:val="center"/>
          </w:tcPr>
          <w:p w14:paraId="3338A31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E507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65E8F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8F7CB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80E7D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FC9ADA3">
                  <w:r>
                    <w:rPr>
                      <w:rStyle w:val="11"/>
                      <w:rFonts w:hint="eastAsia"/>
                    </w:rPr>
                    <w:t>施用方式</w:t>
                  </w:r>
                </w:p>
              </w:tc>
            </w:tr>
            <w:tr w14:paraId="3B0273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6E16D4E">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CB64E1">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FA5D96">
                  <w:r>
                    <w:rPr>
                      <w:rStyle w:val="11"/>
                      <w:rFonts w:hint="eastAsia"/>
                    </w:rPr>
                    <w:t>400-600毫升/亩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C7ACBE">
                  <w:r>
                    <w:rPr>
                      <w:rStyle w:val="11"/>
                      <w:rFonts w:hint="eastAsia"/>
                    </w:rPr>
                    <w:t>茎叶喷雾</w:t>
                  </w:r>
                </w:p>
              </w:tc>
            </w:tr>
          </w:tbl>
          <w:p w14:paraId="716D91E3">
            <w:pPr>
              <w:rPr>
                <w:rFonts w:ascii="Times New Roman" w:hAnsi="Times New Roman" w:cs="Times New Roman"/>
                <w:sz w:val="20"/>
                <w:szCs w:val="20"/>
              </w:rPr>
            </w:pPr>
          </w:p>
        </w:tc>
      </w:tr>
      <w:tr w14:paraId="260460FE">
        <w:tblPrEx>
          <w:tblCellMar>
            <w:top w:w="0" w:type="dxa"/>
            <w:left w:w="0" w:type="dxa"/>
            <w:bottom w:w="0" w:type="dxa"/>
            <w:right w:w="0" w:type="dxa"/>
          </w:tblCellMar>
        </w:tblPrEx>
        <w:trPr>
          <w:wBefore w:w="0" w:type="auto"/>
          <w:tblCellSpacing w:w="0" w:type="dxa"/>
        </w:trPr>
        <w:tc>
          <w:tcPr>
            <w:tcW w:w="0" w:type="auto"/>
            <w:noWrap w:val="0"/>
            <w:vAlign w:val="center"/>
          </w:tcPr>
          <w:p w14:paraId="3EF1CB39">
            <w:r>
              <w:rPr>
                <w:rStyle w:val="10"/>
                <w:rFonts w:hint="eastAsia"/>
              </w:rPr>
              <w:t>使用技术要求:</w:t>
            </w:r>
            <w:r>
              <w:rPr>
                <w:rFonts w:hint="eastAsia"/>
              </w:rPr>
              <w:br w:type="textWrapping"/>
            </w:r>
            <w:r>
              <w:rPr>
                <w:rStyle w:val="11"/>
                <w:rFonts w:hint="eastAsia"/>
              </w:rPr>
              <w:t>1.本品应于杂草生长旺盛期使用，应定向均匀喷雾。施药时应避免药液漂移到附近的作物上，以免产生药害。 2.大风或预计1小时内降雨，请勿施药。 3.每个生长季最多使用1次。</w:t>
            </w:r>
          </w:p>
        </w:tc>
      </w:tr>
      <w:tr w14:paraId="75550161">
        <w:tblPrEx>
          <w:tblCellMar>
            <w:top w:w="0" w:type="dxa"/>
            <w:left w:w="0" w:type="dxa"/>
            <w:bottom w:w="0" w:type="dxa"/>
            <w:right w:w="0" w:type="dxa"/>
          </w:tblCellMar>
        </w:tblPrEx>
        <w:trPr>
          <w:wBefore w:w="0" w:type="auto"/>
          <w:tblCellSpacing w:w="0" w:type="dxa"/>
        </w:trPr>
        <w:tc>
          <w:tcPr>
            <w:tcW w:w="0" w:type="auto"/>
            <w:noWrap w:val="0"/>
            <w:vAlign w:val="center"/>
          </w:tcPr>
          <w:p w14:paraId="26412C03">
            <w:r>
              <w:rPr>
                <w:rStyle w:val="10"/>
                <w:rFonts w:hint="eastAsia"/>
              </w:rPr>
              <w:t>产品性能:</w:t>
            </w:r>
            <w:r>
              <w:rPr>
                <w:rFonts w:hint="eastAsia"/>
              </w:rPr>
              <w:br w:type="textWrapping"/>
            </w:r>
            <w:r>
              <w:rPr>
                <w:rStyle w:val="11"/>
                <w:rFonts w:hint="eastAsia"/>
              </w:rPr>
              <w:t>本品属磷酸类除草剂，是谷氨酰胺合成抑制剂，具有部分内吸作用的非选择性触杀除草剂。施药后短时间内，植物体内铵代谢陷于紊乱，细胞毒剂铵离子在植物体内累积，与此同时，光合作用被严重抑制，达到除草目的，用于除防非耕地杂草。</w:t>
            </w:r>
          </w:p>
        </w:tc>
      </w:tr>
      <w:tr w14:paraId="0701EE2B">
        <w:tblPrEx>
          <w:tblCellMar>
            <w:top w:w="0" w:type="dxa"/>
            <w:left w:w="0" w:type="dxa"/>
            <w:bottom w:w="0" w:type="dxa"/>
            <w:right w:w="0" w:type="dxa"/>
          </w:tblCellMar>
        </w:tblPrEx>
        <w:trPr>
          <w:wBefore w:w="0" w:type="auto"/>
          <w:tblCellSpacing w:w="0" w:type="dxa"/>
        </w:trPr>
        <w:tc>
          <w:tcPr>
            <w:tcW w:w="0" w:type="auto"/>
            <w:noWrap w:val="0"/>
            <w:vAlign w:val="center"/>
          </w:tcPr>
          <w:p w14:paraId="6A849C94">
            <w:r>
              <w:rPr>
                <w:rStyle w:val="10"/>
                <w:rFonts w:hint="eastAsia"/>
              </w:rPr>
              <w:t>注意事项：</w:t>
            </w:r>
            <w:r>
              <w:rPr>
                <w:rFonts w:hint="eastAsia"/>
              </w:rPr>
              <w:br w:type="textWrapping"/>
            </w:r>
            <w:r>
              <w:rPr>
                <w:rStyle w:val="11"/>
                <w:rFonts w:hint="eastAsia"/>
              </w:rPr>
              <w:t>1. 本品不可与氧化性物质混用。2.禁止在河塘等水域清洗施药器具；瓢虫等天敌放飞区域禁用。3.施药后7天内，不要在施药区放牧、割草。4.使用时应穿长衣长裤、靴子，戴帽子、护目镜、口罩、手套等防护用具；施药期间不可吃东西、饮水、吸烟等；施药后应及时洗手、洗脸并洗涤施药时穿着的衣物。5.禁止在田间道路、田埂、果树行间、休耕地、林场林地等农林业区域使用。6.孕妇及哺乳期妇女禁止接触本品。7.用过的容器应妥善处理，不可做他用，也不可随意丢弃。8.注意避免飘移药害。</w:t>
            </w:r>
          </w:p>
        </w:tc>
      </w:tr>
      <w:tr w14:paraId="127BC0D2">
        <w:tblPrEx>
          <w:tblCellMar>
            <w:top w:w="0" w:type="dxa"/>
            <w:left w:w="0" w:type="dxa"/>
            <w:bottom w:w="0" w:type="dxa"/>
            <w:right w:w="0" w:type="dxa"/>
          </w:tblCellMar>
        </w:tblPrEx>
        <w:trPr>
          <w:wBefore w:w="0" w:type="auto"/>
          <w:tblCellSpacing w:w="0" w:type="dxa"/>
        </w:trPr>
        <w:tc>
          <w:tcPr>
            <w:tcW w:w="0" w:type="auto"/>
            <w:noWrap w:val="0"/>
            <w:vAlign w:val="center"/>
          </w:tcPr>
          <w:p w14:paraId="53090567">
            <w:r>
              <w:rPr>
                <w:rStyle w:val="10"/>
                <w:rFonts w:hint="eastAsia"/>
              </w:rPr>
              <w:t>中毒急救措施：</w:t>
            </w:r>
            <w:r>
              <w:rPr>
                <w:rFonts w:hint="eastAsia"/>
              </w:rPr>
              <w:br w:type="textWrapping"/>
            </w:r>
            <w:r>
              <w:rPr>
                <w:rStyle w:val="11"/>
                <w:rFonts w:hint="eastAsia"/>
              </w:rPr>
              <w:t>本品对眼睛有刺激性。皮肤接触：立即脱去被污染的衣物，用肥皂和大量清水冲洗皮肤暴露部位。如皮肤刺激感持续，请医生诊治。眼睛溅入：立即翻开眼睑，用清水冲洗至少15分钟，再请医生诊治。吸入：立即将吸入者转移到空气清新处，若吸入者停止呼吸，需要进行人工呼吸。注意保暖和休息，请医生诊治。误食：严禁引吐，应先立即用清水漱口，再携带产品标签送医就诊，对症治疗。注意：对昏迷病人，切勿经口喂入任何东西。</w:t>
            </w:r>
          </w:p>
        </w:tc>
      </w:tr>
      <w:tr w14:paraId="36EF639C">
        <w:tblPrEx>
          <w:tblCellMar>
            <w:top w:w="0" w:type="dxa"/>
            <w:left w:w="0" w:type="dxa"/>
            <w:bottom w:w="0" w:type="dxa"/>
            <w:right w:w="0" w:type="dxa"/>
          </w:tblCellMar>
        </w:tblPrEx>
        <w:trPr>
          <w:wBefore w:w="0" w:type="auto"/>
          <w:tblCellSpacing w:w="0" w:type="dxa"/>
        </w:trPr>
        <w:tc>
          <w:tcPr>
            <w:tcW w:w="0" w:type="auto"/>
            <w:noWrap w:val="0"/>
            <w:vAlign w:val="center"/>
          </w:tcPr>
          <w:p w14:paraId="42D8300A">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本品应贮存在干燥、阴凉、通风、防雨处，远离火源或热源。置于儿童触及不到之处，并加锁。勿与食品、饮料、粮食、饲料等同贮同运。</w:t>
            </w:r>
          </w:p>
        </w:tc>
      </w:tr>
      <w:tr w14:paraId="1C8ABE1D">
        <w:tblPrEx>
          <w:tblCellMar>
            <w:top w:w="0" w:type="dxa"/>
            <w:left w:w="0" w:type="dxa"/>
            <w:bottom w:w="0" w:type="dxa"/>
            <w:right w:w="0" w:type="dxa"/>
          </w:tblCellMar>
        </w:tblPrEx>
        <w:trPr>
          <w:wBefore w:w="0" w:type="auto"/>
          <w:tblCellSpacing w:w="0" w:type="dxa"/>
        </w:trPr>
        <w:tc>
          <w:tcPr>
            <w:tcW w:w="0" w:type="auto"/>
            <w:noWrap w:val="0"/>
            <w:vAlign w:val="center"/>
          </w:tcPr>
          <w:p w14:paraId="276349AD">
            <w:r>
              <w:rPr>
                <w:rStyle w:val="10"/>
                <w:rFonts w:hint="eastAsia"/>
              </w:rPr>
              <w:t>质量保证期：</w:t>
            </w:r>
            <w:r>
              <w:rPr>
                <w:rStyle w:val="11"/>
                <w:rFonts w:hint="eastAsia"/>
              </w:rPr>
              <w:t>2年</w:t>
            </w:r>
          </w:p>
        </w:tc>
      </w:tr>
      <w:tr w14:paraId="41BA6B41">
        <w:tblPrEx>
          <w:tblCellMar>
            <w:top w:w="0" w:type="dxa"/>
            <w:left w:w="0" w:type="dxa"/>
            <w:bottom w:w="0" w:type="dxa"/>
            <w:right w:w="0" w:type="dxa"/>
          </w:tblCellMar>
        </w:tblPrEx>
        <w:trPr>
          <w:wBefore w:w="0" w:type="auto"/>
          <w:tblCellSpacing w:w="0" w:type="dxa"/>
        </w:trPr>
        <w:tc>
          <w:tcPr>
            <w:tcW w:w="0" w:type="auto"/>
            <w:noWrap w:val="0"/>
            <w:vAlign w:val="center"/>
          </w:tcPr>
          <w:p w14:paraId="2D206D2B">
            <w:r>
              <w:rPr>
                <w:rStyle w:val="10"/>
                <w:rFonts w:hint="eastAsia"/>
              </w:rPr>
              <w:t>备注：</w:t>
            </w:r>
            <w:r>
              <w:rPr>
                <w:rFonts w:hint="eastAsia"/>
              </w:rPr>
              <w:br w:type="textWrapping"/>
            </w:r>
            <w:r>
              <w:rPr>
                <w:rStyle w:val="11"/>
                <w:rFonts w:hint="eastAsia"/>
              </w:rPr>
              <w:t>质量分数18%。</w:t>
            </w:r>
          </w:p>
        </w:tc>
      </w:tr>
    </w:tbl>
    <w:p w14:paraId="0E26024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2AD8E6">
        <w:tblPrEx>
          <w:tblCellMar>
            <w:top w:w="0" w:type="dxa"/>
            <w:left w:w="0" w:type="dxa"/>
            <w:bottom w:w="0" w:type="dxa"/>
            <w:right w:w="0" w:type="dxa"/>
          </w:tblCellMar>
        </w:tblPrEx>
        <w:trPr>
          <w:wBefore w:w="0" w:type="auto"/>
          <w:tblCellSpacing w:w="0" w:type="dxa"/>
        </w:trPr>
        <w:tc>
          <w:tcPr>
            <w:tcW w:w="0" w:type="auto"/>
            <w:noWrap w:val="0"/>
            <w:vAlign w:val="center"/>
          </w:tcPr>
          <w:p w14:paraId="0848A5EF">
            <w:r>
              <w:rPr>
                <w:rStyle w:val="10"/>
                <w:rFonts w:hint="eastAsia"/>
              </w:rPr>
              <w:t>登记证号：</w:t>
            </w:r>
            <w:r>
              <w:rPr>
                <w:rFonts w:hint="eastAsia"/>
              </w:rPr>
              <w:t>PD20212036</w:t>
            </w:r>
          </w:p>
        </w:tc>
      </w:tr>
      <w:tr w14:paraId="101ADFB5">
        <w:tblPrEx>
          <w:tblCellMar>
            <w:top w:w="0" w:type="dxa"/>
            <w:left w:w="0" w:type="dxa"/>
            <w:bottom w:w="0" w:type="dxa"/>
            <w:right w:w="0" w:type="dxa"/>
          </w:tblCellMar>
        </w:tblPrEx>
        <w:trPr>
          <w:wBefore w:w="0" w:type="auto"/>
          <w:tblCellSpacing w:w="0" w:type="dxa"/>
        </w:trPr>
        <w:tc>
          <w:tcPr>
            <w:tcW w:w="0" w:type="auto"/>
            <w:noWrap w:val="0"/>
            <w:vAlign w:val="center"/>
          </w:tcPr>
          <w:p w14:paraId="6FC8EE7F">
            <w:r>
              <w:rPr>
                <w:rStyle w:val="10"/>
                <w:rFonts w:hint="eastAsia"/>
              </w:rPr>
              <w:t>登记证持有人：</w:t>
            </w:r>
            <w:r>
              <w:rPr>
                <w:rFonts w:hint="eastAsia"/>
              </w:rPr>
              <w:t>新乡市莱恩坪安园林有限公司</w:t>
            </w:r>
          </w:p>
        </w:tc>
      </w:tr>
      <w:tr w14:paraId="6157A4D2">
        <w:tblPrEx>
          <w:tblCellMar>
            <w:top w:w="0" w:type="dxa"/>
            <w:left w:w="0" w:type="dxa"/>
            <w:bottom w:w="0" w:type="dxa"/>
            <w:right w:w="0" w:type="dxa"/>
          </w:tblCellMar>
        </w:tblPrEx>
        <w:trPr>
          <w:wBefore w:w="0" w:type="auto"/>
          <w:tblCellSpacing w:w="0" w:type="dxa"/>
        </w:trPr>
        <w:tc>
          <w:tcPr>
            <w:tcW w:w="0" w:type="auto"/>
            <w:noWrap w:val="0"/>
            <w:vAlign w:val="center"/>
          </w:tcPr>
          <w:p w14:paraId="11ED75CD">
            <w:r>
              <w:rPr>
                <w:rStyle w:val="10"/>
                <w:rFonts w:hint="eastAsia"/>
              </w:rPr>
              <w:t>农药名称：</w:t>
            </w:r>
            <w:r>
              <w:rPr>
                <w:rFonts w:hint="eastAsia"/>
              </w:rPr>
              <w:t>赤霉酸A3</w:t>
            </w:r>
          </w:p>
        </w:tc>
      </w:tr>
      <w:tr w14:paraId="156D1108">
        <w:tblPrEx>
          <w:tblCellMar>
            <w:top w:w="0" w:type="dxa"/>
            <w:left w:w="0" w:type="dxa"/>
            <w:bottom w:w="0" w:type="dxa"/>
            <w:right w:w="0" w:type="dxa"/>
          </w:tblCellMar>
        </w:tblPrEx>
        <w:trPr>
          <w:wBefore w:w="0" w:type="auto"/>
          <w:tblCellSpacing w:w="0" w:type="dxa"/>
        </w:trPr>
        <w:tc>
          <w:tcPr>
            <w:tcW w:w="0" w:type="auto"/>
            <w:noWrap w:val="0"/>
            <w:vAlign w:val="center"/>
          </w:tcPr>
          <w:p w14:paraId="6B9EA932">
            <w:r>
              <w:rPr>
                <w:rStyle w:val="10"/>
                <w:rFonts w:hint="eastAsia"/>
              </w:rPr>
              <w:t>剂型：</w:t>
            </w:r>
            <w:r>
              <w:rPr>
                <w:rFonts w:hint="eastAsia"/>
              </w:rPr>
              <w:t>可溶液剂</w:t>
            </w:r>
          </w:p>
        </w:tc>
      </w:tr>
      <w:tr w14:paraId="2E46E87C">
        <w:tblPrEx>
          <w:tblCellMar>
            <w:top w:w="0" w:type="dxa"/>
            <w:left w:w="0" w:type="dxa"/>
            <w:bottom w:w="0" w:type="dxa"/>
            <w:right w:w="0" w:type="dxa"/>
          </w:tblCellMar>
        </w:tblPrEx>
        <w:trPr>
          <w:wBefore w:w="0" w:type="auto"/>
          <w:tblCellSpacing w:w="0" w:type="dxa"/>
        </w:trPr>
        <w:tc>
          <w:tcPr>
            <w:tcW w:w="0" w:type="auto"/>
            <w:noWrap w:val="0"/>
            <w:vAlign w:val="center"/>
          </w:tcPr>
          <w:p w14:paraId="60FF95AB">
            <w:r>
              <w:rPr>
                <w:rStyle w:val="10"/>
                <w:rFonts w:hint="eastAsia"/>
              </w:rPr>
              <w:t>毒性及其标识：</w:t>
            </w:r>
            <w:r>
              <w:rPr>
                <w:rFonts w:hint="eastAsia"/>
              </w:rPr>
              <w:t xml:space="preserve"> </w:t>
            </w:r>
            <w:r>
              <w:rPr>
                <w:lang/>
              </w:rPr>
              <w:drawing>
                <wp:inline distT="0" distB="0" distL="114300" distR="114300">
                  <wp:extent cx="476250" cy="323850"/>
                  <wp:effectExtent l="0" t="0" r="0" b="0"/>
                  <wp:docPr id="34" name="图片 3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C23C5EA">
        <w:tblPrEx>
          <w:tblCellMar>
            <w:top w:w="0" w:type="dxa"/>
            <w:left w:w="0" w:type="dxa"/>
            <w:bottom w:w="0" w:type="dxa"/>
            <w:right w:w="0" w:type="dxa"/>
          </w:tblCellMar>
        </w:tblPrEx>
        <w:trPr>
          <w:wBefore w:w="0" w:type="auto"/>
          <w:tblCellSpacing w:w="0" w:type="dxa"/>
        </w:trPr>
        <w:tc>
          <w:tcPr>
            <w:tcW w:w="0" w:type="auto"/>
            <w:noWrap w:val="0"/>
            <w:vAlign w:val="center"/>
          </w:tcPr>
          <w:p w14:paraId="04AD0064">
            <w:r>
              <w:rPr>
                <w:rStyle w:val="10"/>
                <w:rFonts w:hint="eastAsia"/>
              </w:rPr>
              <w:t>总有效成分含量：</w:t>
            </w:r>
            <w:r>
              <w:rPr>
                <w:rFonts w:hint="eastAsia"/>
              </w:rPr>
              <w:t>2.7%</w:t>
            </w:r>
          </w:p>
        </w:tc>
      </w:tr>
      <w:tr w14:paraId="0E55DECC">
        <w:tblPrEx>
          <w:tblCellMar>
            <w:top w:w="0" w:type="dxa"/>
            <w:left w:w="0" w:type="dxa"/>
            <w:bottom w:w="0" w:type="dxa"/>
            <w:right w:w="0" w:type="dxa"/>
          </w:tblCellMar>
        </w:tblPrEx>
        <w:trPr>
          <w:wBefore w:w="0" w:type="auto"/>
          <w:tblCellSpacing w:w="0" w:type="dxa"/>
        </w:trPr>
        <w:tc>
          <w:tcPr>
            <w:tcW w:w="0" w:type="auto"/>
            <w:noWrap w:val="0"/>
            <w:vAlign w:val="center"/>
          </w:tcPr>
          <w:p w14:paraId="0BA62E39">
            <w:r>
              <w:rPr>
                <w:rFonts w:hint="eastAsia"/>
              </w:rPr>
              <w:t xml:space="preserve">有效成分及其含量： </w:t>
            </w:r>
          </w:p>
          <w:p w14:paraId="6CD7FD46">
            <w:r>
              <w:rPr>
                <w:rFonts w:hint="eastAsia"/>
              </w:rPr>
              <w:t xml:space="preserve">    赤霉酸A32.7%    S-诱抗素0.3%    </w:t>
            </w:r>
          </w:p>
        </w:tc>
      </w:tr>
      <w:tr w14:paraId="2FCB801A">
        <w:tblPrEx>
          <w:tblCellMar>
            <w:top w:w="0" w:type="dxa"/>
            <w:left w:w="0" w:type="dxa"/>
            <w:bottom w:w="0" w:type="dxa"/>
            <w:right w:w="0" w:type="dxa"/>
          </w:tblCellMar>
        </w:tblPrEx>
        <w:trPr>
          <w:wBefore w:w="0" w:type="auto"/>
          <w:tblCellSpacing w:w="0" w:type="dxa"/>
        </w:trPr>
        <w:tc>
          <w:tcPr>
            <w:tcW w:w="0" w:type="auto"/>
            <w:noWrap w:val="0"/>
            <w:vAlign w:val="center"/>
          </w:tcPr>
          <w:p w14:paraId="64FAE13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FA507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3B4127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4DBDF0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517639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3ABFF6">
                  <w:r>
                    <w:rPr>
                      <w:rStyle w:val="11"/>
                      <w:rFonts w:hint="eastAsia"/>
                    </w:rPr>
                    <w:t>施用方式</w:t>
                  </w:r>
                </w:p>
              </w:tc>
            </w:tr>
            <w:tr w14:paraId="0B2E56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27575AB">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26CB3A">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1BC030">
                  <w:r>
                    <w:rPr>
                      <w:rStyle w:val="11"/>
                      <w:rFonts w:hint="eastAsia"/>
                    </w:rPr>
                    <w:t>3500-4500倍液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AD047E">
                  <w:r>
                    <w:rPr>
                      <w:rStyle w:val="11"/>
                      <w:rFonts w:hint="eastAsia"/>
                    </w:rPr>
                    <w:t>喷雾</w:t>
                  </w:r>
                </w:p>
              </w:tc>
            </w:tr>
          </w:tbl>
          <w:p w14:paraId="712C2DD0">
            <w:pPr>
              <w:rPr>
                <w:rFonts w:ascii="Times New Roman" w:hAnsi="Times New Roman" w:cs="Times New Roman"/>
                <w:sz w:val="20"/>
                <w:szCs w:val="20"/>
              </w:rPr>
            </w:pPr>
          </w:p>
        </w:tc>
      </w:tr>
      <w:tr w14:paraId="66939E5E">
        <w:tblPrEx>
          <w:tblCellMar>
            <w:top w:w="0" w:type="dxa"/>
            <w:left w:w="0" w:type="dxa"/>
            <w:bottom w:w="0" w:type="dxa"/>
            <w:right w:w="0" w:type="dxa"/>
          </w:tblCellMar>
        </w:tblPrEx>
        <w:trPr>
          <w:wBefore w:w="0" w:type="auto"/>
          <w:tblCellSpacing w:w="0" w:type="dxa"/>
        </w:trPr>
        <w:tc>
          <w:tcPr>
            <w:tcW w:w="0" w:type="auto"/>
            <w:noWrap w:val="0"/>
            <w:vAlign w:val="center"/>
          </w:tcPr>
          <w:p w14:paraId="69E004E5">
            <w:r>
              <w:rPr>
                <w:rStyle w:val="10"/>
                <w:rFonts w:hint="eastAsia"/>
              </w:rPr>
              <w:t>使用技术要求:</w:t>
            </w:r>
            <w:r>
              <w:rPr>
                <w:rFonts w:hint="eastAsia"/>
              </w:rPr>
              <w:br w:type="textWrapping"/>
            </w:r>
            <w:r>
              <w:rPr>
                <w:rStyle w:val="11"/>
                <w:rFonts w:hint="eastAsia"/>
              </w:rPr>
              <w:t>1、番茄苗移栽后7-10施药，间隔7天施药1次，喷药2次，注意喷雾均匀、周到。 2、大风天或预计1小时内降雨，请勿施药。 3、本品在番茄上使用，每季作物最多使用2次。</w:t>
            </w:r>
          </w:p>
        </w:tc>
      </w:tr>
      <w:tr w14:paraId="3104607D">
        <w:tblPrEx>
          <w:tblCellMar>
            <w:top w:w="0" w:type="dxa"/>
            <w:left w:w="0" w:type="dxa"/>
            <w:bottom w:w="0" w:type="dxa"/>
            <w:right w:w="0" w:type="dxa"/>
          </w:tblCellMar>
        </w:tblPrEx>
        <w:trPr>
          <w:wBefore w:w="0" w:type="auto"/>
          <w:tblCellSpacing w:w="0" w:type="dxa"/>
        </w:trPr>
        <w:tc>
          <w:tcPr>
            <w:tcW w:w="0" w:type="auto"/>
            <w:noWrap w:val="0"/>
            <w:vAlign w:val="center"/>
          </w:tcPr>
          <w:p w14:paraId="799943CB">
            <w:r>
              <w:rPr>
                <w:rStyle w:val="10"/>
                <w:rFonts w:hint="eastAsia"/>
              </w:rPr>
              <w:t>产品性能:</w:t>
            </w:r>
            <w:r>
              <w:rPr>
                <w:rFonts w:hint="eastAsia"/>
              </w:rPr>
              <w:br w:type="textWrapping"/>
            </w:r>
            <w:r>
              <w:rPr>
                <w:rStyle w:val="11"/>
                <w:rFonts w:hint="eastAsia"/>
              </w:rPr>
              <w:t>S-诱抗素是一种植物内源生长调节激素，能促进植物协调生长，诱导植物多种抗逆基因表达，提高植物生长素质，有效增强植物抵抗逆境的能力。赤霉酸A3是促进植物生长发育重要的内源激素之一，能促进作物细胞分裂与生长，促使植物生长发育，能刺激植物细胞伸长，使植株高、叶片增大。本品能增强植物光合作用，促进根系发育和营养物质的合成与积累，对改善品质，提高产量有一定效果。</w:t>
            </w:r>
          </w:p>
        </w:tc>
      </w:tr>
      <w:tr w14:paraId="3FD92892">
        <w:tblPrEx>
          <w:tblCellMar>
            <w:top w:w="0" w:type="dxa"/>
            <w:left w:w="0" w:type="dxa"/>
            <w:bottom w:w="0" w:type="dxa"/>
            <w:right w:w="0" w:type="dxa"/>
          </w:tblCellMar>
        </w:tblPrEx>
        <w:trPr>
          <w:wBefore w:w="0" w:type="auto"/>
          <w:tblCellSpacing w:w="0" w:type="dxa"/>
        </w:trPr>
        <w:tc>
          <w:tcPr>
            <w:tcW w:w="0" w:type="auto"/>
            <w:noWrap w:val="0"/>
            <w:vAlign w:val="center"/>
          </w:tcPr>
          <w:p w14:paraId="0FD0C0A7">
            <w:r>
              <w:rPr>
                <w:rStyle w:val="10"/>
                <w:rFonts w:hint="eastAsia"/>
              </w:rPr>
              <w:t>注意事项：</w:t>
            </w:r>
            <w:r>
              <w:rPr>
                <w:rFonts w:hint="eastAsia"/>
              </w:rPr>
              <w:br w:type="textWrapping"/>
            </w:r>
            <w:r>
              <w:rPr>
                <w:rStyle w:val="11"/>
                <w:rFonts w:hint="eastAsia"/>
              </w:rPr>
              <w:t>1、不可和碱性物质混用。2、使用本品时应穿防护服、戴防护手套、眼镜；工作时禁止吸烟、进食和饮水；工作完毕用肥皂水清洗双手及皮肤暴露部位并漱口，沐浴更衣。3、水产养殖区、河塘等水体附近禁用，禁止在河塘和水体内清洗施药器具，禁止在蚕室桑园地块及附近使用。4、禁止孕妇及哺乳期妇女接触本品。 5、用过的包装容器应妥善处理，不可作它用，也不可随意丢弃。</w:t>
            </w:r>
          </w:p>
        </w:tc>
      </w:tr>
      <w:tr w14:paraId="0AE8221F">
        <w:tblPrEx>
          <w:tblCellMar>
            <w:top w:w="0" w:type="dxa"/>
            <w:left w:w="0" w:type="dxa"/>
            <w:bottom w:w="0" w:type="dxa"/>
            <w:right w:w="0" w:type="dxa"/>
          </w:tblCellMar>
        </w:tblPrEx>
        <w:trPr>
          <w:wBefore w:w="0" w:type="auto"/>
          <w:tblCellSpacing w:w="0" w:type="dxa"/>
        </w:trPr>
        <w:tc>
          <w:tcPr>
            <w:tcW w:w="0" w:type="auto"/>
            <w:noWrap w:val="0"/>
            <w:vAlign w:val="center"/>
          </w:tcPr>
          <w:p w14:paraId="320C885C">
            <w:r>
              <w:rPr>
                <w:rStyle w:val="10"/>
                <w:rFonts w:hint="eastAsia"/>
              </w:rPr>
              <w:t>中毒急救措施：</w:t>
            </w:r>
            <w:r>
              <w:rPr>
                <w:rFonts w:hint="eastAsia"/>
              </w:rPr>
              <w:br w:type="textWrapping"/>
            </w:r>
            <w:r>
              <w:rPr>
                <w:rStyle w:val="11"/>
                <w:rFonts w:hint="eastAsia"/>
              </w:rPr>
              <w:t>1.严格按规定用药量和方法使用。2．本品不可与碱性农药等物质混用，建议与其他作用机制不同的植物生长调节剂轮换使用，以延缓抗性的产生。3．本品对鸟有毒，鸟类保护区禁用，禁止在河塘等水体中清洗施药器具。4．使用本品时应穿防护服和戴手套，避免吸入药液。施药期间不可吃东西和饮水，施药后应及时洗手和洗脸。5.用药后包装物及用过的容器应妥善处理，不可做他用，也不可随意丢弃。6.孕妇及哺乳期妇女禁止接触。</w:t>
            </w:r>
          </w:p>
        </w:tc>
      </w:tr>
      <w:tr w14:paraId="453E08A5">
        <w:tblPrEx>
          <w:tblCellMar>
            <w:top w:w="0" w:type="dxa"/>
            <w:left w:w="0" w:type="dxa"/>
            <w:bottom w:w="0" w:type="dxa"/>
            <w:right w:w="0" w:type="dxa"/>
          </w:tblCellMar>
        </w:tblPrEx>
        <w:trPr>
          <w:wBefore w:w="0" w:type="auto"/>
          <w:tblCellSpacing w:w="0" w:type="dxa"/>
        </w:trPr>
        <w:tc>
          <w:tcPr>
            <w:tcW w:w="0" w:type="auto"/>
            <w:noWrap w:val="0"/>
            <w:vAlign w:val="center"/>
          </w:tcPr>
          <w:p w14:paraId="6E0F3E87">
            <w:r>
              <w:rPr>
                <w:rStyle w:val="10"/>
                <w:rFonts w:hint="eastAsia"/>
              </w:rPr>
              <w:t>储存和运输方法：</w:t>
            </w:r>
            <w:r>
              <w:rPr>
                <w:rFonts w:hint="eastAsia"/>
              </w:rPr>
              <w:br w:type="textWrapping"/>
            </w:r>
            <w:r>
              <w:rPr>
                <w:rStyle w:val="11"/>
                <w:rFonts w:hint="eastAsia"/>
              </w:rPr>
              <w:t>1、本品应存储在干燥、阴凉、通风、避雨处，远离火源或热源。 2、置于儿童触及不到之处，并加锁。勿与食品、种子、饮料、饲料 等其他商品同储同运。 3、运输途中小心轻放，不可倒置，确保不损坏，防高温、防雨淋。</w:t>
            </w:r>
          </w:p>
        </w:tc>
      </w:tr>
      <w:tr w14:paraId="3F9597EB">
        <w:tblPrEx>
          <w:tblCellMar>
            <w:top w:w="0" w:type="dxa"/>
            <w:left w:w="0" w:type="dxa"/>
            <w:bottom w:w="0" w:type="dxa"/>
            <w:right w:w="0" w:type="dxa"/>
          </w:tblCellMar>
        </w:tblPrEx>
        <w:trPr>
          <w:wBefore w:w="0" w:type="auto"/>
          <w:tblCellSpacing w:w="0" w:type="dxa"/>
        </w:trPr>
        <w:tc>
          <w:tcPr>
            <w:tcW w:w="0" w:type="auto"/>
            <w:noWrap w:val="0"/>
            <w:vAlign w:val="center"/>
          </w:tcPr>
          <w:p w14:paraId="2724E509">
            <w:r>
              <w:rPr>
                <w:rStyle w:val="10"/>
                <w:rFonts w:hint="eastAsia"/>
              </w:rPr>
              <w:t>质量保证期：</w:t>
            </w:r>
            <w:r>
              <w:rPr>
                <w:rStyle w:val="11"/>
                <w:rFonts w:hint="eastAsia"/>
              </w:rPr>
              <w:t>2年</w:t>
            </w:r>
          </w:p>
        </w:tc>
      </w:tr>
      <w:tr w14:paraId="1BA4CC9E">
        <w:tblPrEx>
          <w:tblCellMar>
            <w:top w:w="0" w:type="dxa"/>
            <w:left w:w="0" w:type="dxa"/>
            <w:bottom w:w="0" w:type="dxa"/>
            <w:right w:w="0" w:type="dxa"/>
          </w:tblCellMar>
        </w:tblPrEx>
        <w:trPr>
          <w:wBefore w:w="0" w:type="auto"/>
          <w:tblCellSpacing w:w="0" w:type="dxa"/>
        </w:trPr>
        <w:tc>
          <w:tcPr>
            <w:tcW w:w="0" w:type="auto"/>
            <w:noWrap w:val="0"/>
            <w:vAlign w:val="center"/>
          </w:tcPr>
          <w:p w14:paraId="6A05CEBE">
            <w:r>
              <w:rPr>
                <w:rStyle w:val="10"/>
                <w:rFonts w:hint="eastAsia"/>
              </w:rPr>
              <w:t>备注：</w:t>
            </w:r>
          </w:p>
        </w:tc>
      </w:tr>
    </w:tbl>
    <w:p w14:paraId="3E8FBF0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94315AF">
        <w:tblPrEx>
          <w:tblCellMar>
            <w:top w:w="0" w:type="dxa"/>
            <w:left w:w="0" w:type="dxa"/>
            <w:bottom w:w="0" w:type="dxa"/>
            <w:right w:w="0" w:type="dxa"/>
          </w:tblCellMar>
        </w:tblPrEx>
        <w:trPr>
          <w:wBefore w:w="0" w:type="auto"/>
          <w:tblCellSpacing w:w="0" w:type="dxa"/>
        </w:trPr>
        <w:tc>
          <w:tcPr>
            <w:tcW w:w="0" w:type="auto"/>
            <w:noWrap w:val="0"/>
            <w:vAlign w:val="center"/>
          </w:tcPr>
          <w:p w14:paraId="2DC2BD99">
            <w:r>
              <w:rPr>
                <w:rStyle w:val="10"/>
                <w:rFonts w:hint="eastAsia"/>
              </w:rPr>
              <w:t>登记证号：</w:t>
            </w:r>
            <w:r>
              <w:rPr>
                <w:rFonts w:hint="eastAsia"/>
              </w:rPr>
              <w:t>PD20212002</w:t>
            </w:r>
          </w:p>
        </w:tc>
      </w:tr>
      <w:tr w14:paraId="4FEC3498">
        <w:tblPrEx>
          <w:tblCellMar>
            <w:top w:w="0" w:type="dxa"/>
            <w:left w:w="0" w:type="dxa"/>
            <w:bottom w:w="0" w:type="dxa"/>
            <w:right w:w="0" w:type="dxa"/>
          </w:tblCellMar>
        </w:tblPrEx>
        <w:trPr>
          <w:wBefore w:w="0" w:type="auto"/>
          <w:tblCellSpacing w:w="0" w:type="dxa"/>
        </w:trPr>
        <w:tc>
          <w:tcPr>
            <w:tcW w:w="0" w:type="auto"/>
            <w:noWrap w:val="0"/>
            <w:vAlign w:val="center"/>
          </w:tcPr>
          <w:p w14:paraId="76F9D744">
            <w:r>
              <w:rPr>
                <w:rStyle w:val="10"/>
                <w:rFonts w:hint="eastAsia"/>
              </w:rPr>
              <w:t>登记证持有人：</w:t>
            </w:r>
            <w:r>
              <w:rPr>
                <w:rFonts w:hint="eastAsia"/>
              </w:rPr>
              <w:t>安徽美兰农业发展股份有限公司</w:t>
            </w:r>
          </w:p>
        </w:tc>
      </w:tr>
      <w:tr w14:paraId="77E22917">
        <w:tblPrEx>
          <w:tblCellMar>
            <w:top w:w="0" w:type="dxa"/>
            <w:left w:w="0" w:type="dxa"/>
            <w:bottom w:w="0" w:type="dxa"/>
            <w:right w:w="0" w:type="dxa"/>
          </w:tblCellMar>
        </w:tblPrEx>
        <w:trPr>
          <w:wBefore w:w="0" w:type="auto"/>
          <w:tblCellSpacing w:w="0" w:type="dxa"/>
        </w:trPr>
        <w:tc>
          <w:tcPr>
            <w:tcW w:w="0" w:type="auto"/>
            <w:noWrap w:val="0"/>
            <w:vAlign w:val="center"/>
          </w:tcPr>
          <w:p w14:paraId="4099ECA7">
            <w:r>
              <w:rPr>
                <w:rStyle w:val="10"/>
                <w:rFonts w:hint="eastAsia"/>
              </w:rPr>
              <w:t>农药名称：</w:t>
            </w:r>
            <w:r>
              <w:rPr>
                <w:rFonts w:hint="eastAsia"/>
              </w:rPr>
              <w:t>烯酰·氰霜唑</w:t>
            </w:r>
          </w:p>
        </w:tc>
      </w:tr>
      <w:tr w14:paraId="4F3D8536">
        <w:tblPrEx>
          <w:tblCellMar>
            <w:top w:w="0" w:type="dxa"/>
            <w:left w:w="0" w:type="dxa"/>
            <w:bottom w:w="0" w:type="dxa"/>
            <w:right w:w="0" w:type="dxa"/>
          </w:tblCellMar>
        </w:tblPrEx>
        <w:trPr>
          <w:wBefore w:w="0" w:type="auto"/>
          <w:tblCellSpacing w:w="0" w:type="dxa"/>
        </w:trPr>
        <w:tc>
          <w:tcPr>
            <w:tcW w:w="0" w:type="auto"/>
            <w:noWrap w:val="0"/>
            <w:vAlign w:val="center"/>
          </w:tcPr>
          <w:p w14:paraId="433709F0">
            <w:r>
              <w:rPr>
                <w:rStyle w:val="10"/>
                <w:rFonts w:hint="eastAsia"/>
              </w:rPr>
              <w:t>剂型：</w:t>
            </w:r>
            <w:r>
              <w:rPr>
                <w:rFonts w:hint="eastAsia"/>
              </w:rPr>
              <w:t>悬浮剂</w:t>
            </w:r>
          </w:p>
        </w:tc>
      </w:tr>
      <w:tr w14:paraId="212BE816">
        <w:tblPrEx>
          <w:tblCellMar>
            <w:top w:w="0" w:type="dxa"/>
            <w:left w:w="0" w:type="dxa"/>
            <w:bottom w:w="0" w:type="dxa"/>
            <w:right w:w="0" w:type="dxa"/>
          </w:tblCellMar>
        </w:tblPrEx>
        <w:trPr>
          <w:wBefore w:w="0" w:type="auto"/>
          <w:tblCellSpacing w:w="0" w:type="dxa"/>
        </w:trPr>
        <w:tc>
          <w:tcPr>
            <w:tcW w:w="0" w:type="auto"/>
            <w:noWrap w:val="0"/>
            <w:vAlign w:val="center"/>
          </w:tcPr>
          <w:p w14:paraId="201F3E9A">
            <w:r>
              <w:rPr>
                <w:rStyle w:val="10"/>
                <w:rFonts w:hint="eastAsia"/>
              </w:rPr>
              <w:t>毒性及其标识：</w:t>
            </w:r>
            <w:r>
              <w:rPr>
                <w:rFonts w:hint="eastAsia"/>
              </w:rPr>
              <w:t xml:space="preserve"> </w:t>
            </w:r>
            <w:r>
              <w:rPr>
                <w:lang/>
              </w:rPr>
              <w:drawing>
                <wp:inline distT="0" distB="0" distL="114300" distR="114300">
                  <wp:extent cx="476250" cy="323850"/>
                  <wp:effectExtent l="0" t="0" r="0" b="0"/>
                  <wp:docPr id="35" name="图片 3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8E203C7">
        <w:tblPrEx>
          <w:tblCellMar>
            <w:top w:w="0" w:type="dxa"/>
            <w:left w:w="0" w:type="dxa"/>
            <w:bottom w:w="0" w:type="dxa"/>
            <w:right w:w="0" w:type="dxa"/>
          </w:tblCellMar>
        </w:tblPrEx>
        <w:trPr>
          <w:wBefore w:w="0" w:type="auto"/>
          <w:tblCellSpacing w:w="0" w:type="dxa"/>
        </w:trPr>
        <w:tc>
          <w:tcPr>
            <w:tcW w:w="0" w:type="auto"/>
            <w:noWrap w:val="0"/>
            <w:vAlign w:val="center"/>
          </w:tcPr>
          <w:p w14:paraId="61757A49">
            <w:r>
              <w:rPr>
                <w:rStyle w:val="10"/>
                <w:rFonts w:hint="eastAsia"/>
              </w:rPr>
              <w:t>总有效成分含量：</w:t>
            </w:r>
            <w:r>
              <w:rPr>
                <w:rFonts w:hint="eastAsia"/>
              </w:rPr>
              <w:t>42%</w:t>
            </w:r>
          </w:p>
        </w:tc>
      </w:tr>
      <w:tr w14:paraId="30CDD433">
        <w:tblPrEx>
          <w:tblCellMar>
            <w:top w:w="0" w:type="dxa"/>
            <w:left w:w="0" w:type="dxa"/>
            <w:bottom w:w="0" w:type="dxa"/>
            <w:right w:w="0" w:type="dxa"/>
          </w:tblCellMar>
        </w:tblPrEx>
        <w:trPr>
          <w:wBefore w:w="0" w:type="auto"/>
          <w:tblCellSpacing w:w="0" w:type="dxa"/>
        </w:trPr>
        <w:tc>
          <w:tcPr>
            <w:tcW w:w="0" w:type="auto"/>
            <w:noWrap w:val="0"/>
            <w:vAlign w:val="center"/>
          </w:tcPr>
          <w:p w14:paraId="2EFDCAE2">
            <w:r>
              <w:rPr>
                <w:rFonts w:hint="eastAsia"/>
              </w:rPr>
              <w:t xml:space="preserve">有效成分及其含量： </w:t>
            </w:r>
          </w:p>
          <w:p w14:paraId="707C72E6">
            <w:r>
              <w:rPr>
                <w:rFonts w:hint="eastAsia"/>
              </w:rPr>
              <w:t xml:space="preserve">    烯酰吗啉7%    氰霜唑35%    </w:t>
            </w:r>
          </w:p>
        </w:tc>
      </w:tr>
      <w:tr w14:paraId="19C8CCF9">
        <w:tblPrEx>
          <w:tblCellMar>
            <w:top w:w="0" w:type="dxa"/>
            <w:left w:w="0" w:type="dxa"/>
            <w:bottom w:w="0" w:type="dxa"/>
            <w:right w:w="0" w:type="dxa"/>
          </w:tblCellMar>
        </w:tblPrEx>
        <w:trPr>
          <w:wBefore w:w="0" w:type="auto"/>
          <w:tblCellSpacing w:w="0" w:type="dxa"/>
        </w:trPr>
        <w:tc>
          <w:tcPr>
            <w:tcW w:w="0" w:type="auto"/>
            <w:noWrap w:val="0"/>
            <w:vAlign w:val="center"/>
          </w:tcPr>
          <w:p w14:paraId="65D3B48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2E866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12804A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5013A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3FCBEE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67B6FE0">
                  <w:r>
                    <w:rPr>
                      <w:rStyle w:val="11"/>
                      <w:rFonts w:hint="eastAsia"/>
                    </w:rPr>
                    <w:t>施用方式</w:t>
                  </w:r>
                </w:p>
              </w:tc>
            </w:tr>
            <w:tr w14:paraId="2E46A2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838D83A">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3FFA60">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1D28E5">
                  <w:r>
                    <w:rPr>
                      <w:rStyle w:val="11"/>
                      <w:rFonts w:hint="eastAsia"/>
                    </w:rPr>
                    <w:t>1700-2500倍液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138DBC">
                  <w:r>
                    <w:rPr>
                      <w:rStyle w:val="11"/>
                      <w:rFonts w:hint="eastAsia"/>
                    </w:rPr>
                    <w:t>喷雾</w:t>
                  </w:r>
                </w:p>
              </w:tc>
            </w:tr>
          </w:tbl>
          <w:p w14:paraId="075228AA">
            <w:pPr>
              <w:rPr>
                <w:rFonts w:ascii="Times New Roman" w:hAnsi="Times New Roman" w:cs="Times New Roman"/>
                <w:sz w:val="20"/>
                <w:szCs w:val="20"/>
              </w:rPr>
            </w:pPr>
          </w:p>
        </w:tc>
      </w:tr>
      <w:tr w14:paraId="1BDDE174">
        <w:tblPrEx>
          <w:tblCellMar>
            <w:top w:w="0" w:type="dxa"/>
            <w:left w:w="0" w:type="dxa"/>
            <w:bottom w:w="0" w:type="dxa"/>
            <w:right w:w="0" w:type="dxa"/>
          </w:tblCellMar>
        </w:tblPrEx>
        <w:trPr>
          <w:wBefore w:w="0" w:type="auto"/>
          <w:tblCellSpacing w:w="0" w:type="dxa"/>
        </w:trPr>
        <w:tc>
          <w:tcPr>
            <w:tcW w:w="0" w:type="auto"/>
            <w:noWrap w:val="0"/>
            <w:vAlign w:val="center"/>
          </w:tcPr>
          <w:p w14:paraId="5EEED9C4">
            <w:r>
              <w:rPr>
                <w:rStyle w:val="10"/>
                <w:rFonts w:hint="eastAsia"/>
              </w:rPr>
              <w:t>使用技术要求:</w:t>
            </w:r>
            <w:r>
              <w:rPr>
                <w:rFonts w:hint="eastAsia"/>
              </w:rPr>
              <w:br w:type="textWrapping"/>
            </w:r>
            <w:r>
              <w:rPr>
                <w:rStyle w:val="11"/>
                <w:rFonts w:hint="eastAsia"/>
              </w:rPr>
              <w:t>1. 在葡萄霜霉病发病前或初期进行常规喷雾，视病害发生情况可用药2-3次，间隔7天左右1次。2. 大风天气或预计1小时内降雨，请勿施药。3. 本品在葡萄上的安全间隔期为14天，每季作物最多使用3次。</w:t>
            </w:r>
          </w:p>
        </w:tc>
      </w:tr>
      <w:tr w14:paraId="29E3C2F4">
        <w:tblPrEx>
          <w:tblCellMar>
            <w:top w:w="0" w:type="dxa"/>
            <w:left w:w="0" w:type="dxa"/>
            <w:bottom w:w="0" w:type="dxa"/>
            <w:right w:w="0" w:type="dxa"/>
          </w:tblCellMar>
        </w:tblPrEx>
        <w:trPr>
          <w:wBefore w:w="0" w:type="auto"/>
          <w:tblCellSpacing w:w="0" w:type="dxa"/>
        </w:trPr>
        <w:tc>
          <w:tcPr>
            <w:tcW w:w="0" w:type="auto"/>
            <w:noWrap w:val="0"/>
            <w:vAlign w:val="center"/>
          </w:tcPr>
          <w:p w14:paraId="273DE31D">
            <w:r>
              <w:rPr>
                <w:rStyle w:val="10"/>
                <w:rFonts w:hint="eastAsia"/>
              </w:rPr>
              <w:t>产品性能:</w:t>
            </w:r>
            <w:r>
              <w:rPr>
                <w:rFonts w:hint="eastAsia"/>
              </w:rPr>
              <w:br w:type="textWrapping"/>
            </w:r>
            <w:r>
              <w:rPr>
                <w:rStyle w:val="11"/>
                <w:rFonts w:hint="eastAsia"/>
              </w:rPr>
              <w:t>本品是烯酰吗啉与氰霜唑复配而成的杀菌剂，烯酰吗啉能破坏卵菌纲真菌细胞壁膜的形成，具有较强内吸性；氰霜唑能阻碍卵菌类病害的各个生长阶段，具有很好的保护活性和内吸治疗活性。两者复配对葡萄霜霉病有良好的防治效果。</w:t>
            </w:r>
          </w:p>
        </w:tc>
      </w:tr>
      <w:tr w14:paraId="628EE548">
        <w:tblPrEx>
          <w:tblCellMar>
            <w:top w:w="0" w:type="dxa"/>
            <w:left w:w="0" w:type="dxa"/>
            <w:bottom w:w="0" w:type="dxa"/>
            <w:right w:w="0" w:type="dxa"/>
          </w:tblCellMar>
        </w:tblPrEx>
        <w:trPr>
          <w:wBefore w:w="0" w:type="auto"/>
          <w:tblCellSpacing w:w="0" w:type="dxa"/>
        </w:trPr>
        <w:tc>
          <w:tcPr>
            <w:tcW w:w="0" w:type="auto"/>
            <w:noWrap w:val="0"/>
            <w:vAlign w:val="center"/>
          </w:tcPr>
          <w:p w14:paraId="6461BC20">
            <w:r>
              <w:rPr>
                <w:rStyle w:val="10"/>
                <w:rFonts w:hint="eastAsia"/>
              </w:rPr>
              <w:t>注意事项：</w:t>
            </w:r>
            <w:r>
              <w:rPr>
                <w:rFonts w:hint="eastAsia"/>
              </w:rPr>
              <w:br w:type="textWrapping"/>
            </w:r>
            <w:r>
              <w:rPr>
                <w:rStyle w:val="11"/>
                <w:rFonts w:hint="eastAsia"/>
              </w:rPr>
              <w:t>1.本品不可与强酸强碱性物质混用。2. 使用时穿戴长衣、长裤、帽子、口罩、手套等防护措施，不可吸烟、饮水、进食；施药后洗净手、脸及其他裸露部位，洗净工作服。3.本品对水溞等水生生物有毒，水产养殖区、河塘等水体附近禁用施药，禁止在河塘等水体中清洗施药器具；蚕室及桑园附近禁用。4.用过的容器应妥善处理，不可作他用，也不可随意丢弃，药液及其废液不得污染各类水域、土壤等环境。5.孕妇及哺乳期妇女避免接触本品。</w:t>
            </w:r>
          </w:p>
        </w:tc>
      </w:tr>
      <w:tr w14:paraId="1E5B72AA">
        <w:tblPrEx>
          <w:tblCellMar>
            <w:top w:w="0" w:type="dxa"/>
            <w:left w:w="0" w:type="dxa"/>
            <w:bottom w:w="0" w:type="dxa"/>
            <w:right w:w="0" w:type="dxa"/>
          </w:tblCellMar>
        </w:tblPrEx>
        <w:trPr>
          <w:wBefore w:w="0" w:type="auto"/>
          <w:tblCellSpacing w:w="0" w:type="dxa"/>
        </w:trPr>
        <w:tc>
          <w:tcPr>
            <w:tcW w:w="0" w:type="auto"/>
            <w:noWrap w:val="0"/>
            <w:vAlign w:val="center"/>
          </w:tcPr>
          <w:p w14:paraId="6EC0E45A">
            <w:r>
              <w:rPr>
                <w:rStyle w:val="10"/>
                <w:rFonts w:hint="eastAsia"/>
              </w:rPr>
              <w:t>中毒急救措施：</w:t>
            </w:r>
            <w:r>
              <w:rPr>
                <w:rFonts w:hint="eastAsia"/>
              </w:rPr>
              <w:br w:type="textWrapping"/>
            </w:r>
            <w:r>
              <w:rPr>
                <w:rStyle w:val="11"/>
                <w:rFonts w:hint="eastAsia"/>
              </w:rPr>
              <w:t>1.皮肤接触：立即脱掉被污染的衣物，用大量清水和肥皂冲洗皮肤。 2.眼睛溅入：立即用流动清水冲洗不少于15分钟。如症状持续，携此标签去医院诊治。3.不慎吸入：立即将吸入者移至空气流通处，请医生诊治。4.误食：勿引吐，立即携此标签送医就诊，对症治疗，无特效解毒药。</w:t>
            </w:r>
          </w:p>
        </w:tc>
      </w:tr>
      <w:tr w14:paraId="54D0C353">
        <w:tblPrEx>
          <w:tblCellMar>
            <w:top w:w="0" w:type="dxa"/>
            <w:left w:w="0" w:type="dxa"/>
            <w:bottom w:w="0" w:type="dxa"/>
            <w:right w:w="0" w:type="dxa"/>
          </w:tblCellMar>
        </w:tblPrEx>
        <w:trPr>
          <w:wBefore w:w="0" w:type="auto"/>
          <w:tblCellSpacing w:w="0" w:type="dxa"/>
        </w:trPr>
        <w:tc>
          <w:tcPr>
            <w:tcW w:w="0" w:type="auto"/>
            <w:noWrap w:val="0"/>
            <w:vAlign w:val="center"/>
          </w:tcPr>
          <w:p w14:paraId="4CBA13ED">
            <w:r>
              <w:rPr>
                <w:rStyle w:val="10"/>
                <w:rFonts w:hint="eastAsia"/>
              </w:rPr>
              <w:t>储存和运输方法：</w:t>
            </w:r>
            <w:r>
              <w:rPr>
                <w:rFonts w:hint="eastAsia"/>
              </w:rPr>
              <w:br w:type="textWrapping"/>
            </w:r>
            <w:r>
              <w:rPr>
                <w:rStyle w:val="11"/>
                <w:rFonts w:hint="eastAsia"/>
              </w:rPr>
              <w:t>本品应贮存在干燥、阴凉、通风处，远离火源或热源。置于儿童、无关人员触及不到之处，并加锁。勿与食品、饮料、饲料、粮食等同贮同运。</w:t>
            </w:r>
          </w:p>
        </w:tc>
      </w:tr>
      <w:tr w14:paraId="1894E160">
        <w:tblPrEx>
          <w:tblCellMar>
            <w:top w:w="0" w:type="dxa"/>
            <w:left w:w="0" w:type="dxa"/>
            <w:bottom w:w="0" w:type="dxa"/>
            <w:right w:w="0" w:type="dxa"/>
          </w:tblCellMar>
        </w:tblPrEx>
        <w:trPr>
          <w:wBefore w:w="0" w:type="auto"/>
          <w:tblCellSpacing w:w="0" w:type="dxa"/>
        </w:trPr>
        <w:tc>
          <w:tcPr>
            <w:tcW w:w="0" w:type="auto"/>
            <w:noWrap w:val="0"/>
            <w:vAlign w:val="center"/>
          </w:tcPr>
          <w:p w14:paraId="44254ACE">
            <w:r>
              <w:rPr>
                <w:rStyle w:val="10"/>
                <w:rFonts w:hint="eastAsia"/>
              </w:rPr>
              <w:t>质量保证期：</w:t>
            </w:r>
            <w:r>
              <w:rPr>
                <w:rStyle w:val="11"/>
                <w:rFonts w:hint="eastAsia"/>
              </w:rPr>
              <w:t>2年</w:t>
            </w:r>
          </w:p>
        </w:tc>
      </w:tr>
      <w:tr w14:paraId="705D1C02">
        <w:tblPrEx>
          <w:tblCellMar>
            <w:top w:w="0" w:type="dxa"/>
            <w:left w:w="0" w:type="dxa"/>
            <w:bottom w:w="0" w:type="dxa"/>
            <w:right w:w="0" w:type="dxa"/>
          </w:tblCellMar>
        </w:tblPrEx>
        <w:trPr>
          <w:wBefore w:w="0" w:type="auto"/>
          <w:tblCellSpacing w:w="0" w:type="dxa"/>
        </w:trPr>
        <w:tc>
          <w:tcPr>
            <w:tcW w:w="0" w:type="auto"/>
            <w:noWrap w:val="0"/>
            <w:vAlign w:val="center"/>
          </w:tcPr>
          <w:p w14:paraId="1DEC3978">
            <w:r>
              <w:rPr>
                <w:rStyle w:val="10"/>
                <w:rFonts w:hint="eastAsia"/>
              </w:rPr>
              <w:t>备注：</w:t>
            </w:r>
          </w:p>
        </w:tc>
      </w:tr>
    </w:tbl>
    <w:p w14:paraId="7051377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EA2E13">
        <w:tblPrEx>
          <w:tblCellMar>
            <w:top w:w="0" w:type="dxa"/>
            <w:left w:w="0" w:type="dxa"/>
            <w:bottom w:w="0" w:type="dxa"/>
            <w:right w:w="0" w:type="dxa"/>
          </w:tblCellMar>
        </w:tblPrEx>
        <w:trPr>
          <w:wBefore w:w="0" w:type="auto"/>
          <w:tblCellSpacing w:w="0" w:type="dxa"/>
        </w:trPr>
        <w:tc>
          <w:tcPr>
            <w:tcW w:w="0" w:type="auto"/>
            <w:noWrap w:val="0"/>
            <w:vAlign w:val="center"/>
          </w:tcPr>
          <w:p w14:paraId="35675B9E">
            <w:r>
              <w:rPr>
                <w:rStyle w:val="10"/>
                <w:rFonts w:hint="eastAsia"/>
              </w:rPr>
              <w:t>登记证号：</w:t>
            </w:r>
            <w:r>
              <w:rPr>
                <w:rFonts w:hint="eastAsia"/>
              </w:rPr>
              <w:t>PD20212103</w:t>
            </w:r>
          </w:p>
        </w:tc>
      </w:tr>
      <w:tr w14:paraId="2CF43E4E">
        <w:tblPrEx>
          <w:tblCellMar>
            <w:top w:w="0" w:type="dxa"/>
            <w:left w:w="0" w:type="dxa"/>
            <w:bottom w:w="0" w:type="dxa"/>
            <w:right w:w="0" w:type="dxa"/>
          </w:tblCellMar>
        </w:tblPrEx>
        <w:trPr>
          <w:wBefore w:w="0" w:type="auto"/>
          <w:tblCellSpacing w:w="0" w:type="dxa"/>
        </w:trPr>
        <w:tc>
          <w:tcPr>
            <w:tcW w:w="0" w:type="auto"/>
            <w:noWrap w:val="0"/>
            <w:vAlign w:val="center"/>
          </w:tcPr>
          <w:p w14:paraId="69EDC90B">
            <w:r>
              <w:rPr>
                <w:rStyle w:val="10"/>
                <w:rFonts w:hint="eastAsia"/>
              </w:rPr>
              <w:t>登记证持有人：</w:t>
            </w:r>
            <w:r>
              <w:rPr>
                <w:rFonts w:hint="eastAsia"/>
              </w:rPr>
              <w:t>江西中迅农化有限公司</w:t>
            </w:r>
          </w:p>
        </w:tc>
      </w:tr>
      <w:tr w14:paraId="3AD18772">
        <w:tblPrEx>
          <w:tblCellMar>
            <w:top w:w="0" w:type="dxa"/>
            <w:left w:w="0" w:type="dxa"/>
            <w:bottom w:w="0" w:type="dxa"/>
            <w:right w:w="0" w:type="dxa"/>
          </w:tblCellMar>
        </w:tblPrEx>
        <w:trPr>
          <w:wBefore w:w="0" w:type="auto"/>
          <w:tblCellSpacing w:w="0" w:type="dxa"/>
        </w:trPr>
        <w:tc>
          <w:tcPr>
            <w:tcW w:w="0" w:type="auto"/>
            <w:noWrap w:val="0"/>
            <w:vAlign w:val="center"/>
          </w:tcPr>
          <w:p w14:paraId="16E7BBFB">
            <w:r>
              <w:rPr>
                <w:rStyle w:val="10"/>
                <w:rFonts w:hint="eastAsia"/>
              </w:rPr>
              <w:t>农药名称：</w:t>
            </w:r>
            <w:r>
              <w:rPr>
                <w:rFonts w:hint="eastAsia"/>
              </w:rPr>
              <w:t>敌稗·氰氟草酯</w:t>
            </w:r>
          </w:p>
        </w:tc>
      </w:tr>
      <w:tr w14:paraId="7F12E942">
        <w:tblPrEx>
          <w:tblCellMar>
            <w:top w:w="0" w:type="dxa"/>
            <w:left w:w="0" w:type="dxa"/>
            <w:bottom w:w="0" w:type="dxa"/>
            <w:right w:w="0" w:type="dxa"/>
          </w:tblCellMar>
        </w:tblPrEx>
        <w:trPr>
          <w:wBefore w:w="0" w:type="auto"/>
          <w:tblCellSpacing w:w="0" w:type="dxa"/>
        </w:trPr>
        <w:tc>
          <w:tcPr>
            <w:tcW w:w="0" w:type="auto"/>
            <w:noWrap w:val="0"/>
            <w:vAlign w:val="center"/>
          </w:tcPr>
          <w:p w14:paraId="3540F7D1">
            <w:r>
              <w:rPr>
                <w:rStyle w:val="10"/>
                <w:rFonts w:hint="eastAsia"/>
              </w:rPr>
              <w:t>剂型：</w:t>
            </w:r>
            <w:r>
              <w:rPr>
                <w:rFonts w:hint="eastAsia"/>
              </w:rPr>
              <w:t>乳油</w:t>
            </w:r>
          </w:p>
        </w:tc>
      </w:tr>
      <w:tr w14:paraId="38C12B11">
        <w:tblPrEx>
          <w:tblCellMar>
            <w:top w:w="0" w:type="dxa"/>
            <w:left w:w="0" w:type="dxa"/>
            <w:bottom w:w="0" w:type="dxa"/>
            <w:right w:w="0" w:type="dxa"/>
          </w:tblCellMar>
        </w:tblPrEx>
        <w:trPr>
          <w:wBefore w:w="0" w:type="auto"/>
          <w:tblCellSpacing w:w="0" w:type="dxa"/>
        </w:trPr>
        <w:tc>
          <w:tcPr>
            <w:tcW w:w="0" w:type="auto"/>
            <w:noWrap w:val="0"/>
            <w:vAlign w:val="center"/>
          </w:tcPr>
          <w:p w14:paraId="4C868BDB">
            <w:r>
              <w:rPr>
                <w:rStyle w:val="10"/>
                <w:rFonts w:hint="eastAsia"/>
              </w:rPr>
              <w:t>毒性及其标识：</w:t>
            </w:r>
            <w:r>
              <w:rPr>
                <w:rFonts w:hint="eastAsia"/>
              </w:rPr>
              <w:t xml:space="preserve"> </w:t>
            </w:r>
            <w:r>
              <w:rPr>
                <w:lang/>
              </w:rPr>
              <w:drawing>
                <wp:inline distT="0" distB="0" distL="114300" distR="114300">
                  <wp:extent cx="476250" cy="323850"/>
                  <wp:effectExtent l="0" t="0" r="0" b="0"/>
                  <wp:docPr id="36" name="图片 3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28F032C">
        <w:tblPrEx>
          <w:tblCellMar>
            <w:top w:w="0" w:type="dxa"/>
            <w:left w:w="0" w:type="dxa"/>
            <w:bottom w:w="0" w:type="dxa"/>
            <w:right w:w="0" w:type="dxa"/>
          </w:tblCellMar>
        </w:tblPrEx>
        <w:trPr>
          <w:wBefore w:w="0" w:type="auto"/>
          <w:tblCellSpacing w:w="0" w:type="dxa"/>
        </w:trPr>
        <w:tc>
          <w:tcPr>
            <w:tcW w:w="0" w:type="auto"/>
            <w:noWrap w:val="0"/>
            <w:vAlign w:val="center"/>
          </w:tcPr>
          <w:p w14:paraId="142DB3A8">
            <w:r>
              <w:rPr>
                <w:rStyle w:val="10"/>
                <w:rFonts w:hint="eastAsia"/>
              </w:rPr>
              <w:t>总有效成分含量：</w:t>
            </w:r>
            <w:r>
              <w:rPr>
                <w:rFonts w:hint="eastAsia"/>
              </w:rPr>
              <w:t>39%</w:t>
            </w:r>
          </w:p>
        </w:tc>
      </w:tr>
      <w:tr w14:paraId="1F40E2F9">
        <w:tblPrEx>
          <w:tblCellMar>
            <w:top w:w="0" w:type="dxa"/>
            <w:left w:w="0" w:type="dxa"/>
            <w:bottom w:w="0" w:type="dxa"/>
            <w:right w:w="0" w:type="dxa"/>
          </w:tblCellMar>
        </w:tblPrEx>
        <w:trPr>
          <w:wBefore w:w="0" w:type="auto"/>
          <w:tblCellSpacing w:w="0" w:type="dxa"/>
        </w:trPr>
        <w:tc>
          <w:tcPr>
            <w:tcW w:w="0" w:type="auto"/>
            <w:noWrap w:val="0"/>
            <w:vAlign w:val="center"/>
          </w:tcPr>
          <w:p w14:paraId="52B3CB15">
            <w:r>
              <w:rPr>
                <w:rFonts w:hint="eastAsia"/>
              </w:rPr>
              <w:t xml:space="preserve">有效成分及其含量： </w:t>
            </w:r>
          </w:p>
          <w:p w14:paraId="4C441CAF">
            <w:r>
              <w:rPr>
                <w:rFonts w:hint="eastAsia"/>
              </w:rPr>
              <w:t xml:space="preserve">    敌稗24%    氰氟草酯15%    </w:t>
            </w:r>
          </w:p>
        </w:tc>
      </w:tr>
      <w:tr w14:paraId="069B69D3">
        <w:tblPrEx>
          <w:tblCellMar>
            <w:top w:w="0" w:type="dxa"/>
            <w:left w:w="0" w:type="dxa"/>
            <w:bottom w:w="0" w:type="dxa"/>
            <w:right w:w="0" w:type="dxa"/>
          </w:tblCellMar>
        </w:tblPrEx>
        <w:trPr>
          <w:wBefore w:w="0" w:type="auto"/>
          <w:tblCellSpacing w:w="0" w:type="dxa"/>
        </w:trPr>
        <w:tc>
          <w:tcPr>
            <w:tcW w:w="0" w:type="auto"/>
            <w:noWrap w:val="0"/>
            <w:vAlign w:val="center"/>
          </w:tcPr>
          <w:p w14:paraId="160E6C7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CE70E2F">
              <w:tblPrEx>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06FC5B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13EEDF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F0EEB9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E5B7D3">
                  <w:r>
                    <w:rPr>
                      <w:rStyle w:val="11"/>
                      <w:rFonts w:hint="eastAsia"/>
                    </w:rPr>
                    <w:t>施用方式</w:t>
                  </w:r>
                </w:p>
              </w:tc>
            </w:tr>
            <w:tr w14:paraId="4C000F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B4055B2">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74A282">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A22187">
                  <w:r>
                    <w:rPr>
                      <w:rStyle w:val="11"/>
                      <w:rFonts w:hint="eastAsia"/>
                    </w:rPr>
                    <w:t>50-60毫升/亩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372686">
                  <w:r>
                    <w:rPr>
                      <w:rStyle w:val="11"/>
                      <w:rFonts w:hint="eastAsia"/>
                    </w:rPr>
                    <w:t>茎叶喷雾</w:t>
                  </w:r>
                </w:p>
              </w:tc>
            </w:tr>
          </w:tbl>
          <w:p w14:paraId="52A6752D">
            <w:pPr>
              <w:rPr>
                <w:rFonts w:ascii="Times New Roman" w:hAnsi="Times New Roman" w:cs="Times New Roman"/>
                <w:sz w:val="20"/>
                <w:szCs w:val="20"/>
              </w:rPr>
            </w:pPr>
          </w:p>
        </w:tc>
      </w:tr>
      <w:tr w14:paraId="2433E6B6">
        <w:tblPrEx>
          <w:tblCellMar>
            <w:top w:w="0" w:type="dxa"/>
            <w:left w:w="0" w:type="dxa"/>
            <w:bottom w:w="0" w:type="dxa"/>
            <w:right w:w="0" w:type="dxa"/>
          </w:tblCellMar>
        </w:tblPrEx>
        <w:trPr>
          <w:wBefore w:w="0" w:type="auto"/>
          <w:tblCellSpacing w:w="0" w:type="dxa"/>
        </w:trPr>
        <w:tc>
          <w:tcPr>
            <w:tcW w:w="0" w:type="auto"/>
            <w:noWrap w:val="0"/>
            <w:vAlign w:val="center"/>
          </w:tcPr>
          <w:p w14:paraId="648FDC5D">
            <w:r>
              <w:rPr>
                <w:rStyle w:val="10"/>
                <w:rFonts w:hint="eastAsia"/>
              </w:rPr>
              <w:t>使用技术要求:</w:t>
            </w:r>
            <w:r>
              <w:rPr>
                <w:rFonts w:hint="eastAsia"/>
              </w:rPr>
              <w:br w:type="textWrapping"/>
            </w:r>
            <w:r>
              <w:rPr>
                <w:rStyle w:val="11"/>
                <w:rFonts w:hint="eastAsia"/>
              </w:rPr>
              <w:t>1. 于直播田水稻3-5叶期，禾本科杂草2-4叶期，茎叶喷雾施药。施药前排干田水，保持土壤湿润，药后2天灌水2-5厘米水层，水深以不淹没水稻心叶为准，保水5-7天以后正常管理。勿淹没水稻心叶，避免药害。施药时防止药液飘移到邻近作物，以免产生药害。 2. 大风天或预计1小时内有雨，请勿施药。 3. 每季作物最多施药1次期。</w:t>
            </w:r>
          </w:p>
        </w:tc>
      </w:tr>
      <w:tr w14:paraId="3D8B28C3">
        <w:tblPrEx>
          <w:tblCellMar>
            <w:top w:w="0" w:type="dxa"/>
            <w:left w:w="0" w:type="dxa"/>
            <w:bottom w:w="0" w:type="dxa"/>
            <w:right w:w="0" w:type="dxa"/>
          </w:tblCellMar>
        </w:tblPrEx>
        <w:trPr>
          <w:wBefore w:w="0" w:type="auto"/>
          <w:tblCellSpacing w:w="0" w:type="dxa"/>
        </w:trPr>
        <w:tc>
          <w:tcPr>
            <w:tcW w:w="0" w:type="auto"/>
            <w:noWrap w:val="0"/>
            <w:vAlign w:val="center"/>
          </w:tcPr>
          <w:p w14:paraId="147F5A7E">
            <w:r>
              <w:rPr>
                <w:rStyle w:val="10"/>
                <w:rFonts w:hint="eastAsia"/>
              </w:rPr>
              <w:t>产品性能:</w:t>
            </w:r>
            <w:r>
              <w:rPr>
                <w:rFonts w:hint="eastAsia"/>
              </w:rPr>
              <w:br w:type="textWrapping"/>
            </w:r>
            <w:r>
              <w:rPr>
                <w:rStyle w:val="11"/>
                <w:rFonts w:hint="eastAsia"/>
              </w:rPr>
              <w:t>本品是由敌稗与氰氟草酯混配而成的除草剂，可有效防除水稻田(直播)一年生禾本科杂草，对作物安全性高。</w:t>
            </w:r>
          </w:p>
        </w:tc>
      </w:tr>
      <w:tr w14:paraId="7DB658B2">
        <w:tblPrEx>
          <w:tblCellMar>
            <w:top w:w="0" w:type="dxa"/>
            <w:left w:w="0" w:type="dxa"/>
            <w:bottom w:w="0" w:type="dxa"/>
            <w:right w:w="0" w:type="dxa"/>
          </w:tblCellMar>
        </w:tblPrEx>
        <w:trPr>
          <w:wBefore w:w="0" w:type="auto"/>
          <w:tblCellSpacing w:w="0" w:type="dxa"/>
        </w:trPr>
        <w:tc>
          <w:tcPr>
            <w:tcW w:w="0" w:type="auto"/>
            <w:noWrap w:val="0"/>
            <w:vAlign w:val="center"/>
          </w:tcPr>
          <w:p w14:paraId="66999A75">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本品对眼睛有刺激性，使用时避免接触眼睛，穿戴长衣、长裤、帽子、口罩、手套等防护措施，避免吸入药液；施药期间不可吃东西、饮水、吸烟等；施药后应及时洗手、洗脸并洗涤施药时穿着的衣物。 2. 水产养殖区、河塘等水体附近禁用，禁止在河塘等水域清洗施药器具；鱼或虾蟹套养稻田禁用，施药后的田水不得直接排入水体。 蚕室和桑园附近禁用。 3. 用过的容器要妥善处理，不可作他用，也不可随意丢弃。 4. 孕妇及哺乳期妇女禁止接触。</w:t>
            </w:r>
          </w:p>
        </w:tc>
      </w:tr>
      <w:tr w14:paraId="20F7863B">
        <w:tblPrEx>
          <w:tblCellMar>
            <w:top w:w="0" w:type="dxa"/>
            <w:left w:w="0" w:type="dxa"/>
            <w:bottom w:w="0" w:type="dxa"/>
            <w:right w:w="0" w:type="dxa"/>
          </w:tblCellMar>
        </w:tblPrEx>
        <w:trPr>
          <w:wBefore w:w="0" w:type="auto"/>
          <w:tblCellSpacing w:w="0" w:type="dxa"/>
        </w:trPr>
        <w:tc>
          <w:tcPr>
            <w:tcW w:w="0" w:type="auto"/>
            <w:noWrap w:val="0"/>
            <w:vAlign w:val="center"/>
          </w:tcPr>
          <w:p w14:paraId="7FF7F8BC">
            <w:r>
              <w:rPr>
                <w:rStyle w:val="10"/>
                <w:rFonts w:hint="eastAsia"/>
              </w:rPr>
              <w:t>中毒急救措施：</w:t>
            </w:r>
            <w:r>
              <w:rPr>
                <w:rFonts w:hint="eastAsia"/>
              </w:rPr>
              <w:br w:type="textWrapping"/>
            </w:r>
            <w:r>
              <w:rPr>
                <w:rStyle w:val="11"/>
                <w:rFonts w:hint="eastAsia"/>
              </w:rPr>
              <w:t>使用中或使用后若感觉不适，应立即停止工作，采取急救措施。如不慎接触皮肤或溅入眼内，立即用大量清水冲洗至少15分钟。误食应立即携带此标签送医院对症治疗。</w:t>
            </w:r>
          </w:p>
        </w:tc>
      </w:tr>
      <w:tr w14:paraId="2C87E747">
        <w:tblPrEx>
          <w:tblCellMar>
            <w:top w:w="0" w:type="dxa"/>
            <w:left w:w="0" w:type="dxa"/>
            <w:bottom w:w="0" w:type="dxa"/>
            <w:right w:w="0" w:type="dxa"/>
          </w:tblCellMar>
        </w:tblPrEx>
        <w:trPr>
          <w:wBefore w:w="0" w:type="auto"/>
          <w:tblCellSpacing w:w="0" w:type="dxa"/>
        </w:trPr>
        <w:tc>
          <w:tcPr>
            <w:tcW w:w="0" w:type="auto"/>
            <w:noWrap w:val="0"/>
            <w:vAlign w:val="center"/>
          </w:tcPr>
          <w:p w14:paraId="5519FC3A">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本品应贮存在干燥、阴凉、通风、防雨处，远离火源或热源。置于儿童、无关人员接触不到的地方，并加锁。不能与食品、饮料、粮食、饲料等混合储运。</w:t>
            </w:r>
          </w:p>
        </w:tc>
      </w:tr>
      <w:tr w14:paraId="2BE6C318">
        <w:tblPrEx>
          <w:tblCellMar>
            <w:top w:w="0" w:type="dxa"/>
            <w:left w:w="0" w:type="dxa"/>
            <w:bottom w:w="0" w:type="dxa"/>
            <w:right w:w="0" w:type="dxa"/>
          </w:tblCellMar>
        </w:tblPrEx>
        <w:trPr>
          <w:wBefore w:w="0" w:type="auto"/>
          <w:tblCellSpacing w:w="0" w:type="dxa"/>
        </w:trPr>
        <w:tc>
          <w:tcPr>
            <w:tcW w:w="0" w:type="auto"/>
            <w:noWrap w:val="0"/>
            <w:vAlign w:val="center"/>
          </w:tcPr>
          <w:p w14:paraId="7FDC9DEF">
            <w:r>
              <w:rPr>
                <w:rStyle w:val="10"/>
                <w:rFonts w:hint="eastAsia"/>
              </w:rPr>
              <w:t>质量保证期：</w:t>
            </w:r>
            <w:r>
              <w:rPr>
                <w:rStyle w:val="11"/>
                <w:rFonts w:hint="eastAsia"/>
              </w:rPr>
              <w:t>2年</w:t>
            </w:r>
          </w:p>
        </w:tc>
      </w:tr>
      <w:tr w14:paraId="00F7CAF5">
        <w:tblPrEx>
          <w:tblCellMar>
            <w:top w:w="0" w:type="dxa"/>
            <w:left w:w="0" w:type="dxa"/>
            <w:bottom w:w="0" w:type="dxa"/>
            <w:right w:w="0" w:type="dxa"/>
          </w:tblCellMar>
        </w:tblPrEx>
        <w:trPr>
          <w:wBefore w:w="0" w:type="auto"/>
          <w:tblCellSpacing w:w="0" w:type="dxa"/>
        </w:trPr>
        <w:tc>
          <w:tcPr>
            <w:tcW w:w="0" w:type="auto"/>
            <w:noWrap w:val="0"/>
            <w:vAlign w:val="center"/>
          </w:tcPr>
          <w:p w14:paraId="45317278">
            <w:r>
              <w:rPr>
                <w:rStyle w:val="10"/>
                <w:rFonts w:hint="eastAsia"/>
              </w:rPr>
              <w:t>备注：</w:t>
            </w:r>
          </w:p>
        </w:tc>
      </w:tr>
    </w:tbl>
    <w:p w14:paraId="114ED4F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0E7AE0">
        <w:tblPrEx>
          <w:tblCellMar>
            <w:top w:w="0" w:type="dxa"/>
            <w:left w:w="0" w:type="dxa"/>
            <w:bottom w:w="0" w:type="dxa"/>
            <w:right w:w="0" w:type="dxa"/>
          </w:tblCellMar>
        </w:tblPrEx>
        <w:trPr>
          <w:wBefore w:w="0" w:type="auto"/>
          <w:tblCellSpacing w:w="0" w:type="dxa"/>
        </w:trPr>
        <w:tc>
          <w:tcPr>
            <w:tcW w:w="0" w:type="auto"/>
            <w:noWrap w:val="0"/>
            <w:vAlign w:val="center"/>
          </w:tcPr>
          <w:p w14:paraId="59CD575F">
            <w:r>
              <w:rPr>
                <w:rStyle w:val="10"/>
                <w:rFonts w:hint="eastAsia"/>
              </w:rPr>
              <w:t>登记证号：</w:t>
            </w:r>
            <w:r>
              <w:rPr>
                <w:rFonts w:hint="eastAsia"/>
              </w:rPr>
              <w:t>PD20212171</w:t>
            </w:r>
          </w:p>
        </w:tc>
      </w:tr>
      <w:tr w14:paraId="39D1182F">
        <w:tblPrEx>
          <w:tblCellMar>
            <w:top w:w="0" w:type="dxa"/>
            <w:left w:w="0" w:type="dxa"/>
            <w:bottom w:w="0" w:type="dxa"/>
            <w:right w:w="0" w:type="dxa"/>
          </w:tblCellMar>
        </w:tblPrEx>
        <w:trPr>
          <w:wBefore w:w="0" w:type="auto"/>
          <w:tblCellSpacing w:w="0" w:type="dxa"/>
        </w:trPr>
        <w:tc>
          <w:tcPr>
            <w:tcW w:w="0" w:type="auto"/>
            <w:noWrap w:val="0"/>
            <w:vAlign w:val="center"/>
          </w:tcPr>
          <w:p w14:paraId="60102161">
            <w:r>
              <w:rPr>
                <w:rStyle w:val="10"/>
                <w:rFonts w:hint="eastAsia"/>
              </w:rPr>
              <w:t>登记证持有人：</w:t>
            </w:r>
            <w:r>
              <w:rPr>
                <w:rFonts w:hint="eastAsia"/>
              </w:rPr>
              <w:t>侨昌现代农业有限公司</w:t>
            </w:r>
          </w:p>
        </w:tc>
      </w:tr>
      <w:tr w14:paraId="5BBDD41F">
        <w:tblPrEx>
          <w:tblCellMar>
            <w:top w:w="0" w:type="dxa"/>
            <w:left w:w="0" w:type="dxa"/>
            <w:bottom w:w="0" w:type="dxa"/>
            <w:right w:w="0" w:type="dxa"/>
          </w:tblCellMar>
        </w:tblPrEx>
        <w:trPr>
          <w:wBefore w:w="0" w:type="auto"/>
          <w:tblCellSpacing w:w="0" w:type="dxa"/>
        </w:trPr>
        <w:tc>
          <w:tcPr>
            <w:tcW w:w="0" w:type="auto"/>
            <w:noWrap w:val="0"/>
            <w:vAlign w:val="center"/>
          </w:tcPr>
          <w:p w14:paraId="73366794">
            <w:r>
              <w:rPr>
                <w:rStyle w:val="10"/>
                <w:rFonts w:hint="eastAsia"/>
              </w:rPr>
              <w:t>农药名称：</w:t>
            </w:r>
            <w:r>
              <w:rPr>
                <w:rFonts w:hint="eastAsia"/>
              </w:rPr>
              <w:t>氯吡酯·双氟草·炔草酯</w:t>
            </w:r>
          </w:p>
        </w:tc>
      </w:tr>
      <w:tr w14:paraId="32D74982">
        <w:tblPrEx>
          <w:tblCellMar>
            <w:top w:w="0" w:type="dxa"/>
            <w:left w:w="0" w:type="dxa"/>
            <w:bottom w:w="0" w:type="dxa"/>
            <w:right w:w="0" w:type="dxa"/>
          </w:tblCellMar>
        </w:tblPrEx>
        <w:trPr>
          <w:wBefore w:w="0" w:type="auto"/>
          <w:tblCellSpacing w:w="0" w:type="dxa"/>
        </w:trPr>
        <w:tc>
          <w:tcPr>
            <w:tcW w:w="0" w:type="auto"/>
            <w:noWrap w:val="0"/>
            <w:vAlign w:val="center"/>
          </w:tcPr>
          <w:p w14:paraId="44CDE8F0">
            <w:r>
              <w:rPr>
                <w:rStyle w:val="10"/>
                <w:rFonts w:hint="eastAsia"/>
              </w:rPr>
              <w:t>剂型：</w:t>
            </w:r>
            <w:r>
              <w:rPr>
                <w:rFonts w:hint="eastAsia"/>
              </w:rPr>
              <w:t>悬浮剂</w:t>
            </w:r>
          </w:p>
        </w:tc>
      </w:tr>
      <w:tr w14:paraId="1168825B">
        <w:tblPrEx>
          <w:tblCellMar>
            <w:top w:w="0" w:type="dxa"/>
            <w:left w:w="0" w:type="dxa"/>
            <w:bottom w:w="0" w:type="dxa"/>
            <w:right w:w="0" w:type="dxa"/>
          </w:tblCellMar>
        </w:tblPrEx>
        <w:trPr>
          <w:wBefore w:w="0" w:type="auto"/>
          <w:tblCellSpacing w:w="0" w:type="dxa"/>
        </w:trPr>
        <w:tc>
          <w:tcPr>
            <w:tcW w:w="0" w:type="auto"/>
            <w:noWrap w:val="0"/>
            <w:vAlign w:val="center"/>
          </w:tcPr>
          <w:p w14:paraId="3AB4E82C">
            <w:r>
              <w:rPr>
                <w:rStyle w:val="10"/>
                <w:rFonts w:hint="eastAsia"/>
              </w:rPr>
              <w:t>毒性及其标识：</w:t>
            </w:r>
            <w:r>
              <w:rPr>
                <w:rFonts w:hint="eastAsia"/>
              </w:rPr>
              <w:t xml:space="preserve"> </w:t>
            </w:r>
            <w:r>
              <w:rPr>
                <w:lang/>
              </w:rPr>
              <w:drawing>
                <wp:inline distT="0" distB="0" distL="114300" distR="114300">
                  <wp:extent cx="476250" cy="323850"/>
                  <wp:effectExtent l="0" t="0" r="0" b="0"/>
                  <wp:docPr id="37" name="图片 3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DF33C4D">
        <w:tblPrEx>
          <w:tblCellMar>
            <w:top w:w="0" w:type="dxa"/>
            <w:left w:w="0" w:type="dxa"/>
            <w:bottom w:w="0" w:type="dxa"/>
            <w:right w:w="0" w:type="dxa"/>
          </w:tblCellMar>
        </w:tblPrEx>
        <w:trPr>
          <w:wBefore w:w="0" w:type="auto"/>
          <w:tblCellSpacing w:w="0" w:type="dxa"/>
        </w:trPr>
        <w:tc>
          <w:tcPr>
            <w:tcW w:w="0" w:type="auto"/>
            <w:noWrap w:val="0"/>
            <w:vAlign w:val="center"/>
          </w:tcPr>
          <w:p w14:paraId="4C235C04">
            <w:r>
              <w:rPr>
                <w:rStyle w:val="10"/>
                <w:rFonts w:hint="eastAsia"/>
              </w:rPr>
              <w:t>总有效成分含量：</w:t>
            </w:r>
            <w:r>
              <w:rPr>
                <w:rFonts w:hint="eastAsia"/>
              </w:rPr>
              <w:t>17.8%</w:t>
            </w:r>
          </w:p>
        </w:tc>
      </w:tr>
      <w:tr w14:paraId="24D1A6A7">
        <w:tblPrEx>
          <w:tblCellMar>
            <w:top w:w="0" w:type="dxa"/>
            <w:left w:w="0" w:type="dxa"/>
            <w:bottom w:w="0" w:type="dxa"/>
            <w:right w:w="0" w:type="dxa"/>
          </w:tblCellMar>
        </w:tblPrEx>
        <w:trPr>
          <w:wBefore w:w="0" w:type="auto"/>
          <w:tblCellSpacing w:w="0" w:type="dxa"/>
        </w:trPr>
        <w:tc>
          <w:tcPr>
            <w:tcW w:w="0" w:type="auto"/>
            <w:noWrap w:val="0"/>
            <w:vAlign w:val="center"/>
          </w:tcPr>
          <w:p w14:paraId="46D1CE89">
            <w:r>
              <w:rPr>
                <w:rFonts w:hint="eastAsia"/>
              </w:rPr>
              <w:t xml:space="preserve">有效成分及其含量： </w:t>
            </w:r>
          </w:p>
          <w:p w14:paraId="2E2EEFB6">
            <w:r>
              <w:rPr>
                <w:rFonts w:hint="eastAsia"/>
              </w:rPr>
              <w:t xml:space="preserve">    氯氟吡氧乙酸异辛酯9.3%    双氟磺草胺0.5%    炔草酯8%    </w:t>
            </w:r>
          </w:p>
        </w:tc>
      </w:tr>
      <w:tr w14:paraId="01F6D579">
        <w:tblPrEx>
          <w:tblCellMar>
            <w:top w:w="0" w:type="dxa"/>
            <w:left w:w="0" w:type="dxa"/>
            <w:bottom w:w="0" w:type="dxa"/>
            <w:right w:w="0" w:type="dxa"/>
          </w:tblCellMar>
        </w:tblPrEx>
        <w:trPr>
          <w:wBefore w:w="0" w:type="auto"/>
          <w:tblCellSpacing w:w="0" w:type="dxa"/>
        </w:trPr>
        <w:tc>
          <w:tcPr>
            <w:tcW w:w="0" w:type="auto"/>
            <w:noWrap w:val="0"/>
            <w:vAlign w:val="center"/>
          </w:tcPr>
          <w:p w14:paraId="76D6480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6715A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237B66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BFF42F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C6F930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BFF0BD7">
                  <w:r>
                    <w:rPr>
                      <w:rStyle w:val="11"/>
                      <w:rFonts w:hint="eastAsia"/>
                    </w:rPr>
                    <w:t>施用方式</w:t>
                  </w:r>
                </w:p>
              </w:tc>
            </w:tr>
            <w:tr w14:paraId="1628EE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B190BE9">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6DE264">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3DE977">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489ECA">
                  <w:r>
                    <w:rPr>
                      <w:rStyle w:val="11"/>
                      <w:rFonts w:hint="eastAsia"/>
                    </w:rPr>
                    <w:t>茎叶喷雾</w:t>
                  </w:r>
                </w:p>
              </w:tc>
            </w:tr>
          </w:tbl>
          <w:p w14:paraId="497812E7">
            <w:pPr>
              <w:rPr>
                <w:rFonts w:ascii="Times New Roman" w:hAnsi="Times New Roman" w:cs="Times New Roman"/>
                <w:sz w:val="20"/>
                <w:szCs w:val="20"/>
              </w:rPr>
            </w:pPr>
          </w:p>
        </w:tc>
      </w:tr>
      <w:tr w14:paraId="68915AF3">
        <w:tblPrEx>
          <w:tblCellMar>
            <w:top w:w="0" w:type="dxa"/>
            <w:left w:w="0" w:type="dxa"/>
            <w:bottom w:w="0" w:type="dxa"/>
            <w:right w:w="0" w:type="dxa"/>
          </w:tblCellMar>
        </w:tblPrEx>
        <w:trPr>
          <w:wBefore w:w="0" w:type="auto"/>
          <w:tblCellSpacing w:w="0" w:type="dxa"/>
        </w:trPr>
        <w:tc>
          <w:tcPr>
            <w:tcW w:w="0" w:type="auto"/>
            <w:noWrap w:val="0"/>
            <w:vAlign w:val="center"/>
          </w:tcPr>
          <w:p w14:paraId="0EE5AD79">
            <w:r>
              <w:rPr>
                <w:rStyle w:val="10"/>
                <w:rFonts w:hint="eastAsia"/>
              </w:rPr>
              <w:t>使用技术要求:</w:t>
            </w:r>
            <w:r>
              <w:rPr>
                <w:rFonts w:hint="eastAsia"/>
              </w:rPr>
              <w:br w:type="textWrapping"/>
            </w:r>
            <w:r>
              <w:rPr>
                <w:rStyle w:val="11"/>
                <w:rFonts w:hint="eastAsia"/>
              </w:rPr>
              <w:t>1、每季作物最多使用1次。2、小麦3~6叶期，杂草出齐苗（2.5~5叶期）施药，每亩兑水20-30公斤，均匀茎叶喷雾。3、花生、大豆、棉花等阔叶作物对本品敏感，施药时应避免药液飘移到邻近作物上，以免产生要害。4、间套或混种有阔叶作物的小麦田不能使用本品。5、尽量选择无风的天气施药，避免飘移药害。6、勿超剂量使用，避免药害。</w:t>
            </w:r>
          </w:p>
        </w:tc>
      </w:tr>
      <w:tr w14:paraId="71F82C50">
        <w:tblPrEx>
          <w:tblCellMar>
            <w:top w:w="0" w:type="dxa"/>
            <w:left w:w="0" w:type="dxa"/>
            <w:bottom w:w="0" w:type="dxa"/>
            <w:right w:w="0" w:type="dxa"/>
          </w:tblCellMar>
        </w:tblPrEx>
        <w:trPr>
          <w:wBefore w:w="0" w:type="auto"/>
          <w:tblCellSpacing w:w="0" w:type="dxa"/>
        </w:trPr>
        <w:tc>
          <w:tcPr>
            <w:tcW w:w="0" w:type="auto"/>
            <w:noWrap w:val="0"/>
            <w:vAlign w:val="center"/>
          </w:tcPr>
          <w:p w14:paraId="5A29CF88">
            <w:r>
              <w:rPr>
                <w:rStyle w:val="10"/>
                <w:rFonts w:hint="eastAsia"/>
              </w:rPr>
              <w:t>产品性能:</w:t>
            </w:r>
            <w:r>
              <w:rPr>
                <w:rFonts w:hint="eastAsia"/>
              </w:rPr>
              <w:br w:type="textWrapping"/>
            </w:r>
            <w:r>
              <w:rPr>
                <w:rStyle w:val="11"/>
                <w:rFonts w:hint="eastAsia"/>
              </w:rPr>
              <w:t>本品为可流动、易测量体积的悬浮液体，可有效防除小麦田一年生杂草。</w:t>
            </w:r>
          </w:p>
        </w:tc>
      </w:tr>
      <w:tr w14:paraId="7B8C8F9B">
        <w:tblPrEx>
          <w:tblCellMar>
            <w:top w:w="0" w:type="dxa"/>
            <w:left w:w="0" w:type="dxa"/>
            <w:bottom w:w="0" w:type="dxa"/>
            <w:right w:w="0" w:type="dxa"/>
          </w:tblCellMar>
        </w:tblPrEx>
        <w:trPr>
          <w:wBefore w:w="0" w:type="auto"/>
          <w:tblCellSpacing w:w="0" w:type="dxa"/>
        </w:trPr>
        <w:tc>
          <w:tcPr>
            <w:tcW w:w="0" w:type="auto"/>
            <w:noWrap w:val="0"/>
            <w:vAlign w:val="center"/>
          </w:tcPr>
          <w:p w14:paraId="29B9292A">
            <w:r>
              <w:rPr>
                <w:rStyle w:val="10"/>
                <w:rFonts w:hint="eastAsia"/>
              </w:rPr>
              <w:t>注意事项：</w:t>
            </w:r>
            <w:r>
              <w:rPr>
                <w:rFonts w:hint="eastAsia"/>
              </w:rPr>
              <w:br w:type="textWrapping"/>
            </w:r>
            <w:r>
              <w:rPr>
                <w:rStyle w:val="11"/>
                <w:rFonts w:hint="eastAsia"/>
              </w:rPr>
              <w:t>1、本品对蜜蜂、鱼类等水生生物、家蚕有毒，施药期间应避免对周围蜂群的影响，禁止在开花植物花期、蚕室和桑园附近使用。赤眼蜂等天敌放飞区域禁用。地下水、饮用水水源地禁用。2、远离水产养殖区、河塘等水域施药。3、使用本品时应穿戴长衣、长裤、帽子、口罩、手套等防护措施，避免吸入药液；施药期间不可吃东西、喝水、吸烟等。施药后应及时洗手、洗脸等。4、禁止在河塘等水域内清洗施药器具或将清洗施药器具的废水倒入河流、池塘等水源。5、废弃物应妥善处理，不可做他用，也不可随意丢弃。6、孕妇及哺乳期妇女避免接触本品。</w:t>
            </w:r>
          </w:p>
        </w:tc>
      </w:tr>
      <w:tr w14:paraId="45C8C334">
        <w:tblPrEx>
          <w:tblCellMar>
            <w:top w:w="0" w:type="dxa"/>
            <w:left w:w="0" w:type="dxa"/>
            <w:bottom w:w="0" w:type="dxa"/>
            <w:right w:w="0" w:type="dxa"/>
          </w:tblCellMar>
        </w:tblPrEx>
        <w:trPr>
          <w:wBefore w:w="0" w:type="auto"/>
          <w:tblCellSpacing w:w="0" w:type="dxa"/>
        </w:trPr>
        <w:tc>
          <w:tcPr>
            <w:tcW w:w="0" w:type="auto"/>
            <w:noWrap w:val="0"/>
            <w:vAlign w:val="center"/>
          </w:tcPr>
          <w:p w14:paraId="43C439F0">
            <w:r>
              <w:rPr>
                <w:rStyle w:val="10"/>
                <w:rFonts w:hint="eastAsia"/>
              </w:rPr>
              <w:t>中毒急救措施：</w:t>
            </w:r>
            <w:r>
              <w:rPr>
                <w:rFonts w:hint="eastAsia"/>
              </w:rPr>
              <w:br w:type="textWrapping"/>
            </w:r>
            <w:r>
              <w:rPr>
                <w:rStyle w:val="11"/>
                <w:rFonts w:hint="eastAsia"/>
              </w:rPr>
              <w:t>该产品对眼睛有刺激性，使用时避免接触眼睛。如不慎吸入，将病人移至空气流通处；不慎接触皮肤，用大量清水和肥皂冲洗干净；若溅入眼睛，用大量清水冲洗至少15分钟，仍有不适，就医；如误服，立即带标签送医院，对症治疗。应先洗胃，无特效解毒剂。</w:t>
            </w:r>
          </w:p>
        </w:tc>
      </w:tr>
      <w:tr w14:paraId="197555EE">
        <w:tblPrEx>
          <w:tblCellMar>
            <w:top w:w="0" w:type="dxa"/>
            <w:left w:w="0" w:type="dxa"/>
            <w:bottom w:w="0" w:type="dxa"/>
            <w:right w:w="0" w:type="dxa"/>
          </w:tblCellMar>
        </w:tblPrEx>
        <w:trPr>
          <w:wBefore w:w="0" w:type="auto"/>
          <w:tblCellSpacing w:w="0" w:type="dxa"/>
        </w:trPr>
        <w:tc>
          <w:tcPr>
            <w:tcW w:w="0" w:type="auto"/>
            <w:noWrap w:val="0"/>
            <w:vAlign w:val="center"/>
          </w:tcPr>
          <w:p w14:paraId="4E3773F6">
            <w:r>
              <w:rPr>
                <w:rStyle w:val="10"/>
                <w:rFonts w:hint="eastAsia"/>
              </w:rPr>
              <w:t>储存和运输方法：</w:t>
            </w:r>
            <w:r>
              <w:rPr>
                <w:rFonts w:hint="eastAsia"/>
              </w:rPr>
              <w:br w:type="textWrapping"/>
            </w:r>
            <w:r>
              <w:rPr>
                <w:rStyle w:val="11"/>
                <w:rFonts w:hint="eastAsia"/>
              </w:rPr>
              <w:t>本品应贮存于阴凉、干燥、通风、防雨处。远离火源和热源，置于儿童及无关人员接触不到之处，并加锁。不能与食品、饮料、粮食、饲料等同贮同运。</w:t>
            </w:r>
          </w:p>
        </w:tc>
      </w:tr>
      <w:tr w14:paraId="2B3D4C8B">
        <w:tblPrEx>
          <w:tblCellMar>
            <w:top w:w="0" w:type="dxa"/>
            <w:left w:w="0" w:type="dxa"/>
            <w:bottom w:w="0" w:type="dxa"/>
            <w:right w:w="0" w:type="dxa"/>
          </w:tblCellMar>
        </w:tblPrEx>
        <w:trPr>
          <w:wBefore w:w="0" w:type="auto"/>
          <w:tblCellSpacing w:w="0" w:type="dxa"/>
        </w:trPr>
        <w:tc>
          <w:tcPr>
            <w:tcW w:w="0" w:type="auto"/>
            <w:noWrap w:val="0"/>
            <w:vAlign w:val="center"/>
          </w:tcPr>
          <w:p w14:paraId="4AB1E573">
            <w:r>
              <w:rPr>
                <w:rStyle w:val="10"/>
                <w:rFonts w:hint="eastAsia"/>
              </w:rPr>
              <w:t>质量保证期：</w:t>
            </w:r>
            <w:r>
              <w:rPr>
                <w:rStyle w:val="11"/>
                <w:rFonts w:hint="eastAsia"/>
              </w:rPr>
              <w:t>2年</w:t>
            </w:r>
          </w:p>
        </w:tc>
      </w:tr>
      <w:tr w14:paraId="55A00011">
        <w:tblPrEx>
          <w:tblCellMar>
            <w:top w:w="0" w:type="dxa"/>
            <w:left w:w="0" w:type="dxa"/>
            <w:bottom w:w="0" w:type="dxa"/>
            <w:right w:w="0" w:type="dxa"/>
          </w:tblCellMar>
        </w:tblPrEx>
        <w:trPr>
          <w:wBefore w:w="0" w:type="auto"/>
          <w:tblCellSpacing w:w="0" w:type="dxa"/>
        </w:trPr>
        <w:tc>
          <w:tcPr>
            <w:tcW w:w="0" w:type="auto"/>
            <w:noWrap w:val="0"/>
            <w:vAlign w:val="center"/>
          </w:tcPr>
          <w:p w14:paraId="5330A87B">
            <w:r>
              <w:rPr>
                <w:rStyle w:val="10"/>
                <w:rFonts w:hint="eastAsia"/>
              </w:rPr>
              <w:t>备注：</w:t>
            </w:r>
          </w:p>
        </w:tc>
      </w:tr>
    </w:tbl>
    <w:p w14:paraId="75BDF2B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4129B22">
        <w:tblPrEx>
          <w:tblCellMar>
            <w:top w:w="0" w:type="dxa"/>
            <w:left w:w="0" w:type="dxa"/>
            <w:bottom w:w="0" w:type="dxa"/>
            <w:right w:w="0" w:type="dxa"/>
          </w:tblCellMar>
        </w:tblPrEx>
        <w:trPr>
          <w:wBefore w:w="0" w:type="auto"/>
          <w:tblCellSpacing w:w="0" w:type="dxa"/>
        </w:trPr>
        <w:tc>
          <w:tcPr>
            <w:tcW w:w="0" w:type="auto"/>
            <w:noWrap w:val="0"/>
            <w:vAlign w:val="center"/>
          </w:tcPr>
          <w:p w14:paraId="143FB8FC">
            <w:r>
              <w:rPr>
                <w:rStyle w:val="10"/>
                <w:rFonts w:hint="eastAsia"/>
              </w:rPr>
              <w:t>登记证号：</w:t>
            </w:r>
            <w:r>
              <w:rPr>
                <w:rFonts w:hint="eastAsia"/>
              </w:rPr>
              <w:t>PD20212078</w:t>
            </w:r>
          </w:p>
        </w:tc>
      </w:tr>
      <w:tr w14:paraId="384AA11D">
        <w:tblPrEx>
          <w:tblCellMar>
            <w:top w:w="0" w:type="dxa"/>
            <w:left w:w="0" w:type="dxa"/>
            <w:bottom w:w="0" w:type="dxa"/>
            <w:right w:w="0" w:type="dxa"/>
          </w:tblCellMar>
        </w:tblPrEx>
        <w:trPr>
          <w:wBefore w:w="0" w:type="auto"/>
          <w:tblCellSpacing w:w="0" w:type="dxa"/>
        </w:trPr>
        <w:tc>
          <w:tcPr>
            <w:tcW w:w="0" w:type="auto"/>
            <w:noWrap w:val="0"/>
            <w:vAlign w:val="center"/>
          </w:tcPr>
          <w:p w14:paraId="4A08D026">
            <w:r>
              <w:rPr>
                <w:rStyle w:val="10"/>
                <w:rFonts w:hint="eastAsia"/>
              </w:rPr>
              <w:t>登记证持有人：</w:t>
            </w:r>
            <w:r>
              <w:rPr>
                <w:rFonts w:hint="eastAsia"/>
              </w:rPr>
              <w:t>河北兴柏农业科技有限公司</w:t>
            </w:r>
          </w:p>
        </w:tc>
      </w:tr>
      <w:tr w14:paraId="64BAD644">
        <w:tblPrEx>
          <w:tblCellMar>
            <w:top w:w="0" w:type="dxa"/>
            <w:left w:w="0" w:type="dxa"/>
            <w:bottom w:w="0" w:type="dxa"/>
            <w:right w:w="0" w:type="dxa"/>
          </w:tblCellMar>
        </w:tblPrEx>
        <w:trPr>
          <w:wBefore w:w="0" w:type="auto"/>
          <w:tblCellSpacing w:w="0" w:type="dxa"/>
        </w:trPr>
        <w:tc>
          <w:tcPr>
            <w:tcW w:w="0" w:type="auto"/>
            <w:noWrap w:val="0"/>
            <w:vAlign w:val="center"/>
          </w:tcPr>
          <w:p w14:paraId="487418ED">
            <w:r>
              <w:rPr>
                <w:rStyle w:val="10"/>
                <w:rFonts w:hint="eastAsia"/>
              </w:rPr>
              <w:t>农药名称：</w:t>
            </w:r>
            <w:r>
              <w:rPr>
                <w:rFonts w:hint="eastAsia"/>
              </w:rPr>
              <w:t>阿维·螺虫酯</w:t>
            </w:r>
          </w:p>
        </w:tc>
      </w:tr>
      <w:tr w14:paraId="5AD7D9E7">
        <w:tblPrEx>
          <w:tblCellMar>
            <w:top w:w="0" w:type="dxa"/>
            <w:left w:w="0" w:type="dxa"/>
            <w:bottom w:w="0" w:type="dxa"/>
            <w:right w:w="0" w:type="dxa"/>
          </w:tblCellMar>
        </w:tblPrEx>
        <w:trPr>
          <w:wBefore w:w="0" w:type="auto"/>
          <w:tblCellSpacing w:w="0" w:type="dxa"/>
        </w:trPr>
        <w:tc>
          <w:tcPr>
            <w:tcW w:w="0" w:type="auto"/>
            <w:noWrap w:val="0"/>
            <w:vAlign w:val="center"/>
          </w:tcPr>
          <w:p w14:paraId="4DD71D9D">
            <w:r>
              <w:rPr>
                <w:rStyle w:val="10"/>
                <w:rFonts w:hint="eastAsia"/>
              </w:rPr>
              <w:t>剂型：</w:t>
            </w:r>
            <w:r>
              <w:rPr>
                <w:rFonts w:hint="eastAsia"/>
              </w:rPr>
              <w:t>悬浮剂</w:t>
            </w:r>
          </w:p>
        </w:tc>
      </w:tr>
      <w:tr w14:paraId="3CE102B5">
        <w:tblPrEx>
          <w:tblCellMar>
            <w:top w:w="0" w:type="dxa"/>
            <w:left w:w="0" w:type="dxa"/>
            <w:bottom w:w="0" w:type="dxa"/>
            <w:right w:w="0" w:type="dxa"/>
          </w:tblCellMar>
        </w:tblPrEx>
        <w:trPr>
          <w:wBefore w:w="0" w:type="auto"/>
          <w:tblCellSpacing w:w="0" w:type="dxa"/>
        </w:trPr>
        <w:tc>
          <w:tcPr>
            <w:tcW w:w="0" w:type="auto"/>
            <w:noWrap w:val="0"/>
            <w:vAlign w:val="center"/>
          </w:tcPr>
          <w:p w14:paraId="42F276AC">
            <w:r>
              <w:rPr>
                <w:rStyle w:val="10"/>
                <w:rFonts w:hint="eastAsia"/>
              </w:rPr>
              <w:t>毒性及其标识：</w:t>
            </w:r>
            <w:r>
              <w:rPr>
                <w:rFonts w:hint="eastAsia"/>
              </w:rPr>
              <w:t xml:space="preserve"> </w:t>
            </w:r>
            <w:r>
              <w:rPr>
                <w:lang/>
              </w:rPr>
              <w:drawing>
                <wp:inline distT="0" distB="0" distL="114300" distR="114300">
                  <wp:extent cx="476250" cy="323850"/>
                  <wp:effectExtent l="0" t="0" r="0" b="0"/>
                  <wp:docPr id="38" name="图片 3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6F3D83C4">
        <w:tblPrEx>
          <w:tblCellMar>
            <w:top w:w="0" w:type="dxa"/>
            <w:left w:w="0" w:type="dxa"/>
            <w:bottom w:w="0" w:type="dxa"/>
            <w:right w:w="0" w:type="dxa"/>
          </w:tblCellMar>
        </w:tblPrEx>
        <w:trPr>
          <w:wBefore w:w="0" w:type="auto"/>
          <w:tblCellSpacing w:w="0" w:type="dxa"/>
        </w:trPr>
        <w:tc>
          <w:tcPr>
            <w:tcW w:w="0" w:type="auto"/>
            <w:noWrap w:val="0"/>
            <w:vAlign w:val="center"/>
          </w:tcPr>
          <w:p w14:paraId="60810B4F">
            <w:r>
              <w:rPr>
                <w:rStyle w:val="10"/>
                <w:rFonts w:hint="eastAsia"/>
              </w:rPr>
              <w:t>总有效成分含量：</w:t>
            </w:r>
            <w:r>
              <w:rPr>
                <w:rFonts w:hint="eastAsia"/>
              </w:rPr>
              <w:t>25%</w:t>
            </w:r>
          </w:p>
        </w:tc>
      </w:tr>
      <w:tr w14:paraId="0BAC25F0">
        <w:tblPrEx>
          <w:tblCellMar>
            <w:top w:w="0" w:type="dxa"/>
            <w:left w:w="0" w:type="dxa"/>
            <w:bottom w:w="0" w:type="dxa"/>
            <w:right w:w="0" w:type="dxa"/>
          </w:tblCellMar>
        </w:tblPrEx>
        <w:trPr>
          <w:wBefore w:w="0" w:type="auto"/>
          <w:tblCellSpacing w:w="0" w:type="dxa"/>
        </w:trPr>
        <w:tc>
          <w:tcPr>
            <w:tcW w:w="0" w:type="auto"/>
            <w:noWrap w:val="0"/>
            <w:vAlign w:val="center"/>
          </w:tcPr>
          <w:p w14:paraId="4C1237FD">
            <w:r>
              <w:rPr>
                <w:rFonts w:hint="eastAsia"/>
              </w:rPr>
              <w:t xml:space="preserve">有效成分及其含量： </w:t>
            </w:r>
          </w:p>
          <w:p w14:paraId="4BE0D245">
            <w:r>
              <w:rPr>
                <w:rFonts w:hint="eastAsia"/>
              </w:rPr>
              <w:t xml:space="preserve">    阿维菌素3%    螺虫乙酯22%    </w:t>
            </w:r>
          </w:p>
        </w:tc>
      </w:tr>
      <w:tr w14:paraId="70A8E0CD">
        <w:tblPrEx>
          <w:tblCellMar>
            <w:top w:w="0" w:type="dxa"/>
            <w:left w:w="0" w:type="dxa"/>
            <w:bottom w:w="0" w:type="dxa"/>
            <w:right w:w="0" w:type="dxa"/>
          </w:tblCellMar>
        </w:tblPrEx>
        <w:trPr>
          <w:wBefore w:w="0" w:type="auto"/>
          <w:tblCellSpacing w:w="0" w:type="dxa"/>
        </w:trPr>
        <w:tc>
          <w:tcPr>
            <w:tcW w:w="0" w:type="auto"/>
            <w:noWrap w:val="0"/>
            <w:vAlign w:val="center"/>
          </w:tcPr>
          <w:p w14:paraId="2AEE814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CF43AB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FBB6C5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264BB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ED0C9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6FE9301">
                  <w:r>
                    <w:rPr>
                      <w:rStyle w:val="11"/>
                      <w:rFonts w:hint="eastAsia"/>
                    </w:rPr>
                    <w:t>施用方式</w:t>
                  </w:r>
                </w:p>
              </w:tc>
            </w:tr>
            <w:tr w14:paraId="101776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B1C1525">
                  <w:r>
                    <w:rPr>
                      <w:rStyle w:val="11"/>
                      <w:rFonts w:hint="eastAsia"/>
                    </w:rPr>
                    <w:t>梨树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AC3A5A">
                  <w:r>
                    <w:rPr>
                      <w:rStyle w:val="11"/>
                      <w:rFonts w:hint="eastAsia"/>
                    </w:rPr>
                    <w:t>梨木虱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709FF9">
                  <w:r>
                    <w:rPr>
                      <w:rStyle w:val="11"/>
                      <w:rFonts w:hint="eastAsia"/>
                    </w:rPr>
                    <w:t>4000-6000倍液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BAC78E">
                  <w:r>
                    <w:rPr>
                      <w:rStyle w:val="11"/>
                      <w:rFonts w:hint="eastAsia"/>
                    </w:rPr>
                    <w:t>喷雾</w:t>
                  </w:r>
                </w:p>
              </w:tc>
            </w:tr>
          </w:tbl>
          <w:p w14:paraId="19E11515">
            <w:pPr>
              <w:rPr>
                <w:rFonts w:ascii="Times New Roman" w:hAnsi="Times New Roman" w:cs="Times New Roman"/>
                <w:sz w:val="20"/>
                <w:szCs w:val="20"/>
              </w:rPr>
            </w:pPr>
          </w:p>
        </w:tc>
      </w:tr>
      <w:tr w14:paraId="0117EA83">
        <w:tblPrEx>
          <w:tblCellMar>
            <w:top w:w="0" w:type="dxa"/>
            <w:left w:w="0" w:type="dxa"/>
            <w:bottom w:w="0" w:type="dxa"/>
            <w:right w:w="0" w:type="dxa"/>
          </w:tblCellMar>
        </w:tblPrEx>
        <w:trPr>
          <w:wBefore w:w="0" w:type="auto"/>
          <w:tblCellSpacing w:w="0" w:type="dxa"/>
        </w:trPr>
        <w:tc>
          <w:tcPr>
            <w:tcW w:w="0" w:type="auto"/>
            <w:noWrap w:val="0"/>
            <w:vAlign w:val="center"/>
          </w:tcPr>
          <w:p w14:paraId="7A351094">
            <w:r>
              <w:rPr>
                <w:rStyle w:val="10"/>
                <w:rFonts w:hint="eastAsia"/>
              </w:rPr>
              <w:t>使用技术要求:</w:t>
            </w:r>
            <w:r>
              <w:rPr>
                <w:rFonts w:hint="eastAsia"/>
              </w:rPr>
              <w:br w:type="textWrapping"/>
            </w:r>
            <w:r>
              <w:rPr>
                <w:rStyle w:val="11"/>
                <w:rFonts w:hint="eastAsia"/>
              </w:rPr>
              <w:t>1、本品于梨树梨木虱低龄若虫发生始盛期施药。2、本品在梨树上使用，每季最多使用1次，安全间隔期为21天。3、大风或预计1小时内降雨天气，请勿施药。</w:t>
            </w:r>
          </w:p>
        </w:tc>
      </w:tr>
      <w:tr w14:paraId="4D8333AA">
        <w:tblPrEx>
          <w:tblCellMar>
            <w:top w:w="0" w:type="dxa"/>
            <w:left w:w="0" w:type="dxa"/>
            <w:bottom w:w="0" w:type="dxa"/>
            <w:right w:w="0" w:type="dxa"/>
          </w:tblCellMar>
        </w:tblPrEx>
        <w:trPr>
          <w:wBefore w:w="0" w:type="auto"/>
          <w:tblCellSpacing w:w="0" w:type="dxa"/>
        </w:trPr>
        <w:tc>
          <w:tcPr>
            <w:tcW w:w="0" w:type="auto"/>
            <w:noWrap w:val="0"/>
            <w:vAlign w:val="center"/>
          </w:tcPr>
          <w:p w14:paraId="549D497D">
            <w:r>
              <w:rPr>
                <w:rStyle w:val="10"/>
                <w:rFonts w:hint="eastAsia"/>
              </w:rPr>
              <w:t>产品性能:</w:t>
            </w:r>
            <w:r>
              <w:rPr>
                <w:rFonts w:hint="eastAsia"/>
              </w:rPr>
              <w:br w:type="textWrapping"/>
            </w:r>
            <w:r>
              <w:rPr>
                <w:rStyle w:val="11"/>
                <w:rFonts w:hint="eastAsia"/>
              </w:rPr>
              <w:t>本品由阿维菌素和螺虫乙酯混配而成，阿维菌素是一种大环内酯双糖类化合物，通过干扰神经生理活动，从而起到杀虫作用。螺虫乙酯是季酮酸类化合物，通过抑制害虫体内脂肪合成过程中的乙酰辅酶A羧化酶的活性，从而抑制脂肪的合成，阻断害虫正常的能量代谢，最终导致死亡。本品用于防治梨树梨木虱。</w:t>
            </w:r>
          </w:p>
        </w:tc>
      </w:tr>
      <w:tr w14:paraId="5F85740D">
        <w:tblPrEx>
          <w:tblCellMar>
            <w:top w:w="0" w:type="dxa"/>
            <w:left w:w="0" w:type="dxa"/>
            <w:bottom w:w="0" w:type="dxa"/>
            <w:right w:w="0" w:type="dxa"/>
          </w:tblCellMar>
        </w:tblPrEx>
        <w:trPr>
          <w:wBefore w:w="0" w:type="auto"/>
          <w:tblCellSpacing w:w="0" w:type="dxa"/>
        </w:trPr>
        <w:tc>
          <w:tcPr>
            <w:tcW w:w="0" w:type="auto"/>
            <w:noWrap w:val="0"/>
            <w:vAlign w:val="center"/>
          </w:tcPr>
          <w:p w14:paraId="1F8BDC8A">
            <w:r>
              <w:rPr>
                <w:rStyle w:val="10"/>
                <w:rFonts w:hint="eastAsia"/>
              </w:rPr>
              <w:t>注意事项：</w:t>
            </w:r>
            <w:r>
              <w:rPr>
                <w:rFonts w:hint="eastAsia"/>
              </w:rPr>
              <w:br w:type="textWrapping"/>
            </w:r>
            <w:r>
              <w:rPr>
                <w:rStyle w:val="11"/>
                <w:rFonts w:hint="eastAsia"/>
              </w:rPr>
              <w:t>1、使用本品时应穿戴长袖衣服、口罩和手套，避免吸入药液，施药期间不能吃东西和饮水，施药后应及时洗手和洗脸。2、本品对鸟类、蜜蜂、家蚕、捕食性天敌风险性较高，鸟类保护区及其附近禁止使用，（周围）开花植物花期禁用，使用时应密切关注对附近蜂群的影响，桑园、蚕室附近禁止使用，捕食性天敌放飞区禁止使用。3、禁止在河塘等水体中清洗施药器具，使用过的容器应妥善处理，不可作为它用，也不可随意丢弃。4、禁止儿童、孕妇和哺乳期妇女接触本品。</w:t>
            </w:r>
          </w:p>
        </w:tc>
      </w:tr>
      <w:tr w14:paraId="10CCCA80">
        <w:tblPrEx>
          <w:tblCellMar>
            <w:top w:w="0" w:type="dxa"/>
            <w:left w:w="0" w:type="dxa"/>
            <w:bottom w:w="0" w:type="dxa"/>
            <w:right w:w="0" w:type="dxa"/>
          </w:tblCellMar>
        </w:tblPrEx>
        <w:trPr>
          <w:wBefore w:w="0" w:type="auto"/>
          <w:tblCellSpacing w:w="0" w:type="dxa"/>
        </w:trPr>
        <w:tc>
          <w:tcPr>
            <w:tcW w:w="0" w:type="auto"/>
            <w:noWrap w:val="0"/>
            <w:vAlign w:val="center"/>
          </w:tcPr>
          <w:p w14:paraId="264CBEDF">
            <w:r>
              <w:rPr>
                <w:rStyle w:val="10"/>
                <w:rFonts w:hint="eastAsia"/>
              </w:rPr>
              <w:t>中毒急救措施：</w:t>
            </w:r>
            <w:r>
              <w:rPr>
                <w:rFonts w:hint="eastAsia"/>
              </w:rPr>
              <w:br w:type="textWrapping"/>
            </w:r>
            <w:r>
              <w:rPr>
                <w:rStyle w:val="11"/>
                <w:rFonts w:hint="eastAsia"/>
              </w:rPr>
              <w:t>皮肤接触：立即褪去被污染的衣物，用肥皂与大量清水至少冲洗15分钟，送医就诊；眼睛溅入：立即翻开眼睑，用流动的清水至少冲洗15分钟，送医就诊；吸入：不慎吸入，立即转移至空气清新处，送医就诊；误食：不慎误食，马上停止食用，携带标签送医就诊，无特效解毒剂，应对症治疗。</w:t>
            </w:r>
          </w:p>
        </w:tc>
      </w:tr>
      <w:tr w14:paraId="118E6690">
        <w:tblPrEx>
          <w:tblCellMar>
            <w:top w:w="0" w:type="dxa"/>
            <w:left w:w="0" w:type="dxa"/>
            <w:bottom w:w="0" w:type="dxa"/>
            <w:right w:w="0" w:type="dxa"/>
          </w:tblCellMar>
        </w:tblPrEx>
        <w:trPr>
          <w:wBefore w:w="0" w:type="auto"/>
          <w:tblCellSpacing w:w="0" w:type="dxa"/>
        </w:trPr>
        <w:tc>
          <w:tcPr>
            <w:tcW w:w="0" w:type="auto"/>
            <w:noWrap w:val="0"/>
            <w:vAlign w:val="center"/>
          </w:tcPr>
          <w:p w14:paraId="716F2692">
            <w:r>
              <w:rPr>
                <w:rStyle w:val="10"/>
                <w:rFonts w:hint="eastAsia"/>
              </w:rPr>
              <w:t>储存和运输方法：</w:t>
            </w:r>
            <w:r>
              <w:rPr>
                <w:rFonts w:hint="eastAsia"/>
              </w:rPr>
              <w:br w:type="textWrapping"/>
            </w:r>
            <w:r>
              <w:rPr>
                <w:rStyle w:val="11"/>
                <w:rFonts w:hint="eastAsia"/>
              </w:rPr>
              <w:t>1、本品与中等氧化剂不具有稳定的化学相容性，严禁与中等氧化剂同储同运。2、本品应贮存在干燥、阴凉、通风、防雨处，远离火源和热源。3、装卸时工人需要穿戴口罩、手套、胶靴，工作结束后用清水清洗裸露的皮肤。4、置于儿童接触不到的地方，并加锁。5、不能与食品、饮料、粮食、饲料等混合储存、运输。</w:t>
            </w:r>
          </w:p>
        </w:tc>
      </w:tr>
      <w:tr w14:paraId="7AD8E706">
        <w:tblPrEx>
          <w:tblCellMar>
            <w:top w:w="0" w:type="dxa"/>
            <w:left w:w="0" w:type="dxa"/>
            <w:bottom w:w="0" w:type="dxa"/>
            <w:right w:w="0" w:type="dxa"/>
          </w:tblCellMar>
        </w:tblPrEx>
        <w:trPr>
          <w:wBefore w:w="0" w:type="auto"/>
          <w:tblCellSpacing w:w="0" w:type="dxa"/>
        </w:trPr>
        <w:tc>
          <w:tcPr>
            <w:tcW w:w="0" w:type="auto"/>
            <w:noWrap w:val="0"/>
            <w:vAlign w:val="center"/>
          </w:tcPr>
          <w:p w14:paraId="370F2066">
            <w:r>
              <w:rPr>
                <w:rStyle w:val="10"/>
                <w:rFonts w:hint="eastAsia"/>
              </w:rPr>
              <w:t>质量保证期：</w:t>
            </w:r>
            <w:r>
              <w:rPr>
                <w:rStyle w:val="11"/>
                <w:rFonts w:hint="eastAsia"/>
              </w:rPr>
              <w:t>2年</w:t>
            </w:r>
          </w:p>
        </w:tc>
      </w:tr>
      <w:tr w14:paraId="4D2D6B19">
        <w:tblPrEx>
          <w:tblCellMar>
            <w:top w:w="0" w:type="dxa"/>
            <w:left w:w="0" w:type="dxa"/>
            <w:bottom w:w="0" w:type="dxa"/>
            <w:right w:w="0" w:type="dxa"/>
          </w:tblCellMar>
        </w:tblPrEx>
        <w:trPr>
          <w:wBefore w:w="0" w:type="auto"/>
          <w:tblCellSpacing w:w="0" w:type="dxa"/>
        </w:trPr>
        <w:tc>
          <w:tcPr>
            <w:tcW w:w="0" w:type="auto"/>
            <w:noWrap w:val="0"/>
            <w:vAlign w:val="center"/>
          </w:tcPr>
          <w:p w14:paraId="46458466">
            <w:r>
              <w:rPr>
                <w:rStyle w:val="10"/>
                <w:rFonts w:hint="eastAsia"/>
              </w:rPr>
              <w:t>备注：</w:t>
            </w:r>
          </w:p>
        </w:tc>
      </w:tr>
    </w:tbl>
    <w:p w14:paraId="6DE78D3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F5F4BA7">
        <w:tblPrEx>
          <w:tblCellMar>
            <w:top w:w="0" w:type="dxa"/>
            <w:left w:w="0" w:type="dxa"/>
            <w:bottom w:w="0" w:type="dxa"/>
            <w:right w:w="0" w:type="dxa"/>
          </w:tblCellMar>
        </w:tblPrEx>
        <w:trPr>
          <w:wBefore w:w="0" w:type="auto"/>
          <w:tblCellSpacing w:w="0" w:type="dxa"/>
        </w:trPr>
        <w:tc>
          <w:tcPr>
            <w:tcW w:w="0" w:type="auto"/>
            <w:noWrap w:val="0"/>
            <w:vAlign w:val="center"/>
          </w:tcPr>
          <w:p w14:paraId="491EA3BD">
            <w:r>
              <w:rPr>
                <w:rStyle w:val="10"/>
                <w:rFonts w:hint="eastAsia"/>
              </w:rPr>
              <w:t>登记证号：</w:t>
            </w:r>
            <w:r>
              <w:rPr>
                <w:rFonts w:hint="eastAsia"/>
              </w:rPr>
              <w:t>WP20210206</w:t>
            </w:r>
          </w:p>
        </w:tc>
      </w:tr>
      <w:tr w14:paraId="5B526A8B">
        <w:tblPrEx>
          <w:tblCellMar>
            <w:top w:w="0" w:type="dxa"/>
            <w:left w:w="0" w:type="dxa"/>
            <w:bottom w:w="0" w:type="dxa"/>
            <w:right w:w="0" w:type="dxa"/>
          </w:tblCellMar>
        </w:tblPrEx>
        <w:trPr>
          <w:wBefore w:w="0" w:type="auto"/>
          <w:tblCellSpacing w:w="0" w:type="dxa"/>
        </w:trPr>
        <w:tc>
          <w:tcPr>
            <w:tcW w:w="0" w:type="auto"/>
            <w:noWrap w:val="0"/>
            <w:vAlign w:val="center"/>
          </w:tcPr>
          <w:p w14:paraId="6FAEDAD8">
            <w:r>
              <w:rPr>
                <w:rStyle w:val="10"/>
                <w:rFonts w:hint="eastAsia"/>
              </w:rPr>
              <w:t>登记证持有人：</w:t>
            </w:r>
            <w:r>
              <w:rPr>
                <w:rFonts w:hint="eastAsia"/>
              </w:rPr>
              <w:t>江苏省南京荣诚生物科技有限公司</w:t>
            </w:r>
          </w:p>
        </w:tc>
      </w:tr>
      <w:tr w14:paraId="65012408">
        <w:tblPrEx>
          <w:tblCellMar>
            <w:top w:w="0" w:type="dxa"/>
            <w:left w:w="0" w:type="dxa"/>
            <w:bottom w:w="0" w:type="dxa"/>
            <w:right w:w="0" w:type="dxa"/>
          </w:tblCellMar>
        </w:tblPrEx>
        <w:trPr>
          <w:wBefore w:w="0" w:type="auto"/>
          <w:tblCellSpacing w:w="0" w:type="dxa"/>
        </w:trPr>
        <w:tc>
          <w:tcPr>
            <w:tcW w:w="0" w:type="auto"/>
            <w:noWrap w:val="0"/>
            <w:vAlign w:val="center"/>
          </w:tcPr>
          <w:p w14:paraId="4E524013">
            <w:r>
              <w:rPr>
                <w:rStyle w:val="10"/>
                <w:rFonts w:hint="eastAsia"/>
              </w:rPr>
              <w:t>农药名称：</w:t>
            </w:r>
            <w:r>
              <w:rPr>
                <w:rFonts w:hint="eastAsia"/>
              </w:rPr>
              <w:t>吡虫啉</w:t>
            </w:r>
          </w:p>
        </w:tc>
      </w:tr>
      <w:tr w14:paraId="7823431D">
        <w:tblPrEx>
          <w:tblCellMar>
            <w:top w:w="0" w:type="dxa"/>
            <w:left w:w="0" w:type="dxa"/>
            <w:bottom w:w="0" w:type="dxa"/>
            <w:right w:w="0" w:type="dxa"/>
          </w:tblCellMar>
        </w:tblPrEx>
        <w:trPr>
          <w:wBefore w:w="0" w:type="auto"/>
          <w:tblCellSpacing w:w="0" w:type="dxa"/>
        </w:trPr>
        <w:tc>
          <w:tcPr>
            <w:tcW w:w="0" w:type="auto"/>
            <w:noWrap w:val="0"/>
            <w:vAlign w:val="center"/>
          </w:tcPr>
          <w:p w14:paraId="2C0E4738">
            <w:r>
              <w:rPr>
                <w:rStyle w:val="10"/>
                <w:rFonts w:hint="eastAsia"/>
              </w:rPr>
              <w:t>剂型：</w:t>
            </w:r>
            <w:r>
              <w:rPr>
                <w:rFonts w:hint="eastAsia"/>
              </w:rPr>
              <w:t>悬浮剂</w:t>
            </w:r>
          </w:p>
        </w:tc>
      </w:tr>
      <w:tr w14:paraId="25E483C0">
        <w:tblPrEx>
          <w:tblCellMar>
            <w:top w:w="0" w:type="dxa"/>
            <w:left w:w="0" w:type="dxa"/>
            <w:bottom w:w="0" w:type="dxa"/>
            <w:right w:w="0" w:type="dxa"/>
          </w:tblCellMar>
        </w:tblPrEx>
        <w:trPr>
          <w:wBefore w:w="0" w:type="auto"/>
          <w:tblCellSpacing w:w="0" w:type="dxa"/>
        </w:trPr>
        <w:tc>
          <w:tcPr>
            <w:tcW w:w="0" w:type="auto"/>
            <w:noWrap w:val="0"/>
            <w:vAlign w:val="center"/>
          </w:tcPr>
          <w:p w14:paraId="221C1ED1">
            <w:r>
              <w:rPr>
                <w:rStyle w:val="10"/>
                <w:rFonts w:hint="eastAsia"/>
              </w:rPr>
              <w:t>毒性及其标识：</w:t>
            </w:r>
            <w:r>
              <w:rPr>
                <w:rFonts w:hint="eastAsia"/>
              </w:rPr>
              <w:t xml:space="preserve"> </w:t>
            </w:r>
            <w:r>
              <w:rPr>
                <w:lang/>
              </w:rPr>
              <w:drawing>
                <wp:inline distT="0" distB="0" distL="114300" distR="114300">
                  <wp:extent cx="476250" cy="323850"/>
                  <wp:effectExtent l="0" t="0" r="0" b="0"/>
                  <wp:docPr id="39" name="图片 3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7B2E2A0">
        <w:tblPrEx>
          <w:tblCellMar>
            <w:top w:w="0" w:type="dxa"/>
            <w:left w:w="0" w:type="dxa"/>
            <w:bottom w:w="0" w:type="dxa"/>
            <w:right w:w="0" w:type="dxa"/>
          </w:tblCellMar>
        </w:tblPrEx>
        <w:trPr>
          <w:wBefore w:w="0" w:type="auto"/>
          <w:tblCellSpacing w:w="0" w:type="dxa"/>
        </w:trPr>
        <w:tc>
          <w:tcPr>
            <w:tcW w:w="0" w:type="auto"/>
            <w:noWrap w:val="0"/>
            <w:vAlign w:val="center"/>
          </w:tcPr>
          <w:p w14:paraId="7A4E6B48">
            <w:r>
              <w:rPr>
                <w:rStyle w:val="10"/>
                <w:rFonts w:hint="eastAsia"/>
              </w:rPr>
              <w:t>总有效成分含量：</w:t>
            </w:r>
            <w:r>
              <w:rPr>
                <w:rFonts w:hint="eastAsia"/>
              </w:rPr>
              <w:t>10%</w:t>
            </w:r>
          </w:p>
        </w:tc>
      </w:tr>
      <w:tr w14:paraId="735FBAE3">
        <w:tblPrEx>
          <w:tblCellMar>
            <w:top w:w="0" w:type="dxa"/>
            <w:left w:w="0" w:type="dxa"/>
            <w:bottom w:w="0" w:type="dxa"/>
            <w:right w:w="0" w:type="dxa"/>
          </w:tblCellMar>
        </w:tblPrEx>
        <w:trPr>
          <w:wBefore w:w="0" w:type="auto"/>
          <w:tblCellSpacing w:w="0" w:type="dxa"/>
        </w:trPr>
        <w:tc>
          <w:tcPr>
            <w:tcW w:w="0" w:type="auto"/>
            <w:noWrap w:val="0"/>
            <w:vAlign w:val="center"/>
          </w:tcPr>
          <w:p w14:paraId="53EFA65C">
            <w:r>
              <w:rPr>
                <w:rFonts w:hint="eastAsia"/>
              </w:rPr>
              <w:t xml:space="preserve">有效成分及其含量： </w:t>
            </w:r>
          </w:p>
          <w:p w14:paraId="22240266">
            <w:r>
              <w:rPr>
                <w:rFonts w:hint="eastAsia"/>
              </w:rPr>
              <w:t xml:space="preserve">    吡虫啉10%    </w:t>
            </w:r>
          </w:p>
        </w:tc>
      </w:tr>
      <w:tr w14:paraId="3522657D">
        <w:tblPrEx>
          <w:tblCellMar>
            <w:top w:w="0" w:type="dxa"/>
            <w:left w:w="0" w:type="dxa"/>
            <w:bottom w:w="0" w:type="dxa"/>
            <w:right w:w="0" w:type="dxa"/>
          </w:tblCellMar>
        </w:tblPrEx>
        <w:trPr>
          <w:wBefore w:w="0" w:type="auto"/>
          <w:tblCellSpacing w:w="0" w:type="dxa"/>
        </w:trPr>
        <w:tc>
          <w:tcPr>
            <w:tcW w:w="0" w:type="auto"/>
            <w:noWrap w:val="0"/>
            <w:vAlign w:val="center"/>
          </w:tcPr>
          <w:p w14:paraId="0E0E298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97490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E5F76D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FF02F5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47DF24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56110BD">
                  <w:r>
                    <w:rPr>
                      <w:rStyle w:val="11"/>
                      <w:rFonts w:hint="eastAsia"/>
                    </w:rPr>
                    <w:t>施用方式</w:t>
                  </w:r>
                </w:p>
              </w:tc>
            </w:tr>
            <w:tr w14:paraId="1D5377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764AEE7">
                  <w:r>
                    <w:rPr>
                      <w:rStyle w:val="11"/>
                      <w:rFonts w:hint="eastAsia"/>
                    </w:rPr>
                    <w:t>木材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8DEE6C">
                  <w:r>
                    <w:rPr>
                      <w:rStyle w:val="11"/>
                      <w:rFonts w:hint="eastAsia"/>
                    </w:rPr>
                    <w:t>白蚁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93D287">
                  <w:r>
                    <w:rPr>
                      <w:rStyle w:val="11"/>
                      <w:rFonts w:hint="eastAsia"/>
                    </w:rPr>
                    <w:t>100-200倍液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21E25B">
                  <w:r>
                    <w:rPr>
                      <w:rStyle w:val="11"/>
                      <w:rFonts w:hint="eastAsia"/>
                    </w:rPr>
                    <w:t>浸泡或涂刷</w:t>
                  </w:r>
                </w:p>
              </w:tc>
            </w:tr>
          </w:tbl>
          <w:p w14:paraId="13D4DFBA">
            <w:pPr>
              <w:rPr>
                <w:rFonts w:ascii="Times New Roman" w:hAnsi="Times New Roman" w:cs="Times New Roman"/>
                <w:sz w:val="20"/>
                <w:szCs w:val="20"/>
              </w:rPr>
            </w:pPr>
          </w:p>
        </w:tc>
      </w:tr>
      <w:tr w14:paraId="797A50D2">
        <w:tblPrEx>
          <w:tblCellMar>
            <w:top w:w="0" w:type="dxa"/>
            <w:left w:w="0" w:type="dxa"/>
            <w:bottom w:w="0" w:type="dxa"/>
            <w:right w:w="0" w:type="dxa"/>
          </w:tblCellMar>
        </w:tblPrEx>
        <w:trPr>
          <w:wBefore w:w="0" w:type="auto"/>
          <w:tblCellSpacing w:w="0" w:type="dxa"/>
        </w:trPr>
        <w:tc>
          <w:tcPr>
            <w:tcW w:w="0" w:type="auto"/>
            <w:noWrap w:val="0"/>
            <w:vAlign w:val="center"/>
          </w:tcPr>
          <w:p w14:paraId="1F32BD9D">
            <w:r>
              <w:rPr>
                <w:rStyle w:val="10"/>
                <w:rFonts w:hint="eastAsia"/>
              </w:rPr>
              <w:t>使用技术要求:</w:t>
            </w:r>
            <w:r>
              <w:rPr>
                <w:rFonts w:hint="eastAsia"/>
              </w:rPr>
              <w:br w:type="textWrapping"/>
            </w:r>
            <w:r>
              <w:rPr>
                <w:rStyle w:val="11"/>
                <w:rFonts w:hint="eastAsia"/>
              </w:rPr>
              <w:t xml:space="preserve">本品用于木材处理防治白蚁。兑水稀释100－200倍，取200mL/m2稀释液均匀涂刷于木材表面或浸泡木材24h，晾干后可有效防除白蚁危害。 </w:t>
            </w:r>
          </w:p>
        </w:tc>
      </w:tr>
      <w:tr w14:paraId="01CFACE0">
        <w:tblPrEx>
          <w:tblCellMar>
            <w:top w:w="0" w:type="dxa"/>
            <w:left w:w="0" w:type="dxa"/>
            <w:bottom w:w="0" w:type="dxa"/>
            <w:right w:w="0" w:type="dxa"/>
          </w:tblCellMar>
        </w:tblPrEx>
        <w:trPr>
          <w:wBefore w:w="0" w:type="auto"/>
          <w:tblCellSpacing w:w="0" w:type="dxa"/>
        </w:trPr>
        <w:tc>
          <w:tcPr>
            <w:tcW w:w="0" w:type="auto"/>
            <w:noWrap w:val="0"/>
            <w:vAlign w:val="center"/>
          </w:tcPr>
          <w:p w14:paraId="1C0EF071">
            <w:r>
              <w:rPr>
                <w:rStyle w:val="10"/>
                <w:rFonts w:hint="eastAsia"/>
              </w:rPr>
              <w:t>产品性能:</w:t>
            </w:r>
            <w:r>
              <w:rPr>
                <w:rFonts w:hint="eastAsia"/>
              </w:rPr>
              <w:br w:type="textWrapping"/>
            </w:r>
            <w:r>
              <w:rPr>
                <w:rStyle w:val="11"/>
                <w:rFonts w:hint="eastAsia"/>
              </w:rPr>
              <w:t>本品由烟碱类杀虫剂加工而成的乳白色不透明可流动悬浮液体，具有触杀和胃毒的作用，适用于建筑、园林、河岸堤坝、名胜古迹等场所通过木材处理，防治白蚁危害。</w:t>
            </w:r>
          </w:p>
        </w:tc>
      </w:tr>
      <w:tr w14:paraId="52FF3FA5">
        <w:tblPrEx>
          <w:tblCellMar>
            <w:top w:w="0" w:type="dxa"/>
            <w:left w:w="0" w:type="dxa"/>
            <w:bottom w:w="0" w:type="dxa"/>
            <w:right w:w="0" w:type="dxa"/>
          </w:tblCellMar>
        </w:tblPrEx>
        <w:trPr>
          <w:wBefore w:w="0" w:type="auto"/>
          <w:tblCellSpacing w:w="0" w:type="dxa"/>
        </w:trPr>
        <w:tc>
          <w:tcPr>
            <w:tcW w:w="0" w:type="auto"/>
            <w:noWrap w:val="0"/>
            <w:vAlign w:val="center"/>
          </w:tcPr>
          <w:p w14:paraId="4F9595D2">
            <w:r>
              <w:rPr>
                <w:rStyle w:val="10"/>
                <w:rFonts w:hint="eastAsia"/>
              </w:rPr>
              <w:t>注意事项：</w:t>
            </w:r>
            <w:r>
              <w:rPr>
                <w:rFonts w:hint="eastAsia"/>
              </w:rPr>
              <w:br w:type="textWrapping"/>
            </w:r>
            <w:r>
              <w:rPr>
                <w:rStyle w:val="11"/>
                <w:rFonts w:hint="eastAsia"/>
              </w:rPr>
              <w:t>1. 使用时，必须穿戴防护用具，不要让药剂沾染皮肤和眼睛。2. 现配现用，加水稀释后，不可久置，碱性条件下易分解。3. 使用后及时洗手、洗脸，清洗暴露在外的皮肤和工作服。 4.、本品对蚕、鱼、蜜蜂有毒，禁止将废液倾倒于水产养殖区，河塘等水体，禁止在河塘等水体中清洗施药器具。施药期间应避免对周围蜂群的影响，（周围）开花植物花期禁止使用。蚕室及其附近禁用。远离水产养殖区施药，禁止在河塘等水体中清洗施药器具。 5. 用过的容器应妥善处理，不可做他用，也不可随意丢弃。 6. 敏感体质人士，孕妇及哺乳期妇女请远离本品。</w:t>
            </w:r>
          </w:p>
        </w:tc>
      </w:tr>
      <w:tr w14:paraId="16D1C7A6">
        <w:tblPrEx>
          <w:tblCellMar>
            <w:top w:w="0" w:type="dxa"/>
            <w:left w:w="0" w:type="dxa"/>
            <w:bottom w:w="0" w:type="dxa"/>
            <w:right w:w="0" w:type="dxa"/>
          </w:tblCellMar>
        </w:tblPrEx>
        <w:trPr>
          <w:wBefore w:w="0" w:type="auto"/>
          <w:tblCellSpacing w:w="0" w:type="dxa"/>
        </w:trPr>
        <w:tc>
          <w:tcPr>
            <w:tcW w:w="0" w:type="auto"/>
            <w:noWrap w:val="0"/>
            <w:vAlign w:val="center"/>
          </w:tcPr>
          <w:p w14:paraId="49556928">
            <w:r>
              <w:rPr>
                <w:rStyle w:val="10"/>
                <w:rFonts w:hint="eastAsia"/>
              </w:rPr>
              <w:t>中毒急救措施：</w:t>
            </w:r>
            <w:r>
              <w:rPr>
                <w:rFonts w:hint="eastAsia"/>
              </w:rPr>
              <w:br w:type="textWrapping"/>
            </w:r>
            <w:r>
              <w:rPr>
                <w:rStyle w:val="11"/>
                <w:rFonts w:hint="eastAsia"/>
              </w:rPr>
              <w:t xml:space="preserve">若药液沾染皮肤和眼睛，请立即用大量清水冲洗至少15分钟。本品无特效解毒药，若误服，不要引吐、漱口并携带本产品包装立即就医。 </w:t>
            </w:r>
          </w:p>
        </w:tc>
      </w:tr>
      <w:tr w14:paraId="386B643D">
        <w:tblPrEx>
          <w:tblCellMar>
            <w:top w:w="0" w:type="dxa"/>
            <w:left w:w="0" w:type="dxa"/>
            <w:bottom w:w="0" w:type="dxa"/>
            <w:right w:w="0" w:type="dxa"/>
          </w:tblCellMar>
        </w:tblPrEx>
        <w:trPr>
          <w:wBefore w:w="0" w:type="auto"/>
          <w:tblCellSpacing w:w="0" w:type="dxa"/>
        </w:trPr>
        <w:tc>
          <w:tcPr>
            <w:tcW w:w="0" w:type="auto"/>
            <w:noWrap w:val="0"/>
            <w:vAlign w:val="center"/>
          </w:tcPr>
          <w:p w14:paraId="6148D0C9">
            <w:r>
              <w:rPr>
                <w:rStyle w:val="10"/>
                <w:rFonts w:hint="eastAsia"/>
              </w:rPr>
              <w:t>储存和运输方法：</w:t>
            </w:r>
            <w:r>
              <w:rPr>
                <w:rFonts w:hint="eastAsia"/>
              </w:rPr>
              <w:br w:type="textWrapping"/>
            </w:r>
            <w:r>
              <w:rPr>
                <w:rStyle w:val="11"/>
                <w:rFonts w:hint="eastAsia"/>
              </w:rPr>
              <w:t xml:space="preserve">本品应贮存于阴凉、干燥、通风、避光处，并远离火源和热源。 应置于儿童及宠物触及不到之处，并加锁。运输时，请防雨淋、高温，注意轻拿轻放，不得损坏包装。请勿与食品、饮料、种子、饲料、粮食等其它商品同贮同运。 </w:t>
            </w:r>
          </w:p>
        </w:tc>
      </w:tr>
      <w:tr w14:paraId="344093D3">
        <w:tblPrEx>
          <w:tblCellMar>
            <w:top w:w="0" w:type="dxa"/>
            <w:left w:w="0" w:type="dxa"/>
            <w:bottom w:w="0" w:type="dxa"/>
            <w:right w:w="0" w:type="dxa"/>
          </w:tblCellMar>
        </w:tblPrEx>
        <w:trPr>
          <w:wBefore w:w="0" w:type="auto"/>
          <w:tblCellSpacing w:w="0" w:type="dxa"/>
        </w:trPr>
        <w:tc>
          <w:tcPr>
            <w:tcW w:w="0" w:type="auto"/>
            <w:noWrap w:val="0"/>
            <w:vAlign w:val="center"/>
          </w:tcPr>
          <w:p w14:paraId="1A9F08A7">
            <w:r>
              <w:rPr>
                <w:rStyle w:val="10"/>
                <w:rFonts w:hint="eastAsia"/>
              </w:rPr>
              <w:t>质量保证期：</w:t>
            </w:r>
            <w:r>
              <w:rPr>
                <w:rStyle w:val="11"/>
                <w:rFonts w:hint="eastAsia"/>
              </w:rPr>
              <w:t>2年</w:t>
            </w:r>
          </w:p>
        </w:tc>
      </w:tr>
      <w:tr w14:paraId="5AF3C940">
        <w:tblPrEx>
          <w:tblCellMar>
            <w:top w:w="0" w:type="dxa"/>
            <w:left w:w="0" w:type="dxa"/>
            <w:bottom w:w="0" w:type="dxa"/>
            <w:right w:w="0" w:type="dxa"/>
          </w:tblCellMar>
        </w:tblPrEx>
        <w:trPr>
          <w:wBefore w:w="0" w:type="auto"/>
          <w:tblCellSpacing w:w="0" w:type="dxa"/>
        </w:trPr>
        <w:tc>
          <w:tcPr>
            <w:tcW w:w="0" w:type="auto"/>
            <w:noWrap w:val="0"/>
            <w:vAlign w:val="center"/>
          </w:tcPr>
          <w:p w14:paraId="4F5280D9">
            <w:r>
              <w:rPr>
                <w:rStyle w:val="10"/>
                <w:rFonts w:hint="eastAsia"/>
              </w:rPr>
              <w:t>备注：</w:t>
            </w:r>
          </w:p>
        </w:tc>
      </w:tr>
    </w:tbl>
    <w:p w14:paraId="27D1AC0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7E0FB9C">
        <w:tblPrEx>
          <w:tblCellMar>
            <w:top w:w="0" w:type="dxa"/>
            <w:left w:w="0" w:type="dxa"/>
            <w:bottom w:w="0" w:type="dxa"/>
            <w:right w:w="0" w:type="dxa"/>
          </w:tblCellMar>
        </w:tblPrEx>
        <w:trPr>
          <w:wBefore w:w="0" w:type="auto"/>
          <w:tblCellSpacing w:w="0" w:type="dxa"/>
        </w:trPr>
        <w:tc>
          <w:tcPr>
            <w:tcW w:w="0" w:type="auto"/>
            <w:noWrap w:val="0"/>
            <w:vAlign w:val="center"/>
          </w:tcPr>
          <w:p w14:paraId="42222FBD">
            <w:r>
              <w:rPr>
                <w:rStyle w:val="10"/>
                <w:rFonts w:hint="eastAsia"/>
              </w:rPr>
              <w:t>登记证号：</w:t>
            </w:r>
            <w:r>
              <w:rPr>
                <w:rFonts w:hint="eastAsia"/>
              </w:rPr>
              <w:t>PD20212015</w:t>
            </w:r>
          </w:p>
        </w:tc>
      </w:tr>
      <w:tr w14:paraId="7871D9BF">
        <w:tblPrEx>
          <w:tblCellMar>
            <w:top w:w="0" w:type="dxa"/>
            <w:left w:w="0" w:type="dxa"/>
            <w:bottom w:w="0" w:type="dxa"/>
            <w:right w:w="0" w:type="dxa"/>
          </w:tblCellMar>
        </w:tblPrEx>
        <w:trPr>
          <w:wBefore w:w="0" w:type="auto"/>
          <w:tblCellSpacing w:w="0" w:type="dxa"/>
        </w:trPr>
        <w:tc>
          <w:tcPr>
            <w:tcW w:w="0" w:type="auto"/>
            <w:noWrap w:val="0"/>
            <w:vAlign w:val="center"/>
          </w:tcPr>
          <w:p w14:paraId="796F899D">
            <w:r>
              <w:rPr>
                <w:rStyle w:val="10"/>
                <w:rFonts w:hint="eastAsia"/>
              </w:rPr>
              <w:t>登记证持有人：</w:t>
            </w:r>
            <w:r>
              <w:rPr>
                <w:rFonts w:hint="eastAsia"/>
              </w:rPr>
              <w:t>山东曹达化工有限公司</w:t>
            </w:r>
          </w:p>
        </w:tc>
      </w:tr>
      <w:tr w14:paraId="0E272BCD">
        <w:tblPrEx>
          <w:tblCellMar>
            <w:top w:w="0" w:type="dxa"/>
            <w:left w:w="0" w:type="dxa"/>
            <w:bottom w:w="0" w:type="dxa"/>
            <w:right w:w="0" w:type="dxa"/>
          </w:tblCellMar>
        </w:tblPrEx>
        <w:trPr>
          <w:wBefore w:w="0" w:type="auto"/>
          <w:tblCellSpacing w:w="0" w:type="dxa"/>
        </w:trPr>
        <w:tc>
          <w:tcPr>
            <w:tcW w:w="0" w:type="auto"/>
            <w:noWrap w:val="0"/>
            <w:vAlign w:val="center"/>
          </w:tcPr>
          <w:p w14:paraId="319CD584">
            <w:r>
              <w:rPr>
                <w:rStyle w:val="10"/>
                <w:rFonts w:hint="eastAsia"/>
              </w:rPr>
              <w:t>农药名称：</w:t>
            </w:r>
            <w:r>
              <w:rPr>
                <w:rFonts w:hint="eastAsia"/>
              </w:rPr>
              <w:t>噻呋·嘧菌酯</w:t>
            </w:r>
          </w:p>
        </w:tc>
      </w:tr>
      <w:tr w14:paraId="426FAB2C">
        <w:tblPrEx>
          <w:tblCellMar>
            <w:top w:w="0" w:type="dxa"/>
            <w:left w:w="0" w:type="dxa"/>
            <w:bottom w:w="0" w:type="dxa"/>
            <w:right w:w="0" w:type="dxa"/>
          </w:tblCellMar>
        </w:tblPrEx>
        <w:trPr>
          <w:wBefore w:w="0" w:type="auto"/>
          <w:tblCellSpacing w:w="0" w:type="dxa"/>
        </w:trPr>
        <w:tc>
          <w:tcPr>
            <w:tcW w:w="0" w:type="auto"/>
            <w:noWrap w:val="0"/>
            <w:vAlign w:val="center"/>
          </w:tcPr>
          <w:p w14:paraId="3FA3102F">
            <w:r>
              <w:rPr>
                <w:rStyle w:val="10"/>
                <w:rFonts w:hint="eastAsia"/>
              </w:rPr>
              <w:t>剂型：</w:t>
            </w:r>
            <w:r>
              <w:rPr>
                <w:rFonts w:hint="eastAsia"/>
              </w:rPr>
              <w:t>悬浮剂</w:t>
            </w:r>
          </w:p>
        </w:tc>
      </w:tr>
      <w:tr w14:paraId="36407C23">
        <w:tblPrEx>
          <w:tblCellMar>
            <w:top w:w="0" w:type="dxa"/>
            <w:left w:w="0" w:type="dxa"/>
            <w:bottom w:w="0" w:type="dxa"/>
            <w:right w:w="0" w:type="dxa"/>
          </w:tblCellMar>
        </w:tblPrEx>
        <w:trPr>
          <w:wBefore w:w="0" w:type="auto"/>
          <w:tblCellSpacing w:w="0" w:type="dxa"/>
        </w:trPr>
        <w:tc>
          <w:tcPr>
            <w:tcW w:w="0" w:type="auto"/>
            <w:noWrap w:val="0"/>
            <w:vAlign w:val="center"/>
          </w:tcPr>
          <w:p w14:paraId="1EFAE0BA">
            <w:r>
              <w:rPr>
                <w:rStyle w:val="10"/>
                <w:rFonts w:hint="eastAsia"/>
              </w:rPr>
              <w:t>毒性及其标识：</w:t>
            </w:r>
            <w:r>
              <w:rPr>
                <w:rFonts w:hint="eastAsia"/>
              </w:rPr>
              <w:t xml:space="preserve"> </w:t>
            </w:r>
            <w:r>
              <w:rPr>
                <w:lang/>
              </w:rPr>
              <w:drawing>
                <wp:inline distT="0" distB="0" distL="114300" distR="114300">
                  <wp:extent cx="476250" cy="323850"/>
                  <wp:effectExtent l="0" t="0" r="0" b="0"/>
                  <wp:docPr id="40" name="图片 4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30CB530">
        <w:tblPrEx>
          <w:tblCellMar>
            <w:top w:w="0" w:type="dxa"/>
            <w:left w:w="0" w:type="dxa"/>
            <w:bottom w:w="0" w:type="dxa"/>
            <w:right w:w="0" w:type="dxa"/>
          </w:tblCellMar>
        </w:tblPrEx>
        <w:trPr>
          <w:wBefore w:w="0" w:type="auto"/>
          <w:tblCellSpacing w:w="0" w:type="dxa"/>
        </w:trPr>
        <w:tc>
          <w:tcPr>
            <w:tcW w:w="0" w:type="auto"/>
            <w:noWrap w:val="0"/>
            <w:vAlign w:val="center"/>
          </w:tcPr>
          <w:p w14:paraId="5956B3F1">
            <w:r>
              <w:rPr>
                <w:rStyle w:val="10"/>
                <w:rFonts w:hint="eastAsia"/>
              </w:rPr>
              <w:t>总有效成分含量：</w:t>
            </w:r>
            <w:r>
              <w:rPr>
                <w:rFonts w:hint="eastAsia"/>
              </w:rPr>
              <w:t>30%</w:t>
            </w:r>
          </w:p>
        </w:tc>
      </w:tr>
      <w:tr w14:paraId="62A1EE57">
        <w:tblPrEx>
          <w:tblCellMar>
            <w:top w:w="0" w:type="dxa"/>
            <w:left w:w="0" w:type="dxa"/>
            <w:bottom w:w="0" w:type="dxa"/>
            <w:right w:w="0" w:type="dxa"/>
          </w:tblCellMar>
        </w:tblPrEx>
        <w:trPr>
          <w:wBefore w:w="0" w:type="auto"/>
          <w:tblCellSpacing w:w="0" w:type="dxa"/>
        </w:trPr>
        <w:tc>
          <w:tcPr>
            <w:tcW w:w="0" w:type="auto"/>
            <w:noWrap w:val="0"/>
            <w:vAlign w:val="center"/>
          </w:tcPr>
          <w:p w14:paraId="73D70052">
            <w:r>
              <w:rPr>
                <w:rFonts w:hint="eastAsia"/>
              </w:rPr>
              <w:t xml:space="preserve">有效成分及其含量： </w:t>
            </w:r>
          </w:p>
          <w:p w14:paraId="4835ACE2">
            <w:r>
              <w:rPr>
                <w:rFonts w:hint="eastAsia"/>
              </w:rPr>
              <w:t xml:space="preserve">    噻呋酰胺10%    嘧菌酯20%    </w:t>
            </w:r>
          </w:p>
        </w:tc>
      </w:tr>
      <w:tr w14:paraId="4A46B255">
        <w:tblPrEx>
          <w:tblCellMar>
            <w:top w:w="0" w:type="dxa"/>
            <w:left w:w="0" w:type="dxa"/>
            <w:bottom w:w="0" w:type="dxa"/>
            <w:right w:w="0" w:type="dxa"/>
          </w:tblCellMar>
        </w:tblPrEx>
        <w:trPr>
          <w:wBefore w:w="0" w:type="auto"/>
          <w:tblCellSpacing w:w="0" w:type="dxa"/>
        </w:trPr>
        <w:tc>
          <w:tcPr>
            <w:tcW w:w="0" w:type="auto"/>
            <w:noWrap w:val="0"/>
            <w:vAlign w:val="center"/>
          </w:tcPr>
          <w:p w14:paraId="527B32E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8010E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F3EDAA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ED34D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714C99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0BCA07D">
                  <w:r>
                    <w:rPr>
                      <w:rStyle w:val="11"/>
                      <w:rFonts w:hint="eastAsia"/>
                    </w:rPr>
                    <w:t>施用方式</w:t>
                  </w:r>
                </w:p>
              </w:tc>
            </w:tr>
            <w:tr w14:paraId="6919BB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D7D034A">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5054CD">
                  <w:r>
                    <w:rPr>
                      <w:rStyle w:val="11"/>
                      <w:rFonts w:hint="eastAsia"/>
                    </w:rPr>
                    <w:t>纹枯病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5E44EE">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8CCA7C">
                  <w:r>
                    <w:rPr>
                      <w:rStyle w:val="11"/>
                      <w:rFonts w:hint="eastAsia"/>
                    </w:rPr>
                    <w:t>喷雾</w:t>
                  </w:r>
                </w:p>
              </w:tc>
            </w:tr>
          </w:tbl>
          <w:p w14:paraId="191C77E4">
            <w:pPr>
              <w:rPr>
                <w:rFonts w:ascii="Times New Roman" w:hAnsi="Times New Roman" w:cs="Times New Roman"/>
                <w:sz w:val="20"/>
                <w:szCs w:val="20"/>
              </w:rPr>
            </w:pPr>
          </w:p>
        </w:tc>
      </w:tr>
      <w:tr w14:paraId="46678551">
        <w:tblPrEx>
          <w:tblCellMar>
            <w:top w:w="0" w:type="dxa"/>
            <w:left w:w="0" w:type="dxa"/>
            <w:bottom w:w="0" w:type="dxa"/>
            <w:right w:w="0" w:type="dxa"/>
          </w:tblCellMar>
        </w:tblPrEx>
        <w:trPr>
          <w:wBefore w:w="0" w:type="auto"/>
          <w:tblCellSpacing w:w="0" w:type="dxa"/>
        </w:trPr>
        <w:tc>
          <w:tcPr>
            <w:tcW w:w="0" w:type="auto"/>
            <w:noWrap w:val="0"/>
            <w:vAlign w:val="center"/>
          </w:tcPr>
          <w:p w14:paraId="504B9FDB">
            <w:r>
              <w:rPr>
                <w:rStyle w:val="10"/>
                <w:rFonts w:hint="eastAsia"/>
              </w:rPr>
              <w:t>使用技术要求:</w:t>
            </w:r>
            <w:r>
              <w:rPr>
                <w:rFonts w:hint="eastAsia"/>
              </w:rPr>
              <w:br w:type="textWrapping"/>
            </w:r>
            <w:r>
              <w:rPr>
                <w:rStyle w:val="11"/>
                <w:rFonts w:hint="eastAsia"/>
              </w:rPr>
              <w:t>1、在水稻上的安全间隔期为21天，每个作物周期最多使用1次；2、本品应于水稻纹枯病发生前或发病初期施药； 3、纹枯病发生严重时，可适当提高用药量和用水量； 4、耐雨性强，施药后1-2小时降雨不影响药效。</w:t>
            </w:r>
          </w:p>
        </w:tc>
      </w:tr>
      <w:tr w14:paraId="67E7DFD6">
        <w:tblPrEx>
          <w:tblCellMar>
            <w:top w:w="0" w:type="dxa"/>
            <w:left w:w="0" w:type="dxa"/>
            <w:bottom w:w="0" w:type="dxa"/>
            <w:right w:w="0" w:type="dxa"/>
          </w:tblCellMar>
        </w:tblPrEx>
        <w:trPr>
          <w:wBefore w:w="0" w:type="auto"/>
          <w:tblCellSpacing w:w="0" w:type="dxa"/>
        </w:trPr>
        <w:tc>
          <w:tcPr>
            <w:tcW w:w="0" w:type="auto"/>
            <w:noWrap w:val="0"/>
            <w:vAlign w:val="center"/>
          </w:tcPr>
          <w:p w14:paraId="317038C0">
            <w:r>
              <w:rPr>
                <w:rStyle w:val="10"/>
                <w:rFonts w:hint="eastAsia"/>
              </w:rPr>
              <w:t>产品性能:</w:t>
            </w:r>
            <w:r>
              <w:rPr>
                <w:rFonts w:hint="eastAsia"/>
              </w:rPr>
              <w:br w:type="textWrapping"/>
            </w:r>
            <w:r>
              <w:rPr>
                <w:rStyle w:val="11"/>
                <w:rFonts w:hint="eastAsia"/>
              </w:rPr>
              <w:t>本品由噻唑酰胺类杀菌剂和甲氧基丙烯酸酯类杀菌剂复配而成，具有强内吸传导性和长持效性，对水稻纹枯病防效优异且持效期长，具有较少用药次数等特点；在改善剑叶光合作用等方面亦能表现出较好的效果。在水稻上使用，可有效预防和治疗水稻纹枯病。</w:t>
            </w:r>
          </w:p>
        </w:tc>
      </w:tr>
      <w:tr w14:paraId="71CA1011">
        <w:tblPrEx>
          <w:tblCellMar>
            <w:top w:w="0" w:type="dxa"/>
            <w:left w:w="0" w:type="dxa"/>
            <w:bottom w:w="0" w:type="dxa"/>
            <w:right w:w="0" w:type="dxa"/>
          </w:tblCellMar>
        </w:tblPrEx>
        <w:trPr>
          <w:wBefore w:w="0" w:type="auto"/>
          <w:tblCellSpacing w:w="0" w:type="dxa"/>
        </w:trPr>
        <w:tc>
          <w:tcPr>
            <w:tcW w:w="0" w:type="auto"/>
            <w:noWrap w:val="0"/>
            <w:vAlign w:val="center"/>
          </w:tcPr>
          <w:p w14:paraId="553DC74E">
            <w:r>
              <w:rPr>
                <w:rStyle w:val="10"/>
                <w:rFonts w:hint="eastAsia"/>
              </w:rPr>
              <w:t>注意事项：</w:t>
            </w:r>
            <w:r>
              <w:rPr>
                <w:rFonts w:hint="eastAsia"/>
              </w:rPr>
              <w:br w:type="textWrapping"/>
            </w:r>
            <w:r>
              <w:rPr>
                <w:rStyle w:val="11"/>
                <w:rFonts w:hint="eastAsia"/>
              </w:rPr>
              <w:t>1、建议与其他作用机制不同的杀菌剂轮换使用，以延缓抗性产生； 2、本品对鱼类等水生生物有毒，水产养殖区、河塘等水体附近禁用，禁止在河塘等水体中清洗施药器具；鱼或虾蟹套养稻田禁用，施药后的田水不得直接排入水体；蚕室及桑园附近禁用，或采用最外围桑树作为隔离带以降低对家蚕的风险； 3、不可与碱性农药等物质混合使用，避免与氧化剂接触；4、开启包装时注意用力不要过大，以免药剂散溅； 5、配药和施药时，应穿戴防护服和手套，避免吸入药液；施药期间不可吃东西、饮水等；施药后应及时洗手和洗脸； 6、孕妇及哺乳期妇女禁止接触本品； 7、用过的容器应妥善处理，不可做他用，也不可随意丢弃。</w:t>
            </w:r>
          </w:p>
        </w:tc>
      </w:tr>
      <w:tr w14:paraId="4BC38FAE">
        <w:tblPrEx>
          <w:tblCellMar>
            <w:top w:w="0" w:type="dxa"/>
            <w:left w:w="0" w:type="dxa"/>
            <w:bottom w:w="0" w:type="dxa"/>
            <w:right w:w="0" w:type="dxa"/>
          </w:tblCellMar>
        </w:tblPrEx>
        <w:trPr>
          <w:wBefore w:w="0" w:type="auto"/>
          <w:tblCellSpacing w:w="0" w:type="dxa"/>
        </w:trPr>
        <w:tc>
          <w:tcPr>
            <w:tcW w:w="0" w:type="auto"/>
            <w:noWrap w:val="0"/>
            <w:vAlign w:val="center"/>
          </w:tcPr>
          <w:p w14:paraId="7496A9AF">
            <w:r>
              <w:rPr>
                <w:rStyle w:val="10"/>
                <w:rFonts w:hint="eastAsia"/>
              </w:rPr>
              <w:t>中毒急救措施：</w:t>
            </w:r>
            <w:r>
              <w:rPr>
                <w:rFonts w:hint="eastAsia"/>
              </w:rPr>
              <w:br w:type="textWrapping"/>
            </w:r>
            <w:r>
              <w:rPr>
                <w:rStyle w:val="11"/>
                <w:rFonts w:hint="eastAsia"/>
              </w:rPr>
              <w:t>不慎吸入，应将病人移至空气流通处。不慎接触皮肤或溅入眼睛，应用大量清水冲洗至少15分钟。误服应携此标签将病人送医院对症治疗。如神志清醒，可饮用两杯清水。切勿给神志不清者喂食任何东西。</w:t>
            </w:r>
          </w:p>
        </w:tc>
      </w:tr>
      <w:tr w14:paraId="52B8CC7C">
        <w:tblPrEx>
          <w:tblCellMar>
            <w:top w:w="0" w:type="dxa"/>
            <w:left w:w="0" w:type="dxa"/>
            <w:bottom w:w="0" w:type="dxa"/>
            <w:right w:w="0" w:type="dxa"/>
          </w:tblCellMar>
        </w:tblPrEx>
        <w:trPr>
          <w:wBefore w:w="0" w:type="auto"/>
          <w:tblCellSpacing w:w="0" w:type="dxa"/>
        </w:trPr>
        <w:tc>
          <w:tcPr>
            <w:tcW w:w="0" w:type="auto"/>
            <w:noWrap w:val="0"/>
            <w:vAlign w:val="center"/>
          </w:tcPr>
          <w:p w14:paraId="368C15F5">
            <w:r>
              <w:rPr>
                <w:rStyle w:val="10"/>
                <w:rFonts w:hint="eastAsia"/>
              </w:rPr>
              <w:t>储存和运输方法：</w:t>
            </w:r>
            <w:r>
              <w:rPr>
                <w:rFonts w:hint="eastAsia"/>
              </w:rPr>
              <w:br w:type="textWrapping"/>
            </w:r>
            <w:r>
              <w:rPr>
                <w:rStyle w:val="11"/>
                <w:rFonts w:hint="eastAsia"/>
              </w:rPr>
              <w:t>本品应贮存在干燥、阴凉、通风、防雨处，远离火源或热源。防止倒置和碰撞。置于儿童触及不到之处，并加锁。勿与食品、饮料、饲料等其他商品同贮同运。</w:t>
            </w:r>
          </w:p>
        </w:tc>
      </w:tr>
      <w:tr w14:paraId="39184AF0">
        <w:tblPrEx>
          <w:tblCellMar>
            <w:top w:w="0" w:type="dxa"/>
            <w:left w:w="0" w:type="dxa"/>
            <w:bottom w:w="0" w:type="dxa"/>
            <w:right w:w="0" w:type="dxa"/>
          </w:tblCellMar>
        </w:tblPrEx>
        <w:trPr>
          <w:wBefore w:w="0" w:type="auto"/>
          <w:tblCellSpacing w:w="0" w:type="dxa"/>
        </w:trPr>
        <w:tc>
          <w:tcPr>
            <w:tcW w:w="0" w:type="auto"/>
            <w:noWrap w:val="0"/>
            <w:vAlign w:val="center"/>
          </w:tcPr>
          <w:p w14:paraId="771BD842">
            <w:r>
              <w:rPr>
                <w:rStyle w:val="10"/>
                <w:rFonts w:hint="eastAsia"/>
              </w:rPr>
              <w:t>质量保证期：</w:t>
            </w:r>
            <w:r>
              <w:rPr>
                <w:rStyle w:val="11"/>
                <w:rFonts w:hint="eastAsia"/>
              </w:rPr>
              <w:t>2年</w:t>
            </w:r>
          </w:p>
        </w:tc>
      </w:tr>
      <w:tr w14:paraId="03901877">
        <w:tblPrEx>
          <w:tblCellMar>
            <w:top w:w="0" w:type="dxa"/>
            <w:left w:w="0" w:type="dxa"/>
            <w:bottom w:w="0" w:type="dxa"/>
            <w:right w:w="0" w:type="dxa"/>
          </w:tblCellMar>
        </w:tblPrEx>
        <w:trPr>
          <w:wBefore w:w="0" w:type="auto"/>
          <w:tblCellSpacing w:w="0" w:type="dxa"/>
        </w:trPr>
        <w:tc>
          <w:tcPr>
            <w:tcW w:w="0" w:type="auto"/>
            <w:noWrap w:val="0"/>
            <w:vAlign w:val="center"/>
          </w:tcPr>
          <w:p w14:paraId="625C75A8">
            <w:r>
              <w:rPr>
                <w:rStyle w:val="10"/>
                <w:rFonts w:hint="eastAsia"/>
              </w:rPr>
              <w:t>备注：</w:t>
            </w:r>
          </w:p>
        </w:tc>
      </w:tr>
    </w:tbl>
    <w:p w14:paraId="48631CD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761300">
        <w:tblPrEx>
          <w:tblCellMar>
            <w:top w:w="0" w:type="dxa"/>
            <w:left w:w="0" w:type="dxa"/>
            <w:bottom w:w="0" w:type="dxa"/>
            <w:right w:w="0" w:type="dxa"/>
          </w:tblCellMar>
        </w:tblPrEx>
        <w:trPr>
          <w:wBefore w:w="0" w:type="auto"/>
          <w:tblCellSpacing w:w="0" w:type="dxa"/>
        </w:trPr>
        <w:tc>
          <w:tcPr>
            <w:tcW w:w="0" w:type="auto"/>
            <w:noWrap w:val="0"/>
            <w:vAlign w:val="center"/>
          </w:tcPr>
          <w:p w14:paraId="22280C13">
            <w:r>
              <w:rPr>
                <w:rStyle w:val="10"/>
                <w:rFonts w:hint="eastAsia"/>
              </w:rPr>
              <w:t>登记证号：</w:t>
            </w:r>
            <w:r>
              <w:rPr>
                <w:rFonts w:hint="eastAsia"/>
              </w:rPr>
              <w:t>PD20212235</w:t>
            </w:r>
          </w:p>
        </w:tc>
      </w:tr>
      <w:tr w14:paraId="598F9BE9">
        <w:tblPrEx>
          <w:tblCellMar>
            <w:top w:w="0" w:type="dxa"/>
            <w:left w:w="0" w:type="dxa"/>
            <w:bottom w:w="0" w:type="dxa"/>
            <w:right w:w="0" w:type="dxa"/>
          </w:tblCellMar>
        </w:tblPrEx>
        <w:trPr>
          <w:wBefore w:w="0" w:type="auto"/>
          <w:tblCellSpacing w:w="0" w:type="dxa"/>
        </w:trPr>
        <w:tc>
          <w:tcPr>
            <w:tcW w:w="0" w:type="auto"/>
            <w:noWrap w:val="0"/>
            <w:vAlign w:val="center"/>
          </w:tcPr>
          <w:p w14:paraId="548A49F0">
            <w:r>
              <w:rPr>
                <w:rStyle w:val="10"/>
                <w:rFonts w:hint="eastAsia"/>
              </w:rPr>
              <w:t>登记证持有人：</w:t>
            </w:r>
            <w:r>
              <w:rPr>
                <w:rFonts w:hint="eastAsia"/>
              </w:rPr>
              <w:t>广安利尔化学有限公司</w:t>
            </w:r>
          </w:p>
        </w:tc>
      </w:tr>
      <w:tr w14:paraId="365414E0">
        <w:tblPrEx>
          <w:tblCellMar>
            <w:top w:w="0" w:type="dxa"/>
            <w:left w:w="0" w:type="dxa"/>
            <w:bottom w:w="0" w:type="dxa"/>
            <w:right w:w="0" w:type="dxa"/>
          </w:tblCellMar>
        </w:tblPrEx>
        <w:trPr>
          <w:wBefore w:w="0" w:type="auto"/>
          <w:tblCellSpacing w:w="0" w:type="dxa"/>
        </w:trPr>
        <w:tc>
          <w:tcPr>
            <w:tcW w:w="0" w:type="auto"/>
            <w:noWrap w:val="0"/>
            <w:vAlign w:val="center"/>
          </w:tcPr>
          <w:p w14:paraId="66DB6BA3">
            <w:r>
              <w:rPr>
                <w:rStyle w:val="10"/>
                <w:rFonts w:hint="eastAsia"/>
              </w:rPr>
              <w:t>农药名称：</w:t>
            </w:r>
            <w:r>
              <w:rPr>
                <w:rFonts w:hint="eastAsia"/>
              </w:rPr>
              <w:t>精草铵膦铵盐</w:t>
            </w:r>
          </w:p>
        </w:tc>
      </w:tr>
      <w:tr w14:paraId="005ADA02">
        <w:tblPrEx>
          <w:tblCellMar>
            <w:top w:w="0" w:type="dxa"/>
            <w:left w:w="0" w:type="dxa"/>
            <w:bottom w:w="0" w:type="dxa"/>
            <w:right w:w="0" w:type="dxa"/>
          </w:tblCellMar>
        </w:tblPrEx>
        <w:trPr>
          <w:wBefore w:w="0" w:type="auto"/>
          <w:tblCellSpacing w:w="0" w:type="dxa"/>
        </w:trPr>
        <w:tc>
          <w:tcPr>
            <w:tcW w:w="0" w:type="auto"/>
            <w:noWrap w:val="0"/>
            <w:vAlign w:val="center"/>
          </w:tcPr>
          <w:p w14:paraId="3BF95A15">
            <w:r>
              <w:rPr>
                <w:rStyle w:val="10"/>
                <w:rFonts w:hint="eastAsia"/>
              </w:rPr>
              <w:t>剂型：</w:t>
            </w:r>
            <w:r>
              <w:rPr>
                <w:rFonts w:hint="eastAsia"/>
              </w:rPr>
              <w:t>可溶液剂</w:t>
            </w:r>
          </w:p>
        </w:tc>
      </w:tr>
      <w:tr w14:paraId="506B042C">
        <w:tblPrEx>
          <w:tblCellMar>
            <w:top w:w="0" w:type="dxa"/>
            <w:left w:w="0" w:type="dxa"/>
            <w:bottom w:w="0" w:type="dxa"/>
            <w:right w:w="0" w:type="dxa"/>
          </w:tblCellMar>
        </w:tblPrEx>
        <w:trPr>
          <w:wBefore w:w="0" w:type="auto"/>
          <w:tblCellSpacing w:w="0" w:type="dxa"/>
        </w:trPr>
        <w:tc>
          <w:tcPr>
            <w:tcW w:w="0" w:type="auto"/>
            <w:noWrap w:val="0"/>
            <w:vAlign w:val="center"/>
          </w:tcPr>
          <w:p w14:paraId="253C7DA0">
            <w:r>
              <w:rPr>
                <w:rStyle w:val="10"/>
                <w:rFonts w:hint="eastAsia"/>
              </w:rPr>
              <w:t>毒性及其标识：</w:t>
            </w:r>
            <w:r>
              <w:rPr>
                <w:rFonts w:hint="eastAsia"/>
              </w:rPr>
              <w:t xml:space="preserve"> </w:t>
            </w:r>
            <w:r>
              <w:rPr>
                <w:lang/>
              </w:rPr>
              <w:drawing>
                <wp:inline distT="0" distB="0" distL="114300" distR="114300">
                  <wp:extent cx="476250" cy="323850"/>
                  <wp:effectExtent l="0" t="0" r="0" b="0"/>
                  <wp:docPr id="41" name="图片 4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868EB9C">
        <w:tblPrEx>
          <w:tblCellMar>
            <w:top w:w="0" w:type="dxa"/>
            <w:left w:w="0" w:type="dxa"/>
            <w:bottom w:w="0" w:type="dxa"/>
            <w:right w:w="0" w:type="dxa"/>
          </w:tblCellMar>
        </w:tblPrEx>
        <w:trPr>
          <w:wBefore w:w="0" w:type="auto"/>
          <w:tblCellSpacing w:w="0" w:type="dxa"/>
        </w:trPr>
        <w:tc>
          <w:tcPr>
            <w:tcW w:w="0" w:type="auto"/>
            <w:noWrap w:val="0"/>
            <w:vAlign w:val="center"/>
          </w:tcPr>
          <w:p w14:paraId="5FD041CC">
            <w:r>
              <w:rPr>
                <w:rStyle w:val="10"/>
                <w:rFonts w:hint="eastAsia"/>
              </w:rPr>
              <w:t>总有效成分含量：</w:t>
            </w:r>
            <w:r>
              <w:rPr>
                <w:rFonts w:hint="eastAsia"/>
              </w:rPr>
              <w:t>10%</w:t>
            </w:r>
          </w:p>
        </w:tc>
      </w:tr>
      <w:tr w14:paraId="7FE1885A">
        <w:tblPrEx>
          <w:tblCellMar>
            <w:top w:w="0" w:type="dxa"/>
            <w:left w:w="0" w:type="dxa"/>
            <w:bottom w:w="0" w:type="dxa"/>
            <w:right w:w="0" w:type="dxa"/>
          </w:tblCellMar>
        </w:tblPrEx>
        <w:trPr>
          <w:wBefore w:w="0" w:type="auto"/>
          <w:tblCellSpacing w:w="0" w:type="dxa"/>
        </w:trPr>
        <w:tc>
          <w:tcPr>
            <w:tcW w:w="0" w:type="auto"/>
            <w:noWrap w:val="0"/>
            <w:vAlign w:val="center"/>
          </w:tcPr>
          <w:p w14:paraId="11C946A2">
            <w:r>
              <w:rPr>
                <w:rFonts w:hint="eastAsia"/>
              </w:rPr>
              <w:t xml:space="preserve">有效成分及其含量： </w:t>
            </w:r>
          </w:p>
          <w:p w14:paraId="0AC7AC46">
            <w:r>
              <w:rPr>
                <w:rFonts w:hint="eastAsia"/>
              </w:rPr>
              <w:t xml:space="preserve">    精草铵膦10%    </w:t>
            </w:r>
          </w:p>
        </w:tc>
      </w:tr>
      <w:tr w14:paraId="08FA7148">
        <w:tblPrEx>
          <w:tblCellMar>
            <w:top w:w="0" w:type="dxa"/>
            <w:left w:w="0" w:type="dxa"/>
            <w:bottom w:w="0" w:type="dxa"/>
            <w:right w:w="0" w:type="dxa"/>
          </w:tblCellMar>
        </w:tblPrEx>
        <w:trPr>
          <w:wBefore w:w="0" w:type="auto"/>
          <w:tblCellSpacing w:w="0" w:type="dxa"/>
        </w:trPr>
        <w:tc>
          <w:tcPr>
            <w:tcW w:w="0" w:type="auto"/>
            <w:noWrap w:val="0"/>
            <w:vAlign w:val="center"/>
          </w:tcPr>
          <w:p w14:paraId="6D9A169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F0ACB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E0E852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78D2AD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756AF1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85674E">
                  <w:r>
                    <w:rPr>
                      <w:rStyle w:val="11"/>
                      <w:rFonts w:hint="eastAsia"/>
                    </w:rPr>
                    <w:t>施用方式</w:t>
                  </w:r>
                </w:p>
              </w:tc>
            </w:tr>
            <w:tr w14:paraId="55654C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C88F4C3">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2D4573">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BE663D">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357435">
                  <w:r>
                    <w:rPr>
                      <w:rStyle w:val="11"/>
                      <w:rFonts w:hint="eastAsia"/>
                    </w:rPr>
                    <w:t>茎叶喷雾</w:t>
                  </w:r>
                </w:p>
              </w:tc>
            </w:tr>
          </w:tbl>
          <w:p w14:paraId="4A35618D">
            <w:pPr>
              <w:rPr>
                <w:rFonts w:ascii="Times New Roman" w:hAnsi="Times New Roman" w:cs="Times New Roman"/>
                <w:sz w:val="20"/>
                <w:szCs w:val="20"/>
              </w:rPr>
            </w:pPr>
          </w:p>
        </w:tc>
      </w:tr>
      <w:tr w14:paraId="792B3593">
        <w:tblPrEx>
          <w:tblCellMar>
            <w:top w:w="0" w:type="dxa"/>
            <w:left w:w="0" w:type="dxa"/>
            <w:bottom w:w="0" w:type="dxa"/>
            <w:right w:w="0" w:type="dxa"/>
          </w:tblCellMar>
        </w:tblPrEx>
        <w:trPr>
          <w:wBefore w:w="0" w:type="auto"/>
          <w:tblCellSpacing w:w="0" w:type="dxa"/>
        </w:trPr>
        <w:tc>
          <w:tcPr>
            <w:tcW w:w="0" w:type="auto"/>
            <w:noWrap w:val="0"/>
            <w:vAlign w:val="center"/>
          </w:tcPr>
          <w:p w14:paraId="0DBF83E6">
            <w:r>
              <w:rPr>
                <w:rStyle w:val="10"/>
                <w:rFonts w:hint="eastAsia"/>
              </w:rPr>
              <w:t>使用技术要求:</w:t>
            </w:r>
            <w:r>
              <w:rPr>
                <w:rFonts w:hint="eastAsia"/>
              </w:rPr>
              <w:br w:type="textWrapping"/>
            </w:r>
            <w:r>
              <w:rPr>
                <w:rStyle w:val="11"/>
                <w:rFonts w:hint="eastAsia"/>
              </w:rPr>
              <w:t>非耕地杂草旺盛生长期茎叶喷雾施药一次，确保杂草喷湿喷透。若杂草草龄较大或杂草密度较大时应增加用药量。禁止在田间道路、田埂、果树行间、休耕地、林场地等农林区域使用。</w:t>
            </w:r>
          </w:p>
        </w:tc>
      </w:tr>
      <w:tr w14:paraId="01AF4682">
        <w:tblPrEx>
          <w:tblCellMar>
            <w:top w:w="0" w:type="dxa"/>
            <w:left w:w="0" w:type="dxa"/>
            <w:bottom w:w="0" w:type="dxa"/>
            <w:right w:w="0" w:type="dxa"/>
          </w:tblCellMar>
        </w:tblPrEx>
        <w:trPr>
          <w:wBefore w:w="0" w:type="auto"/>
          <w:tblCellSpacing w:w="0" w:type="dxa"/>
        </w:trPr>
        <w:tc>
          <w:tcPr>
            <w:tcW w:w="0" w:type="auto"/>
            <w:noWrap w:val="0"/>
            <w:vAlign w:val="center"/>
          </w:tcPr>
          <w:p w14:paraId="18A57D46">
            <w:r>
              <w:rPr>
                <w:rStyle w:val="10"/>
                <w:rFonts w:hint="eastAsia"/>
              </w:rPr>
              <w:t>产品性能:</w:t>
            </w:r>
            <w:r>
              <w:rPr>
                <w:rFonts w:hint="eastAsia"/>
              </w:rPr>
              <w:br w:type="textWrapping"/>
            </w:r>
            <w:r>
              <w:rPr>
                <w:rStyle w:val="11"/>
                <w:rFonts w:hint="eastAsia"/>
              </w:rPr>
              <w:t>本品是一种非选择性触杀型除草剂。</w:t>
            </w:r>
          </w:p>
        </w:tc>
      </w:tr>
      <w:tr w14:paraId="2E981BEC">
        <w:tblPrEx>
          <w:tblCellMar>
            <w:top w:w="0" w:type="dxa"/>
            <w:left w:w="0" w:type="dxa"/>
            <w:bottom w:w="0" w:type="dxa"/>
            <w:right w:w="0" w:type="dxa"/>
          </w:tblCellMar>
        </w:tblPrEx>
        <w:trPr>
          <w:wBefore w:w="0" w:type="auto"/>
          <w:tblCellSpacing w:w="0" w:type="dxa"/>
        </w:trPr>
        <w:tc>
          <w:tcPr>
            <w:tcW w:w="0" w:type="auto"/>
            <w:noWrap w:val="0"/>
            <w:vAlign w:val="center"/>
          </w:tcPr>
          <w:p w14:paraId="1B25E793">
            <w:r>
              <w:rPr>
                <w:rStyle w:val="10"/>
                <w:rFonts w:hint="eastAsia"/>
              </w:rPr>
              <w:t>注意事项：</w:t>
            </w:r>
            <w:r>
              <w:rPr>
                <w:rFonts w:hint="eastAsia"/>
              </w:rPr>
              <w:br w:type="textWrapping"/>
            </w:r>
            <w:r>
              <w:rPr>
                <w:rStyle w:val="11"/>
                <w:rFonts w:hint="eastAsia"/>
              </w:rPr>
              <w:t>1、本品为非选择性除草剂，施药过程中若遇大风、大雨、积水等影响喷雾效果的情形应停止施药，并防止雾滴飘移到其他地块。 2、如需与其他助剂或药剂混用，请在当地农技人员指导下，先进行小面积试验确认有效性后，科学合理搭配使用。 3、请在农技人员指导下，根据杂草发生基数、叶龄及种类、施药时天气条件、药械种类等因素科学合理的调整用药剂量、用水量。 4、施用时尽量做好身体各部位科学合理的防护，采取正确的施药方式。注意个人防护，穿长衣长裤、戴手套、眼镜、戴口罩等；施药时不能吸烟、饮水等；施药后清洗干净手脸等。 5、禁止在河塘等水体中清洗施药器具。蚕室、桑园附近禁用，鸟类保护区附近禁用。施药后及时、细致清洗施药器具，用过的容器要妥善处理，不能随意丢弃，也不能做他用。 6、避免孕妇和哺乳期妇女接触本品。 7、使用前请仔细阅读此标签，并严格按照标签说明使用。未尽使用情形，请结合当地实际情况，在农业技术人员指导下使用。</w:t>
            </w:r>
          </w:p>
        </w:tc>
      </w:tr>
      <w:tr w14:paraId="1AAFA2D6">
        <w:tblPrEx>
          <w:tblCellMar>
            <w:top w:w="0" w:type="dxa"/>
            <w:left w:w="0" w:type="dxa"/>
            <w:bottom w:w="0" w:type="dxa"/>
            <w:right w:w="0" w:type="dxa"/>
          </w:tblCellMar>
        </w:tblPrEx>
        <w:trPr>
          <w:wBefore w:w="0" w:type="auto"/>
          <w:tblCellSpacing w:w="0" w:type="dxa"/>
        </w:trPr>
        <w:tc>
          <w:tcPr>
            <w:tcW w:w="0" w:type="auto"/>
            <w:noWrap w:val="0"/>
            <w:vAlign w:val="center"/>
          </w:tcPr>
          <w:p w14:paraId="6E06394D">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0F73E1CF">
        <w:tblPrEx>
          <w:tblCellMar>
            <w:top w:w="0" w:type="dxa"/>
            <w:left w:w="0" w:type="dxa"/>
            <w:bottom w:w="0" w:type="dxa"/>
            <w:right w:w="0" w:type="dxa"/>
          </w:tblCellMar>
        </w:tblPrEx>
        <w:trPr>
          <w:wBefore w:w="0" w:type="auto"/>
          <w:tblCellSpacing w:w="0" w:type="dxa"/>
        </w:trPr>
        <w:tc>
          <w:tcPr>
            <w:tcW w:w="0" w:type="auto"/>
            <w:noWrap w:val="0"/>
            <w:vAlign w:val="center"/>
          </w:tcPr>
          <w:p w14:paraId="117C2489">
            <w:r>
              <w:rPr>
                <w:rStyle w:val="10"/>
                <w:rFonts w:hint="eastAsia"/>
              </w:rPr>
              <w:t>储存和运输方法：</w:t>
            </w:r>
            <w:r>
              <w:rPr>
                <w:rFonts w:hint="eastAsia"/>
              </w:rPr>
              <w:br w:type="textWrapping"/>
            </w:r>
            <w:r>
              <w:rPr>
                <w:rStyle w:val="11"/>
                <w:rFonts w:hint="eastAsia"/>
              </w:rPr>
              <w:t>本品应贮存于干燥、阴凉、通风、防雨处，远离火源或热源。置于儿童、无关人员触及不到之处，并加锁保存。不能与食品、饮料、种子、粮食、饲料等物品同贮同运。装卸时，注意轻拿轻放，禁止说笑打闹、吃、喝、抽烟；运输</w:t>
            </w:r>
          </w:p>
        </w:tc>
      </w:tr>
      <w:tr w14:paraId="109A0496">
        <w:tblPrEx>
          <w:tblCellMar>
            <w:top w:w="0" w:type="dxa"/>
            <w:left w:w="0" w:type="dxa"/>
            <w:bottom w:w="0" w:type="dxa"/>
            <w:right w:w="0" w:type="dxa"/>
          </w:tblCellMar>
        </w:tblPrEx>
        <w:trPr>
          <w:wBefore w:w="0" w:type="auto"/>
          <w:tblCellSpacing w:w="0" w:type="dxa"/>
        </w:trPr>
        <w:tc>
          <w:tcPr>
            <w:tcW w:w="0" w:type="auto"/>
            <w:noWrap w:val="0"/>
            <w:vAlign w:val="center"/>
          </w:tcPr>
          <w:p w14:paraId="51139093">
            <w:r>
              <w:rPr>
                <w:rStyle w:val="10"/>
                <w:rFonts w:hint="eastAsia"/>
              </w:rPr>
              <w:t>质量保证期：</w:t>
            </w:r>
            <w:r>
              <w:rPr>
                <w:rStyle w:val="11"/>
                <w:rFonts w:hint="eastAsia"/>
              </w:rPr>
              <w:t>2年</w:t>
            </w:r>
          </w:p>
        </w:tc>
      </w:tr>
      <w:tr w14:paraId="5AD40C1A">
        <w:tblPrEx>
          <w:tblCellMar>
            <w:top w:w="0" w:type="dxa"/>
            <w:left w:w="0" w:type="dxa"/>
            <w:bottom w:w="0" w:type="dxa"/>
            <w:right w:w="0" w:type="dxa"/>
          </w:tblCellMar>
        </w:tblPrEx>
        <w:trPr>
          <w:wBefore w:w="0" w:type="auto"/>
          <w:tblCellSpacing w:w="0" w:type="dxa"/>
        </w:trPr>
        <w:tc>
          <w:tcPr>
            <w:tcW w:w="0" w:type="auto"/>
            <w:noWrap w:val="0"/>
            <w:vAlign w:val="center"/>
          </w:tcPr>
          <w:p w14:paraId="1AB7D2C1">
            <w:r>
              <w:rPr>
                <w:rStyle w:val="10"/>
                <w:rFonts w:hint="eastAsia"/>
              </w:rPr>
              <w:t>备注：</w:t>
            </w:r>
            <w:r>
              <w:rPr>
                <w:rFonts w:hint="eastAsia"/>
              </w:rPr>
              <w:br w:type="textWrapping"/>
            </w:r>
            <w:r>
              <w:rPr>
                <w:rStyle w:val="11"/>
                <w:rFonts w:hint="eastAsia"/>
              </w:rPr>
              <w:t>精草铵膦铵盐11%。</w:t>
            </w:r>
          </w:p>
        </w:tc>
      </w:tr>
    </w:tbl>
    <w:p w14:paraId="62381F6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966D07F">
        <w:tblPrEx>
          <w:tblCellMar>
            <w:top w:w="0" w:type="dxa"/>
            <w:left w:w="0" w:type="dxa"/>
            <w:bottom w:w="0" w:type="dxa"/>
            <w:right w:w="0" w:type="dxa"/>
          </w:tblCellMar>
        </w:tblPrEx>
        <w:trPr>
          <w:wBefore w:w="0" w:type="auto"/>
          <w:tblCellSpacing w:w="0" w:type="dxa"/>
        </w:trPr>
        <w:tc>
          <w:tcPr>
            <w:tcW w:w="0" w:type="auto"/>
            <w:noWrap w:val="0"/>
            <w:vAlign w:val="center"/>
          </w:tcPr>
          <w:p w14:paraId="1362B784">
            <w:r>
              <w:rPr>
                <w:rStyle w:val="10"/>
                <w:rFonts w:hint="eastAsia"/>
              </w:rPr>
              <w:t>登记证号：</w:t>
            </w:r>
            <w:r>
              <w:rPr>
                <w:rFonts w:hint="eastAsia"/>
              </w:rPr>
              <w:t>PD20211724</w:t>
            </w:r>
          </w:p>
        </w:tc>
      </w:tr>
      <w:tr w14:paraId="75FB35F4">
        <w:tblPrEx>
          <w:tblCellMar>
            <w:top w:w="0" w:type="dxa"/>
            <w:left w:w="0" w:type="dxa"/>
            <w:bottom w:w="0" w:type="dxa"/>
            <w:right w:w="0" w:type="dxa"/>
          </w:tblCellMar>
        </w:tblPrEx>
        <w:trPr>
          <w:wBefore w:w="0" w:type="auto"/>
          <w:tblCellSpacing w:w="0" w:type="dxa"/>
        </w:trPr>
        <w:tc>
          <w:tcPr>
            <w:tcW w:w="0" w:type="auto"/>
            <w:noWrap w:val="0"/>
            <w:vAlign w:val="center"/>
          </w:tcPr>
          <w:p w14:paraId="7B4D0691">
            <w:r>
              <w:rPr>
                <w:rStyle w:val="10"/>
                <w:rFonts w:hint="eastAsia"/>
              </w:rPr>
              <w:t>登记证持有人：</w:t>
            </w:r>
            <w:r>
              <w:rPr>
                <w:rFonts w:hint="eastAsia"/>
              </w:rPr>
              <w:t>江苏省南通江山农药化工股份有限公司</w:t>
            </w:r>
          </w:p>
        </w:tc>
      </w:tr>
      <w:tr w14:paraId="04E16ADF">
        <w:tblPrEx>
          <w:tblCellMar>
            <w:top w:w="0" w:type="dxa"/>
            <w:left w:w="0" w:type="dxa"/>
            <w:bottom w:w="0" w:type="dxa"/>
            <w:right w:w="0" w:type="dxa"/>
          </w:tblCellMar>
        </w:tblPrEx>
        <w:trPr>
          <w:wBefore w:w="0" w:type="auto"/>
          <w:tblCellSpacing w:w="0" w:type="dxa"/>
        </w:trPr>
        <w:tc>
          <w:tcPr>
            <w:tcW w:w="0" w:type="auto"/>
            <w:noWrap w:val="0"/>
            <w:vAlign w:val="center"/>
          </w:tcPr>
          <w:p w14:paraId="78992F1A">
            <w:r>
              <w:rPr>
                <w:rStyle w:val="10"/>
                <w:rFonts w:hint="eastAsia"/>
              </w:rPr>
              <w:t>农药名称：</w:t>
            </w:r>
            <w:r>
              <w:rPr>
                <w:rFonts w:hint="eastAsia"/>
              </w:rPr>
              <w:t>敌敌畏</w:t>
            </w:r>
          </w:p>
        </w:tc>
      </w:tr>
      <w:tr w14:paraId="40289BD6">
        <w:tblPrEx>
          <w:tblCellMar>
            <w:top w:w="0" w:type="dxa"/>
            <w:left w:w="0" w:type="dxa"/>
            <w:bottom w:w="0" w:type="dxa"/>
            <w:right w:w="0" w:type="dxa"/>
          </w:tblCellMar>
        </w:tblPrEx>
        <w:trPr>
          <w:wBefore w:w="0" w:type="auto"/>
          <w:tblCellSpacing w:w="0" w:type="dxa"/>
        </w:trPr>
        <w:tc>
          <w:tcPr>
            <w:tcW w:w="0" w:type="auto"/>
            <w:noWrap w:val="0"/>
            <w:vAlign w:val="center"/>
          </w:tcPr>
          <w:p w14:paraId="726F7EDB">
            <w:r>
              <w:rPr>
                <w:rStyle w:val="10"/>
                <w:rFonts w:hint="eastAsia"/>
              </w:rPr>
              <w:t>剂型：</w:t>
            </w:r>
            <w:r>
              <w:rPr>
                <w:rFonts w:hint="eastAsia"/>
              </w:rPr>
              <w:t>可溶液剂</w:t>
            </w:r>
          </w:p>
        </w:tc>
      </w:tr>
      <w:tr w14:paraId="2C2CDE56">
        <w:tblPrEx>
          <w:tblCellMar>
            <w:top w:w="0" w:type="dxa"/>
            <w:left w:w="0" w:type="dxa"/>
            <w:bottom w:w="0" w:type="dxa"/>
            <w:right w:w="0" w:type="dxa"/>
          </w:tblCellMar>
        </w:tblPrEx>
        <w:trPr>
          <w:wBefore w:w="0" w:type="auto"/>
          <w:tblCellSpacing w:w="0" w:type="dxa"/>
        </w:trPr>
        <w:tc>
          <w:tcPr>
            <w:tcW w:w="0" w:type="auto"/>
            <w:noWrap w:val="0"/>
            <w:vAlign w:val="center"/>
          </w:tcPr>
          <w:p w14:paraId="379E020B">
            <w:r>
              <w:rPr>
                <w:rStyle w:val="10"/>
                <w:rFonts w:hint="eastAsia"/>
              </w:rPr>
              <w:t>毒性及其标识：</w:t>
            </w:r>
            <w:r>
              <w:rPr>
                <w:rFonts w:hint="eastAsia"/>
              </w:rPr>
              <w:t xml:space="preserve"> </w:t>
            </w:r>
            <w:r>
              <w:rPr>
                <w:lang/>
              </w:rPr>
              <w:drawing>
                <wp:inline distT="0" distB="0" distL="114300" distR="114300">
                  <wp:extent cx="476250" cy="323850"/>
                  <wp:effectExtent l="0" t="0" r="0" b="0"/>
                  <wp:docPr id="42" name="图片 42"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6675DCF8">
        <w:tblPrEx>
          <w:tblCellMar>
            <w:top w:w="0" w:type="dxa"/>
            <w:left w:w="0" w:type="dxa"/>
            <w:bottom w:w="0" w:type="dxa"/>
            <w:right w:w="0" w:type="dxa"/>
          </w:tblCellMar>
        </w:tblPrEx>
        <w:trPr>
          <w:wBefore w:w="0" w:type="auto"/>
          <w:tblCellSpacing w:w="0" w:type="dxa"/>
        </w:trPr>
        <w:tc>
          <w:tcPr>
            <w:tcW w:w="0" w:type="auto"/>
            <w:noWrap w:val="0"/>
            <w:vAlign w:val="center"/>
          </w:tcPr>
          <w:p w14:paraId="47B4A7DB">
            <w:r>
              <w:rPr>
                <w:rStyle w:val="10"/>
                <w:rFonts w:hint="eastAsia"/>
              </w:rPr>
              <w:t>总有效成分含量：</w:t>
            </w:r>
            <w:r>
              <w:rPr>
                <w:rFonts w:hint="eastAsia"/>
              </w:rPr>
              <w:t>90%</w:t>
            </w:r>
          </w:p>
        </w:tc>
      </w:tr>
      <w:tr w14:paraId="2FC847FC">
        <w:tblPrEx>
          <w:tblCellMar>
            <w:top w:w="0" w:type="dxa"/>
            <w:left w:w="0" w:type="dxa"/>
            <w:bottom w:w="0" w:type="dxa"/>
            <w:right w:w="0" w:type="dxa"/>
          </w:tblCellMar>
        </w:tblPrEx>
        <w:trPr>
          <w:wBefore w:w="0" w:type="auto"/>
          <w:tblCellSpacing w:w="0" w:type="dxa"/>
        </w:trPr>
        <w:tc>
          <w:tcPr>
            <w:tcW w:w="0" w:type="auto"/>
            <w:noWrap w:val="0"/>
            <w:vAlign w:val="center"/>
          </w:tcPr>
          <w:p w14:paraId="5580159C">
            <w:r>
              <w:rPr>
                <w:rFonts w:hint="eastAsia"/>
              </w:rPr>
              <w:t xml:space="preserve">有效成分及其含量： </w:t>
            </w:r>
          </w:p>
          <w:p w14:paraId="2325A1DF">
            <w:r>
              <w:rPr>
                <w:rFonts w:hint="eastAsia"/>
              </w:rPr>
              <w:t xml:space="preserve">    敌敌畏90%    </w:t>
            </w:r>
          </w:p>
        </w:tc>
      </w:tr>
      <w:tr w14:paraId="4FB48EDE">
        <w:tblPrEx>
          <w:tblCellMar>
            <w:top w:w="0" w:type="dxa"/>
            <w:left w:w="0" w:type="dxa"/>
            <w:bottom w:w="0" w:type="dxa"/>
            <w:right w:w="0" w:type="dxa"/>
          </w:tblCellMar>
        </w:tblPrEx>
        <w:trPr>
          <w:wBefore w:w="0" w:type="auto"/>
          <w:tblCellSpacing w:w="0" w:type="dxa"/>
        </w:trPr>
        <w:tc>
          <w:tcPr>
            <w:tcW w:w="0" w:type="auto"/>
            <w:noWrap w:val="0"/>
            <w:vAlign w:val="center"/>
          </w:tcPr>
          <w:p w14:paraId="0E53690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A0243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F151A4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F14EA1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167C8A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647B2E0">
                  <w:r>
                    <w:rPr>
                      <w:rStyle w:val="11"/>
                      <w:rFonts w:hint="eastAsia"/>
                    </w:rPr>
                    <w:t>施用方式</w:t>
                  </w:r>
                </w:p>
              </w:tc>
            </w:tr>
            <w:tr w14:paraId="11DADC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2587ABA">
                  <w:r>
                    <w:rPr>
                      <w:rStyle w:val="11"/>
                      <w:rFonts w:hint="eastAsia"/>
                    </w:rPr>
                    <w:t>大白菜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DDE2EC">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7D7B89">
                  <w:r>
                    <w:rPr>
                      <w:rStyle w:val="11"/>
                      <w:rFonts w:hint="eastAsia"/>
                    </w:rPr>
                    <w:t>25-35毫升/亩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4B5327">
                  <w:r>
                    <w:rPr>
                      <w:rStyle w:val="11"/>
                      <w:rFonts w:hint="eastAsia"/>
                    </w:rPr>
                    <w:t>喷雾</w:t>
                  </w:r>
                </w:p>
              </w:tc>
            </w:tr>
          </w:tbl>
          <w:p w14:paraId="3ED17846">
            <w:pPr>
              <w:rPr>
                <w:rFonts w:ascii="Times New Roman" w:hAnsi="Times New Roman" w:cs="Times New Roman"/>
                <w:sz w:val="20"/>
                <w:szCs w:val="20"/>
              </w:rPr>
            </w:pPr>
          </w:p>
        </w:tc>
      </w:tr>
      <w:tr w14:paraId="2D9AF0CE">
        <w:tblPrEx>
          <w:tblCellMar>
            <w:top w:w="0" w:type="dxa"/>
            <w:left w:w="0" w:type="dxa"/>
            <w:bottom w:w="0" w:type="dxa"/>
            <w:right w:w="0" w:type="dxa"/>
          </w:tblCellMar>
        </w:tblPrEx>
        <w:trPr>
          <w:wBefore w:w="0" w:type="auto"/>
          <w:tblCellSpacing w:w="0" w:type="dxa"/>
        </w:trPr>
        <w:tc>
          <w:tcPr>
            <w:tcW w:w="0" w:type="auto"/>
            <w:noWrap w:val="0"/>
            <w:vAlign w:val="center"/>
          </w:tcPr>
          <w:p w14:paraId="392B47DB">
            <w:r>
              <w:rPr>
                <w:rStyle w:val="10"/>
                <w:rFonts w:hint="eastAsia"/>
              </w:rPr>
              <w:t>使用技术要求:</w:t>
            </w:r>
            <w:r>
              <w:rPr>
                <w:rFonts w:hint="eastAsia"/>
              </w:rPr>
              <w:br w:type="textWrapping"/>
            </w:r>
            <w:r>
              <w:rPr>
                <w:rStyle w:val="11"/>
                <w:rFonts w:hint="eastAsia"/>
              </w:rPr>
              <w:t>1、本品应用于大白菜黄条跳甲发生始盛期喷雾施药1次。 2、每季最多使用1次，安全间隔期14天。 2、大风天或阴雨天请勿施药。</w:t>
            </w:r>
          </w:p>
        </w:tc>
      </w:tr>
      <w:tr w14:paraId="460AB8EA">
        <w:tblPrEx>
          <w:tblCellMar>
            <w:top w:w="0" w:type="dxa"/>
            <w:left w:w="0" w:type="dxa"/>
            <w:bottom w:w="0" w:type="dxa"/>
            <w:right w:w="0" w:type="dxa"/>
          </w:tblCellMar>
        </w:tblPrEx>
        <w:trPr>
          <w:wBefore w:w="0" w:type="auto"/>
          <w:tblCellSpacing w:w="0" w:type="dxa"/>
        </w:trPr>
        <w:tc>
          <w:tcPr>
            <w:tcW w:w="0" w:type="auto"/>
            <w:noWrap w:val="0"/>
            <w:vAlign w:val="center"/>
          </w:tcPr>
          <w:p w14:paraId="28300C0B">
            <w:r>
              <w:rPr>
                <w:rStyle w:val="10"/>
                <w:rFonts w:hint="eastAsia"/>
              </w:rPr>
              <w:t>产品性能:</w:t>
            </w:r>
            <w:r>
              <w:rPr>
                <w:rFonts w:hint="eastAsia"/>
              </w:rPr>
              <w:br w:type="textWrapping"/>
            </w:r>
            <w:r>
              <w:rPr>
                <w:rStyle w:val="11"/>
                <w:rFonts w:hint="eastAsia"/>
              </w:rPr>
              <w:t>本品属于有机磷类杀虫剂，具有触杀、胃毒、熏蒸等作用，可用于防治大白菜黄条跳甲。</w:t>
            </w:r>
          </w:p>
        </w:tc>
      </w:tr>
      <w:tr w14:paraId="6296742C">
        <w:tblPrEx>
          <w:tblCellMar>
            <w:top w:w="0" w:type="dxa"/>
            <w:left w:w="0" w:type="dxa"/>
            <w:bottom w:w="0" w:type="dxa"/>
            <w:right w:w="0" w:type="dxa"/>
          </w:tblCellMar>
        </w:tblPrEx>
        <w:trPr>
          <w:wBefore w:w="0" w:type="auto"/>
          <w:tblCellSpacing w:w="0" w:type="dxa"/>
        </w:trPr>
        <w:tc>
          <w:tcPr>
            <w:tcW w:w="0" w:type="auto"/>
            <w:noWrap w:val="0"/>
            <w:vAlign w:val="center"/>
          </w:tcPr>
          <w:p w14:paraId="66BF0C56">
            <w:r>
              <w:rPr>
                <w:rStyle w:val="10"/>
                <w:rFonts w:hint="eastAsia"/>
              </w:rPr>
              <w:t>注意事项：</w:t>
            </w:r>
            <w:r>
              <w:rPr>
                <w:rFonts w:hint="eastAsia"/>
              </w:rPr>
              <w:br w:type="textWrapping"/>
            </w:r>
            <w:r>
              <w:rPr>
                <w:rStyle w:val="11"/>
                <w:rFonts w:hint="eastAsia"/>
              </w:rPr>
              <w:t>1. 此药不能与碱性农药等物质混合使用，配药时要充分搅拌才能乳化。 2. 本品对眼睛、皮肤有刺激性，使用时避免接触眼睛、皮肤，穿戴长衣、长裤、帽子、口罩、手套等防护措施。 3. 施药器具应用清水冲洗和适当洗涤剂清洗，施药器械不得在河流、湖泊、池塘和小溪内洗涤。远离水产养殖区、河塘等水体施药；施药后的废水不得直接排入水体；禁止在河塘等水体中清洗施药器具。 4. 鸟类保护区禁止使用；（周围）开花植物花期禁用，使用时应密切关注对附近蜂群的影响；蚕室和桑园禁止使用；瓢虫等天敌放飞区禁止使用；.鸟类保护区附近禁用。 5. 孕妇及哺乳期妇女请勿接触此药。 6. 用过的容器应妥善处理，不可做他用，也不可随意丢弃。 7. 避免与氧化剂接触。</w:t>
            </w:r>
          </w:p>
        </w:tc>
      </w:tr>
      <w:tr w14:paraId="12937723">
        <w:tblPrEx>
          <w:tblCellMar>
            <w:top w:w="0" w:type="dxa"/>
            <w:left w:w="0" w:type="dxa"/>
            <w:bottom w:w="0" w:type="dxa"/>
            <w:right w:w="0" w:type="dxa"/>
          </w:tblCellMar>
        </w:tblPrEx>
        <w:trPr>
          <w:wBefore w:w="0" w:type="auto"/>
          <w:tblCellSpacing w:w="0" w:type="dxa"/>
        </w:trPr>
        <w:tc>
          <w:tcPr>
            <w:tcW w:w="0" w:type="auto"/>
            <w:noWrap w:val="0"/>
            <w:vAlign w:val="center"/>
          </w:tcPr>
          <w:p w14:paraId="300A8E4F">
            <w:r>
              <w:rPr>
                <w:rStyle w:val="10"/>
                <w:rFonts w:hint="eastAsia"/>
              </w:rPr>
              <w:t>中毒急救措施：</w:t>
            </w:r>
            <w:r>
              <w:rPr>
                <w:rFonts w:hint="eastAsia"/>
              </w:rPr>
              <w:br w:type="textWrapping"/>
            </w:r>
            <w:r>
              <w:rPr>
                <w:rStyle w:val="11"/>
                <w:rFonts w:hint="eastAsia"/>
              </w:rPr>
              <w:t>中毒者出现全身不适，抽搐、痉挛、恶心、呕吐等。不慎吸入，应将病人移至空气流通处。污染皮肤或眼睛时用大量清水冲洗。误服时带标签送医院按有机磷农药中毒急救方法对症治疗。解毒剂阿托品、解磷定。禁用吗啡、茶硷、吩噻嗪、利血平。</w:t>
            </w:r>
          </w:p>
        </w:tc>
      </w:tr>
      <w:tr w14:paraId="6934DA4F">
        <w:tblPrEx>
          <w:tblCellMar>
            <w:top w:w="0" w:type="dxa"/>
            <w:left w:w="0" w:type="dxa"/>
            <w:bottom w:w="0" w:type="dxa"/>
            <w:right w:w="0" w:type="dxa"/>
          </w:tblCellMar>
        </w:tblPrEx>
        <w:trPr>
          <w:wBefore w:w="0" w:type="auto"/>
          <w:tblCellSpacing w:w="0" w:type="dxa"/>
        </w:trPr>
        <w:tc>
          <w:tcPr>
            <w:tcW w:w="0" w:type="auto"/>
            <w:noWrap w:val="0"/>
            <w:vAlign w:val="center"/>
          </w:tcPr>
          <w:p w14:paraId="4D35BCF3">
            <w:r>
              <w:rPr>
                <w:rStyle w:val="10"/>
                <w:rFonts w:hint="eastAsia"/>
              </w:rPr>
              <w:t>储存和运输方法：</w:t>
            </w:r>
            <w:r>
              <w:rPr>
                <w:rFonts w:hint="eastAsia"/>
              </w:rPr>
              <w:br w:type="textWrapping"/>
            </w:r>
            <w:r>
              <w:rPr>
                <w:rStyle w:val="11"/>
                <w:rFonts w:hint="eastAsia"/>
              </w:rPr>
              <w:t>储存在阴凉干燥，装卸过程中要轻搬轻放。远离火源或热源存放，置于儿童、无关人员触及不到之处，并加锁。勿与食品、饮料、饲料、粮食等同贮同运。</w:t>
            </w:r>
          </w:p>
        </w:tc>
      </w:tr>
      <w:tr w14:paraId="7A54C327">
        <w:tblPrEx>
          <w:tblCellMar>
            <w:top w:w="0" w:type="dxa"/>
            <w:left w:w="0" w:type="dxa"/>
            <w:bottom w:w="0" w:type="dxa"/>
            <w:right w:w="0" w:type="dxa"/>
          </w:tblCellMar>
        </w:tblPrEx>
        <w:trPr>
          <w:wBefore w:w="0" w:type="auto"/>
          <w:tblCellSpacing w:w="0" w:type="dxa"/>
        </w:trPr>
        <w:tc>
          <w:tcPr>
            <w:tcW w:w="0" w:type="auto"/>
            <w:noWrap w:val="0"/>
            <w:vAlign w:val="center"/>
          </w:tcPr>
          <w:p w14:paraId="0F59CCC3">
            <w:r>
              <w:rPr>
                <w:rStyle w:val="10"/>
                <w:rFonts w:hint="eastAsia"/>
              </w:rPr>
              <w:t>质量保证期：</w:t>
            </w:r>
            <w:r>
              <w:rPr>
                <w:rStyle w:val="11"/>
                <w:rFonts w:hint="eastAsia"/>
              </w:rPr>
              <w:t>2年</w:t>
            </w:r>
          </w:p>
        </w:tc>
      </w:tr>
      <w:tr w14:paraId="5C0BA693">
        <w:tblPrEx>
          <w:tblCellMar>
            <w:top w:w="0" w:type="dxa"/>
            <w:left w:w="0" w:type="dxa"/>
            <w:bottom w:w="0" w:type="dxa"/>
            <w:right w:w="0" w:type="dxa"/>
          </w:tblCellMar>
        </w:tblPrEx>
        <w:trPr>
          <w:wBefore w:w="0" w:type="auto"/>
          <w:tblCellSpacing w:w="0" w:type="dxa"/>
        </w:trPr>
        <w:tc>
          <w:tcPr>
            <w:tcW w:w="0" w:type="auto"/>
            <w:noWrap w:val="0"/>
            <w:vAlign w:val="center"/>
          </w:tcPr>
          <w:p w14:paraId="2F615DFC">
            <w:r>
              <w:rPr>
                <w:rStyle w:val="10"/>
                <w:rFonts w:hint="eastAsia"/>
              </w:rPr>
              <w:t>备注：</w:t>
            </w:r>
          </w:p>
        </w:tc>
      </w:tr>
    </w:tbl>
    <w:p w14:paraId="7DC348C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6E8EC0">
        <w:tblPrEx>
          <w:tblCellMar>
            <w:top w:w="0" w:type="dxa"/>
            <w:left w:w="0" w:type="dxa"/>
            <w:bottom w:w="0" w:type="dxa"/>
            <w:right w:w="0" w:type="dxa"/>
          </w:tblCellMar>
        </w:tblPrEx>
        <w:trPr>
          <w:wBefore w:w="0" w:type="auto"/>
          <w:tblCellSpacing w:w="0" w:type="dxa"/>
        </w:trPr>
        <w:tc>
          <w:tcPr>
            <w:tcW w:w="0" w:type="auto"/>
            <w:noWrap w:val="0"/>
            <w:vAlign w:val="center"/>
          </w:tcPr>
          <w:p w14:paraId="42058EBC">
            <w:r>
              <w:rPr>
                <w:rStyle w:val="10"/>
                <w:rFonts w:hint="eastAsia"/>
              </w:rPr>
              <w:t>登记证号：</w:t>
            </w:r>
            <w:r>
              <w:rPr>
                <w:rFonts w:hint="eastAsia"/>
              </w:rPr>
              <w:t>PD20211992</w:t>
            </w:r>
          </w:p>
        </w:tc>
      </w:tr>
      <w:tr w14:paraId="3C9B591F">
        <w:tblPrEx>
          <w:tblCellMar>
            <w:top w:w="0" w:type="dxa"/>
            <w:left w:w="0" w:type="dxa"/>
            <w:bottom w:w="0" w:type="dxa"/>
            <w:right w:w="0" w:type="dxa"/>
          </w:tblCellMar>
        </w:tblPrEx>
        <w:trPr>
          <w:wBefore w:w="0" w:type="auto"/>
          <w:tblCellSpacing w:w="0" w:type="dxa"/>
        </w:trPr>
        <w:tc>
          <w:tcPr>
            <w:tcW w:w="0" w:type="auto"/>
            <w:noWrap w:val="0"/>
            <w:vAlign w:val="center"/>
          </w:tcPr>
          <w:p w14:paraId="3E9B8769">
            <w:r>
              <w:rPr>
                <w:rStyle w:val="10"/>
                <w:rFonts w:hint="eastAsia"/>
              </w:rPr>
              <w:t>登记证持有人：</w:t>
            </w:r>
            <w:r>
              <w:rPr>
                <w:rFonts w:hint="eastAsia"/>
              </w:rPr>
              <w:t>湖南新长山农业发展股份有限公司</w:t>
            </w:r>
          </w:p>
        </w:tc>
      </w:tr>
      <w:tr w14:paraId="3B42B986">
        <w:tblPrEx>
          <w:tblCellMar>
            <w:top w:w="0" w:type="dxa"/>
            <w:left w:w="0" w:type="dxa"/>
            <w:bottom w:w="0" w:type="dxa"/>
            <w:right w:w="0" w:type="dxa"/>
          </w:tblCellMar>
        </w:tblPrEx>
        <w:trPr>
          <w:wBefore w:w="0" w:type="auto"/>
          <w:tblCellSpacing w:w="0" w:type="dxa"/>
        </w:trPr>
        <w:tc>
          <w:tcPr>
            <w:tcW w:w="0" w:type="auto"/>
            <w:noWrap w:val="0"/>
            <w:vAlign w:val="center"/>
          </w:tcPr>
          <w:p w14:paraId="4EEB5889">
            <w:r>
              <w:rPr>
                <w:rStyle w:val="10"/>
                <w:rFonts w:hint="eastAsia"/>
              </w:rPr>
              <w:t>农药名称：</w:t>
            </w:r>
            <w:r>
              <w:rPr>
                <w:rFonts w:hint="eastAsia"/>
              </w:rPr>
              <w:t>氟吡菌胺·氰霜唑</w:t>
            </w:r>
          </w:p>
        </w:tc>
      </w:tr>
      <w:tr w14:paraId="494543B9">
        <w:tblPrEx>
          <w:tblCellMar>
            <w:top w:w="0" w:type="dxa"/>
            <w:left w:w="0" w:type="dxa"/>
            <w:bottom w:w="0" w:type="dxa"/>
            <w:right w:w="0" w:type="dxa"/>
          </w:tblCellMar>
        </w:tblPrEx>
        <w:trPr>
          <w:wBefore w:w="0" w:type="auto"/>
          <w:tblCellSpacing w:w="0" w:type="dxa"/>
        </w:trPr>
        <w:tc>
          <w:tcPr>
            <w:tcW w:w="0" w:type="auto"/>
            <w:noWrap w:val="0"/>
            <w:vAlign w:val="center"/>
          </w:tcPr>
          <w:p w14:paraId="1DDE6013">
            <w:r>
              <w:rPr>
                <w:rStyle w:val="10"/>
                <w:rFonts w:hint="eastAsia"/>
              </w:rPr>
              <w:t>剂型：</w:t>
            </w:r>
            <w:r>
              <w:rPr>
                <w:rFonts w:hint="eastAsia"/>
              </w:rPr>
              <w:t>悬浮剂</w:t>
            </w:r>
          </w:p>
        </w:tc>
      </w:tr>
      <w:tr w14:paraId="2BE690A5">
        <w:tblPrEx>
          <w:tblCellMar>
            <w:top w:w="0" w:type="dxa"/>
            <w:left w:w="0" w:type="dxa"/>
            <w:bottom w:w="0" w:type="dxa"/>
            <w:right w:w="0" w:type="dxa"/>
          </w:tblCellMar>
        </w:tblPrEx>
        <w:trPr>
          <w:wBefore w:w="0" w:type="auto"/>
          <w:tblCellSpacing w:w="0" w:type="dxa"/>
        </w:trPr>
        <w:tc>
          <w:tcPr>
            <w:tcW w:w="0" w:type="auto"/>
            <w:noWrap w:val="0"/>
            <w:vAlign w:val="center"/>
          </w:tcPr>
          <w:p w14:paraId="397B1F6B">
            <w:r>
              <w:rPr>
                <w:rStyle w:val="10"/>
                <w:rFonts w:hint="eastAsia"/>
              </w:rPr>
              <w:t>毒性及其标识：</w:t>
            </w:r>
            <w:r>
              <w:rPr>
                <w:rFonts w:hint="eastAsia"/>
              </w:rPr>
              <w:t xml:space="preserve"> </w:t>
            </w:r>
            <w:r>
              <w:rPr>
                <w:lang/>
              </w:rPr>
              <w:drawing>
                <wp:inline distT="0" distB="0" distL="114300" distR="114300">
                  <wp:extent cx="476250" cy="323850"/>
                  <wp:effectExtent l="0" t="0" r="0" b="0"/>
                  <wp:docPr id="43" name="图片 4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AC94C1C">
        <w:tblPrEx>
          <w:tblCellMar>
            <w:top w:w="0" w:type="dxa"/>
            <w:left w:w="0" w:type="dxa"/>
            <w:bottom w:w="0" w:type="dxa"/>
            <w:right w:w="0" w:type="dxa"/>
          </w:tblCellMar>
        </w:tblPrEx>
        <w:trPr>
          <w:wBefore w:w="0" w:type="auto"/>
          <w:tblCellSpacing w:w="0" w:type="dxa"/>
        </w:trPr>
        <w:tc>
          <w:tcPr>
            <w:tcW w:w="0" w:type="auto"/>
            <w:noWrap w:val="0"/>
            <w:vAlign w:val="center"/>
          </w:tcPr>
          <w:p w14:paraId="6E9F140F">
            <w:r>
              <w:rPr>
                <w:rStyle w:val="10"/>
                <w:rFonts w:hint="eastAsia"/>
              </w:rPr>
              <w:t>总有效成分含量：</w:t>
            </w:r>
            <w:r>
              <w:rPr>
                <w:rFonts w:hint="eastAsia"/>
              </w:rPr>
              <w:t>20%</w:t>
            </w:r>
          </w:p>
        </w:tc>
      </w:tr>
      <w:tr w14:paraId="717B4A03">
        <w:tblPrEx>
          <w:tblCellMar>
            <w:top w:w="0" w:type="dxa"/>
            <w:left w:w="0" w:type="dxa"/>
            <w:bottom w:w="0" w:type="dxa"/>
            <w:right w:w="0" w:type="dxa"/>
          </w:tblCellMar>
        </w:tblPrEx>
        <w:trPr>
          <w:wBefore w:w="0" w:type="auto"/>
          <w:tblCellSpacing w:w="0" w:type="dxa"/>
        </w:trPr>
        <w:tc>
          <w:tcPr>
            <w:tcW w:w="0" w:type="auto"/>
            <w:noWrap w:val="0"/>
            <w:vAlign w:val="center"/>
          </w:tcPr>
          <w:p w14:paraId="2328D3B7">
            <w:r>
              <w:rPr>
                <w:rFonts w:hint="eastAsia"/>
              </w:rPr>
              <w:t xml:space="preserve">有效成分及其含量： </w:t>
            </w:r>
          </w:p>
          <w:p w14:paraId="1AF29236">
            <w:r>
              <w:rPr>
                <w:rFonts w:hint="eastAsia"/>
              </w:rPr>
              <w:t xml:space="preserve">    氟吡菌胺10%    氰霜唑10%    </w:t>
            </w:r>
          </w:p>
        </w:tc>
      </w:tr>
      <w:tr w14:paraId="7DD774CD">
        <w:tblPrEx>
          <w:tblCellMar>
            <w:top w:w="0" w:type="dxa"/>
            <w:left w:w="0" w:type="dxa"/>
            <w:bottom w:w="0" w:type="dxa"/>
            <w:right w:w="0" w:type="dxa"/>
          </w:tblCellMar>
        </w:tblPrEx>
        <w:trPr>
          <w:wBefore w:w="0" w:type="auto"/>
          <w:tblCellSpacing w:w="0" w:type="dxa"/>
        </w:trPr>
        <w:tc>
          <w:tcPr>
            <w:tcW w:w="0" w:type="auto"/>
            <w:noWrap w:val="0"/>
            <w:vAlign w:val="center"/>
          </w:tcPr>
          <w:p w14:paraId="78497E7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34A28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0A1D8F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6F9D7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F7D9E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BFDEE5A">
                  <w:r>
                    <w:rPr>
                      <w:rStyle w:val="11"/>
                      <w:rFonts w:hint="eastAsia"/>
                    </w:rPr>
                    <w:t>施用方式</w:t>
                  </w:r>
                </w:p>
              </w:tc>
            </w:tr>
            <w:tr w14:paraId="7BF929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502CD1E">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EB4F11">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EEBC47">
                  <w:r>
                    <w:rPr>
                      <w:rStyle w:val="11"/>
                      <w:rFonts w:hint="eastAsia"/>
                    </w:rPr>
                    <w:t>50-60毫升/亩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BA3A8C">
                  <w:r>
                    <w:rPr>
                      <w:rStyle w:val="11"/>
                      <w:rFonts w:hint="eastAsia"/>
                    </w:rPr>
                    <w:t>喷雾</w:t>
                  </w:r>
                </w:p>
              </w:tc>
            </w:tr>
          </w:tbl>
          <w:p w14:paraId="55267E4F">
            <w:pPr>
              <w:rPr>
                <w:rFonts w:ascii="Times New Roman" w:hAnsi="Times New Roman" w:cs="Times New Roman"/>
                <w:sz w:val="20"/>
                <w:szCs w:val="20"/>
              </w:rPr>
            </w:pPr>
          </w:p>
        </w:tc>
      </w:tr>
      <w:tr w14:paraId="6FD9ED23">
        <w:tblPrEx>
          <w:tblCellMar>
            <w:top w:w="0" w:type="dxa"/>
            <w:left w:w="0" w:type="dxa"/>
            <w:bottom w:w="0" w:type="dxa"/>
            <w:right w:w="0" w:type="dxa"/>
          </w:tblCellMar>
        </w:tblPrEx>
        <w:trPr>
          <w:wBefore w:w="0" w:type="auto"/>
          <w:tblCellSpacing w:w="0" w:type="dxa"/>
        </w:trPr>
        <w:tc>
          <w:tcPr>
            <w:tcW w:w="0" w:type="auto"/>
            <w:noWrap w:val="0"/>
            <w:vAlign w:val="center"/>
          </w:tcPr>
          <w:p w14:paraId="4C43B814">
            <w:r>
              <w:rPr>
                <w:rStyle w:val="10"/>
                <w:rFonts w:hint="eastAsia"/>
              </w:rPr>
              <w:t>使用技术要求:</w:t>
            </w:r>
            <w:r>
              <w:rPr>
                <w:rFonts w:hint="eastAsia"/>
              </w:rPr>
              <w:br w:type="textWrapping"/>
            </w:r>
            <w:r>
              <w:rPr>
                <w:rStyle w:val="11"/>
                <w:rFonts w:hint="eastAsia"/>
              </w:rPr>
              <w:t>1.本品在晚疫病发病前或者发病初期使用。 2.大风或者预计4小时内有雨请勿使用。 3.视病害发生情况每季最多施药3次，每次施药间隔7~10天，安全间隔期为14天。</w:t>
            </w:r>
          </w:p>
        </w:tc>
      </w:tr>
      <w:tr w14:paraId="1B71CB4D">
        <w:tblPrEx>
          <w:tblCellMar>
            <w:top w:w="0" w:type="dxa"/>
            <w:left w:w="0" w:type="dxa"/>
            <w:bottom w:w="0" w:type="dxa"/>
            <w:right w:w="0" w:type="dxa"/>
          </w:tblCellMar>
        </w:tblPrEx>
        <w:trPr>
          <w:wBefore w:w="0" w:type="auto"/>
          <w:tblCellSpacing w:w="0" w:type="dxa"/>
        </w:trPr>
        <w:tc>
          <w:tcPr>
            <w:tcW w:w="0" w:type="auto"/>
            <w:noWrap w:val="0"/>
            <w:vAlign w:val="center"/>
          </w:tcPr>
          <w:p w14:paraId="77E1E08C">
            <w:r>
              <w:rPr>
                <w:rStyle w:val="10"/>
                <w:rFonts w:hint="eastAsia"/>
              </w:rPr>
              <w:t>产品性能:</w:t>
            </w:r>
            <w:r>
              <w:rPr>
                <w:rFonts w:hint="eastAsia"/>
              </w:rPr>
              <w:br w:type="textWrapping"/>
            </w:r>
            <w:r>
              <w:rPr>
                <w:rStyle w:val="11"/>
                <w:rFonts w:hint="eastAsia"/>
              </w:rPr>
              <w:t>本品是由酰胺类杀菌剂氟吡菌胺和磺胺咪唑类杀菌剂氰霜唑复配而成，具有保护、治疗和传导的作用，能有效的防治晚疫病病菌。</w:t>
            </w:r>
          </w:p>
        </w:tc>
      </w:tr>
      <w:tr w14:paraId="40BB4EEA">
        <w:tblPrEx>
          <w:tblCellMar>
            <w:top w:w="0" w:type="dxa"/>
            <w:left w:w="0" w:type="dxa"/>
            <w:bottom w:w="0" w:type="dxa"/>
            <w:right w:w="0" w:type="dxa"/>
          </w:tblCellMar>
        </w:tblPrEx>
        <w:trPr>
          <w:wBefore w:w="0" w:type="auto"/>
          <w:tblCellSpacing w:w="0" w:type="dxa"/>
        </w:trPr>
        <w:tc>
          <w:tcPr>
            <w:tcW w:w="0" w:type="auto"/>
            <w:noWrap w:val="0"/>
            <w:vAlign w:val="center"/>
          </w:tcPr>
          <w:p w14:paraId="319130F8">
            <w:r>
              <w:rPr>
                <w:rStyle w:val="10"/>
                <w:rFonts w:hint="eastAsia"/>
              </w:rPr>
              <w:t>注意事项：</w:t>
            </w:r>
            <w:r>
              <w:rPr>
                <w:rFonts w:hint="eastAsia"/>
              </w:rPr>
              <w:br w:type="textWrapping"/>
            </w:r>
            <w:r>
              <w:rPr>
                <w:rStyle w:val="11"/>
                <w:rFonts w:hint="eastAsia"/>
              </w:rPr>
              <w:t>1.使用本品时应戴防护手套、口罩等，避免皮肤接触及口鼻吸入。使用中不可吸烟、饮水及吃东西，使用后及时请洗手、脸等暴露部位皮肤并更换衣物。2.本品对鱼类等水生生物有毒，不得污染各类水域，应远离水产养殖区、河塘等水体施药，禁止在河流、池塘等水体中清洗施药器具，严禁将药液倒入湖泊、河流或鱼塘中污染水源。3.本品对家蚕有一定的风险，桑园及蚕室养殖区域禁止使用。4.建议与其他作用机制不同的杀菌剂轮换使用，以延缓抗性产生。5.用过的容器应妥善处理，不可作他用，也不可随意丢弃。6.孕妇及哺乳期的妇女避免接触本品。</w:t>
            </w:r>
          </w:p>
        </w:tc>
      </w:tr>
      <w:tr w14:paraId="577BC4C1">
        <w:tblPrEx>
          <w:tblCellMar>
            <w:top w:w="0" w:type="dxa"/>
            <w:left w:w="0" w:type="dxa"/>
            <w:bottom w:w="0" w:type="dxa"/>
            <w:right w:w="0" w:type="dxa"/>
          </w:tblCellMar>
        </w:tblPrEx>
        <w:trPr>
          <w:wBefore w:w="0" w:type="auto"/>
          <w:tblCellSpacing w:w="0" w:type="dxa"/>
        </w:trPr>
        <w:tc>
          <w:tcPr>
            <w:tcW w:w="0" w:type="auto"/>
            <w:noWrap w:val="0"/>
            <w:vAlign w:val="center"/>
          </w:tcPr>
          <w:p w14:paraId="2ACF48A6">
            <w:r>
              <w:rPr>
                <w:rStyle w:val="10"/>
                <w:rFonts w:hint="eastAsia"/>
              </w:rPr>
              <w:t>中毒急救措施：</w:t>
            </w:r>
            <w:r>
              <w:rPr>
                <w:rFonts w:hint="eastAsia"/>
              </w:rPr>
              <w:br w:type="textWrapping"/>
            </w:r>
            <w:r>
              <w:rPr>
                <w:rStyle w:val="11"/>
                <w:rFonts w:hint="eastAsia"/>
              </w:rPr>
              <w:t>1、急救措施：本品在使用中或使用后如果感觉不适，应立即停止工作采取急救措施，必要时携带标签送医院就诊。2、皮肤接触：脱去污染的衣物，用软布去除沾染农药，用大量清水和肥皂冲洗。3、眼睛溅入：立即用流动清水冲洗不少于15分钟，仍有不适请及时就医。4、吸入：立即离开施药现场，转移到空气清新处。5、误食：立即停止服用，用清水充分漱口后，立即携带标签送医院就诊。 6、本品无特效解毒剂，对症治疗。</w:t>
            </w:r>
          </w:p>
        </w:tc>
      </w:tr>
      <w:tr w14:paraId="6325F79A">
        <w:tblPrEx>
          <w:tblCellMar>
            <w:top w:w="0" w:type="dxa"/>
            <w:left w:w="0" w:type="dxa"/>
            <w:bottom w:w="0" w:type="dxa"/>
            <w:right w:w="0" w:type="dxa"/>
          </w:tblCellMar>
        </w:tblPrEx>
        <w:trPr>
          <w:wBefore w:w="0" w:type="auto"/>
          <w:tblCellSpacing w:w="0" w:type="dxa"/>
        </w:trPr>
        <w:tc>
          <w:tcPr>
            <w:tcW w:w="0" w:type="auto"/>
            <w:noWrap w:val="0"/>
            <w:vAlign w:val="center"/>
          </w:tcPr>
          <w:p w14:paraId="7CF5254F">
            <w:r>
              <w:rPr>
                <w:rStyle w:val="10"/>
                <w:rFonts w:hint="eastAsia"/>
              </w:rPr>
              <w:t>储存和运输方法：</w:t>
            </w:r>
            <w:r>
              <w:rPr>
                <w:rFonts w:hint="eastAsia"/>
              </w:rPr>
              <w:br w:type="textWrapping"/>
            </w:r>
            <w:r>
              <w:rPr>
                <w:rStyle w:val="11"/>
                <w:rFonts w:hint="eastAsia"/>
              </w:rPr>
              <w:t>本品应贮存在避光、通风、干燥防风雨处，远离火源和热源。置于儿童、无关人员及动物接触不到的地方，并加锁保存。勿与食物、饮料、种子、粮食和饲料同贮同运。</w:t>
            </w:r>
          </w:p>
        </w:tc>
      </w:tr>
      <w:tr w14:paraId="2146FA1A">
        <w:tblPrEx>
          <w:tblCellMar>
            <w:top w:w="0" w:type="dxa"/>
            <w:left w:w="0" w:type="dxa"/>
            <w:bottom w:w="0" w:type="dxa"/>
            <w:right w:w="0" w:type="dxa"/>
          </w:tblCellMar>
        </w:tblPrEx>
        <w:trPr>
          <w:wBefore w:w="0" w:type="auto"/>
          <w:tblCellSpacing w:w="0" w:type="dxa"/>
        </w:trPr>
        <w:tc>
          <w:tcPr>
            <w:tcW w:w="0" w:type="auto"/>
            <w:noWrap w:val="0"/>
            <w:vAlign w:val="center"/>
          </w:tcPr>
          <w:p w14:paraId="203048AB">
            <w:r>
              <w:rPr>
                <w:rStyle w:val="10"/>
                <w:rFonts w:hint="eastAsia"/>
              </w:rPr>
              <w:t>质量保证期：</w:t>
            </w:r>
            <w:r>
              <w:rPr>
                <w:rStyle w:val="11"/>
                <w:rFonts w:hint="eastAsia"/>
              </w:rPr>
              <w:t>2年</w:t>
            </w:r>
          </w:p>
        </w:tc>
      </w:tr>
      <w:tr w14:paraId="5781720B">
        <w:tblPrEx>
          <w:tblCellMar>
            <w:top w:w="0" w:type="dxa"/>
            <w:left w:w="0" w:type="dxa"/>
            <w:bottom w:w="0" w:type="dxa"/>
            <w:right w:w="0" w:type="dxa"/>
          </w:tblCellMar>
        </w:tblPrEx>
        <w:trPr>
          <w:wBefore w:w="0" w:type="auto"/>
          <w:tblCellSpacing w:w="0" w:type="dxa"/>
        </w:trPr>
        <w:tc>
          <w:tcPr>
            <w:tcW w:w="0" w:type="auto"/>
            <w:noWrap w:val="0"/>
            <w:vAlign w:val="center"/>
          </w:tcPr>
          <w:p w14:paraId="3B53C2D9">
            <w:r>
              <w:rPr>
                <w:rStyle w:val="10"/>
                <w:rFonts w:hint="eastAsia"/>
              </w:rPr>
              <w:t>备注：</w:t>
            </w:r>
            <w:r>
              <w:rPr>
                <w:rFonts w:hint="eastAsia"/>
              </w:rPr>
              <w:br w:type="textWrapping"/>
            </w:r>
            <w:r>
              <w:rPr>
                <w:rStyle w:val="11"/>
                <w:rFonts w:hint="eastAsia"/>
              </w:rPr>
              <w:t>/</w:t>
            </w:r>
          </w:p>
        </w:tc>
      </w:tr>
    </w:tbl>
    <w:p w14:paraId="52A0F43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F06D7E0">
        <w:tblPrEx>
          <w:tblCellMar>
            <w:top w:w="0" w:type="dxa"/>
            <w:left w:w="0" w:type="dxa"/>
            <w:bottom w:w="0" w:type="dxa"/>
            <w:right w:w="0" w:type="dxa"/>
          </w:tblCellMar>
        </w:tblPrEx>
        <w:trPr>
          <w:wBefore w:w="0" w:type="auto"/>
          <w:tblCellSpacing w:w="0" w:type="dxa"/>
        </w:trPr>
        <w:tc>
          <w:tcPr>
            <w:tcW w:w="0" w:type="auto"/>
            <w:noWrap w:val="0"/>
            <w:vAlign w:val="center"/>
          </w:tcPr>
          <w:p w14:paraId="2C077E3F">
            <w:r>
              <w:rPr>
                <w:rStyle w:val="10"/>
                <w:rFonts w:hint="eastAsia"/>
              </w:rPr>
              <w:t>登记证号：</w:t>
            </w:r>
            <w:r>
              <w:rPr>
                <w:rFonts w:hint="eastAsia"/>
              </w:rPr>
              <w:t>PD20212137</w:t>
            </w:r>
          </w:p>
        </w:tc>
      </w:tr>
      <w:tr w14:paraId="26091133">
        <w:tblPrEx>
          <w:tblCellMar>
            <w:top w:w="0" w:type="dxa"/>
            <w:left w:w="0" w:type="dxa"/>
            <w:bottom w:w="0" w:type="dxa"/>
            <w:right w:w="0" w:type="dxa"/>
          </w:tblCellMar>
        </w:tblPrEx>
        <w:trPr>
          <w:wBefore w:w="0" w:type="auto"/>
          <w:tblCellSpacing w:w="0" w:type="dxa"/>
        </w:trPr>
        <w:tc>
          <w:tcPr>
            <w:tcW w:w="0" w:type="auto"/>
            <w:noWrap w:val="0"/>
            <w:vAlign w:val="center"/>
          </w:tcPr>
          <w:p w14:paraId="0CBD6D2D">
            <w:r>
              <w:rPr>
                <w:rStyle w:val="10"/>
                <w:rFonts w:hint="eastAsia"/>
              </w:rPr>
              <w:t>登记证持有人：</w:t>
            </w:r>
            <w:r>
              <w:rPr>
                <w:rFonts w:hint="eastAsia"/>
              </w:rPr>
              <w:t>齐齐哈尔华丰化工有限公司</w:t>
            </w:r>
          </w:p>
        </w:tc>
      </w:tr>
      <w:tr w14:paraId="1F55FA78">
        <w:tblPrEx>
          <w:tblCellMar>
            <w:top w:w="0" w:type="dxa"/>
            <w:left w:w="0" w:type="dxa"/>
            <w:bottom w:w="0" w:type="dxa"/>
            <w:right w:w="0" w:type="dxa"/>
          </w:tblCellMar>
        </w:tblPrEx>
        <w:trPr>
          <w:wBefore w:w="0" w:type="auto"/>
          <w:tblCellSpacing w:w="0" w:type="dxa"/>
        </w:trPr>
        <w:tc>
          <w:tcPr>
            <w:tcW w:w="0" w:type="auto"/>
            <w:noWrap w:val="0"/>
            <w:vAlign w:val="center"/>
          </w:tcPr>
          <w:p w14:paraId="4F539FBB">
            <w:r>
              <w:rPr>
                <w:rStyle w:val="10"/>
                <w:rFonts w:hint="eastAsia"/>
              </w:rPr>
              <w:t>农药名称：</w:t>
            </w:r>
            <w:r>
              <w:rPr>
                <w:rFonts w:hint="eastAsia"/>
              </w:rPr>
              <w:t>嗪酮·乙草胺</w:t>
            </w:r>
          </w:p>
        </w:tc>
      </w:tr>
      <w:tr w14:paraId="77BF62F1">
        <w:tblPrEx>
          <w:tblCellMar>
            <w:top w:w="0" w:type="dxa"/>
            <w:left w:w="0" w:type="dxa"/>
            <w:bottom w:w="0" w:type="dxa"/>
            <w:right w:w="0" w:type="dxa"/>
          </w:tblCellMar>
        </w:tblPrEx>
        <w:trPr>
          <w:wBefore w:w="0" w:type="auto"/>
          <w:tblCellSpacing w:w="0" w:type="dxa"/>
        </w:trPr>
        <w:tc>
          <w:tcPr>
            <w:tcW w:w="0" w:type="auto"/>
            <w:noWrap w:val="0"/>
            <w:vAlign w:val="center"/>
          </w:tcPr>
          <w:p w14:paraId="3F87A534">
            <w:r>
              <w:rPr>
                <w:rStyle w:val="10"/>
                <w:rFonts w:hint="eastAsia"/>
              </w:rPr>
              <w:t>剂型：</w:t>
            </w:r>
            <w:r>
              <w:rPr>
                <w:rFonts w:hint="eastAsia"/>
              </w:rPr>
              <w:t>乳油</w:t>
            </w:r>
          </w:p>
        </w:tc>
      </w:tr>
      <w:tr w14:paraId="78644FE9">
        <w:tblPrEx>
          <w:tblCellMar>
            <w:top w:w="0" w:type="dxa"/>
            <w:left w:w="0" w:type="dxa"/>
            <w:bottom w:w="0" w:type="dxa"/>
            <w:right w:w="0" w:type="dxa"/>
          </w:tblCellMar>
        </w:tblPrEx>
        <w:trPr>
          <w:wBefore w:w="0" w:type="auto"/>
          <w:tblCellSpacing w:w="0" w:type="dxa"/>
        </w:trPr>
        <w:tc>
          <w:tcPr>
            <w:tcW w:w="0" w:type="auto"/>
            <w:noWrap w:val="0"/>
            <w:vAlign w:val="center"/>
          </w:tcPr>
          <w:p w14:paraId="6D861935">
            <w:r>
              <w:rPr>
                <w:rStyle w:val="10"/>
                <w:rFonts w:hint="eastAsia"/>
              </w:rPr>
              <w:t>毒性及其标识：</w:t>
            </w:r>
            <w:r>
              <w:rPr>
                <w:rFonts w:hint="eastAsia"/>
              </w:rPr>
              <w:t xml:space="preserve"> </w:t>
            </w:r>
            <w:r>
              <w:rPr>
                <w:lang/>
              </w:rPr>
              <w:drawing>
                <wp:inline distT="0" distB="0" distL="114300" distR="114300">
                  <wp:extent cx="476250" cy="323850"/>
                  <wp:effectExtent l="0" t="0" r="0" b="0"/>
                  <wp:docPr id="44" name="图片 4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5058A74">
        <w:tblPrEx>
          <w:tblCellMar>
            <w:top w:w="0" w:type="dxa"/>
            <w:left w:w="0" w:type="dxa"/>
            <w:bottom w:w="0" w:type="dxa"/>
            <w:right w:w="0" w:type="dxa"/>
          </w:tblCellMar>
        </w:tblPrEx>
        <w:trPr>
          <w:wBefore w:w="0" w:type="auto"/>
          <w:tblCellSpacing w:w="0" w:type="dxa"/>
        </w:trPr>
        <w:tc>
          <w:tcPr>
            <w:tcW w:w="0" w:type="auto"/>
            <w:noWrap w:val="0"/>
            <w:vAlign w:val="center"/>
          </w:tcPr>
          <w:p w14:paraId="73BC720C">
            <w:r>
              <w:rPr>
                <w:rStyle w:val="10"/>
                <w:rFonts w:hint="eastAsia"/>
              </w:rPr>
              <w:t>总有效成分含量：</w:t>
            </w:r>
            <w:r>
              <w:rPr>
                <w:rFonts w:hint="eastAsia"/>
              </w:rPr>
              <w:t>75%</w:t>
            </w:r>
          </w:p>
        </w:tc>
      </w:tr>
      <w:tr w14:paraId="4D40F948">
        <w:tblPrEx>
          <w:tblCellMar>
            <w:top w:w="0" w:type="dxa"/>
            <w:left w:w="0" w:type="dxa"/>
            <w:bottom w:w="0" w:type="dxa"/>
            <w:right w:w="0" w:type="dxa"/>
          </w:tblCellMar>
        </w:tblPrEx>
        <w:trPr>
          <w:wBefore w:w="0" w:type="auto"/>
          <w:tblCellSpacing w:w="0" w:type="dxa"/>
        </w:trPr>
        <w:tc>
          <w:tcPr>
            <w:tcW w:w="0" w:type="auto"/>
            <w:noWrap w:val="0"/>
            <w:vAlign w:val="center"/>
          </w:tcPr>
          <w:p w14:paraId="27C984B4">
            <w:r>
              <w:rPr>
                <w:rFonts w:hint="eastAsia"/>
              </w:rPr>
              <w:t xml:space="preserve">有效成分及其含量： </w:t>
            </w:r>
          </w:p>
          <w:p w14:paraId="5310EF4E">
            <w:r>
              <w:rPr>
                <w:rFonts w:hint="eastAsia"/>
              </w:rPr>
              <w:t xml:space="preserve">    嗪草酮15%    乙草胺60%    </w:t>
            </w:r>
          </w:p>
        </w:tc>
      </w:tr>
      <w:tr w14:paraId="2823F783">
        <w:tblPrEx>
          <w:tblCellMar>
            <w:top w:w="0" w:type="dxa"/>
            <w:left w:w="0" w:type="dxa"/>
            <w:bottom w:w="0" w:type="dxa"/>
            <w:right w:w="0" w:type="dxa"/>
          </w:tblCellMar>
        </w:tblPrEx>
        <w:trPr>
          <w:wBefore w:w="0" w:type="auto"/>
          <w:tblCellSpacing w:w="0" w:type="dxa"/>
        </w:trPr>
        <w:tc>
          <w:tcPr>
            <w:tcW w:w="0" w:type="auto"/>
            <w:noWrap w:val="0"/>
            <w:vAlign w:val="center"/>
          </w:tcPr>
          <w:p w14:paraId="714CF9A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E4A46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8EA5DF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7220ED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7C9C8C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C7AA3A">
                  <w:r>
                    <w:rPr>
                      <w:rStyle w:val="11"/>
                      <w:rFonts w:hint="eastAsia"/>
                    </w:rPr>
                    <w:t>施用方式</w:t>
                  </w:r>
                </w:p>
              </w:tc>
            </w:tr>
            <w:tr w14:paraId="60A1F4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A526E5">
                  <w:r>
                    <w:rPr>
                      <w:rStyle w:val="11"/>
                      <w:rFonts w:hint="eastAsia"/>
                    </w:rPr>
                    <w:t>春大豆田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AC9C63">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8C0535">
                  <w:r>
                    <w:rPr>
                      <w:rStyle w:val="11"/>
                      <w:rFonts w:hint="eastAsia"/>
                    </w:rPr>
                    <w:t>90-130毫升/亩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36DE14">
                  <w:r>
                    <w:rPr>
                      <w:rStyle w:val="11"/>
                      <w:rFonts w:hint="eastAsia"/>
                    </w:rPr>
                    <w:t>土壤喷雾</w:t>
                  </w:r>
                </w:p>
              </w:tc>
            </w:tr>
          </w:tbl>
          <w:p w14:paraId="4E9108E5">
            <w:pPr>
              <w:rPr>
                <w:rFonts w:ascii="Times New Roman" w:hAnsi="Times New Roman" w:cs="Times New Roman"/>
                <w:sz w:val="20"/>
                <w:szCs w:val="20"/>
              </w:rPr>
            </w:pPr>
          </w:p>
        </w:tc>
      </w:tr>
      <w:tr w14:paraId="30DDE92A">
        <w:tblPrEx>
          <w:tblCellMar>
            <w:top w:w="0" w:type="dxa"/>
            <w:left w:w="0" w:type="dxa"/>
            <w:bottom w:w="0" w:type="dxa"/>
            <w:right w:w="0" w:type="dxa"/>
          </w:tblCellMar>
        </w:tblPrEx>
        <w:trPr>
          <w:wBefore w:w="0" w:type="auto"/>
          <w:tblCellSpacing w:w="0" w:type="dxa"/>
        </w:trPr>
        <w:tc>
          <w:tcPr>
            <w:tcW w:w="0" w:type="auto"/>
            <w:noWrap w:val="0"/>
            <w:vAlign w:val="center"/>
          </w:tcPr>
          <w:p w14:paraId="5833DE3C">
            <w:r>
              <w:rPr>
                <w:rStyle w:val="10"/>
                <w:rFonts w:hint="eastAsia"/>
              </w:rPr>
              <w:t>使用技术要求:</w:t>
            </w:r>
            <w:r>
              <w:rPr>
                <w:rFonts w:hint="eastAsia"/>
              </w:rPr>
              <w:br w:type="textWrapping"/>
            </w:r>
            <w:r>
              <w:rPr>
                <w:rStyle w:val="11"/>
                <w:rFonts w:hint="eastAsia"/>
              </w:rPr>
              <w:t>1.大豆播种后出苗前，按每亩兑水30-50升水，均匀土壤喷雾，可以有效防除一年生杂草。2.土壤有机质过低或沙质土慎用。3.施药时应周到、均匀，勿重喷或漏喷。4.大风天或下雨前后，请勿施药。施药时应避免药液漂移到邻近作物上，以免产生药害。5.每季最多使用1次。</w:t>
            </w:r>
          </w:p>
        </w:tc>
      </w:tr>
      <w:tr w14:paraId="73B2C59F">
        <w:tblPrEx>
          <w:tblCellMar>
            <w:top w:w="0" w:type="dxa"/>
            <w:left w:w="0" w:type="dxa"/>
            <w:bottom w:w="0" w:type="dxa"/>
            <w:right w:w="0" w:type="dxa"/>
          </w:tblCellMar>
        </w:tblPrEx>
        <w:trPr>
          <w:wBefore w:w="0" w:type="auto"/>
          <w:tblCellSpacing w:w="0" w:type="dxa"/>
        </w:trPr>
        <w:tc>
          <w:tcPr>
            <w:tcW w:w="0" w:type="auto"/>
            <w:noWrap w:val="0"/>
            <w:vAlign w:val="center"/>
          </w:tcPr>
          <w:p w14:paraId="5CC88BE8">
            <w:r>
              <w:rPr>
                <w:rStyle w:val="10"/>
                <w:rFonts w:hint="eastAsia"/>
              </w:rPr>
              <w:t>产品性能:</w:t>
            </w:r>
            <w:r>
              <w:rPr>
                <w:rFonts w:hint="eastAsia"/>
              </w:rPr>
              <w:br w:type="textWrapping"/>
            </w:r>
            <w:r>
              <w:rPr>
                <w:rStyle w:val="11"/>
                <w:rFonts w:hint="eastAsia"/>
              </w:rPr>
              <w:t>本品是由两种不同作用机理的除草剂混配而成的土壤封闭处理除草剂，可有效防除春大豆田一年生禾本科杂草和阔叶杂草。如稗草、狗尾草、野黍、马唐、牛筋草、野燕麦、藜、蓼、苋、龙葵、苘麻、铁苋菜、马齿苋、苍耳等一年生杂草。</w:t>
            </w:r>
          </w:p>
        </w:tc>
      </w:tr>
      <w:tr w14:paraId="251156F8">
        <w:tblPrEx>
          <w:tblCellMar>
            <w:top w:w="0" w:type="dxa"/>
            <w:left w:w="0" w:type="dxa"/>
            <w:bottom w:w="0" w:type="dxa"/>
            <w:right w:w="0" w:type="dxa"/>
          </w:tblCellMar>
        </w:tblPrEx>
        <w:trPr>
          <w:wBefore w:w="0" w:type="auto"/>
          <w:tblCellSpacing w:w="0" w:type="dxa"/>
        </w:trPr>
        <w:tc>
          <w:tcPr>
            <w:tcW w:w="0" w:type="auto"/>
            <w:noWrap w:val="0"/>
            <w:vAlign w:val="center"/>
          </w:tcPr>
          <w:p w14:paraId="195563F7">
            <w:r>
              <w:rPr>
                <w:rStyle w:val="10"/>
                <w:rFonts w:hint="eastAsia"/>
              </w:rPr>
              <w:t>注意事项：</w:t>
            </w:r>
            <w:r>
              <w:rPr>
                <w:rFonts w:hint="eastAsia"/>
              </w:rPr>
              <w:br w:type="textWrapping"/>
            </w:r>
            <w:r>
              <w:rPr>
                <w:rStyle w:val="11"/>
                <w:rFonts w:hint="eastAsia"/>
              </w:rPr>
              <w:t>1.农药施用人员在配药和施药过程中要注意防护，穿戴好护目镜、防护服、长筒靴和双层防护手套等防护用品。2.在专业植保人员的指导下施药，不能随意增加施药量、施药次数。3.农药施用人员不要在下雨、高温、作物上有露水、大风时施药，每次施药时间最好控制在4小时以内。4.农药施用人员定期检查、维护和保养施药器械，避免施药器械的故障或药液箱漏液，施药时应从上风向开始，喷头应在下风向，并在施药作业现场准备有足量的肥皂和清水等洗涤用品。5.农药施用人员在脱去防护手套和防护鞋前先用清水冲洗，避免其污染面在脱下时与皮肤接触，并且防护用品必须和其他衣物分开清洗和存放。6.禁止在施药期间进食、饮水、吸烟。7.嗪草酮土壤残效期较长，注意合理安排后茬作物，保证安全间隔期。8.远离水产养殖区、河塘等水体施药，禁止在河塘等水体中清洗施药器具；</w:t>
            </w:r>
            <w:r>
              <w:rPr>
                <w:rStyle w:val="11"/>
                <w:rFonts w:hint="eastAsia"/>
              </w:rPr>
              <w:t> </w:t>
            </w:r>
            <w:r>
              <w:rPr>
                <w:rStyle w:val="11"/>
                <w:rFonts w:hint="eastAsia"/>
              </w:rPr>
              <w:t>蚕室及桑园附近禁用；瓢虫等天敌放飞区域禁用；</w:t>
            </w:r>
            <w:r>
              <w:rPr>
                <w:rStyle w:val="11"/>
                <w:rFonts w:hint="eastAsia"/>
              </w:rPr>
              <w:t> </w:t>
            </w:r>
            <w:r>
              <w:rPr>
                <w:rStyle w:val="11"/>
                <w:rFonts w:hint="eastAsia"/>
              </w:rPr>
              <w:t>鸟类保护区附近禁用。</w:t>
            </w:r>
            <w:r>
              <w:rPr>
                <w:rStyle w:val="11"/>
                <w:rFonts w:hint="eastAsia"/>
              </w:rPr>
              <w:t> </w:t>
            </w:r>
            <w:r>
              <w:rPr>
                <w:rStyle w:val="11"/>
                <w:rFonts w:hint="eastAsia"/>
              </w:rPr>
              <w:t>9.用过的容器或包装物应妥善处理，不可做他用，也不可随意丢弃。10.禁止儿童、孕妇和哺乳期妇女接触。过敏者禁用，使用中有任何不良反应请及时就医。</w:t>
            </w:r>
          </w:p>
        </w:tc>
      </w:tr>
      <w:tr w14:paraId="33D9500E">
        <w:tblPrEx>
          <w:tblCellMar>
            <w:top w:w="0" w:type="dxa"/>
            <w:left w:w="0" w:type="dxa"/>
            <w:bottom w:w="0" w:type="dxa"/>
            <w:right w:w="0" w:type="dxa"/>
          </w:tblCellMar>
        </w:tblPrEx>
        <w:trPr>
          <w:wBefore w:w="0" w:type="auto"/>
          <w:tblCellSpacing w:w="0" w:type="dxa"/>
        </w:trPr>
        <w:tc>
          <w:tcPr>
            <w:tcW w:w="0" w:type="auto"/>
            <w:noWrap w:val="0"/>
            <w:vAlign w:val="center"/>
          </w:tcPr>
          <w:p w14:paraId="5B88C1F8">
            <w:r>
              <w:rPr>
                <w:rStyle w:val="10"/>
                <w:rFonts w:hint="eastAsia"/>
              </w:rPr>
              <w:t>中毒急救措施：</w:t>
            </w:r>
            <w:r>
              <w:rPr>
                <w:rFonts w:hint="eastAsia"/>
              </w:rPr>
              <w:br w:type="textWrapping"/>
            </w:r>
            <w:r>
              <w:rPr>
                <w:rStyle w:val="11"/>
                <w:rFonts w:hint="eastAsia"/>
              </w:rPr>
              <w:t>本品对眼睛有刺激性。1.皮肤接触：立即脱掉被污染的衣物，用肥皂和大量清水彻底清洗受污染的皮肤。2.眼睛溅药：立即将眼睑翻开，用清水冲洗至少15分钟。3.发生吸入：立即将吸入者转移到空气新鲜处。注意保暖和休息，请医生诊治。 4.误服：请勿引吐，立即携带标签，送医就诊。</w:t>
            </w:r>
          </w:p>
        </w:tc>
      </w:tr>
      <w:tr w14:paraId="7F7A77B5">
        <w:tblPrEx>
          <w:tblCellMar>
            <w:top w:w="0" w:type="dxa"/>
            <w:left w:w="0" w:type="dxa"/>
            <w:bottom w:w="0" w:type="dxa"/>
            <w:right w:w="0" w:type="dxa"/>
          </w:tblCellMar>
        </w:tblPrEx>
        <w:trPr>
          <w:wBefore w:w="0" w:type="auto"/>
          <w:tblCellSpacing w:w="0" w:type="dxa"/>
        </w:trPr>
        <w:tc>
          <w:tcPr>
            <w:tcW w:w="0" w:type="auto"/>
            <w:noWrap w:val="0"/>
            <w:vAlign w:val="center"/>
          </w:tcPr>
          <w:p w14:paraId="522364A7">
            <w:r>
              <w:rPr>
                <w:rStyle w:val="10"/>
                <w:rFonts w:hint="eastAsia"/>
              </w:rPr>
              <w:t>储存和运输方法：</w:t>
            </w:r>
            <w:r>
              <w:rPr>
                <w:rFonts w:hint="eastAsia"/>
              </w:rPr>
              <w:br w:type="textWrapping"/>
            </w:r>
            <w:r>
              <w:rPr>
                <w:rStyle w:val="11"/>
                <w:rFonts w:hint="eastAsia"/>
              </w:rPr>
              <w:t>1.本品应贮存在干燥、阴凉、通风、防雨处，远离火源或热源。2.置于儿童触及不到之处，并加锁。3.勿与食品、饮料、粮食、饲料等同贮同运。</w:t>
            </w:r>
          </w:p>
        </w:tc>
      </w:tr>
      <w:tr w14:paraId="2163D94A">
        <w:tblPrEx>
          <w:tblCellMar>
            <w:top w:w="0" w:type="dxa"/>
            <w:left w:w="0" w:type="dxa"/>
            <w:bottom w:w="0" w:type="dxa"/>
            <w:right w:w="0" w:type="dxa"/>
          </w:tblCellMar>
        </w:tblPrEx>
        <w:trPr>
          <w:wBefore w:w="0" w:type="auto"/>
          <w:tblCellSpacing w:w="0" w:type="dxa"/>
        </w:trPr>
        <w:tc>
          <w:tcPr>
            <w:tcW w:w="0" w:type="auto"/>
            <w:noWrap w:val="0"/>
            <w:vAlign w:val="center"/>
          </w:tcPr>
          <w:p w14:paraId="60F39DC4">
            <w:r>
              <w:rPr>
                <w:rStyle w:val="10"/>
                <w:rFonts w:hint="eastAsia"/>
              </w:rPr>
              <w:t>质量保证期：</w:t>
            </w:r>
            <w:r>
              <w:rPr>
                <w:rStyle w:val="11"/>
                <w:rFonts w:hint="eastAsia"/>
              </w:rPr>
              <w:t>2年</w:t>
            </w:r>
          </w:p>
        </w:tc>
      </w:tr>
      <w:tr w14:paraId="1C1E8E7F">
        <w:tblPrEx>
          <w:tblCellMar>
            <w:top w:w="0" w:type="dxa"/>
            <w:left w:w="0" w:type="dxa"/>
            <w:bottom w:w="0" w:type="dxa"/>
            <w:right w:w="0" w:type="dxa"/>
          </w:tblCellMar>
        </w:tblPrEx>
        <w:trPr>
          <w:wBefore w:w="0" w:type="auto"/>
          <w:tblCellSpacing w:w="0" w:type="dxa"/>
        </w:trPr>
        <w:tc>
          <w:tcPr>
            <w:tcW w:w="0" w:type="auto"/>
            <w:noWrap w:val="0"/>
            <w:vAlign w:val="center"/>
          </w:tcPr>
          <w:p w14:paraId="77032F0B">
            <w:r>
              <w:rPr>
                <w:rStyle w:val="10"/>
                <w:rFonts w:hint="eastAsia"/>
              </w:rPr>
              <w:t>备注：</w:t>
            </w:r>
          </w:p>
        </w:tc>
      </w:tr>
    </w:tbl>
    <w:p w14:paraId="7F667E6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D969C94">
        <w:tblPrEx>
          <w:tblCellMar>
            <w:top w:w="0" w:type="dxa"/>
            <w:left w:w="0" w:type="dxa"/>
            <w:bottom w:w="0" w:type="dxa"/>
            <w:right w:w="0" w:type="dxa"/>
          </w:tblCellMar>
        </w:tblPrEx>
        <w:trPr>
          <w:wBefore w:w="0" w:type="auto"/>
          <w:tblCellSpacing w:w="0" w:type="dxa"/>
        </w:trPr>
        <w:tc>
          <w:tcPr>
            <w:tcW w:w="0" w:type="auto"/>
            <w:noWrap w:val="0"/>
            <w:vAlign w:val="center"/>
          </w:tcPr>
          <w:p w14:paraId="31F009D4">
            <w:r>
              <w:rPr>
                <w:rStyle w:val="10"/>
                <w:rFonts w:hint="eastAsia"/>
              </w:rPr>
              <w:t>登记证号：</w:t>
            </w:r>
            <w:r>
              <w:rPr>
                <w:rFonts w:hint="eastAsia"/>
              </w:rPr>
              <w:t>PD20212076</w:t>
            </w:r>
          </w:p>
        </w:tc>
      </w:tr>
      <w:tr w14:paraId="29CB53AF">
        <w:tblPrEx>
          <w:tblCellMar>
            <w:top w:w="0" w:type="dxa"/>
            <w:left w:w="0" w:type="dxa"/>
            <w:bottom w:w="0" w:type="dxa"/>
            <w:right w:w="0" w:type="dxa"/>
          </w:tblCellMar>
        </w:tblPrEx>
        <w:trPr>
          <w:wBefore w:w="0" w:type="auto"/>
          <w:tblCellSpacing w:w="0" w:type="dxa"/>
        </w:trPr>
        <w:tc>
          <w:tcPr>
            <w:tcW w:w="0" w:type="auto"/>
            <w:noWrap w:val="0"/>
            <w:vAlign w:val="center"/>
          </w:tcPr>
          <w:p w14:paraId="0B80AACA">
            <w:r>
              <w:rPr>
                <w:rStyle w:val="10"/>
                <w:rFonts w:hint="eastAsia"/>
              </w:rPr>
              <w:t>登记证持有人：</w:t>
            </w:r>
            <w:r>
              <w:rPr>
                <w:rFonts w:hint="eastAsia"/>
              </w:rPr>
              <w:t>安徽尚禾沃达生物科技有限公司</w:t>
            </w:r>
          </w:p>
        </w:tc>
      </w:tr>
      <w:tr w14:paraId="648803CF">
        <w:tblPrEx>
          <w:tblCellMar>
            <w:top w:w="0" w:type="dxa"/>
            <w:left w:w="0" w:type="dxa"/>
            <w:bottom w:w="0" w:type="dxa"/>
            <w:right w:w="0" w:type="dxa"/>
          </w:tblCellMar>
        </w:tblPrEx>
        <w:trPr>
          <w:wBefore w:w="0" w:type="auto"/>
          <w:tblCellSpacing w:w="0" w:type="dxa"/>
        </w:trPr>
        <w:tc>
          <w:tcPr>
            <w:tcW w:w="0" w:type="auto"/>
            <w:noWrap w:val="0"/>
            <w:vAlign w:val="center"/>
          </w:tcPr>
          <w:p w14:paraId="4E122C53">
            <w:r>
              <w:rPr>
                <w:rStyle w:val="10"/>
                <w:rFonts w:hint="eastAsia"/>
              </w:rPr>
              <w:t>农药名称：</w:t>
            </w:r>
            <w:r>
              <w:rPr>
                <w:rFonts w:hint="eastAsia"/>
              </w:rPr>
              <w:t>阿维菌素·氟啶胺</w:t>
            </w:r>
          </w:p>
        </w:tc>
      </w:tr>
      <w:tr w14:paraId="2C5FA6B4">
        <w:tblPrEx>
          <w:tblCellMar>
            <w:top w:w="0" w:type="dxa"/>
            <w:left w:w="0" w:type="dxa"/>
            <w:bottom w:w="0" w:type="dxa"/>
            <w:right w:w="0" w:type="dxa"/>
          </w:tblCellMar>
        </w:tblPrEx>
        <w:trPr>
          <w:wBefore w:w="0" w:type="auto"/>
          <w:tblCellSpacing w:w="0" w:type="dxa"/>
        </w:trPr>
        <w:tc>
          <w:tcPr>
            <w:tcW w:w="0" w:type="auto"/>
            <w:noWrap w:val="0"/>
            <w:vAlign w:val="center"/>
          </w:tcPr>
          <w:p w14:paraId="5652A0CB">
            <w:r>
              <w:rPr>
                <w:rStyle w:val="10"/>
                <w:rFonts w:hint="eastAsia"/>
              </w:rPr>
              <w:t>剂型：</w:t>
            </w:r>
            <w:r>
              <w:rPr>
                <w:rFonts w:hint="eastAsia"/>
              </w:rPr>
              <w:t>悬浮剂</w:t>
            </w:r>
          </w:p>
        </w:tc>
      </w:tr>
      <w:tr w14:paraId="03EBA282">
        <w:tblPrEx>
          <w:tblCellMar>
            <w:top w:w="0" w:type="dxa"/>
            <w:left w:w="0" w:type="dxa"/>
            <w:bottom w:w="0" w:type="dxa"/>
            <w:right w:w="0" w:type="dxa"/>
          </w:tblCellMar>
        </w:tblPrEx>
        <w:trPr>
          <w:wBefore w:w="0" w:type="auto"/>
          <w:tblCellSpacing w:w="0" w:type="dxa"/>
        </w:trPr>
        <w:tc>
          <w:tcPr>
            <w:tcW w:w="0" w:type="auto"/>
            <w:noWrap w:val="0"/>
            <w:vAlign w:val="center"/>
          </w:tcPr>
          <w:p w14:paraId="74C4790F">
            <w:r>
              <w:rPr>
                <w:rStyle w:val="10"/>
                <w:rFonts w:hint="eastAsia"/>
              </w:rPr>
              <w:t>毒性及其标识：</w:t>
            </w:r>
            <w:r>
              <w:rPr>
                <w:rFonts w:hint="eastAsia"/>
              </w:rPr>
              <w:t xml:space="preserve"> </w:t>
            </w:r>
            <w:r>
              <w:rPr>
                <w:lang/>
              </w:rPr>
              <w:drawing>
                <wp:inline distT="0" distB="0" distL="114300" distR="114300">
                  <wp:extent cx="476250" cy="323850"/>
                  <wp:effectExtent l="0" t="0" r="0" b="0"/>
                  <wp:docPr id="45" name="图片 4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55FAE568">
        <w:tblPrEx>
          <w:tblCellMar>
            <w:top w:w="0" w:type="dxa"/>
            <w:left w:w="0" w:type="dxa"/>
            <w:bottom w:w="0" w:type="dxa"/>
            <w:right w:w="0" w:type="dxa"/>
          </w:tblCellMar>
        </w:tblPrEx>
        <w:trPr>
          <w:wBefore w:w="0" w:type="auto"/>
          <w:tblCellSpacing w:w="0" w:type="dxa"/>
        </w:trPr>
        <w:tc>
          <w:tcPr>
            <w:tcW w:w="0" w:type="auto"/>
            <w:noWrap w:val="0"/>
            <w:vAlign w:val="center"/>
          </w:tcPr>
          <w:p w14:paraId="0079B822">
            <w:r>
              <w:rPr>
                <w:rStyle w:val="10"/>
                <w:rFonts w:hint="eastAsia"/>
              </w:rPr>
              <w:t>总有效成分含量：</w:t>
            </w:r>
            <w:r>
              <w:rPr>
                <w:rFonts w:hint="eastAsia"/>
              </w:rPr>
              <w:t>550克/升</w:t>
            </w:r>
          </w:p>
        </w:tc>
      </w:tr>
      <w:tr w14:paraId="3FAF4C23">
        <w:tblPrEx>
          <w:tblCellMar>
            <w:top w:w="0" w:type="dxa"/>
            <w:left w:w="0" w:type="dxa"/>
            <w:bottom w:w="0" w:type="dxa"/>
            <w:right w:w="0" w:type="dxa"/>
          </w:tblCellMar>
        </w:tblPrEx>
        <w:trPr>
          <w:wBefore w:w="0" w:type="auto"/>
          <w:tblCellSpacing w:w="0" w:type="dxa"/>
        </w:trPr>
        <w:tc>
          <w:tcPr>
            <w:tcW w:w="0" w:type="auto"/>
            <w:noWrap w:val="0"/>
            <w:vAlign w:val="center"/>
          </w:tcPr>
          <w:p w14:paraId="4C442292">
            <w:r>
              <w:rPr>
                <w:rFonts w:hint="eastAsia"/>
              </w:rPr>
              <w:t xml:space="preserve">有效成分及其含量： </w:t>
            </w:r>
          </w:p>
          <w:p w14:paraId="057AC13C">
            <w:r>
              <w:rPr>
                <w:rFonts w:hint="eastAsia"/>
              </w:rPr>
              <w:t xml:space="preserve">    阿维菌素50克/升    氟啶胺500克/升    </w:t>
            </w:r>
          </w:p>
        </w:tc>
      </w:tr>
      <w:tr w14:paraId="22436DAF">
        <w:tblPrEx>
          <w:tblCellMar>
            <w:top w:w="0" w:type="dxa"/>
            <w:left w:w="0" w:type="dxa"/>
            <w:bottom w:w="0" w:type="dxa"/>
            <w:right w:w="0" w:type="dxa"/>
          </w:tblCellMar>
        </w:tblPrEx>
        <w:trPr>
          <w:wBefore w:w="0" w:type="auto"/>
          <w:tblCellSpacing w:w="0" w:type="dxa"/>
        </w:trPr>
        <w:tc>
          <w:tcPr>
            <w:tcW w:w="0" w:type="auto"/>
            <w:noWrap w:val="0"/>
            <w:vAlign w:val="center"/>
          </w:tcPr>
          <w:p w14:paraId="23B7F7C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27D86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E4CFE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08695E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0C1175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C95E1B1">
                  <w:r>
                    <w:rPr>
                      <w:rStyle w:val="11"/>
                      <w:rFonts w:hint="eastAsia"/>
                    </w:rPr>
                    <w:t>施用方式</w:t>
                  </w:r>
                </w:p>
              </w:tc>
            </w:tr>
            <w:tr w14:paraId="507C78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CCDA5E">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F6C1A5">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9B262C">
                  <w:r>
                    <w:rPr>
                      <w:rStyle w:val="11"/>
                      <w:rFonts w:hint="eastAsia"/>
                    </w:rPr>
                    <w:t>4000-6000倍液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CF13E7">
                  <w:r>
                    <w:rPr>
                      <w:rStyle w:val="11"/>
                      <w:rFonts w:hint="eastAsia"/>
                    </w:rPr>
                    <w:t>喷雾</w:t>
                  </w:r>
                </w:p>
              </w:tc>
            </w:tr>
          </w:tbl>
          <w:p w14:paraId="617CF8A5">
            <w:pPr>
              <w:rPr>
                <w:rFonts w:ascii="Times New Roman" w:hAnsi="Times New Roman" w:cs="Times New Roman"/>
                <w:sz w:val="20"/>
                <w:szCs w:val="20"/>
              </w:rPr>
            </w:pPr>
          </w:p>
        </w:tc>
      </w:tr>
      <w:tr w14:paraId="1CD767F7">
        <w:tblPrEx>
          <w:tblCellMar>
            <w:top w:w="0" w:type="dxa"/>
            <w:left w:w="0" w:type="dxa"/>
            <w:bottom w:w="0" w:type="dxa"/>
            <w:right w:w="0" w:type="dxa"/>
          </w:tblCellMar>
        </w:tblPrEx>
        <w:trPr>
          <w:wBefore w:w="0" w:type="auto"/>
          <w:tblCellSpacing w:w="0" w:type="dxa"/>
        </w:trPr>
        <w:tc>
          <w:tcPr>
            <w:tcW w:w="0" w:type="auto"/>
            <w:noWrap w:val="0"/>
            <w:vAlign w:val="center"/>
          </w:tcPr>
          <w:p w14:paraId="4FAFD401">
            <w:r>
              <w:rPr>
                <w:rStyle w:val="10"/>
                <w:rFonts w:hint="eastAsia"/>
              </w:rPr>
              <w:t>使用技术要求:</w:t>
            </w:r>
            <w:r>
              <w:rPr>
                <w:rFonts w:hint="eastAsia"/>
              </w:rPr>
              <w:br w:type="textWrapping"/>
            </w:r>
            <w:r>
              <w:rPr>
                <w:rStyle w:val="11"/>
                <w:rFonts w:hint="eastAsia"/>
              </w:rPr>
              <w:t>1.在柑橘红蜘蛛始盛期施药，均匀喷雾。 2.不要在下雨、高温、作物上有露水、刮风、沿海地区遇到有海雾时施药，每次施药时间最好控制在4h以内。3.每季最多施药 2次，推荐安全间隔期为28 天。</w:t>
            </w:r>
          </w:p>
        </w:tc>
      </w:tr>
      <w:tr w14:paraId="224CD6FE">
        <w:tblPrEx>
          <w:tblCellMar>
            <w:top w:w="0" w:type="dxa"/>
            <w:left w:w="0" w:type="dxa"/>
            <w:bottom w:w="0" w:type="dxa"/>
            <w:right w:w="0" w:type="dxa"/>
          </w:tblCellMar>
        </w:tblPrEx>
        <w:trPr>
          <w:wBefore w:w="0" w:type="auto"/>
          <w:tblCellSpacing w:w="0" w:type="dxa"/>
        </w:trPr>
        <w:tc>
          <w:tcPr>
            <w:tcW w:w="0" w:type="auto"/>
            <w:noWrap w:val="0"/>
            <w:vAlign w:val="center"/>
          </w:tcPr>
          <w:p w14:paraId="6D66E767">
            <w:r>
              <w:rPr>
                <w:rStyle w:val="10"/>
                <w:rFonts w:hint="eastAsia"/>
              </w:rPr>
              <w:t>产品性能:</w:t>
            </w:r>
            <w:r>
              <w:rPr>
                <w:rFonts w:hint="eastAsia"/>
              </w:rPr>
              <w:br w:type="textWrapping"/>
            </w:r>
            <w:r>
              <w:rPr>
                <w:rStyle w:val="11"/>
                <w:rFonts w:hint="eastAsia"/>
              </w:rPr>
              <w:t>本品是阿维菌素和氟啶胺复配的一种全新的杀螨剂，阿维菌素具有触杀和胃毒作用，速效性好。氟啶胺属于二硝基苯胺类杀菌剂，具有杀菌谱广、高效、耐雨水冲刷、残效期长等特点，兼有优良的控制食植性螨类的作用。两者复配能有效防治柑橘红蜘蛛。</w:t>
            </w:r>
          </w:p>
        </w:tc>
      </w:tr>
      <w:tr w14:paraId="1848650C">
        <w:tblPrEx>
          <w:tblCellMar>
            <w:top w:w="0" w:type="dxa"/>
            <w:left w:w="0" w:type="dxa"/>
            <w:bottom w:w="0" w:type="dxa"/>
            <w:right w:w="0" w:type="dxa"/>
          </w:tblCellMar>
        </w:tblPrEx>
        <w:trPr>
          <w:wBefore w:w="0" w:type="auto"/>
          <w:tblCellSpacing w:w="0" w:type="dxa"/>
        </w:trPr>
        <w:tc>
          <w:tcPr>
            <w:tcW w:w="0" w:type="auto"/>
            <w:noWrap w:val="0"/>
            <w:vAlign w:val="center"/>
          </w:tcPr>
          <w:p w14:paraId="7B1FF2F2">
            <w:r>
              <w:rPr>
                <w:rStyle w:val="10"/>
                <w:rFonts w:hint="eastAsia"/>
              </w:rPr>
              <w:t>注意事项：</w:t>
            </w:r>
            <w:r>
              <w:rPr>
                <w:rFonts w:hint="eastAsia"/>
              </w:rPr>
              <w:br w:type="textWrapping"/>
            </w:r>
            <w:r>
              <w:rPr>
                <w:rStyle w:val="11"/>
                <w:rFonts w:hint="eastAsia"/>
              </w:rPr>
              <w:t>1.注意与其它不同作用机制的杀虫剂交替使用以缓解抗性的产生，不可与强酸强碱性物质混用。2.本品应远离水产养殖区、河塘等水体用药，禁止在河塘等水体中清洗施药器具，避免污染水源。3.(周围)开花植物花期禁用,使用时应密切关注对附近蜂群的影响。4.禁止在蚕室和桑园附近使用。5.天敌放飞区域禁用。 6.施药时应穿戴好防护用专业防护服、长筒靴和双层防护手套等护具，避免药液溅到眼睛和皮肤上，全程禁止吸烟、进食。施药后要彻底清洗可能被污染的部位。7.用过的容器和废弃包装物应妥善处理，不可用作它用和随意丢弃。8.严格按照施药量、施药次数及施药间隔进行施药。9.定期检查、维护和保养施药器械，避免施药器械的故障或药液箱漏液，施药时应从上风向开始，喷头应在下风向。10.禁止老、弱、病、残、孕、小孩和哺乳期妇女接触和使用。</w:t>
            </w:r>
          </w:p>
        </w:tc>
      </w:tr>
      <w:tr w14:paraId="31FF16B2">
        <w:tblPrEx>
          <w:tblCellMar>
            <w:top w:w="0" w:type="dxa"/>
            <w:left w:w="0" w:type="dxa"/>
            <w:bottom w:w="0" w:type="dxa"/>
            <w:right w:w="0" w:type="dxa"/>
          </w:tblCellMar>
        </w:tblPrEx>
        <w:trPr>
          <w:wBefore w:w="0" w:type="auto"/>
          <w:tblCellSpacing w:w="0" w:type="dxa"/>
        </w:trPr>
        <w:tc>
          <w:tcPr>
            <w:tcW w:w="0" w:type="auto"/>
            <w:noWrap w:val="0"/>
            <w:vAlign w:val="center"/>
          </w:tcPr>
          <w:p w14:paraId="51030C63">
            <w:r>
              <w:rPr>
                <w:rStyle w:val="10"/>
                <w:rFonts w:hint="eastAsia"/>
              </w:rPr>
              <w:t>中毒急救措施：</w:t>
            </w:r>
            <w:r>
              <w:rPr>
                <w:rFonts w:hint="eastAsia"/>
              </w:rPr>
              <w:br w:type="textWrapping"/>
            </w:r>
            <w:r>
              <w:rPr>
                <w:rStyle w:val="11"/>
                <w:rFonts w:hint="eastAsia"/>
              </w:rPr>
              <w:t>1、对眼睛有刺激性，使用中或使用后若感觉不适，应立即停止工作，采取急救措施。2、皮肤接触：脱去污染的衣服，用软布去除沾染农药，立即用大量清水和肥皂冲洗。3、眼睛溅入：立即用流动清水冲洗不少于15分钟。4、吸入：立即离开施药现场，转移到空气清新处。5、误食：立即停止服用，用清水充分漱口后，立即携带农药标签到医院就诊。</w:t>
            </w:r>
          </w:p>
        </w:tc>
      </w:tr>
      <w:tr w14:paraId="67189CE4">
        <w:tblPrEx>
          <w:tblCellMar>
            <w:top w:w="0" w:type="dxa"/>
            <w:left w:w="0" w:type="dxa"/>
            <w:bottom w:w="0" w:type="dxa"/>
            <w:right w:w="0" w:type="dxa"/>
          </w:tblCellMar>
        </w:tblPrEx>
        <w:trPr>
          <w:wBefore w:w="0" w:type="auto"/>
          <w:tblCellSpacing w:w="0" w:type="dxa"/>
        </w:trPr>
        <w:tc>
          <w:tcPr>
            <w:tcW w:w="0" w:type="auto"/>
            <w:noWrap w:val="0"/>
            <w:vAlign w:val="center"/>
          </w:tcPr>
          <w:p w14:paraId="72A6BAF4">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本品应贮存在干燥、阴凉、通风、防雨处，远离火源或热源。置于儿童触及不到之处，并加锁。勿与食品、饮料、饲料等其他商品同贮同运。</w:t>
            </w:r>
          </w:p>
        </w:tc>
      </w:tr>
      <w:tr w14:paraId="561C7E87">
        <w:tblPrEx>
          <w:tblCellMar>
            <w:top w:w="0" w:type="dxa"/>
            <w:left w:w="0" w:type="dxa"/>
            <w:bottom w:w="0" w:type="dxa"/>
            <w:right w:w="0" w:type="dxa"/>
          </w:tblCellMar>
        </w:tblPrEx>
        <w:trPr>
          <w:wBefore w:w="0" w:type="auto"/>
          <w:tblCellSpacing w:w="0" w:type="dxa"/>
        </w:trPr>
        <w:tc>
          <w:tcPr>
            <w:tcW w:w="0" w:type="auto"/>
            <w:noWrap w:val="0"/>
            <w:vAlign w:val="center"/>
          </w:tcPr>
          <w:p w14:paraId="5E668C60">
            <w:r>
              <w:rPr>
                <w:rStyle w:val="10"/>
                <w:rFonts w:hint="eastAsia"/>
              </w:rPr>
              <w:t>质量保证期：</w:t>
            </w:r>
            <w:r>
              <w:rPr>
                <w:rStyle w:val="11"/>
                <w:rFonts w:hint="eastAsia"/>
              </w:rPr>
              <w:t>2年</w:t>
            </w:r>
          </w:p>
        </w:tc>
      </w:tr>
      <w:tr w14:paraId="474F38B7">
        <w:tblPrEx>
          <w:tblCellMar>
            <w:top w:w="0" w:type="dxa"/>
            <w:left w:w="0" w:type="dxa"/>
            <w:bottom w:w="0" w:type="dxa"/>
            <w:right w:w="0" w:type="dxa"/>
          </w:tblCellMar>
        </w:tblPrEx>
        <w:trPr>
          <w:wBefore w:w="0" w:type="auto"/>
          <w:tblCellSpacing w:w="0" w:type="dxa"/>
        </w:trPr>
        <w:tc>
          <w:tcPr>
            <w:tcW w:w="0" w:type="auto"/>
            <w:noWrap w:val="0"/>
            <w:vAlign w:val="center"/>
          </w:tcPr>
          <w:p w14:paraId="7778892D">
            <w:r>
              <w:rPr>
                <w:rStyle w:val="10"/>
                <w:rFonts w:hint="eastAsia"/>
              </w:rPr>
              <w:t>备注：</w:t>
            </w:r>
          </w:p>
        </w:tc>
      </w:tr>
    </w:tbl>
    <w:p w14:paraId="03C9C51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5F2878">
        <w:tblPrEx>
          <w:tblCellMar>
            <w:top w:w="0" w:type="dxa"/>
            <w:left w:w="0" w:type="dxa"/>
            <w:bottom w:w="0" w:type="dxa"/>
            <w:right w:w="0" w:type="dxa"/>
          </w:tblCellMar>
        </w:tblPrEx>
        <w:trPr>
          <w:wBefore w:w="0" w:type="auto"/>
          <w:tblCellSpacing w:w="0" w:type="dxa"/>
        </w:trPr>
        <w:tc>
          <w:tcPr>
            <w:tcW w:w="0" w:type="auto"/>
            <w:noWrap w:val="0"/>
            <w:vAlign w:val="center"/>
          </w:tcPr>
          <w:p w14:paraId="56B4ABA1">
            <w:r>
              <w:rPr>
                <w:rStyle w:val="10"/>
                <w:rFonts w:hint="eastAsia"/>
              </w:rPr>
              <w:t>登记证号：</w:t>
            </w:r>
            <w:r>
              <w:rPr>
                <w:rFonts w:hint="eastAsia"/>
              </w:rPr>
              <w:t>PD20211831</w:t>
            </w:r>
          </w:p>
        </w:tc>
      </w:tr>
      <w:tr w14:paraId="4D1A5717">
        <w:tblPrEx>
          <w:tblCellMar>
            <w:top w:w="0" w:type="dxa"/>
            <w:left w:w="0" w:type="dxa"/>
            <w:bottom w:w="0" w:type="dxa"/>
            <w:right w:w="0" w:type="dxa"/>
          </w:tblCellMar>
        </w:tblPrEx>
        <w:trPr>
          <w:wBefore w:w="0" w:type="auto"/>
          <w:tblCellSpacing w:w="0" w:type="dxa"/>
        </w:trPr>
        <w:tc>
          <w:tcPr>
            <w:tcW w:w="0" w:type="auto"/>
            <w:noWrap w:val="0"/>
            <w:vAlign w:val="center"/>
          </w:tcPr>
          <w:p w14:paraId="0CDFED7B">
            <w:r>
              <w:rPr>
                <w:rStyle w:val="10"/>
                <w:rFonts w:hint="eastAsia"/>
              </w:rPr>
              <w:t>登记证持有人：</w:t>
            </w:r>
            <w:r>
              <w:rPr>
                <w:rFonts w:hint="eastAsia"/>
              </w:rPr>
              <w:t>河南省焦作华生化工有限公司</w:t>
            </w:r>
          </w:p>
        </w:tc>
      </w:tr>
      <w:tr w14:paraId="25B81B80">
        <w:tblPrEx>
          <w:tblCellMar>
            <w:top w:w="0" w:type="dxa"/>
            <w:left w:w="0" w:type="dxa"/>
            <w:bottom w:w="0" w:type="dxa"/>
            <w:right w:w="0" w:type="dxa"/>
          </w:tblCellMar>
        </w:tblPrEx>
        <w:trPr>
          <w:wBefore w:w="0" w:type="auto"/>
          <w:tblCellSpacing w:w="0" w:type="dxa"/>
        </w:trPr>
        <w:tc>
          <w:tcPr>
            <w:tcW w:w="0" w:type="auto"/>
            <w:noWrap w:val="0"/>
            <w:vAlign w:val="center"/>
          </w:tcPr>
          <w:p w14:paraId="6FCEAB76">
            <w:r>
              <w:rPr>
                <w:rStyle w:val="10"/>
                <w:rFonts w:hint="eastAsia"/>
              </w:rPr>
              <w:t>农药名称：</w:t>
            </w:r>
            <w:r>
              <w:rPr>
                <w:rFonts w:hint="eastAsia"/>
              </w:rPr>
              <w:t>联苯菊酯·氟啶虫酰胺</w:t>
            </w:r>
          </w:p>
        </w:tc>
      </w:tr>
      <w:tr w14:paraId="3AB0710D">
        <w:tblPrEx>
          <w:tblCellMar>
            <w:top w:w="0" w:type="dxa"/>
            <w:left w:w="0" w:type="dxa"/>
            <w:bottom w:w="0" w:type="dxa"/>
            <w:right w:w="0" w:type="dxa"/>
          </w:tblCellMar>
        </w:tblPrEx>
        <w:trPr>
          <w:wBefore w:w="0" w:type="auto"/>
          <w:tblCellSpacing w:w="0" w:type="dxa"/>
        </w:trPr>
        <w:tc>
          <w:tcPr>
            <w:tcW w:w="0" w:type="auto"/>
            <w:noWrap w:val="0"/>
            <w:vAlign w:val="center"/>
          </w:tcPr>
          <w:p w14:paraId="5C8EECB1">
            <w:r>
              <w:rPr>
                <w:rStyle w:val="10"/>
                <w:rFonts w:hint="eastAsia"/>
              </w:rPr>
              <w:t>剂型：</w:t>
            </w:r>
            <w:r>
              <w:rPr>
                <w:rFonts w:hint="eastAsia"/>
              </w:rPr>
              <w:t>悬浮剂</w:t>
            </w:r>
          </w:p>
        </w:tc>
      </w:tr>
      <w:tr w14:paraId="16922449">
        <w:tblPrEx>
          <w:tblCellMar>
            <w:top w:w="0" w:type="dxa"/>
            <w:left w:w="0" w:type="dxa"/>
            <w:bottom w:w="0" w:type="dxa"/>
            <w:right w:w="0" w:type="dxa"/>
          </w:tblCellMar>
        </w:tblPrEx>
        <w:trPr>
          <w:wBefore w:w="0" w:type="auto"/>
          <w:tblCellSpacing w:w="0" w:type="dxa"/>
        </w:trPr>
        <w:tc>
          <w:tcPr>
            <w:tcW w:w="0" w:type="auto"/>
            <w:noWrap w:val="0"/>
            <w:vAlign w:val="center"/>
          </w:tcPr>
          <w:p w14:paraId="45127082">
            <w:r>
              <w:rPr>
                <w:rStyle w:val="10"/>
                <w:rFonts w:hint="eastAsia"/>
              </w:rPr>
              <w:t>毒性及其标识：</w:t>
            </w:r>
            <w:r>
              <w:rPr>
                <w:rFonts w:hint="eastAsia"/>
              </w:rPr>
              <w:t xml:space="preserve"> </w:t>
            </w:r>
            <w:r>
              <w:rPr>
                <w:lang/>
              </w:rPr>
              <w:drawing>
                <wp:inline distT="0" distB="0" distL="114300" distR="114300">
                  <wp:extent cx="476250" cy="323850"/>
                  <wp:effectExtent l="0" t="0" r="0" b="0"/>
                  <wp:docPr id="46" name="图片 4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E48C3E">
        <w:tblPrEx>
          <w:tblCellMar>
            <w:top w:w="0" w:type="dxa"/>
            <w:left w:w="0" w:type="dxa"/>
            <w:bottom w:w="0" w:type="dxa"/>
            <w:right w:w="0" w:type="dxa"/>
          </w:tblCellMar>
        </w:tblPrEx>
        <w:trPr>
          <w:wBefore w:w="0" w:type="auto"/>
          <w:tblCellSpacing w:w="0" w:type="dxa"/>
        </w:trPr>
        <w:tc>
          <w:tcPr>
            <w:tcW w:w="0" w:type="auto"/>
            <w:noWrap w:val="0"/>
            <w:vAlign w:val="center"/>
          </w:tcPr>
          <w:p w14:paraId="5665EE85">
            <w:r>
              <w:rPr>
                <w:rStyle w:val="10"/>
                <w:rFonts w:hint="eastAsia"/>
              </w:rPr>
              <w:t>总有效成分含量：</w:t>
            </w:r>
            <w:r>
              <w:rPr>
                <w:rFonts w:hint="eastAsia"/>
              </w:rPr>
              <w:t>15%</w:t>
            </w:r>
          </w:p>
        </w:tc>
      </w:tr>
      <w:tr w14:paraId="252A530C">
        <w:tblPrEx>
          <w:tblCellMar>
            <w:top w:w="0" w:type="dxa"/>
            <w:left w:w="0" w:type="dxa"/>
            <w:bottom w:w="0" w:type="dxa"/>
            <w:right w:w="0" w:type="dxa"/>
          </w:tblCellMar>
        </w:tblPrEx>
        <w:trPr>
          <w:wBefore w:w="0" w:type="auto"/>
          <w:tblCellSpacing w:w="0" w:type="dxa"/>
        </w:trPr>
        <w:tc>
          <w:tcPr>
            <w:tcW w:w="0" w:type="auto"/>
            <w:noWrap w:val="0"/>
            <w:vAlign w:val="center"/>
          </w:tcPr>
          <w:p w14:paraId="61B4E785">
            <w:r>
              <w:rPr>
                <w:rFonts w:hint="eastAsia"/>
              </w:rPr>
              <w:t xml:space="preserve">有效成分及其含量： </w:t>
            </w:r>
          </w:p>
          <w:p w14:paraId="214A38F1">
            <w:r>
              <w:rPr>
                <w:rFonts w:hint="eastAsia"/>
              </w:rPr>
              <w:t xml:space="preserve">    联苯菊酯5%    氟啶虫酰胺10%    </w:t>
            </w:r>
          </w:p>
        </w:tc>
      </w:tr>
      <w:tr w14:paraId="0FEE036C">
        <w:tblPrEx>
          <w:tblCellMar>
            <w:top w:w="0" w:type="dxa"/>
            <w:left w:w="0" w:type="dxa"/>
            <w:bottom w:w="0" w:type="dxa"/>
            <w:right w:w="0" w:type="dxa"/>
          </w:tblCellMar>
        </w:tblPrEx>
        <w:trPr>
          <w:wBefore w:w="0" w:type="auto"/>
          <w:tblCellSpacing w:w="0" w:type="dxa"/>
        </w:trPr>
        <w:tc>
          <w:tcPr>
            <w:tcW w:w="0" w:type="auto"/>
            <w:noWrap w:val="0"/>
            <w:vAlign w:val="center"/>
          </w:tcPr>
          <w:p w14:paraId="4AD6A47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58EAF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1F1017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B0C090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4B420E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F319D20">
                  <w:r>
                    <w:rPr>
                      <w:rStyle w:val="11"/>
                      <w:rFonts w:hint="eastAsia"/>
                    </w:rPr>
                    <w:t>施用方式</w:t>
                  </w:r>
                </w:p>
              </w:tc>
            </w:tr>
            <w:tr w14:paraId="4AD625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6F06EE">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E52F98">
                  <w:r>
                    <w:rPr>
                      <w:rStyle w:val="11"/>
                      <w:rFonts w:hint="eastAsia"/>
                    </w:rPr>
                    <w:t>桃蚜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00DF0A">
                  <w:r>
                    <w:rPr>
                      <w:rStyle w:val="11"/>
                      <w:rFonts w:hint="eastAsia"/>
                    </w:rPr>
                    <w:t>4000-5000倍液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14BC2A">
                  <w:r>
                    <w:rPr>
                      <w:rStyle w:val="11"/>
                      <w:rFonts w:hint="eastAsia"/>
                    </w:rPr>
                    <w:t>喷雾</w:t>
                  </w:r>
                </w:p>
              </w:tc>
            </w:tr>
          </w:tbl>
          <w:p w14:paraId="2F655F20">
            <w:pPr>
              <w:rPr>
                <w:rFonts w:ascii="Times New Roman" w:hAnsi="Times New Roman" w:cs="Times New Roman"/>
                <w:sz w:val="20"/>
                <w:szCs w:val="20"/>
              </w:rPr>
            </w:pPr>
          </w:p>
        </w:tc>
      </w:tr>
      <w:tr w14:paraId="03F785EF">
        <w:tblPrEx>
          <w:tblCellMar>
            <w:top w:w="0" w:type="dxa"/>
            <w:left w:w="0" w:type="dxa"/>
            <w:bottom w:w="0" w:type="dxa"/>
            <w:right w:w="0" w:type="dxa"/>
          </w:tblCellMar>
        </w:tblPrEx>
        <w:trPr>
          <w:wBefore w:w="0" w:type="auto"/>
          <w:tblCellSpacing w:w="0" w:type="dxa"/>
        </w:trPr>
        <w:tc>
          <w:tcPr>
            <w:tcW w:w="0" w:type="auto"/>
            <w:noWrap w:val="0"/>
            <w:vAlign w:val="center"/>
          </w:tcPr>
          <w:p w14:paraId="2A00D86E">
            <w:r>
              <w:rPr>
                <w:rStyle w:val="10"/>
                <w:rFonts w:hint="eastAsia"/>
              </w:rPr>
              <w:t>使用技术要求:</w:t>
            </w:r>
            <w:r>
              <w:rPr>
                <w:rFonts w:hint="eastAsia"/>
              </w:rPr>
              <w:br w:type="textWrapping"/>
            </w:r>
            <w:r>
              <w:rPr>
                <w:rStyle w:val="11"/>
                <w:rFonts w:hint="eastAsia"/>
              </w:rPr>
              <w:t>1.本品应于桃树桃蚜发生初期喷雾施药1次。注意喷雾均匀、周到，以确保药效。2.本品在桃树上使用的安全间隔期为14天，每季作物最多使用1次。3.大风天或预计1小时内降雨，请勿施药。</w:t>
            </w:r>
          </w:p>
        </w:tc>
      </w:tr>
      <w:tr w14:paraId="637A3A10">
        <w:tblPrEx>
          <w:tblCellMar>
            <w:top w:w="0" w:type="dxa"/>
            <w:left w:w="0" w:type="dxa"/>
            <w:bottom w:w="0" w:type="dxa"/>
            <w:right w:w="0" w:type="dxa"/>
          </w:tblCellMar>
        </w:tblPrEx>
        <w:trPr>
          <w:wBefore w:w="0" w:type="auto"/>
          <w:tblCellSpacing w:w="0" w:type="dxa"/>
        </w:trPr>
        <w:tc>
          <w:tcPr>
            <w:tcW w:w="0" w:type="auto"/>
            <w:noWrap w:val="0"/>
            <w:vAlign w:val="center"/>
          </w:tcPr>
          <w:p w14:paraId="013EDF8D">
            <w:r>
              <w:rPr>
                <w:rStyle w:val="10"/>
                <w:rFonts w:hint="eastAsia"/>
              </w:rPr>
              <w:t>产品性能:</w:t>
            </w:r>
            <w:r>
              <w:rPr>
                <w:rFonts w:hint="eastAsia"/>
              </w:rPr>
              <w:br w:type="textWrapping"/>
            </w:r>
            <w:r>
              <w:rPr>
                <w:rStyle w:val="11"/>
                <w:rFonts w:hint="eastAsia"/>
              </w:rPr>
              <w:t xml:space="preserve">联苯菊酯属拟除虫菊酯类杀虫剂，具有触杀、胃毒作用，杀虫谱广、作用迅速。氟啶虫酰胺是吡啶酰胺类调节昆虫生长的杀虫剂，具有触杀和胃毒作用，还具有很好的神经毒剂和快速拒食作用。两者的混配可有效提高对桃树桃蚜的防治效果。 </w:t>
            </w:r>
          </w:p>
        </w:tc>
      </w:tr>
      <w:tr w14:paraId="53BA0B3D">
        <w:tblPrEx>
          <w:tblCellMar>
            <w:top w:w="0" w:type="dxa"/>
            <w:left w:w="0" w:type="dxa"/>
            <w:bottom w:w="0" w:type="dxa"/>
            <w:right w:w="0" w:type="dxa"/>
          </w:tblCellMar>
        </w:tblPrEx>
        <w:trPr>
          <w:wBefore w:w="0" w:type="auto"/>
          <w:tblCellSpacing w:w="0" w:type="dxa"/>
        </w:trPr>
        <w:tc>
          <w:tcPr>
            <w:tcW w:w="0" w:type="auto"/>
            <w:noWrap w:val="0"/>
            <w:vAlign w:val="center"/>
          </w:tcPr>
          <w:p w14:paraId="20A6CE68">
            <w:r>
              <w:rPr>
                <w:rStyle w:val="10"/>
                <w:rFonts w:hint="eastAsia"/>
              </w:rPr>
              <w:t>注意事项：</w:t>
            </w:r>
            <w:r>
              <w:rPr>
                <w:rFonts w:hint="eastAsia"/>
              </w:rPr>
              <w:br w:type="textWrapping"/>
            </w:r>
            <w:r>
              <w:rPr>
                <w:rStyle w:val="11"/>
                <w:rFonts w:hint="eastAsia"/>
              </w:rPr>
              <w:t>1、本品不可与呈碱性的农药等物质混合使用。 2、建议与其他作用机制不同的杀虫剂轮换使用，以延缓抗性的产生。 3、该产品使用时，穿戴长衣、长裤、帽子、口罩、手套等防护措施。不可吸烟、饮水、进食；施药后洗净手、脸及其他裸露部位，洗净工作服。 4、本品对蜜蜂、鱼等水生生物、家蚕、天敌赤眼蜂有毒，（周围）开花植物花期禁用，使用时应密切关注对附近蜂群的影响，蚕室及桑园附近禁用，天敌放飞区域禁用此产品。远离水产养殖区、河塘等水体附近施药，避免药液污染水源，禁止在河塘等水域中清洗施药器具。 5、用过的容器应妥善处理，不可作他用，也不可随意丢弃，药液及其废液不得污染各类水域、土壤等环境。 6、孕妇及哺乳期妇女避免接触本品。</w:t>
            </w:r>
          </w:p>
        </w:tc>
      </w:tr>
      <w:tr w14:paraId="4DED316A">
        <w:tblPrEx>
          <w:tblCellMar>
            <w:top w:w="0" w:type="dxa"/>
            <w:left w:w="0" w:type="dxa"/>
            <w:bottom w:w="0" w:type="dxa"/>
            <w:right w:w="0" w:type="dxa"/>
          </w:tblCellMar>
        </w:tblPrEx>
        <w:trPr>
          <w:wBefore w:w="0" w:type="auto"/>
          <w:tblCellSpacing w:w="0" w:type="dxa"/>
        </w:trPr>
        <w:tc>
          <w:tcPr>
            <w:tcW w:w="0" w:type="auto"/>
            <w:noWrap w:val="0"/>
            <w:vAlign w:val="center"/>
          </w:tcPr>
          <w:p w14:paraId="3649B646">
            <w:r>
              <w:rPr>
                <w:rStyle w:val="10"/>
                <w:rFonts w:hint="eastAsia"/>
              </w:rPr>
              <w:t>中毒急救措施：</w:t>
            </w:r>
            <w:r>
              <w:rPr>
                <w:rFonts w:hint="eastAsia"/>
              </w:rPr>
              <w:br w:type="textWrapping"/>
            </w:r>
            <w:r>
              <w:rPr>
                <w:rStyle w:val="11"/>
                <w:rFonts w:hint="eastAsia"/>
              </w:rPr>
              <w:t xml:space="preserve">中毒症状：对眼睛有轻度刺激性。 急救措施：不慎吸入，应将病人移至空气流通处。不慎接触皮肤或溅入眼睛，应用大量清水冲洗至少15分钟，仍有不适时，请及时就医。因疏忽或误服而发生中毒现象时，禁止引吐，请速携标签就医，并依据中毒情况对症治疗。无特效解毒剂。 </w:t>
            </w:r>
          </w:p>
        </w:tc>
      </w:tr>
      <w:tr w14:paraId="2342687F">
        <w:tblPrEx>
          <w:tblCellMar>
            <w:top w:w="0" w:type="dxa"/>
            <w:left w:w="0" w:type="dxa"/>
            <w:bottom w:w="0" w:type="dxa"/>
            <w:right w:w="0" w:type="dxa"/>
          </w:tblCellMar>
        </w:tblPrEx>
        <w:trPr>
          <w:wBefore w:w="0" w:type="auto"/>
          <w:tblCellSpacing w:w="0" w:type="dxa"/>
        </w:trPr>
        <w:tc>
          <w:tcPr>
            <w:tcW w:w="0" w:type="auto"/>
            <w:noWrap w:val="0"/>
            <w:vAlign w:val="center"/>
          </w:tcPr>
          <w:p w14:paraId="67331AA8">
            <w:r>
              <w:rPr>
                <w:rStyle w:val="10"/>
                <w:rFonts w:hint="eastAsia"/>
              </w:rPr>
              <w:t>储存和运输方法：</w:t>
            </w:r>
            <w:r>
              <w:rPr>
                <w:rFonts w:hint="eastAsia"/>
              </w:rPr>
              <w:br w:type="textWrapping"/>
            </w:r>
            <w:r>
              <w:rPr>
                <w:rStyle w:val="11"/>
                <w:rFonts w:hint="eastAsia"/>
              </w:rPr>
              <w:t>本品应贮存于干燥、阴凉、通风、防雨处；远离火源或热源；存放于儿童触及不到之处，并加锁；不能与食品、饮料、粮食、饲料等混合储运；运输时应注意防水防潮，避免雨淋；搬运时轻搬轻放，不可倒置。</w:t>
            </w:r>
          </w:p>
        </w:tc>
      </w:tr>
      <w:tr w14:paraId="3B988EA0">
        <w:tblPrEx>
          <w:tblCellMar>
            <w:top w:w="0" w:type="dxa"/>
            <w:left w:w="0" w:type="dxa"/>
            <w:bottom w:w="0" w:type="dxa"/>
            <w:right w:w="0" w:type="dxa"/>
          </w:tblCellMar>
        </w:tblPrEx>
        <w:trPr>
          <w:wBefore w:w="0" w:type="auto"/>
          <w:tblCellSpacing w:w="0" w:type="dxa"/>
        </w:trPr>
        <w:tc>
          <w:tcPr>
            <w:tcW w:w="0" w:type="auto"/>
            <w:noWrap w:val="0"/>
            <w:vAlign w:val="center"/>
          </w:tcPr>
          <w:p w14:paraId="0CB309DE">
            <w:r>
              <w:rPr>
                <w:rStyle w:val="10"/>
                <w:rFonts w:hint="eastAsia"/>
              </w:rPr>
              <w:t>质量保证期：</w:t>
            </w:r>
            <w:r>
              <w:rPr>
                <w:rStyle w:val="11"/>
                <w:rFonts w:hint="eastAsia"/>
              </w:rPr>
              <w:t>2年</w:t>
            </w:r>
          </w:p>
        </w:tc>
      </w:tr>
      <w:tr w14:paraId="67DCB94C">
        <w:tblPrEx>
          <w:tblCellMar>
            <w:top w:w="0" w:type="dxa"/>
            <w:left w:w="0" w:type="dxa"/>
            <w:bottom w:w="0" w:type="dxa"/>
            <w:right w:w="0" w:type="dxa"/>
          </w:tblCellMar>
        </w:tblPrEx>
        <w:trPr>
          <w:wBefore w:w="0" w:type="auto"/>
          <w:tblCellSpacing w:w="0" w:type="dxa"/>
        </w:trPr>
        <w:tc>
          <w:tcPr>
            <w:tcW w:w="0" w:type="auto"/>
            <w:noWrap w:val="0"/>
            <w:vAlign w:val="center"/>
          </w:tcPr>
          <w:p w14:paraId="1398F086">
            <w:r>
              <w:rPr>
                <w:rStyle w:val="10"/>
                <w:rFonts w:hint="eastAsia"/>
              </w:rPr>
              <w:t>备注：</w:t>
            </w:r>
          </w:p>
        </w:tc>
      </w:tr>
    </w:tbl>
    <w:p w14:paraId="5CA0BB8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3F47A9">
        <w:tblPrEx>
          <w:tblCellMar>
            <w:top w:w="0" w:type="dxa"/>
            <w:left w:w="0" w:type="dxa"/>
            <w:bottom w:w="0" w:type="dxa"/>
            <w:right w:w="0" w:type="dxa"/>
          </w:tblCellMar>
        </w:tblPrEx>
        <w:trPr>
          <w:wBefore w:w="0" w:type="auto"/>
          <w:tblCellSpacing w:w="0" w:type="dxa"/>
        </w:trPr>
        <w:tc>
          <w:tcPr>
            <w:tcW w:w="0" w:type="auto"/>
            <w:noWrap w:val="0"/>
            <w:vAlign w:val="center"/>
          </w:tcPr>
          <w:p w14:paraId="1DEA73BA">
            <w:r>
              <w:rPr>
                <w:rStyle w:val="10"/>
                <w:rFonts w:hint="eastAsia"/>
              </w:rPr>
              <w:t>登记证号：</w:t>
            </w:r>
            <w:r>
              <w:rPr>
                <w:rFonts w:hint="eastAsia"/>
              </w:rPr>
              <w:t>WP20210250</w:t>
            </w:r>
          </w:p>
        </w:tc>
      </w:tr>
      <w:tr w14:paraId="022254DF">
        <w:tblPrEx>
          <w:tblCellMar>
            <w:top w:w="0" w:type="dxa"/>
            <w:left w:w="0" w:type="dxa"/>
            <w:bottom w:w="0" w:type="dxa"/>
            <w:right w:w="0" w:type="dxa"/>
          </w:tblCellMar>
        </w:tblPrEx>
        <w:trPr>
          <w:wBefore w:w="0" w:type="auto"/>
          <w:tblCellSpacing w:w="0" w:type="dxa"/>
        </w:trPr>
        <w:tc>
          <w:tcPr>
            <w:tcW w:w="0" w:type="auto"/>
            <w:noWrap w:val="0"/>
            <w:vAlign w:val="center"/>
          </w:tcPr>
          <w:p w14:paraId="15490749">
            <w:r>
              <w:rPr>
                <w:rStyle w:val="10"/>
                <w:rFonts w:hint="eastAsia"/>
              </w:rPr>
              <w:t>登记证持有人：</w:t>
            </w:r>
            <w:r>
              <w:rPr>
                <w:rFonts w:hint="eastAsia"/>
              </w:rPr>
              <w:t>广州超威日用化学用品有限公司</w:t>
            </w:r>
          </w:p>
        </w:tc>
      </w:tr>
      <w:tr w14:paraId="693BACD5">
        <w:tblPrEx>
          <w:tblCellMar>
            <w:top w:w="0" w:type="dxa"/>
            <w:left w:w="0" w:type="dxa"/>
            <w:bottom w:w="0" w:type="dxa"/>
            <w:right w:w="0" w:type="dxa"/>
          </w:tblCellMar>
        </w:tblPrEx>
        <w:trPr>
          <w:wBefore w:w="0" w:type="auto"/>
          <w:tblCellSpacing w:w="0" w:type="dxa"/>
        </w:trPr>
        <w:tc>
          <w:tcPr>
            <w:tcW w:w="0" w:type="auto"/>
            <w:noWrap w:val="0"/>
            <w:vAlign w:val="center"/>
          </w:tcPr>
          <w:p w14:paraId="108B7F36">
            <w:r>
              <w:rPr>
                <w:rStyle w:val="10"/>
                <w:rFonts w:hint="eastAsia"/>
              </w:rPr>
              <w:t>农药名称：</w:t>
            </w:r>
            <w:r>
              <w:rPr>
                <w:rFonts w:hint="eastAsia"/>
              </w:rPr>
              <w:t>电热蚊香液</w:t>
            </w:r>
          </w:p>
        </w:tc>
      </w:tr>
      <w:tr w14:paraId="226E0622">
        <w:tblPrEx>
          <w:tblCellMar>
            <w:top w:w="0" w:type="dxa"/>
            <w:left w:w="0" w:type="dxa"/>
            <w:bottom w:w="0" w:type="dxa"/>
            <w:right w:w="0" w:type="dxa"/>
          </w:tblCellMar>
        </w:tblPrEx>
        <w:trPr>
          <w:wBefore w:w="0" w:type="auto"/>
          <w:tblCellSpacing w:w="0" w:type="dxa"/>
        </w:trPr>
        <w:tc>
          <w:tcPr>
            <w:tcW w:w="0" w:type="auto"/>
            <w:noWrap w:val="0"/>
            <w:vAlign w:val="center"/>
          </w:tcPr>
          <w:p w14:paraId="7E28809D">
            <w:r>
              <w:rPr>
                <w:rStyle w:val="10"/>
                <w:rFonts w:hint="eastAsia"/>
              </w:rPr>
              <w:t>剂型：</w:t>
            </w:r>
            <w:r>
              <w:rPr>
                <w:rFonts w:hint="eastAsia"/>
              </w:rPr>
              <w:t>电热香蚊液</w:t>
            </w:r>
          </w:p>
        </w:tc>
      </w:tr>
      <w:tr w14:paraId="42F3090C">
        <w:tblPrEx>
          <w:tblCellMar>
            <w:top w:w="0" w:type="dxa"/>
            <w:left w:w="0" w:type="dxa"/>
            <w:bottom w:w="0" w:type="dxa"/>
            <w:right w:w="0" w:type="dxa"/>
          </w:tblCellMar>
        </w:tblPrEx>
        <w:trPr>
          <w:wBefore w:w="0" w:type="auto"/>
          <w:tblCellSpacing w:w="0" w:type="dxa"/>
        </w:trPr>
        <w:tc>
          <w:tcPr>
            <w:tcW w:w="0" w:type="auto"/>
            <w:noWrap w:val="0"/>
            <w:vAlign w:val="center"/>
          </w:tcPr>
          <w:p w14:paraId="11A066C7">
            <w:r>
              <w:rPr>
                <w:rStyle w:val="10"/>
                <w:rFonts w:hint="eastAsia"/>
              </w:rPr>
              <w:t>毒性及其标识：</w:t>
            </w:r>
            <w:r>
              <w:rPr>
                <w:rFonts w:hint="eastAsia"/>
              </w:rPr>
              <w:t xml:space="preserve"> 微毒 </w:t>
            </w:r>
          </w:p>
        </w:tc>
      </w:tr>
      <w:tr w14:paraId="587D4D70">
        <w:tblPrEx>
          <w:tblCellMar>
            <w:top w:w="0" w:type="dxa"/>
            <w:left w:w="0" w:type="dxa"/>
            <w:bottom w:w="0" w:type="dxa"/>
            <w:right w:w="0" w:type="dxa"/>
          </w:tblCellMar>
        </w:tblPrEx>
        <w:trPr>
          <w:wBefore w:w="0" w:type="auto"/>
          <w:tblCellSpacing w:w="0" w:type="dxa"/>
        </w:trPr>
        <w:tc>
          <w:tcPr>
            <w:tcW w:w="0" w:type="auto"/>
            <w:noWrap w:val="0"/>
            <w:vAlign w:val="center"/>
          </w:tcPr>
          <w:p w14:paraId="1625FB89">
            <w:r>
              <w:rPr>
                <w:rStyle w:val="10"/>
                <w:rFonts w:hint="eastAsia"/>
              </w:rPr>
              <w:t>总有效成分含量：</w:t>
            </w:r>
            <w:r>
              <w:rPr>
                <w:rFonts w:hint="eastAsia"/>
              </w:rPr>
              <w:t>0.6%</w:t>
            </w:r>
          </w:p>
        </w:tc>
      </w:tr>
      <w:tr w14:paraId="0674C9C7">
        <w:tblPrEx>
          <w:tblCellMar>
            <w:top w:w="0" w:type="dxa"/>
            <w:left w:w="0" w:type="dxa"/>
            <w:bottom w:w="0" w:type="dxa"/>
            <w:right w:w="0" w:type="dxa"/>
          </w:tblCellMar>
        </w:tblPrEx>
        <w:trPr>
          <w:wBefore w:w="0" w:type="auto"/>
          <w:tblCellSpacing w:w="0" w:type="dxa"/>
        </w:trPr>
        <w:tc>
          <w:tcPr>
            <w:tcW w:w="0" w:type="auto"/>
            <w:noWrap w:val="0"/>
            <w:vAlign w:val="center"/>
          </w:tcPr>
          <w:p w14:paraId="0EE56A7B">
            <w:r>
              <w:rPr>
                <w:rFonts w:hint="eastAsia"/>
              </w:rPr>
              <w:t xml:space="preserve">有效成分及其含量： </w:t>
            </w:r>
          </w:p>
          <w:p w14:paraId="7B2325C2">
            <w:r>
              <w:rPr>
                <w:rFonts w:hint="eastAsia"/>
              </w:rPr>
              <w:t xml:space="preserve">    氯氟醚菊酯0.6%    </w:t>
            </w:r>
          </w:p>
        </w:tc>
      </w:tr>
      <w:tr w14:paraId="2BCDA40F">
        <w:tblPrEx>
          <w:tblCellMar>
            <w:top w:w="0" w:type="dxa"/>
            <w:left w:w="0" w:type="dxa"/>
            <w:bottom w:w="0" w:type="dxa"/>
            <w:right w:w="0" w:type="dxa"/>
          </w:tblCellMar>
        </w:tblPrEx>
        <w:trPr>
          <w:wBefore w:w="0" w:type="auto"/>
          <w:tblCellSpacing w:w="0" w:type="dxa"/>
        </w:trPr>
        <w:tc>
          <w:tcPr>
            <w:tcW w:w="0" w:type="auto"/>
            <w:noWrap w:val="0"/>
            <w:vAlign w:val="center"/>
          </w:tcPr>
          <w:p w14:paraId="4474EEF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A7D81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E5968A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695664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465EFA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8D01016">
                  <w:r>
                    <w:rPr>
                      <w:rStyle w:val="11"/>
                      <w:rFonts w:hint="eastAsia"/>
                    </w:rPr>
                    <w:t>施用方式</w:t>
                  </w:r>
                </w:p>
              </w:tc>
            </w:tr>
            <w:tr w14:paraId="392517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C17545E">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437649">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4659D2">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C56BFA">
                  <w:r>
                    <w:rPr>
                      <w:rStyle w:val="11"/>
                      <w:rFonts w:hint="eastAsia"/>
                    </w:rPr>
                    <w:t>电热加温</w:t>
                  </w:r>
                </w:p>
              </w:tc>
            </w:tr>
          </w:tbl>
          <w:p w14:paraId="20DD0EF9">
            <w:pPr>
              <w:rPr>
                <w:rFonts w:ascii="Times New Roman" w:hAnsi="Times New Roman" w:cs="Times New Roman"/>
                <w:sz w:val="20"/>
                <w:szCs w:val="20"/>
              </w:rPr>
            </w:pPr>
          </w:p>
        </w:tc>
      </w:tr>
      <w:tr w14:paraId="5BAB1439">
        <w:tblPrEx>
          <w:tblCellMar>
            <w:top w:w="0" w:type="dxa"/>
            <w:left w:w="0" w:type="dxa"/>
            <w:bottom w:w="0" w:type="dxa"/>
            <w:right w:w="0" w:type="dxa"/>
          </w:tblCellMar>
        </w:tblPrEx>
        <w:trPr>
          <w:wBefore w:w="0" w:type="auto"/>
          <w:tblCellSpacing w:w="0" w:type="dxa"/>
        </w:trPr>
        <w:tc>
          <w:tcPr>
            <w:tcW w:w="0" w:type="auto"/>
            <w:noWrap w:val="0"/>
            <w:vAlign w:val="center"/>
          </w:tcPr>
          <w:p w14:paraId="563A1EFD">
            <w:r>
              <w:rPr>
                <w:rStyle w:val="10"/>
                <w:rFonts w:hint="eastAsia"/>
              </w:rPr>
              <w:t>使用技术要求:</w:t>
            </w:r>
            <w:r>
              <w:rPr>
                <w:rFonts w:hint="eastAsia"/>
              </w:rPr>
              <w:br w:type="textWrapping"/>
            </w:r>
            <w:r>
              <w:rPr>
                <w:rStyle w:val="11"/>
                <w:rFonts w:hint="eastAsia"/>
              </w:rPr>
              <w:t>拧开电热蚊香液的瓶盖。将蚊香液瓶旋紧于加热器内； 接通电源，按下开关，指示灯亮即可；蚊香液用尽，请关闭电源后，更换一瓶新的蚊香液； 若想取得最佳效果，请配套使用超威牌电热蚊香液加热器，使用时请保持蚊香液瓶竖直向上；使用时请加热置于上风处，离人体2米为宜。 提前半小时使用，效果更佳。 适用于15平方米以下房间，大于此面积建议同时使用2套以上本产品。</w:t>
            </w:r>
          </w:p>
        </w:tc>
      </w:tr>
      <w:tr w14:paraId="233853F1">
        <w:tblPrEx>
          <w:tblCellMar>
            <w:top w:w="0" w:type="dxa"/>
            <w:left w:w="0" w:type="dxa"/>
            <w:bottom w:w="0" w:type="dxa"/>
            <w:right w:w="0" w:type="dxa"/>
          </w:tblCellMar>
        </w:tblPrEx>
        <w:trPr>
          <w:wBefore w:w="0" w:type="auto"/>
          <w:tblCellSpacing w:w="0" w:type="dxa"/>
        </w:trPr>
        <w:tc>
          <w:tcPr>
            <w:tcW w:w="0" w:type="auto"/>
            <w:noWrap w:val="0"/>
            <w:vAlign w:val="center"/>
          </w:tcPr>
          <w:p w14:paraId="3399F1BC">
            <w:r>
              <w:rPr>
                <w:rStyle w:val="10"/>
                <w:rFonts w:hint="eastAsia"/>
              </w:rPr>
              <w:t>产品性能:</w:t>
            </w:r>
            <w:r>
              <w:rPr>
                <w:rFonts w:hint="eastAsia"/>
              </w:rPr>
              <w:br w:type="textWrapping"/>
            </w:r>
            <w:r>
              <w:rPr>
                <w:rStyle w:val="11"/>
                <w:rFonts w:hint="eastAsia"/>
              </w:rPr>
              <w:t xml:space="preserve">本品含氯氟醚菊酯成分，有效驱蚊； 特选优质芯棒，不易堵塞； 40毫升电热蚊香液可持续使用240小时（按每晚8小时， 可用30晚），无需每天添加或更换。 </w:t>
            </w:r>
          </w:p>
        </w:tc>
      </w:tr>
      <w:tr w14:paraId="54B9A436">
        <w:tblPrEx>
          <w:tblCellMar>
            <w:top w:w="0" w:type="dxa"/>
            <w:left w:w="0" w:type="dxa"/>
            <w:bottom w:w="0" w:type="dxa"/>
            <w:right w:w="0" w:type="dxa"/>
          </w:tblCellMar>
        </w:tblPrEx>
        <w:trPr>
          <w:wBefore w:w="0" w:type="auto"/>
          <w:tblCellSpacing w:w="0" w:type="dxa"/>
        </w:trPr>
        <w:tc>
          <w:tcPr>
            <w:tcW w:w="0" w:type="auto"/>
            <w:noWrap w:val="0"/>
            <w:vAlign w:val="center"/>
          </w:tcPr>
          <w:p w14:paraId="1639B7F1">
            <w:r>
              <w:rPr>
                <w:rStyle w:val="10"/>
                <w:rFonts w:hint="eastAsia"/>
              </w:rPr>
              <w:t>注意事项：</w:t>
            </w:r>
            <w:r>
              <w:rPr>
                <w:rFonts w:hint="eastAsia"/>
              </w:rPr>
              <w:br w:type="textWrapping"/>
            </w:r>
            <w:r>
              <w:rPr>
                <w:rStyle w:val="11"/>
                <w:rFonts w:hint="eastAsia"/>
              </w:rPr>
              <w:t>仅限室内使用。置于儿童接触不到的地方。使用时注意通风；使用时不要在加热器表面覆盖任何物品。 注意用电及防火安全；本品对鱼、蚕有毒，蚕室及其附近禁用；勿用手触摸芯棒，以免药效发挥不稳定；用后洗手。过敏者禁用；使用中有任何不良反应请及时就医。</w:t>
            </w:r>
          </w:p>
        </w:tc>
      </w:tr>
      <w:tr w14:paraId="3FBE4617">
        <w:tblPrEx>
          <w:tblCellMar>
            <w:top w:w="0" w:type="dxa"/>
            <w:left w:w="0" w:type="dxa"/>
            <w:bottom w:w="0" w:type="dxa"/>
            <w:right w:w="0" w:type="dxa"/>
          </w:tblCellMar>
        </w:tblPrEx>
        <w:trPr>
          <w:wBefore w:w="0" w:type="auto"/>
          <w:tblCellSpacing w:w="0" w:type="dxa"/>
        </w:trPr>
        <w:tc>
          <w:tcPr>
            <w:tcW w:w="0" w:type="auto"/>
            <w:noWrap w:val="0"/>
            <w:vAlign w:val="center"/>
          </w:tcPr>
          <w:p w14:paraId="6D7B1F76">
            <w:r>
              <w:rPr>
                <w:rStyle w:val="10"/>
                <w:rFonts w:hint="eastAsia"/>
              </w:rPr>
              <w:t>中毒急救措施：</w:t>
            </w:r>
            <w:r>
              <w:rPr>
                <w:rFonts w:hint="eastAsia"/>
              </w:rPr>
              <w:br w:type="textWrapping"/>
            </w:r>
            <w:r>
              <w:rPr>
                <w:rStyle w:val="11"/>
                <w:rFonts w:hint="eastAsia"/>
              </w:rPr>
              <w:t xml:space="preserve">如眼睛或皮肤接触药液，请即用清水冲洗； 如误饮，请即饮大量清水并携包装及时就诊。 </w:t>
            </w:r>
          </w:p>
        </w:tc>
      </w:tr>
      <w:tr w14:paraId="11E5C69B">
        <w:tblPrEx>
          <w:tblCellMar>
            <w:top w:w="0" w:type="dxa"/>
            <w:left w:w="0" w:type="dxa"/>
            <w:bottom w:w="0" w:type="dxa"/>
            <w:right w:w="0" w:type="dxa"/>
          </w:tblCellMar>
        </w:tblPrEx>
        <w:trPr>
          <w:wBefore w:w="0" w:type="auto"/>
          <w:tblCellSpacing w:w="0" w:type="dxa"/>
        </w:trPr>
        <w:tc>
          <w:tcPr>
            <w:tcW w:w="0" w:type="auto"/>
            <w:noWrap w:val="0"/>
            <w:vAlign w:val="center"/>
          </w:tcPr>
          <w:p w14:paraId="5DE1BD51">
            <w:r>
              <w:rPr>
                <w:rStyle w:val="10"/>
                <w:rFonts w:hint="eastAsia"/>
              </w:rPr>
              <w:t>储存和运输方法：</w:t>
            </w:r>
            <w:r>
              <w:rPr>
                <w:rFonts w:hint="eastAsia"/>
              </w:rPr>
              <w:br w:type="textWrapping"/>
            </w:r>
            <w:r>
              <w:rPr>
                <w:rStyle w:val="11"/>
                <w:rFonts w:hint="eastAsia"/>
              </w:rPr>
              <w:t xml:space="preserve">本品应贮存在干燥、阴凉、通风、防雨处，远离火源或热源，勿让阳光直接照射； 勿与食品、饮料、饲料等商品同贮同运； 置于儿童接触不到的地方。 </w:t>
            </w:r>
          </w:p>
        </w:tc>
      </w:tr>
      <w:tr w14:paraId="1465E5E2">
        <w:tblPrEx>
          <w:tblCellMar>
            <w:top w:w="0" w:type="dxa"/>
            <w:left w:w="0" w:type="dxa"/>
            <w:bottom w:w="0" w:type="dxa"/>
            <w:right w:w="0" w:type="dxa"/>
          </w:tblCellMar>
        </w:tblPrEx>
        <w:trPr>
          <w:wBefore w:w="0" w:type="auto"/>
          <w:tblCellSpacing w:w="0" w:type="dxa"/>
        </w:trPr>
        <w:tc>
          <w:tcPr>
            <w:tcW w:w="0" w:type="auto"/>
            <w:noWrap w:val="0"/>
            <w:vAlign w:val="center"/>
          </w:tcPr>
          <w:p w14:paraId="28CA1BB7">
            <w:r>
              <w:rPr>
                <w:rStyle w:val="10"/>
                <w:rFonts w:hint="eastAsia"/>
              </w:rPr>
              <w:t>质量保证期：</w:t>
            </w:r>
            <w:r>
              <w:rPr>
                <w:rStyle w:val="11"/>
                <w:rFonts w:hint="eastAsia"/>
              </w:rPr>
              <w:t>2年</w:t>
            </w:r>
          </w:p>
        </w:tc>
      </w:tr>
      <w:tr w14:paraId="667019FD">
        <w:tblPrEx>
          <w:tblCellMar>
            <w:top w:w="0" w:type="dxa"/>
            <w:left w:w="0" w:type="dxa"/>
            <w:bottom w:w="0" w:type="dxa"/>
            <w:right w:w="0" w:type="dxa"/>
          </w:tblCellMar>
        </w:tblPrEx>
        <w:trPr>
          <w:wBefore w:w="0" w:type="auto"/>
          <w:tblCellSpacing w:w="0" w:type="dxa"/>
        </w:trPr>
        <w:tc>
          <w:tcPr>
            <w:tcW w:w="0" w:type="auto"/>
            <w:noWrap w:val="0"/>
            <w:vAlign w:val="center"/>
          </w:tcPr>
          <w:p w14:paraId="41DF372E">
            <w:r>
              <w:rPr>
                <w:rStyle w:val="10"/>
                <w:rFonts w:hint="eastAsia"/>
              </w:rPr>
              <w:t>备注：</w:t>
            </w:r>
          </w:p>
        </w:tc>
      </w:tr>
    </w:tbl>
    <w:p w14:paraId="7D30849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91DA3D">
        <w:tblPrEx>
          <w:tblCellMar>
            <w:top w:w="0" w:type="dxa"/>
            <w:left w:w="0" w:type="dxa"/>
            <w:bottom w:w="0" w:type="dxa"/>
            <w:right w:w="0" w:type="dxa"/>
          </w:tblCellMar>
        </w:tblPrEx>
        <w:trPr>
          <w:wBefore w:w="0" w:type="auto"/>
          <w:tblCellSpacing w:w="0" w:type="dxa"/>
        </w:trPr>
        <w:tc>
          <w:tcPr>
            <w:tcW w:w="0" w:type="auto"/>
            <w:noWrap w:val="0"/>
            <w:vAlign w:val="center"/>
          </w:tcPr>
          <w:p w14:paraId="11856DD7">
            <w:r>
              <w:rPr>
                <w:rStyle w:val="10"/>
                <w:rFonts w:hint="eastAsia"/>
              </w:rPr>
              <w:t>登记证号：</w:t>
            </w:r>
            <w:r>
              <w:rPr>
                <w:rFonts w:hint="eastAsia"/>
              </w:rPr>
              <w:t>WP20210254</w:t>
            </w:r>
          </w:p>
        </w:tc>
      </w:tr>
      <w:tr w14:paraId="587391B5">
        <w:tblPrEx>
          <w:tblCellMar>
            <w:top w:w="0" w:type="dxa"/>
            <w:left w:w="0" w:type="dxa"/>
            <w:bottom w:w="0" w:type="dxa"/>
            <w:right w:w="0" w:type="dxa"/>
          </w:tblCellMar>
        </w:tblPrEx>
        <w:trPr>
          <w:wBefore w:w="0" w:type="auto"/>
          <w:tblCellSpacing w:w="0" w:type="dxa"/>
        </w:trPr>
        <w:tc>
          <w:tcPr>
            <w:tcW w:w="0" w:type="auto"/>
            <w:noWrap w:val="0"/>
            <w:vAlign w:val="center"/>
          </w:tcPr>
          <w:p w14:paraId="36D92413">
            <w:r>
              <w:rPr>
                <w:rStyle w:val="10"/>
                <w:rFonts w:hint="eastAsia"/>
              </w:rPr>
              <w:t>登记证持有人：</w:t>
            </w:r>
            <w:r>
              <w:rPr>
                <w:rFonts w:hint="eastAsia"/>
              </w:rPr>
              <w:t>中山市威特健日用品有限公司</w:t>
            </w:r>
          </w:p>
        </w:tc>
      </w:tr>
      <w:tr w14:paraId="36C0B790">
        <w:tblPrEx>
          <w:tblCellMar>
            <w:top w:w="0" w:type="dxa"/>
            <w:left w:w="0" w:type="dxa"/>
            <w:bottom w:w="0" w:type="dxa"/>
            <w:right w:w="0" w:type="dxa"/>
          </w:tblCellMar>
        </w:tblPrEx>
        <w:trPr>
          <w:wBefore w:w="0" w:type="auto"/>
          <w:tblCellSpacing w:w="0" w:type="dxa"/>
        </w:trPr>
        <w:tc>
          <w:tcPr>
            <w:tcW w:w="0" w:type="auto"/>
            <w:noWrap w:val="0"/>
            <w:vAlign w:val="center"/>
          </w:tcPr>
          <w:p w14:paraId="34F5C401">
            <w:r>
              <w:rPr>
                <w:rStyle w:val="10"/>
                <w:rFonts w:hint="eastAsia"/>
              </w:rPr>
              <w:t>农药名称：</w:t>
            </w:r>
            <w:r>
              <w:rPr>
                <w:rFonts w:hint="eastAsia"/>
              </w:rPr>
              <w:t>杀虫气雾剂</w:t>
            </w:r>
          </w:p>
        </w:tc>
      </w:tr>
      <w:tr w14:paraId="4F293429">
        <w:tblPrEx>
          <w:tblCellMar>
            <w:top w:w="0" w:type="dxa"/>
            <w:left w:w="0" w:type="dxa"/>
            <w:bottom w:w="0" w:type="dxa"/>
            <w:right w:w="0" w:type="dxa"/>
          </w:tblCellMar>
        </w:tblPrEx>
        <w:trPr>
          <w:wBefore w:w="0" w:type="auto"/>
          <w:tblCellSpacing w:w="0" w:type="dxa"/>
        </w:trPr>
        <w:tc>
          <w:tcPr>
            <w:tcW w:w="0" w:type="auto"/>
            <w:noWrap w:val="0"/>
            <w:vAlign w:val="center"/>
          </w:tcPr>
          <w:p w14:paraId="3A0F7C9F">
            <w:r>
              <w:rPr>
                <w:rStyle w:val="10"/>
                <w:rFonts w:hint="eastAsia"/>
              </w:rPr>
              <w:t>剂型：</w:t>
            </w:r>
            <w:r>
              <w:rPr>
                <w:rFonts w:hint="eastAsia"/>
              </w:rPr>
              <w:t>气雾剂</w:t>
            </w:r>
          </w:p>
        </w:tc>
      </w:tr>
      <w:tr w14:paraId="5FC5AD93">
        <w:tblPrEx>
          <w:tblCellMar>
            <w:top w:w="0" w:type="dxa"/>
            <w:left w:w="0" w:type="dxa"/>
            <w:bottom w:w="0" w:type="dxa"/>
            <w:right w:w="0" w:type="dxa"/>
          </w:tblCellMar>
        </w:tblPrEx>
        <w:trPr>
          <w:wBefore w:w="0" w:type="auto"/>
          <w:tblCellSpacing w:w="0" w:type="dxa"/>
        </w:trPr>
        <w:tc>
          <w:tcPr>
            <w:tcW w:w="0" w:type="auto"/>
            <w:noWrap w:val="0"/>
            <w:vAlign w:val="center"/>
          </w:tcPr>
          <w:p w14:paraId="5AABA7EC">
            <w:r>
              <w:rPr>
                <w:rStyle w:val="10"/>
                <w:rFonts w:hint="eastAsia"/>
              </w:rPr>
              <w:t>毒性及其标识：</w:t>
            </w:r>
            <w:r>
              <w:rPr>
                <w:rFonts w:hint="eastAsia"/>
              </w:rPr>
              <w:t xml:space="preserve"> 微毒 </w:t>
            </w:r>
          </w:p>
        </w:tc>
      </w:tr>
      <w:tr w14:paraId="462D404B">
        <w:tblPrEx>
          <w:tblCellMar>
            <w:top w:w="0" w:type="dxa"/>
            <w:left w:w="0" w:type="dxa"/>
            <w:bottom w:w="0" w:type="dxa"/>
            <w:right w:w="0" w:type="dxa"/>
          </w:tblCellMar>
        </w:tblPrEx>
        <w:trPr>
          <w:wBefore w:w="0" w:type="auto"/>
          <w:tblCellSpacing w:w="0" w:type="dxa"/>
        </w:trPr>
        <w:tc>
          <w:tcPr>
            <w:tcW w:w="0" w:type="auto"/>
            <w:noWrap w:val="0"/>
            <w:vAlign w:val="center"/>
          </w:tcPr>
          <w:p w14:paraId="487B6DC3">
            <w:r>
              <w:rPr>
                <w:rStyle w:val="10"/>
                <w:rFonts w:hint="eastAsia"/>
              </w:rPr>
              <w:t>总有效成分含量：</w:t>
            </w:r>
            <w:r>
              <w:rPr>
                <w:rFonts w:hint="eastAsia"/>
              </w:rPr>
              <w:t>3.9%</w:t>
            </w:r>
          </w:p>
        </w:tc>
      </w:tr>
      <w:tr w14:paraId="0CD173E7">
        <w:tblPrEx>
          <w:tblCellMar>
            <w:top w:w="0" w:type="dxa"/>
            <w:left w:w="0" w:type="dxa"/>
            <w:bottom w:w="0" w:type="dxa"/>
            <w:right w:w="0" w:type="dxa"/>
          </w:tblCellMar>
        </w:tblPrEx>
        <w:trPr>
          <w:wBefore w:w="0" w:type="auto"/>
          <w:tblCellSpacing w:w="0" w:type="dxa"/>
        </w:trPr>
        <w:tc>
          <w:tcPr>
            <w:tcW w:w="0" w:type="auto"/>
            <w:noWrap w:val="0"/>
            <w:vAlign w:val="center"/>
          </w:tcPr>
          <w:p w14:paraId="27C42419">
            <w:r>
              <w:rPr>
                <w:rFonts w:hint="eastAsia"/>
              </w:rPr>
              <w:t xml:space="preserve">有效成分及其含量： </w:t>
            </w:r>
          </w:p>
          <w:p w14:paraId="06D8E7AC">
            <w:r>
              <w:rPr>
                <w:rFonts w:hint="eastAsia"/>
              </w:rPr>
              <w:t xml:space="preserve">    四氟苯菊酯3.9%    </w:t>
            </w:r>
          </w:p>
        </w:tc>
      </w:tr>
      <w:tr w14:paraId="2DFE1C95">
        <w:tblPrEx>
          <w:tblCellMar>
            <w:top w:w="0" w:type="dxa"/>
            <w:left w:w="0" w:type="dxa"/>
            <w:bottom w:w="0" w:type="dxa"/>
            <w:right w:w="0" w:type="dxa"/>
          </w:tblCellMar>
        </w:tblPrEx>
        <w:trPr>
          <w:wBefore w:w="0" w:type="auto"/>
          <w:tblCellSpacing w:w="0" w:type="dxa"/>
        </w:trPr>
        <w:tc>
          <w:tcPr>
            <w:tcW w:w="0" w:type="auto"/>
            <w:noWrap w:val="0"/>
            <w:vAlign w:val="center"/>
          </w:tcPr>
          <w:p w14:paraId="06BD57C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76C11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015B7F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49DAA8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AEA9F2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D2BF91A">
                  <w:r>
                    <w:rPr>
                      <w:rStyle w:val="11"/>
                      <w:rFonts w:hint="eastAsia"/>
                    </w:rPr>
                    <w:t>施用方式</w:t>
                  </w:r>
                </w:p>
              </w:tc>
            </w:tr>
            <w:tr w14:paraId="78E725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AC5EEB">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7BFEE1">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424760">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292102">
                  <w:r>
                    <w:rPr>
                      <w:rStyle w:val="11"/>
                      <w:rFonts w:hint="eastAsia"/>
                    </w:rPr>
                    <w:t>喷雾</w:t>
                  </w:r>
                </w:p>
              </w:tc>
            </w:tr>
          </w:tbl>
          <w:p w14:paraId="2B190A3B">
            <w:pPr>
              <w:rPr>
                <w:rFonts w:ascii="Times New Roman" w:hAnsi="Times New Roman" w:cs="Times New Roman"/>
                <w:sz w:val="20"/>
                <w:szCs w:val="20"/>
              </w:rPr>
            </w:pPr>
          </w:p>
        </w:tc>
      </w:tr>
      <w:tr w14:paraId="2C0FF193">
        <w:tblPrEx>
          <w:tblCellMar>
            <w:top w:w="0" w:type="dxa"/>
            <w:left w:w="0" w:type="dxa"/>
            <w:bottom w:w="0" w:type="dxa"/>
            <w:right w:w="0" w:type="dxa"/>
          </w:tblCellMar>
        </w:tblPrEx>
        <w:trPr>
          <w:wBefore w:w="0" w:type="auto"/>
          <w:tblCellSpacing w:w="0" w:type="dxa"/>
        </w:trPr>
        <w:tc>
          <w:tcPr>
            <w:tcW w:w="0" w:type="auto"/>
            <w:noWrap w:val="0"/>
            <w:vAlign w:val="center"/>
          </w:tcPr>
          <w:p w14:paraId="7CEF1821">
            <w:r>
              <w:rPr>
                <w:rStyle w:val="10"/>
                <w:rFonts w:hint="eastAsia"/>
              </w:rPr>
              <w:t>使用技术要求:</w:t>
            </w:r>
            <w:r>
              <w:rPr>
                <w:rFonts w:hint="eastAsia"/>
              </w:rPr>
              <w:br w:type="textWrapping"/>
            </w:r>
            <w:r>
              <w:rPr>
                <w:rStyle w:val="11"/>
                <w:rFonts w:hint="eastAsia"/>
              </w:rPr>
              <w:t>1. 手持瓶体，朝房间中央喷雾一次即可驱杀房间内的蚊，并持续驱蚊长达24h（约每10平方米的房间喷雾1次）。 2. 直接以本品对准蚊喷雾，也可驱杀蚊。 3. 定量喷雾，有效避免过量施药。</w:t>
            </w:r>
          </w:p>
        </w:tc>
      </w:tr>
      <w:tr w14:paraId="6BDB762C">
        <w:tblPrEx>
          <w:tblCellMar>
            <w:top w:w="0" w:type="dxa"/>
            <w:left w:w="0" w:type="dxa"/>
            <w:bottom w:w="0" w:type="dxa"/>
            <w:right w:w="0" w:type="dxa"/>
          </w:tblCellMar>
        </w:tblPrEx>
        <w:trPr>
          <w:wBefore w:w="0" w:type="auto"/>
          <w:tblCellSpacing w:w="0" w:type="dxa"/>
        </w:trPr>
        <w:tc>
          <w:tcPr>
            <w:tcW w:w="0" w:type="auto"/>
            <w:noWrap w:val="0"/>
            <w:vAlign w:val="center"/>
          </w:tcPr>
          <w:p w14:paraId="78AA436E">
            <w:r>
              <w:rPr>
                <w:rStyle w:val="10"/>
                <w:rFonts w:hint="eastAsia"/>
              </w:rPr>
              <w:t>产品性能:</w:t>
            </w:r>
            <w:r>
              <w:rPr>
                <w:rFonts w:hint="eastAsia"/>
              </w:rPr>
              <w:br w:type="textWrapping"/>
            </w:r>
            <w:r>
              <w:rPr>
                <w:rStyle w:val="11"/>
                <w:rFonts w:hint="eastAsia"/>
              </w:rPr>
              <w:t>本品采用定量喷射阀门，只需喷雾一次即可驱杀房间里存在的蚊，并且驱蚊时间长达24小时。适用于卧室、客厅、酒店、办公室、卫生间、浴室等场所。</w:t>
            </w:r>
          </w:p>
        </w:tc>
      </w:tr>
      <w:tr w14:paraId="23010570">
        <w:tblPrEx>
          <w:tblCellMar>
            <w:top w:w="0" w:type="dxa"/>
            <w:left w:w="0" w:type="dxa"/>
            <w:bottom w:w="0" w:type="dxa"/>
            <w:right w:w="0" w:type="dxa"/>
          </w:tblCellMar>
        </w:tblPrEx>
        <w:trPr>
          <w:wBefore w:w="0" w:type="auto"/>
          <w:tblCellSpacing w:w="0" w:type="dxa"/>
        </w:trPr>
        <w:tc>
          <w:tcPr>
            <w:tcW w:w="0" w:type="auto"/>
            <w:noWrap w:val="0"/>
            <w:vAlign w:val="center"/>
          </w:tcPr>
          <w:p w14:paraId="4FA22F40">
            <w:r>
              <w:rPr>
                <w:rStyle w:val="10"/>
                <w:rFonts w:hint="eastAsia"/>
              </w:rPr>
              <w:t>注意事项：</w:t>
            </w:r>
            <w:r>
              <w:rPr>
                <w:rFonts w:hint="eastAsia"/>
              </w:rPr>
              <w:br w:type="textWrapping"/>
            </w:r>
            <w:r>
              <w:rPr>
                <w:rStyle w:val="11"/>
                <w:rFonts w:hint="eastAsia"/>
              </w:rPr>
              <w:t>请按照包装规定的使用方法及使用量进行使用。仅限室内使用，请放置于儿童及宠物触及不到的地方，避免儿童或宠物玩耍此产品。勿接触眼睛，勿向人体及食物喷雾；使用后注意通风；勿倒置使用；本品属压力包装和易燃品，切勿毁坏及焚烧，勿近火喷射，空罐勿投入火中；切勿放置在温度超过50℃的地方；本品对鱼、蚕有毒，蚕室内及其附近禁用；孕妇及哺乳期妇女避免接触本品；用后及时用清水洗手和暴露在外的皮肤；过敏者禁用，使用中有任何不良反映请及时就医。</w:t>
            </w:r>
          </w:p>
        </w:tc>
      </w:tr>
      <w:tr w14:paraId="42C42B38">
        <w:tblPrEx>
          <w:tblCellMar>
            <w:top w:w="0" w:type="dxa"/>
            <w:left w:w="0" w:type="dxa"/>
            <w:bottom w:w="0" w:type="dxa"/>
            <w:right w:w="0" w:type="dxa"/>
          </w:tblCellMar>
        </w:tblPrEx>
        <w:trPr>
          <w:wBefore w:w="0" w:type="auto"/>
          <w:tblCellSpacing w:w="0" w:type="dxa"/>
        </w:trPr>
        <w:tc>
          <w:tcPr>
            <w:tcW w:w="0" w:type="auto"/>
            <w:noWrap w:val="0"/>
            <w:vAlign w:val="center"/>
          </w:tcPr>
          <w:p w14:paraId="125CBCA5">
            <w:r>
              <w:rPr>
                <w:rStyle w:val="10"/>
                <w:rFonts w:hint="eastAsia"/>
              </w:rPr>
              <w:t>中毒急救措施：</w:t>
            </w:r>
            <w:r>
              <w:rPr>
                <w:rFonts w:hint="eastAsia"/>
              </w:rPr>
              <w:br w:type="textWrapping"/>
            </w:r>
            <w:r>
              <w:rPr>
                <w:rStyle w:val="11"/>
                <w:rFonts w:hint="eastAsia"/>
              </w:rPr>
              <w:t xml:space="preserve">使用中或使用后如果感觉不适，应立即停止工作，采取急救措施，并携带标签送医院就诊。 1. 皮肤接触：脱去污染的衣物，用软布去除沾染农药，立即用大量清水和肥皂冲洗。 2. 眼睛溅入：立即用流动清水冲洗不少于15分钟。 3. 吸入：立即离开施药现场，转移到空气清新处。 4. 误食：立即停止服用，用清水充分漱口后，立即携带农药标签到医院就诊。 </w:t>
            </w:r>
          </w:p>
        </w:tc>
      </w:tr>
      <w:tr w14:paraId="6B486107">
        <w:tblPrEx>
          <w:tblCellMar>
            <w:top w:w="0" w:type="dxa"/>
            <w:left w:w="0" w:type="dxa"/>
            <w:bottom w:w="0" w:type="dxa"/>
            <w:right w:w="0" w:type="dxa"/>
          </w:tblCellMar>
        </w:tblPrEx>
        <w:trPr>
          <w:wBefore w:w="0" w:type="auto"/>
          <w:tblCellSpacing w:w="0" w:type="dxa"/>
        </w:trPr>
        <w:tc>
          <w:tcPr>
            <w:tcW w:w="0" w:type="auto"/>
            <w:noWrap w:val="0"/>
            <w:vAlign w:val="center"/>
          </w:tcPr>
          <w:p w14:paraId="6C89A39E">
            <w:r>
              <w:rPr>
                <w:rStyle w:val="10"/>
                <w:rFonts w:hint="eastAsia"/>
              </w:rPr>
              <w:t>储存和运输方法：</w:t>
            </w:r>
            <w:r>
              <w:rPr>
                <w:rFonts w:hint="eastAsia"/>
              </w:rPr>
              <w:br w:type="textWrapping"/>
            </w:r>
            <w:r>
              <w:rPr>
                <w:rStyle w:val="11"/>
                <w:rFonts w:hint="eastAsia"/>
              </w:rPr>
              <w:t>本品属易燃物质，应贮存在阴凉、干燥、通风的仓库中，不得与易燃易爆品混放，不得靠近电源、火源和热源，周围无腐蚀性气体，贮存温度不得超过50℃。堆放时必须距墙面20厘米，中间留有通风道，并严格按照先进先出的原则。贮运时，严防潮湿和日晒，不得与食物、种子、饲料、粮食及易燃易爆品混放混运，避免与皮肤、眼睛接触，防止由口鼻吸入。</w:t>
            </w:r>
          </w:p>
        </w:tc>
      </w:tr>
      <w:tr w14:paraId="439C7124">
        <w:tblPrEx>
          <w:tblCellMar>
            <w:top w:w="0" w:type="dxa"/>
            <w:left w:w="0" w:type="dxa"/>
            <w:bottom w:w="0" w:type="dxa"/>
            <w:right w:w="0" w:type="dxa"/>
          </w:tblCellMar>
        </w:tblPrEx>
        <w:trPr>
          <w:wBefore w:w="0" w:type="auto"/>
          <w:tblCellSpacing w:w="0" w:type="dxa"/>
        </w:trPr>
        <w:tc>
          <w:tcPr>
            <w:tcW w:w="0" w:type="auto"/>
            <w:noWrap w:val="0"/>
            <w:vAlign w:val="center"/>
          </w:tcPr>
          <w:p w14:paraId="17450450">
            <w:r>
              <w:rPr>
                <w:rStyle w:val="10"/>
                <w:rFonts w:hint="eastAsia"/>
              </w:rPr>
              <w:t>质量保证期：</w:t>
            </w:r>
            <w:r>
              <w:rPr>
                <w:rStyle w:val="11"/>
                <w:rFonts w:hint="eastAsia"/>
              </w:rPr>
              <w:t>3年</w:t>
            </w:r>
          </w:p>
        </w:tc>
      </w:tr>
      <w:tr w14:paraId="3A3343D6">
        <w:tblPrEx>
          <w:tblCellMar>
            <w:top w:w="0" w:type="dxa"/>
            <w:left w:w="0" w:type="dxa"/>
            <w:bottom w:w="0" w:type="dxa"/>
            <w:right w:w="0" w:type="dxa"/>
          </w:tblCellMar>
        </w:tblPrEx>
        <w:trPr>
          <w:wBefore w:w="0" w:type="auto"/>
          <w:tblCellSpacing w:w="0" w:type="dxa"/>
        </w:trPr>
        <w:tc>
          <w:tcPr>
            <w:tcW w:w="0" w:type="auto"/>
            <w:noWrap w:val="0"/>
            <w:vAlign w:val="center"/>
          </w:tcPr>
          <w:p w14:paraId="1D8D4AC7">
            <w:r>
              <w:rPr>
                <w:rStyle w:val="10"/>
                <w:rFonts w:hint="eastAsia"/>
              </w:rPr>
              <w:t>备注：</w:t>
            </w:r>
          </w:p>
        </w:tc>
      </w:tr>
    </w:tbl>
    <w:p w14:paraId="2CBE008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EA1188A">
        <w:tblPrEx>
          <w:tblCellMar>
            <w:top w:w="0" w:type="dxa"/>
            <w:left w:w="0" w:type="dxa"/>
            <w:bottom w:w="0" w:type="dxa"/>
            <w:right w:w="0" w:type="dxa"/>
          </w:tblCellMar>
        </w:tblPrEx>
        <w:trPr>
          <w:wBefore w:w="0" w:type="auto"/>
          <w:tblCellSpacing w:w="0" w:type="dxa"/>
        </w:trPr>
        <w:tc>
          <w:tcPr>
            <w:tcW w:w="0" w:type="auto"/>
            <w:noWrap w:val="0"/>
            <w:vAlign w:val="center"/>
          </w:tcPr>
          <w:p w14:paraId="53BD0D29">
            <w:r>
              <w:rPr>
                <w:rStyle w:val="10"/>
                <w:rFonts w:hint="eastAsia"/>
              </w:rPr>
              <w:t>登记证号：</w:t>
            </w:r>
            <w:r>
              <w:rPr>
                <w:rFonts w:hint="eastAsia"/>
              </w:rPr>
              <w:t>PD20212095</w:t>
            </w:r>
          </w:p>
        </w:tc>
      </w:tr>
      <w:tr w14:paraId="47598262">
        <w:tblPrEx>
          <w:tblCellMar>
            <w:top w:w="0" w:type="dxa"/>
            <w:left w:w="0" w:type="dxa"/>
            <w:bottom w:w="0" w:type="dxa"/>
            <w:right w:w="0" w:type="dxa"/>
          </w:tblCellMar>
        </w:tblPrEx>
        <w:trPr>
          <w:wBefore w:w="0" w:type="auto"/>
          <w:tblCellSpacing w:w="0" w:type="dxa"/>
        </w:trPr>
        <w:tc>
          <w:tcPr>
            <w:tcW w:w="0" w:type="auto"/>
            <w:noWrap w:val="0"/>
            <w:vAlign w:val="center"/>
          </w:tcPr>
          <w:p w14:paraId="7C3D1F7A">
            <w:r>
              <w:rPr>
                <w:rStyle w:val="10"/>
                <w:rFonts w:hint="eastAsia"/>
              </w:rPr>
              <w:t>登记证持有人：</w:t>
            </w:r>
            <w:r>
              <w:rPr>
                <w:rFonts w:hint="eastAsia"/>
              </w:rPr>
              <w:t>江苏云帆化工有限公司</w:t>
            </w:r>
          </w:p>
        </w:tc>
      </w:tr>
      <w:tr w14:paraId="1BC5A480">
        <w:tblPrEx>
          <w:tblCellMar>
            <w:top w:w="0" w:type="dxa"/>
            <w:left w:w="0" w:type="dxa"/>
            <w:bottom w:w="0" w:type="dxa"/>
            <w:right w:w="0" w:type="dxa"/>
          </w:tblCellMar>
        </w:tblPrEx>
        <w:trPr>
          <w:wBefore w:w="0" w:type="auto"/>
          <w:tblCellSpacing w:w="0" w:type="dxa"/>
        </w:trPr>
        <w:tc>
          <w:tcPr>
            <w:tcW w:w="0" w:type="auto"/>
            <w:noWrap w:val="0"/>
            <w:vAlign w:val="center"/>
          </w:tcPr>
          <w:p w14:paraId="2025C513">
            <w:r>
              <w:rPr>
                <w:rStyle w:val="10"/>
                <w:rFonts w:hint="eastAsia"/>
              </w:rPr>
              <w:t>农药名称：</w:t>
            </w:r>
            <w:r>
              <w:rPr>
                <w:rFonts w:hint="eastAsia"/>
              </w:rPr>
              <w:t>烯草酮</w:t>
            </w:r>
          </w:p>
        </w:tc>
      </w:tr>
      <w:tr w14:paraId="73F75C16">
        <w:tblPrEx>
          <w:tblCellMar>
            <w:top w:w="0" w:type="dxa"/>
            <w:left w:w="0" w:type="dxa"/>
            <w:bottom w:w="0" w:type="dxa"/>
            <w:right w:w="0" w:type="dxa"/>
          </w:tblCellMar>
        </w:tblPrEx>
        <w:trPr>
          <w:wBefore w:w="0" w:type="auto"/>
          <w:tblCellSpacing w:w="0" w:type="dxa"/>
        </w:trPr>
        <w:tc>
          <w:tcPr>
            <w:tcW w:w="0" w:type="auto"/>
            <w:noWrap w:val="0"/>
            <w:vAlign w:val="center"/>
          </w:tcPr>
          <w:p w14:paraId="48865770">
            <w:r>
              <w:rPr>
                <w:rStyle w:val="10"/>
                <w:rFonts w:hint="eastAsia"/>
              </w:rPr>
              <w:t>剂型：</w:t>
            </w:r>
            <w:r>
              <w:rPr>
                <w:rFonts w:hint="eastAsia"/>
              </w:rPr>
              <w:t>乳油</w:t>
            </w:r>
          </w:p>
        </w:tc>
      </w:tr>
      <w:tr w14:paraId="520B1F20">
        <w:tblPrEx>
          <w:tblCellMar>
            <w:top w:w="0" w:type="dxa"/>
            <w:left w:w="0" w:type="dxa"/>
            <w:bottom w:w="0" w:type="dxa"/>
            <w:right w:w="0" w:type="dxa"/>
          </w:tblCellMar>
        </w:tblPrEx>
        <w:trPr>
          <w:wBefore w:w="0" w:type="auto"/>
          <w:tblCellSpacing w:w="0" w:type="dxa"/>
        </w:trPr>
        <w:tc>
          <w:tcPr>
            <w:tcW w:w="0" w:type="auto"/>
            <w:noWrap w:val="0"/>
            <w:vAlign w:val="center"/>
          </w:tcPr>
          <w:p w14:paraId="710E10CF">
            <w:r>
              <w:rPr>
                <w:rStyle w:val="10"/>
                <w:rFonts w:hint="eastAsia"/>
              </w:rPr>
              <w:t>毒性及其标识：</w:t>
            </w:r>
            <w:r>
              <w:rPr>
                <w:rFonts w:hint="eastAsia"/>
              </w:rPr>
              <w:t xml:space="preserve"> </w:t>
            </w:r>
            <w:r>
              <w:rPr>
                <w:lang/>
              </w:rPr>
              <w:drawing>
                <wp:inline distT="0" distB="0" distL="114300" distR="114300">
                  <wp:extent cx="476250" cy="323850"/>
                  <wp:effectExtent l="0" t="0" r="0" b="0"/>
                  <wp:docPr id="47" name="图片 4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23F2E26">
        <w:tblPrEx>
          <w:tblCellMar>
            <w:top w:w="0" w:type="dxa"/>
            <w:left w:w="0" w:type="dxa"/>
            <w:bottom w:w="0" w:type="dxa"/>
            <w:right w:w="0" w:type="dxa"/>
          </w:tblCellMar>
        </w:tblPrEx>
        <w:trPr>
          <w:wBefore w:w="0" w:type="auto"/>
          <w:tblCellSpacing w:w="0" w:type="dxa"/>
        </w:trPr>
        <w:tc>
          <w:tcPr>
            <w:tcW w:w="0" w:type="auto"/>
            <w:noWrap w:val="0"/>
            <w:vAlign w:val="center"/>
          </w:tcPr>
          <w:p w14:paraId="0BB66806">
            <w:r>
              <w:rPr>
                <w:rStyle w:val="10"/>
                <w:rFonts w:hint="eastAsia"/>
              </w:rPr>
              <w:t>总有效成分含量：</w:t>
            </w:r>
            <w:r>
              <w:rPr>
                <w:rFonts w:hint="eastAsia"/>
              </w:rPr>
              <w:t>35%</w:t>
            </w:r>
          </w:p>
        </w:tc>
      </w:tr>
      <w:tr w14:paraId="41ABD6D7">
        <w:tblPrEx>
          <w:tblCellMar>
            <w:top w:w="0" w:type="dxa"/>
            <w:left w:w="0" w:type="dxa"/>
            <w:bottom w:w="0" w:type="dxa"/>
            <w:right w:w="0" w:type="dxa"/>
          </w:tblCellMar>
        </w:tblPrEx>
        <w:trPr>
          <w:wBefore w:w="0" w:type="auto"/>
          <w:tblCellSpacing w:w="0" w:type="dxa"/>
        </w:trPr>
        <w:tc>
          <w:tcPr>
            <w:tcW w:w="0" w:type="auto"/>
            <w:noWrap w:val="0"/>
            <w:vAlign w:val="center"/>
          </w:tcPr>
          <w:p w14:paraId="7C21701A">
            <w:r>
              <w:rPr>
                <w:rFonts w:hint="eastAsia"/>
              </w:rPr>
              <w:t xml:space="preserve">有效成分及其含量： </w:t>
            </w:r>
          </w:p>
          <w:p w14:paraId="541412A7">
            <w:r>
              <w:rPr>
                <w:rFonts w:hint="eastAsia"/>
              </w:rPr>
              <w:t xml:space="preserve">    烯草酮35%    </w:t>
            </w:r>
          </w:p>
        </w:tc>
      </w:tr>
      <w:tr w14:paraId="2F16DEC4">
        <w:tblPrEx>
          <w:tblCellMar>
            <w:top w:w="0" w:type="dxa"/>
            <w:left w:w="0" w:type="dxa"/>
            <w:bottom w:w="0" w:type="dxa"/>
            <w:right w:w="0" w:type="dxa"/>
          </w:tblCellMar>
        </w:tblPrEx>
        <w:trPr>
          <w:wBefore w:w="0" w:type="auto"/>
          <w:tblCellSpacing w:w="0" w:type="dxa"/>
        </w:trPr>
        <w:tc>
          <w:tcPr>
            <w:tcW w:w="0" w:type="auto"/>
            <w:noWrap w:val="0"/>
            <w:vAlign w:val="center"/>
          </w:tcPr>
          <w:p w14:paraId="45689E8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DFDD1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D5C64E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26A2B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FADE6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9054DE0">
                  <w:r>
                    <w:rPr>
                      <w:rStyle w:val="11"/>
                      <w:rFonts w:hint="eastAsia"/>
                    </w:rPr>
                    <w:t>施用方式</w:t>
                  </w:r>
                </w:p>
              </w:tc>
            </w:tr>
            <w:tr w14:paraId="44E015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4E718CA">
                  <w:r>
                    <w:rPr>
                      <w:rStyle w:val="11"/>
                      <w:rFonts w:hint="eastAsia"/>
                    </w:rPr>
                    <w:t>夏大豆田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F500B6">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310A1F">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9BBE62">
                  <w:r>
                    <w:rPr>
                      <w:rStyle w:val="11"/>
                      <w:rFonts w:hint="eastAsia"/>
                    </w:rPr>
                    <w:t>茎叶喷雾</w:t>
                  </w:r>
                </w:p>
              </w:tc>
            </w:tr>
          </w:tbl>
          <w:p w14:paraId="28636869">
            <w:pPr>
              <w:rPr>
                <w:rFonts w:ascii="Times New Roman" w:hAnsi="Times New Roman" w:cs="Times New Roman"/>
                <w:sz w:val="20"/>
                <w:szCs w:val="20"/>
              </w:rPr>
            </w:pPr>
          </w:p>
        </w:tc>
      </w:tr>
      <w:tr w14:paraId="3F5932EE">
        <w:tblPrEx>
          <w:tblCellMar>
            <w:top w:w="0" w:type="dxa"/>
            <w:left w:w="0" w:type="dxa"/>
            <w:bottom w:w="0" w:type="dxa"/>
            <w:right w:w="0" w:type="dxa"/>
          </w:tblCellMar>
        </w:tblPrEx>
        <w:trPr>
          <w:wBefore w:w="0" w:type="auto"/>
          <w:tblCellSpacing w:w="0" w:type="dxa"/>
        </w:trPr>
        <w:tc>
          <w:tcPr>
            <w:tcW w:w="0" w:type="auto"/>
            <w:noWrap w:val="0"/>
            <w:vAlign w:val="center"/>
          </w:tcPr>
          <w:p w14:paraId="1F583223">
            <w:r>
              <w:rPr>
                <w:rStyle w:val="10"/>
                <w:rFonts w:hint="eastAsia"/>
              </w:rPr>
              <w:t>使用技术要求:</w:t>
            </w:r>
            <w:r>
              <w:rPr>
                <w:rFonts w:hint="eastAsia"/>
              </w:rPr>
              <w:br w:type="textWrapping"/>
            </w:r>
            <w:r>
              <w:rPr>
                <w:rStyle w:val="11"/>
                <w:rFonts w:hint="eastAsia"/>
              </w:rPr>
              <w:t>1. 本品防治夏大豆田禾本科杂草，于大豆出苗后，一年生禾本科杂草3～5叶期，按每亩兑水40 -50千克，均匀茎叶喷雾处理。2. 施药时注意药量准确，做到均匀喷雾，尽量在无风无雨时施药，避免雾液漂移，危害周围作物。 3. 每季作物最多使用1次。</w:t>
            </w:r>
          </w:p>
        </w:tc>
      </w:tr>
      <w:tr w14:paraId="651DCC20">
        <w:tblPrEx>
          <w:tblCellMar>
            <w:top w:w="0" w:type="dxa"/>
            <w:left w:w="0" w:type="dxa"/>
            <w:bottom w:w="0" w:type="dxa"/>
            <w:right w:w="0" w:type="dxa"/>
          </w:tblCellMar>
        </w:tblPrEx>
        <w:trPr>
          <w:wBefore w:w="0" w:type="auto"/>
          <w:tblCellSpacing w:w="0" w:type="dxa"/>
        </w:trPr>
        <w:tc>
          <w:tcPr>
            <w:tcW w:w="0" w:type="auto"/>
            <w:noWrap w:val="0"/>
            <w:vAlign w:val="center"/>
          </w:tcPr>
          <w:p w14:paraId="6D066989">
            <w:r>
              <w:rPr>
                <w:rStyle w:val="10"/>
                <w:rFonts w:hint="eastAsia"/>
              </w:rPr>
              <w:t>产品性能:</w:t>
            </w:r>
            <w:r>
              <w:rPr>
                <w:rFonts w:hint="eastAsia"/>
              </w:rPr>
              <w:br w:type="textWrapping"/>
            </w:r>
            <w:r>
              <w:rPr>
                <w:rStyle w:val="11"/>
                <w:rFonts w:hint="eastAsia"/>
              </w:rPr>
              <w:t>本品属环己烯酮类除草剂，是内吸传导型茎叶处理剂，有优良的选择性，对禾本科杂草有很强的杀伤作用，对双子叶作物安全。茎叶处理后经叶迅速吸收，传导到分生组织，在敏感植物中抑制支链脂肪酸和黄酮类化合物的生物合成而起作用，使其细胞分裂遭到破坏，抑制植物分生组织的活性，使植株生长延缓，施药后1-3周内植株退绿坏死，随后叶灼伤干枯而死亡。适用于防除夏大豆田多种一年生禾本科杂草。</w:t>
            </w:r>
          </w:p>
        </w:tc>
      </w:tr>
      <w:tr w14:paraId="51DCBC99">
        <w:tblPrEx>
          <w:tblCellMar>
            <w:top w:w="0" w:type="dxa"/>
            <w:left w:w="0" w:type="dxa"/>
            <w:bottom w:w="0" w:type="dxa"/>
            <w:right w:w="0" w:type="dxa"/>
          </w:tblCellMar>
        </w:tblPrEx>
        <w:trPr>
          <w:wBefore w:w="0" w:type="auto"/>
          <w:tblCellSpacing w:w="0" w:type="dxa"/>
        </w:trPr>
        <w:tc>
          <w:tcPr>
            <w:tcW w:w="0" w:type="auto"/>
            <w:noWrap w:val="0"/>
            <w:vAlign w:val="center"/>
          </w:tcPr>
          <w:p w14:paraId="1599AC0C">
            <w:r>
              <w:rPr>
                <w:rStyle w:val="10"/>
                <w:rFonts w:hint="eastAsia"/>
              </w:rPr>
              <w:t>注意事项：</w:t>
            </w:r>
            <w:r>
              <w:rPr>
                <w:rFonts w:hint="eastAsia"/>
              </w:rPr>
              <w:br w:type="textWrapping"/>
            </w:r>
            <w:r>
              <w:rPr>
                <w:rStyle w:val="11"/>
                <w:rFonts w:hint="eastAsia"/>
              </w:rPr>
              <w:t>1. 不能与碱性物质农药混用，以免分解失效。 2. 施药时避免药液漂移到麦类、水稻、玉米、高粱等禾本科作物上。 3.本品对眼睛有刺激性，使用时避免接触眼睛，穿戴长衣、长裤、帽子、口罩、手套等防护措施。避免吸入药液。施药期间不可吃东西和饮水等。施药后及时洗手和洗脸等。 4. 清洗器具的废水不能排入河流、池塘等水源，用过的容器要妥善处理，不能随意丢弃，也不能做他用。 5. 本品对蜜蜂、鱼类等水生生物、家蚕有毒，施药期间应避免对周围蜂群的影响，禁止在开花植物花期、蚕室和桑园附近使用。远离水产养殖 区、河塘等水域施药。禁止在河塘等水体中清洗施药器具； 瓢虫等天敌放飞区域禁用。鱼、虾、蟹套养稻田禁用，施药后的药水禁止排入水田。 6. 孕妇及哺乳期妇女禁止接触本品。</w:t>
            </w:r>
          </w:p>
        </w:tc>
      </w:tr>
      <w:tr w14:paraId="632EB751">
        <w:tblPrEx>
          <w:tblCellMar>
            <w:top w:w="0" w:type="dxa"/>
            <w:left w:w="0" w:type="dxa"/>
            <w:bottom w:w="0" w:type="dxa"/>
            <w:right w:w="0" w:type="dxa"/>
          </w:tblCellMar>
        </w:tblPrEx>
        <w:trPr>
          <w:wBefore w:w="0" w:type="auto"/>
          <w:tblCellSpacing w:w="0" w:type="dxa"/>
        </w:trPr>
        <w:tc>
          <w:tcPr>
            <w:tcW w:w="0" w:type="auto"/>
            <w:noWrap w:val="0"/>
            <w:vAlign w:val="center"/>
          </w:tcPr>
          <w:p w14:paraId="4C00F566">
            <w:r>
              <w:rPr>
                <w:rStyle w:val="10"/>
                <w:rFonts w:hint="eastAsia"/>
              </w:rPr>
              <w:t>中毒急救措施：</w:t>
            </w:r>
            <w:r>
              <w:rPr>
                <w:rFonts w:hint="eastAsia"/>
              </w:rPr>
              <w:br w:type="textWrapping"/>
            </w:r>
            <w:r>
              <w:rPr>
                <w:rStyle w:val="11"/>
                <w:rFonts w:hint="eastAsia"/>
              </w:rPr>
              <w:t>1. 溅入皮肤和眼睛要用大量清水冲洗至少15分钟。 2. 吸入时迅速脱离现场至空气新鲜处，保持呼吸道通畅及时就医。 3. 误服：应立即用清水漱口，不应引吐，并携带本标签将患者送到医院诊治。使用医用活性炭洗胃，注意防止胃容物进入呼吸道。 无专用解毒剂，对症治疗。</w:t>
            </w:r>
          </w:p>
        </w:tc>
      </w:tr>
      <w:tr w14:paraId="36E840B3">
        <w:tblPrEx>
          <w:tblCellMar>
            <w:top w:w="0" w:type="dxa"/>
            <w:left w:w="0" w:type="dxa"/>
            <w:bottom w:w="0" w:type="dxa"/>
            <w:right w:w="0" w:type="dxa"/>
          </w:tblCellMar>
        </w:tblPrEx>
        <w:trPr>
          <w:wBefore w:w="0" w:type="auto"/>
          <w:tblCellSpacing w:w="0" w:type="dxa"/>
        </w:trPr>
        <w:tc>
          <w:tcPr>
            <w:tcW w:w="0" w:type="auto"/>
            <w:noWrap w:val="0"/>
            <w:vAlign w:val="center"/>
          </w:tcPr>
          <w:p w14:paraId="72F5DDD6">
            <w:r>
              <w:rPr>
                <w:rStyle w:val="10"/>
                <w:rFonts w:hint="eastAsia"/>
              </w:rPr>
              <w:t>储存和运输方法：</w:t>
            </w:r>
            <w:r>
              <w:rPr>
                <w:rFonts w:hint="eastAsia"/>
              </w:rPr>
              <w:br w:type="textWrapping"/>
            </w:r>
            <w:r>
              <w:rPr>
                <w:rStyle w:val="11"/>
                <w:rFonts w:hint="eastAsia"/>
              </w:rPr>
              <w:t xml:space="preserve">储存和运输: 1. 本品应贮存在干燥、阴凉、通风、防雨库房中，避免在高于30℃贮存。保持容器密封。防止阳光直射。应与氧化剂、酸类、碱类分开存放，切忌混储。 2. 远 离火源和热源，加锁贮存，置于儿童、无关人员触及不到之处。不能与食品，饮料、粮食、饲料等同贮同运。 </w:t>
            </w:r>
          </w:p>
        </w:tc>
      </w:tr>
      <w:tr w14:paraId="5EAD5CE4">
        <w:tblPrEx>
          <w:tblCellMar>
            <w:top w:w="0" w:type="dxa"/>
            <w:left w:w="0" w:type="dxa"/>
            <w:bottom w:w="0" w:type="dxa"/>
            <w:right w:w="0" w:type="dxa"/>
          </w:tblCellMar>
        </w:tblPrEx>
        <w:trPr>
          <w:wBefore w:w="0" w:type="auto"/>
          <w:tblCellSpacing w:w="0" w:type="dxa"/>
        </w:trPr>
        <w:tc>
          <w:tcPr>
            <w:tcW w:w="0" w:type="auto"/>
            <w:noWrap w:val="0"/>
            <w:vAlign w:val="center"/>
          </w:tcPr>
          <w:p w14:paraId="14D1DF8C">
            <w:r>
              <w:rPr>
                <w:rStyle w:val="10"/>
                <w:rFonts w:hint="eastAsia"/>
              </w:rPr>
              <w:t>质量保证期：</w:t>
            </w:r>
            <w:r>
              <w:rPr>
                <w:rStyle w:val="11"/>
                <w:rFonts w:hint="eastAsia"/>
              </w:rPr>
              <w:t>2年</w:t>
            </w:r>
          </w:p>
        </w:tc>
      </w:tr>
      <w:tr w14:paraId="4ADC70C0">
        <w:tblPrEx>
          <w:tblCellMar>
            <w:top w:w="0" w:type="dxa"/>
            <w:left w:w="0" w:type="dxa"/>
            <w:bottom w:w="0" w:type="dxa"/>
            <w:right w:w="0" w:type="dxa"/>
          </w:tblCellMar>
        </w:tblPrEx>
        <w:trPr>
          <w:wBefore w:w="0" w:type="auto"/>
          <w:tblCellSpacing w:w="0" w:type="dxa"/>
        </w:trPr>
        <w:tc>
          <w:tcPr>
            <w:tcW w:w="0" w:type="auto"/>
            <w:noWrap w:val="0"/>
            <w:vAlign w:val="center"/>
          </w:tcPr>
          <w:p w14:paraId="468C56E5">
            <w:r>
              <w:rPr>
                <w:rStyle w:val="10"/>
                <w:rFonts w:hint="eastAsia"/>
              </w:rPr>
              <w:t>备注：</w:t>
            </w:r>
            <w:r>
              <w:rPr>
                <w:rFonts w:hint="eastAsia"/>
              </w:rPr>
              <w:br w:type="textWrapping"/>
            </w:r>
            <w:r>
              <w:rPr>
                <w:rStyle w:val="11"/>
                <w:rFonts w:hint="eastAsia"/>
              </w:rPr>
              <w:t>质量浓度360克/升。</w:t>
            </w:r>
          </w:p>
        </w:tc>
      </w:tr>
    </w:tbl>
    <w:p w14:paraId="2CD84E7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45764B6">
        <w:tblPrEx>
          <w:tblCellMar>
            <w:top w:w="0" w:type="dxa"/>
            <w:left w:w="0" w:type="dxa"/>
            <w:bottom w:w="0" w:type="dxa"/>
            <w:right w:w="0" w:type="dxa"/>
          </w:tblCellMar>
        </w:tblPrEx>
        <w:trPr>
          <w:wBefore w:w="0" w:type="auto"/>
          <w:tblCellSpacing w:w="0" w:type="dxa"/>
        </w:trPr>
        <w:tc>
          <w:tcPr>
            <w:tcW w:w="0" w:type="auto"/>
            <w:noWrap w:val="0"/>
            <w:vAlign w:val="center"/>
          </w:tcPr>
          <w:p w14:paraId="7DBD4F86">
            <w:r>
              <w:rPr>
                <w:rStyle w:val="10"/>
                <w:rFonts w:hint="eastAsia"/>
              </w:rPr>
              <w:t>登记证号：</w:t>
            </w:r>
            <w:r>
              <w:rPr>
                <w:rFonts w:hint="eastAsia"/>
              </w:rPr>
              <w:t>WP20210253</w:t>
            </w:r>
          </w:p>
        </w:tc>
      </w:tr>
      <w:tr w14:paraId="6AF86A8D">
        <w:tblPrEx>
          <w:tblCellMar>
            <w:top w:w="0" w:type="dxa"/>
            <w:left w:w="0" w:type="dxa"/>
            <w:bottom w:w="0" w:type="dxa"/>
            <w:right w:w="0" w:type="dxa"/>
          </w:tblCellMar>
        </w:tblPrEx>
        <w:trPr>
          <w:wBefore w:w="0" w:type="auto"/>
          <w:tblCellSpacing w:w="0" w:type="dxa"/>
        </w:trPr>
        <w:tc>
          <w:tcPr>
            <w:tcW w:w="0" w:type="auto"/>
            <w:noWrap w:val="0"/>
            <w:vAlign w:val="center"/>
          </w:tcPr>
          <w:p w14:paraId="5F8508B9">
            <w:r>
              <w:rPr>
                <w:rStyle w:val="10"/>
                <w:rFonts w:hint="eastAsia"/>
              </w:rPr>
              <w:t>登记证持有人：</w:t>
            </w:r>
            <w:r>
              <w:rPr>
                <w:rFonts w:hint="eastAsia"/>
              </w:rPr>
              <w:t>福建省金鹿日化股份有限公司</w:t>
            </w:r>
          </w:p>
        </w:tc>
      </w:tr>
      <w:tr w14:paraId="5DC898CA">
        <w:tblPrEx>
          <w:tblCellMar>
            <w:top w:w="0" w:type="dxa"/>
            <w:left w:w="0" w:type="dxa"/>
            <w:bottom w:w="0" w:type="dxa"/>
            <w:right w:w="0" w:type="dxa"/>
          </w:tblCellMar>
        </w:tblPrEx>
        <w:trPr>
          <w:wBefore w:w="0" w:type="auto"/>
          <w:tblCellSpacing w:w="0" w:type="dxa"/>
        </w:trPr>
        <w:tc>
          <w:tcPr>
            <w:tcW w:w="0" w:type="auto"/>
            <w:noWrap w:val="0"/>
            <w:vAlign w:val="center"/>
          </w:tcPr>
          <w:p w14:paraId="09DC1C6B">
            <w:r>
              <w:rPr>
                <w:rStyle w:val="10"/>
                <w:rFonts w:hint="eastAsia"/>
              </w:rPr>
              <w:t>农药名称：</w:t>
            </w:r>
            <w:r>
              <w:rPr>
                <w:rFonts w:hint="eastAsia"/>
              </w:rPr>
              <w:t>电热蚊香液</w:t>
            </w:r>
          </w:p>
        </w:tc>
      </w:tr>
      <w:tr w14:paraId="1F13FF91">
        <w:tblPrEx>
          <w:tblCellMar>
            <w:top w:w="0" w:type="dxa"/>
            <w:left w:w="0" w:type="dxa"/>
            <w:bottom w:w="0" w:type="dxa"/>
            <w:right w:w="0" w:type="dxa"/>
          </w:tblCellMar>
        </w:tblPrEx>
        <w:trPr>
          <w:wBefore w:w="0" w:type="auto"/>
          <w:tblCellSpacing w:w="0" w:type="dxa"/>
        </w:trPr>
        <w:tc>
          <w:tcPr>
            <w:tcW w:w="0" w:type="auto"/>
            <w:noWrap w:val="0"/>
            <w:vAlign w:val="center"/>
          </w:tcPr>
          <w:p w14:paraId="7561CBCA">
            <w:r>
              <w:rPr>
                <w:rStyle w:val="10"/>
                <w:rFonts w:hint="eastAsia"/>
              </w:rPr>
              <w:t>剂型：</w:t>
            </w:r>
            <w:r>
              <w:rPr>
                <w:rFonts w:hint="eastAsia"/>
              </w:rPr>
              <w:t>电热香蚊液</w:t>
            </w:r>
          </w:p>
        </w:tc>
      </w:tr>
      <w:tr w14:paraId="06343530">
        <w:tblPrEx>
          <w:tblCellMar>
            <w:top w:w="0" w:type="dxa"/>
            <w:left w:w="0" w:type="dxa"/>
            <w:bottom w:w="0" w:type="dxa"/>
            <w:right w:w="0" w:type="dxa"/>
          </w:tblCellMar>
        </w:tblPrEx>
        <w:trPr>
          <w:wBefore w:w="0" w:type="auto"/>
          <w:tblCellSpacing w:w="0" w:type="dxa"/>
        </w:trPr>
        <w:tc>
          <w:tcPr>
            <w:tcW w:w="0" w:type="auto"/>
            <w:noWrap w:val="0"/>
            <w:vAlign w:val="center"/>
          </w:tcPr>
          <w:p w14:paraId="20765334">
            <w:r>
              <w:rPr>
                <w:rStyle w:val="10"/>
                <w:rFonts w:hint="eastAsia"/>
              </w:rPr>
              <w:t>毒性及其标识：</w:t>
            </w:r>
            <w:r>
              <w:rPr>
                <w:rFonts w:hint="eastAsia"/>
              </w:rPr>
              <w:t xml:space="preserve"> 微毒 </w:t>
            </w:r>
          </w:p>
        </w:tc>
      </w:tr>
      <w:tr w14:paraId="21D0EE01">
        <w:tblPrEx>
          <w:tblCellMar>
            <w:top w:w="0" w:type="dxa"/>
            <w:left w:w="0" w:type="dxa"/>
            <w:bottom w:w="0" w:type="dxa"/>
            <w:right w:w="0" w:type="dxa"/>
          </w:tblCellMar>
        </w:tblPrEx>
        <w:trPr>
          <w:wBefore w:w="0" w:type="auto"/>
          <w:tblCellSpacing w:w="0" w:type="dxa"/>
        </w:trPr>
        <w:tc>
          <w:tcPr>
            <w:tcW w:w="0" w:type="auto"/>
            <w:noWrap w:val="0"/>
            <w:vAlign w:val="center"/>
          </w:tcPr>
          <w:p w14:paraId="149DE2C5">
            <w:r>
              <w:rPr>
                <w:rStyle w:val="10"/>
                <w:rFonts w:hint="eastAsia"/>
              </w:rPr>
              <w:t>总有效成分含量：</w:t>
            </w:r>
            <w:r>
              <w:rPr>
                <w:rFonts w:hint="eastAsia"/>
              </w:rPr>
              <w:t>0.4%</w:t>
            </w:r>
          </w:p>
        </w:tc>
      </w:tr>
      <w:tr w14:paraId="74F682D9">
        <w:tblPrEx>
          <w:tblCellMar>
            <w:top w:w="0" w:type="dxa"/>
            <w:left w:w="0" w:type="dxa"/>
            <w:bottom w:w="0" w:type="dxa"/>
            <w:right w:w="0" w:type="dxa"/>
          </w:tblCellMar>
        </w:tblPrEx>
        <w:trPr>
          <w:wBefore w:w="0" w:type="auto"/>
          <w:tblCellSpacing w:w="0" w:type="dxa"/>
        </w:trPr>
        <w:tc>
          <w:tcPr>
            <w:tcW w:w="0" w:type="auto"/>
            <w:noWrap w:val="0"/>
            <w:vAlign w:val="center"/>
          </w:tcPr>
          <w:p w14:paraId="7C3845D8">
            <w:r>
              <w:rPr>
                <w:rFonts w:hint="eastAsia"/>
              </w:rPr>
              <w:t xml:space="preserve">有效成分及其含量： </w:t>
            </w:r>
          </w:p>
          <w:p w14:paraId="0668A60E">
            <w:r>
              <w:rPr>
                <w:rFonts w:hint="eastAsia"/>
              </w:rPr>
              <w:t xml:space="preserve">    氯氟醚菊酯0.4%    </w:t>
            </w:r>
          </w:p>
        </w:tc>
      </w:tr>
      <w:tr w14:paraId="4AEA7146">
        <w:tblPrEx>
          <w:tblCellMar>
            <w:top w:w="0" w:type="dxa"/>
            <w:left w:w="0" w:type="dxa"/>
            <w:bottom w:w="0" w:type="dxa"/>
            <w:right w:w="0" w:type="dxa"/>
          </w:tblCellMar>
        </w:tblPrEx>
        <w:trPr>
          <w:wBefore w:w="0" w:type="auto"/>
          <w:tblCellSpacing w:w="0" w:type="dxa"/>
        </w:trPr>
        <w:tc>
          <w:tcPr>
            <w:tcW w:w="0" w:type="auto"/>
            <w:noWrap w:val="0"/>
            <w:vAlign w:val="center"/>
          </w:tcPr>
          <w:p w14:paraId="2A4CA4B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FB92F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3293E5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D4F43F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292EBF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05D3CC">
                  <w:r>
                    <w:rPr>
                      <w:rStyle w:val="11"/>
                      <w:rFonts w:hint="eastAsia"/>
                    </w:rPr>
                    <w:t>施用方式</w:t>
                  </w:r>
                </w:p>
              </w:tc>
            </w:tr>
            <w:tr w14:paraId="7E9387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5100A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004FE5">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29A987">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ED8F4A">
                  <w:r>
                    <w:rPr>
                      <w:rStyle w:val="11"/>
                      <w:rFonts w:hint="eastAsia"/>
                    </w:rPr>
                    <w:t>电热加温</w:t>
                  </w:r>
                </w:p>
              </w:tc>
            </w:tr>
          </w:tbl>
          <w:p w14:paraId="30890793">
            <w:pPr>
              <w:rPr>
                <w:rFonts w:ascii="Times New Roman" w:hAnsi="Times New Roman" w:cs="Times New Roman"/>
                <w:sz w:val="20"/>
                <w:szCs w:val="20"/>
              </w:rPr>
            </w:pPr>
          </w:p>
        </w:tc>
      </w:tr>
      <w:tr w14:paraId="3FCD1E23">
        <w:tblPrEx>
          <w:tblCellMar>
            <w:top w:w="0" w:type="dxa"/>
            <w:left w:w="0" w:type="dxa"/>
            <w:bottom w:w="0" w:type="dxa"/>
            <w:right w:w="0" w:type="dxa"/>
          </w:tblCellMar>
        </w:tblPrEx>
        <w:trPr>
          <w:wBefore w:w="0" w:type="auto"/>
          <w:tblCellSpacing w:w="0" w:type="dxa"/>
        </w:trPr>
        <w:tc>
          <w:tcPr>
            <w:tcW w:w="0" w:type="auto"/>
            <w:noWrap w:val="0"/>
            <w:vAlign w:val="center"/>
          </w:tcPr>
          <w:p w14:paraId="35FF4725">
            <w:r>
              <w:rPr>
                <w:rStyle w:val="10"/>
                <w:rFonts w:hint="eastAsia"/>
              </w:rPr>
              <w:t>使用技术要求:</w:t>
            </w:r>
            <w:r>
              <w:rPr>
                <w:rFonts w:hint="eastAsia"/>
              </w:rPr>
              <w:br w:type="textWrapping"/>
            </w:r>
            <w:r>
              <w:rPr>
                <w:rStyle w:val="11"/>
                <w:rFonts w:hint="eastAsia"/>
              </w:rPr>
              <w:t>1.逆时针方向旋开药瓶塑盖； 2.将芯棒对准电加热器的发热圈插入并旋紧药瓶； 3.接通电源，发热器开始加热，药液沿芯棒扩散作用于空间； 4.不用时，请切断电源。</w:t>
            </w:r>
          </w:p>
        </w:tc>
      </w:tr>
      <w:tr w14:paraId="5E80443D">
        <w:tblPrEx>
          <w:tblCellMar>
            <w:top w:w="0" w:type="dxa"/>
            <w:left w:w="0" w:type="dxa"/>
            <w:bottom w:w="0" w:type="dxa"/>
            <w:right w:w="0" w:type="dxa"/>
          </w:tblCellMar>
        </w:tblPrEx>
        <w:trPr>
          <w:wBefore w:w="0" w:type="auto"/>
          <w:tblCellSpacing w:w="0" w:type="dxa"/>
        </w:trPr>
        <w:tc>
          <w:tcPr>
            <w:tcW w:w="0" w:type="auto"/>
            <w:noWrap w:val="0"/>
            <w:vAlign w:val="center"/>
          </w:tcPr>
          <w:p w14:paraId="192C10E6">
            <w:r>
              <w:rPr>
                <w:rStyle w:val="10"/>
                <w:rFonts w:hint="eastAsia"/>
              </w:rPr>
              <w:t>产品性能:</w:t>
            </w:r>
            <w:r>
              <w:rPr>
                <w:rFonts w:hint="eastAsia"/>
              </w:rPr>
              <w:br w:type="textWrapping"/>
            </w:r>
            <w:r>
              <w:rPr>
                <w:rStyle w:val="11"/>
                <w:rFonts w:hint="eastAsia"/>
              </w:rPr>
              <w:t xml:space="preserve">本品系采用拟除虫菊酯为主要原料配制而成，能有效驱杀蚊。为确保本品发挥正常药效，请与金鹿牌电热蚊香器配套使用。 </w:t>
            </w:r>
          </w:p>
        </w:tc>
      </w:tr>
      <w:tr w14:paraId="068291FA">
        <w:tblPrEx>
          <w:tblCellMar>
            <w:top w:w="0" w:type="dxa"/>
            <w:left w:w="0" w:type="dxa"/>
            <w:bottom w:w="0" w:type="dxa"/>
            <w:right w:w="0" w:type="dxa"/>
          </w:tblCellMar>
        </w:tblPrEx>
        <w:trPr>
          <w:wBefore w:w="0" w:type="auto"/>
          <w:tblCellSpacing w:w="0" w:type="dxa"/>
        </w:trPr>
        <w:tc>
          <w:tcPr>
            <w:tcW w:w="0" w:type="auto"/>
            <w:noWrap w:val="0"/>
            <w:vAlign w:val="center"/>
          </w:tcPr>
          <w:p w14:paraId="42B64086">
            <w:r>
              <w:rPr>
                <w:rStyle w:val="10"/>
                <w:rFonts w:hint="eastAsia"/>
              </w:rPr>
              <w:t>注意事项：</w:t>
            </w:r>
            <w:r>
              <w:rPr>
                <w:rFonts w:hint="eastAsia"/>
              </w:rPr>
              <w:br w:type="textWrapping"/>
            </w:r>
            <w:r>
              <w:rPr>
                <w:rStyle w:val="11"/>
                <w:rFonts w:hint="eastAsia"/>
              </w:rPr>
              <w:t>1.切勿折断吸液芯棒。 2.不要直接暴露于火源上。 3.对鱼、蚕有毒，蚕室内及其附近禁用，用后请洗手。 4.远离儿童。 5.过敏者禁用，使用中有任何不良反应请及时就医；孕妇及哺乳期妇女禁止接触。 6.使用时注意通风，注意用电安全。 7. 仅限室内使用。</w:t>
            </w:r>
          </w:p>
        </w:tc>
      </w:tr>
      <w:tr w14:paraId="4BEAFF79">
        <w:tblPrEx>
          <w:tblCellMar>
            <w:top w:w="0" w:type="dxa"/>
            <w:left w:w="0" w:type="dxa"/>
            <w:bottom w:w="0" w:type="dxa"/>
            <w:right w:w="0" w:type="dxa"/>
          </w:tblCellMar>
        </w:tblPrEx>
        <w:trPr>
          <w:wBefore w:w="0" w:type="auto"/>
          <w:tblCellSpacing w:w="0" w:type="dxa"/>
        </w:trPr>
        <w:tc>
          <w:tcPr>
            <w:tcW w:w="0" w:type="auto"/>
            <w:noWrap w:val="0"/>
            <w:vAlign w:val="center"/>
          </w:tcPr>
          <w:p w14:paraId="24DEFE60">
            <w:r>
              <w:rPr>
                <w:rStyle w:val="10"/>
                <w:rFonts w:hint="eastAsia"/>
              </w:rPr>
              <w:t>中毒急救措施：</w:t>
            </w:r>
            <w:r>
              <w:rPr>
                <w:rFonts w:hint="eastAsia"/>
              </w:rPr>
              <w:br w:type="textWrapping"/>
            </w:r>
            <w:r>
              <w:rPr>
                <w:rStyle w:val="11"/>
                <w:rFonts w:hint="eastAsia"/>
              </w:rPr>
              <w:t>过敏者可能引起头晕、恶心等症状，应将病人移至空气流通处；误食、吸 入不适或使用中有任何不良反应请携此标签及时就医，对症治疗。</w:t>
            </w:r>
          </w:p>
        </w:tc>
      </w:tr>
      <w:tr w14:paraId="508C4B7F">
        <w:tblPrEx>
          <w:tblCellMar>
            <w:top w:w="0" w:type="dxa"/>
            <w:left w:w="0" w:type="dxa"/>
            <w:bottom w:w="0" w:type="dxa"/>
            <w:right w:w="0" w:type="dxa"/>
          </w:tblCellMar>
        </w:tblPrEx>
        <w:trPr>
          <w:wBefore w:w="0" w:type="auto"/>
          <w:tblCellSpacing w:w="0" w:type="dxa"/>
        </w:trPr>
        <w:tc>
          <w:tcPr>
            <w:tcW w:w="0" w:type="auto"/>
            <w:noWrap w:val="0"/>
            <w:vAlign w:val="center"/>
          </w:tcPr>
          <w:p w14:paraId="485454F4">
            <w:r>
              <w:rPr>
                <w:rStyle w:val="10"/>
                <w:rFonts w:hint="eastAsia"/>
              </w:rPr>
              <w:t>储存和运输方法：</w:t>
            </w:r>
            <w:r>
              <w:rPr>
                <w:rFonts w:hint="eastAsia"/>
              </w:rPr>
              <w:br w:type="textWrapping"/>
            </w:r>
            <w:r>
              <w:rPr>
                <w:rStyle w:val="11"/>
                <w:rFonts w:hint="eastAsia"/>
              </w:rPr>
              <w:t>1.本品应存放于阴凉、干燥及儿童未能触及处； 2.搬运时要轻取轻放，防止剧烈震动、日晒、雨淋和重压，不得倒置； 3.不能与食物、饮料、粮食、饲料、种子或易燃易爆品等混合贮存运输； 4.远离火源或热源。</w:t>
            </w:r>
          </w:p>
        </w:tc>
      </w:tr>
      <w:tr w14:paraId="7946DA67">
        <w:tblPrEx>
          <w:tblCellMar>
            <w:top w:w="0" w:type="dxa"/>
            <w:left w:w="0" w:type="dxa"/>
            <w:bottom w:w="0" w:type="dxa"/>
            <w:right w:w="0" w:type="dxa"/>
          </w:tblCellMar>
        </w:tblPrEx>
        <w:trPr>
          <w:wBefore w:w="0" w:type="auto"/>
          <w:tblCellSpacing w:w="0" w:type="dxa"/>
        </w:trPr>
        <w:tc>
          <w:tcPr>
            <w:tcW w:w="0" w:type="auto"/>
            <w:noWrap w:val="0"/>
            <w:vAlign w:val="center"/>
          </w:tcPr>
          <w:p w14:paraId="2EB263DD">
            <w:r>
              <w:rPr>
                <w:rStyle w:val="10"/>
                <w:rFonts w:hint="eastAsia"/>
              </w:rPr>
              <w:t>质量保证期：</w:t>
            </w:r>
            <w:r>
              <w:rPr>
                <w:rStyle w:val="11"/>
                <w:rFonts w:hint="eastAsia"/>
              </w:rPr>
              <w:t>3年</w:t>
            </w:r>
          </w:p>
        </w:tc>
      </w:tr>
      <w:tr w14:paraId="1E440825">
        <w:tblPrEx>
          <w:tblCellMar>
            <w:top w:w="0" w:type="dxa"/>
            <w:left w:w="0" w:type="dxa"/>
            <w:bottom w:w="0" w:type="dxa"/>
            <w:right w:w="0" w:type="dxa"/>
          </w:tblCellMar>
        </w:tblPrEx>
        <w:trPr>
          <w:wBefore w:w="0" w:type="auto"/>
          <w:tblCellSpacing w:w="0" w:type="dxa"/>
        </w:trPr>
        <w:tc>
          <w:tcPr>
            <w:tcW w:w="0" w:type="auto"/>
            <w:noWrap w:val="0"/>
            <w:vAlign w:val="center"/>
          </w:tcPr>
          <w:p w14:paraId="7ED43A15">
            <w:r>
              <w:rPr>
                <w:rStyle w:val="10"/>
                <w:rFonts w:hint="eastAsia"/>
              </w:rPr>
              <w:t>备注：</w:t>
            </w:r>
          </w:p>
        </w:tc>
      </w:tr>
    </w:tbl>
    <w:p w14:paraId="114F1A4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70EA59">
        <w:tblPrEx>
          <w:tblCellMar>
            <w:top w:w="0" w:type="dxa"/>
            <w:left w:w="0" w:type="dxa"/>
            <w:bottom w:w="0" w:type="dxa"/>
            <w:right w:w="0" w:type="dxa"/>
          </w:tblCellMar>
        </w:tblPrEx>
        <w:trPr>
          <w:wBefore w:w="0" w:type="auto"/>
          <w:tblCellSpacing w:w="0" w:type="dxa"/>
        </w:trPr>
        <w:tc>
          <w:tcPr>
            <w:tcW w:w="0" w:type="auto"/>
            <w:noWrap w:val="0"/>
            <w:vAlign w:val="center"/>
          </w:tcPr>
          <w:p w14:paraId="337AE2D5">
            <w:r>
              <w:rPr>
                <w:rStyle w:val="10"/>
                <w:rFonts w:hint="eastAsia"/>
              </w:rPr>
              <w:t>登记证号：</w:t>
            </w:r>
            <w:r>
              <w:rPr>
                <w:rFonts w:hint="eastAsia"/>
              </w:rPr>
              <w:t>WP20210232</w:t>
            </w:r>
          </w:p>
        </w:tc>
      </w:tr>
      <w:tr w14:paraId="6483ACFE">
        <w:tblPrEx>
          <w:tblCellMar>
            <w:top w:w="0" w:type="dxa"/>
            <w:left w:w="0" w:type="dxa"/>
            <w:bottom w:w="0" w:type="dxa"/>
            <w:right w:w="0" w:type="dxa"/>
          </w:tblCellMar>
        </w:tblPrEx>
        <w:trPr>
          <w:wBefore w:w="0" w:type="auto"/>
          <w:tblCellSpacing w:w="0" w:type="dxa"/>
        </w:trPr>
        <w:tc>
          <w:tcPr>
            <w:tcW w:w="0" w:type="auto"/>
            <w:noWrap w:val="0"/>
            <w:vAlign w:val="center"/>
          </w:tcPr>
          <w:p w14:paraId="756431D1">
            <w:r>
              <w:rPr>
                <w:rStyle w:val="10"/>
                <w:rFonts w:hint="eastAsia"/>
              </w:rPr>
              <w:t>登记证持有人：</w:t>
            </w:r>
            <w:r>
              <w:rPr>
                <w:rFonts w:hint="eastAsia"/>
              </w:rPr>
              <w:t>天津源达日化股份有限公司</w:t>
            </w:r>
          </w:p>
        </w:tc>
      </w:tr>
      <w:tr w14:paraId="7117A408">
        <w:tblPrEx>
          <w:tblCellMar>
            <w:top w:w="0" w:type="dxa"/>
            <w:left w:w="0" w:type="dxa"/>
            <w:bottom w:w="0" w:type="dxa"/>
            <w:right w:w="0" w:type="dxa"/>
          </w:tblCellMar>
        </w:tblPrEx>
        <w:trPr>
          <w:wBefore w:w="0" w:type="auto"/>
          <w:tblCellSpacing w:w="0" w:type="dxa"/>
        </w:trPr>
        <w:tc>
          <w:tcPr>
            <w:tcW w:w="0" w:type="auto"/>
            <w:noWrap w:val="0"/>
            <w:vAlign w:val="center"/>
          </w:tcPr>
          <w:p w14:paraId="14CB4D4C">
            <w:r>
              <w:rPr>
                <w:rStyle w:val="10"/>
                <w:rFonts w:hint="eastAsia"/>
              </w:rPr>
              <w:t>农药名称：</w:t>
            </w:r>
            <w:r>
              <w:rPr>
                <w:rFonts w:hint="eastAsia"/>
              </w:rPr>
              <w:t>防蛀片剂</w:t>
            </w:r>
          </w:p>
        </w:tc>
      </w:tr>
      <w:tr w14:paraId="7C2AE388">
        <w:tblPrEx>
          <w:tblCellMar>
            <w:top w:w="0" w:type="dxa"/>
            <w:left w:w="0" w:type="dxa"/>
            <w:bottom w:w="0" w:type="dxa"/>
            <w:right w:w="0" w:type="dxa"/>
          </w:tblCellMar>
        </w:tblPrEx>
        <w:trPr>
          <w:wBefore w:w="0" w:type="auto"/>
          <w:tblCellSpacing w:w="0" w:type="dxa"/>
        </w:trPr>
        <w:tc>
          <w:tcPr>
            <w:tcW w:w="0" w:type="auto"/>
            <w:noWrap w:val="0"/>
            <w:vAlign w:val="center"/>
          </w:tcPr>
          <w:p w14:paraId="44560430">
            <w:r>
              <w:rPr>
                <w:rStyle w:val="10"/>
                <w:rFonts w:hint="eastAsia"/>
              </w:rPr>
              <w:t>剂型：</w:t>
            </w:r>
            <w:r>
              <w:rPr>
                <w:rFonts w:hint="eastAsia"/>
              </w:rPr>
              <w:t>防蛀片剂</w:t>
            </w:r>
          </w:p>
        </w:tc>
      </w:tr>
      <w:tr w14:paraId="44FC6E72">
        <w:tblPrEx>
          <w:tblCellMar>
            <w:top w:w="0" w:type="dxa"/>
            <w:left w:w="0" w:type="dxa"/>
            <w:bottom w:w="0" w:type="dxa"/>
            <w:right w:w="0" w:type="dxa"/>
          </w:tblCellMar>
        </w:tblPrEx>
        <w:trPr>
          <w:wBefore w:w="0" w:type="auto"/>
          <w:tblCellSpacing w:w="0" w:type="dxa"/>
        </w:trPr>
        <w:tc>
          <w:tcPr>
            <w:tcW w:w="0" w:type="auto"/>
            <w:noWrap w:val="0"/>
            <w:vAlign w:val="center"/>
          </w:tcPr>
          <w:p w14:paraId="450EA22F">
            <w:r>
              <w:rPr>
                <w:rStyle w:val="10"/>
                <w:rFonts w:hint="eastAsia"/>
              </w:rPr>
              <w:t>毒性及其标识：</w:t>
            </w:r>
            <w:r>
              <w:rPr>
                <w:rFonts w:hint="eastAsia"/>
              </w:rPr>
              <w:t xml:space="preserve"> 微毒 </w:t>
            </w:r>
          </w:p>
        </w:tc>
      </w:tr>
      <w:tr w14:paraId="3818718A">
        <w:tblPrEx>
          <w:tblCellMar>
            <w:top w:w="0" w:type="dxa"/>
            <w:left w:w="0" w:type="dxa"/>
            <w:bottom w:w="0" w:type="dxa"/>
            <w:right w:w="0" w:type="dxa"/>
          </w:tblCellMar>
        </w:tblPrEx>
        <w:trPr>
          <w:wBefore w:w="0" w:type="auto"/>
          <w:tblCellSpacing w:w="0" w:type="dxa"/>
        </w:trPr>
        <w:tc>
          <w:tcPr>
            <w:tcW w:w="0" w:type="auto"/>
            <w:noWrap w:val="0"/>
            <w:vAlign w:val="center"/>
          </w:tcPr>
          <w:p w14:paraId="629B4D6B">
            <w:r>
              <w:rPr>
                <w:rStyle w:val="10"/>
                <w:rFonts w:hint="eastAsia"/>
              </w:rPr>
              <w:t>总有效成分含量：</w:t>
            </w:r>
            <w:r>
              <w:rPr>
                <w:rFonts w:hint="eastAsia"/>
              </w:rPr>
              <w:t>30%</w:t>
            </w:r>
          </w:p>
        </w:tc>
      </w:tr>
      <w:tr w14:paraId="689FB559">
        <w:tblPrEx>
          <w:tblCellMar>
            <w:top w:w="0" w:type="dxa"/>
            <w:left w:w="0" w:type="dxa"/>
            <w:bottom w:w="0" w:type="dxa"/>
            <w:right w:w="0" w:type="dxa"/>
          </w:tblCellMar>
        </w:tblPrEx>
        <w:trPr>
          <w:wBefore w:w="0" w:type="auto"/>
          <w:tblCellSpacing w:w="0" w:type="dxa"/>
        </w:trPr>
        <w:tc>
          <w:tcPr>
            <w:tcW w:w="0" w:type="auto"/>
            <w:noWrap w:val="0"/>
            <w:vAlign w:val="center"/>
          </w:tcPr>
          <w:p w14:paraId="2F56BE58">
            <w:r>
              <w:rPr>
                <w:rFonts w:hint="eastAsia"/>
              </w:rPr>
              <w:t xml:space="preserve">有效成分及其含量： </w:t>
            </w:r>
          </w:p>
          <w:p w14:paraId="2BA44BAB">
            <w:r>
              <w:rPr>
                <w:rFonts w:hint="eastAsia"/>
              </w:rPr>
              <w:t xml:space="preserve">    右旋烯炔菊酯30%    </w:t>
            </w:r>
          </w:p>
        </w:tc>
      </w:tr>
      <w:tr w14:paraId="1459445F">
        <w:tblPrEx>
          <w:tblCellMar>
            <w:top w:w="0" w:type="dxa"/>
            <w:left w:w="0" w:type="dxa"/>
            <w:bottom w:w="0" w:type="dxa"/>
            <w:right w:w="0" w:type="dxa"/>
          </w:tblCellMar>
        </w:tblPrEx>
        <w:trPr>
          <w:wBefore w:w="0" w:type="auto"/>
          <w:tblCellSpacing w:w="0" w:type="dxa"/>
        </w:trPr>
        <w:tc>
          <w:tcPr>
            <w:tcW w:w="0" w:type="auto"/>
            <w:noWrap w:val="0"/>
            <w:vAlign w:val="center"/>
          </w:tcPr>
          <w:p w14:paraId="08A9DAE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9A506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1D2E95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78562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2BEBFC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166FBF">
                  <w:r>
                    <w:rPr>
                      <w:rStyle w:val="11"/>
                      <w:rFonts w:hint="eastAsia"/>
                    </w:rPr>
                    <w:t>施用方式</w:t>
                  </w:r>
                </w:p>
              </w:tc>
            </w:tr>
            <w:tr w14:paraId="66E201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D051C22">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CEBC67">
                  <w:r>
                    <w:rPr>
                      <w:rStyle w:val="11"/>
                      <w:rFonts w:hint="eastAsia"/>
                    </w:rPr>
                    <w:t>黑皮蠹</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EBB822">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E07899">
                  <w:r>
                    <w:rPr>
                      <w:rStyle w:val="11"/>
                      <w:rFonts w:hint="eastAsia"/>
                    </w:rPr>
                    <w:t>投放</w:t>
                  </w:r>
                </w:p>
              </w:tc>
            </w:tr>
          </w:tbl>
          <w:p w14:paraId="74C2FCEC">
            <w:pPr>
              <w:rPr>
                <w:rFonts w:ascii="Times New Roman" w:hAnsi="Times New Roman" w:cs="Times New Roman"/>
                <w:sz w:val="20"/>
                <w:szCs w:val="20"/>
              </w:rPr>
            </w:pPr>
          </w:p>
        </w:tc>
      </w:tr>
      <w:tr w14:paraId="36A417F9">
        <w:tblPrEx>
          <w:tblCellMar>
            <w:top w:w="0" w:type="dxa"/>
            <w:left w:w="0" w:type="dxa"/>
            <w:bottom w:w="0" w:type="dxa"/>
            <w:right w:w="0" w:type="dxa"/>
          </w:tblCellMar>
        </w:tblPrEx>
        <w:trPr>
          <w:wBefore w:w="0" w:type="auto"/>
          <w:tblCellSpacing w:w="0" w:type="dxa"/>
        </w:trPr>
        <w:tc>
          <w:tcPr>
            <w:tcW w:w="0" w:type="auto"/>
            <w:noWrap w:val="0"/>
            <w:vAlign w:val="center"/>
          </w:tcPr>
          <w:p w14:paraId="76AA2A04">
            <w:r>
              <w:rPr>
                <w:rStyle w:val="10"/>
                <w:rFonts w:hint="eastAsia"/>
              </w:rPr>
              <w:t>使用技术要求:</w:t>
            </w:r>
            <w:r>
              <w:rPr>
                <w:rFonts w:hint="eastAsia"/>
              </w:rPr>
              <w:br w:type="textWrapping"/>
            </w:r>
            <w:r>
              <w:rPr>
                <w:rStyle w:val="11"/>
                <w:rFonts w:hint="eastAsia"/>
              </w:rPr>
              <w:t>本品为室内卫生用品，应将该产品置于相对密闭空间内使用。使用时放于抽屉、衣箱角落或悬挂与衣架上。要保持最佳效果，衣物鞋类存放前必须保持清洁干爽，并紧闭柜门、抽屉，避免经常开放。</w:t>
            </w:r>
          </w:p>
        </w:tc>
      </w:tr>
      <w:tr w14:paraId="73D6AA5B">
        <w:tblPrEx>
          <w:tblCellMar>
            <w:top w:w="0" w:type="dxa"/>
            <w:left w:w="0" w:type="dxa"/>
            <w:bottom w:w="0" w:type="dxa"/>
            <w:right w:w="0" w:type="dxa"/>
          </w:tblCellMar>
        </w:tblPrEx>
        <w:trPr>
          <w:wBefore w:w="0" w:type="auto"/>
          <w:tblCellSpacing w:w="0" w:type="dxa"/>
        </w:trPr>
        <w:tc>
          <w:tcPr>
            <w:tcW w:w="0" w:type="auto"/>
            <w:noWrap w:val="0"/>
            <w:vAlign w:val="center"/>
          </w:tcPr>
          <w:p w14:paraId="5EA6A4DF">
            <w:r>
              <w:rPr>
                <w:rStyle w:val="10"/>
                <w:rFonts w:hint="eastAsia"/>
              </w:rPr>
              <w:t>产品性能:</w:t>
            </w:r>
            <w:r>
              <w:rPr>
                <w:rFonts w:hint="eastAsia"/>
              </w:rPr>
              <w:br w:type="textWrapping"/>
            </w:r>
            <w:r>
              <w:rPr>
                <w:rStyle w:val="11"/>
                <w:rFonts w:hint="eastAsia"/>
              </w:rPr>
              <w:t>本品对织物有防蛀作用，有效防止衣物、皮革、棉、毛、化纤、混防物品虫蛀。适用于家庭衣柜、抽屉、鞋柜等场所使用。</w:t>
            </w:r>
          </w:p>
        </w:tc>
      </w:tr>
      <w:tr w14:paraId="1B2D0538">
        <w:tblPrEx>
          <w:tblCellMar>
            <w:top w:w="0" w:type="dxa"/>
            <w:left w:w="0" w:type="dxa"/>
            <w:bottom w:w="0" w:type="dxa"/>
            <w:right w:w="0" w:type="dxa"/>
          </w:tblCellMar>
        </w:tblPrEx>
        <w:trPr>
          <w:wBefore w:w="0" w:type="auto"/>
          <w:tblCellSpacing w:w="0" w:type="dxa"/>
        </w:trPr>
        <w:tc>
          <w:tcPr>
            <w:tcW w:w="0" w:type="auto"/>
            <w:noWrap w:val="0"/>
            <w:vAlign w:val="center"/>
          </w:tcPr>
          <w:p w14:paraId="7B503FD3">
            <w:r>
              <w:rPr>
                <w:rStyle w:val="10"/>
                <w:rFonts w:hint="eastAsia"/>
              </w:rPr>
              <w:t>注意事项：</w:t>
            </w:r>
            <w:r>
              <w:rPr>
                <w:rFonts w:hint="eastAsia"/>
              </w:rPr>
              <w:br w:type="textWrapping"/>
            </w:r>
            <w:r>
              <w:rPr>
                <w:rStyle w:val="11"/>
                <w:rFonts w:hint="eastAsia"/>
              </w:rPr>
              <w:t>1. 本品仅限用于室内。2. 切勿与其他防蛀剂一起使用。3. 使用时置于儿童和动物接触不到的地方，以防误食。4. 、包装物勿做他用，用后洗手。5. 、过敏者禁用，使用中有任何不良反应请及时就医。6. 本品对鱼、蚕有毒，切勿污染水源，蚕室及其附近禁用。7. 本品易燃，远离火源。8. 避免孕妇及哺乳期妇女接触本品。</w:t>
            </w:r>
          </w:p>
        </w:tc>
      </w:tr>
      <w:tr w14:paraId="56FF1563">
        <w:tblPrEx>
          <w:tblCellMar>
            <w:top w:w="0" w:type="dxa"/>
            <w:left w:w="0" w:type="dxa"/>
            <w:bottom w:w="0" w:type="dxa"/>
            <w:right w:w="0" w:type="dxa"/>
          </w:tblCellMar>
        </w:tblPrEx>
        <w:trPr>
          <w:wBefore w:w="0" w:type="auto"/>
          <w:tblCellSpacing w:w="0" w:type="dxa"/>
        </w:trPr>
        <w:tc>
          <w:tcPr>
            <w:tcW w:w="0" w:type="auto"/>
            <w:noWrap w:val="0"/>
            <w:vAlign w:val="center"/>
          </w:tcPr>
          <w:p w14:paraId="08823DD9">
            <w:r>
              <w:rPr>
                <w:rStyle w:val="10"/>
                <w:rFonts w:hint="eastAsia"/>
              </w:rPr>
              <w:t>中毒急救措施：</w:t>
            </w:r>
            <w:r>
              <w:rPr>
                <w:rFonts w:hint="eastAsia"/>
              </w:rPr>
              <w:br w:type="textWrapping"/>
            </w:r>
            <w:r>
              <w:rPr>
                <w:rStyle w:val="11"/>
                <w:rFonts w:hint="eastAsia"/>
              </w:rPr>
              <w:t>1. 误食：不慎误食，马上停止食用，携此标签送医就诊，应对症治疗。2. 皮肤接触：使用本品时，如果出现皮肤刺激，用清水冲洗，如持续不适，携此标签送医就诊。3. 眼睛接触：如果不慎接触眼睛，引起不适，立即翻开眼睑，用流动的清水冲洗，如持续不适，携此标签送医就诊。4. 吸入：如有不适，立即移至空气清新的地方，如呼吸困难或持续不适，携此标签送医就诊。</w:t>
            </w:r>
          </w:p>
        </w:tc>
      </w:tr>
      <w:tr w14:paraId="42099C03">
        <w:tblPrEx>
          <w:tblCellMar>
            <w:top w:w="0" w:type="dxa"/>
            <w:left w:w="0" w:type="dxa"/>
            <w:bottom w:w="0" w:type="dxa"/>
            <w:right w:w="0" w:type="dxa"/>
          </w:tblCellMar>
        </w:tblPrEx>
        <w:trPr>
          <w:wBefore w:w="0" w:type="auto"/>
          <w:tblCellSpacing w:w="0" w:type="dxa"/>
        </w:trPr>
        <w:tc>
          <w:tcPr>
            <w:tcW w:w="0" w:type="auto"/>
            <w:noWrap w:val="0"/>
            <w:vAlign w:val="center"/>
          </w:tcPr>
          <w:p w14:paraId="6ED147BC">
            <w:r>
              <w:rPr>
                <w:rStyle w:val="10"/>
                <w:rFonts w:hint="eastAsia"/>
              </w:rPr>
              <w:t>储存和运输方法：</w:t>
            </w:r>
            <w:r>
              <w:rPr>
                <w:rFonts w:hint="eastAsia"/>
              </w:rPr>
              <w:br w:type="textWrapping"/>
            </w:r>
            <w:r>
              <w:rPr>
                <w:rStyle w:val="11"/>
                <w:rFonts w:hint="eastAsia"/>
              </w:rPr>
              <w:t>1. 本品应贮存在干燥、阴凉、通风、防雨处，远离火源和热源。2. 置于儿童和动物接触不到的地方，并加锁。3. 不能与食品、饮料、粮食、饲料等混合储存、运输。</w:t>
            </w:r>
          </w:p>
        </w:tc>
      </w:tr>
      <w:tr w14:paraId="19A0B817">
        <w:tblPrEx>
          <w:tblCellMar>
            <w:top w:w="0" w:type="dxa"/>
            <w:left w:w="0" w:type="dxa"/>
            <w:bottom w:w="0" w:type="dxa"/>
            <w:right w:w="0" w:type="dxa"/>
          </w:tblCellMar>
        </w:tblPrEx>
        <w:trPr>
          <w:wBefore w:w="0" w:type="auto"/>
          <w:tblCellSpacing w:w="0" w:type="dxa"/>
        </w:trPr>
        <w:tc>
          <w:tcPr>
            <w:tcW w:w="0" w:type="auto"/>
            <w:noWrap w:val="0"/>
            <w:vAlign w:val="center"/>
          </w:tcPr>
          <w:p w14:paraId="2D3CA7E7">
            <w:r>
              <w:rPr>
                <w:rStyle w:val="10"/>
                <w:rFonts w:hint="eastAsia"/>
              </w:rPr>
              <w:t>质量保证期：</w:t>
            </w:r>
            <w:r>
              <w:rPr>
                <w:rStyle w:val="11"/>
                <w:rFonts w:hint="eastAsia"/>
              </w:rPr>
              <w:t>3年</w:t>
            </w:r>
          </w:p>
        </w:tc>
      </w:tr>
      <w:tr w14:paraId="5BACC439">
        <w:tblPrEx>
          <w:tblCellMar>
            <w:top w:w="0" w:type="dxa"/>
            <w:left w:w="0" w:type="dxa"/>
            <w:bottom w:w="0" w:type="dxa"/>
            <w:right w:w="0" w:type="dxa"/>
          </w:tblCellMar>
        </w:tblPrEx>
        <w:trPr>
          <w:wBefore w:w="0" w:type="auto"/>
          <w:tblCellSpacing w:w="0" w:type="dxa"/>
        </w:trPr>
        <w:tc>
          <w:tcPr>
            <w:tcW w:w="0" w:type="auto"/>
            <w:noWrap w:val="0"/>
            <w:vAlign w:val="center"/>
          </w:tcPr>
          <w:p w14:paraId="785DD849">
            <w:r>
              <w:rPr>
                <w:rStyle w:val="10"/>
                <w:rFonts w:hint="eastAsia"/>
              </w:rPr>
              <w:t>备注：</w:t>
            </w:r>
          </w:p>
        </w:tc>
      </w:tr>
    </w:tbl>
    <w:p w14:paraId="3954F40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474008">
        <w:tblPrEx>
          <w:tblCellMar>
            <w:top w:w="0" w:type="dxa"/>
            <w:left w:w="0" w:type="dxa"/>
            <w:bottom w:w="0" w:type="dxa"/>
            <w:right w:w="0" w:type="dxa"/>
          </w:tblCellMar>
        </w:tblPrEx>
        <w:trPr>
          <w:wBefore w:w="0" w:type="auto"/>
          <w:tblCellSpacing w:w="0" w:type="dxa"/>
        </w:trPr>
        <w:tc>
          <w:tcPr>
            <w:tcW w:w="0" w:type="auto"/>
            <w:noWrap w:val="0"/>
            <w:vAlign w:val="center"/>
          </w:tcPr>
          <w:p w14:paraId="289BD410">
            <w:r>
              <w:rPr>
                <w:rStyle w:val="10"/>
                <w:rFonts w:hint="eastAsia"/>
              </w:rPr>
              <w:t>登记证号：</w:t>
            </w:r>
            <w:r>
              <w:rPr>
                <w:rFonts w:hint="eastAsia"/>
              </w:rPr>
              <w:t>PD20211904</w:t>
            </w:r>
          </w:p>
        </w:tc>
      </w:tr>
      <w:tr w14:paraId="0B5E87F1">
        <w:tblPrEx>
          <w:tblCellMar>
            <w:top w:w="0" w:type="dxa"/>
            <w:left w:w="0" w:type="dxa"/>
            <w:bottom w:w="0" w:type="dxa"/>
            <w:right w:w="0" w:type="dxa"/>
          </w:tblCellMar>
        </w:tblPrEx>
        <w:trPr>
          <w:wBefore w:w="0" w:type="auto"/>
          <w:tblCellSpacing w:w="0" w:type="dxa"/>
        </w:trPr>
        <w:tc>
          <w:tcPr>
            <w:tcW w:w="0" w:type="auto"/>
            <w:noWrap w:val="0"/>
            <w:vAlign w:val="center"/>
          </w:tcPr>
          <w:p w14:paraId="5BF9624F">
            <w:r>
              <w:rPr>
                <w:rStyle w:val="10"/>
                <w:rFonts w:hint="eastAsia"/>
              </w:rPr>
              <w:t>登记证持有人：</w:t>
            </w:r>
            <w:r>
              <w:rPr>
                <w:rFonts w:hint="eastAsia"/>
              </w:rPr>
              <w:t>四川润尔科技有限公司</w:t>
            </w:r>
          </w:p>
        </w:tc>
      </w:tr>
      <w:tr w14:paraId="2ED2A9B9">
        <w:tblPrEx>
          <w:tblCellMar>
            <w:top w:w="0" w:type="dxa"/>
            <w:left w:w="0" w:type="dxa"/>
            <w:bottom w:w="0" w:type="dxa"/>
            <w:right w:w="0" w:type="dxa"/>
          </w:tblCellMar>
        </w:tblPrEx>
        <w:trPr>
          <w:wBefore w:w="0" w:type="auto"/>
          <w:tblCellSpacing w:w="0" w:type="dxa"/>
        </w:trPr>
        <w:tc>
          <w:tcPr>
            <w:tcW w:w="0" w:type="auto"/>
            <w:noWrap w:val="0"/>
            <w:vAlign w:val="center"/>
          </w:tcPr>
          <w:p w14:paraId="48209EE5">
            <w:r>
              <w:rPr>
                <w:rStyle w:val="10"/>
                <w:rFonts w:hint="eastAsia"/>
              </w:rPr>
              <w:t>农药名称：</w:t>
            </w:r>
            <w:r>
              <w:rPr>
                <w:rFonts w:hint="eastAsia"/>
              </w:rPr>
              <w:t>戊唑醇·咪鲜胺</w:t>
            </w:r>
          </w:p>
        </w:tc>
      </w:tr>
      <w:tr w14:paraId="12BB5435">
        <w:tblPrEx>
          <w:tblCellMar>
            <w:top w:w="0" w:type="dxa"/>
            <w:left w:w="0" w:type="dxa"/>
            <w:bottom w:w="0" w:type="dxa"/>
            <w:right w:w="0" w:type="dxa"/>
          </w:tblCellMar>
        </w:tblPrEx>
        <w:trPr>
          <w:wBefore w:w="0" w:type="auto"/>
          <w:tblCellSpacing w:w="0" w:type="dxa"/>
        </w:trPr>
        <w:tc>
          <w:tcPr>
            <w:tcW w:w="0" w:type="auto"/>
            <w:noWrap w:val="0"/>
            <w:vAlign w:val="center"/>
          </w:tcPr>
          <w:p w14:paraId="0F344BD4">
            <w:r>
              <w:rPr>
                <w:rStyle w:val="10"/>
                <w:rFonts w:hint="eastAsia"/>
              </w:rPr>
              <w:t>剂型：</w:t>
            </w:r>
            <w:r>
              <w:rPr>
                <w:rFonts w:hint="eastAsia"/>
              </w:rPr>
              <w:t>水乳剂</w:t>
            </w:r>
          </w:p>
        </w:tc>
      </w:tr>
      <w:tr w14:paraId="04893F94">
        <w:tblPrEx>
          <w:tblCellMar>
            <w:top w:w="0" w:type="dxa"/>
            <w:left w:w="0" w:type="dxa"/>
            <w:bottom w:w="0" w:type="dxa"/>
            <w:right w:w="0" w:type="dxa"/>
          </w:tblCellMar>
        </w:tblPrEx>
        <w:trPr>
          <w:wBefore w:w="0" w:type="auto"/>
          <w:tblCellSpacing w:w="0" w:type="dxa"/>
        </w:trPr>
        <w:tc>
          <w:tcPr>
            <w:tcW w:w="0" w:type="auto"/>
            <w:noWrap w:val="0"/>
            <w:vAlign w:val="center"/>
          </w:tcPr>
          <w:p w14:paraId="6A502325">
            <w:r>
              <w:rPr>
                <w:rStyle w:val="10"/>
                <w:rFonts w:hint="eastAsia"/>
              </w:rPr>
              <w:t>毒性及其标识：</w:t>
            </w:r>
            <w:r>
              <w:rPr>
                <w:rFonts w:hint="eastAsia"/>
              </w:rPr>
              <w:t xml:space="preserve"> </w:t>
            </w:r>
            <w:r>
              <w:rPr>
                <w:lang/>
              </w:rPr>
              <w:drawing>
                <wp:inline distT="0" distB="0" distL="114300" distR="114300">
                  <wp:extent cx="476250" cy="323850"/>
                  <wp:effectExtent l="0" t="0" r="0" b="0"/>
                  <wp:docPr id="48" name="图片 4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1A5397D">
        <w:tblPrEx>
          <w:tblCellMar>
            <w:top w:w="0" w:type="dxa"/>
            <w:left w:w="0" w:type="dxa"/>
            <w:bottom w:w="0" w:type="dxa"/>
            <w:right w:w="0" w:type="dxa"/>
          </w:tblCellMar>
        </w:tblPrEx>
        <w:trPr>
          <w:wBefore w:w="0" w:type="auto"/>
          <w:tblCellSpacing w:w="0" w:type="dxa"/>
        </w:trPr>
        <w:tc>
          <w:tcPr>
            <w:tcW w:w="0" w:type="auto"/>
            <w:noWrap w:val="0"/>
            <w:vAlign w:val="center"/>
          </w:tcPr>
          <w:p w14:paraId="3A9443CB">
            <w:r>
              <w:rPr>
                <w:rStyle w:val="10"/>
                <w:rFonts w:hint="eastAsia"/>
              </w:rPr>
              <w:t>总有效成分含量：</w:t>
            </w:r>
            <w:r>
              <w:rPr>
                <w:rFonts w:hint="eastAsia"/>
              </w:rPr>
              <w:t>45%</w:t>
            </w:r>
          </w:p>
        </w:tc>
      </w:tr>
      <w:tr w14:paraId="1AB11C94">
        <w:tblPrEx>
          <w:tblCellMar>
            <w:top w:w="0" w:type="dxa"/>
            <w:left w:w="0" w:type="dxa"/>
            <w:bottom w:w="0" w:type="dxa"/>
            <w:right w:w="0" w:type="dxa"/>
          </w:tblCellMar>
        </w:tblPrEx>
        <w:trPr>
          <w:wBefore w:w="0" w:type="auto"/>
          <w:tblCellSpacing w:w="0" w:type="dxa"/>
        </w:trPr>
        <w:tc>
          <w:tcPr>
            <w:tcW w:w="0" w:type="auto"/>
            <w:noWrap w:val="0"/>
            <w:vAlign w:val="center"/>
          </w:tcPr>
          <w:p w14:paraId="0AC14F27">
            <w:r>
              <w:rPr>
                <w:rFonts w:hint="eastAsia"/>
              </w:rPr>
              <w:t xml:space="preserve">有效成分及其含量： </w:t>
            </w:r>
          </w:p>
          <w:p w14:paraId="1C71969B">
            <w:r>
              <w:rPr>
                <w:rFonts w:hint="eastAsia"/>
              </w:rPr>
              <w:t xml:space="preserve">    戊唑醇15%    咪鲜胺30%    </w:t>
            </w:r>
          </w:p>
        </w:tc>
      </w:tr>
      <w:tr w14:paraId="1CE8940B">
        <w:tblPrEx>
          <w:tblCellMar>
            <w:top w:w="0" w:type="dxa"/>
            <w:left w:w="0" w:type="dxa"/>
            <w:bottom w:w="0" w:type="dxa"/>
            <w:right w:w="0" w:type="dxa"/>
          </w:tblCellMar>
        </w:tblPrEx>
        <w:trPr>
          <w:wBefore w:w="0" w:type="auto"/>
          <w:tblCellSpacing w:w="0" w:type="dxa"/>
        </w:trPr>
        <w:tc>
          <w:tcPr>
            <w:tcW w:w="0" w:type="auto"/>
            <w:noWrap w:val="0"/>
            <w:vAlign w:val="center"/>
          </w:tcPr>
          <w:p w14:paraId="6F9A87A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87C34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8C7D3D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AB718A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A7D366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F9E35A0">
                  <w:r>
                    <w:rPr>
                      <w:rStyle w:val="11"/>
                      <w:rFonts w:hint="eastAsia"/>
                    </w:rPr>
                    <w:t>施用方式</w:t>
                  </w:r>
                </w:p>
              </w:tc>
            </w:tr>
            <w:tr w14:paraId="5DC691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3D43F9">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5730D1">
                  <w:r>
                    <w:rPr>
                      <w:rStyle w:val="11"/>
                      <w:rFonts w:hint="eastAsia"/>
                    </w:rPr>
                    <w:t>赤霉病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A66E82">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6D3C52">
                  <w:r>
                    <w:rPr>
                      <w:rStyle w:val="11"/>
                      <w:rFonts w:hint="eastAsia"/>
                    </w:rPr>
                    <w:t>喷雾</w:t>
                  </w:r>
                </w:p>
              </w:tc>
            </w:tr>
            <w:tr w14:paraId="182DB3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7B65034">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C5EF4F">
                  <w:r>
                    <w:rPr>
                      <w:rStyle w:val="11"/>
                      <w:rFonts w:hint="eastAsia"/>
                    </w:rPr>
                    <w:t>稻瘟病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B566B9">
                  <w:r>
                    <w:rPr>
                      <w:rStyle w:val="11"/>
                      <w:rFonts w:hint="eastAsia"/>
                    </w:rPr>
                    <w:t>30-35毫升/亩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0FA2B7">
                  <w:r>
                    <w:rPr>
                      <w:rStyle w:val="11"/>
                      <w:rFonts w:hint="eastAsia"/>
                    </w:rPr>
                    <w:t>喷雾</w:t>
                  </w:r>
                </w:p>
              </w:tc>
            </w:tr>
          </w:tbl>
          <w:p w14:paraId="0D087DEF">
            <w:pPr>
              <w:rPr>
                <w:rFonts w:ascii="Times New Roman" w:hAnsi="Times New Roman" w:cs="Times New Roman"/>
                <w:sz w:val="20"/>
                <w:szCs w:val="20"/>
              </w:rPr>
            </w:pPr>
          </w:p>
        </w:tc>
      </w:tr>
      <w:tr w14:paraId="134E753A">
        <w:tblPrEx>
          <w:tblCellMar>
            <w:top w:w="0" w:type="dxa"/>
            <w:left w:w="0" w:type="dxa"/>
            <w:bottom w:w="0" w:type="dxa"/>
            <w:right w:w="0" w:type="dxa"/>
          </w:tblCellMar>
        </w:tblPrEx>
        <w:trPr>
          <w:wBefore w:w="0" w:type="auto"/>
          <w:tblCellSpacing w:w="0" w:type="dxa"/>
        </w:trPr>
        <w:tc>
          <w:tcPr>
            <w:tcW w:w="0" w:type="auto"/>
            <w:noWrap w:val="0"/>
            <w:vAlign w:val="center"/>
          </w:tcPr>
          <w:p w14:paraId="7D0E64BD">
            <w:r>
              <w:rPr>
                <w:rStyle w:val="10"/>
                <w:rFonts w:hint="eastAsia"/>
              </w:rPr>
              <w:t>使用技术要求:</w:t>
            </w:r>
            <w:r>
              <w:rPr>
                <w:rFonts w:hint="eastAsia"/>
              </w:rPr>
              <w:br w:type="textWrapping"/>
            </w:r>
            <w:r>
              <w:rPr>
                <w:rStyle w:val="11"/>
                <w:rFonts w:hint="eastAsia"/>
              </w:rPr>
              <w:t>1、防治小麦赤霉病应在小麦抽穗扬花初期施药，间隔7天左右再施一次。2、防治水稻稻瘟病应在孕穗末期到齐穗期用药，间隔7-10天再施一次。3、防治小麦赤霉病、水稻稻瘟病一般亩用药液量45-60升，注意喷雾均匀、周到。大风天或预计1小时内降雨，请勿施药。4、本品在小麦上每季最多使用2次，安全间隔期30天。在水稻上每季最多使用3次，安全间隔期30天。</w:t>
            </w:r>
          </w:p>
        </w:tc>
      </w:tr>
      <w:tr w14:paraId="0B834543">
        <w:tblPrEx>
          <w:tblCellMar>
            <w:top w:w="0" w:type="dxa"/>
            <w:left w:w="0" w:type="dxa"/>
            <w:bottom w:w="0" w:type="dxa"/>
            <w:right w:w="0" w:type="dxa"/>
          </w:tblCellMar>
        </w:tblPrEx>
        <w:trPr>
          <w:wBefore w:w="0" w:type="auto"/>
          <w:tblCellSpacing w:w="0" w:type="dxa"/>
        </w:trPr>
        <w:tc>
          <w:tcPr>
            <w:tcW w:w="0" w:type="auto"/>
            <w:noWrap w:val="0"/>
            <w:vAlign w:val="center"/>
          </w:tcPr>
          <w:p w14:paraId="18B0C431">
            <w:r>
              <w:rPr>
                <w:rStyle w:val="10"/>
                <w:rFonts w:hint="eastAsia"/>
              </w:rPr>
              <w:t>产品性能:</w:t>
            </w:r>
            <w:r>
              <w:rPr>
                <w:rFonts w:hint="eastAsia"/>
              </w:rPr>
              <w:br w:type="textWrapping"/>
            </w:r>
            <w:r>
              <w:rPr>
                <w:rStyle w:val="11"/>
                <w:rFonts w:hint="eastAsia"/>
              </w:rPr>
              <w:t>本品是由戊唑醇和咪鲜胺混配而成，兼具预防、保护、治疗多重作用。两者混配后可用于防治小麦赤霉病、水稻稻瘟病。</w:t>
            </w:r>
          </w:p>
        </w:tc>
      </w:tr>
      <w:tr w14:paraId="6E90401F">
        <w:tblPrEx>
          <w:tblCellMar>
            <w:top w:w="0" w:type="dxa"/>
            <w:left w:w="0" w:type="dxa"/>
            <w:bottom w:w="0" w:type="dxa"/>
            <w:right w:w="0" w:type="dxa"/>
          </w:tblCellMar>
        </w:tblPrEx>
        <w:trPr>
          <w:wBefore w:w="0" w:type="auto"/>
          <w:tblCellSpacing w:w="0" w:type="dxa"/>
        </w:trPr>
        <w:tc>
          <w:tcPr>
            <w:tcW w:w="0" w:type="auto"/>
            <w:noWrap w:val="0"/>
            <w:vAlign w:val="center"/>
          </w:tcPr>
          <w:p w14:paraId="1B1CA3CA">
            <w:r>
              <w:rPr>
                <w:rStyle w:val="10"/>
                <w:rFonts w:hint="eastAsia"/>
              </w:rPr>
              <w:t>注意事项：</w:t>
            </w:r>
            <w:r>
              <w:rPr>
                <w:rFonts w:hint="eastAsia"/>
              </w:rPr>
              <w:br w:type="textWrapping"/>
            </w:r>
            <w:r>
              <w:rPr>
                <w:rStyle w:val="11"/>
                <w:rFonts w:hint="eastAsia"/>
              </w:rPr>
              <w:t>1、使用本品应采取相应的安全防护措施，穿防护服，戴防护手套、口罩等，避免皮肤接触及口鼻吸入。使用中不可吸烟、饮水及吃东西，使用后及时用大量清水和肥皂清洗手、脸等暴露部位皮肤并更换衣物。 2、本品对鱼类、水蚤、藻类等水生生物有毒，禁止在河塘等水体中清洗施药器具，鱼或虾蟹套养稻田禁用，水产养殖区、河塘等水体附近禁用；施用后的田水不得直接排入水体。3、蚕食附近禁用，桑园附件使用时以最外围一行桑树作为隔离带，从次外围桑树上开始采摘桑叶饲喂家蚕。4、用过的包装物及未用完的药液不能随意丢弃，也不能做他用，应交当地农业部门或环保部门指定的单位进行回收处理。5、若不按照推荐使用技术和使用方法施用，均可能会对作物产生药害。6、本品能否与其他农药、肥料等产品混用请咨询当地农业技术推广部门，以免混用不当产生药害。7、禁止儿童、孕妇和哺乳期妇女接触。</w:t>
            </w:r>
          </w:p>
        </w:tc>
      </w:tr>
      <w:tr w14:paraId="1DB57255">
        <w:tblPrEx>
          <w:tblCellMar>
            <w:top w:w="0" w:type="dxa"/>
            <w:left w:w="0" w:type="dxa"/>
            <w:bottom w:w="0" w:type="dxa"/>
            <w:right w:w="0" w:type="dxa"/>
          </w:tblCellMar>
        </w:tblPrEx>
        <w:trPr>
          <w:wBefore w:w="0" w:type="auto"/>
          <w:tblCellSpacing w:w="0" w:type="dxa"/>
        </w:trPr>
        <w:tc>
          <w:tcPr>
            <w:tcW w:w="0" w:type="auto"/>
            <w:noWrap w:val="0"/>
            <w:vAlign w:val="center"/>
          </w:tcPr>
          <w:p w14:paraId="287785CB">
            <w:r>
              <w:rPr>
                <w:rStyle w:val="10"/>
                <w:rFonts w:hint="eastAsia"/>
              </w:rPr>
              <w:t>中毒急救措施：</w:t>
            </w:r>
            <w:r>
              <w:rPr>
                <w:rFonts w:hint="eastAsia"/>
              </w:rPr>
              <w:br w:type="textWrapping"/>
            </w:r>
            <w:r>
              <w:rPr>
                <w:rStyle w:val="11"/>
                <w:rFonts w:hint="eastAsia"/>
              </w:rPr>
              <w:t>中毒症状：本品对眼睛有刺激性。急救措施：使用中或使用后如果感觉不适，应立即停止工作，采取急救措施，并携带标签送医院就诊。 1、皮肤接触：脱去污染的衣物，用软布去除污染农药，立即用大量肥皂水和清水冲洗。 2、眼睛溅入：立即用流动清水冲洗至少15分钟。仍不适请就医。 3、吸入：立即离开施药现场，转移到空气新鲜处。如果吸入者停止呼吸，需进行人工呼吸。逐一保暖和休息，及时送医院对症治疗。4、误服：立即停止服用，用清水充分漱口后，携带农药标签到医院对症治疗。</w:t>
            </w:r>
          </w:p>
        </w:tc>
      </w:tr>
      <w:tr w14:paraId="571FC8B1">
        <w:tblPrEx>
          <w:tblCellMar>
            <w:top w:w="0" w:type="dxa"/>
            <w:left w:w="0" w:type="dxa"/>
            <w:bottom w:w="0" w:type="dxa"/>
            <w:right w:w="0" w:type="dxa"/>
          </w:tblCellMar>
        </w:tblPrEx>
        <w:trPr>
          <w:wBefore w:w="0" w:type="auto"/>
          <w:tblCellSpacing w:w="0" w:type="dxa"/>
        </w:trPr>
        <w:tc>
          <w:tcPr>
            <w:tcW w:w="0" w:type="auto"/>
            <w:noWrap w:val="0"/>
            <w:vAlign w:val="center"/>
          </w:tcPr>
          <w:p w14:paraId="442A8747">
            <w:r>
              <w:rPr>
                <w:rStyle w:val="10"/>
                <w:rFonts w:hint="eastAsia"/>
              </w:rPr>
              <w:t>储存和运输方法：</w:t>
            </w:r>
            <w:r>
              <w:rPr>
                <w:rFonts w:hint="eastAsia"/>
              </w:rPr>
              <w:br w:type="textWrapping"/>
            </w:r>
            <w:r>
              <w:rPr>
                <w:rStyle w:val="11"/>
                <w:rFonts w:hint="eastAsia"/>
              </w:rPr>
              <w:t>本品属易燃液体。应贮存在阴凉、通风、干燥、防雨的库房中，远离火源和热源。贮运时，严防潮湿和日晒，远离火源和热源，不得与食物、饮料、种子、粮食等混放混运。置于儿童、无关人员及动物接触不到的地方，并加锁保存。</w:t>
            </w:r>
          </w:p>
        </w:tc>
      </w:tr>
      <w:tr w14:paraId="0D76F7B3">
        <w:tblPrEx>
          <w:tblCellMar>
            <w:top w:w="0" w:type="dxa"/>
            <w:left w:w="0" w:type="dxa"/>
            <w:bottom w:w="0" w:type="dxa"/>
            <w:right w:w="0" w:type="dxa"/>
          </w:tblCellMar>
        </w:tblPrEx>
        <w:trPr>
          <w:wBefore w:w="0" w:type="auto"/>
          <w:tblCellSpacing w:w="0" w:type="dxa"/>
        </w:trPr>
        <w:tc>
          <w:tcPr>
            <w:tcW w:w="0" w:type="auto"/>
            <w:noWrap w:val="0"/>
            <w:vAlign w:val="center"/>
          </w:tcPr>
          <w:p w14:paraId="2D15E4D8">
            <w:r>
              <w:rPr>
                <w:rStyle w:val="10"/>
                <w:rFonts w:hint="eastAsia"/>
              </w:rPr>
              <w:t>质量保证期：</w:t>
            </w:r>
            <w:r>
              <w:rPr>
                <w:rStyle w:val="11"/>
                <w:rFonts w:hint="eastAsia"/>
              </w:rPr>
              <w:t>2年</w:t>
            </w:r>
          </w:p>
        </w:tc>
      </w:tr>
      <w:tr w14:paraId="09A4D126">
        <w:tblPrEx>
          <w:tblCellMar>
            <w:top w:w="0" w:type="dxa"/>
            <w:left w:w="0" w:type="dxa"/>
            <w:bottom w:w="0" w:type="dxa"/>
            <w:right w:w="0" w:type="dxa"/>
          </w:tblCellMar>
        </w:tblPrEx>
        <w:trPr>
          <w:wBefore w:w="0" w:type="auto"/>
          <w:tblCellSpacing w:w="0" w:type="dxa"/>
        </w:trPr>
        <w:tc>
          <w:tcPr>
            <w:tcW w:w="0" w:type="auto"/>
            <w:noWrap w:val="0"/>
            <w:vAlign w:val="center"/>
          </w:tcPr>
          <w:p w14:paraId="16298882">
            <w:r>
              <w:rPr>
                <w:rStyle w:val="10"/>
                <w:rFonts w:hint="eastAsia"/>
              </w:rPr>
              <w:t>备注：</w:t>
            </w:r>
          </w:p>
        </w:tc>
      </w:tr>
    </w:tbl>
    <w:p w14:paraId="64CF2A9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EE29894">
        <w:tblPrEx>
          <w:tblCellMar>
            <w:top w:w="0" w:type="dxa"/>
            <w:left w:w="0" w:type="dxa"/>
            <w:bottom w:w="0" w:type="dxa"/>
            <w:right w:w="0" w:type="dxa"/>
          </w:tblCellMar>
        </w:tblPrEx>
        <w:trPr>
          <w:wBefore w:w="0" w:type="auto"/>
          <w:tblCellSpacing w:w="0" w:type="dxa"/>
        </w:trPr>
        <w:tc>
          <w:tcPr>
            <w:tcW w:w="0" w:type="auto"/>
            <w:noWrap w:val="0"/>
            <w:vAlign w:val="center"/>
          </w:tcPr>
          <w:p w14:paraId="080B62AF">
            <w:r>
              <w:rPr>
                <w:rStyle w:val="10"/>
                <w:rFonts w:hint="eastAsia"/>
              </w:rPr>
              <w:t>登记证号：</w:t>
            </w:r>
            <w:r>
              <w:rPr>
                <w:rFonts w:hint="eastAsia"/>
              </w:rPr>
              <w:t>PD20212064</w:t>
            </w:r>
          </w:p>
        </w:tc>
      </w:tr>
      <w:tr w14:paraId="23A7ED87">
        <w:tblPrEx>
          <w:tblCellMar>
            <w:top w:w="0" w:type="dxa"/>
            <w:left w:w="0" w:type="dxa"/>
            <w:bottom w:w="0" w:type="dxa"/>
            <w:right w:w="0" w:type="dxa"/>
          </w:tblCellMar>
        </w:tblPrEx>
        <w:trPr>
          <w:wBefore w:w="0" w:type="auto"/>
          <w:tblCellSpacing w:w="0" w:type="dxa"/>
        </w:trPr>
        <w:tc>
          <w:tcPr>
            <w:tcW w:w="0" w:type="auto"/>
            <w:noWrap w:val="0"/>
            <w:vAlign w:val="center"/>
          </w:tcPr>
          <w:p w14:paraId="12B46C49">
            <w:r>
              <w:rPr>
                <w:rStyle w:val="10"/>
                <w:rFonts w:hint="eastAsia"/>
              </w:rPr>
              <w:t>登记证持有人：</w:t>
            </w:r>
            <w:r>
              <w:rPr>
                <w:rFonts w:hint="eastAsia"/>
              </w:rPr>
              <w:t>陕西恒田生物农业有限公司</w:t>
            </w:r>
          </w:p>
        </w:tc>
      </w:tr>
      <w:tr w14:paraId="67EF2050">
        <w:tblPrEx>
          <w:tblCellMar>
            <w:top w:w="0" w:type="dxa"/>
            <w:left w:w="0" w:type="dxa"/>
            <w:bottom w:w="0" w:type="dxa"/>
            <w:right w:w="0" w:type="dxa"/>
          </w:tblCellMar>
        </w:tblPrEx>
        <w:trPr>
          <w:wBefore w:w="0" w:type="auto"/>
          <w:tblCellSpacing w:w="0" w:type="dxa"/>
        </w:trPr>
        <w:tc>
          <w:tcPr>
            <w:tcW w:w="0" w:type="auto"/>
            <w:noWrap w:val="0"/>
            <w:vAlign w:val="center"/>
          </w:tcPr>
          <w:p w14:paraId="69663180">
            <w:r>
              <w:rPr>
                <w:rStyle w:val="10"/>
                <w:rFonts w:hint="eastAsia"/>
              </w:rPr>
              <w:t>农药名称：</w:t>
            </w:r>
            <w:r>
              <w:rPr>
                <w:rFonts w:hint="eastAsia"/>
              </w:rPr>
              <w:t>噻苯隆</w:t>
            </w:r>
          </w:p>
        </w:tc>
      </w:tr>
      <w:tr w14:paraId="21D4628D">
        <w:tblPrEx>
          <w:tblCellMar>
            <w:top w:w="0" w:type="dxa"/>
            <w:left w:w="0" w:type="dxa"/>
            <w:bottom w:w="0" w:type="dxa"/>
            <w:right w:w="0" w:type="dxa"/>
          </w:tblCellMar>
        </w:tblPrEx>
        <w:trPr>
          <w:wBefore w:w="0" w:type="auto"/>
          <w:tblCellSpacing w:w="0" w:type="dxa"/>
        </w:trPr>
        <w:tc>
          <w:tcPr>
            <w:tcW w:w="0" w:type="auto"/>
            <w:noWrap w:val="0"/>
            <w:vAlign w:val="center"/>
          </w:tcPr>
          <w:p w14:paraId="3AD0F3E5">
            <w:r>
              <w:rPr>
                <w:rStyle w:val="10"/>
                <w:rFonts w:hint="eastAsia"/>
              </w:rPr>
              <w:t>剂型：</w:t>
            </w:r>
            <w:r>
              <w:rPr>
                <w:rFonts w:hint="eastAsia"/>
              </w:rPr>
              <w:t>可溶液剂</w:t>
            </w:r>
          </w:p>
        </w:tc>
      </w:tr>
      <w:tr w14:paraId="036A33B0">
        <w:tblPrEx>
          <w:tblCellMar>
            <w:top w:w="0" w:type="dxa"/>
            <w:left w:w="0" w:type="dxa"/>
            <w:bottom w:w="0" w:type="dxa"/>
            <w:right w:w="0" w:type="dxa"/>
          </w:tblCellMar>
        </w:tblPrEx>
        <w:trPr>
          <w:wBefore w:w="0" w:type="auto"/>
          <w:tblCellSpacing w:w="0" w:type="dxa"/>
        </w:trPr>
        <w:tc>
          <w:tcPr>
            <w:tcW w:w="0" w:type="auto"/>
            <w:noWrap w:val="0"/>
            <w:vAlign w:val="center"/>
          </w:tcPr>
          <w:p w14:paraId="33016097">
            <w:r>
              <w:rPr>
                <w:rStyle w:val="10"/>
                <w:rFonts w:hint="eastAsia"/>
              </w:rPr>
              <w:t>毒性及其标识：</w:t>
            </w:r>
            <w:r>
              <w:rPr>
                <w:rFonts w:hint="eastAsia"/>
              </w:rPr>
              <w:t xml:space="preserve"> </w:t>
            </w:r>
            <w:r>
              <w:rPr>
                <w:lang/>
              </w:rPr>
              <w:drawing>
                <wp:inline distT="0" distB="0" distL="114300" distR="114300">
                  <wp:extent cx="476250" cy="323850"/>
                  <wp:effectExtent l="0" t="0" r="0" b="0"/>
                  <wp:docPr id="49" name="图片 4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17E3221">
        <w:tblPrEx>
          <w:tblCellMar>
            <w:top w:w="0" w:type="dxa"/>
            <w:left w:w="0" w:type="dxa"/>
            <w:bottom w:w="0" w:type="dxa"/>
            <w:right w:w="0" w:type="dxa"/>
          </w:tblCellMar>
        </w:tblPrEx>
        <w:trPr>
          <w:wBefore w:w="0" w:type="auto"/>
          <w:tblCellSpacing w:w="0" w:type="dxa"/>
        </w:trPr>
        <w:tc>
          <w:tcPr>
            <w:tcW w:w="0" w:type="auto"/>
            <w:noWrap w:val="0"/>
            <w:vAlign w:val="center"/>
          </w:tcPr>
          <w:p w14:paraId="4DC2B454">
            <w:r>
              <w:rPr>
                <w:rStyle w:val="10"/>
                <w:rFonts w:hint="eastAsia"/>
              </w:rPr>
              <w:t>总有效成分含量：</w:t>
            </w:r>
            <w:r>
              <w:rPr>
                <w:rFonts w:hint="eastAsia"/>
              </w:rPr>
              <w:t>0.5%</w:t>
            </w:r>
          </w:p>
        </w:tc>
      </w:tr>
      <w:tr w14:paraId="279F572F">
        <w:tblPrEx>
          <w:tblCellMar>
            <w:top w:w="0" w:type="dxa"/>
            <w:left w:w="0" w:type="dxa"/>
            <w:bottom w:w="0" w:type="dxa"/>
            <w:right w:w="0" w:type="dxa"/>
          </w:tblCellMar>
        </w:tblPrEx>
        <w:trPr>
          <w:wBefore w:w="0" w:type="auto"/>
          <w:tblCellSpacing w:w="0" w:type="dxa"/>
        </w:trPr>
        <w:tc>
          <w:tcPr>
            <w:tcW w:w="0" w:type="auto"/>
            <w:noWrap w:val="0"/>
            <w:vAlign w:val="center"/>
          </w:tcPr>
          <w:p w14:paraId="7F337A07">
            <w:r>
              <w:rPr>
                <w:rFonts w:hint="eastAsia"/>
              </w:rPr>
              <w:t xml:space="preserve">有效成分及其含量： </w:t>
            </w:r>
          </w:p>
          <w:p w14:paraId="15FA01F8">
            <w:r>
              <w:rPr>
                <w:rFonts w:hint="eastAsia"/>
              </w:rPr>
              <w:t xml:space="preserve">    噻苯隆0.5%    </w:t>
            </w:r>
          </w:p>
        </w:tc>
      </w:tr>
      <w:tr w14:paraId="4FA1E59C">
        <w:tblPrEx>
          <w:tblCellMar>
            <w:top w:w="0" w:type="dxa"/>
            <w:left w:w="0" w:type="dxa"/>
            <w:bottom w:w="0" w:type="dxa"/>
            <w:right w:w="0" w:type="dxa"/>
          </w:tblCellMar>
        </w:tblPrEx>
        <w:trPr>
          <w:wBefore w:w="0" w:type="auto"/>
          <w:tblCellSpacing w:w="0" w:type="dxa"/>
        </w:trPr>
        <w:tc>
          <w:tcPr>
            <w:tcW w:w="0" w:type="auto"/>
            <w:noWrap w:val="0"/>
            <w:vAlign w:val="center"/>
          </w:tcPr>
          <w:p w14:paraId="03204F1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37D04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5F238B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CB300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2BB143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9FA75E1">
                  <w:r>
                    <w:rPr>
                      <w:rStyle w:val="11"/>
                      <w:rFonts w:hint="eastAsia"/>
                    </w:rPr>
                    <w:t>施用方式</w:t>
                  </w:r>
                </w:p>
              </w:tc>
            </w:tr>
            <w:tr w14:paraId="57514E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D73CA9">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C6F47F">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575E56">
                  <w:r>
                    <w:rPr>
                      <w:rStyle w:val="11"/>
                      <w:rFonts w:hint="eastAsia"/>
                    </w:rPr>
                    <w:t>800-1200倍液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350F67">
                  <w:r>
                    <w:rPr>
                      <w:rStyle w:val="11"/>
                      <w:rFonts w:hint="eastAsia"/>
                    </w:rPr>
                    <w:t>喷雾</w:t>
                  </w:r>
                </w:p>
              </w:tc>
            </w:tr>
          </w:tbl>
          <w:p w14:paraId="6056A28D">
            <w:pPr>
              <w:rPr>
                <w:rFonts w:ascii="Times New Roman" w:hAnsi="Times New Roman" w:cs="Times New Roman"/>
                <w:sz w:val="20"/>
                <w:szCs w:val="20"/>
              </w:rPr>
            </w:pPr>
          </w:p>
        </w:tc>
      </w:tr>
      <w:tr w14:paraId="2D7E86A3">
        <w:tblPrEx>
          <w:tblCellMar>
            <w:top w:w="0" w:type="dxa"/>
            <w:left w:w="0" w:type="dxa"/>
            <w:bottom w:w="0" w:type="dxa"/>
            <w:right w:w="0" w:type="dxa"/>
          </w:tblCellMar>
        </w:tblPrEx>
        <w:trPr>
          <w:wBefore w:w="0" w:type="auto"/>
          <w:tblCellSpacing w:w="0" w:type="dxa"/>
        </w:trPr>
        <w:tc>
          <w:tcPr>
            <w:tcW w:w="0" w:type="auto"/>
            <w:noWrap w:val="0"/>
            <w:vAlign w:val="center"/>
          </w:tcPr>
          <w:p w14:paraId="69ADECC0">
            <w:r>
              <w:rPr>
                <w:rStyle w:val="10"/>
                <w:rFonts w:hint="eastAsia"/>
              </w:rPr>
              <w:t>使用技术要求:</w:t>
            </w:r>
            <w:r>
              <w:rPr>
                <w:rFonts w:hint="eastAsia"/>
              </w:rPr>
              <w:br w:type="textWrapping"/>
            </w:r>
            <w:r>
              <w:rPr>
                <w:rStyle w:val="11"/>
                <w:rFonts w:hint="eastAsia"/>
              </w:rPr>
              <w:t>1.本品应于葡萄花期喷雾施药1次，注意均匀喷雾。2.大风天或下雨前后，请勿施药。3.每季作物最多施药1次。</w:t>
            </w:r>
          </w:p>
        </w:tc>
      </w:tr>
      <w:tr w14:paraId="73EB3010">
        <w:tblPrEx>
          <w:tblCellMar>
            <w:top w:w="0" w:type="dxa"/>
            <w:left w:w="0" w:type="dxa"/>
            <w:bottom w:w="0" w:type="dxa"/>
            <w:right w:w="0" w:type="dxa"/>
          </w:tblCellMar>
        </w:tblPrEx>
        <w:trPr>
          <w:wBefore w:w="0" w:type="auto"/>
          <w:tblCellSpacing w:w="0" w:type="dxa"/>
        </w:trPr>
        <w:tc>
          <w:tcPr>
            <w:tcW w:w="0" w:type="auto"/>
            <w:noWrap w:val="0"/>
            <w:vAlign w:val="center"/>
          </w:tcPr>
          <w:p w14:paraId="71B89F26">
            <w:r>
              <w:rPr>
                <w:rStyle w:val="10"/>
                <w:rFonts w:hint="eastAsia"/>
              </w:rPr>
              <w:t>产品性能:</w:t>
            </w:r>
            <w:r>
              <w:rPr>
                <w:rFonts w:hint="eastAsia"/>
              </w:rPr>
              <w:br w:type="textWrapping"/>
            </w:r>
            <w:r>
              <w:rPr>
                <w:rStyle w:val="11"/>
                <w:rFonts w:hint="eastAsia"/>
              </w:rPr>
              <w:t>本品是一种脲类植物生长调节剂，有较强的细胞分裂活性，诱导植物细胞分裂，延缓植物衰老，增强其抗逆性，促进植物光合作用，还能提高作物产量，改善作物品质，对葡萄的生长有较好的调节作用。</w:t>
            </w:r>
          </w:p>
        </w:tc>
      </w:tr>
      <w:tr w14:paraId="54C92FF2">
        <w:tblPrEx>
          <w:tblCellMar>
            <w:top w:w="0" w:type="dxa"/>
            <w:left w:w="0" w:type="dxa"/>
            <w:bottom w:w="0" w:type="dxa"/>
            <w:right w:w="0" w:type="dxa"/>
          </w:tblCellMar>
        </w:tblPrEx>
        <w:trPr>
          <w:wBefore w:w="0" w:type="auto"/>
          <w:tblCellSpacing w:w="0" w:type="dxa"/>
        </w:trPr>
        <w:tc>
          <w:tcPr>
            <w:tcW w:w="0" w:type="auto"/>
            <w:noWrap w:val="0"/>
            <w:vAlign w:val="center"/>
          </w:tcPr>
          <w:p w14:paraId="2E6514DC">
            <w:r>
              <w:rPr>
                <w:rStyle w:val="10"/>
                <w:rFonts w:hint="eastAsia"/>
              </w:rPr>
              <w:t>注意事项：</w:t>
            </w:r>
            <w:r>
              <w:rPr>
                <w:rFonts w:hint="eastAsia"/>
              </w:rPr>
              <w:br w:type="textWrapping"/>
            </w:r>
            <w:r>
              <w:rPr>
                <w:rStyle w:val="11"/>
                <w:rFonts w:hint="eastAsia"/>
              </w:rPr>
              <w:t>1．严格按照规定用药量和方法使用，用药应均匀，不宜重复使用。2．该产品不可与碱性农药混用。3.未用过本制剂的品种和地区，应先试再用，切忌滥用，初次使用宜从低浓度用起，浓度过高可能引起不良现象。4.本品宜现配现用，不可久置；严禁高温烈日用药，施药6小时遇雨应补喷。5.禁止在鱼塘、稻田等场所及其周围使用，禁止在河塘等水体中清洗施药器具，药液及其废液不得污染各类水域、土壤等环境。6．使用本品时应穿防护服和戴手套，避免吸入药液。施药期间不可吃东西和饮水。施药后应及时洗手和洗脸。7.用过的容器应妥善处理，不可做他用，也不可随意丢弃。8.孕妇及哺乳期妇女避免接触。9.该产品属于易燃液体。10.水产养殖区、河塘等水体附近禁用，禁止在河塘等水域清洗施药器具。</w:t>
            </w:r>
          </w:p>
        </w:tc>
      </w:tr>
      <w:tr w14:paraId="1EB9C082">
        <w:tblPrEx>
          <w:tblCellMar>
            <w:top w:w="0" w:type="dxa"/>
            <w:left w:w="0" w:type="dxa"/>
            <w:bottom w:w="0" w:type="dxa"/>
            <w:right w:w="0" w:type="dxa"/>
          </w:tblCellMar>
        </w:tblPrEx>
        <w:trPr>
          <w:wBefore w:w="0" w:type="auto"/>
          <w:tblCellSpacing w:w="0" w:type="dxa"/>
        </w:trPr>
        <w:tc>
          <w:tcPr>
            <w:tcW w:w="0" w:type="auto"/>
            <w:noWrap w:val="0"/>
            <w:vAlign w:val="center"/>
          </w:tcPr>
          <w:p w14:paraId="35713F41">
            <w:r>
              <w:rPr>
                <w:rStyle w:val="10"/>
                <w:rFonts w:hint="eastAsia"/>
              </w:rPr>
              <w:t>中毒急救措施：</w:t>
            </w:r>
            <w:r>
              <w:rPr>
                <w:rFonts w:hint="eastAsia"/>
              </w:rPr>
              <w:br w:type="textWrapping"/>
            </w:r>
            <w:r>
              <w:rPr>
                <w:rStyle w:val="11"/>
                <w:rFonts w:hint="eastAsia"/>
              </w:rPr>
              <w:t>该产品对眼睛有刺激性，使用时避免接触眼睛。皮肤接触：立即用大量清水和肥皂冲洗。眼睛溅入：立即用流动清水冲洗至少15分钟。吸入：立即离开施药现场，转移到空气清新处。误食：用清水充分漱口后，立即携标签到医院对症治疗。</w:t>
            </w:r>
          </w:p>
        </w:tc>
      </w:tr>
      <w:tr w14:paraId="0DCE76D3">
        <w:tblPrEx>
          <w:tblCellMar>
            <w:top w:w="0" w:type="dxa"/>
            <w:left w:w="0" w:type="dxa"/>
            <w:bottom w:w="0" w:type="dxa"/>
            <w:right w:w="0" w:type="dxa"/>
          </w:tblCellMar>
        </w:tblPrEx>
        <w:trPr>
          <w:wBefore w:w="0" w:type="auto"/>
          <w:tblCellSpacing w:w="0" w:type="dxa"/>
        </w:trPr>
        <w:tc>
          <w:tcPr>
            <w:tcW w:w="0" w:type="auto"/>
            <w:noWrap w:val="0"/>
            <w:vAlign w:val="center"/>
          </w:tcPr>
          <w:p w14:paraId="37E591BE">
            <w:r>
              <w:rPr>
                <w:rStyle w:val="10"/>
                <w:rFonts w:hint="eastAsia"/>
              </w:rPr>
              <w:t>储存和运输方法：</w:t>
            </w:r>
            <w:r>
              <w:rPr>
                <w:rFonts w:hint="eastAsia"/>
              </w:rPr>
              <w:br w:type="textWrapping"/>
            </w:r>
            <w:r>
              <w:rPr>
                <w:rStyle w:val="11"/>
                <w:rFonts w:hint="eastAsia"/>
              </w:rPr>
              <w:t>本品应严防潮湿和日晒，药剂应储存于阴凉、干燥、通风处，远离火源和热源，置于儿童、无关人员接触不到之处并加锁。勿与食品、饮料、粮食、种子、饲料等混合储存。运输时应注意避光、防高温、雨淋。</w:t>
            </w:r>
          </w:p>
        </w:tc>
      </w:tr>
      <w:tr w14:paraId="0262F641">
        <w:tblPrEx>
          <w:tblCellMar>
            <w:top w:w="0" w:type="dxa"/>
            <w:left w:w="0" w:type="dxa"/>
            <w:bottom w:w="0" w:type="dxa"/>
            <w:right w:w="0" w:type="dxa"/>
          </w:tblCellMar>
        </w:tblPrEx>
        <w:trPr>
          <w:wBefore w:w="0" w:type="auto"/>
          <w:tblCellSpacing w:w="0" w:type="dxa"/>
        </w:trPr>
        <w:tc>
          <w:tcPr>
            <w:tcW w:w="0" w:type="auto"/>
            <w:noWrap w:val="0"/>
            <w:vAlign w:val="center"/>
          </w:tcPr>
          <w:p w14:paraId="767BD8A7">
            <w:r>
              <w:rPr>
                <w:rStyle w:val="10"/>
                <w:rFonts w:hint="eastAsia"/>
              </w:rPr>
              <w:t>质量保证期：</w:t>
            </w:r>
            <w:r>
              <w:rPr>
                <w:rStyle w:val="11"/>
                <w:rFonts w:hint="eastAsia"/>
              </w:rPr>
              <w:t>2年</w:t>
            </w:r>
          </w:p>
        </w:tc>
      </w:tr>
      <w:tr w14:paraId="6522C1AC">
        <w:tblPrEx>
          <w:tblCellMar>
            <w:top w:w="0" w:type="dxa"/>
            <w:left w:w="0" w:type="dxa"/>
            <w:bottom w:w="0" w:type="dxa"/>
            <w:right w:w="0" w:type="dxa"/>
          </w:tblCellMar>
        </w:tblPrEx>
        <w:trPr>
          <w:wBefore w:w="0" w:type="auto"/>
          <w:tblCellSpacing w:w="0" w:type="dxa"/>
        </w:trPr>
        <w:tc>
          <w:tcPr>
            <w:tcW w:w="0" w:type="auto"/>
            <w:noWrap w:val="0"/>
            <w:vAlign w:val="center"/>
          </w:tcPr>
          <w:p w14:paraId="232D2D84">
            <w:r>
              <w:rPr>
                <w:rStyle w:val="10"/>
                <w:rFonts w:hint="eastAsia"/>
              </w:rPr>
              <w:t>备注：</w:t>
            </w:r>
          </w:p>
        </w:tc>
      </w:tr>
    </w:tbl>
    <w:p w14:paraId="5448C88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1FEEC0B">
        <w:tblPrEx>
          <w:tblCellMar>
            <w:top w:w="0" w:type="dxa"/>
            <w:left w:w="0" w:type="dxa"/>
            <w:bottom w:w="0" w:type="dxa"/>
            <w:right w:w="0" w:type="dxa"/>
          </w:tblCellMar>
        </w:tblPrEx>
        <w:trPr>
          <w:wBefore w:w="0" w:type="auto"/>
          <w:tblCellSpacing w:w="0" w:type="dxa"/>
        </w:trPr>
        <w:tc>
          <w:tcPr>
            <w:tcW w:w="0" w:type="auto"/>
            <w:noWrap w:val="0"/>
            <w:vAlign w:val="center"/>
          </w:tcPr>
          <w:p w14:paraId="66F3C263">
            <w:r>
              <w:rPr>
                <w:rStyle w:val="10"/>
                <w:rFonts w:hint="eastAsia"/>
              </w:rPr>
              <w:t>登记证号：</w:t>
            </w:r>
            <w:r>
              <w:rPr>
                <w:rFonts w:hint="eastAsia"/>
              </w:rPr>
              <w:t>PD20212189</w:t>
            </w:r>
          </w:p>
        </w:tc>
      </w:tr>
      <w:tr w14:paraId="5AE9C71E">
        <w:tblPrEx>
          <w:tblCellMar>
            <w:top w:w="0" w:type="dxa"/>
            <w:left w:w="0" w:type="dxa"/>
            <w:bottom w:w="0" w:type="dxa"/>
            <w:right w:w="0" w:type="dxa"/>
          </w:tblCellMar>
        </w:tblPrEx>
        <w:trPr>
          <w:wBefore w:w="0" w:type="auto"/>
          <w:tblCellSpacing w:w="0" w:type="dxa"/>
        </w:trPr>
        <w:tc>
          <w:tcPr>
            <w:tcW w:w="0" w:type="auto"/>
            <w:noWrap w:val="0"/>
            <w:vAlign w:val="center"/>
          </w:tcPr>
          <w:p w14:paraId="70CE928D">
            <w:r>
              <w:rPr>
                <w:rStyle w:val="10"/>
                <w:rFonts w:hint="eastAsia"/>
              </w:rPr>
              <w:t>登记证持有人：</w:t>
            </w:r>
            <w:r>
              <w:rPr>
                <w:rFonts w:hint="eastAsia"/>
              </w:rPr>
              <w:t>菏泽茂泰瑞农生物科技有限公司</w:t>
            </w:r>
          </w:p>
        </w:tc>
      </w:tr>
      <w:tr w14:paraId="088FEF47">
        <w:tblPrEx>
          <w:tblCellMar>
            <w:top w:w="0" w:type="dxa"/>
            <w:left w:w="0" w:type="dxa"/>
            <w:bottom w:w="0" w:type="dxa"/>
            <w:right w:w="0" w:type="dxa"/>
          </w:tblCellMar>
        </w:tblPrEx>
        <w:trPr>
          <w:wBefore w:w="0" w:type="auto"/>
          <w:tblCellSpacing w:w="0" w:type="dxa"/>
        </w:trPr>
        <w:tc>
          <w:tcPr>
            <w:tcW w:w="0" w:type="auto"/>
            <w:noWrap w:val="0"/>
            <w:vAlign w:val="center"/>
          </w:tcPr>
          <w:p w14:paraId="41C56714">
            <w:r>
              <w:rPr>
                <w:rStyle w:val="10"/>
                <w:rFonts w:hint="eastAsia"/>
              </w:rPr>
              <w:t>农药名称：</w:t>
            </w:r>
            <w:r>
              <w:rPr>
                <w:rFonts w:hint="eastAsia"/>
              </w:rPr>
              <w:t>2甲·草甘膦</w:t>
            </w:r>
          </w:p>
        </w:tc>
      </w:tr>
      <w:tr w14:paraId="6708946B">
        <w:tblPrEx>
          <w:tblCellMar>
            <w:top w:w="0" w:type="dxa"/>
            <w:left w:w="0" w:type="dxa"/>
            <w:bottom w:w="0" w:type="dxa"/>
            <w:right w:w="0" w:type="dxa"/>
          </w:tblCellMar>
        </w:tblPrEx>
        <w:trPr>
          <w:wBefore w:w="0" w:type="auto"/>
          <w:tblCellSpacing w:w="0" w:type="dxa"/>
        </w:trPr>
        <w:tc>
          <w:tcPr>
            <w:tcW w:w="0" w:type="auto"/>
            <w:noWrap w:val="0"/>
            <w:vAlign w:val="center"/>
          </w:tcPr>
          <w:p w14:paraId="499A6ACA">
            <w:r>
              <w:rPr>
                <w:rStyle w:val="10"/>
                <w:rFonts w:hint="eastAsia"/>
              </w:rPr>
              <w:t>剂型：</w:t>
            </w:r>
            <w:r>
              <w:rPr>
                <w:rFonts w:hint="eastAsia"/>
              </w:rPr>
              <w:t>可溶液剂</w:t>
            </w:r>
          </w:p>
        </w:tc>
      </w:tr>
      <w:tr w14:paraId="3B7576AD">
        <w:tblPrEx>
          <w:tblCellMar>
            <w:top w:w="0" w:type="dxa"/>
            <w:left w:w="0" w:type="dxa"/>
            <w:bottom w:w="0" w:type="dxa"/>
            <w:right w:w="0" w:type="dxa"/>
          </w:tblCellMar>
        </w:tblPrEx>
        <w:trPr>
          <w:wBefore w:w="0" w:type="auto"/>
          <w:tblCellSpacing w:w="0" w:type="dxa"/>
        </w:trPr>
        <w:tc>
          <w:tcPr>
            <w:tcW w:w="0" w:type="auto"/>
            <w:noWrap w:val="0"/>
            <w:vAlign w:val="center"/>
          </w:tcPr>
          <w:p w14:paraId="2A3380EF">
            <w:r>
              <w:rPr>
                <w:rStyle w:val="10"/>
                <w:rFonts w:hint="eastAsia"/>
              </w:rPr>
              <w:t>毒性及其标识：</w:t>
            </w:r>
            <w:r>
              <w:rPr>
                <w:rFonts w:hint="eastAsia"/>
              </w:rPr>
              <w:t xml:space="preserve"> </w:t>
            </w:r>
            <w:r>
              <w:rPr>
                <w:lang/>
              </w:rPr>
              <w:drawing>
                <wp:inline distT="0" distB="0" distL="114300" distR="114300">
                  <wp:extent cx="476250" cy="323850"/>
                  <wp:effectExtent l="0" t="0" r="0" b="0"/>
                  <wp:docPr id="50" name="图片 5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BD49E36">
        <w:tblPrEx>
          <w:tblCellMar>
            <w:top w:w="0" w:type="dxa"/>
            <w:left w:w="0" w:type="dxa"/>
            <w:bottom w:w="0" w:type="dxa"/>
            <w:right w:w="0" w:type="dxa"/>
          </w:tblCellMar>
        </w:tblPrEx>
        <w:trPr>
          <w:wBefore w:w="0" w:type="auto"/>
          <w:tblCellSpacing w:w="0" w:type="dxa"/>
        </w:trPr>
        <w:tc>
          <w:tcPr>
            <w:tcW w:w="0" w:type="auto"/>
            <w:noWrap w:val="0"/>
            <w:vAlign w:val="center"/>
          </w:tcPr>
          <w:p w14:paraId="525C01D5">
            <w:r>
              <w:rPr>
                <w:rStyle w:val="10"/>
                <w:rFonts w:hint="eastAsia"/>
              </w:rPr>
              <w:t>总有效成分含量：</w:t>
            </w:r>
            <w:r>
              <w:rPr>
                <w:rFonts w:hint="eastAsia"/>
              </w:rPr>
              <w:t>36%</w:t>
            </w:r>
          </w:p>
        </w:tc>
      </w:tr>
      <w:tr w14:paraId="1822B374">
        <w:tblPrEx>
          <w:tblCellMar>
            <w:top w:w="0" w:type="dxa"/>
            <w:left w:w="0" w:type="dxa"/>
            <w:bottom w:w="0" w:type="dxa"/>
            <w:right w:w="0" w:type="dxa"/>
          </w:tblCellMar>
        </w:tblPrEx>
        <w:trPr>
          <w:wBefore w:w="0" w:type="auto"/>
          <w:tblCellSpacing w:w="0" w:type="dxa"/>
        </w:trPr>
        <w:tc>
          <w:tcPr>
            <w:tcW w:w="0" w:type="auto"/>
            <w:noWrap w:val="0"/>
            <w:vAlign w:val="center"/>
          </w:tcPr>
          <w:p w14:paraId="0F99CEFA">
            <w:r>
              <w:rPr>
                <w:rFonts w:hint="eastAsia"/>
              </w:rPr>
              <w:t xml:space="preserve">有效成分及其含量： </w:t>
            </w:r>
          </w:p>
          <w:p w14:paraId="0309DDC3">
            <w:r>
              <w:rPr>
                <w:rFonts w:hint="eastAsia"/>
              </w:rPr>
              <w:t xml:space="preserve">    2甲4氯5.6%    草甘膦30.4%    </w:t>
            </w:r>
          </w:p>
        </w:tc>
      </w:tr>
      <w:tr w14:paraId="63FCCF70">
        <w:tblPrEx>
          <w:tblCellMar>
            <w:top w:w="0" w:type="dxa"/>
            <w:left w:w="0" w:type="dxa"/>
            <w:bottom w:w="0" w:type="dxa"/>
            <w:right w:w="0" w:type="dxa"/>
          </w:tblCellMar>
        </w:tblPrEx>
        <w:trPr>
          <w:wBefore w:w="0" w:type="auto"/>
          <w:tblCellSpacing w:w="0" w:type="dxa"/>
        </w:trPr>
        <w:tc>
          <w:tcPr>
            <w:tcW w:w="0" w:type="auto"/>
            <w:noWrap w:val="0"/>
            <w:vAlign w:val="center"/>
          </w:tcPr>
          <w:p w14:paraId="4E1C501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5B73D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77BB0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06E9E8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35A2D8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819801A">
                  <w:r>
                    <w:rPr>
                      <w:rStyle w:val="11"/>
                      <w:rFonts w:hint="eastAsia"/>
                    </w:rPr>
                    <w:t>施用方式</w:t>
                  </w:r>
                </w:p>
              </w:tc>
            </w:tr>
            <w:tr w14:paraId="62688A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21ACC17">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F46273">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C0E600">
                  <w:r>
                    <w:rPr>
                      <w:rStyle w:val="11"/>
                      <w:rFonts w:hint="eastAsia"/>
                    </w:rPr>
                    <w:t>120-280毫升/亩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D44F9F">
                  <w:r>
                    <w:rPr>
                      <w:rStyle w:val="11"/>
                      <w:rFonts w:hint="eastAsia"/>
                    </w:rPr>
                    <w:t>茎叶喷雾</w:t>
                  </w:r>
                </w:p>
              </w:tc>
            </w:tr>
          </w:tbl>
          <w:p w14:paraId="6FB07E2F">
            <w:pPr>
              <w:rPr>
                <w:rFonts w:ascii="Times New Roman" w:hAnsi="Times New Roman" w:cs="Times New Roman"/>
                <w:sz w:val="20"/>
                <w:szCs w:val="20"/>
              </w:rPr>
            </w:pPr>
          </w:p>
        </w:tc>
      </w:tr>
      <w:tr w14:paraId="7B9D85B0">
        <w:tblPrEx>
          <w:tblCellMar>
            <w:top w:w="0" w:type="dxa"/>
            <w:left w:w="0" w:type="dxa"/>
            <w:bottom w:w="0" w:type="dxa"/>
            <w:right w:w="0" w:type="dxa"/>
          </w:tblCellMar>
        </w:tblPrEx>
        <w:trPr>
          <w:wBefore w:w="0" w:type="auto"/>
          <w:tblCellSpacing w:w="0" w:type="dxa"/>
        </w:trPr>
        <w:tc>
          <w:tcPr>
            <w:tcW w:w="0" w:type="auto"/>
            <w:noWrap w:val="0"/>
            <w:vAlign w:val="center"/>
          </w:tcPr>
          <w:p w14:paraId="309D6254">
            <w:r>
              <w:rPr>
                <w:rStyle w:val="10"/>
                <w:rFonts w:hint="eastAsia"/>
              </w:rPr>
              <w:t>使用技术要求:</w:t>
            </w:r>
            <w:r>
              <w:rPr>
                <w:rFonts w:hint="eastAsia"/>
              </w:rPr>
              <w:br w:type="textWrapping"/>
            </w:r>
            <w:r>
              <w:rPr>
                <w:rStyle w:val="11"/>
                <w:rFonts w:hint="eastAsia"/>
              </w:rPr>
              <w:t>1.在非耕地杂草旺盛生长期茎叶喷雾施药1次，每亩兑水50斤稀释均匀后喷雾，喷雾时一定要均匀。 2.本品为非选择性除草剂和激素类除草剂的复配制剂,施药时应防止药液飘移到农作物的茎叶上，以免产生药害。 3.稀释药剂需用清水,泥浆水会降低药效。 4.温暖晴天用药效果优于低温天气，施药后4小时内遇雨会降低药效,应酌情补喷。</w:t>
            </w:r>
          </w:p>
        </w:tc>
      </w:tr>
      <w:tr w14:paraId="39A14F71">
        <w:tblPrEx>
          <w:tblCellMar>
            <w:top w:w="0" w:type="dxa"/>
            <w:left w:w="0" w:type="dxa"/>
            <w:bottom w:w="0" w:type="dxa"/>
            <w:right w:w="0" w:type="dxa"/>
          </w:tblCellMar>
        </w:tblPrEx>
        <w:trPr>
          <w:wBefore w:w="0" w:type="auto"/>
          <w:tblCellSpacing w:w="0" w:type="dxa"/>
        </w:trPr>
        <w:tc>
          <w:tcPr>
            <w:tcW w:w="0" w:type="auto"/>
            <w:noWrap w:val="0"/>
            <w:vAlign w:val="center"/>
          </w:tcPr>
          <w:p w14:paraId="0690C096">
            <w:r>
              <w:rPr>
                <w:rStyle w:val="10"/>
                <w:rFonts w:hint="eastAsia"/>
              </w:rPr>
              <w:t>产品性能:</w:t>
            </w:r>
            <w:r>
              <w:rPr>
                <w:rFonts w:hint="eastAsia"/>
              </w:rPr>
              <w:br w:type="textWrapping"/>
            </w:r>
            <w:r>
              <w:rPr>
                <w:rStyle w:val="11"/>
                <w:rFonts w:hint="eastAsia"/>
              </w:rPr>
              <w:t>本品是由2甲4氯和草甘膦的复配制剂。其中2甲4氯为苯氧乙酸类选择性激素型除草剂，而草甘膦则是内吸传导型广谱灭生性除草剂。本品主要用于非耕地杂草的防治。</w:t>
            </w:r>
          </w:p>
        </w:tc>
      </w:tr>
      <w:tr w14:paraId="57A3BECA">
        <w:tblPrEx>
          <w:tblCellMar>
            <w:top w:w="0" w:type="dxa"/>
            <w:left w:w="0" w:type="dxa"/>
            <w:bottom w:w="0" w:type="dxa"/>
            <w:right w:w="0" w:type="dxa"/>
          </w:tblCellMar>
        </w:tblPrEx>
        <w:trPr>
          <w:wBefore w:w="0" w:type="auto"/>
          <w:tblCellSpacing w:w="0" w:type="dxa"/>
        </w:trPr>
        <w:tc>
          <w:tcPr>
            <w:tcW w:w="0" w:type="auto"/>
            <w:noWrap w:val="0"/>
            <w:vAlign w:val="center"/>
          </w:tcPr>
          <w:p w14:paraId="5CC8D574">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2.禁止在田间道路、田埂、果树行间、休耕地、林场地等农林区域使用。用药量应根据作物对药剂的敏感程度确定；豆科和百合科一些植物对草甘膦的抗性较强，上述杂草密度大时，可用推荐剂量上限。3. 药液在低温贮存时会有结晶析出，用时应充分摇动容器，使结晶溶解，以保证药效。4.远离水产养殖区、河塘等水体施药，禁止在河塘等水体中清洗施药器具。5.本药剂大面积灭草时，药后杂草成片干枯，应注意防治火灾发生。6.本品对家禽及牲畜有害，施药后5天内勿割草、放牧和翻地。7.孕妇及哺乳期的妇女避免接触本品。8.用过的容器应妥善处理，不可做他用，也不可随意丢弃。</w:t>
            </w:r>
          </w:p>
        </w:tc>
      </w:tr>
      <w:tr w14:paraId="4639DDE2">
        <w:tblPrEx>
          <w:tblCellMar>
            <w:top w:w="0" w:type="dxa"/>
            <w:left w:w="0" w:type="dxa"/>
            <w:bottom w:w="0" w:type="dxa"/>
            <w:right w:w="0" w:type="dxa"/>
          </w:tblCellMar>
        </w:tblPrEx>
        <w:trPr>
          <w:wBefore w:w="0" w:type="auto"/>
          <w:tblCellSpacing w:w="0" w:type="dxa"/>
        </w:trPr>
        <w:tc>
          <w:tcPr>
            <w:tcW w:w="0" w:type="auto"/>
            <w:noWrap w:val="0"/>
            <w:vAlign w:val="center"/>
          </w:tcPr>
          <w:p w14:paraId="2E3EA28F">
            <w:r>
              <w:rPr>
                <w:rStyle w:val="10"/>
                <w:rFonts w:hint="eastAsia"/>
              </w:rPr>
              <w:t>中毒急救措施：</w:t>
            </w:r>
            <w:r>
              <w:rPr>
                <w:rFonts w:hint="eastAsia"/>
              </w:rPr>
              <w:br w:type="textWrapping"/>
            </w:r>
            <w:r>
              <w:rPr>
                <w:rStyle w:val="11"/>
                <w:rFonts w:hint="eastAsia"/>
              </w:rPr>
              <w:t>本品对皮肤、眼睛和上呼吸道有刺激作用。如皮肤和眼睛接触本品时，用大量清水冲洗至少15分钟，仍有不适时，就医；如误服催吐,然后立即携标签送医院对症治疗；尚无特效解毒剂。</w:t>
            </w:r>
          </w:p>
        </w:tc>
      </w:tr>
      <w:tr w14:paraId="7E610A10">
        <w:tblPrEx>
          <w:tblCellMar>
            <w:top w:w="0" w:type="dxa"/>
            <w:left w:w="0" w:type="dxa"/>
            <w:bottom w:w="0" w:type="dxa"/>
            <w:right w:w="0" w:type="dxa"/>
          </w:tblCellMar>
        </w:tblPrEx>
        <w:trPr>
          <w:wBefore w:w="0" w:type="auto"/>
          <w:tblCellSpacing w:w="0" w:type="dxa"/>
        </w:trPr>
        <w:tc>
          <w:tcPr>
            <w:tcW w:w="0" w:type="auto"/>
            <w:noWrap w:val="0"/>
            <w:vAlign w:val="center"/>
          </w:tcPr>
          <w:p w14:paraId="750D0EFF">
            <w:r>
              <w:rPr>
                <w:rStyle w:val="10"/>
                <w:rFonts w:hint="eastAsia"/>
              </w:rPr>
              <w:t>储存和运输方法：</w:t>
            </w:r>
            <w:r>
              <w:rPr>
                <w:rFonts w:hint="eastAsia"/>
              </w:rPr>
              <w:br w:type="textWrapping"/>
            </w:r>
            <w:r>
              <w:rPr>
                <w:rStyle w:val="11"/>
                <w:rFonts w:hint="eastAsia"/>
              </w:rPr>
              <w:t>1.本品应贮存在干燥、阴凉、通风、防雨处，远离火源或热源。 2.置于儿童及无关人员触及不到之处，并加锁。 3、勿与食品、饮料、粮食、饲料等同贮同运。</w:t>
            </w:r>
          </w:p>
        </w:tc>
      </w:tr>
      <w:tr w14:paraId="788B5ECC">
        <w:tblPrEx>
          <w:tblCellMar>
            <w:top w:w="0" w:type="dxa"/>
            <w:left w:w="0" w:type="dxa"/>
            <w:bottom w:w="0" w:type="dxa"/>
            <w:right w:w="0" w:type="dxa"/>
          </w:tblCellMar>
        </w:tblPrEx>
        <w:trPr>
          <w:wBefore w:w="0" w:type="auto"/>
          <w:tblCellSpacing w:w="0" w:type="dxa"/>
        </w:trPr>
        <w:tc>
          <w:tcPr>
            <w:tcW w:w="0" w:type="auto"/>
            <w:noWrap w:val="0"/>
            <w:vAlign w:val="center"/>
          </w:tcPr>
          <w:p w14:paraId="061F9A06">
            <w:r>
              <w:rPr>
                <w:rStyle w:val="10"/>
                <w:rFonts w:hint="eastAsia"/>
              </w:rPr>
              <w:t>质量保证期：</w:t>
            </w:r>
            <w:r>
              <w:rPr>
                <w:rStyle w:val="11"/>
                <w:rFonts w:hint="eastAsia"/>
              </w:rPr>
              <w:t>2年</w:t>
            </w:r>
          </w:p>
        </w:tc>
      </w:tr>
      <w:tr w14:paraId="62B7964C">
        <w:tblPrEx>
          <w:tblCellMar>
            <w:top w:w="0" w:type="dxa"/>
            <w:left w:w="0" w:type="dxa"/>
            <w:bottom w:w="0" w:type="dxa"/>
            <w:right w:w="0" w:type="dxa"/>
          </w:tblCellMar>
        </w:tblPrEx>
        <w:trPr>
          <w:wBefore w:w="0" w:type="auto"/>
          <w:tblCellSpacing w:w="0" w:type="dxa"/>
        </w:trPr>
        <w:tc>
          <w:tcPr>
            <w:tcW w:w="0" w:type="auto"/>
            <w:noWrap w:val="0"/>
            <w:vAlign w:val="center"/>
          </w:tcPr>
          <w:p w14:paraId="3337BF67">
            <w:r>
              <w:rPr>
                <w:rStyle w:val="10"/>
                <w:rFonts w:hint="eastAsia"/>
              </w:rPr>
              <w:t>备注：</w:t>
            </w:r>
            <w:r>
              <w:rPr>
                <w:rFonts w:hint="eastAsia"/>
              </w:rPr>
              <w:br w:type="textWrapping"/>
            </w:r>
            <w:r>
              <w:rPr>
                <w:rStyle w:val="11"/>
                <w:rFonts w:hint="eastAsia"/>
              </w:rPr>
              <w:t>2甲4氯异丙胺盐7.3%，草甘膦异丙胺盐41%。</w:t>
            </w:r>
          </w:p>
        </w:tc>
      </w:tr>
    </w:tbl>
    <w:p w14:paraId="2E1ED72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20A2344">
        <w:tblPrEx>
          <w:tblCellMar>
            <w:top w:w="0" w:type="dxa"/>
            <w:left w:w="0" w:type="dxa"/>
            <w:bottom w:w="0" w:type="dxa"/>
            <w:right w:w="0" w:type="dxa"/>
          </w:tblCellMar>
        </w:tblPrEx>
        <w:trPr>
          <w:wBefore w:w="0" w:type="auto"/>
          <w:tblCellSpacing w:w="0" w:type="dxa"/>
        </w:trPr>
        <w:tc>
          <w:tcPr>
            <w:tcW w:w="0" w:type="auto"/>
            <w:noWrap w:val="0"/>
            <w:vAlign w:val="center"/>
          </w:tcPr>
          <w:p w14:paraId="203EE9C2">
            <w:r>
              <w:rPr>
                <w:rStyle w:val="10"/>
                <w:rFonts w:hint="eastAsia"/>
              </w:rPr>
              <w:t>登记证号：</w:t>
            </w:r>
            <w:r>
              <w:rPr>
                <w:rFonts w:hint="eastAsia"/>
              </w:rPr>
              <w:t>PD20212220</w:t>
            </w:r>
          </w:p>
        </w:tc>
      </w:tr>
      <w:tr w14:paraId="138746D6">
        <w:tblPrEx>
          <w:tblCellMar>
            <w:top w:w="0" w:type="dxa"/>
            <w:left w:w="0" w:type="dxa"/>
            <w:bottom w:w="0" w:type="dxa"/>
            <w:right w:w="0" w:type="dxa"/>
          </w:tblCellMar>
        </w:tblPrEx>
        <w:trPr>
          <w:wBefore w:w="0" w:type="auto"/>
          <w:tblCellSpacing w:w="0" w:type="dxa"/>
        </w:trPr>
        <w:tc>
          <w:tcPr>
            <w:tcW w:w="0" w:type="auto"/>
            <w:noWrap w:val="0"/>
            <w:vAlign w:val="center"/>
          </w:tcPr>
          <w:p w14:paraId="15D164D4">
            <w:r>
              <w:rPr>
                <w:rStyle w:val="10"/>
                <w:rFonts w:hint="eastAsia"/>
              </w:rPr>
              <w:t>登记证持有人：</w:t>
            </w:r>
            <w:r>
              <w:rPr>
                <w:rFonts w:hint="eastAsia"/>
              </w:rPr>
              <w:t>广西汇丰生物科技有限公司</w:t>
            </w:r>
          </w:p>
        </w:tc>
      </w:tr>
      <w:tr w14:paraId="51E7C66F">
        <w:tblPrEx>
          <w:tblCellMar>
            <w:top w:w="0" w:type="dxa"/>
            <w:left w:w="0" w:type="dxa"/>
            <w:bottom w:w="0" w:type="dxa"/>
            <w:right w:w="0" w:type="dxa"/>
          </w:tblCellMar>
        </w:tblPrEx>
        <w:trPr>
          <w:wBefore w:w="0" w:type="auto"/>
          <w:tblCellSpacing w:w="0" w:type="dxa"/>
        </w:trPr>
        <w:tc>
          <w:tcPr>
            <w:tcW w:w="0" w:type="auto"/>
            <w:noWrap w:val="0"/>
            <w:vAlign w:val="center"/>
          </w:tcPr>
          <w:p w14:paraId="314E1387">
            <w:r>
              <w:rPr>
                <w:rStyle w:val="10"/>
                <w:rFonts w:hint="eastAsia"/>
              </w:rPr>
              <w:t>农药名称：</w:t>
            </w:r>
            <w:r>
              <w:rPr>
                <w:rFonts w:hint="eastAsia"/>
              </w:rPr>
              <w:t>敌草快二氯盐</w:t>
            </w:r>
          </w:p>
        </w:tc>
      </w:tr>
      <w:tr w14:paraId="26EE3C2F">
        <w:tblPrEx>
          <w:tblCellMar>
            <w:top w:w="0" w:type="dxa"/>
            <w:left w:w="0" w:type="dxa"/>
            <w:bottom w:w="0" w:type="dxa"/>
            <w:right w:w="0" w:type="dxa"/>
          </w:tblCellMar>
        </w:tblPrEx>
        <w:trPr>
          <w:wBefore w:w="0" w:type="auto"/>
          <w:tblCellSpacing w:w="0" w:type="dxa"/>
        </w:trPr>
        <w:tc>
          <w:tcPr>
            <w:tcW w:w="0" w:type="auto"/>
            <w:noWrap w:val="0"/>
            <w:vAlign w:val="center"/>
          </w:tcPr>
          <w:p w14:paraId="0B308DD3">
            <w:r>
              <w:rPr>
                <w:rStyle w:val="10"/>
                <w:rFonts w:hint="eastAsia"/>
              </w:rPr>
              <w:t>剂型：</w:t>
            </w:r>
            <w:r>
              <w:rPr>
                <w:rFonts w:hint="eastAsia"/>
              </w:rPr>
              <w:t>可溶液剂</w:t>
            </w:r>
          </w:p>
        </w:tc>
      </w:tr>
      <w:tr w14:paraId="4242BE07">
        <w:tblPrEx>
          <w:tblCellMar>
            <w:top w:w="0" w:type="dxa"/>
            <w:left w:w="0" w:type="dxa"/>
            <w:bottom w:w="0" w:type="dxa"/>
            <w:right w:w="0" w:type="dxa"/>
          </w:tblCellMar>
        </w:tblPrEx>
        <w:trPr>
          <w:wBefore w:w="0" w:type="auto"/>
          <w:tblCellSpacing w:w="0" w:type="dxa"/>
        </w:trPr>
        <w:tc>
          <w:tcPr>
            <w:tcW w:w="0" w:type="auto"/>
            <w:noWrap w:val="0"/>
            <w:vAlign w:val="center"/>
          </w:tcPr>
          <w:p w14:paraId="0E5D279A">
            <w:r>
              <w:rPr>
                <w:rStyle w:val="10"/>
                <w:rFonts w:hint="eastAsia"/>
              </w:rPr>
              <w:t>毒性及其标识：</w:t>
            </w:r>
            <w:r>
              <w:rPr>
                <w:rFonts w:hint="eastAsia"/>
              </w:rPr>
              <w:t xml:space="preserve"> </w:t>
            </w:r>
            <w:r>
              <w:rPr>
                <w:lang/>
              </w:rPr>
              <w:drawing>
                <wp:inline distT="0" distB="0" distL="114300" distR="114300">
                  <wp:extent cx="476250" cy="323850"/>
                  <wp:effectExtent l="0" t="0" r="0" b="0"/>
                  <wp:docPr id="51" name="图片 5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2572864">
        <w:tblPrEx>
          <w:tblCellMar>
            <w:top w:w="0" w:type="dxa"/>
            <w:left w:w="0" w:type="dxa"/>
            <w:bottom w:w="0" w:type="dxa"/>
            <w:right w:w="0" w:type="dxa"/>
          </w:tblCellMar>
        </w:tblPrEx>
        <w:trPr>
          <w:wBefore w:w="0" w:type="auto"/>
          <w:tblCellSpacing w:w="0" w:type="dxa"/>
        </w:trPr>
        <w:tc>
          <w:tcPr>
            <w:tcW w:w="0" w:type="auto"/>
            <w:noWrap w:val="0"/>
            <w:vAlign w:val="center"/>
          </w:tcPr>
          <w:p w14:paraId="3388563A">
            <w:r>
              <w:rPr>
                <w:rStyle w:val="10"/>
                <w:rFonts w:hint="eastAsia"/>
              </w:rPr>
              <w:t>总有效成分含量：</w:t>
            </w:r>
            <w:r>
              <w:rPr>
                <w:rFonts w:hint="eastAsia"/>
              </w:rPr>
              <w:t>10%</w:t>
            </w:r>
          </w:p>
        </w:tc>
      </w:tr>
      <w:tr w14:paraId="09FF9539">
        <w:tblPrEx>
          <w:tblCellMar>
            <w:top w:w="0" w:type="dxa"/>
            <w:left w:w="0" w:type="dxa"/>
            <w:bottom w:w="0" w:type="dxa"/>
            <w:right w:w="0" w:type="dxa"/>
          </w:tblCellMar>
        </w:tblPrEx>
        <w:trPr>
          <w:wBefore w:w="0" w:type="auto"/>
          <w:tblCellSpacing w:w="0" w:type="dxa"/>
        </w:trPr>
        <w:tc>
          <w:tcPr>
            <w:tcW w:w="0" w:type="auto"/>
            <w:noWrap w:val="0"/>
            <w:vAlign w:val="center"/>
          </w:tcPr>
          <w:p w14:paraId="667FECD0">
            <w:r>
              <w:rPr>
                <w:rFonts w:hint="eastAsia"/>
              </w:rPr>
              <w:t xml:space="preserve">有效成分及其含量： </w:t>
            </w:r>
          </w:p>
          <w:p w14:paraId="172B891F">
            <w:r>
              <w:rPr>
                <w:rFonts w:hint="eastAsia"/>
              </w:rPr>
              <w:t xml:space="preserve">    敌草快二氯盐10%    </w:t>
            </w:r>
          </w:p>
        </w:tc>
      </w:tr>
      <w:tr w14:paraId="794A027F">
        <w:tblPrEx>
          <w:tblCellMar>
            <w:top w:w="0" w:type="dxa"/>
            <w:left w:w="0" w:type="dxa"/>
            <w:bottom w:w="0" w:type="dxa"/>
            <w:right w:w="0" w:type="dxa"/>
          </w:tblCellMar>
        </w:tblPrEx>
        <w:trPr>
          <w:wBefore w:w="0" w:type="auto"/>
          <w:tblCellSpacing w:w="0" w:type="dxa"/>
        </w:trPr>
        <w:tc>
          <w:tcPr>
            <w:tcW w:w="0" w:type="auto"/>
            <w:noWrap w:val="0"/>
            <w:vAlign w:val="center"/>
          </w:tcPr>
          <w:p w14:paraId="3A7DD40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34BB0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C87237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0A67A6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485E66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983FBC">
                  <w:r>
                    <w:rPr>
                      <w:rStyle w:val="11"/>
                      <w:rFonts w:hint="eastAsia"/>
                    </w:rPr>
                    <w:t>施用方式</w:t>
                  </w:r>
                </w:p>
              </w:tc>
            </w:tr>
            <w:tr w14:paraId="390862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92EB300">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D2F3B3">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6FB450">
                  <w:r>
                    <w:rPr>
                      <w:rStyle w:val="11"/>
                      <w:rFonts w:hint="eastAsia"/>
                    </w:rPr>
                    <w:t>600-700毫升/亩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FDA775">
                  <w:r>
                    <w:rPr>
                      <w:rStyle w:val="11"/>
                      <w:rFonts w:hint="eastAsia"/>
                    </w:rPr>
                    <w:t>茎叶喷雾</w:t>
                  </w:r>
                </w:p>
              </w:tc>
            </w:tr>
          </w:tbl>
          <w:p w14:paraId="5AE931C0">
            <w:pPr>
              <w:rPr>
                <w:rFonts w:ascii="Times New Roman" w:hAnsi="Times New Roman" w:cs="Times New Roman"/>
                <w:sz w:val="20"/>
                <w:szCs w:val="20"/>
              </w:rPr>
            </w:pPr>
          </w:p>
        </w:tc>
      </w:tr>
      <w:tr w14:paraId="60FDA6AC">
        <w:tblPrEx>
          <w:tblCellMar>
            <w:top w:w="0" w:type="dxa"/>
            <w:left w:w="0" w:type="dxa"/>
            <w:bottom w:w="0" w:type="dxa"/>
            <w:right w:w="0" w:type="dxa"/>
          </w:tblCellMar>
        </w:tblPrEx>
        <w:trPr>
          <w:wBefore w:w="0" w:type="auto"/>
          <w:tblCellSpacing w:w="0" w:type="dxa"/>
        </w:trPr>
        <w:tc>
          <w:tcPr>
            <w:tcW w:w="0" w:type="auto"/>
            <w:noWrap w:val="0"/>
            <w:vAlign w:val="center"/>
          </w:tcPr>
          <w:p w14:paraId="2CCF5331">
            <w:r>
              <w:rPr>
                <w:rStyle w:val="10"/>
                <w:rFonts w:hint="eastAsia"/>
              </w:rPr>
              <w:t>使用技术要求:</w:t>
            </w:r>
            <w:r>
              <w:rPr>
                <w:rFonts w:hint="eastAsia"/>
              </w:rPr>
              <w:br w:type="textWrapping"/>
            </w:r>
            <w:r>
              <w:rPr>
                <w:rStyle w:val="11"/>
                <w:rFonts w:hint="eastAsia"/>
              </w:rPr>
              <w:t>1、在杂草生长盛期施药，每亩兑水40-50公斤，对杂草茎叶均匀喷雾。2、大风天或预计1小时内有雨勿用药。3、每季最多使用一次。4.禁止在田间道路、田埂、果树行间、休耕地、林场地等农林区域使用。</w:t>
            </w:r>
          </w:p>
        </w:tc>
      </w:tr>
      <w:tr w14:paraId="02921ACA">
        <w:tblPrEx>
          <w:tblCellMar>
            <w:top w:w="0" w:type="dxa"/>
            <w:left w:w="0" w:type="dxa"/>
            <w:bottom w:w="0" w:type="dxa"/>
            <w:right w:w="0" w:type="dxa"/>
          </w:tblCellMar>
        </w:tblPrEx>
        <w:trPr>
          <w:wBefore w:w="0" w:type="auto"/>
          <w:tblCellSpacing w:w="0" w:type="dxa"/>
        </w:trPr>
        <w:tc>
          <w:tcPr>
            <w:tcW w:w="0" w:type="auto"/>
            <w:noWrap w:val="0"/>
            <w:vAlign w:val="center"/>
          </w:tcPr>
          <w:p w14:paraId="1D4B833F">
            <w:r>
              <w:rPr>
                <w:rStyle w:val="10"/>
                <w:rFonts w:hint="eastAsia"/>
              </w:rPr>
              <w:t>产品性能:</w:t>
            </w:r>
            <w:r>
              <w:rPr>
                <w:rFonts w:hint="eastAsia"/>
              </w:rPr>
              <w:br w:type="textWrapping"/>
            </w:r>
            <w:r>
              <w:rPr>
                <w:rStyle w:val="11"/>
                <w:rFonts w:hint="eastAsia"/>
              </w:rPr>
              <w:t>本品为吡啶阳离子非选择性触杀型除草剂，稍具传导性，可被植物绿色组织迅速吸收，与土壤接触后很快失去活性。</w:t>
            </w:r>
          </w:p>
        </w:tc>
      </w:tr>
      <w:tr w14:paraId="4A960B09">
        <w:tblPrEx>
          <w:tblCellMar>
            <w:top w:w="0" w:type="dxa"/>
            <w:left w:w="0" w:type="dxa"/>
            <w:bottom w:w="0" w:type="dxa"/>
            <w:right w:w="0" w:type="dxa"/>
          </w:tblCellMar>
        </w:tblPrEx>
        <w:trPr>
          <w:wBefore w:w="0" w:type="auto"/>
          <w:tblCellSpacing w:w="0" w:type="dxa"/>
        </w:trPr>
        <w:tc>
          <w:tcPr>
            <w:tcW w:w="0" w:type="auto"/>
            <w:noWrap w:val="0"/>
            <w:vAlign w:val="center"/>
          </w:tcPr>
          <w:p w14:paraId="3D6A3D51">
            <w:r>
              <w:rPr>
                <w:rStyle w:val="10"/>
                <w:rFonts w:hint="eastAsia"/>
              </w:rPr>
              <w:t>注意事项：</w:t>
            </w:r>
            <w:r>
              <w:rPr>
                <w:rFonts w:hint="eastAsia"/>
              </w:rPr>
              <w:br w:type="textWrapping"/>
            </w:r>
            <w:r>
              <w:rPr>
                <w:rStyle w:val="11"/>
                <w:rFonts w:hint="eastAsia"/>
              </w:rPr>
              <w:t>1、使用前请仔细阅读本标签，须按照标签说明使用。 2、本品对鸟类、家蚕有毒，鸟类保护区附近禁用，桑室及桑园附近禁用；在保证药效的前提下尽量减少施用剂量，以减少对农田内非靶标节肢动物危害。施药后的田水不得直接排入河塘等水域；远离水产养殖区施药，禁止在河塘等水域内清洗施药器械。 3、施药时遵守《农药安全使用规定》，穿防护服和戴手套和口罩等，不得吸烟、进食、饮水；施药后，立即用肥皂和水清洗，并用清水漱口。 4、用过的容器要妥善处理，不可作他用，也不可随意丢弃。 5、儿童，孕妇、哺乳期妇女禁止接触本品。 6、建议与其他作用机制不同的除草剂轮换使用。</w:t>
            </w:r>
          </w:p>
        </w:tc>
      </w:tr>
      <w:tr w14:paraId="427797BE">
        <w:tblPrEx>
          <w:tblCellMar>
            <w:top w:w="0" w:type="dxa"/>
            <w:left w:w="0" w:type="dxa"/>
            <w:bottom w:w="0" w:type="dxa"/>
            <w:right w:w="0" w:type="dxa"/>
          </w:tblCellMar>
        </w:tblPrEx>
        <w:trPr>
          <w:wBefore w:w="0" w:type="auto"/>
          <w:tblCellSpacing w:w="0" w:type="dxa"/>
        </w:trPr>
        <w:tc>
          <w:tcPr>
            <w:tcW w:w="0" w:type="auto"/>
            <w:noWrap w:val="0"/>
            <w:vAlign w:val="center"/>
          </w:tcPr>
          <w:p w14:paraId="12575629">
            <w:r>
              <w:rPr>
                <w:rStyle w:val="10"/>
                <w:rFonts w:hint="eastAsia"/>
              </w:rPr>
              <w:t>中毒急救措施：</w:t>
            </w:r>
            <w:r>
              <w:rPr>
                <w:rFonts w:hint="eastAsia"/>
              </w:rPr>
              <w:br w:type="textWrapping"/>
            </w:r>
            <w:r>
              <w:rPr>
                <w:rStyle w:val="11"/>
                <w:rFonts w:hint="eastAsia"/>
              </w:rPr>
              <w:t>中毒症状：恶心、呕吐、腹痛、腹泻以及口、咽喉部疼痛。无面部和皮肤防护使用时可引起手指甲变形基鼻出血，如经口吞服后果非常严重，有致死性。开始口、咽部立即有烧灼感，恶心、呕吐、胃疼、胸闷，呼吸时伴有泡沫。如皮肤和眼睛接触该药时，要用大量清水冲洗至少15分钟。不慎吸入，应立即将病人移至空气清新处。本品无特殊解毒剂。误服立即携此标签将病人送医院救治。中毒可催吐，活性炭调水让病人喝下，应同时服用合适的泻药，如甘露糖醇，必要时可吸氧并用血液灌流或血液透析治疗，但切忌用抗凝血剂等。当肾功能受损时，最好进行腹膜透析，并特别注意保护病人的水及电解质的平衡，并请医生对症治疗。</w:t>
            </w:r>
          </w:p>
        </w:tc>
      </w:tr>
      <w:tr w14:paraId="7EE88C1B">
        <w:tblPrEx>
          <w:tblCellMar>
            <w:top w:w="0" w:type="dxa"/>
            <w:left w:w="0" w:type="dxa"/>
            <w:bottom w:w="0" w:type="dxa"/>
            <w:right w:w="0" w:type="dxa"/>
          </w:tblCellMar>
        </w:tblPrEx>
        <w:trPr>
          <w:wBefore w:w="0" w:type="auto"/>
          <w:tblCellSpacing w:w="0" w:type="dxa"/>
        </w:trPr>
        <w:tc>
          <w:tcPr>
            <w:tcW w:w="0" w:type="auto"/>
            <w:noWrap w:val="0"/>
            <w:vAlign w:val="center"/>
          </w:tcPr>
          <w:p w14:paraId="615B5864">
            <w:r>
              <w:rPr>
                <w:rStyle w:val="10"/>
                <w:rFonts w:hint="eastAsia"/>
              </w:rPr>
              <w:t>储存和运输方法：</w:t>
            </w:r>
            <w:r>
              <w:rPr>
                <w:rFonts w:hint="eastAsia"/>
              </w:rPr>
              <w:br w:type="textWrapping"/>
            </w:r>
            <w:r>
              <w:rPr>
                <w:rStyle w:val="11"/>
                <w:rFonts w:hint="eastAsia"/>
              </w:rPr>
              <w:t>本品宜保存于通风、阴凉、干燥的库房中。贮运时，严防潮湿和日晒，远离火源和热源。不能与食品、饮料、粮食、饲料等物品同贮同运。避免与皮肤、眼睛接触，防止由口鼻吸入。贮存于儿童接触不到的地方，并加锁。贮运过程中严防泄漏。</w:t>
            </w:r>
          </w:p>
        </w:tc>
      </w:tr>
      <w:tr w14:paraId="4954DD5A">
        <w:tblPrEx>
          <w:tblCellMar>
            <w:top w:w="0" w:type="dxa"/>
            <w:left w:w="0" w:type="dxa"/>
            <w:bottom w:w="0" w:type="dxa"/>
            <w:right w:w="0" w:type="dxa"/>
          </w:tblCellMar>
        </w:tblPrEx>
        <w:trPr>
          <w:wBefore w:w="0" w:type="auto"/>
          <w:tblCellSpacing w:w="0" w:type="dxa"/>
        </w:trPr>
        <w:tc>
          <w:tcPr>
            <w:tcW w:w="0" w:type="auto"/>
            <w:noWrap w:val="0"/>
            <w:vAlign w:val="center"/>
          </w:tcPr>
          <w:p w14:paraId="0F272CAB">
            <w:r>
              <w:rPr>
                <w:rStyle w:val="10"/>
                <w:rFonts w:hint="eastAsia"/>
              </w:rPr>
              <w:t>质量保证期：</w:t>
            </w:r>
            <w:r>
              <w:rPr>
                <w:rStyle w:val="11"/>
                <w:rFonts w:hint="eastAsia"/>
              </w:rPr>
              <w:t>2年</w:t>
            </w:r>
          </w:p>
        </w:tc>
      </w:tr>
      <w:tr w14:paraId="2809F30C">
        <w:tblPrEx>
          <w:tblCellMar>
            <w:top w:w="0" w:type="dxa"/>
            <w:left w:w="0" w:type="dxa"/>
            <w:bottom w:w="0" w:type="dxa"/>
            <w:right w:w="0" w:type="dxa"/>
          </w:tblCellMar>
        </w:tblPrEx>
        <w:trPr>
          <w:wBefore w:w="0" w:type="auto"/>
          <w:tblCellSpacing w:w="0" w:type="dxa"/>
        </w:trPr>
        <w:tc>
          <w:tcPr>
            <w:tcW w:w="0" w:type="auto"/>
            <w:noWrap w:val="0"/>
            <w:vAlign w:val="center"/>
          </w:tcPr>
          <w:p w14:paraId="4DD4E84B">
            <w:r>
              <w:rPr>
                <w:rStyle w:val="10"/>
                <w:rFonts w:hint="eastAsia"/>
              </w:rPr>
              <w:t>备注：</w:t>
            </w:r>
          </w:p>
        </w:tc>
      </w:tr>
    </w:tbl>
    <w:p w14:paraId="294EED8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0874267">
        <w:tblPrEx>
          <w:tblCellMar>
            <w:top w:w="0" w:type="dxa"/>
            <w:left w:w="0" w:type="dxa"/>
            <w:bottom w:w="0" w:type="dxa"/>
            <w:right w:w="0" w:type="dxa"/>
          </w:tblCellMar>
        </w:tblPrEx>
        <w:trPr>
          <w:wBefore w:w="0" w:type="auto"/>
          <w:tblCellSpacing w:w="0" w:type="dxa"/>
        </w:trPr>
        <w:tc>
          <w:tcPr>
            <w:tcW w:w="0" w:type="auto"/>
            <w:noWrap w:val="0"/>
            <w:vAlign w:val="center"/>
          </w:tcPr>
          <w:p w14:paraId="0694B2D5">
            <w:r>
              <w:rPr>
                <w:rStyle w:val="10"/>
                <w:rFonts w:hint="eastAsia"/>
              </w:rPr>
              <w:t>登记证号：</w:t>
            </w:r>
            <w:r>
              <w:rPr>
                <w:rFonts w:hint="eastAsia"/>
              </w:rPr>
              <w:t>PD20211818</w:t>
            </w:r>
          </w:p>
        </w:tc>
      </w:tr>
      <w:tr w14:paraId="6EC61B38">
        <w:tblPrEx>
          <w:tblCellMar>
            <w:top w:w="0" w:type="dxa"/>
            <w:left w:w="0" w:type="dxa"/>
            <w:bottom w:w="0" w:type="dxa"/>
            <w:right w:w="0" w:type="dxa"/>
          </w:tblCellMar>
        </w:tblPrEx>
        <w:trPr>
          <w:wBefore w:w="0" w:type="auto"/>
          <w:tblCellSpacing w:w="0" w:type="dxa"/>
        </w:trPr>
        <w:tc>
          <w:tcPr>
            <w:tcW w:w="0" w:type="auto"/>
            <w:noWrap w:val="0"/>
            <w:vAlign w:val="center"/>
          </w:tcPr>
          <w:p w14:paraId="0EE5FDF7">
            <w:r>
              <w:rPr>
                <w:rStyle w:val="10"/>
                <w:rFonts w:hint="eastAsia"/>
              </w:rPr>
              <w:t>登记证持有人：</w:t>
            </w:r>
            <w:r>
              <w:rPr>
                <w:rFonts w:hint="eastAsia"/>
              </w:rPr>
              <w:t>浙江省杭州宇龙化工有限公司</w:t>
            </w:r>
          </w:p>
        </w:tc>
      </w:tr>
      <w:tr w14:paraId="6F213AC8">
        <w:tblPrEx>
          <w:tblCellMar>
            <w:top w:w="0" w:type="dxa"/>
            <w:left w:w="0" w:type="dxa"/>
            <w:bottom w:w="0" w:type="dxa"/>
            <w:right w:w="0" w:type="dxa"/>
          </w:tblCellMar>
        </w:tblPrEx>
        <w:trPr>
          <w:wBefore w:w="0" w:type="auto"/>
          <w:tblCellSpacing w:w="0" w:type="dxa"/>
        </w:trPr>
        <w:tc>
          <w:tcPr>
            <w:tcW w:w="0" w:type="auto"/>
            <w:noWrap w:val="0"/>
            <w:vAlign w:val="center"/>
          </w:tcPr>
          <w:p w14:paraId="1EB9C1ED">
            <w:r>
              <w:rPr>
                <w:rStyle w:val="10"/>
                <w:rFonts w:hint="eastAsia"/>
              </w:rPr>
              <w:t>农药名称：</w:t>
            </w:r>
            <w:r>
              <w:rPr>
                <w:rFonts w:hint="eastAsia"/>
              </w:rPr>
              <w:t>噻虫胺</w:t>
            </w:r>
          </w:p>
        </w:tc>
      </w:tr>
      <w:tr w14:paraId="7359DF07">
        <w:tblPrEx>
          <w:tblCellMar>
            <w:top w:w="0" w:type="dxa"/>
            <w:left w:w="0" w:type="dxa"/>
            <w:bottom w:w="0" w:type="dxa"/>
            <w:right w:w="0" w:type="dxa"/>
          </w:tblCellMar>
        </w:tblPrEx>
        <w:trPr>
          <w:wBefore w:w="0" w:type="auto"/>
          <w:tblCellSpacing w:w="0" w:type="dxa"/>
        </w:trPr>
        <w:tc>
          <w:tcPr>
            <w:tcW w:w="0" w:type="auto"/>
            <w:noWrap w:val="0"/>
            <w:vAlign w:val="center"/>
          </w:tcPr>
          <w:p w14:paraId="592B4E4C">
            <w:r>
              <w:rPr>
                <w:rStyle w:val="10"/>
                <w:rFonts w:hint="eastAsia"/>
              </w:rPr>
              <w:t>剂型：</w:t>
            </w:r>
            <w:r>
              <w:rPr>
                <w:rFonts w:hint="eastAsia"/>
              </w:rPr>
              <w:t>种子处理悬浮剂</w:t>
            </w:r>
          </w:p>
        </w:tc>
      </w:tr>
      <w:tr w14:paraId="20BB7AC9">
        <w:tblPrEx>
          <w:tblCellMar>
            <w:top w:w="0" w:type="dxa"/>
            <w:left w:w="0" w:type="dxa"/>
            <w:bottom w:w="0" w:type="dxa"/>
            <w:right w:w="0" w:type="dxa"/>
          </w:tblCellMar>
        </w:tblPrEx>
        <w:trPr>
          <w:wBefore w:w="0" w:type="auto"/>
          <w:tblCellSpacing w:w="0" w:type="dxa"/>
        </w:trPr>
        <w:tc>
          <w:tcPr>
            <w:tcW w:w="0" w:type="auto"/>
            <w:noWrap w:val="0"/>
            <w:vAlign w:val="center"/>
          </w:tcPr>
          <w:p w14:paraId="7AD4A6F9">
            <w:r>
              <w:rPr>
                <w:rStyle w:val="10"/>
                <w:rFonts w:hint="eastAsia"/>
              </w:rPr>
              <w:t>毒性及其标识：</w:t>
            </w:r>
            <w:r>
              <w:rPr>
                <w:rFonts w:hint="eastAsia"/>
              </w:rPr>
              <w:t xml:space="preserve"> </w:t>
            </w:r>
            <w:r>
              <w:rPr>
                <w:lang/>
              </w:rPr>
              <w:drawing>
                <wp:inline distT="0" distB="0" distL="114300" distR="114300">
                  <wp:extent cx="476250" cy="323850"/>
                  <wp:effectExtent l="0" t="0" r="0" b="0"/>
                  <wp:docPr id="52" name="图片 5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37992FA">
        <w:tblPrEx>
          <w:tblCellMar>
            <w:top w:w="0" w:type="dxa"/>
            <w:left w:w="0" w:type="dxa"/>
            <w:bottom w:w="0" w:type="dxa"/>
            <w:right w:w="0" w:type="dxa"/>
          </w:tblCellMar>
        </w:tblPrEx>
        <w:trPr>
          <w:wBefore w:w="0" w:type="auto"/>
          <w:tblCellSpacing w:w="0" w:type="dxa"/>
        </w:trPr>
        <w:tc>
          <w:tcPr>
            <w:tcW w:w="0" w:type="auto"/>
            <w:noWrap w:val="0"/>
            <w:vAlign w:val="center"/>
          </w:tcPr>
          <w:p w14:paraId="10AE4E75">
            <w:r>
              <w:rPr>
                <w:rStyle w:val="10"/>
                <w:rFonts w:hint="eastAsia"/>
              </w:rPr>
              <w:t>总有效成分含量：</w:t>
            </w:r>
            <w:r>
              <w:rPr>
                <w:rFonts w:hint="eastAsia"/>
              </w:rPr>
              <w:t>48%</w:t>
            </w:r>
          </w:p>
        </w:tc>
      </w:tr>
      <w:tr w14:paraId="7791132B">
        <w:tblPrEx>
          <w:tblCellMar>
            <w:top w:w="0" w:type="dxa"/>
            <w:left w:w="0" w:type="dxa"/>
            <w:bottom w:w="0" w:type="dxa"/>
            <w:right w:w="0" w:type="dxa"/>
          </w:tblCellMar>
        </w:tblPrEx>
        <w:trPr>
          <w:wBefore w:w="0" w:type="auto"/>
          <w:tblCellSpacing w:w="0" w:type="dxa"/>
        </w:trPr>
        <w:tc>
          <w:tcPr>
            <w:tcW w:w="0" w:type="auto"/>
            <w:noWrap w:val="0"/>
            <w:vAlign w:val="center"/>
          </w:tcPr>
          <w:p w14:paraId="3D248F48">
            <w:r>
              <w:rPr>
                <w:rFonts w:hint="eastAsia"/>
              </w:rPr>
              <w:t xml:space="preserve">有效成分及其含量： </w:t>
            </w:r>
          </w:p>
          <w:p w14:paraId="29936C58">
            <w:r>
              <w:rPr>
                <w:rFonts w:hint="eastAsia"/>
              </w:rPr>
              <w:t xml:space="preserve">    噻虫胺48%    </w:t>
            </w:r>
          </w:p>
        </w:tc>
      </w:tr>
      <w:tr w14:paraId="4C19A316">
        <w:tblPrEx>
          <w:tblCellMar>
            <w:top w:w="0" w:type="dxa"/>
            <w:left w:w="0" w:type="dxa"/>
            <w:bottom w:w="0" w:type="dxa"/>
            <w:right w:w="0" w:type="dxa"/>
          </w:tblCellMar>
        </w:tblPrEx>
        <w:trPr>
          <w:wBefore w:w="0" w:type="auto"/>
          <w:tblCellSpacing w:w="0" w:type="dxa"/>
        </w:trPr>
        <w:tc>
          <w:tcPr>
            <w:tcW w:w="0" w:type="auto"/>
            <w:noWrap w:val="0"/>
            <w:vAlign w:val="center"/>
          </w:tcPr>
          <w:p w14:paraId="32B7852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69D8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A3DD7B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1A4CCB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3FB91E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81EEE0">
                  <w:r>
                    <w:rPr>
                      <w:rStyle w:val="11"/>
                      <w:rFonts w:hint="eastAsia"/>
                    </w:rPr>
                    <w:t>施用方式</w:t>
                  </w:r>
                </w:p>
              </w:tc>
            </w:tr>
            <w:tr w14:paraId="14DC31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DEF8BAC">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260B22">
                  <w:r>
                    <w:rPr>
                      <w:rStyle w:val="11"/>
                      <w:rFonts w:hint="eastAsia"/>
                    </w:rPr>
                    <w:t>灰飞虱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CBAFD2">
                  <w:r>
                    <w:rPr>
                      <w:rStyle w:val="11"/>
                      <w:rFonts w:hint="eastAsia"/>
                    </w:rPr>
                    <w:t>210-475毫升/100千克种子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B38CA3">
                  <w:r>
                    <w:rPr>
                      <w:rStyle w:val="11"/>
                      <w:rFonts w:hint="eastAsia"/>
                    </w:rPr>
                    <w:t>种子包衣</w:t>
                  </w:r>
                </w:p>
              </w:tc>
            </w:tr>
          </w:tbl>
          <w:p w14:paraId="4C166F97">
            <w:pPr>
              <w:rPr>
                <w:rFonts w:ascii="Times New Roman" w:hAnsi="Times New Roman" w:cs="Times New Roman"/>
                <w:sz w:val="20"/>
                <w:szCs w:val="20"/>
              </w:rPr>
            </w:pPr>
          </w:p>
        </w:tc>
      </w:tr>
      <w:tr w14:paraId="4CC58D0F">
        <w:tblPrEx>
          <w:tblCellMar>
            <w:top w:w="0" w:type="dxa"/>
            <w:left w:w="0" w:type="dxa"/>
            <w:bottom w:w="0" w:type="dxa"/>
            <w:right w:w="0" w:type="dxa"/>
          </w:tblCellMar>
        </w:tblPrEx>
        <w:trPr>
          <w:wBefore w:w="0" w:type="auto"/>
          <w:tblCellSpacing w:w="0" w:type="dxa"/>
        </w:trPr>
        <w:tc>
          <w:tcPr>
            <w:tcW w:w="0" w:type="auto"/>
            <w:noWrap w:val="0"/>
            <w:vAlign w:val="center"/>
          </w:tcPr>
          <w:p w14:paraId="3EA87B1A">
            <w:r>
              <w:rPr>
                <w:rStyle w:val="10"/>
                <w:rFonts w:hint="eastAsia"/>
              </w:rPr>
              <w:t>使用技术要求:</w:t>
            </w:r>
            <w:r>
              <w:rPr>
                <w:rFonts w:hint="eastAsia"/>
              </w:rPr>
              <w:br w:type="textWrapping"/>
            </w:r>
            <w:r>
              <w:rPr>
                <w:rStyle w:val="11"/>
                <w:rFonts w:hint="eastAsia"/>
              </w:rPr>
              <w:t>1. 本品适用于玉米播种前拌种，按推荐用药量，按每100千克种子加水约1.5-2升稀释后，与种子充分搅拌，直到药液均匀分布到种子表面，晾干后即可，不可作叶面喷雾。2. 用于处理的种子应达到国家良种标准。3. 配制好的药液应在24小时内使用。4. 本品在作物新品种上大面积应用时，必须先进行小范围的安全性试验。</w:t>
            </w:r>
          </w:p>
        </w:tc>
      </w:tr>
      <w:tr w14:paraId="773FD98D">
        <w:tblPrEx>
          <w:tblCellMar>
            <w:top w:w="0" w:type="dxa"/>
            <w:left w:w="0" w:type="dxa"/>
            <w:bottom w:w="0" w:type="dxa"/>
            <w:right w:w="0" w:type="dxa"/>
          </w:tblCellMar>
        </w:tblPrEx>
        <w:trPr>
          <w:wBefore w:w="0" w:type="auto"/>
          <w:tblCellSpacing w:w="0" w:type="dxa"/>
        </w:trPr>
        <w:tc>
          <w:tcPr>
            <w:tcW w:w="0" w:type="auto"/>
            <w:noWrap w:val="0"/>
            <w:vAlign w:val="center"/>
          </w:tcPr>
          <w:p w14:paraId="565D8ACC">
            <w:r>
              <w:rPr>
                <w:rStyle w:val="10"/>
                <w:rFonts w:hint="eastAsia"/>
              </w:rPr>
              <w:t>产品性能:</w:t>
            </w:r>
            <w:r>
              <w:rPr>
                <w:rFonts w:hint="eastAsia"/>
              </w:rPr>
              <w:br w:type="textWrapping"/>
            </w:r>
            <w:r>
              <w:rPr>
                <w:rStyle w:val="11"/>
                <w:rFonts w:hint="eastAsia"/>
              </w:rPr>
              <w:t>本品为新烟碱类杀虫剂，具有内吸传导性，兼具胃毒和触杀作用，可防治玉米灰飞虱。</w:t>
            </w:r>
          </w:p>
        </w:tc>
      </w:tr>
      <w:tr w14:paraId="2D578816">
        <w:tblPrEx>
          <w:tblCellMar>
            <w:top w:w="0" w:type="dxa"/>
            <w:left w:w="0" w:type="dxa"/>
            <w:bottom w:w="0" w:type="dxa"/>
            <w:right w:w="0" w:type="dxa"/>
          </w:tblCellMar>
        </w:tblPrEx>
        <w:trPr>
          <w:wBefore w:w="0" w:type="auto"/>
          <w:tblCellSpacing w:w="0" w:type="dxa"/>
        </w:trPr>
        <w:tc>
          <w:tcPr>
            <w:tcW w:w="0" w:type="auto"/>
            <w:noWrap w:val="0"/>
            <w:vAlign w:val="center"/>
          </w:tcPr>
          <w:p w14:paraId="5E181700">
            <w:r>
              <w:rPr>
                <w:rStyle w:val="10"/>
                <w:rFonts w:hint="eastAsia"/>
              </w:rPr>
              <w:t>注意事项：</w:t>
            </w:r>
            <w:r>
              <w:rPr>
                <w:rFonts w:hint="eastAsia"/>
              </w:rPr>
              <w:br w:type="textWrapping"/>
            </w:r>
            <w:r>
              <w:rPr>
                <w:rStyle w:val="11"/>
                <w:rFonts w:hint="eastAsia"/>
              </w:rPr>
              <w:t>1. 请按照农药安全使用准则使用本品。在种子处理过程中，避免药液接触皮肤、眼睛和污染衣物。切勿在施药现场抽烟或饮食。2. 配药和种子处理应在通风处进行。配药时，操作人员应戴防渗手套和面罩，穿长袖衣、长裤和靴子；种子处理时，应戴防渗手套，穿长袖衣、长裤和靴子。 3. 种子处理结束后，彻底清洗防护用具，洗澡，并更换和清洗工作服。4. 处理过的种子必须放置在有明显标签的容器内。不得饲喂禽畜，更不得用来加工饲料或食品。（周围）开花植物花期禁用，使用时应密切关注对附近蜂群的影响。5. 使用过的空包装，用清水冲洗三次后妥善处理，切勿重复使用或改作其它用途。6. 禁止在河塘等水体中清洗施药器具勿将本品及其废液弃于池塘、河溪、湖泊等，以免污染水源。 7. 未用完的制剂应放在原包装内密封保存，切勿将本品置于饮、食容器内。8. 孕妇、哺乳期妇女、禁止接触本品。 9. 避免染毒玉米暴露在室外及其染毒种子裸露在土壤表面。鸟类保护区附近禁用，播种后立即覆土。</w:t>
            </w:r>
          </w:p>
        </w:tc>
      </w:tr>
      <w:tr w14:paraId="71A36329">
        <w:tblPrEx>
          <w:tblCellMar>
            <w:top w:w="0" w:type="dxa"/>
            <w:left w:w="0" w:type="dxa"/>
            <w:bottom w:w="0" w:type="dxa"/>
            <w:right w:w="0" w:type="dxa"/>
          </w:tblCellMar>
        </w:tblPrEx>
        <w:trPr>
          <w:wBefore w:w="0" w:type="auto"/>
          <w:tblCellSpacing w:w="0" w:type="dxa"/>
        </w:trPr>
        <w:tc>
          <w:tcPr>
            <w:tcW w:w="0" w:type="auto"/>
            <w:noWrap w:val="0"/>
            <w:vAlign w:val="center"/>
          </w:tcPr>
          <w:p w14:paraId="1AD2E467">
            <w:r>
              <w:rPr>
                <w:rStyle w:val="10"/>
                <w:rFonts w:hint="eastAsia"/>
              </w:rPr>
              <w:t>中毒急救措施：</w:t>
            </w:r>
            <w:r>
              <w:rPr>
                <w:rFonts w:hint="eastAsia"/>
              </w:rPr>
              <w:br w:type="textWrapping"/>
            </w:r>
            <w:r>
              <w:rPr>
                <w:rStyle w:val="11"/>
                <w:rFonts w:hint="eastAsia"/>
              </w:rPr>
              <w:t>1. 用药时如果感觉不适，立即停止工作，采取急救措施，并携此标签送医就诊。2. 不慎吸入，应将病人移至空气清新处；3. 皮肤接触：应立即脱掉污染的衣物，尽快用肥皂水及清水冲洗15分钟以上，严重者，请就医；4. 溅入眼睛，应立即翻开上下眼睑，用流动的自来水冲洗15分钟以上，如又不适感觉，请就医；5. 误服，应立即携带标签，就医。紧急医疗措施：使用医用活性炭洗胃，洗胃时注意防止胃容物进入呼吸道。注意：对昏迷病人，切勿经口喂入任何东西或引吐。6. 无特效解毒剂，对症治疗。</w:t>
            </w:r>
          </w:p>
        </w:tc>
      </w:tr>
      <w:tr w14:paraId="4A2D7A8E">
        <w:tblPrEx>
          <w:tblCellMar>
            <w:top w:w="0" w:type="dxa"/>
            <w:left w:w="0" w:type="dxa"/>
            <w:bottom w:w="0" w:type="dxa"/>
            <w:right w:w="0" w:type="dxa"/>
          </w:tblCellMar>
        </w:tblPrEx>
        <w:trPr>
          <w:wBefore w:w="0" w:type="auto"/>
          <w:tblCellSpacing w:w="0" w:type="dxa"/>
        </w:trPr>
        <w:tc>
          <w:tcPr>
            <w:tcW w:w="0" w:type="auto"/>
            <w:noWrap w:val="0"/>
            <w:vAlign w:val="center"/>
          </w:tcPr>
          <w:p w14:paraId="0A8C4DDD">
            <w:r>
              <w:rPr>
                <w:rStyle w:val="10"/>
                <w:rFonts w:hint="eastAsia"/>
              </w:rPr>
              <w:t>储存和运输方法：</w:t>
            </w:r>
            <w:r>
              <w:rPr>
                <w:rFonts w:hint="eastAsia"/>
              </w:rPr>
              <w:br w:type="textWrapping"/>
            </w:r>
            <w:r>
              <w:rPr>
                <w:rStyle w:val="11"/>
                <w:rFonts w:hint="eastAsia"/>
              </w:rPr>
              <w:t>本品应贮存在干燥、阴凉、通风处，远离火源或热源。置于儿童、无关人员触及不到之处，并加锁。勿与食品、饮料、饲料、粮食等混合储运。</w:t>
            </w:r>
          </w:p>
        </w:tc>
      </w:tr>
      <w:tr w14:paraId="6DAB39CB">
        <w:tblPrEx>
          <w:tblCellMar>
            <w:top w:w="0" w:type="dxa"/>
            <w:left w:w="0" w:type="dxa"/>
            <w:bottom w:w="0" w:type="dxa"/>
            <w:right w:w="0" w:type="dxa"/>
          </w:tblCellMar>
        </w:tblPrEx>
        <w:trPr>
          <w:wBefore w:w="0" w:type="auto"/>
          <w:tblCellSpacing w:w="0" w:type="dxa"/>
        </w:trPr>
        <w:tc>
          <w:tcPr>
            <w:tcW w:w="0" w:type="auto"/>
            <w:noWrap w:val="0"/>
            <w:vAlign w:val="center"/>
          </w:tcPr>
          <w:p w14:paraId="0869EC9B">
            <w:r>
              <w:rPr>
                <w:rStyle w:val="10"/>
                <w:rFonts w:hint="eastAsia"/>
              </w:rPr>
              <w:t>质量保证期：</w:t>
            </w:r>
            <w:r>
              <w:rPr>
                <w:rStyle w:val="11"/>
                <w:rFonts w:hint="eastAsia"/>
              </w:rPr>
              <w:t>2年</w:t>
            </w:r>
          </w:p>
        </w:tc>
      </w:tr>
      <w:tr w14:paraId="4CA39C46">
        <w:tblPrEx>
          <w:tblCellMar>
            <w:top w:w="0" w:type="dxa"/>
            <w:left w:w="0" w:type="dxa"/>
            <w:bottom w:w="0" w:type="dxa"/>
            <w:right w:w="0" w:type="dxa"/>
          </w:tblCellMar>
        </w:tblPrEx>
        <w:trPr>
          <w:wBefore w:w="0" w:type="auto"/>
          <w:tblCellSpacing w:w="0" w:type="dxa"/>
        </w:trPr>
        <w:tc>
          <w:tcPr>
            <w:tcW w:w="0" w:type="auto"/>
            <w:noWrap w:val="0"/>
            <w:vAlign w:val="center"/>
          </w:tcPr>
          <w:p w14:paraId="5F73E217">
            <w:r>
              <w:rPr>
                <w:rStyle w:val="10"/>
                <w:rFonts w:hint="eastAsia"/>
              </w:rPr>
              <w:t>备注：</w:t>
            </w:r>
          </w:p>
        </w:tc>
      </w:tr>
    </w:tbl>
    <w:p w14:paraId="03CD910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D66AEAC">
        <w:tblPrEx>
          <w:tblCellMar>
            <w:top w:w="0" w:type="dxa"/>
            <w:left w:w="0" w:type="dxa"/>
            <w:bottom w:w="0" w:type="dxa"/>
            <w:right w:w="0" w:type="dxa"/>
          </w:tblCellMar>
        </w:tblPrEx>
        <w:trPr>
          <w:wBefore w:w="0" w:type="auto"/>
          <w:tblCellSpacing w:w="0" w:type="dxa"/>
        </w:trPr>
        <w:tc>
          <w:tcPr>
            <w:tcW w:w="0" w:type="auto"/>
            <w:noWrap w:val="0"/>
            <w:vAlign w:val="center"/>
          </w:tcPr>
          <w:p w14:paraId="7B854E65">
            <w:r>
              <w:rPr>
                <w:rStyle w:val="10"/>
                <w:rFonts w:hint="eastAsia"/>
              </w:rPr>
              <w:t>登记证号：</w:t>
            </w:r>
            <w:r>
              <w:rPr>
                <w:rFonts w:hint="eastAsia"/>
              </w:rPr>
              <w:t>PD20212190</w:t>
            </w:r>
          </w:p>
        </w:tc>
      </w:tr>
      <w:tr w14:paraId="2E3B9E2C">
        <w:tblPrEx>
          <w:tblCellMar>
            <w:top w:w="0" w:type="dxa"/>
            <w:left w:w="0" w:type="dxa"/>
            <w:bottom w:w="0" w:type="dxa"/>
            <w:right w:w="0" w:type="dxa"/>
          </w:tblCellMar>
        </w:tblPrEx>
        <w:trPr>
          <w:wBefore w:w="0" w:type="auto"/>
          <w:tblCellSpacing w:w="0" w:type="dxa"/>
        </w:trPr>
        <w:tc>
          <w:tcPr>
            <w:tcW w:w="0" w:type="auto"/>
            <w:noWrap w:val="0"/>
            <w:vAlign w:val="center"/>
          </w:tcPr>
          <w:p w14:paraId="7AB0904F">
            <w:r>
              <w:rPr>
                <w:rStyle w:val="10"/>
                <w:rFonts w:hint="eastAsia"/>
              </w:rPr>
              <w:t>登记证持有人：</w:t>
            </w:r>
            <w:r>
              <w:rPr>
                <w:rFonts w:hint="eastAsia"/>
              </w:rPr>
              <w:t>菏泽茂泰瑞农生物科技有限公司</w:t>
            </w:r>
          </w:p>
        </w:tc>
      </w:tr>
      <w:tr w14:paraId="0455330E">
        <w:tblPrEx>
          <w:tblCellMar>
            <w:top w:w="0" w:type="dxa"/>
            <w:left w:w="0" w:type="dxa"/>
            <w:bottom w:w="0" w:type="dxa"/>
            <w:right w:w="0" w:type="dxa"/>
          </w:tblCellMar>
        </w:tblPrEx>
        <w:trPr>
          <w:wBefore w:w="0" w:type="auto"/>
          <w:tblCellSpacing w:w="0" w:type="dxa"/>
        </w:trPr>
        <w:tc>
          <w:tcPr>
            <w:tcW w:w="0" w:type="auto"/>
            <w:noWrap w:val="0"/>
            <w:vAlign w:val="center"/>
          </w:tcPr>
          <w:p w14:paraId="5990E90D">
            <w:r>
              <w:rPr>
                <w:rStyle w:val="10"/>
                <w:rFonts w:hint="eastAsia"/>
              </w:rPr>
              <w:t>农药名称：</w:t>
            </w:r>
            <w:r>
              <w:rPr>
                <w:rFonts w:hint="eastAsia"/>
              </w:rPr>
              <w:t>滴酸·草甘膦</w:t>
            </w:r>
          </w:p>
        </w:tc>
      </w:tr>
      <w:tr w14:paraId="71DA94C1">
        <w:tblPrEx>
          <w:tblCellMar>
            <w:top w:w="0" w:type="dxa"/>
            <w:left w:w="0" w:type="dxa"/>
            <w:bottom w:w="0" w:type="dxa"/>
            <w:right w:w="0" w:type="dxa"/>
          </w:tblCellMar>
        </w:tblPrEx>
        <w:trPr>
          <w:wBefore w:w="0" w:type="auto"/>
          <w:tblCellSpacing w:w="0" w:type="dxa"/>
        </w:trPr>
        <w:tc>
          <w:tcPr>
            <w:tcW w:w="0" w:type="auto"/>
            <w:noWrap w:val="0"/>
            <w:vAlign w:val="center"/>
          </w:tcPr>
          <w:p w14:paraId="3F29CF19">
            <w:r>
              <w:rPr>
                <w:rStyle w:val="10"/>
                <w:rFonts w:hint="eastAsia"/>
              </w:rPr>
              <w:t>剂型：</w:t>
            </w:r>
            <w:r>
              <w:rPr>
                <w:rFonts w:hint="eastAsia"/>
              </w:rPr>
              <w:t>可溶液剂</w:t>
            </w:r>
          </w:p>
        </w:tc>
      </w:tr>
      <w:tr w14:paraId="0A9B73ED">
        <w:tblPrEx>
          <w:tblCellMar>
            <w:top w:w="0" w:type="dxa"/>
            <w:left w:w="0" w:type="dxa"/>
            <w:bottom w:w="0" w:type="dxa"/>
            <w:right w:w="0" w:type="dxa"/>
          </w:tblCellMar>
        </w:tblPrEx>
        <w:trPr>
          <w:wBefore w:w="0" w:type="auto"/>
          <w:tblCellSpacing w:w="0" w:type="dxa"/>
        </w:trPr>
        <w:tc>
          <w:tcPr>
            <w:tcW w:w="0" w:type="auto"/>
            <w:noWrap w:val="0"/>
            <w:vAlign w:val="center"/>
          </w:tcPr>
          <w:p w14:paraId="0A76C4DB">
            <w:r>
              <w:rPr>
                <w:rStyle w:val="10"/>
                <w:rFonts w:hint="eastAsia"/>
              </w:rPr>
              <w:t>毒性及其标识：</w:t>
            </w:r>
            <w:r>
              <w:rPr>
                <w:rFonts w:hint="eastAsia"/>
              </w:rPr>
              <w:t xml:space="preserve"> </w:t>
            </w:r>
            <w:r>
              <w:rPr>
                <w:lang/>
              </w:rPr>
              <w:drawing>
                <wp:inline distT="0" distB="0" distL="114300" distR="114300">
                  <wp:extent cx="476250" cy="323850"/>
                  <wp:effectExtent l="0" t="0" r="0" b="0"/>
                  <wp:docPr id="53" name="图片 5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56E8258">
        <w:tblPrEx>
          <w:tblCellMar>
            <w:top w:w="0" w:type="dxa"/>
            <w:left w:w="0" w:type="dxa"/>
            <w:bottom w:w="0" w:type="dxa"/>
            <w:right w:w="0" w:type="dxa"/>
          </w:tblCellMar>
        </w:tblPrEx>
        <w:trPr>
          <w:wBefore w:w="0" w:type="auto"/>
          <w:tblCellSpacing w:w="0" w:type="dxa"/>
        </w:trPr>
        <w:tc>
          <w:tcPr>
            <w:tcW w:w="0" w:type="auto"/>
            <w:noWrap w:val="0"/>
            <w:vAlign w:val="center"/>
          </w:tcPr>
          <w:p w14:paraId="30EFFE4F">
            <w:r>
              <w:rPr>
                <w:rStyle w:val="10"/>
                <w:rFonts w:hint="eastAsia"/>
              </w:rPr>
              <w:t>总有效成分含量：</w:t>
            </w:r>
            <w:r>
              <w:rPr>
                <w:rFonts w:hint="eastAsia"/>
              </w:rPr>
              <w:t>32%</w:t>
            </w:r>
          </w:p>
        </w:tc>
      </w:tr>
      <w:tr w14:paraId="704CF771">
        <w:tblPrEx>
          <w:tblCellMar>
            <w:top w:w="0" w:type="dxa"/>
            <w:left w:w="0" w:type="dxa"/>
            <w:bottom w:w="0" w:type="dxa"/>
            <w:right w:w="0" w:type="dxa"/>
          </w:tblCellMar>
        </w:tblPrEx>
        <w:trPr>
          <w:wBefore w:w="0" w:type="auto"/>
          <w:tblCellSpacing w:w="0" w:type="dxa"/>
        </w:trPr>
        <w:tc>
          <w:tcPr>
            <w:tcW w:w="0" w:type="auto"/>
            <w:noWrap w:val="0"/>
            <w:vAlign w:val="center"/>
          </w:tcPr>
          <w:p w14:paraId="08B48D84">
            <w:r>
              <w:rPr>
                <w:rFonts w:hint="eastAsia"/>
              </w:rPr>
              <w:t xml:space="preserve">有效成分及其含量： </w:t>
            </w:r>
          </w:p>
          <w:p w14:paraId="4BA95205">
            <w:r>
              <w:rPr>
                <w:rFonts w:hint="eastAsia"/>
              </w:rPr>
              <w:t xml:space="preserve">    草甘膦30%    2,4-滴2%    </w:t>
            </w:r>
          </w:p>
        </w:tc>
      </w:tr>
      <w:tr w14:paraId="5716023C">
        <w:tblPrEx>
          <w:tblCellMar>
            <w:top w:w="0" w:type="dxa"/>
            <w:left w:w="0" w:type="dxa"/>
            <w:bottom w:w="0" w:type="dxa"/>
            <w:right w:w="0" w:type="dxa"/>
          </w:tblCellMar>
        </w:tblPrEx>
        <w:trPr>
          <w:wBefore w:w="0" w:type="auto"/>
          <w:tblCellSpacing w:w="0" w:type="dxa"/>
        </w:trPr>
        <w:tc>
          <w:tcPr>
            <w:tcW w:w="0" w:type="auto"/>
            <w:noWrap w:val="0"/>
            <w:vAlign w:val="center"/>
          </w:tcPr>
          <w:p w14:paraId="185CA24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6A458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4A206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42A3C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2E7BAE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CD80A49">
                  <w:r>
                    <w:rPr>
                      <w:rStyle w:val="11"/>
                      <w:rFonts w:hint="eastAsia"/>
                    </w:rPr>
                    <w:t>施用方式</w:t>
                  </w:r>
                </w:p>
              </w:tc>
            </w:tr>
            <w:tr w14:paraId="5E8694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43DC8F">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AB870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166794">
                  <w:r>
                    <w:rPr>
                      <w:rStyle w:val="11"/>
                      <w:rFonts w:hint="eastAsia"/>
                    </w:rPr>
                    <w:t>250-400毫升/亩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48C933">
                  <w:r>
                    <w:rPr>
                      <w:rStyle w:val="11"/>
                      <w:rFonts w:hint="eastAsia"/>
                    </w:rPr>
                    <w:t>茎叶喷雾</w:t>
                  </w:r>
                </w:p>
              </w:tc>
            </w:tr>
          </w:tbl>
          <w:p w14:paraId="68EBBCF6">
            <w:pPr>
              <w:rPr>
                <w:rFonts w:ascii="Times New Roman" w:hAnsi="Times New Roman" w:cs="Times New Roman"/>
                <w:sz w:val="20"/>
                <w:szCs w:val="20"/>
              </w:rPr>
            </w:pPr>
          </w:p>
        </w:tc>
      </w:tr>
      <w:tr w14:paraId="26FC34D0">
        <w:tblPrEx>
          <w:tblCellMar>
            <w:top w:w="0" w:type="dxa"/>
            <w:left w:w="0" w:type="dxa"/>
            <w:bottom w:w="0" w:type="dxa"/>
            <w:right w:w="0" w:type="dxa"/>
          </w:tblCellMar>
        </w:tblPrEx>
        <w:trPr>
          <w:wBefore w:w="0" w:type="auto"/>
          <w:tblCellSpacing w:w="0" w:type="dxa"/>
        </w:trPr>
        <w:tc>
          <w:tcPr>
            <w:tcW w:w="0" w:type="auto"/>
            <w:noWrap w:val="0"/>
            <w:vAlign w:val="center"/>
          </w:tcPr>
          <w:p w14:paraId="42B69BAB">
            <w:r>
              <w:rPr>
                <w:rStyle w:val="10"/>
                <w:rFonts w:hint="eastAsia"/>
              </w:rPr>
              <w:t>使用技术要求:</w:t>
            </w:r>
            <w:r>
              <w:rPr>
                <w:rFonts w:hint="eastAsia"/>
              </w:rPr>
              <w:br w:type="textWrapping"/>
            </w:r>
            <w:r>
              <w:rPr>
                <w:rStyle w:val="11"/>
                <w:rFonts w:hint="eastAsia"/>
              </w:rPr>
              <w:t>1. 本品于非耕地杂草生长旺盛期茎叶喷雾，每季用药1次。2. 本品灭生性除草剂，严防雾滴飘移到果木和邻近作物田，以防止药害。3. 大风天或预计4小时内请勿施药。4. 施药后5天内勿割草、放牧、翻地等。5. 避免飘移药害；禁止在田间道路、田埂、果树行间、休耕地、林场林地等农林业区域使用。</w:t>
            </w:r>
          </w:p>
        </w:tc>
      </w:tr>
      <w:tr w14:paraId="100E0E60">
        <w:tblPrEx>
          <w:tblCellMar>
            <w:top w:w="0" w:type="dxa"/>
            <w:left w:w="0" w:type="dxa"/>
            <w:bottom w:w="0" w:type="dxa"/>
            <w:right w:w="0" w:type="dxa"/>
          </w:tblCellMar>
        </w:tblPrEx>
        <w:trPr>
          <w:wBefore w:w="0" w:type="auto"/>
          <w:tblCellSpacing w:w="0" w:type="dxa"/>
        </w:trPr>
        <w:tc>
          <w:tcPr>
            <w:tcW w:w="0" w:type="auto"/>
            <w:noWrap w:val="0"/>
            <w:vAlign w:val="center"/>
          </w:tcPr>
          <w:p w14:paraId="00720CB0">
            <w:r>
              <w:rPr>
                <w:rStyle w:val="10"/>
                <w:rFonts w:hint="eastAsia"/>
              </w:rPr>
              <w:t>产品性能:</w:t>
            </w:r>
            <w:r>
              <w:rPr>
                <w:rFonts w:hint="eastAsia"/>
              </w:rPr>
              <w:br w:type="textWrapping"/>
            </w:r>
            <w:r>
              <w:rPr>
                <w:rStyle w:val="11"/>
                <w:rFonts w:hint="eastAsia"/>
              </w:rPr>
              <w:t>草甘膦可抑制植物体内的烯醇丙酮基莽草素磷酸合成酶，从而抑制莽草素向苯丙氨酸、酪氨酸及色氨酸的转化，使蛋白质合成受到干扰。2,4-滴属于激素类除草剂。两者混配可用于防除非耕地一年生杂草。</w:t>
            </w:r>
          </w:p>
        </w:tc>
      </w:tr>
      <w:tr w14:paraId="2DF3111B">
        <w:tblPrEx>
          <w:tblCellMar>
            <w:top w:w="0" w:type="dxa"/>
            <w:left w:w="0" w:type="dxa"/>
            <w:bottom w:w="0" w:type="dxa"/>
            <w:right w:w="0" w:type="dxa"/>
          </w:tblCellMar>
        </w:tblPrEx>
        <w:trPr>
          <w:wBefore w:w="0" w:type="auto"/>
          <w:tblCellSpacing w:w="0" w:type="dxa"/>
        </w:trPr>
        <w:tc>
          <w:tcPr>
            <w:tcW w:w="0" w:type="auto"/>
            <w:noWrap w:val="0"/>
            <w:vAlign w:val="center"/>
          </w:tcPr>
          <w:p w14:paraId="2DEEE2FE">
            <w:r>
              <w:rPr>
                <w:rStyle w:val="10"/>
                <w:rFonts w:hint="eastAsia"/>
              </w:rPr>
              <w:t>注意事项：</w:t>
            </w:r>
            <w:r>
              <w:rPr>
                <w:rFonts w:hint="eastAsia"/>
              </w:rPr>
              <w:br w:type="textWrapping"/>
            </w:r>
            <w:r>
              <w:rPr>
                <w:rStyle w:val="11"/>
                <w:rFonts w:hint="eastAsia"/>
              </w:rPr>
              <w:t>1. 本品为非选择性除草剂，严防雾滴飘移到果木和邻近作物田。 2. 请按照农药安全使用准则使用本品，避免药液接触皮肤、眼睛和污染衣物，避免吸入雾滴。切勿在施药现场抽烟或饮食。在饮水、进食和抽烟前，应先洗手、洗脸。3. 使用时穿戴长衣、长裤、帽子、口罩、手套等安全防护措施。；施药后，彻底清洗防护用具、更换和清洗工作服并洗澡。4. 药液用清水稀释，不得使用污水、混浊水，以免影响药效。5. 所有施药器具用后应立即用清水清洗，洗刷施药用具的水，不要倒入田间。6. 未用完的制剂应放在原包装内密封保存，切勿将本品置于饮食容器内。7. 本品对水生生物有毒，远离河塘等水域施药，严禁在水产养殖区使用，禁止在河塘等水体中清洗施药器具。8. 蚕室及桑园附近禁用，不可使用最外围桑树上的桑叶饲喂家蚕。9. 避免孕妇或哺乳期妇女接触本品。10. 用过的容器妥善处理，不可随意丢弃。</w:t>
            </w:r>
          </w:p>
        </w:tc>
      </w:tr>
      <w:tr w14:paraId="2E7CFB65">
        <w:tblPrEx>
          <w:tblCellMar>
            <w:top w:w="0" w:type="dxa"/>
            <w:left w:w="0" w:type="dxa"/>
            <w:bottom w:w="0" w:type="dxa"/>
            <w:right w:w="0" w:type="dxa"/>
          </w:tblCellMar>
        </w:tblPrEx>
        <w:trPr>
          <w:wBefore w:w="0" w:type="auto"/>
          <w:tblCellSpacing w:w="0" w:type="dxa"/>
        </w:trPr>
        <w:tc>
          <w:tcPr>
            <w:tcW w:w="0" w:type="auto"/>
            <w:noWrap w:val="0"/>
            <w:vAlign w:val="center"/>
          </w:tcPr>
          <w:p w14:paraId="3F0D45EC">
            <w:r>
              <w:rPr>
                <w:rStyle w:val="10"/>
                <w:rFonts w:hint="eastAsia"/>
              </w:rPr>
              <w:t>中毒急救措施：</w:t>
            </w:r>
            <w:r>
              <w:rPr>
                <w:rFonts w:hint="eastAsia"/>
              </w:rPr>
              <w:br w:type="textWrapping"/>
            </w:r>
            <w:r>
              <w:rPr>
                <w:rStyle w:val="11"/>
                <w:rFonts w:hint="eastAsia"/>
              </w:rPr>
              <w:t>1. 眼睛溅药：立即用清水冲洗至少15分钟并送医院。2. 皮肤接触：脱去被溅衣物。用软布去除沾染农药，并立即用肥皂和清水冲洗。3. 发生吸入：移至空气清新处。4. 误服：立即停止服用，用清水充分漱口后，立即携带标签并送医院对症治疗。5. 本品无特效解毒剂。</w:t>
            </w:r>
          </w:p>
        </w:tc>
      </w:tr>
      <w:tr w14:paraId="6A4618F8">
        <w:tblPrEx>
          <w:tblCellMar>
            <w:top w:w="0" w:type="dxa"/>
            <w:left w:w="0" w:type="dxa"/>
            <w:bottom w:w="0" w:type="dxa"/>
            <w:right w:w="0" w:type="dxa"/>
          </w:tblCellMar>
        </w:tblPrEx>
        <w:trPr>
          <w:wBefore w:w="0" w:type="auto"/>
          <w:tblCellSpacing w:w="0" w:type="dxa"/>
        </w:trPr>
        <w:tc>
          <w:tcPr>
            <w:tcW w:w="0" w:type="auto"/>
            <w:noWrap w:val="0"/>
            <w:vAlign w:val="center"/>
          </w:tcPr>
          <w:p w14:paraId="17B04FF2">
            <w:r>
              <w:rPr>
                <w:rStyle w:val="10"/>
                <w:rFonts w:hint="eastAsia"/>
              </w:rPr>
              <w:t>储存和运输方法：</w:t>
            </w:r>
            <w:r>
              <w:rPr>
                <w:rFonts w:hint="eastAsia"/>
              </w:rPr>
              <w:br w:type="textWrapping"/>
            </w:r>
            <w:r>
              <w:rPr>
                <w:rStyle w:val="11"/>
                <w:rFonts w:hint="eastAsia"/>
              </w:rPr>
              <w:t>1. 本品贮存在通风、阴凉、干燥、防雨的仓库内。远离火源或热源。2. 本品应当置于儿童、无关人员及动物接触不到的地方，并加锁保存。3. 勿与食品、饮料、粮食和饲料等物品同贮同运。</w:t>
            </w:r>
          </w:p>
        </w:tc>
      </w:tr>
      <w:tr w14:paraId="3AFA593F">
        <w:tblPrEx>
          <w:tblCellMar>
            <w:top w:w="0" w:type="dxa"/>
            <w:left w:w="0" w:type="dxa"/>
            <w:bottom w:w="0" w:type="dxa"/>
            <w:right w:w="0" w:type="dxa"/>
          </w:tblCellMar>
        </w:tblPrEx>
        <w:trPr>
          <w:wBefore w:w="0" w:type="auto"/>
          <w:tblCellSpacing w:w="0" w:type="dxa"/>
        </w:trPr>
        <w:tc>
          <w:tcPr>
            <w:tcW w:w="0" w:type="auto"/>
            <w:noWrap w:val="0"/>
            <w:vAlign w:val="center"/>
          </w:tcPr>
          <w:p w14:paraId="2EC734D4">
            <w:r>
              <w:rPr>
                <w:rStyle w:val="10"/>
                <w:rFonts w:hint="eastAsia"/>
              </w:rPr>
              <w:t>质量保证期：</w:t>
            </w:r>
            <w:r>
              <w:rPr>
                <w:rStyle w:val="11"/>
                <w:rFonts w:hint="eastAsia"/>
              </w:rPr>
              <w:t>2年</w:t>
            </w:r>
          </w:p>
        </w:tc>
      </w:tr>
      <w:tr w14:paraId="012A4F61">
        <w:tblPrEx>
          <w:tblCellMar>
            <w:top w:w="0" w:type="dxa"/>
            <w:left w:w="0" w:type="dxa"/>
            <w:bottom w:w="0" w:type="dxa"/>
            <w:right w:w="0" w:type="dxa"/>
          </w:tblCellMar>
        </w:tblPrEx>
        <w:trPr>
          <w:wBefore w:w="0" w:type="auto"/>
          <w:tblCellSpacing w:w="0" w:type="dxa"/>
        </w:trPr>
        <w:tc>
          <w:tcPr>
            <w:tcW w:w="0" w:type="auto"/>
            <w:noWrap w:val="0"/>
            <w:vAlign w:val="center"/>
          </w:tcPr>
          <w:p w14:paraId="5AF36CF3">
            <w:r>
              <w:rPr>
                <w:rStyle w:val="10"/>
                <w:rFonts w:hint="eastAsia"/>
              </w:rPr>
              <w:t>备注：</w:t>
            </w:r>
            <w:r>
              <w:rPr>
                <w:rFonts w:hint="eastAsia"/>
              </w:rPr>
              <w:br w:type="textWrapping"/>
            </w:r>
            <w:r>
              <w:rPr>
                <w:rStyle w:val="11"/>
                <w:rFonts w:hint="eastAsia"/>
              </w:rPr>
              <w:t>草甘膦二甲胺盐38%。</w:t>
            </w:r>
          </w:p>
        </w:tc>
      </w:tr>
    </w:tbl>
    <w:p w14:paraId="61D01BE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BE0B47B">
        <w:tblPrEx>
          <w:tblCellMar>
            <w:top w:w="0" w:type="dxa"/>
            <w:left w:w="0" w:type="dxa"/>
            <w:bottom w:w="0" w:type="dxa"/>
            <w:right w:w="0" w:type="dxa"/>
          </w:tblCellMar>
        </w:tblPrEx>
        <w:trPr>
          <w:wBefore w:w="0" w:type="auto"/>
          <w:tblCellSpacing w:w="0" w:type="dxa"/>
        </w:trPr>
        <w:tc>
          <w:tcPr>
            <w:tcW w:w="0" w:type="auto"/>
            <w:noWrap w:val="0"/>
            <w:vAlign w:val="center"/>
          </w:tcPr>
          <w:p w14:paraId="4BF6533B">
            <w:r>
              <w:rPr>
                <w:rStyle w:val="10"/>
                <w:rFonts w:hint="eastAsia"/>
              </w:rPr>
              <w:t>登记证号：</w:t>
            </w:r>
            <w:r>
              <w:rPr>
                <w:rFonts w:hint="eastAsia"/>
              </w:rPr>
              <w:t>PD20211979</w:t>
            </w:r>
          </w:p>
        </w:tc>
      </w:tr>
      <w:tr w14:paraId="353A2CD2">
        <w:tblPrEx>
          <w:tblCellMar>
            <w:top w:w="0" w:type="dxa"/>
            <w:left w:w="0" w:type="dxa"/>
            <w:bottom w:w="0" w:type="dxa"/>
            <w:right w:w="0" w:type="dxa"/>
          </w:tblCellMar>
        </w:tblPrEx>
        <w:trPr>
          <w:wBefore w:w="0" w:type="auto"/>
          <w:tblCellSpacing w:w="0" w:type="dxa"/>
        </w:trPr>
        <w:tc>
          <w:tcPr>
            <w:tcW w:w="0" w:type="auto"/>
            <w:noWrap w:val="0"/>
            <w:vAlign w:val="center"/>
          </w:tcPr>
          <w:p w14:paraId="399A056D">
            <w:r>
              <w:rPr>
                <w:rStyle w:val="10"/>
                <w:rFonts w:hint="eastAsia"/>
              </w:rPr>
              <w:t>登记证持有人：</w:t>
            </w:r>
            <w:r>
              <w:rPr>
                <w:rFonts w:hint="eastAsia"/>
              </w:rPr>
              <w:t>山东荣邦化工有限公司</w:t>
            </w:r>
          </w:p>
        </w:tc>
      </w:tr>
      <w:tr w14:paraId="7BC977E2">
        <w:tblPrEx>
          <w:tblCellMar>
            <w:top w:w="0" w:type="dxa"/>
            <w:left w:w="0" w:type="dxa"/>
            <w:bottom w:w="0" w:type="dxa"/>
            <w:right w:w="0" w:type="dxa"/>
          </w:tblCellMar>
        </w:tblPrEx>
        <w:trPr>
          <w:wBefore w:w="0" w:type="auto"/>
          <w:tblCellSpacing w:w="0" w:type="dxa"/>
        </w:trPr>
        <w:tc>
          <w:tcPr>
            <w:tcW w:w="0" w:type="auto"/>
            <w:noWrap w:val="0"/>
            <w:vAlign w:val="center"/>
          </w:tcPr>
          <w:p w14:paraId="3F6B2EB8">
            <w:r>
              <w:rPr>
                <w:rStyle w:val="10"/>
                <w:rFonts w:hint="eastAsia"/>
              </w:rPr>
              <w:t>农药名称：</w:t>
            </w:r>
            <w:r>
              <w:rPr>
                <w:rFonts w:hint="eastAsia"/>
              </w:rPr>
              <w:t>氟吡菌胺·氰霜唑</w:t>
            </w:r>
          </w:p>
        </w:tc>
      </w:tr>
      <w:tr w14:paraId="63E1C7E2">
        <w:tblPrEx>
          <w:tblCellMar>
            <w:top w:w="0" w:type="dxa"/>
            <w:left w:w="0" w:type="dxa"/>
            <w:bottom w:w="0" w:type="dxa"/>
            <w:right w:w="0" w:type="dxa"/>
          </w:tblCellMar>
        </w:tblPrEx>
        <w:trPr>
          <w:wBefore w:w="0" w:type="auto"/>
          <w:tblCellSpacing w:w="0" w:type="dxa"/>
        </w:trPr>
        <w:tc>
          <w:tcPr>
            <w:tcW w:w="0" w:type="auto"/>
            <w:noWrap w:val="0"/>
            <w:vAlign w:val="center"/>
          </w:tcPr>
          <w:p w14:paraId="77AAA2D3">
            <w:r>
              <w:rPr>
                <w:rStyle w:val="10"/>
                <w:rFonts w:hint="eastAsia"/>
              </w:rPr>
              <w:t>剂型：</w:t>
            </w:r>
            <w:r>
              <w:rPr>
                <w:rFonts w:hint="eastAsia"/>
              </w:rPr>
              <w:t>水分散粒剂</w:t>
            </w:r>
          </w:p>
        </w:tc>
      </w:tr>
      <w:tr w14:paraId="2C5FDED7">
        <w:tblPrEx>
          <w:tblCellMar>
            <w:top w:w="0" w:type="dxa"/>
            <w:left w:w="0" w:type="dxa"/>
            <w:bottom w:w="0" w:type="dxa"/>
            <w:right w:w="0" w:type="dxa"/>
          </w:tblCellMar>
        </w:tblPrEx>
        <w:trPr>
          <w:wBefore w:w="0" w:type="auto"/>
          <w:tblCellSpacing w:w="0" w:type="dxa"/>
        </w:trPr>
        <w:tc>
          <w:tcPr>
            <w:tcW w:w="0" w:type="auto"/>
            <w:noWrap w:val="0"/>
            <w:vAlign w:val="center"/>
          </w:tcPr>
          <w:p w14:paraId="0715898E">
            <w:r>
              <w:rPr>
                <w:rStyle w:val="10"/>
                <w:rFonts w:hint="eastAsia"/>
              </w:rPr>
              <w:t>毒性及其标识：</w:t>
            </w:r>
            <w:r>
              <w:rPr>
                <w:rFonts w:hint="eastAsia"/>
              </w:rPr>
              <w:t xml:space="preserve"> </w:t>
            </w:r>
            <w:r>
              <w:rPr>
                <w:lang/>
              </w:rPr>
              <w:drawing>
                <wp:inline distT="0" distB="0" distL="114300" distR="114300">
                  <wp:extent cx="476250" cy="323850"/>
                  <wp:effectExtent l="0" t="0" r="0" b="0"/>
                  <wp:docPr id="54" name="图片 5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2E40904">
        <w:tblPrEx>
          <w:tblCellMar>
            <w:top w:w="0" w:type="dxa"/>
            <w:left w:w="0" w:type="dxa"/>
            <w:bottom w:w="0" w:type="dxa"/>
            <w:right w:w="0" w:type="dxa"/>
          </w:tblCellMar>
        </w:tblPrEx>
        <w:trPr>
          <w:wBefore w:w="0" w:type="auto"/>
          <w:tblCellSpacing w:w="0" w:type="dxa"/>
        </w:trPr>
        <w:tc>
          <w:tcPr>
            <w:tcW w:w="0" w:type="auto"/>
            <w:noWrap w:val="0"/>
            <w:vAlign w:val="center"/>
          </w:tcPr>
          <w:p w14:paraId="0DEFC72E">
            <w:r>
              <w:rPr>
                <w:rStyle w:val="10"/>
                <w:rFonts w:hint="eastAsia"/>
              </w:rPr>
              <w:t>总有效成分含量：</w:t>
            </w:r>
            <w:r>
              <w:rPr>
                <w:rFonts w:hint="eastAsia"/>
              </w:rPr>
              <w:t>50%</w:t>
            </w:r>
          </w:p>
        </w:tc>
      </w:tr>
      <w:tr w14:paraId="461BBA1D">
        <w:tblPrEx>
          <w:tblCellMar>
            <w:top w:w="0" w:type="dxa"/>
            <w:left w:w="0" w:type="dxa"/>
            <w:bottom w:w="0" w:type="dxa"/>
            <w:right w:w="0" w:type="dxa"/>
          </w:tblCellMar>
        </w:tblPrEx>
        <w:trPr>
          <w:wBefore w:w="0" w:type="auto"/>
          <w:tblCellSpacing w:w="0" w:type="dxa"/>
        </w:trPr>
        <w:tc>
          <w:tcPr>
            <w:tcW w:w="0" w:type="auto"/>
            <w:noWrap w:val="0"/>
            <w:vAlign w:val="center"/>
          </w:tcPr>
          <w:p w14:paraId="5C6AF713">
            <w:r>
              <w:rPr>
                <w:rFonts w:hint="eastAsia"/>
              </w:rPr>
              <w:t xml:space="preserve">有效成分及其含量： </w:t>
            </w:r>
          </w:p>
          <w:p w14:paraId="430434E0">
            <w:r>
              <w:rPr>
                <w:rFonts w:hint="eastAsia"/>
              </w:rPr>
              <w:t xml:space="preserve">    氟吡菌胺35%    氰霜唑15%    </w:t>
            </w:r>
          </w:p>
        </w:tc>
      </w:tr>
      <w:tr w14:paraId="1FB837B2">
        <w:tblPrEx>
          <w:tblCellMar>
            <w:top w:w="0" w:type="dxa"/>
            <w:left w:w="0" w:type="dxa"/>
            <w:bottom w:w="0" w:type="dxa"/>
            <w:right w:w="0" w:type="dxa"/>
          </w:tblCellMar>
        </w:tblPrEx>
        <w:trPr>
          <w:wBefore w:w="0" w:type="auto"/>
          <w:tblCellSpacing w:w="0" w:type="dxa"/>
        </w:trPr>
        <w:tc>
          <w:tcPr>
            <w:tcW w:w="0" w:type="auto"/>
            <w:noWrap w:val="0"/>
            <w:vAlign w:val="center"/>
          </w:tcPr>
          <w:p w14:paraId="12A63D4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77CCE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5BACD9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02E421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8C135E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F67FE2F">
                  <w:r>
                    <w:rPr>
                      <w:rStyle w:val="11"/>
                      <w:rFonts w:hint="eastAsia"/>
                    </w:rPr>
                    <w:t>施用方式</w:t>
                  </w:r>
                </w:p>
              </w:tc>
            </w:tr>
            <w:tr w14:paraId="0945F0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1E76D07">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3594ED">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3A84FE">
                  <w:r>
                    <w:rPr>
                      <w:rStyle w:val="11"/>
                      <w:rFonts w:hint="eastAsia"/>
                    </w:rPr>
                    <w:t>16-24克/亩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0B3760">
                  <w:r>
                    <w:rPr>
                      <w:rStyle w:val="11"/>
                      <w:rFonts w:hint="eastAsia"/>
                    </w:rPr>
                    <w:t>喷雾</w:t>
                  </w:r>
                </w:p>
              </w:tc>
            </w:tr>
          </w:tbl>
          <w:p w14:paraId="4A4ECB70">
            <w:pPr>
              <w:rPr>
                <w:rFonts w:ascii="Times New Roman" w:hAnsi="Times New Roman" w:cs="Times New Roman"/>
                <w:sz w:val="20"/>
                <w:szCs w:val="20"/>
              </w:rPr>
            </w:pPr>
          </w:p>
        </w:tc>
      </w:tr>
      <w:tr w14:paraId="5177E43B">
        <w:tblPrEx>
          <w:tblCellMar>
            <w:top w:w="0" w:type="dxa"/>
            <w:left w:w="0" w:type="dxa"/>
            <w:bottom w:w="0" w:type="dxa"/>
            <w:right w:w="0" w:type="dxa"/>
          </w:tblCellMar>
        </w:tblPrEx>
        <w:trPr>
          <w:wBefore w:w="0" w:type="auto"/>
          <w:tblCellSpacing w:w="0" w:type="dxa"/>
        </w:trPr>
        <w:tc>
          <w:tcPr>
            <w:tcW w:w="0" w:type="auto"/>
            <w:noWrap w:val="0"/>
            <w:vAlign w:val="center"/>
          </w:tcPr>
          <w:p w14:paraId="51E7AEC5">
            <w:r>
              <w:rPr>
                <w:rStyle w:val="10"/>
                <w:rFonts w:hint="eastAsia"/>
              </w:rPr>
              <w:t>使用技术要求:</w:t>
            </w:r>
            <w:r>
              <w:rPr>
                <w:rFonts w:hint="eastAsia"/>
              </w:rPr>
              <w:br w:type="textWrapping"/>
            </w:r>
            <w:r>
              <w:rPr>
                <w:rStyle w:val="11"/>
                <w:rFonts w:hint="eastAsia"/>
              </w:rPr>
              <w:t>1. 于病害发生前或发病初期喷雾施药，视病害发生情况施药2-3次，每次间隔7天左右。全株均匀、周到喷雾。2.大风天或预计短时间内有雨请勿施药。3.本品在番茄上的安全间隔期为3天，每季最多使用3次。</w:t>
            </w:r>
          </w:p>
        </w:tc>
      </w:tr>
      <w:tr w14:paraId="28E03415">
        <w:tblPrEx>
          <w:tblCellMar>
            <w:top w:w="0" w:type="dxa"/>
            <w:left w:w="0" w:type="dxa"/>
            <w:bottom w:w="0" w:type="dxa"/>
            <w:right w:w="0" w:type="dxa"/>
          </w:tblCellMar>
        </w:tblPrEx>
        <w:trPr>
          <w:wBefore w:w="0" w:type="auto"/>
          <w:tblCellSpacing w:w="0" w:type="dxa"/>
        </w:trPr>
        <w:tc>
          <w:tcPr>
            <w:tcW w:w="0" w:type="auto"/>
            <w:noWrap w:val="0"/>
            <w:vAlign w:val="center"/>
          </w:tcPr>
          <w:p w14:paraId="56E08F79">
            <w:r>
              <w:rPr>
                <w:rStyle w:val="10"/>
                <w:rFonts w:hint="eastAsia"/>
              </w:rPr>
              <w:t>产品性能:</w:t>
            </w:r>
            <w:r>
              <w:rPr>
                <w:rFonts w:hint="eastAsia"/>
              </w:rPr>
              <w:br w:type="textWrapping"/>
            </w:r>
            <w:r>
              <w:rPr>
                <w:rStyle w:val="11"/>
                <w:rFonts w:hint="eastAsia"/>
              </w:rPr>
              <w:t>氟吡菌胺属新型吡啶酰胺类杀菌剂、主要作用于细胞膜和细胞骨架之间的特异性蛋白—类血影蛋白，从而影响细胞的有丝分裂，对病源菌有抑制活性；能从植物叶基向叶尖方向传导，具有保护和治疗作用。氰霜唑为新型氰基咪唑类杀菌剂，其作用机制是阻断卵菌纲病菌体内线粒体细胞色素bcl复合体的电子传递来干扰能量的供应，与其他杀菌剂无交叉抗性。二者混配，不同作用机理强强联合，对晚疫病具有较好的防治效果。</w:t>
            </w:r>
          </w:p>
        </w:tc>
      </w:tr>
      <w:tr w14:paraId="62F73648">
        <w:tblPrEx>
          <w:tblCellMar>
            <w:top w:w="0" w:type="dxa"/>
            <w:left w:w="0" w:type="dxa"/>
            <w:bottom w:w="0" w:type="dxa"/>
            <w:right w:w="0" w:type="dxa"/>
          </w:tblCellMar>
        </w:tblPrEx>
        <w:trPr>
          <w:wBefore w:w="0" w:type="auto"/>
          <w:tblCellSpacing w:w="0" w:type="dxa"/>
        </w:trPr>
        <w:tc>
          <w:tcPr>
            <w:tcW w:w="0" w:type="auto"/>
            <w:noWrap w:val="0"/>
            <w:vAlign w:val="center"/>
          </w:tcPr>
          <w:p w14:paraId="581BD226">
            <w:r>
              <w:rPr>
                <w:rStyle w:val="10"/>
                <w:rFonts w:hint="eastAsia"/>
              </w:rPr>
              <w:t>注意事项：</w:t>
            </w:r>
            <w:r>
              <w:rPr>
                <w:rFonts w:hint="eastAsia"/>
              </w:rPr>
              <w:br w:type="textWrapping"/>
            </w:r>
            <w:r>
              <w:rPr>
                <w:rStyle w:val="11"/>
                <w:rFonts w:hint="eastAsia"/>
              </w:rPr>
              <w:t>1.本品对眼睛有刺激性，使用本品应采取相应的安全防护措施，穿防护服、戴防护手套、口罩等，避免皮肤接触及口鼻吸入。使用中不可吸烟、饮水及吃东西，使用后及时清洗手、脸等暴露部位皮肤并更换衣物。2.不能与碱性农药、化肥和含铜的溶液混用。3.本品对蜜蜂、鱼类等水生生物、家蚕有毒，施药期间应避免对周围蜂群的影响，禁止在开花植物花期、蚕室和桑园附近使用。水产养殖区、河塘等水体附近禁用，禁止在河塘等水体中清洗施药器具。赤眼蜂等天敌放飞区域禁用。 4.建议与不同作用机制的杀菌剂轮换使用，以延缓抗性产生。5.用过的容器应妥善处理，不可作他用，也不可随意丢弃。6.孕妇及哺乳期妇女禁止接触本品。</w:t>
            </w:r>
          </w:p>
        </w:tc>
      </w:tr>
      <w:tr w14:paraId="20884C80">
        <w:tblPrEx>
          <w:tblCellMar>
            <w:top w:w="0" w:type="dxa"/>
            <w:left w:w="0" w:type="dxa"/>
            <w:bottom w:w="0" w:type="dxa"/>
            <w:right w:w="0" w:type="dxa"/>
          </w:tblCellMar>
        </w:tblPrEx>
        <w:trPr>
          <w:wBefore w:w="0" w:type="auto"/>
          <w:tblCellSpacing w:w="0" w:type="dxa"/>
        </w:trPr>
        <w:tc>
          <w:tcPr>
            <w:tcW w:w="0" w:type="auto"/>
            <w:noWrap w:val="0"/>
            <w:vAlign w:val="center"/>
          </w:tcPr>
          <w:p w14:paraId="257A252D">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皮肤接触:脱去污染的衣物，立即用软布去除沾染农药，用大量清水和肥皂冲洗。眼睛溅入:立即用流动清水冲洗不少于15分钟。吸入:立即将吸入者转移到空气新鲜处，如果吸入者停止呼吸，需进行人工呼吸。注意保暖和休息，请医生诊治。误食:立即停止服用，用清水充分漱口后，立即携带农药标签到医院诊治。</w:t>
            </w:r>
          </w:p>
        </w:tc>
      </w:tr>
      <w:tr w14:paraId="0EA32DB1">
        <w:tblPrEx>
          <w:tblCellMar>
            <w:top w:w="0" w:type="dxa"/>
            <w:left w:w="0" w:type="dxa"/>
            <w:bottom w:w="0" w:type="dxa"/>
            <w:right w:w="0" w:type="dxa"/>
          </w:tblCellMar>
        </w:tblPrEx>
        <w:trPr>
          <w:wBefore w:w="0" w:type="auto"/>
          <w:tblCellSpacing w:w="0" w:type="dxa"/>
        </w:trPr>
        <w:tc>
          <w:tcPr>
            <w:tcW w:w="0" w:type="auto"/>
            <w:noWrap w:val="0"/>
            <w:vAlign w:val="center"/>
          </w:tcPr>
          <w:p w14:paraId="288D5418">
            <w:r>
              <w:rPr>
                <w:rStyle w:val="10"/>
                <w:rFonts w:hint="eastAsia"/>
              </w:rPr>
              <w:t>储存和运输方法：</w:t>
            </w:r>
            <w:r>
              <w:rPr>
                <w:rFonts w:hint="eastAsia"/>
              </w:rPr>
              <w:br w:type="textWrapping"/>
            </w:r>
            <w:r>
              <w:rPr>
                <w:rStyle w:val="11"/>
                <w:rFonts w:hint="eastAsia"/>
              </w:rPr>
              <w:t>本品应贮存在通风、干燥的库房中。贮运时，严防潮湿和日晒，远离火源或热源。置于儿童、无关人员及动物接触不到的地方，并加锁保存。不能与食品、饮料、粮食、饲料等其他商品同贮同运。</w:t>
            </w:r>
          </w:p>
        </w:tc>
      </w:tr>
      <w:tr w14:paraId="7DDDCF44">
        <w:tblPrEx>
          <w:tblCellMar>
            <w:top w:w="0" w:type="dxa"/>
            <w:left w:w="0" w:type="dxa"/>
            <w:bottom w:w="0" w:type="dxa"/>
            <w:right w:w="0" w:type="dxa"/>
          </w:tblCellMar>
        </w:tblPrEx>
        <w:trPr>
          <w:wBefore w:w="0" w:type="auto"/>
          <w:tblCellSpacing w:w="0" w:type="dxa"/>
        </w:trPr>
        <w:tc>
          <w:tcPr>
            <w:tcW w:w="0" w:type="auto"/>
            <w:noWrap w:val="0"/>
            <w:vAlign w:val="center"/>
          </w:tcPr>
          <w:p w14:paraId="7A7C07B7">
            <w:r>
              <w:rPr>
                <w:rStyle w:val="10"/>
                <w:rFonts w:hint="eastAsia"/>
              </w:rPr>
              <w:t>质量保证期：</w:t>
            </w:r>
            <w:r>
              <w:rPr>
                <w:rStyle w:val="11"/>
                <w:rFonts w:hint="eastAsia"/>
              </w:rPr>
              <w:t>2年</w:t>
            </w:r>
          </w:p>
        </w:tc>
      </w:tr>
      <w:tr w14:paraId="312805BB">
        <w:tblPrEx>
          <w:tblCellMar>
            <w:top w:w="0" w:type="dxa"/>
            <w:left w:w="0" w:type="dxa"/>
            <w:bottom w:w="0" w:type="dxa"/>
            <w:right w:w="0" w:type="dxa"/>
          </w:tblCellMar>
        </w:tblPrEx>
        <w:trPr>
          <w:wBefore w:w="0" w:type="auto"/>
          <w:tblCellSpacing w:w="0" w:type="dxa"/>
        </w:trPr>
        <w:tc>
          <w:tcPr>
            <w:tcW w:w="0" w:type="auto"/>
            <w:noWrap w:val="0"/>
            <w:vAlign w:val="center"/>
          </w:tcPr>
          <w:p w14:paraId="13CA1352">
            <w:r>
              <w:rPr>
                <w:rStyle w:val="10"/>
                <w:rFonts w:hint="eastAsia"/>
              </w:rPr>
              <w:t>备注：</w:t>
            </w:r>
          </w:p>
        </w:tc>
      </w:tr>
    </w:tbl>
    <w:p w14:paraId="55DC403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E18C03">
        <w:tblPrEx>
          <w:tblCellMar>
            <w:top w:w="0" w:type="dxa"/>
            <w:left w:w="0" w:type="dxa"/>
            <w:bottom w:w="0" w:type="dxa"/>
            <w:right w:w="0" w:type="dxa"/>
          </w:tblCellMar>
        </w:tblPrEx>
        <w:trPr>
          <w:wBefore w:w="0" w:type="auto"/>
          <w:tblCellSpacing w:w="0" w:type="dxa"/>
        </w:trPr>
        <w:tc>
          <w:tcPr>
            <w:tcW w:w="0" w:type="auto"/>
            <w:noWrap w:val="0"/>
            <w:vAlign w:val="center"/>
          </w:tcPr>
          <w:p w14:paraId="6946271F">
            <w:r>
              <w:rPr>
                <w:rStyle w:val="10"/>
                <w:rFonts w:hint="eastAsia"/>
              </w:rPr>
              <w:t>登记证号：</w:t>
            </w:r>
            <w:r>
              <w:rPr>
                <w:rFonts w:hint="eastAsia"/>
              </w:rPr>
              <w:t>PD20212113</w:t>
            </w:r>
          </w:p>
        </w:tc>
      </w:tr>
      <w:tr w14:paraId="2FA68037">
        <w:tblPrEx>
          <w:tblCellMar>
            <w:top w:w="0" w:type="dxa"/>
            <w:left w:w="0" w:type="dxa"/>
            <w:bottom w:w="0" w:type="dxa"/>
            <w:right w:w="0" w:type="dxa"/>
          </w:tblCellMar>
        </w:tblPrEx>
        <w:trPr>
          <w:wBefore w:w="0" w:type="auto"/>
          <w:tblCellSpacing w:w="0" w:type="dxa"/>
        </w:trPr>
        <w:tc>
          <w:tcPr>
            <w:tcW w:w="0" w:type="auto"/>
            <w:noWrap w:val="0"/>
            <w:vAlign w:val="center"/>
          </w:tcPr>
          <w:p w14:paraId="3027BF00">
            <w:r>
              <w:rPr>
                <w:rStyle w:val="10"/>
                <w:rFonts w:hint="eastAsia"/>
              </w:rPr>
              <w:t>登记证持有人：</w:t>
            </w:r>
            <w:r>
              <w:rPr>
                <w:rFonts w:hint="eastAsia"/>
              </w:rPr>
              <w:t>浙江天丰生物科学有限公司</w:t>
            </w:r>
          </w:p>
        </w:tc>
      </w:tr>
      <w:tr w14:paraId="664AA8E3">
        <w:tblPrEx>
          <w:tblCellMar>
            <w:top w:w="0" w:type="dxa"/>
            <w:left w:w="0" w:type="dxa"/>
            <w:bottom w:w="0" w:type="dxa"/>
            <w:right w:w="0" w:type="dxa"/>
          </w:tblCellMar>
        </w:tblPrEx>
        <w:trPr>
          <w:wBefore w:w="0" w:type="auto"/>
          <w:tblCellSpacing w:w="0" w:type="dxa"/>
        </w:trPr>
        <w:tc>
          <w:tcPr>
            <w:tcW w:w="0" w:type="auto"/>
            <w:noWrap w:val="0"/>
            <w:vAlign w:val="center"/>
          </w:tcPr>
          <w:p w14:paraId="0CBBBBF0">
            <w:r>
              <w:rPr>
                <w:rStyle w:val="10"/>
                <w:rFonts w:hint="eastAsia"/>
              </w:rPr>
              <w:t>农药名称：</w:t>
            </w:r>
            <w:r>
              <w:rPr>
                <w:rFonts w:hint="eastAsia"/>
              </w:rPr>
              <w:t>2甲4氯异辛酯</w:t>
            </w:r>
          </w:p>
        </w:tc>
      </w:tr>
      <w:tr w14:paraId="60912CE7">
        <w:tblPrEx>
          <w:tblCellMar>
            <w:top w:w="0" w:type="dxa"/>
            <w:left w:w="0" w:type="dxa"/>
            <w:bottom w:w="0" w:type="dxa"/>
            <w:right w:w="0" w:type="dxa"/>
          </w:tblCellMar>
        </w:tblPrEx>
        <w:trPr>
          <w:wBefore w:w="0" w:type="auto"/>
          <w:tblCellSpacing w:w="0" w:type="dxa"/>
        </w:trPr>
        <w:tc>
          <w:tcPr>
            <w:tcW w:w="0" w:type="auto"/>
            <w:noWrap w:val="0"/>
            <w:vAlign w:val="center"/>
          </w:tcPr>
          <w:p w14:paraId="69047009">
            <w:r>
              <w:rPr>
                <w:rStyle w:val="10"/>
                <w:rFonts w:hint="eastAsia"/>
              </w:rPr>
              <w:t>剂型：</w:t>
            </w:r>
            <w:r>
              <w:rPr>
                <w:rFonts w:hint="eastAsia"/>
              </w:rPr>
              <w:t>乳油</w:t>
            </w:r>
          </w:p>
        </w:tc>
      </w:tr>
      <w:tr w14:paraId="419ED363">
        <w:tblPrEx>
          <w:tblCellMar>
            <w:top w:w="0" w:type="dxa"/>
            <w:left w:w="0" w:type="dxa"/>
            <w:bottom w:w="0" w:type="dxa"/>
            <w:right w:w="0" w:type="dxa"/>
          </w:tblCellMar>
        </w:tblPrEx>
        <w:trPr>
          <w:wBefore w:w="0" w:type="auto"/>
          <w:tblCellSpacing w:w="0" w:type="dxa"/>
        </w:trPr>
        <w:tc>
          <w:tcPr>
            <w:tcW w:w="0" w:type="auto"/>
            <w:noWrap w:val="0"/>
            <w:vAlign w:val="center"/>
          </w:tcPr>
          <w:p w14:paraId="6A0C7FFE">
            <w:r>
              <w:rPr>
                <w:rStyle w:val="10"/>
                <w:rFonts w:hint="eastAsia"/>
              </w:rPr>
              <w:t>毒性及其标识：</w:t>
            </w:r>
            <w:r>
              <w:rPr>
                <w:rFonts w:hint="eastAsia"/>
              </w:rPr>
              <w:t xml:space="preserve"> </w:t>
            </w:r>
            <w:r>
              <w:rPr>
                <w:lang/>
              </w:rPr>
              <w:drawing>
                <wp:inline distT="0" distB="0" distL="114300" distR="114300">
                  <wp:extent cx="476250" cy="323850"/>
                  <wp:effectExtent l="0" t="0" r="0" b="0"/>
                  <wp:docPr id="55" name="图片 5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55C6C06">
        <w:tblPrEx>
          <w:tblCellMar>
            <w:top w:w="0" w:type="dxa"/>
            <w:left w:w="0" w:type="dxa"/>
            <w:bottom w:w="0" w:type="dxa"/>
            <w:right w:w="0" w:type="dxa"/>
          </w:tblCellMar>
        </w:tblPrEx>
        <w:trPr>
          <w:wBefore w:w="0" w:type="auto"/>
          <w:tblCellSpacing w:w="0" w:type="dxa"/>
        </w:trPr>
        <w:tc>
          <w:tcPr>
            <w:tcW w:w="0" w:type="auto"/>
            <w:noWrap w:val="0"/>
            <w:vAlign w:val="center"/>
          </w:tcPr>
          <w:p w14:paraId="4D6D70A2">
            <w:r>
              <w:rPr>
                <w:rStyle w:val="10"/>
                <w:rFonts w:hint="eastAsia"/>
              </w:rPr>
              <w:t>总有效成分含量：</w:t>
            </w:r>
            <w:r>
              <w:rPr>
                <w:rFonts w:hint="eastAsia"/>
              </w:rPr>
              <w:t>85%</w:t>
            </w:r>
          </w:p>
        </w:tc>
      </w:tr>
      <w:tr w14:paraId="271540BB">
        <w:tblPrEx>
          <w:tblCellMar>
            <w:top w:w="0" w:type="dxa"/>
            <w:left w:w="0" w:type="dxa"/>
            <w:bottom w:w="0" w:type="dxa"/>
            <w:right w:w="0" w:type="dxa"/>
          </w:tblCellMar>
        </w:tblPrEx>
        <w:trPr>
          <w:wBefore w:w="0" w:type="auto"/>
          <w:tblCellSpacing w:w="0" w:type="dxa"/>
        </w:trPr>
        <w:tc>
          <w:tcPr>
            <w:tcW w:w="0" w:type="auto"/>
            <w:noWrap w:val="0"/>
            <w:vAlign w:val="center"/>
          </w:tcPr>
          <w:p w14:paraId="25C69911">
            <w:r>
              <w:rPr>
                <w:rFonts w:hint="eastAsia"/>
              </w:rPr>
              <w:t xml:space="preserve">有效成分及其含量： </w:t>
            </w:r>
          </w:p>
          <w:p w14:paraId="0D0AE828">
            <w:r>
              <w:rPr>
                <w:rFonts w:hint="eastAsia"/>
              </w:rPr>
              <w:t xml:space="preserve">    2甲4氯异辛酯85%    </w:t>
            </w:r>
          </w:p>
        </w:tc>
      </w:tr>
      <w:tr w14:paraId="4B8BD76E">
        <w:tblPrEx>
          <w:tblCellMar>
            <w:top w:w="0" w:type="dxa"/>
            <w:left w:w="0" w:type="dxa"/>
            <w:bottom w:w="0" w:type="dxa"/>
            <w:right w:w="0" w:type="dxa"/>
          </w:tblCellMar>
        </w:tblPrEx>
        <w:trPr>
          <w:wBefore w:w="0" w:type="auto"/>
          <w:tblCellSpacing w:w="0" w:type="dxa"/>
        </w:trPr>
        <w:tc>
          <w:tcPr>
            <w:tcW w:w="0" w:type="auto"/>
            <w:noWrap w:val="0"/>
            <w:vAlign w:val="center"/>
          </w:tcPr>
          <w:p w14:paraId="72A527F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2A1F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583A2E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19A659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6BCC8B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3BEA29C">
                  <w:r>
                    <w:rPr>
                      <w:rStyle w:val="11"/>
                      <w:rFonts w:hint="eastAsia"/>
                    </w:rPr>
                    <w:t>施用方式</w:t>
                  </w:r>
                </w:p>
              </w:tc>
            </w:tr>
            <w:tr w14:paraId="4AF7C5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36FF4E">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1EC384">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8B7CD1">
                  <w:r>
                    <w:rPr>
                      <w:rStyle w:val="11"/>
                      <w:rFonts w:hint="eastAsia"/>
                    </w:rPr>
                    <w:t>55-70毫升/亩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91A8DB">
                  <w:r>
                    <w:rPr>
                      <w:rStyle w:val="11"/>
                      <w:rFonts w:hint="eastAsia"/>
                    </w:rPr>
                    <w:t>茎叶喷雾</w:t>
                  </w:r>
                </w:p>
              </w:tc>
            </w:tr>
          </w:tbl>
          <w:p w14:paraId="4BC72FFA">
            <w:pPr>
              <w:rPr>
                <w:rFonts w:ascii="Times New Roman" w:hAnsi="Times New Roman" w:cs="Times New Roman"/>
                <w:sz w:val="20"/>
                <w:szCs w:val="20"/>
              </w:rPr>
            </w:pPr>
          </w:p>
        </w:tc>
      </w:tr>
      <w:tr w14:paraId="386CE106">
        <w:tblPrEx>
          <w:tblCellMar>
            <w:top w:w="0" w:type="dxa"/>
            <w:left w:w="0" w:type="dxa"/>
            <w:bottom w:w="0" w:type="dxa"/>
            <w:right w:w="0" w:type="dxa"/>
          </w:tblCellMar>
        </w:tblPrEx>
        <w:trPr>
          <w:wBefore w:w="0" w:type="auto"/>
          <w:tblCellSpacing w:w="0" w:type="dxa"/>
        </w:trPr>
        <w:tc>
          <w:tcPr>
            <w:tcW w:w="0" w:type="auto"/>
            <w:noWrap w:val="0"/>
            <w:vAlign w:val="center"/>
          </w:tcPr>
          <w:p w14:paraId="604345A9">
            <w:r>
              <w:rPr>
                <w:rStyle w:val="10"/>
                <w:rFonts w:hint="eastAsia"/>
              </w:rPr>
              <w:t>使用技术要求:</w:t>
            </w:r>
            <w:r>
              <w:rPr>
                <w:rFonts w:hint="eastAsia"/>
              </w:rPr>
              <w:br w:type="textWrapping"/>
            </w:r>
            <w:r>
              <w:rPr>
                <w:rStyle w:val="11"/>
                <w:rFonts w:hint="eastAsia"/>
              </w:rPr>
              <w:t>1. 在冬小麦返青后至拔节前或春小麦3-5叶期，阔叶杂草2-5叶期茎叶喷雾施药1次。 2. 严格按照推荐剂量、时期和方法施用，喷雾时应均匀，避免重喷、漏喷。选择无风天气施药。 3. 最适施药温度为10—25℃，白天施药时温度不低于5℃。倒春寒来之前7天内，禁止施药。 4. 每季最多使用1次。</w:t>
            </w:r>
          </w:p>
        </w:tc>
      </w:tr>
      <w:tr w14:paraId="54C1CD0A">
        <w:tblPrEx>
          <w:tblCellMar>
            <w:top w:w="0" w:type="dxa"/>
            <w:left w:w="0" w:type="dxa"/>
            <w:bottom w:w="0" w:type="dxa"/>
            <w:right w:w="0" w:type="dxa"/>
          </w:tblCellMar>
        </w:tblPrEx>
        <w:trPr>
          <w:wBefore w:w="0" w:type="auto"/>
          <w:tblCellSpacing w:w="0" w:type="dxa"/>
        </w:trPr>
        <w:tc>
          <w:tcPr>
            <w:tcW w:w="0" w:type="auto"/>
            <w:noWrap w:val="0"/>
            <w:vAlign w:val="center"/>
          </w:tcPr>
          <w:p w14:paraId="31710B4D">
            <w:r>
              <w:rPr>
                <w:rStyle w:val="10"/>
                <w:rFonts w:hint="eastAsia"/>
              </w:rPr>
              <w:t>产品性能:</w:t>
            </w:r>
            <w:r>
              <w:rPr>
                <w:rFonts w:hint="eastAsia"/>
              </w:rPr>
              <w:br w:type="textWrapping"/>
            </w:r>
            <w:r>
              <w:rPr>
                <w:rStyle w:val="11"/>
                <w:rFonts w:hint="eastAsia"/>
              </w:rPr>
              <w:t xml:space="preserve">本品属苯氧羧酸类选择性激素型除草剂，具有较强的内吸传导性。主要用于苗后茎叶处理，穿过角质层和细胞膜，能迅速传导至杂草各个部位，最后全株死亡。 </w:t>
            </w:r>
          </w:p>
        </w:tc>
      </w:tr>
      <w:tr w14:paraId="482C9406">
        <w:tblPrEx>
          <w:tblCellMar>
            <w:top w:w="0" w:type="dxa"/>
            <w:left w:w="0" w:type="dxa"/>
            <w:bottom w:w="0" w:type="dxa"/>
            <w:right w:w="0" w:type="dxa"/>
          </w:tblCellMar>
        </w:tblPrEx>
        <w:trPr>
          <w:wBefore w:w="0" w:type="auto"/>
          <w:tblCellSpacing w:w="0" w:type="dxa"/>
        </w:trPr>
        <w:tc>
          <w:tcPr>
            <w:tcW w:w="0" w:type="auto"/>
            <w:noWrap w:val="0"/>
            <w:vAlign w:val="center"/>
          </w:tcPr>
          <w:p w14:paraId="2B81CA7F">
            <w:r>
              <w:rPr>
                <w:rStyle w:val="10"/>
                <w:rFonts w:hint="eastAsia"/>
              </w:rPr>
              <w:t>注意事项：</w:t>
            </w:r>
            <w:r>
              <w:rPr>
                <w:rFonts w:hint="eastAsia"/>
              </w:rPr>
              <w:br w:type="textWrapping"/>
            </w:r>
            <w:r>
              <w:rPr>
                <w:rStyle w:val="11"/>
                <w:rFonts w:hint="eastAsia"/>
              </w:rPr>
              <w:t>1. 请按照农药安全使用规范使用本品。应根据田间杂草草相及抗性等具体情况，科学合理用药。 2. 避免施药时药液飘移到其它作物上。 3. 本品对眼睛有刺激性，使用时避免接触眼睛，穿戴长衣、长裤、帽子、口罩、手套等防护措施。避免吸入药液。施药期间不可吃东西和饮水等。施药后应及时洗手和洗脸等。 4. 禁止在河塘等水体清洗施药器具，避免药液流入湖泊、河流或鱼塘中污染水源。用过的容器应妥善处理，不可做他用，也不可随意丢弃。 5. 赤眼蜂等天敌放飞区域禁用，蚕室附近禁用。 6.避免孕妇及哺乳期妇女接触。 7.结合实际情况，在当地农业技术人员指导下使用。</w:t>
            </w:r>
          </w:p>
        </w:tc>
      </w:tr>
      <w:tr w14:paraId="7321D39A">
        <w:tblPrEx>
          <w:tblCellMar>
            <w:top w:w="0" w:type="dxa"/>
            <w:left w:w="0" w:type="dxa"/>
            <w:bottom w:w="0" w:type="dxa"/>
            <w:right w:w="0" w:type="dxa"/>
          </w:tblCellMar>
        </w:tblPrEx>
        <w:trPr>
          <w:wBefore w:w="0" w:type="auto"/>
          <w:tblCellSpacing w:w="0" w:type="dxa"/>
        </w:trPr>
        <w:tc>
          <w:tcPr>
            <w:tcW w:w="0" w:type="auto"/>
            <w:noWrap w:val="0"/>
            <w:vAlign w:val="center"/>
          </w:tcPr>
          <w:p w14:paraId="4F6E1825">
            <w:r>
              <w:rPr>
                <w:rStyle w:val="10"/>
                <w:rFonts w:hint="eastAsia"/>
              </w:rPr>
              <w:t>中毒急救措施：</w:t>
            </w:r>
            <w:r>
              <w:rPr>
                <w:rFonts w:hint="eastAsia"/>
              </w:rPr>
              <w:br w:type="textWrapping"/>
            </w:r>
            <w:r>
              <w:rPr>
                <w:rStyle w:val="11"/>
                <w:rFonts w:hint="eastAsia"/>
              </w:rPr>
              <w:t xml:space="preserve">不慎吸入，应将病人移至空气流通处。不慎接触皮肤或溅入眼睛，应用大量清水冲洗至少15分钟。误服则应立即携此标签将病人送医院诊治。本品无特殊解毒剂，请医生对症治疗。 </w:t>
            </w:r>
          </w:p>
        </w:tc>
      </w:tr>
      <w:tr w14:paraId="28BA9AD5">
        <w:tblPrEx>
          <w:tblCellMar>
            <w:top w:w="0" w:type="dxa"/>
            <w:left w:w="0" w:type="dxa"/>
            <w:bottom w:w="0" w:type="dxa"/>
            <w:right w:w="0" w:type="dxa"/>
          </w:tblCellMar>
        </w:tblPrEx>
        <w:trPr>
          <w:wBefore w:w="0" w:type="auto"/>
          <w:tblCellSpacing w:w="0" w:type="dxa"/>
        </w:trPr>
        <w:tc>
          <w:tcPr>
            <w:tcW w:w="0" w:type="auto"/>
            <w:noWrap w:val="0"/>
            <w:vAlign w:val="center"/>
          </w:tcPr>
          <w:p w14:paraId="562E3AF3">
            <w:r>
              <w:rPr>
                <w:rStyle w:val="10"/>
                <w:rFonts w:hint="eastAsia"/>
              </w:rPr>
              <w:t>储存和运输方法：</w:t>
            </w:r>
            <w:r>
              <w:rPr>
                <w:rFonts w:hint="eastAsia"/>
              </w:rPr>
              <w:br w:type="textWrapping"/>
            </w:r>
            <w:r>
              <w:rPr>
                <w:rStyle w:val="11"/>
                <w:rFonts w:hint="eastAsia"/>
              </w:rPr>
              <w:t xml:space="preserve">本品应储存在干燥、阴凉、通风、防雨处，置于儿童、无关人员触及不到之处，并加锁。勿与食品、饮料、饲料、粮食等同贮同运。运输时应注意避光、防高温、防雨淋。运输和装卸时注意轻拿轻放，切勿倒置。远离火源或热源。 </w:t>
            </w:r>
          </w:p>
        </w:tc>
      </w:tr>
      <w:tr w14:paraId="27E53CA6">
        <w:tblPrEx>
          <w:tblCellMar>
            <w:top w:w="0" w:type="dxa"/>
            <w:left w:w="0" w:type="dxa"/>
            <w:bottom w:w="0" w:type="dxa"/>
            <w:right w:w="0" w:type="dxa"/>
          </w:tblCellMar>
        </w:tblPrEx>
        <w:trPr>
          <w:wBefore w:w="0" w:type="auto"/>
          <w:tblCellSpacing w:w="0" w:type="dxa"/>
        </w:trPr>
        <w:tc>
          <w:tcPr>
            <w:tcW w:w="0" w:type="auto"/>
            <w:noWrap w:val="0"/>
            <w:vAlign w:val="center"/>
          </w:tcPr>
          <w:p w14:paraId="6C3774CA">
            <w:r>
              <w:rPr>
                <w:rStyle w:val="10"/>
                <w:rFonts w:hint="eastAsia"/>
              </w:rPr>
              <w:t>质量保证期：</w:t>
            </w:r>
            <w:r>
              <w:rPr>
                <w:rStyle w:val="11"/>
                <w:rFonts w:hint="eastAsia"/>
              </w:rPr>
              <w:t>2年</w:t>
            </w:r>
          </w:p>
        </w:tc>
      </w:tr>
      <w:tr w14:paraId="3E361312">
        <w:tblPrEx>
          <w:tblCellMar>
            <w:top w:w="0" w:type="dxa"/>
            <w:left w:w="0" w:type="dxa"/>
            <w:bottom w:w="0" w:type="dxa"/>
            <w:right w:w="0" w:type="dxa"/>
          </w:tblCellMar>
        </w:tblPrEx>
        <w:trPr>
          <w:wBefore w:w="0" w:type="auto"/>
          <w:tblCellSpacing w:w="0" w:type="dxa"/>
        </w:trPr>
        <w:tc>
          <w:tcPr>
            <w:tcW w:w="0" w:type="auto"/>
            <w:noWrap w:val="0"/>
            <w:vAlign w:val="center"/>
          </w:tcPr>
          <w:p w14:paraId="35510E4A">
            <w:r>
              <w:rPr>
                <w:rStyle w:val="10"/>
                <w:rFonts w:hint="eastAsia"/>
              </w:rPr>
              <w:t>备注：</w:t>
            </w:r>
          </w:p>
        </w:tc>
      </w:tr>
    </w:tbl>
    <w:p w14:paraId="42D8FE2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CA7783E">
        <w:tblPrEx>
          <w:tblCellMar>
            <w:top w:w="0" w:type="dxa"/>
            <w:left w:w="0" w:type="dxa"/>
            <w:bottom w:w="0" w:type="dxa"/>
            <w:right w:w="0" w:type="dxa"/>
          </w:tblCellMar>
        </w:tblPrEx>
        <w:trPr>
          <w:wBefore w:w="0" w:type="auto"/>
          <w:tblCellSpacing w:w="0" w:type="dxa"/>
        </w:trPr>
        <w:tc>
          <w:tcPr>
            <w:tcW w:w="0" w:type="auto"/>
            <w:noWrap w:val="0"/>
            <w:vAlign w:val="center"/>
          </w:tcPr>
          <w:p w14:paraId="75FE8DF3">
            <w:r>
              <w:rPr>
                <w:rStyle w:val="10"/>
                <w:rFonts w:hint="eastAsia"/>
              </w:rPr>
              <w:t>登记证号：</w:t>
            </w:r>
            <w:r>
              <w:rPr>
                <w:rFonts w:hint="eastAsia"/>
              </w:rPr>
              <w:t>PD20211988</w:t>
            </w:r>
          </w:p>
        </w:tc>
      </w:tr>
      <w:tr w14:paraId="1EE815CC">
        <w:tblPrEx>
          <w:tblCellMar>
            <w:top w:w="0" w:type="dxa"/>
            <w:left w:w="0" w:type="dxa"/>
            <w:bottom w:w="0" w:type="dxa"/>
            <w:right w:w="0" w:type="dxa"/>
          </w:tblCellMar>
        </w:tblPrEx>
        <w:trPr>
          <w:wBefore w:w="0" w:type="auto"/>
          <w:tblCellSpacing w:w="0" w:type="dxa"/>
        </w:trPr>
        <w:tc>
          <w:tcPr>
            <w:tcW w:w="0" w:type="auto"/>
            <w:noWrap w:val="0"/>
            <w:vAlign w:val="center"/>
          </w:tcPr>
          <w:p w14:paraId="16455185">
            <w:r>
              <w:rPr>
                <w:rStyle w:val="10"/>
                <w:rFonts w:hint="eastAsia"/>
              </w:rPr>
              <w:t>登记证持有人：</w:t>
            </w:r>
            <w:r>
              <w:rPr>
                <w:rFonts w:hint="eastAsia"/>
              </w:rPr>
              <w:t>河南瀚斯作物保护有限公司</w:t>
            </w:r>
          </w:p>
        </w:tc>
      </w:tr>
      <w:tr w14:paraId="1610554B">
        <w:tblPrEx>
          <w:tblCellMar>
            <w:top w:w="0" w:type="dxa"/>
            <w:left w:w="0" w:type="dxa"/>
            <w:bottom w:w="0" w:type="dxa"/>
            <w:right w:w="0" w:type="dxa"/>
          </w:tblCellMar>
        </w:tblPrEx>
        <w:trPr>
          <w:wBefore w:w="0" w:type="auto"/>
          <w:tblCellSpacing w:w="0" w:type="dxa"/>
        </w:trPr>
        <w:tc>
          <w:tcPr>
            <w:tcW w:w="0" w:type="auto"/>
            <w:noWrap w:val="0"/>
            <w:vAlign w:val="center"/>
          </w:tcPr>
          <w:p w14:paraId="0985F719">
            <w:r>
              <w:rPr>
                <w:rStyle w:val="10"/>
                <w:rFonts w:hint="eastAsia"/>
              </w:rPr>
              <w:t>农药名称：</w:t>
            </w:r>
            <w:r>
              <w:rPr>
                <w:rFonts w:hint="eastAsia"/>
              </w:rPr>
              <w:t>唑醚·氟环唑</w:t>
            </w:r>
          </w:p>
        </w:tc>
      </w:tr>
      <w:tr w14:paraId="00A7D11B">
        <w:tblPrEx>
          <w:tblCellMar>
            <w:top w:w="0" w:type="dxa"/>
            <w:left w:w="0" w:type="dxa"/>
            <w:bottom w:w="0" w:type="dxa"/>
            <w:right w:w="0" w:type="dxa"/>
          </w:tblCellMar>
        </w:tblPrEx>
        <w:trPr>
          <w:wBefore w:w="0" w:type="auto"/>
          <w:tblCellSpacing w:w="0" w:type="dxa"/>
        </w:trPr>
        <w:tc>
          <w:tcPr>
            <w:tcW w:w="0" w:type="auto"/>
            <w:noWrap w:val="0"/>
            <w:vAlign w:val="center"/>
          </w:tcPr>
          <w:p w14:paraId="242381B3">
            <w:r>
              <w:rPr>
                <w:rStyle w:val="10"/>
                <w:rFonts w:hint="eastAsia"/>
              </w:rPr>
              <w:t>剂型：</w:t>
            </w:r>
            <w:r>
              <w:rPr>
                <w:rFonts w:hint="eastAsia"/>
              </w:rPr>
              <w:t>悬浮剂</w:t>
            </w:r>
          </w:p>
        </w:tc>
      </w:tr>
      <w:tr w14:paraId="5C57BCC3">
        <w:tblPrEx>
          <w:tblCellMar>
            <w:top w:w="0" w:type="dxa"/>
            <w:left w:w="0" w:type="dxa"/>
            <w:bottom w:w="0" w:type="dxa"/>
            <w:right w:w="0" w:type="dxa"/>
          </w:tblCellMar>
        </w:tblPrEx>
        <w:trPr>
          <w:wBefore w:w="0" w:type="auto"/>
          <w:tblCellSpacing w:w="0" w:type="dxa"/>
        </w:trPr>
        <w:tc>
          <w:tcPr>
            <w:tcW w:w="0" w:type="auto"/>
            <w:noWrap w:val="0"/>
            <w:vAlign w:val="center"/>
          </w:tcPr>
          <w:p w14:paraId="2233C6F9">
            <w:r>
              <w:rPr>
                <w:rStyle w:val="10"/>
                <w:rFonts w:hint="eastAsia"/>
              </w:rPr>
              <w:t>毒性及其标识：</w:t>
            </w:r>
            <w:r>
              <w:rPr>
                <w:rFonts w:hint="eastAsia"/>
              </w:rPr>
              <w:t xml:space="preserve"> </w:t>
            </w:r>
            <w:r>
              <w:rPr>
                <w:lang/>
              </w:rPr>
              <w:drawing>
                <wp:inline distT="0" distB="0" distL="114300" distR="114300">
                  <wp:extent cx="476250" cy="323850"/>
                  <wp:effectExtent l="0" t="0" r="0" b="0"/>
                  <wp:docPr id="56" name="图片 5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98F17B9">
        <w:tblPrEx>
          <w:tblCellMar>
            <w:top w:w="0" w:type="dxa"/>
            <w:left w:w="0" w:type="dxa"/>
            <w:bottom w:w="0" w:type="dxa"/>
            <w:right w:w="0" w:type="dxa"/>
          </w:tblCellMar>
        </w:tblPrEx>
        <w:trPr>
          <w:wBefore w:w="0" w:type="auto"/>
          <w:tblCellSpacing w:w="0" w:type="dxa"/>
        </w:trPr>
        <w:tc>
          <w:tcPr>
            <w:tcW w:w="0" w:type="auto"/>
            <w:noWrap w:val="0"/>
            <w:vAlign w:val="center"/>
          </w:tcPr>
          <w:p w14:paraId="6ACB1487">
            <w:r>
              <w:rPr>
                <w:rStyle w:val="10"/>
                <w:rFonts w:hint="eastAsia"/>
              </w:rPr>
              <w:t>总有效成分含量：</w:t>
            </w:r>
            <w:r>
              <w:rPr>
                <w:rFonts w:hint="eastAsia"/>
              </w:rPr>
              <w:t>30%</w:t>
            </w:r>
          </w:p>
        </w:tc>
      </w:tr>
      <w:tr w14:paraId="047B48AA">
        <w:tblPrEx>
          <w:tblCellMar>
            <w:top w:w="0" w:type="dxa"/>
            <w:left w:w="0" w:type="dxa"/>
            <w:bottom w:w="0" w:type="dxa"/>
            <w:right w:w="0" w:type="dxa"/>
          </w:tblCellMar>
        </w:tblPrEx>
        <w:trPr>
          <w:wBefore w:w="0" w:type="auto"/>
          <w:tblCellSpacing w:w="0" w:type="dxa"/>
        </w:trPr>
        <w:tc>
          <w:tcPr>
            <w:tcW w:w="0" w:type="auto"/>
            <w:noWrap w:val="0"/>
            <w:vAlign w:val="center"/>
          </w:tcPr>
          <w:p w14:paraId="72F814FD">
            <w:r>
              <w:rPr>
                <w:rFonts w:hint="eastAsia"/>
              </w:rPr>
              <w:t xml:space="preserve">有效成分及其含量： </w:t>
            </w:r>
          </w:p>
          <w:p w14:paraId="1393B20A">
            <w:r>
              <w:rPr>
                <w:rFonts w:hint="eastAsia"/>
              </w:rPr>
              <w:t xml:space="preserve">    氟环唑7.5%    吡唑醚菌酯22.5%    </w:t>
            </w:r>
          </w:p>
        </w:tc>
      </w:tr>
      <w:tr w14:paraId="17928D8A">
        <w:tblPrEx>
          <w:tblCellMar>
            <w:top w:w="0" w:type="dxa"/>
            <w:left w:w="0" w:type="dxa"/>
            <w:bottom w:w="0" w:type="dxa"/>
            <w:right w:w="0" w:type="dxa"/>
          </w:tblCellMar>
        </w:tblPrEx>
        <w:trPr>
          <w:wBefore w:w="0" w:type="auto"/>
          <w:tblCellSpacing w:w="0" w:type="dxa"/>
        </w:trPr>
        <w:tc>
          <w:tcPr>
            <w:tcW w:w="0" w:type="auto"/>
            <w:noWrap w:val="0"/>
            <w:vAlign w:val="center"/>
          </w:tcPr>
          <w:p w14:paraId="4D4EE1E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8401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3F70AE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BD47C8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7DBF22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CB0D6E8">
                  <w:r>
                    <w:rPr>
                      <w:rStyle w:val="11"/>
                      <w:rFonts w:hint="eastAsia"/>
                    </w:rPr>
                    <w:t>施用方式</w:t>
                  </w:r>
                </w:p>
              </w:tc>
            </w:tr>
            <w:tr w14:paraId="735A97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6598F5A">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D18229">
                  <w:r>
                    <w:rPr>
                      <w:rStyle w:val="11"/>
                      <w:rFonts w:hint="eastAsia"/>
                    </w:rPr>
                    <w:t>赤霉病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D8227D">
                  <w:r>
                    <w:rPr>
                      <w:rStyle w:val="11"/>
                      <w:rFonts w:hint="eastAsia"/>
                    </w:rPr>
                    <w:t>35-40毫升/亩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645FCF">
                  <w:r>
                    <w:rPr>
                      <w:rStyle w:val="11"/>
                      <w:rFonts w:hint="eastAsia"/>
                    </w:rPr>
                    <w:t>喷雾</w:t>
                  </w:r>
                </w:p>
              </w:tc>
            </w:tr>
          </w:tbl>
          <w:p w14:paraId="3CFE72F0">
            <w:pPr>
              <w:rPr>
                <w:rFonts w:ascii="Times New Roman" w:hAnsi="Times New Roman" w:cs="Times New Roman"/>
                <w:sz w:val="20"/>
                <w:szCs w:val="20"/>
              </w:rPr>
            </w:pPr>
          </w:p>
        </w:tc>
      </w:tr>
      <w:tr w14:paraId="1B87C976">
        <w:tblPrEx>
          <w:tblCellMar>
            <w:top w:w="0" w:type="dxa"/>
            <w:left w:w="0" w:type="dxa"/>
            <w:bottom w:w="0" w:type="dxa"/>
            <w:right w:w="0" w:type="dxa"/>
          </w:tblCellMar>
        </w:tblPrEx>
        <w:trPr>
          <w:wBefore w:w="0" w:type="auto"/>
          <w:tblCellSpacing w:w="0" w:type="dxa"/>
        </w:trPr>
        <w:tc>
          <w:tcPr>
            <w:tcW w:w="0" w:type="auto"/>
            <w:noWrap w:val="0"/>
            <w:vAlign w:val="center"/>
          </w:tcPr>
          <w:p w14:paraId="6491F874">
            <w:r>
              <w:rPr>
                <w:rStyle w:val="10"/>
                <w:rFonts w:hint="eastAsia"/>
              </w:rPr>
              <w:t>使用技术要求:</w:t>
            </w:r>
            <w:r>
              <w:rPr>
                <w:rFonts w:hint="eastAsia"/>
              </w:rPr>
              <w:br w:type="textWrapping"/>
            </w:r>
            <w:r>
              <w:rPr>
                <w:rStyle w:val="11"/>
                <w:rFonts w:hint="eastAsia"/>
              </w:rPr>
              <w:t>1. 于小麦扬花初期施药，施药2次，间隔5-7天。 2. 大风天或预计1小时内有雨，请勿施药。 3. 本品在小麦上的安全间隔期为21天，每季作物最多施药2次。</w:t>
            </w:r>
          </w:p>
        </w:tc>
      </w:tr>
      <w:tr w14:paraId="18B3A9F5">
        <w:tblPrEx>
          <w:tblCellMar>
            <w:top w:w="0" w:type="dxa"/>
            <w:left w:w="0" w:type="dxa"/>
            <w:bottom w:w="0" w:type="dxa"/>
            <w:right w:w="0" w:type="dxa"/>
          </w:tblCellMar>
        </w:tblPrEx>
        <w:trPr>
          <w:wBefore w:w="0" w:type="auto"/>
          <w:tblCellSpacing w:w="0" w:type="dxa"/>
        </w:trPr>
        <w:tc>
          <w:tcPr>
            <w:tcW w:w="0" w:type="auto"/>
            <w:noWrap w:val="0"/>
            <w:vAlign w:val="center"/>
          </w:tcPr>
          <w:p w14:paraId="008DD914">
            <w:r>
              <w:rPr>
                <w:rStyle w:val="10"/>
                <w:rFonts w:hint="eastAsia"/>
              </w:rPr>
              <w:t>产品性能:</w:t>
            </w:r>
            <w:r>
              <w:rPr>
                <w:rFonts w:hint="eastAsia"/>
              </w:rPr>
              <w:br w:type="textWrapping"/>
            </w:r>
            <w:r>
              <w:rPr>
                <w:rStyle w:val="11"/>
                <w:rFonts w:hint="eastAsia"/>
              </w:rPr>
              <w:t>本品由吡唑醚菌酯和氟环唑复配而成。其中吡唑醚菌酯属甲氧基丙烯酸酯类杀菌剂，具有良好的保护和治疗作用。氟环唑是一种具有内吸、治疗作用的三唑类广谱性杀菌剂，能被植物的茎、叶吸收，并向上、向外传导。二者复配对小麦赤霉病有较好的防效。</w:t>
            </w:r>
          </w:p>
        </w:tc>
      </w:tr>
      <w:tr w14:paraId="50B66283">
        <w:tblPrEx>
          <w:tblCellMar>
            <w:top w:w="0" w:type="dxa"/>
            <w:left w:w="0" w:type="dxa"/>
            <w:bottom w:w="0" w:type="dxa"/>
            <w:right w:w="0" w:type="dxa"/>
          </w:tblCellMar>
        </w:tblPrEx>
        <w:trPr>
          <w:wBefore w:w="0" w:type="auto"/>
          <w:tblCellSpacing w:w="0" w:type="dxa"/>
        </w:trPr>
        <w:tc>
          <w:tcPr>
            <w:tcW w:w="0" w:type="auto"/>
            <w:noWrap w:val="0"/>
            <w:vAlign w:val="center"/>
          </w:tcPr>
          <w:p w14:paraId="3653B4DF">
            <w:r>
              <w:rPr>
                <w:rStyle w:val="10"/>
                <w:rFonts w:hint="eastAsia"/>
              </w:rPr>
              <w:t>注意事项：</w:t>
            </w:r>
            <w:r>
              <w:rPr>
                <w:rFonts w:hint="eastAsia"/>
              </w:rPr>
              <w:br w:type="textWrapping"/>
            </w:r>
            <w:r>
              <w:rPr>
                <w:rStyle w:val="11"/>
                <w:rFonts w:hint="eastAsia"/>
              </w:rPr>
              <w:t>1. 本品不可与强酸或强碱性物质混合使用。 2. 使用时穿戴长衣、长裤、帽子、口罩、手套等安全防护措施，避免吸入药液，施药期间不可吃东西和饮水，施药后应及时洗手和洗脸。 3. 水产养殖区、河塘等水体附近禁用，禁止在河塘等水域清洗施药器具；桑园及蚕室附近禁用； 瓢虫等天敌放飞区域禁用；鸟类保护区附近禁用。 4. 本品对藻类和水蚤类毒性高，施药时应注意对该些类生物的影响。5. 用过的容器要妥善处理，不可作他用，也不可随意丢弃。6. 孕妇及哺乳期妇女禁止接触。</w:t>
            </w:r>
          </w:p>
        </w:tc>
      </w:tr>
      <w:tr w14:paraId="332DD929">
        <w:tblPrEx>
          <w:tblCellMar>
            <w:top w:w="0" w:type="dxa"/>
            <w:left w:w="0" w:type="dxa"/>
            <w:bottom w:w="0" w:type="dxa"/>
            <w:right w:w="0" w:type="dxa"/>
          </w:tblCellMar>
        </w:tblPrEx>
        <w:trPr>
          <w:wBefore w:w="0" w:type="auto"/>
          <w:tblCellSpacing w:w="0" w:type="dxa"/>
        </w:trPr>
        <w:tc>
          <w:tcPr>
            <w:tcW w:w="0" w:type="auto"/>
            <w:noWrap w:val="0"/>
            <w:vAlign w:val="center"/>
          </w:tcPr>
          <w:p w14:paraId="25BCE4CD">
            <w:r>
              <w:rPr>
                <w:rStyle w:val="10"/>
                <w:rFonts w:hint="eastAsia"/>
              </w:rPr>
              <w:t>中毒急救措施：</w:t>
            </w:r>
            <w:r>
              <w:rPr>
                <w:rFonts w:hint="eastAsia"/>
              </w:rPr>
              <w:br w:type="textWrapping"/>
            </w:r>
            <w:r>
              <w:rPr>
                <w:rStyle w:val="11"/>
                <w:rFonts w:hint="eastAsia"/>
              </w:rPr>
              <w:t>1. 中毒症状表现为头痛、呕吐、恶心、呼吸急促、抽搐、昏迷等。严重时对肝、肾损伤。2. 眼睛溅入：立刻用大量清水冲洗，如配戴隐形眼镜，冲洗1-2分钟后摘掉眼镜再冲洗数分钟。如症状持续，请就医。3. 不慎吸入，将病人移至空气流通处。4. 皮肤沾附∶除去被溅及衣物，并立刻用肥皂和大量清水冲洗皮肤。被溅及衣物须彻底清洗后方可再穿。5. 误食∶请勿引吐。如误食请就医，对症治疗。无特效解毒剂。</w:t>
            </w:r>
          </w:p>
        </w:tc>
      </w:tr>
      <w:tr w14:paraId="1F9DCCCE">
        <w:tblPrEx>
          <w:tblCellMar>
            <w:top w:w="0" w:type="dxa"/>
            <w:left w:w="0" w:type="dxa"/>
            <w:bottom w:w="0" w:type="dxa"/>
            <w:right w:w="0" w:type="dxa"/>
          </w:tblCellMar>
        </w:tblPrEx>
        <w:trPr>
          <w:wBefore w:w="0" w:type="auto"/>
          <w:tblCellSpacing w:w="0" w:type="dxa"/>
        </w:trPr>
        <w:tc>
          <w:tcPr>
            <w:tcW w:w="0" w:type="auto"/>
            <w:noWrap w:val="0"/>
            <w:vAlign w:val="center"/>
          </w:tcPr>
          <w:p w14:paraId="198CA429">
            <w:r>
              <w:rPr>
                <w:rStyle w:val="10"/>
                <w:rFonts w:hint="eastAsia"/>
              </w:rPr>
              <w:t>储存和运输方法：</w:t>
            </w:r>
            <w:r>
              <w:rPr>
                <w:rFonts w:hint="eastAsia"/>
              </w:rPr>
              <w:br w:type="textWrapping"/>
            </w:r>
            <w:r>
              <w:rPr>
                <w:rStyle w:val="11"/>
                <w:rFonts w:hint="eastAsia"/>
              </w:rPr>
              <w:t>本品应贮存在干燥、阴凉、通风处、防雨防湿防潮，远离火源或热源。置于儿童、无关人员触及不到之处，并加锁。勿与食品、饮料、饲料、粮食等同贮同运。</w:t>
            </w:r>
          </w:p>
        </w:tc>
      </w:tr>
      <w:tr w14:paraId="40A70516">
        <w:tblPrEx>
          <w:tblCellMar>
            <w:top w:w="0" w:type="dxa"/>
            <w:left w:w="0" w:type="dxa"/>
            <w:bottom w:w="0" w:type="dxa"/>
            <w:right w:w="0" w:type="dxa"/>
          </w:tblCellMar>
        </w:tblPrEx>
        <w:trPr>
          <w:wBefore w:w="0" w:type="auto"/>
          <w:tblCellSpacing w:w="0" w:type="dxa"/>
        </w:trPr>
        <w:tc>
          <w:tcPr>
            <w:tcW w:w="0" w:type="auto"/>
            <w:noWrap w:val="0"/>
            <w:vAlign w:val="center"/>
          </w:tcPr>
          <w:p w14:paraId="4460BA18">
            <w:r>
              <w:rPr>
                <w:rStyle w:val="10"/>
                <w:rFonts w:hint="eastAsia"/>
              </w:rPr>
              <w:t>质量保证期：</w:t>
            </w:r>
            <w:r>
              <w:rPr>
                <w:rStyle w:val="11"/>
                <w:rFonts w:hint="eastAsia"/>
              </w:rPr>
              <w:t>2年</w:t>
            </w:r>
          </w:p>
        </w:tc>
      </w:tr>
      <w:tr w14:paraId="60F965D7">
        <w:tblPrEx>
          <w:tblCellMar>
            <w:top w:w="0" w:type="dxa"/>
            <w:left w:w="0" w:type="dxa"/>
            <w:bottom w:w="0" w:type="dxa"/>
            <w:right w:w="0" w:type="dxa"/>
          </w:tblCellMar>
        </w:tblPrEx>
        <w:trPr>
          <w:wBefore w:w="0" w:type="auto"/>
          <w:tblCellSpacing w:w="0" w:type="dxa"/>
        </w:trPr>
        <w:tc>
          <w:tcPr>
            <w:tcW w:w="0" w:type="auto"/>
            <w:noWrap w:val="0"/>
            <w:vAlign w:val="center"/>
          </w:tcPr>
          <w:p w14:paraId="275E0AF4">
            <w:r>
              <w:rPr>
                <w:rStyle w:val="10"/>
                <w:rFonts w:hint="eastAsia"/>
              </w:rPr>
              <w:t>备注：</w:t>
            </w:r>
          </w:p>
        </w:tc>
      </w:tr>
    </w:tbl>
    <w:p w14:paraId="5946330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27FF063">
        <w:tblPrEx>
          <w:tblCellMar>
            <w:top w:w="0" w:type="dxa"/>
            <w:left w:w="0" w:type="dxa"/>
            <w:bottom w:w="0" w:type="dxa"/>
            <w:right w:w="0" w:type="dxa"/>
          </w:tblCellMar>
        </w:tblPrEx>
        <w:trPr>
          <w:wBefore w:w="0" w:type="auto"/>
          <w:tblCellSpacing w:w="0" w:type="dxa"/>
        </w:trPr>
        <w:tc>
          <w:tcPr>
            <w:tcW w:w="0" w:type="auto"/>
            <w:noWrap w:val="0"/>
            <w:vAlign w:val="center"/>
          </w:tcPr>
          <w:p w14:paraId="76C87FEE">
            <w:r>
              <w:rPr>
                <w:rStyle w:val="10"/>
                <w:rFonts w:hint="eastAsia"/>
              </w:rPr>
              <w:t>登记证号：</w:t>
            </w:r>
            <w:r>
              <w:rPr>
                <w:rFonts w:hint="eastAsia"/>
              </w:rPr>
              <w:t>PD20212125</w:t>
            </w:r>
          </w:p>
        </w:tc>
      </w:tr>
      <w:tr w14:paraId="02F3BE6C">
        <w:tblPrEx>
          <w:tblCellMar>
            <w:top w:w="0" w:type="dxa"/>
            <w:left w:w="0" w:type="dxa"/>
            <w:bottom w:w="0" w:type="dxa"/>
            <w:right w:w="0" w:type="dxa"/>
          </w:tblCellMar>
        </w:tblPrEx>
        <w:trPr>
          <w:wBefore w:w="0" w:type="auto"/>
          <w:tblCellSpacing w:w="0" w:type="dxa"/>
        </w:trPr>
        <w:tc>
          <w:tcPr>
            <w:tcW w:w="0" w:type="auto"/>
            <w:noWrap w:val="0"/>
            <w:vAlign w:val="center"/>
          </w:tcPr>
          <w:p w14:paraId="1EF36024">
            <w:r>
              <w:rPr>
                <w:rStyle w:val="10"/>
                <w:rFonts w:hint="eastAsia"/>
              </w:rPr>
              <w:t>登记证持有人：</w:t>
            </w:r>
            <w:r>
              <w:rPr>
                <w:rFonts w:hint="eastAsia"/>
              </w:rPr>
              <w:t>浙江吉顺植物科技有限公司</w:t>
            </w:r>
          </w:p>
        </w:tc>
      </w:tr>
      <w:tr w14:paraId="162EE47A">
        <w:tblPrEx>
          <w:tblCellMar>
            <w:top w:w="0" w:type="dxa"/>
            <w:left w:w="0" w:type="dxa"/>
            <w:bottom w:w="0" w:type="dxa"/>
            <w:right w:w="0" w:type="dxa"/>
          </w:tblCellMar>
        </w:tblPrEx>
        <w:trPr>
          <w:wBefore w:w="0" w:type="auto"/>
          <w:tblCellSpacing w:w="0" w:type="dxa"/>
        </w:trPr>
        <w:tc>
          <w:tcPr>
            <w:tcW w:w="0" w:type="auto"/>
            <w:noWrap w:val="0"/>
            <w:vAlign w:val="center"/>
          </w:tcPr>
          <w:p w14:paraId="29807187">
            <w:r>
              <w:rPr>
                <w:rStyle w:val="10"/>
                <w:rFonts w:hint="eastAsia"/>
              </w:rPr>
              <w:t>农药名称：</w:t>
            </w:r>
            <w:r>
              <w:rPr>
                <w:rFonts w:hint="eastAsia"/>
              </w:rPr>
              <w:t>噁唑·氰氟</w:t>
            </w:r>
          </w:p>
        </w:tc>
      </w:tr>
      <w:tr w14:paraId="7CFE0F52">
        <w:tblPrEx>
          <w:tblCellMar>
            <w:top w:w="0" w:type="dxa"/>
            <w:left w:w="0" w:type="dxa"/>
            <w:bottom w:w="0" w:type="dxa"/>
            <w:right w:w="0" w:type="dxa"/>
          </w:tblCellMar>
        </w:tblPrEx>
        <w:trPr>
          <w:wBefore w:w="0" w:type="auto"/>
          <w:tblCellSpacing w:w="0" w:type="dxa"/>
        </w:trPr>
        <w:tc>
          <w:tcPr>
            <w:tcW w:w="0" w:type="auto"/>
            <w:noWrap w:val="0"/>
            <w:vAlign w:val="center"/>
          </w:tcPr>
          <w:p w14:paraId="6A10B439">
            <w:r>
              <w:rPr>
                <w:rStyle w:val="10"/>
                <w:rFonts w:hint="eastAsia"/>
              </w:rPr>
              <w:t>剂型：</w:t>
            </w:r>
            <w:r>
              <w:rPr>
                <w:rFonts w:hint="eastAsia"/>
              </w:rPr>
              <w:t>可分散油悬浮剂</w:t>
            </w:r>
          </w:p>
        </w:tc>
      </w:tr>
      <w:tr w14:paraId="5E752238">
        <w:tblPrEx>
          <w:tblCellMar>
            <w:top w:w="0" w:type="dxa"/>
            <w:left w:w="0" w:type="dxa"/>
            <w:bottom w:w="0" w:type="dxa"/>
            <w:right w:w="0" w:type="dxa"/>
          </w:tblCellMar>
        </w:tblPrEx>
        <w:trPr>
          <w:wBefore w:w="0" w:type="auto"/>
          <w:tblCellSpacing w:w="0" w:type="dxa"/>
        </w:trPr>
        <w:tc>
          <w:tcPr>
            <w:tcW w:w="0" w:type="auto"/>
            <w:noWrap w:val="0"/>
            <w:vAlign w:val="center"/>
          </w:tcPr>
          <w:p w14:paraId="2C7BBA80">
            <w:r>
              <w:rPr>
                <w:rStyle w:val="10"/>
                <w:rFonts w:hint="eastAsia"/>
              </w:rPr>
              <w:t>毒性及其标识：</w:t>
            </w:r>
            <w:r>
              <w:rPr>
                <w:rFonts w:hint="eastAsia"/>
              </w:rPr>
              <w:t xml:space="preserve"> </w:t>
            </w:r>
            <w:r>
              <w:rPr>
                <w:lang/>
              </w:rPr>
              <w:drawing>
                <wp:inline distT="0" distB="0" distL="114300" distR="114300">
                  <wp:extent cx="476250" cy="323850"/>
                  <wp:effectExtent l="0" t="0" r="0" b="0"/>
                  <wp:docPr id="57" name="图片 5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57FE649">
        <w:tblPrEx>
          <w:tblCellMar>
            <w:top w:w="0" w:type="dxa"/>
            <w:left w:w="0" w:type="dxa"/>
            <w:bottom w:w="0" w:type="dxa"/>
            <w:right w:w="0" w:type="dxa"/>
          </w:tblCellMar>
        </w:tblPrEx>
        <w:trPr>
          <w:wBefore w:w="0" w:type="auto"/>
          <w:tblCellSpacing w:w="0" w:type="dxa"/>
        </w:trPr>
        <w:tc>
          <w:tcPr>
            <w:tcW w:w="0" w:type="auto"/>
            <w:noWrap w:val="0"/>
            <w:vAlign w:val="center"/>
          </w:tcPr>
          <w:p w14:paraId="59A4B892">
            <w:r>
              <w:rPr>
                <w:rStyle w:val="10"/>
                <w:rFonts w:hint="eastAsia"/>
              </w:rPr>
              <w:t>总有效成分含量：</w:t>
            </w:r>
            <w:r>
              <w:rPr>
                <w:rFonts w:hint="eastAsia"/>
              </w:rPr>
              <w:t>25%</w:t>
            </w:r>
          </w:p>
        </w:tc>
      </w:tr>
      <w:tr w14:paraId="56B5C4AA">
        <w:tblPrEx>
          <w:tblCellMar>
            <w:top w:w="0" w:type="dxa"/>
            <w:left w:w="0" w:type="dxa"/>
            <w:bottom w:w="0" w:type="dxa"/>
            <w:right w:w="0" w:type="dxa"/>
          </w:tblCellMar>
        </w:tblPrEx>
        <w:trPr>
          <w:wBefore w:w="0" w:type="auto"/>
          <w:tblCellSpacing w:w="0" w:type="dxa"/>
        </w:trPr>
        <w:tc>
          <w:tcPr>
            <w:tcW w:w="0" w:type="auto"/>
            <w:noWrap w:val="0"/>
            <w:vAlign w:val="center"/>
          </w:tcPr>
          <w:p w14:paraId="5630E0EB">
            <w:r>
              <w:rPr>
                <w:rFonts w:hint="eastAsia"/>
              </w:rPr>
              <w:t xml:space="preserve">有效成分及其含量： </w:t>
            </w:r>
          </w:p>
          <w:p w14:paraId="03A424E4">
            <w:r>
              <w:rPr>
                <w:rFonts w:hint="eastAsia"/>
              </w:rPr>
              <w:t xml:space="preserve">    氰氟草酯15%    噁唑酰草胺10%    </w:t>
            </w:r>
          </w:p>
        </w:tc>
      </w:tr>
      <w:tr w14:paraId="119A97AB">
        <w:tblPrEx>
          <w:tblCellMar>
            <w:top w:w="0" w:type="dxa"/>
            <w:left w:w="0" w:type="dxa"/>
            <w:bottom w:w="0" w:type="dxa"/>
            <w:right w:w="0" w:type="dxa"/>
          </w:tblCellMar>
        </w:tblPrEx>
        <w:trPr>
          <w:wBefore w:w="0" w:type="auto"/>
          <w:tblCellSpacing w:w="0" w:type="dxa"/>
        </w:trPr>
        <w:tc>
          <w:tcPr>
            <w:tcW w:w="0" w:type="auto"/>
            <w:noWrap w:val="0"/>
            <w:vAlign w:val="center"/>
          </w:tcPr>
          <w:p w14:paraId="055A1E9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B8F4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690D26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5340A3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C9A4B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950BA32">
                  <w:r>
                    <w:rPr>
                      <w:rStyle w:val="11"/>
                      <w:rFonts w:hint="eastAsia"/>
                    </w:rPr>
                    <w:t>施用方式</w:t>
                  </w:r>
                </w:p>
              </w:tc>
            </w:tr>
            <w:tr w14:paraId="183F6A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238AC3">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68E7EC">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113E16">
                  <w:r>
                    <w:rPr>
                      <w:rStyle w:val="11"/>
                      <w:rFonts w:hint="eastAsia"/>
                    </w:rPr>
                    <w:t>40-60毫升/亩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E9736F">
                  <w:r>
                    <w:rPr>
                      <w:rStyle w:val="11"/>
                      <w:rFonts w:hint="eastAsia"/>
                    </w:rPr>
                    <w:t>茎叶喷雾</w:t>
                  </w:r>
                </w:p>
              </w:tc>
            </w:tr>
          </w:tbl>
          <w:p w14:paraId="18C53221">
            <w:pPr>
              <w:rPr>
                <w:rFonts w:ascii="Times New Roman" w:hAnsi="Times New Roman" w:cs="Times New Roman"/>
                <w:sz w:val="20"/>
                <w:szCs w:val="20"/>
              </w:rPr>
            </w:pPr>
          </w:p>
        </w:tc>
      </w:tr>
      <w:tr w14:paraId="79424C80">
        <w:tblPrEx>
          <w:tblCellMar>
            <w:top w:w="0" w:type="dxa"/>
            <w:left w:w="0" w:type="dxa"/>
            <w:bottom w:w="0" w:type="dxa"/>
            <w:right w:w="0" w:type="dxa"/>
          </w:tblCellMar>
        </w:tblPrEx>
        <w:trPr>
          <w:wBefore w:w="0" w:type="auto"/>
          <w:tblCellSpacing w:w="0" w:type="dxa"/>
        </w:trPr>
        <w:tc>
          <w:tcPr>
            <w:tcW w:w="0" w:type="auto"/>
            <w:noWrap w:val="0"/>
            <w:vAlign w:val="center"/>
          </w:tcPr>
          <w:p w14:paraId="103E8221">
            <w:r>
              <w:rPr>
                <w:rStyle w:val="10"/>
                <w:rFonts w:hint="eastAsia"/>
              </w:rPr>
              <w:t>使用技术要求:</w:t>
            </w:r>
            <w:r>
              <w:rPr>
                <w:rFonts w:hint="eastAsia"/>
              </w:rPr>
              <w:br w:type="textWrapping"/>
            </w:r>
            <w:r>
              <w:rPr>
                <w:rStyle w:val="11"/>
                <w:rFonts w:hint="eastAsia"/>
              </w:rPr>
              <w:t>1. 在直播稻田杂草2-5叶期，施药前排田水，以推荐剂量兑水均匀茎叶喷雾施药一次，药后1-2天灌水回田，保浅水层5-7天。勿淹没水稻心叶，避免药害。2. 施药时防止药液飘移到邻近作物，以免产生药害。大风天或预计1小时内降雨，请勿施药。 3. 每季作物最多使用1次。</w:t>
            </w:r>
          </w:p>
        </w:tc>
      </w:tr>
      <w:tr w14:paraId="0157AC88">
        <w:tblPrEx>
          <w:tblCellMar>
            <w:top w:w="0" w:type="dxa"/>
            <w:left w:w="0" w:type="dxa"/>
            <w:bottom w:w="0" w:type="dxa"/>
            <w:right w:w="0" w:type="dxa"/>
          </w:tblCellMar>
        </w:tblPrEx>
        <w:trPr>
          <w:wBefore w:w="0" w:type="auto"/>
          <w:tblCellSpacing w:w="0" w:type="dxa"/>
        </w:trPr>
        <w:tc>
          <w:tcPr>
            <w:tcW w:w="0" w:type="auto"/>
            <w:noWrap w:val="0"/>
            <w:vAlign w:val="center"/>
          </w:tcPr>
          <w:p w14:paraId="7B3B1E91">
            <w:r>
              <w:rPr>
                <w:rStyle w:val="10"/>
                <w:rFonts w:hint="eastAsia"/>
              </w:rPr>
              <w:t>产品性能:</w:t>
            </w:r>
            <w:r>
              <w:rPr>
                <w:rFonts w:hint="eastAsia"/>
              </w:rPr>
              <w:br w:type="textWrapping"/>
            </w:r>
            <w:r>
              <w:rPr>
                <w:rStyle w:val="11"/>
                <w:rFonts w:hint="eastAsia"/>
              </w:rPr>
              <w:t>本品是噁唑酰草胺和氰氟草酯的混配制剂，噁唑酰草胺和氰氟草酯均是芳氧苯氧丙酸类内吸传导型除草剂，属乙酰辅酶A羧化酶（ACCase）抑制剂，能抑制植物脂肪酸的合成。经茎叶吸收，通过维管束传导至生长点，达到除草效果，对水稻田（直播）一年生禾本科杂草有较好的防治效果。</w:t>
            </w:r>
          </w:p>
        </w:tc>
      </w:tr>
      <w:tr w14:paraId="41AB4257">
        <w:tblPrEx>
          <w:tblCellMar>
            <w:top w:w="0" w:type="dxa"/>
            <w:left w:w="0" w:type="dxa"/>
            <w:bottom w:w="0" w:type="dxa"/>
            <w:right w:w="0" w:type="dxa"/>
          </w:tblCellMar>
        </w:tblPrEx>
        <w:trPr>
          <w:wBefore w:w="0" w:type="auto"/>
          <w:tblCellSpacing w:w="0" w:type="dxa"/>
        </w:trPr>
        <w:tc>
          <w:tcPr>
            <w:tcW w:w="0" w:type="auto"/>
            <w:noWrap w:val="0"/>
            <w:vAlign w:val="center"/>
          </w:tcPr>
          <w:p w14:paraId="4798B2D7">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本品对眼睛有刺激性，使用时避免接触眼睛，穿戴长衣、长裤、帽子、口罩、手套等防护措施。避免吸入药液；施药期间不可吃东西、饮水、吸烟等；施药后应及时洗手、洗脸并洗涤施药时穿着的衣物。 2. 本品对鱼、藻类等水生生物有毒，水产养殖区、河塘等水体附近禁用，施药后禁止在河塘等水体中清洗施药器具，鱼或虾蟹套养稻田禁用，施药后田水不得直接排入水体，赤眼蜂等天敌放飞区禁用。药后及时彻底清洗药械，废弃物切勿污染水源或水体。 3. 本品对蜜蜂、鸟类有毒，开花植物花期、蜜源期及天敌放飞区、养蜂区、鸟类保护区禁用。 4. 蚕对本品敏感，蚕室及桑园附近禁用。 5. 本产品符合标签说明，请严格按照标签说明使用。 6. 与不同作用机理的除草剂交替使用。 7. 用过的容器应妥善处理，不可做他用，也不可随意丢弃。 8. 禁止儿童、孕妇及哺乳期妇女接触本品。</w:t>
            </w:r>
          </w:p>
        </w:tc>
      </w:tr>
      <w:tr w14:paraId="525C117D">
        <w:tblPrEx>
          <w:tblCellMar>
            <w:top w:w="0" w:type="dxa"/>
            <w:left w:w="0" w:type="dxa"/>
            <w:bottom w:w="0" w:type="dxa"/>
            <w:right w:w="0" w:type="dxa"/>
          </w:tblCellMar>
        </w:tblPrEx>
        <w:trPr>
          <w:wBefore w:w="0" w:type="auto"/>
          <w:tblCellSpacing w:w="0" w:type="dxa"/>
        </w:trPr>
        <w:tc>
          <w:tcPr>
            <w:tcW w:w="0" w:type="auto"/>
            <w:noWrap w:val="0"/>
            <w:vAlign w:val="center"/>
          </w:tcPr>
          <w:p w14:paraId="25085459">
            <w:r>
              <w:rPr>
                <w:rStyle w:val="10"/>
                <w:rFonts w:hint="eastAsia"/>
              </w:rPr>
              <w:t>中毒急救措施：</w:t>
            </w:r>
            <w:r>
              <w:rPr>
                <w:rFonts w:hint="eastAsia"/>
              </w:rPr>
              <w:br w:type="textWrapping"/>
            </w:r>
            <w:r>
              <w:rPr>
                <w:rStyle w:val="11"/>
                <w:rFonts w:hint="eastAsia"/>
              </w:rPr>
              <w:t>1. 眼睛溅入：立刻用大量清水冲洗15-20分钟，如配戴隐形眼镜，冲洗5分钟后摘掉眼镜再冲洗15分钟。携此标签去医院诊治。 2. 误食：立即饮用一杯或两杯水，用一只手指按住咽喉的后面部位，引吐。任何时候，不要试图让失去知觉的人呕吐或通过口部为其喂食。并请立即带标签就医。 3. 、皮肤沾附：脱去被溅到衣服。立即用大量清水冲洗皮肤。衣服彻底清洗后方可再穿。 4. 误吸：转移至空气清新处，如症状持续，向医生咨询。 5. 给医护人员的提示：无特效解毒药，请医生根据症状治疗。</w:t>
            </w:r>
          </w:p>
        </w:tc>
      </w:tr>
      <w:tr w14:paraId="205CB372">
        <w:tblPrEx>
          <w:tblCellMar>
            <w:top w:w="0" w:type="dxa"/>
            <w:left w:w="0" w:type="dxa"/>
            <w:bottom w:w="0" w:type="dxa"/>
            <w:right w:w="0" w:type="dxa"/>
          </w:tblCellMar>
        </w:tblPrEx>
        <w:trPr>
          <w:wBefore w:w="0" w:type="auto"/>
          <w:tblCellSpacing w:w="0" w:type="dxa"/>
        </w:trPr>
        <w:tc>
          <w:tcPr>
            <w:tcW w:w="0" w:type="auto"/>
            <w:noWrap w:val="0"/>
            <w:vAlign w:val="center"/>
          </w:tcPr>
          <w:p w14:paraId="5A62EF1D">
            <w:r>
              <w:rPr>
                <w:rStyle w:val="10"/>
                <w:rFonts w:hint="eastAsia"/>
              </w:rPr>
              <w:t>储存和运输方法：</w:t>
            </w:r>
            <w:r>
              <w:rPr>
                <w:rFonts w:hint="eastAsia"/>
              </w:rPr>
              <w:br w:type="textWrapping"/>
            </w:r>
            <w:r>
              <w:rPr>
                <w:rStyle w:val="11"/>
                <w:rFonts w:hint="eastAsia"/>
              </w:rPr>
              <w:t>1. 本品应在原包装袋中密封贮存于干燥、阴凉、通风、防雨处，远离火源或热源。 2. 存放于儿童、无关人员触及不到之处，并加锁。3. 勿与食品、饮料、粮食、饲料等其他商品同贮同运。贮存或运输时堆层不得超过规定，注意轻拿轻放，以免损坏包装，导致产品泄漏。</w:t>
            </w:r>
          </w:p>
        </w:tc>
      </w:tr>
      <w:tr w14:paraId="12FF029D">
        <w:tblPrEx>
          <w:tblCellMar>
            <w:top w:w="0" w:type="dxa"/>
            <w:left w:w="0" w:type="dxa"/>
            <w:bottom w:w="0" w:type="dxa"/>
            <w:right w:w="0" w:type="dxa"/>
          </w:tblCellMar>
        </w:tblPrEx>
        <w:trPr>
          <w:wBefore w:w="0" w:type="auto"/>
          <w:tblCellSpacing w:w="0" w:type="dxa"/>
        </w:trPr>
        <w:tc>
          <w:tcPr>
            <w:tcW w:w="0" w:type="auto"/>
            <w:noWrap w:val="0"/>
            <w:vAlign w:val="center"/>
          </w:tcPr>
          <w:p w14:paraId="209406C6">
            <w:r>
              <w:rPr>
                <w:rStyle w:val="10"/>
                <w:rFonts w:hint="eastAsia"/>
              </w:rPr>
              <w:t>质量保证期：</w:t>
            </w:r>
            <w:r>
              <w:rPr>
                <w:rStyle w:val="11"/>
                <w:rFonts w:hint="eastAsia"/>
              </w:rPr>
              <w:t>2年</w:t>
            </w:r>
          </w:p>
        </w:tc>
      </w:tr>
      <w:tr w14:paraId="3A309AB6">
        <w:tblPrEx>
          <w:tblCellMar>
            <w:top w:w="0" w:type="dxa"/>
            <w:left w:w="0" w:type="dxa"/>
            <w:bottom w:w="0" w:type="dxa"/>
            <w:right w:w="0" w:type="dxa"/>
          </w:tblCellMar>
        </w:tblPrEx>
        <w:trPr>
          <w:wBefore w:w="0" w:type="auto"/>
          <w:tblCellSpacing w:w="0" w:type="dxa"/>
        </w:trPr>
        <w:tc>
          <w:tcPr>
            <w:tcW w:w="0" w:type="auto"/>
            <w:noWrap w:val="0"/>
            <w:vAlign w:val="center"/>
          </w:tcPr>
          <w:p w14:paraId="57CAC437">
            <w:r>
              <w:rPr>
                <w:rStyle w:val="10"/>
                <w:rFonts w:hint="eastAsia"/>
              </w:rPr>
              <w:t>备注：</w:t>
            </w:r>
          </w:p>
        </w:tc>
      </w:tr>
    </w:tbl>
    <w:p w14:paraId="4484578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9E1B6DB">
        <w:tblPrEx>
          <w:tblCellMar>
            <w:top w:w="0" w:type="dxa"/>
            <w:left w:w="0" w:type="dxa"/>
            <w:bottom w:w="0" w:type="dxa"/>
            <w:right w:w="0" w:type="dxa"/>
          </w:tblCellMar>
        </w:tblPrEx>
        <w:trPr>
          <w:wBefore w:w="0" w:type="auto"/>
          <w:tblCellSpacing w:w="0" w:type="dxa"/>
        </w:trPr>
        <w:tc>
          <w:tcPr>
            <w:tcW w:w="0" w:type="auto"/>
            <w:noWrap w:val="0"/>
            <w:vAlign w:val="center"/>
          </w:tcPr>
          <w:p w14:paraId="4A89D3AE">
            <w:r>
              <w:rPr>
                <w:rStyle w:val="10"/>
                <w:rFonts w:hint="eastAsia"/>
              </w:rPr>
              <w:t>登记证号：</w:t>
            </w:r>
            <w:r>
              <w:rPr>
                <w:rFonts w:hint="eastAsia"/>
              </w:rPr>
              <w:t>PD20211736</w:t>
            </w:r>
          </w:p>
        </w:tc>
      </w:tr>
      <w:tr w14:paraId="00EF4C1D">
        <w:tblPrEx>
          <w:tblCellMar>
            <w:top w:w="0" w:type="dxa"/>
            <w:left w:w="0" w:type="dxa"/>
            <w:bottom w:w="0" w:type="dxa"/>
            <w:right w:w="0" w:type="dxa"/>
          </w:tblCellMar>
        </w:tblPrEx>
        <w:trPr>
          <w:wBefore w:w="0" w:type="auto"/>
          <w:tblCellSpacing w:w="0" w:type="dxa"/>
        </w:trPr>
        <w:tc>
          <w:tcPr>
            <w:tcW w:w="0" w:type="auto"/>
            <w:noWrap w:val="0"/>
            <w:vAlign w:val="center"/>
          </w:tcPr>
          <w:p w14:paraId="131E267C">
            <w:r>
              <w:rPr>
                <w:rStyle w:val="10"/>
                <w:rFonts w:hint="eastAsia"/>
              </w:rPr>
              <w:t>登记证持有人：</w:t>
            </w:r>
            <w:r>
              <w:rPr>
                <w:rFonts w:hint="eastAsia"/>
              </w:rPr>
              <w:t>湖北犇星农化有限责任公司</w:t>
            </w:r>
          </w:p>
        </w:tc>
      </w:tr>
      <w:tr w14:paraId="582D9957">
        <w:tblPrEx>
          <w:tblCellMar>
            <w:top w:w="0" w:type="dxa"/>
            <w:left w:w="0" w:type="dxa"/>
            <w:bottom w:w="0" w:type="dxa"/>
            <w:right w:w="0" w:type="dxa"/>
          </w:tblCellMar>
        </w:tblPrEx>
        <w:trPr>
          <w:wBefore w:w="0" w:type="auto"/>
          <w:tblCellSpacing w:w="0" w:type="dxa"/>
        </w:trPr>
        <w:tc>
          <w:tcPr>
            <w:tcW w:w="0" w:type="auto"/>
            <w:noWrap w:val="0"/>
            <w:vAlign w:val="center"/>
          </w:tcPr>
          <w:p w14:paraId="2B4E2BC1">
            <w:r>
              <w:rPr>
                <w:rStyle w:val="10"/>
                <w:rFonts w:hint="eastAsia"/>
              </w:rPr>
              <w:t>农药名称：</w:t>
            </w:r>
            <w:r>
              <w:rPr>
                <w:rFonts w:hint="eastAsia"/>
              </w:rPr>
              <w:t>毒死蜱</w:t>
            </w:r>
          </w:p>
        </w:tc>
      </w:tr>
      <w:tr w14:paraId="2125DE55">
        <w:tblPrEx>
          <w:tblCellMar>
            <w:top w:w="0" w:type="dxa"/>
            <w:left w:w="0" w:type="dxa"/>
            <w:bottom w:w="0" w:type="dxa"/>
            <w:right w:w="0" w:type="dxa"/>
          </w:tblCellMar>
        </w:tblPrEx>
        <w:trPr>
          <w:wBefore w:w="0" w:type="auto"/>
          <w:tblCellSpacing w:w="0" w:type="dxa"/>
        </w:trPr>
        <w:tc>
          <w:tcPr>
            <w:tcW w:w="0" w:type="auto"/>
            <w:noWrap w:val="0"/>
            <w:vAlign w:val="center"/>
          </w:tcPr>
          <w:p w14:paraId="20383123">
            <w:r>
              <w:rPr>
                <w:rStyle w:val="10"/>
                <w:rFonts w:hint="eastAsia"/>
              </w:rPr>
              <w:t>剂型：</w:t>
            </w:r>
            <w:r>
              <w:rPr>
                <w:rFonts w:hint="eastAsia"/>
              </w:rPr>
              <w:t>颗粒剂</w:t>
            </w:r>
          </w:p>
        </w:tc>
      </w:tr>
      <w:tr w14:paraId="1940BC47">
        <w:tblPrEx>
          <w:tblCellMar>
            <w:top w:w="0" w:type="dxa"/>
            <w:left w:w="0" w:type="dxa"/>
            <w:bottom w:w="0" w:type="dxa"/>
            <w:right w:w="0" w:type="dxa"/>
          </w:tblCellMar>
        </w:tblPrEx>
        <w:trPr>
          <w:wBefore w:w="0" w:type="auto"/>
          <w:tblCellSpacing w:w="0" w:type="dxa"/>
        </w:trPr>
        <w:tc>
          <w:tcPr>
            <w:tcW w:w="0" w:type="auto"/>
            <w:noWrap w:val="0"/>
            <w:vAlign w:val="center"/>
          </w:tcPr>
          <w:p w14:paraId="7CA82954">
            <w:r>
              <w:rPr>
                <w:rStyle w:val="10"/>
                <w:rFonts w:hint="eastAsia"/>
              </w:rPr>
              <w:t>毒性及其标识：</w:t>
            </w:r>
            <w:r>
              <w:rPr>
                <w:rFonts w:hint="eastAsia"/>
              </w:rPr>
              <w:t xml:space="preserve"> 微毒 </w:t>
            </w:r>
          </w:p>
        </w:tc>
      </w:tr>
      <w:tr w14:paraId="6A9D6080">
        <w:tblPrEx>
          <w:tblCellMar>
            <w:top w:w="0" w:type="dxa"/>
            <w:left w:w="0" w:type="dxa"/>
            <w:bottom w:w="0" w:type="dxa"/>
            <w:right w:w="0" w:type="dxa"/>
          </w:tblCellMar>
        </w:tblPrEx>
        <w:trPr>
          <w:wBefore w:w="0" w:type="auto"/>
          <w:tblCellSpacing w:w="0" w:type="dxa"/>
        </w:trPr>
        <w:tc>
          <w:tcPr>
            <w:tcW w:w="0" w:type="auto"/>
            <w:noWrap w:val="0"/>
            <w:vAlign w:val="center"/>
          </w:tcPr>
          <w:p w14:paraId="1D4A9AB1">
            <w:r>
              <w:rPr>
                <w:rStyle w:val="10"/>
                <w:rFonts w:hint="eastAsia"/>
              </w:rPr>
              <w:t>总有效成分含量：</w:t>
            </w:r>
            <w:r>
              <w:rPr>
                <w:rFonts w:hint="eastAsia"/>
              </w:rPr>
              <w:t>0.5%</w:t>
            </w:r>
          </w:p>
        </w:tc>
      </w:tr>
      <w:tr w14:paraId="2D967A14">
        <w:tblPrEx>
          <w:tblCellMar>
            <w:top w:w="0" w:type="dxa"/>
            <w:left w:w="0" w:type="dxa"/>
            <w:bottom w:w="0" w:type="dxa"/>
            <w:right w:w="0" w:type="dxa"/>
          </w:tblCellMar>
        </w:tblPrEx>
        <w:trPr>
          <w:wBefore w:w="0" w:type="auto"/>
          <w:tblCellSpacing w:w="0" w:type="dxa"/>
        </w:trPr>
        <w:tc>
          <w:tcPr>
            <w:tcW w:w="0" w:type="auto"/>
            <w:noWrap w:val="0"/>
            <w:vAlign w:val="center"/>
          </w:tcPr>
          <w:p w14:paraId="11E1BD35">
            <w:r>
              <w:rPr>
                <w:rFonts w:hint="eastAsia"/>
              </w:rPr>
              <w:t xml:space="preserve">有效成分及其含量： </w:t>
            </w:r>
          </w:p>
          <w:p w14:paraId="1C8CCC90">
            <w:r>
              <w:rPr>
                <w:rFonts w:hint="eastAsia"/>
              </w:rPr>
              <w:t xml:space="preserve">    毒死蜱0.5%    </w:t>
            </w:r>
          </w:p>
        </w:tc>
      </w:tr>
      <w:tr w14:paraId="77BA0A44">
        <w:tblPrEx>
          <w:tblCellMar>
            <w:top w:w="0" w:type="dxa"/>
            <w:left w:w="0" w:type="dxa"/>
            <w:bottom w:w="0" w:type="dxa"/>
            <w:right w:w="0" w:type="dxa"/>
          </w:tblCellMar>
        </w:tblPrEx>
        <w:trPr>
          <w:wBefore w:w="0" w:type="auto"/>
          <w:tblCellSpacing w:w="0" w:type="dxa"/>
        </w:trPr>
        <w:tc>
          <w:tcPr>
            <w:tcW w:w="0" w:type="auto"/>
            <w:noWrap w:val="0"/>
            <w:vAlign w:val="center"/>
          </w:tcPr>
          <w:p w14:paraId="2397C56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76A75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FA31CF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B959A2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F38BB3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DBE5ADC">
                  <w:r>
                    <w:rPr>
                      <w:rStyle w:val="11"/>
                      <w:rFonts w:hint="eastAsia"/>
                    </w:rPr>
                    <w:t>施用方式</w:t>
                  </w:r>
                </w:p>
              </w:tc>
            </w:tr>
            <w:tr w14:paraId="095590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61B567D">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B18FE3">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E96DD7">
                  <w:r>
                    <w:rPr>
                      <w:rStyle w:val="11"/>
                      <w:rFonts w:hint="eastAsia"/>
                    </w:rPr>
                    <w:t>20-30千克/亩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54CC4E">
                  <w:r>
                    <w:rPr>
                      <w:rStyle w:val="11"/>
                      <w:rFonts w:hint="eastAsia"/>
                    </w:rPr>
                    <w:t>沟施</w:t>
                  </w:r>
                </w:p>
              </w:tc>
            </w:tr>
          </w:tbl>
          <w:p w14:paraId="65572EE5">
            <w:pPr>
              <w:rPr>
                <w:rFonts w:ascii="Times New Roman" w:hAnsi="Times New Roman" w:cs="Times New Roman"/>
                <w:sz w:val="20"/>
                <w:szCs w:val="20"/>
              </w:rPr>
            </w:pPr>
          </w:p>
        </w:tc>
      </w:tr>
      <w:tr w14:paraId="7EC89532">
        <w:tblPrEx>
          <w:tblCellMar>
            <w:top w:w="0" w:type="dxa"/>
            <w:left w:w="0" w:type="dxa"/>
            <w:bottom w:w="0" w:type="dxa"/>
            <w:right w:w="0" w:type="dxa"/>
          </w:tblCellMar>
        </w:tblPrEx>
        <w:trPr>
          <w:wBefore w:w="0" w:type="auto"/>
          <w:tblCellSpacing w:w="0" w:type="dxa"/>
        </w:trPr>
        <w:tc>
          <w:tcPr>
            <w:tcW w:w="0" w:type="auto"/>
            <w:noWrap w:val="0"/>
            <w:vAlign w:val="center"/>
          </w:tcPr>
          <w:p w14:paraId="502D51F4">
            <w:r>
              <w:rPr>
                <w:rStyle w:val="10"/>
                <w:rFonts w:hint="eastAsia"/>
              </w:rPr>
              <w:t>使用技术要求:</w:t>
            </w:r>
            <w:r>
              <w:rPr>
                <w:rFonts w:hint="eastAsia"/>
              </w:rPr>
              <w:br w:type="textWrapping"/>
            </w:r>
            <w:r>
              <w:rPr>
                <w:rStyle w:val="11"/>
                <w:rFonts w:hint="eastAsia"/>
              </w:rPr>
              <w:t>1、本品使用时期：防治玉米蛴螬，在玉米播种时沟施，施药后立即覆土。2、本品每季最多使用1次，至收获时安全。3、大风天或预计1小时内降雨，请勿施药。4、施药后设立警示标志，人畜在施药24小时后方可进入施药地点。</w:t>
            </w:r>
          </w:p>
        </w:tc>
      </w:tr>
      <w:tr w14:paraId="1772DEAC">
        <w:tblPrEx>
          <w:tblCellMar>
            <w:top w:w="0" w:type="dxa"/>
            <w:left w:w="0" w:type="dxa"/>
            <w:bottom w:w="0" w:type="dxa"/>
            <w:right w:w="0" w:type="dxa"/>
          </w:tblCellMar>
        </w:tblPrEx>
        <w:trPr>
          <w:wBefore w:w="0" w:type="auto"/>
          <w:tblCellSpacing w:w="0" w:type="dxa"/>
        </w:trPr>
        <w:tc>
          <w:tcPr>
            <w:tcW w:w="0" w:type="auto"/>
            <w:noWrap w:val="0"/>
            <w:vAlign w:val="center"/>
          </w:tcPr>
          <w:p w14:paraId="781D608A">
            <w:r>
              <w:rPr>
                <w:rStyle w:val="10"/>
                <w:rFonts w:hint="eastAsia"/>
              </w:rPr>
              <w:t>产品性能:</w:t>
            </w:r>
            <w:r>
              <w:rPr>
                <w:rFonts w:hint="eastAsia"/>
              </w:rPr>
              <w:br w:type="textWrapping"/>
            </w:r>
            <w:r>
              <w:rPr>
                <w:rStyle w:val="11"/>
                <w:rFonts w:hint="eastAsia"/>
              </w:rPr>
              <w:t>本品由毒死蜱和含氮磷钾的复合肥料填料加工而成。毒死蜱为有机磷类杀虫剂，属胆碱酯酶抑制剂，使神经递质乙酰胆碱累积，胆碱受体被反复激活，造成昆虫神经过度兴奋而死亡。具有触杀、胃毒、熏蒸作用，在叶片上的残留期不长，但在土壤中的残留期较长，防治玉米蛴螬效果较好。</w:t>
            </w:r>
          </w:p>
        </w:tc>
      </w:tr>
      <w:tr w14:paraId="2F71FD94">
        <w:tblPrEx>
          <w:tblCellMar>
            <w:top w:w="0" w:type="dxa"/>
            <w:left w:w="0" w:type="dxa"/>
            <w:bottom w:w="0" w:type="dxa"/>
            <w:right w:w="0" w:type="dxa"/>
          </w:tblCellMar>
        </w:tblPrEx>
        <w:trPr>
          <w:wBefore w:w="0" w:type="auto"/>
          <w:tblCellSpacing w:w="0" w:type="dxa"/>
        </w:trPr>
        <w:tc>
          <w:tcPr>
            <w:tcW w:w="0" w:type="auto"/>
            <w:noWrap w:val="0"/>
            <w:vAlign w:val="center"/>
          </w:tcPr>
          <w:p w14:paraId="5F577A31">
            <w:r>
              <w:rPr>
                <w:rStyle w:val="10"/>
                <w:rFonts w:hint="eastAsia"/>
              </w:rPr>
              <w:t>注意事项：</w:t>
            </w:r>
            <w:r>
              <w:rPr>
                <w:rFonts w:hint="eastAsia"/>
              </w:rPr>
              <w:br w:type="textWrapping"/>
            </w:r>
            <w:r>
              <w:rPr>
                <w:rStyle w:val="11"/>
                <w:rFonts w:hint="eastAsia"/>
              </w:rPr>
              <w:t>1）本品对鸟类有较高风险；鸟类保护区附近禁用，施药后立即覆土；远离水产养殖区施药，禁止在河塘等水体中清洗施药器具，清洗施药器具的水也不能排入河塘等水体。2）本品禁止在蔬菜上使用。3）使用本品应采取相应的安全防护措施，穿戴长衣、长裤、帽子、口罩、手套等安全防护措施，避免皮肤接触及口鼻吸入。使用中不可吸烟、饮水及吃东西，使用后及时清洗手、脸等暴露部位皮肤并更换衣物。4）用过的包装与容器应妥善处理，不可做他用，也不可随意丢弃。5）本品不可与强碱性和强酸性物质混合使用。6）建议与其它作用机制不同的杀虫剂轮换使用，以延缓抗性产生。7）禁止儿童、孕妇和哺乳期妇女接触。8）过敏者禁用，使用中有任何不良反应请及时就医。</w:t>
            </w:r>
          </w:p>
        </w:tc>
      </w:tr>
      <w:tr w14:paraId="04835BE6">
        <w:tblPrEx>
          <w:tblCellMar>
            <w:top w:w="0" w:type="dxa"/>
            <w:left w:w="0" w:type="dxa"/>
            <w:bottom w:w="0" w:type="dxa"/>
            <w:right w:w="0" w:type="dxa"/>
          </w:tblCellMar>
        </w:tblPrEx>
        <w:trPr>
          <w:wBefore w:w="0" w:type="auto"/>
          <w:tblCellSpacing w:w="0" w:type="dxa"/>
        </w:trPr>
        <w:tc>
          <w:tcPr>
            <w:tcW w:w="0" w:type="auto"/>
            <w:noWrap w:val="0"/>
            <w:vAlign w:val="center"/>
          </w:tcPr>
          <w:p w14:paraId="4E91D453">
            <w:r>
              <w:rPr>
                <w:rStyle w:val="10"/>
                <w:rFonts w:hint="eastAsia"/>
              </w:rPr>
              <w:t>中毒急救措施：</w:t>
            </w:r>
            <w:r>
              <w:rPr>
                <w:rFonts w:hint="eastAsia"/>
              </w:rPr>
              <w:br w:type="textWrapping"/>
            </w:r>
            <w:r>
              <w:rPr>
                <w:rStyle w:val="11"/>
                <w:rFonts w:hint="eastAsia"/>
              </w:rPr>
              <w:t xml:space="preserve">对眼睛的刺激性，使用时避免接触眼睛。急性中毒多因误食引起，约半小时到数小时发病。轻度中毒：全身不适，头痛、头昏、无力、视力模糊、呕吐、出汗、流涎、嗜睡等，有时有肌肉震颤，偶有腹泻。中度中毒：除上述症状外剧烈呕吐、腹痛、烦躁不安、抽搐、呼吸困难等。重度中毒：癫痫样抽搐。 皮肤接触：立即脱掉被污染的衣物，用软布去除沾染农药，大量清水和肥皂冲洗。眼睛接触：立即翻开眼睑，用大量清水冲洗至少15分钟，及时就医。如佩戴隐形眼镜，冲洗5分钟后摘掉再冲洗10-15分钟。吸入：立即离开施药现场，转移至空气流通处。如症状持续，向医生咨询。误服：立即呼叫急救中心，携此标签送医诊治，由医生根据病情决定是否引吐。给医护人员的提示：本品是一种乙酰胆碱酯酶抑制剂，可注射阿托品（Atropine）解毒。洗胃时，应注意保护气管和食管，并且避免吸入肺而产生毒性。注意防止迟发性神经毒性的发生。 </w:t>
            </w:r>
          </w:p>
        </w:tc>
      </w:tr>
      <w:tr w14:paraId="4F096EB2">
        <w:tblPrEx>
          <w:tblCellMar>
            <w:top w:w="0" w:type="dxa"/>
            <w:left w:w="0" w:type="dxa"/>
            <w:bottom w:w="0" w:type="dxa"/>
            <w:right w:w="0" w:type="dxa"/>
          </w:tblCellMar>
        </w:tblPrEx>
        <w:trPr>
          <w:wBefore w:w="0" w:type="auto"/>
          <w:tblCellSpacing w:w="0" w:type="dxa"/>
        </w:trPr>
        <w:tc>
          <w:tcPr>
            <w:tcW w:w="0" w:type="auto"/>
            <w:noWrap w:val="0"/>
            <w:vAlign w:val="center"/>
          </w:tcPr>
          <w:p w14:paraId="3FE6B0AD">
            <w:r>
              <w:rPr>
                <w:rStyle w:val="10"/>
                <w:rFonts w:hint="eastAsia"/>
              </w:rPr>
              <w:t>储存和运输方法：</w:t>
            </w:r>
            <w:r>
              <w:rPr>
                <w:rFonts w:hint="eastAsia"/>
              </w:rPr>
              <w:br w:type="textWrapping"/>
            </w:r>
            <w:r>
              <w:rPr>
                <w:rStyle w:val="11"/>
                <w:rFonts w:hint="eastAsia"/>
              </w:rPr>
              <w:t>本品应贮存在通风、干燥的库房中。贮运时，严防潮湿和日晒，远离火源或热源。置于儿童、无关人员及动物接触不到的地方，并加锁保存。不能与食品、饮料、粮食、饲料等混合储存。</w:t>
            </w:r>
          </w:p>
        </w:tc>
      </w:tr>
      <w:tr w14:paraId="13D2259C">
        <w:tblPrEx>
          <w:tblCellMar>
            <w:top w:w="0" w:type="dxa"/>
            <w:left w:w="0" w:type="dxa"/>
            <w:bottom w:w="0" w:type="dxa"/>
            <w:right w:w="0" w:type="dxa"/>
          </w:tblCellMar>
        </w:tblPrEx>
        <w:trPr>
          <w:wBefore w:w="0" w:type="auto"/>
          <w:tblCellSpacing w:w="0" w:type="dxa"/>
        </w:trPr>
        <w:tc>
          <w:tcPr>
            <w:tcW w:w="0" w:type="auto"/>
            <w:noWrap w:val="0"/>
            <w:vAlign w:val="center"/>
          </w:tcPr>
          <w:p w14:paraId="1C39C2F0">
            <w:r>
              <w:rPr>
                <w:rStyle w:val="10"/>
                <w:rFonts w:hint="eastAsia"/>
              </w:rPr>
              <w:t>质量保证期：</w:t>
            </w:r>
            <w:r>
              <w:rPr>
                <w:rStyle w:val="11"/>
                <w:rFonts w:hint="eastAsia"/>
              </w:rPr>
              <w:t>2年</w:t>
            </w:r>
          </w:p>
        </w:tc>
      </w:tr>
      <w:tr w14:paraId="050394FF">
        <w:tblPrEx>
          <w:tblCellMar>
            <w:top w:w="0" w:type="dxa"/>
            <w:left w:w="0" w:type="dxa"/>
            <w:bottom w:w="0" w:type="dxa"/>
            <w:right w:w="0" w:type="dxa"/>
          </w:tblCellMar>
        </w:tblPrEx>
        <w:trPr>
          <w:wBefore w:w="0" w:type="auto"/>
          <w:tblCellSpacing w:w="0" w:type="dxa"/>
        </w:trPr>
        <w:tc>
          <w:tcPr>
            <w:tcW w:w="0" w:type="auto"/>
            <w:noWrap w:val="0"/>
            <w:vAlign w:val="center"/>
          </w:tcPr>
          <w:p w14:paraId="5CC3F164">
            <w:r>
              <w:rPr>
                <w:rStyle w:val="10"/>
                <w:rFonts w:hint="eastAsia"/>
              </w:rPr>
              <w:t>备注：</w:t>
            </w:r>
          </w:p>
        </w:tc>
      </w:tr>
    </w:tbl>
    <w:p w14:paraId="630E6E3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AD7719A">
        <w:tblPrEx>
          <w:tblCellMar>
            <w:top w:w="0" w:type="dxa"/>
            <w:left w:w="0" w:type="dxa"/>
            <w:bottom w:w="0" w:type="dxa"/>
            <w:right w:w="0" w:type="dxa"/>
          </w:tblCellMar>
        </w:tblPrEx>
        <w:trPr>
          <w:wBefore w:w="0" w:type="auto"/>
          <w:tblCellSpacing w:w="0" w:type="dxa"/>
        </w:trPr>
        <w:tc>
          <w:tcPr>
            <w:tcW w:w="0" w:type="auto"/>
            <w:noWrap w:val="0"/>
            <w:vAlign w:val="center"/>
          </w:tcPr>
          <w:p w14:paraId="7A190E03">
            <w:r>
              <w:rPr>
                <w:rStyle w:val="10"/>
                <w:rFonts w:hint="eastAsia"/>
              </w:rPr>
              <w:t>登记证号：</w:t>
            </w:r>
            <w:r>
              <w:rPr>
                <w:rFonts w:hint="eastAsia"/>
              </w:rPr>
              <w:t>PD20212197</w:t>
            </w:r>
          </w:p>
        </w:tc>
      </w:tr>
      <w:tr w14:paraId="11A83AFC">
        <w:tblPrEx>
          <w:tblCellMar>
            <w:top w:w="0" w:type="dxa"/>
            <w:left w:w="0" w:type="dxa"/>
            <w:bottom w:w="0" w:type="dxa"/>
            <w:right w:w="0" w:type="dxa"/>
          </w:tblCellMar>
        </w:tblPrEx>
        <w:trPr>
          <w:wBefore w:w="0" w:type="auto"/>
          <w:tblCellSpacing w:w="0" w:type="dxa"/>
        </w:trPr>
        <w:tc>
          <w:tcPr>
            <w:tcW w:w="0" w:type="auto"/>
            <w:noWrap w:val="0"/>
            <w:vAlign w:val="center"/>
          </w:tcPr>
          <w:p w14:paraId="56BF9491">
            <w:r>
              <w:rPr>
                <w:rStyle w:val="10"/>
                <w:rFonts w:hint="eastAsia"/>
              </w:rPr>
              <w:t>登记证持有人：</w:t>
            </w:r>
            <w:r>
              <w:rPr>
                <w:rFonts w:hint="eastAsia"/>
              </w:rPr>
              <w:t>安徽华星化工有限公司</w:t>
            </w:r>
          </w:p>
        </w:tc>
      </w:tr>
      <w:tr w14:paraId="6B0D364C">
        <w:tblPrEx>
          <w:tblCellMar>
            <w:top w:w="0" w:type="dxa"/>
            <w:left w:w="0" w:type="dxa"/>
            <w:bottom w:w="0" w:type="dxa"/>
            <w:right w:w="0" w:type="dxa"/>
          </w:tblCellMar>
        </w:tblPrEx>
        <w:trPr>
          <w:wBefore w:w="0" w:type="auto"/>
          <w:tblCellSpacing w:w="0" w:type="dxa"/>
        </w:trPr>
        <w:tc>
          <w:tcPr>
            <w:tcW w:w="0" w:type="auto"/>
            <w:noWrap w:val="0"/>
            <w:vAlign w:val="center"/>
          </w:tcPr>
          <w:p w14:paraId="3DB57D79">
            <w:r>
              <w:rPr>
                <w:rStyle w:val="10"/>
                <w:rFonts w:hint="eastAsia"/>
              </w:rPr>
              <w:t>农药名称：</w:t>
            </w:r>
            <w:r>
              <w:rPr>
                <w:rFonts w:hint="eastAsia"/>
              </w:rPr>
              <w:t>环嗪酮</w:t>
            </w:r>
          </w:p>
        </w:tc>
      </w:tr>
      <w:tr w14:paraId="5820A771">
        <w:tblPrEx>
          <w:tblCellMar>
            <w:top w:w="0" w:type="dxa"/>
            <w:left w:w="0" w:type="dxa"/>
            <w:bottom w:w="0" w:type="dxa"/>
            <w:right w:w="0" w:type="dxa"/>
          </w:tblCellMar>
        </w:tblPrEx>
        <w:trPr>
          <w:wBefore w:w="0" w:type="auto"/>
          <w:tblCellSpacing w:w="0" w:type="dxa"/>
        </w:trPr>
        <w:tc>
          <w:tcPr>
            <w:tcW w:w="0" w:type="auto"/>
            <w:noWrap w:val="0"/>
            <w:vAlign w:val="center"/>
          </w:tcPr>
          <w:p w14:paraId="2E3BB8FF">
            <w:r>
              <w:rPr>
                <w:rStyle w:val="10"/>
                <w:rFonts w:hint="eastAsia"/>
              </w:rPr>
              <w:t>剂型：</w:t>
            </w:r>
            <w:r>
              <w:rPr>
                <w:rFonts w:hint="eastAsia"/>
              </w:rPr>
              <w:t>颗粒剂</w:t>
            </w:r>
          </w:p>
        </w:tc>
      </w:tr>
      <w:tr w14:paraId="5E9CAF59">
        <w:tblPrEx>
          <w:tblCellMar>
            <w:top w:w="0" w:type="dxa"/>
            <w:left w:w="0" w:type="dxa"/>
            <w:bottom w:w="0" w:type="dxa"/>
            <w:right w:w="0" w:type="dxa"/>
          </w:tblCellMar>
        </w:tblPrEx>
        <w:trPr>
          <w:wBefore w:w="0" w:type="auto"/>
          <w:tblCellSpacing w:w="0" w:type="dxa"/>
        </w:trPr>
        <w:tc>
          <w:tcPr>
            <w:tcW w:w="0" w:type="auto"/>
            <w:noWrap w:val="0"/>
            <w:vAlign w:val="center"/>
          </w:tcPr>
          <w:p w14:paraId="477CDAAE">
            <w:r>
              <w:rPr>
                <w:rStyle w:val="10"/>
                <w:rFonts w:hint="eastAsia"/>
              </w:rPr>
              <w:t>毒性及其标识：</w:t>
            </w:r>
            <w:r>
              <w:rPr>
                <w:rFonts w:hint="eastAsia"/>
              </w:rPr>
              <w:t xml:space="preserve"> </w:t>
            </w:r>
            <w:r>
              <w:rPr>
                <w:lang/>
              </w:rPr>
              <w:drawing>
                <wp:inline distT="0" distB="0" distL="114300" distR="114300">
                  <wp:extent cx="476250" cy="323850"/>
                  <wp:effectExtent l="0" t="0" r="0" b="0"/>
                  <wp:docPr id="58" name="图片 5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437DFF5">
        <w:tblPrEx>
          <w:tblCellMar>
            <w:top w:w="0" w:type="dxa"/>
            <w:left w:w="0" w:type="dxa"/>
            <w:bottom w:w="0" w:type="dxa"/>
            <w:right w:w="0" w:type="dxa"/>
          </w:tblCellMar>
        </w:tblPrEx>
        <w:trPr>
          <w:wBefore w:w="0" w:type="auto"/>
          <w:tblCellSpacing w:w="0" w:type="dxa"/>
        </w:trPr>
        <w:tc>
          <w:tcPr>
            <w:tcW w:w="0" w:type="auto"/>
            <w:noWrap w:val="0"/>
            <w:vAlign w:val="center"/>
          </w:tcPr>
          <w:p w14:paraId="7C47BCCC">
            <w:r>
              <w:rPr>
                <w:rStyle w:val="10"/>
                <w:rFonts w:hint="eastAsia"/>
              </w:rPr>
              <w:t>总有效成分含量：</w:t>
            </w:r>
            <w:r>
              <w:rPr>
                <w:rFonts w:hint="eastAsia"/>
              </w:rPr>
              <w:t>5%</w:t>
            </w:r>
          </w:p>
        </w:tc>
      </w:tr>
      <w:tr w14:paraId="4EB965DB">
        <w:tblPrEx>
          <w:tblCellMar>
            <w:top w:w="0" w:type="dxa"/>
            <w:left w:w="0" w:type="dxa"/>
            <w:bottom w:w="0" w:type="dxa"/>
            <w:right w:w="0" w:type="dxa"/>
          </w:tblCellMar>
        </w:tblPrEx>
        <w:trPr>
          <w:wBefore w:w="0" w:type="auto"/>
          <w:tblCellSpacing w:w="0" w:type="dxa"/>
        </w:trPr>
        <w:tc>
          <w:tcPr>
            <w:tcW w:w="0" w:type="auto"/>
            <w:noWrap w:val="0"/>
            <w:vAlign w:val="center"/>
          </w:tcPr>
          <w:p w14:paraId="3B0D7BD3">
            <w:r>
              <w:rPr>
                <w:rFonts w:hint="eastAsia"/>
              </w:rPr>
              <w:t xml:space="preserve">有效成分及其含量： </w:t>
            </w:r>
          </w:p>
          <w:p w14:paraId="264ED53E">
            <w:r>
              <w:rPr>
                <w:rFonts w:hint="eastAsia"/>
              </w:rPr>
              <w:t xml:space="preserve">    环嗪酮5%    </w:t>
            </w:r>
          </w:p>
        </w:tc>
      </w:tr>
      <w:tr w14:paraId="74205215">
        <w:tblPrEx>
          <w:tblCellMar>
            <w:top w:w="0" w:type="dxa"/>
            <w:left w:w="0" w:type="dxa"/>
            <w:bottom w:w="0" w:type="dxa"/>
            <w:right w:w="0" w:type="dxa"/>
          </w:tblCellMar>
        </w:tblPrEx>
        <w:trPr>
          <w:wBefore w:w="0" w:type="auto"/>
          <w:tblCellSpacing w:w="0" w:type="dxa"/>
        </w:trPr>
        <w:tc>
          <w:tcPr>
            <w:tcW w:w="0" w:type="auto"/>
            <w:noWrap w:val="0"/>
            <w:vAlign w:val="center"/>
          </w:tcPr>
          <w:p w14:paraId="6737B65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DE98D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AF855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CC29D3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64839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5719553">
                  <w:r>
                    <w:rPr>
                      <w:rStyle w:val="11"/>
                      <w:rFonts w:hint="eastAsia"/>
                    </w:rPr>
                    <w:t>施用方式</w:t>
                  </w:r>
                </w:p>
              </w:tc>
            </w:tr>
            <w:tr w14:paraId="0B29FA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DE49A80">
                  <w:r>
                    <w:rPr>
                      <w:rStyle w:val="11"/>
                      <w:rFonts w:hint="eastAsia"/>
                    </w:rPr>
                    <w:t>森林防火道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4A5254">
                  <w:r>
                    <w:rPr>
                      <w:rStyle w:val="11"/>
                      <w:rFonts w:hint="eastAsia"/>
                    </w:rPr>
                    <w:t>杂灌</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FC665B">
                  <w:r>
                    <w:rPr>
                      <w:rStyle w:val="11"/>
                      <w:rFonts w:hint="eastAsia"/>
                    </w:rPr>
                    <w:t>2-3千克/亩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DFE55B">
                  <w:r>
                    <w:rPr>
                      <w:rStyle w:val="11"/>
                      <w:rFonts w:hint="eastAsia"/>
                    </w:rPr>
                    <w:t>撒施</w:t>
                  </w:r>
                </w:p>
              </w:tc>
            </w:tr>
          </w:tbl>
          <w:p w14:paraId="1C081613">
            <w:pPr>
              <w:rPr>
                <w:rFonts w:ascii="Times New Roman" w:hAnsi="Times New Roman" w:cs="Times New Roman"/>
                <w:sz w:val="20"/>
                <w:szCs w:val="20"/>
              </w:rPr>
            </w:pPr>
          </w:p>
        </w:tc>
      </w:tr>
      <w:tr w14:paraId="659BC475">
        <w:tblPrEx>
          <w:tblCellMar>
            <w:top w:w="0" w:type="dxa"/>
            <w:left w:w="0" w:type="dxa"/>
            <w:bottom w:w="0" w:type="dxa"/>
            <w:right w:w="0" w:type="dxa"/>
          </w:tblCellMar>
        </w:tblPrEx>
        <w:trPr>
          <w:wBefore w:w="0" w:type="auto"/>
          <w:tblCellSpacing w:w="0" w:type="dxa"/>
        </w:trPr>
        <w:tc>
          <w:tcPr>
            <w:tcW w:w="0" w:type="auto"/>
            <w:noWrap w:val="0"/>
            <w:vAlign w:val="center"/>
          </w:tcPr>
          <w:p w14:paraId="2E1B4345">
            <w:r>
              <w:rPr>
                <w:rStyle w:val="10"/>
                <w:rFonts w:hint="eastAsia"/>
              </w:rPr>
              <w:t>使用技术要求:</w:t>
            </w:r>
            <w:r>
              <w:rPr>
                <w:rFonts w:hint="eastAsia"/>
              </w:rPr>
              <w:br w:type="textWrapping"/>
            </w:r>
            <w:r>
              <w:rPr>
                <w:rStyle w:val="11"/>
                <w:rFonts w:hint="eastAsia"/>
              </w:rPr>
              <w:t>1. 本品用于森林防火道防除杂灌，施药的最佳时期是杂灌生长旺盛期。施用方法是直接撒施，每季用药一次。2. 施药时尽可能做到均匀，最好在雨前施用。</w:t>
            </w:r>
          </w:p>
        </w:tc>
      </w:tr>
      <w:tr w14:paraId="4E2A639E">
        <w:tblPrEx>
          <w:tblCellMar>
            <w:top w:w="0" w:type="dxa"/>
            <w:left w:w="0" w:type="dxa"/>
            <w:bottom w:w="0" w:type="dxa"/>
            <w:right w:w="0" w:type="dxa"/>
          </w:tblCellMar>
        </w:tblPrEx>
        <w:trPr>
          <w:wBefore w:w="0" w:type="auto"/>
          <w:tblCellSpacing w:w="0" w:type="dxa"/>
        </w:trPr>
        <w:tc>
          <w:tcPr>
            <w:tcW w:w="0" w:type="auto"/>
            <w:noWrap w:val="0"/>
            <w:vAlign w:val="center"/>
          </w:tcPr>
          <w:p w14:paraId="4B38E502">
            <w:r>
              <w:rPr>
                <w:rStyle w:val="10"/>
                <w:rFonts w:hint="eastAsia"/>
              </w:rPr>
              <w:t>产品性能:</w:t>
            </w:r>
            <w:r>
              <w:rPr>
                <w:rFonts w:hint="eastAsia"/>
              </w:rPr>
              <w:br w:type="textWrapping"/>
            </w:r>
            <w:r>
              <w:rPr>
                <w:rStyle w:val="11"/>
                <w:rFonts w:hint="eastAsia"/>
              </w:rPr>
              <w:t>本品为林木用除草剂，主要抑制植物的光合作用，使代谢紊乱，导致死亡。植物根系和叶面都能吸收环嗪酮，主要通过木质部运输。进入土壤后能被土壤微生物分解。可用于防除森林防火道杂灌。</w:t>
            </w:r>
          </w:p>
        </w:tc>
      </w:tr>
      <w:tr w14:paraId="768C6E14">
        <w:tblPrEx>
          <w:tblCellMar>
            <w:top w:w="0" w:type="dxa"/>
            <w:left w:w="0" w:type="dxa"/>
            <w:bottom w:w="0" w:type="dxa"/>
            <w:right w:w="0" w:type="dxa"/>
          </w:tblCellMar>
        </w:tblPrEx>
        <w:trPr>
          <w:wBefore w:w="0" w:type="auto"/>
          <w:tblCellSpacing w:w="0" w:type="dxa"/>
        </w:trPr>
        <w:tc>
          <w:tcPr>
            <w:tcW w:w="0" w:type="auto"/>
            <w:noWrap w:val="0"/>
            <w:vAlign w:val="center"/>
          </w:tcPr>
          <w:p w14:paraId="7997175F">
            <w:r>
              <w:rPr>
                <w:rStyle w:val="10"/>
                <w:rFonts w:hint="eastAsia"/>
              </w:rPr>
              <w:t>注意事项：</w:t>
            </w:r>
            <w:r>
              <w:rPr>
                <w:rFonts w:hint="eastAsia"/>
              </w:rPr>
              <w:br w:type="textWrapping"/>
            </w:r>
            <w:r>
              <w:rPr>
                <w:rStyle w:val="11"/>
                <w:rFonts w:hint="eastAsia"/>
              </w:rPr>
              <w:t>1、开启包装物及施药时施药人员穿戴防护服装、防护靴、口罩及手套等防护用品。避免与口眼及皮肤接触；喷药时不要吸烟或饮食，工作完毕后，应清洗手及裸露的皮肤。2、本品药效的发挥与降雨有密切关系，最好在雨季前用药。如果施药后15天不降雨，应想法在施药处浇水，否则药效较差。3、本品忌在暴雨前使用，导致药剂被雨水冲走。4、水产养殖区、河塘等水体附近禁用；禁止在河塘等水体中清洗施药器具。5、孕妇及哺乳期妇女禁止接触本品。6、用过的容器应妥善处理，不可做他用，也不可随意丢弃。</w:t>
            </w:r>
          </w:p>
        </w:tc>
      </w:tr>
      <w:tr w14:paraId="15B33466">
        <w:tblPrEx>
          <w:tblCellMar>
            <w:top w:w="0" w:type="dxa"/>
            <w:left w:w="0" w:type="dxa"/>
            <w:bottom w:w="0" w:type="dxa"/>
            <w:right w:w="0" w:type="dxa"/>
          </w:tblCellMar>
        </w:tblPrEx>
        <w:trPr>
          <w:wBefore w:w="0" w:type="auto"/>
          <w:tblCellSpacing w:w="0" w:type="dxa"/>
        </w:trPr>
        <w:tc>
          <w:tcPr>
            <w:tcW w:w="0" w:type="auto"/>
            <w:noWrap w:val="0"/>
            <w:vAlign w:val="center"/>
          </w:tcPr>
          <w:p w14:paraId="499D0A70">
            <w:r>
              <w:rPr>
                <w:rStyle w:val="10"/>
                <w:rFonts w:hint="eastAsia"/>
              </w:rPr>
              <w:t>中毒急救措施：</w:t>
            </w:r>
            <w:r>
              <w:rPr>
                <w:rFonts w:hint="eastAsia"/>
              </w:rPr>
              <w:br w:type="textWrapping"/>
            </w:r>
            <w:r>
              <w:rPr>
                <w:rStyle w:val="11"/>
                <w:rFonts w:hint="eastAsia"/>
              </w:rPr>
              <w:t>1、吸入后：提供新鲜空气；如有症状求教医生。皮肤接触后：立即用水和肥皂清洗，并彻冲洗干净。眼睛接触后：使眼睛打开流水冲洗几分钟，如有持续的症状，求教医生。2、如误服应立即催吐。呕吐停止后服用活性炭，如果还没有腹泻，可在炭泥中加入山梨醇。失水和电解质严重紊乱时，需要补充口服液或静脉液。 对症治疗，无解毒剂。</w:t>
            </w:r>
          </w:p>
        </w:tc>
      </w:tr>
      <w:tr w14:paraId="7D0FC42E">
        <w:tblPrEx>
          <w:tblCellMar>
            <w:top w:w="0" w:type="dxa"/>
            <w:left w:w="0" w:type="dxa"/>
            <w:bottom w:w="0" w:type="dxa"/>
            <w:right w:w="0" w:type="dxa"/>
          </w:tblCellMar>
        </w:tblPrEx>
        <w:trPr>
          <w:wBefore w:w="0" w:type="auto"/>
          <w:tblCellSpacing w:w="0" w:type="dxa"/>
        </w:trPr>
        <w:tc>
          <w:tcPr>
            <w:tcW w:w="0" w:type="auto"/>
            <w:noWrap w:val="0"/>
            <w:vAlign w:val="center"/>
          </w:tcPr>
          <w:p w14:paraId="562112C7">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它商品同贮同运。贮存或运输时堆层不得超过规定，注意轻拿轻放，以免损坏包装，导致产品泄露。</w:t>
            </w:r>
          </w:p>
        </w:tc>
      </w:tr>
      <w:tr w14:paraId="43D5727B">
        <w:tblPrEx>
          <w:tblCellMar>
            <w:top w:w="0" w:type="dxa"/>
            <w:left w:w="0" w:type="dxa"/>
            <w:bottom w:w="0" w:type="dxa"/>
            <w:right w:w="0" w:type="dxa"/>
          </w:tblCellMar>
        </w:tblPrEx>
        <w:trPr>
          <w:wBefore w:w="0" w:type="auto"/>
          <w:tblCellSpacing w:w="0" w:type="dxa"/>
        </w:trPr>
        <w:tc>
          <w:tcPr>
            <w:tcW w:w="0" w:type="auto"/>
            <w:noWrap w:val="0"/>
            <w:vAlign w:val="center"/>
          </w:tcPr>
          <w:p w14:paraId="54251ACA">
            <w:r>
              <w:rPr>
                <w:rStyle w:val="10"/>
                <w:rFonts w:hint="eastAsia"/>
              </w:rPr>
              <w:t>质量保证期：</w:t>
            </w:r>
            <w:r>
              <w:rPr>
                <w:rStyle w:val="11"/>
                <w:rFonts w:hint="eastAsia"/>
              </w:rPr>
              <w:t>2年</w:t>
            </w:r>
          </w:p>
        </w:tc>
      </w:tr>
      <w:tr w14:paraId="6AB59378">
        <w:tblPrEx>
          <w:tblCellMar>
            <w:top w:w="0" w:type="dxa"/>
            <w:left w:w="0" w:type="dxa"/>
            <w:bottom w:w="0" w:type="dxa"/>
            <w:right w:w="0" w:type="dxa"/>
          </w:tblCellMar>
        </w:tblPrEx>
        <w:trPr>
          <w:wBefore w:w="0" w:type="auto"/>
          <w:tblCellSpacing w:w="0" w:type="dxa"/>
        </w:trPr>
        <w:tc>
          <w:tcPr>
            <w:tcW w:w="0" w:type="auto"/>
            <w:noWrap w:val="0"/>
            <w:vAlign w:val="center"/>
          </w:tcPr>
          <w:p w14:paraId="3DD9BC90">
            <w:r>
              <w:rPr>
                <w:rStyle w:val="10"/>
                <w:rFonts w:hint="eastAsia"/>
              </w:rPr>
              <w:t>备注：</w:t>
            </w:r>
          </w:p>
        </w:tc>
      </w:tr>
    </w:tbl>
    <w:p w14:paraId="75667C0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E77FF0B">
        <w:tblPrEx>
          <w:tblCellMar>
            <w:top w:w="0" w:type="dxa"/>
            <w:left w:w="0" w:type="dxa"/>
            <w:bottom w:w="0" w:type="dxa"/>
            <w:right w:w="0" w:type="dxa"/>
          </w:tblCellMar>
        </w:tblPrEx>
        <w:trPr>
          <w:wBefore w:w="0" w:type="auto"/>
          <w:tblCellSpacing w:w="0" w:type="dxa"/>
        </w:trPr>
        <w:tc>
          <w:tcPr>
            <w:tcW w:w="0" w:type="auto"/>
            <w:noWrap w:val="0"/>
            <w:vAlign w:val="center"/>
          </w:tcPr>
          <w:p w14:paraId="002CDAC4">
            <w:r>
              <w:rPr>
                <w:rStyle w:val="10"/>
                <w:rFonts w:hint="eastAsia"/>
              </w:rPr>
              <w:t>登记证号：</w:t>
            </w:r>
            <w:r>
              <w:rPr>
                <w:rFonts w:hint="eastAsia"/>
              </w:rPr>
              <w:t>WP20210270</w:t>
            </w:r>
          </w:p>
        </w:tc>
      </w:tr>
      <w:tr w14:paraId="76CC716C">
        <w:tblPrEx>
          <w:tblCellMar>
            <w:top w:w="0" w:type="dxa"/>
            <w:left w:w="0" w:type="dxa"/>
            <w:bottom w:w="0" w:type="dxa"/>
            <w:right w:w="0" w:type="dxa"/>
          </w:tblCellMar>
        </w:tblPrEx>
        <w:trPr>
          <w:wBefore w:w="0" w:type="auto"/>
          <w:tblCellSpacing w:w="0" w:type="dxa"/>
        </w:trPr>
        <w:tc>
          <w:tcPr>
            <w:tcW w:w="0" w:type="auto"/>
            <w:noWrap w:val="0"/>
            <w:vAlign w:val="center"/>
          </w:tcPr>
          <w:p w14:paraId="0EBFFF3B">
            <w:r>
              <w:rPr>
                <w:rStyle w:val="10"/>
                <w:rFonts w:hint="eastAsia"/>
              </w:rPr>
              <w:t>登记证持有人：</w:t>
            </w:r>
            <w:r>
              <w:rPr>
                <w:rFonts w:hint="eastAsia"/>
              </w:rPr>
              <w:t>赤峰诺华生物科技有限公司</w:t>
            </w:r>
          </w:p>
        </w:tc>
      </w:tr>
      <w:tr w14:paraId="20454F09">
        <w:tblPrEx>
          <w:tblCellMar>
            <w:top w:w="0" w:type="dxa"/>
            <w:left w:w="0" w:type="dxa"/>
            <w:bottom w:w="0" w:type="dxa"/>
            <w:right w:w="0" w:type="dxa"/>
          </w:tblCellMar>
        </w:tblPrEx>
        <w:trPr>
          <w:wBefore w:w="0" w:type="auto"/>
          <w:tblCellSpacing w:w="0" w:type="dxa"/>
        </w:trPr>
        <w:tc>
          <w:tcPr>
            <w:tcW w:w="0" w:type="auto"/>
            <w:noWrap w:val="0"/>
            <w:vAlign w:val="center"/>
          </w:tcPr>
          <w:p w14:paraId="7ECEFB1F">
            <w:r>
              <w:rPr>
                <w:rStyle w:val="10"/>
                <w:rFonts w:hint="eastAsia"/>
              </w:rPr>
              <w:t>农药名称：</w:t>
            </w:r>
            <w:r>
              <w:rPr>
                <w:rFonts w:hint="eastAsia"/>
              </w:rPr>
              <w:t>右胺·氯菊</w:t>
            </w:r>
          </w:p>
        </w:tc>
      </w:tr>
      <w:tr w14:paraId="4AD2FE3A">
        <w:tblPrEx>
          <w:tblCellMar>
            <w:top w:w="0" w:type="dxa"/>
            <w:left w:w="0" w:type="dxa"/>
            <w:bottom w:w="0" w:type="dxa"/>
            <w:right w:w="0" w:type="dxa"/>
          </w:tblCellMar>
        </w:tblPrEx>
        <w:trPr>
          <w:wBefore w:w="0" w:type="auto"/>
          <w:tblCellSpacing w:w="0" w:type="dxa"/>
        </w:trPr>
        <w:tc>
          <w:tcPr>
            <w:tcW w:w="0" w:type="auto"/>
            <w:noWrap w:val="0"/>
            <w:vAlign w:val="center"/>
          </w:tcPr>
          <w:p w14:paraId="6F33BB3C">
            <w:r>
              <w:rPr>
                <w:rStyle w:val="10"/>
                <w:rFonts w:hint="eastAsia"/>
              </w:rPr>
              <w:t>剂型：</w:t>
            </w:r>
            <w:r>
              <w:rPr>
                <w:rFonts w:hint="eastAsia"/>
              </w:rPr>
              <w:t>水乳剂</w:t>
            </w:r>
          </w:p>
        </w:tc>
      </w:tr>
      <w:tr w14:paraId="281D9439">
        <w:tblPrEx>
          <w:tblCellMar>
            <w:top w:w="0" w:type="dxa"/>
            <w:left w:w="0" w:type="dxa"/>
            <w:bottom w:w="0" w:type="dxa"/>
            <w:right w:w="0" w:type="dxa"/>
          </w:tblCellMar>
        </w:tblPrEx>
        <w:trPr>
          <w:wBefore w:w="0" w:type="auto"/>
          <w:tblCellSpacing w:w="0" w:type="dxa"/>
        </w:trPr>
        <w:tc>
          <w:tcPr>
            <w:tcW w:w="0" w:type="auto"/>
            <w:noWrap w:val="0"/>
            <w:vAlign w:val="center"/>
          </w:tcPr>
          <w:p w14:paraId="3E99A30F">
            <w:r>
              <w:rPr>
                <w:rStyle w:val="10"/>
                <w:rFonts w:hint="eastAsia"/>
              </w:rPr>
              <w:t>毒性及其标识：</w:t>
            </w:r>
            <w:r>
              <w:rPr>
                <w:rFonts w:hint="eastAsia"/>
              </w:rPr>
              <w:t xml:space="preserve"> 微毒 </w:t>
            </w:r>
          </w:p>
        </w:tc>
      </w:tr>
      <w:tr w14:paraId="1F07B9D6">
        <w:tblPrEx>
          <w:tblCellMar>
            <w:top w:w="0" w:type="dxa"/>
            <w:left w:w="0" w:type="dxa"/>
            <w:bottom w:w="0" w:type="dxa"/>
            <w:right w:w="0" w:type="dxa"/>
          </w:tblCellMar>
        </w:tblPrEx>
        <w:trPr>
          <w:wBefore w:w="0" w:type="auto"/>
          <w:tblCellSpacing w:w="0" w:type="dxa"/>
        </w:trPr>
        <w:tc>
          <w:tcPr>
            <w:tcW w:w="0" w:type="auto"/>
            <w:noWrap w:val="0"/>
            <w:vAlign w:val="center"/>
          </w:tcPr>
          <w:p w14:paraId="105B4816">
            <w:r>
              <w:rPr>
                <w:rStyle w:val="10"/>
                <w:rFonts w:hint="eastAsia"/>
              </w:rPr>
              <w:t>总有效成分含量：</w:t>
            </w:r>
            <w:r>
              <w:rPr>
                <w:rFonts w:hint="eastAsia"/>
              </w:rPr>
              <w:t>10%</w:t>
            </w:r>
          </w:p>
        </w:tc>
      </w:tr>
      <w:tr w14:paraId="23707C48">
        <w:tblPrEx>
          <w:tblCellMar>
            <w:top w:w="0" w:type="dxa"/>
            <w:left w:w="0" w:type="dxa"/>
            <w:bottom w:w="0" w:type="dxa"/>
            <w:right w:w="0" w:type="dxa"/>
          </w:tblCellMar>
        </w:tblPrEx>
        <w:trPr>
          <w:wBefore w:w="0" w:type="auto"/>
          <w:tblCellSpacing w:w="0" w:type="dxa"/>
        </w:trPr>
        <w:tc>
          <w:tcPr>
            <w:tcW w:w="0" w:type="auto"/>
            <w:noWrap w:val="0"/>
            <w:vAlign w:val="center"/>
          </w:tcPr>
          <w:p w14:paraId="320E1C5F">
            <w:r>
              <w:rPr>
                <w:rFonts w:hint="eastAsia"/>
              </w:rPr>
              <w:t xml:space="preserve">有效成分及其含量： </w:t>
            </w:r>
          </w:p>
          <w:p w14:paraId="5A74E66D">
            <w:r>
              <w:rPr>
                <w:rFonts w:hint="eastAsia"/>
              </w:rPr>
              <w:t xml:space="preserve">    右旋胺菊酯4.5%    氯菊酯5.5%    </w:t>
            </w:r>
          </w:p>
        </w:tc>
      </w:tr>
      <w:tr w14:paraId="353241CA">
        <w:tblPrEx>
          <w:tblCellMar>
            <w:top w:w="0" w:type="dxa"/>
            <w:left w:w="0" w:type="dxa"/>
            <w:bottom w:w="0" w:type="dxa"/>
            <w:right w:w="0" w:type="dxa"/>
          </w:tblCellMar>
        </w:tblPrEx>
        <w:trPr>
          <w:wBefore w:w="0" w:type="auto"/>
          <w:tblCellSpacing w:w="0" w:type="dxa"/>
        </w:trPr>
        <w:tc>
          <w:tcPr>
            <w:tcW w:w="0" w:type="auto"/>
            <w:noWrap w:val="0"/>
            <w:vAlign w:val="center"/>
          </w:tcPr>
          <w:p w14:paraId="718FB19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7B80D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212C8A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1FEC21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C27D50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642C51B">
                  <w:r>
                    <w:rPr>
                      <w:rStyle w:val="11"/>
                      <w:rFonts w:hint="eastAsia"/>
                    </w:rPr>
                    <w:t>施用方式</w:t>
                  </w:r>
                </w:p>
              </w:tc>
            </w:tr>
            <w:tr w14:paraId="5A4A5A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223C8C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BE7CFC">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4C2DA5">
                  <w:r>
                    <w:rPr>
                      <w:rStyle w:val="11"/>
                      <w:rFonts w:hint="eastAsia"/>
                    </w:rPr>
                    <w:t>0.15毫升/立方米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DDEFB9">
                  <w:r>
                    <w:rPr>
                      <w:rStyle w:val="11"/>
                      <w:rFonts w:hint="eastAsia"/>
                    </w:rPr>
                    <w:t>喷雾</w:t>
                  </w:r>
                </w:p>
              </w:tc>
            </w:tr>
            <w:tr w14:paraId="30DFDF1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72EBC2">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E1C147">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859708">
                  <w:r>
                    <w:rPr>
                      <w:rStyle w:val="11"/>
                      <w:rFonts w:hint="eastAsia"/>
                    </w:rPr>
                    <w:t>0.15毫升/立方米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21DEB7">
                  <w:r>
                    <w:rPr>
                      <w:rStyle w:val="11"/>
                      <w:rFonts w:hint="eastAsia"/>
                    </w:rPr>
                    <w:t>喷雾</w:t>
                  </w:r>
                </w:p>
              </w:tc>
            </w:tr>
            <w:tr w14:paraId="632CBC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3FF55D7">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C42828">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CA2A50">
                  <w:r>
                    <w:rPr>
                      <w:rStyle w:val="11"/>
                      <w:rFonts w:hint="eastAsia"/>
                    </w:rPr>
                    <w:t>0.35毫升/立方米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8C6F42">
                  <w:r>
                    <w:rPr>
                      <w:rStyle w:val="11"/>
                      <w:rFonts w:hint="eastAsia"/>
                    </w:rPr>
                    <w:t>喷雾</w:t>
                  </w:r>
                </w:p>
              </w:tc>
            </w:tr>
          </w:tbl>
          <w:p w14:paraId="2D784F7D">
            <w:pPr>
              <w:rPr>
                <w:rFonts w:ascii="Times New Roman" w:hAnsi="Times New Roman" w:cs="Times New Roman"/>
                <w:sz w:val="20"/>
                <w:szCs w:val="20"/>
              </w:rPr>
            </w:pPr>
          </w:p>
        </w:tc>
      </w:tr>
      <w:tr w14:paraId="3015F6A1">
        <w:tblPrEx>
          <w:tblCellMar>
            <w:top w:w="0" w:type="dxa"/>
            <w:left w:w="0" w:type="dxa"/>
            <w:bottom w:w="0" w:type="dxa"/>
            <w:right w:w="0" w:type="dxa"/>
          </w:tblCellMar>
        </w:tblPrEx>
        <w:trPr>
          <w:wBefore w:w="0" w:type="auto"/>
          <w:tblCellSpacing w:w="0" w:type="dxa"/>
        </w:trPr>
        <w:tc>
          <w:tcPr>
            <w:tcW w:w="0" w:type="auto"/>
            <w:noWrap w:val="0"/>
            <w:vAlign w:val="center"/>
          </w:tcPr>
          <w:p w14:paraId="3D093AA9">
            <w:r>
              <w:rPr>
                <w:rStyle w:val="10"/>
                <w:rFonts w:hint="eastAsia"/>
              </w:rPr>
              <w:t>使用技术要求:</w:t>
            </w:r>
            <w:r>
              <w:rPr>
                <w:rFonts w:hint="eastAsia"/>
              </w:rPr>
              <w:br w:type="textWrapping"/>
            </w:r>
            <w:r>
              <w:rPr>
                <w:rStyle w:val="11"/>
                <w:rFonts w:hint="eastAsia"/>
              </w:rPr>
              <w:t>1、本品用水稀释后，摇匀，均匀喷洒。2、施药时，关闭门窗，在距离物体及墙壁约1米外处，均匀喷洒，施药后人畜应立即退出并密闭房间30分钟后打开门窗充分通风后方可再次进入房间。3、药宜施在角落、缝隙等人畜不易接触、擦抹的位置。</w:t>
            </w:r>
          </w:p>
        </w:tc>
      </w:tr>
      <w:tr w14:paraId="6D4D0DEC">
        <w:tblPrEx>
          <w:tblCellMar>
            <w:top w:w="0" w:type="dxa"/>
            <w:left w:w="0" w:type="dxa"/>
            <w:bottom w:w="0" w:type="dxa"/>
            <w:right w:w="0" w:type="dxa"/>
          </w:tblCellMar>
        </w:tblPrEx>
        <w:trPr>
          <w:wBefore w:w="0" w:type="auto"/>
          <w:tblCellSpacing w:w="0" w:type="dxa"/>
        </w:trPr>
        <w:tc>
          <w:tcPr>
            <w:tcW w:w="0" w:type="auto"/>
            <w:noWrap w:val="0"/>
            <w:vAlign w:val="center"/>
          </w:tcPr>
          <w:p w14:paraId="69B62BFF">
            <w:r>
              <w:rPr>
                <w:rStyle w:val="10"/>
                <w:rFonts w:hint="eastAsia"/>
              </w:rPr>
              <w:t>产品性能:</w:t>
            </w:r>
            <w:r>
              <w:rPr>
                <w:rFonts w:hint="eastAsia"/>
              </w:rPr>
              <w:br w:type="textWrapping"/>
            </w:r>
            <w:r>
              <w:rPr>
                <w:rStyle w:val="11"/>
                <w:rFonts w:hint="eastAsia"/>
              </w:rPr>
              <w:t>本品对蚊、蝇、蜚蠊有较好的驱杀效果，可以用于家居、酒店、办公室、商店等室内场所。</w:t>
            </w:r>
          </w:p>
        </w:tc>
      </w:tr>
      <w:tr w14:paraId="477491AF">
        <w:tblPrEx>
          <w:tblCellMar>
            <w:top w:w="0" w:type="dxa"/>
            <w:left w:w="0" w:type="dxa"/>
            <w:bottom w:w="0" w:type="dxa"/>
            <w:right w:w="0" w:type="dxa"/>
          </w:tblCellMar>
        </w:tblPrEx>
        <w:trPr>
          <w:wBefore w:w="0" w:type="auto"/>
          <w:tblCellSpacing w:w="0" w:type="dxa"/>
        </w:trPr>
        <w:tc>
          <w:tcPr>
            <w:tcW w:w="0" w:type="auto"/>
            <w:noWrap w:val="0"/>
            <w:vAlign w:val="center"/>
          </w:tcPr>
          <w:p w14:paraId="57AA32A4">
            <w:r>
              <w:rPr>
                <w:rStyle w:val="10"/>
                <w:rFonts w:hint="eastAsia"/>
              </w:rPr>
              <w:t>注意事项：</w:t>
            </w:r>
            <w:r>
              <w:rPr>
                <w:rFonts w:hint="eastAsia"/>
              </w:rPr>
              <w:br w:type="textWrapping"/>
            </w:r>
            <w:r>
              <w:rPr>
                <w:rStyle w:val="11"/>
                <w:rFonts w:hint="eastAsia"/>
              </w:rPr>
              <w:t>1、制剂为混配剂型，不应与其他药剂混用，以免影响制剂的理化性能和药效。 2、本品对蜜蜂、鱼类等水生生物、家蚕有毒，喷雾时防止药雾漂移污染，水产养殖区、河塘等水域附近禁用。禁止在河塘等水体中清洗施药器具。禁止直接施药于河塘等水体。蚕室、桑园及其附近禁用。 3、本品不可与呈碱性的农药等物质混合使用。 4、用药时穿戴好个人防护用品，使用本品时应穿戴防护服和手套等，避免吸入药液。 5、施药期间不可吃东西和饮水。 6、施药后应及时用肥皂水洗手和洗脸及暴露部位皮肤。 7、勿对人体和食物使用。 8、孕妇、哺乳期妇女及过敏者禁用。使用中有任何不良反应请及时就医。 9、用过的容器应妥善处理，不可做他用，也不可随意丢弃。10、避免与氧化剂接触。11、仅限室内使用。</w:t>
            </w:r>
          </w:p>
        </w:tc>
      </w:tr>
      <w:tr w14:paraId="7316CC92">
        <w:tblPrEx>
          <w:tblCellMar>
            <w:top w:w="0" w:type="dxa"/>
            <w:left w:w="0" w:type="dxa"/>
            <w:bottom w:w="0" w:type="dxa"/>
            <w:right w:w="0" w:type="dxa"/>
          </w:tblCellMar>
        </w:tblPrEx>
        <w:trPr>
          <w:wBefore w:w="0" w:type="auto"/>
          <w:tblCellSpacing w:w="0" w:type="dxa"/>
        </w:trPr>
        <w:tc>
          <w:tcPr>
            <w:tcW w:w="0" w:type="auto"/>
            <w:noWrap w:val="0"/>
            <w:vAlign w:val="center"/>
          </w:tcPr>
          <w:p w14:paraId="6A881C4E">
            <w:r>
              <w:rPr>
                <w:rStyle w:val="10"/>
                <w:rFonts w:hint="eastAsia"/>
              </w:rPr>
              <w:t>中毒急救措施：</w:t>
            </w:r>
            <w:r>
              <w:rPr>
                <w:rFonts w:hint="eastAsia"/>
              </w:rPr>
              <w:br w:type="textWrapping"/>
            </w:r>
            <w:r>
              <w:rPr>
                <w:rStyle w:val="11"/>
                <w:rFonts w:hint="eastAsia"/>
              </w:rPr>
              <w:t>中毒症状表现为神经系统兴奋异常。 如不慎吸入，应将病人移到空气流通处。不慎接触皮肤或溅入眼睛，应用大量清水冲洗至少15分钟，并就医。 如误服则应立即携此标签将病人送医院诊治。无特殊解毒剂，可洗胃，不能催吐。</w:t>
            </w:r>
          </w:p>
        </w:tc>
      </w:tr>
      <w:tr w14:paraId="1C219EC7">
        <w:tblPrEx>
          <w:tblCellMar>
            <w:top w:w="0" w:type="dxa"/>
            <w:left w:w="0" w:type="dxa"/>
            <w:bottom w:w="0" w:type="dxa"/>
            <w:right w:w="0" w:type="dxa"/>
          </w:tblCellMar>
        </w:tblPrEx>
        <w:trPr>
          <w:wBefore w:w="0" w:type="auto"/>
          <w:tblCellSpacing w:w="0" w:type="dxa"/>
        </w:trPr>
        <w:tc>
          <w:tcPr>
            <w:tcW w:w="0" w:type="auto"/>
            <w:noWrap w:val="0"/>
            <w:vAlign w:val="center"/>
          </w:tcPr>
          <w:p w14:paraId="2286F40D">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本品应贮存在干燥、阴凉、通风、防雨处，远离火源或热源。置于儿童触及不到之处，并加锁。勿与食品、饮料、饲料、种子、粮食、等其他商品同贮同运。</w:t>
            </w:r>
          </w:p>
        </w:tc>
      </w:tr>
      <w:tr w14:paraId="78EF5D49">
        <w:tblPrEx>
          <w:tblCellMar>
            <w:top w:w="0" w:type="dxa"/>
            <w:left w:w="0" w:type="dxa"/>
            <w:bottom w:w="0" w:type="dxa"/>
            <w:right w:w="0" w:type="dxa"/>
          </w:tblCellMar>
        </w:tblPrEx>
        <w:trPr>
          <w:wBefore w:w="0" w:type="auto"/>
          <w:tblCellSpacing w:w="0" w:type="dxa"/>
        </w:trPr>
        <w:tc>
          <w:tcPr>
            <w:tcW w:w="0" w:type="auto"/>
            <w:noWrap w:val="0"/>
            <w:vAlign w:val="center"/>
          </w:tcPr>
          <w:p w14:paraId="692326AA">
            <w:r>
              <w:rPr>
                <w:rStyle w:val="10"/>
                <w:rFonts w:hint="eastAsia"/>
              </w:rPr>
              <w:t>质量保证期：</w:t>
            </w:r>
            <w:r>
              <w:rPr>
                <w:rStyle w:val="11"/>
                <w:rFonts w:hint="eastAsia"/>
              </w:rPr>
              <w:t>2年</w:t>
            </w:r>
          </w:p>
        </w:tc>
      </w:tr>
      <w:tr w14:paraId="687002B9">
        <w:tblPrEx>
          <w:tblCellMar>
            <w:top w:w="0" w:type="dxa"/>
            <w:left w:w="0" w:type="dxa"/>
            <w:bottom w:w="0" w:type="dxa"/>
            <w:right w:w="0" w:type="dxa"/>
          </w:tblCellMar>
        </w:tblPrEx>
        <w:trPr>
          <w:wBefore w:w="0" w:type="auto"/>
          <w:tblCellSpacing w:w="0" w:type="dxa"/>
        </w:trPr>
        <w:tc>
          <w:tcPr>
            <w:tcW w:w="0" w:type="auto"/>
            <w:noWrap w:val="0"/>
            <w:vAlign w:val="center"/>
          </w:tcPr>
          <w:p w14:paraId="2A1C0C0E">
            <w:r>
              <w:rPr>
                <w:rStyle w:val="10"/>
                <w:rFonts w:hint="eastAsia"/>
              </w:rPr>
              <w:t>备注：</w:t>
            </w:r>
          </w:p>
        </w:tc>
      </w:tr>
    </w:tbl>
    <w:p w14:paraId="60CDA1D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9D22841">
        <w:tblPrEx>
          <w:tblCellMar>
            <w:top w:w="0" w:type="dxa"/>
            <w:left w:w="0" w:type="dxa"/>
            <w:bottom w:w="0" w:type="dxa"/>
            <w:right w:w="0" w:type="dxa"/>
          </w:tblCellMar>
        </w:tblPrEx>
        <w:trPr>
          <w:wBefore w:w="0" w:type="auto"/>
          <w:tblCellSpacing w:w="0" w:type="dxa"/>
        </w:trPr>
        <w:tc>
          <w:tcPr>
            <w:tcW w:w="0" w:type="auto"/>
            <w:noWrap w:val="0"/>
            <w:vAlign w:val="center"/>
          </w:tcPr>
          <w:p w14:paraId="7492DAF2">
            <w:r>
              <w:rPr>
                <w:rStyle w:val="10"/>
                <w:rFonts w:hint="eastAsia"/>
              </w:rPr>
              <w:t>登记证号：</w:t>
            </w:r>
            <w:r>
              <w:rPr>
                <w:rFonts w:hint="eastAsia"/>
              </w:rPr>
              <w:t>PD20211735</w:t>
            </w:r>
          </w:p>
        </w:tc>
      </w:tr>
      <w:tr w14:paraId="4DA906D3">
        <w:tblPrEx>
          <w:tblCellMar>
            <w:top w:w="0" w:type="dxa"/>
            <w:left w:w="0" w:type="dxa"/>
            <w:bottom w:w="0" w:type="dxa"/>
            <w:right w:w="0" w:type="dxa"/>
          </w:tblCellMar>
        </w:tblPrEx>
        <w:trPr>
          <w:wBefore w:w="0" w:type="auto"/>
          <w:tblCellSpacing w:w="0" w:type="dxa"/>
        </w:trPr>
        <w:tc>
          <w:tcPr>
            <w:tcW w:w="0" w:type="auto"/>
            <w:noWrap w:val="0"/>
            <w:vAlign w:val="center"/>
          </w:tcPr>
          <w:p w14:paraId="4DA6AD83">
            <w:r>
              <w:rPr>
                <w:rStyle w:val="10"/>
                <w:rFonts w:hint="eastAsia"/>
              </w:rPr>
              <w:t>登记证持有人：</w:t>
            </w:r>
            <w:r>
              <w:rPr>
                <w:rFonts w:hint="eastAsia"/>
              </w:rPr>
              <w:t>广东立威化工有限公司</w:t>
            </w:r>
          </w:p>
        </w:tc>
      </w:tr>
      <w:tr w14:paraId="7F5B4DE0">
        <w:tblPrEx>
          <w:tblCellMar>
            <w:top w:w="0" w:type="dxa"/>
            <w:left w:w="0" w:type="dxa"/>
            <w:bottom w:w="0" w:type="dxa"/>
            <w:right w:w="0" w:type="dxa"/>
          </w:tblCellMar>
        </w:tblPrEx>
        <w:trPr>
          <w:wBefore w:w="0" w:type="auto"/>
          <w:tblCellSpacing w:w="0" w:type="dxa"/>
        </w:trPr>
        <w:tc>
          <w:tcPr>
            <w:tcW w:w="0" w:type="auto"/>
            <w:noWrap w:val="0"/>
            <w:vAlign w:val="center"/>
          </w:tcPr>
          <w:p w14:paraId="27CDD337">
            <w:r>
              <w:rPr>
                <w:rStyle w:val="10"/>
                <w:rFonts w:hint="eastAsia"/>
              </w:rPr>
              <w:t>农药名称：</w:t>
            </w:r>
            <w:r>
              <w:rPr>
                <w:rFonts w:hint="eastAsia"/>
              </w:rPr>
              <w:t>联苯菊酯</w:t>
            </w:r>
          </w:p>
        </w:tc>
      </w:tr>
      <w:tr w14:paraId="75E72CFE">
        <w:tblPrEx>
          <w:tblCellMar>
            <w:top w:w="0" w:type="dxa"/>
            <w:left w:w="0" w:type="dxa"/>
            <w:bottom w:w="0" w:type="dxa"/>
            <w:right w:w="0" w:type="dxa"/>
          </w:tblCellMar>
        </w:tblPrEx>
        <w:trPr>
          <w:wBefore w:w="0" w:type="auto"/>
          <w:tblCellSpacing w:w="0" w:type="dxa"/>
        </w:trPr>
        <w:tc>
          <w:tcPr>
            <w:tcW w:w="0" w:type="auto"/>
            <w:noWrap w:val="0"/>
            <w:vAlign w:val="center"/>
          </w:tcPr>
          <w:p w14:paraId="15E58DD2">
            <w:r>
              <w:rPr>
                <w:rStyle w:val="10"/>
                <w:rFonts w:hint="eastAsia"/>
              </w:rPr>
              <w:t>剂型：</w:t>
            </w:r>
            <w:r>
              <w:rPr>
                <w:rFonts w:hint="eastAsia"/>
              </w:rPr>
              <w:t>水乳剂</w:t>
            </w:r>
          </w:p>
        </w:tc>
      </w:tr>
      <w:tr w14:paraId="0E16BDE6">
        <w:tblPrEx>
          <w:tblCellMar>
            <w:top w:w="0" w:type="dxa"/>
            <w:left w:w="0" w:type="dxa"/>
            <w:bottom w:w="0" w:type="dxa"/>
            <w:right w:w="0" w:type="dxa"/>
          </w:tblCellMar>
        </w:tblPrEx>
        <w:trPr>
          <w:wBefore w:w="0" w:type="auto"/>
          <w:tblCellSpacing w:w="0" w:type="dxa"/>
        </w:trPr>
        <w:tc>
          <w:tcPr>
            <w:tcW w:w="0" w:type="auto"/>
            <w:noWrap w:val="0"/>
            <w:vAlign w:val="center"/>
          </w:tcPr>
          <w:p w14:paraId="0794EF0E">
            <w:r>
              <w:rPr>
                <w:rStyle w:val="10"/>
                <w:rFonts w:hint="eastAsia"/>
              </w:rPr>
              <w:t>毒性及其标识：</w:t>
            </w:r>
            <w:r>
              <w:rPr>
                <w:rFonts w:hint="eastAsia"/>
              </w:rPr>
              <w:t xml:space="preserve"> </w:t>
            </w:r>
            <w:r>
              <w:rPr>
                <w:lang/>
              </w:rPr>
              <w:drawing>
                <wp:inline distT="0" distB="0" distL="114300" distR="114300">
                  <wp:extent cx="476250" cy="323850"/>
                  <wp:effectExtent l="0" t="0" r="0" b="0"/>
                  <wp:docPr id="59" name="图片 5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0FA30A0">
        <w:tblPrEx>
          <w:tblCellMar>
            <w:top w:w="0" w:type="dxa"/>
            <w:left w:w="0" w:type="dxa"/>
            <w:bottom w:w="0" w:type="dxa"/>
            <w:right w:w="0" w:type="dxa"/>
          </w:tblCellMar>
        </w:tblPrEx>
        <w:trPr>
          <w:wBefore w:w="0" w:type="auto"/>
          <w:tblCellSpacing w:w="0" w:type="dxa"/>
        </w:trPr>
        <w:tc>
          <w:tcPr>
            <w:tcW w:w="0" w:type="auto"/>
            <w:noWrap w:val="0"/>
            <w:vAlign w:val="center"/>
          </w:tcPr>
          <w:p w14:paraId="24435245">
            <w:r>
              <w:rPr>
                <w:rStyle w:val="10"/>
                <w:rFonts w:hint="eastAsia"/>
              </w:rPr>
              <w:t>总有效成分含量：</w:t>
            </w:r>
            <w:r>
              <w:rPr>
                <w:rFonts w:hint="eastAsia"/>
              </w:rPr>
              <w:t>10%</w:t>
            </w:r>
          </w:p>
        </w:tc>
      </w:tr>
      <w:tr w14:paraId="466C46DA">
        <w:tblPrEx>
          <w:tblCellMar>
            <w:top w:w="0" w:type="dxa"/>
            <w:left w:w="0" w:type="dxa"/>
            <w:bottom w:w="0" w:type="dxa"/>
            <w:right w:w="0" w:type="dxa"/>
          </w:tblCellMar>
        </w:tblPrEx>
        <w:trPr>
          <w:wBefore w:w="0" w:type="auto"/>
          <w:tblCellSpacing w:w="0" w:type="dxa"/>
        </w:trPr>
        <w:tc>
          <w:tcPr>
            <w:tcW w:w="0" w:type="auto"/>
            <w:noWrap w:val="0"/>
            <w:vAlign w:val="center"/>
          </w:tcPr>
          <w:p w14:paraId="6ECEF9EA">
            <w:r>
              <w:rPr>
                <w:rFonts w:hint="eastAsia"/>
              </w:rPr>
              <w:t xml:space="preserve">有效成分及其含量： </w:t>
            </w:r>
          </w:p>
          <w:p w14:paraId="6134E027">
            <w:r>
              <w:rPr>
                <w:rFonts w:hint="eastAsia"/>
              </w:rPr>
              <w:t xml:space="preserve">    联苯菊酯10%    </w:t>
            </w:r>
          </w:p>
        </w:tc>
      </w:tr>
      <w:tr w14:paraId="5D4C07D9">
        <w:tblPrEx>
          <w:tblCellMar>
            <w:top w:w="0" w:type="dxa"/>
            <w:left w:w="0" w:type="dxa"/>
            <w:bottom w:w="0" w:type="dxa"/>
            <w:right w:w="0" w:type="dxa"/>
          </w:tblCellMar>
        </w:tblPrEx>
        <w:trPr>
          <w:wBefore w:w="0" w:type="auto"/>
          <w:tblCellSpacing w:w="0" w:type="dxa"/>
        </w:trPr>
        <w:tc>
          <w:tcPr>
            <w:tcW w:w="0" w:type="auto"/>
            <w:noWrap w:val="0"/>
            <w:vAlign w:val="center"/>
          </w:tcPr>
          <w:p w14:paraId="419E2FB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8CE07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DAA263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29CDCD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F14E1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A947AA2">
                  <w:r>
                    <w:rPr>
                      <w:rStyle w:val="11"/>
                      <w:rFonts w:hint="eastAsia"/>
                    </w:rPr>
                    <w:t>施用方式</w:t>
                  </w:r>
                </w:p>
              </w:tc>
            </w:tr>
            <w:tr w14:paraId="28A09C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8B35027">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260FFB">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85EF3C">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38E6A1">
                  <w:r>
                    <w:rPr>
                      <w:rStyle w:val="11"/>
                      <w:rFonts w:hint="eastAsia"/>
                    </w:rPr>
                    <w:t>喷雾</w:t>
                  </w:r>
                </w:p>
              </w:tc>
            </w:tr>
          </w:tbl>
          <w:p w14:paraId="273586F3">
            <w:pPr>
              <w:rPr>
                <w:rFonts w:ascii="Times New Roman" w:hAnsi="Times New Roman" w:cs="Times New Roman"/>
                <w:sz w:val="20"/>
                <w:szCs w:val="20"/>
              </w:rPr>
            </w:pPr>
          </w:p>
        </w:tc>
      </w:tr>
      <w:tr w14:paraId="6DC9876E">
        <w:tblPrEx>
          <w:tblCellMar>
            <w:top w:w="0" w:type="dxa"/>
            <w:left w:w="0" w:type="dxa"/>
            <w:bottom w:w="0" w:type="dxa"/>
            <w:right w:w="0" w:type="dxa"/>
          </w:tblCellMar>
        </w:tblPrEx>
        <w:trPr>
          <w:wBefore w:w="0" w:type="auto"/>
          <w:tblCellSpacing w:w="0" w:type="dxa"/>
        </w:trPr>
        <w:tc>
          <w:tcPr>
            <w:tcW w:w="0" w:type="auto"/>
            <w:noWrap w:val="0"/>
            <w:vAlign w:val="center"/>
          </w:tcPr>
          <w:p w14:paraId="61BA491E">
            <w:r>
              <w:rPr>
                <w:rStyle w:val="10"/>
                <w:rFonts w:hint="eastAsia"/>
              </w:rPr>
              <w:t>使用技术要求:</w:t>
            </w:r>
            <w:r>
              <w:rPr>
                <w:rFonts w:hint="eastAsia"/>
              </w:rPr>
              <w:br w:type="textWrapping"/>
            </w:r>
            <w:r>
              <w:rPr>
                <w:rStyle w:val="11"/>
                <w:rFonts w:hint="eastAsia"/>
              </w:rPr>
              <w:t>1.于茶小绿叶蝉若虫始盛期喷雾施药1次。2.在茶树上每季最多施药1次，安全间隔期7天。</w:t>
            </w:r>
          </w:p>
        </w:tc>
      </w:tr>
      <w:tr w14:paraId="639115C6">
        <w:tblPrEx>
          <w:tblCellMar>
            <w:top w:w="0" w:type="dxa"/>
            <w:left w:w="0" w:type="dxa"/>
            <w:bottom w:w="0" w:type="dxa"/>
            <w:right w:w="0" w:type="dxa"/>
          </w:tblCellMar>
        </w:tblPrEx>
        <w:trPr>
          <w:wBefore w:w="0" w:type="auto"/>
          <w:tblCellSpacing w:w="0" w:type="dxa"/>
        </w:trPr>
        <w:tc>
          <w:tcPr>
            <w:tcW w:w="0" w:type="auto"/>
            <w:noWrap w:val="0"/>
            <w:vAlign w:val="center"/>
          </w:tcPr>
          <w:p w14:paraId="19D8E64F">
            <w:r>
              <w:rPr>
                <w:rStyle w:val="10"/>
                <w:rFonts w:hint="eastAsia"/>
              </w:rPr>
              <w:t>产品性能:</w:t>
            </w:r>
            <w:r>
              <w:rPr>
                <w:rFonts w:hint="eastAsia"/>
              </w:rPr>
              <w:br w:type="textWrapping"/>
            </w:r>
            <w:r>
              <w:rPr>
                <w:rStyle w:val="11"/>
                <w:rFonts w:hint="eastAsia"/>
              </w:rPr>
              <w:t>联苯菊酯属昆虫神经系统抑制剂，作用于钠离子通道，干扰神经信号传递，具有触杀和胃毒作用。可用于防治茶树茶小绿叶蝉。</w:t>
            </w:r>
          </w:p>
        </w:tc>
      </w:tr>
      <w:tr w14:paraId="69250C3B">
        <w:tblPrEx>
          <w:tblCellMar>
            <w:top w:w="0" w:type="dxa"/>
            <w:left w:w="0" w:type="dxa"/>
            <w:bottom w:w="0" w:type="dxa"/>
            <w:right w:w="0" w:type="dxa"/>
          </w:tblCellMar>
        </w:tblPrEx>
        <w:trPr>
          <w:wBefore w:w="0" w:type="auto"/>
          <w:tblCellSpacing w:w="0" w:type="dxa"/>
        </w:trPr>
        <w:tc>
          <w:tcPr>
            <w:tcW w:w="0" w:type="auto"/>
            <w:noWrap w:val="0"/>
            <w:vAlign w:val="center"/>
          </w:tcPr>
          <w:p w14:paraId="4325CB7D">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2.远离水产养殖区、河塘等水体施药，禁止在河塘等水体中清洗施药器具。3.（周围）开花植物花期禁用，使用期间应密切关注对附近蜂群的影响；蚕室及桑园附近禁用；瓢虫、赤眼蜂等天敌放飞区域禁用。3.用过的容器应妥善处理，不可做他用，也不可随意丢弃。4.本品不可与碱性农药等物质混合使用。建议与其它作用机制不同的杀虫剂轮换使用，以延缓抗性产生。5.禁止儿童、孕妇和哺乳期妇女接触。6.过敏者禁用，使用中有任何不良反应请及时就医。</w:t>
            </w:r>
          </w:p>
        </w:tc>
      </w:tr>
      <w:tr w14:paraId="55D9F4CE">
        <w:tblPrEx>
          <w:tblCellMar>
            <w:top w:w="0" w:type="dxa"/>
            <w:left w:w="0" w:type="dxa"/>
            <w:bottom w:w="0" w:type="dxa"/>
            <w:right w:w="0" w:type="dxa"/>
          </w:tblCellMar>
        </w:tblPrEx>
        <w:trPr>
          <w:wBefore w:w="0" w:type="auto"/>
          <w:tblCellSpacing w:w="0" w:type="dxa"/>
        </w:trPr>
        <w:tc>
          <w:tcPr>
            <w:tcW w:w="0" w:type="auto"/>
            <w:noWrap w:val="0"/>
            <w:vAlign w:val="center"/>
          </w:tcPr>
          <w:p w14:paraId="1B99D9BD">
            <w:r>
              <w:rPr>
                <w:rStyle w:val="10"/>
                <w:rFonts w:hint="eastAsia"/>
              </w:rPr>
              <w:t>中毒急救措施：</w:t>
            </w:r>
            <w:r>
              <w:rPr>
                <w:rFonts w:hint="eastAsia"/>
              </w:rPr>
              <w:br w:type="textWrapping"/>
            </w:r>
            <w:r>
              <w:rPr>
                <w:rStyle w:val="11"/>
                <w:rFonts w:hint="eastAsia"/>
              </w:rPr>
              <w:t xml:space="preserve">中毒症状：对眼睛有刺激性。因疏忽或误用而发生中毒现象，接触部位皮肤感到刺痛，但无红斑，尤其在口、鼻周围。接触量大时也会引起头痛，头昏，恶心呕吐，双手颤抖，重者抽搐或惊厥、昏迷、休克。 急救措施：使用中或使用后如果感觉不适，应立即停止工作，采取急救措施，并携带标签送医院就诊。皮肤接触：立即脱掉被污染的衣物，用软布去除沾染农药，大量清水和肥皂冲洗。眼睛接触：立即翻开眼睑，用大量清水冲洗至少15分钟，及时就医。吸入：立即离开施药现场，转移至空气流通处。如呼吸停止，立即进行人工呼吸并请医生诊治。误服：立即停止服用，用清水充分漱口后，并饮1~2杯水，对神志不清者切勿催吐和喂食。立即携带农药标签到医院就诊。无专用解毒剂，对症治疗，如需洗胃请采用导管洗胃法。 </w:t>
            </w:r>
          </w:p>
        </w:tc>
      </w:tr>
      <w:tr w14:paraId="625A5E29">
        <w:tblPrEx>
          <w:tblCellMar>
            <w:top w:w="0" w:type="dxa"/>
            <w:left w:w="0" w:type="dxa"/>
            <w:bottom w:w="0" w:type="dxa"/>
            <w:right w:w="0" w:type="dxa"/>
          </w:tblCellMar>
        </w:tblPrEx>
        <w:trPr>
          <w:wBefore w:w="0" w:type="auto"/>
          <w:tblCellSpacing w:w="0" w:type="dxa"/>
        </w:trPr>
        <w:tc>
          <w:tcPr>
            <w:tcW w:w="0" w:type="auto"/>
            <w:noWrap w:val="0"/>
            <w:vAlign w:val="center"/>
          </w:tcPr>
          <w:p w14:paraId="47A2E3F0">
            <w:r>
              <w:rPr>
                <w:rStyle w:val="10"/>
                <w:rFonts w:hint="eastAsia"/>
              </w:rPr>
              <w:t>储存和运输方法：</w:t>
            </w:r>
            <w:r>
              <w:rPr>
                <w:rFonts w:hint="eastAsia"/>
              </w:rPr>
              <w:br w:type="textWrapping"/>
            </w:r>
            <w:r>
              <w:rPr>
                <w:rStyle w:val="11"/>
                <w:rFonts w:hint="eastAsia"/>
              </w:rPr>
              <w:t>本品应贮存在通风、干燥的库房中。贮运时，严防潮湿和日晒，远离火源或热源。置于儿童、无关人员及动物接触不到的地方，并加锁保存。不能与食品、饮料、粮食、饲料等混合储存。</w:t>
            </w:r>
          </w:p>
        </w:tc>
      </w:tr>
      <w:tr w14:paraId="4E613C4A">
        <w:tblPrEx>
          <w:tblCellMar>
            <w:top w:w="0" w:type="dxa"/>
            <w:left w:w="0" w:type="dxa"/>
            <w:bottom w:w="0" w:type="dxa"/>
            <w:right w:w="0" w:type="dxa"/>
          </w:tblCellMar>
        </w:tblPrEx>
        <w:trPr>
          <w:wBefore w:w="0" w:type="auto"/>
          <w:tblCellSpacing w:w="0" w:type="dxa"/>
        </w:trPr>
        <w:tc>
          <w:tcPr>
            <w:tcW w:w="0" w:type="auto"/>
            <w:noWrap w:val="0"/>
            <w:vAlign w:val="center"/>
          </w:tcPr>
          <w:p w14:paraId="76F33B15">
            <w:r>
              <w:rPr>
                <w:rStyle w:val="10"/>
                <w:rFonts w:hint="eastAsia"/>
              </w:rPr>
              <w:t>质量保证期：</w:t>
            </w:r>
            <w:r>
              <w:rPr>
                <w:rStyle w:val="11"/>
                <w:rFonts w:hint="eastAsia"/>
              </w:rPr>
              <w:t>2年</w:t>
            </w:r>
          </w:p>
        </w:tc>
      </w:tr>
      <w:tr w14:paraId="1FFFA464">
        <w:tblPrEx>
          <w:tblCellMar>
            <w:top w:w="0" w:type="dxa"/>
            <w:left w:w="0" w:type="dxa"/>
            <w:bottom w:w="0" w:type="dxa"/>
            <w:right w:w="0" w:type="dxa"/>
          </w:tblCellMar>
        </w:tblPrEx>
        <w:trPr>
          <w:wBefore w:w="0" w:type="auto"/>
          <w:tblCellSpacing w:w="0" w:type="dxa"/>
        </w:trPr>
        <w:tc>
          <w:tcPr>
            <w:tcW w:w="0" w:type="auto"/>
            <w:noWrap w:val="0"/>
            <w:vAlign w:val="center"/>
          </w:tcPr>
          <w:p w14:paraId="6FD3259A">
            <w:r>
              <w:rPr>
                <w:rStyle w:val="10"/>
                <w:rFonts w:hint="eastAsia"/>
              </w:rPr>
              <w:t>备注：</w:t>
            </w:r>
          </w:p>
        </w:tc>
      </w:tr>
    </w:tbl>
    <w:p w14:paraId="4371CEC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1193FAE">
        <w:tblPrEx>
          <w:tblCellMar>
            <w:top w:w="0" w:type="dxa"/>
            <w:left w:w="0" w:type="dxa"/>
            <w:bottom w:w="0" w:type="dxa"/>
            <w:right w:w="0" w:type="dxa"/>
          </w:tblCellMar>
        </w:tblPrEx>
        <w:trPr>
          <w:wBefore w:w="0" w:type="auto"/>
          <w:tblCellSpacing w:w="0" w:type="dxa"/>
        </w:trPr>
        <w:tc>
          <w:tcPr>
            <w:tcW w:w="0" w:type="auto"/>
            <w:noWrap w:val="0"/>
            <w:vAlign w:val="center"/>
          </w:tcPr>
          <w:p w14:paraId="503788CB">
            <w:r>
              <w:rPr>
                <w:rStyle w:val="10"/>
                <w:rFonts w:hint="eastAsia"/>
              </w:rPr>
              <w:t>登记证号：</w:t>
            </w:r>
            <w:r>
              <w:rPr>
                <w:rFonts w:hint="eastAsia"/>
              </w:rPr>
              <w:t>PD20211727</w:t>
            </w:r>
          </w:p>
        </w:tc>
      </w:tr>
      <w:tr w14:paraId="50BEA901">
        <w:tblPrEx>
          <w:tblCellMar>
            <w:top w:w="0" w:type="dxa"/>
            <w:left w:w="0" w:type="dxa"/>
            <w:bottom w:w="0" w:type="dxa"/>
            <w:right w:w="0" w:type="dxa"/>
          </w:tblCellMar>
        </w:tblPrEx>
        <w:trPr>
          <w:wBefore w:w="0" w:type="auto"/>
          <w:tblCellSpacing w:w="0" w:type="dxa"/>
        </w:trPr>
        <w:tc>
          <w:tcPr>
            <w:tcW w:w="0" w:type="auto"/>
            <w:noWrap w:val="0"/>
            <w:vAlign w:val="center"/>
          </w:tcPr>
          <w:p w14:paraId="73C2857B">
            <w:r>
              <w:rPr>
                <w:rStyle w:val="10"/>
                <w:rFonts w:hint="eastAsia"/>
              </w:rPr>
              <w:t>登记证持有人：</w:t>
            </w:r>
            <w:r>
              <w:rPr>
                <w:rFonts w:hint="eastAsia"/>
              </w:rPr>
              <w:t>上海宜邦生物工程(信阳)有限公司</w:t>
            </w:r>
          </w:p>
        </w:tc>
      </w:tr>
      <w:tr w14:paraId="30A07A80">
        <w:tblPrEx>
          <w:tblCellMar>
            <w:top w:w="0" w:type="dxa"/>
            <w:left w:w="0" w:type="dxa"/>
            <w:bottom w:w="0" w:type="dxa"/>
            <w:right w:w="0" w:type="dxa"/>
          </w:tblCellMar>
        </w:tblPrEx>
        <w:trPr>
          <w:wBefore w:w="0" w:type="auto"/>
          <w:tblCellSpacing w:w="0" w:type="dxa"/>
        </w:trPr>
        <w:tc>
          <w:tcPr>
            <w:tcW w:w="0" w:type="auto"/>
            <w:noWrap w:val="0"/>
            <w:vAlign w:val="center"/>
          </w:tcPr>
          <w:p w14:paraId="3062E16F">
            <w:r>
              <w:rPr>
                <w:rStyle w:val="10"/>
                <w:rFonts w:hint="eastAsia"/>
              </w:rPr>
              <w:t>农药名称：</w:t>
            </w:r>
            <w:r>
              <w:rPr>
                <w:rFonts w:hint="eastAsia"/>
              </w:rPr>
              <w:t>甲维·虱螨脲</w:t>
            </w:r>
          </w:p>
        </w:tc>
      </w:tr>
      <w:tr w14:paraId="6D6C92CB">
        <w:tblPrEx>
          <w:tblCellMar>
            <w:top w:w="0" w:type="dxa"/>
            <w:left w:w="0" w:type="dxa"/>
            <w:bottom w:w="0" w:type="dxa"/>
            <w:right w:w="0" w:type="dxa"/>
          </w:tblCellMar>
        </w:tblPrEx>
        <w:trPr>
          <w:wBefore w:w="0" w:type="auto"/>
          <w:tblCellSpacing w:w="0" w:type="dxa"/>
        </w:trPr>
        <w:tc>
          <w:tcPr>
            <w:tcW w:w="0" w:type="auto"/>
            <w:noWrap w:val="0"/>
            <w:vAlign w:val="center"/>
          </w:tcPr>
          <w:p w14:paraId="4150E5E5">
            <w:r>
              <w:rPr>
                <w:rStyle w:val="10"/>
                <w:rFonts w:hint="eastAsia"/>
              </w:rPr>
              <w:t>剂型：</w:t>
            </w:r>
            <w:r>
              <w:rPr>
                <w:rFonts w:hint="eastAsia"/>
              </w:rPr>
              <w:t>悬浮剂</w:t>
            </w:r>
          </w:p>
        </w:tc>
      </w:tr>
      <w:tr w14:paraId="7722974A">
        <w:tblPrEx>
          <w:tblCellMar>
            <w:top w:w="0" w:type="dxa"/>
            <w:left w:w="0" w:type="dxa"/>
            <w:bottom w:w="0" w:type="dxa"/>
            <w:right w:w="0" w:type="dxa"/>
          </w:tblCellMar>
        </w:tblPrEx>
        <w:trPr>
          <w:wBefore w:w="0" w:type="auto"/>
          <w:tblCellSpacing w:w="0" w:type="dxa"/>
        </w:trPr>
        <w:tc>
          <w:tcPr>
            <w:tcW w:w="0" w:type="auto"/>
            <w:noWrap w:val="0"/>
            <w:vAlign w:val="center"/>
          </w:tcPr>
          <w:p w14:paraId="792C23B3">
            <w:r>
              <w:rPr>
                <w:rStyle w:val="10"/>
                <w:rFonts w:hint="eastAsia"/>
              </w:rPr>
              <w:t>毒性及其标识：</w:t>
            </w:r>
            <w:r>
              <w:rPr>
                <w:rFonts w:hint="eastAsia"/>
              </w:rPr>
              <w:t xml:space="preserve"> </w:t>
            </w:r>
            <w:r>
              <w:rPr>
                <w:lang/>
              </w:rPr>
              <w:drawing>
                <wp:inline distT="0" distB="0" distL="114300" distR="114300">
                  <wp:extent cx="476250" cy="323850"/>
                  <wp:effectExtent l="0" t="0" r="0" b="0"/>
                  <wp:docPr id="60" name="图片 6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BD0F162">
        <w:tblPrEx>
          <w:tblCellMar>
            <w:top w:w="0" w:type="dxa"/>
            <w:left w:w="0" w:type="dxa"/>
            <w:bottom w:w="0" w:type="dxa"/>
            <w:right w:w="0" w:type="dxa"/>
          </w:tblCellMar>
        </w:tblPrEx>
        <w:trPr>
          <w:wBefore w:w="0" w:type="auto"/>
          <w:tblCellSpacing w:w="0" w:type="dxa"/>
        </w:trPr>
        <w:tc>
          <w:tcPr>
            <w:tcW w:w="0" w:type="auto"/>
            <w:noWrap w:val="0"/>
            <w:vAlign w:val="center"/>
          </w:tcPr>
          <w:p w14:paraId="01FB946B">
            <w:r>
              <w:rPr>
                <w:rStyle w:val="10"/>
                <w:rFonts w:hint="eastAsia"/>
              </w:rPr>
              <w:t>总有效成分含量：</w:t>
            </w:r>
            <w:r>
              <w:rPr>
                <w:rFonts w:hint="eastAsia"/>
              </w:rPr>
              <w:t>7.6%</w:t>
            </w:r>
          </w:p>
        </w:tc>
      </w:tr>
      <w:tr w14:paraId="1866D8CB">
        <w:tblPrEx>
          <w:tblCellMar>
            <w:top w:w="0" w:type="dxa"/>
            <w:left w:w="0" w:type="dxa"/>
            <w:bottom w:w="0" w:type="dxa"/>
            <w:right w:w="0" w:type="dxa"/>
          </w:tblCellMar>
        </w:tblPrEx>
        <w:trPr>
          <w:wBefore w:w="0" w:type="auto"/>
          <w:tblCellSpacing w:w="0" w:type="dxa"/>
        </w:trPr>
        <w:tc>
          <w:tcPr>
            <w:tcW w:w="0" w:type="auto"/>
            <w:noWrap w:val="0"/>
            <w:vAlign w:val="center"/>
          </w:tcPr>
          <w:p w14:paraId="182759C2">
            <w:r>
              <w:rPr>
                <w:rFonts w:hint="eastAsia"/>
              </w:rPr>
              <w:t xml:space="preserve">有效成分及其含量： </w:t>
            </w:r>
          </w:p>
          <w:p w14:paraId="37131AF4">
            <w:r>
              <w:rPr>
                <w:rFonts w:hint="eastAsia"/>
              </w:rPr>
              <w:t xml:space="preserve">    甲氨基阿维菌素2.6%    虱螨脲5%    </w:t>
            </w:r>
          </w:p>
        </w:tc>
      </w:tr>
      <w:tr w14:paraId="18B1B6D7">
        <w:tblPrEx>
          <w:tblCellMar>
            <w:top w:w="0" w:type="dxa"/>
            <w:left w:w="0" w:type="dxa"/>
            <w:bottom w:w="0" w:type="dxa"/>
            <w:right w:w="0" w:type="dxa"/>
          </w:tblCellMar>
        </w:tblPrEx>
        <w:trPr>
          <w:wBefore w:w="0" w:type="auto"/>
          <w:tblCellSpacing w:w="0" w:type="dxa"/>
        </w:trPr>
        <w:tc>
          <w:tcPr>
            <w:tcW w:w="0" w:type="auto"/>
            <w:noWrap w:val="0"/>
            <w:vAlign w:val="center"/>
          </w:tcPr>
          <w:p w14:paraId="0C6EA54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966AFA4">
              <w:tblPrEx>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207367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F06EB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63002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E6C3AB2">
                  <w:r>
                    <w:rPr>
                      <w:rStyle w:val="11"/>
                      <w:rFonts w:hint="eastAsia"/>
                    </w:rPr>
                    <w:t>施用方式</w:t>
                  </w:r>
                </w:p>
              </w:tc>
            </w:tr>
            <w:tr w14:paraId="340A82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835CA5">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B520FE">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646E8E">
                  <w:r>
                    <w:rPr>
                      <w:rStyle w:val="11"/>
                      <w:rFonts w:hint="eastAsia"/>
                    </w:rPr>
                    <w:t>20-30毫升/亩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DB0BFE">
                  <w:r>
                    <w:rPr>
                      <w:rStyle w:val="11"/>
                      <w:rFonts w:hint="eastAsia"/>
                    </w:rPr>
                    <w:t>喷雾</w:t>
                  </w:r>
                </w:p>
              </w:tc>
            </w:tr>
          </w:tbl>
          <w:p w14:paraId="018907BC">
            <w:pPr>
              <w:rPr>
                <w:rFonts w:ascii="Times New Roman" w:hAnsi="Times New Roman" w:cs="Times New Roman"/>
                <w:sz w:val="20"/>
                <w:szCs w:val="20"/>
              </w:rPr>
            </w:pPr>
          </w:p>
        </w:tc>
      </w:tr>
      <w:tr w14:paraId="164DDEB7">
        <w:tblPrEx>
          <w:tblCellMar>
            <w:top w:w="0" w:type="dxa"/>
            <w:left w:w="0" w:type="dxa"/>
            <w:bottom w:w="0" w:type="dxa"/>
            <w:right w:w="0" w:type="dxa"/>
          </w:tblCellMar>
        </w:tblPrEx>
        <w:trPr>
          <w:wBefore w:w="0" w:type="auto"/>
          <w:tblCellSpacing w:w="0" w:type="dxa"/>
        </w:trPr>
        <w:tc>
          <w:tcPr>
            <w:tcW w:w="0" w:type="auto"/>
            <w:noWrap w:val="0"/>
            <w:vAlign w:val="center"/>
          </w:tcPr>
          <w:p w14:paraId="667B48CB">
            <w:r>
              <w:rPr>
                <w:rStyle w:val="10"/>
                <w:rFonts w:hint="eastAsia"/>
              </w:rPr>
              <w:t>使用技术要求:</w:t>
            </w:r>
            <w:r>
              <w:rPr>
                <w:rFonts w:hint="eastAsia"/>
              </w:rPr>
              <w:br w:type="textWrapping"/>
            </w:r>
            <w:r>
              <w:rPr>
                <w:rStyle w:val="11"/>
                <w:rFonts w:hint="eastAsia"/>
              </w:rPr>
              <w:t>1. 在甘蓝甜菜夜蛾低龄幼虫始发期施药，施药时雾滴要细，喷雾要均匀。 2、大风天或预计1小时内有降雨，请勿施药。 3、本品在甘蓝上使用的安全间隔期为7天，每季作物最多使用12次。</w:t>
            </w:r>
          </w:p>
        </w:tc>
      </w:tr>
      <w:tr w14:paraId="712B9ECD">
        <w:tblPrEx>
          <w:tblCellMar>
            <w:top w:w="0" w:type="dxa"/>
            <w:left w:w="0" w:type="dxa"/>
            <w:bottom w:w="0" w:type="dxa"/>
            <w:right w:w="0" w:type="dxa"/>
          </w:tblCellMar>
        </w:tblPrEx>
        <w:trPr>
          <w:wBefore w:w="0" w:type="auto"/>
          <w:tblCellSpacing w:w="0" w:type="dxa"/>
        </w:trPr>
        <w:tc>
          <w:tcPr>
            <w:tcW w:w="0" w:type="auto"/>
            <w:noWrap w:val="0"/>
            <w:vAlign w:val="center"/>
          </w:tcPr>
          <w:p w14:paraId="728984A1">
            <w:r>
              <w:rPr>
                <w:rStyle w:val="10"/>
                <w:rFonts w:hint="eastAsia"/>
              </w:rPr>
              <w:t>产品性能:</w:t>
            </w:r>
            <w:r>
              <w:rPr>
                <w:rFonts w:hint="eastAsia"/>
              </w:rPr>
              <w:br w:type="textWrapping"/>
            </w:r>
            <w:r>
              <w:rPr>
                <w:rStyle w:val="11"/>
                <w:rFonts w:hint="eastAsia"/>
              </w:rPr>
              <w:t>本品是由甲氨基阿维菌素苯甲酸盐和虱螨脲复配而成的杀虫剂，具有胃毒和触杀双重作用。通过影响昆虫表皮的形成而达到杀虫作用，同时还能阻碍害虫运动神经信息传递，影响害虫进食，最终死亡。</w:t>
            </w:r>
          </w:p>
        </w:tc>
      </w:tr>
      <w:tr w14:paraId="1C9CB4D7">
        <w:tblPrEx>
          <w:tblCellMar>
            <w:top w:w="0" w:type="dxa"/>
            <w:left w:w="0" w:type="dxa"/>
            <w:bottom w:w="0" w:type="dxa"/>
            <w:right w:w="0" w:type="dxa"/>
          </w:tblCellMar>
        </w:tblPrEx>
        <w:trPr>
          <w:wBefore w:w="0" w:type="auto"/>
          <w:tblCellSpacing w:w="0" w:type="dxa"/>
        </w:trPr>
        <w:tc>
          <w:tcPr>
            <w:tcW w:w="0" w:type="auto"/>
            <w:noWrap w:val="0"/>
            <w:vAlign w:val="center"/>
          </w:tcPr>
          <w:p w14:paraId="026AAAAF">
            <w:r>
              <w:rPr>
                <w:rStyle w:val="10"/>
                <w:rFonts w:hint="eastAsia"/>
              </w:rPr>
              <w:t>注意事项：</w:t>
            </w:r>
            <w:r>
              <w:rPr>
                <w:rFonts w:hint="eastAsia"/>
              </w:rPr>
              <w:br w:type="textWrapping"/>
            </w:r>
            <w:r>
              <w:rPr>
                <w:rStyle w:val="11"/>
                <w:rFonts w:hint="eastAsia"/>
              </w:rPr>
              <w:t>1. 本品不可与强氧化剂或碱性类农药混合使用。 2. 配药和喷药时穿戴长衣、长裤、帽子、口罩、手套等防护措施。严格按照农药安全使用规则操作，避免接触皮肤、眼睛和污染衣物，避免吸入药滴，勿在施药现场抽烟和饮食。 施药后应立即清洗，并更换工作服。 3、本品对蜜蜂、鱼类等水生生物、家蚕有毒，（周围）开花植物花期禁用，使用时应密切关注对附近蜂群的影响；蚕室和桑园附近禁用，施药期间应避免对周围蜂群的影响。瓢虫、赤眼蜂等天敌放飞区禁用。远离水产养殖区、河塘施药，禁止在河塘等水域中清洗施药器具。 4、用过的容器应妥善处理，不可做他用，也不可随意丢弃。 5、孕妇、哺乳期妇女及过敏者禁止接触本品。</w:t>
            </w:r>
          </w:p>
        </w:tc>
      </w:tr>
      <w:tr w14:paraId="7FC63236">
        <w:tblPrEx>
          <w:tblCellMar>
            <w:top w:w="0" w:type="dxa"/>
            <w:left w:w="0" w:type="dxa"/>
            <w:bottom w:w="0" w:type="dxa"/>
            <w:right w:w="0" w:type="dxa"/>
          </w:tblCellMar>
        </w:tblPrEx>
        <w:trPr>
          <w:wBefore w:w="0" w:type="auto"/>
          <w:tblCellSpacing w:w="0" w:type="dxa"/>
        </w:trPr>
        <w:tc>
          <w:tcPr>
            <w:tcW w:w="0" w:type="auto"/>
            <w:noWrap w:val="0"/>
            <w:vAlign w:val="center"/>
          </w:tcPr>
          <w:p w14:paraId="001F1E70">
            <w:r>
              <w:rPr>
                <w:rStyle w:val="10"/>
                <w:rFonts w:hint="eastAsia"/>
              </w:rPr>
              <w:t>中毒急救措施：</w:t>
            </w:r>
            <w:r>
              <w:rPr>
                <w:rFonts w:hint="eastAsia"/>
              </w:rPr>
              <w:br w:type="textWrapping"/>
            </w:r>
            <w:r>
              <w:rPr>
                <w:rStyle w:val="11"/>
                <w:rFonts w:hint="eastAsia"/>
              </w:rPr>
              <w:t>症状：早期症状为瞳孔放大，行动失调，肌肉颤抖，严重时导致呕吐。措施：1. 吸入：将患者移至新鲜空气处，请医生诊治。 2. 眼睛接触：分开眼睑，用大量清水冲洗眼至少15分钟，再请医生诊治。 3. 皮肤接触：脱去污染的衣着，立即用清水冲洗污染的皮肤至少20分钟，再用肥皂冲洗干净，将药物对皮肤的影响降到最低。 4. 口服：立即携带标签，送医就诊。 紧急措施：立即引吐并给患者服用吐根糖浆或黄麻素，但勿给昏迷患者催吐或灌任何东西。无特殊解毒剂，对症治疗。</w:t>
            </w:r>
          </w:p>
        </w:tc>
      </w:tr>
      <w:tr w14:paraId="659A8853">
        <w:tblPrEx>
          <w:tblCellMar>
            <w:top w:w="0" w:type="dxa"/>
            <w:left w:w="0" w:type="dxa"/>
            <w:bottom w:w="0" w:type="dxa"/>
            <w:right w:w="0" w:type="dxa"/>
          </w:tblCellMar>
        </w:tblPrEx>
        <w:trPr>
          <w:wBefore w:w="0" w:type="auto"/>
          <w:tblCellSpacing w:w="0" w:type="dxa"/>
        </w:trPr>
        <w:tc>
          <w:tcPr>
            <w:tcW w:w="0" w:type="auto"/>
            <w:noWrap w:val="0"/>
            <w:vAlign w:val="center"/>
          </w:tcPr>
          <w:p w14:paraId="685CA4C3">
            <w:r>
              <w:rPr>
                <w:rStyle w:val="10"/>
                <w:rFonts w:hint="eastAsia"/>
              </w:rPr>
              <w:t>储存和运输方法：</w:t>
            </w:r>
            <w:r>
              <w:rPr>
                <w:rFonts w:hint="eastAsia"/>
              </w:rPr>
              <w:br w:type="textWrapping"/>
            </w:r>
            <w:r>
              <w:rPr>
                <w:rStyle w:val="11"/>
                <w:rFonts w:hint="eastAsia"/>
              </w:rPr>
              <w:t>包装件应贮存在通风、干燥的库房中。贮运时，严防潮湿和日晒，置于儿童、无关人员触及不到之处，并加锁，勿与食品、饮料、粮食、饲料等其他商品同贮同运，避免与皮肤、眼睛接触，防止口鼻吸入。</w:t>
            </w:r>
          </w:p>
        </w:tc>
      </w:tr>
      <w:tr w14:paraId="18FD7A3E">
        <w:tblPrEx>
          <w:tblCellMar>
            <w:top w:w="0" w:type="dxa"/>
            <w:left w:w="0" w:type="dxa"/>
            <w:bottom w:w="0" w:type="dxa"/>
            <w:right w:w="0" w:type="dxa"/>
          </w:tblCellMar>
        </w:tblPrEx>
        <w:trPr>
          <w:wBefore w:w="0" w:type="auto"/>
          <w:tblCellSpacing w:w="0" w:type="dxa"/>
        </w:trPr>
        <w:tc>
          <w:tcPr>
            <w:tcW w:w="0" w:type="auto"/>
            <w:noWrap w:val="0"/>
            <w:vAlign w:val="center"/>
          </w:tcPr>
          <w:p w14:paraId="6D422469">
            <w:r>
              <w:rPr>
                <w:rStyle w:val="10"/>
                <w:rFonts w:hint="eastAsia"/>
              </w:rPr>
              <w:t>质量保证期：</w:t>
            </w:r>
            <w:r>
              <w:rPr>
                <w:rStyle w:val="11"/>
                <w:rFonts w:hint="eastAsia"/>
              </w:rPr>
              <w:t>2年</w:t>
            </w:r>
          </w:p>
        </w:tc>
      </w:tr>
      <w:tr w14:paraId="3E881FDE">
        <w:tblPrEx>
          <w:tblCellMar>
            <w:top w:w="0" w:type="dxa"/>
            <w:left w:w="0" w:type="dxa"/>
            <w:bottom w:w="0" w:type="dxa"/>
            <w:right w:w="0" w:type="dxa"/>
          </w:tblCellMar>
        </w:tblPrEx>
        <w:trPr>
          <w:wBefore w:w="0" w:type="auto"/>
          <w:tblCellSpacing w:w="0" w:type="dxa"/>
        </w:trPr>
        <w:tc>
          <w:tcPr>
            <w:tcW w:w="0" w:type="auto"/>
            <w:noWrap w:val="0"/>
            <w:vAlign w:val="center"/>
          </w:tcPr>
          <w:p w14:paraId="5A8F4576">
            <w:r>
              <w:rPr>
                <w:rStyle w:val="10"/>
                <w:rFonts w:hint="eastAsia"/>
              </w:rPr>
              <w:t>备注：</w:t>
            </w:r>
            <w:r>
              <w:rPr>
                <w:rFonts w:hint="eastAsia"/>
              </w:rPr>
              <w:br w:type="textWrapping"/>
            </w:r>
            <w:r>
              <w:rPr>
                <w:rStyle w:val="11"/>
                <w:rFonts w:hint="eastAsia"/>
              </w:rPr>
              <w:t>甲氨基阿维菌素苯甲酸盐3%。</w:t>
            </w:r>
          </w:p>
        </w:tc>
      </w:tr>
    </w:tbl>
    <w:p w14:paraId="4D6E72F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A233A0F">
        <w:tblPrEx>
          <w:tblCellMar>
            <w:top w:w="0" w:type="dxa"/>
            <w:left w:w="0" w:type="dxa"/>
            <w:bottom w:w="0" w:type="dxa"/>
            <w:right w:w="0" w:type="dxa"/>
          </w:tblCellMar>
        </w:tblPrEx>
        <w:trPr>
          <w:wBefore w:w="0" w:type="auto"/>
          <w:tblCellSpacing w:w="0" w:type="dxa"/>
        </w:trPr>
        <w:tc>
          <w:tcPr>
            <w:tcW w:w="0" w:type="auto"/>
            <w:noWrap w:val="0"/>
            <w:vAlign w:val="center"/>
          </w:tcPr>
          <w:p w14:paraId="64E4AA82">
            <w:r>
              <w:rPr>
                <w:rStyle w:val="10"/>
                <w:rFonts w:hint="eastAsia"/>
              </w:rPr>
              <w:t>登记证号：</w:t>
            </w:r>
            <w:r>
              <w:rPr>
                <w:rFonts w:hint="eastAsia"/>
              </w:rPr>
              <w:t>PD20212141</w:t>
            </w:r>
          </w:p>
        </w:tc>
      </w:tr>
      <w:tr w14:paraId="111A9C11">
        <w:tblPrEx>
          <w:tblCellMar>
            <w:top w:w="0" w:type="dxa"/>
            <w:left w:w="0" w:type="dxa"/>
            <w:bottom w:w="0" w:type="dxa"/>
            <w:right w:w="0" w:type="dxa"/>
          </w:tblCellMar>
        </w:tblPrEx>
        <w:trPr>
          <w:wBefore w:w="0" w:type="auto"/>
          <w:tblCellSpacing w:w="0" w:type="dxa"/>
        </w:trPr>
        <w:tc>
          <w:tcPr>
            <w:tcW w:w="0" w:type="auto"/>
            <w:noWrap w:val="0"/>
            <w:vAlign w:val="center"/>
          </w:tcPr>
          <w:p w14:paraId="0A4178F4">
            <w:r>
              <w:rPr>
                <w:rStyle w:val="10"/>
                <w:rFonts w:hint="eastAsia"/>
              </w:rPr>
              <w:t>登记证持有人：</w:t>
            </w:r>
            <w:r>
              <w:rPr>
                <w:rFonts w:hint="eastAsia"/>
              </w:rPr>
              <w:t>江苏永安化工有限公司</w:t>
            </w:r>
          </w:p>
        </w:tc>
      </w:tr>
      <w:tr w14:paraId="177CAD3D">
        <w:tblPrEx>
          <w:tblCellMar>
            <w:top w:w="0" w:type="dxa"/>
            <w:left w:w="0" w:type="dxa"/>
            <w:bottom w:w="0" w:type="dxa"/>
            <w:right w:w="0" w:type="dxa"/>
          </w:tblCellMar>
        </w:tblPrEx>
        <w:trPr>
          <w:wBefore w:w="0" w:type="auto"/>
          <w:tblCellSpacing w:w="0" w:type="dxa"/>
        </w:trPr>
        <w:tc>
          <w:tcPr>
            <w:tcW w:w="0" w:type="auto"/>
            <w:noWrap w:val="0"/>
            <w:vAlign w:val="center"/>
          </w:tcPr>
          <w:p w14:paraId="695FEB18">
            <w:r>
              <w:rPr>
                <w:rStyle w:val="10"/>
                <w:rFonts w:hint="eastAsia"/>
              </w:rPr>
              <w:t>农药名称：</w:t>
            </w:r>
            <w:r>
              <w:rPr>
                <w:rFonts w:hint="eastAsia"/>
              </w:rPr>
              <w:t>丙炔氟草胺</w:t>
            </w:r>
          </w:p>
        </w:tc>
      </w:tr>
      <w:tr w14:paraId="0BE61374">
        <w:tblPrEx>
          <w:tblCellMar>
            <w:top w:w="0" w:type="dxa"/>
            <w:left w:w="0" w:type="dxa"/>
            <w:bottom w:w="0" w:type="dxa"/>
            <w:right w:w="0" w:type="dxa"/>
          </w:tblCellMar>
        </w:tblPrEx>
        <w:trPr>
          <w:wBefore w:w="0" w:type="auto"/>
          <w:tblCellSpacing w:w="0" w:type="dxa"/>
        </w:trPr>
        <w:tc>
          <w:tcPr>
            <w:tcW w:w="0" w:type="auto"/>
            <w:noWrap w:val="0"/>
            <w:vAlign w:val="center"/>
          </w:tcPr>
          <w:p w14:paraId="25E9272F">
            <w:r>
              <w:rPr>
                <w:rStyle w:val="10"/>
                <w:rFonts w:hint="eastAsia"/>
              </w:rPr>
              <w:t>剂型：</w:t>
            </w:r>
            <w:r>
              <w:rPr>
                <w:rFonts w:hint="eastAsia"/>
              </w:rPr>
              <w:t>悬浮剂</w:t>
            </w:r>
          </w:p>
        </w:tc>
      </w:tr>
      <w:tr w14:paraId="2E5AECFB">
        <w:tblPrEx>
          <w:tblCellMar>
            <w:top w:w="0" w:type="dxa"/>
            <w:left w:w="0" w:type="dxa"/>
            <w:bottom w:w="0" w:type="dxa"/>
            <w:right w:w="0" w:type="dxa"/>
          </w:tblCellMar>
        </w:tblPrEx>
        <w:trPr>
          <w:wBefore w:w="0" w:type="auto"/>
          <w:tblCellSpacing w:w="0" w:type="dxa"/>
        </w:trPr>
        <w:tc>
          <w:tcPr>
            <w:tcW w:w="0" w:type="auto"/>
            <w:noWrap w:val="0"/>
            <w:vAlign w:val="center"/>
          </w:tcPr>
          <w:p w14:paraId="4493DDA2">
            <w:r>
              <w:rPr>
                <w:rStyle w:val="10"/>
                <w:rFonts w:hint="eastAsia"/>
              </w:rPr>
              <w:t>毒性及其标识：</w:t>
            </w:r>
            <w:r>
              <w:rPr>
                <w:rFonts w:hint="eastAsia"/>
              </w:rPr>
              <w:t xml:space="preserve"> </w:t>
            </w:r>
            <w:r>
              <w:rPr>
                <w:lang/>
              </w:rPr>
              <w:drawing>
                <wp:inline distT="0" distB="0" distL="114300" distR="114300">
                  <wp:extent cx="476250" cy="323850"/>
                  <wp:effectExtent l="0" t="0" r="0" b="0"/>
                  <wp:docPr id="61" name="图片 6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E0DF3BC">
        <w:tblPrEx>
          <w:tblCellMar>
            <w:top w:w="0" w:type="dxa"/>
            <w:left w:w="0" w:type="dxa"/>
            <w:bottom w:w="0" w:type="dxa"/>
            <w:right w:w="0" w:type="dxa"/>
          </w:tblCellMar>
        </w:tblPrEx>
        <w:trPr>
          <w:wBefore w:w="0" w:type="auto"/>
          <w:tblCellSpacing w:w="0" w:type="dxa"/>
        </w:trPr>
        <w:tc>
          <w:tcPr>
            <w:tcW w:w="0" w:type="auto"/>
            <w:noWrap w:val="0"/>
            <w:vAlign w:val="center"/>
          </w:tcPr>
          <w:p w14:paraId="0C85D612">
            <w:r>
              <w:rPr>
                <w:rStyle w:val="10"/>
                <w:rFonts w:hint="eastAsia"/>
              </w:rPr>
              <w:t>总有效成分含量：</w:t>
            </w:r>
            <w:r>
              <w:rPr>
                <w:rFonts w:hint="eastAsia"/>
              </w:rPr>
              <w:t>480克/升</w:t>
            </w:r>
          </w:p>
        </w:tc>
      </w:tr>
      <w:tr w14:paraId="62C274CB">
        <w:tblPrEx>
          <w:tblCellMar>
            <w:top w:w="0" w:type="dxa"/>
            <w:left w:w="0" w:type="dxa"/>
            <w:bottom w:w="0" w:type="dxa"/>
            <w:right w:w="0" w:type="dxa"/>
          </w:tblCellMar>
        </w:tblPrEx>
        <w:trPr>
          <w:wBefore w:w="0" w:type="auto"/>
          <w:tblCellSpacing w:w="0" w:type="dxa"/>
        </w:trPr>
        <w:tc>
          <w:tcPr>
            <w:tcW w:w="0" w:type="auto"/>
            <w:noWrap w:val="0"/>
            <w:vAlign w:val="center"/>
          </w:tcPr>
          <w:p w14:paraId="24B8F036">
            <w:r>
              <w:rPr>
                <w:rFonts w:hint="eastAsia"/>
              </w:rPr>
              <w:t xml:space="preserve">有效成分及其含量： </w:t>
            </w:r>
          </w:p>
          <w:p w14:paraId="1565C44C">
            <w:r>
              <w:rPr>
                <w:rFonts w:hint="eastAsia"/>
              </w:rPr>
              <w:t xml:space="preserve">    丙炔氟草胺480克/升    </w:t>
            </w:r>
          </w:p>
        </w:tc>
      </w:tr>
      <w:tr w14:paraId="5ACFD5FF">
        <w:tblPrEx>
          <w:tblCellMar>
            <w:top w:w="0" w:type="dxa"/>
            <w:left w:w="0" w:type="dxa"/>
            <w:bottom w:w="0" w:type="dxa"/>
            <w:right w:w="0" w:type="dxa"/>
          </w:tblCellMar>
        </w:tblPrEx>
        <w:trPr>
          <w:wBefore w:w="0" w:type="auto"/>
          <w:tblCellSpacing w:w="0" w:type="dxa"/>
        </w:trPr>
        <w:tc>
          <w:tcPr>
            <w:tcW w:w="0" w:type="auto"/>
            <w:noWrap w:val="0"/>
            <w:vAlign w:val="center"/>
          </w:tcPr>
          <w:p w14:paraId="26D6EFA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FD3D8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05C70C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70CBC4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5B9B07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345C697">
                  <w:r>
                    <w:rPr>
                      <w:rStyle w:val="11"/>
                      <w:rFonts w:hint="eastAsia"/>
                    </w:rPr>
                    <w:t>施用方式</w:t>
                  </w:r>
                </w:p>
              </w:tc>
            </w:tr>
            <w:tr w14:paraId="3C01C9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DEA6FB">
                  <w:r>
                    <w:rPr>
                      <w:rStyle w:val="11"/>
                      <w:rFonts w:hint="eastAsia"/>
                    </w:rPr>
                    <w:t>棉花田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958CCC">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0ED96B">
                  <w:r>
                    <w:rPr>
                      <w:rStyle w:val="11"/>
                      <w:rFonts w:hint="eastAsia"/>
                    </w:rPr>
                    <w:t>8-10毫升/亩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3CC9FD">
                  <w:r>
                    <w:rPr>
                      <w:rStyle w:val="11"/>
                      <w:rFonts w:hint="eastAsia"/>
                    </w:rPr>
                    <w:t>土壤喷雾</w:t>
                  </w:r>
                </w:p>
              </w:tc>
            </w:tr>
          </w:tbl>
          <w:p w14:paraId="2F02D429">
            <w:pPr>
              <w:rPr>
                <w:rFonts w:ascii="Times New Roman" w:hAnsi="Times New Roman" w:cs="Times New Roman"/>
                <w:sz w:val="20"/>
                <w:szCs w:val="20"/>
              </w:rPr>
            </w:pPr>
          </w:p>
        </w:tc>
      </w:tr>
      <w:tr w14:paraId="3D424BDF">
        <w:tblPrEx>
          <w:tblCellMar>
            <w:top w:w="0" w:type="dxa"/>
            <w:left w:w="0" w:type="dxa"/>
            <w:bottom w:w="0" w:type="dxa"/>
            <w:right w:w="0" w:type="dxa"/>
          </w:tblCellMar>
        </w:tblPrEx>
        <w:trPr>
          <w:wBefore w:w="0" w:type="auto"/>
          <w:tblCellSpacing w:w="0" w:type="dxa"/>
        </w:trPr>
        <w:tc>
          <w:tcPr>
            <w:tcW w:w="0" w:type="auto"/>
            <w:noWrap w:val="0"/>
            <w:vAlign w:val="center"/>
          </w:tcPr>
          <w:p w14:paraId="652067BA">
            <w:r>
              <w:rPr>
                <w:rStyle w:val="10"/>
                <w:rFonts w:hint="eastAsia"/>
              </w:rPr>
              <w:t>使用技术要求:</w:t>
            </w:r>
            <w:r>
              <w:rPr>
                <w:rFonts w:hint="eastAsia"/>
              </w:rPr>
              <w:br w:type="textWrapping"/>
            </w:r>
            <w:r>
              <w:rPr>
                <w:rStyle w:val="11"/>
                <w:rFonts w:hint="eastAsia"/>
              </w:rPr>
              <w:t>1、将规定的药量溶于水中，配制母液，充分搅拌均匀后稀释，用水量要充足（推荐用水量450-750升/公顷） 2、在棉花上使用，每季最多使用1次。 3、播后苗前土壤喷雾 4、大风天或预计1小时内下雨，请勿施药。</w:t>
            </w:r>
          </w:p>
        </w:tc>
      </w:tr>
      <w:tr w14:paraId="189EBDE6">
        <w:tblPrEx>
          <w:tblCellMar>
            <w:top w:w="0" w:type="dxa"/>
            <w:left w:w="0" w:type="dxa"/>
            <w:bottom w:w="0" w:type="dxa"/>
            <w:right w:w="0" w:type="dxa"/>
          </w:tblCellMar>
        </w:tblPrEx>
        <w:trPr>
          <w:wBefore w:w="0" w:type="auto"/>
          <w:tblCellSpacing w:w="0" w:type="dxa"/>
        </w:trPr>
        <w:tc>
          <w:tcPr>
            <w:tcW w:w="0" w:type="auto"/>
            <w:noWrap w:val="0"/>
            <w:vAlign w:val="center"/>
          </w:tcPr>
          <w:p w14:paraId="7FF6DBCD">
            <w:r>
              <w:rPr>
                <w:rStyle w:val="10"/>
                <w:rFonts w:hint="eastAsia"/>
              </w:rPr>
              <w:t>产品性能:</w:t>
            </w:r>
            <w:r>
              <w:rPr>
                <w:rFonts w:hint="eastAsia"/>
              </w:rPr>
              <w:br w:type="textWrapping"/>
            </w:r>
            <w:r>
              <w:rPr>
                <w:rStyle w:val="11"/>
                <w:rFonts w:hint="eastAsia"/>
              </w:rPr>
              <w:t xml:space="preserve">本品是触杀型选择性除草剂，可以被幼芽和叶片吸收，作土壤处理可有效防除一年生阔叶杂草和部分禾本科杂草。 </w:t>
            </w:r>
          </w:p>
        </w:tc>
      </w:tr>
      <w:tr w14:paraId="5FBF32F7">
        <w:tblPrEx>
          <w:tblCellMar>
            <w:top w:w="0" w:type="dxa"/>
            <w:left w:w="0" w:type="dxa"/>
            <w:bottom w:w="0" w:type="dxa"/>
            <w:right w:w="0" w:type="dxa"/>
          </w:tblCellMar>
        </w:tblPrEx>
        <w:trPr>
          <w:wBefore w:w="0" w:type="auto"/>
          <w:tblCellSpacing w:w="0" w:type="dxa"/>
        </w:trPr>
        <w:tc>
          <w:tcPr>
            <w:tcW w:w="0" w:type="auto"/>
            <w:noWrap w:val="0"/>
            <w:vAlign w:val="center"/>
          </w:tcPr>
          <w:p w14:paraId="09FD984D">
            <w:r>
              <w:rPr>
                <w:rStyle w:val="10"/>
                <w:rFonts w:hint="eastAsia"/>
              </w:rPr>
              <w:t>注意事项：</w:t>
            </w:r>
            <w:r>
              <w:rPr>
                <w:rFonts w:hint="eastAsia"/>
              </w:rPr>
              <w:br w:type="textWrapping"/>
            </w:r>
            <w:r>
              <w:rPr>
                <w:rStyle w:val="11"/>
                <w:rFonts w:hint="eastAsia"/>
              </w:rPr>
              <w:t>1.现配现用，不宜长时间搁置,不要过量使用。 2.避免药液飘移到敏感作物田。 3.避免与氧化剂接触或混合。 4.本品对藻类高毒，远离水产养殖区施药，禁止在河塘等水体中清洗施药器具，清洗器具的废水不能排入河流、池塘等水源，废弃物要妥善处理，不能随意丢弃，也不能做他用。 5.使用本品应采取相应的安全防护措施，穿靴子、长衣长裤、戴防护手套、戴口罩等，避免皮肤接触及口鼻吸入；使用中不能吸烟、饮水及吃东西等；施药后用大量清水河肥皂清洗干净手、脸等暴露皮肤并更换衣物。 6.避免孕妇及哺乳期的妇女接触。过敏者禁用，使用中有任何不良反应请及时就医。</w:t>
            </w:r>
          </w:p>
        </w:tc>
      </w:tr>
      <w:tr w14:paraId="3EF638E8">
        <w:tblPrEx>
          <w:tblCellMar>
            <w:top w:w="0" w:type="dxa"/>
            <w:left w:w="0" w:type="dxa"/>
            <w:bottom w:w="0" w:type="dxa"/>
            <w:right w:w="0" w:type="dxa"/>
          </w:tblCellMar>
        </w:tblPrEx>
        <w:trPr>
          <w:wBefore w:w="0" w:type="auto"/>
          <w:tblCellSpacing w:w="0" w:type="dxa"/>
        </w:trPr>
        <w:tc>
          <w:tcPr>
            <w:tcW w:w="0" w:type="auto"/>
            <w:noWrap w:val="0"/>
            <w:vAlign w:val="center"/>
          </w:tcPr>
          <w:p w14:paraId="7B0C3B01">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急救措施：使用中或使用后如果感觉不适，应立即停止工作，采取急救措施，并携带标签就医诊治。 皮肤接触：立即脱去污染衣物，用大量清水或肥皂水冲洗皮肤，并速携此标签就医诊治。 眼睛溅入：立即翻开上下眼睑，用流动的清水连续冲洗至少15分钟，必要时就医诊治。 吸 入：应立即脱离施药现场，转移至空气新鲜处，并携带标签就医诊治。 误 服：用清水充分漱口后，立即请携此标签就医诊治。</w:t>
            </w:r>
          </w:p>
        </w:tc>
      </w:tr>
      <w:tr w14:paraId="7E6AED60">
        <w:tblPrEx>
          <w:tblCellMar>
            <w:top w:w="0" w:type="dxa"/>
            <w:left w:w="0" w:type="dxa"/>
            <w:bottom w:w="0" w:type="dxa"/>
            <w:right w:w="0" w:type="dxa"/>
          </w:tblCellMar>
        </w:tblPrEx>
        <w:trPr>
          <w:wBefore w:w="0" w:type="auto"/>
          <w:tblCellSpacing w:w="0" w:type="dxa"/>
        </w:trPr>
        <w:tc>
          <w:tcPr>
            <w:tcW w:w="0" w:type="auto"/>
            <w:noWrap w:val="0"/>
            <w:vAlign w:val="center"/>
          </w:tcPr>
          <w:p w14:paraId="690484EC">
            <w:r>
              <w:rPr>
                <w:rStyle w:val="10"/>
                <w:rFonts w:hint="eastAsia"/>
              </w:rPr>
              <w:t>储存和运输方法：</w:t>
            </w:r>
            <w:r>
              <w:rPr>
                <w:rFonts w:hint="eastAsia"/>
              </w:rPr>
              <w:br w:type="textWrapping"/>
            </w:r>
            <w:r>
              <w:rPr>
                <w:rStyle w:val="11"/>
                <w:rFonts w:hint="eastAsia"/>
              </w:rPr>
              <w:t>本品应密封、避免阳光直射，贮存在阴凉、干燥、通风处，远离火源、热源。置于儿童、无关人员及动物接触不到的地方，并加锁保存。勿与食品、饮料、饲料等其他商品同贮同运。</w:t>
            </w:r>
          </w:p>
        </w:tc>
      </w:tr>
      <w:tr w14:paraId="07127A44">
        <w:tblPrEx>
          <w:tblCellMar>
            <w:top w:w="0" w:type="dxa"/>
            <w:left w:w="0" w:type="dxa"/>
            <w:bottom w:w="0" w:type="dxa"/>
            <w:right w:w="0" w:type="dxa"/>
          </w:tblCellMar>
        </w:tblPrEx>
        <w:trPr>
          <w:wBefore w:w="0" w:type="auto"/>
          <w:tblCellSpacing w:w="0" w:type="dxa"/>
        </w:trPr>
        <w:tc>
          <w:tcPr>
            <w:tcW w:w="0" w:type="auto"/>
            <w:noWrap w:val="0"/>
            <w:vAlign w:val="center"/>
          </w:tcPr>
          <w:p w14:paraId="41F2C795">
            <w:r>
              <w:rPr>
                <w:rStyle w:val="10"/>
                <w:rFonts w:hint="eastAsia"/>
              </w:rPr>
              <w:t>质量保证期：</w:t>
            </w:r>
            <w:r>
              <w:rPr>
                <w:rStyle w:val="11"/>
                <w:rFonts w:hint="eastAsia"/>
              </w:rPr>
              <w:t>2年</w:t>
            </w:r>
          </w:p>
        </w:tc>
      </w:tr>
      <w:tr w14:paraId="77E9BF1F">
        <w:tblPrEx>
          <w:tblCellMar>
            <w:top w:w="0" w:type="dxa"/>
            <w:left w:w="0" w:type="dxa"/>
            <w:bottom w:w="0" w:type="dxa"/>
            <w:right w:w="0" w:type="dxa"/>
          </w:tblCellMar>
        </w:tblPrEx>
        <w:trPr>
          <w:wBefore w:w="0" w:type="auto"/>
          <w:tblCellSpacing w:w="0" w:type="dxa"/>
        </w:trPr>
        <w:tc>
          <w:tcPr>
            <w:tcW w:w="0" w:type="auto"/>
            <w:noWrap w:val="0"/>
            <w:vAlign w:val="center"/>
          </w:tcPr>
          <w:p w14:paraId="179FA802">
            <w:r>
              <w:rPr>
                <w:rStyle w:val="10"/>
                <w:rFonts w:hint="eastAsia"/>
              </w:rPr>
              <w:t>备注：</w:t>
            </w:r>
            <w:r>
              <w:rPr>
                <w:rFonts w:hint="eastAsia"/>
              </w:rPr>
              <w:br w:type="textWrapping"/>
            </w:r>
            <w:r>
              <w:rPr>
                <w:rStyle w:val="11"/>
                <w:rFonts w:hint="eastAsia"/>
              </w:rPr>
              <w:t>质量分数41%。</w:t>
            </w:r>
          </w:p>
        </w:tc>
      </w:tr>
    </w:tbl>
    <w:p w14:paraId="23E07F8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BB8A1AC">
        <w:tblPrEx>
          <w:tblCellMar>
            <w:top w:w="0" w:type="dxa"/>
            <w:left w:w="0" w:type="dxa"/>
            <w:bottom w:w="0" w:type="dxa"/>
            <w:right w:w="0" w:type="dxa"/>
          </w:tblCellMar>
        </w:tblPrEx>
        <w:trPr>
          <w:wBefore w:w="0" w:type="auto"/>
          <w:tblCellSpacing w:w="0" w:type="dxa"/>
        </w:trPr>
        <w:tc>
          <w:tcPr>
            <w:tcW w:w="0" w:type="auto"/>
            <w:noWrap w:val="0"/>
            <w:vAlign w:val="center"/>
          </w:tcPr>
          <w:p w14:paraId="415B8965">
            <w:r>
              <w:rPr>
                <w:rStyle w:val="10"/>
                <w:rFonts w:hint="eastAsia"/>
              </w:rPr>
              <w:t>登记证号：</w:t>
            </w:r>
            <w:r>
              <w:rPr>
                <w:rFonts w:hint="eastAsia"/>
              </w:rPr>
              <w:t>PD20211879</w:t>
            </w:r>
          </w:p>
        </w:tc>
      </w:tr>
      <w:tr w14:paraId="76F12A0D">
        <w:tblPrEx>
          <w:tblCellMar>
            <w:top w:w="0" w:type="dxa"/>
            <w:left w:w="0" w:type="dxa"/>
            <w:bottom w:w="0" w:type="dxa"/>
            <w:right w:w="0" w:type="dxa"/>
          </w:tblCellMar>
        </w:tblPrEx>
        <w:trPr>
          <w:wBefore w:w="0" w:type="auto"/>
          <w:tblCellSpacing w:w="0" w:type="dxa"/>
        </w:trPr>
        <w:tc>
          <w:tcPr>
            <w:tcW w:w="0" w:type="auto"/>
            <w:noWrap w:val="0"/>
            <w:vAlign w:val="center"/>
          </w:tcPr>
          <w:p w14:paraId="6C202BEC">
            <w:r>
              <w:rPr>
                <w:rStyle w:val="10"/>
                <w:rFonts w:hint="eastAsia"/>
              </w:rPr>
              <w:t>登记证持有人：</w:t>
            </w:r>
            <w:r>
              <w:rPr>
                <w:rFonts w:hint="eastAsia"/>
              </w:rPr>
              <w:t>山东曹达化工有限公司</w:t>
            </w:r>
          </w:p>
        </w:tc>
      </w:tr>
      <w:tr w14:paraId="045A17EF">
        <w:tblPrEx>
          <w:tblCellMar>
            <w:top w:w="0" w:type="dxa"/>
            <w:left w:w="0" w:type="dxa"/>
            <w:bottom w:w="0" w:type="dxa"/>
            <w:right w:w="0" w:type="dxa"/>
          </w:tblCellMar>
        </w:tblPrEx>
        <w:trPr>
          <w:wBefore w:w="0" w:type="auto"/>
          <w:tblCellSpacing w:w="0" w:type="dxa"/>
        </w:trPr>
        <w:tc>
          <w:tcPr>
            <w:tcW w:w="0" w:type="auto"/>
            <w:noWrap w:val="0"/>
            <w:vAlign w:val="center"/>
          </w:tcPr>
          <w:p w14:paraId="2915DE63">
            <w:r>
              <w:rPr>
                <w:rStyle w:val="10"/>
                <w:rFonts w:hint="eastAsia"/>
              </w:rPr>
              <w:t>农药名称：</w:t>
            </w:r>
            <w:r>
              <w:rPr>
                <w:rFonts w:hint="eastAsia"/>
              </w:rPr>
              <w:t>阿维菌素</w:t>
            </w:r>
          </w:p>
        </w:tc>
      </w:tr>
      <w:tr w14:paraId="7A15640C">
        <w:tblPrEx>
          <w:tblCellMar>
            <w:top w:w="0" w:type="dxa"/>
            <w:left w:w="0" w:type="dxa"/>
            <w:bottom w:w="0" w:type="dxa"/>
            <w:right w:w="0" w:type="dxa"/>
          </w:tblCellMar>
        </w:tblPrEx>
        <w:trPr>
          <w:wBefore w:w="0" w:type="auto"/>
          <w:tblCellSpacing w:w="0" w:type="dxa"/>
        </w:trPr>
        <w:tc>
          <w:tcPr>
            <w:tcW w:w="0" w:type="auto"/>
            <w:noWrap w:val="0"/>
            <w:vAlign w:val="center"/>
          </w:tcPr>
          <w:p w14:paraId="261B7BB2">
            <w:r>
              <w:rPr>
                <w:rStyle w:val="10"/>
                <w:rFonts w:hint="eastAsia"/>
              </w:rPr>
              <w:t>剂型：</w:t>
            </w:r>
            <w:r>
              <w:rPr>
                <w:rFonts w:hint="eastAsia"/>
              </w:rPr>
              <w:t>悬浮剂</w:t>
            </w:r>
          </w:p>
        </w:tc>
      </w:tr>
      <w:tr w14:paraId="05A696C0">
        <w:tblPrEx>
          <w:tblCellMar>
            <w:top w:w="0" w:type="dxa"/>
            <w:left w:w="0" w:type="dxa"/>
            <w:bottom w:w="0" w:type="dxa"/>
            <w:right w:w="0" w:type="dxa"/>
          </w:tblCellMar>
        </w:tblPrEx>
        <w:trPr>
          <w:wBefore w:w="0" w:type="auto"/>
          <w:tblCellSpacing w:w="0" w:type="dxa"/>
        </w:trPr>
        <w:tc>
          <w:tcPr>
            <w:tcW w:w="0" w:type="auto"/>
            <w:noWrap w:val="0"/>
            <w:vAlign w:val="center"/>
          </w:tcPr>
          <w:p w14:paraId="1C03564C">
            <w:r>
              <w:rPr>
                <w:rStyle w:val="10"/>
                <w:rFonts w:hint="eastAsia"/>
              </w:rPr>
              <w:t>毒性及其标识：</w:t>
            </w:r>
            <w:r>
              <w:rPr>
                <w:rFonts w:hint="eastAsia"/>
              </w:rPr>
              <w:t xml:space="preserve"> </w:t>
            </w:r>
            <w:r>
              <w:rPr>
                <w:lang/>
              </w:rPr>
              <w:drawing>
                <wp:inline distT="0" distB="0" distL="114300" distR="114300">
                  <wp:extent cx="476250" cy="323850"/>
                  <wp:effectExtent l="0" t="0" r="0" b="0"/>
                  <wp:docPr id="62" name="图片 6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1BCD52A3">
        <w:tblPrEx>
          <w:tblCellMar>
            <w:top w:w="0" w:type="dxa"/>
            <w:left w:w="0" w:type="dxa"/>
            <w:bottom w:w="0" w:type="dxa"/>
            <w:right w:w="0" w:type="dxa"/>
          </w:tblCellMar>
        </w:tblPrEx>
        <w:trPr>
          <w:wBefore w:w="0" w:type="auto"/>
          <w:tblCellSpacing w:w="0" w:type="dxa"/>
        </w:trPr>
        <w:tc>
          <w:tcPr>
            <w:tcW w:w="0" w:type="auto"/>
            <w:noWrap w:val="0"/>
            <w:vAlign w:val="center"/>
          </w:tcPr>
          <w:p w14:paraId="1FBB6DC2">
            <w:r>
              <w:rPr>
                <w:rStyle w:val="10"/>
                <w:rFonts w:hint="eastAsia"/>
              </w:rPr>
              <w:t>总有效成分含量：</w:t>
            </w:r>
            <w:r>
              <w:rPr>
                <w:rFonts w:hint="eastAsia"/>
              </w:rPr>
              <w:t>10%</w:t>
            </w:r>
          </w:p>
        </w:tc>
      </w:tr>
      <w:tr w14:paraId="62131626">
        <w:tblPrEx>
          <w:tblCellMar>
            <w:top w:w="0" w:type="dxa"/>
            <w:left w:w="0" w:type="dxa"/>
            <w:bottom w:w="0" w:type="dxa"/>
            <w:right w:w="0" w:type="dxa"/>
          </w:tblCellMar>
        </w:tblPrEx>
        <w:trPr>
          <w:wBefore w:w="0" w:type="auto"/>
          <w:tblCellSpacing w:w="0" w:type="dxa"/>
        </w:trPr>
        <w:tc>
          <w:tcPr>
            <w:tcW w:w="0" w:type="auto"/>
            <w:noWrap w:val="0"/>
            <w:vAlign w:val="center"/>
          </w:tcPr>
          <w:p w14:paraId="3266190C">
            <w:r>
              <w:rPr>
                <w:rFonts w:hint="eastAsia"/>
              </w:rPr>
              <w:t xml:space="preserve">有效成分及其含量： </w:t>
            </w:r>
          </w:p>
          <w:p w14:paraId="3AFFE419">
            <w:r>
              <w:rPr>
                <w:rFonts w:hint="eastAsia"/>
              </w:rPr>
              <w:t xml:space="preserve">    阿维菌素10%    </w:t>
            </w:r>
          </w:p>
        </w:tc>
      </w:tr>
      <w:tr w14:paraId="2D3295CF">
        <w:tblPrEx>
          <w:tblCellMar>
            <w:top w:w="0" w:type="dxa"/>
            <w:left w:w="0" w:type="dxa"/>
            <w:bottom w:w="0" w:type="dxa"/>
            <w:right w:w="0" w:type="dxa"/>
          </w:tblCellMar>
        </w:tblPrEx>
        <w:trPr>
          <w:wBefore w:w="0" w:type="auto"/>
          <w:tblCellSpacing w:w="0" w:type="dxa"/>
        </w:trPr>
        <w:tc>
          <w:tcPr>
            <w:tcW w:w="0" w:type="auto"/>
            <w:noWrap w:val="0"/>
            <w:vAlign w:val="center"/>
          </w:tcPr>
          <w:p w14:paraId="1C69CBC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2317D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D64FAF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3C9540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2F920D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470CACA">
                  <w:r>
                    <w:rPr>
                      <w:rStyle w:val="11"/>
                      <w:rFonts w:hint="eastAsia"/>
                    </w:rPr>
                    <w:t>施用方式</w:t>
                  </w:r>
                </w:p>
              </w:tc>
            </w:tr>
            <w:tr w14:paraId="270585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E87D40A">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2267F5">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A7653C">
                  <w:r>
                    <w:rPr>
                      <w:rStyle w:val="11"/>
                      <w:rFonts w:hint="eastAsia"/>
                    </w:rPr>
                    <w:t>5-7毫升/亩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4D4D8A">
                  <w:r>
                    <w:rPr>
                      <w:rStyle w:val="11"/>
                      <w:rFonts w:hint="eastAsia"/>
                    </w:rPr>
                    <w:t>喷雾</w:t>
                  </w:r>
                </w:p>
              </w:tc>
            </w:tr>
          </w:tbl>
          <w:p w14:paraId="2EB58FB2">
            <w:pPr>
              <w:rPr>
                <w:rFonts w:ascii="Times New Roman" w:hAnsi="Times New Roman" w:cs="Times New Roman"/>
                <w:sz w:val="20"/>
                <w:szCs w:val="20"/>
              </w:rPr>
            </w:pPr>
          </w:p>
        </w:tc>
      </w:tr>
      <w:tr w14:paraId="7D55BEF8">
        <w:tblPrEx>
          <w:tblCellMar>
            <w:top w:w="0" w:type="dxa"/>
            <w:left w:w="0" w:type="dxa"/>
            <w:bottom w:w="0" w:type="dxa"/>
            <w:right w:w="0" w:type="dxa"/>
          </w:tblCellMar>
        </w:tblPrEx>
        <w:trPr>
          <w:wBefore w:w="0" w:type="auto"/>
          <w:tblCellSpacing w:w="0" w:type="dxa"/>
        </w:trPr>
        <w:tc>
          <w:tcPr>
            <w:tcW w:w="0" w:type="auto"/>
            <w:noWrap w:val="0"/>
            <w:vAlign w:val="center"/>
          </w:tcPr>
          <w:p w14:paraId="6AE45598">
            <w:r>
              <w:rPr>
                <w:rStyle w:val="10"/>
                <w:rFonts w:hint="eastAsia"/>
              </w:rPr>
              <w:t>使用技术要求:</w:t>
            </w:r>
            <w:r>
              <w:rPr>
                <w:rFonts w:hint="eastAsia"/>
              </w:rPr>
              <w:br w:type="textWrapping"/>
            </w:r>
            <w:r>
              <w:rPr>
                <w:rStyle w:val="11"/>
                <w:rFonts w:hint="eastAsia"/>
              </w:rPr>
              <w:t>1. 本品在水稻上的安全间隔期为21天，每季最多施药1次。2. 水稻稻纵卷叶螟卵孵化盛期至低龄幼虫盛发期施药1次。请在傍晚前后使用，务必喷匀喷透。3. 大风天或预计1小时左右降雨，请勿施药，用药4小时后遇雨，不影响药效。</w:t>
            </w:r>
          </w:p>
        </w:tc>
      </w:tr>
      <w:tr w14:paraId="08874B9C">
        <w:tblPrEx>
          <w:tblCellMar>
            <w:top w:w="0" w:type="dxa"/>
            <w:left w:w="0" w:type="dxa"/>
            <w:bottom w:w="0" w:type="dxa"/>
            <w:right w:w="0" w:type="dxa"/>
          </w:tblCellMar>
        </w:tblPrEx>
        <w:trPr>
          <w:wBefore w:w="0" w:type="auto"/>
          <w:tblCellSpacing w:w="0" w:type="dxa"/>
        </w:trPr>
        <w:tc>
          <w:tcPr>
            <w:tcW w:w="0" w:type="auto"/>
            <w:noWrap w:val="0"/>
            <w:vAlign w:val="center"/>
          </w:tcPr>
          <w:p w14:paraId="0A09A6BB">
            <w:r>
              <w:rPr>
                <w:rStyle w:val="10"/>
                <w:rFonts w:hint="eastAsia"/>
              </w:rPr>
              <w:t>产品性能:</w:t>
            </w:r>
            <w:r>
              <w:rPr>
                <w:rFonts w:hint="eastAsia"/>
              </w:rPr>
              <w:br w:type="textWrapping"/>
            </w:r>
            <w:r>
              <w:rPr>
                <w:rStyle w:val="11"/>
                <w:rFonts w:hint="eastAsia"/>
              </w:rPr>
              <w:t>本品为经微生物发酵产生的抗生素类杀虫剂，具有较强的触杀和胃毒作用，兼具熏蒸作用，能刺激昆虫神经肌肉系统释放γ－氨基丁酸，对昆虫的神经传导产生抑制作用，昆虫与药剂接触后即出现麻痹症状，不活动不取食，2-4天后死亡。</w:t>
            </w:r>
          </w:p>
        </w:tc>
      </w:tr>
      <w:tr w14:paraId="6F36075E">
        <w:tblPrEx>
          <w:tblCellMar>
            <w:top w:w="0" w:type="dxa"/>
            <w:left w:w="0" w:type="dxa"/>
            <w:bottom w:w="0" w:type="dxa"/>
            <w:right w:w="0" w:type="dxa"/>
          </w:tblCellMar>
        </w:tblPrEx>
        <w:trPr>
          <w:wBefore w:w="0" w:type="auto"/>
          <w:tblCellSpacing w:w="0" w:type="dxa"/>
        </w:trPr>
        <w:tc>
          <w:tcPr>
            <w:tcW w:w="0" w:type="auto"/>
            <w:noWrap w:val="0"/>
            <w:vAlign w:val="center"/>
          </w:tcPr>
          <w:p w14:paraId="3CBA9C82">
            <w:r>
              <w:rPr>
                <w:rStyle w:val="10"/>
                <w:rFonts w:hint="eastAsia"/>
              </w:rPr>
              <w:t>注意事项：</w:t>
            </w:r>
            <w:r>
              <w:rPr>
                <w:rFonts w:hint="eastAsia"/>
              </w:rPr>
              <w:br w:type="textWrapping"/>
            </w:r>
            <w:r>
              <w:rPr>
                <w:rStyle w:val="11"/>
                <w:rFonts w:hint="eastAsia"/>
              </w:rPr>
              <w:t>1. 本品对蜜蜂剧毒，养蜂地区及（周围）开花作物花期禁止使用，施药期间应密切关注对附近蜂群的影响。蚕室及桑园附近禁用。在赤眼蜂、七星瓢虫等天敌放飞区禁用。2. 在鱼和虾蟹套养稻田禁用，施药后的田水不得直接排入水体。3. 本品对眼睛有刺激性，使用时避免接触眼睛，穿戴长衣、长裤、帽子、口罩、手套等防护措施。避免皮肤接触及口鼻吸入。使用中不可吸烟、饮水及吃东西，使用后及时清洗手、脸等暴露部位皮肤并更换衣物。4. 应避免药剂污染水体，残液严禁倒入河中，禁止在江河、湖泊中清洗施药器械。5. 建议与其他作用机制不同的杀虫剂轮换使用，以延缓抗药性的产生。 6. 用过的容器应妥善处理，不可做他用，也不可随意丢弃。7. 孕妇及哺乳期妇女禁止接触。8. 水产养殖区、河塘等水体附近禁用，禁止在河塘等水域清洗施药器具。9. 避免与氧化剂接触。</w:t>
            </w:r>
          </w:p>
        </w:tc>
      </w:tr>
      <w:tr w14:paraId="68288EBF">
        <w:tblPrEx>
          <w:tblCellMar>
            <w:top w:w="0" w:type="dxa"/>
            <w:left w:w="0" w:type="dxa"/>
            <w:bottom w:w="0" w:type="dxa"/>
            <w:right w:w="0" w:type="dxa"/>
          </w:tblCellMar>
        </w:tblPrEx>
        <w:trPr>
          <w:wBefore w:w="0" w:type="auto"/>
          <w:tblCellSpacing w:w="0" w:type="dxa"/>
        </w:trPr>
        <w:tc>
          <w:tcPr>
            <w:tcW w:w="0" w:type="auto"/>
            <w:noWrap w:val="0"/>
            <w:vAlign w:val="center"/>
          </w:tcPr>
          <w:p w14:paraId="178E6107">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1.皮肤接触：脱去污染的衣物，用大量清水彻底清洗受污染的皮肤。2.眼睛溅入：立即用流动清水冲洗至少15分钟。3.吸入：立即离开施药现场，转移到空气清新处，4.误食：立即停止服用，用清水充分漱口后，立即携带本标签送医院治疗。5.清醒者立即催吐并给患者服用吐根糖浆或麻黄素，昏迷患者不能催吐或灌任何东西。在抢救过程中禁用增强γ－氨基丁酸活性的药物，如巴比妥等。</w:t>
            </w:r>
          </w:p>
        </w:tc>
      </w:tr>
      <w:tr w14:paraId="1A3F8D57">
        <w:tblPrEx>
          <w:tblCellMar>
            <w:top w:w="0" w:type="dxa"/>
            <w:left w:w="0" w:type="dxa"/>
            <w:bottom w:w="0" w:type="dxa"/>
            <w:right w:w="0" w:type="dxa"/>
          </w:tblCellMar>
        </w:tblPrEx>
        <w:trPr>
          <w:wBefore w:w="0" w:type="auto"/>
          <w:tblCellSpacing w:w="0" w:type="dxa"/>
        </w:trPr>
        <w:tc>
          <w:tcPr>
            <w:tcW w:w="0" w:type="auto"/>
            <w:noWrap w:val="0"/>
            <w:vAlign w:val="center"/>
          </w:tcPr>
          <w:p w14:paraId="4886139C">
            <w:r>
              <w:rPr>
                <w:rStyle w:val="10"/>
                <w:rFonts w:hint="eastAsia"/>
              </w:rPr>
              <w:t>储存和运输方法：</w:t>
            </w:r>
            <w:r>
              <w:rPr>
                <w:rFonts w:hint="eastAsia"/>
              </w:rPr>
              <w:br w:type="textWrapping"/>
            </w:r>
            <w:r>
              <w:rPr>
                <w:rStyle w:val="11"/>
                <w:rFonts w:hint="eastAsia"/>
              </w:rPr>
              <w:t>1. 本品贮存在通风、干燥的库房中，严防潮湿和日晒。远离火源或热源。2. 本品应当置于儿童、无关人员及动物接触不到的地方，并加锁保存。3. 不得与食品、种子、饮料、粮食、饲料等同贮同运。</w:t>
            </w:r>
          </w:p>
        </w:tc>
      </w:tr>
      <w:tr w14:paraId="3DB49BE7">
        <w:tblPrEx>
          <w:tblCellMar>
            <w:top w:w="0" w:type="dxa"/>
            <w:left w:w="0" w:type="dxa"/>
            <w:bottom w:w="0" w:type="dxa"/>
            <w:right w:w="0" w:type="dxa"/>
          </w:tblCellMar>
        </w:tblPrEx>
        <w:trPr>
          <w:wBefore w:w="0" w:type="auto"/>
          <w:tblCellSpacing w:w="0" w:type="dxa"/>
        </w:trPr>
        <w:tc>
          <w:tcPr>
            <w:tcW w:w="0" w:type="auto"/>
            <w:noWrap w:val="0"/>
            <w:vAlign w:val="center"/>
          </w:tcPr>
          <w:p w14:paraId="60634778">
            <w:r>
              <w:rPr>
                <w:rStyle w:val="10"/>
                <w:rFonts w:hint="eastAsia"/>
              </w:rPr>
              <w:t>质量保证期：</w:t>
            </w:r>
            <w:r>
              <w:rPr>
                <w:rStyle w:val="11"/>
                <w:rFonts w:hint="eastAsia"/>
              </w:rPr>
              <w:t>2年</w:t>
            </w:r>
          </w:p>
        </w:tc>
      </w:tr>
      <w:tr w14:paraId="0C113D11">
        <w:tblPrEx>
          <w:tblCellMar>
            <w:top w:w="0" w:type="dxa"/>
            <w:left w:w="0" w:type="dxa"/>
            <w:bottom w:w="0" w:type="dxa"/>
            <w:right w:w="0" w:type="dxa"/>
          </w:tblCellMar>
        </w:tblPrEx>
        <w:trPr>
          <w:wBefore w:w="0" w:type="auto"/>
          <w:tblCellSpacing w:w="0" w:type="dxa"/>
        </w:trPr>
        <w:tc>
          <w:tcPr>
            <w:tcW w:w="0" w:type="auto"/>
            <w:noWrap w:val="0"/>
            <w:vAlign w:val="center"/>
          </w:tcPr>
          <w:p w14:paraId="46200B87">
            <w:r>
              <w:rPr>
                <w:rStyle w:val="10"/>
                <w:rFonts w:hint="eastAsia"/>
              </w:rPr>
              <w:t>备注：</w:t>
            </w:r>
          </w:p>
        </w:tc>
      </w:tr>
    </w:tbl>
    <w:p w14:paraId="00938E7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80FC247">
        <w:tblPrEx>
          <w:tblCellMar>
            <w:top w:w="0" w:type="dxa"/>
            <w:left w:w="0" w:type="dxa"/>
            <w:bottom w:w="0" w:type="dxa"/>
            <w:right w:w="0" w:type="dxa"/>
          </w:tblCellMar>
        </w:tblPrEx>
        <w:trPr>
          <w:wBefore w:w="0" w:type="auto"/>
          <w:tblCellSpacing w:w="0" w:type="dxa"/>
        </w:trPr>
        <w:tc>
          <w:tcPr>
            <w:tcW w:w="0" w:type="auto"/>
            <w:noWrap w:val="0"/>
            <w:vAlign w:val="center"/>
          </w:tcPr>
          <w:p w14:paraId="77A418BC">
            <w:r>
              <w:rPr>
                <w:rStyle w:val="10"/>
                <w:rFonts w:hint="eastAsia"/>
              </w:rPr>
              <w:t>登记证号：</w:t>
            </w:r>
            <w:r>
              <w:rPr>
                <w:rFonts w:hint="eastAsia"/>
              </w:rPr>
              <w:t>PD20212232</w:t>
            </w:r>
          </w:p>
        </w:tc>
      </w:tr>
      <w:tr w14:paraId="10B8C7ED">
        <w:tblPrEx>
          <w:tblCellMar>
            <w:top w:w="0" w:type="dxa"/>
            <w:left w:w="0" w:type="dxa"/>
            <w:bottom w:w="0" w:type="dxa"/>
            <w:right w:w="0" w:type="dxa"/>
          </w:tblCellMar>
        </w:tblPrEx>
        <w:trPr>
          <w:wBefore w:w="0" w:type="auto"/>
          <w:tblCellSpacing w:w="0" w:type="dxa"/>
        </w:trPr>
        <w:tc>
          <w:tcPr>
            <w:tcW w:w="0" w:type="auto"/>
            <w:noWrap w:val="0"/>
            <w:vAlign w:val="center"/>
          </w:tcPr>
          <w:p w14:paraId="21C7DB9A">
            <w:r>
              <w:rPr>
                <w:rStyle w:val="10"/>
                <w:rFonts w:hint="eastAsia"/>
              </w:rPr>
              <w:t>登记证持有人：</w:t>
            </w:r>
            <w:r>
              <w:rPr>
                <w:rFonts w:hint="eastAsia"/>
              </w:rPr>
              <w:t>四川利尔生物科技有限公司</w:t>
            </w:r>
          </w:p>
        </w:tc>
      </w:tr>
      <w:tr w14:paraId="51FC7B66">
        <w:tblPrEx>
          <w:tblCellMar>
            <w:top w:w="0" w:type="dxa"/>
            <w:left w:w="0" w:type="dxa"/>
            <w:bottom w:w="0" w:type="dxa"/>
            <w:right w:w="0" w:type="dxa"/>
          </w:tblCellMar>
        </w:tblPrEx>
        <w:trPr>
          <w:wBefore w:w="0" w:type="auto"/>
          <w:tblCellSpacing w:w="0" w:type="dxa"/>
        </w:trPr>
        <w:tc>
          <w:tcPr>
            <w:tcW w:w="0" w:type="auto"/>
            <w:noWrap w:val="0"/>
            <w:vAlign w:val="center"/>
          </w:tcPr>
          <w:p w14:paraId="6D9C467B">
            <w:r>
              <w:rPr>
                <w:rStyle w:val="10"/>
                <w:rFonts w:hint="eastAsia"/>
              </w:rPr>
              <w:t>农药名称：</w:t>
            </w:r>
            <w:r>
              <w:rPr>
                <w:rFonts w:hint="eastAsia"/>
              </w:rPr>
              <w:t>精草铵膦铵盐</w:t>
            </w:r>
          </w:p>
        </w:tc>
      </w:tr>
      <w:tr w14:paraId="0E4F6644">
        <w:tblPrEx>
          <w:tblCellMar>
            <w:top w:w="0" w:type="dxa"/>
            <w:left w:w="0" w:type="dxa"/>
            <w:bottom w:w="0" w:type="dxa"/>
            <w:right w:w="0" w:type="dxa"/>
          </w:tblCellMar>
        </w:tblPrEx>
        <w:trPr>
          <w:wBefore w:w="0" w:type="auto"/>
          <w:tblCellSpacing w:w="0" w:type="dxa"/>
        </w:trPr>
        <w:tc>
          <w:tcPr>
            <w:tcW w:w="0" w:type="auto"/>
            <w:noWrap w:val="0"/>
            <w:vAlign w:val="center"/>
          </w:tcPr>
          <w:p w14:paraId="12A525D0">
            <w:r>
              <w:rPr>
                <w:rStyle w:val="10"/>
                <w:rFonts w:hint="eastAsia"/>
              </w:rPr>
              <w:t>剂型：</w:t>
            </w:r>
            <w:r>
              <w:rPr>
                <w:rFonts w:hint="eastAsia"/>
              </w:rPr>
              <w:t>可溶液剂</w:t>
            </w:r>
          </w:p>
        </w:tc>
      </w:tr>
      <w:tr w14:paraId="50777EB2">
        <w:tblPrEx>
          <w:tblCellMar>
            <w:top w:w="0" w:type="dxa"/>
            <w:left w:w="0" w:type="dxa"/>
            <w:bottom w:w="0" w:type="dxa"/>
            <w:right w:w="0" w:type="dxa"/>
          </w:tblCellMar>
        </w:tblPrEx>
        <w:trPr>
          <w:wBefore w:w="0" w:type="auto"/>
          <w:tblCellSpacing w:w="0" w:type="dxa"/>
        </w:trPr>
        <w:tc>
          <w:tcPr>
            <w:tcW w:w="0" w:type="auto"/>
            <w:noWrap w:val="0"/>
            <w:vAlign w:val="center"/>
          </w:tcPr>
          <w:p w14:paraId="587F282B">
            <w:r>
              <w:rPr>
                <w:rStyle w:val="10"/>
                <w:rFonts w:hint="eastAsia"/>
              </w:rPr>
              <w:t>毒性及其标识：</w:t>
            </w:r>
            <w:r>
              <w:rPr>
                <w:rFonts w:hint="eastAsia"/>
              </w:rPr>
              <w:t xml:space="preserve"> </w:t>
            </w:r>
            <w:r>
              <w:rPr>
                <w:lang/>
              </w:rPr>
              <w:drawing>
                <wp:inline distT="0" distB="0" distL="114300" distR="114300">
                  <wp:extent cx="476250" cy="323850"/>
                  <wp:effectExtent l="0" t="0" r="0" b="0"/>
                  <wp:docPr id="63" name="图片 6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DED03CB">
        <w:tblPrEx>
          <w:tblCellMar>
            <w:top w:w="0" w:type="dxa"/>
            <w:left w:w="0" w:type="dxa"/>
            <w:bottom w:w="0" w:type="dxa"/>
            <w:right w:w="0" w:type="dxa"/>
          </w:tblCellMar>
        </w:tblPrEx>
        <w:trPr>
          <w:wBefore w:w="0" w:type="auto"/>
          <w:tblCellSpacing w:w="0" w:type="dxa"/>
        </w:trPr>
        <w:tc>
          <w:tcPr>
            <w:tcW w:w="0" w:type="auto"/>
            <w:noWrap w:val="0"/>
            <w:vAlign w:val="center"/>
          </w:tcPr>
          <w:p w14:paraId="6D582739">
            <w:r>
              <w:rPr>
                <w:rStyle w:val="10"/>
                <w:rFonts w:hint="eastAsia"/>
              </w:rPr>
              <w:t>总有效成分含量：</w:t>
            </w:r>
            <w:r>
              <w:rPr>
                <w:rFonts w:hint="eastAsia"/>
              </w:rPr>
              <w:t>20%</w:t>
            </w:r>
          </w:p>
        </w:tc>
      </w:tr>
      <w:tr w14:paraId="7936F563">
        <w:tblPrEx>
          <w:tblCellMar>
            <w:top w:w="0" w:type="dxa"/>
            <w:left w:w="0" w:type="dxa"/>
            <w:bottom w:w="0" w:type="dxa"/>
            <w:right w:w="0" w:type="dxa"/>
          </w:tblCellMar>
        </w:tblPrEx>
        <w:trPr>
          <w:wBefore w:w="0" w:type="auto"/>
          <w:tblCellSpacing w:w="0" w:type="dxa"/>
        </w:trPr>
        <w:tc>
          <w:tcPr>
            <w:tcW w:w="0" w:type="auto"/>
            <w:noWrap w:val="0"/>
            <w:vAlign w:val="center"/>
          </w:tcPr>
          <w:p w14:paraId="6F34CEF2">
            <w:r>
              <w:rPr>
                <w:rFonts w:hint="eastAsia"/>
              </w:rPr>
              <w:t xml:space="preserve">有效成分及其含量： </w:t>
            </w:r>
          </w:p>
          <w:p w14:paraId="2B5CD0F9">
            <w:r>
              <w:rPr>
                <w:rFonts w:hint="eastAsia"/>
              </w:rPr>
              <w:t xml:space="preserve">    精草铵膦20%    </w:t>
            </w:r>
          </w:p>
        </w:tc>
      </w:tr>
      <w:tr w14:paraId="0DE82208">
        <w:tblPrEx>
          <w:tblCellMar>
            <w:top w:w="0" w:type="dxa"/>
            <w:left w:w="0" w:type="dxa"/>
            <w:bottom w:w="0" w:type="dxa"/>
            <w:right w:w="0" w:type="dxa"/>
          </w:tblCellMar>
        </w:tblPrEx>
        <w:trPr>
          <w:wBefore w:w="0" w:type="auto"/>
          <w:tblCellSpacing w:w="0" w:type="dxa"/>
        </w:trPr>
        <w:tc>
          <w:tcPr>
            <w:tcW w:w="0" w:type="auto"/>
            <w:noWrap w:val="0"/>
            <w:vAlign w:val="center"/>
          </w:tcPr>
          <w:p w14:paraId="262ECBD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B9D7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762A0E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5C7FF7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DC8C61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2E5647">
                  <w:r>
                    <w:rPr>
                      <w:rStyle w:val="11"/>
                      <w:rFonts w:hint="eastAsia"/>
                    </w:rPr>
                    <w:t>施用方式</w:t>
                  </w:r>
                </w:p>
              </w:tc>
            </w:tr>
            <w:tr w14:paraId="0A596FE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E58934F">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07BE20">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65385C">
                  <w:r>
                    <w:rPr>
                      <w:rStyle w:val="11"/>
                      <w:rFonts w:hint="eastAsia"/>
                    </w:rPr>
                    <w:t>100-150毫升/亩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1FBABE">
                  <w:r>
                    <w:rPr>
                      <w:rStyle w:val="11"/>
                      <w:rFonts w:hint="eastAsia"/>
                    </w:rPr>
                    <w:t>茎叶喷雾</w:t>
                  </w:r>
                </w:p>
              </w:tc>
            </w:tr>
          </w:tbl>
          <w:p w14:paraId="565E77CE">
            <w:pPr>
              <w:rPr>
                <w:rFonts w:ascii="Times New Roman" w:hAnsi="Times New Roman" w:cs="Times New Roman"/>
                <w:sz w:val="20"/>
                <w:szCs w:val="20"/>
              </w:rPr>
            </w:pPr>
          </w:p>
        </w:tc>
      </w:tr>
      <w:tr w14:paraId="0091B7DE">
        <w:tblPrEx>
          <w:tblCellMar>
            <w:top w:w="0" w:type="dxa"/>
            <w:left w:w="0" w:type="dxa"/>
            <w:bottom w:w="0" w:type="dxa"/>
            <w:right w:w="0" w:type="dxa"/>
          </w:tblCellMar>
        </w:tblPrEx>
        <w:trPr>
          <w:wBefore w:w="0" w:type="auto"/>
          <w:tblCellSpacing w:w="0" w:type="dxa"/>
        </w:trPr>
        <w:tc>
          <w:tcPr>
            <w:tcW w:w="0" w:type="auto"/>
            <w:noWrap w:val="0"/>
            <w:vAlign w:val="center"/>
          </w:tcPr>
          <w:p w14:paraId="42F84016">
            <w:r>
              <w:rPr>
                <w:rStyle w:val="10"/>
                <w:rFonts w:hint="eastAsia"/>
              </w:rPr>
              <w:t>使用技术要求:</w:t>
            </w:r>
            <w:r>
              <w:rPr>
                <w:rFonts w:hint="eastAsia"/>
              </w:rPr>
              <w:br w:type="textWrapping"/>
            </w:r>
            <w:r>
              <w:rPr>
                <w:rStyle w:val="11"/>
                <w:rFonts w:hint="eastAsia"/>
              </w:rPr>
              <w:t>在非耕地杂草旺盛生长期茎叶喷雾施药一次。在杂草生长旺盛期茎叶均匀喷雾，确保杂草喷湿喷透。若杂草草龄较大或杂草密度较大时应增加用药量。</w:t>
            </w:r>
          </w:p>
        </w:tc>
      </w:tr>
      <w:tr w14:paraId="0D10E66A">
        <w:tblPrEx>
          <w:tblCellMar>
            <w:top w:w="0" w:type="dxa"/>
            <w:left w:w="0" w:type="dxa"/>
            <w:bottom w:w="0" w:type="dxa"/>
            <w:right w:w="0" w:type="dxa"/>
          </w:tblCellMar>
        </w:tblPrEx>
        <w:trPr>
          <w:wBefore w:w="0" w:type="auto"/>
          <w:tblCellSpacing w:w="0" w:type="dxa"/>
        </w:trPr>
        <w:tc>
          <w:tcPr>
            <w:tcW w:w="0" w:type="auto"/>
            <w:noWrap w:val="0"/>
            <w:vAlign w:val="center"/>
          </w:tcPr>
          <w:p w14:paraId="7E382583">
            <w:r>
              <w:rPr>
                <w:rStyle w:val="10"/>
                <w:rFonts w:hint="eastAsia"/>
              </w:rPr>
              <w:t>产品性能:</w:t>
            </w:r>
            <w:r>
              <w:rPr>
                <w:rFonts w:hint="eastAsia"/>
              </w:rPr>
              <w:br w:type="textWrapping"/>
            </w:r>
            <w:r>
              <w:rPr>
                <w:rStyle w:val="11"/>
                <w:rFonts w:hint="eastAsia"/>
              </w:rPr>
              <w:t>本品是一种非选择性触杀型除草剂。</w:t>
            </w:r>
          </w:p>
        </w:tc>
      </w:tr>
      <w:tr w14:paraId="0F113A44">
        <w:tblPrEx>
          <w:tblCellMar>
            <w:top w:w="0" w:type="dxa"/>
            <w:left w:w="0" w:type="dxa"/>
            <w:bottom w:w="0" w:type="dxa"/>
            <w:right w:w="0" w:type="dxa"/>
          </w:tblCellMar>
        </w:tblPrEx>
        <w:trPr>
          <w:wBefore w:w="0" w:type="auto"/>
          <w:tblCellSpacing w:w="0" w:type="dxa"/>
        </w:trPr>
        <w:tc>
          <w:tcPr>
            <w:tcW w:w="0" w:type="auto"/>
            <w:noWrap w:val="0"/>
            <w:vAlign w:val="center"/>
          </w:tcPr>
          <w:p w14:paraId="4E4F2C25">
            <w:r>
              <w:rPr>
                <w:rStyle w:val="10"/>
                <w:rFonts w:hint="eastAsia"/>
              </w:rPr>
              <w:t>注意事项：</w:t>
            </w:r>
            <w:r>
              <w:rPr>
                <w:rFonts w:hint="eastAsia"/>
              </w:rPr>
              <w:br w:type="textWrapping"/>
            </w:r>
            <w:r>
              <w:rPr>
                <w:rStyle w:val="11"/>
                <w:rFonts w:hint="eastAsia"/>
              </w:rPr>
              <w:t>1、本品为非选择性除草剂，施药过程中若遇大风、大雨、积水等影响喷雾效果的情形应停止施药，并防止雾滴飘移到其他地块。 2、如需与其他助剂或药剂混用，请在当地农技人员指导下，先进行小面积试验确认有效性后，科学合理搭配使用。 3、请在农技人员指导下，根据杂草发生基数、叶龄及种类、施药时天气条件、药械种类等因素科学合理的调整用药剂量、用水量。 4、施用时尽量做好身体各部位科学合理的防护，采取正确的施药方式。对眼睛有刺激性，使用时穿戴长衣长裤、帽子、口罩、手套、鞋等安全使用防护措施；施药时不能吸烟、饮水等；施药后清洗干净手脸等。 5、蚕室、桑园附近禁用，远离水产养殖区、河塘等水体施药；禁止在河塘等水体中清洗施药器具；废弃物要妥善处理，不能随意丢弃，也不能做他用。 6、避免孕妇和哺乳期妇女接触本品。 7、使用前请仔细阅读此标签，并严格按照标签说明使用。未尽使用情形，请结合当地实际情况，在农业技术人员指导下使用。 8.、禁止在田间道路、田埂、果树行间、休耕地、林场林地等农林业区域使用。</w:t>
            </w:r>
          </w:p>
        </w:tc>
      </w:tr>
      <w:tr w14:paraId="55221A97">
        <w:tblPrEx>
          <w:tblCellMar>
            <w:top w:w="0" w:type="dxa"/>
            <w:left w:w="0" w:type="dxa"/>
            <w:bottom w:w="0" w:type="dxa"/>
            <w:right w:w="0" w:type="dxa"/>
          </w:tblCellMar>
        </w:tblPrEx>
        <w:trPr>
          <w:wBefore w:w="0" w:type="auto"/>
          <w:tblCellSpacing w:w="0" w:type="dxa"/>
        </w:trPr>
        <w:tc>
          <w:tcPr>
            <w:tcW w:w="0" w:type="auto"/>
            <w:noWrap w:val="0"/>
            <w:vAlign w:val="center"/>
          </w:tcPr>
          <w:p w14:paraId="14C87E37">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15167903">
        <w:tblPrEx>
          <w:tblCellMar>
            <w:top w:w="0" w:type="dxa"/>
            <w:left w:w="0" w:type="dxa"/>
            <w:bottom w:w="0" w:type="dxa"/>
            <w:right w:w="0" w:type="dxa"/>
          </w:tblCellMar>
        </w:tblPrEx>
        <w:trPr>
          <w:wBefore w:w="0" w:type="auto"/>
          <w:tblCellSpacing w:w="0" w:type="dxa"/>
        </w:trPr>
        <w:tc>
          <w:tcPr>
            <w:tcW w:w="0" w:type="auto"/>
            <w:noWrap w:val="0"/>
            <w:vAlign w:val="center"/>
          </w:tcPr>
          <w:p w14:paraId="6598B770">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物品同贮同运。装卸时，注意轻拿轻放，禁止说笑打闹、吃、喝、抽烟；运输时要防潮防晒。</w:t>
            </w:r>
          </w:p>
        </w:tc>
      </w:tr>
      <w:tr w14:paraId="46E7536A">
        <w:tblPrEx>
          <w:tblCellMar>
            <w:top w:w="0" w:type="dxa"/>
            <w:left w:w="0" w:type="dxa"/>
            <w:bottom w:w="0" w:type="dxa"/>
            <w:right w:w="0" w:type="dxa"/>
          </w:tblCellMar>
        </w:tblPrEx>
        <w:trPr>
          <w:wBefore w:w="0" w:type="auto"/>
          <w:tblCellSpacing w:w="0" w:type="dxa"/>
        </w:trPr>
        <w:tc>
          <w:tcPr>
            <w:tcW w:w="0" w:type="auto"/>
            <w:noWrap w:val="0"/>
            <w:vAlign w:val="center"/>
          </w:tcPr>
          <w:p w14:paraId="7D8894E0">
            <w:r>
              <w:rPr>
                <w:rStyle w:val="10"/>
                <w:rFonts w:hint="eastAsia"/>
              </w:rPr>
              <w:t>质量保证期：</w:t>
            </w:r>
            <w:r>
              <w:rPr>
                <w:rStyle w:val="11"/>
                <w:rFonts w:hint="eastAsia"/>
              </w:rPr>
              <w:t>2年</w:t>
            </w:r>
          </w:p>
        </w:tc>
      </w:tr>
      <w:tr w14:paraId="07318C14">
        <w:tblPrEx>
          <w:tblCellMar>
            <w:top w:w="0" w:type="dxa"/>
            <w:left w:w="0" w:type="dxa"/>
            <w:bottom w:w="0" w:type="dxa"/>
            <w:right w:w="0" w:type="dxa"/>
          </w:tblCellMar>
        </w:tblPrEx>
        <w:trPr>
          <w:wBefore w:w="0" w:type="auto"/>
          <w:tblCellSpacing w:w="0" w:type="dxa"/>
        </w:trPr>
        <w:tc>
          <w:tcPr>
            <w:tcW w:w="0" w:type="auto"/>
            <w:noWrap w:val="0"/>
            <w:vAlign w:val="center"/>
          </w:tcPr>
          <w:p w14:paraId="6B14E83A">
            <w:r>
              <w:rPr>
                <w:rStyle w:val="10"/>
                <w:rFonts w:hint="eastAsia"/>
              </w:rPr>
              <w:t>备注：</w:t>
            </w:r>
            <w:r>
              <w:rPr>
                <w:rFonts w:hint="eastAsia"/>
              </w:rPr>
              <w:br w:type="textWrapping"/>
            </w:r>
            <w:r>
              <w:rPr>
                <w:rStyle w:val="11"/>
                <w:rFonts w:hint="eastAsia"/>
              </w:rPr>
              <w:t>精草铵膦铵盐质量分数21.9%</w:t>
            </w:r>
          </w:p>
        </w:tc>
      </w:tr>
    </w:tbl>
    <w:p w14:paraId="26857A3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12957AD">
        <w:tblPrEx>
          <w:tblCellMar>
            <w:top w:w="0" w:type="dxa"/>
            <w:left w:w="0" w:type="dxa"/>
            <w:bottom w:w="0" w:type="dxa"/>
            <w:right w:w="0" w:type="dxa"/>
          </w:tblCellMar>
        </w:tblPrEx>
        <w:trPr>
          <w:wBefore w:w="0" w:type="auto"/>
          <w:tblCellSpacing w:w="0" w:type="dxa"/>
        </w:trPr>
        <w:tc>
          <w:tcPr>
            <w:tcW w:w="0" w:type="auto"/>
            <w:noWrap w:val="0"/>
            <w:vAlign w:val="center"/>
          </w:tcPr>
          <w:p w14:paraId="5025F945">
            <w:r>
              <w:rPr>
                <w:rStyle w:val="10"/>
                <w:rFonts w:hint="eastAsia"/>
              </w:rPr>
              <w:t>登记证号：</w:t>
            </w:r>
            <w:r>
              <w:rPr>
                <w:rFonts w:hint="eastAsia"/>
              </w:rPr>
              <w:t>WP20210242</w:t>
            </w:r>
          </w:p>
        </w:tc>
      </w:tr>
      <w:tr w14:paraId="1C8FCE2C">
        <w:tblPrEx>
          <w:tblCellMar>
            <w:top w:w="0" w:type="dxa"/>
            <w:left w:w="0" w:type="dxa"/>
            <w:bottom w:w="0" w:type="dxa"/>
            <w:right w:w="0" w:type="dxa"/>
          </w:tblCellMar>
        </w:tblPrEx>
        <w:trPr>
          <w:wBefore w:w="0" w:type="auto"/>
          <w:tblCellSpacing w:w="0" w:type="dxa"/>
        </w:trPr>
        <w:tc>
          <w:tcPr>
            <w:tcW w:w="0" w:type="auto"/>
            <w:noWrap w:val="0"/>
            <w:vAlign w:val="center"/>
          </w:tcPr>
          <w:p w14:paraId="41CA4F31">
            <w:r>
              <w:rPr>
                <w:rStyle w:val="10"/>
                <w:rFonts w:hint="eastAsia"/>
              </w:rPr>
              <w:t>登记证持有人：</w:t>
            </w:r>
            <w:r>
              <w:rPr>
                <w:rFonts w:hint="eastAsia"/>
              </w:rPr>
              <w:t>河北赛丰生物科技有限公司</w:t>
            </w:r>
          </w:p>
        </w:tc>
      </w:tr>
      <w:tr w14:paraId="6D9391E5">
        <w:tblPrEx>
          <w:tblCellMar>
            <w:top w:w="0" w:type="dxa"/>
            <w:left w:w="0" w:type="dxa"/>
            <w:bottom w:w="0" w:type="dxa"/>
            <w:right w:w="0" w:type="dxa"/>
          </w:tblCellMar>
        </w:tblPrEx>
        <w:trPr>
          <w:wBefore w:w="0" w:type="auto"/>
          <w:tblCellSpacing w:w="0" w:type="dxa"/>
        </w:trPr>
        <w:tc>
          <w:tcPr>
            <w:tcW w:w="0" w:type="auto"/>
            <w:noWrap w:val="0"/>
            <w:vAlign w:val="center"/>
          </w:tcPr>
          <w:p w14:paraId="57832D84">
            <w:r>
              <w:rPr>
                <w:rStyle w:val="10"/>
                <w:rFonts w:hint="eastAsia"/>
              </w:rPr>
              <w:t>农药名称：</w:t>
            </w:r>
            <w:r>
              <w:rPr>
                <w:rFonts w:hint="eastAsia"/>
              </w:rPr>
              <w:t>噻虫·高氯氟</w:t>
            </w:r>
          </w:p>
        </w:tc>
      </w:tr>
      <w:tr w14:paraId="5277B45D">
        <w:tblPrEx>
          <w:tblCellMar>
            <w:top w:w="0" w:type="dxa"/>
            <w:left w:w="0" w:type="dxa"/>
            <w:bottom w:w="0" w:type="dxa"/>
            <w:right w:w="0" w:type="dxa"/>
          </w:tblCellMar>
        </w:tblPrEx>
        <w:trPr>
          <w:wBefore w:w="0" w:type="auto"/>
          <w:tblCellSpacing w:w="0" w:type="dxa"/>
        </w:trPr>
        <w:tc>
          <w:tcPr>
            <w:tcW w:w="0" w:type="auto"/>
            <w:noWrap w:val="0"/>
            <w:vAlign w:val="center"/>
          </w:tcPr>
          <w:p w14:paraId="1F19234E">
            <w:r>
              <w:rPr>
                <w:rStyle w:val="10"/>
                <w:rFonts w:hint="eastAsia"/>
              </w:rPr>
              <w:t>剂型：</w:t>
            </w:r>
            <w:r>
              <w:rPr>
                <w:rFonts w:hint="eastAsia"/>
              </w:rPr>
              <w:t>微囊悬浮-悬浮剂</w:t>
            </w:r>
          </w:p>
        </w:tc>
      </w:tr>
      <w:tr w14:paraId="67D96BE8">
        <w:tblPrEx>
          <w:tblCellMar>
            <w:top w:w="0" w:type="dxa"/>
            <w:left w:w="0" w:type="dxa"/>
            <w:bottom w:w="0" w:type="dxa"/>
            <w:right w:w="0" w:type="dxa"/>
          </w:tblCellMar>
        </w:tblPrEx>
        <w:trPr>
          <w:wBefore w:w="0" w:type="auto"/>
          <w:tblCellSpacing w:w="0" w:type="dxa"/>
        </w:trPr>
        <w:tc>
          <w:tcPr>
            <w:tcW w:w="0" w:type="auto"/>
            <w:noWrap w:val="0"/>
            <w:vAlign w:val="center"/>
          </w:tcPr>
          <w:p w14:paraId="5FACAF90">
            <w:r>
              <w:rPr>
                <w:rStyle w:val="10"/>
                <w:rFonts w:hint="eastAsia"/>
              </w:rPr>
              <w:t>毒性及其标识：</w:t>
            </w:r>
            <w:r>
              <w:rPr>
                <w:rFonts w:hint="eastAsia"/>
              </w:rPr>
              <w:t xml:space="preserve"> </w:t>
            </w:r>
            <w:r>
              <w:rPr>
                <w:lang/>
              </w:rPr>
              <w:drawing>
                <wp:inline distT="0" distB="0" distL="114300" distR="114300">
                  <wp:extent cx="476250" cy="323850"/>
                  <wp:effectExtent l="0" t="0" r="0" b="0"/>
                  <wp:docPr id="64" name="图片 6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DDB687D">
        <w:tblPrEx>
          <w:tblCellMar>
            <w:top w:w="0" w:type="dxa"/>
            <w:left w:w="0" w:type="dxa"/>
            <w:bottom w:w="0" w:type="dxa"/>
            <w:right w:w="0" w:type="dxa"/>
          </w:tblCellMar>
        </w:tblPrEx>
        <w:trPr>
          <w:wBefore w:w="0" w:type="auto"/>
          <w:tblCellSpacing w:w="0" w:type="dxa"/>
        </w:trPr>
        <w:tc>
          <w:tcPr>
            <w:tcW w:w="0" w:type="auto"/>
            <w:noWrap w:val="0"/>
            <w:vAlign w:val="center"/>
          </w:tcPr>
          <w:p w14:paraId="6C4C255A">
            <w:r>
              <w:rPr>
                <w:rStyle w:val="10"/>
                <w:rFonts w:hint="eastAsia"/>
              </w:rPr>
              <w:t>总有效成分含量：</w:t>
            </w:r>
            <w:r>
              <w:rPr>
                <w:rFonts w:hint="eastAsia"/>
              </w:rPr>
              <w:t>15.1%</w:t>
            </w:r>
          </w:p>
        </w:tc>
      </w:tr>
      <w:tr w14:paraId="03BB63D1">
        <w:tblPrEx>
          <w:tblCellMar>
            <w:top w:w="0" w:type="dxa"/>
            <w:left w:w="0" w:type="dxa"/>
            <w:bottom w:w="0" w:type="dxa"/>
            <w:right w:w="0" w:type="dxa"/>
          </w:tblCellMar>
        </w:tblPrEx>
        <w:trPr>
          <w:wBefore w:w="0" w:type="auto"/>
          <w:tblCellSpacing w:w="0" w:type="dxa"/>
        </w:trPr>
        <w:tc>
          <w:tcPr>
            <w:tcW w:w="0" w:type="auto"/>
            <w:noWrap w:val="0"/>
            <w:vAlign w:val="center"/>
          </w:tcPr>
          <w:p w14:paraId="2AF90D2E">
            <w:r>
              <w:rPr>
                <w:rFonts w:hint="eastAsia"/>
              </w:rPr>
              <w:t xml:space="preserve">有效成分及其含量： </w:t>
            </w:r>
          </w:p>
          <w:p w14:paraId="5AA323C8">
            <w:r>
              <w:rPr>
                <w:rFonts w:hint="eastAsia"/>
              </w:rPr>
              <w:t xml:space="preserve">    噻虫嗪11.6%    高效氯氟氰菊酯3.5%    </w:t>
            </w:r>
          </w:p>
        </w:tc>
      </w:tr>
      <w:tr w14:paraId="37C093D9">
        <w:tblPrEx>
          <w:tblCellMar>
            <w:top w:w="0" w:type="dxa"/>
            <w:left w:w="0" w:type="dxa"/>
            <w:bottom w:w="0" w:type="dxa"/>
            <w:right w:w="0" w:type="dxa"/>
          </w:tblCellMar>
        </w:tblPrEx>
        <w:trPr>
          <w:wBefore w:w="0" w:type="auto"/>
          <w:tblCellSpacing w:w="0" w:type="dxa"/>
        </w:trPr>
        <w:tc>
          <w:tcPr>
            <w:tcW w:w="0" w:type="auto"/>
            <w:noWrap w:val="0"/>
            <w:vAlign w:val="center"/>
          </w:tcPr>
          <w:p w14:paraId="24C66FD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CE438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72AD16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D684AD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B9B89E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3660F19">
                  <w:r>
                    <w:rPr>
                      <w:rStyle w:val="11"/>
                      <w:rFonts w:hint="eastAsia"/>
                    </w:rPr>
                    <w:t>施用方式</w:t>
                  </w:r>
                </w:p>
              </w:tc>
            </w:tr>
            <w:tr w14:paraId="5ECCB6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73D6EA">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DC7C06">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5BD728">
                  <w:r>
                    <w:rPr>
                      <w:rStyle w:val="11"/>
                      <w:rFonts w:hint="eastAsia"/>
                    </w:rPr>
                    <w:t>115-230倍液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3033D6">
                  <w:r>
                    <w:rPr>
                      <w:rStyle w:val="11"/>
                      <w:rFonts w:hint="eastAsia"/>
                    </w:rPr>
                    <w:t>喷洒</w:t>
                  </w:r>
                </w:p>
              </w:tc>
            </w:tr>
          </w:tbl>
          <w:p w14:paraId="4F8F137C">
            <w:pPr>
              <w:rPr>
                <w:rFonts w:ascii="Times New Roman" w:hAnsi="Times New Roman" w:cs="Times New Roman"/>
                <w:sz w:val="20"/>
                <w:szCs w:val="20"/>
              </w:rPr>
            </w:pPr>
          </w:p>
        </w:tc>
      </w:tr>
      <w:tr w14:paraId="0A21F0E1">
        <w:tblPrEx>
          <w:tblCellMar>
            <w:top w:w="0" w:type="dxa"/>
            <w:left w:w="0" w:type="dxa"/>
            <w:bottom w:w="0" w:type="dxa"/>
            <w:right w:w="0" w:type="dxa"/>
          </w:tblCellMar>
        </w:tblPrEx>
        <w:trPr>
          <w:wBefore w:w="0" w:type="auto"/>
          <w:tblCellSpacing w:w="0" w:type="dxa"/>
        </w:trPr>
        <w:tc>
          <w:tcPr>
            <w:tcW w:w="0" w:type="auto"/>
            <w:noWrap w:val="0"/>
            <w:vAlign w:val="center"/>
          </w:tcPr>
          <w:p w14:paraId="04851FC9">
            <w:r>
              <w:rPr>
                <w:rStyle w:val="10"/>
                <w:rFonts w:hint="eastAsia"/>
              </w:rPr>
              <w:t>使用技术要求:</w:t>
            </w:r>
            <w:r>
              <w:rPr>
                <w:rFonts w:hint="eastAsia"/>
              </w:rPr>
              <w:br w:type="textWrapping"/>
            </w:r>
            <w:r>
              <w:rPr>
                <w:rStyle w:val="11"/>
                <w:rFonts w:hint="eastAsia"/>
              </w:rPr>
              <w:t>本品用于室外防治蝇，按推荐剂量，兑水稀释后，进行喷洒。</w:t>
            </w:r>
          </w:p>
        </w:tc>
      </w:tr>
      <w:tr w14:paraId="18422A99">
        <w:tblPrEx>
          <w:tblCellMar>
            <w:top w:w="0" w:type="dxa"/>
            <w:left w:w="0" w:type="dxa"/>
            <w:bottom w:w="0" w:type="dxa"/>
            <w:right w:w="0" w:type="dxa"/>
          </w:tblCellMar>
        </w:tblPrEx>
        <w:trPr>
          <w:wBefore w:w="0" w:type="auto"/>
          <w:tblCellSpacing w:w="0" w:type="dxa"/>
        </w:trPr>
        <w:tc>
          <w:tcPr>
            <w:tcW w:w="0" w:type="auto"/>
            <w:noWrap w:val="0"/>
            <w:vAlign w:val="center"/>
          </w:tcPr>
          <w:p w14:paraId="0D7B94C6">
            <w:r>
              <w:rPr>
                <w:rStyle w:val="10"/>
                <w:rFonts w:hint="eastAsia"/>
              </w:rPr>
              <w:t>产品性能:</w:t>
            </w:r>
            <w:r>
              <w:rPr>
                <w:rFonts w:hint="eastAsia"/>
              </w:rPr>
              <w:br w:type="textWrapping"/>
            </w:r>
            <w:r>
              <w:rPr>
                <w:rStyle w:val="11"/>
                <w:rFonts w:hint="eastAsia"/>
              </w:rPr>
              <w:t>高效氯氟氰菊酯是拟除虫菊酯类杀虫剂，具有触杀和胃毒作用。噻虫嗪是具有内吸作用的第二代新烟碱类杀虫剂，具胃毒和触杀活性。室外喷洒使用该产品，能有效防治蝇。</w:t>
            </w:r>
          </w:p>
        </w:tc>
      </w:tr>
      <w:tr w14:paraId="0BDEC9C4">
        <w:tblPrEx>
          <w:tblCellMar>
            <w:top w:w="0" w:type="dxa"/>
            <w:left w:w="0" w:type="dxa"/>
            <w:bottom w:w="0" w:type="dxa"/>
            <w:right w:w="0" w:type="dxa"/>
          </w:tblCellMar>
        </w:tblPrEx>
        <w:trPr>
          <w:wBefore w:w="0" w:type="auto"/>
          <w:tblCellSpacing w:w="0" w:type="dxa"/>
        </w:trPr>
        <w:tc>
          <w:tcPr>
            <w:tcW w:w="0" w:type="auto"/>
            <w:noWrap w:val="0"/>
            <w:vAlign w:val="center"/>
          </w:tcPr>
          <w:p w14:paraId="553ABA50">
            <w:r>
              <w:rPr>
                <w:rStyle w:val="10"/>
                <w:rFonts w:hint="eastAsia"/>
              </w:rPr>
              <w:t>注意事项：</w:t>
            </w:r>
            <w:r>
              <w:rPr>
                <w:rFonts w:hint="eastAsia"/>
              </w:rPr>
              <w:br w:type="textWrapping"/>
            </w:r>
            <w:r>
              <w:rPr>
                <w:rStyle w:val="11"/>
                <w:rFonts w:hint="eastAsia"/>
              </w:rPr>
              <w:t>1. 本品仅限专业人员使用。请按照农药安全使用准则使用本品。避免药液接触皮肤、眼睛和污染衣物，避免吸入雾滴。切勿在施药现场抽烟或饮食。在饮水、进食和抽烟前，应先洗手、洗脸。2.配药时，应戴丁腈橡胶手套和面罩，穿长袖衣、长裤和防水靴。3.施药时，应戴可以覆盖口、鼻及面部的面罩，戴丁腈橡胶手套、穿长袖衣、长裤和防水靴。4.施药后，彻底清洗防护用具后再脱掉防护用品。洗澡并更换和清洗工作服，工作服应同其他衣物分开清洗。5.应依照当地法律法规妥善处理农药空包装，切勿重复使用或改作其它用途。所有施药器具，用后应立即用清水或适当的洗涤剂清洗。所有施药器具，用后应立即用清水或适当的洗涤剂清洗，清洗后的废水不能排入河塘等水源内，以免污染水源。6.本品对鱼等水生动物、蜜蜂、蚕有毒，用药时应避免接触这些生物。蚕室内、桑园附近禁用。开花植物花期禁用，避免对周围蜂群产生影响。赤眼蜂等天敌放飞区禁用。鸟类保护区附近禁用。施药期间远离水产养殖区，禁止在河塘等水域清洗施药器具、防护用品等。本品不得直接用于水体。7.药液未干时切勿让儿童和宠物等接触。8.不要与碱性物质混用。9.过敏者禁用；使用中有任何不良反应请及时就医。 10.孕妇和哺乳期妇女应避免接触本品。</w:t>
            </w:r>
          </w:p>
        </w:tc>
      </w:tr>
      <w:tr w14:paraId="1E340BBB">
        <w:tblPrEx>
          <w:tblCellMar>
            <w:top w:w="0" w:type="dxa"/>
            <w:left w:w="0" w:type="dxa"/>
            <w:bottom w:w="0" w:type="dxa"/>
            <w:right w:w="0" w:type="dxa"/>
          </w:tblCellMar>
        </w:tblPrEx>
        <w:trPr>
          <w:wBefore w:w="0" w:type="auto"/>
          <w:tblCellSpacing w:w="0" w:type="dxa"/>
        </w:trPr>
        <w:tc>
          <w:tcPr>
            <w:tcW w:w="0" w:type="auto"/>
            <w:noWrap w:val="0"/>
            <w:vAlign w:val="center"/>
          </w:tcPr>
          <w:p w14:paraId="3BD95BB6">
            <w:r>
              <w:rPr>
                <w:rStyle w:val="10"/>
                <w:rFonts w:hint="eastAsia"/>
              </w:rPr>
              <w:t>中毒急救措施：</w:t>
            </w:r>
            <w:r>
              <w:rPr>
                <w:rFonts w:hint="eastAsia"/>
              </w:rPr>
              <w:br w:type="textWrapping"/>
            </w:r>
            <w:r>
              <w:rPr>
                <w:rStyle w:val="11"/>
                <w:rFonts w:hint="eastAsia"/>
              </w:rPr>
              <w:t>中毒症状：不恰当的操作可能会引起皮肤，特别是面部皮肤感觉异常（痒，刺痛，发热，麻木等）。中毒急救：1.用药时如果感觉不适，立即停止工作，采取急救措施，并立即携此标签送医就诊。2.皮肤接触：立即脱掉被污染的衣物，用肥皂和大量清水彻底清洗受污染的皮肤，并请医生诊治。3.眼睛溅药：立即将眼睑翻开，用清水冲洗至少15分钟，再请医生诊治。4.发生吸入：立即将吸入者转移到空气新鲜处，注意保暖和休息，请医生诊治。5. 误服：请勿引吐，立即携带标签，送医就诊。紧急医疗措施（需专业医务人员操作）：使用医用活性炭洗胃，洗胃时应防止胃洗出物进入呼吸道。注意：对昏迷病人，切勿经口喂入任何东西或引吐。解毒剂：无专用解毒剂，对症治疗。</w:t>
            </w:r>
          </w:p>
        </w:tc>
      </w:tr>
      <w:tr w14:paraId="126504FF">
        <w:tblPrEx>
          <w:tblCellMar>
            <w:top w:w="0" w:type="dxa"/>
            <w:left w:w="0" w:type="dxa"/>
            <w:bottom w:w="0" w:type="dxa"/>
            <w:right w:w="0" w:type="dxa"/>
          </w:tblCellMar>
        </w:tblPrEx>
        <w:trPr>
          <w:wBefore w:w="0" w:type="auto"/>
          <w:tblCellSpacing w:w="0" w:type="dxa"/>
        </w:trPr>
        <w:tc>
          <w:tcPr>
            <w:tcW w:w="0" w:type="auto"/>
            <w:noWrap w:val="0"/>
            <w:vAlign w:val="center"/>
          </w:tcPr>
          <w:p w14:paraId="0F6DDFFF">
            <w:r>
              <w:rPr>
                <w:rStyle w:val="10"/>
                <w:rFonts w:hint="eastAsia"/>
              </w:rPr>
              <w:t>储存和运输方法：</w:t>
            </w:r>
            <w:r>
              <w:rPr>
                <w:rFonts w:hint="eastAsia"/>
              </w:rPr>
              <w:br w:type="textWrapping"/>
            </w:r>
            <w:r>
              <w:rPr>
                <w:rStyle w:val="11"/>
                <w:rFonts w:hint="eastAsia"/>
              </w:rPr>
              <w:t>1.本品应加锁保存，置于儿童、无关人员和动物接触不到的地方。勿与食物、饮料、种子、粮食和动物饲料等混合储运。2. 本品应贮藏在避光、干燥、通风处。远离热源或火源。运输时应注意避光、防高温、雨淋。3. 产品码放高度不宜超过2米，以免损坏包装。</w:t>
            </w:r>
          </w:p>
        </w:tc>
      </w:tr>
      <w:tr w14:paraId="140BE396">
        <w:tblPrEx>
          <w:tblCellMar>
            <w:top w:w="0" w:type="dxa"/>
            <w:left w:w="0" w:type="dxa"/>
            <w:bottom w:w="0" w:type="dxa"/>
            <w:right w:w="0" w:type="dxa"/>
          </w:tblCellMar>
        </w:tblPrEx>
        <w:trPr>
          <w:wBefore w:w="0" w:type="auto"/>
          <w:tblCellSpacing w:w="0" w:type="dxa"/>
        </w:trPr>
        <w:tc>
          <w:tcPr>
            <w:tcW w:w="0" w:type="auto"/>
            <w:noWrap w:val="0"/>
            <w:vAlign w:val="center"/>
          </w:tcPr>
          <w:p w14:paraId="632F0759">
            <w:r>
              <w:rPr>
                <w:rStyle w:val="10"/>
                <w:rFonts w:hint="eastAsia"/>
              </w:rPr>
              <w:t>质量保证期：</w:t>
            </w:r>
            <w:r>
              <w:rPr>
                <w:rStyle w:val="11"/>
                <w:rFonts w:hint="eastAsia"/>
              </w:rPr>
              <w:t>2年</w:t>
            </w:r>
          </w:p>
        </w:tc>
      </w:tr>
      <w:tr w14:paraId="34E50BC2">
        <w:tblPrEx>
          <w:tblCellMar>
            <w:top w:w="0" w:type="dxa"/>
            <w:left w:w="0" w:type="dxa"/>
            <w:bottom w:w="0" w:type="dxa"/>
            <w:right w:w="0" w:type="dxa"/>
          </w:tblCellMar>
        </w:tblPrEx>
        <w:trPr>
          <w:wBefore w:w="0" w:type="auto"/>
          <w:tblCellSpacing w:w="0" w:type="dxa"/>
        </w:trPr>
        <w:tc>
          <w:tcPr>
            <w:tcW w:w="0" w:type="auto"/>
            <w:noWrap w:val="0"/>
            <w:vAlign w:val="center"/>
          </w:tcPr>
          <w:p w14:paraId="5556007D">
            <w:r>
              <w:rPr>
                <w:rStyle w:val="10"/>
                <w:rFonts w:hint="eastAsia"/>
              </w:rPr>
              <w:t>备注：</w:t>
            </w:r>
          </w:p>
        </w:tc>
      </w:tr>
    </w:tbl>
    <w:p w14:paraId="4CD3CB0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D82ADAD">
        <w:tblPrEx>
          <w:tblCellMar>
            <w:top w:w="0" w:type="dxa"/>
            <w:left w:w="0" w:type="dxa"/>
            <w:bottom w:w="0" w:type="dxa"/>
            <w:right w:w="0" w:type="dxa"/>
          </w:tblCellMar>
        </w:tblPrEx>
        <w:trPr>
          <w:wBefore w:w="0" w:type="auto"/>
          <w:tblCellSpacing w:w="0" w:type="dxa"/>
        </w:trPr>
        <w:tc>
          <w:tcPr>
            <w:tcW w:w="0" w:type="auto"/>
            <w:noWrap w:val="0"/>
            <w:vAlign w:val="center"/>
          </w:tcPr>
          <w:p w14:paraId="16F47223">
            <w:r>
              <w:rPr>
                <w:rStyle w:val="10"/>
                <w:rFonts w:hint="eastAsia"/>
              </w:rPr>
              <w:t>登记证号：</w:t>
            </w:r>
            <w:r>
              <w:rPr>
                <w:rFonts w:hint="eastAsia"/>
              </w:rPr>
              <w:t>WP20210244</w:t>
            </w:r>
          </w:p>
        </w:tc>
      </w:tr>
      <w:tr w14:paraId="676D3C91">
        <w:tblPrEx>
          <w:tblCellMar>
            <w:top w:w="0" w:type="dxa"/>
            <w:left w:w="0" w:type="dxa"/>
            <w:bottom w:w="0" w:type="dxa"/>
            <w:right w:w="0" w:type="dxa"/>
          </w:tblCellMar>
        </w:tblPrEx>
        <w:trPr>
          <w:wBefore w:w="0" w:type="auto"/>
          <w:tblCellSpacing w:w="0" w:type="dxa"/>
        </w:trPr>
        <w:tc>
          <w:tcPr>
            <w:tcW w:w="0" w:type="auto"/>
            <w:noWrap w:val="0"/>
            <w:vAlign w:val="center"/>
          </w:tcPr>
          <w:p w14:paraId="11226E3C">
            <w:r>
              <w:rPr>
                <w:rStyle w:val="10"/>
                <w:rFonts w:hint="eastAsia"/>
              </w:rPr>
              <w:t>登记证持有人：</w:t>
            </w:r>
            <w:r>
              <w:rPr>
                <w:rFonts w:hint="eastAsia"/>
              </w:rPr>
              <w:t>江苏省宜兴兴农化工制品有限公司</w:t>
            </w:r>
          </w:p>
        </w:tc>
      </w:tr>
      <w:tr w14:paraId="487C1D6D">
        <w:tblPrEx>
          <w:tblCellMar>
            <w:top w:w="0" w:type="dxa"/>
            <w:left w:w="0" w:type="dxa"/>
            <w:bottom w:w="0" w:type="dxa"/>
            <w:right w:w="0" w:type="dxa"/>
          </w:tblCellMar>
        </w:tblPrEx>
        <w:trPr>
          <w:wBefore w:w="0" w:type="auto"/>
          <w:tblCellSpacing w:w="0" w:type="dxa"/>
        </w:trPr>
        <w:tc>
          <w:tcPr>
            <w:tcW w:w="0" w:type="auto"/>
            <w:noWrap w:val="0"/>
            <w:vAlign w:val="center"/>
          </w:tcPr>
          <w:p w14:paraId="57C7B227">
            <w:r>
              <w:rPr>
                <w:rStyle w:val="10"/>
                <w:rFonts w:hint="eastAsia"/>
              </w:rPr>
              <w:t>农药名称：</w:t>
            </w:r>
            <w:r>
              <w:rPr>
                <w:rFonts w:hint="eastAsia"/>
              </w:rPr>
              <w:t>联苯菊酯</w:t>
            </w:r>
          </w:p>
        </w:tc>
      </w:tr>
      <w:tr w14:paraId="12BE9EC1">
        <w:tblPrEx>
          <w:tblCellMar>
            <w:top w:w="0" w:type="dxa"/>
            <w:left w:w="0" w:type="dxa"/>
            <w:bottom w:w="0" w:type="dxa"/>
            <w:right w:w="0" w:type="dxa"/>
          </w:tblCellMar>
        </w:tblPrEx>
        <w:trPr>
          <w:wBefore w:w="0" w:type="auto"/>
          <w:tblCellSpacing w:w="0" w:type="dxa"/>
        </w:trPr>
        <w:tc>
          <w:tcPr>
            <w:tcW w:w="0" w:type="auto"/>
            <w:noWrap w:val="0"/>
            <w:vAlign w:val="center"/>
          </w:tcPr>
          <w:p w14:paraId="045FB9AB">
            <w:r>
              <w:rPr>
                <w:rStyle w:val="10"/>
                <w:rFonts w:hint="eastAsia"/>
              </w:rPr>
              <w:t>剂型：</w:t>
            </w:r>
            <w:r>
              <w:rPr>
                <w:rFonts w:hint="eastAsia"/>
              </w:rPr>
              <w:t>悬浮剂</w:t>
            </w:r>
          </w:p>
        </w:tc>
      </w:tr>
      <w:tr w14:paraId="2A74EFA7">
        <w:tblPrEx>
          <w:tblCellMar>
            <w:top w:w="0" w:type="dxa"/>
            <w:left w:w="0" w:type="dxa"/>
            <w:bottom w:w="0" w:type="dxa"/>
            <w:right w:w="0" w:type="dxa"/>
          </w:tblCellMar>
        </w:tblPrEx>
        <w:trPr>
          <w:wBefore w:w="0" w:type="auto"/>
          <w:tblCellSpacing w:w="0" w:type="dxa"/>
        </w:trPr>
        <w:tc>
          <w:tcPr>
            <w:tcW w:w="0" w:type="auto"/>
            <w:noWrap w:val="0"/>
            <w:vAlign w:val="center"/>
          </w:tcPr>
          <w:p w14:paraId="51A78134">
            <w:r>
              <w:rPr>
                <w:rStyle w:val="10"/>
                <w:rFonts w:hint="eastAsia"/>
              </w:rPr>
              <w:t>毒性及其标识：</w:t>
            </w:r>
            <w:r>
              <w:rPr>
                <w:rFonts w:hint="eastAsia"/>
              </w:rPr>
              <w:t xml:space="preserve"> </w:t>
            </w:r>
            <w:r>
              <w:rPr>
                <w:lang/>
              </w:rPr>
              <w:drawing>
                <wp:inline distT="0" distB="0" distL="114300" distR="114300">
                  <wp:extent cx="476250" cy="323850"/>
                  <wp:effectExtent l="0" t="0" r="0" b="0"/>
                  <wp:docPr id="65" name="图片 6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21DC29D">
        <w:tblPrEx>
          <w:tblCellMar>
            <w:top w:w="0" w:type="dxa"/>
            <w:left w:w="0" w:type="dxa"/>
            <w:bottom w:w="0" w:type="dxa"/>
            <w:right w:w="0" w:type="dxa"/>
          </w:tblCellMar>
        </w:tblPrEx>
        <w:trPr>
          <w:wBefore w:w="0" w:type="auto"/>
          <w:tblCellSpacing w:w="0" w:type="dxa"/>
        </w:trPr>
        <w:tc>
          <w:tcPr>
            <w:tcW w:w="0" w:type="auto"/>
            <w:noWrap w:val="0"/>
            <w:vAlign w:val="center"/>
          </w:tcPr>
          <w:p w14:paraId="05C0A38F">
            <w:r>
              <w:rPr>
                <w:rStyle w:val="10"/>
                <w:rFonts w:hint="eastAsia"/>
              </w:rPr>
              <w:t>总有效成分含量：</w:t>
            </w:r>
            <w:r>
              <w:rPr>
                <w:rFonts w:hint="eastAsia"/>
              </w:rPr>
              <w:t>5%</w:t>
            </w:r>
          </w:p>
        </w:tc>
      </w:tr>
      <w:tr w14:paraId="0FE6BFBB">
        <w:tblPrEx>
          <w:tblCellMar>
            <w:top w:w="0" w:type="dxa"/>
            <w:left w:w="0" w:type="dxa"/>
            <w:bottom w:w="0" w:type="dxa"/>
            <w:right w:w="0" w:type="dxa"/>
          </w:tblCellMar>
        </w:tblPrEx>
        <w:trPr>
          <w:wBefore w:w="0" w:type="auto"/>
          <w:tblCellSpacing w:w="0" w:type="dxa"/>
        </w:trPr>
        <w:tc>
          <w:tcPr>
            <w:tcW w:w="0" w:type="auto"/>
            <w:noWrap w:val="0"/>
            <w:vAlign w:val="center"/>
          </w:tcPr>
          <w:p w14:paraId="7D8B5C2F">
            <w:r>
              <w:rPr>
                <w:rFonts w:hint="eastAsia"/>
              </w:rPr>
              <w:t xml:space="preserve">有效成分及其含量： </w:t>
            </w:r>
          </w:p>
          <w:p w14:paraId="1A9CE04D">
            <w:r>
              <w:rPr>
                <w:rFonts w:hint="eastAsia"/>
              </w:rPr>
              <w:t xml:space="preserve">    联苯菊酯5%    </w:t>
            </w:r>
          </w:p>
        </w:tc>
      </w:tr>
      <w:tr w14:paraId="1E921600">
        <w:tblPrEx>
          <w:tblCellMar>
            <w:top w:w="0" w:type="dxa"/>
            <w:left w:w="0" w:type="dxa"/>
            <w:bottom w:w="0" w:type="dxa"/>
            <w:right w:w="0" w:type="dxa"/>
          </w:tblCellMar>
        </w:tblPrEx>
        <w:trPr>
          <w:wBefore w:w="0" w:type="auto"/>
          <w:tblCellSpacing w:w="0" w:type="dxa"/>
        </w:trPr>
        <w:tc>
          <w:tcPr>
            <w:tcW w:w="0" w:type="auto"/>
            <w:noWrap w:val="0"/>
            <w:vAlign w:val="center"/>
          </w:tcPr>
          <w:p w14:paraId="736538D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32082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79D2DA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5D9A6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512116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7F7C403">
                  <w:r>
                    <w:rPr>
                      <w:rStyle w:val="11"/>
                      <w:rFonts w:hint="eastAsia"/>
                    </w:rPr>
                    <w:t>施用方式</w:t>
                  </w:r>
                </w:p>
              </w:tc>
            </w:tr>
            <w:tr w14:paraId="123AF9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45977B4">
                  <w:r>
                    <w:rPr>
                      <w:rStyle w:val="11"/>
                      <w:rFonts w:hint="eastAsia"/>
                    </w:rPr>
                    <w:t>木材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F1871B">
                  <w:r>
                    <w:rPr>
                      <w:rStyle w:val="11"/>
                      <w:rFonts w:hint="eastAsia"/>
                    </w:rPr>
                    <w:t>白蚁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AF017A">
                  <w:r>
                    <w:rPr>
                      <w:rStyle w:val="11"/>
                      <w:rFonts w:hint="eastAsia"/>
                    </w:rPr>
                    <w:t>100-150倍液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C86515">
                  <w:r>
                    <w:rPr>
                      <w:rStyle w:val="11"/>
                      <w:rFonts w:hint="eastAsia"/>
                    </w:rPr>
                    <w:t>浸泡或涂刷</w:t>
                  </w:r>
                </w:p>
              </w:tc>
            </w:tr>
          </w:tbl>
          <w:p w14:paraId="256B0CD8">
            <w:pPr>
              <w:rPr>
                <w:rFonts w:ascii="Times New Roman" w:hAnsi="Times New Roman" w:cs="Times New Roman"/>
                <w:sz w:val="20"/>
                <w:szCs w:val="20"/>
              </w:rPr>
            </w:pPr>
          </w:p>
        </w:tc>
      </w:tr>
      <w:tr w14:paraId="2510E3D6">
        <w:tblPrEx>
          <w:tblCellMar>
            <w:top w:w="0" w:type="dxa"/>
            <w:left w:w="0" w:type="dxa"/>
            <w:bottom w:w="0" w:type="dxa"/>
            <w:right w:w="0" w:type="dxa"/>
          </w:tblCellMar>
        </w:tblPrEx>
        <w:trPr>
          <w:wBefore w:w="0" w:type="auto"/>
          <w:tblCellSpacing w:w="0" w:type="dxa"/>
        </w:trPr>
        <w:tc>
          <w:tcPr>
            <w:tcW w:w="0" w:type="auto"/>
            <w:noWrap w:val="0"/>
            <w:vAlign w:val="center"/>
          </w:tcPr>
          <w:p w14:paraId="586E03F5">
            <w:r>
              <w:rPr>
                <w:rStyle w:val="10"/>
                <w:rFonts w:hint="eastAsia"/>
              </w:rPr>
              <w:t>使用技术要求:</w:t>
            </w:r>
            <w:r>
              <w:rPr>
                <w:rFonts w:hint="eastAsia"/>
              </w:rPr>
              <w:br w:type="textWrapping"/>
            </w:r>
            <w:r>
              <w:rPr>
                <w:rStyle w:val="11"/>
                <w:rFonts w:hint="eastAsia"/>
              </w:rPr>
              <w:t>木材处理：按500毫克/千克的用药量进行木材浸泡处理。</w:t>
            </w:r>
          </w:p>
        </w:tc>
      </w:tr>
      <w:tr w14:paraId="452C8A74">
        <w:tblPrEx>
          <w:tblCellMar>
            <w:top w:w="0" w:type="dxa"/>
            <w:left w:w="0" w:type="dxa"/>
            <w:bottom w:w="0" w:type="dxa"/>
            <w:right w:w="0" w:type="dxa"/>
          </w:tblCellMar>
        </w:tblPrEx>
        <w:trPr>
          <w:wBefore w:w="0" w:type="auto"/>
          <w:tblCellSpacing w:w="0" w:type="dxa"/>
        </w:trPr>
        <w:tc>
          <w:tcPr>
            <w:tcW w:w="0" w:type="auto"/>
            <w:noWrap w:val="0"/>
            <w:vAlign w:val="center"/>
          </w:tcPr>
          <w:p w14:paraId="75C17AD1">
            <w:r>
              <w:rPr>
                <w:rStyle w:val="10"/>
                <w:rFonts w:hint="eastAsia"/>
              </w:rPr>
              <w:t>产品性能:</w:t>
            </w:r>
            <w:r>
              <w:rPr>
                <w:rFonts w:hint="eastAsia"/>
              </w:rPr>
              <w:br w:type="textWrapping"/>
            </w:r>
            <w:r>
              <w:rPr>
                <w:rStyle w:val="11"/>
                <w:rFonts w:hint="eastAsia"/>
              </w:rPr>
              <w:t>本品用水稀释后浸泡木材，广泛用于预防白蚁，具有低毒、使用方便的特点。</w:t>
            </w:r>
          </w:p>
        </w:tc>
      </w:tr>
      <w:tr w14:paraId="17A9868F">
        <w:tblPrEx>
          <w:tblCellMar>
            <w:top w:w="0" w:type="dxa"/>
            <w:left w:w="0" w:type="dxa"/>
            <w:bottom w:w="0" w:type="dxa"/>
            <w:right w:w="0" w:type="dxa"/>
          </w:tblCellMar>
        </w:tblPrEx>
        <w:trPr>
          <w:wBefore w:w="0" w:type="auto"/>
          <w:tblCellSpacing w:w="0" w:type="dxa"/>
        </w:trPr>
        <w:tc>
          <w:tcPr>
            <w:tcW w:w="0" w:type="auto"/>
            <w:noWrap w:val="0"/>
            <w:vAlign w:val="center"/>
          </w:tcPr>
          <w:p w14:paraId="23EED70E">
            <w:r>
              <w:rPr>
                <w:rStyle w:val="10"/>
                <w:rFonts w:hint="eastAsia"/>
              </w:rPr>
              <w:t>注意事项：</w:t>
            </w:r>
            <w:r>
              <w:rPr>
                <w:rFonts w:hint="eastAsia"/>
              </w:rPr>
              <w:br w:type="textWrapping"/>
            </w:r>
            <w:r>
              <w:rPr>
                <w:rStyle w:val="11"/>
                <w:rFonts w:hint="eastAsia"/>
              </w:rPr>
              <w:t>1、使用时穿戴长衣、长裤、帽子、口罩、手套等防护措施。 现配现用，不能与碱性或碱性物质混用。 2、本品对蜜蜂、鱼类等水生生物、家蚕有毒，蚕室及桑园附近禁用。施药期间应避免对蜂群的影响，周围开花植物花期禁用。远离水产养殖区、河塘等水体施药，禁止在河塘等水体中清洗施药器具。 3、喷药后及时脱下衣服，用洗衣服水洗涤，并用肥皂水冲洗皮肤裸露部位。 4、不要与碱性物质混用。切勿向人体、食物使用。置于儿童接触不到的地方。 5、过敏者禁用；使用中有任何不良反应请及时就医。 6、用过的容器应妥善处理，不可做他用，也不可随意丢弃。7、避免与强氧化剂接触。</w:t>
            </w:r>
          </w:p>
        </w:tc>
      </w:tr>
      <w:tr w14:paraId="4D07AFB2">
        <w:tblPrEx>
          <w:tblCellMar>
            <w:top w:w="0" w:type="dxa"/>
            <w:left w:w="0" w:type="dxa"/>
            <w:bottom w:w="0" w:type="dxa"/>
            <w:right w:w="0" w:type="dxa"/>
          </w:tblCellMar>
        </w:tblPrEx>
        <w:trPr>
          <w:wBefore w:w="0" w:type="auto"/>
          <w:tblCellSpacing w:w="0" w:type="dxa"/>
        </w:trPr>
        <w:tc>
          <w:tcPr>
            <w:tcW w:w="0" w:type="auto"/>
            <w:noWrap w:val="0"/>
            <w:vAlign w:val="center"/>
          </w:tcPr>
          <w:p w14:paraId="2B6DCF73">
            <w:r>
              <w:rPr>
                <w:rStyle w:val="10"/>
                <w:rFonts w:hint="eastAsia"/>
              </w:rPr>
              <w:t>中毒急救措施：</w:t>
            </w:r>
            <w:r>
              <w:rPr>
                <w:rFonts w:hint="eastAsia"/>
              </w:rPr>
              <w:br w:type="textWrapping"/>
            </w:r>
            <w:r>
              <w:rPr>
                <w:rStyle w:val="11"/>
                <w:rFonts w:hint="eastAsia"/>
              </w:rPr>
              <w:t>中毒症状：头晕、头痛、多汗，行动失调，肌肉颤抖、腹泻发生，严重时导致呕吐、昏迷、呼吸困难。 急救措施：使用中或使用后如果感觉不适,应立即停止工作,采取急救措施,并携带标签送医院就诊。 1、皮肤接触:脱去污染的衣物,用软布去除沾染农药,立即用大量清水和肥皂冲洗。 2、眼睛溅入:立即用流动清水冲洗不少于15分钟。 3、吸入:立即离开施药现场,转移到空气清新处。 4、误食:立即停止服用,用清水充分漱口后,立即携带标签到医院就诊。</w:t>
            </w:r>
          </w:p>
        </w:tc>
      </w:tr>
      <w:tr w14:paraId="1601BA53">
        <w:tblPrEx>
          <w:tblCellMar>
            <w:top w:w="0" w:type="dxa"/>
            <w:left w:w="0" w:type="dxa"/>
            <w:bottom w:w="0" w:type="dxa"/>
            <w:right w:w="0" w:type="dxa"/>
          </w:tblCellMar>
        </w:tblPrEx>
        <w:trPr>
          <w:wBefore w:w="0" w:type="auto"/>
          <w:tblCellSpacing w:w="0" w:type="dxa"/>
        </w:trPr>
        <w:tc>
          <w:tcPr>
            <w:tcW w:w="0" w:type="auto"/>
            <w:noWrap w:val="0"/>
            <w:vAlign w:val="center"/>
          </w:tcPr>
          <w:p w14:paraId="654634C8">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本品应贮存在干燥、阴凉、通风、防雨处，远离火源或热源。置于儿童触及不到之处，并加锁。勿与食品、饮料、饲料种子、粮食等其他商品同贮同运。</w:t>
            </w:r>
          </w:p>
        </w:tc>
      </w:tr>
      <w:tr w14:paraId="6FEF2C61">
        <w:tblPrEx>
          <w:tblCellMar>
            <w:top w:w="0" w:type="dxa"/>
            <w:left w:w="0" w:type="dxa"/>
            <w:bottom w:w="0" w:type="dxa"/>
            <w:right w:w="0" w:type="dxa"/>
          </w:tblCellMar>
        </w:tblPrEx>
        <w:trPr>
          <w:wBefore w:w="0" w:type="auto"/>
          <w:tblCellSpacing w:w="0" w:type="dxa"/>
        </w:trPr>
        <w:tc>
          <w:tcPr>
            <w:tcW w:w="0" w:type="auto"/>
            <w:noWrap w:val="0"/>
            <w:vAlign w:val="center"/>
          </w:tcPr>
          <w:p w14:paraId="46AD0313">
            <w:r>
              <w:rPr>
                <w:rStyle w:val="10"/>
                <w:rFonts w:hint="eastAsia"/>
              </w:rPr>
              <w:t>质量保证期：</w:t>
            </w:r>
            <w:r>
              <w:rPr>
                <w:rStyle w:val="11"/>
                <w:rFonts w:hint="eastAsia"/>
              </w:rPr>
              <w:t>2年</w:t>
            </w:r>
          </w:p>
        </w:tc>
      </w:tr>
      <w:tr w14:paraId="573A2386">
        <w:tblPrEx>
          <w:tblCellMar>
            <w:top w:w="0" w:type="dxa"/>
            <w:left w:w="0" w:type="dxa"/>
            <w:bottom w:w="0" w:type="dxa"/>
            <w:right w:w="0" w:type="dxa"/>
          </w:tblCellMar>
        </w:tblPrEx>
        <w:trPr>
          <w:wBefore w:w="0" w:type="auto"/>
          <w:tblCellSpacing w:w="0" w:type="dxa"/>
        </w:trPr>
        <w:tc>
          <w:tcPr>
            <w:tcW w:w="0" w:type="auto"/>
            <w:noWrap w:val="0"/>
            <w:vAlign w:val="center"/>
          </w:tcPr>
          <w:p w14:paraId="30266562">
            <w:r>
              <w:rPr>
                <w:rStyle w:val="10"/>
                <w:rFonts w:hint="eastAsia"/>
              </w:rPr>
              <w:t>备注：</w:t>
            </w:r>
          </w:p>
        </w:tc>
      </w:tr>
    </w:tbl>
    <w:p w14:paraId="7679C5D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D385FBA">
        <w:tblPrEx>
          <w:tblCellMar>
            <w:top w:w="0" w:type="dxa"/>
            <w:left w:w="0" w:type="dxa"/>
            <w:bottom w:w="0" w:type="dxa"/>
            <w:right w:w="0" w:type="dxa"/>
          </w:tblCellMar>
        </w:tblPrEx>
        <w:trPr>
          <w:wBefore w:w="0" w:type="auto"/>
          <w:tblCellSpacing w:w="0" w:type="dxa"/>
        </w:trPr>
        <w:tc>
          <w:tcPr>
            <w:tcW w:w="0" w:type="auto"/>
            <w:noWrap w:val="0"/>
            <w:vAlign w:val="center"/>
          </w:tcPr>
          <w:p w14:paraId="4E9CA7B7">
            <w:r>
              <w:rPr>
                <w:rStyle w:val="10"/>
                <w:rFonts w:hint="eastAsia"/>
              </w:rPr>
              <w:t>登记证号：</w:t>
            </w:r>
            <w:r>
              <w:rPr>
                <w:rFonts w:hint="eastAsia"/>
              </w:rPr>
              <w:t>PD20212295</w:t>
            </w:r>
          </w:p>
        </w:tc>
      </w:tr>
      <w:tr w14:paraId="2898FDCF">
        <w:tblPrEx>
          <w:tblCellMar>
            <w:top w:w="0" w:type="dxa"/>
            <w:left w:w="0" w:type="dxa"/>
            <w:bottom w:w="0" w:type="dxa"/>
            <w:right w:w="0" w:type="dxa"/>
          </w:tblCellMar>
        </w:tblPrEx>
        <w:trPr>
          <w:wBefore w:w="0" w:type="auto"/>
          <w:tblCellSpacing w:w="0" w:type="dxa"/>
        </w:trPr>
        <w:tc>
          <w:tcPr>
            <w:tcW w:w="0" w:type="auto"/>
            <w:noWrap w:val="0"/>
            <w:vAlign w:val="center"/>
          </w:tcPr>
          <w:p w14:paraId="5F31B1B3">
            <w:r>
              <w:rPr>
                <w:rStyle w:val="10"/>
                <w:rFonts w:hint="eastAsia"/>
              </w:rPr>
              <w:t>登记证持有人：</w:t>
            </w:r>
            <w:r>
              <w:rPr>
                <w:rFonts w:hint="eastAsia"/>
              </w:rPr>
              <w:t>安徽华星化工有限公司</w:t>
            </w:r>
          </w:p>
        </w:tc>
      </w:tr>
      <w:tr w14:paraId="6A87BE37">
        <w:tblPrEx>
          <w:tblCellMar>
            <w:top w:w="0" w:type="dxa"/>
            <w:left w:w="0" w:type="dxa"/>
            <w:bottom w:w="0" w:type="dxa"/>
            <w:right w:w="0" w:type="dxa"/>
          </w:tblCellMar>
        </w:tblPrEx>
        <w:trPr>
          <w:wBefore w:w="0" w:type="auto"/>
          <w:tblCellSpacing w:w="0" w:type="dxa"/>
        </w:trPr>
        <w:tc>
          <w:tcPr>
            <w:tcW w:w="0" w:type="auto"/>
            <w:noWrap w:val="0"/>
            <w:vAlign w:val="center"/>
          </w:tcPr>
          <w:p w14:paraId="38603403">
            <w:r>
              <w:rPr>
                <w:rStyle w:val="10"/>
                <w:rFonts w:hint="eastAsia"/>
              </w:rPr>
              <w:t>农药名称：</w:t>
            </w:r>
            <w:r>
              <w:rPr>
                <w:rFonts w:hint="eastAsia"/>
              </w:rPr>
              <w:t>双氟·唑草酮</w:t>
            </w:r>
          </w:p>
        </w:tc>
      </w:tr>
      <w:tr w14:paraId="0CCE38E6">
        <w:tblPrEx>
          <w:tblCellMar>
            <w:top w:w="0" w:type="dxa"/>
            <w:left w:w="0" w:type="dxa"/>
            <w:bottom w:w="0" w:type="dxa"/>
            <w:right w:w="0" w:type="dxa"/>
          </w:tblCellMar>
        </w:tblPrEx>
        <w:trPr>
          <w:wBefore w:w="0" w:type="auto"/>
          <w:tblCellSpacing w:w="0" w:type="dxa"/>
        </w:trPr>
        <w:tc>
          <w:tcPr>
            <w:tcW w:w="0" w:type="auto"/>
            <w:noWrap w:val="0"/>
            <w:vAlign w:val="center"/>
          </w:tcPr>
          <w:p w14:paraId="00010284">
            <w:r>
              <w:rPr>
                <w:rStyle w:val="10"/>
                <w:rFonts w:hint="eastAsia"/>
              </w:rPr>
              <w:t>剂型：</w:t>
            </w:r>
            <w:r>
              <w:rPr>
                <w:rFonts w:hint="eastAsia"/>
              </w:rPr>
              <w:t>悬乳剂</w:t>
            </w:r>
          </w:p>
        </w:tc>
      </w:tr>
      <w:tr w14:paraId="5DA1525E">
        <w:tblPrEx>
          <w:tblCellMar>
            <w:top w:w="0" w:type="dxa"/>
            <w:left w:w="0" w:type="dxa"/>
            <w:bottom w:w="0" w:type="dxa"/>
            <w:right w:w="0" w:type="dxa"/>
          </w:tblCellMar>
        </w:tblPrEx>
        <w:trPr>
          <w:wBefore w:w="0" w:type="auto"/>
          <w:tblCellSpacing w:w="0" w:type="dxa"/>
        </w:trPr>
        <w:tc>
          <w:tcPr>
            <w:tcW w:w="0" w:type="auto"/>
            <w:noWrap w:val="0"/>
            <w:vAlign w:val="center"/>
          </w:tcPr>
          <w:p w14:paraId="4F8096FD">
            <w:r>
              <w:rPr>
                <w:rStyle w:val="10"/>
                <w:rFonts w:hint="eastAsia"/>
              </w:rPr>
              <w:t>毒性及其标识：</w:t>
            </w:r>
            <w:r>
              <w:rPr>
                <w:rFonts w:hint="eastAsia"/>
              </w:rPr>
              <w:t xml:space="preserve"> 微毒 </w:t>
            </w:r>
          </w:p>
        </w:tc>
      </w:tr>
      <w:tr w14:paraId="6620D931">
        <w:tblPrEx>
          <w:tblCellMar>
            <w:top w:w="0" w:type="dxa"/>
            <w:left w:w="0" w:type="dxa"/>
            <w:bottom w:w="0" w:type="dxa"/>
            <w:right w:w="0" w:type="dxa"/>
          </w:tblCellMar>
        </w:tblPrEx>
        <w:trPr>
          <w:wBefore w:w="0" w:type="auto"/>
          <w:tblCellSpacing w:w="0" w:type="dxa"/>
        </w:trPr>
        <w:tc>
          <w:tcPr>
            <w:tcW w:w="0" w:type="auto"/>
            <w:noWrap w:val="0"/>
            <w:vAlign w:val="center"/>
          </w:tcPr>
          <w:p w14:paraId="56CFC881">
            <w:r>
              <w:rPr>
                <w:rStyle w:val="10"/>
                <w:rFonts w:hint="eastAsia"/>
              </w:rPr>
              <w:t>总有效成分含量：</w:t>
            </w:r>
            <w:r>
              <w:rPr>
                <w:rFonts w:hint="eastAsia"/>
              </w:rPr>
              <w:t>9%</w:t>
            </w:r>
          </w:p>
        </w:tc>
      </w:tr>
      <w:tr w14:paraId="626DD4A8">
        <w:tblPrEx>
          <w:tblCellMar>
            <w:top w:w="0" w:type="dxa"/>
            <w:left w:w="0" w:type="dxa"/>
            <w:bottom w:w="0" w:type="dxa"/>
            <w:right w:w="0" w:type="dxa"/>
          </w:tblCellMar>
        </w:tblPrEx>
        <w:trPr>
          <w:wBefore w:w="0" w:type="auto"/>
          <w:tblCellSpacing w:w="0" w:type="dxa"/>
        </w:trPr>
        <w:tc>
          <w:tcPr>
            <w:tcW w:w="0" w:type="auto"/>
            <w:noWrap w:val="0"/>
            <w:vAlign w:val="center"/>
          </w:tcPr>
          <w:p w14:paraId="00A60841">
            <w:r>
              <w:rPr>
                <w:rFonts w:hint="eastAsia"/>
              </w:rPr>
              <w:t xml:space="preserve">有效成分及其含量： </w:t>
            </w:r>
          </w:p>
          <w:p w14:paraId="7144D824">
            <w:r>
              <w:rPr>
                <w:rFonts w:hint="eastAsia"/>
              </w:rPr>
              <w:t xml:space="preserve">    双氟磺草胺3%    唑草酮6%    </w:t>
            </w:r>
          </w:p>
        </w:tc>
      </w:tr>
      <w:tr w14:paraId="092F82A7">
        <w:tblPrEx>
          <w:tblCellMar>
            <w:top w:w="0" w:type="dxa"/>
            <w:left w:w="0" w:type="dxa"/>
            <w:bottom w:w="0" w:type="dxa"/>
            <w:right w:w="0" w:type="dxa"/>
          </w:tblCellMar>
        </w:tblPrEx>
        <w:trPr>
          <w:wBefore w:w="0" w:type="auto"/>
          <w:tblCellSpacing w:w="0" w:type="dxa"/>
        </w:trPr>
        <w:tc>
          <w:tcPr>
            <w:tcW w:w="0" w:type="auto"/>
            <w:noWrap w:val="0"/>
            <w:vAlign w:val="center"/>
          </w:tcPr>
          <w:p w14:paraId="0AA287B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4223B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3FACC8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42FAD0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9373B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4477F35">
                  <w:r>
                    <w:rPr>
                      <w:rStyle w:val="11"/>
                      <w:rFonts w:hint="eastAsia"/>
                    </w:rPr>
                    <w:t>施用方式</w:t>
                  </w:r>
                </w:p>
              </w:tc>
            </w:tr>
            <w:tr w14:paraId="30EFED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37F2A9D">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96D090">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E49210">
                  <w:r>
                    <w:rPr>
                      <w:rStyle w:val="11"/>
                      <w:rFonts w:hint="eastAsia"/>
                    </w:rPr>
                    <w:t>10-20毫升/亩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B2A6B2">
                  <w:r>
                    <w:rPr>
                      <w:rStyle w:val="11"/>
                      <w:rFonts w:hint="eastAsia"/>
                    </w:rPr>
                    <w:t>茎叶喷雾</w:t>
                  </w:r>
                </w:p>
              </w:tc>
            </w:tr>
          </w:tbl>
          <w:p w14:paraId="291FC270">
            <w:pPr>
              <w:rPr>
                <w:rFonts w:ascii="Times New Roman" w:hAnsi="Times New Roman" w:cs="Times New Roman"/>
                <w:sz w:val="20"/>
                <w:szCs w:val="20"/>
              </w:rPr>
            </w:pPr>
          </w:p>
        </w:tc>
      </w:tr>
      <w:tr w14:paraId="3F30055D">
        <w:tblPrEx>
          <w:tblCellMar>
            <w:top w:w="0" w:type="dxa"/>
            <w:left w:w="0" w:type="dxa"/>
            <w:bottom w:w="0" w:type="dxa"/>
            <w:right w:w="0" w:type="dxa"/>
          </w:tblCellMar>
        </w:tblPrEx>
        <w:trPr>
          <w:wBefore w:w="0" w:type="auto"/>
          <w:tblCellSpacing w:w="0" w:type="dxa"/>
        </w:trPr>
        <w:tc>
          <w:tcPr>
            <w:tcW w:w="0" w:type="auto"/>
            <w:noWrap w:val="0"/>
            <w:vAlign w:val="center"/>
          </w:tcPr>
          <w:p w14:paraId="036BEB18">
            <w:r>
              <w:rPr>
                <w:rStyle w:val="10"/>
                <w:rFonts w:hint="eastAsia"/>
              </w:rPr>
              <w:t>使用技术要求:</w:t>
            </w:r>
            <w:r>
              <w:rPr>
                <w:rFonts w:hint="eastAsia"/>
              </w:rPr>
              <w:br w:type="textWrapping"/>
            </w:r>
            <w:r>
              <w:rPr>
                <w:rStyle w:val="11"/>
                <w:rFonts w:hint="eastAsia"/>
              </w:rPr>
              <w:t>1. 使用时期：于冬小麦返青后至拔节前或春小麦3-5叶期，阔叶杂草2-4叶期，以推荐剂量兑水均匀茎叶喷雾施药一次，避免飘移药害。2. 按推荐剂量、时期和方法施用，均匀喷雾、不重喷、不漏喷；3. 每季作物最多使用1次。</w:t>
            </w:r>
          </w:p>
        </w:tc>
      </w:tr>
      <w:tr w14:paraId="4A7FB5C0">
        <w:tblPrEx>
          <w:tblCellMar>
            <w:top w:w="0" w:type="dxa"/>
            <w:left w:w="0" w:type="dxa"/>
            <w:bottom w:w="0" w:type="dxa"/>
            <w:right w:w="0" w:type="dxa"/>
          </w:tblCellMar>
        </w:tblPrEx>
        <w:trPr>
          <w:wBefore w:w="0" w:type="auto"/>
          <w:tblCellSpacing w:w="0" w:type="dxa"/>
        </w:trPr>
        <w:tc>
          <w:tcPr>
            <w:tcW w:w="0" w:type="auto"/>
            <w:noWrap w:val="0"/>
            <w:vAlign w:val="center"/>
          </w:tcPr>
          <w:p w14:paraId="597A4E25">
            <w:r>
              <w:rPr>
                <w:rStyle w:val="10"/>
                <w:rFonts w:hint="eastAsia"/>
              </w:rPr>
              <w:t>产品性能:</w:t>
            </w:r>
            <w:r>
              <w:rPr>
                <w:rFonts w:hint="eastAsia"/>
              </w:rPr>
              <w:br w:type="textWrapping"/>
            </w:r>
            <w:r>
              <w:rPr>
                <w:rStyle w:val="11"/>
                <w:rFonts w:hint="eastAsia"/>
              </w:rPr>
              <w:t>本品为淡黄色悬浮液体，无特殊刺激性气味液体，是双氟磺草胺和唑草酮的混配制剂。双氟磺草胺属于三唑嘧啶磺酰胺类除草剂，是乙酰乳酸合成酶抑制剂，通过抑制杂草体内支链氨基酸生物合成，最终造成杂草死亡。唑草酮为三唑啉酮类除草剂，是一种广谱触杀型除草剂，通过抑制原卟啉原氧化酶导致有毒中间物的积累，从而破坏杂草的细胞膜，使杂草迅速干枯、死亡。可用于防除麦田猪殃殃、播娘蒿、繁缕、泽漆、荠菜等多种阔叶杂草。</w:t>
            </w:r>
          </w:p>
        </w:tc>
      </w:tr>
      <w:tr w14:paraId="10566507">
        <w:tblPrEx>
          <w:tblCellMar>
            <w:top w:w="0" w:type="dxa"/>
            <w:left w:w="0" w:type="dxa"/>
            <w:bottom w:w="0" w:type="dxa"/>
            <w:right w:w="0" w:type="dxa"/>
          </w:tblCellMar>
        </w:tblPrEx>
        <w:trPr>
          <w:wBefore w:w="0" w:type="auto"/>
          <w:tblCellSpacing w:w="0" w:type="dxa"/>
        </w:trPr>
        <w:tc>
          <w:tcPr>
            <w:tcW w:w="0" w:type="auto"/>
            <w:noWrap w:val="0"/>
            <w:vAlign w:val="center"/>
          </w:tcPr>
          <w:p w14:paraId="37992610">
            <w:r>
              <w:rPr>
                <w:rStyle w:val="10"/>
                <w:rFonts w:hint="eastAsia"/>
              </w:rPr>
              <w:t>注意事项：</w:t>
            </w:r>
            <w:r>
              <w:rPr>
                <w:rFonts w:hint="eastAsia"/>
              </w:rPr>
              <w:br w:type="textWrapping"/>
            </w:r>
            <w:r>
              <w:rPr>
                <w:rStyle w:val="11"/>
                <w:rFonts w:hint="eastAsia"/>
              </w:rPr>
              <w:t>1. 避免施药时药液漂移到邻近敏感作物上。2. 使用本品时应穿长衣长裤、靴子、戴手套、眼镜、口罩等适当的防护用具，避免吸入药液；施药期间不可吃东西、饮水、吸烟等；施药后应及时洗手、洗脸并洗涤施药时穿着的衣物。3. 水产养殖区、河塘等水体附近禁用，禁止在河塘等水体中清洗施药器具，避免药液流入湖泊、河流或鱼塘中污染水源。赤眼蜂等天敌放飞区域禁用。4. 废弃物应妥善处理，不可做他用，也不可随意丢弃。5. 避免孕妇及哺乳期的妇女接触本品。6. 使用后的施药器械应及时彻底清洗，建议喷雾器专机专用。7. 避免与氧化剂接触。</w:t>
            </w:r>
          </w:p>
        </w:tc>
      </w:tr>
      <w:tr w14:paraId="0D6618F3">
        <w:tblPrEx>
          <w:tblCellMar>
            <w:top w:w="0" w:type="dxa"/>
            <w:left w:w="0" w:type="dxa"/>
            <w:bottom w:w="0" w:type="dxa"/>
            <w:right w:w="0" w:type="dxa"/>
          </w:tblCellMar>
        </w:tblPrEx>
        <w:trPr>
          <w:wBefore w:w="0" w:type="auto"/>
          <w:tblCellSpacing w:w="0" w:type="dxa"/>
        </w:trPr>
        <w:tc>
          <w:tcPr>
            <w:tcW w:w="0" w:type="auto"/>
            <w:noWrap w:val="0"/>
            <w:vAlign w:val="center"/>
          </w:tcPr>
          <w:p w14:paraId="188CE23D">
            <w:r>
              <w:rPr>
                <w:rStyle w:val="10"/>
                <w:rFonts w:hint="eastAsia"/>
              </w:rPr>
              <w:t>中毒急救措施：</w:t>
            </w:r>
            <w:r>
              <w:rPr>
                <w:rFonts w:hint="eastAsia"/>
              </w:rPr>
              <w:br w:type="textWrapping"/>
            </w:r>
            <w:r>
              <w:rPr>
                <w:rStyle w:val="11"/>
                <w:rFonts w:hint="eastAsia"/>
              </w:rPr>
              <w:t>1.眼睛溅入∶立刻用清水冲洗15-20分钟，如配戴隐形眼镜，冲洗5分钟后摘掉眼镜再冲洗15分钟，如不适症状持续，请立即就医。2.误食∶立即用水漱口，饮用1-2杯清水并催吐，勿对神志不清者催吐或喂食，并请立即携标签就医。3.皮肤沾附∶立即脱下被溅及衣服，用大量肥皂和清水冲洗皮肤15-20分钟，如不适症状持续，请立即就医，衣服彻底清洗后方可再穿。4.误吸∶移至空气清新处，使其平躺并保持安静，如呼吸困难，最好在医生指导下由专业人员进行输氧，如呼吸停止，立即进行人工呼吸并就医。 5.医生须知：无特效解毒药，请对症治疗。</w:t>
            </w:r>
          </w:p>
        </w:tc>
      </w:tr>
      <w:tr w14:paraId="1E7C282D">
        <w:tblPrEx>
          <w:tblCellMar>
            <w:top w:w="0" w:type="dxa"/>
            <w:left w:w="0" w:type="dxa"/>
            <w:bottom w:w="0" w:type="dxa"/>
            <w:right w:w="0" w:type="dxa"/>
          </w:tblCellMar>
        </w:tblPrEx>
        <w:trPr>
          <w:wBefore w:w="0" w:type="auto"/>
          <w:tblCellSpacing w:w="0" w:type="dxa"/>
        </w:trPr>
        <w:tc>
          <w:tcPr>
            <w:tcW w:w="0" w:type="auto"/>
            <w:noWrap w:val="0"/>
            <w:vAlign w:val="center"/>
          </w:tcPr>
          <w:p w14:paraId="43B443C1">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本品应贮存在干燥、阴凉、通风、防雨处，远离火源或热源。置于儿童触及不到之处，并加锁。勿与食品、饮料、粮食、饲料等其他商品同贮同运。</w:t>
            </w:r>
          </w:p>
        </w:tc>
      </w:tr>
      <w:tr w14:paraId="5ABA0145">
        <w:tblPrEx>
          <w:tblCellMar>
            <w:top w:w="0" w:type="dxa"/>
            <w:left w:w="0" w:type="dxa"/>
            <w:bottom w:w="0" w:type="dxa"/>
            <w:right w:w="0" w:type="dxa"/>
          </w:tblCellMar>
        </w:tblPrEx>
        <w:trPr>
          <w:wBefore w:w="0" w:type="auto"/>
          <w:tblCellSpacing w:w="0" w:type="dxa"/>
        </w:trPr>
        <w:tc>
          <w:tcPr>
            <w:tcW w:w="0" w:type="auto"/>
            <w:noWrap w:val="0"/>
            <w:vAlign w:val="center"/>
          </w:tcPr>
          <w:p w14:paraId="4F3F086B">
            <w:r>
              <w:rPr>
                <w:rStyle w:val="10"/>
                <w:rFonts w:hint="eastAsia"/>
              </w:rPr>
              <w:t>质量保证期：</w:t>
            </w:r>
            <w:r>
              <w:rPr>
                <w:rStyle w:val="11"/>
                <w:rFonts w:hint="eastAsia"/>
              </w:rPr>
              <w:t>2年</w:t>
            </w:r>
          </w:p>
        </w:tc>
      </w:tr>
      <w:tr w14:paraId="4C1DE94C">
        <w:tblPrEx>
          <w:tblCellMar>
            <w:top w:w="0" w:type="dxa"/>
            <w:left w:w="0" w:type="dxa"/>
            <w:bottom w:w="0" w:type="dxa"/>
            <w:right w:w="0" w:type="dxa"/>
          </w:tblCellMar>
        </w:tblPrEx>
        <w:trPr>
          <w:wBefore w:w="0" w:type="auto"/>
          <w:tblCellSpacing w:w="0" w:type="dxa"/>
        </w:trPr>
        <w:tc>
          <w:tcPr>
            <w:tcW w:w="0" w:type="auto"/>
            <w:noWrap w:val="0"/>
            <w:vAlign w:val="center"/>
          </w:tcPr>
          <w:p w14:paraId="13B1461A">
            <w:r>
              <w:rPr>
                <w:rStyle w:val="10"/>
                <w:rFonts w:hint="eastAsia"/>
              </w:rPr>
              <w:t>备注：</w:t>
            </w:r>
          </w:p>
        </w:tc>
      </w:tr>
    </w:tbl>
    <w:p w14:paraId="66FACAD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C84D328">
        <w:tblPrEx>
          <w:tblCellMar>
            <w:top w:w="0" w:type="dxa"/>
            <w:left w:w="0" w:type="dxa"/>
            <w:bottom w:w="0" w:type="dxa"/>
            <w:right w:w="0" w:type="dxa"/>
          </w:tblCellMar>
        </w:tblPrEx>
        <w:trPr>
          <w:wBefore w:w="0" w:type="auto"/>
          <w:tblCellSpacing w:w="0" w:type="dxa"/>
        </w:trPr>
        <w:tc>
          <w:tcPr>
            <w:tcW w:w="0" w:type="auto"/>
            <w:noWrap w:val="0"/>
            <w:vAlign w:val="center"/>
          </w:tcPr>
          <w:p w14:paraId="37B3089B">
            <w:r>
              <w:rPr>
                <w:rStyle w:val="10"/>
                <w:rFonts w:hint="eastAsia"/>
              </w:rPr>
              <w:t>登记证号：</w:t>
            </w:r>
            <w:r>
              <w:rPr>
                <w:rFonts w:hint="eastAsia"/>
              </w:rPr>
              <w:t>PD20211984</w:t>
            </w:r>
          </w:p>
        </w:tc>
      </w:tr>
      <w:tr w14:paraId="184EB9F2">
        <w:tblPrEx>
          <w:tblCellMar>
            <w:top w:w="0" w:type="dxa"/>
            <w:left w:w="0" w:type="dxa"/>
            <w:bottom w:w="0" w:type="dxa"/>
            <w:right w:w="0" w:type="dxa"/>
          </w:tblCellMar>
        </w:tblPrEx>
        <w:trPr>
          <w:wBefore w:w="0" w:type="auto"/>
          <w:tblCellSpacing w:w="0" w:type="dxa"/>
        </w:trPr>
        <w:tc>
          <w:tcPr>
            <w:tcW w:w="0" w:type="auto"/>
            <w:noWrap w:val="0"/>
            <w:vAlign w:val="center"/>
          </w:tcPr>
          <w:p w14:paraId="2BD1F2A1">
            <w:r>
              <w:rPr>
                <w:rStyle w:val="10"/>
                <w:rFonts w:hint="eastAsia"/>
              </w:rPr>
              <w:t>登记证持有人：</w:t>
            </w:r>
            <w:r>
              <w:rPr>
                <w:rFonts w:hint="eastAsia"/>
              </w:rPr>
              <w:t>广东植物龙生物技术股份有限公司</w:t>
            </w:r>
          </w:p>
        </w:tc>
      </w:tr>
      <w:tr w14:paraId="670752F1">
        <w:tblPrEx>
          <w:tblCellMar>
            <w:top w:w="0" w:type="dxa"/>
            <w:left w:w="0" w:type="dxa"/>
            <w:bottom w:w="0" w:type="dxa"/>
            <w:right w:w="0" w:type="dxa"/>
          </w:tblCellMar>
        </w:tblPrEx>
        <w:trPr>
          <w:wBefore w:w="0" w:type="auto"/>
          <w:tblCellSpacing w:w="0" w:type="dxa"/>
        </w:trPr>
        <w:tc>
          <w:tcPr>
            <w:tcW w:w="0" w:type="auto"/>
            <w:noWrap w:val="0"/>
            <w:vAlign w:val="center"/>
          </w:tcPr>
          <w:p w14:paraId="52F42428">
            <w:r>
              <w:rPr>
                <w:rStyle w:val="10"/>
                <w:rFonts w:hint="eastAsia"/>
              </w:rPr>
              <w:t>农药名称：</w:t>
            </w:r>
            <w:r>
              <w:rPr>
                <w:rFonts w:hint="eastAsia"/>
              </w:rPr>
              <w:t>吡唑醚菌酯</w:t>
            </w:r>
          </w:p>
        </w:tc>
      </w:tr>
      <w:tr w14:paraId="28F20610">
        <w:tblPrEx>
          <w:tblCellMar>
            <w:top w:w="0" w:type="dxa"/>
            <w:left w:w="0" w:type="dxa"/>
            <w:bottom w:w="0" w:type="dxa"/>
            <w:right w:w="0" w:type="dxa"/>
          </w:tblCellMar>
        </w:tblPrEx>
        <w:trPr>
          <w:wBefore w:w="0" w:type="auto"/>
          <w:tblCellSpacing w:w="0" w:type="dxa"/>
        </w:trPr>
        <w:tc>
          <w:tcPr>
            <w:tcW w:w="0" w:type="auto"/>
            <w:noWrap w:val="0"/>
            <w:vAlign w:val="center"/>
          </w:tcPr>
          <w:p w14:paraId="25B76742">
            <w:r>
              <w:rPr>
                <w:rStyle w:val="10"/>
                <w:rFonts w:hint="eastAsia"/>
              </w:rPr>
              <w:t>剂型：</w:t>
            </w:r>
            <w:r>
              <w:rPr>
                <w:rFonts w:hint="eastAsia"/>
              </w:rPr>
              <w:t>乳油</w:t>
            </w:r>
          </w:p>
        </w:tc>
      </w:tr>
      <w:tr w14:paraId="04ADB62F">
        <w:tblPrEx>
          <w:tblCellMar>
            <w:top w:w="0" w:type="dxa"/>
            <w:left w:w="0" w:type="dxa"/>
            <w:bottom w:w="0" w:type="dxa"/>
            <w:right w:w="0" w:type="dxa"/>
          </w:tblCellMar>
        </w:tblPrEx>
        <w:trPr>
          <w:wBefore w:w="0" w:type="auto"/>
          <w:tblCellSpacing w:w="0" w:type="dxa"/>
        </w:trPr>
        <w:tc>
          <w:tcPr>
            <w:tcW w:w="0" w:type="auto"/>
            <w:noWrap w:val="0"/>
            <w:vAlign w:val="center"/>
          </w:tcPr>
          <w:p w14:paraId="3AC6CDE0">
            <w:r>
              <w:rPr>
                <w:rStyle w:val="10"/>
                <w:rFonts w:hint="eastAsia"/>
              </w:rPr>
              <w:t>毒性及其标识：</w:t>
            </w:r>
            <w:r>
              <w:rPr>
                <w:rFonts w:hint="eastAsia"/>
              </w:rPr>
              <w:t xml:space="preserve"> </w:t>
            </w:r>
            <w:r>
              <w:rPr>
                <w:lang/>
              </w:rPr>
              <w:drawing>
                <wp:inline distT="0" distB="0" distL="114300" distR="114300">
                  <wp:extent cx="476250" cy="323850"/>
                  <wp:effectExtent l="0" t="0" r="0" b="0"/>
                  <wp:docPr id="66" name="图片 6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FDC77EA">
        <w:tblPrEx>
          <w:tblCellMar>
            <w:top w:w="0" w:type="dxa"/>
            <w:left w:w="0" w:type="dxa"/>
            <w:bottom w:w="0" w:type="dxa"/>
            <w:right w:w="0" w:type="dxa"/>
          </w:tblCellMar>
        </w:tblPrEx>
        <w:trPr>
          <w:wBefore w:w="0" w:type="auto"/>
          <w:tblCellSpacing w:w="0" w:type="dxa"/>
        </w:trPr>
        <w:tc>
          <w:tcPr>
            <w:tcW w:w="0" w:type="auto"/>
            <w:noWrap w:val="0"/>
            <w:vAlign w:val="center"/>
          </w:tcPr>
          <w:p w14:paraId="2D4C195C">
            <w:r>
              <w:rPr>
                <w:rStyle w:val="10"/>
                <w:rFonts w:hint="eastAsia"/>
              </w:rPr>
              <w:t>总有效成分含量：</w:t>
            </w:r>
            <w:r>
              <w:rPr>
                <w:rFonts w:hint="eastAsia"/>
              </w:rPr>
              <w:t>20%</w:t>
            </w:r>
          </w:p>
        </w:tc>
      </w:tr>
      <w:tr w14:paraId="2856A7D1">
        <w:tblPrEx>
          <w:tblCellMar>
            <w:top w:w="0" w:type="dxa"/>
            <w:left w:w="0" w:type="dxa"/>
            <w:bottom w:w="0" w:type="dxa"/>
            <w:right w:w="0" w:type="dxa"/>
          </w:tblCellMar>
        </w:tblPrEx>
        <w:trPr>
          <w:wBefore w:w="0" w:type="auto"/>
          <w:tblCellSpacing w:w="0" w:type="dxa"/>
        </w:trPr>
        <w:tc>
          <w:tcPr>
            <w:tcW w:w="0" w:type="auto"/>
            <w:noWrap w:val="0"/>
            <w:vAlign w:val="center"/>
          </w:tcPr>
          <w:p w14:paraId="435D6C09">
            <w:r>
              <w:rPr>
                <w:rFonts w:hint="eastAsia"/>
              </w:rPr>
              <w:t xml:space="preserve">有效成分及其含量： </w:t>
            </w:r>
          </w:p>
          <w:p w14:paraId="7892D98B">
            <w:r>
              <w:rPr>
                <w:rFonts w:hint="eastAsia"/>
              </w:rPr>
              <w:t xml:space="preserve">    吡唑醚菌酯20%    </w:t>
            </w:r>
          </w:p>
        </w:tc>
      </w:tr>
      <w:tr w14:paraId="3742DDF7">
        <w:tblPrEx>
          <w:tblCellMar>
            <w:top w:w="0" w:type="dxa"/>
            <w:left w:w="0" w:type="dxa"/>
            <w:bottom w:w="0" w:type="dxa"/>
            <w:right w:w="0" w:type="dxa"/>
          </w:tblCellMar>
        </w:tblPrEx>
        <w:trPr>
          <w:wBefore w:w="0" w:type="auto"/>
          <w:tblCellSpacing w:w="0" w:type="dxa"/>
        </w:trPr>
        <w:tc>
          <w:tcPr>
            <w:tcW w:w="0" w:type="auto"/>
            <w:noWrap w:val="0"/>
            <w:vAlign w:val="center"/>
          </w:tcPr>
          <w:p w14:paraId="2143601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8D322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E06488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79EA24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F8FAF4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10AC833">
                  <w:r>
                    <w:rPr>
                      <w:rStyle w:val="11"/>
                      <w:rFonts w:hint="eastAsia"/>
                    </w:rPr>
                    <w:t>施用方式</w:t>
                  </w:r>
                </w:p>
              </w:tc>
            </w:tr>
            <w:tr w14:paraId="6889CE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DFEB49C">
                  <w:r>
                    <w:rPr>
                      <w:rStyle w:val="11"/>
                      <w:rFonts w:hint="eastAsia"/>
                    </w:rPr>
                    <w:t>香蕉(果实)</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B94A52">
                  <w:r>
                    <w:rPr>
                      <w:rStyle w:val="11"/>
                      <w:rFonts w:hint="eastAsia"/>
                    </w:rPr>
                    <w:t>轴腐病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292FDB">
                  <w:r>
                    <w:rPr>
                      <w:rStyle w:val="11"/>
                      <w:rFonts w:hint="eastAsia"/>
                    </w:rPr>
                    <w:t>800-1200倍液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3C8941">
                  <w:r>
                    <w:rPr>
                      <w:rStyle w:val="11"/>
                      <w:rFonts w:hint="eastAsia"/>
                    </w:rPr>
                    <w:t>浸果</w:t>
                  </w:r>
                </w:p>
              </w:tc>
            </w:tr>
            <w:tr w14:paraId="3C744C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48B3C28">
                  <w:r>
                    <w:rPr>
                      <w:rStyle w:val="11"/>
                      <w:rFonts w:hint="eastAsia"/>
                    </w:rPr>
                    <w:t>香蕉(果实)</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FE94C1">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4CBEE9">
                  <w:r>
                    <w:rPr>
                      <w:rStyle w:val="11"/>
                      <w:rFonts w:hint="eastAsia"/>
                    </w:rPr>
                    <w:t>800-1200倍液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C7E775">
                  <w:r>
                    <w:rPr>
                      <w:rStyle w:val="11"/>
                      <w:rFonts w:hint="eastAsia"/>
                    </w:rPr>
                    <w:t>浸果</w:t>
                  </w:r>
                </w:p>
              </w:tc>
            </w:tr>
          </w:tbl>
          <w:p w14:paraId="3D51D581">
            <w:pPr>
              <w:rPr>
                <w:rFonts w:ascii="Times New Roman" w:hAnsi="Times New Roman" w:cs="Times New Roman"/>
                <w:sz w:val="20"/>
                <w:szCs w:val="20"/>
              </w:rPr>
            </w:pPr>
          </w:p>
        </w:tc>
      </w:tr>
      <w:tr w14:paraId="74A7C2B8">
        <w:tblPrEx>
          <w:tblCellMar>
            <w:top w:w="0" w:type="dxa"/>
            <w:left w:w="0" w:type="dxa"/>
            <w:bottom w:w="0" w:type="dxa"/>
            <w:right w:w="0" w:type="dxa"/>
          </w:tblCellMar>
        </w:tblPrEx>
        <w:trPr>
          <w:wBefore w:w="0" w:type="auto"/>
          <w:tblCellSpacing w:w="0" w:type="dxa"/>
        </w:trPr>
        <w:tc>
          <w:tcPr>
            <w:tcW w:w="0" w:type="auto"/>
            <w:noWrap w:val="0"/>
            <w:vAlign w:val="center"/>
          </w:tcPr>
          <w:p w14:paraId="3D6AC7ED">
            <w:r>
              <w:rPr>
                <w:rStyle w:val="10"/>
                <w:rFonts w:hint="eastAsia"/>
              </w:rPr>
              <w:t>使用技术要求:</w:t>
            </w:r>
            <w:r>
              <w:rPr>
                <w:rFonts w:hint="eastAsia"/>
              </w:rPr>
              <w:br w:type="textWrapping"/>
            </w:r>
            <w:r>
              <w:rPr>
                <w:rStyle w:val="11"/>
                <w:rFonts w:hint="eastAsia"/>
              </w:rPr>
              <w:t>1.在香蕉果实成熟度为75%-85%时采收，去掉有机械损伤、有伤疤的香蕉， 洗去香蕉指上的尘土，浸果2分钟后晾干，常温贮藏。2.应于果实采收后进行浸果，浸果过程中，要不断搅拌药液，使药液均匀分布并与香蕉果实充分接触。 3.本品在香蕉上的安全间隔期为7天，每批果实最多使用1次。</w:t>
            </w:r>
          </w:p>
        </w:tc>
      </w:tr>
      <w:tr w14:paraId="43E22BCD">
        <w:tblPrEx>
          <w:tblCellMar>
            <w:top w:w="0" w:type="dxa"/>
            <w:left w:w="0" w:type="dxa"/>
            <w:bottom w:w="0" w:type="dxa"/>
            <w:right w:w="0" w:type="dxa"/>
          </w:tblCellMar>
        </w:tblPrEx>
        <w:trPr>
          <w:wBefore w:w="0" w:type="auto"/>
          <w:tblCellSpacing w:w="0" w:type="dxa"/>
        </w:trPr>
        <w:tc>
          <w:tcPr>
            <w:tcW w:w="0" w:type="auto"/>
            <w:noWrap w:val="0"/>
            <w:vAlign w:val="center"/>
          </w:tcPr>
          <w:p w14:paraId="19F1521D">
            <w:r>
              <w:rPr>
                <w:rStyle w:val="10"/>
                <w:rFonts w:hint="eastAsia"/>
              </w:rPr>
              <w:t>产品性能:</w:t>
            </w:r>
            <w:r>
              <w:rPr>
                <w:rFonts w:hint="eastAsia"/>
              </w:rPr>
              <w:br w:type="textWrapping"/>
            </w:r>
            <w:r>
              <w:rPr>
                <w:rStyle w:val="11"/>
                <w:rFonts w:hint="eastAsia"/>
              </w:rPr>
              <w:t>本品为新型甲氧基丙烯酸酯类杀菌剂，为线粒体呼吸抑制剂，可有效防治香蕉采后的炭疽病和轴腐病。</w:t>
            </w:r>
          </w:p>
        </w:tc>
      </w:tr>
      <w:tr w14:paraId="119EBF10">
        <w:tblPrEx>
          <w:tblCellMar>
            <w:top w:w="0" w:type="dxa"/>
            <w:left w:w="0" w:type="dxa"/>
            <w:bottom w:w="0" w:type="dxa"/>
            <w:right w:w="0" w:type="dxa"/>
          </w:tblCellMar>
        </w:tblPrEx>
        <w:trPr>
          <w:wBefore w:w="0" w:type="auto"/>
          <w:tblCellSpacing w:w="0" w:type="dxa"/>
        </w:trPr>
        <w:tc>
          <w:tcPr>
            <w:tcW w:w="0" w:type="auto"/>
            <w:noWrap w:val="0"/>
            <w:vAlign w:val="center"/>
          </w:tcPr>
          <w:p w14:paraId="44A8CA6B">
            <w:r>
              <w:rPr>
                <w:rStyle w:val="10"/>
                <w:rFonts w:hint="eastAsia"/>
              </w:rPr>
              <w:t>注意事项：</w:t>
            </w:r>
            <w:r>
              <w:rPr>
                <w:rFonts w:hint="eastAsia"/>
              </w:rPr>
              <w:br w:type="textWrapping"/>
            </w:r>
            <w:r>
              <w:rPr>
                <w:rStyle w:val="11"/>
                <w:rFonts w:hint="eastAsia"/>
              </w:rPr>
              <w:t>1.使用本品时应穿戴防护服和手套，避免吸入药液，施药期间不可吃东西和饮水，施药后应及时洗手和洗脸。 2.本品使用时应注意远离水产养殖区、河塘等水体附近施药，禁止在河塘等水体中清洗施药器具，浸果后的药液及其废液不得污染河流和水源等各类水域。3.用过的容器应妥善处理，不可作他用，也不可随意丢弃。4.建议与其他作用机制不同的杀菌剂交替使用，以延缓抗性的产生。5.孕妇及哺乳期妇女不得接触本品。</w:t>
            </w:r>
          </w:p>
        </w:tc>
      </w:tr>
      <w:tr w14:paraId="032D7F7E">
        <w:tblPrEx>
          <w:tblCellMar>
            <w:top w:w="0" w:type="dxa"/>
            <w:left w:w="0" w:type="dxa"/>
            <w:bottom w:w="0" w:type="dxa"/>
            <w:right w:w="0" w:type="dxa"/>
          </w:tblCellMar>
        </w:tblPrEx>
        <w:trPr>
          <w:wBefore w:w="0" w:type="auto"/>
          <w:tblCellSpacing w:w="0" w:type="dxa"/>
        </w:trPr>
        <w:tc>
          <w:tcPr>
            <w:tcW w:w="0" w:type="auto"/>
            <w:noWrap w:val="0"/>
            <w:vAlign w:val="center"/>
          </w:tcPr>
          <w:p w14:paraId="27BF00F2">
            <w:r>
              <w:rPr>
                <w:rStyle w:val="10"/>
                <w:rFonts w:hint="eastAsia"/>
              </w:rPr>
              <w:t>中毒急救措施：</w:t>
            </w:r>
            <w:r>
              <w:rPr>
                <w:rFonts w:hint="eastAsia"/>
              </w:rPr>
              <w:br w:type="textWrapping"/>
            </w:r>
            <w:r>
              <w:rPr>
                <w:rStyle w:val="11"/>
                <w:rFonts w:hint="eastAsia"/>
              </w:rPr>
              <w:t>使用中或使用后若感觉不适，应立即停止工作，采取急救措施。本品对眼睛有轻度刺激作用，不慎接触皮肤或溅入眼睛，应用大量清水冲洗至少15分钟，如有刺激发生立即送医就诊；不慎吸入，应将病人移至空气流通处；无特殊解毒剂，如误服则应立即携此标签将病人送医院对症治疗。</w:t>
            </w:r>
          </w:p>
        </w:tc>
      </w:tr>
      <w:tr w14:paraId="08F0CDB3">
        <w:tblPrEx>
          <w:tblCellMar>
            <w:top w:w="0" w:type="dxa"/>
            <w:left w:w="0" w:type="dxa"/>
            <w:bottom w:w="0" w:type="dxa"/>
            <w:right w:w="0" w:type="dxa"/>
          </w:tblCellMar>
        </w:tblPrEx>
        <w:trPr>
          <w:wBefore w:w="0" w:type="auto"/>
          <w:tblCellSpacing w:w="0" w:type="dxa"/>
        </w:trPr>
        <w:tc>
          <w:tcPr>
            <w:tcW w:w="0" w:type="auto"/>
            <w:noWrap w:val="0"/>
            <w:vAlign w:val="center"/>
          </w:tcPr>
          <w:p w14:paraId="6A2083B6">
            <w:r>
              <w:rPr>
                <w:rStyle w:val="10"/>
                <w:rFonts w:hint="eastAsia"/>
              </w:rPr>
              <w:t>储存和运输方法：</w:t>
            </w:r>
            <w:r>
              <w:rPr>
                <w:rFonts w:hint="eastAsia"/>
              </w:rPr>
              <w:br w:type="textWrapping"/>
            </w:r>
            <w:r>
              <w:rPr>
                <w:rStyle w:val="11"/>
                <w:rFonts w:hint="eastAsia"/>
              </w:rPr>
              <w:t>本品应贮存在通风、干燥、阴凉、防雨处，远离火源和热源。贮运时，严防潮湿、日晒和雨淋，勿与食品、饮料、饲料和粮食等同贮同运，避免与皮肤、眼睛接触，防止由口鼻吸入。置于儿童触及不到之处，并加锁。</w:t>
            </w:r>
          </w:p>
        </w:tc>
      </w:tr>
      <w:tr w14:paraId="3C0240EB">
        <w:tblPrEx>
          <w:tblCellMar>
            <w:top w:w="0" w:type="dxa"/>
            <w:left w:w="0" w:type="dxa"/>
            <w:bottom w:w="0" w:type="dxa"/>
            <w:right w:w="0" w:type="dxa"/>
          </w:tblCellMar>
        </w:tblPrEx>
        <w:trPr>
          <w:wBefore w:w="0" w:type="auto"/>
          <w:tblCellSpacing w:w="0" w:type="dxa"/>
        </w:trPr>
        <w:tc>
          <w:tcPr>
            <w:tcW w:w="0" w:type="auto"/>
            <w:noWrap w:val="0"/>
            <w:vAlign w:val="center"/>
          </w:tcPr>
          <w:p w14:paraId="04F31703">
            <w:r>
              <w:rPr>
                <w:rStyle w:val="10"/>
                <w:rFonts w:hint="eastAsia"/>
              </w:rPr>
              <w:t>质量保证期：</w:t>
            </w:r>
            <w:r>
              <w:rPr>
                <w:rStyle w:val="11"/>
                <w:rFonts w:hint="eastAsia"/>
              </w:rPr>
              <w:t>2年</w:t>
            </w:r>
          </w:p>
        </w:tc>
      </w:tr>
      <w:tr w14:paraId="6D2BA08E">
        <w:tblPrEx>
          <w:tblCellMar>
            <w:top w:w="0" w:type="dxa"/>
            <w:left w:w="0" w:type="dxa"/>
            <w:bottom w:w="0" w:type="dxa"/>
            <w:right w:w="0" w:type="dxa"/>
          </w:tblCellMar>
        </w:tblPrEx>
        <w:trPr>
          <w:wBefore w:w="0" w:type="auto"/>
          <w:tblCellSpacing w:w="0" w:type="dxa"/>
        </w:trPr>
        <w:tc>
          <w:tcPr>
            <w:tcW w:w="0" w:type="auto"/>
            <w:noWrap w:val="0"/>
            <w:vAlign w:val="center"/>
          </w:tcPr>
          <w:p w14:paraId="33B53FCA">
            <w:r>
              <w:rPr>
                <w:rStyle w:val="10"/>
                <w:rFonts w:hint="eastAsia"/>
              </w:rPr>
              <w:t>备注：</w:t>
            </w:r>
          </w:p>
        </w:tc>
      </w:tr>
    </w:tbl>
    <w:p w14:paraId="0AC03B7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112B60E">
        <w:tblPrEx>
          <w:tblCellMar>
            <w:top w:w="0" w:type="dxa"/>
            <w:left w:w="0" w:type="dxa"/>
            <w:bottom w:w="0" w:type="dxa"/>
            <w:right w:w="0" w:type="dxa"/>
          </w:tblCellMar>
        </w:tblPrEx>
        <w:trPr>
          <w:wBefore w:w="0" w:type="auto"/>
          <w:tblCellSpacing w:w="0" w:type="dxa"/>
        </w:trPr>
        <w:tc>
          <w:tcPr>
            <w:tcW w:w="0" w:type="auto"/>
            <w:noWrap w:val="0"/>
            <w:vAlign w:val="center"/>
          </w:tcPr>
          <w:p w14:paraId="6DA7CF10">
            <w:r>
              <w:rPr>
                <w:rStyle w:val="10"/>
                <w:rFonts w:hint="eastAsia"/>
              </w:rPr>
              <w:t>登记证号：</w:t>
            </w:r>
            <w:r>
              <w:rPr>
                <w:rFonts w:hint="eastAsia"/>
              </w:rPr>
              <w:t>PD20212284</w:t>
            </w:r>
          </w:p>
        </w:tc>
      </w:tr>
      <w:tr w14:paraId="3BEA6855">
        <w:tblPrEx>
          <w:tblCellMar>
            <w:top w:w="0" w:type="dxa"/>
            <w:left w:w="0" w:type="dxa"/>
            <w:bottom w:w="0" w:type="dxa"/>
            <w:right w:w="0" w:type="dxa"/>
          </w:tblCellMar>
        </w:tblPrEx>
        <w:trPr>
          <w:wBefore w:w="0" w:type="auto"/>
          <w:tblCellSpacing w:w="0" w:type="dxa"/>
        </w:trPr>
        <w:tc>
          <w:tcPr>
            <w:tcW w:w="0" w:type="auto"/>
            <w:noWrap w:val="0"/>
            <w:vAlign w:val="center"/>
          </w:tcPr>
          <w:p w14:paraId="276FCD5F">
            <w:r>
              <w:rPr>
                <w:rStyle w:val="10"/>
                <w:rFonts w:hint="eastAsia"/>
              </w:rPr>
              <w:t>登记证持有人：</w:t>
            </w:r>
            <w:r>
              <w:rPr>
                <w:rFonts w:hint="eastAsia"/>
              </w:rPr>
              <w:t>安徽美兰农业发展股份有限公司</w:t>
            </w:r>
          </w:p>
        </w:tc>
      </w:tr>
      <w:tr w14:paraId="04397112">
        <w:tblPrEx>
          <w:tblCellMar>
            <w:top w:w="0" w:type="dxa"/>
            <w:left w:w="0" w:type="dxa"/>
            <w:bottom w:w="0" w:type="dxa"/>
            <w:right w:w="0" w:type="dxa"/>
          </w:tblCellMar>
        </w:tblPrEx>
        <w:trPr>
          <w:wBefore w:w="0" w:type="auto"/>
          <w:tblCellSpacing w:w="0" w:type="dxa"/>
        </w:trPr>
        <w:tc>
          <w:tcPr>
            <w:tcW w:w="0" w:type="auto"/>
            <w:noWrap w:val="0"/>
            <w:vAlign w:val="center"/>
          </w:tcPr>
          <w:p w14:paraId="0683BC2D">
            <w:r>
              <w:rPr>
                <w:rStyle w:val="10"/>
                <w:rFonts w:hint="eastAsia"/>
              </w:rPr>
              <w:t>农药名称：</w:t>
            </w:r>
            <w:r>
              <w:rPr>
                <w:rFonts w:hint="eastAsia"/>
              </w:rPr>
              <w:t>氯吡酯·唑啉草</w:t>
            </w:r>
          </w:p>
        </w:tc>
      </w:tr>
      <w:tr w14:paraId="6642AC1A">
        <w:tblPrEx>
          <w:tblCellMar>
            <w:top w:w="0" w:type="dxa"/>
            <w:left w:w="0" w:type="dxa"/>
            <w:bottom w:w="0" w:type="dxa"/>
            <w:right w:w="0" w:type="dxa"/>
          </w:tblCellMar>
        </w:tblPrEx>
        <w:trPr>
          <w:wBefore w:w="0" w:type="auto"/>
          <w:tblCellSpacing w:w="0" w:type="dxa"/>
        </w:trPr>
        <w:tc>
          <w:tcPr>
            <w:tcW w:w="0" w:type="auto"/>
            <w:noWrap w:val="0"/>
            <w:vAlign w:val="center"/>
          </w:tcPr>
          <w:p w14:paraId="7F0A0AF4">
            <w:r>
              <w:rPr>
                <w:rStyle w:val="10"/>
                <w:rFonts w:hint="eastAsia"/>
              </w:rPr>
              <w:t>剂型：</w:t>
            </w:r>
            <w:r>
              <w:rPr>
                <w:rFonts w:hint="eastAsia"/>
              </w:rPr>
              <w:t>乳油</w:t>
            </w:r>
          </w:p>
        </w:tc>
      </w:tr>
      <w:tr w14:paraId="1478B51F">
        <w:tblPrEx>
          <w:tblCellMar>
            <w:top w:w="0" w:type="dxa"/>
            <w:left w:w="0" w:type="dxa"/>
            <w:bottom w:w="0" w:type="dxa"/>
            <w:right w:w="0" w:type="dxa"/>
          </w:tblCellMar>
        </w:tblPrEx>
        <w:trPr>
          <w:wBefore w:w="0" w:type="auto"/>
          <w:tblCellSpacing w:w="0" w:type="dxa"/>
        </w:trPr>
        <w:tc>
          <w:tcPr>
            <w:tcW w:w="0" w:type="auto"/>
            <w:noWrap w:val="0"/>
            <w:vAlign w:val="center"/>
          </w:tcPr>
          <w:p w14:paraId="7155148A">
            <w:r>
              <w:rPr>
                <w:rStyle w:val="10"/>
                <w:rFonts w:hint="eastAsia"/>
              </w:rPr>
              <w:t>毒性及其标识：</w:t>
            </w:r>
            <w:r>
              <w:rPr>
                <w:rFonts w:hint="eastAsia"/>
              </w:rPr>
              <w:t xml:space="preserve"> </w:t>
            </w:r>
            <w:r>
              <w:rPr>
                <w:lang/>
              </w:rPr>
              <w:drawing>
                <wp:inline distT="0" distB="0" distL="114300" distR="114300">
                  <wp:extent cx="476250" cy="323850"/>
                  <wp:effectExtent l="0" t="0" r="0" b="0"/>
                  <wp:docPr id="67" name="图片 6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1998FBC">
        <w:tblPrEx>
          <w:tblCellMar>
            <w:top w:w="0" w:type="dxa"/>
            <w:left w:w="0" w:type="dxa"/>
            <w:bottom w:w="0" w:type="dxa"/>
            <w:right w:w="0" w:type="dxa"/>
          </w:tblCellMar>
        </w:tblPrEx>
        <w:trPr>
          <w:wBefore w:w="0" w:type="auto"/>
          <w:tblCellSpacing w:w="0" w:type="dxa"/>
        </w:trPr>
        <w:tc>
          <w:tcPr>
            <w:tcW w:w="0" w:type="auto"/>
            <w:noWrap w:val="0"/>
            <w:vAlign w:val="center"/>
          </w:tcPr>
          <w:p w14:paraId="345FEBA8">
            <w:r>
              <w:rPr>
                <w:rStyle w:val="10"/>
                <w:rFonts w:hint="eastAsia"/>
              </w:rPr>
              <w:t>总有效成分含量：</w:t>
            </w:r>
            <w:r>
              <w:rPr>
                <w:rFonts w:hint="eastAsia"/>
              </w:rPr>
              <w:t>25%</w:t>
            </w:r>
          </w:p>
        </w:tc>
      </w:tr>
      <w:tr w14:paraId="6555168F">
        <w:tblPrEx>
          <w:tblCellMar>
            <w:top w:w="0" w:type="dxa"/>
            <w:left w:w="0" w:type="dxa"/>
            <w:bottom w:w="0" w:type="dxa"/>
            <w:right w:w="0" w:type="dxa"/>
          </w:tblCellMar>
        </w:tblPrEx>
        <w:trPr>
          <w:wBefore w:w="0" w:type="auto"/>
          <w:tblCellSpacing w:w="0" w:type="dxa"/>
        </w:trPr>
        <w:tc>
          <w:tcPr>
            <w:tcW w:w="0" w:type="auto"/>
            <w:noWrap w:val="0"/>
            <w:vAlign w:val="center"/>
          </w:tcPr>
          <w:p w14:paraId="1017245B">
            <w:r>
              <w:rPr>
                <w:rFonts w:hint="eastAsia"/>
              </w:rPr>
              <w:t xml:space="preserve">有效成分及其含量： </w:t>
            </w:r>
          </w:p>
          <w:p w14:paraId="70A31234">
            <w:r>
              <w:rPr>
                <w:rFonts w:hint="eastAsia"/>
              </w:rPr>
              <w:t xml:space="preserve">    唑啉草酯5%    氯氟吡氧乙酸异辛酯20%    </w:t>
            </w:r>
          </w:p>
        </w:tc>
      </w:tr>
      <w:tr w14:paraId="434EEA52">
        <w:tblPrEx>
          <w:tblCellMar>
            <w:top w:w="0" w:type="dxa"/>
            <w:left w:w="0" w:type="dxa"/>
            <w:bottom w:w="0" w:type="dxa"/>
            <w:right w:w="0" w:type="dxa"/>
          </w:tblCellMar>
        </w:tblPrEx>
        <w:trPr>
          <w:wBefore w:w="0" w:type="auto"/>
          <w:tblCellSpacing w:w="0" w:type="dxa"/>
        </w:trPr>
        <w:tc>
          <w:tcPr>
            <w:tcW w:w="0" w:type="auto"/>
            <w:noWrap w:val="0"/>
            <w:vAlign w:val="center"/>
          </w:tcPr>
          <w:p w14:paraId="35369C4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9432D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9FC137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D32E39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8E72C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4BD49BC">
                  <w:r>
                    <w:rPr>
                      <w:rStyle w:val="11"/>
                      <w:rFonts w:hint="eastAsia"/>
                    </w:rPr>
                    <w:t>施用方式</w:t>
                  </w:r>
                </w:p>
              </w:tc>
            </w:tr>
            <w:tr w14:paraId="0BDAD3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142F98B">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2F1546">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1D2C77">
                  <w:r>
                    <w:rPr>
                      <w:rStyle w:val="11"/>
                      <w:rFonts w:hint="eastAsia"/>
                    </w:rPr>
                    <w:t>40-60毫升/亩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6AAC89">
                  <w:r>
                    <w:rPr>
                      <w:rStyle w:val="11"/>
                      <w:rFonts w:hint="eastAsia"/>
                    </w:rPr>
                    <w:t>茎叶喷雾</w:t>
                  </w:r>
                </w:p>
              </w:tc>
            </w:tr>
          </w:tbl>
          <w:p w14:paraId="2F52687D">
            <w:pPr>
              <w:rPr>
                <w:rFonts w:ascii="Times New Roman" w:hAnsi="Times New Roman" w:cs="Times New Roman"/>
                <w:sz w:val="20"/>
                <w:szCs w:val="20"/>
              </w:rPr>
            </w:pPr>
          </w:p>
        </w:tc>
      </w:tr>
      <w:tr w14:paraId="7D321D83">
        <w:tblPrEx>
          <w:tblCellMar>
            <w:top w:w="0" w:type="dxa"/>
            <w:left w:w="0" w:type="dxa"/>
            <w:bottom w:w="0" w:type="dxa"/>
            <w:right w:w="0" w:type="dxa"/>
          </w:tblCellMar>
        </w:tblPrEx>
        <w:trPr>
          <w:wBefore w:w="0" w:type="auto"/>
          <w:tblCellSpacing w:w="0" w:type="dxa"/>
        </w:trPr>
        <w:tc>
          <w:tcPr>
            <w:tcW w:w="0" w:type="auto"/>
            <w:noWrap w:val="0"/>
            <w:vAlign w:val="center"/>
          </w:tcPr>
          <w:p w14:paraId="0BAD7A7D">
            <w:r>
              <w:rPr>
                <w:rStyle w:val="10"/>
                <w:rFonts w:hint="eastAsia"/>
              </w:rPr>
              <w:t>使用技术要求:</w:t>
            </w:r>
            <w:r>
              <w:rPr>
                <w:rFonts w:hint="eastAsia"/>
              </w:rPr>
              <w:br w:type="textWrapping"/>
            </w:r>
            <w:r>
              <w:rPr>
                <w:rStyle w:val="11"/>
                <w:rFonts w:hint="eastAsia"/>
              </w:rPr>
              <w:t>1. 冬小麦返青后拔节前，杂草2-5叶期进行茎叶喷雾1次。2. 大风天或预计1小时内降雨，请勿施药。3. 每季作物最多使用1次。</w:t>
            </w:r>
          </w:p>
        </w:tc>
      </w:tr>
      <w:tr w14:paraId="08B82379">
        <w:tblPrEx>
          <w:tblCellMar>
            <w:top w:w="0" w:type="dxa"/>
            <w:left w:w="0" w:type="dxa"/>
            <w:bottom w:w="0" w:type="dxa"/>
            <w:right w:w="0" w:type="dxa"/>
          </w:tblCellMar>
        </w:tblPrEx>
        <w:trPr>
          <w:wBefore w:w="0" w:type="auto"/>
          <w:tblCellSpacing w:w="0" w:type="dxa"/>
        </w:trPr>
        <w:tc>
          <w:tcPr>
            <w:tcW w:w="0" w:type="auto"/>
            <w:noWrap w:val="0"/>
            <w:vAlign w:val="center"/>
          </w:tcPr>
          <w:p w14:paraId="3F49D26B">
            <w:r>
              <w:rPr>
                <w:rStyle w:val="10"/>
                <w:rFonts w:hint="eastAsia"/>
              </w:rPr>
              <w:t>产品性能:</w:t>
            </w:r>
            <w:r>
              <w:rPr>
                <w:rFonts w:hint="eastAsia"/>
              </w:rPr>
              <w:br w:type="textWrapping"/>
            </w:r>
            <w:r>
              <w:rPr>
                <w:rStyle w:val="11"/>
                <w:rFonts w:hint="eastAsia"/>
              </w:rPr>
              <w:t>本品为唑啉草酯和氯氟吡氧乙酸异辛酯的混配制剂，具有很强的内吸性，能够在植物体内传导，主要用于冬小麦田防除一年生杂草，可防除千金子、稗草、野燕麦、看麦娘、狗尾草等大多数一年生杂草。</w:t>
            </w:r>
          </w:p>
        </w:tc>
      </w:tr>
      <w:tr w14:paraId="6651B8DF">
        <w:tblPrEx>
          <w:tblCellMar>
            <w:top w:w="0" w:type="dxa"/>
            <w:left w:w="0" w:type="dxa"/>
            <w:bottom w:w="0" w:type="dxa"/>
            <w:right w:w="0" w:type="dxa"/>
          </w:tblCellMar>
        </w:tblPrEx>
        <w:trPr>
          <w:wBefore w:w="0" w:type="auto"/>
          <w:tblCellSpacing w:w="0" w:type="dxa"/>
        </w:trPr>
        <w:tc>
          <w:tcPr>
            <w:tcW w:w="0" w:type="auto"/>
            <w:noWrap w:val="0"/>
            <w:vAlign w:val="center"/>
          </w:tcPr>
          <w:p w14:paraId="40B53DA5">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吸入药液；施药期间不可吃东西、饮水、吸烟等；施药后应及时冲洗手、脸及裸露部位，并更换和清洗工作服。2. 远离水产养殖区、河塘等水体施药，应避免药液流入河塘等水体中，禁止在河塘等水域清洗施药器具，避免污染水源。鱼和虾蟹套养稻田禁用，施药后的田水不得直接排入水体。3. 施用时若周围有桑园，最外围桑树为隔离带，不能用于饲养家蚕，蚕室及桑园附近禁用。4. 用过的容器应妥善处理，不可作他用，也不可随意丢弃。5. 孕妇及哺乳期妇女禁止接触。</w:t>
            </w:r>
          </w:p>
        </w:tc>
      </w:tr>
      <w:tr w14:paraId="1EEBDC46">
        <w:tblPrEx>
          <w:tblCellMar>
            <w:top w:w="0" w:type="dxa"/>
            <w:left w:w="0" w:type="dxa"/>
            <w:bottom w:w="0" w:type="dxa"/>
            <w:right w:w="0" w:type="dxa"/>
          </w:tblCellMar>
        </w:tblPrEx>
        <w:trPr>
          <w:wBefore w:w="0" w:type="auto"/>
          <w:tblCellSpacing w:w="0" w:type="dxa"/>
        </w:trPr>
        <w:tc>
          <w:tcPr>
            <w:tcW w:w="0" w:type="auto"/>
            <w:noWrap w:val="0"/>
            <w:vAlign w:val="center"/>
          </w:tcPr>
          <w:p w14:paraId="2EBF499D">
            <w:r>
              <w:rPr>
                <w:rStyle w:val="10"/>
                <w:rFonts w:hint="eastAsia"/>
              </w:rPr>
              <w:t>中毒急救措施：</w:t>
            </w:r>
            <w:r>
              <w:rPr>
                <w:rFonts w:hint="eastAsia"/>
              </w:rPr>
              <w:br w:type="textWrapping"/>
            </w:r>
            <w:r>
              <w:rPr>
                <w:rStyle w:val="11"/>
                <w:rFonts w:hint="eastAsia"/>
              </w:rPr>
              <w:t>1. 皮肤接触：立即脱掉被污染的衣物，用大量清水和肥皂冲洗皮肤。 2. 眼睛溅入：立即用流动清水冲洗不少于15分钟。如症状持续，携此标签去医院诊治。3. 不慎吸入：立即将吸入者移至空气流通处，请医生诊治。4. 误食：勿引吐，立即携此标签送医就诊，对症治疗，无特效解毒药。</w:t>
            </w:r>
          </w:p>
        </w:tc>
      </w:tr>
      <w:tr w14:paraId="33E45C47">
        <w:tblPrEx>
          <w:tblCellMar>
            <w:top w:w="0" w:type="dxa"/>
            <w:left w:w="0" w:type="dxa"/>
            <w:bottom w:w="0" w:type="dxa"/>
            <w:right w:w="0" w:type="dxa"/>
          </w:tblCellMar>
        </w:tblPrEx>
        <w:trPr>
          <w:wBefore w:w="0" w:type="auto"/>
          <w:tblCellSpacing w:w="0" w:type="dxa"/>
        </w:trPr>
        <w:tc>
          <w:tcPr>
            <w:tcW w:w="0" w:type="auto"/>
            <w:noWrap w:val="0"/>
            <w:vAlign w:val="center"/>
          </w:tcPr>
          <w:p w14:paraId="3897725C">
            <w:r>
              <w:rPr>
                <w:rStyle w:val="10"/>
                <w:rFonts w:hint="eastAsia"/>
              </w:rPr>
              <w:t>储存和运输方法：</w:t>
            </w:r>
            <w:r>
              <w:rPr>
                <w:rFonts w:hint="eastAsia"/>
              </w:rPr>
              <w:br w:type="textWrapping"/>
            </w:r>
            <w:r>
              <w:rPr>
                <w:rStyle w:val="11"/>
                <w:rFonts w:hint="eastAsia"/>
              </w:rPr>
              <w:t>本品属易燃液体，应贮存在干燥、阴凉、通风处，远离火源或热源。置于儿童、无关人员接触不到的地方，并加锁保存。不能与食品、饮料、粮食、饲料等其他商品同贮同运。</w:t>
            </w:r>
          </w:p>
        </w:tc>
      </w:tr>
      <w:tr w14:paraId="2C6A94D2">
        <w:tblPrEx>
          <w:tblCellMar>
            <w:top w:w="0" w:type="dxa"/>
            <w:left w:w="0" w:type="dxa"/>
            <w:bottom w:w="0" w:type="dxa"/>
            <w:right w:w="0" w:type="dxa"/>
          </w:tblCellMar>
        </w:tblPrEx>
        <w:trPr>
          <w:wBefore w:w="0" w:type="auto"/>
          <w:tblCellSpacing w:w="0" w:type="dxa"/>
        </w:trPr>
        <w:tc>
          <w:tcPr>
            <w:tcW w:w="0" w:type="auto"/>
            <w:noWrap w:val="0"/>
            <w:vAlign w:val="center"/>
          </w:tcPr>
          <w:p w14:paraId="45412C64">
            <w:r>
              <w:rPr>
                <w:rStyle w:val="10"/>
                <w:rFonts w:hint="eastAsia"/>
              </w:rPr>
              <w:t>质量保证期：</w:t>
            </w:r>
            <w:r>
              <w:rPr>
                <w:rStyle w:val="11"/>
                <w:rFonts w:hint="eastAsia"/>
              </w:rPr>
              <w:t>2年</w:t>
            </w:r>
          </w:p>
        </w:tc>
      </w:tr>
      <w:tr w14:paraId="193E937E">
        <w:tblPrEx>
          <w:tblCellMar>
            <w:top w:w="0" w:type="dxa"/>
            <w:left w:w="0" w:type="dxa"/>
            <w:bottom w:w="0" w:type="dxa"/>
            <w:right w:w="0" w:type="dxa"/>
          </w:tblCellMar>
        </w:tblPrEx>
        <w:trPr>
          <w:wBefore w:w="0" w:type="auto"/>
          <w:tblCellSpacing w:w="0" w:type="dxa"/>
        </w:trPr>
        <w:tc>
          <w:tcPr>
            <w:tcW w:w="0" w:type="auto"/>
            <w:noWrap w:val="0"/>
            <w:vAlign w:val="center"/>
          </w:tcPr>
          <w:p w14:paraId="0BF23337">
            <w:r>
              <w:rPr>
                <w:rStyle w:val="10"/>
                <w:rFonts w:hint="eastAsia"/>
              </w:rPr>
              <w:t>备注：</w:t>
            </w:r>
          </w:p>
        </w:tc>
      </w:tr>
    </w:tbl>
    <w:p w14:paraId="6E41C5C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F1241A4">
        <w:tblPrEx>
          <w:tblCellMar>
            <w:top w:w="0" w:type="dxa"/>
            <w:left w:w="0" w:type="dxa"/>
            <w:bottom w:w="0" w:type="dxa"/>
            <w:right w:w="0" w:type="dxa"/>
          </w:tblCellMar>
        </w:tblPrEx>
        <w:trPr>
          <w:wBefore w:w="0" w:type="auto"/>
          <w:tblCellSpacing w:w="0" w:type="dxa"/>
        </w:trPr>
        <w:tc>
          <w:tcPr>
            <w:tcW w:w="0" w:type="auto"/>
            <w:noWrap w:val="0"/>
            <w:vAlign w:val="center"/>
          </w:tcPr>
          <w:p w14:paraId="10B4143B">
            <w:r>
              <w:rPr>
                <w:rStyle w:val="10"/>
                <w:rFonts w:hint="eastAsia"/>
              </w:rPr>
              <w:t>登记证号：</w:t>
            </w:r>
            <w:r>
              <w:rPr>
                <w:rFonts w:hint="eastAsia"/>
              </w:rPr>
              <w:t>PD20211863</w:t>
            </w:r>
          </w:p>
        </w:tc>
      </w:tr>
      <w:tr w14:paraId="5B265EAE">
        <w:tblPrEx>
          <w:tblCellMar>
            <w:top w:w="0" w:type="dxa"/>
            <w:left w:w="0" w:type="dxa"/>
            <w:bottom w:w="0" w:type="dxa"/>
            <w:right w:w="0" w:type="dxa"/>
          </w:tblCellMar>
        </w:tblPrEx>
        <w:trPr>
          <w:wBefore w:w="0" w:type="auto"/>
          <w:tblCellSpacing w:w="0" w:type="dxa"/>
        </w:trPr>
        <w:tc>
          <w:tcPr>
            <w:tcW w:w="0" w:type="auto"/>
            <w:noWrap w:val="0"/>
            <w:vAlign w:val="center"/>
          </w:tcPr>
          <w:p w14:paraId="29271612">
            <w:r>
              <w:rPr>
                <w:rStyle w:val="10"/>
                <w:rFonts w:hint="eastAsia"/>
              </w:rPr>
              <w:t>登记证持有人：</w:t>
            </w:r>
            <w:r>
              <w:rPr>
                <w:rFonts w:hint="eastAsia"/>
              </w:rPr>
              <w:t>南京保丰农药有限公司</w:t>
            </w:r>
          </w:p>
        </w:tc>
      </w:tr>
      <w:tr w14:paraId="591C5B77">
        <w:tblPrEx>
          <w:tblCellMar>
            <w:top w:w="0" w:type="dxa"/>
            <w:left w:w="0" w:type="dxa"/>
            <w:bottom w:w="0" w:type="dxa"/>
            <w:right w:w="0" w:type="dxa"/>
          </w:tblCellMar>
        </w:tblPrEx>
        <w:trPr>
          <w:wBefore w:w="0" w:type="auto"/>
          <w:tblCellSpacing w:w="0" w:type="dxa"/>
        </w:trPr>
        <w:tc>
          <w:tcPr>
            <w:tcW w:w="0" w:type="auto"/>
            <w:noWrap w:val="0"/>
            <w:vAlign w:val="center"/>
          </w:tcPr>
          <w:p w14:paraId="51B658B4">
            <w:r>
              <w:rPr>
                <w:rStyle w:val="10"/>
                <w:rFonts w:hint="eastAsia"/>
              </w:rPr>
              <w:t>农药名称：</w:t>
            </w:r>
            <w:r>
              <w:rPr>
                <w:rFonts w:hint="eastAsia"/>
              </w:rPr>
              <w:t>甲氨基阿维菌素苯甲酸盐</w:t>
            </w:r>
          </w:p>
        </w:tc>
      </w:tr>
      <w:tr w14:paraId="49ABE257">
        <w:tblPrEx>
          <w:tblCellMar>
            <w:top w:w="0" w:type="dxa"/>
            <w:left w:w="0" w:type="dxa"/>
            <w:bottom w:w="0" w:type="dxa"/>
            <w:right w:w="0" w:type="dxa"/>
          </w:tblCellMar>
        </w:tblPrEx>
        <w:trPr>
          <w:wBefore w:w="0" w:type="auto"/>
          <w:tblCellSpacing w:w="0" w:type="dxa"/>
        </w:trPr>
        <w:tc>
          <w:tcPr>
            <w:tcW w:w="0" w:type="auto"/>
            <w:noWrap w:val="0"/>
            <w:vAlign w:val="center"/>
          </w:tcPr>
          <w:p w14:paraId="40AEF64C">
            <w:r>
              <w:rPr>
                <w:rStyle w:val="10"/>
                <w:rFonts w:hint="eastAsia"/>
              </w:rPr>
              <w:t>剂型：</w:t>
            </w:r>
            <w:r>
              <w:rPr>
                <w:rFonts w:hint="eastAsia"/>
              </w:rPr>
              <w:t>悬浮剂</w:t>
            </w:r>
          </w:p>
        </w:tc>
      </w:tr>
      <w:tr w14:paraId="4E0E2B2F">
        <w:tblPrEx>
          <w:tblCellMar>
            <w:top w:w="0" w:type="dxa"/>
            <w:left w:w="0" w:type="dxa"/>
            <w:bottom w:w="0" w:type="dxa"/>
            <w:right w:w="0" w:type="dxa"/>
          </w:tblCellMar>
        </w:tblPrEx>
        <w:trPr>
          <w:wBefore w:w="0" w:type="auto"/>
          <w:tblCellSpacing w:w="0" w:type="dxa"/>
        </w:trPr>
        <w:tc>
          <w:tcPr>
            <w:tcW w:w="0" w:type="auto"/>
            <w:noWrap w:val="0"/>
            <w:vAlign w:val="center"/>
          </w:tcPr>
          <w:p w14:paraId="7AEA40B3">
            <w:r>
              <w:rPr>
                <w:rStyle w:val="10"/>
                <w:rFonts w:hint="eastAsia"/>
              </w:rPr>
              <w:t>毒性及其标识：</w:t>
            </w:r>
            <w:r>
              <w:rPr>
                <w:rFonts w:hint="eastAsia"/>
              </w:rPr>
              <w:t xml:space="preserve"> </w:t>
            </w:r>
            <w:r>
              <w:rPr>
                <w:lang/>
              </w:rPr>
              <w:drawing>
                <wp:inline distT="0" distB="0" distL="114300" distR="114300">
                  <wp:extent cx="476250" cy="323850"/>
                  <wp:effectExtent l="0" t="0" r="0" b="0"/>
                  <wp:docPr id="68" name="图片 6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3412AD2">
        <w:tblPrEx>
          <w:tblCellMar>
            <w:top w:w="0" w:type="dxa"/>
            <w:left w:w="0" w:type="dxa"/>
            <w:bottom w:w="0" w:type="dxa"/>
            <w:right w:w="0" w:type="dxa"/>
          </w:tblCellMar>
        </w:tblPrEx>
        <w:trPr>
          <w:wBefore w:w="0" w:type="auto"/>
          <w:tblCellSpacing w:w="0" w:type="dxa"/>
        </w:trPr>
        <w:tc>
          <w:tcPr>
            <w:tcW w:w="0" w:type="auto"/>
            <w:noWrap w:val="0"/>
            <w:vAlign w:val="center"/>
          </w:tcPr>
          <w:p w14:paraId="78D20D6D">
            <w:r>
              <w:rPr>
                <w:rStyle w:val="10"/>
                <w:rFonts w:hint="eastAsia"/>
              </w:rPr>
              <w:t>总有效成分含量：</w:t>
            </w:r>
            <w:r>
              <w:rPr>
                <w:rFonts w:hint="eastAsia"/>
              </w:rPr>
              <w:t>5%</w:t>
            </w:r>
          </w:p>
        </w:tc>
      </w:tr>
      <w:tr w14:paraId="04E022DF">
        <w:tblPrEx>
          <w:tblCellMar>
            <w:top w:w="0" w:type="dxa"/>
            <w:left w:w="0" w:type="dxa"/>
            <w:bottom w:w="0" w:type="dxa"/>
            <w:right w:w="0" w:type="dxa"/>
          </w:tblCellMar>
        </w:tblPrEx>
        <w:trPr>
          <w:wBefore w:w="0" w:type="auto"/>
          <w:tblCellSpacing w:w="0" w:type="dxa"/>
        </w:trPr>
        <w:tc>
          <w:tcPr>
            <w:tcW w:w="0" w:type="auto"/>
            <w:noWrap w:val="0"/>
            <w:vAlign w:val="center"/>
          </w:tcPr>
          <w:p w14:paraId="4851F6E1">
            <w:r>
              <w:rPr>
                <w:rFonts w:hint="eastAsia"/>
              </w:rPr>
              <w:t xml:space="preserve">有效成分及其含量： </w:t>
            </w:r>
          </w:p>
          <w:p w14:paraId="004F6A13">
            <w:r>
              <w:rPr>
                <w:rFonts w:hint="eastAsia"/>
              </w:rPr>
              <w:t xml:space="preserve">    甲氨基阿维菌素5%    </w:t>
            </w:r>
          </w:p>
        </w:tc>
      </w:tr>
      <w:tr w14:paraId="1C8F8EB5">
        <w:tblPrEx>
          <w:tblCellMar>
            <w:top w:w="0" w:type="dxa"/>
            <w:left w:w="0" w:type="dxa"/>
            <w:bottom w:w="0" w:type="dxa"/>
            <w:right w:w="0" w:type="dxa"/>
          </w:tblCellMar>
        </w:tblPrEx>
        <w:trPr>
          <w:wBefore w:w="0" w:type="auto"/>
          <w:tblCellSpacing w:w="0" w:type="dxa"/>
        </w:trPr>
        <w:tc>
          <w:tcPr>
            <w:tcW w:w="0" w:type="auto"/>
            <w:noWrap w:val="0"/>
            <w:vAlign w:val="center"/>
          </w:tcPr>
          <w:p w14:paraId="63AF16C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8A745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8C142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1F3B11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22A9D7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75F6C9">
                  <w:r>
                    <w:rPr>
                      <w:rStyle w:val="11"/>
                      <w:rFonts w:hint="eastAsia"/>
                    </w:rPr>
                    <w:t>施用方式</w:t>
                  </w:r>
                </w:p>
              </w:tc>
            </w:tr>
            <w:tr w14:paraId="4EF76B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B2E1BCE">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74EC80">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2970C8">
                  <w:r>
                    <w:rPr>
                      <w:rStyle w:val="11"/>
                      <w:rFonts w:hint="eastAsia"/>
                    </w:rPr>
                    <w:t>10-20毫升/亩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41A66E">
                  <w:r>
                    <w:rPr>
                      <w:rStyle w:val="11"/>
                      <w:rFonts w:hint="eastAsia"/>
                    </w:rPr>
                    <w:t>喷雾</w:t>
                  </w:r>
                </w:p>
              </w:tc>
            </w:tr>
          </w:tbl>
          <w:p w14:paraId="57C636ED">
            <w:pPr>
              <w:rPr>
                <w:rFonts w:ascii="Times New Roman" w:hAnsi="Times New Roman" w:cs="Times New Roman"/>
                <w:sz w:val="20"/>
                <w:szCs w:val="20"/>
              </w:rPr>
            </w:pPr>
          </w:p>
        </w:tc>
      </w:tr>
      <w:tr w14:paraId="537CFA98">
        <w:tblPrEx>
          <w:tblCellMar>
            <w:top w:w="0" w:type="dxa"/>
            <w:left w:w="0" w:type="dxa"/>
            <w:bottom w:w="0" w:type="dxa"/>
            <w:right w:w="0" w:type="dxa"/>
          </w:tblCellMar>
        </w:tblPrEx>
        <w:trPr>
          <w:wBefore w:w="0" w:type="auto"/>
          <w:tblCellSpacing w:w="0" w:type="dxa"/>
        </w:trPr>
        <w:tc>
          <w:tcPr>
            <w:tcW w:w="0" w:type="auto"/>
            <w:noWrap w:val="0"/>
            <w:vAlign w:val="center"/>
          </w:tcPr>
          <w:p w14:paraId="6689AF90">
            <w:r>
              <w:rPr>
                <w:rStyle w:val="10"/>
                <w:rFonts w:hint="eastAsia"/>
              </w:rPr>
              <w:t>使用技术要求:</w:t>
            </w:r>
            <w:r>
              <w:rPr>
                <w:rFonts w:hint="eastAsia"/>
              </w:rPr>
              <w:br w:type="textWrapping"/>
            </w:r>
            <w:r>
              <w:rPr>
                <w:rStyle w:val="11"/>
                <w:rFonts w:hint="eastAsia"/>
              </w:rPr>
              <w:t>1、于水稻稻纵卷叶螟卵孵化盛期至低龄幼虫始盛期时施药，喷雾要均匀、周到，注意叶片正反面均需喷雾。2、大风天或预计1小时内降雨，请勿施药。3. 安全间隔期14天，每季作物最多可使用1次。</w:t>
            </w:r>
          </w:p>
        </w:tc>
      </w:tr>
      <w:tr w14:paraId="6965FF9E">
        <w:tblPrEx>
          <w:tblCellMar>
            <w:top w:w="0" w:type="dxa"/>
            <w:left w:w="0" w:type="dxa"/>
            <w:bottom w:w="0" w:type="dxa"/>
            <w:right w:w="0" w:type="dxa"/>
          </w:tblCellMar>
        </w:tblPrEx>
        <w:trPr>
          <w:wBefore w:w="0" w:type="auto"/>
          <w:tblCellSpacing w:w="0" w:type="dxa"/>
        </w:trPr>
        <w:tc>
          <w:tcPr>
            <w:tcW w:w="0" w:type="auto"/>
            <w:noWrap w:val="0"/>
            <w:vAlign w:val="center"/>
          </w:tcPr>
          <w:p w14:paraId="745A4C74">
            <w:r>
              <w:rPr>
                <w:rStyle w:val="10"/>
                <w:rFonts w:hint="eastAsia"/>
              </w:rPr>
              <w:t>产品性能:</w:t>
            </w:r>
            <w:r>
              <w:rPr>
                <w:rFonts w:hint="eastAsia"/>
              </w:rPr>
              <w:br w:type="textWrapping"/>
            </w:r>
            <w:r>
              <w:rPr>
                <w:rStyle w:val="11"/>
                <w:rFonts w:hint="eastAsia"/>
              </w:rPr>
              <w:t>本品是抗生素类杀虫剂，使用剂量少，毒性低。具有较强的胃毒作用并有触杀作用，同时能有效渗入叶片形成二次杀虫高峰，对水稻稻纵卷叶螟有较好防治效果。</w:t>
            </w:r>
          </w:p>
        </w:tc>
      </w:tr>
      <w:tr w14:paraId="0F2A270D">
        <w:tblPrEx>
          <w:tblCellMar>
            <w:top w:w="0" w:type="dxa"/>
            <w:left w:w="0" w:type="dxa"/>
            <w:bottom w:w="0" w:type="dxa"/>
            <w:right w:w="0" w:type="dxa"/>
          </w:tblCellMar>
        </w:tblPrEx>
        <w:trPr>
          <w:wBefore w:w="0" w:type="auto"/>
          <w:tblCellSpacing w:w="0" w:type="dxa"/>
        </w:trPr>
        <w:tc>
          <w:tcPr>
            <w:tcW w:w="0" w:type="auto"/>
            <w:noWrap w:val="0"/>
            <w:vAlign w:val="center"/>
          </w:tcPr>
          <w:p w14:paraId="47291F6E">
            <w:r>
              <w:rPr>
                <w:rStyle w:val="10"/>
                <w:rFonts w:hint="eastAsia"/>
              </w:rPr>
              <w:t>注意事项：</w:t>
            </w:r>
            <w:r>
              <w:rPr>
                <w:rFonts w:hint="eastAsia"/>
              </w:rPr>
              <w:br w:type="textWrapping"/>
            </w:r>
            <w:r>
              <w:rPr>
                <w:rStyle w:val="11"/>
                <w:rFonts w:hint="eastAsia"/>
              </w:rPr>
              <w:t>1.本品对眼睛有刺激性，使用时避免接触眼睛，穿戴长衣、长裤、帽子、口罩、护目镜、手套等安全防护措施，以避免污染皮肤和眼睛；施药完毕后应及时换洗衣物，洗净手、脸和被污染的皮肤。2.本品不可与呈碱性的农药等物质混合使用。建议与其它作用机制不同的杀虫剂轮换使用，以延缓抗性产生。 3.本品对鱼类等水生生物有毒，鱼或虾蟹套养稻田禁用；施药后的田水不得直接排入水体；水产养殖区、河塘等水体附近禁用，禁止在河塘等水域清洗施药器具。4.本品对蜜蜂、家蚕有毒，(周围)开花植物花期禁用，使用时应密切关注对附近蜂群的影响；蚕室及桑园附近禁用，施用农药3日前告知所在地及附近3000米以内的养蜂者。5.瓢虫等天敌放飞区域禁用。6.用过的容器应妥善处理，不可做他用，也不可随意丢弃。7.本品应应避免与氧化剂接触。8.孕妇及哺乳期妇女禁止接触本品。</w:t>
            </w:r>
          </w:p>
        </w:tc>
      </w:tr>
      <w:tr w14:paraId="20AF9A30">
        <w:tblPrEx>
          <w:tblCellMar>
            <w:top w:w="0" w:type="dxa"/>
            <w:left w:w="0" w:type="dxa"/>
            <w:bottom w:w="0" w:type="dxa"/>
            <w:right w:w="0" w:type="dxa"/>
          </w:tblCellMar>
        </w:tblPrEx>
        <w:trPr>
          <w:wBefore w:w="0" w:type="auto"/>
          <w:tblCellSpacing w:w="0" w:type="dxa"/>
        </w:trPr>
        <w:tc>
          <w:tcPr>
            <w:tcW w:w="0" w:type="auto"/>
            <w:noWrap w:val="0"/>
            <w:vAlign w:val="center"/>
          </w:tcPr>
          <w:p w14:paraId="62434273">
            <w:r>
              <w:rPr>
                <w:rStyle w:val="10"/>
                <w:rFonts w:hint="eastAsia"/>
              </w:rPr>
              <w:t>中毒急救措施：</w:t>
            </w:r>
            <w:r>
              <w:rPr>
                <w:rFonts w:hint="eastAsia"/>
              </w:rPr>
              <w:br w:type="textWrapping"/>
            </w:r>
            <w:r>
              <w:rPr>
                <w:rStyle w:val="11"/>
                <w:rFonts w:hint="eastAsia"/>
              </w:rPr>
              <w:t>中毒症状：早期症状为瞳孔放大，行动失调，肌肉颤抖，严重时导致呕吐。急救治疗：不慎吸入，应将病人移至空气流通处。不慎接触皮肤或溅入眼睛，应用大量清水冲洗至少15分钟。误服则应立即携带此标签将病人送医院诊治，立即引吐，并给患者服用吐根糖浆或麻黄素，但勿给昏迷患者催吐或灌任何东西。抢救时避免给患者使用增强γ－氨基丁酸活性的药物，如巴比妥、丙戊酸等。</w:t>
            </w:r>
          </w:p>
        </w:tc>
      </w:tr>
      <w:tr w14:paraId="7B52C870">
        <w:tblPrEx>
          <w:tblCellMar>
            <w:top w:w="0" w:type="dxa"/>
            <w:left w:w="0" w:type="dxa"/>
            <w:bottom w:w="0" w:type="dxa"/>
            <w:right w:w="0" w:type="dxa"/>
          </w:tblCellMar>
        </w:tblPrEx>
        <w:trPr>
          <w:wBefore w:w="0" w:type="auto"/>
          <w:tblCellSpacing w:w="0" w:type="dxa"/>
        </w:trPr>
        <w:tc>
          <w:tcPr>
            <w:tcW w:w="0" w:type="auto"/>
            <w:noWrap w:val="0"/>
            <w:vAlign w:val="center"/>
          </w:tcPr>
          <w:p w14:paraId="24C38433">
            <w:r>
              <w:rPr>
                <w:rStyle w:val="10"/>
                <w:rFonts w:hint="eastAsia"/>
              </w:rPr>
              <w:t>储存和运输方法：</w:t>
            </w:r>
            <w:r>
              <w:rPr>
                <w:rFonts w:hint="eastAsia"/>
              </w:rPr>
              <w:br w:type="textWrapping"/>
            </w:r>
            <w:r>
              <w:rPr>
                <w:rStyle w:val="11"/>
                <w:rFonts w:hint="eastAsia"/>
              </w:rPr>
              <w:t>本品贮存应注意阴凉、干燥、通风，远离热源、火源，不能与食品、饮料、粮食、饲料等物品同贮同运。远离儿童及家畜并加锁，以免误服。避免与皮肤、眼睛接触。装卸运输时注意检查包装是否密封完整，轻拿轻放，不可倒置。</w:t>
            </w:r>
          </w:p>
        </w:tc>
      </w:tr>
      <w:tr w14:paraId="212ECADC">
        <w:tblPrEx>
          <w:tblCellMar>
            <w:top w:w="0" w:type="dxa"/>
            <w:left w:w="0" w:type="dxa"/>
            <w:bottom w:w="0" w:type="dxa"/>
            <w:right w:w="0" w:type="dxa"/>
          </w:tblCellMar>
        </w:tblPrEx>
        <w:trPr>
          <w:wBefore w:w="0" w:type="auto"/>
          <w:tblCellSpacing w:w="0" w:type="dxa"/>
        </w:trPr>
        <w:tc>
          <w:tcPr>
            <w:tcW w:w="0" w:type="auto"/>
            <w:noWrap w:val="0"/>
            <w:vAlign w:val="center"/>
          </w:tcPr>
          <w:p w14:paraId="7CCFF4FE">
            <w:r>
              <w:rPr>
                <w:rStyle w:val="10"/>
                <w:rFonts w:hint="eastAsia"/>
              </w:rPr>
              <w:t>质量保证期：</w:t>
            </w:r>
            <w:r>
              <w:rPr>
                <w:rStyle w:val="11"/>
                <w:rFonts w:hint="eastAsia"/>
              </w:rPr>
              <w:t>2年</w:t>
            </w:r>
          </w:p>
        </w:tc>
      </w:tr>
      <w:tr w14:paraId="1F25317C">
        <w:tblPrEx>
          <w:tblCellMar>
            <w:top w:w="0" w:type="dxa"/>
            <w:left w:w="0" w:type="dxa"/>
            <w:bottom w:w="0" w:type="dxa"/>
            <w:right w:w="0" w:type="dxa"/>
          </w:tblCellMar>
        </w:tblPrEx>
        <w:trPr>
          <w:wBefore w:w="0" w:type="auto"/>
          <w:tblCellSpacing w:w="0" w:type="dxa"/>
        </w:trPr>
        <w:tc>
          <w:tcPr>
            <w:tcW w:w="0" w:type="auto"/>
            <w:noWrap w:val="0"/>
            <w:vAlign w:val="center"/>
          </w:tcPr>
          <w:p w14:paraId="14CA98A6">
            <w:r>
              <w:rPr>
                <w:rStyle w:val="10"/>
                <w:rFonts w:hint="eastAsia"/>
              </w:rPr>
              <w:t>备注：</w:t>
            </w:r>
            <w:r>
              <w:rPr>
                <w:rFonts w:hint="eastAsia"/>
              </w:rPr>
              <w:br w:type="textWrapping"/>
            </w:r>
            <w:r>
              <w:rPr>
                <w:rStyle w:val="11"/>
                <w:rFonts w:hint="eastAsia"/>
              </w:rPr>
              <w:t xml:space="preserve">甲氨基阿维菌素苯甲酸盐含量：5.7% </w:t>
            </w:r>
          </w:p>
        </w:tc>
      </w:tr>
    </w:tbl>
    <w:p w14:paraId="0AF6114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852AA74">
        <w:trPr>
          <w:wBefore w:w="0" w:type="auto"/>
          <w:tblCellSpacing w:w="0" w:type="dxa"/>
        </w:trPr>
        <w:tc>
          <w:tcPr>
            <w:tcW w:w="0" w:type="auto"/>
            <w:noWrap w:val="0"/>
            <w:vAlign w:val="center"/>
          </w:tcPr>
          <w:p w14:paraId="178FD8B3">
            <w:r>
              <w:rPr>
                <w:rStyle w:val="10"/>
                <w:rFonts w:hint="eastAsia"/>
              </w:rPr>
              <w:t>登记证号：</w:t>
            </w:r>
            <w:r>
              <w:rPr>
                <w:rFonts w:hint="eastAsia"/>
              </w:rPr>
              <w:t>PD20211883</w:t>
            </w:r>
          </w:p>
        </w:tc>
      </w:tr>
      <w:tr w14:paraId="18CCB45A">
        <w:tblPrEx>
          <w:tblCellMar>
            <w:top w:w="0" w:type="dxa"/>
            <w:left w:w="0" w:type="dxa"/>
            <w:bottom w:w="0" w:type="dxa"/>
            <w:right w:w="0" w:type="dxa"/>
          </w:tblCellMar>
        </w:tblPrEx>
        <w:trPr>
          <w:wBefore w:w="0" w:type="auto"/>
          <w:tblCellSpacing w:w="0" w:type="dxa"/>
        </w:trPr>
        <w:tc>
          <w:tcPr>
            <w:tcW w:w="0" w:type="auto"/>
            <w:noWrap w:val="0"/>
            <w:vAlign w:val="center"/>
          </w:tcPr>
          <w:p w14:paraId="7850233D">
            <w:r>
              <w:rPr>
                <w:rStyle w:val="10"/>
                <w:rFonts w:hint="eastAsia"/>
              </w:rPr>
              <w:t>登记证持有人：</w:t>
            </w:r>
            <w:r>
              <w:rPr>
                <w:rFonts w:hint="eastAsia"/>
              </w:rPr>
              <w:t>新沂市泰松化工有限公司</w:t>
            </w:r>
          </w:p>
        </w:tc>
      </w:tr>
      <w:tr w14:paraId="59EF5EF1">
        <w:tblPrEx>
          <w:tblCellMar>
            <w:top w:w="0" w:type="dxa"/>
            <w:left w:w="0" w:type="dxa"/>
            <w:bottom w:w="0" w:type="dxa"/>
            <w:right w:w="0" w:type="dxa"/>
          </w:tblCellMar>
        </w:tblPrEx>
        <w:trPr>
          <w:wBefore w:w="0" w:type="auto"/>
          <w:tblCellSpacing w:w="0" w:type="dxa"/>
        </w:trPr>
        <w:tc>
          <w:tcPr>
            <w:tcW w:w="0" w:type="auto"/>
            <w:noWrap w:val="0"/>
            <w:vAlign w:val="center"/>
          </w:tcPr>
          <w:p w14:paraId="195709F4">
            <w:r>
              <w:rPr>
                <w:rStyle w:val="10"/>
                <w:rFonts w:hint="eastAsia"/>
              </w:rPr>
              <w:t>农药名称：</w:t>
            </w:r>
            <w:r>
              <w:rPr>
                <w:rFonts w:hint="eastAsia"/>
              </w:rPr>
              <w:t>倍硫磷</w:t>
            </w:r>
          </w:p>
        </w:tc>
      </w:tr>
      <w:tr w14:paraId="60515552">
        <w:tblPrEx>
          <w:tblCellMar>
            <w:top w:w="0" w:type="dxa"/>
            <w:left w:w="0" w:type="dxa"/>
            <w:bottom w:w="0" w:type="dxa"/>
            <w:right w:w="0" w:type="dxa"/>
          </w:tblCellMar>
        </w:tblPrEx>
        <w:trPr>
          <w:wBefore w:w="0" w:type="auto"/>
          <w:tblCellSpacing w:w="0" w:type="dxa"/>
        </w:trPr>
        <w:tc>
          <w:tcPr>
            <w:tcW w:w="0" w:type="auto"/>
            <w:noWrap w:val="0"/>
            <w:vAlign w:val="center"/>
          </w:tcPr>
          <w:p w14:paraId="265D41D1">
            <w:r>
              <w:rPr>
                <w:rStyle w:val="10"/>
                <w:rFonts w:hint="eastAsia"/>
              </w:rPr>
              <w:t>剂型：</w:t>
            </w:r>
            <w:r>
              <w:rPr>
                <w:rFonts w:hint="eastAsia"/>
              </w:rPr>
              <w:t>乳油</w:t>
            </w:r>
          </w:p>
        </w:tc>
      </w:tr>
      <w:tr w14:paraId="30B9F8BC">
        <w:tblPrEx>
          <w:tblCellMar>
            <w:top w:w="0" w:type="dxa"/>
            <w:left w:w="0" w:type="dxa"/>
            <w:bottom w:w="0" w:type="dxa"/>
            <w:right w:w="0" w:type="dxa"/>
          </w:tblCellMar>
        </w:tblPrEx>
        <w:trPr>
          <w:wBefore w:w="0" w:type="auto"/>
          <w:tblCellSpacing w:w="0" w:type="dxa"/>
        </w:trPr>
        <w:tc>
          <w:tcPr>
            <w:tcW w:w="0" w:type="auto"/>
            <w:noWrap w:val="0"/>
            <w:vAlign w:val="center"/>
          </w:tcPr>
          <w:p w14:paraId="5C50DA17">
            <w:r>
              <w:rPr>
                <w:rStyle w:val="10"/>
                <w:rFonts w:hint="eastAsia"/>
              </w:rPr>
              <w:t>毒性及其标识：</w:t>
            </w:r>
            <w:r>
              <w:rPr>
                <w:rFonts w:hint="eastAsia"/>
              </w:rPr>
              <w:t xml:space="preserve"> </w:t>
            </w:r>
            <w:r>
              <w:rPr>
                <w:lang/>
              </w:rPr>
              <w:drawing>
                <wp:inline distT="0" distB="0" distL="114300" distR="114300">
                  <wp:extent cx="476250" cy="323850"/>
                  <wp:effectExtent l="0" t="0" r="0" b="0"/>
                  <wp:docPr id="69" name="图片 6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74BBF30">
        <w:tblPrEx>
          <w:tblCellMar>
            <w:top w:w="0" w:type="dxa"/>
            <w:left w:w="0" w:type="dxa"/>
            <w:bottom w:w="0" w:type="dxa"/>
            <w:right w:w="0" w:type="dxa"/>
          </w:tblCellMar>
        </w:tblPrEx>
        <w:trPr>
          <w:wBefore w:w="0" w:type="auto"/>
          <w:tblCellSpacing w:w="0" w:type="dxa"/>
        </w:trPr>
        <w:tc>
          <w:tcPr>
            <w:tcW w:w="0" w:type="auto"/>
            <w:noWrap w:val="0"/>
            <w:vAlign w:val="center"/>
          </w:tcPr>
          <w:p w14:paraId="4B4687D1">
            <w:r>
              <w:rPr>
                <w:rStyle w:val="10"/>
                <w:rFonts w:hint="eastAsia"/>
              </w:rPr>
              <w:t>总有效成分含量：</w:t>
            </w:r>
            <w:r>
              <w:rPr>
                <w:rFonts w:hint="eastAsia"/>
              </w:rPr>
              <w:t>50%</w:t>
            </w:r>
          </w:p>
        </w:tc>
      </w:tr>
      <w:tr w14:paraId="7B036241">
        <w:tblPrEx>
          <w:tblCellMar>
            <w:top w:w="0" w:type="dxa"/>
            <w:left w:w="0" w:type="dxa"/>
            <w:bottom w:w="0" w:type="dxa"/>
            <w:right w:w="0" w:type="dxa"/>
          </w:tblCellMar>
        </w:tblPrEx>
        <w:trPr>
          <w:wBefore w:w="0" w:type="auto"/>
          <w:tblCellSpacing w:w="0" w:type="dxa"/>
        </w:trPr>
        <w:tc>
          <w:tcPr>
            <w:tcW w:w="0" w:type="auto"/>
            <w:noWrap w:val="0"/>
            <w:vAlign w:val="center"/>
          </w:tcPr>
          <w:p w14:paraId="76902A3A">
            <w:r>
              <w:rPr>
                <w:rFonts w:hint="eastAsia"/>
              </w:rPr>
              <w:t xml:space="preserve">有效成分及其含量： </w:t>
            </w:r>
          </w:p>
          <w:p w14:paraId="2F7E0A73">
            <w:r>
              <w:rPr>
                <w:rFonts w:hint="eastAsia"/>
              </w:rPr>
              <w:t xml:space="preserve">    倍硫磷50%    </w:t>
            </w:r>
          </w:p>
        </w:tc>
      </w:tr>
      <w:tr w14:paraId="6B90EDA0">
        <w:tblPrEx>
          <w:tblCellMar>
            <w:top w:w="0" w:type="dxa"/>
            <w:left w:w="0" w:type="dxa"/>
            <w:bottom w:w="0" w:type="dxa"/>
            <w:right w:w="0" w:type="dxa"/>
          </w:tblCellMar>
        </w:tblPrEx>
        <w:trPr>
          <w:wBefore w:w="0" w:type="auto"/>
          <w:tblCellSpacing w:w="0" w:type="dxa"/>
        </w:trPr>
        <w:tc>
          <w:tcPr>
            <w:tcW w:w="0" w:type="auto"/>
            <w:noWrap w:val="0"/>
            <w:vAlign w:val="center"/>
          </w:tcPr>
          <w:p w14:paraId="01C2273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B4F8C9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6D13BC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CE744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CA64A2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CA8E82">
                  <w:r>
                    <w:rPr>
                      <w:rStyle w:val="11"/>
                      <w:rFonts w:hint="eastAsia"/>
                    </w:rPr>
                    <w:t>施用方式</w:t>
                  </w:r>
                </w:p>
              </w:tc>
            </w:tr>
            <w:tr w14:paraId="4426D5B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D015E83">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7C8E6B">
                  <w:r>
                    <w:rPr>
                      <w:rStyle w:val="11"/>
                      <w:rFonts w:hint="eastAsia"/>
                    </w:rPr>
                    <w:t>蚊(幼虫)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2D4092">
                  <w:r>
                    <w:rPr>
                      <w:rStyle w:val="11"/>
                      <w:rFonts w:hint="eastAsia"/>
                    </w:rPr>
                    <w:t>3克/平方米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943514">
                  <w:r>
                    <w:rPr>
                      <w:rStyle w:val="11"/>
                      <w:rFonts w:hint="eastAsia"/>
                    </w:rPr>
                    <w:t>喷洒</w:t>
                  </w:r>
                </w:p>
              </w:tc>
            </w:tr>
          </w:tbl>
          <w:p w14:paraId="4936D3FF">
            <w:pPr>
              <w:rPr>
                <w:rFonts w:ascii="Times New Roman" w:hAnsi="Times New Roman" w:cs="Times New Roman"/>
                <w:sz w:val="20"/>
                <w:szCs w:val="20"/>
              </w:rPr>
            </w:pPr>
          </w:p>
        </w:tc>
      </w:tr>
      <w:tr w14:paraId="5516230E">
        <w:tblPrEx>
          <w:tblCellMar>
            <w:top w:w="0" w:type="dxa"/>
            <w:left w:w="0" w:type="dxa"/>
            <w:bottom w:w="0" w:type="dxa"/>
            <w:right w:w="0" w:type="dxa"/>
          </w:tblCellMar>
        </w:tblPrEx>
        <w:trPr>
          <w:wBefore w:w="0" w:type="auto"/>
          <w:tblCellSpacing w:w="0" w:type="dxa"/>
        </w:trPr>
        <w:tc>
          <w:tcPr>
            <w:tcW w:w="0" w:type="auto"/>
            <w:noWrap w:val="0"/>
            <w:vAlign w:val="center"/>
          </w:tcPr>
          <w:p w14:paraId="6799B58F">
            <w:r>
              <w:rPr>
                <w:rStyle w:val="10"/>
                <w:rFonts w:hint="eastAsia"/>
              </w:rPr>
              <w:t>使用技术要求:</w:t>
            </w:r>
            <w:r>
              <w:rPr>
                <w:rFonts w:hint="eastAsia"/>
              </w:rPr>
              <w:br w:type="textWrapping"/>
            </w:r>
            <w:r>
              <w:rPr>
                <w:rStyle w:val="11"/>
                <w:rFonts w:hint="eastAsia"/>
              </w:rPr>
              <w:t>1、将本产品放入水中，搅匀，进行表面均匀喷雾，随配随用，不要贮存药液， 2、使用时建议将本品稀释100倍，按每平方米3克制剂用量喷雾。</w:t>
            </w:r>
          </w:p>
        </w:tc>
      </w:tr>
      <w:tr w14:paraId="72D86165">
        <w:tblPrEx>
          <w:tblCellMar>
            <w:top w:w="0" w:type="dxa"/>
            <w:left w:w="0" w:type="dxa"/>
            <w:bottom w:w="0" w:type="dxa"/>
            <w:right w:w="0" w:type="dxa"/>
          </w:tblCellMar>
        </w:tblPrEx>
        <w:trPr>
          <w:wBefore w:w="0" w:type="auto"/>
          <w:tblCellSpacing w:w="0" w:type="dxa"/>
        </w:trPr>
        <w:tc>
          <w:tcPr>
            <w:tcW w:w="0" w:type="auto"/>
            <w:noWrap w:val="0"/>
            <w:vAlign w:val="center"/>
          </w:tcPr>
          <w:p w14:paraId="470E9072">
            <w:r>
              <w:rPr>
                <w:rStyle w:val="10"/>
                <w:rFonts w:hint="eastAsia"/>
              </w:rPr>
              <w:t>产品性能:</w:t>
            </w:r>
            <w:r>
              <w:rPr>
                <w:rFonts w:hint="eastAsia"/>
              </w:rPr>
              <w:br w:type="textWrapping"/>
            </w:r>
            <w:r>
              <w:rPr>
                <w:rStyle w:val="11"/>
                <w:rFonts w:hint="eastAsia"/>
              </w:rPr>
              <w:t>本品为有机磷类杀虫剂。主要抑制乙酰胆碱酯酶，使害虫中毒死亡，作为卫生杀虫剂使用效果较好，可有效杀灭蚊幼虫。本品外观为棕黄色、有轻微刺激性异味、油状液体，无爆炸性，与水、常用灭火剂磷酸二氢铵、还原剂铁粉、中等氧化剂高锰酸钾以及煤油等均不具有化学不相容性。</w:t>
            </w:r>
          </w:p>
        </w:tc>
      </w:tr>
      <w:tr w14:paraId="16454560">
        <w:tblPrEx>
          <w:tblCellMar>
            <w:top w:w="0" w:type="dxa"/>
            <w:left w:w="0" w:type="dxa"/>
            <w:bottom w:w="0" w:type="dxa"/>
            <w:right w:w="0" w:type="dxa"/>
          </w:tblCellMar>
        </w:tblPrEx>
        <w:trPr>
          <w:wBefore w:w="0" w:type="auto"/>
          <w:tblCellSpacing w:w="0" w:type="dxa"/>
        </w:trPr>
        <w:tc>
          <w:tcPr>
            <w:tcW w:w="0" w:type="auto"/>
            <w:noWrap w:val="0"/>
            <w:vAlign w:val="center"/>
          </w:tcPr>
          <w:p w14:paraId="06DA2D0A">
            <w:r>
              <w:rPr>
                <w:rStyle w:val="10"/>
                <w:rFonts w:hint="eastAsia"/>
              </w:rPr>
              <w:t>注意事项：</w:t>
            </w:r>
            <w:r>
              <w:rPr>
                <w:rFonts w:hint="eastAsia"/>
              </w:rPr>
              <w:br w:type="textWrapping"/>
            </w:r>
            <w:r>
              <w:rPr>
                <w:rStyle w:val="11"/>
                <w:rFonts w:hint="eastAsia"/>
              </w:rPr>
              <w:t>1、本品对蜜蜂、鸟、鱼类等水生生物、家蚕有毒。（周围）开花植物花期禁用，使用时应密切关注对附近蜂群的影响；鸟类保护区附近禁用。 蚕室及桑园附近禁用。2.远离水产养殖区、河塘等水体施药；禁止在河塘等水体中清洗施药器具。 3.使用本品时应穿戴长衣、长裤、帽子、口罩、手套等安全防护措施，施药期间不可吃东西和饮水。施药后应及时洗手和洗脸；4.孕妇及哺乳期妇女应避免接触； 5.用过的容器应妥善处理，不可做他用，也不可随意丢弃；6.为延缓抗性产生，可与其他不同作用机制杀虫剂轮换使用；7.农药废弃物及时交回农药经营者。8.本品属可燃液体。</w:t>
            </w:r>
          </w:p>
        </w:tc>
      </w:tr>
      <w:tr w14:paraId="2B5EF384">
        <w:tblPrEx>
          <w:tblCellMar>
            <w:top w:w="0" w:type="dxa"/>
            <w:left w:w="0" w:type="dxa"/>
            <w:bottom w:w="0" w:type="dxa"/>
            <w:right w:w="0" w:type="dxa"/>
          </w:tblCellMar>
        </w:tblPrEx>
        <w:trPr>
          <w:wBefore w:w="0" w:type="auto"/>
          <w:tblCellSpacing w:w="0" w:type="dxa"/>
        </w:trPr>
        <w:tc>
          <w:tcPr>
            <w:tcW w:w="0" w:type="auto"/>
            <w:noWrap w:val="0"/>
            <w:vAlign w:val="center"/>
          </w:tcPr>
          <w:p w14:paraId="739AB76A">
            <w:r>
              <w:rPr>
                <w:rStyle w:val="10"/>
                <w:rFonts w:hint="eastAsia"/>
              </w:rPr>
              <w:t>中毒急救措施：</w:t>
            </w:r>
            <w:r>
              <w:rPr>
                <w:rFonts w:hint="eastAsia"/>
              </w:rPr>
              <w:br w:type="textWrapping"/>
            </w:r>
            <w:r>
              <w:rPr>
                <w:rStyle w:val="11"/>
                <w:rFonts w:hint="eastAsia"/>
              </w:rPr>
              <w:t>1、中毒症状：轻度中毒：全身不适，头昏、无力、视力模糊、呕吐、出汗、腹泻、抽搐、呼吸困难等。急性中毒多在12小时内发病。2、不慎吸入，应将病人移至空气流通处。3、不慎接触皮肤或溅入眼睛，应用大量清水冲洗至少15分钟。4、误服则应立即携此标签将病人送医院诊治。可用阿托品1-5mg皮下或静脉注射（按中毒轻重而定）；或用解磷定0.4-1.2g静脉注射（按中毒轻重而定）；禁用高锰酸钾溶液、吗啡、茶碱、吩噻嗪、利血平。</w:t>
            </w:r>
          </w:p>
        </w:tc>
      </w:tr>
      <w:tr w14:paraId="2A8720F5">
        <w:tblPrEx>
          <w:tblCellMar>
            <w:top w:w="0" w:type="dxa"/>
            <w:left w:w="0" w:type="dxa"/>
            <w:bottom w:w="0" w:type="dxa"/>
            <w:right w:w="0" w:type="dxa"/>
          </w:tblCellMar>
        </w:tblPrEx>
        <w:trPr>
          <w:wBefore w:w="0" w:type="auto"/>
          <w:tblCellSpacing w:w="0" w:type="dxa"/>
        </w:trPr>
        <w:tc>
          <w:tcPr>
            <w:tcW w:w="0" w:type="auto"/>
            <w:noWrap w:val="0"/>
            <w:vAlign w:val="center"/>
          </w:tcPr>
          <w:p w14:paraId="3B5A497F">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本品应储存在干燥、阴凉、通风、防雨处，远离火源或热源。置于儿童接触不到的地方，并加锁。不能与食品、饮料、粮食、饲料等同储同运。</w:t>
            </w:r>
          </w:p>
        </w:tc>
      </w:tr>
      <w:tr w14:paraId="10A6E774">
        <w:tblPrEx>
          <w:tblCellMar>
            <w:top w:w="0" w:type="dxa"/>
            <w:left w:w="0" w:type="dxa"/>
            <w:bottom w:w="0" w:type="dxa"/>
            <w:right w:w="0" w:type="dxa"/>
          </w:tblCellMar>
        </w:tblPrEx>
        <w:trPr>
          <w:wBefore w:w="0" w:type="auto"/>
          <w:tblCellSpacing w:w="0" w:type="dxa"/>
        </w:trPr>
        <w:tc>
          <w:tcPr>
            <w:tcW w:w="0" w:type="auto"/>
            <w:noWrap w:val="0"/>
            <w:vAlign w:val="center"/>
          </w:tcPr>
          <w:p w14:paraId="36805FFA">
            <w:r>
              <w:rPr>
                <w:rStyle w:val="10"/>
                <w:rFonts w:hint="eastAsia"/>
              </w:rPr>
              <w:t>质量保证期：</w:t>
            </w:r>
            <w:r>
              <w:rPr>
                <w:rStyle w:val="11"/>
                <w:rFonts w:hint="eastAsia"/>
              </w:rPr>
              <w:t>2年</w:t>
            </w:r>
          </w:p>
        </w:tc>
      </w:tr>
      <w:tr w14:paraId="18409F54">
        <w:tblPrEx>
          <w:tblCellMar>
            <w:top w:w="0" w:type="dxa"/>
            <w:left w:w="0" w:type="dxa"/>
            <w:bottom w:w="0" w:type="dxa"/>
            <w:right w:w="0" w:type="dxa"/>
          </w:tblCellMar>
        </w:tblPrEx>
        <w:trPr>
          <w:wBefore w:w="0" w:type="auto"/>
          <w:tblCellSpacing w:w="0" w:type="dxa"/>
        </w:trPr>
        <w:tc>
          <w:tcPr>
            <w:tcW w:w="0" w:type="auto"/>
            <w:noWrap w:val="0"/>
            <w:vAlign w:val="center"/>
          </w:tcPr>
          <w:p w14:paraId="385498A8">
            <w:r>
              <w:rPr>
                <w:rStyle w:val="10"/>
                <w:rFonts w:hint="eastAsia"/>
              </w:rPr>
              <w:t>备注：</w:t>
            </w:r>
          </w:p>
        </w:tc>
      </w:tr>
    </w:tbl>
    <w:p w14:paraId="059211A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5799DC1">
        <w:trPr>
          <w:wBefore w:w="0" w:type="auto"/>
          <w:tblCellSpacing w:w="0" w:type="dxa"/>
        </w:trPr>
        <w:tc>
          <w:tcPr>
            <w:tcW w:w="0" w:type="auto"/>
            <w:noWrap w:val="0"/>
            <w:vAlign w:val="center"/>
          </w:tcPr>
          <w:p w14:paraId="59ADF2A3">
            <w:r>
              <w:rPr>
                <w:rStyle w:val="10"/>
                <w:rFonts w:hint="eastAsia"/>
              </w:rPr>
              <w:t>登记证号：</w:t>
            </w:r>
            <w:r>
              <w:rPr>
                <w:rFonts w:hint="eastAsia"/>
              </w:rPr>
              <w:t>PD20211962</w:t>
            </w:r>
          </w:p>
        </w:tc>
      </w:tr>
      <w:tr w14:paraId="43E9AC29">
        <w:tblPrEx>
          <w:tblCellMar>
            <w:top w:w="0" w:type="dxa"/>
            <w:left w:w="0" w:type="dxa"/>
            <w:bottom w:w="0" w:type="dxa"/>
            <w:right w:w="0" w:type="dxa"/>
          </w:tblCellMar>
        </w:tblPrEx>
        <w:trPr>
          <w:wBefore w:w="0" w:type="auto"/>
          <w:tblCellSpacing w:w="0" w:type="dxa"/>
        </w:trPr>
        <w:tc>
          <w:tcPr>
            <w:tcW w:w="0" w:type="auto"/>
            <w:noWrap w:val="0"/>
            <w:vAlign w:val="center"/>
          </w:tcPr>
          <w:p w14:paraId="553BACC0">
            <w:r>
              <w:rPr>
                <w:rStyle w:val="10"/>
                <w:rFonts w:hint="eastAsia"/>
              </w:rPr>
              <w:t>登记证持有人：</w:t>
            </w:r>
            <w:r>
              <w:rPr>
                <w:rFonts w:hint="eastAsia"/>
              </w:rPr>
              <w:t>赣州一村生物科技有限公司</w:t>
            </w:r>
          </w:p>
        </w:tc>
      </w:tr>
      <w:tr w14:paraId="3EF03C06">
        <w:tblPrEx>
          <w:tblCellMar>
            <w:top w:w="0" w:type="dxa"/>
            <w:left w:w="0" w:type="dxa"/>
            <w:bottom w:w="0" w:type="dxa"/>
            <w:right w:w="0" w:type="dxa"/>
          </w:tblCellMar>
        </w:tblPrEx>
        <w:trPr>
          <w:wBefore w:w="0" w:type="auto"/>
          <w:tblCellSpacing w:w="0" w:type="dxa"/>
        </w:trPr>
        <w:tc>
          <w:tcPr>
            <w:tcW w:w="0" w:type="auto"/>
            <w:noWrap w:val="0"/>
            <w:vAlign w:val="center"/>
          </w:tcPr>
          <w:p w14:paraId="4A985EF6">
            <w:r>
              <w:rPr>
                <w:rStyle w:val="10"/>
                <w:rFonts w:hint="eastAsia"/>
              </w:rPr>
              <w:t>农药名称：</w:t>
            </w:r>
            <w:r>
              <w:rPr>
                <w:rFonts w:hint="eastAsia"/>
              </w:rPr>
              <w:t>春雷·喹啉铜</w:t>
            </w:r>
          </w:p>
        </w:tc>
      </w:tr>
      <w:tr w14:paraId="2DB077F4">
        <w:tblPrEx>
          <w:tblCellMar>
            <w:top w:w="0" w:type="dxa"/>
            <w:left w:w="0" w:type="dxa"/>
            <w:bottom w:w="0" w:type="dxa"/>
            <w:right w:w="0" w:type="dxa"/>
          </w:tblCellMar>
        </w:tblPrEx>
        <w:trPr>
          <w:wBefore w:w="0" w:type="auto"/>
          <w:tblCellSpacing w:w="0" w:type="dxa"/>
        </w:trPr>
        <w:tc>
          <w:tcPr>
            <w:tcW w:w="0" w:type="auto"/>
            <w:noWrap w:val="0"/>
            <w:vAlign w:val="center"/>
          </w:tcPr>
          <w:p w14:paraId="6D8B5BAE">
            <w:r>
              <w:rPr>
                <w:rStyle w:val="10"/>
                <w:rFonts w:hint="eastAsia"/>
              </w:rPr>
              <w:t>剂型：</w:t>
            </w:r>
            <w:r>
              <w:rPr>
                <w:rFonts w:hint="eastAsia"/>
              </w:rPr>
              <w:t>悬浮剂</w:t>
            </w:r>
          </w:p>
        </w:tc>
      </w:tr>
      <w:tr w14:paraId="3F48B943">
        <w:tblPrEx>
          <w:tblCellMar>
            <w:top w:w="0" w:type="dxa"/>
            <w:left w:w="0" w:type="dxa"/>
            <w:bottom w:w="0" w:type="dxa"/>
            <w:right w:w="0" w:type="dxa"/>
          </w:tblCellMar>
        </w:tblPrEx>
        <w:trPr>
          <w:wBefore w:w="0" w:type="auto"/>
          <w:tblCellSpacing w:w="0" w:type="dxa"/>
        </w:trPr>
        <w:tc>
          <w:tcPr>
            <w:tcW w:w="0" w:type="auto"/>
            <w:noWrap w:val="0"/>
            <w:vAlign w:val="center"/>
          </w:tcPr>
          <w:p w14:paraId="70ECFD9A">
            <w:r>
              <w:rPr>
                <w:rStyle w:val="10"/>
                <w:rFonts w:hint="eastAsia"/>
              </w:rPr>
              <w:t>毒性及其标识：</w:t>
            </w:r>
            <w:r>
              <w:rPr>
                <w:rFonts w:hint="eastAsia"/>
              </w:rPr>
              <w:t xml:space="preserve"> </w:t>
            </w:r>
            <w:r>
              <w:rPr>
                <w:lang/>
              </w:rPr>
              <w:drawing>
                <wp:inline distT="0" distB="0" distL="114300" distR="114300">
                  <wp:extent cx="476250" cy="323850"/>
                  <wp:effectExtent l="0" t="0" r="0" b="0"/>
                  <wp:docPr id="70" name="图片 7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26E828B">
        <w:tblPrEx>
          <w:tblCellMar>
            <w:top w:w="0" w:type="dxa"/>
            <w:left w:w="0" w:type="dxa"/>
            <w:bottom w:w="0" w:type="dxa"/>
            <w:right w:w="0" w:type="dxa"/>
          </w:tblCellMar>
        </w:tblPrEx>
        <w:trPr>
          <w:wBefore w:w="0" w:type="auto"/>
          <w:tblCellSpacing w:w="0" w:type="dxa"/>
        </w:trPr>
        <w:tc>
          <w:tcPr>
            <w:tcW w:w="0" w:type="auto"/>
            <w:noWrap w:val="0"/>
            <w:vAlign w:val="center"/>
          </w:tcPr>
          <w:p w14:paraId="3239EC57">
            <w:r>
              <w:rPr>
                <w:rStyle w:val="10"/>
                <w:rFonts w:hint="eastAsia"/>
              </w:rPr>
              <w:t>总有效成分含量：</w:t>
            </w:r>
            <w:r>
              <w:rPr>
                <w:rFonts w:hint="eastAsia"/>
              </w:rPr>
              <w:t>45%</w:t>
            </w:r>
          </w:p>
        </w:tc>
      </w:tr>
      <w:tr w14:paraId="3C17EDB5">
        <w:tblPrEx>
          <w:tblCellMar>
            <w:top w:w="0" w:type="dxa"/>
            <w:left w:w="0" w:type="dxa"/>
            <w:bottom w:w="0" w:type="dxa"/>
            <w:right w:w="0" w:type="dxa"/>
          </w:tblCellMar>
        </w:tblPrEx>
        <w:trPr>
          <w:wBefore w:w="0" w:type="auto"/>
          <w:tblCellSpacing w:w="0" w:type="dxa"/>
        </w:trPr>
        <w:tc>
          <w:tcPr>
            <w:tcW w:w="0" w:type="auto"/>
            <w:noWrap w:val="0"/>
            <w:vAlign w:val="center"/>
          </w:tcPr>
          <w:p w14:paraId="773510F2">
            <w:r>
              <w:rPr>
                <w:rFonts w:hint="eastAsia"/>
              </w:rPr>
              <w:t xml:space="preserve">有效成分及其含量： </w:t>
            </w:r>
          </w:p>
          <w:p w14:paraId="4C2EE7FC">
            <w:r>
              <w:rPr>
                <w:rFonts w:hint="eastAsia"/>
              </w:rPr>
              <w:t xml:space="preserve">    春雷霉素4.5%    喹啉铜40.5%    </w:t>
            </w:r>
          </w:p>
        </w:tc>
      </w:tr>
      <w:tr w14:paraId="0D18141E">
        <w:tblPrEx>
          <w:tblCellMar>
            <w:top w:w="0" w:type="dxa"/>
            <w:left w:w="0" w:type="dxa"/>
            <w:bottom w:w="0" w:type="dxa"/>
            <w:right w:w="0" w:type="dxa"/>
          </w:tblCellMar>
        </w:tblPrEx>
        <w:trPr>
          <w:wBefore w:w="0" w:type="auto"/>
          <w:tblCellSpacing w:w="0" w:type="dxa"/>
        </w:trPr>
        <w:tc>
          <w:tcPr>
            <w:tcW w:w="0" w:type="auto"/>
            <w:noWrap w:val="0"/>
            <w:vAlign w:val="center"/>
          </w:tcPr>
          <w:p w14:paraId="58FC1C8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0F9C3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20AC21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BB7B84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202A94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AB8BF4E">
                  <w:r>
                    <w:rPr>
                      <w:rStyle w:val="11"/>
                      <w:rFonts w:hint="eastAsia"/>
                    </w:rPr>
                    <w:t>施用方式</w:t>
                  </w:r>
                </w:p>
              </w:tc>
            </w:tr>
            <w:tr w14:paraId="4679F6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F8CCB78">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1FDE90">
                  <w:r>
                    <w:rPr>
                      <w:rStyle w:val="11"/>
                      <w:rFonts w:hint="eastAsia"/>
                    </w:rPr>
                    <w:t>细菌性角斑病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1CE15B">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70A337">
                  <w:r>
                    <w:rPr>
                      <w:rStyle w:val="11"/>
                      <w:rFonts w:hint="eastAsia"/>
                    </w:rPr>
                    <w:t>喷雾</w:t>
                  </w:r>
                </w:p>
              </w:tc>
            </w:tr>
          </w:tbl>
          <w:p w14:paraId="2754AA97">
            <w:pPr>
              <w:rPr>
                <w:rFonts w:ascii="Times New Roman" w:hAnsi="Times New Roman" w:cs="Times New Roman"/>
                <w:sz w:val="20"/>
                <w:szCs w:val="20"/>
              </w:rPr>
            </w:pPr>
          </w:p>
        </w:tc>
      </w:tr>
      <w:tr w14:paraId="3DC8DB9B">
        <w:tblPrEx>
          <w:tblCellMar>
            <w:top w:w="0" w:type="dxa"/>
            <w:left w:w="0" w:type="dxa"/>
            <w:bottom w:w="0" w:type="dxa"/>
            <w:right w:w="0" w:type="dxa"/>
          </w:tblCellMar>
        </w:tblPrEx>
        <w:trPr>
          <w:wBefore w:w="0" w:type="auto"/>
          <w:tblCellSpacing w:w="0" w:type="dxa"/>
        </w:trPr>
        <w:tc>
          <w:tcPr>
            <w:tcW w:w="0" w:type="auto"/>
            <w:noWrap w:val="0"/>
            <w:vAlign w:val="center"/>
          </w:tcPr>
          <w:p w14:paraId="6B6666C9">
            <w:r>
              <w:rPr>
                <w:rStyle w:val="10"/>
                <w:rFonts w:hint="eastAsia"/>
              </w:rPr>
              <w:t>使用技术要求:</w:t>
            </w:r>
            <w:r>
              <w:rPr>
                <w:rFonts w:hint="eastAsia"/>
              </w:rPr>
              <w:br w:type="textWrapping"/>
            </w:r>
            <w:r>
              <w:rPr>
                <w:rStyle w:val="11"/>
                <w:rFonts w:hint="eastAsia"/>
              </w:rPr>
              <w:t>1.于病害发生前或发病初期兑水均匀喷雾，连续施药3次，每次间隔7-10天。 2.大风天或预计1小时内降雨，请勿施药。 3.每季最多使用3次，安全间隔期为3天。</w:t>
            </w:r>
          </w:p>
        </w:tc>
      </w:tr>
      <w:tr w14:paraId="6B17344A">
        <w:tblPrEx>
          <w:tblCellMar>
            <w:top w:w="0" w:type="dxa"/>
            <w:left w:w="0" w:type="dxa"/>
            <w:bottom w:w="0" w:type="dxa"/>
            <w:right w:w="0" w:type="dxa"/>
          </w:tblCellMar>
        </w:tblPrEx>
        <w:trPr>
          <w:wBefore w:w="0" w:type="auto"/>
          <w:tblCellSpacing w:w="0" w:type="dxa"/>
        </w:trPr>
        <w:tc>
          <w:tcPr>
            <w:tcW w:w="0" w:type="auto"/>
            <w:noWrap w:val="0"/>
            <w:vAlign w:val="center"/>
          </w:tcPr>
          <w:p w14:paraId="3145F684">
            <w:r>
              <w:rPr>
                <w:rStyle w:val="10"/>
                <w:rFonts w:hint="eastAsia"/>
              </w:rPr>
              <w:t>产品性能:</w:t>
            </w:r>
            <w:r>
              <w:rPr>
                <w:rFonts w:hint="eastAsia"/>
              </w:rPr>
              <w:br w:type="textWrapping"/>
            </w:r>
            <w:r>
              <w:rPr>
                <w:rStyle w:val="11"/>
                <w:rFonts w:hint="eastAsia"/>
              </w:rPr>
              <w:t>春雷霉素为农用抗菌素，主要干扰氨基酸的代谢酯酶系统，从而影响蛋白质的合成，抑制菌丝生长和造成细胞颗粒化，具有保护、治疗及较强内吸性。喹啉铜属非特异性多作用位点杀菌剂，不具有内吸性，对病害仅有预防作用，无治疗作用。两者混配可用于防治黄瓜细菌性角斑病。</w:t>
            </w:r>
          </w:p>
        </w:tc>
      </w:tr>
      <w:tr w14:paraId="51D30F5E">
        <w:tblPrEx>
          <w:tblCellMar>
            <w:top w:w="0" w:type="dxa"/>
            <w:left w:w="0" w:type="dxa"/>
            <w:bottom w:w="0" w:type="dxa"/>
            <w:right w:w="0" w:type="dxa"/>
          </w:tblCellMar>
        </w:tblPrEx>
        <w:trPr>
          <w:wBefore w:w="0" w:type="auto"/>
          <w:tblCellSpacing w:w="0" w:type="dxa"/>
        </w:trPr>
        <w:tc>
          <w:tcPr>
            <w:tcW w:w="0" w:type="auto"/>
            <w:noWrap w:val="0"/>
            <w:vAlign w:val="center"/>
          </w:tcPr>
          <w:p w14:paraId="4D81A849">
            <w:r>
              <w:rPr>
                <w:rStyle w:val="10"/>
                <w:rFonts w:hint="eastAsia"/>
              </w:rPr>
              <w:t>注意事项：</w:t>
            </w:r>
            <w:r>
              <w:rPr>
                <w:rFonts w:hint="eastAsia"/>
              </w:rPr>
              <w:br w:type="textWrapping"/>
            </w:r>
            <w:r>
              <w:rPr>
                <w:rStyle w:val="11"/>
                <w:rFonts w:hint="eastAsia"/>
              </w:rPr>
              <w:t>1.使用本品应采取相应的安全防护措施，穿防护服、防护手套、口罩和护目镜等，避免皮肤接触及口鼻吸入。使用中不可吸烟、饮水及吃东西，使用后及时清洗手、脸等暴露部位皮肤并更换衣物。2.本品对鱼类等水生生物有毒，远离水产养殖区施药，禁止在河塘等水体中清洗施药器具。3.建议与其他作用机制不同的杀菌剂轮换使用，以延缓抗药性产生。4.用过的容器应妥善处理，不可作他用，也不可随意丢弃。5.禁止儿童、孕妇及哺乳期妇女接触。过敏者禁用，使用中有任何不良反应请及时就医。</w:t>
            </w:r>
          </w:p>
        </w:tc>
      </w:tr>
      <w:tr w14:paraId="2AF76065">
        <w:tblPrEx>
          <w:tblCellMar>
            <w:top w:w="0" w:type="dxa"/>
            <w:left w:w="0" w:type="dxa"/>
            <w:bottom w:w="0" w:type="dxa"/>
            <w:right w:w="0" w:type="dxa"/>
          </w:tblCellMar>
        </w:tblPrEx>
        <w:trPr>
          <w:wBefore w:w="0" w:type="auto"/>
          <w:tblCellSpacing w:w="0" w:type="dxa"/>
        </w:trPr>
        <w:tc>
          <w:tcPr>
            <w:tcW w:w="0" w:type="auto"/>
            <w:noWrap w:val="0"/>
            <w:vAlign w:val="center"/>
          </w:tcPr>
          <w:p w14:paraId="4C9CC791">
            <w:r>
              <w:rPr>
                <w:rStyle w:val="10"/>
                <w:rFonts w:hint="eastAsia"/>
              </w:rPr>
              <w:t>中毒急救措施：</w:t>
            </w:r>
            <w:r>
              <w:rPr>
                <w:rFonts w:hint="eastAsia"/>
              </w:rPr>
              <w:br w:type="textWrapping"/>
            </w:r>
            <w:r>
              <w:rPr>
                <w:rStyle w:val="11"/>
                <w:rFonts w:hint="eastAsia"/>
              </w:rPr>
              <w:t xml:space="preserve">中毒症状：对眼睛有轻度刺激性。 急救措施：使用中或使用后如果感觉不适，应立即停止工作，采取急救措施，并携带标签送医院就诊。 皮肤接触：立即脱去污染的衣物，用软布去除沾染农药，用大量清水和肥皂冲洗。 眼睛溅入：立即用流动清水冲洗不少于15分钟。 吸入：立即离开施药现场，转移到空气清新处。 误食：立即停止服用，用清水充分漱口后，携带农药标签到医院就诊。 </w:t>
            </w:r>
          </w:p>
        </w:tc>
      </w:tr>
      <w:tr w14:paraId="5137870A">
        <w:tblPrEx>
          <w:tblCellMar>
            <w:top w:w="0" w:type="dxa"/>
            <w:left w:w="0" w:type="dxa"/>
            <w:bottom w:w="0" w:type="dxa"/>
            <w:right w:w="0" w:type="dxa"/>
          </w:tblCellMar>
        </w:tblPrEx>
        <w:trPr>
          <w:wBefore w:w="0" w:type="auto"/>
          <w:tblCellSpacing w:w="0" w:type="dxa"/>
        </w:trPr>
        <w:tc>
          <w:tcPr>
            <w:tcW w:w="0" w:type="auto"/>
            <w:noWrap w:val="0"/>
            <w:vAlign w:val="center"/>
          </w:tcPr>
          <w:p w14:paraId="03337FDA">
            <w:r>
              <w:rPr>
                <w:rStyle w:val="10"/>
                <w:rFonts w:hint="eastAsia"/>
              </w:rPr>
              <w:t>储存和运输方法：</w:t>
            </w:r>
            <w:r>
              <w:rPr>
                <w:rFonts w:hint="eastAsia"/>
              </w:rPr>
              <w:br w:type="textWrapping"/>
            </w:r>
            <w:r>
              <w:rPr>
                <w:rStyle w:val="11"/>
                <w:rFonts w:hint="eastAsia"/>
              </w:rPr>
              <w:t>本品应贮存在干燥、阴凉、通风、防雨处，远离火源或热源，勿与氧化剂接触。置于儿童、无关人员及动物接触不到的地方，并加锁保存。勿与食品、种子、饲料、饮料、粮食等同贮同运。</w:t>
            </w:r>
          </w:p>
        </w:tc>
      </w:tr>
      <w:tr w14:paraId="5CC82F02">
        <w:tblPrEx>
          <w:tblCellMar>
            <w:top w:w="0" w:type="dxa"/>
            <w:left w:w="0" w:type="dxa"/>
            <w:bottom w:w="0" w:type="dxa"/>
            <w:right w:w="0" w:type="dxa"/>
          </w:tblCellMar>
        </w:tblPrEx>
        <w:trPr>
          <w:wBefore w:w="0" w:type="auto"/>
          <w:tblCellSpacing w:w="0" w:type="dxa"/>
        </w:trPr>
        <w:tc>
          <w:tcPr>
            <w:tcW w:w="0" w:type="auto"/>
            <w:noWrap w:val="0"/>
            <w:vAlign w:val="center"/>
          </w:tcPr>
          <w:p w14:paraId="4AC608FF">
            <w:r>
              <w:rPr>
                <w:rStyle w:val="10"/>
                <w:rFonts w:hint="eastAsia"/>
              </w:rPr>
              <w:t>质量保证期：</w:t>
            </w:r>
            <w:r>
              <w:rPr>
                <w:rStyle w:val="11"/>
                <w:rFonts w:hint="eastAsia"/>
              </w:rPr>
              <w:t>2年</w:t>
            </w:r>
          </w:p>
        </w:tc>
      </w:tr>
      <w:tr w14:paraId="11066003">
        <w:tblPrEx>
          <w:tblCellMar>
            <w:top w:w="0" w:type="dxa"/>
            <w:left w:w="0" w:type="dxa"/>
            <w:bottom w:w="0" w:type="dxa"/>
            <w:right w:w="0" w:type="dxa"/>
          </w:tblCellMar>
        </w:tblPrEx>
        <w:trPr>
          <w:wBefore w:w="0" w:type="auto"/>
          <w:tblCellSpacing w:w="0" w:type="dxa"/>
        </w:trPr>
        <w:tc>
          <w:tcPr>
            <w:tcW w:w="0" w:type="auto"/>
            <w:noWrap w:val="0"/>
            <w:vAlign w:val="center"/>
          </w:tcPr>
          <w:p w14:paraId="59D29A8F">
            <w:r>
              <w:rPr>
                <w:rStyle w:val="10"/>
                <w:rFonts w:hint="eastAsia"/>
              </w:rPr>
              <w:t>备注：</w:t>
            </w:r>
            <w:r>
              <w:rPr>
                <w:rFonts w:hint="eastAsia"/>
              </w:rPr>
              <w:br w:type="textWrapping"/>
            </w:r>
            <w:r>
              <w:rPr>
                <w:rStyle w:val="11"/>
                <w:rFonts w:hint="eastAsia"/>
              </w:rPr>
              <w:t>春雷霉素盐酸盐4.9%。</w:t>
            </w:r>
          </w:p>
        </w:tc>
      </w:tr>
    </w:tbl>
    <w:p w14:paraId="3A0BCE6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C8C040">
        <w:tblPrEx>
          <w:tblCellMar>
            <w:top w:w="0" w:type="dxa"/>
            <w:left w:w="0" w:type="dxa"/>
            <w:bottom w:w="0" w:type="dxa"/>
            <w:right w:w="0" w:type="dxa"/>
          </w:tblCellMar>
        </w:tblPrEx>
        <w:trPr>
          <w:wBefore w:w="0" w:type="auto"/>
          <w:tblCellSpacing w:w="0" w:type="dxa"/>
        </w:trPr>
        <w:tc>
          <w:tcPr>
            <w:tcW w:w="0" w:type="auto"/>
            <w:noWrap w:val="0"/>
            <w:vAlign w:val="center"/>
          </w:tcPr>
          <w:p w14:paraId="62A84FCD">
            <w:r>
              <w:rPr>
                <w:rStyle w:val="10"/>
                <w:rFonts w:hint="eastAsia"/>
              </w:rPr>
              <w:t>登记证号：</w:t>
            </w:r>
            <w:r>
              <w:rPr>
                <w:rFonts w:hint="eastAsia"/>
              </w:rPr>
              <w:t>PD20211948</w:t>
            </w:r>
          </w:p>
        </w:tc>
      </w:tr>
      <w:tr w14:paraId="2B968499">
        <w:tblPrEx>
          <w:tblCellMar>
            <w:top w:w="0" w:type="dxa"/>
            <w:left w:w="0" w:type="dxa"/>
            <w:bottom w:w="0" w:type="dxa"/>
            <w:right w:w="0" w:type="dxa"/>
          </w:tblCellMar>
        </w:tblPrEx>
        <w:trPr>
          <w:wBefore w:w="0" w:type="auto"/>
          <w:tblCellSpacing w:w="0" w:type="dxa"/>
        </w:trPr>
        <w:tc>
          <w:tcPr>
            <w:tcW w:w="0" w:type="auto"/>
            <w:noWrap w:val="0"/>
            <w:vAlign w:val="center"/>
          </w:tcPr>
          <w:p w14:paraId="64E211B5">
            <w:r>
              <w:rPr>
                <w:rStyle w:val="10"/>
                <w:rFonts w:hint="eastAsia"/>
              </w:rPr>
              <w:t>登记证持有人：</w:t>
            </w:r>
            <w:r>
              <w:rPr>
                <w:rFonts w:hint="eastAsia"/>
              </w:rPr>
              <w:t>四川金珠生态农业科技有限公司</w:t>
            </w:r>
          </w:p>
        </w:tc>
      </w:tr>
      <w:tr w14:paraId="75DAE0E6">
        <w:tblPrEx>
          <w:tblCellMar>
            <w:top w:w="0" w:type="dxa"/>
            <w:left w:w="0" w:type="dxa"/>
            <w:bottom w:w="0" w:type="dxa"/>
            <w:right w:w="0" w:type="dxa"/>
          </w:tblCellMar>
        </w:tblPrEx>
        <w:trPr>
          <w:wBefore w:w="0" w:type="auto"/>
          <w:tblCellSpacing w:w="0" w:type="dxa"/>
        </w:trPr>
        <w:tc>
          <w:tcPr>
            <w:tcW w:w="0" w:type="auto"/>
            <w:noWrap w:val="0"/>
            <w:vAlign w:val="center"/>
          </w:tcPr>
          <w:p w14:paraId="79D6646E">
            <w:r>
              <w:rPr>
                <w:rStyle w:val="10"/>
                <w:rFonts w:hint="eastAsia"/>
              </w:rPr>
              <w:t>农药名称：</w:t>
            </w:r>
            <w:r>
              <w:rPr>
                <w:rFonts w:hint="eastAsia"/>
              </w:rPr>
              <w:t>春雷霉素</w:t>
            </w:r>
          </w:p>
        </w:tc>
      </w:tr>
      <w:tr w14:paraId="6DF73650">
        <w:tblPrEx>
          <w:tblCellMar>
            <w:top w:w="0" w:type="dxa"/>
            <w:left w:w="0" w:type="dxa"/>
            <w:bottom w:w="0" w:type="dxa"/>
            <w:right w:w="0" w:type="dxa"/>
          </w:tblCellMar>
        </w:tblPrEx>
        <w:trPr>
          <w:wBefore w:w="0" w:type="auto"/>
          <w:tblCellSpacing w:w="0" w:type="dxa"/>
        </w:trPr>
        <w:tc>
          <w:tcPr>
            <w:tcW w:w="0" w:type="auto"/>
            <w:noWrap w:val="0"/>
            <w:vAlign w:val="center"/>
          </w:tcPr>
          <w:p w14:paraId="5FDB716C">
            <w:r>
              <w:rPr>
                <w:rStyle w:val="10"/>
                <w:rFonts w:hint="eastAsia"/>
              </w:rPr>
              <w:t>剂型：</w:t>
            </w:r>
            <w:r>
              <w:rPr>
                <w:rFonts w:hint="eastAsia"/>
              </w:rPr>
              <w:t>水分散粒剂</w:t>
            </w:r>
          </w:p>
        </w:tc>
      </w:tr>
      <w:tr w14:paraId="20E3050C">
        <w:tblPrEx>
          <w:tblCellMar>
            <w:top w:w="0" w:type="dxa"/>
            <w:left w:w="0" w:type="dxa"/>
            <w:bottom w:w="0" w:type="dxa"/>
            <w:right w:w="0" w:type="dxa"/>
          </w:tblCellMar>
        </w:tblPrEx>
        <w:trPr>
          <w:wBefore w:w="0" w:type="auto"/>
          <w:tblCellSpacing w:w="0" w:type="dxa"/>
        </w:trPr>
        <w:tc>
          <w:tcPr>
            <w:tcW w:w="0" w:type="auto"/>
            <w:noWrap w:val="0"/>
            <w:vAlign w:val="center"/>
          </w:tcPr>
          <w:p w14:paraId="3C92B8CB">
            <w:r>
              <w:rPr>
                <w:rStyle w:val="10"/>
                <w:rFonts w:hint="eastAsia"/>
              </w:rPr>
              <w:t>毒性及其标识：</w:t>
            </w:r>
            <w:r>
              <w:rPr>
                <w:rFonts w:hint="eastAsia"/>
              </w:rPr>
              <w:t xml:space="preserve"> </w:t>
            </w:r>
            <w:r>
              <w:rPr>
                <w:lang/>
              </w:rPr>
              <w:drawing>
                <wp:inline distT="0" distB="0" distL="114300" distR="114300">
                  <wp:extent cx="476250" cy="323850"/>
                  <wp:effectExtent l="0" t="0" r="0" b="0"/>
                  <wp:docPr id="71" name="图片 7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208342E">
        <w:tblPrEx>
          <w:tblCellMar>
            <w:top w:w="0" w:type="dxa"/>
            <w:left w:w="0" w:type="dxa"/>
            <w:bottom w:w="0" w:type="dxa"/>
            <w:right w:w="0" w:type="dxa"/>
          </w:tblCellMar>
        </w:tblPrEx>
        <w:trPr>
          <w:wBefore w:w="0" w:type="auto"/>
          <w:tblCellSpacing w:w="0" w:type="dxa"/>
        </w:trPr>
        <w:tc>
          <w:tcPr>
            <w:tcW w:w="0" w:type="auto"/>
            <w:noWrap w:val="0"/>
            <w:vAlign w:val="center"/>
          </w:tcPr>
          <w:p w14:paraId="7268BD23">
            <w:r>
              <w:rPr>
                <w:rStyle w:val="10"/>
                <w:rFonts w:hint="eastAsia"/>
              </w:rPr>
              <w:t>总有效成分含量：</w:t>
            </w:r>
            <w:r>
              <w:rPr>
                <w:rFonts w:hint="eastAsia"/>
              </w:rPr>
              <w:t>20%</w:t>
            </w:r>
          </w:p>
        </w:tc>
      </w:tr>
      <w:tr w14:paraId="5BE1EC91">
        <w:tblPrEx>
          <w:tblCellMar>
            <w:top w:w="0" w:type="dxa"/>
            <w:left w:w="0" w:type="dxa"/>
            <w:bottom w:w="0" w:type="dxa"/>
            <w:right w:w="0" w:type="dxa"/>
          </w:tblCellMar>
        </w:tblPrEx>
        <w:trPr>
          <w:wBefore w:w="0" w:type="auto"/>
          <w:tblCellSpacing w:w="0" w:type="dxa"/>
        </w:trPr>
        <w:tc>
          <w:tcPr>
            <w:tcW w:w="0" w:type="auto"/>
            <w:noWrap w:val="0"/>
            <w:vAlign w:val="center"/>
          </w:tcPr>
          <w:p w14:paraId="46A90441">
            <w:r>
              <w:rPr>
                <w:rFonts w:hint="eastAsia"/>
              </w:rPr>
              <w:t xml:space="preserve">有效成分及其含量： </w:t>
            </w:r>
          </w:p>
          <w:p w14:paraId="10D35A9D">
            <w:r>
              <w:rPr>
                <w:rFonts w:hint="eastAsia"/>
              </w:rPr>
              <w:t xml:space="preserve">    春雷霉素20%    </w:t>
            </w:r>
          </w:p>
        </w:tc>
      </w:tr>
      <w:tr w14:paraId="13C882BF">
        <w:tblPrEx>
          <w:tblCellMar>
            <w:top w:w="0" w:type="dxa"/>
            <w:left w:w="0" w:type="dxa"/>
            <w:bottom w:w="0" w:type="dxa"/>
            <w:right w:w="0" w:type="dxa"/>
          </w:tblCellMar>
        </w:tblPrEx>
        <w:trPr>
          <w:wBefore w:w="0" w:type="auto"/>
          <w:tblCellSpacing w:w="0" w:type="dxa"/>
        </w:trPr>
        <w:tc>
          <w:tcPr>
            <w:tcW w:w="0" w:type="auto"/>
            <w:noWrap w:val="0"/>
            <w:vAlign w:val="center"/>
          </w:tcPr>
          <w:p w14:paraId="7C94C7C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80DD4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EDA11A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7844DF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83B194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52D1CE6">
                  <w:r>
                    <w:rPr>
                      <w:rStyle w:val="11"/>
                      <w:rFonts w:hint="eastAsia"/>
                    </w:rPr>
                    <w:t>施用方式</w:t>
                  </w:r>
                </w:p>
              </w:tc>
            </w:tr>
            <w:tr w14:paraId="7C514B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B6A3CB">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CCA434">
                  <w:r>
                    <w:rPr>
                      <w:rStyle w:val="11"/>
                      <w:rFonts w:hint="eastAsia"/>
                    </w:rPr>
                    <w:t>稻瘟病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7B1C61">
                  <w:r>
                    <w:rPr>
                      <w:rStyle w:val="11"/>
                      <w:rFonts w:hint="eastAsia"/>
                    </w:rPr>
                    <w:t>8-16克/亩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974F7E">
                  <w:r>
                    <w:rPr>
                      <w:rStyle w:val="11"/>
                      <w:rFonts w:hint="eastAsia"/>
                    </w:rPr>
                    <w:t>喷雾</w:t>
                  </w:r>
                </w:p>
              </w:tc>
            </w:tr>
          </w:tbl>
          <w:p w14:paraId="00557C9E">
            <w:pPr>
              <w:rPr>
                <w:rFonts w:ascii="Times New Roman" w:hAnsi="Times New Roman" w:cs="Times New Roman"/>
                <w:sz w:val="20"/>
                <w:szCs w:val="20"/>
              </w:rPr>
            </w:pPr>
          </w:p>
        </w:tc>
      </w:tr>
      <w:tr w14:paraId="1E29CAE5">
        <w:tblPrEx>
          <w:tblCellMar>
            <w:top w:w="0" w:type="dxa"/>
            <w:left w:w="0" w:type="dxa"/>
            <w:bottom w:w="0" w:type="dxa"/>
            <w:right w:w="0" w:type="dxa"/>
          </w:tblCellMar>
        </w:tblPrEx>
        <w:trPr>
          <w:wBefore w:w="0" w:type="auto"/>
          <w:tblCellSpacing w:w="0" w:type="dxa"/>
        </w:trPr>
        <w:tc>
          <w:tcPr>
            <w:tcW w:w="0" w:type="auto"/>
            <w:noWrap w:val="0"/>
            <w:vAlign w:val="center"/>
          </w:tcPr>
          <w:p w14:paraId="14054BCC">
            <w:r>
              <w:rPr>
                <w:rStyle w:val="10"/>
                <w:rFonts w:hint="eastAsia"/>
              </w:rPr>
              <w:t>使用技术要求:</w:t>
            </w:r>
            <w:r>
              <w:rPr>
                <w:rFonts w:hint="eastAsia"/>
              </w:rPr>
              <w:br w:type="textWrapping"/>
            </w:r>
            <w:r>
              <w:rPr>
                <w:rStyle w:val="11"/>
                <w:rFonts w:hint="eastAsia"/>
              </w:rPr>
              <w:t>1. 于发病前或破口期进行常规喷雾，间隔7-10天再施药一次，共用药2次。 2. 大风天或预计1小时内有降雨，请勿施药。 3. 在水稻上安全间隔期为21天，每季最多使用2次。</w:t>
            </w:r>
          </w:p>
        </w:tc>
      </w:tr>
      <w:tr w14:paraId="162FD3BE">
        <w:tblPrEx>
          <w:tblCellMar>
            <w:top w:w="0" w:type="dxa"/>
            <w:left w:w="0" w:type="dxa"/>
            <w:bottom w:w="0" w:type="dxa"/>
            <w:right w:w="0" w:type="dxa"/>
          </w:tblCellMar>
        </w:tblPrEx>
        <w:trPr>
          <w:wBefore w:w="0" w:type="auto"/>
          <w:tblCellSpacing w:w="0" w:type="dxa"/>
        </w:trPr>
        <w:tc>
          <w:tcPr>
            <w:tcW w:w="0" w:type="auto"/>
            <w:noWrap w:val="0"/>
            <w:vAlign w:val="center"/>
          </w:tcPr>
          <w:p w14:paraId="527E1DCD">
            <w:r>
              <w:rPr>
                <w:rStyle w:val="10"/>
                <w:rFonts w:hint="eastAsia"/>
              </w:rPr>
              <w:t>产品性能:</w:t>
            </w:r>
            <w:r>
              <w:rPr>
                <w:rFonts w:hint="eastAsia"/>
              </w:rPr>
              <w:br w:type="textWrapping"/>
            </w:r>
            <w:r>
              <w:rPr>
                <w:rStyle w:val="11"/>
                <w:rFonts w:hint="eastAsia"/>
              </w:rPr>
              <w:t xml:space="preserve">本品属农用抗菌素类低毒杀菌剂，具有较强的内吸渗透性，同时具有 预防和治疗作用，其治疗作用更为显著。其作用机理是干扰病原菌的氨基 酸代谢的酯酶系统，破坏蛋白质的生物合成，抑制菌丝的生长和造成细胞 颗粒化，使病原菌失去繁殖和侵染能力，从而达到杀死病原菌防治病害的 目的。本品对水稻稻瘟病具有较好的防治效果。 </w:t>
            </w:r>
          </w:p>
        </w:tc>
      </w:tr>
      <w:tr w14:paraId="3FA9E608">
        <w:tblPrEx>
          <w:tblCellMar>
            <w:top w:w="0" w:type="dxa"/>
            <w:left w:w="0" w:type="dxa"/>
            <w:bottom w:w="0" w:type="dxa"/>
            <w:right w:w="0" w:type="dxa"/>
          </w:tblCellMar>
        </w:tblPrEx>
        <w:trPr>
          <w:wBefore w:w="0" w:type="auto"/>
          <w:tblCellSpacing w:w="0" w:type="dxa"/>
        </w:trPr>
        <w:tc>
          <w:tcPr>
            <w:tcW w:w="0" w:type="auto"/>
            <w:noWrap w:val="0"/>
            <w:vAlign w:val="center"/>
          </w:tcPr>
          <w:p w14:paraId="44B03F1C">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本品对眼睛有刺激性，使用时避免接触眼睛，穿戴长衣、长裤、帽子、口罩、手套等防护措施，避免吸入药液。施药期间禁止吃东西和饮水，施药后应及时洗脸、洗手。 2. 药液及其废液不得污染各类水域、土壤等环境，剩余药液应该避免污染鱼塘等水源。远离水产养殖区、河塘等水体施药；禁止在河塘等水体中清洗施药器具；或虾蟹套养稻田禁用，施药后的田水不得直接排入水体。 3. 蚕室及桑园附近禁用，或采用最外围桑树作为隔离带，以降低对家蚕的风险。 4. 孕妇及哺乳期妇女应避免接触本品。 5. 用过的容器应妥善处理，不可做他用，也不可随意丢弃。 6. 建议与其它作用机制不同杀菌剂轮换使用，以延缓抗性产生。</w:t>
            </w:r>
          </w:p>
        </w:tc>
      </w:tr>
      <w:tr w14:paraId="51F538D7">
        <w:tblPrEx>
          <w:tblCellMar>
            <w:top w:w="0" w:type="dxa"/>
            <w:left w:w="0" w:type="dxa"/>
            <w:bottom w:w="0" w:type="dxa"/>
            <w:right w:w="0" w:type="dxa"/>
          </w:tblCellMar>
        </w:tblPrEx>
        <w:trPr>
          <w:wBefore w:w="0" w:type="auto"/>
          <w:tblCellSpacing w:w="0" w:type="dxa"/>
        </w:trPr>
        <w:tc>
          <w:tcPr>
            <w:tcW w:w="0" w:type="auto"/>
            <w:noWrap w:val="0"/>
            <w:vAlign w:val="center"/>
          </w:tcPr>
          <w:p w14:paraId="0C3B4586">
            <w:r>
              <w:rPr>
                <w:rStyle w:val="10"/>
                <w:rFonts w:hint="eastAsia"/>
              </w:rPr>
              <w:t>中毒急救措施：</w:t>
            </w:r>
            <w:r>
              <w:rPr>
                <w:rFonts w:hint="eastAsia"/>
              </w:rPr>
              <w:br w:type="textWrapping"/>
            </w:r>
            <w:r>
              <w:rPr>
                <w:rStyle w:val="11"/>
                <w:rFonts w:hint="eastAsia"/>
              </w:rPr>
              <w:t xml:space="preserve">不慎吸入，应立即移到空气流通处。不慎溅入眼睛，应立即用清水冲 洗眼睛至少15分钟。不慎接触皮肤，应立即用大量清水冲洗皮肤表面。如 发生意外中毒，请携带标签及时就医对症治疗。 </w:t>
            </w:r>
          </w:p>
        </w:tc>
      </w:tr>
      <w:tr w14:paraId="568D9BE4">
        <w:tblPrEx>
          <w:tblCellMar>
            <w:top w:w="0" w:type="dxa"/>
            <w:left w:w="0" w:type="dxa"/>
            <w:bottom w:w="0" w:type="dxa"/>
            <w:right w:w="0" w:type="dxa"/>
          </w:tblCellMar>
        </w:tblPrEx>
        <w:trPr>
          <w:wBefore w:w="0" w:type="auto"/>
          <w:tblCellSpacing w:w="0" w:type="dxa"/>
        </w:trPr>
        <w:tc>
          <w:tcPr>
            <w:tcW w:w="0" w:type="auto"/>
            <w:noWrap w:val="0"/>
            <w:vAlign w:val="center"/>
          </w:tcPr>
          <w:p w14:paraId="406FC71B">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 触及不到之处，并加锁。勿与食品、饮料、饲料等其他商品同贮同运，严 防潮湿和日晒。 </w:t>
            </w:r>
          </w:p>
        </w:tc>
      </w:tr>
      <w:tr w14:paraId="042C2F61">
        <w:tblPrEx>
          <w:tblCellMar>
            <w:top w:w="0" w:type="dxa"/>
            <w:left w:w="0" w:type="dxa"/>
            <w:bottom w:w="0" w:type="dxa"/>
            <w:right w:w="0" w:type="dxa"/>
          </w:tblCellMar>
        </w:tblPrEx>
        <w:trPr>
          <w:wBefore w:w="0" w:type="auto"/>
          <w:tblCellSpacing w:w="0" w:type="dxa"/>
        </w:trPr>
        <w:tc>
          <w:tcPr>
            <w:tcW w:w="0" w:type="auto"/>
            <w:noWrap w:val="0"/>
            <w:vAlign w:val="center"/>
          </w:tcPr>
          <w:p w14:paraId="02EA4987">
            <w:r>
              <w:rPr>
                <w:rStyle w:val="10"/>
                <w:rFonts w:hint="eastAsia"/>
              </w:rPr>
              <w:t>质量保证期：</w:t>
            </w:r>
            <w:r>
              <w:rPr>
                <w:rStyle w:val="11"/>
                <w:rFonts w:hint="eastAsia"/>
              </w:rPr>
              <w:t>2年</w:t>
            </w:r>
          </w:p>
        </w:tc>
      </w:tr>
      <w:tr w14:paraId="600A12B0">
        <w:tblPrEx>
          <w:tblCellMar>
            <w:top w:w="0" w:type="dxa"/>
            <w:left w:w="0" w:type="dxa"/>
            <w:bottom w:w="0" w:type="dxa"/>
            <w:right w:w="0" w:type="dxa"/>
          </w:tblCellMar>
        </w:tblPrEx>
        <w:trPr>
          <w:wBefore w:w="0" w:type="auto"/>
          <w:tblCellSpacing w:w="0" w:type="dxa"/>
        </w:trPr>
        <w:tc>
          <w:tcPr>
            <w:tcW w:w="0" w:type="auto"/>
            <w:noWrap w:val="0"/>
            <w:vAlign w:val="center"/>
          </w:tcPr>
          <w:p w14:paraId="3A6813A3">
            <w:r>
              <w:rPr>
                <w:rStyle w:val="10"/>
                <w:rFonts w:hint="eastAsia"/>
              </w:rPr>
              <w:t>备注：</w:t>
            </w:r>
            <w:r>
              <w:rPr>
                <w:rFonts w:hint="eastAsia"/>
              </w:rPr>
              <w:br w:type="textWrapping"/>
            </w:r>
            <w:r>
              <w:rPr>
                <w:rStyle w:val="11"/>
                <w:rFonts w:hint="eastAsia"/>
              </w:rPr>
              <w:t>春雷霉素盐酸盐22.8%。</w:t>
            </w:r>
          </w:p>
        </w:tc>
      </w:tr>
    </w:tbl>
    <w:p w14:paraId="1975FD9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19FDF9C">
        <w:tblPrEx>
          <w:tblCellMar>
            <w:top w:w="0" w:type="dxa"/>
            <w:left w:w="0" w:type="dxa"/>
            <w:bottom w:w="0" w:type="dxa"/>
            <w:right w:w="0" w:type="dxa"/>
          </w:tblCellMar>
        </w:tblPrEx>
        <w:trPr>
          <w:wBefore w:w="0" w:type="auto"/>
          <w:tblCellSpacing w:w="0" w:type="dxa"/>
        </w:trPr>
        <w:tc>
          <w:tcPr>
            <w:tcW w:w="0" w:type="auto"/>
            <w:noWrap w:val="0"/>
            <w:vAlign w:val="center"/>
          </w:tcPr>
          <w:p w14:paraId="42B46EE2">
            <w:r>
              <w:rPr>
                <w:rStyle w:val="10"/>
                <w:rFonts w:hint="eastAsia"/>
              </w:rPr>
              <w:t>登记证号：</w:t>
            </w:r>
            <w:r>
              <w:rPr>
                <w:rFonts w:hint="eastAsia"/>
              </w:rPr>
              <w:t>PD20211888</w:t>
            </w:r>
          </w:p>
        </w:tc>
      </w:tr>
      <w:tr w14:paraId="4B9E6F0F">
        <w:tblPrEx>
          <w:tblCellMar>
            <w:top w:w="0" w:type="dxa"/>
            <w:left w:w="0" w:type="dxa"/>
            <w:bottom w:w="0" w:type="dxa"/>
            <w:right w:w="0" w:type="dxa"/>
          </w:tblCellMar>
        </w:tblPrEx>
        <w:trPr>
          <w:wBefore w:w="0" w:type="auto"/>
          <w:tblCellSpacing w:w="0" w:type="dxa"/>
        </w:trPr>
        <w:tc>
          <w:tcPr>
            <w:tcW w:w="0" w:type="auto"/>
            <w:noWrap w:val="0"/>
            <w:vAlign w:val="center"/>
          </w:tcPr>
          <w:p w14:paraId="34488E19">
            <w:r>
              <w:rPr>
                <w:rStyle w:val="10"/>
                <w:rFonts w:hint="eastAsia"/>
              </w:rPr>
              <w:t>登记证持有人：</w:t>
            </w:r>
            <w:r>
              <w:rPr>
                <w:rFonts w:hint="eastAsia"/>
              </w:rPr>
              <w:t>胜杰生命科技（潜江）有限公司</w:t>
            </w:r>
          </w:p>
        </w:tc>
      </w:tr>
      <w:tr w14:paraId="1A32A9FB">
        <w:tblPrEx>
          <w:tblCellMar>
            <w:top w:w="0" w:type="dxa"/>
            <w:left w:w="0" w:type="dxa"/>
            <w:bottom w:w="0" w:type="dxa"/>
            <w:right w:w="0" w:type="dxa"/>
          </w:tblCellMar>
        </w:tblPrEx>
        <w:trPr>
          <w:wBefore w:w="0" w:type="auto"/>
          <w:tblCellSpacing w:w="0" w:type="dxa"/>
        </w:trPr>
        <w:tc>
          <w:tcPr>
            <w:tcW w:w="0" w:type="auto"/>
            <w:noWrap w:val="0"/>
            <w:vAlign w:val="center"/>
          </w:tcPr>
          <w:p w14:paraId="2283CCB1">
            <w:r>
              <w:rPr>
                <w:rStyle w:val="10"/>
                <w:rFonts w:hint="eastAsia"/>
              </w:rPr>
              <w:t>农药名称：</w:t>
            </w:r>
            <w:r>
              <w:rPr>
                <w:rFonts w:hint="eastAsia"/>
              </w:rPr>
              <w:t>S-烯虫酯</w:t>
            </w:r>
          </w:p>
        </w:tc>
      </w:tr>
      <w:tr w14:paraId="574261EA">
        <w:tblPrEx>
          <w:tblCellMar>
            <w:top w:w="0" w:type="dxa"/>
            <w:left w:w="0" w:type="dxa"/>
            <w:bottom w:w="0" w:type="dxa"/>
            <w:right w:w="0" w:type="dxa"/>
          </w:tblCellMar>
        </w:tblPrEx>
        <w:trPr>
          <w:wBefore w:w="0" w:type="auto"/>
          <w:tblCellSpacing w:w="0" w:type="dxa"/>
        </w:trPr>
        <w:tc>
          <w:tcPr>
            <w:tcW w:w="0" w:type="auto"/>
            <w:noWrap w:val="0"/>
            <w:vAlign w:val="center"/>
          </w:tcPr>
          <w:p w14:paraId="20F15BA3">
            <w:r>
              <w:rPr>
                <w:rStyle w:val="10"/>
                <w:rFonts w:hint="eastAsia"/>
              </w:rPr>
              <w:t>剂型：</w:t>
            </w:r>
            <w:r>
              <w:rPr>
                <w:rFonts w:hint="eastAsia"/>
              </w:rPr>
              <w:t>颗粒剂</w:t>
            </w:r>
          </w:p>
        </w:tc>
      </w:tr>
      <w:tr w14:paraId="34CA8C66">
        <w:tblPrEx>
          <w:tblCellMar>
            <w:top w:w="0" w:type="dxa"/>
            <w:left w:w="0" w:type="dxa"/>
            <w:bottom w:w="0" w:type="dxa"/>
            <w:right w:w="0" w:type="dxa"/>
          </w:tblCellMar>
        </w:tblPrEx>
        <w:trPr>
          <w:wBefore w:w="0" w:type="auto"/>
          <w:tblCellSpacing w:w="0" w:type="dxa"/>
        </w:trPr>
        <w:tc>
          <w:tcPr>
            <w:tcW w:w="0" w:type="auto"/>
            <w:noWrap w:val="0"/>
            <w:vAlign w:val="center"/>
          </w:tcPr>
          <w:p w14:paraId="4D035BFA">
            <w:r>
              <w:rPr>
                <w:rStyle w:val="10"/>
                <w:rFonts w:hint="eastAsia"/>
              </w:rPr>
              <w:t>毒性及其标识：</w:t>
            </w:r>
            <w:r>
              <w:rPr>
                <w:rFonts w:hint="eastAsia"/>
              </w:rPr>
              <w:t xml:space="preserve"> </w:t>
            </w:r>
            <w:r>
              <w:rPr>
                <w:lang/>
              </w:rPr>
              <w:drawing>
                <wp:inline distT="0" distB="0" distL="114300" distR="114300">
                  <wp:extent cx="476250" cy="323850"/>
                  <wp:effectExtent l="0" t="0" r="0" b="0"/>
                  <wp:docPr id="72" name="图片 7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19F5A6A">
        <w:tblPrEx>
          <w:tblCellMar>
            <w:top w:w="0" w:type="dxa"/>
            <w:left w:w="0" w:type="dxa"/>
            <w:bottom w:w="0" w:type="dxa"/>
            <w:right w:w="0" w:type="dxa"/>
          </w:tblCellMar>
        </w:tblPrEx>
        <w:trPr>
          <w:wBefore w:w="0" w:type="auto"/>
          <w:tblCellSpacing w:w="0" w:type="dxa"/>
        </w:trPr>
        <w:tc>
          <w:tcPr>
            <w:tcW w:w="0" w:type="auto"/>
            <w:noWrap w:val="0"/>
            <w:vAlign w:val="center"/>
          </w:tcPr>
          <w:p w14:paraId="348432B3">
            <w:r>
              <w:rPr>
                <w:rStyle w:val="10"/>
                <w:rFonts w:hint="eastAsia"/>
              </w:rPr>
              <w:t>总有效成分含量：</w:t>
            </w:r>
            <w:r>
              <w:rPr>
                <w:rFonts w:hint="eastAsia"/>
              </w:rPr>
              <w:t>4.3%</w:t>
            </w:r>
          </w:p>
        </w:tc>
      </w:tr>
      <w:tr w14:paraId="4FB5CA4B">
        <w:tblPrEx>
          <w:tblCellMar>
            <w:top w:w="0" w:type="dxa"/>
            <w:left w:w="0" w:type="dxa"/>
            <w:bottom w:w="0" w:type="dxa"/>
            <w:right w:w="0" w:type="dxa"/>
          </w:tblCellMar>
        </w:tblPrEx>
        <w:trPr>
          <w:wBefore w:w="0" w:type="auto"/>
          <w:tblCellSpacing w:w="0" w:type="dxa"/>
        </w:trPr>
        <w:tc>
          <w:tcPr>
            <w:tcW w:w="0" w:type="auto"/>
            <w:noWrap w:val="0"/>
            <w:vAlign w:val="center"/>
          </w:tcPr>
          <w:p w14:paraId="783DF317">
            <w:r>
              <w:rPr>
                <w:rFonts w:hint="eastAsia"/>
              </w:rPr>
              <w:t xml:space="preserve">有效成分及其含量： </w:t>
            </w:r>
          </w:p>
          <w:p w14:paraId="0E789434">
            <w:r>
              <w:rPr>
                <w:rFonts w:hint="eastAsia"/>
              </w:rPr>
              <w:t xml:space="preserve">    S-烯虫酯4.3%    </w:t>
            </w:r>
          </w:p>
        </w:tc>
      </w:tr>
      <w:tr w14:paraId="0AE9DC79">
        <w:tblPrEx>
          <w:tblCellMar>
            <w:top w:w="0" w:type="dxa"/>
            <w:left w:w="0" w:type="dxa"/>
            <w:bottom w:w="0" w:type="dxa"/>
            <w:right w:w="0" w:type="dxa"/>
          </w:tblCellMar>
        </w:tblPrEx>
        <w:trPr>
          <w:wBefore w:w="0" w:type="auto"/>
          <w:tblCellSpacing w:w="0" w:type="dxa"/>
        </w:trPr>
        <w:tc>
          <w:tcPr>
            <w:tcW w:w="0" w:type="auto"/>
            <w:noWrap w:val="0"/>
            <w:vAlign w:val="center"/>
          </w:tcPr>
          <w:p w14:paraId="3374BA7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7949D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48D9DE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7A7401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53E13F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905F917">
                  <w:r>
                    <w:rPr>
                      <w:rStyle w:val="11"/>
                      <w:rFonts w:hint="eastAsia"/>
                    </w:rPr>
                    <w:t>施用方式</w:t>
                  </w:r>
                </w:p>
              </w:tc>
            </w:tr>
            <w:tr w14:paraId="1DED7B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C64C9DD">
                  <w:r>
                    <w:rPr>
                      <w:rStyle w:val="11"/>
                      <w:rFonts w:hint="eastAsia"/>
                    </w:rPr>
                    <w:t>室外（孳生地）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1B70EC">
                  <w:r>
                    <w:rPr>
                      <w:rStyle w:val="11"/>
                      <w:rFonts w:hint="eastAsia"/>
                    </w:rPr>
                    <w:t>蚊(幼虫)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B18252">
                  <w:r>
                    <w:rPr>
                      <w:rStyle w:val="11"/>
                      <w:rFonts w:hint="eastAsia"/>
                    </w:rPr>
                    <w:t>1.12 -2.24 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AD53EB">
                  <w:r>
                    <w:rPr>
                      <w:rStyle w:val="11"/>
                      <w:rFonts w:hint="eastAsia"/>
                    </w:rPr>
                    <w:t>撒施</w:t>
                  </w:r>
                </w:p>
              </w:tc>
            </w:tr>
          </w:tbl>
          <w:p w14:paraId="17041028">
            <w:pPr>
              <w:rPr>
                <w:rFonts w:ascii="Times New Roman" w:hAnsi="Times New Roman" w:cs="Times New Roman"/>
                <w:sz w:val="20"/>
                <w:szCs w:val="20"/>
              </w:rPr>
            </w:pPr>
          </w:p>
        </w:tc>
      </w:tr>
      <w:tr w14:paraId="60237015">
        <w:tblPrEx>
          <w:tblCellMar>
            <w:top w:w="0" w:type="dxa"/>
            <w:left w:w="0" w:type="dxa"/>
            <w:bottom w:w="0" w:type="dxa"/>
            <w:right w:w="0" w:type="dxa"/>
          </w:tblCellMar>
        </w:tblPrEx>
        <w:trPr>
          <w:wBefore w:w="0" w:type="auto"/>
          <w:tblCellSpacing w:w="0" w:type="dxa"/>
        </w:trPr>
        <w:tc>
          <w:tcPr>
            <w:tcW w:w="0" w:type="auto"/>
            <w:noWrap w:val="0"/>
            <w:vAlign w:val="center"/>
          </w:tcPr>
          <w:p w14:paraId="7E401100">
            <w:r>
              <w:rPr>
                <w:rStyle w:val="10"/>
                <w:rFonts w:hint="eastAsia"/>
              </w:rPr>
              <w:t>使用技术要求:</w:t>
            </w:r>
            <w:r>
              <w:rPr>
                <w:rFonts w:hint="eastAsia"/>
              </w:rPr>
              <w:br w:type="textWrapping"/>
            </w:r>
            <w:r>
              <w:rPr>
                <w:rStyle w:val="11"/>
                <w:rFonts w:hint="eastAsia"/>
              </w:rPr>
              <w:t>使用场所：各类蚊幼孳生地。使用方法：直接向孳生地投放或者撒施。</w:t>
            </w:r>
          </w:p>
        </w:tc>
      </w:tr>
      <w:tr w14:paraId="129AF2CC">
        <w:tblPrEx>
          <w:tblCellMar>
            <w:top w:w="0" w:type="dxa"/>
            <w:left w:w="0" w:type="dxa"/>
            <w:bottom w:w="0" w:type="dxa"/>
            <w:right w:w="0" w:type="dxa"/>
          </w:tblCellMar>
        </w:tblPrEx>
        <w:trPr>
          <w:wBefore w:w="0" w:type="auto"/>
          <w:tblCellSpacing w:w="0" w:type="dxa"/>
        </w:trPr>
        <w:tc>
          <w:tcPr>
            <w:tcW w:w="0" w:type="auto"/>
            <w:noWrap w:val="0"/>
            <w:vAlign w:val="center"/>
          </w:tcPr>
          <w:p w14:paraId="17FC0FE7">
            <w:r>
              <w:rPr>
                <w:rStyle w:val="10"/>
                <w:rFonts w:hint="eastAsia"/>
              </w:rPr>
              <w:t>产品性能:</w:t>
            </w:r>
            <w:r>
              <w:rPr>
                <w:rFonts w:hint="eastAsia"/>
              </w:rPr>
              <w:br w:type="textWrapping"/>
            </w:r>
            <w:r>
              <w:rPr>
                <w:rStyle w:val="11"/>
                <w:rFonts w:hint="eastAsia"/>
              </w:rPr>
              <w:t>抑制蚊幼的生长发育，防治蚊种群的孳生。本产品应用于水体中蚊的2、3、4期幼虫阶段，以防止成蚊的出现。施药后的幼虫会继续生长直至成蛹，然后死亡而不会继续发育为成蚊，以达到大规模控蚊。本产品属于昆虫生长调节剂，只对幼虫有药效，如果对蛹或成蚊施药，则不会有效果。</w:t>
            </w:r>
          </w:p>
        </w:tc>
      </w:tr>
      <w:tr w14:paraId="5E09AEF5">
        <w:tblPrEx>
          <w:tblCellMar>
            <w:top w:w="0" w:type="dxa"/>
            <w:left w:w="0" w:type="dxa"/>
            <w:bottom w:w="0" w:type="dxa"/>
            <w:right w:w="0" w:type="dxa"/>
          </w:tblCellMar>
        </w:tblPrEx>
        <w:trPr>
          <w:wBefore w:w="0" w:type="auto"/>
          <w:tblCellSpacing w:w="0" w:type="dxa"/>
        </w:trPr>
        <w:tc>
          <w:tcPr>
            <w:tcW w:w="0" w:type="auto"/>
            <w:noWrap w:val="0"/>
            <w:vAlign w:val="center"/>
          </w:tcPr>
          <w:p w14:paraId="0E54D070">
            <w:r>
              <w:rPr>
                <w:rStyle w:val="10"/>
                <w:rFonts w:hint="eastAsia"/>
              </w:rPr>
              <w:t>注意事项：</w:t>
            </w:r>
            <w:r>
              <w:rPr>
                <w:rFonts w:hint="eastAsia"/>
              </w:rPr>
              <w:br w:type="textWrapping"/>
            </w:r>
            <w:r>
              <w:rPr>
                <w:rStyle w:val="11"/>
                <w:rFonts w:hint="eastAsia"/>
              </w:rPr>
              <w:t>1.使用本品时应穿戴防护服和手套，做好安全防护，避免接触眼睛和吸入。2.施药时，勿饮食、饮水及抽烟。3.施药结束后及时洗脸和洗手，污染的衣服妥善处理或清洗干净以备下次使用。4.用过的容器应妥善处理，不可做他用或随意丢弃。水产养殖区等水体附近禁用，禁止在池塘等水域清洗施药器械。使用中有任何不良反应应及时就医。</w:t>
            </w:r>
          </w:p>
        </w:tc>
      </w:tr>
      <w:tr w14:paraId="4BE68678">
        <w:tblPrEx>
          <w:tblCellMar>
            <w:top w:w="0" w:type="dxa"/>
            <w:left w:w="0" w:type="dxa"/>
            <w:bottom w:w="0" w:type="dxa"/>
            <w:right w:w="0" w:type="dxa"/>
          </w:tblCellMar>
        </w:tblPrEx>
        <w:trPr>
          <w:wBefore w:w="0" w:type="auto"/>
          <w:tblCellSpacing w:w="0" w:type="dxa"/>
        </w:trPr>
        <w:tc>
          <w:tcPr>
            <w:tcW w:w="0" w:type="auto"/>
            <w:noWrap w:val="0"/>
            <w:vAlign w:val="center"/>
          </w:tcPr>
          <w:p w14:paraId="73913490">
            <w:r>
              <w:rPr>
                <w:rStyle w:val="10"/>
                <w:rFonts w:hint="eastAsia"/>
              </w:rPr>
              <w:t>中毒急救措施：</w:t>
            </w:r>
            <w:r>
              <w:rPr>
                <w:rFonts w:hint="eastAsia"/>
              </w:rPr>
              <w:br w:type="textWrapping"/>
            </w:r>
            <w:r>
              <w:rPr>
                <w:rStyle w:val="11"/>
                <w:rFonts w:hint="eastAsia"/>
              </w:rPr>
              <w:t>一般不会中毒，个别人用药时如果感觉不适，立即停止工作，采取急救措施,并携此标签送医就诊。 发生吸入，立即将吸入者转移到空气新鲜处。皮肤接触或溅入眼睛，用大量清水冲洗15-20分钟。误服：立即携带标签，送医就诊。解毒剂：无专用解毒剂，对症治疗。</w:t>
            </w:r>
          </w:p>
        </w:tc>
      </w:tr>
      <w:tr w14:paraId="46B0479A">
        <w:tblPrEx>
          <w:tblCellMar>
            <w:top w:w="0" w:type="dxa"/>
            <w:left w:w="0" w:type="dxa"/>
            <w:bottom w:w="0" w:type="dxa"/>
            <w:right w:w="0" w:type="dxa"/>
          </w:tblCellMar>
        </w:tblPrEx>
        <w:trPr>
          <w:wBefore w:w="0" w:type="auto"/>
          <w:tblCellSpacing w:w="0" w:type="dxa"/>
        </w:trPr>
        <w:tc>
          <w:tcPr>
            <w:tcW w:w="0" w:type="auto"/>
            <w:noWrap w:val="0"/>
            <w:vAlign w:val="center"/>
          </w:tcPr>
          <w:p w14:paraId="29749F01">
            <w:r>
              <w:rPr>
                <w:rStyle w:val="10"/>
                <w:rFonts w:hint="eastAsia"/>
              </w:rPr>
              <w:t>储存和运输方法：</w:t>
            </w:r>
            <w:r>
              <w:rPr>
                <w:rFonts w:hint="eastAsia"/>
              </w:rPr>
              <w:br w:type="textWrapping"/>
            </w:r>
            <w:r>
              <w:rPr>
                <w:rStyle w:val="11"/>
                <w:rFonts w:hint="eastAsia"/>
              </w:rPr>
              <w:t>本品应贮藏在避光、干燥、通风、防雨处，远离火源或热源。 运输时应注意避光，防高温，雨淋；产品码放高度不宜超过2米，以免损坏包装。 包装容器一旦空出，请勿乱弃，交由资质公司处理。 注意：保存在儿童接触不到的场所 不能与食品、饮料、粮食、饲料等同储同运。</w:t>
            </w:r>
          </w:p>
        </w:tc>
      </w:tr>
      <w:tr w14:paraId="62C8458B">
        <w:tblPrEx>
          <w:tblCellMar>
            <w:top w:w="0" w:type="dxa"/>
            <w:left w:w="0" w:type="dxa"/>
            <w:bottom w:w="0" w:type="dxa"/>
            <w:right w:w="0" w:type="dxa"/>
          </w:tblCellMar>
        </w:tblPrEx>
        <w:trPr>
          <w:wBefore w:w="0" w:type="auto"/>
          <w:tblCellSpacing w:w="0" w:type="dxa"/>
        </w:trPr>
        <w:tc>
          <w:tcPr>
            <w:tcW w:w="0" w:type="auto"/>
            <w:noWrap w:val="0"/>
            <w:vAlign w:val="center"/>
          </w:tcPr>
          <w:p w14:paraId="17F1604B">
            <w:r>
              <w:rPr>
                <w:rStyle w:val="10"/>
                <w:rFonts w:hint="eastAsia"/>
              </w:rPr>
              <w:t>质量保证期：</w:t>
            </w:r>
            <w:r>
              <w:rPr>
                <w:rStyle w:val="11"/>
                <w:rFonts w:hint="eastAsia"/>
              </w:rPr>
              <w:t>2年</w:t>
            </w:r>
          </w:p>
        </w:tc>
      </w:tr>
      <w:tr w14:paraId="5B053613">
        <w:tblPrEx>
          <w:tblCellMar>
            <w:top w:w="0" w:type="dxa"/>
            <w:left w:w="0" w:type="dxa"/>
            <w:bottom w:w="0" w:type="dxa"/>
            <w:right w:w="0" w:type="dxa"/>
          </w:tblCellMar>
        </w:tblPrEx>
        <w:trPr>
          <w:wBefore w:w="0" w:type="auto"/>
          <w:tblCellSpacing w:w="0" w:type="dxa"/>
        </w:trPr>
        <w:tc>
          <w:tcPr>
            <w:tcW w:w="0" w:type="auto"/>
            <w:noWrap w:val="0"/>
            <w:vAlign w:val="center"/>
          </w:tcPr>
          <w:p w14:paraId="2FF1C0BB">
            <w:r>
              <w:rPr>
                <w:rStyle w:val="10"/>
                <w:rFonts w:hint="eastAsia"/>
              </w:rPr>
              <w:t>备注：</w:t>
            </w:r>
          </w:p>
        </w:tc>
      </w:tr>
    </w:tbl>
    <w:p w14:paraId="24381C5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744BD84">
        <w:trPr>
          <w:wBefore w:w="0" w:type="auto"/>
          <w:tblCellSpacing w:w="0" w:type="dxa"/>
        </w:trPr>
        <w:tc>
          <w:tcPr>
            <w:tcW w:w="0" w:type="auto"/>
            <w:noWrap w:val="0"/>
            <w:vAlign w:val="center"/>
          </w:tcPr>
          <w:p w14:paraId="2C6765EC">
            <w:r>
              <w:rPr>
                <w:rStyle w:val="10"/>
                <w:rFonts w:hint="eastAsia"/>
              </w:rPr>
              <w:t>登记证号：</w:t>
            </w:r>
            <w:r>
              <w:rPr>
                <w:rFonts w:hint="eastAsia"/>
              </w:rPr>
              <w:t>PD20211734</w:t>
            </w:r>
          </w:p>
        </w:tc>
      </w:tr>
      <w:tr w14:paraId="64BD3BED">
        <w:tblPrEx>
          <w:tblCellMar>
            <w:top w:w="0" w:type="dxa"/>
            <w:left w:w="0" w:type="dxa"/>
            <w:bottom w:w="0" w:type="dxa"/>
            <w:right w:w="0" w:type="dxa"/>
          </w:tblCellMar>
        </w:tblPrEx>
        <w:trPr>
          <w:wBefore w:w="0" w:type="auto"/>
          <w:tblCellSpacing w:w="0" w:type="dxa"/>
        </w:trPr>
        <w:tc>
          <w:tcPr>
            <w:tcW w:w="0" w:type="auto"/>
            <w:noWrap w:val="0"/>
            <w:vAlign w:val="center"/>
          </w:tcPr>
          <w:p w14:paraId="7994DD4B">
            <w:r>
              <w:rPr>
                <w:rStyle w:val="10"/>
                <w:rFonts w:hint="eastAsia"/>
              </w:rPr>
              <w:t>登记证持有人：</w:t>
            </w:r>
            <w:r>
              <w:rPr>
                <w:rFonts w:hint="eastAsia"/>
              </w:rPr>
              <w:t>平顶山市益农科技有限公司</w:t>
            </w:r>
          </w:p>
        </w:tc>
      </w:tr>
      <w:tr w14:paraId="0B962C02">
        <w:tblPrEx>
          <w:tblCellMar>
            <w:top w:w="0" w:type="dxa"/>
            <w:left w:w="0" w:type="dxa"/>
            <w:bottom w:w="0" w:type="dxa"/>
            <w:right w:w="0" w:type="dxa"/>
          </w:tblCellMar>
        </w:tblPrEx>
        <w:trPr>
          <w:wBefore w:w="0" w:type="auto"/>
          <w:tblCellSpacing w:w="0" w:type="dxa"/>
        </w:trPr>
        <w:tc>
          <w:tcPr>
            <w:tcW w:w="0" w:type="auto"/>
            <w:noWrap w:val="0"/>
            <w:vAlign w:val="center"/>
          </w:tcPr>
          <w:p w14:paraId="36F76502">
            <w:r>
              <w:rPr>
                <w:rStyle w:val="10"/>
                <w:rFonts w:hint="eastAsia"/>
              </w:rPr>
              <w:t>农药名称：</w:t>
            </w:r>
            <w:r>
              <w:rPr>
                <w:rFonts w:hint="eastAsia"/>
              </w:rPr>
              <w:t>氟啶虫酰胺·联苯菊酯</w:t>
            </w:r>
          </w:p>
        </w:tc>
      </w:tr>
      <w:tr w14:paraId="60BA3B7A">
        <w:tblPrEx>
          <w:tblCellMar>
            <w:top w:w="0" w:type="dxa"/>
            <w:left w:w="0" w:type="dxa"/>
            <w:bottom w:w="0" w:type="dxa"/>
            <w:right w:w="0" w:type="dxa"/>
          </w:tblCellMar>
        </w:tblPrEx>
        <w:trPr>
          <w:wBefore w:w="0" w:type="auto"/>
          <w:tblCellSpacing w:w="0" w:type="dxa"/>
        </w:trPr>
        <w:tc>
          <w:tcPr>
            <w:tcW w:w="0" w:type="auto"/>
            <w:noWrap w:val="0"/>
            <w:vAlign w:val="center"/>
          </w:tcPr>
          <w:p w14:paraId="4848E261">
            <w:r>
              <w:rPr>
                <w:rStyle w:val="10"/>
                <w:rFonts w:hint="eastAsia"/>
              </w:rPr>
              <w:t>剂型：</w:t>
            </w:r>
            <w:r>
              <w:rPr>
                <w:rFonts w:hint="eastAsia"/>
              </w:rPr>
              <w:t>悬浮剂</w:t>
            </w:r>
          </w:p>
        </w:tc>
      </w:tr>
      <w:tr w14:paraId="609C3B9D">
        <w:tblPrEx>
          <w:tblCellMar>
            <w:top w:w="0" w:type="dxa"/>
            <w:left w:w="0" w:type="dxa"/>
            <w:bottom w:w="0" w:type="dxa"/>
            <w:right w:w="0" w:type="dxa"/>
          </w:tblCellMar>
        </w:tblPrEx>
        <w:trPr>
          <w:wBefore w:w="0" w:type="auto"/>
          <w:tblCellSpacing w:w="0" w:type="dxa"/>
        </w:trPr>
        <w:tc>
          <w:tcPr>
            <w:tcW w:w="0" w:type="auto"/>
            <w:noWrap w:val="0"/>
            <w:vAlign w:val="center"/>
          </w:tcPr>
          <w:p w14:paraId="52820BE6">
            <w:r>
              <w:rPr>
                <w:rStyle w:val="10"/>
                <w:rFonts w:hint="eastAsia"/>
              </w:rPr>
              <w:t>毒性及其标识：</w:t>
            </w:r>
            <w:r>
              <w:rPr>
                <w:rFonts w:hint="eastAsia"/>
              </w:rPr>
              <w:t xml:space="preserve"> </w:t>
            </w:r>
            <w:r>
              <w:rPr>
                <w:lang/>
              </w:rPr>
              <w:drawing>
                <wp:inline distT="0" distB="0" distL="114300" distR="114300">
                  <wp:extent cx="476250" cy="323850"/>
                  <wp:effectExtent l="0" t="0" r="0" b="0"/>
                  <wp:docPr id="73" name="图片 7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F54E8AC">
        <w:tblPrEx>
          <w:tblCellMar>
            <w:top w:w="0" w:type="dxa"/>
            <w:left w:w="0" w:type="dxa"/>
            <w:bottom w:w="0" w:type="dxa"/>
            <w:right w:w="0" w:type="dxa"/>
          </w:tblCellMar>
        </w:tblPrEx>
        <w:trPr>
          <w:wBefore w:w="0" w:type="auto"/>
          <w:tblCellSpacing w:w="0" w:type="dxa"/>
        </w:trPr>
        <w:tc>
          <w:tcPr>
            <w:tcW w:w="0" w:type="auto"/>
            <w:noWrap w:val="0"/>
            <w:vAlign w:val="center"/>
          </w:tcPr>
          <w:p w14:paraId="63FB9442">
            <w:r>
              <w:rPr>
                <w:rStyle w:val="10"/>
                <w:rFonts w:hint="eastAsia"/>
              </w:rPr>
              <w:t>总有效成分含量：</w:t>
            </w:r>
            <w:r>
              <w:rPr>
                <w:rFonts w:hint="eastAsia"/>
              </w:rPr>
              <w:t>15%</w:t>
            </w:r>
          </w:p>
        </w:tc>
      </w:tr>
      <w:tr w14:paraId="2E5BE3A1">
        <w:tblPrEx>
          <w:tblCellMar>
            <w:top w:w="0" w:type="dxa"/>
            <w:left w:w="0" w:type="dxa"/>
            <w:bottom w:w="0" w:type="dxa"/>
            <w:right w:w="0" w:type="dxa"/>
          </w:tblCellMar>
        </w:tblPrEx>
        <w:trPr>
          <w:wBefore w:w="0" w:type="auto"/>
          <w:tblCellSpacing w:w="0" w:type="dxa"/>
        </w:trPr>
        <w:tc>
          <w:tcPr>
            <w:tcW w:w="0" w:type="auto"/>
            <w:noWrap w:val="0"/>
            <w:vAlign w:val="center"/>
          </w:tcPr>
          <w:p w14:paraId="16AC4958">
            <w:r>
              <w:rPr>
                <w:rFonts w:hint="eastAsia"/>
              </w:rPr>
              <w:t xml:space="preserve">有效成分及其含量： </w:t>
            </w:r>
          </w:p>
          <w:p w14:paraId="7D029DB4">
            <w:r>
              <w:rPr>
                <w:rFonts w:hint="eastAsia"/>
              </w:rPr>
              <w:t xml:space="preserve">    联苯菊酯5%    氟啶虫酰胺10%    </w:t>
            </w:r>
          </w:p>
        </w:tc>
      </w:tr>
      <w:tr w14:paraId="52CCA0FF">
        <w:tblPrEx>
          <w:tblCellMar>
            <w:top w:w="0" w:type="dxa"/>
            <w:left w:w="0" w:type="dxa"/>
            <w:bottom w:w="0" w:type="dxa"/>
            <w:right w:w="0" w:type="dxa"/>
          </w:tblCellMar>
        </w:tblPrEx>
        <w:trPr>
          <w:wBefore w:w="0" w:type="auto"/>
          <w:tblCellSpacing w:w="0" w:type="dxa"/>
        </w:trPr>
        <w:tc>
          <w:tcPr>
            <w:tcW w:w="0" w:type="auto"/>
            <w:noWrap w:val="0"/>
            <w:vAlign w:val="center"/>
          </w:tcPr>
          <w:p w14:paraId="1A9AF00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5E287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C59F4B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BB65DB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D8E1E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5FF35D5">
                  <w:r>
                    <w:rPr>
                      <w:rStyle w:val="11"/>
                      <w:rFonts w:hint="eastAsia"/>
                    </w:rPr>
                    <w:t>施用方式</w:t>
                  </w:r>
                </w:p>
              </w:tc>
            </w:tr>
            <w:tr w14:paraId="5CEA8B1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C07C6A8">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2D3D20">
                  <w:r>
                    <w:rPr>
                      <w:rStyle w:val="11"/>
                      <w:rFonts w:hint="eastAsia"/>
                    </w:rPr>
                    <w:t>桃蚜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04CD3F">
                  <w:r>
                    <w:rPr>
                      <w:rStyle w:val="11"/>
                      <w:rFonts w:hint="eastAsia"/>
                    </w:rPr>
                    <w:t>4000-5000倍液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75163E">
                  <w:r>
                    <w:rPr>
                      <w:rStyle w:val="11"/>
                      <w:rFonts w:hint="eastAsia"/>
                    </w:rPr>
                    <w:t>喷雾</w:t>
                  </w:r>
                </w:p>
              </w:tc>
            </w:tr>
          </w:tbl>
          <w:p w14:paraId="4FB6E6BB">
            <w:pPr>
              <w:rPr>
                <w:rFonts w:ascii="Times New Roman" w:hAnsi="Times New Roman" w:cs="Times New Roman"/>
                <w:sz w:val="20"/>
                <w:szCs w:val="20"/>
              </w:rPr>
            </w:pPr>
          </w:p>
        </w:tc>
      </w:tr>
      <w:tr w14:paraId="076CFB28">
        <w:tblPrEx>
          <w:tblCellMar>
            <w:top w:w="0" w:type="dxa"/>
            <w:left w:w="0" w:type="dxa"/>
            <w:bottom w:w="0" w:type="dxa"/>
            <w:right w:w="0" w:type="dxa"/>
          </w:tblCellMar>
        </w:tblPrEx>
        <w:trPr>
          <w:wBefore w:w="0" w:type="auto"/>
          <w:tblCellSpacing w:w="0" w:type="dxa"/>
        </w:trPr>
        <w:tc>
          <w:tcPr>
            <w:tcW w:w="0" w:type="auto"/>
            <w:noWrap w:val="0"/>
            <w:vAlign w:val="center"/>
          </w:tcPr>
          <w:p w14:paraId="52AB8FC5">
            <w:r>
              <w:rPr>
                <w:rStyle w:val="10"/>
                <w:rFonts w:hint="eastAsia"/>
              </w:rPr>
              <w:t>使用技术要求:</w:t>
            </w:r>
            <w:r>
              <w:rPr>
                <w:rFonts w:hint="eastAsia"/>
              </w:rPr>
              <w:br w:type="textWrapping"/>
            </w:r>
            <w:r>
              <w:rPr>
                <w:rStyle w:val="11"/>
                <w:rFonts w:hint="eastAsia"/>
              </w:rPr>
              <w:t>1.于桃树桃蚜盛发期施药，常规均匀喷雾处理，施药1次，使用时喷雾均匀周到，以免影响防效。2.大风天或预计1小时内有雨，请勿施药。3.本品在桃树上使用的安全间隔期为14天，每季作物最多使用次数为1次。</w:t>
            </w:r>
          </w:p>
        </w:tc>
      </w:tr>
      <w:tr w14:paraId="272486E7">
        <w:tblPrEx>
          <w:tblCellMar>
            <w:top w:w="0" w:type="dxa"/>
            <w:left w:w="0" w:type="dxa"/>
            <w:bottom w:w="0" w:type="dxa"/>
            <w:right w:w="0" w:type="dxa"/>
          </w:tblCellMar>
        </w:tblPrEx>
        <w:trPr>
          <w:wBefore w:w="0" w:type="auto"/>
          <w:tblCellSpacing w:w="0" w:type="dxa"/>
        </w:trPr>
        <w:tc>
          <w:tcPr>
            <w:tcW w:w="0" w:type="auto"/>
            <w:noWrap w:val="0"/>
            <w:vAlign w:val="center"/>
          </w:tcPr>
          <w:p w14:paraId="3D154BDC">
            <w:r>
              <w:rPr>
                <w:rStyle w:val="10"/>
                <w:rFonts w:hint="eastAsia"/>
              </w:rPr>
              <w:t>产品性能:</w:t>
            </w:r>
            <w:r>
              <w:rPr>
                <w:rFonts w:hint="eastAsia"/>
              </w:rPr>
              <w:br w:type="textWrapping"/>
            </w:r>
            <w:r>
              <w:rPr>
                <w:rStyle w:val="11"/>
                <w:rFonts w:hint="eastAsia"/>
              </w:rPr>
              <w:t>联苯菊酯属拟除虫菊酯类杀虫剂，具有触杀、胃毒作用，杀虫谱广、作用迅速。氟啶虫酰胺是一种新型低毒吡啶酰胺类昆虫生长调节剂类杀虫剂，除具有触杀和胃毒作用，还具有很好的神经毒剂和快速拒食作用。该产品可以使得两种药剂的速效性和持效性产生互补效果，降低单剂的用药量，有效提高防治效果。</w:t>
            </w:r>
          </w:p>
        </w:tc>
      </w:tr>
      <w:tr w14:paraId="09E1F58F">
        <w:tblPrEx>
          <w:tblCellMar>
            <w:top w:w="0" w:type="dxa"/>
            <w:left w:w="0" w:type="dxa"/>
            <w:bottom w:w="0" w:type="dxa"/>
            <w:right w:w="0" w:type="dxa"/>
          </w:tblCellMar>
        </w:tblPrEx>
        <w:trPr>
          <w:wBefore w:w="0" w:type="auto"/>
          <w:tblCellSpacing w:w="0" w:type="dxa"/>
        </w:trPr>
        <w:tc>
          <w:tcPr>
            <w:tcW w:w="0" w:type="auto"/>
            <w:noWrap w:val="0"/>
            <w:vAlign w:val="center"/>
          </w:tcPr>
          <w:p w14:paraId="494B5FFE">
            <w:r>
              <w:rPr>
                <w:rStyle w:val="10"/>
                <w:rFonts w:hint="eastAsia"/>
              </w:rPr>
              <w:t>注意事项：</w:t>
            </w:r>
            <w:r>
              <w:rPr>
                <w:rFonts w:hint="eastAsia"/>
              </w:rPr>
              <w:br w:type="textWrapping"/>
            </w:r>
            <w:r>
              <w:rPr>
                <w:rStyle w:val="11"/>
                <w:rFonts w:hint="eastAsia"/>
              </w:rPr>
              <w:t>1.本品不可与呈碱性的农药等物质混合使用。本品与中等氧化剂（次氯酸钙）具有化学不相容性，避免与氧化剂接触与混合。2. 使用时穿戴长衣、长裤、帽子、口罩、手套等防护措施。，避免皮肤接触及口鼻吸入药液。施药期间不可吃东西和饮水，施药后应及时洗手和洗脸。3.本品对蜜蜂、鱼等水生生物、家蚕有毒，（周围）开花植物花期禁用，使用时应密切关注对附近蜂群的影响。蚕室和桑园附近禁用。远离水产养殖区、河塘等水体附近施药，避免药液污染水源，禁止在河塘等水域中清洗施药器具。赤眼蜂等天敌放飞区域禁用。4.用过的容器应妥善处理，不可做他用，也不可随意丢弃。5.孕妇及哺乳期妇女应避免接触本品。6.建议与其他作用机制不同的杀虫剂轮换使用，以延缓抗性的产生。</w:t>
            </w:r>
          </w:p>
        </w:tc>
      </w:tr>
      <w:tr w14:paraId="6E95852F">
        <w:tblPrEx>
          <w:tblCellMar>
            <w:top w:w="0" w:type="dxa"/>
            <w:left w:w="0" w:type="dxa"/>
            <w:bottom w:w="0" w:type="dxa"/>
            <w:right w:w="0" w:type="dxa"/>
          </w:tblCellMar>
        </w:tblPrEx>
        <w:trPr>
          <w:wBefore w:w="0" w:type="auto"/>
          <w:tblCellSpacing w:w="0" w:type="dxa"/>
        </w:trPr>
        <w:tc>
          <w:tcPr>
            <w:tcW w:w="0" w:type="auto"/>
            <w:noWrap w:val="0"/>
            <w:vAlign w:val="center"/>
          </w:tcPr>
          <w:p w14:paraId="15B5766A">
            <w:r>
              <w:rPr>
                <w:rStyle w:val="10"/>
                <w:rFonts w:hint="eastAsia"/>
              </w:rPr>
              <w:t>中毒急救措施：</w:t>
            </w:r>
            <w:r>
              <w:rPr>
                <w:rFonts w:hint="eastAsia"/>
              </w:rPr>
              <w:br w:type="textWrapping"/>
            </w:r>
            <w:r>
              <w:rPr>
                <w:rStyle w:val="11"/>
                <w:rFonts w:hint="eastAsia"/>
              </w:rPr>
              <w:t>中毒症状：无明显中毒症状。急救措施:1.用药时如果感觉不适，立即停止工作，采取急救措施，并携此标签送医就诊。2.皮肤接触：立即脱掉被污染的衣物，用大量清水冲洗被污染的皮肤，再用肥皂清洗，然后用清水冲净。3.眼睛溅药：立即将眼睑翻开，用清水冲洗至少15分钟，再请医生诊治。4.发生吸入：立即将吸入者转移到空气新鲜处，如果吸入者停止呼吸，需进行人工呼吸。请医生诊治。5.误服：请勿引吐，立即携此标签，送医就诊。</w:t>
            </w:r>
          </w:p>
        </w:tc>
      </w:tr>
      <w:tr w14:paraId="0243AD9E">
        <w:tblPrEx>
          <w:tblCellMar>
            <w:top w:w="0" w:type="dxa"/>
            <w:left w:w="0" w:type="dxa"/>
            <w:bottom w:w="0" w:type="dxa"/>
            <w:right w:w="0" w:type="dxa"/>
          </w:tblCellMar>
        </w:tblPrEx>
        <w:trPr>
          <w:wBefore w:w="0" w:type="auto"/>
          <w:tblCellSpacing w:w="0" w:type="dxa"/>
        </w:trPr>
        <w:tc>
          <w:tcPr>
            <w:tcW w:w="0" w:type="auto"/>
            <w:noWrap w:val="0"/>
            <w:vAlign w:val="center"/>
          </w:tcPr>
          <w:p w14:paraId="38DFF2A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本品应贮存在干燥、阴凉、通风、防雨处，远离火源或热源。置于儿童、无关人员触及不到之处，并加锁。勿与食品、饮料、粮食、饲料等同贮同运。</w:t>
            </w:r>
          </w:p>
        </w:tc>
      </w:tr>
      <w:tr w14:paraId="75AF91C7">
        <w:tblPrEx>
          <w:tblCellMar>
            <w:top w:w="0" w:type="dxa"/>
            <w:left w:w="0" w:type="dxa"/>
            <w:bottom w:w="0" w:type="dxa"/>
            <w:right w:w="0" w:type="dxa"/>
          </w:tblCellMar>
        </w:tblPrEx>
        <w:trPr>
          <w:wBefore w:w="0" w:type="auto"/>
          <w:tblCellSpacing w:w="0" w:type="dxa"/>
        </w:trPr>
        <w:tc>
          <w:tcPr>
            <w:tcW w:w="0" w:type="auto"/>
            <w:noWrap w:val="0"/>
            <w:vAlign w:val="center"/>
          </w:tcPr>
          <w:p w14:paraId="0AF0336D">
            <w:r>
              <w:rPr>
                <w:rStyle w:val="10"/>
                <w:rFonts w:hint="eastAsia"/>
              </w:rPr>
              <w:t>质量保证期：</w:t>
            </w:r>
            <w:r>
              <w:rPr>
                <w:rStyle w:val="11"/>
                <w:rFonts w:hint="eastAsia"/>
              </w:rPr>
              <w:t>2年</w:t>
            </w:r>
          </w:p>
        </w:tc>
      </w:tr>
      <w:tr w14:paraId="7AC128E9">
        <w:tblPrEx>
          <w:tblCellMar>
            <w:top w:w="0" w:type="dxa"/>
            <w:left w:w="0" w:type="dxa"/>
            <w:bottom w:w="0" w:type="dxa"/>
            <w:right w:w="0" w:type="dxa"/>
          </w:tblCellMar>
        </w:tblPrEx>
        <w:trPr>
          <w:wBefore w:w="0" w:type="auto"/>
          <w:tblCellSpacing w:w="0" w:type="dxa"/>
        </w:trPr>
        <w:tc>
          <w:tcPr>
            <w:tcW w:w="0" w:type="auto"/>
            <w:noWrap w:val="0"/>
            <w:vAlign w:val="center"/>
          </w:tcPr>
          <w:p w14:paraId="2D1896C9">
            <w:r>
              <w:rPr>
                <w:rStyle w:val="10"/>
                <w:rFonts w:hint="eastAsia"/>
              </w:rPr>
              <w:t>备注：</w:t>
            </w:r>
          </w:p>
        </w:tc>
      </w:tr>
    </w:tbl>
    <w:p w14:paraId="3399564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4D2010A">
        <w:tblPrEx>
          <w:tblCellMar>
            <w:top w:w="0" w:type="dxa"/>
            <w:left w:w="0" w:type="dxa"/>
            <w:bottom w:w="0" w:type="dxa"/>
            <w:right w:w="0" w:type="dxa"/>
          </w:tblCellMar>
        </w:tblPrEx>
        <w:trPr>
          <w:wBefore w:w="0" w:type="auto"/>
          <w:tblCellSpacing w:w="0" w:type="dxa"/>
        </w:trPr>
        <w:tc>
          <w:tcPr>
            <w:tcW w:w="0" w:type="auto"/>
            <w:noWrap w:val="0"/>
            <w:vAlign w:val="center"/>
          </w:tcPr>
          <w:p w14:paraId="7E81D457">
            <w:r>
              <w:rPr>
                <w:rStyle w:val="10"/>
                <w:rFonts w:hint="eastAsia"/>
              </w:rPr>
              <w:t>登记证号：</w:t>
            </w:r>
            <w:r>
              <w:rPr>
                <w:rFonts w:hint="eastAsia"/>
              </w:rPr>
              <w:t>PD20212275</w:t>
            </w:r>
          </w:p>
        </w:tc>
      </w:tr>
      <w:tr w14:paraId="35311C31">
        <w:tblPrEx>
          <w:tblCellMar>
            <w:top w:w="0" w:type="dxa"/>
            <w:left w:w="0" w:type="dxa"/>
            <w:bottom w:w="0" w:type="dxa"/>
            <w:right w:w="0" w:type="dxa"/>
          </w:tblCellMar>
        </w:tblPrEx>
        <w:trPr>
          <w:wBefore w:w="0" w:type="auto"/>
          <w:tblCellSpacing w:w="0" w:type="dxa"/>
        </w:trPr>
        <w:tc>
          <w:tcPr>
            <w:tcW w:w="0" w:type="auto"/>
            <w:noWrap w:val="0"/>
            <w:vAlign w:val="center"/>
          </w:tcPr>
          <w:p w14:paraId="5AD3139F">
            <w:r>
              <w:rPr>
                <w:rStyle w:val="10"/>
                <w:rFonts w:hint="eastAsia"/>
              </w:rPr>
              <w:t>登记证持有人：</w:t>
            </w:r>
            <w:r>
              <w:rPr>
                <w:rFonts w:hint="eastAsia"/>
              </w:rPr>
              <w:t>山东野田生物科技有限公司</w:t>
            </w:r>
          </w:p>
        </w:tc>
      </w:tr>
      <w:tr w14:paraId="20849DEA">
        <w:tblPrEx>
          <w:tblCellMar>
            <w:top w:w="0" w:type="dxa"/>
            <w:left w:w="0" w:type="dxa"/>
            <w:bottom w:w="0" w:type="dxa"/>
            <w:right w:w="0" w:type="dxa"/>
          </w:tblCellMar>
        </w:tblPrEx>
        <w:trPr>
          <w:wBefore w:w="0" w:type="auto"/>
          <w:tblCellSpacing w:w="0" w:type="dxa"/>
        </w:trPr>
        <w:tc>
          <w:tcPr>
            <w:tcW w:w="0" w:type="auto"/>
            <w:noWrap w:val="0"/>
            <w:vAlign w:val="center"/>
          </w:tcPr>
          <w:p w14:paraId="7FA5D27D">
            <w:r>
              <w:rPr>
                <w:rStyle w:val="10"/>
                <w:rFonts w:hint="eastAsia"/>
              </w:rPr>
              <w:t>农药名称：</w:t>
            </w:r>
            <w:r>
              <w:rPr>
                <w:rFonts w:hint="eastAsia"/>
              </w:rPr>
              <w:t>乙羧·草铵膦</w:t>
            </w:r>
          </w:p>
        </w:tc>
      </w:tr>
      <w:tr w14:paraId="5F9E5554">
        <w:tblPrEx>
          <w:tblCellMar>
            <w:top w:w="0" w:type="dxa"/>
            <w:left w:w="0" w:type="dxa"/>
            <w:bottom w:w="0" w:type="dxa"/>
            <w:right w:w="0" w:type="dxa"/>
          </w:tblCellMar>
        </w:tblPrEx>
        <w:trPr>
          <w:wBefore w:w="0" w:type="auto"/>
          <w:tblCellSpacing w:w="0" w:type="dxa"/>
        </w:trPr>
        <w:tc>
          <w:tcPr>
            <w:tcW w:w="0" w:type="auto"/>
            <w:noWrap w:val="0"/>
            <w:vAlign w:val="center"/>
          </w:tcPr>
          <w:p w14:paraId="207D4566">
            <w:r>
              <w:rPr>
                <w:rStyle w:val="10"/>
                <w:rFonts w:hint="eastAsia"/>
              </w:rPr>
              <w:t>剂型：</w:t>
            </w:r>
            <w:r>
              <w:rPr>
                <w:rFonts w:hint="eastAsia"/>
              </w:rPr>
              <w:t>微乳剂</w:t>
            </w:r>
          </w:p>
        </w:tc>
      </w:tr>
      <w:tr w14:paraId="4D9F2E03">
        <w:tblPrEx>
          <w:tblCellMar>
            <w:top w:w="0" w:type="dxa"/>
            <w:left w:w="0" w:type="dxa"/>
            <w:bottom w:w="0" w:type="dxa"/>
            <w:right w:w="0" w:type="dxa"/>
          </w:tblCellMar>
        </w:tblPrEx>
        <w:trPr>
          <w:wBefore w:w="0" w:type="auto"/>
          <w:tblCellSpacing w:w="0" w:type="dxa"/>
        </w:trPr>
        <w:tc>
          <w:tcPr>
            <w:tcW w:w="0" w:type="auto"/>
            <w:noWrap w:val="0"/>
            <w:vAlign w:val="center"/>
          </w:tcPr>
          <w:p w14:paraId="10636543">
            <w:r>
              <w:rPr>
                <w:rStyle w:val="10"/>
                <w:rFonts w:hint="eastAsia"/>
              </w:rPr>
              <w:t>毒性及其标识：</w:t>
            </w:r>
            <w:r>
              <w:rPr>
                <w:rFonts w:hint="eastAsia"/>
              </w:rPr>
              <w:t xml:space="preserve"> </w:t>
            </w:r>
            <w:r>
              <w:rPr>
                <w:lang/>
              </w:rPr>
              <w:drawing>
                <wp:inline distT="0" distB="0" distL="114300" distR="114300">
                  <wp:extent cx="476250" cy="323850"/>
                  <wp:effectExtent l="0" t="0" r="0" b="0"/>
                  <wp:docPr id="74" name="图片 7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9BE292E">
        <w:tblPrEx>
          <w:tblCellMar>
            <w:top w:w="0" w:type="dxa"/>
            <w:left w:w="0" w:type="dxa"/>
            <w:bottom w:w="0" w:type="dxa"/>
            <w:right w:w="0" w:type="dxa"/>
          </w:tblCellMar>
        </w:tblPrEx>
        <w:trPr>
          <w:wBefore w:w="0" w:type="auto"/>
          <w:tblCellSpacing w:w="0" w:type="dxa"/>
        </w:trPr>
        <w:tc>
          <w:tcPr>
            <w:tcW w:w="0" w:type="auto"/>
            <w:noWrap w:val="0"/>
            <w:vAlign w:val="center"/>
          </w:tcPr>
          <w:p w14:paraId="4DA2D2D3">
            <w:r>
              <w:rPr>
                <w:rStyle w:val="10"/>
                <w:rFonts w:hint="eastAsia"/>
              </w:rPr>
              <w:t>总有效成分含量：</w:t>
            </w:r>
            <w:r>
              <w:rPr>
                <w:rFonts w:hint="eastAsia"/>
              </w:rPr>
              <w:t>20%</w:t>
            </w:r>
          </w:p>
        </w:tc>
      </w:tr>
      <w:tr w14:paraId="4DBB8513">
        <w:tblPrEx>
          <w:tblCellMar>
            <w:top w:w="0" w:type="dxa"/>
            <w:left w:w="0" w:type="dxa"/>
            <w:bottom w:w="0" w:type="dxa"/>
            <w:right w:w="0" w:type="dxa"/>
          </w:tblCellMar>
        </w:tblPrEx>
        <w:trPr>
          <w:wBefore w:w="0" w:type="auto"/>
          <w:tblCellSpacing w:w="0" w:type="dxa"/>
        </w:trPr>
        <w:tc>
          <w:tcPr>
            <w:tcW w:w="0" w:type="auto"/>
            <w:noWrap w:val="0"/>
            <w:vAlign w:val="center"/>
          </w:tcPr>
          <w:p w14:paraId="165BEA5F">
            <w:r>
              <w:rPr>
                <w:rFonts w:hint="eastAsia"/>
              </w:rPr>
              <w:t xml:space="preserve">有效成分及其含量： </w:t>
            </w:r>
          </w:p>
          <w:p w14:paraId="12E478A7">
            <w:r>
              <w:rPr>
                <w:rFonts w:hint="eastAsia"/>
              </w:rPr>
              <w:t xml:space="preserve">    乙羧氟草醚1%    草铵膦19%    </w:t>
            </w:r>
          </w:p>
        </w:tc>
      </w:tr>
      <w:tr w14:paraId="4609DE1A">
        <w:tblPrEx>
          <w:tblCellMar>
            <w:top w:w="0" w:type="dxa"/>
            <w:left w:w="0" w:type="dxa"/>
            <w:bottom w:w="0" w:type="dxa"/>
            <w:right w:w="0" w:type="dxa"/>
          </w:tblCellMar>
        </w:tblPrEx>
        <w:trPr>
          <w:wBefore w:w="0" w:type="auto"/>
          <w:tblCellSpacing w:w="0" w:type="dxa"/>
        </w:trPr>
        <w:tc>
          <w:tcPr>
            <w:tcW w:w="0" w:type="auto"/>
            <w:noWrap w:val="0"/>
            <w:vAlign w:val="center"/>
          </w:tcPr>
          <w:p w14:paraId="475C4D1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E1ABC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B1043C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CCED34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BFF18A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040F8B9">
                  <w:r>
                    <w:rPr>
                      <w:rStyle w:val="11"/>
                      <w:rFonts w:hint="eastAsia"/>
                    </w:rPr>
                    <w:t>施用方式</w:t>
                  </w:r>
                </w:p>
              </w:tc>
            </w:tr>
            <w:tr w14:paraId="3529A0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23BD65F">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BC2101">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8D0532">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BD9AFF">
                  <w:r>
                    <w:rPr>
                      <w:rStyle w:val="11"/>
                      <w:rFonts w:hint="eastAsia"/>
                    </w:rPr>
                    <w:t>茎叶喷雾</w:t>
                  </w:r>
                </w:p>
              </w:tc>
            </w:tr>
          </w:tbl>
          <w:p w14:paraId="2CB806B5">
            <w:pPr>
              <w:rPr>
                <w:rFonts w:ascii="Times New Roman" w:hAnsi="Times New Roman" w:cs="Times New Roman"/>
                <w:sz w:val="20"/>
                <w:szCs w:val="20"/>
              </w:rPr>
            </w:pPr>
          </w:p>
        </w:tc>
      </w:tr>
      <w:tr w14:paraId="3B175C81">
        <w:tblPrEx>
          <w:tblCellMar>
            <w:top w:w="0" w:type="dxa"/>
            <w:left w:w="0" w:type="dxa"/>
            <w:bottom w:w="0" w:type="dxa"/>
            <w:right w:w="0" w:type="dxa"/>
          </w:tblCellMar>
        </w:tblPrEx>
        <w:trPr>
          <w:wBefore w:w="0" w:type="auto"/>
          <w:tblCellSpacing w:w="0" w:type="dxa"/>
        </w:trPr>
        <w:tc>
          <w:tcPr>
            <w:tcW w:w="0" w:type="auto"/>
            <w:noWrap w:val="0"/>
            <w:vAlign w:val="center"/>
          </w:tcPr>
          <w:p w14:paraId="0687DBB8">
            <w:r>
              <w:rPr>
                <w:rStyle w:val="10"/>
                <w:rFonts w:hint="eastAsia"/>
              </w:rPr>
              <w:t>使用技术要求:</w:t>
            </w:r>
            <w:r>
              <w:rPr>
                <w:rFonts w:hint="eastAsia"/>
              </w:rPr>
              <w:br w:type="textWrapping"/>
            </w:r>
            <w:r>
              <w:rPr>
                <w:rStyle w:val="11"/>
                <w:rFonts w:hint="eastAsia"/>
              </w:rPr>
              <w:t>1、在杂草生长旺盛期施药，每亩兑水30-45公斤，茎叶喷雾处理。2、大风天气、雨天或预计4小时下雨，请勿施药。3、施药时，如遇草龄较大或持续干旱，请酌情增加喷药量。</w:t>
            </w:r>
          </w:p>
        </w:tc>
      </w:tr>
      <w:tr w14:paraId="289FF652">
        <w:tblPrEx>
          <w:tblCellMar>
            <w:top w:w="0" w:type="dxa"/>
            <w:left w:w="0" w:type="dxa"/>
            <w:bottom w:w="0" w:type="dxa"/>
            <w:right w:w="0" w:type="dxa"/>
          </w:tblCellMar>
        </w:tblPrEx>
        <w:trPr>
          <w:wBefore w:w="0" w:type="auto"/>
          <w:tblCellSpacing w:w="0" w:type="dxa"/>
        </w:trPr>
        <w:tc>
          <w:tcPr>
            <w:tcW w:w="0" w:type="auto"/>
            <w:noWrap w:val="0"/>
            <w:vAlign w:val="center"/>
          </w:tcPr>
          <w:p w14:paraId="117EAFAB">
            <w:r>
              <w:rPr>
                <w:rStyle w:val="10"/>
                <w:rFonts w:hint="eastAsia"/>
              </w:rPr>
              <w:t>产品性能:</w:t>
            </w:r>
            <w:r>
              <w:rPr>
                <w:rFonts w:hint="eastAsia"/>
              </w:rPr>
              <w:br w:type="textWrapping"/>
            </w:r>
            <w:r>
              <w:rPr>
                <w:rStyle w:val="11"/>
                <w:rFonts w:hint="eastAsia"/>
              </w:rPr>
              <w:t>本品是非选择性触杀型杂草茎叶处理除草剂，具有杀草速度快、杀草谱广、持效期较长等特点，对非耕地难防杂草有较好的防效效果。</w:t>
            </w:r>
          </w:p>
        </w:tc>
      </w:tr>
      <w:tr w14:paraId="7E64A253">
        <w:tblPrEx>
          <w:tblCellMar>
            <w:top w:w="0" w:type="dxa"/>
            <w:left w:w="0" w:type="dxa"/>
            <w:bottom w:w="0" w:type="dxa"/>
            <w:right w:w="0" w:type="dxa"/>
          </w:tblCellMar>
        </w:tblPrEx>
        <w:trPr>
          <w:wBefore w:w="0" w:type="auto"/>
          <w:tblCellSpacing w:w="0" w:type="dxa"/>
        </w:trPr>
        <w:tc>
          <w:tcPr>
            <w:tcW w:w="0" w:type="auto"/>
            <w:noWrap w:val="0"/>
            <w:vAlign w:val="center"/>
          </w:tcPr>
          <w:p w14:paraId="6F05436C">
            <w:r>
              <w:rPr>
                <w:rStyle w:val="10"/>
                <w:rFonts w:hint="eastAsia"/>
              </w:rPr>
              <w:t>注意事项：</w:t>
            </w:r>
            <w:r>
              <w:rPr>
                <w:rFonts w:hint="eastAsia"/>
              </w:rPr>
              <w:br w:type="textWrapping"/>
            </w:r>
            <w:r>
              <w:rPr>
                <w:rStyle w:val="11"/>
                <w:rFonts w:hint="eastAsia"/>
              </w:rPr>
              <w:t>1使用前请仔细阅读此标签,并严格按照标签说明使用2、喷药时应注意风向，防止飘移到邻近敏感作物上3、使用本品时应穿戴防护服、手套等，避免吸入药液；施药期间不可吃东西、饮水等。施药后应及时洗手、洗脸等。4、清洗施药器具的废水不能排入河流、池塘等水源。废弃物应妥善处理，不可做他用，也不可随意丢弃。5、水产养殖区、河塘等水体附近禁用，禁止在河塘等水体清洗施药器械。6、赤眼蜂等天敌放飞区域禁用。7、桑园及蚕室附近禁用。8、本品对眼睛有中度刺激性，使用时要注意避免药液与眼睛接触。9、避免孕妇及哺乳期的妇女接触本品。</w:t>
            </w:r>
          </w:p>
        </w:tc>
      </w:tr>
      <w:tr w14:paraId="1FFFAF6B">
        <w:tblPrEx>
          <w:tblCellMar>
            <w:top w:w="0" w:type="dxa"/>
            <w:left w:w="0" w:type="dxa"/>
            <w:bottom w:w="0" w:type="dxa"/>
            <w:right w:w="0" w:type="dxa"/>
          </w:tblCellMar>
        </w:tblPrEx>
        <w:trPr>
          <w:wBefore w:w="0" w:type="auto"/>
          <w:tblCellSpacing w:w="0" w:type="dxa"/>
        </w:trPr>
        <w:tc>
          <w:tcPr>
            <w:tcW w:w="0" w:type="auto"/>
            <w:noWrap w:val="0"/>
            <w:vAlign w:val="center"/>
          </w:tcPr>
          <w:p w14:paraId="3EFC2B0A">
            <w:r>
              <w:rPr>
                <w:rStyle w:val="10"/>
                <w:rFonts w:hint="eastAsia"/>
              </w:rPr>
              <w:t>中毒急救措施：</w:t>
            </w:r>
            <w:r>
              <w:rPr>
                <w:rFonts w:hint="eastAsia"/>
              </w:rPr>
              <w:br w:type="textWrapping"/>
            </w:r>
            <w:r>
              <w:rPr>
                <w:rStyle w:val="11"/>
                <w:rFonts w:hint="eastAsia"/>
              </w:rPr>
              <w:t>1皮肤接触：立即脱掉污染的衣物，用肥皂和大量清水彻底清洗污染的皮肤。 2、眼睛接触：立即分开眼睑，用清水冲洗眼至少15分钟，再请医生诊治。 3、吸入：立即将患者转移到空气新鲜处，再请医生诊治。 4、误服：立即携带标签，送医院就诊，对症治疗。 5、本品无特效解毒剂，应对症治疗。</w:t>
            </w:r>
          </w:p>
        </w:tc>
      </w:tr>
      <w:tr w14:paraId="33716990">
        <w:tblPrEx>
          <w:tblCellMar>
            <w:top w:w="0" w:type="dxa"/>
            <w:left w:w="0" w:type="dxa"/>
            <w:bottom w:w="0" w:type="dxa"/>
            <w:right w:w="0" w:type="dxa"/>
          </w:tblCellMar>
        </w:tblPrEx>
        <w:trPr>
          <w:wBefore w:w="0" w:type="auto"/>
          <w:tblCellSpacing w:w="0" w:type="dxa"/>
        </w:trPr>
        <w:tc>
          <w:tcPr>
            <w:tcW w:w="0" w:type="auto"/>
            <w:noWrap w:val="0"/>
            <w:vAlign w:val="center"/>
          </w:tcPr>
          <w:p w14:paraId="36B8099E">
            <w:r>
              <w:rPr>
                <w:rStyle w:val="10"/>
                <w:rFonts w:hint="eastAsia"/>
              </w:rPr>
              <w:t>储存和运输方法：</w:t>
            </w:r>
            <w:r>
              <w:rPr>
                <w:rFonts w:hint="eastAsia"/>
              </w:rPr>
              <w:br w:type="textWrapping"/>
            </w:r>
            <w:r>
              <w:rPr>
                <w:rStyle w:val="11"/>
                <w:rFonts w:hint="eastAsia"/>
              </w:rPr>
              <w:t>1本品应密封贮存在干燥、阴凉、通风、防雨处，远离火源或热源。 2、存放于儿童触及不到之处，并加锁。 3、勿与食品、饮料、粮食、饲料等其他商品同贮同运。</w:t>
            </w:r>
          </w:p>
        </w:tc>
      </w:tr>
      <w:tr w14:paraId="4832CE04">
        <w:tblPrEx>
          <w:tblCellMar>
            <w:top w:w="0" w:type="dxa"/>
            <w:left w:w="0" w:type="dxa"/>
            <w:bottom w:w="0" w:type="dxa"/>
            <w:right w:w="0" w:type="dxa"/>
          </w:tblCellMar>
        </w:tblPrEx>
        <w:trPr>
          <w:wBefore w:w="0" w:type="auto"/>
          <w:tblCellSpacing w:w="0" w:type="dxa"/>
        </w:trPr>
        <w:tc>
          <w:tcPr>
            <w:tcW w:w="0" w:type="auto"/>
            <w:noWrap w:val="0"/>
            <w:vAlign w:val="center"/>
          </w:tcPr>
          <w:p w14:paraId="4E84C8F2">
            <w:r>
              <w:rPr>
                <w:rStyle w:val="10"/>
                <w:rFonts w:hint="eastAsia"/>
              </w:rPr>
              <w:t>质量保证期：</w:t>
            </w:r>
            <w:r>
              <w:rPr>
                <w:rStyle w:val="11"/>
                <w:rFonts w:hint="eastAsia"/>
              </w:rPr>
              <w:t>2年</w:t>
            </w:r>
          </w:p>
        </w:tc>
      </w:tr>
      <w:tr w14:paraId="64144C67">
        <w:tblPrEx>
          <w:tblCellMar>
            <w:top w:w="0" w:type="dxa"/>
            <w:left w:w="0" w:type="dxa"/>
            <w:bottom w:w="0" w:type="dxa"/>
            <w:right w:w="0" w:type="dxa"/>
          </w:tblCellMar>
        </w:tblPrEx>
        <w:trPr>
          <w:wBefore w:w="0" w:type="auto"/>
          <w:tblCellSpacing w:w="0" w:type="dxa"/>
        </w:trPr>
        <w:tc>
          <w:tcPr>
            <w:tcW w:w="0" w:type="auto"/>
            <w:noWrap w:val="0"/>
            <w:vAlign w:val="center"/>
          </w:tcPr>
          <w:p w14:paraId="57B83261">
            <w:r>
              <w:rPr>
                <w:rStyle w:val="10"/>
                <w:rFonts w:hint="eastAsia"/>
              </w:rPr>
              <w:t>备注：</w:t>
            </w:r>
          </w:p>
        </w:tc>
      </w:tr>
    </w:tbl>
    <w:p w14:paraId="5D490FE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8D0F297">
        <w:tblPrEx>
          <w:tblCellMar>
            <w:top w:w="0" w:type="dxa"/>
            <w:left w:w="0" w:type="dxa"/>
            <w:bottom w:w="0" w:type="dxa"/>
            <w:right w:w="0" w:type="dxa"/>
          </w:tblCellMar>
        </w:tblPrEx>
        <w:trPr>
          <w:wBefore w:w="0" w:type="auto"/>
          <w:tblCellSpacing w:w="0" w:type="dxa"/>
        </w:trPr>
        <w:tc>
          <w:tcPr>
            <w:tcW w:w="0" w:type="auto"/>
            <w:noWrap w:val="0"/>
            <w:vAlign w:val="center"/>
          </w:tcPr>
          <w:p w14:paraId="660036F8">
            <w:r>
              <w:rPr>
                <w:rStyle w:val="10"/>
                <w:rFonts w:hint="eastAsia"/>
              </w:rPr>
              <w:t>登记证号：</w:t>
            </w:r>
            <w:r>
              <w:rPr>
                <w:rFonts w:hint="eastAsia"/>
              </w:rPr>
              <w:t>PD20211971</w:t>
            </w:r>
          </w:p>
        </w:tc>
      </w:tr>
      <w:tr w14:paraId="6EFC0AF8">
        <w:tblPrEx>
          <w:tblCellMar>
            <w:top w:w="0" w:type="dxa"/>
            <w:left w:w="0" w:type="dxa"/>
            <w:bottom w:w="0" w:type="dxa"/>
            <w:right w:w="0" w:type="dxa"/>
          </w:tblCellMar>
        </w:tblPrEx>
        <w:trPr>
          <w:wBefore w:w="0" w:type="auto"/>
          <w:tblCellSpacing w:w="0" w:type="dxa"/>
        </w:trPr>
        <w:tc>
          <w:tcPr>
            <w:tcW w:w="0" w:type="auto"/>
            <w:noWrap w:val="0"/>
            <w:vAlign w:val="center"/>
          </w:tcPr>
          <w:p w14:paraId="6CC88596">
            <w:r>
              <w:rPr>
                <w:rStyle w:val="10"/>
                <w:rFonts w:hint="eastAsia"/>
              </w:rPr>
              <w:t>登记证持有人：</w:t>
            </w:r>
            <w:r>
              <w:rPr>
                <w:rFonts w:hint="eastAsia"/>
              </w:rPr>
              <w:t>安徽省四达农药化工有限公司</w:t>
            </w:r>
          </w:p>
        </w:tc>
      </w:tr>
      <w:tr w14:paraId="7DDEB1A7">
        <w:tblPrEx>
          <w:tblCellMar>
            <w:top w:w="0" w:type="dxa"/>
            <w:left w:w="0" w:type="dxa"/>
            <w:bottom w:w="0" w:type="dxa"/>
            <w:right w:w="0" w:type="dxa"/>
          </w:tblCellMar>
        </w:tblPrEx>
        <w:trPr>
          <w:wBefore w:w="0" w:type="auto"/>
          <w:tblCellSpacing w:w="0" w:type="dxa"/>
        </w:trPr>
        <w:tc>
          <w:tcPr>
            <w:tcW w:w="0" w:type="auto"/>
            <w:noWrap w:val="0"/>
            <w:vAlign w:val="center"/>
          </w:tcPr>
          <w:p w14:paraId="73707147">
            <w:r>
              <w:rPr>
                <w:rStyle w:val="10"/>
                <w:rFonts w:hint="eastAsia"/>
              </w:rPr>
              <w:t>农药名称：</w:t>
            </w:r>
            <w:r>
              <w:rPr>
                <w:rFonts w:hint="eastAsia"/>
              </w:rPr>
              <w:t>戊唑醇</w:t>
            </w:r>
          </w:p>
        </w:tc>
      </w:tr>
      <w:tr w14:paraId="5987D88F">
        <w:tblPrEx>
          <w:tblCellMar>
            <w:top w:w="0" w:type="dxa"/>
            <w:left w:w="0" w:type="dxa"/>
            <w:bottom w:w="0" w:type="dxa"/>
            <w:right w:w="0" w:type="dxa"/>
          </w:tblCellMar>
        </w:tblPrEx>
        <w:trPr>
          <w:wBefore w:w="0" w:type="auto"/>
          <w:tblCellSpacing w:w="0" w:type="dxa"/>
        </w:trPr>
        <w:tc>
          <w:tcPr>
            <w:tcW w:w="0" w:type="auto"/>
            <w:noWrap w:val="0"/>
            <w:vAlign w:val="center"/>
          </w:tcPr>
          <w:p w14:paraId="43DC3956">
            <w:r>
              <w:rPr>
                <w:rStyle w:val="10"/>
                <w:rFonts w:hint="eastAsia"/>
              </w:rPr>
              <w:t>剂型：</w:t>
            </w:r>
            <w:r>
              <w:rPr>
                <w:rFonts w:hint="eastAsia"/>
              </w:rPr>
              <w:t>种子处理悬浮剂</w:t>
            </w:r>
          </w:p>
        </w:tc>
      </w:tr>
      <w:tr w14:paraId="0C95890A">
        <w:tblPrEx>
          <w:tblCellMar>
            <w:top w:w="0" w:type="dxa"/>
            <w:left w:w="0" w:type="dxa"/>
            <w:bottom w:w="0" w:type="dxa"/>
            <w:right w:w="0" w:type="dxa"/>
          </w:tblCellMar>
        </w:tblPrEx>
        <w:trPr>
          <w:wBefore w:w="0" w:type="auto"/>
          <w:tblCellSpacing w:w="0" w:type="dxa"/>
        </w:trPr>
        <w:tc>
          <w:tcPr>
            <w:tcW w:w="0" w:type="auto"/>
            <w:noWrap w:val="0"/>
            <w:vAlign w:val="center"/>
          </w:tcPr>
          <w:p w14:paraId="162F38B9">
            <w:r>
              <w:rPr>
                <w:rStyle w:val="10"/>
                <w:rFonts w:hint="eastAsia"/>
              </w:rPr>
              <w:t>毒性及其标识：</w:t>
            </w:r>
            <w:r>
              <w:rPr>
                <w:rFonts w:hint="eastAsia"/>
              </w:rPr>
              <w:t xml:space="preserve"> 微毒 </w:t>
            </w:r>
          </w:p>
        </w:tc>
      </w:tr>
      <w:tr w14:paraId="5E5AC877">
        <w:tblPrEx>
          <w:tblCellMar>
            <w:top w:w="0" w:type="dxa"/>
            <w:left w:w="0" w:type="dxa"/>
            <w:bottom w:w="0" w:type="dxa"/>
            <w:right w:w="0" w:type="dxa"/>
          </w:tblCellMar>
        </w:tblPrEx>
        <w:trPr>
          <w:wBefore w:w="0" w:type="auto"/>
          <w:tblCellSpacing w:w="0" w:type="dxa"/>
        </w:trPr>
        <w:tc>
          <w:tcPr>
            <w:tcW w:w="0" w:type="auto"/>
            <w:noWrap w:val="0"/>
            <w:vAlign w:val="center"/>
          </w:tcPr>
          <w:p w14:paraId="3F634A38">
            <w:r>
              <w:rPr>
                <w:rStyle w:val="10"/>
                <w:rFonts w:hint="eastAsia"/>
              </w:rPr>
              <w:t>总有效成分含量：</w:t>
            </w:r>
            <w:r>
              <w:rPr>
                <w:rFonts w:hint="eastAsia"/>
              </w:rPr>
              <w:t>60克/升</w:t>
            </w:r>
          </w:p>
        </w:tc>
      </w:tr>
      <w:tr w14:paraId="40BAB236">
        <w:tblPrEx>
          <w:tblCellMar>
            <w:top w:w="0" w:type="dxa"/>
            <w:left w:w="0" w:type="dxa"/>
            <w:bottom w:w="0" w:type="dxa"/>
            <w:right w:w="0" w:type="dxa"/>
          </w:tblCellMar>
        </w:tblPrEx>
        <w:trPr>
          <w:wBefore w:w="0" w:type="auto"/>
          <w:tblCellSpacing w:w="0" w:type="dxa"/>
        </w:trPr>
        <w:tc>
          <w:tcPr>
            <w:tcW w:w="0" w:type="auto"/>
            <w:noWrap w:val="0"/>
            <w:vAlign w:val="center"/>
          </w:tcPr>
          <w:p w14:paraId="1F509E80">
            <w:r>
              <w:rPr>
                <w:rFonts w:hint="eastAsia"/>
              </w:rPr>
              <w:t xml:space="preserve">有效成分及其含量： </w:t>
            </w:r>
          </w:p>
          <w:p w14:paraId="57A1711A">
            <w:r>
              <w:rPr>
                <w:rFonts w:hint="eastAsia"/>
              </w:rPr>
              <w:t xml:space="preserve">    戊唑醇60克/升    </w:t>
            </w:r>
          </w:p>
        </w:tc>
      </w:tr>
      <w:tr w14:paraId="71FC95BD">
        <w:tblPrEx>
          <w:tblCellMar>
            <w:top w:w="0" w:type="dxa"/>
            <w:left w:w="0" w:type="dxa"/>
            <w:bottom w:w="0" w:type="dxa"/>
            <w:right w:w="0" w:type="dxa"/>
          </w:tblCellMar>
        </w:tblPrEx>
        <w:trPr>
          <w:wBefore w:w="0" w:type="auto"/>
          <w:tblCellSpacing w:w="0" w:type="dxa"/>
        </w:trPr>
        <w:tc>
          <w:tcPr>
            <w:tcW w:w="0" w:type="auto"/>
            <w:noWrap w:val="0"/>
            <w:vAlign w:val="center"/>
          </w:tcPr>
          <w:p w14:paraId="2344DBC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D4CB3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8E364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2C8511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64B33D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9885803">
                  <w:r>
                    <w:rPr>
                      <w:rStyle w:val="11"/>
                      <w:rFonts w:hint="eastAsia"/>
                    </w:rPr>
                    <w:t>施用方式</w:t>
                  </w:r>
                </w:p>
              </w:tc>
            </w:tr>
            <w:tr w14:paraId="4D203C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C222103">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334268">
                  <w:r>
                    <w:rPr>
                      <w:rStyle w:val="11"/>
                      <w:rFonts w:hint="eastAsia"/>
                    </w:rPr>
                    <w:t>纹枯病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527ACA">
                  <w:r>
                    <w:rPr>
                      <w:rStyle w:val="11"/>
                      <w:rFonts w:hint="eastAsia"/>
                    </w:rPr>
                    <w:t>60-70毫升/100千克种子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F30DFC">
                  <w:r>
                    <w:rPr>
                      <w:rStyle w:val="11"/>
                      <w:rFonts w:hint="eastAsia"/>
                    </w:rPr>
                    <w:t>种子包衣</w:t>
                  </w:r>
                </w:p>
              </w:tc>
            </w:tr>
          </w:tbl>
          <w:p w14:paraId="194F1263">
            <w:pPr>
              <w:rPr>
                <w:rFonts w:ascii="Times New Roman" w:hAnsi="Times New Roman" w:cs="Times New Roman"/>
                <w:sz w:val="20"/>
                <w:szCs w:val="20"/>
              </w:rPr>
            </w:pPr>
          </w:p>
        </w:tc>
      </w:tr>
      <w:tr w14:paraId="01DDFA0E">
        <w:tblPrEx>
          <w:tblCellMar>
            <w:top w:w="0" w:type="dxa"/>
            <w:left w:w="0" w:type="dxa"/>
            <w:bottom w:w="0" w:type="dxa"/>
            <w:right w:w="0" w:type="dxa"/>
          </w:tblCellMar>
        </w:tblPrEx>
        <w:trPr>
          <w:wBefore w:w="0" w:type="auto"/>
          <w:tblCellSpacing w:w="0" w:type="dxa"/>
        </w:trPr>
        <w:tc>
          <w:tcPr>
            <w:tcW w:w="0" w:type="auto"/>
            <w:noWrap w:val="0"/>
            <w:vAlign w:val="center"/>
          </w:tcPr>
          <w:p w14:paraId="441891D1">
            <w:r>
              <w:rPr>
                <w:rStyle w:val="10"/>
                <w:rFonts w:hint="eastAsia"/>
              </w:rPr>
              <w:t>使用技术要求:</w:t>
            </w:r>
            <w:r>
              <w:rPr>
                <w:rFonts w:hint="eastAsia"/>
              </w:rPr>
              <w:br w:type="textWrapping"/>
            </w:r>
            <w:r>
              <w:rPr>
                <w:rStyle w:val="11"/>
                <w:rFonts w:hint="eastAsia"/>
              </w:rPr>
              <w:t>1.种子包衣时按推荐用药量加适量清水稀释，将药液均匀分布到种子表面，晾干。2.配药前请摇匀。3.配制好的药液应在24小时内使用。5、药剂处理后的种子应按要求及时播种。</w:t>
            </w:r>
          </w:p>
        </w:tc>
      </w:tr>
      <w:tr w14:paraId="0D68E3A5">
        <w:tblPrEx>
          <w:tblCellMar>
            <w:top w:w="0" w:type="dxa"/>
            <w:left w:w="0" w:type="dxa"/>
            <w:bottom w:w="0" w:type="dxa"/>
            <w:right w:w="0" w:type="dxa"/>
          </w:tblCellMar>
        </w:tblPrEx>
        <w:trPr>
          <w:wBefore w:w="0" w:type="auto"/>
          <w:tblCellSpacing w:w="0" w:type="dxa"/>
        </w:trPr>
        <w:tc>
          <w:tcPr>
            <w:tcW w:w="0" w:type="auto"/>
            <w:noWrap w:val="0"/>
            <w:vAlign w:val="center"/>
          </w:tcPr>
          <w:p w14:paraId="4A43D267">
            <w:r>
              <w:rPr>
                <w:rStyle w:val="10"/>
                <w:rFonts w:hint="eastAsia"/>
              </w:rPr>
              <w:t>产品性能:</w:t>
            </w:r>
            <w:r>
              <w:rPr>
                <w:rFonts w:hint="eastAsia"/>
              </w:rPr>
              <w:br w:type="textWrapping"/>
            </w:r>
            <w:r>
              <w:rPr>
                <w:rStyle w:val="11"/>
                <w:rFonts w:hint="eastAsia"/>
              </w:rPr>
              <w:t>戊唑醇为内吸性三唑类杀菌剂，用量较低，持效期较长，可应用于小麦、玉米等作物的种子处理，防治种传和土传病害，并能减轻一些早期气传病害的为害。</w:t>
            </w:r>
          </w:p>
        </w:tc>
      </w:tr>
      <w:tr w14:paraId="1D38405C">
        <w:tblPrEx>
          <w:tblCellMar>
            <w:top w:w="0" w:type="dxa"/>
            <w:left w:w="0" w:type="dxa"/>
            <w:bottom w:w="0" w:type="dxa"/>
            <w:right w:w="0" w:type="dxa"/>
          </w:tblCellMar>
        </w:tblPrEx>
        <w:trPr>
          <w:wBefore w:w="0" w:type="auto"/>
          <w:tblCellSpacing w:w="0" w:type="dxa"/>
        </w:trPr>
        <w:tc>
          <w:tcPr>
            <w:tcW w:w="0" w:type="auto"/>
            <w:noWrap w:val="0"/>
            <w:vAlign w:val="center"/>
          </w:tcPr>
          <w:p w14:paraId="326509C3">
            <w:r>
              <w:rPr>
                <w:rStyle w:val="10"/>
                <w:rFonts w:hint="eastAsia"/>
              </w:rPr>
              <w:t>注意事项：</w:t>
            </w:r>
            <w:r>
              <w:rPr>
                <w:rFonts w:hint="eastAsia"/>
              </w:rPr>
              <w:br w:type="textWrapping"/>
            </w:r>
            <w:r>
              <w:rPr>
                <w:rStyle w:val="11"/>
                <w:rFonts w:hint="eastAsia"/>
              </w:rPr>
              <w:t>1．用戊唑醇种子处理悬浮剂处理过的种子播种深度以2～5厘米为宜。2．包衣和播种操作过程中应戴手套，穿戴防护衣物，禁止饮食、饮水和吸烟。3．室内操作时注意通风。4．处理后的种子禁止人畜食用，如需晾晒必须有专人看管，特别要注意远离儿童以防止误食中毒。5．所有处理药剂的器具使用后均应彻底冲洗。6．用药后请用肥皂和足量水清洗接触到药剂的身体部位。7.鸟类保护区禁用。8.孕妇和哺乳期妇女禁止接触。9．空包装应三次清洗并压烂或划破后妥善处理，切勿重复使用；应避免污染河流、湖泊等水源。10.药液及其废液不得污染各类水域、土壤等环境。11.本品对眼睛有刺激性，使用时要注意避免药液与眼睛接触。 12.禁止在河塘等水体中清洗施药器具。</w:t>
            </w:r>
          </w:p>
        </w:tc>
      </w:tr>
      <w:tr w14:paraId="5FE2D5F2">
        <w:tblPrEx>
          <w:tblCellMar>
            <w:top w:w="0" w:type="dxa"/>
            <w:left w:w="0" w:type="dxa"/>
            <w:bottom w:w="0" w:type="dxa"/>
            <w:right w:w="0" w:type="dxa"/>
          </w:tblCellMar>
        </w:tblPrEx>
        <w:trPr>
          <w:wBefore w:w="0" w:type="auto"/>
          <w:tblCellSpacing w:w="0" w:type="dxa"/>
        </w:trPr>
        <w:tc>
          <w:tcPr>
            <w:tcW w:w="0" w:type="auto"/>
            <w:noWrap w:val="0"/>
            <w:vAlign w:val="center"/>
          </w:tcPr>
          <w:p w14:paraId="39DC17FF">
            <w:r>
              <w:rPr>
                <w:rStyle w:val="10"/>
                <w:rFonts w:hint="eastAsia"/>
              </w:rPr>
              <w:t>中毒急救措施：</w:t>
            </w:r>
            <w:r>
              <w:rPr>
                <w:rFonts w:hint="eastAsia"/>
              </w:rPr>
              <w:br w:type="textWrapping"/>
            </w:r>
            <w:r>
              <w:rPr>
                <w:rStyle w:val="11"/>
                <w:rFonts w:hint="eastAsia"/>
              </w:rPr>
              <w:t>对眼睛有刺激性，使用时避免接触眼睛。 1. 一般建议：将中毒者从危险区域转移，脱去受污染衣物并妥善处置，转移时需保持中毒者处于稳定的侧卧体位。2. 如皮肤接触：用肥皂和大量清水彻底清洗，如仍有不适，应立即就医。3. 如误入眼睛：立即用大量清水冲洗至少15分钟；如戴隐形眼镜，先冲洗5分钟，摘掉眼镜后再继续冲洗，如仍有不适，应立即就医。4. 如误吸入：将患者移到空气新鲜处，使其保持温暖和休息，如仍有不适，应立即就医。5. 如误食：禁止引吐，用水漱口并立即携此标签就医。</w:t>
            </w:r>
          </w:p>
        </w:tc>
      </w:tr>
      <w:tr w14:paraId="0D3B1521">
        <w:tblPrEx>
          <w:tblCellMar>
            <w:top w:w="0" w:type="dxa"/>
            <w:left w:w="0" w:type="dxa"/>
            <w:bottom w:w="0" w:type="dxa"/>
            <w:right w:w="0" w:type="dxa"/>
          </w:tblCellMar>
        </w:tblPrEx>
        <w:trPr>
          <w:wBefore w:w="0" w:type="auto"/>
          <w:tblCellSpacing w:w="0" w:type="dxa"/>
        </w:trPr>
        <w:tc>
          <w:tcPr>
            <w:tcW w:w="0" w:type="auto"/>
            <w:noWrap w:val="0"/>
            <w:vAlign w:val="center"/>
          </w:tcPr>
          <w:p w14:paraId="13798294">
            <w:r>
              <w:rPr>
                <w:rStyle w:val="10"/>
                <w:rFonts w:hint="eastAsia"/>
              </w:rPr>
              <w:t>储存和运输方法：</w:t>
            </w:r>
            <w:r>
              <w:rPr>
                <w:rFonts w:hint="eastAsia"/>
              </w:rPr>
              <w:br w:type="textWrapping"/>
            </w:r>
            <w:r>
              <w:rPr>
                <w:rStyle w:val="11"/>
                <w:rFonts w:hint="eastAsia"/>
              </w:rPr>
              <w:t>1．本品应以原包装贮存于阴凉、干燥和通风处；避免阳光或强光源照射；2．不能与食品、饮料、粮食、饲料等混合储存和运输；3.置于儿童接触不到的地方，加锁保管；4．存贮温度为-10℃-40℃；5．运输时应注意防水防潮，避免雨淋；搬运时轻搬轻放，不可倒置；6.远离火源或热源。</w:t>
            </w:r>
          </w:p>
        </w:tc>
      </w:tr>
      <w:tr w14:paraId="085A9F21">
        <w:tblPrEx>
          <w:tblCellMar>
            <w:top w:w="0" w:type="dxa"/>
            <w:left w:w="0" w:type="dxa"/>
            <w:bottom w:w="0" w:type="dxa"/>
            <w:right w:w="0" w:type="dxa"/>
          </w:tblCellMar>
        </w:tblPrEx>
        <w:trPr>
          <w:wBefore w:w="0" w:type="auto"/>
          <w:tblCellSpacing w:w="0" w:type="dxa"/>
        </w:trPr>
        <w:tc>
          <w:tcPr>
            <w:tcW w:w="0" w:type="auto"/>
            <w:noWrap w:val="0"/>
            <w:vAlign w:val="center"/>
          </w:tcPr>
          <w:p w14:paraId="78638213">
            <w:r>
              <w:rPr>
                <w:rStyle w:val="10"/>
                <w:rFonts w:hint="eastAsia"/>
              </w:rPr>
              <w:t>质量保证期：</w:t>
            </w:r>
            <w:r>
              <w:rPr>
                <w:rStyle w:val="11"/>
                <w:rFonts w:hint="eastAsia"/>
              </w:rPr>
              <w:t>2年</w:t>
            </w:r>
          </w:p>
        </w:tc>
      </w:tr>
      <w:tr w14:paraId="59731011">
        <w:tblPrEx>
          <w:tblCellMar>
            <w:top w:w="0" w:type="dxa"/>
            <w:left w:w="0" w:type="dxa"/>
            <w:bottom w:w="0" w:type="dxa"/>
            <w:right w:w="0" w:type="dxa"/>
          </w:tblCellMar>
        </w:tblPrEx>
        <w:trPr>
          <w:wBefore w:w="0" w:type="auto"/>
          <w:tblCellSpacing w:w="0" w:type="dxa"/>
        </w:trPr>
        <w:tc>
          <w:tcPr>
            <w:tcW w:w="0" w:type="auto"/>
            <w:noWrap w:val="0"/>
            <w:vAlign w:val="center"/>
          </w:tcPr>
          <w:p w14:paraId="2A99B2DE">
            <w:r>
              <w:rPr>
                <w:rStyle w:val="10"/>
                <w:rFonts w:hint="eastAsia"/>
              </w:rPr>
              <w:t>备注：</w:t>
            </w:r>
          </w:p>
        </w:tc>
      </w:tr>
    </w:tbl>
    <w:p w14:paraId="331B196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F23590">
        <w:tblPrEx>
          <w:tblCellMar>
            <w:top w:w="0" w:type="dxa"/>
            <w:left w:w="0" w:type="dxa"/>
            <w:bottom w:w="0" w:type="dxa"/>
            <w:right w:w="0" w:type="dxa"/>
          </w:tblCellMar>
        </w:tblPrEx>
        <w:trPr>
          <w:wBefore w:w="0" w:type="auto"/>
          <w:tblCellSpacing w:w="0" w:type="dxa"/>
        </w:trPr>
        <w:tc>
          <w:tcPr>
            <w:tcW w:w="0" w:type="auto"/>
            <w:noWrap w:val="0"/>
            <w:vAlign w:val="center"/>
          </w:tcPr>
          <w:p w14:paraId="6184A0AD">
            <w:r>
              <w:rPr>
                <w:rStyle w:val="10"/>
                <w:rFonts w:hint="eastAsia"/>
              </w:rPr>
              <w:t>登记证号：</w:t>
            </w:r>
            <w:r>
              <w:rPr>
                <w:rFonts w:hint="eastAsia"/>
              </w:rPr>
              <w:t>PD20211837</w:t>
            </w:r>
          </w:p>
        </w:tc>
      </w:tr>
      <w:tr w14:paraId="34801B47">
        <w:tblPrEx>
          <w:tblCellMar>
            <w:top w:w="0" w:type="dxa"/>
            <w:left w:w="0" w:type="dxa"/>
            <w:bottom w:w="0" w:type="dxa"/>
            <w:right w:w="0" w:type="dxa"/>
          </w:tblCellMar>
        </w:tblPrEx>
        <w:trPr>
          <w:wBefore w:w="0" w:type="auto"/>
          <w:tblCellSpacing w:w="0" w:type="dxa"/>
        </w:trPr>
        <w:tc>
          <w:tcPr>
            <w:tcW w:w="0" w:type="auto"/>
            <w:noWrap w:val="0"/>
            <w:vAlign w:val="center"/>
          </w:tcPr>
          <w:p w14:paraId="065C771E">
            <w:r>
              <w:rPr>
                <w:rStyle w:val="10"/>
                <w:rFonts w:hint="eastAsia"/>
              </w:rPr>
              <w:t>登记证持有人：</w:t>
            </w:r>
            <w:r>
              <w:rPr>
                <w:rFonts w:hint="eastAsia"/>
              </w:rPr>
              <w:t>山西永合利丰生物科技有限公司</w:t>
            </w:r>
          </w:p>
        </w:tc>
      </w:tr>
      <w:tr w14:paraId="52AE9780">
        <w:tblPrEx>
          <w:tblCellMar>
            <w:top w:w="0" w:type="dxa"/>
            <w:left w:w="0" w:type="dxa"/>
            <w:bottom w:w="0" w:type="dxa"/>
            <w:right w:w="0" w:type="dxa"/>
          </w:tblCellMar>
        </w:tblPrEx>
        <w:trPr>
          <w:wBefore w:w="0" w:type="auto"/>
          <w:tblCellSpacing w:w="0" w:type="dxa"/>
        </w:trPr>
        <w:tc>
          <w:tcPr>
            <w:tcW w:w="0" w:type="auto"/>
            <w:noWrap w:val="0"/>
            <w:vAlign w:val="center"/>
          </w:tcPr>
          <w:p w14:paraId="2BCED12F">
            <w:r>
              <w:rPr>
                <w:rStyle w:val="10"/>
                <w:rFonts w:hint="eastAsia"/>
              </w:rPr>
              <w:t>农药名称：</w:t>
            </w:r>
            <w:r>
              <w:rPr>
                <w:rFonts w:hint="eastAsia"/>
              </w:rPr>
              <w:t>氟啶虫酰胺</w:t>
            </w:r>
          </w:p>
        </w:tc>
      </w:tr>
      <w:tr w14:paraId="355DECC2">
        <w:tblPrEx>
          <w:tblCellMar>
            <w:top w:w="0" w:type="dxa"/>
            <w:left w:w="0" w:type="dxa"/>
            <w:bottom w:w="0" w:type="dxa"/>
            <w:right w:w="0" w:type="dxa"/>
          </w:tblCellMar>
        </w:tblPrEx>
        <w:trPr>
          <w:wBefore w:w="0" w:type="auto"/>
          <w:tblCellSpacing w:w="0" w:type="dxa"/>
        </w:trPr>
        <w:tc>
          <w:tcPr>
            <w:tcW w:w="0" w:type="auto"/>
            <w:noWrap w:val="0"/>
            <w:vAlign w:val="center"/>
          </w:tcPr>
          <w:p w14:paraId="0605207C">
            <w:r>
              <w:rPr>
                <w:rStyle w:val="10"/>
                <w:rFonts w:hint="eastAsia"/>
              </w:rPr>
              <w:t>剂型：</w:t>
            </w:r>
            <w:r>
              <w:rPr>
                <w:rFonts w:hint="eastAsia"/>
              </w:rPr>
              <w:t>悬浮剂</w:t>
            </w:r>
          </w:p>
        </w:tc>
      </w:tr>
      <w:tr w14:paraId="216C70E3">
        <w:tblPrEx>
          <w:tblCellMar>
            <w:top w:w="0" w:type="dxa"/>
            <w:left w:w="0" w:type="dxa"/>
            <w:bottom w:w="0" w:type="dxa"/>
            <w:right w:w="0" w:type="dxa"/>
          </w:tblCellMar>
        </w:tblPrEx>
        <w:trPr>
          <w:wBefore w:w="0" w:type="auto"/>
          <w:tblCellSpacing w:w="0" w:type="dxa"/>
        </w:trPr>
        <w:tc>
          <w:tcPr>
            <w:tcW w:w="0" w:type="auto"/>
            <w:noWrap w:val="0"/>
            <w:vAlign w:val="center"/>
          </w:tcPr>
          <w:p w14:paraId="65A1B2AE">
            <w:r>
              <w:rPr>
                <w:rStyle w:val="10"/>
                <w:rFonts w:hint="eastAsia"/>
              </w:rPr>
              <w:t>毒性及其标识：</w:t>
            </w:r>
            <w:r>
              <w:rPr>
                <w:rFonts w:hint="eastAsia"/>
              </w:rPr>
              <w:t xml:space="preserve"> </w:t>
            </w:r>
            <w:r>
              <w:rPr>
                <w:lang/>
              </w:rPr>
              <w:drawing>
                <wp:inline distT="0" distB="0" distL="114300" distR="114300">
                  <wp:extent cx="476250" cy="323850"/>
                  <wp:effectExtent l="0" t="0" r="0" b="0"/>
                  <wp:docPr id="75" name="图片 7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5173B7C">
        <w:tblPrEx>
          <w:tblCellMar>
            <w:top w:w="0" w:type="dxa"/>
            <w:left w:w="0" w:type="dxa"/>
            <w:bottom w:w="0" w:type="dxa"/>
            <w:right w:w="0" w:type="dxa"/>
          </w:tblCellMar>
        </w:tblPrEx>
        <w:trPr>
          <w:wBefore w:w="0" w:type="auto"/>
          <w:tblCellSpacing w:w="0" w:type="dxa"/>
        </w:trPr>
        <w:tc>
          <w:tcPr>
            <w:tcW w:w="0" w:type="auto"/>
            <w:noWrap w:val="0"/>
            <w:vAlign w:val="center"/>
          </w:tcPr>
          <w:p w14:paraId="3A4977B3">
            <w:r>
              <w:rPr>
                <w:rStyle w:val="10"/>
                <w:rFonts w:hint="eastAsia"/>
              </w:rPr>
              <w:t>总有效成分含量：</w:t>
            </w:r>
            <w:r>
              <w:rPr>
                <w:rFonts w:hint="eastAsia"/>
              </w:rPr>
              <w:t>20%</w:t>
            </w:r>
          </w:p>
        </w:tc>
      </w:tr>
      <w:tr w14:paraId="4662E2DD">
        <w:tblPrEx>
          <w:tblCellMar>
            <w:top w:w="0" w:type="dxa"/>
            <w:left w:w="0" w:type="dxa"/>
            <w:bottom w:w="0" w:type="dxa"/>
            <w:right w:w="0" w:type="dxa"/>
          </w:tblCellMar>
        </w:tblPrEx>
        <w:trPr>
          <w:wBefore w:w="0" w:type="auto"/>
          <w:tblCellSpacing w:w="0" w:type="dxa"/>
        </w:trPr>
        <w:tc>
          <w:tcPr>
            <w:tcW w:w="0" w:type="auto"/>
            <w:noWrap w:val="0"/>
            <w:vAlign w:val="center"/>
          </w:tcPr>
          <w:p w14:paraId="26AA4004">
            <w:r>
              <w:rPr>
                <w:rFonts w:hint="eastAsia"/>
              </w:rPr>
              <w:t xml:space="preserve">有效成分及其含量： </w:t>
            </w:r>
          </w:p>
          <w:p w14:paraId="2A5BEA25">
            <w:r>
              <w:rPr>
                <w:rFonts w:hint="eastAsia"/>
              </w:rPr>
              <w:t xml:space="preserve">    氟啶虫酰胺20%    </w:t>
            </w:r>
          </w:p>
        </w:tc>
      </w:tr>
      <w:tr w14:paraId="0176EEB4">
        <w:tblPrEx>
          <w:tblCellMar>
            <w:top w:w="0" w:type="dxa"/>
            <w:left w:w="0" w:type="dxa"/>
            <w:bottom w:w="0" w:type="dxa"/>
            <w:right w:w="0" w:type="dxa"/>
          </w:tblCellMar>
        </w:tblPrEx>
        <w:trPr>
          <w:wBefore w:w="0" w:type="auto"/>
          <w:tblCellSpacing w:w="0" w:type="dxa"/>
        </w:trPr>
        <w:tc>
          <w:tcPr>
            <w:tcW w:w="0" w:type="auto"/>
            <w:noWrap w:val="0"/>
            <w:vAlign w:val="center"/>
          </w:tcPr>
          <w:p w14:paraId="1A7F8CE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73737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9B9C38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B5DB09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53DD4E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8A14839">
                  <w:r>
                    <w:rPr>
                      <w:rStyle w:val="11"/>
                      <w:rFonts w:hint="eastAsia"/>
                    </w:rPr>
                    <w:t>施用方式</w:t>
                  </w:r>
                </w:p>
              </w:tc>
            </w:tr>
            <w:tr w14:paraId="4B09619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F8DECD">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F66C79">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A49432">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67BC64">
                  <w:r>
                    <w:rPr>
                      <w:rStyle w:val="11"/>
                      <w:rFonts w:hint="eastAsia"/>
                    </w:rPr>
                    <w:t>喷雾</w:t>
                  </w:r>
                </w:p>
              </w:tc>
            </w:tr>
          </w:tbl>
          <w:p w14:paraId="3A6D3501">
            <w:pPr>
              <w:rPr>
                <w:rFonts w:ascii="Times New Roman" w:hAnsi="Times New Roman" w:cs="Times New Roman"/>
                <w:sz w:val="20"/>
                <w:szCs w:val="20"/>
              </w:rPr>
            </w:pPr>
          </w:p>
        </w:tc>
      </w:tr>
      <w:tr w14:paraId="3FEDA73C">
        <w:tblPrEx>
          <w:tblCellMar>
            <w:top w:w="0" w:type="dxa"/>
            <w:left w:w="0" w:type="dxa"/>
            <w:bottom w:w="0" w:type="dxa"/>
            <w:right w:w="0" w:type="dxa"/>
          </w:tblCellMar>
        </w:tblPrEx>
        <w:trPr>
          <w:wBefore w:w="0" w:type="auto"/>
          <w:tblCellSpacing w:w="0" w:type="dxa"/>
        </w:trPr>
        <w:tc>
          <w:tcPr>
            <w:tcW w:w="0" w:type="auto"/>
            <w:noWrap w:val="0"/>
            <w:vAlign w:val="center"/>
          </w:tcPr>
          <w:p w14:paraId="036EA969">
            <w:r>
              <w:rPr>
                <w:rStyle w:val="10"/>
                <w:rFonts w:hint="eastAsia"/>
              </w:rPr>
              <w:t>使用技术要求:</w:t>
            </w:r>
            <w:r>
              <w:rPr>
                <w:rFonts w:hint="eastAsia"/>
              </w:rPr>
              <w:br w:type="textWrapping"/>
            </w:r>
            <w:r>
              <w:rPr>
                <w:rStyle w:val="11"/>
                <w:rFonts w:hint="eastAsia"/>
              </w:rPr>
              <w:t>1. 黄瓜蚜虫发生始盛期施药1次，施药时应均匀喷雾。 2. 大风天或预计1小时内降雨，请勿施药。 3. 本品在黄瓜上安全间隔期为3天，每季作物最多使用1次。</w:t>
            </w:r>
          </w:p>
        </w:tc>
      </w:tr>
      <w:tr w14:paraId="33077C4E">
        <w:tblPrEx>
          <w:tblCellMar>
            <w:top w:w="0" w:type="dxa"/>
            <w:left w:w="0" w:type="dxa"/>
            <w:bottom w:w="0" w:type="dxa"/>
            <w:right w:w="0" w:type="dxa"/>
          </w:tblCellMar>
        </w:tblPrEx>
        <w:trPr>
          <w:wBefore w:w="0" w:type="auto"/>
          <w:tblCellSpacing w:w="0" w:type="dxa"/>
        </w:trPr>
        <w:tc>
          <w:tcPr>
            <w:tcW w:w="0" w:type="auto"/>
            <w:noWrap w:val="0"/>
            <w:vAlign w:val="center"/>
          </w:tcPr>
          <w:p w14:paraId="1763D0C1">
            <w:r>
              <w:rPr>
                <w:rStyle w:val="10"/>
                <w:rFonts w:hint="eastAsia"/>
              </w:rPr>
              <w:t>产品性能:</w:t>
            </w:r>
            <w:r>
              <w:rPr>
                <w:rFonts w:hint="eastAsia"/>
              </w:rPr>
              <w:br w:type="textWrapping"/>
            </w:r>
            <w:r>
              <w:rPr>
                <w:rStyle w:val="11"/>
                <w:rFonts w:hint="eastAsia"/>
              </w:rPr>
              <w:t>本品是一种新型吡啶酰胺类昆虫生长调节剂类杀虫剂，除具有触杀和胃毒作用，还具有很好的神经毒剂和快速拒食作用。对刺吸式口器害虫有效，并具有良好的渗透作用。害虫摄入药剂后很快停止吮吸，最后饥饿而死。本品对黄瓜蚜虫有很好的防治效果，在植物体内渗透性较强、持效性较长、耐雨性较好。</w:t>
            </w:r>
          </w:p>
        </w:tc>
      </w:tr>
      <w:tr w14:paraId="2B492FB1">
        <w:tblPrEx>
          <w:tblCellMar>
            <w:top w:w="0" w:type="dxa"/>
            <w:left w:w="0" w:type="dxa"/>
            <w:bottom w:w="0" w:type="dxa"/>
            <w:right w:w="0" w:type="dxa"/>
          </w:tblCellMar>
        </w:tblPrEx>
        <w:trPr>
          <w:wBefore w:w="0" w:type="auto"/>
          <w:tblCellSpacing w:w="0" w:type="dxa"/>
        </w:trPr>
        <w:tc>
          <w:tcPr>
            <w:tcW w:w="0" w:type="auto"/>
            <w:noWrap w:val="0"/>
            <w:vAlign w:val="center"/>
          </w:tcPr>
          <w:p w14:paraId="7BB1EF33">
            <w:r>
              <w:rPr>
                <w:rStyle w:val="10"/>
                <w:rFonts w:hint="eastAsia"/>
              </w:rPr>
              <w:t>注意事项：</w:t>
            </w:r>
            <w:r>
              <w:rPr>
                <w:rFonts w:hint="eastAsia"/>
              </w:rPr>
              <w:br w:type="textWrapping"/>
            </w:r>
            <w:r>
              <w:rPr>
                <w:rStyle w:val="11"/>
                <w:rFonts w:hint="eastAsia"/>
              </w:rPr>
              <w:t>1. 使用前请仔细阅读产品标签，并按规定使用；或在当地农技植保部门指导下科学合理使用本农药。 2. 接触本剂应遵守农药安全使用操作规程，穿戴好防护衣物，工作时禁止吸烟和进食。工作结束后，应用肥皂和清水洗脸、手和裸露部位。 3. 本品应避免与氧化剂接触。 4. 由于该药剂为昆虫拒食剂，因此施药后2-3天肉眼才能看到蚜虫死亡。注意不要重复施药。 5. 禁止在河塘等水域清洗施药器具，赤眼蜂等天敌放飞区域禁用。施药时应避免药液污染河塘等水源地。施药后剩余的药液和空容器要妥善处理，可烧毁或深埋，不得留做它用，不能污染环境。 6. 建议与其他作用机制不同的杀虫剂轮换使用，以延缓抗性产生。 7. 孕妇及哺乳期妇女请勿接触本品。</w:t>
            </w:r>
          </w:p>
        </w:tc>
      </w:tr>
      <w:tr w14:paraId="48D00DDA">
        <w:tblPrEx>
          <w:tblCellMar>
            <w:top w:w="0" w:type="dxa"/>
            <w:left w:w="0" w:type="dxa"/>
            <w:bottom w:w="0" w:type="dxa"/>
            <w:right w:w="0" w:type="dxa"/>
          </w:tblCellMar>
        </w:tblPrEx>
        <w:trPr>
          <w:wBefore w:w="0" w:type="auto"/>
          <w:tblCellSpacing w:w="0" w:type="dxa"/>
        </w:trPr>
        <w:tc>
          <w:tcPr>
            <w:tcW w:w="0" w:type="auto"/>
            <w:noWrap w:val="0"/>
            <w:vAlign w:val="center"/>
          </w:tcPr>
          <w:p w14:paraId="04547694">
            <w:r>
              <w:rPr>
                <w:rStyle w:val="10"/>
                <w:rFonts w:hint="eastAsia"/>
              </w:rPr>
              <w:t>中毒急救措施：</w:t>
            </w:r>
            <w:r>
              <w:rPr>
                <w:rFonts w:hint="eastAsia"/>
              </w:rPr>
              <w:br w:type="textWrapping"/>
            </w:r>
            <w:r>
              <w:rPr>
                <w:rStyle w:val="11"/>
                <w:rFonts w:hint="eastAsia"/>
              </w:rPr>
              <w:t>使用本剂后，请及时更换衣服，如不慎进入眼睛，请立即用清水冲洗至少15分钟；不慎接触皮肤，立即用肥皂和清水清洗。如不慎误服，喝大量的水，并立即携标签将病人送医院就诊。无特殊解毒剂。对症治疗。</w:t>
            </w:r>
          </w:p>
        </w:tc>
      </w:tr>
      <w:tr w14:paraId="23225510">
        <w:tblPrEx>
          <w:tblCellMar>
            <w:top w:w="0" w:type="dxa"/>
            <w:left w:w="0" w:type="dxa"/>
            <w:bottom w:w="0" w:type="dxa"/>
            <w:right w:w="0" w:type="dxa"/>
          </w:tblCellMar>
        </w:tblPrEx>
        <w:trPr>
          <w:wBefore w:w="0" w:type="auto"/>
          <w:tblCellSpacing w:w="0" w:type="dxa"/>
        </w:trPr>
        <w:tc>
          <w:tcPr>
            <w:tcW w:w="0" w:type="auto"/>
            <w:noWrap w:val="0"/>
            <w:vAlign w:val="center"/>
          </w:tcPr>
          <w:p w14:paraId="7F0D1E79">
            <w:r>
              <w:rPr>
                <w:rStyle w:val="10"/>
                <w:rFonts w:hint="eastAsia"/>
              </w:rPr>
              <w:t>储存和运输方法：</w:t>
            </w:r>
            <w:r>
              <w:rPr>
                <w:rFonts w:hint="eastAsia"/>
              </w:rPr>
              <w:br w:type="textWrapping"/>
            </w:r>
            <w:r>
              <w:rPr>
                <w:rStyle w:val="11"/>
                <w:rFonts w:hint="eastAsia"/>
              </w:rPr>
              <w:t>本品应避免阳光直射，应在阴凉、干燥、通风、防雨处密封贮存，远离火源或热源；避免与具有氧化性物质接触或混合。置于儿童、无关人员接触不到之处，并加锁；勿与食品、饮料、粮食、饲料等其他商品同贮同运；运输时注意防高温、防雨淋，轻搬轻放，确保无破损。</w:t>
            </w:r>
          </w:p>
        </w:tc>
      </w:tr>
      <w:tr w14:paraId="775E7E06">
        <w:tblPrEx>
          <w:tblCellMar>
            <w:top w:w="0" w:type="dxa"/>
            <w:left w:w="0" w:type="dxa"/>
            <w:bottom w:w="0" w:type="dxa"/>
            <w:right w:w="0" w:type="dxa"/>
          </w:tblCellMar>
        </w:tblPrEx>
        <w:trPr>
          <w:wBefore w:w="0" w:type="auto"/>
          <w:tblCellSpacing w:w="0" w:type="dxa"/>
        </w:trPr>
        <w:tc>
          <w:tcPr>
            <w:tcW w:w="0" w:type="auto"/>
            <w:noWrap w:val="0"/>
            <w:vAlign w:val="center"/>
          </w:tcPr>
          <w:p w14:paraId="49CCDD53">
            <w:r>
              <w:rPr>
                <w:rStyle w:val="10"/>
                <w:rFonts w:hint="eastAsia"/>
              </w:rPr>
              <w:t>质量保证期：</w:t>
            </w:r>
            <w:r>
              <w:rPr>
                <w:rStyle w:val="11"/>
                <w:rFonts w:hint="eastAsia"/>
              </w:rPr>
              <w:t>2年</w:t>
            </w:r>
          </w:p>
        </w:tc>
      </w:tr>
      <w:tr w14:paraId="4E81FD73">
        <w:tblPrEx>
          <w:tblCellMar>
            <w:top w:w="0" w:type="dxa"/>
            <w:left w:w="0" w:type="dxa"/>
            <w:bottom w:w="0" w:type="dxa"/>
            <w:right w:w="0" w:type="dxa"/>
          </w:tblCellMar>
        </w:tblPrEx>
        <w:trPr>
          <w:wBefore w:w="0" w:type="auto"/>
          <w:tblCellSpacing w:w="0" w:type="dxa"/>
        </w:trPr>
        <w:tc>
          <w:tcPr>
            <w:tcW w:w="0" w:type="auto"/>
            <w:noWrap w:val="0"/>
            <w:vAlign w:val="center"/>
          </w:tcPr>
          <w:p w14:paraId="0075C13D">
            <w:r>
              <w:rPr>
                <w:rStyle w:val="10"/>
                <w:rFonts w:hint="eastAsia"/>
              </w:rPr>
              <w:t>备注：</w:t>
            </w:r>
          </w:p>
        </w:tc>
      </w:tr>
    </w:tbl>
    <w:p w14:paraId="75D9421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F64C9D5">
        <w:tblPrEx>
          <w:tblCellMar>
            <w:top w:w="0" w:type="dxa"/>
            <w:left w:w="0" w:type="dxa"/>
            <w:bottom w:w="0" w:type="dxa"/>
            <w:right w:w="0" w:type="dxa"/>
          </w:tblCellMar>
        </w:tblPrEx>
        <w:trPr>
          <w:wBefore w:w="0" w:type="auto"/>
          <w:tblCellSpacing w:w="0" w:type="dxa"/>
        </w:trPr>
        <w:tc>
          <w:tcPr>
            <w:tcW w:w="0" w:type="auto"/>
            <w:noWrap w:val="0"/>
            <w:vAlign w:val="center"/>
          </w:tcPr>
          <w:p w14:paraId="6E842953">
            <w:r>
              <w:rPr>
                <w:rStyle w:val="10"/>
                <w:rFonts w:hint="eastAsia"/>
              </w:rPr>
              <w:t>登记证号：</w:t>
            </w:r>
            <w:r>
              <w:rPr>
                <w:rFonts w:hint="eastAsia"/>
              </w:rPr>
              <w:t>PD20212265</w:t>
            </w:r>
          </w:p>
        </w:tc>
      </w:tr>
      <w:tr w14:paraId="4C7BEE52">
        <w:tblPrEx>
          <w:tblCellMar>
            <w:top w:w="0" w:type="dxa"/>
            <w:left w:w="0" w:type="dxa"/>
            <w:bottom w:w="0" w:type="dxa"/>
            <w:right w:w="0" w:type="dxa"/>
          </w:tblCellMar>
        </w:tblPrEx>
        <w:trPr>
          <w:wBefore w:w="0" w:type="auto"/>
          <w:tblCellSpacing w:w="0" w:type="dxa"/>
        </w:trPr>
        <w:tc>
          <w:tcPr>
            <w:tcW w:w="0" w:type="auto"/>
            <w:noWrap w:val="0"/>
            <w:vAlign w:val="center"/>
          </w:tcPr>
          <w:p w14:paraId="56F1E2C8">
            <w:r>
              <w:rPr>
                <w:rStyle w:val="10"/>
                <w:rFonts w:hint="eastAsia"/>
              </w:rPr>
              <w:t>登记证持有人：</w:t>
            </w:r>
            <w:r>
              <w:rPr>
                <w:rFonts w:hint="eastAsia"/>
              </w:rPr>
              <w:t>湖南新长山农业发展股份有限公司</w:t>
            </w:r>
          </w:p>
        </w:tc>
      </w:tr>
      <w:tr w14:paraId="538A5DFB">
        <w:tblPrEx>
          <w:tblCellMar>
            <w:top w:w="0" w:type="dxa"/>
            <w:left w:w="0" w:type="dxa"/>
            <w:bottom w:w="0" w:type="dxa"/>
            <w:right w:w="0" w:type="dxa"/>
          </w:tblCellMar>
        </w:tblPrEx>
        <w:trPr>
          <w:wBefore w:w="0" w:type="auto"/>
          <w:tblCellSpacing w:w="0" w:type="dxa"/>
        </w:trPr>
        <w:tc>
          <w:tcPr>
            <w:tcW w:w="0" w:type="auto"/>
            <w:noWrap w:val="0"/>
            <w:vAlign w:val="center"/>
          </w:tcPr>
          <w:p w14:paraId="2DBFCFB3">
            <w:r>
              <w:rPr>
                <w:rStyle w:val="10"/>
                <w:rFonts w:hint="eastAsia"/>
              </w:rPr>
              <w:t>农药名称：</w:t>
            </w:r>
            <w:r>
              <w:rPr>
                <w:rFonts w:hint="eastAsia"/>
              </w:rPr>
              <w:t>氟草·草铵膦</w:t>
            </w:r>
          </w:p>
        </w:tc>
      </w:tr>
      <w:tr w14:paraId="014EBE17">
        <w:tblPrEx>
          <w:tblCellMar>
            <w:top w:w="0" w:type="dxa"/>
            <w:left w:w="0" w:type="dxa"/>
            <w:bottom w:w="0" w:type="dxa"/>
            <w:right w:w="0" w:type="dxa"/>
          </w:tblCellMar>
        </w:tblPrEx>
        <w:trPr>
          <w:wBefore w:w="0" w:type="auto"/>
          <w:tblCellSpacing w:w="0" w:type="dxa"/>
        </w:trPr>
        <w:tc>
          <w:tcPr>
            <w:tcW w:w="0" w:type="auto"/>
            <w:noWrap w:val="0"/>
            <w:vAlign w:val="center"/>
          </w:tcPr>
          <w:p w14:paraId="00CF3909">
            <w:r>
              <w:rPr>
                <w:rStyle w:val="10"/>
                <w:rFonts w:hint="eastAsia"/>
              </w:rPr>
              <w:t>剂型：</w:t>
            </w:r>
            <w:r>
              <w:rPr>
                <w:rFonts w:hint="eastAsia"/>
              </w:rPr>
              <w:t>悬浮剂</w:t>
            </w:r>
          </w:p>
        </w:tc>
      </w:tr>
      <w:tr w14:paraId="5581A506">
        <w:tblPrEx>
          <w:tblCellMar>
            <w:top w:w="0" w:type="dxa"/>
            <w:left w:w="0" w:type="dxa"/>
            <w:bottom w:w="0" w:type="dxa"/>
            <w:right w:w="0" w:type="dxa"/>
          </w:tblCellMar>
        </w:tblPrEx>
        <w:trPr>
          <w:wBefore w:w="0" w:type="auto"/>
          <w:tblCellSpacing w:w="0" w:type="dxa"/>
        </w:trPr>
        <w:tc>
          <w:tcPr>
            <w:tcW w:w="0" w:type="auto"/>
            <w:noWrap w:val="0"/>
            <w:vAlign w:val="center"/>
          </w:tcPr>
          <w:p w14:paraId="0FA28E0D">
            <w:r>
              <w:rPr>
                <w:rStyle w:val="10"/>
                <w:rFonts w:hint="eastAsia"/>
              </w:rPr>
              <w:t>毒性及其标识：</w:t>
            </w:r>
            <w:r>
              <w:rPr>
                <w:rFonts w:hint="eastAsia"/>
              </w:rPr>
              <w:t xml:space="preserve"> 微毒 </w:t>
            </w:r>
          </w:p>
        </w:tc>
      </w:tr>
      <w:tr w14:paraId="72719E5A">
        <w:tblPrEx>
          <w:tblCellMar>
            <w:top w:w="0" w:type="dxa"/>
            <w:left w:w="0" w:type="dxa"/>
            <w:bottom w:w="0" w:type="dxa"/>
            <w:right w:w="0" w:type="dxa"/>
          </w:tblCellMar>
        </w:tblPrEx>
        <w:trPr>
          <w:wBefore w:w="0" w:type="auto"/>
          <w:tblCellSpacing w:w="0" w:type="dxa"/>
        </w:trPr>
        <w:tc>
          <w:tcPr>
            <w:tcW w:w="0" w:type="auto"/>
            <w:noWrap w:val="0"/>
            <w:vAlign w:val="center"/>
          </w:tcPr>
          <w:p w14:paraId="2CD99B5C">
            <w:r>
              <w:rPr>
                <w:rStyle w:val="10"/>
                <w:rFonts w:hint="eastAsia"/>
              </w:rPr>
              <w:t>总有效成分含量：</w:t>
            </w:r>
            <w:r>
              <w:rPr>
                <w:rFonts w:hint="eastAsia"/>
              </w:rPr>
              <w:t>22%</w:t>
            </w:r>
          </w:p>
        </w:tc>
      </w:tr>
      <w:tr w14:paraId="695769D2">
        <w:tblPrEx>
          <w:tblCellMar>
            <w:top w:w="0" w:type="dxa"/>
            <w:left w:w="0" w:type="dxa"/>
            <w:bottom w:w="0" w:type="dxa"/>
            <w:right w:w="0" w:type="dxa"/>
          </w:tblCellMar>
        </w:tblPrEx>
        <w:trPr>
          <w:wBefore w:w="0" w:type="auto"/>
          <w:tblCellSpacing w:w="0" w:type="dxa"/>
        </w:trPr>
        <w:tc>
          <w:tcPr>
            <w:tcW w:w="0" w:type="auto"/>
            <w:noWrap w:val="0"/>
            <w:vAlign w:val="center"/>
          </w:tcPr>
          <w:p w14:paraId="27CD1953">
            <w:r>
              <w:rPr>
                <w:rFonts w:hint="eastAsia"/>
              </w:rPr>
              <w:t xml:space="preserve">有效成分及其含量： </w:t>
            </w:r>
          </w:p>
          <w:p w14:paraId="3833DA4D">
            <w:r>
              <w:rPr>
                <w:rFonts w:hint="eastAsia"/>
              </w:rPr>
              <w:t xml:space="preserve">    草铵膦20%    丙炔氟草胺2%    </w:t>
            </w:r>
          </w:p>
        </w:tc>
      </w:tr>
      <w:tr w14:paraId="7FD55CEF">
        <w:tblPrEx>
          <w:tblCellMar>
            <w:top w:w="0" w:type="dxa"/>
            <w:left w:w="0" w:type="dxa"/>
            <w:bottom w:w="0" w:type="dxa"/>
            <w:right w:w="0" w:type="dxa"/>
          </w:tblCellMar>
        </w:tblPrEx>
        <w:trPr>
          <w:wBefore w:w="0" w:type="auto"/>
          <w:tblCellSpacing w:w="0" w:type="dxa"/>
        </w:trPr>
        <w:tc>
          <w:tcPr>
            <w:tcW w:w="0" w:type="auto"/>
            <w:noWrap w:val="0"/>
            <w:vAlign w:val="center"/>
          </w:tcPr>
          <w:p w14:paraId="05BEF38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B2D99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F21BD0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654BAD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DE8D33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F7D710">
                  <w:r>
                    <w:rPr>
                      <w:rStyle w:val="11"/>
                      <w:rFonts w:hint="eastAsia"/>
                    </w:rPr>
                    <w:t>施用方式</w:t>
                  </w:r>
                </w:p>
              </w:tc>
            </w:tr>
            <w:tr w14:paraId="7E6C4D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F7F7855">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5EAB4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B232FD">
                  <w:r>
                    <w:rPr>
                      <w:rStyle w:val="11"/>
                      <w:rFonts w:hint="eastAsia"/>
                    </w:rPr>
                    <w:t>120-180毫升/亩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ED0166">
                  <w:r>
                    <w:rPr>
                      <w:rStyle w:val="11"/>
                      <w:rFonts w:hint="eastAsia"/>
                    </w:rPr>
                    <w:t>喷雾</w:t>
                  </w:r>
                </w:p>
              </w:tc>
            </w:tr>
          </w:tbl>
          <w:p w14:paraId="52101B00">
            <w:pPr>
              <w:rPr>
                <w:rFonts w:ascii="Times New Roman" w:hAnsi="Times New Roman" w:cs="Times New Roman"/>
                <w:sz w:val="20"/>
                <w:szCs w:val="20"/>
              </w:rPr>
            </w:pPr>
          </w:p>
        </w:tc>
      </w:tr>
      <w:tr w14:paraId="78B04C95">
        <w:tblPrEx>
          <w:tblCellMar>
            <w:top w:w="0" w:type="dxa"/>
            <w:left w:w="0" w:type="dxa"/>
            <w:bottom w:w="0" w:type="dxa"/>
            <w:right w:w="0" w:type="dxa"/>
          </w:tblCellMar>
        </w:tblPrEx>
        <w:trPr>
          <w:wBefore w:w="0" w:type="auto"/>
          <w:tblCellSpacing w:w="0" w:type="dxa"/>
        </w:trPr>
        <w:tc>
          <w:tcPr>
            <w:tcW w:w="0" w:type="auto"/>
            <w:noWrap w:val="0"/>
            <w:vAlign w:val="center"/>
          </w:tcPr>
          <w:p w14:paraId="3758ECA1">
            <w:r>
              <w:rPr>
                <w:rStyle w:val="10"/>
                <w:rFonts w:hint="eastAsia"/>
              </w:rPr>
              <w:t>使用技术要求:</w:t>
            </w:r>
            <w:r>
              <w:rPr>
                <w:rFonts w:hint="eastAsia"/>
              </w:rPr>
              <w:br w:type="textWrapping"/>
            </w:r>
            <w:r>
              <w:rPr>
                <w:rStyle w:val="11"/>
                <w:rFonts w:hint="eastAsia"/>
              </w:rPr>
              <w:t>1. 于非耕地杂草旺盛生长期茎叶喷雾施药一次。2.避免药液喷到作物绿色部位，避免漂移到邻近作物田。3. 禁止在田间道路、田埂、果树行间、休耕地、林场地等农林区域使用。 </w:t>
            </w:r>
          </w:p>
        </w:tc>
      </w:tr>
      <w:tr w14:paraId="4286A4AF">
        <w:tblPrEx>
          <w:tblCellMar>
            <w:top w:w="0" w:type="dxa"/>
            <w:left w:w="0" w:type="dxa"/>
            <w:bottom w:w="0" w:type="dxa"/>
            <w:right w:w="0" w:type="dxa"/>
          </w:tblCellMar>
        </w:tblPrEx>
        <w:trPr>
          <w:wBefore w:w="0" w:type="auto"/>
          <w:tblCellSpacing w:w="0" w:type="dxa"/>
        </w:trPr>
        <w:tc>
          <w:tcPr>
            <w:tcW w:w="0" w:type="auto"/>
            <w:noWrap w:val="0"/>
            <w:vAlign w:val="center"/>
          </w:tcPr>
          <w:p w14:paraId="12F963C1">
            <w:r>
              <w:rPr>
                <w:rStyle w:val="10"/>
                <w:rFonts w:hint="eastAsia"/>
              </w:rPr>
              <w:t>产品性能:</w:t>
            </w:r>
            <w:r>
              <w:rPr>
                <w:rFonts w:hint="eastAsia"/>
              </w:rPr>
              <w:br w:type="textWrapping"/>
            </w:r>
            <w:r>
              <w:rPr>
                <w:rStyle w:val="11"/>
                <w:rFonts w:hint="eastAsia"/>
              </w:rPr>
              <w:t>本品是丙炔氟草胺和草铵膦复配的除草剂；该产品具有活性高、除草速度快、杀草谱广、持效期长的特点。 对非耕地杂草有较好的防效。</w:t>
            </w:r>
          </w:p>
        </w:tc>
      </w:tr>
      <w:tr w14:paraId="42D37EED">
        <w:tblPrEx>
          <w:tblCellMar>
            <w:top w:w="0" w:type="dxa"/>
            <w:left w:w="0" w:type="dxa"/>
            <w:bottom w:w="0" w:type="dxa"/>
            <w:right w:w="0" w:type="dxa"/>
          </w:tblCellMar>
        </w:tblPrEx>
        <w:trPr>
          <w:wBefore w:w="0" w:type="auto"/>
          <w:tblCellSpacing w:w="0" w:type="dxa"/>
        </w:trPr>
        <w:tc>
          <w:tcPr>
            <w:tcW w:w="0" w:type="auto"/>
            <w:noWrap w:val="0"/>
            <w:vAlign w:val="center"/>
          </w:tcPr>
          <w:p w14:paraId="694B2234">
            <w:r>
              <w:rPr>
                <w:rStyle w:val="10"/>
                <w:rFonts w:hint="eastAsia"/>
              </w:rPr>
              <w:t>注意事项：</w:t>
            </w:r>
            <w:r>
              <w:rPr>
                <w:rFonts w:hint="eastAsia"/>
              </w:rPr>
              <w:br w:type="textWrapping"/>
            </w:r>
            <w:r>
              <w:rPr>
                <w:rStyle w:val="11"/>
                <w:rFonts w:hint="eastAsia"/>
              </w:rPr>
              <w:t>1. 使用本品应采取相应的安全防护措施，穿长衣、长裤、鞋子，戴帽子、口罩和手套等，避免皮肤接触及口鼻吸入。使用中不可吸烟、饮水及吃东西，使用后及时清洗手、脸等暴露部位皮肤并更换衣物。2. 施药前、后要彻底清洗喷药器械，洗涤后的废水不能排入河流、池塘等水源。3. 废弃物妥善处理，不能随意丢弃，也不能做他用。4. 本品对鱼类等水生生物有毒，水产养殖区、河塘等水体附近禁用，禁止在河塘等水域清洗施药器具 。洗涤器具后的废水和未使用完的药液不应污染河流等水源，避免影响鱼类和污染水源。5. 蚕室及桑园附近禁用，天敌放飞区域禁用。6. 孕妇及哺乳期的妇女避免接触本品。7. 用过的容器应妥善处理，不可做他用，也不可随意丢弃。</w:t>
            </w:r>
          </w:p>
        </w:tc>
      </w:tr>
      <w:tr w14:paraId="166F85F1">
        <w:tblPrEx>
          <w:tblCellMar>
            <w:top w:w="0" w:type="dxa"/>
            <w:left w:w="0" w:type="dxa"/>
            <w:bottom w:w="0" w:type="dxa"/>
            <w:right w:w="0" w:type="dxa"/>
          </w:tblCellMar>
        </w:tblPrEx>
        <w:trPr>
          <w:wBefore w:w="0" w:type="auto"/>
          <w:tblCellSpacing w:w="0" w:type="dxa"/>
        </w:trPr>
        <w:tc>
          <w:tcPr>
            <w:tcW w:w="0" w:type="auto"/>
            <w:noWrap w:val="0"/>
            <w:vAlign w:val="center"/>
          </w:tcPr>
          <w:p w14:paraId="4AC2457E">
            <w:r>
              <w:rPr>
                <w:rStyle w:val="10"/>
                <w:rFonts w:hint="eastAsia"/>
              </w:rPr>
              <w:t>中毒急救措施：</w:t>
            </w:r>
            <w:r>
              <w:rPr>
                <w:rFonts w:hint="eastAsia"/>
              </w:rPr>
              <w:br w:type="textWrapping"/>
            </w:r>
            <w:r>
              <w:rPr>
                <w:rStyle w:val="11"/>
                <w:rFonts w:hint="eastAsia"/>
              </w:rPr>
              <w:t>中毒症状：对眼睛、皮肤或粘膜有刺激性。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用清水充分漱口后，立即携带标签到医院对症治疗。</w:t>
            </w:r>
          </w:p>
        </w:tc>
      </w:tr>
      <w:tr w14:paraId="33D4C4A2">
        <w:tblPrEx>
          <w:tblCellMar>
            <w:top w:w="0" w:type="dxa"/>
            <w:left w:w="0" w:type="dxa"/>
            <w:bottom w:w="0" w:type="dxa"/>
            <w:right w:w="0" w:type="dxa"/>
          </w:tblCellMar>
        </w:tblPrEx>
        <w:trPr>
          <w:wBefore w:w="0" w:type="auto"/>
          <w:tblCellSpacing w:w="0" w:type="dxa"/>
        </w:trPr>
        <w:tc>
          <w:tcPr>
            <w:tcW w:w="0" w:type="auto"/>
            <w:noWrap w:val="0"/>
            <w:vAlign w:val="center"/>
          </w:tcPr>
          <w:p w14:paraId="0EE1FFE1">
            <w:r>
              <w:rPr>
                <w:rStyle w:val="10"/>
                <w:rFonts w:hint="eastAsia"/>
              </w:rPr>
              <w:t>储存和运输方法：</w:t>
            </w:r>
            <w:r>
              <w:rPr>
                <w:rFonts w:hint="eastAsia"/>
              </w:rPr>
              <w:br w:type="textWrapping"/>
            </w:r>
            <w:r>
              <w:rPr>
                <w:rStyle w:val="11"/>
                <w:rFonts w:hint="eastAsia"/>
              </w:rPr>
              <w:t>贮运时应严防潮湿和日晒，保持良好通风，远离热源或火源，置于儿童、无关人员触及不到之处，并加锁。勿与食品、饮料、饲料、粮食等同贮同运。</w:t>
            </w:r>
          </w:p>
        </w:tc>
      </w:tr>
      <w:tr w14:paraId="7C8CB469">
        <w:tblPrEx>
          <w:tblCellMar>
            <w:top w:w="0" w:type="dxa"/>
            <w:left w:w="0" w:type="dxa"/>
            <w:bottom w:w="0" w:type="dxa"/>
            <w:right w:w="0" w:type="dxa"/>
          </w:tblCellMar>
        </w:tblPrEx>
        <w:trPr>
          <w:wBefore w:w="0" w:type="auto"/>
          <w:tblCellSpacing w:w="0" w:type="dxa"/>
        </w:trPr>
        <w:tc>
          <w:tcPr>
            <w:tcW w:w="0" w:type="auto"/>
            <w:noWrap w:val="0"/>
            <w:vAlign w:val="center"/>
          </w:tcPr>
          <w:p w14:paraId="28D0361B">
            <w:r>
              <w:rPr>
                <w:rStyle w:val="10"/>
                <w:rFonts w:hint="eastAsia"/>
              </w:rPr>
              <w:t>质量保证期：</w:t>
            </w:r>
            <w:r>
              <w:rPr>
                <w:rStyle w:val="11"/>
                <w:rFonts w:hint="eastAsia"/>
              </w:rPr>
              <w:t>2年</w:t>
            </w:r>
          </w:p>
        </w:tc>
      </w:tr>
      <w:tr w14:paraId="7EDBFFED">
        <w:tblPrEx>
          <w:tblCellMar>
            <w:top w:w="0" w:type="dxa"/>
            <w:left w:w="0" w:type="dxa"/>
            <w:bottom w:w="0" w:type="dxa"/>
            <w:right w:w="0" w:type="dxa"/>
          </w:tblCellMar>
        </w:tblPrEx>
        <w:trPr>
          <w:wBefore w:w="0" w:type="auto"/>
          <w:tblCellSpacing w:w="0" w:type="dxa"/>
        </w:trPr>
        <w:tc>
          <w:tcPr>
            <w:tcW w:w="0" w:type="auto"/>
            <w:noWrap w:val="0"/>
            <w:vAlign w:val="center"/>
          </w:tcPr>
          <w:p w14:paraId="68C5992F">
            <w:r>
              <w:rPr>
                <w:rStyle w:val="10"/>
                <w:rFonts w:hint="eastAsia"/>
              </w:rPr>
              <w:t>备注：</w:t>
            </w:r>
          </w:p>
        </w:tc>
      </w:tr>
    </w:tbl>
    <w:p w14:paraId="35A46F5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E07FE9E">
        <w:tblPrEx>
          <w:tblCellMar>
            <w:top w:w="0" w:type="dxa"/>
            <w:left w:w="0" w:type="dxa"/>
            <w:bottom w:w="0" w:type="dxa"/>
            <w:right w:w="0" w:type="dxa"/>
          </w:tblCellMar>
        </w:tblPrEx>
        <w:trPr>
          <w:wBefore w:w="0" w:type="auto"/>
          <w:tblCellSpacing w:w="0" w:type="dxa"/>
        </w:trPr>
        <w:tc>
          <w:tcPr>
            <w:tcW w:w="0" w:type="auto"/>
            <w:noWrap w:val="0"/>
            <w:vAlign w:val="center"/>
          </w:tcPr>
          <w:p w14:paraId="412142F8">
            <w:r>
              <w:rPr>
                <w:rStyle w:val="10"/>
                <w:rFonts w:hint="eastAsia"/>
              </w:rPr>
              <w:t>登记证号：</w:t>
            </w:r>
            <w:r>
              <w:rPr>
                <w:rFonts w:hint="eastAsia"/>
              </w:rPr>
              <w:t>PD20211790</w:t>
            </w:r>
          </w:p>
        </w:tc>
      </w:tr>
      <w:tr w14:paraId="5A40F578">
        <w:tblPrEx>
          <w:tblCellMar>
            <w:top w:w="0" w:type="dxa"/>
            <w:left w:w="0" w:type="dxa"/>
            <w:bottom w:w="0" w:type="dxa"/>
            <w:right w:w="0" w:type="dxa"/>
          </w:tblCellMar>
        </w:tblPrEx>
        <w:trPr>
          <w:wBefore w:w="0" w:type="auto"/>
          <w:tblCellSpacing w:w="0" w:type="dxa"/>
        </w:trPr>
        <w:tc>
          <w:tcPr>
            <w:tcW w:w="0" w:type="auto"/>
            <w:noWrap w:val="0"/>
            <w:vAlign w:val="center"/>
          </w:tcPr>
          <w:p w14:paraId="2F1AA701">
            <w:r>
              <w:rPr>
                <w:rStyle w:val="10"/>
                <w:rFonts w:hint="eastAsia"/>
              </w:rPr>
              <w:t>登记证持有人：</w:t>
            </w:r>
            <w:r>
              <w:rPr>
                <w:rFonts w:hint="eastAsia"/>
              </w:rPr>
              <w:t>成都科利隆生化有限公司</w:t>
            </w:r>
          </w:p>
        </w:tc>
      </w:tr>
      <w:tr w14:paraId="00F4322A">
        <w:tblPrEx>
          <w:tblCellMar>
            <w:top w:w="0" w:type="dxa"/>
            <w:left w:w="0" w:type="dxa"/>
            <w:bottom w:w="0" w:type="dxa"/>
            <w:right w:w="0" w:type="dxa"/>
          </w:tblCellMar>
        </w:tblPrEx>
        <w:trPr>
          <w:wBefore w:w="0" w:type="auto"/>
          <w:tblCellSpacing w:w="0" w:type="dxa"/>
        </w:trPr>
        <w:tc>
          <w:tcPr>
            <w:tcW w:w="0" w:type="auto"/>
            <w:noWrap w:val="0"/>
            <w:vAlign w:val="center"/>
          </w:tcPr>
          <w:p w14:paraId="08A6B5AD">
            <w:r>
              <w:rPr>
                <w:rStyle w:val="10"/>
                <w:rFonts w:hint="eastAsia"/>
              </w:rPr>
              <w:t>农药名称：</w:t>
            </w:r>
            <w:r>
              <w:rPr>
                <w:rFonts w:hint="eastAsia"/>
              </w:rPr>
              <w:t>虫螨腈·呋虫胺</w:t>
            </w:r>
          </w:p>
        </w:tc>
      </w:tr>
      <w:tr w14:paraId="01EB5BBF">
        <w:tblPrEx>
          <w:tblCellMar>
            <w:top w:w="0" w:type="dxa"/>
            <w:left w:w="0" w:type="dxa"/>
            <w:bottom w:w="0" w:type="dxa"/>
            <w:right w:w="0" w:type="dxa"/>
          </w:tblCellMar>
        </w:tblPrEx>
        <w:trPr>
          <w:wBefore w:w="0" w:type="auto"/>
          <w:tblCellSpacing w:w="0" w:type="dxa"/>
        </w:trPr>
        <w:tc>
          <w:tcPr>
            <w:tcW w:w="0" w:type="auto"/>
            <w:noWrap w:val="0"/>
            <w:vAlign w:val="center"/>
          </w:tcPr>
          <w:p w14:paraId="1508D80B">
            <w:r>
              <w:rPr>
                <w:rStyle w:val="10"/>
                <w:rFonts w:hint="eastAsia"/>
              </w:rPr>
              <w:t>剂型：</w:t>
            </w:r>
            <w:r>
              <w:rPr>
                <w:rFonts w:hint="eastAsia"/>
              </w:rPr>
              <w:t>悬浮剂</w:t>
            </w:r>
          </w:p>
        </w:tc>
      </w:tr>
      <w:tr w14:paraId="569AB669">
        <w:tblPrEx>
          <w:tblCellMar>
            <w:top w:w="0" w:type="dxa"/>
            <w:left w:w="0" w:type="dxa"/>
            <w:bottom w:w="0" w:type="dxa"/>
            <w:right w:w="0" w:type="dxa"/>
          </w:tblCellMar>
        </w:tblPrEx>
        <w:trPr>
          <w:wBefore w:w="0" w:type="auto"/>
          <w:tblCellSpacing w:w="0" w:type="dxa"/>
        </w:trPr>
        <w:tc>
          <w:tcPr>
            <w:tcW w:w="0" w:type="auto"/>
            <w:noWrap w:val="0"/>
            <w:vAlign w:val="center"/>
          </w:tcPr>
          <w:p w14:paraId="3341EE83">
            <w:r>
              <w:rPr>
                <w:rStyle w:val="10"/>
                <w:rFonts w:hint="eastAsia"/>
              </w:rPr>
              <w:t>毒性及其标识：</w:t>
            </w:r>
            <w:r>
              <w:rPr>
                <w:rFonts w:hint="eastAsia"/>
              </w:rPr>
              <w:t xml:space="preserve"> </w:t>
            </w:r>
            <w:r>
              <w:rPr>
                <w:lang/>
              </w:rPr>
              <w:drawing>
                <wp:inline distT="0" distB="0" distL="114300" distR="114300">
                  <wp:extent cx="476250" cy="323850"/>
                  <wp:effectExtent l="0" t="0" r="0" b="0"/>
                  <wp:docPr id="76" name="图片 7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DFA6824">
        <w:tblPrEx>
          <w:tblCellMar>
            <w:top w:w="0" w:type="dxa"/>
            <w:left w:w="0" w:type="dxa"/>
            <w:bottom w:w="0" w:type="dxa"/>
            <w:right w:w="0" w:type="dxa"/>
          </w:tblCellMar>
        </w:tblPrEx>
        <w:trPr>
          <w:wBefore w:w="0" w:type="auto"/>
          <w:tblCellSpacing w:w="0" w:type="dxa"/>
        </w:trPr>
        <w:tc>
          <w:tcPr>
            <w:tcW w:w="0" w:type="auto"/>
            <w:noWrap w:val="0"/>
            <w:vAlign w:val="center"/>
          </w:tcPr>
          <w:p w14:paraId="55CD0658">
            <w:r>
              <w:rPr>
                <w:rStyle w:val="10"/>
                <w:rFonts w:hint="eastAsia"/>
              </w:rPr>
              <w:t>总有效成分含量：</w:t>
            </w:r>
            <w:r>
              <w:rPr>
                <w:rFonts w:hint="eastAsia"/>
              </w:rPr>
              <w:t>18%</w:t>
            </w:r>
          </w:p>
        </w:tc>
      </w:tr>
      <w:tr w14:paraId="7679E283">
        <w:tblPrEx>
          <w:tblCellMar>
            <w:top w:w="0" w:type="dxa"/>
            <w:left w:w="0" w:type="dxa"/>
            <w:bottom w:w="0" w:type="dxa"/>
            <w:right w:w="0" w:type="dxa"/>
          </w:tblCellMar>
        </w:tblPrEx>
        <w:trPr>
          <w:wBefore w:w="0" w:type="auto"/>
          <w:tblCellSpacing w:w="0" w:type="dxa"/>
        </w:trPr>
        <w:tc>
          <w:tcPr>
            <w:tcW w:w="0" w:type="auto"/>
            <w:noWrap w:val="0"/>
            <w:vAlign w:val="center"/>
          </w:tcPr>
          <w:p w14:paraId="6B45146D">
            <w:r>
              <w:rPr>
                <w:rFonts w:hint="eastAsia"/>
              </w:rPr>
              <w:t xml:space="preserve">有效成分及其含量： </w:t>
            </w:r>
          </w:p>
          <w:p w14:paraId="7409CBF1">
            <w:r>
              <w:rPr>
                <w:rFonts w:hint="eastAsia"/>
              </w:rPr>
              <w:t xml:space="preserve">    呋虫胺12%    虫螨腈6%    </w:t>
            </w:r>
          </w:p>
        </w:tc>
      </w:tr>
      <w:tr w14:paraId="3DD7E462">
        <w:tblPrEx>
          <w:tblCellMar>
            <w:top w:w="0" w:type="dxa"/>
            <w:left w:w="0" w:type="dxa"/>
            <w:bottom w:w="0" w:type="dxa"/>
            <w:right w:w="0" w:type="dxa"/>
          </w:tblCellMar>
        </w:tblPrEx>
        <w:trPr>
          <w:wBefore w:w="0" w:type="auto"/>
          <w:tblCellSpacing w:w="0" w:type="dxa"/>
        </w:trPr>
        <w:tc>
          <w:tcPr>
            <w:tcW w:w="0" w:type="auto"/>
            <w:noWrap w:val="0"/>
            <w:vAlign w:val="center"/>
          </w:tcPr>
          <w:p w14:paraId="25312C0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6A269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6F022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F570F9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415DC7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4BF3392">
                  <w:r>
                    <w:rPr>
                      <w:rStyle w:val="11"/>
                      <w:rFonts w:hint="eastAsia"/>
                    </w:rPr>
                    <w:t>施用方式</w:t>
                  </w:r>
                </w:p>
              </w:tc>
            </w:tr>
            <w:tr w14:paraId="169031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162A242">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E1FA61">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32BE3E">
                  <w:r>
                    <w:rPr>
                      <w:rStyle w:val="11"/>
                      <w:rFonts w:hint="eastAsia"/>
                    </w:rPr>
                    <w:t>30-60毫升/亩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F3A067">
                  <w:r>
                    <w:rPr>
                      <w:rStyle w:val="11"/>
                      <w:rFonts w:hint="eastAsia"/>
                    </w:rPr>
                    <w:t>喷雾</w:t>
                  </w:r>
                </w:p>
              </w:tc>
            </w:tr>
          </w:tbl>
          <w:p w14:paraId="5842C71D">
            <w:pPr>
              <w:rPr>
                <w:rFonts w:ascii="Times New Roman" w:hAnsi="Times New Roman" w:cs="Times New Roman"/>
                <w:sz w:val="20"/>
                <w:szCs w:val="20"/>
              </w:rPr>
            </w:pPr>
          </w:p>
        </w:tc>
      </w:tr>
      <w:tr w14:paraId="4B0AC17A">
        <w:tblPrEx>
          <w:tblCellMar>
            <w:top w:w="0" w:type="dxa"/>
            <w:left w:w="0" w:type="dxa"/>
            <w:bottom w:w="0" w:type="dxa"/>
            <w:right w:w="0" w:type="dxa"/>
          </w:tblCellMar>
        </w:tblPrEx>
        <w:trPr>
          <w:wBefore w:w="0" w:type="auto"/>
          <w:tblCellSpacing w:w="0" w:type="dxa"/>
        </w:trPr>
        <w:tc>
          <w:tcPr>
            <w:tcW w:w="0" w:type="auto"/>
            <w:noWrap w:val="0"/>
            <w:vAlign w:val="center"/>
          </w:tcPr>
          <w:p w14:paraId="5BF0AB9A">
            <w:r>
              <w:rPr>
                <w:rStyle w:val="10"/>
                <w:rFonts w:hint="eastAsia"/>
              </w:rPr>
              <w:t>使用技术要求:</w:t>
            </w:r>
            <w:r>
              <w:rPr>
                <w:rFonts w:hint="eastAsia"/>
              </w:rPr>
              <w:br w:type="textWrapping"/>
            </w:r>
            <w:r>
              <w:rPr>
                <w:rStyle w:val="11"/>
                <w:rFonts w:hint="eastAsia"/>
              </w:rPr>
              <w:t>1. 于茶小绿叶蝉低龄若虫发生始盛期，均匀喷雾施药1次， 2. 大风天或者预计1小时内下雨请勿施药； 3. 每个作物周期最多使用1次，安全间隔期14天。</w:t>
            </w:r>
          </w:p>
        </w:tc>
      </w:tr>
      <w:tr w14:paraId="06AF8E0A">
        <w:tblPrEx>
          <w:tblCellMar>
            <w:top w:w="0" w:type="dxa"/>
            <w:left w:w="0" w:type="dxa"/>
            <w:bottom w:w="0" w:type="dxa"/>
            <w:right w:w="0" w:type="dxa"/>
          </w:tblCellMar>
        </w:tblPrEx>
        <w:trPr>
          <w:wBefore w:w="0" w:type="auto"/>
          <w:tblCellSpacing w:w="0" w:type="dxa"/>
        </w:trPr>
        <w:tc>
          <w:tcPr>
            <w:tcW w:w="0" w:type="auto"/>
            <w:noWrap w:val="0"/>
            <w:vAlign w:val="center"/>
          </w:tcPr>
          <w:p w14:paraId="756CC5A0">
            <w:r>
              <w:rPr>
                <w:rStyle w:val="10"/>
                <w:rFonts w:hint="eastAsia"/>
              </w:rPr>
              <w:t>产品性能:</w:t>
            </w:r>
            <w:r>
              <w:rPr>
                <w:rFonts w:hint="eastAsia"/>
              </w:rPr>
              <w:br w:type="textWrapping"/>
            </w:r>
            <w:r>
              <w:rPr>
                <w:rStyle w:val="11"/>
                <w:rFonts w:hint="eastAsia"/>
              </w:rPr>
              <w:t>呋虫胺作用于烟碱型乙酰胆碱受体激活剂（激动剂），通过胃毒、触杀作用，让害虫异常兴奋，最终麻痹死亡；虫螨腈是新型吡咯类化合物，干扰质子梯度影响氧化磷酸化的解偶联剂。两个有效成分科学混配后可以有效防治茶树茶小绿叶蝉。</w:t>
            </w:r>
          </w:p>
        </w:tc>
      </w:tr>
      <w:tr w14:paraId="3C20A913">
        <w:tblPrEx>
          <w:tblCellMar>
            <w:top w:w="0" w:type="dxa"/>
            <w:left w:w="0" w:type="dxa"/>
            <w:bottom w:w="0" w:type="dxa"/>
            <w:right w:w="0" w:type="dxa"/>
          </w:tblCellMar>
        </w:tblPrEx>
        <w:trPr>
          <w:wBefore w:w="0" w:type="auto"/>
          <w:tblCellSpacing w:w="0" w:type="dxa"/>
        </w:trPr>
        <w:tc>
          <w:tcPr>
            <w:tcW w:w="0" w:type="auto"/>
            <w:noWrap w:val="0"/>
            <w:vAlign w:val="center"/>
          </w:tcPr>
          <w:p w14:paraId="7962C06C">
            <w:r>
              <w:rPr>
                <w:rStyle w:val="10"/>
                <w:rFonts w:hint="eastAsia"/>
              </w:rPr>
              <w:t>注意事项：</w:t>
            </w:r>
            <w:r>
              <w:rPr>
                <w:rFonts w:hint="eastAsia"/>
              </w:rPr>
              <w:br w:type="textWrapping"/>
            </w:r>
            <w:r>
              <w:rPr>
                <w:rStyle w:val="11"/>
                <w:rFonts w:hint="eastAsia"/>
              </w:rPr>
              <w:t>1. 建议与其他不同作用机理的杀虫剂轮换使用。 2. 桑室和蚕室附近禁用； 鸟类保护区附近禁用；（周围）植物花期禁用；赤眼蜂等天敌放飞区域禁用。 3. 本品对眼睛有刺激性，使用时避免接触眼睛，穿戴长衣、长裤、帽子、口罩、手套等防护措施。施药期间不可吃东西、饮水和吸烟，施药后应及时洗手和洗脸。 4. 水产养殖区、河塘等水体附近禁用，禁止在河塘等水域清洗施药器具。5. 用过的容器应妥善处理，不可做他用，也不可随意丢弃。6. 孕妇及哺乳期妇女禁止接触。</w:t>
            </w:r>
          </w:p>
        </w:tc>
      </w:tr>
      <w:tr w14:paraId="369D4CDC">
        <w:tblPrEx>
          <w:tblCellMar>
            <w:top w:w="0" w:type="dxa"/>
            <w:left w:w="0" w:type="dxa"/>
            <w:bottom w:w="0" w:type="dxa"/>
            <w:right w:w="0" w:type="dxa"/>
          </w:tblCellMar>
        </w:tblPrEx>
        <w:trPr>
          <w:wBefore w:w="0" w:type="auto"/>
          <w:tblCellSpacing w:w="0" w:type="dxa"/>
        </w:trPr>
        <w:tc>
          <w:tcPr>
            <w:tcW w:w="0" w:type="auto"/>
            <w:noWrap w:val="0"/>
            <w:vAlign w:val="center"/>
          </w:tcPr>
          <w:p w14:paraId="5AEFF66A">
            <w:r>
              <w:rPr>
                <w:rStyle w:val="10"/>
                <w:rFonts w:hint="eastAsia"/>
              </w:rPr>
              <w:t>中毒急救措施：</w:t>
            </w:r>
            <w:r>
              <w:rPr>
                <w:rFonts w:hint="eastAsia"/>
              </w:rPr>
              <w:br w:type="textWrapping"/>
            </w:r>
            <w:r>
              <w:rPr>
                <w:rStyle w:val="11"/>
                <w:rFonts w:hint="eastAsia"/>
              </w:rPr>
              <w:t xml:space="preserve">使用中或使用后如果感觉不适，应立即停止工作，采取急救措施；如接触皮肤，用肥皂和清水彻底清洗；若溅入眼睛，用清水冲洗眼睛至少15分钟，仍不适，送医就诊；若误服，立即携标签送医就诊，对症治疗。 </w:t>
            </w:r>
          </w:p>
        </w:tc>
      </w:tr>
      <w:tr w14:paraId="5474AAF6">
        <w:tblPrEx>
          <w:tblCellMar>
            <w:top w:w="0" w:type="dxa"/>
            <w:left w:w="0" w:type="dxa"/>
            <w:bottom w:w="0" w:type="dxa"/>
            <w:right w:w="0" w:type="dxa"/>
          </w:tblCellMar>
        </w:tblPrEx>
        <w:trPr>
          <w:wBefore w:w="0" w:type="auto"/>
          <w:tblCellSpacing w:w="0" w:type="dxa"/>
        </w:trPr>
        <w:tc>
          <w:tcPr>
            <w:tcW w:w="0" w:type="auto"/>
            <w:noWrap w:val="0"/>
            <w:vAlign w:val="center"/>
          </w:tcPr>
          <w:p w14:paraId="745205F8">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本品应贮存在干燥、阴凉、通风、防雨处，远离火源或热源。置于儿童、无关人员触及不到之处，并加锁。勿与食品、饮料、饲料、粮食等同贮同运。</w:t>
            </w:r>
          </w:p>
        </w:tc>
      </w:tr>
      <w:tr w14:paraId="641623DC">
        <w:tblPrEx>
          <w:tblCellMar>
            <w:top w:w="0" w:type="dxa"/>
            <w:left w:w="0" w:type="dxa"/>
            <w:bottom w:w="0" w:type="dxa"/>
            <w:right w:w="0" w:type="dxa"/>
          </w:tblCellMar>
        </w:tblPrEx>
        <w:trPr>
          <w:wBefore w:w="0" w:type="auto"/>
          <w:tblCellSpacing w:w="0" w:type="dxa"/>
        </w:trPr>
        <w:tc>
          <w:tcPr>
            <w:tcW w:w="0" w:type="auto"/>
            <w:noWrap w:val="0"/>
            <w:vAlign w:val="center"/>
          </w:tcPr>
          <w:p w14:paraId="428595B7">
            <w:r>
              <w:rPr>
                <w:rStyle w:val="10"/>
                <w:rFonts w:hint="eastAsia"/>
              </w:rPr>
              <w:t>质量保证期：</w:t>
            </w:r>
            <w:r>
              <w:rPr>
                <w:rStyle w:val="11"/>
                <w:rFonts w:hint="eastAsia"/>
              </w:rPr>
              <w:t>2年</w:t>
            </w:r>
          </w:p>
        </w:tc>
      </w:tr>
      <w:tr w14:paraId="14FB55C3">
        <w:tblPrEx>
          <w:tblCellMar>
            <w:top w:w="0" w:type="dxa"/>
            <w:left w:w="0" w:type="dxa"/>
            <w:bottom w:w="0" w:type="dxa"/>
            <w:right w:w="0" w:type="dxa"/>
          </w:tblCellMar>
        </w:tblPrEx>
        <w:trPr>
          <w:wBefore w:w="0" w:type="auto"/>
          <w:tblCellSpacing w:w="0" w:type="dxa"/>
        </w:trPr>
        <w:tc>
          <w:tcPr>
            <w:tcW w:w="0" w:type="auto"/>
            <w:noWrap w:val="0"/>
            <w:vAlign w:val="center"/>
          </w:tcPr>
          <w:p w14:paraId="11DA8B65">
            <w:r>
              <w:rPr>
                <w:rStyle w:val="10"/>
                <w:rFonts w:hint="eastAsia"/>
              </w:rPr>
              <w:t>备注：</w:t>
            </w:r>
          </w:p>
        </w:tc>
      </w:tr>
    </w:tbl>
    <w:p w14:paraId="062133C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566765">
        <w:tblPrEx>
          <w:tblCellMar>
            <w:top w:w="0" w:type="dxa"/>
            <w:left w:w="0" w:type="dxa"/>
            <w:bottom w:w="0" w:type="dxa"/>
            <w:right w:w="0" w:type="dxa"/>
          </w:tblCellMar>
        </w:tblPrEx>
        <w:trPr>
          <w:wBefore w:w="0" w:type="auto"/>
          <w:tblCellSpacing w:w="0" w:type="dxa"/>
        </w:trPr>
        <w:tc>
          <w:tcPr>
            <w:tcW w:w="0" w:type="auto"/>
            <w:noWrap w:val="0"/>
            <w:vAlign w:val="center"/>
          </w:tcPr>
          <w:p w14:paraId="60C2F9A6">
            <w:r>
              <w:rPr>
                <w:rStyle w:val="10"/>
                <w:rFonts w:hint="eastAsia"/>
              </w:rPr>
              <w:t>登记证号：</w:t>
            </w:r>
            <w:r>
              <w:rPr>
                <w:rFonts w:hint="eastAsia"/>
              </w:rPr>
              <w:t>WP20210268</w:t>
            </w:r>
          </w:p>
        </w:tc>
      </w:tr>
      <w:tr w14:paraId="7185DD2D">
        <w:tblPrEx>
          <w:tblCellMar>
            <w:top w:w="0" w:type="dxa"/>
            <w:left w:w="0" w:type="dxa"/>
            <w:bottom w:w="0" w:type="dxa"/>
            <w:right w:w="0" w:type="dxa"/>
          </w:tblCellMar>
        </w:tblPrEx>
        <w:trPr>
          <w:wBefore w:w="0" w:type="auto"/>
          <w:tblCellSpacing w:w="0" w:type="dxa"/>
        </w:trPr>
        <w:tc>
          <w:tcPr>
            <w:tcW w:w="0" w:type="auto"/>
            <w:noWrap w:val="0"/>
            <w:vAlign w:val="center"/>
          </w:tcPr>
          <w:p w14:paraId="42180E07">
            <w:r>
              <w:rPr>
                <w:rStyle w:val="10"/>
                <w:rFonts w:hint="eastAsia"/>
              </w:rPr>
              <w:t>登记证持有人：</w:t>
            </w:r>
            <w:r>
              <w:rPr>
                <w:rFonts w:hint="eastAsia"/>
              </w:rPr>
              <w:t>黄山力神日用品有限公司</w:t>
            </w:r>
          </w:p>
        </w:tc>
      </w:tr>
      <w:tr w14:paraId="40A8A583">
        <w:tblPrEx>
          <w:tblCellMar>
            <w:top w:w="0" w:type="dxa"/>
            <w:left w:w="0" w:type="dxa"/>
            <w:bottom w:w="0" w:type="dxa"/>
            <w:right w:w="0" w:type="dxa"/>
          </w:tblCellMar>
        </w:tblPrEx>
        <w:trPr>
          <w:wBefore w:w="0" w:type="auto"/>
          <w:tblCellSpacing w:w="0" w:type="dxa"/>
        </w:trPr>
        <w:tc>
          <w:tcPr>
            <w:tcW w:w="0" w:type="auto"/>
            <w:noWrap w:val="0"/>
            <w:vAlign w:val="center"/>
          </w:tcPr>
          <w:p w14:paraId="007BDF99">
            <w:r>
              <w:rPr>
                <w:rStyle w:val="10"/>
                <w:rFonts w:hint="eastAsia"/>
              </w:rPr>
              <w:t>农药名称：</w:t>
            </w:r>
            <w:r>
              <w:rPr>
                <w:rFonts w:hint="eastAsia"/>
              </w:rPr>
              <w:t>杀虫饵剂</w:t>
            </w:r>
          </w:p>
        </w:tc>
      </w:tr>
      <w:tr w14:paraId="654356CE">
        <w:tblPrEx>
          <w:tblCellMar>
            <w:top w:w="0" w:type="dxa"/>
            <w:left w:w="0" w:type="dxa"/>
            <w:bottom w:w="0" w:type="dxa"/>
            <w:right w:w="0" w:type="dxa"/>
          </w:tblCellMar>
        </w:tblPrEx>
        <w:trPr>
          <w:wBefore w:w="0" w:type="auto"/>
          <w:tblCellSpacing w:w="0" w:type="dxa"/>
        </w:trPr>
        <w:tc>
          <w:tcPr>
            <w:tcW w:w="0" w:type="auto"/>
            <w:noWrap w:val="0"/>
            <w:vAlign w:val="center"/>
          </w:tcPr>
          <w:p w14:paraId="7C6279F7">
            <w:r>
              <w:rPr>
                <w:rStyle w:val="10"/>
                <w:rFonts w:hint="eastAsia"/>
              </w:rPr>
              <w:t>剂型：</w:t>
            </w:r>
            <w:r>
              <w:rPr>
                <w:rFonts w:hint="eastAsia"/>
              </w:rPr>
              <w:t>饵剂</w:t>
            </w:r>
          </w:p>
        </w:tc>
      </w:tr>
      <w:tr w14:paraId="2CC936EA">
        <w:tblPrEx>
          <w:tblCellMar>
            <w:top w:w="0" w:type="dxa"/>
            <w:left w:w="0" w:type="dxa"/>
            <w:bottom w:w="0" w:type="dxa"/>
            <w:right w:w="0" w:type="dxa"/>
          </w:tblCellMar>
        </w:tblPrEx>
        <w:trPr>
          <w:wBefore w:w="0" w:type="auto"/>
          <w:tblCellSpacing w:w="0" w:type="dxa"/>
        </w:trPr>
        <w:tc>
          <w:tcPr>
            <w:tcW w:w="0" w:type="auto"/>
            <w:noWrap w:val="0"/>
            <w:vAlign w:val="center"/>
          </w:tcPr>
          <w:p w14:paraId="2EF1F049">
            <w:r>
              <w:rPr>
                <w:rStyle w:val="10"/>
                <w:rFonts w:hint="eastAsia"/>
              </w:rPr>
              <w:t>毒性及其标识：</w:t>
            </w:r>
            <w:r>
              <w:rPr>
                <w:rFonts w:hint="eastAsia"/>
              </w:rPr>
              <w:t xml:space="preserve"> 微毒 </w:t>
            </w:r>
          </w:p>
        </w:tc>
      </w:tr>
      <w:tr w14:paraId="426C11B8">
        <w:tblPrEx>
          <w:tblCellMar>
            <w:top w:w="0" w:type="dxa"/>
            <w:left w:w="0" w:type="dxa"/>
            <w:bottom w:w="0" w:type="dxa"/>
            <w:right w:w="0" w:type="dxa"/>
          </w:tblCellMar>
        </w:tblPrEx>
        <w:trPr>
          <w:wBefore w:w="0" w:type="auto"/>
          <w:tblCellSpacing w:w="0" w:type="dxa"/>
        </w:trPr>
        <w:tc>
          <w:tcPr>
            <w:tcW w:w="0" w:type="auto"/>
            <w:noWrap w:val="0"/>
            <w:vAlign w:val="center"/>
          </w:tcPr>
          <w:p w14:paraId="5084B2F6">
            <w:r>
              <w:rPr>
                <w:rStyle w:val="10"/>
                <w:rFonts w:hint="eastAsia"/>
              </w:rPr>
              <w:t>总有效成分含量：</w:t>
            </w:r>
            <w:r>
              <w:rPr>
                <w:rFonts w:hint="eastAsia"/>
              </w:rPr>
              <w:t>0.05%</w:t>
            </w:r>
          </w:p>
        </w:tc>
      </w:tr>
      <w:tr w14:paraId="14E3F139">
        <w:tblPrEx>
          <w:tblCellMar>
            <w:top w:w="0" w:type="dxa"/>
            <w:left w:w="0" w:type="dxa"/>
            <w:bottom w:w="0" w:type="dxa"/>
            <w:right w:w="0" w:type="dxa"/>
          </w:tblCellMar>
        </w:tblPrEx>
        <w:trPr>
          <w:wBefore w:w="0" w:type="auto"/>
          <w:tblCellSpacing w:w="0" w:type="dxa"/>
        </w:trPr>
        <w:tc>
          <w:tcPr>
            <w:tcW w:w="0" w:type="auto"/>
            <w:noWrap w:val="0"/>
            <w:vAlign w:val="center"/>
          </w:tcPr>
          <w:p w14:paraId="0988BB30">
            <w:r>
              <w:rPr>
                <w:rFonts w:hint="eastAsia"/>
              </w:rPr>
              <w:t xml:space="preserve">有效成分及其含量： </w:t>
            </w:r>
          </w:p>
          <w:p w14:paraId="5EC4DBB9">
            <w:r>
              <w:rPr>
                <w:rFonts w:hint="eastAsia"/>
              </w:rPr>
              <w:t xml:space="preserve">    氟虫腈0.05%    </w:t>
            </w:r>
          </w:p>
        </w:tc>
      </w:tr>
      <w:tr w14:paraId="1FD3BD4D">
        <w:tblPrEx>
          <w:tblCellMar>
            <w:top w:w="0" w:type="dxa"/>
            <w:left w:w="0" w:type="dxa"/>
            <w:bottom w:w="0" w:type="dxa"/>
            <w:right w:w="0" w:type="dxa"/>
          </w:tblCellMar>
        </w:tblPrEx>
        <w:trPr>
          <w:wBefore w:w="0" w:type="auto"/>
          <w:tblCellSpacing w:w="0" w:type="dxa"/>
        </w:trPr>
        <w:tc>
          <w:tcPr>
            <w:tcW w:w="0" w:type="auto"/>
            <w:noWrap w:val="0"/>
            <w:vAlign w:val="center"/>
          </w:tcPr>
          <w:p w14:paraId="3F94E7F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0A62B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466B81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6CB35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69115A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F82EE6C">
                  <w:r>
                    <w:rPr>
                      <w:rStyle w:val="11"/>
                      <w:rFonts w:hint="eastAsia"/>
                    </w:rPr>
                    <w:t>施用方式</w:t>
                  </w:r>
                </w:p>
              </w:tc>
            </w:tr>
            <w:tr w14:paraId="021988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015083C">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15FC00">
                  <w:r>
                    <w:rPr>
                      <w:rStyle w:val="11"/>
                      <w:rFonts w:hint="eastAsia"/>
                    </w:rPr>
                    <w:t>蚂蚁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FB6BA5">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35A01F">
                  <w:r>
                    <w:rPr>
                      <w:rStyle w:val="11"/>
                      <w:rFonts w:hint="eastAsia"/>
                    </w:rPr>
                    <w:t>投放</w:t>
                  </w:r>
                </w:p>
              </w:tc>
            </w:tr>
            <w:tr w14:paraId="5DF5AD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3D2D96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5287FE">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7F2238">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DF102C">
                  <w:r>
                    <w:rPr>
                      <w:rStyle w:val="11"/>
                      <w:rFonts w:hint="eastAsia"/>
                    </w:rPr>
                    <w:t>投放</w:t>
                  </w:r>
                </w:p>
              </w:tc>
            </w:tr>
          </w:tbl>
          <w:p w14:paraId="5B29313C">
            <w:pPr>
              <w:rPr>
                <w:rFonts w:ascii="Times New Roman" w:hAnsi="Times New Roman" w:cs="Times New Roman"/>
                <w:sz w:val="20"/>
                <w:szCs w:val="20"/>
              </w:rPr>
            </w:pPr>
          </w:p>
        </w:tc>
      </w:tr>
      <w:tr w14:paraId="0DDA52D0">
        <w:tblPrEx>
          <w:tblCellMar>
            <w:top w:w="0" w:type="dxa"/>
            <w:left w:w="0" w:type="dxa"/>
            <w:bottom w:w="0" w:type="dxa"/>
            <w:right w:w="0" w:type="dxa"/>
          </w:tblCellMar>
        </w:tblPrEx>
        <w:trPr>
          <w:wBefore w:w="0" w:type="auto"/>
          <w:tblCellSpacing w:w="0" w:type="dxa"/>
        </w:trPr>
        <w:tc>
          <w:tcPr>
            <w:tcW w:w="0" w:type="auto"/>
            <w:noWrap w:val="0"/>
            <w:vAlign w:val="center"/>
          </w:tcPr>
          <w:p w14:paraId="4D817B2A">
            <w:r>
              <w:rPr>
                <w:rStyle w:val="10"/>
                <w:rFonts w:hint="eastAsia"/>
              </w:rPr>
              <w:t>使用技术要求:</w:t>
            </w:r>
            <w:r>
              <w:rPr>
                <w:rFonts w:hint="eastAsia"/>
              </w:rPr>
              <w:br w:type="textWrapping"/>
            </w:r>
            <w:r>
              <w:rPr>
                <w:rStyle w:val="11"/>
                <w:rFonts w:hint="eastAsia"/>
              </w:rPr>
              <w:t>1.把药剂投放在蜚蠊（蟑螂）经常出没的地方，诱杀蜚蠊（蟑螂）。2.使用时严禁幼儿接触。</w:t>
            </w:r>
          </w:p>
        </w:tc>
      </w:tr>
      <w:tr w14:paraId="699AACF6">
        <w:tblPrEx>
          <w:tblCellMar>
            <w:top w:w="0" w:type="dxa"/>
            <w:left w:w="0" w:type="dxa"/>
            <w:bottom w:w="0" w:type="dxa"/>
            <w:right w:w="0" w:type="dxa"/>
          </w:tblCellMar>
        </w:tblPrEx>
        <w:trPr>
          <w:wBefore w:w="0" w:type="auto"/>
          <w:tblCellSpacing w:w="0" w:type="dxa"/>
        </w:trPr>
        <w:tc>
          <w:tcPr>
            <w:tcW w:w="0" w:type="auto"/>
            <w:noWrap w:val="0"/>
            <w:vAlign w:val="center"/>
          </w:tcPr>
          <w:p w14:paraId="09AA8706">
            <w:r>
              <w:rPr>
                <w:rStyle w:val="10"/>
                <w:rFonts w:hint="eastAsia"/>
              </w:rPr>
              <w:t>产品性能:</w:t>
            </w:r>
            <w:r>
              <w:rPr>
                <w:rFonts w:hint="eastAsia"/>
              </w:rPr>
              <w:br w:type="textWrapping"/>
            </w:r>
            <w:r>
              <w:rPr>
                <w:rStyle w:val="11"/>
                <w:rFonts w:hint="eastAsia"/>
              </w:rPr>
              <w:t>本品属胃毒性灭蟑药剂，具有诱杀蜚蠊（蟑螂）的作用。</w:t>
            </w:r>
          </w:p>
        </w:tc>
      </w:tr>
      <w:tr w14:paraId="5E690DB1">
        <w:tblPrEx>
          <w:tblCellMar>
            <w:top w:w="0" w:type="dxa"/>
            <w:left w:w="0" w:type="dxa"/>
            <w:bottom w:w="0" w:type="dxa"/>
            <w:right w:w="0" w:type="dxa"/>
          </w:tblCellMar>
        </w:tblPrEx>
        <w:trPr>
          <w:wBefore w:w="0" w:type="auto"/>
          <w:tblCellSpacing w:w="0" w:type="dxa"/>
        </w:trPr>
        <w:tc>
          <w:tcPr>
            <w:tcW w:w="0" w:type="auto"/>
            <w:noWrap w:val="0"/>
            <w:vAlign w:val="center"/>
          </w:tcPr>
          <w:p w14:paraId="6FE44CFE">
            <w:r>
              <w:rPr>
                <w:rStyle w:val="10"/>
                <w:rFonts w:hint="eastAsia"/>
              </w:rPr>
              <w:t>注意事项：</w:t>
            </w:r>
            <w:r>
              <w:rPr>
                <w:rFonts w:hint="eastAsia"/>
              </w:rPr>
              <w:br w:type="textWrapping"/>
            </w:r>
            <w:r>
              <w:rPr>
                <w:rStyle w:val="11"/>
                <w:rFonts w:hint="eastAsia"/>
              </w:rPr>
              <w:t>1.仅限室内使用。 2.使用时戴上防护手套，使用后洗手。 3.使用时切勿污染食物和饮用水。 4.避免接触人体或误食。 5.本品对鱼、蚕有毒,蚕室内及其附近禁用。使用时应注意。 6.过敏者禁用。使用中有任何不良反应请及时就医。 7.用过的容器应妥善处理，不可做他用，也不可随意丢弃。 8.孕妇及哺乳期妇女应避免接触此药。</w:t>
            </w:r>
          </w:p>
        </w:tc>
      </w:tr>
      <w:tr w14:paraId="68E80522">
        <w:tblPrEx>
          <w:tblCellMar>
            <w:top w:w="0" w:type="dxa"/>
            <w:left w:w="0" w:type="dxa"/>
            <w:bottom w:w="0" w:type="dxa"/>
            <w:right w:w="0" w:type="dxa"/>
          </w:tblCellMar>
        </w:tblPrEx>
        <w:trPr>
          <w:wBefore w:w="0" w:type="auto"/>
          <w:tblCellSpacing w:w="0" w:type="dxa"/>
        </w:trPr>
        <w:tc>
          <w:tcPr>
            <w:tcW w:w="0" w:type="auto"/>
            <w:noWrap w:val="0"/>
            <w:vAlign w:val="center"/>
          </w:tcPr>
          <w:p w14:paraId="511736C8">
            <w:r>
              <w:rPr>
                <w:rStyle w:val="10"/>
                <w:rFonts w:hint="eastAsia"/>
              </w:rPr>
              <w:t>中毒急救措施：</w:t>
            </w:r>
            <w:r>
              <w:rPr>
                <w:rFonts w:hint="eastAsia"/>
              </w:rPr>
              <w:br w:type="textWrapping"/>
            </w:r>
            <w:r>
              <w:rPr>
                <w:rStyle w:val="11"/>
                <w:rFonts w:hint="eastAsia"/>
              </w:rPr>
              <w:t>1.接触到皮肤或眼睛，应用大量清水冲洗，并就医治疗。 2．如不慎误服或吸入而发生中毒现象（恶心、呕吐、大汗、腹痛、腹泻、瞳孔缩小等），应将中毒者迅速送往医院，请医生对症治疗。阿托品为中毒者解毒药物，可予阿托品0.5-2mg，反复肌注或静注。</w:t>
            </w:r>
          </w:p>
        </w:tc>
      </w:tr>
      <w:tr w14:paraId="6D235F80">
        <w:tblPrEx>
          <w:tblCellMar>
            <w:top w:w="0" w:type="dxa"/>
            <w:left w:w="0" w:type="dxa"/>
            <w:bottom w:w="0" w:type="dxa"/>
            <w:right w:w="0" w:type="dxa"/>
          </w:tblCellMar>
        </w:tblPrEx>
        <w:trPr>
          <w:wBefore w:w="0" w:type="auto"/>
          <w:tblCellSpacing w:w="0" w:type="dxa"/>
        </w:trPr>
        <w:tc>
          <w:tcPr>
            <w:tcW w:w="0" w:type="auto"/>
            <w:noWrap w:val="0"/>
            <w:vAlign w:val="center"/>
          </w:tcPr>
          <w:p w14:paraId="2B5E6FC0">
            <w:r>
              <w:rPr>
                <w:rStyle w:val="10"/>
                <w:rFonts w:hint="eastAsia"/>
              </w:rPr>
              <w:t>储存和运输方法：</w:t>
            </w:r>
            <w:r>
              <w:rPr>
                <w:rFonts w:hint="eastAsia"/>
              </w:rPr>
              <w:br w:type="textWrapping"/>
            </w:r>
            <w:r>
              <w:rPr>
                <w:rStyle w:val="11"/>
                <w:rFonts w:hint="eastAsia"/>
              </w:rPr>
              <w:t>贮存：贮存在阴凉、通风干燥的地方，防止靠近高温，严禁曝晒。远离热源和火源。置于儿童接触不到的地方。 运输：严防曝晒和雨淋，不能与食品、饮料、粮食、饲料等同贮同运，避免与皮肤、眼睛等接触。</w:t>
            </w:r>
          </w:p>
        </w:tc>
      </w:tr>
      <w:tr w14:paraId="2BAC5ABE">
        <w:tblPrEx>
          <w:tblCellMar>
            <w:top w:w="0" w:type="dxa"/>
            <w:left w:w="0" w:type="dxa"/>
            <w:bottom w:w="0" w:type="dxa"/>
            <w:right w:w="0" w:type="dxa"/>
          </w:tblCellMar>
        </w:tblPrEx>
        <w:trPr>
          <w:wBefore w:w="0" w:type="auto"/>
          <w:tblCellSpacing w:w="0" w:type="dxa"/>
        </w:trPr>
        <w:tc>
          <w:tcPr>
            <w:tcW w:w="0" w:type="auto"/>
            <w:noWrap w:val="0"/>
            <w:vAlign w:val="center"/>
          </w:tcPr>
          <w:p w14:paraId="615965D1">
            <w:r>
              <w:rPr>
                <w:rStyle w:val="10"/>
                <w:rFonts w:hint="eastAsia"/>
              </w:rPr>
              <w:t>质量保证期：</w:t>
            </w:r>
            <w:r>
              <w:rPr>
                <w:rStyle w:val="11"/>
                <w:rFonts w:hint="eastAsia"/>
              </w:rPr>
              <w:t>2年</w:t>
            </w:r>
          </w:p>
        </w:tc>
      </w:tr>
      <w:tr w14:paraId="53DAA50B">
        <w:tblPrEx>
          <w:tblCellMar>
            <w:top w:w="0" w:type="dxa"/>
            <w:left w:w="0" w:type="dxa"/>
            <w:bottom w:w="0" w:type="dxa"/>
            <w:right w:w="0" w:type="dxa"/>
          </w:tblCellMar>
        </w:tblPrEx>
        <w:trPr>
          <w:wBefore w:w="0" w:type="auto"/>
          <w:tblCellSpacing w:w="0" w:type="dxa"/>
        </w:trPr>
        <w:tc>
          <w:tcPr>
            <w:tcW w:w="0" w:type="auto"/>
            <w:noWrap w:val="0"/>
            <w:vAlign w:val="center"/>
          </w:tcPr>
          <w:p w14:paraId="0FB5A489">
            <w:r>
              <w:rPr>
                <w:rStyle w:val="10"/>
                <w:rFonts w:hint="eastAsia"/>
              </w:rPr>
              <w:t>备注：</w:t>
            </w:r>
          </w:p>
        </w:tc>
      </w:tr>
    </w:tbl>
    <w:p w14:paraId="5374EC9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3C54EE8">
        <w:tblPrEx>
          <w:tblCellMar>
            <w:top w:w="0" w:type="dxa"/>
            <w:left w:w="0" w:type="dxa"/>
            <w:bottom w:w="0" w:type="dxa"/>
            <w:right w:w="0" w:type="dxa"/>
          </w:tblCellMar>
        </w:tblPrEx>
        <w:trPr>
          <w:wBefore w:w="0" w:type="auto"/>
          <w:tblCellSpacing w:w="0" w:type="dxa"/>
        </w:trPr>
        <w:tc>
          <w:tcPr>
            <w:tcW w:w="0" w:type="auto"/>
            <w:noWrap w:val="0"/>
            <w:vAlign w:val="center"/>
          </w:tcPr>
          <w:p w14:paraId="3B7562E6">
            <w:r>
              <w:rPr>
                <w:rStyle w:val="10"/>
                <w:rFonts w:hint="eastAsia"/>
              </w:rPr>
              <w:t>登记证号：</w:t>
            </w:r>
            <w:r>
              <w:rPr>
                <w:rFonts w:hint="eastAsia"/>
              </w:rPr>
              <w:t>PD20212085</w:t>
            </w:r>
          </w:p>
        </w:tc>
      </w:tr>
      <w:tr w14:paraId="096FA925">
        <w:tblPrEx>
          <w:tblCellMar>
            <w:top w:w="0" w:type="dxa"/>
            <w:left w:w="0" w:type="dxa"/>
            <w:bottom w:w="0" w:type="dxa"/>
            <w:right w:w="0" w:type="dxa"/>
          </w:tblCellMar>
        </w:tblPrEx>
        <w:trPr>
          <w:wBefore w:w="0" w:type="auto"/>
          <w:tblCellSpacing w:w="0" w:type="dxa"/>
        </w:trPr>
        <w:tc>
          <w:tcPr>
            <w:tcW w:w="0" w:type="auto"/>
            <w:noWrap w:val="0"/>
            <w:vAlign w:val="center"/>
          </w:tcPr>
          <w:p w14:paraId="6AA4DDFF">
            <w:r>
              <w:rPr>
                <w:rStyle w:val="10"/>
                <w:rFonts w:hint="eastAsia"/>
              </w:rPr>
              <w:t>登记证持有人：</w:t>
            </w:r>
            <w:r>
              <w:rPr>
                <w:rFonts w:hint="eastAsia"/>
              </w:rPr>
              <w:t>江苏省南通南沈植保科技开发有限公司</w:t>
            </w:r>
          </w:p>
        </w:tc>
      </w:tr>
      <w:tr w14:paraId="6709389C">
        <w:tblPrEx>
          <w:tblCellMar>
            <w:top w:w="0" w:type="dxa"/>
            <w:left w:w="0" w:type="dxa"/>
            <w:bottom w:w="0" w:type="dxa"/>
            <w:right w:w="0" w:type="dxa"/>
          </w:tblCellMar>
        </w:tblPrEx>
        <w:trPr>
          <w:wBefore w:w="0" w:type="auto"/>
          <w:tblCellSpacing w:w="0" w:type="dxa"/>
        </w:trPr>
        <w:tc>
          <w:tcPr>
            <w:tcW w:w="0" w:type="auto"/>
            <w:noWrap w:val="0"/>
            <w:vAlign w:val="center"/>
          </w:tcPr>
          <w:p w14:paraId="6C35547D">
            <w:r>
              <w:rPr>
                <w:rStyle w:val="10"/>
                <w:rFonts w:hint="eastAsia"/>
              </w:rPr>
              <w:t>农药名称：</w:t>
            </w:r>
            <w:r>
              <w:rPr>
                <w:rFonts w:hint="eastAsia"/>
              </w:rPr>
              <w:t>丙噁·丁草胺</w:t>
            </w:r>
          </w:p>
        </w:tc>
      </w:tr>
      <w:tr w14:paraId="068E300D">
        <w:tblPrEx>
          <w:tblCellMar>
            <w:top w:w="0" w:type="dxa"/>
            <w:left w:w="0" w:type="dxa"/>
            <w:bottom w:w="0" w:type="dxa"/>
            <w:right w:w="0" w:type="dxa"/>
          </w:tblCellMar>
        </w:tblPrEx>
        <w:trPr>
          <w:wBefore w:w="0" w:type="auto"/>
          <w:tblCellSpacing w:w="0" w:type="dxa"/>
        </w:trPr>
        <w:tc>
          <w:tcPr>
            <w:tcW w:w="0" w:type="auto"/>
            <w:noWrap w:val="0"/>
            <w:vAlign w:val="center"/>
          </w:tcPr>
          <w:p w14:paraId="249BF5F6">
            <w:r>
              <w:rPr>
                <w:rStyle w:val="10"/>
                <w:rFonts w:hint="eastAsia"/>
              </w:rPr>
              <w:t>剂型：</w:t>
            </w:r>
            <w:r>
              <w:rPr>
                <w:rFonts w:hint="eastAsia"/>
              </w:rPr>
              <w:t>微囊悬浮剂</w:t>
            </w:r>
          </w:p>
        </w:tc>
      </w:tr>
      <w:tr w14:paraId="7101969C">
        <w:tblPrEx>
          <w:tblCellMar>
            <w:top w:w="0" w:type="dxa"/>
            <w:left w:w="0" w:type="dxa"/>
            <w:bottom w:w="0" w:type="dxa"/>
            <w:right w:w="0" w:type="dxa"/>
          </w:tblCellMar>
        </w:tblPrEx>
        <w:trPr>
          <w:wBefore w:w="0" w:type="auto"/>
          <w:tblCellSpacing w:w="0" w:type="dxa"/>
        </w:trPr>
        <w:tc>
          <w:tcPr>
            <w:tcW w:w="0" w:type="auto"/>
            <w:noWrap w:val="0"/>
            <w:vAlign w:val="center"/>
          </w:tcPr>
          <w:p w14:paraId="0219DDDD">
            <w:r>
              <w:rPr>
                <w:rStyle w:val="10"/>
                <w:rFonts w:hint="eastAsia"/>
              </w:rPr>
              <w:t>毒性及其标识：</w:t>
            </w:r>
            <w:r>
              <w:rPr>
                <w:rFonts w:hint="eastAsia"/>
              </w:rPr>
              <w:t xml:space="preserve"> </w:t>
            </w:r>
            <w:r>
              <w:rPr>
                <w:lang/>
              </w:rPr>
              <w:drawing>
                <wp:inline distT="0" distB="0" distL="114300" distR="114300">
                  <wp:extent cx="476250" cy="323850"/>
                  <wp:effectExtent l="0" t="0" r="0" b="0"/>
                  <wp:docPr id="77" name="图片 7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FA4B172">
        <w:tblPrEx>
          <w:tblCellMar>
            <w:top w:w="0" w:type="dxa"/>
            <w:left w:w="0" w:type="dxa"/>
            <w:bottom w:w="0" w:type="dxa"/>
            <w:right w:w="0" w:type="dxa"/>
          </w:tblCellMar>
        </w:tblPrEx>
        <w:trPr>
          <w:wBefore w:w="0" w:type="auto"/>
          <w:tblCellSpacing w:w="0" w:type="dxa"/>
        </w:trPr>
        <w:tc>
          <w:tcPr>
            <w:tcW w:w="0" w:type="auto"/>
            <w:noWrap w:val="0"/>
            <w:vAlign w:val="center"/>
          </w:tcPr>
          <w:p w14:paraId="08C2AC14">
            <w:r>
              <w:rPr>
                <w:rStyle w:val="10"/>
                <w:rFonts w:hint="eastAsia"/>
              </w:rPr>
              <w:t>总有效成分含量：</w:t>
            </w:r>
            <w:r>
              <w:rPr>
                <w:rFonts w:hint="eastAsia"/>
              </w:rPr>
              <w:t>30%</w:t>
            </w:r>
          </w:p>
        </w:tc>
      </w:tr>
      <w:tr w14:paraId="0E09A68B">
        <w:tblPrEx>
          <w:tblCellMar>
            <w:top w:w="0" w:type="dxa"/>
            <w:left w:w="0" w:type="dxa"/>
            <w:bottom w:w="0" w:type="dxa"/>
            <w:right w:w="0" w:type="dxa"/>
          </w:tblCellMar>
        </w:tblPrEx>
        <w:trPr>
          <w:wBefore w:w="0" w:type="auto"/>
          <w:tblCellSpacing w:w="0" w:type="dxa"/>
        </w:trPr>
        <w:tc>
          <w:tcPr>
            <w:tcW w:w="0" w:type="auto"/>
            <w:noWrap w:val="0"/>
            <w:vAlign w:val="center"/>
          </w:tcPr>
          <w:p w14:paraId="36E0DAD0">
            <w:r>
              <w:rPr>
                <w:rFonts w:hint="eastAsia"/>
              </w:rPr>
              <w:t xml:space="preserve">有效成分及其含量： </w:t>
            </w:r>
          </w:p>
          <w:p w14:paraId="6A832DDF">
            <w:r>
              <w:rPr>
                <w:rFonts w:hint="eastAsia"/>
              </w:rPr>
              <w:t xml:space="preserve">    丙炔噁草酮3%    丁草胺27%    </w:t>
            </w:r>
          </w:p>
        </w:tc>
      </w:tr>
      <w:tr w14:paraId="57B33A2A">
        <w:tblPrEx>
          <w:tblCellMar>
            <w:top w:w="0" w:type="dxa"/>
            <w:left w:w="0" w:type="dxa"/>
            <w:bottom w:w="0" w:type="dxa"/>
            <w:right w:w="0" w:type="dxa"/>
          </w:tblCellMar>
        </w:tblPrEx>
        <w:trPr>
          <w:wBefore w:w="0" w:type="auto"/>
          <w:tblCellSpacing w:w="0" w:type="dxa"/>
        </w:trPr>
        <w:tc>
          <w:tcPr>
            <w:tcW w:w="0" w:type="auto"/>
            <w:noWrap w:val="0"/>
            <w:vAlign w:val="center"/>
          </w:tcPr>
          <w:p w14:paraId="2EFC939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86CC5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5C91C4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209516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676AD2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EAC0E6">
                  <w:r>
                    <w:rPr>
                      <w:rStyle w:val="11"/>
                      <w:rFonts w:hint="eastAsia"/>
                    </w:rPr>
                    <w:t>施用方式</w:t>
                  </w:r>
                </w:p>
              </w:tc>
            </w:tr>
            <w:tr w14:paraId="782A77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CE7A49">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A95FAC">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BD4052">
                  <w:r>
                    <w:rPr>
                      <w:rStyle w:val="11"/>
                      <w:rFonts w:hint="eastAsia"/>
                    </w:rPr>
                    <w:t>160-200毫升/亩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4EAD59">
                  <w:r>
                    <w:rPr>
                      <w:rStyle w:val="11"/>
                      <w:rFonts w:hint="eastAsia"/>
                    </w:rPr>
                    <w:t>土壤喷雾</w:t>
                  </w:r>
                </w:p>
              </w:tc>
            </w:tr>
          </w:tbl>
          <w:p w14:paraId="55FA6EF1">
            <w:pPr>
              <w:rPr>
                <w:rFonts w:ascii="Times New Roman" w:hAnsi="Times New Roman" w:cs="Times New Roman"/>
                <w:sz w:val="20"/>
                <w:szCs w:val="20"/>
              </w:rPr>
            </w:pPr>
          </w:p>
        </w:tc>
      </w:tr>
      <w:tr w14:paraId="302E1903">
        <w:tblPrEx>
          <w:tblCellMar>
            <w:top w:w="0" w:type="dxa"/>
            <w:left w:w="0" w:type="dxa"/>
            <w:bottom w:w="0" w:type="dxa"/>
            <w:right w:w="0" w:type="dxa"/>
          </w:tblCellMar>
        </w:tblPrEx>
        <w:trPr>
          <w:wBefore w:w="0" w:type="auto"/>
          <w:tblCellSpacing w:w="0" w:type="dxa"/>
        </w:trPr>
        <w:tc>
          <w:tcPr>
            <w:tcW w:w="0" w:type="auto"/>
            <w:noWrap w:val="0"/>
            <w:vAlign w:val="center"/>
          </w:tcPr>
          <w:p w14:paraId="3A04971D">
            <w:r>
              <w:rPr>
                <w:rStyle w:val="10"/>
                <w:rFonts w:hint="eastAsia"/>
              </w:rPr>
              <w:t>使用技术要求:</w:t>
            </w:r>
            <w:r>
              <w:rPr>
                <w:rFonts w:hint="eastAsia"/>
              </w:rPr>
              <w:br w:type="textWrapping"/>
            </w:r>
            <w:r>
              <w:rPr>
                <w:rStyle w:val="11"/>
                <w:rFonts w:hint="eastAsia"/>
              </w:rPr>
              <w:t>1. 于水稻（移栽田）移栽前3-7天施药，稻田灌水整平后土壤喷雾处理，施药一次，药后保持3-5厘米水层3-5天，插秧后保持3-5厘米水层2-3天。注意喷雾均匀周到，以免影响防效。 2. 水稻移栽后严禁喷雾处理。 3. 每季作物最多使用一次。</w:t>
            </w:r>
          </w:p>
        </w:tc>
      </w:tr>
      <w:tr w14:paraId="0A5BA11C">
        <w:tblPrEx>
          <w:tblCellMar>
            <w:top w:w="0" w:type="dxa"/>
            <w:left w:w="0" w:type="dxa"/>
            <w:bottom w:w="0" w:type="dxa"/>
            <w:right w:w="0" w:type="dxa"/>
          </w:tblCellMar>
        </w:tblPrEx>
        <w:trPr>
          <w:wBefore w:w="0" w:type="auto"/>
          <w:tblCellSpacing w:w="0" w:type="dxa"/>
        </w:trPr>
        <w:tc>
          <w:tcPr>
            <w:tcW w:w="0" w:type="auto"/>
            <w:noWrap w:val="0"/>
            <w:vAlign w:val="center"/>
          </w:tcPr>
          <w:p w14:paraId="550F82F5">
            <w:r>
              <w:rPr>
                <w:rStyle w:val="10"/>
                <w:rFonts w:hint="eastAsia"/>
              </w:rPr>
              <w:t>产品性能:</w:t>
            </w:r>
            <w:r>
              <w:rPr>
                <w:rFonts w:hint="eastAsia"/>
              </w:rPr>
              <w:br w:type="textWrapping"/>
            </w:r>
            <w:r>
              <w:rPr>
                <w:rStyle w:val="11"/>
                <w:rFonts w:hint="eastAsia"/>
              </w:rPr>
              <w:t>本产品是由两种作用机理不同的除草剂复配而成，具有触杀和吸收传导的双重功效。施用后其有效成分可在水面沉入土壤表层，形成封闭药膜，从而将靶标杂草消灭在萌芽状态，具有除草安全、杀草广谱，持效期较长，对抗磺酰脲类杂草防效优异。</w:t>
            </w:r>
          </w:p>
        </w:tc>
      </w:tr>
      <w:tr w14:paraId="1B4FDBD0">
        <w:tblPrEx>
          <w:tblCellMar>
            <w:top w:w="0" w:type="dxa"/>
            <w:left w:w="0" w:type="dxa"/>
            <w:bottom w:w="0" w:type="dxa"/>
            <w:right w:w="0" w:type="dxa"/>
          </w:tblCellMar>
        </w:tblPrEx>
        <w:trPr>
          <w:wBefore w:w="0" w:type="auto"/>
          <w:tblCellSpacing w:w="0" w:type="dxa"/>
        </w:trPr>
        <w:tc>
          <w:tcPr>
            <w:tcW w:w="0" w:type="auto"/>
            <w:noWrap w:val="0"/>
            <w:vAlign w:val="center"/>
          </w:tcPr>
          <w:p w14:paraId="3F536E2B">
            <w:r>
              <w:rPr>
                <w:rStyle w:val="10"/>
                <w:rFonts w:hint="eastAsia"/>
              </w:rPr>
              <w:t>注意事项：</w:t>
            </w:r>
            <w:r>
              <w:rPr>
                <w:rFonts w:hint="eastAsia"/>
              </w:rPr>
              <w:br w:type="textWrapping"/>
            </w:r>
            <w:r>
              <w:rPr>
                <w:rStyle w:val="11"/>
                <w:rFonts w:hint="eastAsia"/>
              </w:rPr>
              <w:t>1. 严格按照标签说明施药。 2. 移栽时勿将稻苗淹没在施用本剂的稻田水中，以免产生药害。 3. 远离水产养殖区、河塘等水体施药，鱼或虾蟹套养稻田禁用，施药后的田水不得直接排 入水体，禁止在河塘等水域清洗施药器具。 4. 鸟类保护区和蚕室及桑园附近禁用； 瓢虫等天敌放飞区禁止使用。 5. 施用时应戴防护服、口罩和手套等防护用具，施药时不得饮食、吸烟、饮水等；施药后 应用肥皂和清水彻底清洗暴露在外的皮肤。 6. 孕妇及哺乳期的妇女避免接触此药。 7. 用过的容器要妥善处理，不可做他用，也不可随意丢弃。 8. 避免与氧化剂接触或混合。</w:t>
            </w:r>
          </w:p>
        </w:tc>
      </w:tr>
      <w:tr w14:paraId="5581CC31">
        <w:tblPrEx>
          <w:tblCellMar>
            <w:top w:w="0" w:type="dxa"/>
            <w:left w:w="0" w:type="dxa"/>
            <w:bottom w:w="0" w:type="dxa"/>
            <w:right w:w="0" w:type="dxa"/>
          </w:tblCellMar>
        </w:tblPrEx>
        <w:trPr>
          <w:wBefore w:w="0" w:type="auto"/>
          <w:tblCellSpacing w:w="0" w:type="dxa"/>
        </w:trPr>
        <w:tc>
          <w:tcPr>
            <w:tcW w:w="0" w:type="auto"/>
            <w:noWrap w:val="0"/>
            <w:vAlign w:val="center"/>
          </w:tcPr>
          <w:p w14:paraId="5D1969FC">
            <w:r>
              <w:rPr>
                <w:rStyle w:val="10"/>
                <w:rFonts w:hint="eastAsia"/>
              </w:rPr>
              <w:t>中毒急救措施：</w:t>
            </w:r>
            <w:r>
              <w:rPr>
                <w:rFonts w:hint="eastAsia"/>
              </w:rPr>
              <w:br w:type="textWrapping"/>
            </w:r>
            <w:r>
              <w:rPr>
                <w:rStyle w:val="11"/>
                <w:rFonts w:hint="eastAsia"/>
              </w:rPr>
              <w:t>1. 如药液溅到皮肤，请立即用肥皂和清水冲洗； 2. 如药液溅到眼内，应翻开眼睑，用足量清水冲洗15分钟并请医生诊治。 3. 切忌吞服，如误服，则应立即催吐，并携此标签立即就医。</w:t>
            </w:r>
          </w:p>
        </w:tc>
      </w:tr>
      <w:tr w14:paraId="79980E0F">
        <w:tblPrEx>
          <w:tblCellMar>
            <w:top w:w="0" w:type="dxa"/>
            <w:left w:w="0" w:type="dxa"/>
            <w:bottom w:w="0" w:type="dxa"/>
            <w:right w:w="0" w:type="dxa"/>
          </w:tblCellMar>
        </w:tblPrEx>
        <w:trPr>
          <w:wBefore w:w="0" w:type="auto"/>
          <w:tblCellSpacing w:w="0" w:type="dxa"/>
        </w:trPr>
        <w:tc>
          <w:tcPr>
            <w:tcW w:w="0" w:type="auto"/>
            <w:noWrap w:val="0"/>
            <w:vAlign w:val="center"/>
          </w:tcPr>
          <w:p w14:paraId="2759CB23">
            <w:r>
              <w:rPr>
                <w:rStyle w:val="10"/>
                <w:rFonts w:hint="eastAsia"/>
              </w:rPr>
              <w:t>储存和运输方法：</w:t>
            </w:r>
            <w:r>
              <w:rPr>
                <w:rFonts w:hint="eastAsia"/>
              </w:rPr>
              <w:br w:type="textWrapping"/>
            </w:r>
            <w:r>
              <w:rPr>
                <w:rStyle w:val="11"/>
                <w:rFonts w:hint="eastAsia"/>
              </w:rPr>
              <w:t>密封后贮存于干燥、阴凉、防雨处，远离热源及火源。置于儿童及无关人员触及不到之处，并加锁。不能与食品、饮料、粮食、饲料等同贮同运。</w:t>
            </w:r>
          </w:p>
        </w:tc>
      </w:tr>
      <w:tr w14:paraId="4268D3C7">
        <w:tblPrEx>
          <w:tblCellMar>
            <w:top w:w="0" w:type="dxa"/>
            <w:left w:w="0" w:type="dxa"/>
            <w:bottom w:w="0" w:type="dxa"/>
            <w:right w:w="0" w:type="dxa"/>
          </w:tblCellMar>
        </w:tblPrEx>
        <w:trPr>
          <w:wBefore w:w="0" w:type="auto"/>
          <w:tblCellSpacing w:w="0" w:type="dxa"/>
        </w:trPr>
        <w:tc>
          <w:tcPr>
            <w:tcW w:w="0" w:type="auto"/>
            <w:noWrap w:val="0"/>
            <w:vAlign w:val="center"/>
          </w:tcPr>
          <w:p w14:paraId="612444CC">
            <w:r>
              <w:rPr>
                <w:rStyle w:val="10"/>
                <w:rFonts w:hint="eastAsia"/>
              </w:rPr>
              <w:t>质量保证期：</w:t>
            </w:r>
            <w:r>
              <w:rPr>
                <w:rStyle w:val="11"/>
                <w:rFonts w:hint="eastAsia"/>
              </w:rPr>
              <w:t>2年</w:t>
            </w:r>
          </w:p>
        </w:tc>
      </w:tr>
      <w:tr w14:paraId="5EAB9E25">
        <w:tblPrEx>
          <w:tblCellMar>
            <w:top w:w="0" w:type="dxa"/>
            <w:left w:w="0" w:type="dxa"/>
            <w:bottom w:w="0" w:type="dxa"/>
            <w:right w:w="0" w:type="dxa"/>
          </w:tblCellMar>
        </w:tblPrEx>
        <w:trPr>
          <w:wBefore w:w="0" w:type="auto"/>
          <w:tblCellSpacing w:w="0" w:type="dxa"/>
        </w:trPr>
        <w:tc>
          <w:tcPr>
            <w:tcW w:w="0" w:type="auto"/>
            <w:noWrap w:val="0"/>
            <w:vAlign w:val="center"/>
          </w:tcPr>
          <w:p w14:paraId="38555CF4">
            <w:r>
              <w:rPr>
                <w:rStyle w:val="10"/>
                <w:rFonts w:hint="eastAsia"/>
              </w:rPr>
              <w:t>备注：</w:t>
            </w:r>
          </w:p>
        </w:tc>
      </w:tr>
    </w:tbl>
    <w:p w14:paraId="40A6C48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47610B">
        <w:tblPrEx>
          <w:tblCellMar>
            <w:top w:w="0" w:type="dxa"/>
            <w:left w:w="0" w:type="dxa"/>
            <w:bottom w:w="0" w:type="dxa"/>
            <w:right w:w="0" w:type="dxa"/>
          </w:tblCellMar>
        </w:tblPrEx>
        <w:trPr>
          <w:wBefore w:w="0" w:type="auto"/>
          <w:tblCellSpacing w:w="0" w:type="dxa"/>
        </w:trPr>
        <w:tc>
          <w:tcPr>
            <w:tcW w:w="0" w:type="auto"/>
            <w:noWrap w:val="0"/>
            <w:vAlign w:val="center"/>
          </w:tcPr>
          <w:p w14:paraId="500A554B">
            <w:r>
              <w:rPr>
                <w:rStyle w:val="10"/>
                <w:rFonts w:hint="eastAsia"/>
              </w:rPr>
              <w:t>登记证号：</w:t>
            </w:r>
            <w:r>
              <w:rPr>
                <w:rFonts w:hint="eastAsia"/>
              </w:rPr>
              <w:t>PD20212196</w:t>
            </w:r>
          </w:p>
        </w:tc>
      </w:tr>
      <w:tr w14:paraId="74A11F47">
        <w:tblPrEx>
          <w:tblCellMar>
            <w:top w:w="0" w:type="dxa"/>
            <w:left w:w="0" w:type="dxa"/>
            <w:bottom w:w="0" w:type="dxa"/>
            <w:right w:w="0" w:type="dxa"/>
          </w:tblCellMar>
        </w:tblPrEx>
        <w:trPr>
          <w:wBefore w:w="0" w:type="auto"/>
          <w:tblCellSpacing w:w="0" w:type="dxa"/>
        </w:trPr>
        <w:tc>
          <w:tcPr>
            <w:tcW w:w="0" w:type="auto"/>
            <w:noWrap w:val="0"/>
            <w:vAlign w:val="center"/>
          </w:tcPr>
          <w:p w14:paraId="064E577B">
            <w:r>
              <w:rPr>
                <w:rStyle w:val="10"/>
                <w:rFonts w:hint="eastAsia"/>
              </w:rPr>
              <w:t>登记证持有人：</w:t>
            </w:r>
            <w:r>
              <w:rPr>
                <w:rFonts w:hint="eastAsia"/>
              </w:rPr>
              <w:t>安徽瑞辰植保工程有限公司</w:t>
            </w:r>
          </w:p>
        </w:tc>
      </w:tr>
      <w:tr w14:paraId="64E01EA5">
        <w:tblPrEx>
          <w:tblCellMar>
            <w:top w:w="0" w:type="dxa"/>
            <w:left w:w="0" w:type="dxa"/>
            <w:bottom w:w="0" w:type="dxa"/>
            <w:right w:w="0" w:type="dxa"/>
          </w:tblCellMar>
        </w:tblPrEx>
        <w:trPr>
          <w:wBefore w:w="0" w:type="auto"/>
          <w:tblCellSpacing w:w="0" w:type="dxa"/>
        </w:trPr>
        <w:tc>
          <w:tcPr>
            <w:tcW w:w="0" w:type="auto"/>
            <w:noWrap w:val="0"/>
            <w:vAlign w:val="center"/>
          </w:tcPr>
          <w:p w14:paraId="0948845C">
            <w:r>
              <w:rPr>
                <w:rStyle w:val="10"/>
                <w:rFonts w:hint="eastAsia"/>
              </w:rPr>
              <w:t>农药名称：</w:t>
            </w:r>
            <w:r>
              <w:rPr>
                <w:rFonts w:hint="eastAsia"/>
              </w:rPr>
              <w:t>滴酸·草甘膦</w:t>
            </w:r>
          </w:p>
        </w:tc>
      </w:tr>
      <w:tr w14:paraId="6E372906">
        <w:tblPrEx>
          <w:tblCellMar>
            <w:top w:w="0" w:type="dxa"/>
            <w:left w:w="0" w:type="dxa"/>
            <w:bottom w:w="0" w:type="dxa"/>
            <w:right w:w="0" w:type="dxa"/>
          </w:tblCellMar>
        </w:tblPrEx>
        <w:trPr>
          <w:wBefore w:w="0" w:type="auto"/>
          <w:tblCellSpacing w:w="0" w:type="dxa"/>
        </w:trPr>
        <w:tc>
          <w:tcPr>
            <w:tcW w:w="0" w:type="auto"/>
            <w:noWrap w:val="0"/>
            <w:vAlign w:val="center"/>
          </w:tcPr>
          <w:p w14:paraId="68F74F76">
            <w:r>
              <w:rPr>
                <w:rStyle w:val="10"/>
                <w:rFonts w:hint="eastAsia"/>
              </w:rPr>
              <w:t>剂型：</w:t>
            </w:r>
            <w:r>
              <w:rPr>
                <w:rFonts w:hint="eastAsia"/>
              </w:rPr>
              <w:t>可溶液剂</w:t>
            </w:r>
          </w:p>
        </w:tc>
      </w:tr>
      <w:tr w14:paraId="471A9864">
        <w:tblPrEx>
          <w:tblCellMar>
            <w:top w:w="0" w:type="dxa"/>
            <w:left w:w="0" w:type="dxa"/>
            <w:bottom w:w="0" w:type="dxa"/>
            <w:right w:w="0" w:type="dxa"/>
          </w:tblCellMar>
        </w:tblPrEx>
        <w:trPr>
          <w:wBefore w:w="0" w:type="auto"/>
          <w:tblCellSpacing w:w="0" w:type="dxa"/>
        </w:trPr>
        <w:tc>
          <w:tcPr>
            <w:tcW w:w="0" w:type="auto"/>
            <w:noWrap w:val="0"/>
            <w:vAlign w:val="center"/>
          </w:tcPr>
          <w:p w14:paraId="24ADC9C0">
            <w:r>
              <w:rPr>
                <w:rStyle w:val="10"/>
                <w:rFonts w:hint="eastAsia"/>
              </w:rPr>
              <w:t>毒性及其标识：</w:t>
            </w:r>
            <w:r>
              <w:rPr>
                <w:rFonts w:hint="eastAsia"/>
              </w:rPr>
              <w:t xml:space="preserve"> 微毒 </w:t>
            </w:r>
          </w:p>
        </w:tc>
      </w:tr>
      <w:tr w14:paraId="032C1EF2">
        <w:tblPrEx>
          <w:tblCellMar>
            <w:top w:w="0" w:type="dxa"/>
            <w:left w:w="0" w:type="dxa"/>
            <w:bottom w:w="0" w:type="dxa"/>
            <w:right w:w="0" w:type="dxa"/>
          </w:tblCellMar>
        </w:tblPrEx>
        <w:trPr>
          <w:wBefore w:w="0" w:type="auto"/>
          <w:tblCellSpacing w:w="0" w:type="dxa"/>
        </w:trPr>
        <w:tc>
          <w:tcPr>
            <w:tcW w:w="0" w:type="auto"/>
            <w:noWrap w:val="0"/>
            <w:vAlign w:val="center"/>
          </w:tcPr>
          <w:p w14:paraId="4348ADAC">
            <w:r>
              <w:rPr>
                <w:rStyle w:val="10"/>
                <w:rFonts w:hint="eastAsia"/>
              </w:rPr>
              <w:t>总有效成分含量：</w:t>
            </w:r>
            <w:r>
              <w:rPr>
                <w:rFonts w:hint="eastAsia"/>
              </w:rPr>
              <w:t>32.4%</w:t>
            </w:r>
          </w:p>
        </w:tc>
      </w:tr>
      <w:tr w14:paraId="12083A13">
        <w:tblPrEx>
          <w:tblCellMar>
            <w:top w:w="0" w:type="dxa"/>
            <w:left w:w="0" w:type="dxa"/>
            <w:bottom w:w="0" w:type="dxa"/>
            <w:right w:w="0" w:type="dxa"/>
          </w:tblCellMar>
        </w:tblPrEx>
        <w:trPr>
          <w:wBefore w:w="0" w:type="auto"/>
          <w:tblCellSpacing w:w="0" w:type="dxa"/>
        </w:trPr>
        <w:tc>
          <w:tcPr>
            <w:tcW w:w="0" w:type="auto"/>
            <w:noWrap w:val="0"/>
            <w:vAlign w:val="center"/>
          </w:tcPr>
          <w:p w14:paraId="7629B1B8">
            <w:r>
              <w:rPr>
                <w:rFonts w:hint="eastAsia"/>
              </w:rPr>
              <w:t xml:space="preserve">有效成分及其含量： </w:t>
            </w:r>
          </w:p>
          <w:p w14:paraId="4BF0023F">
            <w:r>
              <w:rPr>
                <w:rFonts w:hint="eastAsia"/>
              </w:rPr>
              <w:t xml:space="preserve">    2,4-滴2.4%    草甘膦30%    </w:t>
            </w:r>
          </w:p>
        </w:tc>
      </w:tr>
      <w:tr w14:paraId="65DF9F94">
        <w:tblPrEx>
          <w:tblCellMar>
            <w:top w:w="0" w:type="dxa"/>
            <w:left w:w="0" w:type="dxa"/>
            <w:bottom w:w="0" w:type="dxa"/>
            <w:right w:w="0" w:type="dxa"/>
          </w:tblCellMar>
        </w:tblPrEx>
        <w:trPr>
          <w:wBefore w:w="0" w:type="auto"/>
          <w:tblCellSpacing w:w="0" w:type="dxa"/>
        </w:trPr>
        <w:tc>
          <w:tcPr>
            <w:tcW w:w="0" w:type="auto"/>
            <w:noWrap w:val="0"/>
            <w:vAlign w:val="center"/>
          </w:tcPr>
          <w:p w14:paraId="70D83F8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516C0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5B9E64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710ACC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21D18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8A5448">
                  <w:r>
                    <w:rPr>
                      <w:rStyle w:val="11"/>
                      <w:rFonts w:hint="eastAsia"/>
                    </w:rPr>
                    <w:t>施用方式</w:t>
                  </w:r>
                </w:p>
              </w:tc>
            </w:tr>
            <w:tr w14:paraId="214BB1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63A827">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E26B8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3B483D">
                  <w:r>
                    <w:rPr>
                      <w:rStyle w:val="11"/>
                      <w:rFonts w:hint="eastAsia"/>
                    </w:rPr>
                    <w:t>250-500毫升/亩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3C2A4D">
                  <w:r>
                    <w:rPr>
                      <w:rStyle w:val="11"/>
                      <w:rFonts w:hint="eastAsia"/>
                    </w:rPr>
                    <w:t>茎叶喷雾</w:t>
                  </w:r>
                </w:p>
              </w:tc>
            </w:tr>
          </w:tbl>
          <w:p w14:paraId="3264ABFC">
            <w:pPr>
              <w:rPr>
                <w:rFonts w:ascii="Times New Roman" w:hAnsi="Times New Roman" w:cs="Times New Roman"/>
                <w:sz w:val="20"/>
                <w:szCs w:val="20"/>
              </w:rPr>
            </w:pPr>
          </w:p>
        </w:tc>
      </w:tr>
      <w:tr w14:paraId="37195460">
        <w:tblPrEx>
          <w:tblCellMar>
            <w:top w:w="0" w:type="dxa"/>
            <w:left w:w="0" w:type="dxa"/>
            <w:bottom w:w="0" w:type="dxa"/>
            <w:right w:w="0" w:type="dxa"/>
          </w:tblCellMar>
        </w:tblPrEx>
        <w:trPr>
          <w:wBefore w:w="0" w:type="auto"/>
          <w:tblCellSpacing w:w="0" w:type="dxa"/>
        </w:trPr>
        <w:tc>
          <w:tcPr>
            <w:tcW w:w="0" w:type="auto"/>
            <w:noWrap w:val="0"/>
            <w:vAlign w:val="center"/>
          </w:tcPr>
          <w:p w14:paraId="41C02AF3">
            <w:r>
              <w:rPr>
                <w:rStyle w:val="10"/>
                <w:rFonts w:hint="eastAsia"/>
              </w:rPr>
              <w:t>使用技术要求:</w:t>
            </w:r>
            <w:r>
              <w:rPr>
                <w:rFonts w:hint="eastAsia"/>
              </w:rPr>
              <w:br w:type="textWrapping"/>
            </w:r>
            <w:r>
              <w:rPr>
                <w:rStyle w:val="11"/>
                <w:rFonts w:hint="eastAsia"/>
              </w:rPr>
              <w:t>1、在非耕地杂草旺盛生长期，以推荐剂量兑水均匀茎叶喷雾使用。2、大风天或预计1小时内下雨请勿施药。3、每季最多使用1次。</w:t>
            </w:r>
          </w:p>
        </w:tc>
      </w:tr>
      <w:tr w14:paraId="7281EF01">
        <w:tblPrEx>
          <w:tblCellMar>
            <w:top w:w="0" w:type="dxa"/>
            <w:left w:w="0" w:type="dxa"/>
            <w:bottom w:w="0" w:type="dxa"/>
            <w:right w:w="0" w:type="dxa"/>
          </w:tblCellMar>
        </w:tblPrEx>
        <w:trPr>
          <w:wBefore w:w="0" w:type="auto"/>
          <w:tblCellSpacing w:w="0" w:type="dxa"/>
        </w:trPr>
        <w:tc>
          <w:tcPr>
            <w:tcW w:w="0" w:type="auto"/>
            <w:noWrap w:val="0"/>
            <w:vAlign w:val="center"/>
          </w:tcPr>
          <w:p w14:paraId="249035CB">
            <w:r>
              <w:rPr>
                <w:rStyle w:val="10"/>
                <w:rFonts w:hint="eastAsia"/>
              </w:rPr>
              <w:t>产品性能:</w:t>
            </w:r>
            <w:r>
              <w:rPr>
                <w:rFonts w:hint="eastAsia"/>
              </w:rPr>
              <w:br w:type="textWrapping"/>
            </w:r>
            <w:r>
              <w:rPr>
                <w:rStyle w:val="11"/>
                <w:rFonts w:hint="eastAsia"/>
              </w:rPr>
              <w:t>本品为草甘膦和2,4-滴的混配制剂，草甘膦为内吸传导型灭生性除草剂，2,4-滴可以干扰植物体内激素平衡，破坏核酸与蛋白质代谢，促进或抑制某些器官生长。本品是灭生性除草剂，通过杂草茎叶吸收并传导至全株，可将杂草连根杀死，具有杀草谱广、除草效果好、持效期长等特点。能有效地防除非耕地杂草。</w:t>
            </w:r>
          </w:p>
        </w:tc>
      </w:tr>
      <w:tr w14:paraId="05477983">
        <w:tblPrEx>
          <w:tblCellMar>
            <w:top w:w="0" w:type="dxa"/>
            <w:left w:w="0" w:type="dxa"/>
            <w:bottom w:w="0" w:type="dxa"/>
            <w:right w:w="0" w:type="dxa"/>
          </w:tblCellMar>
        </w:tblPrEx>
        <w:trPr>
          <w:wBefore w:w="0" w:type="auto"/>
          <w:tblCellSpacing w:w="0" w:type="dxa"/>
        </w:trPr>
        <w:tc>
          <w:tcPr>
            <w:tcW w:w="0" w:type="auto"/>
            <w:noWrap w:val="0"/>
            <w:vAlign w:val="center"/>
          </w:tcPr>
          <w:p w14:paraId="65F9220F">
            <w:r>
              <w:rPr>
                <w:rStyle w:val="10"/>
                <w:rFonts w:hint="eastAsia"/>
              </w:rPr>
              <w:t>注意事项：</w:t>
            </w:r>
            <w:r>
              <w:rPr>
                <w:rFonts w:hint="eastAsia"/>
              </w:rPr>
              <w:br w:type="textWrapping"/>
            </w:r>
            <w:r>
              <w:rPr>
                <w:rStyle w:val="11"/>
                <w:rFonts w:hint="eastAsia"/>
              </w:rPr>
              <w:t>1、本品应避免与氧化剂接触。 2、本品属灭生性除草剂，禁止在田间道路、田埂、果树行间、休耕地、林场林地等农林业区域使用，严防雾滴飘移到果木和邻近作物田，以防止药害。 3、药液用清水稀释，不得使用污水、混浊水，以免影响药效。 4、对眼睛有刺激性，施药时应穿长衣长裤、长靴、戴手套、口罩、眼镜等防护用具；此时不能吸烟、饮水等；施药后洗干净手、脸、皮肤暴露部位等，并及时更换衣物。 5、本品对蜜蜂、鱼类等水生生物、家蚕有毒，施药期间应避免对周围蜂群的影响、开花植物花期、蚕室和桑园附近禁用，鸟类活动区附近禁用，赤眼蜂等天敌放飞区域禁用。 6、远离水产养殖区、河塘等水体施药，禁止在河塘等水体清洗施药器具。 7、施药后5天内勿割草、放牧、翻地等。 8、用过的容器应妥善处理，不可作他用，也不可随意丢弃。 9、未用完的制剂应放在原包装内密封保存，切勿将本品置于饮食容器内。 10、孕妇及哺乳期妇女避免接触本品。</w:t>
            </w:r>
          </w:p>
        </w:tc>
      </w:tr>
      <w:tr w14:paraId="67E3A281">
        <w:tblPrEx>
          <w:tblCellMar>
            <w:top w:w="0" w:type="dxa"/>
            <w:left w:w="0" w:type="dxa"/>
            <w:bottom w:w="0" w:type="dxa"/>
            <w:right w:w="0" w:type="dxa"/>
          </w:tblCellMar>
        </w:tblPrEx>
        <w:trPr>
          <w:wBefore w:w="0" w:type="auto"/>
          <w:tblCellSpacing w:w="0" w:type="dxa"/>
        </w:trPr>
        <w:tc>
          <w:tcPr>
            <w:tcW w:w="0" w:type="auto"/>
            <w:noWrap w:val="0"/>
            <w:vAlign w:val="center"/>
          </w:tcPr>
          <w:p w14:paraId="4DE42969">
            <w:r>
              <w:rPr>
                <w:rStyle w:val="10"/>
                <w:rFonts w:hint="eastAsia"/>
              </w:rPr>
              <w:t>中毒急救措施：</w:t>
            </w:r>
            <w:r>
              <w:rPr>
                <w:rFonts w:hint="eastAsia"/>
              </w:rPr>
              <w:br w:type="textWrapping"/>
            </w:r>
            <w:r>
              <w:rPr>
                <w:rStyle w:val="11"/>
                <w:rFonts w:hint="eastAsia"/>
              </w:rPr>
              <w:t>中毒症状：本品对眼睛和皮肤有刺激性作用。使用中或使用后，如果感觉不适，应立即停止工作，采取急救措施。急救措施：1、眼睛溅药：立即用清水冲洗至少15分钟并送医院。2、皮肤接触：脱去被溅衣物。用软布去除沾染农药，并立即用肥皂和清水冲洗。3、发生吸入：移至空气清新处。4、误服：立即停止服用，用清水充分漱口后，立即携带标签并送医院对症治疗。5、本品无特效解毒剂。</w:t>
            </w:r>
          </w:p>
        </w:tc>
      </w:tr>
      <w:tr w14:paraId="1C870FD9">
        <w:tblPrEx>
          <w:tblCellMar>
            <w:top w:w="0" w:type="dxa"/>
            <w:left w:w="0" w:type="dxa"/>
            <w:bottom w:w="0" w:type="dxa"/>
            <w:right w:w="0" w:type="dxa"/>
          </w:tblCellMar>
        </w:tblPrEx>
        <w:trPr>
          <w:wBefore w:w="0" w:type="auto"/>
          <w:tblCellSpacing w:w="0" w:type="dxa"/>
        </w:trPr>
        <w:tc>
          <w:tcPr>
            <w:tcW w:w="0" w:type="auto"/>
            <w:noWrap w:val="0"/>
            <w:vAlign w:val="center"/>
          </w:tcPr>
          <w:p w14:paraId="6AB2C26D">
            <w:r>
              <w:rPr>
                <w:rStyle w:val="10"/>
                <w:rFonts w:hint="eastAsia"/>
              </w:rPr>
              <w:t>储存和运输方法：</w:t>
            </w:r>
            <w:r>
              <w:rPr>
                <w:rFonts w:hint="eastAsia"/>
              </w:rPr>
              <w:br w:type="textWrapping"/>
            </w:r>
            <w:r>
              <w:rPr>
                <w:rStyle w:val="11"/>
                <w:rFonts w:hint="eastAsia"/>
              </w:rPr>
              <w:t>本品应贮存在干燥、阴凉、通风、防雨处，远离热源。置于儿童触及不到之处，并加锁。勿与食品、饮料、饲料和粮食等其他商品同贮同运。本品对金属有腐蚀性，储存和使用时应尽量使用塑料容器。</w:t>
            </w:r>
          </w:p>
        </w:tc>
      </w:tr>
      <w:tr w14:paraId="476CCE02">
        <w:tblPrEx>
          <w:tblCellMar>
            <w:top w:w="0" w:type="dxa"/>
            <w:left w:w="0" w:type="dxa"/>
            <w:bottom w:w="0" w:type="dxa"/>
            <w:right w:w="0" w:type="dxa"/>
          </w:tblCellMar>
        </w:tblPrEx>
        <w:trPr>
          <w:wBefore w:w="0" w:type="auto"/>
          <w:tblCellSpacing w:w="0" w:type="dxa"/>
        </w:trPr>
        <w:tc>
          <w:tcPr>
            <w:tcW w:w="0" w:type="auto"/>
            <w:noWrap w:val="0"/>
            <w:vAlign w:val="center"/>
          </w:tcPr>
          <w:p w14:paraId="7E3A2DA2">
            <w:r>
              <w:rPr>
                <w:rStyle w:val="10"/>
                <w:rFonts w:hint="eastAsia"/>
              </w:rPr>
              <w:t>质量保证期：</w:t>
            </w:r>
            <w:r>
              <w:rPr>
                <w:rStyle w:val="11"/>
                <w:rFonts w:hint="eastAsia"/>
              </w:rPr>
              <w:t>2年</w:t>
            </w:r>
          </w:p>
        </w:tc>
      </w:tr>
      <w:tr w14:paraId="4C0639F9">
        <w:tblPrEx>
          <w:tblCellMar>
            <w:top w:w="0" w:type="dxa"/>
            <w:left w:w="0" w:type="dxa"/>
            <w:bottom w:w="0" w:type="dxa"/>
            <w:right w:w="0" w:type="dxa"/>
          </w:tblCellMar>
        </w:tblPrEx>
        <w:trPr>
          <w:wBefore w:w="0" w:type="auto"/>
          <w:tblCellSpacing w:w="0" w:type="dxa"/>
        </w:trPr>
        <w:tc>
          <w:tcPr>
            <w:tcW w:w="0" w:type="auto"/>
            <w:noWrap w:val="0"/>
            <w:vAlign w:val="center"/>
          </w:tcPr>
          <w:p w14:paraId="29F9C4F1">
            <w:r>
              <w:rPr>
                <w:rStyle w:val="10"/>
                <w:rFonts w:hint="eastAsia"/>
              </w:rPr>
              <w:t>备注：</w:t>
            </w:r>
            <w:r>
              <w:rPr>
                <w:rFonts w:hint="eastAsia"/>
              </w:rPr>
              <w:br w:type="textWrapping"/>
            </w:r>
            <w:r>
              <w:rPr>
                <w:rStyle w:val="11"/>
                <w:rFonts w:hint="eastAsia"/>
              </w:rPr>
              <w:t>2,4-滴异丙胺盐质量分数3%；草甘膦异丙胺盐质量分数41%</w:t>
            </w:r>
          </w:p>
        </w:tc>
      </w:tr>
    </w:tbl>
    <w:p w14:paraId="7EB5C08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FF9F78">
        <w:tblPrEx>
          <w:tblCellMar>
            <w:top w:w="0" w:type="dxa"/>
            <w:left w:w="0" w:type="dxa"/>
            <w:bottom w:w="0" w:type="dxa"/>
            <w:right w:w="0" w:type="dxa"/>
          </w:tblCellMar>
        </w:tblPrEx>
        <w:trPr>
          <w:wBefore w:w="0" w:type="auto"/>
          <w:tblCellSpacing w:w="0" w:type="dxa"/>
        </w:trPr>
        <w:tc>
          <w:tcPr>
            <w:tcW w:w="0" w:type="auto"/>
            <w:noWrap w:val="0"/>
            <w:vAlign w:val="center"/>
          </w:tcPr>
          <w:p w14:paraId="5BF344B4">
            <w:r>
              <w:rPr>
                <w:rStyle w:val="10"/>
                <w:rFonts w:hint="eastAsia"/>
              </w:rPr>
              <w:t>登记证号：</w:t>
            </w:r>
            <w:r>
              <w:rPr>
                <w:rFonts w:hint="eastAsia"/>
              </w:rPr>
              <w:t>WP20210224</w:t>
            </w:r>
          </w:p>
        </w:tc>
      </w:tr>
      <w:tr w14:paraId="2511B905">
        <w:tblPrEx>
          <w:tblCellMar>
            <w:top w:w="0" w:type="dxa"/>
            <w:left w:w="0" w:type="dxa"/>
            <w:bottom w:w="0" w:type="dxa"/>
            <w:right w:w="0" w:type="dxa"/>
          </w:tblCellMar>
        </w:tblPrEx>
        <w:trPr>
          <w:wBefore w:w="0" w:type="auto"/>
          <w:tblCellSpacing w:w="0" w:type="dxa"/>
        </w:trPr>
        <w:tc>
          <w:tcPr>
            <w:tcW w:w="0" w:type="auto"/>
            <w:noWrap w:val="0"/>
            <w:vAlign w:val="center"/>
          </w:tcPr>
          <w:p w14:paraId="7E8E0BAD">
            <w:r>
              <w:rPr>
                <w:rStyle w:val="10"/>
                <w:rFonts w:hint="eastAsia"/>
              </w:rPr>
              <w:t>登记证持有人：</w:t>
            </w:r>
            <w:r>
              <w:rPr>
                <w:rFonts w:hint="eastAsia"/>
              </w:rPr>
              <w:t>江苏功成生物科技有限公司</w:t>
            </w:r>
          </w:p>
        </w:tc>
      </w:tr>
      <w:tr w14:paraId="0A063F76">
        <w:tblPrEx>
          <w:tblCellMar>
            <w:top w:w="0" w:type="dxa"/>
            <w:left w:w="0" w:type="dxa"/>
            <w:bottom w:w="0" w:type="dxa"/>
            <w:right w:w="0" w:type="dxa"/>
          </w:tblCellMar>
        </w:tblPrEx>
        <w:trPr>
          <w:wBefore w:w="0" w:type="auto"/>
          <w:tblCellSpacing w:w="0" w:type="dxa"/>
        </w:trPr>
        <w:tc>
          <w:tcPr>
            <w:tcW w:w="0" w:type="auto"/>
            <w:noWrap w:val="0"/>
            <w:vAlign w:val="center"/>
          </w:tcPr>
          <w:p w14:paraId="3D542B23">
            <w:r>
              <w:rPr>
                <w:rStyle w:val="10"/>
                <w:rFonts w:hint="eastAsia"/>
              </w:rPr>
              <w:t>农药名称：</w:t>
            </w:r>
            <w:r>
              <w:rPr>
                <w:rFonts w:hint="eastAsia"/>
              </w:rPr>
              <w:t>杀虫热雾剂</w:t>
            </w:r>
          </w:p>
        </w:tc>
      </w:tr>
      <w:tr w14:paraId="0C598FA2">
        <w:tblPrEx>
          <w:tblCellMar>
            <w:top w:w="0" w:type="dxa"/>
            <w:left w:w="0" w:type="dxa"/>
            <w:bottom w:w="0" w:type="dxa"/>
            <w:right w:w="0" w:type="dxa"/>
          </w:tblCellMar>
        </w:tblPrEx>
        <w:trPr>
          <w:wBefore w:w="0" w:type="auto"/>
          <w:tblCellSpacing w:w="0" w:type="dxa"/>
        </w:trPr>
        <w:tc>
          <w:tcPr>
            <w:tcW w:w="0" w:type="auto"/>
            <w:noWrap w:val="0"/>
            <w:vAlign w:val="center"/>
          </w:tcPr>
          <w:p w14:paraId="25BE1367">
            <w:r>
              <w:rPr>
                <w:rStyle w:val="10"/>
                <w:rFonts w:hint="eastAsia"/>
              </w:rPr>
              <w:t>剂型：</w:t>
            </w:r>
            <w:r>
              <w:rPr>
                <w:rFonts w:hint="eastAsia"/>
              </w:rPr>
              <w:t>热雾剂</w:t>
            </w:r>
          </w:p>
        </w:tc>
      </w:tr>
      <w:tr w14:paraId="1D93F275">
        <w:tblPrEx>
          <w:tblCellMar>
            <w:top w:w="0" w:type="dxa"/>
            <w:left w:w="0" w:type="dxa"/>
            <w:bottom w:w="0" w:type="dxa"/>
            <w:right w:w="0" w:type="dxa"/>
          </w:tblCellMar>
        </w:tblPrEx>
        <w:trPr>
          <w:wBefore w:w="0" w:type="auto"/>
          <w:tblCellSpacing w:w="0" w:type="dxa"/>
        </w:trPr>
        <w:tc>
          <w:tcPr>
            <w:tcW w:w="0" w:type="auto"/>
            <w:noWrap w:val="0"/>
            <w:vAlign w:val="center"/>
          </w:tcPr>
          <w:p w14:paraId="2585BB41">
            <w:r>
              <w:rPr>
                <w:rStyle w:val="10"/>
                <w:rFonts w:hint="eastAsia"/>
              </w:rPr>
              <w:t>毒性及其标识：</w:t>
            </w:r>
            <w:r>
              <w:rPr>
                <w:rFonts w:hint="eastAsia"/>
              </w:rPr>
              <w:t xml:space="preserve"> 微毒 </w:t>
            </w:r>
          </w:p>
        </w:tc>
      </w:tr>
      <w:tr w14:paraId="5BB13BEF">
        <w:tblPrEx>
          <w:tblCellMar>
            <w:top w:w="0" w:type="dxa"/>
            <w:left w:w="0" w:type="dxa"/>
            <w:bottom w:w="0" w:type="dxa"/>
            <w:right w:w="0" w:type="dxa"/>
          </w:tblCellMar>
        </w:tblPrEx>
        <w:trPr>
          <w:wBefore w:w="0" w:type="auto"/>
          <w:tblCellSpacing w:w="0" w:type="dxa"/>
        </w:trPr>
        <w:tc>
          <w:tcPr>
            <w:tcW w:w="0" w:type="auto"/>
            <w:noWrap w:val="0"/>
            <w:vAlign w:val="center"/>
          </w:tcPr>
          <w:p w14:paraId="4D1820E1">
            <w:r>
              <w:rPr>
                <w:rStyle w:val="10"/>
                <w:rFonts w:hint="eastAsia"/>
              </w:rPr>
              <w:t>总有效成分含量：</w:t>
            </w:r>
            <w:r>
              <w:rPr>
                <w:rFonts w:hint="eastAsia"/>
              </w:rPr>
              <w:t>1.5%</w:t>
            </w:r>
          </w:p>
        </w:tc>
      </w:tr>
      <w:tr w14:paraId="0B411AF1">
        <w:tblPrEx>
          <w:tblCellMar>
            <w:top w:w="0" w:type="dxa"/>
            <w:left w:w="0" w:type="dxa"/>
            <w:bottom w:w="0" w:type="dxa"/>
            <w:right w:w="0" w:type="dxa"/>
          </w:tblCellMar>
        </w:tblPrEx>
        <w:trPr>
          <w:wBefore w:w="0" w:type="auto"/>
          <w:tblCellSpacing w:w="0" w:type="dxa"/>
        </w:trPr>
        <w:tc>
          <w:tcPr>
            <w:tcW w:w="0" w:type="auto"/>
            <w:noWrap w:val="0"/>
            <w:vAlign w:val="center"/>
          </w:tcPr>
          <w:p w14:paraId="7AE088D9">
            <w:r>
              <w:rPr>
                <w:rFonts w:hint="eastAsia"/>
              </w:rPr>
              <w:t xml:space="preserve">有效成分及其含量： </w:t>
            </w:r>
          </w:p>
          <w:p w14:paraId="5224F455">
            <w:r>
              <w:rPr>
                <w:rFonts w:hint="eastAsia"/>
              </w:rPr>
              <w:t xml:space="preserve">    右旋苯醚氰菊酯1.3%    右旋反式氯丙炔菊酯0.2%    </w:t>
            </w:r>
          </w:p>
        </w:tc>
      </w:tr>
      <w:tr w14:paraId="2925F24D">
        <w:tblPrEx>
          <w:tblCellMar>
            <w:top w:w="0" w:type="dxa"/>
            <w:left w:w="0" w:type="dxa"/>
            <w:bottom w:w="0" w:type="dxa"/>
            <w:right w:w="0" w:type="dxa"/>
          </w:tblCellMar>
        </w:tblPrEx>
        <w:trPr>
          <w:wBefore w:w="0" w:type="auto"/>
          <w:tblCellSpacing w:w="0" w:type="dxa"/>
        </w:trPr>
        <w:tc>
          <w:tcPr>
            <w:tcW w:w="0" w:type="auto"/>
            <w:noWrap w:val="0"/>
            <w:vAlign w:val="center"/>
          </w:tcPr>
          <w:p w14:paraId="59E822F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94C2D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22755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FB000C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A49D13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8024E7E">
                  <w:r>
                    <w:rPr>
                      <w:rStyle w:val="11"/>
                      <w:rFonts w:hint="eastAsia"/>
                    </w:rPr>
                    <w:t>施用方式</w:t>
                  </w:r>
                </w:p>
              </w:tc>
            </w:tr>
            <w:tr w14:paraId="08EDB6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6C4C69">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9CDCE9">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E5C96E">
                  <w:r>
                    <w:rPr>
                      <w:rStyle w:val="11"/>
                      <w:rFonts w:hint="eastAsia"/>
                    </w:rPr>
                    <w:t>267毫克/平方米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DD6083">
                  <w:r>
                    <w:rPr>
                      <w:rStyle w:val="11"/>
                      <w:rFonts w:hint="eastAsia"/>
                    </w:rPr>
                    <w:t>热雾机喷雾</w:t>
                  </w:r>
                </w:p>
              </w:tc>
            </w:tr>
          </w:tbl>
          <w:p w14:paraId="475FBE28">
            <w:pPr>
              <w:rPr>
                <w:rFonts w:ascii="Times New Roman" w:hAnsi="Times New Roman" w:cs="Times New Roman"/>
                <w:sz w:val="20"/>
                <w:szCs w:val="20"/>
              </w:rPr>
            </w:pPr>
          </w:p>
        </w:tc>
      </w:tr>
      <w:tr w14:paraId="3CB399D1">
        <w:tblPrEx>
          <w:tblCellMar>
            <w:top w:w="0" w:type="dxa"/>
            <w:left w:w="0" w:type="dxa"/>
            <w:bottom w:w="0" w:type="dxa"/>
            <w:right w:w="0" w:type="dxa"/>
          </w:tblCellMar>
        </w:tblPrEx>
        <w:trPr>
          <w:wBefore w:w="0" w:type="auto"/>
          <w:tblCellSpacing w:w="0" w:type="dxa"/>
        </w:trPr>
        <w:tc>
          <w:tcPr>
            <w:tcW w:w="0" w:type="auto"/>
            <w:noWrap w:val="0"/>
            <w:vAlign w:val="center"/>
          </w:tcPr>
          <w:p w14:paraId="2F95E065">
            <w:r>
              <w:rPr>
                <w:rStyle w:val="10"/>
                <w:rFonts w:hint="eastAsia"/>
              </w:rPr>
              <w:t>使用技术要求:</w:t>
            </w:r>
            <w:r>
              <w:rPr>
                <w:rFonts w:hint="eastAsia"/>
              </w:rPr>
              <w:br w:type="textWrapping"/>
            </w:r>
            <w:r>
              <w:rPr>
                <w:rStyle w:val="11"/>
                <w:rFonts w:hint="eastAsia"/>
              </w:rPr>
              <w:t>本品为直接使用药剂，制剂用药量约0.3毫升/平方米（约0.1毫升/立方米）。使用时将药液加入热雾机药罐内加热雾化即可。</w:t>
            </w:r>
          </w:p>
        </w:tc>
      </w:tr>
      <w:tr w14:paraId="3A39904B">
        <w:tblPrEx>
          <w:tblCellMar>
            <w:top w:w="0" w:type="dxa"/>
            <w:left w:w="0" w:type="dxa"/>
            <w:bottom w:w="0" w:type="dxa"/>
            <w:right w:w="0" w:type="dxa"/>
          </w:tblCellMar>
        </w:tblPrEx>
        <w:trPr>
          <w:wBefore w:w="0" w:type="auto"/>
          <w:tblCellSpacing w:w="0" w:type="dxa"/>
        </w:trPr>
        <w:tc>
          <w:tcPr>
            <w:tcW w:w="0" w:type="auto"/>
            <w:noWrap w:val="0"/>
            <w:vAlign w:val="center"/>
          </w:tcPr>
          <w:p w14:paraId="3EAF0728">
            <w:r>
              <w:rPr>
                <w:rStyle w:val="10"/>
                <w:rFonts w:hint="eastAsia"/>
              </w:rPr>
              <w:t>产品性能:</w:t>
            </w:r>
            <w:r>
              <w:rPr>
                <w:rFonts w:hint="eastAsia"/>
              </w:rPr>
              <w:br w:type="textWrapping"/>
            </w:r>
            <w:r>
              <w:rPr>
                <w:rStyle w:val="11"/>
                <w:rFonts w:hint="eastAsia"/>
              </w:rPr>
              <w:t xml:space="preserve">本品为拟除虫菊酯类复配卫生杀虫剂，能有效防治蚊、蝇、蜚蠊害虫。主要适用于地下室、仓库、防空洞、下水道等相对密闭或不易直接施药的场所。 </w:t>
            </w:r>
          </w:p>
        </w:tc>
      </w:tr>
      <w:tr w14:paraId="61688D4A">
        <w:tblPrEx>
          <w:tblCellMar>
            <w:top w:w="0" w:type="dxa"/>
            <w:left w:w="0" w:type="dxa"/>
            <w:bottom w:w="0" w:type="dxa"/>
            <w:right w:w="0" w:type="dxa"/>
          </w:tblCellMar>
        </w:tblPrEx>
        <w:trPr>
          <w:wBefore w:w="0" w:type="auto"/>
          <w:tblCellSpacing w:w="0" w:type="dxa"/>
        </w:trPr>
        <w:tc>
          <w:tcPr>
            <w:tcW w:w="0" w:type="auto"/>
            <w:noWrap w:val="0"/>
            <w:vAlign w:val="center"/>
          </w:tcPr>
          <w:p w14:paraId="1605B195">
            <w:r>
              <w:rPr>
                <w:rStyle w:val="10"/>
                <w:rFonts w:hint="eastAsia"/>
              </w:rPr>
              <w:t>注意事项：</w:t>
            </w:r>
            <w:r>
              <w:rPr>
                <w:rFonts w:hint="eastAsia"/>
              </w:rPr>
              <w:br w:type="textWrapping"/>
            </w:r>
            <w:r>
              <w:rPr>
                <w:rStyle w:val="11"/>
                <w:rFonts w:hint="eastAsia"/>
              </w:rPr>
              <w:t>1.本品仅限专业人员室内使用。使用本品时应采取安全防护措施，穿好防护服、胶鞋；戴好面罩和口罩、手套等，避免药雾吸入或接触人体。施药期间不可吃东西和饮水，施药后及时清洗暴露部位皮肤并更换衣物。 2.</w:t>
            </w:r>
            <w:r>
              <w:rPr>
                <w:rStyle w:val="11"/>
                <w:rFonts w:hint="eastAsia"/>
              </w:rPr>
              <w:t> </w:t>
            </w:r>
            <w:r>
              <w:rPr>
                <w:rStyle w:val="11"/>
                <w:rFonts w:hint="eastAsia"/>
              </w:rPr>
              <w:t>蚕室及桑园附近禁用。禁止在河塘等水体中清洗施药器具。 3.切勿向人体、食物喷洒。 4.用过的包装物应妥善处理，不可做他用，也不可随意丢弃。 5.敏感体质人士、孕妇及哺乳期妇女请远离本品。过敏者禁用。使用中有任何不良反应，请及时就医。</w:t>
            </w:r>
          </w:p>
        </w:tc>
      </w:tr>
      <w:tr w14:paraId="43AAED27">
        <w:tblPrEx>
          <w:tblCellMar>
            <w:top w:w="0" w:type="dxa"/>
            <w:left w:w="0" w:type="dxa"/>
            <w:bottom w:w="0" w:type="dxa"/>
            <w:right w:w="0" w:type="dxa"/>
          </w:tblCellMar>
        </w:tblPrEx>
        <w:trPr>
          <w:wBefore w:w="0" w:type="auto"/>
          <w:tblCellSpacing w:w="0" w:type="dxa"/>
        </w:trPr>
        <w:tc>
          <w:tcPr>
            <w:tcW w:w="0" w:type="auto"/>
            <w:noWrap w:val="0"/>
            <w:vAlign w:val="center"/>
          </w:tcPr>
          <w:p w14:paraId="0994D3EE">
            <w:r>
              <w:rPr>
                <w:rStyle w:val="10"/>
                <w:rFonts w:hint="eastAsia"/>
              </w:rPr>
              <w:t>中毒急救措施：</w:t>
            </w:r>
            <w:r>
              <w:rPr>
                <w:rFonts w:hint="eastAsia"/>
              </w:rPr>
              <w:br w:type="textWrapping"/>
            </w:r>
            <w:r>
              <w:rPr>
                <w:rStyle w:val="11"/>
                <w:rFonts w:hint="eastAsia"/>
              </w:rPr>
              <w:t>·中毒症状为头疼、头晕、抽搐、痉挛、恶心、呕吐等。 ·若药液沾染皮肤或眼睛，请即用大量清水冲洗至少15分钟；若不慎吸入，请立即转移至空气清新处。如误服、中毒或使用中有任何不良反应，立即携标签送医院，对症治疗。</w:t>
            </w:r>
          </w:p>
        </w:tc>
      </w:tr>
      <w:tr w14:paraId="09C6141D">
        <w:tblPrEx>
          <w:tblCellMar>
            <w:top w:w="0" w:type="dxa"/>
            <w:left w:w="0" w:type="dxa"/>
            <w:bottom w:w="0" w:type="dxa"/>
            <w:right w:w="0" w:type="dxa"/>
          </w:tblCellMar>
        </w:tblPrEx>
        <w:trPr>
          <w:wBefore w:w="0" w:type="auto"/>
          <w:tblCellSpacing w:w="0" w:type="dxa"/>
        </w:trPr>
        <w:tc>
          <w:tcPr>
            <w:tcW w:w="0" w:type="auto"/>
            <w:noWrap w:val="0"/>
            <w:vAlign w:val="center"/>
          </w:tcPr>
          <w:p w14:paraId="33642D01">
            <w:r>
              <w:rPr>
                <w:rStyle w:val="10"/>
                <w:rFonts w:hint="eastAsia"/>
              </w:rPr>
              <w:t>储存和运输方法：</w:t>
            </w:r>
            <w:r>
              <w:rPr>
                <w:rFonts w:hint="eastAsia"/>
              </w:rPr>
              <w:br w:type="textWrapping"/>
            </w:r>
            <w:r>
              <w:rPr>
                <w:rStyle w:val="11"/>
                <w:rFonts w:hint="eastAsia"/>
              </w:rPr>
              <w:t>·本品应贮存于阴凉、干燥、通风、避光处，远离火源或热源存放。 ·应置于儿童及宠物触及不到之处，并加锁。 ·运输时，请防雨淋、高温，注意轻拿轻放，不得损坏包装。 ·请勿与食品、饮料、种子、饲料、粮食等同贮同运。</w:t>
            </w:r>
          </w:p>
        </w:tc>
      </w:tr>
      <w:tr w14:paraId="75B63784">
        <w:tblPrEx>
          <w:tblCellMar>
            <w:top w:w="0" w:type="dxa"/>
            <w:left w:w="0" w:type="dxa"/>
            <w:bottom w:w="0" w:type="dxa"/>
            <w:right w:w="0" w:type="dxa"/>
          </w:tblCellMar>
        </w:tblPrEx>
        <w:trPr>
          <w:wBefore w:w="0" w:type="auto"/>
          <w:tblCellSpacing w:w="0" w:type="dxa"/>
        </w:trPr>
        <w:tc>
          <w:tcPr>
            <w:tcW w:w="0" w:type="auto"/>
            <w:noWrap w:val="0"/>
            <w:vAlign w:val="center"/>
          </w:tcPr>
          <w:p w14:paraId="02F716E3">
            <w:r>
              <w:rPr>
                <w:rStyle w:val="10"/>
                <w:rFonts w:hint="eastAsia"/>
              </w:rPr>
              <w:t>质量保证期：</w:t>
            </w:r>
            <w:r>
              <w:rPr>
                <w:rStyle w:val="11"/>
                <w:rFonts w:hint="eastAsia"/>
              </w:rPr>
              <w:t>2年</w:t>
            </w:r>
          </w:p>
        </w:tc>
      </w:tr>
      <w:tr w14:paraId="51116E45">
        <w:tblPrEx>
          <w:tblCellMar>
            <w:top w:w="0" w:type="dxa"/>
            <w:left w:w="0" w:type="dxa"/>
            <w:bottom w:w="0" w:type="dxa"/>
            <w:right w:w="0" w:type="dxa"/>
          </w:tblCellMar>
        </w:tblPrEx>
        <w:trPr>
          <w:wBefore w:w="0" w:type="auto"/>
          <w:tblCellSpacing w:w="0" w:type="dxa"/>
        </w:trPr>
        <w:tc>
          <w:tcPr>
            <w:tcW w:w="0" w:type="auto"/>
            <w:noWrap w:val="0"/>
            <w:vAlign w:val="center"/>
          </w:tcPr>
          <w:p w14:paraId="2109C084">
            <w:r>
              <w:rPr>
                <w:rStyle w:val="10"/>
                <w:rFonts w:hint="eastAsia"/>
              </w:rPr>
              <w:t>备注：</w:t>
            </w:r>
          </w:p>
        </w:tc>
      </w:tr>
    </w:tbl>
    <w:p w14:paraId="03CF9C0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637341">
        <w:tblPrEx>
          <w:tblCellMar>
            <w:top w:w="0" w:type="dxa"/>
            <w:left w:w="0" w:type="dxa"/>
            <w:bottom w:w="0" w:type="dxa"/>
            <w:right w:w="0" w:type="dxa"/>
          </w:tblCellMar>
        </w:tblPrEx>
        <w:trPr>
          <w:wBefore w:w="0" w:type="auto"/>
          <w:tblCellSpacing w:w="0" w:type="dxa"/>
        </w:trPr>
        <w:tc>
          <w:tcPr>
            <w:tcW w:w="0" w:type="auto"/>
            <w:noWrap w:val="0"/>
            <w:vAlign w:val="center"/>
          </w:tcPr>
          <w:p w14:paraId="5A790CAE">
            <w:r>
              <w:rPr>
                <w:rStyle w:val="10"/>
                <w:rFonts w:hint="eastAsia"/>
              </w:rPr>
              <w:t>登记证号：</w:t>
            </w:r>
            <w:r>
              <w:rPr>
                <w:rFonts w:hint="eastAsia"/>
              </w:rPr>
              <w:t>PD20211965</w:t>
            </w:r>
          </w:p>
        </w:tc>
      </w:tr>
      <w:tr w14:paraId="3B21F206">
        <w:tblPrEx>
          <w:tblCellMar>
            <w:top w:w="0" w:type="dxa"/>
            <w:left w:w="0" w:type="dxa"/>
            <w:bottom w:w="0" w:type="dxa"/>
            <w:right w:w="0" w:type="dxa"/>
          </w:tblCellMar>
        </w:tblPrEx>
        <w:trPr>
          <w:wBefore w:w="0" w:type="auto"/>
          <w:tblCellSpacing w:w="0" w:type="dxa"/>
        </w:trPr>
        <w:tc>
          <w:tcPr>
            <w:tcW w:w="0" w:type="auto"/>
            <w:noWrap w:val="0"/>
            <w:vAlign w:val="center"/>
          </w:tcPr>
          <w:p w14:paraId="0836286D">
            <w:r>
              <w:rPr>
                <w:rStyle w:val="10"/>
                <w:rFonts w:hint="eastAsia"/>
              </w:rPr>
              <w:t>登记证持有人：</w:t>
            </w:r>
            <w:r>
              <w:rPr>
                <w:rFonts w:hint="eastAsia"/>
              </w:rPr>
              <w:t>江苏明德立达作物科技有限公司</w:t>
            </w:r>
          </w:p>
        </w:tc>
      </w:tr>
      <w:tr w14:paraId="46416CE9">
        <w:tblPrEx>
          <w:tblCellMar>
            <w:top w:w="0" w:type="dxa"/>
            <w:left w:w="0" w:type="dxa"/>
            <w:bottom w:w="0" w:type="dxa"/>
            <w:right w:w="0" w:type="dxa"/>
          </w:tblCellMar>
        </w:tblPrEx>
        <w:trPr>
          <w:wBefore w:w="0" w:type="auto"/>
          <w:tblCellSpacing w:w="0" w:type="dxa"/>
        </w:trPr>
        <w:tc>
          <w:tcPr>
            <w:tcW w:w="0" w:type="auto"/>
            <w:noWrap w:val="0"/>
            <w:vAlign w:val="center"/>
          </w:tcPr>
          <w:p w14:paraId="280583F4">
            <w:r>
              <w:rPr>
                <w:rStyle w:val="10"/>
                <w:rFonts w:hint="eastAsia"/>
              </w:rPr>
              <w:t>农药名称：</w:t>
            </w:r>
            <w:r>
              <w:rPr>
                <w:rFonts w:hint="eastAsia"/>
              </w:rPr>
              <w:t>氢氧化铜</w:t>
            </w:r>
          </w:p>
        </w:tc>
      </w:tr>
      <w:tr w14:paraId="2A9A1CCC">
        <w:tblPrEx>
          <w:tblCellMar>
            <w:top w:w="0" w:type="dxa"/>
            <w:left w:w="0" w:type="dxa"/>
            <w:bottom w:w="0" w:type="dxa"/>
            <w:right w:w="0" w:type="dxa"/>
          </w:tblCellMar>
        </w:tblPrEx>
        <w:trPr>
          <w:wBefore w:w="0" w:type="auto"/>
          <w:tblCellSpacing w:w="0" w:type="dxa"/>
        </w:trPr>
        <w:tc>
          <w:tcPr>
            <w:tcW w:w="0" w:type="auto"/>
            <w:noWrap w:val="0"/>
            <w:vAlign w:val="center"/>
          </w:tcPr>
          <w:p w14:paraId="639491DE">
            <w:r>
              <w:rPr>
                <w:rStyle w:val="10"/>
                <w:rFonts w:hint="eastAsia"/>
              </w:rPr>
              <w:t>剂型：</w:t>
            </w:r>
            <w:r>
              <w:rPr>
                <w:rFonts w:hint="eastAsia"/>
              </w:rPr>
              <w:t>水分散粒剂</w:t>
            </w:r>
          </w:p>
        </w:tc>
      </w:tr>
      <w:tr w14:paraId="0A2BC8E0">
        <w:tblPrEx>
          <w:tblCellMar>
            <w:top w:w="0" w:type="dxa"/>
            <w:left w:w="0" w:type="dxa"/>
            <w:bottom w:w="0" w:type="dxa"/>
            <w:right w:w="0" w:type="dxa"/>
          </w:tblCellMar>
        </w:tblPrEx>
        <w:trPr>
          <w:wBefore w:w="0" w:type="auto"/>
          <w:tblCellSpacing w:w="0" w:type="dxa"/>
        </w:trPr>
        <w:tc>
          <w:tcPr>
            <w:tcW w:w="0" w:type="auto"/>
            <w:noWrap w:val="0"/>
            <w:vAlign w:val="center"/>
          </w:tcPr>
          <w:p w14:paraId="20F81827">
            <w:r>
              <w:rPr>
                <w:rStyle w:val="10"/>
                <w:rFonts w:hint="eastAsia"/>
              </w:rPr>
              <w:t>毒性及其标识：</w:t>
            </w:r>
            <w:r>
              <w:rPr>
                <w:rFonts w:hint="eastAsia"/>
              </w:rPr>
              <w:t xml:space="preserve"> </w:t>
            </w:r>
            <w:r>
              <w:rPr>
                <w:lang/>
              </w:rPr>
              <w:drawing>
                <wp:inline distT="0" distB="0" distL="114300" distR="114300">
                  <wp:extent cx="476250" cy="323850"/>
                  <wp:effectExtent l="0" t="0" r="0" b="0"/>
                  <wp:docPr id="78" name="图片 7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E4D89F0">
        <w:tblPrEx>
          <w:tblCellMar>
            <w:top w:w="0" w:type="dxa"/>
            <w:left w:w="0" w:type="dxa"/>
            <w:bottom w:w="0" w:type="dxa"/>
            <w:right w:w="0" w:type="dxa"/>
          </w:tblCellMar>
        </w:tblPrEx>
        <w:trPr>
          <w:wBefore w:w="0" w:type="auto"/>
          <w:tblCellSpacing w:w="0" w:type="dxa"/>
        </w:trPr>
        <w:tc>
          <w:tcPr>
            <w:tcW w:w="0" w:type="auto"/>
            <w:noWrap w:val="0"/>
            <w:vAlign w:val="center"/>
          </w:tcPr>
          <w:p w14:paraId="7C1AB33E">
            <w:r>
              <w:rPr>
                <w:rStyle w:val="10"/>
                <w:rFonts w:hint="eastAsia"/>
              </w:rPr>
              <w:t>总有效成分含量：</w:t>
            </w:r>
            <w:r>
              <w:rPr>
                <w:rFonts w:hint="eastAsia"/>
              </w:rPr>
              <w:t>77%</w:t>
            </w:r>
          </w:p>
        </w:tc>
      </w:tr>
      <w:tr w14:paraId="4FBFEF7F">
        <w:tblPrEx>
          <w:tblCellMar>
            <w:top w:w="0" w:type="dxa"/>
            <w:left w:w="0" w:type="dxa"/>
            <w:bottom w:w="0" w:type="dxa"/>
            <w:right w:w="0" w:type="dxa"/>
          </w:tblCellMar>
        </w:tblPrEx>
        <w:trPr>
          <w:wBefore w:w="0" w:type="auto"/>
          <w:tblCellSpacing w:w="0" w:type="dxa"/>
        </w:trPr>
        <w:tc>
          <w:tcPr>
            <w:tcW w:w="0" w:type="auto"/>
            <w:noWrap w:val="0"/>
            <w:vAlign w:val="center"/>
          </w:tcPr>
          <w:p w14:paraId="41458537">
            <w:r>
              <w:rPr>
                <w:rFonts w:hint="eastAsia"/>
              </w:rPr>
              <w:t xml:space="preserve">有效成分及其含量： </w:t>
            </w:r>
          </w:p>
          <w:p w14:paraId="1BF33325">
            <w:r>
              <w:rPr>
                <w:rFonts w:hint="eastAsia"/>
              </w:rPr>
              <w:t xml:space="preserve">    氢氧化铜77%    </w:t>
            </w:r>
          </w:p>
        </w:tc>
      </w:tr>
      <w:tr w14:paraId="15699B5F">
        <w:tblPrEx>
          <w:tblCellMar>
            <w:top w:w="0" w:type="dxa"/>
            <w:left w:w="0" w:type="dxa"/>
            <w:bottom w:w="0" w:type="dxa"/>
            <w:right w:w="0" w:type="dxa"/>
          </w:tblCellMar>
        </w:tblPrEx>
        <w:trPr>
          <w:wBefore w:w="0" w:type="auto"/>
          <w:tblCellSpacing w:w="0" w:type="dxa"/>
        </w:trPr>
        <w:tc>
          <w:tcPr>
            <w:tcW w:w="0" w:type="auto"/>
            <w:noWrap w:val="0"/>
            <w:vAlign w:val="center"/>
          </w:tcPr>
          <w:p w14:paraId="4223215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C8799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FBBCF3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B3D511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323509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2F00BE">
                  <w:r>
                    <w:rPr>
                      <w:rStyle w:val="11"/>
                      <w:rFonts w:hint="eastAsia"/>
                    </w:rPr>
                    <w:t>施用方式</w:t>
                  </w:r>
                </w:p>
              </w:tc>
            </w:tr>
            <w:tr w14:paraId="76F6DB7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84C024">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5FD20C">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F0144E">
                  <w:r>
                    <w:rPr>
                      <w:rStyle w:val="11"/>
                      <w:rFonts w:hint="eastAsia"/>
                    </w:rPr>
                    <w:t>2000-2500倍液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EB391F">
                  <w:r>
                    <w:rPr>
                      <w:rStyle w:val="11"/>
                      <w:rFonts w:hint="eastAsia"/>
                    </w:rPr>
                    <w:t>喷雾</w:t>
                  </w:r>
                </w:p>
              </w:tc>
            </w:tr>
          </w:tbl>
          <w:p w14:paraId="5DF44A75">
            <w:pPr>
              <w:rPr>
                <w:rFonts w:ascii="Times New Roman" w:hAnsi="Times New Roman" w:cs="Times New Roman"/>
                <w:sz w:val="20"/>
                <w:szCs w:val="20"/>
              </w:rPr>
            </w:pPr>
          </w:p>
        </w:tc>
      </w:tr>
      <w:tr w14:paraId="26E555B2">
        <w:tblPrEx>
          <w:tblCellMar>
            <w:top w:w="0" w:type="dxa"/>
            <w:left w:w="0" w:type="dxa"/>
            <w:bottom w:w="0" w:type="dxa"/>
            <w:right w:w="0" w:type="dxa"/>
          </w:tblCellMar>
        </w:tblPrEx>
        <w:trPr>
          <w:wBefore w:w="0" w:type="auto"/>
          <w:tblCellSpacing w:w="0" w:type="dxa"/>
        </w:trPr>
        <w:tc>
          <w:tcPr>
            <w:tcW w:w="0" w:type="auto"/>
            <w:noWrap w:val="0"/>
            <w:vAlign w:val="center"/>
          </w:tcPr>
          <w:p w14:paraId="3991114F">
            <w:r>
              <w:rPr>
                <w:rStyle w:val="10"/>
                <w:rFonts w:hint="eastAsia"/>
              </w:rPr>
              <w:t>使用技术要求:</w:t>
            </w:r>
            <w:r>
              <w:rPr>
                <w:rFonts w:hint="eastAsia"/>
              </w:rPr>
              <w:br w:type="textWrapping"/>
            </w:r>
            <w:r>
              <w:rPr>
                <w:rStyle w:val="11"/>
                <w:rFonts w:hint="eastAsia"/>
              </w:rPr>
              <w:t>1.于柑橘溃疡病发病前或发病初期开始喷雾施药，视病情发展情况，间隔10-15天再次施药，连续2-3次。施药要均匀。 2.大风天或预计1小时内降雨，请勿施药。高温高湿气候条件下慎用。</w:t>
            </w:r>
          </w:p>
        </w:tc>
      </w:tr>
      <w:tr w14:paraId="6F3C3101">
        <w:tblPrEx>
          <w:tblCellMar>
            <w:top w:w="0" w:type="dxa"/>
            <w:left w:w="0" w:type="dxa"/>
            <w:bottom w:w="0" w:type="dxa"/>
            <w:right w:w="0" w:type="dxa"/>
          </w:tblCellMar>
        </w:tblPrEx>
        <w:trPr>
          <w:wBefore w:w="0" w:type="auto"/>
          <w:tblCellSpacing w:w="0" w:type="dxa"/>
        </w:trPr>
        <w:tc>
          <w:tcPr>
            <w:tcW w:w="0" w:type="auto"/>
            <w:noWrap w:val="0"/>
            <w:vAlign w:val="center"/>
          </w:tcPr>
          <w:p w14:paraId="5A6CF62A">
            <w:r>
              <w:rPr>
                <w:rStyle w:val="10"/>
                <w:rFonts w:hint="eastAsia"/>
              </w:rPr>
              <w:t>产品性能:</w:t>
            </w:r>
            <w:r>
              <w:rPr>
                <w:rFonts w:hint="eastAsia"/>
              </w:rPr>
              <w:br w:type="textWrapping"/>
            </w:r>
            <w:r>
              <w:rPr>
                <w:rStyle w:val="11"/>
                <w:rFonts w:hint="eastAsia"/>
              </w:rPr>
              <w:t>本产品为无机铜素杀菌剂，通过释放具有杀菌活性的铜离子与病原菌体内蛋白质的基团结合，使蛋白质变性，导致病菌死亡。</w:t>
            </w:r>
          </w:p>
        </w:tc>
      </w:tr>
      <w:tr w14:paraId="0D9DDCC6">
        <w:tblPrEx>
          <w:tblCellMar>
            <w:top w:w="0" w:type="dxa"/>
            <w:left w:w="0" w:type="dxa"/>
            <w:bottom w:w="0" w:type="dxa"/>
            <w:right w:w="0" w:type="dxa"/>
          </w:tblCellMar>
        </w:tblPrEx>
        <w:trPr>
          <w:wBefore w:w="0" w:type="auto"/>
          <w:tblCellSpacing w:w="0" w:type="dxa"/>
        </w:trPr>
        <w:tc>
          <w:tcPr>
            <w:tcW w:w="0" w:type="auto"/>
            <w:noWrap w:val="0"/>
            <w:vAlign w:val="center"/>
          </w:tcPr>
          <w:p w14:paraId="794500E3">
            <w:r>
              <w:rPr>
                <w:rStyle w:val="10"/>
                <w:rFonts w:hint="eastAsia"/>
              </w:rPr>
              <w:t>注意事项：</w:t>
            </w:r>
            <w:r>
              <w:rPr>
                <w:rFonts w:hint="eastAsia"/>
              </w:rPr>
              <w:br w:type="textWrapping"/>
            </w:r>
            <w:r>
              <w:rPr>
                <w:rStyle w:val="11"/>
                <w:rFonts w:hint="eastAsia"/>
              </w:rPr>
              <w:t>1. 请按照农药安全使用规范使用本品。应根据田间病害具体情况，科学合理用药。 2.避免与强酸、强碱性物质混用。禁止与乙膦铝类农药等物质混用。与其它药物混用先进行试验。 3.苹果、梨花期及幼果期对本品敏感。桃、李、杏、白菜等作物对本品敏感。避免药液飘移到邻近作物上，以免药害。 4.使用本品时应穿戴长衣、长裤、帽子、口罩、手套等防护措施，避免吸入药液。施药期间不可吃东西和饮水。施药后应及时洗手和洗脸。 5.鸟类保护区附近禁用；桑园及蚕室附近禁用；水产养殖区、河塘等水体附近禁用，禁止在河塘等水域清洗施药器具。 6.用过的容器、包装应妥善处理，不可做他用，也不可随意丢弃于池塘、河溪、湖泊等，以免污染水源。 7.避免孕妇及哺乳期妇女接触。</w:t>
            </w:r>
          </w:p>
        </w:tc>
      </w:tr>
      <w:tr w14:paraId="47608CFF">
        <w:tblPrEx>
          <w:tblCellMar>
            <w:top w:w="0" w:type="dxa"/>
            <w:left w:w="0" w:type="dxa"/>
            <w:bottom w:w="0" w:type="dxa"/>
            <w:right w:w="0" w:type="dxa"/>
          </w:tblCellMar>
        </w:tblPrEx>
        <w:trPr>
          <w:wBefore w:w="0" w:type="auto"/>
          <w:tblCellSpacing w:w="0" w:type="dxa"/>
        </w:trPr>
        <w:tc>
          <w:tcPr>
            <w:tcW w:w="0" w:type="auto"/>
            <w:noWrap w:val="0"/>
            <w:vAlign w:val="center"/>
          </w:tcPr>
          <w:p w14:paraId="4FBAD786">
            <w:r>
              <w:rPr>
                <w:rStyle w:val="10"/>
                <w:rFonts w:hint="eastAsia"/>
              </w:rPr>
              <w:t>中毒急救措施：</w:t>
            </w:r>
            <w:r>
              <w:rPr>
                <w:rFonts w:hint="eastAsia"/>
              </w:rPr>
              <w:br w:type="textWrapping"/>
            </w:r>
            <w:r>
              <w:rPr>
                <w:rStyle w:val="11"/>
                <w:rFonts w:hint="eastAsia"/>
              </w:rPr>
              <w:t>该产品对眼睛有刺激性，使用时避免接触眼睛。中毒症状：本品对眼睛有轻度刺激。不慎接触皮肤或溅入眼睛，应用大量清水冲洗干净。不慎吸入，应将病人移至空气流通处。误服则应立即携此标签将病人送医院诊治。解毒剂为依地酸二钠钙，请医生对症治疗。</w:t>
            </w:r>
          </w:p>
        </w:tc>
      </w:tr>
      <w:tr w14:paraId="028AF222">
        <w:tblPrEx>
          <w:tblCellMar>
            <w:top w:w="0" w:type="dxa"/>
            <w:left w:w="0" w:type="dxa"/>
            <w:bottom w:w="0" w:type="dxa"/>
            <w:right w:w="0" w:type="dxa"/>
          </w:tblCellMar>
        </w:tblPrEx>
        <w:trPr>
          <w:wBefore w:w="0" w:type="auto"/>
          <w:tblCellSpacing w:w="0" w:type="dxa"/>
        </w:trPr>
        <w:tc>
          <w:tcPr>
            <w:tcW w:w="0" w:type="auto"/>
            <w:noWrap w:val="0"/>
            <w:vAlign w:val="center"/>
          </w:tcPr>
          <w:p w14:paraId="385701DA">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本品应贮存在干燥、阴凉、通风、防雨处，远离火源或热源。置于儿童触及不到之处，并加锁。勿与食品、饮料、粮食、饲料等其他商品同贮同运。</w:t>
            </w:r>
          </w:p>
        </w:tc>
      </w:tr>
      <w:tr w14:paraId="75B99F14">
        <w:tblPrEx>
          <w:tblCellMar>
            <w:top w:w="0" w:type="dxa"/>
            <w:left w:w="0" w:type="dxa"/>
            <w:bottom w:w="0" w:type="dxa"/>
            <w:right w:w="0" w:type="dxa"/>
          </w:tblCellMar>
        </w:tblPrEx>
        <w:trPr>
          <w:wBefore w:w="0" w:type="auto"/>
          <w:tblCellSpacing w:w="0" w:type="dxa"/>
        </w:trPr>
        <w:tc>
          <w:tcPr>
            <w:tcW w:w="0" w:type="auto"/>
            <w:noWrap w:val="0"/>
            <w:vAlign w:val="center"/>
          </w:tcPr>
          <w:p w14:paraId="3846896E">
            <w:r>
              <w:rPr>
                <w:rStyle w:val="10"/>
                <w:rFonts w:hint="eastAsia"/>
              </w:rPr>
              <w:t>质量保证期：</w:t>
            </w:r>
            <w:r>
              <w:rPr>
                <w:rStyle w:val="11"/>
                <w:rFonts w:hint="eastAsia"/>
              </w:rPr>
              <w:t>2年</w:t>
            </w:r>
          </w:p>
        </w:tc>
      </w:tr>
      <w:tr w14:paraId="1E34A87A">
        <w:tblPrEx>
          <w:tblCellMar>
            <w:top w:w="0" w:type="dxa"/>
            <w:left w:w="0" w:type="dxa"/>
            <w:bottom w:w="0" w:type="dxa"/>
            <w:right w:w="0" w:type="dxa"/>
          </w:tblCellMar>
        </w:tblPrEx>
        <w:trPr>
          <w:wBefore w:w="0" w:type="auto"/>
          <w:tblCellSpacing w:w="0" w:type="dxa"/>
        </w:trPr>
        <w:tc>
          <w:tcPr>
            <w:tcW w:w="0" w:type="auto"/>
            <w:noWrap w:val="0"/>
            <w:vAlign w:val="center"/>
          </w:tcPr>
          <w:p w14:paraId="08B8263F">
            <w:r>
              <w:rPr>
                <w:rStyle w:val="10"/>
                <w:rFonts w:hint="eastAsia"/>
              </w:rPr>
              <w:t>备注：</w:t>
            </w:r>
          </w:p>
        </w:tc>
      </w:tr>
    </w:tbl>
    <w:p w14:paraId="662EABB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D92A0A3">
        <w:tblPrEx>
          <w:tblCellMar>
            <w:top w:w="0" w:type="dxa"/>
            <w:left w:w="0" w:type="dxa"/>
            <w:bottom w:w="0" w:type="dxa"/>
            <w:right w:w="0" w:type="dxa"/>
          </w:tblCellMar>
        </w:tblPrEx>
        <w:trPr>
          <w:wBefore w:w="0" w:type="auto"/>
          <w:tblCellSpacing w:w="0" w:type="dxa"/>
        </w:trPr>
        <w:tc>
          <w:tcPr>
            <w:tcW w:w="0" w:type="auto"/>
            <w:noWrap w:val="0"/>
            <w:vAlign w:val="center"/>
          </w:tcPr>
          <w:p w14:paraId="3C5537B7">
            <w:r>
              <w:rPr>
                <w:rStyle w:val="10"/>
                <w:rFonts w:hint="eastAsia"/>
              </w:rPr>
              <w:t>登记证号：</w:t>
            </w:r>
            <w:r>
              <w:rPr>
                <w:rFonts w:hint="eastAsia"/>
              </w:rPr>
              <w:t>PD20212241</w:t>
            </w:r>
          </w:p>
        </w:tc>
      </w:tr>
      <w:tr w14:paraId="1C54B52E">
        <w:tblPrEx>
          <w:tblCellMar>
            <w:top w:w="0" w:type="dxa"/>
            <w:left w:w="0" w:type="dxa"/>
            <w:bottom w:w="0" w:type="dxa"/>
            <w:right w:w="0" w:type="dxa"/>
          </w:tblCellMar>
        </w:tblPrEx>
        <w:trPr>
          <w:wBefore w:w="0" w:type="auto"/>
          <w:tblCellSpacing w:w="0" w:type="dxa"/>
        </w:trPr>
        <w:tc>
          <w:tcPr>
            <w:tcW w:w="0" w:type="auto"/>
            <w:noWrap w:val="0"/>
            <w:vAlign w:val="center"/>
          </w:tcPr>
          <w:p w14:paraId="0B353648">
            <w:r>
              <w:rPr>
                <w:rStyle w:val="10"/>
                <w:rFonts w:hint="eastAsia"/>
              </w:rPr>
              <w:t>登记证持有人：</w:t>
            </w:r>
            <w:r>
              <w:rPr>
                <w:rFonts w:hint="eastAsia"/>
              </w:rPr>
              <w:t>黑龙江省卫星生物科技有限公司</w:t>
            </w:r>
          </w:p>
        </w:tc>
      </w:tr>
      <w:tr w14:paraId="3759F218">
        <w:tblPrEx>
          <w:tblCellMar>
            <w:top w:w="0" w:type="dxa"/>
            <w:left w:w="0" w:type="dxa"/>
            <w:bottom w:w="0" w:type="dxa"/>
            <w:right w:w="0" w:type="dxa"/>
          </w:tblCellMar>
        </w:tblPrEx>
        <w:trPr>
          <w:wBefore w:w="0" w:type="auto"/>
          <w:tblCellSpacing w:w="0" w:type="dxa"/>
        </w:trPr>
        <w:tc>
          <w:tcPr>
            <w:tcW w:w="0" w:type="auto"/>
            <w:noWrap w:val="0"/>
            <w:vAlign w:val="center"/>
          </w:tcPr>
          <w:p w14:paraId="76D56851">
            <w:r>
              <w:rPr>
                <w:rStyle w:val="10"/>
                <w:rFonts w:hint="eastAsia"/>
              </w:rPr>
              <w:t>农药名称：</w:t>
            </w:r>
            <w:r>
              <w:rPr>
                <w:rFonts w:hint="eastAsia"/>
              </w:rPr>
              <w:t>五氟·丙草胺</w:t>
            </w:r>
          </w:p>
        </w:tc>
      </w:tr>
      <w:tr w14:paraId="296690AB">
        <w:tblPrEx>
          <w:tblCellMar>
            <w:top w:w="0" w:type="dxa"/>
            <w:left w:w="0" w:type="dxa"/>
            <w:bottom w:w="0" w:type="dxa"/>
            <w:right w:w="0" w:type="dxa"/>
          </w:tblCellMar>
        </w:tblPrEx>
        <w:trPr>
          <w:wBefore w:w="0" w:type="auto"/>
          <w:tblCellSpacing w:w="0" w:type="dxa"/>
        </w:trPr>
        <w:tc>
          <w:tcPr>
            <w:tcW w:w="0" w:type="auto"/>
            <w:noWrap w:val="0"/>
            <w:vAlign w:val="center"/>
          </w:tcPr>
          <w:p w14:paraId="3FDB6C32">
            <w:r>
              <w:rPr>
                <w:rStyle w:val="10"/>
                <w:rFonts w:hint="eastAsia"/>
              </w:rPr>
              <w:t>剂型：</w:t>
            </w:r>
            <w:r>
              <w:rPr>
                <w:rFonts w:hint="eastAsia"/>
              </w:rPr>
              <w:t>可分散油悬浮剂</w:t>
            </w:r>
          </w:p>
        </w:tc>
      </w:tr>
      <w:tr w14:paraId="431E529B">
        <w:tblPrEx>
          <w:tblCellMar>
            <w:top w:w="0" w:type="dxa"/>
            <w:left w:w="0" w:type="dxa"/>
            <w:bottom w:w="0" w:type="dxa"/>
            <w:right w:w="0" w:type="dxa"/>
          </w:tblCellMar>
        </w:tblPrEx>
        <w:trPr>
          <w:wBefore w:w="0" w:type="auto"/>
          <w:tblCellSpacing w:w="0" w:type="dxa"/>
        </w:trPr>
        <w:tc>
          <w:tcPr>
            <w:tcW w:w="0" w:type="auto"/>
            <w:noWrap w:val="0"/>
            <w:vAlign w:val="center"/>
          </w:tcPr>
          <w:p w14:paraId="131661BA">
            <w:r>
              <w:rPr>
                <w:rStyle w:val="10"/>
                <w:rFonts w:hint="eastAsia"/>
              </w:rPr>
              <w:t>毒性及其标识：</w:t>
            </w:r>
            <w:r>
              <w:rPr>
                <w:rFonts w:hint="eastAsia"/>
              </w:rPr>
              <w:t xml:space="preserve"> </w:t>
            </w:r>
            <w:r>
              <w:rPr>
                <w:lang/>
              </w:rPr>
              <w:drawing>
                <wp:inline distT="0" distB="0" distL="114300" distR="114300">
                  <wp:extent cx="476250" cy="323850"/>
                  <wp:effectExtent l="0" t="0" r="0" b="0"/>
                  <wp:docPr id="79" name="图片 7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9BCA24E">
        <w:tblPrEx>
          <w:tblCellMar>
            <w:top w:w="0" w:type="dxa"/>
            <w:left w:w="0" w:type="dxa"/>
            <w:bottom w:w="0" w:type="dxa"/>
            <w:right w:w="0" w:type="dxa"/>
          </w:tblCellMar>
        </w:tblPrEx>
        <w:trPr>
          <w:wBefore w:w="0" w:type="auto"/>
          <w:tblCellSpacing w:w="0" w:type="dxa"/>
        </w:trPr>
        <w:tc>
          <w:tcPr>
            <w:tcW w:w="0" w:type="auto"/>
            <w:noWrap w:val="0"/>
            <w:vAlign w:val="center"/>
          </w:tcPr>
          <w:p w14:paraId="7B009535">
            <w:r>
              <w:rPr>
                <w:rStyle w:val="10"/>
                <w:rFonts w:hint="eastAsia"/>
              </w:rPr>
              <w:t>总有效成分含量：</w:t>
            </w:r>
            <w:r>
              <w:rPr>
                <w:rFonts w:hint="eastAsia"/>
              </w:rPr>
              <w:t>42%</w:t>
            </w:r>
          </w:p>
        </w:tc>
      </w:tr>
      <w:tr w14:paraId="734DDAB5">
        <w:tblPrEx>
          <w:tblCellMar>
            <w:top w:w="0" w:type="dxa"/>
            <w:left w:w="0" w:type="dxa"/>
            <w:bottom w:w="0" w:type="dxa"/>
            <w:right w:w="0" w:type="dxa"/>
          </w:tblCellMar>
        </w:tblPrEx>
        <w:trPr>
          <w:wBefore w:w="0" w:type="auto"/>
          <w:tblCellSpacing w:w="0" w:type="dxa"/>
        </w:trPr>
        <w:tc>
          <w:tcPr>
            <w:tcW w:w="0" w:type="auto"/>
            <w:noWrap w:val="0"/>
            <w:vAlign w:val="center"/>
          </w:tcPr>
          <w:p w14:paraId="2CE9A59A">
            <w:r>
              <w:rPr>
                <w:rFonts w:hint="eastAsia"/>
              </w:rPr>
              <w:t xml:space="preserve">有效成分及其含量： </w:t>
            </w:r>
          </w:p>
          <w:p w14:paraId="57BDF956">
            <w:r>
              <w:rPr>
                <w:rFonts w:hint="eastAsia"/>
              </w:rPr>
              <w:t xml:space="preserve">    五氟磺草胺2%    丙草胺40%    </w:t>
            </w:r>
          </w:p>
        </w:tc>
      </w:tr>
      <w:tr w14:paraId="21A7BA37">
        <w:tblPrEx>
          <w:tblCellMar>
            <w:top w:w="0" w:type="dxa"/>
            <w:left w:w="0" w:type="dxa"/>
            <w:bottom w:w="0" w:type="dxa"/>
            <w:right w:w="0" w:type="dxa"/>
          </w:tblCellMar>
        </w:tblPrEx>
        <w:trPr>
          <w:wBefore w:w="0" w:type="auto"/>
          <w:tblCellSpacing w:w="0" w:type="dxa"/>
        </w:trPr>
        <w:tc>
          <w:tcPr>
            <w:tcW w:w="0" w:type="auto"/>
            <w:noWrap w:val="0"/>
            <w:vAlign w:val="center"/>
          </w:tcPr>
          <w:p w14:paraId="3DBAA0F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0C5B0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E97987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91C549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F8EB98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79B9492">
                  <w:r>
                    <w:rPr>
                      <w:rStyle w:val="11"/>
                      <w:rFonts w:hint="eastAsia"/>
                    </w:rPr>
                    <w:t>施用方式</w:t>
                  </w:r>
                </w:p>
              </w:tc>
            </w:tr>
            <w:tr w14:paraId="7051DC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5B78251">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FDC2E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1AEEDF">
                  <w:r>
                    <w:rPr>
                      <w:rStyle w:val="11"/>
                      <w:rFonts w:hint="eastAsia"/>
                    </w:rPr>
                    <w:t>70-90毫升/亩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125F7C">
                  <w:r>
                    <w:rPr>
                      <w:rStyle w:val="11"/>
                      <w:rFonts w:hint="eastAsia"/>
                    </w:rPr>
                    <w:t>茎叶喷雾</w:t>
                  </w:r>
                </w:p>
              </w:tc>
            </w:tr>
          </w:tbl>
          <w:p w14:paraId="5BF776EC">
            <w:pPr>
              <w:rPr>
                <w:rFonts w:ascii="Times New Roman" w:hAnsi="Times New Roman" w:cs="Times New Roman"/>
                <w:sz w:val="20"/>
                <w:szCs w:val="20"/>
              </w:rPr>
            </w:pPr>
          </w:p>
        </w:tc>
      </w:tr>
      <w:tr w14:paraId="755CFD41">
        <w:tblPrEx>
          <w:tblCellMar>
            <w:top w:w="0" w:type="dxa"/>
            <w:left w:w="0" w:type="dxa"/>
            <w:bottom w:w="0" w:type="dxa"/>
            <w:right w:w="0" w:type="dxa"/>
          </w:tblCellMar>
        </w:tblPrEx>
        <w:trPr>
          <w:wBefore w:w="0" w:type="auto"/>
          <w:tblCellSpacing w:w="0" w:type="dxa"/>
        </w:trPr>
        <w:tc>
          <w:tcPr>
            <w:tcW w:w="0" w:type="auto"/>
            <w:noWrap w:val="0"/>
            <w:vAlign w:val="center"/>
          </w:tcPr>
          <w:p w14:paraId="0F67A358">
            <w:r>
              <w:rPr>
                <w:rStyle w:val="10"/>
                <w:rFonts w:hint="eastAsia"/>
              </w:rPr>
              <w:t>使用技术要求:</w:t>
            </w:r>
            <w:r>
              <w:rPr>
                <w:rFonts w:hint="eastAsia"/>
              </w:rPr>
              <w:br w:type="textWrapping"/>
            </w:r>
            <w:r>
              <w:rPr>
                <w:rStyle w:val="11"/>
                <w:rFonts w:hint="eastAsia"/>
              </w:rPr>
              <w:t>1. 在水稻直播后2-10天，稗草1-2叶期兑水茎叶喷雾施药，制剂用药量70-90毫升/亩。施药田块要求畦面平整。施药前排水，药后2天内覆水，并保水5-7天，水层不能淹没秧心避免药害，保证药效得到充分发挥。 2. 大风天或预计1小时内下雨，请勿施药。 3. 每季最多使用1次。 4.直播水稻扎根前勿用药避免药害；施药时防止药液飘移到邻近作物，以免产生药害。</w:t>
            </w:r>
          </w:p>
        </w:tc>
      </w:tr>
      <w:tr w14:paraId="3D6ADC3D">
        <w:tblPrEx>
          <w:tblCellMar>
            <w:top w:w="0" w:type="dxa"/>
            <w:left w:w="0" w:type="dxa"/>
            <w:bottom w:w="0" w:type="dxa"/>
            <w:right w:w="0" w:type="dxa"/>
          </w:tblCellMar>
        </w:tblPrEx>
        <w:trPr>
          <w:wBefore w:w="0" w:type="auto"/>
          <w:tblCellSpacing w:w="0" w:type="dxa"/>
        </w:trPr>
        <w:tc>
          <w:tcPr>
            <w:tcW w:w="0" w:type="auto"/>
            <w:noWrap w:val="0"/>
            <w:vAlign w:val="center"/>
          </w:tcPr>
          <w:p w14:paraId="0E5F09D5">
            <w:r>
              <w:rPr>
                <w:rStyle w:val="10"/>
                <w:rFonts w:hint="eastAsia"/>
              </w:rPr>
              <w:t>产品性能:</w:t>
            </w:r>
            <w:r>
              <w:rPr>
                <w:rFonts w:hint="eastAsia"/>
              </w:rPr>
              <w:br w:type="textWrapping"/>
            </w:r>
            <w:r>
              <w:rPr>
                <w:rStyle w:val="11"/>
                <w:rFonts w:hint="eastAsia"/>
              </w:rPr>
              <w:t>五氟磺草胺为支链氨基酸（亮氨酸、异亮氨酸、缬氨酸）合成（乙酰乳酸合成酶ALS或乙酰羟酸合成酶AHAS）抑制剂。丙草胺为细胞分裂抑制剂。两者混配可用于防除水稻直播田一年生杂草。</w:t>
            </w:r>
          </w:p>
        </w:tc>
      </w:tr>
      <w:tr w14:paraId="76234D34">
        <w:tblPrEx>
          <w:tblCellMar>
            <w:top w:w="0" w:type="dxa"/>
            <w:left w:w="0" w:type="dxa"/>
            <w:bottom w:w="0" w:type="dxa"/>
            <w:right w:w="0" w:type="dxa"/>
          </w:tblCellMar>
        </w:tblPrEx>
        <w:trPr>
          <w:wBefore w:w="0" w:type="auto"/>
          <w:tblCellSpacing w:w="0" w:type="dxa"/>
        </w:trPr>
        <w:tc>
          <w:tcPr>
            <w:tcW w:w="0" w:type="auto"/>
            <w:noWrap w:val="0"/>
            <w:vAlign w:val="center"/>
          </w:tcPr>
          <w:p w14:paraId="727867CB">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皮肤接触及口鼻吸入。使用中不可吸烟、饮水及吃东西，使用后及时用大量清水和肥皂清洗手、脸等暴露部位皮肤并更换衣物。 2. 本品对鱼类等水生生物有毒，远离水产养殖区、河塘等水体施药，禁止在河塘等水体中清洗施药器具，鱼或虾蟹套养稻田禁用，施药后的田水不得直接排入水体。禁止使用最外围桑树的桑叶饲喂家蚕。 3. 用过的容器应妥善处理，不可做他用，也不可随意丢弃。 4. 禁止儿童、孕妇及哺乳期的妇女接触。过敏者禁用，使用中有任何不良反应请及时就医。</w:t>
            </w:r>
          </w:p>
        </w:tc>
      </w:tr>
      <w:tr w14:paraId="22CB2565">
        <w:tblPrEx>
          <w:tblCellMar>
            <w:top w:w="0" w:type="dxa"/>
            <w:left w:w="0" w:type="dxa"/>
            <w:bottom w:w="0" w:type="dxa"/>
            <w:right w:w="0" w:type="dxa"/>
          </w:tblCellMar>
        </w:tblPrEx>
        <w:trPr>
          <w:wBefore w:w="0" w:type="auto"/>
          <w:tblCellSpacing w:w="0" w:type="dxa"/>
        </w:trPr>
        <w:tc>
          <w:tcPr>
            <w:tcW w:w="0" w:type="auto"/>
            <w:noWrap w:val="0"/>
            <w:vAlign w:val="center"/>
          </w:tcPr>
          <w:p w14:paraId="2334C503">
            <w:r>
              <w:rPr>
                <w:rStyle w:val="10"/>
                <w:rFonts w:hint="eastAsia"/>
              </w:rPr>
              <w:t>中毒急救措施：</w:t>
            </w:r>
            <w:r>
              <w:rPr>
                <w:rFonts w:hint="eastAsia"/>
              </w:rPr>
              <w:br w:type="textWrapping"/>
            </w:r>
            <w:r>
              <w:rPr>
                <w:rStyle w:val="11"/>
                <w:rFonts w:hint="eastAsia"/>
              </w:rPr>
              <w:t xml:space="preserve">中毒症状：对眼睛有刺激性。 急救措施：使用中或使用后如果感觉不适，应立即停止工作，采取急救措施，并携带标签送医院就诊。 皮肤接触：立即脱去污染的衣物，用软布去除沾染农药，用大量清水和肥皂冲洗。 眼睛溅入：立即用流动清水冲洗不少于15分钟。 吸入：立即离开施药现场，转移到空气清新处。 误食：立即停止服用，用清水充分漱口后，携带农药标签到医院就诊。 </w:t>
            </w:r>
          </w:p>
        </w:tc>
      </w:tr>
      <w:tr w14:paraId="30E53367">
        <w:tblPrEx>
          <w:tblCellMar>
            <w:top w:w="0" w:type="dxa"/>
            <w:left w:w="0" w:type="dxa"/>
            <w:bottom w:w="0" w:type="dxa"/>
            <w:right w:w="0" w:type="dxa"/>
          </w:tblCellMar>
        </w:tblPrEx>
        <w:trPr>
          <w:wBefore w:w="0" w:type="auto"/>
          <w:tblCellSpacing w:w="0" w:type="dxa"/>
        </w:trPr>
        <w:tc>
          <w:tcPr>
            <w:tcW w:w="0" w:type="auto"/>
            <w:noWrap w:val="0"/>
            <w:vAlign w:val="center"/>
          </w:tcPr>
          <w:p w14:paraId="2D98CC2E">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本品应贮存在干燥、阴凉、通风、防雨处，远离火源或热源。置于儿童、无关人员接触不到的地方。不能与食品、饮料、粮食、饲料等混合储存。</w:t>
            </w:r>
          </w:p>
        </w:tc>
      </w:tr>
      <w:tr w14:paraId="61B54B91">
        <w:tblPrEx>
          <w:tblCellMar>
            <w:top w:w="0" w:type="dxa"/>
            <w:left w:w="0" w:type="dxa"/>
            <w:bottom w:w="0" w:type="dxa"/>
            <w:right w:w="0" w:type="dxa"/>
          </w:tblCellMar>
        </w:tblPrEx>
        <w:trPr>
          <w:wBefore w:w="0" w:type="auto"/>
          <w:tblCellSpacing w:w="0" w:type="dxa"/>
        </w:trPr>
        <w:tc>
          <w:tcPr>
            <w:tcW w:w="0" w:type="auto"/>
            <w:noWrap w:val="0"/>
            <w:vAlign w:val="center"/>
          </w:tcPr>
          <w:p w14:paraId="1DD058DF">
            <w:r>
              <w:rPr>
                <w:rStyle w:val="10"/>
                <w:rFonts w:hint="eastAsia"/>
              </w:rPr>
              <w:t>质量保证期：</w:t>
            </w:r>
            <w:r>
              <w:rPr>
                <w:rStyle w:val="11"/>
                <w:rFonts w:hint="eastAsia"/>
              </w:rPr>
              <w:t>2年</w:t>
            </w:r>
          </w:p>
        </w:tc>
      </w:tr>
      <w:tr w14:paraId="19D96F7B">
        <w:tblPrEx>
          <w:tblCellMar>
            <w:top w:w="0" w:type="dxa"/>
            <w:left w:w="0" w:type="dxa"/>
            <w:bottom w:w="0" w:type="dxa"/>
            <w:right w:w="0" w:type="dxa"/>
          </w:tblCellMar>
        </w:tblPrEx>
        <w:trPr>
          <w:wBefore w:w="0" w:type="auto"/>
          <w:tblCellSpacing w:w="0" w:type="dxa"/>
        </w:trPr>
        <w:tc>
          <w:tcPr>
            <w:tcW w:w="0" w:type="auto"/>
            <w:noWrap w:val="0"/>
            <w:vAlign w:val="center"/>
          </w:tcPr>
          <w:p w14:paraId="35683539">
            <w:r>
              <w:rPr>
                <w:rStyle w:val="10"/>
                <w:rFonts w:hint="eastAsia"/>
              </w:rPr>
              <w:t>备注：</w:t>
            </w:r>
          </w:p>
        </w:tc>
      </w:tr>
    </w:tbl>
    <w:p w14:paraId="70B3E44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2A836F0">
        <w:tblPrEx>
          <w:tblCellMar>
            <w:top w:w="0" w:type="dxa"/>
            <w:left w:w="0" w:type="dxa"/>
            <w:bottom w:w="0" w:type="dxa"/>
            <w:right w:w="0" w:type="dxa"/>
          </w:tblCellMar>
        </w:tblPrEx>
        <w:trPr>
          <w:wBefore w:w="0" w:type="auto"/>
          <w:tblCellSpacing w:w="0" w:type="dxa"/>
        </w:trPr>
        <w:tc>
          <w:tcPr>
            <w:tcW w:w="0" w:type="auto"/>
            <w:noWrap w:val="0"/>
            <w:vAlign w:val="center"/>
          </w:tcPr>
          <w:p w14:paraId="6F571DBD">
            <w:r>
              <w:rPr>
                <w:rStyle w:val="10"/>
                <w:rFonts w:hint="eastAsia"/>
              </w:rPr>
              <w:t>登记证号：</w:t>
            </w:r>
            <w:r>
              <w:rPr>
                <w:rFonts w:hint="eastAsia"/>
              </w:rPr>
              <w:t>PD20212161</w:t>
            </w:r>
          </w:p>
        </w:tc>
      </w:tr>
      <w:tr w14:paraId="7B08D185">
        <w:tblPrEx>
          <w:tblCellMar>
            <w:top w:w="0" w:type="dxa"/>
            <w:left w:w="0" w:type="dxa"/>
            <w:bottom w:w="0" w:type="dxa"/>
            <w:right w:w="0" w:type="dxa"/>
          </w:tblCellMar>
        </w:tblPrEx>
        <w:trPr>
          <w:wBefore w:w="0" w:type="auto"/>
          <w:tblCellSpacing w:w="0" w:type="dxa"/>
        </w:trPr>
        <w:tc>
          <w:tcPr>
            <w:tcW w:w="0" w:type="auto"/>
            <w:noWrap w:val="0"/>
            <w:vAlign w:val="center"/>
          </w:tcPr>
          <w:p w14:paraId="0E34AA32">
            <w:r>
              <w:rPr>
                <w:rStyle w:val="10"/>
                <w:rFonts w:hint="eastAsia"/>
              </w:rPr>
              <w:t>登记证持有人：</w:t>
            </w:r>
            <w:r>
              <w:rPr>
                <w:rFonts w:hint="eastAsia"/>
              </w:rPr>
              <w:t>黑龙江绿丰源生物科技有限公司</w:t>
            </w:r>
          </w:p>
        </w:tc>
      </w:tr>
      <w:tr w14:paraId="17A3958B">
        <w:tblPrEx>
          <w:tblCellMar>
            <w:top w:w="0" w:type="dxa"/>
            <w:left w:w="0" w:type="dxa"/>
            <w:bottom w:w="0" w:type="dxa"/>
            <w:right w:w="0" w:type="dxa"/>
          </w:tblCellMar>
        </w:tblPrEx>
        <w:trPr>
          <w:wBefore w:w="0" w:type="auto"/>
          <w:tblCellSpacing w:w="0" w:type="dxa"/>
        </w:trPr>
        <w:tc>
          <w:tcPr>
            <w:tcW w:w="0" w:type="auto"/>
            <w:noWrap w:val="0"/>
            <w:vAlign w:val="center"/>
          </w:tcPr>
          <w:p w14:paraId="5A318E89">
            <w:r>
              <w:rPr>
                <w:rStyle w:val="10"/>
                <w:rFonts w:hint="eastAsia"/>
              </w:rPr>
              <w:t>农药名称：</w:t>
            </w:r>
            <w:r>
              <w:rPr>
                <w:rFonts w:hint="eastAsia"/>
              </w:rPr>
              <w:t>烟嘧·特丁津</w:t>
            </w:r>
          </w:p>
        </w:tc>
      </w:tr>
      <w:tr w14:paraId="6923308E">
        <w:tblPrEx>
          <w:tblCellMar>
            <w:top w:w="0" w:type="dxa"/>
            <w:left w:w="0" w:type="dxa"/>
            <w:bottom w:w="0" w:type="dxa"/>
            <w:right w:w="0" w:type="dxa"/>
          </w:tblCellMar>
        </w:tblPrEx>
        <w:trPr>
          <w:wBefore w:w="0" w:type="auto"/>
          <w:tblCellSpacing w:w="0" w:type="dxa"/>
        </w:trPr>
        <w:tc>
          <w:tcPr>
            <w:tcW w:w="0" w:type="auto"/>
            <w:noWrap w:val="0"/>
            <w:vAlign w:val="center"/>
          </w:tcPr>
          <w:p w14:paraId="6A79E092">
            <w:r>
              <w:rPr>
                <w:rStyle w:val="10"/>
                <w:rFonts w:hint="eastAsia"/>
              </w:rPr>
              <w:t>剂型：</w:t>
            </w:r>
            <w:r>
              <w:rPr>
                <w:rFonts w:hint="eastAsia"/>
              </w:rPr>
              <w:t>可分散油悬浮剂</w:t>
            </w:r>
          </w:p>
        </w:tc>
      </w:tr>
      <w:tr w14:paraId="6FB7FE1B">
        <w:tblPrEx>
          <w:tblCellMar>
            <w:top w:w="0" w:type="dxa"/>
            <w:left w:w="0" w:type="dxa"/>
            <w:bottom w:w="0" w:type="dxa"/>
            <w:right w:w="0" w:type="dxa"/>
          </w:tblCellMar>
        </w:tblPrEx>
        <w:trPr>
          <w:wBefore w:w="0" w:type="auto"/>
          <w:tblCellSpacing w:w="0" w:type="dxa"/>
        </w:trPr>
        <w:tc>
          <w:tcPr>
            <w:tcW w:w="0" w:type="auto"/>
            <w:noWrap w:val="0"/>
            <w:vAlign w:val="center"/>
          </w:tcPr>
          <w:p w14:paraId="261C065C">
            <w:r>
              <w:rPr>
                <w:rStyle w:val="10"/>
                <w:rFonts w:hint="eastAsia"/>
              </w:rPr>
              <w:t>毒性及其标识：</w:t>
            </w:r>
            <w:r>
              <w:rPr>
                <w:rFonts w:hint="eastAsia"/>
              </w:rPr>
              <w:t xml:space="preserve"> </w:t>
            </w:r>
            <w:r>
              <w:rPr>
                <w:lang/>
              </w:rPr>
              <w:drawing>
                <wp:inline distT="0" distB="0" distL="114300" distR="114300">
                  <wp:extent cx="476250" cy="323850"/>
                  <wp:effectExtent l="0" t="0" r="0" b="0"/>
                  <wp:docPr id="80" name="图片 8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26569F5">
        <w:tblPrEx>
          <w:tblCellMar>
            <w:top w:w="0" w:type="dxa"/>
            <w:left w:w="0" w:type="dxa"/>
            <w:bottom w:w="0" w:type="dxa"/>
            <w:right w:w="0" w:type="dxa"/>
          </w:tblCellMar>
        </w:tblPrEx>
        <w:trPr>
          <w:wBefore w:w="0" w:type="auto"/>
          <w:tblCellSpacing w:w="0" w:type="dxa"/>
        </w:trPr>
        <w:tc>
          <w:tcPr>
            <w:tcW w:w="0" w:type="auto"/>
            <w:noWrap w:val="0"/>
            <w:vAlign w:val="center"/>
          </w:tcPr>
          <w:p w14:paraId="4017F568">
            <w:r>
              <w:rPr>
                <w:rStyle w:val="10"/>
                <w:rFonts w:hint="eastAsia"/>
              </w:rPr>
              <w:t>总有效成分含量：</w:t>
            </w:r>
            <w:r>
              <w:rPr>
                <w:rFonts w:hint="eastAsia"/>
              </w:rPr>
              <w:t>33%</w:t>
            </w:r>
          </w:p>
        </w:tc>
      </w:tr>
      <w:tr w14:paraId="50FE68AB">
        <w:tblPrEx>
          <w:tblCellMar>
            <w:top w:w="0" w:type="dxa"/>
            <w:left w:w="0" w:type="dxa"/>
            <w:bottom w:w="0" w:type="dxa"/>
            <w:right w:w="0" w:type="dxa"/>
          </w:tblCellMar>
        </w:tblPrEx>
        <w:trPr>
          <w:wBefore w:w="0" w:type="auto"/>
          <w:tblCellSpacing w:w="0" w:type="dxa"/>
        </w:trPr>
        <w:tc>
          <w:tcPr>
            <w:tcW w:w="0" w:type="auto"/>
            <w:noWrap w:val="0"/>
            <w:vAlign w:val="center"/>
          </w:tcPr>
          <w:p w14:paraId="194B2118">
            <w:r>
              <w:rPr>
                <w:rFonts w:hint="eastAsia"/>
              </w:rPr>
              <w:t xml:space="preserve">有效成分及其含量： </w:t>
            </w:r>
          </w:p>
          <w:p w14:paraId="76C49EDC">
            <w:r>
              <w:rPr>
                <w:rFonts w:hint="eastAsia"/>
              </w:rPr>
              <w:t xml:space="preserve">    特丁津28%    烟嘧磺隆5%    </w:t>
            </w:r>
          </w:p>
        </w:tc>
      </w:tr>
      <w:tr w14:paraId="54881C48">
        <w:tblPrEx>
          <w:tblCellMar>
            <w:top w:w="0" w:type="dxa"/>
            <w:left w:w="0" w:type="dxa"/>
            <w:bottom w:w="0" w:type="dxa"/>
            <w:right w:w="0" w:type="dxa"/>
          </w:tblCellMar>
        </w:tblPrEx>
        <w:trPr>
          <w:wBefore w:w="0" w:type="auto"/>
          <w:tblCellSpacing w:w="0" w:type="dxa"/>
        </w:trPr>
        <w:tc>
          <w:tcPr>
            <w:tcW w:w="0" w:type="auto"/>
            <w:noWrap w:val="0"/>
            <w:vAlign w:val="center"/>
          </w:tcPr>
          <w:p w14:paraId="56AEFCC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5063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BDAD74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739725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EBEBD8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6DE332E">
                  <w:r>
                    <w:rPr>
                      <w:rStyle w:val="11"/>
                      <w:rFonts w:hint="eastAsia"/>
                    </w:rPr>
                    <w:t>施用方式</w:t>
                  </w:r>
                </w:p>
              </w:tc>
            </w:tr>
            <w:tr w14:paraId="19DE28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9E6304A">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5C2833">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E03B9B">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AFA3F1">
                  <w:r>
                    <w:rPr>
                      <w:rStyle w:val="11"/>
                      <w:rFonts w:hint="eastAsia"/>
                    </w:rPr>
                    <w:t>茎叶喷雾</w:t>
                  </w:r>
                </w:p>
              </w:tc>
            </w:tr>
          </w:tbl>
          <w:p w14:paraId="0B62EBD4">
            <w:pPr>
              <w:rPr>
                <w:rFonts w:ascii="Times New Roman" w:hAnsi="Times New Roman" w:cs="Times New Roman"/>
                <w:sz w:val="20"/>
                <w:szCs w:val="20"/>
              </w:rPr>
            </w:pPr>
          </w:p>
        </w:tc>
      </w:tr>
      <w:tr w14:paraId="7C5FCE16">
        <w:tblPrEx>
          <w:tblCellMar>
            <w:top w:w="0" w:type="dxa"/>
            <w:left w:w="0" w:type="dxa"/>
            <w:bottom w:w="0" w:type="dxa"/>
            <w:right w:w="0" w:type="dxa"/>
          </w:tblCellMar>
        </w:tblPrEx>
        <w:trPr>
          <w:wBefore w:w="0" w:type="auto"/>
          <w:tblCellSpacing w:w="0" w:type="dxa"/>
        </w:trPr>
        <w:tc>
          <w:tcPr>
            <w:tcW w:w="0" w:type="auto"/>
            <w:noWrap w:val="0"/>
            <w:vAlign w:val="center"/>
          </w:tcPr>
          <w:p w14:paraId="736C6905">
            <w:r>
              <w:rPr>
                <w:rStyle w:val="10"/>
                <w:rFonts w:hint="eastAsia"/>
              </w:rPr>
              <w:t>使用技术要求:</w:t>
            </w:r>
            <w:r>
              <w:rPr>
                <w:rFonts w:hint="eastAsia"/>
              </w:rPr>
              <w:br w:type="textWrapping"/>
            </w:r>
            <w:r>
              <w:rPr>
                <w:rStyle w:val="11"/>
                <w:rFonts w:hint="eastAsia"/>
              </w:rPr>
              <w:t>1、最佳施药时期：玉米3-5叶期，杂草2-5叶期，均匀茎叶喷雾，不能重喷、漏喷。2、大风天或预计1小时内有降雨，请勿施药。3、每季作物最多使用1次，收获期安全。4、勿超量使用以避免产生药害。5、甜玉米、糯玉米、爆裂玉米、自交系玉米及制种玉米田不宜使用。</w:t>
            </w:r>
          </w:p>
        </w:tc>
      </w:tr>
      <w:tr w14:paraId="07A1D36C">
        <w:tblPrEx>
          <w:tblCellMar>
            <w:top w:w="0" w:type="dxa"/>
            <w:left w:w="0" w:type="dxa"/>
            <w:bottom w:w="0" w:type="dxa"/>
            <w:right w:w="0" w:type="dxa"/>
          </w:tblCellMar>
        </w:tblPrEx>
        <w:trPr>
          <w:wBefore w:w="0" w:type="auto"/>
          <w:tblCellSpacing w:w="0" w:type="dxa"/>
        </w:trPr>
        <w:tc>
          <w:tcPr>
            <w:tcW w:w="0" w:type="auto"/>
            <w:noWrap w:val="0"/>
            <w:vAlign w:val="center"/>
          </w:tcPr>
          <w:p w14:paraId="4F9128AE">
            <w:r>
              <w:rPr>
                <w:rStyle w:val="10"/>
                <w:rFonts w:hint="eastAsia"/>
              </w:rPr>
              <w:t>产品性能:</w:t>
            </w:r>
            <w:r>
              <w:rPr>
                <w:rFonts w:hint="eastAsia"/>
              </w:rPr>
              <w:br w:type="textWrapping"/>
            </w:r>
            <w:r>
              <w:rPr>
                <w:rStyle w:val="11"/>
                <w:rFonts w:hint="eastAsia"/>
              </w:rPr>
              <w:t>本品为类白色悬浮液体，无刺激性气味。烟嘧磺隆是一种内吸性、磺酰脲类除草剂，抑制植物乙酰乳酸合成酶（支链氨基酸合成抑制剂）。可用于防除玉米田一年生和多年生禾本科杂草、莎草和某些阔叶杂草。特丁津是一种内吸传导型除草剂。根吸为主，茎叶吸收很少，传导到植物分生组织及叶部，干扰光合作用，使杂草致死。</w:t>
            </w:r>
          </w:p>
        </w:tc>
      </w:tr>
      <w:tr w14:paraId="6E7EE0A7">
        <w:tblPrEx>
          <w:tblCellMar>
            <w:top w:w="0" w:type="dxa"/>
            <w:left w:w="0" w:type="dxa"/>
            <w:bottom w:w="0" w:type="dxa"/>
            <w:right w:w="0" w:type="dxa"/>
          </w:tblCellMar>
        </w:tblPrEx>
        <w:trPr>
          <w:wBefore w:w="0" w:type="auto"/>
          <w:tblCellSpacing w:w="0" w:type="dxa"/>
        </w:trPr>
        <w:tc>
          <w:tcPr>
            <w:tcW w:w="0" w:type="auto"/>
            <w:noWrap w:val="0"/>
            <w:vAlign w:val="center"/>
          </w:tcPr>
          <w:p w14:paraId="012D6428">
            <w:r>
              <w:rPr>
                <w:rStyle w:val="10"/>
                <w:rFonts w:hint="eastAsia"/>
              </w:rPr>
              <w:t>注意事项：</w:t>
            </w:r>
            <w:r>
              <w:rPr>
                <w:rFonts w:hint="eastAsia"/>
              </w:rPr>
              <w:br w:type="textWrapping"/>
            </w:r>
            <w:r>
              <w:rPr>
                <w:rStyle w:val="11"/>
                <w:rFonts w:hint="eastAsia"/>
              </w:rPr>
              <w:t>1、药剂应现混、现兑，配好的药液要立即使用。2、避免暴露，使用时穿戴长衣、长裤、帽子、口罩、手套等安全防护措施，采取保护措施。3、避免吸入有害气体、雾液或粉尘。4、操作时应远离儿童和家畜，不可饮食、喝水，吸烟。5、操作时不要污染水面或灌渠。6、施药后用清水及肥皂彻底清洗脸部及其它裸露部位，并及时更换衣物。7、空包装按照当地的有关规定处置所有废弃物。废弃的空包装应妥善处理，不可随意丢弃，也不可作他用。8、使用过的药械需清洗三遍，禁止在河塘等水域清洗施药器具。9、在洗涤药械或处置废弃物时不要污染水源。10、水产养殖区、河塘等水体附近禁用，禁止在河塘等水域清洗施药器具。地下水、饮用水水源地附近禁用。11、桑园及蚕室附近禁用，鸟类保护区禁用。12、孕妇及哺乳期妇女禁止接触。</w:t>
            </w:r>
          </w:p>
        </w:tc>
      </w:tr>
      <w:tr w14:paraId="58259009">
        <w:tblPrEx>
          <w:tblCellMar>
            <w:top w:w="0" w:type="dxa"/>
            <w:left w:w="0" w:type="dxa"/>
            <w:bottom w:w="0" w:type="dxa"/>
            <w:right w:w="0" w:type="dxa"/>
          </w:tblCellMar>
        </w:tblPrEx>
        <w:trPr>
          <w:wBefore w:w="0" w:type="auto"/>
          <w:tblCellSpacing w:w="0" w:type="dxa"/>
        </w:trPr>
        <w:tc>
          <w:tcPr>
            <w:tcW w:w="0" w:type="auto"/>
            <w:noWrap w:val="0"/>
            <w:vAlign w:val="center"/>
          </w:tcPr>
          <w:p w14:paraId="01D9787E">
            <w:r>
              <w:rPr>
                <w:rStyle w:val="10"/>
                <w:rFonts w:hint="eastAsia"/>
              </w:rPr>
              <w:t>中毒急救措施：</w:t>
            </w:r>
            <w:r>
              <w:rPr>
                <w:rFonts w:hint="eastAsia"/>
              </w:rPr>
              <w:br w:type="textWrapping"/>
            </w:r>
            <w:r>
              <w:rPr>
                <w:rStyle w:val="11"/>
                <w:rFonts w:hint="eastAsia"/>
              </w:rPr>
              <w:t>本品对皮肤有刺激性，使用时应避免药液接触皮肤，黏膜和伤口等。 1、中毒症状：对眼、皮肤及呼吸道有刺激作用，一般不会产生全身中毒。 2、皮肤接触：立即脱掉被污染的衣物，用肥皂和大量清水彻底清洗受污染的皮肤。 3、眼睛溅药：立即将眼睑翻开，用清水冲洗至少10-15分钟，再请医生诊治。 4、不慎吸入：立即将吸入者转移到空气新鲜处，请医生诊治。 5、如误服，应立即携带此标签去医院诊治。无解毒剂，对症治疗。</w:t>
            </w:r>
          </w:p>
        </w:tc>
      </w:tr>
      <w:tr w14:paraId="7F8A3EFE">
        <w:tblPrEx>
          <w:tblCellMar>
            <w:top w:w="0" w:type="dxa"/>
            <w:left w:w="0" w:type="dxa"/>
            <w:bottom w:w="0" w:type="dxa"/>
            <w:right w:w="0" w:type="dxa"/>
          </w:tblCellMar>
        </w:tblPrEx>
        <w:trPr>
          <w:wBefore w:w="0" w:type="auto"/>
          <w:tblCellSpacing w:w="0" w:type="dxa"/>
        </w:trPr>
        <w:tc>
          <w:tcPr>
            <w:tcW w:w="0" w:type="auto"/>
            <w:noWrap w:val="0"/>
            <w:vAlign w:val="center"/>
          </w:tcPr>
          <w:p w14:paraId="2A47BD7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本品应贮存在干燥、阴凉、通风、防雨处，远离火源或热源；置于儿童、无关人员触及不到之处，并加锁。不能与食品、饮料、粮食、饲料等物品同贮同运。</w:t>
            </w:r>
          </w:p>
        </w:tc>
      </w:tr>
      <w:tr w14:paraId="322750BD">
        <w:tblPrEx>
          <w:tblCellMar>
            <w:top w:w="0" w:type="dxa"/>
            <w:left w:w="0" w:type="dxa"/>
            <w:bottom w:w="0" w:type="dxa"/>
            <w:right w:w="0" w:type="dxa"/>
          </w:tblCellMar>
        </w:tblPrEx>
        <w:trPr>
          <w:wBefore w:w="0" w:type="auto"/>
          <w:tblCellSpacing w:w="0" w:type="dxa"/>
        </w:trPr>
        <w:tc>
          <w:tcPr>
            <w:tcW w:w="0" w:type="auto"/>
            <w:noWrap w:val="0"/>
            <w:vAlign w:val="center"/>
          </w:tcPr>
          <w:p w14:paraId="06B5F9A6">
            <w:r>
              <w:rPr>
                <w:rStyle w:val="10"/>
                <w:rFonts w:hint="eastAsia"/>
              </w:rPr>
              <w:t>质量保证期：</w:t>
            </w:r>
            <w:r>
              <w:rPr>
                <w:rStyle w:val="11"/>
                <w:rFonts w:hint="eastAsia"/>
              </w:rPr>
              <w:t>2年</w:t>
            </w:r>
          </w:p>
        </w:tc>
      </w:tr>
      <w:tr w14:paraId="6AC2DC80">
        <w:tblPrEx>
          <w:tblCellMar>
            <w:top w:w="0" w:type="dxa"/>
            <w:left w:w="0" w:type="dxa"/>
            <w:bottom w:w="0" w:type="dxa"/>
            <w:right w:w="0" w:type="dxa"/>
          </w:tblCellMar>
        </w:tblPrEx>
        <w:trPr>
          <w:wBefore w:w="0" w:type="auto"/>
          <w:tblCellSpacing w:w="0" w:type="dxa"/>
        </w:trPr>
        <w:tc>
          <w:tcPr>
            <w:tcW w:w="0" w:type="auto"/>
            <w:noWrap w:val="0"/>
            <w:vAlign w:val="center"/>
          </w:tcPr>
          <w:p w14:paraId="59DB50F8">
            <w:r>
              <w:rPr>
                <w:rStyle w:val="10"/>
                <w:rFonts w:hint="eastAsia"/>
              </w:rPr>
              <w:t>备注：</w:t>
            </w:r>
          </w:p>
        </w:tc>
      </w:tr>
    </w:tbl>
    <w:p w14:paraId="701819B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D83BBB9">
        <w:tblPrEx>
          <w:tblCellMar>
            <w:top w:w="0" w:type="dxa"/>
            <w:left w:w="0" w:type="dxa"/>
            <w:bottom w:w="0" w:type="dxa"/>
            <w:right w:w="0" w:type="dxa"/>
          </w:tblCellMar>
        </w:tblPrEx>
        <w:trPr>
          <w:wBefore w:w="0" w:type="auto"/>
          <w:tblCellSpacing w:w="0" w:type="dxa"/>
        </w:trPr>
        <w:tc>
          <w:tcPr>
            <w:tcW w:w="0" w:type="auto"/>
            <w:noWrap w:val="0"/>
            <w:vAlign w:val="center"/>
          </w:tcPr>
          <w:p w14:paraId="253C3041">
            <w:r>
              <w:rPr>
                <w:rStyle w:val="10"/>
                <w:rFonts w:hint="eastAsia"/>
              </w:rPr>
              <w:t>登记证号：</w:t>
            </w:r>
            <w:r>
              <w:rPr>
                <w:rFonts w:hint="eastAsia"/>
              </w:rPr>
              <w:t>PD20211982</w:t>
            </w:r>
          </w:p>
        </w:tc>
      </w:tr>
      <w:tr w14:paraId="66D7DDDE">
        <w:tblPrEx>
          <w:tblCellMar>
            <w:top w:w="0" w:type="dxa"/>
            <w:left w:w="0" w:type="dxa"/>
            <w:bottom w:w="0" w:type="dxa"/>
            <w:right w:w="0" w:type="dxa"/>
          </w:tblCellMar>
        </w:tblPrEx>
        <w:trPr>
          <w:wBefore w:w="0" w:type="auto"/>
          <w:tblCellSpacing w:w="0" w:type="dxa"/>
        </w:trPr>
        <w:tc>
          <w:tcPr>
            <w:tcW w:w="0" w:type="auto"/>
            <w:noWrap w:val="0"/>
            <w:vAlign w:val="center"/>
          </w:tcPr>
          <w:p w14:paraId="2F29A0F5">
            <w:r>
              <w:rPr>
                <w:rStyle w:val="10"/>
                <w:rFonts w:hint="eastAsia"/>
              </w:rPr>
              <w:t>登记证持有人：</w:t>
            </w:r>
            <w:r>
              <w:rPr>
                <w:rFonts w:hint="eastAsia"/>
              </w:rPr>
              <w:t>江西田友生化有限公司</w:t>
            </w:r>
          </w:p>
        </w:tc>
      </w:tr>
      <w:tr w14:paraId="0698B64F">
        <w:tblPrEx>
          <w:tblCellMar>
            <w:top w:w="0" w:type="dxa"/>
            <w:left w:w="0" w:type="dxa"/>
            <w:bottom w:w="0" w:type="dxa"/>
            <w:right w:w="0" w:type="dxa"/>
          </w:tblCellMar>
        </w:tblPrEx>
        <w:trPr>
          <w:wBefore w:w="0" w:type="auto"/>
          <w:tblCellSpacing w:w="0" w:type="dxa"/>
        </w:trPr>
        <w:tc>
          <w:tcPr>
            <w:tcW w:w="0" w:type="auto"/>
            <w:noWrap w:val="0"/>
            <w:vAlign w:val="center"/>
          </w:tcPr>
          <w:p w14:paraId="2A800039">
            <w:r>
              <w:rPr>
                <w:rStyle w:val="10"/>
                <w:rFonts w:hint="eastAsia"/>
              </w:rPr>
              <w:t>农药名称：</w:t>
            </w:r>
            <w:r>
              <w:rPr>
                <w:rFonts w:hint="eastAsia"/>
              </w:rPr>
              <w:t>氟吡菌胺·精甲霜灵</w:t>
            </w:r>
          </w:p>
        </w:tc>
      </w:tr>
      <w:tr w14:paraId="3FD3FDFF">
        <w:tblPrEx>
          <w:tblCellMar>
            <w:top w:w="0" w:type="dxa"/>
            <w:left w:w="0" w:type="dxa"/>
            <w:bottom w:w="0" w:type="dxa"/>
            <w:right w:w="0" w:type="dxa"/>
          </w:tblCellMar>
        </w:tblPrEx>
        <w:trPr>
          <w:wBefore w:w="0" w:type="auto"/>
          <w:tblCellSpacing w:w="0" w:type="dxa"/>
        </w:trPr>
        <w:tc>
          <w:tcPr>
            <w:tcW w:w="0" w:type="auto"/>
            <w:noWrap w:val="0"/>
            <w:vAlign w:val="center"/>
          </w:tcPr>
          <w:p w14:paraId="31D98676">
            <w:r>
              <w:rPr>
                <w:rStyle w:val="10"/>
                <w:rFonts w:hint="eastAsia"/>
              </w:rPr>
              <w:t>剂型：</w:t>
            </w:r>
            <w:r>
              <w:rPr>
                <w:rFonts w:hint="eastAsia"/>
              </w:rPr>
              <w:t>悬浮剂</w:t>
            </w:r>
          </w:p>
        </w:tc>
      </w:tr>
      <w:tr w14:paraId="5ED96B67">
        <w:tblPrEx>
          <w:tblCellMar>
            <w:top w:w="0" w:type="dxa"/>
            <w:left w:w="0" w:type="dxa"/>
            <w:bottom w:w="0" w:type="dxa"/>
            <w:right w:w="0" w:type="dxa"/>
          </w:tblCellMar>
        </w:tblPrEx>
        <w:trPr>
          <w:wBefore w:w="0" w:type="auto"/>
          <w:tblCellSpacing w:w="0" w:type="dxa"/>
        </w:trPr>
        <w:tc>
          <w:tcPr>
            <w:tcW w:w="0" w:type="auto"/>
            <w:noWrap w:val="0"/>
            <w:vAlign w:val="center"/>
          </w:tcPr>
          <w:p w14:paraId="530DD4C5">
            <w:r>
              <w:rPr>
                <w:rStyle w:val="10"/>
                <w:rFonts w:hint="eastAsia"/>
              </w:rPr>
              <w:t>毒性及其标识：</w:t>
            </w:r>
            <w:r>
              <w:rPr>
                <w:rFonts w:hint="eastAsia"/>
              </w:rPr>
              <w:t xml:space="preserve"> </w:t>
            </w:r>
            <w:r>
              <w:rPr>
                <w:lang/>
              </w:rPr>
              <w:drawing>
                <wp:inline distT="0" distB="0" distL="114300" distR="114300">
                  <wp:extent cx="476250" cy="323850"/>
                  <wp:effectExtent l="0" t="0" r="0" b="0"/>
                  <wp:docPr id="81" name="图片 8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6124364">
        <w:tblPrEx>
          <w:tblCellMar>
            <w:top w:w="0" w:type="dxa"/>
            <w:left w:w="0" w:type="dxa"/>
            <w:bottom w:w="0" w:type="dxa"/>
            <w:right w:w="0" w:type="dxa"/>
          </w:tblCellMar>
        </w:tblPrEx>
        <w:trPr>
          <w:wBefore w:w="0" w:type="auto"/>
          <w:tblCellSpacing w:w="0" w:type="dxa"/>
        </w:trPr>
        <w:tc>
          <w:tcPr>
            <w:tcW w:w="0" w:type="auto"/>
            <w:noWrap w:val="0"/>
            <w:vAlign w:val="center"/>
          </w:tcPr>
          <w:p w14:paraId="02CE8F34">
            <w:r>
              <w:rPr>
                <w:rStyle w:val="10"/>
                <w:rFonts w:hint="eastAsia"/>
              </w:rPr>
              <w:t>总有效成分含量：</w:t>
            </w:r>
            <w:r>
              <w:rPr>
                <w:rFonts w:hint="eastAsia"/>
              </w:rPr>
              <w:t>15%</w:t>
            </w:r>
          </w:p>
        </w:tc>
      </w:tr>
      <w:tr w14:paraId="394E849A">
        <w:tblPrEx>
          <w:tblCellMar>
            <w:top w:w="0" w:type="dxa"/>
            <w:left w:w="0" w:type="dxa"/>
            <w:bottom w:w="0" w:type="dxa"/>
            <w:right w:w="0" w:type="dxa"/>
          </w:tblCellMar>
        </w:tblPrEx>
        <w:trPr>
          <w:wBefore w:w="0" w:type="auto"/>
          <w:tblCellSpacing w:w="0" w:type="dxa"/>
        </w:trPr>
        <w:tc>
          <w:tcPr>
            <w:tcW w:w="0" w:type="auto"/>
            <w:noWrap w:val="0"/>
            <w:vAlign w:val="center"/>
          </w:tcPr>
          <w:p w14:paraId="139B652C">
            <w:r>
              <w:rPr>
                <w:rFonts w:hint="eastAsia"/>
              </w:rPr>
              <w:t xml:space="preserve">有效成分及其含量： </w:t>
            </w:r>
          </w:p>
          <w:p w14:paraId="7ABD72D7">
            <w:r>
              <w:rPr>
                <w:rFonts w:hint="eastAsia"/>
              </w:rPr>
              <w:t xml:space="preserve">    精甲霜灵5%    氟吡菌胺10%    </w:t>
            </w:r>
          </w:p>
        </w:tc>
      </w:tr>
      <w:tr w14:paraId="43D4059C">
        <w:tblPrEx>
          <w:tblCellMar>
            <w:top w:w="0" w:type="dxa"/>
            <w:left w:w="0" w:type="dxa"/>
            <w:bottom w:w="0" w:type="dxa"/>
            <w:right w:w="0" w:type="dxa"/>
          </w:tblCellMar>
        </w:tblPrEx>
        <w:trPr>
          <w:wBefore w:w="0" w:type="auto"/>
          <w:tblCellSpacing w:w="0" w:type="dxa"/>
        </w:trPr>
        <w:tc>
          <w:tcPr>
            <w:tcW w:w="0" w:type="auto"/>
            <w:noWrap w:val="0"/>
            <w:vAlign w:val="center"/>
          </w:tcPr>
          <w:p w14:paraId="710152C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C6481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1DC185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F3F6CB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6769DB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1A48DA6">
                  <w:r>
                    <w:rPr>
                      <w:rStyle w:val="11"/>
                      <w:rFonts w:hint="eastAsia"/>
                    </w:rPr>
                    <w:t>施用方式</w:t>
                  </w:r>
                </w:p>
              </w:tc>
            </w:tr>
            <w:tr w14:paraId="511A4E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24A997A">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5F3D84">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DE2D1F">
                  <w:r>
                    <w:rPr>
                      <w:rStyle w:val="11"/>
                      <w:rFonts w:hint="eastAsia"/>
                    </w:rPr>
                    <w:t>30-38毫升/亩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3CD2D0">
                  <w:r>
                    <w:rPr>
                      <w:rStyle w:val="11"/>
                      <w:rFonts w:hint="eastAsia"/>
                    </w:rPr>
                    <w:t>喷雾</w:t>
                  </w:r>
                </w:p>
              </w:tc>
            </w:tr>
          </w:tbl>
          <w:p w14:paraId="7CD44D40">
            <w:pPr>
              <w:rPr>
                <w:rFonts w:ascii="Times New Roman" w:hAnsi="Times New Roman" w:cs="Times New Roman"/>
                <w:sz w:val="20"/>
                <w:szCs w:val="20"/>
              </w:rPr>
            </w:pPr>
          </w:p>
        </w:tc>
      </w:tr>
      <w:tr w14:paraId="23BBA1A2">
        <w:tblPrEx>
          <w:tblCellMar>
            <w:top w:w="0" w:type="dxa"/>
            <w:left w:w="0" w:type="dxa"/>
            <w:bottom w:w="0" w:type="dxa"/>
            <w:right w:w="0" w:type="dxa"/>
          </w:tblCellMar>
        </w:tblPrEx>
        <w:trPr>
          <w:wBefore w:w="0" w:type="auto"/>
          <w:tblCellSpacing w:w="0" w:type="dxa"/>
        </w:trPr>
        <w:tc>
          <w:tcPr>
            <w:tcW w:w="0" w:type="auto"/>
            <w:noWrap w:val="0"/>
            <w:vAlign w:val="center"/>
          </w:tcPr>
          <w:p w14:paraId="488E08F7">
            <w:r>
              <w:rPr>
                <w:rStyle w:val="10"/>
                <w:rFonts w:hint="eastAsia"/>
              </w:rPr>
              <w:t>使用技术要求:</w:t>
            </w:r>
            <w:r>
              <w:rPr>
                <w:rFonts w:hint="eastAsia"/>
              </w:rPr>
              <w:br w:type="textWrapping"/>
            </w:r>
            <w:r>
              <w:rPr>
                <w:rStyle w:val="11"/>
                <w:rFonts w:hint="eastAsia"/>
              </w:rPr>
              <w:t>1. 本品应于马铃薯晚疫病发生初期或发生前期使用。连续施药3次，每次间隔7-10天。在马铃薯上使用的安全间隔期为7天，每季作物最多用药3次。 2. 大风天或预计2小时内降雨，请勿施药。</w:t>
            </w:r>
          </w:p>
        </w:tc>
      </w:tr>
      <w:tr w14:paraId="306DB771">
        <w:tblPrEx>
          <w:tblCellMar>
            <w:top w:w="0" w:type="dxa"/>
            <w:left w:w="0" w:type="dxa"/>
            <w:bottom w:w="0" w:type="dxa"/>
            <w:right w:w="0" w:type="dxa"/>
          </w:tblCellMar>
        </w:tblPrEx>
        <w:trPr>
          <w:wBefore w:w="0" w:type="auto"/>
          <w:tblCellSpacing w:w="0" w:type="dxa"/>
        </w:trPr>
        <w:tc>
          <w:tcPr>
            <w:tcW w:w="0" w:type="auto"/>
            <w:noWrap w:val="0"/>
            <w:vAlign w:val="center"/>
          </w:tcPr>
          <w:p w14:paraId="6D1E4753">
            <w:r>
              <w:rPr>
                <w:rStyle w:val="10"/>
                <w:rFonts w:hint="eastAsia"/>
              </w:rPr>
              <w:t>产品性能:</w:t>
            </w:r>
            <w:r>
              <w:rPr>
                <w:rFonts w:hint="eastAsia"/>
              </w:rPr>
              <w:br w:type="textWrapping"/>
            </w:r>
            <w:r>
              <w:rPr>
                <w:rStyle w:val="11"/>
                <w:rFonts w:hint="eastAsia"/>
              </w:rPr>
              <w:t>本品是氟吡菌胺和精甲霜灵复配的杀菌剂，具有很好的内吸传导性和渗透性，能影响细胞的有丝分裂、抑制RNA聚合酶，从而抑制病菌菌丝体内蛋白质的合成。</w:t>
            </w:r>
          </w:p>
        </w:tc>
      </w:tr>
      <w:tr w14:paraId="0C9E4523">
        <w:tblPrEx>
          <w:tblCellMar>
            <w:top w:w="0" w:type="dxa"/>
            <w:left w:w="0" w:type="dxa"/>
            <w:bottom w:w="0" w:type="dxa"/>
            <w:right w:w="0" w:type="dxa"/>
          </w:tblCellMar>
        </w:tblPrEx>
        <w:trPr>
          <w:wBefore w:w="0" w:type="auto"/>
          <w:tblCellSpacing w:w="0" w:type="dxa"/>
        </w:trPr>
        <w:tc>
          <w:tcPr>
            <w:tcW w:w="0" w:type="auto"/>
            <w:noWrap w:val="0"/>
            <w:vAlign w:val="center"/>
          </w:tcPr>
          <w:p w14:paraId="48C61B74">
            <w:r>
              <w:rPr>
                <w:rStyle w:val="10"/>
                <w:rFonts w:hint="eastAsia"/>
              </w:rPr>
              <w:t>注意事项：</w:t>
            </w:r>
            <w:r>
              <w:rPr>
                <w:rFonts w:hint="eastAsia"/>
              </w:rPr>
              <w:br w:type="textWrapping"/>
            </w:r>
            <w:r>
              <w:rPr>
                <w:rStyle w:val="11"/>
                <w:rFonts w:hint="eastAsia"/>
              </w:rPr>
              <w:t>1. 本品不可与呈碱性的农药等物质混合使用。2. 建议与其他作用机制不同的杀菌剂轮换使用，以延缓抗性产生。3. 不得污染各类水域，水产养殖区、河塘等水体附近禁用，禁止在河塘等水域清洗施药器具。4. 本品对鸟类、家蚕、鱼类等水生生物有毒，鸟类保护区附近禁用，蚕室及桑园附近禁用，河塘水体附近禁用。5. 本品对眼睛有刺激性，使用时避免接触眼睛，穿戴长衣、长裤、帽子、口罩、手套等防护措施。避免皮肤接触及口鼻吸入。作业结束后应及时淋浴、更衣。6. 孕妇及哺乳期妇女禁止接触。7. 用过的容器应妥善处理，不可做他用，也不可随意丢弃。8. 避免与氧化剂接触。</w:t>
            </w:r>
          </w:p>
        </w:tc>
      </w:tr>
      <w:tr w14:paraId="03716E2D">
        <w:tblPrEx>
          <w:tblCellMar>
            <w:top w:w="0" w:type="dxa"/>
            <w:left w:w="0" w:type="dxa"/>
            <w:bottom w:w="0" w:type="dxa"/>
            <w:right w:w="0" w:type="dxa"/>
          </w:tblCellMar>
        </w:tblPrEx>
        <w:trPr>
          <w:wBefore w:w="0" w:type="auto"/>
          <w:tblCellSpacing w:w="0" w:type="dxa"/>
        </w:trPr>
        <w:tc>
          <w:tcPr>
            <w:tcW w:w="0" w:type="auto"/>
            <w:noWrap w:val="0"/>
            <w:vAlign w:val="center"/>
          </w:tcPr>
          <w:p w14:paraId="693BF11A">
            <w:r>
              <w:rPr>
                <w:rStyle w:val="10"/>
                <w:rFonts w:hint="eastAsia"/>
              </w:rPr>
              <w:t>中毒急救措施：</w:t>
            </w:r>
            <w:r>
              <w:rPr>
                <w:rFonts w:hint="eastAsia"/>
              </w:rPr>
              <w:br w:type="textWrapping"/>
            </w:r>
            <w:r>
              <w:rPr>
                <w:rStyle w:val="11"/>
                <w:rFonts w:hint="eastAsia"/>
              </w:rPr>
              <w:t>对眼睛有刺激性，使用时应带防护眼镜，使用中或使用后如果感到不适，应立即停止工作，采取急救措施，并携带标签送医就诊。皮肤接触：应立即脱掉被污染的衣物，用大量清水彻底清洗受污染的皮肤，如皮肤刺激感持续，请医生诊治。眼睛溅药：立即将眼睑翻开，用清水冲洗至少15分钟，再请医生诊治。发生吸入：立即将吸入者转移到空气新鲜处，如果吸入者停止呼吸，需进行人工呼吸。注意保暖和休息，请医生诊治。不慎误服：携带标签将病人送医就诊。无专用解毒剂，对症治疗。</w:t>
            </w:r>
          </w:p>
        </w:tc>
      </w:tr>
      <w:tr w14:paraId="204F9731">
        <w:tblPrEx>
          <w:tblCellMar>
            <w:top w:w="0" w:type="dxa"/>
            <w:left w:w="0" w:type="dxa"/>
            <w:bottom w:w="0" w:type="dxa"/>
            <w:right w:w="0" w:type="dxa"/>
          </w:tblCellMar>
        </w:tblPrEx>
        <w:trPr>
          <w:wBefore w:w="0" w:type="auto"/>
          <w:tblCellSpacing w:w="0" w:type="dxa"/>
        </w:trPr>
        <w:tc>
          <w:tcPr>
            <w:tcW w:w="0" w:type="auto"/>
            <w:noWrap w:val="0"/>
            <w:vAlign w:val="center"/>
          </w:tcPr>
          <w:p w14:paraId="08AE8749">
            <w:r>
              <w:rPr>
                <w:rStyle w:val="10"/>
                <w:rFonts w:hint="eastAsia"/>
              </w:rPr>
              <w:t>储存和运输方法：</w:t>
            </w:r>
            <w:r>
              <w:rPr>
                <w:rFonts w:hint="eastAsia"/>
              </w:rPr>
              <w:br w:type="textWrapping"/>
            </w:r>
            <w:r>
              <w:rPr>
                <w:rStyle w:val="11"/>
                <w:rFonts w:hint="eastAsia"/>
              </w:rPr>
              <w:t>本品应贮存在干燥、阴凉、通风、防雨处，远离火源或热源。置于儿童及其他无关人员触及不到之处，并加锁。勿与食品、饮料、粮食、饲料等其他商品同贮同运。</w:t>
            </w:r>
          </w:p>
        </w:tc>
      </w:tr>
      <w:tr w14:paraId="2D18AB90">
        <w:tblPrEx>
          <w:tblCellMar>
            <w:top w:w="0" w:type="dxa"/>
            <w:left w:w="0" w:type="dxa"/>
            <w:bottom w:w="0" w:type="dxa"/>
            <w:right w:w="0" w:type="dxa"/>
          </w:tblCellMar>
        </w:tblPrEx>
        <w:trPr>
          <w:wBefore w:w="0" w:type="auto"/>
          <w:tblCellSpacing w:w="0" w:type="dxa"/>
        </w:trPr>
        <w:tc>
          <w:tcPr>
            <w:tcW w:w="0" w:type="auto"/>
            <w:noWrap w:val="0"/>
            <w:vAlign w:val="center"/>
          </w:tcPr>
          <w:p w14:paraId="0EC1B2CF">
            <w:r>
              <w:rPr>
                <w:rStyle w:val="10"/>
                <w:rFonts w:hint="eastAsia"/>
              </w:rPr>
              <w:t>质量保证期：</w:t>
            </w:r>
            <w:r>
              <w:rPr>
                <w:rStyle w:val="11"/>
                <w:rFonts w:hint="eastAsia"/>
              </w:rPr>
              <w:t>2年</w:t>
            </w:r>
          </w:p>
        </w:tc>
      </w:tr>
      <w:tr w14:paraId="71C78D13">
        <w:tblPrEx>
          <w:tblCellMar>
            <w:top w:w="0" w:type="dxa"/>
            <w:left w:w="0" w:type="dxa"/>
            <w:bottom w:w="0" w:type="dxa"/>
            <w:right w:w="0" w:type="dxa"/>
          </w:tblCellMar>
        </w:tblPrEx>
        <w:trPr>
          <w:wBefore w:w="0" w:type="auto"/>
          <w:tblCellSpacing w:w="0" w:type="dxa"/>
        </w:trPr>
        <w:tc>
          <w:tcPr>
            <w:tcW w:w="0" w:type="auto"/>
            <w:noWrap w:val="0"/>
            <w:vAlign w:val="center"/>
          </w:tcPr>
          <w:p w14:paraId="6A4E226E">
            <w:r>
              <w:rPr>
                <w:rStyle w:val="10"/>
                <w:rFonts w:hint="eastAsia"/>
              </w:rPr>
              <w:t>备注：</w:t>
            </w:r>
          </w:p>
        </w:tc>
      </w:tr>
    </w:tbl>
    <w:p w14:paraId="5B9B206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86AEA8E">
        <w:tblPrEx>
          <w:tblCellMar>
            <w:top w:w="0" w:type="dxa"/>
            <w:left w:w="0" w:type="dxa"/>
            <w:bottom w:w="0" w:type="dxa"/>
            <w:right w:w="0" w:type="dxa"/>
          </w:tblCellMar>
        </w:tblPrEx>
        <w:trPr>
          <w:wBefore w:w="0" w:type="auto"/>
          <w:tblCellSpacing w:w="0" w:type="dxa"/>
        </w:trPr>
        <w:tc>
          <w:tcPr>
            <w:tcW w:w="0" w:type="auto"/>
            <w:noWrap w:val="0"/>
            <w:vAlign w:val="center"/>
          </w:tcPr>
          <w:p w14:paraId="2A4532AA">
            <w:r>
              <w:rPr>
                <w:rStyle w:val="10"/>
                <w:rFonts w:hint="eastAsia"/>
              </w:rPr>
              <w:t>登记证号：</w:t>
            </w:r>
            <w:r>
              <w:rPr>
                <w:rFonts w:hint="eastAsia"/>
              </w:rPr>
              <w:t>PD20212281</w:t>
            </w:r>
          </w:p>
        </w:tc>
      </w:tr>
      <w:tr w14:paraId="7119F2F3">
        <w:tblPrEx>
          <w:tblCellMar>
            <w:top w:w="0" w:type="dxa"/>
            <w:left w:w="0" w:type="dxa"/>
            <w:bottom w:w="0" w:type="dxa"/>
            <w:right w:w="0" w:type="dxa"/>
          </w:tblCellMar>
        </w:tblPrEx>
        <w:trPr>
          <w:wBefore w:w="0" w:type="auto"/>
          <w:tblCellSpacing w:w="0" w:type="dxa"/>
        </w:trPr>
        <w:tc>
          <w:tcPr>
            <w:tcW w:w="0" w:type="auto"/>
            <w:noWrap w:val="0"/>
            <w:vAlign w:val="center"/>
          </w:tcPr>
          <w:p w14:paraId="08262244">
            <w:r>
              <w:rPr>
                <w:rStyle w:val="10"/>
                <w:rFonts w:hint="eastAsia"/>
              </w:rPr>
              <w:t>登记证持有人：</w:t>
            </w:r>
            <w:r>
              <w:rPr>
                <w:rFonts w:hint="eastAsia"/>
              </w:rPr>
              <w:t>广西金宏达农药有限公司</w:t>
            </w:r>
          </w:p>
        </w:tc>
      </w:tr>
      <w:tr w14:paraId="5394B03A">
        <w:tblPrEx>
          <w:tblCellMar>
            <w:top w:w="0" w:type="dxa"/>
            <w:left w:w="0" w:type="dxa"/>
            <w:bottom w:w="0" w:type="dxa"/>
            <w:right w:w="0" w:type="dxa"/>
          </w:tblCellMar>
        </w:tblPrEx>
        <w:trPr>
          <w:wBefore w:w="0" w:type="auto"/>
          <w:tblCellSpacing w:w="0" w:type="dxa"/>
        </w:trPr>
        <w:tc>
          <w:tcPr>
            <w:tcW w:w="0" w:type="auto"/>
            <w:noWrap w:val="0"/>
            <w:vAlign w:val="center"/>
          </w:tcPr>
          <w:p w14:paraId="66173871">
            <w:r>
              <w:rPr>
                <w:rStyle w:val="10"/>
                <w:rFonts w:hint="eastAsia"/>
              </w:rPr>
              <w:t>农药名称：</w:t>
            </w:r>
            <w:r>
              <w:rPr>
                <w:rFonts w:hint="eastAsia"/>
              </w:rPr>
              <w:t>2甲·草甘膦</w:t>
            </w:r>
          </w:p>
        </w:tc>
      </w:tr>
      <w:tr w14:paraId="60D269F2">
        <w:tblPrEx>
          <w:tblCellMar>
            <w:top w:w="0" w:type="dxa"/>
            <w:left w:w="0" w:type="dxa"/>
            <w:bottom w:w="0" w:type="dxa"/>
            <w:right w:w="0" w:type="dxa"/>
          </w:tblCellMar>
        </w:tblPrEx>
        <w:trPr>
          <w:wBefore w:w="0" w:type="auto"/>
          <w:tblCellSpacing w:w="0" w:type="dxa"/>
        </w:trPr>
        <w:tc>
          <w:tcPr>
            <w:tcW w:w="0" w:type="auto"/>
            <w:noWrap w:val="0"/>
            <w:vAlign w:val="center"/>
          </w:tcPr>
          <w:p w14:paraId="4811C4E9">
            <w:r>
              <w:rPr>
                <w:rStyle w:val="10"/>
                <w:rFonts w:hint="eastAsia"/>
              </w:rPr>
              <w:t>剂型：</w:t>
            </w:r>
            <w:r>
              <w:rPr>
                <w:rFonts w:hint="eastAsia"/>
              </w:rPr>
              <w:t>可溶液剂</w:t>
            </w:r>
          </w:p>
        </w:tc>
      </w:tr>
      <w:tr w14:paraId="5D4DE72B">
        <w:tblPrEx>
          <w:tblCellMar>
            <w:top w:w="0" w:type="dxa"/>
            <w:left w:w="0" w:type="dxa"/>
            <w:bottom w:w="0" w:type="dxa"/>
            <w:right w:w="0" w:type="dxa"/>
          </w:tblCellMar>
        </w:tblPrEx>
        <w:trPr>
          <w:wBefore w:w="0" w:type="auto"/>
          <w:tblCellSpacing w:w="0" w:type="dxa"/>
        </w:trPr>
        <w:tc>
          <w:tcPr>
            <w:tcW w:w="0" w:type="auto"/>
            <w:noWrap w:val="0"/>
            <w:vAlign w:val="center"/>
          </w:tcPr>
          <w:p w14:paraId="3A5BF052">
            <w:r>
              <w:rPr>
                <w:rStyle w:val="10"/>
                <w:rFonts w:hint="eastAsia"/>
              </w:rPr>
              <w:t>毒性及其标识：</w:t>
            </w:r>
            <w:r>
              <w:rPr>
                <w:rFonts w:hint="eastAsia"/>
              </w:rPr>
              <w:t xml:space="preserve"> </w:t>
            </w:r>
            <w:r>
              <w:rPr>
                <w:lang/>
              </w:rPr>
              <w:drawing>
                <wp:inline distT="0" distB="0" distL="114300" distR="114300">
                  <wp:extent cx="476250" cy="323850"/>
                  <wp:effectExtent l="0" t="0" r="0" b="0"/>
                  <wp:docPr id="82" name="图片 8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630BE62">
        <w:tblPrEx>
          <w:tblCellMar>
            <w:top w:w="0" w:type="dxa"/>
            <w:left w:w="0" w:type="dxa"/>
            <w:bottom w:w="0" w:type="dxa"/>
            <w:right w:w="0" w:type="dxa"/>
          </w:tblCellMar>
        </w:tblPrEx>
        <w:trPr>
          <w:wBefore w:w="0" w:type="auto"/>
          <w:tblCellSpacing w:w="0" w:type="dxa"/>
        </w:trPr>
        <w:tc>
          <w:tcPr>
            <w:tcW w:w="0" w:type="auto"/>
            <w:noWrap w:val="0"/>
            <w:vAlign w:val="center"/>
          </w:tcPr>
          <w:p w14:paraId="5AAF4304">
            <w:r>
              <w:rPr>
                <w:rStyle w:val="10"/>
                <w:rFonts w:hint="eastAsia"/>
              </w:rPr>
              <w:t>总有效成分含量：</w:t>
            </w:r>
            <w:r>
              <w:rPr>
                <w:rFonts w:hint="eastAsia"/>
              </w:rPr>
              <w:t>32.7%</w:t>
            </w:r>
          </w:p>
        </w:tc>
      </w:tr>
      <w:tr w14:paraId="780F207E">
        <w:tblPrEx>
          <w:tblCellMar>
            <w:top w:w="0" w:type="dxa"/>
            <w:left w:w="0" w:type="dxa"/>
            <w:bottom w:w="0" w:type="dxa"/>
            <w:right w:w="0" w:type="dxa"/>
          </w:tblCellMar>
        </w:tblPrEx>
        <w:trPr>
          <w:wBefore w:w="0" w:type="auto"/>
          <w:tblCellSpacing w:w="0" w:type="dxa"/>
        </w:trPr>
        <w:tc>
          <w:tcPr>
            <w:tcW w:w="0" w:type="auto"/>
            <w:noWrap w:val="0"/>
            <w:vAlign w:val="center"/>
          </w:tcPr>
          <w:p w14:paraId="3EE7E2F1">
            <w:r>
              <w:rPr>
                <w:rFonts w:hint="eastAsia"/>
              </w:rPr>
              <w:t xml:space="preserve">有效成分及其含量： </w:t>
            </w:r>
          </w:p>
          <w:p w14:paraId="23F104FC">
            <w:r>
              <w:rPr>
                <w:rFonts w:hint="eastAsia"/>
              </w:rPr>
              <w:t xml:space="preserve">    2甲4氯2.7%    草甘膦30%    </w:t>
            </w:r>
          </w:p>
        </w:tc>
      </w:tr>
      <w:tr w14:paraId="3A02B0BA">
        <w:tblPrEx>
          <w:tblCellMar>
            <w:top w:w="0" w:type="dxa"/>
            <w:left w:w="0" w:type="dxa"/>
            <w:bottom w:w="0" w:type="dxa"/>
            <w:right w:w="0" w:type="dxa"/>
          </w:tblCellMar>
        </w:tblPrEx>
        <w:trPr>
          <w:wBefore w:w="0" w:type="auto"/>
          <w:tblCellSpacing w:w="0" w:type="dxa"/>
        </w:trPr>
        <w:tc>
          <w:tcPr>
            <w:tcW w:w="0" w:type="auto"/>
            <w:noWrap w:val="0"/>
            <w:vAlign w:val="center"/>
          </w:tcPr>
          <w:p w14:paraId="25C2072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E69E6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39E2C2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C035A1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568F49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2D6F079">
                  <w:r>
                    <w:rPr>
                      <w:rStyle w:val="11"/>
                      <w:rFonts w:hint="eastAsia"/>
                    </w:rPr>
                    <w:t>施用方式</w:t>
                  </w:r>
                </w:p>
              </w:tc>
            </w:tr>
            <w:tr w14:paraId="7BF6D8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10A990C">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4BC6B3">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C1C089">
                  <w:r>
                    <w:rPr>
                      <w:rStyle w:val="11"/>
                      <w:rFonts w:hint="eastAsia"/>
                    </w:rPr>
                    <w:t>280-360毫升/亩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184DBE">
                  <w:r>
                    <w:rPr>
                      <w:rStyle w:val="11"/>
                      <w:rFonts w:hint="eastAsia"/>
                    </w:rPr>
                    <w:t>茎叶喷雾</w:t>
                  </w:r>
                </w:p>
              </w:tc>
            </w:tr>
          </w:tbl>
          <w:p w14:paraId="42B5F434">
            <w:pPr>
              <w:rPr>
                <w:rFonts w:ascii="Times New Roman" w:hAnsi="Times New Roman" w:cs="Times New Roman"/>
                <w:sz w:val="20"/>
                <w:szCs w:val="20"/>
              </w:rPr>
            </w:pPr>
          </w:p>
        </w:tc>
      </w:tr>
      <w:tr w14:paraId="312A912C">
        <w:tblPrEx>
          <w:tblCellMar>
            <w:top w:w="0" w:type="dxa"/>
            <w:left w:w="0" w:type="dxa"/>
            <w:bottom w:w="0" w:type="dxa"/>
            <w:right w:w="0" w:type="dxa"/>
          </w:tblCellMar>
        </w:tblPrEx>
        <w:trPr>
          <w:wBefore w:w="0" w:type="auto"/>
          <w:tblCellSpacing w:w="0" w:type="dxa"/>
        </w:trPr>
        <w:tc>
          <w:tcPr>
            <w:tcW w:w="0" w:type="auto"/>
            <w:noWrap w:val="0"/>
            <w:vAlign w:val="center"/>
          </w:tcPr>
          <w:p w14:paraId="34C50EE0">
            <w:r>
              <w:rPr>
                <w:rStyle w:val="10"/>
                <w:rFonts w:hint="eastAsia"/>
              </w:rPr>
              <w:t>使用技术要求:</w:t>
            </w:r>
            <w:r>
              <w:rPr>
                <w:rFonts w:hint="eastAsia"/>
              </w:rPr>
              <w:br w:type="textWrapping"/>
            </w:r>
            <w:r>
              <w:rPr>
                <w:rStyle w:val="11"/>
                <w:rFonts w:hint="eastAsia"/>
              </w:rPr>
              <w:t>1.本品是茎叶除草剂，遇土壤易产生“钝化”，失去活性，配制时不能用浑浊水，必须使用清水。 2.温暖晴天用药效果优于低温天气，施药后6小时内遇雨会降低药效,应酌情补喷。 3.应选择晴天无风天气施药，大风或预计1小时内降雨，请勿施药。</w:t>
            </w:r>
          </w:p>
        </w:tc>
      </w:tr>
      <w:tr w14:paraId="00011749">
        <w:tblPrEx>
          <w:tblCellMar>
            <w:top w:w="0" w:type="dxa"/>
            <w:left w:w="0" w:type="dxa"/>
            <w:bottom w:w="0" w:type="dxa"/>
            <w:right w:w="0" w:type="dxa"/>
          </w:tblCellMar>
        </w:tblPrEx>
        <w:trPr>
          <w:wBefore w:w="0" w:type="auto"/>
          <w:tblCellSpacing w:w="0" w:type="dxa"/>
        </w:trPr>
        <w:tc>
          <w:tcPr>
            <w:tcW w:w="0" w:type="auto"/>
            <w:noWrap w:val="0"/>
            <w:vAlign w:val="center"/>
          </w:tcPr>
          <w:p w14:paraId="39C28EC1">
            <w:r>
              <w:rPr>
                <w:rStyle w:val="10"/>
                <w:rFonts w:hint="eastAsia"/>
              </w:rPr>
              <w:t>产品性能:</w:t>
            </w:r>
            <w:r>
              <w:rPr>
                <w:rFonts w:hint="eastAsia"/>
              </w:rPr>
              <w:br w:type="textWrapping"/>
            </w:r>
            <w:r>
              <w:rPr>
                <w:rStyle w:val="11"/>
                <w:rFonts w:hint="eastAsia"/>
              </w:rPr>
              <w:t>本品是由2甲4氯和草甘膦复配的灭生性除草剂。用于非耕地多种单、双子叶杂草的防治。</w:t>
            </w:r>
          </w:p>
        </w:tc>
      </w:tr>
      <w:tr w14:paraId="334934C2">
        <w:tblPrEx>
          <w:tblCellMar>
            <w:top w:w="0" w:type="dxa"/>
            <w:left w:w="0" w:type="dxa"/>
            <w:bottom w:w="0" w:type="dxa"/>
            <w:right w:w="0" w:type="dxa"/>
          </w:tblCellMar>
        </w:tblPrEx>
        <w:trPr>
          <w:wBefore w:w="0" w:type="auto"/>
          <w:tblCellSpacing w:w="0" w:type="dxa"/>
        </w:trPr>
        <w:tc>
          <w:tcPr>
            <w:tcW w:w="0" w:type="auto"/>
            <w:noWrap w:val="0"/>
            <w:vAlign w:val="center"/>
          </w:tcPr>
          <w:p w14:paraId="40FD0730">
            <w:r>
              <w:rPr>
                <w:rStyle w:val="10"/>
                <w:rFonts w:hint="eastAsia"/>
              </w:rPr>
              <w:t>注意事项：</w:t>
            </w:r>
            <w:r>
              <w:rPr>
                <w:rFonts w:hint="eastAsia"/>
              </w:rPr>
              <w:br w:type="textWrapping"/>
            </w:r>
            <w:r>
              <w:rPr>
                <w:rStyle w:val="11"/>
                <w:rFonts w:hint="eastAsia"/>
              </w:rPr>
              <w:t>1.使用时需定向均匀全面喷雾，喷雾时喷头上应加装保护罩，避免施药时药液飘移到临近作物田。 2.本品对家禽及牲畜有害，施药后5天内勿割草、放牧和翻地。 3.配药和施药时应穿防护服、戴防护手套、口罩和护目镜等防护；施药期间禁止饮食和吸烟；施药后及时用肥皂和清水彻底清洗皮肤暴露部位并更换衣物。 4.本品对鱼类、水蚤、藻类等水生生物有毒，远离水产养殖区、河塘等水体施药，严禁在河塘等水体清洗施药器具，禁止将残液倒入湖泊、河流、池塘等水域，以免污染水源。 5.本品对家蚕有毒，蚕室附近禁用，桑园附近使用时以最外围一行桑树作为隔离带，从此外围一行桑树开始采摘桑叶饲喂家蚕。 6.未用完的制剂应放在原包装内密封保存，切勿将本品置于饮食容器内；用过的容器或空包装应妥善处置，不可做他用，也不可随意丢弃。 7.禁止儿童、孕妇及哺乳期妇女接触本品。</w:t>
            </w:r>
          </w:p>
        </w:tc>
      </w:tr>
      <w:tr w14:paraId="6A0347A9">
        <w:tblPrEx>
          <w:tblCellMar>
            <w:top w:w="0" w:type="dxa"/>
            <w:left w:w="0" w:type="dxa"/>
            <w:bottom w:w="0" w:type="dxa"/>
            <w:right w:w="0" w:type="dxa"/>
          </w:tblCellMar>
        </w:tblPrEx>
        <w:trPr>
          <w:wBefore w:w="0" w:type="auto"/>
          <w:tblCellSpacing w:w="0" w:type="dxa"/>
        </w:trPr>
        <w:tc>
          <w:tcPr>
            <w:tcW w:w="0" w:type="auto"/>
            <w:noWrap w:val="0"/>
            <w:vAlign w:val="center"/>
          </w:tcPr>
          <w:p w14:paraId="686DF451">
            <w:r>
              <w:rPr>
                <w:rStyle w:val="10"/>
                <w:rFonts w:hint="eastAsia"/>
              </w:rPr>
              <w:t>中毒急救措施：</w:t>
            </w:r>
            <w:r>
              <w:rPr>
                <w:rFonts w:hint="eastAsia"/>
              </w:rPr>
              <w:br w:type="textWrapping"/>
            </w:r>
            <w:r>
              <w:rPr>
                <w:rStyle w:val="11"/>
                <w:rFonts w:hint="eastAsia"/>
              </w:rPr>
              <w:t>中毒症状：按照标签推荐方法使用，无典型中毒症状。 皮肤接触：立即脱去被污染的衣物，用肥皂和大量清水冲洗皮肤暴露部位。如皮肤刺激感持续，请医生诊治。 眼睛溅入：立即翻开眼睑，用清水冲洗至少15分钟，及时请医生诊治。 吸入：立即将吸入者转移到空气清新处，若吸入者停止呼吸，需要进行人工呼吸。注意保暖和休息，请医生诊治。 误食：严禁引吐，应先立即用清水漱口，再携带产品标签送医就诊，对症治疗。 注意：对昏迷病人，切勿经口喂入任何东西。本品无特效解毒剂。</w:t>
            </w:r>
          </w:p>
        </w:tc>
      </w:tr>
      <w:tr w14:paraId="28F168FB">
        <w:tblPrEx>
          <w:tblCellMar>
            <w:top w:w="0" w:type="dxa"/>
            <w:left w:w="0" w:type="dxa"/>
            <w:bottom w:w="0" w:type="dxa"/>
            <w:right w:w="0" w:type="dxa"/>
          </w:tblCellMar>
        </w:tblPrEx>
        <w:trPr>
          <w:wBefore w:w="0" w:type="auto"/>
          <w:tblCellSpacing w:w="0" w:type="dxa"/>
        </w:trPr>
        <w:tc>
          <w:tcPr>
            <w:tcW w:w="0" w:type="auto"/>
            <w:noWrap w:val="0"/>
            <w:vAlign w:val="center"/>
          </w:tcPr>
          <w:p w14:paraId="37240AD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本品应贮存在干燥、阴凉、通风、防雨处，远离火源或热源。置于儿童、无关人员触及不到之处，并加保存锁。勿与食品、饮料、粮食、饲料等其他商品同贮同运。</w:t>
            </w:r>
          </w:p>
        </w:tc>
      </w:tr>
      <w:tr w14:paraId="26F7363C">
        <w:tblPrEx>
          <w:tblCellMar>
            <w:top w:w="0" w:type="dxa"/>
            <w:left w:w="0" w:type="dxa"/>
            <w:bottom w:w="0" w:type="dxa"/>
            <w:right w:w="0" w:type="dxa"/>
          </w:tblCellMar>
        </w:tblPrEx>
        <w:trPr>
          <w:wBefore w:w="0" w:type="auto"/>
          <w:tblCellSpacing w:w="0" w:type="dxa"/>
        </w:trPr>
        <w:tc>
          <w:tcPr>
            <w:tcW w:w="0" w:type="auto"/>
            <w:noWrap w:val="0"/>
            <w:vAlign w:val="center"/>
          </w:tcPr>
          <w:p w14:paraId="521F86B3">
            <w:r>
              <w:rPr>
                <w:rStyle w:val="10"/>
                <w:rFonts w:hint="eastAsia"/>
              </w:rPr>
              <w:t>质量保证期：</w:t>
            </w:r>
            <w:r>
              <w:rPr>
                <w:rStyle w:val="11"/>
                <w:rFonts w:hint="eastAsia"/>
              </w:rPr>
              <w:t>2年</w:t>
            </w:r>
          </w:p>
        </w:tc>
      </w:tr>
      <w:tr w14:paraId="2BD1E3A1">
        <w:tblPrEx>
          <w:tblCellMar>
            <w:top w:w="0" w:type="dxa"/>
            <w:left w:w="0" w:type="dxa"/>
            <w:bottom w:w="0" w:type="dxa"/>
            <w:right w:w="0" w:type="dxa"/>
          </w:tblCellMar>
        </w:tblPrEx>
        <w:trPr>
          <w:wBefore w:w="0" w:type="auto"/>
          <w:tblCellSpacing w:w="0" w:type="dxa"/>
        </w:trPr>
        <w:tc>
          <w:tcPr>
            <w:tcW w:w="0" w:type="auto"/>
            <w:noWrap w:val="0"/>
            <w:vAlign w:val="center"/>
          </w:tcPr>
          <w:p w14:paraId="24C852AA">
            <w:r>
              <w:rPr>
                <w:rStyle w:val="10"/>
                <w:rFonts w:hint="eastAsia"/>
              </w:rPr>
              <w:t>备注：</w:t>
            </w:r>
            <w:r>
              <w:rPr>
                <w:rFonts w:hint="eastAsia"/>
              </w:rPr>
              <w:br w:type="textWrapping"/>
            </w:r>
            <w:r>
              <w:rPr>
                <w:rStyle w:val="11"/>
                <w:rFonts w:hint="eastAsia"/>
              </w:rPr>
              <w:t>2.4-滴钠盐3%，草甘膦铵盐33%。</w:t>
            </w:r>
          </w:p>
        </w:tc>
      </w:tr>
    </w:tbl>
    <w:p w14:paraId="398AAE0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84AE826">
        <w:tblPrEx>
          <w:tblCellMar>
            <w:top w:w="0" w:type="dxa"/>
            <w:left w:w="0" w:type="dxa"/>
            <w:bottom w:w="0" w:type="dxa"/>
            <w:right w:w="0" w:type="dxa"/>
          </w:tblCellMar>
        </w:tblPrEx>
        <w:trPr>
          <w:wBefore w:w="0" w:type="auto"/>
          <w:tblCellSpacing w:w="0" w:type="dxa"/>
        </w:trPr>
        <w:tc>
          <w:tcPr>
            <w:tcW w:w="0" w:type="auto"/>
            <w:noWrap w:val="0"/>
            <w:vAlign w:val="center"/>
          </w:tcPr>
          <w:p w14:paraId="6F38D7FF">
            <w:r>
              <w:rPr>
                <w:rStyle w:val="10"/>
                <w:rFonts w:hint="eastAsia"/>
              </w:rPr>
              <w:t>登记证号：</w:t>
            </w:r>
            <w:r>
              <w:rPr>
                <w:rFonts w:hint="eastAsia"/>
              </w:rPr>
              <w:t>PD20211764</w:t>
            </w:r>
          </w:p>
        </w:tc>
      </w:tr>
      <w:tr w14:paraId="6729F2E8">
        <w:tblPrEx>
          <w:tblCellMar>
            <w:top w:w="0" w:type="dxa"/>
            <w:left w:w="0" w:type="dxa"/>
            <w:bottom w:w="0" w:type="dxa"/>
            <w:right w:w="0" w:type="dxa"/>
          </w:tblCellMar>
        </w:tblPrEx>
        <w:trPr>
          <w:wBefore w:w="0" w:type="auto"/>
          <w:tblCellSpacing w:w="0" w:type="dxa"/>
        </w:trPr>
        <w:tc>
          <w:tcPr>
            <w:tcW w:w="0" w:type="auto"/>
            <w:noWrap w:val="0"/>
            <w:vAlign w:val="center"/>
          </w:tcPr>
          <w:p w14:paraId="108BD03D">
            <w:r>
              <w:rPr>
                <w:rStyle w:val="10"/>
                <w:rFonts w:hint="eastAsia"/>
              </w:rPr>
              <w:t>登记证持有人：</w:t>
            </w:r>
            <w:r>
              <w:rPr>
                <w:rFonts w:hint="eastAsia"/>
              </w:rPr>
              <w:t>湖北天泽农生物工程有限公司</w:t>
            </w:r>
          </w:p>
        </w:tc>
      </w:tr>
      <w:tr w14:paraId="1448C2FD">
        <w:tblPrEx>
          <w:tblCellMar>
            <w:top w:w="0" w:type="dxa"/>
            <w:left w:w="0" w:type="dxa"/>
            <w:bottom w:w="0" w:type="dxa"/>
            <w:right w:w="0" w:type="dxa"/>
          </w:tblCellMar>
        </w:tblPrEx>
        <w:trPr>
          <w:wBefore w:w="0" w:type="auto"/>
          <w:tblCellSpacing w:w="0" w:type="dxa"/>
        </w:trPr>
        <w:tc>
          <w:tcPr>
            <w:tcW w:w="0" w:type="auto"/>
            <w:noWrap w:val="0"/>
            <w:vAlign w:val="center"/>
          </w:tcPr>
          <w:p w14:paraId="2112D022">
            <w:r>
              <w:rPr>
                <w:rStyle w:val="10"/>
                <w:rFonts w:hint="eastAsia"/>
              </w:rPr>
              <w:t>农药名称：</w:t>
            </w:r>
            <w:r>
              <w:rPr>
                <w:rFonts w:hint="eastAsia"/>
              </w:rPr>
              <w:t>甲维·虱螨脲</w:t>
            </w:r>
          </w:p>
        </w:tc>
      </w:tr>
      <w:tr w14:paraId="1C3204C9">
        <w:tblPrEx>
          <w:tblCellMar>
            <w:top w:w="0" w:type="dxa"/>
            <w:left w:w="0" w:type="dxa"/>
            <w:bottom w:w="0" w:type="dxa"/>
            <w:right w:w="0" w:type="dxa"/>
          </w:tblCellMar>
        </w:tblPrEx>
        <w:trPr>
          <w:wBefore w:w="0" w:type="auto"/>
          <w:tblCellSpacing w:w="0" w:type="dxa"/>
        </w:trPr>
        <w:tc>
          <w:tcPr>
            <w:tcW w:w="0" w:type="auto"/>
            <w:noWrap w:val="0"/>
            <w:vAlign w:val="center"/>
          </w:tcPr>
          <w:p w14:paraId="497AEF4B">
            <w:r>
              <w:rPr>
                <w:rStyle w:val="10"/>
                <w:rFonts w:hint="eastAsia"/>
              </w:rPr>
              <w:t>剂型：</w:t>
            </w:r>
            <w:r>
              <w:rPr>
                <w:rFonts w:hint="eastAsia"/>
              </w:rPr>
              <w:t>悬浮剂</w:t>
            </w:r>
          </w:p>
        </w:tc>
      </w:tr>
      <w:tr w14:paraId="57145735">
        <w:tblPrEx>
          <w:tblCellMar>
            <w:top w:w="0" w:type="dxa"/>
            <w:left w:w="0" w:type="dxa"/>
            <w:bottom w:w="0" w:type="dxa"/>
            <w:right w:w="0" w:type="dxa"/>
          </w:tblCellMar>
        </w:tblPrEx>
        <w:trPr>
          <w:wBefore w:w="0" w:type="auto"/>
          <w:tblCellSpacing w:w="0" w:type="dxa"/>
        </w:trPr>
        <w:tc>
          <w:tcPr>
            <w:tcW w:w="0" w:type="auto"/>
            <w:noWrap w:val="0"/>
            <w:vAlign w:val="center"/>
          </w:tcPr>
          <w:p w14:paraId="6C854987">
            <w:r>
              <w:rPr>
                <w:rStyle w:val="10"/>
                <w:rFonts w:hint="eastAsia"/>
              </w:rPr>
              <w:t>毒性及其标识：</w:t>
            </w:r>
            <w:r>
              <w:rPr>
                <w:rFonts w:hint="eastAsia"/>
              </w:rPr>
              <w:t xml:space="preserve"> </w:t>
            </w:r>
            <w:r>
              <w:rPr>
                <w:lang/>
              </w:rPr>
              <w:drawing>
                <wp:inline distT="0" distB="0" distL="114300" distR="114300">
                  <wp:extent cx="476250" cy="323850"/>
                  <wp:effectExtent l="0" t="0" r="0" b="0"/>
                  <wp:docPr id="83" name="图片 8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6A2A4A7">
        <w:tblPrEx>
          <w:tblCellMar>
            <w:top w:w="0" w:type="dxa"/>
            <w:left w:w="0" w:type="dxa"/>
            <w:bottom w:w="0" w:type="dxa"/>
            <w:right w:w="0" w:type="dxa"/>
          </w:tblCellMar>
        </w:tblPrEx>
        <w:trPr>
          <w:wBefore w:w="0" w:type="auto"/>
          <w:tblCellSpacing w:w="0" w:type="dxa"/>
        </w:trPr>
        <w:tc>
          <w:tcPr>
            <w:tcW w:w="0" w:type="auto"/>
            <w:noWrap w:val="0"/>
            <w:vAlign w:val="center"/>
          </w:tcPr>
          <w:p w14:paraId="5B5EC350">
            <w:r>
              <w:rPr>
                <w:rStyle w:val="10"/>
                <w:rFonts w:hint="eastAsia"/>
              </w:rPr>
              <w:t>总有效成分含量：</w:t>
            </w:r>
            <w:r>
              <w:rPr>
                <w:rFonts w:hint="eastAsia"/>
              </w:rPr>
              <w:t>7.6%</w:t>
            </w:r>
          </w:p>
        </w:tc>
      </w:tr>
      <w:tr w14:paraId="69592487">
        <w:tblPrEx>
          <w:tblCellMar>
            <w:top w:w="0" w:type="dxa"/>
            <w:left w:w="0" w:type="dxa"/>
            <w:bottom w:w="0" w:type="dxa"/>
            <w:right w:w="0" w:type="dxa"/>
          </w:tblCellMar>
        </w:tblPrEx>
        <w:trPr>
          <w:wBefore w:w="0" w:type="auto"/>
          <w:tblCellSpacing w:w="0" w:type="dxa"/>
        </w:trPr>
        <w:tc>
          <w:tcPr>
            <w:tcW w:w="0" w:type="auto"/>
            <w:noWrap w:val="0"/>
            <w:vAlign w:val="center"/>
          </w:tcPr>
          <w:p w14:paraId="467ACE6B">
            <w:r>
              <w:rPr>
                <w:rFonts w:hint="eastAsia"/>
              </w:rPr>
              <w:t xml:space="preserve">有效成分及其含量： </w:t>
            </w:r>
          </w:p>
          <w:p w14:paraId="3F0B6702">
            <w:r>
              <w:rPr>
                <w:rFonts w:hint="eastAsia"/>
              </w:rPr>
              <w:t xml:space="preserve">    甲氨基阿维菌素2.6%    虱螨脲5%    </w:t>
            </w:r>
          </w:p>
        </w:tc>
      </w:tr>
      <w:tr w14:paraId="49D88E72">
        <w:tblPrEx>
          <w:tblCellMar>
            <w:top w:w="0" w:type="dxa"/>
            <w:left w:w="0" w:type="dxa"/>
            <w:bottom w:w="0" w:type="dxa"/>
            <w:right w:w="0" w:type="dxa"/>
          </w:tblCellMar>
        </w:tblPrEx>
        <w:trPr>
          <w:wBefore w:w="0" w:type="auto"/>
          <w:tblCellSpacing w:w="0" w:type="dxa"/>
        </w:trPr>
        <w:tc>
          <w:tcPr>
            <w:tcW w:w="0" w:type="auto"/>
            <w:noWrap w:val="0"/>
            <w:vAlign w:val="center"/>
          </w:tcPr>
          <w:p w14:paraId="596FBC6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EB6AF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E232E4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200BC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D813D4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4F61E5C">
                  <w:r>
                    <w:rPr>
                      <w:rStyle w:val="11"/>
                      <w:rFonts w:hint="eastAsia"/>
                    </w:rPr>
                    <w:t>施用方式</w:t>
                  </w:r>
                </w:p>
              </w:tc>
            </w:tr>
            <w:tr w14:paraId="4A2455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41946FA">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DD4DEB">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B84537">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C58CC5">
                  <w:r>
                    <w:rPr>
                      <w:rStyle w:val="11"/>
                      <w:rFonts w:hint="eastAsia"/>
                    </w:rPr>
                    <w:t>喷雾</w:t>
                  </w:r>
                </w:p>
              </w:tc>
            </w:tr>
          </w:tbl>
          <w:p w14:paraId="5E149B67">
            <w:pPr>
              <w:rPr>
                <w:rFonts w:ascii="Times New Roman" w:hAnsi="Times New Roman" w:cs="Times New Roman"/>
                <w:sz w:val="20"/>
                <w:szCs w:val="20"/>
              </w:rPr>
            </w:pPr>
          </w:p>
        </w:tc>
      </w:tr>
      <w:tr w14:paraId="40C43A32">
        <w:tblPrEx>
          <w:tblCellMar>
            <w:top w:w="0" w:type="dxa"/>
            <w:left w:w="0" w:type="dxa"/>
            <w:bottom w:w="0" w:type="dxa"/>
            <w:right w:w="0" w:type="dxa"/>
          </w:tblCellMar>
        </w:tblPrEx>
        <w:trPr>
          <w:wBefore w:w="0" w:type="auto"/>
          <w:tblCellSpacing w:w="0" w:type="dxa"/>
        </w:trPr>
        <w:tc>
          <w:tcPr>
            <w:tcW w:w="0" w:type="auto"/>
            <w:noWrap w:val="0"/>
            <w:vAlign w:val="center"/>
          </w:tcPr>
          <w:p w14:paraId="6919C801">
            <w:r>
              <w:rPr>
                <w:rStyle w:val="10"/>
                <w:rFonts w:hint="eastAsia"/>
              </w:rPr>
              <w:t>使用技术要求:</w:t>
            </w:r>
            <w:r>
              <w:rPr>
                <w:rFonts w:hint="eastAsia"/>
              </w:rPr>
              <w:br w:type="textWrapping"/>
            </w:r>
            <w:r>
              <w:rPr>
                <w:rStyle w:val="11"/>
                <w:rFonts w:hint="eastAsia"/>
              </w:rPr>
              <w:t>1、于甜菜夜蛾卵孵盛期至低龄幼虫期喷雾施药1次，施药时雾滴要细，喷雾要均匀。 2、大风天或预计4小时内有降雨，请勿施药。 3、本品在甘蓝上使用的安全间隔期为7天，每季作物使用1次。</w:t>
            </w:r>
          </w:p>
        </w:tc>
      </w:tr>
      <w:tr w14:paraId="11E51CFC">
        <w:tblPrEx>
          <w:tblCellMar>
            <w:top w:w="0" w:type="dxa"/>
            <w:left w:w="0" w:type="dxa"/>
            <w:bottom w:w="0" w:type="dxa"/>
            <w:right w:w="0" w:type="dxa"/>
          </w:tblCellMar>
        </w:tblPrEx>
        <w:trPr>
          <w:wBefore w:w="0" w:type="auto"/>
          <w:tblCellSpacing w:w="0" w:type="dxa"/>
        </w:trPr>
        <w:tc>
          <w:tcPr>
            <w:tcW w:w="0" w:type="auto"/>
            <w:noWrap w:val="0"/>
            <w:vAlign w:val="center"/>
          </w:tcPr>
          <w:p w14:paraId="4F08E04D">
            <w:r>
              <w:rPr>
                <w:rStyle w:val="10"/>
                <w:rFonts w:hint="eastAsia"/>
              </w:rPr>
              <w:t>产品性能:</w:t>
            </w:r>
            <w:r>
              <w:rPr>
                <w:rFonts w:hint="eastAsia"/>
              </w:rPr>
              <w:br w:type="textWrapping"/>
            </w:r>
            <w:r>
              <w:rPr>
                <w:rStyle w:val="11"/>
                <w:rFonts w:hint="eastAsia"/>
              </w:rPr>
              <w:t>本品是由甲氨基阿维菌素苯甲酸盐和虱螨脲复配而成的杀虫剂，具有胃毒和触杀双重作用。通过影响昆虫表皮的形成而达到杀虫作用，同时还能阻碍害虫运动神经信息传递，影响害虫进食，最终死亡。</w:t>
            </w:r>
          </w:p>
        </w:tc>
      </w:tr>
      <w:tr w14:paraId="6180926E">
        <w:tblPrEx>
          <w:tblCellMar>
            <w:top w:w="0" w:type="dxa"/>
            <w:left w:w="0" w:type="dxa"/>
            <w:bottom w:w="0" w:type="dxa"/>
            <w:right w:w="0" w:type="dxa"/>
          </w:tblCellMar>
        </w:tblPrEx>
        <w:trPr>
          <w:wBefore w:w="0" w:type="auto"/>
          <w:tblCellSpacing w:w="0" w:type="dxa"/>
        </w:trPr>
        <w:tc>
          <w:tcPr>
            <w:tcW w:w="0" w:type="auto"/>
            <w:noWrap w:val="0"/>
            <w:vAlign w:val="center"/>
          </w:tcPr>
          <w:p w14:paraId="7EF7E7BD">
            <w:r>
              <w:rPr>
                <w:rStyle w:val="10"/>
                <w:rFonts w:hint="eastAsia"/>
              </w:rPr>
              <w:t>注意事项：</w:t>
            </w:r>
            <w:r>
              <w:rPr>
                <w:rFonts w:hint="eastAsia"/>
              </w:rPr>
              <w:br w:type="textWrapping"/>
            </w:r>
            <w:r>
              <w:rPr>
                <w:rStyle w:val="11"/>
                <w:rFonts w:hint="eastAsia"/>
              </w:rPr>
              <w:t>1、本品不可与碱性类农药混合使用，避免与具有氧化性物质接触或混合。 2、本品对蜜蜂、鱼类等水生生物、家蚕有毒，（周围）开花植物花期、蚕室和桑园附近禁用，施药期间应避免对周围蜂群的影响。赤眼蜂等天敌放飞区禁用。远离水产养殖区、河塘施药，禁止在河塘等水域中清洗施药器具。 3、本品对眼睛有刺激性，施用时注意安全防护，穿（戴）长衣、长裤、帽子、口罩、手套、鞋子等。严格按照农药安全使用规则操作，避免接触皮肤、眼睛和污染衣物，避免吸入药滴，勿在施药现场抽烟和饮食。 施药后应立即清洗，并更换工作服。 4、用过的容器应妥善处理，不可作它用，也不可随意丢弃。 5、儿童、孕妇及哺乳期妇女避免接触本品。</w:t>
            </w:r>
          </w:p>
        </w:tc>
      </w:tr>
      <w:tr w14:paraId="3B68509A">
        <w:tblPrEx>
          <w:tblCellMar>
            <w:top w:w="0" w:type="dxa"/>
            <w:left w:w="0" w:type="dxa"/>
            <w:bottom w:w="0" w:type="dxa"/>
            <w:right w:w="0" w:type="dxa"/>
          </w:tblCellMar>
        </w:tblPrEx>
        <w:trPr>
          <w:wBefore w:w="0" w:type="auto"/>
          <w:tblCellSpacing w:w="0" w:type="dxa"/>
        </w:trPr>
        <w:tc>
          <w:tcPr>
            <w:tcW w:w="0" w:type="auto"/>
            <w:noWrap w:val="0"/>
            <w:vAlign w:val="center"/>
          </w:tcPr>
          <w:p w14:paraId="59F440A9">
            <w:r>
              <w:rPr>
                <w:rStyle w:val="10"/>
                <w:rFonts w:hint="eastAsia"/>
              </w:rPr>
              <w:t>中毒急救措施：</w:t>
            </w:r>
            <w:r>
              <w:rPr>
                <w:rFonts w:hint="eastAsia"/>
              </w:rPr>
              <w:br w:type="textWrapping"/>
            </w:r>
            <w:r>
              <w:rPr>
                <w:rStyle w:val="11"/>
                <w:rFonts w:hint="eastAsia"/>
              </w:rPr>
              <w:t xml:space="preserve">症状：早期症状为瞳孔放大，行动失调，肌肉颤抖，严重时导致呕吐。措施：1、吸入：将患者移至新鲜空气处，请医生诊治。 2、眼睛接触：分开眼睑，用大量清水冲洗眼至少15分钟，再请医生诊治。 3、皮肤接触：脱去污染的衣物，立即用清水冲洗污染的皮肤至少20分钟，再用肥皂冲洗干净，将药物对皮肤的影响降到最低。 4、口服：立即携带标签，送医就诊。紧急措施：立即引吐并给患者服用吐根糖浆或黄麻素，但勿给昏迷患者催吐或灌任何东西。无特殊解毒剂，对症治疗。 </w:t>
            </w:r>
          </w:p>
        </w:tc>
      </w:tr>
      <w:tr w14:paraId="12E88259">
        <w:tblPrEx>
          <w:tblCellMar>
            <w:top w:w="0" w:type="dxa"/>
            <w:left w:w="0" w:type="dxa"/>
            <w:bottom w:w="0" w:type="dxa"/>
            <w:right w:w="0" w:type="dxa"/>
          </w:tblCellMar>
        </w:tblPrEx>
        <w:trPr>
          <w:wBefore w:w="0" w:type="auto"/>
          <w:tblCellSpacing w:w="0" w:type="dxa"/>
        </w:trPr>
        <w:tc>
          <w:tcPr>
            <w:tcW w:w="0" w:type="auto"/>
            <w:noWrap w:val="0"/>
            <w:vAlign w:val="center"/>
          </w:tcPr>
          <w:p w14:paraId="26FDE832">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本品应贮存在干燥、阴凉、通风、防雨处，远离火源或热源。置于儿童触及不到之处，并加锁。勿与食品、饮料、饲料和粮食等其他商品同贮同运。</w:t>
            </w:r>
          </w:p>
        </w:tc>
      </w:tr>
      <w:tr w14:paraId="1E367430">
        <w:tblPrEx>
          <w:tblCellMar>
            <w:top w:w="0" w:type="dxa"/>
            <w:left w:w="0" w:type="dxa"/>
            <w:bottom w:w="0" w:type="dxa"/>
            <w:right w:w="0" w:type="dxa"/>
          </w:tblCellMar>
        </w:tblPrEx>
        <w:trPr>
          <w:wBefore w:w="0" w:type="auto"/>
          <w:tblCellSpacing w:w="0" w:type="dxa"/>
        </w:trPr>
        <w:tc>
          <w:tcPr>
            <w:tcW w:w="0" w:type="auto"/>
            <w:noWrap w:val="0"/>
            <w:vAlign w:val="center"/>
          </w:tcPr>
          <w:p w14:paraId="232A6333">
            <w:r>
              <w:rPr>
                <w:rStyle w:val="10"/>
                <w:rFonts w:hint="eastAsia"/>
              </w:rPr>
              <w:t>质量保证期：</w:t>
            </w:r>
            <w:r>
              <w:rPr>
                <w:rStyle w:val="11"/>
                <w:rFonts w:hint="eastAsia"/>
              </w:rPr>
              <w:t>2年</w:t>
            </w:r>
          </w:p>
        </w:tc>
      </w:tr>
      <w:tr w14:paraId="227F6DBF">
        <w:tblPrEx>
          <w:tblCellMar>
            <w:top w:w="0" w:type="dxa"/>
            <w:left w:w="0" w:type="dxa"/>
            <w:bottom w:w="0" w:type="dxa"/>
            <w:right w:w="0" w:type="dxa"/>
          </w:tblCellMar>
        </w:tblPrEx>
        <w:trPr>
          <w:wBefore w:w="0" w:type="auto"/>
          <w:tblCellSpacing w:w="0" w:type="dxa"/>
        </w:trPr>
        <w:tc>
          <w:tcPr>
            <w:tcW w:w="0" w:type="auto"/>
            <w:noWrap w:val="0"/>
            <w:vAlign w:val="center"/>
          </w:tcPr>
          <w:p w14:paraId="2338ECF5">
            <w:r>
              <w:rPr>
                <w:rStyle w:val="10"/>
                <w:rFonts w:hint="eastAsia"/>
              </w:rPr>
              <w:t>备注：</w:t>
            </w:r>
            <w:r>
              <w:rPr>
                <w:rFonts w:hint="eastAsia"/>
              </w:rPr>
              <w:br w:type="textWrapping"/>
            </w:r>
            <w:r>
              <w:rPr>
                <w:rStyle w:val="11"/>
                <w:rFonts w:hint="eastAsia"/>
              </w:rPr>
              <w:t>甲氨基阿维菌素苯甲酸盐3%。</w:t>
            </w:r>
          </w:p>
        </w:tc>
      </w:tr>
    </w:tbl>
    <w:p w14:paraId="21BA32F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F79C860">
        <w:tblPrEx>
          <w:tblCellMar>
            <w:top w:w="0" w:type="dxa"/>
            <w:left w:w="0" w:type="dxa"/>
            <w:bottom w:w="0" w:type="dxa"/>
            <w:right w:w="0" w:type="dxa"/>
          </w:tblCellMar>
        </w:tblPrEx>
        <w:trPr>
          <w:wBefore w:w="0" w:type="auto"/>
          <w:tblCellSpacing w:w="0" w:type="dxa"/>
        </w:trPr>
        <w:tc>
          <w:tcPr>
            <w:tcW w:w="0" w:type="auto"/>
            <w:noWrap w:val="0"/>
            <w:vAlign w:val="center"/>
          </w:tcPr>
          <w:p w14:paraId="3EC32392">
            <w:r>
              <w:rPr>
                <w:rStyle w:val="10"/>
                <w:rFonts w:hint="eastAsia"/>
              </w:rPr>
              <w:t>登记证号：</w:t>
            </w:r>
            <w:r>
              <w:rPr>
                <w:rFonts w:hint="eastAsia"/>
              </w:rPr>
              <w:t>PD20211782</w:t>
            </w:r>
          </w:p>
        </w:tc>
      </w:tr>
      <w:tr w14:paraId="00B8B1CB">
        <w:tblPrEx>
          <w:tblCellMar>
            <w:top w:w="0" w:type="dxa"/>
            <w:left w:w="0" w:type="dxa"/>
            <w:bottom w:w="0" w:type="dxa"/>
            <w:right w:w="0" w:type="dxa"/>
          </w:tblCellMar>
        </w:tblPrEx>
        <w:trPr>
          <w:wBefore w:w="0" w:type="auto"/>
          <w:tblCellSpacing w:w="0" w:type="dxa"/>
        </w:trPr>
        <w:tc>
          <w:tcPr>
            <w:tcW w:w="0" w:type="auto"/>
            <w:noWrap w:val="0"/>
            <w:vAlign w:val="center"/>
          </w:tcPr>
          <w:p w14:paraId="3C8E09F0">
            <w:r>
              <w:rPr>
                <w:rStyle w:val="10"/>
                <w:rFonts w:hint="eastAsia"/>
              </w:rPr>
              <w:t>登记证持有人：</w:t>
            </w:r>
            <w:r>
              <w:rPr>
                <w:rFonts w:hint="eastAsia"/>
              </w:rPr>
              <w:t>山东曹达化工有限公司</w:t>
            </w:r>
          </w:p>
        </w:tc>
      </w:tr>
      <w:tr w14:paraId="65F2A343">
        <w:tblPrEx>
          <w:tblCellMar>
            <w:top w:w="0" w:type="dxa"/>
            <w:left w:w="0" w:type="dxa"/>
            <w:bottom w:w="0" w:type="dxa"/>
            <w:right w:w="0" w:type="dxa"/>
          </w:tblCellMar>
        </w:tblPrEx>
        <w:trPr>
          <w:wBefore w:w="0" w:type="auto"/>
          <w:tblCellSpacing w:w="0" w:type="dxa"/>
        </w:trPr>
        <w:tc>
          <w:tcPr>
            <w:tcW w:w="0" w:type="auto"/>
            <w:noWrap w:val="0"/>
            <w:vAlign w:val="center"/>
          </w:tcPr>
          <w:p w14:paraId="47E09450">
            <w:r>
              <w:rPr>
                <w:rStyle w:val="10"/>
                <w:rFonts w:hint="eastAsia"/>
              </w:rPr>
              <w:t>农药名称：</w:t>
            </w:r>
            <w:r>
              <w:rPr>
                <w:rFonts w:hint="eastAsia"/>
              </w:rPr>
              <w:t>联苯·乙螨唑</w:t>
            </w:r>
          </w:p>
        </w:tc>
      </w:tr>
      <w:tr w14:paraId="7070B07E">
        <w:tblPrEx>
          <w:tblCellMar>
            <w:top w:w="0" w:type="dxa"/>
            <w:left w:w="0" w:type="dxa"/>
            <w:bottom w:w="0" w:type="dxa"/>
            <w:right w:w="0" w:type="dxa"/>
          </w:tblCellMar>
        </w:tblPrEx>
        <w:trPr>
          <w:wBefore w:w="0" w:type="auto"/>
          <w:tblCellSpacing w:w="0" w:type="dxa"/>
        </w:trPr>
        <w:tc>
          <w:tcPr>
            <w:tcW w:w="0" w:type="auto"/>
            <w:noWrap w:val="0"/>
            <w:vAlign w:val="center"/>
          </w:tcPr>
          <w:p w14:paraId="683EF0DC">
            <w:r>
              <w:rPr>
                <w:rStyle w:val="10"/>
                <w:rFonts w:hint="eastAsia"/>
              </w:rPr>
              <w:t>剂型：</w:t>
            </w:r>
            <w:r>
              <w:rPr>
                <w:rFonts w:hint="eastAsia"/>
              </w:rPr>
              <w:t>悬浮剂</w:t>
            </w:r>
          </w:p>
        </w:tc>
      </w:tr>
      <w:tr w14:paraId="4342101E">
        <w:tblPrEx>
          <w:tblCellMar>
            <w:top w:w="0" w:type="dxa"/>
            <w:left w:w="0" w:type="dxa"/>
            <w:bottom w:w="0" w:type="dxa"/>
            <w:right w:w="0" w:type="dxa"/>
          </w:tblCellMar>
        </w:tblPrEx>
        <w:trPr>
          <w:wBefore w:w="0" w:type="auto"/>
          <w:tblCellSpacing w:w="0" w:type="dxa"/>
        </w:trPr>
        <w:tc>
          <w:tcPr>
            <w:tcW w:w="0" w:type="auto"/>
            <w:noWrap w:val="0"/>
            <w:vAlign w:val="center"/>
          </w:tcPr>
          <w:p w14:paraId="3C29CBA9">
            <w:r>
              <w:rPr>
                <w:rStyle w:val="10"/>
                <w:rFonts w:hint="eastAsia"/>
              </w:rPr>
              <w:t>毒性及其标识：</w:t>
            </w:r>
            <w:r>
              <w:rPr>
                <w:rFonts w:hint="eastAsia"/>
              </w:rPr>
              <w:t xml:space="preserve"> 微毒 </w:t>
            </w:r>
          </w:p>
        </w:tc>
      </w:tr>
      <w:tr w14:paraId="37CD840B">
        <w:tblPrEx>
          <w:tblCellMar>
            <w:top w:w="0" w:type="dxa"/>
            <w:left w:w="0" w:type="dxa"/>
            <w:bottom w:w="0" w:type="dxa"/>
            <w:right w:w="0" w:type="dxa"/>
          </w:tblCellMar>
        </w:tblPrEx>
        <w:trPr>
          <w:wBefore w:w="0" w:type="auto"/>
          <w:tblCellSpacing w:w="0" w:type="dxa"/>
        </w:trPr>
        <w:tc>
          <w:tcPr>
            <w:tcW w:w="0" w:type="auto"/>
            <w:noWrap w:val="0"/>
            <w:vAlign w:val="center"/>
          </w:tcPr>
          <w:p w14:paraId="6C3CBE9B">
            <w:r>
              <w:rPr>
                <w:rStyle w:val="10"/>
                <w:rFonts w:hint="eastAsia"/>
              </w:rPr>
              <w:t>总有效成分含量：</w:t>
            </w:r>
            <w:r>
              <w:rPr>
                <w:rFonts w:hint="eastAsia"/>
              </w:rPr>
              <w:t>45%</w:t>
            </w:r>
          </w:p>
        </w:tc>
      </w:tr>
      <w:tr w14:paraId="79F940FF">
        <w:tblPrEx>
          <w:tblCellMar>
            <w:top w:w="0" w:type="dxa"/>
            <w:left w:w="0" w:type="dxa"/>
            <w:bottom w:w="0" w:type="dxa"/>
            <w:right w:w="0" w:type="dxa"/>
          </w:tblCellMar>
        </w:tblPrEx>
        <w:trPr>
          <w:wBefore w:w="0" w:type="auto"/>
          <w:tblCellSpacing w:w="0" w:type="dxa"/>
        </w:trPr>
        <w:tc>
          <w:tcPr>
            <w:tcW w:w="0" w:type="auto"/>
            <w:noWrap w:val="0"/>
            <w:vAlign w:val="center"/>
          </w:tcPr>
          <w:p w14:paraId="2B006853">
            <w:r>
              <w:rPr>
                <w:rFonts w:hint="eastAsia"/>
              </w:rPr>
              <w:t xml:space="preserve">有效成分及其含量： </w:t>
            </w:r>
          </w:p>
          <w:p w14:paraId="14249805">
            <w:r>
              <w:rPr>
                <w:rFonts w:hint="eastAsia"/>
              </w:rPr>
              <w:t xml:space="preserve">    乙螨唑15%    联苯肼酯30%    </w:t>
            </w:r>
          </w:p>
        </w:tc>
      </w:tr>
      <w:tr w14:paraId="21C301B3">
        <w:tblPrEx>
          <w:tblCellMar>
            <w:top w:w="0" w:type="dxa"/>
            <w:left w:w="0" w:type="dxa"/>
            <w:bottom w:w="0" w:type="dxa"/>
            <w:right w:w="0" w:type="dxa"/>
          </w:tblCellMar>
        </w:tblPrEx>
        <w:trPr>
          <w:wBefore w:w="0" w:type="auto"/>
          <w:tblCellSpacing w:w="0" w:type="dxa"/>
        </w:trPr>
        <w:tc>
          <w:tcPr>
            <w:tcW w:w="0" w:type="auto"/>
            <w:noWrap w:val="0"/>
            <w:vAlign w:val="center"/>
          </w:tcPr>
          <w:p w14:paraId="3707B9B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F5206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868A7A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AB7657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EF2999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E9F31C">
                  <w:r>
                    <w:rPr>
                      <w:rStyle w:val="11"/>
                      <w:rFonts w:hint="eastAsia"/>
                    </w:rPr>
                    <w:t>施用方式</w:t>
                  </w:r>
                </w:p>
              </w:tc>
            </w:tr>
            <w:tr w14:paraId="753547E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E8FE20">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4871DA">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792963">
                  <w:r>
                    <w:rPr>
                      <w:rStyle w:val="11"/>
                      <w:rFonts w:hint="eastAsia"/>
                    </w:rPr>
                    <w:t>8000-12000倍液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E0EEB6">
                  <w:r>
                    <w:rPr>
                      <w:rStyle w:val="11"/>
                      <w:rFonts w:hint="eastAsia"/>
                    </w:rPr>
                    <w:t>喷雾</w:t>
                  </w:r>
                </w:p>
              </w:tc>
            </w:tr>
          </w:tbl>
          <w:p w14:paraId="4984E1F9">
            <w:pPr>
              <w:rPr>
                <w:rFonts w:ascii="Times New Roman" w:hAnsi="Times New Roman" w:cs="Times New Roman"/>
                <w:sz w:val="20"/>
                <w:szCs w:val="20"/>
              </w:rPr>
            </w:pPr>
          </w:p>
        </w:tc>
      </w:tr>
      <w:tr w14:paraId="55C0AE6A">
        <w:tblPrEx>
          <w:tblCellMar>
            <w:top w:w="0" w:type="dxa"/>
            <w:left w:w="0" w:type="dxa"/>
            <w:bottom w:w="0" w:type="dxa"/>
            <w:right w:w="0" w:type="dxa"/>
          </w:tblCellMar>
        </w:tblPrEx>
        <w:trPr>
          <w:wBefore w:w="0" w:type="auto"/>
          <w:tblCellSpacing w:w="0" w:type="dxa"/>
        </w:trPr>
        <w:tc>
          <w:tcPr>
            <w:tcW w:w="0" w:type="auto"/>
            <w:noWrap w:val="0"/>
            <w:vAlign w:val="center"/>
          </w:tcPr>
          <w:p w14:paraId="3A3BAB29">
            <w:r>
              <w:rPr>
                <w:rStyle w:val="10"/>
                <w:rFonts w:hint="eastAsia"/>
              </w:rPr>
              <w:t>使用技术要求:</w:t>
            </w:r>
            <w:r>
              <w:rPr>
                <w:rFonts w:hint="eastAsia"/>
              </w:rPr>
              <w:br w:type="textWrapping"/>
            </w:r>
            <w:r>
              <w:rPr>
                <w:rStyle w:val="11"/>
                <w:rFonts w:hint="eastAsia"/>
              </w:rPr>
              <w:t>1.于柑橘树红蜘蛛为害始盛期茎叶喷雾施药。本品在柑橘上安全间隔期21天，每季做多使用1次。2. 大风天或预计一小时内降雨，请勿施药。</w:t>
            </w:r>
          </w:p>
        </w:tc>
      </w:tr>
      <w:tr w14:paraId="048915E0">
        <w:tblPrEx>
          <w:tblCellMar>
            <w:top w:w="0" w:type="dxa"/>
            <w:left w:w="0" w:type="dxa"/>
            <w:bottom w:w="0" w:type="dxa"/>
            <w:right w:w="0" w:type="dxa"/>
          </w:tblCellMar>
        </w:tblPrEx>
        <w:trPr>
          <w:wBefore w:w="0" w:type="auto"/>
          <w:tblCellSpacing w:w="0" w:type="dxa"/>
        </w:trPr>
        <w:tc>
          <w:tcPr>
            <w:tcW w:w="0" w:type="auto"/>
            <w:noWrap w:val="0"/>
            <w:vAlign w:val="center"/>
          </w:tcPr>
          <w:p w14:paraId="505C14E5">
            <w:r>
              <w:rPr>
                <w:rStyle w:val="10"/>
                <w:rFonts w:hint="eastAsia"/>
              </w:rPr>
              <w:t>产品性能:</w:t>
            </w:r>
            <w:r>
              <w:rPr>
                <w:rFonts w:hint="eastAsia"/>
              </w:rPr>
              <w:br w:type="textWrapping"/>
            </w:r>
            <w:r>
              <w:rPr>
                <w:rStyle w:val="11"/>
                <w:rFonts w:hint="eastAsia"/>
              </w:rPr>
              <w:t>联苯肼酯可抑制螨类中枢神经传导系统γ-氨基丁酸受体，对螨的各个生活阶段均有效，主要为触杀作用。乙螨唑属几丁质合成抑制剂，抑制害虫蜕皮，主要为触杀作用。具有杀卵效果，并对各种发育状态的幼、若螨均有良好防效，且能阻止成螨产卵。两者混配可用于防治柑橘树红蜘蛛</w:t>
            </w:r>
          </w:p>
        </w:tc>
      </w:tr>
      <w:tr w14:paraId="6BA18CF1">
        <w:tblPrEx>
          <w:tblCellMar>
            <w:top w:w="0" w:type="dxa"/>
            <w:left w:w="0" w:type="dxa"/>
            <w:bottom w:w="0" w:type="dxa"/>
            <w:right w:w="0" w:type="dxa"/>
          </w:tblCellMar>
        </w:tblPrEx>
        <w:trPr>
          <w:wBefore w:w="0" w:type="auto"/>
          <w:tblCellSpacing w:w="0" w:type="dxa"/>
        </w:trPr>
        <w:tc>
          <w:tcPr>
            <w:tcW w:w="0" w:type="auto"/>
            <w:noWrap w:val="0"/>
            <w:vAlign w:val="center"/>
          </w:tcPr>
          <w:p w14:paraId="686FDFE0">
            <w:r>
              <w:rPr>
                <w:rStyle w:val="10"/>
                <w:rFonts w:hint="eastAsia"/>
              </w:rPr>
              <w:t>注意事项：</w:t>
            </w:r>
            <w:r>
              <w:rPr>
                <w:rFonts w:hint="eastAsia"/>
              </w:rPr>
              <w:br w:type="textWrapping"/>
            </w:r>
            <w:r>
              <w:rPr>
                <w:rStyle w:val="11"/>
                <w:rFonts w:hint="eastAsia"/>
              </w:rPr>
              <w:t>1. 本品对鱼、鸟有毒，远离水产养殖区施药，禁止在河塘等水体中清洗施药器具，清洗施药器具的水也不能排入河塘等水体；在鸟类保护区附近禁用；蚕室及桑园附近禁用；瓢虫等天敌放飞区域禁用。2. 本品对眼睛有刺激性，使用时避免接触眼睛，穿戴长衣、长裤、帽子、口罩、手套等防护措施，避免皮肤接触及口鼻吸入。使用中不可吸烟、饮水及吃东西，使用后及时清洗手、脸等暴露部位皮肤并更换衣物。3. 用过的容器应妥善处理，不可做他用，也不可随意丢弃。4. 建议与作用机制不同的杀螨剂轮换使用，以延缓抗性产生。5. 禁止儿童、孕妇和哺乳期妇女接触。6. 过敏者禁用，使用中有任何不良反应请及时就医。</w:t>
            </w:r>
          </w:p>
        </w:tc>
      </w:tr>
      <w:tr w14:paraId="7B19B828">
        <w:tblPrEx>
          <w:tblCellMar>
            <w:top w:w="0" w:type="dxa"/>
            <w:left w:w="0" w:type="dxa"/>
            <w:bottom w:w="0" w:type="dxa"/>
            <w:right w:w="0" w:type="dxa"/>
          </w:tblCellMar>
        </w:tblPrEx>
        <w:trPr>
          <w:wBefore w:w="0" w:type="auto"/>
          <w:tblCellSpacing w:w="0" w:type="dxa"/>
        </w:trPr>
        <w:tc>
          <w:tcPr>
            <w:tcW w:w="0" w:type="auto"/>
            <w:noWrap w:val="0"/>
            <w:vAlign w:val="center"/>
          </w:tcPr>
          <w:p w14:paraId="5C6FC832">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 皮肤接触：立即脱掉被污染的衣物，用软布去除沾染农药，大量清水和肥皂冲洗。眼睛接触：立即翻开眼睑，用大量清水冲洗至少15分钟，及时就医。吸入：立即离开施药现场，转移至空气流通处。误服：立即停止服用，用清水充分漱口后，立即携带农药标签到医院就诊。无专用解毒剂，对症治疗。</w:t>
            </w:r>
          </w:p>
        </w:tc>
      </w:tr>
      <w:tr w14:paraId="65BA8167">
        <w:tblPrEx>
          <w:tblCellMar>
            <w:top w:w="0" w:type="dxa"/>
            <w:left w:w="0" w:type="dxa"/>
            <w:bottom w:w="0" w:type="dxa"/>
            <w:right w:w="0" w:type="dxa"/>
          </w:tblCellMar>
        </w:tblPrEx>
        <w:trPr>
          <w:wBefore w:w="0" w:type="auto"/>
          <w:tblCellSpacing w:w="0" w:type="dxa"/>
        </w:trPr>
        <w:tc>
          <w:tcPr>
            <w:tcW w:w="0" w:type="auto"/>
            <w:noWrap w:val="0"/>
            <w:vAlign w:val="center"/>
          </w:tcPr>
          <w:p w14:paraId="26DF9C30">
            <w:r>
              <w:rPr>
                <w:rStyle w:val="10"/>
                <w:rFonts w:hint="eastAsia"/>
              </w:rPr>
              <w:t>储存和运输方法：</w:t>
            </w:r>
            <w:r>
              <w:rPr>
                <w:rFonts w:hint="eastAsia"/>
              </w:rPr>
              <w:br w:type="textWrapping"/>
            </w:r>
            <w:r>
              <w:rPr>
                <w:rStyle w:val="11"/>
                <w:rFonts w:hint="eastAsia"/>
              </w:rPr>
              <w:t>本品应贮存在干燥、阴凉、通风、防雨处，远离火源或热源，避免与氧化剂接触。置于儿童、无关人员触及不到之处，并加锁。勿与食品、饮料、饲料、粮食等同贮同运。</w:t>
            </w:r>
          </w:p>
        </w:tc>
      </w:tr>
      <w:tr w14:paraId="3B352D17">
        <w:tblPrEx>
          <w:tblCellMar>
            <w:top w:w="0" w:type="dxa"/>
            <w:left w:w="0" w:type="dxa"/>
            <w:bottom w:w="0" w:type="dxa"/>
            <w:right w:w="0" w:type="dxa"/>
          </w:tblCellMar>
        </w:tblPrEx>
        <w:trPr>
          <w:wBefore w:w="0" w:type="auto"/>
          <w:tblCellSpacing w:w="0" w:type="dxa"/>
        </w:trPr>
        <w:tc>
          <w:tcPr>
            <w:tcW w:w="0" w:type="auto"/>
            <w:noWrap w:val="0"/>
            <w:vAlign w:val="center"/>
          </w:tcPr>
          <w:p w14:paraId="58B1A26A">
            <w:r>
              <w:rPr>
                <w:rStyle w:val="10"/>
                <w:rFonts w:hint="eastAsia"/>
              </w:rPr>
              <w:t>质量保证期：</w:t>
            </w:r>
            <w:r>
              <w:rPr>
                <w:rStyle w:val="11"/>
                <w:rFonts w:hint="eastAsia"/>
              </w:rPr>
              <w:t>2年</w:t>
            </w:r>
          </w:p>
        </w:tc>
      </w:tr>
      <w:tr w14:paraId="734BEE44">
        <w:tblPrEx>
          <w:tblCellMar>
            <w:top w:w="0" w:type="dxa"/>
            <w:left w:w="0" w:type="dxa"/>
            <w:bottom w:w="0" w:type="dxa"/>
            <w:right w:w="0" w:type="dxa"/>
          </w:tblCellMar>
        </w:tblPrEx>
        <w:trPr>
          <w:wBefore w:w="0" w:type="auto"/>
          <w:tblCellSpacing w:w="0" w:type="dxa"/>
        </w:trPr>
        <w:tc>
          <w:tcPr>
            <w:tcW w:w="0" w:type="auto"/>
            <w:noWrap w:val="0"/>
            <w:vAlign w:val="center"/>
          </w:tcPr>
          <w:p w14:paraId="66CA4C52">
            <w:r>
              <w:rPr>
                <w:rStyle w:val="10"/>
                <w:rFonts w:hint="eastAsia"/>
              </w:rPr>
              <w:t>备注：</w:t>
            </w:r>
          </w:p>
        </w:tc>
      </w:tr>
    </w:tbl>
    <w:p w14:paraId="1285A98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991A031">
        <w:tblPrEx>
          <w:tblCellMar>
            <w:top w:w="0" w:type="dxa"/>
            <w:left w:w="0" w:type="dxa"/>
            <w:bottom w:w="0" w:type="dxa"/>
            <w:right w:w="0" w:type="dxa"/>
          </w:tblCellMar>
        </w:tblPrEx>
        <w:trPr>
          <w:wBefore w:w="0" w:type="auto"/>
          <w:tblCellSpacing w:w="0" w:type="dxa"/>
        </w:trPr>
        <w:tc>
          <w:tcPr>
            <w:tcW w:w="0" w:type="auto"/>
            <w:noWrap w:val="0"/>
            <w:vAlign w:val="center"/>
          </w:tcPr>
          <w:p w14:paraId="3F1DA261">
            <w:r>
              <w:rPr>
                <w:rStyle w:val="10"/>
                <w:rFonts w:hint="eastAsia"/>
              </w:rPr>
              <w:t>登记证号：</w:t>
            </w:r>
            <w:r>
              <w:rPr>
                <w:rFonts w:hint="eastAsia"/>
              </w:rPr>
              <w:t>PD20211850</w:t>
            </w:r>
          </w:p>
        </w:tc>
      </w:tr>
      <w:tr w14:paraId="46F060AB">
        <w:tblPrEx>
          <w:tblCellMar>
            <w:top w:w="0" w:type="dxa"/>
            <w:left w:w="0" w:type="dxa"/>
            <w:bottom w:w="0" w:type="dxa"/>
            <w:right w:w="0" w:type="dxa"/>
          </w:tblCellMar>
        </w:tblPrEx>
        <w:trPr>
          <w:wBefore w:w="0" w:type="auto"/>
          <w:tblCellSpacing w:w="0" w:type="dxa"/>
        </w:trPr>
        <w:tc>
          <w:tcPr>
            <w:tcW w:w="0" w:type="auto"/>
            <w:noWrap w:val="0"/>
            <w:vAlign w:val="center"/>
          </w:tcPr>
          <w:p w14:paraId="0627733C">
            <w:r>
              <w:rPr>
                <w:rStyle w:val="10"/>
                <w:rFonts w:hint="eastAsia"/>
              </w:rPr>
              <w:t>登记证持有人：</w:t>
            </w:r>
            <w:r>
              <w:rPr>
                <w:rFonts w:hint="eastAsia"/>
              </w:rPr>
              <w:t>康拓森生物科技有限公司</w:t>
            </w:r>
          </w:p>
        </w:tc>
      </w:tr>
      <w:tr w14:paraId="19E25AD5">
        <w:tblPrEx>
          <w:tblCellMar>
            <w:top w:w="0" w:type="dxa"/>
            <w:left w:w="0" w:type="dxa"/>
            <w:bottom w:w="0" w:type="dxa"/>
            <w:right w:w="0" w:type="dxa"/>
          </w:tblCellMar>
        </w:tblPrEx>
        <w:trPr>
          <w:wBefore w:w="0" w:type="auto"/>
          <w:tblCellSpacing w:w="0" w:type="dxa"/>
        </w:trPr>
        <w:tc>
          <w:tcPr>
            <w:tcW w:w="0" w:type="auto"/>
            <w:noWrap w:val="0"/>
            <w:vAlign w:val="center"/>
          </w:tcPr>
          <w:p w14:paraId="1CEB6B54">
            <w:r>
              <w:rPr>
                <w:rStyle w:val="10"/>
                <w:rFonts w:hint="eastAsia"/>
              </w:rPr>
              <w:t>农药名称：</w:t>
            </w:r>
            <w:r>
              <w:rPr>
                <w:rFonts w:hint="eastAsia"/>
              </w:rPr>
              <w:t>螺虫·噻嗪酮</w:t>
            </w:r>
          </w:p>
        </w:tc>
      </w:tr>
      <w:tr w14:paraId="3562159A">
        <w:tblPrEx>
          <w:tblCellMar>
            <w:top w:w="0" w:type="dxa"/>
            <w:left w:w="0" w:type="dxa"/>
            <w:bottom w:w="0" w:type="dxa"/>
            <w:right w:w="0" w:type="dxa"/>
          </w:tblCellMar>
        </w:tblPrEx>
        <w:trPr>
          <w:wBefore w:w="0" w:type="auto"/>
          <w:tblCellSpacing w:w="0" w:type="dxa"/>
        </w:trPr>
        <w:tc>
          <w:tcPr>
            <w:tcW w:w="0" w:type="auto"/>
            <w:noWrap w:val="0"/>
            <w:vAlign w:val="center"/>
          </w:tcPr>
          <w:p w14:paraId="28B9ABF9">
            <w:r>
              <w:rPr>
                <w:rStyle w:val="10"/>
                <w:rFonts w:hint="eastAsia"/>
              </w:rPr>
              <w:t>剂型：</w:t>
            </w:r>
            <w:r>
              <w:rPr>
                <w:rFonts w:hint="eastAsia"/>
              </w:rPr>
              <w:t>悬浮剂</w:t>
            </w:r>
          </w:p>
        </w:tc>
      </w:tr>
      <w:tr w14:paraId="064DB495">
        <w:tblPrEx>
          <w:tblCellMar>
            <w:top w:w="0" w:type="dxa"/>
            <w:left w:w="0" w:type="dxa"/>
            <w:bottom w:w="0" w:type="dxa"/>
            <w:right w:w="0" w:type="dxa"/>
          </w:tblCellMar>
        </w:tblPrEx>
        <w:trPr>
          <w:wBefore w:w="0" w:type="auto"/>
          <w:tblCellSpacing w:w="0" w:type="dxa"/>
        </w:trPr>
        <w:tc>
          <w:tcPr>
            <w:tcW w:w="0" w:type="auto"/>
            <w:noWrap w:val="0"/>
            <w:vAlign w:val="center"/>
          </w:tcPr>
          <w:p w14:paraId="1E409DED">
            <w:r>
              <w:rPr>
                <w:rStyle w:val="10"/>
                <w:rFonts w:hint="eastAsia"/>
              </w:rPr>
              <w:t>毒性及其标识：</w:t>
            </w:r>
            <w:r>
              <w:rPr>
                <w:rFonts w:hint="eastAsia"/>
              </w:rPr>
              <w:t xml:space="preserve"> </w:t>
            </w:r>
            <w:r>
              <w:rPr>
                <w:lang/>
              </w:rPr>
              <w:drawing>
                <wp:inline distT="0" distB="0" distL="114300" distR="114300">
                  <wp:extent cx="476250" cy="323850"/>
                  <wp:effectExtent l="0" t="0" r="0" b="0"/>
                  <wp:docPr id="84" name="图片 8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B74CE94">
        <w:tblPrEx>
          <w:tblCellMar>
            <w:top w:w="0" w:type="dxa"/>
            <w:left w:w="0" w:type="dxa"/>
            <w:bottom w:w="0" w:type="dxa"/>
            <w:right w:w="0" w:type="dxa"/>
          </w:tblCellMar>
        </w:tblPrEx>
        <w:trPr>
          <w:wBefore w:w="0" w:type="auto"/>
          <w:tblCellSpacing w:w="0" w:type="dxa"/>
        </w:trPr>
        <w:tc>
          <w:tcPr>
            <w:tcW w:w="0" w:type="auto"/>
            <w:noWrap w:val="0"/>
            <w:vAlign w:val="center"/>
          </w:tcPr>
          <w:p w14:paraId="2A32CC89">
            <w:r>
              <w:rPr>
                <w:rStyle w:val="10"/>
                <w:rFonts w:hint="eastAsia"/>
              </w:rPr>
              <w:t>总有效成分含量：</w:t>
            </w:r>
            <w:r>
              <w:rPr>
                <w:rFonts w:hint="eastAsia"/>
              </w:rPr>
              <w:t>33%</w:t>
            </w:r>
          </w:p>
        </w:tc>
      </w:tr>
      <w:tr w14:paraId="78CC7C55">
        <w:tblPrEx>
          <w:tblCellMar>
            <w:top w:w="0" w:type="dxa"/>
            <w:left w:w="0" w:type="dxa"/>
            <w:bottom w:w="0" w:type="dxa"/>
            <w:right w:w="0" w:type="dxa"/>
          </w:tblCellMar>
        </w:tblPrEx>
        <w:trPr>
          <w:wBefore w:w="0" w:type="auto"/>
          <w:tblCellSpacing w:w="0" w:type="dxa"/>
        </w:trPr>
        <w:tc>
          <w:tcPr>
            <w:tcW w:w="0" w:type="auto"/>
            <w:noWrap w:val="0"/>
            <w:vAlign w:val="center"/>
          </w:tcPr>
          <w:p w14:paraId="618A2B54">
            <w:r>
              <w:rPr>
                <w:rFonts w:hint="eastAsia"/>
              </w:rPr>
              <w:t xml:space="preserve">有效成分及其含量： </w:t>
            </w:r>
          </w:p>
          <w:p w14:paraId="48944281">
            <w:r>
              <w:rPr>
                <w:rFonts w:hint="eastAsia"/>
              </w:rPr>
              <w:t xml:space="preserve">    噻嗪酮22%    螺虫乙酯11%    </w:t>
            </w:r>
          </w:p>
        </w:tc>
      </w:tr>
      <w:tr w14:paraId="61B7529F">
        <w:tblPrEx>
          <w:tblCellMar>
            <w:top w:w="0" w:type="dxa"/>
            <w:left w:w="0" w:type="dxa"/>
            <w:bottom w:w="0" w:type="dxa"/>
            <w:right w:w="0" w:type="dxa"/>
          </w:tblCellMar>
        </w:tblPrEx>
        <w:trPr>
          <w:wBefore w:w="0" w:type="auto"/>
          <w:tblCellSpacing w:w="0" w:type="dxa"/>
        </w:trPr>
        <w:tc>
          <w:tcPr>
            <w:tcW w:w="0" w:type="auto"/>
            <w:noWrap w:val="0"/>
            <w:vAlign w:val="center"/>
          </w:tcPr>
          <w:p w14:paraId="304725C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FC57B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E4251D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9BFEF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06E6BE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05CEE1A">
                  <w:r>
                    <w:rPr>
                      <w:rStyle w:val="11"/>
                      <w:rFonts w:hint="eastAsia"/>
                    </w:rPr>
                    <w:t>施用方式</w:t>
                  </w:r>
                </w:p>
              </w:tc>
            </w:tr>
            <w:tr w14:paraId="617A13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8517649">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831767">
                  <w:r>
                    <w:rPr>
                      <w:rStyle w:val="11"/>
                      <w:rFonts w:hint="eastAsia"/>
                    </w:rPr>
                    <w:t>介壳虫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2BEFE2">
                  <w:r>
                    <w:rPr>
                      <w:rStyle w:val="11"/>
                      <w:rFonts w:hint="eastAsia"/>
                    </w:rPr>
                    <w:t>3000-5000倍液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F7605A">
                  <w:r>
                    <w:rPr>
                      <w:rStyle w:val="11"/>
                      <w:rFonts w:hint="eastAsia"/>
                    </w:rPr>
                    <w:t>喷雾</w:t>
                  </w:r>
                </w:p>
              </w:tc>
            </w:tr>
          </w:tbl>
          <w:p w14:paraId="2801A5B8">
            <w:pPr>
              <w:rPr>
                <w:rFonts w:ascii="Times New Roman" w:hAnsi="Times New Roman" w:cs="Times New Roman"/>
                <w:sz w:val="20"/>
                <w:szCs w:val="20"/>
              </w:rPr>
            </w:pPr>
          </w:p>
        </w:tc>
      </w:tr>
      <w:tr w14:paraId="1129E9E6">
        <w:tblPrEx>
          <w:tblCellMar>
            <w:top w:w="0" w:type="dxa"/>
            <w:left w:w="0" w:type="dxa"/>
            <w:bottom w:w="0" w:type="dxa"/>
            <w:right w:w="0" w:type="dxa"/>
          </w:tblCellMar>
        </w:tblPrEx>
        <w:trPr>
          <w:wBefore w:w="0" w:type="auto"/>
          <w:tblCellSpacing w:w="0" w:type="dxa"/>
        </w:trPr>
        <w:tc>
          <w:tcPr>
            <w:tcW w:w="0" w:type="auto"/>
            <w:noWrap w:val="0"/>
            <w:vAlign w:val="center"/>
          </w:tcPr>
          <w:p w14:paraId="3DC2E756">
            <w:r>
              <w:rPr>
                <w:rStyle w:val="10"/>
                <w:rFonts w:hint="eastAsia"/>
              </w:rPr>
              <w:t>使用技术要求:</w:t>
            </w:r>
            <w:r>
              <w:rPr>
                <w:rFonts w:hint="eastAsia"/>
              </w:rPr>
              <w:br w:type="textWrapping"/>
            </w:r>
            <w:r>
              <w:rPr>
                <w:rStyle w:val="11"/>
                <w:rFonts w:hint="eastAsia"/>
              </w:rPr>
              <w:t>1.于柑橘树介壳虫若虫发生始盛期施药，对全株叶片、枝干常规均匀喷雾。2.在柑橘树上的安全间隔期为20天，每季作物最多使用1次。3.大风天或预计1小时内下雨，请勿施药。</w:t>
            </w:r>
          </w:p>
        </w:tc>
      </w:tr>
      <w:tr w14:paraId="138C4327">
        <w:tblPrEx>
          <w:tblCellMar>
            <w:top w:w="0" w:type="dxa"/>
            <w:left w:w="0" w:type="dxa"/>
            <w:bottom w:w="0" w:type="dxa"/>
            <w:right w:w="0" w:type="dxa"/>
          </w:tblCellMar>
        </w:tblPrEx>
        <w:trPr>
          <w:wBefore w:w="0" w:type="auto"/>
          <w:tblCellSpacing w:w="0" w:type="dxa"/>
        </w:trPr>
        <w:tc>
          <w:tcPr>
            <w:tcW w:w="0" w:type="auto"/>
            <w:noWrap w:val="0"/>
            <w:vAlign w:val="center"/>
          </w:tcPr>
          <w:p w14:paraId="1C2C5265">
            <w:r>
              <w:rPr>
                <w:rStyle w:val="10"/>
                <w:rFonts w:hint="eastAsia"/>
              </w:rPr>
              <w:t>产品性能:</w:t>
            </w:r>
            <w:r>
              <w:rPr>
                <w:rFonts w:hint="eastAsia"/>
              </w:rPr>
              <w:br w:type="textWrapping"/>
            </w:r>
            <w:r>
              <w:rPr>
                <w:rStyle w:val="11"/>
                <w:rFonts w:hint="eastAsia"/>
              </w:rPr>
              <w:t xml:space="preserve">本品是由新型季酮酸类杀虫剂和噻二嗪类杀虫剂复配而成，其中螺虫乙酯通过干扰昆虫的脂肪生物合成导致害虫死亡，具有双向内吸传导性能，可以保护新生茎、叶和根部，防止害虫的卵和幼虫生长。噻嗪酮杀可抑制昆虫几丁质合成和干扰新陈代谢，导致若虫蜕皮畸形或翅畸形而死亡，触杀作用强。二者复配可有效防治柑橘树介壳虫的发生。 </w:t>
            </w:r>
          </w:p>
        </w:tc>
      </w:tr>
      <w:tr w14:paraId="7087001F">
        <w:tblPrEx>
          <w:tblCellMar>
            <w:top w:w="0" w:type="dxa"/>
            <w:left w:w="0" w:type="dxa"/>
            <w:bottom w:w="0" w:type="dxa"/>
            <w:right w:w="0" w:type="dxa"/>
          </w:tblCellMar>
        </w:tblPrEx>
        <w:trPr>
          <w:wBefore w:w="0" w:type="auto"/>
          <w:tblCellSpacing w:w="0" w:type="dxa"/>
        </w:trPr>
        <w:tc>
          <w:tcPr>
            <w:tcW w:w="0" w:type="auto"/>
            <w:noWrap w:val="0"/>
            <w:vAlign w:val="center"/>
          </w:tcPr>
          <w:p w14:paraId="28F7EDFE">
            <w:r>
              <w:rPr>
                <w:rStyle w:val="10"/>
                <w:rFonts w:hint="eastAsia"/>
              </w:rPr>
              <w:t>注意事项：</w:t>
            </w:r>
            <w:r>
              <w:rPr>
                <w:rFonts w:hint="eastAsia"/>
              </w:rPr>
              <w:br w:type="textWrapping"/>
            </w:r>
            <w:r>
              <w:rPr>
                <w:rStyle w:val="11"/>
                <w:rFonts w:hint="eastAsia"/>
              </w:rPr>
              <w:t>1.使用本品时应穿长衣长裤、戴帽子、手套、护目镜、口罩等，避免皮肤接触药液；施药期间不可吃东西和饮水等，避免吸入或误服药液。施药后用清水及肥皂彻底清洗脸部及其它皮肤裸露部位。3.远离水产养殖区、河塘等水体施药；禁止在河塘等水体中清洗施药器具；蚕室及桑园附近禁用；赤眼蜂等天敌放飞区域禁用。4.废弃物要妥善处理不能随意丢弃，也不能做他用，并按照当地的有关规定处置所有的废弃物。5.避免孕妇、哺乳期妇女及过敏者接触。6.本品不可与呈碱性的农药等物质混合使用。</w:t>
            </w:r>
          </w:p>
        </w:tc>
      </w:tr>
      <w:tr w14:paraId="6520CAF2">
        <w:tblPrEx>
          <w:tblCellMar>
            <w:top w:w="0" w:type="dxa"/>
            <w:left w:w="0" w:type="dxa"/>
            <w:bottom w:w="0" w:type="dxa"/>
            <w:right w:w="0" w:type="dxa"/>
          </w:tblCellMar>
        </w:tblPrEx>
        <w:trPr>
          <w:wBefore w:w="0" w:type="auto"/>
          <w:tblCellSpacing w:w="0" w:type="dxa"/>
        </w:trPr>
        <w:tc>
          <w:tcPr>
            <w:tcW w:w="0" w:type="auto"/>
            <w:noWrap w:val="0"/>
            <w:vAlign w:val="center"/>
          </w:tcPr>
          <w:p w14:paraId="66E90F34">
            <w:r>
              <w:rPr>
                <w:rStyle w:val="10"/>
                <w:rFonts w:hint="eastAsia"/>
              </w:rPr>
              <w:t>中毒急救措施：</w:t>
            </w:r>
            <w:r>
              <w:rPr>
                <w:rFonts w:hint="eastAsia"/>
              </w:rPr>
              <w:br w:type="textWrapping"/>
            </w:r>
            <w:r>
              <w:rPr>
                <w:rStyle w:val="11"/>
                <w:rFonts w:hint="eastAsia"/>
              </w:rPr>
              <w:t>1.对皮肤、眼睛无刺激症状，无中毒报道。急救治疗：2.不慎药液接触皮肤，立即脱掉被污染的衣物，用肥皂和清水彻底清洗皮肤表面。3.不慎药液接触眼睛，立即将眼睑翻开，用清水彻底冲洗至少15分钟，并请医生诊治。4.不慎吸入：立即将吸入者转移到空气新鲜处，并请医生诊治。 5.不慎误服，应立即催吐、洗胃、清洗口腔，还应携带此标签尽快去医院就诊，对症治疗（去除污物，注意生命体征），无特效解毒剂。</w:t>
            </w:r>
          </w:p>
        </w:tc>
      </w:tr>
      <w:tr w14:paraId="3295B07E">
        <w:tblPrEx>
          <w:tblCellMar>
            <w:top w:w="0" w:type="dxa"/>
            <w:left w:w="0" w:type="dxa"/>
            <w:bottom w:w="0" w:type="dxa"/>
            <w:right w:w="0" w:type="dxa"/>
          </w:tblCellMar>
        </w:tblPrEx>
        <w:trPr>
          <w:wBefore w:w="0" w:type="auto"/>
          <w:tblCellSpacing w:w="0" w:type="dxa"/>
        </w:trPr>
        <w:tc>
          <w:tcPr>
            <w:tcW w:w="0" w:type="auto"/>
            <w:noWrap w:val="0"/>
            <w:vAlign w:val="center"/>
          </w:tcPr>
          <w:p w14:paraId="07426ADF">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本品应贮存在干燥、阴凉、通风、防雨处，远离火源或热源。置于儿童触及不到之处，并加锁。不能与种子、食品、饮料、饲料等同贮同运。运输时应注意防水防潮，避免雨淋；搬运时轻搬轻放，不可倒置。</w:t>
            </w:r>
          </w:p>
        </w:tc>
      </w:tr>
      <w:tr w14:paraId="0DA395C2">
        <w:tblPrEx>
          <w:tblCellMar>
            <w:top w:w="0" w:type="dxa"/>
            <w:left w:w="0" w:type="dxa"/>
            <w:bottom w:w="0" w:type="dxa"/>
            <w:right w:w="0" w:type="dxa"/>
          </w:tblCellMar>
        </w:tblPrEx>
        <w:trPr>
          <w:wBefore w:w="0" w:type="auto"/>
          <w:tblCellSpacing w:w="0" w:type="dxa"/>
        </w:trPr>
        <w:tc>
          <w:tcPr>
            <w:tcW w:w="0" w:type="auto"/>
            <w:noWrap w:val="0"/>
            <w:vAlign w:val="center"/>
          </w:tcPr>
          <w:p w14:paraId="51108BAD">
            <w:r>
              <w:rPr>
                <w:rStyle w:val="10"/>
                <w:rFonts w:hint="eastAsia"/>
              </w:rPr>
              <w:t>质量保证期：</w:t>
            </w:r>
            <w:r>
              <w:rPr>
                <w:rStyle w:val="11"/>
                <w:rFonts w:hint="eastAsia"/>
              </w:rPr>
              <w:t>2年</w:t>
            </w:r>
          </w:p>
        </w:tc>
      </w:tr>
      <w:tr w14:paraId="15BC57C4">
        <w:tblPrEx>
          <w:tblCellMar>
            <w:top w:w="0" w:type="dxa"/>
            <w:left w:w="0" w:type="dxa"/>
            <w:bottom w:w="0" w:type="dxa"/>
            <w:right w:w="0" w:type="dxa"/>
          </w:tblCellMar>
        </w:tblPrEx>
        <w:trPr>
          <w:wBefore w:w="0" w:type="auto"/>
          <w:tblCellSpacing w:w="0" w:type="dxa"/>
        </w:trPr>
        <w:tc>
          <w:tcPr>
            <w:tcW w:w="0" w:type="auto"/>
            <w:noWrap w:val="0"/>
            <w:vAlign w:val="center"/>
          </w:tcPr>
          <w:p w14:paraId="1600B105">
            <w:r>
              <w:rPr>
                <w:rStyle w:val="10"/>
                <w:rFonts w:hint="eastAsia"/>
              </w:rPr>
              <w:t>备注：</w:t>
            </w:r>
          </w:p>
        </w:tc>
      </w:tr>
    </w:tbl>
    <w:p w14:paraId="10ECEAD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5827215">
        <w:tblPrEx>
          <w:tblCellMar>
            <w:top w:w="0" w:type="dxa"/>
            <w:left w:w="0" w:type="dxa"/>
            <w:bottom w:w="0" w:type="dxa"/>
            <w:right w:w="0" w:type="dxa"/>
          </w:tblCellMar>
        </w:tblPrEx>
        <w:trPr>
          <w:wBefore w:w="0" w:type="auto"/>
          <w:tblCellSpacing w:w="0" w:type="dxa"/>
        </w:trPr>
        <w:tc>
          <w:tcPr>
            <w:tcW w:w="0" w:type="auto"/>
            <w:noWrap w:val="0"/>
            <w:vAlign w:val="center"/>
          </w:tcPr>
          <w:p w14:paraId="0B940BFE">
            <w:r>
              <w:rPr>
                <w:rStyle w:val="10"/>
                <w:rFonts w:hint="eastAsia"/>
              </w:rPr>
              <w:t>登记证号：</w:t>
            </w:r>
            <w:r>
              <w:rPr>
                <w:rFonts w:hint="eastAsia"/>
              </w:rPr>
              <w:t>PD20211748</w:t>
            </w:r>
          </w:p>
        </w:tc>
      </w:tr>
      <w:tr w14:paraId="4E341EB2">
        <w:tblPrEx>
          <w:tblCellMar>
            <w:top w:w="0" w:type="dxa"/>
            <w:left w:w="0" w:type="dxa"/>
            <w:bottom w:w="0" w:type="dxa"/>
            <w:right w:w="0" w:type="dxa"/>
          </w:tblCellMar>
        </w:tblPrEx>
        <w:trPr>
          <w:wBefore w:w="0" w:type="auto"/>
          <w:tblCellSpacing w:w="0" w:type="dxa"/>
        </w:trPr>
        <w:tc>
          <w:tcPr>
            <w:tcW w:w="0" w:type="auto"/>
            <w:noWrap w:val="0"/>
            <w:vAlign w:val="center"/>
          </w:tcPr>
          <w:p w14:paraId="52C1A755">
            <w:r>
              <w:rPr>
                <w:rStyle w:val="10"/>
                <w:rFonts w:hint="eastAsia"/>
              </w:rPr>
              <w:t>登记证持有人：</w:t>
            </w:r>
            <w:r>
              <w:rPr>
                <w:rFonts w:hint="eastAsia"/>
              </w:rPr>
              <w:t>安徽华星化工有限公司</w:t>
            </w:r>
          </w:p>
        </w:tc>
      </w:tr>
      <w:tr w14:paraId="1AF5031C">
        <w:tblPrEx>
          <w:tblCellMar>
            <w:top w:w="0" w:type="dxa"/>
            <w:left w:w="0" w:type="dxa"/>
            <w:bottom w:w="0" w:type="dxa"/>
            <w:right w:w="0" w:type="dxa"/>
          </w:tblCellMar>
        </w:tblPrEx>
        <w:trPr>
          <w:wBefore w:w="0" w:type="auto"/>
          <w:tblCellSpacing w:w="0" w:type="dxa"/>
        </w:trPr>
        <w:tc>
          <w:tcPr>
            <w:tcW w:w="0" w:type="auto"/>
            <w:noWrap w:val="0"/>
            <w:vAlign w:val="center"/>
          </w:tcPr>
          <w:p w14:paraId="01DB03EA">
            <w:r>
              <w:rPr>
                <w:rStyle w:val="10"/>
                <w:rFonts w:hint="eastAsia"/>
              </w:rPr>
              <w:t>农药名称：</w:t>
            </w:r>
            <w:r>
              <w:rPr>
                <w:rFonts w:hint="eastAsia"/>
              </w:rPr>
              <w:t>氯氟·噻虫胺</w:t>
            </w:r>
          </w:p>
        </w:tc>
      </w:tr>
      <w:tr w14:paraId="071DAC33">
        <w:tblPrEx>
          <w:tblCellMar>
            <w:top w:w="0" w:type="dxa"/>
            <w:left w:w="0" w:type="dxa"/>
            <w:bottom w:w="0" w:type="dxa"/>
            <w:right w:w="0" w:type="dxa"/>
          </w:tblCellMar>
        </w:tblPrEx>
        <w:trPr>
          <w:wBefore w:w="0" w:type="auto"/>
          <w:tblCellSpacing w:w="0" w:type="dxa"/>
        </w:trPr>
        <w:tc>
          <w:tcPr>
            <w:tcW w:w="0" w:type="auto"/>
            <w:noWrap w:val="0"/>
            <w:vAlign w:val="center"/>
          </w:tcPr>
          <w:p w14:paraId="022EFDE2">
            <w:r>
              <w:rPr>
                <w:rStyle w:val="10"/>
                <w:rFonts w:hint="eastAsia"/>
              </w:rPr>
              <w:t>剂型：</w:t>
            </w:r>
            <w:r>
              <w:rPr>
                <w:rFonts w:hint="eastAsia"/>
              </w:rPr>
              <w:t>颗粒剂</w:t>
            </w:r>
          </w:p>
        </w:tc>
      </w:tr>
      <w:tr w14:paraId="76B5624A">
        <w:tblPrEx>
          <w:tblCellMar>
            <w:top w:w="0" w:type="dxa"/>
            <w:left w:w="0" w:type="dxa"/>
            <w:bottom w:w="0" w:type="dxa"/>
            <w:right w:w="0" w:type="dxa"/>
          </w:tblCellMar>
        </w:tblPrEx>
        <w:trPr>
          <w:wBefore w:w="0" w:type="auto"/>
          <w:tblCellSpacing w:w="0" w:type="dxa"/>
        </w:trPr>
        <w:tc>
          <w:tcPr>
            <w:tcW w:w="0" w:type="auto"/>
            <w:noWrap w:val="0"/>
            <w:vAlign w:val="center"/>
          </w:tcPr>
          <w:p w14:paraId="2CC8A82F">
            <w:r>
              <w:rPr>
                <w:rStyle w:val="10"/>
                <w:rFonts w:hint="eastAsia"/>
              </w:rPr>
              <w:t>毒性及其标识：</w:t>
            </w:r>
            <w:r>
              <w:rPr>
                <w:rFonts w:hint="eastAsia"/>
              </w:rPr>
              <w:t xml:space="preserve"> 微毒 </w:t>
            </w:r>
          </w:p>
        </w:tc>
      </w:tr>
      <w:tr w14:paraId="3B97861D">
        <w:tblPrEx>
          <w:tblCellMar>
            <w:top w:w="0" w:type="dxa"/>
            <w:left w:w="0" w:type="dxa"/>
            <w:bottom w:w="0" w:type="dxa"/>
            <w:right w:w="0" w:type="dxa"/>
          </w:tblCellMar>
        </w:tblPrEx>
        <w:trPr>
          <w:wBefore w:w="0" w:type="auto"/>
          <w:tblCellSpacing w:w="0" w:type="dxa"/>
        </w:trPr>
        <w:tc>
          <w:tcPr>
            <w:tcW w:w="0" w:type="auto"/>
            <w:noWrap w:val="0"/>
            <w:vAlign w:val="center"/>
          </w:tcPr>
          <w:p w14:paraId="22A4CE5C">
            <w:r>
              <w:rPr>
                <w:rStyle w:val="10"/>
                <w:rFonts w:hint="eastAsia"/>
              </w:rPr>
              <w:t>总有效成分含量：</w:t>
            </w:r>
            <w:r>
              <w:rPr>
                <w:rFonts w:hint="eastAsia"/>
              </w:rPr>
              <w:t>2%</w:t>
            </w:r>
          </w:p>
        </w:tc>
      </w:tr>
      <w:tr w14:paraId="4A7A948C">
        <w:tblPrEx>
          <w:tblCellMar>
            <w:top w:w="0" w:type="dxa"/>
            <w:left w:w="0" w:type="dxa"/>
            <w:bottom w:w="0" w:type="dxa"/>
            <w:right w:w="0" w:type="dxa"/>
          </w:tblCellMar>
        </w:tblPrEx>
        <w:trPr>
          <w:wBefore w:w="0" w:type="auto"/>
          <w:tblCellSpacing w:w="0" w:type="dxa"/>
        </w:trPr>
        <w:tc>
          <w:tcPr>
            <w:tcW w:w="0" w:type="auto"/>
            <w:noWrap w:val="0"/>
            <w:vAlign w:val="center"/>
          </w:tcPr>
          <w:p w14:paraId="084B0C38">
            <w:r>
              <w:rPr>
                <w:rFonts w:hint="eastAsia"/>
              </w:rPr>
              <w:t xml:space="preserve">有效成分及其含量： </w:t>
            </w:r>
          </w:p>
          <w:p w14:paraId="740753C0">
            <w:r>
              <w:rPr>
                <w:rFonts w:hint="eastAsia"/>
              </w:rPr>
              <w:t xml:space="preserve">    噻虫胺1%    高效氯氟氰菊酯1%    </w:t>
            </w:r>
          </w:p>
        </w:tc>
      </w:tr>
      <w:tr w14:paraId="51D1E1E5">
        <w:tblPrEx>
          <w:tblCellMar>
            <w:top w:w="0" w:type="dxa"/>
            <w:left w:w="0" w:type="dxa"/>
            <w:bottom w:w="0" w:type="dxa"/>
            <w:right w:w="0" w:type="dxa"/>
          </w:tblCellMar>
        </w:tblPrEx>
        <w:trPr>
          <w:wBefore w:w="0" w:type="auto"/>
          <w:tblCellSpacing w:w="0" w:type="dxa"/>
        </w:trPr>
        <w:tc>
          <w:tcPr>
            <w:tcW w:w="0" w:type="auto"/>
            <w:noWrap w:val="0"/>
            <w:vAlign w:val="center"/>
          </w:tcPr>
          <w:p w14:paraId="2FD1773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D932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0A0036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EE4EDB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03BEF3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BE224C">
                  <w:r>
                    <w:rPr>
                      <w:rStyle w:val="11"/>
                      <w:rFonts w:hint="eastAsia"/>
                    </w:rPr>
                    <w:t>施用方式</w:t>
                  </w:r>
                </w:p>
              </w:tc>
            </w:tr>
            <w:tr w14:paraId="1212C1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EE43833">
                  <w:r>
                    <w:rPr>
                      <w:rStyle w:val="11"/>
                      <w:rFonts w:hint="eastAsia"/>
                    </w:rPr>
                    <w:t>韭菜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66E492">
                  <w:r>
                    <w:rPr>
                      <w:rStyle w:val="11"/>
                      <w:rFonts w:hint="eastAsia"/>
                    </w:rPr>
                    <w:t>韭蛆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94C0AA">
                  <w:r>
                    <w:rPr>
                      <w:rStyle w:val="11"/>
                      <w:rFonts w:hint="eastAsia"/>
                    </w:rPr>
                    <w:t>1500-2000克/亩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179B62">
                  <w:r>
                    <w:rPr>
                      <w:rStyle w:val="11"/>
                      <w:rFonts w:hint="eastAsia"/>
                    </w:rPr>
                    <w:t>撒施</w:t>
                  </w:r>
                </w:p>
              </w:tc>
            </w:tr>
          </w:tbl>
          <w:p w14:paraId="6B501F86">
            <w:pPr>
              <w:rPr>
                <w:rFonts w:ascii="Times New Roman" w:hAnsi="Times New Roman" w:cs="Times New Roman"/>
                <w:sz w:val="20"/>
                <w:szCs w:val="20"/>
              </w:rPr>
            </w:pPr>
          </w:p>
        </w:tc>
      </w:tr>
      <w:tr w14:paraId="07DBF386">
        <w:tblPrEx>
          <w:tblCellMar>
            <w:top w:w="0" w:type="dxa"/>
            <w:left w:w="0" w:type="dxa"/>
            <w:bottom w:w="0" w:type="dxa"/>
            <w:right w:w="0" w:type="dxa"/>
          </w:tblCellMar>
        </w:tblPrEx>
        <w:trPr>
          <w:wBefore w:w="0" w:type="auto"/>
          <w:tblCellSpacing w:w="0" w:type="dxa"/>
        </w:trPr>
        <w:tc>
          <w:tcPr>
            <w:tcW w:w="0" w:type="auto"/>
            <w:noWrap w:val="0"/>
            <w:vAlign w:val="center"/>
          </w:tcPr>
          <w:p w14:paraId="091D637B">
            <w:r>
              <w:rPr>
                <w:rStyle w:val="10"/>
                <w:rFonts w:hint="eastAsia"/>
              </w:rPr>
              <w:t>使用技术要求:</w:t>
            </w:r>
            <w:r>
              <w:rPr>
                <w:rFonts w:hint="eastAsia"/>
              </w:rPr>
              <w:br w:type="textWrapping"/>
            </w:r>
            <w:r>
              <w:rPr>
                <w:rStyle w:val="11"/>
                <w:rFonts w:hint="eastAsia"/>
              </w:rPr>
              <w:t>1. 于韭菜韭蛆发生初期撒施施药1次。2.施药后须保持一定的土壤墑情以利于有效成分的释放和均匀分布。3.大风天或预计1小时有大雨，请勿施药。 安全使用标准：本品在韭菜上每季最多使用1次，安全间隔期为10天。</w:t>
            </w:r>
          </w:p>
        </w:tc>
      </w:tr>
      <w:tr w14:paraId="318BA0DE">
        <w:tblPrEx>
          <w:tblCellMar>
            <w:top w:w="0" w:type="dxa"/>
            <w:left w:w="0" w:type="dxa"/>
            <w:bottom w:w="0" w:type="dxa"/>
            <w:right w:w="0" w:type="dxa"/>
          </w:tblCellMar>
        </w:tblPrEx>
        <w:trPr>
          <w:wBefore w:w="0" w:type="auto"/>
          <w:tblCellSpacing w:w="0" w:type="dxa"/>
        </w:trPr>
        <w:tc>
          <w:tcPr>
            <w:tcW w:w="0" w:type="auto"/>
            <w:noWrap w:val="0"/>
            <w:vAlign w:val="center"/>
          </w:tcPr>
          <w:p w14:paraId="4230E366">
            <w:r>
              <w:rPr>
                <w:rStyle w:val="10"/>
                <w:rFonts w:hint="eastAsia"/>
              </w:rPr>
              <w:t>产品性能:</w:t>
            </w:r>
            <w:r>
              <w:rPr>
                <w:rFonts w:hint="eastAsia"/>
              </w:rPr>
              <w:br w:type="textWrapping"/>
            </w:r>
            <w:r>
              <w:rPr>
                <w:rStyle w:val="11"/>
                <w:rFonts w:hint="eastAsia"/>
              </w:rPr>
              <w:t>本品为高效氯氟氰菊酯和噻虫胺的混配制剂，高效氯氟氰菊酯是拟除虫菊酯类杀虫剂，可抑制昆虫神经轴突部位的传导，对昆虫具有趋避、击倒及毒杀的作用，以触杀、胃毒作用为主。噻虫胺是新烟碱类杀虫剂，其作用与烟碱乙酰胆碱受体类似，具有触杀、胃毒和内吸活性。两者混配可防治韭菜韭蛆。</w:t>
            </w:r>
          </w:p>
        </w:tc>
      </w:tr>
      <w:tr w14:paraId="5E5029CD">
        <w:tblPrEx>
          <w:tblCellMar>
            <w:top w:w="0" w:type="dxa"/>
            <w:left w:w="0" w:type="dxa"/>
            <w:bottom w:w="0" w:type="dxa"/>
            <w:right w:w="0" w:type="dxa"/>
          </w:tblCellMar>
        </w:tblPrEx>
        <w:trPr>
          <w:wBefore w:w="0" w:type="auto"/>
          <w:tblCellSpacing w:w="0" w:type="dxa"/>
        </w:trPr>
        <w:tc>
          <w:tcPr>
            <w:tcW w:w="0" w:type="auto"/>
            <w:noWrap w:val="0"/>
            <w:vAlign w:val="center"/>
          </w:tcPr>
          <w:p w14:paraId="015650B9">
            <w:r>
              <w:rPr>
                <w:rStyle w:val="10"/>
                <w:rFonts w:hint="eastAsia"/>
              </w:rPr>
              <w:t>注意事项：</w:t>
            </w:r>
            <w:r>
              <w:rPr>
                <w:rFonts w:hint="eastAsia"/>
              </w:rPr>
              <w:br w:type="textWrapping"/>
            </w:r>
            <w:r>
              <w:rPr>
                <w:rStyle w:val="11"/>
                <w:rFonts w:hint="eastAsia"/>
              </w:rPr>
              <w:t>1.严格按照规定用药量和方法使用。 2.本品不可与碱性农药等物质混用。建议与其他作用机制不同的杀虫剂轮换使用，以延缓抗性产生。 3.本品对蜜蜂有一定影响，水产养殖区、河塘等水体附近禁用；禁止在河塘等水体中清洗施药器具；养蜂场所和周围开花植物花期禁用，使用时应密切关注对附近蜂群的影响 。 4.使用本品时应穿戴长衣、长裤、帽子、口罩、手套等防护措施，避免吸入药液。施药期间不可吃东西和饮水。施药后应及时洗手和洗脸。 5.用药后包装物及用过的容器应妥善处理，不可做他用，也不可随意丢弃。 6.孕妇及哺乳期妇女禁止接触本品。</w:t>
            </w:r>
          </w:p>
        </w:tc>
      </w:tr>
      <w:tr w14:paraId="532D7C29">
        <w:tblPrEx>
          <w:tblCellMar>
            <w:top w:w="0" w:type="dxa"/>
            <w:left w:w="0" w:type="dxa"/>
            <w:bottom w:w="0" w:type="dxa"/>
            <w:right w:w="0" w:type="dxa"/>
          </w:tblCellMar>
        </w:tblPrEx>
        <w:trPr>
          <w:wBefore w:w="0" w:type="auto"/>
          <w:tblCellSpacing w:w="0" w:type="dxa"/>
        </w:trPr>
        <w:tc>
          <w:tcPr>
            <w:tcW w:w="0" w:type="auto"/>
            <w:noWrap w:val="0"/>
            <w:vAlign w:val="center"/>
          </w:tcPr>
          <w:p w14:paraId="7BB85B18">
            <w:r>
              <w:rPr>
                <w:rStyle w:val="10"/>
                <w:rFonts w:hint="eastAsia"/>
              </w:rPr>
              <w:t>中毒急救措施：</w:t>
            </w:r>
            <w:r>
              <w:rPr>
                <w:rFonts w:hint="eastAsia"/>
              </w:rPr>
              <w:br w:type="textWrapping"/>
            </w:r>
            <w:r>
              <w:rPr>
                <w:rStyle w:val="11"/>
                <w:rFonts w:hint="eastAsia"/>
              </w:rPr>
              <w:t xml:space="preserve">对眼睛有刺激性，使用时避免接触眼睛。 使用中或使用后如果感觉不适，应立即停止工作，采取急救措施，并携带标签送医院就诊。 本品如接触皮肤，用肥皂和清水彻底清洗受污的皮肤； 如溅及眼睛，用清水冲洗眼睛至少10分钟；送医就诊； 如误服，反复使用医用炭和大量水，并即携带标签，送医就诊。 </w:t>
            </w:r>
          </w:p>
        </w:tc>
      </w:tr>
      <w:tr w14:paraId="51BE472F">
        <w:tblPrEx>
          <w:tblCellMar>
            <w:top w:w="0" w:type="dxa"/>
            <w:left w:w="0" w:type="dxa"/>
            <w:bottom w:w="0" w:type="dxa"/>
            <w:right w:w="0" w:type="dxa"/>
          </w:tblCellMar>
        </w:tblPrEx>
        <w:trPr>
          <w:wBefore w:w="0" w:type="auto"/>
          <w:tblCellSpacing w:w="0" w:type="dxa"/>
        </w:trPr>
        <w:tc>
          <w:tcPr>
            <w:tcW w:w="0" w:type="auto"/>
            <w:noWrap w:val="0"/>
            <w:vAlign w:val="center"/>
          </w:tcPr>
          <w:p w14:paraId="5C8D68EB">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它商品同贮同运。贮存或运输时堆层不得超过规定，注意轻拿轻放，以免损坏包装，导致产品泄露。</w:t>
            </w:r>
          </w:p>
        </w:tc>
      </w:tr>
      <w:tr w14:paraId="5E59A0C5">
        <w:tblPrEx>
          <w:tblCellMar>
            <w:top w:w="0" w:type="dxa"/>
            <w:left w:w="0" w:type="dxa"/>
            <w:bottom w:w="0" w:type="dxa"/>
            <w:right w:w="0" w:type="dxa"/>
          </w:tblCellMar>
        </w:tblPrEx>
        <w:trPr>
          <w:wBefore w:w="0" w:type="auto"/>
          <w:tblCellSpacing w:w="0" w:type="dxa"/>
        </w:trPr>
        <w:tc>
          <w:tcPr>
            <w:tcW w:w="0" w:type="auto"/>
            <w:noWrap w:val="0"/>
            <w:vAlign w:val="center"/>
          </w:tcPr>
          <w:p w14:paraId="4A14CA17">
            <w:r>
              <w:rPr>
                <w:rStyle w:val="10"/>
                <w:rFonts w:hint="eastAsia"/>
              </w:rPr>
              <w:t>质量保证期：</w:t>
            </w:r>
            <w:r>
              <w:rPr>
                <w:rStyle w:val="11"/>
                <w:rFonts w:hint="eastAsia"/>
              </w:rPr>
              <w:t>2年</w:t>
            </w:r>
          </w:p>
        </w:tc>
      </w:tr>
      <w:tr w14:paraId="6281FC4B">
        <w:tblPrEx>
          <w:tblCellMar>
            <w:top w:w="0" w:type="dxa"/>
            <w:left w:w="0" w:type="dxa"/>
            <w:bottom w:w="0" w:type="dxa"/>
            <w:right w:w="0" w:type="dxa"/>
          </w:tblCellMar>
        </w:tblPrEx>
        <w:trPr>
          <w:wBefore w:w="0" w:type="auto"/>
          <w:tblCellSpacing w:w="0" w:type="dxa"/>
        </w:trPr>
        <w:tc>
          <w:tcPr>
            <w:tcW w:w="0" w:type="auto"/>
            <w:noWrap w:val="0"/>
            <w:vAlign w:val="center"/>
          </w:tcPr>
          <w:p w14:paraId="3021FCAB">
            <w:r>
              <w:rPr>
                <w:rStyle w:val="10"/>
                <w:rFonts w:hint="eastAsia"/>
              </w:rPr>
              <w:t>备注：</w:t>
            </w:r>
          </w:p>
        </w:tc>
      </w:tr>
    </w:tbl>
    <w:p w14:paraId="260AFF9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A643EE3">
        <w:tblPrEx>
          <w:tblCellMar>
            <w:top w:w="0" w:type="dxa"/>
            <w:left w:w="0" w:type="dxa"/>
            <w:bottom w:w="0" w:type="dxa"/>
            <w:right w:w="0" w:type="dxa"/>
          </w:tblCellMar>
        </w:tblPrEx>
        <w:trPr>
          <w:wBefore w:w="0" w:type="auto"/>
          <w:tblCellSpacing w:w="0" w:type="dxa"/>
        </w:trPr>
        <w:tc>
          <w:tcPr>
            <w:tcW w:w="0" w:type="auto"/>
            <w:noWrap w:val="0"/>
            <w:vAlign w:val="center"/>
          </w:tcPr>
          <w:p w14:paraId="6EEBF95B">
            <w:r>
              <w:rPr>
                <w:rStyle w:val="10"/>
                <w:rFonts w:hint="eastAsia"/>
              </w:rPr>
              <w:t>登记证号：</w:t>
            </w:r>
            <w:r>
              <w:rPr>
                <w:rFonts w:hint="eastAsia"/>
              </w:rPr>
              <w:t>PD20212068</w:t>
            </w:r>
          </w:p>
        </w:tc>
      </w:tr>
      <w:tr w14:paraId="27541961">
        <w:tblPrEx>
          <w:tblCellMar>
            <w:top w:w="0" w:type="dxa"/>
            <w:left w:w="0" w:type="dxa"/>
            <w:bottom w:w="0" w:type="dxa"/>
            <w:right w:w="0" w:type="dxa"/>
          </w:tblCellMar>
        </w:tblPrEx>
        <w:trPr>
          <w:wBefore w:w="0" w:type="auto"/>
          <w:tblCellSpacing w:w="0" w:type="dxa"/>
        </w:trPr>
        <w:tc>
          <w:tcPr>
            <w:tcW w:w="0" w:type="auto"/>
            <w:noWrap w:val="0"/>
            <w:vAlign w:val="center"/>
          </w:tcPr>
          <w:p w14:paraId="65A479BE">
            <w:r>
              <w:rPr>
                <w:rStyle w:val="10"/>
                <w:rFonts w:hint="eastAsia"/>
              </w:rPr>
              <w:t>登记证持有人：</w:t>
            </w:r>
            <w:r>
              <w:rPr>
                <w:rFonts w:hint="eastAsia"/>
              </w:rPr>
              <w:t>重庆市诺意农药有限公司</w:t>
            </w:r>
          </w:p>
        </w:tc>
      </w:tr>
      <w:tr w14:paraId="44F4C524">
        <w:tblPrEx>
          <w:tblCellMar>
            <w:top w:w="0" w:type="dxa"/>
            <w:left w:w="0" w:type="dxa"/>
            <w:bottom w:w="0" w:type="dxa"/>
            <w:right w:w="0" w:type="dxa"/>
          </w:tblCellMar>
        </w:tblPrEx>
        <w:trPr>
          <w:wBefore w:w="0" w:type="auto"/>
          <w:tblCellSpacing w:w="0" w:type="dxa"/>
        </w:trPr>
        <w:tc>
          <w:tcPr>
            <w:tcW w:w="0" w:type="auto"/>
            <w:noWrap w:val="0"/>
            <w:vAlign w:val="center"/>
          </w:tcPr>
          <w:p w14:paraId="770E027B">
            <w:r>
              <w:rPr>
                <w:rStyle w:val="10"/>
                <w:rFonts w:hint="eastAsia"/>
              </w:rPr>
              <w:t>农药名称：</w:t>
            </w:r>
            <w:r>
              <w:rPr>
                <w:rFonts w:hint="eastAsia"/>
              </w:rPr>
              <w:t>噻苯隆</w:t>
            </w:r>
          </w:p>
        </w:tc>
      </w:tr>
      <w:tr w14:paraId="4345E594">
        <w:tblPrEx>
          <w:tblCellMar>
            <w:top w:w="0" w:type="dxa"/>
            <w:left w:w="0" w:type="dxa"/>
            <w:bottom w:w="0" w:type="dxa"/>
            <w:right w:w="0" w:type="dxa"/>
          </w:tblCellMar>
        </w:tblPrEx>
        <w:trPr>
          <w:wBefore w:w="0" w:type="auto"/>
          <w:tblCellSpacing w:w="0" w:type="dxa"/>
        </w:trPr>
        <w:tc>
          <w:tcPr>
            <w:tcW w:w="0" w:type="auto"/>
            <w:noWrap w:val="0"/>
            <w:vAlign w:val="center"/>
          </w:tcPr>
          <w:p w14:paraId="2BBC0300">
            <w:r>
              <w:rPr>
                <w:rStyle w:val="10"/>
                <w:rFonts w:hint="eastAsia"/>
              </w:rPr>
              <w:t>剂型：</w:t>
            </w:r>
            <w:r>
              <w:rPr>
                <w:rFonts w:hint="eastAsia"/>
              </w:rPr>
              <w:t>可溶液剂</w:t>
            </w:r>
          </w:p>
        </w:tc>
      </w:tr>
      <w:tr w14:paraId="68BF958A">
        <w:tblPrEx>
          <w:tblCellMar>
            <w:top w:w="0" w:type="dxa"/>
            <w:left w:w="0" w:type="dxa"/>
            <w:bottom w:w="0" w:type="dxa"/>
            <w:right w:w="0" w:type="dxa"/>
          </w:tblCellMar>
        </w:tblPrEx>
        <w:trPr>
          <w:wBefore w:w="0" w:type="auto"/>
          <w:tblCellSpacing w:w="0" w:type="dxa"/>
        </w:trPr>
        <w:tc>
          <w:tcPr>
            <w:tcW w:w="0" w:type="auto"/>
            <w:noWrap w:val="0"/>
            <w:vAlign w:val="center"/>
          </w:tcPr>
          <w:p w14:paraId="41371D88">
            <w:r>
              <w:rPr>
                <w:rStyle w:val="10"/>
                <w:rFonts w:hint="eastAsia"/>
              </w:rPr>
              <w:t>毒性及其标识：</w:t>
            </w:r>
            <w:r>
              <w:rPr>
                <w:rFonts w:hint="eastAsia"/>
              </w:rPr>
              <w:t xml:space="preserve"> </w:t>
            </w:r>
            <w:r>
              <w:rPr>
                <w:lang/>
              </w:rPr>
              <w:drawing>
                <wp:inline distT="0" distB="0" distL="114300" distR="114300">
                  <wp:extent cx="476250" cy="323850"/>
                  <wp:effectExtent l="0" t="0" r="0" b="0"/>
                  <wp:docPr id="85" name="图片 8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A4AE1A7">
        <w:tblPrEx>
          <w:tblCellMar>
            <w:top w:w="0" w:type="dxa"/>
            <w:left w:w="0" w:type="dxa"/>
            <w:bottom w:w="0" w:type="dxa"/>
            <w:right w:w="0" w:type="dxa"/>
          </w:tblCellMar>
        </w:tblPrEx>
        <w:trPr>
          <w:wBefore w:w="0" w:type="auto"/>
          <w:tblCellSpacing w:w="0" w:type="dxa"/>
        </w:trPr>
        <w:tc>
          <w:tcPr>
            <w:tcW w:w="0" w:type="auto"/>
            <w:noWrap w:val="0"/>
            <w:vAlign w:val="center"/>
          </w:tcPr>
          <w:p w14:paraId="5E44EC36">
            <w:r>
              <w:rPr>
                <w:rStyle w:val="10"/>
                <w:rFonts w:hint="eastAsia"/>
              </w:rPr>
              <w:t>总有效成分含量：</w:t>
            </w:r>
            <w:r>
              <w:rPr>
                <w:rFonts w:hint="eastAsia"/>
              </w:rPr>
              <w:t>0.1%</w:t>
            </w:r>
          </w:p>
        </w:tc>
      </w:tr>
      <w:tr w14:paraId="3A53CD30">
        <w:tblPrEx>
          <w:tblCellMar>
            <w:top w:w="0" w:type="dxa"/>
            <w:left w:w="0" w:type="dxa"/>
            <w:bottom w:w="0" w:type="dxa"/>
            <w:right w:w="0" w:type="dxa"/>
          </w:tblCellMar>
        </w:tblPrEx>
        <w:trPr>
          <w:wBefore w:w="0" w:type="auto"/>
          <w:tblCellSpacing w:w="0" w:type="dxa"/>
        </w:trPr>
        <w:tc>
          <w:tcPr>
            <w:tcW w:w="0" w:type="auto"/>
            <w:noWrap w:val="0"/>
            <w:vAlign w:val="center"/>
          </w:tcPr>
          <w:p w14:paraId="7661C736">
            <w:r>
              <w:rPr>
                <w:rFonts w:hint="eastAsia"/>
              </w:rPr>
              <w:t xml:space="preserve">有效成分及其含量： </w:t>
            </w:r>
          </w:p>
          <w:p w14:paraId="21032BDC">
            <w:r>
              <w:rPr>
                <w:rFonts w:hint="eastAsia"/>
              </w:rPr>
              <w:t xml:space="preserve">    噻苯隆0.1%    </w:t>
            </w:r>
          </w:p>
        </w:tc>
      </w:tr>
      <w:tr w14:paraId="19CB33C7">
        <w:tblPrEx>
          <w:tblCellMar>
            <w:top w:w="0" w:type="dxa"/>
            <w:left w:w="0" w:type="dxa"/>
            <w:bottom w:w="0" w:type="dxa"/>
            <w:right w:w="0" w:type="dxa"/>
          </w:tblCellMar>
        </w:tblPrEx>
        <w:trPr>
          <w:wBefore w:w="0" w:type="auto"/>
          <w:tblCellSpacing w:w="0" w:type="dxa"/>
        </w:trPr>
        <w:tc>
          <w:tcPr>
            <w:tcW w:w="0" w:type="auto"/>
            <w:noWrap w:val="0"/>
            <w:vAlign w:val="center"/>
          </w:tcPr>
          <w:p w14:paraId="78D8BD4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C2300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4F6A5C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F2671E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A6649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9895B2">
                  <w:r>
                    <w:rPr>
                      <w:rStyle w:val="11"/>
                      <w:rFonts w:hint="eastAsia"/>
                    </w:rPr>
                    <w:t>施用方式</w:t>
                  </w:r>
                </w:p>
              </w:tc>
            </w:tr>
            <w:tr w14:paraId="54117D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CDF0027">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44D7CD">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2DF361">
                  <w:r>
                    <w:rPr>
                      <w:rStyle w:val="11"/>
                      <w:rFonts w:hint="eastAsia"/>
                    </w:rPr>
                    <w:t>167-200倍液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4AEFFF">
                  <w:r>
                    <w:rPr>
                      <w:rStyle w:val="11"/>
                      <w:rFonts w:hint="eastAsia"/>
                    </w:rPr>
                    <w:t>喷雾</w:t>
                  </w:r>
                </w:p>
              </w:tc>
            </w:tr>
          </w:tbl>
          <w:p w14:paraId="1E4230CD">
            <w:pPr>
              <w:rPr>
                <w:rFonts w:ascii="Times New Roman" w:hAnsi="Times New Roman" w:cs="Times New Roman"/>
                <w:sz w:val="20"/>
                <w:szCs w:val="20"/>
              </w:rPr>
            </w:pPr>
          </w:p>
        </w:tc>
      </w:tr>
      <w:tr w14:paraId="394729D8">
        <w:tblPrEx>
          <w:tblCellMar>
            <w:top w:w="0" w:type="dxa"/>
            <w:left w:w="0" w:type="dxa"/>
            <w:bottom w:w="0" w:type="dxa"/>
            <w:right w:w="0" w:type="dxa"/>
          </w:tblCellMar>
        </w:tblPrEx>
        <w:trPr>
          <w:wBefore w:w="0" w:type="auto"/>
          <w:tblCellSpacing w:w="0" w:type="dxa"/>
        </w:trPr>
        <w:tc>
          <w:tcPr>
            <w:tcW w:w="0" w:type="auto"/>
            <w:noWrap w:val="0"/>
            <w:vAlign w:val="center"/>
          </w:tcPr>
          <w:p w14:paraId="299EE96A">
            <w:r>
              <w:rPr>
                <w:rStyle w:val="10"/>
                <w:rFonts w:hint="eastAsia"/>
              </w:rPr>
              <w:t>使用技术要求:</w:t>
            </w:r>
            <w:r>
              <w:rPr>
                <w:rFonts w:hint="eastAsia"/>
              </w:rPr>
              <w:br w:type="textWrapping"/>
            </w:r>
            <w:r>
              <w:rPr>
                <w:rStyle w:val="11"/>
                <w:rFonts w:hint="eastAsia"/>
              </w:rPr>
              <w:t>1、葡萄谢花后5天左右使用第一次，间隔10天使用第二次。 2、药液喷雾均匀，建议从低浓度使用。即配即用。 3、本品应在阴天或晴天早晚使用，严禁高温烈日用药。大风天或预计1小时内降雨，请勿施药。施药后6小时遇雨应补施。 4、本品用于葡萄的不同品种、地区和温度情况，最适浓度有所不同，初次用药无用药经验的，不同的使用目的及新品种使用本品，务必在使用前咨询并小面积试用成功后再扩大使用。 5、科学平衡施肥，保持田间合理稳定的持水量，施肥不均衡及瓜果快速膨大至成熟期如田间含水量变化过大，极易引起裂果、畸形果。</w:t>
            </w:r>
          </w:p>
        </w:tc>
      </w:tr>
      <w:tr w14:paraId="74EE567C">
        <w:tblPrEx>
          <w:tblCellMar>
            <w:top w:w="0" w:type="dxa"/>
            <w:left w:w="0" w:type="dxa"/>
            <w:bottom w:w="0" w:type="dxa"/>
            <w:right w:w="0" w:type="dxa"/>
          </w:tblCellMar>
        </w:tblPrEx>
        <w:trPr>
          <w:wBefore w:w="0" w:type="auto"/>
          <w:tblCellSpacing w:w="0" w:type="dxa"/>
        </w:trPr>
        <w:tc>
          <w:tcPr>
            <w:tcW w:w="0" w:type="auto"/>
            <w:noWrap w:val="0"/>
            <w:vAlign w:val="center"/>
          </w:tcPr>
          <w:p w14:paraId="48DA5A10">
            <w:r>
              <w:rPr>
                <w:rStyle w:val="10"/>
                <w:rFonts w:hint="eastAsia"/>
              </w:rPr>
              <w:t>产品性能:</w:t>
            </w:r>
            <w:r>
              <w:rPr>
                <w:rFonts w:hint="eastAsia"/>
              </w:rPr>
              <w:br w:type="textWrapping"/>
            </w:r>
            <w:r>
              <w:rPr>
                <w:rStyle w:val="11"/>
                <w:rFonts w:hint="eastAsia"/>
              </w:rPr>
              <w:t>本品是一种脲类植物生长调节剂，是一种新型高活性细胞分裂素，能强力促进细胞分裂，能延缓植物衰老，增强其抗逆性，促进植物的光合作用。对葡萄的生长有较好的调节作用。可用于调节葡萄生长，提高座果率、促进果实膨大，增产等作用。</w:t>
            </w:r>
          </w:p>
        </w:tc>
      </w:tr>
      <w:tr w14:paraId="28EA116A">
        <w:tblPrEx>
          <w:tblCellMar>
            <w:top w:w="0" w:type="dxa"/>
            <w:left w:w="0" w:type="dxa"/>
            <w:bottom w:w="0" w:type="dxa"/>
            <w:right w:w="0" w:type="dxa"/>
          </w:tblCellMar>
        </w:tblPrEx>
        <w:trPr>
          <w:wBefore w:w="0" w:type="auto"/>
          <w:tblCellSpacing w:w="0" w:type="dxa"/>
        </w:trPr>
        <w:tc>
          <w:tcPr>
            <w:tcW w:w="0" w:type="auto"/>
            <w:noWrap w:val="0"/>
            <w:vAlign w:val="center"/>
          </w:tcPr>
          <w:p w14:paraId="170838DD">
            <w:r>
              <w:rPr>
                <w:rStyle w:val="10"/>
                <w:rFonts w:hint="eastAsia"/>
              </w:rPr>
              <w:t>注意事项：</w:t>
            </w:r>
            <w:r>
              <w:rPr>
                <w:rFonts w:hint="eastAsia"/>
              </w:rPr>
              <w:br w:type="textWrapping"/>
            </w:r>
            <w:r>
              <w:rPr>
                <w:rStyle w:val="11"/>
                <w:rFonts w:hint="eastAsia"/>
              </w:rPr>
              <w:t>1、本品在葡萄上每季最多施药2次。 2、用药前后加强田间管理，保持水足肥饱、植株健壮； 3、应严格按农药安全操作规程使用，施药时应戴防护手套和口罩等；此时不能吸烟、吃东西、饮水等。施药后要清洗手、脸等。 4、使用后的废弃物应妥善处理，不能随意丢弃，也不能做他用。清洗器具的废水不能排入河流、池塘等水源，避免对环境产生不良影响。禁止在河塘等水域清洗施药器具。 5、本品应谨慎收藏和妥善保管，避免孕妇、哺乳期的妇女、儿童或家禽接触。</w:t>
            </w:r>
          </w:p>
        </w:tc>
      </w:tr>
      <w:tr w14:paraId="765CF20B">
        <w:tblPrEx>
          <w:tblCellMar>
            <w:top w:w="0" w:type="dxa"/>
            <w:left w:w="0" w:type="dxa"/>
            <w:bottom w:w="0" w:type="dxa"/>
            <w:right w:w="0" w:type="dxa"/>
          </w:tblCellMar>
        </w:tblPrEx>
        <w:trPr>
          <w:wBefore w:w="0" w:type="auto"/>
          <w:tblCellSpacing w:w="0" w:type="dxa"/>
        </w:trPr>
        <w:tc>
          <w:tcPr>
            <w:tcW w:w="0" w:type="auto"/>
            <w:noWrap w:val="0"/>
            <w:vAlign w:val="center"/>
          </w:tcPr>
          <w:p w14:paraId="4F87D6D6">
            <w:r>
              <w:rPr>
                <w:rStyle w:val="10"/>
                <w:rFonts w:hint="eastAsia"/>
              </w:rPr>
              <w:t>中毒急救措施：</w:t>
            </w:r>
            <w:r>
              <w:rPr>
                <w:rFonts w:hint="eastAsia"/>
              </w:rPr>
              <w:br w:type="textWrapping"/>
            </w:r>
            <w:r>
              <w:rPr>
                <w:rStyle w:val="11"/>
                <w:rFonts w:hint="eastAsia"/>
              </w:rPr>
              <w:t xml:space="preserve">中毒症状：对眼睛有刺激性。避免与皮肤、眼睛接触。一般不会引起全身中毒。 急救措施：1、皮肤接触：立即脱掉污染衣物，用软布去除污染农药，用肥皂水清洗，并用大量清水冲洗干净，仍有不适时，携此标签就医诊治就医。2、眼睛接触：立即提起眼睑，用流动清水冲洗至少15分钟，仍有不适，就医。3、吸入：立即离开施药现场，转移到空气新鲜处。4、误服：应停止服用，用清水充分漱口后立即携带农药标签到医院就诊。 </w:t>
            </w:r>
          </w:p>
        </w:tc>
      </w:tr>
      <w:tr w14:paraId="074D682E">
        <w:tblPrEx>
          <w:tblCellMar>
            <w:top w:w="0" w:type="dxa"/>
            <w:left w:w="0" w:type="dxa"/>
            <w:bottom w:w="0" w:type="dxa"/>
            <w:right w:w="0" w:type="dxa"/>
          </w:tblCellMar>
        </w:tblPrEx>
        <w:trPr>
          <w:wBefore w:w="0" w:type="auto"/>
          <w:tblCellSpacing w:w="0" w:type="dxa"/>
        </w:trPr>
        <w:tc>
          <w:tcPr>
            <w:tcW w:w="0" w:type="auto"/>
            <w:noWrap w:val="0"/>
            <w:vAlign w:val="center"/>
          </w:tcPr>
          <w:p w14:paraId="3D8A8803">
            <w:r>
              <w:rPr>
                <w:rStyle w:val="10"/>
                <w:rFonts w:hint="eastAsia"/>
              </w:rPr>
              <w:t>储存和运输方法：</w:t>
            </w:r>
            <w:r>
              <w:rPr>
                <w:rFonts w:hint="eastAsia"/>
              </w:rPr>
              <w:br w:type="textWrapping"/>
            </w:r>
            <w:r>
              <w:rPr>
                <w:rStyle w:val="11"/>
                <w:rFonts w:hint="eastAsia"/>
              </w:rPr>
              <w:t>本品应储存在阴凉、通风、干燥处。远离火种，防晒、防潮。置于儿童触及不到之处，并加锁，防泄漏。勿与食品、饮料、饲料等其他商品同储同运。运输时运输车辆应配备相应品种和数量的消防器材及泄露应急处理设备。运输途中应防暴晒、雨淋、高温。搬运时轻装轻卸，保证包装完整，切勿损漏。</w:t>
            </w:r>
          </w:p>
        </w:tc>
      </w:tr>
      <w:tr w14:paraId="629982AA">
        <w:tblPrEx>
          <w:tblCellMar>
            <w:top w:w="0" w:type="dxa"/>
            <w:left w:w="0" w:type="dxa"/>
            <w:bottom w:w="0" w:type="dxa"/>
            <w:right w:w="0" w:type="dxa"/>
          </w:tblCellMar>
        </w:tblPrEx>
        <w:trPr>
          <w:wBefore w:w="0" w:type="auto"/>
          <w:tblCellSpacing w:w="0" w:type="dxa"/>
        </w:trPr>
        <w:tc>
          <w:tcPr>
            <w:tcW w:w="0" w:type="auto"/>
            <w:noWrap w:val="0"/>
            <w:vAlign w:val="center"/>
          </w:tcPr>
          <w:p w14:paraId="77135B48">
            <w:r>
              <w:rPr>
                <w:rStyle w:val="10"/>
                <w:rFonts w:hint="eastAsia"/>
              </w:rPr>
              <w:t>质量保证期：</w:t>
            </w:r>
            <w:r>
              <w:rPr>
                <w:rStyle w:val="11"/>
                <w:rFonts w:hint="eastAsia"/>
              </w:rPr>
              <w:t>2年</w:t>
            </w:r>
          </w:p>
        </w:tc>
      </w:tr>
      <w:tr w14:paraId="3079E1EA">
        <w:tblPrEx>
          <w:tblCellMar>
            <w:top w:w="0" w:type="dxa"/>
            <w:left w:w="0" w:type="dxa"/>
            <w:bottom w:w="0" w:type="dxa"/>
            <w:right w:w="0" w:type="dxa"/>
          </w:tblCellMar>
        </w:tblPrEx>
        <w:trPr>
          <w:wBefore w:w="0" w:type="auto"/>
          <w:tblCellSpacing w:w="0" w:type="dxa"/>
        </w:trPr>
        <w:tc>
          <w:tcPr>
            <w:tcW w:w="0" w:type="auto"/>
            <w:noWrap w:val="0"/>
            <w:vAlign w:val="center"/>
          </w:tcPr>
          <w:p w14:paraId="11ED73F7">
            <w:r>
              <w:rPr>
                <w:rStyle w:val="10"/>
                <w:rFonts w:hint="eastAsia"/>
              </w:rPr>
              <w:t>备注：</w:t>
            </w:r>
          </w:p>
        </w:tc>
      </w:tr>
    </w:tbl>
    <w:p w14:paraId="25A48ED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B7C519F">
        <w:tblPrEx>
          <w:tblCellMar>
            <w:top w:w="0" w:type="dxa"/>
            <w:left w:w="0" w:type="dxa"/>
            <w:bottom w:w="0" w:type="dxa"/>
            <w:right w:w="0" w:type="dxa"/>
          </w:tblCellMar>
        </w:tblPrEx>
        <w:trPr>
          <w:wBefore w:w="0" w:type="auto"/>
          <w:tblCellSpacing w:w="0" w:type="dxa"/>
        </w:trPr>
        <w:tc>
          <w:tcPr>
            <w:tcW w:w="0" w:type="auto"/>
            <w:noWrap w:val="0"/>
            <w:vAlign w:val="center"/>
          </w:tcPr>
          <w:p w14:paraId="05D89CA5">
            <w:r>
              <w:rPr>
                <w:rStyle w:val="10"/>
                <w:rFonts w:hint="eastAsia"/>
              </w:rPr>
              <w:t>登记证号：</w:t>
            </w:r>
            <w:r>
              <w:rPr>
                <w:rFonts w:hint="eastAsia"/>
              </w:rPr>
              <w:t>PD20211910</w:t>
            </w:r>
          </w:p>
        </w:tc>
      </w:tr>
      <w:tr w14:paraId="262010B9">
        <w:tblPrEx>
          <w:tblCellMar>
            <w:top w:w="0" w:type="dxa"/>
            <w:left w:w="0" w:type="dxa"/>
            <w:bottom w:w="0" w:type="dxa"/>
            <w:right w:w="0" w:type="dxa"/>
          </w:tblCellMar>
        </w:tblPrEx>
        <w:trPr>
          <w:wBefore w:w="0" w:type="auto"/>
          <w:tblCellSpacing w:w="0" w:type="dxa"/>
        </w:trPr>
        <w:tc>
          <w:tcPr>
            <w:tcW w:w="0" w:type="auto"/>
            <w:noWrap w:val="0"/>
            <w:vAlign w:val="center"/>
          </w:tcPr>
          <w:p w14:paraId="11D5C4CA">
            <w:r>
              <w:rPr>
                <w:rStyle w:val="10"/>
                <w:rFonts w:hint="eastAsia"/>
              </w:rPr>
              <w:t>登记证持有人：</w:t>
            </w:r>
            <w:r>
              <w:rPr>
                <w:rFonts w:hint="eastAsia"/>
              </w:rPr>
              <w:t>陕西麦可罗生物科技有限公司</w:t>
            </w:r>
          </w:p>
        </w:tc>
      </w:tr>
      <w:tr w14:paraId="326403B4">
        <w:tblPrEx>
          <w:tblCellMar>
            <w:top w:w="0" w:type="dxa"/>
            <w:left w:w="0" w:type="dxa"/>
            <w:bottom w:w="0" w:type="dxa"/>
            <w:right w:w="0" w:type="dxa"/>
          </w:tblCellMar>
        </w:tblPrEx>
        <w:trPr>
          <w:wBefore w:w="0" w:type="auto"/>
          <w:tblCellSpacing w:w="0" w:type="dxa"/>
        </w:trPr>
        <w:tc>
          <w:tcPr>
            <w:tcW w:w="0" w:type="auto"/>
            <w:noWrap w:val="0"/>
            <w:vAlign w:val="center"/>
          </w:tcPr>
          <w:p w14:paraId="4719EC45">
            <w:r>
              <w:rPr>
                <w:rStyle w:val="10"/>
                <w:rFonts w:hint="eastAsia"/>
              </w:rPr>
              <w:t>农药名称：</w:t>
            </w:r>
            <w:r>
              <w:rPr>
                <w:rFonts w:hint="eastAsia"/>
              </w:rPr>
              <w:t>春雷霉素</w:t>
            </w:r>
          </w:p>
        </w:tc>
      </w:tr>
      <w:tr w14:paraId="6BA2CC9E">
        <w:tblPrEx>
          <w:tblCellMar>
            <w:top w:w="0" w:type="dxa"/>
            <w:left w:w="0" w:type="dxa"/>
            <w:bottom w:w="0" w:type="dxa"/>
            <w:right w:w="0" w:type="dxa"/>
          </w:tblCellMar>
        </w:tblPrEx>
        <w:trPr>
          <w:wBefore w:w="0" w:type="auto"/>
          <w:tblCellSpacing w:w="0" w:type="dxa"/>
        </w:trPr>
        <w:tc>
          <w:tcPr>
            <w:tcW w:w="0" w:type="auto"/>
            <w:noWrap w:val="0"/>
            <w:vAlign w:val="center"/>
          </w:tcPr>
          <w:p w14:paraId="7AF235D0">
            <w:r>
              <w:rPr>
                <w:rStyle w:val="10"/>
                <w:rFonts w:hint="eastAsia"/>
              </w:rPr>
              <w:t>剂型：</w:t>
            </w:r>
            <w:r>
              <w:rPr>
                <w:rFonts w:hint="eastAsia"/>
              </w:rPr>
              <w:t>可溶液剂</w:t>
            </w:r>
          </w:p>
        </w:tc>
      </w:tr>
      <w:tr w14:paraId="2CD45012">
        <w:tblPrEx>
          <w:tblCellMar>
            <w:top w:w="0" w:type="dxa"/>
            <w:left w:w="0" w:type="dxa"/>
            <w:bottom w:w="0" w:type="dxa"/>
            <w:right w:w="0" w:type="dxa"/>
          </w:tblCellMar>
        </w:tblPrEx>
        <w:trPr>
          <w:wBefore w:w="0" w:type="auto"/>
          <w:tblCellSpacing w:w="0" w:type="dxa"/>
        </w:trPr>
        <w:tc>
          <w:tcPr>
            <w:tcW w:w="0" w:type="auto"/>
            <w:noWrap w:val="0"/>
            <w:vAlign w:val="center"/>
          </w:tcPr>
          <w:p w14:paraId="4D89D190">
            <w:r>
              <w:rPr>
                <w:rStyle w:val="10"/>
                <w:rFonts w:hint="eastAsia"/>
              </w:rPr>
              <w:t>毒性及其标识：</w:t>
            </w:r>
            <w:r>
              <w:rPr>
                <w:rFonts w:hint="eastAsia"/>
              </w:rPr>
              <w:t xml:space="preserve"> 微毒 </w:t>
            </w:r>
          </w:p>
        </w:tc>
      </w:tr>
      <w:tr w14:paraId="06D9D4FA">
        <w:tblPrEx>
          <w:tblCellMar>
            <w:top w:w="0" w:type="dxa"/>
            <w:left w:w="0" w:type="dxa"/>
            <w:bottom w:w="0" w:type="dxa"/>
            <w:right w:w="0" w:type="dxa"/>
          </w:tblCellMar>
        </w:tblPrEx>
        <w:trPr>
          <w:wBefore w:w="0" w:type="auto"/>
          <w:tblCellSpacing w:w="0" w:type="dxa"/>
        </w:trPr>
        <w:tc>
          <w:tcPr>
            <w:tcW w:w="0" w:type="auto"/>
            <w:noWrap w:val="0"/>
            <w:vAlign w:val="center"/>
          </w:tcPr>
          <w:p w14:paraId="36179674">
            <w:r>
              <w:rPr>
                <w:rStyle w:val="10"/>
                <w:rFonts w:hint="eastAsia"/>
              </w:rPr>
              <w:t>总有效成分含量：</w:t>
            </w:r>
            <w:r>
              <w:rPr>
                <w:rFonts w:hint="eastAsia"/>
              </w:rPr>
              <w:t>6%</w:t>
            </w:r>
          </w:p>
        </w:tc>
      </w:tr>
      <w:tr w14:paraId="095BA3C6">
        <w:tblPrEx>
          <w:tblCellMar>
            <w:top w:w="0" w:type="dxa"/>
            <w:left w:w="0" w:type="dxa"/>
            <w:bottom w:w="0" w:type="dxa"/>
            <w:right w:w="0" w:type="dxa"/>
          </w:tblCellMar>
        </w:tblPrEx>
        <w:trPr>
          <w:wBefore w:w="0" w:type="auto"/>
          <w:tblCellSpacing w:w="0" w:type="dxa"/>
        </w:trPr>
        <w:tc>
          <w:tcPr>
            <w:tcW w:w="0" w:type="auto"/>
            <w:noWrap w:val="0"/>
            <w:vAlign w:val="center"/>
          </w:tcPr>
          <w:p w14:paraId="61652F61">
            <w:r>
              <w:rPr>
                <w:rFonts w:hint="eastAsia"/>
              </w:rPr>
              <w:t xml:space="preserve">有效成分及其含量： </w:t>
            </w:r>
          </w:p>
          <w:p w14:paraId="164D1757">
            <w:r>
              <w:rPr>
                <w:rFonts w:hint="eastAsia"/>
              </w:rPr>
              <w:t xml:space="preserve">    春雷霉素6%    </w:t>
            </w:r>
          </w:p>
        </w:tc>
      </w:tr>
      <w:tr w14:paraId="3E379F86">
        <w:tblPrEx>
          <w:tblCellMar>
            <w:top w:w="0" w:type="dxa"/>
            <w:left w:w="0" w:type="dxa"/>
            <w:bottom w:w="0" w:type="dxa"/>
            <w:right w:w="0" w:type="dxa"/>
          </w:tblCellMar>
        </w:tblPrEx>
        <w:trPr>
          <w:wBefore w:w="0" w:type="auto"/>
          <w:tblCellSpacing w:w="0" w:type="dxa"/>
        </w:trPr>
        <w:tc>
          <w:tcPr>
            <w:tcW w:w="0" w:type="auto"/>
            <w:noWrap w:val="0"/>
            <w:vAlign w:val="center"/>
          </w:tcPr>
          <w:p w14:paraId="48CA5FF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E83C9D">
              <w:tblPrEx>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C98945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429761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F570D6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F7787F8">
                  <w:r>
                    <w:rPr>
                      <w:rStyle w:val="11"/>
                      <w:rFonts w:hint="eastAsia"/>
                    </w:rPr>
                    <w:t>施用方式</w:t>
                  </w:r>
                </w:p>
              </w:tc>
            </w:tr>
            <w:tr w14:paraId="34C31B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69A4F58">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ED2538">
                  <w:r>
                    <w:rPr>
                      <w:rStyle w:val="11"/>
                      <w:rFonts w:hint="eastAsia"/>
                    </w:rPr>
                    <w:t>稻瘟病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C22F70">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AEA496">
                  <w:r>
                    <w:rPr>
                      <w:rStyle w:val="11"/>
                      <w:rFonts w:hint="eastAsia"/>
                    </w:rPr>
                    <w:t>喷雾</w:t>
                  </w:r>
                </w:p>
              </w:tc>
            </w:tr>
          </w:tbl>
          <w:p w14:paraId="11E53D93">
            <w:pPr>
              <w:rPr>
                <w:rFonts w:ascii="Times New Roman" w:hAnsi="Times New Roman" w:cs="Times New Roman"/>
                <w:sz w:val="20"/>
                <w:szCs w:val="20"/>
              </w:rPr>
            </w:pPr>
          </w:p>
        </w:tc>
      </w:tr>
      <w:tr w14:paraId="2CE51F74">
        <w:tblPrEx>
          <w:tblCellMar>
            <w:top w:w="0" w:type="dxa"/>
            <w:left w:w="0" w:type="dxa"/>
            <w:bottom w:w="0" w:type="dxa"/>
            <w:right w:w="0" w:type="dxa"/>
          </w:tblCellMar>
        </w:tblPrEx>
        <w:trPr>
          <w:wBefore w:w="0" w:type="auto"/>
          <w:tblCellSpacing w:w="0" w:type="dxa"/>
        </w:trPr>
        <w:tc>
          <w:tcPr>
            <w:tcW w:w="0" w:type="auto"/>
            <w:noWrap w:val="0"/>
            <w:vAlign w:val="center"/>
          </w:tcPr>
          <w:p w14:paraId="542F6B7A">
            <w:r>
              <w:rPr>
                <w:rStyle w:val="10"/>
                <w:rFonts w:hint="eastAsia"/>
              </w:rPr>
              <w:t>使用技术要求:</w:t>
            </w:r>
            <w:r>
              <w:rPr>
                <w:rFonts w:hint="eastAsia"/>
              </w:rPr>
              <w:br w:type="textWrapping"/>
            </w:r>
            <w:r>
              <w:rPr>
                <w:rStyle w:val="11"/>
                <w:rFonts w:hint="eastAsia"/>
              </w:rPr>
              <w:t>1.防治水稻叶瘟病于发病初期施药，穗颈瘟于破口期施药，病重齐穗期再喷一次，每7-10天左右施药一次，注意喷雾均匀。2.大风天或预计1小时内有雨，请勿施药。3.本品在水稻上的安全间隔期为21天，每季作物最多使用3次。</w:t>
            </w:r>
          </w:p>
        </w:tc>
      </w:tr>
      <w:tr w14:paraId="18B180A8">
        <w:tblPrEx>
          <w:tblCellMar>
            <w:top w:w="0" w:type="dxa"/>
            <w:left w:w="0" w:type="dxa"/>
            <w:bottom w:w="0" w:type="dxa"/>
            <w:right w:w="0" w:type="dxa"/>
          </w:tblCellMar>
        </w:tblPrEx>
        <w:trPr>
          <w:wBefore w:w="0" w:type="auto"/>
          <w:tblCellSpacing w:w="0" w:type="dxa"/>
        </w:trPr>
        <w:tc>
          <w:tcPr>
            <w:tcW w:w="0" w:type="auto"/>
            <w:noWrap w:val="0"/>
            <w:vAlign w:val="center"/>
          </w:tcPr>
          <w:p w14:paraId="3F370B50">
            <w:r>
              <w:rPr>
                <w:rStyle w:val="10"/>
                <w:rFonts w:hint="eastAsia"/>
              </w:rPr>
              <w:t>产品性能:</w:t>
            </w:r>
            <w:r>
              <w:rPr>
                <w:rFonts w:hint="eastAsia"/>
              </w:rPr>
              <w:br w:type="textWrapping"/>
            </w:r>
            <w:r>
              <w:rPr>
                <w:rStyle w:val="11"/>
                <w:rFonts w:hint="eastAsia"/>
              </w:rPr>
              <w:t>本品属农用抗菌素类低毒杀菌剂，具有较强的内吸渗透性，同时具有预防和治疗作用。其作用机理是干扰病原菌的氨基酸代谢的酯酶系统，破坏蛋白质的生物合成，抑制菌丝的生长和造成细胞颗粒化，使病原菌失去繁殖和侵染能力，从而达到杀死病原菌防治病害的目的。本品防治水稻稻瘟病有较好的防治效果。</w:t>
            </w:r>
          </w:p>
        </w:tc>
      </w:tr>
      <w:tr w14:paraId="431560C3">
        <w:tblPrEx>
          <w:tblCellMar>
            <w:top w:w="0" w:type="dxa"/>
            <w:left w:w="0" w:type="dxa"/>
            <w:bottom w:w="0" w:type="dxa"/>
            <w:right w:w="0" w:type="dxa"/>
          </w:tblCellMar>
        </w:tblPrEx>
        <w:trPr>
          <w:wBefore w:w="0" w:type="auto"/>
          <w:tblCellSpacing w:w="0" w:type="dxa"/>
        </w:trPr>
        <w:tc>
          <w:tcPr>
            <w:tcW w:w="0" w:type="auto"/>
            <w:noWrap w:val="0"/>
            <w:vAlign w:val="center"/>
          </w:tcPr>
          <w:p w14:paraId="5E05D46E">
            <w:r>
              <w:rPr>
                <w:rStyle w:val="10"/>
                <w:rFonts w:hint="eastAsia"/>
              </w:rPr>
              <w:t>注意事项：</w:t>
            </w:r>
            <w:r>
              <w:rPr>
                <w:rFonts w:hint="eastAsia"/>
              </w:rPr>
              <w:br w:type="textWrapping"/>
            </w:r>
            <w:r>
              <w:rPr>
                <w:rStyle w:val="11"/>
                <w:rFonts w:hint="eastAsia"/>
              </w:rPr>
              <w:t>1、本品不可与呈碱性农药等物质混合使用。2、大豆对本品较敏感，施药时避免药液飘移到上述作物上。不要将药液污染到杉树（特别是苗）、藕及大豆上。3、使用时应穿长衣长裤、靴子，戴帽子、护目镜、口罩、手套等防护用具；施药期间不可吃东西、饮水、吸烟等；施药后应及时洗手、洗脸并洗涤施药时穿着的衣物。4、由于本品对斑马鱼、斜生栅列藻中毒，禁止在河塘等水体中清洗施药器具。5、建议与其他作用机制不同的杀菌剂轮换使用，以延缓抗性产生。6、水产养殖区、河塘等水体附近禁用；鱼或虾蟹套养稻田禁用，施药后的田水不得直接排入水体。7、孕妇及哺乳期妇女禁止接触本品。</w:t>
            </w:r>
          </w:p>
        </w:tc>
      </w:tr>
      <w:tr w14:paraId="17AC758C">
        <w:tblPrEx>
          <w:tblCellMar>
            <w:top w:w="0" w:type="dxa"/>
            <w:left w:w="0" w:type="dxa"/>
            <w:bottom w:w="0" w:type="dxa"/>
            <w:right w:w="0" w:type="dxa"/>
          </w:tblCellMar>
        </w:tblPrEx>
        <w:trPr>
          <w:wBefore w:w="0" w:type="auto"/>
          <w:tblCellSpacing w:w="0" w:type="dxa"/>
        </w:trPr>
        <w:tc>
          <w:tcPr>
            <w:tcW w:w="0" w:type="auto"/>
            <w:noWrap w:val="0"/>
            <w:vAlign w:val="center"/>
          </w:tcPr>
          <w:p w14:paraId="5B3AF4D1">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0B326267">
        <w:tblPrEx>
          <w:tblCellMar>
            <w:top w:w="0" w:type="dxa"/>
            <w:left w:w="0" w:type="dxa"/>
            <w:bottom w:w="0" w:type="dxa"/>
            <w:right w:w="0" w:type="dxa"/>
          </w:tblCellMar>
        </w:tblPrEx>
        <w:trPr>
          <w:wBefore w:w="0" w:type="auto"/>
          <w:tblCellSpacing w:w="0" w:type="dxa"/>
        </w:trPr>
        <w:tc>
          <w:tcPr>
            <w:tcW w:w="0" w:type="auto"/>
            <w:noWrap w:val="0"/>
            <w:vAlign w:val="center"/>
          </w:tcPr>
          <w:p w14:paraId="580918D1">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本品应储存在干燥、阴凉、通风、防雨处，远离火源或热源。置于儿童接触不到的地方，并加锁保存。不能与食品、饮料、粮食、饲料等同储同运。在装卸、运输时应轻拿轻放。</w:t>
            </w:r>
          </w:p>
        </w:tc>
      </w:tr>
      <w:tr w14:paraId="49A6F040">
        <w:tblPrEx>
          <w:tblCellMar>
            <w:top w:w="0" w:type="dxa"/>
            <w:left w:w="0" w:type="dxa"/>
            <w:bottom w:w="0" w:type="dxa"/>
            <w:right w:w="0" w:type="dxa"/>
          </w:tblCellMar>
        </w:tblPrEx>
        <w:trPr>
          <w:wBefore w:w="0" w:type="auto"/>
          <w:tblCellSpacing w:w="0" w:type="dxa"/>
        </w:trPr>
        <w:tc>
          <w:tcPr>
            <w:tcW w:w="0" w:type="auto"/>
            <w:noWrap w:val="0"/>
            <w:vAlign w:val="center"/>
          </w:tcPr>
          <w:p w14:paraId="3EADA776">
            <w:r>
              <w:rPr>
                <w:rStyle w:val="10"/>
                <w:rFonts w:hint="eastAsia"/>
              </w:rPr>
              <w:t>质量保证期：</w:t>
            </w:r>
            <w:r>
              <w:rPr>
                <w:rStyle w:val="11"/>
                <w:rFonts w:hint="eastAsia"/>
              </w:rPr>
              <w:t>2年</w:t>
            </w:r>
          </w:p>
        </w:tc>
      </w:tr>
      <w:tr w14:paraId="17B2493B">
        <w:tblPrEx>
          <w:tblCellMar>
            <w:top w:w="0" w:type="dxa"/>
            <w:left w:w="0" w:type="dxa"/>
            <w:bottom w:w="0" w:type="dxa"/>
            <w:right w:w="0" w:type="dxa"/>
          </w:tblCellMar>
        </w:tblPrEx>
        <w:trPr>
          <w:wBefore w:w="0" w:type="auto"/>
          <w:tblCellSpacing w:w="0" w:type="dxa"/>
        </w:trPr>
        <w:tc>
          <w:tcPr>
            <w:tcW w:w="0" w:type="auto"/>
            <w:noWrap w:val="0"/>
            <w:vAlign w:val="center"/>
          </w:tcPr>
          <w:p w14:paraId="4E45B7FA">
            <w:r>
              <w:rPr>
                <w:rStyle w:val="10"/>
                <w:rFonts w:hint="eastAsia"/>
              </w:rPr>
              <w:t>备注：</w:t>
            </w:r>
          </w:p>
        </w:tc>
      </w:tr>
    </w:tbl>
    <w:p w14:paraId="69B7FB0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824EDA8">
        <w:tblPrEx>
          <w:tblCellMar>
            <w:top w:w="0" w:type="dxa"/>
            <w:left w:w="0" w:type="dxa"/>
            <w:bottom w:w="0" w:type="dxa"/>
            <w:right w:w="0" w:type="dxa"/>
          </w:tblCellMar>
        </w:tblPrEx>
        <w:trPr>
          <w:wBefore w:w="0" w:type="auto"/>
          <w:tblCellSpacing w:w="0" w:type="dxa"/>
        </w:trPr>
        <w:tc>
          <w:tcPr>
            <w:tcW w:w="0" w:type="auto"/>
            <w:noWrap w:val="0"/>
            <w:vAlign w:val="center"/>
          </w:tcPr>
          <w:p w14:paraId="61259F35">
            <w:r>
              <w:rPr>
                <w:rStyle w:val="10"/>
                <w:rFonts w:hint="eastAsia"/>
              </w:rPr>
              <w:t>登记证号：</w:t>
            </w:r>
            <w:r>
              <w:rPr>
                <w:rFonts w:hint="eastAsia"/>
              </w:rPr>
              <w:t>PD20212292</w:t>
            </w:r>
          </w:p>
        </w:tc>
      </w:tr>
      <w:tr w14:paraId="08B37E47">
        <w:tblPrEx>
          <w:tblCellMar>
            <w:top w:w="0" w:type="dxa"/>
            <w:left w:w="0" w:type="dxa"/>
            <w:bottom w:w="0" w:type="dxa"/>
            <w:right w:w="0" w:type="dxa"/>
          </w:tblCellMar>
        </w:tblPrEx>
        <w:trPr>
          <w:wBefore w:w="0" w:type="auto"/>
          <w:tblCellSpacing w:w="0" w:type="dxa"/>
        </w:trPr>
        <w:tc>
          <w:tcPr>
            <w:tcW w:w="0" w:type="auto"/>
            <w:noWrap w:val="0"/>
            <w:vAlign w:val="center"/>
          </w:tcPr>
          <w:p w14:paraId="456D9397">
            <w:r>
              <w:rPr>
                <w:rStyle w:val="10"/>
                <w:rFonts w:hint="eastAsia"/>
              </w:rPr>
              <w:t>登记证持有人：</w:t>
            </w:r>
            <w:r>
              <w:rPr>
                <w:rFonts w:hint="eastAsia"/>
              </w:rPr>
              <w:t>山东润扬化学有限公司</w:t>
            </w:r>
          </w:p>
        </w:tc>
      </w:tr>
      <w:tr w14:paraId="3343C316">
        <w:tblPrEx>
          <w:tblCellMar>
            <w:top w:w="0" w:type="dxa"/>
            <w:left w:w="0" w:type="dxa"/>
            <w:bottom w:w="0" w:type="dxa"/>
            <w:right w:w="0" w:type="dxa"/>
          </w:tblCellMar>
        </w:tblPrEx>
        <w:trPr>
          <w:wBefore w:w="0" w:type="auto"/>
          <w:tblCellSpacing w:w="0" w:type="dxa"/>
        </w:trPr>
        <w:tc>
          <w:tcPr>
            <w:tcW w:w="0" w:type="auto"/>
            <w:noWrap w:val="0"/>
            <w:vAlign w:val="center"/>
          </w:tcPr>
          <w:p w14:paraId="32155314">
            <w:r>
              <w:rPr>
                <w:rStyle w:val="10"/>
                <w:rFonts w:hint="eastAsia"/>
              </w:rPr>
              <w:t>农药名称：</w:t>
            </w:r>
            <w:r>
              <w:rPr>
                <w:rFonts w:hint="eastAsia"/>
              </w:rPr>
              <w:t>草甘膦钾盐</w:t>
            </w:r>
          </w:p>
        </w:tc>
      </w:tr>
      <w:tr w14:paraId="23A5C6EA">
        <w:tblPrEx>
          <w:tblCellMar>
            <w:top w:w="0" w:type="dxa"/>
            <w:left w:w="0" w:type="dxa"/>
            <w:bottom w:w="0" w:type="dxa"/>
            <w:right w:w="0" w:type="dxa"/>
          </w:tblCellMar>
        </w:tblPrEx>
        <w:trPr>
          <w:wBefore w:w="0" w:type="auto"/>
          <w:tblCellSpacing w:w="0" w:type="dxa"/>
        </w:trPr>
        <w:tc>
          <w:tcPr>
            <w:tcW w:w="0" w:type="auto"/>
            <w:noWrap w:val="0"/>
            <w:vAlign w:val="center"/>
          </w:tcPr>
          <w:p w14:paraId="2E9EE059">
            <w:r>
              <w:rPr>
                <w:rStyle w:val="10"/>
                <w:rFonts w:hint="eastAsia"/>
              </w:rPr>
              <w:t>剂型：</w:t>
            </w:r>
            <w:r>
              <w:rPr>
                <w:rFonts w:hint="eastAsia"/>
              </w:rPr>
              <w:t>可溶液剂</w:t>
            </w:r>
          </w:p>
        </w:tc>
      </w:tr>
      <w:tr w14:paraId="232F33A2">
        <w:tblPrEx>
          <w:tblCellMar>
            <w:top w:w="0" w:type="dxa"/>
            <w:left w:w="0" w:type="dxa"/>
            <w:bottom w:w="0" w:type="dxa"/>
            <w:right w:w="0" w:type="dxa"/>
          </w:tblCellMar>
        </w:tblPrEx>
        <w:trPr>
          <w:wBefore w:w="0" w:type="auto"/>
          <w:tblCellSpacing w:w="0" w:type="dxa"/>
        </w:trPr>
        <w:tc>
          <w:tcPr>
            <w:tcW w:w="0" w:type="auto"/>
            <w:noWrap w:val="0"/>
            <w:vAlign w:val="center"/>
          </w:tcPr>
          <w:p w14:paraId="1ACA7E11">
            <w:r>
              <w:rPr>
                <w:rStyle w:val="10"/>
                <w:rFonts w:hint="eastAsia"/>
              </w:rPr>
              <w:t>毒性及其标识：</w:t>
            </w:r>
            <w:r>
              <w:rPr>
                <w:rFonts w:hint="eastAsia"/>
              </w:rPr>
              <w:t xml:space="preserve"> </w:t>
            </w:r>
            <w:r>
              <w:rPr>
                <w:lang/>
              </w:rPr>
              <w:drawing>
                <wp:inline distT="0" distB="0" distL="114300" distR="114300">
                  <wp:extent cx="476250" cy="323850"/>
                  <wp:effectExtent l="0" t="0" r="0" b="0"/>
                  <wp:docPr id="86" name="图片 8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2D95B72">
        <w:tblPrEx>
          <w:tblCellMar>
            <w:top w:w="0" w:type="dxa"/>
            <w:left w:w="0" w:type="dxa"/>
            <w:bottom w:w="0" w:type="dxa"/>
            <w:right w:w="0" w:type="dxa"/>
          </w:tblCellMar>
        </w:tblPrEx>
        <w:trPr>
          <w:wBefore w:w="0" w:type="auto"/>
          <w:tblCellSpacing w:w="0" w:type="dxa"/>
        </w:trPr>
        <w:tc>
          <w:tcPr>
            <w:tcW w:w="0" w:type="auto"/>
            <w:noWrap w:val="0"/>
            <w:vAlign w:val="center"/>
          </w:tcPr>
          <w:p w14:paraId="44FF3E53">
            <w:r>
              <w:rPr>
                <w:rStyle w:val="10"/>
                <w:rFonts w:hint="eastAsia"/>
              </w:rPr>
              <w:t>总有效成分含量：</w:t>
            </w:r>
            <w:r>
              <w:rPr>
                <w:rFonts w:hint="eastAsia"/>
              </w:rPr>
              <w:t>41%</w:t>
            </w:r>
          </w:p>
        </w:tc>
      </w:tr>
      <w:tr w14:paraId="26015979">
        <w:tblPrEx>
          <w:tblCellMar>
            <w:top w:w="0" w:type="dxa"/>
            <w:left w:w="0" w:type="dxa"/>
            <w:bottom w:w="0" w:type="dxa"/>
            <w:right w:w="0" w:type="dxa"/>
          </w:tblCellMar>
        </w:tblPrEx>
        <w:trPr>
          <w:wBefore w:w="0" w:type="auto"/>
          <w:tblCellSpacing w:w="0" w:type="dxa"/>
        </w:trPr>
        <w:tc>
          <w:tcPr>
            <w:tcW w:w="0" w:type="auto"/>
            <w:noWrap w:val="0"/>
            <w:vAlign w:val="center"/>
          </w:tcPr>
          <w:p w14:paraId="53EB00D6">
            <w:r>
              <w:rPr>
                <w:rFonts w:hint="eastAsia"/>
              </w:rPr>
              <w:t xml:space="preserve">有效成分及其含量： </w:t>
            </w:r>
          </w:p>
          <w:p w14:paraId="0DC0B571">
            <w:r>
              <w:rPr>
                <w:rFonts w:hint="eastAsia"/>
              </w:rPr>
              <w:t xml:space="preserve">    草甘膦41%    </w:t>
            </w:r>
          </w:p>
        </w:tc>
      </w:tr>
      <w:tr w14:paraId="1455528A">
        <w:tblPrEx>
          <w:tblCellMar>
            <w:top w:w="0" w:type="dxa"/>
            <w:left w:w="0" w:type="dxa"/>
            <w:bottom w:w="0" w:type="dxa"/>
            <w:right w:w="0" w:type="dxa"/>
          </w:tblCellMar>
        </w:tblPrEx>
        <w:trPr>
          <w:wBefore w:w="0" w:type="auto"/>
          <w:tblCellSpacing w:w="0" w:type="dxa"/>
        </w:trPr>
        <w:tc>
          <w:tcPr>
            <w:tcW w:w="0" w:type="auto"/>
            <w:noWrap w:val="0"/>
            <w:vAlign w:val="center"/>
          </w:tcPr>
          <w:p w14:paraId="3370F79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8937D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9BADC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3DF40E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BD67B0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2A130FE">
                  <w:r>
                    <w:rPr>
                      <w:rStyle w:val="11"/>
                      <w:rFonts w:hint="eastAsia"/>
                    </w:rPr>
                    <w:t>施用方式</w:t>
                  </w:r>
                </w:p>
              </w:tc>
            </w:tr>
            <w:tr w14:paraId="75398C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1DE921">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E5B690">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7DBC0D">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534C4B">
                  <w:r>
                    <w:rPr>
                      <w:rStyle w:val="11"/>
                      <w:rFonts w:hint="eastAsia"/>
                    </w:rPr>
                    <w:t>茎叶喷雾</w:t>
                  </w:r>
                </w:p>
              </w:tc>
            </w:tr>
          </w:tbl>
          <w:p w14:paraId="280101BA">
            <w:pPr>
              <w:rPr>
                <w:rFonts w:ascii="Times New Roman" w:hAnsi="Times New Roman" w:cs="Times New Roman"/>
                <w:sz w:val="20"/>
                <w:szCs w:val="20"/>
              </w:rPr>
            </w:pPr>
          </w:p>
        </w:tc>
      </w:tr>
      <w:tr w14:paraId="17CF52FD">
        <w:tblPrEx>
          <w:tblCellMar>
            <w:top w:w="0" w:type="dxa"/>
            <w:left w:w="0" w:type="dxa"/>
            <w:bottom w:w="0" w:type="dxa"/>
            <w:right w:w="0" w:type="dxa"/>
          </w:tblCellMar>
        </w:tblPrEx>
        <w:trPr>
          <w:wBefore w:w="0" w:type="auto"/>
          <w:tblCellSpacing w:w="0" w:type="dxa"/>
        </w:trPr>
        <w:tc>
          <w:tcPr>
            <w:tcW w:w="0" w:type="auto"/>
            <w:noWrap w:val="0"/>
            <w:vAlign w:val="center"/>
          </w:tcPr>
          <w:p w14:paraId="71A944D6">
            <w:r>
              <w:rPr>
                <w:rStyle w:val="10"/>
                <w:rFonts w:hint="eastAsia"/>
              </w:rPr>
              <w:t>使用技术要求:</w:t>
            </w:r>
            <w:r>
              <w:rPr>
                <w:rFonts w:hint="eastAsia"/>
              </w:rPr>
              <w:br w:type="textWrapping"/>
            </w:r>
            <w:r>
              <w:rPr>
                <w:rStyle w:val="11"/>
                <w:rFonts w:hint="eastAsia"/>
              </w:rPr>
              <w:t>1.本剂按亩用量兑清水40-50升稀释。稀释时先加入一半清水，将计算所得药量倒入喷雾器，再加入另一半清水，搅拌均匀之后即可定向茎叶喷雾。2.宜在杂草生长旺盛期施用。施药时避开大风天气，避免药液漂移引起周边作物药害。3.如施药后4小时内下雨，会影响药效，应酌情补喷。</w:t>
            </w:r>
          </w:p>
        </w:tc>
      </w:tr>
      <w:tr w14:paraId="730D2CD1">
        <w:tblPrEx>
          <w:tblCellMar>
            <w:top w:w="0" w:type="dxa"/>
            <w:left w:w="0" w:type="dxa"/>
            <w:bottom w:w="0" w:type="dxa"/>
            <w:right w:w="0" w:type="dxa"/>
          </w:tblCellMar>
        </w:tblPrEx>
        <w:trPr>
          <w:wBefore w:w="0" w:type="auto"/>
          <w:tblCellSpacing w:w="0" w:type="dxa"/>
        </w:trPr>
        <w:tc>
          <w:tcPr>
            <w:tcW w:w="0" w:type="auto"/>
            <w:noWrap w:val="0"/>
            <w:vAlign w:val="center"/>
          </w:tcPr>
          <w:p w14:paraId="24EF3925">
            <w:r>
              <w:rPr>
                <w:rStyle w:val="10"/>
                <w:rFonts w:hint="eastAsia"/>
              </w:rPr>
              <w:t>产品性能:</w:t>
            </w:r>
            <w:r>
              <w:rPr>
                <w:rFonts w:hint="eastAsia"/>
              </w:rPr>
              <w:br w:type="textWrapping"/>
            </w:r>
            <w:r>
              <w:rPr>
                <w:rStyle w:val="11"/>
                <w:rFonts w:hint="eastAsia"/>
              </w:rPr>
              <w:t>本品是灭生性内吸传导型茎叶处理除草剂，通过植物绿色部位吸收，对多种杂草有效。</w:t>
            </w:r>
          </w:p>
        </w:tc>
      </w:tr>
      <w:tr w14:paraId="457D8A28">
        <w:tblPrEx>
          <w:tblCellMar>
            <w:top w:w="0" w:type="dxa"/>
            <w:left w:w="0" w:type="dxa"/>
            <w:bottom w:w="0" w:type="dxa"/>
            <w:right w:w="0" w:type="dxa"/>
          </w:tblCellMar>
        </w:tblPrEx>
        <w:trPr>
          <w:wBefore w:w="0" w:type="auto"/>
          <w:tblCellSpacing w:w="0" w:type="dxa"/>
        </w:trPr>
        <w:tc>
          <w:tcPr>
            <w:tcW w:w="0" w:type="auto"/>
            <w:noWrap w:val="0"/>
            <w:vAlign w:val="center"/>
          </w:tcPr>
          <w:p w14:paraId="0427DDD9">
            <w:r>
              <w:rPr>
                <w:rStyle w:val="10"/>
                <w:rFonts w:hint="eastAsia"/>
              </w:rPr>
              <w:t>注意事项：</w:t>
            </w:r>
            <w:r>
              <w:rPr>
                <w:rFonts w:hint="eastAsia"/>
              </w:rPr>
              <w:br w:type="textWrapping"/>
            </w:r>
            <w:r>
              <w:rPr>
                <w:rStyle w:val="11"/>
                <w:rFonts w:hint="eastAsia"/>
              </w:rPr>
              <w:t>1.请按照农药安全使用准则使用本品。使用时应穿长衣长裤、靴子，戴帽子、护目镜、口罩、手套等防护用具；施药期间不可吃东西、饮水、吸烟等；施药后应及时洗手、洗脸并洗涤施药时穿着的衣物。 2.选择晴好天气，按防治作物、用药量、使用方法、根据杂草的株高，调节喷头高度，喷雾时勿接触作物绿色部分，以免产生药害。 3.药液用清水稀释，不得使用污水、混浊水，以免降低药效。4.禁止在田间道路、田埂、果树行间、休耕地、林场地等农林区域使用。5.施用本品后5天内勿割草、放牧和翻地。 6.使用本品大面积灭草时，药后杂草与灌木成片干枯，应注意火灾发生。7.禁止在河塘等水体中清洗施药器具。8.勿将本品及其废液弃于水中，以免污染水源。用过的容器应妥善处理，不可做他用，也不可随意丢弃。9.孕妇及哺乳期妇女禁止接触本品。</w:t>
            </w:r>
          </w:p>
        </w:tc>
      </w:tr>
      <w:tr w14:paraId="4DB7EDEC">
        <w:tblPrEx>
          <w:tblCellMar>
            <w:top w:w="0" w:type="dxa"/>
            <w:left w:w="0" w:type="dxa"/>
            <w:bottom w:w="0" w:type="dxa"/>
            <w:right w:w="0" w:type="dxa"/>
          </w:tblCellMar>
        </w:tblPrEx>
        <w:trPr>
          <w:wBefore w:w="0" w:type="auto"/>
          <w:tblCellSpacing w:w="0" w:type="dxa"/>
        </w:trPr>
        <w:tc>
          <w:tcPr>
            <w:tcW w:w="0" w:type="auto"/>
            <w:noWrap w:val="0"/>
            <w:vAlign w:val="center"/>
          </w:tcPr>
          <w:p w14:paraId="2492DDFE">
            <w:r>
              <w:rPr>
                <w:rStyle w:val="10"/>
                <w:rFonts w:hint="eastAsia"/>
              </w:rPr>
              <w:t>中毒急救措施：</w:t>
            </w:r>
            <w:r>
              <w:rPr>
                <w:rFonts w:hint="eastAsia"/>
              </w:rPr>
              <w:br w:type="textWrapping"/>
            </w:r>
            <w:r>
              <w:rPr>
                <w:rStyle w:val="11"/>
                <w:rFonts w:hint="eastAsia"/>
              </w:rPr>
              <w:t>本品对眼睛有刺激性。皮肤接触：立即脱掉被污染的衣物，用大量清水冲洗被污染的皮肤，再用肥皂清洗，然后用清水冲净。如果皮肤发炎，请医生诊治。眼睛溅药：立即将眼睑翻开，用清水冲洗至少15分钟，再请医生诊治。误吸：即将吸入者转移到空气新鲜处，注意保暖和休息，请医生诊治。误服：请勿引吐，立即携带标签，送医就诊。解毒剂：无特效解毒剂，对症治疗。</w:t>
            </w:r>
          </w:p>
        </w:tc>
      </w:tr>
      <w:tr w14:paraId="35D8F2F2">
        <w:tblPrEx>
          <w:tblCellMar>
            <w:top w:w="0" w:type="dxa"/>
            <w:left w:w="0" w:type="dxa"/>
            <w:bottom w:w="0" w:type="dxa"/>
            <w:right w:w="0" w:type="dxa"/>
          </w:tblCellMar>
        </w:tblPrEx>
        <w:trPr>
          <w:wBefore w:w="0" w:type="auto"/>
          <w:tblCellSpacing w:w="0" w:type="dxa"/>
        </w:trPr>
        <w:tc>
          <w:tcPr>
            <w:tcW w:w="0" w:type="auto"/>
            <w:noWrap w:val="0"/>
            <w:vAlign w:val="center"/>
          </w:tcPr>
          <w:p w14:paraId="0B99E9DD">
            <w:r>
              <w:rPr>
                <w:rStyle w:val="10"/>
                <w:rFonts w:hint="eastAsia"/>
              </w:rPr>
              <w:t>储存和运输方法：</w:t>
            </w:r>
            <w:r>
              <w:rPr>
                <w:rFonts w:hint="eastAsia"/>
              </w:rPr>
              <w:br w:type="textWrapping"/>
            </w:r>
            <w:r>
              <w:rPr>
                <w:rStyle w:val="11"/>
                <w:rFonts w:hint="eastAsia"/>
              </w:rPr>
              <w:t>1.置于儿童接触不到的地方，并加锁。 2.不能与食品、饮料、粮食、饲料等同贮同运。 3.贮存于干燥、阴凉、通风、防雨处，远离火源或热源。</w:t>
            </w:r>
          </w:p>
        </w:tc>
      </w:tr>
      <w:tr w14:paraId="66AAB8E3">
        <w:tblPrEx>
          <w:tblCellMar>
            <w:top w:w="0" w:type="dxa"/>
            <w:left w:w="0" w:type="dxa"/>
            <w:bottom w:w="0" w:type="dxa"/>
            <w:right w:w="0" w:type="dxa"/>
          </w:tblCellMar>
        </w:tblPrEx>
        <w:trPr>
          <w:wBefore w:w="0" w:type="auto"/>
          <w:tblCellSpacing w:w="0" w:type="dxa"/>
        </w:trPr>
        <w:tc>
          <w:tcPr>
            <w:tcW w:w="0" w:type="auto"/>
            <w:noWrap w:val="0"/>
            <w:vAlign w:val="center"/>
          </w:tcPr>
          <w:p w14:paraId="15B61116">
            <w:r>
              <w:rPr>
                <w:rStyle w:val="10"/>
                <w:rFonts w:hint="eastAsia"/>
              </w:rPr>
              <w:t>质量保证期：</w:t>
            </w:r>
            <w:r>
              <w:rPr>
                <w:rStyle w:val="11"/>
                <w:rFonts w:hint="eastAsia"/>
              </w:rPr>
              <w:t>2年</w:t>
            </w:r>
          </w:p>
        </w:tc>
      </w:tr>
      <w:tr w14:paraId="6474CCC2">
        <w:tblPrEx>
          <w:tblCellMar>
            <w:top w:w="0" w:type="dxa"/>
            <w:left w:w="0" w:type="dxa"/>
            <w:bottom w:w="0" w:type="dxa"/>
            <w:right w:w="0" w:type="dxa"/>
          </w:tblCellMar>
        </w:tblPrEx>
        <w:trPr>
          <w:wBefore w:w="0" w:type="auto"/>
          <w:tblCellSpacing w:w="0" w:type="dxa"/>
        </w:trPr>
        <w:tc>
          <w:tcPr>
            <w:tcW w:w="0" w:type="auto"/>
            <w:noWrap w:val="0"/>
            <w:vAlign w:val="center"/>
          </w:tcPr>
          <w:p w14:paraId="600BF69C">
            <w:r>
              <w:rPr>
                <w:rStyle w:val="10"/>
                <w:rFonts w:hint="eastAsia"/>
              </w:rPr>
              <w:t>备注：</w:t>
            </w:r>
            <w:r>
              <w:rPr>
                <w:rFonts w:hint="eastAsia"/>
              </w:rPr>
              <w:br w:type="textWrapping"/>
            </w:r>
            <w:r>
              <w:rPr>
                <w:rStyle w:val="11"/>
                <w:rFonts w:hint="eastAsia"/>
              </w:rPr>
              <w:t>草甘膦钾盐50%。</w:t>
            </w:r>
          </w:p>
        </w:tc>
      </w:tr>
    </w:tbl>
    <w:p w14:paraId="21E92DA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AAE6962">
        <w:tblPrEx>
          <w:tblCellMar>
            <w:top w:w="0" w:type="dxa"/>
            <w:left w:w="0" w:type="dxa"/>
            <w:bottom w:w="0" w:type="dxa"/>
            <w:right w:w="0" w:type="dxa"/>
          </w:tblCellMar>
        </w:tblPrEx>
        <w:trPr>
          <w:wBefore w:w="0" w:type="auto"/>
          <w:tblCellSpacing w:w="0" w:type="dxa"/>
        </w:trPr>
        <w:tc>
          <w:tcPr>
            <w:tcW w:w="0" w:type="auto"/>
            <w:noWrap w:val="0"/>
            <w:vAlign w:val="center"/>
          </w:tcPr>
          <w:p w14:paraId="0F79BD13">
            <w:r>
              <w:rPr>
                <w:rStyle w:val="10"/>
                <w:rFonts w:hint="eastAsia"/>
              </w:rPr>
              <w:t>登记证号：</w:t>
            </w:r>
            <w:r>
              <w:rPr>
                <w:rFonts w:hint="eastAsia"/>
              </w:rPr>
              <w:t>WP20210202</w:t>
            </w:r>
          </w:p>
        </w:tc>
      </w:tr>
      <w:tr w14:paraId="1AF6DDB3">
        <w:tblPrEx>
          <w:tblCellMar>
            <w:top w:w="0" w:type="dxa"/>
            <w:left w:w="0" w:type="dxa"/>
            <w:bottom w:w="0" w:type="dxa"/>
            <w:right w:w="0" w:type="dxa"/>
          </w:tblCellMar>
        </w:tblPrEx>
        <w:trPr>
          <w:wBefore w:w="0" w:type="auto"/>
          <w:tblCellSpacing w:w="0" w:type="dxa"/>
        </w:trPr>
        <w:tc>
          <w:tcPr>
            <w:tcW w:w="0" w:type="auto"/>
            <w:noWrap w:val="0"/>
            <w:vAlign w:val="center"/>
          </w:tcPr>
          <w:p w14:paraId="16F0D4AE">
            <w:r>
              <w:rPr>
                <w:rStyle w:val="10"/>
                <w:rFonts w:hint="eastAsia"/>
              </w:rPr>
              <w:t>登记证持有人：</w:t>
            </w:r>
            <w:r>
              <w:rPr>
                <w:rFonts w:hint="eastAsia"/>
              </w:rPr>
              <w:t>江苏省南京荣诚生物科技有限公司</w:t>
            </w:r>
          </w:p>
        </w:tc>
      </w:tr>
      <w:tr w14:paraId="06288598">
        <w:tblPrEx>
          <w:tblCellMar>
            <w:top w:w="0" w:type="dxa"/>
            <w:left w:w="0" w:type="dxa"/>
            <w:bottom w:w="0" w:type="dxa"/>
            <w:right w:w="0" w:type="dxa"/>
          </w:tblCellMar>
        </w:tblPrEx>
        <w:trPr>
          <w:wBefore w:w="0" w:type="auto"/>
          <w:tblCellSpacing w:w="0" w:type="dxa"/>
        </w:trPr>
        <w:tc>
          <w:tcPr>
            <w:tcW w:w="0" w:type="auto"/>
            <w:noWrap w:val="0"/>
            <w:vAlign w:val="center"/>
          </w:tcPr>
          <w:p w14:paraId="05E94944">
            <w:r>
              <w:rPr>
                <w:rStyle w:val="10"/>
                <w:rFonts w:hint="eastAsia"/>
              </w:rPr>
              <w:t>农药名称：</w:t>
            </w:r>
            <w:r>
              <w:rPr>
                <w:rFonts w:hint="eastAsia"/>
              </w:rPr>
              <w:t>高效氯氟氰菊酯</w:t>
            </w:r>
          </w:p>
        </w:tc>
      </w:tr>
      <w:tr w14:paraId="57E069E3">
        <w:tblPrEx>
          <w:tblCellMar>
            <w:top w:w="0" w:type="dxa"/>
            <w:left w:w="0" w:type="dxa"/>
            <w:bottom w:w="0" w:type="dxa"/>
            <w:right w:w="0" w:type="dxa"/>
          </w:tblCellMar>
        </w:tblPrEx>
        <w:trPr>
          <w:wBefore w:w="0" w:type="auto"/>
          <w:tblCellSpacing w:w="0" w:type="dxa"/>
        </w:trPr>
        <w:tc>
          <w:tcPr>
            <w:tcW w:w="0" w:type="auto"/>
            <w:noWrap w:val="0"/>
            <w:vAlign w:val="center"/>
          </w:tcPr>
          <w:p w14:paraId="3C8BF841">
            <w:r>
              <w:rPr>
                <w:rStyle w:val="10"/>
                <w:rFonts w:hint="eastAsia"/>
              </w:rPr>
              <w:t>剂型：</w:t>
            </w:r>
            <w:r>
              <w:rPr>
                <w:rFonts w:hint="eastAsia"/>
              </w:rPr>
              <w:t>水乳剂</w:t>
            </w:r>
          </w:p>
        </w:tc>
      </w:tr>
      <w:tr w14:paraId="425F5DAB">
        <w:tblPrEx>
          <w:tblCellMar>
            <w:top w:w="0" w:type="dxa"/>
            <w:left w:w="0" w:type="dxa"/>
            <w:bottom w:w="0" w:type="dxa"/>
            <w:right w:w="0" w:type="dxa"/>
          </w:tblCellMar>
        </w:tblPrEx>
        <w:trPr>
          <w:wBefore w:w="0" w:type="auto"/>
          <w:tblCellSpacing w:w="0" w:type="dxa"/>
        </w:trPr>
        <w:tc>
          <w:tcPr>
            <w:tcW w:w="0" w:type="auto"/>
            <w:noWrap w:val="0"/>
            <w:vAlign w:val="center"/>
          </w:tcPr>
          <w:p w14:paraId="51BE6C74">
            <w:r>
              <w:rPr>
                <w:rStyle w:val="10"/>
                <w:rFonts w:hint="eastAsia"/>
              </w:rPr>
              <w:t>毒性及其标识：</w:t>
            </w:r>
            <w:r>
              <w:rPr>
                <w:rFonts w:hint="eastAsia"/>
              </w:rPr>
              <w:t xml:space="preserve"> </w:t>
            </w:r>
            <w:r>
              <w:rPr>
                <w:lang/>
              </w:rPr>
              <w:drawing>
                <wp:inline distT="0" distB="0" distL="114300" distR="114300">
                  <wp:extent cx="476250" cy="323850"/>
                  <wp:effectExtent l="0" t="0" r="0" b="0"/>
                  <wp:docPr id="87" name="图片 87"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577C6465">
        <w:tblPrEx>
          <w:tblCellMar>
            <w:top w:w="0" w:type="dxa"/>
            <w:left w:w="0" w:type="dxa"/>
            <w:bottom w:w="0" w:type="dxa"/>
            <w:right w:w="0" w:type="dxa"/>
          </w:tblCellMar>
        </w:tblPrEx>
        <w:trPr>
          <w:wBefore w:w="0" w:type="auto"/>
          <w:tblCellSpacing w:w="0" w:type="dxa"/>
        </w:trPr>
        <w:tc>
          <w:tcPr>
            <w:tcW w:w="0" w:type="auto"/>
            <w:noWrap w:val="0"/>
            <w:vAlign w:val="center"/>
          </w:tcPr>
          <w:p w14:paraId="1C834A25">
            <w:r>
              <w:rPr>
                <w:rStyle w:val="10"/>
                <w:rFonts w:hint="eastAsia"/>
              </w:rPr>
              <w:t>总有效成分含量：</w:t>
            </w:r>
            <w:r>
              <w:rPr>
                <w:rFonts w:hint="eastAsia"/>
              </w:rPr>
              <w:t>10%</w:t>
            </w:r>
          </w:p>
        </w:tc>
      </w:tr>
      <w:tr w14:paraId="3BCC7717">
        <w:tblPrEx>
          <w:tblCellMar>
            <w:top w:w="0" w:type="dxa"/>
            <w:left w:w="0" w:type="dxa"/>
            <w:bottom w:w="0" w:type="dxa"/>
            <w:right w:w="0" w:type="dxa"/>
          </w:tblCellMar>
        </w:tblPrEx>
        <w:trPr>
          <w:wBefore w:w="0" w:type="auto"/>
          <w:tblCellSpacing w:w="0" w:type="dxa"/>
        </w:trPr>
        <w:tc>
          <w:tcPr>
            <w:tcW w:w="0" w:type="auto"/>
            <w:noWrap w:val="0"/>
            <w:vAlign w:val="center"/>
          </w:tcPr>
          <w:p w14:paraId="0ECB92A4">
            <w:r>
              <w:rPr>
                <w:rFonts w:hint="eastAsia"/>
              </w:rPr>
              <w:t xml:space="preserve">有效成分及其含量： </w:t>
            </w:r>
          </w:p>
          <w:p w14:paraId="6ED42757">
            <w:r>
              <w:rPr>
                <w:rFonts w:hint="eastAsia"/>
              </w:rPr>
              <w:t xml:space="preserve">    高效氯氟氰菊酯10%    </w:t>
            </w:r>
          </w:p>
        </w:tc>
      </w:tr>
      <w:tr w14:paraId="52FFE2AB">
        <w:tblPrEx>
          <w:tblCellMar>
            <w:top w:w="0" w:type="dxa"/>
            <w:left w:w="0" w:type="dxa"/>
            <w:bottom w:w="0" w:type="dxa"/>
            <w:right w:w="0" w:type="dxa"/>
          </w:tblCellMar>
        </w:tblPrEx>
        <w:trPr>
          <w:wBefore w:w="0" w:type="auto"/>
          <w:tblCellSpacing w:w="0" w:type="dxa"/>
        </w:trPr>
        <w:tc>
          <w:tcPr>
            <w:tcW w:w="0" w:type="auto"/>
            <w:noWrap w:val="0"/>
            <w:vAlign w:val="center"/>
          </w:tcPr>
          <w:p w14:paraId="0D757B1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C39E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BB09E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399DC1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346ABC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832CF81">
                  <w:r>
                    <w:rPr>
                      <w:rStyle w:val="11"/>
                      <w:rFonts w:hint="eastAsia"/>
                    </w:rPr>
                    <w:t>施用方式</w:t>
                  </w:r>
                </w:p>
              </w:tc>
            </w:tr>
            <w:tr w14:paraId="5052F1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EA5A62">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4B7345">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B2ADBB">
                  <w:r>
                    <w:rPr>
                      <w:rStyle w:val="11"/>
                      <w:rFonts w:hint="eastAsia"/>
                    </w:rPr>
                    <w:t>33-40微升/平方米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2C9523">
                  <w:r>
                    <w:rPr>
                      <w:rStyle w:val="11"/>
                      <w:rFonts w:hint="eastAsia"/>
                    </w:rPr>
                    <w:t>喷雾</w:t>
                  </w:r>
                </w:p>
              </w:tc>
            </w:tr>
            <w:tr w14:paraId="520D59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8489A46">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1F5680">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92399C">
                  <w:r>
                    <w:rPr>
                      <w:rStyle w:val="11"/>
                      <w:rFonts w:hint="eastAsia"/>
                    </w:rPr>
                    <w:t>33-40微升/平方米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2E7546">
                  <w:r>
                    <w:rPr>
                      <w:rStyle w:val="11"/>
                      <w:rFonts w:hint="eastAsia"/>
                    </w:rPr>
                    <w:t>喷雾</w:t>
                  </w:r>
                </w:p>
              </w:tc>
            </w:tr>
          </w:tbl>
          <w:p w14:paraId="07018F01">
            <w:pPr>
              <w:rPr>
                <w:rFonts w:ascii="Times New Roman" w:hAnsi="Times New Roman" w:cs="Times New Roman"/>
                <w:sz w:val="20"/>
                <w:szCs w:val="20"/>
              </w:rPr>
            </w:pPr>
          </w:p>
        </w:tc>
      </w:tr>
      <w:tr w14:paraId="3FF36F67">
        <w:tblPrEx>
          <w:tblCellMar>
            <w:top w:w="0" w:type="dxa"/>
            <w:left w:w="0" w:type="dxa"/>
            <w:bottom w:w="0" w:type="dxa"/>
            <w:right w:w="0" w:type="dxa"/>
          </w:tblCellMar>
        </w:tblPrEx>
        <w:trPr>
          <w:wBefore w:w="0" w:type="auto"/>
          <w:tblCellSpacing w:w="0" w:type="dxa"/>
        </w:trPr>
        <w:tc>
          <w:tcPr>
            <w:tcW w:w="0" w:type="auto"/>
            <w:noWrap w:val="0"/>
            <w:vAlign w:val="center"/>
          </w:tcPr>
          <w:p w14:paraId="577A3255">
            <w:r>
              <w:rPr>
                <w:rStyle w:val="10"/>
                <w:rFonts w:hint="eastAsia"/>
              </w:rPr>
              <w:t>使用技术要求:</w:t>
            </w:r>
            <w:r>
              <w:rPr>
                <w:rFonts w:hint="eastAsia"/>
              </w:rPr>
              <w:br w:type="textWrapping"/>
            </w:r>
            <w:r>
              <w:rPr>
                <w:rStyle w:val="11"/>
                <w:rFonts w:hint="eastAsia"/>
              </w:rPr>
              <w:t xml:space="preserve">本品兑水150－200倍液，进行室外空间喷雾；施药时间：蝇在早上进行施药，蚊在傍晚进行施药；施药时注意个人防护，必须在清场后无其他人员及宠物的情况下进行。 </w:t>
            </w:r>
          </w:p>
        </w:tc>
      </w:tr>
      <w:tr w14:paraId="1F34A0A2">
        <w:tblPrEx>
          <w:tblCellMar>
            <w:top w:w="0" w:type="dxa"/>
            <w:left w:w="0" w:type="dxa"/>
            <w:bottom w:w="0" w:type="dxa"/>
            <w:right w:w="0" w:type="dxa"/>
          </w:tblCellMar>
        </w:tblPrEx>
        <w:trPr>
          <w:wBefore w:w="0" w:type="auto"/>
          <w:tblCellSpacing w:w="0" w:type="dxa"/>
        </w:trPr>
        <w:tc>
          <w:tcPr>
            <w:tcW w:w="0" w:type="auto"/>
            <w:noWrap w:val="0"/>
            <w:vAlign w:val="center"/>
          </w:tcPr>
          <w:p w14:paraId="1F40EC47">
            <w:r>
              <w:rPr>
                <w:rStyle w:val="10"/>
                <w:rFonts w:hint="eastAsia"/>
              </w:rPr>
              <w:t>产品性能:</w:t>
            </w:r>
            <w:r>
              <w:rPr>
                <w:rFonts w:hint="eastAsia"/>
              </w:rPr>
              <w:br w:type="textWrapping"/>
            </w:r>
            <w:r>
              <w:rPr>
                <w:rStyle w:val="11"/>
                <w:rFonts w:hint="eastAsia"/>
              </w:rPr>
              <w:t>本品由拟除虫菊酯杀虫剂加工而成的白色液体，适用于小区、绿化带、停车场、垃圾站、操场、广场等场所防治蚊、蝇。</w:t>
            </w:r>
          </w:p>
        </w:tc>
      </w:tr>
      <w:tr w14:paraId="2AB49DD0">
        <w:tblPrEx>
          <w:tblCellMar>
            <w:top w:w="0" w:type="dxa"/>
            <w:left w:w="0" w:type="dxa"/>
            <w:bottom w:w="0" w:type="dxa"/>
            <w:right w:w="0" w:type="dxa"/>
          </w:tblCellMar>
        </w:tblPrEx>
        <w:trPr>
          <w:wBefore w:w="0" w:type="auto"/>
          <w:tblCellSpacing w:w="0" w:type="dxa"/>
        </w:trPr>
        <w:tc>
          <w:tcPr>
            <w:tcW w:w="0" w:type="auto"/>
            <w:noWrap w:val="0"/>
            <w:vAlign w:val="center"/>
          </w:tcPr>
          <w:p w14:paraId="4560D2C4">
            <w:r>
              <w:rPr>
                <w:rStyle w:val="10"/>
                <w:rFonts w:hint="eastAsia"/>
              </w:rPr>
              <w:t>注意事项：</w:t>
            </w:r>
            <w:r>
              <w:rPr>
                <w:rFonts w:hint="eastAsia"/>
              </w:rPr>
              <w:br w:type="textWrapping"/>
            </w:r>
            <w:r>
              <w:rPr>
                <w:rStyle w:val="11"/>
                <w:rFonts w:hint="eastAsia"/>
              </w:rPr>
              <w:t>1.使用时，必须穿戴防护用具，戴面罩、穿胶鞋、戴手套等。本品对皮肤有刺激性，避免接触和吸入药液，不要让药液沾染皮肤和眼睛。 2.药液现配现用，加水稀释后，不可久置。碱性条件下易分解。本产品具有还原性，在使用过程中避免与氧化剂接触。 3.使用后，及时洗手、洗脸，清洗暴露在外的皮肤和工作服。 4.本品对蚕、鱼、蜜蜂有毒，施药期间应避免对周围蜂群的影响，（周围）开发植物花期禁用，蚕室和桑园附近禁用；远离水产养殖区及河塘等水域施药，禁止在河塘等水体中清洗施药器具。 5.用过的容器应妥善处理，不可做它用，也不可随意丢弃。 6.敏感体质人士、孕妇及哺乳期妇女请远离本品及施药场所。过敏者禁用。使用中有任何不良反应，请及时就医。勿向人体及食物使用。</w:t>
            </w:r>
          </w:p>
        </w:tc>
      </w:tr>
      <w:tr w14:paraId="1549C31F">
        <w:tblPrEx>
          <w:tblCellMar>
            <w:top w:w="0" w:type="dxa"/>
            <w:left w:w="0" w:type="dxa"/>
            <w:bottom w:w="0" w:type="dxa"/>
            <w:right w:w="0" w:type="dxa"/>
          </w:tblCellMar>
        </w:tblPrEx>
        <w:trPr>
          <w:wBefore w:w="0" w:type="auto"/>
          <w:tblCellSpacing w:w="0" w:type="dxa"/>
        </w:trPr>
        <w:tc>
          <w:tcPr>
            <w:tcW w:w="0" w:type="auto"/>
            <w:noWrap w:val="0"/>
            <w:vAlign w:val="center"/>
          </w:tcPr>
          <w:p w14:paraId="22025CFD">
            <w:r>
              <w:rPr>
                <w:rStyle w:val="10"/>
                <w:rFonts w:hint="eastAsia"/>
              </w:rPr>
              <w:t>中毒急救措施：</w:t>
            </w:r>
            <w:r>
              <w:rPr>
                <w:rFonts w:hint="eastAsia"/>
              </w:rPr>
              <w:br w:type="textWrapping"/>
            </w:r>
            <w:r>
              <w:rPr>
                <w:rStyle w:val="11"/>
                <w:rFonts w:hint="eastAsia"/>
              </w:rPr>
              <w:t>若药液沾染皮肤和眼睛，请立即用大量清水冲洗至少15分钟。若不慎吸入，请立即转移至空气清新处，并及时就医对症治疗。本品无特效解毒药，若误服，不要引吐、漱口并立即就医。</w:t>
            </w:r>
          </w:p>
        </w:tc>
      </w:tr>
      <w:tr w14:paraId="1EBA45CA">
        <w:tblPrEx>
          <w:tblCellMar>
            <w:top w:w="0" w:type="dxa"/>
            <w:left w:w="0" w:type="dxa"/>
            <w:bottom w:w="0" w:type="dxa"/>
            <w:right w:w="0" w:type="dxa"/>
          </w:tblCellMar>
        </w:tblPrEx>
        <w:trPr>
          <w:wBefore w:w="0" w:type="auto"/>
          <w:tblCellSpacing w:w="0" w:type="dxa"/>
        </w:trPr>
        <w:tc>
          <w:tcPr>
            <w:tcW w:w="0" w:type="auto"/>
            <w:noWrap w:val="0"/>
            <w:vAlign w:val="center"/>
          </w:tcPr>
          <w:p w14:paraId="21480281">
            <w:r>
              <w:rPr>
                <w:rStyle w:val="10"/>
                <w:rFonts w:hint="eastAsia"/>
              </w:rPr>
              <w:t>储存和运输方法：</w:t>
            </w:r>
            <w:r>
              <w:rPr>
                <w:rFonts w:hint="eastAsia"/>
              </w:rPr>
              <w:br w:type="textWrapping"/>
            </w:r>
            <w:r>
              <w:rPr>
                <w:rStyle w:val="11"/>
                <w:rFonts w:hint="eastAsia"/>
              </w:rPr>
              <w:t>本品应贮存于阴凉、干燥、通风、避光处，并远离火源和热源。 应置于儿童、无关人员及宠物触及不到之处，并加锁。运输时，请防雨淋、高温，注意轻拿轻放，不得损坏包装。请勿与食品、饮料、种子、饲料、粮食等其它商品同贮同运。</w:t>
            </w:r>
          </w:p>
        </w:tc>
      </w:tr>
      <w:tr w14:paraId="66841CBE">
        <w:tblPrEx>
          <w:tblCellMar>
            <w:top w:w="0" w:type="dxa"/>
            <w:left w:w="0" w:type="dxa"/>
            <w:bottom w:w="0" w:type="dxa"/>
            <w:right w:w="0" w:type="dxa"/>
          </w:tblCellMar>
        </w:tblPrEx>
        <w:trPr>
          <w:wBefore w:w="0" w:type="auto"/>
          <w:tblCellSpacing w:w="0" w:type="dxa"/>
        </w:trPr>
        <w:tc>
          <w:tcPr>
            <w:tcW w:w="0" w:type="auto"/>
            <w:noWrap w:val="0"/>
            <w:vAlign w:val="center"/>
          </w:tcPr>
          <w:p w14:paraId="3780B17E">
            <w:r>
              <w:rPr>
                <w:rStyle w:val="10"/>
                <w:rFonts w:hint="eastAsia"/>
              </w:rPr>
              <w:t>质量保证期：</w:t>
            </w:r>
            <w:r>
              <w:rPr>
                <w:rStyle w:val="11"/>
                <w:rFonts w:hint="eastAsia"/>
              </w:rPr>
              <w:t>2年</w:t>
            </w:r>
          </w:p>
        </w:tc>
      </w:tr>
      <w:tr w14:paraId="0BF88BE2">
        <w:tblPrEx>
          <w:tblCellMar>
            <w:top w:w="0" w:type="dxa"/>
            <w:left w:w="0" w:type="dxa"/>
            <w:bottom w:w="0" w:type="dxa"/>
            <w:right w:w="0" w:type="dxa"/>
          </w:tblCellMar>
        </w:tblPrEx>
        <w:trPr>
          <w:wBefore w:w="0" w:type="auto"/>
          <w:tblCellSpacing w:w="0" w:type="dxa"/>
        </w:trPr>
        <w:tc>
          <w:tcPr>
            <w:tcW w:w="0" w:type="auto"/>
            <w:noWrap w:val="0"/>
            <w:vAlign w:val="center"/>
          </w:tcPr>
          <w:p w14:paraId="1573C7A1">
            <w:r>
              <w:rPr>
                <w:rStyle w:val="10"/>
                <w:rFonts w:hint="eastAsia"/>
              </w:rPr>
              <w:t>备注：</w:t>
            </w:r>
          </w:p>
        </w:tc>
      </w:tr>
    </w:tbl>
    <w:p w14:paraId="0263D20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45CB71">
        <w:tblPrEx>
          <w:tblCellMar>
            <w:top w:w="0" w:type="dxa"/>
            <w:left w:w="0" w:type="dxa"/>
            <w:bottom w:w="0" w:type="dxa"/>
            <w:right w:w="0" w:type="dxa"/>
          </w:tblCellMar>
        </w:tblPrEx>
        <w:trPr>
          <w:wBefore w:w="0" w:type="auto"/>
          <w:tblCellSpacing w:w="0" w:type="dxa"/>
        </w:trPr>
        <w:tc>
          <w:tcPr>
            <w:tcW w:w="0" w:type="auto"/>
            <w:noWrap w:val="0"/>
            <w:vAlign w:val="center"/>
          </w:tcPr>
          <w:p w14:paraId="564C8644">
            <w:r>
              <w:rPr>
                <w:rStyle w:val="10"/>
                <w:rFonts w:hint="eastAsia"/>
              </w:rPr>
              <w:t>登记证号：</w:t>
            </w:r>
            <w:r>
              <w:rPr>
                <w:rFonts w:hint="eastAsia"/>
              </w:rPr>
              <w:t>PD20212213</w:t>
            </w:r>
          </w:p>
        </w:tc>
      </w:tr>
      <w:tr w14:paraId="1DCCBD83">
        <w:tblPrEx>
          <w:tblCellMar>
            <w:top w:w="0" w:type="dxa"/>
            <w:left w:w="0" w:type="dxa"/>
            <w:bottom w:w="0" w:type="dxa"/>
            <w:right w:w="0" w:type="dxa"/>
          </w:tblCellMar>
        </w:tblPrEx>
        <w:trPr>
          <w:wBefore w:w="0" w:type="auto"/>
          <w:tblCellSpacing w:w="0" w:type="dxa"/>
        </w:trPr>
        <w:tc>
          <w:tcPr>
            <w:tcW w:w="0" w:type="auto"/>
            <w:noWrap w:val="0"/>
            <w:vAlign w:val="center"/>
          </w:tcPr>
          <w:p w14:paraId="1F8EF9FF">
            <w:r>
              <w:rPr>
                <w:rStyle w:val="10"/>
                <w:rFonts w:hint="eastAsia"/>
              </w:rPr>
              <w:t>登记证持有人：</w:t>
            </w:r>
            <w:r>
              <w:rPr>
                <w:rFonts w:hint="eastAsia"/>
              </w:rPr>
              <w:t>孟州传奇生物科技有限公司</w:t>
            </w:r>
          </w:p>
        </w:tc>
      </w:tr>
      <w:tr w14:paraId="43023B61">
        <w:tblPrEx>
          <w:tblCellMar>
            <w:top w:w="0" w:type="dxa"/>
            <w:left w:w="0" w:type="dxa"/>
            <w:bottom w:w="0" w:type="dxa"/>
            <w:right w:w="0" w:type="dxa"/>
          </w:tblCellMar>
        </w:tblPrEx>
        <w:trPr>
          <w:wBefore w:w="0" w:type="auto"/>
          <w:tblCellSpacing w:w="0" w:type="dxa"/>
        </w:trPr>
        <w:tc>
          <w:tcPr>
            <w:tcW w:w="0" w:type="auto"/>
            <w:noWrap w:val="0"/>
            <w:vAlign w:val="center"/>
          </w:tcPr>
          <w:p w14:paraId="65160FAA">
            <w:r>
              <w:rPr>
                <w:rStyle w:val="10"/>
                <w:rFonts w:hint="eastAsia"/>
              </w:rPr>
              <w:t>农药名称：</w:t>
            </w:r>
            <w:r>
              <w:rPr>
                <w:rFonts w:hint="eastAsia"/>
              </w:rPr>
              <w:t>2甲4氯·草铵膦·高氟吡</w:t>
            </w:r>
          </w:p>
        </w:tc>
      </w:tr>
      <w:tr w14:paraId="0F4A5C8D">
        <w:tblPrEx>
          <w:tblCellMar>
            <w:top w:w="0" w:type="dxa"/>
            <w:left w:w="0" w:type="dxa"/>
            <w:bottom w:w="0" w:type="dxa"/>
            <w:right w:w="0" w:type="dxa"/>
          </w:tblCellMar>
        </w:tblPrEx>
        <w:trPr>
          <w:wBefore w:w="0" w:type="auto"/>
          <w:tblCellSpacing w:w="0" w:type="dxa"/>
        </w:trPr>
        <w:tc>
          <w:tcPr>
            <w:tcW w:w="0" w:type="auto"/>
            <w:noWrap w:val="0"/>
            <w:vAlign w:val="center"/>
          </w:tcPr>
          <w:p w14:paraId="3A252FFC">
            <w:r>
              <w:rPr>
                <w:rStyle w:val="10"/>
                <w:rFonts w:hint="eastAsia"/>
              </w:rPr>
              <w:t>剂型：</w:t>
            </w:r>
            <w:r>
              <w:rPr>
                <w:rFonts w:hint="eastAsia"/>
              </w:rPr>
              <w:t>微乳剂</w:t>
            </w:r>
          </w:p>
        </w:tc>
      </w:tr>
      <w:tr w14:paraId="206E51BF">
        <w:tblPrEx>
          <w:tblCellMar>
            <w:top w:w="0" w:type="dxa"/>
            <w:left w:w="0" w:type="dxa"/>
            <w:bottom w:w="0" w:type="dxa"/>
            <w:right w:w="0" w:type="dxa"/>
          </w:tblCellMar>
        </w:tblPrEx>
        <w:trPr>
          <w:wBefore w:w="0" w:type="auto"/>
          <w:tblCellSpacing w:w="0" w:type="dxa"/>
        </w:trPr>
        <w:tc>
          <w:tcPr>
            <w:tcW w:w="0" w:type="auto"/>
            <w:noWrap w:val="0"/>
            <w:vAlign w:val="center"/>
          </w:tcPr>
          <w:p w14:paraId="0CF277F4">
            <w:r>
              <w:rPr>
                <w:rStyle w:val="10"/>
                <w:rFonts w:hint="eastAsia"/>
              </w:rPr>
              <w:t>毒性及其标识：</w:t>
            </w:r>
            <w:r>
              <w:rPr>
                <w:rFonts w:hint="eastAsia"/>
              </w:rPr>
              <w:t xml:space="preserve"> </w:t>
            </w:r>
            <w:r>
              <w:rPr>
                <w:lang/>
              </w:rPr>
              <w:drawing>
                <wp:inline distT="0" distB="0" distL="114300" distR="114300">
                  <wp:extent cx="476250" cy="323850"/>
                  <wp:effectExtent l="0" t="0" r="0" b="0"/>
                  <wp:docPr id="88" name="图片 8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7FB84A2">
        <w:tblPrEx>
          <w:tblCellMar>
            <w:top w:w="0" w:type="dxa"/>
            <w:left w:w="0" w:type="dxa"/>
            <w:bottom w:w="0" w:type="dxa"/>
            <w:right w:w="0" w:type="dxa"/>
          </w:tblCellMar>
        </w:tblPrEx>
        <w:trPr>
          <w:wBefore w:w="0" w:type="auto"/>
          <w:tblCellSpacing w:w="0" w:type="dxa"/>
        </w:trPr>
        <w:tc>
          <w:tcPr>
            <w:tcW w:w="0" w:type="auto"/>
            <w:noWrap w:val="0"/>
            <w:vAlign w:val="center"/>
          </w:tcPr>
          <w:p w14:paraId="6E6578CE">
            <w:r>
              <w:rPr>
                <w:rStyle w:val="10"/>
                <w:rFonts w:hint="eastAsia"/>
              </w:rPr>
              <w:t>总有效成分含量：</w:t>
            </w:r>
            <w:r>
              <w:rPr>
                <w:rFonts w:hint="eastAsia"/>
              </w:rPr>
              <w:t>28%</w:t>
            </w:r>
          </w:p>
        </w:tc>
      </w:tr>
      <w:tr w14:paraId="62969E89">
        <w:tblPrEx>
          <w:tblCellMar>
            <w:top w:w="0" w:type="dxa"/>
            <w:left w:w="0" w:type="dxa"/>
            <w:bottom w:w="0" w:type="dxa"/>
            <w:right w:w="0" w:type="dxa"/>
          </w:tblCellMar>
        </w:tblPrEx>
        <w:trPr>
          <w:wBefore w:w="0" w:type="auto"/>
          <w:tblCellSpacing w:w="0" w:type="dxa"/>
        </w:trPr>
        <w:tc>
          <w:tcPr>
            <w:tcW w:w="0" w:type="auto"/>
            <w:noWrap w:val="0"/>
            <w:vAlign w:val="center"/>
          </w:tcPr>
          <w:p w14:paraId="629144C1">
            <w:r>
              <w:rPr>
                <w:rFonts w:hint="eastAsia"/>
              </w:rPr>
              <w:t xml:space="preserve">有效成分及其含量： </w:t>
            </w:r>
          </w:p>
          <w:p w14:paraId="6E68EC60">
            <w:r>
              <w:rPr>
                <w:rFonts w:hint="eastAsia"/>
              </w:rPr>
              <w:t xml:space="preserve">    2甲4氯10%    高效氟吡甲禾灵2%    草铵膦16%    </w:t>
            </w:r>
          </w:p>
        </w:tc>
      </w:tr>
      <w:tr w14:paraId="3CD4F044">
        <w:tblPrEx>
          <w:tblCellMar>
            <w:top w:w="0" w:type="dxa"/>
            <w:left w:w="0" w:type="dxa"/>
            <w:bottom w:w="0" w:type="dxa"/>
            <w:right w:w="0" w:type="dxa"/>
          </w:tblCellMar>
        </w:tblPrEx>
        <w:trPr>
          <w:wBefore w:w="0" w:type="auto"/>
          <w:tblCellSpacing w:w="0" w:type="dxa"/>
        </w:trPr>
        <w:tc>
          <w:tcPr>
            <w:tcW w:w="0" w:type="auto"/>
            <w:noWrap w:val="0"/>
            <w:vAlign w:val="center"/>
          </w:tcPr>
          <w:p w14:paraId="75ADF0B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BAE28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C0EF63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B16B45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E15E72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89FEB07">
                  <w:r>
                    <w:rPr>
                      <w:rStyle w:val="11"/>
                      <w:rFonts w:hint="eastAsia"/>
                    </w:rPr>
                    <w:t>施用方式</w:t>
                  </w:r>
                </w:p>
              </w:tc>
            </w:tr>
            <w:tr w14:paraId="76F4FD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3FE76D">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5E55D7">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483B7E">
                  <w:r>
                    <w:rPr>
                      <w:rStyle w:val="11"/>
                      <w:rFonts w:hint="eastAsia"/>
                    </w:rPr>
                    <w:t>160-260毫升/亩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14F06D">
                  <w:r>
                    <w:rPr>
                      <w:rStyle w:val="11"/>
                      <w:rFonts w:hint="eastAsia"/>
                    </w:rPr>
                    <w:t>茎叶喷雾</w:t>
                  </w:r>
                </w:p>
              </w:tc>
            </w:tr>
          </w:tbl>
          <w:p w14:paraId="0CA7ED77">
            <w:pPr>
              <w:rPr>
                <w:rFonts w:ascii="Times New Roman" w:hAnsi="Times New Roman" w:cs="Times New Roman"/>
                <w:sz w:val="20"/>
                <w:szCs w:val="20"/>
              </w:rPr>
            </w:pPr>
          </w:p>
        </w:tc>
      </w:tr>
      <w:tr w14:paraId="39521307">
        <w:tblPrEx>
          <w:tblCellMar>
            <w:top w:w="0" w:type="dxa"/>
            <w:left w:w="0" w:type="dxa"/>
            <w:bottom w:w="0" w:type="dxa"/>
            <w:right w:w="0" w:type="dxa"/>
          </w:tblCellMar>
        </w:tblPrEx>
        <w:trPr>
          <w:wBefore w:w="0" w:type="auto"/>
          <w:tblCellSpacing w:w="0" w:type="dxa"/>
        </w:trPr>
        <w:tc>
          <w:tcPr>
            <w:tcW w:w="0" w:type="auto"/>
            <w:noWrap w:val="0"/>
            <w:vAlign w:val="center"/>
          </w:tcPr>
          <w:p w14:paraId="648F804C">
            <w:r>
              <w:rPr>
                <w:rStyle w:val="10"/>
                <w:rFonts w:hint="eastAsia"/>
              </w:rPr>
              <w:t>使用技术要求:</w:t>
            </w:r>
            <w:r>
              <w:rPr>
                <w:rFonts w:hint="eastAsia"/>
              </w:rPr>
              <w:br w:type="textWrapping"/>
            </w:r>
            <w:r>
              <w:rPr>
                <w:rStyle w:val="11"/>
                <w:rFonts w:hint="eastAsia"/>
              </w:rPr>
              <w:t>1、施药的最佳时期为杂草的营养生长旺盛期。2、杂草基本出齐后，每亩兑水30-50公斤，进行杂草茎叶定向喷雾处理。喷药时，将杂草完全喷透，确保杂草充分吸收药液。3、干旱及杂草密度大或防除大龄杂草及多年生恶性杂草时，采用较高的推荐制剂用量和兑水量。4、避免飘移药害。</w:t>
            </w:r>
          </w:p>
        </w:tc>
      </w:tr>
      <w:tr w14:paraId="4238475C">
        <w:tblPrEx>
          <w:tblCellMar>
            <w:top w:w="0" w:type="dxa"/>
            <w:left w:w="0" w:type="dxa"/>
            <w:bottom w:w="0" w:type="dxa"/>
            <w:right w:w="0" w:type="dxa"/>
          </w:tblCellMar>
        </w:tblPrEx>
        <w:trPr>
          <w:wBefore w:w="0" w:type="auto"/>
          <w:tblCellSpacing w:w="0" w:type="dxa"/>
        </w:trPr>
        <w:tc>
          <w:tcPr>
            <w:tcW w:w="0" w:type="auto"/>
            <w:noWrap w:val="0"/>
            <w:vAlign w:val="center"/>
          </w:tcPr>
          <w:p w14:paraId="568B933F">
            <w:r>
              <w:rPr>
                <w:rStyle w:val="10"/>
                <w:rFonts w:hint="eastAsia"/>
              </w:rPr>
              <w:t>产品性能:</w:t>
            </w:r>
            <w:r>
              <w:rPr>
                <w:rFonts w:hint="eastAsia"/>
              </w:rPr>
              <w:br w:type="textWrapping"/>
            </w:r>
            <w:r>
              <w:rPr>
                <w:rStyle w:val="11"/>
                <w:rFonts w:hint="eastAsia"/>
              </w:rPr>
              <w:t xml:space="preserve">本品是一种内吸兼触杀型非选择性除草剂，具有杀草速度快、杀草谱广、持效期较长、耐雨水冲刷、耐低温等特点，本品可用于非耕地防除一年生和多年生禾本科、阔叶及莎草科杂草。对牛筋草、芦苇、香附子、小飞蓬、节节草、藜等抗性杂草有较好防效。 </w:t>
            </w:r>
          </w:p>
        </w:tc>
      </w:tr>
      <w:tr w14:paraId="0992045B">
        <w:tblPrEx>
          <w:tblCellMar>
            <w:top w:w="0" w:type="dxa"/>
            <w:left w:w="0" w:type="dxa"/>
            <w:bottom w:w="0" w:type="dxa"/>
            <w:right w:w="0" w:type="dxa"/>
          </w:tblCellMar>
        </w:tblPrEx>
        <w:trPr>
          <w:wBefore w:w="0" w:type="auto"/>
          <w:tblCellSpacing w:w="0" w:type="dxa"/>
        </w:trPr>
        <w:tc>
          <w:tcPr>
            <w:tcW w:w="0" w:type="auto"/>
            <w:noWrap w:val="0"/>
            <w:vAlign w:val="center"/>
          </w:tcPr>
          <w:p w14:paraId="678E5F30">
            <w:r>
              <w:rPr>
                <w:rStyle w:val="10"/>
                <w:rFonts w:hint="eastAsia"/>
              </w:rPr>
              <w:t>注意事项：</w:t>
            </w:r>
            <w:r>
              <w:rPr>
                <w:rFonts w:hint="eastAsia"/>
              </w:rPr>
              <w:br w:type="textWrapping"/>
            </w:r>
            <w:r>
              <w:rPr>
                <w:rStyle w:val="11"/>
                <w:rFonts w:hint="eastAsia"/>
              </w:rPr>
              <w:t>1、本品需用清水配制药液，现配现用，不宜久置。 2、喷药时应注意风向，防止飘移到邻近敏感作物上。 3、本品对鱼类等水生生物、蜜蜂、家蚕有毒，施药期间应避免对周围蜂群的影响、蜜蜂作物花期、蚕室和桑园附近禁用。远离水产养殖区、河塘等水体施药，禁止在河塘等水体中清洗施药器具。赤眼蜂等天敌放飞区域禁用。 4、用过的容器应妥善处理，不可做他用，也不可随意丢弃。 5、使用本品时要注意避免一天内大面积和连续多天施药。应穿戴防护服、佩戴护目镜和防渗手套等，避免药剂与皮肤，眼睛接触，防止口鼻吸入药液。施药时不可吃东西和饮水。施药后，彻底清洗器械，并立即用肥皂洗手和洗脸洗手。 6、避免孕妇及哺乳期的妇女接触本品。</w:t>
            </w:r>
          </w:p>
        </w:tc>
      </w:tr>
      <w:tr w14:paraId="3CA47564">
        <w:tblPrEx>
          <w:tblCellMar>
            <w:top w:w="0" w:type="dxa"/>
            <w:left w:w="0" w:type="dxa"/>
            <w:bottom w:w="0" w:type="dxa"/>
            <w:right w:w="0" w:type="dxa"/>
          </w:tblCellMar>
        </w:tblPrEx>
        <w:trPr>
          <w:wBefore w:w="0" w:type="auto"/>
          <w:tblCellSpacing w:w="0" w:type="dxa"/>
        </w:trPr>
        <w:tc>
          <w:tcPr>
            <w:tcW w:w="0" w:type="auto"/>
            <w:noWrap w:val="0"/>
            <w:vAlign w:val="center"/>
          </w:tcPr>
          <w:p w14:paraId="234CF1B2">
            <w:r>
              <w:rPr>
                <w:rStyle w:val="10"/>
                <w:rFonts w:hint="eastAsia"/>
              </w:rPr>
              <w:t>中毒急救措施：</w:t>
            </w:r>
            <w:r>
              <w:rPr>
                <w:rFonts w:hint="eastAsia"/>
              </w:rPr>
              <w:br w:type="textWrapping"/>
            </w:r>
            <w:r>
              <w:rPr>
                <w:rStyle w:val="11"/>
                <w:rFonts w:hint="eastAsia"/>
              </w:rPr>
              <w:t xml:space="preserve">中毒症状表现为对皮肤、眼睛和上呼吸道有刺激作用，无经口中毒报道。 急救措施：不慎吸入，应将病人移至空气流通处。不慎接触皮肤，应用大量清水冲洗，若溅入眼睛，应用大量清水冲洗至少15分钟；本品无特效 解毒剂，如误服，严禁引吐，应先立即用清水漱口，再携带本标签到医院诊治。 </w:t>
            </w:r>
          </w:p>
        </w:tc>
      </w:tr>
      <w:tr w14:paraId="7A3336CA">
        <w:tblPrEx>
          <w:tblCellMar>
            <w:top w:w="0" w:type="dxa"/>
            <w:left w:w="0" w:type="dxa"/>
            <w:bottom w:w="0" w:type="dxa"/>
            <w:right w:w="0" w:type="dxa"/>
          </w:tblCellMar>
        </w:tblPrEx>
        <w:trPr>
          <w:wBefore w:w="0" w:type="auto"/>
          <w:tblCellSpacing w:w="0" w:type="dxa"/>
        </w:trPr>
        <w:tc>
          <w:tcPr>
            <w:tcW w:w="0" w:type="auto"/>
            <w:noWrap w:val="0"/>
            <w:vAlign w:val="center"/>
          </w:tcPr>
          <w:p w14:paraId="71B2601D">
            <w:r>
              <w:rPr>
                <w:rStyle w:val="10"/>
                <w:rFonts w:hint="eastAsia"/>
              </w:rPr>
              <w:t>储存和运输方法：</w:t>
            </w:r>
            <w:r>
              <w:rPr>
                <w:rFonts w:hint="eastAsia"/>
              </w:rPr>
              <w:br w:type="textWrapping"/>
            </w:r>
            <w:r>
              <w:rPr>
                <w:rStyle w:val="11"/>
                <w:rFonts w:hint="eastAsia"/>
              </w:rPr>
              <w:t>本品应贮存于干燥、阴凉、通风、防雨处；远离火源或热源；存放于儿童触及不到之处，并加锁；不能与食品、饮料、粮食、饲料等混合储运；运输时应注意防水防潮，避免雨淋；搬运时轻搬轻放，不可倒置。</w:t>
            </w:r>
          </w:p>
        </w:tc>
      </w:tr>
      <w:tr w14:paraId="4174EE2D">
        <w:tblPrEx>
          <w:tblCellMar>
            <w:top w:w="0" w:type="dxa"/>
            <w:left w:w="0" w:type="dxa"/>
            <w:bottom w:w="0" w:type="dxa"/>
            <w:right w:w="0" w:type="dxa"/>
          </w:tblCellMar>
        </w:tblPrEx>
        <w:trPr>
          <w:wBefore w:w="0" w:type="auto"/>
          <w:tblCellSpacing w:w="0" w:type="dxa"/>
        </w:trPr>
        <w:tc>
          <w:tcPr>
            <w:tcW w:w="0" w:type="auto"/>
            <w:noWrap w:val="0"/>
            <w:vAlign w:val="center"/>
          </w:tcPr>
          <w:p w14:paraId="207BF949">
            <w:r>
              <w:rPr>
                <w:rStyle w:val="10"/>
                <w:rFonts w:hint="eastAsia"/>
              </w:rPr>
              <w:t>质量保证期：</w:t>
            </w:r>
            <w:r>
              <w:rPr>
                <w:rStyle w:val="11"/>
                <w:rFonts w:hint="eastAsia"/>
              </w:rPr>
              <w:t>2年</w:t>
            </w:r>
          </w:p>
        </w:tc>
      </w:tr>
      <w:tr w14:paraId="0F540A23">
        <w:tblPrEx>
          <w:tblCellMar>
            <w:top w:w="0" w:type="dxa"/>
            <w:left w:w="0" w:type="dxa"/>
            <w:bottom w:w="0" w:type="dxa"/>
            <w:right w:w="0" w:type="dxa"/>
          </w:tblCellMar>
        </w:tblPrEx>
        <w:trPr>
          <w:wBefore w:w="0" w:type="auto"/>
          <w:tblCellSpacing w:w="0" w:type="dxa"/>
        </w:trPr>
        <w:tc>
          <w:tcPr>
            <w:tcW w:w="0" w:type="auto"/>
            <w:noWrap w:val="0"/>
            <w:vAlign w:val="center"/>
          </w:tcPr>
          <w:p w14:paraId="490679BC">
            <w:r>
              <w:rPr>
                <w:rStyle w:val="10"/>
                <w:rFonts w:hint="eastAsia"/>
              </w:rPr>
              <w:t>备注：</w:t>
            </w:r>
          </w:p>
        </w:tc>
      </w:tr>
    </w:tbl>
    <w:p w14:paraId="04C5232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8AFB8D">
        <w:tblPrEx>
          <w:tblCellMar>
            <w:top w:w="0" w:type="dxa"/>
            <w:left w:w="0" w:type="dxa"/>
            <w:bottom w:w="0" w:type="dxa"/>
            <w:right w:w="0" w:type="dxa"/>
          </w:tblCellMar>
        </w:tblPrEx>
        <w:trPr>
          <w:wBefore w:w="0" w:type="auto"/>
          <w:tblCellSpacing w:w="0" w:type="dxa"/>
        </w:trPr>
        <w:tc>
          <w:tcPr>
            <w:tcW w:w="0" w:type="auto"/>
            <w:noWrap w:val="0"/>
            <w:vAlign w:val="center"/>
          </w:tcPr>
          <w:p w14:paraId="7772F6A0">
            <w:r>
              <w:rPr>
                <w:rStyle w:val="10"/>
                <w:rFonts w:hint="eastAsia"/>
              </w:rPr>
              <w:t>登记证号：</w:t>
            </w:r>
            <w:r>
              <w:rPr>
                <w:rFonts w:hint="eastAsia"/>
              </w:rPr>
              <w:t>PD20212263</w:t>
            </w:r>
          </w:p>
        </w:tc>
      </w:tr>
      <w:tr w14:paraId="1A1788E1">
        <w:tblPrEx>
          <w:tblCellMar>
            <w:top w:w="0" w:type="dxa"/>
            <w:left w:w="0" w:type="dxa"/>
            <w:bottom w:w="0" w:type="dxa"/>
            <w:right w:w="0" w:type="dxa"/>
          </w:tblCellMar>
        </w:tblPrEx>
        <w:trPr>
          <w:wBefore w:w="0" w:type="auto"/>
          <w:tblCellSpacing w:w="0" w:type="dxa"/>
        </w:trPr>
        <w:tc>
          <w:tcPr>
            <w:tcW w:w="0" w:type="auto"/>
            <w:noWrap w:val="0"/>
            <w:vAlign w:val="center"/>
          </w:tcPr>
          <w:p w14:paraId="5240BB2C">
            <w:r>
              <w:rPr>
                <w:rStyle w:val="10"/>
                <w:rFonts w:hint="eastAsia"/>
              </w:rPr>
              <w:t>登记证持有人：</w:t>
            </w:r>
            <w:r>
              <w:rPr>
                <w:rFonts w:hint="eastAsia"/>
              </w:rPr>
              <w:t>乐山新路化工有限公司</w:t>
            </w:r>
          </w:p>
        </w:tc>
      </w:tr>
      <w:tr w14:paraId="3DCA28D8">
        <w:tblPrEx>
          <w:tblCellMar>
            <w:top w:w="0" w:type="dxa"/>
            <w:left w:w="0" w:type="dxa"/>
            <w:bottom w:w="0" w:type="dxa"/>
            <w:right w:w="0" w:type="dxa"/>
          </w:tblCellMar>
        </w:tblPrEx>
        <w:trPr>
          <w:wBefore w:w="0" w:type="auto"/>
          <w:tblCellSpacing w:w="0" w:type="dxa"/>
        </w:trPr>
        <w:tc>
          <w:tcPr>
            <w:tcW w:w="0" w:type="auto"/>
            <w:noWrap w:val="0"/>
            <w:vAlign w:val="center"/>
          </w:tcPr>
          <w:p w14:paraId="46625941">
            <w:r>
              <w:rPr>
                <w:rStyle w:val="10"/>
                <w:rFonts w:hint="eastAsia"/>
              </w:rPr>
              <w:t>农药名称：</w:t>
            </w:r>
            <w:r>
              <w:rPr>
                <w:rFonts w:hint="eastAsia"/>
              </w:rPr>
              <w:t>2甲4氯钠</w:t>
            </w:r>
          </w:p>
        </w:tc>
      </w:tr>
      <w:tr w14:paraId="2B6DF892">
        <w:tblPrEx>
          <w:tblCellMar>
            <w:top w:w="0" w:type="dxa"/>
            <w:left w:w="0" w:type="dxa"/>
            <w:bottom w:w="0" w:type="dxa"/>
            <w:right w:w="0" w:type="dxa"/>
          </w:tblCellMar>
        </w:tblPrEx>
        <w:trPr>
          <w:wBefore w:w="0" w:type="auto"/>
          <w:tblCellSpacing w:w="0" w:type="dxa"/>
        </w:trPr>
        <w:tc>
          <w:tcPr>
            <w:tcW w:w="0" w:type="auto"/>
            <w:noWrap w:val="0"/>
            <w:vAlign w:val="center"/>
          </w:tcPr>
          <w:p w14:paraId="14030180">
            <w:r>
              <w:rPr>
                <w:rStyle w:val="10"/>
                <w:rFonts w:hint="eastAsia"/>
              </w:rPr>
              <w:t>剂型：</w:t>
            </w:r>
            <w:r>
              <w:rPr>
                <w:rFonts w:hint="eastAsia"/>
              </w:rPr>
              <w:t>可溶粉剂</w:t>
            </w:r>
          </w:p>
        </w:tc>
      </w:tr>
      <w:tr w14:paraId="7360E54E">
        <w:tblPrEx>
          <w:tblCellMar>
            <w:top w:w="0" w:type="dxa"/>
            <w:left w:w="0" w:type="dxa"/>
            <w:bottom w:w="0" w:type="dxa"/>
            <w:right w:w="0" w:type="dxa"/>
          </w:tblCellMar>
        </w:tblPrEx>
        <w:trPr>
          <w:wBefore w:w="0" w:type="auto"/>
          <w:tblCellSpacing w:w="0" w:type="dxa"/>
        </w:trPr>
        <w:tc>
          <w:tcPr>
            <w:tcW w:w="0" w:type="auto"/>
            <w:noWrap w:val="0"/>
            <w:vAlign w:val="center"/>
          </w:tcPr>
          <w:p w14:paraId="560D661C">
            <w:r>
              <w:rPr>
                <w:rStyle w:val="10"/>
                <w:rFonts w:hint="eastAsia"/>
              </w:rPr>
              <w:t>毒性及其标识：</w:t>
            </w:r>
            <w:r>
              <w:rPr>
                <w:rFonts w:hint="eastAsia"/>
              </w:rPr>
              <w:t xml:space="preserve"> </w:t>
            </w:r>
            <w:r>
              <w:rPr>
                <w:lang/>
              </w:rPr>
              <w:drawing>
                <wp:inline distT="0" distB="0" distL="114300" distR="114300">
                  <wp:extent cx="476250" cy="323850"/>
                  <wp:effectExtent l="0" t="0" r="0" b="0"/>
                  <wp:docPr id="89" name="图片 8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4A3E6E6">
        <w:tblPrEx>
          <w:tblCellMar>
            <w:top w:w="0" w:type="dxa"/>
            <w:left w:w="0" w:type="dxa"/>
            <w:bottom w:w="0" w:type="dxa"/>
            <w:right w:w="0" w:type="dxa"/>
          </w:tblCellMar>
        </w:tblPrEx>
        <w:trPr>
          <w:wBefore w:w="0" w:type="auto"/>
          <w:tblCellSpacing w:w="0" w:type="dxa"/>
        </w:trPr>
        <w:tc>
          <w:tcPr>
            <w:tcW w:w="0" w:type="auto"/>
            <w:noWrap w:val="0"/>
            <w:vAlign w:val="center"/>
          </w:tcPr>
          <w:p w14:paraId="6A04A60C">
            <w:r>
              <w:rPr>
                <w:rStyle w:val="10"/>
                <w:rFonts w:hint="eastAsia"/>
              </w:rPr>
              <w:t>总有效成分含量：</w:t>
            </w:r>
            <w:r>
              <w:rPr>
                <w:rFonts w:hint="eastAsia"/>
              </w:rPr>
              <w:t>50.5%</w:t>
            </w:r>
          </w:p>
        </w:tc>
      </w:tr>
      <w:tr w14:paraId="108A0A02">
        <w:tblPrEx>
          <w:tblCellMar>
            <w:top w:w="0" w:type="dxa"/>
            <w:left w:w="0" w:type="dxa"/>
            <w:bottom w:w="0" w:type="dxa"/>
            <w:right w:w="0" w:type="dxa"/>
          </w:tblCellMar>
        </w:tblPrEx>
        <w:trPr>
          <w:wBefore w:w="0" w:type="auto"/>
          <w:tblCellSpacing w:w="0" w:type="dxa"/>
        </w:trPr>
        <w:tc>
          <w:tcPr>
            <w:tcW w:w="0" w:type="auto"/>
            <w:noWrap w:val="0"/>
            <w:vAlign w:val="center"/>
          </w:tcPr>
          <w:p w14:paraId="75DF8B84">
            <w:r>
              <w:rPr>
                <w:rFonts w:hint="eastAsia"/>
              </w:rPr>
              <w:t xml:space="preserve">有效成分及其含量： </w:t>
            </w:r>
          </w:p>
          <w:p w14:paraId="02386772">
            <w:r>
              <w:rPr>
                <w:rFonts w:hint="eastAsia"/>
              </w:rPr>
              <w:t xml:space="preserve">    2甲4氯50.5%    </w:t>
            </w:r>
          </w:p>
        </w:tc>
      </w:tr>
      <w:tr w14:paraId="144C5294">
        <w:tblPrEx>
          <w:tblCellMar>
            <w:top w:w="0" w:type="dxa"/>
            <w:left w:w="0" w:type="dxa"/>
            <w:bottom w:w="0" w:type="dxa"/>
            <w:right w:w="0" w:type="dxa"/>
          </w:tblCellMar>
        </w:tblPrEx>
        <w:trPr>
          <w:wBefore w:w="0" w:type="auto"/>
          <w:tblCellSpacing w:w="0" w:type="dxa"/>
        </w:trPr>
        <w:tc>
          <w:tcPr>
            <w:tcW w:w="0" w:type="auto"/>
            <w:noWrap w:val="0"/>
            <w:vAlign w:val="center"/>
          </w:tcPr>
          <w:p w14:paraId="5F22C35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D265A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A11683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6060CB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299E61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A7CAA4">
                  <w:r>
                    <w:rPr>
                      <w:rStyle w:val="11"/>
                      <w:rFonts w:hint="eastAsia"/>
                    </w:rPr>
                    <w:t>施用方式</w:t>
                  </w:r>
                </w:p>
              </w:tc>
            </w:tr>
            <w:tr w14:paraId="5D29AC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A71EF8D">
                  <w:r>
                    <w:rPr>
                      <w:rStyle w:val="11"/>
                      <w:rFonts w:hint="eastAsia"/>
                    </w:rPr>
                    <w:t>春小麦田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A3E160">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1FCC1D">
                  <w:r>
                    <w:rPr>
                      <w:rStyle w:val="11"/>
                      <w:rFonts w:hint="eastAsia"/>
                    </w:rPr>
                    <w:t>120-150克/亩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0F4BA9">
                  <w:r>
                    <w:rPr>
                      <w:rStyle w:val="11"/>
                      <w:rFonts w:hint="eastAsia"/>
                    </w:rPr>
                    <w:t>茎叶喷雾</w:t>
                  </w:r>
                </w:p>
              </w:tc>
            </w:tr>
          </w:tbl>
          <w:p w14:paraId="06B90903">
            <w:pPr>
              <w:rPr>
                <w:rFonts w:ascii="Times New Roman" w:hAnsi="Times New Roman" w:cs="Times New Roman"/>
                <w:sz w:val="20"/>
                <w:szCs w:val="20"/>
              </w:rPr>
            </w:pPr>
          </w:p>
        </w:tc>
      </w:tr>
      <w:tr w14:paraId="55E3AF80">
        <w:tblPrEx>
          <w:tblCellMar>
            <w:top w:w="0" w:type="dxa"/>
            <w:left w:w="0" w:type="dxa"/>
            <w:bottom w:w="0" w:type="dxa"/>
            <w:right w:w="0" w:type="dxa"/>
          </w:tblCellMar>
        </w:tblPrEx>
        <w:trPr>
          <w:wBefore w:w="0" w:type="auto"/>
          <w:tblCellSpacing w:w="0" w:type="dxa"/>
        </w:trPr>
        <w:tc>
          <w:tcPr>
            <w:tcW w:w="0" w:type="auto"/>
            <w:noWrap w:val="0"/>
            <w:vAlign w:val="center"/>
          </w:tcPr>
          <w:p w14:paraId="5B968EAF">
            <w:r>
              <w:rPr>
                <w:rStyle w:val="10"/>
                <w:rFonts w:hint="eastAsia"/>
              </w:rPr>
              <w:t>使用技术要求:</w:t>
            </w:r>
            <w:r>
              <w:rPr>
                <w:rFonts w:hint="eastAsia"/>
              </w:rPr>
              <w:br w:type="textWrapping"/>
            </w:r>
            <w:r>
              <w:rPr>
                <w:rStyle w:val="11"/>
                <w:rFonts w:hint="eastAsia"/>
              </w:rPr>
              <w:t>1. 本品在春小麦3叶期至拔节期前，阔叶杂草3-5叶期为适宜施药时期，应选择晴天无风天气施药。 2. 棉花、豆类、油类、马铃薯、瓜类、果树、林木等阔叶作物对该药敏感，用药时应防止药物飘移到上述作物上，以防产生药害。3.每季最多使用1次。</w:t>
            </w:r>
          </w:p>
        </w:tc>
      </w:tr>
      <w:tr w14:paraId="019E73F3">
        <w:tblPrEx>
          <w:tblCellMar>
            <w:top w:w="0" w:type="dxa"/>
            <w:left w:w="0" w:type="dxa"/>
            <w:bottom w:w="0" w:type="dxa"/>
            <w:right w:w="0" w:type="dxa"/>
          </w:tblCellMar>
        </w:tblPrEx>
        <w:trPr>
          <w:wBefore w:w="0" w:type="auto"/>
          <w:tblCellSpacing w:w="0" w:type="dxa"/>
        </w:trPr>
        <w:tc>
          <w:tcPr>
            <w:tcW w:w="0" w:type="auto"/>
            <w:noWrap w:val="0"/>
            <w:vAlign w:val="center"/>
          </w:tcPr>
          <w:p w14:paraId="56E4C8C0">
            <w:r>
              <w:rPr>
                <w:rStyle w:val="10"/>
                <w:rFonts w:hint="eastAsia"/>
              </w:rPr>
              <w:t>产品性能:</w:t>
            </w:r>
            <w:r>
              <w:rPr>
                <w:rFonts w:hint="eastAsia"/>
              </w:rPr>
              <w:br w:type="textWrapping"/>
            </w:r>
            <w:r>
              <w:rPr>
                <w:rStyle w:val="11"/>
                <w:rFonts w:hint="eastAsia"/>
              </w:rPr>
              <w:t>本品为苯氧乙酸类选择性激素型除草剂。可被植物根茎叶吸收，在禾本科植物体内易被代谢而失去毒性；阔叶植物不能代谢，导致茎、叶扭曲，根变形，丧失吸收水分和养分的能力而死亡。</w:t>
            </w:r>
          </w:p>
        </w:tc>
      </w:tr>
      <w:tr w14:paraId="7277DFAF">
        <w:tblPrEx>
          <w:tblCellMar>
            <w:top w:w="0" w:type="dxa"/>
            <w:left w:w="0" w:type="dxa"/>
            <w:bottom w:w="0" w:type="dxa"/>
            <w:right w:w="0" w:type="dxa"/>
          </w:tblCellMar>
        </w:tblPrEx>
        <w:trPr>
          <w:wBefore w:w="0" w:type="auto"/>
          <w:tblCellSpacing w:w="0" w:type="dxa"/>
        </w:trPr>
        <w:tc>
          <w:tcPr>
            <w:tcW w:w="0" w:type="auto"/>
            <w:noWrap w:val="0"/>
            <w:vAlign w:val="center"/>
          </w:tcPr>
          <w:p w14:paraId="467FEA29">
            <w:r>
              <w:rPr>
                <w:rStyle w:val="10"/>
                <w:rFonts w:hint="eastAsia"/>
              </w:rPr>
              <w:t>注意事项：</w:t>
            </w:r>
            <w:r>
              <w:rPr>
                <w:rFonts w:hint="eastAsia"/>
              </w:rPr>
              <w:br w:type="textWrapping"/>
            </w:r>
            <w:r>
              <w:rPr>
                <w:rStyle w:val="11"/>
                <w:rFonts w:hint="eastAsia"/>
              </w:rPr>
              <w:t>1.本品对眼睛有刺激性，使用时避免接触眼睛，穿戴长衣、长裤、帽子、口罩、手套等防护措施。施药期间不可吃东西和饮水，施药后应及时洗手和洗脸。2.施药后要彻底清洗喷药器械，洗涤后的废水不应污染河流等水源，未用完的药液应密封后妥善放置。用过的容器应妥善处理，不可做他用，也不可随意丢弃。3.本品对蜜蜂、鱼类等生物、家蚕有毒，施药期间应避免对周围蜂群的影响，蜜源作物花期、蚕室和桑园附近禁用。远离水产养殖区施药，禁止在河塘等水体中清洗施药器具，蚕室及桑园附近、赤眼蜂等天敌放飞区域禁用。4.气温在25度左右时效果显著，气温低时效果差。气温大于28度；空气相对湿度小于65%；风速超过每秒4米时应停止施药。5. 该药与喷雾机接触部分的结合力很强，最好喷雾器最好专用专用，否则需彻底清洗干净。6.孕妇及哺乳期妇女应避免接触。</w:t>
            </w:r>
          </w:p>
        </w:tc>
      </w:tr>
      <w:tr w14:paraId="58C2DCAA">
        <w:tblPrEx>
          <w:tblCellMar>
            <w:top w:w="0" w:type="dxa"/>
            <w:left w:w="0" w:type="dxa"/>
            <w:bottom w:w="0" w:type="dxa"/>
            <w:right w:w="0" w:type="dxa"/>
          </w:tblCellMar>
        </w:tblPrEx>
        <w:trPr>
          <w:wBefore w:w="0" w:type="auto"/>
          <w:tblCellSpacing w:w="0" w:type="dxa"/>
        </w:trPr>
        <w:tc>
          <w:tcPr>
            <w:tcW w:w="0" w:type="auto"/>
            <w:noWrap w:val="0"/>
            <w:vAlign w:val="center"/>
          </w:tcPr>
          <w:p w14:paraId="40EFF950">
            <w:r>
              <w:rPr>
                <w:rStyle w:val="10"/>
                <w:rFonts w:hint="eastAsia"/>
              </w:rPr>
              <w:t>中毒急救措施：</w:t>
            </w:r>
            <w:r>
              <w:rPr>
                <w:rFonts w:hint="eastAsia"/>
              </w:rPr>
              <w:br w:type="textWrapping"/>
            </w:r>
            <w:r>
              <w:rPr>
                <w:rStyle w:val="11"/>
                <w:rFonts w:hint="eastAsia"/>
              </w:rPr>
              <w:t>对皮肤、眼睛有刺激作用，不慎吸入，应将病人移至空气清新处。如皮肤和眼睛接触药液时，要用大量清水冲洗，冲洗时间不小于15分钟，并请医生诊治；如有误服，应立即催吐，并携带标签及时送往医院对症治疗，本品无特殊解毒剂。</w:t>
            </w:r>
          </w:p>
        </w:tc>
      </w:tr>
      <w:tr w14:paraId="3E2F8457">
        <w:tblPrEx>
          <w:tblCellMar>
            <w:top w:w="0" w:type="dxa"/>
            <w:left w:w="0" w:type="dxa"/>
            <w:bottom w:w="0" w:type="dxa"/>
            <w:right w:w="0" w:type="dxa"/>
          </w:tblCellMar>
        </w:tblPrEx>
        <w:trPr>
          <w:wBefore w:w="0" w:type="auto"/>
          <w:tblCellSpacing w:w="0" w:type="dxa"/>
        </w:trPr>
        <w:tc>
          <w:tcPr>
            <w:tcW w:w="0" w:type="auto"/>
            <w:noWrap w:val="0"/>
            <w:vAlign w:val="center"/>
          </w:tcPr>
          <w:p w14:paraId="7F4028D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11213635">
        <w:tblPrEx>
          <w:tblCellMar>
            <w:top w:w="0" w:type="dxa"/>
            <w:left w:w="0" w:type="dxa"/>
            <w:bottom w:w="0" w:type="dxa"/>
            <w:right w:w="0" w:type="dxa"/>
          </w:tblCellMar>
        </w:tblPrEx>
        <w:trPr>
          <w:wBefore w:w="0" w:type="auto"/>
          <w:tblCellSpacing w:w="0" w:type="dxa"/>
        </w:trPr>
        <w:tc>
          <w:tcPr>
            <w:tcW w:w="0" w:type="auto"/>
            <w:noWrap w:val="0"/>
            <w:vAlign w:val="center"/>
          </w:tcPr>
          <w:p w14:paraId="22E9B2C2">
            <w:r>
              <w:rPr>
                <w:rStyle w:val="10"/>
                <w:rFonts w:hint="eastAsia"/>
              </w:rPr>
              <w:t>质量保证期：</w:t>
            </w:r>
            <w:r>
              <w:rPr>
                <w:rStyle w:val="11"/>
                <w:rFonts w:hint="eastAsia"/>
              </w:rPr>
              <w:t>2年</w:t>
            </w:r>
          </w:p>
        </w:tc>
      </w:tr>
      <w:tr w14:paraId="0CA4D667">
        <w:tblPrEx>
          <w:tblCellMar>
            <w:top w:w="0" w:type="dxa"/>
            <w:left w:w="0" w:type="dxa"/>
            <w:bottom w:w="0" w:type="dxa"/>
            <w:right w:w="0" w:type="dxa"/>
          </w:tblCellMar>
        </w:tblPrEx>
        <w:trPr>
          <w:wBefore w:w="0" w:type="auto"/>
          <w:tblCellSpacing w:w="0" w:type="dxa"/>
        </w:trPr>
        <w:tc>
          <w:tcPr>
            <w:tcW w:w="0" w:type="auto"/>
            <w:noWrap w:val="0"/>
            <w:vAlign w:val="center"/>
          </w:tcPr>
          <w:p w14:paraId="654B3892">
            <w:r>
              <w:rPr>
                <w:rStyle w:val="10"/>
                <w:rFonts w:hint="eastAsia"/>
              </w:rPr>
              <w:t>备注：</w:t>
            </w:r>
            <w:r>
              <w:rPr>
                <w:rFonts w:hint="eastAsia"/>
              </w:rPr>
              <w:br w:type="textWrapping"/>
            </w:r>
            <w:r>
              <w:rPr>
                <w:rStyle w:val="11"/>
                <w:rFonts w:hint="eastAsia"/>
              </w:rPr>
              <w:t>2甲4氯钠56%。</w:t>
            </w:r>
          </w:p>
        </w:tc>
      </w:tr>
    </w:tbl>
    <w:p w14:paraId="2123F5C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770C95D">
        <w:tblPrEx>
          <w:tblCellMar>
            <w:top w:w="0" w:type="dxa"/>
            <w:left w:w="0" w:type="dxa"/>
            <w:bottom w:w="0" w:type="dxa"/>
            <w:right w:w="0" w:type="dxa"/>
          </w:tblCellMar>
        </w:tblPrEx>
        <w:trPr>
          <w:wBefore w:w="0" w:type="auto"/>
          <w:tblCellSpacing w:w="0" w:type="dxa"/>
        </w:trPr>
        <w:tc>
          <w:tcPr>
            <w:tcW w:w="0" w:type="auto"/>
            <w:noWrap w:val="0"/>
            <w:vAlign w:val="center"/>
          </w:tcPr>
          <w:p w14:paraId="07784BA8">
            <w:r>
              <w:rPr>
                <w:rStyle w:val="10"/>
                <w:rFonts w:hint="eastAsia"/>
              </w:rPr>
              <w:t>登记证号：</w:t>
            </w:r>
            <w:r>
              <w:rPr>
                <w:rFonts w:hint="eastAsia"/>
              </w:rPr>
              <w:t>EX20210100</w:t>
            </w:r>
          </w:p>
        </w:tc>
      </w:tr>
      <w:tr w14:paraId="4FF62ED7">
        <w:tblPrEx>
          <w:tblCellMar>
            <w:top w:w="0" w:type="dxa"/>
            <w:left w:w="0" w:type="dxa"/>
            <w:bottom w:w="0" w:type="dxa"/>
            <w:right w:w="0" w:type="dxa"/>
          </w:tblCellMar>
        </w:tblPrEx>
        <w:trPr>
          <w:wBefore w:w="0" w:type="auto"/>
          <w:tblCellSpacing w:w="0" w:type="dxa"/>
        </w:trPr>
        <w:tc>
          <w:tcPr>
            <w:tcW w:w="0" w:type="auto"/>
            <w:noWrap w:val="0"/>
            <w:vAlign w:val="center"/>
          </w:tcPr>
          <w:p w14:paraId="26DE8E5C">
            <w:r>
              <w:rPr>
                <w:rStyle w:val="10"/>
                <w:rFonts w:hint="eastAsia"/>
              </w:rPr>
              <w:t>登记证持有人：</w:t>
            </w:r>
            <w:r>
              <w:rPr>
                <w:rFonts w:hint="eastAsia"/>
              </w:rPr>
              <w:t>江苏七洲绿色化工股份有限公司</w:t>
            </w:r>
          </w:p>
        </w:tc>
      </w:tr>
      <w:tr w14:paraId="7909D401">
        <w:tblPrEx>
          <w:tblCellMar>
            <w:top w:w="0" w:type="dxa"/>
            <w:left w:w="0" w:type="dxa"/>
            <w:bottom w:w="0" w:type="dxa"/>
            <w:right w:w="0" w:type="dxa"/>
          </w:tblCellMar>
        </w:tblPrEx>
        <w:trPr>
          <w:wBefore w:w="0" w:type="auto"/>
          <w:tblCellSpacing w:w="0" w:type="dxa"/>
        </w:trPr>
        <w:tc>
          <w:tcPr>
            <w:tcW w:w="0" w:type="auto"/>
            <w:noWrap w:val="0"/>
            <w:vAlign w:val="center"/>
          </w:tcPr>
          <w:p w14:paraId="0D816369">
            <w:r>
              <w:rPr>
                <w:rStyle w:val="10"/>
                <w:rFonts w:hint="eastAsia"/>
              </w:rPr>
              <w:t>农药名称：</w:t>
            </w:r>
            <w:r>
              <w:rPr>
                <w:rFonts w:hint="eastAsia"/>
              </w:rPr>
              <w:t>丙环唑</w:t>
            </w:r>
          </w:p>
        </w:tc>
      </w:tr>
      <w:tr w14:paraId="53507F18">
        <w:tblPrEx>
          <w:tblCellMar>
            <w:top w:w="0" w:type="dxa"/>
            <w:left w:w="0" w:type="dxa"/>
            <w:bottom w:w="0" w:type="dxa"/>
            <w:right w:w="0" w:type="dxa"/>
          </w:tblCellMar>
        </w:tblPrEx>
        <w:trPr>
          <w:wBefore w:w="0" w:type="auto"/>
          <w:tblCellSpacing w:w="0" w:type="dxa"/>
        </w:trPr>
        <w:tc>
          <w:tcPr>
            <w:tcW w:w="0" w:type="auto"/>
            <w:noWrap w:val="0"/>
            <w:vAlign w:val="center"/>
          </w:tcPr>
          <w:p w14:paraId="64458E67">
            <w:r>
              <w:rPr>
                <w:rStyle w:val="10"/>
                <w:rFonts w:hint="eastAsia"/>
              </w:rPr>
              <w:t>剂型：</w:t>
            </w:r>
            <w:r>
              <w:rPr>
                <w:rFonts w:hint="eastAsia"/>
              </w:rPr>
              <w:t>母药</w:t>
            </w:r>
          </w:p>
        </w:tc>
      </w:tr>
      <w:tr w14:paraId="40F4745F">
        <w:tblPrEx>
          <w:tblCellMar>
            <w:top w:w="0" w:type="dxa"/>
            <w:left w:w="0" w:type="dxa"/>
            <w:bottom w:w="0" w:type="dxa"/>
            <w:right w:w="0" w:type="dxa"/>
          </w:tblCellMar>
        </w:tblPrEx>
        <w:trPr>
          <w:wBefore w:w="0" w:type="auto"/>
          <w:tblCellSpacing w:w="0" w:type="dxa"/>
        </w:trPr>
        <w:tc>
          <w:tcPr>
            <w:tcW w:w="0" w:type="auto"/>
            <w:noWrap w:val="0"/>
            <w:vAlign w:val="center"/>
          </w:tcPr>
          <w:p w14:paraId="30227F90">
            <w:r>
              <w:rPr>
                <w:rStyle w:val="10"/>
                <w:rFonts w:hint="eastAsia"/>
              </w:rPr>
              <w:t>毒性及其标识：</w:t>
            </w:r>
            <w:r>
              <w:rPr>
                <w:rFonts w:hint="eastAsia"/>
              </w:rPr>
              <w:t xml:space="preserve"> </w:t>
            </w:r>
            <w:r>
              <w:rPr>
                <w:lang/>
              </w:rPr>
              <w:drawing>
                <wp:inline distT="0" distB="0" distL="114300" distR="114300">
                  <wp:extent cx="476250" cy="323850"/>
                  <wp:effectExtent l="0" t="0" r="0" b="0"/>
                  <wp:docPr id="90" name="图片 9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A372846">
        <w:tblPrEx>
          <w:tblCellMar>
            <w:top w:w="0" w:type="dxa"/>
            <w:left w:w="0" w:type="dxa"/>
            <w:bottom w:w="0" w:type="dxa"/>
            <w:right w:w="0" w:type="dxa"/>
          </w:tblCellMar>
        </w:tblPrEx>
        <w:trPr>
          <w:wBefore w:w="0" w:type="auto"/>
          <w:tblCellSpacing w:w="0" w:type="dxa"/>
        </w:trPr>
        <w:tc>
          <w:tcPr>
            <w:tcW w:w="0" w:type="auto"/>
            <w:noWrap w:val="0"/>
            <w:vAlign w:val="center"/>
          </w:tcPr>
          <w:p w14:paraId="5DE5D08B">
            <w:r>
              <w:rPr>
                <w:rStyle w:val="10"/>
                <w:rFonts w:hint="eastAsia"/>
              </w:rPr>
              <w:t>总有效成分含量：</w:t>
            </w:r>
            <w:r>
              <w:rPr>
                <w:rFonts w:hint="eastAsia"/>
              </w:rPr>
              <w:t>50%</w:t>
            </w:r>
          </w:p>
        </w:tc>
      </w:tr>
      <w:tr w14:paraId="1E94E67E">
        <w:tblPrEx>
          <w:tblCellMar>
            <w:top w:w="0" w:type="dxa"/>
            <w:left w:w="0" w:type="dxa"/>
            <w:bottom w:w="0" w:type="dxa"/>
            <w:right w:w="0" w:type="dxa"/>
          </w:tblCellMar>
        </w:tblPrEx>
        <w:trPr>
          <w:wBefore w:w="0" w:type="auto"/>
          <w:tblCellSpacing w:w="0" w:type="dxa"/>
        </w:trPr>
        <w:tc>
          <w:tcPr>
            <w:tcW w:w="0" w:type="auto"/>
            <w:noWrap w:val="0"/>
            <w:vAlign w:val="center"/>
          </w:tcPr>
          <w:p w14:paraId="49A1F730">
            <w:r>
              <w:rPr>
                <w:rFonts w:hint="eastAsia"/>
              </w:rPr>
              <w:t xml:space="preserve">有效成分及其含量： </w:t>
            </w:r>
          </w:p>
          <w:p w14:paraId="33ECFAB3">
            <w:r>
              <w:rPr>
                <w:rFonts w:hint="eastAsia"/>
              </w:rPr>
              <w:t xml:space="preserve">    </w:t>
            </w:r>
          </w:p>
        </w:tc>
      </w:tr>
      <w:tr w14:paraId="6028622C">
        <w:tblPrEx>
          <w:tblCellMar>
            <w:top w:w="0" w:type="dxa"/>
            <w:left w:w="0" w:type="dxa"/>
            <w:bottom w:w="0" w:type="dxa"/>
            <w:right w:w="0" w:type="dxa"/>
          </w:tblCellMar>
        </w:tblPrEx>
        <w:trPr>
          <w:wBefore w:w="0" w:type="auto"/>
          <w:tblCellSpacing w:w="0" w:type="dxa"/>
        </w:trPr>
        <w:tc>
          <w:tcPr>
            <w:tcW w:w="0" w:type="auto"/>
            <w:noWrap w:val="0"/>
            <w:vAlign w:val="center"/>
          </w:tcPr>
          <w:p w14:paraId="72DF912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2C6A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4772E0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B9FAED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2FF2E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9231DF5">
                  <w:r>
                    <w:rPr>
                      <w:rStyle w:val="11"/>
                      <w:rFonts w:hint="eastAsia"/>
                    </w:rPr>
                    <w:t>施用方式</w:t>
                  </w:r>
                </w:p>
              </w:tc>
            </w:tr>
          </w:tbl>
          <w:p w14:paraId="6A957EAB">
            <w:pPr>
              <w:rPr>
                <w:rFonts w:ascii="Times New Roman" w:hAnsi="Times New Roman" w:cs="Times New Roman"/>
                <w:sz w:val="20"/>
                <w:szCs w:val="20"/>
              </w:rPr>
            </w:pPr>
          </w:p>
        </w:tc>
      </w:tr>
      <w:tr w14:paraId="4F4A3615">
        <w:tblPrEx>
          <w:tblCellMar>
            <w:top w:w="0" w:type="dxa"/>
            <w:left w:w="0" w:type="dxa"/>
            <w:bottom w:w="0" w:type="dxa"/>
            <w:right w:w="0" w:type="dxa"/>
          </w:tblCellMar>
        </w:tblPrEx>
        <w:trPr>
          <w:wBefore w:w="0" w:type="auto"/>
          <w:tblCellSpacing w:w="0" w:type="dxa"/>
        </w:trPr>
        <w:tc>
          <w:tcPr>
            <w:tcW w:w="0" w:type="auto"/>
            <w:noWrap w:val="0"/>
            <w:vAlign w:val="center"/>
          </w:tcPr>
          <w:p w14:paraId="1F8E7036">
            <w:r>
              <w:rPr>
                <w:rStyle w:val="10"/>
                <w:rFonts w:hint="eastAsia"/>
              </w:rPr>
              <w:t>使用技术要求:</w:t>
            </w:r>
          </w:p>
        </w:tc>
      </w:tr>
      <w:tr w14:paraId="41A6A8A1">
        <w:tblPrEx>
          <w:tblCellMar>
            <w:top w:w="0" w:type="dxa"/>
            <w:left w:w="0" w:type="dxa"/>
            <w:bottom w:w="0" w:type="dxa"/>
            <w:right w:w="0" w:type="dxa"/>
          </w:tblCellMar>
        </w:tblPrEx>
        <w:trPr>
          <w:wBefore w:w="0" w:type="auto"/>
          <w:tblCellSpacing w:w="0" w:type="dxa"/>
        </w:trPr>
        <w:tc>
          <w:tcPr>
            <w:tcW w:w="0" w:type="auto"/>
            <w:noWrap w:val="0"/>
            <w:vAlign w:val="center"/>
          </w:tcPr>
          <w:p w14:paraId="2A7AB037">
            <w:r>
              <w:rPr>
                <w:rStyle w:val="10"/>
                <w:rFonts w:hint="eastAsia"/>
              </w:rPr>
              <w:t>产品性能:</w:t>
            </w:r>
          </w:p>
        </w:tc>
      </w:tr>
      <w:tr w14:paraId="4B7FB125">
        <w:tblPrEx>
          <w:tblCellMar>
            <w:top w:w="0" w:type="dxa"/>
            <w:left w:w="0" w:type="dxa"/>
            <w:bottom w:w="0" w:type="dxa"/>
            <w:right w:w="0" w:type="dxa"/>
          </w:tblCellMar>
        </w:tblPrEx>
        <w:trPr>
          <w:wBefore w:w="0" w:type="auto"/>
          <w:tblCellSpacing w:w="0" w:type="dxa"/>
        </w:trPr>
        <w:tc>
          <w:tcPr>
            <w:tcW w:w="0" w:type="auto"/>
            <w:noWrap w:val="0"/>
            <w:vAlign w:val="center"/>
          </w:tcPr>
          <w:p w14:paraId="4340C8BB">
            <w:r>
              <w:rPr>
                <w:rStyle w:val="10"/>
                <w:rFonts w:hint="eastAsia"/>
              </w:rPr>
              <w:t>注意事项：</w:t>
            </w:r>
          </w:p>
        </w:tc>
      </w:tr>
      <w:tr w14:paraId="3AC4093A">
        <w:tblPrEx>
          <w:tblCellMar>
            <w:top w:w="0" w:type="dxa"/>
            <w:left w:w="0" w:type="dxa"/>
            <w:bottom w:w="0" w:type="dxa"/>
            <w:right w:w="0" w:type="dxa"/>
          </w:tblCellMar>
        </w:tblPrEx>
        <w:trPr>
          <w:wBefore w:w="0" w:type="auto"/>
          <w:tblCellSpacing w:w="0" w:type="dxa"/>
        </w:trPr>
        <w:tc>
          <w:tcPr>
            <w:tcW w:w="0" w:type="auto"/>
            <w:noWrap w:val="0"/>
            <w:vAlign w:val="center"/>
          </w:tcPr>
          <w:p w14:paraId="44EDF2B9">
            <w:r>
              <w:rPr>
                <w:rStyle w:val="10"/>
                <w:rFonts w:hint="eastAsia"/>
              </w:rPr>
              <w:t>中毒急救措施：</w:t>
            </w:r>
          </w:p>
        </w:tc>
      </w:tr>
      <w:tr w14:paraId="1EA3CFCF">
        <w:tblPrEx>
          <w:tblCellMar>
            <w:top w:w="0" w:type="dxa"/>
            <w:left w:w="0" w:type="dxa"/>
            <w:bottom w:w="0" w:type="dxa"/>
            <w:right w:w="0" w:type="dxa"/>
          </w:tblCellMar>
        </w:tblPrEx>
        <w:trPr>
          <w:wBefore w:w="0" w:type="auto"/>
          <w:tblCellSpacing w:w="0" w:type="dxa"/>
        </w:trPr>
        <w:tc>
          <w:tcPr>
            <w:tcW w:w="0" w:type="auto"/>
            <w:noWrap w:val="0"/>
            <w:vAlign w:val="center"/>
          </w:tcPr>
          <w:p w14:paraId="19F724E1">
            <w:r>
              <w:rPr>
                <w:rStyle w:val="10"/>
                <w:rFonts w:hint="eastAsia"/>
              </w:rPr>
              <w:t>储存和运输方法：</w:t>
            </w:r>
          </w:p>
        </w:tc>
      </w:tr>
      <w:tr w14:paraId="60BC29A7">
        <w:tblPrEx>
          <w:tblCellMar>
            <w:top w:w="0" w:type="dxa"/>
            <w:left w:w="0" w:type="dxa"/>
            <w:bottom w:w="0" w:type="dxa"/>
            <w:right w:w="0" w:type="dxa"/>
          </w:tblCellMar>
        </w:tblPrEx>
        <w:trPr>
          <w:wBefore w:w="0" w:type="auto"/>
          <w:tblCellSpacing w:w="0" w:type="dxa"/>
        </w:trPr>
        <w:tc>
          <w:tcPr>
            <w:tcW w:w="0" w:type="auto"/>
            <w:noWrap w:val="0"/>
            <w:vAlign w:val="center"/>
          </w:tcPr>
          <w:p w14:paraId="0474A748">
            <w:r>
              <w:rPr>
                <w:rStyle w:val="10"/>
                <w:rFonts w:hint="eastAsia"/>
              </w:rPr>
              <w:t>质量保证期：</w:t>
            </w:r>
          </w:p>
        </w:tc>
      </w:tr>
      <w:tr w14:paraId="58FF6ED8">
        <w:tblPrEx>
          <w:tblCellMar>
            <w:top w:w="0" w:type="dxa"/>
            <w:left w:w="0" w:type="dxa"/>
            <w:bottom w:w="0" w:type="dxa"/>
            <w:right w:w="0" w:type="dxa"/>
          </w:tblCellMar>
        </w:tblPrEx>
        <w:trPr>
          <w:wBefore w:w="0" w:type="auto"/>
          <w:tblCellSpacing w:w="0" w:type="dxa"/>
        </w:trPr>
        <w:tc>
          <w:tcPr>
            <w:tcW w:w="0" w:type="auto"/>
            <w:noWrap w:val="0"/>
            <w:vAlign w:val="center"/>
          </w:tcPr>
          <w:p w14:paraId="482B39A0">
            <w:r>
              <w:rPr>
                <w:rStyle w:val="10"/>
                <w:rFonts w:hint="eastAsia"/>
              </w:rPr>
              <w:t>备注：</w:t>
            </w:r>
          </w:p>
        </w:tc>
      </w:tr>
    </w:tbl>
    <w:p w14:paraId="4342F77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B4B2654">
        <w:tblPrEx>
          <w:tblCellMar>
            <w:top w:w="0" w:type="dxa"/>
            <w:left w:w="0" w:type="dxa"/>
            <w:bottom w:w="0" w:type="dxa"/>
            <w:right w:w="0" w:type="dxa"/>
          </w:tblCellMar>
        </w:tblPrEx>
        <w:trPr>
          <w:wBefore w:w="0" w:type="auto"/>
          <w:tblCellSpacing w:w="0" w:type="dxa"/>
        </w:trPr>
        <w:tc>
          <w:tcPr>
            <w:tcW w:w="0" w:type="auto"/>
            <w:noWrap w:val="0"/>
            <w:vAlign w:val="center"/>
          </w:tcPr>
          <w:p w14:paraId="037B7C09">
            <w:r>
              <w:rPr>
                <w:rStyle w:val="10"/>
                <w:rFonts w:hint="eastAsia"/>
              </w:rPr>
              <w:t>登记证号：</w:t>
            </w:r>
            <w:r>
              <w:rPr>
                <w:rFonts w:hint="eastAsia"/>
              </w:rPr>
              <w:t>PD20211714</w:t>
            </w:r>
          </w:p>
        </w:tc>
      </w:tr>
      <w:tr w14:paraId="2C76E3D4">
        <w:tblPrEx>
          <w:tblCellMar>
            <w:top w:w="0" w:type="dxa"/>
            <w:left w:w="0" w:type="dxa"/>
            <w:bottom w:w="0" w:type="dxa"/>
            <w:right w:w="0" w:type="dxa"/>
          </w:tblCellMar>
        </w:tblPrEx>
        <w:trPr>
          <w:wBefore w:w="0" w:type="auto"/>
          <w:tblCellSpacing w:w="0" w:type="dxa"/>
        </w:trPr>
        <w:tc>
          <w:tcPr>
            <w:tcW w:w="0" w:type="auto"/>
            <w:noWrap w:val="0"/>
            <w:vAlign w:val="center"/>
          </w:tcPr>
          <w:p w14:paraId="65BC8102">
            <w:r>
              <w:rPr>
                <w:rStyle w:val="10"/>
                <w:rFonts w:hint="eastAsia"/>
              </w:rPr>
              <w:t>登记证持有人：</w:t>
            </w:r>
            <w:r>
              <w:rPr>
                <w:rFonts w:hint="eastAsia"/>
              </w:rPr>
              <w:t>郑州先利达化工有限公司</w:t>
            </w:r>
          </w:p>
        </w:tc>
      </w:tr>
      <w:tr w14:paraId="2551BFF9">
        <w:tblPrEx>
          <w:tblCellMar>
            <w:top w:w="0" w:type="dxa"/>
            <w:left w:w="0" w:type="dxa"/>
            <w:bottom w:w="0" w:type="dxa"/>
            <w:right w:w="0" w:type="dxa"/>
          </w:tblCellMar>
        </w:tblPrEx>
        <w:trPr>
          <w:wBefore w:w="0" w:type="auto"/>
          <w:tblCellSpacing w:w="0" w:type="dxa"/>
        </w:trPr>
        <w:tc>
          <w:tcPr>
            <w:tcW w:w="0" w:type="auto"/>
            <w:noWrap w:val="0"/>
            <w:vAlign w:val="center"/>
          </w:tcPr>
          <w:p w14:paraId="6C4080B0">
            <w:r>
              <w:rPr>
                <w:rStyle w:val="10"/>
                <w:rFonts w:hint="eastAsia"/>
              </w:rPr>
              <w:t>农药名称：</w:t>
            </w:r>
            <w:r>
              <w:rPr>
                <w:rFonts w:hint="eastAsia"/>
              </w:rPr>
              <w:t>高氯·噻虫嗪</w:t>
            </w:r>
          </w:p>
        </w:tc>
      </w:tr>
      <w:tr w14:paraId="3DE03F1E">
        <w:tblPrEx>
          <w:tblCellMar>
            <w:top w:w="0" w:type="dxa"/>
            <w:left w:w="0" w:type="dxa"/>
            <w:bottom w:w="0" w:type="dxa"/>
            <w:right w:w="0" w:type="dxa"/>
          </w:tblCellMar>
        </w:tblPrEx>
        <w:trPr>
          <w:wBefore w:w="0" w:type="auto"/>
          <w:tblCellSpacing w:w="0" w:type="dxa"/>
        </w:trPr>
        <w:tc>
          <w:tcPr>
            <w:tcW w:w="0" w:type="auto"/>
            <w:noWrap w:val="0"/>
            <w:vAlign w:val="center"/>
          </w:tcPr>
          <w:p w14:paraId="3F724105">
            <w:r>
              <w:rPr>
                <w:rStyle w:val="10"/>
                <w:rFonts w:hint="eastAsia"/>
              </w:rPr>
              <w:t>剂型：</w:t>
            </w:r>
            <w:r>
              <w:rPr>
                <w:rFonts w:hint="eastAsia"/>
              </w:rPr>
              <w:t>悬浮剂</w:t>
            </w:r>
          </w:p>
        </w:tc>
      </w:tr>
      <w:tr w14:paraId="6BA61648">
        <w:tblPrEx>
          <w:tblCellMar>
            <w:top w:w="0" w:type="dxa"/>
            <w:left w:w="0" w:type="dxa"/>
            <w:bottom w:w="0" w:type="dxa"/>
            <w:right w:w="0" w:type="dxa"/>
          </w:tblCellMar>
        </w:tblPrEx>
        <w:trPr>
          <w:wBefore w:w="0" w:type="auto"/>
          <w:tblCellSpacing w:w="0" w:type="dxa"/>
        </w:trPr>
        <w:tc>
          <w:tcPr>
            <w:tcW w:w="0" w:type="auto"/>
            <w:noWrap w:val="0"/>
            <w:vAlign w:val="center"/>
          </w:tcPr>
          <w:p w14:paraId="2162A752">
            <w:r>
              <w:rPr>
                <w:rStyle w:val="10"/>
                <w:rFonts w:hint="eastAsia"/>
              </w:rPr>
              <w:t>毒性及其标识：</w:t>
            </w:r>
            <w:r>
              <w:rPr>
                <w:rFonts w:hint="eastAsia"/>
              </w:rPr>
              <w:t xml:space="preserve"> </w:t>
            </w:r>
            <w:r>
              <w:rPr>
                <w:lang/>
              </w:rPr>
              <w:drawing>
                <wp:inline distT="0" distB="0" distL="114300" distR="114300">
                  <wp:extent cx="476250" cy="323850"/>
                  <wp:effectExtent l="0" t="0" r="0" b="0"/>
                  <wp:docPr id="91" name="图片 9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106735E">
        <w:tblPrEx>
          <w:tblCellMar>
            <w:top w:w="0" w:type="dxa"/>
            <w:left w:w="0" w:type="dxa"/>
            <w:bottom w:w="0" w:type="dxa"/>
            <w:right w:w="0" w:type="dxa"/>
          </w:tblCellMar>
        </w:tblPrEx>
        <w:trPr>
          <w:wBefore w:w="0" w:type="auto"/>
          <w:tblCellSpacing w:w="0" w:type="dxa"/>
        </w:trPr>
        <w:tc>
          <w:tcPr>
            <w:tcW w:w="0" w:type="auto"/>
            <w:noWrap w:val="0"/>
            <w:vAlign w:val="center"/>
          </w:tcPr>
          <w:p w14:paraId="7807BF42">
            <w:r>
              <w:rPr>
                <w:rStyle w:val="10"/>
                <w:rFonts w:hint="eastAsia"/>
              </w:rPr>
              <w:t>总有效成分含量：</w:t>
            </w:r>
            <w:r>
              <w:rPr>
                <w:rFonts w:hint="eastAsia"/>
              </w:rPr>
              <w:t>9%</w:t>
            </w:r>
          </w:p>
        </w:tc>
      </w:tr>
      <w:tr w14:paraId="3B677E11">
        <w:tblPrEx>
          <w:tblCellMar>
            <w:top w:w="0" w:type="dxa"/>
            <w:left w:w="0" w:type="dxa"/>
            <w:bottom w:w="0" w:type="dxa"/>
            <w:right w:w="0" w:type="dxa"/>
          </w:tblCellMar>
        </w:tblPrEx>
        <w:trPr>
          <w:wBefore w:w="0" w:type="auto"/>
          <w:tblCellSpacing w:w="0" w:type="dxa"/>
        </w:trPr>
        <w:tc>
          <w:tcPr>
            <w:tcW w:w="0" w:type="auto"/>
            <w:noWrap w:val="0"/>
            <w:vAlign w:val="center"/>
          </w:tcPr>
          <w:p w14:paraId="0DB01094">
            <w:r>
              <w:rPr>
                <w:rFonts w:hint="eastAsia"/>
              </w:rPr>
              <w:t xml:space="preserve">有效成分及其含量： </w:t>
            </w:r>
          </w:p>
          <w:p w14:paraId="093368A6">
            <w:r>
              <w:rPr>
                <w:rFonts w:hint="eastAsia"/>
              </w:rPr>
              <w:t xml:space="preserve">    高效氯氟氰菊酯3%    噻虫嗪6%    </w:t>
            </w:r>
          </w:p>
        </w:tc>
      </w:tr>
      <w:tr w14:paraId="094B4F17">
        <w:tblPrEx>
          <w:tblCellMar>
            <w:top w:w="0" w:type="dxa"/>
            <w:left w:w="0" w:type="dxa"/>
            <w:bottom w:w="0" w:type="dxa"/>
            <w:right w:w="0" w:type="dxa"/>
          </w:tblCellMar>
        </w:tblPrEx>
        <w:trPr>
          <w:wBefore w:w="0" w:type="auto"/>
          <w:tblCellSpacing w:w="0" w:type="dxa"/>
        </w:trPr>
        <w:tc>
          <w:tcPr>
            <w:tcW w:w="0" w:type="auto"/>
            <w:noWrap w:val="0"/>
            <w:vAlign w:val="center"/>
          </w:tcPr>
          <w:p w14:paraId="11DE893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14728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FF4756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FE93E3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70DE82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9B04E2A">
                  <w:r>
                    <w:rPr>
                      <w:rStyle w:val="11"/>
                      <w:rFonts w:hint="eastAsia"/>
                    </w:rPr>
                    <w:t>施用方式</w:t>
                  </w:r>
                </w:p>
              </w:tc>
            </w:tr>
            <w:tr w14:paraId="31592DF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7D5C40C">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AFA066">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5569AC">
                  <w:r>
                    <w:rPr>
                      <w:rStyle w:val="11"/>
                      <w:rFonts w:hint="eastAsia"/>
                    </w:rPr>
                    <w:t>12-16毫升/亩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E33AA4">
                  <w:r>
                    <w:rPr>
                      <w:rStyle w:val="11"/>
                      <w:rFonts w:hint="eastAsia"/>
                    </w:rPr>
                    <w:t>喷雾</w:t>
                  </w:r>
                </w:p>
              </w:tc>
            </w:tr>
          </w:tbl>
          <w:p w14:paraId="348D25BB">
            <w:pPr>
              <w:rPr>
                <w:rFonts w:ascii="Times New Roman" w:hAnsi="Times New Roman" w:cs="Times New Roman"/>
                <w:sz w:val="20"/>
                <w:szCs w:val="20"/>
              </w:rPr>
            </w:pPr>
          </w:p>
        </w:tc>
      </w:tr>
      <w:tr w14:paraId="0D9AD91B">
        <w:tblPrEx>
          <w:tblCellMar>
            <w:top w:w="0" w:type="dxa"/>
            <w:left w:w="0" w:type="dxa"/>
            <w:bottom w:w="0" w:type="dxa"/>
            <w:right w:w="0" w:type="dxa"/>
          </w:tblCellMar>
        </w:tblPrEx>
        <w:trPr>
          <w:wBefore w:w="0" w:type="auto"/>
          <w:tblCellSpacing w:w="0" w:type="dxa"/>
        </w:trPr>
        <w:tc>
          <w:tcPr>
            <w:tcW w:w="0" w:type="auto"/>
            <w:noWrap w:val="0"/>
            <w:vAlign w:val="center"/>
          </w:tcPr>
          <w:p w14:paraId="65107BC5">
            <w:r>
              <w:rPr>
                <w:rStyle w:val="10"/>
                <w:rFonts w:hint="eastAsia"/>
              </w:rPr>
              <w:t>使用技术要求:</w:t>
            </w:r>
            <w:r>
              <w:rPr>
                <w:rFonts w:hint="eastAsia"/>
              </w:rPr>
              <w:br w:type="textWrapping"/>
            </w:r>
            <w:r>
              <w:rPr>
                <w:rStyle w:val="11"/>
                <w:rFonts w:hint="eastAsia"/>
              </w:rPr>
              <w:t>1、蚜虫发生初期开始用药，兑水均匀喷雾。 2、大风天或预计1小时内降雨，请勿施药。3、本品在小麦上使用时的安全间隔期为21天；每季作物最多使用1次。</w:t>
            </w:r>
          </w:p>
        </w:tc>
      </w:tr>
      <w:tr w14:paraId="5470F983">
        <w:tblPrEx>
          <w:tblCellMar>
            <w:top w:w="0" w:type="dxa"/>
            <w:left w:w="0" w:type="dxa"/>
            <w:bottom w:w="0" w:type="dxa"/>
            <w:right w:w="0" w:type="dxa"/>
          </w:tblCellMar>
        </w:tblPrEx>
        <w:trPr>
          <w:wBefore w:w="0" w:type="auto"/>
          <w:tblCellSpacing w:w="0" w:type="dxa"/>
        </w:trPr>
        <w:tc>
          <w:tcPr>
            <w:tcW w:w="0" w:type="auto"/>
            <w:noWrap w:val="0"/>
            <w:vAlign w:val="center"/>
          </w:tcPr>
          <w:p w14:paraId="3283D5A9">
            <w:r>
              <w:rPr>
                <w:rStyle w:val="10"/>
                <w:rFonts w:hint="eastAsia"/>
              </w:rPr>
              <w:t>产品性能:</w:t>
            </w:r>
            <w:r>
              <w:rPr>
                <w:rFonts w:hint="eastAsia"/>
              </w:rPr>
              <w:br w:type="textWrapping"/>
            </w:r>
            <w:r>
              <w:rPr>
                <w:rStyle w:val="11"/>
                <w:rFonts w:hint="eastAsia"/>
              </w:rPr>
              <w:t xml:space="preserve">本品是由拟除虫菊酯类杀虫剂和新烟碱类杀虫剂复配而成，其中高效氯氟氰菊酯：以触杀和胃毒作用为主，无内吸作用，可通过扰乱昆虫的神经系统，导致昆虫的最终死亡。噻虫嗪：可选择性抑制昆虫中枢神经系统烟酸乙酰胆碱酯酶受体，进而阻断昆虫中枢神经系统的正常传导，造成害虫出现麻痹机时死亡。不仅具有触杀、胃毒、内吸活性，而且具有更高的活性、更好的安全性、更广的杀虫谱及作用速度快、持效期长等特点。二者复配可有效防治小麦蚜虫的发生。 </w:t>
            </w:r>
          </w:p>
        </w:tc>
      </w:tr>
      <w:tr w14:paraId="36A2FB25">
        <w:tblPrEx>
          <w:tblCellMar>
            <w:top w:w="0" w:type="dxa"/>
            <w:left w:w="0" w:type="dxa"/>
            <w:bottom w:w="0" w:type="dxa"/>
            <w:right w:w="0" w:type="dxa"/>
          </w:tblCellMar>
        </w:tblPrEx>
        <w:trPr>
          <w:wBefore w:w="0" w:type="auto"/>
          <w:tblCellSpacing w:w="0" w:type="dxa"/>
        </w:trPr>
        <w:tc>
          <w:tcPr>
            <w:tcW w:w="0" w:type="auto"/>
            <w:noWrap w:val="0"/>
            <w:vAlign w:val="center"/>
          </w:tcPr>
          <w:p w14:paraId="6C11C269">
            <w:r>
              <w:rPr>
                <w:rStyle w:val="10"/>
                <w:rFonts w:hint="eastAsia"/>
              </w:rPr>
              <w:t>注意事项：</w:t>
            </w:r>
            <w:r>
              <w:rPr>
                <w:rFonts w:hint="eastAsia"/>
              </w:rPr>
              <w:br w:type="textWrapping"/>
            </w:r>
            <w:r>
              <w:rPr>
                <w:rStyle w:val="11"/>
                <w:rFonts w:hint="eastAsia"/>
              </w:rPr>
              <w:t>1、使用本品时应穿长衣长裤、戴帽子、手套、护目镜、口罩等，避免皮肤接触药液；施药期间不可吃东西和饮水等，避免吸入或误服药液。2、施药后用清水及肥皂彻底清洗脸部及其它皮肤裸露部位。3、禁止在河塘等水体中清洗施药器具，避免药液流入湖泊，河流或鱼塘中污染水源。4、废弃物要妥善处理不能随意丢弃，也不能做他用，并按照当地的有关规定处置所有的废弃物。5、禁止在水产养殖区、河塘等水体附近施药，避免对水生物造成影响。6、桑园及蚕室附近禁用。7、天敌放飞区域禁用。8、避免孕妇、哺乳期妇女及过敏者接触。9、周围开花植物花期禁止使用；施药前清除田内的蜜源、粉源植物；产品施用期间密切关注对附近蜂群的影响。</w:t>
            </w:r>
          </w:p>
        </w:tc>
      </w:tr>
      <w:tr w14:paraId="1C5ABDC3">
        <w:tblPrEx>
          <w:tblCellMar>
            <w:top w:w="0" w:type="dxa"/>
            <w:left w:w="0" w:type="dxa"/>
            <w:bottom w:w="0" w:type="dxa"/>
            <w:right w:w="0" w:type="dxa"/>
          </w:tblCellMar>
        </w:tblPrEx>
        <w:trPr>
          <w:wBefore w:w="0" w:type="auto"/>
          <w:tblCellSpacing w:w="0" w:type="dxa"/>
        </w:trPr>
        <w:tc>
          <w:tcPr>
            <w:tcW w:w="0" w:type="auto"/>
            <w:noWrap w:val="0"/>
            <w:vAlign w:val="center"/>
          </w:tcPr>
          <w:p w14:paraId="47AFEF6C">
            <w:r>
              <w:rPr>
                <w:rStyle w:val="10"/>
                <w:rFonts w:hint="eastAsia"/>
              </w:rPr>
              <w:t>中毒急救措施：</w:t>
            </w:r>
            <w:r>
              <w:rPr>
                <w:rFonts w:hint="eastAsia"/>
              </w:rPr>
              <w:br w:type="textWrapping"/>
            </w:r>
            <w:r>
              <w:rPr>
                <w:rStyle w:val="11"/>
                <w:rFonts w:hint="eastAsia"/>
              </w:rPr>
              <w:t>1、对皮肤、眼睛无刺激症状，无中毒报道。急救治疗：2、不慎药液接触皮肤，立即脱掉被污染的衣物，用肥皂和清水彻底清洗皮肤表面。3、不慎药液接触眼睛，立即将眼睑翻开，用清水彻底冲洗至少15分钟，并请医生诊治。4、不慎吸入：立即将吸入者转移到空气新鲜处，并请医生诊治。 5、不慎误服，应立即催吐、洗胃、清洗口腔，还应携带此标签尽快去医院就诊，对症治疗（去除污物，注意生命体征），无特效解毒剂。</w:t>
            </w:r>
          </w:p>
        </w:tc>
      </w:tr>
      <w:tr w14:paraId="580734DD">
        <w:tblPrEx>
          <w:tblCellMar>
            <w:top w:w="0" w:type="dxa"/>
            <w:left w:w="0" w:type="dxa"/>
            <w:bottom w:w="0" w:type="dxa"/>
            <w:right w:w="0" w:type="dxa"/>
          </w:tblCellMar>
        </w:tblPrEx>
        <w:trPr>
          <w:wBefore w:w="0" w:type="auto"/>
          <w:tblCellSpacing w:w="0" w:type="dxa"/>
        </w:trPr>
        <w:tc>
          <w:tcPr>
            <w:tcW w:w="0" w:type="auto"/>
            <w:noWrap w:val="0"/>
            <w:vAlign w:val="center"/>
          </w:tcPr>
          <w:p w14:paraId="005CE2AA">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触及不到之处，并加锁。不能与种子、食品、饮料、饲料等其他商品同贮同运。运输时应注意防水防潮，避免雨淋；搬运时轻搬轻放，不可倒置。 </w:t>
            </w:r>
          </w:p>
        </w:tc>
      </w:tr>
      <w:tr w14:paraId="67A494DF">
        <w:tblPrEx>
          <w:tblCellMar>
            <w:top w:w="0" w:type="dxa"/>
            <w:left w:w="0" w:type="dxa"/>
            <w:bottom w:w="0" w:type="dxa"/>
            <w:right w:w="0" w:type="dxa"/>
          </w:tblCellMar>
        </w:tblPrEx>
        <w:trPr>
          <w:wBefore w:w="0" w:type="auto"/>
          <w:tblCellSpacing w:w="0" w:type="dxa"/>
        </w:trPr>
        <w:tc>
          <w:tcPr>
            <w:tcW w:w="0" w:type="auto"/>
            <w:noWrap w:val="0"/>
            <w:vAlign w:val="center"/>
          </w:tcPr>
          <w:p w14:paraId="2E0BFB87">
            <w:r>
              <w:rPr>
                <w:rStyle w:val="10"/>
                <w:rFonts w:hint="eastAsia"/>
              </w:rPr>
              <w:t>质量保证期：</w:t>
            </w:r>
            <w:r>
              <w:rPr>
                <w:rStyle w:val="11"/>
                <w:rFonts w:hint="eastAsia"/>
              </w:rPr>
              <w:t>2年</w:t>
            </w:r>
          </w:p>
        </w:tc>
      </w:tr>
      <w:tr w14:paraId="248D19A6">
        <w:tblPrEx>
          <w:tblCellMar>
            <w:top w:w="0" w:type="dxa"/>
            <w:left w:w="0" w:type="dxa"/>
            <w:bottom w:w="0" w:type="dxa"/>
            <w:right w:w="0" w:type="dxa"/>
          </w:tblCellMar>
        </w:tblPrEx>
        <w:trPr>
          <w:wBefore w:w="0" w:type="auto"/>
          <w:tblCellSpacing w:w="0" w:type="dxa"/>
        </w:trPr>
        <w:tc>
          <w:tcPr>
            <w:tcW w:w="0" w:type="auto"/>
            <w:noWrap w:val="0"/>
            <w:vAlign w:val="center"/>
          </w:tcPr>
          <w:p w14:paraId="098F855E">
            <w:r>
              <w:rPr>
                <w:rStyle w:val="10"/>
                <w:rFonts w:hint="eastAsia"/>
              </w:rPr>
              <w:t>备注：</w:t>
            </w:r>
          </w:p>
        </w:tc>
      </w:tr>
    </w:tbl>
    <w:p w14:paraId="738229B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F755517">
        <w:tblPrEx>
          <w:tblCellMar>
            <w:top w:w="0" w:type="dxa"/>
            <w:left w:w="0" w:type="dxa"/>
            <w:bottom w:w="0" w:type="dxa"/>
            <w:right w:w="0" w:type="dxa"/>
          </w:tblCellMar>
        </w:tblPrEx>
        <w:trPr>
          <w:wBefore w:w="0" w:type="auto"/>
          <w:tblCellSpacing w:w="0" w:type="dxa"/>
        </w:trPr>
        <w:tc>
          <w:tcPr>
            <w:tcW w:w="0" w:type="auto"/>
            <w:noWrap w:val="0"/>
            <w:vAlign w:val="center"/>
          </w:tcPr>
          <w:p w14:paraId="0EA5EE36">
            <w:r>
              <w:rPr>
                <w:rStyle w:val="10"/>
                <w:rFonts w:hint="eastAsia"/>
              </w:rPr>
              <w:t>登记证号：</w:t>
            </w:r>
            <w:r>
              <w:rPr>
                <w:rFonts w:hint="eastAsia"/>
              </w:rPr>
              <w:t>PD20212071</w:t>
            </w:r>
          </w:p>
        </w:tc>
      </w:tr>
      <w:tr w14:paraId="00C5BFA0">
        <w:tblPrEx>
          <w:tblCellMar>
            <w:top w:w="0" w:type="dxa"/>
            <w:left w:w="0" w:type="dxa"/>
            <w:bottom w:w="0" w:type="dxa"/>
            <w:right w:w="0" w:type="dxa"/>
          </w:tblCellMar>
        </w:tblPrEx>
        <w:trPr>
          <w:wBefore w:w="0" w:type="auto"/>
          <w:tblCellSpacing w:w="0" w:type="dxa"/>
        </w:trPr>
        <w:tc>
          <w:tcPr>
            <w:tcW w:w="0" w:type="auto"/>
            <w:noWrap w:val="0"/>
            <w:vAlign w:val="center"/>
          </w:tcPr>
          <w:p w14:paraId="49899BA7">
            <w:r>
              <w:rPr>
                <w:rStyle w:val="10"/>
                <w:rFonts w:hint="eastAsia"/>
              </w:rPr>
              <w:t>登记证持有人：</w:t>
            </w:r>
            <w:r>
              <w:rPr>
                <w:rFonts w:hint="eastAsia"/>
              </w:rPr>
              <w:t>山东大成生物化工有限公司</w:t>
            </w:r>
          </w:p>
        </w:tc>
      </w:tr>
      <w:tr w14:paraId="4E014DB4">
        <w:tblPrEx>
          <w:tblCellMar>
            <w:top w:w="0" w:type="dxa"/>
            <w:left w:w="0" w:type="dxa"/>
            <w:bottom w:w="0" w:type="dxa"/>
            <w:right w:w="0" w:type="dxa"/>
          </w:tblCellMar>
        </w:tblPrEx>
        <w:trPr>
          <w:wBefore w:w="0" w:type="auto"/>
          <w:tblCellSpacing w:w="0" w:type="dxa"/>
        </w:trPr>
        <w:tc>
          <w:tcPr>
            <w:tcW w:w="0" w:type="auto"/>
            <w:noWrap w:val="0"/>
            <w:vAlign w:val="center"/>
          </w:tcPr>
          <w:p w14:paraId="56ABCF0E">
            <w:r>
              <w:rPr>
                <w:rStyle w:val="10"/>
                <w:rFonts w:hint="eastAsia"/>
              </w:rPr>
              <w:t>农药名称：</w:t>
            </w:r>
            <w:r>
              <w:rPr>
                <w:rFonts w:hint="eastAsia"/>
              </w:rPr>
              <w:t>赤霉酸·28-高芸苔素内酯</w:t>
            </w:r>
          </w:p>
        </w:tc>
      </w:tr>
      <w:tr w14:paraId="72971A8B">
        <w:tblPrEx>
          <w:tblCellMar>
            <w:top w:w="0" w:type="dxa"/>
            <w:left w:w="0" w:type="dxa"/>
            <w:bottom w:w="0" w:type="dxa"/>
            <w:right w:w="0" w:type="dxa"/>
          </w:tblCellMar>
        </w:tblPrEx>
        <w:trPr>
          <w:wBefore w:w="0" w:type="auto"/>
          <w:tblCellSpacing w:w="0" w:type="dxa"/>
        </w:trPr>
        <w:tc>
          <w:tcPr>
            <w:tcW w:w="0" w:type="auto"/>
            <w:noWrap w:val="0"/>
            <w:vAlign w:val="center"/>
          </w:tcPr>
          <w:p w14:paraId="3D0EAAE6">
            <w:r>
              <w:rPr>
                <w:rStyle w:val="10"/>
                <w:rFonts w:hint="eastAsia"/>
              </w:rPr>
              <w:t>剂型：</w:t>
            </w:r>
            <w:r>
              <w:rPr>
                <w:rFonts w:hint="eastAsia"/>
              </w:rPr>
              <w:t>可溶液剂</w:t>
            </w:r>
          </w:p>
        </w:tc>
      </w:tr>
      <w:tr w14:paraId="50C451AA">
        <w:tblPrEx>
          <w:tblCellMar>
            <w:top w:w="0" w:type="dxa"/>
            <w:left w:w="0" w:type="dxa"/>
            <w:bottom w:w="0" w:type="dxa"/>
            <w:right w:w="0" w:type="dxa"/>
          </w:tblCellMar>
        </w:tblPrEx>
        <w:trPr>
          <w:wBefore w:w="0" w:type="auto"/>
          <w:tblCellSpacing w:w="0" w:type="dxa"/>
        </w:trPr>
        <w:tc>
          <w:tcPr>
            <w:tcW w:w="0" w:type="auto"/>
            <w:noWrap w:val="0"/>
            <w:vAlign w:val="center"/>
          </w:tcPr>
          <w:p w14:paraId="573E2E12">
            <w:r>
              <w:rPr>
                <w:rStyle w:val="10"/>
                <w:rFonts w:hint="eastAsia"/>
              </w:rPr>
              <w:t>毒性及其标识：</w:t>
            </w:r>
            <w:r>
              <w:rPr>
                <w:rFonts w:hint="eastAsia"/>
              </w:rPr>
              <w:t xml:space="preserve"> </w:t>
            </w:r>
            <w:r>
              <w:rPr>
                <w:lang/>
              </w:rPr>
              <w:drawing>
                <wp:inline distT="0" distB="0" distL="114300" distR="114300">
                  <wp:extent cx="476250" cy="323850"/>
                  <wp:effectExtent l="0" t="0" r="0" b="0"/>
                  <wp:docPr id="92" name="图片 9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DDC6868">
        <w:tblPrEx>
          <w:tblCellMar>
            <w:top w:w="0" w:type="dxa"/>
            <w:left w:w="0" w:type="dxa"/>
            <w:bottom w:w="0" w:type="dxa"/>
            <w:right w:w="0" w:type="dxa"/>
          </w:tblCellMar>
        </w:tblPrEx>
        <w:trPr>
          <w:wBefore w:w="0" w:type="auto"/>
          <w:tblCellSpacing w:w="0" w:type="dxa"/>
        </w:trPr>
        <w:tc>
          <w:tcPr>
            <w:tcW w:w="0" w:type="auto"/>
            <w:noWrap w:val="0"/>
            <w:vAlign w:val="center"/>
          </w:tcPr>
          <w:p w14:paraId="2D5F379B">
            <w:r>
              <w:rPr>
                <w:rStyle w:val="10"/>
                <w:rFonts w:hint="eastAsia"/>
              </w:rPr>
              <w:t>总有效成分含量：</w:t>
            </w:r>
            <w:r>
              <w:rPr>
                <w:rFonts w:hint="eastAsia"/>
              </w:rPr>
              <w:t>0.4%</w:t>
            </w:r>
          </w:p>
        </w:tc>
      </w:tr>
      <w:tr w14:paraId="67BA173A">
        <w:tblPrEx>
          <w:tblCellMar>
            <w:top w:w="0" w:type="dxa"/>
            <w:left w:w="0" w:type="dxa"/>
            <w:bottom w:w="0" w:type="dxa"/>
            <w:right w:w="0" w:type="dxa"/>
          </w:tblCellMar>
        </w:tblPrEx>
        <w:trPr>
          <w:wBefore w:w="0" w:type="auto"/>
          <w:tblCellSpacing w:w="0" w:type="dxa"/>
        </w:trPr>
        <w:tc>
          <w:tcPr>
            <w:tcW w:w="0" w:type="auto"/>
            <w:noWrap w:val="0"/>
            <w:vAlign w:val="center"/>
          </w:tcPr>
          <w:p w14:paraId="6F0A05D4">
            <w:r>
              <w:rPr>
                <w:rFonts w:hint="eastAsia"/>
              </w:rPr>
              <w:t xml:space="preserve">有效成分及其含量： </w:t>
            </w:r>
          </w:p>
          <w:p w14:paraId="373F9A2D">
            <w:r>
              <w:rPr>
                <w:rFonts w:hint="eastAsia"/>
              </w:rPr>
              <w:t xml:space="preserve">    28-高芸苔素内酯0.002%    赤霉酸0.398%    </w:t>
            </w:r>
          </w:p>
        </w:tc>
      </w:tr>
      <w:tr w14:paraId="1CCFC557">
        <w:tblPrEx>
          <w:tblCellMar>
            <w:top w:w="0" w:type="dxa"/>
            <w:left w:w="0" w:type="dxa"/>
            <w:bottom w:w="0" w:type="dxa"/>
            <w:right w:w="0" w:type="dxa"/>
          </w:tblCellMar>
        </w:tblPrEx>
        <w:trPr>
          <w:wBefore w:w="0" w:type="auto"/>
          <w:tblCellSpacing w:w="0" w:type="dxa"/>
        </w:trPr>
        <w:tc>
          <w:tcPr>
            <w:tcW w:w="0" w:type="auto"/>
            <w:noWrap w:val="0"/>
            <w:vAlign w:val="center"/>
          </w:tcPr>
          <w:p w14:paraId="4A4B4F5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5F47B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EF2E46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2C268A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968303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E6B4E5">
                  <w:r>
                    <w:rPr>
                      <w:rStyle w:val="11"/>
                      <w:rFonts w:hint="eastAsia"/>
                    </w:rPr>
                    <w:t>施用方式</w:t>
                  </w:r>
                </w:p>
              </w:tc>
            </w:tr>
            <w:tr w14:paraId="6C9B0F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4A0DFD">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0FDC4A">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117E6C">
                  <w:r>
                    <w:rPr>
                      <w:rStyle w:val="11"/>
                      <w:rFonts w:hint="eastAsia"/>
                    </w:rPr>
                    <w:t>1000-3000倍液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882CBE">
                  <w:r>
                    <w:rPr>
                      <w:rStyle w:val="11"/>
                      <w:rFonts w:hint="eastAsia"/>
                    </w:rPr>
                    <w:t>喷雾</w:t>
                  </w:r>
                </w:p>
              </w:tc>
            </w:tr>
          </w:tbl>
          <w:p w14:paraId="1301EB59">
            <w:pPr>
              <w:rPr>
                <w:rFonts w:ascii="Times New Roman" w:hAnsi="Times New Roman" w:cs="Times New Roman"/>
                <w:sz w:val="20"/>
                <w:szCs w:val="20"/>
              </w:rPr>
            </w:pPr>
          </w:p>
        </w:tc>
      </w:tr>
      <w:tr w14:paraId="21EC5ABC">
        <w:tblPrEx>
          <w:tblCellMar>
            <w:top w:w="0" w:type="dxa"/>
            <w:left w:w="0" w:type="dxa"/>
            <w:bottom w:w="0" w:type="dxa"/>
            <w:right w:w="0" w:type="dxa"/>
          </w:tblCellMar>
        </w:tblPrEx>
        <w:trPr>
          <w:wBefore w:w="0" w:type="auto"/>
          <w:tblCellSpacing w:w="0" w:type="dxa"/>
        </w:trPr>
        <w:tc>
          <w:tcPr>
            <w:tcW w:w="0" w:type="auto"/>
            <w:noWrap w:val="0"/>
            <w:vAlign w:val="center"/>
          </w:tcPr>
          <w:p w14:paraId="5D9BC9A0">
            <w:r>
              <w:rPr>
                <w:rStyle w:val="10"/>
                <w:rFonts w:hint="eastAsia"/>
              </w:rPr>
              <w:t>使用技术要求:</w:t>
            </w:r>
            <w:r>
              <w:rPr>
                <w:rFonts w:hint="eastAsia"/>
              </w:rPr>
              <w:br w:type="textWrapping"/>
            </w:r>
            <w:r>
              <w:rPr>
                <w:rStyle w:val="11"/>
                <w:rFonts w:hint="eastAsia"/>
              </w:rPr>
              <w:t>1.必须严格掌握使用浓度，均匀喷雾。2.于辣椒花期和幼果期各施药一次，共施药2次，兑水常规均匀喷雾，以均匀喷湿叶片正反面，药液欲滴未滴为度。每季度最多使用2次。3.大风或预计1小时内下雨，请勿施药。</w:t>
            </w:r>
          </w:p>
        </w:tc>
      </w:tr>
      <w:tr w14:paraId="50B83D83">
        <w:tblPrEx>
          <w:tblCellMar>
            <w:top w:w="0" w:type="dxa"/>
            <w:left w:w="0" w:type="dxa"/>
            <w:bottom w:w="0" w:type="dxa"/>
            <w:right w:w="0" w:type="dxa"/>
          </w:tblCellMar>
        </w:tblPrEx>
        <w:trPr>
          <w:wBefore w:w="0" w:type="auto"/>
          <w:tblCellSpacing w:w="0" w:type="dxa"/>
        </w:trPr>
        <w:tc>
          <w:tcPr>
            <w:tcW w:w="0" w:type="auto"/>
            <w:noWrap w:val="0"/>
            <w:vAlign w:val="center"/>
          </w:tcPr>
          <w:p w14:paraId="46DCDB4B">
            <w:r>
              <w:rPr>
                <w:rStyle w:val="10"/>
                <w:rFonts w:hint="eastAsia"/>
              </w:rPr>
              <w:t>产品性能:</w:t>
            </w:r>
            <w:r>
              <w:rPr>
                <w:rFonts w:hint="eastAsia"/>
              </w:rPr>
              <w:br w:type="textWrapping"/>
            </w:r>
            <w:r>
              <w:rPr>
                <w:rStyle w:val="11"/>
                <w:rFonts w:hint="eastAsia"/>
              </w:rPr>
              <w:t>本品由28-高芸苔素内酯和赤霉酸复配而成，具有促使植物细胞分裂和延长的双重功效，可促进植物根系发达，增强光合作用，提高作物叶绿素含量，从而提高作物的抗病、抗旱、抗盐、耐涝、耐冷等抗逆能力，施用本品能达到调节辣椒生长的目的。</w:t>
            </w:r>
          </w:p>
        </w:tc>
      </w:tr>
      <w:tr w14:paraId="7092191E">
        <w:tblPrEx>
          <w:tblCellMar>
            <w:top w:w="0" w:type="dxa"/>
            <w:left w:w="0" w:type="dxa"/>
            <w:bottom w:w="0" w:type="dxa"/>
            <w:right w:w="0" w:type="dxa"/>
          </w:tblCellMar>
        </w:tblPrEx>
        <w:trPr>
          <w:wBefore w:w="0" w:type="auto"/>
          <w:tblCellSpacing w:w="0" w:type="dxa"/>
        </w:trPr>
        <w:tc>
          <w:tcPr>
            <w:tcW w:w="0" w:type="auto"/>
            <w:noWrap w:val="0"/>
            <w:vAlign w:val="center"/>
          </w:tcPr>
          <w:p w14:paraId="4A1116DF">
            <w:r>
              <w:rPr>
                <w:rStyle w:val="10"/>
                <w:rFonts w:hint="eastAsia"/>
              </w:rPr>
              <w:t>注意事项：</w:t>
            </w:r>
            <w:r>
              <w:rPr>
                <w:rFonts w:hint="eastAsia"/>
              </w:rPr>
              <w:br w:type="textWrapping"/>
            </w:r>
            <w:r>
              <w:rPr>
                <w:rStyle w:val="11"/>
                <w:rFonts w:hint="eastAsia"/>
              </w:rPr>
              <w:t>1. 使用前请详细阅读产品标签，严格按照农药标签推荐的剂量和方法施用。2.使用本品时应穿戴防护服和手套，避免吸入药液。施药期间不可吃东西和饮水。施药后应及时洗手和洗脸。3.本品对蜜蜂有毒，施药期间避免对周围蜂群的影响，蜜源作物花期禁用。蚕室及桑园附近禁用。对鱼类等水生生物有毒，远离水产养殖区、河塘等水体施药。4.禁止在河塘等水体中清洗施药器具，生产、使用过程中的废弃物、废液和残留药物要妥善处理，不准排入河流、池塘、鱼塘等水源。5.用过的容器应妥善处理，不可做他用，也不可随意丢弃。6.儿童、孕妇及哺乳期妇女避免接触本品。</w:t>
            </w:r>
          </w:p>
        </w:tc>
      </w:tr>
      <w:tr w14:paraId="6A76E27A">
        <w:tblPrEx>
          <w:tblCellMar>
            <w:top w:w="0" w:type="dxa"/>
            <w:left w:w="0" w:type="dxa"/>
            <w:bottom w:w="0" w:type="dxa"/>
            <w:right w:w="0" w:type="dxa"/>
          </w:tblCellMar>
        </w:tblPrEx>
        <w:trPr>
          <w:wBefore w:w="0" w:type="auto"/>
          <w:tblCellSpacing w:w="0" w:type="dxa"/>
        </w:trPr>
        <w:tc>
          <w:tcPr>
            <w:tcW w:w="0" w:type="auto"/>
            <w:noWrap w:val="0"/>
            <w:vAlign w:val="center"/>
          </w:tcPr>
          <w:p w14:paraId="5A455220">
            <w:r>
              <w:rPr>
                <w:rStyle w:val="10"/>
                <w:rFonts w:hint="eastAsia"/>
              </w:rPr>
              <w:t>中毒急救措施：</w:t>
            </w:r>
            <w:r>
              <w:rPr>
                <w:rFonts w:hint="eastAsia"/>
              </w:rPr>
              <w:br w:type="textWrapping"/>
            </w:r>
            <w:r>
              <w:rPr>
                <w:rStyle w:val="11"/>
                <w:rFonts w:hint="eastAsia"/>
              </w:rPr>
              <w:t>皮肤接触：立即脱去被污染的衣物，用大量清水冲洗皮肤暴露部位至少15分钟。若仍有不适，送医就诊。 眼睛溅入：立即翻开眼睑，用清水冲洗至少15分钟，仍有不适，立即送医治疗。吸入：立即将吸入者转移到空气清新处，注意保暖和休息，速请医生诊治。 误服：立即停止工作并携带产品标签送医就诊，对症治疗。切勿引吐或给昏迷者喂食。</w:t>
            </w:r>
          </w:p>
        </w:tc>
      </w:tr>
      <w:tr w14:paraId="3AD181E2">
        <w:tblPrEx>
          <w:tblCellMar>
            <w:top w:w="0" w:type="dxa"/>
            <w:left w:w="0" w:type="dxa"/>
            <w:bottom w:w="0" w:type="dxa"/>
            <w:right w:w="0" w:type="dxa"/>
          </w:tblCellMar>
        </w:tblPrEx>
        <w:trPr>
          <w:wBefore w:w="0" w:type="auto"/>
          <w:tblCellSpacing w:w="0" w:type="dxa"/>
        </w:trPr>
        <w:tc>
          <w:tcPr>
            <w:tcW w:w="0" w:type="auto"/>
            <w:noWrap w:val="0"/>
            <w:vAlign w:val="center"/>
          </w:tcPr>
          <w:p w14:paraId="22D1CA08">
            <w:r>
              <w:rPr>
                <w:rStyle w:val="10"/>
                <w:rFonts w:hint="eastAsia"/>
              </w:rPr>
              <w:t>储存和运输方法：</w:t>
            </w:r>
            <w:r>
              <w:rPr>
                <w:rFonts w:hint="eastAsia"/>
              </w:rPr>
              <w:br w:type="textWrapping"/>
            </w:r>
            <w:r>
              <w:rPr>
                <w:rStyle w:val="11"/>
                <w:rFonts w:hint="eastAsia"/>
              </w:rPr>
              <w:t>1.本品闪电为41℃，应贮存在阴凉、干燥、通风、防雨处，严防潮湿和日晒；2.远离火源与热源；3.置于儿童、无关人员及动物接触不到的地方，并加锁保存；4.不得与食物、粮食、饮料、种子、饲料等同贮同运。</w:t>
            </w:r>
          </w:p>
        </w:tc>
      </w:tr>
      <w:tr w14:paraId="6062DEE0">
        <w:tblPrEx>
          <w:tblCellMar>
            <w:top w:w="0" w:type="dxa"/>
            <w:left w:w="0" w:type="dxa"/>
            <w:bottom w:w="0" w:type="dxa"/>
            <w:right w:w="0" w:type="dxa"/>
          </w:tblCellMar>
        </w:tblPrEx>
        <w:trPr>
          <w:wBefore w:w="0" w:type="auto"/>
          <w:tblCellSpacing w:w="0" w:type="dxa"/>
        </w:trPr>
        <w:tc>
          <w:tcPr>
            <w:tcW w:w="0" w:type="auto"/>
            <w:noWrap w:val="0"/>
            <w:vAlign w:val="center"/>
          </w:tcPr>
          <w:p w14:paraId="24F60D5C">
            <w:r>
              <w:rPr>
                <w:rStyle w:val="10"/>
                <w:rFonts w:hint="eastAsia"/>
              </w:rPr>
              <w:t>质量保证期：</w:t>
            </w:r>
            <w:r>
              <w:rPr>
                <w:rStyle w:val="11"/>
                <w:rFonts w:hint="eastAsia"/>
              </w:rPr>
              <w:t>2年</w:t>
            </w:r>
          </w:p>
        </w:tc>
      </w:tr>
      <w:tr w14:paraId="08B44672">
        <w:tblPrEx>
          <w:tblCellMar>
            <w:top w:w="0" w:type="dxa"/>
            <w:left w:w="0" w:type="dxa"/>
            <w:bottom w:w="0" w:type="dxa"/>
            <w:right w:w="0" w:type="dxa"/>
          </w:tblCellMar>
        </w:tblPrEx>
        <w:trPr>
          <w:wBefore w:w="0" w:type="auto"/>
          <w:tblCellSpacing w:w="0" w:type="dxa"/>
        </w:trPr>
        <w:tc>
          <w:tcPr>
            <w:tcW w:w="0" w:type="auto"/>
            <w:noWrap w:val="0"/>
            <w:vAlign w:val="center"/>
          </w:tcPr>
          <w:p w14:paraId="7EA4DDF2">
            <w:r>
              <w:rPr>
                <w:rStyle w:val="10"/>
                <w:rFonts w:hint="eastAsia"/>
              </w:rPr>
              <w:t>备注：</w:t>
            </w:r>
          </w:p>
        </w:tc>
      </w:tr>
    </w:tbl>
    <w:p w14:paraId="3DB327F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5002E79">
        <w:tblPrEx>
          <w:tblCellMar>
            <w:top w:w="0" w:type="dxa"/>
            <w:left w:w="0" w:type="dxa"/>
            <w:bottom w:w="0" w:type="dxa"/>
            <w:right w:w="0" w:type="dxa"/>
          </w:tblCellMar>
        </w:tblPrEx>
        <w:trPr>
          <w:wBefore w:w="0" w:type="auto"/>
          <w:tblCellSpacing w:w="0" w:type="dxa"/>
        </w:trPr>
        <w:tc>
          <w:tcPr>
            <w:tcW w:w="0" w:type="auto"/>
            <w:noWrap w:val="0"/>
            <w:vAlign w:val="center"/>
          </w:tcPr>
          <w:p w14:paraId="7D9A1539">
            <w:r>
              <w:rPr>
                <w:rStyle w:val="10"/>
                <w:rFonts w:hint="eastAsia"/>
              </w:rPr>
              <w:t>登记证号：</w:t>
            </w:r>
            <w:r>
              <w:rPr>
                <w:rFonts w:hint="eastAsia"/>
              </w:rPr>
              <w:t>PD20212120</w:t>
            </w:r>
          </w:p>
        </w:tc>
      </w:tr>
      <w:tr w14:paraId="178A9CCA">
        <w:tblPrEx>
          <w:tblCellMar>
            <w:top w:w="0" w:type="dxa"/>
            <w:left w:w="0" w:type="dxa"/>
            <w:bottom w:w="0" w:type="dxa"/>
            <w:right w:w="0" w:type="dxa"/>
          </w:tblCellMar>
        </w:tblPrEx>
        <w:trPr>
          <w:wBefore w:w="0" w:type="auto"/>
          <w:tblCellSpacing w:w="0" w:type="dxa"/>
        </w:trPr>
        <w:tc>
          <w:tcPr>
            <w:tcW w:w="0" w:type="auto"/>
            <w:noWrap w:val="0"/>
            <w:vAlign w:val="center"/>
          </w:tcPr>
          <w:p w14:paraId="0DA82C5C">
            <w:r>
              <w:rPr>
                <w:rStyle w:val="10"/>
                <w:rFonts w:hint="eastAsia"/>
              </w:rPr>
              <w:t>登记证持有人：</w:t>
            </w:r>
            <w:r>
              <w:rPr>
                <w:rFonts w:hint="eastAsia"/>
              </w:rPr>
              <w:t>宁夏新安科技有限公司</w:t>
            </w:r>
          </w:p>
        </w:tc>
      </w:tr>
      <w:tr w14:paraId="3B63C33E">
        <w:tblPrEx>
          <w:tblCellMar>
            <w:top w:w="0" w:type="dxa"/>
            <w:left w:w="0" w:type="dxa"/>
            <w:bottom w:w="0" w:type="dxa"/>
            <w:right w:w="0" w:type="dxa"/>
          </w:tblCellMar>
        </w:tblPrEx>
        <w:trPr>
          <w:wBefore w:w="0" w:type="auto"/>
          <w:tblCellSpacing w:w="0" w:type="dxa"/>
        </w:trPr>
        <w:tc>
          <w:tcPr>
            <w:tcW w:w="0" w:type="auto"/>
            <w:noWrap w:val="0"/>
            <w:vAlign w:val="center"/>
          </w:tcPr>
          <w:p w14:paraId="0D9F34E2">
            <w:r>
              <w:rPr>
                <w:rStyle w:val="10"/>
                <w:rFonts w:hint="eastAsia"/>
              </w:rPr>
              <w:t>农药名称：</w:t>
            </w:r>
            <w:r>
              <w:rPr>
                <w:rFonts w:hint="eastAsia"/>
              </w:rPr>
              <w:t>敌草隆</w:t>
            </w:r>
          </w:p>
        </w:tc>
      </w:tr>
      <w:tr w14:paraId="59EA4905">
        <w:tblPrEx>
          <w:tblCellMar>
            <w:top w:w="0" w:type="dxa"/>
            <w:left w:w="0" w:type="dxa"/>
            <w:bottom w:w="0" w:type="dxa"/>
            <w:right w:w="0" w:type="dxa"/>
          </w:tblCellMar>
        </w:tblPrEx>
        <w:trPr>
          <w:wBefore w:w="0" w:type="auto"/>
          <w:tblCellSpacing w:w="0" w:type="dxa"/>
        </w:trPr>
        <w:tc>
          <w:tcPr>
            <w:tcW w:w="0" w:type="auto"/>
            <w:noWrap w:val="0"/>
            <w:vAlign w:val="center"/>
          </w:tcPr>
          <w:p w14:paraId="2C18292D">
            <w:r>
              <w:rPr>
                <w:rStyle w:val="10"/>
                <w:rFonts w:hint="eastAsia"/>
              </w:rPr>
              <w:t>剂型：</w:t>
            </w:r>
            <w:r>
              <w:rPr>
                <w:rFonts w:hint="eastAsia"/>
              </w:rPr>
              <w:t>水分散粒剂</w:t>
            </w:r>
          </w:p>
        </w:tc>
      </w:tr>
      <w:tr w14:paraId="234BB28D">
        <w:tblPrEx>
          <w:tblCellMar>
            <w:top w:w="0" w:type="dxa"/>
            <w:left w:w="0" w:type="dxa"/>
            <w:bottom w:w="0" w:type="dxa"/>
            <w:right w:w="0" w:type="dxa"/>
          </w:tblCellMar>
        </w:tblPrEx>
        <w:trPr>
          <w:wBefore w:w="0" w:type="auto"/>
          <w:tblCellSpacing w:w="0" w:type="dxa"/>
        </w:trPr>
        <w:tc>
          <w:tcPr>
            <w:tcW w:w="0" w:type="auto"/>
            <w:noWrap w:val="0"/>
            <w:vAlign w:val="center"/>
          </w:tcPr>
          <w:p w14:paraId="31F44E7B">
            <w:r>
              <w:rPr>
                <w:rStyle w:val="10"/>
                <w:rFonts w:hint="eastAsia"/>
              </w:rPr>
              <w:t>毒性及其标识：</w:t>
            </w:r>
            <w:r>
              <w:rPr>
                <w:rFonts w:hint="eastAsia"/>
              </w:rPr>
              <w:t xml:space="preserve"> </w:t>
            </w:r>
            <w:r>
              <w:rPr>
                <w:lang/>
              </w:rPr>
              <w:drawing>
                <wp:inline distT="0" distB="0" distL="114300" distR="114300">
                  <wp:extent cx="476250" cy="323850"/>
                  <wp:effectExtent l="0" t="0" r="0" b="0"/>
                  <wp:docPr id="93" name="图片 9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32FA305">
        <w:tblPrEx>
          <w:tblCellMar>
            <w:top w:w="0" w:type="dxa"/>
            <w:left w:w="0" w:type="dxa"/>
            <w:bottom w:w="0" w:type="dxa"/>
            <w:right w:w="0" w:type="dxa"/>
          </w:tblCellMar>
        </w:tblPrEx>
        <w:trPr>
          <w:wBefore w:w="0" w:type="auto"/>
          <w:tblCellSpacing w:w="0" w:type="dxa"/>
        </w:trPr>
        <w:tc>
          <w:tcPr>
            <w:tcW w:w="0" w:type="auto"/>
            <w:noWrap w:val="0"/>
            <w:vAlign w:val="center"/>
          </w:tcPr>
          <w:p w14:paraId="7EBD1B0C">
            <w:r>
              <w:rPr>
                <w:rStyle w:val="10"/>
                <w:rFonts w:hint="eastAsia"/>
              </w:rPr>
              <w:t>总有效成分含量：</w:t>
            </w:r>
            <w:r>
              <w:rPr>
                <w:rFonts w:hint="eastAsia"/>
              </w:rPr>
              <w:t>90%</w:t>
            </w:r>
          </w:p>
        </w:tc>
      </w:tr>
      <w:tr w14:paraId="2355D19C">
        <w:tblPrEx>
          <w:tblCellMar>
            <w:top w:w="0" w:type="dxa"/>
            <w:left w:w="0" w:type="dxa"/>
            <w:bottom w:w="0" w:type="dxa"/>
            <w:right w:w="0" w:type="dxa"/>
          </w:tblCellMar>
        </w:tblPrEx>
        <w:trPr>
          <w:wBefore w:w="0" w:type="auto"/>
          <w:tblCellSpacing w:w="0" w:type="dxa"/>
        </w:trPr>
        <w:tc>
          <w:tcPr>
            <w:tcW w:w="0" w:type="auto"/>
            <w:noWrap w:val="0"/>
            <w:vAlign w:val="center"/>
          </w:tcPr>
          <w:p w14:paraId="0867C67B">
            <w:r>
              <w:rPr>
                <w:rFonts w:hint="eastAsia"/>
              </w:rPr>
              <w:t xml:space="preserve">有效成分及其含量： </w:t>
            </w:r>
          </w:p>
          <w:p w14:paraId="3ACD47A9">
            <w:r>
              <w:rPr>
                <w:rFonts w:hint="eastAsia"/>
              </w:rPr>
              <w:t xml:space="preserve">    敌草隆90%    </w:t>
            </w:r>
          </w:p>
        </w:tc>
      </w:tr>
      <w:tr w14:paraId="47E5A33D">
        <w:tblPrEx>
          <w:tblCellMar>
            <w:top w:w="0" w:type="dxa"/>
            <w:left w:w="0" w:type="dxa"/>
            <w:bottom w:w="0" w:type="dxa"/>
            <w:right w:w="0" w:type="dxa"/>
          </w:tblCellMar>
        </w:tblPrEx>
        <w:trPr>
          <w:wBefore w:w="0" w:type="auto"/>
          <w:tblCellSpacing w:w="0" w:type="dxa"/>
        </w:trPr>
        <w:tc>
          <w:tcPr>
            <w:tcW w:w="0" w:type="auto"/>
            <w:noWrap w:val="0"/>
            <w:vAlign w:val="center"/>
          </w:tcPr>
          <w:p w14:paraId="0D5250C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848B8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E9781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EB4650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1B78D8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7458768">
                  <w:r>
                    <w:rPr>
                      <w:rStyle w:val="11"/>
                      <w:rFonts w:hint="eastAsia"/>
                    </w:rPr>
                    <w:t>施用方式</w:t>
                  </w:r>
                </w:p>
              </w:tc>
            </w:tr>
            <w:tr w14:paraId="30E77C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6CF6108">
                  <w:r>
                    <w:rPr>
                      <w:rStyle w:val="11"/>
                      <w:rFonts w:hint="eastAsia"/>
                    </w:rPr>
                    <w:t>棉花田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906235">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30AF21">
                  <w:r>
                    <w:rPr>
                      <w:rStyle w:val="11"/>
                      <w:rFonts w:hint="eastAsia"/>
                    </w:rPr>
                    <w:t>60-80克/亩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2B4ECA">
                  <w:r>
                    <w:rPr>
                      <w:rStyle w:val="11"/>
                      <w:rFonts w:hint="eastAsia"/>
                    </w:rPr>
                    <w:t>土壤喷雾</w:t>
                  </w:r>
                </w:p>
              </w:tc>
            </w:tr>
          </w:tbl>
          <w:p w14:paraId="208332FB">
            <w:pPr>
              <w:rPr>
                <w:rFonts w:ascii="Times New Roman" w:hAnsi="Times New Roman" w:cs="Times New Roman"/>
                <w:sz w:val="20"/>
                <w:szCs w:val="20"/>
              </w:rPr>
            </w:pPr>
          </w:p>
        </w:tc>
      </w:tr>
      <w:tr w14:paraId="0451B2D3">
        <w:tblPrEx>
          <w:tblCellMar>
            <w:top w:w="0" w:type="dxa"/>
            <w:left w:w="0" w:type="dxa"/>
            <w:bottom w:w="0" w:type="dxa"/>
            <w:right w:w="0" w:type="dxa"/>
          </w:tblCellMar>
        </w:tblPrEx>
        <w:trPr>
          <w:wBefore w:w="0" w:type="auto"/>
          <w:tblCellSpacing w:w="0" w:type="dxa"/>
        </w:trPr>
        <w:tc>
          <w:tcPr>
            <w:tcW w:w="0" w:type="auto"/>
            <w:noWrap w:val="0"/>
            <w:vAlign w:val="center"/>
          </w:tcPr>
          <w:p w14:paraId="33E0CA3E">
            <w:r>
              <w:rPr>
                <w:rStyle w:val="10"/>
                <w:rFonts w:hint="eastAsia"/>
              </w:rPr>
              <w:t>使用技术要求:</w:t>
            </w:r>
            <w:r>
              <w:rPr>
                <w:rFonts w:hint="eastAsia"/>
              </w:rPr>
              <w:br w:type="textWrapping"/>
            </w:r>
            <w:r>
              <w:rPr>
                <w:rStyle w:val="11"/>
                <w:rFonts w:hint="eastAsia"/>
              </w:rPr>
              <w:t>1.本品应于棉花播后苗前土壤施药，均匀喷雾，每亩用药量兑水50公斤配成药液后喷雾。如遇干旱天气，亩用水量应增加到100公斤以上，将有利于药效发挥。必须施于土表，棉苗出土后不宜使用。 2.大风天或预计1小时内降雨，请勿施药。3.在棉花每个作物周期最多用药次数为1次。 4.施药时遇土面干旱，则应每亩兑水量增加到100公斤以上。</w:t>
            </w:r>
          </w:p>
        </w:tc>
      </w:tr>
      <w:tr w14:paraId="144A5F73">
        <w:tblPrEx>
          <w:tblCellMar>
            <w:top w:w="0" w:type="dxa"/>
            <w:left w:w="0" w:type="dxa"/>
            <w:bottom w:w="0" w:type="dxa"/>
            <w:right w:w="0" w:type="dxa"/>
          </w:tblCellMar>
        </w:tblPrEx>
        <w:trPr>
          <w:wBefore w:w="0" w:type="auto"/>
          <w:tblCellSpacing w:w="0" w:type="dxa"/>
        </w:trPr>
        <w:tc>
          <w:tcPr>
            <w:tcW w:w="0" w:type="auto"/>
            <w:noWrap w:val="0"/>
            <w:vAlign w:val="center"/>
          </w:tcPr>
          <w:p w14:paraId="50534336">
            <w:r>
              <w:rPr>
                <w:rStyle w:val="10"/>
                <w:rFonts w:hint="eastAsia"/>
              </w:rPr>
              <w:t>产品性能:</w:t>
            </w:r>
            <w:r>
              <w:rPr>
                <w:rFonts w:hint="eastAsia"/>
              </w:rPr>
              <w:br w:type="textWrapping"/>
            </w:r>
            <w:r>
              <w:rPr>
                <w:rStyle w:val="11"/>
                <w:rFonts w:hint="eastAsia"/>
              </w:rPr>
              <w:t>本品为脲类除草剂，抑制杂草光合作用，为内吸性的除草剂，并有一定的触杀性能。对棉花田一年生单子叶和双子叶杂草如稗草、马唐、牛筋草、繁缕、龙葵等有良好的防治效果。</w:t>
            </w:r>
          </w:p>
        </w:tc>
      </w:tr>
      <w:tr w14:paraId="35D3A3AB">
        <w:tblPrEx>
          <w:tblCellMar>
            <w:top w:w="0" w:type="dxa"/>
            <w:left w:w="0" w:type="dxa"/>
            <w:bottom w:w="0" w:type="dxa"/>
            <w:right w:w="0" w:type="dxa"/>
          </w:tblCellMar>
        </w:tblPrEx>
        <w:trPr>
          <w:wBefore w:w="0" w:type="auto"/>
          <w:tblCellSpacing w:w="0" w:type="dxa"/>
        </w:trPr>
        <w:tc>
          <w:tcPr>
            <w:tcW w:w="0" w:type="auto"/>
            <w:noWrap w:val="0"/>
            <w:vAlign w:val="center"/>
          </w:tcPr>
          <w:p w14:paraId="20AD6665">
            <w:r>
              <w:rPr>
                <w:rStyle w:val="10"/>
                <w:rFonts w:hint="eastAsia"/>
              </w:rPr>
              <w:t>注意事项：</w:t>
            </w:r>
            <w:r>
              <w:rPr>
                <w:rFonts w:hint="eastAsia"/>
              </w:rPr>
              <w:br w:type="textWrapping"/>
            </w:r>
            <w:r>
              <w:rPr>
                <w:rStyle w:val="11"/>
                <w:rFonts w:hint="eastAsia"/>
              </w:rPr>
              <w:t>1.建议与其他作用机制不同的杀虫剂轮换使用，以延缓抗性产生。 2.砂性土壤用药量应比粘土适当减少。 3.间种大豆、花生等作物的棉花田，不能使用本品。4.敌草隆对辣椒、西瓜、小麦、桃树等作物敏感，施药时防止药液飘移到邻近作物，以免产生药害；5.敌草隆土壤残效期较长，注意合理安排后茬作物，保证安全间隔期。6.</w:t>
            </w:r>
            <w:r>
              <w:rPr>
                <w:rStyle w:val="11"/>
                <w:rFonts w:hint="eastAsia"/>
              </w:rPr>
              <w:t> </w:t>
            </w:r>
            <w:r>
              <w:rPr>
                <w:rStyle w:val="11"/>
                <w:rFonts w:hint="eastAsia"/>
              </w:rPr>
              <w:t>禁止在河塘等水体中清洗施药器具；</w:t>
            </w:r>
            <w:r>
              <w:rPr>
                <w:rStyle w:val="11"/>
                <w:rFonts w:hint="eastAsia"/>
              </w:rPr>
              <w:t> </w:t>
            </w:r>
            <w:r>
              <w:rPr>
                <w:rStyle w:val="11"/>
                <w:rFonts w:hint="eastAsia"/>
              </w:rPr>
              <w:t>蚕室及桑园附近禁用；鸟类保护区附近禁用。7.用过的容器和废弃物应妥善处理，不可随意丢弃或做他用。8.孕妇及哺乳期妇女应远离本药品。</w:t>
            </w:r>
          </w:p>
        </w:tc>
      </w:tr>
      <w:tr w14:paraId="1D7424A3">
        <w:tblPrEx>
          <w:tblCellMar>
            <w:top w:w="0" w:type="dxa"/>
            <w:left w:w="0" w:type="dxa"/>
            <w:bottom w:w="0" w:type="dxa"/>
            <w:right w:w="0" w:type="dxa"/>
          </w:tblCellMar>
        </w:tblPrEx>
        <w:trPr>
          <w:wBefore w:w="0" w:type="auto"/>
          <w:tblCellSpacing w:w="0" w:type="dxa"/>
        </w:trPr>
        <w:tc>
          <w:tcPr>
            <w:tcW w:w="0" w:type="auto"/>
            <w:noWrap w:val="0"/>
            <w:vAlign w:val="center"/>
          </w:tcPr>
          <w:p w14:paraId="2BFC7B28">
            <w:r>
              <w:rPr>
                <w:rStyle w:val="10"/>
                <w:rFonts w:hint="eastAsia"/>
              </w:rPr>
              <w:t>中毒急救措施：</w:t>
            </w:r>
            <w:r>
              <w:rPr>
                <w:rFonts w:hint="eastAsia"/>
              </w:rPr>
              <w:br w:type="textWrapping"/>
            </w:r>
            <w:r>
              <w:rPr>
                <w:rStyle w:val="11"/>
                <w:rFonts w:hint="eastAsia"/>
              </w:rPr>
              <w:t>本品对眼睛和皮肤有刺激性。1.目前尚无特效解毒剂，若摄入量大，病人十分清醒，可用吐根糖浆诱吐，还可在服用的活性炭泥中加入山梨醇。 2.若药剂溅入眼中或皮肤上，立即用大量清水冲洗至少15分钟。 3.若吸入中毒，应移到有清洁流通的地方，并送医院救治。</w:t>
            </w:r>
          </w:p>
        </w:tc>
      </w:tr>
      <w:tr w14:paraId="48EEF5F3">
        <w:tblPrEx>
          <w:tblCellMar>
            <w:top w:w="0" w:type="dxa"/>
            <w:left w:w="0" w:type="dxa"/>
            <w:bottom w:w="0" w:type="dxa"/>
            <w:right w:w="0" w:type="dxa"/>
          </w:tblCellMar>
        </w:tblPrEx>
        <w:trPr>
          <w:wBefore w:w="0" w:type="auto"/>
          <w:tblCellSpacing w:w="0" w:type="dxa"/>
        </w:trPr>
        <w:tc>
          <w:tcPr>
            <w:tcW w:w="0" w:type="auto"/>
            <w:noWrap w:val="0"/>
            <w:vAlign w:val="center"/>
          </w:tcPr>
          <w:p w14:paraId="7CE7E3D4">
            <w:r>
              <w:rPr>
                <w:rStyle w:val="10"/>
                <w:rFonts w:hint="eastAsia"/>
              </w:rPr>
              <w:t>储存和运输方法：</w:t>
            </w:r>
            <w:r>
              <w:rPr>
                <w:rFonts w:hint="eastAsia"/>
              </w:rPr>
              <w:br w:type="textWrapping"/>
            </w:r>
            <w:r>
              <w:rPr>
                <w:rStyle w:val="11"/>
                <w:rFonts w:hint="eastAsia"/>
              </w:rPr>
              <w:t>1.运输时要避雨淋、避阳光直照。如果出现洒漏现象要及时处理，以免污染环境。 2.应储存在干燥阴凉、通风处。远离热源或火源。置于儿童触及不到之处，并加锁。3.勿与食品、种子、饲料、饮料、粮食等混合储运。</w:t>
            </w:r>
          </w:p>
        </w:tc>
      </w:tr>
      <w:tr w14:paraId="6876D1FB">
        <w:tblPrEx>
          <w:tblCellMar>
            <w:top w:w="0" w:type="dxa"/>
            <w:left w:w="0" w:type="dxa"/>
            <w:bottom w:w="0" w:type="dxa"/>
            <w:right w:w="0" w:type="dxa"/>
          </w:tblCellMar>
        </w:tblPrEx>
        <w:trPr>
          <w:wBefore w:w="0" w:type="auto"/>
          <w:tblCellSpacing w:w="0" w:type="dxa"/>
        </w:trPr>
        <w:tc>
          <w:tcPr>
            <w:tcW w:w="0" w:type="auto"/>
            <w:noWrap w:val="0"/>
            <w:vAlign w:val="center"/>
          </w:tcPr>
          <w:p w14:paraId="781B6052">
            <w:r>
              <w:rPr>
                <w:rStyle w:val="10"/>
                <w:rFonts w:hint="eastAsia"/>
              </w:rPr>
              <w:t>质量保证期：</w:t>
            </w:r>
            <w:r>
              <w:rPr>
                <w:rStyle w:val="11"/>
                <w:rFonts w:hint="eastAsia"/>
              </w:rPr>
              <w:t>2年</w:t>
            </w:r>
          </w:p>
        </w:tc>
      </w:tr>
      <w:tr w14:paraId="047349A6">
        <w:tblPrEx>
          <w:tblCellMar>
            <w:top w:w="0" w:type="dxa"/>
            <w:left w:w="0" w:type="dxa"/>
            <w:bottom w:w="0" w:type="dxa"/>
            <w:right w:w="0" w:type="dxa"/>
          </w:tblCellMar>
        </w:tblPrEx>
        <w:trPr>
          <w:wBefore w:w="0" w:type="auto"/>
          <w:tblCellSpacing w:w="0" w:type="dxa"/>
        </w:trPr>
        <w:tc>
          <w:tcPr>
            <w:tcW w:w="0" w:type="auto"/>
            <w:noWrap w:val="0"/>
            <w:vAlign w:val="center"/>
          </w:tcPr>
          <w:p w14:paraId="069E45A2">
            <w:r>
              <w:rPr>
                <w:rStyle w:val="10"/>
                <w:rFonts w:hint="eastAsia"/>
              </w:rPr>
              <w:t>备注：</w:t>
            </w:r>
          </w:p>
        </w:tc>
      </w:tr>
    </w:tbl>
    <w:p w14:paraId="3139BC8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EA2BD60">
        <w:tblPrEx>
          <w:tblCellMar>
            <w:top w:w="0" w:type="dxa"/>
            <w:left w:w="0" w:type="dxa"/>
            <w:bottom w:w="0" w:type="dxa"/>
            <w:right w:w="0" w:type="dxa"/>
          </w:tblCellMar>
        </w:tblPrEx>
        <w:trPr>
          <w:wBefore w:w="0" w:type="auto"/>
          <w:tblCellSpacing w:w="0" w:type="dxa"/>
        </w:trPr>
        <w:tc>
          <w:tcPr>
            <w:tcW w:w="0" w:type="auto"/>
            <w:noWrap w:val="0"/>
            <w:vAlign w:val="center"/>
          </w:tcPr>
          <w:p w14:paraId="46110926">
            <w:r>
              <w:rPr>
                <w:rStyle w:val="10"/>
                <w:rFonts w:hint="eastAsia"/>
              </w:rPr>
              <w:t>登记证号：</w:t>
            </w:r>
            <w:r>
              <w:rPr>
                <w:rFonts w:hint="eastAsia"/>
              </w:rPr>
              <w:t>PD20212098</w:t>
            </w:r>
          </w:p>
        </w:tc>
      </w:tr>
      <w:tr w14:paraId="254DEC18">
        <w:tblPrEx>
          <w:tblCellMar>
            <w:top w:w="0" w:type="dxa"/>
            <w:left w:w="0" w:type="dxa"/>
            <w:bottom w:w="0" w:type="dxa"/>
            <w:right w:w="0" w:type="dxa"/>
          </w:tblCellMar>
        </w:tblPrEx>
        <w:trPr>
          <w:wBefore w:w="0" w:type="auto"/>
          <w:tblCellSpacing w:w="0" w:type="dxa"/>
        </w:trPr>
        <w:tc>
          <w:tcPr>
            <w:tcW w:w="0" w:type="auto"/>
            <w:noWrap w:val="0"/>
            <w:vAlign w:val="center"/>
          </w:tcPr>
          <w:p w14:paraId="3A1804CF">
            <w:r>
              <w:rPr>
                <w:rStyle w:val="10"/>
                <w:rFonts w:hint="eastAsia"/>
              </w:rPr>
              <w:t>登记证持有人：</w:t>
            </w:r>
            <w:r>
              <w:rPr>
                <w:rFonts w:hint="eastAsia"/>
              </w:rPr>
              <w:t>河北威远生物化工有限公司</w:t>
            </w:r>
          </w:p>
        </w:tc>
      </w:tr>
      <w:tr w14:paraId="30DA72ED">
        <w:tblPrEx>
          <w:tblCellMar>
            <w:top w:w="0" w:type="dxa"/>
            <w:left w:w="0" w:type="dxa"/>
            <w:bottom w:w="0" w:type="dxa"/>
            <w:right w:w="0" w:type="dxa"/>
          </w:tblCellMar>
        </w:tblPrEx>
        <w:trPr>
          <w:wBefore w:w="0" w:type="auto"/>
          <w:tblCellSpacing w:w="0" w:type="dxa"/>
        </w:trPr>
        <w:tc>
          <w:tcPr>
            <w:tcW w:w="0" w:type="auto"/>
            <w:noWrap w:val="0"/>
            <w:vAlign w:val="center"/>
          </w:tcPr>
          <w:p w14:paraId="421923EC">
            <w:r>
              <w:rPr>
                <w:rStyle w:val="10"/>
                <w:rFonts w:hint="eastAsia"/>
              </w:rPr>
              <w:t>农药名称：</w:t>
            </w:r>
            <w:r>
              <w:rPr>
                <w:rFonts w:hint="eastAsia"/>
              </w:rPr>
              <w:t>双氟·唑草酮</w:t>
            </w:r>
          </w:p>
        </w:tc>
      </w:tr>
      <w:tr w14:paraId="5476AC1D">
        <w:tblPrEx>
          <w:tblCellMar>
            <w:top w:w="0" w:type="dxa"/>
            <w:left w:w="0" w:type="dxa"/>
            <w:bottom w:w="0" w:type="dxa"/>
            <w:right w:w="0" w:type="dxa"/>
          </w:tblCellMar>
        </w:tblPrEx>
        <w:trPr>
          <w:wBefore w:w="0" w:type="auto"/>
          <w:tblCellSpacing w:w="0" w:type="dxa"/>
        </w:trPr>
        <w:tc>
          <w:tcPr>
            <w:tcW w:w="0" w:type="auto"/>
            <w:noWrap w:val="0"/>
            <w:vAlign w:val="center"/>
          </w:tcPr>
          <w:p w14:paraId="4C35FECB">
            <w:r>
              <w:rPr>
                <w:rStyle w:val="10"/>
                <w:rFonts w:hint="eastAsia"/>
              </w:rPr>
              <w:t>剂型：</w:t>
            </w:r>
            <w:r>
              <w:rPr>
                <w:rFonts w:hint="eastAsia"/>
              </w:rPr>
              <w:t>悬浮剂</w:t>
            </w:r>
          </w:p>
        </w:tc>
      </w:tr>
      <w:tr w14:paraId="08BB105A">
        <w:tblPrEx>
          <w:tblCellMar>
            <w:top w:w="0" w:type="dxa"/>
            <w:left w:w="0" w:type="dxa"/>
            <w:bottom w:w="0" w:type="dxa"/>
            <w:right w:w="0" w:type="dxa"/>
          </w:tblCellMar>
        </w:tblPrEx>
        <w:trPr>
          <w:wBefore w:w="0" w:type="auto"/>
          <w:tblCellSpacing w:w="0" w:type="dxa"/>
        </w:trPr>
        <w:tc>
          <w:tcPr>
            <w:tcW w:w="0" w:type="auto"/>
            <w:noWrap w:val="0"/>
            <w:vAlign w:val="center"/>
          </w:tcPr>
          <w:p w14:paraId="374DF3DC">
            <w:r>
              <w:rPr>
                <w:rStyle w:val="10"/>
                <w:rFonts w:hint="eastAsia"/>
              </w:rPr>
              <w:t>毒性及其标识：</w:t>
            </w:r>
            <w:r>
              <w:rPr>
                <w:rFonts w:hint="eastAsia"/>
              </w:rPr>
              <w:t xml:space="preserve"> </w:t>
            </w:r>
            <w:r>
              <w:rPr>
                <w:lang/>
              </w:rPr>
              <w:drawing>
                <wp:inline distT="0" distB="0" distL="114300" distR="114300">
                  <wp:extent cx="476250" cy="323850"/>
                  <wp:effectExtent l="0" t="0" r="0" b="0"/>
                  <wp:docPr id="94" name="图片 9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70F779B">
        <w:tblPrEx>
          <w:tblCellMar>
            <w:top w:w="0" w:type="dxa"/>
            <w:left w:w="0" w:type="dxa"/>
            <w:bottom w:w="0" w:type="dxa"/>
            <w:right w:w="0" w:type="dxa"/>
          </w:tblCellMar>
        </w:tblPrEx>
        <w:trPr>
          <w:wBefore w:w="0" w:type="auto"/>
          <w:tblCellSpacing w:w="0" w:type="dxa"/>
        </w:trPr>
        <w:tc>
          <w:tcPr>
            <w:tcW w:w="0" w:type="auto"/>
            <w:noWrap w:val="0"/>
            <w:vAlign w:val="center"/>
          </w:tcPr>
          <w:p w14:paraId="33850E4E">
            <w:r>
              <w:rPr>
                <w:rStyle w:val="10"/>
                <w:rFonts w:hint="eastAsia"/>
              </w:rPr>
              <w:t>总有效成分含量：</w:t>
            </w:r>
            <w:r>
              <w:rPr>
                <w:rFonts w:hint="eastAsia"/>
              </w:rPr>
              <w:t>15%</w:t>
            </w:r>
          </w:p>
        </w:tc>
      </w:tr>
      <w:tr w14:paraId="26142D6D">
        <w:tblPrEx>
          <w:tblCellMar>
            <w:top w:w="0" w:type="dxa"/>
            <w:left w:w="0" w:type="dxa"/>
            <w:bottom w:w="0" w:type="dxa"/>
            <w:right w:w="0" w:type="dxa"/>
          </w:tblCellMar>
        </w:tblPrEx>
        <w:trPr>
          <w:wBefore w:w="0" w:type="auto"/>
          <w:tblCellSpacing w:w="0" w:type="dxa"/>
        </w:trPr>
        <w:tc>
          <w:tcPr>
            <w:tcW w:w="0" w:type="auto"/>
            <w:noWrap w:val="0"/>
            <w:vAlign w:val="center"/>
          </w:tcPr>
          <w:p w14:paraId="634A57A3">
            <w:r>
              <w:rPr>
                <w:rFonts w:hint="eastAsia"/>
              </w:rPr>
              <w:t xml:space="preserve">有效成分及其含量： </w:t>
            </w:r>
          </w:p>
          <w:p w14:paraId="6105A857">
            <w:r>
              <w:rPr>
                <w:rFonts w:hint="eastAsia"/>
              </w:rPr>
              <w:t xml:space="preserve">    双氟磺草胺5%    唑草酮10%    </w:t>
            </w:r>
          </w:p>
        </w:tc>
      </w:tr>
      <w:tr w14:paraId="15A87485">
        <w:tblPrEx>
          <w:tblCellMar>
            <w:top w:w="0" w:type="dxa"/>
            <w:left w:w="0" w:type="dxa"/>
            <w:bottom w:w="0" w:type="dxa"/>
            <w:right w:w="0" w:type="dxa"/>
          </w:tblCellMar>
        </w:tblPrEx>
        <w:trPr>
          <w:wBefore w:w="0" w:type="auto"/>
          <w:tblCellSpacing w:w="0" w:type="dxa"/>
        </w:trPr>
        <w:tc>
          <w:tcPr>
            <w:tcW w:w="0" w:type="auto"/>
            <w:noWrap w:val="0"/>
            <w:vAlign w:val="center"/>
          </w:tcPr>
          <w:p w14:paraId="6B2DC2E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787FB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04524C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C008F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6889E3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EB53CD8">
                  <w:r>
                    <w:rPr>
                      <w:rStyle w:val="11"/>
                      <w:rFonts w:hint="eastAsia"/>
                    </w:rPr>
                    <w:t>施用方式</w:t>
                  </w:r>
                </w:p>
              </w:tc>
            </w:tr>
            <w:tr w14:paraId="1E2723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3FB60D6">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5AAF2F">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53F382">
                  <w:r>
                    <w:rPr>
                      <w:rStyle w:val="11"/>
                      <w:rFonts w:hint="eastAsia"/>
                    </w:rPr>
                    <w:t>5-9毫升/亩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606BF0">
                  <w:r>
                    <w:rPr>
                      <w:rStyle w:val="11"/>
                      <w:rFonts w:hint="eastAsia"/>
                    </w:rPr>
                    <w:t>茎叶喷雾</w:t>
                  </w:r>
                </w:p>
              </w:tc>
            </w:tr>
          </w:tbl>
          <w:p w14:paraId="5757FF73">
            <w:pPr>
              <w:rPr>
                <w:rFonts w:ascii="Times New Roman" w:hAnsi="Times New Roman" w:cs="Times New Roman"/>
                <w:sz w:val="20"/>
                <w:szCs w:val="20"/>
              </w:rPr>
            </w:pPr>
          </w:p>
        </w:tc>
      </w:tr>
      <w:tr w14:paraId="1BF5D2CE">
        <w:tblPrEx>
          <w:tblCellMar>
            <w:top w:w="0" w:type="dxa"/>
            <w:left w:w="0" w:type="dxa"/>
            <w:bottom w:w="0" w:type="dxa"/>
            <w:right w:w="0" w:type="dxa"/>
          </w:tblCellMar>
        </w:tblPrEx>
        <w:trPr>
          <w:wBefore w:w="0" w:type="auto"/>
          <w:tblCellSpacing w:w="0" w:type="dxa"/>
        </w:trPr>
        <w:tc>
          <w:tcPr>
            <w:tcW w:w="0" w:type="auto"/>
            <w:noWrap w:val="0"/>
            <w:vAlign w:val="center"/>
          </w:tcPr>
          <w:p w14:paraId="5D97AAD7">
            <w:r>
              <w:rPr>
                <w:rStyle w:val="10"/>
                <w:rFonts w:hint="eastAsia"/>
              </w:rPr>
              <w:t>使用技术要求:</w:t>
            </w:r>
            <w:r>
              <w:rPr>
                <w:rFonts w:hint="eastAsia"/>
              </w:rPr>
              <w:br w:type="textWrapping"/>
            </w:r>
            <w:r>
              <w:rPr>
                <w:rStyle w:val="11"/>
                <w:rFonts w:hint="eastAsia"/>
              </w:rPr>
              <w:t>1. 本品在冬小麦上每季最多使用1次。2.使用时期：在冬小麦返青后至拔节前，阔叶杂草2-5叶期，兑水茎叶喷雾。3.按推荐剂量、时期和方法施用，均匀喷雾、不重喷、不漏喷；4. 推荐剂量下使用对小麦及后茬作物安全。</w:t>
            </w:r>
          </w:p>
        </w:tc>
      </w:tr>
      <w:tr w14:paraId="285E5FEE">
        <w:tblPrEx>
          <w:tblCellMar>
            <w:top w:w="0" w:type="dxa"/>
            <w:left w:w="0" w:type="dxa"/>
            <w:bottom w:w="0" w:type="dxa"/>
            <w:right w:w="0" w:type="dxa"/>
          </w:tblCellMar>
        </w:tblPrEx>
        <w:trPr>
          <w:wBefore w:w="0" w:type="auto"/>
          <w:tblCellSpacing w:w="0" w:type="dxa"/>
        </w:trPr>
        <w:tc>
          <w:tcPr>
            <w:tcW w:w="0" w:type="auto"/>
            <w:noWrap w:val="0"/>
            <w:vAlign w:val="center"/>
          </w:tcPr>
          <w:p w14:paraId="1DF978AD">
            <w:r>
              <w:rPr>
                <w:rStyle w:val="10"/>
                <w:rFonts w:hint="eastAsia"/>
              </w:rPr>
              <w:t>产品性能:</w:t>
            </w:r>
            <w:r>
              <w:rPr>
                <w:rFonts w:hint="eastAsia"/>
              </w:rPr>
              <w:br w:type="textWrapping"/>
            </w:r>
            <w:r>
              <w:rPr>
                <w:rStyle w:val="11"/>
                <w:rFonts w:hint="eastAsia"/>
              </w:rPr>
              <w:t>本品是以双氟磺草胺和唑草酮混配的除草剂，双氟磺草胺是三唑并嘧啶磺酰胺类超高效除草剂，具有内吸传导性，可以传导至杂草全株，因而杀草彻底，不会复发。唑草酮是一种触杀型选择性除草剂，在有光的条件下，在叶绿素生物合成过程中，通过抑制原卟啉原氧化酶导致有毒中间物的积累，从而破坏杂草的细胞膜，使叶片迅速干枯、死亡。两者混配有明显的增效作用，且持效期长，对小麦田一年生阔叶杂草有显著的防除效果。</w:t>
            </w:r>
          </w:p>
        </w:tc>
      </w:tr>
      <w:tr w14:paraId="6787DF8F">
        <w:tblPrEx>
          <w:tblCellMar>
            <w:top w:w="0" w:type="dxa"/>
            <w:left w:w="0" w:type="dxa"/>
            <w:bottom w:w="0" w:type="dxa"/>
            <w:right w:w="0" w:type="dxa"/>
          </w:tblCellMar>
        </w:tblPrEx>
        <w:trPr>
          <w:wBefore w:w="0" w:type="auto"/>
          <w:tblCellSpacing w:w="0" w:type="dxa"/>
        </w:trPr>
        <w:tc>
          <w:tcPr>
            <w:tcW w:w="0" w:type="auto"/>
            <w:noWrap w:val="0"/>
            <w:vAlign w:val="center"/>
          </w:tcPr>
          <w:p w14:paraId="3EC01697">
            <w:r>
              <w:rPr>
                <w:rStyle w:val="10"/>
                <w:rFonts w:hint="eastAsia"/>
              </w:rPr>
              <w:t>注意事项：</w:t>
            </w:r>
            <w:r>
              <w:rPr>
                <w:rFonts w:hint="eastAsia"/>
              </w:rPr>
              <w:br w:type="textWrapping"/>
            </w:r>
            <w:r>
              <w:rPr>
                <w:rStyle w:val="11"/>
                <w:rFonts w:hint="eastAsia"/>
              </w:rPr>
              <w:t>1．该产品对眼睛、皮肤有刺激性，使用时避免接触眼睛、皮肤。 使用时应穿（戴）长衣、长裤、帽子、手套、口罩等安全防护措施，避免皮肤接触及口鼻吸入。使用中不可吸烟、饮水及吃东西，使用后及时清洗手、脸等暴露部位皮肤并更换衣物。 2．本品对藻类等有毒，水产养殖区、河塘等水体附近禁用，禁止在河塘等水域清洗施药器具。赤眼蜂等天敌放飞区域禁用。 3．用过的容器应妥善处理，不可做他用，也不可随意丢弃。农药包装废弃物应当及时交回农药经营者。 4.在推荐剂量下使用安全，勿超量使用以避免产生药害。不可与碱性农药或物质混用。 5.孕妇及哺乳期妇女避免接触。</w:t>
            </w:r>
          </w:p>
        </w:tc>
      </w:tr>
      <w:tr w14:paraId="6ED59C0A">
        <w:tblPrEx>
          <w:tblCellMar>
            <w:top w:w="0" w:type="dxa"/>
            <w:left w:w="0" w:type="dxa"/>
            <w:bottom w:w="0" w:type="dxa"/>
            <w:right w:w="0" w:type="dxa"/>
          </w:tblCellMar>
        </w:tblPrEx>
        <w:trPr>
          <w:wBefore w:w="0" w:type="auto"/>
          <w:tblCellSpacing w:w="0" w:type="dxa"/>
        </w:trPr>
        <w:tc>
          <w:tcPr>
            <w:tcW w:w="0" w:type="auto"/>
            <w:noWrap w:val="0"/>
            <w:vAlign w:val="center"/>
          </w:tcPr>
          <w:p w14:paraId="532D9418">
            <w:r>
              <w:rPr>
                <w:rStyle w:val="10"/>
                <w:rFonts w:hint="eastAsia"/>
              </w:rPr>
              <w:t>中毒急救措施：</w:t>
            </w:r>
            <w:r>
              <w:rPr>
                <w:rFonts w:hint="eastAsia"/>
              </w:rPr>
              <w:br w:type="textWrapping"/>
            </w:r>
            <w:r>
              <w:rPr>
                <w:rStyle w:val="11"/>
                <w:rFonts w:hint="eastAsia"/>
              </w:rPr>
              <w:t xml:space="preserve">使用中或使用后如果感觉不适，应立即停止工作，采取急救措施，并携带标签送医院就诊。 1.皮肤接触：脱去污染的衣物，用软布去除沾染农药，立即用大量清水和肥皂冲洗。 2.眼睛溅入：立即用流动清水冲洗不少于15分钟； 3.吸入：立即离开现场，转移到空气清新处。 4.误食：立即停止服用，用清水充分漱口后，立即携带农药标签到医院就诊； 5.解毒剂：本品无专用解毒剂，可采用催吐、洗胃等方法对症治疗。 </w:t>
            </w:r>
          </w:p>
        </w:tc>
      </w:tr>
      <w:tr w14:paraId="25442747">
        <w:tblPrEx>
          <w:tblCellMar>
            <w:top w:w="0" w:type="dxa"/>
            <w:left w:w="0" w:type="dxa"/>
            <w:bottom w:w="0" w:type="dxa"/>
            <w:right w:w="0" w:type="dxa"/>
          </w:tblCellMar>
        </w:tblPrEx>
        <w:trPr>
          <w:wBefore w:w="0" w:type="auto"/>
          <w:tblCellSpacing w:w="0" w:type="dxa"/>
        </w:trPr>
        <w:tc>
          <w:tcPr>
            <w:tcW w:w="0" w:type="auto"/>
            <w:noWrap w:val="0"/>
            <w:vAlign w:val="center"/>
          </w:tcPr>
          <w:p w14:paraId="618E1B95">
            <w:r>
              <w:rPr>
                <w:rStyle w:val="10"/>
                <w:rFonts w:hint="eastAsia"/>
              </w:rPr>
              <w:t>储存和运输方法：</w:t>
            </w:r>
            <w:r>
              <w:rPr>
                <w:rFonts w:hint="eastAsia"/>
              </w:rPr>
              <w:br w:type="textWrapping"/>
            </w:r>
            <w:r>
              <w:rPr>
                <w:rStyle w:val="11"/>
                <w:rFonts w:hint="eastAsia"/>
              </w:rPr>
              <w:t>1.本品应当置于儿童、无关人员触及不到之处，并加锁保存； 2.本品应储存在干燥、阴凉、通风、防雨处，远离火源或热源。 3.勿与食物、饮料、粮食和动物饲料在一起存放或运输。</w:t>
            </w:r>
          </w:p>
        </w:tc>
      </w:tr>
      <w:tr w14:paraId="13E40EC8">
        <w:tblPrEx>
          <w:tblCellMar>
            <w:top w:w="0" w:type="dxa"/>
            <w:left w:w="0" w:type="dxa"/>
            <w:bottom w:w="0" w:type="dxa"/>
            <w:right w:w="0" w:type="dxa"/>
          </w:tblCellMar>
        </w:tblPrEx>
        <w:trPr>
          <w:wBefore w:w="0" w:type="auto"/>
          <w:tblCellSpacing w:w="0" w:type="dxa"/>
        </w:trPr>
        <w:tc>
          <w:tcPr>
            <w:tcW w:w="0" w:type="auto"/>
            <w:noWrap w:val="0"/>
            <w:vAlign w:val="center"/>
          </w:tcPr>
          <w:p w14:paraId="4D3E56F9">
            <w:r>
              <w:rPr>
                <w:rStyle w:val="10"/>
                <w:rFonts w:hint="eastAsia"/>
              </w:rPr>
              <w:t>质量保证期：</w:t>
            </w:r>
            <w:r>
              <w:rPr>
                <w:rStyle w:val="11"/>
                <w:rFonts w:hint="eastAsia"/>
              </w:rPr>
              <w:t>2年</w:t>
            </w:r>
          </w:p>
        </w:tc>
      </w:tr>
      <w:tr w14:paraId="22E8965B">
        <w:tblPrEx>
          <w:tblCellMar>
            <w:top w:w="0" w:type="dxa"/>
            <w:left w:w="0" w:type="dxa"/>
            <w:bottom w:w="0" w:type="dxa"/>
            <w:right w:w="0" w:type="dxa"/>
          </w:tblCellMar>
        </w:tblPrEx>
        <w:trPr>
          <w:wBefore w:w="0" w:type="auto"/>
          <w:tblCellSpacing w:w="0" w:type="dxa"/>
        </w:trPr>
        <w:tc>
          <w:tcPr>
            <w:tcW w:w="0" w:type="auto"/>
            <w:noWrap w:val="0"/>
            <w:vAlign w:val="center"/>
          </w:tcPr>
          <w:p w14:paraId="3A57520B">
            <w:r>
              <w:rPr>
                <w:rStyle w:val="10"/>
                <w:rFonts w:hint="eastAsia"/>
              </w:rPr>
              <w:t>备注：</w:t>
            </w:r>
          </w:p>
        </w:tc>
      </w:tr>
    </w:tbl>
    <w:p w14:paraId="40F5926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E751159">
        <w:tblPrEx>
          <w:tblCellMar>
            <w:top w:w="0" w:type="dxa"/>
            <w:left w:w="0" w:type="dxa"/>
            <w:bottom w:w="0" w:type="dxa"/>
            <w:right w:w="0" w:type="dxa"/>
          </w:tblCellMar>
        </w:tblPrEx>
        <w:trPr>
          <w:wBefore w:w="0" w:type="auto"/>
          <w:tblCellSpacing w:w="0" w:type="dxa"/>
        </w:trPr>
        <w:tc>
          <w:tcPr>
            <w:tcW w:w="0" w:type="auto"/>
            <w:noWrap w:val="0"/>
            <w:vAlign w:val="center"/>
          </w:tcPr>
          <w:p w14:paraId="6CEF10D8">
            <w:r>
              <w:rPr>
                <w:rStyle w:val="10"/>
                <w:rFonts w:hint="eastAsia"/>
              </w:rPr>
              <w:t>登记证号：</w:t>
            </w:r>
            <w:r>
              <w:rPr>
                <w:rFonts w:hint="eastAsia"/>
              </w:rPr>
              <w:t>PD20211902</w:t>
            </w:r>
          </w:p>
        </w:tc>
      </w:tr>
      <w:tr w14:paraId="0DACC6C8">
        <w:tblPrEx>
          <w:tblCellMar>
            <w:top w:w="0" w:type="dxa"/>
            <w:left w:w="0" w:type="dxa"/>
            <w:bottom w:w="0" w:type="dxa"/>
            <w:right w:w="0" w:type="dxa"/>
          </w:tblCellMar>
        </w:tblPrEx>
        <w:trPr>
          <w:wBefore w:w="0" w:type="auto"/>
          <w:tblCellSpacing w:w="0" w:type="dxa"/>
        </w:trPr>
        <w:tc>
          <w:tcPr>
            <w:tcW w:w="0" w:type="auto"/>
            <w:noWrap w:val="0"/>
            <w:vAlign w:val="center"/>
          </w:tcPr>
          <w:p w14:paraId="643E6895">
            <w:r>
              <w:rPr>
                <w:rStyle w:val="10"/>
                <w:rFonts w:hint="eastAsia"/>
              </w:rPr>
              <w:t>登记证持有人：</w:t>
            </w:r>
            <w:r>
              <w:rPr>
                <w:rFonts w:hint="eastAsia"/>
              </w:rPr>
              <w:t>浙江中山化工集团股份有限公司</w:t>
            </w:r>
          </w:p>
        </w:tc>
      </w:tr>
      <w:tr w14:paraId="07388C44">
        <w:tblPrEx>
          <w:tblCellMar>
            <w:top w:w="0" w:type="dxa"/>
            <w:left w:w="0" w:type="dxa"/>
            <w:bottom w:w="0" w:type="dxa"/>
            <w:right w:w="0" w:type="dxa"/>
          </w:tblCellMar>
        </w:tblPrEx>
        <w:trPr>
          <w:wBefore w:w="0" w:type="auto"/>
          <w:tblCellSpacing w:w="0" w:type="dxa"/>
        </w:trPr>
        <w:tc>
          <w:tcPr>
            <w:tcW w:w="0" w:type="auto"/>
            <w:noWrap w:val="0"/>
            <w:vAlign w:val="center"/>
          </w:tcPr>
          <w:p w14:paraId="448C0517">
            <w:r>
              <w:rPr>
                <w:rStyle w:val="10"/>
                <w:rFonts w:hint="eastAsia"/>
              </w:rPr>
              <w:t>农药名称：</w:t>
            </w:r>
            <w:r>
              <w:rPr>
                <w:rFonts w:hint="eastAsia"/>
              </w:rPr>
              <w:t>环丙唑醇</w:t>
            </w:r>
          </w:p>
        </w:tc>
      </w:tr>
      <w:tr w14:paraId="7F9A136B">
        <w:tblPrEx>
          <w:tblCellMar>
            <w:top w:w="0" w:type="dxa"/>
            <w:left w:w="0" w:type="dxa"/>
            <w:bottom w:w="0" w:type="dxa"/>
            <w:right w:w="0" w:type="dxa"/>
          </w:tblCellMar>
        </w:tblPrEx>
        <w:trPr>
          <w:wBefore w:w="0" w:type="auto"/>
          <w:tblCellSpacing w:w="0" w:type="dxa"/>
        </w:trPr>
        <w:tc>
          <w:tcPr>
            <w:tcW w:w="0" w:type="auto"/>
            <w:noWrap w:val="0"/>
            <w:vAlign w:val="center"/>
          </w:tcPr>
          <w:p w14:paraId="12E929D6">
            <w:r>
              <w:rPr>
                <w:rStyle w:val="10"/>
                <w:rFonts w:hint="eastAsia"/>
              </w:rPr>
              <w:t>剂型：</w:t>
            </w:r>
            <w:r>
              <w:rPr>
                <w:rFonts w:hint="eastAsia"/>
              </w:rPr>
              <w:t>悬浮剂</w:t>
            </w:r>
          </w:p>
        </w:tc>
      </w:tr>
      <w:tr w14:paraId="50758F88">
        <w:tblPrEx>
          <w:tblCellMar>
            <w:top w:w="0" w:type="dxa"/>
            <w:left w:w="0" w:type="dxa"/>
            <w:bottom w:w="0" w:type="dxa"/>
            <w:right w:w="0" w:type="dxa"/>
          </w:tblCellMar>
        </w:tblPrEx>
        <w:trPr>
          <w:wBefore w:w="0" w:type="auto"/>
          <w:tblCellSpacing w:w="0" w:type="dxa"/>
        </w:trPr>
        <w:tc>
          <w:tcPr>
            <w:tcW w:w="0" w:type="auto"/>
            <w:noWrap w:val="0"/>
            <w:vAlign w:val="center"/>
          </w:tcPr>
          <w:p w14:paraId="2C3D4ACC">
            <w:r>
              <w:rPr>
                <w:rStyle w:val="10"/>
                <w:rFonts w:hint="eastAsia"/>
              </w:rPr>
              <w:t>毒性及其标识：</w:t>
            </w:r>
            <w:r>
              <w:rPr>
                <w:rFonts w:hint="eastAsia"/>
              </w:rPr>
              <w:t xml:space="preserve"> </w:t>
            </w:r>
            <w:r>
              <w:rPr>
                <w:lang/>
              </w:rPr>
              <w:drawing>
                <wp:inline distT="0" distB="0" distL="114300" distR="114300">
                  <wp:extent cx="476250" cy="323850"/>
                  <wp:effectExtent l="0" t="0" r="0" b="0"/>
                  <wp:docPr id="95" name="图片 9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B50C329">
        <w:tblPrEx>
          <w:tblCellMar>
            <w:top w:w="0" w:type="dxa"/>
            <w:left w:w="0" w:type="dxa"/>
            <w:bottom w:w="0" w:type="dxa"/>
            <w:right w:w="0" w:type="dxa"/>
          </w:tblCellMar>
        </w:tblPrEx>
        <w:trPr>
          <w:wBefore w:w="0" w:type="auto"/>
          <w:tblCellSpacing w:w="0" w:type="dxa"/>
        </w:trPr>
        <w:tc>
          <w:tcPr>
            <w:tcW w:w="0" w:type="auto"/>
            <w:noWrap w:val="0"/>
            <w:vAlign w:val="center"/>
          </w:tcPr>
          <w:p w14:paraId="107C713A">
            <w:r>
              <w:rPr>
                <w:rStyle w:val="10"/>
                <w:rFonts w:hint="eastAsia"/>
              </w:rPr>
              <w:t>总有效成分含量：</w:t>
            </w:r>
            <w:r>
              <w:rPr>
                <w:rFonts w:hint="eastAsia"/>
              </w:rPr>
              <w:t>40%</w:t>
            </w:r>
          </w:p>
        </w:tc>
      </w:tr>
      <w:tr w14:paraId="1E0C652A">
        <w:tblPrEx>
          <w:tblCellMar>
            <w:top w:w="0" w:type="dxa"/>
            <w:left w:w="0" w:type="dxa"/>
            <w:bottom w:w="0" w:type="dxa"/>
            <w:right w:w="0" w:type="dxa"/>
          </w:tblCellMar>
        </w:tblPrEx>
        <w:trPr>
          <w:wBefore w:w="0" w:type="auto"/>
          <w:tblCellSpacing w:w="0" w:type="dxa"/>
        </w:trPr>
        <w:tc>
          <w:tcPr>
            <w:tcW w:w="0" w:type="auto"/>
            <w:noWrap w:val="0"/>
            <w:vAlign w:val="center"/>
          </w:tcPr>
          <w:p w14:paraId="33324873">
            <w:r>
              <w:rPr>
                <w:rFonts w:hint="eastAsia"/>
              </w:rPr>
              <w:t xml:space="preserve">有效成分及其含量： </w:t>
            </w:r>
          </w:p>
          <w:p w14:paraId="2E0CF078">
            <w:r>
              <w:rPr>
                <w:rFonts w:hint="eastAsia"/>
              </w:rPr>
              <w:t xml:space="preserve">    环丙唑醇40%    </w:t>
            </w:r>
          </w:p>
        </w:tc>
      </w:tr>
      <w:tr w14:paraId="1866C033">
        <w:tblPrEx>
          <w:tblCellMar>
            <w:top w:w="0" w:type="dxa"/>
            <w:left w:w="0" w:type="dxa"/>
            <w:bottom w:w="0" w:type="dxa"/>
            <w:right w:w="0" w:type="dxa"/>
          </w:tblCellMar>
        </w:tblPrEx>
        <w:trPr>
          <w:wBefore w:w="0" w:type="auto"/>
          <w:tblCellSpacing w:w="0" w:type="dxa"/>
        </w:trPr>
        <w:tc>
          <w:tcPr>
            <w:tcW w:w="0" w:type="auto"/>
            <w:noWrap w:val="0"/>
            <w:vAlign w:val="center"/>
          </w:tcPr>
          <w:p w14:paraId="489A970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AB9DA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78EFDA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5366B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EAF054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A36331F">
                  <w:r>
                    <w:rPr>
                      <w:rStyle w:val="11"/>
                      <w:rFonts w:hint="eastAsia"/>
                    </w:rPr>
                    <w:t>施用方式</w:t>
                  </w:r>
                </w:p>
              </w:tc>
            </w:tr>
            <w:tr w14:paraId="189D1B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1D3788A">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CE6724">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A4F6BC">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D78E9F">
                  <w:r>
                    <w:rPr>
                      <w:rStyle w:val="11"/>
                      <w:rFonts w:hint="eastAsia"/>
                    </w:rPr>
                    <w:t>喷雾</w:t>
                  </w:r>
                </w:p>
              </w:tc>
            </w:tr>
          </w:tbl>
          <w:p w14:paraId="6C797E93">
            <w:pPr>
              <w:rPr>
                <w:rFonts w:ascii="Times New Roman" w:hAnsi="Times New Roman" w:cs="Times New Roman"/>
                <w:sz w:val="20"/>
                <w:szCs w:val="20"/>
              </w:rPr>
            </w:pPr>
          </w:p>
        </w:tc>
      </w:tr>
      <w:tr w14:paraId="690E0EB5">
        <w:tblPrEx>
          <w:tblCellMar>
            <w:top w:w="0" w:type="dxa"/>
            <w:left w:w="0" w:type="dxa"/>
            <w:bottom w:w="0" w:type="dxa"/>
            <w:right w:w="0" w:type="dxa"/>
          </w:tblCellMar>
        </w:tblPrEx>
        <w:trPr>
          <w:wBefore w:w="0" w:type="auto"/>
          <w:tblCellSpacing w:w="0" w:type="dxa"/>
        </w:trPr>
        <w:tc>
          <w:tcPr>
            <w:tcW w:w="0" w:type="auto"/>
            <w:noWrap w:val="0"/>
            <w:vAlign w:val="center"/>
          </w:tcPr>
          <w:p w14:paraId="0CAFF3BE">
            <w:r>
              <w:rPr>
                <w:rStyle w:val="10"/>
                <w:rFonts w:hint="eastAsia"/>
              </w:rPr>
              <w:t>使用技术要求:</w:t>
            </w:r>
            <w:r>
              <w:rPr>
                <w:rFonts w:hint="eastAsia"/>
              </w:rPr>
              <w:br w:type="textWrapping"/>
            </w:r>
            <w:r>
              <w:rPr>
                <w:rStyle w:val="11"/>
                <w:rFonts w:hint="eastAsia"/>
              </w:rPr>
              <w:t>1.应于病害发生初期喷雾施药，连续施药2次，每间隔7-10天。2.每季作物最多使用2次，安全间隔期为28天。</w:t>
            </w:r>
          </w:p>
        </w:tc>
      </w:tr>
      <w:tr w14:paraId="1447668B">
        <w:tblPrEx>
          <w:tblCellMar>
            <w:top w:w="0" w:type="dxa"/>
            <w:left w:w="0" w:type="dxa"/>
            <w:bottom w:w="0" w:type="dxa"/>
            <w:right w:w="0" w:type="dxa"/>
          </w:tblCellMar>
        </w:tblPrEx>
        <w:trPr>
          <w:wBefore w:w="0" w:type="auto"/>
          <w:tblCellSpacing w:w="0" w:type="dxa"/>
        </w:trPr>
        <w:tc>
          <w:tcPr>
            <w:tcW w:w="0" w:type="auto"/>
            <w:noWrap w:val="0"/>
            <w:vAlign w:val="center"/>
          </w:tcPr>
          <w:p w14:paraId="71B75D1D">
            <w:r>
              <w:rPr>
                <w:rStyle w:val="10"/>
                <w:rFonts w:hint="eastAsia"/>
              </w:rPr>
              <w:t>产品性能:</w:t>
            </w:r>
            <w:r>
              <w:rPr>
                <w:rFonts w:hint="eastAsia"/>
              </w:rPr>
              <w:br w:type="textWrapping"/>
            </w:r>
            <w:r>
              <w:rPr>
                <w:rStyle w:val="11"/>
                <w:rFonts w:hint="eastAsia"/>
              </w:rPr>
              <w:t>环丙唑醇是一种三唑类杀菌剂，为甾醇脱甲基抑制剂，抑制真菌细胞膜上麦角甾醇的生物合成，从而阻碍其正常生长。内吸性杀菌剂，可通过植物叶片快速吸收，并向顶传导。可用于防治小麦白粉病。</w:t>
            </w:r>
          </w:p>
        </w:tc>
      </w:tr>
      <w:tr w14:paraId="482034DD">
        <w:tblPrEx>
          <w:tblCellMar>
            <w:top w:w="0" w:type="dxa"/>
            <w:left w:w="0" w:type="dxa"/>
            <w:bottom w:w="0" w:type="dxa"/>
            <w:right w:w="0" w:type="dxa"/>
          </w:tblCellMar>
        </w:tblPrEx>
        <w:trPr>
          <w:wBefore w:w="0" w:type="auto"/>
          <w:tblCellSpacing w:w="0" w:type="dxa"/>
        </w:trPr>
        <w:tc>
          <w:tcPr>
            <w:tcW w:w="0" w:type="auto"/>
            <w:noWrap w:val="0"/>
            <w:vAlign w:val="center"/>
          </w:tcPr>
          <w:p w14:paraId="1E22E16D">
            <w:r>
              <w:rPr>
                <w:rStyle w:val="10"/>
                <w:rFonts w:hint="eastAsia"/>
              </w:rPr>
              <w:t>注意事项：</w:t>
            </w:r>
            <w:r>
              <w:rPr>
                <w:rFonts w:hint="eastAsia"/>
              </w:rPr>
              <w:br w:type="textWrapping"/>
            </w:r>
            <w:r>
              <w:rPr>
                <w:rStyle w:val="11"/>
                <w:rFonts w:hint="eastAsia"/>
              </w:rPr>
              <w:t>1.使用本品时穿戴帽子、口罩、长衣、长裤、手套、鞋等，避免皮肤接触及口鼻吸入，使用中不可吸烟、饮水及吃东西，使用后及时用大量清水和肥皂清洗手、脸等暴露部位皮肤并更换衣物。2.本品对鸟类有毒，鸟类保护区禁用；对水生生物有毒，远离水产养殖区、河塘等水体施药，禁止在河塘等水体中清洗施药器具。3.避免与氧化剂接触。4.用过的容器应妥善处理，不可做他用，也不可随意丢弃。5.禁止儿童、孕妇及哺乳期的妇女接触。过敏者禁用，使用中有任何不良反应请及时就医。</w:t>
            </w:r>
          </w:p>
        </w:tc>
      </w:tr>
      <w:tr w14:paraId="5D4C3257">
        <w:tblPrEx>
          <w:tblCellMar>
            <w:top w:w="0" w:type="dxa"/>
            <w:left w:w="0" w:type="dxa"/>
            <w:bottom w:w="0" w:type="dxa"/>
            <w:right w:w="0" w:type="dxa"/>
          </w:tblCellMar>
        </w:tblPrEx>
        <w:trPr>
          <w:wBefore w:w="0" w:type="auto"/>
          <w:tblCellSpacing w:w="0" w:type="dxa"/>
        </w:trPr>
        <w:tc>
          <w:tcPr>
            <w:tcW w:w="0" w:type="auto"/>
            <w:noWrap w:val="0"/>
            <w:vAlign w:val="center"/>
          </w:tcPr>
          <w:p w14:paraId="26E17284">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 皮肤接触：立即脱去污染衣物，用软布去除沾染农药，立即用大量清水和肥皂冲洗。眼睛接触：用流动的清水冲洗至少15分钟。吸入：立即离开施药现场，转移到空气清新处。误服：立即停止服用，用清水充分漱口后，携带农药标签到医院就诊。 </w:t>
            </w:r>
          </w:p>
        </w:tc>
      </w:tr>
      <w:tr w14:paraId="24EA83E6">
        <w:tblPrEx>
          <w:tblCellMar>
            <w:top w:w="0" w:type="dxa"/>
            <w:left w:w="0" w:type="dxa"/>
            <w:bottom w:w="0" w:type="dxa"/>
            <w:right w:w="0" w:type="dxa"/>
          </w:tblCellMar>
        </w:tblPrEx>
        <w:trPr>
          <w:wBefore w:w="0" w:type="auto"/>
          <w:tblCellSpacing w:w="0" w:type="dxa"/>
        </w:trPr>
        <w:tc>
          <w:tcPr>
            <w:tcW w:w="0" w:type="auto"/>
            <w:noWrap w:val="0"/>
            <w:vAlign w:val="center"/>
          </w:tcPr>
          <w:p w14:paraId="570E2ECF">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本品应贮存在干燥、阴凉、通风、防雨处，远离火源或热源。置于儿童接触不到的地方，并加锁。不能与食品、饮料、粮食、饲料等混合储存。</w:t>
            </w:r>
          </w:p>
        </w:tc>
      </w:tr>
      <w:tr w14:paraId="3BF4F8D5">
        <w:tblPrEx>
          <w:tblCellMar>
            <w:top w:w="0" w:type="dxa"/>
            <w:left w:w="0" w:type="dxa"/>
            <w:bottom w:w="0" w:type="dxa"/>
            <w:right w:w="0" w:type="dxa"/>
          </w:tblCellMar>
        </w:tblPrEx>
        <w:trPr>
          <w:wBefore w:w="0" w:type="auto"/>
          <w:tblCellSpacing w:w="0" w:type="dxa"/>
        </w:trPr>
        <w:tc>
          <w:tcPr>
            <w:tcW w:w="0" w:type="auto"/>
            <w:noWrap w:val="0"/>
            <w:vAlign w:val="center"/>
          </w:tcPr>
          <w:p w14:paraId="7B5C98B5">
            <w:r>
              <w:rPr>
                <w:rStyle w:val="10"/>
                <w:rFonts w:hint="eastAsia"/>
              </w:rPr>
              <w:t>质量保证期：</w:t>
            </w:r>
            <w:r>
              <w:rPr>
                <w:rStyle w:val="11"/>
                <w:rFonts w:hint="eastAsia"/>
              </w:rPr>
              <w:t>2年</w:t>
            </w:r>
          </w:p>
        </w:tc>
      </w:tr>
      <w:tr w14:paraId="4F81E97A">
        <w:tblPrEx>
          <w:tblCellMar>
            <w:top w:w="0" w:type="dxa"/>
            <w:left w:w="0" w:type="dxa"/>
            <w:bottom w:w="0" w:type="dxa"/>
            <w:right w:w="0" w:type="dxa"/>
          </w:tblCellMar>
        </w:tblPrEx>
        <w:trPr>
          <w:wBefore w:w="0" w:type="auto"/>
          <w:tblCellSpacing w:w="0" w:type="dxa"/>
        </w:trPr>
        <w:tc>
          <w:tcPr>
            <w:tcW w:w="0" w:type="auto"/>
            <w:noWrap w:val="0"/>
            <w:vAlign w:val="center"/>
          </w:tcPr>
          <w:p w14:paraId="70EACA88">
            <w:r>
              <w:rPr>
                <w:rStyle w:val="10"/>
                <w:rFonts w:hint="eastAsia"/>
              </w:rPr>
              <w:t>备注：</w:t>
            </w:r>
          </w:p>
        </w:tc>
      </w:tr>
    </w:tbl>
    <w:p w14:paraId="773DEC3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9DBCFE">
        <w:tblPrEx>
          <w:tblCellMar>
            <w:top w:w="0" w:type="dxa"/>
            <w:left w:w="0" w:type="dxa"/>
            <w:bottom w:w="0" w:type="dxa"/>
            <w:right w:w="0" w:type="dxa"/>
          </w:tblCellMar>
        </w:tblPrEx>
        <w:trPr>
          <w:wBefore w:w="0" w:type="auto"/>
          <w:tblCellSpacing w:w="0" w:type="dxa"/>
        </w:trPr>
        <w:tc>
          <w:tcPr>
            <w:tcW w:w="0" w:type="auto"/>
            <w:noWrap w:val="0"/>
            <w:vAlign w:val="center"/>
          </w:tcPr>
          <w:p w14:paraId="4A08689B">
            <w:r>
              <w:rPr>
                <w:rStyle w:val="10"/>
                <w:rFonts w:hint="eastAsia"/>
              </w:rPr>
              <w:t>登记证号：</w:t>
            </w:r>
            <w:r>
              <w:rPr>
                <w:rFonts w:hint="eastAsia"/>
              </w:rPr>
              <w:t>PD20212174</w:t>
            </w:r>
          </w:p>
        </w:tc>
      </w:tr>
      <w:tr w14:paraId="5ECA50E8">
        <w:tblPrEx>
          <w:tblCellMar>
            <w:top w:w="0" w:type="dxa"/>
            <w:left w:w="0" w:type="dxa"/>
            <w:bottom w:w="0" w:type="dxa"/>
            <w:right w:w="0" w:type="dxa"/>
          </w:tblCellMar>
        </w:tblPrEx>
        <w:trPr>
          <w:wBefore w:w="0" w:type="auto"/>
          <w:tblCellSpacing w:w="0" w:type="dxa"/>
        </w:trPr>
        <w:tc>
          <w:tcPr>
            <w:tcW w:w="0" w:type="auto"/>
            <w:noWrap w:val="0"/>
            <w:vAlign w:val="center"/>
          </w:tcPr>
          <w:p w14:paraId="4E5F43A7">
            <w:r>
              <w:rPr>
                <w:rStyle w:val="10"/>
                <w:rFonts w:hint="eastAsia"/>
              </w:rPr>
              <w:t>登记证持有人：</w:t>
            </w:r>
            <w:r>
              <w:rPr>
                <w:rFonts w:hint="eastAsia"/>
              </w:rPr>
              <w:t>乐山新路化工有限公司</w:t>
            </w:r>
          </w:p>
        </w:tc>
      </w:tr>
      <w:tr w14:paraId="2FB14D9D">
        <w:tblPrEx>
          <w:tblCellMar>
            <w:top w:w="0" w:type="dxa"/>
            <w:left w:w="0" w:type="dxa"/>
            <w:bottom w:w="0" w:type="dxa"/>
            <w:right w:w="0" w:type="dxa"/>
          </w:tblCellMar>
        </w:tblPrEx>
        <w:trPr>
          <w:wBefore w:w="0" w:type="auto"/>
          <w:tblCellSpacing w:w="0" w:type="dxa"/>
        </w:trPr>
        <w:tc>
          <w:tcPr>
            <w:tcW w:w="0" w:type="auto"/>
            <w:noWrap w:val="0"/>
            <w:vAlign w:val="center"/>
          </w:tcPr>
          <w:p w14:paraId="33F62FF3">
            <w:r>
              <w:rPr>
                <w:rStyle w:val="10"/>
                <w:rFonts w:hint="eastAsia"/>
              </w:rPr>
              <w:t>农药名称：</w:t>
            </w:r>
            <w:r>
              <w:rPr>
                <w:rFonts w:hint="eastAsia"/>
              </w:rPr>
              <w:t>草甘膦铵盐</w:t>
            </w:r>
          </w:p>
        </w:tc>
      </w:tr>
      <w:tr w14:paraId="602FF64D">
        <w:tblPrEx>
          <w:tblCellMar>
            <w:top w:w="0" w:type="dxa"/>
            <w:left w:w="0" w:type="dxa"/>
            <w:bottom w:w="0" w:type="dxa"/>
            <w:right w:w="0" w:type="dxa"/>
          </w:tblCellMar>
        </w:tblPrEx>
        <w:trPr>
          <w:wBefore w:w="0" w:type="auto"/>
          <w:tblCellSpacing w:w="0" w:type="dxa"/>
        </w:trPr>
        <w:tc>
          <w:tcPr>
            <w:tcW w:w="0" w:type="auto"/>
            <w:noWrap w:val="0"/>
            <w:vAlign w:val="center"/>
          </w:tcPr>
          <w:p w14:paraId="33B53958">
            <w:r>
              <w:rPr>
                <w:rStyle w:val="10"/>
                <w:rFonts w:hint="eastAsia"/>
              </w:rPr>
              <w:t>剂型：</w:t>
            </w:r>
            <w:r>
              <w:rPr>
                <w:rFonts w:hint="eastAsia"/>
              </w:rPr>
              <w:t>可溶粒剂</w:t>
            </w:r>
          </w:p>
        </w:tc>
      </w:tr>
      <w:tr w14:paraId="218D672C">
        <w:tblPrEx>
          <w:tblCellMar>
            <w:top w:w="0" w:type="dxa"/>
            <w:left w:w="0" w:type="dxa"/>
            <w:bottom w:w="0" w:type="dxa"/>
            <w:right w:w="0" w:type="dxa"/>
          </w:tblCellMar>
        </w:tblPrEx>
        <w:trPr>
          <w:wBefore w:w="0" w:type="auto"/>
          <w:tblCellSpacing w:w="0" w:type="dxa"/>
        </w:trPr>
        <w:tc>
          <w:tcPr>
            <w:tcW w:w="0" w:type="auto"/>
            <w:noWrap w:val="0"/>
            <w:vAlign w:val="center"/>
          </w:tcPr>
          <w:p w14:paraId="38E468A2">
            <w:r>
              <w:rPr>
                <w:rStyle w:val="10"/>
                <w:rFonts w:hint="eastAsia"/>
              </w:rPr>
              <w:t>毒性及其标识：</w:t>
            </w:r>
            <w:r>
              <w:rPr>
                <w:rFonts w:hint="eastAsia"/>
              </w:rPr>
              <w:t xml:space="preserve"> 微毒 </w:t>
            </w:r>
          </w:p>
        </w:tc>
      </w:tr>
      <w:tr w14:paraId="75530003">
        <w:tblPrEx>
          <w:tblCellMar>
            <w:top w:w="0" w:type="dxa"/>
            <w:left w:w="0" w:type="dxa"/>
            <w:bottom w:w="0" w:type="dxa"/>
            <w:right w:w="0" w:type="dxa"/>
          </w:tblCellMar>
        </w:tblPrEx>
        <w:trPr>
          <w:wBefore w:w="0" w:type="auto"/>
          <w:tblCellSpacing w:w="0" w:type="dxa"/>
        </w:trPr>
        <w:tc>
          <w:tcPr>
            <w:tcW w:w="0" w:type="auto"/>
            <w:noWrap w:val="0"/>
            <w:vAlign w:val="center"/>
          </w:tcPr>
          <w:p w14:paraId="6DE8C2BF">
            <w:r>
              <w:rPr>
                <w:rStyle w:val="10"/>
                <w:rFonts w:hint="eastAsia"/>
              </w:rPr>
              <w:t>总有效成分含量：</w:t>
            </w:r>
            <w:r>
              <w:rPr>
                <w:rFonts w:hint="eastAsia"/>
              </w:rPr>
              <w:t>86%</w:t>
            </w:r>
          </w:p>
        </w:tc>
      </w:tr>
      <w:tr w14:paraId="3611D82B">
        <w:tblPrEx>
          <w:tblCellMar>
            <w:top w:w="0" w:type="dxa"/>
            <w:left w:w="0" w:type="dxa"/>
            <w:bottom w:w="0" w:type="dxa"/>
            <w:right w:w="0" w:type="dxa"/>
          </w:tblCellMar>
        </w:tblPrEx>
        <w:trPr>
          <w:wBefore w:w="0" w:type="auto"/>
          <w:tblCellSpacing w:w="0" w:type="dxa"/>
        </w:trPr>
        <w:tc>
          <w:tcPr>
            <w:tcW w:w="0" w:type="auto"/>
            <w:noWrap w:val="0"/>
            <w:vAlign w:val="center"/>
          </w:tcPr>
          <w:p w14:paraId="7829853F">
            <w:r>
              <w:rPr>
                <w:rFonts w:hint="eastAsia"/>
              </w:rPr>
              <w:t xml:space="preserve">有效成分及其含量： </w:t>
            </w:r>
          </w:p>
          <w:p w14:paraId="11B95259">
            <w:r>
              <w:rPr>
                <w:rFonts w:hint="eastAsia"/>
              </w:rPr>
              <w:t xml:space="preserve">    草甘膦86%    </w:t>
            </w:r>
          </w:p>
        </w:tc>
      </w:tr>
      <w:tr w14:paraId="08076144">
        <w:tblPrEx>
          <w:tblCellMar>
            <w:top w:w="0" w:type="dxa"/>
            <w:left w:w="0" w:type="dxa"/>
            <w:bottom w:w="0" w:type="dxa"/>
            <w:right w:w="0" w:type="dxa"/>
          </w:tblCellMar>
        </w:tblPrEx>
        <w:trPr>
          <w:wBefore w:w="0" w:type="auto"/>
          <w:tblCellSpacing w:w="0" w:type="dxa"/>
        </w:trPr>
        <w:tc>
          <w:tcPr>
            <w:tcW w:w="0" w:type="auto"/>
            <w:noWrap w:val="0"/>
            <w:vAlign w:val="center"/>
          </w:tcPr>
          <w:p w14:paraId="11AD126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53E7F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F207C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0F5579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A67D2C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697C735">
                  <w:r>
                    <w:rPr>
                      <w:rStyle w:val="11"/>
                      <w:rFonts w:hint="eastAsia"/>
                    </w:rPr>
                    <w:t>施用方式</w:t>
                  </w:r>
                </w:p>
              </w:tc>
            </w:tr>
            <w:tr w14:paraId="24C078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77AAC9">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12B1B9">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FA57ED">
                  <w:r>
                    <w:rPr>
                      <w:rStyle w:val="11"/>
                      <w:rFonts w:hint="eastAsia"/>
                    </w:rPr>
                    <w:t>90-160克/亩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762057">
                  <w:r>
                    <w:rPr>
                      <w:rStyle w:val="11"/>
                      <w:rFonts w:hint="eastAsia"/>
                    </w:rPr>
                    <w:t>茎叶喷雾</w:t>
                  </w:r>
                </w:p>
              </w:tc>
            </w:tr>
          </w:tbl>
          <w:p w14:paraId="52B3F9A3">
            <w:pPr>
              <w:rPr>
                <w:rFonts w:ascii="Times New Roman" w:hAnsi="Times New Roman" w:cs="Times New Roman"/>
                <w:sz w:val="20"/>
                <w:szCs w:val="20"/>
              </w:rPr>
            </w:pPr>
          </w:p>
        </w:tc>
      </w:tr>
      <w:tr w14:paraId="1353CE4C">
        <w:tblPrEx>
          <w:tblCellMar>
            <w:top w:w="0" w:type="dxa"/>
            <w:left w:w="0" w:type="dxa"/>
            <w:bottom w:w="0" w:type="dxa"/>
            <w:right w:w="0" w:type="dxa"/>
          </w:tblCellMar>
        </w:tblPrEx>
        <w:trPr>
          <w:wBefore w:w="0" w:type="auto"/>
          <w:tblCellSpacing w:w="0" w:type="dxa"/>
        </w:trPr>
        <w:tc>
          <w:tcPr>
            <w:tcW w:w="0" w:type="auto"/>
            <w:noWrap w:val="0"/>
            <w:vAlign w:val="center"/>
          </w:tcPr>
          <w:p w14:paraId="574BA716">
            <w:r>
              <w:rPr>
                <w:rStyle w:val="10"/>
                <w:rFonts w:hint="eastAsia"/>
              </w:rPr>
              <w:t>使用技术要求:</w:t>
            </w:r>
            <w:r>
              <w:rPr>
                <w:rFonts w:hint="eastAsia"/>
              </w:rPr>
              <w:br w:type="textWrapping"/>
            </w:r>
            <w:r>
              <w:rPr>
                <w:rStyle w:val="11"/>
                <w:rFonts w:hint="eastAsia"/>
              </w:rPr>
              <w:t>1.本品应在一年生杂草生长旺期，对杂草均匀茎叶喷雾施药1次。 2.施药时应避免药液飘移到邻近敏感作物上，以防产生药害。 3.大风或预计6小时内降雨，请勿施药。 4. 禁止在田间道路、田埂、果树行间、休耕地、林场地等农林区域使用。</w:t>
            </w:r>
          </w:p>
        </w:tc>
      </w:tr>
      <w:tr w14:paraId="54DE2A4C">
        <w:tblPrEx>
          <w:tblCellMar>
            <w:top w:w="0" w:type="dxa"/>
            <w:left w:w="0" w:type="dxa"/>
            <w:bottom w:w="0" w:type="dxa"/>
            <w:right w:w="0" w:type="dxa"/>
          </w:tblCellMar>
        </w:tblPrEx>
        <w:trPr>
          <w:wBefore w:w="0" w:type="auto"/>
          <w:tblCellSpacing w:w="0" w:type="dxa"/>
        </w:trPr>
        <w:tc>
          <w:tcPr>
            <w:tcW w:w="0" w:type="auto"/>
            <w:noWrap w:val="0"/>
            <w:vAlign w:val="center"/>
          </w:tcPr>
          <w:p w14:paraId="0270174F">
            <w:r>
              <w:rPr>
                <w:rStyle w:val="10"/>
                <w:rFonts w:hint="eastAsia"/>
              </w:rPr>
              <w:t>产品性能:</w:t>
            </w:r>
            <w:r>
              <w:rPr>
                <w:rFonts w:hint="eastAsia"/>
              </w:rPr>
              <w:br w:type="textWrapping"/>
            </w:r>
            <w:r>
              <w:rPr>
                <w:rStyle w:val="11"/>
                <w:rFonts w:hint="eastAsia"/>
              </w:rPr>
              <w:t>本品为内吸传导型灭生性除草剂。主要抑制植物体内的烯醇丙酮基莽草素磷酸合成酶，从而抑制莽草素向苯丙氨酸、酪氨酸及色氨酸的转化，使蛋白质合成受到干扰，导致植物死亡，可用于防除非耕地一年生杂草。</w:t>
            </w:r>
          </w:p>
        </w:tc>
      </w:tr>
      <w:tr w14:paraId="7CDF74ED">
        <w:tblPrEx>
          <w:tblCellMar>
            <w:top w:w="0" w:type="dxa"/>
            <w:left w:w="0" w:type="dxa"/>
            <w:bottom w:w="0" w:type="dxa"/>
            <w:right w:w="0" w:type="dxa"/>
          </w:tblCellMar>
        </w:tblPrEx>
        <w:trPr>
          <w:wBefore w:w="0" w:type="auto"/>
          <w:tblCellSpacing w:w="0" w:type="dxa"/>
        </w:trPr>
        <w:tc>
          <w:tcPr>
            <w:tcW w:w="0" w:type="auto"/>
            <w:noWrap w:val="0"/>
            <w:vAlign w:val="center"/>
          </w:tcPr>
          <w:p w14:paraId="453DB00C">
            <w:r>
              <w:rPr>
                <w:rStyle w:val="10"/>
                <w:rFonts w:hint="eastAsia"/>
              </w:rPr>
              <w:t>注意事项：</w:t>
            </w:r>
            <w:r>
              <w:rPr>
                <w:rFonts w:hint="eastAsia"/>
              </w:rPr>
              <w:br w:type="textWrapping"/>
            </w:r>
            <w:r>
              <w:rPr>
                <w:rStyle w:val="11"/>
                <w:rFonts w:hint="eastAsia"/>
              </w:rPr>
              <w:t>1.该产品对眼睛有刺激性，使用时避免接触眼睛，穿戴长衣、长裤、帽子、口罩、手套等防护措施。施药期间不可吃东西和饮水，施药后应及时洗手和洗脸。2.施药后要彻底清洗喷药器械，洗涤后的废水不应污染河流等水源，未用完的药液应密封后妥善放置。用过的容器应妥善处理，不可做他用，也不可随意丢弃。3.喷雾时需定向均匀全面喷在杂草上，勿使药液漂移或接触到作物上，以免产生药害。4.施药后4小时内遇大雨，对药效有影响，应选择晴天施药，施药后5天内请勿割草、放牧和翻地。5.孕妇及哺乳期妇女禁止接触本品。6.远离水产养殖区施药，禁止在河塘等水体中清洗施药器具，蚕室及桑园附近、鸟类保护区附近禁用。</w:t>
            </w:r>
          </w:p>
        </w:tc>
      </w:tr>
      <w:tr w14:paraId="2BA68EA7">
        <w:tblPrEx>
          <w:tblCellMar>
            <w:top w:w="0" w:type="dxa"/>
            <w:left w:w="0" w:type="dxa"/>
            <w:bottom w:w="0" w:type="dxa"/>
            <w:right w:w="0" w:type="dxa"/>
          </w:tblCellMar>
        </w:tblPrEx>
        <w:trPr>
          <w:wBefore w:w="0" w:type="auto"/>
          <w:tblCellSpacing w:w="0" w:type="dxa"/>
        </w:trPr>
        <w:tc>
          <w:tcPr>
            <w:tcW w:w="0" w:type="auto"/>
            <w:noWrap w:val="0"/>
            <w:vAlign w:val="center"/>
          </w:tcPr>
          <w:p w14:paraId="2269BC22">
            <w:r>
              <w:rPr>
                <w:rStyle w:val="10"/>
                <w:rFonts w:hint="eastAsia"/>
              </w:rPr>
              <w:t>中毒急救措施：</w:t>
            </w:r>
            <w:r>
              <w:rPr>
                <w:rFonts w:hint="eastAsia"/>
              </w:rPr>
              <w:br w:type="textWrapping"/>
            </w:r>
            <w:r>
              <w:rPr>
                <w:rStyle w:val="11"/>
                <w:rFonts w:hint="eastAsia"/>
              </w:rPr>
              <w:t>如不慎吸入，应将病人移至空气清新处。如皮肤和眼睛接触药液时，要用大量清水冲洗，冲洗时间不小于15分钟，并请医生诊治；如有误服，应立即催吐，并携带标签及时送往医院对症治疗，本品无特殊解毒剂。</w:t>
            </w:r>
          </w:p>
        </w:tc>
      </w:tr>
      <w:tr w14:paraId="6FE27198">
        <w:tblPrEx>
          <w:tblCellMar>
            <w:top w:w="0" w:type="dxa"/>
            <w:left w:w="0" w:type="dxa"/>
            <w:bottom w:w="0" w:type="dxa"/>
            <w:right w:w="0" w:type="dxa"/>
          </w:tblCellMar>
        </w:tblPrEx>
        <w:trPr>
          <w:wBefore w:w="0" w:type="auto"/>
          <w:tblCellSpacing w:w="0" w:type="dxa"/>
        </w:trPr>
        <w:tc>
          <w:tcPr>
            <w:tcW w:w="0" w:type="auto"/>
            <w:noWrap w:val="0"/>
            <w:vAlign w:val="center"/>
          </w:tcPr>
          <w:p w14:paraId="71A259B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5079F728">
        <w:tblPrEx>
          <w:tblCellMar>
            <w:top w:w="0" w:type="dxa"/>
            <w:left w:w="0" w:type="dxa"/>
            <w:bottom w:w="0" w:type="dxa"/>
            <w:right w:w="0" w:type="dxa"/>
          </w:tblCellMar>
        </w:tblPrEx>
        <w:trPr>
          <w:wBefore w:w="0" w:type="auto"/>
          <w:tblCellSpacing w:w="0" w:type="dxa"/>
        </w:trPr>
        <w:tc>
          <w:tcPr>
            <w:tcW w:w="0" w:type="auto"/>
            <w:noWrap w:val="0"/>
            <w:vAlign w:val="center"/>
          </w:tcPr>
          <w:p w14:paraId="4DD66CF1">
            <w:r>
              <w:rPr>
                <w:rStyle w:val="10"/>
                <w:rFonts w:hint="eastAsia"/>
              </w:rPr>
              <w:t>质量保证期：</w:t>
            </w:r>
            <w:r>
              <w:rPr>
                <w:rStyle w:val="11"/>
                <w:rFonts w:hint="eastAsia"/>
              </w:rPr>
              <w:t>2年</w:t>
            </w:r>
          </w:p>
        </w:tc>
      </w:tr>
      <w:tr w14:paraId="6C4837CA">
        <w:tblPrEx>
          <w:tblCellMar>
            <w:top w:w="0" w:type="dxa"/>
            <w:left w:w="0" w:type="dxa"/>
            <w:bottom w:w="0" w:type="dxa"/>
            <w:right w:w="0" w:type="dxa"/>
          </w:tblCellMar>
        </w:tblPrEx>
        <w:trPr>
          <w:wBefore w:w="0" w:type="auto"/>
          <w:tblCellSpacing w:w="0" w:type="dxa"/>
        </w:trPr>
        <w:tc>
          <w:tcPr>
            <w:tcW w:w="0" w:type="auto"/>
            <w:noWrap w:val="0"/>
            <w:vAlign w:val="center"/>
          </w:tcPr>
          <w:p w14:paraId="75A4DE77">
            <w:r>
              <w:rPr>
                <w:rStyle w:val="10"/>
                <w:rFonts w:hint="eastAsia"/>
              </w:rPr>
              <w:t>备注：</w:t>
            </w:r>
            <w:r>
              <w:rPr>
                <w:rFonts w:hint="eastAsia"/>
              </w:rPr>
              <w:br w:type="textWrapping"/>
            </w:r>
            <w:r>
              <w:rPr>
                <w:rStyle w:val="11"/>
                <w:rFonts w:hint="eastAsia"/>
              </w:rPr>
              <w:t>草甘膦铵盐95%。</w:t>
            </w:r>
          </w:p>
        </w:tc>
      </w:tr>
    </w:tbl>
    <w:p w14:paraId="6FBA84A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8D7A82B">
        <w:tblPrEx>
          <w:tblCellMar>
            <w:top w:w="0" w:type="dxa"/>
            <w:left w:w="0" w:type="dxa"/>
            <w:bottom w:w="0" w:type="dxa"/>
            <w:right w:w="0" w:type="dxa"/>
          </w:tblCellMar>
        </w:tblPrEx>
        <w:trPr>
          <w:wBefore w:w="0" w:type="auto"/>
          <w:tblCellSpacing w:w="0" w:type="dxa"/>
        </w:trPr>
        <w:tc>
          <w:tcPr>
            <w:tcW w:w="0" w:type="auto"/>
            <w:noWrap w:val="0"/>
            <w:vAlign w:val="center"/>
          </w:tcPr>
          <w:p w14:paraId="594789DE">
            <w:r>
              <w:rPr>
                <w:rStyle w:val="10"/>
                <w:rFonts w:hint="eastAsia"/>
              </w:rPr>
              <w:t>登记证号：</w:t>
            </w:r>
            <w:r>
              <w:rPr>
                <w:rFonts w:hint="eastAsia"/>
              </w:rPr>
              <w:t>PD20211938</w:t>
            </w:r>
          </w:p>
        </w:tc>
      </w:tr>
      <w:tr w14:paraId="4044BAF5">
        <w:tblPrEx>
          <w:tblCellMar>
            <w:top w:w="0" w:type="dxa"/>
            <w:left w:w="0" w:type="dxa"/>
            <w:bottom w:w="0" w:type="dxa"/>
            <w:right w:w="0" w:type="dxa"/>
          </w:tblCellMar>
        </w:tblPrEx>
        <w:trPr>
          <w:wBefore w:w="0" w:type="auto"/>
          <w:tblCellSpacing w:w="0" w:type="dxa"/>
        </w:trPr>
        <w:tc>
          <w:tcPr>
            <w:tcW w:w="0" w:type="auto"/>
            <w:noWrap w:val="0"/>
            <w:vAlign w:val="center"/>
          </w:tcPr>
          <w:p w14:paraId="51D72263">
            <w:r>
              <w:rPr>
                <w:rStyle w:val="10"/>
                <w:rFonts w:hint="eastAsia"/>
              </w:rPr>
              <w:t>登记证持有人：</w:t>
            </w:r>
            <w:r>
              <w:rPr>
                <w:rFonts w:hint="eastAsia"/>
              </w:rPr>
              <w:t>海南博士威农用化学有限公司</w:t>
            </w:r>
          </w:p>
        </w:tc>
      </w:tr>
      <w:tr w14:paraId="0EA63087">
        <w:tblPrEx>
          <w:tblCellMar>
            <w:top w:w="0" w:type="dxa"/>
            <w:left w:w="0" w:type="dxa"/>
            <w:bottom w:w="0" w:type="dxa"/>
            <w:right w:w="0" w:type="dxa"/>
          </w:tblCellMar>
        </w:tblPrEx>
        <w:trPr>
          <w:wBefore w:w="0" w:type="auto"/>
          <w:tblCellSpacing w:w="0" w:type="dxa"/>
        </w:trPr>
        <w:tc>
          <w:tcPr>
            <w:tcW w:w="0" w:type="auto"/>
            <w:noWrap w:val="0"/>
            <w:vAlign w:val="center"/>
          </w:tcPr>
          <w:p w14:paraId="5EAA8E80">
            <w:r>
              <w:rPr>
                <w:rStyle w:val="10"/>
                <w:rFonts w:hint="eastAsia"/>
              </w:rPr>
              <w:t>农药名称：</w:t>
            </w:r>
            <w:r>
              <w:rPr>
                <w:rFonts w:hint="eastAsia"/>
              </w:rPr>
              <w:t>咯菌腈·乙霉威</w:t>
            </w:r>
          </w:p>
        </w:tc>
      </w:tr>
      <w:tr w14:paraId="51B86594">
        <w:tblPrEx>
          <w:tblCellMar>
            <w:top w:w="0" w:type="dxa"/>
            <w:left w:w="0" w:type="dxa"/>
            <w:bottom w:w="0" w:type="dxa"/>
            <w:right w:w="0" w:type="dxa"/>
          </w:tblCellMar>
        </w:tblPrEx>
        <w:trPr>
          <w:wBefore w:w="0" w:type="auto"/>
          <w:tblCellSpacing w:w="0" w:type="dxa"/>
        </w:trPr>
        <w:tc>
          <w:tcPr>
            <w:tcW w:w="0" w:type="auto"/>
            <w:noWrap w:val="0"/>
            <w:vAlign w:val="center"/>
          </w:tcPr>
          <w:p w14:paraId="21818297">
            <w:r>
              <w:rPr>
                <w:rStyle w:val="10"/>
                <w:rFonts w:hint="eastAsia"/>
              </w:rPr>
              <w:t>剂型：</w:t>
            </w:r>
            <w:r>
              <w:rPr>
                <w:rFonts w:hint="eastAsia"/>
              </w:rPr>
              <w:t>悬浮剂</w:t>
            </w:r>
          </w:p>
        </w:tc>
      </w:tr>
      <w:tr w14:paraId="61F915BB">
        <w:tblPrEx>
          <w:tblCellMar>
            <w:top w:w="0" w:type="dxa"/>
            <w:left w:w="0" w:type="dxa"/>
            <w:bottom w:w="0" w:type="dxa"/>
            <w:right w:w="0" w:type="dxa"/>
          </w:tblCellMar>
        </w:tblPrEx>
        <w:trPr>
          <w:wBefore w:w="0" w:type="auto"/>
          <w:tblCellSpacing w:w="0" w:type="dxa"/>
        </w:trPr>
        <w:tc>
          <w:tcPr>
            <w:tcW w:w="0" w:type="auto"/>
            <w:noWrap w:val="0"/>
            <w:vAlign w:val="center"/>
          </w:tcPr>
          <w:p w14:paraId="071B5380">
            <w:r>
              <w:rPr>
                <w:rStyle w:val="10"/>
                <w:rFonts w:hint="eastAsia"/>
              </w:rPr>
              <w:t>毒性及其标识：</w:t>
            </w:r>
            <w:r>
              <w:rPr>
                <w:rFonts w:hint="eastAsia"/>
              </w:rPr>
              <w:t xml:space="preserve"> </w:t>
            </w:r>
            <w:r>
              <w:rPr>
                <w:lang/>
              </w:rPr>
              <w:drawing>
                <wp:inline distT="0" distB="0" distL="114300" distR="114300">
                  <wp:extent cx="476250" cy="323850"/>
                  <wp:effectExtent l="0" t="0" r="0" b="0"/>
                  <wp:docPr id="96" name="图片 9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0D40589">
        <w:tblPrEx>
          <w:tblCellMar>
            <w:top w:w="0" w:type="dxa"/>
            <w:left w:w="0" w:type="dxa"/>
            <w:bottom w:w="0" w:type="dxa"/>
            <w:right w:w="0" w:type="dxa"/>
          </w:tblCellMar>
        </w:tblPrEx>
        <w:trPr>
          <w:wBefore w:w="0" w:type="auto"/>
          <w:tblCellSpacing w:w="0" w:type="dxa"/>
        </w:trPr>
        <w:tc>
          <w:tcPr>
            <w:tcW w:w="0" w:type="auto"/>
            <w:noWrap w:val="0"/>
            <w:vAlign w:val="center"/>
          </w:tcPr>
          <w:p w14:paraId="72B401A1">
            <w:r>
              <w:rPr>
                <w:rStyle w:val="10"/>
                <w:rFonts w:hint="eastAsia"/>
              </w:rPr>
              <w:t>总有效成分含量：</w:t>
            </w:r>
            <w:r>
              <w:rPr>
                <w:rFonts w:hint="eastAsia"/>
              </w:rPr>
              <w:t>30%</w:t>
            </w:r>
          </w:p>
        </w:tc>
      </w:tr>
      <w:tr w14:paraId="27283AD9">
        <w:tblPrEx>
          <w:tblCellMar>
            <w:top w:w="0" w:type="dxa"/>
            <w:left w:w="0" w:type="dxa"/>
            <w:bottom w:w="0" w:type="dxa"/>
            <w:right w:w="0" w:type="dxa"/>
          </w:tblCellMar>
        </w:tblPrEx>
        <w:trPr>
          <w:wBefore w:w="0" w:type="auto"/>
          <w:tblCellSpacing w:w="0" w:type="dxa"/>
        </w:trPr>
        <w:tc>
          <w:tcPr>
            <w:tcW w:w="0" w:type="auto"/>
            <w:noWrap w:val="0"/>
            <w:vAlign w:val="center"/>
          </w:tcPr>
          <w:p w14:paraId="241A71C6">
            <w:r>
              <w:rPr>
                <w:rFonts w:hint="eastAsia"/>
              </w:rPr>
              <w:t xml:space="preserve">有效成分及其含量： </w:t>
            </w:r>
          </w:p>
          <w:p w14:paraId="2A47394F">
            <w:r>
              <w:rPr>
                <w:rFonts w:hint="eastAsia"/>
              </w:rPr>
              <w:t xml:space="preserve">    乙霉威24%    咯菌腈6%    </w:t>
            </w:r>
          </w:p>
        </w:tc>
      </w:tr>
      <w:tr w14:paraId="423C4E09">
        <w:tblPrEx>
          <w:tblCellMar>
            <w:top w:w="0" w:type="dxa"/>
            <w:left w:w="0" w:type="dxa"/>
            <w:bottom w:w="0" w:type="dxa"/>
            <w:right w:w="0" w:type="dxa"/>
          </w:tblCellMar>
        </w:tblPrEx>
        <w:trPr>
          <w:wBefore w:w="0" w:type="auto"/>
          <w:tblCellSpacing w:w="0" w:type="dxa"/>
        </w:trPr>
        <w:tc>
          <w:tcPr>
            <w:tcW w:w="0" w:type="auto"/>
            <w:noWrap w:val="0"/>
            <w:vAlign w:val="center"/>
          </w:tcPr>
          <w:p w14:paraId="3CB7C4E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B633D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18E56B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B155E9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799A78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5CE0A62">
                  <w:r>
                    <w:rPr>
                      <w:rStyle w:val="11"/>
                      <w:rFonts w:hint="eastAsia"/>
                    </w:rPr>
                    <w:t>施用方式</w:t>
                  </w:r>
                </w:p>
              </w:tc>
            </w:tr>
            <w:tr w14:paraId="1625A5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602CEAD">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D77DD6">
                  <w:r>
                    <w:rPr>
                      <w:rStyle w:val="11"/>
                      <w:rFonts w:hint="eastAsia"/>
                    </w:rPr>
                    <w:t>灰霉病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3B5CC5">
                  <w:r>
                    <w:rPr>
                      <w:rStyle w:val="11"/>
                      <w:rFonts w:hint="eastAsia"/>
                    </w:rPr>
                    <w:t>45-60毫升/亩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D74E57">
                  <w:r>
                    <w:rPr>
                      <w:rStyle w:val="11"/>
                      <w:rFonts w:hint="eastAsia"/>
                    </w:rPr>
                    <w:t>喷雾</w:t>
                  </w:r>
                </w:p>
              </w:tc>
            </w:tr>
          </w:tbl>
          <w:p w14:paraId="222EDE39">
            <w:pPr>
              <w:rPr>
                <w:rFonts w:ascii="Times New Roman" w:hAnsi="Times New Roman" w:cs="Times New Roman"/>
                <w:sz w:val="20"/>
                <w:szCs w:val="20"/>
              </w:rPr>
            </w:pPr>
          </w:p>
        </w:tc>
      </w:tr>
      <w:tr w14:paraId="594FD682">
        <w:tblPrEx>
          <w:tblCellMar>
            <w:top w:w="0" w:type="dxa"/>
            <w:left w:w="0" w:type="dxa"/>
            <w:bottom w:w="0" w:type="dxa"/>
            <w:right w:w="0" w:type="dxa"/>
          </w:tblCellMar>
        </w:tblPrEx>
        <w:trPr>
          <w:wBefore w:w="0" w:type="auto"/>
          <w:tblCellSpacing w:w="0" w:type="dxa"/>
        </w:trPr>
        <w:tc>
          <w:tcPr>
            <w:tcW w:w="0" w:type="auto"/>
            <w:noWrap w:val="0"/>
            <w:vAlign w:val="center"/>
          </w:tcPr>
          <w:p w14:paraId="6427F3F9">
            <w:r>
              <w:rPr>
                <w:rStyle w:val="10"/>
                <w:rFonts w:hint="eastAsia"/>
              </w:rPr>
              <w:t>使用技术要求:</w:t>
            </w:r>
            <w:r>
              <w:rPr>
                <w:rFonts w:hint="eastAsia"/>
              </w:rPr>
              <w:br w:type="textWrapping"/>
            </w:r>
            <w:r>
              <w:rPr>
                <w:rStyle w:val="11"/>
                <w:rFonts w:hint="eastAsia"/>
              </w:rPr>
              <w:t>1. 黄瓜灰霉病发病前或发病初期喷雾施药，施药2次，每次间隔7-10天。2. 大风天或预计1小时之内有雨，请勿施药, 3. 每季最多使用2次安全间隔期为3天。</w:t>
            </w:r>
          </w:p>
        </w:tc>
      </w:tr>
      <w:tr w14:paraId="63ACA9A8">
        <w:tblPrEx>
          <w:tblCellMar>
            <w:top w:w="0" w:type="dxa"/>
            <w:left w:w="0" w:type="dxa"/>
            <w:bottom w:w="0" w:type="dxa"/>
            <w:right w:w="0" w:type="dxa"/>
          </w:tblCellMar>
        </w:tblPrEx>
        <w:trPr>
          <w:wBefore w:w="0" w:type="auto"/>
          <w:tblCellSpacing w:w="0" w:type="dxa"/>
        </w:trPr>
        <w:tc>
          <w:tcPr>
            <w:tcW w:w="0" w:type="auto"/>
            <w:noWrap w:val="0"/>
            <w:vAlign w:val="center"/>
          </w:tcPr>
          <w:p w14:paraId="6AC722D6">
            <w:r>
              <w:rPr>
                <w:rStyle w:val="10"/>
                <w:rFonts w:hint="eastAsia"/>
              </w:rPr>
              <w:t>产品性能:</w:t>
            </w:r>
            <w:r>
              <w:rPr>
                <w:rFonts w:hint="eastAsia"/>
              </w:rPr>
              <w:br w:type="textWrapping"/>
            </w:r>
            <w:r>
              <w:rPr>
                <w:rStyle w:val="11"/>
                <w:rFonts w:hint="eastAsia"/>
              </w:rPr>
              <w:t>本品是由乙霉威和咯菌腈复配而成的杀菌剂，兼具内吸性。对黄瓜灰霉病具有防效高、持效期较长等优点。</w:t>
            </w:r>
          </w:p>
        </w:tc>
      </w:tr>
      <w:tr w14:paraId="5D0E2203">
        <w:tblPrEx>
          <w:tblCellMar>
            <w:top w:w="0" w:type="dxa"/>
            <w:left w:w="0" w:type="dxa"/>
            <w:bottom w:w="0" w:type="dxa"/>
            <w:right w:w="0" w:type="dxa"/>
          </w:tblCellMar>
        </w:tblPrEx>
        <w:trPr>
          <w:wBefore w:w="0" w:type="auto"/>
          <w:tblCellSpacing w:w="0" w:type="dxa"/>
        </w:trPr>
        <w:tc>
          <w:tcPr>
            <w:tcW w:w="0" w:type="auto"/>
            <w:noWrap w:val="0"/>
            <w:vAlign w:val="center"/>
          </w:tcPr>
          <w:p w14:paraId="31CBC802">
            <w:r>
              <w:rPr>
                <w:rStyle w:val="10"/>
                <w:rFonts w:hint="eastAsia"/>
              </w:rPr>
              <w:t>注意事项：</w:t>
            </w:r>
            <w:r>
              <w:rPr>
                <w:rFonts w:hint="eastAsia"/>
              </w:rPr>
              <w:br w:type="textWrapping"/>
            </w:r>
            <w:r>
              <w:rPr>
                <w:rStyle w:val="11"/>
                <w:rFonts w:hint="eastAsia"/>
              </w:rPr>
              <w:t>1. 本品不可与呈碱性的农药等物质混合使用。2. 建议与其他作用机制不同的杀菌剂轮换使用，以延缓抗性产生。3. 水产养殖区、河塘等水体附近禁用，禁止在河塘等水体中清洗施药器具。4. 本品对蜜蜂、鱼类等水生生物、家蚕有毒，施药期间应避免对周围蜂群的影响，开花植物花期、蚕室和桑园附近禁用，在施药时应选择气流稳定的天气，不宜在有风的条件下喷药，喷药后应树立警示标牌，提醒不能再周边环境种植桑树，禁止采摘外围/次外围或更多桑叶饲喂家蚕，从而避免对家蚕造成的风险。赤眼蜂等天敌放飞区域禁用。5. 使用时穿戴长衣、长裤、帽子、口罩、手套等安全防护措施。施药后应及时洗手和洗脸。6. 孕妇及哺乳期妇女禁止接触。7. 用过的容器应妥善处理，不可做他用，也不可随意丢弃。</w:t>
            </w:r>
          </w:p>
        </w:tc>
      </w:tr>
      <w:tr w14:paraId="5109A9EA">
        <w:tblPrEx>
          <w:tblCellMar>
            <w:top w:w="0" w:type="dxa"/>
            <w:left w:w="0" w:type="dxa"/>
            <w:bottom w:w="0" w:type="dxa"/>
            <w:right w:w="0" w:type="dxa"/>
          </w:tblCellMar>
        </w:tblPrEx>
        <w:trPr>
          <w:wBefore w:w="0" w:type="auto"/>
          <w:tblCellSpacing w:w="0" w:type="dxa"/>
        </w:trPr>
        <w:tc>
          <w:tcPr>
            <w:tcW w:w="0" w:type="auto"/>
            <w:noWrap w:val="0"/>
            <w:vAlign w:val="center"/>
          </w:tcPr>
          <w:p w14:paraId="1CF8AC09">
            <w:r>
              <w:rPr>
                <w:rStyle w:val="10"/>
                <w:rFonts w:hint="eastAsia"/>
              </w:rPr>
              <w:t>中毒急救措施：</w:t>
            </w:r>
            <w:r>
              <w:rPr>
                <w:rFonts w:hint="eastAsia"/>
              </w:rPr>
              <w:br w:type="textWrapping"/>
            </w:r>
            <w:r>
              <w:rPr>
                <w:rStyle w:val="11"/>
                <w:rFonts w:hint="eastAsia"/>
              </w:rPr>
              <w:t>若接触到药液，立即用清水洗净至少15分钟。若误服，不要引吐，立即携此标签，将病人送入医院急救，如进行洗胃，应防止呕吐物进入呼吸道，考虑使用活性炭和泻药，按病症状治疗。</w:t>
            </w:r>
          </w:p>
        </w:tc>
      </w:tr>
      <w:tr w14:paraId="1D77CFF1">
        <w:tblPrEx>
          <w:tblCellMar>
            <w:top w:w="0" w:type="dxa"/>
            <w:left w:w="0" w:type="dxa"/>
            <w:bottom w:w="0" w:type="dxa"/>
            <w:right w:w="0" w:type="dxa"/>
          </w:tblCellMar>
        </w:tblPrEx>
        <w:trPr>
          <w:wBefore w:w="0" w:type="auto"/>
          <w:tblCellSpacing w:w="0" w:type="dxa"/>
        </w:trPr>
        <w:tc>
          <w:tcPr>
            <w:tcW w:w="0" w:type="auto"/>
            <w:noWrap w:val="0"/>
            <w:vAlign w:val="center"/>
          </w:tcPr>
          <w:p w14:paraId="5259E3A2">
            <w:r>
              <w:rPr>
                <w:rStyle w:val="10"/>
                <w:rFonts w:hint="eastAsia"/>
              </w:rPr>
              <w:t>储存和运输方法：</w:t>
            </w:r>
            <w:r>
              <w:rPr>
                <w:rFonts w:hint="eastAsia"/>
              </w:rPr>
              <w:br w:type="textWrapping"/>
            </w:r>
            <w:r>
              <w:rPr>
                <w:rStyle w:val="11"/>
                <w:rFonts w:hint="eastAsia"/>
              </w:rPr>
              <w:t>本品贮存应注意阴凉、干燥、通风，远离火源，不能与食品、饮料、粮食、饲料等物品同贮同运。置于儿童、无关人员触及不到之处，并加锁。装卸运输时注意检查包装是否密封完整，轻拿轻放。本品保质期两年。</w:t>
            </w:r>
          </w:p>
        </w:tc>
      </w:tr>
      <w:tr w14:paraId="3ABEBF44">
        <w:tblPrEx>
          <w:tblCellMar>
            <w:top w:w="0" w:type="dxa"/>
            <w:left w:w="0" w:type="dxa"/>
            <w:bottom w:w="0" w:type="dxa"/>
            <w:right w:w="0" w:type="dxa"/>
          </w:tblCellMar>
        </w:tblPrEx>
        <w:trPr>
          <w:wBefore w:w="0" w:type="auto"/>
          <w:tblCellSpacing w:w="0" w:type="dxa"/>
        </w:trPr>
        <w:tc>
          <w:tcPr>
            <w:tcW w:w="0" w:type="auto"/>
            <w:noWrap w:val="0"/>
            <w:vAlign w:val="center"/>
          </w:tcPr>
          <w:p w14:paraId="64941ADD">
            <w:r>
              <w:rPr>
                <w:rStyle w:val="10"/>
                <w:rFonts w:hint="eastAsia"/>
              </w:rPr>
              <w:t>质量保证期：</w:t>
            </w:r>
            <w:r>
              <w:rPr>
                <w:rStyle w:val="11"/>
                <w:rFonts w:hint="eastAsia"/>
              </w:rPr>
              <w:t>2年</w:t>
            </w:r>
          </w:p>
        </w:tc>
      </w:tr>
      <w:tr w14:paraId="41207842">
        <w:tblPrEx>
          <w:tblCellMar>
            <w:top w:w="0" w:type="dxa"/>
            <w:left w:w="0" w:type="dxa"/>
            <w:bottom w:w="0" w:type="dxa"/>
            <w:right w:w="0" w:type="dxa"/>
          </w:tblCellMar>
        </w:tblPrEx>
        <w:trPr>
          <w:wBefore w:w="0" w:type="auto"/>
          <w:tblCellSpacing w:w="0" w:type="dxa"/>
        </w:trPr>
        <w:tc>
          <w:tcPr>
            <w:tcW w:w="0" w:type="auto"/>
            <w:noWrap w:val="0"/>
            <w:vAlign w:val="center"/>
          </w:tcPr>
          <w:p w14:paraId="74FF5B78">
            <w:r>
              <w:rPr>
                <w:rStyle w:val="10"/>
                <w:rFonts w:hint="eastAsia"/>
              </w:rPr>
              <w:t>备注：</w:t>
            </w:r>
          </w:p>
        </w:tc>
      </w:tr>
    </w:tbl>
    <w:p w14:paraId="3CAA8ED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5782E4C">
        <w:tblPrEx>
          <w:tblCellMar>
            <w:top w:w="0" w:type="dxa"/>
            <w:left w:w="0" w:type="dxa"/>
            <w:bottom w:w="0" w:type="dxa"/>
            <w:right w:w="0" w:type="dxa"/>
          </w:tblCellMar>
        </w:tblPrEx>
        <w:trPr>
          <w:wBefore w:w="0" w:type="auto"/>
          <w:tblCellSpacing w:w="0" w:type="dxa"/>
        </w:trPr>
        <w:tc>
          <w:tcPr>
            <w:tcW w:w="0" w:type="auto"/>
            <w:noWrap w:val="0"/>
            <w:vAlign w:val="center"/>
          </w:tcPr>
          <w:p w14:paraId="797EC811">
            <w:r>
              <w:rPr>
                <w:rStyle w:val="10"/>
                <w:rFonts w:hint="eastAsia"/>
              </w:rPr>
              <w:t>登记证号：</w:t>
            </w:r>
            <w:r>
              <w:rPr>
                <w:rFonts w:hint="eastAsia"/>
              </w:rPr>
              <w:t>WP20210207</w:t>
            </w:r>
          </w:p>
        </w:tc>
      </w:tr>
      <w:tr w14:paraId="13864A30">
        <w:tblPrEx>
          <w:tblCellMar>
            <w:top w:w="0" w:type="dxa"/>
            <w:left w:w="0" w:type="dxa"/>
            <w:bottom w:w="0" w:type="dxa"/>
            <w:right w:w="0" w:type="dxa"/>
          </w:tblCellMar>
        </w:tblPrEx>
        <w:trPr>
          <w:wBefore w:w="0" w:type="auto"/>
          <w:tblCellSpacing w:w="0" w:type="dxa"/>
        </w:trPr>
        <w:tc>
          <w:tcPr>
            <w:tcW w:w="0" w:type="auto"/>
            <w:noWrap w:val="0"/>
            <w:vAlign w:val="center"/>
          </w:tcPr>
          <w:p w14:paraId="2144E136">
            <w:r>
              <w:rPr>
                <w:rStyle w:val="10"/>
                <w:rFonts w:hint="eastAsia"/>
              </w:rPr>
              <w:t>登记证持有人：</w:t>
            </w:r>
            <w:r>
              <w:rPr>
                <w:rFonts w:hint="eastAsia"/>
              </w:rPr>
              <w:t>浙江正点实业有限公司</w:t>
            </w:r>
          </w:p>
        </w:tc>
      </w:tr>
      <w:tr w14:paraId="0157E31E">
        <w:tblPrEx>
          <w:tblCellMar>
            <w:top w:w="0" w:type="dxa"/>
            <w:left w:w="0" w:type="dxa"/>
            <w:bottom w:w="0" w:type="dxa"/>
            <w:right w:w="0" w:type="dxa"/>
          </w:tblCellMar>
        </w:tblPrEx>
        <w:trPr>
          <w:wBefore w:w="0" w:type="auto"/>
          <w:tblCellSpacing w:w="0" w:type="dxa"/>
        </w:trPr>
        <w:tc>
          <w:tcPr>
            <w:tcW w:w="0" w:type="auto"/>
            <w:noWrap w:val="0"/>
            <w:vAlign w:val="center"/>
          </w:tcPr>
          <w:p w14:paraId="7B4036D2">
            <w:r>
              <w:rPr>
                <w:rStyle w:val="10"/>
                <w:rFonts w:hint="eastAsia"/>
              </w:rPr>
              <w:t>农药名称：</w:t>
            </w:r>
            <w:r>
              <w:rPr>
                <w:rFonts w:hint="eastAsia"/>
              </w:rPr>
              <w:t>电热蚊香液</w:t>
            </w:r>
          </w:p>
        </w:tc>
      </w:tr>
      <w:tr w14:paraId="1EC787CE">
        <w:tblPrEx>
          <w:tblCellMar>
            <w:top w:w="0" w:type="dxa"/>
            <w:left w:w="0" w:type="dxa"/>
            <w:bottom w:w="0" w:type="dxa"/>
            <w:right w:w="0" w:type="dxa"/>
          </w:tblCellMar>
        </w:tblPrEx>
        <w:trPr>
          <w:wBefore w:w="0" w:type="auto"/>
          <w:tblCellSpacing w:w="0" w:type="dxa"/>
        </w:trPr>
        <w:tc>
          <w:tcPr>
            <w:tcW w:w="0" w:type="auto"/>
            <w:noWrap w:val="0"/>
            <w:vAlign w:val="center"/>
          </w:tcPr>
          <w:p w14:paraId="4840F425">
            <w:r>
              <w:rPr>
                <w:rStyle w:val="10"/>
                <w:rFonts w:hint="eastAsia"/>
              </w:rPr>
              <w:t>剂型：</w:t>
            </w:r>
            <w:r>
              <w:rPr>
                <w:rFonts w:hint="eastAsia"/>
              </w:rPr>
              <w:t>电热香蚊液</w:t>
            </w:r>
          </w:p>
        </w:tc>
      </w:tr>
      <w:tr w14:paraId="7C67E845">
        <w:tblPrEx>
          <w:tblCellMar>
            <w:top w:w="0" w:type="dxa"/>
            <w:left w:w="0" w:type="dxa"/>
            <w:bottom w:w="0" w:type="dxa"/>
            <w:right w:w="0" w:type="dxa"/>
          </w:tblCellMar>
        </w:tblPrEx>
        <w:trPr>
          <w:wBefore w:w="0" w:type="auto"/>
          <w:tblCellSpacing w:w="0" w:type="dxa"/>
        </w:trPr>
        <w:tc>
          <w:tcPr>
            <w:tcW w:w="0" w:type="auto"/>
            <w:noWrap w:val="0"/>
            <w:vAlign w:val="center"/>
          </w:tcPr>
          <w:p w14:paraId="4A5AC89C">
            <w:r>
              <w:rPr>
                <w:rStyle w:val="10"/>
                <w:rFonts w:hint="eastAsia"/>
              </w:rPr>
              <w:t>毒性及其标识：</w:t>
            </w:r>
            <w:r>
              <w:rPr>
                <w:rFonts w:hint="eastAsia"/>
              </w:rPr>
              <w:t xml:space="preserve"> </w:t>
            </w:r>
            <w:r>
              <w:rPr>
                <w:lang/>
              </w:rPr>
              <w:drawing>
                <wp:inline distT="0" distB="0" distL="114300" distR="114300">
                  <wp:extent cx="476250" cy="323850"/>
                  <wp:effectExtent l="0" t="0" r="0" b="0"/>
                  <wp:docPr id="97" name="图片 9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74E7A73">
        <w:tblPrEx>
          <w:tblCellMar>
            <w:top w:w="0" w:type="dxa"/>
            <w:left w:w="0" w:type="dxa"/>
            <w:bottom w:w="0" w:type="dxa"/>
            <w:right w:w="0" w:type="dxa"/>
          </w:tblCellMar>
        </w:tblPrEx>
        <w:trPr>
          <w:wBefore w:w="0" w:type="auto"/>
          <w:tblCellSpacing w:w="0" w:type="dxa"/>
        </w:trPr>
        <w:tc>
          <w:tcPr>
            <w:tcW w:w="0" w:type="auto"/>
            <w:noWrap w:val="0"/>
            <w:vAlign w:val="center"/>
          </w:tcPr>
          <w:p w14:paraId="03D1F774">
            <w:r>
              <w:rPr>
                <w:rStyle w:val="10"/>
                <w:rFonts w:hint="eastAsia"/>
              </w:rPr>
              <w:t>总有效成分含量：</w:t>
            </w:r>
            <w:r>
              <w:rPr>
                <w:rFonts w:hint="eastAsia"/>
              </w:rPr>
              <w:t>1.5%</w:t>
            </w:r>
          </w:p>
        </w:tc>
      </w:tr>
      <w:tr w14:paraId="6FB6682E">
        <w:tblPrEx>
          <w:tblCellMar>
            <w:top w:w="0" w:type="dxa"/>
            <w:left w:w="0" w:type="dxa"/>
            <w:bottom w:w="0" w:type="dxa"/>
            <w:right w:w="0" w:type="dxa"/>
          </w:tblCellMar>
        </w:tblPrEx>
        <w:trPr>
          <w:wBefore w:w="0" w:type="auto"/>
          <w:tblCellSpacing w:w="0" w:type="dxa"/>
        </w:trPr>
        <w:tc>
          <w:tcPr>
            <w:tcW w:w="0" w:type="auto"/>
            <w:noWrap w:val="0"/>
            <w:vAlign w:val="center"/>
          </w:tcPr>
          <w:p w14:paraId="69283B40">
            <w:r>
              <w:rPr>
                <w:rFonts w:hint="eastAsia"/>
              </w:rPr>
              <w:t xml:space="preserve">有效成分及其含量： </w:t>
            </w:r>
          </w:p>
          <w:p w14:paraId="05A92C0C">
            <w:r>
              <w:rPr>
                <w:rFonts w:hint="eastAsia"/>
              </w:rPr>
              <w:t xml:space="preserve">    氯氟醚菊酯1.5%    </w:t>
            </w:r>
          </w:p>
        </w:tc>
      </w:tr>
      <w:tr w14:paraId="3F9C3BE6">
        <w:tblPrEx>
          <w:tblCellMar>
            <w:top w:w="0" w:type="dxa"/>
            <w:left w:w="0" w:type="dxa"/>
            <w:bottom w:w="0" w:type="dxa"/>
            <w:right w:w="0" w:type="dxa"/>
          </w:tblCellMar>
        </w:tblPrEx>
        <w:trPr>
          <w:wBefore w:w="0" w:type="auto"/>
          <w:tblCellSpacing w:w="0" w:type="dxa"/>
        </w:trPr>
        <w:tc>
          <w:tcPr>
            <w:tcW w:w="0" w:type="auto"/>
            <w:noWrap w:val="0"/>
            <w:vAlign w:val="center"/>
          </w:tcPr>
          <w:p w14:paraId="70021DD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0D769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1A47F2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DE4587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35B234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670BDDB">
                  <w:r>
                    <w:rPr>
                      <w:rStyle w:val="11"/>
                      <w:rFonts w:hint="eastAsia"/>
                    </w:rPr>
                    <w:t>施用方式</w:t>
                  </w:r>
                </w:p>
              </w:tc>
            </w:tr>
            <w:tr w14:paraId="7EE0B5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697F1B">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F1C686">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A1DADF">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F92397">
                  <w:r>
                    <w:rPr>
                      <w:rStyle w:val="11"/>
                      <w:rFonts w:hint="eastAsia"/>
                    </w:rPr>
                    <w:t>电热加温</w:t>
                  </w:r>
                </w:p>
              </w:tc>
            </w:tr>
          </w:tbl>
          <w:p w14:paraId="1517A1A1">
            <w:pPr>
              <w:rPr>
                <w:rFonts w:ascii="Times New Roman" w:hAnsi="Times New Roman" w:cs="Times New Roman"/>
                <w:sz w:val="20"/>
                <w:szCs w:val="20"/>
              </w:rPr>
            </w:pPr>
          </w:p>
        </w:tc>
      </w:tr>
      <w:tr w14:paraId="6EBD4008">
        <w:tblPrEx>
          <w:tblCellMar>
            <w:top w:w="0" w:type="dxa"/>
            <w:left w:w="0" w:type="dxa"/>
            <w:bottom w:w="0" w:type="dxa"/>
            <w:right w:w="0" w:type="dxa"/>
          </w:tblCellMar>
        </w:tblPrEx>
        <w:trPr>
          <w:wBefore w:w="0" w:type="auto"/>
          <w:tblCellSpacing w:w="0" w:type="dxa"/>
        </w:trPr>
        <w:tc>
          <w:tcPr>
            <w:tcW w:w="0" w:type="auto"/>
            <w:noWrap w:val="0"/>
            <w:vAlign w:val="center"/>
          </w:tcPr>
          <w:p w14:paraId="106B9E4F">
            <w:r>
              <w:rPr>
                <w:rStyle w:val="10"/>
                <w:rFonts w:hint="eastAsia"/>
              </w:rPr>
              <w:t>使用技术要求:</w:t>
            </w:r>
            <w:r>
              <w:rPr>
                <w:rFonts w:hint="eastAsia"/>
              </w:rPr>
              <w:br w:type="textWrapping"/>
            </w:r>
            <w:r>
              <w:rPr>
                <w:rStyle w:val="11"/>
                <w:rFonts w:hint="eastAsia"/>
              </w:rPr>
              <w:t>1.将药液瓶的芯棒与电热液体蚊香器底部中心对齐，小心旋入固定； 2.将加热器插入电热插座，指示灯亮，显示加热器开始工作； 3.请勿将加热器横置或倒置插入电热插座使用； 4.更换药液瓶时，先切断电源，待加热器冷却后更换。</w:t>
            </w:r>
          </w:p>
        </w:tc>
      </w:tr>
      <w:tr w14:paraId="248B5217">
        <w:tblPrEx>
          <w:tblCellMar>
            <w:top w:w="0" w:type="dxa"/>
            <w:left w:w="0" w:type="dxa"/>
            <w:bottom w:w="0" w:type="dxa"/>
            <w:right w:w="0" w:type="dxa"/>
          </w:tblCellMar>
        </w:tblPrEx>
        <w:trPr>
          <w:wBefore w:w="0" w:type="auto"/>
          <w:tblCellSpacing w:w="0" w:type="dxa"/>
        </w:trPr>
        <w:tc>
          <w:tcPr>
            <w:tcW w:w="0" w:type="auto"/>
            <w:noWrap w:val="0"/>
            <w:vAlign w:val="center"/>
          </w:tcPr>
          <w:p w14:paraId="03F3B776">
            <w:r>
              <w:rPr>
                <w:rStyle w:val="10"/>
                <w:rFonts w:hint="eastAsia"/>
              </w:rPr>
              <w:t>产品性能:</w:t>
            </w:r>
            <w:r>
              <w:rPr>
                <w:rFonts w:hint="eastAsia"/>
              </w:rPr>
              <w:br w:type="textWrapping"/>
            </w:r>
            <w:r>
              <w:rPr>
                <w:rStyle w:val="11"/>
                <w:rFonts w:hint="eastAsia"/>
              </w:rPr>
              <w:t>本品采用氯氟醚菊酯为有效成分配制而成，每瓶使用时间长达360小时；能够有效驱除蚊。</w:t>
            </w:r>
          </w:p>
        </w:tc>
      </w:tr>
      <w:tr w14:paraId="61D2E59C">
        <w:tblPrEx>
          <w:tblCellMar>
            <w:top w:w="0" w:type="dxa"/>
            <w:left w:w="0" w:type="dxa"/>
            <w:bottom w:w="0" w:type="dxa"/>
            <w:right w:w="0" w:type="dxa"/>
          </w:tblCellMar>
        </w:tblPrEx>
        <w:trPr>
          <w:wBefore w:w="0" w:type="auto"/>
          <w:tblCellSpacing w:w="0" w:type="dxa"/>
        </w:trPr>
        <w:tc>
          <w:tcPr>
            <w:tcW w:w="0" w:type="auto"/>
            <w:noWrap w:val="0"/>
            <w:vAlign w:val="center"/>
          </w:tcPr>
          <w:p w14:paraId="7C9172DB">
            <w:r>
              <w:rPr>
                <w:rStyle w:val="10"/>
                <w:rFonts w:hint="eastAsia"/>
              </w:rPr>
              <w:t>注意事项：</w:t>
            </w:r>
            <w:r>
              <w:rPr>
                <w:rFonts w:hint="eastAsia"/>
              </w:rPr>
              <w:br w:type="textWrapping"/>
            </w:r>
            <w:r>
              <w:rPr>
                <w:rStyle w:val="11"/>
                <w:rFonts w:hint="eastAsia"/>
              </w:rPr>
              <w:t>1. 仅限室内使用。 2. 使用时应注意通风及防火安全。 3. 过敏者禁用；使用时，请注意通风。加热器工作时表面不要覆盖任何物体, 确保不被窗帘，床单遮盖。使用时注意用电及防火安全。当加热器工作时，请勿用湿手接触加热器，不要触摸或插入任何物体。 4. 使用中有任何不良反应请及时就医。 5. 孕妇及哺乳期妇女禁止接触。 6. 蚕室及桑园附近禁用。</w:t>
            </w:r>
          </w:p>
        </w:tc>
      </w:tr>
      <w:tr w14:paraId="514A0291">
        <w:tblPrEx>
          <w:tblCellMar>
            <w:top w:w="0" w:type="dxa"/>
            <w:left w:w="0" w:type="dxa"/>
            <w:bottom w:w="0" w:type="dxa"/>
            <w:right w:w="0" w:type="dxa"/>
          </w:tblCellMar>
        </w:tblPrEx>
        <w:trPr>
          <w:wBefore w:w="0" w:type="auto"/>
          <w:tblCellSpacing w:w="0" w:type="dxa"/>
        </w:trPr>
        <w:tc>
          <w:tcPr>
            <w:tcW w:w="0" w:type="auto"/>
            <w:noWrap w:val="0"/>
            <w:vAlign w:val="center"/>
          </w:tcPr>
          <w:p w14:paraId="3AA6636B">
            <w:r>
              <w:rPr>
                <w:rStyle w:val="10"/>
                <w:rFonts w:hint="eastAsia"/>
              </w:rPr>
              <w:t>中毒急救措施：</w:t>
            </w:r>
            <w:r>
              <w:rPr>
                <w:rFonts w:hint="eastAsia"/>
              </w:rPr>
              <w:br w:type="textWrapping"/>
            </w:r>
            <w:r>
              <w:rPr>
                <w:rStyle w:val="11"/>
                <w:rFonts w:hint="eastAsia"/>
              </w:rPr>
              <w:t>过敏者禁用。不慎吞入，切勿催吐，立即就医，并出示本产品包装。 如不慎将液体接触到衣物或皮肤，立刻使用肥皂和清水洗干净。 如不慎接触到眼睛，立刻用大量清水冲洗，如有刺激反应，立刻携此标签就医。对症治疗。</w:t>
            </w:r>
          </w:p>
        </w:tc>
      </w:tr>
      <w:tr w14:paraId="4C319FFA">
        <w:tblPrEx>
          <w:tblCellMar>
            <w:top w:w="0" w:type="dxa"/>
            <w:left w:w="0" w:type="dxa"/>
            <w:bottom w:w="0" w:type="dxa"/>
            <w:right w:w="0" w:type="dxa"/>
          </w:tblCellMar>
        </w:tblPrEx>
        <w:trPr>
          <w:wBefore w:w="0" w:type="auto"/>
          <w:tblCellSpacing w:w="0" w:type="dxa"/>
        </w:trPr>
        <w:tc>
          <w:tcPr>
            <w:tcW w:w="0" w:type="auto"/>
            <w:noWrap w:val="0"/>
            <w:vAlign w:val="center"/>
          </w:tcPr>
          <w:p w14:paraId="63D1B097">
            <w:r>
              <w:rPr>
                <w:rStyle w:val="10"/>
                <w:rFonts w:hint="eastAsia"/>
              </w:rPr>
              <w:t>储存和运输方法：</w:t>
            </w:r>
            <w:r>
              <w:rPr>
                <w:rFonts w:hint="eastAsia"/>
              </w:rPr>
              <w:br w:type="textWrapping"/>
            </w:r>
            <w:r>
              <w:rPr>
                <w:rStyle w:val="11"/>
                <w:rFonts w:hint="eastAsia"/>
              </w:rPr>
              <w:t>1. 置于阴凉、干燥、通风处； 2. 勿与食品、饮料、粮食、种子、饲料及易燃易爆品等混合贮存； 3. 置于儿童、无关人员触及不到之处，并加锁。</w:t>
            </w:r>
          </w:p>
        </w:tc>
      </w:tr>
      <w:tr w14:paraId="4D5377D7">
        <w:tblPrEx>
          <w:tblCellMar>
            <w:top w:w="0" w:type="dxa"/>
            <w:left w:w="0" w:type="dxa"/>
            <w:bottom w:w="0" w:type="dxa"/>
            <w:right w:w="0" w:type="dxa"/>
          </w:tblCellMar>
        </w:tblPrEx>
        <w:trPr>
          <w:wBefore w:w="0" w:type="auto"/>
          <w:tblCellSpacing w:w="0" w:type="dxa"/>
        </w:trPr>
        <w:tc>
          <w:tcPr>
            <w:tcW w:w="0" w:type="auto"/>
            <w:noWrap w:val="0"/>
            <w:vAlign w:val="center"/>
          </w:tcPr>
          <w:p w14:paraId="64BAD1D0">
            <w:r>
              <w:rPr>
                <w:rStyle w:val="10"/>
                <w:rFonts w:hint="eastAsia"/>
              </w:rPr>
              <w:t>质量保证期：</w:t>
            </w:r>
            <w:r>
              <w:rPr>
                <w:rStyle w:val="11"/>
                <w:rFonts w:hint="eastAsia"/>
              </w:rPr>
              <w:t>3年</w:t>
            </w:r>
          </w:p>
        </w:tc>
      </w:tr>
      <w:tr w14:paraId="200CF1BB">
        <w:tblPrEx>
          <w:tblCellMar>
            <w:top w:w="0" w:type="dxa"/>
            <w:left w:w="0" w:type="dxa"/>
            <w:bottom w:w="0" w:type="dxa"/>
            <w:right w:w="0" w:type="dxa"/>
          </w:tblCellMar>
        </w:tblPrEx>
        <w:trPr>
          <w:wBefore w:w="0" w:type="auto"/>
          <w:tblCellSpacing w:w="0" w:type="dxa"/>
        </w:trPr>
        <w:tc>
          <w:tcPr>
            <w:tcW w:w="0" w:type="auto"/>
            <w:noWrap w:val="0"/>
            <w:vAlign w:val="center"/>
          </w:tcPr>
          <w:p w14:paraId="66EA9846">
            <w:r>
              <w:rPr>
                <w:rStyle w:val="10"/>
                <w:rFonts w:hint="eastAsia"/>
              </w:rPr>
              <w:t>备注：</w:t>
            </w:r>
          </w:p>
        </w:tc>
      </w:tr>
    </w:tbl>
    <w:p w14:paraId="079CBAD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99610B4">
        <w:tblPrEx>
          <w:tblCellMar>
            <w:top w:w="0" w:type="dxa"/>
            <w:left w:w="0" w:type="dxa"/>
            <w:bottom w:w="0" w:type="dxa"/>
            <w:right w:w="0" w:type="dxa"/>
          </w:tblCellMar>
        </w:tblPrEx>
        <w:trPr>
          <w:wBefore w:w="0" w:type="auto"/>
          <w:tblCellSpacing w:w="0" w:type="dxa"/>
        </w:trPr>
        <w:tc>
          <w:tcPr>
            <w:tcW w:w="0" w:type="auto"/>
            <w:noWrap w:val="0"/>
            <w:vAlign w:val="center"/>
          </w:tcPr>
          <w:p w14:paraId="67F36BDF">
            <w:r>
              <w:rPr>
                <w:rStyle w:val="10"/>
                <w:rFonts w:hint="eastAsia"/>
              </w:rPr>
              <w:t>登记证号：</w:t>
            </w:r>
            <w:r>
              <w:rPr>
                <w:rFonts w:hint="eastAsia"/>
              </w:rPr>
              <w:t>WP20210208</w:t>
            </w:r>
          </w:p>
        </w:tc>
      </w:tr>
      <w:tr w14:paraId="0A64798C">
        <w:tblPrEx>
          <w:tblCellMar>
            <w:top w:w="0" w:type="dxa"/>
            <w:left w:w="0" w:type="dxa"/>
            <w:bottom w:w="0" w:type="dxa"/>
            <w:right w:w="0" w:type="dxa"/>
          </w:tblCellMar>
        </w:tblPrEx>
        <w:trPr>
          <w:wBefore w:w="0" w:type="auto"/>
          <w:tblCellSpacing w:w="0" w:type="dxa"/>
        </w:trPr>
        <w:tc>
          <w:tcPr>
            <w:tcW w:w="0" w:type="auto"/>
            <w:noWrap w:val="0"/>
            <w:vAlign w:val="center"/>
          </w:tcPr>
          <w:p w14:paraId="0BE3E68F">
            <w:r>
              <w:rPr>
                <w:rStyle w:val="10"/>
                <w:rFonts w:hint="eastAsia"/>
              </w:rPr>
              <w:t>登记证持有人：</w:t>
            </w:r>
            <w:r>
              <w:rPr>
                <w:rFonts w:hint="eastAsia"/>
              </w:rPr>
              <w:t>浙江李字日化有限责任公司</w:t>
            </w:r>
          </w:p>
        </w:tc>
      </w:tr>
      <w:tr w14:paraId="1F165EF1">
        <w:tblPrEx>
          <w:tblCellMar>
            <w:top w:w="0" w:type="dxa"/>
            <w:left w:w="0" w:type="dxa"/>
            <w:bottom w:w="0" w:type="dxa"/>
            <w:right w:w="0" w:type="dxa"/>
          </w:tblCellMar>
        </w:tblPrEx>
        <w:trPr>
          <w:wBefore w:w="0" w:type="auto"/>
          <w:tblCellSpacing w:w="0" w:type="dxa"/>
        </w:trPr>
        <w:tc>
          <w:tcPr>
            <w:tcW w:w="0" w:type="auto"/>
            <w:noWrap w:val="0"/>
            <w:vAlign w:val="center"/>
          </w:tcPr>
          <w:p w14:paraId="432BD459">
            <w:r>
              <w:rPr>
                <w:rStyle w:val="10"/>
                <w:rFonts w:hint="eastAsia"/>
              </w:rPr>
              <w:t>农药名称：</w:t>
            </w:r>
            <w:r>
              <w:rPr>
                <w:rFonts w:hint="eastAsia"/>
              </w:rPr>
              <w:t>电热蚊香液</w:t>
            </w:r>
          </w:p>
        </w:tc>
      </w:tr>
      <w:tr w14:paraId="01711FF7">
        <w:tblPrEx>
          <w:tblCellMar>
            <w:top w:w="0" w:type="dxa"/>
            <w:left w:w="0" w:type="dxa"/>
            <w:bottom w:w="0" w:type="dxa"/>
            <w:right w:w="0" w:type="dxa"/>
          </w:tblCellMar>
        </w:tblPrEx>
        <w:trPr>
          <w:wBefore w:w="0" w:type="auto"/>
          <w:tblCellSpacing w:w="0" w:type="dxa"/>
        </w:trPr>
        <w:tc>
          <w:tcPr>
            <w:tcW w:w="0" w:type="auto"/>
            <w:noWrap w:val="0"/>
            <w:vAlign w:val="center"/>
          </w:tcPr>
          <w:p w14:paraId="205B829D">
            <w:r>
              <w:rPr>
                <w:rStyle w:val="10"/>
                <w:rFonts w:hint="eastAsia"/>
              </w:rPr>
              <w:t>剂型：</w:t>
            </w:r>
            <w:r>
              <w:rPr>
                <w:rFonts w:hint="eastAsia"/>
              </w:rPr>
              <w:t>电热香蚊液</w:t>
            </w:r>
          </w:p>
        </w:tc>
      </w:tr>
      <w:tr w14:paraId="46996A89">
        <w:tblPrEx>
          <w:tblCellMar>
            <w:top w:w="0" w:type="dxa"/>
            <w:left w:w="0" w:type="dxa"/>
            <w:bottom w:w="0" w:type="dxa"/>
            <w:right w:w="0" w:type="dxa"/>
          </w:tblCellMar>
        </w:tblPrEx>
        <w:trPr>
          <w:wBefore w:w="0" w:type="auto"/>
          <w:tblCellSpacing w:w="0" w:type="dxa"/>
        </w:trPr>
        <w:tc>
          <w:tcPr>
            <w:tcW w:w="0" w:type="auto"/>
            <w:noWrap w:val="0"/>
            <w:vAlign w:val="center"/>
          </w:tcPr>
          <w:p w14:paraId="7CE8B27E">
            <w:r>
              <w:rPr>
                <w:rStyle w:val="10"/>
                <w:rFonts w:hint="eastAsia"/>
              </w:rPr>
              <w:t>毒性及其标识：</w:t>
            </w:r>
            <w:r>
              <w:rPr>
                <w:rFonts w:hint="eastAsia"/>
              </w:rPr>
              <w:t xml:space="preserve"> 微毒 </w:t>
            </w:r>
          </w:p>
        </w:tc>
      </w:tr>
      <w:tr w14:paraId="6236261F">
        <w:tblPrEx>
          <w:tblCellMar>
            <w:top w:w="0" w:type="dxa"/>
            <w:left w:w="0" w:type="dxa"/>
            <w:bottom w:w="0" w:type="dxa"/>
            <w:right w:w="0" w:type="dxa"/>
          </w:tblCellMar>
        </w:tblPrEx>
        <w:trPr>
          <w:wBefore w:w="0" w:type="auto"/>
          <w:tblCellSpacing w:w="0" w:type="dxa"/>
        </w:trPr>
        <w:tc>
          <w:tcPr>
            <w:tcW w:w="0" w:type="auto"/>
            <w:noWrap w:val="0"/>
            <w:vAlign w:val="center"/>
          </w:tcPr>
          <w:p w14:paraId="6ECFE07E">
            <w:r>
              <w:rPr>
                <w:rStyle w:val="10"/>
                <w:rFonts w:hint="eastAsia"/>
              </w:rPr>
              <w:t>总有效成分含量：</w:t>
            </w:r>
            <w:r>
              <w:rPr>
                <w:rFonts w:hint="eastAsia"/>
              </w:rPr>
              <w:t>1.2%</w:t>
            </w:r>
          </w:p>
        </w:tc>
      </w:tr>
      <w:tr w14:paraId="44A53CE1">
        <w:tblPrEx>
          <w:tblCellMar>
            <w:top w:w="0" w:type="dxa"/>
            <w:left w:w="0" w:type="dxa"/>
            <w:bottom w:w="0" w:type="dxa"/>
            <w:right w:w="0" w:type="dxa"/>
          </w:tblCellMar>
        </w:tblPrEx>
        <w:trPr>
          <w:wBefore w:w="0" w:type="auto"/>
          <w:tblCellSpacing w:w="0" w:type="dxa"/>
        </w:trPr>
        <w:tc>
          <w:tcPr>
            <w:tcW w:w="0" w:type="auto"/>
            <w:noWrap w:val="0"/>
            <w:vAlign w:val="center"/>
          </w:tcPr>
          <w:p w14:paraId="46C906ED">
            <w:r>
              <w:rPr>
                <w:rFonts w:hint="eastAsia"/>
              </w:rPr>
              <w:t xml:space="preserve">有效成分及其含量： </w:t>
            </w:r>
          </w:p>
          <w:p w14:paraId="08715D50">
            <w:r>
              <w:rPr>
                <w:rFonts w:hint="eastAsia"/>
              </w:rPr>
              <w:t xml:space="preserve">    氯氟醚菊酯1.2%    </w:t>
            </w:r>
          </w:p>
        </w:tc>
      </w:tr>
      <w:tr w14:paraId="4626D732">
        <w:tblPrEx>
          <w:tblCellMar>
            <w:top w:w="0" w:type="dxa"/>
            <w:left w:w="0" w:type="dxa"/>
            <w:bottom w:w="0" w:type="dxa"/>
            <w:right w:w="0" w:type="dxa"/>
          </w:tblCellMar>
        </w:tblPrEx>
        <w:trPr>
          <w:wBefore w:w="0" w:type="auto"/>
          <w:tblCellSpacing w:w="0" w:type="dxa"/>
        </w:trPr>
        <w:tc>
          <w:tcPr>
            <w:tcW w:w="0" w:type="auto"/>
            <w:noWrap w:val="0"/>
            <w:vAlign w:val="center"/>
          </w:tcPr>
          <w:p w14:paraId="03CE506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AB46F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E954CD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1247B1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FB25F7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79C06D3">
                  <w:r>
                    <w:rPr>
                      <w:rStyle w:val="11"/>
                      <w:rFonts w:hint="eastAsia"/>
                    </w:rPr>
                    <w:t>施用方式</w:t>
                  </w:r>
                </w:p>
              </w:tc>
            </w:tr>
            <w:tr w14:paraId="0CB690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CFDB3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8A2DA7">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989616">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AD3B35">
                  <w:r>
                    <w:rPr>
                      <w:rStyle w:val="11"/>
                      <w:rFonts w:hint="eastAsia"/>
                    </w:rPr>
                    <w:t>电热加温</w:t>
                  </w:r>
                </w:p>
              </w:tc>
            </w:tr>
          </w:tbl>
          <w:p w14:paraId="76207D0F">
            <w:pPr>
              <w:rPr>
                <w:rFonts w:ascii="Times New Roman" w:hAnsi="Times New Roman" w:cs="Times New Roman"/>
                <w:sz w:val="20"/>
                <w:szCs w:val="20"/>
              </w:rPr>
            </w:pPr>
          </w:p>
        </w:tc>
      </w:tr>
      <w:tr w14:paraId="744D3DE0">
        <w:tblPrEx>
          <w:tblCellMar>
            <w:top w:w="0" w:type="dxa"/>
            <w:left w:w="0" w:type="dxa"/>
            <w:bottom w:w="0" w:type="dxa"/>
            <w:right w:w="0" w:type="dxa"/>
          </w:tblCellMar>
        </w:tblPrEx>
        <w:trPr>
          <w:wBefore w:w="0" w:type="auto"/>
          <w:tblCellSpacing w:w="0" w:type="dxa"/>
        </w:trPr>
        <w:tc>
          <w:tcPr>
            <w:tcW w:w="0" w:type="auto"/>
            <w:noWrap w:val="0"/>
            <w:vAlign w:val="center"/>
          </w:tcPr>
          <w:p w14:paraId="7EFE5B5C">
            <w:r>
              <w:rPr>
                <w:rStyle w:val="10"/>
                <w:rFonts w:hint="eastAsia"/>
              </w:rPr>
              <w:t>使用技术要求:</w:t>
            </w:r>
            <w:r>
              <w:rPr>
                <w:rFonts w:hint="eastAsia"/>
              </w:rPr>
              <w:br w:type="textWrapping"/>
            </w:r>
            <w:r>
              <w:rPr>
                <w:rStyle w:val="11"/>
                <w:rFonts w:hint="eastAsia"/>
              </w:rPr>
              <w:t>1、取出药液瓶，旋开药瓶盖，慢慢向上取出，请勿碰芯棒，一手持蚊香器，一手拿住药液瓶，把瓶口对准蚊香器内螺纹旋紧，并检查芯棒是否居中；2、接通电源，拨通开关，指示灯亮，表示蚊香器开始工作；3、使用时请将蚊香器置于风口处，以充分发挥其驱蚊效果；4、通过透明窗，可以随时了解药液的消耗情况；5、药液用完后，请先切断电源，再更换一瓶新的药液。</w:t>
            </w:r>
          </w:p>
        </w:tc>
      </w:tr>
      <w:tr w14:paraId="0AF770DD">
        <w:tblPrEx>
          <w:tblCellMar>
            <w:top w:w="0" w:type="dxa"/>
            <w:left w:w="0" w:type="dxa"/>
            <w:bottom w:w="0" w:type="dxa"/>
            <w:right w:w="0" w:type="dxa"/>
          </w:tblCellMar>
        </w:tblPrEx>
        <w:trPr>
          <w:wBefore w:w="0" w:type="auto"/>
          <w:tblCellSpacing w:w="0" w:type="dxa"/>
        </w:trPr>
        <w:tc>
          <w:tcPr>
            <w:tcW w:w="0" w:type="auto"/>
            <w:noWrap w:val="0"/>
            <w:vAlign w:val="center"/>
          </w:tcPr>
          <w:p w14:paraId="351476A2">
            <w:r>
              <w:rPr>
                <w:rStyle w:val="10"/>
                <w:rFonts w:hint="eastAsia"/>
              </w:rPr>
              <w:t>产品性能:</w:t>
            </w:r>
            <w:r>
              <w:rPr>
                <w:rFonts w:hint="eastAsia"/>
              </w:rPr>
              <w:br w:type="textWrapping"/>
            </w:r>
            <w:r>
              <w:rPr>
                <w:rStyle w:val="11"/>
                <w:rFonts w:hint="eastAsia"/>
              </w:rPr>
              <w:t>本品选用氯氟醚菊酯为有效成分配制而成，同时专门设计了配套使用的电加热器，通电后，可均匀散发药液，既卫生又方便。适用于家庭、宾馆、办公等场所使用。</w:t>
            </w:r>
          </w:p>
        </w:tc>
      </w:tr>
      <w:tr w14:paraId="31659025">
        <w:tblPrEx>
          <w:tblCellMar>
            <w:top w:w="0" w:type="dxa"/>
            <w:left w:w="0" w:type="dxa"/>
            <w:bottom w:w="0" w:type="dxa"/>
            <w:right w:w="0" w:type="dxa"/>
          </w:tblCellMar>
        </w:tblPrEx>
        <w:trPr>
          <w:wBefore w:w="0" w:type="auto"/>
          <w:tblCellSpacing w:w="0" w:type="dxa"/>
        </w:trPr>
        <w:tc>
          <w:tcPr>
            <w:tcW w:w="0" w:type="auto"/>
            <w:noWrap w:val="0"/>
            <w:vAlign w:val="center"/>
          </w:tcPr>
          <w:p w14:paraId="054DDF0D">
            <w:r>
              <w:rPr>
                <w:rStyle w:val="10"/>
                <w:rFonts w:hint="eastAsia"/>
              </w:rPr>
              <w:t>注意事项：</w:t>
            </w:r>
            <w:r>
              <w:rPr>
                <w:rFonts w:hint="eastAsia"/>
              </w:rPr>
              <w:br w:type="textWrapping"/>
            </w:r>
            <w:r>
              <w:rPr>
                <w:rStyle w:val="11"/>
                <w:rFonts w:hint="eastAsia"/>
              </w:rPr>
              <w:t>1、使用前请仔细阅读使用方法及注意事项。 2、开启门窗使用时，请将加热器置于上风口。 3、请勿将电热蚊香液加热器置于运转的电风扇前。 4、使用时应放在儿童接触不到的地方。 5、电热蚊香液应远离火源，若长期不使用时，请将药液瓶从加热器中取出，加盖密封后置于低温阴暗处保存。使用时注意用电及防加盖密封后置于低温阴暗处保存。使用时注意用电及防火安全。 6、避免与皮肤、眼睛接触、勿与食物一起存放。 7、用后洗手。过敏者禁用。使用中有任何不良反应请及时就医。 8、仅用于室内。9、养蚕室及其附近禁用。</w:t>
            </w:r>
          </w:p>
        </w:tc>
      </w:tr>
      <w:tr w14:paraId="504D6EC0">
        <w:tblPrEx>
          <w:tblCellMar>
            <w:top w:w="0" w:type="dxa"/>
            <w:left w:w="0" w:type="dxa"/>
            <w:bottom w:w="0" w:type="dxa"/>
            <w:right w:w="0" w:type="dxa"/>
          </w:tblCellMar>
        </w:tblPrEx>
        <w:trPr>
          <w:wBefore w:w="0" w:type="auto"/>
          <w:tblCellSpacing w:w="0" w:type="dxa"/>
        </w:trPr>
        <w:tc>
          <w:tcPr>
            <w:tcW w:w="0" w:type="auto"/>
            <w:noWrap w:val="0"/>
            <w:vAlign w:val="center"/>
          </w:tcPr>
          <w:p w14:paraId="5F2EBDD5">
            <w:r>
              <w:rPr>
                <w:rStyle w:val="10"/>
                <w:rFonts w:hint="eastAsia"/>
              </w:rPr>
              <w:t>中毒急救措施：</w:t>
            </w:r>
            <w:r>
              <w:rPr>
                <w:rFonts w:hint="eastAsia"/>
              </w:rPr>
              <w:br w:type="textWrapping"/>
            </w:r>
            <w:r>
              <w:rPr>
                <w:rStyle w:val="11"/>
                <w:rFonts w:hint="eastAsia"/>
              </w:rPr>
              <w:t>若皮肤、眼睛接触到应用大量清水冲洗至少十五分钟并就医，若误食应立即到医院对症治疗。</w:t>
            </w:r>
          </w:p>
        </w:tc>
      </w:tr>
      <w:tr w14:paraId="23B81BB1">
        <w:tblPrEx>
          <w:tblCellMar>
            <w:top w:w="0" w:type="dxa"/>
            <w:left w:w="0" w:type="dxa"/>
            <w:bottom w:w="0" w:type="dxa"/>
            <w:right w:w="0" w:type="dxa"/>
          </w:tblCellMar>
        </w:tblPrEx>
        <w:trPr>
          <w:wBefore w:w="0" w:type="auto"/>
          <w:tblCellSpacing w:w="0" w:type="dxa"/>
        </w:trPr>
        <w:tc>
          <w:tcPr>
            <w:tcW w:w="0" w:type="auto"/>
            <w:noWrap w:val="0"/>
            <w:vAlign w:val="center"/>
          </w:tcPr>
          <w:p w14:paraId="2D790687">
            <w:r>
              <w:rPr>
                <w:rStyle w:val="10"/>
                <w:rFonts w:hint="eastAsia"/>
              </w:rPr>
              <w:t>储存和运输方法：</w:t>
            </w:r>
            <w:r>
              <w:rPr>
                <w:rFonts w:hint="eastAsia"/>
              </w:rPr>
              <w:br w:type="textWrapping"/>
            </w:r>
            <w:r>
              <w:rPr>
                <w:rStyle w:val="11"/>
                <w:rFonts w:hint="eastAsia"/>
              </w:rPr>
              <w:t>本品易应贮存在干燥、阴凉、通风、防雨处，远离火源或热源。置于儿童触及不到之处，并加锁。勿与食品、饮料、饲料、粮食等其他商品同贮同运。</w:t>
            </w:r>
          </w:p>
        </w:tc>
      </w:tr>
      <w:tr w14:paraId="2DF0C7C9">
        <w:tblPrEx>
          <w:tblCellMar>
            <w:top w:w="0" w:type="dxa"/>
            <w:left w:w="0" w:type="dxa"/>
            <w:bottom w:w="0" w:type="dxa"/>
            <w:right w:w="0" w:type="dxa"/>
          </w:tblCellMar>
        </w:tblPrEx>
        <w:trPr>
          <w:wBefore w:w="0" w:type="auto"/>
          <w:tblCellSpacing w:w="0" w:type="dxa"/>
        </w:trPr>
        <w:tc>
          <w:tcPr>
            <w:tcW w:w="0" w:type="auto"/>
            <w:noWrap w:val="0"/>
            <w:vAlign w:val="center"/>
          </w:tcPr>
          <w:p w14:paraId="43DE0EB8">
            <w:r>
              <w:rPr>
                <w:rStyle w:val="10"/>
                <w:rFonts w:hint="eastAsia"/>
              </w:rPr>
              <w:t>质量保证期：</w:t>
            </w:r>
            <w:r>
              <w:rPr>
                <w:rStyle w:val="11"/>
                <w:rFonts w:hint="eastAsia"/>
              </w:rPr>
              <w:t>3年</w:t>
            </w:r>
          </w:p>
        </w:tc>
      </w:tr>
      <w:tr w14:paraId="5C253F4A">
        <w:tblPrEx>
          <w:tblCellMar>
            <w:top w:w="0" w:type="dxa"/>
            <w:left w:w="0" w:type="dxa"/>
            <w:bottom w:w="0" w:type="dxa"/>
            <w:right w:w="0" w:type="dxa"/>
          </w:tblCellMar>
        </w:tblPrEx>
        <w:trPr>
          <w:wBefore w:w="0" w:type="auto"/>
          <w:tblCellSpacing w:w="0" w:type="dxa"/>
        </w:trPr>
        <w:tc>
          <w:tcPr>
            <w:tcW w:w="0" w:type="auto"/>
            <w:noWrap w:val="0"/>
            <w:vAlign w:val="center"/>
          </w:tcPr>
          <w:p w14:paraId="1C83C887">
            <w:r>
              <w:rPr>
                <w:rStyle w:val="10"/>
                <w:rFonts w:hint="eastAsia"/>
              </w:rPr>
              <w:t>备注：</w:t>
            </w:r>
          </w:p>
        </w:tc>
      </w:tr>
    </w:tbl>
    <w:p w14:paraId="22D47E9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853A650">
        <w:tblPrEx>
          <w:tblCellMar>
            <w:top w:w="0" w:type="dxa"/>
            <w:left w:w="0" w:type="dxa"/>
            <w:bottom w:w="0" w:type="dxa"/>
            <w:right w:w="0" w:type="dxa"/>
          </w:tblCellMar>
        </w:tblPrEx>
        <w:trPr>
          <w:wBefore w:w="0" w:type="auto"/>
          <w:tblCellSpacing w:w="0" w:type="dxa"/>
        </w:trPr>
        <w:tc>
          <w:tcPr>
            <w:tcW w:w="0" w:type="auto"/>
            <w:noWrap w:val="0"/>
            <w:vAlign w:val="center"/>
          </w:tcPr>
          <w:p w14:paraId="6247A291">
            <w:r>
              <w:rPr>
                <w:rStyle w:val="10"/>
                <w:rFonts w:hint="eastAsia"/>
              </w:rPr>
              <w:t>登记证号：</w:t>
            </w:r>
            <w:r>
              <w:rPr>
                <w:rFonts w:hint="eastAsia"/>
              </w:rPr>
              <w:t>PD20212140</w:t>
            </w:r>
          </w:p>
        </w:tc>
      </w:tr>
      <w:tr w14:paraId="50BA9711">
        <w:tblPrEx>
          <w:tblCellMar>
            <w:top w:w="0" w:type="dxa"/>
            <w:left w:w="0" w:type="dxa"/>
            <w:bottom w:w="0" w:type="dxa"/>
            <w:right w:w="0" w:type="dxa"/>
          </w:tblCellMar>
        </w:tblPrEx>
        <w:trPr>
          <w:wBefore w:w="0" w:type="auto"/>
          <w:tblCellSpacing w:w="0" w:type="dxa"/>
        </w:trPr>
        <w:tc>
          <w:tcPr>
            <w:tcW w:w="0" w:type="auto"/>
            <w:noWrap w:val="0"/>
            <w:vAlign w:val="center"/>
          </w:tcPr>
          <w:p w14:paraId="46B78CF8">
            <w:r>
              <w:rPr>
                <w:rStyle w:val="10"/>
                <w:rFonts w:hint="eastAsia"/>
              </w:rPr>
              <w:t>登记证持有人：</w:t>
            </w:r>
            <w:r>
              <w:rPr>
                <w:rFonts w:hint="eastAsia"/>
              </w:rPr>
              <w:t>山东绿邦作物科学股份有限公司</w:t>
            </w:r>
          </w:p>
        </w:tc>
      </w:tr>
      <w:tr w14:paraId="34C6D95D">
        <w:tblPrEx>
          <w:tblCellMar>
            <w:top w:w="0" w:type="dxa"/>
            <w:left w:w="0" w:type="dxa"/>
            <w:bottom w:w="0" w:type="dxa"/>
            <w:right w:w="0" w:type="dxa"/>
          </w:tblCellMar>
        </w:tblPrEx>
        <w:trPr>
          <w:wBefore w:w="0" w:type="auto"/>
          <w:tblCellSpacing w:w="0" w:type="dxa"/>
        </w:trPr>
        <w:tc>
          <w:tcPr>
            <w:tcW w:w="0" w:type="auto"/>
            <w:noWrap w:val="0"/>
            <w:vAlign w:val="center"/>
          </w:tcPr>
          <w:p w14:paraId="4174654E">
            <w:r>
              <w:rPr>
                <w:rStyle w:val="10"/>
                <w:rFonts w:hint="eastAsia"/>
              </w:rPr>
              <w:t>农药名称：</w:t>
            </w:r>
            <w:r>
              <w:rPr>
                <w:rFonts w:hint="eastAsia"/>
              </w:rPr>
              <w:t>乙草·滴辛酯</w:t>
            </w:r>
          </w:p>
        </w:tc>
      </w:tr>
      <w:tr w14:paraId="7182D32D">
        <w:tblPrEx>
          <w:tblCellMar>
            <w:top w:w="0" w:type="dxa"/>
            <w:left w:w="0" w:type="dxa"/>
            <w:bottom w:w="0" w:type="dxa"/>
            <w:right w:w="0" w:type="dxa"/>
          </w:tblCellMar>
        </w:tblPrEx>
        <w:trPr>
          <w:wBefore w:w="0" w:type="auto"/>
          <w:tblCellSpacing w:w="0" w:type="dxa"/>
        </w:trPr>
        <w:tc>
          <w:tcPr>
            <w:tcW w:w="0" w:type="auto"/>
            <w:noWrap w:val="0"/>
            <w:vAlign w:val="center"/>
          </w:tcPr>
          <w:p w14:paraId="240B9FD2">
            <w:r>
              <w:rPr>
                <w:rStyle w:val="10"/>
                <w:rFonts w:hint="eastAsia"/>
              </w:rPr>
              <w:t>剂型：</w:t>
            </w:r>
            <w:r>
              <w:rPr>
                <w:rFonts w:hint="eastAsia"/>
              </w:rPr>
              <w:t>乳油</w:t>
            </w:r>
          </w:p>
        </w:tc>
      </w:tr>
      <w:tr w14:paraId="574CB86F">
        <w:tblPrEx>
          <w:tblCellMar>
            <w:top w:w="0" w:type="dxa"/>
            <w:left w:w="0" w:type="dxa"/>
            <w:bottom w:w="0" w:type="dxa"/>
            <w:right w:w="0" w:type="dxa"/>
          </w:tblCellMar>
        </w:tblPrEx>
        <w:trPr>
          <w:wBefore w:w="0" w:type="auto"/>
          <w:tblCellSpacing w:w="0" w:type="dxa"/>
        </w:trPr>
        <w:tc>
          <w:tcPr>
            <w:tcW w:w="0" w:type="auto"/>
            <w:noWrap w:val="0"/>
            <w:vAlign w:val="center"/>
          </w:tcPr>
          <w:p w14:paraId="20AF53E2">
            <w:r>
              <w:rPr>
                <w:rStyle w:val="10"/>
                <w:rFonts w:hint="eastAsia"/>
              </w:rPr>
              <w:t>毒性及其标识：</w:t>
            </w:r>
            <w:r>
              <w:rPr>
                <w:rFonts w:hint="eastAsia"/>
              </w:rPr>
              <w:t xml:space="preserve"> </w:t>
            </w:r>
            <w:r>
              <w:rPr>
                <w:lang/>
              </w:rPr>
              <w:drawing>
                <wp:inline distT="0" distB="0" distL="114300" distR="114300">
                  <wp:extent cx="476250" cy="323850"/>
                  <wp:effectExtent l="0" t="0" r="0" b="0"/>
                  <wp:docPr id="98" name="图片 9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2BF7EDD">
        <w:tblPrEx>
          <w:tblCellMar>
            <w:top w:w="0" w:type="dxa"/>
            <w:left w:w="0" w:type="dxa"/>
            <w:bottom w:w="0" w:type="dxa"/>
            <w:right w:w="0" w:type="dxa"/>
          </w:tblCellMar>
        </w:tblPrEx>
        <w:trPr>
          <w:wBefore w:w="0" w:type="auto"/>
          <w:tblCellSpacing w:w="0" w:type="dxa"/>
        </w:trPr>
        <w:tc>
          <w:tcPr>
            <w:tcW w:w="0" w:type="auto"/>
            <w:noWrap w:val="0"/>
            <w:vAlign w:val="center"/>
          </w:tcPr>
          <w:p w14:paraId="59BD5879">
            <w:r>
              <w:rPr>
                <w:rStyle w:val="10"/>
                <w:rFonts w:hint="eastAsia"/>
              </w:rPr>
              <w:t>总有效成分含量：</w:t>
            </w:r>
            <w:r>
              <w:rPr>
                <w:rFonts w:hint="eastAsia"/>
              </w:rPr>
              <w:t>89.7%</w:t>
            </w:r>
          </w:p>
        </w:tc>
      </w:tr>
      <w:tr w14:paraId="5499EFE7">
        <w:tblPrEx>
          <w:tblCellMar>
            <w:top w:w="0" w:type="dxa"/>
            <w:left w:w="0" w:type="dxa"/>
            <w:bottom w:w="0" w:type="dxa"/>
            <w:right w:w="0" w:type="dxa"/>
          </w:tblCellMar>
        </w:tblPrEx>
        <w:trPr>
          <w:wBefore w:w="0" w:type="auto"/>
          <w:tblCellSpacing w:w="0" w:type="dxa"/>
        </w:trPr>
        <w:tc>
          <w:tcPr>
            <w:tcW w:w="0" w:type="auto"/>
            <w:noWrap w:val="0"/>
            <w:vAlign w:val="center"/>
          </w:tcPr>
          <w:p w14:paraId="62DBD638">
            <w:r>
              <w:rPr>
                <w:rFonts w:hint="eastAsia"/>
              </w:rPr>
              <w:t xml:space="preserve">有效成分及其含量： </w:t>
            </w:r>
          </w:p>
          <w:p w14:paraId="40F5F099">
            <w:r>
              <w:rPr>
                <w:rFonts w:hint="eastAsia"/>
              </w:rPr>
              <w:t xml:space="preserve">    乙草胺69%    2,4-滴异辛酯20.7%    </w:t>
            </w:r>
          </w:p>
        </w:tc>
      </w:tr>
      <w:tr w14:paraId="5E3A0A10">
        <w:tblPrEx>
          <w:tblCellMar>
            <w:top w:w="0" w:type="dxa"/>
            <w:left w:w="0" w:type="dxa"/>
            <w:bottom w:w="0" w:type="dxa"/>
            <w:right w:w="0" w:type="dxa"/>
          </w:tblCellMar>
        </w:tblPrEx>
        <w:trPr>
          <w:wBefore w:w="0" w:type="auto"/>
          <w:tblCellSpacing w:w="0" w:type="dxa"/>
        </w:trPr>
        <w:tc>
          <w:tcPr>
            <w:tcW w:w="0" w:type="auto"/>
            <w:noWrap w:val="0"/>
            <w:vAlign w:val="center"/>
          </w:tcPr>
          <w:p w14:paraId="15D9F70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DF90C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0950E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5366AF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631CB1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1590D29">
                  <w:r>
                    <w:rPr>
                      <w:rStyle w:val="11"/>
                      <w:rFonts w:hint="eastAsia"/>
                    </w:rPr>
                    <w:t>施用方式</w:t>
                  </w:r>
                </w:p>
              </w:tc>
            </w:tr>
            <w:tr w14:paraId="215025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36A24CB">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0C1BF3">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DFA0E7">
                  <w:r>
                    <w:rPr>
                      <w:rStyle w:val="11"/>
                      <w:rFonts w:hint="eastAsia"/>
                    </w:rPr>
                    <w:t>120-160毫升/亩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B738C9">
                  <w:r>
                    <w:rPr>
                      <w:rStyle w:val="11"/>
                      <w:rFonts w:hint="eastAsia"/>
                    </w:rPr>
                    <w:t>播后苗前土壤喷雾</w:t>
                  </w:r>
                </w:p>
              </w:tc>
            </w:tr>
          </w:tbl>
          <w:p w14:paraId="31ABEA3B">
            <w:pPr>
              <w:rPr>
                <w:rFonts w:ascii="Times New Roman" w:hAnsi="Times New Roman" w:cs="Times New Roman"/>
                <w:sz w:val="20"/>
                <w:szCs w:val="20"/>
              </w:rPr>
            </w:pPr>
          </w:p>
        </w:tc>
      </w:tr>
      <w:tr w14:paraId="5D45E9C8">
        <w:tblPrEx>
          <w:tblCellMar>
            <w:top w:w="0" w:type="dxa"/>
            <w:left w:w="0" w:type="dxa"/>
            <w:bottom w:w="0" w:type="dxa"/>
            <w:right w:w="0" w:type="dxa"/>
          </w:tblCellMar>
        </w:tblPrEx>
        <w:trPr>
          <w:wBefore w:w="0" w:type="auto"/>
          <w:tblCellSpacing w:w="0" w:type="dxa"/>
        </w:trPr>
        <w:tc>
          <w:tcPr>
            <w:tcW w:w="0" w:type="auto"/>
            <w:noWrap w:val="0"/>
            <w:vAlign w:val="center"/>
          </w:tcPr>
          <w:p w14:paraId="000F1469">
            <w:r>
              <w:rPr>
                <w:rStyle w:val="10"/>
                <w:rFonts w:hint="eastAsia"/>
              </w:rPr>
              <w:t>使用技术要求:</w:t>
            </w:r>
            <w:r>
              <w:rPr>
                <w:rFonts w:hint="eastAsia"/>
              </w:rPr>
              <w:br w:type="textWrapping"/>
            </w:r>
            <w:r>
              <w:rPr>
                <w:rStyle w:val="11"/>
                <w:rFonts w:hint="eastAsia"/>
              </w:rPr>
              <w:t xml:space="preserve">作物(或范围) 防治对象 制剂用药量 使用方法 春玉米田 一年生杂草 120-160毫升/亩 播后苗前土壤喷雾 1、每季最多使用1次。2、本品于玉米播后苗前，杂草出土前，土壤喷雾施药，选无风天气，按亩需药量对水30～40升，全田均匀喷雾。施药时避免药液漂移到邻近的敏感作物田。3、大风天或预计1小时内有降雨，请勿使用。 </w:t>
            </w:r>
          </w:p>
        </w:tc>
      </w:tr>
      <w:tr w14:paraId="3489F513">
        <w:tblPrEx>
          <w:tblCellMar>
            <w:top w:w="0" w:type="dxa"/>
            <w:left w:w="0" w:type="dxa"/>
            <w:bottom w:w="0" w:type="dxa"/>
            <w:right w:w="0" w:type="dxa"/>
          </w:tblCellMar>
        </w:tblPrEx>
        <w:trPr>
          <w:wBefore w:w="0" w:type="auto"/>
          <w:tblCellSpacing w:w="0" w:type="dxa"/>
        </w:trPr>
        <w:tc>
          <w:tcPr>
            <w:tcW w:w="0" w:type="auto"/>
            <w:noWrap w:val="0"/>
            <w:vAlign w:val="center"/>
          </w:tcPr>
          <w:p w14:paraId="0F808585">
            <w:r>
              <w:rPr>
                <w:rStyle w:val="10"/>
                <w:rFonts w:hint="eastAsia"/>
              </w:rPr>
              <w:t>产品性能:</w:t>
            </w:r>
            <w:r>
              <w:rPr>
                <w:rFonts w:hint="eastAsia"/>
              </w:rPr>
              <w:br w:type="textWrapping"/>
            </w:r>
            <w:r>
              <w:rPr>
                <w:rStyle w:val="11"/>
                <w:rFonts w:hint="eastAsia"/>
              </w:rPr>
              <w:t xml:space="preserve">本品是由乙草胺、2，4-滴异辛酯复配而成。乙草胺为选择性芽前除草剂，2，4-滴异辛酯为苯氧羧酸类激素型选择性除草剂，是2，4-滴丁酯优良换代产品。 春玉米播后苗前封闭使用，可防除稗草、狗尾草、马唐、牛筋草、反枝苋、刺儿菜、鸭跖草、苣荬菜、苍耳、苘麻等一年生杂草。 </w:t>
            </w:r>
          </w:p>
        </w:tc>
      </w:tr>
      <w:tr w14:paraId="143A0CC6">
        <w:tblPrEx>
          <w:tblCellMar>
            <w:top w:w="0" w:type="dxa"/>
            <w:left w:w="0" w:type="dxa"/>
            <w:bottom w:w="0" w:type="dxa"/>
            <w:right w:w="0" w:type="dxa"/>
          </w:tblCellMar>
        </w:tblPrEx>
        <w:trPr>
          <w:wBefore w:w="0" w:type="auto"/>
          <w:tblCellSpacing w:w="0" w:type="dxa"/>
        </w:trPr>
        <w:tc>
          <w:tcPr>
            <w:tcW w:w="0" w:type="auto"/>
            <w:noWrap w:val="0"/>
            <w:vAlign w:val="center"/>
          </w:tcPr>
          <w:p w14:paraId="69241563">
            <w:r>
              <w:rPr>
                <w:rStyle w:val="10"/>
                <w:rFonts w:hint="eastAsia"/>
              </w:rPr>
              <w:t>注意事项：</w:t>
            </w:r>
            <w:r>
              <w:rPr>
                <w:rFonts w:hint="eastAsia"/>
              </w:rPr>
              <w:br w:type="textWrapping"/>
            </w:r>
            <w:r>
              <w:rPr>
                <w:rStyle w:val="11"/>
                <w:rFonts w:hint="eastAsia"/>
              </w:rPr>
              <w:t>1、与大豆等其他作物间套或混种的春玉米田禁用。2、本品受土壤水分、有机质含量和质地影响，土壤干旱、有机质含量高、质地重的地块应根据具体情况在登记用量范围内适当增加用药量和兑水量。 3、该产品对眼睛有刺激性，使用时避免接触眼睛，穿戴长衣、长裤、帽子、口罩、手套等防护措施；此时不得进食、吸烟、饮水等，以防误食引起中毒；施药后洗干净手脸等。4、水产养殖区、河塘等水体附近禁用，禁止在河塘等水域清洗施药器具，清洗器具的废水不能排入河流、池塘等水源。5、赤眼蜂等天敌放飞区域禁用，地下饮用水、水源地禁用。6、鸟类保护区、蚕室及桑园附近禁用。7、禁止儿童、孕妇及哺乳期妇女接触本品。8、用过的容器应妥善处理，不可做他用，也不可随意丢弃。</w:t>
            </w:r>
          </w:p>
        </w:tc>
      </w:tr>
      <w:tr w14:paraId="1350C35B">
        <w:tblPrEx>
          <w:tblCellMar>
            <w:top w:w="0" w:type="dxa"/>
            <w:left w:w="0" w:type="dxa"/>
            <w:bottom w:w="0" w:type="dxa"/>
            <w:right w:w="0" w:type="dxa"/>
          </w:tblCellMar>
        </w:tblPrEx>
        <w:trPr>
          <w:wBefore w:w="0" w:type="auto"/>
          <w:tblCellSpacing w:w="0" w:type="dxa"/>
        </w:trPr>
        <w:tc>
          <w:tcPr>
            <w:tcW w:w="0" w:type="auto"/>
            <w:noWrap w:val="0"/>
            <w:vAlign w:val="center"/>
          </w:tcPr>
          <w:p w14:paraId="4E097D0D">
            <w:r>
              <w:rPr>
                <w:rStyle w:val="10"/>
                <w:rFonts w:hint="eastAsia"/>
              </w:rPr>
              <w:t>中毒急救措施：</w:t>
            </w:r>
            <w:r>
              <w:rPr>
                <w:rFonts w:hint="eastAsia"/>
              </w:rPr>
              <w:br w:type="textWrapping"/>
            </w:r>
            <w:r>
              <w:rPr>
                <w:rStyle w:val="11"/>
                <w:rFonts w:hint="eastAsia"/>
              </w:rPr>
              <w:t>本品为对眼睛和皮肤有刺激作用。不慎吸入，应将病人移至空气流通处。不慎溅入眼睛中，用大量清水冲洗至少15分钟，仍有不适时，就医。皮肤接触，用清水及肥皂洗干净。误服，立即携此标签将病人送医院，对症诊治。无特效解毒剂。</w:t>
            </w:r>
          </w:p>
        </w:tc>
      </w:tr>
      <w:tr w14:paraId="43CE8CA4">
        <w:tblPrEx>
          <w:tblCellMar>
            <w:top w:w="0" w:type="dxa"/>
            <w:left w:w="0" w:type="dxa"/>
            <w:bottom w:w="0" w:type="dxa"/>
            <w:right w:w="0" w:type="dxa"/>
          </w:tblCellMar>
        </w:tblPrEx>
        <w:trPr>
          <w:wBefore w:w="0" w:type="auto"/>
          <w:tblCellSpacing w:w="0" w:type="dxa"/>
        </w:trPr>
        <w:tc>
          <w:tcPr>
            <w:tcW w:w="0" w:type="auto"/>
            <w:noWrap w:val="0"/>
            <w:vAlign w:val="center"/>
          </w:tcPr>
          <w:p w14:paraId="7EB3A271">
            <w:r>
              <w:rPr>
                <w:rStyle w:val="10"/>
                <w:rFonts w:hint="eastAsia"/>
              </w:rPr>
              <w:t>储存和运输方法：</w:t>
            </w:r>
            <w:r>
              <w:rPr>
                <w:rFonts w:hint="eastAsia"/>
              </w:rPr>
              <w:br w:type="textWrapping"/>
            </w:r>
            <w:r>
              <w:rPr>
                <w:rStyle w:val="11"/>
                <w:rFonts w:hint="eastAsia"/>
              </w:rPr>
              <w:t>1、本品应贮存在阴凉、干燥、通风、防雨处，远离火源或热源；夏季应加强仓库通风，最好早晚运输，避免高温；2、置于儿童、无关人员及动物接触不到的地方，并加锁；3、不得与食物、饮料、种子、饲料等物品同贮同运，运输时要防潮防晒；4、装卸时，注意检查包装是否密封完整，轻拿轻放。</w:t>
            </w:r>
          </w:p>
        </w:tc>
      </w:tr>
      <w:tr w14:paraId="4ED2DA3E">
        <w:tblPrEx>
          <w:tblCellMar>
            <w:top w:w="0" w:type="dxa"/>
            <w:left w:w="0" w:type="dxa"/>
            <w:bottom w:w="0" w:type="dxa"/>
            <w:right w:w="0" w:type="dxa"/>
          </w:tblCellMar>
        </w:tblPrEx>
        <w:trPr>
          <w:wBefore w:w="0" w:type="auto"/>
          <w:tblCellSpacing w:w="0" w:type="dxa"/>
        </w:trPr>
        <w:tc>
          <w:tcPr>
            <w:tcW w:w="0" w:type="auto"/>
            <w:noWrap w:val="0"/>
            <w:vAlign w:val="center"/>
          </w:tcPr>
          <w:p w14:paraId="787CCC22">
            <w:r>
              <w:rPr>
                <w:rStyle w:val="10"/>
                <w:rFonts w:hint="eastAsia"/>
              </w:rPr>
              <w:t>质量保证期：</w:t>
            </w:r>
            <w:r>
              <w:rPr>
                <w:rStyle w:val="11"/>
                <w:rFonts w:hint="eastAsia"/>
              </w:rPr>
              <w:t>2年</w:t>
            </w:r>
          </w:p>
        </w:tc>
      </w:tr>
      <w:tr w14:paraId="58BB144F">
        <w:tblPrEx>
          <w:tblCellMar>
            <w:top w:w="0" w:type="dxa"/>
            <w:left w:w="0" w:type="dxa"/>
            <w:bottom w:w="0" w:type="dxa"/>
            <w:right w:w="0" w:type="dxa"/>
          </w:tblCellMar>
        </w:tblPrEx>
        <w:trPr>
          <w:wBefore w:w="0" w:type="auto"/>
          <w:tblCellSpacing w:w="0" w:type="dxa"/>
        </w:trPr>
        <w:tc>
          <w:tcPr>
            <w:tcW w:w="0" w:type="auto"/>
            <w:noWrap w:val="0"/>
            <w:vAlign w:val="center"/>
          </w:tcPr>
          <w:p w14:paraId="197A43C0">
            <w:r>
              <w:rPr>
                <w:rStyle w:val="10"/>
                <w:rFonts w:hint="eastAsia"/>
              </w:rPr>
              <w:t>备注：</w:t>
            </w:r>
          </w:p>
        </w:tc>
      </w:tr>
    </w:tbl>
    <w:p w14:paraId="69FA72F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6C6C71">
        <w:tblPrEx>
          <w:tblCellMar>
            <w:top w:w="0" w:type="dxa"/>
            <w:left w:w="0" w:type="dxa"/>
            <w:bottom w:w="0" w:type="dxa"/>
            <w:right w:w="0" w:type="dxa"/>
          </w:tblCellMar>
        </w:tblPrEx>
        <w:trPr>
          <w:wBefore w:w="0" w:type="auto"/>
          <w:tblCellSpacing w:w="0" w:type="dxa"/>
        </w:trPr>
        <w:tc>
          <w:tcPr>
            <w:tcW w:w="0" w:type="auto"/>
            <w:noWrap w:val="0"/>
            <w:vAlign w:val="center"/>
          </w:tcPr>
          <w:p w14:paraId="78BC566B">
            <w:r>
              <w:rPr>
                <w:rStyle w:val="10"/>
                <w:rFonts w:hint="eastAsia"/>
              </w:rPr>
              <w:t>登记证号：</w:t>
            </w:r>
            <w:r>
              <w:rPr>
                <w:rFonts w:hint="eastAsia"/>
              </w:rPr>
              <w:t>PD20211855</w:t>
            </w:r>
          </w:p>
        </w:tc>
      </w:tr>
      <w:tr w14:paraId="36FB6DC4">
        <w:tblPrEx>
          <w:tblCellMar>
            <w:top w:w="0" w:type="dxa"/>
            <w:left w:w="0" w:type="dxa"/>
            <w:bottom w:w="0" w:type="dxa"/>
            <w:right w:w="0" w:type="dxa"/>
          </w:tblCellMar>
        </w:tblPrEx>
        <w:trPr>
          <w:wBefore w:w="0" w:type="auto"/>
          <w:tblCellSpacing w:w="0" w:type="dxa"/>
        </w:trPr>
        <w:tc>
          <w:tcPr>
            <w:tcW w:w="0" w:type="auto"/>
            <w:noWrap w:val="0"/>
            <w:vAlign w:val="center"/>
          </w:tcPr>
          <w:p w14:paraId="585D933C">
            <w:r>
              <w:rPr>
                <w:rStyle w:val="10"/>
                <w:rFonts w:hint="eastAsia"/>
              </w:rPr>
              <w:t>登记证持有人：</w:t>
            </w:r>
            <w:r>
              <w:rPr>
                <w:rFonts w:hint="eastAsia"/>
              </w:rPr>
              <w:t>山东万豪化工股份有限公司</w:t>
            </w:r>
          </w:p>
        </w:tc>
      </w:tr>
      <w:tr w14:paraId="6922FE7C">
        <w:tblPrEx>
          <w:tblCellMar>
            <w:top w:w="0" w:type="dxa"/>
            <w:left w:w="0" w:type="dxa"/>
            <w:bottom w:w="0" w:type="dxa"/>
            <w:right w:w="0" w:type="dxa"/>
          </w:tblCellMar>
        </w:tblPrEx>
        <w:trPr>
          <w:wBefore w:w="0" w:type="auto"/>
          <w:tblCellSpacing w:w="0" w:type="dxa"/>
        </w:trPr>
        <w:tc>
          <w:tcPr>
            <w:tcW w:w="0" w:type="auto"/>
            <w:noWrap w:val="0"/>
            <w:vAlign w:val="center"/>
          </w:tcPr>
          <w:p w14:paraId="07B70CA8">
            <w:r>
              <w:rPr>
                <w:rStyle w:val="10"/>
                <w:rFonts w:hint="eastAsia"/>
              </w:rPr>
              <w:t>农药名称：</w:t>
            </w:r>
            <w:r>
              <w:rPr>
                <w:rFonts w:hint="eastAsia"/>
              </w:rPr>
              <w:t>阿维·乙螨唑</w:t>
            </w:r>
          </w:p>
        </w:tc>
      </w:tr>
      <w:tr w14:paraId="5E7971F1">
        <w:tblPrEx>
          <w:tblCellMar>
            <w:top w:w="0" w:type="dxa"/>
            <w:left w:w="0" w:type="dxa"/>
            <w:bottom w:w="0" w:type="dxa"/>
            <w:right w:w="0" w:type="dxa"/>
          </w:tblCellMar>
        </w:tblPrEx>
        <w:trPr>
          <w:wBefore w:w="0" w:type="auto"/>
          <w:tblCellSpacing w:w="0" w:type="dxa"/>
        </w:trPr>
        <w:tc>
          <w:tcPr>
            <w:tcW w:w="0" w:type="auto"/>
            <w:noWrap w:val="0"/>
            <w:vAlign w:val="center"/>
          </w:tcPr>
          <w:p w14:paraId="7DD5E627">
            <w:r>
              <w:rPr>
                <w:rStyle w:val="10"/>
                <w:rFonts w:hint="eastAsia"/>
              </w:rPr>
              <w:t>剂型：</w:t>
            </w:r>
            <w:r>
              <w:rPr>
                <w:rFonts w:hint="eastAsia"/>
              </w:rPr>
              <w:t>悬浮剂</w:t>
            </w:r>
          </w:p>
        </w:tc>
      </w:tr>
      <w:tr w14:paraId="1F66561B">
        <w:tblPrEx>
          <w:tblCellMar>
            <w:top w:w="0" w:type="dxa"/>
            <w:left w:w="0" w:type="dxa"/>
            <w:bottom w:w="0" w:type="dxa"/>
            <w:right w:w="0" w:type="dxa"/>
          </w:tblCellMar>
        </w:tblPrEx>
        <w:trPr>
          <w:wBefore w:w="0" w:type="auto"/>
          <w:tblCellSpacing w:w="0" w:type="dxa"/>
        </w:trPr>
        <w:tc>
          <w:tcPr>
            <w:tcW w:w="0" w:type="auto"/>
            <w:noWrap w:val="0"/>
            <w:vAlign w:val="center"/>
          </w:tcPr>
          <w:p w14:paraId="47856D6E">
            <w:r>
              <w:rPr>
                <w:rStyle w:val="10"/>
                <w:rFonts w:hint="eastAsia"/>
              </w:rPr>
              <w:t>毒性及其标识：</w:t>
            </w:r>
            <w:r>
              <w:rPr>
                <w:rFonts w:hint="eastAsia"/>
              </w:rPr>
              <w:t xml:space="preserve"> </w:t>
            </w:r>
            <w:r>
              <w:rPr>
                <w:lang/>
              </w:rPr>
              <w:drawing>
                <wp:inline distT="0" distB="0" distL="114300" distR="114300">
                  <wp:extent cx="476250" cy="323850"/>
                  <wp:effectExtent l="0" t="0" r="0" b="0"/>
                  <wp:docPr id="99" name="图片 9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4A60ADFD">
        <w:tblPrEx>
          <w:tblCellMar>
            <w:top w:w="0" w:type="dxa"/>
            <w:left w:w="0" w:type="dxa"/>
            <w:bottom w:w="0" w:type="dxa"/>
            <w:right w:w="0" w:type="dxa"/>
          </w:tblCellMar>
        </w:tblPrEx>
        <w:trPr>
          <w:wBefore w:w="0" w:type="auto"/>
          <w:tblCellSpacing w:w="0" w:type="dxa"/>
        </w:trPr>
        <w:tc>
          <w:tcPr>
            <w:tcW w:w="0" w:type="auto"/>
            <w:noWrap w:val="0"/>
            <w:vAlign w:val="center"/>
          </w:tcPr>
          <w:p w14:paraId="297556F5">
            <w:r>
              <w:rPr>
                <w:rStyle w:val="10"/>
                <w:rFonts w:hint="eastAsia"/>
              </w:rPr>
              <w:t>总有效成分含量：</w:t>
            </w:r>
            <w:r>
              <w:rPr>
                <w:rFonts w:hint="eastAsia"/>
              </w:rPr>
              <w:t>25%</w:t>
            </w:r>
          </w:p>
        </w:tc>
      </w:tr>
      <w:tr w14:paraId="58BD123B">
        <w:tblPrEx>
          <w:tblCellMar>
            <w:top w:w="0" w:type="dxa"/>
            <w:left w:w="0" w:type="dxa"/>
            <w:bottom w:w="0" w:type="dxa"/>
            <w:right w:w="0" w:type="dxa"/>
          </w:tblCellMar>
        </w:tblPrEx>
        <w:trPr>
          <w:wBefore w:w="0" w:type="auto"/>
          <w:tblCellSpacing w:w="0" w:type="dxa"/>
        </w:trPr>
        <w:tc>
          <w:tcPr>
            <w:tcW w:w="0" w:type="auto"/>
            <w:noWrap w:val="0"/>
            <w:vAlign w:val="center"/>
          </w:tcPr>
          <w:p w14:paraId="5218C8ED">
            <w:r>
              <w:rPr>
                <w:rFonts w:hint="eastAsia"/>
              </w:rPr>
              <w:t xml:space="preserve">有效成分及其含量： </w:t>
            </w:r>
          </w:p>
          <w:p w14:paraId="5E95ED95">
            <w:r>
              <w:rPr>
                <w:rFonts w:hint="eastAsia"/>
              </w:rPr>
              <w:t xml:space="preserve">    阿维菌素5%    乙螨唑20%    </w:t>
            </w:r>
          </w:p>
        </w:tc>
      </w:tr>
      <w:tr w14:paraId="646DEE43">
        <w:tblPrEx>
          <w:tblCellMar>
            <w:top w:w="0" w:type="dxa"/>
            <w:left w:w="0" w:type="dxa"/>
            <w:bottom w:w="0" w:type="dxa"/>
            <w:right w:w="0" w:type="dxa"/>
          </w:tblCellMar>
        </w:tblPrEx>
        <w:trPr>
          <w:wBefore w:w="0" w:type="auto"/>
          <w:tblCellSpacing w:w="0" w:type="dxa"/>
        </w:trPr>
        <w:tc>
          <w:tcPr>
            <w:tcW w:w="0" w:type="auto"/>
            <w:noWrap w:val="0"/>
            <w:vAlign w:val="center"/>
          </w:tcPr>
          <w:p w14:paraId="7360737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C5F50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6A630E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77D3CE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E00108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A72B4E3">
                  <w:r>
                    <w:rPr>
                      <w:rStyle w:val="11"/>
                      <w:rFonts w:hint="eastAsia"/>
                    </w:rPr>
                    <w:t>施用方式</w:t>
                  </w:r>
                </w:p>
              </w:tc>
            </w:tr>
            <w:tr w14:paraId="4A4282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6371F99">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F8E048">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174EB4">
                  <w:r>
                    <w:rPr>
                      <w:rStyle w:val="11"/>
                      <w:rFonts w:hint="eastAsia"/>
                    </w:rPr>
                    <w:t>6000-8000倍液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637186">
                  <w:r>
                    <w:rPr>
                      <w:rStyle w:val="11"/>
                      <w:rFonts w:hint="eastAsia"/>
                    </w:rPr>
                    <w:t>喷雾</w:t>
                  </w:r>
                </w:p>
              </w:tc>
            </w:tr>
          </w:tbl>
          <w:p w14:paraId="753AE2CB">
            <w:pPr>
              <w:rPr>
                <w:rFonts w:ascii="Times New Roman" w:hAnsi="Times New Roman" w:cs="Times New Roman"/>
                <w:sz w:val="20"/>
                <w:szCs w:val="20"/>
              </w:rPr>
            </w:pPr>
          </w:p>
        </w:tc>
      </w:tr>
      <w:tr w14:paraId="79F4A241">
        <w:tblPrEx>
          <w:tblCellMar>
            <w:top w:w="0" w:type="dxa"/>
            <w:left w:w="0" w:type="dxa"/>
            <w:bottom w:w="0" w:type="dxa"/>
            <w:right w:w="0" w:type="dxa"/>
          </w:tblCellMar>
        </w:tblPrEx>
        <w:trPr>
          <w:wBefore w:w="0" w:type="auto"/>
          <w:tblCellSpacing w:w="0" w:type="dxa"/>
        </w:trPr>
        <w:tc>
          <w:tcPr>
            <w:tcW w:w="0" w:type="auto"/>
            <w:noWrap w:val="0"/>
            <w:vAlign w:val="center"/>
          </w:tcPr>
          <w:p w14:paraId="42FAF7DF">
            <w:r>
              <w:rPr>
                <w:rStyle w:val="10"/>
                <w:rFonts w:hint="eastAsia"/>
              </w:rPr>
              <w:t>使用技术要求:</w:t>
            </w:r>
            <w:r>
              <w:rPr>
                <w:rFonts w:hint="eastAsia"/>
              </w:rPr>
              <w:br w:type="textWrapping"/>
            </w:r>
            <w:r>
              <w:rPr>
                <w:rStyle w:val="11"/>
                <w:rFonts w:hint="eastAsia"/>
              </w:rPr>
              <w:t>1、在红蜘蛛发生初期至始盛期，均匀、周到喷雾。 2、大风天或预计1小时降雨请勿施药。 3、每季作物使用1次，安全间隔期30天。</w:t>
            </w:r>
          </w:p>
        </w:tc>
      </w:tr>
      <w:tr w14:paraId="56C6B4E9">
        <w:tblPrEx>
          <w:tblCellMar>
            <w:top w:w="0" w:type="dxa"/>
            <w:left w:w="0" w:type="dxa"/>
            <w:bottom w:w="0" w:type="dxa"/>
            <w:right w:w="0" w:type="dxa"/>
          </w:tblCellMar>
        </w:tblPrEx>
        <w:trPr>
          <w:wBefore w:w="0" w:type="auto"/>
          <w:tblCellSpacing w:w="0" w:type="dxa"/>
        </w:trPr>
        <w:tc>
          <w:tcPr>
            <w:tcW w:w="0" w:type="auto"/>
            <w:noWrap w:val="0"/>
            <w:vAlign w:val="center"/>
          </w:tcPr>
          <w:p w14:paraId="27D3F28C">
            <w:r>
              <w:rPr>
                <w:rStyle w:val="10"/>
                <w:rFonts w:hint="eastAsia"/>
              </w:rPr>
              <w:t>产品性能:</w:t>
            </w:r>
            <w:r>
              <w:rPr>
                <w:rFonts w:hint="eastAsia"/>
              </w:rPr>
              <w:br w:type="textWrapping"/>
            </w:r>
            <w:r>
              <w:rPr>
                <w:rStyle w:val="11"/>
                <w:rFonts w:hint="eastAsia"/>
              </w:rPr>
              <w:t>本品由大环内酯双糖类化合物和2,4-二苯基噁唑衍生物类化合物混配而成。通过干扰害螨的神经生理活动以及抑制螨类的蜕皮过程而起作用，对柑橘树红蜘蛛卵、若螨和成螨的各个阶段均有较好的防治效果。</w:t>
            </w:r>
          </w:p>
        </w:tc>
      </w:tr>
      <w:tr w14:paraId="14C6CB05">
        <w:tblPrEx>
          <w:tblCellMar>
            <w:top w:w="0" w:type="dxa"/>
            <w:left w:w="0" w:type="dxa"/>
            <w:bottom w:w="0" w:type="dxa"/>
            <w:right w:w="0" w:type="dxa"/>
          </w:tblCellMar>
        </w:tblPrEx>
        <w:trPr>
          <w:wBefore w:w="0" w:type="auto"/>
          <w:tblCellSpacing w:w="0" w:type="dxa"/>
        </w:trPr>
        <w:tc>
          <w:tcPr>
            <w:tcW w:w="0" w:type="auto"/>
            <w:noWrap w:val="0"/>
            <w:vAlign w:val="center"/>
          </w:tcPr>
          <w:p w14:paraId="2A682724">
            <w:r>
              <w:rPr>
                <w:rStyle w:val="10"/>
                <w:rFonts w:hint="eastAsia"/>
              </w:rPr>
              <w:t>注意事项：</w:t>
            </w:r>
            <w:r>
              <w:rPr>
                <w:rFonts w:hint="eastAsia"/>
              </w:rPr>
              <w:br w:type="textWrapping"/>
            </w:r>
            <w:r>
              <w:rPr>
                <w:rStyle w:val="11"/>
                <w:rFonts w:hint="eastAsia"/>
              </w:rPr>
              <w:t>1、本品不可与呈碱性的农药等物质和石硫合剂混合使用。2、施药时应避免药液漂移到其它作物上，以防产生药害。3、配药和施药时避免药液接触皮肤、眼睛和污染衣物，避免吸入雾滴。切勿在施药现场抽烟或饮食。4、施药时应穿长衣、长裤，佩戴口罩、护目镜、手套等防护用品，使用后应及时清洗皮肤及所穿衣物。5、本品对鸟类、蜜蜂、鱼类等水生生物、家蚕有毒，施药期间应避免对周围蜂群的影响，禁止在鸟类保护区、开花植物花期、蚕室和桑园附近使用。6、远离水产养殖区、河塘等水域施药。禁止在河塘等水域清洗施药器具。7、赤眼蜂、瓢虫等天敌放飞区域禁用。8、避免孕妇和哺乳期的妇女接触本品。9、用过的容器应妥善处理，不可随意丢弃或作他用。</w:t>
            </w:r>
          </w:p>
        </w:tc>
      </w:tr>
      <w:tr w14:paraId="0902DEB5">
        <w:tblPrEx>
          <w:tblCellMar>
            <w:top w:w="0" w:type="dxa"/>
            <w:left w:w="0" w:type="dxa"/>
            <w:bottom w:w="0" w:type="dxa"/>
            <w:right w:w="0" w:type="dxa"/>
          </w:tblCellMar>
        </w:tblPrEx>
        <w:trPr>
          <w:wBefore w:w="0" w:type="auto"/>
          <w:tblCellSpacing w:w="0" w:type="dxa"/>
        </w:trPr>
        <w:tc>
          <w:tcPr>
            <w:tcW w:w="0" w:type="auto"/>
            <w:noWrap w:val="0"/>
            <w:vAlign w:val="center"/>
          </w:tcPr>
          <w:p w14:paraId="0090725F">
            <w:r>
              <w:rPr>
                <w:rStyle w:val="10"/>
                <w:rFonts w:hint="eastAsia"/>
              </w:rPr>
              <w:t>中毒急救措施：</w:t>
            </w:r>
            <w:r>
              <w:rPr>
                <w:rFonts w:hint="eastAsia"/>
              </w:rPr>
              <w:br w:type="textWrapping"/>
            </w:r>
            <w:r>
              <w:rPr>
                <w:rStyle w:val="11"/>
                <w:rFonts w:hint="eastAsia"/>
              </w:rPr>
              <w:t>1、若用药时如果感觉不适，立即停止工作，采取急救措施，并携此标签送医就诊。 2、若溅到皮肤上，应立即用大量清水冲洗，如皮肤疼痛感持续，请医生诊治，并单独清洗被污染的工作服。 3、若不慎溅入眼中，要立即用清水冲洗15分钟以上，并请医生诊治。 4、若误服，可洗胃但不可催吐，应立即携此标签将病人送医院救治，可对症治疗。</w:t>
            </w:r>
          </w:p>
        </w:tc>
      </w:tr>
      <w:tr w14:paraId="6F0B7C85">
        <w:tblPrEx>
          <w:tblCellMar>
            <w:top w:w="0" w:type="dxa"/>
            <w:left w:w="0" w:type="dxa"/>
            <w:bottom w:w="0" w:type="dxa"/>
            <w:right w:w="0" w:type="dxa"/>
          </w:tblCellMar>
        </w:tblPrEx>
        <w:trPr>
          <w:wBefore w:w="0" w:type="auto"/>
          <w:tblCellSpacing w:w="0" w:type="dxa"/>
        </w:trPr>
        <w:tc>
          <w:tcPr>
            <w:tcW w:w="0" w:type="auto"/>
            <w:noWrap w:val="0"/>
            <w:vAlign w:val="center"/>
          </w:tcPr>
          <w:p w14:paraId="63337EB1">
            <w:r>
              <w:rPr>
                <w:rStyle w:val="10"/>
                <w:rFonts w:hint="eastAsia"/>
              </w:rPr>
              <w:t>储存和运输方法：</w:t>
            </w:r>
            <w:r>
              <w:rPr>
                <w:rFonts w:hint="eastAsia"/>
              </w:rPr>
              <w:br w:type="textWrapping"/>
            </w:r>
            <w:r>
              <w:rPr>
                <w:rStyle w:val="11"/>
                <w:rFonts w:hint="eastAsia"/>
              </w:rPr>
              <w:t>1、若用药时如果感觉不适，立即停止工作，采取急救措施，并携此标签送医就诊。 2、若溅到皮肤上，应立即用大量清水冲洗，如皮肤疼痛感持续，请医生诊治，并单独清洗被污染的工作服。 3、若不慎溅入眼中，要立即用清水冲洗15分钟以上，并请医生诊治。 4、若误服，可洗胃但不可催吐，应立即携此标签将病人送医院救治，可对症治疗。</w:t>
            </w:r>
          </w:p>
        </w:tc>
      </w:tr>
      <w:tr w14:paraId="2F7FD115">
        <w:tblPrEx>
          <w:tblCellMar>
            <w:top w:w="0" w:type="dxa"/>
            <w:left w:w="0" w:type="dxa"/>
            <w:bottom w:w="0" w:type="dxa"/>
            <w:right w:w="0" w:type="dxa"/>
          </w:tblCellMar>
        </w:tblPrEx>
        <w:trPr>
          <w:wBefore w:w="0" w:type="auto"/>
          <w:tblCellSpacing w:w="0" w:type="dxa"/>
        </w:trPr>
        <w:tc>
          <w:tcPr>
            <w:tcW w:w="0" w:type="auto"/>
            <w:noWrap w:val="0"/>
            <w:vAlign w:val="center"/>
          </w:tcPr>
          <w:p w14:paraId="6141D1E3">
            <w:r>
              <w:rPr>
                <w:rStyle w:val="10"/>
                <w:rFonts w:hint="eastAsia"/>
              </w:rPr>
              <w:t>质量保证期：</w:t>
            </w:r>
            <w:r>
              <w:rPr>
                <w:rStyle w:val="11"/>
                <w:rFonts w:hint="eastAsia"/>
              </w:rPr>
              <w:t>2年</w:t>
            </w:r>
          </w:p>
        </w:tc>
      </w:tr>
      <w:tr w14:paraId="34F4F958">
        <w:tblPrEx>
          <w:tblCellMar>
            <w:top w:w="0" w:type="dxa"/>
            <w:left w:w="0" w:type="dxa"/>
            <w:bottom w:w="0" w:type="dxa"/>
            <w:right w:w="0" w:type="dxa"/>
          </w:tblCellMar>
        </w:tblPrEx>
        <w:trPr>
          <w:wBefore w:w="0" w:type="auto"/>
          <w:tblCellSpacing w:w="0" w:type="dxa"/>
        </w:trPr>
        <w:tc>
          <w:tcPr>
            <w:tcW w:w="0" w:type="auto"/>
            <w:noWrap w:val="0"/>
            <w:vAlign w:val="center"/>
          </w:tcPr>
          <w:p w14:paraId="774B4647">
            <w:r>
              <w:rPr>
                <w:rStyle w:val="10"/>
                <w:rFonts w:hint="eastAsia"/>
              </w:rPr>
              <w:t>备注：</w:t>
            </w:r>
          </w:p>
        </w:tc>
      </w:tr>
    </w:tbl>
    <w:p w14:paraId="06C27F9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C96435C">
        <w:tblPrEx>
          <w:tblCellMar>
            <w:top w:w="0" w:type="dxa"/>
            <w:left w:w="0" w:type="dxa"/>
            <w:bottom w:w="0" w:type="dxa"/>
            <w:right w:w="0" w:type="dxa"/>
          </w:tblCellMar>
        </w:tblPrEx>
        <w:trPr>
          <w:wBefore w:w="0" w:type="auto"/>
          <w:tblCellSpacing w:w="0" w:type="dxa"/>
        </w:trPr>
        <w:tc>
          <w:tcPr>
            <w:tcW w:w="0" w:type="auto"/>
            <w:noWrap w:val="0"/>
            <w:vAlign w:val="center"/>
          </w:tcPr>
          <w:p w14:paraId="79D2861B">
            <w:r>
              <w:rPr>
                <w:rStyle w:val="10"/>
                <w:rFonts w:hint="eastAsia"/>
              </w:rPr>
              <w:t>登记证号：</w:t>
            </w:r>
            <w:r>
              <w:rPr>
                <w:rFonts w:hint="eastAsia"/>
              </w:rPr>
              <w:t>PD20212250</w:t>
            </w:r>
          </w:p>
        </w:tc>
      </w:tr>
      <w:tr w14:paraId="210296B0">
        <w:tblPrEx>
          <w:tblCellMar>
            <w:top w:w="0" w:type="dxa"/>
            <w:left w:w="0" w:type="dxa"/>
            <w:bottom w:w="0" w:type="dxa"/>
            <w:right w:w="0" w:type="dxa"/>
          </w:tblCellMar>
        </w:tblPrEx>
        <w:trPr>
          <w:wBefore w:w="0" w:type="auto"/>
          <w:tblCellSpacing w:w="0" w:type="dxa"/>
        </w:trPr>
        <w:tc>
          <w:tcPr>
            <w:tcW w:w="0" w:type="auto"/>
            <w:noWrap w:val="0"/>
            <w:vAlign w:val="center"/>
          </w:tcPr>
          <w:p w14:paraId="79F30B6A">
            <w:r>
              <w:rPr>
                <w:rStyle w:val="10"/>
                <w:rFonts w:hint="eastAsia"/>
              </w:rPr>
              <w:t>登记证持有人：</w:t>
            </w:r>
            <w:r>
              <w:rPr>
                <w:rFonts w:hint="eastAsia"/>
              </w:rPr>
              <w:t>山东奥坤作物科学股份有限公司</w:t>
            </w:r>
          </w:p>
        </w:tc>
      </w:tr>
      <w:tr w14:paraId="6AC9EBDC">
        <w:tblPrEx>
          <w:tblCellMar>
            <w:top w:w="0" w:type="dxa"/>
            <w:left w:w="0" w:type="dxa"/>
            <w:bottom w:w="0" w:type="dxa"/>
            <w:right w:w="0" w:type="dxa"/>
          </w:tblCellMar>
        </w:tblPrEx>
        <w:trPr>
          <w:wBefore w:w="0" w:type="auto"/>
          <w:tblCellSpacing w:w="0" w:type="dxa"/>
        </w:trPr>
        <w:tc>
          <w:tcPr>
            <w:tcW w:w="0" w:type="auto"/>
            <w:noWrap w:val="0"/>
            <w:vAlign w:val="center"/>
          </w:tcPr>
          <w:p w14:paraId="5DACAAD1">
            <w:r>
              <w:rPr>
                <w:rStyle w:val="10"/>
                <w:rFonts w:hint="eastAsia"/>
              </w:rPr>
              <w:t>农药名称：</w:t>
            </w:r>
            <w:r>
              <w:rPr>
                <w:rFonts w:hint="eastAsia"/>
              </w:rPr>
              <w:t>乙氧磺隆</w:t>
            </w:r>
          </w:p>
        </w:tc>
      </w:tr>
      <w:tr w14:paraId="53B059CE">
        <w:tblPrEx>
          <w:tblCellMar>
            <w:top w:w="0" w:type="dxa"/>
            <w:left w:w="0" w:type="dxa"/>
            <w:bottom w:w="0" w:type="dxa"/>
            <w:right w:w="0" w:type="dxa"/>
          </w:tblCellMar>
        </w:tblPrEx>
        <w:trPr>
          <w:wBefore w:w="0" w:type="auto"/>
          <w:tblCellSpacing w:w="0" w:type="dxa"/>
        </w:trPr>
        <w:tc>
          <w:tcPr>
            <w:tcW w:w="0" w:type="auto"/>
            <w:noWrap w:val="0"/>
            <w:vAlign w:val="center"/>
          </w:tcPr>
          <w:p w14:paraId="0E4632BB">
            <w:r>
              <w:rPr>
                <w:rStyle w:val="10"/>
                <w:rFonts w:hint="eastAsia"/>
              </w:rPr>
              <w:t>剂型：</w:t>
            </w:r>
            <w:r>
              <w:rPr>
                <w:rFonts w:hint="eastAsia"/>
              </w:rPr>
              <w:t>水分散粒剂</w:t>
            </w:r>
          </w:p>
        </w:tc>
      </w:tr>
      <w:tr w14:paraId="105A6EAF">
        <w:tblPrEx>
          <w:tblCellMar>
            <w:top w:w="0" w:type="dxa"/>
            <w:left w:w="0" w:type="dxa"/>
            <w:bottom w:w="0" w:type="dxa"/>
            <w:right w:w="0" w:type="dxa"/>
          </w:tblCellMar>
        </w:tblPrEx>
        <w:trPr>
          <w:wBefore w:w="0" w:type="auto"/>
          <w:tblCellSpacing w:w="0" w:type="dxa"/>
        </w:trPr>
        <w:tc>
          <w:tcPr>
            <w:tcW w:w="0" w:type="auto"/>
            <w:noWrap w:val="0"/>
            <w:vAlign w:val="center"/>
          </w:tcPr>
          <w:p w14:paraId="40BDFEFA">
            <w:r>
              <w:rPr>
                <w:rStyle w:val="10"/>
                <w:rFonts w:hint="eastAsia"/>
              </w:rPr>
              <w:t>毒性及其标识：</w:t>
            </w:r>
            <w:r>
              <w:rPr>
                <w:rFonts w:hint="eastAsia"/>
              </w:rPr>
              <w:t xml:space="preserve"> </w:t>
            </w:r>
            <w:r>
              <w:rPr>
                <w:lang/>
              </w:rPr>
              <w:drawing>
                <wp:inline distT="0" distB="0" distL="114300" distR="114300">
                  <wp:extent cx="476250" cy="323850"/>
                  <wp:effectExtent l="0" t="0" r="0" b="0"/>
                  <wp:docPr id="100" name="图片 10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571DB74">
        <w:tblPrEx>
          <w:tblCellMar>
            <w:top w:w="0" w:type="dxa"/>
            <w:left w:w="0" w:type="dxa"/>
            <w:bottom w:w="0" w:type="dxa"/>
            <w:right w:w="0" w:type="dxa"/>
          </w:tblCellMar>
        </w:tblPrEx>
        <w:trPr>
          <w:wBefore w:w="0" w:type="auto"/>
          <w:tblCellSpacing w:w="0" w:type="dxa"/>
        </w:trPr>
        <w:tc>
          <w:tcPr>
            <w:tcW w:w="0" w:type="auto"/>
            <w:noWrap w:val="0"/>
            <w:vAlign w:val="center"/>
          </w:tcPr>
          <w:p w14:paraId="2B83D6B3">
            <w:r>
              <w:rPr>
                <w:rStyle w:val="10"/>
                <w:rFonts w:hint="eastAsia"/>
              </w:rPr>
              <w:t>总有效成分含量：</w:t>
            </w:r>
            <w:r>
              <w:rPr>
                <w:rFonts w:hint="eastAsia"/>
              </w:rPr>
              <w:t>15%</w:t>
            </w:r>
          </w:p>
        </w:tc>
      </w:tr>
      <w:tr w14:paraId="44CB8A06">
        <w:tblPrEx>
          <w:tblCellMar>
            <w:top w:w="0" w:type="dxa"/>
            <w:left w:w="0" w:type="dxa"/>
            <w:bottom w:w="0" w:type="dxa"/>
            <w:right w:w="0" w:type="dxa"/>
          </w:tblCellMar>
        </w:tblPrEx>
        <w:trPr>
          <w:wBefore w:w="0" w:type="auto"/>
          <w:tblCellSpacing w:w="0" w:type="dxa"/>
        </w:trPr>
        <w:tc>
          <w:tcPr>
            <w:tcW w:w="0" w:type="auto"/>
            <w:noWrap w:val="0"/>
            <w:vAlign w:val="center"/>
          </w:tcPr>
          <w:p w14:paraId="52396C06">
            <w:r>
              <w:rPr>
                <w:rFonts w:hint="eastAsia"/>
              </w:rPr>
              <w:t xml:space="preserve">有效成分及其含量： </w:t>
            </w:r>
          </w:p>
          <w:p w14:paraId="079B63F0">
            <w:r>
              <w:rPr>
                <w:rFonts w:hint="eastAsia"/>
              </w:rPr>
              <w:t xml:space="preserve">    乙氧磺隆15%    </w:t>
            </w:r>
          </w:p>
        </w:tc>
      </w:tr>
      <w:tr w14:paraId="566E1829">
        <w:tblPrEx>
          <w:tblCellMar>
            <w:top w:w="0" w:type="dxa"/>
            <w:left w:w="0" w:type="dxa"/>
            <w:bottom w:w="0" w:type="dxa"/>
            <w:right w:w="0" w:type="dxa"/>
          </w:tblCellMar>
        </w:tblPrEx>
        <w:trPr>
          <w:wBefore w:w="0" w:type="auto"/>
          <w:tblCellSpacing w:w="0" w:type="dxa"/>
        </w:trPr>
        <w:tc>
          <w:tcPr>
            <w:tcW w:w="0" w:type="auto"/>
            <w:noWrap w:val="0"/>
            <w:vAlign w:val="center"/>
          </w:tcPr>
          <w:p w14:paraId="136EFAC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38A3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583AED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DA8736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19EA43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87079E">
                  <w:r>
                    <w:rPr>
                      <w:rStyle w:val="11"/>
                      <w:rFonts w:hint="eastAsia"/>
                    </w:rPr>
                    <w:t>施用方式</w:t>
                  </w:r>
                </w:p>
              </w:tc>
            </w:tr>
            <w:tr w14:paraId="709194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5A3D092">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E734CE">
                  <w:r>
                    <w:rPr>
                      <w:rStyle w:val="11"/>
                      <w:rFonts w:hint="eastAsia"/>
                    </w:rPr>
                    <w:t>一年生阔叶杂草及莎草科杂草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85A615">
                  <w:r>
                    <w:rPr>
                      <w:rStyle w:val="11"/>
                      <w:rFonts w:hint="eastAsia"/>
                    </w:rPr>
                    <w:t>6-8克/亩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BA0FF8">
                  <w:r>
                    <w:rPr>
                      <w:rStyle w:val="11"/>
                      <w:rFonts w:hint="eastAsia"/>
                    </w:rPr>
                    <w:t>茎叶喷雾</w:t>
                  </w:r>
                </w:p>
              </w:tc>
            </w:tr>
          </w:tbl>
          <w:p w14:paraId="659FF4BC">
            <w:pPr>
              <w:rPr>
                <w:rFonts w:ascii="Times New Roman" w:hAnsi="Times New Roman" w:cs="Times New Roman"/>
                <w:sz w:val="20"/>
                <w:szCs w:val="20"/>
              </w:rPr>
            </w:pPr>
          </w:p>
        </w:tc>
      </w:tr>
      <w:tr w14:paraId="1639D3B2">
        <w:tblPrEx>
          <w:tblCellMar>
            <w:top w:w="0" w:type="dxa"/>
            <w:left w:w="0" w:type="dxa"/>
            <w:bottom w:w="0" w:type="dxa"/>
            <w:right w:w="0" w:type="dxa"/>
          </w:tblCellMar>
        </w:tblPrEx>
        <w:trPr>
          <w:wBefore w:w="0" w:type="auto"/>
          <w:tblCellSpacing w:w="0" w:type="dxa"/>
        </w:trPr>
        <w:tc>
          <w:tcPr>
            <w:tcW w:w="0" w:type="auto"/>
            <w:noWrap w:val="0"/>
            <w:vAlign w:val="center"/>
          </w:tcPr>
          <w:p w14:paraId="2A6F8E68">
            <w:r>
              <w:rPr>
                <w:rStyle w:val="10"/>
                <w:rFonts w:hint="eastAsia"/>
              </w:rPr>
              <w:t>使用技术要求:</w:t>
            </w:r>
            <w:r>
              <w:rPr>
                <w:rFonts w:hint="eastAsia"/>
              </w:rPr>
              <w:br w:type="textWrapping"/>
            </w:r>
            <w:r>
              <w:rPr>
                <w:rStyle w:val="11"/>
                <w:rFonts w:hint="eastAsia"/>
              </w:rPr>
              <w:t>1.秧苗2-4叶，杂草2-3叶期，每亩兑水30-50公斤均匀喷雾，施药后保持浅水层，或保持土壤湿润状态5-7天。 2.按推荐的使用时期和用药量均匀施药。防除大龄杂草应采用上限推荐剂量。 3.水稻整个生育周期最多使用次数为1次。4.水层勿淹没水稻心叶避免药害。6、施药时防止药液飘移到邻近作物，以免产生药害。</w:t>
            </w:r>
          </w:p>
        </w:tc>
      </w:tr>
      <w:tr w14:paraId="12813684">
        <w:tblPrEx>
          <w:tblCellMar>
            <w:top w:w="0" w:type="dxa"/>
            <w:left w:w="0" w:type="dxa"/>
            <w:bottom w:w="0" w:type="dxa"/>
            <w:right w:w="0" w:type="dxa"/>
          </w:tblCellMar>
        </w:tblPrEx>
        <w:trPr>
          <w:wBefore w:w="0" w:type="auto"/>
          <w:tblCellSpacing w:w="0" w:type="dxa"/>
        </w:trPr>
        <w:tc>
          <w:tcPr>
            <w:tcW w:w="0" w:type="auto"/>
            <w:noWrap w:val="0"/>
            <w:vAlign w:val="center"/>
          </w:tcPr>
          <w:p w14:paraId="4856B492">
            <w:r>
              <w:rPr>
                <w:rStyle w:val="10"/>
                <w:rFonts w:hint="eastAsia"/>
              </w:rPr>
              <w:t>产品性能:</w:t>
            </w:r>
            <w:r>
              <w:rPr>
                <w:rFonts w:hint="eastAsia"/>
              </w:rPr>
              <w:br w:type="textWrapping"/>
            </w:r>
            <w:r>
              <w:rPr>
                <w:rStyle w:val="11"/>
                <w:rFonts w:hint="eastAsia"/>
              </w:rPr>
              <w:t>本品为内吸选择性土壤兼茎叶除草剂，可防除鸭舌草、三棱草、飘拂草、牛毛毡、水莎草、萤蔺、野荸荠、眼子菜、泽泻、矮慈菇、狼巴草、水苋菜、(四叶)萍、小茨藻、水绵等莎草和阔叶杂草。</w:t>
            </w:r>
          </w:p>
        </w:tc>
      </w:tr>
      <w:tr w14:paraId="46691EEA">
        <w:tblPrEx>
          <w:tblCellMar>
            <w:top w:w="0" w:type="dxa"/>
            <w:left w:w="0" w:type="dxa"/>
            <w:bottom w:w="0" w:type="dxa"/>
            <w:right w:w="0" w:type="dxa"/>
          </w:tblCellMar>
        </w:tblPrEx>
        <w:trPr>
          <w:wBefore w:w="0" w:type="auto"/>
          <w:tblCellSpacing w:w="0" w:type="dxa"/>
        </w:trPr>
        <w:tc>
          <w:tcPr>
            <w:tcW w:w="0" w:type="auto"/>
            <w:noWrap w:val="0"/>
            <w:vAlign w:val="center"/>
          </w:tcPr>
          <w:p w14:paraId="00B736DE">
            <w:r>
              <w:rPr>
                <w:rStyle w:val="10"/>
                <w:rFonts w:hint="eastAsia"/>
              </w:rPr>
              <w:t>注意事项：</w:t>
            </w:r>
            <w:r>
              <w:rPr>
                <w:rFonts w:hint="eastAsia"/>
              </w:rPr>
              <w:br w:type="textWrapping"/>
            </w:r>
            <w:r>
              <w:rPr>
                <w:rStyle w:val="11"/>
                <w:rFonts w:hint="eastAsia"/>
              </w:rPr>
              <w:t>1.请按照农药安全使用规范使用本品。应根据田间杂草草相及抗性等具体情况，科学合理用药。 2.避免药剂与其它作物接触。鱼或虾蟹套养稻田禁用。施药后的田水不得直接排入水体。水产养殖区、河塘等水体附近禁用。禁止在河塘等水体清洗施药器具。 3.使用本品时应穿戴防护服和手套，施药期间不可吃东西和饮水。施药后应及时洗手和洗脸。 4.用过的容器和废弃物应妥善处理，不可做他用，也不可随意丢弃。 5.避免孕妇及哺乳期妇女接触。 6.结合当地实际情况，在农业技术人员指导下使用。</w:t>
            </w:r>
          </w:p>
        </w:tc>
      </w:tr>
      <w:tr w14:paraId="261AFD7E">
        <w:tblPrEx>
          <w:tblCellMar>
            <w:top w:w="0" w:type="dxa"/>
            <w:left w:w="0" w:type="dxa"/>
            <w:bottom w:w="0" w:type="dxa"/>
            <w:right w:w="0" w:type="dxa"/>
          </w:tblCellMar>
        </w:tblPrEx>
        <w:trPr>
          <w:wBefore w:w="0" w:type="auto"/>
          <w:tblCellSpacing w:w="0" w:type="dxa"/>
        </w:trPr>
        <w:tc>
          <w:tcPr>
            <w:tcW w:w="0" w:type="auto"/>
            <w:noWrap w:val="0"/>
            <w:vAlign w:val="center"/>
          </w:tcPr>
          <w:p w14:paraId="585E4D63">
            <w:r>
              <w:rPr>
                <w:rStyle w:val="10"/>
                <w:rFonts w:hint="eastAsia"/>
              </w:rPr>
              <w:t>中毒急救措施：</w:t>
            </w:r>
            <w:r>
              <w:rPr>
                <w:rFonts w:hint="eastAsia"/>
              </w:rPr>
              <w:br w:type="textWrapping"/>
            </w:r>
            <w:r>
              <w:rPr>
                <w:rStyle w:val="11"/>
                <w:rFonts w:hint="eastAsia"/>
              </w:rPr>
              <w:t>对眼睛有刺激性，使用时避免接触眼睛。不慎吸入，应将病人移至空气流通处。不慎接触皮肤或溅入眼睛，应用大量清水冲洗干净。误服则应立即携此标签将病人送医院诊治。本品无特殊解毒剂，请医生对症治疗。</w:t>
            </w:r>
          </w:p>
        </w:tc>
      </w:tr>
      <w:tr w14:paraId="0DF6CAB9">
        <w:tblPrEx>
          <w:tblCellMar>
            <w:top w:w="0" w:type="dxa"/>
            <w:left w:w="0" w:type="dxa"/>
            <w:bottom w:w="0" w:type="dxa"/>
            <w:right w:w="0" w:type="dxa"/>
          </w:tblCellMar>
        </w:tblPrEx>
        <w:trPr>
          <w:wBefore w:w="0" w:type="auto"/>
          <w:tblCellSpacing w:w="0" w:type="dxa"/>
        </w:trPr>
        <w:tc>
          <w:tcPr>
            <w:tcW w:w="0" w:type="auto"/>
            <w:noWrap w:val="0"/>
            <w:vAlign w:val="center"/>
          </w:tcPr>
          <w:p w14:paraId="6F989C15">
            <w:r>
              <w:rPr>
                <w:rStyle w:val="10"/>
                <w:rFonts w:hint="eastAsia"/>
              </w:rPr>
              <w:t>储存和运输方法：</w:t>
            </w:r>
            <w:r>
              <w:rPr>
                <w:rFonts w:hint="eastAsia"/>
              </w:rPr>
              <w:br w:type="textWrapping"/>
            </w:r>
            <w:r>
              <w:rPr>
                <w:rStyle w:val="11"/>
                <w:rFonts w:hint="eastAsia"/>
              </w:rPr>
              <w:t>本品应储存在干燥、阴凉、通风、防雨处，不能与食品、饮料、粮食、饲料等混合储存，适宜储存温度为0℃~35℃。运输时应注意避光、防高温、防雨淋。运输和装卸时注意轻拿轻放，以免损坏包装。置于儿童接触不到的地方，并加锁。远离火源或热源。</w:t>
            </w:r>
          </w:p>
        </w:tc>
      </w:tr>
      <w:tr w14:paraId="56FCB99D">
        <w:tblPrEx>
          <w:tblCellMar>
            <w:top w:w="0" w:type="dxa"/>
            <w:left w:w="0" w:type="dxa"/>
            <w:bottom w:w="0" w:type="dxa"/>
            <w:right w:w="0" w:type="dxa"/>
          </w:tblCellMar>
        </w:tblPrEx>
        <w:trPr>
          <w:wBefore w:w="0" w:type="auto"/>
          <w:tblCellSpacing w:w="0" w:type="dxa"/>
        </w:trPr>
        <w:tc>
          <w:tcPr>
            <w:tcW w:w="0" w:type="auto"/>
            <w:noWrap w:val="0"/>
            <w:vAlign w:val="center"/>
          </w:tcPr>
          <w:p w14:paraId="45D354B4">
            <w:r>
              <w:rPr>
                <w:rStyle w:val="10"/>
                <w:rFonts w:hint="eastAsia"/>
              </w:rPr>
              <w:t>质量保证期：</w:t>
            </w:r>
            <w:r>
              <w:rPr>
                <w:rStyle w:val="11"/>
                <w:rFonts w:hint="eastAsia"/>
              </w:rPr>
              <w:t>2年</w:t>
            </w:r>
          </w:p>
        </w:tc>
      </w:tr>
      <w:tr w14:paraId="67A603AD">
        <w:tblPrEx>
          <w:tblCellMar>
            <w:top w:w="0" w:type="dxa"/>
            <w:left w:w="0" w:type="dxa"/>
            <w:bottom w:w="0" w:type="dxa"/>
            <w:right w:w="0" w:type="dxa"/>
          </w:tblCellMar>
        </w:tblPrEx>
        <w:trPr>
          <w:wBefore w:w="0" w:type="auto"/>
          <w:tblCellSpacing w:w="0" w:type="dxa"/>
        </w:trPr>
        <w:tc>
          <w:tcPr>
            <w:tcW w:w="0" w:type="auto"/>
            <w:noWrap w:val="0"/>
            <w:vAlign w:val="center"/>
          </w:tcPr>
          <w:p w14:paraId="68E0F2BC">
            <w:r>
              <w:rPr>
                <w:rStyle w:val="10"/>
                <w:rFonts w:hint="eastAsia"/>
              </w:rPr>
              <w:t>备注：</w:t>
            </w:r>
          </w:p>
        </w:tc>
      </w:tr>
    </w:tbl>
    <w:p w14:paraId="7A14D89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417799">
        <w:tblPrEx>
          <w:tblCellMar>
            <w:top w:w="0" w:type="dxa"/>
            <w:left w:w="0" w:type="dxa"/>
            <w:bottom w:w="0" w:type="dxa"/>
            <w:right w:w="0" w:type="dxa"/>
          </w:tblCellMar>
        </w:tblPrEx>
        <w:trPr>
          <w:wBefore w:w="0" w:type="auto"/>
          <w:tblCellSpacing w:w="0" w:type="dxa"/>
        </w:trPr>
        <w:tc>
          <w:tcPr>
            <w:tcW w:w="0" w:type="auto"/>
            <w:noWrap w:val="0"/>
            <w:vAlign w:val="center"/>
          </w:tcPr>
          <w:p w14:paraId="38D817AB">
            <w:r>
              <w:rPr>
                <w:rStyle w:val="10"/>
                <w:rFonts w:hint="eastAsia"/>
              </w:rPr>
              <w:t>登记证号：</w:t>
            </w:r>
            <w:r>
              <w:rPr>
                <w:rFonts w:hint="eastAsia"/>
              </w:rPr>
              <w:t>PD20212130</w:t>
            </w:r>
          </w:p>
        </w:tc>
      </w:tr>
      <w:tr w14:paraId="19E5A914">
        <w:tblPrEx>
          <w:tblCellMar>
            <w:top w:w="0" w:type="dxa"/>
            <w:left w:w="0" w:type="dxa"/>
            <w:bottom w:w="0" w:type="dxa"/>
            <w:right w:w="0" w:type="dxa"/>
          </w:tblCellMar>
        </w:tblPrEx>
        <w:trPr>
          <w:wBefore w:w="0" w:type="auto"/>
          <w:tblCellSpacing w:w="0" w:type="dxa"/>
        </w:trPr>
        <w:tc>
          <w:tcPr>
            <w:tcW w:w="0" w:type="auto"/>
            <w:noWrap w:val="0"/>
            <w:vAlign w:val="center"/>
          </w:tcPr>
          <w:p w14:paraId="1EA9A9AF">
            <w:r>
              <w:rPr>
                <w:rStyle w:val="10"/>
                <w:rFonts w:hint="eastAsia"/>
              </w:rPr>
              <w:t>登记证持有人：</w:t>
            </w:r>
            <w:r>
              <w:rPr>
                <w:rFonts w:hint="eastAsia"/>
              </w:rPr>
              <w:t>江苏省激素研究所股份有限公司</w:t>
            </w:r>
          </w:p>
        </w:tc>
      </w:tr>
      <w:tr w14:paraId="2BAB757A">
        <w:tblPrEx>
          <w:tblCellMar>
            <w:top w:w="0" w:type="dxa"/>
            <w:left w:w="0" w:type="dxa"/>
            <w:bottom w:w="0" w:type="dxa"/>
            <w:right w:w="0" w:type="dxa"/>
          </w:tblCellMar>
        </w:tblPrEx>
        <w:trPr>
          <w:wBefore w:w="0" w:type="auto"/>
          <w:tblCellSpacing w:w="0" w:type="dxa"/>
        </w:trPr>
        <w:tc>
          <w:tcPr>
            <w:tcW w:w="0" w:type="auto"/>
            <w:noWrap w:val="0"/>
            <w:vAlign w:val="center"/>
          </w:tcPr>
          <w:p w14:paraId="2DF76BE6">
            <w:r>
              <w:rPr>
                <w:rStyle w:val="10"/>
                <w:rFonts w:hint="eastAsia"/>
              </w:rPr>
              <w:t>农药名称：</w:t>
            </w:r>
            <w:r>
              <w:rPr>
                <w:rFonts w:hint="eastAsia"/>
              </w:rPr>
              <w:t>唑草酮</w:t>
            </w:r>
          </w:p>
        </w:tc>
      </w:tr>
      <w:tr w14:paraId="35983462">
        <w:tblPrEx>
          <w:tblCellMar>
            <w:top w:w="0" w:type="dxa"/>
            <w:left w:w="0" w:type="dxa"/>
            <w:bottom w:w="0" w:type="dxa"/>
            <w:right w:w="0" w:type="dxa"/>
          </w:tblCellMar>
        </w:tblPrEx>
        <w:trPr>
          <w:wBefore w:w="0" w:type="auto"/>
          <w:tblCellSpacing w:w="0" w:type="dxa"/>
        </w:trPr>
        <w:tc>
          <w:tcPr>
            <w:tcW w:w="0" w:type="auto"/>
            <w:noWrap w:val="0"/>
            <w:vAlign w:val="center"/>
          </w:tcPr>
          <w:p w14:paraId="7707CBC8">
            <w:r>
              <w:rPr>
                <w:rStyle w:val="10"/>
                <w:rFonts w:hint="eastAsia"/>
              </w:rPr>
              <w:t>剂型：</w:t>
            </w:r>
            <w:r>
              <w:rPr>
                <w:rFonts w:hint="eastAsia"/>
              </w:rPr>
              <w:t>可湿性粉剂</w:t>
            </w:r>
          </w:p>
        </w:tc>
      </w:tr>
      <w:tr w14:paraId="45505B2B">
        <w:tblPrEx>
          <w:tblCellMar>
            <w:top w:w="0" w:type="dxa"/>
            <w:left w:w="0" w:type="dxa"/>
            <w:bottom w:w="0" w:type="dxa"/>
            <w:right w:w="0" w:type="dxa"/>
          </w:tblCellMar>
        </w:tblPrEx>
        <w:trPr>
          <w:wBefore w:w="0" w:type="auto"/>
          <w:tblCellSpacing w:w="0" w:type="dxa"/>
        </w:trPr>
        <w:tc>
          <w:tcPr>
            <w:tcW w:w="0" w:type="auto"/>
            <w:noWrap w:val="0"/>
            <w:vAlign w:val="center"/>
          </w:tcPr>
          <w:p w14:paraId="7C5DDF61">
            <w:r>
              <w:rPr>
                <w:rStyle w:val="10"/>
                <w:rFonts w:hint="eastAsia"/>
              </w:rPr>
              <w:t>毒性及其标识：</w:t>
            </w:r>
            <w:r>
              <w:rPr>
                <w:rFonts w:hint="eastAsia"/>
              </w:rPr>
              <w:t xml:space="preserve"> </w:t>
            </w:r>
            <w:r>
              <w:rPr>
                <w:lang/>
              </w:rPr>
              <w:drawing>
                <wp:inline distT="0" distB="0" distL="114300" distR="114300">
                  <wp:extent cx="476250" cy="323850"/>
                  <wp:effectExtent l="0" t="0" r="0" b="0"/>
                  <wp:docPr id="101" name="图片 10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955EF3A">
        <w:tblPrEx>
          <w:tblCellMar>
            <w:top w:w="0" w:type="dxa"/>
            <w:left w:w="0" w:type="dxa"/>
            <w:bottom w:w="0" w:type="dxa"/>
            <w:right w:w="0" w:type="dxa"/>
          </w:tblCellMar>
        </w:tblPrEx>
        <w:trPr>
          <w:wBefore w:w="0" w:type="auto"/>
          <w:tblCellSpacing w:w="0" w:type="dxa"/>
        </w:trPr>
        <w:tc>
          <w:tcPr>
            <w:tcW w:w="0" w:type="auto"/>
            <w:noWrap w:val="0"/>
            <w:vAlign w:val="center"/>
          </w:tcPr>
          <w:p w14:paraId="085F2C6D">
            <w:r>
              <w:rPr>
                <w:rStyle w:val="10"/>
                <w:rFonts w:hint="eastAsia"/>
              </w:rPr>
              <w:t>总有效成分含量：</w:t>
            </w:r>
            <w:r>
              <w:rPr>
                <w:rFonts w:hint="eastAsia"/>
              </w:rPr>
              <w:t>10%</w:t>
            </w:r>
          </w:p>
        </w:tc>
      </w:tr>
      <w:tr w14:paraId="3AC422D8">
        <w:tblPrEx>
          <w:tblCellMar>
            <w:top w:w="0" w:type="dxa"/>
            <w:left w:w="0" w:type="dxa"/>
            <w:bottom w:w="0" w:type="dxa"/>
            <w:right w:w="0" w:type="dxa"/>
          </w:tblCellMar>
        </w:tblPrEx>
        <w:trPr>
          <w:wBefore w:w="0" w:type="auto"/>
          <w:tblCellSpacing w:w="0" w:type="dxa"/>
        </w:trPr>
        <w:tc>
          <w:tcPr>
            <w:tcW w:w="0" w:type="auto"/>
            <w:noWrap w:val="0"/>
            <w:vAlign w:val="center"/>
          </w:tcPr>
          <w:p w14:paraId="6BE0119C">
            <w:r>
              <w:rPr>
                <w:rFonts w:hint="eastAsia"/>
              </w:rPr>
              <w:t xml:space="preserve">有效成分及其含量： </w:t>
            </w:r>
          </w:p>
          <w:p w14:paraId="249998CF">
            <w:r>
              <w:rPr>
                <w:rFonts w:hint="eastAsia"/>
              </w:rPr>
              <w:t xml:space="preserve">    唑草酮10%    </w:t>
            </w:r>
          </w:p>
        </w:tc>
      </w:tr>
      <w:tr w14:paraId="3032EB5F">
        <w:tblPrEx>
          <w:tblCellMar>
            <w:top w:w="0" w:type="dxa"/>
            <w:left w:w="0" w:type="dxa"/>
            <w:bottom w:w="0" w:type="dxa"/>
            <w:right w:w="0" w:type="dxa"/>
          </w:tblCellMar>
        </w:tblPrEx>
        <w:trPr>
          <w:wBefore w:w="0" w:type="auto"/>
          <w:tblCellSpacing w:w="0" w:type="dxa"/>
        </w:trPr>
        <w:tc>
          <w:tcPr>
            <w:tcW w:w="0" w:type="auto"/>
            <w:noWrap w:val="0"/>
            <w:vAlign w:val="center"/>
          </w:tcPr>
          <w:p w14:paraId="4BB439C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916CC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6E37B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1187CE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6B07B7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3FDDD6B">
                  <w:r>
                    <w:rPr>
                      <w:rStyle w:val="11"/>
                      <w:rFonts w:hint="eastAsia"/>
                    </w:rPr>
                    <w:t>施用方式</w:t>
                  </w:r>
                </w:p>
              </w:tc>
            </w:tr>
            <w:tr w14:paraId="0EDC82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E49EDD5">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88EDF8">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93618B">
                  <w:r>
                    <w:rPr>
                      <w:rStyle w:val="11"/>
                      <w:rFonts w:hint="eastAsia"/>
                    </w:rPr>
                    <w:t>20-24克/亩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FF8410">
                  <w:r>
                    <w:rPr>
                      <w:rStyle w:val="11"/>
                      <w:rFonts w:hint="eastAsia"/>
                    </w:rPr>
                    <w:t>茎叶喷雾</w:t>
                  </w:r>
                </w:p>
              </w:tc>
            </w:tr>
          </w:tbl>
          <w:p w14:paraId="183B2D42">
            <w:pPr>
              <w:rPr>
                <w:rFonts w:ascii="Times New Roman" w:hAnsi="Times New Roman" w:cs="Times New Roman"/>
                <w:sz w:val="20"/>
                <w:szCs w:val="20"/>
              </w:rPr>
            </w:pPr>
          </w:p>
        </w:tc>
      </w:tr>
      <w:tr w14:paraId="5FF370FC">
        <w:tblPrEx>
          <w:tblCellMar>
            <w:top w:w="0" w:type="dxa"/>
            <w:left w:w="0" w:type="dxa"/>
            <w:bottom w:w="0" w:type="dxa"/>
            <w:right w:w="0" w:type="dxa"/>
          </w:tblCellMar>
        </w:tblPrEx>
        <w:trPr>
          <w:wBefore w:w="0" w:type="auto"/>
          <w:tblCellSpacing w:w="0" w:type="dxa"/>
        </w:trPr>
        <w:tc>
          <w:tcPr>
            <w:tcW w:w="0" w:type="auto"/>
            <w:noWrap w:val="0"/>
            <w:vAlign w:val="center"/>
          </w:tcPr>
          <w:p w14:paraId="32E65E18">
            <w:r>
              <w:rPr>
                <w:rStyle w:val="10"/>
                <w:rFonts w:hint="eastAsia"/>
              </w:rPr>
              <w:t>使用技术要求:</w:t>
            </w:r>
            <w:r>
              <w:rPr>
                <w:rFonts w:hint="eastAsia"/>
              </w:rPr>
              <w:br w:type="textWrapping"/>
            </w:r>
            <w:r>
              <w:rPr>
                <w:rStyle w:val="11"/>
                <w:rFonts w:hint="eastAsia"/>
              </w:rPr>
              <w:t>1.在冬小麦返青后至拔节期，春小麦3-5叶期，杂草2-5叶期，以推荐剂量兑水均匀茎叶喷雾施药一次。2.勿超剂量使用。尽量选择无风的天气施药。3.在低温和寒流及霜冻来临前后不宜用药。小麦倒二叶抽出后勿用药。4.每季最多使用1次。</w:t>
            </w:r>
          </w:p>
        </w:tc>
      </w:tr>
      <w:tr w14:paraId="28DDC659">
        <w:tblPrEx>
          <w:tblCellMar>
            <w:top w:w="0" w:type="dxa"/>
            <w:left w:w="0" w:type="dxa"/>
            <w:bottom w:w="0" w:type="dxa"/>
            <w:right w:w="0" w:type="dxa"/>
          </w:tblCellMar>
        </w:tblPrEx>
        <w:trPr>
          <w:wBefore w:w="0" w:type="auto"/>
          <w:tblCellSpacing w:w="0" w:type="dxa"/>
        </w:trPr>
        <w:tc>
          <w:tcPr>
            <w:tcW w:w="0" w:type="auto"/>
            <w:noWrap w:val="0"/>
            <w:vAlign w:val="center"/>
          </w:tcPr>
          <w:p w14:paraId="7214DA88">
            <w:r>
              <w:rPr>
                <w:rStyle w:val="10"/>
                <w:rFonts w:hint="eastAsia"/>
              </w:rPr>
              <w:t>产品性能:</w:t>
            </w:r>
            <w:r>
              <w:rPr>
                <w:rFonts w:hint="eastAsia"/>
              </w:rPr>
              <w:br w:type="textWrapping"/>
            </w:r>
            <w:r>
              <w:rPr>
                <w:rStyle w:val="11"/>
                <w:rFonts w:hint="eastAsia"/>
              </w:rPr>
              <w:t>本品是一种三唑啉酮类除草剂，其作用机理是抑制原卟啉氧化酶导致有毒中间物的积累，从而破坏杂草细胞膜，使叶片迅速干枯、死亡。按推荐剂量使用，对小麦田一年生阔叶杂草有较好的防治效果。</w:t>
            </w:r>
          </w:p>
        </w:tc>
      </w:tr>
      <w:tr w14:paraId="71504B5F">
        <w:tblPrEx>
          <w:tblCellMar>
            <w:top w:w="0" w:type="dxa"/>
            <w:left w:w="0" w:type="dxa"/>
            <w:bottom w:w="0" w:type="dxa"/>
            <w:right w:w="0" w:type="dxa"/>
          </w:tblCellMar>
        </w:tblPrEx>
        <w:trPr>
          <w:wBefore w:w="0" w:type="auto"/>
          <w:tblCellSpacing w:w="0" w:type="dxa"/>
        </w:trPr>
        <w:tc>
          <w:tcPr>
            <w:tcW w:w="0" w:type="auto"/>
            <w:noWrap w:val="0"/>
            <w:vAlign w:val="center"/>
          </w:tcPr>
          <w:p w14:paraId="6D3381B1">
            <w:r>
              <w:rPr>
                <w:rStyle w:val="10"/>
                <w:rFonts w:hint="eastAsia"/>
              </w:rPr>
              <w:t>注意事项：</w:t>
            </w:r>
            <w:r>
              <w:rPr>
                <w:rFonts w:hint="eastAsia"/>
              </w:rPr>
              <w:br w:type="textWrapping"/>
            </w:r>
            <w:r>
              <w:rPr>
                <w:rStyle w:val="11"/>
                <w:rFonts w:hint="eastAsia"/>
              </w:rPr>
              <w:t>1.本品不得用于小麦与其它作物间作、混种田。2.使用本品应带防护手套、口罩和护目镜，穿干净防护服。工作结束后，应用肥皂、清水洗脸、手和裸露部位。3.包装容器应妥善处理，不可挪作他用或随便丢弃。4.本品对水生生物有毒，水产养殖区、河塘等水体附近禁用，禁止在河塘等水体中清洗施药器具。5.避免孕妇及哺乳期的妇女接触。6.严格按照推荐方法使用、操作和贮藏本品。使用时应接受当地农业技术部门的指导。</w:t>
            </w:r>
          </w:p>
        </w:tc>
      </w:tr>
      <w:tr w14:paraId="542DA07A">
        <w:tblPrEx>
          <w:tblCellMar>
            <w:top w:w="0" w:type="dxa"/>
            <w:left w:w="0" w:type="dxa"/>
            <w:bottom w:w="0" w:type="dxa"/>
            <w:right w:w="0" w:type="dxa"/>
          </w:tblCellMar>
        </w:tblPrEx>
        <w:trPr>
          <w:wBefore w:w="0" w:type="auto"/>
          <w:tblCellSpacing w:w="0" w:type="dxa"/>
        </w:trPr>
        <w:tc>
          <w:tcPr>
            <w:tcW w:w="0" w:type="auto"/>
            <w:noWrap w:val="0"/>
            <w:vAlign w:val="center"/>
          </w:tcPr>
          <w:p w14:paraId="0738DEEF">
            <w:r>
              <w:rPr>
                <w:rStyle w:val="10"/>
                <w:rFonts w:hint="eastAsia"/>
              </w:rPr>
              <w:t>中毒急救措施：</w:t>
            </w:r>
            <w:r>
              <w:rPr>
                <w:rFonts w:hint="eastAsia"/>
              </w:rPr>
              <w:br w:type="textWrapping"/>
            </w:r>
            <w:r>
              <w:rPr>
                <w:rStyle w:val="11"/>
                <w:rFonts w:hint="eastAsia"/>
              </w:rPr>
              <w:t>本品对眼睛有刺激性。如不慎接触皮肤，应用肥皂和大量清水冲洗，若溅入眼内，立即用大量清水冲洗至少15分钟，如还不适请就医。如吸入，立即将吸入者转移到空气清新处，如果吸入者停止呼吸，需要进行人工呼吸。注意保暖和休息，请医生诊治。无特殊解毒剂，若误服饮大量水催吐，保持安静，并送往医院对症治疗。</w:t>
            </w:r>
          </w:p>
        </w:tc>
      </w:tr>
      <w:tr w14:paraId="1A52C651">
        <w:tblPrEx>
          <w:tblCellMar>
            <w:top w:w="0" w:type="dxa"/>
            <w:left w:w="0" w:type="dxa"/>
            <w:bottom w:w="0" w:type="dxa"/>
            <w:right w:w="0" w:type="dxa"/>
          </w:tblCellMar>
        </w:tblPrEx>
        <w:trPr>
          <w:wBefore w:w="0" w:type="auto"/>
          <w:tblCellSpacing w:w="0" w:type="dxa"/>
        </w:trPr>
        <w:tc>
          <w:tcPr>
            <w:tcW w:w="0" w:type="auto"/>
            <w:noWrap w:val="0"/>
            <w:vAlign w:val="center"/>
          </w:tcPr>
          <w:p w14:paraId="793120E6">
            <w:r>
              <w:rPr>
                <w:rStyle w:val="10"/>
                <w:rFonts w:hint="eastAsia"/>
              </w:rPr>
              <w:t>储存和运输方法：</w:t>
            </w:r>
            <w:r>
              <w:rPr>
                <w:rFonts w:hint="eastAsia"/>
              </w:rPr>
              <w:br w:type="textWrapping"/>
            </w:r>
            <w:r>
              <w:rPr>
                <w:rStyle w:val="11"/>
                <w:rFonts w:hint="eastAsia"/>
              </w:rPr>
              <w:t>包装件应贮存于通风、干燥、防雨、阴凉的库房中，远离火源和热源。置于儿童及无关人员接触不到处，并加锁。贮运时，严防潮湿和日晒，远离儿童，不能与食品、饮料、粮食、饲料等物质同贮同运。运输时专人专车，确保不泄漏、不损坏、不倒塌，运输中防曝晒、雨淋、防高温，公路运输时按规定的路线行驶。</w:t>
            </w:r>
          </w:p>
        </w:tc>
      </w:tr>
      <w:tr w14:paraId="59F57D33">
        <w:tblPrEx>
          <w:tblCellMar>
            <w:top w:w="0" w:type="dxa"/>
            <w:left w:w="0" w:type="dxa"/>
            <w:bottom w:w="0" w:type="dxa"/>
            <w:right w:w="0" w:type="dxa"/>
          </w:tblCellMar>
        </w:tblPrEx>
        <w:trPr>
          <w:wBefore w:w="0" w:type="auto"/>
          <w:tblCellSpacing w:w="0" w:type="dxa"/>
        </w:trPr>
        <w:tc>
          <w:tcPr>
            <w:tcW w:w="0" w:type="auto"/>
            <w:noWrap w:val="0"/>
            <w:vAlign w:val="center"/>
          </w:tcPr>
          <w:p w14:paraId="6138220C">
            <w:r>
              <w:rPr>
                <w:rStyle w:val="10"/>
                <w:rFonts w:hint="eastAsia"/>
              </w:rPr>
              <w:t>质量保证期：</w:t>
            </w:r>
            <w:r>
              <w:rPr>
                <w:rStyle w:val="11"/>
                <w:rFonts w:hint="eastAsia"/>
              </w:rPr>
              <w:t>2年</w:t>
            </w:r>
          </w:p>
        </w:tc>
      </w:tr>
      <w:tr w14:paraId="52B92927">
        <w:tblPrEx>
          <w:tblCellMar>
            <w:top w:w="0" w:type="dxa"/>
            <w:left w:w="0" w:type="dxa"/>
            <w:bottom w:w="0" w:type="dxa"/>
            <w:right w:w="0" w:type="dxa"/>
          </w:tblCellMar>
        </w:tblPrEx>
        <w:trPr>
          <w:wBefore w:w="0" w:type="auto"/>
          <w:tblCellSpacing w:w="0" w:type="dxa"/>
        </w:trPr>
        <w:tc>
          <w:tcPr>
            <w:tcW w:w="0" w:type="auto"/>
            <w:noWrap w:val="0"/>
            <w:vAlign w:val="center"/>
          </w:tcPr>
          <w:p w14:paraId="666B1F5A">
            <w:r>
              <w:rPr>
                <w:rStyle w:val="10"/>
                <w:rFonts w:hint="eastAsia"/>
              </w:rPr>
              <w:t>备注：</w:t>
            </w:r>
          </w:p>
        </w:tc>
      </w:tr>
    </w:tbl>
    <w:p w14:paraId="02C6B7F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1F80541">
        <w:tblPrEx>
          <w:tblCellMar>
            <w:top w:w="0" w:type="dxa"/>
            <w:left w:w="0" w:type="dxa"/>
            <w:bottom w:w="0" w:type="dxa"/>
            <w:right w:w="0" w:type="dxa"/>
          </w:tblCellMar>
        </w:tblPrEx>
        <w:trPr>
          <w:wBefore w:w="0" w:type="auto"/>
          <w:tblCellSpacing w:w="0" w:type="dxa"/>
        </w:trPr>
        <w:tc>
          <w:tcPr>
            <w:tcW w:w="0" w:type="auto"/>
            <w:noWrap w:val="0"/>
            <w:vAlign w:val="center"/>
          </w:tcPr>
          <w:p w14:paraId="28C73331">
            <w:r>
              <w:rPr>
                <w:rStyle w:val="10"/>
                <w:rFonts w:hint="eastAsia"/>
              </w:rPr>
              <w:t>登记证号：</w:t>
            </w:r>
            <w:r>
              <w:rPr>
                <w:rFonts w:hint="eastAsia"/>
              </w:rPr>
              <w:t>PD20211718</w:t>
            </w:r>
          </w:p>
        </w:tc>
      </w:tr>
      <w:tr w14:paraId="0A2A1A08">
        <w:tblPrEx>
          <w:tblCellMar>
            <w:top w:w="0" w:type="dxa"/>
            <w:left w:w="0" w:type="dxa"/>
            <w:bottom w:w="0" w:type="dxa"/>
            <w:right w:w="0" w:type="dxa"/>
          </w:tblCellMar>
        </w:tblPrEx>
        <w:trPr>
          <w:wBefore w:w="0" w:type="auto"/>
          <w:tblCellSpacing w:w="0" w:type="dxa"/>
        </w:trPr>
        <w:tc>
          <w:tcPr>
            <w:tcW w:w="0" w:type="auto"/>
            <w:noWrap w:val="0"/>
            <w:vAlign w:val="center"/>
          </w:tcPr>
          <w:p w14:paraId="19853430">
            <w:r>
              <w:rPr>
                <w:rStyle w:val="10"/>
                <w:rFonts w:hint="eastAsia"/>
              </w:rPr>
              <w:t>登记证持有人：</w:t>
            </w:r>
            <w:r>
              <w:rPr>
                <w:rFonts w:hint="eastAsia"/>
              </w:rPr>
              <w:t>广东省佛山市盈辉作物科学有限公司</w:t>
            </w:r>
          </w:p>
        </w:tc>
      </w:tr>
      <w:tr w14:paraId="169E354F">
        <w:tblPrEx>
          <w:tblCellMar>
            <w:top w:w="0" w:type="dxa"/>
            <w:left w:w="0" w:type="dxa"/>
            <w:bottom w:w="0" w:type="dxa"/>
            <w:right w:w="0" w:type="dxa"/>
          </w:tblCellMar>
        </w:tblPrEx>
        <w:trPr>
          <w:wBefore w:w="0" w:type="auto"/>
          <w:tblCellSpacing w:w="0" w:type="dxa"/>
        </w:trPr>
        <w:tc>
          <w:tcPr>
            <w:tcW w:w="0" w:type="auto"/>
            <w:noWrap w:val="0"/>
            <w:vAlign w:val="center"/>
          </w:tcPr>
          <w:p w14:paraId="22DB4E17">
            <w:r>
              <w:rPr>
                <w:rStyle w:val="10"/>
                <w:rFonts w:hint="eastAsia"/>
              </w:rPr>
              <w:t>农药名称：</w:t>
            </w:r>
            <w:r>
              <w:rPr>
                <w:rFonts w:hint="eastAsia"/>
              </w:rPr>
              <w:t>甲维·除虫脲</w:t>
            </w:r>
          </w:p>
        </w:tc>
      </w:tr>
      <w:tr w14:paraId="3653D648">
        <w:tblPrEx>
          <w:tblCellMar>
            <w:top w:w="0" w:type="dxa"/>
            <w:left w:w="0" w:type="dxa"/>
            <w:bottom w:w="0" w:type="dxa"/>
            <w:right w:w="0" w:type="dxa"/>
          </w:tblCellMar>
        </w:tblPrEx>
        <w:trPr>
          <w:wBefore w:w="0" w:type="auto"/>
          <w:tblCellSpacing w:w="0" w:type="dxa"/>
        </w:trPr>
        <w:tc>
          <w:tcPr>
            <w:tcW w:w="0" w:type="auto"/>
            <w:noWrap w:val="0"/>
            <w:vAlign w:val="center"/>
          </w:tcPr>
          <w:p w14:paraId="3F579276">
            <w:r>
              <w:rPr>
                <w:rStyle w:val="10"/>
                <w:rFonts w:hint="eastAsia"/>
              </w:rPr>
              <w:t>剂型：</w:t>
            </w:r>
            <w:r>
              <w:rPr>
                <w:rFonts w:hint="eastAsia"/>
              </w:rPr>
              <w:t>悬浮剂</w:t>
            </w:r>
          </w:p>
        </w:tc>
      </w:tr>
      <w:tr w14:paraId="3130363C">
        <w:tblPrEx>
          <w:tblCellMar>
            <w:top w:w="0" w:type="dxa"/>
            <w:left w:w="0" w:type="dxa"/>
            <w:bottom w:w="0" w:type="dxa"/>
            <w:right w:w="0" w:type="dxa"/>
          </w:tblCellMar>
        </w:tblPrEx>
        <w:trPr>
          <w:wBefore w:w="0" w:type="auto"/>
          <w:tblCellSpacing w:w="0" w:type="dxa"/>
        </w:trPr>
        <w:tc>
          <w:tcPr>
            <w:tcW w:w="0" w:type="auto"/>
            <w:noWrap w:val="0"/>
            <w:vAlign w:val="center"/>
          </w:tcPr>
          <w:p w14:paraId="287E7E40">
            <w:r>
              <w:rPr>
                <w:rStyle w:val="10"/>
                <w:rFonts w:hint="eastAsia"/>
              </w:rPr>
              <w:t>毒性及其标识：</w:t>
            </w:r>
            <w:r>
              <w:rPr>
                <w:rFonts w:hint="eastAsia"/>
              </w:rPr>
              <w:t xml:space="preserve"> </w:t>
            </w:r>
            <w:r>
              <w:rPr>
                <w:lang/>
              </w:rPr>
              <w:drawing>
                <wp:inline distT="0" distB="0" distL="114300" distR="114300">
                  <wp:extent cx="476250" cy="323850"/>
                  <wp:effectExtent l="0" t="0" r="0" b="0"/>
                  <wp:docPr id="102" name="图片 10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EA166DA">
        <w:tblPrEx>
          <w:tblCellMar>
            <w:top w:w="0" w:type="dxa"/>
            <w:left w:w="0" w:type="dxa"/>
            <w:bottom w:w="0" w:type="dxa"/>
            <w:right w:w="0" w:type="dxa"/>
          </w:tblCellMar>
        </w:tblPrEx>
        <w:trPr>
          <w:wBefore w:w="0" w:type="auto"/>
          <w:tblCellSpacing w:w="0" w:type="dxa"/>
        </w:trPr>
        <w:tc>
          <w:tcPr>
            <w:tcW w:w="0" w:type="auto"/>
            <w:noWrap w:val="0"/>
            <w:vAlign w:val="center"/>
          </w:tcPr>
          <w:p w14:paraId="2E2B8233">
            <w:r>
              <w:rPr>
                <w:rStyle w:val="10"/>
                <w:rFonts w:hint="eastAsia"/>
              </w:rPr>
              <w:t>总有效成分含量：</w:t>
            </w:r>
            <w:r>
              <w:rPr>
                <w:rFonts w:hint="eastAsia"/>
              </w:rPr>
              <w:t>19.9%</w:t>
            </w:r>
          </w:p>
        </w:tc>
      </w:tr>
      <w:tr w14:paraId="322ACF3B">
        <w:tblPrEx>
          <w:tblCellMar>
            <w:top w:w="0" w:type="dxa"/>
            <w:left w:w="0" w:type="dxa"/>
            <w:bottom w:w="0" w:type="dxa"/>
            <w:right w:w="0" w:type="dxa"/>
          </w:tblCellMar>
        </w:tblPrEx>
        <w:trPr>
          <w:wBefore w:w="0" w:type="auto"/>
          <w:tblCellSpacing w:w="0" w:type="dxa"/>
        </w:trPr>
        <w:tc>
          <w:tcPr>
            <w:tcW w:w="0" w:type="auto"/>
            <w:noWrap w:val="0"/>
            <w:vAlign w:val="center"/>
          </w:tcPr>
          <w:p w14:paraId="16B08F76">
            <w:r>
              <w:rPr>
                <w:rFonts w:hint="eastAsia"/>
              </w:rPr>
              <w:t xml:space="preserve">有效成分及其含量： </w:t>
            </w:r>
          </w:p>
          <w:p w14:paraId="66129AD1">
            <w:r>
              <w:rPr>
                <w:rFonts w:hint="eastAsia"/>
              </w:rPr>
              <w:t xml:space="preserve">    除虫脲19%    甲氨基阿维菌素0.9%    </w:t>
            </w:r>
          </w:p>
        </w:tc>
      </w:tr>
      <w:tr w14:paraId="695A0FD7">
        <w:tblPrEx>
          <w:tblCellMar>
            <w:top w:w="0" w:type="dxa"/>
            <w:left w:w="0" w:type="dxa"/>
            <w:bottom w:w="0" w:type="dxa"/>
            <w:right w:w="0" w:type="dxa"/>
          </w:tblCellMar>
        </w:tblPrEx>
        <w:trPr>
          <w:wBefore w:w="0" w:type="auto"/>
          <w:tblCellSpacing w:w="0" w:type="dxa"/>
        </w:trPr>
        <w:tc>
          <w:tcPr>
            <w:tcW w:w="0" w:type="auto"/>
            <w:noWrap w:val="0"/>
            <w:vAlign w:val="center"/>
          </w:tcPr>
          <w:p w14:paraId="6CF6F65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3888C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79B01E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D077D4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05C67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72A12E7">
                  <w:r>
                    <w:rPr>
                      <w:rStyle w:val="11"/>
                      <w:rFonts w:hint="eastAsia"/>
                    </w:rPr>
                    <w:t>施用方式</w:t>
                  </w:r>
                </w:p>
              </w:tc>
            </w:tr>
            <w:tr w14:paraId="0C81AD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D966ABA">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A0E463">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798EEB">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13CC57">
                  <w:r>
                    <w:rPr>
                      <w:rStyle w:val="11"/>
                      <w:rFonts w:hint="eastAsia"/>
                    </w:rPr>
                    <w:t>喷雾</w:t>
                  </w:r>
                </w:p>
              </w:tc>
            </w:tr>
          </w:tbl>
          <w:p w14:paraId="23A17234">
            <w:pPr>
              <w:rPr>
                <w:rFonts w:ascii="Times New Roman" w:hAnsi="Times New Roman" w:cs="Times New Roman"/>
                <w:sz w:val="20"/>
                <w:szCs w:val="20"/>
              </w:rPr>
            </w:pPr>
          </w:p>
        </w:tc>
      </w:tr>
      <w:tr w14:paraId="02A6DF07">
        <w:tblPrEx>
          <w:tblCellMar>
            <w:top w:w="0" w:type="dxa"/>
            <w:left w:w="0" w:type="dxa"/>
            <w:bottom w:w="0" w:type="dxa"/>
            <w:right w:w="0" w:type="dxa"/>
          </w:tblCellMar>
        </w:tblPrEx>
        <w:trPr>
          <w:wBefore w:w="0" w:type="auto"/>
          <w:tblCellSpacing w:w="0" w:type="dxa"/>
        </w:trPr>
        <w:tc>
          <w:tcPr>
            <w:tcW w:w="0" w:type="auto"/>
            <w:noWrap w:val="0"/>
            <w:vAlign w:val="center"/>
          </w:tcPr>
          <w:p w14:paraId="49729195">
            <w:r>
              <w:rPr>
                <w:rStyle w:val="10"/>
                <w:rFonts w:hint="eastAsia"/>
              </w:rPr>
              <w:t>使用技术要求:</w:t>
            </w:r>
            <w:r>
              <w:rPr>
                <w:rFonts w:hint="eastAsia"/>
              </w:rPr>
              <w:br w:type="textWrapping"/>
            </w:r>
            <w:r>
              <w:rPr>
                <w:rStyle w:val="11"/>
                <w:rFonts w:hint="eastAsia"/>
              </w:rPr>
              <w:t>1. 于甘蓝甜菜夜蛾低龄幼虫始盛期喷雾施药1次。2. 大风天或预计1小时内降雨，请勿施药。3. 本品在甘蓝上的安全间隔期为7天，每季作物最多可使用1次。</w:t>
            </w:r>
          </w:p>
        </w:tc>
      </w:tr>
      <w:tr w14:paraId="685C638F">
        <w:tblPrEx>
          <w:tblCellMar>
            <w:top w:w="0" w:type="dxa"/>
            <w:left w:w="0" w:type="dxa"/>
            <w:bottom w:w="0" w:type="dxa"/>
            <w:right w:w="0" w:type="dxa"/>
          </w:tblCellMar>
        </w:tblPrEx>
        <w:trPr>
          <w:wBefore w:w="0" w:type="auto"/>
          <w:tblCellSpacing w:w="0" w:type="dxa"/>
        </w:trPr>
        <w:tc>
          <w:tcPr>
            <w:tcW w:w="0" w:type="auto"/>
            <w:noWrap w:val="0"/>
            <w:vAlign w:val="center"/>
          </w:tcPr>
          <w:p w14:paraId="07FADB9B">
            <w:r>
              <w:rPr>
                <w:rStyle w:val="10"/>
                <w:rFonts w:hint="eastAsia"/>
              </w:rPr>
              <w:t>产品性能:</w:t>
            </w:r>
            <w:r>
              <w:rPr>
                <w:rFonts w:hint="eastAsia"/>
              </w:rPr>
              <w:br w:type="textWrapping"/>
            </w:r>
            <w:r>
              <w:rPr>
                <w:rStyle w:val="11"/>
                <w:rFonts w:hint="eastAsia"/>
              </w:rPr>
              <w:t>本品中的甲氨基阿维菌素苯甲酸盐促进γ-氨基丁酸释放，抑制神经传导，最终使氯离子通道活化，杀死害虫。除虫脲抑制昆虫几丁质合成，使幼虫在蜕皮时不能形成新表皮，虫体成畸形而死亡，二者混配对甘蓝甜菜夜蛾具有较好的防治效果。</w:t>
            </w:r>
          </w:p>
        </w:tc>
      </w:tr>
      <w:tr w14:paraId="6C4D20F7">
        <w:tblPrEx>
          <w:tblCellMar>
            <w:top w:w="0" w:type="dxa"/>
            <w:left w:w="0" w:type="dxa"/>
            <w:bottom w:w="0" w:type="dxa"/>
            <w:right w:w="0" w:type="dxa"/>
          </w:tblCellMar>
        </w:tblPrEx>
        <w:trPr>
          <w:wBefore w:w="0" w:type="auto"/>
          <w:tblCellSpacing w:w="0" w:type="dxa"/>
        </w:trPr>
        <w:tc>
          <w:tcPr>
            <w:tcW w:w="0" w:type="auto"/>
            <w:noWrap w:val="0"/>
            <w:vAlign w:val="center"/>
          </w:tcPr>
          <w:p w14:paraId="5E838937">
            <w:r>
              <w:rPr>
                <w:rStyle w:val="10"/>
                <w:rFonts w:hint="eastAsia"/>
              </w:rPr>
              <w:t>注意事项：</w:t>
            </w:r>
            <w:r>
              <w:rPr>
                <w:rFonts w:hint="eastAsia"/>
              </w:rPr>
              <w:br w:type="textWrapping"/>
            </w:r>
            <w:r>
              <w:rPr>
                <w:rStyle w:val="11"/>
                <w:rFonts w:hint="eastAsia"/>
              </w:rPr>
              <w:t>1. 避免与强氧化剂或强碱性物质混用。2. 用过本品药的器具要及时清洗。清洗器具的废水不能排入池塘、河流、水源；废弃物要妥善处理，不能随意丢掉。3. 本品对眼睛有刺激性，使用时避免接触眼睛，穿戴长衣、长裤、帽子、口罩、手套等防护措施。避免口鼻吸入及皮肤 接触，使用中不可吸烟、饮水及吃东西，使用后及时清洗手、脸等暴露皮肤 并更换衣服。4. 水产养殖区、河塘等水体附近禁用，禁止在河塘等水域清洗施药器具。家蚕及桑园附近禁用。（周围）开花植物花期禁用，使用时应密切关注对附近蜂群的影响。5. 本品建议与其它杀虫剂轮换使用，延缓抗性。6. 禁止孕妇及哺乳期妇女接触。</w:t>
            </w:r>
          </w:p>
        </w:tc>
      </w:tr>
      <w:tr w14:paraId="6C1E85D5">
        <w:tblPrEx>
          <w:tblCellMar>
            <w:top w:w="0" w:type="dxa"/>
            <w:left w:w="0" w:type="dxa"/>
            <w:bottom w:w="0" w:type="dxa"/>
            <w:right w:w="0" w:type="dxa"/>
          </w:tblCellMar>
        </w:tblPrEx>
        <w:trPr>
          <w:wBefore w:w="0" w:type="auto"/>
          <w:tblCellSpacing w:w="0" w:type="dxa"/>
        </w:trPr>
        <w:tc>
          <w:tcPr>
            <w:tcW w:w="0" w:type="auto"/>
            <w:noWrap w:val="0"/>
            <w:vAlign w:val="center"/>
          </w:tcPr>
          <w:p w14:paraId="08D11245">
            <w:r>
              <w:rPr>
                <w:rStyle w:val="10"/>
                <w:rFonts w:hint="eastAsia"/>
              </w:rPr>
              <w:t>中毒急救措施：</w:t>
            </w:r>
            <w:r>
              <w:rPr>
                <w:rFonts w:hint="eastAsia"/>
              </w:rPr>
              <w:br w:type="textWrapping"/>
            </w:r>
            <w:r>
              <w:rPr>
                <w:rStyle w:val="11"/>
                <w:rFonts w:hint="eastAsia"/>
              </w:rPr>
              <w:t>1. 吸入：请将患者转移到空气新鲜处。如病人停止呼吸，请速呼叫救护车并进行人工呼吸；若采用口对口人工呼吸，需使用救护人员保护装备。 2. 皮肤接触：脱去受污染的衣服。立即用肥皂和大量清水冲洗皮肤15-20分钟。 3. 眼睛接触：保持眼睛张开，用水缓慢轻柔地淋洗15-20分钟。 4. 误食：立即携带本标签送医院对症治疗。</w:t>
            </w:r>
          </w:p>
        </w:tc>
      </w:tr>
      <w:tr w14:paraId="26349494">
        <w:tblPrEx>
          <w:tblCellMar>
            <w:top w:w="0" w:type="dxa"/>
            <w:left w:w="0" w:type="dxa"/>
            <w:bottom w:w="0" w:type="dxa"/>
            <w:right w:w="0" w:type="dxa"/>
          </w:tblCellMar>
        </w:tblPrEx>
        <w:trPr>
          <w:wBefore w:w="0" w:type="auto"/>
          <w:tblCellSpacing w:w="0" w:type="dxa"/>
        </w:trPr>
        <w:tc>
          <w:tcPr>
            <w:tcW w:w="0" w:type="auto"/>
            <w:noWrap w:val="0"/>
            <w:vAlign w:val="center"/>
          </w:tcPr>
          <w:p w14:paraId="5D2887A5">
            <w:r>
              <w:rPr>
                <w:rStyle w:val="10"/>
                <w:rFonts w:hint="eastAsia"/>
              </w:rPr>
              <w:t>储存和运输方法：</w:t>
            </w:r>
            <w:r>
              <w:rPr>
                <w:rFonts w:hint="eastAsia"/>
              </w:rPr>
              <w:br w:type="textWrapping"/>
            </w:r>
            <w:r>
              <w:rPr>
                <w:rStyle w:val="11"/>
                <w:rFonts w:hint="eastAsia"/>
              </w:rPr>
              <w:t>1. 本品应贮存在干燥、通风、阴凉、防雨处，远离火源或热源。 2. 本品应当置于儿童、无关人员及动物接触不到的地方，并加锁保存。 3. 不能与食品、饮料、粮食、饲料等混合储运。</w:t>
            </w:r>
          </w:p>
        </w:tc>
      </w:tr>
      <w:tr w14:paraId="75FC8640">
        <w:tblPrEx>
          <w:tblCellMar>
            <w:top w:w="0" w:type="dxa"/>
            <w:left w:w="0" w:type="dxa"/>
            <w:bottom w:w="0" w:type="dxa"/>
            <w:right w:w="0" w:type="dxa"/>
          </w:tblCellMar>
        </w:tblPrEx>
        <w:trPr>
          <w:wBefore w:w="0" w:type="auto"/>
          <w:tblCellSpacing w:w="0" w:type="dxa"/>
        </w:trPr>
        <w:tc>
          <w:tcPr>
            <w:tcW w:w="0" w:type="auto"/>
            <w:noWrap w:val="0"/>
            <w:vAlign w:val="center"/>
          </w:tcPr>
          <w:p w14:paraId="76DEF926">
            <w:r>
              <w:rPr>
                <w:rStyle w:val="10"/>
                <w:rFonts w:hint="eastAsia"/>
              </w:rPr>
              <w:t>质量保证期：</w:t>
            </w:r>
            <w:r>
              <w:rPr>
                <w:rStyle w:val="11"/>
                <w:rFonts w:hint="eastAsia"/>
              </w:rPr>
              <w:t>2年</w:t>
            </w:r>
          </w:p>
        </w:tc>
      </w:tr>
      <w:tr w14:paraId="10D0E982">
        <w:tblPrEx>
          <w:tblCellMar>
            <w:top w:w="0" w:type="dxa"/>
            <w:left w:w="0" w:type="dxa"/>
            <w:bottom w:w="0" w:type="dxa"/>
            <w:right w:w="0" w:type="dxa"/>
          </w:tblCellMar>
        </w:tblPrEx>
        <w:trPr>
          <w:wBefore w:w="0" w:type="auto"/>
          <w:tblCellSpacing w:w="0" w:type="dxa"/>
        </w:trPr>
        <w:tc>
          <w:tcPr>
            <w:tcW w:w="0" w:type="auto"/>
            <w:noWrap w:val="0"/>
            <w:vAlign w:val="center"/>
          </w:tcPr>
          <w:p w14:paraId="330EDA44">
            <w:r>
              <w:rPr>
                <w:rStyle w:val="10"/>
                <w:rFonts w:hint="eastAsia"/>
              </w:rPr>
              <w:t>备注：</w:t>
            </w:r>
            <w:r>
              <w:rPr>
                <w:rFonts w:hint="eastAsia"/>
              </w:rPr>
              <w:br w:type="textWrapping"/>
            </w:r>
            <w:r>
              <w:rPr>
                <w:rStyle w:val="11"/>
                <w:rFonts w:hint="eastAsia"/>
              </w:rPr>
              <w:t>甲氨基阿维菌素苯甲酸盐1%。</w:t>
            </w:r>
          </w:p>
        </w:tc>
      </w:tr>
    </w:tbl>
    <w:p w14:paraId="173F431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C466154">
        <w:tblPrEx>
          <w:tblCellMar>
            <w:top w:w="0" w:type="dxa"/>
            <w:left w:w="0" w:type="dxa"/>
            <w:bottom w:w="0" w:type="dxa"/>
            <w:right w:w="0" w:type="dxa"/>
          </w:tblCellMar>
        </w:tblPrEx>
        <w:trPr>
          <w:wBefore w:w="0" w:type="auto"/>
          <w:tblCellSpacing w:w="0" w:type="dxa"/>
        </w:trPr>
        <w:tc>
          <w:tcPr>
            <w:tcW w:w="0" w:type="auto"/>
            <w:noWrap w:val="0"/>
            <w:vAlign w:val="center"/>
          </w:tcPr>
          <w:p w14:paraId="15FD4ECC">
            <w:r>
              <w:rPr>
                <w:rStyle w:val="10"/>
                <w:rFonts w:hint="eastAsia"/>
              </w:rPr>
              <w:t>登记证号：</w:t>
            </w:r>
            <w:r>
              <w:rPr>
                <w:rFonts w:hint="eastAsia"/>
              </w:rPr>
              <w:t>WP20210215</w:t>
            </w:r>
          </w:p>
        </w:tc>
      </w:tr>
      <w:tr w14:paraId="3E51AFCE">
        <w:tblPrEx>
          <w:tblCellMar>
            <w:top w:w="0" w:type="dxa"/>
            <w:left w:w="0" w:type="dxa"/>
            <w:bottom w:w="0" w:type="dxa"/>
            <w:right w:w="0" w:type="dxa"/>
          </w:tblCellMar>
        </w:tblPrEx>
        <w:trPr>
          <w:wBefore w:w="0" w:type="auto"/>
          <w:tblCellSpacing w:w="0" w:type="dxa"/>
        </w:trPr>
        <w:tc>
          <w:tcPr>
            <w:tcW w:w="0" w:type="auto"/>
            <w:noWrap w:val="0"/>
            <w:vAlign w:val="center"/>
          </w:tcPr>
          <w:p w14:paraId="0AA76027">
            <w:r>
              <w:rPr>
                <w:rStyle w:val="10"/>
                <w:rFonts w:hint="eastAsia"/>
              </w:rPr>
              <w:t>登记证持有人：</w:t>
            </w:r>
            <w:r>
              <w:rPr>
                <w:rFonts w:hint="eastAsia"/>
              </w:rPr>
              <w:t>中山市小榄镇野薰草蚊香厂</w:t>
            </w:r>
          </w:p>
        </w:tc>
      </w:tr>
      <w:tr w14:paraId="3028BD2C">
        <w:tblPrEx>
          <w:tblCellMar>
            <w:top w:w="0" w:type="dxa"/>
            <w:left w:w="0" w:type="dxa"/>
            <w:bottom w:w="0" w:type="dxa"/>
            <w:right w:w="0" w:type="dxa"/>
          </w:tblCellMar>
        </w:tblPrEx>
        <w:trPr>
          <w:wBefore w:w="0" w:type="auto"/>
          <w:tblCellSpacing w:w="0" w:type="dxa"/>
        </w:trPr>
        <w:tc>
          <w:tcPr>
            <w:tcW w:w="0" w:type="auto"/>
            <w:noWrap w:val="0"/>
            <w:vAlign w:val="center"/>
          </w:tcPr>
          <w:p w14:paraId="5FADE1F1">
            <w:r>
              <w:rPr>
                <w:rStyle w:val="10"/>
                <w:rFonts w:hint="eastAsia"/>
              </w:rPr>
              <w:t>农药名称：</w:t>
            </w:r>
            <w:r>
              <w:rPr>
                <w:rFonts w:hint="eastAsia"/>
              </w:rPr>
              <w:t>杀虫气雾剂</w:t>
            </w:r>
          </w:p>
        </w:tc>
      </w:tr>
      <w:tr w14:paraId="00B9F50D">
        <w:tblPrEx>
          <w:tblCellMar>
            <w:top w:w="0" w:type="dxa"/>
            <w:left w:w="0" w:type="dxa"/>
            <w:bottom w:w="0" w:type="dxa"/>
            <w:right w:w="0" w:type="dxa"/>
          </w:tblCellMar>
        </w:tblPrEx>
        <w:trPr>
          <w:wBefore w:w="0" w:type="auto"/>
          <w:tblCellSpacing w:w="0" w:type="dxa"/>
        </w:trPr>
        <w:tc>
          <w:tcPr>
            <w:tcW w:w="0" w:type="auto"/>
            <w:noWrap w:val="0"/>
            <w:vAlign w:val="center"/>
          </w:tcPr>
          <w:p w14:paraId="00BCA2FD">
            <w:r>
              <w:rPr>
                <w:rStyle w:val="10"/>
                <w:rFonts w:hint="eastAsia"/>
              </w:rPr>
              <w:t>剂型：</w:t>
            </w:r>
            <w:r>
              <w:rPr>
                <w:rFonts w:hint="eastAsia"/>
              </w:rPr>
              <w:t>气雾剂</w:t>
            </w:r>
          </w:p>
        </w:tc>
      </w:tr>
      <w:tr w14:paraId="2876BF3E">
        <w:tblPrEx>
          <w:tblCellMar>
            <w:top w:w="0" w:type="dxa"/>
            <w:left w:w="0" w:type="dxa"/>
            <w:bottom w:w="0" w:type="dxa"/>
            <w:right w:w="0" w:type="dxa"/>
          </w:tblCellMar>
        </w:tblPrEx>
        <w:trPr>
          <w:wBefore w:w="0" w:type="auto"/>
          <w:tblCellSpacing w:w="0" w:type="dxa"/>
        </w:trPr>
        <w:tc>
          <w:tcPr>
            <w:tcW w:w="0" w:type="auto"/>
            <w:noWrap w:val="0"/>
            <w:vAlign w:val="center"/>
          </w:tcPr>
          <w:p w14:paraId="5EF77461">
            <w:r>
              <w:rPr>
                <w:rStyle w:val="10"/>
                <w:rFonts w:hint="eastAsia"/>
              </w:rPr>
              <w:t>毒性及其标识：</w:t>
            </w:r>
            <w:r>
              <w:rPr>
                <w:rFonts w:hint="eastAsia"/>
              </w:rPr>
              <w:t xml:space="preserve"> 微毒 </w:t>
            </w:r>
          </w:p>
        </w:tc>
      </w:tr>
      <w:tr w14:paraId="6414FF94">
        <w:tblPrEx>
          <w:tblCellMar>
            <w:top w:w="0" w:type="dxa"/>
            <w:left w:w="0" w:type="dxa"/>
            <w:bottom w:w="0" w:type="dxa"/>
            <w:right w:w="0" w:type="dxa"/>
          </w:tblCellMar>
        </w:tblPrEx>
        <w:trPr>
          <w:wBefore w:w="0" w:type="auto"/>
          <w:tblCellSpacing w:w="0" w:type="dxa"/>
        </w:trPr>
        <w:tc>
          <w:tcPr>
            <w:tcW w:w="0" w:type="auto"/>
            <w:noWrap w:val="0"/>
            <w:vAlign w:val="center"/>
          </w:tcPr>
          <w:p w14:paraId="13F565C4">
            <w:r>
              <w:rPr>
                <w:rStyle w:val="10"/>
                <w:rFonts w:hint="eastAsia"/>
              </w:rPr>
              <w:t>总有效成分含量：</w:t>
            </w:r>
            <w:r>
              <w:rPr>
                <w:rFonts w:hint="eastAsia"/>
              </w:rPr>
              <w:t>0.3%</w:t>
            </w:r>
          </w:p>
        </w:tc>
      </w:tr>
      <w:tr w14:paraId="3E419ADE">
        <w:tblPrEx>
          <w:tblCellMar>
            <w:top w:w="0" w:type="dxa"/>
            <w:left w:w="0" w:type="dxa"/>
            <w:bottom w:w="0" w:type="dxa"/>
            <w:right w:w="0" w:type="dxa"/>
          </w:tblCellMar>
        </w:tblPrEx>
        <w:trPr>
          <w:wBefore w:w="0" w:type="auto"/>
          <w:tblCellSpacing w:w="0" w:type="dxa"/>
        </w:trPr>
        <w:tc>
          <w:tcPr>
            <w:tcW w:w="0" w:type="auto"/>
            <w:noWrap w:val="0"/>
            <w:vAlign w:val="center"/>
          </w:tcPr>
          <w:p w14:paraId="6E488035">
            <w:r>
              <w:rPr>
                <w:rFonts w:hint="eastAsia"/>
              </w:rPr>
              <w:t xml:space="preserve">有效成分及其含量： </w:t>
            </w:r>
          </w:p>
          <w:p w14:paraId="25C3E3E0">
            <w:r>
              <w:rPr>
                <w:rFonts w:hint="eastAsia"/>
              </w:rPr>
              <w:t xml:space="preserve">    右旋苯醚氰菊酯0.2%    炔咪菊酯0.1%    </w:t>
            </w:r>
          </w:p>
        </w:tc>
      </w:tr>
      <w:tr w14:paraId="4A325789">
        <w:tblPrEx>
          <w:tblCellMar>
            <w:top w:w="0" w:type="dxa"/>
            <w:left w:w="0" w:type="dxa"/>
            <w:bottom w:w="0" w:type="dxa"/>
            <w:right w:w="0" w:type="dxa"/>
          </w:tblCellMar>
        </w:tblPrEx>
        <w:trPr>
          <w:wBefore w:w="0" w:type="auto"/>
          <w:tblCellSpacing w:w="0" w:type="dxa"/>
        </w:trPr>
        <w:tc>
          <w:tcPr>
            <w:tcW w:w="0" w:type="auto"/>
            <w:noWrap w:val="0"/>
            <w:vAlign w:val="center"/>
          </w:tcPr>
          <w:p w14:paraId="18A2C04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B0C9D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C86EB6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5B7D1C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E32C85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7D8068F">
                  <w:r>
                    <w:rPr>
                      <w:rStyle w:val="11"/>
                      <w:rFonts w:hint="eastAsia"/>
                    </w:rPr>
                    <w:t>施用方式</w:t>
                  </w:r>
                </w:p>
              </w:tc>
            </w:tr>
            <w:tr w14:paraId="696207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EBCE4A">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E4A1CB">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4E286C">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260787">
                  <w:r>
                    <w:rPr>
                      <w:rStyle w:val="11"/>
                      <w:rFonts w:hint="eastAsia"/>
                    </w:rPr>
                    <w:t>喷雾</w:t>
                  </w:r>
                </w:p>
              </w:tc>
            </w:tr>
          </w:tbl>
          <w:p w14:paraId="06EC948B">
            <w:pPr>
              <w:rPr>
                <w:rFonts w:ascii="Times New Roman" w:hAnsi="Times New Roman" w:cs="Times New Roman"/>
                <w:sz w:val="20"/>
                <w:szCs w:val="20"/>
              </w:rPr>
            </w:pPr>
          </w:p>
        </w:tc>
      </w:tr>
      <w:tr w14:paraId="22844967">
        <w:tblPrEx>
          <w:tblCellMar>
            <w:top w:w="0" w:type="dxa"/>
            <w:left w:w="0" w:type="dxa"/>
            <w:bottom w:w="0" w:type="dxa"/>
            <w:right w:w="0" w:type="dxa"/>
          </w:tblCellMar>
        </w:tblPrEx>
        <w:trPr>
          <w:wBefore w:w="0" w:type="auto"/>
          <w:tblCellSpacing w:w="0" w:type="dxa"/>
        </w:trPr>
        <w:tc>
          <w:tcPr>
            <w:tcW w:w="0" w:type="auto"/>
            <w:noWrap w:val="0"/>
            <w:vAlign w:val="center"/>
          </w:tcPr>
          <w:p w14:paraId="78A6DE67">
            <w:r>
              <w:rPr>
                <w:rStyle w:val="10"/>
                <w:rFonts w:hint="eastAsia"/>
              </w:rPr>
              <w:t>使用技术要求:</w:t>
            </w:r>
            <w:r>
              <w:rPr>
                <w:rFonts w:hint="eastAsia"/>
              </w:rPr>
              <w:br w:type="textWrapping"/>
            </w:r>
            <w:r>
              <w:rPr>
                <w:rStyle w:val="11"/>
                <w:rFonts w:hint="eastAsia"/>
              </w:rPr>
              <w:t>★使用前摇匀，直接按下喷嘴，向空间及所需处喷雾。★对付蚊、蝇，直接对准喷雾或向室内各处适量喷雾。★对付蜚蠊，直接对准喷雾或向经常出没的地方适量喷雾。★使用后人畜应立即离开房间，关闭门窗，再次进入房间必须充分通风后可进入。</w:t>
            </w:r>
          </w:p>
        </w:tc>
      </w:tr>
      <w:tr w14:paraId="734DC7BD">
        <w:tblPrEx>
          <w:tblCellMar>
            <w:top w:w="0" w:type="dxa"/>
            <w:left w:w="0" w:type="dxa"/>
            <w:bottom w:w="0" w:type="dxa"/>
            <w:right w:w="0" w:type="dxa"/>
          </w:tblCellMar>
        </w:tblPrEx>
        <w:trPr>
          <w:wBefore w:w="0" w:type="auto"/>
          <w:tblCellSpacing w:w="0" w:type="dxa"/>
        </w:trPr>
        <w:tc>
          <w:tcPr>
            <w:tcW w:w="0" w:type="auto"/>
            <w:noWrap w:val="0"/>
            <w:vAlign w:val="center"/>
          </w:tcPr>
          <w:p w14:paraId="57900F05">
            <w:r>
              <w:rPr>
                <w:rStyle w:val="10"/>
                <w:rFonts w:hint="eastAsia"/>
              </w:rPr>
              <w:t>产品性能:</w:t>
            </w:r>
            <w:r>
              <w:rPr>
                <w:rFonts w:hint="eastAsia"/>
              </w:rPr>
              <w:br w:type="textWrapping"/>
            </w:r>
            <w:r>
              <w:rPr>
                <w:rStyle w:val="11"/>
                <w:rFonts w:hint="eastAsia"/>
              </w:rPr>
              <w:t>本品以拟除虫菊酯为有效成份。对蚊子、苍蝇、蜚蠊（俗称蟑螂）有良好的驱杀效果。</w:t>
            </w:r>
          </w:p>
        </w:tc>
      </w:tr>
      <w:tr w14:paraId="27EF7848">
        <w:tblPrEx>
          <w:tblCellMar>
            <w:top w:w="0" w:type="dxa"/>
            <w:left w:w="0" w:type="dxa"/>
            <w:bottom w:w="0" w:type="dxa"/>
            <w:right w:w="0" w:type="dxa"/>
          </w:tblCellMar>
        </w:tblPrEx>
        <w:trPr>
          <w:wBefore w:w="0" w:type="auto"/>
          <w:tblCellSpacing w:w="0" w:type="dxa"/>
        </w:trPr>
        <w:tc>
          <w:tcPr>
            <w:tcW w:w="0" w:type="auto"/>
            <w:noWrap w:val="0"/>
            <w:vAlign w:val="center"/>
          </w:tcPr>
          <w:p w14:paraId="26FE5EC8">
            <w:r>
              <w:rPr>
                <w:rStyle w:val="10"/>
                <w:rFonts w:hint="eastAsia"/>
              </w:rPr>
              <w:t>注意事项：</w:t>
            </w:r>
            <w:r>
              <w:rPr>
                <w:rFonts w:hint="eastAsia"/>
              </w:rPr>
              <w:br w:type="textWrapping"/>
            </w:r>
            <w:r>
              <w:rPr>
                <w:rStyle w:val="11"/>
                <w:rFonts w:hint="eastAsia"/>
              </w:rPr>
              <w:t>★切勿直接喷向于人体、宠物和食品，请放于儿童无法接触的地方。★应存放于38℃以下阴凉干燥处，切勿将本品置于烈日下、火源及热源旁边。勿与食品、种子、饲料及易燃易爆品混放。★本品对鱼、蚕有毒；蚕室及其附近禁用。★勿将罐身戳穿焚烧。★切勿装罐倒置喷射。★用后请用肥皂水将手洗干净。★空罐不可作其它用途。★仅用于室内，使用本品后，应找开门、窗，保持通风。★远离儿童，孕妇及哺乳期妇女避免接触本品。过敏者禁用，使用中有任何不良反应请及时就医。</w:t>
            </w:r>
          </w:p>
        </w:tc>
      </w:tr>
      <w:tr w14:paraId="5F6BE061">
        <w:tblPrEx>
          <w:tblCellMar>
            <w:top w:w="0" w:type="dxa"/>
            <w:left w:w="0" w:type="dxa"/>
            <w:bottom w:w="0" w:type="dxa"/>
            <w:right w:w="0" w:type="dxa"/>
          </w:tblCellMar>
        </w:tblPrEx>
        <w:trPr>
          <w:wBefore w:w="0" w:type="auto"/>
          <w:tblCellSpacing w:w="0" w:type="dxa"/>
        </w:trPr>
        <w:tc>
          <w:tcPr>
            <w:tcW w:w="0" w:type="auto"/>
            <w:noWrap w:val="0"/>
            <w:vAlign w:val="center"/>
          </w:tcPr>
          <w:p w14:paraId="22F7037D">
            <w:r>
              <w:rPr>
                <w:rStyle w:val="10"/>
                <w:rFonts w:hint="eastAsia"/>
              </w:rPr>
              <w:t>中毒急救措施：</w:t>
            </w:r>
            <w:r>
              <w:rPr>
                <w:rFonts w:hint="eastAsia"/>
              </w:rPr>
              <w:br w:type="textWrapping"/>
            </w:r>
            <w:r>
              <w:rPr>
                <w:rStyle w:val="11"/>
                <w:rFonts w:hint="eastAsia"/>
              </w:rPr>
              <w:t>★在使用过程中，如有药液溅到皮肤上，请用肥皂水清洗干净。★在使用过程中，如有药液溅到眼睛，请用大量清水冲洗干净。★在使用过程中，如不慎吸入，请到空气新鲜的地方呼吸新鲜空气。★如误服应立即送医院，对症治疗。</w:t>
            </w:r>
          </w:p>
        </w:tc>
      </w:tr>
      <w:tr w14:paraId="7898C5E7">
        <w:tblPrEx>
          <w:tblCellMar>
            <w:top w:w="0" w:type="dxa"/>
            <w:left w:w="0" w:type="dxa"/>
            <w:bottom w:w="0" w:type="dxa"/>
            <w:right w:w="0" w:type="dxa"/>
          </w:tblCellMar>
        </w:tblPrEx>
        <w:trPr>
          <w:wBefore w:w="0" w:type="auto"/>
          <w:tblCellSpacing w:w="0" w:type="dxa"/>
        </w:trPr>
        <w:tc>
          <w:tcPr>
            <w:tcW w:w="0" w:type="auto"/>
            <w:noWrap w:val="0"/>
            <w:vAlign w:val="center"/>
          </w:tcPr>
          <w:p w14:paraId="48143309">
            <w:r>
              <w:rPr>
                <w:rStyle w:val="10"/>
                <w:rFonts w:hint="eastAsia"/>
              </w:rPr>
              <w:t>储存和运输方法：</w:t>
            </w:r>
            <w:r>
              <w:rPr>
                <w:rFonts w:hint="eastAsia"/>
              </w:rPr>
              <w:br w:type="textWrapping"/>
            </w:r>
            <w:r>
              <w:rPr>
                <w:rStyle w:val="11"/>
                <w:rFonts w:hint="eastAsia"/>
              </w:rPr>
              <w:t>★勿于食品、种子、饲料及易燃易爆品混放。★勿将本品贮放在潮湿、日晒、火源、热源的地方。★应贮存在38℃以下阴凉干燥通风处。38℃防止跌落和撞击。★远离儿童。</w:t>
            </w:r>
          </w:p>
        </w:tc>
      </w:tr>
      <w:tr w14:paraId="75610758">
        <w:tblPrEx>
          <w:tblCellMar>
            <w:top w:w="0" w:type="dxa"/>
            <w:left w:w="0" w:type="dxa"/>
            <w:bottom w:w="0" w:type="dxa"/>
            <w:right w:w="0" w:type="dxa"/>
          </w:tblCellMar>
        </w:tblPrEx>
        <w:trPr>
          <w:wBefore w:w="0" w:type="auto"/>
          <w:tblCellSpacing w:w="0" w:type="dxa"/>
        </w:trPr>
        <w:tc>
          <w:tcPr>
            <w:tcW w:w="0" w:type="auto"/>
            <w:noWrap w:val="0"/>
            <w:vAlign w:val="center"/>
          </w:tcPr>
          <w:p w14:paraId="57BC5E43">
            <w:r>
              <w:rPr>
                <w:rStyle w:val="10"/>
                <w:rFonts w:hint="eastAsia"/>
              </w:rPr>
              <w:t>质量保证期：</w:t>
            </w:r>
            <w:r>
              <w:rPr>
                <w:rStyle w:val="11"/>
                <w:rFonts w:hint="eastAsia"/>
              </w:rPr>
              <w:t>2年</w:t>
            </w:r>
          </w:p>
        </w:tc>
      </w:tr>
      <w:tr w14:paraId="2AD12547">
        <w:tblPrEx>
          <w:tblCellMar>
            <w:top w:w="0" w:type="dxa"/>
            <w:left w:w="0" w:type="dxa"/>
            <w:bottom w:w="0" w:type="dxa"/>
            <w:right w:w="0" w:type="dxa"/>
          </w:tblCellMar>
        </w:tblPrEx>
        <w:trPr>
          <w:wBefore w:w="0" w:type="auto"/>
          <w:tblCellSpacing w:w="0" w:type="dxa"/>
        </w:trPr>
        <w:tc>
          <w:tcPr>
            <w:tcW w:w="0" w:type="auto"/>
            <w:noWrap w:val="0"/>
            <w:vAlign w:val="center"/>
          </w:tcPr>
          <w:p w14:paraId="0E4B52C1">
            <w:r>
              <w:rPr>
                <w:rStyle w:val="10"/>
                <w:rFonts w:hint="eastAsia"/>
              </w:rPr>
              <w:t>备注：</w:t>
            </w:r>
          </w:p>
        </w:tc>
      </w:tr>
    </w:tbl>
    <w:p w14:paraId="49F5C71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6D327CE">
        <w:tblPrEx>
          <w:tblCellMar>
            <w:top w:w="0" w:type="dxa"/>
            <w:left w:w="0" w:type="dxa"/>
            <w:bottom w:w="0" w:type="dxa"/>
            <w:right w:w="0" w:type="dxa"/>
          </w:tblCellMar>
        </w:tblPrEx>
        <w:trPr>
          <w:wBefore w:w="0" w:type="auto"/>
          <w:tblCellSpacing w:w="0" w:type="dxa"/>
        </w:trPr>
        <w:tc>
          <w:tcPr>
            <w:tcW w:w="0" w:type="auto"/>
            <w:noWrap w:val="0"/>
            <w:vAlign w:val="center"/>
          </w:tcPr>
          <w:p w14:paraId="52F3A3C6">
            <w:r>
              <w:rPr>
                <w:rStyle w:val="10"/>
                <w:rFonts w:hint="eastAsia"/>
              </w:rPr>
              <w:t>登记证号：</w:t>
            </w:r>
            <w:r>
              <w:rPr>
                <w:rFonts w:hint="eastAsia"/>
              </w:rPr>
              <w:t>PD20211828</w:t>
            </w:r>
          </w:p>
        </w:tc>
      </w:tr>
      <w:tr w14:paraId="5EBE1B94">
        <w:tblPrEx>
          <w:tblCellMar>
            <w:top w:w="0" w:type="dxa"/>
            <w:left w:w="0" w:type="dxa"/>
            <w:bottom w:w="0" w:type="dxa"/>
            <w:right w:w="0" w:type="dxa"/>
          </w:tblCellMar>
        </w:tblPrEx>
        <w:trPr>
          <w:wBefore w:w="0" w:type="auto"/>
          <w:tblCellSpacing w:w="0" w:type="dxa"/>
        </w:trPr>
        <w:tc>
          <w:tcPr>
            <w:tcW w:w="0" w:type="auto"/>
            <w:noWrap w:val="0"/>
            <w:vAlign w:val="center"/>
          </w:tcPr>
          <w:p w14:paraId="2A1A92F0">
            <w:r>
              <w:rPr>
                <w:rStyle w:val="10"/>
                <w:rFonts w:hint="eastAsia"/>
              </w:rPr>
              <w:t>登记证持有人：</w:t>
            </w:r>
            <w:r>
              <w:rPr>
                <w:rFonts w:hint="eastAsia"/>
              </w:rPr>
              <w:t>陕西亿田丰作物科技有限公司</w:t>
            </w:r>
          </w:p>
        </w:tc>
      </w:tr>
      <w:tr w14:paraId="5B3ABFF9">
        <w:tblPrEx>
          <w:tblCellMar>
            <w:top w:w="0" w:type="dxa"/>
            <w:left w:w="0" w:type="dxa"/>
            <w:bottom w:w="0" w:type="dxa"/>
            <w:right w:w="0" w:type="dxa"/>
          </w:tblCellMar>
        </w:tblPrEx>
        <w:trPr>
          <w:wBefore w:w="0" w:type="auto"/>
          <w:tblCellSpacing w:w="0" w:type="dxa"/>
        </w:trPr>
        <w:tc>
          <w:tcPr>
            <w:tcW w:w="0" w:type="auto"/>
            <w:noWrap w:val="0"/>
            <w:vAlign w:val="center"/>
          </w:tcPr>
          <w:p w14:paraId="734D2C1F">
            <w:r>
              <w:rPr>
                <w:rStyle w:val="10"/>
                <w:rFonts w:hint="eastAsia"/>
              </w:rPr>
              <w:t>农药名称：</w:t>
            </w:r>
            <w:r>
              <w:rPr>
                <w:rFonts w:hint="eastAsia"/>
              </w:rPr>
              <w:t>虫螨腈·灭蝇胺</w:t>
            </w:r>
          </w:p>
        </w:tc>
      </w:tr>
      <w:tr w14:paraId="501A8ABA">
        <w:tblPrEx>
          <w:tblCellMar>
            <w:top w:w="0" w:type="dxa"/>
            <w:left w:w="0" w:type="dxa"/>
            <w:bottom w:w="0" w:type="dxa"/>
            <w:right w:w="0" w:type="dxa"/>
          </w:tblCellMar>
        </w:tblPrEx>
        <w:trPr>
          <w:wBefore w:w="0" w:type="auto"/>
          <w:tblCellSpacing w:w="0" w:type="dxa"/>
        </w:trPr>
        <w:tc>
          <w:tcPr>
            <w:tcW w:w="0" w:type="auto"/>
            <w:noWrap w:val="0"/>
            <w:vAlign w:val="center"/>
          </w:tcPr>
          <w:p w14:paraId="3EB3A7F4">
            <w:r>
              <w:rPr>
                <w:rStyle w:val="10"/>
                <w:rFonts w:hint="eastAsia"/>
              </w:rPr>
              <w:t>剂型：</w:t>
            </w:r>
            <w:r>
              <w:rPr>
                <w:rFonts w:hint="eastAsia"/>
              </w:rPr>
              <w:t>悬浮剂</w:t>
            </w:r>
          </w:p>
        </w:tc>
      </w:tr>
      <w:tr w14:paraId="274D6DC0">
        <w:tblPrEx>
          <w:tblCellMar>
            <w:top w:w="0" w:type="dxa"/>
            <w:left w:w="0" w:type="dxa"/>
            <w:bottom w:w="0" w:type="dxa"/>
            <w:right w:w="0" w:type="dxa"/>
          </w:tblCellMar>
        </w:tblPrEx>
        <w:trPr>
          <w:wBefore w:w="0" w:type="auto"/>
          <w:tblCellSpacing w:w="0" w:type="dxa"/>
        </w:trPr>
        <w:tc>
          <w:tcPr>
            <w:tcW w:w="0" w:type="auto"/>
            <w:noWrap w:val="0"/>
            <w:vAlign w:val="center"/>
          </w:tcPr>
          <w:p w14:paraId="2F9550F2">
            <w:r>
              <w:rPr>
                <w:rStyle w:val="10"/>
                <w:rFonts w:hint="eastAsia"/>
              </w:rPr>
              <w:t>毒性及其标识：</w:t>
            </w:r>
            <w:r>
              <w:rPr>
                <w:rFonts w:hint="eastAsia"/>
              </w:rPr>
              <w:t xml:space="preserve"> </w:t>
            </w:r>
            <w:r>
              <w:rPr>
                <w:lang/>
              </w:rPr>
              <w:drawing>
                <wp:inline distT="0" distB="0" distL="114300" distR="114300">
                  <wp:extent cx="476250" cy="323850"/>
                  <wp:effectExtent l="0" t="0" r="0" b="0"/>
                  <wp:docPr id="103" name="图片 10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2314720">
        <w:tblPrEx>
          <w:tblCellMar>
            <w:top w:w="0" w:type="dxa"/>
            <w:left w:w="0" w:type="dxa"/>
            <w:bottom w:w="0" w:type="dxa"/>
            <w:right w:w="0" w:type="dxa"/>
          </w:tblCellMar>
        </w:tblPrEx>
        <w:trPr>
          <w:wBefore w:w="0" w:type="auto"/>
          <w:tblCellSpacing w:w="0" w:type="dxa"/>
        </w:trPr>
        <w:tc>
          <w:tcPr>
            <w:tcW w:w="0" w:type="auto"/>
            <w:noWrap w:val="0"/>
            <w:vAlign w:val="center"/>
          </w:tcPr>
          <w:p w14:paraId="1EC08CF2">
            <w:r>
              <w:rPr>
                <w:rStyle w:val="10"/>
                <w:rFonts w:hint="eastAsia"/>
              </w:rPr>
              <w:t>总有效成分含量：</w:t>
            </w:r>
            <w:r>
              <w:rPr>
                <w:rFonts w:hint="eastAsia"/>
              </w:rPr>
              <w:t>20%</w:t>
            </w:r>
          </w:p>
        </w:tc>
      </w:tr>
      <w:tr w14:paraId="1C8A403B">
        <w:tblPrEx>
          <w:tblCellMar>
            <w:top w:w="0" w:type="dxa"/>
            <w:left w:w="0" w:type="dxa"/>
            <w:bottom w:w="0" w:type="dxa"/>
            <w:right w:w="0" w:type="dxa"/>
          </w:tblCellMar>
        </w:tblPrEx>
        <w:trPr>
          <w:wBefore w:w="0" w:type="auto"/>
          <w:tblCellSpacing w:w="0" w:type="dxa"/>
        </w:trPr>
        <w:tc>
          <w:tcPr>
            <w:tcW w:w="0" w:type="auto"/>
            <w:noWrap w:val="0"/>
            <w:vAlign w:val="center"/>
          </w:tcPr>
          <w:p w14:paraId="1F5C07A0">
            <w:r>
              <w:rPr>
                <w:rFonts w:hint="eastAsia"/>
              </w:rPr>
              <w:t xml:space="preserve">有效成分及其含量： </w:t>
            </w:r>
          </w:p>
          <w:p w14:paraId="283FDFC4">
            <w:r>
              <w:rPr>
                <w:rFonts w:hint="eastAsia"/>
              </w:rPr>
              <w:t xml:space="preserve">    虫螨腈10%    灭蝇胺10%    </w:t>
            </w:r>
          </w:p>
        </w:tc>
      </w:tr>
      <w:tr w14:paraId="4B164183">
        <w:tblPrEx>
          <w:tblCellMar>
            <w:top w:w="0" w:type="dxa"/>
            <w:left w:w="0" w:type="dxa"/>
            <w:bottom w:w="0" w:type="dxa"/>
            <w:right w:w="0" w:type="dxa"/>
          </w:tblCellMar>
        </w:tblPrEx>
        <w:trPr>
          <w:wBefore w:w="0" w:type="auto"/>
          <w:tblCellSpacing w:w="0" w:type="dxa"/>
        </w:trPr>
        <w:tc>
          <w:tcPr>
            <w:tcW w:w="0" w:type="auto"/>
            <w:noWrap w:val="0"/>
            <w:vAlign w:val="center"/>
          </w:tcPr>
          <w:p w14:paraId="6EA057E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88CB4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268CDB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6DA1C3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6FE00A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ADA27A8">
                  <w:r>
                    <w:rPr>
                      <w:rStyle w:val="11"/>
                      <w:rFonts w:hint="eastAsia"/>
                    </w:rPr>
                    <w:t>施用方式</w:t>
                  </w:r>
                </w:p>
              </w:tc>
            </w:tr>
            <w:tr w14:paraId="790DA4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7B9AEB8">
                  <w:r>
                    <w:rPr>
                      <w:rStyle w:val="11"/>
                      <w:rFonts w:hint="eastAsia"/>
                    </w:rPr>
                    <w:t>韭菜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9F1BA7">
                  <w:r>
                    <w:rPr>
                      <w:rStyle w:val="11"/>
                      <w:rFonts w:hint="eastAsia"/>
                    </w:rPr>
                    <w:t>韭蛆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893327">
                  <w:r>
                    <w:rPr>
                      <w:rStyle w:val="11"/>
                      <w:rFonts w:hint="eastAsia"/>
                    </w:rPr>
                    <w:t>100-150克/亩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4D7878">
                  <w:r>
                    <w:rPr>
                      <w:rStyle w:val="11"/>
                      <w:rFonts w:hint="eastAsia"/>
                    </w:rPr>
                    <w:t>灌根</w:t>
                  </w:r>
                </w:p>
              </w:tc>
            </w:tr>
          </w:tbl>
          <w:p w14:paraId="372E0DEF">
            <w:pPr>
              <w:rPr>
                <w:rFonts w:ascii="Times New Roman" w:hAnsi="Times New Roman" w:cs="Times New Roman"/>
                <w:sz w:val="20"/>
                <w:szCs w:val="20"/>
              </w:rPr>
            </w:pPr>
          </w:p>
        </w:tc>
      </w:tr>
      <w:tr w14:paraId="3F82AE52">
        <w:tblPrEx>
          <w:tblCellMar>
            <w:top w:w="0" w:type="dxa"/>
            <w:left w:w="0" w:type="dxa"/>
            <w:bottom w:w="0" w:type="dxa"/>
            <w:right w:w="0" w:type="dxa"/>
          </w:tblCellMar>
        </w:tblPrEx>
        <w:trPr>
          <w:wBefore w:w="0" w:type="auto"/>
          <w:tblCellSpacing w:w="0" w:type="dxa"/>
        </w:trPr>
        <w:tc>
          <w:tcPr>
            <w:tcW w:w="0" w:type="auto"/>
            <w:noWrap w:val="0"/>
            <w:vAlign w:val="center"/>
          </w:tcPr>
          <w:p w14:paraId="196EE9B6">
            <w:r>
              <w:rPr>
                <w:rStyle w:val="10"/>
                <w:rFonts w:hint="eastAsia"/>
              </w:rPr>
              <w:t>使用技术要求:</w:t>
            </w:r>
            <w:r>
              <w:rPr>
                <w:rFonts w:hint="eastAsia"/>
              </w:rPr>
              <w:br w:type="textWrapping"/>
            </w:r>
            <w:r>
              <w:rPr>
                <w:rStyle w:val="11"/>
                <w:rFonts w:hint="eastAsia"/>
              </w:rPr>
              <w:t>1.本品适宜施药时期为韭菜韭蛆发生初期灌根处理，用药1次，用卸去喷片的手动喷雾器将药液顺垄喷淋韭菜根部。2.大风天或预计1小时内降雨，请勿施药，傍晚施药更有利于药效充分发挥。3.本品在韭菜使用时的安全间隔期为14天，每季作物最多使用1次。</w:t>
            </w:r>
          </w:p>
        </w:tc>
      </w:tr>
      <w:tr w14:paraId="2C6208DA">
        <w:tblPrEx>
          <w:tblCellMar>
            <w:top w:w="0" w:type="dxa"/>
            <w:left w:w="0" w:type="dxa"/>
            <w:bottom w:w="0" w:type="dxa"/>
            <w:right w:w="0" w:type="dxa"/>
          </w:tblCellMar>
        </w:tblPrEx>
        <w:trPr>
          <w:wBefore w:w="0" w:type="auto"/>
          <w:tblCellSpacing w:w="0" w:type="dxa"/>
        </w:trPr>
        <w:tc>
          <w:tcPr>
            <w:tcW w:w="0" w:type="auto"/>
            <w:noWrap w:val="0"/>
            <w:vAlign w:val="center"/>
          </w:tcPr>
          <w:p w14:paraId="0A4841B7">
            <w:r>
              <w:rPr>
                <w:rStyle w:val="10"/>
                <w:rFonts w:hint="eastAsia"/>
              </w:rPr>
              <w:t>产品性能:</w:t>
            </w:r>
            <w:r>
              <w:rPr>
                <w:rFonts w:hint="eastAsia"/>
              </w:rPr>
              <w:br w:type="textWrapping"/>
            </w:r>
            <w:r>
              <w:rPr>
                <w:rStyle w:val="11"/>
                <w:rFonts w:hint="eastAsia"/>
              </w:rPr>
              <w:t>本品是由虫螨腈与灭蝇胺复配而成的杀虫剂，虫螨腈为芳基取代吡咯化合物，作用于昆虫体内细胞的线粒体上，通过昆虫体内的多功能氧化酶起作用，主要抑制二磷酸腺苷（ADP)向三磷酸腺苷(ATP)的转化，而三磷酸腺苷贮存细胞维持其生命机能所必需的能量。可通过胃毒及触杀作用于害虫，在植物叶面渗透性强，有一定的内吸作用。灭蝇胺为1，3，5-三嗪类昆虫生长调节剂，具有触杀、胃毒以及内吸渗透作用，通过扰乱双翅目昆虫蜕皮激素的形成和释放，来抑制双翅目昆虫的蜕皮、成长，受影响的幼虫不能正常发育而死亡。按登记剂量使用时，对韭菜韭蛆有较好的防治效果，且对韭菜安全。</w:t>
            </w:r>
          </w:p>
        </w:tc>
      </w:tr>
      <w:tr w14:paraId="3C478861">
        <w:tblPrEx>
          <w:tblCellMar>
            <w:top w:w="0" w:type="dxa"/>
            <w:left w:w="0" w:type="dxa"/>
            <w:bottom w:w="0" w:type="dxa"/>
            <w:right w:w="0" w:type="dxa"/>
          </w:tblCellMar>
        </w:tblPrEx>
        <w:trPr>
          <w:wBefore w:w="0" w:type="auto"/>
          <w:tblCellSpacing w:w="0" w:type="dxa"/>
        </w:trPr>
        <w:tc>
          <w:tcPr>
            <w:tcW w:w="0" w:type="auto"/>
            <w:noWrap w:val="0"/>
            <w:vAlign w:val="center"/>
          </w:tcPr>
          <w:p w14:paraId="0BA7A2FB">
            <w:r>
              <w:rPr>
                <w:rStyle w:val="10"/>
                <w:rFonts w:hint="eastAsia"/>
              </w:rPr>
              <w:t>注意事项：</w:t>
            </w:r>
            <w:r>
              <w:rPr>
                <w:rFonts w:hint="eastAsia"/>
              </w:rPr>
              <w:br w:type="textWrapping"/>
            </w:r>
            <w:r>
              <w:rPr>
                <w:rStyle w:val="11"/>
                <w:rFonts w:hint="eastAsia"/>
              </w:rPr>
              <w:t>1. 严格按规定用药量和方法使用。 2. 建议与其他作用机制不同的杀虫剂轮换使用，以延缓抗性产生。 3. 本品对蜜蜂、鱼、水溞有毒，施药期间应避免对周围蜂群的影响，（周围）开花植物花期禁用，使用期间应密切关注对附近蜂群的影响。水产养殖区、河塘等水体附近禁用，禁止在河塘等水体中清洗施药器具。 4. 本品对眼睛有刺激性，使用时避免接触眼睛，穿戴长衣、长裤、帽子、口罩、手套等防护措施。避免吸入药液。施药期间不可东西和饮水。施药后应及时洗手和洗脸。 5. 用药后包装物及用过的容器应妥善处理，不可做他用，也不可随意丢弃。 6. 孕妇及哺乳期妇女禁止接触本品。</w:t>
            </w:r>
          </w:p>
        </w:tc>
      </w:tr>
      <w:tr w14:paraId="3AE5F107">
        <w:tblPrEx>
          <w:tblCellMar>
            <w:top w:w="0" w:type="dxa"/>
            <w:left w:w="0" w:type="dxa"/>
            <w:bottom w:w="0" w:type="dxa"/>
            <w:right w:w="0" w:type="dxa"/>
          </w:tblCellMar>
        </w:tblPrEx>
        <w:trPr>
          <w:wBefore w:w="0" w:type="auto"/>
          <w:tblCellSpacing w:w="0" w:type="dxa"/>
        </w:trPr>
        <w:tc>
          <w:tcPr>
            <w:tcW w:w="0" w:type="auto"/>
            <w:noWrap w:val="0"/>
            <w:vAlign w:val="center"/>
          </w:tcPr>
          <w:p w14:paraId="49A73955">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435EFBAB">
        <w:tblPrEx>
          <w:tblCellMar>
            <w:top w:w="0" w:type="dxa"/>
            <w:left w:w="0" w:type="dxa"/>
            <w:bottom w:w="0" w:type="dxa"/>
            <w:right w:w="0" w:type="dxa"/>
          </w:tblCellMar>
        </w:tblPrEx>
        <w:trPr>
          <w:wBefore w:w="0" w:type="auto"/>
          <w:tblCellSpacing w:w="0" w:type="dxa"/>
        </w:trPr>
        <w:tc>
          <w:tcPr>
            <w:tcW w:w="0" w:type="auto"/>
            <w:noWrap w:val="0"/>
            <w:vAlign w:val="center"/>
          </w:tcPr>
          <w:p w14:paraId="35FD90C5">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本品应贮存在干燥、阴凉、通风、防雨处，远离火源或热源。置于儿童、无关人员及动物触及不到之处，并加锁保存。勿与食品、种子、饮料、粮食、饲料等其他商品同贮同运。</w:t>
            </w:r>
          </w:p>
        </w:tc>
      </w:tr>
      <w:tr w14:paraId="4137D06B">
        <w:tblPrEx>
          <w:tblCellMar>
            <w:top w:w="0" w:type="dxa"/>
            <w:left w:w="0" w:type="dxa"/>
            <w:bottom w:w="0" w:type="dxa"/>
            <w:right w:w="0" w:type="dxa"/>
          </w:tblCellMar>
        </w:tblPrEx>
        <w:trPr>
          <w:wBefore w:w="0" w:type="auto"/>
          <w:tblCellSpacing w:w="0" w:type="dxa"/>
        </w:trPr>
        <w:tc>
          <w:tcPr>
            <w:tcW w:w="0" w:type="auto"/>
            <w:noWrap w:val="0"/>
            <w:vAlign w:val="center"/>
          </w:tcPr>
          <w:p w14:paraId="4B4847ED">
            <w:r>
              <w:rPr>
                <w:rStyle w:val="10"/>
                <w:rFonts w:hint="eastAsia"/>
              </w:rPr>
              <w:t>质量保证期：</w:t>
            </w:r>
            <w:r>
              <w:rPr>
                <w:rStyle w:val="11"/>
                <w:rFonts w:hint="eastAsia"/>
              </w:rPr>
              <w:t>2年</w:t>
            </w:r>
          </w:p>
        </w:tc>
      </w:tr>
      <w:tr w14:paraId="7F35439E">
        <w:tblPrEx>
          <w:tblCellMar>
            <w:top w:w="0" w:type="dxa"/>
            <w:left w:w="0" w:type="dxa"/>
            <w:bottom w:w="0" w:type="dxa"/>
            <w:right w:w="0" w:type="dxa"/>
          </w:tblCellMar>
        </w:tblPrEx>
        <w:trPr>
          <w:wBefore w:w="0" w:type="auto"/>
          <w:tblCellSpacing w:w="0" w:type="dxa"/>
        </w:trPr>
        <w:tc>
          <w:tcPr>
            <w:tcW w:w="0" w:type="auto"/>
            <w:noWrap w:val="0"/>
            <w:vAlign w:val="center"/>
          </w:tcPr>
          <w:p w14:paraId="1157AF3B">
            <w:r>
              <w:rPr>
                <w:rStyle w:val="10"/>
                <w:rFonts w:hint="eastAsia"/>
              </w:rPr>
              <w:t>备注：</w:t>
            </w:r>
          </w:p>
        </w:tc>
      </w:tr>
    </w:tbl>
    <w:p w14:paraId="3FF426B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40465D4">
        <w:tblPrEx>
          <w:tblCellMar>
            <w:top w:w="0" w:type="dxa"/>
            <w:left w:w="0" w:type="dxa"/>
            <w:bottom w:w="0" w:type="dxa"/>
            <w:right w:w="0" w:type="dxa"/>
          </w:tblCellMar>
        </w:tblPrEx>
        <w:trPr>
          <w:wBefore w:w="0" w:type="auto"/>
          <w:tblCellSpacing w:w="0" w:type="dxa"/>
        </w:trPr>
        <w:tc>
          <w:tcPr>
            <w:tcW w:w="0" w:type="auto"/>
            <w:noWrap w:val="0"/>
            <w:vAlign w:val="center"/>
          </w:tcPr>
          <w:p w14:paraId="241BC39B">
            <w:r>
              <w:rPr>
                <w:rStyle w:val="10"/>
                <w:rFonts w:hint="eastAsia"/>
              </w:rPr>
              <w:t>登记证号：</w:t>
            </w:r>
            <w:r>
              <w:rPr>
                <w:rFonts w:hint="eastAsia"/>
              </w:rPr>
              <w:t>PD20212003</w:t>
            </w:r>
          </w:p>
        </w:tc>
      </w:tr>
      <w:tr w14:paraId="2EA24774">
        <w:tblPrEx>
          <w:tblCellMar>
            <w:top w:w="0" w:type="dxa"/>
            <w:left w:w="0" w:type="dxa"/>
            <w:bottom w:w="0" w:type="dxa"/>
            <w:right w:w="0" w:type="dxa"/>
          </w:tblCellMar>
        </w:tblPrEx>
        <w:trPr>
          <w:wBefore w:w="0" w:type="auto"/>
          <w:tblCellSpacing w:w="0" w:type="dxa"/>
        </w:trPr>
        <w:tc>
          <w:tcPr>
            <w:tcW w:w="0" w:type="auto"/>
            <w:noWrap w:val="0"/>
            <w:vAlign w:val="center"/>
          </w:tcPr>
          <w:p w14:paraId="5F4F1F5B">
            <w:r>
              <w:rPr>
                <w:rStyle w:val="10"/>
                <w:rFonts w:hint="eastAsia"/>
              </w:rPr>
              <w:t>登记证持有人：</w:t>
            </w:r>
            <w:r>
              <w:rPr>
                <w:rFonts w:hint="eastAsia"/>
              </w:rPr>
              <w:t>陕西康禾立丰生物科技药业有限公司</w:t>
            </w:r>
          </w:p>
        </w:tc>
      </w:tr>
      <w:tr w14:paraId="19C071F8">
        <w:tblPrEx>
          <w:tblCellMar>
            <w:top w:w="0" w:type="dxa"/>
            <w:left w:w="0" w:type="dxa"/>
            <w:bottom w:w="0" w:type="dxa"/>
            <w:right w:w="0" w:type="dxa"/>
          </w:tblCellMar>
        </w:tblPrEx>
        <w:trPr>
          <w:wBefore w:w="0" w:type="auto"/>
          <w:tblCellSpacing w:w="0" w:type="dxa"/>
        </w:trPr>
        <w:tc>
          <w:tcPr>
            <w:tcW w:w="0" w:type="auto"/>
            <w:noWrap w:val="0"/>
            <w:vAlign w:val="center"/>
          </w:tcPr>
          <w:p w14:paraId="24145266">
            <w:r>
              <w:rPr>
                <w:rStyle w:val="10"/>
                <w:rFonts w:hint="eastAsia"/>
              </w:rPr>
              <w:t>农药名称：</w:t>
            </w:r>
            <w:r>
              <w:rPr>
                <w:rFonts w:hint="eastAsia"/>
              </w:rPr>
              <w:t>喹啉铜·溴菌腈</w:t>
            </w:r>
          </w:p>
        </w:tc>
      </w:tr>
      <w:tr w14:paraId="374865C5">
        <w:tblPrEx>
          <w:tblCellMar>
            <w:top w:w="0" w:type="dxa"/>
            <w:left w:w="0" w:type="dxa"/>
            <w:bottom w:w="0" w:type="dxa"/>
            <w:right w:w="0" w:type="dxa"/>
          </w:tblCellMar>
        </w:tblPrEx>
        <w:trPr>
          <w:wBefore w:w="0" w:type="auto"/>
          <w:tblCellSpacing w:w="0" w:type="dxa"/>
        </w:trPr>
        <w:tc>
          <w:tcPr>
            <w:tcW w:w="0" w:type="auto"/>
            <w:noWrap w:val="0"/>
            <w:vAlign w:val="center"/>
          </w:tcPr>
          <w:p w14:paraId="6377F86F">
            <w:r>
              <w:rPr>
                <w:rStyle w:val="10"/>
                <w:rFonts w:hint="eastAsia"/>
              </w:rPr>
              <w:t>剂型：</w:t>
            </w:r>
            <w:r>
              <w:rPr>
                <w:rFonts w:hint="eastAsia"/>
              </w:rPr>
              <w:t>可湿性粉剂</w:t>
            </w:r>
          </w:p>
        </w:tc>
      </w:tr>
      <w:tr w14:paraId="737756EB">
        <w:tblPrEx>
          <w:tblCellMar>
            <w:top w:w="0" w:type="dxa"/>
            <w:left w:w="0" w:type="dxa"/>
            <w:bottom w:w="0" w:type="dxa"/>
            <w:right w:w="0" w:type="dxa"/>
          </w:tblCellMar>
        </w:tblPrEx>
        <w:trPr>
          <w:wBefore w:w="0" w:type="auto"/>
          <w:tblCellSpacing w:w="0" w:type="dxa"/>
        </w:trPr>
        <w:tc>
          <w:tcPr>
            <w:tcW w:w="0" w:type="auto"/>
            <w:noWrap w:val="0"/>
            <w:vAlign w:val="center"/>
          </w:tcPr>
          <w:p w14:paraId="57949259">
            <w:r>
              <w:rPr>
                <w:rStyle w:val="10"/>
                <w:rFonts w:hint="eastAsia"/>
              </w:rPr>
              <w:t>毒性及其标识：</w:t>
            </w:r>
            <w:r>
              <w:rPr>
                <w:rFonts w:hint="eastAsia"/>
              </w:rPr>
              <w:t xml:space="preserve"> </w:t>
            </w:r>
            <w:r>
              <w:rPr>
                <w:lang/>
              </w:rPr>
              <w:drawing>
                <wp:inline distT="0" distB="0" distL="114300" distR="114300">
                  <wp:extent cx="476250" cy="323850"/>
                  <wp:effectExtent l="0" t="0" r="0" b="0"/>
                  <wp:docPr id="104" name="图片 10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0E90076">
        <w:tblPrEx>
          <w:tblCellMar>
            <w:top w:w="0" w:type="dxa"/>
            <w:left w:w="0" w:type="dxa"/>
            <w:bottom w:w="0" w:type="dxa"/>
            <w:right w:w="0" w:type="dxa"/>
          </w:tblCellMar>
        </w:tblPrEx>
        <w:trPr>
          <w:wBefore w:w="0" w:type="auto"/>
          <w:tblCellSpacing w:w="0" w:type="dxa"/>
        </w:trPr>
        <w:tc>
          <w:tcPr>
            <w:tcW w:w="0" w:type="auto"/>
            <w:noWrap w:val="0"/>
            <w:vAlign w:val="center"/>
          </w:tcPr>
          <w:p w14:paraId="13B06CFD">
            <w:r>
              <w:rPr>
                <w:rStyle w:val="10"/>
                <w:rFonts w:hint="eastAsia"/>
              </w:rPr>
              <w:t>总有效成分含量：</w:t>
            </w:r>
            <w:r>
              <w:rPr>
                <w:rFonts w:hint="eastAsia"/>
              </w:rPr>
              <w:t>55%</w:t>
            </w:r>
          </w:p>
        </w:tc>
      </w:tr>
      <w:tr w14:paraId="37F1AA42">
        <w:tblPrEx>
          <w:tblCellMar>
            <w:top w:w="0" w:type="dxa"/>
            <w:left w:w="0" w:type="dxa"/>
            <w:bottom w:w="0" w:type="dxa"/>
            <w:right w:w="0" w:type="dxa"/>
          </w:tblCellMar>
        </w:tblPrEx>
        <w:trPr>
          <w:wBefore w:w="0" w:type="auto"/>
          <w:tblCellSpacing w:w="0" w:type="dxa"/>
        </w:trPr>
        <w:tc>
          <w:tcPr>
            <w:tcW w:w="0" w:type="auto"/>
            <w:noWrap w:val="0"/>
            <w:vAlign w:val="center"/>
          </w:tcPr>
          <w:p w14:paraId="729E078E">
            <w:r>
              <w:rPr>
                <w:rFonts w:hint="eastAsia"/>
              </w:rPr>
              <w:t xml:space="preserve">有效成分及其含量： </w:t>
            </w:r>
          </w:p>
          <w:p w14:paraId="4266CE1D">
            <w:r>
              <w:rPr>
                <w:rFonts w:hint="eastAsia"/>
              </w:rPr>
              <w:t xml:space="preserve">    喹啉铜35%    溴菌腈20%    </w:t>
            </w:r>
          </w:p>
        </w:tc>
      </w:tr>
      <w:tr w14:paraId="5930BA47">
        <w:tblPrEx>
          <w:tblCellMar>
            <w:top w:w="0" w:type="dxa"/>
            <w:left w:w="0" w:type="dxa"/>
            <w:bottom w:w="0" w:type="dxa"/>
            <w:right w:w="0" w:type="dxa"/>
          </w:tblCellMar>
        </w:tblPrEx>
        <w:trPr>
          <w:wBefore w:w="0" w:type="auto"/>
          <w:tblCellSpacing w:w="0" w:type="dxa"/>
        </w:trPr>
        <w:tc>
          <w:tcPr>
            <w:tcW w:w="0" w:type="auto"/>
            <w:noWrap w:val="0"/>
            <w:vAlign w:val="center"/>
          </w:tcPr>
          <w:p w14:paraId="56E1C14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34F00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6AC39B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363E16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864D20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C962999">
                  <w:r>
                    <w:rPr>
                      <w:rStyle w:val="11"/>
                      <w:rFonts w:hint="eastAsia"/>
                    </w:rPr>
                    <w:t>施用方式</w:t>
                  </w:r>
                </w:p>
              </w:tc>
            </w:tr>
            <w:tr w14:paraId="09DA5A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DD52330">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CDE763">
                  <w:r>
                    <w:rPr>
                      <w:rStyle w:val="11"/>
                      <w:rFonts w:hint="eastAsia"/>
                    </w:rPr>
                    <w:t>炭疽叶枯病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036C5D">
                  <w:r>
                    <w:rPr>
                      <w:rStyle w:val="11"/>
                      <w:rFonts w:hint="eastAsia"/>
                    </w:rPr>
                    <w:t>3000-4000倍液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BC1D03">
                  <w:r>
                    <w:rPr>
                      <w:rStyle w:val="11"/>
                      <w:rFonts w:hint="eastAsia"/>
                    </w:rPr>
                    <w:t>喷雾</w:t>
                  </w:r>
                </w:p>
              </w:tc>
            </w:tr>
          </w:tbl>
          <w:p w14:paraId="7907E2B9">
            <w:pPr>
              <w:rPr>
                <w:rFonts w:ascii="Times New Roman" w:hAnsi="Times New Roman" w:cs="Times New Roman"/>
                <w:sz w:val="20"/>
                <w:szCs w:val="20"/>
              </w:rPr>
            </w:pPr>
          </w:p>
        </w:tc>
      </w:tr>
      <w:tr w14:paraId="322F4F1A">
        <w:tblPrEx>
          <w:tblCellMar>
            <w:top w:w="0" w:type="dxa"/>
            <w:left w:w="0" w:type="dxa"/>
            <w:bottom w:w="0" w:type="dxa"/>
            <w:right w:w="0" w:type="dxa"/>
          </w:tblCellMar>
        </w:tblPrEx>
        <w:trPr>
          <w:wBefore w:w="0" w:type="auto"/>
          <w:tblCellSpacing w:w="0" w:type="dxa"/>
        </w:trPr>
        <w:tc>
          <w:tcPr>
            <w:tcW w:w="0" w:type="auto"/>
            <w:noWrap w:val="0"/>
            <w:vAlign w:val="center"/>
          </w:tcPr>
          <w:p w14:paraId="449140AC">
            <w:r>
              <w:rPr>
                <w:rStyle w:val="10"/>
                <w:rFonts w:hint="eastAsia"/>
              </w:rPr>
              <w:t>使用技术要求:</w:t>
            </w:r>
            <w:r>
              <w:rPr>
                <w:rFonts w:hint="eastAsia"/>
              </w:rPr>
              <w:br w:type="textWrapping"/>
            </w:r>
            <w:r>
              <w:rPr>
                <w:rStyle w:val="11"/>
                <w:rFonts w:hint="eastAsia"/>
              </w:rPr>
              <w:t>1、本品在苹果树上安全间隔期为21天，每季最多使用3次。 2、在苹果树炭疽叶枯病发生前或发病初期施药，可施药2~3次，间隔7~10天。 3、大风天或预计 1 小时内降雨，请勿施药。4、加强苹果炭疽叶枯病对溴菌腈田间抗性风险监测；通过与不同作用机理药剂混配或轮换用药的方式延缓苹果炭疽叶枯病对溴菌腈抗性。</w:t>
            </w:r>
          </w:p>
        </w:tc>
      </w:tr>
      <w:tr w14:paraId="75FAEC12">
        <w:tblPrEx>
          <w:tblCellMar>
            <w:top w:w="0" w:type="dxa"/>
            <w:left w:w="0" w:type="dxa"/>
            <w:bottom w:w="0" w:type="dxa"/>
            <w:right w:w="0" w:type="dxa"/>
          </w:tblCellMar>
        </w:tblPrEx>
        <w:trPr>
          <w:wBefore w:w="0" w:type="auto"/>
          <w:tblCellSpacing w:w="0" w:type="dxa"/>
        </w:trPr>
        <w:tc>
          <w:tcPr>
            <w:tcW w:w="0" w:type="auto"/>
            <w:noWrap w:val="0"/>
            <w:vAlign w:val="center"/>
          </w:tcPr>
          <w:p w14:paraId="440047BC">
            <w:r>
              <w:rPr>
                <w:rStyle w:val="10"/>
                <w:rFonts w:hint="eastAsia"/>
              </w:rPr>
              <w:t>产品性能:</w:t>
            </w:r>
            <w:r>
              <w:rPr>
                <w:rFonts w:hint="eastAsia"/>
              </w:rPr>
              <w:br w:type="textWrapping"/>
            </w:r>
            <w:r>
              <w:rPr>
                <w:rStyle w:val="11"/>
                <w:rFonts w:hint="eastAsia"/>
              </w:rPr>
              <w:t>本品是溴菌腈和喹啉铜复配的杀菌剂，溴菌腈兼有杀菌、防霉、灭藻性能，能抑制和铲除细菌、真菌及藻类的生长，喹啉铜为有机</w:t>
            </w:r>
            <w:r>
              <w:rPr>
                <w:rStyle w:val="11"/>
                <w:rFonts w:hint="eastAsia"/>
                <w:lang w:eastAsia="zh-CN"/>
              </w:rPr>
              <w:t>螯合</w:t>
            </w:r>
            <w:r>
              <w:rPr>
                <w:rStyle w:val="11"/>
                <w:rFonts w:hint="eastAsia"/>
              </w:rPr>
              <w:t>铜，对真菌、细菌性等病毒具有良好预防和治疗作用，本品对苹果炭疽叶枯病有较好防效。</w:t>
            </w:r>
          </w:p>
        </w:tc>
      </w:tr>
      <w:tr w14:paraId="470DFD01">
        <w:tblPrEx>
          <w:tblCellMar>
            <w:top w:w="0" w:type="dxa"/>
            <w:left w:w="0" w:type="dxa"/>
            <w:bottom w:w="0" w:type="dxa"/>
            <w:right w:w="0" w:type="dxa"/>
          </w:tblCellMar>
        </w:tblPrEx>
        <w:trPr>
          <w:wBefore w:w="0" w:type="auto"/>
          <w:tblCellSpacing w:w="0" w:type="dxa"/>
        </w:trPr>
        <w:tc>
          <w:tcPr>
            <w:tcW w:w="0" w:type="auto"/>
            <w:noWrap w:val="0"/>
            <w:vAlign w:val="center"/>
          </w:tcPr>
          <w:p w14:paraId="7113BDEA">
            <w:r>
              <w:rPr>
                <w:rStyle w:val="10"/>
                <w:rFonts w:hint="eastAsia"/>
              </w:rPr>
              <w:t>注意事项：</w:t>
            </w:r>
            <w:r>
              <w:rPr>
                <w:rFonts w:hint="eastAsia"/>
              </w:rPr>
              <w:br w:type="textWrapping"/>
            </w:r>
            <w:r>
              <w:rPr>
                <w:rStyle w:val="11"/>
                <w:rFonts w:hint="eastAsia"/>
              </w:rPr>
              <w:t>1、严格按照规定用药量和方法使用。 2、本品不可与碱性农药等物质混用。 3、本品对家蚕活动有影响，蚕室及桑园附近禁用。 4、在配药和施药过程中要注意安全，穿戴长衣、长裤、帽子、口罩、手套等安全防护措施。 5、农药施用人员严格按照施药量、施药次数及施药间隔进行施药，或在专业植保人员的指导下施药，不能随意增加施药量、施药次数或缩短施药间隔。 6、农药施用人员不要在下雨、高温、作物上有露水、刮风、沿海地区遇到有海雾时施药，每次施药时间最好控制在 4h以内，每次施药面积最好控制在 0.5 公顷以内。 7、农药施用人员定期检查、维护和保养施药器械，避免施药器械的故障或药液箱漏液，施药时应从上风向开始，喷头应在下风向，并在施药作业现场准备有足量的肥皂和清水等洗涤用品。 8、农药施用人员在脱去防护手套和防护鞋前先用清水冲洗，避免其污染面在脱下时与皮肤接触，并且防护用品必须和其他衣物分开清洗和存放。 9、用药后包装物及用过的容器应妥善处理，不可做他用，也不可随意丢弃。 10、孕妇及哺乳期妇女禁止接触本品。11、水产养殖区、河塘等水体附近禁用，禁止在河塘等水域清洗施药器具。</w:t>
            </w:r>
          </w:p>
        </w:tc>
      </w:tr>
      <w:tr w14:paraId="42E1E89E">
        <w:tblPrEx>
          <w:tblCellMar>
            <w:top w:w="0" w:type="dxa"/>
            <w:left w:w="0" w:type="dxa"/>
            <w:bottom w:w="0" w:type="dxa"/>
            <w:right w:w="0" w:type="dxa"/>
          </w:tblCellMar>
        </w:tblPrEx>
        <w:trPr>
          <w:wBefore w:w="0" w:type="auto"/>
          <w:tblCellSpacing w:w="0" w:type="dxa"/>
        </w:trPr>
        <w:tc>
          <w:tcPr>
            <w:tcW w:w="0" w:type="auto"/>
            <w:noWrap w:val="0"/>
            <w:vAlign w:val="center"/>
          </w:tcPr>
          <w:p w14:paraId="3E716DF6">
            <w:r>
              <w:rPr>
                <w:rStyle w:val="10"/>
                <w:rFonts w:hint="eastAsia"/>
              </w:rPr>
              <w:t>中毒急救措施：</w:t>
            </w:r>
            <w:r>
              <w:rPr>
                <w:rFonts w:hint="eastAsia"/>
              </w:rPr>
              <w:br w:type="textWrapping"/>
            </w:r>
            <w:r>
              <w:rPr>
                <w:rStyle w:val="11"/>
                <w:rFonts w:hint="eastAsia"/>
              </w:rPr>
              <w:t>对眼睛有刺激性，使用时避免接触眼睛。 1、使用中或使用后如果感觉不适，应立即停止工作，采取急救措施，并携带标签送医院就诊。 2、皮肤接触：脱去污染的衣物，用软布去除沾染农药，立即用大量清水和肥皂冲洗。 3、眼睛溅入：立即用流动清水冲洗不少于15分钟。 4、吸入：立即离开施药现场，转移到空气清新处。 5、误食：立即停止服用，用清水充分漱口后，立即携带农药标签到医院就诊。</w:t>
            </w:r>
          </w:p>
        </w:tc>
      </w:tr>
      <w:tr w14:paraId="123D571A">
        <w:tblPrEx>
          <w:tblCellMar>
            <w:top w:w="0" w:type="dxa"/>
            <w:left w:w="0" w:type="dxa"/>
            <w:bottom w:w="0" w:type="dxa"/>
            <w:right w:w="0" w:type="dxa"/>
          </w:tblCellMar>
        </w:tblPrEx>
        <w:trPr>
          <w:wBefore w:w="0" w:type="auto"/>
          <w:tblCellSpacing w:w="0" w:type="dxa"/>
        </w:trPr>
        <w:tc>
          <w:tcPr>
            <w:tcW w:w="0" w:type="auto"/>
            <w:noWrap w:val="0"/>
            <w:vAlign w:val="center"/>
          </w:tcPr>
          <w:p w14:paraId="0A7AACFC">
            <w:r>
              <w:rPr>
                <w:rStyle w:val="10"/>
                <w:rFonts w:hint="eastAsia"/>
              </w:rPr>
              <w:t>储存和运输方法：</w:t>
            </w:r>
            <w:r>
              <w:rPr>
                <w:rFonts w:hint="eastAsia"/>
              </w:rPr>
              <w:br w:type="textWrapping"/>
            </w:r>
            <w:r>
              <w:rPr>
                <w:rStyle w:val="11"/>
                <w:rFonts w:hint="eastAsia"/>
              </w:rPr>
              <w:t>1、本品应以原包装贮存于阴凉、干燥和通风处。 远离热源或者火源。 2、本品勿与食物、饲料、饮料和种子等其他物品同贮同运，并放置于儿童接触不到的地方， 加锁保管。 3、运输时应注意防水防潮，避免雨淋；搬运时轻搬轻放，不可倒置。</w:t>
            </w:r>
          </w:p>
        </w:tc>
      </w:tr>
      <w:tr w14:paraId="5C4B4FE8">
        <w:tblPrEx>
          <w:tblCellMar>
            <w:top w:w="0" w:type="dxa"/>
            <w:left w:w="0" w:type="dxa"/>
            <w:bottom w:w="0" w:type="dxa"/>
            <w:right w:w="0" w:type="dxa"/>
          </w:tblCellMar>
        </w:tblPrEx>
        <w:trPr>
          <w:wBefore w:w="0" w:type="auto"/>
          <w:tblCellSpacing w:w="0" w:type="dxa"/>
        </w:trPr>
        <w:tc>
          <w:tcPr>
            <w:tcW w:w="0" w:type="auto"/>
            <w:noWrap w:val="0"/>
            <w:vAlign w:val="center"/>
          </w:tcPr>
          <w:p w14:paraId="73A99937">
            <w:r>
              <w:rPr>
                <w:rStyle w:val="10"/>
                <w:rFonts w:hint="eastAsia"/>
              </w:rPr>
              <w:t>质量保证期：</w:t>
            </w:r>
            <w:r>
              <w:rPr>
                <w:rStyle w:val="11"/>
                <w:rFonts w:hint="eastAsia"/>
              </w:rPr>
              <w:t>2年</w:t>
            </w:r>
          </w:p>
        </w:tc>
      </w:tr>
      <w:tr w14:paraId="05C32DCC">
        <w:tblPrEx>
          <w:tblCellMar>
            <w:top w:w="0" w:type="dxa"/>
            <w:left w:w="0" w:type="dxa"/>
            <w:bottom w:w="0" w:type="dxa"/>
            <w:right w:w="0" w:type="dxa"/>
          </w:tblCellMar>
        </w:tblPrEx>
        <w:trPr>
          <w:wBefore w:w="0" w:type="auto"/>
          <w:tblCellSpacing w:w="0" w:type="dxa"/>
        </w:trPr>
        <w:tc>
          <w:tcPr>
            <w:tcW w:w="0" w:type="auto"/>
            <w:noWrap w:val="0"/>
            <w:vAlign w:val="center"/>
          </w:tcPr>
          <w:p w14:paraId="0B48A44A">
            <w:r>
              <w:rPr>
                <w:rStyle w:val="10"/>
                <w:rFonts w:hint="eastAsia"/>
              </w:rPr>
              <w:t>备注：</w:t>
            </w:r>
          </w:p>
        </w:tc>
      </w:tr>
    </w:tbl>
    <w:p w14:paraId="1657008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411DA41">
        <w:tblPrEx>
          <w:tblCellMar>
            <w:top w:w="0" w:type="dxa"/>
            <w:left w:w="0" w:type="dxa"/>
            <w:bottom w:w="0" w:type="dxa"/>
            <w:right w:w="0" w:type="dxa"/>
          </w:tblCellMar>
        </w:tblPrEx>
        <w:trPr>
          <w:wBefore w:w="0" w:type="auto"/>
          <w:tblCellSpacing w:w="0" w:type="dxa"/>
        </w:trPr>
        <w:tc>
          <w:tcPr>
            <w:tcW w:w="0" w:type="auto"/>
            <w:noWrap w:val="0"/>
            <w:vAlign w:val="center"/>
          </w:tcPr>
          <w:p w14:paraId="0CB9ABC4">
            <w:r>
              <w:rPr>
                <w:rStyle w:val="10"/>
                <w:rFonts w:hint="eastAsia"/>
              </w:rPr>
              <w:t>登记证号：</w:t>
            </w:r>
            <w:r>
              <w:rPr>
                <w:rFonts w:hint="eastAsia"/>
              </w:rPr>
              <w:t>PD20211926</w:t>
            </w:r>
          </w:p>
        </w:tc>
      </w:tr>
      <w:tr w14:paraId="57E3CC06">
        <w:tblPrEx>
          <w:tblCellMar>
            <w:top w:w="0" w:type="dxa"/>
            <w:left w:w="0" w:type="dxa"/>
            <w:bottom w:w="0" w:type="dxa"/>
            <w:right w:w="0" w:type="dxa"/>
          </w:tblCellMar>
        </w:tblPrEx>
        <w:trPr>
          <w:wBefore w:w="0" w:type="auto"/>
          <w:tblCellSpacing w:w="0" w:type="dxa"/>
        </w:trPr>
        <w:tc>
          <w:tcPr>
            <w:tcW w:w="0" w:type="auto"/>
            <w:noWrap w:val="0"/>
            <w:vAlign w:val="center"/>
          </w:tcPr>
          <w:p w14:paraId="4ADA6924">
            <w:r>
              <w:rPr>
                <w:rStyle w:val="10"/>
                <w:rFonts w:hint="eastAsia"/>
              </w:rPr>
              <w:t>登记证持有人：</w:t>
            </w:r>
            <w:r>
              <w:rPr>
                <w:rFonts w:hint="eastAsia"/>
              </w:rPr>
              <w:t>江西汇和化工有限公司</w:t>
            </w:r>
          </w:p>
        </w:tc>
      </w:tr>
      <w:tr w14:paraId="176A5AC0">
        <w:tblPrEx>
          <w:tblCellMar>
            <w:top w:w="0" w:type="dxa"/>
            <w:left w:w="0" w:type="dxa"/>
            <w:bottom w:w="0" w:type="dxa"/>
            <w:right w:w="0" w:type="dxa"/>
          </w:tblCellMar>
        </w:tblPrEx>
        <w:trPr>
          <w:wBefore w:w="0" w:type="auto"/>
          <w:tblCellSpacing w:w="0" w:type="dxa"/>
        </w:trPr>
        <w:tc>
          <w:tcPr>
            <w:tcW w:w="0" w:type="auto"/>
            <w:noWrap w:val="0"/>
            <w:vAlign w:val="center"/>
          </w:tcPr>
          <w:p w14:paraId="611966B8">
            <w:r>
              <w:rPr>
                <w:rStyle w:val="10"/>
                <w:rFonts w:hint="eastAsia"/>
              </w:rPr>
              <w:t>农药名称：</w:t>
            </w:r>
            <w:r>
              <w:rPr>
                <w:rFonts w:hint="eastAsia"/>
              </w:rPr>
              <w:t>苯甲·二氰</w:t>
            </w:r>
          </w:p>
        </w:tc>
      </w:tr>
      <w:tr w14:paraId="5CF11D38">
        <w:tblPrEx>
          <w:tblCellMar>
            <w:top w:w="0" w:type="dxa"/>
            <w:left w:w="0" w:type="dxa"/>
            <w:bottom w:w="0" w:type="dxa"/>
            <w:right w:w="0" w:type="dxa"/>
          </w:tblCellMar>
        </w:tblPrEx>
        <w:trPr>
          <w:wBefore w:w="0" w:type="auto"/>
          <w:tblCellSpacing w:w="0" w:type="dxa"/>
        </w:trPr>
        <w:tc>
          <w:tcPr>
            <w:tcW w:w="0" w:type="auto"/>
            <w:noWrap w:val="0"/>
            <w:vAlign w:val="center"/>
          </w:tcPr>
          <w:p w14:paraId="5773B3C5">
            <w:r>
              <w:rPr>
                <w:rStyle w:val="10"/>
                <w:rFonts w:hint="eastAsia"/>
              </w:rPr>
              <w:t>剂型：</w:t>
            </w:r>
            <w:r>
              <w:rPr>
                <w:rFonts w:hint="eastAsia"/>
              </w:rPr>
              <w:t>悬浮剂</w:t>
            </w:r>
          </w:p>
        </w:tc>
      </w:tr>
      <w:tr w14:paraId="7FB34DDA">
        <w:tblPrEx>
          <w:tblCellMar>
            <w:top w:w="0" w:type="dxa"/>
            <w:left w:w="0" w:type="dxa"/>
            <w:bottom w:w="0" w:type="dxa"/>
            <w:right w:w="0" w:type="dxa"/>
          </w:tblCellMar>
        </w:tblPrEx>
        <w:trPr>
          <w:wBefore w:w="0" w:type="auto"/>
          <w:tblCellSpacing w:w="0" w:type="dxa"/>
        </w:trPr>
        <w:tc>
          <w:tcPr>
            <w:tcW w:w="0" w:type="auto"/>
            <w:noWrap w:val="0"/>
            <w:vAlign w:val="center"/>
          </w:tcPr>
          <w:p w14:paraId="5C03A58C">
            <w:r>
              <w:rPr>
                <w:rStyle w:val="10"/>
                <w:rFonts w:hint="eastAsia"/>
              </w:rPr>
              <w:t>毒性及其标识：</w:t>
            </w:r>
            <w:r>
              <w:rPr>
                <w:rFonts w:hint="eastAsia"/>
              </w:rPr>
              <w:t xml:space="preserve"> </w:t>
            </w:r>
            <w:r>
              <w:rPr>
                <w:lang/>
              </w:rPr>
              <w:drawing>
                <wp:inline distT="0" distB="0" distL="114300" distR="114300">
                  <wp:extent cx="476250" cy="323850"/>
                  <wp:effectExtent l="0" t="0" r="0" b="0"/>
                  <wp:docPr id="105" name="图片 10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452DE12">
        <w:tblPrEx>
          <w:tblCellMar>
            <w:top w:w="0" w:type="dxa"/>
            <w:left w:w="0" w:type="dxa"/>
            <w:bottom w:w="0" w:type="dxa"/>
            <w:right w:w="0" w:type="dxa"/>
          </w:tblCellMar>
        </w:tblPrEx>
        <w:trPr>
          <w:wBefore w:w="0" w:type="auto"/>
          <w:tblCellSpacing w:w="0" w:type="dxa"/>
        </w:trPr>
        <w:tc>
          <w:tcPr>
            <w:tcW w:w="0" w:type="auto"/>
            <w:noWrap w:val="0"/>
            <w:vAlign w:val="center"/>
          </w:tcPr>
          <w:p w14:paraId="6A3D2780">
            <w:r>
              <w:rPr>
                <w:rStyle w:val="10"/>
                <w:rFonts w:hint="eastAsia"/>
              </w:rPr>
              <w:t>总有效成分含量：</w:t>
            </w:r>
            <w:r>
              <w:rPr>
                <w:rFonts w:hint="eastAsia"/>
              </w:rPr>
              <w:t>40%</w:t>
            </w:r>
          </w:p>
        </w:tc>
      </w:tr>
      <w:tr w14:paraId="0078A660">
        <w:tblPrEx>
          <w:tblCellMar>
            <w:top w:w="0" w:type="dxa"/>
            <w:left w:w="0" w:type="dxa"/>
            <w:bottom w:w="0" w:type="dxa"/>
            <w:right w:w="0" w:type="dxa"/>
          </w:tblCellMar>
        </w:tblPrEx>
        <w:trPr>
          <w:wBefore w:w="0" w:type="auto"/>
          <w:tblCellSpacing w:w="0" w:type="dxa"/>
        </w:trPr>
        <w:tc>
          <w:tcPr>
            <w:tcW w:w="0" w:type="auto"/>
            <w:noWrap w:val="0"/>
            <w:vAlign w:val="center"/>
          </w:tcPr>
          <w:p w14:paraId="696DE501">
            <w:r>
              <w:rPr>
                <w:rFonts w:hint="eastAsia"/>
              </w:rPr>
              <w:t xml:space="preserve">有效成分及其含量： </w:t>
            </w:r>
          </w:p>
          <w:p w14:paraId="1D67F6D1">
            <w:r>
              <w:rPr>
                <w:rFonts w:hint="eastAsia"/>
              </w:rPr>
              <w:t xml:space="preserve">    苯醚甲环唑5%    二氰蒽醌35%    </w:t>
            </w:r>
          </w:p>
        </w:tc>
      </w:tr>
      <w:tr w14:paraId="566EAB5A">
        <w:tblPrEx>
          <w:tblCellMar>
            <w:top w:w="0" w:type="dxa"/>
            <w:left w:w="0" w:type="dxa"/>
            <w:bottom w:w="0" w:type="dxa"/>
            <w:right w:w="0" w:type="dxa"/>
          </w:tblCellMar>
        </w:tblPrEx>
        <w:trPr>
          <w:wBefore w:w="0" w:type="auto"/>
          <w:tblCellSpacing w:w="0" w:type="dxa"/>
        </w:trPr>
        <w:tc>
          <w:tcPr>
            <w:tcW w:w="0" w:type="auto"/>
            <w:noWrap w:val="0"/>
            <w:vAlign w:val="center"/>
          </w:tcPr>
          <w:p w14:paraId="0121CBC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2669A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CE6362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714723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06A5B5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85E905">
                  <w:r>
                    <w:rPr>
                      <w:rStyle w:val="11"/>
                      <w:rFonts w:hint="eastAsia"/>
                    </w:rPr>
                    <w:t>施用方式</w:t>
                  </w:r>
                </w:p>
              </w:tc>
            </w:tr>
            <w:tr w14:paraId="65F11A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136224">
                  <w:r>
                    <w:rPr>
                      <w:rStyle w:val="11"/>
                      <w:rFonts w:hint="eastAsia"/>
                    </w:rPr>
                    <w:t>梨树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F6C2DB">
                  <w:r>
                    <w:rPr>
                      <w:rStyle w:val="11"/>
                      <w:rFonts w:hint="eastAsia"/>
                    </w:rPr>
                    <w:t>黑星病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C78C1D">
                  <w:r>
                    <w:rPr>
                      <w:rStyle w:val="11"/>
                      <w:rFonts w:hint="eastAsia"/>
                    </w:rPr>
                    <w:t>3000-5000倍液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2F9940">
                  <w:r>
                    <w:rPr>
                      <w:rStyle w:val="11"/>
                      <w:rFonts w:hint="eastAsia"/>
                    </w:rPr>
                    <w:t>喷雾</w:t>
                  </w:r>
                </w:p>
              </w:tc>
            </w:tr>
          </w:tbl>
          <w:p w14:paraId="3E7B1741">
            <w:pPr>
              <w:rPr>
                <w:rFonts w:ascii="Times New Roman" w:hAnsi="Times New Roman" w:cs="Times New Roman"/>
                <w:sz w:val="20"/>
                <w:szCs w:val="20"/>
              </w:rPr>
            </w:pPr>
          </w:p>
        </w:tc>
      </w:tr>
      <w:tr w14:paraId="6947F48B">
        <w:tblPrEx>
          <w:tblCellMar>
            <w:top w:w="0" w:type="dxa"/>
            <w:left w:w="0" w:type="dxa"/>
            <w:bottom w:w="0" w:type="dxa"/>
            <w:right w:w="0" w:type="dxa"/>
          </w:tblCellMar>
        </w:tblPrEx>
        <w:trPr>
          <w:wBefore w:w="0" w:type="auto"/>
          <w:tblCellSpacing w:w="0" w:type="dxa"/>
        </w:trPr>
        <w:tc>
          <w:tcPr>
            <w:tcW w:w="0" w:type="auto"/>
            <w:noWrap w:val="0"/>
            <w:vAlign w:val="center"/>
          </w:tcPr>
          <w:p w14:paraId="2AB37070">
            <w:r>
              <w:rPr>
                <w:rStyle w:val="10"/>
                <w:rFonts w:hint="eastAsia"/>
              </w:rPr>
              <w:t>使用技术要求:</w:t>
            </w:r>
            <w:r>
              <w:rPr>
                <w:rFonts w:hint="eastAsia"/>
              </w:rPr>
              <w:br w:type="textWrapping"/>
            </w:r>
            <w:r>
              <w:rPr>
                <w:rStyle w:val="11"/>
                <w:rFonts w:hint="eastAsia"/>
              </w:rPr>
              <w:t>1.本品用于防治梨树黑星病，在梨树黑星病发病初期施药，间隔7-15天，连续喷雾3次，注意喷雾均匀周到。 2.大风天或预计1小时内降雨，请勿施药。3. 在梨上的安全间隔期为14天，每季作物最多使用次数为3次。</w:t>
            </w:r>
          </w:p>
        </w:tc>
      </w:tr>
      <w:tr w14:paraId="31B34E54">
        <w:tblPrEx>
          <w:tblCellMar>
            <w:top w:w="0" w:type="dxa"/>
            <w:left w:w="0" w:type="dxa"/>
            <w:bottom w:w="0" w:type="dxa"/>
            <w:right w:w="0" w:type="dxa"/>
          </w:tblCellMar>
        </w:tblPrEx>
        <w:trPr>
          <w:wBefore w:w="0" w:type="auto"/>
          <w:tblCellSpacing w:w="0" w:type="dxa"/>
        </w:trPr>
        <w:tc>
          <w:tcPr>
            <w:tcW w:w="0" w:type="auto"/>
            <w:noWrap w:val="0"/>
            <w:vAlign w:val="center"/>
          </w:tcPr>
          <w:p w14:paraId="099D867F">
            <w:r>
              <w:rPr>
                <w:rStyle w:val="10"/>
                <w:rFonts w:hint="eastAsia"/>
              </w:rPr>
              <w:t>产品性能:</w:t>
            </w:r>
            <w:r>
              <w:rPr>
                <w:rFonts w:hint="eastAsia"/>
              </w:rPr>
              <w:br w:type="textWrapping"/>
            </w:r>
            <w:r>
              <w:rPr>
                <w:rStyle w:val="11"/>
                <w:rFonts w:hint="eastAsia"/>
              </w:rPr>
              <w:t xml:space="preserve">本品为二氰蒽醌和苯醚甲环唑混配而成的杀菌剂，二氰蒽醌通过与含硫基团反应和干扰细胞呼吸而抑制一系列真菌酶，最后导致病害死亡。苯醚甲环唑属于三唑类内吸性杀菌剂，具有保护、治疗和内吸活性，甾醇脱甲基化抑制剂，抑制细胞壁甾醇的生物合成，阻止真菌的生长。对梨树黑星病防效较好。 </w:t>
            </w:r>
          </w:p>
        </w:tc>
      </w:tr>
      <w:tr w14:paraId="652EC083">
        <w:tblPrEx>
          <w:tblCellMar>
            <w:top w:w="0" w:type="dxa"/>
            <w:left w:w="0" w:type="dxa"/>
            <w:bottom w:w="0" w:type="dxa"/>
            <w:right w:w="0" w:type="dxa"/>
          </w:tblCellMar>
        </w:tblPrEx>
        <w:trPr>
          <w:wBefore w:w="0" w:type="auto"/>
          <w:tblCellSpacing w:w="0" w:type="dxa"/>
        </w:trPr>
        <w:tc>
          <w:tcPr>
            <w:tcW w:w="0" w:type="auto"/>
            <w:noWrap w:val="0"/>
            <w:vAlign w:val="center"/>
          </w:tcPr>
          <w:p w14:paraId="0705027F">
            <w:r>
              <w:rPr>
                <w:rStyle w:val="10"/>
                <w:rFonts w:hint="eastAsia"/>
              </w:rPr>
              <w:t>注意事项：</w:t>
            </w:r>
            <w:r>
              <w:rPr>
                <w:rFonts w:hint="eastAsia"/>
              </w:rPr>
              <w:br w:type="textWrapping"/>
            </w:r>
            <w:r>
              <w:rPr>
                <w:rStyle w:val="11"/>
                <w:rFonts w:hint="eastAsia"/>
              </w:rPr>
              <w:t>1. 严格按规定用药量和方法使用。 2.本品不可与碱性农药等物质及矿物油雾剂混用。 3. 本品对鱼、大型溞、藻类毒性高，水产养殖区、河塘等水体附近禁用；禁止在河塘等水体中清洗施药器具，药液及其废液不得污染各类水域、土壤等环境。鸟类保护区、鸟类栖息地、养殖场及其附近禁用。蚕室附近禁用，桑园附近使用时以最外围一行桑树作为隔离带，从次外围一行桑树上开始采摘桑叶饲喂家蚕。4. 使用本品时应穿防护服和戴手套，避免吸入药液。施药期间不可吃东西和饮水，施药后应及时洗手和洗脸。 5. 用药后包装物及用过的容器应妥善处理，不可做他用，也不可随意丢弃。 6. 孕妇及哺乳期妇女禁止接触本品。</w:t>
            </w:r>
          </w:p>
        </w:tc>
      </w:tr>
      <w:tr w14:paraId="4CD66BEC">
        <w:tblPrEx>
          <w:tblCellMar>
            <w:top w:w="0" w:type="dxa"/>
            <w:left w:w="0" w:type="dxa"/>
            <w:bottom w:w="0" w:type="dxa"/>
            <w:right w:w="0" w:type="dxa"/>
          </w:tblCellMar>
        </w:tblPrEx>
        <w:trPr>
          <w:wBefore w:w="0" w:type="auto"/>
          <w:tblCellSpacing w:w="0" w:type="dxa"/>
        </w:trPr>
        <w:tc>
          <w:tcPr>
            <w:tcW w:w="0" w:type="auto"/>
            <w:noWrap w:val="0"/>
            <w:vAlign w:val="center"/>
          </w:tcPr>
          <w:p w14:paraId="5F3EE4D5">
            <w:r>
              <w:rPr>
                <w:rStyle w:val="10"/>
                <w:rFonts w:hint="eastAsia"/>
              </w:rPr>
              <w:t>中毒急救措施：</w:t>
            </w:r>
            <w:r>
              <w:rPr>
                <w:rFonts w:hint="eastAsia"/>
              </w:rPr>
              <w:br w:type="textWrapping"/>
            </w:r>
            <w:r>
              <w:rPr>
                <w:rStyle w:val="11"/>
                <w:rFonts w:hint="eastAsia"/>
              </w:rPr>
              <w:t xml:space="preserve">皮肤接触：脱去污染的衣着，用水和肥皂彻底清洗皮肤、头发、指甲等，严重时立即就医。眼睛接触：提起眼睑，立即用大量清水或生理盐水冲洗至少15分钟，严重时立即就医。发生吸入：立即将吸入者转移到空气新鲜处，保持呼吸通畅。中毒急救：本品尚无解毒剂，若误服，应先通过洗胃或引吐来排出摄入的物质，并携标签送医院对症治疗。 </w:t>
            </w:r>
          </w:p>
        </w:tc>
      </w:tr>
      <w:tr w14:paraId="46318A69">
        <w:tblPrEx>
          <w:tblCellMar>
            <w:top w:w="0" w:type="dxa"/>
            <w:left w:w="0" w:type="dxa"/>
            <w:bottom w:w="0" w:type="dxa"/>
            <w:right w:w="0" w:type="dxa"/>
          </w:tblCellMar>
        </w:tblPrEx>
        <w:trPr>
          <w:wBefore w:w="0" w:type="auto"/>
          <w:tblCellSpacing w:w="0" w:type="dxa"/>
        </w:trPr>
        <w:tc>
          <w:tcPr>
            <w:tcW w:w="0" w:type="auto"/>
            <w:noWrap w:val="0"/>
            <w:vAlign w:val="center"/>
          </w:tcPr>
          <w:p w14:paraId="3DCA9421">
            <w:r>
              <w:rPr>
                <w:rStyle w:val="10"/>
                <w:rFonts w:hint="eastAsia"/>
              </w:rPr>
              <w:t>储存和运输方法：</w:t>
            </w:r>
            <w:r>
              <w:rPr>
                <w:rFonts w:hint="eastAsia"/>
              </w:rPr>
              <w:br w:type="textWrapping"/>
            </w:r>
            <w:r>
              <w:rPr>
                <w:rStyle w:val="11"/>
                <w:rFonts w:hint="eastAsia"/>
              </w:rPr>
              <w:t xml:space="preserve">在正常贮存条件下，将本品密封贮存于阴凉、干燥、避光、通风好之处，加锁放置于儿童、无关人员触及不到的地方。远离火源或热源，不可与食品、饮料、粮食、饲料同贮同运。 </w:t>
            </w:r>
          </w:p>
        </w:tc>
      </w:tr>
      <w:tr w14:paraId="741265BE">
        <w:tblPrEx>
          <w:tblCellMar>
            <w:top w:w="0" w:type="dxa"/>
            <w:left w:w="0" w:type="dxa"/>
            <w:bottom w:w="0" w:type="dxa"/>
            <w:right w:w="0" w:type="dxa"/>
          </w:tblCellMar>
        </w:tblPrEx>
        <w:trPr>
          <w:wBefore w:w="0" w:type="auto"/>
          <w:tblCellSpacing w:w="0" w:type="dxa"/>
        </w:trPr>
        <w:tc>
          <w:tcPr>
            <w:tcW w:w="0" w:type="auto"/>
            <w:noWrap w:val="0"/>
            <w:vAlign w:val="center"/>
          </w:tcPr>
          <w:p w14:paraId="24679918">
            <w:r>
              <w:rPr>
                <w:rStyle w:val="10"/>
                <w:rFonts w:hint="eastAsia"/>
              </w:rPr>
              <w:t>质量保证期：</w:t>
            </w:r>
            <w:r>
              <w:rPr>
                <w:rStyle w:val="11"/>
                <w:rFonts w:hint="eastAsia"/>
              </w:rPr>
              <w:t>2年</w:t>
            </w:r>
          </w:p>
        </w:tc>
      </w:tr>
      <w:tr w14:paraId="1731EE25">
        <w:tblPrEx>
          <w:tblCellMar>
            <w:top w:w="0" w:type="dxa"/>
            <w:left w:w="0" w:type="dxa"/>
            <w:bottom w:w="0" w:type="dxa"/>
            <w:right w:w="0" w:type="dxa"/>
          </w:tblCellMar>
        </w:tblPrEx>
        <w:trPr>
          <w:wBefore w:w="0" w:type="auto"/>
          <w:tblCellSpacing w:w="0" w:type="dxa"/>
        </w:trPr>
        <w:tc>
          <w:tcPr>
            <w:tcW w:w="0" w:type="auto"/>
            <w:noWrap w:val="0"/>
            <w:vAlign w:val="center"/>
          </w:tcPr>
          <w:p w14:paraId="72E27646">
            <w:r>
              <w:rPr>
                <w:rStyle w:val="10"/>
                <w:rFonts w:hint="eastAsia"/>
              </w:rPr>
              <w:t>备注：</w:t>
            </w:r>
          </w:p>
        </w:tc>
      </w:tr>
    </w:tbl>
    <w:p w14:paraId="5D5BB72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348620">
        <w:tblPrEx>
          <w:tblCellMar>
            <w:top w:w="0" w:type="dxa"/>
            <w:left w:w="0" w:type="dxa"/>
            <w:bottom w:w="0" w:type="dxa"/>
            <w:right w:w="0" w:type="dxa"/>
          </w:tblCellMar>
        </w:tblPrEx>
        <w:trPr>
          <w:wBefore w:w="0" w:type="auto"/>
          <w:tblCellSpacing w:w="0" w:type="dxa"/>
        </w:trPr>
        <w:tc>
          <w:tcPr>
            <w:tcW w:w="0" w:type="auto"/>
            <w:noWrap w:val="0"/>
            <w:vAlign w:val="center"/>
          </w:tcPr>
          <w:p w14:paraId="03201D65">
            <w:r>
              <w:rPr>
                <w:rStyle w:val="10"/>
                <w:rFonts w:hint="eastAsia"/>
              </w:rPr>
              <w:t>登记证号：</w:t>
            </w:r>
            <w:r>
              <w:rPr>
                <w:rFonts w:hint="eastAsia"/>
              </w:rPr>
              <w:t>EX20210102</w:t>
            </w:r>
          </w:p>
        </w:tc>
      </w:tr>
      <w:tr w14:paraId="5E2D66BC">
        <w:tblPrEx>
          <w:tblCellMar>
            <w:top w:w="0" w:type="dxa"/>
            <w:left w:w="0" w:type="dxa"/>
            <w:bottom w:w="0" w:type="dxa"/>
            <w:right w:w="0" w:type="dxa"/>
          </w:tblCellMar>
        </w:tblPrEx>
        <w:trPr>
          <w:wBefore w:w="0" w:type="auto"/>
          <w:tblCellSpacing w:w="0" w:type="dxa"/>
        </w:trPr>
        <w:tc>
          <w:tcPr>
            <w:tcW w:w="0" w:type="auto"/>
            <w:noWrap w:val="0"/>
            <w:vAlign w:val="center"/>
          </w:tcPr>
          <w:p w14:paraId="1B7C6CA5">
            <w:r>
              <w:rPr>
                <w:rStyle w:val="10"/>
                <w:rFonts w:hint="eastAsia"/>
              </w:rPr>
              <w:t>登记证持有人：</w:t>
            </w:r>
            <w:r>
              <w:rPr>
                <w:rFonts w:hint="eastAsia"/>
              </w:rPr>
              <w:t>江苏快达农化股份有限公司</w:t>
            </w:r>
          </w:p>
        </w:tc>
      </w:tr>
      <w:tr w14:paraId="099B6781">
        <w:tblPrEx>
          <w:tblCellMar>
            <w:top w:w="0" w:type="dxa"/>
            <w:left w:w="0" w:type="dxa"/>
            <w:bottom w:w="0" w:type="dxa"/>
            <w:right w:w="0" w:type="dxa"/>
          </w:tblCellMar>
        </w:tblPrEx>
        <w:trPr>
          <w:wBefore w:w="0" w:type="auto"/>
          <w:tblCellSpacing w:w="0" w:type="dxa"/>
        </w:trPr>
        <w:tc>
          <w:tcPr>
            <w:tcW w:w="0" w:type="auto"/>
            <w:noWrap w:val="0"/>
            <w:vAlign w:val="center"/>
          </w:tcPr>
          <w:p w14:paraId="01E85360">
            <w:r>
              <w:rPr>
                <w:rStyle w:val="10"/>
                <w:rFonts w:hint="eastAsia"/>
              </w:rPr>
              <w:t>农药名称：</w:t>
            </w:r>
            <w:r>
              <w:rPr>
                <w:rFonts w:hint="eastAsia"/>
              </w:rPr>
              <w:t>氟草隆</w:t>
            </w:r>
          </w:p>
        </w:tc>
      </w:tr>
      <w:tr w14:paraId="12368494">
        <w:tblPrEx>
          <w:tblCellMar>
            <w:top w:w="0" w:type="dxa"/>
            <w:left w:w="0" w:type="dxa"/>
            <w:bottom w:w="0" w:type="dxa"/>
            <w:right w:w="0" w:type="dxa"/>
          </w:tblCellMar>
        </w:tblPrEx>
        <w:trPr>
          <w:wBefore w:w="0" w:type="auto"/>
          <w:tblCellSpacing w:w="0" w:type="dxa"/>
        </w:trPr>
        <w:tc>
          <w:tcPr>
            <w:tcW w:w="0" w:type="auto"/>
            <w:noWrap w:val="0"/>
            <w:vAlign w:val="center"/>
          </w:tcPr>
          <w:p w14:paraId="5C0975A3">
            <w:r>
              <w:rPr>
                <w:rStyle w:val="10"/>
                <w:rFonts w:hint="eastAsia"/>
              </w:rPr>
              <w:t>剂型：</w:t>
            </w:r>
            <w:r>
              <w:rPr>
                <w:rFonts w:hint="eastAsia"/>
              </w:rPr>
              <w:t>原药</w:t>
            </w:r>
          </w:p>
        </w:tc>
      </w:tr>
      <w:tr w14:paraId="75483404">
        <w:tblPrEx>
          <w:tblCellMar>
            <w:top w:w="0" w:type="dxa"/>
            <w:left w:w="0" w:type="dxa"/>
            <w:bottom w:w="0" w:type="dxa"/>
            <w:right w:w="0" w:type="dxa"/>
          </w:tblCellMar>
        </w:tblPrEx>
        <w:trPr>
          <w:wBefore w:w="0" w:type="auto"/>
          <w:tblCellSpacing w:w="0" w:type="dxa"/>
        </w:trPr>
        <w:tc>
          <w:tcPr>
            <w:tcW w:w="0" w:type="auto"/>
            <w:noWrap w:val="0"/>
            <w:vAlign w:val="center"/>
          </w:tcPr>
          <w:p w14:paraId="3FE152BE">
            <w:r>
              <w:rPr>
                <w:rStyle w:val="10"/>
                <w:rFonts w:hint="eastAsia"/>
              </w:rPr>
              <w:t>毒性及其标识：</w:t>
            </w:r>
            <w:r>
              <w:rPr>
                <w:rFonts w:hint="eastAsia"/>
              </w:rPr>
              <w:t xml:space="preserve"> </w:t>
            </w:r>
            <w:r>
              <w:rPr>
                <w:lang/>
              </w:rPr>
              <w:drawing>
                <wp:inline distT="0" distB="0" distL="114300" distR="114300">
                  <wp:extent cx="476250" cy="323850"/>
                  <wp:effectExtent l="0" t="0" r="0" b="0"/>
                  <wp:docPr id="106" name="图片 10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7CC95EC">
        <w:tblPrEx>
          <w:tblCellMar>
            <w:top w:w="0" w:type="dxa"/>
            <w:left w:w="0" w:type="dxa"/>
            <w:bottom w:w="0" w:type="dxa"/>
            <w:right w:w="0" w:type="dxa"/>
          </w:tblCellMar>
        </w:tblPrEx>
        <w:trPr>
          <w:wBefore w:w="0" w:type="auto"/>
          <w:tblCellSpacing w:w="0" w:type="dxa"/>
        </w:trPr>
        <w:tc>
          <w:tcPr>
            <w:tcW w:w="0" w:type="auto"/>
            <w:noWrap w:val="0"/>
            <w:vAlign w:val="center"/>
          </w:tcPr>
          <w:p w14:paraId="1FAB768D">
            <w:r>
              <w:rPr>
                <w:rStyle w:val="10"/>
                <w:rFonts w:hint="eastAsia"/>
              </w:rPr>
              <w:t>总有效成分含量：</w:t>
            </w:r>
            <w:r>
              <w:rPr>
                <w:rFonts w:hint="eastAsia"/>
              </w:rPr>
              <w:t>97%</w:t>
            </w:r>
          </w:p>
        </w:tc>
      </w:tr>
      <w:tr w14:paraId="11AD5360">
        <w:tblPrEx>
          <w:tblCellMar>
            <w:top w:w="0" w:type="dxa"/>
            <w:left w:w="0" w:type="dxa"/>
            <w:bottom w:w="0" w:type="dxa"/>
            <w:right w:w="0" w:type="dxa"/>
          </w:tblCellMar>
        </w:tblPrEx>
        <w:trPr>
          <w:wBefore w:w="0" w:type="auto"/>
          <w:tblCellSpacing w:w="0" w:type="dxa"/>
        </w:trPr>
        <w:tc>
          <w:tcPr>
            <w:tcW w:w="0" w:type="auto"/>
            <w:noWrap w:val="0"/>
            <w:vAlign w:val="center"/>
          </w:tcPr>
          <w:p w14:paraId="6FFB1D8B">
            <w:r>
              <w:rPr>
                <w:rFonts w:hint="eastAsia"/>
              </w:rPr>
              <w:t xml:space="preserve">有效成分及其含量： </w:t>
            </w:r>
          </w:p>
          <w:p w14:paraId="4AFA0F19">
            <w:r>
              <w:rPr>
                <w:rFonts w:hint="eastAsia"/>
              </w:rPr>
              <w:t xml:space="preserve">    </w:t>
            </w:r>
          </w:p>
        </w:tc>
      </w:tr>
      <w:tr w14:paraId="2A2538A8">
        <w:tblPrEx>
          <w:tblCellMar>
            <w:top w:w="0" w:type="dxa"/>
            <w:left w:w="0" w:type="dxa"/>
            <w:bottom w:w="0" w:type="dxa"/>
            <w:right w:w="0" w:type="dxa"/>
          </w:tblCellMar>
        </w:tblPrEx>
        <w:trPr>
          <w:wBefore w:w="0" w:type="auto"/>
          <w:tblCellSpacing w:w="0" w:type="dxa"/>
        </w:trPr>
        <w:tc>
          <w:tcPr>
            <w:tcW w:w="0" w:type="auto"/>
            <w:noWrap w:val="0"/>
            <w:vAlign w:val="center"/>
          </w:tcPr>
          <w:p w14:paraId="6545904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EE780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E59016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8C09DC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AE49F8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75F2413">
                  <w:r>
                    <w:rPr>
                      <w:rStyle w:val="11"/>
                      <w:rFonts w:hint="eastAsia"/>
                    </w:rPr>
                    <w:t>施用方式</w:t>
                  </w:r>
                </w:p>
              </w:tc>
            </w:tr>
          </w:tbl>
          <w:p w14:paraId="491B4D42">
            <w:pPr>
              <w:rPr>
                <w:rFonts w:ascii="Times New Roman" w:hAnsi="Times New Roman" w:cs="Times New Roman"/>
                <w:sz w:val="20"/>
                <w:szCs w:val="20"/>
              </w:rPr>
            </w:pPr>
          </w:p>
        </w:tc>
      </w:tr>
      <w:tr w14:paraId="657EC64F">
        <w:tblPrEx>
          <w:tblCellMar>
            <w:top w:w="0" w:type="dxa"/>
            <w:left w:w="0" w:type="dxa"/>
            <w:bottom w:w="0" w:type="dxa"/>
            <w:right w:w="0" w:type="dxa"/>
          </w:tblCellMar>
        </w:tblPrEx>
        <w:trPr>
          <w:wBefore w:w="0" w:type="auto"/>
          <w:tblCellSpacing w:w="0" w:type="dxa"/>
        </w:trPr>
        <w:tc>
          <w:tcPr>
            <w:tcW w:w="0" w:type="auto"/>
            <w:noWrap w:val="0"/>
            <w:vAlign w:val="center"/>
          </w:tcPr>
          <w:p w14:paraId="407E84D9">
            <w:r>
              <w:rPr>
                <w:rStyle w:val="10"/>
                <w:rFonts w:hint="eastAsia"/>
              </w:rPr>
              <w:t>使用技术要求:</w:t>
            </w:r>
          </w:p>
        </w:tc>
      </w:tr>
      <w:tr w14:paraId="2804A7D4">
        <w:tblPrEx>
          <w:tblCellMar>
            <w:top w:w="0" w:type="dxa"/>
            <w:left w:w="0" w:type="dxa"/>
            <w:bottom w:w="0" w:type="dxa"/>
            <w:right w:w="0" w:type="dxa"/>
          </w:tblCellMar>
        </w:tblPrEx>
        <w:trPr>
          <w:wBefore w:w="0" w:type="auto"/>
          <w:tblCellSpacing w:w="0" w:type="dxa"/>
        </w:trPr>
        <w:tc>
          <w:tcPr>
            <w:tcW w:w="0" w:type="auto"/>
            <w:noWrap w:val="0"/>
            <w:vAlign w:val="center"/>
          </w:tcPr>
          <w:p w14:paraId="5A6B68AA">
            <w:r>
              <w:rPr>
                <w:rStyle w:val="10"/>
                <w:rFonts w:hint="eastAsia"/>
              </w:rPr>
              <w:t>产品性能:</w:t>
            </w:r>
          </w:p>
        </w:tc>
      </w:tr>
      <w:tr w14:paraId="6B8A23EB">
        <w:tblPrEx>
          <w:tblCellMar>
            <w:top w:w="0" w:type="dxa"/>
            <w:left w:w="0" w:type="dxa"/>
            <w:bottom w:w="0" w:type="dxa"/>
            <w:right w:w="0" w:type="dxa"/>
          </w:tblCellMar>
        </w:tblPrEx>
        <w:trPr>
          <w:wBefore w:w="0" w:type="auto"/>
          <w:tblCellSpacing w:w="0" w:type="dxa"/>
        </w:trPr>
        <w:tc>
          <w:tcPr>
            <w:tcW w:w="0" w:type="auto"/>
            <w:noWrap w:val="0"/>
            <w:vAlign w:val="center"/>
          </w:tcPr>
          <w:p w14:paraId="56F16D19">
            <w:r>
              <w:rPr>
                <w:rStyle w:val="10"/>
                <w:rFonts w:hint="eastAsia"/>
              </w:rPr>
              <w:t>注意事项：</w:t>
            </w:r>
          </w:p>
        </w:tc>
      </w:tr>
      <w:tr w14:paraId="2A1A4E73">
        <w:tblPrEx>
          <w:tblCellMar>
            <w:top w:w="0" w:type="dxa"/>
            <w:left w:w="0" w:type="dxa"/>
            <w:bottom w:w="0" w:type="dxa"/>
            <w:right w:w="0" w:type="dxa"/>
          </w:tblCellMar>
        </w:tblPrEx>
        <w:trPr>
          <w:wBefore w:w="0" w:type="auto"/>
          <w:tblCellSpacing w:w="0" w:type="dxa"/>
        </w:trPr>
        <w:tc>
          <w:tcPr>
            <w:tcW w:w="0" w:type="auto"/>
            <w:noWrap w:val="0"/>
            <w:vAlign w:val="center"/>
          </w:tcPr>
          <w:p w14:paraId="6A3F6ADF">
            <w:r>
              <w:rPr>
                <w:rStyle w:val="10"/>
                <w:rFonts w:hint="eastAsia"/>
              </w:rPr>
              <w:t>中毒急救措施：</w:t>
            </w:r>
          </w:p>
        </w:tc>
      </w:tr>
      <w:tr w14:paraId="6D815A09">
        <w:tblPrEx>
          <w:tblCellMar>
            <w:top w:w="0" w:type="dxa"/>
            <w:left w:w="0" w:type="dxa"/>
            <w:bottom w:w="0" w:type="dxa"/>
            <w:right w:w="0" w:type="dxa"/>
          </w:tblCellMar>
        </w:tblPrEx>
        <w:trPr>
          <w:wBefore w:w="0" w:type="auto"/>
          <w:tblCellSpacing w:w="0" w:type="dxa"/>
        </w:trPr>
        <w:tc>
          <w:tcPr>
            <w:tcW w:w="0" w:type="auto"/>
            <w:noWrap w:val="0"/>
            <w:vAlign w:val="center"/>
          </w:tcPr>
          <w:p w14:paraId="689EF58E">
            <w:r>
              <w:rPr>
                <w:rStyle w:val="10"/>
                <w:rFonts w:hint="eastAsia"/>
              </w:rPr>
              <w:t>储存和运输方法：</w:t>
            </w:r>
          </w:p>
        </w:tc>
      </w:tr>
      <w:tr w14:paraId="2C28E4BF">
        <w:tblPrEx>
          <w:tblCellMar>
            <w:top w:w="0" w:type="dxa"/>
            <w:left w:w="0" w:type="dxa"/>
            <w:bottom w:w="0" w:type="dxa"/>
            <w:right w:w="0" w:type="dxa"/>
          </w:tblCellMar>
        </w:tblPrEx>
        <w:trPr>
          <w:wBefore w:w="0" w:type="auto"/>
          <w:tblCellSpacing w:w="0" w:type="dxa"/>
        </w:trPr>
        <w:tc>
          <w:tcPr>
            <w:tcW w:w="0" w:type="auto"/>
            <w:noWrap w:val="0"/>
            <w:vAlign w:val="center"/>
          </w:tcPr>
          <w:p w14:paraId="1E6B0F63">
            <w:r>
              <w:rPr>
                <w:rStyle w:val="10"/>
                <w:rFonts w:hint="eastAsia"/>
              </w:rPr>
              <w:t>质量保证期：</w:t>
            </w:r>
          </w:p>
        </w:tc>
      </w:tr>
      <w:tr w14:paraId="0FB9927A">
        <w:tblPrEx>
          <w:tblCellMar>
            <w:top w:w="0" w:type="dxa"/>
            <w:left w:w="0" w:type="dxa"/>
            <w:bottom w:w="0" w:type="dxa"/>
            <w:right w:w="0" w:type="dxa"/>
          </w:tblCellMar>
        </w:tblPrEx>
        <w:trPr>
          <w:wBefore w:w="0" w:type="auto"/>
          <w:tblCellSpacing w:w="0" w:type="dxa"/>
        </w:trPr>
        <w:tc>
          <w:tcPr>
            <w:tcW w:w="0" w:type="auto"/>
            <w:noWrap w:val="0"/>
            <w:vAlign w:val="center"/>
          </w:tcPr>
          <w:p w14:paraId="30E975CC">
            <w:r>
              <w:rPr>
                <w:rStyle w:val="10"/>
                <w:rFonts w:hint="eastAsia"/>
              </w:rPr>
              <w:t>备注：</w:t>
            </w:r>
          </w:p>
        </w:tc>
      </w:tr>
    </w:tbl>
    <w:p w14:paraId="4856DBA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7B5783">
        <w:tblPrEx>
          <w:tblCellMar>
            <w:top w:w="0" w:type="dxa"/>
            <w:left w:w="0" w:type="dxa"/>
            <w:bottom w:w="0" w:type="dxa"/>
            <w:right w:w="0" w:type="dxa"/>
          </w:tblCellMar>
        </w:tblPrEx>
        <w:trPr>
          <w:wBefore w:w="0" w:type="auto"/>
          <w:tblCellSpacing w:w="0" w:type="dxa"/>
        </w:trPr>
        <w:tc>
          <w:tcPr>
            <w:tcW w:w="0" w:type="auto"/>
            <w:noWrap w:val="0"/>
            <w:vAlign w:val="center"/>
          </w:tcPr>
          <w:p w14:paraId="557DE954">
            <w:r>
              <w:rPr>
                <w:rStyle w:val="10"/>
                <w:rFonts w:hint="eastAsia"/>
              </w:rPr>
              <w:t>登记证号：</w:t>
            </w:r>
            <w:r>
              <w:rPr>
                <w:rFonts w:hint="eastAsia"/>
              </w:rPr>
              <w:t>PD20211967</w:t>
            </w:r>
          </w:p>
        </w:tc>
      </w:tr>
      <w:tr w14:paraId="5DA064DF">
        <w:tblPrEx>
          <w:tblCellMar>
            <w:top w:w="0" w:type="dxa"/>
            <w:left w:w="0" w:type="dxa"/>
            <w:bottom w:w="0" w:type="dxa"/>
            <w:right w:w="0" w:type="dxa"/>
          </w:tblCellMar>
        </w:tblPrEx>
        <w:trPr>
          <w:wBefore w:w="0" w:type="auto"/>
          <w:tblCellSpacing w:w="0" w:type="dxa"/>
        </w:trPr>
        <w:tc>
          <w:tcPr>
            <w:tcW w:w="0" w:type="auto"/>
            <w:noWrap w:val="0"/>
            <w:vAlign w:val="center"/>
          </w:tcPr>
          <w:p w14:paraId="2FBE8860">
            <w:r>
              <w:rPr>
                <w:rStyle w:val="10"/>
                <w:rFonts w:hint="eastAsia"/>
              </w:rPr>
              <w:t>登记证持有人：</w:t>
            </w:r>
            <w:r>
              <w:rPr>
                <w:rFonts w:hint="eastAsia"/>
              </w:rPr>
              <w:t>山西德威本草生物科技有限公司</w:t>
            </w:r>
          </w:p>
        </w:tc>
      </w:tr>
      <w:tr w14:paraId="2AADBA8B">
        <w:tblPrEx>
          <w:tblCellMar>
            <w:top w:w="0" w:type="dxa"/>
            <w:left w:w="0" w:type="dxa"/>
            <w:bottom w:w="0" w:type="dxa"/>
            <w:right w:w="0" w:type="dxa"/>
          </w:tblCellMar>
        </w:tblPrEx>
        <w:trPr>
          <w:wBefore w:w="0" w:type="auto"/>
          <w:tblCellSpacing w:w="0" w:type="dxa"/>
        </w:trPr>
        <w:tc>
          <w:tcPr>
            <w:tcW w:w="0" w:type="auto"/>
            <w:noWrap w:val="0"/>
            <w:vAlign w:val="center"/>
          </w:tcPr>
          <w:p w14:paraId="2F78228F">
            <w:r>
              <w:rPr>
                <w:rStyle w:val="10"/>
                <w:rFonts w:hint="eastAsia"/>
              </w:rPr>
              <w:t>农药名称：</w:t>
            </w:r>
            <w:r>
              <w:rPr>
                <w:rFonts w:hint="eastAsia"/>
              </w:rPr>
              <w:t>苦参·牛至提取物</w:t>
            </w:r>
          </w:p>
        </w:tc>
      </w:tr>
      <w:tr w14:paraId="4B77808B">
        <w:tblPrEx>
          <w:tblCellMar>
            <w:top w:w="0" w:type="dxa"/>
            <w:left w:w="0" w:type="dxa"/>
            <w:bottom w:w="0" w:type="dxa"/>
            <w:right w:w="0" w:type="dxa"/>
          </w:tblCellMar>
        </w:tblPrEx>
        <w:trPr>
          <w:wBefore w:w="0" w:type="auto"/>
          <w:tblCellSpacing w:w="0" w:type="dxa"/>
        </w:trPr>
        <w:tc>
          <w:tcPr>
            <w:tcW w:w="0" w:type="auto"/>
            <w:noWrap w:val="0"/>
            <w:vAlign w:val="center"/>
          </w:tcPr>
          <w:p w14:paraId="3E169820">
            <w:r>
              <w:rPr>
                <w:rStyle w:val="10"/>
                <w:rFonts w:hint="eastAsia"/>
              </w:rPr>
              <w:t>剂型：</w:t>
            </w:r>
            <w:r>
              <w:rPr>
                <w:rFonts w:hint="eastAsia"/>
              </w:rPr>
              <w:t>可溶液剂</w:t>
            </w:r>
          </w:p>
        </w:tc>
      </w:tr>
      <w:tr w14:paraId="1C00FF1F">
        <w:tblPrEx>
          <w:tblCellMar>
            <w:top w:w="0" w:type="dxa"/>
            <w:left w:w="0" w:type="dxa"/>
            <w:bottom w:w="0" w:type="dxa"/>
            <w:right w:w="0" w:type="dxa"/>
          </w:tblCellMar>
        </w:tblPrEx>
        <w:trPr>
          <w:wBefore w:w="0" w:type="auto"/>
          <w:tblCellSpacing w:w="0" w:type="dxa"/>
        </w:trPr>
        <w:tc>
          <w:tcPr>
            <w:tcW w:w="0" w:type="auto"/>
            <w:noWrap w:val="0"/>
            <w:vAlign w:val="center"/>
          </w:tcPr>
          <w:p w14:paraId="023FA619">
            <w:r>
              <w:rPr>
                <w:rStyle w:val="10"/>
                <w:rFonts w:hint="eastAsia"/>
              </w:rPr>
              <w:t>毒性及其标识：</w:t>
            </w:r>
            <w:r>
              <w:rPr>
                <w:rFonts w:hint="eastAsia"/>
              </w:rPr>
              <w:t xml:space="preserve"> </w:t>
            </w:r>
            <w:r>
              <w:rPr>
                <w:lang/>
              </w:rPr>
              <w:drawing>
                <wp:inline distT="0" distB="0" distL="114300" distR="114300">
                  <wp:extent cx="476250" cy="323850"/>
                  <wp:effectExtent l="0" t="0" r="0" b="0"/>
                  <wp:docPr id="107" name="图片 10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3E59269">
        <w:tblPrEx>
          <w:tblCellMar>
            <w:top w:w="0" w:type="dxa"/>
            <w:left w:w="0" w:type="dxa"/>
            <w:bottom w:w="0" w:type="dxa"/>
            <w:right w:w="0" w:type="dxa"/>
          </w:tblCellMar>
        </w:tblPrEx>
        <w:trPr>
          <w:wBefore w:w="0" w:type="auto"/>
          <w:tblCellSpacing w:w="0" w:type="dxa"/>
        </w:trPr>
        <w:tc>
          <w:tcPr>
            <w:tcW w:w="0" w:type="auto"/>
            <w:noWrap w:val="0"/>
            <w:vAlign w:val="center"/>
          </w:tcPr>
          <w:p w14:paraId="756F1AF2">
            <w:r>
              <w:rPr>
                <w:rStyle w:val="10"/>
                <w:rFonts w:hint="eastAsia"/>
              </w:rPr>
              <w:t>总有效成分含量：</w:t>
            </w:r>
            <w:r>
              <w:rPr>
                <w:rFonts w:hint="eastAsia"/>
              </w:rPr>
              <w:t>3.5%</w:t>
            </w:r>
          </w:p>
        </w:tc>
      </w:tr>
      <w:tr w14:paraId="28AD0994">
        <w:tblPrEx>
          <w:tblCellMar>
            <w:top w:w="0" w:type="dxa"/>
            <w:left w:w="0" w:type="dxa"/>
            <w:bottom w:w="0" w:type="dxa"/>
            <w:right w:w="0" w:type="dxa"/>
          </w:tblCellMar>
        </w:tblPrEx>
        <w:trPr>
          <w:wBefore w:w="0" w:type="auto"/>
          <w:tblCellSpacing w:w="0" w:type="dxa"/>
        </w:trPr>
        <w:tc>
          <w:tcPr>
            <w:tcW w:w="0" w:type="auto"/>
            <w:noWrap w:val="0"/>
            <w:vAlign w:val="center"/>
          </w:tcPr>
          <w:p w14:paraId="4F0BD11E">
            <w:r>
              <w:rPr>
                <w:rFonts w:hint="eastAsia"/>
              </w:rPr>
              <w:t xml:space="preserve">有效成分及其含量： </w:t>
            </w:r>
          </w:p>
          <w:p w14:paraId="251B5098">
            <w:r>
              <w:rPr>
                <w:rFonts w:hint="eastAsia"/>
              </w:rPr>
              <w:t xml:space="preserve">    香芹酚2.5%    苦参碱1%    </w:t>
            </w:r>
          </w:p>
        </w:tc>
      </w:tr>
      <w:tr w14:paraId="4E34E400">
        <w:tblPrEx>
          <w:tblCellMar>
            <w:top w:w="0" w:type="dxa"/>
            <w:left w:w="0" w:type="dxa"/>
            <w:bottom w:w="0" w:type="dxa"/>
            <w:right w:w="0" w:type="dxa"/>
          </w:tblCellMar>
        </w:tblPrEx>
        <w:trPr>
          <w:wBefore w:w="0" w:type="auto"/>
          <w:tblCellSpacing w:w="0" w:type="dxa"/>
        </w:trPr>
        <w:tc>
          <w:tcPr>
            <w:tcW w:w="0" w:type="auto"/>
            <w:noWrap w:val="0"/>
            <w:vAlign w:val="center"/>
          </w:tcPr>
          <w:p w14:paraId="09B1207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17D18F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C66F79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FBEF95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EAF9F6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37DB5F7">
                  <w:r>
                    <w:rPr>
                      <w:rStyle w:val="11"/>
                      <w:rFonts w:hint="eastAsia"/>
                    </w:rPr>
                    <w:t>施用方式</w:t>
                  </w:r>
                </w:p>
              </w:tc>
            </w:tr>
            <w:tr w14:paraId="672F73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A481979">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169CB7">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139756">
                  <w:r>
                    <w:rPr>
                      <w:rStyle w:val="11"/>
                      <w:rFonts w:hint="eastAsia"/>
                    </w:rPr>
                    <w:t>50-60毫升/亩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FE5E6C">
                  <w:r>
                    <w:rPr>
                      <w:rStyle w:val="11"/>
                      <w:rFonts w:hint="eastAsia"/>
                    </w:rPr>
                    <w:t>喷雾</w:t>
                  </w:r>
                </w:p>
              </w:tc>
            </w:tr>
          </w:tbl>
          <w:p w14:paraId="51756B2F">
            <w:pPr>
              <w:rPr>
                <w:rFonts w:ascii="Times New Roman" w:hAnsi="Times New Roman" w:cs="Times New Roman"/>
                <w:sz w:val="20"/>
                <w:szCs w:val="20"/>
              </w:rPr>
            </w:pPr>
          </w:p>
        </w:tc>
      </w:tr>
      <w:tr w14:paraId="53CC0185">
        <w:tblPrEx>
          <w:tblCellMar>
            <w:top w:w="0" w:type="dxa"/>
            <w:left w:w="0" w:type="dxa"/>
            <w:bottom w:w="0" w:type="dxa"/>
            <w:right w:w="0" w:type="dxa"/>
          </w:tblCellMar>
        </w:tblPrEx>
        <w:trPr>
          <w:wBefore w:w="0" w:type="auto"/>
          <w:tblCellSpacing w:w="0" w:type="dxa"/>
        </w:trPr>
        <w:tc>
          <w:tcPr>
            <w:tcW w:w="0" w:type="auto"/>
            <w:noWrap w:val="0"/>
            <w:vAlign w:val="center"/>
          </w:tcPr>
          <w:p w14:paraId="022D00E0">
            <w:r>
              <w:rPr>
                <w:rStyle w:val="10"/>
                <w:rFonts w:hint="eastAsia"/>
              </w:rPr>
              <w:t>使用技术要求:</w:t>
            </w:r>
            <w:r>
              <w:rPr>
                <w:rFonts w:hint="eastAsia"/>
              </w:rPr>
              <w:br w:type="textWrapping"/>
            </w:r>
            <w:r>
              <w:rPr>
                <w:rStyle w:val="11"/>
                <w:rFonts w:hint="eastAsia"/>
              </w:rPr>
              <w:t>本品应在马铃薯晚疫病发生前或发生初期使用，安全使用标准：连续使用3次，施药间隔7天左右。</w:t>
            </w:r>
          </w:p>
        </w:tc>
      </w:tr>
      <w:tr w14:paraId="33C85C08">
        <w:tblPrEx>
          <w:tblCellMar>
            <w:top w:w="0" w:type="dxa"/>
            <w:left w:w="0" w:type="dxa"/>
            <w:bottom w:w="0" w:type="dxa"/>
            <w:right w:w="0" w:type="dxa"/>
          </w:tblCellMar>
        </w:tblPrEx>
        <w:trPr>
          <w:wBefore w:w="0" w:type="auto"/>
          <w:tblCellSpacing w:w="0" w:type="dxa"/>
        </w:trPr>
        <w:tc>
          <w:tcPr>
            <w:tcW w:w="0" w:type="auto"/>
            <w:noWrap w:val="0"/>
            <w:vAlign w:val="center"/>
          </w:tcPr>
          <w:p w14:paraId="5B369149">
            <w:r>
              <w:rPr>
                <w:rStyle w:val="10"/>
                <w:rFonts w:hint="eastAsia"/>
              </w:rPr>
              <w:t>产品性能:</w:t>
            </w:r>
            <w:r>
              <w:rPr>
                <w:rFonts w:hint="eastAsia"/>
              </w:rPr>
              <w:br w:type="textWrapping"/>
            </w:r>
            <w:r>
              <w:rPr>
                <w:rStyle w:val="11"/>
                <w:rFonts w:hint="eastAsia"/>
              </w:rPr>
              <w:t>本品是由苦参碱和香芹酚复配而成的一种植物源杀菌剂，能有效抑制病原菌孢子萌发和菌丝生长。其作用机理是香芹酚能快速提高细胞膜的通透性和渗透压，造成病原细胞膜破裂，胞内物质泄露，从而杀死病原菌；苦参碱能快速渗入病菌细胞壁，穿透病菌孢子，破坏菌丝形成。二者混配相互增效，提高防治马铃薯晚疫病的防效。</w:t>
            </w:r>
          </w:p>
        </w:tc>
      </w:tr>
      <w:tr w14:paraId="770A9E7F">
        <w:tblPrEx>
          <w:tblCellMar>
            <w:top w:w="0" w:type="dxa"/>
            <w:left w:w="0" w:type="dxa"/>
            <w:bottom w:w="0" w:type="dxa"/>
            <w:right w:w="0" w:type="dxa"/>
          </w:tblCellMar>
        </w:tblPrEx>
        <w:trPr>
          <w:wBefore w:w="0" w:type="auto"/>
          <w:tblCellSpacing w:w="0" w:type="dxa"/>
        </w:trPr>
        <w:tc>
          <w:tcPr>
            <w:tcW w:w="0" w:type="auto"/>
            <w:noWrap w:val="0"/>
            <w:vAlign w:val="center"/>
          </w:tcPr>
          <w:p w14:paraId="5F13A335">
            <w:r>
              <w:rPr>
                <w:rStyle w:val="10"/>
                <w:rFonts w:hint="eastAsia"/>
              </w:rPr>
              <w:t>注意事项：</w:t>
            </w:r>
            <w:r>
              <w:rPr>
                <w:rFonts w:hint="eastAsia"/>
              </w:rPr>
              <w:br w:type="textWrapping"/>
            </w:r>
            <w:r>
              <w:rPr>
                <w:rStyle w:val="11"/>
                <w:rFonts w:hint="eastAsia"/>
              </w:rPr>
              <w:t>1.药液及其废液不得污染各类水域、土壤等环境。2.使用本品应采取相应的安全防护措施，穿防护服、戴防护手套、口罩等，避免皮肤接触及口鼻吸入，使用中不准吸烟、饮水、进食，使用后要及时清洗手、脸等暴露部位并更换衣物。3.水产养殖区、河塘等水体附近禁用，禁止在河塘等水体中清洗施药器具。.鸟类保护区附近禁用。（周围）开花植物花期禁用。施药后及时清洗药械，不可将废液、清洗液倒入河塘等水源。使用过的空包装，用清水冲洗三次后妥善处理，切勿重复使用或改作其它用途。4.孕妇及哺乳期妇女避免接触本品。5.本品不可与呈碱性的农药等物质混合使用，避免与氧化剂接触。该产品为易燃液体。</w:t>
            </w:r>
          </w:p>
        </w:tc>
      </w:tr>
      <w:tr w14:paraId="752159CF">
        <w:tblPrEx>
          <w:tblCellMar>
            <w:top w:w="0" w:type="dxa"/>
            <w:left w:w="0" w:type="dxa"/>
            <w:bottom w:w="0" w:type="dxa"/>
            <w:right w:w="0" w:type="dxa"/>
          </w:tblCellMar>
        </w:tblPrEx>
        <w:trPr>
          <w:wBefore w:w="0" w:type="auto"/>
          <w:tblCellSpacing w:w="0" w:type="dxa"/>
        </w:trPr>
        <w:tc>
          <w:tcPr>
            <w:tcW w:w="0" w:type="auto"/>
            <w:noWrap w:val="0"/>
            <w:vAlign w:val="center"/>
          </w:tcPr>
          <w:p w14:paraId="60865CF7">
            <w:r>
              <w:rPr>
                <w:rStyle w:val="10"/>
                <w:rFonts w:hint="eastAsia"/>
              </w:rPr>
              <w:t>中毒急救措施：</w:t>
            </w:r>
            <w:r>
              <w:rPr>
                <w:rFonts w:hint="eastAsia"/>
              </w:rPr>
              <w:br w:type="textWrapping"/>
            </w:r>
            <w:r>
              <w:rPr>
                <w:rStyle w:val="11"/>
                <w:rFonts w:hint="eastAsia"/>
              </w:rPr>
              <w:t>对眼睛有刺激性，使用时避免接触眼睛。使用中或使用后如感不适，应立即停止工作，采取急救措施，并携带标签就医。接触皮肤：脱去污染的衣物，用软布去除沾染农药，立即用大量清水和肥皂清洗。眼睛溅入：立即用流动清水冲洗不少于15分钟。吸入：立即离开施药现场，转移至空气清新处。误服：立即停止服用，用清水充分漱口后并携标签就医，本品无特殊解毒剂,对症治疗。</w:t>
            </w:r>
          </w:p>
        </w:tc>
      </w:tr>
      <w:tr w14:paraId="0955F8EF">
        <w:tblPrEx>
          <w:tblCellMar>
            <w:top w:w="0" w:type="dxa"/>
            <w:left w:w="0" w:type="dxa"/>
            <w:bottom w:w="0" w:type="dxa"/>
            <w:right w:w="0" w:type="dxa"/>
          </w:tblCellMar>
        </w:tblPrEx>
        <w:trPr>
          <w:wBefore w:w="0" w:type="auto"/>
          <w:tblCellSpacing w:w="0" w:type="dxa"/>
        </w:trPr>
        <w:tc>
          <w:tcPr>
            <w:tcW w:w="0" w:type="auto"/>
            <w:noWrap w:val="0"/>
            <w:vAlign w:val="center"/>
          </w:tcPr>
          <w:p w14:paraId="63D225B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本品应贮存在干燥、阴凉、通风、防雨处，远离火源或热源。置于儿童、无关人员触及不到之处，并加锁保存。勿与粮食、食品、饮料、饲料等其他商品同贮同运。</w:t>
            </w:r>
          </w:p>
        </w:tc>
      </w:tr>
      <w:tr w14:paraId="6BA5C66D">
        <w:tblPrEx>
          <w:tblCellMar>
            <w:top w:w="0" w:type="dxa"/>
            <w:left w:w="0" w:type="dxa"/>
            <w:bottom w:w="0" w:type="dxa"/>
            <w:right w:w="0" w:type="dxa"/>
          </w:tblCellMar>
        </w:tblPrEx>
        <w:trPr>
          <w:wBefore w:w="0" w:type="auto"/>
          <w:tblCellSpacing w:w="0" w:type="dxa"/>
        </w:trPr>
        <w:tc>
          <w:tcPr>
            <w:tcW w:w="0" w:type="auto"/>
            <w:noWrap w:val="0"/>
            <w:vAlign w:val="center"/>
          </w:tcPr>
          <w:p w14:paraId="4B7B9221">
            <w:r>
              <w:rPr>
                <w:rStyle w:val="10"/>
                <w:rFonts w:hint="eastAsia"/>
              </w:rPr>
              <w:t>质量保证期：</w:t>
            </w:r>
            <w:r>
              <w:rPr>
                <w:rStyle w:val="11"/>
                <w:rFonts w:hint="eastAsia"/>
              </w:rPr>
              <w:t>2年</w:t>
            </w:r>
          </w:p>
        </w:tc>
      </w:tr>
      <w:tr w14:paraId="0369BEF3">
        <w:tblPrEx>
          <w:tblCellMar>
            <w:top w:w="0" w:type="dxa"/>
            <w:left w:w="0" w:type="dxa"/>
            <w:bottom w:w="0" w:type="dxa"/>
            <w:right w:w="0" w:type="dxa"/>
          </w:tblCellMar>
        </w:tblPrEx>
        <w:trPr>
          <w:wBefore w:w="0" w:type="auto"/>
          <w:tblCellSpacing w:w="0" w:type="dxa"/>
        </w:trPr>
        <w:tc>
          <w:tcPr>
            <w:tcW w:w="0" w:type="auto"/>
            <w:noWrap w:val="0"/>
            <w:vAlign w:val="center"/>
          </w:tcPr>
          <w:p w14:paraId="3EA46D7D">
            <w:r>
              <w:rPr>
                <w:rStyle w:val="10"/>
                <w:rFonts w:hint="eastAsia"/>
              </w:rPr>
              <w:t>备注：</w:t>
            </w:r>
          </w:p>
        </w:tc>
      </w:tr>
    </w:tbl>
    <w:p w14:paraId="0FC4442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B8544FF">
        <w:tblPrEx>
          <w:tblCellMar>
            <w:top w:w="0" w:type="dxa"/>
            <w:left w:w="0" w:type="dxa"/>
            <w:bottom w:w="0" w:type="dxa"/>
            <w:right w:w="0" w:type="dxa"/>
          </w:tblCellMar>
        </w:tblPrEx>
        <w:trPr>
          <w:wBefore w:w="0" w:type="auto"/>
          <w:tblCellSpacing w:w="0" w:type="dxa"/>
        </w:trPr>
        <w:tc>
          <w:tcPr>
            <w:tcW w:w="0" w:type="auto"/>
            <w:noWrap w:val="0"/>
            <w:vAlign w:val="center"/>
          </w:tcPr>
          <w:p w14:paraId="5AF81E4B">
            <w:r>
              <w:rPr>
                <w:rStyle w:val="10"/>
                <w:rFonts w:hint="eastAsia"/>
              </w:rPr>
              <w:t>登记证号：</w:t>
            </w:r>
            <w:r>
              <w:rPr>
                <w:rFonts w:hint="eastAsia"/>
              </w:rPr>
              <w:t>PD20172189</w:t>
            </w:r>
          </w:p>
        </w:tc>
      </w:tr>
      <w:tr w14:paraId="38312F58">
        <w:tblPrEx>
          <w:tblCellMar>
            <w:top w:w="0" w:type="dxa"/>
            <w:left w:w="0" w:type="dxa"/>
            <w:bottom w:w="0" w:type="dxa"/>
            <w:right w:w="0" w:type="dxa"/>
          </w:tblCellMar>
        </w:tblPrEx>
        <w:trPr>
          <w:wBefore w:w="0" w:type="auto"/>
          <w:tblCellSpacing w:w="0" w:type="dxa"/>
        </w:trPr>
        <w:tc>
          <w:tcPr>
            <w:tcW w:w="0" w:type="auto"/>
            <w:noWrap w:val="0"/>
            <w:vAlign w:val="center"/>
          </w:tcPr>
          <w:p w14:paraId="1DFA053C">
            <w:r>
              <w:rPr>
                <w:rStyle w:val="10"/>
                <w:rFonts w:hint="eastAsia"/>
              </w:rPr>
              <w:t>登记证持有人：</w:t>
            </w:r>
            <w:r>
              <w:rPr>
                <w:rFonts w:hint="eastAsia"/>
              </w:rPr>
              <w:t>吉林金秋农药有限公司</w:t>
            </w:r>
          </w:p>
        </w:tc>
      </w:tr>
      <w:tr w14:paraId="5E8D5992">
        <w:tblPrEx>
          <w:tblCellMar>
            <w:top w:w="0" w:type="dxa"/>
            <w:left w:w="0" w:type="dxa"/>
            <w:bottom w:w="0" w:type="dxa"/>
            <w:right w:w="0" w:type="dxa"/>
          </w:tblCellMar>
        </w:tblPrEx>
        <w:trPr>
          <w:wBefore w:w="0" w:type="auto"/>
          <w:tblCellSpacing w:w="0" w:type="dxa"/>
        </w:trPr>
        <w:tc>
          <w:tcPr>
            <w:tcW w:w="0" w:type="auto"/>
            <w:noWrap w:val="0"/>
            <w:vAlign w:val="center"/>
          </w:tcPr>
          <w:p w14:paraId="2F7B89FA">
            <w:r>
              <w:rPr>
                <w:rStyle w:val="10"/>
                <w:rFonts w:hint="eastAsia"/>
              </w:rPr>
              <w:t>农药名称：</w:t>
            </w:r>
            <w:r>
              <w:rPr>
                <w:rFonts w:hint="eastAsia"/>
              </w:rPr>
              <w:t>硝·烟·莠去津</w:t>
            </w:r>
          </w:p>
        </w:tc>
      </w:tr>
      <w:tr w14:paraId="5DA9B539">
        <w:tblPrEx>
          <w:tblCellMar>
            <w:top w:w="0" w:type="dxa"/>
            <w:left w:w="0" w:type="dxa"/>
            <w:bottom w:w="0" w:type="dxa"/>
            <w:right w:w="0" w:type="dxa"/>
          </w:tblCellMar>
        </w:tblPrEx>
        <w:trPr>
          <w:wBefore w:w="0" w:type="auto"/>
          <w:tblCellSpacing w:w="0" w:type="dxa"/>
        </w:trPr>
        <w:tc>
          <w:tcPr>
            <w:tcW w:w="0" w:type="auto"/>
            <w:noWrap w:val="0"/>
            <w:vAlign w:val="center"/>
          </w:tcPr>
          <w:p w14:paraId="7D69A6FF">
            <w:r>
              <w:rPr>
                <w:rStyle w:val="10"/>
                <w:rFonts w:hint="eastAsia"/>
              </w:rPr>
              <w:t>剂型：</w:t>
            </w:r>
            <w:r>
              <w:rPr>
                <w:rFonts w:hint="eastAsia"/>
              </w:rPr>
              <w:t>可分散油悬浮剂</w:t>
            </w:r>
          </w:p>
        </w:tc>
      </w:tr>
      <w:tr w14:paraId="5213D553">
        <w:tblPrEx>
          <w:tblCellMar>
            <w:top w:w="0" w:type="dxa"/>
            <w:left w:w="0" w:type="dxa"/>
            <w:bottom w:w="0" w:type="dxa"/>
            <w:right w:w="0" w:type="dxa"/>
          </w:tblCellMar>
        </w:tblPrEx>
        <w:trPr>
          <w:wBefore w:w="0" w:type="auto"/>
          <w:tblCellSpacing w:w="0" w:type="dxa"/>
        </w:trPr>
        <w:tc>
          <w:tcPr>
            <w:tcW w:w="0" w:type="auto"/>
            <w:noWrap w:val="0"/>
            <w:vAlign w:val="center"/>
          </w:tcPr>
          <w:p w14:paraId="725CCCD5">
            <w:r>
              <w:rPr>
                <w:rStyle w:val="10"/>
                <w:rFonts w:hint="eastAsia"/>
              </w:rPr>
              <w:t>毒性及其标识：</w:t>
            </w:r>
            <w:r>
              <w:rPr>
                <w:rFonts w:hint="eastAsia"/>
              </w:rPr>
              <w:t xml:space="preserve"> </w:t>
            </w:r>
            <w:r>
              <w:rPr>
                <w:lang/>
              </w:rPr>
              <w:drawing>
                <wp:inline distT="0" distB="0" distL="114300" distR="114300">
                  <wp:extent cx="476250" cy="323850"/>
                  <wp:effectExtent l="0" t="0" r="0" b="0"/>
                  <wp:docPr id="108" name="图片 10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B4CE491">
        <w:tblPrEx>
          <w:tblCellMar>
            <w:top w:w="0" w:type="dxa"/>
            <w:left w:w="0" w:type="dxa"/>
            <w:bottom w:w="0" w:type="dxa"/>
            <w:right w:w="0" w:type="dxa"/>
          </w:tblCellMar>
        </w:tblPrEx>
        <w:trPr>
          <w:wBefore w:w="0" w:type="auto"/>
          <w:tblCellSpacing w:w="0" w:type="dxa"/>
        </w:trPr>
        <w:tc>
          <w:tcPr>
            <w:tcW w:w="0" w:type="auto"/>
            <w:noWrap w:val="0"/>
            <w:vAlign w:val="center"/>
          </w:tcPr>
          <w:p w14:paraId="3B720629">
            <w:r>
              <w:rPr>
                <w:rStyle w:val="10"/>
                <w:rFonts w:hint="eastAsia"/>
              </w:rPr>
              <w:t>总有效成分含量：</w:t>
            </w:r>
            <w:r>
              <w:rPr>
                <w:rFonts w:hint="eastAsia"/>
              </w:rPr>
              <w:t>32%</w:t>
            </w:r>
          </w:p>
        </w:tc>
      </w:tr>
      <w:tr w14:paraId="76501AD1">
        <w:tblPrEx>
          <w:tblCellMar>
            <w:top w:w="0" w:type="dxa"/>
            <w:left w:w="0" w:type="dxa"/>
            <w:bottom w:w="0" w:type="dxa"/>
            <w:right w:w="0" w:type="dxa"/>
          </w:tblCellMar>
        </w:tblPrEx>
        <w:trPr>
          <w:wBefore w:w="0" w:type="auto"/>
          <w:tblCellSpacing w:w="0" w:type="dxa"/>
        </w:trPr>
        <w:tc>
          <w:tcPr>
            <w:tcW w:w="0" w:type="auto"/>
            <w:noWrap w:val="0"/>
            <w:vAlign w:val="center"/>
          </w:tcPr>
          <w:p w14:paraId="0B140DF1">
            <w:r>
              <w:rPr>
                <w:rFonts w:hint="eastAsia"/>
              </w:rPr>
              <w:t xml:space="preserve">有效成分及其含量： </w:t>
            </w:r>
          </w:p>
          <w:p w14:paraId="1971BB8F">
            <w:r>
              <w:rPr>
                <w:rFonts w:hint="eastAsia"/>
              </w:rPr>
              <w:t xml:space="preserve">    莠去津24%    硝磺草酮6%    烟嘧磺隆2%    </w:t>
            </w:r>
          </w:p>
        </w:tc>
      </w:tr>
      <w:tr w14:paraId="7CF223D7">
        <w:tblPrEx>
          <w:tblCellMar>
            <w:top w:w="0" w:type="dxa"/>
            <w:left w:w="0" w:type="dxa"/>
            <w:bottom w:w="0" w:type="dxa"/>
            <w:right w:w="0" w:type="dxa"/>
          </w:tblCellMar>
        </w:tblPrEx>
        <w:trPr>
          <w:wBefore w:w="0" w:type="auto"/>
          <w:tblCellSpacing w:w="0" w:type="dxa"/>
        </w:trPr>
        <w:tc>
          <w:tcPr>
            <w:tcW w:w="0" w:type="auto"/>
            <w:noWrap w:val="0"/>
            <w:vAlign w:val="center"/>
          </w:tcPr>
          <w:p w14:paraId="7878660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54474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9F31D2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7A961F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B5A46D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E218AA">
                  <w:r>
                    <w:rPr>
                      <w:rStyle w:val="11"/>
                      <w:rFonts w:hint="eastAsia"/>
                    </w:rPr>
                    <w:t>施用方式</w:t>
                  </w:r>
                </w:p>
              </w:tc>
            </w:tr>
            <w:tr w14:paraId="064945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3311EE0">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E7708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844CD0">
                  <w:r>
                    <w:rPr>
                      <w:rStyle w:val="11"/>
                      <w:rFonts w:hint="eastAsia"/>
                    </w:rPr>
                    <w:t>100-130毫升/亩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3137D8">
                  <w:r>
                    <w:rPr>
                      <w:rStyle w:val="11"/>
                      <w:rFonts w:hint="eastAsia"/>
                    </w:rPr>
                    <w:t>茎叶喷雾</w:t>
                  </w:r>
                </w:p>
              </w:tc>
            </w:tr>
          </w:tbl>
          <w:p w14:paraId="051778B8">
            <w:pPr>
              <w:rPr>
                <w:rFonts w:ascii="Times New Roman" w:hAnsi="Times New Roman" w:cs="Times New Roman"/>
                <w:sz w:val="20"/>
                <w:szCs w:val="20"/>
              </w:rPr>
            </w:pPr>
          </w:p>
        </w:tc>
      </w:tr>
      <w:tr w14:paraId="133454CB">
        <w:tblPrEx>
          <w:tblCellMar>
            <w:top w:w="0" w:type="dxa"/>
            <w:left w:w="0" w:type="dxa"/>
            <w:bottom w:w="0" w:type="dxa"/>
            <w:right w:w="0" w:type="dxa"/>
          </w:tblCellMar>
        </w:tblPrEx>
        <w:trPr>
          <w:wBefore w:w="0" w:type="auto"/>
          <w:tblCellSpacing w:w="0" w:type="dxa"/>
        </w:trPr>
        <w:tc>
          <w:tcPr>
            <w:tcW w:w="0" w:type="auto"/>
            <w:noWrap w:val="0"/>
            <w:vAlign w:val="center"/>
          </w:tcPr>
          <w:p w14:paraId="2F90469B">
            <w:r>
              <w:rPr>
                <w:rStyle w:val="10"/>
                <w:rFonts w:hint="eastAsia"/>
              </w:rPr>
              <w:t>使用技术要求:</w:t>
            </w:r>
            <w:r>
              <w:rPr>
                <w:rFonts w:hint="eastAsia"/>
              </w:rPr>
              <w:br w:type="textWrapping"/>
            </w:r>
            <w:r>
              <w:rPr>
                <w:rStyle w:val="11"/>
                <w:rFonts w:hint="eastAsia"/>
              </w:rPr>
              <w:t>1、本品于玉米苗后3-5叶期，杂草2～5叶期，推荐亩喷液量20-30升水，茎叶均匀喷雾。 2、正常气候条件下，本品对后茬作物安全。后茬种植小麦需间隔3个月以上，后茬种植棉花、花生、马铃薯、大豆、向日葵需间隔8个月以上。其它作物需间隔18个月以上。甜菜、苜蓿、烟草、蔬菜、油菜、豆类、瓜类需先做试验，无问题后种植。一年两熟制地区，后茬作物不得种植油菜。 3、高温、干旱季节施药应选择傍晚进行。在干旱的气候条件下，施药前灌水或雨后施药会有利于药效发挥。 4、喷药时应注意风向，风速＞4米/秒停止施药。 5、喷药前后空气湿度大于65%有利于药效发挥。</w:t>
            </w:r>
          </w:p>
        </w:tc>
      </w:tr>
      <w:tr w14:paraId="627C98B9">
        <w:tblPrEx>
          <w:tblCellMar>
            <w:top w:w="0" w:type="dxa"/>
            <w:left w:w="0" w:type="dxa"/>
            <w:bottom w:w="0" w:type="dxa"/>
            <w:right w:w="0" w:type="dxa"/>
          </w:tblCellMar>
        </w:tblPrEx>
        <w:trPr>
          <w:wBefore w:w="0" w:type="auto"/>
          <w:tblCellSpacing w:w="0" w:type="dxa"/>
        </w:trPr>
        <w:tc>
          <w:tcPr>
            <w:tcW w:w="0" w:type="auto"/>
            <w:noWrap w:val="0"/>
            <w:vAlign w:val="center"/>
          </w:tcPr>
          <w:p w14:paraId="3FB04C9D">
            <w:r>
              <w:rPr>
                <w:rStyle w:val="10"/>
                <w:rFonts w:hint="eastAsia"/>
              </w:rPr>
              <w:t>产品性能:</w:t>
            </w:r>
            <w:r>
              <w:rPr>
                <w:rFonts w:hint="eastAsia"/>
              </w:rPr>
              <w:br w:type="textWrapping"/>
            </w:r>
            <w:r>
              <w:rPr>
                <w:rStyle w:val="11"/>
                <w:rFonts w:hint="eastAsia"/>
              </w:rPr>
              <w:t>本品为玉米田苗后茎叶处理除草剂，由三种不同作用机制的除草剂混配而成。对玉米田的一年生禾本科和阔叶杂草有较好的防治效果，有效防除恶性杂草如鸭跖草、藜、苘麻、苋菜和菊科、苋科、锦葵科、十字花科、蓼科的杂草，以及禾本科的马唐、牛筋草、稗草等。</w:t>
            </w:r>
          </w:p>
        </w:tc>
      </w:tr>
      <w:tr w14:paraId="50321725">
        <w:tblPrEx>
          <w:tblCellMar>
            <w:top w:w="0" w:type="dxa"/>
            <w:left w:w="0" w:type="dxa"/>
            <w:bottom w:w="0" w:type="dxa"/>
            <w:right w:w="0" w:type="dxa"/>
          </w:tblCellMar>
        </w:tblPrEx>
        <w:trPr>
          <w:wBefore w:w="0" w:type="auto"/>
          <w:tblCellSpacing w:w="0" w:type="dxa"/>
        </w:trPr>
        <w:tc>
          <w:tcPr>
            <w:tcW w:w="0" w:type="auto"/>
            <w:noWrap w:val="0"/>
            <w:vAlign w:val="center"/>
          </w:tcPr>
          <w:p w14:paraId="1BAF14AB">
            <w:r>
              <w:rPr>
                <w:rStyle w:val="10"/>
                <w:rFonts w:hint="eastAsia"/>
              </w:rPr>
              <w:t>注意事项：</w:t>
            </w:r>
            <w:r>
              <w:rPr>
                <w:rFonts w:hint="eastAsia"/>
              </w:rPr>
              <w:br w:type="textWrapping"/>
            </w:r>
            <w:r>
              <w:rPr>
                <w:rStyle w:val="11"/>
                <w:rFonts w:hint="eastAsia"/>
              </w:rPr>
              <w:t>1、作物对象玉米为马齿型和硬玉米品种。甜玉米、糯玉米、爆裂玉米、制种玉米田、自交系玉米田及玉米2叶前及6叶后，不宜使用。初次使用的玉米种子田，需经安全性试验确认安全后，方可使用。 2、豆类、瓜类、谷子、高粱、蔬菜、小麦、水稻、花生、甜菜、油菜、苜蓿、烟草、杨树和桃树等浅根系树木对本品敏感，施药时避免药液飘移到邻近作物上。 3、请勿将本品与任何有机磷类、氨基甲酸酯类农药混用或间隔7天内使用。 4、施药数日后，有时会出现作物褪色或抑制生长的情况，但不会影响作物的生长和产量。 5、施药后遇雨会影响除草效果，但如施药6小时后遇降雨，不影响效果，无需重新喷药。 6、本品不可与其他呈碱性的农药等物质混合使用。 7、孕妇和哺乳期的妇女禁止接触药物。 8、使用本品时应佩戴口罩，穿防护衣帽、防护鞋等，避免直接接触眼睛与皮肤，此时不能饮食、吸烟等。施药后用肥皂水洗脸、洗手，并很好地清洗施药器械。 9、对斜生栅藻有毒，远离水产养殖区施药，禁止在河塘等水体中清洗施药器具，避免药液进入地表水体。用过的容器应妥善处理，不可做他用，也不可随意丢弃。地下水、饮用水源地禁用。赤眼蜂等天敌放飞区禁用。</w:t>
            </w:r>
          </w:p>
        </w:tc>
      </w:tr>
      <w:tr w14:paraId="66A1B2EB">
        <w:tblPrEx>
          <w:tblCellMar>
            <w:top w:w="0" w:type="dxa"/>
            <w:left w:w="0" w:type="dxa"/>
            <w:bottom w:w="0" w:type="dxa"/>
            <w:right w:w="0" w:type="dxa"/>
          </w:tblCellMar>
        </w:tblPrEx>
        <w:trPr>
          <w:wBefore w:w="0" w:type="auto"/>
          <w:tblCellSpacing w:w="0" w:type="dxa"/>
        </w:trPr>
        <w:tc>
          <w:tcPr>
            <w:tcW w:w="0" w:type="auto"/>
            <w:noWrap w:val="0"/>
            <w:vAlign w:val="center"/>
          </w:tcPr>
          <w:p w14:paraId="11850E56">
            <w:r>
              <w:rPr>
                <w:rStyle w:val="10"/>
                <w:rFonts w:hint="eastAsia"/>
              </w:rPr>
              <w:t>中毒急救措施：</w:t>
            </w:r>
            <w:r>
              <w:rPr>
                <w:rFonts w:hint="eastAsia"/>
              </w:rPr>
              <w:br w:type="textWrapping"/>
            </w:r>
            <w:r>
              <w:rPr>
                <w:rStyle w:val="11"/>
                <w:rFonts w:hint="eastAsia"/>
              </w:rPr>
              <w:t>进入眼睛，立即用大量水清洗眼睛15分钟，仍有不适时，就医。接触皮肤，用水和肥皂彻底清洗。如吸入肺中，应立即到通风处。如误食，请勿引吐，立即携带标签，送医就诊。紧急医疗措施：使用医用活性炭洗胃，注意防止胃容物进入呼吸道。对症治疗，无特效解毒剂。</w:t>
            </w:r>
          </w:p>
        </w:tc>
      </w:tr>
      <w:tr w14:paraId="5E53C356">
        <w:tblPrEx>
          <w:tblCellMar>
            <w:top w:w="0" w:type="dxa"/>
            <w:left w:w="0" w:type="dxa"/>
            <w:bottom w:w="0" w:type="dxa"/>
            <w:right w:w="0" w:type="dxa"/>
          </w:tblCellMar>
        </w:tblPrEx>
        <w:trPr>
          <w:wBefore w:w="0" w:type="auto"/>
          <w:tblCellSpacing w:w="0" w:type="dxa"/>
        </w:trPr>
        <w:tc>
          <w:tcPr>
            <w:tcW w:w="0" w:type="auto"/>
            <w:noWrap w:val="0"/>
            <w:vAlign w:val="center"/>
          </w:tcPr>
          <w:p w14:paraId="2242E8A4">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本品应贮存在干燥、阴凉、通风、防雨处，远离火源或热源。置于儿童触及不到之处，并加锁。勿与食品、饮料、饲料等其他商品同贮同运。</w:t>
            </w:r>
          </w:p>
        </w:tc>
      </w:tr>
      <w:tr w14:paraId="2F90CC2C">
        <w:tblPrEx>
          <w:tblCellMar>
            <w:top w:w="0" w:type="dxa"/>
            <w:left w:w="0" w:type="dxa"/>
            <w:bottom w:w="0" w:type="dxa"/>
            <w:right w:w="0" w:type="dxa"/>
          </w:tblCellMar>
        </w:tblPrEx>
        <w:trPr>
          <w:wBefore w:w="0" w:type="auto"/>
          <w:tblCellSpacing w:w="0" w:type="dxa"/>
        </w:trPr>
        <w:tc>
          <w:tcPr>
            <w:tcW w:w="0" w:type="auto"/>
            <w:noWrap w:val="0"/>
            <w:vAlign w:val="center"/>
          </w:tcPr>
          <w:p w14:paraId="4E523F9B">
            <w:r>
              <w:rPr>
                <w:rStyle w:val="10"/>
                <w:rFonts w:hint="eastAsia"/>
              </w:rPr>
              <w:t>质量保证期：</w:t>
            </w:r>
            <w:r>
              <w:rPr>
                <w:rStyle w:val="11"/>
                <w:rFonts w:hint="eastAsia"/>
              </w:rPr>
              <w:t>二年</w:t>
            </w:r>
          </w:p>
        </w:tc>
      </w:tr>
      <w:tr w14:paraId="7BD6031F">
        <w:tblPrEx>
          <w:tblCellMar>
            <w:top w:w="0" w:type="dxa"/>
            <w:left w:w="0" w:type="dxa"/>
            <w:bottom w:w="0" w:type="dxa"/>
            <w:right w:w="0" w:type="dxa"/>
          </w:tblCellMar>
        </w:tblPrEx>
        <w:trPr>
          <w:wBefore w:w="0" w:type="auto"/>
          <w:tblCellSpacing w:w="0" w:type="dxa"/>
        </w:trPr>
        <w:tc>
          <w:tcPr>
            <w:tcW w:w="0" w:type="auto"/>
            <w:noWrap w:val="0"/>
            <w:vAlign w:val="center"/>
          </w:tcPr>
          <w:p w14:paraId="691AB2FF">
            <w:r>
              <w:rPr>
                <w:rStyle w:val="10"/>
                <w:rFonts w:hint="eastAsia"/>
              </w:rPr>
              <w:t>备注：</w:t>
            </w:r>
          </w:p>
        </w:tc>
      </w:tr>
    </w:tbl>
    <w:p w14:paraId="4337306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B387A9">
        <w:tblPrEx>
          <w:tblCellMar>
            <w:top w:w="0" w:type="dxa"/>
            <w:left w:w="0" w:type="dxa"/>
            <w:bottom w:w="0" w:type="dxa"/>
            <w:right w:w="0" w:type="dxa"/>
          </w:tblCellMar>
        </w:tblPrEx>
        <w:trPr>
          <w:wBefore w:w="0" w:type="auto"/>
          <w:tblCellSpacing w:w="0" w:type="dxa"/>
        </w:trPr>
        <w:tc>
          <w:tcPr>
            <w:tcW w:w="0" w:type="auto"/>
            <w:noWrap w:val="0"/>
            <w:vAlign w:val="center"/>
          </w:tcPr>
          <w:p w14:paraId="467E5CA5">
            <w:r>
              <w:rPr>
                <w:rStyle w:val="10"/>
                <w:rFonts w:hint="eastAsia"/>
              </w:rPr>
              <w:t>登记证号：</w:t>
            </w:r>
            <w:r>
              <w:rPr>
                <w:rFonts w:hint="eastAsia"/>
              </w:rPr>
              <w:t>PD20211909</w:t>
            </w:r>
          </w:p>
        </w:tc>
      </w:tr>
      <w:tr w14:paraId="163CE133">
        <w:tblPrEx>
          <w:tblCellMar>
            <w:top w:w="0" w:type="dxa"/>
            <w:left w:w="0" w:type="dxa"/>
            <w:bottom w:w="0" w:type="dxa"/>
            <w:right w:w="0" w:type="dxa"/>
          </w:tblCellMar>
        </w:tblPrEx>
        <w:trPr>
          <w:wBefore w:w="0" w:type="auto"/>
          <w:tblCellSpacing w:w="0" w:type="dxa"/>
        </w:trPr>
        <w:tc>
          <w:tcPr>
            <w:tcW w:w="0" w:type="auto"/>
            <w:noWrap w:val="0"/>
            <w:vAlign w:val="center"/>
          </w:tcPr>
          <w:p w14:paraId="55DDDAA2">
            <w:r>
              <w:rPr>
                <w:rStyle w:val="10"/>
                <w:rFonts w:hint="eastAsia"/>
              </w:rPr>
              <w:t>登记证持有人：</w:t>
            </w:r>
            <w:r>
              <w:rPr>
                <w:rFonts w:hint="eastAsia"/>
              </w:rPr>
              <w:t>广东茂名绿银农化有限公司</w:t>
            </w:r>
          </w:p>
        </w:tc>
      </w:tr>
      <w:tr w14:paraId="2C61FCAD">
        <w:tblPrEx>
          <w:tblCellMar>
            <w:top w:w="0" w:type="dxa"/>
            <w:left w:w="0" w:type="dxa"/>
            <w:bottom w:w="0" w:type="dxa"/>
            <w:right w:w="0" w:type="dxa"/>
          </w:tblCellMar>
        </w:tblPrEx>
        <w:trPr>
          <w:wBefore w:w="0" w:type="auto"/>
          <w:tblCellSpacing w:w="0" w:type="dxa"/>
        </w:trPr>
        <w:tc>
          <w:tcPr>
            <w:tcW w:w="0" w:type="auto"/>
            <w:noWrap w:val="0"/>
            <w:vAlign w:val="center"/>
          </w:tcPr>
          <w:p w14:paraId="192F5D63">
            <w:r>
              <w:rPr>
                <w:rStyle w:val="10"/>
                <w:rFonts w:hint="eastAsia"/>
              </w:rPr>
              <w:t>农药名称：</w:t>
            </w:r>
            <w:r>
              <w:rPr>
                <w:rFonts w:hint="eastAsia"/>
              </w:rPr>
              <w:t>氟吡菌胺·烯酰吗啉</w:t>
            </w:r>
          </w:p>
        </w:tc>
      </w:tr>
      <w:tr w14:paraId="14A00748">
        <w:tblPrEx>
          <w:tblCellMar>
            <w:top w:w="0" w:type="dxa"/>
            <w:left w:w="0" w:type="dxa"/>
            <w:bottom w:w="0" w:type="dxa"/>
            <w:right w:w="0" w:type="dxa"/>
          </w:tblCellMar>
        </w:tblPrEx>
        <w:trPr>
          <w:wBefore w:w="0" w:type="auto"/>
          <w:tblCellSpacing w:w="0" w:type="dxa"/>
        </w:trPr>
        <w:tc>
          <w:tcPr>
            <w:tcW w:w="0" w:type="auto"/>
            <w:noWrap w:val="0"/>
            <w:vAlign w:val="center"/>
          </w:tcPr>
          <w:p w14:paraId="057A32AD">
            <w:r>
              <w:rPr>
                <w:rStyle w:val="10"/>
                <w:rFonts w:hint="eastAsia"/>
              </w:rPr>
              <w:t>剂型：</w:t>
            </w:r>
            <w:r>
              <w:rPr>
                <w:rFonts w:hint="eastAsia"/>
              </w:rPr>
              <w:t>悬浮剂</w:t>
            </w:r>
          </w:p>
        </w:tc>
      </w:tr>
      <w:tr w14:paraId="2BB48CE6">
        <w:tblPrEx>
          <w:tblCellMar>
            <w:top w:w="0" w:type="dxa"/>
            <w:left w:w="0" w:type="dxa"/>
            <w:bottom w:w="0" w:type="dxa"/>
            <w:right w:w="0" w:type="dxa"/>
          </w:tblCellMar>
        </w:tblPrEx>
        <w:trPr>
          <w:wBefore w:w="0" w:type="auto"/>
          <w:tblCellSpacing w:w="0" w:type="dxa"/>
        </w:trPr>
        <w:tc>
          <w:tcPr>
            <w:tcW w:w="0" w:type="auto"/>
            <w:noWrap w:val="0"/>
            <w:vAlign w:val="center"/>
          </w:tcPr>
          <w:p w14:paraId="27F816F6">
            <w:r>
              <w:rPr>
                <w:rStyle w:val="10"/>
                <w:rFonts w:hint="eastAsia"/>
              </w:rPr>
              <w:t>毒性及其标识：</w:t>
            </w:r>
            <w:r>
              <w:rPr>
                <w:rFonts w:hint="eastAsia"/>
              </w:rPr>
              <w:t xml:space="preserve"> </w:t>
            </w:r>
            <w:r>
              <w:rPr>
                <w:lang/>
              </w:rPr>
              <w:drawing>
                <wp:inline distT="0" distB="0" distL="114300" distR="114300">
                  <wp:extent cx="476250" cy="323850"/>
                  <wp:effectExtent l="0" t="0" r="0" b="0"/>
                  <wp:docPr id="109" name="图片 10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DC08676">
        <w:tblPrEx>
          <w:tblCellMar>
            <w:top w:w="0" w:type="dxa"/>
            <w:left w:w="0" w:type="dxa"/>
            <w:bottom w:w="0" w:type="dxa"/>
            <w:right w:w="0" w:type="dxa"/>
          </w:tblCellMar>
        </w:tblPrEx>
        <w:trPr>
          <w:wBefore w:w="0" w:type="auto"/>
          <w:tblCellSpacing w:w="0" w:type="dxa"/>
        </w:trPr>
        <w:tc>
          <w:tcPr>
            <w:tcW w:w="0" w:type="auto"/>
            <w:noWrap w:val="0"/>
            <w:vAlign w:val="center"/>
          </w:tcPr>
          <w:p w14:paraId="4752CBB1">
            <w:r>
              <w:rPr>
                <w:rStyle w:val="10"/>
                <w:rFonts w:hint="eastAsia"/>
              </w:rPr>
              <w:t>总有效成分含量：</w:t>
            </w:r>
            <w:r>
              <w:rPr>
                <w:rFonts w:hint="eastAsia"/>
              </w:rPr>
              <w:t>36%</w:t>
            </w:r>
          </w:p>
        </w:tc>
      </w:tr>
      <w:tr w14:paraId="7900352D">
        <w:tblPrEx>
          <w:tblCellMar>
            <w:top w:w="0" w:type="dxa"/>
            <w:left w:w="0" w:type="dxa"/>
            <w:bottom w:w="0" w:type="dxa"/>
            <w:right w:w="0" w:type="dxa"/>
          </w:tblCellMar>
        </w:tblPrEx>
        <w:trPr>
          <w:wBefore w:w="0" w:type="auto"/>
          <w:tblCellSpacing w:w="0" w:type="dxa"/>
        </w:trPr>
        <w:tc>
          <w:tcPr>
            <w:tcW w:w="0" w:type="auto"/>
            <w:noWrap w:val="0"/>
            <w:vAlign w:val="center"/>
          </w:tcPr>
          <w:p w14:paraId="17101F07">
            <w:r>
              <w:rPr>
                <w:rFonts w:hint="eastAsia"/>
              </w:rPr>
              <w:t xml:space="preserve">有效成分及其含量： </w:t>
            </w:r>
          </w:p>
          <w:p w14:paraId="08D1EB1A">
            <w:r>
              <w:rPr>
                <w:rFonts w:hint="eastAsia"/>
              </w:rPr>
              <w:t xml:space="preserve">    氟吡菌胺6%    烯酰吗啉30%    </w:t>
            </w:r>
          </w:p>
        </w:tc>
      </w:tr>
      <w:tr w14:paraId="2F954767">
        <w:tblPrEx>
          <w:tblCellMar>
            <w:top w:w="0" w:type="dxa"/>
            <w:left w:w="0" w:type="dxa"/>
            <w:bottom w:w="0" w:type="dxa"/>
            <w:right w:w="0" w:type="dxa"/>
          </w:tblCellMar>
        </w:tblPrEx>
        <w:trPr>
          <w:wBefore w:w="0" w:type="auto"/>
          <w:tblCellSpacing w:w="0" w:type="dxa"/>
        </w:trPr>
        <w:tc>
          <w:tcPr>
            <w:tcW w:w="0" w:type="auto"/>
            <w:noWrap w:val="0"/>
            <w:vAlign w:val="center"/>
          </w:tcPr>
          <w:p w14:paraId="2678095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4516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B994CC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FE81B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2E2C7B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21E3FA">
                  <w:r>
                    <w:rPr>
                      <w:rStyle w:val="11"/>
                      <w:rFonts w:hint="eastAsia"/>
                    </w:rPr>
                    <w:t>施用方式</w:t>
                  </w:r>
                </w:p>
              </w:tc>
            </w:tr>
            <w:tr w14:paraId="4EF8BD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A1D2F0">
                  <w:r>
                    <w:rPr>
                      <w:rStyle w:val="11"/>
                      <w:rFonts w:hint="eastAsia"/>
                    </w:rPr>
                    <w:t>节瓜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D39FD2">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2A4614">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3DB0CD">
                  <w:r>
                    <w:rPr>
                      <w:rStyle w:val="11"/>
                      <w:rFonts w:hint="eastAsia"/>
                    </w:rPr>
                    <w:t>喷雾</w:t>
                  </w:r>
                </w:p>
              </w:tc>
            </w:tr>
          </w:tbl>
          <w:p w14:paraId="1DA24AAD">
            <w:pPr>
              <w:rPr>
                <w:rFonts w:ascii="Times New Roman" w:hAnsi="Times New Roman" w:cs="Times New Roman"/>
                <w:sz w:val="20"/>
                <w:szCs w:val="20"/>
              </w:rPr>
            </w:pPr>
          </w:p>
        </w:tc>
      </w:tr>
      <w:tr w14:paraId="2F183A6C">
        <w:tblPrEx>
          <w:tblCellMar>
            <w:top w:w="0" w:type="dxa"/>
            <w:left w:w="0" w:type="dxa"/>
            <w:bottom w:w="0" w:type="dxa"/>
            <w:right w:w="0" w:type="dxa"/>
          </w:tblCellMar>
        </w:tblPrEx>
        <w:trPr>
          <w:wBefore w:w="0" w:type="auto"/>
          <w:tblCellSpacing w:w="0" w:type="dxa"/>
        </w:trPr>
        <w:tc>
          <w:tcPr>
            <w:tcW w:w="0" w:type="auto"/>
            <w:noWrap w:val="0"/>
            <w:vAlign w:val="center"/>
          </w:tcPr>
          <w:p w14:paraId="47C37E03">
            <w:r>
              <w:rPr>
                <w:rStyle w:val="10"/>
                <w:rFonts w:hint="eastAsia"/>
              </w:rPr>
              <w:t>使用技术要求:</w:t>
            </w:r>
            <w:r>
              <w:rPr>
                <w:rFonts w:hint="eastAsia"/>
              </w:rPr>
              <w:br w:type="textWrapping"/>
            </w:r>
            <w:r>
              <w:rPr>
                <w:rStyle w:val="11"/>
                <w:rFonts w:hint="eastAsia"/>
              </w:rPr>
              <w:t>1.本品应于病害发生前或发病初期喷雾施药，连续施药3次，每次间隔7-10天。注意喷雾均匀。2.大风或预计 1 小时内降雨 请勿施药。3.在节瓜上的安全间隔期为 7 天，每季作物最多使用 3 次。</w:t>
            </w:r>
          </w:p>
        </w:tc>
      </w:tr>
      <w:tr w14:paraId="4D323DC4">
        <w:tblPrEx>
          <w:tblCellMar>
            <w:top w:w="0" w:type="dxa"/>
            <w:left w:w="0" w:type="dxa"/>
            <w:bottom w:w="0" w:type="dxa"/>
            <w:right w:w="0" w:type="dxa"/>
          </w:tblCellMar>
        </w:tblPrEx>
        <w:trPr>
          <w:wBefore w:w="0" w:type="auto"/>
          <w:tblCellSpacing w:w="0" w:type="dxa"/>
        </w:trPr>
        <w:tc>
          <w:tcPr>
            <w:tcW w:w="0" w:type="auto"/>
            <w:noWrap w:val="0"/>
            <w:vAlign w:val="center"/>
          </w:tcPr>
          <w:p w14:paraId="26B38BCE">
            <w:r>
              <w:rPr>
                <w:rStyle w:val="10"/>
                <w:rFonts w:hint="eastAsia"/>
              </w:rPr>
              <w:t>产品性能:</w:t>
            </w:r>
            <w:r>
              <w:rPr>
                <w:rFonts w:hint="eastAsia"/>
              </w:rPr>
              <w:br w:type="textWrapping"/>
            </w:r>
            <w:r>
              <w:rPr>
                <w:rStyle w:val="11"/>
                <w:rFonts w:hint="eastAsia"/>
              </w:rPr>
              <w:t>本品是由烯酰吗啉和氟吡菌胺复配的内吸性杀菌剂，具有保护和治疗作用。二者混用，能够有效延缓病菌 对单一药剂抗性的产生。按登记剂量使用时，对节瓜霜霉病有较好的防治效果。</w:t>
            </w:r>
          </w:p>
        </w:tc>
      </w:tr>
      <w:tr w14:paraId="6BA11472">
        <w:tblPrEx>
          <w:tblCellMar>
            <w:top w:w="0" w:type="dxa"/>
            <w:left w:w="0" w:type="dxa"/>
            <w:bottom w:w="0" w:type="dxa"/>
            <w:right w:w="0" w:type="dxa"/>
          </w:tblCellMar>
        </w:tblPrEx>
        <w:trPr>
          <w:wBefore w:w="0" w:type="auto"/>
          <w:tblCellSpacing w:w="0" w:type="dxa"/>
        </w:trPr>
        <w:tc>
          <w:tcPr>
            <w:tcW w:w="0" w:type="auto"/>
            <w:noWrap w:val="0"/>
            <w:vAlign w:val="center"/>
          </w:tcPr>
          <w:p w14:paraId="2BCEEF1E">
            <w:r>
              <w:rPr>
                <w:rStyle w:val="10"/>
                <w:rFonts w:hint="eastAsia"/>
              </w:rPr>
              <w:t>注意事项：</w:t>
            </w:r>
            <w:r>
              <w:rPr>
                <w:rFonts w:hint="eastAsia"/>
              </w:rPr>
              <w:br w:type="textWrapping"/>
            </w:r>
            <w:r>
              <w:rPr>
                <w:rStyle w:val="11"/>
                <w:rFonts w:hint="eastAsia"/>
              </w:rPr>
              <w:t>1.严格按照规定用药量和方法使用。2.建议与其他作用机制不同的杀菌剂轮换使用，以延缓抗性产生。3.施用 时应戴防护镜、口罩和手套，穿长衣、长裤；施药中禁止饮食、吸烟、饮水等；施药后应用肥皂和清水彻 底清洗暴露在外的皮肤。4.</w:t>
            </w:r>
            <w:r>
              <w:rPr>
                <w:rStyle w:val="11"/>
                <w:rFonts w:hint="eastAsia"/>
              </w:rPr>
              <w:t> </w:t>
            </w:r>
            <w:r>
              <w:rPr>
                <w:rStyle w:val="11"/>
                <w:rFonts w:hint="eastAsia"/>
              </w:rPr>
              <w:t>远离水产养殖区、河塘等水体施药；禁止在河塘等水体中清洗施药器具；蚕室及桑园附近禁用。5.用药后包装物及用过的容器应妥善处理，不可做他用，也不可随意丢弃。6. 孕妇、哺乳期的妇女禁止接触本产品。</w:t>
            </w:r>
          </w:p>
        </w:tc>
      </w:tr>
      <w:tr w14:paraId="53AAEBF1">
        <w:tblPrEx>
          <w:tblCellMar>
            <w:top w:w="0" w:type="dxa"/>
            <w:left w:w="0" w:type="dxa"/>
            <w:bottom w:w="0" w:type="dxa"/>
            <w:right w:w="0" w:type="dxa"/>
          </w:tblCellMar>
        </w:tblPrEx>
        <w:trPr>
          <w:wBefore w:w="0" w:type="auto"/>
          <w:tblCellSpacing w:w="0" w:type="dxa"/>
        </w:trPr>
        <w:tc>
          <w:tcPr>
            <w:tcW w:w="0" w:type="auto"/>
            <w:noWrap w:val="0"/>
            <w:vAlign w:val="center"/>
          </w:tcPr>
          <w:p w14:paraId="359E4E59">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 去污染的衣物，用软布去除沾染农药，立即用大量清水和肥皂冲洗。眼睛溅入：立即用流动清水冲洗不少 于 15 分钟。吸入：立即离开施药现场，转移到空气清新处。误食：立即停止服用，用清水充分漱口后，立 即携带农药标签到医院就诊，对症治疗。</w:t>
            </w:r>
          </w:p>
        </w:tc>
      </w:tr>
      <w:tr w14:paraId="4437146B">
        <w:tblPrEx>
          <w:tblCellMar>
            <w:top w:w="0" w:type="dxa"/>
            <w:left w:w="0" w:type="dxa"/>
            <w:bottom w:w="0" w:type="dxa"/>
            <w:right w:w="0" w:type="dxa"/>
          </w:tblCellMar>
        </w:tblPrEx>
        <w:trPr>
          <w:wBefore w:w="0" w:type="auto"/>
          <w:tblCellSpacing w:w="0" w:type="dxa"/>
        </w:trPr>
        <w:tc>
          <w:tcPr>
            <w:tcW w:w="0" w:type="auto"/>
            <w:noWrap w:val="0"/>
            <w:vAlign w:val="center"/>
          </w:tcPr>
          <w:p w14:paraId="493231B3">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本品应储存在干燥、阴凉、通风、防雨处，远离火源或热源。置于儿童接触不到的地方，并加锁保存。不 能与食品、饮料、粮食、饲料等同储同运。在装卸、运输时应轻拿轻放。</w:t>
            </w:r>
          </w:p>
        </w:tc>
      </w:tr>
      <w:tr w14:paraId="275E9AB4">
        <w:tblPrEx>
          <w:tblCellMar>
            <w:top w:w="0" w:type="dxa"/>
            <w:left w:w="0" w:type="dxa"/>
            <w:bottom w:w="0" w:type="dxa"/>
            <w:right w:w="0" w:type="dxa"/>
          </w:tblCellMar>
        </w:tblPrEx>
        <w:trPr>
          <w:wBefore w:w="0" w:type="auto"/>
          <w:tblCellSpacing w:w="0" w:type="dxa"/>
        </w:trPr>
        <w:tc>
          <w:tcPr>
            <w:tcW w:w="0" w:type="auto"/>
            <w:noWrap w:val="0"/>
            <w:vAlign w:val="center"/>
          </w:tcPr>
          <w:p w14:paraId="313CE70E">
            <w:r>
              <w:rPr>
                <w:rStyle w:val="10"/>
                <w:rFonts w:hint="eastAsia"/>
              </w:rPr>
              <w:t>质量保证期：</w:t>
            </w:r>
            <w:r>
              <w:rPr>
                <w:rStyle w:val="11"/>
                <w:rFonts w:hint="eastAsia"/>
              </w:rPr>
              <w:t>2年</w:t>
            </w:r>
          </w:p>
        </w:tc>
      </w:tr>
      <w:tr w14:paraId="39987144">
        <w:tblPrEx>
          <w:tblCellMar>
            <w:top w:w="0" w:type="dxa"/>
            <w:left w:w="0" w:type="dxa"/>
            <w:bottom w:w="0" w:type="dxa"/>
            <w:right w:w="0" w:type="dxa"/>
          </w:tblCellMar>
        </w:tblPrEx>
        <w:trPr>
          <w:wBefore w:w="0" w:type="auto"/>
          <w:tblCellSpacing w:w="0" w:type="dxa"/>
        </w:trPr>
        <w:tc>
          <w:tcPr>
            <w:tcW w:w="0" w:type="auto"/>
            <w:noWrap w:val="0"/>
            <w:vAlign w:val="center"/>
          </w:tcPr>
          <w:p w14:paraId="26ADC883">
            <w:r>
              <w:rPr>
                <w:rStyle w:val="10"/>
                <w:rFonts w:hint="eastAsia"/>
              </w:rPr>
              <w:t>备注：</w:t>
            </w:r>
          </w:p>
        </w:tc>
      </w:tr>
    </w:tbl>
    <w:p w14:paraId="49BCDDD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5ED7514">
        <w:tblPrEx>
          <w:tblCellMar>
            <w:top w:w="0" w:type="dxa"/>
            <w:left w:w="0" w:type="dxa"/>
            <w:bottom w:w="0" w:type="dxa"/>
            <w:right w:w="0" w:type="dxa"/>
          </w:tblCellMar>
        </w:tblPrEx>
        <w:trPr>
          <w:wBefore w:w="0" w:type="auto"/>
          <w:tblCellSpacing w:w="0" w:type="dxa"/>
        </w:trPr>
        <w:tc>
          <w:tcPr>
            <w:tcW w:w="0" w:type="auto"/>
            <w:noWrap w:val="0"/>
            <w:vAlign w:val="center"/>
          </w:tcPr>
          <w:p w14:paraId="3F999B6F">
            <w:r>
              <w:rPr>
                <w:rStyle w:val="10"/>
                <w:rFonts w:hint="eastAsia"/>
              </w:rPr>
              <w:t>登记证号：</w:t>
            </w:r>
            <w:r>
              <w:rPr>
                <w:rFonts w:hint="eastAsia"/>
              </w:rPr>
              <w:t>EX20210101</w:t>
            </w:r>
          </w:p>
        </w:tc>
      </w:tr>
      <w:tr w14:paraId="32DD0602">
        <w:tblPrEx>
          <w:tblCellMar>
            <w:top w:w="0" w:type="dxa"/>
            <w:left w:w="0" w:type="dxa"/>
            <w:bottom w:w="0" w:type="dxa"/>
            <w:right w:w="0" w:type="dxa"/>
          </w:tblCellMar>
        </w:tblPrEx>
        <w:trPr>
          <w:wBefore w:w="0" w:type="auto"/>
          <w:tblCellSpacing w:w="0" w:type="dxa"/>
        </w:trPr>
        <w:tc>
          <w:tcPr>
            <w:tcW w:w="0" w:type="auto"/>
            <w:noWrap w:val="0"/>
            <w:vAlign w:val="center"/>
          </w:tcPr>
          <w:p w14:paraId="1E2E32DD">
            <w:r>
              <w:rPr>
                <w:rStyle w:val="10"/>
                <w:rFonts w:hint="eastAsia"/>
              </w:rPr>
              <w:t>登记证持有人：</w:t>
            </w:r>
            <w:r>
              <w:rPr>
                <w:rFonts w:hint="eastAsia"/>
              </w:rPr>
              <w:t>山东潍坊润丰化工股份有限公司</w:t>
            </w:r>
          </w:p>
        </w:tc>
      </w:tr>
      <w:tr w14:paraId="256E2BD5">
        <w:tblPrEx>
          <w:tblCellMar>
            <w:top w:w="0" w:type="dxa"/>
            <w:left w:w="0" w:type="dxa"/>
            <w:bottom w:w="0" w:type="dxa"/>
            <w:right w:w="0" w:type="dxa"/>
          </w:tblCellMar>
        </w:tblPrEx>
        <w:trPr>
          <w:wBefore w:w="0" w:type="auto"/>
          <w:tblCellSpacing w:w="0" w:type="dxa"/>
        </w:trPr>
        <w:tc>
          <w:tcPr>
            <w:tcW w:w="0" w:type="auto"/>
            <w:noWrap w:val="0"/>
            <w:vAlign w:val="center"/>
          </w:tcPr>
          <w:p w14:paraId="06672377">
            <w:r>
              <w:rPr>
                <w:rStyle w:val="10"/>
                <w:rFonts w:hint="eastAsia"/>
              </w:rPr>
              <w:t>农药名称：</w:t>
            </w:r>
            <w:r>
              <w:rPr>
                <w:rFonts w:hint="eastAsia"/>
              </w:rPr>
              <w:t>氯氟联苯吡菌胺</w:t>
            </w:r>
          </w:p>
        </w:tc>
      </w:tr>
      <w:tr w14:paraId="5FC71F02">
        <w:tblPrEx>
          <w:tblCellMar>
            <w:top w:w="0" w:type="dxa"/>
            <w:left w:w="0" w:type="dxa"/>
            <w:bottom w:w="0" w:type="dxa"/>
            <w:right w:w="0" w:type="dxa"/>
          </w:tblCellMar>
        </w:tblPrEx>
        <w:trPr>
          <w:wBefore w:w="0" w:type="auto"/>
          <w:tblCellSpacing w:w="0" w:type="dxa"/>
        </w:trPr>
        <w:tc>
          <w:tcPr>
            <w:tcW w:w="0" w:type="auto"/>
            <w:noWrap w:val="0"/>
            <w:vAlign w:val="center"/>
          </w:tcPr>
          <w:p w14:paraId="67F1B98A">
            <w:r>
              <w:rPr>
                <w:rStyle w:val="10"/>
                <w:rFonts w:hint="eastAsia"/>
              </w:rPr>
              <w:t>剂型：</w:t>
            </w:r>
            <w:r>
              <w:rPr>
                <w:rFonts w:hint="eastAsia"/>
              </w:rPr>
              <w:t>原药</w:t>
            </w:r>
          </w:p>
        </w:tc>
      </w:tr>
      <w:tr w14:paraId="3B1D01D5">
        <w:tblPrEx>
          <w:tblCellMar>
            <w:top w:w="0" w:type="dxa"/>
            <w:left w:w="0" w:type="dxa"/>
            <w:bottom w:w="0" w:type="dxa"/>
            <w:right w:w="0" w:type="dxa"/>
          </w:tblCellMar>
        </w:tblPrEx>
        <w:trPr>
          <w:wBefore w:w="0" w:type="auto"/>
          <w:tblCellSpacing w:w="0" w:type="dxa"/>
        </w:trPr>
        <w:tc>
          <w:tcPr>
            <w:tcW w:w="0" w:type="auto"/>
            <w:noWrap w:val="0"/>
            <w:vAlign w:val="center"/>
          </w:tcPr>
          <w:p w14:paraId="24B9A7A7">
            <w:r>
              <w:rPr>
                <w:rStyle w:val="10"/>
                <w:rFonts w:hint="eastAsia"/>
              </w:rPr>
              <w:t>毒性及其标识：</w:t>
            </w:r>
            <w:r>
              <w:rPr>
                <w:rFonts w:hint="eastAsia"/>
              </w:rPr>
              <w:t xml:space="preserve"> 微毒 </w:t>
            </w:r>
          </w:p>
        </w:tc>
      </w:tr>
      <w:tr w14:paraId="59121F6D">
        <w:tblPrEx>
          <w:tblCellMar>
            <w:top w:w="0" w:type="dxa"/>
            <w:left w:w="0" w:type="dxa"/>
            <w:bottom w:w="0" w:type="dxa"/>
            <w:right w:w="0" w:type="dxa"/>
          </w:tblCellMar>
        </w:tblPrEx>
        <w:trPr>
          <w:wBefore w:w="0" w:type="auto"/>
          <w:tblCellSpacing w:w="0" w:type="dxa"/>
        </w:trPr>
        <w:tc>
          <w:tcPr>
            <w:tcW w:w="0" w:type="auto"/>
            <w:noWrap w:val="0"/>
            <w:vAlign w:val="center"/>
          </w:tcPr>
          <w:p w14:paraId="0569FCD5">
            <w:r>
              <w:rPr>
                <w:rStyle w:val="10"/>
                <w:rFonts w:hint="eastAsia"/>
              </w:rPr>
              <w:t>总有效成分含量：</w:t>
            </w:r>
            <w:r>
              <w:rPr>
                <w:rFonts w:hint="eastAsia"/>
              </w:rPr>
              <w:t>98%</w:t>
            </w:r>
          </w:p>
        </w:tc>
      </w:tr>
      <w:tr w14:paraId="0892C360">
        <w:tblPrEx>
          <w:tblCellMar>
            <w:top w:w="0" w:type="dxa"/>
            <w:left w:w="0" w:type="dxa"/>
            <w:bottom w:w="0" w:type="dxa"/>
            <w:right w:w="0" w:type="dxa"/>
          </w:tblCellMar>
        </w:tblPrEx>
        <w:trPr>
          <w:wBefore w:w="0" w:type="auto"/>
          <w:tblCellSpacing w:w="0" w:type="dxa"/>
        </w:trPr>
        <w:tc>
          <w:tcPr>
            <w:tcW w:w="0" w:type="auto"/>
            <w:noWrap w:val="0"/>
            <w:vAlign w:val="center"/>
          </w:tcPr>
          <w:p w14:paraId="4B27ECAD">
            <w:r>
              <w:rPr>
                <w:rFonts w:hint="eastAsia"/>
              </w:rPr>
              <w:t xml:space="preserve">有效成分及其含量： </w:t>
            </w:r>
          </w:p>
          <w:p w14:paraId="4E6ACF6C">
            <w:r>
              <w:rPr>
                <w:rFonts w:hint="eastAsia"/>
              </w:rPr>
              <w:t xml:space="preserve">    </w:t>
            </w:r>
          </w:p>
        </w:tc>
      </w:tr>
      <w:tr w14:paraId="1251ED52">
        <w:tblPrEx>
          <w:tblCellMar>
            <w:top w:w="0" w:type="dxa"/>
            <w:left w:w="0" w:type="dxa"/>
            <w:bottom w:w="0" w:type="dxa"/>
            <w:right w:w="0" w:type="dxa"/>
          </w:tblCellMar>
        </w:tblPrEx>
        <w:trPr>
          <w:wBefore w:w="0" w:type="auto"/>
          <w:tblCellSpacing w:w="0" w:type="dxa"/>
        </w:trPr>
        <w:tc>
          <w:tcPr>
            <w:tcW w:w="0" w:type="auto"/>
            <w:noWrap w:val="0"/>
            <w:vAlign w:val="center"/>
          </w:tcPr>
          <w:p w14:paraId="50A3170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FE8BB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9CD112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F33DDE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A306D8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07B0199">
                  <w:r>
                    <w:rPr>
                      <w:rStyle w:val="11"/>
                      <w:rFonts w:hint="eastAsia"/>
                    </w:rPr>
                    <w:t>施用方式</w:t>
                  </w:r>
                </w:p>
              </w:tc>
            </w:tr>
          </w:tbl>
          <w:p w14:paraId="18CDAEB6">
            <w:pPr>
              <w:rPr>
                <w:rFonts w:ascii="Times New Roman" w:hAnsi="Times New Roman" w:cs="Times New Roman"/>
                <w:sz w:val="20"/>
                <w:szCs w:val="20"/>
              </w:rPr>
            </w:pPr>
          </w:p>
        </w:tc>
      </w:tr>
      <w:tr w14:paraId="7D633CA7">
        <w:tblPrEx>
          <w:tblCellMar>
            <w:top w:w="0" w:type="dxa"/>
            <w:left w:w="0" w:type="dxa"/>
            <w:bottom w:w="0" w:type="dxa"/>
            <w:right w:w="0" w:type="dxa"/>
          </w:tblCellMar>
        </w:tblPrEx>
        <w:trPr>
          <w:wBefore w:w="0" w:type="auto"/>
          <w:tblCellSpacing w:w="0" w:type="dxa"/>
        </w:trPr>
        <w:tc>
          <w:tcPr>
            <w:tcW w:w="0" w:type="auto"/>
            <w:noWrap w:val="0"/>
            <w:vAlign w:val="center"/>
          </w:tcPr>
          <w:p w14:paraId="5ABCDDE7">
            <w:r>
              <w:rPr>
                <w:rStyle w:val="10"/>
                <w:rFonts w:hint="eastAsia"/>
              </w:rPr>
              <w:t>使用技术要求:</w:t>
            </w:r>
          </w:p>
        </w:tc>
      </w:tr>
      <w:tr w14:paraId="3FEBF710">
        <w:tblPrEx>
          <w:tblCellMar>
            <w:top w:w="0" w:type="dxa"/>
            <w:left w:w="0" w:type="dxa"/>
            <w:bottom w:w="0" w:type="dxa"/>
            <w:right w:w="0" w:type="dxa"/>
          </w:tblCellMar>
        </w:tblPrEx>
        <w:trPr>
          <w:wBefore w:w="0" w:type="auto"/>
          <w:tblCellSpacing w:w="0" w:type="dxa"/>
        </w:trPr>
        <w:tc>
          <w:tcPr>
            <w:tcW w:w="0" w:type="auto"/>
            <w:noWrap w:val="0"/>
            <w:vAlign w:val="center"/>
          </w:tcPr>
          <w:p w14:paraId="6B168F7C">
            <w:r>
              <w:rPr>
                <w:rStyle w:val="10"/>
                <w:rFonts w:hint="eastAsia"/>
              </w:rPr>
              <w:t>产品性能:</w:t>
            </w:r>
          </w:p>
        </w:tc>
      </w:tr>
      <w:tr w14:paraId="29054476">
        <w:tblPrEx>
          <w:tblCellMar>
            <w:top w:w="0" w:type="dxa"/>
            <w:left w:w="0" w:type="dxa"/>
            <w:bottom w:w="0" w:type="dxa"/>
            <w:right w:w="0" w:type="dxa"/>
          </w:tblCellMar>
        </w:tblPrEx>
        <w:trPr>
          <w:wBefore w:w="0" w:type="auto"/>
          <w:tblCellSpacing w:w="0" w:type="dxa"/>
        </w:trPr>
        <w:tc>
          <w:tcPr>
            <w:tcW w:w="0" w:type="auto"/>
            <w:noWrap w:val="0"/>
            <w:vAlign w:val="center"/>
          </w:tcPr>
          <w:p w14:paraId="4D36F307">
            <w:r>
              <w:rPr>
                <w:rStyle w:val="10"/>
                <w:rFonts w:hint="eastAsia"/>
              </w:rPr>
              <w:t>注意事项：</w:t>
            </w:r>
          </w:p>
        </w:tc>
      </w:tr>
      <w:tr w14:paraId="6F2576C1">
        <w:tblPrEx>
          <w:tblCellMar>
            <w:top w:w="0" w:type="dxa"/>
            <w:left w:w="0" w:type="dxa"/>
            <w:bottom w:w="0" w:type="dxa"/>
            <w:right w:w="0" w:type="dxa"/>
          </w:tblCellMar>
        </w:tblPrEx>
        <w:trPr>
          <w:wBefore w:w="0" w:type="auto"/>
          <w:tblCellSpacing w:w="0" w:type="dxa"/>
        </w:trPr>
        <w:tc>
          <w:tcPr>
            <w:tcW w:w="0" w:type="auto"/>
            <w:noWrap w:val="0"/>
            <w:vAlign w:val="center"/>
          </w:tcPr>
          <w:p w14:paraId="2A5AEEF5">
            <w:r>
              <w:rPr>
                <w:rStyle w:val="10"/>
                <w:rFonts w:hint="eastAsia"/>
              </w:rPr>
              <w:t>中毒急救措施：</w:t>
            </w:r>
          </w:p>
        </w:tc>
      </w:tr>
      <w:tr w14:paraId="1B082CF8">
        <w:tblPrEx>
          <w:tblCellMar>
            <w:top w:w="0" w:type="dxa"/>
            <w:left w:w="0" w:type="dxa"/>
            <w:bottom w:w="0" w:type="dxa"/>
            <w:right w:w="0" w:type="dxa"/>
          </w:tblCellMar>
        </w:tblPrEx>
        <w:trPr>
          <w:wBefore w:w="0" w:type="auto"/>
          <w:tblCellSpacing w:w="0" w:type="dxa"/>
        </w:trPr>
        <w:tc>
          <w:tcPr>
            <w:tcW w:w="0" w:type="auto"/>
            <w:noWrap w:val="0"/>
            <w:vAlign w:val="center"/>
          </w:tcPr>
          <w:p w14:paraId="6AAE6222">
            <w:r>
              <w:rPr>
                <w:rStyle w:val="10"/>
                <w:rFonts w:hint="eastAsia"/>
              </w:rPr>
              <w:t>储存和运输方法：</w:t>
            </w:r>
          </w:p>
        </w:tc>
      </w:tr>
      <w:tr w14:paraId="63F8AAB7">
        <w:tblPrEx>
          <w:tblCellMar>
            <w:top w:w="0" w:type="dxa"/>
            <w:left w:w="0" w:type="dxa"/>
            <w:bottom w:w="0" w:type="dxa"/>
            <w:right w:w="0" w:type="dxa"/>
          </w:tblCellMar>
        </w:tblPrEx>
        <w:trPr>
          <w:wBefore w:w="0" w:type="auto"/>
          <w:tblCellSpacing w:w="0" w:type="dxa"/>
        </w:trPr>
        <w:tc>
          <w:tcPr>
            <w:tcW w:w="0" w:type="auto"/>
            <w:noWrap w:val="0"/>
            <w:vAlign w:val="center"/>
          </w:tcPr>
          <w:p w14:paraId="6D487B96">
            <w:r>
              <w:rPr>
                <w:rStyle w:val="10"/>
                <w:rFonts w:hint="eastAsia"/>
              </w:rPr>
              <w:t>质量保证期：</w:t>
            </w:r>
          </w:p>
        </w:tc>
      </w:tr>
      <w:tr w14:paraId="30FB040E">
        <w:tblPrEx>
          <w:tblCellMar>
            <w:top w:w="0" w:type="dxa"/>
            <w:left w:w="0" w:type="dxa"/>
            <w:bottom w:w="0" w:type="dxa"/>
            <w:right w:w="0" w:type="dxa"/>
          </w:tblCellMar>
        </w:tblPrEx>
        <w:trPr>
          <w:wBefore w:w="0" w:type="auto"/>
          <w:tblCellSpacing w:w="0" w:type="dxa"/>
        </w:trPr>
        <w:tc>
          <w:tcPr>
            <w:tcW w:w="0" w:type="auto"/>
            <w:noWrap w:val="0"/>
            <w:vAlign w:val="center"/>
          </w:tcPr>
          <w:p w14:paraId="07FE932B">
            <w:r>
              <w:rPr>
                <w:rStyle w:val="10"/>
                <w:rFonts w:hint="eastAsia"/>
              </w:rPr>
              <w:t>备注：</w:t>
            </w:r>
          </w:p>
        </w:tc>
      </w:tr>
    </w:tbl>
    <w:p w14:paraId="252E738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34808A">
        <w:trPr>
          <w:wBefore w:w="0" w:type="auto"/>
          <w:tblCellSpacing w:w="0" w:type="dxa"/>
        </w:trPr>
        <w:tc>
          <w:tcPr>
            <w:tcW w:w="0" w:type="auto"/>
            <w:noWrap w:val="0"/>
            <w:vAlign w:val="center"/>
          </w:tcPr>
          <w:p w14:paraId="02AEC756">
            <w:r>
              <w:rPr>
                <w:rStyle w:val="10"/>
                <w:rFonts w:hint="eastAsia"/>
              </w:rPr>
              <w:t>登记证号：</w:t>
            </w:r>
            <w:r>
              <w:rPr>
                <w:rFonts w:hint="eastAsia"/>
              </w:rPr>
              <w:t>PD20212031</w:t>
            </w:r>
          </w:p>
        </w:tc>
      </w:tr>
      <w:tr w14:paraId="02530DD5">
        <w:tblPrEx>
          <w:tblCellMar>
            <w:top w:w="0" w:type="dxa"/>
            <w:left w:w="0" w:type="dxa"/>
            <w:bottom w:w="0" w:type="dxa"/>
            <w:right w:w="0" w:type="dxa"/>
          </w:tblCellMar>
        </w:tblPrEx>
        <w:trPr>
          <w:wBefore w:w="0" w:type="auto"/>
          <w:tblCellSpacing w:w="0" w:type="dxa"/>
        </w:trPr>
        <w:tc>
          <w:tcPr>
            <w:tcW w:w="0" w:type="auto"/>
            <w:noWrap w:val="0"/>
            <w:vAlign w:val="center"/>
          </w:tcPr>
          <w:p w14:paraId="569101FF">
            <w:r>
              <w:rPr>
                <w:rStyle w:val="10"/>
                <w:rFonts w:hint="eastAsia"/>
              </w:rPr>
              <w:t>登记证持有人：</w:t>
            </w:r>
            <w:r>
              <w:rPr>
                <w:rFonts w:hint="eastAsia"/>
              </w:rPr>
              <w:t>江苏剑牌农化股份有限公司</w:t>
            </w:r>
          </w:p>
        </w:tc>
      </w:tr>
      <w:tr w14:paraId="16B03928">
        <w:tblPrEx>
          <w:tblCellMar>
            <w:top w:w="0" w:type="dxa"/>
            <w:left w:w="0" w:type="dxa"/>
            <w:bottom w:w="0" w:type="dxa"/>
            <w:right w:w="0" w:type="dxa"/>
          </w:tblCellMar>
        </w:tblPrEx>
        <w:trPr>
          <w:wBefore w:w="0" w:type="auto"/>
          <w:tblCellSpacing w:w="0" w:type="dxa"/>
        </w:trPr>
        <w:tc>
          <w:tcPr>
            <w:tcW w:w="0" w:type="auto"/>
            <w:noWrap w:val="0"/>
            <w:vAlign w:val="center"/>
          </w:tcPr>
          <w:p w14:paraId="0D4DD852">
            <w:r>
              <w:rPr>
                <w:rStyle w:val="10"/>
                <w:rFonts w:hint="eastAsia"/>
              </w:rPr>
              <w:t>农药名称：</w:t>
            </w:r>
            <w:r>
              <w:rPr>
                <w:rFonts w:hint="eastAsia"/>
              </w:rPr>
              <w:t>24-表芸苔素内酯</w:t>
            </w:r>
          </w:p>
        </w:tc>
      </w:tr>
      <w:tr w14:paraId="6F7317F5">
        <w:tblPrEx>
          <w:tblCellMar>
            <w:top w:w="0" w:type="dxa"/>
            <w:left w:w="0" w:type="dxa"/>
            <w:bottom w:w="0" w:type="dxa"/>
            <w:right w:w="0" w:type="dxa"/>
          </w:tblCellMar>
        </w:tblPrEx>
        <w:trPr>
          <w:wBefore w:w="0" w:type="auto"/>
          <w:tblCellSpacing w:w="0" w:type="dxa"/>
        </w:trPr>
        <w:tc>
          <w:tcPr>
            <w:tcW w:w="0" w:type="auto"/>
            <w:noWrap w:val="0"/>
            <w:vAlign w:val="center"/>
          </w:tcPr>
          <w:p w14:paraId="5847E53E">
            <w:r>
              <w:rPr>
                <w:rStyle w:val="10"/>
                <w:rFonts w:hint="eastAsia"/>
              </w:rPr>
              <w:t>剂型：</w:t>
            </w:r>
            <w:r>
              <w:rPr>
                <w:rFonts w:hint="eastAsia"/>
              </w:rPr>
              <w:t>可溶液剂</w:t>
            </w:r>
          </w:p>
        </w:tc>
      </w:tr>
      <w:tr w14:paraId="2774FE84">
        <w:tblPrEx>
          <w:tblCellMar>
            <w:top w:w="0" w:type="dxa"/>
            <w:left w:w="0" w:type="dxa"/>
            <w:bottom w:w="0" w:type="dxa"/>
            <w:right w:w="0" w:type="dxa"/>
          </w:tblCellMar>
        </w:tblPrEx>
        <w:trPr>
          <w:wBefore w:w="0" w:type="auto"/>
          <w:tblCellSpacing w:w="0" w:type="dxa"/>
        </w:trPr>
        <w:tc>
          <w:tcPr>
            <w:tcW w:w="0" w:type="auto"/>
            <w:noWrap w:val="0"/>
            <w:vAlign w:val="center"/>
          </w:tcPr>
          <w:p w14:paraId="5CB8D359">
            <w:r>
              <w:rPr>
                <w:rStyle w:val="10"/>
                <w:rFonts w:hint="eastAsia"/>
              </w:rPr>
              <w:t>毒性及其标识：</w:t>
            </w:r>
            <w:r>
              <w:rPr>
                <w:rFonts w:hint="eastAsia"/>
              </w:rPr>
              <w:t xml:space="preserve"> 微毒 </w:t>
            </w:r>
          </w:p>
        </w:tc>
      </w:tr>
      <w:tr w14:paraId="4CDCF9C3">
        <w:tblPrEx>
          <w:tblCellMar>
            <w:top w:w="0" w:type="dxa"/>
            <w:left w:w="0" w:type="dxa"/>
            <w:bottom w:w="0" w:type="dxa"/>
            <w:right w:w="0" w:type="dxa"/>
          </w:tblCellMar>
        </w:tblPrEx>
        <w:trPr>
          <w:wBefore w:w="0" w:type="auto"/>
          <w:tblCellSpacing w:w="0" w:type="dxa"/>
        </w:trPr>
        <w:tc>
          <w:tcPr>
            <w:tcW w:w="0" w:type="auto"/>
            <w:noWrap w:val="0"/>
            <w:vAlign w:val="center"/>
          </w:tcPr>
          <w:p w14:paraId="39EA3454">
            <w:r>
              <w:rPr>
                <w:rStyle w:val="10"/>
                <w:rFonts w:hint="eastAsia"/>
              </w:rPr>
              <w:t>总有效成分含量：</w:t>
            </w:r>
            <w:r>
              <w:rPr>
                <w:rFonts w:hint="eastAsia"/>
              </w:rPr>
              <w:t>0.01%</w:t>
            </w:r>
          </w:p>
        </w:tc>
      </w:tr>
      <w:tr w14:paraId="347E2CB3">
        <w:tblPrEx>
          <w:tblCellMar>
            <w:top w:w="0" w:type="dxa"/>
            <w:left w:w="0" w:type="dxa"/>
            <w:bottom w:w="0" w:type="dxa"/>
            <w:right w:w="0" w:type="dxa"/>
          </w:tblCellMar>
        </w:tblPrEx>
        <w:trPr>
          <w:wBefore w:w="0" w:type="auto"/>
          <w:tblCellSpacing w:w="0" w:type="dxa"/>
        </w:trPr>
        <w:tc>
          <w:tcPr>
            <w:tcW w:w="0" w:type="auto"/>
            <w:noWrap w:val="0"/>
            <w:vAlign w:val="center"/>
          </w:tcPr>
          <w:p w14:paraId="3B5C040B">
            <w:r>
              <w:rPr>
                <w:rFonts w:hint="eastAsia"/>
              </w:rPr>
              <w:t xml:space="preserve">有效成分及其含量： </w:t>
            </w:r>
          </w:p>
          <w:p w14:paraId="358264C4">
            <w:r>
              <w:rPr>
                <w:rFonts w:hint="eastAsia"/>
              </w:rPr>
              <w:t xml:space="preserve">    24-表芸苔素内酯0.01%    </w:t>
            </w:r>
          </w:p>
        </w:tc>
      </w:tr>
      <w:tr w14:paraId="3A418541">
        <w:tblPrEx>
          <w:tblCellMar>
            <w:top w:w="0" w:type="dxa"/>
            <w:left w:w="0" w:type="dxa"/>
            <w:bottom w:w="0" w:type="dxa"/>
            <w:right w:w="0" w:type="dxa"/>
          </w:tblCellMar>
        </w:tblPrEx>
        <w:trPr>
          <w:wBefore w:w="0" w:type="auto"/>
          <w:tblCellSpacing w:w="0" w:type="dxa"/>
        </w:trPr>
        <w:tc>
          <w:tcPr>
            <w:tcW w:w="0" w:type="auto"/>
            <w:noWrap w:val="0"/>
            <w:vAlign w:val="center"/>
          </w:tcPr>
          <w:p w14:paraId="0007538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CABD4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4C6C5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4BD95D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9B985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05F8AA9">
                  <w:r>
                    <w:rPr>
                      <w:rStyle w:val="11"/>
                      <w:rFonts w:hint="eastAsia"/>
                    </w:rPr>
                    <w:t>施用方式</w:t>
                  </w:r>
                </w:p>
              </w:tc>
            </w:tr>
            <w:tr w14:paraId="660BF6D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0E6D7A">
                  <w:r>
                    <w:rPr>
                      <w:rStyle w:val="11"/>
                      <w:rFonts w:hint="eastAsia"/>
                    </w:rPr>
                    <w:t>小白菜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3A771C">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421D44">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D18994">
                  <w:r>
                    <w:rPr>
                      <w:rStyle w:val="11"/>
                      <w:rFonts w:hint="eastAsia"/>
                    </w:rPr>
                    <w:t>喷雾</w:t>
                  </w:r>
                </w:p>
              </w:tc>
            </w:tr>
          </w:tbl>
          <w:p w14:paraId="4789B0AF">
            <w:pPr>
              <w:rPr>
                <w:rFonts w:ascii="Times New Roman" w:hAnsi="Times New Roman" w:cs="Times New Roman"/>
                <w:sz w:val="20"/>
                <w:szCs w:val="20"/>
              </w:rPr>
            </w:pPr>
          </w:p>
        </w:tc>
      </w:tr>
      <w:tr w14:paraId="17018FF4">
        <w:tblPrEx>
          <w:tblCellMar>
            <w:top w:w="0" w:type="dxa"/>
            <w:left w:w="0" w:type="dxa"/>
            <w:bottom w:w="0" w:type="dxa"/>
            <w:right w:w="0" w:type="dxa"/>
          </w:tblCellMar>
        </w:tblPrEx>
        <w:trPr>
          <w:wBefore w:w="0" w:type="auto"/>
          <w:tblCellSpacing w:w="0" w:type="dxa"/>
        </w:trPr>
        <w:tc>
          <w:tcPr>
            <w:tcW w:w="0" w:type="auto"/>
            <w:noWrap w:val="0"/>
            <w:vAlign w:val="center"/>
          </w:tcPr>
          <w:p w14:paraId="755BB2B6">
            <w:r>
              <w:rPr>
                <w:rStyle w:val="10"/>
                <w:rFonts w:hint="eastAsia"/>
              </w:rPr>
              <w:t>使用技术要求:</w:t>
            </w:r>
            <w:r>
              <w:rPr>
                <w:rFonts w:hint="eastAsia"/>
              </w:rPr>
              <w:br w:type="textWrapping"/>
            </w:r>
            <w:r>
              <w:rPr>
                <w:rStyle w:val="11"/>
                <w:rFonts w:hint="eastAsia"/>
              </w:rPr>
              <w:t>1、在小白菜苗期、生长期使用1-2次，最多使用2次。2、施药时应周到、均匀，勿重喷或漏喷，注意喷雾均匀。3、大风天或预计1小时内降雨，请勿施药。</w:t>
            </w:r>
          </w:p>
        </w:tc>
      </w:tr>
      <w:tr w14:paraId="6C0D172A">
        <w:tblPrEx>
          <w:tblCellMar>
            <w:top w:w="0" w:type="dxa"/>
            <w:left w:w="0" w:type="dxa"/>
            <w:bottom w:w="0" w:type="dxa"/>
            <w:right w:w="0" w:type="dxa"/>
          </w:tblCellMar>
        </w:tblPrEx>
        <w:trPr>
          <w:wBefore w:w="0" w:type="auto"/>
          <w:tblCellSpacing w:w="0" w:type="dxa"/>
        </w:trPr>
        <w:tc>
          <w:tcPr>
            <w:tcW w:w="0" w:type="auto"/>
            <w:noWrap w:val="0"/>
            <w:vAlign w:val="center"/>
          </w:tcPr>
          <w:p w14:paraId="3D0C1555">
            <w:r>
              <w:rPr>
                <w:rStyle w:val="10"/>
                <w:rFonts w:hint="eastAsia"/>
              </w:rPr>
              <w:t>产品性能:</w:t>
            </w:r>
            <w:r>
              <w:rPr>
                <w:rFonts w:hint="eastAsia"/>
              </w:rPr>
              <w:br w:type="textWrapping"/>
            </w:r>
            <w:r>
              <w:rPr>
                <w:rStyle w:val="11"/>
                <w:rFonts w:hint="eastAsia"/>
              </w:rPr>
              <w:t>本品属于甾醇类植物生长调节剂，具有使植物细胞分裂和延长的双重作用，可促进根系发达，增强光合作用，提高作物叶绿素含量，促进植物对肥料的有效吸收，有利于作物良好生长，从而改善作物品质，提高作物产量。</w:t>
            </w:r>
          </w:p>
        </w:tc>
      </w:tr>
      <w:tr w14:paraId="4001A8A8">
        <w:tblPrEx>
          <w:tblCellMar>
            <w:top w:w="0" w:type="dxa"/>
            <w:left w:w="0" w:type="dxa"/>
            <w:bottom w:w="0" w:type="dxa"/>
            <w:right w:w="0" w:type="dxa"/>
          </w:tblCellMar>
        </w:tblPrEx>
        <w:trPr>
          <w:wBefore w:w="0" w:type="auto"/>
          <w:tblCellSpacing w:w="0" w:type="dxa"/>
        </w:trPr>
        <w:tc>
          <w:tcPr>
            <w:tcW w:w="0" w:type="auto"/>
            <w:noWrap w:val="0"/>
            <w:vAlign w:val="center"/>
          </w:tcPr>
          <w:p w14:paraId="6A56CE04">
            <w:r>
              <w:rPr>
                <w:rStyle w:val="10"/>
                <w:rFonts w:hint="eastAsia"/>
              </w:rPr>
              <w:t>注意事项：</w:t>
            </w:r>
            <w:r>
              <w:rPr>
                <w:rFonts w:hint="eastAsia"/>
              </w:rPr>
              <w:br w:type="textWrapping"/>
            </w:r>
            <w:r>
              <w:rPr>
                <w:rStyle w:val="11"/>
                <w:rFonts w:hint="eastAsia"/>
              </w:rPr>
              <w:t>1、施药期间周围开花植物花期禁用，蚕室及桑园附近、水产养殖区、河塘等水体附近禁用，禁止在河塘等水体中清洗施药器具。2、施用时应戴防护镜、口罩和手套，穿长衣、长裤；施药中禁止饮食、吸烟、饮水等；施药后应用肥皂和清水彻底清洗暴露在外的皮肤。3、用药后包装物及用过的容器应妥善处理，不可做他用，也不可随意丢弃。4、孕妇、哺乳期的妇女禁止接触本产品。</w:t>
            </w:r>
          </w:p>
        </w:tc>
      </w:tr>
      <w:tr w14:paraId="74AC8F33">
        <w:tblPrEx>
          <w:tblCellMar>
            <w:top w:w="0" w:type="dxa"/>
            <w:left w:w="0" w:type="dxa"/>
            <w:bottom w:w="0" w:type="dxa"/>
            <w:right w:w="0" w:type="dxa"/>
          </w:tblCellMar>
        </w:tblPrEx>
        <w:trPr>
          <w:wBefore w:w="0" w:type="auto"/>
          <w:tblCellSpacing w:w="0" w:type="dxa"/>
        </w:trPr>
        <w:tc>
          <w:tcPr>
            <w:tcW w:w="0" w:type="auto"/>
            <w:noWrap w:val="0"/>
            <w:vAlign w:val="center"/>
          </w:tcPr>
          <w:p w14:paraId="4AA4039B">
            <w:r>
              <w:rPr>
                <w:rStyle w:val="10"/>
                <w:rFonts w:hint="eastAsia"/>
              </w:rPr>
              <w:t>中毒急救措施：</w:t>
            </w:r>
            <w:r>
              <w:rPr>
                <w:rFonts w:hint="eastAsia"/>
              </w:rPr>
              <w:br w:type="textWrapping"/>
            </w:r>
            <w:r>
              <w:rPr>
                <w:rStyle w:val="11"/>
                <w:rFonts w:hint="eastAsia"/>
              </w:rPr>
              <w:t>1、使用中或使用后如果感觉不适，应立即停止工作，采取急救措施，并携带标签送医院就诊。2、皮肤接触：脱去污染的衣物，用软布去除沾染农药，立即用大量清水和肥皂冲洗。眼睛溅入：立即用流动清水冲洗不少于15分钟。3、误食：立即停止服用，用清水充分漱口后，立即携带农药标签到医院就诊。</w:t>
            </w:r>
          </w:p>
        </w:tc>
      </w:tr>
      <w:tr w14:paraId="3863897B">
        <w:tblPrEx>
          <w:tblCellMar>
            <w:top w:w="0" w:type="dxa"/>
            <w:left w:w="0" w:type="dxa"/>
            <w:bottom w:w="0" w:type="dxa"/>
            <w:right w:w="0" w:type="dxa"/>
          </w:tblCellMar>
        </w:tblPrEx>
        <w:trPr>
          <w:wBefore w:w="0" w:type="auto"/>
          <w:tblCellSpacing w:w="0" w:type="dxa"/>
        </w:trPr>
        <w:tc>
          <w:tcPr>
            <w:tcW w:w="0" w:type="auto"/>
            <w:noWrap w:val="0"/>
            <w:vAlign w:val="center"/>
          </w:tcPr>
          <w:p w14:paraId="0DC7ABC8">
            <w:r>
              <w:rPr>
                <w:rStyle w:val="10"/>
                <w:rFonts w:hint="eastAsia"/>
              </w:rPr>
              <w:t>储存和运输方法：</w:t>
            </w:r>
            <w:r>
              <w:rPr>
                <w:rFonts w:hint="eastAsia"/>
              </w:rPr>
              <w:br w:type="textWrapping"/>
            </w:r>
            <w:r>
              <w:rPr>
                <w:rStyle w:val="11"/>
                <w:rFonts w:hint="eastAsia"/>
              </w:rPr>
              <w:t>1、本品应储存在干燥、阴凉、通风、防雨处，远离火源或热源。2、置于儿童接触不到的地方，并加锁。不能与食品、饮料、粮食、饲料等同储同运。3、在装卸、运输时应轻拿轻放。</w:t>
            </w:r>
          </w:p>
        </w:tc>
      </w:tr>
      <w:tr w14:paraId="069878E5">
        <w:tblPrEx>
          <w:tblCellMar>
            <w:top w:w="0" w:type="dxa"/>
            <w:left w:w="0" w:type="dxa"/>
            <w:bottom w:w="0" w:type="dxa"/>
            <w:right w:w="0" w:type="dxa"/>
          </w:tblCellMar>
        </w:tblPrEx>
        <w:trPr>
          <w:wBefore w:w="0" w:type="auto"/>
          <w:tblCellSpacing w:w="0" w:type="dxa"/>
        </w:trPr>
        <w:tc>
          <w:tcPr>
            <w:tcW w:w="0" w:type="auto"/>
            <w:noWrap w:val="0"/>
            <w:vAlign w:val="center"/>
          </w:tcPr>
          <w:p w14:paraId="37FE61C4">
            <w:r>
              <w:rPr>
                <w:rStyle w:val="10"/>
                <w:rFonts w:hint="eastAsia"/>
              </w:rPr>
              <w:t>质量保证期：</w:t>
            </w:r>
            <w:r>
              <w:rPr>
                <w:rStyle w:val="11"/>
                <w:rFonts w:hint="eastAsia"/>
              </w:rPr>
              <w:t>2年</w:t>
            </w:r>
          </w:p>
        </w:tc>
      </w:tr>
      <w:tr w14:paraId="5073C0BA">
        <w:tblPrEx>
          <w:tblCellMar>
            <w:top w:w="0" w:type="dxa"/>
            <w:left w:w="0" w:type="dxa"/>
            <w:bottom w:w="0" w:type="dxa"/>
            <w:right w:w="0" w:type="dxa"/>
          </w:tblCellMar>
        </w:tblPrEx>
        <w:trPr>
          <w:wBefore w:w="0" w:type="auto"/>
          <w:tblCellSpacing w:w="0" w:type="dxa"/>
        </w:trPr>
        <w:tc>
          <w:tcPr>
            <w:tcW w:w="0" w:type="auto"/>
            <w:noWrap w:val="0"/>
            <w:vAlign w:val="center"/>
          </w:tcPr>
          <w:p w14:paraId="60FD0C6C">
            <w:r>
              <w:rPr>
                <w:rStyle w:val="10"/>
                <w:rFonts w:hint="eastAsia"/>
              </w:rPr>
              <w:t>备注：</w:t>
            </w:r>
          </w:p>
        </w:tc>
      </w:tr>
    </w:tbl>
    <w:p w14:paraId="2987B36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0C98E20">
        <w:tblPrEx>
          <w:tblCellMar>
            <w:top w:w="0" w:type="dxa"/>
            <w:left w:w="0" w:type="dxa"/>
            <w:bottom w:w="0" w:type="dxa"/>
            <w:right w:w="0" w:type="dxa"/>
          </w:tblCellMar>
        </w:tblPrEx>
        <w:trPr>
          <w:wBefore w:w="0" w:type="auto"/>
          <w:tblCellSpacing w:w="0" w:type="dxa"/>
        </w:trPr>
        <w:tc>
          <w:tcPr>
            <w:tcW w:w="0" w:type="auto"/>
            <w:noWrap w:val="0"/>
            <w:vAlign w:val="center"/>
          </w:tcPr>
          <w:p w14:paraId="3D0C802B">
            <w:r>
              <w:rPr>
                <w:rStyle w:val="10"/>
                <w:rFonts w:hint="eastAsia"/>
              </w:rPr>
              <w:t>登记证号：</w:t>
            </w:r>
            <w:r>
              <w:rPr>
                <w:rFonts w:hint="eastAsia"/>
              </w:rPr>
              <w:t>WP20210239</w:t>
            </w:r>
          </w:p>
        </w:tc>
      </w:tr>
      <w:tr w14:paraId="3C6260DC">
        <w:tblPrEx>
          <w:tblCellMar>
            <w:top w:w="0" w:type="dxa"/>
            <w:left w:w="0" w:type="dxa"/>
            <w:bottom w:w="0" w:type="dxa"/>
            <w:right w:w="0" w:type="dxa"/>
          </w:tblCellMar>
        </w:tblPrEx>
        <w:trPr>
          <w:wBefore w:w="0" w:type="auto"/>
          <w:tblCellSpacing w:w="0" w:type="dxa"/>
        </w:trPr>
        <w:tc>
          <w:tcPr>
            <w:tcW w:w="0" w:type="auto"/>
            <w:noWrap w:val="0"/>
            <w:vAlign w:val="center"/>
          </w:tcPr>
          <w:p w14:paraId="2DC3C227">
            <w:r>
              <w:rPr>
                <w:rStyle w:val="10"/>
                <w:rFonts w:hint="eastAsia"/>
              </w:rPr>
              <w:t>登记证持有人：</w:t>
            </w:r>
            <w:r>
              <w:rPr>
                <w:rFonts w:hint="eastAsia"/>
              </w:rPr>
              <w:t>广东省中山市金鸟化工有限公司</w:t>
            </w:r>
          </w:p>
        </w:tc>
      </w:tr>
      <w:tr w14:paraId="14169896">
        <w:tblPrEx>
          <w:tblCellMar>
            <w:top w:w="0" w:type="dxa"/>
            <w:left w:w="0" w:type="dxa"/>
            <w:bottom w:w="0" w:type="dxa"/>
            <w:right w:w="0" w:type="dxa"/>
          </w:tblCellMar>
        </w:tblPrEx>
        <w:trPr>
          <w:wBefore w:w="0" w:type="auto"/>
          <w:tblCellSpacing w:w="0" w:type="dxa"/>
        </w:trPr>
        <w:tc>
          <w:tcPr>
            <w:tcW w:w="0" w:type="auto"/>
            <w:noWrap w:val="0"/>
            <w:vAlign w:val="center"/>
          </w:tcPr>
          <w:p w14:paraId="69EE85F9">
            <w:r>
              <w:rPr>
                <w:rStyle w:val="10"/>
                <w:rFonts w:hint="eastAsia"/>
              </w:rPr>
              <w:t>农药名称：</w:t>
            </w:r>
            <w:r>
              <w:rPr>
                <w:rFonts w:hint="eastAsia"/>
              </w:rPr>
              <w:t>驱蚊粒</w:t>
            </w:r>
          </w:p>
        </w:tc>
      </w:tr>
      <w:tr w14:paraId="508CD9AF">
        <w:tblPrEx>
          <w:tblCellMar>
            <w:top w:w="0" w:type="dxa"/>
            <w:left w:w="0" w:type="dxa"/>
            <w:bottom w:w="0" w:type="dxa"/>
            <w:right w:w="0" w:type="dxa"/>
          </w:tblCellMar>
        </w:tblPrEx>
        <w:trPr>
          <w:wBefore w:w="0" w:type="auto"/>
          <w:tblCellSpacing w:w="0" w:type="dxa"/>
        </w:trPr>
        <w:tc>
          <w:tcPr>
            <w:tcW w:w="0" w:type="auto"/>
            <w:noWrap w:val="0"/>
            <w:vAlign w:val="center"/>
          </w:tcPr>
          <w:p w14:paraId="540A2F6F">
            <w:r>
              <w:rPr>
                <w:rStyle w:val="10"/>
                <w:rFonts w:hint="eastAsia"/>
              </w:rPr>
              <w:t>剂型：</w:t>
            </w:r>
            <w:r>
              <w:rPr>
                <w:rFonts w:hint="eastAsia"/>
              </w:rPr>
              <w:t>驱蚊粒</w:t>
            </w:r>
          </w:p>
        </w:tc>
      </w:tr>
      <w:tr w14:paraId="404C36EC">
        <w:tblPrEx>
          <w:tblCellMar>
            <w:top w:w="0" w:type="dxa"/>
            <w:left w:w="0" w:type="dxa"/>
            <w:bottom w:w="0" w:type="dxa"/>
            <w:right w:w="0" w:type="dxa"/>
          </w:tblCellMar>
        </w:tblPrEx>
        <w:trPr>
          <w:wBefore w:w="0" w:type="auto"/>
          <w:tblCellSpacing w:w="0" w:type="dxa"/>
        </w:trPr>
        <w:tc>
          <w:tcPr>
            <w:tcW w:w="0" w:type="auto"/>
            <w:noWrap w:val="0"/>
            <w:vAlign w:val="center"/>
          </w:tcPr>
          <w:p w14:paraId="7C6F1ACC">
            <w:r>
              <w:rPr>
                <w:rStyle w:val="10"/>
                <w:rFonts w:hint="eastAsia"/>
              </w:rPr>
              <w:t>毒性及其标识：</w:t>
            </w:r>
            <w:r>
              <w:rPr>
                <w:rFonts w:hint="eastAsia"/>
              </w:rPr>
              <w:t xml:space="preserve"> </w:t>
            </w:r>
            <w:r>
              <w:rPr>
                <w:lang/>
              </w:rPr>
              <w:drawing>
                <wp:inline distT="0" distB="0" distL="114300" distR="114300">
                  <wp:extent cx="476250" cy="323850"/>
                  <wp:effectExtent l="0" t="0" r="0" b="0"/>
                  <wp:docPr id="110" name="图片 11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870AEA">
        <w:tblPrEx>
          <w:tblCellMar>
            <w:top w:w="0" w:type="dxa"/>
            <w:left w:w="0" w:type="dxa"/>
            <w:bottom w:w="0" w:type="dxa"/>
            <w:right w:w="0" w:type="dxa"/>
          </w:tblCellMar>
        </w:tblPrEx>
        <w:trPr>
          <w:wBefore w:w="0" w:type="auto"/>
          <w:tblCellSpacing w:w="0" w:type="dxa"/>
        </w:trPr>
        <w:tc>
          <w:tcPr>
            <w:tcW w:w="0" w:type="auto"/>
            <w:noWrap w:val="0"/>
            <w:vAlign w:val="center"/>
          </w:tcPr>
          <w:p w14:paraId="3348D68B">
            <w:r>
              <w:rPr>
                <w:rStyle w:val="10"/>
                <w:rFonts w:hint="eastAsia"/>
              </w:rPr>
              <w:t>总有效成分含量：</w:t>
            </w:r>
            <w:r>
              <w:rPr>
                <w:rFonts w:hint="eastAsia"/>
              </w:rPr>
              <w:t>280毫克/盘</w:t>
            </w:r>
          </w:p>
        </w:tc>
      </w:tr>
      <w:tr w14:paraId="4210248B">
        <w:tblPrEx>
          <w:tblCellMar>
            <w:top w:w="0" w:type="dxa"/>
            <w:left w:w="0" w:type="dxa"/>
            <w:bottom w:w="0" w:type="dxa"/>
            <w:right w:w="0" w:type="dxa"/>
          </w:tblCellMar>
        </w:tblPrEx>
        <w:trPr>
          <w:wBefore w:w="0" w:type="auto"/>
          <w:tblCellSpacing w:w="0" w:type="dxa"/>
        </w:trPr>
        <w:tc>
          <w:tcPr>
            <w:tcW w:w="0" w:type="auto"/>
            <w:noWrap w:val="0"/>
            <w:vAlign w:val="center"/>
          </w:tcPr>
          <w:p w14:paraId="1209188F">
            <w:r>
              <w:rPr>
                <w:rFonts w:hint="eastAsia"/>
              </w:rPr>
              <w:t xml:space="preserve">有效成分及其含量： </w:t>
            </w:r>
          </w:p>
          <w:p w14:paraId="2C28D1EA">
            <w:r>
              <w:rPr>
                <w:rFonts w:hint="eastAsia"/>
              </w:rPr>
              <w:t xml:space="preserve">    四氟苯菊酯280毫克/盘    </w:t>
            </w:r>
          </w:p>
        </w:tc>
      </w:tr>
      <w:tr w14:paraId="78A0B73F">
        <w:tblPrEx>
          <w:tblCellMar>
            <w:top w:w="0" w:type="dxa"/>
            <w:left w:w="0" w:type="dxa"/>
            <w:bottom w:w="0" w:type="dxa"/>
            <w:right w:w="0" w:type="dxa"/>
          </w:tblCellMar>
        </w:tblPrEx>
        <w:trPr>
          <w:wBefore w:w="0" w:type="auto"/>
          <w:tblCellSpacing w:w="0" w:type="dxa"/>
        </w:trPr>
        <w:tc>
          <w:tcPr>
            <w:tcW w:w="0" w:type="auto"/>
            <w:noWrap w:val="0"/>
            <w:vAlign w:val="center"/>
          </w:tcPr>
          <w:p w14:paraId="54094DE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7451C4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FD9F2B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ED2A77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CB5AE4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F8E7851">
                  <w:r>
                    <w:rPr>
                      <w:rStyle w:val="11"/>
                      <w:rFonts w:hint="eastAsia"/>
                    </w:rPr>
                    <w:t>施用方式</w:t>
                  </w:r>
                </w:p>
              </w:tc>
            </w:tr>
            <w:tr w14:paraId="6388E9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4790DFA">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C7D773">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A62D3F">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528F52">
                  <w:r>
                    <w:rPr>
                      <w:rStyle w:val="11"/>
                      <w:rFonts w:hint="eastAsia"/>
                    </w:rPr>
                    <w:t>电吹风</w:t>
                  </w:r>
                </w:p>
              </w:tc>
            </w:tr>
          </w:tbl>
          <w:p w14:paraId="289E6472">
            <w:pPr>
              <w:rPr>
                <w:rFonts w:ascii="Times New Roman" w:hAnsi="Times New Roman" w:cs="Times New Roman"/>
                <w:sz w:val="20"/>
                <w:szCs w:val="20"/>
              </w:rPr>
            </w:pPr>
          </w:p>
        </w:tc>
      </w:tr>
      <w:tr w14:paraId="5348CA95">
        <w:tblPrEx>
          <w:tblCellMar>
            <w:top w:w="0" w:type="dxa"/>
            <w:left w:w="0" w:type="dxa"/>
            <w:bottom w:w="0" w:type="dxa"/>
            <w:right w:w="0" w:type="dxa"/>
          </w:tblCellMar>
        </w:tblPrEx>
        <w:trPr>
          <w:wBefore w:w="0" w:type="auto"/>
          <w:tblCellSpacing w:w="0" w:type="dxa"/>
        </w:trPr>
        <w:tc>
          <w:tcPr>
            <w:tcW w:w="0" w:type="auto"/>
            <w:noWrap w:val="0"/>
            <w:vAlign w:val="center"/>
          </w:tcPr>
          <w:p w14:paraId="6D566D90">
            <w:r>
              <w:rPr>
                <w:rStyle w:val="10"/>
                <w:rFonts w:hint="eastAsia"/>
              </w:rPr>
              <w:t>使用技术要求:</w:t>
            </w:r>
            <w:r>
              <w:rPr>
                <w:rFonts w:hint="eastAsia"/>
              </w:rPr>
              <w:br w:type="textWrapping"/>
            </w:r>
            <w:r>
              <w:rPr>
                <w:rStyle w:val="11"/>
                <w:rFonts w:hint="eastAsia"/>
              </w:rPr>
              <w:t xml:space="preserve">使用方法 1、 电池的安装：依照箭头符号指示按压推开器具背面的电池盖，根据右边所示&lt;关于可使用的药盘和电池的安装方法&gt;，请认准+、-极后在电池槽安装5号碱性电池。 2、 药盘的安装：从指示灯旁边的“OPEN”往上用力，打开器具上面的罩子，将药盘的印刷面向上，安装到马达转动轴的深处。 3、 电源的开/关：扣上罩子，听到“咔嚓”的声音后按下电源按钮，指示灯即可亮，药盘转动并开始挥发药剂。再次按下开关即可关闭电源。 4、 药盘和电池的更换：使用过程中指示灯不亮后，说明需要更换药盘和电池。请同时更换新的药盘和5号碱性干电池。 5.仅限室内使用。 </w:t>
            </w:r>
          </w:p>
        </w:tc>
      </w:tr>
      <w:tr w14:paraId="2FEDD4CF">
        <w:tblPrEx>
          <w:tblCellMar>
            <w:top w:w="0" w:type="dxa"/>
            <w:left w:w="0" w:type="dxa"/>
            <w:bottom w:w="0" w:type="dxa"/>
            <w:right w:w="0" w:type="dxa"/>
          </w:tblCellMar>
        </w:tblPrEx>
        <w:trPr>
          <w:wBefore w:w="0" w:type="auto"/>
          <w:tblCellSpacing w:w="0" w:type="dxa"/>
        </w:trPr>
        <w:tc>
          <w:tcPr>
            <w:tcW w:w="0" w:type="auto"/>
            <w:noWrap w:val="0"/>
            <w:vAlign w:val="center"/>
          </w:tcPr>
          <w:p w14:paraId="6EA97CD5">
            <w:r>
              <w:rPr>
                <w:rStyle w:val="10"/>
                <w:rFonts w:hint="eastAsia"/>
              </w:rPr>
              <w:t>产品性能:</w:t>
            </w:r>
            <w:r>
              <w:rPr>
                <w:rFonts w:hint="eastAsia"/>
              </w:rPr>
              <w:br w:type="textWrapping"/>
            </w:r>
            <w:r>
              <w:rPr>
                <w:rStyle w:val="11"/>
                <w:rFonts w:hint="eastAsia"/>
              </w:rPr>
              <w:t>1、 本品采用离心力的挥发原理。 2、 使用方便。 3、 采用随处可方便使用的电池式设计。 4、 本品可驱杀蚊子，可用720小时。</w:t>
            </w:r>
          </w:p>
        </w:tc>
      </w:tr>
      <w:tr w14:paraId="409440EA">
        <w:tblPrEx>
          <w:tblCellMar>
            <w:top w:w="0" w:type="dxa"/>
            <w:left w:w="0" w:type="dxa"/>
            <w:bottom w:w="0" w:type="dxa"/>
            <w:right w:w="0" w:type="dxa"/>
          </w:tblCellMar>
        </w:tblPrEx>
        <w:trPr>
          <w:wBefore w:w="0" w:type="auto"/>
          <w:tblCellSpacing w:w="0" w:type="dxa"/>
        </w:trPr>
        <w:tc>
          <w:tcPr>
            <w:tcW w:w="0" w:type="auto"/>
            <w:noWrap w:val="0"/>
            <w:vAlign w:val="center"/>
          </w:tcPr>
          <w:p w14:paraId="63C3661E">
            <w:r>
              <w:rPr>
                <w:rStyle w:val="10"/>
                <w:rFonts w:hint="eastAsia"/>
              </w:rPr>
              <w:t>注意事项：</w:t>
            </w:r>
            <w:r>
              <w:rPr>
                <w:rFonts w:hint="eastAsia"/>
              </w:rPr>
              <w:br w:type="textWrapping"/>
            </w:r>
            <w:r>
              <w:rPr>
                <w:rStyle w:val="11"/>
                <w:rFonts w:hint="eastAsia"/>
              </w:rPr>
              <w:t>1、 避免阳光直接照射，置于儿童接触不到的地方。 2、 切勿在器具上插入扣针及铁丝类等物。 3、 为避免引起故障，切勿在器具上撒落水滴等，如受潮时，请用干净的擦布擦干。 4、 切勿随意拆卸、改造及修理器具，以免发生故障。 5、 使用时注意通风；本品对鱼类、蜂和蚕毒性高，蚕室及其附近禁用； 过敏者禁用；用后洗手，使用中有任何不良反应请及时就医。</w:t>
            </w:r>
          </w:p>
        </w:tc>
      </w:tr>
      <w:tr w14:paraId="65B48898">
        <w:tblPrEx>
          <w:tblCellMar>
            <w:top w:w="0" w:type="dxa"/>
            <w:left w:w="0" w:type="dxa"/>
            <w:bottom w:w="0" w:type="dxa"/>
            <w:right w:w="0" w:type="dxa"/>
          </w:tblCellMar>
        </w:tblPrEx>
        <w:trPr>
          <w:wBefore w:w="0" w:type="auto"/>
          <w:tblCellSpacing w:w="0" w:type="dxa"/>
        </w:trPr>
        <w:tc>
          <w:tcPr>
            <w:tcW w:w="0" w:type="auto"/>
            <w:noWrap w:val="0"/>
            <w:vAlign w:val="center"/>
          </w:tcPr>
          <w:p w14:paraId="2A554D07">
            <w:r>
              <w:rPr>
                <w:rStyle w:val="10"/>
                <w:rFonts w:hint="eastAsia"/>
              </w:rPr>
              <w:t>中毒急救措施：</w:t>
            </w:r>
            <w:r>
              <w:rPr>
                <w:rFonts w:hint="eastAsia"/>
              </w:rPr>
              <w:br w:type="textWrapping"/>
            </w:r>
            <w:r>
              <w:rPr>
                <w:rStyle w:val="11"/>
                <w:rFonts w:hint="eastAsia"/>
              </w:rPr>
              <w:t>若误食或吸入不适，不要催吐，立即携带本品就医。</w:t>
            </w:r>
          </w:p>
        </w:tc>
      </w:tr>
      <w:tr w14:paraId="6AF1AEC0">
        <w:tblPrEx>
          <w:tblCellMar>
            <w:top w:w="0" w:type="dxa"/>
            <w:left w:w="0" w:type="dxa"/>
            <w:bottom w:w="0" w:type="dxa"/>
            <w:right w:w="0" w:type="dxa"/>
          </w:tblCellMar>
        </w:tblPrEx>
        <w:trPr>
          <w:wBefore w:w="0" w:type="auto"/>
          <w:tblCellSpacing w:w="0" w:type="dxa"/>
        </w:trPr>
        <w:tc>
          <w:tcPr>
            <w:tcW w:w="0" w:type="auto"/>
            <w:noWrap w:val="0"/>
            <w:vAlign w:val="center"/>
          </w:tcPr>
          <w:p w14:paraId="6EE0BABA">
            <w:r>
              <w:rPr>
                <w:rStyle w:val="10"/>
                <w:rFonts w:hint="eastAsia"/>
              </w:rPr>
              <w:t>储存和运输方法：</w:t>
            </w:r>
            <w:r>
              <w:rPr>
                <w:rFonts w:hint="eastAsia"/>
              </w:rPr>
              <w:br w:type="textWrapping"/>
            </w:r>
            <w:r>
              <w:rPr>
                <w:rStyle w:val="11"/>
                <w:rFonts w:hint="eastAsia"/>
              </w:rPr>
              <w:t>产品应储存在通风、阴凉、干燥（低温）的库房中，储存时，严防潮湿和曝晒，不能与食品、饮料、粮食、饲料等混合储存。运输装卸要小心轻放。严禁猛烈撞击。置于儿童接触不到的地方。</w:t>
            </w:r>
          </w:p>
        </w:tc>
      </w:tr>
      <w:tr w14:paraId="1F4FA73B">
        <w:tblPrEx>
          <w:tblCellMar>
            <w:top w:w="0" w:type="dxa"/>
            <w:left w:w="0" w:type="dxa"/>
            <w:bottom w:w="0" w:type="dxa"/>
            <w:right w:w="0" w:type="dxa"/>
          </w:tblCellMar>
        </w:tblPrEx>
        <w:trPr>
          <w:wBefore w:w="0" w:type="auto"/>
          <w:tblCellSpacing w:w="0" w:type="dxa"/>
        </w:trPr>
        <w:tc>
          <w:tcPr>
            <w:tcW w:w="0" w:type="auto"/>
            <w:noWrap w:val="0"/>
            <w:vAlign w:val="center"/>
          </w:tcPr>
          <w:p w14:paraId="1A6F21DE">
            <w:r>
              <w:rPr>
                <w:rStyle w:val="10"/>
                <w:rFonts w:hint="eastAsia"/>
              </w:rPr>
              <w:t>质量保证期：</w:t>
            </w:r>
            <w:r>
              <w:rPr>
                <w:rStyle w:val="11"/>
                <w:rFonts w:hint="eastAsia"/>
              </w:rPr>
              <w:t>2年</w:t>
            </w:r>
          </w:p>
        </w:tc>
      </w:tr>
      <w:tr w14:paraId="60EE5C60">
        <w:tblPrEx>
          <w:tblCellMar>
            <w:top w:w="0" w:type="dxa"/>
            <w:left w:w="0" w:type="dxa"/>
            <w:bottom w:w="0" w:type="dxa"/>
            <w:right w:w="0" w:type="dxa"/>
          </w:tblCellMar>
        </w:tblPrEx>
        <w:trPr>
          <w:wBefore w:w="0" w:type="auto"/>
          <w:tblCellSpacing w:w="0" w:type="dxa"/>
        </w:trPr>
        <w:tc>
          <w:tcPr>
            <w:tcW w:w="0" w:type="auto"/>
            <w:noWrap w:val="0"/>
            <w:vAlign w:val="center"/>
          </w:tcPr>
          <w:p w14:paraId="5079BF9B">
            <w:r>
              <w:rPr>
                <w:rStyle w:val="10"/>
                <w:rFonts w:hint="eastAsia"/>
              </w:rPr>
              <w:t>备注：</w:t>
            </w:r>
          </w:p>
        </w:tc>
      </w:tr>
    </w:tbl>
    <w:p w14:paraId="198B37F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B97C725">
        <w:tblPrEx>
          <w:tblCellMar>
            <w:top w:w="0" w:type="dxa"/>
            <w:left w:w="0" w:type="dxa"/>
            <w:bottom w:w="0" w:type="dxa"/>
            <w:right w:w="0" w:type="dxa"/>
          </w:tblCellMar>
        </w:tblPrEx>
        <w:trPr>
          <w:wBefore w:w="0" w:type="auto"/>
          <w:tblCellSpacing w:w="0" w:type="dxa"/>
        </w:trPr>
        <w:tc>
          <w:tcPr>
            <w:tcW w:w="0" w:type="auto"/>
            <w:noWrap w:val="0"/>
            <w:vAlign w:val="center"/>
          </w:tcPr>
          <w:p w14:paraId="63CE40A1">
            <w:r>
              <w:rPr>
                <w:rStyle w:val="10"/>
                <w:rFonts w:hint="eastAsia"/>
              </w:rPr>
              <w:t>登记证号：</w:t>
            </w:r>
            <w:r>
              <w:rPr>
                <w:rFonts w:hint="eastAsia"/>
              </w:rPr>
              <w:t>PD20211899</w:t>
            </w:r>
          </w:p>
        </w:tc>
      </w:tr>
      <w:tr w14:paraId="546FAF10">
        <w:tblPrEx>
          <w:tblCellMar>
            <w:top w:w="0" w:type="dxa"/>
            <w:left w:w="0" w:type="dxa"/>
            <w:bottom w:w="0" w:type="dxa"/>
            <w:right w:w="0" w:type="dxa"/>
          </w:tblCellMar>
        </w:tblPrEx>
        <w:trPr>
          <w:wBefore w:w="0" w:type="auto"/>
          <w:tblCellSpacing w:w="0" w:type="dxa"/>
        </w:trPr>
        <w:tc>
          <w:tcPr>
            <w:tcW w:w="0" w:type="auto"/>
            <w:noWrap w:val="0"/>
            <w:vAlign w:val="center"/>
          </w:tcPr>
          <w:p w14:paraId="21475D3D">
            <w:r>
              <w:rPr>
                <w:rStyle w:val="10"/>
                <w:rFonts w:hint="eastAsia"/>
              </w:rPr>
              <w:t>登记证持有人：</w:t>
            </w:r>
            <w:r>
              <w:rPr>
                <w:rFonts w:hint="eastAsia"/>
              </w:rPr>
              <w:t>郑州先利达化工有限公司</w:t>
            </w:r>
          </w:p>
        </w:tc>
      </w:tr>
      <w:tr w14:paraId="1F681AAC">
        <w:tblPrEx>
          <w:tblCellMar>
            <w:top w:w="0" w:type="dxa"/>
            <w:left w:w="0" w:type="dxa"/>
            <w:bottom w:w="0" w:type="dxa"/>
            <w:right w:w="0" w:type="dxa"/>
          </w:tblCellMar>
        </w:tblPrEx>
        <w:trPr>
          <w:wBefore w:w="0" w:type="auto"/>
          <w:tblCellSpacing w:w="0" w:type="dxa"/>
        </w:trPr>
        <w:tc>
          <w:tcPr>
            <w:tcW w:w="0" w:type="auto"/>
            <w:noWrap w:val="0"/>
            <w:vAlign w:val="center"/>
          </w:tcPr>
          <w:p w14:paraId="3AAAEE5F">
            <w:r>
              <w:rPr>
                <w:rStyle w:val="10"/>
                <w:rFonts w:hint="eastAsia"/>
              </w:rPr>
              <w:t>农药名称：</w:t>
            </w:r>
            <w:r>
              <w:rPr>
                <w:rFonts w:hint="eastAsia"/>
              </w:rPr>
              <w:t>三环·氟环唑</w:t>
            </w:r>
          </w:p>
        </w:tc>
      </w:tr>
      <w:tr w14:paraId="495FCCE6">
        <w:tblPrEx>
          <w:tblCellMar>
            <w:top w:w="0" w:type="dxa"/>
            <w:left w:w="0" w:type="dxa"/>
            <w:bottom w:w="0" w:type="dxa"/>
            <w:right w:w="0" w:type="dxa"/>
          </w:tblCellMar>
        </w:tblPrEx>
        <w:trPr>
          <w:wBefore w:w="0" w:type="auto"/>
          <w:tblCellSpacing w:w="0" w:type="dxa"/>
        </w:trPr>
        <w:tc>
          <w:tcPr>
            <w:tcW w:w="0" w:type="auto"/>
            <w:noWrap w:val="0"/>
            <w:vAlign w:val="center"/>
          </w:tcPr>
          <w:p w14:paraId="229B1340">
            <w:r>
              <w:rPr>
                <w:rStyle w:val="10"/>
                <w:rFonts w:hint="eastAsia"/>
              </w:rPr>
              <w:t>剂型：</w:t>
            </w:r>
            <w:r>
              <w:rPr>
                <w:rFonts w:hint="eastAsia"/>
              </w:rPr>
              <w:t>悬浮剂</w:t>
            </w:r>
          </w:p>
        </w:tc>
      </w:tr>
      <w:tr w14:paraId="5FD59C4B">
        <w:tblPrEx>
          <w:tblCellMar>
            <w:top w:w="0" w:type="dxa"/>
            <w:left w:w="0" w:type="dxa"/>
            <w:bottom w:w="0" w:type="dxa"/>
            <w:right w:w="0" w:type="dxa"/>
          </w:tblCellMar>
        </w:tblPrEx>
        <w:trPr>
          <w:wBefore w:w="0" w:type="auto"/>
          <w:tblCellSpacing w:w="0" w:type="dxa"/>
        </w:trPr>
        <w:tc>
          <w:tcPr>
            <w:tcW w:w="0" w:type="auto"/>
            <w:noWrap w:val="0"/>
            <w:vAlign w:val="center"/>
          </w:tcPr>
          <w:p w14:paraId="45540D4A">
            <w:r>
              <w:rPr>
                <w:rStyle w:val="10"/>
                <w:rFonts w:hint="eastAsia"/>
              </w:rPr>
              <w:t>毒性及其标识：</w:t>
            </w:r>
            <w:r>
              <w:rPr>
                <w:rFonts w:hint="eastAsia"/>
              </w:rPr>
              <w:t xml:space="preserve"> </w:t>
            </w:r>
            <w:r>
              <w:rPr>
                <w:lang/>
              </w:rPr>
              <w:drawing>
                <wp:inline distT="0" distB="0" distL="114300" distR="114300">
                  <wp:extent cx="476250" cy="323850"/>
                  <wp:effectExtent l="0" t="0" r="0" b="0"/>
                  <wp:docPr id="111" name="图片 11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E0F7FDA">
        <w:tblPrEx>
          <w:tblCellMar>
            <w:top w:w="0" w:type="dxa"/>
            <w:left w:w="0" w:type="dxa"/>
            <w:bottom w:w="0" w:type="dxa"/>
            <w:right w:w="0" w:type="dxa"/>
          </w:tblCellMar>
        </w:tblPrEx>
        <w:trPr>
          <w:wBefore w:w="0" w:type="auto"/>
          <w:tblCellSpacing w:w="0" w:type="dxa"/>
        </w:trPr>
        <w:tc>
          <w:tcPr>
            <w:tcW w:w="0" w:type="auto"/>
            <w:noWrap w:val="0"/>
            <w:vAlign w:val="center"/>
          </w:tcPr>
          <w:p w14:paraId="3E17CBF1">
            <w:r>
              <w:rPr>
                <w:rStyle w:val="10"/>
                <w:rFonts w:hint="eastAsia"/>
              </w:rPr>
              <w:t>总有效成分含量：</w:t>
            </w:r>
            <w:r>
              <w:rPr>
                <w:rFonts w:hint="eastAsia"/>
              </w:rPr>
              <w:t>40%</w:t>
            </w:r>
          </w:p>
        </w:tc>
      </w:tr>
      <w:tr w14:paraId="65D8EAB0">
        <w:tblPrEx>
          <w:tblCellMar>
            <w:top w:w="0" w:type="dxa"/>
            <w:left w:w="0" w:type="dxa"/>
            <w:bottom w:w="0" w:type="dxa"/>
            <w:right w:w="0" w:type="dxa"/>
          </w:tblCellMar>
        </w:tblPrEx>
        <w:trPr>
          <w:wBefore w:w="0" w:type="auto"/>
          <w:tblCellSpacing w:w="0" w:type="dxa"/>
        </w:trPr>
        <w:tc>
          <w:tcPr>
            <w:tcW w:w="0" w:type="auto"/>
            <w:noWrap w:val="0"/>
            <w:vAlign w:val="center"/>
          </w:tcPr>
          <w:p w14:paraId="3262C562">
            <w:r>
              <w:rPr>
                <w:rFonts w:hint="eastAsia"/>
              </w:rPr>
              <w:t xml:space="preserve">有效成分及其含量： </w:t>
            </w:r>
          </w:p>
          <w:p w14:paraId="66B250C0">
            <w:r>
              <w:rPr>
                <w:rFonts w:hint="eastAsia"/>
              </w:rPr>
              <w:t xml:space="preserve">    氟环唑10%    三环唑30%    </w:t>
            </w:r>
          </w:p>
        </w:tc>
      </w:tr>
      <w:tr w14:paraId="23390811">
        <w:tblPrEx>
          <w:tblCellMar>
            <w:top w:w="0" w:type="dxa"/>
            <w:left w:w="0" w:type="dxa"/>
            <w:bottom w:w="0" w:type="dxa"/>
            <w:right w:w="0" w:type="dxa"/>
          </w:tblCellMar>
        </w:tblPrEx>
        <w:trPr>
          <w:wBefore w:w="0" w:type="auto"/>
          <w:tblCellSpacing w:w="0" w:type="dxa"/>
        </w:trPr>
        <w:tc>
          <w:tcPr>
            <w:tcW w:w="0" w:type="auto"/>
            <w:noWrap w:val="0"/>
            <w:vAlign w:val="center"/>
          </w:tcPr>
          <w:p w14:paraId="4B65F05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4F1D6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0D6C0F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A0BBB7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48FAC0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82CE35A">
                  <w:r>
                    <w:rPr>
                      <w:rStyle w:val="11"/>
                      <w:rFonts w:hint="eastAsia"/>
                    </w:rPr>
                    <w:t>施用方式</w:t>
                  </w:r>
                </w:p>
              </w:tc>
            </w:tr>
            <w:tr w14:paraId="1D0B85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7CACD54">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3C8B1C">
                  <w:r>
                    <w:rPr>
                      <w:rStyle w:val="11"/>
                      <w:rFonts w:hint="eastAsia"/>
                    </w:rPr>
                    <w:t>稻瘟病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CD779D">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DCCAE4">
                  <w:r>
                    <w:rPr>
                      <w:rStyle w:val="11"/>
                      <w:rFonts w:hint="eastAsia"/>
                    </w:rPr>
                    <w:t>喷雾</w:t>
                  </w:r>
                </w:p>
              </w:tc>
            </w:tr>
          </w:tbl>
          <w:p w14:paraId="2EC03AE4">
            <w:pPr>
              <w:rPr>
                <w:rFonts w:ascii="Times New Roman" w:hAnsi="Times New Roman" w:cs="Times New Roman"/>
                <w:sz w:val="20"/>
                <w:szCs w:val="20"/>
              </w:rPr>
            </w:pPr>
          </w:p>
        </w:tc>
      </w:tr>
      <w:tr w14:paraId="3F8DC505">
        <w:tblPrEx>
          <w:tblCellMar>
            <w:top w:w="0" w:type="dxa"/>
            <w:left w:w="0" w:type="dxa"/>
            <w:bottom w:w="0" w:type="dxa"/>
            <w:right w:w="0" w:type="dxa"/>
          </w:tblCellMar>
        </w:tblPrEx>
        <w:trPr>
          <w:wBefore w:w="0" w:type="auto"/>
          <w:tblCellSpacing w:w="0" w:type="dxa"/>
        </w:trPr>
        <w:tc>
          <w:tcPr>
            <w:tcW w:w="0" w:type="auto"/>
            <w:noWrap w:val="0"/>
            <w:vAlign w:val="center"/>
          </w:tcPr>
          <w:p w14:paraId="6E699894">
            <w:r>
              <w:rPr>
                <w:rStyle w:val="10"/>
                <w:rFonts w:hint="eastAsia"/>
              </w:rPr>
              <w:t>使用技术要求:</w:t>
            </w:r>
            <w:r>
              <w:rPr>
                <w:rFonts w:hint="eastAsia"/>
              </w:rPr>
              <w:br w:type="textWrapping"/>
            </w:r>
            <w:r>
              <w:rPr>
                <w:rStyle w:val="11"/>
                <w:rFonts w:hint="eastAsia"/>
              </w:rPr>
              <w:t>1、本品在水稻稻瘟病发病前施药，兑水均匀喷雾，间隔7-10天施药1次，共施药2次，注意喷雾均匀、周到，切勿漏喷或重喷。2、大风天或预计4小时内有雨，请勿施药。3、本品在水稻上使用的安全间隔期为21天，每季最多使用2次。</w:t>
            </w:r>
          </w:p>
        </w:tc>
      </w:tr>
      <w:tr w14:paraId="3363DEFB">
        <w:tblPrEx>
          <w:tblCellMar>
            <w:top w:w="0" w:type="dxa"/>
            <w:left w:w="0" w:type="dxa"/>
            <w:bottom w:w="0" w:type="dxa"/>
            <w:right w:w="0" w:type="dxa"/>
          </w:tblCellMar>
        </w:tblPrEx>
        <w:trPr>
          <w:wBefore w:w="0" w:type="auto"/>
          <w:tblCellSpacing w:w="0" w:type="dxa"/>
        </w:trPr>
        <w:tc>
          <w:tcPr>
            <w:tcW w:w="0" w:type="auto"/>
            <w:noWrap w:val="0"/>
            <w:vAlign w:val="center"/>
          </w:tcPr>
          <w:p w14:paraId="594D8251">
            <w:r>
              <w:rPr>
                <w:rStyle w:val="10"/>
                <w:rFonts w:hint="eastAsia"/>
              </w:rPr>
              <w:t>产品性能:</w:t>
            </w:r>
            <w:r>
              <w:rPr>
                <w:rFonts w:hint="eastAsia"/>
              </w:rPr>
              <w:br w:type="textWrapping"/>
            </w:r>
            <w:r>
              <w:rPr>
                <w:rStyle w:val="11"/>
                <w:rFonts w:hint="eastAsia"/>
              </w:rPr>
              <w:t>本品是由噻唑类杀菌剂和三唑类杀菌剂复配而成，其中三环唑：主要是抑制附着孢黑色素的形成，从而抑制孢子萌发和附着孢形成，阻止病菌侵人和减少稻瘟病菌孢子的产生。氟环唑：抑制病菌麦角甾醇的合成，阻碍病菌细胞壁的形成，并且氟环唑分子对一种真菌酶(14-dencthylase)有强力亲和性，与已知的杀菌剂相比，能更有效抑制病菌原真菌。二者复配可有效防治水稻稻瘟病的发生。</w:t>
            </w:r>
          </w:p>
        </w:tc>
      </w:tr>
      <w:tr w14:paraId="2C7DF74E">
        <w:tblPrEx>
          <w:tblCellMar>
            <w:top w:w="0" w:type="dxa"/>
            <w:left w:w="0" w:type="dxa"/>
            <w:bottom w:w="0" w:type="dxa"/>
            <w:right w:w="0" w:type="dxa"/>
          </w:tblCellMar>
        </w:tblPrEx>
        <w:trPr>
          <w:wBefore w:w="0" w:type="auto"/>
          <w:tblCellSpacing w:w="0" w:type="dxa"/>
        </w:trPr>
        <w:tc>
          <w:tcPr>
            <w:tcW w:w="0" w:type="auto"/>
            <w:noWrap w:val="0"/>
            <w:vAlign w:val="center"/>
          </w:tcPr>
          <w:p w14:paraId="379625B6">
            <w:r>
              <w:rPr>
                <w:rStyle w:val="10"/>
                <w:rFonts w:hint="eastAsia"/>
              </w:rPr>
              <w:t>注意事项：</w:t>
            </w:r>
            <w:r>
              <w:rPr>
                <w:rFonts w:hint="eastAsia"/>
              </w:rPr>
              <w:br w:type="textWrapping"/>
            </w:r>
            <w:r>
              <w:rPr>
                <w:rStyle w:val="11"/>
                <w:rFonts w:hint="eastAsia"/>
              </w:rPr>
              <w:t>1.开启包装时注意用力不要过大，以免药品散溅。2.使用时穿戴长衣、长裤、帽子、口罩、手套等安全防护措施；施药期间不可吃东西、饮水、吸烟等；施药后应及时洗手、洗脸并洗涤施药时穿着的衣物。3.本品对鱼、溞等水生生物有毒，水产养殖区、河塘等水体附近禁用，禁止在河塘等水体中清洗施药器具；鱼或虾蟹套养稻田禁用，施药后的田水不得直接排入水体。4.对家蚕有毒，桑园及蚕室附近禁用，最外围桑树设置为隔离带。5.鸟类保护区附近禁用。6.用过的容器和废弃物应妥善处理，不可做他用，也不可随意丢弃。7.禁止与碱性的农药混用，建议其他作用机制不同的杀菌剂轮换使用，以延缓抗性产生。8.孕妇及哺乳期妇女避免接触。</w:t>
            </w:r>
          </w:p>
        </w:tc>
      </w:tr>
      <w:tr w14:paraId="32A2F97A">
        <w:tblPrEx>
          <w:tblCellMar>
            <w:top w:w="0" w:type="dxa"/>
            <w:left w:w="0" w:type="dxa"/>
            <w:bottom w:w="0" w:type="dxa"/>
            <w:right w:w="0" w:type="dxa"/>
          </w:tblCellMar>
        </w:tblPrEx>
        <w:trPr>
          <w:wBefore w:w="0" w:type="auto"/>
          <w:tblCellSpacing w:w="0" w:type="dxa"/>
        </w:trPr>
        <w:tc>
          <w:tcPr>
            <w:tcW w:w="0" w:type="auto"/>
            <w:noWrap w:val="0"/>
            <w:vAlign w:val="center"/>
          </w:tcPr>
          <w:p w14:paraId="02588E72">
            <w:r>
              <w:rPr>
                <w:rStyle w:val="10"/>
                <w:rFonts w:hint="eastAsia"/>
              </w:rPr>
              <w:t>中毒急救措施：</w:t>
            </w:r>
            <w:r>
              <w:rPr>
                <w:rFonts w:hint="eastAsia"/>
              </w:rPr>
              <w:br w:type="textWrapping"/>
            </w:r>
            <w:r>
              <w:rPr>
                <w:rStyle w:val="11"/>
                <w:rFonts w:hint="eastAsia"/>
              </w:rPr>
              <w:t>1、对皮肤、眼睛无刺激症状。急救治疗：2、不慎药液接触皮肤，立即脱掉被污染的衣物，用肥皂和清水彻底清洗皮肤表面。3、不慎药液接触眼睛，立即将眼睑翻开，用清水彻底冲洗至少15分钟，并请医生诊治。4、不慎吸入：立即将吸入者转移到空气新鲜处，并请医生诊治。 5、不慎误服，应立即催吐、洗胃、清洗口腔，还应携带此标签尽快去医院就诊，对症治疗（去除污物，注意生命体征），无特效解毒剂。</w:t>
            </w:r>
          </w:p>
        </w:tc>
      </w:tr>
      <w:tr w14:paraId="2A0DA805">
        <w:tblPrEx>
          <w:tblCellMar>
            <w:top w:w="0" w:type="dxa"/>
            <w:left w:w="0" w:type="dxa"/>
            <w:bottom w:w="0" w:type="dxa"/>
            <w:right w:w="0" w:type="dxa"/>
          </w:tblCellMar>
        </w:tblPrEx>
        <w:trPr>
          <w:wBefore w:w="0" w:type="auto"/>
          <w:tblCellSpacing w:w="0" w:type="dxa"/>
        </w:trPr>
        <w:tc>
          <w:tcPr>
            <w:tcW w:w="0" w:type="auto"/>
            <w:noWrap w:val="0"/>
            <w:vAlign w:val="center"/>
          </w:tcPr>
          <w:p w14:paraId="0C6B31F0">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粮食、食品、饮料、饲料等其他商品同贮同运。运输时应注意防水防潮，避免雨淋；搬运时轻搬轻放，不可倒置。</w:t>
            </w:r>
          </w:p>
        </w:tc>
      </w:tr>
      <w:tr w14:paraId="4BF7DF50">
        <w:tblPrEx>
          <w:tblCellMar>
            <w:top w:w="0" w:type="dxa"/>
            <w:left w:w="0" w:type="dxa"/>
            <w:bottom w:w="0" w:type="dxa"/>
            <w:right w:w="0" w:type="dxa"/>
          </w:tblCellMar>
        </w:tblPrEx>
        <w:trPr>
          <w:wBefore w:w="0" w:type="auto"/>
          <w:tblCellSpacing w:w="0" w:type="dxa"/>
        </w:trPr>
        <w:tc>
          <w:tcPr>
            <w:tcW w:w="0" w:type="auto"/>
            <w:noWrap w:val="0"/>
            <w:vAlign w:val="center"/>
          </w:tcPr>
          <w:p w14:paraId="2DCDB262">
            <w:r>
              <w:rPr>
                <w:rStyle w:val="10"/>
                <w:rFonts w:hint="eastAsia"/>
              </w:rPr>
              <w:t>质量保证期：</w:t>
            </w:r>
            <w:r>
              <w:rPr>
                <w:rStyle w:val="11"/>
                <w:rFonts w:hint="eastAsia"/>
              </w:rPr>
              <w:t>2年</w:t>
            </w:r>
          </w:p>
        </w:tc>
      </w:tr>
      <w:tr w14:paraId="6E8B8A64">
        <w:tblPrEx>
          <w:tblCellMar>
            <w:top w:w="0" w:type="dxa"/>
            <w:left w:w="0" w:type="dxa"/>
            <w:bottom w:w="0" w:type="dxa"/>
            <w:right w:w="0" w:type="dxa"/>
          </w:tblCellMar>
        </w:tblPrEx>
        <w:trPr>
          <w:wBefore w:w="0" w:type="auto"/>
          <w:tblCellSpacing w:w="0" w:type="dxa"/>
        </w:trPr>
        <w:tc>
          <w:tcPr>
            <w:tcW w:w="0" w:type="auto"/>
            <w:noWrap w:val="0"/>
            <w:vAlign w:val="center"/>
          </w:tcPr>
          <w:p w14:paraId="150CDFF5">
            <w:r>
              <w:rPr>
                <w:rStyle w:val="10"/>
                <w:rFonts w:hint="eastAsia"/>
              </w:rPr>
              <w:t>备注：</w:t>
            </w:r>
          </w:p>
        </w:tc>
      </w:tr>
    </w:tbl>
    <w:p w14:paraId="5813A8C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93CB86A">
        <w:tblPrEx>
          <w:tblCellMar>
            <w:top w:w="0" w:type="dxa"/>
            <w:left w:w="0" w:type="dxa"/>
            <w:bottom w:w="0" w:type="dxa"/>
            <w:right w:w="0" w:type="dxa"/>
          </w:tblCellMar>
        </w:tblPrEx>
        <w:trPr>
          <w:wBefore w:w="0" w:type="auto"/>
          <w:tblCellSpacing w:w="0" w:type="dxa"/>
        </w:trPr>
        <w:tc>
          <w:tcPr>
            <w:tcW w:w="0" w:type="auto"/>
            <w:noWrap w:val="0"/>
            <w:vAlign w:val="center"/>
          </w:tcPr>
          <w:p w14:paraId="775228A2">
            <w:r>
              <w:rPr>
                <w:rStyle w:val="10"/>
                <w:rFonts w:hint="eastAsia"/>
              </w:rPr>
              <w:t>登记证号：</w:t>
            </w:r>
            <w:r>
              <w:rPr>
                <w:rFonts w:hint="eastAsia"/>
              </w:rPr>
              <w:t>PD20211853</w:t>
            </w:r>
          </w:p>
        </w:tc>
      </w:tr>
      <w:tr w14:paraId="1880A441">
        <w:tblPrEx>
          <w:tblCellMar>
            <w:top w:w="0" w:type="dxa"/>
            <w:left w:w="0" w:type="dxa"/>
            <w:bottom w:w="0" w:type="dxa"/>
            <w:right w:w="0" w:type="dxa"/>
          </w:tblCellMar>
        </w:tblPrEx>
        <w:trPr>
          <w:wBefore w:w="0" w:type="auto"/>
          <w:tblCellSpacing w:w="0" w:type="dxa"/>
        </w:trPr>
        <w:tc>
          <w:tcPr>
            <w:tcW w:w="0" w:type="auto"/>
            <w:noWrap w:val="0"/>
            <w:vAlign w:val="center"/>
          </w:tcPr>
          <w:p w14:paraId="2FE35311">
            <w:r>
              <w:rPr>
                <w:rStyle w:val="10"/>
                <w:rFonts w:hint="eastAsia"/>
              </w:rPr>
              <w:t>登记证持有人：</w:t>
            </w:r>
            <w:r>
              <w:rPr>
                <w:rFonts w:hint="eastAsia"/>
              </w:rPr>
              <w:t>安徽永丰农药化工有限公司</w:t>
            </w:r>
          </w:p>
        </w:tc>
      </w:tr>
      <w:tr w14:paraId="14AEB6DA">
        <w:tblPrEx>
          <w:tblCellMar>
            <w:top w:w="0" w:type="dxa"/>
            <w:left w:w="0" w:type="dxa"/>
            <w:bottom w:w="0" w:type="dxa"/>
            <w:right w:w="0" w:type="dxa"/>
          </w:tblCellMar>
        </w:tblPrEx>
        <w:trPr>
          <w:wBefore w:w="0" w:type="auto"/>
          <w:tblCellSpacing w:w="0" w:type="dxa"/>
        </w:trPr>
        <w:tc>
          <w:tcPr>
            <w:tcW w:w="0" w:type="auto"/>
            <w:noWrap w:val="0"/>
            <w:vAlign w:val="center"/>
          </w:tcPr>
          <w:p w14:paraId="06C83A7D">
            <w:r>
              <w:rPr>
                <w:rStyle w:val="10"/>
                <w:rFonts w:hint="eastAsia"/>
              </w:rPr>
              <w:t>农药名称：</w:t>
            </w:r>
            <w:r>
              <w:rPr>
                <w:rFonts w:hint="eastAsia"/>
              </w:rPr>
              <w:t>噻虫·氟氯氰</w:t>
            </w:r>
          </w:p>
        </w:tc>
      </w:tr>
      <w:tr w14:paraId="67C1605A">
        <w:tblPrEx>
          <w:tblCellMar>
            <w:top w:w="0" w:type="dxa"/>
            <w:left w:w="0" w:type="dxa"/>
            <w:bottom w:w="0" w:type="dxa"/>
            <w:right w:w="0" w:type="dxa"/>
          </w:tblCellMar>
        </w:tblPrEx>
        <w:trPr>
          <w:wBefore w:w="0" w:type="auto"/>
          <w:tblCellSpacing w:w="0" w:type="dxa"/>
        </w:trPr>
        <w:tc>
          <w:tcPr>
            <w:tcW w:w="0" w:type="auto"/>
            <w:noWrap w:val="0"/>
            <w:vAlign w:val="center"/>
          </w:tcPr>
          <w:p w14:paraId="5DD7F312">
            <w:r>
              <w:rPr>
                <w:rStyle w:val="10"/>
                <w:rFonts w:hint="eastAsia"/>
              </w:rPr>
              <w:t>剂型：</w:t>
            </w:r>
            <w:r>
              <w:rPr>
                <w:rFonts w:hint="eastAsia"/>
              </w:rPr>
              <w:t>颗粒剂</w:t>
            </w:r>
          </w:p>
        </w:tc>
      </w:tr>
      <w:tr w14:paraId="2E471818">
        <w:tblPrEx>
          <w:tblCellMar>
            <w:top w:w="0" w:type="dxa"/>
            <w:left w:w="0" w:type="dxa"/>
            <w:bottom w:w="0" w:type="dxa"/>
            <w:right w:w="0" w:type="dxa"/>
          </w:tblCellMar>
        </w:tblPrEx>
        <w:trPr>
          <w:wBefore w:w="0" w:type="auto"/>
          <w:tblCellSpacing w:w="0" w:type="dxa"/>
        </w:trPr>
        <w:tc>
          <w:tcPr>
            <w:tcW w:w="0" w:type="auto"/>
            <w:noWrap w:val="0"/>
            <w:vAlign w:val="center"/>
          </w:tcPr>
          <w:p w14:paraId="37F1119F">
            <w:r>
              <w:rPr>
                <w:rStyle w:val="10"/>
                <w:rFonts w:hint="eastAsia"/>
              </w:rPr>
              <w:t>毒性及其标识：</w:t>
            </w:r>
            <w:r>
              <w:rPr>
                <w:rFonts w:hint="eastAsia"/>
              </w:rPr>
              <w:t xml:space="preserve"> 微毒 </w:t>
            </w:r>
          </w:p>
        </w:tc>
      </w:tr>
      <w:tr w14:paraId="141EEACD">
        <w:tblPrEx>
          <w:tblCellMar>
            <w:top w:w="0" w:type="dxa"/>
            <w:left w:w="0" w:type="dxa"/>
            <w:bottom w:w="0" w:type="dxa"/>
            <w:right w:w="0" w:type="dxa"/>
          </w:tblCellMar>
        </w:tblPrEx>
        <w:trPr>
          <w:wBefore w:w="0" w:type="auto"/>
          <w:tblCellSpacing w:w="0" w:type="dxa"/>
        </w:trPr>
        <w:tc>
          <w:tcPr>
            <w:tcW w:w="0" w:type="auto"/>
            <w:noWrap w:val="0"/>
            <w:vAlign w:val="center"/>
          </w:tcPr>
          <w:p w14:paraId="01790AED">
            <w:r>
              <w:rPr>
                <w:rStyle w:val="10"/>
                <w:rFonts w:hint="eastAsia"/>
              </w:rPr>
              <w:t>总有效成分含量：</w:t>
            </w:r>
            <w:r>
              <w:rPr>
                <w:rFonts w:hint="eastAsia"/>
              </w:rPr>
              <w:t>2%</w:t>
            </w:r>
          </w:p>
        </w:tc>
      </w:tr>
      <w:tr w14:paraId="0FADC20A">
        <w:tblPrEx>
          <w:tblCellMar>
            <w:top w:w="0" w:type="dxa"/>
            <w:left w:w="0" w:type="dxa"/>
            <w:bottom w:w="0" w:type="dxa"/>
            <w:right w:w="0" w:type="dxa"/>
          </w:tblCellMar>
        </w:tblPrEx>
        <w:trPr>
          <w:wBefore w:w="0" w:type="auto"/>
          <w:tblCellSpacing w:w="0" w:type="dxa"/>
        </w:trPr>
        <w:tc>
          <w:tcPr>
            <w:tcW w:w="0" w:type="auto"/>
            <w:noWrap w:val="0"/>
            <w:vAlign w:val="center"/>
          </w:tcPr>
          <w:p w14:paraId="4B1FD5E9">
            <w:r>
              <w:rPr>
                <w:rFonts w:hint="eastAsia"/>
              </w:rPr>
              <w:t xml:space="preserve">有效成分及其含量： </w:t>
            </w:r>
          </w:p>
          <w:p w14:paraId="2B7DB38C">
            <w:r>
              <w:rPr>
                <w:rFonts w:hint="eastAsia"/>
              </w:rPr>
              <w:t xml:space="preserve">    噻虫胺1.5%    氟氯氰菊酯0.5%    </w:t>
            </w:r>
          </w:p>
        </w:tc>
      </w:tr>
      <w:tr w14:paraId="0AA60D2B">
        <w:tblPrEx>
          <w:tblCellMar>
            <w:top w:w="0" w:type="dxa"/>
            <w:left w:w="0" w:type="dxa"/>
            <w:bottom w:w="0" w:type="dxa"/>
            <w:right w:w="0" w:type="dxa"/>
          </w:tblCellMar>
        </w:tblPrEx>
        <w:trPr>
          <w:wBefore w:w="0" w:type="auto"/>
          <w:tblCellSpacing w:w="0" w:type="dxa"/>
        </w:trPr>
        <w:tc>
          <w:tcPr>
            <w:tcW w:w="0" w:type="auto"/>
            <w:noWrap w:val="0"/>
            <w:vAlign w:val="center"/>
          </w:tcPr>
          <w:p w14:paraId="7CABA88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07C8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925560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C250F5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E398F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AEC5327">
                  <w:r>
                    <w:rPr>
                      <w:rStyle w:val="11"/>
                      <w:rFonts w:hint="eastAsia"/>
                    </w:rPr>
                    <w:t>施用方式</w:t>
                  </w:r>
                </w:p>
              </w:tc>
            </w:tr>
            <w:tr w14:paraId="75A884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06CFBD5">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15CB8E">
                  <w:r>
                    <w:rPr>
                      <w:rStyle w:val="11"/>
                      <w:rFonts w:hint="eastAsia"/>
                    </w:rPr>
                    <w:t>蔗龟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0E4904">
                  <w:r>
                    <w:rPr>
                      <w:rStyle w:val="11"/>
                      <w:rFonts w:hint="eastAsia"/>
                    </w:rPr>
                    <w:t>1000-1250克/亩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8A44F5">
                  <w:r>
                    <w:rPr>
                      <w:rStyle w:val="11"/>
                      <w:rFonts w:hint="eastAsia"/>
                    </w:rPr>
                    <w:t>撒施</w:t>
                  </w:r>
                </w:p>
              </w:tc>
            </w:tr>
          </w:tbl>
          <w:p w14:paraId="65C30F9F">
            <w:pPr>
              <w:rPr>
                <w:rFonts w:ascii="Times New Roman" w:hAnsi="Times New Roman" w:cs="Times New Roman"/>
                <w:sz w:val="20"/>
                <w:szCs w:val="20"/>
              </w:rPr>
            </w:pPr>
          </w:p>
        </w:tc>
      </w:tr>
      <w:tr w14:paraId="28D8AC8B">
        <w:tblPrEx>
          <w:tblCellMar>
            <w:top w:w="0" w:type="dxa"/>
            <w:left w:w="0" w:type="dxa"/>
            <w:bottom w:w="0" w:type="dxa"/>
            <w:right w:w="0" w:type="dxa"/>
          </w:tblCellMar>
        </w:tblPrEx>
        <w:trPr>
          <w:wBefore w:w="0" w:type="auto"/>
          <w:tblCellSpacing w:w="0" w:type="dxa"/>
        </w:trPr>
        <w:tc>
          <w:tcPr>
            <w:tcW w:w="0" w:type="auto"/>
            <w:noWrap w:val="0"/>
            <w:vAlign w:val="center"/>
          </w:tcPr>
          <w:p w14:paraId="6FCAE1BC">
            <w:r>
              <w:rPr>
                <w:rStyle w:val="10"/>
                <w:rFonts w:hint="eastAsia"/>
              </w:rPr>
              <w:t>使用技术要求:</w:t>
            </w:r>
            <w:r>
              <w:rPr>
                <w:rFonts w:hint="eastAsia"/>
              </w:rPr>
              <w:br w:type="textWrapping"/>
            </w:r>
            <w:r>
              <w:rPr>
                <w:rStyle w:val="11"/>
                <w:rFonts w:hint="eastAsia"/>
              </w:rPr>
              <w:t>1.于甘蔗下种时或培土时施药，撒施于培土沟内。2.施药后须保持一定的土壤湿润以利于有效成分的释放和均匀分布。3.大风天或预计1小时有大雨，请勿施药。4.本品在甘蔗上每季最多使用1次。</w:t>
            </w:r>
          </w:p>
        </w:tc>
      </w:tr>
      <w:tr w14:paraId="292BAD7A">
        <w:tblPrEx>
          <w:tblCellMar>
            <w:top w:w="0" w:type="dxa"/>
            <w:left w:w="0" w:type="dxa"/>
            <w:bottom w:w="0" w:type="dxa"/>
            <w:right w:w="0" w:type="dxa"/>
          </w:tblCellMar>
        </w:tblPrEx>
        <w:trPr>
          <w:wBefore w:w="0" w:type="auto"/>
          <w:tblCellSpacing w:w="0" w:type="dxa"/>
        </w:trPr>
        <w:tc>
          <w:tcPr>
            <w:tcW w:w="0" w:type="auto"/>
            <w:noWrap w:val="0"/>
            <w:vAlign w:val="center"/>
          </w:tcPr>
          <w:p w14:paraId="6FA19CE1">
            <w:r>
              <w:rPr>
                <w:rStyle w:val="10"/>
                <w:rFonts w:hint="eastAsia"/>
              </w:rPr>
              <w:t>产品性能:</w:t>
            </w:r>
            <w:r>
              <w:rPr>
                <w:rFonts w:hint="eastAsia"/>
              </w:rPr>
              <w:br w:type="textWrapping"/>
            </w:r>
            <w:r>
              <w:rPr>
                <w:rStyle w:val="11"/>
                <w:rFonts w:hint="eastAsia"/>
              </w:rPr>
              <w:t>本品是一种新烟碱类农药和拟除虫菊酯类农药杀虫混剂，对害虫具有内吸、触杀和胃毒作用，击倒快，防效长。推荐剂量下，本品对甘蔗蔗龟有很好的防效。</w:t>
            </w:r>
          </w:p>
        </w:tc>
      </w:tr>
      <w:tr w14:paraId="4A99F534">
        <w:tblPrEx>
          <w:tblCellMar>
            <w:top w:w="0" w:type="dxa"/>
            <w:left w:w="0" w:type="dxa"/>
            <w:bottom w:w="0" w:type="dxa"/>
            <w:right w:w="0" w:type="dxa"/>
          </w:tblCellMar>
        </w:tblPrEx>
        <w:trPr>
          <w:wBefore w:w="0" w:type="auto"/>
          <w:tblCellSpacing w:w="0" w:type="dxa"/>
        </w:trPr>
        <w:tc>
          <w:tcPr>
            <w:tcW w:w="0" w:type="auto"/>
            <w:noWrap w:val="0"/>
            <w:vAlign w:val="center"/>
          </w:tcPr>
          <w:p w14:paraId="142C9A35">
            <w:r>
              <w:rPr>
                <w:rStyle w:val="10"/>
                <w:rFonts w:hint="eastAsia"/>
              </w:rPr>
              <w:t>注意事项：</w:t>
            </w:r>
            <w:r>
              <w:rPr>
                <w:rFonts w:hint="eastAsia"/>
              </w:rPr>
              <w:br w:type="textWrapping"/>
            </w:r>
            <w:r>
              <w:rPr>
                <w:rStyle w:val="11"/>
                <w:rFonts w:hint="eastAsia"/>
              </w:rPr>
              <w:t>1.本品为新烟碱类和拟除虫菊酯类杀虫混剂，建议与其他作用机制不同的杀虫剂轮用。2.水产养殖区、河塘等水体附近禁用，禁止在河塘等水域清洗施药器具。3.施用时应穿戴长衣长裤、帽子、口罩、手套、鞋等。施药中禁止饮食、吸烟、饮水等；施药后应用肥皂和清水彻底清洗暴露在外的皮肤。4.丢弃的包装物等废弃物应避免污染水体,建议用控制焚烧法或安全掩埋法处置包装物或废弃物。 5.孕妇、哺乳期的妇女、过敏体质者、感冒和皮肤病患者禁止接触本产品。</w:t>
            </w:r>
          </w:p>
        </w:tc>
      </w:tr>
      <w:tr w14:paraId="6D6C13C8">
        <w:tblPrEx>
          <w:tblCellMar>
            <w:top w:w="0" w:type="dxa"/>
            <w:left w:w="0" w:type="dxa"/>
            <w:bottom w:w="0" w:type="dxa"/>
            <w:right w:w="0" w:type="dxa"/>
          </w:tblCellMar>
        </w:tblPrEx>
        <w:trPr>
          <w:wBefore w:w="0" w:type="auto"/>
          <w:tblCellSpacing w:w="0" w:type="dxa"/>
        </w:trPr>
        <w:tc>
          <w:tcPr>
            <w:tcW w:w="0" w:type="auto"/>
            <w:noWrap w:val="0"/>
            <w:vAlign w:val="center"/>
          </w:tcPr>
          <w:p w14:paraId="11DBFCDC">
            <w:r>
              <w:rPr>
                <w:rStyle w:val="10"/>
                <w:rFonts w:hint="eastAsia"/>
              </w:rPr>
              <w:t>中毒急救措施：</w:t>
            </w:r>
            <w:r>
              <w:rPr>
                <w:rFonts w:hint="eastAsia"/>
              </w:rPr>
              <w:br w:type="textWrapping"/>
            </w:r>
            <w:r>
              <w:rPr>
                <w:rStyle w:val="11"/>
                <w:rFonts w:hint="eastAsia"/>
              </w:rPr>
              <w:t>对眼睛有刺激性，使用时避免接触眼睛，穿戴长衣、长裤、帽子、口罩、手套等安全防护措施。中毒症状表现为皮肤刺痛、头痛、头昏、恶心呕吐，双手颤抖、抽搐、惊厥、昏迷等。 眼睛接触：提起眼睑，用流动清水或生理盐水冲洗。就医。 吸入：迅速脱离现场至空气新鲜处。保持呼吸道通畅。如呼吸困难，给输氧。如呼吸停止，立即进行人工呼吸。就医。 食入：用水漱口，并饮1-2杯水，对神志不清者切勿催吐，携此标签送医院诊治。</w:t>
            </w:r>
          </w:p>
        </w:tc>
      </w:tr>
      <w:tr w14:paraId="65428DFA">
        <w:tblPrEx>
          <w:tblCellMar>
            <w:top w:w="0" w:type="dxa"/>
            <w:left w:w="0" w:type="dxa"/>
            <w:bottom w:w="0" w:type="dxa"/>
            <w:right w:w="0" w:type="dxa"/>
          </w:tblCellMar>
        </w:tblPrEx>
        <w:trPr>
          <w:wBefore w:w="0" w:type="auto"/>
          <w:tblCellSpacing w:w="0" w:type="dxa"/>
        </w:trPr>
        <w:tc>
          <w:tcPr>
            <w:tcW w:w="0" w:type="auto"/>
            <w:noWrap w:val="0"/>
            <w:vAlign w:val="center"/>
          </w:tcPr>
          <w:p w14:paraId="57DB05B5">
            <w:r>
              <w:rPr>
                <w:rStyle w:val="10"/>
                <w:rFonts w:hint="eastAsia"/>
              </w:rPr>
              <w:t>储存和运输方法：</w:t>
            </w:r>
            <w:r>
              <w:rPr>
                <w:rFonts w:hint="eastAsia"/>
              </w:rPr>
              <w:br w:type="textWrapping"/>
            </w:r>
            <w:r>
              <w:rPr>
                <w:rStyle w:val="11"/>
                <w:rFonts w:hint="eastAsia"/>
              </w:rPr>
              <w:t>本品应贮存在干燥、阴凉、通风、防雨处，置儿童、无关人员触及不到之处，并加锁。勿与食品、饮料、粮食、饲料等其它商品同贮同运。</w:t>
            </w:r>
          </w:p>
        </w:tc>
      </w:tr>
      <w:tr w14:paraId="6E9DA566">
        <w:tblPrEx>
          <w:tblCellMar>
            <w:top w:w="0" w:type="dxa"/>
            <w:left w:w="0" w:type="dxa"/>
            <w:bottom w:w="0" w:type="dxa"/>
            <w:right w:w="0" w:type="dxa"/>
          </w:tblCellMar>
        </w:tblPrEx>
        <w:trPr>
          <w:wBefore w:w="0" w:type="auto"/>
          <w:tblCellSpacing w:w="0" w:type="dxa"/>
        </w:trPr>
        <w:tc>
          <w:tcPr>
            <w:tcW w:w="0" w:type="auto"/>
            <w:noWrap w:val="0"/>
            <w:vAlign w:val="center"/>
          </w:tcPr>
          <w:p w14:paraId="04427FCE">
            <w:r>
              <w:rPr>
                <w:rStyle w:val="10"/>
                <w:rFonts w:hint="eastAsia"/>
              </w:rPr>
              <w:t>质量保证期：</w:t>
            </w:r>
            <w:r>
              <w:rPr>
                <w:rStyle w:val="11"/>
                <w:rFonts w:hint="eastAsia"/>
              </w:rPr>
              <w:t>2年</w:t>
            </w:r>
          </w:p>
        </w:tc>
      </w:tr>
      <w:tr w14:paraId="2F073059">
        <w:tblPrEx>
          <w:tblCellMar>
            <w:top w:w="0" w:type="dxa"/>
            <w:left w:w="0" w:type="dxa"/>
            <w:bottom w:w="0" w:type="dxa"/>
            <w:right w:w="0" w:type="dxa"/>
          </w:tblCellMar>
        </w:tblPrEx>
        <w:trPr>
          <w:wBefore w:w="0" w:type="auto"/>
          <w:tblCellSpacing w:w="0" w:type="dxa"/>
        </w:trPr>
        <w:tc>
          <w:tcPr>
            <w:tcW w:w="0" w:type="auto"/>
            <w:noWrap w:val="0"/>
            <w:vAlign w:val="center"/>
          </w:tcPr>
          <w:p w14:paraId="007FE113">
            <w:r>
              <w:rPr>
                <w:rStyle w:val="10"/>
                <w:rFonts w:hint="eastAsia"/>
              </w:rPr>
              <w:t>备注：</w:t>
            </w:r>
          </w:p>
        </w:tc>
      </w:tr>
    </w:tbl>
    <w:p w14:paraId="23096B2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75BDAC6">
        <w:tblPrEx>
          <w:tblCellMar>
            <w:top w:w="0" w:type="dxa"/>
            <w:left w:w="0" w:type="dxa"/>
            <w:bottom w:w="0" w:type="dxa"/>
            <w:right w:w="0" w:type="dxa"/>
          </w:tblCellMar>
        </w:tblPrEx>
        <w:trPr>
          <w:wBefore w:w="0" w:type="auto"/>
          <w:tblCellSpacing w:w="0" w:type="dxa"/>
        </w:trPr>
        <w:tc>
          <w:tcPr>
            <w:tcW w:w="0" w:type="auto"/>
            <w:noWrap w:val="0"/>
            <w:vAlign w:val="center"/>
          </w:tcPr>
          <w:p w14:paraId="77C2764B">
            <w:r>
              <w:rPr>
                <w:rStyle w:val="10"/>
                <w:rFonts w:hint="eastAsia"/>
              </w:rPr>
              <w:t>登记证号：</w:t>
            </w:r>
            <w:r>
              <w:rPr>
                <w:rFonts w:hint="eastAsia"/>
              </w:rPr>
              <w:t>PD20212253</w:t>
            </w:r>
          </w:p>
        </w:tc>
      </w:tr>
      <w:tr w14:paraId="6241A57E">
        <w:tblPrEx>
          <w:tblCellMar>
            <w:top w:w="0" w:type="dxa"/>
            <w:left w:w="0" w:type="dxa"/>
            <w:bottom w:w="0" w:type="dxa"/>
            <w:right w:w="0" w:type="dxa"/>
          </w:tblCellMar>
        </w:tblPrEx>
        <w:trPr>
          <w:wBefore w:w="0" w:type="auto"/>
          <w:tblCellSpacing w:w="0" w:type="dxa"/>
        </w:trPr>
        <w:tc>
          <w:tcPr>
            <w:tcW w:w="0" w:type="auto"/>
            <w:noWrap w:val="0"/>
            <w:vAlign w:val="center"/>
          </w:tcPr>
          <w:p w14:paraId="5A8EBF26">
            <w:r>
              <w:rPr>
                <w:rStyle w:val="10"/>
                <w:rFonts w:hint="eastAsia"/>
              </w:rPr>
              <w:t>登记证持有人：</w:t>
            </w:r>
            <w:r>
              <w:rPr>
                <w:rFonts w:hint="eastAsia"/>
              </w:rPr>
              <w:t>哈尔滨理工化工科技有限公司</w:t>
            </w:r>
          </w:p>
        </w:tc>
      </w:tr>
      <w:tr w14:paraId="6F90409C">
        <w:tblPrEx>
          <w:tblCellMar>
            <w:top w:w="0" w:type="dxa"/>
            <w:left w:w="0" w:type="dxa"/>
            <w:bottom w:w="0" w:type="dxa"/>
            <w:right w:w="0" w:type="dxa"/>
          </w:tblCellMar>
        </w:tblPrEx>
        <w:trPr>
          <w:wBefore w:w="0" w:type="auto"/>
          <w:tblCellSpacing w:w="0" w:type="dxa"/>
        </w:trPr>
        <w:tc>
          <w:tcPr>
            <w:tcW w:w="0" w:type="auto"/>
            <w:noWrap w:val="0"/>
            <w:vAlign w:val="center"/>
          </w:tcPr>
          <w:p w14:paraId="76471D06">
            <w:r>
              <w:rPr>
                <w:rStyle w:val="10"/>
                <w:rFonts w:hint="eastAsia"/>
              </w:rPr>
              <w:t>农药名称：</w:t>
            </w:r>
            <w:r>
              <w:rPr>
                <w:rFonts w:hint="eastAsia"/>
              </w:rPr>
              <w:t>异噁唑·莠</w:t>
            </w:r>
          </w:p>
        </w:tc>
      </w:tr>
      <w:tr w14:paraId="42680390">
        <w:tblPrEx>
          <w:tblCellMar>
            <w:top w:w="0" w:type="dxa"/>
            <w:left w:w="0" w:type="dxa"/>
            <w:bottom w:w="0" w:type="dxa"/>
            <w:right w:w="0" w:type="dxa"/>
          </w:tblCellMar>
        </w:tblPrEx>
        <w:trPr>
          <w:wBefore w:w="0" w:type="auto"/>
          <w:tblCellSpacing w:w="0" w:type="dxa"/>
        </w:trPr>
        <w:tc>
          <w:tcPr>
            <w:tcW w:w="0" w:type="auto"/>
            <w:noWrap w:val="0"/>
            <w:vAlign w:val="center"/>
          </w:tcPr>
          <w:p w14:paraId="3D706616">
            <w:r>
              <w:rPr>
                <w:rStyle w:val="10"/>
                <w:rFonts w:hint="eastAsia"/>
              </w:rPr>
              <w:t>剂型：</w:t>
            </w:r>
            <w:r>
              <w:rPr>
                <w:rFonts w:hint="eastAsia"/>
              </w:rPr>
              <w:t>悬浮剂</w:t>
            </w:r>
          </w:p>
        </w:tc>
      </w:tr>
      <w:tr w14:paraId="770997D0">
        <w:tblPrEx>
          <w:tblCellMar>
            <w:top w:w="0" w:type="dxa"/>
            <w:left w:w="0" w:type="dxa"/>
            <w:bottom w:w="0" w:type="dxa"/>
            <w:right w:w="0" w:type="dxa"/>
          </w:tblCellMar>
        </w:tblPrEx>
        <w:trPr>
          <w:wBefore w:w="0" w:type="auto"/>
          <w:tblCellSpacing w:w="0" w:type="dxa"/>
        </w:trPr>
        <w:tc>
          <w:tcPr>
            <w:tcW w:w="0" w:type="auto"/>
            <w:noWrap w:val="0"/>
            <w:vAlign w:val="center"/>
          </w:tcPr>
          <w:p w14:paraId="77EF3A88">
            <w:r>
              <w:rPr>
                <w:rStyle w:val="10"/>
                <w:rFonts w:hint="eastAsia"/>
              </w:rPr>
              <w:t>毒性及其标识：</w:t>
            </w:r>
            <w:r>
              <w:rPr>
                <w:rFonts w:hint="eastAsia"/>
              </w:rPr>
              <w:t xml:space="preserve"> </w:t>
            </w:r>
            <w:r>
              <w:rPr>
                <w:lang/>
              </w:rPr>
              <w:drawing>
                <wp:inline distT="0" distB="0" distL="114300" distR="114300">
                  <wp:extent cx="476250" cy="323850"/>
                  <wp:effectExtent l="0" t="0" r="0" b="0"/>
                  <wp:docPr id="112" name="图片 11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DF97D62">
        <w:tblPrEx>
          <w:tblCellMar>
            <w:top w:w="0" w:type="dxa"/>
            <w:left w:w="0" w:type="dxa"/>
            <w:bottom w:w="0" w:type="dxa"/>
            <w:right w:w="0" w:type="dxa"/>
          </w:tblCellMar>
        </w:tblPrEx>
        <w:trPr>
          <w:wBefore w:w="0" w:type="auto"/>
          <w:tblCellSpacing w:w="0" w:type="dxa"/>
        </w:trPr>
        <w:tc>
          <w:tcPr>
            <w:tcW w:w="0" w:type="auto"/>
            <w:noWrap w:val="0"/>
            <w:vAlign w:val="center"/>
          </w:tcPr>
          <w:p w14:paraId="52CDF58E">
            <w:r>
              <w:rPr>
                <w:rStyle w:val="10"/>
                <w:rFonts w:hint="eastAsia"/>
              </w:rPr>
              <w:t>总有效成分含量：</w:t>
            </w:r>
            <w:r>
              <w:rPr>
                <w:rFonts w:hint="eastAsia"/>
              </w:rPr>
              <w:t>53%</w:t>
            </w:r>
          </w:p>
        </w:tc>
      </w:tr>
      <w:tr w14:paraId="1C6CAEE6">
        <w:tblPrEx>
          <w:tblCellMar>
            <w:top w:w="0" w:type="dxa"/>
            <w:left w:w="0" w:type="dxa"/>
            <w:bottom w:w="0" w:type="dxa"/>
            <w:right w:w="0" w:type="dxa"/>
          </w:tblCellMar>
        </w:tblPrEx>
        <w:trPr>
          <w:wBefore w:w="0" w:type="auto"/>
          <w:tblCellSpacing w:w="0" w:type="dxa"/>
        </w:trPr>
        <w:tc>
          <w:tcPr>
            <w:tcW w:w="0" w:type="auto"/>
            <w:noWrap w:val="0"/>
            <w:vAlign w:val="center"/>
          </w:tcPr>
          <w:p w14:paraId="69A0DA55">
            <w:r>
              <w:rPr>
                <w:rFonts w:hint="eastAsia"/>
              </w:rPr>
              <w:t xml:space="preserve">有效成分及其含量： </w:t>
            </w:r>
          </w:p>
          <w:p w14:paraId="6BE084A1">
            <w:r>
              <w:rPr>
                <w:rFonts w:hint="eastAsia"/>
              </w:rPr>
              <w:t xml:space="preserve">    异噁唑草酮5%    莠去津48%    </w:t>
            </w:r>
          </w:p>
        </w:tc>
      </w:tr>
      <w:tr w14:paraId="1B8FFF5B">
        <w:tblPrEx>
          <w:tblCellMar>
            <w:top w:w="0" w:type="dxa"/>
            <w:left w:w="0" w:type="dxa"/>
            <w:bottom w:w="0" w:type="dxa"/>
            <w:right w:w="0" w:type="dxa"/>
          </w:tblCellMar>
        </w:tblPrEx>
        <w:trPr>
          <w:wBefore w:w="0" w:type="auto"/>
          <w:tblCellSpacing w:w="0" w:type="dxa"/>
        </w:trPr>
        <w:tc>
          <w:tcPr>
            <w:tcW w:w="0" w:type="auto"/>
            <w:noWrap w:val="0"/>
            <w:vAlign w:val="center"/>
          </w:tcPr>
          <w:p w14:paraId="211AFF5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6B943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AEEE39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731F8F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DBEC03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8A7C1DD">
                  <w:r>
                    <w:rPr>
                      <w:rStyle w:val="11"/>
                      <w:rFonts w:hint="eastAsia"/>
                    </w:rPr>
                    <w:t>施用方式</w:t>
                  </w:r>
                </w:p>
              </w:tc>
            </w:tr>
            <w:tr w14:paraId="157C27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344E1D">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95B985">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52E5F4">
                  <w:r>
                    <w:rPr>
                      <w:rStyle w:val="11"/>
                      <w:rFonts w:hint="eastAsia"/>
                    </w:rPr>
                    <w:t>160-200毫升/亩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9F079D">
                  <w:r>
                    <w:rPr>
                      <w:rStyle w:val="11"/>
                      <w:rFonts w:hint="eastAsia"/>
                    </w:rPr>
                    <w:t>土壤喷雾</w:t>
                  </w:r>
                </w:p>
              </w:tc>
            </w:tr>
          </w:tbl>
          <w:p w14:paraId="658FC4BC">
            <w:pPr>
              <w:rPr>
                <w:rFonts w:ascii="Times New Roman" w:hAnsi="Times New Roman" w:cs="Times New Roman"/>
                <w:sz w:val="20"/>
                <w:szCs w:val="20"/>
              </w:rPr>
            </w:pPr>
          </w:p>
        </w:tc>
      </w:tr>
      <w:tr w14:paraId="17267EEA">
        <w:tblPrEx>
          <w:tblCellMar>
            <w:top w:w="0" w:type="dxa"/>
            <w:left w:w="0" w:type="dxa"/>
            <w:bottom w:w="0" w:type="dxa"/>
            <w:right w:w="0" w:type="dxa"/>
          </w:tblCellMar>
        </w:tblPrEx>
        <w:trPr>
          <w:wBefore w:w="0" w:type="auto"/>
          <w:tblCellSpacing w:w="0" w:type="dxa"/>
        </w:trPr>
        <w:tc>
          <w:tcPr>
            <w:tcW w:w="0" w:type="auto"/>
            <w:noWrap w:val="0"/>
            <w:vAlign w:val="center"/>
          </w:tcPr>
          <w:p w14:paraId="5CEE5DEB">
            <w:r>
              <w:rPr>
                <w:rStyle w:val="10"/>
                <w:rFonts w:hint="eastAsia"/>
              </w:rPr>
              <w:t>使用技术要求:</w:t>
            </w:r>
            <w:r>
              <w:rPr>
                <w:rFonts w:hint="eastAsia"/>
              </w:rPr>
              <w:br w:type="textWrapping"/>
            </w:r>
            <w:r>
              <w:rPr>
                <w:rStyle w:val="11"/>
                <w:rFonts w:hint="eastAsia"/>
              </w:rPr>
              <w:t>1.于春玉米播后苗前，喷雾施药进行土壤封闭处理。2.选择无风晴朗天施药，大风天严禁用药。3.每季作物最多使用1次。</w:t>
            </w:r>
          </w:p>
        </w:tc>
      </w:tr>
      <w:tr w14:paraId="67EC5A87">
        <w:tblPrEx>
          <w:tblCellMar>
            <w:top w:w="0" w:type="dxa"/>
            <w:left w:w="0" w:type="dxa"/>
            <w:bottom w:w="0" w:type="dxa"/>
            <w:right w:w="0" w:type="dxa"/>
          </w:tblCellMar>
        </w:tblPrEx>
        <w:trPr>
          <w:wBefore w:w="0" w:type="auto"/>
          <w:tblCellSpacing w:w="0" w:type="dxa"/>
        </w:trPr>
        <w:tc>
          <w:tcPr>
            <w:tcW w:w="0" w:type="auto"/>
            <w:noWrap w:val="0"/>
            <w:vAlign w:val="center"/>
          </w:tcPr>
          <w:p w14:paraId="2FB7D22A">
            <w:r>
              <w:rPr>
                <w:rStyle w:val="10"/>
                <w:rFonts w:hint="eastAsia"/>
              </w:rPr>
              <w:t>产品性能:</w:t>
            </w:r>
            <w:r>
              <w:rPr>
                <w:rFonts w:hint="eastAsia"/>
              </w:rPr>
              <w:br w:type="textWrapping"/>
            </w:r>
            <w:r>
              <w:rPr>
                <w:rStyle w:val="11"/>
                <w:rFonts w:hint="eastAsia"/>
              </w:rPr>
              <w:t>本品是由异噁唑草酮、莠去津复配而成。异噁唑草酮是一种有机杂环类选择性内吸型苗前除草剂，能够在植物体内和土壤中快速分解，主要经由杂草幼根吸收传导而起作用。莠去津为内吸选择性苗前、苗后封闭除草剂，两者混用后，能有效的防除玉米田一年生杂草。产品外观为类白色无刺激性气味的悬浮液体。</w:t>
            </w:r>
          </w:p>
        </w:tc>
      </w:tr>
      <w:tr w14:paraId="52B1DE9F">
        <w:tblPrEx>
          <w:tblCellMar>
            <w:top w:w="0" w:type="dxa"/>
            <w:left w:w="0" w:type="dxa"/>
            <w:bottom w:w="0" w:type="dxa"/>
            <w:right w:w="0" w:type="dxa"/>
          </w:tblCellMar>
        </w:tblPrEx>
        <w:trPr>
          <w:wBefore w:w="0" w:type="auto"/>
          <w:tblCellSpacing w:w="0" w:type="dxa"/>
        </w:trPr>
        <w:tc>
          <w:tcPr>
            <w:tcW w:w="0" w:type="auto"/>
            <w:noWrap w:val="0"/>
            <w:vAlign w:val="center"/>
          </w:tcPr>
          <w:p w14:paraId="17583130">
            <w:r>
              <w:rPr>
                <w:rStyle w:val="10"/>
                <w:rFonts w:hint="eastAsia"/>
              </w:rPr>
              <w:t>注意事项：</w:t>
            </w:r>
            <w:r>
              <w:rPr>
                <w:rFonts w:hint="eastAsia"/>
              </w:rPr>
              <w:br w:type="textWrapping"/>
            </w:r>
            <w:r>
              <w:rPr>
                <w:rStyle w:val="11"/>
                <w:rFonts w:hint="eastAsia"/>
              </w:rPr>
              <w:t>1.使用本品时应穿长衣长裤、靴子、戴手套、眼镜、口罩等适当的防护用具，避免吸入药液；施药期间不可吃东西、饮水、吸烟等；施药后应及时洗手、洗脸并洗涤施药时穿着的衣物。2.远离水产养殖区、河塘等水体施药，禁止在河塘等水体中清洗施药器具。3.蚕室及桑园附近禁用；赤眼蜂等天敌放飞区域禁用；地下水饮用水水源地禁用。4.废弃物应妥善处理，不可做他用，也不可随意丢弃。5.本产品符合标签说明，请严格按照标签说明使用。6.避免孕妇及哺乳期的妇女接触本品。</w:t>
            </w:r>
          </w:p>
        </w:tc>
      </w:tr>
      <w:tr w14:paraId="057B9193">
        <w:tblPrEx>
          <w:tblCellMar>
            <w:top w:w="0" w:type="dxa"/>
            <w:left w:w="0" w:type="dxa"/>
            <w:bottom w:w="0" w:type="dxa"/>
            <w:right w:w="0" w:type="dxa"/>
          </w:tblCellMar>
        </w:tblPrEx>
        <w:trPr>
          <w:wBefore w:w="0" w:type="auto"/>
          <w:tblCellSpacing w:w="0" w:type="dxa"/>
        </w:trPr>
        <w:tc>
          <w:tcPr>
            <w:tcW w:w="0" w:type="auto"/>
            <w:noWrap w:val="0"/>
            <w:vAlign w:val="center"/>
          </w:tcPr>
          <w:p w14:paraId="04701E31">
            <w:r>
              <w:rPr>
                <w:rStyle w:val="10"/>
                <w:rFonts w:hint="eastAsia"/>
              </w:rPr>
              <w:t>中毒急救措施：</w:t>
            </w:r>
            <w:r>
              <w:rPr>
                <w:rFonts w:hint="eastAsia"/>
              </w:rPr>
              <w:br w:type="textWrapping"/>
            </w:r>
            <w:r>
              <w:rPr>
                <w:rStyle w:val="11"/>
                <w:rFonts w:hint="eastAsia"/>
              </w:rPr>
              <w:t>1．眼睛溅入：立刻用大量清水冲洗15-20分钟，如配戴隐形眼镜，冲洗5分钟后摘掉眼镜再冲洗15分钟。携此标签去医院诊治。2．误食∶立即饮用一杯或两杯水，用一只手指按住咽喉的后面部位，引吐。任何时候，不要试图让失去知觉的人呕吐或通过口部为其喂食。并请立即带标签就医。3．皮肤沾附∶脱去被溅到衣服。立即用大量清水冲洗皮肤。衣服彻底清洗后方可再穿。4．误吸∶转移至空气清新处，如症状持续，向医生咨询。 5．给医护人员的提示：无特效解毒药，请医生根据症状治疗。</w:t>
            </w:r>
          </w:p>
        </w:tc>
      </w:tr>
      <w:tr w14:paraId="6676F039">
        <w:tblPrEx>
          <w:tblCellMar>
            <w:top w:w="0" w:type="dxa"/>
            <w:left w:w="0" w:type="dxa"/>
            <w:bottom w:w="0" w:type="dxa"/>
            <w:right w:w="0" w:type="dxa"/>
          </w:tblCellMar>
        </w:tblPrEx>
        <w:trPr>
          <w:wBefore w:w="0" w:type="auto"/>
          <w:tblCellSpacing w:w="0" w:type="dxa"/>
        </w:trPr>
        <w:tc>
          <w:tcPr>
            <w:tcW w:w="0" w:type="auto"/>
            <w:noWrap w:val="0"/>
            <w:vAlign w:val="center"/>
          </w:tcPr>
          <w:p w14:paraId="5173F835">
            <w:r>
              <w:rPr>
                <w:rStyle w:val="10"/>
                <w:rFonts w:hint="eastAsia"/>
              </w:rPr>
              <w:t>储存和运输方法：</w:t>
            </w:r>
            <w:r>
              <w:rPr>
                <w:rFonts w:hint="eastAsia"/>
              </w:rPr>
              <w:br w:type="textWrapping"/>
            </w:r>
            <w:r>
              <w:rPr>
                <w:rStyle w:val="11"/>
                <w:rFonts w:hint="eastAsia"/>
              </w:rPr>
              <w:t>本品应贮存在干燥、阴凉、通风、防雨处。远离火源或热源。置儿童触及不到之处，并加锁。勿与食品、饮料、粮食、饲料等同贮同运。</w:t>
            </w:r>
          </w:p>
        </w:tc>
      </w:tr>
      <w:tr w14:paraId="14105C18">
        <w:tblPrEx>
          <w:tblCellMar>
            <w:top w:w="0" w:type="dxa"/>
            <w:left w:w="0" w:type="dxa"/>
            <w:bottom w:w="0" w:type="dxa"/>
            <w:right w:w="0" w:type="dxa"/>
          </w:tblCellMar>
        </w:tblPrEx>
        <w:trPr>
          <w:wBefore w:w="0" w:type="auto"/>
          <w:tblCellSpacing w:w="0" w:type="dxa"/>
        </w:trPr>
        <w:tc>
          <w:tcPr>
            <w:tcW w:w="0" w:type="auto"/>
            <w:noWrap w:val="0"/>
            <w:vAlign w:val="center"/>
          </w:tcPr>
          <w:p w14:paraId="77871DD1">
            <w:r>
              <w:rPr>
                <w:rStyle w:val="10"/>
                <w:rFonts w:hint="eastAsia"/>
              </w:rPr>
              <w:t>质量保证期：</w:t>
            </w:r>
            <w:r>
              <w:rPr>
                <w:rStyle w:val="11"/>
                <w:rFonts w:hint="eastAsia"/>
              </w:rPr>
              <w:t>2年</w:t>
            </w:r>
          </w:p>
        </w:tc>
      </w:tr>
      <w:tr w14:paraId="5C2B48BB">
        <w:tblPrEx>
          <w:tblCellMar>
            <w:top w:w="0" w:type="dxa"/>
            <w:left w:w="0" w:type="dxa"/>
            <w:bottom w:w="0" w:type="dxa"/>
            <w:right w:w="0" w:type="dxa"/>
          </w:tblCellMar>
        </w:tblPrEx>
        <w:trPr>
          <w:wBefore w:w="0" w:type="auto"/>
          <w:tblCellSpacing w:w="0" w:type="dxa"/>
        </w:trPr>
        <w:tc>
          <w:tcPr>
            <w:tcW w:w="0" w:type="auto"/>
            <w:noWrap w:val="0"/>
            <w:vAlign w:val="center"/>
          </w:tcPr>
          <w:p w14:paraId="5B55753B">
            <w:r>
              <w:rPr>
                <w:rStyle w:val="10"/>
                <w:rFonts w:hint="eastAsia"/>
              </w:rPr>
              <w:t>备注：</w:t>
            </w:r>
          </w:p>
        </w:tc>
      </w:tr>
    </w:tbl>
    <w:p w14:paraId="5F0EC9E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E268CD">
        <w:tblPrEx>
          <w:tblCellMar>
            <w:top w:w="0" w:type="dxa"/>
            <w:left w:w="0" w:type="dxa"/>
            <w:bottom w:w="0" w:type="dxa"/>
            <w:right w:w="0" w:type="dxa"/>
          </w:tblCellMar>
        </w:tblPrEx>
        <w:trPr>
          <w:wBefore w:w="0" w:type="auto"/>
          <w:tblCellSpacing w:w="0" w:type="dxa"/>
        </w:trPr>
        <w:tc>
          <w:tcPr>
            <w:tcW w:w="0" w:type="auto"/>
            <w:noWrap w:val="0"/>
            <w:vAlign w:val="center"/>
          </w:tcPr>
          <w:p w14:paraId="1C445DD1">
            <w:r>
              <w:rPr>
                <w:rStyle w:val="10"/>
                <w:rFonts w:hint="eastAsia"/>
              </w:rPr>
              <w:t>登记证号：</w:t>
            </w:r>
            <w:r>
              <w:rPr>
                <w:rFonts w:hint="eastAsia"/>
              </w:rPr>
              <w:t>PD20211805</w:t>
            </w:r>
          </w:p>
        </w:tc>
      </w:tr>
      <w:tr w14:paraId="437F8E1A">
        <w:tblPrEx>
          <w:tblCellMar>
            <w:top w:w="0" w:type="dxa"/>
            <w:left w:w="0" w:type="dxa"/>
            <w:bottom w:w="0" w:type="dxa"/>
            <w:right w:w="0" w:type="dxa"/>
          </w:tblCellMar>
        </w:tblPrEx>
        <w:trPr>
          <w:wBefore w:w="0" w:type="auto"/>
          <w:tblCellSpacing w:w="0" w:type="dxa"/>
        </w:trPr>
        <w:tc>
          <w:tcPr>
            <w:tcW w:w="0" w:type="auto"/>
            <w:noWrap w:val="0"/>
            <w:vAlign w:val="center"/>
          </w:tcPr>
          <w:p w14:paraId="3DC7911A">
            <w:r>
              <w:rPr>
                <w:rStyle w:val="10"/>
                <w:rFonts w:hint="eastAsia"/>
              </w:rPr>
              <w:t>登记证持有人：</w:t>
            </w:r>
            <w:r>
              <w:rPr>
                <w:rFonts w:hint="eastAsia"/>
              </w:rPr>
              <w:t>陕西汤普森生物科技有限公司</w:t>
            </w:r>
          </w:p>
        </w:tc>
      </w:tr>
      <w:tr w14:paraId="462DD75B">
        <w:tblPrEx>
          <w:tblCellMar>
            <w:top w:w="0" w:type="dxa"/>
            <w:left w:w="0" w:type="dxa"/>
            <w:bottom w:w="0" w:type="dxa"/>
            <w:right w:w="0" w:type="dxa"/>
          </w:tblCellMar>
        </w:tblPrEx>
        <w:trPr>
          <w:wBefore w:w="0" w:type="auto"/>
          <w:tblCellSpacing w:w="0" w:type="dxa"/>
        </w:trPr>
        <w:tc>
          <w:tcPr>
            <w:tcW w:w="0" w:type="auto"/>
            <w:noWrap w:val="0"/>
            <w:vAlign w:val="center"/>
          </w:tcPr>
          <w:p w14:paraId="59B8B773">
            <w:r>
              <w:rPr>
                <w:rStyle w:val="10"/>
                <w:rFonts w:hint="eastAsia"/>
              </w:rPr>
              <w:t>农药名称：</w:t>
            </w:r>
            <w:r>
              <w:rPr>
                <w:rFonts w:hint="eastAsia"/>
              </w:rPr>
              <w:t>噻虫胺·溴氰菊酯</w:t>
            </w:r>
          </w:p>
        </w:tc>
      </w:tr>
      <w:tr w14:paraId="21F67B2E">
        <w:tblPrEx>
          <w:tblCellMar>
            <w:top w:w="0" w:type="dxa"/>
            <w:left w:w="0" w:type="dxa"/>
            <w:bottom w:w="0" w:type="dxa"/>
            <w:right w:w="0" w:type="dxa"/>
          </w:tblCellMar>
        </w:tblPrEx>
        <w:trPr>
          <w:wBefore w:w="0" w:type="auto"/>
          <w:tblCellSpacing w:w="0" w:type="dxa"/>
        </w:trPr>
        <w:tc>
          <w:tcPr>
            <w:tcW w:w="0" w:type="auto"/>
            <w:noWrap w:val="0"/>
            <w:vAlign w:val="center"/>
          </w:tcPr>
          <w:p w14:paraId="214412B3">
            <w:r>
              <w:rPr>
                <w:rStyle w:val="10"/>
                <w:rFonts w:hint="eastAsia"/>
              </w:rPr>
              <w:t>剂型：</w:t>
            </w:r>
            <w:r>
              <w:rPr>
                <w:rFonts w:hint="eastAsia"/>
              </w:rPr>
              <w:t>悬浮剂</w:t>
            </w:r>
          </w:p>
        </w:tc>
      </w:tr>
      <w:tr w14:paraId="0D2C66DF">
        <w:tblPrEx>
          <w:tblCellMar>
            <w:top w:w="0" w:type="dxa"/>
            <w:left w:w="0" w:type="dxa"/>
            <w:bottom w:w="0" w:type="dxa"/>
            <w:right w:w="0" w:type="dxa"/>
          </w:tblCellMar>
        </w:tblPrEx>
        <w:trPr>
          <w:wBefore w:w="0" w:type="auto"/>
          <w:tblCellSpacing w:w="0" w:type="dxa"/>
        </w:trPr>
        <w:tc>
          <w:tcPr>
            <w:tcW w:w="0" w:type="auto"/>
            <w:noWrap w:val="0"/>
            <w:vAlign w:val="center"/>
          </w:tcPr>
          <w:p w14:paraId="6C05D824">
            <w:r>
              <w:rPr>
                <w:rStyle w:val="10"/>
                <w:rFonts w:hint="eastAsia"/>
              </w:rPr>
              <w:t>毒性及其标识：</w:t>
            </w:r>
            <w:r>
              <w:rPr>
                <w:rFonts w:hint="eastAsia"/>
              </w:rPr>
              <w:t xml:space="preserve"> </w:t>
            </w:r>
            <w:r>
              <w:rPr>
                <w:lang/>
              </w:rPr>
              <w:drawing>
                <wp:inline distT="0" distB="0" distL="114300" distR="114300">
                  <wp:extent cx="476250" cy="323850"/>
                  <wp:effectExtent l="0" t="0" r="0" b="0"/>
                  <wp:docPr id="113" name="图片 11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8EE606D">
        <w:tblPrEx>
          <w:tblCellMar>
            <w:top w:w="0" w:type="dxa"/>
            <w:left w:w="0" w:type="dxa"/>
            <w:bottom w:w="0" w:type="dxa"/>
            <w:right w:w="0" w:type="dxa"/>
          </w:tblCellMar>
        </w:tblPrEx>
        <w:trPr>
          <w:wBefore w:w="0" w:type="auto"/>
          <w:tblCellSpacing w:w="0" w:type="dxa"/>
        </w:trPr>
        <w:tc>
          <w:tcPr>
            <w:tcW w:w="0" w:type="auto"/>
            <w:noWrap w:val="0"/>
            <w:vAlign w:val="center"/>
          </w:tcPr>
          <w:p w14:paraId="60B12425">
            <w:r>
              <w:rPr>
                <w:rStyle w:val="10"/>
                <w:rFonts w:hint="eastAsia"/>
              </w:rPr>
              <w:t>总有效成分含量：</w:t>
            </w:r>
            <w:r>
              <w:rPr>
                <w:rFonts w:hint="eastAsia"/>
              </w:rPr>
              <w:t>250克/升</w:t>
            </w:r>
          </w:p>
        </w:tc>
      </w:tr>
      <w:tr w14:paraId="12258CF9">
        <w:tblPrEx>
          <w:tblCellMar>
            <w:top w:w="0" w:type="dxa"/>
            <w:left w:w="0" w:type="dxa"/>
            <w:bottom w:w="0" w:type="dxa"/>
            <w:right w:w="0" w:type="dxa"/>
          </w:tblCellMar>
        </w:tblPrEx>
        <w:trPr>
          <w:wBefore w:w="0" w:type="auto"/>
          <w:tblCellSpacing w:w="0" w:type="dxa"/>
        </w:trPr>
        <w:tc>
          <w:tcPr>
            <w:tcW w:w="0" w:type="auto"/>
            <w:noWrap w:val="0"/>
            <w:vAlign w:val="center"/>
          </w:tcPr>
          <w:p w14:paraId="4312822B">
            <w:r>
              <w:rPr>
                <w:rFonts w:hint="eastAsia"/>
              </w:rPr>
              <w:t xml:space="preserve">有效成分及其含量： </w:t>
            </w:r>
          </w:p>
          <w:p w14:paraId="049628B8">
            <w:r>
              <w:rPr>
                <w:rFonts w:hint="eastAsia"/>
              </w:rPr>
              <w:t xml:space="preserve">    噻虫胺200克/升    溴氰菊酯50克/升    </w:t>
            </w:r>
          </w:p>
        </w:tc>
      </w:tr>
      <w:tr w14:paraId="02B659FC">
        <w:tblPrEx>
          <w:tblCellMar>
            <w:top w:w="0" w:type="dxa"/>
            <w:left w:w="0" w:type="dxa"/>
            <w:bottom w:w="0" w:type="dxa"/>
            <w:right w:w="0" w:type="dxa"/>
          </w:tblCellMar>
        </w:tblPrEx>
        <w:trPr>
          <w:wBefore w:w="0" w:type="auto"/>
          <w:tblCellSpacing w:w="0" w:type="dxa"/>
        </w:trPr>
        <w:tc>
          <w:tcPr>
            <w:tcW w:w="0" w:type="auto"/>
            <w:noWrap w:val="0"/>
            <w:vAlign w:val="center"/>
          </w:tcPr>
          <w:p w14:paraId="3FF078F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C0BF0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D8715B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0F06DF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0401E5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91F43A">
                  <w:r>
                    <w:rPr>
                      <w:rStyle w:val="11"/>
                      <w:rFonts w:hint="eastAsia"/>
                    </w:rPr>
                    <w:t>施用方式</w:t>
                  </w:r>
                </w:p>
              </w:tc>
            </w:tr>
            <w:tr w14:paraId="48F6B50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48B95F">
                  <w:r>
                    <w:rPr>
                      <w:rStyle w:val="11"/>
                      <w:rFonts w:hint="eastAsia"/>
                    </w:rPr>
                    <w:t>芹菜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5DC239">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240D99">
                  <w:r>
                    <w:rPr>
                      <w:rStyle w:val="11"/>
                      <w:rFonts w:hint="eastAsia"/>
                    </w:rPr>
                    <w:t>6-10毫升/亩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449DE2">
                  <w:r>
                    <w:rPr>
                      <w:rStyle w:val="11"/>
                      <w:rFonts w:hint="eastAsia"/>
                    </w:rPr>
                    <w:t>喷雾</w:t>
                  </w:r>
                </w:p>
              </w:tc>
            </w:tr>
          </w:tbl>
          <w:p w14:paraId="4C2EFCF9">
            <w:pPr>
              <w:rPr>
                <w:rFonts w:ascii="Times New Roman" w:hAnsi="Times New Roman" w:cs="Times New Roman"/>
                <w:sz w:val="20"/>
                <w:szCs w:val="20"/>
              </w:rPr>
            </w:pPr>
          </w:p>
        </w:tc>
      </w:tr>
      <w:tr w14:paraId="77BF60E2">
        <w:tblPrEx>
          <w:tblCellMar>
            <w:top w:w="0" w:type="dxa"/>
            <w:left w:w="0" w:type="dxa"/>
            <w:bottom w:w="0" w:type="dxa"/>
            <w:right w:w="0" w:type="dxa"/>
          </w:tblCellMar>
        </w:tblPrEx>
        <w:trPr>
          <w:wBefore w:w="0" w:type="auto"/>
          <w:tblCellSpacing w:w="0" w:type="dxa"/>
        </w:trPr>
        <w:tc>
          <w:tcPr>
            <w:tcW w:w="0" w:type="auto"/>
            <w:noWrap w:val="0"/>
            <w:vAlign w:val="center"/>
          </w:tcPr>
          <w:p w14:paraId="46EA8ECF">
            <w:r>
              <w:rPr>
                <w:rStyle w:val="10"/>
                <w:rFonts w:hint="eastAsia"/>
              </w:rPr>
              <w:t>使用技术要求:</w:t>
            </w:r>
            <w:r>
              <w:rPr>
                <w:rFonts w:hint="eastAsia"/>
              </w:rPr>
              <w:br w:type="textWrapping"/>
            </w:r>
            <w:r>
              <w:rPr>
                <w:rStyle w:val="11"/>
                <w:rFonts w:hint="eastAsia"/>
              </w:rPr>
              <w:t>1.本品适宜施药时期为芹菜蚜虫发生期，施药一次，注意喷雾均匀、周到，以确保药效。2.大风天或预计1小时内降雨，请勿施药。3.本品在芹菜上使用时的安全间隔期为10天，每季作物最多使用1次。</w:t>
            </w:r>
          </w:p>
        </w:tc>
      </w:tr>
      <w:tr w14:paraId="5278313F">
        <w:tblPrEx>
          <w:tblCellMar>
            <w:top w:w="0" w:type="dxa"/>
            <w:left w:w="0" w:type="dxa"/>
            <w:bottom w:w="0" w:type="dxa"/>
            <w:right w:w="0" w:type="dxa"/>
          </w:tblCellMar>
        </w:tblPrEx>
        <w:trPr>
          <w:wBefore w:w="0" w:type="auto"/>
          <w:tblCellSpacing w:w="0" w:type="dxa"/>
        </w:trPr>
        <w:tc>
          <w:tcPr>
            <w:tcW w:w="0" w:type="auto"/>
            <w:noWrap w:val="0"/>
            <w:vAlign w:val="center"/>
          </w:tcPr>
          <w:p w14:paraId="0075C356">
            <w:r>
              <w:rPr>
                <w:rStyle w:val="10"/>
                <w:rFonts w:hint="eastAsia"/>
              </w:rPr>
              <w:t>产品性能:</w:t>
            </w:r>
            <w:r>
              <w:rPr>
                <w:rFonts w:hint="eastAsia"/>
              </w:rPr>
              <w:br w:type="textWrapping"/>
            </w:r>
            <w:r>
              <w:rPr>
                <w:rStyle w:val="11"/>
                <w:rFonts w:hint="eastAsia"/>
              </w:rPr>
              <w:t>本品是由噻虫胺与溴氰菊酯复配而成的杀虫剂。噻虫胺通过作用于昆虫神经系统突触后膜的烟碱性乙酰胆碱受体，具有触杀、胃毒和内吸作用。溴氰菊酯通过调节昆虫钠离子通道而产生神经毒性，杀死害虫。按登记剂量使用时，对芹菜蚜虫有较好的防治效果。</w:t>
            </w:r>
          </w:p>
        </w:tc>
      </w:tr>
      <w:tr w14:paraId="56F014C8">
        <w:tblPrEx>
          <w:tblCellMar>
            <w:top w:w="0" w:type="dxa"/>
            <w:left w:w="0" w:type="dxa"/>
            <w:bottom w:w="0" w:type="dxa"/>
            <w:right w:w="0" w:type="dxa"/>
          </w:tblCellMar>
        </w:tblPrEx>
        <w:trPr>
          <w:wBefore w:w="0" w:type="auto"/>
          <w:tblCellSpacing w:w="0" w:type="dxa"/>
        </w:trPr>
        <w:tc>
          <w:tcPr>
            <w:tcW w:w="0" w:type="auto"/>
            <w:noWrap w:val="0"/>
            <w:vAlign w:val="center"/>
          </w:tcPr>
          <w:p w14:paraId="37891E62">
            <w:r>
              <w:rPr>
                <w:rStyle w:val="10"/>
                <w:rFonts w:hint="eastAsia"/>
              </w:rPr>
              <w:t>注意事项：</w:t>
            </w:r>
            <w:r>
              <w:rPr>
                <w:rFonts w:hint="eastAsia"/>
              </w:rPr>
              <w:br w:type="textWrapping"/>
            </w:r>
            <w:r>
              <w:rPr>
                <w:rStyle w:val="11"/>
                <w:rFonts w:hint="eastAsia"/>
              </w:rPr>
              <w:t>（1）严格按规定用药量和方法使用。 （2）建议与其他作用机制不同的杀虫剂轮换使用，以延缓抗性产生。 （3）本品对蜜蜂、鸟、鱼、蚕、水蚤、蚯蚓有毒。水产养殖区、河塘等水体附近禁用，禁止在河塘等水体中清洗施药器具。（周围）开花植物花期禁用，使用时应密切关注对附近蜂群的影响；蚕室及桑园附近、鸟类保护区、天敌放飞区禁用。 （4）使用本品时应穿戴长衣长裤、帽子、口罩、手套、鞋等安全防护措施。施药期间不可吃东西、饮水、吸烟等；施药后应及时洗手、洗脸并洗涤施药时穿着的衣物。 （5）用药后包装物及用过的容器应妥善处理，不可做他用，也不可随意丢弃。 （6）孕妇及哺乳期妇女禁止接触本品。</w:t>
            </w:r>
          </w:p>
        </w:tc>
      </w:tr>
      <w:tr w14:paraId="4743F4EF">
        <w:tblPrEx>
          <w:tblCellMar>
            <w:top w:w="0" w:type="dxa"/>
            <w:left w:w="0" w:type="dxa"/>
            <w:bottom w:w="0" w:type="dxa"/>
            <w:right w:w="0" w:type="dxa"/>
          </w:tblCellMar>
        </w:tblPrEx>
        <w:trPr>
          <w:wBefore w:w="0" w:type="auto"/>
          <w:tblCellSpacing w:w="0" w:type="dxa"/>
        </w:trPr>
        <w:tc>
          <w:tcPr>
            <w:tcW w:w="0" w:type="auto"/>
            <w:noWrap w:val="0"/>
            <w:vAlign w:val="center"/>
          </w:tcPr>
          <w:p w14:paraId="4369EC66">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立即用大量清水和肥皂冲洗。眼睛溅入：立即用流动清水冲洗不少于15分钟。误服：立即停止服用，用清水充分漱口后，立即携带农药标签到医院就诊。</w:t>
            </w:r>
          </w:p>
        </w:tc>
      </w:tr>
      <w:tr w14:paraId="0877C69D">
        <w:tblPrEx>
          <w:tblCellMar>
            <w:top w:w="0" w:type="dxa"/>
            <w:left w:w="0" w:type="dxa"/>
            <w:bottom w:w="0" w:type="dxa"/>
            <w:right w:w="0" w:type="dxa"/>
          </w:tblCellMar>
        </w:tblPrEx>
        <w:trPr>
          <w:wBefore w:w="0" w:type="auto"/>
          <w:tblCellSpacing w:w="0" w:type="dxa"/>
        </w:trPr>
        <w:tc>
          <w:tcPr>
            <w:tcW w:w="0" w:type="auto"/>
            <w:noWrap w:val="0"/>
            <w:vAlign w:val="center"/>
          </w:tcPr>
          <w:p w14:paraId="262E7F2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3BBC0957">
        <w:tblPrEx>
          <w:tblCellMar>
            <w:top w:w="0" w:type="dxa"/>
            <w:left w:w="0" w:type="dxa"/>
            <w:bottom w:w="0" w:type="dxa"/>
            <w:right w:w="0" w:type="dxa"/>
          </w:tblCellMar>
        </w:tblPrEx>
        <w:trPr>
          <w:wBefore w:w="0" w:type="auto"/>
          <w:tblCellSpacing w:w="0" w:type="dxa"/>
        </w:trPr>
        <w:tc>
          <w:tcPr>
            <w:tcW w:w="0" w:type="auto"/>
            <w:noWrap w:val="0"/>
            <w:vAlign w:val="center"/>
          </w:tcPr>
          <w:p w14:paraId="22CD6169">
            <w:r>
              <w:rPr>
                <w:rStyle w:val="10"/>
                <w:rFonts w:hint="eastAsia"/>
              </w:rPr>
              <w:t>质量保证期：</w:t>
            </w:r>
            <w:r>
              <w:rPr>
                <w:rStyle w:val="11"/>
                <w:rFonts w:hint="eastAsia"/>
              </w:rPr>
              <w:t>2年</w:t>
            </w:r>
          </w:p>
        </w:tc>
      </w:tr>
      <w:tr w14:paraId="20DFC486">
        <w:tblPrEx>
          <w:tblCellMar>
            <w:top w:w="0" w:type="dxa"/>
            <w:left w:w="0" w:type="dxa"/>
            <w:bottom w:w="0" w:type="dxa"/>
            <w:right w:w="0" w:type="dxa"/>
          </w:tblCellMar>
        </w:tblPrEx>
        <w:trPr>
          <w:wBefore w:w="0" w:type="auto"/>
          <w:tblCellSpacing w:w="0" w:type="dxa"/>
        </w:trPr>
        <w:tc>
          <w:tcPr>
            <w:tcW w:w="0" w:type="auto"/>
            <w:noWrap w:val="0"/>
            <w:vAlign w:val="center"/>
          </w:tcPr>
          <w:p w14:paraId="1C296B67">
            <w:r>
              <w:rPr>
                <w:rStyle w:val="10"/>
                <w:rFonts w:hint="eastAsia"/>
              </w:rPr>
              <w:t>备注：</w:t>
            </w:r>
            <w:r>
              <w:rPr>
                <w:rFonts w:hint="eastAsia"/>
              </w:rPr>
              <w:br w:type="textWrapping"/>
            </w:r>
            <w:r>
              <w:rPr>
                <w:rStyle w:val="11"/>
                <w:rFonts w:hint="eastAsia"/>
              </w:rPr>
              <w:t>质量分数22%（噻虫胺17.6%，溴氰菊酯4.4%） 。</w:t>
            </w:r>
          </w:p>
        </w:tc>
      </w:tr>
    </w:tbl>
    <w:p w14:paraId="46B9E94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E9DEDEF">
        <w:tblPrEx>
          <w:tblCellMar>
            <w:top w:w="0" w:type="dxa"/>
            <w:left w:w="0" w:type="dxa"/>
            <w:bottom w:w="0" w:type="dxa"/>
            <w:right w:w="0" w:type="dxa"/>
          </w:tblCellMar>
        </w:tblPrEx>
        <w:trPr>
          <w:wBefore w:w="0" w:type="auto"/>
          <w:tblCellSpacing w:w="0" w:type="dxa"/>
        </w:trPr>
        <w:tc>
          <w:tcPr>
            <w:tcW w:w="0" w:type="auto"/>
            <w:noWrap w:val="0"/>
            <w:vAlign w:val="center"/>
          </w:tcPr>
          <w:p w14:paraId="73ECF4A1">
            <w:r>
              <w:rPr>
                <w:rStyle w:val="10"/>
                <w:rFonts w:hint="eastAsia"/>
              </w:rPr>
              <w:t>登记证号：</w:t>
            </w:r>
            <w:r>
              <w:rPr>
                <w:rFonts w:hint="eastAsia"/>
              </w:rPr>
              <w:t>PD20212166</w:t>
            </w:r>
          </w:p>
        </w:tc>
      </w:tr>
      <w:tr w14:paraId="14E6A12F">
        <w:tblPrEx>
          <w:tblCellMar>
            <w:top w:w="0" w:type="dxa"/>
            <w:left w:w="0" w:type="dxa"/>
            <w:bottom w:w="0" w:type="dxa"/>
            <w:right w:w="0" w:type="dxa"/>
          </w:tblCellMar>
        </w:tblPrEx>
        <w:trPr>
          <w:wBefore w:w="0" w:type="auto"/>
          <w:tblCellSpacing w:w="0" w:type="dxa"/>
        </w:trPr>
        <w:tc>
          <w:tcPr>
            <w:tcW w:w="0" w:type="auto"/>
            <w:noWrap w:val="0"/>
            <w:vAlign w:val="center"/>
          </w:tcPr>
          <w:p w14:paraId="3A1709D8">
            <w:r>
              <w:rPr>
                <w:rStyle w:val="10"/>
                <w:rFonts w:hint="eastAsia"/>
              </w:rPr>
              <w:t>登记证持有人：</w:t>
            </w:r>
            <w:r>
              <w:rPr>
                <w:rFonts w:hint="eastAsia"/>
              </w:rPr>
              <w:t>哈尔滨理工化工科技有限公司</w:t>
            </w:r>
          </w:p>
        </w:tc>
      </w:tr>
      <w:tr w14:paraId="35A88788">
        <w:tblPrEx>
          <w:tblCellMar>
            <w:top w:w="0" w:type="dxa"/>
            <w:left w:w="0" w:type="dxa"/>
            <w:bottom w:w="0" w:type="dxa"/>
            <w:right w:w="0" w:type="dxa"/>
          </w:tblCellMar>
        </w:tblPrEx>
        <w:trPr>
          <w:wBefore w:w="0" w:type="auto"/>
          <w:tblCellSpacing w:w="0" w:type="dxa"/>
        </w:trPr>
        <w:tc>
          <w:tcPr>
            <w:tcW w:w="0" w:type="auto"/>
            <w:noWrap w:val="0"/>
            <w:vAlign w:val="center"/>
          </w:tcPr>
          <w:p w14:paraId="7BE8C16E">
            <w:r>
              <w:rPr>
                <w:rStyle w:val="10"/>
                <w:rFonts w:hint="eastAsia"/>
              </w:rPr>
              <w:t>农药名称：</w:t>
            </w:r>
            <w:r>
              <w:rPr>
                <w:rFonts w:hint="eastAsia"/>
              </w:rPr>
              <w:t>2甲·莠·烟嘧</w:t>
            </w:r>
          </w:p>
        </w:tc>
      </w:tr>
      <w:tr w14:paraId="713DD7E6">
        <w:tblPrEx>
          <w:tblCellMar>
            <w:top w:w="0" w:type="dxa"/>
            <w:left w:w="0" w:type="dxa"/>
            <w:bottom w:w="0" w:type="dxa"/>
            <w:right w:w="0" w:type="dxa"/>
          </w:tblCellMar>
        </w:tblPrEx>
        <w:trPr>
          <w:wBefore w:w="0" w:type="auto"/>
          <w:tblCellSpacing w:w="0" w:type="dxa"/>
        </w:trPr>
        <w:tc>
          <w:tcPr>
            <w:tcW w:w="0" w:type="auto"/>
            <w:noWrap w:val="0"/>
            <w:vAlign w:val="center"/>
          </w:tcPr>
          <w:p w14:paraId="53A5B831">
            <w:r>
              <w:rPr>
                <w:rStyle w:val="10"/>
                <w:rFonts w:hint="eastAsia"/>
              </w:rPr>
              <w:t>剂型：</w:t>
            </w:r>
            <w:r>
              <w:rPr>
                <w:rFonts w:hint="eastAsia"/>
              </w:rPr>
              <w:t>可分散油悬浮剂</w:t>
            </w:r>
          </w:p>
        </w:tc>
      </w:tr>
      <w:tr w14:paraId="1E3322D7">
        <w:tblPrEx>
          <w:tblCellMar>
            <w:top w:w="0" w:type="dxa"/>
            <w:left w:w="0" w:type="dxa"/>
            <w:bottom w:w="0" w:type="dxa"/>
            <w:right w:w="0" w:type="dxa"/>
          </w:tblCellMar>
        </w:tblPrEx>
        <w:trPr>
          <w:wBefore w:w="0" w:type="auto"/>
          <w:tblCellSpacing w:w="0" w:type="dxa"/>
        </w:trPr>
        <w:tc>
          <w:tcPr>
            <w:tcW w:w="0" w:type="auto"/>
            <w:noWrap w:val="0"/>
            <w:vAlign w:val="center"/>
          </w:tcPr>
          <w:p w14:paraId="5AE0FC75">
            <w:r>
              <w:rPr>
                <w:rStyle w:val="10"/>
                <w:rFonts w:hint="eastAsia"/>
              </w:rPr>
              <w:t>毒性及其标识：</w:t>
            </w:r>
            <w:r>
              <w:rPr>
                <w:rFonts w:hint="eastAsia"/>
              </w:rPr>
              <w:t xml:space="preserve"> </w:t>
            </w:r>
            <w:r>
              <w:rPr>
                <w:lang/>
              </w:rPr>
              <w:drawing>
                <wp:inline distT="0" distB="0" distL="114300" distR="114300">
                  <wp:extent cx="476250" cy="323850"/>
                  <wp:effectExtent l="0" t="0" r="0" b="0"/>
                  <wp:docPr id="114" name="图片 11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1B311A6">
        <w:tblPrEx>
          <w:tblCellMar>
            <w:top w:w="0" w:type="dxa"/>
            <w:left w:w="0" w:type="dxa"/>
            <w:bottom w:w="0" w:type="dxa"/>
            <w:right w:w="0" w:type="dxa"/>
          </w:tblCellMar>
        </w:tblPrEx>
        <w:trPr>
          <w:wBefore w:w="0" w:type="auto"/>
          <w:tblCellSpacing w:w="0" w:type="dxa"/>
        </w:trPr>
        <w:tc>
          <w:tcPr>
            <w:tcW w:w="0" w:type="auto"/>
            <w:noWrap w:val="0"/>
            <w:vAlign w:val="center"/>
          </w:tcPr>
          <w:p w14:paraId="0C727A1A">
            <w:r>
              <w:rPr>
                <w:rStyle w:val="10"/>
                <w:rFonts w:hint="eastAsia"/>
              </w:rPr>
              <w:t>总有效成分含量：</w:t>
            </w:r>
            <w:r>
              <w:rPr>
                <w:rFonts w:hint="eastAsia"/>
              </w:rPr>
              <w:t>36%</w:t>
            </w:r>
          </w:p>
        </w:tc>
      </w:tr>
      <w:tr w14:paraId="72FCFD10">
        <w:tblPrEx>
          <w:tblCellMar>
            <w:top w:w="0" w:type="dxa"/>
            <w:left w:w="0" w:type="dxa"/>
            <w:bottom w:w="0" w:type="dxa"/>
            <w:right w:w="0" w:type="dxa"/>
          </w:tblCellMar>
        </w:tblPrEx>
        <w:trPr>
          <w:wBefore w:w="0" w:type="auto"/>
          <w:tblCellSpacing w:w="0" w:type="dxa"/>
        </w:trPr>
        <w:tc>
          <w:tcPr>
            <w:tcW w:w="0" w:type="auto"/>
            <w:noWrap w:val="0"/>
            <w:vAlign w:val="center"/>
          </w:tcPr>
          <w:p w14:paraId="11E8B5BC">
            <w:r>
              <w:rPr>
                <w:rFonts w:hint="eastAsia"/>
              </w:rPr>
              <w:t xml:space="preserve">有效成分及其含量： </w:t>
            </w:r>
          </w:p>
          <w:p w14:paraId="099E3E98">
            <w:r>
              <w:rPr>
                <w:rFonts w:hint="eastAsia"/>
              </w:rPr>
              <w:t xml:space="preserve">    2甲4氯异辛酯12%    烟嘧磺隆4%    莠去津20%    </w:t>
            </w:r>
          </w:p>
        </w:tc>
      </w:tr>
      <w:tr w14:paraId="20530B6E">
        <w:tblPrEx>
          <w:tblCellMar>
            <w:top w:w="0" w:type="dxa"/>
            <w:left w:w="0" w:type="dxa"/>
            <w:bottom w:w="0" w:type="dxa"/>
            <w:right w:w="0" w:type="dxa"/>
          </w:tblCellMar>
        </w:tblPrEx>
        <w:trPr>
          <w:wBefore w:w="0" w:type="auto"/>
          <w:tblCellSpacing w:w="0" w:type="dxa"/>
        </w:trPr>
        <w:tc>
          <w:tcPr>
            <w:tcW w:w="0" w:type="auto"/>
            <w:noWrap w:val="0"/>
            <w:vAlign w:val="center"/>
          </w:tcPr>
          <w:p w14:paraId="3D773EB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8D8EA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B77AB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1B7280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A1D803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B38ECA">
                  <w:r>
                    <w:rPr>
                      <w:rStyle w:val="11"/>
                      <w:rFonts w:hint="eastAsia"/>
                    </w:rPr>
                    <w:t>施用方式</w:t>
                  </w:r>
                </w:p>
              </w:tc>
            </w:tr>
            <w:tr w14:paraId="47486C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FF3E365">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F3260D">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9652E4">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CE3355">
                  <w:r>
                    <w:rPr>
                      <w:rStyle w:val="11"/>
                      <w:rFonts w:hint="eastAsia"/>
                    </w:rPr>
                    <w:t>茎叶喷雾</w:t>
                  </w:r>
                </w:p>
              </w:tc>
            </w:tr>
          </w:tbl>
          <w:p w14:paraId="6A4EAD34">
            <w:pPr>
              <w:rPr>
                <w:rFonts w:ascii="Times New Roman" w:hAnsi="Times New Roman" w:cs="Times New Roman"/>
                <w:sz w:val="20"/>
                <w:szCs w:val="20"/>
              </w:rPr>
            </w:pPr>
          </w:p>
        </w:tc>
      </w:tr>
      <w:tr w14:paraId="4170F437">
        <w:tblPrEx>
          <w:tblCellMar>
            <w:top w:w="0" w:type="dxa"/>
            <w:left w:w="0" w:type="dxa"/>
            <w:bottom w:w="0" w:type="dxa"/>
            <w:right w:w="0" w:type="dxa"/>
          </w:tblCellMar>
        </w:tblPrEx>
        <w:trPr>
          <w:wBefore w:w="0" w:type="auto"/>
          <w:tblCellSpacing w:w="0" w:type="dxa"/>
        </w:trPr>
        <w:tc>
          <w:tcPr>
            <w:tcW w:w="0" w:type="auto"/>
            <w:noWrap w:val="0"/>
            <w:vAlign w:val="center"/>
          </w:tcPr>
          <w:p w14:paraId="15BC823C">
            <w:r>
              <w:rPr>
                <w:rStyle w:val="10"/>
                <w:rFonts w:hint="eastAsia"/>
              </w:rPr>
              <w:t>使用技术要求:</w:t>
            </w:r>
            <w:r>
              <w:rPr>
                <w:rFonts w:hint="eastAsia"/>
              </w:rPr>
              <w:br w:type="textWrapping"/>
            </w:r>
            <w:r>
              <w:rPr>
                <w:rStyle w:val="11"/>
                <w:rFonts w:hint="eastAsia"/>
              </w:rPr>
              <w:t>1. 玉米3—5叶期，杂草3-5叶期（以杂草叶龄为主）茎叶喷雾处理，亩喷液量15-30升水。2. 选择无风晴天施药。3. 每季最多使用1次。4.甜玉米、糯玉米、爆裂玉米、自交系玉米及制种玉米田不宜使用。</w:t>
            </w:r>
          </w:p>
        </w:tc>
      </w:tr>
      <w:tr w14:paraId="699F2E5A">
        <w:tblPrEx>
          <w:tblCellMar>
            <w:top w:w="0" w:type="dxa"/>
            <w:left w:w="0" w:type="dxa"/>
            <w:bottom w:w="0" w:type="dxa"/>
            <w:right w:w="0" w:type="dxa"/>
          </w:tblCellMar>
        </w:tblPrEx>
        <w:trPr>
          <w:wBefore w:w="0" w:type="auto"/>
          <w:tblCellSpacing w:w="0" w:type="dxa"/>
        </w:trPr>
        <w:tc>
          <w:tcPr>
            <w:tcW w:w="0" w:type="auto"/>
            <w:noWrap w:val="0"/>
            <w:vAlign w:val="center"/>
          </w:tcPr>
          <w:p w14:paraId="4B924FE5">
            <w:r>
              <w:rPr>
                <w:rStyle w:val="10"/>
                <w:rFonts w:hint="eastAsia"/>
              </w:rPr>
              <w:t>产品性能:</w:t>
            </w:r>
            <w:r>
              <w:rPr>
                <w:rFonts w:hint="eastAsia"/>
              </w:rPr>
              <w:br w:type="textWrapping"/>
            </w:r>
            <w:r>
              <w:rPr>
                <w:rStyle w:val="11"/>
                <w:rFonts w:hint="eastAsia"/>
              </w:rPr>
              <w:t>本品为玉米田苗后茎叶处理除草剂，是选择性内吸传导型除草剂，有效成分可被杂草根部和叶片吸收转移到杂草各部，有效防除玉米田中多种一年生禾本科杂草、阔叶杂草及莎草科杂草。本品外观为类白色悬浮液体，无刺激性气味。</w:t>
            </w:r>
          </w:p>
        </w:tc>
      </w:tr>
      <w:tr w14:paraId="3D53A798">
        <w:tblPrEx>
          <w:tblCellMar>
            <w:top w:w="0" w:type="dxa"/>
            <w:left w:w="0" w:type="dxa"/>
            <w:bottom w:w="0" w:type="dxa"/>
            <w:right w:w="0" w:type="dxa"/>
          </w:tblCellMar>
        </w:tblPrEx>
        <w:trPr>
          <w:wBefore w:w="0" w:type="auto"/>
          <w:tblCellSpacing w:w="0" w:type="dxa"/>
        </w:trPr>
        <w:tc>
          <w:tcPr>
            <w:tcW w:w="0" w:type="auto"/>
            <w:noWrap w:val="0"/>
            <w:vAlign w:val="center"/>
          </w:tcPr>
          <w:p w14:paraId="6BA849F6">
            <w:r>
              <w:rPr>
                <w:rStyle w:val="10"/>
                <w:rFonts w:hint="eastAsia"/>
              </w:rPr>
              <w:t>注意事项：</w:t>
            </w:r>
            <w:r>
              <w:rPr>
                <w:rFonts w:hint="eastAsia"/>
              </w:rPr>
              <w:br w:type="textWrapping"/>
            </w:r>
            <w:r>
              <w:rPr>
                <w:rStyle w:val="11"/>
                <w:rFonts w:hint="eastAsia"/>
              </w:rPr>
              <w:t>1、请尽量较早用药，除草效果更佳，施药时请避免雾滴漂移至邻近作物。 2、蔬菜、小麦、水稻、花生、甜菜、油菜等作物田及杨树桃树等浅根系树木、豆类、十字花科作物对本品敏感，施药时须防止飘移，以免其他作物发生药害。 3、请勿将本品与任何有机磷类、氨基甲酸酯类杀虫剂混用或在间隔7天内使用。 4、请勿将本品用于甜玉米、糯玉米、爆裂玉米和自交系玉米。本品也不得用于玉米与其他作物间作、混种田。5、请按照农药安全使用准则使用本品。避免药液接触皮肤、眼睛和污染衣物，避免吸入雾滴。切勿在施药现场抽烟或饮食等。使用时穿戴长衣、长裤、帽子、口罩、手套等安全防护措施。 6、施药器具要认真清洗，污水和剩余药液要妥善处理，不得任意倾倒，以免污染其它作物及水源。废弃物要及时回收并妥善处理，不得再做它用。 7、水产养殖区，河塘等水体附近禁用，禁止在河塘等水体清洗施药器具，地下水，引用水水源地附近禁用。蚕室及桑园附近禁用。 8、避免孕妇及哺乳期的妇女接触。</w:t>
            </w:r>
          </w:p>
        </w:tc>
      </w:tr>
      <w:tr w14:paraId="56835AC0">
        <w:tblPrEx>
          <w:tblCellMar>
            <w:top w:w="0" w:type="dxa"/>
            <w:left w:w="0" w:type="dxa"/>
            <w:bottom w:w="0" w:type="dxa"/>
            <w:right w:w="0" w:type="dxa"/>
          </w:tblCellMar>
        </w:tblPrEx>
        <w:trPr>
          <w:wBefore w:w="0" w:type="auto"/>
          <w:tblCellSpacing w:w="0" w:type="dxa"/>
        </w:trPr>
        <w:tc>
          <w:tcPr>
            <w:tcW w:w="0" w:type="auto"/>
            <w:noWrap w:val="0"/>
            <w:vAlign w:val="center"/>
          </w:tcPr>
          <w:p w14:paraId="57C16867">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溅入眼睛:立即用流动清水冲洗眼睛至少15分钟，仍有不适时，就医。接触皮肤:脱去污染的衣物，用软布去除沾染农药，立即用大量清水和肥皂冲洗。吸入：立即离开施药现场，转移到空气清新处。误食：立即停止服用，用清水充分漱口后，立即携带农药标签到医院就诊。</w:t>
            </w:r>
          </w:p>
        </w:tc>
      </w:tr>
      <w:tr w14:paraId="0D56A156">
        <w:tblPrEx>
          <w:tblCellMar>
            <w:top w:w="0" w:type="dxa"/>
            <w:left w:w="0" w:type="dxa"/>
            <w:bottom w:w="0" w:type="dxa"/>
            <w:right w:w="0" w:type="dxa"/>
          </w:tblCellMar>
        </w:tblPrEx>
        <w:trPr>
          <w:wBefore w:w="0" w:type="auto"/>
          <w:tblCellSpacing w:w="0" w:type="dxa"/>
        </w:trPr>
        <w:tc>
          <w:tcPr>
            <w:tcW w:w="0" w:type="auto"/>
            <w:noWrap w:val="0"/>
            <w:vAlign w:val="center"/>
          </w:tcPr>
          <w:p w14:paraId="6CC540B5">
            <w:r>
              <w:rPr>
                <w:rStyle w:val="10"/>
                <w:rFonts w:hint="eastAsia"/>
              </w:rPr>
              <w:t>储存和运输方法：</w:t>
            </w:r>
            <w:r>
              <w:rPr>
                <w:rFonts w:hint="eastAsia"/>
              </w:rPr>
              <w:br w:type="textWrapping"/>
            </w:r>
            <w:r>
              <w:rPr>
                <w:rStyle w:val="11"/>
                <w:rFonts w:hint="eastAsia"/>
              </w:rPr>
              <w:t>本品应贮存在干燥、阴凉、通风、防雨处。远离火源或热源。置儿童触及不到之处，并加锁。勿与食品、饮料、粮食、饲料等其它商品同贮同运。</w:t>
            </w:r>
          </w:p>
        </w:tc>
      </w:tr>
      <w:tr w14:paraId="5A64611E">
        <w:tblPrEx>
          <w:tblCellMar>
            <w:top w:w="0" w:type="dxa"/>
            <w:left w:w="0" w:type="dxa"/>
            <w:bottom w:w="0" w:type="dxa"/>
            <w:right w:w="0" w:type="dxa"/>
          </w:tblCellMar>
        </w:tblPrEx>
        <w:trPr>
          <w:wBefore w:w="0" w:type="auto"/>
          <w:tblCellSpacing w:w="0" w:type="dxa"/>
        </w:trPr>
        <w:tc>
          <w:tcPr>
            <w:tcW w:w="0" w:type="auto"/>
            <w:noWrap w:val="0"/>
            <w:vAlign w:val="center"/>
          </w:tcPr>
          <w:p w14:paraId="2AF90D1C">
            <w:r>
              <w:rPr>
                <w:rStyle w:val="10"/>
                <w:rFonts w:hint="eastAsia"/>
              </w:rPr>
              <w:t>质量保证期：</w:t>
            </w:r>
            <w:r>
              <w:rPr>
                <w:rStyle w:val="11"/>
                <w:rFonts w:hint="eastAsia"/>
              </w:rPr>
              <w:t>2年</w:t>
            </w:r>
          </w:p>
        </w:tc>
      </w:tr>
      <w:tr w14:paraId="7247BDD7">
        <w:tblPrEx>
          <w:tblCellMar>
            <w:top w:w="0" w:type="dxa"/>
            <w:left w:w="0" w:type="dxa"/>
            <w:bottom w:w="0" w:type="dxa"/>
            <w:right w:w="0" w:type="dxa"/>
          </w:tblCellMar>
        </w:tblPrEx>
        <w:trPr>
          <w:wBefore w:w="0" w:type="auto"/>
          <w:tblCellSpacing w:w="0" w:type="dxa"/>
        </w:trPr>
        <w:tc>
          <w:tcPr>
            <w:tcW w:w="0" w:type="auto"/>
            <w:noWrap w:val="0"/>
            <w:vAlign w:val="center"/>
          </w:tcPr>
          <w:p w14:paraId="0C551C7B">
            <w:r>
              <w:rPr>
                <w:rStyle w:val="10"/>
                <w:rFonts w:hint="eastAsia"/>
              </w:rPr>
              <w:t>备注：</w:t>
            </w:r>
          </w:p>
        </w:tc>
      </w:tr>
    </w:tbl>
    <w:p w14:paraId="35D0ED8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E389802">
        <w:tblPrEx>
          <w:tblCellMar>
            <w:top w:w="0" w:type="dxa"/>
            <w:left w:w="0" w:type="dxa"/>
            <w:bottom w:w="0" w:type="dxa"/>
            <w:right w:w="0" w:type="dxa"/>
          </w:tblCellMar>
        </w:tblPrEx>
        <w:trPr>
          <w:wBefore w:w="0" w:type="auto"/>
          <w:tblCellSpacing w:w="0" w:type="dxa"/>
        </w:trPr>
        <w:tc>
          <w:tcPr>
            <w:tcW w:w="0" w:type="auto"/>
            <w:noWrap w:val="0"/>
            <w:vAlign w:val="center"/>
          </w:tcPr>
          <w:p w14:paraId="502A9389">
            <w:r>
              <w:rPr>
                <w:rStyle w:val="10"/>
                <w:rFonts w:hint="eastAsia"/>
              </w:rPr>
              <w:t>登记证号：</w:t>
            </w:r>
            <w:r>
              <w:rPr>
                <w:rFonts w:hint="eastAsia"/>
              </w:rPr>
              <w:t>PD20212106</w:t>
            </w:r>
          </w:p>
        </w:tc>
      </w:tr>
      <w:tr w14:paraId="57C16DC2">
        <w:tblPrEx>
          <w:tblCellMar>
            <w:top w:w="0" w:type="dxa"/>
            <w:left w:w="0" w:type="dxa"/>
            <w:bottom w:w="0" w:type="dxa"/>
            <w:right w:w="0" w:type="dxa"/>
          </w:tblCellMar>
        </w:tblPrEx>
        <w:trPr>
          <w:wBefore w:w="0" w:type="auto"/>
          <w:tblCellSpacing w:w="0" w:type="dxa"/>
        </w:trPr>
        <w:tc>
          <w:tcPr>
            <w:tcW w:w="0" w:type="auto"/>
            <w:noWrap w:val="0"/>
            <w:vAlign w:val="center"/>
          </w:tcPr>
          <w:p w14:paraId="13E27F1D">
            <w:r>
              <w:rPr>
                <w:rStyle w:val="10"/>
                <w:rFonts w:hint="eastAsia"/>
              </w:rPr>
              <w:t>登记证持有人：</w:t>
            </w:r>
            <w:r>
              <w:rPr>
                <w:rFonts w:hint="eastAsia"/>
              </w:rPr>
              <w:t>哈尔滨理工化工科技有限公司</w:t>
            </w:r>
          </w:p>
        </w:tc>
      </w:tr>
      <w:tr w14:paraId="6C20D2CA">
        <w:tblPrEx>
          <w:tblCellMar>
            <w:top w:w="0" w:type="dxa"/>
            <w:left w:w="0" w:type="dxa"/>
            <w:bottom w:w="0" w:type="dxa"/>
            <w:right w:w="0" w:type="dxa"/>
          </w:tblCellMar>
        </w:tblPrEx>
        <w:trPr>
          <w:wBefore w:w="0" w:type="auto"/>
          <w:tblCellSpacing w:w="0" w:type="dxa"/>
        </w:trPr>
        <w:tc>
          <w:tcPr>
            <w:tcW w:w="0" w:type="auto"/>
            <w:noWrap w:val="0"/>
            <w:vAlign w:val="center"/>
          </w:tcPr>
          <w:p w14:paraId="2F82784F">
            <w:r>
              <w:rPr>
                <w:rStyle w:val="10"/>
                <w:rFonts w:hint="eastAsia"/>
              </w:rPr>
              <w:t>农药名称：</w:t>
            </w:r>
            <w:r>
              <w:rPr>
                <w:rFonts w:hint="eastAsia"/>
              </w:rPr>
              <w:t>乙草·滴辛酯</w:t>
            </w:r>
          </w:p>
        </w:tc>
      </w:tr>
      <w:tr w14:paraId="0ACC60AA">
        <w:tblPrEx>
          <w:tblCellMar>
            <w:top w:w="0" w:type="dxa"/>
            <w:left w:w="0" w:type="dxa"/>
            <w:bottom w:w="0" w:type="dxa"/>
            <w:right w:w="0" w:type="dxa"/>
          </w:tblCellMar>
        </w:tblPrEx>
        <w:trPr>
          <w:wBefore w:w="0" w:type="auto"/>
          <w:tblCellSpacing w:w="0" w:type="dxa"/>
        </w:trPr>
        <w:tc>
          <w:tcPr>
            <w:tcW w:w="0" w:type="auto"/>
            <w:noWrap w:val="0"/>
            <w:vAlign w:val="center"/>
          </w:tcPr>
          <w:p w14:paraId="75CBFFEF">
            <w:r>
              <w:rPr>
                <w:rStyle w:val="10"/>
                <w:rFonts w:hint="eastAsia"/>
              </w:rPr>
              <w:t>剂型：</w:t>
            </w:r>
            <w:r>
              <w:rPr>
                <w:rFonts w:hint="eastAsia"/>
              </w:rPr>
              <w:t>乳油</w:t>
            </w:r>
          </w:p>
        </w:tc>
      </w:tr>
      <w:tr w14:paraId="5D270A72">
        <w:tblPrEx>
          <w:tblCellMar>
            <w:top w:w="0" w:type="dxa"/>
            <w:left w:w="0" w:type="dxa"/>
            <w:bottom w:w="0" w:type="dxa"/>
            <w:right w:w="0" w:type="dxa"/>
          </w:tblCellMar>
        </w:tblPrEx>
        <w:trPr>
          <w:wBefore w:w="0" w:type="auto"/>
          <w:tblCellSpacing w:w="0" w:type="dxa"/>
        </w:trPr>
        <w:tc>
          <w:tcPr>
            <w:tcW w:w="0" w:type="auto"/>
            <w:noWrap w:val="0"/>
            <w:vAlign w:val="center"/>
          </w:tcPr>
          <w:p w14:paraId="25259D65">
            <w:r>
              <w:rPr>
                <w:rStyle w:val="10"/>
                <w:rFonts w:hint="eastAsia"/>
              </w:rPr>
              <w:t>毒性及其标识：</w:t>
            </w:r>
            <w:r>
              <w:rPr>
                <w:rFonts w:hint="eastAsia"/>
              </w:rPr>
              <w:t xml:space="preserve"> </w:t>
            </w:r>
            <w:r>
              <w:rPr>
                <w:lang/>
              </w:rPr>
              <w:drawing>
                <wp:inline distT="0" distB="0" distL="114300" distR="114300">
                  <wp:extent cx="476250" cy="323850"/>
                  <wp:effectExtent l="0" t="0" r="0" b="0"/>
                  <wp:docPr id="115" name="图片 11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C7771AF">
        <w:tblPrEx>
          <w:tblCellMar>
            <w:top w:w="0" w:type="dxa"/>
            <w:left w:w="0" w:type="dxa"/>
            <w:bottom w:w="0" w:type="dxa"/>
            <w:right w:w="0" w:type="dxa"/>
          </w:tblCellMar>
        </w:tblPrEx>
        <w:trPr>
          <w:wBefore w:w="0" w:type="auto"/>
          <w:tblCellSpacing w:w="0" w:type="dxa"/>
        </w:trPr>
        <w:tc>
          <w:tcPr>
            <w:tcW w:w="0" w:type="auto"/>
            <w:noWrap w:val="0"/>
            <w:vAlign w:val="center"/>
          </w:tcPr>
          <w:p w14:paraId="55CA592C">
            <w:r>
              <w:rPr>
                <w:rStyle w:val="10"/>
                <w:rFonts w:hint="eastAsia"/>
              </w:rPr>
              <w:t>总有效成分含量：</w:t>
            </w:r>
            <w:r>
              <w:rPr>
                <w:rFonts w:hint="eastAsia"/>
              </w:rPr>
              <w:t>78%</w:t>
            </w:r>
          </w:p>
        </w:tc>
      </w:tr>
      <w:tr w14:paraId="072F218B">
        <w:tblPrEx>
          <w:tblCellMar>
            <w:top w:w="0" w:type="dxa"/>
            <w:left w:w="0" w:type="dxa"/>
            <w:bottom w:w="0" w:type="dxa"/>
            <w:right w:w="0" w:type="dxa"/>
          </w:tblCellMar>
        </w:tblPrEx>
        <w:trPr>
          <w:wBefore w:w="0" w:type="auto"/>
          <w:tblCellSpacing w:w="0" w:type="dxa"/>
        </w:trPr>
        <w:tc>
          <w:tcPr>
            <w:tcW w:w="0" w:type="auto"/>
            <w:noWrap w:val="0"/>
            <w:vAlign w:val="center"/>
          </w:tcPr>
          <w:p w14:paraId="40BA0B75">
            <w:r>
              <w:rPr>
                <w:rFonts w:hint="eastAsia"/>
              </w:rPr>
              <w:t xml:space="preserve">有效成分及其含量： </w:t>
            </w:r>
          </w:p>
          <w:p w14:paraId="4980C2EA">
            <w:r>
              <w:rPr>
                <w:rFonts w:hint="eastAsia"/>
              </w:rPr>
              <w:t xml:space="preserve">    乙草胺60%    2,4-滴异辛酯18%    </w:t>
            </w:r>
          </w:p>
        </w:tc>
      </w:tr>
      <w:tr w14:paraId="6B4ABE9B">
        <w:tblPrEx>
          <w:tblCellMar>
            <w:top w:w="0" w:type="dxa"/>
            <w:left w:w="0" w:type="dxa"/>
            <w:bottom w:w="0" w:type="dxa"/>
            <w:right w:w="0" w:type="dxa"/>
          </w:tblCellMar>
        </w:tblPrEx>
        <w:trPr>
          <w:wBefore w:w="0" w:type="auto"/>
          <w:tblCellSpacing w:w="0" w:type="dxa"/>
        </w:trPr>
        <w:tc>
          <w:tcPr>
            <w:tcW w:w="0" w:type="auto"/>
            <w:noWrap w:val="0"/>
            <w:vAlign w:val="center"/>
          </w:tcPr>
          <w:p w14:paraId="789A064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30A6A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634F03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4974C0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1347AD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6A895D4">
                  <w:r>
                    <w:rPr>
                      <w:rStyle w:val="11"/>
                      <w:rFonts w:hint="eastAsia"/>
                    </w:rPr>
                    <w:t>施用方式</w:t>
                  </w:r>
                </w:p>
              </w:tc>
            </w:tr>
            <w:tr w14:paraId="2145E1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10130D">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9C3C2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A1F91D">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F08663">
                  <w:r>
                    <w:rPr>
                      <w:rStyle w:val="11"/>
                      <w:rFonts w:hint="eastAsia"/>
                    </w:rPr>
                    <w:t>土壤喷雾</w:t>
                  </w:r>
                </w:p>
              </w:tc>
            </w:tr>
          </w:tbl>
          <w:p w14:paraId="5E29904D">
            <w:pPr>
              <w:rPr>
                <w:rFonts w:ascii="Times New Roman" w:hAnsi="Times New Roman" w:cs="Times New Roman"/>
                <w:sz w:val="20"/>
                <w:szCs w:val="20"/>
              </w:rPr>
            </w:pPr>
          </w:p>
        </w:tc>
      </w:tr>
      <w:tr w14:paraId="5C8C7D95">
        <w:tblPrEx>
          <w:tblCellMar>
            <w:top w:w="0" w:type="dxa"/>
            <w:left w:w="0" w:type="dxa"/>
            <w:bottom w:w="0" w:type="dxa"/>
            <w:right w:w="0" w:type="dxa"/>
          </w:tblCellMar>
        </w:tblPrEx>
        <w:trPr>
          <w:wBefore w:w="0" w:type="auto"/>
          <w:tblCellSpacing w:w="0" w:type="dxa"/>
        </w:trPr>
        <w:tc>
          <w:tcPr>
            <w:tcW w:w="0" w:type="auto"/>
            <w:noWrap w:val="0"/>
            <w:vAlign w:val="center"/>
          </w:tcPr>
          <w:p w14:paraId="5639E57D">
            <w:r>
              <w:rPr>
                <w:rStyle w:val="10"/>
                <w:rFonts w:hint="eastAsia"/>
              </w:rPr>
              <w:t>使用技术要求:</w:t>
            </w:r>
            <w:r>
              <w:rPr>
                <w:rFonts w:hint="eastAsia"/>
              </w:rPr>
              <w:br w:type="textWrapping"/>
            </w:r>
            <w:r>
              <w:rPr>
                <w:rStyle w:val="11"/>
                <w:rFonts w:hint="eastAsia"/>
              </w:rPr>
              <w:t>1. 于春玉米播后庙前，选无风天气，每亩用药量兑水30-50公斤，土壤喷雾施药1次。施药时避免药液飘移到邻近的敏感作物田。大风天或预计1小时内有降雨，请勿使用。2. 本品每季作物最多使用1次。</w:t>
            </w:r>
          </w:p>
        </w:tc>
      </w:tr>
      <w:tr w14:paraId="32A98F55">
        <w:tblPrEx>
          <w:tblCellMar>
            <w:top w:w="0" w:type="dxa"/>
            <w:left w:w="0" w:type="dxa"/>
            <w:bottom w:w="0" w:type="dxa"/>
            <w:right w:w="0" w:type="dxa"/>
          </w:tblCellMar>
        </w:tblPrEx>
        <w:trPr>
          <w:wBefore w:w="0" w:type="auto"/>
          <w:tblCellSpacing w:w="0" w:type="dxa"/>
        </w:trPr>
        <w:tc>
          <w:tcPr>
            <w:tcW w:w="0" w:type="auto"/>
            <w:noWrap w:val="0"/>
            <w:vAlign w:val="center"/>
          </w:tcPr>
          <w:p w14:paraId="46EFE3E0">
            <w:r>
              <w:rPr>
                <w:rStyle w:val="10"/>
                <w:rFonts w:hint="eastAsia"/>
              </w:rPr>
              <w:t>产品性能:</w:t>
            </w:r>
            <w:r>
              <w:rPr>
                <w:rFonts w:hint="eastAsia"/>
              </w:rPr>
              <w:br w:type="textWrapping"/>
            </w:r>
            <w:r>
              <w:rPr>
                <w:rStyle w:val="11"/>
                <w:rFonts w:hint="eastAsia"/>
              </w:rPr>
              <w:t>本品是春玉米田选择性除草剂，具有杀草谱广、持效期长等特点，能有效防除玉米苗前多种一年生杂草，如：铁苋菜、苘麻、稗草、藜、马唐、蓼、龙葵、野糜子、水棘针、猪毛菜等。推荐剂量下对春玉米安全。</w:t>
            </w:r>
          </w:p>
        </w:tc>
      </w:tr>
      <w:tr w14:paraId="2A028EC8">
        <w:tblPrEx>
          <w:tblCellMar>
            <w:top w:w="0" w:type="dxa"/>
            <w:left w:w="0" w:type="dxa"/>
            <w:bottom w:w="0" w:type="dxa"/>
            <w:right w:w="0" w:type="dxa"/>
          </w:tblCellMar>
        </w:tblPrEx>
        <w:trPr>
          <w:wBefore w:w="0" w:type="auto"/>
          <w:tblCellSpacing w:w="0" w:type="dxa"/>
        </w:trPr>
        <w:tc>
          <w:tcPr>
            <w:tcW w:w="0" w:type="auto"/>
            <w:noWrap w:val="0"/>
            <w:vAlign w:val="center"/>
          </w:tcPr>
          <w:p w14:paraId="046CDEFF">
            <w:r>
              <w:rPr>
                <w:rStyle w:val="10"/>
                <w:rFonts w:hint="eastAsia"/>
              </w:rPr>
              <w:t>注意事项：</w:t>
            </w:r>
            <w:r>
              <w:rPr>
                <w:rFonts w:hint="eastAsia"/>
              </w:rPr>
              <w:br w:type="textWrapping"/>
            </w:r>
            <w:r>
              <w:rPr>
                <w:rStyle w:val="11"/>
                <w:rFonts w:hint="eastAsia"/>
              </w:rPr>
              <w:t>在专业植保人员的指导下施药，不能随意增加施药量。1. 本品不可与呈碱性的农药等物质混用。 精细整地、保持土壤湿润、施药后浅混土2～3厘米、镇压，有利于提高药效。土壤有机质含量高、土质粘重、土壤干旱，宜采用较高药量；有机质含量低、沙质土壤、土壤墒情好宜用较低药量。2. 使用时，如遇高温（＞25℃）、低温（＜13℃）、干旱、大风天气，可能会影响药效发挥；施药后遇大雨，地面有明水易产生药害。3. 使用时应注意风向，应在施药的上风口向下风口喷施。在100米以内种植有棉花、豆类、蔬菜、瓜类、葡萄、马铃薯及果树、林木等敏感作物的田块不得使用本品。 4. 本品对眼睛、皮肤有刺激性，使用时避免接触眼睛、皮肤穿戴长衣、长裤、帽子、口罩、手套等防护措施。避免吸入药液。施药期间不可吃东西、喝水和吸烟。施药后应及时用肥皂洗手、洗脸和清洗防护用具。5. 每次施药时间最好控制在 4 h 以内。施用人员定期检查、维护和保养施药器械，避免施药器械的故障或药液箱漏液。施药时远离水产养殖区、河塘等水体。禁止在河塘等水体内清洗施药器具或将清洗施药器具的废水倒入河流、池塘等水体。6. 赤眼蜂等天敌昆虫放飞区域禁用，鸟类保护区附近禁用。7. 用过的容器或包装物应妥善处理，不可做他用，也不可随意丢弃。8. 孕妇及哺乳期妇女应避免接触此药。</w:t>
            </w:r>
          </w:p>
        </w:tc>
      </w:tr>
      <w:tr w14:paraId="741BBFA8">
        <w:tblPrEx>
          <w:tblCellMar>
            <w:top w:w="0" w:type="dxa"/>
            <w:left w:w="0" w:type="dxa"/>
            <w:bottom w:w="0" w:type="dxa"/>
            <w:right w:w="0" w:type="dxa"/>
          </w:tblCellMar>
        </w:tblPrEx>
        <w:trPr>
          <w:wBefore w:w="0" w:type="auto"/>
          <w:tblCellSpacing w:w="0" w:type="dxa"/>
        </w:trPr>
        <w:tc>
          <w:tcPr>
            <w:tcW w:w="0" w:type="auto"/>
            <w:noWrap w:val="0"/>
            <w:vAlign w:val="center"/>
          </w:tcPr>
          <w:p w14:paraId="46FED39E">
            <w:r>
              <w:rPr>
                <w:rStyle w:val="10"/>
                <w:rFonts w:hint="eastAsia"/>
              </w:rPr>
              <w:t>中毒急救措施：</w:t>
            </w:r>
            <w:r>
              <w:rPr>
                <w:rFonts w:hint="eastAsia"/>
              </w:rPr>
              <w:br w:type="textWrapping"/>
            </w:r>
            <w:r>
              <w:rPr>
                <w:rStyle w:val="11"/>
                <w:rFonts w:hint="eastAsia"/>
              </w:rPr>
              <w:t>中毒症状：本品对眼睛有中度刺激作用，对皮肤有轻度刺激作用，严重时对肝、肾有损伤。1. 对眼睛有刺激作用，要注意防护。若溅入眼睛中，用大量清水冲洗至少15分钟，仍有不适时，就医。2. 如不慎接触皮肤，脱除受污染的衣服，并用肥皂和大量清水冲洗。3. 误吸:移至空气清新地方。 4. 误服：立即带标签送医院，对症治疗，无特效解毒剂。</w:t>
            </w:r>
          </w:p>
        </w:tc>
      </w:tr>
      <w:tr w14:paraId="3902CB2E">
        <w:tblPrEx>
          <w:tblCellMar>
            <w:top w:w="0" w:type="dxa"/>
            <w:left w:w="0" w:type="dxa"/>
            <w:bottom w:w="0" w:type="dxa"/>
            <w:right w:w="0" w:type="dxa"/>
          </w:tblCellMar>
        </w:tblPrEx>
        <w:trPr>
          <w:wBefore w:w="0" w:type="auto"/>
          <w:tblCellSpacing w:w="0" w:type="dxa"/>
        </w:trPr>
        <w:tc>
          <w:tcPr>
            <w:tcW w:w="0" w:type="auto"/>
            <w:noWrap w:val="0"/>
            <w:vAlign w:val="center"/>
          </w:tcPr>
          <w:p w14:paraId="71CF6E5D">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本品应贮存在干燥、阴凉、通风、防雨处，远离火源或热源。置于儿童及无关人员触及不到之处，并加锁。不能与食品、饮料、粮食、饲料等物品同贮同运。</w:t>
            </w:r>
          </w:p>
        </w:tc>
      </w:tr>
      <w:tr w14:paraId="154416AF">
        <w:tblPrEx>
          <w:tblCellMar>
            <w:top w:w="0" w:type="dxa"/>
            <w:left w:w="0" w:type="dxa"/>
            <w:bottom w:w="0" w:type="dxa"/>
            <w:right w:w="0" w:type="dxa"/>
          </w:tblCellMar>
        </w:tblPrEx>
        <w:trPr>
          <w:wBefore w:w="0" w:type="auto"/>
          <w:tblCellSpacing w:w="0" w:type="dxa"/>
        </w:trPr>
        <w:tc>
          <w:tcPr>
            <w:tcW w:w="0" w:type="auto"/>
            <w:noWrap w:val="0"/>
            <w:vAlign w:val="center"/>
          </w:tcPr>
          <w:p w14:paraId="506C9AF4">
            <w:r>
              <w:rPr>
                <w:rStyle w:val="10"/>
                <w:rFonts w:hint="eastAsia"/>
              </w:rPr>
              <w:t>质量保证期：</w:t>
            </w:r>
            <w:r>
              <w:rPr>
                <w:rStyle w:val="11"/>
                <w:rFonts w:hint="eastAsia"/>
              </w:rPr>
              <w:t>2年</w:t>
            </w:r>
          </w:p>
        </w:tc>
      </w:tr>
      <w:tr w14:paraId="7BD12284">
        <w:tblPrEx>
          <w:tblCellMar>
            <w:top w:w="0" w:type="dxa"/>
            <w:left w:w="0" w:type="dxa"/>
            <w:bottom w:w="0" w:type="dxa"/>
            <w:right w:w="0" w:type="dxa"/>
          </w:tblCellMar>
        </w:tblPrEx>
        <w:trPr>
          <w:wBefore w:w="0" w:type="auto"/>
          <w:tblCellSpacing w:w="0" w:type="dxa"/>
        </w:trPr>
        <w:tc>
          <w:tcPr>
            <w:tcW w:w="0" w:type="auto"/>
            <w:noWrap w:val="0"/>
            <w:vAlign w:val="center"/>
          </w:tcPr>
          <w:p w14:paraId="0FD63F5D">
            <w:r>
              <w:rPr>
                <w:rStyle w:val="10"/>
                <w:rFonts w:hint="eastAsia"/>
              </w:rPr>
              <w:t>备注：</w:t>
            </w:r>
          </w:p>
        </w:tc>
      </w:tr>
    </w:tbl>
    <w:p w14:paraId="23B660B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BE3D1B">
        <w:tblPrEx>
          <w:tblCellMar>
            <w:top w:w="0" w:type="dxa"/>
            <w:left w:w="0" w:type="dxa"/>
            <w:bottom w:w="0" w:type="dxa"/>
            <w:right w:w="0" w:type="dxa"/>
          </w:tblCellMar>
        </w:tblPrEx>
        <w:trPr>
          <w:wBefore w:w="0" w:type="auto"/>
          <w:tblCellSpacing w:w="0" w:type="dxa"/>
        </w:trPr>
        <w:tc>
          <w:tcPr>
            <w:tcW w:w="0" w:type="auto"/>
            <w:noWrap w:val="0"/>
            <w:vAlign w:val="center"/>
          </w:tcPr>
          <w:p w14:paraId="7D093F1E">
            <w:r>
              <w:rPr>
                <w:rStyle w:val="10"/>
                <w:rFonts w:hint="eastAsia"/>
              </w:rPr>
              <w:t>登记证号：</w:t>
            </w:r>
            <w:r>
              <w:rPr>
                <w:rFonts w:hint="eastAsia"/>
              </w:rPr>
              <w:t>WP20210200</w:t>
            </w:r>
          </w:p>
        </w:tc>
      </w:tr>
      <w:tr w14:paraId="7A4BDEC0">
        <w:tblPrEx>
          <w:tblCellMar>
            <w:top w:w="0" w:type="dxa"/>
            <w:left w:w="0" w:type="dxa"/>
            <w:bottom w:w="0" w:type="dxa"/>
            <w:right w:w="0" w:type="dxa"/>
          </w:tblCellMar>
        </w:tblPrEx>
        <w:trPr>
          <w:wBefore w:w="0" w:type="auto"/>
          <w:tblCellSpacing w:w="0" w:type="dxa"/>
        </w:trPr>
        <w:tc>
          <w:tcPr>
            <w:tcW w:w="0" w:type="auto"/>
            <w:noWrap w:val="0"/>
            <w:vAlign w:val="center"/>
          </w:tcPr>
          <w:p w14:paraId="3DF9A491">
            <w:r>
              <w:rPr>
                <w:rStyle w:val="10"/>
                <w:rFonts w:hint="eastAsia"/>
              </w:rPr>
              <w:t>登记证持有人：</w:t>
            </w:r>
            <w:r>
              <w:rPr>
                <w:rFonts w:hint="eastAsia"/>
              </w:rPr>
              <w:t>江苏生久农化有限公司</w:t>
            </w:r>
          </w:p>
        </w:tc>
      </w:tr>
      <w:tr w14:paraId="5CDF67D6">
        <w:tblPrEx>
          <w:tblCellMar>
            <w:top w:w="0" w:type="dxa"/>
            <w:left w:w="0" w:type="dxa"/>
            <w:bottom w:w="0" w:type="dxa"/>
            <w:right w:w="0" w:type="dxa"/>
          </w:tblCellMar>
        </w:tblPrEx>
        <w:trPr>
          <w:wBefore w:w="0" w:type="auto"/>
          <w:tblCellSpacing w:w="0" w:type="dxa"/>
        </w:trPr>
        <w:tc>
          <w:tcPr>
            <w:tcW w:w="0" w:type="auto"/>
            <w:noWrap w:val="0"/>
            <w:vAlign w:val="center"/>
          </w:tcPr>
          <w:p w14:paraId="70A14D55">
            <w:r>
              <w:rPr>
                <w:rStyle w:val="10"/>
                <w:rFonts w:hint="eastAsia"/>
              </w:rPr>
              <w:t>农药名称：</w:t>
            </w:r>
            <w:r>
              <w:rPr>
                <w:rFonts w:hint="eastAsia"/>
              </w:rPr>
              <w:t>烯丙·氯菊</w:t>
            </w:r>
          </w:p>
        </w:tc>
      </w:tr>
      <w:tr w14:paraId="03CD39E7">
        <w:tblPrEx>
          <w:tblCellMar>
            <w:top w:w="0" w:type="dxa"/>
            <w:left w:w="0" w:type="dxa"/>
            <w:bottom w:w="0" w:type="dxa"/>
            <w:right w:w="0" w:type="dxa"/>
          </w:tblCellMar>
        </w:tblPrEx>
        <w:trPr>
          <w:wBefore w:w="0" w:type="auto"/>
          <w:tblCellSpacing w:w="0" w:type="dxa"/>
        </w:trPr>
        <w:tc>
          <w:tcPr>
            <w:tcW w:w="0" w:type="auto"/>
            <w:noWrap w:val="0"/>
            <w:vAlign w:val="center"/>
          </w:tcPr>
          <w:p w14:paraId="695FDA13">
            <w:r>
              <w:rPr>
                <w:rStyle w:val="10"/>
                <w:rFonts w:hint="eastAsia"/>
              </w:rPr>
              <w:t>剂型：</w:t>
            </w:r>
            <w:r>
              <w:rPr>
                <w:rFonts w:hint="eastAsia"/>
              </w:rPr>
              <w:t>微乳剂</w:t>
            </w:r>
          </w:p>
        </w:tc>
      </w:tr>
      <w:tr w14:paraId="027D0CC7">
        <w:tblPrEx>
          <w:tblCellMar>
            <w:top w:w="0" w:type="dxa"/>
            <w:left w:w="0" w:type="dxa"/>
            <w:bottom w:w="0" w:type="dxa"/>
            <w:right w:w="0" w:type="dxa"/>
          </w:tblCellMar>
        </w:tblPrEx>
        <w:trPr>
          <w:wBefore w:w="0" w:type="auto"/>
          <w:tblCellSpacing w:w="0" w:type="dxa"/>
        </w:trPr>
        <w:tc>
          <w:tcPr>
            <w:tcW w:w="0" w:type="auto"/>
            <w:noWrap w:val="0"/>
            <w:vAlign w:val="center"/>
          </w:tcPr>
          <w:p w14:paraId="3E29D172">
            <w:r>
              <w:rPr>
                <w:rStyle w:val="10"/>
                <w:rFonts w:hint="eastAsia"/>
              </w:rPr>
              <w:t>毒性及其标识：</w:t>
            </w:r>
            <w:r>
              <w:rPr>
                <w:rFonts w:hint="eastAsia"/>
              </w:rPr>
              <w:t xml:space="preserve"> </w:t>
            </w:r>
            <w:r>
              <w:rPr>
                <w:lang/>
              </w:rPr>
              <w:drawing>
                <wp:inline distT="0" distB="0" distL="114300" distR="114300">
                  <wp:extent cx="476250" cy="323850"/>
                  <wp:effectExtent l="0" t="0" r="0" b="0"/>
                  <wp:docPr id="116" name="图片 11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7DFA6D0">
        <w:tblPrEx>
          <w:tblCellMar>
            <w:top w:w="0" w:type="dxa"/>
            <w:left w:w="0" w:type="dxa"/>
            <w:bottom w:w="0" w:type="dxa"/>
            <w:right w:w="0" w:type="dxa"/>
          </w:tblCellMar>
        </w:tblPrEx>
        <w:trPr>
          <w:wBefore w:w="0" w:type="auto"/>
          <w:tblCellSpacing w:w="0" w:type="dxa"/>
        </w:trPr>
        <w:tc>
          <w:tcPr>
            <w:tcW w:w="0" w:type="auto"/>
            <w:noWrap w:val="0"/>
            <w:vAlign w:val="center"/>
          </w:tcPr>
          <w:p w14:paraId="4F11E2E8">
            <w:r>
              <w:rPr>
                <w:rStyle w:val="10"/>
                <w:rFonts w:hint="eastAsia"/>
              </w:rPr>
              <w:t>总有效成分含量：</w:t>
            </w:r>
            <w:r>
              <w:rPr>
                <w:rFonts w:hint="eastAsia"/>
              </w:rPr>
              <w:t>10%</w:t>
            </w:r>
          </w:p>
        </w:tc>
      </w:tr>
      <w:tr w14:paraId="536409F1">
        <w:tblPrEx>
          <w:tblCellMar>
            <w:top w:w="0" w:type="dxa"/>
            <w:left w:w="0" w:type="dxa"/>
            <w:bottom w:w="0" w:type="dxa"/>
            <w:right w:w="0" w:type="dxa"/>
          </w:tblCellMar>
        </w:tblPrEx>
        <w:trPr>
          <w:wBefore w:w="0" w:type="auto"/>
          <w:tblCellSpacing w:w="0" w:type="dxa"/>
        </w:trPr>
        <w:tc>
          <w:tcPr>
            <w:tcW w:w="0" w:type="auto"/>
            <w:noWrap w:val="0"/>
            <w:vAlign w:val="center"/>
          </w:tcPr>
          <w:p w14:paraId="6B7A7DCF">
            <w:r>
              <w:rPr>
                <w:rFonts w:hint="eastAsia"/>
              </w:rPr>
              <w:t xml:space="preserve">有效成分及其含量： </w:t>
            </w:r>
          </w:p>
          <w:p w14:paraId="0B41FF6D">
            <w:r>
              <w:rPr>
                <w:rFonts w:hint="eastAsia"/>
              </w:rPr>
              <w:t xml:space="preserve">    Es-生物烯丙菊酯2.5%    氯菊酯7.5%    </w:t>
            </w:r>
          </w:p>
        </w:tc>
      </w:tr>
      <w:tr w14:paraId="55108E9D">
        <w:tblPrEx>
          <w:tblCellMar>
            <w:top w:w="0" w:type="dxa"/>
            <w:left w:w="0" w:type="dxa"/>
            <w:bottom w:w="0" w:type="dxa"/>
            <w:right w:w="0" w:type="dxa"/>
          </w:tblCellMar>
        </w:tblPrEx>
        <w:trPr>
          <w:wBefore w:w="0" w:type="auto"/>
          <w:tblCellSpacing w:w="0" w:type="dxa"/>
        </w:trPr>
        <w:tc>
          <w:tcPr>
            <w:tcW w:w="0" w:type="auto"/>
            <w:noWrap w:val="0"/>
            <w:vAlign w:val="center"/>
          </w:tcPr>
          <w:p w14:paraId="2F7D5DB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6A4D6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391A27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82F9B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F34E11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7444E34">
                  <w:r>
                    <w:rPr>
                      <w:rStyle w:val="11"/>
                      <w:rFonts w:hint="eastAsia"/>
                    </w:rPr>
                    <w:t>施用方式</w:t>
                  </w:r>
                </w:p>
              </w:tc>
            </w:tr>
            <w:tr w14:paraId="1D3A34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A3FD36">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5A18F3">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B5A101">
                  <w:r>
                    <w:rPr>
                      <w:rStyle w:val="11"/>
                      <w:rFonts w:hint="eastAsia"/>
                    </w:rPr>
                    <w:t>稀释100倍液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BA88DF">
                  <w:r>
                    <w:rPr>
                      <w:rStyle w:val="11"/>
                      <w:rFonts w:hint="eastAsia"/>
                    </w:rPr>
                    <w:t>喷雾</w:t>
                  </w:r>
                </w:p>
              </w:tc>
            </w:tr>
            <w:tr w14:paraId="3B3D32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3AEEE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443C3A">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AF0468">
                  <w:r>
                    <w:rPr>
                      <w:rStyle w:val="11"/>
                      <w:rFonts w:hint="eastAsia"/>
                    </w:rPr>
                    <w:t>稀释100倍液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FA6C29">
                  <w:r>
                    <w:rPr>
                      <w:rStyle w:val="11"/>
                      <w:rFonts w:hint="eastAsia"/>
                    </w:rPr>
                    <w:t>喷雾</w:t>
                  </w:r>
                </w:p>
              </w:tc>
            </w:tr>
            <w:tr w14:paraId="71FF60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99BB797">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632A38">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7E8902">
                  <w:r>
                    <w:rPr>
                      <w:rStyle w:val="11"/>
                      <w:rFonts w:hint="eastAsia"/>
                    </w:rPr>
                    <w:t>稀释100倍液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91F0F1">
                  <w:r>
                    <w:rPr>
                      <w:rStyle w:val="11"/>
                      <w:rFonts w:hint="eastAsia"/>
                    </w:rPr>
                    <w:t>喷雾</w:t>
                  </w:r>
                </w:p>
              </w:tc>
            </w:tr>
            <w:tr w14:paraId="3E2690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8658DA3">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CDAAC7">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A40E59">
                  <w:r>
                    <w:rPr>
                      <w:rStyle w:val="11"/>
                      <w:rFonts w:hint="eastAsia"/>
                    </w:rPr>
                    <w:t>稀释100倍液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DFFD52">
                  <w:r>
                    <w:rPr>
                      <w:rStyle w:val="11"/>
                      <w:rFonts w:hint="eastAsia"/>
                    </w:rPr>
                    <w:t>喷雾</w:t>
                  </w:r>
                </w:p>
              </w:tc>
            </w:tr>
          </w:tbl>
          <w:p w14:paraId="607508C9">
            <w:pPr>
              <w:rPr>
                <w:rFonts w:ascii="Times New Roman" w:hAnsi="Times New Roman" w:cs="Times New Roman"/>
                <w:sz w:val="20"/>
                <w:szCs w:val="20"/>
              </w:rPr>
            </w:pPr>
          </w:p>
        </w:tc>
      </w:tr>
      <w:tr w14:paraId="6348F728">
        <w:tblPrEx>
          <w:tblCellMar>
            <w:top w:w="0" w:type="dxa"/>
            <w:left w:w="0" w:type="dxa"/>
            <w:bottom w:w="0" w:type="dxa"/>
            <w:right w:w="0" w:type="dxa"/>
          </w:tblCellMar>
        </w:tblPrEx>
        <w:trPr>
          <w:wBefore w:w="0" w:type="auto"/>
          <w:tblCellSpacing w:w="0" w:type="dxa"/>
        </w:trPr>
        <w:tc>
          <w:tcPr>
            <w:tcW w:w="0" w:type="auto"/>
            <w:noWrap w:val="0"/>
            <w:vAlign w:val="center"/>
          </w:tcPr>
          <w:p w14:paraId="19B21CAB">
            <w:r>
              <w:rPr>
                <w:rStyle w:val="10"/>
                <w:rFonts w:hint="eastAsia"/>
              </w:rPr>
              <w:t>使用技术要求:</w:t>
            </w:r>
            <w:r>
              <w:rPr>
                <w:rFonts w:hint="eastAsia"/>
              </w:rPr>
              <w:br w:type="textWrapping"/>
            </w:r>
            <w:r>
              <w:rPr>
                <w:rStyle w:val="11"/>
                <w:rFonts w:hint="eastAsia"/>
              </w:rPr>
              <w:t>使用说明：1、室内使用：将微乳剂用水稀释100倍后，对蚊蝇使用剂量为1.5ml/m3，人畜立即离开房间，由专业人员用低容量喷雾器直接对室内蚊蝇进行喷雾。喷雾后关闭施药环境所有门窗，1小时后打开门窗，充分通风方可进入。2、室外使用：将微乳剂用水稀释100倍后，按4.2ml/m2的剂量，使用喷雾器直接对蚊蝇进行喷雾。3、切勿在高温天气，大风及尘暴或下雨时使用。</w:t>
            </w:r>
          </w:p>
        </w:tc>
      </w:tr>
      <w:tr w14:paraId="279FA6AA">
        <w:tblPrEx>
          <w:tblCellMar>
            <w:top w:w="0" w:type="dxa"/>
            <w:left w:w="0" w:type="dxa"/>
            <w:bottom w:w="0" w:type="dxa"/>
            <w:right w:w="0" w:type="dxa"/>
          </w:tblCellMar>
        </w:tblPrEx>
        <w:trPr>
          <w:wBefore w:w="0" w:type="auto"/>
          <w:tblCellSpacing w:w="0" w:type="dxa"/>
        </w:trPr>
        <w:tc>
          <w:tcPr>
            <w:tcW w:w="0" w:type="auto"/>
            <w:noWrap w:val="0"/>
            <w:vAlign w:val="center"/>
          </w:tcPr>
          <w:p w14:paraId="76C69F16">
            <w:r>
              <w:rPr>
                <w:rStyle w:val="10"/>
                <w:rFonts w:hint="eastAsia"/>
              </w:rPr>
              <w:t>产品性能:</w:t>
            </w:r>
            <w:r>
              <w:rPr>
                <w:rFonts w:hint="eastAsia"/>
              </w:rPr>
              <w:br w:type="textWrapping"/>
            </w:r>
            <w:r>
              <w:rPr>
                <w:rStyle w:val="11"/>
                <w:rFonts w:hint="eastAsia"/>
              </w:rPr>
              <w:t>本产品是拟除虫菊酯为有效成分的卫生杀虫剂，对蚊、蝇有控制和驱赶作用。本品低毒，可用于家庭、酒店、公共卫生、养殖场、垃圾场等场所防治蝇、蚊害虫。</w:t>
            </w:r>
          </w:p>
        </w:tc>
      </w:tr>
      <w:tr w14:paraId="09F64845">
        <w:tblPrEx>
          <w:tblCellMar>
            <w:top w:w="0" w:type="dxa"/>
            <w:left w:w="0" w:type="dxa"/>
            <w:bottom w:w="0" w:type="dxa"/>
            <w:right w:w="0" w:type="dxa"/>
          </w:tblCellMar>
        </w:tblPrEx>
        <w:trPr>
          <w:wBefore w:w="0" w:type="auto"/>
          <w:tblCellSpacing w:w="0" w:type="dxa"/>
        </w:trPr>
        <w:tc>
          <w:tcPr>
            <w:tcW w:w="0" w:type="auto"/>
            <w:noWrap w:val="0"/>
            <w:vAlign w:val="center"/>
          </w:tcPr>
          <w:p w14:paraId="4866F57C">
            <w:r>
              <w:rPr>
                <w:rStyle w:val="10"/>
                <w:rFonts w:hint="eastAsia"/>
              </w:rPr>
              <w:t>注意事项：</w:t>
            </w:r>
            <w:r>
              <w:rPr>
                <w:rFonts w:hint="eastAsia"/>
              </w:rPr>
              <w:br w:type="textWrapping"/>
            </w:r>
            <w:r>
              <w:rPr>
                <w:rStyle w:val="11"/>
                <w:rFonts w:hint="eastAsia"/>
              </w:rPr>
              <w:t>1、本品对鱼、蚕高毒，使用时要注意避免污染水源及养蚕场所。蚕室及其附近禁用。避免药液污染水源。禁止在河塘等水域清洗施药器具。使用时应密切关注对附近蜂群的影响。 2、不要吸入药液，不要让药液沾染皮肤和眼睛。使用时采取安全防护措施，穿防护服、戴口罩、手套等，使用后及时清洗暴露部位皮肤。 3、不要向人体、食物和餐具喷洒，不要让药液污染水源和池塘。 4、药物储存在儿童和宠物接触不到的地方。 5、本品低毒，请在施药过程中配戴手套和口罩，以防中毒。 6、使用前稍作摇动。使用后注意通风。孕妇及哺乳期妇女及过敏者禁用，使用中有任何不良反应请及时就医。</w:t>
            </w:r>
          </w:p>
        </w:tc>
      </w:tr>
      <w:tr w14:paraId="782B1462">
        <w:tblPrEx>
          <w:tblCellMar>
            <w:top w:w="0" w:type="dxa"/>
            <w:left w:w="0" w:type="dxa"/>
            <w:bottom w:w="0" w:type="dxa"/>
            <w:right w:w="0" w:type="dxa"/>
          </w:tblCellMar>
        </w:tblPrEx>
        <w:trPr>
          <w:wBefore w:w="0" w:type="auto"/>
          <w:tblCellSpacing w:w="0" w:type="dxa"/>
        </w:trPr>
        <w:tc>
          <w:tcPr>
            <w:tcW w:w="0" w:type="auto"/>
            <w:noWrap w:val="0"/>
            <w:vAlign w:val="center"/>
          </w:tcPr>
          <w:p w14:paraId="2CA4B48E">
            <w:r>
              <w:rPr>
                <w:rStyle w:val="10"/>
                <w:rFonts w:hint="eastAsia"/>
              </w:rPr>
              <w:t>中毒急救措施：</w:t>
            </w:r>
            <w:r>
              <w:rPr>
                <w:rFonts w:hint="eastAsia"/>
              </w:rPr>
              <w:br w:type="textWrapping"/>
            </w:r>
            <w:r>
              <w:rPr>
                <w:rStyle w:val="11"/>
                <w:rFonts w:hint="eastAsia"/>
              </w:rPr>
              <w:t xml:space="preserve">中毒症状：接触部位皮肤感到刺痛，尤其在口、鼻周围，但无红斑。接触量大时也会引起头痛头昏、恶心呕吐、双手颤抖。 急救治疗：[1]无特殊解毒剂，可对症治疗；[2]误服入、吸入：立即携标签就医。皮肤接触应用肥皂水清洗。误入眼睛：应提起眼睑，用大量清水冲洗10-15分钟，并就医。医疗措施：进行洗胃，要防止胃溶物进入呼吸道。 </w:t>
            </w:r>
          </w:p>
        </w:tc>
      </w:tr>
      <w:tr w14:paraId="2808B6F3">
        <w:tblPrEx>
          <w:tblCellMar>
            <w:top w:w="0" w:type="dxa"/>
            <w:left w:w="0" w:type="dxa"/>
            <w:bottom w:w="0" w:type="dxa"/>
            <w:right w:w="0" w:type="dxa"/>
          </w:tblCellMar>
        </w:tblPrEx>
        <w:trPr>
          <w:wBefore w:w="0" w:type="auto"/>
          <w:tblCellSpacing w:w="0" w:type="dxa"/>
        </w:trPr>
        <w:tc>
          <w:tcPr>
            <w:tcW w:w="0" w:type="auto"/>
            <w:noWrap w:val="0"/>
            <w:vAlign w:val="center"/>
          </w:tcPr>
          <w:p w14:paraId="24557028">
            <w:r>
              <w:rPr>
                <w:rStyle w:val="10"/>
                <w:rFonts w:hint="eastAsia"/>
              </w:rPr>
              <w:t>储存和运输方法：</w:t>
            </w:r>
            <w:r>
              <w:rPr>
                <w:rFonts w:hint="eastAsia"/>
              </w:rPr>
              <w:br w:type="textWrapping"/>
            </w:r>
            <w:r>
              <w:rPr>
                <w:rStyle w:val="11"/>
                <w:rFonts w:hint="eastAsia"/>
              </w:rPr>
              <w:t>本品贮存应注意阴凉、干燥、通风，远离火源，不能与食品、饮料、粮食、饲料等物品同贮同运。远离儿童及家畜，并加锁保存，以免误服。避免与皮肤、眼睛接触。装卸运输时注意检查包装是否密封完整，轻拿轻放，不可倒置。</w:t>
            </w:r>
          </w:p>
        </w:tc>
      </w:tr>
      <w:tr w14:paraId="39C09E9A">
        <w:tblPrEx>
          <w:tblCellMar>
            <w:top w:w="0" w:type="dxa"/>
            <w:left w:w="0" w:type="dxa"/>
            <w:bottom w:w="0" w:type="dxa"/>
            <w:right w:w="0" w:type="dxa"/>
          </w:tblCellMar>
        </w:tblPrEx>
        <w:trPr>
          <w:wBefore w:w="0" w:type="auto"/>
          <w:tblCellSpacing w:w="0" w:type="dxa"/>
        </w:trPr>
        <w:tc>
          <w:tcPr>
            <w:tcW w:w="0" w:type="auto"/>
            <w:noWrap w:val="0"/>
            <w:vAlign w:val="center"/>
          </w:tcPr>
          <w:p w14:paraId="581B49C5">
            <w:r>
              <w:rPr>
                <w:rStyle w:val="10"/>
                <w:rFonts w:hint="eastAsia"/>
              </w:rPr>
              <w:t>质量保证期：</w:t>
            </w:r>
            <w:r>
              <w:rPr>
                <w:rStyle w:val="11"/>
                <w:rFonts w:hint="eastAsia"/>
              </w:rPr>
              <w:t>2</w:t>
            </w:r>
          </w:p>
        </w:tc>
      </w:tr>
      <w:tr w14:paraId="0DA59360">
        <w:tblPrEx>
          <w:tblCellMar>
            <w:top w:w="0" w:type="dxa"/>
            <w:left w:w="0" w:type="dxa"/>
            <w:bottom w:w="0" w:type="dxa"/>
            <w:right w:w="0" w:type="dxa"/>
          </w:tblCellMar>
        </w:tblPrEx>
        <w:trPr>
          <w:wBefore w:w="0" w:type="auto"/>
          <w:tblCellSpacing w:w="0" w:type="dxa"/>
        </w:trPr>
        <w:tc>
          <w:tcPr>
            <w:tcW w:w="0" w:type="auto"/>
            <w:noWrap w:val="0"/>
            <w:vAlign w:val="center"/>
          </w:tcPr>
          <w:p w14:paraId="2CD86E41">
            <w:r>
              <w:rPr>
                <w:rStyle w:val="10"/>
                <w:rFonts w:hint="eastAsia"/>
              </w:rPr>
              <w:t>备注：</w:t>
            </w:r>
          </w:p>
        </w:tc>
      </w:tr>
    </w:tbl>
    <w:p w14:paraId="4388EEF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99B836C">
        <w:tblPrEx>
          <w:tblCellMar>
            <w:top w:w="0" w:type="dxa"/>
            <w:left w:w="0" w:type="dxa"/>
            <w:bottom w:w="0" w:type="dxa"/>
            <w:right w:w="0" w:type="dxa"/>
          </w:tblCellMar>
        </w:tblPrEx>
        <w:trPr>
          <w:wBefore w:w="0" w:type="auto"/>
          <w:tblCellSpacing w:w="0" w:type="dxa"/>
        </w:trPr>
        <w:tc>
          <w:tcPr>
            <w:tcW w:w="0" w:type="auto"/>
            <w:noWrap w:val="0"/>
            <w:vAlign w:val="center"/>
          </w:tcPr>
          <w:p w14:paraId="79024CE1">
            <w:r>
              <w:rPr>
                <w:rStyle w:val="10"/>
                <w:rFonts w:hint="eastAsia"/>
              </w:rPr>
              <w:t>登记证号：</w:t>
            </w:r>
            <w:r>
              <w:rPr>
                <w:rFonts w:hint="eastAsia"/>
              </w:rPr>
              <w:t>PD20212041</w:t>
            </w:r>
          </w:p>
        </w:tc>
      </w:tr>
      <w:tr w14:paraId="1A113687">
        <w:tblPrEx>
          <w:tblCellMar>
            <w:top w:w="0" w:type="dxa"/>
            <w:left w:w="0" w:type="dxa"/>
            <w:bottom w:w="0" w:type="dxa"/>
            <w:right w:w="0" w:type="dxa"/>
          </w:tblCellMar>
        </w:tblPrEx>
        <w:trPr>
          <w:wBefore w:w="0" w:type="auto"/>
          <w:tblCellSpacing w:w="0" w:type="dxa"/>
        </w:trPr>
        <w:tc>
          <w:tcPr>
            <w:tcW w:w="0" w:type="auto"/>
            <w:noWrap w:val="0"/>
            <w:vAlign w:val="center"/>
          </w:tcPr>
          <w:p w14:paraId="6028EFBF">
            <w:r>
              <w:rPr>
                <w:rStyle w:val="10"/>
                <w:rFonts w:hint="eastAsia"/>
              </w:rPr>
              <w:t>登记证持有人：</w:t>
            </w:r>
            <w:r>
              <w:rPr>
                <w:rFonts w:hint="eastAsia"/>
              </w:rPr>
              <w:t>河南锦绣之星作物保护有限公司</w:t>
            </w:r>
          </w:p>
        </w:tc>
      </w:tr>
      <w:tr w14:paraId="4501266A">
        <w:tblPrEx>
          <w:tblCellMar>
            <w:top w:w="0" w:type="dxa"/>
            <w:left w:w="0" w:type="dxa"/>
            <w:bottom w:w="0" w:type="dxa"/>
            <w:right w:w="0" w:type="dxa"/>
          </w:tblCellMar>
        </w:tblPrEx>
        <w:trPr>
          <w:wBefore w:w="0" w:type="auto"/>
          <w:tblCellSpacing w:w="0" w:type="dxa"/>
        </w:trPr>
        <w:tc>
          <w:tcPr>
            <w:tcW w:w="0" w:type="auto"/>
            <w:noWrap w:val="0"/>
            <w:vAlign w:val="center"/>
          </w:tcPr>
          <w:p w14:paraId="7E91516C">
            <w:r>
              <w:rPr>
                <w:rStyle w:val="10"/>
                <w:rFonts w:hint="eastAsia"/>
              </w:rPr>
              <w:t>农药名称：</w:t>
            </w:r>
            <w:r>
              <w:rPr>
                <w:rFonts w:hint="eastAsia"/>
              </w:rPr>
              <w:t>氯化胆碱</w:t>
            </w:r>
          </w:p>
        </w:tc>
      </w:tr>
      <w:tr w14:paraId="60D795F0">
        <w:tblPrEx>
          <w:tblCellMar>
            <w:top w:w="0" w:type="dxa"/>
            <w:left w:w="0" w:type="dxa"/>
            <w:bottom w:w="0" w:type="dxa"/>
            <w:right w:w="0" w:type="dxa"/>
          </w:tblCellMar>
        </w:tblPrEx>
        <w:trPr>
          <w:wBefore w:w="0" w:type="auto"/>
          <w:tblCellSpacing w:w="0" w:type="dxa"/>
        </w:trPr>
        <w:tc>
          <w:tcPr>
            <w:tcW w:w="0" w:type="auto"/>
            <w:noWrap w:val="0"/>
            <w:vAlign w:val="center"/>
          </w:tcPr>
          <w:p w14:paraId="7131A36B">
            <w:r>
              <w:rPr>
                <w:rStyle w:val="10"/>
                <w:rFonts w:hint="eastAsia"/>
              </w:rPr>
              <w:t>剂型：</w:t>
            </w:r>
            <w:r>
              <w:rPr>
                <w:rFonts w:hint="eastAsia"/>
              </w:rPr>
              <w:t>可溶液剂</w:t>
            </w:r>
          </w:p>
        </w:tc>
      </w:tr>
      <w:tr w14:paraId="16EFBCE2">
        <w:tblPrEx>
          <w:tblCellMar>
            <w:top w:w="0" w:type="dxa"/>
            <w:left w:w="0" w:type="dxa"/>
            <w:bottom w:w="0" w:type="dxa"/>
            <w:right w:w="0" w:type="dxa"/>
          </w:tblCellMar>
        </w:tblPrEx>
        <w:trPr>
          <w:wBefore w:w="0" w:type="auto"/>
          <w:tblCellSpacing w:w="0" w:type="dxa"/>
        </w:trPr>
        <w:tc>
          <w:tcPr>
            <w:tcW w:w="0" w:type="auto"/>
            <w:noWrap w:val="0"/>
            <w:vAlign w:val="center"/>
          </w:tcPr>
          <w:p w14:paraId="07987C98">
            <w:r>
              <w:rPr>
                <w:rStyle w:val="10"/>
                <w:rFonts w:hint="eastAsia"/>
              </w:rPr>
              <w:t>毒性及其标识：</w:t>
            </w:r>
            <w:r>
              <w:rPr>
                <w:rFonts w:hint="eastAsia"/>
              </w:rPr>
              <w:t xml:space="preserve"> </w:t>
            </w:r>
            <w:r>
              <w:rPr>
                <w:lang/>
              </w:rPr>
              <w:drawing>
                <wp:inline distT="0" distB="0" distL="114300" distR="114300">
                  <wp:extent cx="476250" cy="323850"/>
                  <wp:effectExtent l="0" t="0" r="0" b="0"/>
                  <wp:docPr id="117" name="图片 11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13402A9">
        <w:tblPrEx>
          <w:tblCellMar>
            <w:top w:w="0" w:type="dxa"/>
            <w:left w:w="0" w:type="dxa"/>
            <w:bottom w:w="0" w:type="dxa"/>
            <w:right w:w="0" w:type="dxa"/>
          </w:tblCellMar>
        </w:tblPrEx>
        <w:trPr>
          <w:wBefore w:w="0" w:type="auto"/>
          <w:tblCellSpacing w:w="0" w:type="dxa"/>
        </w:trPr>
        <w:tc>
          <w:tcPr>
            <w:tcW w:w="0" w:type="auto"/>
            <w:noWrap w:val="0"/>
            <w:vAlign w:val="center"/>
          </w:tcPr>
          <w:p w14:paraId="65B45D86">
            <w:r>
              <w:rPr>
                <w:rStyle w:val="10"/>
                <w:rFonts w:hint="eastAsia"/>
              </w:rPr>
              <w:t>总有效成分含量：</w:t>
            </w:r>
            <w:r>
              <w:rPr>
                <w:rFonts w:hint="eastAsia"/>
              </w:rPr>
              <w:t>60%</w:t>
            </w:r>
          </w:p>
        </w:tc>
      </w:tr>
      <w:tr w14:paraId="43359EB4">
        <w:tblPrEx>
          <w:tblCellMar>
            <w:top w:w="0" w:type="dxa"/>
            <w:left w:w="0" w:type="dxa"/>
            <w:bottom w:w="0" w:type="dxa"/>
            <w:right w:w="0" w:type="dxa"/>
          </w:tblCellMar>
        </w:tblPrEx>
        <w:trPr>
          <w:wBefore w:w="0" w:type="auto"/>
          <w:tblCellSpacing w:w="0" w:type="dxa"/>
        </w:trPr>
        <w:tc>
          <w:tcPr>
            <w:tcW w:w="0" w:type="auto"/>
            <w:noWrap w:val="0"/>
            <w:vAlign w:val="center"/>
          </w:tcPr>
          <w:p w14:paraId="0FF86A47">
            <w:r>
              <w:rPr>
                <w:rFonts w:hint="eastAsia"/>
              </w:rPr>
              <w:t xml:space="preserve">有效成分及其含量： </w:t>
            </w:r>
          </w:p>
          <w:p w14:paraId="2F3FCB8F">
            <w:r>
              <w:rPr>
                <w:rFonts w:hint="eastAsia"/>
              </w:rPr>
              <w:t xml:space="preserve">    氯化胆碱60%    </w:t>
            </w:r>
          </w:p>
        </w:tc>
      </w:tr>
      <w:tr w14:paraId="4D671B94">
        <w:tblPrEx>
          <w:tblCellMar>
            <w:top w:w="0" w:type="dxa"/>
            <w:left w:w="0" w:type="dxa"/>
            <w:bottom w:w="0" w:type="dxa"/>
            <w:right w:w="0" w:type="dxa"/>
          </w:tblCellMar>
        </w:tblPrEx>
        <w:trPr>
          <w:wBefore w:w="0" w:type="auto"/>
          <w:tblCellSpacing w:w="0" w:type="dxa"/>
        </w:trPr>
        <w:tc>
          <w:tcPr>
            <w:tcW w:w="0" w:type="auto"/>
            <w:noWrap w:val="0"/>
            <w:vAlign w:val="center"/>
          </w:tcPr>
          <w:p w14:paraId="293A7FD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5BDDA18">
              <w:tblPrEx>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71AB33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46285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FF4396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3E83AB3">
                  <w:r>
                    <w:rPr>
                      <w:rStyle w:val="11"/>
                      <w:rFonts w:hint="eastAsia"/>
                    </w:rPr>
                    <w:t>施用方式</w:t>
                  </w:r>
                </w:p>
              </w:tc>
            </w:tr>
            <w:tr w14:paraId="0A48B2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FC560A">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DF9823">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D6568A">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E83F1D">
                  <w:r>
                    <w:rPr>
                      <w:rStyle w:val="11"/>
                      <w:rFonts w:hint="eastAsia"/>
                    </w:rPr>
                    <w:t>喷雾</w:t>
                  </w:r>
                </w:p>
              </w:tc>
            </w:tr>
          </w:tbl>
          <w:p w14:paraId="4DE2DCBC">
            <w:pPr>
              <w:rPr>
                <w:rFonts w:ascii="Times New Roman" w:hAnsi="Times New Roman" w:cs="Times New Roman"/>
                <w:sz w:val="20"/>
                <w:szCs w:val="20"/>
              </w:rPr>
            </w:pPr>
          </w:p>
        </w:tc>
      </w:tr>
      <w:tr w14:paraId="54164ABB">
        <w:tblPrEx>
          <w:tblCellMar>
            <w:top w:w="0" w:type="dxa"/>
            <w:left w:w="0" w:type="dxa"/>
            <w:bottom w:w="0" w:type="dxa"/>
            <w:right w:w="0" w:type="dxa"/>
          </w:tblCellMar>
        </w:tblPrEx>
        <w:trPr>
          <w:wBefore w:w="0" w:type="auto"/>
          <w:tblCellSpacing w:w="0" w:type="dxa"/>
        </w:trPr>
        <w:tc>
          <w:tcPr>
            <w:tcW w:w="0" w:type="auto"/>
            <w:noWrap w:val="0"/>
            <w:vAlign w:val="center"/>
          </w:tcPr>
          <w:p w14:paraId="013270AF">
            <w:r>
              <w:rPr>
                <w:rStyle w:val="10"/>
                <w:rFonts w:hint="eastAsia"/>
              </w:rPr>
              <w:t>使用技术要求:</w:t>
            </w:r>
            <w:r>
              <w:rPr>
                <w:rFonts w:hint="eastAsia"/>
              </w:rPr>
              <w:br w:type="textWrapping"/>
            </w:r>
            <w:r>
              <w:rPr>
                <w:rStyle w:val="11"/>
                <w:rFonts w:hint="eastAsia"/>
              </w:rPr>
              <w:t>1. 马铃薯块茎膨大初期开始叶面喷第一次药，间隔10-15天喷第二次药，共喷施2次，注意喷雾均匀、周到。 2. 晴天应避开露水和烈日高温施用或阴天露水干后全天施用，若喷后6小时内下雨应补施。</w:t>
            </w:r>
          </w:p>
        </w:tc>
      </w:tr>
      <w:tr w14:paraId="562DAE40">
        <w:tblPrEx>
          <w:tblCellMar>
            <w:top w:w="0" w:type="dxa"/>
            <w:left w:w="0" w:type="dxa"/>
            <w:bottom w:w="0" w:type="dxa"/>
            <w:right w:w="0" w:type="dxa"/>
          </w:tblCellMar>
        </w:tblPrEx>
        <w:trPr>
          <w:wBefore w:w="0" w:type="auto"/>
          <w:tblCellSpacing w:w="0" w:type="dxa"/>
        </w:trPr>
        <w:tc>
          <w:tcPr>
            <w:tcW w:w="0" w:type="auto"/>
            <w:noWrap w:val="0"/>
            <w:vAlign w:val="center"/>
          </w:tcPr>
          <w:p w14:paraId="563E5525">
            <w:r>
              <w:rPr>
                <w:rStyle w:val="10"/>
                <w:rFonts w:hint="eastAsia"/>
              </w:rPr>
              <w:t>产品性能:</w:t>
            </w:r>
            <w:r>
              <w:rPr>
                <w:rFonts w:hint="eastAsia"/>
              </w:rPr>
              <w:br w:type="textWrapping"/>
            </w:r>
            <w:r>
              <w:rPr>
                <w:rStyle w:val="11"/>
                <w:rFonts w:hint="eastAsia"/>
              </w:rPr>
              <w:t>本品可显著提高作物叶片叶绿素、可溶性蛋白和植物碳水化合物的含量，提高超氧歧化酶的活性，增加叶片的光合效率，制造更多的营养物质向块根块茎输送。对马铃薯生产有较好的调节作用。</w:t>
            </w:r>
          </w:p>
        </w:tc>
      </w:tr>
      <w:tr w14:paraId="0D6DC885">
        <w:tblPrEx>
          <w:tblCellMar>
            <w:top w:w="0" w:type="dxa"/>
            <w:left w:w="0" w:type="dxa"/>
            <w:bottom w:w="0" w:type="dxa"/>
            <w:right w:w="0" w:type="dxa"/>
          </w:tblCellMar>
        </w:tblPrEx>
        <w:trPr>
          <w:wBefore w:w="0" w:type="auto"/>
          <w:tblCellSpacing w:w="0" w:type="dxa"/>
        </w:trPr>
        <w:tc>
          <w:tcPr>
            <w:tcW w:w="0" w:type="auto"/>
            <w:noWrap w:val="0"/>
            <w:vAlign w:val="center"/>
          </w:tcPr>
          <w:p w14:paraId="4E0A6D40">
            <w:r>
              <w:rPr>
                <w:rStyle w:val="10"/>
                <w:rFonts w:hint="eastAsia"/>
              </w:rPr>
              <w:t>注意事项：</w:t>
            </w:r>
            <w:r>
              <w:rPr>
                <w:rFonts w:hint="eastAsia"/>
              </w:rPr>
              <w:br w:type="textWrapping"/>
            </w:r>
            <w:r>
              <w:rPr>
                <w:rStyle w:val="11"/>
                <w:rFonts w:hint="eastAsia"/>
              </w:rPr>
              <w:t>1. 不宜与碱性物质混合，可与弱酸性及中性农药混用。 2. 施用本品后，田间施肥和其它管理仍需照常进行。 3. 不宜施在弱势植株上。 4. 使用时小心开启，防止药液污染皮肤和眼睛，包装物应妥善处理。 5. 使用本品时应穿防护服和戴手套，避免吸入药液。施药期间不可吃东西和饮水。施药后应及时洗手和洗脸。 6. 本品对蜜蜂、鱼类等水生生物、家蚕有毒，施药期间应避免对周围蜂群的影响，禁止在开花植物花期、蚕室和桑园附近使用。远离水产养殖区、河塘等水域施药。赤眼蜂等天敌放飞区域禁用。 7. 禁止在河塘等水体中清洗施药器具。用过的容器应妥善处理，不可做他用，也不可随意丢弃。 8. 孕妇及哺乳期妇女避免接触本品。</w:t>
            </w:r>
          </w:p>
        </w:tc>
      </w:tr>
      <w:tr w14:paraId="1FBC525F">
        <w:tblPrEx>
          <w:tblCellMar>
            <w:top w:w="0" w:type="dxa"/>
            <w:left w:w="0" w:type="dxa"/>
            <w:bottom w:w="0" w:type="dxa"/>
            <w:right w:w="0" w:type="dxa"/>
          </w:tblCellMar>
        </w:tblPrEx>
        <w:trPr>
          <w:wBefore w:w="0" w:type="auto"/>
          <w:tblCellSpacing w:w="0" w:type="dxa"/>
        </w:trPr>
        <w:tc>
          <w:tcPr>
            <w:tcW w:w="0" w:type="auto"/>
            <w:noWrap w:val="0"/>
            <w:vAlign w:val="center"/>
          </w:tcPr>
          <w:p w14:paraId="719DCBF0">
            <w:r>
              <w:rPr>
                <w:rStyle w:val="10"/>
                <w:rFonts w:hint="eastAsia"/>
              </w:rPr>
              <w:t>中毒急救措施：</w:t>
            </w:r>
            <w:r>
              <w:rPr>
                <w:rFonts w:hint="eastAsia"/>
              </w:rPr>
              <w:br w:type="textWrapping"/>
            </w:r>
            <w:r>
              <w:rPr>
                <w:rStyle w:val="11"/>
                <w:rFonts w:hint="eastAsia"/>
              </w:rPr>
              <w:t xml:space="preserve">中毒症状：本品低毒，无明显中毒症状。 急救措施：使用中或使用后如感觉不适，应立即停止工作，采取急救措施，携带本标签到医院就诊，无专用解毒剂，请对症治疗。 1. 皮肤接触：脱掉被污染的衣物，用软布去除沾染农药，用大量清水和肥皂清洗。2. 眼睛溅入：立即将眼睑翻开，用清水冲洗15-20分钟，再请医生诊治。3. 吸入：立即离开施药现场，转移到空气清新处。4. 误服：立即停止服用，用清水充分漱口后，立即携带农药标签到医院就诊。 </w:t>
            </w:r>
          </w:p>
        </w:tc>
      </w:tr>
      <w:tr w14:paraId="676E945B">
        <w:tblPrEx>
          <w:tblCellMar>
            <w:top w:w="0" w:type="dxa"/>
            <w:left w:w="0" w:type="dxa"/>
            <w:bottom w:w="0" w:type="dxa"/>
            <w:right w:w="0" w:type="dxa"/>
          </w:tblCellMar>
        </w:tblPrEx>
        <w:trPr>
          <w:wBefore w:w="0" w:type="auto"/>
          <w:tblCellSpacing w:w="0" w:type="dxa"/>
        </w:trPr>
        <w:tc>
          <w:tcPr>
            <w:tcW w:w="0" w:type="auto"/>
            <w:noWrap w:val="0"/>
            <w:vAlign w:val="center"/>
          </w:tcPr>
          <w:p w14:paraId="48D04F05">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本品应贮存在干燥、阴凉、通风、防雨处，远离火源或热源。置于儿童、无关人员及动物触及不到之处，并加锁。勿与食品、饮料、粮食、饲料等其他商品同贮同运。</w:t>
            </w:r>
          </w:p>
        </w:tc>
      </w:tr>
      <w:tr w14:paraId="5B56FAF5">
        <w:tblPrEx>
          <w:tblCellMar>
            <w:top w:w="0" w:type="dxa"/>
            <w:left w:w="0" w:type="dxa"/>
            <w:bottom w:w="0" w:type="dxa"/>
            <w:right w:w="0" w:type="dxa"/>
          </w:tblCellMar>
        </w:tblPrEx>
        <w:trPr>
          <w:wBefore w:w="0" w:type="auto"/>
          <w:tblCellSpacing w:w="0" w:type="dxa"/>
        </w:trPr>
        <w:tc>
          <w:tcPr>
            <w:tcW w:w="0" w:type="auto"/>
            <w:noWrap w:val="0"/>
            <w:vAlign w:val="center"/>
          </w:tcPr>
          <w:p w14:paraId="16667DEB">
            <w:r>
              <w:rPr>
                <w:rStyle w:val="10"/>
                <w:rFonts w:hint="eastAsia"/>
              </w:rPr>
              <w:t>质量保证期：</w:t>
            </w:r>
            <w:r>
              <w:rPr>
                <w:rStyle w:val="11"/>
                <w:rFonts w:hint="eastAsia"/>
              </w:rPr>
              <w:t>2年</w:t>
            </w:r>
          </w:p>
        </w:tc>
      </w:tr>
      <w:tr w14:paraId="50B14431">
        <w:tblPrEx>
          <w:tblCellMar>
            <w:top w:w="0" w:type="dxa"/>
            <w:left w:w="0" w:type="dxa"/>
            <w:bottom w:w="0" w:type="dxa"/>
            <w:right w:w="0" w:type="dxa"/>
          </w:tblCellMar>
        </w:tblPrEx>
        <w:trPr>
          <w:wBefore w:w="0" w:type="auto"/>
          <w:tblCellSpacing w:w="0" w:type="dxa"/>
        </w:trPr>
        <w:tc>
          <w:tcPr>
            <w:tcW w:w="0" w:type="auto"/>
            <w:noWrap w:val="0"/>
            <w:vAlign w:val="center"/>
          </w:tcPr>
          <w:p w14:paraId="514A7196">
            <w:r>
              <w:rPr>
                <w:rStyle w:val="10"/>
                <w:rFonts w:hint="eastAsia"/>
              </w:rPr>
              <w:t>备注：</w:t>
            </w:r>
          </w:p>
        </w:tc>
      </w:tr>
    </w:tbl>
    <w:p w14:paraId="3203931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836721">
        <w:tblPrEx>
          <w:tblCellMar>
            <w:top w:w="0" w:type="dxa"/>
            <w:left w:w="0" w:type="dxa"/>
            <w:bottom w:w="0" w:type="dxa"/>
            <w:right w:w="0" w:type="dxa"/>
          </w:tblCellMar>
        </w:tblPrEx>
        <w:trPr>
          <w:wBefore w:w="0" w:type="auto"/>
          <w:tblCellSpacing w:w="0" w:type="dxa"/>
        </w:trPr>
        <w:tc>
          <w:tcPr>
            <w:tcW w:w="0" w:type="auto"/>
            <w:noWrap w:val="0"/>
            <w:vAlign w:val="center"/>
          </w:tcPr>
          <w:p w14:paraId="195D6BE6">
            <w:r>
              <w:rPr>
                <w:rStyle w:val="10"/>
                <w:rFonts w:hint="eastAsia"/>
              </w:rPr>
              <w:t>登记证号：</w:t>
            </w:r>
            <w:r>
              <w:rPr>
                <w:rFonts w:hint="eastAsia"/>
              </w:rPr>
              <w:t>PD20212009</w:t>
            </w:r>
          </w:p>
        </w:tc>
      </w:tr>
      <w:tr w14:paraId="5ABFA33F">
        <w:tblPrEx>
          <w:tblCellMar>
            <w:top w:w="0" w:type="dxa"/>
            <w:left w:w="0" w:type="dxa"/>
            <w:bottom w:w="0" w:type="dxa"/>
            <w:right w:w="0" w:type="dxa"/>
          </w:tblCellMar>
        </w:tblPrEx>
        <w:trPr>
          <w:wBefore w:w="0" w:type="auto"/>
          <w:tblCellSpacing w:w="0" w:type="dxa"/>
        </w:trPr>
        <w:tc>
          <w:tcPr>
            <w:tcW w:w="0" w:type="auto"/>
            <w:noWrap w:val="0"/>
            <w:vAlign w:val="center"/>
          </w:tcPr>
          <w:p w14:paraId="78284F9C">
            <w:r>
              <w:rPr>
                <w:rStyle w:val="10"/>
                <w:rFonts w:hint="eastAsia"/>
              </w:rPr>
              <w:t>登记证持有人：</w:t>
            </w:r>
            <w:r>
              <w:rPr>
                <w:rFonts w:hint="eastAsia"/>
              </w:rPr>
              <w:t>河北野田农用化学有限公司</w:t>
            </w:r>
          </w:p>
        </w:tc>
      </w:tr>
      <w:tr w14:paraId="59F96FFE">
        <w:tblPrEx>
          <w:tblCellMar>
            <w:top w:w="0" w:type="dxa"/>
            <w:left w:w="0" w:type="dxa"/>
            <w:bottom w:w="0" w:type="dxa"/>
            <w:right w:w="0" w:type="dxa"/>
          </w:tblCellMar>
        </w:tblPrEx>
        <w:trPr>
          <w:wBefore w:w="0" w:type="auto"/>
          <w:tblCellSpacing w:w="0" w:type="dxa"/>
        </w:trPr>
        <w:tc>
          <w:tcPr>
            <w:tcW w:w="0" w:type="auto"/>
            <w:noWrap w:val="0"/>
            <w:vAlign w:val="center"/>
          </w:tcPr>
          <w:p w14:paraId="75B010C9">
            <w:r>
              <w:rPr>
                <w:rStyle w:val="10"/>
                <w:rFonts w:hint="eastAsia"/>
              </w:rPr>
              <w:t>农药名称：</w:t>
            </w:r>
            <w:r>
              <w:rPr>
                <w:rFonts w:hint="eastAsia"/>
              </w:rPr>
              <w:t>烯酰·吡唑酯</w:t>
            </w:r>
          </w:p>
        </w:tc>
      </w:tr>
      <w:tr w14:paraId="7493D60C">
        <w:tblPrEx>
          <w:tblCellMar>
            <w:top w:w="0" w:type="dxa"/>
            <w:left w:w="0" w:type="dxa"/>
            <w:bottom w:w="0" w:type="dxa"/>
            <w:right w:w="0" w:type="dxa"/>
          </w:tblCellMar>
        </w:tblPrEx>
        <w:trPr>
          <w:wBefore w:w="0" w:type="auto"/>
          <w:tblCellSpacing w:w="0" w:type="dxa"/>
        </w:trPr>
        <w:tc>
          <w:tcPr>
            <w:tcW w:w="0" w:type="auto"/>
            <w:noWrap w:val="0"/>
            <w:vAlign w:val="center"/>
          </w:tcPr>
          <w:p w14:paraId="13BAD9D2">
            <w:r>
              <w:rPr>
                <w:rStyle w:val="10"/>
                <w:rFonts w:hint="eastAsia"/>
              </w:rPr>
              <w:t>剂型：</w:t>
            </w:r>
            <w:r>
              <w:rPr>
                <w:rFonts w:hint="eastAsia"/>
              </w:rPr>
              <w:t>水分散粒剂</w:t>
            </w:r>
          </w:p>
        </w:tc>
      </w:tr>
      <w:tr w14:paraId="4B59D431">
        <w:tblPrEx>
          <w:tblCellMar>
            <w:top w:w="0" w:type="dxa"/>
            <w:left w:w="0" w:type="dxa"/>
            <w:bottom w:w="0" w:type="dxa"/>
            <w:right w:w="0" w:type="dxa"/>
          </w:tblCellMar>
        </w:tblPrEx>
        <w:trPr>
          <w:wBefore w:w="0" w:type="auto"/>
          <w:tblCellSpacing w:w="0" w:type="dxa"/>
        </w:trPr>
        <w:tc>
          <w:tcPr>
            <w:tcW w:w="0" w:type="auto"/>
            <w:noWrap w:val="0"/>
            <w:vAlign w:val="center"/>
          </w:tcPr>
          <w:p w14:paraId="186C34F8">
            <w:r>
              <w:rPr>
                <w:rStyle w:val="10"/>
                <w:rFonts w:hint="eastAsia"/>
              </w:rPr>
              <w:t>毒性及其标识：</w:t>
            </w:r>
            <w:r>
              <w:rPr>
                <w:rFonts w:hint="eastAsia"/>
              </w:rPr>
              <w:t xml:space="preserve"> </w:t>
            </w:r>
            <w:r>
              <w:rPr>
                <w:lang/>
              </w:rPr>
              <w:drawing>
                <wp:inline distT="0" distB="0" distL="114300" distR="114300">
                  <wp:extent cx="476250" cy="323850"/>
                  <wp:effectExtent l="0" t="0" r="0" b="0"/>
                  <wp:docPr id="118" name="图片 11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0CD5D44">
        <w:tblPrEx>
          <w:tblCellMar>
            <w:top w:w="0" w:type="dxa"/>
            <w:left w:w="0" w:type="dxa"/>
            <w:bottom w:w="0" w:type="dxa"/>
            <w:right w:w="0" w:type="dxa"/>
          </w:tblCellMar>
        </w:tblPrEx>
        <w:trPr>
          <w:wBefore w:w="0" w:type="auto"/>
          <w:tblCellSpacing w:w="0" w:type="dxa"/>
        </w:trPr>
        <w:tc>
          <w:tcPr>
            <w:tcW w:w="0" w:type="auto"/>
            <w:noWrap w:val="0"/>
            <w:vAlign w:val="center"/>
          </w:tcPr>
          <w:p w14:paraId="6F18136A">
            <w:r>
              <w:rPr>
                <w:rStyle w:val="10"/>
                <w:rFonts w:hint="eastAsia"/>
              </w:rPr>
              <w:t>总有效成分含量：</w:t>
            </w:r>
            <w:r>
              <w:rPr>
                <w:rFonts w:hint="eastAsia"/>
              </w:rPr>
              <w:t>18.7%</w:t>
            </w:r>
          </w:p>
        </w:tc>
      </w:tr>
      <w:tr w14:paraId="7E54D32D">
        <w:tblPrEx>
          <w:tblCellMar>
            <w:top w:w="0" w:type="dxa"/>
            <w:left w:w="0" w:type="dxa"/>
            <w:bottom w:w="0" w:type="dxa"/>
            <w:right w:w="0" w:type="dxa"/>
          </w:tblCellMar>
        </w:tblPrEx>
        <w:trPr>
          <w:wBefore w:w="0" w:type="auto"/>
          <w:tblCellSpacing w:w="0" w:type="dxa"/>
        </w:trPr>
        <w:tc>
          <w:tcPr>
            <w:tcW w:w="0" w:type="auto"/>
            <w:noWrap w:val="0"/>
            <w:vAlign w:val="center"/>
          </w:tcPr>
          <w:p w14:paraId="538D03C4">
            <w:r>
              <w:rPr>
                <w:rFonts w:hint="eastAsia"/>
              </w:rPr>
              <w:t xml:space="preserve">有效成分及其含量： </w:t>
            </w:r>
          </w:p>
          <w:p w14:paraId="3FBA1081">
            <w:r>
              <w:rPr>
                <w:rFonts w:hint="eastAsia"/>
              </w:rPr>
              <w:t xml:space="preserve">    吡唑醚菌酯6.7%    烯酰吗啉12%    </w:t>
            </w:r>
          </w:p>
        </w:tc>
      </w:tr>
      <w:tr w14:paraId="05DA468A">
        <w:tblPrEx>
          <w:tblCellMar>
            <w:top w:w="0" w:type="dxa"/>
            <w:left w:w="0" w:type="dxa"/>
            <w:bottom w:w="0" w:type="dxa"/>
            <w:right w:w="0" w:type="dxa"/>
          </w:tblCellMar>
        </w:tblPrEx>
        <w:trPr>
          <w:wBefore w:w="0" w:type="auto"/>
          <w:tblCellSpacing w:w="0" w:type="dxa"/>
        </w:trPr>
        <w:tc>
          <w:tcPr>
            <w:tcW w:w="0" w:type="auto"/>
            <w:noWrap w:val="0"/>
            <w:vAlign w:val="center"/>
          </w:tcPr>
          <w:p w14:paraId="5D04E54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A761F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37EA44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B03CC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C47747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A56B002">
                  <w:r>
                    <w:rPr>
                      <w:rStyle w:val="11"/>
                      <w:rFonts w:hint="eastAsia"/>
                    </w:rPr>
                    <w:t>施用方式</w:t>
                  </w:r>
                </w:p>
              </w:tc>
            </w:tr>
            <w:tr w14:paraId="253B1C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8DFFE4">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810548">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DE2982">
                  <w:r>
                    <w:rPr>
                      <w:rStyle w:val="11"/>
                      <w:rFonts w:hint="eastAsia"/>
                    </w:rPr>
                    <w:t>75-125克/亩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C2EB7B">
                  <w:r>
                    <w:rPr>
                      <w:rStyle w:val="11"/>
                      <w:rFonts w:hint="eastAsia"/>
                    </w:rPr>
                    <w:t>喷雾</w:t>
                  </w:r>
                </w:p>
              </w:tc>
            </w:tr>
          </w:tbl>
          <w:p w14:paraId="30694C39">
            <w:pPr>
              <w:rPr>
                <w:rFonts w:ascii="Times New Roman" w:hAnsi="Times New Roman" w:cs="Times New Roman"/>
                <w:sz w:val="20"/>
                <w:szCs w:val="20"/>
              </w:rPr>
            </w:pPr>
          </w:p>
        </w:tc>
      </w:tr>
      <w:tr w14:paraId="59AF2085">
        <w:tblPrEx>
          <w:tblCellMar>
            <w:top w:w="0" w:type="dxa"/>
            <w:left w:w="0" w:type="dxa"/>
            <w:bottom w:w="0" w:type="dxa"/>
            <w:right w:w="0" w:type="dxa"/>
          </w:tblCellMar>
        </w:tblPrEx>
        <w:trPr>
          <w:wBefore w:w="0" w:type="auto"/>
          <w:tblCellSpacing w:w="0" w:type="dxa"/>
        </w:trPr>
        <w:tc>
          <w:tcPr>
            <w:tcW w:w="0" w:type="auto"/>
            <w:noWrap w:val="0"/>
            <w:vAlign w:val="center"/>
          </w:tcPr>
          <w:p w14:paraId="365DFC80">
            <w:r>
              <w:rPr>
                <w:rStyle w:val="10"/>
                <w:rFonts w:hint="eastAsia"/>
              </w:rPr>
              <w:t>使用技术要求:</w:t>
            </w:r>
            <w:r>
              <w:rPr>
                <w:rFonts w:hint="eastAsia"/>
              </w:rPr>
              <w:br w:type="textWrapping"/>
            </w:r>
            <w:r>
              <w:rPr>
                <w:rStyle w:val="11"/>
                <w:rFonts w:hint="eastAsia"/>
              </w:rPr>
              <w:t>1. 发病前或初期用药，发病前作预防处理时使用低剂量；发病后作治疗处理时使用高剂量。 2、根据天气情况和病害发生程度，隔7-10天左右施药一次，可连续使用2-3次。3、大风天或预计1小时内降雨，请勿施药。4.在黄瓜的安全间隔期为3天，每季作物最多使用3次。</w:t>
            </w:r>
          </w:p>
        </w:tc>
      </w:tr>
      <w:tr w14:paraId="02635EC1">
        <w:tblPrEx>
          <w:tblCellMar>
            <w:top w:w="0" w:type="dxa"/>
            <w:left w:w="0" w:type="dxa"/>
            <w:bottom w:w="0" w:type="dxa"/>
            <w:right w:w="0" w:type="dxa"/>
          </w:tblCellMar>
        </w:tblPrEx>
        <w:trPr>
          <w:wBefore w:w="0" w:type="auto"/>
          <w:tblCellSpacing w:w="0" w:type="dxa"/>
        </w:trPr>
        <w:tc>
          <w:tcPr>
            <w:tcW w:w="0" w:type="auto"/>
            <w:noWrap w:val="0"/>
            <w:vAlign w:val="center"/>
          </w:tcPr>
          <w:p w14:paraId="47DCF184">
            <w:r>
              <w:rPr>
                <w:rStyle w:val="10"/>
                <w:rFonts w:hint="eastAsia"/>
              </w:rPr>
              <w:t>产品性能:</w:t>
            </w:r>
            <w:r>
              <w:rPr>
                <w:rFonts w:hint="eastAsia"/>
              </w:rPr>
              <w:br w:type="textWrapping"/>
            </w:r>
            <w:r>
              <w:rPr>
                <w:rStyle w:val="11"/>
                <w:rFonts w:hint="eastAsia"/>
              </w:rPr>
              <w:t>吡唑醚菌酯为甲氧丙烯酸酯类杀菌剂，通过阻碍细胞色素之间的电子传递来抑制线粒体呼吸作用，具有良好的保护和治疗作用。烯酰吗啉是专一的卵菌纲杀菌剂，二者作用机制不同，混配后，具有预防、保护、治疗、铲除、渗透、内吸及耐雨水冲刷作用，可以有效防治黄瓜霜霉病。</w:t>
            </w:r>
          </w:p>
        </w:tc>
      </w:tr>
      <w:tr w14:paraId="63FAF04D">
        <w:tblPrEx>
          <w:tblCellMar>
            <w:top w:w="0" w:type="dxa"/>
            <w:left w:w="0" w:type="dxa"/>
            <w:bottom w:w="0" w:type="dxa"/>
            <w:right w:w="0" w:type="dxa"/>
          </w:tblCellMar>
        </w:tblPrEx>
        <w:trPr>
          <w:wBefore w:w="0" w:type="auto"/>
          <w:tblCellSpacing w:w="0" w:type="dxa"/>
        </w:trPr>
        <w:tc>
          <w:tcPr>
            <w:tcW w:w="0" w:type="auto"/>
            <w:noWrap w:val="0"/>
            <w:vAlign w:val="center"/>
          </w:tcPr>
          <w:p w14:paraId="31134557">
            <w:r>
              <w:rPr>
                <w:rStyle w:val="10"/>
                <w:rFonts w:hint="eastAsia"/>
              </w:rPr>
              <w:t>注意事项：</w:t>
            </w:r>
            <w:r>
              <w:rPr>
                <w:rFonts w:hint="eastAsia"/>
              </w:rPr>
              <w:br w:type="textWrapping"/>
            </w:r>
            <w:r>
              <w:rPr>
                <w:rStyle w:val="11"/>
                <w:rFonts w:hint="eastAsia"/>
              </w:rPr>
              <w:t>1. 本品每季作物最多使用3次，在黄瓜上的安全间隔期为3天。2. 本品对蜜蜂、鱼类等水生生物、家蚕有毒，开花植物物花期、蚕室及桑园附近禁用；远离水产养殖区、河塘等水体附近施药，禁止在河塘等水体中清洗施药器具。 3. 本品对眼睛有刺激性，使用时避免接触眼睛，穿戴长衣、长裤、帽子、口罩、手套等防护措施。避免皮肤接触及口鼻吸入。使用中不可吸烟、饮水及吃东西，使用后应及时清洗手、脸等暴露部位皮肤并更换衣物。 4. 建议与其他不同作用机制的杀菌剂轮换使用，以延缓抗性产生。5. 用过的容器应妥善处理，不可做他用，也不可随意丢弃。 6. 避免孕妇及哺乳期妇女接触。7. 本品不可与呈碱性的农药等物质混合使用。</w:t>
            </w:r>
          </w:p>
        </w:tc>
      </w:tr>
      <w:tr w14:paraId="6F44730C">
        <w:tblPrEx>
          <w:tblCellMar>
            <w:top w:w="0" w:type="dxa"/>
            <w:left w:w="0" w:type="dxa"/>
            <w:bottom w:w="0" w:type="dxa"/>
            <w:right w:w="0" w:type="dxa"/>
          </w:tblCellMar>
        </w:tblPrEx>
        <w:trPr>
          <w:wBefore w:w="0" w:type="auto"/>
          <w:tblCellSpacing w:w="0" w:type="dxa"/>
        </w:trPr>
        <w:tc>
          <w:tcPr>
            <w:tcW w:w="0" w:type="auto"/>
            <w:noWrap w:val="0"/>
            <w:vAlign w:val="center"/>
          </w:tcPr>
          <w:p w14:paraId="38FCA931">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1、皮肤接触：脱去污染的衣物，用软布去除沾染农药，立即用大量清水和肥皂冲洗。2、眼睛溅入：立即用流动的清水冲洗至少15分钟。3、吸入：立即离开施药现场，转移至空气清新处。4、误食：立即停止服用，用清水充分漱口后，立即携带农药标签到医院就诊。5、无专用解毒剂，对症治疗。</w:t>
            </w:r>
          </w:p>
        </w:tc>
      </w:tr>
      <w:tr w14:paraId="11439AFB">
        <w:tblPrEx>
          <w:tblCellMar>
            <w:top w:w="0" w:type="dxa"/>
            <w:left w:w="0" w:type="dxa"/>
            <w:bottom w:w="0" w:type="dxa"/>
            <w:right w:w="0" w:type="dxa"/>
          </w:tblCellMar>
        </w:tblPrEx>
        <w:trPr>
          <w:wBefore w:w="0" w:type="auto"/>
          <w:tblCellSpacing w:w="0" w:type="dxa"/>
        </w:trPr>
        <w:tc>
          <w:tcPr>
            <w:tcW w:w="0" w:type="auto"/>
            <w:noWrap w:val="0"/>
            <w:vAlign w:val="center"/>
          </w:tcPr>
          <w:p w14:paraId="0A1B5A5E">
            <w:r>
              <w:rPr>
                <w:rStyle w:val="10"/>
                <w:rFonts w:hint="eastAsia"/>
              </w:rPr>
              <w:t>储存和运输方法：</w:t>
            </w:r>
            <w:r>
              <w:rPr>
                <w:rFonts w:hint="eastAsia"/>
              </w:rPr>
              <w:br w:type="textWrapping"/>
            </w:r>
            <w:r>
              <w:rPr>
                <w:rStyle w:val="11"/>
                <w:rFonts w:hint="eastAsia"/>
              </w:rPr>
              <w:t>1. 本品应贮放在阴凉、干燥、通风、防雨处，远离火源或热源。 2. 本品应置于儿童、无关人员接触不到的地方，并加锁保存。 3. 勿与食品、饮料、饲料、粮食等同贮同运。</w:t>
            </w:r>
          </w:p>
        </w:tc>
      </w:tr>
      <w:tr w14:paraId="7247D896">
        <w:tblPrEx>
          <w:tblCellMar>
            <w:top w:w="0" w:type="dxa"/>
            <w:left w:w="0" w:type="dxa"/>
            <w:bottom w:w="0" w:type="dxa"/>
            <w:right w:w="0" w:type="dxa"/>
          </w:tblCellMar>
        </w:tblPrEx>
        <w:trPr>
          <w:wBefore w:w="0" w:type="auto"/>
          <w:tblCellSpacing w:w="0" w:type="dxa"/>
        </w:trPr>
        <w:tc>
          <w:tcPr>
            <w:tcW w:w="0" w:type="auto"/>
            <w:noWrap w:val="0"/>
            <w:vAlign w:val="center"/>
          </w:tcPr>
          <w:p w14:paraId="67978D75">
            <w:r>
              <w:rPr>
                <w:rStyle w:val="10"/>
                <w:rFonts w:hint="eastAsia"/>
              </w:rPr>
              <w:t>质量保证期：</w:t>
            </w:r>
            <w:r>
              <w:rPr>
                <w:rStyle w:val="11"/>
                <w:rFonts w:hint="eastAsia"/>
              </w:rPr>
              <w:t>2年</w:t>
            </w:r>
          </w:p>
        </w:tc>
      </w:tr>
      <w:tr w14:paraId="5D0C339F">
        <w:tblPrEx>
          <w:tblCellMar>
            <w:top w:w="0" w:type="dxa"/>
            <w:left w:w="0" w:type="dxa"/>
            <w:bottom w:w="0" w:type="dxa"/>
            <w:right w:w="0" w:type="dxa"/>
          </w:tblCellMar>
        </w:tblPrEx>
        <w:trPr>
          <w:wBefore w:w="0" w:type="auto"/>
          <w:tblCellSpacing w:w="0" w:type="dxa"/>
        </w:trPr>
        <w:tc>
          <w:tcPr>
            <w:tcW w:w="0" w:type="auto"/>
            <w:noWrap w:val="0"/>
            <w:vAlign w:val="center"/>
          </w:tcPr>
          <w:p w14:paraId="4457E56C">
            <w:r>
              <w:rPr>
                <w:rStyle w:val="10"/>
                <w:rFonts w:hint="eastAsia"/>
              </w:rPr>
              <w:t>备注：</w:t>
            </w:r>
          </w:p>
        </w:tc>
      </w:tr>
    </w:tbl>
    <w:p w14:paraId="7BE1ADF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B6B0D69">
        <w:tblPrEx>
          <w:tblCellMar>
            <w:top w:w="0" w:type="dxa"/>
            <w:left w:w="0" w:type="dxa"/>
            <w:bottom w:w="0" w:type="dxa"/>
            <w:right w:w="0" w:type="dxa"/>
          </w:tblCellMar>
        </w:tblPrEx>
        <w:trPr>
          <w:wBefore w:w="0" w:type="auto"/>
          <w:tblCellSpacing w:w="0" w:type="dxa"/>
        </w:trPr>
        <w:tc>
          <w:tcPr>
            <w:tcW w:w="0" w:type="auto"/>
            <w:noWrap w:val="0"/>
            <w:vAlign w:val="center"/>
          </w:tcPr>
          <w:p w14:paraId="4D198F06">
            <w:r>
              <w:rPr>
                <w:rStyle w:val="10"/>
                <w:rFonts w:hint="eastAsia"/>
              </w:rPr>
              <w:t>登记证号：</w:t>
            </w:r>
            <w:r>
              <w:rPr>
                <w:rFonts w:hint="eastAsia"/>
              </w:rPr>
              <w:t>PD20212179</w:t>
            </w:r>
          </w:p>
        </w:tc>
      </w:tr>
      <w:tr w14:paraId="75944F22">
        <w:tblPrEx>
          <w:tblCellMar>
            <w:top w:w="0" w:type="dxa"/>
            <w:left w:w="0" w:type="dxa"/>
            <w:bottom w:w="0" w:type="dxa"/>
            <w:right w:w="0" w:type="dxa"/>
          </w:tblCellMar>
        </w:tblPrEx>
        <w:trPr>
          <w:wBefore w:w="0" w:type="auto"/>
          <w:tblCellSpacing w:w="0" w:type="dxa"/>
        </w:trPr>
        <w:tc>
          <w:tcPr>
            <w:tcW w:w="0" w:type="auto"/>
            <w:noWrap w:val="0"/>
            <w:vAlign w:val="center"/>
          </w:tcPr>
          <w:p w14:paraId="70B938B3">
            <w:r>
              <w:rPr>
                <w:rStyle w:val="10"/>
                <w:rFonts w:hint="eastAsia"/>
              </w:rPr>
              <w:t>登记证持有人：</w:t>
            </w:r>
            <w:r>
              <w:rPr>
                <w:rFonts w:hint="eastAsia"/>
              </w:rPr>
              <w:t>广西恒丰化工有限公司</w:t>
            </w:r>
          </w:p>
        </w:tc>
      </w:tr>
      <w:tr w14:paraId="4D95081F">
        <w:tblPrEx>
          <w:tblCellMar>
            <w:top w:w="0" w:type="dxa"/>
            <w:left w:w="0" w:type="dxa"/>
            <w:bottom w:w="0" w:type="dxa"/>
            <w:right w:w="0" w:type="dxa"/>
          </w:tblCellMar>
        </w:tblPrEx>
        <w:trPr>
          <w:wBefore w:w="0" w:type="auto"/>
          <w:tblCellSpacing w:w="0" w:type="dxa"/>
        </w:trPr>
        <w:tc>
          <w:tcPr>
            <w:tcW w:w="0" w:type="auto"/>
            <w:noWrap w:val="0"/>
            <w:vAlign w:val="center"/>
          </w:tcPr>
          <w:p w14:paraId="6EB82A80">
            <w:r>
              <w:rPr>
                <w:rStyle w:val="10"/>
                <w:rFonts w:hint="eastAsia"/>
              </w:rPr>
              <w:t>农药名称：</w:t>
            </w:r>
            <w:r>
              <w:rPr>
                <w:rFonts w:hint="eastAsia"/>
              </w:rPr>
              <w:t>草铵膦</w:t>
            </w:r>
          </w:p>
        </w:tc>
      </w:tr>
      <w:tr w14:paraId="0A37DA68">
        <w:tblPrEx>
          <w:tblCellMar>
            <w:top w:w="0" w:type="dxa"/>
            <w:left w:w="0" w:type="dxa"/>
            <w:bottom w:w="0" w:type="dxa"/>
            <w:right w:w="0" w:type="dxa"/>
          </w:tblCellMar>
        </w:tblPrEx>
        <w:trPr>
          <w:wBefore w:w="0" w:type="auto"/>
          <w:tblCellSpacing w:w="0" w:type="dxa"/>
        </w:trPr>
        <w:tc>
          <w:tcPr>
            <w:tcW w:w="0" w:type="auto"/>
            <w:noWrap w:val="0"/>
            <w:vAlign w:val="center"/>
          </w:tcPr>
          <w:p w14:paraId="6477F3D6">
            <w:r>
              <w:rPr>
                <w:rStyle w:val="10"/>
                <w:rFonts w:hint="eastAsia"/>
              </w:rPr>
              <w:t>剂型：</w:t>
            </w:r>
            <w:r>
              <w:rPr>
                <w:rFonts w:hint="eastAsia"/>
              </w:rPr>
              <w:t>可溶液剂</w:t>
            </w:r>
          </w:p>
        </w:tc>
      </w:tr>
      <w:tr w14:paraId="3912BF62">
        <w:tblPrEx>
          <w:tblCellMar>
            <w:top w:w="0" w:type="dxa"/>
            <w:left w:w="0" w:type="dxa"/>
            <w:bottom w:w="0" w:type="dxa"/>
            <w:right w:w="0" w:type="dxa"/>
          </w:tblCellMar>
        </w:tblPrEx>
        <w:trPr>
          <w:wBefore w:w="0" w:type="auto"/>
          <w:tblCellSpacing w:w="0" w:type="dxa"/>
        </w:trPr>
        <w:tc>
          <w:tcPr>
            <w:tcW w:w="0" w:type="auto"/>
            <w:noWrap w:val="0"/>
            <w:vAlign w:val="center"/>
          </w:tcPr>
          <w:p w14:paraId="7DCBB66E">
            <w:r>
              <w:rPr>
                <w:rStyle w:val="10"/>
                <w:rFonts w:hint="eastAsia"/>
              </w:rPr>
              <w:t>毒性及其标识：</w:t>
            </w:r>
            <w:r>
              <w:rPr>
                <w:rFonts w:hint="eastAsia"/>
              </w:rPr>
              <w:t xml:space="preserve"> </w:t>
            </w:r>
            <w:r>
              <w:rPr>
                <w:lang/>
              </w:rPr>
              <w:drawing>
                <wp:inline distT="0" distB="0" distL="114300" distR="114300">
                  <wp:extent cx="476250" cy="323850"/>
                  <wp:effectExtent l="0" t="0" r="0" b="0"/>
                  <wp:docPr id="119" name="图片 11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EEB123A">
        <w:tblPrEx>
          <w:tblCellMar>
            <w:top w:w="0" w:type="dxa"/>
            <w:left w:w="0" w:type="dxa"/>
            <w:bottom w:w="0" w:type="dxa"/>
            <w:right w:w="0" w:type="dxa"/>
          </w:tblCellMar>
        </w:tblPrEx>
        <w:trPr>
          <w:wBefore w:w="0" w:type="auto"/>
          <w:tblCellSpacing w:w="0" w:type="dxa"/>
        </w:trPr>
        <w:tc>
          <w:tcPr>
            <w:tcW w:w="0" w:type="auto"/>
            <w:noWrap w:val="0"/>
            <w:vAlign w:val="center"/>
          </w:tcPr>
          <w:p w14:paraId="3EDA8ECD">
            <w:r>
              <w:rPr>
                <w:rStyle w:val="10"/>
                <w:rFonts w:hint="eastAsia"/>
              </w:rPr>
              <w:t>总有效成分含量：</w:t>
            </w:r>
            <w:r>
              <w:rPr>
                <w:rFonts w:hint="eastAsia"/>
              </w:rPr>
              <w:t>200克/升</w:t>
            </w:r>
          </w:p>
        </w:tc>
      </w:tr>
      <w:tr w14:paraId="532DCE80">
        <w:tblPrEx>
          <w:tblCellMar>
            <w:top w:w="0" w:type="dxa"/>
            <w:left w:w="0" w:type="dxa"/>
            <w:bottom w:w="0" w:type="dxa"/>
            <w:right w:w="0" w:type="dxa"/>
          </w:tblCellMar>
        </w:tblPrEx>
        <w:trPr>
          <w:wBefore w:w="0" w:type="auto"/>
          <w:tblCellSpacing w:w="0" w:type="dxa"/>
        </w:trPr>
        <w:tc>
          <w:tcPr>
            <w:tcW w:w="0" w:type="auto"/>
            <w:noWrap w:val="0"/>
            <w:vAlign w:val="center"/>
          </w:tcPr>
          <w:p w14:paraId="468EFA5A">
            <w:r>
              <w:rPr>
                <w:rFonts w:hint="eastAsia"/>
              </w:rPr>
              <w:t xml:space="preserve">有效成分及其含量： </w:t>
            </w:r>
          </w:p>
          <w:p w14:paraId="17BFA899">
            <w:r>
              <w:rPr>
                <w:rFonts w:hint="eastAsia"/>
              </w:rPr>
              <w:t xml:space="preserve">    草铵膦200克/升    </w:t>
            </w:r>
          </w:p>
        </w:tc>
      </w:tr>
      <w:tr w14:paraId="2CC01CFE">
        <w:tblPrEx>
          <w:tblCellMar>
            <w:top w:w="0" w:type="dxa"/>
            <w:left w:w="0" w:type="dxa"/>
            <w:bottom w:w="0" w:type="dxa"/>
            <w:right w:w="0" w:type="dxa"/>
          </w:tblCellMar>
        </w:tblPrEx>
        <w:trPr>
          <w:wBefore w:w="0" w:type="auto"/>
          <w:tblCellSpacing w:w="0" w:type="dxa"/>
        </w:trPr>
        <w:tc>
          <w:tcPr>
            <w:tcW w:w="0" w:type="auto"/>
            <w:noWrap w:val="0"/>
            <w:vAlign w:val="center"/>
          </w:tcPr>
          <w:p w14:paraId="2467C50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940E6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717650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B03013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353561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D037E02">
                  <w:r>
                    <w:rPr>
                      <w:rStyle w:val="11"/>
                      <w:rFonts w:hint="eastAsia"/>
                    </w:rPr>
                    <w:t>施用方式</w:t>
                  </w:r>
                </w:p>
              </w:tc>
            </w:tr>
            <w:tr w14:paraId="6E3BA4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66FA4AB">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DE6488">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EE6A4C">
                  <w:r>
                    <w:rPr>
                      <w:rStyle w:val="11"/>
                      <w:rFonts w:hint="eastAsia"/>
                    </w:rPr>
                    <w:t>300-500毫升/亩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3058A7">
                  <w:r>
                    <w:rPr>
                      <w:rStyle w:val="11"/>
                      <w:rFonts w:hint="eastAsia"/>
                    </w:rPr>
                    <w:t>茎叶喷雾</w:t>
                  </w:r>
                </w:p>
              </w:tc>
            </w:tr>
          </w:tbl>
          <w:p w14:paraId="5B6E887D">
            <w:pPr>
              <w:rPr>
                <w:rFonts w:ascii="Times New Roman" w:hAnsi="Times New Roman" w:cs="Times New Roman"/>
                <w:sz w:val="20"/>
                <w:szCs w:val="20"/>
              </w:rPr>
            </w:pPr>
          </w:p>
        </w:tc>
      </w:tr>
      <w:tr w14:paraId="13FEE4AA">
        <w:tblPrEx>
          <w:tblCellMar>
            <w:top w:w="0" w:type="dxa"/>
            <w:left w:w="0" w:type="dxa"/>
            <w:bottom w:w="0" w:type="dxa"/>
            <w:right w:w="0" w:type="dxa"/>
          </w:tblCellMar>
        </w:tblPrEx>
        <w:trPr>
          <w:wBefore w:w="0" w:type="auto"/>
          <w:tblCellSpacing w:w="0" w:type="dxa"/>
        </w:trPr>
        <w:tc>
          <w:tcPr>
            <w:tcW w:w="0" w:type="auto"/>
            <w:noWrap w:val="0"/>
            <w:vAlign w:val="center"/>
          </w:tcPr>
          <w:p w14:paraId="51269D1F">
            <w:r>
              <w:rPr>
                <w:rStyle w:val="10"/>
                <w:rFonts w:hint="eastAsia"/>
              </w:rPr>
              <w:t>使用技术要求:</w:t>
            </w:r>
            <w:r>
              <w:rPr>
                <w:rFonts w:hint="eastAsia"/>
              </w:rPr>
              <w:br w:type="textWrapping"/>
            </w:r>
            <w:r>
              <w:rPr>
                <w:rStyle w:val="11"/>
                <w:rFonts w:hint="eastAsia"/>
              </w:rPr>
              <w:t>1. 在非耕地杂草生长旺盛期采用茎叶喷雾法均匀喷雾1次，避免药液飘移。2.视草情用药，一般性杂草地带施用时建议避免使用高剂量；若杂草数量大且草龄较大，宜采用推荐的高剂量。3.大风天或预计6小时之内有降雨，请勿使用。</w:t>
            </w:r>
          </w:p>
        </w:tc>
      </w:tr>
      <w:tr w14:paraId="3D45C0DF">
        <w:tblPrEx>
          <w:tblCellMar>
            <w:top w:w="0" w:type="dxa"/>
            <w:left w:w="0" w:type="dxa"/>
            <w:bottom w:w="0" w:type="dxa"/>
            <w:right w:w="0" w:type="dxa"/>
          </w:tblCellMar>
        </w:tblPrEx>
        <w:trPr>
          <w:wBefore w:w="0" w:type="auto"/>
          <w:tblCellSpacing w:w="0" w:type="dxa"/>
        </w:trPr>
        <w:tc>
          <w:tcPr>
            <w:tcW w:w="0" w:type="auto"/>
            <w:noWrap w:val="0"/>
            <w:vAlign w:val="center"/>
          </w:tcPr>
          <w:p w14:paraId="370A4B89">
            <w:r>
              <w:rPr>
                <w:rStyle w:val="10"/>
                <w:rFonts w:hint="eastAsia"/>
              </w:rPr>
              <w:t>产品性能:</w:t>
            </w:r>
            <w:r>
              <w:rPr>
                <w:rFonts w:hint="eastAsia"/>
              </w:rPr>
              <w:br w:type="textWrapping"/>
            </w:r>
            <w:r>
              <w:rPr>
                <w:rStyle w:val="11"/>
                <w:rFonts w:hint="eastAsia"/>
              </w:rPr>
              <w:t>本品有效成分为草铵膦，是谷氨酸酰胺合成抑制剂，具有部分内吸作用的非选择性触杀型茎叶处理除草剂，可防除多种生杂草和多年生杂草。本品杀草谱广，持效期长，耐雨水冲刷，药液接触土壤后快速分解。</w:t>
            </w:r>
          </w:p>
        </w:tc>
      </w:tr>
      <w:tr w14:paraId="49FACA79">
        <w:tblPrEx>
          <w:tblCellMar>
            <w:top w:w="0" w:type="dxa"/>
            <w:left w:w="0" w:type="dxa"/>
            <w:bottom w:w="0" w:type="dxa"/>
            <w:right w:w="0" w:type="dxa"/>
          </w:tblCellMar>
        </w:tblPrEx>
        <w:trPr>
          <w:wBefore w:w="0" w:type="auto"/>
          <w:tblCellSpacing w:w="0" w:type="dxa"/>
        </w:trPr>
        <w:tc>
          <w:tcPr>
            <w:tcW w:w="0" w:type="auto"/>
            <w:noWrap w:val="0"/>
            <w:vAlign w:val="center"/>
          </w:tcPr>
          <w:p w14:paraId="20FAFAB6">
            <w:r>
              <w:rPr>
                <w:rStyle w:val="10"/>
                <w:rFonts w:hint="eastAsia"/>
              </w:rPr>
              <w:t>注意事项：</w:t>
            </w:r>
            <w:r>
              <w:rPr>
                <w:rFonts w:hint="eastAsia"/>
              </w:rPr>
              <w:br w:type="textWrapping"/>
            </w:r>
            <w:r>
              <w:rPr>
                <w:rStyle w:val="11"/>
                <w:rFonts w:hint="eastAsia"/>
              </w:rPr>
              <w:t>1. 严格按农药安全使用规则农药标签正确使用。2. 喷药时应注意风向，防止飘移到邻近敏感作物上。3.本品对皮肤有刺激作用，使用时避免皮肤接触。使用应穿戴长衣长裤、手套、口罩、帽子等防护措施。使用中不可吸烟、饮水及吃东西，使用后及时清洗手、脸等暴露部位的皮肤并更换衣物。4.喷雾器使用后彻底清洗干净，用过的容器要妥善处理，不可作他用，也不可随意丢弃。5.在地下水、饮用水源地附近禁用，在水产养殖区、河塘等水体附近禁用，请勿将制剂及其废液弃于池塘、河溪和湖泊等，以免污染水源；使用过的施药器具应清洗干净，禁止在河塘等水体中清洗施药器具，倾倒废弃物；施药后的田水不得直接排入水。6.本品对家蚕、蜜蜂、七星瓢虫有毒，蚕室和桑园附近禁止使用，开花植物花期禁止使用，七星瓢虫等天敌放飞区禁止使用。7. 孕妇及哺乳期妇女避免接触此药。8.避免与具有氧化性物质接触或混合。9.禁止在田间道路、田埂、果树行间、休耕地、林场林地等农林业区域使用。</w:t>
            </w:r>
          </w:p>
        </w:tc>
      </w:tr>
      <w:tr w14:paraId="45355712">
        <w:tblPrEx>
          <w:tblCellMar>
            <w:top w:w="0" w:type="dxa"/>
            <w:left w:w="0" w:type="dxa"/>
            <w:bottom w:w="0" w:type="dxa"/>
            <w:right w:w="0" w:type="dxa"/>
          </w:tblCellMar>
        </w:tblPrEx>
        <w:trPr>
          <w:wBefore w:w="0" w:type="auto"/>
          <w:tblCellSpacing w:w="0" w:type="dxa"/>
        </w:trPr>
        <w:tc>
          <w:tcPr>
            <w:tcW w:w="0" w:type="auto"/>
            <w:noWrap w:val="0"/>
            <w:vAlign w:val="center"/>
          </w:tcPr>
          <w:p w14:paraId="683DC79F">
            <w:r>
              <w:rPr>
                <w:rStyle w:val="10"/>
                <w:rFonts w:hint="eastAsia"/>
              </w:rPr>
              <w:t>中毒急救措施：</w:t>
            </w:r>
            <w:r>
              <w:rPr>
                <w:rFonts w:hint="eastAsia"/>
              </w:rPr>
              <w:br w:type="textWrapping"/>
            </w:r>
            <w:r>
              <w:rPr>
                <w:rStyle w:val="11"/>
                <w:rFonts w:hint="eastAsia"/>
              </w:rPr>
              <w:t>中毒症状：本品对皮肤具有轻度刺激作用，严格按照标签推荐方法使用。皮肤接触：立即脱去被污染的衣物，用大量清水冲洗皮肤暴露部位，并请医生诊治。眼睛溅入：立即翻开眼睑，用清水冲洗至少15分钟，再请医生诊治。吸入：立即将吸入者转移到空气清新处，注意保暖和休息，请医生诊治。误食：严禁自行引吐，立即携带产品标签送医就诊，对症治疗。对昏迷病人，切勿经口喂入任何东西。</w:t>
            </w:r>
          </w:p>
        </w:tc>
      </w:tr>
      <w:tr w14:paraId="072886C6">
        <w:tblPrEx>
          <w:tblCellMar>
            <w:top w:w="0" w:type="dxa"/>
            <w:left w:w="0" w:type="dxa"/>
            <w:bottom w:w="0" w:type="dxa"/>
            <w:right w:w="0" w:type="dxa"/>
          </w:tblCellMar>
        </w:tblPrEx>
        <w:trPr>
          <w:wBefore w:w="0" w:type="auto"/>
          <w:tblCellSpacing w:w="0" w:type="dxa"/>
        </w:trPr>
        <w:tc>
          <w:tcPr>
            <w:tcW w:w="0" w:type="auto"/>
            <w:noWrap w:val="0"/>
            <w:vAlign w:val="center"/>
          </w:tcPr>
          <w:p w14:paraId="17942DCE">
            <w:r>
              <w:rPr>
                <w:rStyle w:val="10"/>
                <w:rFonts w:hint="eastAsia"/>
              </w:rPr>
              <w:t>储存和运输方法：</w:t>
            </w:r>
            <w:r>
              <w:rPr>
                <w:rFonts w:hint="eastAsia"/>
              </w:rPr>
              <w:br w:type="textWrapping"/>
            </w:r>
            <w:r>
              <w:rPr>
                <w:rStyle w:val="11"/>
                <w:rFonts w:hint="eastAsia"/>
              </w:rPr>
              <w:t>本品应储存在干燥、阴凉、通风、防雨处，远离火源或热源，置于儿童触及不到的地方，并加锁。装卸、运输过程中，需专门车辆运输，轻拿轻放，确保包装不泄露、不损坏。不能与食品、饮料、粮食、饲料等同贮同运。</w:t>
            </w:r>
          </w:p>
        </w:tc>
      </w:tr>
      <w:tr w14:paraId="47FF4906">
        <w:tblPrEx>
          <w:tblCellMar>
            <w:top w:w="0" w:type="dxa"/>
            <w:left w:w="0" w:type="dxa"/>
            <w:bottom w:w="0" w:type="dxa"/>
            <w:right w:w="0" w:type="dxa"/>
          </w:tblCellMar>
        </w:tblPrEx>
        <w:trPr>
          <w:wBefore w:w="0" w:type="auto"/>
          <w:tblCellSpacing w:w="0" w:type="dxa"/>
        </w:trPr>
        <w:tc>
          <w:tcPr>
            <w:tcW w:w="0" w:type="auto"/>
            <w:noWrap w:val="0"/>
            <w:vAlign w:val="center"/>
          </w:tcPr>
          <w:p w14:paraId="5B333BFC">
            <w:r>
              <w:rPr>
                <w:rStyle w:val="10"/>
                <w:rFonts w:hint="eastAsia"/>
              </w:rPr>
              <w:t>质量保证期：</w:t>
            </w:r>
            <w:r>
              <w:rPr>
                <w:rStyle w:val="11"/>
                <w:rFonts w:hint="eastAsia"/>
              </w:rPr>
              <w:t>2年</w:t>
            </w:r>
          </w:p>
        </w:tc>
      </w:tr>
      <w:tr w14:paraId="122AA6C2">
        <w:tblPrEx>
          <w:tblCellMar>
            <w:top w:w="0" w:type="dxa"/>
            <w:left w:w="0" w:type="dxa"/>
            <w:bottom w:w="0" w:type="dxa"/>
            <w:right w:w="0" w:type="dxa"/>
          </w:tblCellMar>
        </w:tblPrEx>
        <w:trPr>
          <w:wBefore w:w="0" w:type="auto"/>
          <w:tblCellSpacing w:w="0" w:type="dxa"/>
        </w:trPr>
        <w:tc>
          <w:tcPr>
            <w:tcW w:w="0" w:type="auto"/>
            <w:noWrap w:val="0"/>
            <w:vAlign w:val="center"/>
          </w:tcPr>
          <w:p w14:paraId="4A0AD949">
            <w:r>
              <w:rPr>
                <w:rStyle w:val="10"/>
                <w:rFonts w:hint="eastAsia"/>
              </w:rPr>
              <w:t>备注：</w:t>
            </w:r>
          </w:p>
        </w:tc>
      </w:tr>
    </w:tbl>
    <w:p w14:paraId="0214E8A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28D802B">
        <w:tblPrEx>
          <w:tblCellMar>
            <w:top w:w="0" w:type="dxa"/>
            <w:left w:w="0" w:type="dxa"/>
            <w:bottom w:w="0" w:type="dxa"/>
            <w:right w:w="0" w:type="dxa"/>
          </w:tblCellMar>
        </w:tblPrEx>
        <w:trPr>
          <w:wBefore w:w="0" w:type="auto"/>
          <w:tblCellSpacing w:w="0" w:type="dxa"/>
        </w:trPr>
        <w:tc>
          <w:tcPr>
            <w:tcW w:w="0" w:type="auto"/>
            <w:noWrap w:val="0"/>
            <w:vAlign w:val="center"/>
          </w:tcPr>
          <w:p w14:paraId="7AF7CC32">
            <w:r>
              <w:rPr>
                <w:rStyle w:val="10"/>
                <w:rFonts w:hint="eastAsia"/>
              </w:rPr>
              <w:t>登记证号：</w:t>
            </w:r>
            <w:r>
              <w:rPr>
                <w:rFonts w:hint="eastAsia"/>
              </w:rPr>
              <w:t>PD20211916</w:t>
            </w:r>
          </w:p>
        </w:tc>
      </w:tr>
      <w:tr w14:paraId="5AAF0C37">
        <w:tblPrEx>
          <w:tblCellMar>
            <w:top w:w="0" w:type="dxa"/>
            <w:left w:w="0" w:type="dxa"/>
            <w:bottom w:w="0" w:type="dxa"/>
            <w:right w:w="0" w:type="dxa"/>
          </w:tblCellMar>
        </w:tblPrEx>
        <w:trPr>
          <w:wBefore w:w="0" w:type="auto"/>
          <w:tblCellSpacing w:w="0" w:type="dxa"/>
        </w:trPr>
        <w:tc>
          <w:tcPr>
            <w:tcW w:w="0" w:type="auto"/>
            <w:noWrap w:val="0"/>
            <w:vAlign w:val="center"/>
          </w:tcPr>
          <w:p w14:paraId="301218DA">
            <w:r>
              <w:rPr>
                <w:rStyle w:val="10"/>
                <w:rFonts w:hint="eastAsia"/>
              </w:rPr>
              <w:t>登记证持有人：</w:t>
            </w:r>
            <w:r>
              <w:rPr>
                <w:rFonts w:hint="eastAsia"/>
              </w:rPr>
              <w:t>兴农药业(中国)有限公司</w:t>
            </w:r>
          </w:p>
        </w:tc>
      </w:tr>
      <w:tr w14:paraId="6D2633C9">
        <w:tblPrEx>
          <w:tblCellMar>
            <w:top w:w="0" w:type="dxa"/>
            <w:left w:w="0" w:type="dxa"/>
            <w:bottom w:w="0" w:type="dxa"/>
            <w:right w:w="0" w:type="dxa"/>
          </w:tblCellMar>
        </w:tblPrEx>
        <w:trPr>
          <w:wBefore w:w="0" w:type="auto"/>
          <w:tblCellSpacing w:w="0" w:type="dxa"/>
        </w:trPr>
        <w:tc>
          <w:tcPr>
            <w:tcW w:w="0" w:type="auto"/>
            <w:noWrap w:val="0"/>
            <w:vAlign w:val="center"/>
          </w:tcPr>
          <w:p w14:paraId="2AB49F95">
            <w:r>
              <w:rPr>
                <w:rStyle w:val="10"/>
                <w:rFonts w:hint="eastAsia"/>
              </w:rPr>
              <w:t>农药名称：</w:t>
            </w:r>
            <w:r>
              <w:rPr>
                <w:rFonts w:hint="eastAsia"/>
              </w:rPr>
              <w:t>硫酸铜钙</w:t>
            </w:r>
          </w:p>
        </w:tc>
      </w:tr>
      <w:tr w14:paraId="2A0B687C">
        <w:tblPrEx>
          <w:tblCellMar>
            <w:top w:w="0" w:type="dxa"/>
            <w:left w:w="0" w:type="dxa"/>
            <w:bottom w:w="0" w:type="dxa"/>
            <w:right w:w="0" w:type="dxa"/>
          </w:tblCellMar>
        </w:tblPrEx>
        <w:trPr>
          <w:wBefore w:w="0" w:type="auto"/>
          <w:tblCellSpacing w:w="0" w:type="dxa"/>
        </w:trPr>
        <w:tc>
          <w:tcPr>
            <w:tcW w:w="0" w:type="auto"/>
            <w:noWrap w:val="0"/>
            <w:vAlign w:val="center"/>
          </w:tcPr>
          <w:p w14:paraId="64073F38">
            <w:r>
              <w:rPr>
                <w:rStyle w:val="10"/>
                <w:rFonts w:hint="eastAsia"/>
              </w:rPr>
              <w:t>剂型：</w:t>
            </w:r>
            <w:r>
              <w:rPr>
                <w:rFonts w:hint="eastAsia"/>
              </w:rPr>
              <w:t>可湿性粉剂</w:t>
            </w:r>
          </w:p>
        </w:tc>
      </w:tr>
      <w:tr w14:paraId="2FB13A3F">
        <w:tblPrEx>
          <w:tblCellMar>
            <w:top w:w="0" w:type="dxa"/>
            <w:left w:w="0" w:type="dxa"/>
            <w:bottom w:w="0" w:type="dxa"/>
            <w:right w:w="0" w:type="dxa"/>
          </w:tblCellMar>
        </w:tblPrEx>
        <w:trPr>
          <w:wBefore w:w="0" w:type="auto"/>
          <w:tblCellSpacing w:w="0" w:type="dxa"/>
        </w:trPr>
        <w:tc>
          <w:tcPr>
            <w:tcW w:w="0" w:type="auto"/>
            <w:noWrap w:val="0"/>
            <w:vAlign w:val="center"/>
          </w:tcPr>
          <w:p w14:paraId="032FD1E2">
            <w:r>
              <w:rPr>
                <w:rStyle w:val="10"/>
                <w:rFonts w:hint="eastAsia"/>
              </w:rPr>
              <w:t>毒性及其标识：</w:t>
            </w:r>
            <w:r>
              <w:rPr>
                <w:rFonts w:hint="eastAsia"/>
              </w:rPr>
              <w:t xml:space="preserve"> </w:t>
            </w:r>
            <w:r>
              <w:rPr>
                <w:lang/>
              </w:rPr>
              <w:drawing>
                <wp:inline distT="0" distB="0" distL="114300" distR="114300">
                  <wp:extent cx="476250" cy="323850"/>
                  <wp:effectExtent l="0" t="0" r="0" b="0"/>
                  <wp:docPr id="120" name="图片 12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E74E80E">
        <w:tblPrEx>
          <w:tblCellMar>
            <w:top w:w="0" w:type="dxa"/>
            <w:left w:w="0" w:type="dxa"/>
            <w:bottom w:w="0" w:type="dxa"/>
            <w:right w:w="0" w:type="dxa"/>
          </w:tblCellMar>
        </w:tblPrEx>
        <w:trPr>
          <w:wBefore w:w="0" w:type="auto"/>
          <w:tblCellSpacing w:w="0" w:type="dxa"/>
        </w:trPr>
        <w:tc>
          <w:tcPr>
            <w:tcW w:w="0" w:type="auto"/>
            <w:noWrap w:val="0"/>
            <w:vAlign w:val="center"/>
          </w:tcPr>
          <w:p w14:paraId="308AA8ED">
            <w:r>
              <w:rPr>
                <w:rStyle w:val="10"/>
                <w:rFonts w:hint="eastAsia"/>
              </w:rPr>
              <w:t>总有效成分含量：</w:t>
            </w:r>
            <w:r>
              <w:rPr>
                <w:rFonts w:hint="eastAsia"/>
              </w:rPr>
              <w:t>88%</w:t>
            </w:r>
          </w:p>
        </w:tc>
      </w:tr>
      <w:tr w14:paraId="7351727D">
        <w:tblPrEx>
          <w:tblCellMar>
            <w:top w:w="0" w:type="dxa"/>
            <w:left w:w="0" w:type="dxa"/>
            <w:bottom w:w="0" w:type="dxa"/>
            <w:right w:w="0" w:type="dxa"/>
          </w:tblCellMar>
        </w:tblPrEx>
        <w:trPr>
          <w:wBefore w:w="0" w:type="auto"/>
          <w:tblCellSpacing w:w="0" w:type="dxa"/>
        </w:trPr>
        <w:tc>
          <w:tcPr>
            <w:tcW w:w="0" w:type="auto"/>
            <w:noWrap w:val="0"/>
            <w:vAlign w:val="center"/>
          </w:tcPr>
          <w:p w14:paraId="43DD46DC">
            <w:r>
              <w:rPr>
                <w:rFonts w:hint="eastAsia"/>
              </w:rPr>
              <w:t xml:space="preserve">有效成分及其含量： </w:t>
            </w:r>
          </w:p>
          <w:p w14:paraId="1A7E6899">
            <w:r>
              <w:rPr>
                <w:rFonts w:hint="eastAsia"/>
              </w:rPr>
              <w:t xml:space="preserve">    硫酸铜钙88%    </w:t>
            </w:r>
          </w:p>
        </w:tc>
      </w:tr>
      <w:tr w14:paraId="2DD3E335">
        <w:tblPrEx>
          <w:tblCellMar>
            <w:top w:w="0" w:type="dxa"/>
            <w:left w:w="0" w:type="dxa"/>
            <w:bottom w:w="0" w:type="dxa"/>
            <w:right w:w="0" w:type="dxa"/>
          </w:tblCellMar>
        </w:tblPrEx>
        <w:trPr>
          <w:wBefore w:w="0" w:type="auto"/>
          <w:tblCellSpacing w:w="0" w:type="dxa"/>
        </w:trPr>
        <w:tc>
          <w:tcPr>
            <w:tcW w:w="0" w:type="auto"/>
            <w:noWrap w:val="0"/>
            <w:vAlign w:val="center"/>
          </w:tcPr>
          <w:p w14:paraId="2CB07EE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A5D4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DAE0EE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28338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7623BD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732B4F7">
                  <w:r>
                    <w:rPr>
                      <w:rStyle w:val="11"/>
                      <w:rFonts w:hint="eastAsia"/>
                    </w:rPr>
                    <w:t>施用方式</w:t>
                  </w:r>
                </w:p>
              </w:tc>
            </w:tr>
            <w:tr w14:paraId="382192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C663C1">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475D35">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D13322">
                  <w:r>
                    <w:rPr>
                      <w:rStyle w:val="11"/>
                      <w:rFonts w:hint="eastAsia"/>
                    </w:rPr>
                    <w:t>500-700倍液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863D43">
                  <w:r>
                    <w:rPr>
                      <w:rStyle w:val="11"/>
                      <w:rFonts w:hint="eastAsia"/>
                    </w:rPr>
                    <w:t>喷雾</w:t>
                  </w:r>
                </w:p>
              </w:tc>
            </w:tr>
          </w:tbl>
          <w:p w14:paraId="4429DBAD">
            <w:pPr>
              <w:rPr>
                <w:rFonts w:ascii="Times New Roman" w:hAnsi="Times New Roman" w:cs="Times New Roman"/>
                <w:sz w:val="20"/>
                <w:szCs w:val="20"/>
              </w:rPr>
            </w:pPr>
          </w:p>
        </w:tc>
      </w:tr>
      <w:tr w14:paraId="7BB36E0A">
        <w:tblPrEx>
          <w:tblCellMar>
            <w:top w:w="0" w:type="dxa"/>
            <w:left w:w="0" w:type="dxa"/>
            <w:bottom w:w="0" w:type="dxa"/>
            <w:right w:w="0" w:type="dxa"/>
          </w:tblCellMar>
        </w:tblPrEx>
        <w:trPr>
          <w:wBefore w:w="0" w:type="auto"/>
          <w:tblCellSpacing w:w="0" w:type="dxa"/>
        </w:trPr>
        <w:tc>
          <w:tcPr>
            <w:tcW w:w="0" w:type="auto"/>
            <w:noWrap w:val="0"/>
            <w:vAlign w:val="center"/>
          </w:tcPr>
          <w:p w14:paraId="22B5ACE4">
            <w:r>
              <w:rPr>
                <w:rStyle w:val="10"/>
                <w:rFonts w:hint="eastAsia"/>
              </w:rPr>
              <w:t>使用技术要求:</w:t>
            </w:r>
            <w:r>
              <w:rPr>
                <w:rFonts w:hint="eastAsia"/>
              </w:rPr>
              <w:br w:type="textWrapping"/>
            </w:r>
            <w:r>
              <w:rPr>
                <w:rStyle w:val="11"/>
                <w:rFonts w:hint="eastAsia"/>
              </w:rPr>
              <w:t>1、柑橘溃疡病于发病前或初期进行喷雾，可施药3次，间隔7-10天一次。2、大风天或预计1小时内降雨，请勿施药。</w:t>
            </w:r>
          </w:p>
        </w:tc>
      </w:tr>
      <w:tr w14:paraId="75407275">
        <w:tblPrEx>
          <w:tblCellMar>
            <w:top w:w="0" w:type="dxa"/>
            <w:left w:w="0" w:type="dxa"/>
            <w:bottom w:w="0" w:type="dxa"/>
            <w:right w:w="0" w:type="dxa"/>
          </w:tblCellMar>
        </w:tblPrEx>
        <w:trPr>
          <w:wBefore w:w="0" w:type="auto"/>
          <w:tblCellSpacing w:w="0" w:type="dxa"/>
        </w:trPr>
        <w:tc>
          <w:tcPr>
            <w:tcW w:w="0" w:type="auto"/>
            <w:noWrap w:val="0"/>
            <w:vAlign w:val="center"/>
          </w:tcPr>
          <w:p w14:paraId="3DB0F3A5">
            <w:r>
              <w:rPr>
                <w:rStyle w:val="10"/>
                <w:rFonts w:hint="eastAsia"/>
              </w:rPr>
              <w:t>产品性能:</w:t>
            </w:r>
            <w:r>
              <w:rPr>
                <w:rFonts w:hint="eastAsia"/>
              </w:rPr>
              <w:br w:type="textWrapping"/>
            </w:r>
            <w:r>
              <w:rPr>
                <w:rStyle w:val="11"/>
                <w:rFonts w:hint="eastAsia"/>
              </w:rPr>
              <w:t>本品是具有杀菌和补钙双重作用的广谱保护性杀菌剂—络合态硫酸铜钙，其独特的铜离子和钙离子大分子络合物，确保铜离子缓慢、持久释放。</w:t>
            </w:r>
          </w:p>
        </w:tc>
      </w:tr>
      <w:tr w14:paraId="6EBFF26E">
        <w:tblPrEx>
          <w:tblCellMar>
            <w:top w:w="0" w:type="dxa"/>
            <w:left w:w="0" w:type="dxa"/>
            <w:bottom w:w="0" w:type="dxa"/>
            <w:right w:w="0" w:type="dxa"/>
          </w:tblCellMar>
        </w:tblPrEx>
        <w:trPr>
          <w:wBefore w:w="0" w:type="auto"/>
          <w:tblCellSpacing w:w="0" w:type="dxa"/>
        </w:trPr>
        <w:tc>
          <w:tcPr>
            <w:tcW w:w="0" w:type="auto"/>
            <w:noWrap w:val="0"/>
            <w:vAlign w:val="center"/>
          </w:tcPr>
          <w:p w14:paraId="1EA6CA8E">
            <w:r>
              <w:rPr>
                <w:rStyle w:val="10"/>
                <w:rFonts w:hint="eastAsia"/>
              </w:rPr>
              <w:t>注意事项：</w:t>
            </w:r>
            <w:r>
              <w:rPr>
                <w:rFonts w:hint="eastAsia"/>
              </w:rPr>
              <w:br w:type="textWrapping"/>
            </w:r>
            <w:r>
              <w:rPr>
                <w:rStyle w:val="11"/>
                <w:rFonts w:hint="eastAsia"/>
              </w:rPr>
              <w:t>1、本品不能与含有其他金属元素的药剂混合使用，也不宜与强碱性和强酸性物质混用。 2、桃，李，梅，杏，柿子，大白菜，菜豆，莴苣，荸荠等对本品敏感，不宜使用。苹果树、梨树的花期、幼果期对铜离子敏感，施药时注意避免飘移至上述作物。 3、使用时应穿长衣长裤、靴子，戴帽子、护目镜、口罩、手套等防护用具；施药期间不可吃东西、饮水、吸烟等；施药后应及时洗手、洗脸并洗涤施药时穿着的衣物。 4、本品对鱼类等水生生物毒性较高，远离水产养殖区、河塘等水体施药，禁止在河塘等水体中清洗施药器具。避免药液流入湖泊，河流或鱼塘中污染水源。5、（周围）开花植物花期禁用，使用期间应密切关注对附近蜂群的影响；蚕室及桑园附近禁用； 鸟类保护区附近禁用。6、用过的容器和废弃物应妥善处理，不可随意丢弃或做它用。 7、孕妇及哺乳期妇女禁止接触。</w:t>
            </w:r>
          </w:p>
        </w:tc>
      </w:tr>
      <w:tr w14:paraId="7DF972E3">
        <w:tblPrEx>
          <w:tblCellMar>
            <w:top w:w="0" w:type="dxa"/>
            <w:left w:w="0" w:type="dxa"/>
            <w:bottom w:w="0" w:type="dxa"/>
            <w:right w:w="0" w:type="dxa"/>
          </w:tblCellMar>
        </w:tblPrEx>
        <w:trPr>
          <w:wBefore w:w="0" w:type="auto"/>
          <w:tblCellSpacing w:w="0" w:type="dxa"/>
        </w:trPr>
        <w:tc>
          <w:tcPr>
            <w:tcW w:w="0" w:type="auto"/>
            <w:noWrap w:val="0"/>
            <w:vAlign w:val="center"/>
          </w:tcPr>
          <w:p w14:paraId="6F634582">
            <w:r>
              <w:rPr>
                <w:rStyle w:val="10"/>
                <w:rFonts w:hint="eastAsia"/>
              </w:rPr>
              <w:t>中毒急救措施：</w:t>
            </w:r>
            <w:r>
              <w:rPr>
                <w:rFonts w:hint="eastAsia"/>
              </w:rPr>
              <w:br w:type="textWrapping"/>
            </w:r>
            <w:r>
              <w:rPr>
                <w:rStyle w:val="11"/>
                <w:rFonts w:hint="eastAsia"/>
              </w:rPr>
              <w:t>1、对眼睛有刺激，使用时避免接触眼睛，穿戴长衣、长裤、帽子、口罩、手套等防护措施。 2、如有药液溅到皮肤或眼睛上，应立即用清水冲洗至少15分钟，严重者请及时就医。不慎吸入，立即将吸入者转移到空气流通处，严重者携标签就医。不慎吞服药液，误食者先饮一杯加入活性炭的水或蛋清、牛奶，然后携标签将病人送往医院。 3、解毒药剂为EDTA、BAL和阿托品。</w:t>
            </w:r>
          </w:p>
        </w:tc>
      </w:tr>
      <w:tr w14:paraId="1242207E">
        <w:tblPrEx>
          <w:tblCellMar>
            <w:top w:w="0" w:type="dxa"/>
            <w:left w:w="0" w:type="dxa"/>
            <w:bottom w:w="0" w:type="dxa"/>
            <w:right w:w="0" w:type="dxa"/>
          </w:tblCellMar>
        </w:tblPrEx>
        <w:trPr>
          <w:wBefore w:w="0" w:type="auto"/>
          <w:tblCellSpacing w:w="0" w:type="dxa"/>
        </w:trPr>
        <w:tc>
          <w:tcPr>
            <w:tcW w:w="0" w:type="auto"/>
            <w:noWrap w:val="0"/>
            <w:vAlign w:val="center"/>
          </w:tcPr>
          <w:p w14:paraId="579D5ABB">
            <w:r>
              <w:rPr>
                <w:rStyle w:val="10"/>
                <w:rFonts w:hint="eastAsia"/>
              </w:rPr>
              <w:t>储存和运输方法：</w:t>
            </w:r>
            <w:r>
              <w:rPr>
                <w:rFonts w:hint="eastAsia"/>
              </w:rPr>
              <w:br w:type="textWrapping"/>
            </w:r>
            <w:r>
              <w:rPr>
                <w:rStyle w:val="11"/>
                <w:rFonts w:hint="eastAsia"/>
              </w:rPr>
              <w:t>1、本剂应贮藏于阴凉干燥、通风及儿童、无关人员不易接触之处，并加锁。远离火源。 2、勿与食品、饮料、饲料、粮食等同贮同运。</w:t>
            </w:r>
          </w:p>
        </w:tc>
      </w:tr>
      <w:tr w14:paraId="74FF9008">
        <w:tblPrEx>
          <w:tblCellMar>
            <w:top w:w="0" w:type="dxa"/>
            <w:left w:w="0" w:type="dxa"/>
            <w:bottom w:w="0" w:type="dxa"/>
            <w:right w:w="0" w:type="dxa"/>
          </w:tblCellMar>
        </w:tblPrEx>
        <w:trPr>
          <w:wBefore w:w="0" w:type="auto"/>
          <w:tblCellSpacing w:w="0" w:type="dxa"/>
        </w:trPr>
        <w:tc>
          <w:tcPr>
            <w:tcW w:w="0" w:type="auto"/>
            <w:noWrap w:val="0"/>
            <w:vAlign w:val="center"/>
          </w:tcPr>
          <w:p w14:paraId="6FF2118C">
            <w:r>
              <w:rPr>
                <w:rStyle w:val="10"/>
                <w:rFonts w:hint="eastAsia"/>
              </w:rPr>
              <w:t>质量保证期：</w:t>
            </w:r>
            <w:r>
              <w:rPr>
                <w:rStyle w:val="11"/>
                <w:rFonts w:hint="eastAsia"/>
              </w:rPr>
              <w:t>2年</w:t>
            </w:r>
          </w:p>
        </w:tc>
      </w:tr>
      <w:tr w14:paraId="5B5BF542">
        <w:tblPrEx>
          <w:tblCellMar>
            <w:top w:w="0" w:type="dxa"/>
            <w:left w:w="0" w:type="dxa"/>
            <w:bottom w:w="0" w:type="dxa"/>
            <w:right w:w="0" w:type="dxa"/>
          </w:tblCellMar>
        </w:tblPrEx>
        <w:trPr>
          <w:wBefore w:w="0" w:type="auto"/>
          <w:tblCellSpacing w:w="0" w:type="dxa"/>
        </w:trPr>
        <w:tc>
          <w:tcPr>
            <w:tcW w:w="0" w:type="auto"/>
            <w:noWrap w:val="0"/>
            <w:vAlign w:val="center"/>
          </w:tcPr>
          <w:p w14:paraId="0E8498B1">
            <w:r>
              <w:rPr>
                <w:rStyle w:val="10"/>
                <w:rFonts w:hint="eastAsia"/>
              </w:rPr>
              <w:t>备注：</w:t>
            </w:r>
          </w:p>
        </w:tc>
      </w:tr>
    </w:tbl>
    <w:p w14:paraId="4AEBC64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DBA9D22">
        <w:tblPrEx>
          <w:tblCellMar>
            <w:top w:w="0" w:type="dxa"/>
            <w:left w:w="0" w:type="dxa"/>
            <w:bottom w:w="0" w:type="dxa"/>
            <w:right w:w="0" w:type="dxa"/>
          </w:tblCellMar>
        </w:tblPrEx>
        <w:trPr>
          <w:wBefore w:w="0" w:type="auto"/>
          <w:tblCellSpacing w:w="0" w:type="dxa"/>
        </w:trPr>
        <w:tc>
          <w:tcPr>
            <w:tcW w:w="0" w:type="auto"/>
            <w:noWrap w:val="0"/>
            <w:vAlign w:val="center"/>
          </w:tcPr>
          <w:p w14:paraId="44842ACE">
            <w:r>
              <w:rPr>
                <w:rStyle w:val="10"/>
                <w:rFonts w:hint="eastAsia"/>
              </w:rPr>
              <w:t>登记证号：</w:t>
            </w:r>
            <w:r>
              <w:rPr>
                <w:rFonts w:hint="eastAsia"/>
              </w:rPr>
              <w:t>PD20211915</w:t>
            </w:r>
          </w:p>
        </w:tc>
      </w:tr>
      <w:tr w14:paraId="5A10D4CB">
        <w:tblPrEx>
          <w:tblCellMar>
            <w:top w:w="0" w:type="dxa"/>
            <w:left w:w="0" w:type="dxa"/>
            <w:bottom w:w="0" w:type="dxa"/>
            <w:right w:w="0" w:type="dxa"/>
          </w:tblCellMar>
        </w:tblPrEx>
        <w:trPr>
          <w:wBefore w:w="0" w:type="auto"/>
          <w:tblCellSpacing w:w="0" w:type="dxa"/>
        </w:trPr>
        <w:tc>
          <w:tcPr>
            <w:tcW w:w="0" w:type="auto"/>
            <w:noWrap w:val="0"/>
            <w:vAlign w:val="center"/>
          </w:tcPr>
          <w:p w14:paraId="195A0B3B">
            <w:r>
              <w:rPr>
                <w:rStyle w:val="10"/>
                <w:rFonts w:hint="eastAsia"/>
              </w:rPr>
              <w:t>登记证持有人：</w:t>
            </w:r>
            <w:r>
              <w:rPr>
                <w:rFonts w:hint="eastAsia"/>
              </w:rPr>
              <w:t>浙江龙湾化工有限公司</w:t>
            </w:r>
          </w:p>
        </w:tc>
      </w:tr>
      <w:tr w14:paraId="26A5A4C6">
        <w:tblPrEx>
          <w:tblCellMar>
            <w:top w:w="0" w:type="dxa"/>
            <w:left w:w="0" w:type="dxa"/>
            <w:bottom w:w="0" w:type="dxa"/>
            <w:right w:w="0" w:type="dxa"/>
          </w:tblCellMar>
        </w:tblPrEx>
        <w:trPr>
          <w:wBefore w:w="0" w:type="auto"/>
          <w:tblCellSpacing w:w="0" w:type="dxa"/>
        </w:trPr>
        <w:tc>
          <w:tcPr>
            <w:tcW w:w="0" w:type="auto"/>
            <w:noWrap w:val="0"/>
            <w:vAlign w:val="center"/>
          </w:tcPr>
          <w:p w14:paraId="67E131FB">
            <w:r>
              <w:rPr>
                <w:rStyle w:val="10"/>
                <w:rFonts w:hint="eastAsia"/>
              </w:rPr>
              <w:t>农药名称：</w:t>
            </w:r>
            <w:r>
              <w:rPr>
                <w:rFonts w:hint="eastAsia"/>
              </w:rPr>
              <w:t>菌核净</w:t>
            </w:r>
          </w:p>
        </w:tc>
      </w:tr>
      <w:tr w14:paraId="53EF0939">
        <w:tblPrEx>
          <w:tblCellMar>
            <w:top w:w="0" w:type="dxa"/>
            <w:left w:w="0" w:type="dxa"/>
            <w:bottom w:w="0" w:type="dxa"/>
            <w:right w:w="0" w:type="dxa"/>
          </w:tblCellMar>
        </w:tblPrEx>
        <w:trPr>
          <w:wBefore w:w="0" w:type="auto"/>
          <w:tblCellSpacing w:w="0" w:type="dxa"/>
        </w:trPr>
        <w:tc>
          <w:tcPr>
            <w:tcW w:w="0" w:type="auto"/>
            <w:noWrap w:val="0"/>
            <w:vAlign w:val="center"/>
          </w:tcPr>
          <w:p w14:paraId="46168A3F">
            <w:r>
              <w:rPr>
                <w:rStyle w:val="10"/>
                <w:rFonts w:hint="eastAsia"/>
              </w:rPr>
              <w:t>剂型：</w:t>
            </w:r>
            <w:r>
              <w:rPr>
                <w:rFonts w:hint="eastAsia"/>
              </w:rPr>
              <w:t>悬浮剂</w:t>
            </w:r>
          </w:p>
        </w:tc>
      </w:tr>
      <w:tr w14:paraId="192B39DA">
        <w:tblPrEx>
          <w:tblCellMar>
            <w:top w:w="0" w:type="dxa"/>
            <w:left w:w="0" w:type="dxa"/>
            <w:bottom w:w="0" w:type="dxa"/>
            <w:right w:w="0" w:type="dxa"/>
          </w:tblCellMar>
        </w:tblPrEx>
        <w:trPr>
          <w:wBefore w:w="0" w:type="auto"/>
          <w:tblCellSpacing w:w="0" w:type="dxa"/>
        </w:trPr>
        <w:tc>
          <w:tcPr>
            <w:tcW w:w="0" w:type="auto"/>
            <w:noWrap w:val="0"/>
            <w:vAlign w:val="center"/>
          </w:tcPr>
          <w:p w14:paraId="28A34D0B">
            <w:r>
              <w:rPr>
                <w:rStyle w:val="10"/>
                <w:rFonts w:hint="eastAsia"/>
              </w:rPr>
              <w:t>毒性及其标识：</w:t>
            </w:r>
            <w:r>
              <w:rPr>
                <w:rFonts w:hint="eastAsia"/>
              </w:rPr>
              <w:t xml:space="preserve"> </w:t>
            </w:r>
            <w:r>
              <w:rPr>
                <w:lang/>
              </w:rPr>
              <w:drawing>
                <wp:inline distT="0" distB="0" distL="114300" distR="114300">
                  <wp:extent cx="476250" cy="323850"/>
                  <wp:effectExtent l="0" t="0" r="0" b="0"/>
                  <wp:docPr id="121" name="图片 12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866CEAC">
        <w:tblPrEx>
          <w:tblCellMar>
            <w:top w:w="0" w:type="dxa"/>
            <w:left w:w="0" w:type="dxa"/>
            <w:bottom w:w="0" w:type="dxa"/>
            <w:right w:w="0" w:type="dxa"/>
          </w:tblCellMar>
        </w:tblPrEx>
        <w:trPr>
          <w:wBefore w:w="0" w:type="auto"/>
          <w:tblCellSpacing w:w="0" w:type="dxa"/>
        </w:trPr>
        <w:tc>
          <w:tcPr>
            <w:tcW w:w="0" w:type="auto"/>
            <w:noWrap w:val="0"/>
            <w:vAlign w:val="center"/>
          </w:tcPr>
          <w:p w14:paraId="68FF7024">
            <w:r>
              <w:rPr>
                <w:rStyle w:val="10"/>
                <w:rFonts w:hint="eastAsia"/>
              </w:rPr>
              <w:t>总有效成分含量：</w:t>
            </w:r>
            <w:r>
              <w:rPr>
                <w:rFonts w:hint="eastAsia"/>
              </w:rPr>
              <w:t>40%</w:t>
            </w:r>
          </w:p>
        </w:tc>
      </w:tr>
      <w:tr w14:paraId="17263352">
        <w:tblPrEx>
          <w:tblCellMar>
            <w:top w:w="0" w:type="dxa"/>
            <w:left w:w="0" w:type="dxa"/>
            <w:bottom w:w="0" w:type="dxa"/>
            <w:right w:w="0" w:type="dxa"/>
          </w:tblCellMar>
        </w:tblPrEx>
        <w:trPr>
          <w:wBefore w:w="0" w:type="auto"/>
          <w:tblCellSpacing w:w="0" w:type="dxa"/>
        </w:trPr>
        <w:tc>
          <w:tcPr>
            <w:tcW w:w="0" w:type="auto"/>
            <w:noWrap w:val="0"/>
            <w:vAlign w:val="center"/>
          </w:tcPr>
          <w:p w14:paraId="511719D9">
            <w:r>
              <w:rPr>
                <w:rFonts w:hint="eastAsia"/>
              </w:rPr>
              <w:t xml:space="preserve">有效成分及其含量： </w:t>
            </w:r>
          </w:p>
          <w:p w14:paraId="6ECA49FB">
            <w:r>
              <w:rPr>
                <w:rFonts w:hint="eastAsia"/>
              </w:rPr>
              <w:t xml:space="preserve">    菌核净40%    </w:t>
            </w:r>
          </w:p>
        </w:tc>
      </w:tr>
      <w:tr w14:paraId="49EC6F6D">
        <w:tblPrEx>
          <w:tblCellMar>
            <w:top w:w="0" w:type="dxa"/>
            <w:left w:w="0" w:type="dxa"/>
            <w:bottom w:w="0" w:type="dxa"/>
            <w:right w:w="0" w:type="dxa"/>
          </w:tblCellMar>
        </w:tblPrEx>
        <w:trPr>
          <w:wBefore w:w="0" w:type="auto"/>
          <w:tblCellSpacing w:w="0" w:type="dxa"/>
        </w:trPr>
        <w:tc>
          <w:tcPr>
            <w:tcW w:w="0" w:type="auto"/>
            <w:noWrap w:val="0"/>
            <w:vAlign w:val="center"/>
          </w:tcPr>
          <w:p w14:paraId="0C04335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42CA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6F265D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D260F8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2FCC2F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F106AE">
                  <w:r>
                    <w:rPr>
                      <w:rStyle w:val="11"/>
                      <w:rFonts w:hint="eastAsia"/>
                    </w:rPr>
                    <w:t>施用方式</w:t>
                  </w:r>
                </w:p>
              </w:tc>
            </w:tr>
            <w:tr w14:paraId="68370C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32C0DC5">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72F907">
                  <w:r>
                    <w:rPr>
                      <w:rStyle w:val="11"/>
                      <w:rFonts w:hint="eastAsia"/>
                    </w:rPr>
                    <w:t>赤星病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82C5D4">
                  <w:r>
                    <w:rPr>
                      <w:rStyle w:val="11"/>
                      <w:rFonts w:hint="eastAsia"/>
                    </w:rPr>
                    <w:t>100-150毫升/亩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ED98FE">
                  <w:r>
                    <w:rPr>
                      <w:rStyle w:val="11"/>
                      <w:rFonts w:hint="eastAsia"/>
                    </w:rPr>
                    <w:t>喷雾</w:t>
                  </w:r>
                </w:p>
              </w:tc>
            </w:tr>
          </w:tbl>
          <w:p w14:paraId="2726BCE6">
            <w:pPr>
              <w:rPr>
                <w:rFonts w:ascii="Times New Roman" w:hAnsi="Times New Roman" w:cs="Times New Roman"/>
                <w:sz w:val="20"/>
                <w:szCs w:val="20"/>
              </w:rPr>
            </w:pPr>
          </w:p>
        </w:tc>
      </w:tr>
      <w:tr w14:paraId="04F8826C">
        <w:tblPrEx>
          <w:tblCellMar>
            <w:top w:w="0" w:type="dxa"/>
            <w:left w:w="0" w:type="dxa"/>
            <w:bottom w:w="0" w:type="dxa"/>
            <w:right w:w="0" w:type="dxa"/>
          </w:tblCellMar>
        </w:tblPrEx>
        <w:trPr>
          <w:wBefore w:w="0" w:type="auto"/>
          <w:tblCellSpacing w:w="0" w:type="dxa"/>
        </w:trPr>
        <w:tc>
          <w:tcPr>
            <w:tcW w:w="0" w:type="auto"/>
            <w:noWrap w:val="0"/>
            <w:vAlign w:val="center"/>
          </w:tcPr>
          <w:p w14:paraId="682CF9E4">
            <w:r>
              <w:rPr>
                <w:rStyle w:val="10"/>
                <w:rFonts w:hint="eastAsia"/>
              </w:rPr>
              <w:t>使用技术要求:</w:t>
            </w:r>
            <w:r>
              <w:rPr>
                <w:rFonts w:hint="eastAsia"/>
              </w:rPr>
              <w:br w:type="textWrapping"/>
            </w:r>
            <w:r>
              <w:rPr>
                <w:rStyle w:val="11"/>
                <w:rFonts w:hint="eastAsia"/>
              </w:rPr>
              <w:t>1. 烟草赤星病发病前或初期进行喷雾，可连续施药2次，间隔7-10天一次。2. 大风天或预计1小时内降雨，请勿施药。 3. 每季作物最多使用2次。</w:t>
            </w:r>
          </w:p>
        </w:tc>
      </w:tr>
      <w:tr w14:paraId="71D650F5">
        <w:tblPrEx>
          <w:tblCellMar>
            <w:top w:w="0" w:type="dxa"/>
            <w:left w:w="0" w:type="dxa"/>
            <w:bottom w:w="0" w:type="dxa"/>
            <w:right w:w="0" w:type="dxa"/>
          </w:tblCellMar>
        </w:tblPrEx>
        <w:trPr>
          <w:wBefore w:w="0" w:type="auto"/>
          <w:tblCellSpacing w:w="0" w:type="dxa"/>
        </w:trPr>
        <w:tc>
          <w:tcPr>
            <w:tcW w:w="0" w:type="auto"/>
            <w:noWrap w:val="0"/>
            <w:vAlign w:val="center"/>
          </w:tcPr>
          <w:p w14:paraId="52A202B3">
            <w:r>
              <w:rPr>
                <w:rStyle w:val="10"/>
                <w:rFonts w:hint="eastAsia"/>
              </w:rPr>
              <w:t>产品性能:</w:t>
            </w:r>
            <w:r>
              <w:rPr>
                <w:rFonts w:hint="eastAsia"/>
              </w:rPr>
              <w:br w:type="textWrapping"/>
            </w:r>
            <w:r>
              <w:rPr>
                <w:rStyle w:val="11"/>
                <w:rFonts w:hint="eastAsia"/>
              </w:rPr>
              <w:t>本品为亚胺类杀菌剂，具有直接杀菌，内渗治疗作用。对烟草赤星病等有较好的防效。</w:t>
            </w:r>
          </w:p>
        </w:tc>
      </w:tr>
      <w:tr w14:paraId="6F37EB08">
        <w:tblPrEx>
          <w:tblCellMar>
            <w:top w:w="0" w:type="dxa"/>
            <w:left w:w="0" w:type="dxa"/>
            <w:bottom w:w="0" w:type="dxa"/>
            <w:right w:w="0" w:type="dxa"/>
          </w:tblCellMar>
        </w:tblPrEx>
        <w:trPr>
          <w:wBefore w:w="0" w:type="auto"/>
          <w:tblCellSpacing w:w="0" w:type="dxa"/>
        </w:trPr>
        <w:tc>
          <w:tcPr>
            <w:tcW w:w="0" w:type="auto"/>
            <w:noWrap w:val="0"/>
            <w:vAlign w:val="center"/>
          </w:tcPr>
          <w:p w14:paraId="600C9317">
            <w:r>
              <w:rPr>
                <w:rStyle w:val="10"/>
                <w:rFonts w:hint="eastAsia"/>
              </w:rPr>
              <w:t>注意事项：</w:t>
            </w:r>
            <w:r>
              <w:rPr>
                <w:rFonts w:hint="eastAsia"/>
              </w:rPr>
              <w:br w:type="textWrapping"/>
            </w:r>
            <w:r>
              <w:rPr>
                <w:rStyle w:val="11"/>
                <w:rFonts w:hint="eastAsia"/>
              </w:rPr>
              <w:t>1. 建议与不同作用机制的杀菌剂轮换使用。2.不得与呈碱性农药等物质混用。3. 本品对眼睛有刺激性，使用时避免接触眼睛，穿戴长衣、长裤、帽子、口罩、手套等防护措施。，避免皮肤接触和经口鼻吸入，操作本品时禁止进食、吸烟和饮水；接触本品后及时用肥皂和清水彻底清洗暴露部位皮肤并更换衣物。4. 禁止在河塘等水体中清洗施药器具。蚕室及桑园附近禁用。5.用过的容器应妥善处理，不可做他用，也不可随意丢弃。6.孕妇及哺乳期妇女禁止接触。</w:t>
            </w:r>
          </w:p>
        </w:tc>
      </w:tr>
      <w:tr w14:paraId="27C06888">
        <w:tblPrEx>
          <w:tblCellMar>
            <w:top w:w="0" w:type="dxa"/>
            <w:left w:w="0" w:type="dxa"/>
            <w:bottom w:w="0" w:type="dxa"/>
            <w:right w:w="0" w:type="dxa"/>
          </w:tblCellMar>
        </w:tblPrEx>
        <w:trPr>
          <w:wBefore w:w="0" w:type="auto"/>
          <w:tblCellSpacing w:w="0" w:type="dxa"/>
        </w:trPr>
        <w:tc>
          <w:tcPr>
            <w:tcW w:w="0" w:type="auto"/>
            <w:noWrap w:val="0"/>
            <w:vAlign w:val="center"/>
          </w:tcPr>
          <w:p w14:paraId="5493DF2C">
            <w:r>
              <w:rPr>
                <w:rStyle w:val="10"/>
                <w:rFonts w:hint="eastAsia"/>
              </w:rPr>
              <w:t>中毒急救措施：</w:t>
            </w:r>
            <w:r>
              <w:rPr>
                <w:rFonts w:hint="eastAsia"/>
              </w:rPr>
              <w:br w:type="textWrapping"/>
            </w:r>
            <w:r>
              <w:rPr>
                <w:rStyle w:val="11"/>
                <w:rFonts w:hint="eastAsia"/>
              </w:rPr>
              <w:t>1. 一般建议：用药时如感觉不适，立即停止工作，采取急救措施，并携此标签送医就诊。2. 皮肤接触：用肥皂和大量清水彻底清洗，如仍有不适，应立即就医。3. 眼睛溅入：立即用大量清水温和冲洗至少15分钟。4. 不慎吸入：立即将患者移到空气新鲜处。5. 如误食：请勿自行催吐，用清水漱口并携标签就医，请医生对症治疗。本品无特效解毒剂。</w:t>
            </w:r>
          </w:p>
        </w:tc>
      </w:tr>
      <w:tr w14:paraId="16F06CB2">
        <w:tblPrEx>
          <w:tblCellMar>
            <w:top w:w="0" w:type="dxa"/>
            <w:left w:w="0" w:type="dxa"/>
            <w:bottom w:w="0" w:type="dxa"/>
            <w:right w:w="0" w:type="dxa"/>
          </w:tblCellMar>
        </w:tblPrEx>
        <w:trPr>
          <w:wBefore w:w="0" w:type="auto"/>
          <w:tblCellSpacing w:w="0" w:type="dxa"/>
        </w:trPr>
        <w:tc>
          <w:tcPr>
            <w:tcW w:w="0" w:type="auto"/>
            <w:noWrap w:val="0"/>
            <w:vAlign w:val="center"/>
          </w:tcPr>
          <w:p w14:paraId="489C7DB9">
            <w:r>
              <w:rPr>
                <w:rStyle w:val="10"/>
                <w:rFonts w:hint="eastAsia"/>
              </w:rPr>
              <w:t>储存和运输方法：</w:t>
            </w:r>
            <w:r>
              <w:rPr>
                <w:rFonts w:hint="eastAsia"/>
              </w:rPr>
              <w:br w:type="textWrapping"/>
            </w:r>
            <w:r>
              <w:rPr>
                <w:rStyle w:val="11"/>
                <w:rFonts w:hint="eastAsia"/>
              </w:rPr>
              <w:t>本品应储存在干燥、阴凉、通风、防雨处，远离火源或热源；运输时严防雨淋和日晒；搬运时轻拿轻放；置于儿童、无关人员和动物等触及不到的地方，并加锁保存。勿与食品、饮料、粮食、饲料等同储同运。</w:t>
            </w:r>
          </w:p>
        </w:tc>
      </w:tr>
      <w:tr w14:paraId="3C6E8786">
        <w:tblPrEx>
          <w:tblCellMar>
            <w:top w:w="0" w:type="dxa"/>
            <w:left w:w="0" w:type="dxa"/>
            <w:bottom w:w="0" w:type="dxa"/>
            <w:right w:w="0" w:type="dxa"/>
          </w:tblCellMar>
        </w:tblPrEx>
        <w:trPr>
          <w:wBefore w:w="0" w:type="auto"/>
          <w:tblCellSpacing w:w="0" w:type="dxa"/>
        </w:trPr>
        <w:tc>
          <w:tcPr>
            <w:tcW w:w="0" w:type="auto"/>
            <w:noWrap w:val="0"/>
            <w:vAlign w:val="center"/>
          </w:tcPr>
          <w:p w14:paraId="6A33F602">
            <w:r>
              <w:rPr>
                <w:rStyle w:val="10"/>
                <w:rFonts w:hint="eastAsia"/>
              </w:rPr>
              <w:t>质量保证期：</w:t>
            </w:r>
            <w:r>
              <w:rPr>
                <w:rStyle w:val="11"/>
                <w:rFonts w:hint="eastAsia"/>
              </w:rPr>
              <w:t>2年</w:t>
            </w:r>
          </w:p>
        </w:tc>
      </w:tr>
      <w:tr w14:paraId="364463E0">
        <w:tblPrEx>
          <w:tblCellMar>
            <w:top w:w="0" w:type="dxa"/>
            <w:left w:w="0" w:type="dxa"/>
            <w:bottom w:w="0" w:type="dxa"/>
            <w:right w:w="0" w:type="dxa"/>
          </w:tblCellMar>
        </w:tblPrEx>
        <w:trPr>
          <w:wBefore w:w="0" w:type="auto"/>
          <w:tblCellSpacing w:w="0" w:type="dxa"/>
        </w:trPr>
        <w:tc>
          <w:tcPr>
            <w:tcW w:w="0" w:type="auto"/>
            <w:noWrap w:val="0"/>
            <w:vAlign w:val="center"/>
          </w:tcPr>
          <w:p w14:paraId="3596E224">
            <w:r>
              <w:rPr>
                <w:rStyle w:val="10"/>
                <w:rFonts w:hint="eastAsia"/>
              </w:rPr>
              <w:t>备注：</w:t>
            </w:r>
          </w:p>
        </w:tc>
      </w:tr>
    </w:tbl>
    <w:p w14:paraId="030A3DB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075DC0E">
        <w:tblPrEx>
          <w:tblCellMar>
            <w:top w:w="0" w:type="dxa"/>
            <w:left w:w="0" w:type="dxa"/>
            <w:bottom w:w="0" w:type="dxa"/>
            <w:right w:w="0" w:type="dxa"/>
          </w:tblCellMar>
        </w:tblPrEx>
        <w:trPr>
          <w:wBefore w:w="0" w:type="auto"/>
          <w:tblCellSpacing w:w="0" w:type="dxa"/>
        </w:trPr>
        <w:tc>
          <w:tcPr>
            <w:tcW w:w="0" w:type="auto"/>
            <w:noWrap w:val="0"/>
            <w:vAlign w:val="center"/>
          </w:tcPr>
          <w:p w14:paraId="6B800FF6">
            <w:r>
              <w:rPr>
                <w:rStyle w:val="10"/>
                <w:rFonts w:hint="eastAsia"/>
              </w:rPr>
              <w:t>登记证号：</w:t>
            </w:r>
            <w:r>
              <w:rPr>
                <w:rFonts w:hint="eastAsia"/>
              </w:rPr>
              <w:t>PD20212023</w:t>
            </w:r>
          </w:p>
        </w:tc>
      </w:tr>
      <w:tr w14:paraId="1FC8DCFE">
        <w:tblPrEx>
          <w:tblCellMar>
            <w:top w:w="0" w:type="dxa"/>
            <w:left w:w="0" w:type="dxa"/>
            <w:bottom w:w="0" w:type="dxa"/>
            <w:right w:w="0" w:type="dxa"/>
          </w:tblCellMar>
        </w:tblPrEx>
        <w:trPr>
          <w:wBefore w:w="0" w:type="auto"/>
          <w:tblCellSpacing w:w="0" w:type="dxa"/>
        </w:trPr>
        <w:tc>
          <w:tcPr>
            <w:tcW w:w="0" w:type="auto"/>
            <w:noWrap w:val="0"/>
            <w:vAlign w:val="center"/>
          </w:tcPr>
          <w:p w14:paraId="23F7E02F">
            <w:r>
              <w:rPr>
                <w:rStyle w:val="10"/>
                <w:rFonts w:hint="eastAsia"/>
              </w:rPr>
              <w:t>登记证持有人：</w:t>
            </w:r>
            <w:r>
              <w:rPr>
                <w:rFonts w:hint="eastAsia"/>
              </w:rPr>
              <w:t>郑州先利达化工有限公司</w:t>
            </w:r>
          </w:p>
        </w:tc>
      </w:tr>
      <w:tr w14:paraId="1CC8043A">
        <w:tblPrEx>
          <w:tblCellMar>
            <w:top w:w="0" w:type="dxa"/>
            <w:left w:w="0" w:type="dxa"/>
            <w:bottom w:w="0" w:type="dxa"/>
            <w:right w:w="0" w:type="dxa"/>
          </w:tblCellMar>
        </w:tblPrEx>
        <w:trPr>
          <w:wBefore w:w="0" w:type="auto"/>
          <w:tblCellSpacing w:w="0" w:type="dxa"/>
        </w:trPr>
        <w:tc>
          <w:tcPr>
            <w:tcW w:w="0" w:type="auto"/>
            <w:noWrap w:val="0"/>
            <w:vAlign w:val="center"/>
          </w:tcPr>
          <w:p w14:paraId="0164F2E9">
            <w:r>
              <w:rPr>
                <w:rStyle w:val="10"/>
                <w:rFonts w:hint="eastAsia"/>
              </w:rPr>
              <w:t>农药名称：</w:t>
            </w:r>
            <w:r>
              <w:rPr>
                <w:rFonts w:hint="eastAsia"/>
              </w:rPr>
              <w:t>24-表芸·甲哌鎓</w:t>
            </w:r>
          </w:p>
        </w:tc>
      </w:tr>
      <w:tr w14:paraId="79D88373">
        <w:tblPrEx>
          <w:tblCellMar>
            <w:top w:w="0" w:type="dxa"/>
            <w:left w:w="0" w:type="dxa"/>
            <w:bottom w:w="0" w:type="dxa"/>
            <w:right w:w="0" w:type="dxa"/>
          </w:tblCellMar>
        </w:tblPrEx>
        <w:trPr>
          <w:wBefore w:w="0" w:type="auto"/>
          <w:tblCellSpacing w:w="0" w:type="dxa"/>
        </w:trPr>
        <w:tc>
          <w:tcPr>
            <w:tcW w:w="0" w:type="auto"/>
            <w:noWrap w:val="0"/>
            <w:vAlign w:val="center"/>
          </w:tcPr>
          <w:p w14:paraId="013325F8">
            <w:r>
              <w:rPr>
                <w:rStyle w:val="10"/>
                <w:rFonts w:hint="eastAsia"/>
              </w:rPr>
              <w:t>剂型：</w:t>
            </w:r>
            <w:r>
              <w:rPr>
                <w:rFonts w:hint="eastAsia"/>
              </w:rPr>
              <w:t>可溶液剂</w:t>
            </w:r>
          </w:p>
        </w:tc>
      </w:tr>
      <w:tr w14:paraId="020802FD">
        <w:tblPrEx>
          <w:tblCellMar>
            <w:top w:w="0" w:type="dxa"/>
            <w:left w:w="0" w:type="dxa"/>
            <w:bottom w:w="0" w:type="dxa"/>
            <w:right w:w="0" w:type="dxa"/>
          </w:tblCellMar>
        </w:tblPrEx>
        <w:trPr>
          <w:wBefore w:w="0" w:type="auto"/>
          <w:tblCellSpacing w:w="0" w:type="dxa"/>
        </w:trPr>
        <w:tc>
          <w:tcPr>
            <w:tcW w:w="0" w:type="auto"/>
            <w:noWrap w:val="0"/>
            <w:vAlign w:val="center"/>
          </w:tcPr>
          <w:p w14:paraId="49DD5458">
            <w:r>
              <w:rPr>
                <w:rStyle w:val="10"/>
                <w:rFonts w:hint="eastAsia"/>
              </w:rPr>
              <w:t>毒性及其标识：</w:t>
            </w:r>
            <w:r>
              <w:rPr>
                <w:rFonts w:hint="eastAsia"/>
              </w:rPr>
              <w:t xml:space="preserve"> </w:t>
            </w:r>
            <w:r>
              <w:rPr>
                <w:lang/>
              </w:rPr>
              <w:drawing>
                <wp:inline distT="0" distB="0" distL="114300" distR="114300">
                  <wp:extent cx="476250" cy="323850"/>
                  <wp:effectExtent l="0" t="0" r="0" b="0"/>
                  <wp:docPr id="122" name="图片 12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12BCD05">
        <w:tblPrEx>
          <w:tblCellMar>
            <w:top w:w="0" w:type="dxa"/>
            <w:left w:w="0" w:type="dxa"/>
            <w:bottom w:w="0" w:type="dxa"/>
            <w:right w:w="0" w:type="dxa"/>
          </w:tblCellMar>
        </w:tblPrEx>
        <w:trPr>
          <w:wBefore w:w="0" w:type="auto"/>
          <w:tblCellSpacing w:w="0" w:type="dxa"/>
        </w:trPr>
        <w:tc>
          <w:tcPr>
            <w:tcW w:w="0" w:type="auto"/>
            <w:noWrap w:val="0"/>
            <w:vAlign w:val="center"/>
          </w:tcPr>
          <w:p w14:paraId="124B287E">
            <w:r>
              <w:rPr>
                <w:rStyle w:val="10"/>
                <w:rFonts w:hint="eastAsia"/>
              </w:rPr>
              <w:t>总有效成分含量：</w:t>
            </w:r>
            <w:r>
              <w:rPr>
                <w:rFonts w:hint="eastAsia"/>
              </w:rPr>
              <w:t>25%</w:t>
            </w:r>
          </w:p>
        </w:tc>
      </w:tr>
      <w:tr w14:paraId="17766169">
        <w:tblPrEx>
          <w:tblCellMar>
            <w:top w:w="0" w:type="dxa"/>
            <w:left w:w="0" w:type="dxa"/>
            <w:bottom w:w="0" w:type="dxa"/>
            <w:right w:w="0" w:type="dxa"/>
          </w:tblCellMar>
        </w:tblPrEx>
        <w:trPr>
          <w:wBefore w:w="0" w:type="auto"/>
          <w:tblCellSpacing w:w="0" w:type="dxa"/>
        </w:trPr>
        <w:tc>
          <w:tcPr>
            <w:tcW w:w="0" w:type="auto"/>
            <w:noWrap w:val="0"/>
            <w:vAlign w:val="center"/>
          </w:tcPr>
          <w:p w14:paraId="44C41346">
            <w:r>
              <w:rPr>
                <w:rFonts w:hint="eastAsia"/>
              </w:rPr>
              <w:t xml:space="preserve">有效成分及其含量： </w:t>
            </w:r>
          </w:p>
          <w:p w14:paraId="054BF1DB">
            <w:r>
              <w:rPr>
                <w:rFonts w:hint="eastAsia"/>
              </w:rPr>
              <w:t xml:space="preserve">    甲哌鎓24.998%    24-表芸苔素内酯0.002%    </w:t>
            </w:r>
          </w:p>
        </w:tc>
      </w:tr>
      <w:tr w14:paraId="7A622B50">
        <w:tblPrEx>
          <w:tblCellMar>
            <w:top w:w="0" w:type="dxa"/>
            <w:left w:w="0" w:type="dxa"/>
            <w:bottom w:w="0" w:type="dxa"/>
            <w:right w:w="0" w:type="dxa"/>
          </w:tblCellMar>
        </w:tblPrEx>
        <w:trPr>
          <w:wBefore w:w="0" w:type="auto"/>
          <w:tblCellSpacing w:w="0" w:type="dxa"/>
        </w:trPr>
        <w:tc>
          <w:tcPr>
            <w:tcW w:w="0" w:type="auto"/>
            <w:noWrap w:val="0"/>
            <w:vAlign w:val="center"/>
          </w:tcPr>
          <w:p w14:paraId="6FB7F42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F326B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C5E1E5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A5FB88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BDEBB5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4122A76">
                  <w:r>
                    <w:rPr>
                      <w:rStyle w:val="11"/>
                      <w:rFonts w:hint="eastAsia"/>
                    </w:rPr>
                    <w:t>施用方式</w:t>
                  </w:r>
                </w:p>
              </w:tc>
            </w:tr>
            <w:tr w14:paraId="1B576A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A46ECB5">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160A80">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1D2A3C">
                  <w:r>
                    <w:rPr>
                      <w:rStyle w:val="11"/>
                      <w:rFonts w:hint="eastAsia"/>
                    </w:rPr>
                    <w:t>13-16毫升/亩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2A3AA6">
                  <w:r>
                    <w:rPr>
                      <w:rStyle w:val="11"/>
                      <w:rFonts w:hint="eastAsia"/>
                    </w:rPr>
                    <w:t>喷雾</w:t>
                  </w:r>
                </w:p>
              </w:tc>
            </w:tr>
          </w:tbl>
          <w:p w14:paraId="3911A709">
            <w:pPr>
              <w:rPr>
                <w:rFonts w:ascii="Times New Roman" w:hAnsi="Times New Roman" w:cs="Times New Roman"/>
                <w:sz w:val="20"/>
                <w:szCs w:val="20"/>
              </w:rPr>
            </w:pPr>
          </w:p>
        </w:tc>
      </w:tr>
      <w:tr w14:paraId="259EB2CE">
        <w:tblPrEx>
          <w:tblCellMar>
            <w:top w:w="0" w:type="dxa"/>
            <w:left w:w="0" w:type="dxa"/>
            <w:bottom w:w="0" w:type="dxa"/>
            <w:right w:w="0" w:type="dxa"/>
          </w:tblCellMar>
        </w:tblPrEx>
        <w:trPr>
          <w:wBefore w:w="0" w:type="auto"/>
          <w:tblCellSpacing w:w="0" w:type="dxa"/>
        </w:trPr>
        <w:tc>
          <w:tcPr>
            <w:tcW w:w="0" w:type="auto"/>
            <w:noWrap w:val="0"/>
            <w:vAlign w:val="center"/>
          </w:tcPr>
          <w:p w14:paraId="1475E675">
            <w:r>
              <w:rPr>
                <w:rStyle w:val="10"/>
                <w:rFonts w:hint="eastAsia"/>
              </w:rPr>
              <w:t>使用技术要求:</w:t>
            </w:r>
            <w:r>
              <w:rPr>
                <w:rFonts w:hint="eastAsia"/>
              </w:rPr>
              <w:br w:type="textWrapping"/>
            </w:r>
            <w:r>
              <w:rPr>
                <w:rStyle w:val="11"/>
                <w:rFonts w:hint="eastAsia"/>
              </w:rPr>
              <w:t>1. 于棉花初花期和盛花期各喷雾施药1次，重点喷棉花中上部叶片正面。施药时应重点喷施棉花中上部叶片正面，兼顾棉株其他部位。2. 本产品在棉花上使用每季作物最多使用2次，安全间隔期为60天。3. 大风天或预计1小时内降雨，请勿施药。</w:t>
            </w:r>
          </w:p>
        </w:tc>
      </w:tr>
      <w:tr w14:paraId="7B4A9A9E">
        <w:tblPrEx>
          <w:tblCellMar>
            <w:top w:w="0" w:type="dxa"/>
            <w:left w:w="0" w:type="dxa"/>
            <w:bottom w:w="0" w:type="dxa"/>
            <w:right w:w="0" w:type="dxa"/>
          </w:tblCellMar>
        </w:tblPrEx>
        <w:trPr>
          <w:wBefore w:w="0" w:type="auto"/>
          <w:tblCellSpacing w:w="0" w:type="dxa"/>
        </w:trPr>
        <w:tc>
          <w:tcPr>
            <w:tcW w:w="0" w:type="auto"/>
            <w:noWrap w:val="0"/>
            <w:vAlign w:val="center"/>
          </w:tcPr>
          <w:p w14:paraId="5F7CD759">
            <w:r>
              <w:rPr>
                <w:rStyle w:val="10"/>
                <w:rFonts w:hint="eastAsia"/>
              </w:rPr>
              <w:t>产品性能:</w:t>
            </w:r>
            <w:r>
              <w:rPr>
                <w:rFonts w:hint="eastAsia"/>
              </w:rPr>
              <w:br w:type="textWrapping"/>
            </w:r>
            <w:r>
              <w:rPr>
                <w:rStyle w:val="11"/>
                <w:rFonts w:hint="eastAsia"/>
              </w:rPr>
              <w:t xml:space="preserve">本品是由24-表芸苔素内酯和甲哌鎓复配而成的植物调节生长剂，24-表芸苔素内酯具有强力生根、促进生长、提苗、壮苗、保苗、黄叶病叶变绿、促进果实膨大早熟、减轻病害缓解药害、协调营养平衡、抗旱抗寒、增强作物抗逆性等多重功能。甲哌鎓对植物有较好的内吸传导作用，可被根、嫩枝、叶片吸收，很快传导到其它部位，能促进植物的生殖生长，抑制茎叶疯长、控制侧枝、塑造理想株型，提高根系数量和活力，使果实增重，品质提高。按登记剂量使用时，对棉花生产有较好的调节作用。 </w:t>
            </w:r>
          </w:p>
        </w:tc>
      </w:tr>
      <w:tr w14:paraId="255DB6A1">
        <w:tblPrEx>
          <w:tblCellMar>
            <w:top w:w="0" w:type="dxa"/>
            <w:left w:w="0" w:type="dxa"/>
            <w:bottom w:w="0" w:type="dxa"/>
            <w:right w:w="0" w:type="dxa"/>
          </w:tblCellMar>
        </w:tblPrEx>
        <w:trPr>
          <w:wBefore w:w="0" w:type="auto"/>
          <w:tblCellSpacing w:w="0" w:type="dxa"/>
        </w:trPr>
        <w:tc>
          <w:tcPr>
            <w:tcW w:w="0" w:type="auto"/>
            <w:noWrap w:val="0"/>
            <w:vAlign w:val="center"/>
          </w:tcPr>
          <w:p w14:paraId="47E65534">
            <w:r>
              <w:rPr>
                <w:rStyle w:val="10"/>
                <w:rFonts w:hint="eastAsia"/>
              </w:rPr>
              <w:t>注意事项：</w:t>
            </w:r>
            <w:r>
              <w:rPr>
                <w:rFonts w:hint="eastAsia"/>
              </w:rPr>
              <w:br w:type="textWrapping"/>
            </w:r>
            <w:r>
              <w:rPr>
                <w:rStyle w:val="11"/>
                <w:rFonts w:hint="eastAsia"/>
              </w:rPr>
              <w:t>1. 严格按照规定用药量和方法使用。2. 本产品不可与碱性物质混用；可与中性、弱酸性农药混用。建议与其他作用机制不同的植物调节生长剂轮换使用，以延缓抗性产生。3. 禁止在河塘等水体中清洗施药器具。远离水产养殖区、河塘等水体施药。4. 使用本品时应穿防护服和戴手套，避免吸入药液。施药期间不可吃东西和饮水，施药后应及时洗手和洗脸。5. 用药后包装物及用过的容器应妥善处理，不可做他用，也不可随意丢弃。6. 孕妇及哺乳期妇女禁止接触本品。</w:t>
            </w:r>
          </w:p>
        </w:tc>
      </w:tr>
      <w:tr w14:paraId="2B9F552B">
        <w:tblPrEx>
          <w:tblCellMar>
            <w:top w:w="0" w:type="dxa"/>
            <w:left w:w="0" w:type="dxa"/>
            <w:bottom w:w="0" w:type="dxa"/>
            <w:right w:w="0" w:type="dxa"/>
          </w:tblCellMar>
        </w:tblPrEx>
        <w:trPr>
          <w:wBefore w:w="0" w:type="auto"/>
          <w:tblCellSpacing w:w="0" w:type="dxa"/>
        </w:trPr>
        <w:tc>
          <w:tcPr>
            <w:tcW w:w="0" w:type="auto"/>
            <w:noWrap w:val="0"/>
            <w:vAlign w:val="center"/>
          </w:tcPr>
          <w:p w14:paraId="483CDD9F">
            <w:r>
              <w:rPr>
                <w:rStyle w:val="10"/>
                <w:rFonts w:hint="eastAsia"/>
              </w:rPr>
              <w:t>中毒急救措施：</w:t>
            </w:r>
            <w:r>
              <w:rPr>
                <w:rFonts w:hint="eastAsia"/>
              </w:rPr>
              <w:br w:type="textWrapping"/>
            </w:r>
            <w:r>
              <w:rPr>
                <w:rStyle w:val="11"/>
                <w:rFonts w:hint="eastAsia"/>
              </w:rPr>
              <w:t>1. 对皮肤、眼睛无刺激症状，无中毒报道。急救治疗：2. 不慎药液接触皮肤，立即脱掉被污染的衣物，用肥皂和清水彻底清洗皮肤表面。3. 不慎药液接触眼睛，立即将眼睑翻开，用清水彻底冲洗至少15分钟，并请医生诊治。4. 不慎吸入：立即将吸入者转移到空气新鲜处，并请医生诊治。 5. 不慎误服，应立即催吐、洗胃、清洗口腔，还应携带此标签尽快去医院就诊，对症治疗（去除污物，注意生命体征），无特效解毒剂。</w:t>
            </w:r>
          </w:p>
        </w:tc>
      </w:tr>
      <w:tr w14:paraId="697F0C26">
        <w:tblPrEx>
          <w:tblCellMar>
            <w:top w:w="0" w:type="dxa"/>
            <w:left w:w="0" w:type="dxa"/>
            <w:bottom w:w="0" w:type="dxa"/>
            <w:right w:w="0" w:type="dxa"/>
          </w:tblCellMar>
        </w:tblPrEx>
        <w:trPr>
          <w:wBefore w:w="0" w:type="auto"/>
          <w:tblCellSpacing w:w="0" w:type="dxa"/>
        </w:trPr>
        <w:tc>
          <w:tcPr>
            <w:tcW w:w="0" w:type="auto"/>
            <w:noWrap w:val="0"/>
            <w:vAlign w:val="center"/>
          </w:tcPr>
          <w:p w14:paraId="2A255E5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同贮同运。运输时应注意防水防潮，避免雨淋；搬运时轻搬轻放，不可倒置。</w:t>
            </w:r>
          </w:p>
        </w:tc>
      </w:tr>
      <w:tr w14:paraId="715A8800">
        <w:tblPrEx>
          <w:tblCellMar>
            <w:top w:w="0" w:type="dxa"/>
            <w:left w:w="0" w:type="dxa"/>
            <w:bottom w:w="0" w:type="dxa"/>
            <w:right w:w="0" w:type="dxa"/>
          </w:tblCellMar>
        </w:tblPrEx>
        <w:trPr>
          <w:wBefore w:w="0" w:type="auto"/>
          <w:tblCellSpacing w:w="0" w:type="dxa"/>
        </w:trPr>
        <w:tc>
          <w:tcPr>
            <w:tcW w:w="0" w:type="auto"/>
            <w:noWrap w:val="0"/>
            <w:vAlign w:val="center"/>
          </w:tcPr>
          <w:p w14:paraId="22415C5E">
            <w:r>
              <w:rPr>
                <w:rStyle w:val="10"/>
                <w:rFonts w:hint="eastAsia"/>
              </w:rPr>
              <w:t>质量保证期：</w:t>
            </w:r>
            <w:r>
              <w:rPr>
                <w:rStyle w:val="11"/>
                <w:rFonts w:hint="eastAsia"/>
              </w:rPr>
              <w:t>2年</w:t>
            </w:r>
          </w:p>
        </w:tc>
      </w:tr>
      <w:tr w14:paraId="633DAFC0">
        <w:tblPrEx>
          <w:tblCellMar>
            <w:top w:w="0" w:type="dxa"/>
            <w:left w:w="0" w:type="dxa"/>
            <w:bottom w:w="0" w:type="dxa"/>
            <w:right w:w="0" w:type="dxa"/>
          </w:tblCellMar>
        </w:tblPrEx>
        <w:trPr>
          <w:wBefore w:w="0" w:type="auto"/>
          <w:tblCellSpacing w:w="0" w:type="dxa"/>
        </w:trPr>
        <w:tc>
          <w:tcPr>
            <w:tcW w:w="0" w:type="auto"/>
            <w:noWrap w:val="0"/>
            <w:vAlign w:val="center"/>
          </w:tcPr>
          <w:p w14:paraId="68FD7B0C">
            <w:r>
              <w:rPr>
                <w:rStyle w:val="10"/>
                <w:rFonts w:hint="eastAsia"/>
              </w:rPr>
              <w:t>备注：</w:t>
            </w:r>
          </w:p>
        </w:tc>
      </w:tr>
    </w:tbl>
    <w:p w14:paraId="17DE199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3EC642F">
        <w:tblPrEx>
          <w:tblCellMar>
            <w:top w:w="0" w:type="dxa"/>
            <w:left w:w="0" w:type="dxa"/>
            <w:bottom w:w="0" w:type="dxa"/>
            <w:right w:w="0" w:type="dxa"/>
          </w:tblCellMar>
        </w:tblPrEx>
        <w:trPr>
          <w:wBefore w:w="0" w:type="auto"/>
          <w:tblCellSpacing w:w="0" w:type="dxa"/>
        </w:trPr>
        <w:tc>
          <w:tcPr>
            <w:tcW w:w="0" w:type="auto"/>
            <w:noWrap w:val="0"/>
            <w:vAlign w:val="center"/>
          </w:tcPr>
          <w:p w14:paraId="6C35A0D1">
            <w:r>
              <w:rPr>
                <w:rStyle w:val="10"/>
                <w:rFonts w:hint="eastAsia"/>
              </w:rPr>
              <w:t>登记证号：</w:t>
            </w:r>
            <w:r>
              <w:rPr>
                <w:rFonts w:hint="eastAsia"/>
              </w:rPr>
              <w:t>PD20212246</w:t>
            </w:r>
          </w:p>
        </w:tc>
      </w:tr>
      <w:tr w14:paraId="3A39CA80">
        <w:tblPrEx>
          <w:tblCellMar>
            <w:top w:w="0" w:type="dxa"/>
            <w:left w:w="0" w:type="dxa"/>
            <w:bottom w:w="0" w:type="dxa"/>
            <w:right w:w="0" w:type="dxa"/>
          </w:tblCellMar>
        </w:tblPrEx>
        <w:trPr>
          <w:wBefore w:w="0" w:type="auto"/>
          <w:tblCellSpacing w:w="0" w:type="dxa"/>
        </w:trPr>
        <w:tc>
          <w:tcPr>
            <w:tcW w:w="0" w:type="auto"/>
            <w:noWrap w:val="0"/>
            <w:vAlign w:val="center"/>
          </w:tcPr>
          <w:p w14:paraId="0B126FB4">
            <w:r>
              <w:rPr>
                <w:rStyle w:val="10"/>
                <w:rFonts w:hint="eastAsia"/>
              </w:rPr>
              <w:t>登记证持有人：</w:t>
            </w:r>
            <w:r>
              <w:rPr>
                <w:rFonts w:hint="eastAsia"/>
              </w:rPr>
              <w:t>广西田园生化股份有限公司</w:t>
            </w:r>
          </w:p>
        </w:tc>
      </w:tr>
      <w:tr w14:paraId="4DD70E76">
        <w:tblPrEx>
          <w:tblCellMar>
            <w:top w:w="0" w:type="dxa"/>
            <w:left w:w="0" w:type="dxa"/>
            <w:bottom w:w="0" w:type="dxa"/>
            <w:right w:w="0" w:type="dxa"/>
          </w:tblCellMar>
        </w:tblPrEx>
        <w:trPr>
          <w:wBefore w:w="0" w:type="auto"/>
          <w:tblCellSpacing w:w="0" w:type="dxa"/>
        </w:trPr>
        <w:tc>
          <w:tcPr>
            <w:tcW w:w="0" w:type="auto"/>
            <w:noWrap w:val="0"/>
            <w:vAlign w:val="center"/>
          </w:tcPr>
          <w:p w14:paraId="6023AF27">
            <w:r>
              <w:rPr>
                <w:rStyle w:val="10"/>
                <w:rFonts w:hint="eastAsia"/>
              </w:rPr>
              <w:t>农药名称：</w:t>
            </w:r>
            <w:r>
              <w:rPr>
                <w:rFonts w:hint="eastAsia"/>
              </w:rPr>
              <w:t>草甘膦铵盐</w:t>
            </w:r>
          </w:p>
        </w:tc>
      </w:tr>
      <w:tr w14:paraId="6BC95708">
        <w:tblPrEx>
          <w:tblCellMar>
            <w:top w:w="0" w:type="dxa"/>
            <w:left w:w="0" w:type="dxa"/>
            <w:bottom w:w="0" w:type="dxa"/>
            <w:right w:w="0" w:type="dxa"/>
          </w:tblCellMar>
        </w:tblPrEx>
        <w:trPr>
          <w:wBefore w:w="0" w:type="auto"/>
          <w:tblCellSpacing w:w="0" w:type="dxa"/>
        </w:trPr>
        <w:tc>
          <w:tcPr>
            <w:tcW w:w="0" w:type="auto"/>
            <w:noWrap w:val="0"/>
            <w:vAlign w:val="center"/>
          </w:tcPr>
          <w:p w14:paraId="4C6A72A6">
            <w:r>
              <w:rPr>
                <w:rStyle w:val="10"/>
                <w:rFonts w:hint="eastAsia"/>
              </w:rPr>
              <w:t>剂型：</w:t>
            </w:r>
            <w:r>
              <w:rPr>
                <w:rFonts w:hint="eastAsia"/>
              </w:rPr>
              <w:t>可溶液剂</w:t>
            </w:r>
          </w:p>
        </w:tc>
      </w:tr>
      <w:tr w14:paraId="3733BD10">
        <w:tblPrEx>
          <w:tblCellMar>
            <w:top w:w="0" w:type="dxa"/>
            <w:left w:w="0" w:type="dxa"/>
            <w:bottom w:w="0" w:type="dxa"/>
            <w:right w:w="0" w:type="dxa"/>
          </w:tblCellMar>
        </w:tblPrEx>
        <w:trPr>
          <w:wBefore w:w="0" w:type="auto"/>
          <w:tblCellSpacing w:w="0" w:type="dxa"/>
        </w:trPr>
        <w:tc>
          <w:tcPr>
            <w:tcW w:w="0" w:type="auto"/>
            <w:noWrap w:val="0"/>
            <w:vAlign w:val="center"/>
          </w:tcPr>
          <w:p w14:paraId="72AA3A2A">
            <w:r>
              <w:rPr>
                <w:rStyle w:val="10"/>
                <w:rFonts w:hint="eastAsia"/>
              </w:rPr>
              <w:t>毒性及其标识：</w:t>
            </w:r>
            <w:r>
              <w:rPr>
                <w:rFonts w:hint="eastAsia"/>
              </w:rPr>
              <w:t xml:space="preserve"> </w:t>
            </w:r>
            <w:r>
              <w:rPr>
                <w:lang/>
              </w:rPr>
              <w:drawing>
                <wp:inline distT="0" distB="0" distL="114300" distR="114300">
                  <wp:extent cx="476250" cy="323850"/>
                  <wp:effectExtent l="0" t="0" r="0" b="0"/>
                  <wp:docPr id="123" name="图片 12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D5B8363">
        <w:tblPrEx>
          <w:tblCellMar>
            <w:top w:w="0" w:type="dxa"/>
            <w:left w:w="0" w:type="dxa"/>
            <w:bottom w:w="0" w:type="dxa"/>
            <w:right w:w="0" w:type="dxa"/>
          </w:tblCellMar>
        </w:tblPrEx>
        <w:trPr>
          <w:wBefore w:w="0" w:type="auto"/>
          <w:tblCellSpacing w:w="0" w:type="dxa"/>
        </w:trPr>
        <w:tc>
          <w:tcPr>
            <w:tcW w:w="0" w:type="auto"/>
            <w:noWrap w:val="0"/>
            <w:vAlign w:val="center"/>
          </w:tcPr>
          <w:p w14:paraId="0BC9F302">
            <w:r>
              <w:rPr>
                <w:rStyle w:val="10"/>
                <w:rFonts w:hint="eastAsia"/>
              </w:rPr>
              <w:t>总有效成分含量：</w:t>
            </w:r>
            <w:r>
              <w:rPr>
                <w:rFonts w:hint="eastAsia"/>
              </w:rPr>
              <w:t>30%</w:t>
            </w:r>
          </w:p>
        </w:tc>
      </w:tr>
      <w:tr w14:paraId="55AA4B2D">
        <w:tblPrEx>
          <w:tblCellMar>
            <w:top w:w="0" w:type="dxa"/>
            <w:left w:w="0" w:type="dxa"/>
            <w:bottom w:w="0" w:type="dxa"/>
            <w:right w:w="0" w:type="dxa"/>
          </w:tblCellMar>
        </w:tblPrEx>
        <w:trPr>
          <w:wBefore w:w="0" w:type="auto"/>
          <w:tblCellSpacing w:w="0" w:type="dxa"/>
        </w:trPr>
        <w:tc>
          <w:tcPr>
            <w:tcW w:w="0" w:type="auto"/>
            <w:noWrap w:val="0"/>
            <w:vAlign w:val="center"/>
          </w:tcPr>
          <w:p w14:paraId="674F7618">
            <w:r>
              <w:rPr>
                <w:rFonts w:hint="eastAsia"/>
              </w:rPr>
              <w:t xml:space="preserve">有效成分及其含量： </w:t>
            </w:r>
          </w:p>
          <w:p w14:paraId="08CB8A81">
            <w:r>
              <w:rPr>
                <w:rFonts w:hint="eastAsia"/>
              </w:rPr>
              <w:t xml:space="preserve">    草甘膦30%    </w:t>
            </w:r>
          </w:p>
        </w:tc>
      </w:tr>
      <w:tr w14:paraId="551332CC">
        <w:tblPrEx>
          <w:tblCellMar>
            <w:top w:w="0" w:type="dxa"/>
            <w:left w:w="0" w:type="dxa"/>
            <w:bottom w:w="0" w:type="dxa"/>
            <w:right w:w="0" w:type="dxa"/>
          </w:tblCellMar>
        </w:tblPrEx>
        <w:trPr>
          <w:wBefore w:w="0" w:type="auto"/>
          <w:tblCellSpacing w:w="0" w:type="dxa"/>
        </w:trPr>
        <w:tc>
          <w:tcPr>
            <w:tcW w:w="0" w:type="auto"/>
            <w:noWrap w:val="0"/>
            <w:vAlign w:val="center"/>
          </w:tcPr>
          <w:p w14:paraId="02DFF5F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A2353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628606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AD187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77CEA4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FC0908">
                  <w:r>
                    <w:rPr>
                      <w:rStyle w:val="11"/>
                      <w:rFonts w:hint="eastAsia"/>
                    </w:rPr>
                    <w:t>施用方式</w:t>
                  </w:r>
                </w:p>
              </w:tc>
            </w:tr>
            <w:tr w14:paraId="7B200E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B612679">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F4BB0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B4014F">
                  <w:r>
                    <w:rPr>
                      <w:rStyle w:val="11"/>
                      <w:rFonts w:hint="eastAsia"/>
                    </w:rPr>
                    <w:t>250-500毫升/亩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5691E1">
                  <w:r>
                    <w:rPr>
                      <w:rStyle w:val="11"/>
                      <w:rFonts w:hint="eastAsia"/>
                    </w:rPr>
                    <w:t>茎叶喷雾</w:t>
                  </w:r>
                </w:p>
              </w:tc>
            </w:tr>
          </w:tbl>
          <w:p w14:paraId="03F864A9">
            <w:pPr>
              <w:rPr>
                <w:rFonts w:ascii="Times New Roman" w:hAnsi="Times New Roman" w:cs="Times New Roman"/>
                <w:sz w:val="20"/>
                <w:szCs w:val="20"/>
              </w:rPr>
            </w:pPr>
          </w:p>
        </w:tc>
      </w:tr>
      <w:tr w14:paraId="55B0F2D4">
        <w:tblPrEx>
          <w:tblCellMar>
            <w:top w:w="0" w:type="dxa"/>
            <w:left w:w="0" w:type="dxa"/>
            <w:bottom w:w="0" w:type="dxa"/>
            <w:right w:w="0" w:type="dxa"/>
          </w:tblCellMar>
        </w:tblPrEx>
        <w:trPr>
          <w:wBefore w:w="0" w:type="auto"/>
          <w:tblCellSpacing w:w="0" w:type="dxa"/>
        </w:trPr>
        <w:tc>
          <w:tcPr>
            <w:tcW w:w="0" w:type="auto"/>
            <w:noWrap w:val="0"/>
            <w:vAlign w:val="center"/>
          </w:tcPr>
          <w:p w14:paraId="05BB3E7C">
            <w:r>
              <w:rPr>
                <w:rStyle w:val="10"/>
                <w:rFonts w:hint="eastAsia"/>
              </w:rPr>
              <w:t>使用技术要求:</w:t>
            </w:r>
            <w:r>
              <w:rPr>
                <w:rFonts w:hint="eastAsia"/>
              </w:rPr>
              <w:br w:type="textWrapping"/>
            </w:r>
            <w:r>
              <w:rPr>
                <w:rStyle w:val="11"/>
                <w:rFonts w:hint="eastAsia"/>
              </w:rPr>
              <w:t>1、本品应于杂草生长旺盛期施药，注意喷雾均匀周到。2、本品需用清水配药，勿用浊水，以免减低药效，药后3－4小时内下雨，药效可能会降低。3、安全使用标准：每季最多使用1次。4、避免飘移药害。</w:t>
            </w:r>
          </w:p>
        </w:tc>
      </w:tr>
      <w:tr w14:paraId="306DEAEA">
        <w:tblPrEx>
          <w:tblCellMar>
            <w:top w:w="0" w:type="dxa"/>
            <w:left w:w="0" w:type="dxa"/>
            <w:bottom w:w="0" w:type="dxa"/>
            <w:right w:w="0" w:type="dxa"/>
          </w:tblCellMar>
        </w:tblPrEx>
        <w:trPr>
          <w:wBefore w:w="0" w:type="auto"/>
          <w:tblCellSpacing w:w="0" w:type="dxa"/>
        </w:trPr>
        <w:tc>
          <w:tcPr>
            <w:tcW w:w="0" w:type="auto"/>
            <w:noWrap w:val="0"/>
            <w:vAlign w:val="center"/>
          </w:tcPr>
          <w:p w14:paraId="42E49C43">
            <w:r>
              <w:rPr>
                <w:rStyle w:val="10"/>
                <w:rFonts w:hint="eastAsia"/>
              </w:rPr>
              <w:t>产品性能:</w:t>
            </w:r>
            <w:r>
              <w:rPr>
                <w:rFonts w:hint="eastAsia"/>
              </w:rPr>
              <w:br w:type="textWrapping"/>
            </w:r>
            <w:r>
              <w:rPr>
                <w:rStyle w:val="11"/>
                <w:rFonts w:hint="eastAsia"/>
              </w:rPr>
              <w:t>本品为有机磷类内吸传导型广谱灭生性除草剂，主要通过抑制植物体内烯醇丙酮基莽草素磷酸合成酶，从而抑制莽草素向苯丙氨酸、酪氨酸及色氨酸的转化，使蛋白质的合成受到干扰导致植物死亡。</w:t>
            </w:r>
          </w:p>
        </w:tc>
      </w:tr>
      <w:tr w14:paraId="7EEDA8A6">
        <w:tblPrEx>
          <w:tblCellMar>
            <w:top w:w="0" w:type="dxa"/>
            <w:left w:w="0" w:type="dxa"/>
            <w:bottom w:w="0" w:type="dxa"/>
            <w:right w:w="0" w:type="dxa"/>
          </w:tblCellMar>
        </w:tblPrEx>
        <w:trPr>
          <w:wBefore w:w="0" w:type="auto"/>
          <w:tblCellSpacing w:w="0" w:type="dxa"/>
        </w:trPr>
        <w:tc>
          <w:tcPr>
            <w:tcW w:w="0" w:type="auto"/>
            <w:noWrap w:val="0"/>
            <w:vAlign w:val="center"/>
          </w:tcPr>
          <w:p w14:paraId="6A5F3E73">
            <w:r>
              <w:rPr>
                <w:rStyle w:val="10"/>
                <w:rFonts w:hint="eastAsia"/>
              </w:rPr>
              <w:t>注意事项：</w:t>
            </w:r>
            <w:r>
              <w:rPr>
                <w:rFonts w:hint="eastAsia"/>
              </w:rPr>
              <w:br w:type="textWrapping"/>
            </w:r>
            <w:r>
              <w:rPr>
                <w:rStyle w:val="11"/>
                <w:rFonts w:hint="eastAsia"/>
              </w:rPr>
              <w:t>1.本品为非耕地除草剂，不能用于农田除草。禁止在田间道路、田埂、果树行间、休耕地、林场林地等农林业区域使用。2.使用时需定向均匀全面喷雾，喷雾时喷头上应加装保护罩，注意避免施药时药液飘移到临近作物。3.施药时远离水产养殖区、河塘等水体，禁止在河塘等水体中清洗施药器具。鸟类保护区禁用。蚕室及桑园附近禁用，桑园附近使用时以最外围桑树作为隔离带。4.本品对家禽及牲畜有害，施药后5天内勿割草、放牧和翻地。5.本品对眼睛有刺激性，使用本品应采取相应的安全防护措施，穿防护服，戴防护手套、口罩、护目镜等，避免皮肤接触及口鼻吸入。使用中不可吸烟、饮水及吃东西，使用后及时清洗手、脸等暴露部位皮肤并更换衣物。6.用药后包装物及用过的容器应妥善处理，不可做他用，也不可随意丢弃。7.孕妇及哺乳期妇女禁止接触本品。</w:t>
            </w:r>
          </w:p>
        </w:tc>
      </w:tr>
      <w:tr w14:paraId="0AC177A0">
        <w:tblPrEx>
          <w:tblCellMar>
            <w:top w:w="0" w:type="dxa"/>
            <w:left w:w="0" w:type="dxa"/>
            <w:bottom w:w="0" w:type="dxa"/>
            <w:right w:w="0" w:type="dxa"/>
          </w:tblCellMar>
        </w:tblPrEx>
        <w:trPr>
          <w:wBefore w:w="0" w:type="auto"/>
          <w:tblCellSpacing w:w="0" w:type="dxa"/>
        </w:trPr>
        <w:tc>
          <w:tcPr>
            <w:tcW w:w="0" w:type="auto"/>
            <w:noWrap w:val="0"/>
            <w:vAlign w:val="center"/>
          </w:tcPr>
          <w:p w14:paraId="689D0B19">
            <w:r>
              <w:rPr>
                <w:rStyle w:val="10"/>
                <w:rFonts w:hint="eastAsia"/>
              </w:rPr>
              <w:t>中毒急救措施：</w:t>
            </w:r>
            <w:r>
              <w:rPr>
                <w:rFonts w:hint="eastAsia"/>
              </w:rPr>
              <w:br w:type="textWrapping"/>
            </w:r>
            <w:r>
              <w:rPr>
                <w:rStyle w:val="11"/>
                <w:rFonts w:hint="eastAsia"/>
              </w:rPr>
              <w:t>中毒症状表现为头晕、恶心、呕吐等。 若本产品溅到皮肤上，用大量清水及肥皂洗干净。 溅入眼睛中，立即用清水冲洗至少15分钟，仍有不适时，就医。如不慎吸入，立即离开施药场地，到空气清新的地方，保持呼吸畅通。 误服，立即催吐，但勿给已昏迷的患者经口喂任何东西。并带标签送医诊治，进行对症治疗。无特效解毒剂。</w:t>
            </w:r>
          </w:p>
        </w:tc>
      </w:tr>
      <w:tr w14:paraId="04878DB6">
        <w:tblPrEx>
          <w:tblCellMar>
            <w:top w:w="0" w:type="dxa"/>
            <w:left w:w="0" w:type="dxa"/>
            <w:bottom w:w="0" w:type="dxa"/>
            <w:right w:w="0" w:type="dxa"/>
          </w:tblCellMar>
        </w:tblPrEx>
        <w:trPr>
          <w:wBefore w:w="0" w:type="auto"/>
          <w:tblCellSpacing w:w="0" w:type="dxa"/>
        </w:trPr>
        <w:tc>
          <w:tcPr>
            <w:tcW w:w="0" w:type="auto"/>
            <w:noWrap w:val="0"/>
            <w:vAlign w:val="center"/>
          </w:tcPr>
          <w:p w14:paraId="58B41D6B">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同贮同运。贮存或运输时堆层不得超过规定，注意轻拿轻放，以免损坏包装，导致产品泄露。</w:t>
            </w:r>
          </w:p>
        </w:tc>
      </w:tr>
      <w:tr w14:paraId="0873F3C1">
        <w:tblPrEx>
          <w:tblCellMar>
            <w:top w:w="0" w:type="dxa"/>
            <w:left w:w="0" w:type="dxa"/>
            <w:bottom w:w="0" w:type="dxa"/>
            <w:right w:w="0" w:type="dxa"/>
          </w:tblCellMar>
        </w:tblPrEx>
        <w:trPr>
          <w:wBefore w:w="0" w:type="auto"/>
          <w:tblCellSpacing w:w="0" w:type="dxa"/>
        </w:trPr>
        <w:tc>
          <w:tcPr>
            <w:tcW w:w="0" w:type="auto"/>
            <w:noWrap w:val="0"/>
            <w:vAlign w:val="center"/>
          </w:tcPr>
          <w:p w14:paraId="6C8B36F3">
            <w:r>
              <w:rPr>
                <w:rStyle w:val="10"/>
                <w:rFonts w:hint="eastAsia"/>
              </w:rPr>
              <w:t>质量保证期：</w:t>
            </w:r>
            <w:r>
              <w:rPr>
                <w:rStyle w:val="11"/>
                <w:rFonts w:hint="eastAsia"/>
              </w:rPr>
              <w:t>2年</w:t>
            </w:r>
          </w:p>
        </w:tc>
      </w:tr>
      <w:tr w14:paraId="7B8A5A6E">
        <w:tblPrEx>
          <w:tblCellMar>
            <w:top w:w="0" w:type="dxa"/>
            <w:left w:w="0" w:type="dxa"/>
            <w:bottom w:w="0" w:type="dxa"/>
            <w:right w:w="0" w:type="dxa"/>
          </w:tblCellMar>
        </w:tblPrEx>
        <w:trPr>
          <w:wBefore w:w="0" w:type="auto"/>
          <w:tblCellSpacing w:w="0" w:type="dxa"/>
        </w:trPr>
        <w:tc>
          <w:tcPr>
            <w:tcW w:w="0" w:type="auto"/>
            <w:noWrap w:val="0"/>
            <w:vAlign w:val="center"/>
          </w:tcPr>
          <w:p w14:paraId="6EE32753">
            <w:r>
              <w:rPr>
                <w:rStyle w:val="10"/>
                <w:rFonts w:hint="eastAsia"/>
              </w:rPr>
              <w:t>备注：</w:t>
            </w:r>
            <w:r>
              <w:rPr>
                <w:rFonts w:hint="eastAsia"/>
              </w:rPr>
              <w:br w:type="textWrapping"/>
            </w:r>
            <w:r>
              <w:rPr>
                <w:rStyle w:val="11"/>
                <w:rFonts w:hint="eastAsia"/>
              </w:rPr>
              <w:t>草甘膦铵盐质量分数33%</w:t>
            </w:r>
          </w:p>
        </w:tc>
      </w:tr>
    </w:tbl>
    <w:p w14:paraId="63B0111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7218F5B">
        <w:tblPrEx>
          <w:tblCellMar>
            <w:top w:w="0" w:type="dxa"/>
            <w:left w:w="0" w:type="dxa"/>
            <w:bottom w:w="0" w:type="dxa"/>
            <w:right w:w="0" w:type="dxa"/>
          </w:tblCellMar>
        </w:tblPrEx>
        <w:trPr>
          <w:wBefore w:w="0" w:type="auto"/>
          <w:tblCellSpacing w:w="0" w:type="dxa"/>
        </w:trPr>
        <w:tc>
          <w:tcPr>
            <w:tcW w:w="0" w:type="auto"/>
            <w:noWrap w:val="0"/>
            <w:vAlign w:val="center"/>
          </w:tcPr>
          <w:p w14:paraId="5A389F5F">
            <w:r>
              <w:rPr>
                <w:rStyle w:val="10"/>
                <w:rFonts w:hint="eastAsia"/>
              </w:rPr>
              <w:t>登记证号：</w:t>
            </w:r>
            <w:r>
              <w:rPr>
                <w:rFonts w:hint="eastAsia"/>
              </w:rPr>
              <w:t>PD20211896</w:t>
            </w:r>
          </w:p>
        </w:tc>
      </w:tr>
      <w:tr w14:paraId="152983BA">
        <w:tblPrEx>
          <w:tblCellMar>
            <w:top w:w="0" w:type="dxa"/>
            <w:left w:w="0" w:type="dxa"/>
            <w:bottom w:w="0" w:type="dxa"/>
            <w:right w:w="0" w:type="dxa"/>
          </w:tblCellMar>
        </w:tblPrEx>
        <w:trPr>
          <w:wBefore w:w="0" w:type="auto"/>
          <w:tblCellSpacing w:w="0" w:type="dxa"/>
        </w:trPr>
        <w:tc>
          <w:tcPr>
            <w:tcW w:w="0" w:type="auto"/>
            <w:noWrap w:val="0"/>
            <w:vAlign w:val="center"/>
          </w:tcPr>
          <w:p w14:paraId="79E03364">
            <w:r>
              <w:rPr>
                <w:rStyle w:val="10"/>
                <w:rFonts w:hint="eastAsia"/>
              </w:rPr>
              <w:t>登记证持有人：</w:t>
            </w:r>
            <w:r>
              <w:rPr>
                <w:rFonts w:hint="eastAsia"/>
              </w:rPr>
              <w:t>陕西汤普森生物科技有限公司</w:t>
            </w:r>
          </w:p>
        </w:tc>
      </w:tr>
      <w:tr w14:paraId="710F2CFB">
        <w:tblPrEx>
          <w:tblCellMar>
            <w:top w:w="0" w:type="dxa"/>
            <w:left w:w="0" w:type="dxa"/>
            <w:bottom w:w="0" w:type="dxa"/>
            <w:right w:w="0" w:type="dxa"/>
          </w:tblCellMar>
        </w:tblPrEx>
        <w:trPr>
          <w:wBefore w:w="0" w:type="auto"/>
          <w:tblCellSpacing w:w="0" w:type="dxa"/>
        </w:trPr>
        <w:tc>
          <w:tcPr>
            <w:tcW w:w="0" w:type="auto"/>
            <w:noWrap w:val="0"/>
            <w:vAlign w:val="center"/>
          </w:tcPr>
          <w:p w14:paraId="4D76C7A4">
            <w:r>
              <w:rPr>
                <w:rStyle w:val="10"/>
                <w:rFonts w:hint="eastAsia"/>
              </w:rPr>
              <w:t>农药名称：</w:t>
            </w:r>
            <w:r>
              <w:rPr>
                <w:rFonts w:hint="eastAsia"/>
              </w:rPr>
              <w:t>吡唑醚菌酯·硫酸铜钙</w:t>
            </w:r>
          </w:p>
        </w:tc>
      </w:tr>
      <w:tr w14:paraId="4E256F05">
        <w:tblPrEx>
          <w:tblCellMar>
            <w:top w:w="0" w:type="dxa"/>
            <w:left w:w="0" w:type="dxa"/>
            <w:bottom w:w="0" w:type="dxa"/>
            <w:right w:w="0" w:type="dxa"/>
          </w:tblCellMar>
        </w:tblPrEx>
        <w:trPr>
          <w:wBefore w:w="0" w:type="auto"/>
          <w:tblCellSpacing w:w="0" w:type="dxa"/>
        </w:trPr>
        <w:tc>
          <w:tcPr>
            <w:tcW w:w="0" w:type="auto"/>
            <w:noWrap w:val="0"/>
            <w:vAlign w:val="center"/>
          </w:tcPr>
          <w:p w14:paraId="4751AB2E">
            <w:r>
              <w:rPr>
                <w:rStyle w:val="10"/>
                <w:rFonts w:hint="eastAsia"/>
              </w:rPr>
              <w:t>剂型：</w:t>
            </w:r>
            <w:r>
              <w:rPr>
                <w:rFonts w:hint="eastAsia"/>
              </w:rPr>
              <w:t>水分散粒剂</w:t>
            </w:r>
          </w:p>
        </w:tc>
      </w:tr>
      <w:tr w14:paraId="501E0A28">
        <w:tblPrEx>
          <w:tblCellMar>
            <w:top w:w="0" w:type="dxa"/>
            <w:left w:w="0" w:type="dxa"/>
            <w:bottom w:w="0" w:type="dxa"/>
            <w:right w:w="0" w:type="dxa"/>
          </w:tblCellMar>
        </w:tblPrEx>
        <w:trPr>
          <w:wBefore w:w="0" w:type="auto"/>
          <w:tblCellSpacing w:w="0" w:type="dxa"/>
        </w:trPr>
        <w:tc>
          <w:tcPr>
            <w:tcW w:w="0" w:type="auto"/>
            <w:noWrap w:val="0"/>
            <w:vAlign w:val="center"/>
          </w:tcPr>
          <w:p w14:paraId="7CC3D465">
            <w:r>
              <w:rPr>
                <w:rStyle w:val="10"/>
                <w:rFonts w:hint="eastAsia"/>
              </w:rPr>
              <w:t>毒性及其标识：</w:t>
            </w:r>
            <w:r>
              <w:rPr>
                <w:rFonts w:hint="eastAsia"/>
              </w:rPr>
              <w:t xml:space="preserve"> </w:t>
            </w:r>
            <w:r>
              <w:rPr>
                <w:lang/>
              </w:rPr>
              <w:drawing>
                <wp:inline distT="0" distB="0" distL="114300" distR="114300">
                  <wp:extent cx="476250" cy="323850"/>
                  <wp:effectExtent l="0" t="0" r="0" b="0"/>
                  <wp:docPr id="124" name="图片 12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377163D">
        <w:tblPrEx>
          <w:tblCellMar>
            <w:top w:w="0" w:type="dxa"/>
            <w:left w:w="0" w:type="dxa"/>
            <w:bottom w:w="0" w:type="dxa"/>
            <w:right w:w="0" w:type="dxa"/>
          </w:tblCellMar>
        </w:tblPrEx>
        <w:trPr>
          <w:wBefore w:w="0" w:type="auto"/>
          <w:tblCellSpacing w:w="0" w:type="dxa"/>
        </w:trPr>
        <w:tc>
          <w:tcPr>
            <w:tcW w:w="0" w:type="auto"/>
            <w:noWrap w:val="0"/>
            <w:vAlign w:val="center"/>
          </w:tcPr>
          <w:p w14:paraId="2A093AB2">
            <w:r>
              <w:rPr>
                <w:rStyle w:val="10"/>
                <w:rFonts w:hint="eastAsia"/>
              </w:rPr>
              <w:t>总有效成分含量：</w:t>
            </w:r>
            <w:r>
              <w:rPr>
                <w:rFonts w:hint="eastAsia"/>
              </w:rPr>
              <w:t>70%</w:t>
            </w:r>
          </w:p>
        </w:tc>
      </w:tr>
      <w:tr w14:paraId="3BD4FD5C">
        <w:tblPrEx>
          <w:tblCellMar>
            <w:top w:w="0" w:type="dxa"/>
            <w:left w:w="0" w:type="dxa"/>
            <w:bottom w:w="0" w:type="dxa"/>
            <w:right w:w="0" w:type="dxa"/>
          </w:tblCellMar>
        </w:tblPrEx>
        <w:trPr>
          <w:wBefore w:w="0" w:type="auto"/>
          <w:tblCellSpacing w:w="0" w:type="dxa"/>
        </w:trPr>
        <w:tc>
          <w:tcPr>
            <w:tcW w:w="0" w:type="auto"/>
            <w:noWrap w:val="0"/>
            <w:vAlign w:val="center"/>
          </w:tcPr>
          <w:p w14:paraId="7A193537">
            <w:r>
              <w:rPr>
                <w:rFonts w:hint="eastAsia"/>
              </w:rPr>
              <w:t xml:space="preserve">有效成分及其含量： </w:t>
            </w:r>
          </w:p>
          <w:p w14:paraId="1FB6BA31">
            <w:r>
              <w:rPr>
                <w:rFonts w:hint="eastAsia"/>
              </w:rPr>
              <w:t xml:space="preserve">    吡唑醚菌酯10%    硫酸铜钙60%    </w:t>
            </w:r>
          </w:p>
        </w:tc>
      </w:tr>
      <w:tr w14:paraId="3F5698D5">
        <w:tblPrEx>
          <w:tblCellMar>
            <w:top w:w="0" w:type="dxa"/>
            <w:left w:w="0" w:type="dxa"/>
            <w:bottom w:w="0" w:type="dxa"/>
            <w:right w:w="0" w:type="dxa"/>
          </w:tblCellMar>
        </w:tblPrEx>
        <w:trPr>
          <w:wBefore w:w="0" w:type="auto"/>
          <w:tblCellSpacing w:w="0" w:type="dxa"/>
        </w:trPr>
        <w:tc>
          <w:tcPr>
            <w:tcW w:w="0" w:type="auto"/>
            <w:noWrap w:val="0"/>
            <w:vAlign w:val="center"/>
          </w:tcPr>
          <w:p w14:paraId="18B6B85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70FC1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BB6F50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33057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F52FAC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9AA6E68">
                  <w:r>
                    <w:rPr>
                      <w:rStyle w:val="11"/>
                      <w:rFonts w:hint="eastAsia"/>
                    </w:rPr>
                    <w:t>施用方式</w:t>
                  </w:r>
                </w:p>
              </w:tc>
            </w:tr>
            <w:tr w14:paraId="210177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ABD102">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6CBBC3">
                  <w:r>
                    <w:rPr>
                      <w:rStyle w:val="11"/>
                      <w:rFonts w:hint="eastAsia"/>
                    </w:rPr>
                    <w:t>树脂病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DFBFB9">
                  <w:r>
                    <w:rPr>
                      <w:rStyle w:val="11"/>
                      <w:rFonts w:hint="eastAsia"/>
                    </w:rPr>
                    <w:t>600-1000倍液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4322EA">
                  <w:r>
                    <w:rPr>
                      <w:rStyle w:val="11"/>
                      <w:rFonts w:hint="eastAsia"/>
                    </w:rPr>
                    <w:t>喷雾</w:t>
                  </w:r>
                </w:p>
              </w:tc>
            </w:tr>
          </w:tbl>
          <w:p w14:paraId="58F37DBA">
            <w:pPr>
              <w:rPr>
                <w:rFonts w:ascii="Times New Roman" w:hAnsi="Times New Roman" w:cs="Times New Roman"/>
                <w:sz w:val="20"/>
                <w:szCs w:val="20"/>
              </w:rPr>
            </w:pPr>
          </w:p>
        </w:tc>
      </w:tr>
      <w:tr w14:paraId="071AB44A">
        <w:tblPrEx>
          <w:tblCellMar>
            <w:top w:w="0" w:type="dxa"/>
            <w:left w:w="0" w:type="dxa"/>
            <w:bottom w:w="0" w:type="dxa"/>
            <w:right w:w="0" w:type="dxa"/>
          </w:tblCellMar>
        </w:tblPrEx>
        <w:trPr>
          <w:wBefore w:w="0" w:type="auto"/>
          <w:tblCellSpacing w:w="0" w:type="dxa"/>
        </w:trPr>
        <w:tc>
          <w:tcPr>
            <w:tcW w:w="0" w:type="auto"/>
            <w:noWrap w:val="0"/>
            <w:vAlign w:val="center"/>
          </w:tcPr>
          <w:p w14:paraId="5BD68331">
            <w:r>
              <w:rPr>
                <w:rStyle w:val="10"/>
                <w:rFonts w:hint="eastAsia"/>
              </w:rPr>
              <w:t>使用技术要求:</w:t>
            </w:r>
            <w:r>
              <w:rPr>
                <w:rFonts w:hint="eastAsia"/>
              </w:rPr>
              <w:br w:type="textWrapping"/>
            </w:r>
            <w:r>
              <w:rPr>
                <w:rStyle w:val="11"/>
                <w:rFonts w:hint="eastAsia"/>
              </w:rPr>
              <w:t>1.应于发病前或初期进行常规喷雾，视病害发生情况可用药2-3次，间隔10-15天1次。注意喷雾均匀、周到，以确保药效。2.大风天或预计1小时内降雨，请勿施药。3.在柑橘树上使用时的安全间隔期为14天，每季作物最多使用3次。</w:t>
            </w:r>
          </w:p>
        </w:tc>
      </w:tr>
      <w:tr w14:paraId="5B53BC3D">
        <w:tblPrEx>
          <w:tblCellMar>
            <w:top w:w="0" w:type="dxa"/>
            <w:left w:w="0" w:type="dxa"/>
            <w:bottom w:w="0" w:type="dxa"/>
            <w:right w:w="0" w:type="dxa"/>
          </w:tblCellMar>
        </w:tblPrEx>
        <w:trPr>
          <w:wBefore w:w="0" w:type="auto"/>
          <w:tblCellSpacing w:w="0" w:type="dxa"/>
        </w:trPr>
        <w:tc>
          <w:tcPr>
            <w:tcW w:w="0" w:type="auto"/>
            <w:noWrap w:val="0"/>
            <w:vAlign w:val="center"/>
          </w:tcPr>
          <w:p w14:paraId="7FBD6621">
            <w:r>
              <w:rPr>
                <w:rStyle w:val="10"/>
                <w:rFonts w:hint="eastAsia"/>
              </w:rPr>
              <w:t>产品性能:</w:t>
            </w:r>
            <w:r>
              <w:rPr>
                <w:rFonts w:hint="eastAsia"/>
              </w:rPr>
              <w:br w:type="textWrapping"/>
            </w:r>
            <w:r>
              <w:rPr>
                <w:rStyle w:val="11"/>
                <w:rFonts w:hint="eastAsia"/>
              </w:rPr>
              <w:t>本品是由吡唑醚菌酯与硫酸铜钙复配而成的杀菌剂。吡唑醚菌酯为新型杀菌剂，具有保护、治疗、叶片渗透传导作用；硫酸铜钙是无机铜化合物，是一种保护性杀菌剂。用于柑橘树树脂病有较好的防治效果。</w:t>
            </w:r>
          </w:p>
        </w:tc>
      </w:tr>
      <w:tr w14:paraId="79F92463">
        <w:tblPrEx>
          <w:tblCellMar>
            <w:top w:w="0" w:type="dxa"/>
            <w:left w:w="0" w:type="dxa"/>
            <w:bottom w:w="0" w:type="dxa"/>
            <w:right w:w="0" w:type="dxa"/>
          </w:tblCellMar>
        </w:tblPrEx>
        <w:trPr>
          <w:wBefore w:w="0" w:type="auto"/>
          <w:tblCellSpacing w:w="0" w:type="dxa"/>
        </w:trPr>
        <w:tc>
          <w:tcPr>
            <w:tcW w:w="0" w:type="auto"/>
            <w:noWrap w:val="0"/>
            <w:vAlign w:val="center"/>
          </w:tcPr>
          <w:p w14:paraId="571783C0">
            <w:r>
              <w:rPr>
                <w:rStyle w:val="10"/>
                <w:rFonts w:hint="eastAsia"/>
              </w:rPr>
              <w:t>注意事项：</w:t>
            </w:r>
            <w:r>
              <w:rPr>
                <w:rFonts w:hint="eastAsia"/>
              </w:rPr>
              <w:br w:type="textWrapping"/>
            </w:r>
            <w:r>
              <w:rPr>
                <w:rStyle w:val="11"/>
                <w:rFonts w:hint="eastAsia"/>
              </w:rPr>
              <w:t>1.严格按规定用药量和方法使用。2.建议与其他作用机制不同的杀菌剂轮换使用，以延缓抗性产生。3.本品对鱼、家蚕、大型溞、藻有毒，蚕室及桑园附近、水产养殖区、河塘等水体附近禁用，禁止在河塘等水体中清洗施药器具。4.对眼睛有中度刺激性，使用时穿戴长衣长裤、鞋、帽子、口罩、手套和护目镜等安全防护措施。施药期间不可吃东西、饮水、吸烟等；施药后应及时洗手、洗脸并洗涤施药时穿着的衣物。5.用药后包装物及用过的容器应妥善处理，不可做他用，也不可随意丢弃。6.孕妇及哺乳期妇女禁止接触本品。</w:t>
            </w:r>
          </w:p>
        </w:tc>
      </w:tr>
      <w:tr w14:paraId="51F83D39">
        <w:tblPrEx>
          <w:tblCellMar>
            <w:top w:w="0" w:type="dxa"/>
            <w:left w:w="0" w:type="dxa"/>
            <w:bottom w:w="0" w:type="dxa"/>
            <w:right w:w="0" w:type="dxa"/>
          </w:tblCellMar>
        </w:tblPrEx>
        <w:trPr>
          <w:wBefore w:w="0" w:type="auto"/>
          <w:tblCellSpacing w:w="0" w:type="dxa"/>
        </w:trPr>
        <w:tc>
          <w:tcPr>
            <w:tcW w:w="0" w:type="auto"/>
            <w:noWrap w:val="0"/>
            <w:vAlign w:val="center"/>
          </w:tcPr>
          <w:p w14:paraId="04B1B73C">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66AB57B0">
        <w:tblPrEx>
          <w:tblCellMar>
            <w:top w:w="0" w:type="dxa"/>
            <w:left w:w="0" w:type="dxa"/>
            <w:bottom w:w="0" w:type="dxa"/>
            <w:right w:w="0" w:type="dxa"/>
          </w:tblCellMar>
        </w:tblPrEx>
        <w:trPr>
          <w:wBefore w:w="0" w:type="auto"/>
          <w:tblCellSpacing w:w="0" w:type="dxa"/>
        </w:trPr>
        <w:tc>
          <w:tcPr>
            <w:tcW w:w="0" w:type="auto"/>
            <w:noWrap w:val="0"/>
            <w:vAlign w:val="center"/>
          </w:tcPr>
          <w:p w14:paraId="169AD00E">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本品应贮存在干燥、阴凉、通风、防雨处，远离火源或热源。置于儿童、无关人员及动物接触不到的地方，并加锁保存。勿与食品、种子、饮料、饲料和粮食等同贮同运。</w:t>
            </w:r>
          </w:p>
        </w:tc>
      </w:tr>
      <w:tr w14:paraId="5268C2D5">
        <w:tblPrEx>
          <w:tblCellMar>
            <w:top w:w="0" w:type="dxa"/>
            <w:left w:w="0" w:type="dxa"/>
            <w:bottom w:w="0" w:type="dxa"/>
            <w:right w:w="0" w:type="dxa"/>
          </w:tblCellMar>
        </w:tblPrEx>
        <w:trPr>
          <w:wBefore w:w="0" w:type="auto"/>
          <w:tblCellSpacing w:w="0" w:type="dxa"/>
        </w:trPr>
        <w:tc>
          <w:tcPr>
            <w:tcW w:w="0" w:type="auto"/>
            <w:noWrap w:val="0"/>
            <w:vAlign w:val="center"/>
          </w:tcPr>
          <w:p w14:paraId="0E3833C2">
            <w:r>
              <w:rPr>
                <w:rStyle w:val="10"/>
                <w:rFonts w:hint="eastAsia"/>
              </w:rPr>
              <w:t>质量保证期：</w:t>
            </w:r>
            <w:r>
              <w:rPr>
                <w:rStyle w:val="11"/>
                <w:rFonts w:hint="eastAsia"/>
              </w:rPr>
              <w:t>2年</w:t>
            </w:r>
          </w:p>
        </w:tc>
      </w:tr>
      <w:tr w14:paraId="420A63D8">
        <w:tblPrEx>
          <w:tblCellMar>
            <w:top w:w="0" w:type="dxa"/>
            <w:left w:w="0" w:type="dxa"/>
            <w:bottom w:w="0" w:type="dxa"/>
            <w:right w:w="0" w:type="dxa"/>
          </w:tblCellMar>
        </w:tblPrEx>
        <w:trPr>
          <w:wBefore w:w="0" w:type="auto"/>
          <w:tblCellSpacing w:w="0" w:type="dxa"/>
        </w:trPr>
        <w:tc>
          <w:tcPr>
            <w:tcW w:w="0" w:type="auto"/>
            <w:noWrap w:val="0"/>
            <w:vAlign w:val="center"/>
          </w:tcPr>
          <w:p w14:paraId="02B880F9">
            <w:r>
              <w:rPr>
                <w:rStyle w:val="10"/>
                <w:rFonts w:hint="eastAsia"/>
              </w:rPr>
              <w:t>备注：</w:t>
            </w:r>
          </w:p>
        </w:tc>
      </w:tr>
    </w:tbl>
    <w:p w14:paraId="29BC18C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0BE5B74">
        <w:tblPrEx>
          <w:tblCellMar>
            <w:top w:w="0" w:type="dxa"/>
            <w:left w:w="0" w:type="dxa"/>
            <w:bottom w:w="0" w:type="dxa"/>
            <w:right w:w="0" w:type="dxa"/>
          </w:tblCellMar>
        </w:tblPrEx>
        <w:trPr>
          <w:wBefore w:w="0" w:type="auto"/>
          <w:tblCellSpacing w:w="0" w:type="dxa"/>
        </w:trPr>
        <w:tc>
          <w:tcPr>
            <w:tcW w:w="0" w:type="auto"/>
            <w:noWrap w:val="0"/>
            <w:vAlign w:val="center"/>
          </w:tcPr>
          <w:p w14:paraId="5732DD87">
            <w:r>
              <w:rPr>
                <w:rStyle w:val="10"/>
                <w:rFonts w:hint="eastAsia"/>
              </w:rPr>
              <w:t>登记证号：</w:t>
            </w:r>
            <w:r>
              <w:rPr>
                <w:rFonts w:hint="eastAsia"/>
              </w:rPr>
              <w:t>PD20212086</w:t>
            </w:r>
          </w:p>
        </w:tc>
      </w:tr>
      <w:tr w14:paraId="59A8AFF2">
        <w:tblPrEx>
          <w:tblCellMar>
            <w:top w:w="0" w:type="dxa"/>
            <w:left w:w="0" w:type="dxa"/>
            <w:bottom w:w="0" w:type="dxa"/>
            <w:right w:w="0" w:type="dxa"/>
          </w:tblCellMar>
        </w:tblPrEx>
        <w:trPr>
          <w:wBefore w:w="0" w:type="auto"/>
          <w:tblCellSpacing w:w="0" w:type="dxa"/>
        </w:trPr>
        <w:tc>
          <w:tcPr>
            <w:tcW w:w="0" w:type="auto"/>
            <w:noWrap w:val="0"/>
            <w:vAlign w:val="center"/>
          </w:tcPr>
          <w:p w14:paraId="2B62C125">
            <w:r>
              <w:rPr>
                <w:rStyle w:val="10"/>
                <w:rFonts w:hint="eastAsia"/>
              </w:rPr>
              <w:t>登记证持有人：</w:t>
            </w:r>
            <w:r>
              <w:rPr>
                <w:rFonts w:hint="eastAsia"/>
              </w:rPr>
              <w:t>洛阳天仓龙邦生物科技有限公司</w:t>
            </w:r>
          </w:p>
        </w:tc>
      </w:tr>
      <w:tr w14:paraId="34746813">
        <w:tblPrEx>
          <w:tblCellMar>
            <w:top w:w="0" w:type="dxa"/>
            <w:left w:w="0" w:type="dxa"/>
            <w:bottom w:w="0" w:type="dxa"/>
            <w:right w:w="0" w:type="dxa"/>
          </w:tblCellMar>
        </w:tblPrEx>
        <w:trPr>
          <w:wBefore w:w="0" w:type="auto"/>
          <w:tblCellSpacing w:w="0" w:type="dxa"/>
        </w:trPr>
        <w:tc>
          <w:tcPr>
            <w:tcW w:w="0" w:type="auto"/>
            <w:noWrap w:val="0"/>
            <w:vAlign w:val="center"/>
          </w:tcPr>
          <w:p w14:paraId="41A06FA6">
            <w:r>
              <w:rPr>
                <w:rStyle w:val="10"/>
                <w:rFonts w:hint="eastAsia"/>
              </w:rPr>
              <w:t>农药名称：</w:t>
            </w:r>
            <w:r>
              <w:rPr>
                <w:rFonts w:hint="eastAsia"/>
              </w:rPr>
              <w:t>双氟·唑草酮</w:t>
            </w:r>
          </w:p>
        </w:tc>
      </w:tr>
      <w:tr w14:paraId="56A1153A">
        <w:tblPrEx>
          <w:tblCellMar>
            <w:top w:w="0" w:type="dxa"/>
            <w:left w:w="0" w:type="dxa"/>
            <w:bottom w:w="0" w:type="dxa"/>
            <w:right w:w="0" w:type="dxa"/>
          </w:tblCellMar>
        </w:tblPrEx>
        <w:trPr>
          <w:wBefore w:w="0" w:type="auto"/>
          <w:tblCellSpacing w:w="0" w:type="dxa"/>
        </w:trPr>
        <w:tc>
          <w:tcPr>
            <w:tcW w:w="0" w:type="auto"/>
            <w:noWrap w:val="0"/>
            <w:vAlign w:val="center"/>
          </w:tcPr>
          <w:p w14:paraId="5D98C8D5">
            <w:r>
              <w:rPr>
                <w:rStyle w:val="10"/>
                <w:rFonts w:hint="eastAsia"/>
              </w:rPr>
              <w:t>剂型：</w:t>
            </w:r>
            <w:r>
              <w:rPr>
                <w:rFonts w:hint="eastAsia"/>
              </w:rPr>
              <w:t>悬乳剂</w:t>
            </w:r>
          </w:p>
        </w:tc>
      </w:tr>
      <w:tr w14:paraId="6CA81057">
        <w:tblPrEx>
          <w:tblCellMar>
            <w:top w:w="0" w:type="dxa"/>
            <w:left w:w="0" w:type="dxa"/>
            <w:bottom w:w="0" w:type="dxa"/>
            <w:right w:w="0" w:type="dxa"/>
          </w:tblCellMar>
        </w:tblPrEx>
        <w:trPr>
          <w:wBefore w:w="0" w:type="auto"/>
          <w:tblCellSpacing w:w="0" w:type="dxa"/>
        </w:trPr>
        <w:tc>
          <w:tcPr>
            <w:tcW w:w="0" w:type="auto"/>
            <w:noWrap w:val="0"/>
            <w:vAlign w:val="center"/>
          </w:tcPr>
          <w:p w14:paraId="079082E4">
            <w:r>
              <w:rPr>
                <w:rStyle w:val="10"/>
                <w:rFonts w:hint="eastAsia"/>
              </w:rPr>
              <w:t>毒性及其标识：</w:t>
            </w:r>
            <w:r>
              <w:rPr>
                <w:rFonts w:hint="eastAsia"/>
              </w:rPr>
              <w:t xml:space="preserve"> </w:t>
            </w:r>
            <w:r>
              <w:rPr>
                <w:lang/>
              </w:rPr>
              <w:drawing>
                <wp:inline distT="0" distB="0" distL="114300" distR="114300">
                  <wp:extent cx="476250" cy="323850"/>
                  <wp:effectExtent l="0" t="0" r="0" b="0"/>
                  <wp:docPr id="125" name="图片 12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5FC627D">
        <w:tblPrEx>
          <w:tblCellMar>
            <w:top w:w="0" w:type="dxa"/>
            <w:left w:w="0" w:type="dxa"/>
            <w:bottom w:w="0" w:type="dxa"/>
            <w:right w:w="0" w:type="dxa"/>
          </w:tblCellMar>
        </w:tblPrEx>
        <w:trPr>
          <w:wBefore w:w="0" w:type="auto"/>
          <w:tblCellSpacing w:w="0" w:type="dxa"/>
        </w:trPr>
        <w:tc>
          <w:tcPr>
            <w:tcW w:w="0" w:type="auto"/>
            <w:noWrap w:val="0"/>
            <w:vAlign w:val="center"/>
          </w:tcPr>
          <w:p w14:paraId="47C99867">
            <w:r>
              <w:rPr>
                <w:rStyle w:val="10"/>
                <w:rFonts w:hint="eastAsia"/>
              </w:rPr>
              <w:t>总有效成分含量：</w:t>
            </w:r>
            <w:r>
              <w:rPr>
                <w:rFonts w:hint="eastAsia"/>
              </w:rPr>
              <w:t>10%</w:t>
            </w:r>
          </w:p>
        </w:tc>
      </w:tr>
      <w:tr w14:paraId="03578478">
        <w:tblPrEx>
          <w:tblCellMar>
            <w:top w:w="0" w:type="dxa"/>
            <w:left w:w="0" w:type="dxa"/>
            <w:bottom w:w="0" w:type="dxa"/>
            <w:right w:w="0" w:type="dxa"/>
          </w:tblCellMar>
        </w:tblPrEx>
        <w:trPr>
          <w:wBefore w:w="0" w:type="auto"/>
          <w:tblCellSpacing w:w="0" w:type="dxa"/>
        </w:trPr>
        <w:tc>
          <w:tcPr>
            <w:tcW w:w="0" w:type="auto"/>
            <w:noWrap w:val="0"/>
            <w:vAlign w:val="center"/>
          </w:tcPr>
          <w:p w14:paraId="4F9795BB">
            <w:r>
              <w:rPr>
                <w:rFonts w:hint="eastAsia"/>
              </w:rPr>
              <w:t xml:space="preserve">有效成分及其含量： </w:t>
            </w:r>
          </w:p>
          <w:p w14:paraId="2C8AE6FF">
            <w:r>
              <w:rPr>
                <w:rFonts w:hint="eastAsia"/>
              </w:rPr>
              <w:t xml:space="preserve">    双氟磺草胺4%    唑草酮6%    </w:t>
            </w:r>
          </w:p>
        </w:tc>
      </w:tr>
      <w:tr w14:paraId="20FB2635">
        <w:tblPrEx>
          <w:tblCellMar>
            <w:top w:w="0" w:type="dxa"/>
            <w:left w:w="0" w:type="dxa"/>
            <w:bottom w:w="0" w:type="dxa"/>
            <w:right w:w="0" w:type="dxa"/>
          </w:tblCellMar>
        </w:tblPrEx>
        <w:trPr>
          <w:wBefore w:w="0" w:type="auto"/>
          <w:tblCellSpacing w:w="0" w:type="dxa"/>
        </w:trPr>
        <w:tc>
          <w:tcPr>
            <w:tcW w:w="0" w:type="auto"/>
            <w:noWrap w:val="0"/>
            <w:vAlign w:val="center"/>
          </w:tcPr>
          <w:p w14:paraId="68F81E2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FFCD8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65D07F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D2E251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E106EC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169ADF2">
                  <w:r>
                    <w:rPr>
                      <w:rStyle w:val="11"/>
                      <w:rFonts w:hint="eastAsia"/>
                    </w:rPr>
                    <w:t>施用方式</w:t>
                  </w:r>
                </w:p>
              </w:tc>
            </w:tr>
            <w:tr w14:paraId="481AAA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965E88C">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F8A116">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7187F8">
                  <w:r>
                    <w:rPr>
                      <w:rStyle w:val="11"/>
                      <w:rFonts w:hint="eastAsia"/>
                    </w:rPr>
                    <w:t>10-15毫升/亩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DC2759">
                  <w:r>
                    <w:rPr>
                      <w:rStyle w:val="11"/>
                      <w:rFonts w:hint="eastAsia"/>
                    </w:rPr>
                    <w:t>茎叶喷雾</w:t>
                  </w:r>
                </w:p>
              </w:tc>
            </w:tr>
          </w:tbl>
          <w:p w14:paraId="373B9BAB">
            <w:pPr>
              <w:rPr>
                <w:rFonts w:ascii="Times New Roman" w:hAnsi="Times New Roman" w:cs="Times New Roman"/>
                <w:sz w:val="20"/>
                <w:szCs w:val="20"/>
              </w:rPr>
            </w:pPr>
          </w:p>
        </w:tc>
      </w:tr>
      <w:tr w14:paraId="69AB11F7">
        <w:tblPrEx>
          <w:tblCellMar>
            <w:top w:w="0" w:type="dxa"/>
            <w:left w:w="0" w:type="dxa"/>
            <w:bottom w:w="0" w:type="dxa"/>
            <w:right w:w="0" w:type="dxa"/>
          </w:tblCellMar>
        </w:tblPrEx>
        <w:trPr>
          <w:wBefore w:w="0" w:type="auto"/>
          <w:tblCellSpacing w:w="0" w:type="dxa"/>
        </w:trPr>
        <w:tc>
          <w:tcPr>
            <w:tcW w:w="0" w:type="auto"/>
            <w:noWrap w:val="0"/>
            <w:vAlign w:val="center"/>
          </w:tcPr>
          <w:p w14:paraId="21E1EF22">
            <w:r>
              <w:rPr>
                <w:rStyle w:val="10"/>
                <w:rFonts w:hint="eastAsia"/>
              </w:rPr>
              <w:t>使用技术要求:</w:t>
            </w:r>
            <w:r>
              <w:rPr>
                <w:rFonts w:hint="eastAsia"/>
              </w:rPr>
              <w:br w:type="textWrapping"/>
            </w:r>
            <w:r>
              <w:rPr>
                <w:rStyle w:val="11"/>
                <w:rFonts w:hint="eastAsia"/>
              </w:rPr>
              <w:t>1、使用时期：小麦3叶后至拔节期，兑水茎叶喷雾。 2、大风天或预计1小时内降雨，请勿施药。 3、按推荐剂量、时期和方法施用，均匀喷雾、不重喷、不漏喷； 4、每季作物最多使用1次。</w:t>
            </w:r>
          </w:p>
        </w:tc>
      </w:tr>
      <w:tr w14:paraId="4FDD4130">
        <w:tblPrEx>
          <w:tblCellMar>
            <w:top w:w="0" w:type="dxa"/>
            <w:left w:w="0" w:type="dxa"/>
            <w:bottom w:w="0" w:type="dxa"/>
            <w:right w:w="0" w:type="dxa"/>
          </w:tblCellMar>
        </w:tblPrEx>
        <w:trPr>
          <w:wBefore w:w="0" w:type="auto"/>
          <w:tblCellSpacing w:w="0" w:type="dxa"/>
        </w:trPr>
        <w:tc>
          <w:tcPr>
            <w:tcW w:w="0" w:type="auto"/>
            <w:noWrap w:val="0"/>
            <w:vAlign w:val="center"/>
          </w:tcPr>
          <w:p w14:paraId="43E9A8FF">
            <w:r>
              <w:rPr>
                <w:rStyle w:val="10"/>
                <w:rFonts w:hint="eastAsia"/>
              </w:rPr>
              <w:t>产品性能:</w:t>
            </w:r>
            <w:r>
              <w:rPr>
                <w:rFonts w:hint="eastAsia"/>
              </w:rPr>
              <w:br w:type="textWrapping"/>
            </w:r>
            <w:r>
              <w:rPr>
                <w:rStyle w:val="11"/>
                <w:rFonts w:hint="eastAsia"/>
              </w:rPr>
              <w:t>本品是双氟磺草胺和唑草酮的混配制剂。双氟磺草胺属于三唑嘧啶磺酰胺类除草剂，是乙酰乳酸合成酶抑制剂，通过抑制杂草体内支链氨基酸生物合成，最终造成杂草死亡。唑草酮为三唑啉酮类除草剂，是一种广谱触杀型除草剂，通过抑制原卟啉原氧化酶导致有毒中间物的积累，从而破坏杂草的细胞膜，使杂草迅速干枯、死亡。本品可用于防除麦田猪殃殃、播娘蒿、繁缕、泽漆、荠菜等多种阔叶杂草。</w:t>
            </w:r>
          </w:p>
        </w:tc>
      </w:tr>
      <w:tr w14:paraId="4E78357B">
        <w:tblPrEx>
          <w:tblCellMar>
            <w:top w:w="0" w:type="dxa"/>
            <w:left w:w="0" w:type="dxa"/>
            <w:bottom w:w="0" w:type="dxa"/>
            <w:right w:w="0" w:type="dxa"/>
          </w:tblCellMar>
        </w:tblPrEx>
        <w:trPr>
          <w:wBefore w:w="0" w:type="auto"/>
          <w:tblCellSpacing w:w="0" w:type="dxa"/>
        </w:trPr>
        <w:tc>
          <w:tcPr>
            <w:tcW w:w="0" w:type="auto"/>
            <w:noWrap w:val="0"/>
            <w:vAlign w:val="center"/>
          </w:tcPr>
          <w:p w14:paraId="1469F2DE">
            <w:r>
              <w:rPr>
                <w:rStyle w:val="10"/>
                <w:rFonts w:hint="eastAsia"/>
              </w:rPr>
              <w:t>注意事项：</w:t>
            </w:r>
            <w:r>
              <w:rPr>
                <w:rFonts w:hint="eastAsia"/>
              </w:rPr>
              <w:br w:type="textWrapping"/>
            </w:r>
            <w:r>
              <w:rPr>
                <w:rStyle w:val="11"/>
                <w:rFonts w:hint="eastAsia"/>
              </w:rPr>
              <w:t>1.避免施药时药液漂移到邻近敏感作物上。 2.使用本品时应穿长衣长裤、靴子、戴手套、眼镜、口罩等适当的防护用具（见图形标识），避免吸入药液；施药期间不可吃东西、饮水、吸烟等；施药后应及时洗手、洗脸并洗涤施药时穿着的衣物。 3.本品对鱼类等水生生物有毒，水产养殖区、河塘等水体附近禁用。禁止在河塘等水体中清洗施药器具，避免药液流入湖泊、河流或鱼塘中污染水源。赤眼蜂等天敌放飞区域禁用。 4.废弃物应妥善处理，不可做他用，也不可随意丢弃。 5.避免孕妇及哺乳期的妇女接触本品。 6.使用后的施药器械应及时彻底清洗，建议喷雾器专机专用。</w:t>
            </w:r>
          </w:p>
        </w:tc>
      </w:tr>
      <w:tr w14:paraId="01827C18">
        <w:tblPrEx>
          <w:tblCellMar>
            <w:top w:w="0" w:type="dxa"/>
            <w:left w:w="0" w:type="dxa"/>
            <w:bottom w:w="0" w:type="dxa"/>
            <w:right w:w="0" w:type="dxa"/>
          </w:tblCellMar>
        </w:tblPrEx>
        <w:trPr>
          <w:wBefore w:w="0" w:type="auto"/>
          <w:tblCellSpacing w:w="0" w:type="dxa"/>
        </w:trPr>
        <w:tc>
          <w:tcPr>
            <w:tcW w:w="0" w:type="auto"/>
            <w:noWrap w:val="0"/>
            <w:vAlign w:val="center"/>
          </w:tcPr>
          <w:p w14:paraId="080CB5D0">
            <w:r>
              <w:rPr>
                <w:rStyle w:val="10"/>
                <w:rFonts w:hint="eastAsia"/>
              </w:rPr>
              <w:t>中毒急救措施：</w:t>
            </w:r>
            <w:r>
              <w:rPr>
                <w:rFonts w:hint="eastAsia"/>
              </w:rPr>
              <w:br w:type="textWrapping"/>
            </w:r>
            <w:r>
              <w:rPr>
                <w:rStyle w:val="11"/>
                <w:rFonts w:hint="eastAsia"/>
              </w:rPr>
              <w:t>对眼睛有刺激性。 1.眼睛溅入∶立刻用清水冲洗15-20分钟，如配戴隐形眼镜，冲洗5分钟后摘掉眼镜再冲洗15分钟，如不适症状持续，请立即就医。 2.误食∶立即用水漱口，饮用1-2杯清水并催吐，勿对神志不清者催吐或喂食，并请立即携标签就医。 3.皮肤沾附∶立即脱下被溅及衣服，用大量肥皂和清水冲洗皮肤15-20分钟，如不适症状持续，请立即就医，衣服彻底清洗后方可再穿。 4.误吸∶移至空气清新处，使其平躺并保持安静，如呼吸困难，最好在医生指导下由专业人员进行输氧，如呼吸停止，立即进行人工呼吸并就医。 5.医生须知：无特效解毒药，请对症治疗。</w:t>
            </w:r>
          </w:p>
        </w:tc>
      </w:tr>
      <w:tr w14:paraId="1A04EB70">
        <w:tblPrEx>
          <w:tblCellMar>
            <w:top w:w="0" w:type="dxa"/>
            <w:left w:w="0" w:type="dxa"/>
            <w:bottom w:w="0" w:type="dxa"/>
            <w:right w:w="0" w:type="dxa"/>
          </w:tblCellMar>
        </w:tblPrEx>
        <w:trPr>
          <w:wBefore w:w="0" w:type="auto"/>
          <w:tblCellSpacing w:w="0" w:type="dxa"/>
        </w:trPr>
        <w:tc>
          <w:tcPr>
            <w:tcW w:w="0" w:type="auto"/>
            <w:noWrap w:val="0"/>
            <w:vAlign w:val="center"/>
          </w:tcPr>
          <w:p w14:paraId="7A52C7D2">
            <w:r>
              <w:rPr>
                <w:rStyle w:val="10"/>
                <w:rFonts w:hint="eastAsia"/>
              </w:rPr>
              <w:t>储存和运输方法：</w:t>
            </w:r>
            <w:r>
              <w:rPr>
                <w:rFonts w:hint="eastAsia"/>
              </w:rPr>
              <w:br w:type="textWrapping"/>
            </w:r>
            <w:r>
              <w:rPr>
                <w:rStyle w:val="11"/>
                <w:rFonts w:hint="eastAsia"/>
              </w:rPr>
              <w:t>1．本品应在原包装袋中密封贮存于干燥、阴凉、通风、防雨处，远离火源或热源。2．存放于儿童触及不到之处，并加锁。3．勿与食品、饮料、粮食、饲料等其他商品同贮同运，贮存或运输时堆层不得超过规定，注意轻拿轻放，以免损坏包装，导致产品泄漏。</w:t>
            </w:r>
          </w:p>
        </w:tc>
      </w:tr>
      <w:tr w14:paraId="6B7F9BE9">
        <w:tblPrEx>
          <w:tblCellMar>
            <w:top w:w="0" w:type="dxa"/>
            <w:left w:w="0" w:type="dxa"/>
            <w:bottom w:w="0" w:type="dxa"/>
            <w:right w:w="0" w:type="dxa"/>
          </w:tblCellMar>
        </w:tblPrEx>
        <w:trPr>
          <w:wBefore w:w="0" w:type="auto"/>
          <w:tblCellSpacing w:w="0" w:type="dxa"/>
        </w:trPr>
        <w:tc>
          <w:tcPr>
            <w:tcW w:w="0" w:type="auto"/>
            <w:noWrap w:val="0"/>
            <w:vAlign w:val="center"/>
          </w:tcPr>
          <w:p w14:paraId="152B2273">
            <w:r>
              <w:rPr>
                <w:rStyle w:val="10"/>
                <w:rFonts w:hint="eastAsia"/>
              </w:rPr>
              <w:t>质量保证期：</w:t>
            </w:r>
            <w:r>
              <w:rPr>
                <w:rStyle w:val="11"/>
                <w:rFonts w:hint="eastAsia"/>
              </w:rPr>
              <w:t>2年</w:t>
            </w:r>
          </w:p>
        </w:tc>
      </w:tr>
      <w:tr w14:paraId="38A2911B">
        <w:tblPrEx>
          <w:tblCellMar>
            <w:top w:w="0" w:type="dxa"/>
            <w:left w:w="0" w:type="dxa"/>
            <w:bottom w:w="0" w:type="dxa"/>
            <w:right w:w="0" w:type="dxa"/>
          </w:tblCellMar>
        </w:tblPrEx>
        <w:trPr>
          <w:wBefore w:w="0" w:type="auto"/>
          <w:tblCellSpacing w:w="0" w:type="dxa"/>
        </w:trPr>
        <w:tc>
          <w:tcPr>
            <w:tcW w:w="0" w:type="auto"/>
            <w:noWrap w:val="0"/>
            <w:vAlign w:val="center"/>
          </w:tcPr>
          <w:p w14:paraId="26B34511">
            <w:r>
              <w:rPr>
                <w:rStyle w:val="10"/>
                <w:rFonts w:hint="eastAsia"/>
              </w:rPr>
              <w:t>备注：</w:t>
            </w:r>
          </w:p>
        </w:tc>
      </w:tr>
    </w:tbl>
    <w:p w14:paraId="4F834F8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8CAB098">
        <w:tblPrEx>
          <w:tblCellMar>
            <w:top w:w="0" w:type="dxa"/>
            <w:left w:w="0" w:type="dxa"/>
            <w:bottom w:w="0" w:type="dxa"/>
            <w:right w:w="0" w:type="dxa"/>
          </w:tblCellMar>
        </w:tblPrEx>
        <w:trPr>
          <w:wBefore w:w="0" w:type="auto"/>
          <w:tblCellSpacing w:w="0" w:type="dxa"/>
        </w:trPr>
        <w:tc>
          <w:tcPr>
            <w:tcW w:w="0" w:type="auto"/>
            <w:noWrap w:val="0"/>
            <w:vAlign w:val="center"/>
          </w:tcPr>
          <w:p w14:paraId="403FEC0C">
            <w:r>
              <w:rPr>
                <w:rStyle w:val="10"/>
                <w:rFonts w:hint="eastAsia"/>
              </w:rPr>
              <w:t>登记证号：</w:t>
            </w:r>
            <w:r>
              <w:rPr>
                <w:rFonts w:hint="eastAsia"/>
              </w:rPr>
              <w:t>PD20211890</w:t>
            </w:r>
          </w:p>
        </w:tc>
      </w:tr>
      <w:tr w14:paraId="5CE95418">
        <w:tblPrEx>
          <w:tblCellMar>
            <w:top w:w="0" w:type="dxa"/>
            <w:left w:w="0" w:type="dxa"/>
            <w:bottom w:w="0" w:type="dxa"/>
            <w:right w:w="0" w:type="dxa"/>
          </w:tblCellMar>
        </w:tblPrEx>
        <w:trPr>
          <w:wBefore w:w="0" w:type="auto"/>
          <w:tblCellSpacing w:w="0" w:type="dxa"/>
        </w:trPr>
        <w:tc>
          <w:tcPr>
            <w:tcW w:w="0" w:type="auto"/>
            <w:noWrap w:val="0"/>
            <w:vAlign w:val="center"/>
          </w:tcPr>
          <w:p w14:paraId="5BEC9372">
            <w:r>
              <w:rPr>
                <w:rStyle w:val="10"/>
                <w:rFonts w:hint="eastAsia"/>
              </w:rPr>
              <w:t>登记证持有人：</w:t>
            </w:r>
            <w:r>
              <w:rPr>
                <w:rFonts w:hint="eastAsia"/>
              </w:rPr>
              <w:t>湖南新长山农业发展股份有限公司</w:t>
            </w:r>
          </w:p>
        </w:tc>
      </w:tr>
      <w:tr w14:paraId="726D12E1">
        <w:tblPrEx>
          <w:tblCellMar>
            <w:top w:w="0" w:type="dxa"/>
            <w:left w:w="0" w:type="dxa"/>
            <w:bottom w:w="0" w:type="dxa"/>
            <w:right w:w="0" w:type="dxa"/>
          </w:tblCellMar>
        </w:tblPrEx>
        <w:trPr>
          <w:wBefore w:w="0" w:type="auto"/>
          <w:tblCellSpacing w:w="0" w:type="dxa"/>
        </w:trPr>
        <w:tc>
          <w:tcPr>
            <w:tcW w:w="0" w:type="auto"/>
            <w:noWrap w:val="0"/>
            <w:vAlign w:val="center"/>
          </w:tcPr>
          <w:p w14:paraId="6E04C43C">
            <w:r>
              <w:rPr>
                <w:rStyle w:val="10"/>
                <w:rFonts w:hint="eastAsia"/>
              </w:rPr>
              <w:t>农药名称：</w:t>
            </w:r>
            <w:r>
              <w:rPr>
                <w:rFonts w:hint="eastAsia"/>
              </w:rPr>
              <w:t>四聚·杀螺胺</w:t>
            </w:r>
          </w:p>
        </w:tc>
      </w:tr>
      <w:tr w14:paraId="388472CB">
        <w:tblPrEx>
          <w:tblCellMar>
            <w:top w:w="0" w:type="dxa"/>
            <w:left w:w="0" w:type="dxa"/>
            <w:bottom w:w="0" w:type="dxa"/>
            <w:right w:w="0" w:type="dxa"/>
          </w:tblCellMar>
        </w:tblPrEx>
        <w:trPr>
          <w:wBefore w:w="0" w:type="auto"/>
          <w:tblCellSpacing w:w="0" w:type="dxa"/>
        </w:trPr>
        <w:tc>
          <w:tcPr>
            <w:tcW w:w="0" w:type="auto"/>
            <w:noWrap w:val="0"/>
            <w:vAlign w:val="center"/>
          </w:tcPr>
          <w:p w14:paraId="5F72EC8B">
            <w:r>
              <w:rPr>
                <w:rStyle w:val="10"/>
                <w:rFonts w:hint="eastAsia"/>
              </w:rPr>
              <w:t>剂型：</w:t>
            </w:r>
            <w:r>
              <w:rPr>
                <w:rFonts w:hint="eastAsia"/>
              </w:rPr>
              <w:t>悬浮剂</w:t>
            </w:r>
          </w:p>
        </w:tc>
      </w:tr>
      <w:tr w14:paraId="4E280027">
        <w:tblPrEx>
          <w:tblCellMar>
            <w:top w:w="0" w:type="dxa"/>
            <w:left w:w="0" w:type="dxa"/>
            <w:bottom w:w="0" w:type="dxa"/>
            <w:right w:w="0" w:type="dxa"/>
          </w:tblCellMar>
        </w:tblPrEx>
        <w:trPr>
          <w:wBefore w:w="0" w:type="auto"/>
          <w:tblCellSpacing w:w="0" w:type="dxa"/>
        </w:trPr>
        <w:tc>
          <w:tcPr>
            <w:tcW w:w="0" w:type="auto"/>
            <w:noWrap w:val="0"/>
            <w:vAlign w:val="center"/>
          </w:tcPr>
          <w:p w14:paraId="5CC25801">
            <w:r>
              <w:rPr>
                <w:rStyle w:val="10"/>
                <w:rFonts w:hint="eastAsia"/>
              </w:rPr>
              <w:t>毒性及其标识：</w:t>
            </w:r>
            <w:r>
              <w:rPr>
                <w:rFonts w:hint="eastAsia"/>
              </w:rPr>
              <w:t xml:space="preserve"> </w:t>
            </w:r>
            <w:r>
              <w:rPr>
                <w:lang/>
              </w:rPr>
              <w:drawing>
                <wp:inline distT="0" distB="0" distL="114300" distR="114300">
                  <wp:extent cx="476250" cy="323850"/>
                  <wp:effectExtent l="0" t="0" r="0" b="0"/>
                  <wp:docPr id="126" name="图片 12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ED93176">
        <w:tblPrEx>
          <w:tblCellMar>
            <w:top w:w="0" w:type="dxa"/>
            <w:left w:w="0" w:type="dxa"/>
            <w:bottom w:w="0" w:type="dxa"/>
            <w:right w:w="0" w:type="dxa"/>
          </w:tblCellMar>
        </w:tblPrEx>
        <w:trPr>
          <w:wBefore w:w="0" w:type="auto"/>
          <w:tblCellSpacing w:w="0" w:type="dxa"/>
        </w:trPr>
        <w:tc>
          <w:tcPr>
            <w:tcW w:w="0" w:type="auto"/>
            <w:noWrap w:val="0"/>
            <w:vAlign w:val="center"/>
          </w:tcPr>
          <w:p w14:paraId="7465FF83">
            <w:r>
              <w:rPr>
                <w:rStyle w:val="10"/>
                <w:rFonts w:hint="eastAsia"/>
              </w:rPr>
              <w:t>总有效成分含量：</w:t>
            </w:r>
            <w:r>
              <w:rPr>
                <w:rFonts w:hint="eastAsia"/>
              </w:rPr>
              <w:t>22%</w:t>
            </w:r>
          </w:p>
        </w:tc>
      </w:tr>
      <w:tr w14:paraId="7BE1D921">
        <w:tblPrEx>
          <w:tblCellMar>
            <w:top w:w="0" w:type="dxa"/>
            <w:left w:w="0" w:type="dxa"/>
            <w:bottom w:w="0" w:type="dxa"/>
            <w:right w:w="0" w:type="dxa"/>
          </w:tblCellMar>
        </w:tblPrEx>
        <w:trPr>
          <w:wBefore w:w="0" w:type="auto"/>
          <w:tblCellSpacing w:w="0" w:type="dxa"/>
        </w:trPr>
        <w:tc>
          <w:tcPr>
            <w:tcW w:w="0" w:type="auto"/>
            <w:noWrap w:val="0"/>
            <w:vAlign w:val="center"/>
          </w:tcPr>
          <w:p w14:paraId="3AF733AD">
            <w:r>
              <w:rPr>
                <w:rFonts w:hint="eastAsia"/>
              </w:rPr>
              <w:t xml:space="preserve">有效成分及其含量： </w:t>
            </w:r>
          </w:p>
          <w:p w14:paraId="2E28DB28">
            <w:r>
              <w:rPr>
                <w:rFonts w:hint="eastAsia"/>
              </w:rPr>
              <w:t xml:space="preserve">    四聚乙醛1%    杀螺胺21%    </w:t>
            </w:r>
          </w:p>
        </w:tc>
      </w:tr>
      <w:tr w14:paraId="3B9E766D">
        <w:tblPrEx>
          <w:tblCellMar>
            <w:top w:w="0" w:type="dxa"/>
            <w:left w:w="0" w:type="dxa"/>
            <w:bottom w:w="0" w:type="dxa"/>
            <w:right w:w="0" w:type="dxa"/>
          </w:tblCellMar>
        </w:tblPrEx>
        <w:trPr>
          <w:wBefore w:w="0" w:type="auto"/>
          <w:tblCellSpacing w:w="0" w:type="dxa"/>
        </w:trPr>
        <w:tc>
          <w:tcPr>
            <w:tcW w:w="0" w:type="auto"/>
            <w:noWrap w:val="0"/>
            <w:vAlign w:val="center"/>
          </w:tcPr>
          <w:p w14:paraId="1D03503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41D80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AADE1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39787B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4CB9B0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5CFE45E">
                  <w:r>
                    <w:rPr>
                      <w:rStyle w:val="11"/>
                      <w:rFonts w:hint="eastAsia"/>
                    </w:rPr>
                    <w:t>施用方式</w:t>
                  </w:r>
                </w:p>
              </w:tc>
            </w:tr>
            <w:tr w14:paraId="196972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42188F">
                  <w:r>
                    <w:rPr>
                      <w:rStyle w:val="11"/>
                      <w:rFonts w:hint="eastAsia"/>
                    </w:rPr>
                    <w:t>滩涂</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ADE110">
                  <w:r>
                    <w:rPr>
                      <w:rStyle w:val="11"/>
                      <w:rFonts w:hint="eastAsia"/>
                    </w:rPr>
                    <w:t>钉螺</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AF60C8">
                  <w:r>
                    <w:rPr>
                      <w:rStyle w:val="11"/>
                      <w:rFonts w:hint="eastAsia"/>
                    </w:rPr>
                    <w:t>2-4毫升/平方米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5082E0">
                  <w:r>
                    <w:rPr>
                      <w:rStyle w:val="11"/>
                      <w:rFonts w:hint="eastAsia"/>
                    </w:rPr>
                    <w:t>喷洒</w:t>
                  </w:r>
                </w:p>
              </w:tc>
            </w:tr>
          </w:tbl>
          <w:p w14:paraId="207DA457">
            <w:pPr>
              <w:rPr>
                <w:rFonts w:ascii="Times New Roman" w:hAnsi="Times New Roman" w:cs="Times New Roman"/>
                <w:sz w:val="20"/>
                <w:szCs w:val="20"/>
              </w:rPr>
            </w:pPr>
          </w:p>
        </w:tc>
      </w:tr>
      <w:tr w14:paraId="40881387">
        <w:tblPrEx>
          <w:tblCellMar>
            <w:top w:w="0" w:type="dxa"/>
            <w:left w:w="0" w:type="dxa"/>
            <w:bottom w:w="0" w:type="dxa"/>
            <w:right w:w="0" w:type="dxa"/>
          </w:tblCellMar>
        </w:tblPrEx>
        <w:trPr>
          <w:wBefore w:w="0" w:type="auto"/>
          <w:tblCellSpacing w:w="0" w:type="dxa"/>
        </w:trPr>
        <w:tc>
          <w:tcPr>
            <w:tcW w:w="0" w:type="auto"/>
            <w:noWrap w:val="0"/>
            <w:vAlign w:val="center"/>
          </w:tcPr>
          <w:p w14:paraId="0F6764F5">
            <w:r>
              <w:rPr>
                <w:rStyle w:val="10"/>
                <w:rFonts w:hint="eastAsia"/>
              </w:rPr>
              <w:t>使用技术要求:</w:t>
            </w:r>
            <w:r>
              <w:rPr>
                <w:rFonts w:hint="eastAsia"/>
              </w:rPr>
              <w:br w:type="textWrapping"/>
            </w:r>
            <w:r>
              <w:rPr>
                <w:rStyle w:val="11"/>
                <w:rFonts w:hint="eastAsia"/>
              </w:rPr>
              <w:t>1. 本品主要用于防治钉螺，对螺卵、尾蚴也有作用。2. 本品不得在鱼塘等水产养殖水域内使用。3. 灭螺时气温最好在20℃以上，在大雨或暴雨前不宜施药，以免药液流失。</w:t>
            </w:r>
          </w:p>
        </w:tc>
      </w:tr>
      <w:tr w14:paraId="5B86A677">
        <w:tblPrEx>
          <w:tblCellMar>
            <w:top w:w="0" w:type="dxa"/>
            <w:left w:w="0" w:type="dxa"/>
            <w:bottom w:w="0" w:type="dxa"/>
            <w:right w:w="0" w:type="dxa"/>
          </w:tblCellMar>
        </w:tblPrEx>
        <w:trPr>
          <w:wBefore w:w="0" w:type="auto"/>
          <w:tblCellSpacing w:w="0" w:type="dxa"/>
        </w:trPr>
        <w:tc>
          <w:tcPr>
            <w:tcW w:w="0" w:type="auto"/>
            <w:noWrap w:val="0"/>
            <w:vAlign w:val="center"/>
          </w:tcPr>
          <w:p w14:paraId="63968144">
            <w:r>
              <w:rPr>
                <w:rStyle w:val="10"/>
                <w:rFonts w:hint="eastAsia"/>
              </w:rPr>
              <w:t>产品性能:</w:t>
            </w:r>
            <w:r>
              <w:rPr>
                <w:rFonts w:hint="eastAsia"/>
              </w:rPr>
              <w:br w:type="textWrapping"/>
            </w:r>
            <w:r>
              <w:rPr>
                <w:rStyle w:val="11"/>
                <w:rFonts w:hint="eastAsia"/>
              </w:rPr>
              <w:t>杀螺胺乙醇胺盐杀螺具有胃毒作用，持效较长，但作用缓慢，故施药后有钉螺上爬现象。四聚乙醛也是一种杀螺药物，主要影响钉螺肌细胞的节律，抑制钉螺上爬。两者结合，对钉螺有良好防效。</w:t>
            </w:r>
          </w:p>
        </w:tc>
      </w:tr>
      <w:tr w14:paraId="52554329">
        <w:tblPrEx>
          <w:tblCellMar>
            <w:top w:w="0" w:type="dxa"/>
            <w:left w:w="0" w:type="dxa"/>
            <w:bottom w:w="0" w:type="dxa"/>
            <w:right w:w="0" w:type="dxa"/>
          </w:tblCellMar>
        </w:tblPrEx>
        <w:trPr>
          <w:wBefore w:w="0" w:type="auto"/>
          <w:tblCellSpacing w:w="0" w:type="dxa"/>
        </w:trPr>
        <w:tc>
          <w:tcPr>
            <w:tcW w:w="0" w:type="auto"/>
            <w:noWrap w:val="0"/>
            <w:vAlign w:val="center"/>
          </w:tcPr>
          <w:p w14:paraId="36954217">
            <w:r>
              <w:rPr>
                <w:rStyle w:val="10"/>
                <w:rFonts w:hint="eastAsia"/>
              </w:rPr>
              <w:t>注意事项：</w:t>
            </w:r>
            <w:r>
              <w:rPr>
                <w:rFonts w:hint="eastAsia"/>
              </w:rPr>
              <w:br w:type="textWrapping"/>
            </w:r>
            <w:r>
              <w:rPr>
                <w:rStyle w:val="11"/>
                <w:rFonts w:hint="eastAsia"/>
              </w:rPr>
              <w:t>1.本品仅于专业人员使用，不能与强酸或强碱性物质混用，以免降低药效。2.对鱼、蛙、贝类有毒，远离水产养殖区、河塘等水体施药，鱼虾养殖区禁用，禁止在河塘等水体中清洗施药器具。3.滩涂灭螺后两周内禁止耕牛在灭螺滩放牧，以防药物毒害家畜、鱼类和农作物。4.本品对眼睛有刺激性，施用时采取严格安全防护措施，穿（戴）长衣、长裤、帽子、口罩、手套、鞋子等。用药后应用大量清水和肥皂将手、脸及其它裸露的部位清洗干净。5.建议与其他不同作用机制的杀螺剂轮换使用。6.用过的容器应妥善处理，不可做他用，也不可随意丢弃。7.避免孕妇及哺乳期妇女接触。8.（周围）开花植物花期禁用，使用时应密切关注对附近蜂群的影响；蚕室及桑园附近禁用；蚕室及桑园附近禁用。</w:t>
            </w:r>
          </w:p>
        </w:tc>
      </w:tr>
      <w:tr w14:paraId="1D3D0D20">
        <w:tblPrEx>
          <w:tblCellMar>
            <w:top w:w="0" w:type="dxa"/>
            <w:left w:w="0" w:type="dxa"/>
            <w:bottom w:w="0" w:type="dxa"/>
            <w:right w:w="0" w:type="dxa"/>
          </w:tblCellMar>
        </w:tblPrEx>
        <w:trPr>
          <w:wBefore w:w="0" w:type="auto"/>
          <w:tblCellSpacing w:w="0" w:type="dxa"/>
        </w:trPr>
        <w:tc>
          <w:tcPr>
            <w:tcW w:w="0" w:type="auto"/>
            <w:noWrap w:val="0"/>
            <w:vAlign w:val="center"/>
          </w:tcPr>
          <w:p w14:paraId="77D9D763">
            <w:r>
              <w:rPr>
                <w:rStyle w:val="10"/>
                <w:rFonts w:hint="eastAsia"/>
              </w:rPr>
              <w:t>中毒急救措施：</w:t>
            </w:r>
            <w:r>
              <w:rPr>
                <w:rFonts w:hint="eastAsia"/>
              </w:rPr>
              <w:br w:type="textWrapping"/>
            </w:r>
            <w:r>
              <w:rPr>
                <w:rStyle w:val="11"/>
                <w:rFonts w:hint="eastAsia"/>
              </w:rPr>
              <w:t>中毒症状：多涎，急性腹痛，呕吐和全身震颤等。1.如药液沾染皮肤，立即用肥皂水彻底清洗。2.如溅入眼睛，立即用大量清水冲洗至少15分钟。3.误服中毒后立即拾标签送医院对症治疗。立即灌洗清胃和导泻，用抗痉挛作用的镇静药。输葡萄糖液保护肝脏、帮助解毒和促进代谢。如伴随发生肾衰竭，则应仔细监测液体平衡状态和电解质以免发生液体超负荷。无专用解毒剂，对症治疗。</w:t>
            </w:r>
          </w:p>
        </w:tc>
      </w:tr>
      <w:tr w14:paraId="2AD1D730">
        <w:tblPrEx>
          <w:tblCellMar>
            <w:top w:w="0" w:type="dxa"/>
            <w:left w:w="0" w:type="dxa"/>
            <w:bottom w:w="0" w:type="dxa"/>
            <w:right w:w="0" w:type="dxa"/>
          </w:tblCellMar>
        </w:tblPrEx>
        <w:trPr>
          <w:wBefore w:w="0" w:type="auto"/>
          <w:tblCellSpacing w:w="0" w:type="dxa"/>
        </w:trPr>
        <w:tc>
          <w:tcPr>
            <w:tcW w:w="0" w:type="auto"/>
            <w:noWrap w:val="0"/>
            <w:vAlign w:val="center"/>
          </w:tcPr>
          <w:p w14:paraId="483E4BA4">
            <w:r>
              <w:rPr>
                <w:rStyle w:val="10"/>
                <w:rFonts w:hint="eastAsia"/>
              </w:rPr>
              <w:t>储存和运输方法：</w:t>
            </w:r>
            <w:r>
              <w:rPr>
                <w:rFonts w:hint="eastAsia"/>
              </w:rPr>
              <w:br w:type="textWrapping"/>
            </w:r>
            <w:r>
              <w:rPr>
                <w:rStyle w:val="11"/>
                <w:rFonts w:hint="eastAsia"/>
              </w:rPr>
              <w:t>本品应贮存在干燥、阴凉、通风处，远离火源。置于儿童、无关人员触及不到之处，并加锁保存。勿与食品、饮料、饲料和粮食等其他商品同贮同运。运输时确保不泄漏，不损坏，途中应防高温、雨淋，要用专用车辆运输，按规定路线行驶。忌用有焊锡的铁器包装。</w:t>
            </w:r>
          </w:p>
        </w:tc>
      </w:tr>
      <w:tr w14:paraId="3BDF51EC">
        <w:tblPrEx>
          <w:tblCellMar>
            <w:top w:w="0" w:type="dxa"/>
            <w:left w:w="0" w:type="dxa"/>
            <w:bottom w:w="0" w:type="dxa"/>
            <w:right w:w="0" w:type="dxa"/>
          </w:tblCellMar>
        </w:tblPrEx>
        <w:trPr>
          <w:wBefore w:w="0" w:type="auto"/>
          <w:tblCellSpacing w:w="0" w:type="dxa"/>
        </w:trPr>
        <w:tc>
          <w:tcPr>
            <w:tcW w:w="0" w:type="auto"/>
            <w:noWrap w:val="0"/>
            <w:vAlign w:val="center"/>
          </w:tcPr>
          <w:p w14:paraId="70E92A2B">
            <w:r>
              <w:rPr>
                <w:rStyle w:val="10"/>
                <w:rFonts w:hint="eastAsia"/>
              </w:rPr>
              <w:t>质量保证期：</w:t>
            </w:r>
            <w:r>
              <w:rPr>
                <w:rStyle w:val="11"/>
                <w:rFonts w:hint="eastAsia"/>
              </w:rPr>
              <w:t>2年</w:t>
            </w:r>
          </w:p>
        </w:tc>
      </w:tr>
      <w:tr w14:paraId="6F20C8B0">
        <w:tblPrEx>
          <w:tblCellMar>
            <w:top w:w="0" w:type="dxa"/>
            <w:left w:w="0" w:type="dxa"/>
            <w:bottom w:w="0" w:type="dxa"/>
            <w:right w:w="0" w:type="dxa"/>
          </w:tblCellMar>
        </w:tblPrEx>
        <w:trPr>
          <w:wBefore w:w="0" w:type="auto"/>
          <w:tblCellSpacing w:w="0" w:type="dxa"/>
        </w:trPr>
        <w:tc>
          <w:tcPr>
            <w:tcW w:w="0" w:type="auto"/>
            <w:noWrap w:val="0"/>
            <w:vAlign w:val="center"/>
          </w:tcPr>
          <w:p w14:paraId="561D685B">
            <w:r>
              <w:rPr>
                <w:rStyle w:val="10"/>
                <w:rFonts w:hint="eastAsia"/>
              </w:rPr>
              <w:t>备注：</w:t>
            </w:r>
            <w:r>
              <w:rPr>
                <w:rFonts w:hint="eastAsia"/>
              </w:rPr>
              <w:br w:type="textWrapping"/>
            </w:r>
            <w:r>
              <w:rPr>
                <w:rStyle w:val="11"/>
                <w:rFonts w:hint="eastAsia"/>
              </w:rPr>
              <w:t>杀螺胺乙醇铵盐25%。</w:t>
            </w:r>
          </w:p>
        </w:tc>
      </w:tr>
    </w:tbl>
    <w:p w14:paraId="58B64C1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7D2A739">
        <w:tblPrEx>
          <w:tblCellMar>
            <w:top w:w="0" w:type="dxa"/>
            <w:left w:w="0" w:type="dxa"/>
            <w:bottom w:w="0" w:type="dxa"/>
            <w:right w:w="0" w:type="dxa"/>
          </w:tblCellMar>
        </w:tblPrEx>
        <w:trPr>
          <w:wBefore w:w="0" w:type="auto"/>
          <w:tblCellSpacing w:w="0" w:type="dxa"/>
        </w:trPr>
        <w:tc>
          <w:tcPr>
            <w:tcW w:w="0" w:type="auto"/>
            <w:noWrap w:val="0"/>
            <w:vAlign w:val="center"/>
          </w:tcPr>
          <w:p w14:paraId="3D61966C">
            <w:r>
              <w:rPr>
                <w:rStyle w:val="10"/>
                <w:rFonts w:hint="eastAsia"/>
              </w:rPr>
              <w:t>登记证号：</w:t>
            </w:r>
            <w:r>
              <w:rPr>
                <w:rFonts w:hint="eastAsia"/>
              </w:rPr>
              <w:t>PD20212016</w:t>
            </w:r>
          </w:p>
        </w:tc>
      </w:tr>
      <w:tr w14:paraId="0F911692">
        <w:tblPrEx>
          <w:tblCellMar>
            <w:top w:w="0" w:type="dxa"/>
            <w:left w:w="0" w:type="dxa"/>
            <w:bottom w:w="0" w:type="dxa"/>
            <w:right w:w="0" w:type="dxa"/>
          </w:tblCellMar>
        </w:tblPrEx>
        <w:trPr>
          <w:wBefore w:w="0" w:type="auto"/>
          <w:tblCellSpacing w:w="0" w:type="dxa"/>
        </w:trPr>
        <w:tc>
          <w:tcPr>
            <w:tcW w:w="0" w:type="auto"/>
            <w:noWrap w:val="0"/>
            <w:vAlign w:val="center"/>
          </w:tcPr>
          <w:p w14:paraId="09E25F95">
            <w:r>
              <w:rPr>
                <w:rStyle w:val="10"/>
                <w:rFonts w:hint="eastAsia"/>
              </w:rPr>
              <w:t>登记证持有人：</w:t>
            </w:r>
            <w:r>
              <w:rPr>
                <w:rFonts w:hint="eastAsia"/>
              </w:rPr>
              <w:t>柳州市惠农化工有限公司</w:t>
            </w:r>
          </w:p>
        </w:tc>
      </w:tr>
      <w:tr w14:paraId="5B226C67">
        <w:tblPrEx>
          <w:tblCellMar>
            <w:top w:w="0" w:type="dxa"/>
            <w:left w:w="0" w:type="dxa"/>
            <w:bottom w:w="0" w:type="dxa"/>
            <w:right w:w="0" w:type="dxa"/>
          </w:tblCellMar>
        </w:tblPrEx>
        <w:trPr>
          <w:wBefore w:w="0" w:type="auto"/>
          <w:tblCellSpacing w:w="0" w:type="dxa"/>
        </w:trPr>
        <w:tc>
          <w:tcPr>
            <w:tcW w:w="0" w:type="auto"/>
            <w:noWrap w:val="0"/>
            <w:vAlign w:val="center"/>
          </w:tcPr>
          <w:p w14:paraId="054BE1A1">
            <w:r>
              <w:rPr>
                <w:rStyle w:val="10"/>
                <w:rFonts w:hint="eastAsia"/>
              </w:rPr>
              <w:t>农药名称：</w:t>
            </w:r>
            <w:r>
              <w:rPr>
                <w:rFonts w:hint="eastAsia"/>
              </w:rPr>
              <w:t>锰锌·嘧菌酯</w:t>
            </w:r>
          </w:p>
        </w:tc>
      </w:tr>
      <w:tr w14:paraId="21C7C343">
        <w:tblPrEx>
          <w:tblCellMar>
            <w:top w:w="0" w:type="dxa"/>
            <w:left w:w="0" w:type="dxa"/>
            <w:bottom w:w="0" w:type="dxa"/>
            <w:right w:w="0" w:type="dxa"/>
          </w:tblCellMar>
        </w:tblPrEx>
        <w:trPr>
          <w:wBefore w:w="0" w:type="auto"/>
          <w:tblCellSpacing w:w="0" w:type="dxa"/>
        </w:trPr>
        <w:tc>
          <w:tcPr>
            <w:tcW w:w="0" w:type="auto"/>
            <w:noWrap w:val="0"/>
            <w:vAlign w:val="center"/>
          </w:tcPr>
          <w:p w14:paraId="1F61D21D">
            <w:r>
              <w:rPr>
                <w:rStyle w:val="10"/>
                <w:rFonts w:hint="eastAsia"/>
              </w:rPr>
              <w:t>剂型：</w:t>
            </w:r>
            <w:r>
              <w:rPr>
                <w:rFonts w:hint="eastAsia"/>
              </w:rPr>
              <w:t>可湿性粉剂</w:t>
            </w:r>
          </w:p>
        </w:tc>
      </w:tr>
      <w:tr w14:paraId="5044198E">
        <w:tblPrEx>
          <w:tblCellMar>
            <w:top w:w="0" w:type="dxa"/>
            <w:left w:w="0" w:type="dxa"/>
            <w:bottom w:w="0" w:type="dxa"/>
            <w:right w:w="0" w:type="dxa"/>
          </w:tblCellMar>
        </w:tblPrEx>
        <w:trPr>
          <w:wBefore w:w="0" w:type="auto"/>
          <w:tblCellSpacing w:w="0" w:type="dxa"/>
        </w:trPr>
        <w:tc>
          <w:tcPr>
            <w:tcW w:w="0" w:type="auto"/>
            <w:noWrap w:val="0"/>
            <w:vAlign w:val="center"/>
          </w:tcPr>
          <w:p w14:paraId="2E82998C">
            <w:r>
              <w:rPr>
                <w:rStyle w:val="10"/>
                <w:rFonts w:hint="eastAsia"/>
              </w:rPr>
              <w:t>毒性及其标识：</w:t>
            </w:r>
            <w:r>
              <w:rPr>
                <w:rFonts w:hint="eastAsia"/>
              </w:rPr>
              <w:t xml:space="preserve"> </w:t>
            </w:r>
            <w:r>
              <w:rPr>
                <w:lang/>
              </w:rPr>
              <w:drawing>
                <wp:inline distT="0" distB="0" distL="114300" distR="114300">
                  <wp:extent cx="476250" cy="323850"/>
                  <wp:effectExtent l="0" t="0" r="0" b="0"/>
                  <wp:docPr id="127" name="图片 12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D569329">
        <w:tblPrEx>
          <w:tblCellMar>
            <w:top w:w="0" w:type="dxa"/>
            <w:left w:w="0" w:type="dxa"/>
            <w:bottom w:w="0" w:type="dxa"/>
            <w:right w:w="0" w:type="dxa"/>
          </w:tblCellMar>
        </w:tblPrEx>
        <w:trPr>
          <w:wBefore w:w="0" w:type="auto"/>
          <w:tblCellSpacing w:w="0" w:type="dxa"/>
        </w:trPr>
        <w:tc>
          <w:tcPr>
            <w:tcW w:w="0" w:type="auto"/>
            <w:noWrap w:val="0"/>
            <w:vAlign w:val="center"/>
          </w:tcPr>
          <w:p w14:paraId="5DD76AC4">
            <w:r>
              <w:rPr>
                <w:rStyle w:val="10"/>
                <w:rFonts w:hint="eastAsia"/>
              </w:rPr>
              <w:t>总有效成分含量：</w:t>
            </w:r>
            <w:r>
              <w:rPr>
                <w:rFonts w:hint="eastAsia"/>
              </w:rPr>
              <w:t>44%</w:t>
            </w:r>
          </w:p>
        </w:tc>
      </w:tr>
      <w:tr w14:paraId="4C112015">
        <w:tblPrEx>
          <w:tblCellMar>
            <w:top w:w="0" w:type="dxa"/>
            <w:left w:w="0" w:type="dxa"/>
            <w:bottom w:w="0" w:type="dxa"/>
            <w:right w:w="0" w:type="dxa"/>
          </w:tblCellMar>
        </w:tblPrEx>
        <w:trPr>
          <w:wBefore w:w="0" w:type="auto"/>
          <w:tblCellSpacing w:w="0" w:type="dxa"/>
        </w:trPr>
        <w:tc>
          <w:tcPr>
            <w:tcW w:w="0" w:type="auto"/>
            <w:noWrap w:val="0"/>
            <w:vAlign w:val="center"/>
          </w:tcPr>
          <w:p w14:paraId="63A8BB81">
            <w:r>
              <w:rPr>
                <w:rFonts w:hint="eastAsia"/>
              </w:rPr>
              <w:t xml:space="preserve">有效成分及其含量： </w:t>
            </w:r>
          </w:p>
          <w:p w14:paraId="1C1EE4CB">
            <w:r>
              <w:rPr>
                <w:rFonts w:hint="eastAsia"/>
              </w:rPr>
              <w:t xml:space="preserve">    代森锰锌20%    嘧菌酯24%    </w:t>
            </w:r>
          </w:p>
        </w:tc>
      </w:tr>
      <w:tr w14:paraId="252338A4">
        <w:tblPrEx>
          <w:tblCellMar>
            <w:top w:w="0" w:type="dxa"/>
            <w:left w:w="0" w:type="dxa"/>
            <w:bottom w:w="0" w:type="dxa"/>
            <w:right w:w="0" w:type="dxa"/>
          </w:tblCellMar>
        </w:tblPrEx>
        <w:trPr>
          <w:wBefore w:w="0" w:type="auto"/>
          <w:tblCellSpacing w:w="0" w:type="dxa"/>
        </w:trPr>
        <w:tc>
          <w:tcPr>
            <w:tcW w:w="0" w:type="auto"/>
            <w:noWrap w:val="0"/>
            <w:vAlign w:val="center"/>
          </w:tcPr>
          <w:p w14:paraId="7BE89E6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2B320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4686C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782DCA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A7248D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3DA77F2">
                  <w:r>
                    <w:rPr>
                      <w:rStyle w:val="11"/>
                      <w:rFonts w:hint="eastAsia"/>
                    </w:rPr>
                    <w:t>施用方式</w:t>
                  </w:r>
                </w:p>
              </w:tc>
            </w:tr>
            <w:tr w14:paraId="52F4E6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927209A">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809AE8">
                  <w:r>
                    <w:rPr>
                      <w:rStyle w:val="11"/>
                      <w:rFonts w:hint="eastAsia"/>
                    </w:rPr>
                    <w:t>树脂病(砂皮病)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CBA93B">
                  <w:r>
                    <w:rPr>
                      <w:rStyle w:val="11"/>
                      <w:rFonts w:hint="eastAsia"/>
                    </w:rPr>
                    <w:t>800-1000倍液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FFD152">
                  <w:r>
                    <w:rPr>
                      <w:rStyle w:val="11"/>
                      <w:rFonts w:hint="eastAsia"/>
                    </w:rPr>
                    <w:t>喷雾</w:t>
                  </w:r>
                </w:p>
              </w:tc>
            </w:tr>
          </w:tbl>
          <w:p w14:paraId="2CBAF01B">
            <w:pPr>
              <w:rPr>
                <w:rFonts w:ascii="Times New Roman" w:hAnsi="Times New Roman" w:cs="Times New Roman"/>
                <w:sz w:val="20"/>
                <w:szCs w:val="20"/>
              </w:rPr>
            </w:pPr>
          </w:p>
        </w:tc>
      </w:tr>
      <w:tr w14:paraId="1DEA53A2">
        <w:tblPrEx>
          <w:tblCellMar>
            <w:top w:w="0" w:type="dxa"/>
            <w:left w:w="0" w:type="dxa"/>
            <w:bottom w:w="0" w:type="dxa"/>
            <w:right w:w="0" w:type="dxa"/>
          </w:tblCellMar>
        </w:tblPrEx>
        <w:trPr>
          <w:wBefore w:w="0" w:type="auto"/>
          <w:tblCellSpacing w:w="0" w:type="dxa"/>
        </w:trPr>
        <w:tc>
          <w:tcPr>
            <w:tcW w:w="0" w:type="auto"/>
            <w:noWrap w:val="0"/>
            <w:vAlign w:val="center"/>
          </w:tcPr>
          <w:p w14:paraId="33C7CB1E">
            <w:r>
              <w:rPr>
                <w:rStyle w:val="10"/>
                <w:rFonts w:hint="eastAsia"/>
              </w:rPr>
              <w:t>使用技术要求:</w:t>
            </w:r>
            <w:r>
              <w:rPr>
                <w:rFonts w:hint="eastAsia"/>
              </w:rPr>
              <w:br w:type="textWrapping"/>
            </w:r>
            <w:r>
              <w:rPr>
                <w:rStyle w:val="11"/>
                <w:rFonts w:hint="eastAsia"/>
              </w:rPr>
              <w:t>1、高温、多雨的5-8月份是该病的发生高峰期，于病害发生前或发病初期喷雾施药，连续施药3次，每次间隔10-15天。大雨、暴雨、台风雨和连续下小雨超过7天，雨后天晴时应立即喷药防治，同时防治炭疽病等真菌性病害。2、大风天请勿施药。3、施药后应设立警示标志，24小时内禁止人畜进入。4、本品在柑橘上使用安全间隔期为30天,每季作物最多施用4次。5、注意与不同作用机制的杀菌剂轮换使用。限制施药次数，每年不超过3次。</w:t>
            </w:r>
          </w:p>
        </w:tc>
      </w:tr>
      <w:tr w14:paraId="07074447">
        <w:tblPrEx>
          <w:tblCellMar>
            <w:top w:w="0" w:type="dxa"/>
            <w:left w:w="0" w:type="dxa"/>
            <w:bottom w:w="0" w:type="dxa"/>
            <w:right w:w="0" w:type="dxa"/>
          </w:tblCellMar>
        </w:tblPrEx>
        <w:trPr>
          <w:wBefore w:w="0" w:type="auto"/>
          <w:tblCellSpacing w:w="0" w:type="dxa"/>
        </w:trPr>
        <w:tc>
          <w:tcPr>
            <w:tcW w:w="0" w:type="auto"/>
            <w:noWrap w:val="0"/>
            <w:vAlign w:val="center"/>
          </w:tcPr>
          <w:p w14:paraId="19794A56">
            <w:r>
              <w:rPr>
                <w:rStyle w:val="10"/>
                <w:rFonts w:hint="eastAsia"/>
              </w:rPr>
              <w:t>产品性能:</w:t>
            </w:r>
            <w:r>
              <w:rPr>
                <w:rFonts w:hint="eastAsia"/>
              </w:rPr>
              <w:br w:type="textWrapping"/>
            </w:r>
            <w:r>
              <w:rPr>
                <w:rStyle w:val="11"/>
                <w:rFonts w:hint="eastAsia"/>
              </w:rPr>
              <w:t>本产品是由嘧菌酯和代森锰锌混配而成的杀菌剂，具有保护和治疗的双重作用。其杀菌范围广、不易产生抗性，防治效果明显优于其他同类杀菌剂。两者混配，优势互补，对防治柑橘树脂病（砂皮病）有较好的防治效果。</w:t>
            </w:r>
          </w:p>
        </w:tc>
      </w:tr>
      <w:tr w14:paraId="47D049E8">
        <w:tblPrEx>
          <w:tblCellMar>
            <w:top w:w="0" w:type="dxa"/>
            <w:left w:w="0" w:type="dxa"/>
            <w:bottom w:w="0" w:type="dxa"/>
            <w:right w:w="0" w:type="dxa"/>
          </w:tblCellMar>
        </w:tblPrEx>
        <w:trPr>
          <w:wBefore w:w="0" w:type="auto"/>
          <w:tblCellSpacing w:w="0" w:type="dxa"/>
        </w:trPr>
        <w:tc>
          <w:tcPr>
            <w:tcW w:w="0" w:type="auto"/>
            <w:noWrap w:val="0"/>
            <w:vAlign w:val="center"/>
          </w:tcPr>
          <w:p w14:paraId="363A7BE2">
            <w:r>
              <w:rPr>
                <w:rStyle w:val="10"/>
                <w:rFonts w:hint="eastAsia"/>
              </w:rPr>
              <w:t>注意事项：</w:t>
            </w:r>
            <w:r>
              <w:rPr>
                <w:rFonts w:hint="eastAsia"/>
              </w:rPr>
              <w:br w:type="textWrapping"/>
            </w:r>
            <w:r>
              <w:rPr>
                <w:rStyle w:val="11"/>
                <w:rFonts w:hint="eastAsia"/>
              </w:rPr>
              <w:t>1.本产品对蜜蜂有毒，（周围）植物花期禁用或花期使用时降低使用量。2.应注意对桑园、养蜂场的不利影响。鸟类保护区、蚕室及桑园附近禁用。天敌放飞区域禁用。赤眼蜂等天敌放飞区域禁用。3．本品对鱼类等水生生物有毒，应避免接触水产养殖区、河塘等水体施药，施药后的水不得直接排入水体。禁止在河塘等水体中清洗施药器具。4.在配药和施药时，穿戴长衣、长裤、帽子、口罩、手套等防护措施，避免皮肤接触及口鼻吸入。使用中不可吸烟、饮水及吃东西，使用后及时清洗手、脸等暴露部位皮肤并更换衣物。5.要与其它杀菌剂交替使用，以延缓抗性产生。6、用过的容器应妥善处理，不可作他用，也不可随意丢弃。7、孕妇及哺乳期妇女避免接触。</w:t>
            </w:r>
          </w:p>
        </w:tc>
      </w:tr>
      <w:tr w14:paraId="4C5DB87C">
        <w:tblPrEx>
          <w:tblCellMar>
            <w:top w:w="0" w:type="dxa"/>
            <w:left w:w="0" w:type="dxa"/>
            <w:bottom w:w="0" w:type="dxa"/>
            <w:right w:w="0" w:type="dxa"/>
          </w:tblCellMar>
        </w:tblPrEx>
        <w:trPr>
          <w:wBefore w:w="0" w:type="auto"/>
          <w:tblCellSpacing w:w="0" w:type="dxa"/>
        </w:trPr>
        <w:tc>
          <w:tcPr>
            <w:tcW w:w="0" w:type="auto"/>
            <w:noWrap w:val="0"/>
            <w:vAlign w:val="center"/>
          </w:tcPr>
          <w:p w14:paraId="480DFA15">
            <w:r>
              <w:rPr>
                <w:rStyle w:val="10"/>
                <w:rFonts w:hint="eastAsia"/>
              </w:rPr>
              <w:t>中毒急救措施：</w:t>
            </w:r>
            <w:r>
              <w:rPr>
                <w:rFonts w:hint="eastAsia"/>
              </w:rPr>
              <w:br w:type="textWrapping"/>
            </w:r>
            <w:r>
              <w:rPr>
                <w:rStyle w:val="11"/>
                <w:rFonts w:hint="eastAsia"/>
              </w:rPr>
              <w:t>该产品对眼睛有刺激性，使用时避免接触眼睛。 使用中或使用后如果感觉不适，应立即停止工作，采取急救措施，并携带标签送医院就诊。1.皮肤接触:脱去污染的衣物,用软布去除沾染农药,立即用大量清水和肥皂冲洗。2.眼睛溅入:立即用流动清水冲洗不少于15分钟。3.吸入:立即离开施药现场,转移到空气清新处。4.误食:立即停止服用,用清水充分漱口后,立即携带农药标签到医院就诊。</w:t>
            </w:r>
          </w:p>
        </w:tc>
      </w:tr>
      <w:tr w14:paraId="36C0400C">
        <w:tblPrEx>
          <w:tblCellMar>
            <w:top w:w="0" w:type="dxa"/>
            <w:left w:w="0" w:type="dxa"/>
            <w:bottom w:w="0" w:type="dxa"/>
            <w:right w:w="0" w:type="dxa"/>
          </w:tblCellMar>
        </w:tblPrEx>
        <w:trPr>
          <w:wBefore w:w="0" w:type="auto"/>
          <w:tblCellSpacing w:w="0" w:type="dxa"/>
        </w:trPr>
        <w:tc>
          <w:tcPr>
            <w:tcW w:w="0" w:type="auto"/>
            <w:noWrap w:val="0"/>
            <w:vAlign w:val="center"/>
          </w:tcPr>
          <w:p w14:paraId="59F11ACA">
            <w:r>
              <w:rPr>
                <w:rStyle w:val="10"/>
                <w:rFonts w:hint="eastAsia"/>
              </w:rPr>
              <w:t>储存和运输方法：</w:t>
            </w:r>
            <w:r>
              <w:rPr>
                <w:rFonts w:hint="eastAsia"/>
              </w:rPr>
              <w:br w:type="textWrapping"/>
            </w:r>
            <w:r>
              <w:rPr>
                <w:rStyle w:val="11"/>
                <w:rFonts w:hint="eastAsia"/>
              </w:rPr>
              <w:t>1.本品应贮存在干燥、阴凉、通风、防雨处，远离火源或热源。 2.不能与食品、饮料、粮食、饲料等混合储运。 3.本品应当置于儿童、无关人员及动物接触不到的地方，并加锁保存。</w:t>
            </w:r>
          </w:p>
        </w:tc>
      </w:tr>
      <w:tr w14:paraId="6F8C99F5">
        <w:tblPrEx>
          <w:tblCellMar>
            <w:top w:w="0" w:type="dxa"/>
            <w:left w:w="0" w:type="dxa"/>
            <w:bottom w:w="0" w:type="dxa"/>
            <w:right w:w="0" w:type="dxa"/>
          </w:tblCellMar>
        </w:tblPrEx>
        <w:trPr>
          <w:wBefore w:w="0" w:type="auto"/>
          <w:tblCellSpacing w:w="0" w:type="dxa"/>
        </w:trPr>
        <w:tc>
          <w:tcPr>
            <w:tcW w:w="0" w:type="auto"/>
            <w:noWrap w:val="0"/>
            <w:vAlign w:val="center"/>
          </w:tcPr>
          <w:p w14:paraId="4CC30746">
            <w:r>
              <w:rPr>
                <w:rStyle w:val="10"/>
                <w:rFonts w:hint="eastAsia"/>
              </w:rPr>
              <w:t>质量保证期：</w:t>
            </w:r>
            <w:r>
              <w:rPr>
                <w:rStyle w:val="11"/>
                <w:rFonts w:hint="eastAsia"/>
              </w:rPr>
              <w:t>2年</w:t>
            </w:r>
          </w:p>
        </w:tc>
      </w:tr>
      <w:tr w14:paraId="6F4DA50D">
        <w:tblPrEx>
          <w:tblCellMar>
            <w:top w:w="0" w:type="dxa"/>
            <w:left w:w="0" w:type="dxa"/>
            <w:bottom w:w="0" w:type="dxa"/>
            <w:right w:w="0" w:type="dxa"/>
          </w:tblCellMar>
        </w:tblPrEx>
        <w:trPr>
          <w:wBefore w:w="0" w:type="auto"/>
          <w:tblCellSpacing w:w="0" w:type="dxa"/>
        </w:trPr>
        <w:tc>
          <w:tcPr>
            <w:tcW w:w="0" w:type="auto"/>
            <w:noWrap w:val="0"/>
            <w:vAlign w:val="center"/>
          </w:tcPr>
          <w:p w14:paraId="41D711FA">
            <w:r>
              <w:rPr>
                <w:rStyle w:val="10"/>
                <w:rFonts w:hint="eastAsia"/>
              </w:rPr>
              <w:t>备注：</w:t>
            </w:r>
          </w:p>
        </w:tc>
      </w:tr>
    </w:tbl>
    <w:p w14:paraId="5C27CA0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8F1C230">
        <w:tblPrEx>
          <w:tblCellMar>
            <w:top w:w="0" w:type="dxa"/>
            <w:left w:w="0" w:type="dxa"/>
            <w:bottom w:w="0" w:type="dxa"/>
            <w:right w:w="0" w:type="dxa"/>
          </w:tblCellMar>
        </w:tblPrEx>
        <w:trPr>
          <w:wBefore w:w="0" w:type="auto"/>
          <w:tblCellSpacing w:w="0" w:type="dxa"/>
        </w:trPr>
        <w:tc>
          <w:tcPr>
            <w:tcW w:w="0" w:type="auto"/>
            <w:noWrap w:val="0"/>
            <w:vAlign w:val="center"/>
          </w:tcPr>
          <w:p w14:paraId="0E082465">
            <w:r>
              <w:rPr>
                <w:rStyle w:val="10"/>
                <w:rFonts w:hint="eastAsia"/>
              </w:rPr>
              <w:t>登记证号：</w:t>
            </w:r>
            <w:r>
              <w:rPr>
                <w:rFonts w:hint="eastAsia"/>
              </w:rPr>
              <w:t>PD20211923</w:t>
            </w:r>
          </w:p>
        </w:tc>
      </w:tr>
      <w:tr w14:paraId="0CF7B732">
        <w:tblPrEx>
          <w:tblCellMar>
            <w:top w:w="0" w:type="dxa"/>
            <w:left w:w="0" w:type="dxa"/>
            <w:bottom w:w="0" w:type="dxa"/>
            <w:right w:w="0" w:type="dxa"/>
          </w:tblCellMar>
        </w:tblPrEx>
        <w:trPr>
          <w:wBefore w:w="0" w:type="auto"/>
          <w:tblCellSpacing w:w="0" w:type="dxa"/>
        </w:trPr>
        <w:tc>
          <w:tcPr>
            <w:tcW w:w="0" w:type="auto"/>
            <w:noWrap w:val="0"/>
            <w:vAlign w:val="center"/>
          </w:tcPr>
          <w:p w14:paraId="1FE24219">
            <w:r>
              <w:rPr>
                <w:rStyle w:val="10"/>
                <w:rFonts w:hint="eastAsia"/>
              </w:rPr>
              <w:t>登记证持有人：</w:t>
            </w:r>
            <w:r>
              <w:rPr>
                <w:rFonts w:hint="eastAsia"/>
              </w:rPr>
              <w:t>浙江龙湾化工有限公司</w:t>
            </w:r>
          </w:p>
        </w:tc>
      </w:tr>
      <w:tr w14:paraId="100E8C87">
        <w:tblPrEx>
          <w:tblCellMar>
            <w:top w:w="0" w:type="dxa"/>
            <w:left w:w="0" w:type="dxa"/>
            <w:bottom w:w="0" w:type="dxa"/>
            <w:right w:w="0" w:type="dxa"/>
          </w:tblCellMar>
        </w:tblPrEx>
        <w:trPr>
          <w:wBefore w:w="0" w:type="auto"/>
          <w:tblCellSpacing w:w="0" w:type="dxa"/>
        </w:trPr>
        <w:tc>
          <w:tcPr>
            <w:tcW w:w="0" w:type="auto"/>
            <w:noWrap w:val="0"/>
            <w:vAlign w:val="center"/>
          </w:tcPr>
          <w:p w14:paraId="484E7528">
            <w:r>
              <w:rPr>
                <w:rStyle w:val="10"/>
                <w:rFonts w:hint="eastAsia"/>
              </w:rPr>
              <w:t>农药名称：</w:t>
            </w:r>
            <w:r>
              <w:rPr>
                <w:rFonts w:hint="eastAsia"/>
              </w:rPr>
              <w:t>抑霉唑</w:t>
            </w:r>
          </w:p>
        </w:tc>
      </w:tr>
      <w:tr w14:paraId="6DFF872A">
        <w:tblPrEx>
          <w:tblCellMar>
            <w:top w:w="0" w:type="dxa"/>
            <w:left w:w="0" w:type="dxa"/>
            <w:bottom w:w="0" w:type="dxa"/>
            <w:right w:w="0" w:type="dxa"/>
          </w:tblCellMar>
        </w:tblPrEx>
        <w:trPr>
          <w:wBefore w:w="0" w:type="auto"/>
          <w:tblCellSpacing w:w="0" w:type="dxa"/>
        </w:trPr>
        <w:tc>
          <w:tcPr>
            <w:tcW w:w="0" w:type="auto"/>
            <w:noWrap w:val="0"/>
            <w:vAlign w:val="center"/>
          </w:tcPr>
          <w:p w14:paraId="66EBE8A0">
            <w:r>
              <w:rPr>
                <w:rStyle w:val="10"/>
                <w:rFonts w:hint="eastAsia"/>
              </w:rPr>
              <w:t>剂型：</w:t>
            </w:r>
            <w:r>
              <w:rPr>
                <w:rFonts w:hint="eastAsia"/>
              </w:rPr>
              <w:t>水乳剂</w:t>
            </w:r>
          </w:p>
        </w:tc>
      </w:tr>
      <w:tr w14:paraId="025AC379">
        <w:tblPrEx>
          <w:tblCellMar>
            <w:top w:w="0" w:type="dxa"/>
            <w:left w:w="0" w:type="dxa"/>
            <w:bottom w:w="0" w:type="dxa"/>
            <w:right w:w="0" w:type="dxa"/>
          </w:tblCellMar>
        </w:tblPrEx>
        <w:trPr>
          <w:wBefore w:w="0" w:type="auto"/>
          <w:tblCellSpacing w:w="0" w:type="dxa"/>
        </w:trPr>
        <w:tc>
          <w:tcPr>
            <w:tcW w:w="0" w:type="auto"/>
            <w:noWrap w:val="0"/>
            <w:vAlign w:val="center"/>
          </w:tcPr>
          <w:p w14:paraId="6CD147C5">
            <w:r>
              <w:rPr>
                <w:rStyle w:val="10"/>
                <w:rFonts w:hint="eastAsia"/>
              </w:rPr>
              <w:t>毒性及其标识：</w:t>
            </w:r>
            <w:r>
              <w:rPr>
                <w:rFonts w:hint="eastAsia"/>
              </w:rPr>
              <w:t xml:space="preserve"> </w:t>
            </w:r>
            <w:r>
              <w:rPr>
                <w:lang/>
              </w:rPr>
              <w:drawing>
                <wp:inline distT="0" distB="0" distL="114300" distR="114300">
                  <wp:extent cx="476250" cy="323850"/>
                  <wp:effectExtent l="0" t="0" r="0" b="0"/>
                  <wp:docPr id="128" name="图片 12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E10277E">
        <w:tblPrEx>
          <w:tblCellMar>
            <w:top w:w="0" w:type="dxa"/>
            <w:left w:w="0" w:type="dxa"/>
            <w:bottom w:w="0" w:type="dxa"/>
            <w:right w:w="0" w:type="dxa"/>
          </w:tblCellMar>
        </w:tblPrEx>
        <w:trPr>
          <w:wBefore w:w="0" w:type="auto"/>
          <w:tblCellSpacing w:w="0" w:type="dxa"/>
        </w:trPr>
        <w:tc>
          <w:tcPr>
            <w:tcW w:w="0" w:type="auto"/>
            <w:noWrap w:val="0"/>
            <w:vAlign w:val="center"/>
          </w:tcPr>
          <w:p w14:paraId="2553AFB5">
            <w:r>
              <w:rPr>
                <w:rStyle w:val="10"/>
                <w:rFonts w:hint="eastAsia"/>
              </w:rPr>
              <w:t>总有效成分含量：</w:t>
            </w:r>
            <w:r>
              <w:rPr>
                <w:rFonts w:hint="eastAsia"/>
              </w:rPr>
              <w:t>20%</w:t>
            </w:r>
          </w:p>
        </w:tc>
      </w:tr>
      <w:tr w14:paraId="145547EF">
        <w:tblPrEx>
          <w:tblCellMar>
            <w:top w:w="0" w:type="dxa"/>
            <w:left w:w="0" w:type="dxa"/>
            <w:bottom w:w="0" w:type="dxa"/>
            <w:right w:w="0" w:type="dxa"/>
          </w:tblCellMar>
        </w:tblPrEx>
        <w:trPr>
          <w:wBefore w:w="0" w:type="auto"/>
          <w:tblCellSpacing w:w="0" w:type="dxa"/>
        </w:trPr>
        <w:tc>
          <w:tcPr>
            <w:tcW w:w="0" w:type="auto"/>
            <w:noWrap w:val="0"/>
            <w:vAlign w:val="center"/>
          </w:tcPr>
          <w:p w14:paraId="4C4D4E9B">
            <w:r>
              <w:rPr>
                <w:rFonts w:hint="eastAsia"/>
              </w:rPr>
              <w:t xml:space="preserve">有效成分及其含量： </w:t>
            </w:r>
          </w:p>
          <w:p w14:paraId="4B62173F">
            <w:r>
              <w:rPr>
                <w:rFonts w:hint="eastAsia"/>
              </w:rPr>
              <w:t xml:space="preserve">    抑霉唑20%    </w:t>
            </w:r>
          </w:p>
        </w:tc>
      </w:tr>
      <w:tr w14:paraId="453400A7">
        <w:tblPrEx>
          <w:tblCellMar>
            <w:top w:w="0" w:type="dxa"/>
            <w:left w:w="0" w:type="dxa"/>
            <w:bottom w:w="0" w:type="dxa"/>
            <w:right w:w="0" w:type="dxa"/>
          </w:tblCellMar>
        </w:tblPrEx>
        <w:trPr>
          <w:wBefore w:w="0" w:type="auto"/>
          <w:tblCellSpacing w:w="0" w:type="dxa"/>
        </w:trPr>
        <w:tc>
          <w:tcPr>
            <w:tcW w:w="0" w:type="auto"/>
            <w:noWrap w:val="0"/>
            <w:vAlign w:val="center"/>
          </w:tcPr>
          <w:p w14:paraId="1D43465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520DB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126D63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1AC0C7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9182A6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309627E">
                  <w:r>
                    <w:rPr>
                      <w:rStyle w:val="11"/>
                      <w:rFonts w:hint="eastAsia"/>
                    </w:rPr>
                    <w:t>施用方式</w:t>
                  </w:r>
                </w:p>
              </w:tc>
            </w:tr>
            <w:tr w14:paraId="6DF7B6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5E91AD">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0B4912">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6CBB90">
                  <w:r>
                    <w:rPr>
                      <w:rStyle w:val="11"/>
                      <w:rFonts w:hint="eastAsia"/>
                    </w:rPr>
                    <w:t>800-1200倍液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EE2983">
                  <w:r>
                    <w:rPr>
                      <w:rStyle w:val="11"/>
                      <w:rFonts w:hint="eastAsia"/>
                    </w:rPr>
                    <w:t>喷雾</w:t>
                  </w:r>
                </w:p>
              </w:tc>
            </w:tr>
          </w:tbl>
          <w:p w14:paraId="76353412">
            <w:pPr>
              <w:rPr>
                <w:rFonts w:ascii="Times New Roman" w:hAnsi="Times New Roman" w:cs="Times New Roman"/>
                <w:sz w:val="20"/>
                <w:szCs w:val="20"/>
              </w:rPr>
            </w:pPr>
          </w:p>
        </w:tc>
      </w:tr>
      <w:tr w14:paraId="2B7F918A">
        <w:tblPrEx>
          <w:tblCellMar>
            <w:top w:w="0" w:type="dxa"/>
            <w:left w:w="0" w:type="dxa"/>
            <w:bottom w:w="0" w:type="dxa"/>
            <w:right w:w="0" w:type="dxa"/>
          </w:tblCellMar>
        </w:tblPrEx>
        <w:trPr>
          <w:wBefore w:w="0" w:type="auto"/>
          <w:tblCellSpacing w:w="0" w:type="dxa"/>
        </w:trPr>
        <w:tc>
          <w:tcPr>
            <w:tcW w:w="0" w:type="auto"/>
            <w:noWrap w:val="0"/>
            <w:vAlign w:val="center"/>
          </w:tcPr>
          <w:p w14:paraId="621CBE0D">
            <w:r>
              <w:rPr>
                <w:rStyle w:val="10"/>
                <w:rFonts w:hint="eastAsia"/>
              </w:rPr>
              <w:t>使用技术要求:</w:t>
            </w:r>
            <w:r>
              <w:rPr>
                <w:rFonts w:hint="eastAsia"/>
              </w:rPr>
              <w:br w:type="textWrapping"/>
            </w:r>
            <w:r>
              <w:rPr>
                <w:rStyle w:val="11"/>
                <w:rFonts w:hint="eastAsia"/>
              </w:rPr>
              <w:t>1.在葡萄炭疽病发病前或发病初期施药，间隔7天左右，共施药2次。2.本品在葡萄上的安全间隔期为10天，每季作物最多使用2次。</w:t>
            </w:r>
          </w:p>
        </w:tc>
      </w:tr>
      <w:tr w14:paraId="2A2D8DFD">
        <w:tblPrEx>
          <w:tblCellMar>
            <w:top w:w="0" w:type="dxa"/>
            <w:left w:w="0" w:type="dxa"/>
            <w:bottom w:w="0" w:type="dxa"/>
            <w:right w:w="0" w:type="dxa"/>
          </w:tblCellMar>
        </w:tblPrEx>
        <w:trPr>
          <w:wBefore w:w="0" w:type="auto"/>
          <w:tblCellSpacing w:w="0" w:type="dxa"/>
        </w:trPr>
        <w:tc>
          <w:tcPr>
            <w:tcW w:w="0" w:type="auto"/>
            <w:noWrap w:val="0"/>
            <w:vAlign w:val="center"/>
          </w:tcPr>
          <w:p w14:paraId="2F11C686">
            <w:r>
              <w:rPr>
                <w:rStyle w:val="10"/>
                <w:rFonts w:hint="eastAsia"/>
              </w:rPr>
              <w:t>产品性能:</w:t>
            </w:r>
            <w:r>
              <w:rPr>
                <w:rFonts w:hint="eastAsia"/>
              </w:rPr>
              <w:br w:type="textWrapping"/>
            </w:r>
            <w:r>
              <w:rPr>
                <w:rStyle w:val="11"/>
                <w:rFonts w:hint="eastAsia"/>
              </w:rPr>
              <w:t>本品为咪唑类内吸性广谱杀菌剂，其主要通过影响病菌细胞膜的渗透性、生理功能和脂类合成代谢，从而破坏病菌的细胞膜和抑制病菌孢子的形成；对葡萄炭疽病等病害具有较好的防治效果。</w:t>
            </w:r>
          </w:p>
        </w:tc>
      </w:tr>
      <w:tr w14:paraId="5EDE09DF">
        <w:tblPrEx>
          <w:tblCellMar>
            <w:top w:w="0" w:type="dxa"/>
            <w:left w:w="0" w:type="dxa"/>
            <w:bottom w:w="0" w:type="dxa"/>
            <w:right w:w="0" w:type="dxa"/>
          </w:tblCellMar>
        </w:tblPrEx>
        <w:trPr>
          <w:wBefore w:w="0" w:type="auto"/>
          <w:tblCellSpacing w:w="0" w:type="dxa"/>
        </w:trPr>
        <w:tc>
          <w:tcPr>
            <w:tcW w:w="0" w:type="auto"/>
            <w:noWrap w:val="0"/>
            <w:vAlign w:val="center"/>
          </w:tcPr>
          <w:p w14:paraId="55AE5834">
            <w:r>
              <w:rPr>
                <w:rStyle w:val="10"/>
                <w:rFonts w:hint="eastAsia"/>
              </w:rPr>
              <w:t>注意事项：</w:t>
            </w:r>
            <w:r>
              <w:rPr>
                <w:rFonts w:hint="eastAsia"/>
              </w:rPr>
              <w:br w:type="textWrapping"/>
            </w:r>
            <w:r>
              <w:rPr>
                <w:rStyle w:val="11"/>
                <w:rFonts w:hint="eastAsia"/>
              </w:rPr>
              <w:t>1.本品对眼睛和皮肤有刺激作用，农药施用人员在使用本品时须穿戴长衣、长裤、帽子、口罩、手套等安全防护措施，避免皮肤和眼睛接触；使用期间不可吸烟、饮水及吃东西等；施药后及时清洗手、脸等暴露部位皮肤并更换衣物。2.本品不能与强碱性农药等物质混用。3.水产养殖区、河塘等水体附近禁用，禁止在河塘等水域清洗施药器具，避免污染水源。用过的容器应妥善处理，不可做他用或随意丢弃。4.桑园、蚕室附近禁止使用；瓢虫等捕食性天敌放飞区禁止使用。5.孕妇及哺乳期妇女避免接触。</w:t>
            </w:r>
          </w:p>
        </w:tc>
      </w:tr>
      <w:tr w14:paraId="4B6C6479">
        <w:tblPrEx>
          <w:tblCellMar>
            <w:top w:w="0" w:type="dxa"/>
            <w:left w:w="0" w:type="dxa"/>
            <w:bottom w:w="0" w:type="dxa"/>
            <w:right w:w="0" w:type="dxa"/>
          </w:tblCellMar>
        </w:tblPrEx>
        <w:trPr>
          <w:wBefore w:w="0" w:type="auto"/>
          <w:tblCellSpacing w:w="0" w:type="dxa"/>
        </w:trPr>
        <w:tc>
          <w:tcPr>
            <w:tcW w:w="0" w:type="auto"/>
            <w:noWrap w:val="0"/>
            <w:vAlign w:val="center"/>
          </w:tcPr>
          <w:p w14:paraId="4A3DC71A">
            <w:r>
              <w:rPr>
                <w:rStyle w:val="10"/>
                <w:rFonts w:hint="eastAsia"/>
              </w:rPr>
              <w:t>中毒急救措施：</w:t>
            </w:r>
            <w:r>
              <w:rPr>
                <w:rFonts w:hint="eastAsia"/>
              </w:rPr>
              <w:br w:type="textWrapping"/>
            </w:r>
            <w:r>
              <w:rPr>
                <w:rStyle w:val="11"/>
                <w:rFonts w:hint="eastAsia"/>
              </w:rPr>
              <w:t>对眼睛有刺激性，使用时避免接触眼睛。 若皮肤接触：立即脱去污染的衣物，用大量清水冲洗暴露部位皮肤至少15分钟；若不慎溅入眼睛：立即翻开眼睑，用清水温和冲洗至少15分钟，如仍感不适立即携标签就医；若不慎吸入，立即将吸入者转移到空气清新处。若误服，请勿给昏迷患者灌胃任何东西，对有意识患者可饮用大量牛奶、蛋白溶液，如果没有，也可大量饮水进行引吐，并立即携标签请医生对症治疗。</w:t>
            </w:r>
          </w:p>
        </w:tc>
      </w:tr>
      <w:tr w14:paraId="0AA22549">
        <w:tblPrEx>
          <w:tblCellMar>
            <w:top w:w="0" w:type="dxa"/>
            <w:left w:w="0" w:type="dxa"/>
            <w:bottom w:w="0" w:type="dxa"/>
            <w:right w:w="0" w:type="dxa"/>
          </w:tblCellMar>
        </w:tblPrEx>
        <w:trPr>
          <w:wBefore w:w="0" w:type="auto"/>
          <w:tblCellSpacing w:w="0" w:type="dxa"/>
        </w:trPr>
        <w:tc>
          <w:tcPr>
            <w:tcW w:w="0" w:type="auto"/>
            <w:noWrap w:val="0"/>
            <w:vAlign w:val="center"/>
          </w:tcPr>
          <w:p w14:paraId="0F6E1EA8">
            <w:r>
              <w:rPr>
                <w:rStyle w:val="10"/>
                <w:rFonts w:hint="eastAsia"/>
              </w:rPr>
              <w:t>储存和运输方法：</w:t>
            </w:r>
            <w:r>
              <w:rPr>
                <w:rFonts w:hint="eastAsia"/>
              </w:rPr>
              <w:br w:type="textWrapping"/>
            </w:r>
            <w:r>
              <w:rPr>
                <w:rStyle w:val="11"/>
                <w:rFonts w:hint="eastAsia"/>
              </w:rPr>
              <w:t>本品应储存在干燥、阴凉、通风、防雨处，保持容器密闭；远离热源或火源。置于儿童、无关人员及动物等接触不到的地方并加锁保存。不能与食品、饮料、粮食、饲料等其他商品同储同运。运输时注意防水防潮，避免日晒和雨淋；搬运时轻搬轻放，不可倒置。</w:t>
            </w:r>
          </w:p>
        </w:tc>
      </w:tr>
      <w:tr w14:paraId="06D3D116">
        <w:tblPrEx>
          <w:tblCellMar>
            <w:top w:w="0" w:type="dxa"/>
            <w:left w:w="0" w:type="dxa"/>
            <w:bottom w:w="0" w:type="dxa"/>
            <w:right w:w="0" w:type="dxa"/>
          </w:tblCellMar>
        </w:tblPrEx>
        <w:trPr>
          <w:wBefore w:w="0" w:type="auto"/>
          <w:tblCellSpacing w:w="0" w:type="dxa"/>
        </w:trPr>
        <w:tc>
          <w:tcPr>
            <w:tcW w:w="0" w:type="auto"/>
            <w:noWrap w:val="0"/>
            <w:vAlign w:val="center"/>
          </w:tcPr>
          <w:p w14:paraId="5275C361">
            <w:r>
              <w:rPr>
                <w:rStyle w:val="10"/>
                <w:rFonts w:hint="eastAsia"/>
              </w:rPr>
              <w:t>质量保证期：</w:t>
            </w:r>
            <w:r>
              <w:rPr>
                <w:rStyle w:val="11"/>
                <w:rFonts w:hint="eastAsia"/>
              </w:rPr>
              <w:t>2年</w:t>
            </w:r>
          </w:p>
        </w:tc>
      </w:tr>
      <w:tr w14:paraId="3F5BD87C">
        <w:tblPrEx>
          <w:tblCellMar>
            <w:top w:w="0" w:type="dxa"/>
            <w:left w:w="0" w:type="dxa"/>
            <w:bottom w:w="0" w:type="dxa"/>
            <w:right w:w="0" w:type="dxa"/>
          </w:tblCellMar>
        </w:tblPrEx>
        <w:trPr>
          <w:wBefore w:w="0" w:type="auto"/>
          <w:tblCellSpacing w:w="0" w:type="dxa"/>
        </w:trPr>
        <w:tc>
          <w:tcPr>
            <w:tcW w:w="0" w:type="auto"/>
            <w:noWrap w:val="0"/>
            <w:vAlign w:val="center"/>
          </w:tcPr>
          <w:p w14:paraId="4641F170">
            <w:r>
              <w:rPr>
                <w:rStyle w:val="10"/>
                <w:rFonts w:hint="eastAsia"/>
              </w:rPr>
              <w:t>备注：</w:t>
            </w:r>
          </w:p>
        </w:tc>
      </w:tr>
    </w:tbl>
    <w:p w14:paraId="3FD6259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8BCCCD5">
        <w:tblPrEx>
          <w:tblCellMar>
            <w:top w:w="0" w:type="dxa"/>
            <w:left w:w="0" w:type="dxa"/>
            <w:bottom w:w="0" w:type="dxa"/>
            <w:right w:w="0" w:type="dxa"/>
          </w:tblCellMar>
        </w:tblPrEx>
        <w:trPr>
          <w:wBefore w:w="0" w:type="auto"/>
          <w:tblCellSpacing w:w="0" w:type="dxa"/>
        </w:trPr>
        <w:tc>
          <w:tcPr>
            <w:tcW w:w="0" w:type="auto"/>
            <w:noWrap w:val="0"/>
            <w:vAlign w:val="center"/>
          </w:tcPr>
          <w:p w14:paraId="7A6AFA99">
            <w:r>
              <w:rPr>
                <w:rStyle w:val="10"/>
                <w:rFonts w:hint="eastAsia"/>
              </w:rPr>
              <w:t>登记证号：</w:t>
            </w:r>
            <w:r>
              <w:rPr>
                <w:rFonts w:hint="eastAsia"/>
              </w:rPr>
              <w:t>PD20211996</w:t>
            </w:r>
          </w:p>
        </w:tc>
      </w:tr>
      <w:tr w14:paraId="0B1BA721">
        <w:tblPrEx>
          <w:tblCellMar>
            <w:top w:w="0" w:type="dxa"/>
            <w:left w:w="0" w:type="dxa"/>
            <w:bottom w:w="0" w:type="dxa"/>
            <w:right w:w="0" w:type="dxa"/>
          </w:tblCellMar>
        </w:tblPrEx>
        <w:trPr>
          <w:wBefore w:w="0" w:type="auto"/>
          <w:tblCellSpacing w:w="0" w:type="dxa"/>
        </w:trPr>
        <w:tc>
          <w:tcPr>
            <w:tcW w:w="0" w:type="auto"/>
            <w:noWrap w:val="0"/>
            <w:vAlign w:val="center"/>
          </w:tcPr>
          <w:p w14:paraId="3A294C1E">
            <w:r>
              <w:rPr>
                <w:rStyle w:val="10"/>
                <w:rFonts w:hint="eastAsia"/>
              </w:rPr>
              <w:t>登记证持有人：</w:t>
            </w:r>
            <w:r>
              <w:rPr>
                <w:rFonts w:hint="eastAsia"/>
              </w:rPr>
              <w:t>陕西美邦药业集团股份有限公司</w:t>
            </w:r>
          </w:p>
        </w:tc>
      </w:tr>
      <w:tr w14:paraId="0A5D23B8">
        <w:tblPrEx>
          <w:tblCellMar>
            <w:top w:w="0" w:type="dxa"/>
            <w:left w:w="0" w:type="dxa"/>
            <w:bottom w:w="0" w:type="dxa"/>
            <w:right w:w="0" w:type="dxa"/>
          </w:tblCellMar>
        </w:tblPrEx>
        <w:trPr>
          <w:wBefore w:w="0" w:type="auto"/>
          <w:tblCellSpacing w:w="0" w:type="dxa"/>
        </w:trPr>
        <w:tc>
          <w:tcPr>
            <w:tcW w:w="0" w:type="auto"/>
            <w:noWrap w:val="0"/>
            <w:vAlign w:val="center"/>
          </w:tcPr>
          <w:p w14:paraId="55C8D6AE">
            <w:r>
              <w:rPr>
                <w:rStyle w:val="10"/>
                <w:rFonts w:hint="eastAsia"/>
              </w:rPr>
              <w:t>农药名称：</w:t>
            </w:r>
            <w:r>
              <w:rPr>
                <w:rFonts w:hint="eastAsia"/>
              </w:rPr>
              <w:t>甲硫·萘乙酸</w:t>
            </w:r>
          </w:p>
        </w:tc>
      </w:tr>
      <w:tr w14:paraId="5BE517D0">
        <w:tblPrEx>
          <w:tblCellMar>
            <w:top w:w="0" w:type="dxa"/>
            <w:left w:w="0" w:type="dxa"/>
            <w:bottom w:w="0" w:type="dxa"/>
            <w:right w:w="0" w:type="dxa"/>
          </w:tblCellMar>
        </w:tblPrEx>
        <w:trPr>
          <w:wBefore w:w="0" w:type="auto"/>
          <w:tblCellSpacing w:w="0" w:type="dxa"/>
        </w:trPr>
        <w:tc>
          <w:tcPr>
            <w:tcW w:w="0" w:type="auto"/>
            <w:noWrap w:val="0"/>
            <w:vAlign w:val="center"/>
          </w:tcPr>
          <w:p w14:paraId="74611F05">
            <w:r>
              <w:rPr>
                <w:rStyle w:val="10"/>
                <w:rFonts w:hint="eastAsia"/>
              </w:rPr>
              <w:t>剂型：</w:t>
            </w:r>
            <w:r>
              <w:rPr>
                <w:rFonts w:hint="eastAsia"/>
              </w:rPr>
              <w:t>膏剂</w:t>
            </w:r>
          </w:p>
        </w:tc>
      </w:tr>
      <w:tr w14:paraId="5964FC5B">
        <w:tblPrEx>
          <w:tblCellMar>
            <w:top w:w="0" w:type="dxa"/>
            <w:left w:w="0" w:type="dxa"/>
            <w:bottom w:w="0" w:type="dxa"/>
            <w:right w:w="0" w:type="dxa"/>
          </w:tblCellMar>
        </w:tblPrEx>
        <w:trPr>
          <w:wBefore w:w="0" w:type="auto"/>
          <w:tblCellSpacing w:w="0" w:type="dxa"/>
        </w:trPr>
        <w:tc>
          <w:tcPr>
            <w:tcW w:w="0" w:type="auto"/>
            <w:noWrap w:val="0"/>
            <w:vAlign w:val="center"/>
          </w:tcPr>
          <w:p w14:paraId="0EF8E7EE">
            <w:r>
              <w:rPr>
                <w:rStyle w:val="10"/>
                <w:rFonts w:hint="eastAsia"/>
              </w:rPr>
              <w:t>毒性及其标识：</w:t>
            </w:r>
            <w:r>
              <w:rPr>
                <w:rFonts w:hint="eastAsia"/>
              </w:rPr>
              <w:t xml:space="preserve"> </w:t>
            </w:r>
            <w:r>
              <w:rPr>
                <w:lang/>
              </w:rPr>
              <w:drawing>
                <wp:inline distT="0" distB="0" distL="114300" distR="114300">
                  <wp:extent cx="476250" cy="323850"/>
                  <wp:effectExtent l="0" t="0" r="0" b="0"/>
                  <wp:docPr id="129" name="图片 12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BA1F1A5">
        <w:tblPrEx>
          <w:tblCellMar>
            <w:top w:w="0" w:type="dxa"/>
            <w:left w:w="0" w:type="dxa"/>
            <w:bottom w:w="0" w:type="dxa"/>
            <w:right w:w="0" w:type="dxa"/>
          </w:tblCellMar>
        </w:tblPrEx>
        <w:trPr>
          <w:wBefore w:w="0" w:type="auto"/>
          <w:tblCellSpacing w:w="0" w:type="dxa"/>
        </w:trPr>
        <w:tc>
          <w:tcPr>
            <w:tcW w:w="0" w:type="auto"/>
            <w:noWrap w:val="0"/>
            <w:vAlign w:val="center"/>
          </w:tcPr>
          <w:p w14:paraId="6F858DB0">
            <w:r>
              <w:rPr>
                <w:rStyle w:val="10"/>
                <w:rFonts w:hint="eastAsia"/>
              </w:rPr>
              <w:t>总有效成分含量：</w:t>
            </w:r>
            <w:r>
              <w:rPr>
                <w:rFonts w:hint="eastAsia"/>
              </w:rPr>
              <w:t>3.3%</w:t>
            </w:r>
          </w:p>
        </w:tc>
      </w:tr>
      <w:tr w14:paraId="42B79C97">
        <w:tblPrEx>
          <w:tblCellMar>
            <w:top w:w="0" w:type="dxa"/>
            <w:left w:w="0" w:type="dxa"/>
            <w:bottom w:w="0" w:type="dxa"/>
            <w:right w:w="0" w:type="dxa"/>
          </w:tblCellMar>
        </w:tblPrEx>
        <w:trPr>
          <w:wBefore w:w="0" w:type="auto"/>
          <w:tblCellSpacing w:w="0" w:type="dxa"/>
        </w:trPr>
        <w:tc>
          <w:tcPr>
            <w:tcW w:w="0" w:type="auto"/>
            <w:noWrap w:val="0"/>
            <w:vAlign w:val="center"/>
          </w:tcPr>
          <w:p w14:paraId="2F2C2F8D">
            <w:r>
              <w:rPr>
                <w:rFonts w:hint="eastAsia"/>
              </w:rPr>
              <w:t xml:space="preserve">有效成分及其含量： </w:t>
            </w:r>
          </w:p>
          <w:p w14:paraId="3374245D">
            <w:r>
              <w:rPr>
                <w:rFonts w:hint="eastAsia"/>
              </w:rPr>
              <w:t xml:space="preserve">    甲基硫菌灵3.285%    萘乙酸0.015%    </w:t>
            </w:r>
          </w:p>
        </w:tc>
      </w:tr>
      <w:tr w14:paraId="76EBACFE">
        <w:tblPrEx>
          <w:tblCellMar>
            <w:top w:w="0" w:type="dxa"/>
            <w:left w:w="0" w:type="dxa"/>
            <w:bottom w:w="0" w:type="dxa"/>
            <w:right w:w="0" w:type="dxa"/>
          </w:tblCellMar>
        </w:tblPrEx>
        <w:trPr>
          <w:wBefore w:w="0" w:type="auto"/>
          <w:tblCellSpacing w:w="0" w:type="dxa"/>
        </w:trPr>
        <w:tc>
          <w:tcPr>
            <w:tcW w:w="0" w:type="auto"/>
            <w:noWrap w:val="0"/>
            <w:vAlign w:val="center"/>
          </w:tcPr>
          <w:p w14:paraId="3E4A7AE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E2BC5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69728C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FCF181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140E5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E5FC86C">
                  <w:r>
                    <w:rPr>
                      <w:rStyle w:val="11"/>
                      <w:rFonts w:hint="eastAsia"/>
                    </w:rPr>
                    <w:t>施用方式</w:t>
                  </w:r>
                </w:p>
              </w:tc>
            </w:tr>
            <w:tr w14:paraId="04E7E1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8834A51">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033605">
                  <w:r>
                    <w:rPr>
                      <w:rStyle w:val="11"/>
                      <w:rFonts w:hint="eastAsia"/>
                    </w:rPr>
                    <w:t>腐烂病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3772FD">
                  <w:r>
                    <w:rPr>
                      <w:rStyle w:val="11"/>
                      <w:rFonts w:hint="eastAsia"/>
                    </w:rPr>
                    <w:t>185-270克/平方米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EECB32">
                  <w:r>
                    <w:rPr>
                      <w:rStyle w:val="11"/>
                      <w:rFonts w:hint="eastAsia"/>
                    </w:rPr>
                    <w:t>涂抹</w:t>
                  </w:r>
                </w:p>
              </w:tc>
            </w:tr>
          </w:tbl>
          <w:p w14:paraId="66C2C848">
            <w:pPr>
              <w:rPr>
                <w:rFonts w:ascii="Times New Roman" w:hAnsi="Times New Roman" w:cs="Times New Roman"/>
                <w:sz w:val="20"/>
                <w:szCs w:val="20"/>
              </w:rPr>
            </w:pPr>
          </w:p>
        </w:tc>
      </w:tr>
      <w:tr w14:paraId="12C67E88">
        <w:tblPrEx>
          <w:tblCellMar>
            <w:top w:w="0" w:type="dxa"/>
            <w:left w:w="0" w:type="dxa"/>
            <w:bottom w:w="0" w:type="dxa"/>
            <w:right w:w="0" w:type="dxa"/>
          </w:tblCellMar>
        </w:tblPrEx>
        <w:trPr>
          <w:wBefore w:w="0" w:type="auto"/>
          <w:tblCellSpacing w:w="0" w:type="dxa"/>
        </w:trPr>
        <w:tc>
          <w:tcPr>
            <w:tcW w:w="0" w:type="auto"/>
            <w:noWrap w:val="0"/>
            <w:vAlign w:val="center"/>
          </w:tcPr>
          <w:p w14:paraId="571722BD">
            <w:r>
              <w:rPr>
                <w:rStyle w:val="10"/>
                <w:rFonts w:hint="eastAsia"/>
              </w:rPr>
              <w:t>使用技术要求:</w:t>
            </w:r>
            <w:r>
              <w:rPr>
                <w:rFonts w:hint="eastAsia"/>
              </w:rPr>
              <w:br w:type="textWrapping"/>
            </w:r>
            <w:r>
              <w:rPr>
                <w:rStyle w:val="11"/>
                <w:rFonts w:hint="eastAsia"/>
              </w:rPr>
              <w:t>1.本品应于春季病害发生期，刮除病疤后涂抹病斑。涂抹时应注意均匀、周到。 2.大风天或预计1小时内降雨，请勿施药。</w:t>
            </w:r>
          </w:p>
        </w:tc>
      </w:tr>
      <w:tr w14:paraId="35A7169D">
        <w:tblPrEx>
          <w:tblCellMar>
            <w:top w:w="0" w:type="dxa"/>
            <w:left w:w="0" w:type="dxa"/>
            <w:bottom w:w="0" w:type="dxa"/>
            <w:right w:w="0" w:type="dxa"/>
          </w:tblCellMar>
        </w:tblPrEx>
        <w:trPr>
          <w:wBefore w:w="0" w:type="auto"/>
          <w:tblCellSpacing w:w="0" w:type="dxa"/>
        </w:trPr>
        <w:tc>
          <w:tcPr>
            <w:tcW w:w="0" w:type="auto"/>
            <w:noWrap w:val="0"/>
            <w:vAlign w:val="center"/>
          </w:tcPr>
          <w:p w14:paraId="20309358">
            <w:r>
              <w:rPr>
                <w:rStyle w:val="10"/>
                <w:rFonts w:hint="eastAsia"/>
              </w:rPr>
              <w:t>产品性能:</w:t>
            </w:r>
            <w:r>
              <w:rPr>
                <w:rFonts w:hint="eastAsia"/>
              </w:rPr>
              <w:br w:type="textWrapping"/>
            </w:r>
            <w:r>
              <w:rPr>
                <w:rStyle w:val="11"/>
                <w:rFonts w:hint="eastAsia"/>
              </w:rPr>
              <w:t>本品是由甲基硫菌灵和萘乙酸复配而成的杀菌剂，对苹果树腐烂病伤口的封闭和愈合有较强的作用。按推荐剂量使用时，对苹果树腐烂病有较好的防治效果。</w:t>
            </w:r>
          </w:p>
        </w:tc>
      </w:tr>
      <w:tr w14:paraId="4C16C231">
        <w:tblPrEx>
          <w:tblCellMar>
            <w:top w:w="0" w:type="dxa"/>
            <w:left w:w="0" w:type="dxa"/>
            <w:bottom w:w="0" w:type="dxa"/>
            <w:right w:w="0" w:type="dxa"/>
          </w:tblCellMar>
        </w:tblPrEx>
        <w:trPr>
          <w:wBefore w:w="0" w:type="auto"/>
          <w:tblCellSpacing w:w="0" w:type="dxa"/>
        </w:trPr>
        <w:tc>
          <w:tcPr>
            <w:tcW w:w="0" w:type="auto"/>
            <w:noWrap w:val="0"/>
            <w:vAlign w:val="center"/>
          </w:tcPr>
          <w:p w14:paraId="046F76B8">
            <w:r>
              <w:rPr>
                <w:rStyle w:val="10"/>
                <w:rFonts w:hint="eastAsia"/>
              </w:rPr>
              <w:t>注意事项：</w:t>
            </w:r>
            <w:r>
              <w:rPr>
                <w:rFonts w:hint="eastAsia"/>
              </w:rPr>
              <w:br w:type="textWrapping"/>
            </w:r>
            <w:r>
              <w:rPr>
                <w:rStyle w:val="11"/>
                <w:rFonts w:hint="eastAsia"/>
              </w:rPr>
              <w:t>1. 严格按照规定用药量和方法使用。 2. 避免与氧化剂接触。建议与其他作用机制不同的杀菌剂轮换使用，以延缓抗性产生。 3. 禁止在河塘等水体中清洗施药器具。4.使用本品时应穿防护服和戴手套，避免吸入药液。施药期间不可吃东西和饮水，施药后应及时洗手和洗脸。 5.用药后包装物及用过的容器应妥善处理，不可做他用，也不可随意丢弃。 6. 孕妇及哺乳期妇女禁止接触本品。</w:t>
            </w:r>
          </w:p>
        </w:tc>
      </w:tr>
      <w:tr w14:paraId="63A38853">
        <w:tblPrEx>
          <w:tblCellMar>
            <w:top w:w="0" w:type="dxa"/>
            <w:left w:w="0" w:type="dxa"/>
            <w:bottom w:w="0" w:type="dxa"/>
            <w:right w:w="0" w:type="dxa"/>
          </w:tblCellMar>
        </w:tblPrEx>
        <w:trPr>
          <w:wBefore w:w="0" w:type="auto"/>
          <w:tblCellSpacing w:w="0" w:type="dxa"/>
        </w:trPr>
        <w:tc>
          <w:tcPr>
            <w:tcW w:w="0" w:type="auto"/>
            <w:noWrap w:val="0"/>
            <w:vAlign w:val="center"/>
          </w:tcPr>
          <w:p w14:paraId="6D1DC7D7">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至少15分钟。误服：立即停止服用，用清水充分漱口后，携带农药标签到医院就诊。</w:t>
            </w:r>
          </w:p>
        </w:tc>
      </w:tr>
      <w:tr w14:paraId="76110C9B">
        <w:tblPrEx>
          <w:tblCellMar>
            <w:top w:w="0" w:type="dxa"/>
            <w:left w:w="0" w:type="dxa"/>
            <w:bottom w:w="0" w:type="dxa"/>
            <w:right w:w="0" w:type="dxa"/>
          </w:tblCellMar>
        </w:tblPrEx>
        <w:trPr>
          <w:wBefore w:w="0" w:type="auto"/>
          <w:tblCellSpacing w:w="0" w:type="dxa"/>
        </w:trPr>
        <w:tc>
          <w:tcPr>
            <w:tcW w:w="0" w:type="auto"/>
            <w:noWrap w:val="0"/>
            <w:vAlign w:val="center"/>
          </w:tcPr>
          <w:p w14:paraId="2EA2194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本品应贮存在干燥、阴凉、通风、防雨处，远离火源或热源。置于儿童、无关人员及动物触及不到之处，并加锁保存。勿与食品、饮料、饲料、粮食和种子等同贮同运。</w:t>
            </w:r>
          </w:p>
        </w:tc>
      </w:tr>
      <w:tr w14:paraId="1C3F461C">
        <w:tblPrEx>
          <w:tblCellMar>
            <w:top w:w="0" w:type="dxa"/>
            <w:left w:w="0" w:type="dxa"/>
            <w:bottom w:w="0" w:type="dxa"/>
            <w:right w:w="0" w:type="dxa"/>
          </w:tblCellMar>
        </w:tblPrEx>
        <w:trPr>
          <w:wBefore w:w="0" w:type="auto"/>
          <w:tblCellSpacing w:w="0" w:type="dxa"/>
        </w:trPr>
        <w:tc>
          <w:tcPr>
            <w:tcW w:w="0" w:type="auto"/>
            <w:noWrap w:val="0"/>
            <w:vAlign w:val="center"/>
          </w:tcPr>
          <w:p w14:paraId="412E8C70">
            <w:r>
              <w:rPr>
                <w:rStyle w:val="10"/>
                <w:rFonts w:hint="eastAsia"/>
              </w:rPr>
              <w:t>质量保证期：</w:t>
            </w:r>
            <w:r>
              <w:rPr>
                <w:rStyle w:val="11"/>
                <w:rFonts w:hint="eastAsia"/>
              </w:rPr>
              <w:t>2年</w:t>
            </w:r>
          </w:p>
        </w:tc>
      </w:tr>
      <w:tr w14:paraId="41E8E528">
        <w:tblPrEx>
          <w:tblCellMar>
            <w:top w:w="0" w:type="dxa"/>
            <w:left w:w="0" w:type="dxa"/>
            <w:bottom w:w="0" w:type="dxa"/>
            <w:right w:w="0" w:type="dxa"/>
          </w:tblCellMar>
        </w:tblPrEx>
        <w:trPr>
          <w:wBefore w:w="0" w:type="auto"/>
          <w:tblCellSpacing w:w="0" w:type="dxa"/>
        </w:trPr>
        <w:tc>
          <w:tcPr>
            <w:tcW w:w="0" w:type="auto"/>
            <w:noWrap w:val="0"/>
            <w:vAlign w:val="center"/>
          </w:tcPr>
          <w:p w14:paraId="67A164B1">
            <w:r>
              <w:rPr>
                <w:rStyle w:val="10"/>
                <w:rFonts w:hint="eastAsia"/>
              </w:rPr>
              <w:t>备注：</w:t>
            </w:r>
          </w:p>
        </w:tc>
      </w:tr>
    </w:tbl>
    <w:p w14:paraId="60DFB53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CB65A48">
        <w:tblPrEx>
          <w:tblCellMar>
            <w:top w:w="0" w:type="dxa"/>
            <w:left w:w="0" w:type="dxa"/>
            <w:bottom w:w="0" w:type="dxa"/>
            <w:right w:w="0" w:type="dxa"/>
          </w:tblCellMar>
        </w:tblPrEx>
        <w:trPr>
          <w:wBefore w:w="0" w:type="auto"/>
          <w:tblCellSpacing w:w="0" w:type="dxa"/>
        </w:trPr>
        <w:tc>
          <w:tcPr>
            <w:tcW w:w="0" w:type="auto"/>
            <w:noWrap w:val="0"/>
            <w:vAlign w:val="center"/>
          </w:tcPr>
          <w:p w14:paraId="28602404">
            <w:r>
              <w:rPr>
                <w:rStyle w:val="10"/>
                <w:rFonts w:hint="eastAsia"/>
              </w:rPr>
              <w:t>登记证号：</w:t>
            </w:r>
            <w:r>
              <w:rPr>
                <w:rFonts w:hint="eastAsia"/>
              </w:rPr>
              <w:t>PD20211845</w:t>
            </w:r>
          </w:p>
        </w:tc>
      </w:tr>
      <w:tr w14:paraId="44FDE75E">
        <w:tblPrEx>
          <w:tblCellMar>
            <w:top w:w="0" w:type="dxa"/>
            <w:left w:w="0" w:type="dxa"/>
            <w:bottom w:w="0" w:type="dxa"/>
            <w:right w:w="0" w:type="dxa"/>
          </w:tblCellMar>
        </w:tblPrEx>
        <w:trPr>
          <w:wBefore w:w="0" w:type="auto"/>
          <w:tblCellSpacing w:w="0" w:type="dxa"/>
        </w:trPr>
        <w:tc>
          <w:tcPr>
            <w:tcW w:w="0" w:type="auto"/>
            <w:noWrap w:val="0"/>
            <w:vAlign w:val="center"/>
          </w:tcPr>
          <w:p w14:paraId="2DF96778">
            <w:r>
              <w:rPr>
                <w:rStyle w:val="10"/>
                <w:rFonts w:hint="eastAsia"/>
              </w:rPr>
              <w:t>登记证持有人：</w:t>
            </w:r>
            <w:r>
              <w:rPr>
                <w:rFonts w:hint="eastAsia"/>
              </w:rPr>
              <w:t>广东省湛江市甘丰农药厂</w:t>
            </w:r>
          </w:p>
        </w:tc>
      </w:tr>
      <w:tr w14:paraId="0E1CDB9C">
        <w:tblPrEx>
          <w:tblCellMar>
            <w:top w:w="0" w:type="dxa"/>
            <w:left w:w="0" w:type="dxa"/>
            <w:bottom w:w="0" w:type="dxa"/>
            <w:right w:w="0" w:type="dxa"/>
          </w:tblCellMar>
        </w:tblPrEx>
        <w:trPr>
          <w:wBefore w:w="0" w:type="auto"/>
          <w:tblCellSpacing w:w="0" w:type="dxa"/>
        </w:trPr>
        <w:tc>
          <w:tcPr>
            <w:tcW w:w="0" w:type="auto"/>
            <w:noWrap w:val="0"/>
            <w:vAlign w:val="center"/>
          </w:tcPr>
          <w:p w14:paraId="52621B9E">
            <w:r>
              <w:rPr>
                <w:rStyle w:val="10"/>
                <w:rFonts w:hint="eastAsia"/>
              </w:rPr>
              <w:t>农药名称：</w:t>
            </w:r>
            <w:r>
              <w:rPr>
                <w:rFonts w:hint="eastAsia"/>
              </w:rPr>
              <w:t>杀单·毒死蜱</w:t>
            </w:r>
          </w:p>
        </w:tc>
      </w:tr>
      <w:tr w14:paraId="646DB3E5">
        <w:tblPrEx>
          <w:tblCellMar>
            <w:top w:w="0" w:type="dxa"/>
            <w:left w:w="0" w:type="dxa"/>
            <w:bottom w:w="0" w:type="dxa"/>
            <w:right w:w="0" w:type="dxa"/>
          </w:tblCellMar>
        </w:tblPrEx>
        <w:trPr>
          <w:wBefore w:w="0" w:type="auto"/>
          <w:tblCellSpacing w:w="0" w:type="dxa"/>
        </w:trPr>
        <w:tc>
          <w:tcPr>
            <w:tcW w:w="0" w:type="auto"/>
            <w:noWrap w:val="0"/>
            <w:vAlign w:val="center"/>
          </w:tcPr>
          <w:p w14:paraId="4B888979">
            <w:r>
              <w:rPr>
                <w:rStyle w:val="10"/>
                <w:rFonts w:hint="eastAsia"/>
              </w:rPr>
              <w:t>剂型：</w:t>
            </w:r>
            <w:r>
              <w:rPr>
                <w:rFonts w:hint="eastAsia"/>
              </w:rPr>
              <w:t>颗粒剂</w:t>
            </w:r>
          </w:p>
        </w:tc>
      </w:tr>
      <w:tr w14:paraId="0D62DFEE">
        <w:tblPrEx>
          <w:tblCellMar>
            <w:top w:w="0" w:type="dxa"/>
            <w:left w:w="0" w:type="dxa"/>
            <w:bottom w:w="0" w:type="dxa"/>
            <w:right w:w="0" w:type="dxa"/>
          </w:tblCellMar>
        </w:tblPrEx>
        <w:trPr>
          <w:wBefore w:w="0" w:type="auto"/>
          <w:tblCellSpacing w:w="0" w:type="dxa"/>
        </w:trPr>
        <w:tc>
          <w:tcPr>
            <w:tcW w:w="0" w:type="auto"/>
            <w:noWrap w:val="0"/>
            <w:vAlign w:val="center"/>
          </w:tcPr>
          <w:p w14:paraId="60941611">
            <w:r>
              <w:rPr>
                <w:rStyle w:val="10"/>
                <w:rFonts w:hint="eastAsia"/>
              </w:rPr>
              <w:t>毒性及其标识：</w:t>
            </w:r>
            <w:r>
              <w:rPr>
                <w:rFonts w:hint="eastAsia"/>
              </w:rPr>
              <w:t xml:space="preserve"> </w:t>
            </w:r>
            <w:r>
              <w:rPr>
                <w:lang/>
              </w:rPr>
              <w:drawing>
                <wp:inline distT="0" distB="0" distL="114300" distR="114300">
                  <wp:extent cx="476250" cy="323850"/>
                  <wp:effectExtent l="0" t="0" r="0" b="0"/>
                  <wp:docPr id="130" name="图片 13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4C61201">
        <w:tblPrEx>
          <w:tblCellMar>
            <w:top w:w="0" w:type="dxa"/>
            <w:left w:w="0" w:type="dxa"/>
            <w:bottom w:w="0" w:type="dxa"/>
            <w:right w:w="0" w:type="dxa"/>
          </w:tblCellMar>
        </w:tblPrEx>
        <w:trPr>
          <w:wBefore w:w="0" w:type="auto"/>
          <w:tblCellSpacing w:w="0" w:type="dxa"/>
        </w:trPr>
        <w:tc>
          <w:tcPr>
            <w:tcW w:w="0" w:type="auto"/>
            <w:noWrap w:val="0"/>
            <w:vAlign w:val="center"/>
          </w:tcPr>
          <w:p w14:paraId="776C8842">
            <w:r>
              <w:rPr>
                <w:rStyle w:val="10"/>
                <w:rFonts w:hint="eastAsia"/>
              </w:rPr>
              <w:t>总有效成分含量：</w:t>
            </w:r>
            <w:r>
              <w:rPr>
                <w:rFonts w:hint="eastAsia"/>
              </w:rPr>
              <w:t>0.32%</w:t>
            </w:r>
          </w:p>
        </w:tc>
      </w:tr>
      <w:tr w14:paraId="4CDCF7A3">
        <w:tblPrEx>
          <w:tblCellMar>
            <w:top w:w="0" w:type="dxa"/>
            <w:left w:w="0" w:type="dxa"/>
            <w:bottom w:w="0" w:type="dxa"/>
            <w:right w:w="0" w:type="dxa"/>
          </w:tblCellMar>
        </w:tblPrEx>
        <w:trPr>
          <w:wBefore w:w="0" w:type="auto"/>
          <w:tblCellSpacing w:w="0" w:type="dxa"/>
        </w:trPr>
        <w:tc>
          <w:tcPr>
            <w:tcW w:w="0" w:type="auto"/>
            <w:noWrap w:val="0"/>
            <w:vAlign w:val="center"/>
          </w:tcPr>
          <w:p w14:paraId="28158C8F">
            <w:r>
              <w:rPr>
                <w:rFonts w:hint="eastAsia"/>
              </w:rPr>
              <w:t xml:space="preserve">有效成分及其含量： </w:t>
            </w:r>
          </w:p>
          <w:p w14:paraId="354BD25E">
            <w:r>
              <w:rPr>
                <w:rFonts w:hint="eastAsia"/>
              </w:rPr>
              <w:t xml:space="preserve">    杀虫单0.16%    毒死蜱0.16%    </w:t>
            </w:r>
          </w:p>
        </w:tc>
      </w:tr>
      <w:tr w14:paraId="5C888B41">
        <w:tblPrEx>
          <w:tblCellMar>
            <w:top w:w="0" w:type="dxa"/>
            <w:left w:w="0" w:type="dxa"/>
            <w:bottom w:w="0" w:type="dxa"/>
            <w:right w:w="0" w:type="dxa"/>
          </w:tblCellMar>
        </w:tblPrEx>
        <w:trPr>
          <w:wBefore w:w="0" w:type="auto"/>
          <w:tblCellSpacing w:w="0" w:type="dxa"/>
        </w:trPr>
        <w:tc>
          <w:tcPr>
            <w:tcW w:w="0" w:type="auto"/>
            <w:noWrap w:val="0"/>
            <w:vAlign w:val="center"/>
          </w:tcPr>
          <w:p w14:paraId="45292E3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4A8DE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DDF0C6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A3F66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3CD052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27D65CC">
                  <w:r>
                    <w:rPr>
                      <w:rStyle w:val="11"/>
                      <w:rFonts w:hint="eastAsia"/>
                    </w:rPr>
                    <w:t>施用方式</w:t>
                  </w:r>
                </w:p>
              </w:tc>
            </w:tr>
            <w:tr w14:paraId="6C1A22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E56FCF8">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A20A1E">
                  <w:r>
                    <w:rPr>
                      <w:rStyle w:val="11"/>
                      <w:rFonts w:hint="eastAsia"/>
                    </w:rPr>
                    <w:t>蔗螟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506245">
                  <w:r>
                    <w:rPr>
                      <w:rStyle w:val="11"/>
                      <w:rFonts w:hint="eastAsia"/>
                    </w:rPr>
                    <w:t>50-70千克/亩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78C0E2">
                  <w:r>
                    <w:rPr>
                      <w:rStyle w:val="11"/>
                      <w:rFonts w:hint="eastAsia"/>
                    </w:rPr>
                    <w:t>沟施</w:t>
                  </w:r>
                </w:p>
              </w:tc>
            </w:tr>
          </w:tbl>
          <w:p w14:paraId="3B4F738A">
            <w:pPr>
              <w:rPr>
                <w:rFonts w:ascii="Times New Roman" w:hAnsi="Times New Roman" w:cs="Times New Roman"/>
                <w:sz w:val="20"/>
                <w:szCs w:val="20"/>
              </w:rPr>
            </w:pPr>
          </w:p>
        </w:tc>
      </w:tr>
      <w:tr w14:paraId="72F11FA0">
        <w:tblPrEx>
          <w:tblCellMar>
            <w:top w:w="0" w:type="dxa"/>
            <w:left w:w="0" w:type="dxa"/>
            <w:bottom w:w="0" w:type="dxa"/>
            <w:right w:w="0" w:type="dxa"/>
          </w:tblCellMar>
        </w:tblPrEx>
        <w:trPr>
          <w:wBefore w:w="0" w:type="auto"/>
          <w:tblCellSpacing w:w="0" w:type="dxa"/>
        </w:trPr>
        <w:tc>
          <w:tcPr>
            <w:tcW w:w="0" w:type="auto"/>
            <w:noWrap w:val="0"/>
            <w:vAlign w:val="center"/>
          </w:tcPr>
          <w:p w14:paraId="4F4F90D7">
            <w:r>
              <w:rPr>
                <w:rStyle w:val="10"/>
                <w:rFonts w:hint="eastAsia"/>
              </w:rPr>
              <w:t>使用技术要求:</w:t>
            </w:r>
            <w:r>
              <w:rPr>
                <w:rFonts w:hint="eastAsia"/>
              </w:rPr>
              <w:br w:type="textWrapping"/>
            </w:r>
            <w:r>
              <w:rPr>
                <w:rStyle w:val="11"/>
                <w:rFonts w:hint="eastAsia"/>
              </w:rPr>
              <w:t>1.施药时期：于甘蔗播种时施药1次，将药剂撒施于种植沟内蔗种附近，然后覆土。2.大风天或预计1小时内降雨，请勿施药。3.安全间隔期90天。4. 施药后设立警示标志，施药3天后人畜方可进入施药地点。</w:t>
            </w:r>
          </w:p>
        </w:tc>
      </w:tr>
      <w:tr w14:paraId="28782D5F">
        <w:tblPrEx>
          <w:tblCellMar>
            <w:top w:w="0" w:type="dxa"/>
            <w:left w:w="0" w:type="dxa"/>
            <w:bottom w:w="0" w:type="dxa"/>
            <w:right w:w="0" w:type="dxa"/>
          </w:tblCellMar>
        </w:tblPrEx>
        <w:trPr>
          <w:wBefore w:w="0" w:type="auto"/>
          <w:tblCellSpacing w:w="0" w:type="dxa"/>
        </w:trPr>
        <w:tc>
          <w:tcPr>
            <w:tcW w:w="0" w:type="auto"/>
            <w:noWrap w:val="0"/>
            <w:vAlign w:val="center"/>
          </w:tcPr>
          <w:p w14:paraId="0C29AE01">
            <w:r>
              <w:rPr>
                <w:rStyle w:val="10"/>
                <w:rFonts w:hint="eastAsia"/>
              </w:rPr>
              <w:t>产品性能:</w:t>
            </w:r>
            <w:r>
              <w:rPr>
                <w:rFonts w:hint="eastAsia"/>
              </w:rPr>
              <w:br w:type="textWrapping"/>
            </w:r>
            <w:r>
              <w:rPr>
                <w:rStyle w:val="11"/>
                <w:rFonts w:hint="eastAsia"/>
              </w:rPr>
              <w:t>本品是由两种不同作用机理的农药复配而成，对害虫具有触杀、胃毒、内吸和一定的熏蒸作用，适用于防治甘蔗螟虫。</w:t>
            </w:r>
          </w:p>
        </w:tc>
      </w:tr>
      <w:tr w14:paraId="146F80F0">
        <w:tblPrEx>
          <w:tblCellMar>
            <w:top w:w="0" w:type="dxa"/>
            <w:left w:w="0" w:type="dxa"/>
            <w:bottom w:w="0" w:type="dxa"/>
            <w:right w:w="0" w:type="dxa"/>
          </w:tblCellMar>
        </w:tblPrEx>
        <w:trPr>
          <w:wBefore w:w="0" w:type="auto"/>
          <w:tblCellSpacing w:w="0" w:type="dxa"/>
        </w:trPr>
        <w:tc>
          <w:tcPr>
            <w:tcW w:w="0" w:type="auto"/>
            <w:noWrap w:val="0"/>
            <w:vAlign w:val="center"/>
          </w:tcPr>
          <w:p w14:paraId="250734EE">
            <w:r>
              <w:rPr>
                <w:rStyle w:val="10"/>
                <w:rFonts w:hint="eastAsia"/>
              </w:rPr>
              <w:t>注意事项：</w:t>
            </w:r>
            <w:r>
              <w:rPr>
                <w:rFonts w:hint="eastAsia"/>
              </w:rPr>
              <w:br w:type="textWrapping"/>
            </w:r>
            <w:r>
              <w:rPr>
                <w:rStyle w:val="11"/>
                <w:rFonts w:hint="eastAsia"/>
              </w:rPr>
              <w:t>1. 禁止在蔬菜上使用。2. 严格按照农药安全使用规则使用本品，做好安全防护。3. 本品不可与碱性和强酸性物质混合使用。4. 本品对蜜蜂、家蚕有毒，施药期间应避免对周围蜂群的影响、开花植物花期、蚕室和桑园附近禁用。禁止在河塘等水体中清洗施药器具；鸟类保护区附近禁用，施药后立即覆土。，施药后立即覆土。5. 孕妇及哺乳期妇女禁止接触。6. 用过的容器应妥善处理，不可做他用，也不可随意丢弃。</w:t>
            </w:r>
          </w:p>
        </w:tc>
      </w:tr>
      <w:tr w14:paraId="0992C97F">
        <w:tblPrEx>
          <w:tblCellMar>
            <w:top w:w="0" w:type="dxa"/>
            <w:left w:w="0" w:type="dxa"/>
            <w:bottom w:w="0" w:type="dxa"/>
            <w:right w:w="0" w:type="dxa"/>
          </w:tblCellMar>
        </w:tblPrEx>
        <w:trPr>
          <w:wBefore w:w="0" w:type="auto"/>
          <w:tblCellSpacing w:w="0" w:type="dxa"/>
        </w:trPr>
        <w:tc>
          <w:tcPr>
            <w:tcW w:w="0" w:type="auto"/>
            <w:noWrap w:val="0"/>
            <w:vAlign w:val="center"/>
          </w:tcPr>
          <w:p w14:paraId="56360738">
            <w:r>
              <w:rPr>
                <w:rStyle w:val="10"/>
                <w:rFonts w:hint="eastAsia"/>
              </w:rPr>
              <w:t>中毒急救措施：</w:t>
            </w:r>
            <w:r>
              <w:rPr>
                <w:rFonts w:hint="eastAsia"/>
              </w:rPr>
              <w:br w:type="textWrapping"/>
            </w:r>
            <w:r>
              <w:rPr>
                <w:rStyle w:val="11"/>
                <w:rFonts w:hint="eastAsia"/>
              </w:rPr>
              <w:t>1. 眼睛溅入：立刻用大量清水冲洗，如配戴隐形眼镜，冲洗1-2分钟后摘掉眼镜再冲洗数分钟。如症状持续，请就医。3.误食：请勿自行引吐。请即就医。4. 皮肤接触：脱去被污染衣物。立刻用大量清水冲洗皮肤。如症状持续，请就医。衣物彻底清洗后方可再穿。丢弃无法清洗的物件如皮革制品。5. 误吸：转移至空气清新处，如症状持续，请就医。6. 无特效解毒药，如误服应立即送医院，对症治疗。</w:t>
            </w:r>
          </w:p>
        </w:tc>
      </w:tr>
      <w:tr w14:paraId="735282F2">
        <w:tblPrEx>
          <w:tblCellMar>
            <w:top w:w="0" w:type="dxa"/>
            <w:left w:w="0" w:type="dxa"/>
            <w:bottom w:w="0" w:type="dxa"/>
            <w:right w:w="0" w:type="dxa"/>
          </w:tblCellMar>
        </w:tblPrEx>
        <w:trPr>
          <w:wBefore w:w="0" w:type="auto"/>
          <w:tblCellSpacing w:w="0" w:type="dxa"/>
        </w:trPr>
        <w:tc>
          <w:tcPr>
            <w:tcW w:w="0" w:type="auto"/>
            <w:noWrap w:val="0"/>
            <w:vAlign w:val="center"/>
          </w:tcPr>
          <w:p w14:paraId="6CBC6DE0">
            <w:r>
              <w:rPr>
                <w:rStyle w:val="10"/>
                <w:rFonts w:hint="eastAsia"/>
              </w:rPr>
              <w:t>储存和运输方法：</w:t>
            </w:r>
            <w:r>
              <w:rPr>
                <w:rFonts w:hint="eastAsia"/>
              </w:rPr>
              <w:br w:type="textWrapping"/>
            </w:r>
            <w:r>
              <w:rPr>
                <w:rStyle w:val="11"/>
                <w:rFonts w:hint="eastAsia"/>
              </w:rPr>
              <w:t>本品应密封贮存在干燥、阴凉、通风、防雨处，远离火源或热源。 2. 存放于儿童触及不到之处，并加锁。 3. 勿与食品、饮料、粮食、饲料等其他商品同贮同运。</w:t>
            </w:r>
          </w:p>
        </w:tc>
      </w:tr>
      <w:tr w14:paraId="76577DA1">
        <w:tblPrEx>
          <w:tblCellMar>
            <w:top w:w="0" w:type="dxa"/>
            <w:left w:w="0" w:type="dxa"/>
            <w:bottom w:w="0" w:type="dxa"/>
            <w:right w:w="0" w:type="dxa"/>
          </w:tblCellMar>
        </w:tblPrEx>
        <w:trPr>
          <w:wBefore w:w="0" w:type="auto"/>
          <w:tblCellSpacing w:w="0" w:type="dxa"/>
        </w:trPr>
        <w:tc>
          <w:tcPr>
            <w:tcW w:w="0" w:type="auto"/>
            <w:noWrap w:val="0"/>
            <w:vAlign w:val="center"/>
          </w:tcPr>
          <w:p w14:paraId="2BF68C4B">
            <w:r>
              <w:rPr>
                <w:rStyle w:val="10"/>
                <w:rFonts w:hint="eastAsia"/>
              </w:rPr>
              <w:t>质量保证期：</w:t>
            </w:r>
            <w:r>
              <w:rPr>
                <w:rStyle w:val="11"/>
                <w:rFonts w:hint="eastAsia"/>
              </w:rPr>
              <w:t>2年</w:t>
            </w:r>
          </w:p>
        </w:tc>
      </w:tr>
      <w:tr w14:paraId="2B35264C">
        <w:tblPrEx>
          <w:tblCellMar>
            <w:top w:w="0" w:type="dxa"/>
            <w:left w:w="0" w:type="dxa"/>
            <w:bottom w:w="0" w:type="dxa"/>
            <w:right w:w="0" w:type="dxa"/>
          </w:tblCellMar>
        </w:tblPrEx>
        <w:trPr>
          <w:wBefore w:w="0" w:type="auto"/>
          <w:tblCellSpacing w:w="0" w:type="dxa"/>
        </w:trPr>
        <w:tc>
          <w:tcPr>
            <w:tcW w:w="0" w:type="auto"/>
            <w:noWrap w:val="0"/>
            <w:vAlign w:val="center"/>
          </w:tcPr>
          <w:p w14:paraId="766380D1">
            <w:r>
              <w:rPr>
                <w:rStyle w:val="10"/>
                <w:rFonts w:hint="eastAsia"/>
              </w:rPr>
              <w:t>备注：</w:t>
            </w:r>
            <w:r>
              <w:rPr>
                <w:rFonts w:hint="eastAsia"/>
              </w:rPr>
              <w:br w:type="textWrapping"/>
            </w:r>
            <w:r>
              <w:rPr>
                <w:rStyle w:val="11"/>
                <w:rFonts w:hint="eastAsia"/>
              </w:rPr>
              <w:t>标注"限制使用"字样</w:t>
            </w:r>
          </w:p>
        </w:tc>
      </w:tr>
    </w:tbl>
    <w:p w14:paraId="19F1617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74E3EC0">
        <w:tblPrEx>
          <w:tblCellMar>
            <w:top w:w="0" w:type="dxa"/>
            <w:left w:w="0" w:type="dxa"/>
            <w:bottom w:w="0" w:type="dxa"/>
            <w:right w:w="0" w:type="dxa"/>
          </w:tblCellMar>
        </w:tblPrEx>
        <w:trPr>
          <w:wBefore w:w="0" w:type="auto"/>
          <w:tblCellSpacing w:w="0" w:type="dxa"/>
        </w:trPr>
        <w:tc>
          <w:tcPr>
            <w:tcW w:w="0" w:type="auto"/>
            <w:noWrap w:val="0"/>
            <w:vAlign w:val="center"/>
          </w:tcPr>
          <w:p w14:paraId="4C96B5FC">
            <w:r>
              <w:rPr>
                <w:rStyle w:val="10"/>
                <w:rFonts w:hint="eastAsia"/>
              </w:rPr>
              <w:t>登记证号：</w:t>
            </w:r>
            <w:r>
              <w:rPr>
                <w:rFonts w:hint="eastAsia"/>
              </w:rPr>
              <w:t>PD20212029</w:t>
            </w:r>
          </w:p>
        </w:tc>
      </w:tr>
      <w:tr w14:paraId="52DE531E">
        <w:tblPrEx>
          <w:tblCellMar>
            <w:top w:w="0" w:type="dxa"/>
            <w:left w:w="0" w:type="dxa"/>
            <w:bottom w:w="0" w:type="dxa"/>
            <w:right w:w="0" w:type="dxa"/>
          </w:tblCellMar>
        </w:tblPrEx>
        <w:trPr>
          <w:wBefore w:w="0" w:type="auto"/>
          <w:tblCellSpacing w:w="0" w:type="dxa"/>
        </w:trPr>
        <w:tc>
          <w:tcPr>
            <w:tcW w:w="0" w:type="auto"/>
            <w:noWrap w:val="0"/>
            <w:vAlign w:val="center"/>
          </w:tcPr>
          <w:p w14:paraId="1A5F6A4D">
            <w:r>
              <w:rPr>
                <w:rStyle w:val="10"/>
                <w:rFonts w:hint="eastAsia"/>
              </w:rPr>
              <w:t>登记证持有人：</w:t>
            </w:r>
            <w:r>
              <w:rPr>
                <w:rFonts w:hint="eastAsia"/>
              </w:rPr>
              <w:t>山东曹达化工有限公司</w:t>
            </w:r>
          </w:p>
        </w:tc>
      </w:tr>
      <w:tr w14:paraId="3710CEFE">
        <w:tblPrEx>
          <w:tblCellMar>
            <w:top w:w="0" w:type="dxa"/>
            <w:left w:w="0" w:type="dxa"/>
            <w:bottom w:w="0" w:type="dxa"/>
            <w:right w:w="0" w:type="dxa"/>
          </w:tblCellMar>
        </w:tblPrEx>
        <w:trPr>
          <w:wBefore w:w="0" w:type="auto"/>
          <w:tblCellSpacing w:w="0" w:type="dxa"/>
        </w:trPr>
        <w:tc>
          <w:tcPr>
            <w:tcW w:w="0" w:type="auto"/>
            <w:noWrap w:val="0"/>
            <w:vAlign w:val="center"/>
          </w:tcPr>
          <w:p w14:paraId="719BA576">
            <w:r>
              <w:rPr>
                <w:rStyle w:val="10"/>
                <w:rFonts w:hint="eastAsia"/>
              </w:rPr>
              <w:t>农药名称：</w:t>
            </w:r>
            <w:r>
              <w:rPr>
                <w:rFonts w:hint="eastAsia"/>
              </w:rPr>
              <w:t>硝钠·胺鲜酯</w:t>
            </w:r>
          </w:p>
        </w:tc>
      </w:tr>
      <w:tr w14:paraId="4C21D033">
        <w:tblPrEx>
          <w:tblCellMar>
            <w:top w:w="0" w:type="dxa"/>
            <w:left w:w="0" w:type="dxa"/>
            <w:bottom w:w="0" w:type="dxa"/>
            <w:right w:w="0" w:type="dxa"/>
          </w:tblCellMar>
        </w:tblPrEx>
        <w:trPr>
          <w:wBefore w:w="0" w:type="auto"/>
          <w:tblCellSpacing w:w="0" w:type="dxa"/>
        </w:trPr>
        <w:tc>
          <w:tcPr>
            <w:tcW w:w="0" w:type="auto"/>
            <w:noWrap w:val="0"/>
            <w:vAlign w:val="center"/>
          </w:tcPr>
          <w:p w14:paraId="3291FEC6">
            <w:r>
              <w:rPr>
                <w:rStyle w:val="10"/>
                <w:rFonts w:hint="eastAsia"/>
              </w:rPr>
              <w:t>剂型：</w:t>
            </w:r>
            <w:r>
              <w:rPr>
                <w:rFonts w:hint="eastAsia"/>
              </w:rPr>
              <w:t>可溶液剂</w:t>
            </w:r>
          </w:p>
        </w:tc>
      </w:tr>
      <w:tr w14:paraId="607AE492">
        <w:tblPrEx>
          <w:tblCellMar>
            <w:top w:w="0" w:type="dxa"/>
            <w:left w:w="0" w:type="dxa"/>
            <w:bottom w:w="0" w:type="dxa"/>
            <w:right w:w="0" w:type="dxa"/>
          </w:tblCellMar>
        </w:tblPrEx>
        <w:trPr>
          <w:wBefore w:w="0" w:type="auto"/>
          <w:tblCellSpacing w:w="0" w:type="dxa"/>
        </w:trPr>
        <w:tc>
          <w:tcPr>
            <w:tcW w:w="0" w:type="auto"/>
            <w:noWrap w:val="0"/>
            <w:vAlign w:val="center"/>
          </w:tcPr>
          <w:p w14:paraId="146632C8">
            <w:r>
              <w:rPr>
                <w:rStyle w:val="10"/>
                <w:rFonts w:hint="eastAsia"/>
              </w:rPr>
              <w:t>毒性及其标识：</w:t>
            </w:r>
            <w:r>
              <w:rPr>
                <w:rFonts w:hint="eastAsia"/>
              </w:rPr>
              <w:t xml:space="preserve"> </w:t>
            </w:r>
            <w:r>
              <w:rPr>
                <w:lang/>
              </w:rPr>
              <w:drawing>
                <wp:inline distT="0" distB="0" distL="114300" distR="114300">
                  <wp:extent cx="476250" cy="323850"/>
                  <wp:effectExtent l="0" t="0" r="0" b="0"/>
                  <wp:docPr id="131" name="图片 13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FB4DAF9">
        <w:tblPrEx>
          <w:tblCellMar>
            <w:top w:w="0" w:type="dxa"/>
            <w:left w:w="0" w:type="dxa"/>
            <w:bottom w:w="0" w:type="dxa"/>
            <w:right w:w="0" w:type="dxa"/>
          </w:tblCellMar>
        </w:tblPrEx>
        <w:trPr>
          <w:wBefore w:w="0" w:type="auto"/>
          <w:tblCellSpacing w:w="0" w:type="dxa"/>
        </w:trPr>
        <w:tc>
          <w:tcPr>
            <w:tcW w:w="0" w:type="auto"/>
            <w:noWrap w:val="0"/>
            <w:vAlign w:val="center"/>
          </w:tcPr>
          <w:p w14:paraId="3F61BC6A">
            <w:r>
              <w:rPr>
                <w:rStyle w:val="10"/>
                <w:rFonts w:hint="eastAsia"/>
              </w:rPr>
              <w:t>总有效成分含量：</w:t>
            </w:r>
            <w:r>
              <w:rPr>
                <w:rFonts w:hint="eastAsia"/>
              </w:rPr>
              <w:t>3%</w:t>
            </w:r>
          </w:p>
        </w:tc>
      </w:tr>
      <w:tr w14:paraId="57FE5751">
        <w:tblPrEx>
          <w:tblCellMar>
            <w:top w:w="0" w:type="dxa"/>
            <w:left w:w="0" w:type="dxa"/>
            <w:bottom w:w="0" w:type="dxa"/>
            <w:right w:w="0" w:type="dxa"/>
          </w:tblCellMar>
        </w:tblPrEx>
        <w:trPr>
          <w:wBefore w:w="0" w:type="auto"/>
          <w:tblCellSpacing w:w="0" w:type="dxa"/>
        </w:trPr>
        <w:tc>
          <w:tcPr>
            <w:tcW w:w="0" w:type="auto"/>
            <w:noWrap w:val="0"/>
            <w:vAlign w:val="center"/>
          </w:tcPr>
          <w:p w14:paraId="1CE0F5C4">
            <w:r>
              <w:rPr>
                <w:rFonts w:hint="eastAsia"/>
              </w:rPr>
              <w:t xml:space="preserve">有效成分及其含量： </w:t>
            </w:r>
          </w:p>
          <w:p w14:paraId="33966BBD">
            <w:r>
              <w:rPr>
                <w:rFonts w:hint="eastAsia"/>
              </w:rPr>
              <w:t xml:space="preserve">    胺鲜酯2.4%    复硝酚钠0.6%    </w:t>
            </w:r>
          </w:p>
        </w:tc>
      </w:tr>
      <w:tr w14:paraId="1073654E">
        <w:tblPrEx>
          <w:tblCellMar>
            <w:top w:w="0" w:type="dxa"/>
            <w:left w:w="0" w:type="dxa"/>
            <w:bottom w:w="0" w:type="dxa"/>
            <w:right w:w="0" w:type="dxa"/>
          </w:tblCellMar>
        </w:tblPrEx>
        <w:trPr>
          <w:wBefore w:w="0" w:type="auto"/>
          <w:tblCellSpacing w:w="0" w:type="dxa"/>
        </w:trPr>
        <w:tc>
          <w:tcPr>
            <w:tcW w:w="0" w:type="auto"/>
            <w:noWrap w:val="0"/>
            <w:vAlign w:val="center"/>
          </w:tcPr>
          <w:p w14:paraId="0485558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85691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9466DC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D81D17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1A7A58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E6CBB61">
                  <w:r>
                    <w:rPr>
                      <w:rStyle w:val="11"/>
                      <w:rFonts w:hint="eastAsia"/>
                    </w:rPr>
                    <w:t>施用方式</w:t>
                  </w:r>
                </w:p>
              </w:tc>
            </w:tr>
            <w:tr w14:paraId="16D994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AE6792C">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7C020A">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E9A2AD">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ECAC35">
                  <w:r>
                    <w:rPr>
                      <w:rStyle w:val="11"/>
                      <w:rFonts w:hint="eastAsia"/>
                    </w:rPr>
                    <w:t>喷雾</w:t>
                  </w:r>
                </w:p>
              </w:tc>
            </w:tr>
          </w:tbl>
          <w:p w14:paraId="12947327">
            <w:pPr>
              <w:rPr>
                <w:rFonts w:ascii="Times New Roman" w:hAnsi="Times New Roman" w:cs="Times New Roman"/>
                <w:sz w:val="20"/>
                <w:szCs w:val="20"/>
              </w:rPr>
            </w:pPr>
          </w:p>
        </w:tc>
      </w:tr>
      <w:tr w14:paraId="1D1413B8">
        <w:tblPrEx>
          <w:tblCellMar>
            <w:top w:w="0" w:type="dxa"/>
            <w:left w:w="0" w:type="dxa"/>
            <w:bottom w:w="0" w:type="dxa"/>
            <w:right w:w="0" w:type="dxa"/>
          </w:tblCellMar>
        </w:tblPrEx>
        <w:trPr>
          <w:wBefore w:w="0" w:type="auto"/>
          <w:tblCellSpacing w:w="0" w:type="dxa"/>
        </w:trPr>
        <w:tc>
          <w:tcPr>
            <w:tcW w:w="0" w:type="auto"/>
            <w:noWrap w:val="0"/>
            <w:vAlign w:val="center"/>
          </w:tcPr>
          <w:p w14:paraId="79F7C3B5">
            <w:r>
              <w:rPr>
                <w:rStyle w:val="10"/>
                <w:rFonts w:hint="eastAsia"/>
              </w:rPr>
              <w:t>使用技术要求:</w:t>
            </w:r>
            <w:r>
              <w:rPr>
                <w:rFonts w:hint="eastAsia"/>
              </w:rPr>
              <w:br w:type="textWrapping"/>
            </w:r>
            <w:r>
              <w:rPr>
                <w:rStyle w:val="11"/>
                <w:rFonts w:hint="eastAsia"/>
              </w:rPr>
              <w:t>1. 本品的适宜施药时期为番茄移栽后苗期、花蕾期，施药2次为宜，采用全株常规喷雾，注意喷雾均匀、周到。 2. 每季作物最多使用2次。 3. 大风天或预计1小时内降雨，请勿施药。</w:t>
            </w:r>
          </w:p>
        </w:tc>
      </w:tr>
      <w:tr w14:paraId="79AF7581">
        <w:tblPrEx>
          <w:tblCellMar>
            <w:top w:w="0" w:type="dxa"/>
            <w:left w:w="0" w:type="dxa"/>
            <w:bottom w:w="0" w:type="dxa"/>
            <w:right w:w="0" w:type="dxa"/>
          </w:tblCellMar>
        </w:tblPrEx>
        <w:trPr>
          <w:wBefore w:w="0" w:type="auto"/>
          <w:tblCellSpacing w:w="0" w:type="dxa"/>
        </w:trPr>
        <w:tc>
          <w:tcPr>
            <w:tcW w:w="0" w:type="auto"/>
            <w:noWrap w:val="0"/>
            <w:vAlign w:val="center"/>
          </w:tcPr>
          <w:p w14:paraId="4B7B515C">
            <w:r>
              <w:rPr>
                <w:rStyle w:val="10"/>
                <w:rFonts w:hint="eastAsia"/>
              </w:rPr>
              <w:t>产品性能:</w:t>
            </w:r>
            <w:r>
              <w:rPr>
                <w:rFonts w:hint="eastAsia"/>
              </w:rPr>
              <w:br w:type="textWrapping"/>
            </w:r>
            <w:r>
              <w:rPr>
                <w:rStyle w:val="11"/>
                <w:rFonts w:hint="eastAsia"/>
              </w:rPr>
              <w:t>本品是由复硝酚钠与胺鲜酯复配而成的植物生长调节剂，对植物生长具有调节、促进作用。能较迅速渗透到植物体内，加快植物发根速度，对植物发根、生长、生殖及结果等发育阶段均有不同程度的促进作用。能提高植株内叶绿素、蛋白质、核酸的含量，提高光合速率，提高植株碳、氮的代谢，增强植株对水、肥的吸收，调节植株体内水分的平衡。按登记剂量使用时，对番茄调节生长有较好的效果，且对供试番茄安全</w:t>
            </w:r>
          </w:p>
        </w:tc>
      </w:tr>
      <w:tr w14:paraId="20DEF6D8">
        <w:tblPrEx>
          <w:tblCellMar>
            <w:top w:w="0" w:type="dxa"/>
            <w:left w:w="0" w:type="dxa"/>
            <w:bottom w:w="0" w:type="dxa"/>
            <w:right w:w="0" w:type="dxa"/>
          </w:tblCellMar>
        </w:tblPrEx>
        <w:trPr>
          <w:wBefore w:w="0" w:type="auto"/>
          <w:tblCellSpacing w:w="0" w:type="dxa"/>
        </w:trPr>
        <w:tc>
          <w:tcPr>
            <w:tcW w:w="0" w:type="auto"/>
            <w:noWrap w:val="0"/>
            <w:vAlign w:val="center"/>
          </w:tcPr>
          <w:p w14:paraId="173DD575">
            <w:r>
              <w:rPr>
                <w:rStyle w:val="10"/>
                <w:rFonts w:hint="eastAsia"/>
              </w:rPr>
              <w:t>注意事项：</w:t>
            </w:r>
            <w:r>
              <w:rPr>
                <w:rFonts w:hint="eastAsia"/>
              </w:rPr>
              <w:br w:type="textWrapping"/>
            </w:r>
            <w:r>
              <w:rPr>
                <w:rStyle w:val="11"/>
                <w:rFonts w:hint="eastAsia"/>
              </w:rPr>
              <w:t>1．严格按照规定用药量和方法使用。 2．本品不能与强酸、强碱性农药等物质混用。 3．建议与其他作用机制不同的植物生长调节剂轮换使用，以延缓抗性产生。 4．水产养殖区、河塘等水体附近禁用；禁止在河塘等水体中清洗施药器具。 5．使用本品时应穿防护服和戴手套，避免吸入药液。施药期间不可吃东西和饮水。施药后应及时洗手和洗脸。 6．用药后包装物及用过的容器应妥善处理，不可做他用，也不可随意丢弃。 7．孕妇及哺乳期妇女禁止接触本品。8. 避免与氧化剂接触。</w:t>
            </w:r>
          </w:p>
        </w:tc>
      </w:tr>
      <w:tr w14:paraId="6CC8906C">
        <w:tblPrEx>
          <w:tblCellMar>
            <w:top w:w="0" w:type="dxa"/>
            <w:left w:w="0" w:type="dxa"/>
            <w:bottom w:w="0" w:type="dxa"/>
            <w:right w:w="0" w:type="dxa"/>
          </w:tblCellMar>
        </w:tblPrEx>
        <w:trPr>
          <w:wBefore w:w="0" w:type="auto"/>
          <w:tblCellSpacing w:w="0" w:type="dxa"/>
        </w:trPr>
        <w:tc>
          <w:tcPr>
            <w:tcW w:w="0" w:type="auto"/>
            <w:noWrap w:val="0"/>
            <w:vAlign w:val="center"/>
          </w:tcPr>
          <w:p w14:paraId="135B8B0B">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1CC97A9F">
        <w:tblPrEx>
          <w:tblCellMar>
            <w:top w:w="0" w:type="dxa"/>
            <w:left w:w="0" w:type="dxa"/>
            <w:bottom w:w="0" w:type="dxa"/>
            <w:right w:w="0" w:type="dxa"/>
          </w:tblCellMar>
        </w:tblPrEx>
        <w:trPr>
          <w:wBefore w:w="0" w:type="auto"/>
          <w:tblCellSpacing w:w="0" w:type="dxa"/>
        </w:trPr>
        <w:tc>
          <w:tcPr>
            <w:tcW w:w="0" w:type="auto"/>
            <w:noWrap w:val="0"/>
            <w:vAlign w:val="center"/>
          </w:tcPr>
          <w:p w14:paraId="0ABFE0AC">
            <w:r>
              <w:rPr>
                <w:rStyle w:val="10"/>
                <w:rFonts w:hint="eastAsia"/>
              </w:rPr>
              <w:t>储存和运输方法：</w:t>
            </w:r>
            <w:r>
              <w:rPr>
                <w:rFonts w:hint="eastAsia"/>
              </w:rPr>
              <w:br w:type="textWrapping"/>
            </w:r>
            <w:r>
              <w:rPr>
                <w:rStyle w:val="11"/>
                <w:rFonts w:hint="eastAsia"/>
              </w:rPr>
              <w:t>本品为易燃液体，应贮存在干燥、阴凉、通风、防雨处，远离火源或热源。置于儿童、无关人员触及不到之处，并加锁。勿与食品、饮料、粮食、饲料等其他商品同贮同运。</w:t>
            </w:r>
          </w:p>
        </w:tc>
      </w:tr>
      <w:tr w14:paraId="2A0ED85E">
        <w:tblPrEx>
          <w:tblCellMar>
            <w:top w:w="0" w:type="dxa"/>
            <w:left w:w="0" w:type="dxa"/>
            <w:bottom w:w="0" w:type="dxa"/>
            <w:right w:w="0" w:type="dxa"/>
          </w:tblCellMar>
        </w:tblPrEx>
        <w:trPr>
          <w:wBefore w:w="0" w:type="auto"/>
          <w:tblCellSpacing w:w="0" w:type="dxa"/>
        </w:trPr>
        <w:tc>
          <w:tcPr>
            <w:tcW w:w="0" w:type="auto"/>
            <w:noWrap w:val="0"/>
            <w:vAlign w:val="center"/>
          </w:tcPr>
          <w:p w14:paraId="2C44CBC9">
            <w:r>
              <w:rPr>
                <w:rStyle w:val="10"/>
                <w:rFonts w:hint="eastAsia"/>
              </w:rPr>
              <w:t>质量保证期：</w:t>
            </w:r>
            <w:r>
              <w:rPr>
                <w:rStyle w:val="11"/>
                <w:rFonts w:hint="eastAsia"/>
              </w:rPr>
              <w:t>2年</w:t>
            </w:r>
          </w:p>
        </w:tc>
      </w:tr>
      <w:tr w14:paraId="7299FE4F">
        <w:tblPrEx>
          <w:tblCellMar>
            <w:top w:w="0" w:type="dxa"/>
            <w:left w:w="0" w:type="dxa"/>
            <w:bottom w:w="0" w:type="dxa"/>
            <w:right w:w="0" w:type="dxa"/>
          </w:tblCellMar>
        </w:tblPrEx>
        <w:trPr>
          <w:wBefore w:w="0" w:type="auto"/>
          <w:tblCellSpacing w:w="0" w:type="dxa"/>
        </w:trPr>
        <w:tc>
          <w:tcPr>
            <w:tcW w:w="0" w:type="auto"/>
            <w:noWrap w:val="0"/>
            <w:vAlign w:val="center"/>
          </w:tcPr>
          <w:p w14:paraId="3F43CD07">
            <w:r>
              <w:rPr>
                <w:rStyle w:val="10"/>
                <w:rFonts w:hint="eastAsia"/>
              </w:rPr>
              <w:t>备注：</w:t>
            </w:r>
          </w:p>
        </w:tc>
      </w:tr>
    </w:tbl>
    <w:p w14:paraId="6D84556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B8FE2CF">
        <w:tblPrEx>
          <w:tblCellMar>
            <w:top w:w="0" w:type="dxa"/>
            <w:left w:w="0" w:type="dxa"/>
            <w:bottom w:w="0" w:type="dxa"/>
            <w:right w:w="0" w:type="dxa"/>
          </w:tblCellMar>
        </w:tblPrEx>
        <w:trPr>
          <w:wBefore w:w="0" w:type="auto"/>
          <w:tblCellSpacing w:w="0" w:type="dxa"/>
        </w:trPr>
        <w:tc>
          <w:tcPr>
            <w:tcW w:w="0" w:type="auto"/>
            <w:noWrap w:val="0"/>
            <w:vAlign w:val="center"/>
          </w:tcPr>
          <w:p w14:paraId="524E1133">
            <w:r>
              <w:rPr>
                <w:rStyle w:val="10"/>
                <w:rFonts w:hint="eastAsia"/>
              </w:rPr>
              <w:t>登记证号：</w:t>
            </w:r>
            <w:r>
              <w:rPr>
                <w:rFonts w:hint="eastAsia"/>
              </w:rPr>
              <w:t>PD20211991</w:t>
            </w:r>
          </w:p>
        </w:tc>
      </w:tr>
      <w:tr w14:paraId="002F48D3">
        <w:tblPrEx>
          <w:tblCellMar>
            <w:top w:w="0" w:type="dxa"/>
            <w:left w:w="0" w:type="dxa"/>
            <w:bottom w:w="0" w:type="dxa"/>
            <w:right w:w="0" w:type="dxa"/>
          </w:tblCellMar>
        </w:tblPrEx>
        <w:trPr>
          <w:wBefore w:w="0" w:type="auto"/>
          <w:tblCellSpacing w:w="0" w:type="dxa"/>
        </w:trPr>
        <w:tc>
          <w:tcPr>
            <w:tcW w:w="0" w:type="auto"/>
            <w:noWrap w:val="0"/>
            <w:vAlign w:val="center"/>
          </w:tcPr>
          <w:p w14:paraId="6105453B">
            <w:r>
              <w:rPr>
                <w:rStyle w:val="10"/>
                <w:rFonts w:hint="eastAsia"/>
              </w:rPr>
              <w:t>登记证持有人：</w:t>
            </w:r>
            <w:r>
              <w:rPr>
                <w:rFonts w:hint="eastAsia"/>
              </w:rPr>
              <w:t>山西奇星农药有限公司</w:t>
            </w:r>
          </w:p>
        </w:tc>
      </w:tr>
      <w:tr w14:paraId="60DB64A7">
        <w:tblPrEx>
          <w:tblCellMar>
            <w:top w:w="0" w:type="dxa"/>
            <w:left w:w="0" w:type="dxa"/>
            <w:bottom w:w="0" w:type="dxa"/>
            <w:right w:w="0" w:type="dxa"/>
          </w:tblCellMar>
        </w:tblPrEx>
        <w:trPr>
          <w:wBefore w:w="0" w:type="auto"/>
          <w:tblCellSpacing w:w="0" w:type="dxa"/>
        </w:trPr>
        <w:tc>
          <w:tcPr>
            <w:tcW w:w="0" w:type="auto"/>
            <w:noWrap w:val="0"/>
            <w:vAlign w:val="center"/>
          </w:tcPr>
          <w:p w14:paraId="4EA43EE0">
            <w:r>
              <w:rPr>
                <w:rStyle w:val="10"/>
                <w:rFonts w:hint="eastAsia"/>
              </w:rPr>
              <w:t>农药名称：</w:t>
            </w:r>
            <w:r>
              <w:rPr>
                <w:rFonts w:hint="eastAsia"/>
              </w:rPr>
              <w:t>硫磺·戊唑醇</w:t>
            </w:r>
          </w:p>
        </w:tc>
      </w:tr>
      <w:tr w14:paraId="7E97022A">
        <w:tblPrEx>
          <w:tblCellMar>
            <w:top w:w="0" w:type="dxa"/>
            <w:left w:w="0" w:type="dxa"/>
            <w:bottom w:w="0" w:type="dxa"/>
            <w:right w:w="0" w:type="dxa"/>
          </w:tblCellMar>
        </w:tblPrEx>
        <w:trPr>
          <w:wBefore w:w="0" w:type="auto"/>
          <w:tblCellSpacing w:w="0" w:type="dxa"/>
        </w:trPr>
        <w:tc>
          <w:tcPr>
            <w:tcW w:w="0" w:type="auto"/>
            <w:noWrap w:val="0"/>
            <w:vAlign w:val="center"/>
          </w:tcPr>
          <w:p w14:paraId="3ED3A418">
            <w:r>
              <w:rPr>
                <w:rStyle w:val="10"/>
                <w:rFonts w:hint="eastAsia"/>
              </w:rPr>
              <w:t>剂型：</w:t>
            </w:r>
            <w:r>
              <w:rPr>
                <w:rFonts w:hint="eastAsia"/>
              </w:rPr>
              <w:t>悬浮剂</w:t>
            </w:r>
          </w:p>
        </w:tc>
      </w:tr>
      <w:tr w14:paraId="06F8F6AC">
        <w:tblPrEx>
          <w:tblCellMar>
            <w:top w:w="0" w:type="dxa"/>
            <w:left w:w="0" w:type="dxa"/>
            <w:bottom w:w="0" w:type="dxa"/>
            <w:right w:w="0" w:type="dxa"/>
          </w:tblCellMar>
        </w:tblPrEx>
        <w:trPr>
          <w:wBefore w:w="0" w:type="auto"/>
          <w:tblCellSpacing w:w="0" w:type="dxa"/>
        </w:trPr>
        <w:tc>
          <w:tcPr>
            <w:tcW w:w="0" w:type="auto"/>
            <w:noWrap w:val="0"/>
            <w:vAlign w:val="center"/>
          </w:tcPr>
          <w:p w14:paraId="080EEF3D">
            <w:r>
              <w:rPr>
                <w:rStyle w:val="10"/>
                <w:rFonts w:hint="eastAsia"/>
              </w:rPr>
              <w:t>毒性及其标识：</w:t>
            </w:r>
            <w:r>
              <w:rPr>
                <w:rFonts w:hint="eastAsia"/>
              </w:rPr>
              <w:t xml:space="preserve"> </w:t>
            </w:r>
            <w:r>
              <w:rPr>
                <w:lang/>
              </w:rPr>
              <w:drawing>
                <wp:inline distT="0" distB="0" distL="114300" distR="114300">
                  <wp:extent cx="476250" cy="323850"/>
                  <wp:effectExtent l="0" t="0" r="0" b="0"/>
                  <wp:docPr id="132" name="图片 132"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607A0E93">
        <w:tblPrEx>
          <w:tblCellMar>
            <w:top w:w="0" w:type="dxa"/>
            <w:left w:w="0" w:type="dxa"/>
            <w:bottom w:w="0" w:type="dxa"/>
            <w:right w:w="0" w:type="dxa"/>
          </w:tblCellMar>
        </w:tblPrEx>
        <w:trPr>
          <w:wBefore w:w="0" w:type="auto"/>
          <w:tblCellSpacing w:w="0" w:type="dxa"/>
        </w:trPr>
        <w:tc>
          <w:tcPr>
            <w:tcW w:w="0" w:type="auto"/>
            <w:noWrap w:val="0"/>
            <w:vAlign w:val="center"/>
          </w:tcPr>
          <w:p w14:paraId="160CA2FC">
            <w:r>
              <w:rPr>
                <w:rStyle w:val="10"/>
                <w:rFonts w:hint="eastAsia"/>
              </w:rPr>
              <w:t>总有效成分含量：</w:t>
            </w:r>
            <w:r>
              <w:rPr>
                <w:rFonts w:hint="eastAsia"/>
              </w:rPr>
              <w:t>50%</w:t>
            </w:r>
          </w:p>
        </w:tc>
      </w:tr>
      <w:tr w14:paraId="18437993">
        <w:tblPrEx>
          <w:tblCellMar>
            <w:top w:w="0" w:type="dxa"/>
            <w:left w:w="0" w:type="dxa"/>
            <w:bottom w:w="0" w:type="dxa"/>
            <w:right w:w="0" w:type="dxa"/>
          </w:tblCellMar>
        </w:tblPrEx>
        <w:trPr>
          <w:wBefore w:w="0" w:type="auto"/>
          <w:tblCellSpacing w:w="0" w:type="dxa"/>
        </w:trPr>
        <w:tc>
          <w:tcPr>
            <w:tcW w:w="0" w:type="auto"/>
            <w:noWrap w:val="0"/>
            <w:vAlign w:val="center"/>
          </w:tcPr>
          <w:p w14:paraId="4077013E">
            <w:r>
              <w:rPr>
                <w:rFonts w:hint="eastAsia"/>
              </w:rPr>
              <w:t xml:space="preserve">有效成分及其含量： </w:t>
            </w:r>
          </w:p>
          <w:p w14:paraId="20256C5F">
            <w:r>
              <w:rPr>
                <w:rFonts w:hint="eastAsia"/>
              </w:rPr>
              <w:t xml:space="preserve">    硫磺42%    戊唑醇8%    </w:t>
            </w:r>
          </w:p>
        </w:tc>
      </w:tr>
      <w:tr w14:paraId="0195005C">
        <w:tblPrEx>
          <w:tblCellMar>
            <w:top w:w="0" w:type="dxa"/>
            <w:left w:w="0" w:type="dxa"/>
            <w:bottom w:w="0" w:type="dxa"/>
            <w:right w:w="0" w:type="dxa"/>
          </w:tblCellMar>
        </w:tblPrEx>
        <w:trPr>
          <w:wBefore w:w="0" w:type="auto"/>
          <w:tblCellSpacing w:w="0" w:type="dxa"/>
        </w:trPr>
        <w:tc>
          <w:tcPr>
            <w:tcW w:w="0" w:type="auto"/>
            <w:noWrap w:val="0"/>
            <w:vAlign w:val="center"/>
          </w:tcPr>
          <w:p w14:paraId="31885BD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92DCD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71E681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FB2B80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DFECC7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38E3DA6">
                  <w:r>
                    <w:rPr>
                      <w:rStyle w:val="11"/>
                      <w:rFonts w:hint="eastAsia"/>
                    </w:rPr>
                    <w:t>施用方式</w:t>
                  </w:r>
                </w:p>
              </w:tc>
            </w:tr>
            <w:tr w14:paraId="11F622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FE6AD9D">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8AE56E">
                  <w:r>
                    <w:rPr>
                      <w:rStyle w:val="11"/>
                      <w:rFonts w:hint="eastAsia"/>
                    </w:rPr>
                    <w:t>腐烂病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B9447B">
                  <w:r>
                    <w:rPr>
                      <w:rStyle w:val="11"/>
                      <w:rFonts w:hint="eastAsia"/>
                    </w:rPr>
                    <w:t>600-900倍液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270308">
                  <w:r>
                    <w:rPr>
                      <w:rStyle w:val="11"/>
                      <w:rFonts w:hint="eastAsia"/>
                    </w:rPr>
                    <w:t>喷雾</w:t>
                  </w:r>
                </w:p>
              </w:tc>
            </w:tr>
          </w:tbl>
          <w:p w14:paraId="1E6988B9">
            <w:pPr>
              <w:rPr>
                <w:rFonts w:ascii="Times New Roman" w:hAnsi="Times New Roman" w:cs="Times New Roman"/>
                <w:sz w:val="20"/>
                <w:szCs w:val="20"/>
              </w:rPr>
            </w:pPr>
          </w:p>
        </w:tc>
      </w:tr>
      <w:tr w14:paraId="1D6BAE7F">
        <w:tblPrEx>
          <w:tblCellMar>
            <w:top w:w="0" w:type="dxa"/>
            <w:left w:w="0" w:type="dxa"/>
            <w:bottom w:w="0" w:type="dxa"/>
            <w:right w:w="0" w:type="dxa"/>
          </w:tblCellMar>
        </w:tblPrEx>
        <w:trPr>
          <w:wBefore w:w="0" w:type="auto"/>
          <w:tblCellSpacing w:w="0" w:type="dxa"/>
        </w:trPr>
        <w:tc>
          <w:tcPr>
            <w:tcW w:w="0" w:type="auto"/>
            <w:noWrap w:val="0"/>
            <w:vAlign w:val="center"/>
          </w:tcPr>
          <w:p w14:paraId="1B90AFC9">
            <w:r>
              <w:rPr>
                <w:rStyle w:val="10"/>
                <w:rFonts w:hint="eastAsia"/>
              </w:rPr>
              <w:t>使用技术要求:</w:t>
            </w:r>
            <w:r>
              <w:rPr>
                <w:rFonts w:hint="eastAsia"/>
              </w:rPr>
              <w:br w:type="textWrapping"/>
            </w:r>
            <w:r>
              <w:rPr>
                <w:rStyle w:val="11"/>
                <w:rFonts w:hint="eastAsia"/>
              </w:rPr>
              <w:t>1.于苹果树腐烂病病害发生前或发病初期，刮除病疤后枝干喷雾施药1次。2.在苹果树上使用，每季最多使用1次，安全间隔期150天。3.大风或预计1小时内降雨天气，请勿施药。</w:t>
            </w:r>
          </w:p>
        </w:tc>
      </w:tr>
      <w:tr w14:paraId="5C2F6535">
        <w:tblPrEx>
          <w:tblCellMar>
            <w:top w:w="0" w:type="dxa"/>
            <w:left w:w="0" w:type="dxa"/>
            <w:bottom w:w="0" w:type="dxa"/>
            <w:right w:w="0" w:type="dxa"/>
          </w:tblCellMar>
        </w:tblPrEx>
        <w:trPr>
          <w:wBefore w:w="0" w:type="auto"/>
          <w:tblCellSpacing w:w="0" w:type="dxa"/>
        </w:trPr>
        <w:tc>
          <w:tcPr>
            <w:tcW w:w="0" w:type="auto"/>
            <w:noWrap w:val="0"/>
            <w:vAlign w:val="center"/>
          </w:tcPr>
          <w:p w14:paraId="5A5975F5">
            <w:r>
              <w:rPr>
                <w:rStyle w:val="10"/>
                <w:rFonts w:hint="eastAsia"/>
              </w:rPr>
              <w:t>产品性能:</w:t>
            </w:r>
            <w:r>
              <w:rPr>
                <w:rFonts w:hint="eastAsia"/>
              </w:rPr>
              <w:br w:type="textWrapping"/>
            </w:r>
            <w:r>
              <w:rPr>
                <w:rStyle w:val="11"/>
                <w:rFonts w:hint="eastAsia"/>
              </w:rPr>
              <w:t>本品是由硫磺和戊唑醇复配而成的杀菌剂，硫磺通过干扰病原菌氧化还原过程中电子的传递起到杀菌作用。戊唑醇通过抑制病原菌细胞膜上麦角甾醇的生物合成而表现出杀菌作用。本品用于防治苹果树腐烂病。</w:t>
            </w:r>
          </w:p>
        </w:tc>
      </w:tr>
      <w:tr w14:paraId="57E39E32">
        <w:tblPrEx>
          <w:tblCellMar>
            <w:top w:w="0" w:type="dxa"/>
            <w:left w:w="0" w:type="dxa"/>
            <w:bottom w:w="0" w:type="dxa"/>
            <w:right w:w="0" w:type="dxa"/>
          </w:tblCellMar>
        </w:tblPrEx>
        <w:trPr>
          <w:wBefore w:w="0" w:type="auto"/>
          <w:tblCellSpacing w:w="0" w:type="dxa"/>
        </w:trPr>
        <w:tc>
          <w:tcPr>
            <w:tcW w:w="0" w:type="auto"/>
            <w:noWrap w:val="0"/>
            <w:vAlign w:val="center"/>
          </w:tcPr>
          <w:p w14:paraId="4C8BB9E8">
            <w:r>
              <w:rPr>
                <w:rStyle w:val="10"/>
                <w:rFonts w:hint="eastAsia"/>
              </w:rPr>
              <w:t>注意事项：</w:t>
            </w:r>
            <w:r>
              <w:rPr>
                <w:rFonts w:hint="eastAsia"/>
              </w:rPr>
              <w:br w:type="textWrapping"/>
            </w:r>
            <w:r>
              <w:rPr>
                <w:rStyle w:val="11"/>
                <w:rFonts w:hint="eastAsia"/>
              </w:rPr>
              <w:t>1.、使用本品时应穿戴长袖衣服、口罩和手套，避免药液接触眼睛和皮肤，施药期间不能吃东西和饮水，施药后应及时洗手和洗脸。2.本品不可与二硝基类化合物、硫酸铜等金属盐类、碱性农药等物质混配使用。避免与氧化剂接触。3</w:t>
            </w:r>
            <w:r>
              <w:rPr>
                <w:rStyle w:val="11"/>
                <w:rFonts w:hint="eastAsia"/>
              </w:rPr>
              <w:t> </w:t>
            </w:r>
            <w:r>
              <w:rPr>
                <w:rStyle w:val="11"/>
                <w:rFonts w:hint="eastAsia"/>
              </w:rPr>
              <w:t>远离水产养殖区、河塘等水体施药，禁止在河塘等水体中清洗施药器具；蚕室及桑园附近禁用。4.使用过的容器和废弃物应妥善处理，不可挪作他它用，也不可随意丢弃。5.禁止儿童、孕妇和哺乳期妇女接触本品。</w:t>
            </w:r>
          </w:p>
        </w:tc>
      </w:tr>
      <w:tr w14:paraId="44AEFF55">
        <w:tblPrEx>
          <w:tblCellMar>
            <w:top w:w="0" w:type="dxa"/>
            <w:left w:w="0" w:type="dxa"/>
            <w:bottom w:w="0" w:type="dxa"/>
            <w:right w:w="0" w:type="dxa"/>
          </w:tblCellMar>
        </w:tblPrEx>
        <w:trPr>
          <w:wBefore w:w="0" w:type="auto"/>
          <w:tblCellSpacing w:w="0" w:type="dxa"/>
        </w:trPr>
        <w:tc>
          <w:tcPr>
            <w:tcW w:w="0" w:type="auto"/>
            <w:noWrap w:val="0"/>
            <w:vAlign w:val="center"/>
          </w:tcPr>
          <w:p w14:paraId="227C09D4">
            <w:r>
              <w:rPr>
                <w:rStyle w:val="10"/>
                <w:rFonts w:hint="eastAsia"/>
              </w:rPr>
              <w:t>中毒急救措施：</w:t>
            </w:r>
            <w:r>
              <w:rPr>
                <w:rFonts w:hint="eastAsia"/>
              </w:rPr>
              <w:br w:type="textWrapping"/>
            </w:r>
            <w:r>
              <w:rPr>
                <w:rStyle w:val="11"/>
                <w:rFonts w:hint="eastAsia"/>
              </w:rPr>
              <w:t>本品对眼睛有刺激性。皮肤接触：立即褪去被污染的衣物，用肥皂与大量清水至少冲洗15分钟；眼睛溅入：立即翻开眼睑，用流动的清水至少冲洗15分钟，送医就诊；吸入：不慎吸入，立即转移至空气清新处，送医就诊；误食：不慎误食，马上停止食用，携带标签送医就诊，无特效解毒剂，应对症治疗。</w:t>
            </w:r>
          </w:p>
        </w:tc>
      </w:tr>
      <w:tr w14:paraId="029578BD">
        <w:tblPrEx>
          <w:tblCellMar>
            <w:top w:w="0" w:type="dxa"/>
            <w:left w:w="0" w:type="dxa"/>
            <w:bottom w:w="0" w:type="dxa"/>
            <w:right w:w="0" w:type="dxa"/>
          </w:tblCellMar>
        </w:tblPrEx>
        <w:trPr>
          <w:wBefore w:w="0" w:type="auto"/>
          <w:tblCellSpacing w:w="0" w:type="dxa"/>
        </w:trPr>
        <w:tc>
          <w:tcPr>
            <w:tcW w:w="0" w:type="auto"/>
            <w:noWrap w:val="0"/>
            <w:vAlign w:val="center"/>
          </w:tcPr>
          <w:p w14:paraId="13DC8A94">
            <w:r>
              <w:rPr>
                <w:rStyle w:val="10"/>
                <w:rFonts w:hint="eastAsia"/>
              </w:rPr>
              <w:t>储存和运输方法：</w:t>
            </w:r>
            <w:r>
              <w:rPr>
                <w:rFonts w:hint="eastAsia"/>
              </w:rPr>
              <w:br w:type="textWrapping"/>
            </w:r>
            <w:r>
              <w:rPr>
                <w:rStyle w:val="11"/>
                <w:rFonts w:hint="eastAsia"/>
              </w:rPr>
              <w:t>1.应贮存在干燥、阴凉、通风、防雨处，远离火源和热源，不能与中等氧化剂贮存运输。2.装卸时工人需要穿戴口罩、手套、胶靴，工作结束后用清水清洗裸露的皮肤。3.置于儿童接触不到的地方，并加锁。4.不能与食品、饮料、粮食、饲料等混合储存、运输。</w:t>
            </w:r>
          </w:p>
        </w:tc>
      </w:tr>
      <w:tr w14:paraId="56199692">
        <w:tblPrEx>
          <w:tblCellMar>
            <w:top w:w="0" w:type="dxa"/>
            <w:left w:w="0" w:type="dxa"/>
            <w:bottom w:w="0" w:type="dxa"/>
            <w:right w:w="0" w:type="dxa"/>
          </w:tblCellMar>
        </w:tblPrEx>
        <w:trPr>
          <w:wBefore w:w="0" w:type="auto"/>
          <w:tblCellSpacing w:w="0" w:type="dxa"/>
        </w:trPr>
        <w:tc>
          <w:tcPr>
            <w:tcW w:w="0" w:type="auto"/>
            <w:noWrap w:val="0"/>
            <w:vAlign w:val="center"/>
          </w:tcPr>
          <w:p w14:paraId="3F5E784A">
            <w:r>
              <w:rPr>
                <w:rStyle w:val="10"/>
                <w:rFonts w:hint="eastAsia"/>
              </w:rPr>
              <w:t>质量保证期：</w:t>
            </w:r>
            <w:r>
              <w:rPr>
                <w:rStyle w:val="11"/>
                <w:rFonts w:hint="eastAsia"/>
              </w:rPr>
              <w:t>2年</w:t>
            </w:r>
          </w:p>
        </w:tc>
      </w:tr>
      <w:tr w14:paraId="0FFAEC75">
        <w:tblPrEx>
          <w:tblCellMar>
            <w:top w:w="0" w:type="dxa"/>
            <w:left w:w="0" w:type="dxa"/>
            <w:bottom w:w="0" w:type="dxa"/>
            <w:right w:w="0" w:type="dxa"/>
          </w:tblCellMar>
        </w:tblPrEx>
        <w:trPr>
          <w:wBefore w:w="0" w:type="auto"/>
          <w:tblCellSpacing w:w="0" w:type="dxa"/>
        </w:trPr>
        <w:tc>
          <w:tcPr>
            <w:tcW w:w="0" w:type="auto"/>
            <w:noWrap w:val="0"/>
            <w:vAlign w:val="center"/>
          </w:tcPr>
          <w:p w14:paraId="2E6B1699">
            <w:r>
              <w:rPr>
                <w:rStyle w:val="10"/>
                <w:rFonts w:hint="eastAsia"/>
              </w:rPr>
              <w:t>备注：</w:t>
            </w:r>
          </w:p>
        </w:tc>
      </w:tr>
    </w:tbl>
    <w:p w14:paraId="3E5E8D1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DA94930">
        <w:tblPrEx>
          <w:tblCellMar>
            <w:top w:w="0" w:type="dxa"/>
            <w:left w:w="0" w:type="dxa"/>
            <w:bottom w:w="0" w:type="dxa"/>
            <w:right w:w="0" w:type="dxa"/>
          </w:tblCellMar>
        </w:tblPrEx>
        <w:trPr>
          <w:wBefore w:w="0" w:type="auto"/>
          <w:tblCellSpacing w:w="0" w:type="dxa"/>
        </w:trPr>
        <w:tc>
          <w:tcPr>
            <w:tcW w:w="0" w:type="auto"/>
            <w:noWrap w:val="0"/>
            <w:vAlign w:val="center"/>
          </w:tcPr>
          <w:p w14:paraId="04E22EC9">
            <w:r>
              <w:rPr>
                <w:rStyle w:val="10"/>
                <w:rFonts w:hint="eastAsia"/>
              </w:rPr>
              <w:t>登记证号：</w:t>
            </w:r>
            <w:r>
              <w:rPr>
                <w:rFonts w:hint="eastAsia"/>
              </w:rPr>
              <w:t>PD20212094</w:t>
            </w:r>
          </w:p>
        </w:tc>
      </w:tr>
      <w:tr w14:paraId="47410DFD">
        <w:tblPrEx>
          <w:tblCellMar>
            <w:top w:w="0" w:type="dxa"/>
            <w:left w:w="0" w:type="dxa"/>
            <w:bottom w:w="0" w:type="dxa"/>
            <w:right w:w="0" w:type="dxa"/>
          </w:tblCellMar>
        </w:tblPrEx>
        <w:trPr>
          <w:wBefore w:w="0" w:type="auto"/>
          <w:tblCellSpacing w:w="0" w:type="dxa"/>
        </w:trPr>
        <w:tc>
          <w:tcPr>
            <w:tcW w:w="0" w:type="auto"/>
            <w:noWrap w:val="0"/>
            <w:vAlign w:val="center"/>
          </w:tcPr>
          <w:p w14:paraId="0D257450">
            <w:r>
              <w:rPr>
                <w:rStyle w:val="10"/>
                <w:rFonts w:hint="eastAsia"/>
              </w:rPr>
              <w:t>登记证持有人：</w:t>
            </w:r>
            <w:r>
              <w:rPr>
                <w:rFonts w:hint="eastAsia"/>
              </w:rPr>
              <w:t>天津市华宇农药有限公司</w:t>
            </w:r>
          </w:p>
        </w:tc>
      </w:tr>
      <w:tr w14:paraId="3A3668A9">
        <w:tblPrEx>
          <w:tblCellMar>
            <w:top w:w="0" w:type="dxa"/>
            <w:left w:w="0" w:type="dxa"/>
            <w:bottom w:w="0" w:type="dxa"/>
            <w:right w:w="0" w:type="dxa"/>
          </w:tblCellMar>
        </w:tblPrEx>
        <w:trPr>
          <w:wBefore w:w="0" w:type="auto"/>
          <w:tblCellSpacing w:w="0" w:type="dxa"/>
        </w:trPr>
        <w:tc>
          <w:tcPr>
            <w:tcW w:w="0" w:type="auto"/>
            <w:noWrap w:val="0"/>
            <w:vAlign w:val="center"/>
          </w:tcPr>
          <w:p w14:paraId="0A8A421F">
            <w:r>
              <w:rPr>
                <w:rStyle w:val="10"/>
                <w:rFonts w:hint="eastAsia"/>
              </w:rPr>
              <w:t>农药名称：</w:t>
            </w:r>
            <w:r>
              <w:rPr>
                <w:rFonts w:hint="eastAsia"/>
              </w:rPr>
              <w:t>砜嘧磺隆</w:t>
            </w:r>
          </w:p>
        </w:tc>
      </w:tr>
      <w:tr w14:paraId="7B2AD9E2">
        <w:tblPrEx>
          <w:tblCellMar>
            <w:top w:w="0" w:type="dxa"/>
            <w:left w:w="0" w:type="dxa"/>
            <w:bottom w:w="0" w:type="dxa"/>
            <w:right w:w="0" w:type="dxa"/>
          </w:tblCellMar>
        </w:tblPrEx>
        <w:trPr>
          <w:wBefore w:w="0" w:type="auto"/>
          <w:tblCellSpacing w:w="0" w:type="dxa"/>
        </w:trPr>
        <w:tc>
          <w:tcPr>
            <w:tcW w:w="0" w:type="auto"/>
            <w:noWrap w:val="0"/>
            <w:vAlign w:val="center"/>
          </w:tcPr>
          <w:p w14:paraId="3A87E75E">
            <w:r>
              <w:rPr>
                <w:rStyle w:val="10"/>
                <w:rFonts w:hint="eastAsia"/>
              </w:rPr>
              <w:t>剂型：</w:t>
            </w:r>
            <w:r>
              <w:rPr>
                <w:rFonts w:hint="eastAsia"/>
              </w:rPr>
              <w:t>水分散粒剂</w:t>
            </w:r>
          </w:p>
        </w:tc>
      </w:tr>
      <w:tr w14:paraId="17DFC833">
        <w:tblPrEx>
          <w:tblCellMar>
            <w:top w:w="0" w:type="dxa"/>
            <w:left w:w="0" w:type="dxa"/>
            <w:bottom w:w="0" w:type="dxa"/>
            <w:right w:w="0" w:type="dxa"/>
          </w:tblCellMar>
        </w:tblPrEx>
        <w:trPr>
          <w:wBefore w:w="0" w:type="auto"/>
          <w:tblCellSpacing w:w="0" w:type="dxa"/>
        </w:trPr>
        <w:tc>
          <w:tcPr>
            <w:tcW w:w="0" w:type="auto"/>
            <w:noWrap w:val="0"/>
            <w:vAlign w:val="center"/>
          </w:tcPr>
          <w:p w14:paraId="3F8C11BA">
            <w:r>
              <w:rPr>
                <w:rStyle w:val="10"/>
                <w:rFonts w:hint="eastAsia"/>
              </w:rPr>
              <w:t>毒性及其标识：</w:t>
            </w:r>
            <w:r>
              <w:rPr>
                <w:rFonts w:hint="eastAsia"/>
              </w:rPr>
              <w:t xml:space="preserve"> </w:t>
            </w:r>
            <w:r>
              <w:rPr>
                <w:lang/>
              </w:rPr>
              <w:drawing>
                <wp:inline distT="0" distB="0" distL="114300" distR="114300">
                  <wp:extent cx="476250" cy="323850"/>
                  <wp:effectExtent l="0" t="0" r="0" b="0"/>
                  <wp:docPr id="133" name="图片 13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DF1532A">
        <w:tblPrEx>
          <w:tblCellMar>
            <w:top w:w="0" w:type="dxa"/>
            <w:left w:w="0" w:type="dxa"/>
            <w:bottom w:w="0" w:type="dxa"/>
            <w:right w:w="0" w:type="dxa"/>
          </w:tblCellMar>
        </w:tblPrEx>
        <w:trPr>
          <w:wBefore w:w="0" w:type="auto"/>
          <w:tblCellSpacing w:w="0" w:type="dxa"/>
        </w:trPr>
        <w:tc>
          <w:tcPr>
            <w:tcW w:w="0" w:type="auto"/>
            <w:noWrap w:val="0"/>
            <w:vAlign w:val="center"/>
          </w:tcPr>
          <w:p w14:paraId="41FEB4BA">
            <w:r>
              <w:rPr>
                <w:rStyle w:val="10"/>
                <w:rFonts w:hint="eastAsia"/>
              </w:rPr>
              <w:t>总有效成分含量：</w:t>
            </w:r>
            <w:r>
              <w:rPr>
                <w:rFonts w:hint="eastAsia"/>
              </w:rPr>
              <w:t>25%</w:t>
            </w:r>
          </w:p>
        </w:tc>
      </w:tr>
      <w:tr w14:paraId="6D02282C">
        <w:tblPrEx>
          <w:tblCellMar>
            <w:top w:w="0" w:type="dxa"/>
            <w:left w:w="0" w:type="dxa"/>
            <w:bottom w:w="0" w:type="dxa"/>
            <w:right w:w="0" w:type="dxa"/>
          </w:tblCellMar>
        </w:tblPrEx>
        <w:trPr>
          <w:wBefore w:w="0" w:type="auto"/>
          <w:tblCellSpacing w:w="0" w:type="dxa"/>
        </w:trPr>
        <w:tc>
          <w:tcPr>
            <w:tcW w:w="0" w:type="auto"/>
            <w:noWrap w:val="0"/>
            <w:vAlign w:val="center"/>
          </w:tcPr>
          <w:p w14:paraId="0E051161">
            <w:r>
              <w:rPr>
                <w:rFonts w:hint="eastAsia"/>
              </w:rPr>
              <w:t xml:space="preserve">有效成分及其含量： </w:t>
            </w:r>
          </w:p>
          <w:p w14:paraId="2341E2E3">
            <w:r>
              <w:rPr>
                <w:rFonts w:hint="eastAsia"/>
              </w:rPr>
              <w:t xml:space="preserve">    砜嘧磺隆25%    </w:t>
            </w:r>
          </w:p>
        </w:tc>
      </w:tr>
      <w:tr w14:paraId="4106F259">
        <w:tblPrEx>
          <w:tblCellMar>
            <w:top w:w="0" w:type="dxa"/>
            <w:left w:w="0" w:type="dxa"/>
            <w:bottom w:w="0" w:type="dxa"/>
            <w:right w:w="0" w:type="dxa"/>
          </w:tblCellMar>
        </w:tblPrEx>
        <w:trPr>
          <w:wBefore w:w="0" w:type="auto"/>
          <w:tblCellSpacing w:w="0" w:type="dxa"/>
        </w:trPr>
        <w:tc>
          <w:tcPr>
            <w:tcW w:w="0" w:type="auto"/>
            <w:noWrap w:val="0"/>
            <w:vAlign w:val="center"/>
          </w:tcPr>
          <w:p w14:paraId="38F9687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73D0B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1C31A3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5B538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45B2EB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8FB62E6">
                  <w:r>
                    <w:rPr>
                      <w:rStyle w:val="11"/>
                      <w:rFonts w:hint="eastAsia"/>
                    </w:rPr>
                    <w:t>施用方式</w:t>
                  </w:r>
                </w:p>
              </w:tc>
            </w:tr>
            <w:tr w14:paraId="1E4C8C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E4D6113">
                  <w:r>
                    <w:rPr>
                      <w:rStyle w:val="11"/>
                      <w:rFonts w:hint="eastAsia"/>
                    </w:rPr>
                    <w:t>马铃薯田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475DCF">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9A3AB1">
                  <w:r>
                    <w:rPr>
                      <w:rStyle w:val="11"/>
                      <w:rFonts w:hint="eastAsia"/>
                    </w:rPr>
                    <w:t>5-6克/亩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0ACED2">
                  <w:r>
                    <w:rPr>
                      <w:rStyle w:val="11"/>
                      <w:rFonts w:hint="eastAsia"/>
                    </w:rPr>
                    <w:t>喷雾</w:t>
                  </w:r>
                </w:p>
              </w:tc>
            </w:tr>
          </w:tbl>
          <w:p w14:paraId="5A5767E5">
            <w:pPr>
              <w:rPr>
                <w:rFonts w:ascii="Times New Roman" w:hAnsi="Times New Roman" w:cs="Times New Roman"/>
                <w:sz w:val="20"/>
                <w:szCs w:val="20"/>
              </w:rPr>
            </w:pPr>
          </w:p>
        </w:tc>
      </w:tr>
      <w:tr w14:paraId="3DFF79DD">
        <w:tblPrEx>
          <w:tblCellMar>
            <w:top w:w="0" w:type="dxa"/>
            <w:left w:w="0" w:type="dxa"/>
            <w:bottom w:w="0" w:type="dxa"/>
            <w:right w:w="0" w:type="dxa"/>
          </w:tblCellMar>
        </w:tblPrEx>
        <w:trPr>
          <w:wBefore w:w="0" w:type="auto"/>
          <w:tblCellSpacing w:w="0" w:type="dxa"/>
        </w:trPr>
        <w:tc>
          <w:tcPr>
            <w:tcW w:w="0" w:type="auto"/>
            <w:noWrap w:val="0"/>
            <w:vAlign w:val="center"/>
          </w:tcPr>
          <w:p w14:paraId="7FEBE318">
            <w:r>
              <w:rPr>
                <w:rStyle w:val="10"/>
                <w:rFonts w:hint="eastAsia"/>
              </w:rPr>
              <w:t>使用技术要求:</w:t>
            </w:r>
            <w:r>
              <w:rPr>
                <w:rFonts w:hint="eastAsia"/>
              </w:rPr>
              <w:br w:type="textWrapping"/>
            </w:r>
            <w:r>
              <w:rPr>
                <w:rStyle w:val="11"/>
                <w:rFonts w:hint="eastAsia"/>
              </w:rPr>
              <w:t>于马铃薯田杂草2-5叶期定向茎叶喷雾施药一次，尽量在无风无雨时施药，避免雾滴飘移，每季作物最多施药1次。</w:t>
            </w:r>
          </w:p>
        </w:tc>
      </w:tr>
      <w:tr w14:paraId="6BD53E2D">
        <w:tblPrEx>
          <w:tblCellMar>
            <w:top w:w="0" w:type="dxa"/>
            <w:left w:w="0" w:type="dxa"/>
            <w:bottom w:w="0" w:type="dxa"/>
            <w:right w:w="0" w:type="dxa"/>
          </w:tblCellMar>
        </w:tblPrEx>
        <w:trPr>
          <w:wBefore w:w="0" w:type="auto"/>
          <w:tblCellSpacing w:w="0" w:type="dxa"/>
        </w:trPr>
        <w:tc>
          <w:tcPr>
            <w:tcW w:w="0" w:type="auto"/>
            <w:noWrap w:val="0"/>
            <w:vAlign w:val="center"/>
          </w:tcPr>
          <w:p w14:paraId="0C932D30">
            <w:r>
              <w:rPr>
                <w:rStyle w:val="10"/>
                <w:rFonts w:hint="eastAsia"/>
              </w:rPr>
              <w:t>产品性能:</w:t>
            </w:r>
            <w:r>
              <w:rPr>
                <w:rFonts w:hint="eastAsia"/>
              </w:rPr>
              <w:br w:type="textWrapping"/>
            </w:r>
            <w:r>
              <w:rPr>
                <w:rStyle w:val="11"/>
                <w:rFonts w:hint="eastAsia"/>
              </w:rPr>
              <w:t>本品为均匀的颗粒状固体，主要防除马铃薯田间一年生禾本科及阔叶杂草，如：自生麦苗、马唐、稗草、狗尾草、野燕麦、野高粱、蓼、鸭跖草、荠菜、马齿苋、反枝苋、野油菜、莎草等。</w:t>
            </w:r>
          </w:p>
        </w:tc>
      </w:tr>
      <w:tr w14:paraId="0D9A5F4F">
        <w:tblPrEx>
          <w:tblCellMar>
            <w:top w:w="0" w:type="dxa"/>
            <w:left w:w="0" w:type="dxa"/>
            <w:bottom w:w="0" w:type="dxa"/>
            <w:right w:w="0" w:type="dxa"/>
          </w:tblCellMar>
        </w:tblPrEx>
        <w:trPr>
          <w:wBefore w:w="0" w:type="auto"/>
          <w:tblCellSpacing w:w="0" w:type="dxa"/>
        </w:trPr>
        <w:tc>
          <w:tcPr>
            <w:tcW w:w="0" w:type="auto"/>
            <w:noWrap w:val="0"/>
            <w:vAlign w:val="center"/>
          </w:tcPr>
          <w:p w14:paraId="265A0973">
            <w:r>
              <w:rPr>
                <w:rStyle w:val="10"/>
                <w:rFonts w:hint="eastAsia"/>
              </w:rPr>
              <w:t>注意事项：</w:t>
            </w:r>
            <w:r>
              <w:rPr>
                <w:rFonts w:hint="eastAsia"/>
              </w:rPr>
              <w:br w:type="textWrapping"/>
            </w:r>
            <w:r>
              <w:rPr>
                <w:rStyle w:val="11"/>
                <w:rFonts w:hint="eastAsia"/>
              </w:rPr>
              <w:t>1.严禁使用弥雾机施药。2. 喷药时，应控制喷头高度，使药液正好覆盖作物行间，沿行间均匀喷施。严禁将药液直接喷到马铃薯叶上。使用本品前后七天内，禁止使用有机磷杀虫剂，避免产生药害。 3.本品对水生生物有毒，远离水产养殖区、河塘等水体施药，地下水、饮用水源附近禁用。严禁在河塘等水体清洗施药器具，禁止将残液倒入湖泊、河流或池塘等，以免污染水源。 4.该产品对眼睛有刺激性，使用时避免接触眼睛。 使用本品应采取相应的安全防护措施，穿防护服、戴防护手套、口罩等，避免皮肤接触及口鼻吸入。使用中不可吸烟、饮水及吃东西，使用后及时清洗手、脸等暴露部位皮肤并更换衣物。 5.建议与作用机制不同的除草剂轮换使用，以延缓抗药性产生。 6.用过的容器应妥善处理，不可做他用，也不可随意丢弃。 7. 禁止儿童、孕妇及哺乳期妇女接触本品。</w:t>
            </w:r>
          </w:p>
        </w:tc>
      </w:tr>
      <w:tr w14:paraId="1FEF9694">
        <w:tblPrEx>
          <w:tblCellMar>
            <w:top w:w="0" w:type="dxa"/>
            <w:left w:w="0" w:type="dxa"/>
            <w:bottom w:w="0" w:type="dxa"/>
            <w:right w:w="0" w:type="dxa"/>
          </w:tblCellMar>
        </w:tblPrEx>
        <w:trPr>
          <w:wBefore w:w="0" w:type="auto"/>
          <w:tblCellSpacing w:w="0" w:type="dxa"/>
        </w:trPr>
        <w:tc>
          <w:tcPr>
            <w:tcW w:w="0" w:type="auto"/>
            <w:noWrap w:val="0"/>
            <w:vAlign w:val="center"/>
          </w:tcPr>
          <w:p w14:paraId="611CD1EC">
            <w:r>
              <w:rPr>
                <w:rStyle w:val="10"/>
                <w:rFonts w:hint="eastAsia"/>
              </w:rPr>
              <w:t>中毒急救措施：</w:t>
            </w:r>
            <w:r>
              <w:rPr>
                <w:rFonts w:hint="eastAsia"/>
              </w:rPr>
              <w:br w:type="textWrapping"/>
            </w:r>
            <w:r>
              <w:rPr>
                <w:rStyle w:val="11"/>
                <w:rFonts w:hint="eastAsia"/>
              </w:rPr>
              <w:t>急救措施：不慎吸入：立即离开施药现场，转移到空气清新处。皮肤接触：脱去污染的衣物，立即用肥皂和清水冲洗。眼睛溅入：立即用流水冲洗，如果有刺激现象持续发生，立即请医生诊治。误食：用清水充分漱口后，立即请医生诊治。无特效解毒药，对症治疗。</w:t>
            </w:r>
          </w:p>
        </w:tc>
      </w:tr>
      <w:tr w14:paraId="01DD262A">
        <w:tblPrEx>
          <w:tblCellMar>
            <w:top w:w="0" w:type="dxa"/>
            <w:left w:w="0" w:type="dxa"/>
            <w:bottom w:w="0" w:type="dxa"/>
            <w:right w:w="0" w:type="dxa"/>
          </w:tblCellMar>
        </w:tblPrEx>
        <w:trPr>
          <w:wBefore w:w="0" w:type="auto"/>
          <w:tblCellSpacing w:w="0" w:type="dxa"/>
        </w:trPr>
        <w:tc>
          <w:tcPr>
            <w:tcW w:w="0" w:type="auto"/>
            <w:noWrap w:val="0"/>
            <w:vAlign w:val="center"/>
          </w:tcPr>
          <w:p w14:paraId="3A8E1CFD">
            <w:r>
              <w:rPr>
                <w:rStyle w:val="10"/>
                <w:rFonts w:hint="eastAsia"/>
              </w:rPr>
              <w:t>储存和运输方法：</w:t>
            </w:r>
            <w:r>
              <w:rPr>
                <w:rFonts w:hint="eastAsia"/>
              </w:rPr>
              <w:br w:type="textWrapping"/>
            </w:r>
            <w:r>
              <w:rPr>
                <w:rStyle w:val="11"/>
                <w:rFonts w:hint="eastAsia"/>
              </w:rPr>
              <w:t>1. 本品应存放于阴凉、干燥、防雨处。远离火源及热源。置于儿童、无关人员接触不到的地方，并加锁保存。不能与食品、饮料、饲料、种子、粮食等同贮同运。2. 运输时应避免阳光直射和雨淋。3. 运输中堆码高度应不高于3米，装卸时轻拿轻放。</w:t>
            </w:r>
          </w:p>
        </w:tc>
      </w:tr>
      <w:tr w14:paraId="6926F935">
        <w:tblPrEx>
          <w:tblCellMar>
            <w:top w:w="0" w:type="dxa"/>
            <w:left w:w="0" w:type="dxa"/>
            <w:bottom w:w="0" w:type="dxa"/>
            <w:right w:w="0" w:type="dxa"/>
          </w:tblCellMar>
        </w:tblPrEx>
        <w:trPr>
          <w:wBefore w:w="0" w:type="auto"/>
          <w:tblCellSpacing w:w="0" w:type="dxa"/>
        </w:trPr>
        <w:tc>
          <w:tcPr>
            <w:tcW w:w="0" w:type="auto"/>
            <w:noWrap w:val="0"/>
            <w:vAlign w:val="center"/>
          </w:tcPr>
          <w:p w14:paraId="6B3D9405">
            <w:r>
              <w:rPr>
                <w:rStyle w:val="10"/>
                <w:rFonts w:hint="eastAsia"/>
              </w:rPr>
              <w:t>质量保证期：</w:t>
            </w:r>
            <w:r>
              <w:rPr>
                <w:rStyle w:val="11"/>
                <w:rFonts w:hint="eastAsia"/>
              </w:rPr>
              <w:t>2年</w:t>
            </w:r>
          </w:p>
        </w:tc>
      </w:tr>
      <w:tr w14:paraId="33057596">
        <w:tblPrEx>
          <w:tblCellMar>
            <w:top w:w="0" w:type="dxa"/>
            <w:left w:w="0" w:type="dxa"/>
            <w:bottom w:w="0" w:type="dxa"/>
            <w:right w:w="0" w:type="dxa"/>
          </w:tblCellMar>
        </w:tblPrEx>
        <w:trPr>
          <w:wBefore w:w="0" w:type="auto"/>
          <w:tblCellSpacing w:w="0" w:type="dxa"/>
        </w:trPr>
        <w:tc>
          <w:tcPr>
            <w:tcW w:w="0" w:type="auto"/>
            <w:noWrap w:val="0"/>
            <w:vAlign w:val="center"/>
          </w:tcPr>
          <w:p w14:paraId="4A5A5622">
            <w:r>
              <w:rPr>
                <w:rStyle w:val="10"/>
                <w:rFonts w:hint="eastAsia"/>
              </w:rPr>
              <w:t>备注：</w:t>
            </w:r>
          </w:p>
        </w:tc>
      </w:tr>
    </w:tbl>
    <w:p w14:paraId="45A0CC1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14E6277">
        <w:tblPrEx>
          <w:tblCellMar>
            <w:top w:w="0" w:type="dxa"/>
            <w:left w:w="0" w:type="dxa"/>
            <w:bottom w:w="0" w:type="dxa"/>
            <w:right w:w="0" w:type="dxa"/>
          </w:tblCellMar>
        </w:tblPrEx>
        <w:trPr>
          <w:wBefore w:w="0" w:type="auto"/>
          <w:tblCellSpacing w:w="0" w:type="dxa"/>
        </w:trPr>
        <w:tc>
          <w:tcPr>
            <w:tcW w:w="0" w:type="auto"/>
            <w:noWrap w:val="0"/>
            <w:vAlign w:val="center"/>
          </w:tcPr>
          <w:p w14:paraId="4B22CF82">
            <w:r>
              <w:rPr>
                <w:rStyle w:val="10"/>
                <w:rFonts w:hint="eastAsia"/>
              </w:rPr>
              <w:t>登记证号：</w:t>
            </w:r>
            <w:r>
              <w:rPr>
                <w:rFonts w:hint="eastAsia"/>
              </w:rPr>
              <w:t>PD20211851</w:t>
            </w:r>
          </w:p>
        </w:tc>
      </w:tr>
      <w:tr w14:paraId="4C068425">
        <w:tblPrEx>
          <w:tblCellMar>
            <w:top w:w="0" w:type="dxa"/>
            <w:left w:w="0" w:type="dxa"/>
            <w:bottom w:w="0" w:type="dxa"/>
            <w:right w:w="0" w:type="dxa"/>
          </w:tblCellMar>
        </w:tblPrEx>
        <w:trPr>
          <w:wBefore w:w="0" w:type="auto"/>
          <w:tblCellSpacing w:w="0" w:type="dxa"/>
        </w:trPr>
        <w:tc>
          <w:tcPr>
            <w:tcW w:w="0" w:type="auto"/>
            <w:noWrap w:val="0"/>
            <w:vAlign w:val="center"/>
          </w:tcPr>
          <w:p w14:paraId="507B6B99">
            <w:r>
              <w:rPr>
                <w:rStyle w:val="10"/>
                <w:rFonts w:hint="eastAsia"/>
              </w:rPr>
              <w:t>登记证持有人：</w:t>
            </w:r>
            <w:r>
              <w:rPr>
                <w:rFonts w:hint="eastAsia"/>
              </w:rPr>
              <w:t>康拓森生物科技有限公司</w:t>
            </w:r>
          </w:p>
        </w:tc>
      </w:tr>
      <w:tr w14:paraId="5BC4DEAC">
        <w:tblPrEx>
          <w:tblCellMar>
            <w:top w:w="0" w:type="dxa"/>
            <w:left w:w="0" w:type="dxa"/>
            <w:bottom w:w="0" w:type="dxa"/>
            <w:right w:w="0" w:type="dxa"/>
          </w:tblCellMar>
        </w:tblPrEx>
        <w:trPr>
          <w:wBefore w:w="0" w:type="auto"/>
          <w:tblCellSpacing w:w="0" w:type="dxa"/>
        </w:trPr>
        <w:tc>
          <w:tcPr>
            <w:tcW w:w="0" w:type="auto"/>
            <w:noWrap w:val="0"/>
            <w:vAlign w:val="center"/>
          </w:tcPr>
          <w:p w14:paraId="6F0EEC99">
            <w:r>
              <w:rPr>
                <w:rStyle w:val="10"/>
                <w:rFonts w:hint="eastAsia"/>
              </w:rPr>
              <w:t>农药名称：</w:t>
            </w:r>
            <w:r>
              <w:rPr>
                <w:rFonts w:hint="eastAsia"/>
              </w:rPr>
              <w:t>氟啶虫酰胺·联苯菊酯</w:t>
            </w:r>
          </w:p>
        </w:tc>
      </w:tr>
      <w:tr w14:paraId="47833AF7">
        <w:tblPrEx>
          <w:tblCellMar>
            <w:top w:w="0" w:type="dxa"/>
            <w:left w:w="0" w:type="dxa"/>
            <w:bottom w:w="0" w:type="dxa"/>
            <w:right w:w="0" w:type="dxa"/>
          </w:tblCellMar>
        </w:tblPrEx>
        <w:trPr>
          <w:wBefore w:w="0" w:type="auto"/>
          <w:tblCellSpacing w:w="0" w:type="dxa"/>
        </w:trPr>
        <w:tc>
          <w:tcPr>
            <w:tcW w:w="0" w:type="auto"/>
            <w:noWrap w:val="0"/>
            <w:vAlign w:val="center"/>
          </w:tcPr>
          <w:p w14:paraId="05EF8B7A">
            <w:r>
              <w:rPr>
                <w:rStyle w:val="10"/>
                <w:rFonts w:hint="eastAsia"/>
              </w:rPr>
              <w:t>剂型：</w:t>
            </w:r>
            <w:r>
              <w:rPr>
                <w:rFonts w:hint="eastAsia"/>
              </w:rPr>
              <w:t>悬浮剂</w:t>
            </w:r>
          </w:p>
        </w:tc>
      </w:tr>
      <w:tr w14:paraId="64E7A904">
        <w:tblPrEx>
          <w:tblCellMar>
            <w:top w:w="0" w:type="dxa"/>
            <w:left w:w="0" w:type="dxa"/>
            <w:bottom w:w="0" w:type="dxa"/>
            <w:right w:w="0" w:type="dxa"/>
          </w:tblCellMar>
        </w:tblPrEx>
        <w:trPr>
          <w:wBefore w:w="0" w:type="auto"/>
          <w:tblCellSpacing w:w="0" w:type="dxa"/>
        </w:trPr>
        <w:tc>
          <w:tcPr>
            <w:tcW w:w="0" w:type="auto"/>
            <w:noWrap w:val="0"/>
            <w:vAlign w:val="center"/>
          </w:tcPr>
          <w:p w14:paraId="66E26494">
            <w:r>
              <w:rPr>
                <w:rStyle w:val="10"/>
                <w:rFonts w:hint="eastAsia"/>
              </w:rPr>
              <w:t>毒性及其标识：</w:t>
            </w:r>
            <w:r>
              <w:rPr>
                <w:rFonts w:hint="eastAsia"/>
              </w:rPr>
              <w:t xml:space="preserve"> </w:t>
            </w:r>
            <w:r>
              <w:rPr>
                <w:lang/>
              </w:rPr>
              <w:drawing>
                <wp:inline distT="0" distB="0" distL="114300" distR="114300">
                  <wp:extent cx="476250" cy="323850"/>
                  <wp:effectExtent l="0" t="0" r="0" b="0"/>
                  <wp:docPr id="134" name="图片 13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684CB05">
        <w:tblPrEx>
          <w:tblCellMar>
            <w:top w:w="0" w:type="dxa"/>
            <w:left w:w="0" w:type="dxa"/>
            <w:bottom w:w="0" w:type="dxa"/>
            <w:right w:w="0" w:type="dxa"/>
          </w:tblCellMar>
        </w:tblPrEx>
        <w:trPr>
          <w:wBefore w:w="0" w:type="auto"/>
          <w:tblCellSpacing w:w="0" w:type="dxa"/>
        </w:trPr>
        <w:tc>
          <w:tcPr>
            <w:tcW w:w="0" w:type="auto"/>
            <w:noWrap w:val="0"/>
            <w:vAlign w:val="center"/>
          </w:tcPr>
          <w:p w14:paraId="33ED372A">
            <w:r>
              <w:rPr>
                <w:rStyle w:val="10"/>
                <w:rFonts w:hint="eastAsia"/>
              </w:rPr>
              <w:t>总有效成分含量：</w:t>
            </w:r>
            <w:r>
              <w:rPr>
                <w:rFonts w:hint="eastAsia"/>
              </w:rPr>
              <w:t>15%</w:t>
            </w:r>
          </w:p>
        </w:tc>
      </w:tr>
      <w:tr w14:paraId="693C0483">
        <w:tblPrEx>
          <w:tblCellMar>
            <w:top w:w="0" w:type="dxa"/>
            <w:left w:w="0" w:type="dxa"/>
            <w:bottom w:w="0" w:type="dxa"/>
            <w:right w:w="0" w:type="dxa"/>
          </w:tblCellMar>
        </w:tblPrEx>
        <w:trPr>
          <w:wBefore w:w="0" w:type="auto"/>
          <w:tblCellSpacing w:w="0" w:type="dxa"/>
        </w:trPr>
        <w:tc>
          <w:tcPr>
            <w:tcW w:w="0" w:type="auto"/>
            <w:noWrap w:val="0"/>
            <w:vAlign w:val="center"/>
          </w:tcPr>
          <w:p w14:paraId="69F1C244">
            <w:r>
              <w:rPr>
                <w:rFonts w:hint="eastAsia"/>
              </w:rPr>
              <w:t xml:space="preserve">有效成分及其含量： </w:t>
            </w:r>
          </w:p>
          <w:p w14:paraId="4DF89879">
            <w:r>
              <w:rPr>
                <w:rFonts w:hint="eastAsia"/>
              </w:rPr>
              <w:t xml:space="preserve">    联苯菊酯5%    氟啶虫酰胺10%    </w:t>
            </w:r>
          </w:p>
        </w:tc>
      </w:tr>
      <w:tr w14:paraId="3E27FE31">
        <w:tblPrEx>
          <w:tblCellMar>
            <w:top w:w="0" w:type="dxa"/>
            <w:left w:w="0" w:type="dxa"/>
            <w:bottom w:w="0" w:type="dxa"/>
            <w:right w:w="0" w:type="dxa"/>
          </w:tblCellMar>
        </w:tblPrEx>
        <w:trPr>
          <w:wBefore w:w="0" w:type="auto"/>
          <w:tblCellSpacing w:w="0" w:type="dxa"/>
        </w:trPr>
        <w:tc>
          <w:tcPr>
            <w:tcW w:w="0" w:type="auto"/>
            <w:noWrap w:val="0"/>
            <w:vAlign w:val="center"/>
          </w:tcPr>
          <w:p w14:paraId="1F3EB37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1299B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14B924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A472A9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EA0E61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E59D59">
                  <w:r>
                    <w:rPr>
                      <w:rStyle w:val="11"/>
                      <w:rFonts w:hint="eastAsia"/>
                    </w:rPr>
                    <w:t>施用方式</w:t>
                  </w:r>
                </w:p>
              </w:tc>
            </w:tr>
            <w:tr w14:paraId="1EE867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DCE813">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08451D">
                  <w:r>
                    <w:rPr>
                      <w:rStyle w:val="11"/>
                      <w:rFonts w:hint="eastAsia"/>
                    </w:rPr>
                    <w:t>桃蚜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323373">
                  <w:r>
                    <w:rPr>
                      <w:rStyle w:val="11"/>
                      <w:rFonts w:hint="eastAsia"/>
                    </w:rPr>
                    <w:t>4000-5000倍液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201719">
                  <w:r>
                    <w:rPr>
                      <w:rStyle w:val="11"/>
                      <w:rFonts w:hint="eastAsia"/>
                    </w:rPr>
                    <w:t>喷雾</w:t>
                  </w:r>
                </w:p>
              </w:tc>
            </w:tr>
          </w:tbl>
          <w:p w14:paraId="01DE8E16">
            <w:pPr>
              <w:rPr>
                <w:rFonts w:ascii="Times New Roman" w:hAnsi="Times New Roman" w:cs="Times New Roman"/>
                <w:sz w:val="20"/>
                <w:szCs w:val="20"/>
              </w:rPr>
            </w:pPr>
          </w:p>
        </w:tc>
      </w:tr>
      <w:tr w14:paraId="02A49865">
        <w:tblPrEx>
          <w:tblCellMar>
            <w:top w:w="0" w:type="dxa"/>
            <w:left w:w="0" w:type="dxa"/>
            <w:bottom w:w="0" w:type="dxa"/>
            <w:right w:w="0" w:type="dxa"/>
          </w:tblCellMar>
        </w:tblPrEx>
        <w:trPr>
          <w:wBefore w:w="0" w:type="auto"/>
          <w:tblCellSpacing w:w="0" w:type="dxa"/>
        </w:trPr>
        <w:tc>
          <w:tcPr>
            <w:tcW w:w="0" w:type="auto"/>
            <w:noWrap w:val="0"/>
            <w:vAlign w:val="center"/>
          </w:tcPr>
          <w:p w14:paraId="155DBD9E">
            <w:r>
              <w:rPr>
                <w:rStyle w:val="10"/>
                <w:rFonts w:hint="eastAsia"/>
              </w:rPr>
              <w:t>使用技术要求:</w:t>
            </w:r>
            <w:r>
              <w:rPr>
                <w:rFonts w:hint="eastAsia"/>
              </w:rPr>
              <w:br w:type="textWrapping"/>
            </w:r>
            <w:r>
              <w:rPr>
                <w:rStyle w:val="11"/>
                <w:rFonts w:hint="eastAsia"/>
              </w:rPr>
              <w:t>1、本品在桃树桃蚜发生始盛期喷雾施药1次，注意喷雾均匀、周到。2、避开高温，无风天气施药，施药时应在下午5点以后。遇降雨时，雨后应及时补喷。 3、本品在桃树上使用的安全间隔期为14天，每季作物最多使用次数为1次。</w:t>
            </w:r>
          </w:p>
        </w:tc>
      </w:tr>
      <w:tr w14:paraId="3053B214">
        <w:tblPrEx>
          <w:tblCellMar>
            <w:top w:w="0" w:type="dxa"/>
            <w:left w:w="0" w:type="dxa"/>
            <w:bottom w:w="0" w:type="dxa"/>
            <w:right w:w="0" w:type="dxa"/>
          </w:tblCellMar>
        </w:tblPrEx>
        <w:trPr>
          <w:wBefore w:w="0" w:type="auto"/>
          <w:tblCellSpacing w:w="0" w:type="dxa"/>
        </w:trPr>
        <w:tc>
          <w:tcPr>
            <w:tcW w:w="0" w:type="auto"/>
            <w:noWrap w:val="0"/>
            <w:vAlign w:val="center"/>
          </w:tcPr>
          <w:p w14:paraId="5D914DC7">
            <w:r>
              <w:rPr>
                <w:rStyle w:val="10"/>
                <w:rFonts w:hint="eastAsia"/>
              </w:rPr>
              <w:t>产品性能:</w:t>
            </w:r>
            <w:r>
              <w:rPr>
                <w:rFonts w:hint="eastAsia"/>
              </w:rPr>
              <w:br w:type="textWrapping"/>
            </w:r>
            <w:r>
              <w:rPr>
                <w:rStyle w:val="11"/>
                <w:rFonts w:hint="eastAsia"/>
              </w:rPr>
              <w:t>本品是由吡啶酰胺类杀虫剂和拟除虫菊酯类杀虫剂复配而成，其中氟啶虫酰胺：是一种新型低毒吡啶酰胺类昆虫生长调节剂类杀虫剂，具有触杀和胃毒作用，还具有很好的神经毒剂和快速拒食作用。对各种刺吸式口器害虫有效，并具有良好的渗透作用。联苯菊酯：杀虫活性高，属神经毒剂，主要起触杀和胃毒作用。杀虫作用迅速，残效期较长，在土壤中不移动，对环境较安全。二者复配可有效防治桃树桃蚜的发生。</w:t>
            </w:r>
          </w:p>
        </w:tc>
      </w:tr>
      <w:tr w14:paraId="173E4BEB">
        <w:tblPrEx>
          <w:tblCellMar>
            <w:top w:w="0" w:type="dxa"/>
            <w:left w:w="0" w:type="dxa"/>
            <w:bottom w:w="0" w:type="dxa"/>
            <w:right w:w="0" w:type="dxa"/>
          </w:tblCellMar>
        </w:tblPrEx>
        <w:trPr>
          <w:wBefore w:w="0" w:type="auto"/>
          <w:tblCellSpacing w:w="0" w:type="dxa"/>
        </w:trPr>
        <w:tc>
          <w:tcPr>
            <w:tcW w:w="0" w:type="auto"/>
            <w:noWrap w:val="0"/>
            <w:vAlign w:val="center"/>
          </w:tcPr>
          <w:p w14:paraId="01693578">
            <w:r>
              <w:rPr>
                <w:rStyle w:val="10"/>
                <w:rFonts w:hint="eastAsia"/>
              </w:rPr>
              <w:t>注意事项：</w:t>
            </w:r>
            <w:r>
              <w:rPr>
                <w:rFonts w:hint="eastAsia"/>
              </w:rPr>
              <w:br w:type="textWrapping"/>
            </w:r>
            <w:r>
              <w:rPr>
                <w:rStyle w:val="11"/>
                <w:rFonts w:hint="eastAsia"/>
              </w:rPr>
              <w:t>1、使用本品时应穿长衣长裤、戴帽子、手套、护目镜、口罩等，避免皮肤接触药液；施药期间不可吃东西和饮水等，避免吸入或误服药液。2、施药后用清水及肥皂彻底清洗脸部及其它皮肤裸露部位。3、远离水产养殖区、河塘等水体施药，禁止在河塘等水体中清洗施药器具，避免药液流入湖泊，河流或鱼塘中污染水源。4、废弃物要妥善处理不能随意丢弃，也不能做他用，并按照当地的有关规定处置所有的废弃物。5、（周围）开花植物花期禁用，使用期间应密切关注对附近蜂群的影响； 蚕室及桑园附近禁用；赤眼蜂）等天敌放飞区域禁用。6、避免孕妇、哺乳期妇女及过敏者接触。7、建议与其他作用机制不同的杀虫剂轮换使用，以延缓抗性的产生。</w:t>
            </w:r>
          </w:p>
        </w:tc>
      </w:tr>
      <w:tr w14:paraId="053C8A13">
        <w:tblPrEx>
          <w:tblCellMar>
            <w:top w:w="0" w:type="dxa"/>
            <w:left w:w="0" w:type="dxa"/>
            <w:bottom w:w="0" w:type="dxa"/>
            <w:right w:w="0" w:type="dxa"/>
          </w:tblCellMar>
        </w:tblPrEx>
        <w:trPr>
          <w:wBefore w:w="0" w:type="auto"/>
          <w:tblCellSpacing w:w="0" w:type="dxa"/>
        </w:trPr>
        <w:tc>
          <w:tcPr>
            <w:tcW w:w="0" w:type="auto"/>
            <w:noWrap w:val="0"/>
            <w:vAlign w:val="center"/>
          </w:tcPr>
          <w:p w14:paraId="3F5641FE">
            <w:r>
              <w:rPr>
                <w:rStyle w:val="10"/>
                <w:rFonts w:hint="eastAsia"/>
              </w:rPr>
              <w:t>中毒急救措施：</w:t>
            </w:r>
            <w:r>
              <w:rPr>
                <w:rFonts w:hint="eastAsia"/>
              </w:rPr>
              <w:br w:type="textWrapping"/>
            </w:r>
            <w:r>
              <w:rPr>
                <w:rStyle w:val="11"/>
                <w:rFonts w:hint="eastAsia"/>
              </w:rPr>
              <w:t>1、对皮肤、眼睛无刺激症状，无中毒报道。急救治疗：2、不慎药液接触皮肤，立即脱掉被污染的衣物，用肥皂和清水彻底清洗皮肤表面。3、不慎药液接触眼睛，立即将眼睑翻开，用清水彻底冲洗至少15分钟，并请医生诊治。4、不慎吸入：立即将吸入者转移到空气新鲜处，并请医生诊治。 5、不慎误服，应立即催吐、洗胃、清洗口腔，还应携带此标签尽快去医院就诊，对症治疗（去除污物，注意生命体征），无特效解毒剂。</w:t>
            </w:r>
          </w:p>
        </w:tc>
      </w:tr>
      <w:tr w14:paraId="3D803899">
        <w:tblPrEx>
          <w:tblCellMar>
            <w:top w:w="0" w:type="dxa"/>
            <w:left w:w="0" w:type="dxa"/>
            <w:bottom w:w="0" w:type="dxa"/>
            <w:right w:w="0" w:type="dxa"/>
          </w:tblCellMar>
        </w:tblPrEx>
        <w:trPr>
          <w:wBefore w:w="0" w:type="auto"/>
          <w:tblCellSpacing w:w="0" w:type="dxa"/>
        </w:trPr>
        <w:tc>
          <w:tcPr>
            <w:tcW w:w="0" w:type="auto"/>
            <w:noWrap w:val="0"/>
            <w:vAlign w:val="center"/>
          </w:tcPr>
          <w:p w14:paraId="0D1EA81A">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种子、食品、饮料、饲料等其他商品同贮同运。运输时应注意防水防潮，避免雨淋；搬运时轻搬轻放，不可倒置。</w:t>
            </w:r>
          </w:p>
        </w:tc>
      </w:tr>
      <w:tr w14:paraId="314D09A7">
        <w:tblPrEx>
          <w:tblCellMar>
            <w:top w:w="0" w:type="dxa"/>
            <w:left w:w="0" w:type="dxa"/>
            <w:bottom w:w="0" w:type="dxa"/>
            <w:right w:w="0" w:type="dxa"/>
          </w:tblCellMar>
        </w:tblPrEx>
        <w:trPr>
          <w:wBefore w:w="0" w:type="auto"/>
          <w:tblCellSpacing w:w="0" w:type="dxa"/>
        </w:trPr>
        <w:tc>
          <w:tcPr>
            <w:tcW w:w="0" w:type="auto"/>
            <w:noWrap w:val="0"/>
            <w:vAlign w:val="center"/>
          </w:tcPr>
          <w:p w14:paraId="00083C7C">
            <w:r>
              <w:rPr>
                <w:rStyle w:val="10"/>
                <w:rFonts w:hint="eastAsia"/>
              </w:rPr>
              <w:t>质量保证期：</w:t>
            </w:r>
            <w:r>
              <w:rPr>
                <w:rStyle w:val="11"/>
                <w:rFonts w:hint="eastAsia"/>
              </w:rPr>
              <w:t>2年</w:t>
            </w:r>
          </w:p>
        </w:tc>
      </w:tr>
      <w:tr w14:paraId="0DD3BC64">
        <w:tblPrEx>
          <w:tblCellMar>
            <w:top w:w="0" w:type="dxa"/>
            <w:left w:w="0" w:type="dxa"/>
            <w:bottom w:w="0" w:type="dxa"/>
            <w:right w:w="0" w:type="dxa"/>
          </w:tblCellMar>
        </w:tblPrEx>
        <w:trPr>
          <w:wBefore w:w="0" w:type="auto"/>
          <w:tblCellSpacing w:w="0" w:type="dxa"/>
        </w:trPr>
        <w:tc>
          <w:tcPr>
            <w:tcW w:w="0" w:type="auto"/>
            <w:noWrap w:val="0"/>
            <w:vAlign w:val="center"/>
          </w:tcPr>
          <w:p w14:paraId="307A4DC4">
            <w:r>
              <w:rPr>
                <w:rStyle w:val="10"/>
                <w:rFonts w:hint="eastAsia"/>
              </w:rPr>
              <w:t>备注：</w:t>
            </w:r>
          </w:p>
        </w:tc>
      </w:tr>
    </w:tbl>
    <w:p w14:paraId="76F1CF6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40F36EF">
        <w:tblPrEx>
          <w:tblCellMar>
            <w:top w:w="0" w:type="dxa"/>
            <w:left w:w="0" w:type="dxa"/>
            <w:bottom w:w="0" w:type="dxa"/>
            <w:right w:w="0" w:type="dxa"/>
          </w:tblCellMar>
        </w:tblPrEx>
        <w:trPr>
          <w:wBefore w:w="0" w:type="auto"/>
          <w:tblCellSpacing w:w="0" w:type="dxa"/>
        </w:trPr>
        <w:tc>
          <w:tcPr>
            <w:tcW w:w="0" w:type="auto"/>
            <w:noWrap w:val="0"/>
            <w:vAlign w:val="center"/>
          </w:tcPr>
          <w:p w14:paraId="674A2174">
            <w:r>
              <w:rPr>
                <w:rStyle w:val="10"/>
                <w:rFonts w:hint="eastAsia"/>
              </w:rPr>
              <w:t>登记证号：</w:t>
            </w:r>
            <w:r>
              <w:rPr>
                <w:rFonts w:hint="eastAsia"/>
              </w:rPr>
              <w:t>PD20212025</w:t>
            </w:r>
          </w:p>
        </w:tc>
      </w:tr>
      <w:tr w14:paraId="33C8C8BC">
        <w:tblPrEx>
          <w:tblCellMar>
            <w:top w:w="0" w:type="dxa"/>
            <w:left w:w="0" w:type="dxa"/>
            <w:bottom w:w="0" w:type="dxa"/>
            <w:right w:w="0" w:type="dxa"/>
          </w:tblCellMar>
        </w:tblPrEx>
        <w:trPr>
          <w:wBefore w:w="0" w:type="auto"/>
          <w:tblCellSpacing w:w="0" w:type="dxa"/>
        </w:trPr>
        <w:tc>
          <w:tcPr>
            <w:tcW w:w="0" w:type="auto"/>
            <w:noWrap w:val="0"/>
            <w:vAlign w:val="center"/>
          </w:tcPr>
          <w:p w14:paraId="105D2FF4">
            <w:r>
              <w:rPr>
                <w:rStyle w:val="10"/>
                <w:rFonts w:hint="eastAsia"/>
              </w:rPr>
              <w:t>登记证持有人：</w:t>
            </w:r>
            <w:r>
              <w:rPr>
                <w:rFonts w:hint="eastAsia"/>
              </w:rPr>
              <w:t>江苏省扬州市苏灵农药化工有限公司</w:t>
            </w:r>
          </w:p>
        </w:tc>
      </w:tr>
      <w:tr w14:paraId="34CDFDF9">
        <w:tblPrEx>
          <w:tblCellMar>
            <w:top w:w="0" w:type="dxa"/>
            <w:left w:w="0" w:type="dxa"/>
            <w:bottom w:w="0" w:type="dxa"/>
            <w:right w:w="0" w:type="dxa"/>
          </w:tblCellMar>
        </w:tblPrEx>
        <w:trPr>
          <w:wBefore w:w="0" w:type="auto"/>
          <w:tblCellSpacing w:w="0" w:type="dxa"/>
        </w:trPr>
        <w:tc>
          <w:tcPr>
            <w:tcW w:w="0" w:type="auto"/>
            <w:noWrap w:val="0"/>
            <w:vAlign w:val="center"/>
          </w:tcPr>
          <w:p w14:paraId="0CA8CE1F">
            <w:r>
              <w:rPr>
                <w:rStyle w:val="10"/>
                <w:rFonts w:hint="eastAsia"/>
              </w:rPr>
              <w:t>农药名称：</w:t>
            </w:r>
            <w:r>
              <w:rPr>
                <w:rFonts w:hint="eastAsia"/>
              </w:rPr>
              <w:t>噻苯·敌草隆</w:t>
            </w:r>
          </w:p>
        </w:tc>
      </w:tr>
      <w:tr w14:paraId="3A0E4DD3">
        <w:tblPrEx>
          <w:tblCellMar>
            <w:top w:w="0" w:type="dxa"/>
            <w:left w:w="0" w:type="dxa"/>
            <w:bottom w:w="0" w:type="dxa"/>
            <w:right w:w="0" w:type="dxa"/>
          </w:tblCellMar>
        </w:tblPrEx>
        <w:trPr>
          <w:wBefore w:w="0" w:type="auto"/>
          <w:tblCellSpacing w:w="0" w:type="dxa"/>
        </w:trPr>
        <w:tc>
          <w:tcPr>
            <w:tcW w:w="0" w:type="auto"/>
            <w:noWrap w:val="0"/>
            <w:vAlign w:val="center"/>
          </w:tcPr>
          <w:p w14:paraId="4593F418">
            <w:r>
              <w:rPr>
                <w:rStyle w:val="10"/>
                <w:rFonts w:hint="eastAsia"/>
              </w:rPr>
              <w:t>剂型：</w:t>
            </w:r>
            <w:r>
              <w:rPr>
                <w:rFonts w:hint="eastAsia"/>
              </w:rPr>
              <w:t>可分散油悬浮剂</w:t>
            </w:r>
          </w:p>
        </w:tc>
      </w:tr>
      <w:tr w14:paraId="199DEEF8">
        <w:tblPrEx>
          <w:tblCellMar>
            <w:top w:w="0" w:type="dxa"/>
            <w:left w:w="0" w:type="dxa"/>
            <w:bottom w:w="0" w:type="dxa"/>
            <w:right w:w="0" w:type="dxa"/>
          </w:tblCellMar>
        </w:tblPrEx>
        <w:trPr>
          <w:wBefore w:w="0" w:type="auto"/>
          <w:tblCellSpacing w:w="0" w:type="dxa"/>
        </w:trPr>
        <w:tc>
          <w:tcPr>
            <w:tcW w:w="0" w:type="auto"/>
            <w:noWrap w:val="0"/>
            <w:vAlign w:val="center"/>
          </w:tcPr>
          <w:p w14:paraId="6128F0FA">
            <w:r>
              <w:rPr>
                <w:rStyle w:val="10"/>
                <w:rFonts w:hint="eastAsia"/>
              </w:rPr>
              <w:t>毒性及其标识：</w:t>
            </w:r>
            <w:r>
              <w:rPr>
                <w:rFonts w:hint="eastAsia"/>
              </w:rPr>
              <w:t xml:space="preserve"> 微毒 </w:t>
            </w:r>
          </w:p>
        </w:tc>
      </w:tr>
      <w:tr w14:paraId="230CDB9F">
        <w:tblPrEx>
          <w:tblCellMar>
            <w:top w:w="0" w:type="dxa"/>
            <w:left w:w="0" w:type="dxa"/>
            <w:bottom w:w="0" w:type="dxa"/>
            <w:right w:w="0" w:type="dxa"/>
          </w:tblCellMar>
        </w:tblPrEx>
        <w:trPr>
          <w:wBefore w:w="0" w:type="auto"/>
          <w:tblCellSpacing w:w="0" w:type="dxa"/>
        </w:trPr>
        <w:tc>
          <w:tcPr>
            <w:tcW w:w="0" w:type="auto"/>
            <w:noWrap w:val="0"/>
            <w:vAlign w:val="center"/>
          </w:tcPr>
          <w:p w14:paraId="5769E5EC">
            <w:r>
              <w:rPr>
                <w:rStyle w:val="10"/>
                <w:rFonts w:hint="eastAsia"/>
              </w:rPr>
              <w:t>总有效成分含量：</w:t>
            </w:r>
            <w:r>
              <w:rPr>
                <w:rFonts w:hint="eastAsia"/>
              </w:rPr>
              <w:t>12%</w:t>
            </w:r>
          </w:p>
        </w:tc>
      </w:tr>
      <w:tr w14:paraId="1A6D33B2">
        <w:tblPrEx>
          <w:tblCellMar>
            <w:top w:w="0" w:type="dxa"/>
            <w:left w:w="0" w:type="dxa"/>
            <w:bottom w:w="0" w:type="dxa"/>
            <w:right w:w="0" w:type="dxa"/>
          </w:tblCellMar>
        </w:tblPrEx>
        <w:trPr>
          <w:wBefore w:w="0" w:type="auto"/>
          <w:tblCellSpacing w:w="0" w:type="dxa"/>
        </w:trPr>
        <w:tc>
          <w:tcPr>
            <w:tcW w:w="0" w:type="auto"/>
            <w:noWrap w:val="0"/>
            <w:vAlign w:val="center"/>
          </w:tcPr>
          <w:p w14:paraId="5F05D15D">
            <w:r>
              <w:rPr>
                <w:rFonts w:hint="eastAsia"/>
              </w:rPr>
              <w:t xml:space="preserve">有效成分及其含量： </w:t>
            </w:r>
          </w:p>
          <w:p w14:paraId="4CF9CD03">
            <w:r>
              <w:rPr>
                <w:rFonts w:hint="eastAsia"/>
              </w:rPr>
              <w:t xml:space="preserve">    敌草隆4%    噻苯隆8%    </w:t>
            </w:r>
          </w:p>
        </w:tc>
      </w:tr>
      <w:tr w14:paraId="4FFC3EEB">
        <w:tblPrEx>
          <w:tblCellMar>
            <w:top w:w="0" w:type="dxa"/>
            <w:left w:w="0" w:type="dxa"/>
            <w:bottom w:w="0" w:type="dxa"/>
            <w:right w:w="0" w:type="dxa"/>
          </w:tblCellMar>
        </w:tblPrEx>
        <w:trPr>
          <w:wBefore w:w="0" w:type="auto"/>
          <w:tblCellSpacing w:w="0" w:type="dxa"/>
        </w:trPr>
        <w:tc>
          <w:tcPr>
            <w:tcW w:w="0" w:type="auto"/>
            <w:noWrap w:val="0"/>
            <w:vAlign w:val="center"/>
          </w:tcPr>
          <w:p w14:paraId="346C99A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B1723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C3AE04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7EE852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9668D6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05F1CDC">
                  <w:r>
                    <w:rPr>
                      <w:rStyle w:val="11"/>
                      <w:rFonts w:hint="eastAsia"/>
                    </w:rPr>
                    <w:t>施用方式</w:t>
                  </w:r>
                </w:p>
              </w:tc>
            </w:tr>
            <w:tr w14:paraId="332E57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C7ABF60">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027C2D">
                  <w:r>
                    <w:rPr>
                      <w:rStyle w:val="11"/>
                      <w:rFonts w:hint="eastAsia"/>
                    </w:rPr>
                    <w:t>脱叶</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6C0761">
                  <w:r>
                    <w:rPr>
                      <w:rStyle w:val="11"/>
                      <w:rFonts w:hint="eastAsia"/>
                    </w:rPr>
                    <w:t>40-60毫升/亩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BB3F97">
                  <w:r>
                    <w:rPr>
                      <w:rStyle w:val="11"/>
                      <w:rFonts w:hint="eastAsia"/>
                    </w:rPr>
                    <w:t>茎叶喷雾</w:t>
                  </w:r>
                </w:p>
              </w:tc>
            </w:tr>
          </w:tbl>
          <w:p w14:paraId="1F1D93CF">
            <w:pPr>
              <w:rPr>
                <w:rFonts w:ascii="Times New Roman" w:hAnsi="Times New Roman" w:cs="Times New Roman"/>
                <w:sz w:val="20"/>
                <w:szCs w:val="20"/>
              </w:rPr>
            </w:pPr>
          </w:p>
        </w:tc>
      </w:tr>
      <w:tr w14:paraId="2929BCB5">
        <w:tblPrEx>
          <w:tblCellMar>
            <w:top w:w="0" w:type="dxa"/>
            <w:left w:w="0" w:type="dxa"/>
            <w:bottom w:w="0" w:type="dxa"/>
            <w:right w:w="0" w:type="dxa"/>
          </w:tblCellMar>
        </w:tblPrEx>
        <w:trPr>
          <w:wBefore w:w="0" w:type="auto"/>
          <w:tblCellSpacing w:w="0" w:type="dxa"/>
        </w:trPr>
        <w:tc>
          <w:tcPr>
            <w:tcW w:w="0" w:type="auto"/>
            <w:noWrap w:val="0"/>
            <w:vAlign w:val="center"/>
          </w:tcPr>
          <w:p w14:paraId="2A1B0010">
            <w:r>
              <w:rPr>
                <w:rStyle w:val="10"/>
                <w:rFonts w:hint="eastAsia"/>
              </w:rPr>
              <w:t>使用技术要求:</w:t>
            </w:r>
            <w:r>
              <w:rPr>
                <w:rFonts w:hint="eastAsia"/>
              </w:rPr>
              <w:br w:type="textWrapping"/>
            </w:r>
            <w:r>
              <w:rPr>
                <w:rStyle w:val="11"/>
                <w:rFonts w:hint="eastAsia"/>
              </w:rPr>
              <w:t>1.本品是一种接触型脱叶剂，施药时应对棉花植株各部位的叶片均匀喷雾。2.在棉花自然吐絮率达40%后茎叶喷雾施药一次。3.本品的施用剂量和效果受施药期间的温度、湿度、光照强度、棉花成熟度、密度、品种等因素的影响；注意施药前后的气温变化，用药前后3-5天日最低温度≥12℃，更有利于本品充分发挥药效。4.在棉花上安全间隔期为7天，每季作物最多使用1次。</w:t>
            </w:r>
          </w:p>
        </w:tc>
      </w:tr>
      <w:tr w14:paraId="4DF0EF12">
        <w:tblPrEx>
          <w:tblCellMar>
            <w:top w:w="0" w:type="dxa"/>
            <w:left w:w="0" w:type="dxa"/>
            <w:bottom w:w="0" w:type="dxa"/>
            <w:right w:w="0" w:type="dxa"/>
          </w:tblCellMar>
        </w:tblPrEx>
        <w:trPr>
          <w:wBefore w:w="0" w:type="auto"/>
          <w:tblCellSpacing w:w="0" w:type="dxa"/>
        </w:trPr>
        <w:tc>
          <w:tcPr>
            <w:tcW w:w="0" w:type="auto"/>
            <w:noWrap w:val="0"/>
            <w:vAlign w:val="center"/>
          </w:tcPr>
          <w:p w14:paraId="2369FA16">
            <w:r>
              <w:rPr>
                <w:rStyle w:val="10"/>
                <w:rFonts w:hint="eastAsia"/>
              </w:rPr>
              <w:t>产品性能:</w:t>
            </w:r>
            <w:r>
              <w:rPr>
                <w:rFonts w:hint="eastAsia"/>
              </w:rPr>
              <w:br w:type="textWrapping"/>
            </w:r>
            <w:r>
              <w:rPr>
                <w:rStyle w:val="11"/>
                <w:rFonts w:hint="eastAsia"/>
              </w:rPr>
              <w:t>本品为噻苯隆和敌草隆的混配制剂，用于棉花脱叶。噻苯隆为脲类植物生长调节剂，具有细胞激素活性。敌草隆是取代脲类内吸传导型除草剂，为光合作用抑制剂。二者混配可以促进棉花叶柄基部与茎秆间离层的形成，在叶片枯萎前实现脱叶，避免枯叶碎屑污染棉絮，提高棉花质量，改善棉花成熟条件，提早均匀成熟，有利于机械采收。</w:t>
            </w:r>
          </w:p>
        </w:tc>
      </w:tr>
      <w:tr w14:paraId="2A3833BF">
        <w:tblPrEx>
          <w:tblCellMar>
            <w:top w:w="0" w:type="dxa"/>
            <w:left w:w="0" w:type="dxa"/>
            <w:bottom w:w="0" w:type="dxa"/>
            <w:right w:w="0" w:type="dxa"/>
          </w:tblCellMar>
        </w:tblPrEx>
        <w:trPr>
          <w:wBefore w:w="0" w:type="auto"/>
          <w:tblCellSpacing w:w="0" w:type="dxa"/>
        </w:trPr>
        <w:tc>
          <w:tcPr>
            <w:tcW w:w="0" w:type="auto"/>
            <w:noWrap w:val="0"/>
            <w:vAlign w:val="center"/>
          </w:tcPr>
          <w:p w14:paraId="1690A2DA">
            <w:r>
              <w:rPr>
                <w:rStyle w:val="10"/>
                <w:rFonts w:hint="eastAsia"/>
              </w:rPr>
              <w:t>注意事项：</w:t>
            </w:r>
            <w:r>
              <w:rPr>
                <w:rFonts w:hint="eastAsia"/>
              </w:rPr>
              <w:br w:type="textWrapping"/>
            </w:r>
            <w:r>
              <w:rPr>
                <w:rStyle w:val="11"/>
                <w:rFonts w:hint="eastAsia"/>
              </w:rPr>
              <w:t>1.使用本品时应采取相应的安全防护措施，穿防护服、戴防护手套、口罩、眼镜等，使用时避免药液接触眼睛。施药期间不可吃东西、饮水、吸烟等，施药后应及时洗手、脸等暴露部位的皮肤并更换衣物。2.本品对溞、藻类及鱼高毒，水产养殖区、河塘等水体附近禁用，严禁药液流入江河湖泊等鱼类养殖水体，禁止在河塘等水体洗涤施药器械。3.废弃物应妥善处理，不可作他用，也不可随意丢弃。4.本品不可与氧化性物质混用。5. 孕妇及哺乳期妇女避免接触此药。</w:t>
            </w:r>
          </w:p>
        </w:tc>
      </w:tr>
      <w:tr w14:paraId="08408093">
        <w:tblPrEx>
          <w:tblCellMar>
            <w:top w:w="0" w:type="dxa"/>
            <w:left w:w="0" w:type="dxa"/>
            <w:bottom w:w="0" w:type="dxa"/>
            <w:right w:w="0" w:type="dxa"/>
          </w:tblCellMar>
        </w:tblPrEx>
        <w:trPr>
          <w:wBefore w:w="0" w:type="auto"/>
          <w:tblCellSpacing w:w="0" w:type="dxa"/>
        </w:trPr>
        <w:tc>
          <w:tcPr>
            <w:tcW w:w="0" w:type="auto"/>
            <w:noWrap w:val="0"/>
            <w:vAlign w:val="center"/>
          </w:tcPr>
          <w:p w14:paraId="0C11A391">
            <w:r>
              <w:rPr>
                <w:rStyle w:val="10"/>
                <w:rFonts w:hint="eastAsia"/>
              </w:rPr>
              <w:t>中毒急救措施：</w:t>
            </w:r>
            <w:r>
              <w:rPr>
                <w:rFonts w:hint="eastAsia"/>
              </w:rPr>
              <w:br w:type="textWrapping"/>
            </w:r>
            <w:r>
              <w:rPr>
                <w:rStyle w:val="11"/>
                <w:rFonts w:hint="eastAsia"/>
              </w:rPr>
              <w:t>.本品对眼睛有刺激性。皮肤接触：立即脱掉被污染的衣物，用大量清水和肥皂彻底清洗受污染的皮肤。眼睛接触：立即将眼睑翻开，用清水冲洗至少15分钟，仍有不适时，请就医诊治。不慎吸入：立即将吸入者转移到空气新鲜处。不慎误服：立即饮用一杯或两杯水引吐。不要试图让失去知觉的人呕吐或通过口部为其喂食。并请立即带标签就医。无特殊解毒剂，对症治疗。</w:t>
            </w:r>
          </w:p>
        </w:tc>
      </w:tr>
      <w:tr w14:paraId="5D192F7F">
        <w:tblPrEx>
          <w:tblCellMar>
            <w:top w:w="0" w:type="dxa"/>
            <w:left w:w="0" w:type="dxa"/>
            <w:bottom w:w="0" w:type="dxa"/>
            <w:right w:w="0" w:type="dxa"/>
          </w:tblCellMar>
        </w:tblPrEx>
        <w:trPr>
          <w:wBefore w:w="0" w:type="auto"/>
          <w:tblCellSpacing w:w="0" w:type="dxa"/>
        </w:trPr>
        <w:tc>
          <w:tcPr>
            <w:tcW w:w="0" w:type="auto"/>
            <w:noWrap w:val="0"/>
            <w:vAlign w:val="center"/>
          </w:tcPr>
          <w:p w14:paraId="59E4E863">
            <w:r>
              <w:rPr>
                <w:rStyle w:val="10"/>
                <w:rFonts w:hint="eastAsia"/>
              </w:rPr>
              <w:t>储存和运输方法：</w:t>
            </w:r>
            <w:r>
              <w:rPr>
                <w:rFonts w:hint="eastAsia"/>
              </w:rPr>
              <w:br w:type="textWrapping"/>
            </w:r>
            <w:r>
              <w:rPr>
                <w:rStyle w:val="11"/>
                <w:rFonts w:hint="eastAsia"/>
              </w:rPr>
              <w:t>1.本品应贮存在干燥、阴凉、通风、防雨处，远离火源或热源。2.存放于儿童触及不到之处，并加锁。3.勿与食品、饮料、粮食、饲料、种子等同储同运。</w:t>
            </w:r>
          </w:p>
        </w:tc>
      </w:tr>
      <w:tr w14:paraId="53C184ED">
        <w:tblPrEx>
          <w:tblCellMar>
            <w:top w:w="0" w:type="dxa"/>
            <w:left w:w="0" w:type="dxa"/>
            <w:bottom w:w="0" w:type="dxa"/>
            <w:right w:w="0" w:type="dxa"/>
          </w:tblCellMar>
        </w:tblPrEx>
        <w:trPr>
          <w:wBefore w:w="0" w:type="auto"/>
          <w:tblCellSpacing w:w="0" w:type="dxa"/>
        </w:trPr>
        <w:tc>
          <w:tcPr>
            <w:tcW w:w="0" w:type="auto"/>
            <w:noWrap w:val="0"/>
            <w:vAlign w:val="center"/>
          </w:tcPr>
          <w:p w14:paraId="398C73B3">
            <w:r>
              <w:rPr>
                <w:rStyle w:val="10"/>
                <w:rFonts w:hint="eastAsia"/>
              </w:rPr>
              <w:t>质量保证期：</w:t>
            </w:r>
            <w:r>
              <w:rPr>
                <w:rStyle w:val="11"/>
                <w:rFonts w:hint="eastAsia"/>
              </w:rPr>
              <w:t>2年</w:t>
            </w:r>
          </w:p>
        </w:tc>
      </w:tr>
      <w:tr w14:paraId="599ACD1B">
        <w:tblPrEx>
          <w:tblCellMar>
            <w:top w:w="0" w:type="dxa"/>
            <w:left w:w="0" w:type="dxa"/>
            <w:bottom w:w="0" w:type="dxa"/>
            <w:right w:w="0" w:type="dxa"/>
          </w:tblCellMar>
        </w:tblPrEx>
        <w:trPr>
          <w:wBefore w:w="0" w:type="auto"/>
          <w:tblCellSpacing w:w="0" w:type="dxa"/>
        </w:trPr>
        <w:tc>
          <w:tcPr>
            <w:tcW w:w="0" w:type="auto"/>
            <w:noWrap w:val="0"/>
            <w:vAlign w:val="center"/>
          </w:tcPr>
          <w:p w14:paraId="19DE7458">
            <w:r>
              <w:rPr>
                <w:rStyle w:val="10"/>
                <w:rFonts w:hint="eastAsia"/>
              </w:rPr>
              <w:t>备注：</w:t>
            </w:r>
          </w:p>
        </w:tc>
      </w:tr>
    </w:tbl>
    <w:p w14:paraId="588C465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32CE168">
        <w:tblPrEx>
          <w:tblCellMar>
            <w:top w:w="0" w:type="dxa"/>
            <w:left w:w="0" w:type="dxa"/>
            <w:bottom w:w="0" w:type="dxa"/>
            <w:right w:w="0" w:type="dxa"/>
          </w:tblCellMar>
        </w:tblPrEx>
        <w:trPr>
          <w:wBefore w:w="0" w:type="auto"/>
          <w:tblCellSpacing w:w="0" w:type="dxa"/>
        </w:trPr>
        <w:tc>
          <w:tcPr>
            <w:tcW w:w="0" w:type="auto"/>
            <w:noWrap w:val="0"/>
            <w:vAlign w:val="center"/>
          </w:tcPr>
          <w:p w14:paraId="794FBE1B">
            <w:r>
              <w:rPr>
                <w:rStyle w:val="10"/>
                <w:rFonts w:hint="eastAsia"/>
              </w:rPr>
              <w:t>登记证号：</w:t>
            </w:r>
            <w:r>
              <w:rPr>
                <w:rFonts w:hint="eastAsia"/>
              </w:rPr>
              <w:t>WP20210199</w:t>
            </w:r>
          </w:p>
        </w:tc>
      </w:tr>
      <w:tr w14:paraId="784CAAA0">
        <w:tblPrEx>
          <w:tblCellMar>
            <w:top w:w="0" w:type="dxa"/>
            <w:left w:w="0" w:type="dxa"/>
            <w:bottom w:w="0" w:type="dxa"/>
            <w:right w:w="0" w:type="dxa"/>
          </w:tblCellMar>
        </w:tblPrEx>
        <w:trPr>
          <w:wBefore w:w="0" w:type="auto"/>
          <w:tblCellSpacing w:w="0" w:type="dxa"/>
        </w:trPr>
        <w:tc>
          <w:tcPr>
            <w:tcW w:w="0" w:type="auto"/>
            <w:noWrap w:val="0"/>
            <w:vAlign w:val="center"/>
          </w:tcPr>
          <w:p w14:paraId="58D1CF09">
            <w:r>
              <w:rPr>
                <w:rStyle w:val="10"/>
                <w:rFonts w:hint="eastAsia"/>
              </w:rPr>
              <w:t>登记证持有人：</w:t>
            </w:r>
            <w:r>
              <w:rPr>
                <w:rFonts w:hint="eastAsia"/>
              </w:rPr>
              <w:t>广汉二仙蚊香厂</w:t>
            </w:r>
          </w:p>
        </w:tc>
      </w:tr>
      <w:tr w14:paraId="445FE59D">
        <w:tblPrEx>
          <w:tblCellMar>
            <w:top w:w="0" w:type="dxa"/>
            <w:left w:w="0" w:type="dxa"/>
            <w:bottom w:w="0" w:type="dxa"/>
            <w:right w:w="0" w:type="dxa"/>
          </w:tblCellMar>
        </w:tblPrEx>
        <w:trPr>
          <w:wBefore w:w="0" w:type="auto"/>
          <w:tblCellSpacing w:w="0" w:type="dxa"/>
        </w:trPr>
        <w:tc>
          <w:tcPr>
            <w:tcW w:w="0" w:type="auto"/>
            <w:noWrap w:val="0"/>
            <w:vAlign w:val="center"/>
          </w:tcPr>
          <w:p w14:paraId="6F9425AC">
            <w:r>
              <w:rPr>
                <w:rStyle w:val="10"/>
                <w:rFonts w:hint="eastAsia"/>
              </w:rPr>
              <w:t>农药名称：</w:t>
            </w:r>
            <w:r>
              <w:rPr>
                <w:rFonts w:hint="eastAsia"/>
              </w:rPr>
              <w:t>蚊香</w:t>
            </w:r>
          </w:p>
        </w:tc>
      </w:tr>
      <w:tr w14:paraId="4DA6C38A">
        <w:tblPrEx>
          <w:tblCellMar>
            <w:top w:w="0" w:type="dxa"/>
            <w:left w:w="0" w:type="dxa"/>
            <w:bottom w:w="0" w:type="dxa"/>
            <w:right w:w="0" w:type="dxa"/>
          </w:tblCellMar>
        </w:tblPrEx>
        <w:trPr>
          <w:wBefore w:w="0" w:type="auto"/>
          <w:tblCellSpacing w:w="0" w:type="dxa"/>
        </w:trPr>
        <w:tc>
          <w:tcPr>
            <w:tcW w:w="0" w:type="auto"/>
            <w:noWrap w:val="0"/>
            <w:vAlign w:val="center"/>
          </w:tcPr>
          <w:p w14:paraId="2279257C">
            <w:r>
              <w:rPr>
                <w:rStyle w:val="10"/>
                <w:rFonts w:hint="eastAsia"/>
              </w:rPr>
              <w:t>剂型：</w:t>
            </w:r>
            <w:r>
              <w:rPr>
                <w:rFonts w:hint="eastAsia"/>
              </w:rPr>
              <w:t>蚊香</w:t>
            </w:r>
          </w:p>
        </w:tc>
      </w:tr>
      <w:tr w14:paraId="70C85909">
        <w:tblPrEx>
          <w:tblCellMar>
            <w:top w:w="0" w:type="dxa"/>
            <w:left w:w="0" w:type="dxa"/>
            <w:bottom w:w="0" w:type="dxa"/>
            <w:right w:w="0" w:type="dxa"/>
          </w:tblCellMar>
        </w:tblPrEx>
        <w:trPr>
          <w:wBefore w:w="0" w:type="auto"/>
          <w:tblCellSpacing w:w="0" w:type="dxa"/>
        </w:trPr>
        <w:tc>
          <w:tcPr>
            <w:tcW w:w="0" w:type="auto"/>
            <w:noWrap w:val="0"/>
            <w:vAlign w:val="center"/>
          </w:tcPr>
          <w:p w14:paraId="6D148BB8">
            <w:r>
              <w:rPr>
                <w:rStyle w:val="10"/>
                <w:rFonts w:hint="eastAsia"/>
              </w:rPr>
              <w:t>毒性及其标识：</w:t>
            </w:r>
            <w:r>
              <w:rPr>
                <w:rFonts w:hint="eastAsia"/>
              </w:rPr>
              <w:t xml:space="preserve"> 微毒 </w:t>
            </w:r>
          </w:p>
        </w:tc>
      </w:tr>
      <w:tr w14:paraId="62C0B802">
        <w:tblPrEx>
          <w:tblCellMar>
            <w:top w:w="0" w:type="dxa"/>
            <w:left w:w="0" w:type="dxa"/>
            <w:bottom w:w="0" w:type="dxa"/>
            <w:right w:w="0" w:type="dxa"/>
          </w:tblCellMar>
        </w:tblPrEx>
        <w:trPr>
          <w:wBefore w:w="0" w:type="auto"/>
          <w:tblCellSpacing w:w="0" w:type="dxa"/>
        </w:trPr>
        <w:tc>
          <w:tcPr>
            <w:tcW w:w="0" w:type="auto"/>
            <w:noWrap w:val="0"/>
            <w:vAlign w:val="center"/>
          </w:tcPr>
          <w:p w14:paraId="2AF53D59">
            <w:r>
              <w:rPr>
                <w:rStyle w:val="10"/>
                <w:rFonts w:hint="eastAsia"/>
              </w:rPr>
              <w:t>总有效成分含量：</w:t>
            </w:r>
            <w:r>
              <w:rPr>
                <w:rFonts w:hint="eastAsia"/>
              </w:rPr>
              <w:t>0.08%</w:t>
            </w:r>
          </w:p>
        </w:tc>
      </w:tr>
      <w:tr w14:paraId="7FFDD716">
        <w:tblPrEx>
          <w:tblCellMar>
            <w:top w:w="0" w:type="dxa"/>
            <w:left w:w="0" w:type="dxa"/>
            <w:bottom w:w="0" w:type="dxa"/>
            <w:right w:w="0" w:type="dxa"/>
          </w:tblCellMar>
        </w:tblPrEx>
        <w:trPr>
          <w:wBefore w:w="0" w:type="auto"/>
          <w:tblCellSpacing w:w="0" w:type="dxa"/>
        </w:trPr>
        <w:tc>
          <w:tcPr>
            <w:tcW w:w="0" w:type="auto"/>
            <w:noWrap w:val="0"/>
            <w:vAlign w:val="center"/>
          </w:tcPr>
          <w:p w14:paraId="21BA70B2">
            <w:r>
              <w:rPr>
                <w:rFonts w:hint="eastAsia"/>
              </w:rPr>
              <w:t xml:space="preserve">有效成分及其含量： </w:t>
            </w:r>
          </w:p>
          <w:p w14:paraId="2606C92A">
            <w:r>
              <w:rPr>
                <w:rFonts w:hint="eastAsia"/>
              </w:rPr>
              <w:t xml:space="preserve">    氯氟醚菊酯0.08%    </w:t>
            </w:r>
          </w:p>
        </w:tc>
      </w:tr>
      <w:tr w14:paraId="7ABFD70A">
        <w:tblPrEx>
          <w:tblCellMar>
            <w:top w:w="0" w:type="dxa"/>
            <w:left w:w="0" w:type="dxa"/>
            <w:bottom w:w="0" w:type="dxa"/>
            <w:right w:w="0" w:type="dxa"/>
          </w:tblCellMar>
        </w:tblPrEx>
        <w:trPr>
          <w:wBefore w:w="0" w:type="auto"/>
          <w:tblCellSpacing w:w="0" w:type="dxa"/>
        </w:trPr>
        <w:tc>
          <w:tcPr>
            <w:tcW w:w="0" w:type="auto"/>
            <w:noWrap w:val="0"/>
            <w:vAlign w:val="center"/>
          </w:tcPr>
          <w:p w14:paraId="46B6C00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8A78D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BD98AE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5B9106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D13259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F758681">
                  <w:r>
                    <w:rPr>
                      <w:rStyle w:val="11"/>
                      <w:rFonts w:hint="eastAsia"/>
                    </w:rPr>
                    <w:t>施用方式</w:t>
                  </w:r>
                </w:p>
              </w:tc>
            </w:tr>
            <w:tr w14:paraId="29F16C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07699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1D678A">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736DF6">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49540B">
                  <w:r>
                    <w:rPr>
                      <w:rStyle w:val="11"/>
                      <w:rFonts w:hint="eastAsia"/>
                    </w:rPr>
                    <w:t>点燃</w:t>
                  </w:r>
                </w:p>
              </w:tc>
            </w:tr>
          </w:tbl>
          <w:p w14:paraId="1ABB9E09">
            <w:pPr>
              <w:rPr>
                <w:rFonts w:ascii="Times New Roman" w:hAnsi="Times New Roman" w:cs="Times New Roman"/>
                <w:sz w:val="20"/>
                <w:szCs w:val="20"/>
              </w:rPr>
            </w:pPr>
          </w:p>
        </w:tc>
      </w:tr>
      <w:tr w14:paraId="0C7938C3">
        <w:tblPrEx>
          <w:tblCellMar>
            <w:top w:w="0" w:type="dxa"/>
            <w:left w:w="0" w:type="dxa"/>
            <w:bottom w:w="0" w:type="dxa"/>
            <w:right w:w="0" w:type="dxa"/>
          </w:tblCellMar>
        </w:tblPrEx>
        <w:trPr>
          <w:wBefore w:w="0" w:type="auto"/>
          <w:tblCellSpacing w:w="0" w:type="dxa"/>
        </w:trPr>
        <w:tc>
          <w:tcPr>
            <w:tcW w:w="0" w:type="auto"/>
            <w:noWrap w:val="0"/>
            <w:vAlign w:val="center"/>
          </w:tcPr>
          <w:p w14:paraId="30557597">
            <w:r>
              <w:rPr>
                <w:rStyle w:val="10"/>
                <w:rFonts w:hint="eastAsia"/>
              </w:rPr>
              <w:t>使用技术要求:</w:t>
            </w:r>
            <w:r>
              <w:rPr>
                <w:rFonts w:hint="eastAsia"/>
              </w:rPr>
              <w:br w:type="textWrapping"/>
            </w:r>
            <w:r>
              <w:rPr>
                <w:rStyle w:val="11"/>
                <w:rFonts w:hint="eastAsia"/>
              </w:rPr>
              <w:t>1. 将两个一组的蚊香分开。 2. 将蚊香置于盒内配套的蚊香架上，然后点燃蚊香顶端。 3. 为使蚊香发挥效力，请将蚊香放置在上风向。</w:t>
            </w:r>
          </w:p>
        </w:tc>
      </w:tr>
      <w:tr w14:paraId="1B7F14D2">
        <w:tblPrEx>
          <w:tblCellMar>
            <w:top w:w="0" w:type="dxa"/>
            <w:left w:w="0" w:type="dxa"/>
            <w:bottom w:w="0" w:type="dxa"/>
            <w:right w:w="0" w:type="dxa"/>
          </w:tblCellMar>
        </w:tblPrEx>
        <w:trPr>
          <w:wBefore w:w="0" w:type="auto"/>
          <w:tblCellSpacing w:w="0" w:type="dxa"/>
        </w:trPr>
        <w:tc>
          <w:tcPr>
            <w:tcW w:w="0" w:type="auto"/>
            <w:noWrap w:val="0"/>
            <w:vAlign w:val="center"/>
          </w:tcPr>
          <w:p w14:paraId="6ED9904D">
            <w:r>
              <w:rPr>
                <w:rStyle w:val="10"/>
                <w:rFonts w:hint="eastAsia"/>
              </w:rPr>
              <w:t>产品性能:</w:t>
            </w:r>
            <w:r>
              <w:rPr>
                <w:rFonts w:hint="eastAsia"/>
              </w:rPr>
              <w:br w:type="textWrapping"/>
            </w:r>
            <w:r>
              <w:rPr>
                <w:rStyle w:val="11"/>
                <w:rFonts w:hint="eastAsia"/>
              </w:rPr>
              <w:t xml:space="preserve">本产品以拟除虫菊酯、炭粉等原料配制而成，对蚊子驱杀效果显著，是现代家居驱杀蚊子的佳品之一。 </w:t>
            </w:r>
          </w:p>
        </w:tc>
      </w:tr>
      <w:tr w14:paraId="51968EDF">
        <w:tblPrEx>
          <w:tblCellMar>
            <w:top w:w="0" w:type="dxa"/>
            <w:left w:w="0" w:type="dxa"/>
            <w:bottom w:w="0" w:type="dxa"/>
            <w:right w:w="0" w:type="dxa"/>
          </w:tblCellMar>
        </w:tblPrEx>
        <w:trPr>
          <w:wBefore w:w="0" w:type="auto"/>
          <w:tblCellSpacing w:w="0" w:type="dxa"/>
        </w:trPr>
        <w:tc>
          <w:tcPr>
            <w:tcW w:w="0" w:type="auto"/>
            <w:noWrap w:val="0"/>
            <w:vAlign w:val="center"/>
          </w:tcPr>
          <w:p w14:paraId="2E88650C">
            <w:r>
              <w:rPr>
                <w:rStyle w:val="10"/>
                <w:rFonts w:hint="eastAsia"/>
              </w:rPr>
              <w:t>注意事项：</w:t>
            </w:r>
            <w:r>
              <w:rPr>
                <w:rFonts w:hint="eastAsia"/>
              </w:rPr>
              <w:br w:type="textWrapping"/>
            </w:r>
            <w:r>
              <w:rPr>
                <w:rStyle w:val="11"/>
                <w:rFonts w:hint="eastAsia"/>
              </w:rPr>
              <w:t>1. 仅限室内使用。点燃使用时远离可燃物, 勿使用易燃品做灰盘。2. 在铁架上燃点蚊香, 注意通风；注意防火。3.对鱼、蚕有毒，蚕室及其附近禁用；用后洗手。4. 过敏者禁用；使用中有任何不良反应请及时就医。5.孕妇及哺乳期妇女、婴幼儿避免接触本品</w:t>
            </w:r>
          </w:p>
        </w:tc>
      </w:tr>
      <w:tr w14:paraId="316BB949">
        <w:tblPrEx>
          <w:tblCellMar>
            <w:top w:w="0" w:type="dxa"/>
            <w:left w:w="0" w:type="dxa"/>
            <w:bottom w:w="0" w:type="dxa"/>
            <w:right w:w="0" w:type="dxa"/>
          </w:tblCellMar>
        </w:tblPrEx>
        <w:trPr>
          <w:wBefore w:w="0" w:type="auto"/>
          <w:tblCellSpacing w:w="0" w:type="dxa"/>
        </w:trPr>
        <w:tc>
          <w:tcPr>
            <w:tcW w:w="0" w:type="auto"/>
            <w:noWrap w:val="0"/>
            <w:vAlign w:val="center"/>
          </w:tcPr>
          <w:p w14:paraId="3F62ABF0">
            <w:r>
              <w:rPr>
                <w:rStyle w:val="10"/>
                <w:rFonts w:hint="eastAsia"/>
              </w:rPr>
              <w:t>中毒急救措施：</w:t>
            </w:r>
            <w:r>
              <w:rPr>
                <w:rFonts w:hint="eastAsia"/>
              </w:rPr>
              <w:br w:type="textWrapping"/>
            </w:r>
            <w:r>
              <w:rPr>
                <w:rStyle w:val="11"/>
                <w:rFonts w:hint="eastAsia"/>
              </w:rPr>
              <w:t>若有误服，则应立即携带标签将病人送医院诊治，不慎吸入，应将病人移至空气流通处，请及时就医。</w:t>
            </w:r>
          </w:p>
        </w:tc>
      </w:tr>
      <w:tr w14:paraId="52957956">
        <w:tblPrEx>
          <w:tblCellMar>
            <w:top w:w="0" w:type="dxa"/>
            <w:left w:w="0" w:type="dxa"/>
            <w:bottom w:w="0" w:type="dxa"/>
            <w:right w:w="0" w:type="dxa"/>
          </w:tblCellMar>
        </w:tblPrEx>
        <w:trPr>
          <w:wBefore w:w="0" w:type="auto"/>
          <w:tblCellSpacing w:w="0" w:type="dxa"/>
        </w:trPr>
        <w:tc>
          <w:tcPr>
            <w:tcW w:w="0" w:type="auto"/>
            <w:noWrap w:val="0"/>
            <w:vAlign w:val="center"/>
          </w:tcPr>
          <w:p w14:paraId="0E69FD10">
            <w:r>
              <w:rPr>
                <w:rStyle w:val="10"/>
                <w:rFonts w:hint="eastAsia"/>
              </w:rPr>
              <w:t>储存和运输方法：</w:t>
            </w:r>
            <w:r>
              <w:rPr>
                <w:rFonts w:hint="eastAsia"/>
              </w:rPr>
              <w:br w:type="textWrapping"/>
            </w:r>
            <w:r>
              <w:rPr>
                <w:rStyle w:val="11"/>
                <w:rFonts w:hint="eastAsia"/>
              </w:rPr>
              <w:t>1. 存放在干燥阴凉处，置于儿童、无关人员触及不到之处，并加锁。勿与食品、饮料、饲料、粮食等同贮同运。2. 搬运时要轻取轻放，防止剧烈震动、日晒、雨淋和重压。3. 远离火源或热源。</w:t>
            </w:r>
          </w:p>
        </w:tc>
      </w:tr>
      <w:tr w14:paraId="546FB197">
        <w:tblPrEx>
          <w:tblCellMar>
            <w:top w:w="0" w:type="dxa"/>
            <w:left w:w="0" w:type="dxa"/>
            <w:bottom w:w="0" w:type="dxa"/>
            <w:right w:w="0" w:type="dxa"/>
          </w:tblCellMar>
        </w:tblPrEx>
        <w:trPr>
          <w:wBefore w:w="0" w:type="auto"/>
          <w:tblCellSpacing w:w="0" w:type="dxa"/>
        </w:trPr>
        <w:tc>
          <w:tcPr>
            <w:tcW w:w="0" w:type="auto"/>
            <w:noWrap w:val="0"/>
            <w:vAlign w:val="center"/>
          </w:tcPr>
          <w:p w14:paraId="41B721D2">
            <w:r>
              <w:rPr>
                <w:rStyle w:val="10"/>
                <w:rFonts w:hint="eastAsia"/>
              </w:rPr>
              <w:t>质量保证期：</w:t>
            </w:r>
            <w:r>
              <w:rPr>
                <w:rStyle w:val="11"/>
                <w:rFonts w:hint="eastAsia"/>
              </w:rPr>
              <w:t>3年</w:t>
            </w:r>
          </w:p>
        </w:tc>
      </w:tr>
      <w:tr w14:paraId="097C4E05">
        <w:tblPrEx>
          <w:tblCellMar>
            <w:top w:w="0" w:type="dxa"/>
            <w:left w:w="0" w:type="dxa"/>
            <w:bottom w:w="0" w:type="dxa"/>
            <w:right w:w="0" w:type="dxa"/>
          </w:tblCellMar>
        </w:tblPrEx>
        <w:trPr>
          <w:wBefore w:w="0" w:type="auto"/>
          <w:tblCellSpacing w:w="0" w:type="dxa"/>
        </w:trPr>
        <w:tc>
          <w:tcPr>
            <w:tcW w:w="0" w:type="auto"/>
            <w:noWrap w:val="0"/>
            <w:vAlign w:val="center"/>
          </w:tcPr>
          <w:p w14:paraId="15C91BE2">
            <w:r>
              <w:rPr>
                <w:rStyle w:val="10"/>
                <w:rFonts w:hint="eastAsia"/>
              </w:rPr>
              <w:t>备注：</w:t>
            </w:r>
          </w:p>
        </w:tc>
      </w:tr>
    </w:tbl>
    <w:p w14:paraId="5441C88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5164153">
        <w:tblPrEx>
          <w:tblCellMar>
            <w:top w:w="0" w:type="dxa"/>
            <w:left w:w="0" w:type="dxa"/>
            <w:bottom w:w="0" w:type="dxa"/>
            <w:right w:w="0" w:type="dxa"/>
          </w:tblCellMar>
        </w:tblPrEx>
        <w:trPr>
          <w:wBefore w:w="0" w:type="auto"/>
          <w:tblCellSpacing w:w="0" w:type="dxa"/>
        </w:trPr>
        <w:tc>
          <w:tcPr>
            <w:tcW w:w="0" w:type="auto"/>
            <w:noWrap w:val="0"/>
            <w:vAlign w:val="center"/>
          </w:tcPr>
          <w:p w14:paraId="0B96E756">
            <w:r>
              <w:rPr>
                <w:rStyle w:val="10"/>
                <w:rFonts w:hint="eastAsia"/>
              </w:rPr>
              <w:t>登记证号：</w:t>
            </w:r>
            <w:r>
              <w:rPr>
                <w:rFonts w:hint="eastAsia"/>
              </w:rPr>
              <w:t>PD20212005</w:t>
            </w:r>
          </w:p>
        </w:tc>
      </w:tr>
      <w:tr w14:paraId="75A774B6">
        <w:tblPrEx>
          <w:tblCellMar>
            <w:top w:w="0" w:type="dxa"/>
            <w:left w:w="0" w:type="dxa"/>
            <w:bottom w:w="0" w:type="dxa"/>
            <w:right w:w="0" w:type="dxa"/>
          </w:tblCellMar>
        </w:tblPrEx>
        <w:trPr>
          <w:wBefore w:w="0" w:type="auto"/>
          <w:tblCellSpacing w:w="0" w:type="dxa"/>
        </w:trPr>
        <w:tc>
          <w:tcPr>
            <w:tcW w:w="0" w:type="auto"/>
            <w:noWrap w:val="0"/>
            <w:vAlign w:val="center"/>
          </w:tcPr>
          <w:p w14:paraId="09B64DB2">
            <w:r>
              <w:rPr>
                <w:rStyle w:val="10"/>
                <w:rFonts w:hint="eastAsia"/>
              </w:rPr>
              <w:t>登记证持有人：</w:t>
            </w:r>
            <w:r>
              <w:rPr>
                <w:rFonts w:hint="eastAsia"/>
              </w:rPr>
              <w:t>山东省青岛凯源祥化工有限公司</w:t>
            </w:r>
          </w:p>
        </w:tc>
      </w:tr>
      <w:tr w14:paraId="26C8C113">
        <w:tblPrEx>
          <w:tblCellMar>
            <w:top w:w="0" w:type="dxa"/>
            <w:left w:w="0" w:type="dxa"/>
            <w:bottom w:w="0" w:type="dxa"/>
            <w:right w:w="0" w:type="dxa"/>
          </w:tblCellMar>
        </w:tblPrEx>
        <w:trPr>
          <w:wBefore w:w="0" w:type="auto"/>
          <w:tblCellSpacing w:w="0" w:type="dxa"/>
        </w:trPr>
        <w:tc>
          <w:tcPr>
            <w:tcW w:w="0" w:type="auto"/>
            <w:noWrap w:val="0"/>
            <w:vAlign w:val="center"/>
          </w:tcPr>
          <w:p w14:paraId="64C59716">
            <w:r>
              <w:rPr>
                <w:rStyle w:val="10"/>
                <w:rFonts w:hint="eastAsia"/>
              </w:rPr>
              <w:t>农药名称：</w:t>
            </w:r>
            <w:r>
              <w:rPr>
                <w:rFonts w:hint="eastAsia"/>
              </w:rPr>
              <w:t>唑醚·氰霜唑</w:t>
            </w:r>
          </w:p>
        </w:tc>
      </w:tr>
      <w:tr w14:paraId="22A2C7CC">
        <w:tblPrEx>
          <w:tblCellMar>
            <w:top w:w="0" w:type="dxa"/>
            <w:left w:w="0" w:type="dxa"/>
            <w:bottom w:w="0" w:type="dxa"/>
            <w:right w:w="0" w:type="dxa"/>
          </w:tblCellMar>
        </w:tblPrEx>
        <w:trPr>
          <w:wBefore w:w="0" w:type="auto"/>
          <w:tblCellSpacing w:w="0" w:type="dxa"/>
        </w:trPr>
        <w:tc>
          <w:tcPr>
            <w:tcW w:w="0" w:type="auto"/>
            <w:noWrap w:val="0"/>
            <w:vAlign w:val="center"/>
          </w:tcPr>
          <w:p w14:paraId="7DF18EA0">
            <w:r>
              <w:rPr>
                <w:rStyle w:val="10"/>
                <w:rFonts w:hint="eastAsia"/>
              </w:rPr>
              <w:t>剂型：</w:t>
            </w:r>
            <w:r>
              <w:rPr>
                <w:rFonts w:hint="eastAsia"/>
              </w:rPr>
              <w:t>悬浮剂</w:t>
            </w:r>
          </w:p>
        </w:tc>
      </w:tr>
      <w:tr w14:paraId="54834DE6">
        <w:tblPrEx>
          <w:tblCellMar>
            <w:top w:w="0" w:type="dxa"/>
            <w:left w:w="0" w:type="dxa"/>
            <w:bottom w:w="0" w:type="dxa"/>
            <w:right w:w="0" w:type="dxa"/>
          </w:tblCellMar>
        </w:tblPrEx>
        <w:trPr>
          <w:wBefore w:w="0" w:type="auto"/>
          <w:tblCellSpacing w:w="0" w:type="dxa"/>
        </w:trPr>
        <w:tc>
          <w:tcPr>
            <w:tcW w:w="0" w:type="auto"/>
            <w:noWrap w:val="0"/>
            <w:vAlign w:val="center"/>
          </w:tcPr>
          <w:p w14:paraId="5354BB7E">
            <w:r>
              <w:rPr>
                <w:rStyle w:val="10"/>
                <w:rFonts w:hint="eastAsia"/>
              </w:rPr>
              <w:t>毒性及其标识：</w:t>
            </w:r>
            <w:r>
              <w:rPr>
                <w:rFonts w:hint="eastAsia"/>
              </w:rPr>
              <w:t xml:space="preserve"> </w:t>
            </w:r>
            <w:r>
              <w:rPr>
                <w:lang/>
              </w:rPr>
              <w:drawing>
                <wp:inline distT="0" distB="0" distL="114300" distR="114300">
                  <wp:extent cx="476250" cy="323850"/>
                  <wp:effectExtent l="0" t="0" r="0" b="0"/>
                  <wp:docPr id="135" name="图片 13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F6ADC14">
        <w:tblPrEx>
          <w:tblCellMar>
            <w:top w:w="0" w:type="dxa"/>
            <w:left w:w="0" w:type="dxa"/>
            <w:bottom w:w="0" w:type="dxa"/>
            <w:right w:w="0" w:type="dxa"/>
          </w:tblCellMar>
        </w:tblPrEx>
        <w:trPr>
          <w:wBefore w:w="0" w:type="auto"/>
          <w:tblCellSpacing w:w="0" w:type="dxa"/>
        </w:trPr>
        <w:tc>
          <w:tcPr>
            <w:tcW w:w="0" w:type="auto"/>
            <w:noWrap w:val="0"/>
            <w:vAlign w:val="center"/>
          </w:tcPr>
          <w:p w14:paraId="0A474A18">
            <w:r>
              <w:rPr>
                <w:rStyle w:val="10"/>
                <w:rFonts w:hint="eastAsia"/>
              </w:rPr>
              <w:t>总有效成分含量：</w:t>
            </w:r>
            <w:r>
              <w:rPr>
                <w:rFonts w:hint="eastAsia"/>
              </w:rPr>
              <w:t>30%</w:t>
            </w:r>
          </w:p>
        </w:tc>
      </w:tr>
      <w:tr w14:paraId="2DC60B84">
        <w:tblPrEx>
          <w:tblCellMar>
            <w:top w:w="0" w:type="dxa"/>
            <w:left w:w="0" w:type="dxa"/>
            <w:bottom w:w="0" w:type="dxa"/>
            <w:right w:w="0" w:type="dxa"/>
          </w:tblCellMar>
        </w:tblPrEx>
        <w:trPr>
          <w:wBefore w:w="0" w:type="auto"/>
          <w:tblCellSpacing w:w="0" w:type="dxa"/>
        </w:trPr>
        <w:tc>
          <w:tcPr>
            <w:tcW w:w="0" w:type="auto"/>
            <w:noWrap w:val="0"/>
            <w:vAlign w:val="center"/>
          </w:tcPr>
          <w:p w14:paraId="42F13C51">
            <w:r>
              <w:rPr>
                <w:rFonts w:hint="eastAsia"/>
              </w:rPr>
              <w:t xml:space="preserve">有效成分及其含量： </w:t>
            </w:r>
          </w:p>
          <w:p w14:paraId="2C4615F0">
            <w:r>
              <w:rPr>
                <w:rFonts w:hint="eastAsia"/>
              </w:rPr>
              <w:t xml:space="preserve">    吡唑醚菌酯20%    氰霜唑10%    </w:t>
            </w:r>
          </w:p>
        </w:tc>
      </w:tr>
      <w:tr w14:paraId="19EAE99C">
        <w:tblPrEx>
          <w:tblCellMar>
            <w:top w:w="0" w:type="dxa"/>
            <w:left w:w="0" w:type="dxa"/>
            <w:bottom w:w="0" w:type="dxa"/>
            <w:right w:w="0" w:type="dxa"/>
          </w:tblCellMar>
        </w:tblPrEx>
        <w:trPr>
          <w:wBefore w:w="0" w:type="auto"/>
          <w:tblCellSpacing w:w="0" w:type="dxa"/>
        </w:trPr>
        <w:tc>
          <w:tcPr>
            <w:tcW w:w="0" w:type="auto"/>
            <w:noWrap w:val="0"/>
            <w:vAlign w:val="center"/>
          </w:tcPr>
          <w:p w14:paraId="12C520F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D6CFA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43C88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C8274D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D8018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CB46E05">
                  <w:r>
                    <w:rPr>
                      <w:rStyle w:val="11"/>
                      <w:rFonts w:hint="eastAsia"/>
                    </w:rPr>
                    <w:t>施用方式</w:t>
                  </w:r>
                </w:p>
              </w:tc>
            </w:tr>
            <w:tr w14:paraId="5F27A0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77961A2">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294CB4">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841AAC">
                  <w:r>
                    <w:rPr>
                      <w:rStyle w:val="11"/>
                      <w:rFonts w:hint="eastAsia"/>
                    </w:rPr>
                    <w:t>11-13毫升/亩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82E9FB">
                  <w:r>
                    <w:rPr>
                      <w:rStyle w:val="11"/>
                      <w:rFonts w:hint="eastAsia"/>
                    </w:rPr>
                    <w:t>喷雾</w:t>
                  </w:r>
                </w:p>
              </w:tc>
            </w:tr>
          </w:tbl>
          <w:p w14:paraId="3BA77745">
            <w:pPr>
              <w:rPr>
                <w:rFonts w:ascii="Times New Roman" w:hAnsi="Times New Roman" w:cs="Times New Roman"/>
                <w:sz w:val="20"/>
                <w:szCs w:val="20"/>
              </w:rPr>
            </w:pPr>
          </w:p>
        </w:tc>
      </w:tr>
      <w:tr w14:paraId="579C0095">
        <w:tblPrEx>
          <w:tblCellMar>
            <w:top w:w="0" w:type="dxa"/>
            <w:left w:w="0" w:type="dxa"/>
            <w:bottom w:w="0" w:type="dxa"/>
            <w:right w:w="0" w:type="dxa"/>
          </w:tblCellMar>
        </w:tblPrEx>
        <w:trPr>
          <w:wBefore w:w="0" w:type="auto"/>
          <w:tblCellSpacing w:w="0" w:type="dxa"/>
        </w:trPr>
        <w:tc>
          <w:tcPr>
            <w:tcW w:w="0" w:type="auto"/>
            <w:noWrap w:val="0"/>
            <w:vAlign w:val="center"/>
          </w:tcPr>
          <w:p w14:paraId="146B1F8A">
            <w:r>
              <w:rPr>
                <w:rStyle w:val="10"/>
                <w:rFonts w:hint="eastAsia"/>
              </w:rPr>
              <w:t>使用技术要求:</w:t>
            </w:r>
            <w:r>
              <w:rPr>
                <w:rFonts w:hint="eastAsia"/>
              </w:rPr>
              <w:br w:type="textWrapping"/>
            </w:r>
            <w:r>
              <w:rPr>
                <w:rStyle w:val="11"/>
                <w:rFonts w:hint="eastAsia"/>
              </w:rPr>
              <w:t>1. 马铃薯晚疫病发病前或发病初期进行常规喷雾施药，可连续施药3次，间隔7天左右1次，在马铃薯上使用的安全间隔期为14天，每季作物最多用药3次。 2. 大风天或预计2小时内降雨，请勿施药。</w:t>
            </w:r>
          </w:p>
        </w:tc>
      </w:tr>
      <w:tr w14:paraId="4508C757">
        <w:tblPrEx>
          <w:tblCellMar>
            <w:top w:w="0" w:type="dxa"/>
            <w:left w:w="0" w:type="dxa"/>
            <w:bottom w:w="0" w:type="dxa"/>
            <w:right w:w="0" w:type="dxa"/>
          </w:tblCellMar>
        </w:tblPrEx>
        <w:trPr>
          <w:wBefore w:w="0" w:type="auto"/>
          <w:tblCellSpacing w:w="0" w:type="dxa"/>
        </w:trPr>
        <w:tc>
          <w:tcPr>
            <w:tcW w:w="0" w:type="auto"/>
            <w:noWrap w:val="0"/>
            <w:vAlign w:val="center"/>
          </w:tcPr>
          <w:p w14:paraId="7A22F500">
            <w:r>
              <w:rPr>
                <w:rStyle w:val="10"/>
                <w:rFonts w:hint="eastAsia"/>
              </w:rPr>
              <w:t>产品性能:</w:t>
            </w:r>
            <w:r>
              <w:rPr>
                <w:rFonts w:hint="eastAsia"/>
              </w:rPr>
              <w:br w:type="textWrapping"/>
            </w:r>
            <w:r>
              <w:rPr>
                <w:rStyle w:val="11"/>
                <w:rFonts w:hint="eastAsia"/>
              </w:rPr>
              <w:t>本品是氰霜唑和吡唑醚菌酯复配的杀菌剂，通过阻断卵菌纲病菌体内线粒体细胞色素bc1复合体的电子传递来干扰能量的供应，抑制孢子萌发和菌丝生长来达到杀菌作用。可有效防治马铃薯晚疫病。</w:t>
            </w:r>
          </w:p>
        </w:tc>
      </w:tr>
      <w:tr w14:paraId="65F99C25">
        <w:tblPrEx>
          <w:tblCellMar>
            <w:top w:w="0" w:type="dxa"/>
            <w:left w:w="0" w:type="dxa"/>
            <w:bottom w:w="0" w:type="dxa"/>
            <w:right w:w="0" w:type="dxa"/>
          </w:tblCellMar>
        </w:tblPrEx>
        <w:trPr>
          <w:wBefore w:w="0" w:type="auto"/>
          <w:tblCellSpacing w:w="0" w:type="dxa"/>
        </w:trPr>
        <w:tc>
          <w:tcPr>
            <w:tcW w:w="0" w:type="auto"/>
            <w:noWrap w:val="0"/>
            <w:vAlign w:val="center"/>
          </w:tcPr>
          <w:p w14:paraId="4B14B8C0">
            <w:r>
              <w:rPr>
                <w:rStyle w:val="10"/>
                <w:rFonts w:hint="eastAsia"/>
              </w:rPr>
              <w:t>注意事项：</w:t>
            </w:r>
            <w:r>
              <w:rPr>
                <w:rFonts w:hint="eastAsia"/>
              </w:rPr>
              <w:br w:type="textWrapping"/>
            </w:r>
            <w:r>
              <w:rPr>
                <w:rStyle w:val="11"/>
                <w:rFonts w:hint="eastAsia"/>
              </w:rPr>
              <w:t>1. 本品不可与呈碱性的农药等物质混合使用。2. 建议与其他作用机制不同的杀菌剂轮换使用，以延缓抗性产生。3. 不得污染各类水域，远离水产养殖区、河塘等水体施药，禁止在河塘等水体中清洗施药器具。4. 本品对鸟类、家蚕、鱼类等水生生物有毒，鸟类保护区附近禁用，蚕室及桑园附近禁用。5. 施用人员在配药和施药时，务必穿着长衣长裤和鞋袜，并戴帽子、口罩、手套和防护眼镜，避免皮肤接触及口鼻吸入。作业结束后应及时淋浴、更衣。6. 孕妇及哺乳期妇女禁止接触。7. 用过的容器应妥善处理，不可做他用，也不可随意丢弃。</w:t>
            </w:r>
          </w:p>
        </w:tc>
      </w:tr>
      <w:tr w14:paraId="07A42FE6">
        <w:tblPrEx>
          <w:tblCellMar>
            <w:top w:w="0" w:type="dxa"/>
            <w:left w:w="0" w:type="dxa"/>
            <w:bottom w:w="0" w:type="dxa"/>
            <w:right w:w="0" w:type="dxa"/>
          </w:tblCellMar>
        </w:tblPrEx>
        <w:trPr>
          <w:wBefore w:w="0" w:type="auto"/>
          <w:tblCellSpacing w:w="0" w:type="dxa"/>
        </w:trPr>
        <w:tc>
          <w:tcPr>
            <w:tcW w:w="0" w:type="auto"/>
            <w:noWrap w:val="0"/>
            <w:vAlign w:val="center"/>
          </w:tcPr>
          <w:p w14:paraId="6C34F45C">
            <w:r>
              <w:rPr>
                <w:rStyle w:val="10"/>
                <w:rFonts w:hint="eastAsia"/>
              </w:rPr>
              <w:t>中毒急救措施：</w:t>
            </w:r>
            <w:r>
              <w:rPr>
                <w:rFonts w:hint="eastAsia"/>
              </w:rPr>
              <w:br w:type="textWrapping"/>
            </w:r>
            <w:r>
              <w:rPr>
                <w:rStyle w:val="11"/>
                <w:rFonts w:hint="eastAsia"/>
              </w:rPr>
              <w:t>使用中或使用后如果感到不适，应立即停止工作，采取急救措施，并携带标签送医就诊。皮肤接触：应立即脱掉被污染的衣物，用大量清水彻底清洗受污染的皮肤，如皮肤刺激感持续，请医生诊治。眼睛溅药：立即将眼睑翻开，用清水冲洗至少15分钟，再请医生诊治。发生吸入：立即将吸入者转移到空气新鲜处，如果吸入者停止呼吸，需进行人工呼吸。注意保暖和休息，请医生诊治。不慎误服：携带标签将病人送医就诊。无专用解毒剂，对症治疗。</w:t>
            </w:r>
          </w:p>
        </w:tc>
      </w:tr>
      <w:tr w14:paraId="7EBBAE69">
        <w:tblPrEx>
          <w:tblCellMar>
            <w:top w:w="0" w:type="dxa"/>
            <w:left w:w="0" w:type="dxa"/>
            <w:bottom w:w="0" w:type="dxa"/>
            <w:right w:w="0" w:type="dxa"/>
          </w:tblCellMar>
        </w:tblPrEx>
        <w:trPr>
          <w:wBefore w:w="0" w:type="auto"/>
          <w:tblCellSpacing w:w="0" w:type="dxa"/>
        </w:trPr>
        <w:tc>
          <w:tcPr>
            <w:tcW w:w="0" w:type="auto"/>
            <w:noWrap w:val="0"/>
            <w:vAlign w:val="center"/>
          </w:tcPr>
          <w:p w14:paraId="1B8CDB28">
            <w:r>
              <w:rPr>
                <w:rStyle w:val="10"/>
                <w:rFonts w:hint="eastAsia"/>
              </w:rPr>
              <w:t>储存和运输方法：</w:t>
            </w:r>
            <w:r>
              <w:rPr>
                <w:rFonts w:hint="eastAsia"/>
              </w:rPr>
              <w:br w:type="textWrapping"/>
            </w:r>
            <w:r>
              <w:rPr>
                <w:rStyle w:val="11"/>
                <w:rFonts w:hint="eastAsia"/>
              </w:rPr>
              <w:t>本品应贮存在干燥、阴凉、通风、防雨处，远离火源或热源。置于儿童及其他无关人员触及不到之处，并加锁保存。勿与食品、饮料、粮食、饲料等其他商品同贮同运。</w:t>
            </w:r>
          </w:p>
        </w:tc>
      </w:tr>
      <w:tr w14:paraId="5CC86C21">
        <w:tblPrEx>
          <w:tblCellMar>
            <w:top w:w="0" w:type="dxa"/>
            <w:left w:w="0" w:type="dxa"/>
            <w:bottom w:w="0" w:type="dxa"/>
            <w:right w:w="0" w:type="dxa"/>
          </w:tblCellMar>
        </w:tblPrEx>
        <w:trPr>
          <w:wBefore w:w="0" w:type="auto"/>
          <w:tblCellSpacing w:w="0" w:type="dxa"/>
        </w:trPr>
        <w:tc>
          <w:tcPr>
            <w:tcW w:w="0" w:type="auto"/>
            <w:noWrap w:val="0"/>
            <w:vAlign w:val="center"/>
          </w:tcPr>
          <w:p w14:paraId="7C06218B">
            <w:r>
              <w:rPr>
                <w:rStyle w:val="10"/>
                <w:rFonts w:hint="eastAsia"/>
              </w:rPr>
              <w:t>质量保证期：</w:t>
            </w:r>
            <w:r>
              <w:rPr>
                <w:rStyle w:val="11"/>
                <w:rFonts w:hint="eastAsia"/>
              </w:rPr>
              <w:t>2年</w:t>
            </w:r>
          </w:p>
        </w:tc>
      </w:tr>
      <w:tr w14:paraId="2013B966">
        <w:tblPrEx>
          <w:tblCellMar>
            <w:top w:w="0" w:type="dxa"/>
            <w:left w:w="0" w:type="dxa"/>
            <w:bottom w:w="0" w:type="dxa"/>
            <w:right w:w="0" w:type="dxa"/>
          </w:tblCellMar>
        </w:tblPrEx>
        <w:trPr>
          <w:wBefore w:w="0" w:type="auto"/>
          <w:tblCellSpacing w:w="0" w:type="dxa"/>
        </w:trPr>
        <w:tc>
          <w:tcPr>
            <w:tcW w:w="0" w:type="auto"/>
            <w:noWrap w:val="0"/>
            <w:vAlign w:val="center"/>
          </w:tcPr>
          <w:p w14:paraId="2900A314">
            <w:r>
              <w:rPr>
                <w:rStyle w:val="10"/>
                <w:rFonts w:hint="eastAsia"/>
              </w:rPr>
              <w:t>备注：</w:t>
            </w:r>
          </w:p>
        </w:tc>
      </w:tr>
    </w:tbl>
    <w:p w14:paraId="2A902BE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54F9661">
        <w:tblPrEx>
          <w:tblCellMar>
            <w:top w:w="0" w:type="dxa"/>
            <w:left w:w="0" w:type="dxa"/>
            <w:bottom w:w="0" w:type="dxa"/>
            <w:right w:w="0" w:type="dxa"/>
          </w:tblCellMar>
        </w:tblPrEx>
        <w:trPr>
          <w:wBefore w:w="0" w:type="auto"/>
          <w:tblCellSpacing w:w="0" w:type="dxa"/>
        </w:trPr>
        <w:tc>
          <w:tcPr>
            <w:tcW w:w="0" w:type="auto"/>
            <w:noWrap w:val="0"/>
            <w:vAlign w:val="center"/>
          </w:tcPr>
          <w:p w14:paraId="10828E48">
            <w:r>
              <w:rPr>
                <w:rStyle w:val="10"/>
                <w:rFonts w:hint="eastAsia"/>
              </w:rPr>
              <w:t>登记证号：</w:t>
            </w:r>
            <w:r>
              <w:rPr>
                <w:rFonts w:hint="eastAsia"/>
              </w:rPr>
              <w:t>PD20212162</w:t>
            </w:r>
          </w:p>
        </w:tc>
      </w:tr>
      <w:tr w14:paraId="2C2A940D">
        <w:tblPrEx>
          <w:tblCellMar>
            <w:top w:w="0" w:type="dxa"/>
            <w:left w:w="0" w:type="dxa"/>
            <w:bottom w:w="0" w:type="dxa"/>
            <w:right w:w="0" w:type="dxa"/>
          </w:tblCellMar>
        </w:tblPrEx>
        <w:trPr>
          <w:wBefore w:w="0" w:type="auto"/>
          <w:tblCellSpacing w:w="0" w:type="dxa"/>
        </w:trPr>
        <w:tc>
          <w:tcPr>
            <w:tcW w:w="0" w:type="auto"/>
            <w:noWrap w:val="0"/>
            <w:vAlign w:val="center"/>
          </w:tcPr>
          <w:p w14:paraId="6113D2F2">
            <w:r>
              <w:rPr>
                <w:rStyle w:val="10"/>
                <w:rFonts w:hint="eastAsia"/>
              </w:rPr>
              <w:t>登记证持有人：</w:t>
            </w:r>
            <w:r>
              <w:rPr>
                <w:rFonts w:hint="eastAsia"/>
              </w:rPr>
              <w:t>哈尔滨理工化工科技有限公司</w:t>
            </w:r>
          </w:p>
        </w:tc>
      </w:tr>
      <w:tr w14:paraId="160C3611">
        <w:tblPrEx>
          <w:tblCellMar>
            <w:top w:w="0" w:type="dxa"/>
            <w:left w:w="0" w:type="dxa"/>
            <w:bottom w:w="0" w:type="dxa"/>
            <w:right w:w="0" w:type="dxa"/>
          </w:tblCellMar>
        </w:tblPrEx>
        <w:trPr>
          <w:wBefore w:w="0" w:type="auto"/>
          <w:tblCellSpacing w:w="0" w:type="dxa"/>
        </w:trPr>
        <w:tc>
          <w:tcPr>
            <w:tcW w:w="0" w:type="auto"/>
            <w:noWrap w:val="0"/>
            <w:vAlign w:val="center"/>
          </w:tcPr>
          <w:p w14:paraId="60AAE76D">
            <w:r>
              <w:rPr>
                <w:rStyle w:val="10"/>
                <w:rFonts w:hint="eastAsia"/>
              </w:rPr>
              <w:t>农药名称：</w:t>
            </w:r>
            <w:r>
              <w:rPr>
                <w:rFonts w:hint="eastAsia"/>
              </w:rPr>
              <w:t>乙·莠·滴辛酯</w:t>
            </w:r>
          </w:p>
        </w:tc>
      </w:tr>
      <w:tr w14:paraId="18ECD790">
        <w:tblPrEx>
          <w:tblCellMar>
            <w:top w:w="0" w:type="dxa"/>
            <w:left w:w="0" w:type="dxa"/>
            <w:bottom w:w="0" w:type="dxa"/>
            <w:right w:w="0" w:type="dxa"/>
          </w:tblCellMar>
        </w:tblPrEx>
        <w:trPr>
          <w:wBefore w:w="0" w:type="auto"/>
          <w:tblCellSpacing w:w="0" w:type="dxa"/>
        </w:trPr>
        <w:tc>
          <w:tcPr>
            <w:tcW w:w="0" w:type="auto"/>
            <w:noWrap w:val="0"/>
            <w:vAlign w:val="center"/>
          </w:tcPr>
          <w:p w14:paraId="336BB6B0">
            <w:r>
              <w:rPr>
                <w:rStyle w:val="10"/>
                <w:rFonts w:hint="eastAsia"/>
              </w:rPr>
              <w:t>剂型：</w:t>
            </w:r>
            <w:r>
              <w:rPr>
                <w:rFonts w:hint="eastAsia"/>
              </w:rPr>
              <w:t>悬乳剂</w:t>
            </w:r>
          </w:p>
        </w:tc>
      </w:tr>
      <w:tr w14:paraId="17E8201D">
        <w:tblPrEx>
          <w:tblCellMar>
            <w:top w:w="0" w:type="dxa"/>
            <w:left w:w="0" w:type="dxa"/>
            <w:bottom w:w="0" w:type="dxa"/>
            <w:right w:w="0" w:type="dxa"/>
          </w:tblCellMar>
        </w:tblPrEx>
        <w:trPr>
          <w:wBefore w:w="0" w:type="auto"/>
          <w:tblCellSpacing w:w="0" w:type="dxa"/>
        </w:trPr>
        <w:tc>
          <w:tcPr>
            <w:tcW w:w="0" w:type="auto"/>
            <w:noWrap w:val="0"/>
            <w:vAlign w:val="center"/>
          </w:tcPr>
          <w:p w14:paraId="19F7A1A7">
            <w:r>
              <w:rPr>
                <w:rStyle w:val="10"/>
                <w:rFonts w:hint="eastAsia"/>
              </w:rPr>
              <w:t>毒性及其标识：</w:t>
            </w:r>
            <w:r>
              <w:rPr>
                <w:rFonts w:hint="eastAsia"/>
              </w:rPr>
              <w:t xml:space="preserve"> </w:t>
            </w:r>
            <w:r>
              <w:rPr>
                <w:lang/>
              </w:rPr>
              <w:drawing>
                <wp:inline distT="0" distB="0" distL="114300" distR="114300">
                  <wp:extent cx="476250" cy="323850"/>
                  <wp:effectExtent l="0" t="0" r="0" b="0"/>
                  <wp:docPr id="136" name="图片 13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6DB883F">
        <w:tblPrEx>
          <w:tblCellMar>
            <w:top w:w="0" w:type="dxa"/>
            <w:left w:w="0" w:type="dxa"/>
            <w:bottom w:w="0" w:type="dxa"/>
            <w:right w:w="0" w:type="dxa"/>
          </w:tblCellMar>
        </w:tblPrEx>
        <w:trPr>
          <w:wBefore w:w="0" w:type="auto"/>
          <w:tblCellSpacing w:w="0" w:type="dxa"/>
        </w:trPr>
        <w:tc>
          <w:tcPr>
            <w:tcW w:w="0" w:type="auto"/>
            <w:noWrap w:val="0"/>
            <w:vAlign w:val="center"/>
          </w:tcPr>
          <w:p w14:paraId="39AE3852">
            <w:r>
              <w:rPr>
                <w:rStyle w:val="10"/>
                <w:rFonts w:hint="eastAsia"/>
              </w:rPr>
              <w:t>总有效成分含量：</w:t>
            </w:r>
            <w:r>
              <w:rPr>
                <w:rFonts w:hint="eastAsia"/>
              </w:rPr>
              <w:t>76%</w:t>
            </w:r>
          </w:p>
        </w:tc>
      </w:tr>
      <w:tr w14:paraId="5A390A45">
        <w:tblPrEx>
          <w:tblCellMar>
            <w:top w:w="0" w:type="dxa"/>
            <w:left w:w="0" w:type="dxa"/>
            <w:bottom w:w="0" w:type="dxa"/>
            <w:right w:w="0" w:type="dxa"/>
          </w:tblCellMar>
        </w:tblPrEx>
        <w:trPr>
          <w:wBefore w:w="0" w:type="auto"/>
          <w:tblCellSpacing w:w="0" w:type="dxa"/>
        </w:trPr>
        <w:tc>
          <w:tcPr>
            <w:tcW w:w="0" w:type="auto"/>
            <w:noWrap w:val="0"/>
            <w:vAlign w:val="center"/>
          </w:tcPr>
          <w:p w14:paraId="78E75EA0">
            <w:r>
              <w:rPr>
                <w:rFonts w:hint="eastAsia"/>
              </w:rPr>
              <w:t xml:space="preserve">有效成分及其含量： </w:t>
            </w:r>
          </w:p>
          <w:p w14:paraId="17F9CC2D">
            <w:r>
              <w:rPr>
                <w:rFonts w:hint="eastAsia"/>
              </w:rPr>
              <w:t xml:space="preserve">    乙草胺32.2%    2,4-滴异辛酯11.6%    莠去津32.2%    </w:t>
            </w:r>
          </w:p>
        </w:tc>
      </w:tr>
      <w:tr w14:paraId="58313ADA">
        <w:tblPrEx>
          <w:tblCellMar>
            <w:top w:w="0" w:type="dxa"/>
            <w:left w:w="0" w:type="dxa"/>
            <w:bottom w:w="0" w:type="dxa"/>
            <w:right w:w="0" w:type="dxa"/>
          </w:tblCellMar>
        </w:tblPrEx>
        <w:trPr>
          <w:wBefore w:w="0" w:type="auto"/>
          <w:tblCellSpacing w:w="0" w:type="dxa"/>
        </w:trPr>
        <w:tc>
          <w:tcPr>
            <w:tcW w:w="0" w:type="auto"/>
            <w:noWrap w:val="0"/>
            <w:vAlign w:val="center"/>
          </w:tcPr>
          <w:p w14:paraId="7F6440D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EAF54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CD8983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CF0120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AB23D4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3E44FFC">
                  <w:r>
                    <w:rPr>
                      <w:rStyle w:val="11"/>
                      <w:rFonts w:hint="eastAsia"/>
                    </w:rPr>
                    <w:t>施用方式</w:t>
                  </w:r>
                </w:p>
              </w:tc>
            </w:tr>
            <w:tr w14:paraId="515F35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E2E394B">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22D13F">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646A12">
                  <w:r>
                    <w:rPr>
                      <w:rStyle w:val="11"/>
                      <w:rFonts w:hint="eastAsia"/>
                    </w:rPr>
                    <w:t>184-230毫升/亩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34C426">
                  <w:r>
                    <w:rPr>
                      <w:rStyle w:val="11"/>
                      <w:rFonts w:hint="eastAsia"/>
                    </w:rPr>
                    <w:t>土壤喷雾</w:t>
                  </w:r>
                </w:p>
              </w:tc>
            </w:tr>
          </w:tbl>
          <w:p w14:paraId="1315B05B">
            <w:pPr>
              <w:rPr>
                <w:rFonts w:ascii="Times New Roman" w:hAnsi="Times New Roman" w:cs="Times New Roman"/>
                <w:sz w:val="20"/>
                <w:szCs w:val="20"/>
              </w:rPr>
            </w:pPr>
          </w:p>
        </w:tc>
      </w:tr>
      <w:tr w14:paraId="62073ABC">
        <w:tblPrEx>
          <w:tblCellMar>
            <w:top w:w="0" w:type="dxa"/>
            <w:left w:w="0" w:type="dxa"/>
            <w:bottom w:w="0" w:type="dxa"/>
            <w:right w:w="0" w:type="dxa"/>
          </w:tblCellMar>
        </w:tblPrEx>
        <w:trPr>
          <w:wBefore w:w="0" w:type="auto"/>
          <w:tblCellSpacing w:w="0" w:type="dxa"/>
        </w:trPr>
        <w:tc>
          <w:tcPr>
            <w:tcW w:w="0" w:type="auto"/>
            <w:noWrap w:val="0"/>
            <w:vAlign w:val="center"/>
          </w:tcPr>
          <w:p w14:paraId="32E6B84E">
            <w:r>
              <w:rPr>
                <w:rStyle w:val="10"/>
                <w:rFonts w:hint="eastAsia"/>
              </w:rPr>
              <w:t>使用技术要求:</w:t>
            </w:r>
            <w:r>
              <w:rPr>
                <w:rFonts w:hint="eastAsia"/>
              </w:rPr>
              <w:br w:type="textWrapping"/>
            </w:r>
            <w:r>
              <w:rPr>
                <w:rStyle w:val="11"/>
                <w:rFonts w:hint="eastAsia"/>
              </w:rPr>
              <w:t>1.于春玉米播后苗前，喷雾施药进行土壤封闭处理。2.施药量应根据土质、有机质含量、杂草种类密度而定。酸性、有机质含量高杂草密度大的地块在登记用药量范围内使用其用药量的高限，盐碱地及有机质含量低的地块药量酌减。施药时药量要称准，不重喷不漏喷。3.大风天或预计1小时内降雨，请勿施药。4.每季最多使用1次。</w:t>
            </w:r>
          </w:p>
        </w:tc>
      </w:tr>
      <w:tr w14:paraId="1AC8E39A">
        <w:tblPrEx>
          <w:tblCellMar>
            <w:top w:w="0" w:type="dxa"/>
            <w:left w:w="0" w:type="dxa"/>
            <w:bottom w:w="0" w:type="dxa"/>
            <w:right w:w="0" w:type="dxa"/>
          </w:tblCellMar>
        </w:tblPrEx>
        <w:trPr>
          <w:wBefore w:w="0" w:type="auto"/>
          <w:tblCellSpacing w:w="0" w:type="dxa"/>
        </w:trPr>
        <w:tc>
          <w:tcPr>
            <w:tcW w:w="0" w:type="auto"/>
            <w:noWrap w:val="0"/>
            <w:vAlign w:val="center"/>
          </w:tcPr>
          <w:p w14:paraId="48D0808B">
            <w:r>
              <w:rPr>
                <w:rStyle w:val="10"/>
                <w:rFonts w:hint="eastAsia"/>
              </w:rPr>
              <w:t>产品性能:</w:t>
            </w:r>
            <w:r>
              <w:rPr>
                <w:rFonts w:hint="eastAsia"/>
              </w:rPr>
              <w:br w:type="textWrapping"/>
            </w:r>
            <w:r>
              <w:rPr>
                <w:rStyle w:val="11"/>
                <w:rFonts w:hint="eastAsia"/>
              </w:rPr>
              <w:t>本品是由乙草胺、莠去津和2,4-滴异辛酯复配而成。乙草胺为选择性芽前除草剂，莠去津为选择性内吸除草剂，2,4-滴异辛酯为苯氧羧酸类激素型选择性除草剂。在玉米播后苗前封闭使用，可防除稗草、狗尾草、马唐、牛筋草、反枝苋、刺儿菜、鸭跖草、苣荬菜、苍耳、苘麻等一年生杂草。</w:t>
            </w:r>
          </w:p>
        </w:tc>
      </w:tr>
      <w:tr w14:paraId="3B04E8BE">
        <w:tblPrEx>
          <w:tblCellMar>
            <w:top w:w="0" w:type="dxa"/>
            <w:left w:w="0" w:type="dxa"/>
            <w:bottom w:w="0" w:type="dxa"/>
            <w:right w:w="0" w:type="dxa"/>
          </w:tblCellMar>
        </w:tblPrEx>
        <w:trPr>
          <w:wBefore w:w="0" w:type="auto"/>
          <w:tblCellSpacing w:w="0" w:type="dxa"/>
        </w:trPr>
        <w:tc>
          <w:tcPr>
            <w:tcW w:w="0" w:type="auto"/>
            <w:noWrap w:val="0"/>
            <w:vAlign w:val="center"/>
          </w:tcPr>
          <w:p w14:paraId="4D837199">
            <w:r>
              <w:rPr>
                <w:rStyle w:val="10"/>
                <w:rFonts w:hint="eastAsia"/>
              </w:rPr>
              <w:t>注意事项：</w:t>
            </w:r>
            <w:r>
              <w:rPr>
                <w:rFonts w:hint="eastAsia"/>
              </w:rPr>
              <w:br w:type="textWrapping"/>
            </w:r>
            <w:r>
              <w:rPr>
                <w:rStyle w:val="11"/>
                <w:rFonts w:hint="eastAsia"/>
              </w:rPr>
              <w:t>1.使用本品应采取相应的安全防护措施，穿防护服，戴防护手套、口罩、护目镜等，避免眼睛、皮肤接触及口鼻吸入。使用中不可吸烟、饮水及吃东西，使用后及时用大量清水和肥皂清洗手、脸等暴露部位皮肤并更换衣物。2.蔬菜、大豆、小麦、水稻、谷子、高粱等作物田及桃树、杨树等浅根系树木对本品敏感，施药时应避免药液飘移到邻近作物上，以防产生药害；后茬为小麦、水稻时应降低剂量；与其它作物套种或间作的玉米田，不能使用本品。3.使用过的包装物应妥善处理，不可再用，也不可随意丢弃。4.本品对鱼、藻类等水生生物有毒，施药期间远离水产养殖区、河塘等水体施药；鸟类保护区附近禁用；蚕室和桑园附近禁用。赤眼蜂等天敌放飞区域禁用。</w:t>
            </w:r>
            <w:r>
              <w:rPr>
                <w:rStyle w:val="11"/>
                <w:rFonts w:hint="eastAsia"/>
              </w:rPr>
              <w:t> </w:t>
            </w:r>
            <w:r>
              <w:rPr>
                <w:rStyle w:val="11"/>
                <w:rFonts w:hint="eastAsia"/>
              </w:rPr>
              <w:t>禁止在河塘等水体中清洗施药器具，避免药液及其废液污染水源等；地下水、饮用水源地禁用。5.本品不可与碱性物质混用。6.禁止儿童、孕妇和哺乳期妇女接触。过敏者禁用，使用中有任何不良反应请及时就医。</w:t>
            </w:r>
          </w:p>
        </w:tc>
      </w:tr>
      <w:tr w14:paraId="775A55CB">
        <w:tblPrEx>
          <w:tblCellMar>
            <w:top w:w="0" w:type="dxa"/>
            <w:left w:w="0" w:type="dxa"/>
            <w:bottom w:w="0" w:type="dxa"/>
            <w:right w:w="0" w:type="dxa"/>
          </w:tblCellMar>
        </w:tblPrEx>
        <w:trPr>
          <w:wBefore w:w="0" w:type="auto"/>
          <w:tblCellSpacing w:w="0" w:type="dxa"/>
        </w:trPr>
        <w:tc>
          <w:tcPr>
            <w:tcW w:w="0" w:type="auto"/>
            <w:noWrap w:val="0"/>
            <w:vAlign w:val="center"/>
          </w:tcPr>
          <w:p w14:paraId="062DEC16">
            <w:r>
              <w:rPr>
                <w:rStyle w:val="10"/>
                <w:rFonts w:hint="eastAsia"/>
              </w:rPr>
              <w:t>中毒急救措施：</w:t>
            </w:r>
            <w:r>
              <w:rPr>
                <w:rFonts w:hint="eastAsia"/>
              </w:rPr>
              <w:br w:type="textWrapping"/>
            </w:r>
            <w:r>
              <w:rPr>
                <w:rStyle w:val="11"/>
                <w:rFonts w:hint="eastAsia"/>
              </w:rPr>
              <w:t>中毒症状：对眼睛、皮肤和粘膜有刺激作用。 急救措施：使用中或使用后如果感觉不适，应立即停止工作，采取急救措施，并携带标签送医院就诊。 皮肤接触：立即脱掉被污染的衣物，用大量清水彻底清洗受污染的皮肤，如皮肤刺激感持续，请医生诊治。 眼睛溅入：立即用流动清水冲洗不少于15分钟。 吸入：立即离开施药现场，转移到空气清新处。 误食：立即停止服用，用清水充分漱口后，并携带农药标签到医院就诊。无特效解毒剂，对症治疗。</w:t>
            </w:r>
          </w:p>
        </w:tc>
      </w:tr>
      <w:tr w14:paraId="38062A1F">
        <w:tblPrEx>
          <w:tblCellMar>
            <w:top w:w="0" w:type="dxa"/>
            <w:left w:w="0" w:type="dxa"/>
            <w:bottom w:w="0" w:type="dxa"/>
            <w:right w:w="0" w:type="dxa"/>
          </w:tblCellMar>
        </w:tblPrEx>
        <w:trPr>
          <w:wBefore w:w="0" w:type="auto"/>
          <w:tblCellSpacing w:w="0" w:type="dxa"/>
        </w:trPr>
        <w:tc>
          <w:tcPr>
            <w:tcW w:w="0" w:type="auto"/>
            <w:noWrap w:val="0"/>
            <w:vAlign w:val="center"/>
          </w:tcPr>
          <w:p w14:paraId="06AEB5C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本品应贮存在干燥、阴凉、通风、防雨处，远离火源或热源。置于儿童、无关人员及动物接触不到的地方，并加锁保存。勿与食品、种子、饲料等同贮同运。</w:t>
            </w:r>
          </w:p>
        </w:tc>
      </w:tr>
      <w:tr w14:paraId="19DEF757">
        <w:tblPrEx>
          <w:tblCellMar>
            <w:top w:w="0" w:type="dxa"/>
            <w:left w:w="0" w:type="dxa"/>
            <w:bottom w:w="0" w:type="dxa"/>
            <w:right w:w="0" w:type="dxa"/>
          </w:tblCellMar>
        </w:tblPrEx>
        <w:trPr>
          <w:wBefore w:w="0" w:type="auto"/>
          <w:tblCellSpacing w:w="0" w:type="dxa"/>
        </w:trPr>
        <w:tc>
          <w:tcPr>
            <w:tcW w:w="0" w:type="auto"/>
            <w:noWrap w:val="0"/>
            <w:vAlign w:val="center"/>
          </w:tcPr>
          <w:p w14:paraId="7730E4D4">
            <w:r>
              <w:rPr>
                <w:rStyle w:val="10"/>
                <w:rFonts w:hint="eastAsia"/>
              </w:rPr>
              <w:t>质量保证期：</w:t>
            </w:r>
            <w:r>
              <w:rPr>
                <w:rStyle w:val="11"/>
                <w:rFonts w:hint="eastAsia"/>
              </w:rPr>
              <w:t>2年</w:t>
            </w:r>
          </w:p>
        </w:tc>
      </w:tr>
      <w:tr w14:paraId="25AE4CDC">
        <w:tblPrEx>
          <w:tblCellMar>
            <w:top w:w="0" w:type="dxa"/>
            <w:left w:w="0" w:type="dxa"/>
            <w:bottom w:w="0" w:type="dxa"/>
            <w:right w:w="0" w:type="dxa"/>
          </w:tblCellMar>
        </w:tblPrEx>
        <w:trPr>
          <w:wBefore w:w="0" w:type="auto"/>
          <w:tblCellSpacing w:w="0" w:type="dxa"/>
        </w:trPr>
        <w:tc>
          <w:tcPr>
            <w:tcW w:w="0" w:type="auto"/>
            <w:noWrap w:val="0"/>
            <w:vAlign w:val="center"/>
          </w:tcPr>
          <w:p w14:paraId="672F6914">
            <w:r>
              <w:rPr>
                <w:rStyle w:val="10"/>
                <w:rFonts w:hint="eastAsia"/>
              </w:rPr>
              <w:t>备注：</w:t>
            </w:r>
          </w:p>
        </w:tc>
      </w:tr>
    </w:tbl>
    <w:p w14:paraId="06435E1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4566DEE">
        <w:tblPrEx>
          <w:tblCellMar>
            <w:top w:w="0" w:type="dxa"/>
            <w:left w:w="0" w:type="dxa"/>
            <w:bottom w:w="0" w:type="dxa"/>
            <w:right w:w="0" w:type="dxa"/>
          </w:tblCellMar>
        </w:tblPrEx>
        <w:trPr>
          <w:wBefore w:w="0" w:type="auto"/>
          <w:tblCellSpacing w:w="0" w:type="dxa"/>
        </w:trPr>
        <w:tc>
          <w:tcPr>
            <w:tcW w:w="0" w:type="auto"/>
            <w:noWrap w:val="0"/>
            <w:vAlign w:val="center"/>
          </w:tcPr>
          <w:p w14:paraId="149599A0">
            <w:r>
              <w:rPr>
                <w:rStyle w:val="10"/>
                <w:rFonts w:hint="eastAsia"/>
              </w:rPr>
              <w:t>登记证号：</w:t>
            </w:r>
            <w:r>
              <w:rPr>
                <w:rFonts w:hint="eastAsia"/>
              </w:rPr>
              <w:t>PD20212249</w:t>
            </w:r>
          </w:p>
        </w:tc>
      </w:tr>
      <w:tr w14:paraId="0AB25A55">
        <w:tblPrEx>
          <w:tblCellMar>
            <w:top w:w="0" w:type="dxa"/>
            <w:left w:w="0" w:type="dxa"/>
            <w:bottom w:w="0" w:type="dxa"/>
            <w:right w:w="0" w:type="dxa"/>
          </w:tblCellMar>
        </w:tblPrEx>
        <w:trPr>
          <w:wBefore w:w="0" w:type="auto"/>
          <w:tblCellSpacing w:w="0" w:type="dxa"/>
        </w:trPr>
        <w:tc>
          <w:tcPr>
            <w:tcW w:w="0" w:type="auto"/>
            <w:noWrap w:val="0"/>
            <w:vAlign w:val="center"/>
          </w:tcPr>
          <w:p w14:paraId="24675E45">
            <w:r>
              <w:rPr>
                <w:rStyle w:val="10"/>
                <w:rFonts w:hint="eastAsia"/>
              </w:rPr>
              <w:t>登记证持有人：</w:t>
            </w:r>
            <w:r>
              <w:rPr>
                <w:rFonts w:hint="eastAsia"/>
              </w:rPr>
              <w:t>广西农喜作物科学有限公司</w:t>
            </w:r>
          </w:p>
        </w:tc>
      </w:tr>
      <w:tr w14:paraId="45EDEA39">
        <w:tblPrEx>
          <w:tblCellMar>
            <w:top w:w="0" w:type="dxa"/>
            <w:left w:w="0" w:type="dxa"/>
            <w:bottom w:w="0" w:type="dxa"/>
            <w:right w:w="0" w:type="dxa"/>
          </w:tblCellMar>
        </w:tblPrEx>
        <w:trPr>
          <w:wBefore w:w="0" w:type="auto"/>
          <w:tblCellSpacing w:w="0" w:type="dxa"/>
        </w:trPr>
        <w:tc>
          <w:tcPr>
            <w:tcW w:w="0" w:type="auto"/>
            <w:noWrap w:val="0"/>
            <w:vAlign w:val="center"/>
          </w:tcPr>
          <w:p w14:paraId="64448663">
            <w:r>
              <w:rPr>
                <w:rStyle w:val="10"/>
                <w:rFonts w:hint="eastAsia"/>
              </w:rPr>
              <w:t>农药名称：</w:t>
            </w:r>
            <w:r>
              <w:rPr>
                <w:rFonts w:hint="eastAsia"/>
              </w:rPr>
              <w:t>精草铵膦铵盐</w:t>
            </w:r>
          </w:p>
        </w:tc>
      </w:tr>
      <w:tr w14:paraId="3D51CAAF">
        <w:tblPrEx>
          <w:tblCellMar>
            <w:top w:w="0" w:type="dxa"/>
            <w:left w:w="0" w:type="dxa"/>
            <w:bottom w:w="0" w:type="dxa"/>
            <w:right w:w="0" w:type="dxa"/>
          </w:tblCellMar>
        </w:tblPrEx>
        <w:trPr>
          <w:wBefore w:w="0" w:type="auto"/>
          <w:tblCellSpacing w:w="0" w:type="dxa"/>
        </w:trPr>
        <w:tc>
          <w:tcPr>
            <w:tcW w:w="0" w:type="auto"/>
            <w:noWrap w:val="0"/>
            <w:vAlign w:val="center"/>
          </w:tcPr>
          <w:p w14:paraId="0EB17C3B">
            <w:r>
              <w:rPr>
                <w:rStyle w:val="10"/>
                <w:rFonts w:hint="eastAsia"/>
              </w:rPr>
              <w:t>剂型：</w:t>
            </w:r>
            <w:r>
              <w:rPr>
                <w:rFonts w:hint="eastAsia"/>
              </w:rPr>
              <w:t>可溶液剂</w:t>
            </w:r>
          </w:p>
        </w:tc>
      </w:tr>
      <w:tr w14:paraId="2558036E">
        <w:tblPrEx>
          <w:tblCellMar>
            <w:top w:w="0" w:type="dxa"/>
            <w:left w:w="0" w:type="dxa"/>
            <w:bottom w:w="0" w:type="dxa"/>
            <w:right w:w="0" w:type="dxa"/>
          </w:tblCellMar>
        </w:tblPrEx>
        <w:trPr>
          <w:wBefore w:w="0" w:type="auto"/>
          <w:tblCellSpacing w:w="0" w:type="dxa"/>
        </w:trPr>
        <w:tc>
          <w:tcPr>
            <w:tcW w:w="0" w:type="auto"/>
            <w:noWrap w:val="0"/>
            <w:vAlign w:val="center"/>
          </w:tcPr>
          <w:p w14:paraId="66AE4314">
            <w:r>
              <w:rPr>
                <w:rStyle w:val="10"/>
                <w:rFonts w:hint="eastAsia"/>
              </w:rPr>
              <w:t>毒性及其标识：</w:t>
            </w:r>
            <w:r>
              <w:rPr>
                <w:rFonts w:hint="eastAsia"/>
              </w:rPr>
              <w:t xml:space="preserve"> </w:t>
            </w:r>
            <w:r>
              <w:rPr>
                <w:lang/>
              </w:rPr>
              <w:drawing>
                <wp:inline distT="0" distB="0" distL="114300" distR="114300">
                  <wp:extent cx="476250" cy="323850"/>
                  <wp:effectExtent l="0" t="0" r="0" b="0"/>
                  <wp:docPr id="137" name="图片 13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DDAF07D">
        <w:tblPrEx>
          <w:tblCellMar>
            <w:top w:w="0" w:type="dxa"/>
            <w:left w:w="0" w:type="dxa"/>
            <w:bottom w:w="0" w:type="dxa"/>
            <w:right w:w="0" w:type="dxa"/>
          </w:tblCellMar>
        </w:tblPrEx>
        <w:trPr>
          <w:wBefore w:w="0" w:type="auto"/>
          <w:tblCellSpacing w:w="0" w:type="dxa"/>
        </w:trPr>
        <w:tc>
          <w:tcPr>
            <w:tcW w:w="0" w:type="auto"/>
            <w:noWrap w:val="0"/>
            <w:vAlign w:val="center"/>
          </w:tcPr>
          <w:p w14:paraId="10F1EC83">
            <w:r>
              <w:rPr>
                <w:rStyle w:val="10"/>
                <w:rFonts w:hint="eastAsia"/>
              </w:rPr>
              <w:t>总有效成分含量：</w:t>
            </w:r>
            <w:r>
              <w:rPr>
                <w:rFonts w:hint="eastAsia"/>
              </w:rPr>
              <w:t>20%</w:t>
            </w:r>
          </w:p>
        </w:tc>
      </w:tr>
      <w:tr w14:paraId="59D8202F">
        <w:tblPrEx>
          <w:tblCellMar>
            <w:top w:w="0" w:type="dxa"/>
            <w:left w:w="0" w:type="dxa"/>
            <w:bottom w:w="0" w:type="dxa"/>
            <w:right w:w="0" w:type="dxa"/>
          </w:tblCellMar>
        </w:tblPrEx>
        <w:trPr>
          <w:wBefore w:w="0" w:type="auto"/>
          <w:tblCellSpacing w:w="0" w:type="dxa"/>
        </w:trPr>
        <w:tc>
          <w:tcPr>
            <w:tcW w:w="0" w:type="auto"/>
            <w:noWrap w:val="0"/>
            <w:vAlign w:val="center"/>
          </w:tcPr>
          <w:p w14:paraId="5F189572">
            <w:r>
              <w:rPr>
                <w:rFonts w:hint="eastAsia"/>
              </w:rPr>
              <w:t xml:space="preserve">有效成分及其含量： </w:t>
            </w:r>
          </w:p>
          <w:p w14:paraId="194208CC">
            <w:r>
              <w:rPr>
                <w:rFonts w:hint="eastAsia"/>
              </w:rPr>
              <w:t xml:space="preserve">    精草铵膦20%    </w:t>
            </w:r>
          </w:p>
        </w:tc>
      </w:tr>
      <w:tr w14:paraId="0C66CE1A">
        <w:tblPrEx>
          <w:tblCellMar>
            <w:top w:w="0" w:type="dxa"/>
            <w:left w:w="0" w:type="dxa"/>
            <w:bottom w:w="0" w:type="dxa"/>
            <w:right w:w="0" w:type="dxa"/>
          </w:tblCellMar>
        </w:tblPrEx>
        <w:trPr>
          <w:wBefore w:w="0" w:type="auto"/>
          <w:tblCellSpacing w:w="0" w:type="dxa"/>
        </w:trPr>
        <w:tc>
          <w:tcPr>
            <w:tcW w:w="0" w:type="auto"/>
            <w:noWrap w:val="0"/>
            <w:vAlign w:val="center"/>
          </w:tcPr>
          <w:p w14:paraId="3A78173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E2AF1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523DEE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CEE75F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82C86F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1F1894C">
                  <w:r>
                    <w:rPr>
                      <w:rStyle w:val="11"/>
                      <w:rFonts w:hint="eastAsia"/>
                    </w:rPr>
                    <w:t>施用方式</w:t>
                  </w:r>
                </w:p>
              </w:tc>
            </w:tr>
            <w:tr w14:paraId="243978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FDB7D8F">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A22ADB">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A5651B">
                  <w:r>
                    <w:rPr>
                      <w:rStyle w:val="11"/>
                      <w:rFonts w:hint="eastAsia"/>
                    </w:rPr>
                    <w:t>80-120毫升/亩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BBBD04">
                  <w:r>
                    <w:rPr>
                      <w:rStyle w:val="11"/>
                      <w:rFonts w:hint="eastAsia"/>
                    </w:rPr>
                    <w:t>喷雾</w:t>
                  </w:r>
                </w:p>
              </w:tc>
            </w:tr>
          </w:tbl>
          <w:p w14:paraId="7603C1AF">
            <w:pPr>
              <w:rPr>
                <w:rFonts w:ascii="Times New Roman" w:hAnsi="Times New Roman" w:cs="Times New Roman"/>
                <w:sz w:val="20"/>
                <w:szCs w:val="20"/>
              </w:rPr>
            </w:pPr>
          </w:p>
        </w:tc>
      </w:tr>
      <w:tr w14:paraId="30A12DE6">
        <w:tblPrEx>
          <w:tblCellMar>
            <w:top w:w="0" w:type="dxa"/>
            <w:left w:w="0" w:type="dxa"/>
            <w:bottom w:w="0" w:type="dxa"/>
            <w:right w:w="0" w:type="dxa"/>
          </w:tblCellMar>
        </w:tblPrEx>
        <w:trPr>
          <w:wBefore w:w="0" w:type="auto"/>
          <w:tblCellSpacing w:w="0" w:type="dxa"/>
        </w:trPr>
        <w:tc>
          <w:tcPr>
            <w:tcW w:w="0" w:type="auto"/>
            <w:noWrap w:val="0"/>
            <w:vAlign w:val="center"/>
          </w:tcPr>
          <w:p w14:paraId="5D6DB00D">
            <w:r>
              <w:rPr>
                <w:rStyle w:val="10"/>
                <w:rFonts w:hint="eastAsia"/>
              </w:rPr>
              <w:t>使用技术要求:</w:t>
            </w:r>
            <w:r>
              <w:rPr>
                <w:rFonts w:hint="eastAsia"/>
              </w:rPr>
              <w:br w:type="textWrapping"/>
            </w:r>
            <w:r>
              <w:rPr>
                <w:rStyle w:val="11"/>
                <w:rFonts w:hint="eastAsia"/>
              </w:rPr>
              <w:t>1. 在非耕地杂草生长旺盛期茎叶喷雾施药一次，每公顷兑水量600升，注意均匀喷雾到杂草茎叶上，以保证除草效果。2. 本品为灭生性除草剂，施药时防止药液漂移到果木和临近作物上，以免发生药害。3. 大风天或预计1小时之内有降雨，请勿使用。4. 施药后5天内勿割草、放牧、翻地等。5.每季最多使用次数为1次。6. 禁止在田间道路、田埂、果树行间、休耕地、林场地等农林区域使用。</w:t>
            </w:r>
          </w:p>
        </w:tc>
      </w:tr>
      <w:tr w14:paraId="3195B547">
        <w:tblPrEx>
          <w:tblCellMar>
            <w:top w:w="0" w:type="dxa"/>
            <w:left w:w="0" w:type="dxa"/>
            <w:bottom w:w="0" w:type="dxa"/>
            <w:right w:w="0" w:type="dxa"/>
          </w:tblCellMar>
        </w:tblPrEx>
        <w:trPr>
          <w:wBefore w:w="0" w:type="auto"/>
          <w:tblCellSpacing w:w="0" w:type="dxa"/>
        </w:trPr>
        <w:tc>
          <w:tcPr>
            <w:tcW w:w="0" w:type="auto"/>
            <w:noWrap w:val="0"/>
            <w:vAlign w:val="center"/>
          </w:tcPr>
          <w:p w14:paraId="2034B1F3">
            <w:r>
              <w:rPr>
                <w:rStyle w:val="10"/>
                <w:rFonts w:hint="eastAsia"/>
              </w:rPr>
              <w:t>产品性能:</w:t>
            </w:r>
            <w:r>
              <w:rPr>
                <w:rFonts w:hint="eastAsia"/>
              </w:rPr>
              <w:br w:type="textWrapping"/>
            </w:r>
            <w:r>
              <w:rPr>
                <w:rStyle w:val="11"/>
                <w:rFonts w:hint="eastAsia"/>
              </w:rPr>
              <w:t>本品是一种具有部分内吸作用的触杀灭生性除草剂，属于膦酸类除草剂，是谷氨酰胺合成抑制剂，施药后短时间内，植物体内铵代谢陷于絮乱，细胞毒剂铵离子在植物体内累积，与此同时，光合作用被抑制，达到除草目的，适用于防除非耕地杂草。</w:t>
            </w:r>
          </w:p>
        </w:tc>
      </w:tr>
      <w:tr w14:paraId="7525BD21">
        <w:tblPrEx>
          <w:tblCellMar>
            <w:top w:w="0" w:type="dxa"/>
            <w:left w:w="0" w:type="dxa"/>
            <w:bottom w:w="0" w:type="dxa"/>
            <w:right w:w="0" w:type="dxa"/>
          </w:tblCellMar>
        </w:tblPrEx>
        <w:trPr>
          <w:wBefore w:w="0" w:type="auto"/>
          <w:tblCellSpacing w:w="0" w:type="dxa"/>
        </w:trPr>
        <w:tc>
          <w:tcPr>
            <w:tcW w:w="0" w:type="auto"/>
            <w:noWrap w:val="0"/>
            <w:vAlign w:val="center"/>
          </w:tcPr>
          <w:p w14:paraId="04F36C6B">
            <w:r>
              <w:rPr>
                <w:rStyle w:val="10"/>
                <w:rFonts w:hint="eastAsia"/>
              </w:rPr>
              <w:t>注意事项：</w:t>
            </w:r>
            <w:r>
              <w:rPr>
                <w:rFonts w:hint="eastAsia"/>
              </w:rPr>
              <w:br w:type="textWrapping"/>
            </w:r>
            <w:r>
              <w:rPr>
                <w:rStyle w:val="11"/>
                <w:rFonts w:hint="eastAsia"/>
              </w:rPr>
              <w:t>1. 严格按农药安全使用规则正确使用，未用完的液体就保存在原包装内，盖紧瓶盖，并远离儿童、饮料和食物。2. 本品遇土钝化，因此在稀释和配制本品药液时，应使用清水，禁止用浑浊的河水或沟渠水配药，以最大限度地提高除草的效果。3. 喷雾器使用后彻底清洗干净。如有其他疑问，请咨询当地植保部门或生产厂家。4. 本品对皮肤有致敏性，使用本品时应采取相应的安全防护措施，穿防护服，戴防护手套、口罩等，避免皮肤接触。使用中不可吸烟、饮水及吃东西，使用后及时清洗手、脸等暴露部位的皮肤并更换衣物。5. 用过的容器要妥善处理，不可作他用，也不可随意丢弃。6. 禁止在河塘等水体中清洗施药器具；蚕室和桑园附近禁止施用本产品。7. 本品对非靶标植物有毒，用于防治非耕地杂草，不可随意扩大使用范围。8. 本品避免与氧化剂接触。9. 孕妇及哺乳期妇女避免接触此药。</w:t>
            </w:r>
          </w:p>
        </w:tc>
      </w:tr>
      <w:tr w14:paraId="1665182C">
        <w:tblPrEx>
          <w:tblCellMar>
            <w:top w:w="0" w:type="dxa"/>
            <w:left w:w="0" w:type="dxa"/>
            <w:bottom w:w="0" w:type="dxa"/>
            <w:right w:w="0" w:type="dxa"/>
          </w:tblCellMar>
        </w:tblPrEx>
        <w:trPr>
          <w:wBefore w:w="0" w:type="auto"/>
          <w:tblCellSpacing w:w="0" w:type="dxa"/>
        </w:trPr>
        <w:tc>
          <w:tcPr>
            <w:tcW w:w="0" w:type="auto"/>
            <w:noWrap w:val="0"/>
            <w:vAlign w:val="center"/>
          </w:tcPr>
          <w:p w14:paraId="6F8DD872">
            <w:r>
              <w:rPr>
                <w:rStyle w:val="10"/>
                <w:rFonts w:hint="eastAsia"/>
              </w:rPr>
              <w:t>中毒急救措施：</w:t>
            </w:r>
            <w:r>
              <w:rPr>
                <w:rFonts w:hint="eastAsia"/>
              </w:rPr>
              <w:br w:type="textWrapping"/>
            </w:r>
            <w:r>
              <w:rPr>
                <w:rStyle w:val="11"/>
                <w:rFonts w:hint="eastAsia"/>
              </w:rPr>
              <w:t>中毒症状：按照标签推荐方法使用，无典型中毒症状。皮肤接触：立即脱去被污染的衣物，用肥皂和大量清水冲洗皮肤暴露部位。如皮肤刺激感持续，请医生诊治。眼睛溅入：立即翻开眼睑，用清水冲洗至少15分钟，再请医生诊治。吸 入：立即将吸入者转移到空气清新处，若吸入者停止呼吸，需要进行人工呼吸。注意保暖和休息，请医生诊治。误 食：严禁引吐，应先立即用清水漱口，再携带产品标签送医就诊，对症治疗。注意：对昏迷病人，切勿经口喂入任何东西。</w:t>
            </w:r>
          </w:p>
        </w:tc>
      </w:tr>
      <w:tr w14:paraId="66A88A7E">
        <w:tblPrEx>
          <w:tblCellMar>
            <w:top w:w="0" w:type="dxa"/>
            <w:left w:w="0" w:type="dxa"/>
            <w:bottom w:w="0" w:type="dxa"/>
            <w:right w:w="0" w:type="dxa"/>
          </w:tblCellMar>
        </w:tblPrEx>
        <w:trPr>
          <w:wBefore w:w="0" w:type="auto"/>
          <w:tblCellSpacing w:w="0" w:type="dxa"/>
        </w:trPr>
        <w:tc>
          <w:tcPr>
            <w:tcW w:w="0" w:type="auto"/>
            <w:noWrap w:val="0"/>
            <w:vAlign w:val="center"/>
          </w:tcPr>
          <w:p w14:paraId="4B548D94">
            <w:r>
              <w:rPr>
                <w:rStyle w:val="10"/>
                <w:rFonts w:hint="eastAsia"/>
              </w:rPr>
              <w:t>储存和运输方法：</w:t>
            </w:r>
            <w:r>
              <w:rPr>
                <w:rFonts w:hint="eastAsia"/>
              </w:rPr>
              <w:br w:type="textWrapping"/>
            </w:r>
            <w:r>
              <w:rPr>
                <w:rStyle w:val="11"/>
                <w:rFonts w:hint="eastAsia"/>
              </w:rPr>
              <w:t>本品应储存在干燥、阴凉、通风、防雨处，远离火源或热源，置于儿童、无关人员触及不到的地方，并加锁。装卸、运输过程中，需专门车辆运输，轻拿轻放，确保包装不泄露、不损坏。不能与食品、饮料、粮食、饲料等混合储存。</w:t>
            </w:r>
          </w:p>
        </w:tc>
      </w:tr>
      <w:tr w14:paraId="18499189">
        <w:tblPrEx>
          <w:tblCellMar>
            <w:top w:w="0" w:type="dxa"/>
            <w:left w:w="0" w:type="dxa"/>
            <w:bottom w:w="0" w:type="dxa"/>
            <w:right w:w="0" w:type="dxa"/>
          </w:tblCellMar>
        </w:tblPrEx>
        <w:trPr>
          <w:wBefore w:w="0" w:type="auto"/>
          <w:tblCellSpacing w:w="0" w:type="dxa"/>
        </w:trPr>
        <w:tc>
          <w:tcPr>
            <w:tcW w:w="0" w:type="auto"/>
            <w:noWrap w:val="0"/>
            <w:vAlign w:val="center"/>
          </w:tcPr>
          <w:p w14:paraId="59BB3303">
            <w:r>
              <w:rPr>
                <w:rStyle w:val="10"/>
                <w:rFonts w:hint="eastAsia"/>
              </w:rPr>
              <w:t>质量保证期：</w:t>
            </w:r>
            <w:r>
              <w:rPr>
                <w:rStyle w:val="11"/>
                <w:rFonts w:hint="eastAsia"/>
              </w:rPr>
              <w:t>2年</w:t>
            </w:r>
          </w:p>
        </w:tc>
      </w:tr>
      <w:tr w14:paraId="262AD726">
        <w:tblPrEx>
          <w:tblCellMar>
            <w:top w:w="0" w:type="dxa"/>
            <w:left w:w="0" w:type="dxa"/>
            <w:bottom w:w="0" w:type="dxa"/>
            <w:right w:w="0" w:type="dxa"/>
          </w:tblCellMar>
        </w:tblPrEx>
        <w:trPr>
          <w:wBefore w:w="0" w:type="auto"/>
          <w:tblCellSpacing w:w="0" w:type="dxa"/>
        </w:trPr>
        <w:tc>
          <w:tcPr>
            <w:tcW w:w="0" w:type="auto"/>
            <w:noWrap w:val="0"/>
            <w:vAlign w:val="center"/>
          </w:tcPr>
          <w:p w14:paraId="3DD5C1C7">
            <w:r>
              <w:rPr>
                <w:rStyle w:val="10"/>
                <w:rFonts w:hint="eastAsia"/>
              </w:rPr>
              <w:t>备注：</w:t>
            </w:r>
            <w:r>
              <w:rPr>
                <w:rFonts w:hint="eastAsia"/>
              </w:rPr>
              <w:br w:type="textWrapping"/>
            </w:r>
            <w:r>
              <w:rPr>
                <w:rStyle w:val="11"/>
                <w:rFonts w:hint="eastAsia"/>
              </w:rPr>
              <w:t>精草铵膦铵盐21.9%。</w:t>
            </w:r>
          </w:p>
        </w:tc>
      </w:tr>
    </w:tbl>
    <w:p w14:paraId="061935A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3577A52">
        <w:tblPrEx>
          <w:tblCellMar>
            <w:top w:w="0" w:type="dxa"/>
            <w:left w:w="0" w:type="dxa"/>
            <w:bottom w:w="0" w:type="dxa"/>
            <w:right w:w="0" w:type="dxa"/>
          </w:tblCellMar>
        </w:tblPrEx>
        <w:trPr>
          <w:wBefore w:w="0" w:type="auto"/>
          <w:tblCellSpacing w:w="0" w:type="dxa"/>
        </w:trPr>
        <w:tc>
          <w:tcPr>
            <w:tcW w:w="0" w:type="auto"/>
            <w:noWrap w:val="0"/>
            <w:vAlign w:val="center"/>
          </w:tcPr>
          <w:p w14:paraId="4B54AA0B">
            <w:r>
              <w:rPr>
                <w:rStyle w:val="10"/>
                <w:rFonts w:hint="eastAsia"/>
              </w:rPr>
              <w:t>登记证号：</w:t>
            </w:r>
            <w:r>
              <w:rPr>
                <w:rFonts w:hint="eastAsia"/>
              </w:rPr>
              <w:t>WP20210255</w:t>
            </w:r>
          </w:p>
        </w:tc>
      </w:tr>
      <w:tr w14:paraId="5D5E86B0">
        <w:tblPrEx>
          <w:tblCellMar>
            <w:top w:w="0" w:type="dxa"/>
            <w:left w:w="0" w:type="dxa"/>
            <w:bottom w:w="0" w:type="dxa"/>
            <w:right w:w="0" w:type="dxa"/>
          </w:tblCellMar>
        </w:tblPrEx>
        <w:trPr>
          <w:wBefore w:w="0" w:type="auto"/>
          <w:tblCellSpacing w:w="0" w:type="dxa"/>
        </w:trPr>
        <w:tc>
          <w:tcPr>
            <w:tcW w:w="0" w:type="auto"/>
            <w:noWrap w:val="0"/>
            <w:vAlign w:val="center"/>
          </w:tcPr>
          <w:p w14:paraId="123971AD">
            <w:r>
              <w:rPr>
                <w:rStyle w:val="10"/>
                <w:rFonts w:hint="eastAsia"/>
              </w:rPr>
              <w:t>登记证持有人：</w:t>
            </w:r>
            <w:r>
              <w:rPr>
                <w:rFonts w:hint="eastAsia"/>
              </w:rPr>
              <w:t>山西奥赛诺生物科技有限公司</w:t>
            </w:r>
          </w:p>
        </w:tc>
      </w:tr>
      <w:tr w14:paraId="64ED70E1">
        <w:tblPrEx>
          <w:tblCellMar>
            <w:top w:w="0" w:type="dxa"/>
            <w:left w:w="0" w:type="dxa"/>
            <w:bottom w:w="0" w:type="dxa"/>
            <w:right w:w="0" w:type="dxa"/>
          </w:tblCellMar>
        </w:tblPrEx>
        <w:trPr>
          <w:wBefore w:w="0" w:type="auto"/>
          <w:tblCellSpacing w:w="0" w:type="dxa"/>
        </w:trPr>
        <w:tc>
          <w:tcPr>
            <w:tcW w:w="0" w:type="auto"/>
            <w:noWrap w:val="0"/>
            <w:vAlign w:val="center"/>
          </w:tcPr>
          <w:p w14:paraId="56E8C2C9">
            <w:r>
              <w:rPr>
                <w:rStyle w:val="10"/>
                <w:rFonts w:hint="eastAsia"/>
              </w:rPr>
              <w:t>农药名称：</w:t>
            </w:r>
            <w:r>
              <w:rPr>
                <w:rFonts w:hint="eastAsia"/>
              </w:rPr>
              <w:t>杀蟑烟剂</w:t>
            </w:r>
          </w:p>
        </w:tc>
      </w:tr>
      <w:tr w14:paraId="72C7E9E3">
        <w:tblPrEx>
          <w:tblCellMar>
            <w:top w:w="0" w:type="dxa"/>
            <w:left w:w="0" w:type="dxa"/>
            <w:bottom w:w="0" w:type="dxa"/>
            <w:right w:w="0" w:type="dxa"/>
          </w:tblCellMar>
        </w:tblPrEx>
        <w:trPr>
          <w:wBefore w:w="0" w:type="auto"/>
          <w:tblCellSpacing w:w="0" w:type="dxa"/>
        </w:trPr>
        <w:tc>
          <w:tcPr>
            <w:tcW w:w="0" w:type="auto"/>
            <w:noWrap w:val="0"/>
            <w:vAlign w:val="center"/>
          </w:tcPr>
          <w:p w14:paraId="40E4BEE8">
            <w:r>
              <w:rPr>
                <w:rStyle w:val="10"/>
                <w:rFonts w:hint="eastAsia"/>
              </w:rPr>
              <w:t>剂型：</w:t>
            </w:r>
            <w:r>
              <w:rPr>
                <w:rFonts w:hint="eastAsia"/>
              </w:rPr>
              <w:t>烟剂</w:t>
            </w:r>
          </w:p>
        </w:tc>
      </w:tr>
      <w:tr w14:paraId="4A269FB8">
        <w:tblPrEx>
          <w:tblCellMar>
            <w:top w:w="0" w:type="dxa"/>
            <w:left w:w="0" w:type="dxa"/>
            <w:bottom w:w="0" w:type="dxa"/>
            <w:right w:w="0" w:type="dxa"/>
          </w:tblCellMar>
        </w:tblPrEx>
        <w:trPr>
          <w:wBefore w:w="0" w:type="auto"/>
          <w:tblCellSpacing w:w="0" w:type="dxa"/>
        </w:trPr>
        <w:tc>
          <w:tcPr>
            <w:tcW w:w="0" w:type="auto"/>
            <w:noWrap w:val="0"/>
            <w:vAlign w:val="center"/>
          </w:tcPr>
          <w:p w14:paraId="4C44E574">
            <w:r>
              <w:rPr>
                <w:rStyle w:val="10"/>
                <w:rFonts w:hint="eastAsia"/>
              </w:rPr>
              <w:t>毒性及其标识：</w:t>
            </w:r>
            <w:r>
              <w:rPr>
                <w:rFonts w:hint="eastAsia"/>
              </w:rPr>
              <w:t xml:space="preserve"> 微毒 </w:t>
            </w:r>
          </w:p>
        </w:tc>
      </w:tr>
      <w:tr w14:paraId="5C114503">
        <w:tblPrEx>
          <w:tblCellMar>
            <w:top w:w="0" w:type="dxa"/>
            <w:left w:w="0" w:type="dxa"/>
            <w:bottom w:w="0" w:type="dxa"/>
            <w:right w:w="0" w:type="dxa"/>
          </w:tblCellMar>
        </w:tblPrEx>
        <w:trPr>
          <w:wBefore w:w="0" w:type="auto"/>
          <w:tblCellSpacing w:w="0" w:type="dxa"/>
        </w:trPr>
        <w:tc>
          <w:tcPr>
            <w:tcW w:w="0" w:type="auto"/>
            <w:noWrap w:val="0"/>
            <w:vAlign w:val="center"/>
          </w:tcPr>
          <w:p w14:paraId="6B51D9B9">
            <w:r>
              <w:rPr>
                <w:rStyle w:val="10"/>
                <w:rFonts w:hint="eastAsia"/>
              </w:rPr>
              <w:t>总有效成分含量：</w:t>
            </w:r>
            <w:r>
              <w:rPr>
                <w:rFonts w:hint="eastAsia"/>
              </w:rPr>
              <w:t>10%</w:t>
            </w:r>
          </w:p>
        </w:tc>
      </w:tr>
      <w:tr w14:paraId="0AAC825A">
        <w:tblPrEx>
          <w:tblCellMar>
            <w:top w:w="0" w:type="dxa"/>
            <w:left w:w="0" w:type="dxa"/>
            <w:bottom w:w="0" w:type="dxa"/>
            <w:right w:w="0" w:type="dxa"/>
          </w:tblCellMar>
        </w:tblPrEx>
        <w:trPr>
          <w:wBefore w:w="0" w:type="auto"/>
          <w:tblCellSpacing w:w="0" w:type="dxa"/>
        </w:trPr>
        <w:tc>
          <w:tcPr>
            <w:tcW w:w="0" w:type="auto"/>
            <w:noWrap w:val="0"/>
            <w:vAlign w:val="center"/>
          </w:tcPr>
          <w:p w14:paraId="51E2871B">
            <w:r>
              <w:rPr>
                <w:rFonts w:hint="eastAsia"/>
              </w:rPr>
              <w:t xml:space="preserve">有效成分及其含量： </w:t>
            </w:r>
          </w:p>
          <w:p w14:paraId="4FFBFB26">
            <w:r>
              <w:rPr>
                <w:rFonts w:hint="eastAsia"/>
              </w:rPr>
              <w:t xml:space="preserve">    噻虫胺10%    </w:t>
            </w:r>
          </w:p>
        </w:tc>
      </w:tr>
      <w:tr w14:paraId="43D8E71A">
        <w:tblPrEx>
          <w:tblCellMar>
            <w:top w:w="0" w:type="dxa"/>
            <w:left w:w="0" w:type="dxa"/>
            <w:bottom w:w="0" w:type="dxa"/>
            <w:right w:w="0" w:type="dxa"/>
          </w:tblCellMar>
        </w:tblPrEx>
        <w:trPr>
          <w:wBefore w:w="0" w:type="auto"/>
          <w:tblCellSpacing w:w="0" w:type="dxa"/>
        </w:trPr>
        <w:tc>
          <w:tcPr>
            <w:tcW w:w="0" w:type="auto"/>
            <w:noWrap w:val="0"/>
            <w:vAlign w:val="center"/>
          </w:tcPr>
          <w:p w14:paraId="519EE06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6E0B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DF3ECD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52D474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9ACDA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60E38DA">
                  <w:r>
                    <w:rPr>
                      <w:rStyle w:val="11"/>
                      <w:rFonts w:hint="eastAsia"/>
                    </w:rPr>
                    <w:t>施用方式</w:t>
                  </w:r>
                </w:p>
              </w:tc>
            </w:tr>
            <w:tr w14:paraId="592808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AE05F8B">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63F612">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2D1BDF">
                  <w:r>
                    <w:rPr>
                      <w:rStyle w:val="11"/>
                      <w:rFonts w:hint="eastAsia"/>
                    </w:rPr>
                    <w:t>0.8克/立方米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19956D">
                  <w:r>
                    <w:rPr>
                      <w:rStyle w:val="11"/>
                      <w:rFonts w:hint="eastAsia"/>
                    </w:rPr>
                    <w:t>点燃</w:t>
                  </w:r>
                </w:p>
              </w:tc>
            </w:tr>
          </w:tbl>
          <w:p w14:paraId="789F3048">
            <w:pPr>
              <w:rPr>
                <w:rFonts w:ascii="Times New Roman" w:hAnsi="Times New Roman" w:cs="Times New Roman"/>
                <w:sz w:val="20"/>
                <w:szCs w:val="20"/>
              </w:rPr>
            </w:pPr>
          </w:p>
        </w:tc>
      </w:tr>
      <w:tr w14:paraId="1CCD5901">
        <w:tblPrEx>
          <w:tblCellMar>
            <w:top w:w="0" w:type="dxa"/>
            <w:left w:w="0" w:type="dxa"/>
            <w:bottom w:w="0" w:type="dxa"/>
            <w:right w:w="0" w:type="dxa"/>
          </w:tblCellMar>
        </w:tblPrEx>
        <w:trPr>
          <w:wBefore w:w="0" w:type="auto"/>
          <w:tblCellSpacing w:w="0" w:type="dxa"/>
        </w:trPr>
        <w:tc>
          <w:tcPr>
            <w:tcW w:w="0" w:type="auto"/>
            <w:noWrap w:val="0"/>
            <w:vAlign w:val="center"/>
          </w:tcPr>
          <w:p w14:paraId="6120C794">
            <w:r>
              <w:rPr>
                <w:rStyle w:val="10"/>
                <w:rFonts w:hint="eastAsia"/>
              </w:rPr>
              <w:t>使用技术要求:</w:t>
            </w:r>
            <w:r>
              <w:rPr>
                <w:rFonts w:hint="eastAsia"/>
              </w:rPr>
              <w:br w:type="textWrapping"/>
            </w:r>
            <w:r>
              <w:rPr>
                <w:rStyle w:val="11"/>
                <w:rFonts w:hint="eastAsia"/>
              </w:rPr>
              <w:t>1.将本品点燃后，人畜应立即离开房间，关闭门窗。2.务必5小时后打开门窗充分通风后方可再次进入房间，并尽可能对房间烟尘进行清扫。</w:t>
            </w:r>
          </w:p>
        </w:tc>
      </w:tr>
      <w:tr w14:paraId="761B5A66">
        <w:tblPrEx>
          <w:tblCellMar>
            <w:top w:w="0" w:type="dxa"/>
            <w:left w:w="0" w:type="dxa"/>
            <w:bottom w:w="0" w:type="dxa"/>
            <w:right w:w="0" w:type="dxa"/>
          </w:tblCellMar>
        </w:tblPrEx>
        <w:trPr>
          <w:wBefore w:w="0" w:type="auto"/>
          <w:tblCellSpacing w:w="0" w:type="dxa"/>
        </w:trPr>
        <w:tc>
          <w:tcPr>
            <w:tcW w:w="0" w:type="auto"/>
            <w:noWrap w:val="0"/>
            <w:vAlign w:val="center"/>
          </w:tcPr>
          <w:p w14:paraId="4E3C88D5">
            <w:r>
              <w:rPr>
                <w:rStyle w:val="10"/>
                <w:rFonts w:hint="eastAsia"/>
              </w:rPr>
              <w:t>产品性能:</w:t>
            </w:r>
            <w:r>
              <w:rPr>
                <w:rFonts w:hint="eastAsia"/>
              </w:rPr>
              <w:br w:type="textWrapping"/>
            </w:r>
            <w:r>
              <w:rPr>
                <w:rStyle w:val="11"/>
                <w:rFonts w:hint="eastAsia"/>
              </w:rPr>
              <w:t>本品是新烟碱类中的一种杀虫剂，其作用与烟碱乙酰胆碱受体类似，具有内吸和渗透作用。可广泛应用于家庭、宾馆、饭店、仓库等室内环境处防治蜚蠊。</w:t>
            </w:r>
          </w:p>
        </w:tc>
      </w:tr>
      <w:tr w14:paraId="47257478">
        <w:tblPrEx>
          <w:tblCellMar>
            <w:top w:w="0" w:type="dxa"/>
            <w:left w:w="0" w:type="dxa"/>
            <w:bottom w:w="0" w:type="dxa"/>
            <w:right w:w="0" w:type="dxa"/>
          </w:tblCellMar>
        </w:tblPrEx>
        <w:trPr>
          <w:wBefore w:w="0" w:type="auto"/>
          <w:tblCellSpacing w:w="0" w:type="dxa"/>
        </w:trPr>
        <w:tc>
          <w:tcPr>
            <w:tcW w:w="0" w:type="auto"/>
            <w:noWrap w:val="0"/>
            <w:vAlign w:val="center"/>
          </w:tcPr>
          <w:p w14:paraId="1929F692">
            <w:r>
              <w:rPr>
                <w:rStyle w:val="10"/>
                <w:rFonts w:hint="eastAsia"/>
              </w:rPr>
              <w:t>注意事项：</w:t>
            </w:r>
            <w:r>
              <w:rPr>
                <w:rFonts w:hint="eastAsia"/>
              </w:rPr>
              <w:br w:type="textWrapping"/>
            </w:r>
            <w:r>
              <w:rPr>
                <w:rStyle w:val="11"/>
                <w:rFonts w:hint="eastAsia"/>
              </w:rPr>
              <w:t>1.注意安全防火，勿在易燃物处使用，勿用易燃品做接灰盘。2.勿让儿童玩耍、忌食，放置于儿童接触不到的地方。3.避免孕妇及哺育妇女接触。4.仅用于室内，用后洗手。5.使用后注意通风。6.过敏者禁用，使用中有任何不良反应请及时就医。7.废弃物应妥善处理，不能乱丢乱放，也不能做他用。</w:t>
            </w:r>
          </w:p>
        </w:tc>
      </w:tr>
      <w:tr w14:paraId="683897D0">
        <w:tblPrEx>
          <w:tblCellMar>
            <w:top w:w="0" w:type="dxa"/>
            <w:left w:w="0" w:type="dxa"/>
            <w:bottom w:w="0" w:type="dxa"/>
            <w:right w:w="0" w:type="dxa"/>
          </w:tblCellMar>
        </w:tblPrEx>
        <w:trPr>
          <w:wBefore w:w="0" w:type="auto"/>
          <w:tblCellSpacing w:w="0" w:type="dxa"/>
        </w:trPr>
        <w:tc>
          <w:tcPr>
            <w:tcW w:w="0" w:type="auto"/>
            <w:noWrap w:val="0"/>
            <w:vAlign w:val="center"/>
          </w:tcPr>
          <w:p w14:paraId="68EC6FAB">
            <w:r>
              <w:rPr>
                <w:rStyle w:val="10"/>
                <w:rFonts w:hint="eastAsia"/>
              </w:rPr>
              <w:t>中毒急救措施：</w:t>
            </w:r>
            <w:r>
              <w:rPr>
                <w:rFonts w:hint="eastAsia"/>
              </w:rPr>
              <w:br w:type="textWrapping"/>
            </w:r>
            <w:r>
              <w:rPr>
                <w:rStyle w:val="11"/>
                <w:rFonts w:hint="eastAsia"/>
              </w:rPr>
              <w:t>本品对眼镜有刺激性。如果药剂接触皮肤，应用肥皂和大量清水冲洗。如有误服，应立即就医，可洗胃但不能催吐，按杀虫剂中毒处理，对症治疗。</w:t>
            </w:r>
          </w:p>
        </w:tc>
      </w:tr>
      <w:tr w14:paraId="0E9701AA">
        <w:tblPrEx>
          <w:tblCellMar>
            <w:top w:w="0" w:type="dxa"/>
            <w:left w:w="0" w:type="dxa"/>
            <w:bottom w:w="0" w:type="dxa"/>
            <w:right w:w="0" w:type="dxa"/>
          </w:tblCellMar>
        </w:tblPrEx>
        <w:trPr>
          <w:wBefore w:w="0" w:type="auto"/>
          <w:tblCellSpacing w:w="0" w:type="dxa"/>
        </w:trPr>
        <w:tc>
          <w:tcPr>
            <w:tcW w:w="0" w:type="auto"/>
            <w:noWrap w:val="0"/>
            <w:vAlign w:val="center"/>
          </w:tcPr>
          <w:p w14:paraId="24D1E8B1">
            <w:r>
              <w:rPr>
                <w:rStyle w:val="10"/>
                <w:rFonts w:hint="eastAsia"/>
              </w:rPr>
              <w:t>储存和运输方法：</w:t>
            </w:r>
            <w:r>
              <w:rPr>
                <w:rFonts w:hint="eastAsia"/>
              </w:rPr>
              <w:br w:type="textWrapping"/>
            </w:r>
            <w:r>
              <w:rPr>
                <w:rStyle w:val="11"/>
                <w:rFonts w:hint="eastAsia"/>
              </w:rPr>
              <w:t>本品应贮存在干燥、阴凉、通风、防雨处，远离火源或热源。置于儿童及其他无关人员触及不到之处，并加锁。勿与食品、饮料、粮食、饲料等同贮同运。</w:t>
            </w:r>
          </w:p>
        </w:tc>
      </w:tr>
      <w:tr w14:paraId="11DB99CB">
        <w:tblPrEx>
          <w:tblCellMar>
            <w:top w:w="0" w:type="dxa"/>
            <w:left w:w="0" w:type="dxa"/>
            <w:bottom w:w="0" w:type="dxa"/>
            <w:right w:w="0" w:type="dxa"/>
          </w:tblCellMar>
        </w:tblPrEx>
        <w:trPr>
          <w:wBefore w:w="0" w:type="auto"/>
          <w:tblCellSpacing w:w="0" w:type="dxa"/>
        </w:trPr>
        <w:tc>
          <w:tcPr>
            <w:tcW w:w="0" w:type="auto"/>
            <w:noWrap w:val="0"/>
            <w:vAlign w:val="center"/>
          </w:tcPr>
          <w:p w14:paraId="3BF5941D">
            <w:r>
              <w:rPr>
                <w:rStyle w:val="10"/>
                <w:rFonts w:hint="eastAsia"/>
              </w:rPr>
              <w:t>质量保证期：</w:t>
            </w:r>
            <w:r>
              <w:rPr>
                <w:rStyle w:val="11"/>
                <w:rFonts w:hint="eastAsia"/>
              </w:rPr>
              <w:t>2年</w:t>
            </w:r>
          </w:p>
        </w:tc>
      </w:tr>
      <w:tr w14:paraId="1C73762E">
        <w:tblPrEx>
          <w:tblCellMar>
            <w:top w:w="0" w:type="dxa"/>
            <w:left w:w="0" w:type="dxa"/>
            <w:bottom w:w="0" w:type="dxa"/>
            <w:right w:w="0" w:type="dxa"/>
          </w:tblCellMar>
        </w:tblPrEx>
        <w:trPr>
          <w:wBefore w:w="0" w:type="auto"/>
          <w:tblCellSpacing w:w="0" w:type="dxa"/>
        </w:trPr>
        <w:tc>
          <w:tcPr>
            <w:tcW w:w="0" w:type="auto"/>
            <w:noWrap w:val="0"/>
            <w:vAlign w:val="center"/>
          </w:tcPr>
          <w:p w14:paraId="72A84159">
            <w:r>
              <w:rPr>
                <w:rStyle w:val="10"/>
                <w:rFonts w:hint="eastAsia"/>
              </w:rPr>
              <w:t>备注：</w:t>
            </w:r>
          </w:p>
        </w:tc>
      </w:tr>
    </w:tbl>
    <w:p w14:paraId="389E26A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4093C7">
        <w:tblPrEx>
          <w:tblCellMar>
            <w:top w:w="0" w:type="dxa"/>
            <w:left w:w="0" w:type="dxa"/>
            <w:bottom w:w="0" w:type="dxa"/>
            <w:right w:w="0" w:type="dxa"/>
          </w:tblCellMar>
        </w:tblPrEx>
        <w:trPr>
          <w:wBefore w:w="0" w:type="auto"/>
          <w:tblCellSpacing w:w="0" w:type="dxa"/>
        </w:trPr>
        <w:tc>
          <w:tcPr>
            <w:tcW w:w="0" w:type="auto"/>
            <w:noWrap w:val="0"/>
            <w:vAlign w:val="center"/>
          </w:tcPr>
          <w:p w14:paraId="6A5515DA">
            <w:r>
              <w:rPr>
                <w:rStyle w:val="10"/>
                <w:rFonts w:hint="eastAsia"/>
              </w:rPr>
              <w:t>登记证号：</w:t>
            </w:r>
            <w:r>
              <w:rPr>
                <w:rFonts w:hint="eastAsia"/>
              </w:rPr>
              <w:t>PD20211944</w:t>
            </w:r>
          </w:p>
        </w:tc>
      </w:tr>
      <w:tr w14:paraId="0751093C">
        <w:tblPrEx>
          <w:tblCellMar>
            <w:top w:w="0" w:type="dxa"/>
            <w:left w:w="0" w:type="dxa"/>
            <w:bottom w:w="0" w:type="dxa"/>
            <w:right w:w="0" w:type="dxa"/>
          </w:tblCellMar>
        </w:tblPrEx>
        <w:trPr>
          <w:wBefore w:w="0" w:type="auto"/>
          <w:tblCellSpacing w:w="0" w:type="dxa"/>
        </w:trPr>
        <w:tc>
          <w:tcPr>
            <w:tcW w:w="0" w:type="auto"/>
            <w:noWrap w:val="0"/>
            <w:vAlign w:val="center"/>
          </w:tcPr>
          <w:p w14:paraId="12B2F5DC">
            <w:r>
              <w:rPr>
                <w:rStyle w:val="10"/>
                <w:rFonts w:hint="eastAsia"/>
              </w:rPr>
              <w:t>登记证持有人：</w:t>
            </w:r>
            <w:r>
              <w:rPr>
                <w:rFonts w:hint="eastAsia"/>
              </w:rPr>
              <w:t>江苏省盐城双宁农化有限公司</w:t>
            </w:r>
          </w:p>
        </w:tc>
      </w:tr>
      <w:tr w14:paraId="5969B49C">
        <w:tblPrEx>
          <w:tblCellMar>
            <w:top w:w="0" w:type="dxa"/>
            <w:left w:w="0" w:type="dxa"/>
            <w:bottom w:w="0" w:type="dxa"/>
            <w:right w:w="0" w:type="dxa"/>
          </w:tblCellMar>
        </w:tblPrEx>
        <w:trPr>
          <w:wBefore w:w="0" w:type="auto"/>
          <w:tblCellSpacing w:w="0" w:type="dxa"/>
        </w:trPr>
        <w:tc>
          <w:tcPr>
            <w:tcW w:w="0" w:type="auto"/>
            <w:noWrap w:val="0"/>
            <w:vAlign w:val="center"/>
          </w:tcPr>
          <w:p w14:paraId="41FCD592">
            <w:r>
              <w:rPr>
                <w:rStyle w:val="10"/>
                <w:rFonts w:hint="eastAsia"/>
              </w:rPr>
              <w:t>农药名称：</w:t>
            </w:r>
            <w:r>
              <w:rPr>
                <w:rFonts w:hint="eastAsia"/>
              </w:rPr>
              <w:t>氯溴异氰尿酸</w:t>
            </w:r>
          </w:p>
        </w:tc>
      </w:tr>
      <w:tr w14:paraId="4BC11A63">
        <w:tblPrEx>
          <w:tblCellMar>
            <w:top w:w="0" w:type="dxa"/>
            <w:left w:w="0" w:type="dxa"/>
            <w:bottom w:w="0" w:type="dxa"/>
            <w:right w:w="0" w:type="dxa"/>
          </w:tblCellMar>
        </w:tblPrEx>
        <w:trPr>
          <w:wBefore w:w="0" w:type="auto"/>
          <w:tblCellSpacing w:w="0" w:type="dxa"/>
        </w:trPr>
        <w:tc>
          <w:tcPr>
            <w:tcW w:w="0" w:type="auto"/>
            <w:noWrap w:val="0"/>
            <w:vAlign w:val="center"/>
          </w:tcPr>
          <w:p w14:paraId="79D6F427">
            <w:r>
              <w:rPr>
                <w:rStyle w:val="10"/>
                <w:rFonts w:hint="eastAsia"/>
              </w:rPr>
              <w:t>剂型：</w:t>
            </w:r>
            <w:r>
              <w:rPr>
                <w:rFonts w:hint="eastAsia"/>
              </w:rPr>
              <w:t>可溶粉剂</w:t>
            </w:r>
          </w:p>
        </w:tc>
      </w:tr>
      <w:tr w14:paraId="24C56073">
        <w:tblPrEx>
          <w:tblCellMar>
            <w:top w:w="0" w:type="dxa"/>
            <w:left w:w="0" w:type="dxa"/>
            <w:bottom w:w="0" w:type="dxa"/>
            <w:right w:w="0" w:type="dxa"/>
          </w:tblCellMar>
        </w:tblPrEx>
        <w:trPr>
          <w:wBefore w:w="0" w:type="auto"/>
          <w:tblCellSpacing w:w="0" w:type="dxa"/>
        </w:trPr>
        <w:tc>
          <w:tcPr>
            <w:tcW w:w="0" w:type="auto"/>
            <w:noWrap w:val="0"/>
            <w:vAlign w:val="center"/>
          </w:tcPr>
          <w:p w14:paraId="03470493">
            <w:r>
              <w:rPr>
                <w:rStyle w:val="10"/>
                <w:rFonts w:hint="eastAsia"/>
              </w:rPr>
              <w:t>毒性及其标识：</w:t>
            </w:r>
            <w:r>
              <w:rPr>
                <w:rFonts w:hint="eastAsia"/>
              </w:rPr>
              <w:t xml:space="preserve"> </w:t>
            </w:r>
            <w:r>
              <w:rPr>
                <w:lang/>
              </w:rPr>
              <w:drawing>
                <wp:inline distT="0" distB="0" distL="114300" distR="114300">
                  <wp:extent cx="476250" cy="323850"/>
                  <wp:effectExtent l="0" t="0" r="0" b="0"/>
                  <wp:docPr id="138" name="图片 13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FF18589">
        <w:tblPrEx>
          <w:tblCellMar>
            <w:top w:w="0" w:type="dxa"/>
            <w:left w:w="0" w:type="dxa"/>
            <w:bottom w:w="0" w:type="dxa"/>
            <w:right w:w="0" w:type="dxa"/>
          </w:tblCellMar>
        </w:tblPrEx>
        <w:trPr>
          <w:wBefore w:w="0" w:type="auto"/>
          <w:tblCellSpacing w:w="0" w:type="dxa"/>
        </w:trPr>
        <w:tc>
          <w:tcPr>
            <w:tcW w:w="0" w:type="auto"/>
            <w:noWrap w:val="0"/>
            <w:vAlign w:val="center"/>
          </w:tcPr>
          <w:p w14:paraId="31A5863B">
            <w:r>
              <w:rPr>
                <w:rStyle w:val="10"/>
                <w:rFonts w:hint="eastAsia"/>
              </w:rPr>
              <w:t>总有效成分含量：</w:t>
            </w:r>
            <w:r>
              <w:rPr>
                <w:rFonts w:hint="eastAsia"/>
              </w:rPr>
              <w:t>50%</w:t>
            </w:r>
          </w:p>
        </w:tc>
      </w:tr>
      <w:tr w14:paraId="02AE68FD">
        <w:tblPrEx>
          <w:tblCellMar>
            <w:top w:w="0" w:type="dxa"/>
            <w:left w:w="0" w:type="dxa"/>
            <w:bottom w:w="0" w:type="dxa"/>
            <w:right w:w="0" w:type="dxa"/>
          </w:tblCellMar>
        </w:tblPrEx>
        <w:trPr>
          <w:wBefore w:w="0" w:type="auto"/>
          <w:tblCellSpacing w:w="0" w:type="dxa"/>
        </w:trPr>
        <w:tc>
          <w:tcPr>
            <w:tcW w:w="0" w:type="auto"/>
            <w:noWrap w:val="0"/>
            <w:vAlign w:val="center"/>
          </w:tcPr>
          <w:p w14:paraId="685D053D">
            <w:r>
              <w:rPr>
                <w:rFonts w:hint="eastAsia"/>
              </w:rPr>
              <w:t xml:space="preserve">有效成分及其含量： </w:t>
            </w:r>
          </w:p>
          <w:p w14:paraId="40900FBB">
            <w:r>
              <w:rPr>
                <w:rFonts w:hint="eastAsia"/>
              </w:rPr>
              <w:t xml:space="preserve">    氯溴异氰尿酸50%    </w:t>
            </w:r>
          </w:p>
        </w:tc>
      </w:tr>
      <w:tr w14:paraId="6A3D6977">
        <w:tblPrEx>
          <w:tblCellMar>
            <w:top w:w="0" w:type="dxa"/>
            <w:left w:w="0" w:type="dxa"/>
            <w:bottom w:w="0" w:type="dxa"/>
            <w:right w:w="0" w:type="dxa"/>
          </w:tblCellMar>
        </w:tblPrEx>
        <w:trPr>
          <w:wBefore w:w="0" w:type="auto"/>
          <w:tblCellSpacing w:w="0" w:type="dxa"/>
        </w:trPr>
        <w:tc>
          <w:tcPr>
            <w:tcW w:w="0" w:type="auto"/>
            <w:noWrap w:val="0"/>
            <w:vAlign w:val="center"/>
          </w:tcPr>
          <w:p w14:paraId="71AC4C1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E4864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6FC46F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BB7E89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E4CC58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64983F0">
                  <w:r>
                    <w:rPr>
                      <w:rStyle w:val="11"/>
                      <w:rFonts w:hint="eastAsia"/>
                    </w:rPr>
                    <w:t>施用方式</w:t>
                  </w:r>
                </w:p>
              </w:tc>
            </w:tr>
            <w:tr w14:paraId="254B4B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69BD548">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7C0C97">
                  <w:r>
                    <w:rPr>
                      <w:rStyle w:val="11"/>
                      <w:rFonts w:hint="eastAsia"/>
                    </w:rPr>
                    <w:t>细菌性条斑病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3EAA0E">
                  <w:r>
                    <w:rPr>
                      <w:rStyle w:val="11"/>
                      <w:rFonts w:hint="eastAsia"/>
                    </w:rPr>
                    <w:t>40-60克/亩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9186D9">
                  <w:r>
                    <w:rPr>
                      <w:rStyle w:val="11"/>
                      <w:rFonts w:hint="eastAsia"/>
                    </w:rPr>
                    <w:t>喷雾</w:t>
                  </w:r>
                </w:p>
              </w:tc>
            </w:tr>
          </w:tbl>
          <w:p w14:paraId="33F9F855">
            <w:pPr>
              <w:rPr>
                <w:rFonts w:ascii="Times New Roman" w:hAnsi="Times New Roman" w:cs="Times New Roman"/>
                <w:sz w:val="20"/>
                <w:szCs w:val="20"/>
              </w:rPr>
            </w:pPr>
          </w:p>
        </w:tc>
      </w:tr>
      <w:tr w14:paraId="1CD45AF4">
        <w:tblPrEx>
          <w:tblCellMar>
            <w:top w:w="0" w:type="dxa"/>
            <w:left w:w="0" w:type="dxa"/>
            <w:bottom w:w="0" w:type="dxa"/>
            <w:right w:w="0" w:type="dxa"/>
          </w:tblCellMar>
        </w:tblPrEx>
        <w:trPr>
          <w:wBefore w:w="0" w:type="auto"/>
          <w:tblCellSpacing w:w="0" w:type="dxa"/>
        </w:trPr>
        <w:tc>
          <w:tcPr>
            <w:tcW w:w="0" w:type="auto"/>
            <w:noWrap w:val="0"/>
            <w:vAlign w:val="center"/>
          </w:tcPr>
          <w:p w14:paraId="59A0174A">
            <w:r>
              <w:rPr>
                <w:rStyle w:val="10"/>
                <w:rFonts w:hint="eastAsia"/>
              </w:rPr>
              <w:t>使用技术要求:</w:t>
            </w:r>
            <w:r>
              <w:rPr>
                <w:rFonts w:hint="eastAsia"/>
              </w:rPr>
              <w:br w:type="textWrapping"/>
            </w:r>
            <w:r>
              <w:rPr>
                <w:rStyle w:val="11"/>
                <w:rFonts w:hint="eastAsia"/>
              </w:rPr>
              <w:t>1、最佳施药时期：水稻孕穗期或病菌初发期；2、配制药液时，应充分搅拌使之完全溶解后再使用；3、喷药时植株叶正反面应均匀着药；4、根据病情建议每隔7-10天施用一次；5、大风天或预计1小时内有雨请勿施药。 安全使用标准：在水稻上的安全间隔期为10天，每季最多使用3次。</w:t>
            </w:r>
          </w:p>
        </w:tc>
      </w:tr>
      <w:tr w14:paraId="6912D1CF">
        <w:tblPrEx>
          <w:tblCellMar>
            <w:top w:w="0" w:type="dxa"/>
            <w:left w:w="0" w:type="dxa"/>
            <w:bottom w:w="0" w:type="dxa"/>
            <w:right w:w="0" w:type="dxa"/>
          </w:tblCellMar>
        </w:tblPrEx>
        <w:trPr>
          <w:wBefore w:w="0" w:type="auto"/>
          <w:tblCellSpacing w:w="0" w:type="dxa"/>
        </w:trPr>
        <w:tc>
          <w:tcPr>
            <w:tcW w:w="0" w:type="auto"/>
            <w:noWrap w:val="0"/>
            <w:vAlign w:val="center"/>
          </w:tcPr>
          <w:p w14:paraId="3B53DFF7">
            <w:r>
              <w:rPr>
                <w:rStyle w:val="10"/>
                <w:rFonts w:hint="eastAsia"/>
              </w:rPr>
              <w:t>产品性能:</w:t>
            </w:r>
            <w:r>
              <w:rPr>
                <w:rFonts w:hint="eastAsia"/>
              </w:rPr>
              <w:br w:type="textWrapping"/>
            </w:r>
            <w:r>
              <w:rPr>
                <w:rStyle w:val="11"/>
                <w:rFonts w:hint="eastAsia"/>
              </w:rPr>
              <w:t>本产品是一种内吸和保护性杀菌剂。针对作物的细菌性病害效果好，具有杀菌速度较快的特点，兼有治愈和预防作用，喷施在作物表面能慢慢地释放次溴酸（HOBr）和次氯酸（HOC1），起到杀死病菌的作用。</w:t>
            </w:r>
          </w:p>
        </w:tc>
      </w:tr>
      <w:tr w14:paraId="3C617E0C">
        <w:tblPrEx>
          <w:tblCellMar>
            <w:top w:w="0" w:type="dxa"/>
            <w:left w:w="0" w:type="dxa"/>
            <w:bottom w:w="0" w:type="dxa"/>
            <w:right w:w="0" w:type="dxa"/>
          </w:tblCellMar>
        </w:tblPrEx>
        <w:trPr>
          <w:wBefore w:w="0" w:type="auto"/>
          <w:tblCellSpacing w:w="0" w:type="dxa"/>
        </w:trPr>
        <w:tc>
          <w:tcPr>
            <w:tcW w:w="0" w:type="auto"/>
            <w:noWrap w:val="0"/>
            <w:vAlign w:val="center"/>
          </w:tcPr>
          <w:p w14:paraId="11549875">
            <w:r>
              <w:rPr>
                <w:rStyle w:val="10"/>
                <w:rFonts w:hint="eastAsia"/>
              </w:rPr>
              <w:t>注意事项：</w:t>
            </w:r>
            <w:r>
              <w:rPr>
                <w:rFonts w:hint="eastAsia"/>
              </w:rPr>
              <w:br w:type="textWrapping"/>
            </w:r>
            <w:r>
              <w:rPr>
                <w:rStyle w:val="11"/>
                <w:rFonts w:hint="eastAsia"/>
              </w:rPr>
              <w:t>1、不能与碱性物质和有机物混合使用。2、使用本品时应穿戴防护服和手套，避免接触药剂。施药期间不可吃东西和饮水。施药后应及时洗手和洗脸。3、不得污染各类水域，远离水产养殖区、河塘等水体施药，禁止在河塘等水体中清洗施药器具。鱼或虾蟹套养稻田禁用，施药后的田水不得直接排入水体。4、本产品在蚕室及桑园附近禁用，或采用最外围桑树作为隔离带，以降低对家蚕的风险。5、用过的容器应妥善处理，不可做他用，也不可随意丢弃。6、孕妇及哺乳期妇女禁止接触本品</w:t>
            </w:r>
          </w:p>
        </w:tc>
      </w:tr>
      <w:tr w14:paraId="5FA8244E">
        <w:tblPrEx>
          <w:tblCellMar>
            <w:top w:w="0" w:type="dxa"/>
            <w:left w:w="0" w:type="dxa"/>
            <w:bottom w:w="0" w:type="dxa"/>
            <w:right w:w="0" w:type="dxa"/>
          </w:tblCellMar>
        </w:tblPrEx>
        <w:trPr>
          <w:wBefore w:w="0" w:type="auto"/>
          <w:tblCellSpacing w:w="0" w:type="dxa"/>
        </w:trPr>
        <w:tc>
          <w:tcPr>
            <w:tcW w:w="0" w:type="auto"/>
            <w:noWrap w:val="0"/>
            <w:vAlign w:val="center"/>
          </w:tcPr>
          <w:p w14:paraId="09117447">
            <w:r>
              <w:rPr>
                <w:rStyle w:val="10"/>
                <w:rFonts w:hint="eastAsia"/>
              </w:rPr>
              <w:t>中毒急救措施：</w:t>
            </w:r>
            <w:r>
              <w:rPr>
                <w:rFonts w:hint="eastAsia"/>
              </w:rPr>
              <w:br w:type="textWrapping"/>
            </w:r>
            <w:r>
              <w:rPr>
                <w:rStyle w:val="11"/>
                <w:rFonts w:hint="eastAsia"/>
              </w:rPr>
              <w:t>1、避免药剂直接接触到皮肤及眼睛，一旦接触，立即用大量清水清洗。2、若误服而发生中毒现象时，禁止引吐，请速就医，并依据中毒情况对症治疗。</w:t>
            </w:r>
          </w:p>
        </w:tc>
      </w:tr>
      <w:tr w14:paraId="275CFB73">
        <w:tblPrEx>
          <w:tblCellMar>
            <w:top w:w="0" w:type="dxa"/>
            <w:left w:w="0" w:type="dxa"/>
            <w:bottom w:w="0" w:type="dxa"/>
            <w:right w:w="0" w:type="dxa"/>
          </w:tblCellMar>
        </w:tblPrEx>
        <w:trPr>
          <w:wBefore w:w="0" w:type="auto"/>
          <w:tblCellSpacing w:w="0" w:type="dxa"/>
        </w:trPr>
        <w:tc>
          <w:tcPr>
            <w:tcW w:w="0" w:type="auto"/>
            <w:noWrap w:val="0"/>
            <w:vAlign w:val="center"/>
          </w:tcPr>
          <w:p w14:paraId="56EA6BF7">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本品应贮存在干燥、阴凉、通风、防雨处，远离火源或热源。置于儿童触及不到之处，并加锁。勿与食品、饮料、粮食、饲料等其他商品同贮同运。</w:t>
            </w:r>
          </w:p>
        </w:tc>
      </w:tr>
      <w:tr w14:paraId="54E2EC80">
        <w:tblPrEx>
          <w:tblCellMar>
            <w:top w:w="0" w:type="dxa"/>
            <w:left w:w="0" w:type="dxa"/>
            <w:bottom w:w="0" w:type="dxa"/>
            <w:right w:w="0" w:type="dxa"/>
          </w:tblCellMar>
        </w:tblPrEx>
        <w:trPr>
          <w:wBefore w:w="0" w:type="auto"/>
          <w:tblCellSpacing w:w="0" w:type="dxa"/>
        </w:trPr>
        <w:tc>
          <w:tcPr>
            <w:tcW w:w="0" w:type="auto"/>
            <w:noWrap w:val="0"/>
            <w:vAlign w:val="center"/>
          </w:tcPr>
          <w:p w14:paraId="296A09A2">
            <w:r>
              <w:rPr>
                <w:rStyle w:val="10"/>
                <w:rFonts w:hint="eastAsia"/>
              </w:rPr>
              <w:t>质量保证期：</w:t>
            </w:r>
            <w:r>
              <w:rPr>
                <w:rStyle w:val="11"/>
                <w:rFonts w:hint="eastAsia"/>
              </w:rPr>
              <w:t>2年</w:t>
            </w:r>
          </w:p>
        </w:tc>
      </w:tr>
      <w:tr w14:paraId="2F1F56D2">
        <w:tblPrEx>
          <w:tblCellMar>
            <w:top w:w="0" w:type="dxa"/>
            <w:left w:w="0" w:type="dxa"/>
            <w:bottom w:w="0" w:type="dxa"/>
            <w:right w:w="0" w:type="dxa"/>
          </w:tblCellMar>
        </w:tblPrEx>
        <w:trPr>
          <w:wBefore w:w="0" w:type="auto"/>
          <w:tblCellSpacing w:w="0" w:type="dxa"/>
        </w:trPr>
        <w:tc>
          <w:tcPr>
            <w:tcW w:w="0" w:type="auto"/>
            <w:noWrap w:val="0"/>
            <w:vAlign w:val="center"/>
          </w:tcPr>
          <w:p w14:paraId="15915679">
            <w:r>
              <w:rPr>
                <w:rStyle w:val="10"/>
                <w:rFonts w:hint="eastAsia"/>
              </w:rPr>
              <w:t>备注：</w:t>
            </w:r>
          </w:p>
        </w:tc>
      </w:tr>
    </w:tbl>
    <w:p w14:paraId="14760FE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73762AC">
        <w:trPr>
          <w:wBefore w:w="0" w:type="auto"/>
          <w:tblCellSpacing w:w="0" w:type="dxa"/>
        </w:trPr>
        <w:tc>
          <w:tcPr>
            <w:tcW w:w="0" w:type="auto"/>
            <w:noWrap w:val="0"/>
            <w:vAlign w:val="center"/>
          </w:tcPr>
          <w:p w14:paraId="4365B347">
            <w:r>
              <w:rPr>
                <w:rStyle w:val="10"/>
                <w:rFonts w:hint="eastAsia"/>
              </w:rPr>
              <w:t>登记证号：</w:t>
            </w:r>
            <w:r>
              <w:rPr>
                <w:rFonts w:hint="eastAsia"/>
              </w:rPr>
              <w:t>PD20212134</w:t>
            </w:r>
          </w:p>
        </w:tc>
      </w:tr>
      <w:tr w14:paraId="4B4981D3">
        <w:tblPrEx>
          <w:tblCellMar>
            <w:top w:w="0" w:type="dxa"/>
            <w:left w:w="0" w:type="dxa"/>
            <w:bottom w:w="0" w:type="dxa"/>
            <w:right w:w="0" w:type="dxa"/>
          </w:tblCellMar>
        </w:tblPrEx>
        <w:trPr>
          <w:wBefore w:w="0" w:type="auto"/>
          <w:tblCellSpacing w:w="0" w:type="dxa"/>
        </w:trPr>
        <w:tc>
          <w:tcPr>
            <w:tcW w:w="0" w:type="auto"/>
            <w:noWrap w:val="0"/>
            <w:vAlign w:val="center"/>
          </w:tcPr>
          <w:p w14:paraId="3DDBBEEB">
            <w:r>
              <w:rPr>
                <w:rStyle w:val="10"/>
                <w:rFonts w:hint="eastAsia"/>
              </w:rPr>
              <w:t>登记证持有人：</w:t>
            </w:r>
            <w:r>
              <w:rPr>
                <w:rFonts w:hint="eastAsia"/>
              </w:rPr>
              <w:t>河南金田地农化有限责任公司</w:t>
            </w:r>
          </w:p>
        </w:tc>
      </w:tr>
      <w:tr w14:paraId="54D4BB2A">
        <w:tblPrEx>
          <w:tblCellMar>
            <w:top w:w="0" w:type="dxa"/>
            <w:left w:w="0" w:type="dxa"/>
            <w:bottom w:w="0" w:type="dxa"/>
            <w:right w:w="0" w:type="dxa"/>
          </w:tblCellMar>
        </w:tblPrEx>
        <w:trPr>
          <w:wBefore w:w="0" w:type="auto"/>
          <w:tblCellSpacing w:w="0" w:type="dxa"/>
        </w:trPr>
        <w:tc>
          <w:tcPr>
            <w:tcW w:w="0" w:type="auto"/>
            <w:noWrap w:val="0"/>
            <w:vAlign w:val="center"/>
          </w:tcPr>
          <w:p w14:paraId="15730E51">
            <w:r>
              <w:rPr>
                <w:rStyle w:val="10"/>
                <w:rFonts w:hint="eastAsia"/>
              </w:rPr>
              <w:t>农药名称：</w:t>
            </w:r>
            <w:r>
              <w:rPr>
                <w:rFonts w:hint="eastAsia"/>
              </w:rPr>
              <w:t>氯氟吡氧乙酸异辛酯</w:t>
            </w:r>
          </w:p>
        </w:tc>
      </w:tr>
      <w:tr w14:paraId="10A2B0CC">
        <w:tblPrEx>
          <w:tblCellMar>
            <w:top w:w="0" w:type="dxa"/>
            <w:left w:w="0" w:type="dxa"/>
            <w:bottom w:w="0" w:type="dxa"/>
            <w:right w:w="0" w:type="dxa"/>
          </w:tblCellMar>
        </w:tblPrEx>
        <w:trPr>
          <w:wBefore w:w="0" w:type="auto"/>
          <w:tblCellSpacing w:w="0" w:type="dxa"/>
        </w:trPr>
        <w:tc>
          <w:tcPr>
            <w:tcW w:w="0" w:type="auto"/>
            <w:noWrap w:val="0"/>
            <w:vAlign w:val="center"/>
          </w:tcPr>
          <w:p w14:paraId="2E7F3C3D">
            <w:r>
              <w:rPr>
                <w:rStyle w:val="10"/>
                <w:rFonts w:hint="eastAsia"/>
              </w:rPr>
              <w:t>剂型：</w:t>
            </w:r>
            <w:r>
              <w:rPr>
                <w:rFonts w:hint="eastAsia"/>
              </w:rPr>
              <w:t>乳油</w:t>
            </w:r>
          </w:p>
        </w:tc>
      </w:tr>
      <w:tr w14:paraId="370320D9">
        <w:tblPrEx>
          <w:tblCellMar>
            <w:top w:w="0" w:type="dxa"/>
            <w:left w:w="0" w:type="dxa"/>
            <w:bottom w:w="0" w:type="dxa"/>
            <w:right w:w="0" w:type="dxa"/>
          </w:tblCellMar>
        </w:tblPrEx>
        <w:trPr>
          <w:wBefore w:w="0" w:type="auto"/>
          <w:tblCellSpacing w:w="0" w:type="dxa"/>
        </w:trPr>
        <w:tc>
          <w:tcPr>
            <w:tcW w:w="0" w:type="auto"/>
            <w:noWrap w:val="0"/>
            <w:vAlign w:val="center"/>
          </w:tcPr>
          <w:p w14:paraId="00FC0B3F">
            <w:r>
              <w:rPr>
                <w:rStyle w:val="10"/>
                <w:rFonts w:hint="eastAsia"/>
              </w:rPr>
              <w:t>毒性及其标识：</w:t>
            </w:r>
            <w:r>
              <w:rPr>
                <w:rFonts w:hint="eastAsia"/>
              </w:rPr>
              <w:t xml:space="preserve"> </w:t>
            </w:r>
            <w:r>
              <w:rPr>
                <w:lang/>
              </w:rPr>
              <w:drawing>
                <wp:inline distT="0" distB="0" distL="114300" distR="114300">
                  <wp:extent cx="476250" cy="323850"/>
                  <wp:effectExtent l="0" t="0" r="0" b="0"/>
                  <wp:docPr id="139" name="图片 13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3F2C016">
        <w:tblPrEx>
          <w:tblCellMar>
            <w:top w:w="0" w:type="dxa"/>
            <w:left w:w="0" w:type="dxa"/>
            <w:bottom w:w="0" w:type="dxa"/>
            <w:right w:w="0" w:type="dxa"/>
          </w:tblCellMar>
        </w:tblPrEx>
        <w:trPr>
          <w:wBefore w:w="0" w:type="auto"/>
          <w:tblCellSpacing w:w="0" w:type="dxa"/>
        </w:trPr>
        <w:tc>
          <w:tcPr>
            <w:tcW w:w="0" w:type="auto"/>
            <w:noWrap w:val="0"/>
            <w:vAlign w:val="center"/>
          </w:tcPr>
          <w:p w14:paraId="303B037F">
            <w:r>
              <w:rPr>
                <w:rStyle w:val="10"/>
                <w:rFonts w:hint="eastAsia"/>
              </w:rPr>
              <w:t>总有效成分含量：</w:t>
            </w:r>
            <w:r>
              <w:rPr>
                <w:rFonts w:hint="eastAsia"/>
              </w:rPr>
              <w:t>36%</w:t>
            </w:r>
          </w:p>
        </w:tc>
      </w:tr>
      <w:tr w14:paraId="42D8F749">
        <w:tblPrEx>
          <w:tblCellMar>
            <w:top w:w="0" w:type="dxa"/>
            <w:left w:w="0" w:type="dxa"/>
            <w:bottom w:w="0" w:type="dxa"/>
            <w:right w:w="0" w:type="dxa"/>
          </w:tblCellMar>
        </w:tblPrEx>
        <w:trPr>
          <w:wBefore w:w="0" w:type="auto"/>
          <w:tblCellSpacing w:w="0" w:type="dxa"/>
        </w:trPr>
        <w:tc>
          <w:tcPr>
            <w:tcW w:w="0" w:type="auto"/>
            <w:noWrap w:val="0"/>
            <w:vAlign w:val="center"/>
          </w:tcPr>
          <w:p w14:paraId="197ED95F">
            <w:r>
              <w:rPr>
                <w:rFonts w:hint="eastAsia"/>
              </w:rPr>
              <w:t xml:space="preserve">有效成分及其含量： </w:t>
            </w:r>
          </w:p>
          <w:p w14:paraId="12A75DD7">
            <w:r>
              <w:rPr>
                <w:rFonts w:hint="eastAsia"/>
              </w:rPr>
              <w:t xml:space="preserve">    氯氟吡氧乙酸异辛酯36%    </w:t>
            </w:r>
          </w:p>
        </w:tc>
      </w:tr>
      <w:tr w14:paraId="46332052">
        <w:tblPrEx>
          <w:tblCellMar>
            <w:top w:w="0" w:type="dxa"/>
            <w:left w:w="0" w:type="dxa"/>
            <w:bottom w:w="0" w:type="dxa"/>
            <w:right w:w="0" w:type="dxa"/>
          </w:tblCellMar>
        </w:tblPrEx>
        <w:trPr>
          <w:wBefore w:w="0" w:type="auto"/>
          <w:tblCellSpacing w:w="0" w:type="dxa"/>
        </w:trPr>
        <w:tc>
          <w:tcPr>
            <w:tcW w:w="0" w:type="auto"/>
            <w:noWrap w:val="0"/>
            <w:vAlign w:val="center"/>
          </w:tcPr>
          <w:p w14:paraId="443EAF7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62F5E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EDAB4B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A92D7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2D4B1E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99EBEAA">
                  <w:r>
                    <w:rPr>
                      <w:rStyle w:val="11"/>
                      <w:rFonts w:hint="eastAsia"/>
                    </w:rPr>
                    <w:t>施用方式</w:t>
                  </w:r>
                </w:p>
              </w:tc>
            </w:tr>
            <w:tr w14:paraId="19845B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E644A42">
                  <w:r>
                    <w:rPr>
                      <w:rStyle w:val="11"/>
                      <w:rFonts w:hint="eastAsia"/>
                    </w:rPr>
                    <w:t>夏玉米田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C3C06F">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0701AE">
                  <w:r>
                    <w:rPr>
                      <w:rStyle w:val="11"/>
                      <w:rFonts w:hint="eastAsia"/>
                    </w:rPr>
                    <w:t>35-45毫升/亩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391197">
                  <w:r>
                    <w:rPr>
                      <w:rStyle w:val="11"/>
                      <w:rFonts w:hint="eastAsia"/>
                    </w:rPr>
                    <w:t>茎叶喷雾</w:t>
                  </w:r>
                </w:p>
              </w:tc>
            </w:tr>
          </w:tbl>
          <w:p w14:paraId="44B033AD">
            <w:pPr>
              <w:rPr>
                <w:rFonts w:ascii="Times New Roman" w:hAnsi="Times New Roman" w:cs="Times New Roman"/>
                <w:sz w:val="20"/>
                <w:szCs w:val="20"/>
              </w:rPr>
            </w:pPr>
          </w:p>
        </w:tc>
      </w:tr>
      <w:tr w14:paraId="1F210901">
        <w:tblPrEx>
          <w:tblCellMar>
            <w:top w:w="0" w:type="dxa"/>
            <w:left w:w="0" w:type="dxa"/>
            <w:bottom w:w="0" w:type="dxa"/>
            <w:right w:w="0" w:type="dxa"/>
          </w:tblCellMar>
        </w:tblPrEx>
        <w:trPr>
          <w:wBefore w:w="0" w:type="auto"/>
          <w:tblCellSpacing w:w="0" w:type="dxa"/>
        </w:trPr>
        <w:tc>
          <w:tcPr>
            <w:tcW w:w="0" w:type="auto"/>
            <w:noWrap w:val="0"/>
            <w:vAlign w:val="center"/>
          </w:tcPr>
          <w:p w14:paraId="32CB21C7">
            <w:r>
              <w:rPr>
                <w:rStyle w:val="10"/>
                <w:rFonts w:hint="eastAsia"/>
              </w:rPr>
              <w:t>使用技术要求:</w:t>
            </w:r>
            <w:r>
              <w:rPr>
                <w:rFonts w:hint="eastAsia"/>
              </w:rPr>
              <w:br w:type="textWrapping"/>
            </w:r>
            <w:r>
              <w:rPr>
                <w:rStyle w:val="11"/>
                <w:rFonts w:hint="eastAsia"/>
              </w:rPr>
              <w:t>1、本品于玉米3-5叶期，每亩兑水15-30升，茎叶喷雾。2、选择晴朗无风的天气施药，防止药液飘移到邻近的阔叶作物如大豆、花生、棉花、甘薯等。3、每季作物最多使用1次。4、不同玉米品种对本品安全性存在差异，其中观赏玉米、爆裂玉米、糯玉米、甜玉米等较敏感，不宜使用。</w:t>
            </w:r>
          </w:p>
        </w:tc>
      </w:tr>
      <w:tr w14:paraId="560C2C13">
        <w:tblPrEx>
          <w:tblCellMar>
            <w:top w:w="0" w:type="dxa"/>
            <w:left w:w="0" w:type="dxa"/>
            <w:bottom w:w="0" w:type="dxa"/>
            <w:right w:w="0" w:type="dxa"/>
          </w:tblCellMar>
        </w:tblPrEx>
        <w:trPr>
          <w:wBefore w:w="0" w:type="auto"/>
          <w:tblCellSpacing w:w="0" w:type="dxa"/>
        </w:trPr>
        <w:tc>
          <w:tcPr>
            <w:tcW w:w="0" w:type="auto"/>
            <w:noWrap w:val="0"/>
            <w:vAlign w:val="center"/>
          </w:tcPr>
          <w:p w14:paraId="2405B547">
            <w:r>
              <w:rPr>
                <w:rStyle w:val="10"/>
                <w:rFonts w:hint="eastAsia"/>
              </w:rPr>
              <w:t>产品性能:</w:t>
            </w:r>
            <w:r>
              <w:rPr>
                <w:rFonts w:hint="eastAsia"/>
              </w:rPr>
              <w:br w:type="textWrapping"/>
            </w:r>
            <w:r>
              <w:rPr>
                <w:rStyle w:val="11"/>
                <w:rFonts w:hint="eastAsia"/>
              </w:rPr>
              <w:t xml:space="preserve">本品属内吸传导型苗后茎叶处理除草剂。药后很快被植物吸收，使敏感杂草出现典型激素类除草剂的反应症状，植株畸形、扭曲。本品 对阔叶杂草如田旋花、打碗花、猪殃殃、卷茎蓼、马齿苋、龙葵、蓼、苋、水花生、大巢菜等多种阔叶杂草有很好的防效。 </w:t>
            </w:r>
          </w:p>
        </w:tc>
      </w:tr>
      <w:tr w14:paraId="1FB3D413">
        <w:tblPrEx>
          <w:tblCellMar>
            <w:top w:w="0" w:type="dxa"/>
            <w:left w:w="0" w:type="dxa"/>
            <w:bottom w:w="0" w:type="dxa"/>
            <w:right w:w="0" w:type="dxa"/>
          </w:tblCellMar>
        </w:tblPrEx>
        <w:trPr>
          <w:wBefore w:w="0" w:type="auto"/>
          <w:tblCellSpacing w:w="0" w:type="dxa"/>
        </w:trPr>
        <w:tc>
          <w:tcPr>
            <w:tcW w:w="0" w:type="auto"/>
            <w:noWrap w:val="0"/>
            <w:vAlign w:val="center"/>
          </w:tcPr>
          <w:p w14:paraId="1E103CBF">
            <w:r>
              <w:rPr>
                <w:rStyle w:val="10"/>
                <w:rFonts w:hint="eastAsia"/>
              </w:rPr>
              <w:t>注意事项：</w:t>
            </w:r>
            <w:r>
              <w:rPr>
                <w:rFonts w:hint="eastAsia"/>
              </w:rPr>
              <w:br w:type="textWrapping"/>
            </w:r>
            <w:r>
              <w:rPr>
                <w:rStyle w:val="11"/>
                <w:rFonts w:hint="eastAsia"/>
              </w:rPr>
              <w:t>1.严格按推荐的剂量施用，不得超范围使用。 2.建议采用扇形喷头喷施，田间喷药量要均匀一致，严禁重喷或漏喷。3.本品用药量根据杂草种类及大小来定，对敏感杂草，草龄小时用低药量；对难治杂草，草龄大时用高药量。4.使用过的喷雾器，应清洗干净后方可用于阔叶作物喷施其它农药。5.套种有阔叶作物的玉米田，不能使用本品6.施药时应穿戴长衣、长裤、帽子、口罩、手套等防护措施，避免吸入药液。施药期间不可吃东西和饮水等。施药后应及时洗手和洗脸等。7.蚕室、桑园附近及赤眼蜂等天敌放飞区域禁用，水产养殖区禁用、禁止河塘等水体中清洗施药器具。8.孕妇及哺乳期的妇女避免接触本产品。9.该产品为易燃液体。</w:t>
            </w:r>
          </w:p>
        </w:tc>
      </w:tr>
      <w:tr w14:paraId="2552E93F">
        <w:tblPrEx>
          <w:tblCellMar>
            <w:top w:w="0" w:type="dxa"/>
            <w:left w:w="0" w:type="dxa"/>
            <w:bottom w:w="0" w:type="dxa"/>
            <w:right w:w="0" w:type="dxa"/>
          </w:tblCellMar>
        </w:tblPrEx>
        <w:trPr>
          <w:wBefore w:w="0" w:type="auto"/>
          <w:tblCellSpacing w:w="0" w:type="dxa"/>
        </w:trPr>
        <w:tc>
          <w:tcPr>
            <w:tcW w:w="0" w:type="auto"/>
            <w:noWrap w:val="0"/>
            <w:vAlign w:val="center"/>
          </w:tcPr>
          <w:p w14:paraId="4685D81D">
            <w:r>
              <w:rPr>
                <w:rStyle w:val="10"/>
                <w:rFonts w:hint="eastAsia"/>
              </w:rPr>
              <w:t>中毒急救措施：</w:t>
            </w:r>
            <w:r>
              <w:rPr>
                <w:rFonts w:hint="eastAsia"/>
              </w:rPr>
              <w:br w:type="textWrapping"/>
            </w:r>
            <w:r>
              <w:rPr>
                <w:rStyle w:val="11"/>
                <w:rFonts w:hint="eastAsia"/>
              </w:rPr>
              <w:t xml:space="preserve">该产品对眼睛有刺激性，使用时避免药液接触眼睛。 中毒症状表现为皮肤刺痛、头痛、头昏、恶心呕吐，双手颤抖、抽搐、惊厥、昏迷等。用药时如感觉不适，立即停止工作，采取急救措施，并携此标签送医就诊；如溅入眼睛，立即用大量流动清水冲洗至少15分钟，再请医生诊治；如误服，立即停止，用大量的清水充分漱口后，应立即携此标签将病人送医院对症治疗。不慎吸入，立即将吸入者转移到空气新鲜处，严重者携标签就医。本品无特效解毒剂。可采取洗胃、活性炭吸附及稀释等办法救治，注意防止胃容物进入呼吸道。注意：切勿对昏迷病人经口喂入任何东西或引吐。 </w:t>
            </w:r>
          </w:p>
        </w:tc>
      </w:tr>
      <w:tr w14:paraId="1D3D37D3">
        <w:tblPrEx>
          <w:tblCellMar>
            <w:top w:w="0" w:type="dxa"/>
            <w:left w:w="0" w:type="dxa"/>
            <w:bottom w:w="0" w:type="dxa"/>
            <w:right w:w="0" w:type="dxa"/>
          </w:tblCellMar>
        </w:tblPrEx>
        <w:trPr>
          <w:wBefore w:w="0" w:type="auto"/>
          <w:tblCellSpacing w:w="0" w:type="dxa"/>
        </w:trPr>
        <w:tc>
          <w:tcPr>
            <w:tcW w:w="0" w:type="auto"/>
            <w:noWrap w:val="0"/>
            <w:vAlign w:val="center"/>
          </w:tcPr>
          <w:p w14:paraId="7BBBDAA7">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本品应贮存在干燥、阴凉、通风、防雨处，远离火源或热源。置于儿童触及不到之处，并加锁。勿与食品、饮料、粮食、饲料等其他商品同贮同运。 </w:t>
            </w:r>
          </w:p>
        </w:tc>
      </w:tr>
      <w:tr w14:paraId="6B7D209B">
        <w:tblPrEx>
          <w:tblCellMar>
            <w:top w:w="0" w:type="dxa"/>
            <w:left w:w="0" w:type="dxa"/>
            <w:bottom w:w="0" w:type="dxa"/>
            <w:right w:w="0" w:type="dxa"/>
          </w:tblCellMar>
        </w:tblPrEx>
        <w:trPr>
          <w:wBefore w:w="0" w:type="auto"/>
          <w:tblCellSpacing w:w="0" w:type="dxa"/>
        </w:trPr>
        <w:tc>
          <w:tcPr>
            <w:tcW w:w="0" w:type="auto"/>
            <w:noWrap w:val="0"/>
            <w:vAlign w:val="center"/>
          </w:tcPr>
          <w:p w14:paraId="1DAA6A00">
            <w:r>
              <w:rPr>
                <w:rStyle w:val="10"/>
                <w:rFonts w:hint="eastAsia"/>
              </w:rPr>
              <w:t>质量保证期：</w:t>
            </w:r>
            <w:r>
              <w:rPr>
                <w:rStyle w:val="11"/>
                <w:rFonts w:hint="eastAsia"/>
              </w:rPr>
              <w:t>2年</w:t>
            </w:r>
          </w:p>
        </w:tc>
      </w:tr>
      <w:tr w14:paraId="7DCAB96B">
        <w:tblPrEx>
          <w:tblCellMar>
            <w:top w:w="0" w:type="dxa"/>
            <w:left w:w="0" w:type="dxa"/>
            <w:bottom w:w="0" w:type="dxa"/>
            <w:right w:w="0" w:type="dxa"/>
          </w:tblCellMar>
        </w:tblPrEx>
        <w:trPr>
          <w:wBefore w:w="0" w:type="auto"/>
          <w:tblCellSpacing w:w="0" w:type="dxa"/>
        </w:trPr>
        <w:tc>
          <w:tcPr>
            <w:tcW w:w="0" w:type="auto"/>
            <w:noWrap w:val="0"/>
            <w:vAlign w:val="center"/>
          </w:tcPr>
          <w:p w14:paraId="21701133">
            <w:r>
              <w:rPr>
                <w:rStyle w:val="10"/>
                <w:rFonts w:hint="eastAsia"/>
              </w:rPr>
              <w:t>备注：</w:t>
            </w:r>
          </w:p>
        </w:tc>
      </w:tr>
    </w:tbl>
    <w:p w14:paraId="268810D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E37B88">
        <w:tblPrEx>
          <w:tblCellMar>
            <w:top w:w="0" w:type="dxa"/>
            <w:left w:w="0" w:type="dxa"/>
            <w:bottom w:w="0" w:type="dxa"/>
            <w:right w:w="0" w:type="dxa"/>
          </w:tblCellMar>
        </w:tblPrEx>
        <w:trPr>
          <w:wBefore w:w="0" w:type="auto"/>
          <w:tblCellSpacing w:w="0" w:type="dxa"/>
        </w:trPr>
        <w:tc>
          <w:tcPr>
            <w:tcW w:w="0" w:type="auto"/>
            <w:noWrap w:val="0"/>
            <w:vAlign w:val="center"/>
          </w:tcPr>
          <w:p w14:paraId="4CB907CB">
            <w:r>
              <w:rPr>
                <w:rStyle w:val="10"/>
                <w:rFonts w:hint="eastAsia"/>
              </w:rPr>
              <w:t>登记证号：</w:t>
            </w:r>
            <w:r>
              <w:rPr>
                <w:rFonts w:hint="eastAsia"/>
              </w:rPr>
              <w:t>PD20211738</w:t>
            </w:r>
          </w:p>
        </w:tc>
      </w:tr>
      <w:tr w14:paraId="028F6E13">
        <w:tblPrEx>
          <w:tblCellMar>
            <w:top w:w="0" w:type="dxa"/>
            <w:left w:w="0" w:type="dxa"/>
            <w:bottom w:w="0" w:type="dxa"/>
            <w:right w:w="0" w:type="dxa"/>
          </w:tblCellMar>
        </w:tblPrEx>
        <w:trPr>
          <w:wBefore w:w="0" w:type="auto"/>
          <w:tblCellSpacing w:w="0" w:type="dxa"/>
        </w:trPr>
        <w:tc>
          <w:tcPr>
            <w:tcW w:w="0" w:type="auto"/>
            <w:noWrap w:val="0"/>
            <w:vAlign w:val="center"/>
          </w:tcPr>
          <w:p w14:paraId="2046761D">
            <w:r>
              <w:rPr>
                <w:rStyle w:val="10"/>
                <w:rFonts w:hint="eastAsia"/>
              </w:rPr>
              <w:t>登记证持有人：</w:t>
            </w:r>
            <w:r>
              <w:rPr>
                <w:rFonts w:hint="eastAsia"/>
              </w:rPr>
              <w:t>浙江威尔达化工有限公司</w:t>
            </w:r>
          </w:p>
        </w:tc>
      </w:tr>
      <w:tr w14:paraId="1D7B6B3C">
        <w:tblPrEx>
          <w:tblCellMar>
            <w:top w:w="0" w:type="dxa"/>
            <w:left w:w="0" w:type="dxa"/>
            <w:bottom w:w="0" w:type="dxa"/>
            <w:right w:w="0" w:type="dxa"/>
          </w:tblCellMar>
        </w:tblPrEx>
        <w:trPr>
          <w:wBefore w:w="0" w:type="auto"/>
          <w:tblCellSpacing w:w="0" w:type="dxa"/>
        </w:trPr>
        <w:tc>
          <w:tcPr>
            <w:tcW w:w="0" w:type="auto"/>
            <w:noWrap w:val="0"/>
            <w:vAlign w:val="center"/>
          </w:tcPr>
          <w:p w14:paraId="0F98471C">
            <w:r>
              <w:rPr>
                <w:rStyle w:val="10"/>
                <w:rFonts w:hint="eastAsia"/>
              </w:rPr>
              <w:t>农药名称：</w:t>
            </w:r>
            <w:r>
              <w:rPr>
                <w:rFonts w:hint="eastAsia"/>
              </w:rPr>
              <w:t>联肼·乙螨唑</w:t>
            </w:r>
          </w:p>
        </w:tc>
      </w:tr>
      <w:tr w14:paraId="6B6C8FF7">
        <w:tblPrEx>
          <w:tblCellMar>
            <w:top w:w="0" w:type="dxa"/>
            <w:left w:w="0" w:type="dxa"/>
            <w:bottom w:w="0" w:type="dxa"/>
            <w:right w:w="0" w:type="dxa"/>
          </w:tblCellMar>
        </w:tblPrEx>
        <w:trPr>
          <w:wBefore w:w="0" w:type="auto"/>
          <w:tblCellSpacing w:w="0" w:type="dxa"/>
        </w:trPr>
        <w:tc>
          <w:tcPr>
            <w:tcW w:w="0" w:type="auto"/>
            <w:noWrap w:val="0"/>
            <w:vAlign w:val="center"/>
          </w:tcPr>
          <w:p w14:paraId="2E47A4AC">
            <w:r>
              <w:rPr>
                <w:rStyle w:val="10"/>
                <w:rFonts w:hint="eastAsia"/>
              </w:rPr>
              <w:t>剂型：</w:t>
            </w:r>
            <w:r>
              <w:rPr>
                <w:rFonts w:hint="eastAsia"/>
              </w:rPr>
              <w:t>悬浮剂</w:t>
            </w:r>
          </w:p>
        </w:tc>
      </w:tr>
      <w:tr w14:paraId="1E4B79B7">
        <w:tblPrEx>
          <w:tblCellMar>
            <w:top w:w="0" w:type="dxa"/>
            <w:left w:w="0" w:type="dxa"/>
            <w:bottom w:w="0" w:type="dxa"/>
            <w:right w:w="0" w:type="dxa"/>
          </w:tblCellMar>
        </w:tblPrEx>
        <w:trPr>
          <w:wBefore w:w="0" w:type="auto"/>
          <w:tblCellSpacing w:w="0" w:type="dxa"/>
        </w:trPr>
        <w:tc>
          <w:tcPr>
            <w:tcW w:w="0" w:type="auto"/>
            <w:noWrap w:val="0"/>
            <w:vAlign w:val="center"/>
          </w:tcPr>
          <w:p w14:paraId="439328B3">
            <w:r>
              <w:rPr>
                <w:rStyle w:val="10"/>
                <w:rFonts w:hint="eastAsia"/>
              </w:rPr>
              <w:t>毒性及其标识：</w:t>
            </w:r>
            <w:r>
              <w:rPr>
                <w:rFonts w:hint="eastAsia"/>
              </w:rPr>
              <w:t xml:space="preserve"> </w:t>
            </w:r>
            <w:r>
              <w:rPr>
                <w:lang/>
              </w:rPr>
              <w:drawing>
                <wp:inline distT="0" distB="0" distL="114300" distR="114300">
                  <wp:extent cx="476250" cy="323850"/>
                  <wp:effectExtent l="0" t="0" r="0" b="0"/>
                  <wp:docPr id="140" name="图片 14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6B34512">
        <w:tblPrEx>
          <w:tblCellMar>
            <w:top w:w="0" w:type="dxa"/>
            <w:left w:w="0" w:type="dxa"/>
            <w:bottom w:w="0" w:type="dxa"/>
            <w:right w:w="0" w:type="dxa"/>
          </w:tblCellMar>
        </w:tblPrEx>
        <w:trPr>
          <w:wBefore w:w="0" w:type="auto"/>
          <w:tblCellSpacing w:w="0" w:type="dxa"/>
        </w:trPr>
        <w:tc>
          <w:tcPr>
            <w:tcW w:w="0" w:type="auto"/>
            <w:noWrap w:val="0"/>
            <w:vAlign w:val="center"/>
          </w:tcPr>
          <w:p w14:paraId="74305ACA">
            <w:r>
              <w:rPr>
                <w:rStyle w:val="10"/>
                <w:rFonts w:hint="eastAsia"/>
              </w:rPr>
              <w:t>总有效成分含量：</w:t>
            </w:r>
            <w:r>
              <w:rPr>
                <w:rFonts w:hint="eastAsia"/>
              </w:rPr>
              <w:t>40%</w:t>
            </w:r>
          </w:p>
        </w:tc>
      </w:tr>
      <w:tr w14:paraId="2E76F3FA">
        <w:tblPrEx>
          <w:tblCellMar>
            <w:top w:w="0" w:type="dxa"/>
            <w:left w:w="0" w:type="dxa"/>
            <w:bottom w:w="0" w:type="dxa"/>
            <w:right w:w="0" w:type="dxa"/>
          </w:tblCellMar>
        </w:tblPrEx>
        <w:trPr>
          <w:wBefore w:w="0" w:type="auto"/>
          <w:tblCellSpacing w:w="0" w:type="dxa"/>
        </w:trPr>
        <w:tc>
          <w:tcPr>
            <w:tcW w:w="0" w:type="auto"/>
            <w:noWrap w:val="0"/>
            <w:vAlign w:val="center"/>
          </w:tcPr>
          <w:p w14:paraId="78DFD3D6">
            <w:r>
              <w:rPr>
                <w:rFonts w:hint="eastAsia"/>
              </w:rPr>
              <w:t xml:space="preserve">有效成分及其含量： </w:t>
            </w:r>
          </w:p>
          <w:p w14:paraId="33A17842">
            <w:r>
              <w:rPr>
                <w:rFonts w:hint="eastAsia"/>
              </w:rPr>
              <w:t xml:space="preserve">    联苯肼酯30%    乙螨唑10%    </w:t>
            </w:r>
          </w:p>
        </w:tc>
      </w:tr>
      <w:tr w14:paraId="27CD02C6">
        <w:tblPrEx>
          <w:tblCellMar>
            <w:top w:w="0" w:type="dxa"/>
            <w:left w:w="0" w:type="dxa"/>
            <w:bottom w:w="0" w:type="dxa"/>
            <w:right w:w="0" w:type="dxa"/>
          </w:tblCellMar>
        </w:tblPrEx>
        <w:trPr>
          <w:wBefore w:w="0" w:type="auto"/>
          <w:tblCellSpacing w:w="0" w:type="dxa"/>
        </w:trPr>
        <w:tc>
          <w:tcPr>
            <w:tcW w:w="0" w:type="auto"/>
            <w:noWrap w:val="0"/>
            <w:vAlign w:val="center"/>
          </w:tcPr>
          <w:p w14:paraId="0DFB8C1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49EB5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BD9D1C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67B52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368B9B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70536F3">
                  <w:r>
                    <w:rPr>
                      <w:rStyle w:val="11"/>
                      <w:rFonts w:hint="eastAsia"/>
                    </w:rPr>
                    <w:t>施用方式</w:t>
                  </w:r>
                </w:p>
              </w:tc>
            </w:tr>
            <w:tr w14:paraId="3CA905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65DE41E">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A102D4">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D0F8C8">
                  <w:r>
                    <w:rPr>
                      <w:rStyle w:val="11"/>
                      <w:rFonts w:hint="eastAsia"/>
                    </w:rPr>
                    <w:t>4600-5400倍液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9C0E8B">
                  <w:r>
                    <w:rPr>
                      <w:rStyle w:val="11"/>
                      <w:rFonts w:hint="eastAsia"/>
                    </w:rPr>
                    <w:t>喷雾</w:t>
                  </w:r>
                </w:p>
              </w:tc>
            </w:tr>
          </w:tbl>
          <w:p w14:paraId="6A1667BA">
            <w:pPr>
              <w:rPr>
                <w:rFonts w:ascii="Times New Roman" w:hAnsi="Times New Roman" w:cs="Times New Roman"/>
                <w:sz w:val="20"/>
                <w:szCs w:val="20"/>
              </w:rPr>
            </w:pPr>
          </w:p>
        </w:tc>
      </w:tr>
      <w:tr w14:paraId="1B085F36">
        <w:tblPrEx>
          <w:tblCellMar>
            <w:top w:w="0" w:type="dxa"/>
            <w:left w:w="0" w:type="dxa"/>
            <w:bottom w:w="0" w:type="dxa"/>
            <w:right w:w="0" w:type="dxa"/>
          </w:tblCellMar>
        </w:tblPrEx>
        <w:trPr>
          <w:wBefore w:w="0" w:type="auto"/>
          <w:tblCellSpacing w:w="0" w:type="dxa"/>
        </w:trPr>
        <w:tc>
          <w:tcPr>
            <w:tcW w:w="0" w:type="auto"/>
            <w:noWrap w:val="0"/>
            <w:vAlign w:val="center"/>
          </w:tcPr>
          <w:p w14:paraId="139DB1D2">
            <w:r>
              <w:rPr>
                <w:rStyle w:val="10"/>
                <w:rFonts w:hint="eastAsia"/>
              </w:rPr>
              <w:t>使用技术要求:</w:t>
            </w:r>
            <w:r>
              <w:rPr>
                <w:rFonts w:hint="eastAsia"/>
              </w:rPr>
              <w:br w:type="textWrapping"/>
            </w:r>
            <w:r>
              <w:rPr>
                <w:rStyle w:val="11"/>
                <w:rFonts w:hint="eastAsia"/>
              </w:rPr>
              <w:t>1. 防治柑橘树红蜘蛛于红蜘蛛发生始盛期喷雾施药1次。 注意喷雾均匀、周到。2. 每季最多施药1次，安全间隔期为20天。3. 大风天或预计1小时之内有雨，请勿施药。</w:t>
            </w:r>
          </w:p>
        </w:tc>
      </w:tr>
      <w:tr w14:paraId="49D03DD4">
        <w:tblPrEx>
          <w:tblCellMar>
            <w:top w:w="0" w:type="dxa"/>
            <w:left w:w="0" w:type="dxa"/>
            <w:bottom w:w="0" w:type="dxa"/>
            <w:right w:w="0" w:type="dxa"/>
          </w:tblCellMar>
        </w:tblPrEx>
        <w:trPr>
          <w:wBefore w:w="0" w:type="auto"/>
          <w:tblCellSpacing w:w="0" w:type="dxa"/>
        </w:trPr>
        <w:tc>
          <w:tcPr>
            <w:tcW w:w="0" w:type="auto"/>
            <w:noWrap w:val="0"/>
            <w:vAlign w:val="center"/>
          </w:tcPr>
          <w:p w14:paraId="4F20BAFA">
            <w:r>
              <w:rPr>
                <w:rStyle w:val="10"/>
                <w:rFonts w:hint="eastAsia"/>
              </w:rPr>
              <w:t>产品性能:</w:t>
            </w:r>
            <w:r>
              <w:rPr>
                <w:rFonts w:hint="eastAsia"/>
              </w:rPr>
              <w:br w:type="textWrapping"/>
            </w:r>
            <w:r>
              <w:rPr>
                <w:rStyle w:val="11"/>
                <w:rFonts w:hint="eastAsia"/>
              </w:rPr>
              <w:t>本品是由联苯肼酯和乙螨唑复配而成的杀虫剂。其作用机理是抑制螨类的蜕皮过程，从而对螨从卵、幼虫到蛹不同阶段都有优异的触杀性。对柑橘树红蜘蛛具有良好的防治效果。</w:t>
            </w:r>
          </w:p>
        </w:tc>
      </w:tr>
      <w:tr w14:paraId="0FAAC8C2">
        <w:tblPrEx>
          <w:tblCellMar>
            <w:top w:w="0" w:type="dxa"/>
            <w:left w:w="0" w:type="dxa"/>
            <w:bottom w:w="0" w:type="dxa"/>
            <w:right w:w="0" w:type="dxa"/>
          </w:tblCellMar>
        </w:tblPrEx>
        <w:trPr>
          <w:wBefore w:w="0" w:type="auto"/>
          <w:tblCellSpacing w:w="0" w:type="dxa"/>
        </w:trPr>
        <w:tc>
          <w:tcPr>
            <w:tcW w:w="0" w:type="auto"/>
            <w:noWrap w:val="0"/>
            <w:vAlign w:val="center"/>
          </w:tcPr>
          <w:p w14:paraId="56AA2F2F">
            <w:r>
              <w:rPr>
                <w:rStyle w:val="10"/>
                <w:rFonts w:hint="eastAsia"/>
              </w:rPr>
              <w:t>注意事项：</w:t>
            </w:r>
            <w:r>
              <w:rPr>
                <w:rFonts w:hint="eastAsia"/>
              </w:rPr>
              <w:br w:type="textWrapping"/>
            </w:r>
            <w:r>
              <w:rPr>
                <w:rStyle w:val="11"/>
                <w:rFonts w:hint="eastAsia"/>
              </w:rPr>
              <w:t>1、本品对鸟类、鱼类等水生生物有毒，施药期间应远离水产养殖区、河塘等水体施药，禁止在河塘等水体中清洗施药器具。鸟类保护区附近禁用，蚕室和桑园附近禁用。2、建议与其他作用机制不同的杀虫剂轮换使用，以延缓抗性产生。3、使用时穿戴长衣、长裤、帽子、口罩、手套等防护措施。避免接触皮肤、眼睛和污染衣物，避免吸入药滴。施药期间不可吃东西和饮水，施药后应及时洗手和洗脸，并更换工作服。4、用药后包装物及用过的容器应妥善处理，不可做他用，也不可随意丢弃。5、孕妇及哺乳期妇女禁止接触本产品。</w:t>
            </w:r>
          </w:p>
        </w:tc>
      </w:tr>
      <w:tr w14:paraId="20432E32">
        <w:tblPrEx>
          <w:tblCellMar>
            <w:top w:w="0" w:type="dxa"/>
            <w:left w:w="0" w:type="dxa"/>
            <w:bottom w:w="0" w:type="dxa"/>
            <w:right w:w="0" w:type="dxa"/>
          </w:tblCellMar>
        </w:tblPrEx>
        <w:trPr>
          <w:wBefore w:w="0" w:type="auto"/>
          <w:tblCellSpacing w:w="0" w:type="dxa"/>
        </w:trPr>
        <w:tc>
          <w:tcPr>
            <w:tcW w:w="0" w:type="auto"/>
            <w:noWrap w:val="0"/>
            <w:vAlign w:val="center"/>
          </w:tcPr>
          <w:p w14:paraId="1111389F">
            <w:r>
              <w:rPr>
                <w:rStyle w:val="10"/>
                <w:rFonts w:hint="eastAsia"/>
              </w:rPr>
              <w:t>中毒急救措施：</w:t>
            </w:r>
            <w:r>
              <w:rPr>
                <w:rFonts w:hint="eastAsia"/>
              </w:rPr>
              <w:br w:type="textWrapping"/>
            </w:r>
            <w:r>
              <w:rPr>
                <w:rStyle w:val="11"/>
                <w:rFonts w:hint="eastAsia"/>
              </w:rPr>
              <w:t>中毒症状：使用中或使用后如果感觉不适，应立即停止工作，采取急救措施，并携带标签送医院就诊。 急救措施：皮肤接触：脱去污染的衣物，立即用软布去除沾染农药，用大量清水和肥皂冲洗。眼睛溅入：立即用流动清水冲洗不少于15分钟。吸入：立即离开施药现场，转移到空气新鲜处。误服：立即停止服用，用清水充分漱口后，携带农药标签到医院就诊。无特效解毒剂，对症治疗。</w:t>
            </w:r>
          </w:p>
        </w:tc>
      </w:tr>
      <w:tr w14:paraId="68FB3273">
        <w:tblPrEx>
          <w:tblCellMar>
            <w:top w:w="0" w:type="dxa"/>
            <w:left w:w="0" w:type="dxa"/>
            <w:bottom w:w="0" w:type="dxa"/>
            <w:right w:w="0" w:type="dxa"/>
          </w:tblCellMar>
        </w:tblPrEx>
        <w:trPr>
          <w:wBefore w:w="0" w:type="auto"/>
          <w:tblCellSpacing w:w="0" w:type="dxa"/>
        </w:trPr>
        <w:tc>
          <w:tcPr>
            <w:tcW w:w="0" w:type="auto"/>
            <w:noWrap w:val="0"/>
            <w:vAlign w:val="center"/>
          </w:tcPr>
          <w:p w14:paraId="0123390E">
            <w:r>
              <w:rPr>
                <w:rStyle w:val="10"/>
                <w:rFonts w:hint="eastAsia"/>
              </w:rPr>
              <w:t>储存和运输方法：</w:t>
            </w:r>
            <w:r>
              <w:rPr>
                <w:rFonts w:hint="eastAsia"/>
              </w:rPr>
              <w:br w:type="textWrapping"/>
            </w:r>
            <w:r>
              <w:rPr>
                <w:rStyle w:val="11"/>
                <w:rFonts w:hint="eastAsia"/>
              </w:rPr>
              <w:t>本品应储存在干燥、阴凉、通风、防雨处，远离火源或热源。置于儿童、无关人员及动物触及不到之处，并加锁保存。勿与食品、饮料、粮食、饲料等其他商品同贮同运。</w:t>
            </w:r>
          </w:p>
        </w:tc>
      </w:tr>
      <w:tr w14:paraId="68B59512">
        <w:tblPrEx>
          <w:tblCellMar>
            <w:top w:w="0" w:type="dxa"/>
            <w:left w:w="0" w:type="dxa"/>
            <w:bottom w:w="0" w:type="dxa"/>
            <w:right w:w="0" w:type="dxa"/>
          </w:tblCellMar>
        </w:tblPrEx>
        <w:trPr>
          <w:wBefore w:w="0" w:type="auto"/>
          <w:tblCellSpacing w:w="0" w:type="dxa"/>
        </w:trPr>
        <w:tc>
          <w:tcPr>
            <w:tcW w:w="0" w:type="auto"/>
            <w:noWrap w:val="0"/>
            <w:vAlign w:val="center"/>
          </w:tcPr>
          <w:p w14:paraId="77127C26">
            <w:r>
              <w:rPr>
                <w:rStyle w:val="10"/>
                <w:rFonts w:hint="eastAsia"/>
              </w:rPr>
              <w:t>质量保证期：</w:t>
            </w:r>
            <w:r>
              <w:rPr>
                <w:rStyle w:val="11"/>
                <w:rFonts w:hint="eastAsia"/>
              </w:rPr>
              <w:t>2年</w:t>
            </w:r>
          </w:p>
        </w:tc>
      </w:tr>
      <w:tr w14:paraId="6E9B0634">
        <w:tblPrEx>
          <w:tblCellMar>
            <w:top w:w="0" w:type="dxa"/>
            <w:left w:w="0" w:type="dxa"/>
            <w:bottom w:w="0" w:type="dxa"/>
            <w:right w:w="0" w:type="dxa"/>
          </w:tblCellMar>
        </w:tblPrEx>
        <w:trPr>
          <w:wBefore w:w="0" w:type="auto"/>
          <w:tblCellSpacing w:w="0" w:type="dxa"/>
        </w:trPr>
        <w:tc>
          <w:tcPr>
            <w:tcW w:w="0" w:type="auto"/>
            <w:noWrap w:val="0"/>
            <w:vAlign w:val="center"/>
          </w:tcPr>
          <w:p w14:paraId="45ECD18F">
            <w:r>
              <w:rPr>
                <w:rStyle w:val="10"/>
                <w:rFonts w:hint="eastAsia"/>
              </w:rPr>
              <w:t>备注：</w:t>
            </w:r>
          </w:p>
        </w:tc>
      </w:tr>
    </w:tbl>
    <w:p w14:paraId="13B157B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ECDAAB">
        <w:tblPrEx>
          <w:tblCellMar>
            <w:top w:w="0" w:type="dxa"/>
            <w:left w:w="0" w:type="dxa"/>
            <w:bottom w:w="0" w:type="dxa"/>
            <w:right w:w="0" w:type="dxa"/>
          </w:tblCellMar>
        </w:tblPrEx>
        <w:trPr>
          <w:wBefore w:w="0" w:type="auto"/>
          <w:tblCellSpacing w:w="0" w:type="dxa"/>
        </w:trPr>
        <w:tc>
          <w:tcPr>
            <w:tcW w:w="0" w:type="auto"/>
            <w:noWrap w:val="0"/>
            <w:vAlign w:val="center"/>
          </w:tcPr>
          <w:p w14:paraId="66F27E1D">
            <w:r>
              <w:rPr>
                <w:rStyle w:val="10"/>
                <w:rFonts w:hint="eastAsia"/>
              </w:rPr>
              <w:t>登记证号：</w:t>
            </w:r>
            <w:r>
              <w:rPr>
                <w:rFonts w:hint="eastAsia"/>
              </w:rPr>
              <w:t>PD20211722</w:t>
            </w:r>
          </w:p>
        </w:tc>
      </w:tr>
      <w:tr w14:paraId="58205865">
        <w:tblPrEx>
          <w:tblCellMar>
            <w:top w:w="0" w:type="dxa"/>
            <w:left w:w="0" w:type="dxa"/>
            <w:bottom w:w="0" w:type="dxa"/>
            <w:right w:w="0" w:type="dxa"/>
          </w:tblCellMar>
        </w:tblPrEx>
        <w:trPr>
          <w:wBefore w:w="0" w:type="auto"/>
          <w:tblCellSpacing w:w="0" w:type="dxa"/>
        </w:trPr>
        <w:tc>
          <w:tcPr>
            <w:tcW w:w="0" w:type="auto"/>
            <w:noWrap w:val="0"/>
            <w:vAlign w:val="center"/>
          </w:tcPr>
          <w:p w14:paraId="72CFD9C5">
            <w:r>
              <w:rPr>
                <w:rStyle w:val="10"/>
                <w:rFonts w:hint="eastAsia"/>
              </w:rPr>
              <w:t>登记证持有人：</w:t>
            </w:r>
            <w:r>
              <w:rPr>
                <w:rFonts w:hint="eastAsia"/>
              </w:rPr>
              <w:t>江苏省南通南沈植保科技开发有限公司</w:t>
            </w:r>
          </w:p>
        </w:tc>
      </w:tr>
      <w:tr w14:paraId="4D94A98C">
        <w:tblPrEx>
          <w:tblCellMar>
            <w:top w:w="0" w:type="dxa"/>
            <w:left w:w="0" w:type="dxa"/>
            <w:bottom w:w="0" w:type="dxa"/>
            <w:right w:w="0" w:type="dxa"/>
          </w:tblCellMar>
        </w:tblPrEx>
        <w:trPr>
          <w:wBefore w:w="0" w:type="auto"/>
          <w:tblCellSpacing w:w="0" w:type="dxa"/>
        </w:trPr>
        <w:tc>
          <w:tcPr>
            <w:tcW w:w="0" w:type="auto"/>
            <w:noWrap w:val="0"/>
            <w:vAlign w:val="center"/>
          </w:tcPr>
          <w:p w14:paraId="3CC87CD0">
            <w:r>
              <w:rPr>
                <w:rStyle w:val="10"/>
                <w:rFonts w:hint="eastAsia"/>
              </w:rPr>
              <w:t>农药名称：</w:t>
            </w:r>
            <w:r>
              <w:rPr>
                <w:rFonts w:hint="eastAsia"/>
              </w:rPr>
              <w:t>二嗪磷</w:t>
            </w:r>
          </w:p>
        </w:tc>
      </w:tr>
      <w:tr w14:paraId="14BCD274">
        <w:tblPrEx>
          <w:tblCellMar>
            <w:top w:w="0" w:type="dxa"/>
            <w:left w:w="0" w:type="dxa"/>
            <w:bottom w:w="0" w:type="dxa"/>
            <w:right w:w="0" w:type="dxa"/>
          </w:tblCellMar>
        </w:tblPrEx>
        <w:trPr>
          <w:wBefore w:w="0" w:type="auto"/>
          <w:tblCellSpacing w:w="0" w:type="dxa"/>
        </w:trPr>
        <w:tc>
          <w:tcPr>
            <w:tcW w:w="0" w:type="auto"/>
            <w:noWrap w:val="0"/>
            <w:vAlign w:val="center"/>
          </w:tcPr>
          <w:p w14:paraId="440DC0CF">
            <w:r>
              <w:rPr>
                <w:rStyle w:val="10"/>
                <w:rFonts w:hint="eastAsia"/>
              </w:rPr>
              <w:t>剂型：</w:t>
            </w:r>
            <w:r>
              <w:rPr>
                <w:rFonts w:hint="eastAsia"/>
              </w:rPr>
              <w:t>微囊悬浮剂</w:t>
            </w:r>
          </w:p>
        </w:tc>
      </w:tr>
      <w:tr w14:paraId="0FAC9721">
        <w:tblPrEx>
          <w:tblCellMar>
            <w:top w:w="0" w:type="dxa"/>
            <w:left w:w="0" w:type="dxa"/>
            <w:bottom w:w="0" w:type="dxa"/>
            <w:right w:w="0" w:type="dxa"/>
          </w:tblCellMar>
        </w:tblPrEx>
        <w:trPr>
          <w:wBefore w:w="0" w:type="auto"/>
          <w:tblCellSpacing w:w="0" w:type="dxa"/>
        </w:trPr>
        <w:tc>
          <w:tcPr>
            <w:tcW w:w="0" w:type="auto"/>
            <w:noWrap w:val="0"/>
            <w:vAlign w:val="center"/>
          </w:tcPr>
          <w:p w14:paraId="54FAC160">
            <w:r>
              <w:rPr>
                <w:rStyle w:val="10"/>
                <w:rFonts w:hint="eastAsia"/>
              </w:rPr>
              <w:t>毒性及其标识：</w:t>
            </w:r>
            <w:r>
              <w:rPr>
                <w:rFonts w:hint="eastAsia"/>
              </w:rPr>
              <w:t xml:space="preserve"> </w:t>
            </w:r>
            <w:r>
              <w:rPr>
                <w:lang/>
              </w:rPr>
              <w:drawing>
                <wp:inline distT="0" distB="0" distL="114300" distR="114300">
                  <wp:extent cx="476250" cy="323850"/>
                  <wp:effectExtent l="0" t="0" r="0" b="0"/>
                  <wp:docPr id="141" name="图片 14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9D85C5C">
        <w:tblPrEx>
          <w:tblCellMar>
            <w:top w:w="0" w:type="dxa"/>
            <w:left w:w="0" w:type="dxa"/>
            <w:bottom w:w="0" w:type="dxa"/>
            <w:right w:w="0" w:type="dxa"/>
          </w:tblCellMar>
        </w:tblPrEx>
        <w:trPr>
          <w:wBefore w:w="0" w:type="auto"/>
          <w:tblCellSpacing w:w="0" w:type="dxa"/>
        </w:trPr>
        <w:tc>
          <w:tcPr>
            <w:tcW w:w="0" w:type="auto"/>
            <w:noWrap w:val="0"/>
            <w:vAlign w:val="center"/>
          </w:tcPr>
          <w:p w14:paraId="4E93408E">
            <w:r>
              <w:rPr>
                <w:rStyle w:val="10"/>
                <w:rFonts w:hint="eastAsia"/>
              </w:rPr>
              <w:t>总有效成分含量：</w:t>
            </w:r>
            <w:r>
              <w:rPr>
                <w:rFonts w:hint="eastAsia"/>
              </w:rPr>
              <w:t>40%</w:t>
            </w:r>
          </w:p>
        </w:tc>
      </w:tr>
      <w:tr w14:paraId="25E421AB">
        <w:tblPrEx>
          <w:tblCellMar>
            <w:top w:w="0" w:type="dxa"/>
            <w:left w:w="0" w:type="dxa"/>
            <w:bottom w:w="0" w:type="dxa"/>
            <w:right w:w="0" w:type="dxa"/>
          </w:tblCellMar>
        </w:tblPrEx>
        <w:trPr>
          <w:wBefore w:w="0" w:type="auto"/>
          <w:tblCellSpacing w:w="0" w:type="dxa"/>
        </w:trPr>
        <w:tc>
          <w:tcPr>
            <w:tcW w:w="0" w:type="auto"/>
            <w:noWrap w:val="0"/>
            <w:vAlign w:val="center"/>
          </w:tcPr>
          <w:p w14:paraId="599E7A6A">
            <w:r>
              <w:rPr>
                <w:rFonts w:hint="eastAsia"/>
              </w:rPr>
              <w:t xml:space="preserve">有效成分及其含量： </w:t>
            </w:r>
          </w:p>
          <w:p w14:paraId="5278A9A8">
            <w:r>
              <w:rPr>
                <w:rFonts w:hint="eastAsia"/>
              </w:rPr>
              <w:t xml:space="preserve">    二嗪磷40%    </w:t>
            </w:r>
          </w:p>
        </w:tc>
      </w:tr>
      <w:tr w14:paraId="2A45E436">
        <w:tblPrEx>
          <w:tblCellMar>
            <w:top w:w="0" w:type="dxa"/>
            <w:left w:w="0" w:type="dxa"/>
            <w:bottom w:w="0" w:type="dxa"/>
            <w:right w:w="0" w:type="dxa"/>
          </w:tblCellMar>
        </w:tblPrEx>
        <w:trPr>
          <w:wBefore w:w="0" w:type="auto"/>
          <w:tblCellSpacing w:w="0" w:type="dxa"/>
        </w:trPr>
        <w:tc>
          <w:tcPr>
            <w:tcW w:w="0" w:type="auto"/>
            <w:noWrap w:val="0"/>
            <w:vAlign w:val="center"/>
          </w:tcPr>
          <w:p w14:paraId="1BD7427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47D9B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5187F0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167E1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EE2D94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B7804DD">
                  <w:r>
                    <w:rPr>
                      <w:rStyle w:val="11"/>
                      <w:rFonts w:hint="eastAsia"/>
                    </w:rPr>
                    <w:t>施用方式</w:t>
                  </w:r>
                </w:p>
              </w:tc>
            </w:tr>
            <w:tr w14:paraId="0925DF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FF52F9C">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25BC92">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091580">
                  <w:r>
                    <w:rPr>
                      <w:rStyle w:val="11"/>
                      <w:rFonts w:hint="eastAsia"/>
                    </w:rPr>
                    <w:t>250-350毫升/亩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E6F023">
                  <w:r>
                    <w:rPr>
                      <w:rStyle w:val="11"/>
                      <w:rFonts w:hint="eastAsia"/>
                    </w:rPr>
                    <w:t>灌根</w:t>
                  </w:r>
                </w:p>
              </w:tc>
            </w:tr>
          </w:tbl>
          <w:p w14:paraId="3B526FDC">
            <w:pPr>
              <w:rPr>
                <w:rFonts w:ascii="Times New Roman" w:hAnsi="Times New Roman" w:cs="Times New Roman"/>
                <w:sz w:val="20"/>
                <w:szCs w:val="20"/>
              </w:rPr>
            </w:pPr>
          </w:p>
        </w:tc>
      </w:tr>
      <w:tr w14:paraId="7318673E">
        <w:tblPrEx>
          <w:tblCellMar>
            <w:top w:w="0" w:type="dxa"/>
            <w:left w:w="0" w:type="dxa"/>
            <w:bottom w:w="0" w:type="dxa"/>
            <w:right w:w="0" w:type="dxa"/>
          </w:tblCellMar>
        </w:tblPrEx>
        <w:trPr>
          <w:wBefore w:w="0" w:type="auto"/>
          <w:tblCellSpacing w:w="0" w:type="dxa"/>
        </w:trPr>
        <w:tc>
          <w:tcPr>
            <w:tcW w:w="0" w:type="auto"/>
            <w:noWrap w:val="0"/>
            <w:vAlign w:val="center"/>
          </w:tcPr>
          <w:p w14:paraId="2BE82AE4">
            <w:r>
              <w:rPr>
                <w:rStyle w:val="10"/>
                <w:rFonts w:hint="eastAsia"/>
              </w:rPr>
              <w:t>使用技术要求:</w:t>
            </w:r>
            <w:r>
              <w:rPr>
                <w:rFonts w:hint="eastAsia"/>
              </w:rPr>
              <w:br w:type="textWrapping"/>
            </w:r>
            <w:r>
              <w:rPr>
                <w:rStyle w:val="11"/>
                <w:rFonts w:hint="eastAsia"/>
              </w:rPr>
              <w:t>1. 大风天或预计1小时内降雨，请勿施药。 2. 本品的适宜施药时期为花生下针期灌根处理一次，每季作物最多使用一次。</w:t>
            </w:r>
          </w:p>
        </w:tc>
      </w:tr>
      <w:tr w14:paraId="4330AE86">
        <w:tblPrEx>
          <w:tblCellMar>
            <w:top w:w="0" w:type="dxa"/>
            <w:left w:w="0" w:type="dxa"/>
            <w:bottom w:w="0" w:type="dxa"/>
            <w:right w:w="0" w:type="dxa"/>
          </w:tblCellMar>
        </w:tblPrEx>
        <w:trPr>
          <w:wBefore w:w="0" w:type="auto"/>
          <w:tblCellSpacing w:w="0" w:type="dxa"/>
        </w:trPr>
        <w:tc>
          <w:tcPr>
            <w:tcW w:w="0" w:type="auto"/>
            <w:noWrap w:val="0"/>
            <w:vAlign w:val="center"/>
          </w:tcPr>
          <w:p w14:paraId="46C9BF68">
            <w:r>
              <w:rPr>
                <w:rStyle w:val="10"/>
                <w:rFonts w:hint="eastAsia"/>
              </w:rPr>
              <w:t>产品性能:</w:t>
            </w:r>
            <w:r>
              <w:rPr>
                <w:rFonts w:hint="eastAsia"/>
              </w:rPr>
              <w:br w:type="textWrapping"/>
            </w:r>
            <w:r>
              <w:rPr>
                <w:rStyle w:val="11"/>
                <w:rFonts w:hint="eastAsia"/>
              </w:rPr>
              <w:t>本品为有机磷类杀虫剂，不但具有触杀、胃毒、薰蒸和一定的内吸作用。而且还具有微囊悬浮剂产品所具有的延长农药药效期、降低农药的刺激性等特点。对蛴螬具有良好的防治效果。</w:t>
            </w:r>
          </w:p>
        </w:tc>
      </w:tr>
      <w:tr w14:paraId="10D76CD5">
        <w:tblPrEx>
          <w:tblCellMar>
            <w:top w:w="0" w:type="dxa"/>
            <w:left w:w="0" w:type="dxa"/>
            <w:bottom w:w="0" w:type="dxa"/>
            <w:right w:w="0" w:type="dxa"/>
          </w:tblCellMar>
        </w:tblPrEx>
        <w:trPr>
          <w:wBefore w:w="0" w:type="auto"/>
          <w:tblCellSpacing w:w="0" w:type="dxa"/>
        </w:trPr>
        <w:tc>
          <w:tcPr>
            <w:tcW w:w="0" w:type="auto"/>
            <w:noWrap w:val="0"/>
            <w:vAlign w:val="center"/>
          </w:tcPr>
          <w:p w14:paraId="1AFFCCDD">
            <w:r>
              <w:rPr>
                <w:rStyle w:val="10"/>
                <w:rFonts w:hint="eastAsia"/>
              </w:rPr>
              <w:t>注意事项：</w:t>
            </w:r>
            <w:r>
              <w:rPr>
                <w:rFonts w:hint="eastAsia"/>
              </w:rPr>
              <w:br w:type="textWrapping"/>
            </w:r>
            <w:r>
              <w:rPr>
                <w:rStyle w:val="11"/>
                <w:rFonts w:hint="eastAsia"/>
              </w:rPr>
              <w:t>1. 施药时应穿戴好单层服装（长衣和长裤）、鞋、袜子并佩戴口罩和手套。 2. 本品对眼睛有刺激性，使用时避免接触眼睛，穿戴长衣、长裤、帽子、口罩、手套等防护措施。 3. 本品遇碱性物质易降解，不得与碱性物质混用。不能用铜或铜合金罐、塑料瓶盛装。 4. 对鸟类毒性高，在鸟类保护区禁止使用。（周围）开花植物花期禁用，使用期间应密切关注对附近蜂群的影响、蚕室及桑园附近禁用。 5. 远离水产养殖区、河塘等水域附近施药，禁止在河塘等水域中清洗施药器具。 6. 孕妇及哺乳期的妇女应避免接触。 7. 避免与氧化剂接触。</w:t>
            </w:r>
          </w:p>
        </w:tc>
      </w:tr>
      <w:tr w14:paraId="29D2408E">
        <w:tblPrEx>
          <w:tblCellMar>
            <w:top w:w="0" w:type="dxa"/>
            <w:left w:w="0" w:type="dxa"/>
            <w:bottom w:w="0" w:type="dxa"/>
            <w:right w:w="0" w:type="dxa"/>
          </w:tblCellMar>
        </w:tblPrEx>
        <w:trPr>
          <w:wBefore w:w="0" w:type="auto"/>
          <w:tblCellSpacing w:w="0" w:type="dxa"/>
        </w:trPr>
        <w:tc>
          <w:tcPr>
            <w:tcW w:w="0" w:type="auto"/>
            <w:noWrap w:val="0"/>
            <w:vAlign w:val="center"/>
          </w:tcPr>
          <w:p w14:paraId="73339171">
            <w:r>
              <w:rPr>
                <w:rStyle w:val="10"/>
                <w:rFonts w:hint="eastAsia"/>
              </w:rPr>
              <w:t>中毒急救措施：</w:t>
            </w:r>
            <w:r>
              <w:rPr>
                <w:rFonts w:hint="eastAsia"/>
              </w:rPr>
              <w:br w:type="textWrapping"/>
            </w:r>
            <w:r>
              <w:rPr>
                <w:rStyle w:val="11"/>
                <w:rFonts w:hint="eastAsia"/>
              </w:rPr>
              <w:t>1、中毒症状：轻度：头痛、头昏、恶心、呕 吐、多汗、无力、胸闷、视力模糊、胃口不佳等，全血胆碱酯酶活力一般降至正常值的70%以下。中度：除上述症状外还出现轻度呼吸困难、肌肉震颤 、瞳孔缩小、精神恍惚、行走不稳、大汗、流涎、腹疼、腹泻。重者还会出现昏迷、抽搐、呼吸困难、口吐白沫、大小便失禁，惊厥，呼吸麻痹。 2、急救治疗：皮肤接触：脱去污染的衣着，用肥皂水及清水彻底冲洗。就医。眼睛接触：眼部污染可用苏打水或生理盐水冲洗。就医。 吸入：脱离现场至空气新鲜处。呼吸困难时给输氧。呼吸停止时，立即进行人工呼吸。就医。食入：[1]用阿托品1～5mg皮下或静脉注射(按中毒轻重而定)；[2]用解磷定0.4－1.2g 静脉注射(按中毒轻重而定)；[3]禁用吗啡、茶硷、吩噻嗪、利血平。[4]误服：立即引吐、洗胃、导泻(清醒时才能引吐)。</w:t>
            </w:r>
          </w:p>
        </w:tc>
      </w:tr>
      <w:tr w14:paraId="6B88596D">
        <w:tblPrEx>
          <w:tblCellMar>
            <w:top w:w="0" w:type="dxa"/>
            <w:left w:w="0" w:type="dxa"/>
            <w:bottom w:w="0" w:type="dxa"/>
            <w:right w:w="0" w:type="dxa"/>
          </w:tblCellMar>
        </w:tblPrEx>
        <w:trPr>
          <w:wBefore w:w="0" w:type="auto"/>
          <w:tblCellSpacing w:w="0" w:type="dxa"/>
        </w:trPr>
        <w:tc>
          <w:tcPr>
            <w:tcW w:w="0" w:type="auto"/>
            <w:noWrap w:val="0"/>
            <w:vAlign w:val="center"/>
          </w:tcPr>
          <w:p w14:paraId="5ABA9987">
            <w:r>
              <w:rPr>
                <w:rStyle w:val="10"/>
                <w:rFonts w:hint="eastAsia"/>
              </w:rPr>
              <w:t>储存和运输方法：</w:t>
            </w:r>
            <w:r>
              <w:rPr>
                <w:rFonts w:hint="eastAsia"/>
              </w:rPr>
              <w:br w:type="textWrapping"/>
            </w:r>
            <w:r>
              <w:rPr>
                <w:rStyle w:val="11"/>
                <w:rFonts w:hint="eastAsia"/>
              </w:rPr>
              <w:t>储存于阴凉干燥通风处。置于小孩拿不到的地方并加锁保存，使用过的空容器严禁存放食品。不得与食品、饮料、粮食、饲料混放或同贮同运。装卸过程中要轻搬轻放。远离热源和火源。</w:t>
            </w:r>
          </w:p>
        </w:tc>
      </w:tr>
      <w:tr w14:paraId="6A2C3228">
        <w:tblPrEx>
          <w:tblCellMar>
            <w:top w:w="0" w:type="dxa"/>
            <w:left w:w="0" w:type="dxa"/>
            <w:bottom w:w="0" w:type="dxa"/>
            <w:right w:w="0" w:type="dxa"/>
          </w:tblCellMar>
        </w:tblPrEx>
        <w:trPr>
          <w:wBefore w:w="0" w:type="auto"/>
          <w:tblCellSpacing w:w="0" w:type="dxa"/>
        </w:trPr>
        <w:tc>
          <w:tcPr>
            <w:tcW w:w="0" w:type="auto"/>
            <w:noWrap w:val="0"/>
            <w:vAlign w:val="center"/>
          </w:tcPr>
          <w:p w14:paraId="6B30CE03">
            <w:r>
              <w:rPr>
                <w:rStyle w:val="10"/>
                <w:rFonts w:hint="eastAsia"/>
              </w:rPr>
              <w:t>质量保证期：</w:t>
            </w:r>
            <w:r>
              <w:rPr>
                <w:rStyle w:val="11"/>
                <w:rFonts w:hint="eastAsia"/>
              </w:rPr>
              <w:t>2年</w:t>
            </w:r>
          </w:p>
        </w:tc>
      </w:tr>
      <w:tr w14:paraId="2E175E61">
        <w:tblPrEx>
          <w:tblCellMar>
            <w:top w:w="0" w:type="dxa"/>
            <w:left w:w="0" w:type="dxa"/>
            <w:bottom w:w="0" w:type="dxa"/>
            <w:right w:w="0" w:type="dxa"/>
          </w:tblCellMar>
        </w:tblPrEx>
        <w:trPr>
          <w:wBefore w:w="0" w:type="auto"/>
          <w:tblCellSpacing w:w="0" w:type="dxa"/>
        </w:trPr>
        <w:tc>
          <w:tcPr>
            <w:tcW w:w="0" w:type="auto"/>
            <w:noWrap w:val="0"/>
            <w:vAlign w:val="center"/>
          </w:tcPr>
          <w:p w14:paraId="0AB4B650">
            <w:r>
              <w:rPr>
                <w:rStyle w:val="10"/>
                <w:rFonts w:hint="eastAsia"/>
              </w:rPr>
              <w:t>备注：</w:t>
            </w:r>
          </w:p>
        </w:tc>
      </w:tr>
    </w:tbl>
    <w:p w14:paraId="20B67F5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874D701">
        <w:tblPrEx>
          <w:tblCellMar>
            <w:top w:w="0" w:type="dxa"/>
            <w:left w:w="0" w:type="dxa"/>
            <w:bottom w:w="0" w:type="dxa"/>
            <w:right w:w="0" w:type="dxa"/>
          </w:tblCellMar>
        </w:tblPrEx>
        <w:trPr>
          <w:wBefore w:w="0" w:type="auto"/>
          <w:tblCellSpacing w:w="0" w:type="dxa"/>
        </w:trPr>
        <w:tc>
          <w:tcPr>
            <w:tcW w:w="0" w:type="auto"/>
            <w:noWrap w:val="0"/>
            <w:vAlign w:val="center"/>
          </w:tcPr>
          <w:p w14:paraId="3B78D1FA">
            <w:r>
              <w:rPr>
                <w:rStyle w:val="10"/>
                <w:rFonts w:hint="eastAsia"/>
              </w:rPr>
              <w:t>登记证号：</w:t>
            </w:r>
            <w:r>
              <w:rPr>
                <w:rFonts w:hint="eastAsia"/>
              </w:rPr>
              <w:t>PD20211820</w:t>
            </w:r>
          </w:p>
        </w:tc>
      </w:tr>
      <w:tr w14:paraId="4BF41A0C">
        <w:tblPrEx>
          <w:tblCellMar>
            <w:top w:w="0" w:type="dxa"/>
            <w:left w:w="0" w:type="dxa"/>
            <w:bottom w:w="0" w:type="dxa"/>
            <w:right w:w="0" w:type="dxa"/>
          </w:tblCellMar>
        </w:tblPrEx>
        <w:trPr>
          <w:wBefore w:w="0" w:type="auto"/>
          <w:tblCellSpacing w:w="0" w:type="dxa"/>
        </w:trPr>
        <w:tc>
          <w:tcPr>
            <w:tcW w:w="0" w:type="auto"/>
            <w:noWrap w:val="0"/>
            <w:vAlign w:val="center"/>
          </w:tcPr>
          <w:p w14:paraId="18DED74D">
            <w:r>
              <w:rPr>
                <w:rStyle w:val="10"/>
                <w:rFonts w:hint="eastAsia"/>
              </w:rPr>
              <w:t>登记证持有人：</w:t>
            </w:r>
            <w:r>
              <w:rPr>
                <w:rFonts w:hint="eastAsia"/>
              </w:rPr>
              <w:t>重庆重大生物技术发展有限公司</w:t>
            </w:r>
          </w:p>
        </w:tc>
      </w:tr>
      <w:tr w14:paraId="2F193AB0">
        <w:tblPrEx>
          <w:tblCellMar>
            <w:top w:w="0" w:type="dxa"/>
            <w:left w:w="0" w:type="dxa"/>
            <w:bottom w:w="0" w:type="dxa"/>
            <w:right w:w="0" w:type="dxa"/>
          </w:tblCellMar>
        </w:tblPrEx>
        <w:trPr>
          <w:wBefore w:w="0" w:type="auto"/>
          <w:tblCellSpacing w:w="0" w:type="dxa"/>
        </w:trPr>
        <w:tc>
          <w:tcPr>
            <w:tcW w:w="0" w:type="auto"/>
            <w:noWrap w:val="0"/>
            <w:vAlign w:val="center"/>
          </w:tcPr>
          <w:p w14:paraId="54CF321E">
            <w:r>
              <w:rPr>
                <w:rStyle w:val="10"/>
                <w:rFonts w:hint="eastAsia"/>
              </w:rPr>
              <w:t>农药名称：</w:t>
            </w:r>
            <w:r>
              <w:rPr>
                <w:rFonts w:hint="eastAsia"/>
              </w:rPr>
              <w:t>金龟子绿僵菌</w:t>
            </w:r>
          </w:p>
        </w:tc>
      </w:tr>
      <w:tr w14:paraId="0D79C5F7">
        <w:tblPrEx>
          <w:tblCellMar>
            <w:top w:w="0" w:type="dxa"/>
            <w:left w:w="0" w:type="dxa"/>
            <w:bottom w:w="0" w:type="dxa"/>
            <w:right w:w="0" w:type="dxa"/>
          </w:tblCellMar>
        </w:tblPrEx>
        <w:trPr>
          <w:wBefore w:w="0" w:type="auto"/>
          <w:tblCellSpacing w:w="0" w:type="dxa"/>
        </w:trPr>
        <w:tc>
          <w:tcPr>
            <w:tcW w:w="0" w:type="auto"/>
            <w:noWrap w:val="0"/>
            <w:vAlign w:val="center"/>
          </w:tcPr>
          <w:p w14:paraId="07E91F8F">
            <w:r>
              <w:rPr>
                <w:rStyle w:val="10"/>
                <w:rFonts w:hint="eastAsia"/>
              </w:rPr>
              <w:t>剂型：</w:t>
            </w:r>
            <w:r>
              <w:rPr>
                <w:rFonts w:hint="eastAsia"/>
              </w:rPr>
              <w:t>颗粒剂</w:t>
            </w:r>
          </w:p>
        </w:tc>
      </w:tr>
      <w:tr w14:paraId="4C31D386">
        <w:tblPrEx>
          <w:tblCellMar>
            <w:top w:w="0" w:type="dxa"/>
            <w:left w:w="0" w:type="dxa"/>
            <w:bottom w:w="0" w:type="dxa"/>
            <w:right w:w="0" w:type="dxa"/>
          </w:tblCellMar>
        </w:tblPrEx>
        <w:trPr>
          <w:wBefore w:w="0" w:type="auto"/>
          <w:tblCellSpacing w:w="0" w:type="dxa"/>
        </w:trPr>
        <w:tc>
          <w:tcPr>
            <w:tcW w:w="0" w:type="auto"/>
            <w:noWrap w:val="0"/>
            <w:vAlign w:val="center"/>
          </w:tcPr>
          <w:p w14:paraId="259C70B9">
            <w:r>
              <w:rPr>
                <w:rStyle w:val="10"/>
                <w:rFonts w:hint="eastAsia"/>
              </w:rPr>
              <w:t>毒性及其标识：</w:t>
            </w:r>
            <w:r>
              <w:rPr>
                <w:rFonts w:hint="eastAsia"/>
              </w:rPr>
              <w:t xml:space="preserve"> </w:t>
            </w:r>
            <w:r>
              <w:rPr>
                <w:lang/>
              </w:rPr>
              <w:drawing>
                <wp:inline distT="0" distB="0" distL="114300" distR="114300">
                  <wp:extent cx="476250" cy="323850"/>
                  <wp:effectExtent l="0" t="0" r="0" b="0"/>
                  <wp:docPr id="142" name="图片 14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94976E9">
        <w:tblPrEx>
          <w:tblCellMar>
            <w:top w:w="0" w:type="dxa"/>
            <w:left w:w="0" w:type="dxa"/>
            <w:bottom w:w="0" w:type="dxa"/>
            <w:right w:w="0" w:type="dxa"/>
          </w:tblCellMar>
        </w:tblPrEx>
        <w:trPr>
          <w:wBefore w:w="0" w:type="auto"/>
          <w:tblCellSpacing w:w="0" w:type="dxa"/>
        </w:trPr>
        <w:tc>
          <w:tcPr>
            <w:tcW w:w="0" w:type="auto"/>
            <w:noWrap w:val="0"/>
            <w:vAlign w:val="center"/>
          </w:tcPr>
          <w:p w14:paraId="12AEBC93">
            <w:r>
              <w:rPr>
                <w:rStyle w:val="10"/>
                <w:rFonts w:hint="eastAsia"/>
              </w:rPr>
              <w:t>总有效成分含量：</w:t>
            </w:r>
            <w:r>
              <w:rPr>
                <w:rFonts w:hint="eastAsia"/>
              </w:rPr>
              <w:t>10亿孢子/克</w:t>
            </w:r>
          </w:p>
        </w:tc>
      </w:tr>
      <w:tr w14:paraId="40E6F7FC">
        <w:tblPrEx>
          <w:tblCellMar>
            <w:top w:w="0" w:type="dxa"/>
            <w:left w:w="0" w:type="dxa"/>
            <w:bottom w:w="0" w:type="dxa"/>
            <w:right w:w="0" w:type="dxa"/>
          </w:tblCellMar>
        </w:tblPrEx>
        <w:trPr>
          <w:wBefore w:w="0" w:type="auto"/>
          <w:tblCellSpacing w:w="0" w:type="dxa"/>
        </w:trPr>
        <w:tc>
          <w:tcPr>
            <w:tcW w:w="0" w:type="auto"/>
            <w:noWrap w:val="0"/>
            <w:vAlign w:val="center"/>
          </w:tcPr>
          <w:p w14:paraId="5A732710">
            <w:r>
              <w:rPr>
                <w:rFonts w:hint="eastAsia"/>
              </w:rPr>
              <w:t xml:space="preserve">有效成分及其含量： </w:t>
            </w:r>
          </w:p>
          <w:p w14:paraId="779EA281">
            <w:r>
              <w:rPr>
                <w:rFonts w:hint="eastAsia"/>
              </w:rPr>
              <w:t xml:space="preserve">    金龟子绿僵菌10亿孢子/克    </w:t>
            </w:r>
          </w:p>
        </w:tc>
      </w:tr>
      <w:tr w14:paraId="302C0C2A">
        <w:tblPrEx>
          <w:tblCellMar>
            <w:top w:w="0" w:type="dxa"/>
            <w:left w:w="0" w:type="dxa"/>
            <w:bottom w:w="0" w:type="dxa"/>
            <w:right w:w="0" w:type="dxa"/>
          </w:tblCellMar>
        </w:tblPrEx>
        <w:trPr>
          <w:wBefore w:w="0" w:type="auto"/>
          <w:tblCellSpacing w:w="0" w:type="dxa"/>
        </w:trPr>
        <w:tc>
          <w:tcPr>
            <w:tcW w:w="0" w:type="auto"/>
            <w:noWrap w:val="0"/>
            <w:vAlign w:val="center"/>
          </w:tcPr>
          <w:p w14:paraId="7D8BC13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DD74A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A67623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2CBE87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64BED9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232F19C">
                  <w:r>
                    <w:rPr>
                      <w:rStyle w:val="11"/>
                      <w:rFonts w:hint="eastAsia"/>
                    </w:rPr>
                    <w:t>施用方式</w:t>
                  </w:r>
                </w:p>
              </w:tc>
            </w:tr>
            <w:tr w14:paraId="4B46CE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93D6F6D">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505B64">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BB0813">
                  <w:r>
                    <w:rPr>
                      <w:rStyle w:val="11"/>
                      <w:rFonts w:hint="eastAsia"/>
                    </w:rPr>
                    <w:t>3000-4000克/亩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567CA2">
                  <w:r>
                    <w:rPr>
                      <w:rStyle w:val="11"/>
                      <w:rFonts w:hint="eastAsia"/>
                    </w:rPr>
                    <w:t>沟施</w:t>
                  </w:r>
                </w:p>
              </w:tc>
            </w:tr>
          </w:tbl>
          <w:p w14:paraId="396D2FB1">
            <w:pPr>
              <w:rPr>
                <w:rFonts w:ascii="Times New Roman" w:hAnsi="Times New Roman" w:cs="Times New Roman"/>
                <w:sz w:val="20"/>
                <w:szCs w:val="20"/>
              </w:rPr>
            </w:pPr>
          </w:p>
        </w:tc>
      </w:tr>
      <w:tr w14:paraId="4299ED9C">
        <w:tblPrEx>
          <w:tblCellMar>
            <w:top w:w="0" w:type="dxa"/>
            <w:left w:w="0" w:type="dxa"/>
            <w:bottom w:w="0" w:type="dxa"/>
            <w:right w:w="0" w:type="dxa"/>
          </w:tblCellMar>
        </w:tblPrEx>
        <w:trPr>
          <w:wBefore w:w="0" w:type="auto"/>
          <w:tblCellSpacing w:w="0" w:type="dxa"/>
        </w:trPr>
        <w:tc>
          <w:tcPr>
            <w:tcW w:w="0" w:type="auto"/>
            <w:noWrap w:val="0"/>
            <w:vAlign w:val="center"/>
          </w:tcPr>
          <w:p w14:paraId="6FA745CD">
            <w:r>
              <w:rPr>
                <w:rStyle w:val="10"/>
                <w:rFonts w:hint="eastAsia"/>
              </w:rPr>
              <w:t>使用技术要求:</w:t>
            </w:r>
            <w:r>
              <w:rPr>
                <w:rFonts w:hint="eastAsia"/>
              </w:rPr>
              <w:br w:type="textWrapping"/>
            </w:r>
            <w:r>
              <w:rPr>
                <w:rStyle w:val="11"/>
                <w:rFonts w:hint="eastAsia"/>
              </w:rPr>
              <w:t>1. 本品于花生播种起垄前，蛴螬低龄幼虫期沟施施药1次。2. 按照 1:10（药：土或肥）拌土或拌肥沟施。3. 每季作物最多使用 1 次。</w:t>
            </w:r>
          </w:p>
        </w:tc>
      </w:tr>
      <w:tr w14:paraId="4F4AF0FC">
        <w:tblPrEx>
          <w:tblCellMar>
            <w:top w:w="0" w:type="dxa"/>
            <w:left w:w="0" w:type="dxa"/>
            <w:bottom w:w="0" w:type="dxa"/>
            <w:right w:w="0" w:type="dxa"/>
          </w:tblCellMar>
        </w:tblPrEx>
        <w:trPr>
          <w:wBefore w:w="0" w:type="auto"/>
          <w:tblCellSpacing w:w="0" w:type="dxa"/>
        </w:trPr>
        <w:tc>
          <w:tcPr>
            <w:tcW w:w="0" w:type="auto"/>
            <w:noWrap w:val="0"/>
            <w:vAlign w:val="center"/>
          </w:tcPr>
          <w:p w14:paraId="37CFA893">
            <w:r>
              <w:rPr>
                <w:rStyle w:val="10"/>
                <w:rFonts w:hint="eastAsia"/>
              </w:rPr>
              <w:t>产品性能:</w:t>
            </w:r>
            <w:r>
              <w:rPr>
                <w:rFonts w:hint="eastAsia"/>
              </w:rPr>
              <w:br w:type="textWrapping"/>
            </w:r>
            <w:r>
              <w:rPr>
                <w:rStyle w:val="11"/>
                <w:rFonts w:hint="eastAsia"/>
              </w:rPr>
              <w:t>金龟子绿僵菌是一种广谱性的杀虫真菌，由昆虫体壁进行主动入侵而感染不同昆虫，在昆虫血腔中可进行酵母状繁殖，产生大量虫菌体，同时可产生破坏素（非核糖体多肽类毒素）等杀虫毒素，抑制昆虫免疫、加速杀虫。能够产生持续控制效果，可有效防治花生蛴螬。</w:t>
            </w:r>
          </w:p>
        </w:tc>
      </w:tr>
      <w:tr w14:paraId="14D0737F">
        <w:tblPrEx>
          <w:tblCellMar>
            <w:top w:w="0" w:type="dxa"/>
            <w:left w:w="0" w:type="dxa"/>
            <w:bottom w:w="0" w:type="dxa"/>
            <w:right w:w="0" w:type="dxa"/>
          </w:tblCellMar>
        </w:tblPrEx>
        <w:trPr>
          <w:wBefore w:w="0" w:type="auto"/>
          <w:tblCellSpacing w:w="0" w:type="dxa"/>
        </w:trPr>
        <w:tc>
          <w:tcPr>
            <w:tcW w:w="0" w:type="auto"/>
            <w:noWrap w:val="0"/>
            <w:vAlign w:val="center"/>
          </w:tcPr>
          <w:p w14:paraId="60D9B0A8">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本品对眼睛有刺激性，使用时避免接触眼睛，穿戴长衣、长裤、帽子、口罩、手套等防护措施。避免吸入、接触到农药。施药期间不可吃东西和饮水。施药后应及时清洗暴露部位皮肤并更换衣物。2. 不可与呈碱性的农药和杀菌剂等物质混合使用。3. 禁止在河塘等水源地清洗施药器具，避免药液污染水源。4. 建议与其他不同作用机制的杀虫剂轮换使用，以延缓抗性产生。5. 用过的容器应妥善处理，不可做他用，也不可随意丢弃。6. 蚕室及桑园附近禁用。7. 孕妇及哺乳期妇女避免接触。</w:t>
            </w:r>
          </w:p>
        </w:tc>
      </w:tr>
      <w:tr w14:paraId="4D0E8715">
        <w:tblPrEx>
          <w:tblCellMar>
            <w:top w:w="0" w:type="dxa"/>
            <w:left w:w="0" w:type="dxa"/>
            <w:bottom w:w="0" w:type="dxa"/>
            <w:right w:w="0" w:type="dxa"/>
          </w:tblCellMar>
        </w:tblPrEx>
        <w:trPr>
          <w:wBefore w:w="0" w:type="auto"/>
          <w:tblCellSpacing w:w="0" w:type="dxa"/>
        </w:trPr>
        <w:tc>
          <w:tcPr>
            <w:tcW w:w="0" w:type="auto"/>
            <w:noWrap w:val="0"/>
            <w:vAlign w:val="center"/>
          </w:tcPr>
          <w:p w14:paraId="3CA22ABF">
            <w:r>
              <w:rPr>
                <w:rStyle w:val="10"/>
                <w:rFonts w:hint="eastAsia"/>
              </w:rPr>
              <w:t>中毒急救措施：</w:t>
            </w:r>
            <w:r>
              <w:rPr>
                <w:rFonts w:hint="eastAsia"/>
              </w:rPr>
              <w:br w:type="textWrapping"/>
            </w:r>
            <w:r>
              <w:rPr>
                <w:rStyle w:val="11"/>
                <w:rFonts w:hint="eastAsia"/>
              </w:rPr>
              <w:t xml:space="preserve">中毒症状：本品对眼睛具有刺激作用，避免溅入眼睛严格按照标签推荐方法使用。 皮肤接触：立即脱去被污染的衣物，用肥皂和大量清水冲洗皮肤暴露部位15~20分钟。如皮肤刺激感持续，请医生诊治。 眼睛溅入：立即翻开眼睑，用清水冲洗至少15分钟，并请医生诊治。 吸 入：应迅速脱离现场至空气新鲜处，保持呼吸道畅通。如出现呼吸困难，给输氧，并携标签立即就医。 误 食：立即携带产品标签送医就诊，对症治疗。 </w:t>
            </w:r>
          </w:p>
        </w:tc>
      </w:tr>
      <w:tr w14:paraId="20C112E5">
        <w:tblPrEx>
          <w:tblCellMar>
            <w:top w:w="0" w:type="dxa"/>
            <w:left w:w="0" w:type="dxa"/>
            <w:bottom w:w="0" w:type="dxa"/>
            <w:right w:w="0" w:type="dxa"/>
          </w:tblCellMar>
        </w:tblPrEx>
        <w:trPr>
          <w:wBefore w:w="0" w:type="auto"/>
          <w:tblCellSpacing w:w="0" w:type="dxa"/>
        </w:trPr>
        <w:tc>
          <w:tcPr>
            <w:tcW w:w="0" w:type="auto"/>
            <w:noWrap w:val="0"/>
            <w:vAlign w:val="center"/>
          </w:tcPr>
          <w:p w14:paraId="643480EB">
            <w:r>
              <w:rPr>
                <w:rStyle w:val="10"/>
                <w:rFonts w:hint="eastAsia"/>
              </w:rPr>
              <w:t>储存和运输方法：</w:t>
            </w:r>
            <w:r>
              <w:rPr>
                <w:rFonts w:hint="eastAsia"/>
              </w:rPr>
              <w:br w:type="textWrapping"/>
            </w:r>
            <w:r>
              <w:rPr>
                <w:rStyle w:val="11"/>
                <w:rFonts w:hint="eastAsia"/>
              </w:rPr>
              <w:t>本品应储存在干燥、常温、通风、防雨处，远离火源或热源，置于儿童、无关人员触及不到的地方，并加锁。装卸、运输过程中，需专门车辆运输，轻拿轻放，确保包装不泄露、不损坏。不能与食品、饮料、粮食、饲料等其他商品同贮同运。</w:t>
            </w:r>
          </w:p>
        </w:tc>
      </w:tr>
      <w:tr w14:paraId="535A28F1">
        <w:tblPrEx>
          <w:tblCellMar>
            <w:top w:w="0" w:type="dxa"/>
            <w:left w:w="0" w:type="dxa"/>
            <w:bottom w:w="0" w:type="dxa"/>
            <w:right w:w="0" w:type="dxa"/>
          </w:tblCellMar>
        </w:tblPrEx>
        <w:trPr>
          <w:wBefore w:w="0" w:type="auto"/>
          <w:tblCellSpacing w:w="0" w:type="dxa"/>
        </w:trPr>
        <w:tc>
          <w:tcPr>
            <w:tcW w:w="0" w:type="auto"/>
            <w:noWrap w:val="0"/>
            <w:vAlign w:val="center"/>
          </w:tcPr>
          <w:p w14:paraId="600178B2">
            <w:r>
              <w:rPr>
                <w:rStyle w:val="10"/>
                <w:rFonts w:hint="eastAsia"/>
              </w:rPr>
              <w:t>质量保证期：</w:t>
            </w:r>
            <w:r>
              <w:rPr>
                <w:rStyle w:val="11"/>
                <w:rFonts w:hint="eastAsia"/>
              </w:rPr>
              <w:t>1年</w:t>
            </w:r>
          </w:p>
        </w:tc>
      </w:tr>
      <w:tr w14:paraId="7E28EA7B">
        <w:tblPrEx>
          <w:tblCellMar>
            <w:top w:w="0" w:type="dxa"/>
            <w:left w:w="0" w:type="dxa"/>
            <w:bottom w:w="0" w:type="dxa"/>
            <w:right w:w="0" w:type="dxa"/>
          </w:tblCellMar>
        </w:tblPrEx>
        <w:trPr>
          <w:wBefore w:w="0" w:type="auto"/>
          <w:tblCellSpacing w:w="0" w:type="dxa"/>
        </w:trPr>
        <w:tc>
          <w:tcPr>
            <w:tcW w:w="0" w:type="auto"/>
            <w:noWrap w:val="0"/>
            <w:vAlign w:val="center"/>
          </w:tcPr>
          <w:p w14:paraId="50F47237">
            <w:r>
              <w:rPr>
                <w:rStyle w:val="10"/>
                <w:rFonts w:hint="eastAsia"/>
              </w:rPr>
              <w:t>备注：</w:t>
            </w:r>
          </w:p>
        </w:tc>
      </w:tr>
    </w:tbl>
    <w:p w14:paraId="1E184A0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A8EC4C">
        <w:tblPrEx>
          <w:tblCellMar>
            <w:top w:w="0" w:type="dxa"/>
            <w:left w:w="0" w:type="dxa"/>
            <w:bottom w:w="0" w:type="dxa"/>
            <w:right w:w="0" w:type="dxa"/>
          </w:tblCellMar>
        </w:tblPrEx>
        <w:trPr>
          <w:wBefore w:w="0" w:type="auto"/>
          <w:tblCellSpacing w:w="0" w:type="dxa"/>
        </w:trPr>
        <w:tc>
          <w:tcPr>
            <w:tcW w:w="0" w:type="auto"/>
            <w:noWrap w:val="0"/>
            <w:vAlign w:val="center"/>
          </w:tcPr>
          <w:p w14:paraId="1F60FDEE">
            <w:r>
              <w:rPr>
                <w:rStyle w:val="10"/>
                <w:rFonts w:hint="eastAsia"/>
              </w:rPr>
              <w:t>登记证号：</w:t>
            </w:r>
            <w:r>
              <w:rPr>
                <w:rFonts w:hint="eastAsia"/>
              </w:rPr>
              <w:t>PD20212097</w:t>
            </w:r>
          </w:p>
        </w:tc>
      </w:tr>
      <w:tr w14:paraId="7BA25E0D">
        <w:tblPrEx>
          <w:tblCellMar>
            <w:top w:w="0" w:type="dxa"/>
            <w:left w:w="0" w:type="dxa"/>
            <w:bottom w:w="0" w:type="dxa"/>
            <w:right w:w="0" w:type="dxa"/>
          </w:tblCellMar>
        </w:tblPrEx>
        <w:trPr>
          <w:wBefore w:w="0" w:type="auto"/>
          <w:tblCellSpacing w:w="0" w:type="dxa"/>
        </w:trPr>
        <w:tc>
          <w:tcPr>
            <w:tcW w:w="0" w:type="auto"/>
            <w:noWrap w:val="0"/>
            <w:vAlign w:val="center"/>
          </w:tcPr>
          <w:p w14:paraId="7D99A9DD">
            <w:r>
              <w:rPr>
                <w:rStyle w:val="10"/>
                <w:rFonts w:hint="eastAsia"/>
              </w:rPr>
              <w:t>登记证持有人：</w:t>
            </w:r>
            <w:r>
              <w:rPr>
                <w:rFonts w:hint="eastAsia"/>
              </w:rPr>
              <w:t>江苏省南通南沈植保科技开发有限公司</w:t>
            </w:r>
          </w:p>
        </w:tc>
      </w:tr>
      <w:tr w14:paraId="0DB46FB2">
        <w:tblPrEx>
          <w:tblCellMar>
            <w:top w:w="0" w:type="dxa"/>
            <w:left w:w="0" w:type="dxa"/>
            <w:bottom w:w="0" w:type="dxa"/>
            <w:right w:w="0" w:type="dxa"/>
          </w:tblCellMar>
        </w:tblPrEx>
        <w:trPr>
          <w:wBefore w:w="0" w:type="auto"/>
          <w:tblCellSpacing w:w="0" w:type="dxa"/>
        </w:trPr>
        <w:tc>
          <w:tcPr>
            <w:tcW w:w="0" w:type="auto"/>
            <w:noWrap w:val="0"/>
            <w:vAlign w:val="center"/>
          </w:tcPr>
          <w:p w14:paraId="3A4D0381">
            <w:r>
              <w:rPr>
                <w:rStyle w:val="10"/>
                <w:rFonts w:hint="eastAsia"/>
              </w:rPr>
              <w:t>农药名称：</w:t>
            </w:r>
            <w:r>
              <w:rPr>
                <w:rFonts w:hint="eastAsia"/>
              </w:rPr>
              <w:t>吡嘧磺隆</w:t>
            </w:r>
          </w:p>
        </w:tc>
      </w:tr>
      <w:tr w14:paraId="47FFD27A">
        <w:tblPrEx>
          <w:tblCellMar>
            <w:top w:w="0" w:type="dxa"/>
            <w:left w:w="0" w:type="dxa"/>
            <w:bottom w:w="0" w:type="dxa"/>
            <w:right w:w="0" w:type="dxa"/>
          </w:tblCellMar>
        </w:tblPrEx>
        <w:trPr>
          <w:wBefore w:w="0" w:type="auto"/>
          <w:tblCellSpacing w:w="0" w:type="dxa"/>
        </w:trPr>
        <w:tc>
          <w:tcPr>
            <w:tcW w:w="0" w:type="auto"/>
            <w:noWrap w:val="0"/>
            <w:vAlign w:val="center"/>
          </w:tcPr>
          <w:p w14:paraId="698627A1">
            <w:r>
              <w:rPr>
                <w:rStyle w:val="10"/>
                <w:rFonts w:hint="eastAsia"/>
              </w:rPr>
              <w:t>剂型：</w:t>
            </w:r>
            <w:r>
              <w:rPr>
                <w:rFonts w:hint="eastAsia"/>
              </w:rPr>
              <w:t>可分散油悬浮剂</w:t>
            </w:r>
          </w:p>
        </w:tc>
      </w:tr>
      <w:tr w14:paraId="5AD6C8DF">
        <w:tblPrEx>
          <w:tblCellMar>
            <w:top w:w="0" w:type="dxa"/>
            <w:left w:w="0" w:type="dxa"/>
            <w:bottom w:w="0" w:type="dxa"/>
            <w:right w:w="0" w:type="dxa"/>
          </w:tblCellMar>
        </w:tblPrEx>
        <w:trPr>
          <w:wBefore w:w="0" w:type="auto"/>
          <w:tblCellSpacing w:w="0" w:type="dxa"/>
        </w:trPr>
        <w:tc>
          <w:tcPr>
            <w:tcW w:w="0" w:type="auto"/>
            <w:noWrap w:val="0"/>
            <w:vAlign w:val="center"/>
          </w:tcPr>
          <w:p w14:paraId="4696167C">
            <w:r>
              <w:rPr>
                <w:rStyle w:val="10"/>
                <w:rFonts w:hint="eastAsia"/>
              </w:rPr>
              <w:t>毒性及其标识：</w:t>
            </w:r>
            <w:r>
              <w:rPr>
                <w:rFonts w:hint="eastAsia"/>
              </w:rPr>
              <w:t xml:space="preserve"> </w:t>
            </w:r>
            <w:r>
              <w:rPr>
                <w:lang/>
              </w:rPr>
              <w:drawing>
                <wp:inline distT="0" distB="0" distL="114300" distR="114300">
                  <wp:extent cx="476250" cy="323850"/>
                  <wp:effectExtent l="0" t="0" r="0" b="0"/>
                  <wp:docPr id="143" name="图片 14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CD08814">
        <w:tblPrEx>
          <w:tblCellMar>
            <w:top w:w="0" w:type="dxa"/>
            <w:left w:w="0" w:type="dxa"/>
            <w:bottom w:w="0" w:type="dxa"/>
            <w:right w:w="0" w:type="dxa"/>
          </w:tblCellMar>
        </w:tblPrEx>
        <w:trPr>
          <w:wBefore w:w="0" w:type="auto"/>
          <w:tblCellSpacing w:w="0" w:type="dxa"/>
        </w:trPr>
        <w:tc>
          <w:tcPr>
            <w:tcW w:w="0" w:type="auto"/>
            <w:noWrap w:val="0"/>
            <w:vAlign w:val="center"/>
          </w:tcPr>
          <w:p w14:paraId="7BBDE6C9">
            <w:r>
              <w:rPr>
                <w:rStyle w:val="10"/>
                <w:rFonts w:hint="eastAsia"/>
              </w:rPr>
              <w:t>总有效成分含量：</w:t>
            </w:r>
            <w:r>
              <w:rPr>
                <w:rFonts w:hint="eastAsia"/>
              </w:rPr>
              <w:t>15%</w:t>
            </w:r>
          </w:p>
        </w:tc>
      </w:tr>
      <w:tr w14:paraId="5B2A2E9C">
        <w:tblPrEx>
          <w:tblCellMar>
            <w:top w:w="0" w:type="dxa"/>
            <w:left w:w="0" w:type="dxa"/>
            <w:bottom w:w="0" w:type="dxa"/>
            <w:right w:w="0" w:type="dxa"/>
          </w:tblCellMar>
        </w:tblPrEx>
        <w:trPr>
          <w:wBefore w:w="0" w:type="auto"/>
          <w:tblCellSpacing w:w="0" w:type="dxa"/>
        </w:trPr>
        <w:tc>
          <w:tcPr>
            <w:tcW w:w="0" w:type="auto"/>
            <w:noWrap w:val="0"/>
            <w:vAlign w:val="center"/>
          </w:tcPr>
          <w:p w14:paraId="68BC38E2">
            <w:r>
              <w:rPr>
                <w:rFonts w:hint="eastAsia"/>
              </w:rPr>
              <w:t xml:space="preserve">有效成分及其含量： </w:t>
            </w:r>
          </w:p>
          <w:p w14:paraId="20A993DA">
            <w:r>
              <w:rPr>
                <w:rFonts w:hint="eastAsia"/>
              </w:rPr>
              <w:t xml:space="preserve">    吡嘧磺隆15%    </w:t>
            </w:r>
          </w:p>
        </w:tc>
      </w:tr>
      <w:tr w14:paraId="16DF040B">
        <w:tblPrEx>
          <w:tblCellMar>
            <w:top w:w="0" w:type="dxa"/>
            <w:left w:w="0" w:type="dxa"/>
            <w:bottom w:w="0" w:type="dxa"/>
            <w:right w:w="0" w:type="dxa"/>
          </w:tblCellMar>
        </w:tblPrEx>
        <w:trPr>
          <w:wBefore w:w="0" w:type="auto"/>
          <w:tblCellSpacing w:w="0" w:type="dxa"/>
        </w:trPr>
        <w:tc>
          <w:tcPr>
            <w:tcW w:w="0" w:type="auto"/>
            <w:noWrap w:val="0"/>
            <w:vAlign w:val="center"/>
          </w:tcPr>
          <w:p w14:paraId="40108B8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4D71E4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DA03CC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DFFDC9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A364AE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BD4144E">
                  <w:r>
                    <w:rPr>
                      <w:rStyle w:val="11"/>
                      <w:rFonts w:hint="eastAsia"/>
                    </w:rPr>
                    <w:t>施用方式</w:t>
                  </w:r>
                </w:p>
              </w:tc>
            </w:tr>
            <w:tr w14:paraId="7ED4DA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29AEB5C">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C75F9B">
                  <w:r>
                    <w:rPr>
                      <w:rStyle w:val="11"/>
                      <w:rFonts w:hint="eastAsia"/>
                    </w:rPr>
                    <w:t>一年生阔叶杂草及莎草科杂草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08ABF2">
                  <w:r>
                    <w:rPr>
                      <w:rStyle w:val="11"/>
                      <w:rFonts w:hint="eastAsia"/>
                    </w:rPr>
                    <w:t>10-15毫升/亩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0FBBEE">
                  <w:r>
                    <w:rPr>
                      <w:rStyle w:val="11"/>
                      <w:rFonts w:hint="eastAsia"/>
                    </w:rPr>
                    <w:t>茎叶喷雾</w:t>
                  </w:r>
                </w:p>
              </w:tc>
            </w:tr>
          </w:tbl>
          <w:p w14:paraId="17F10D52">
            <w:pPr>
              <w:rPr>
                <w:rFonts w:ascii="Times New Roman" w:hAnsi="Times New Roman" w:cs="Times New Roman"/>
                <w:sz w:val="20"/>
                <w:szCs w:val="20"/>
              </w:rPr>
            </w:pPr>
          </w:p>
        </w:tc>
      </w:tr>
      <w:tr w14:paraId="2C03BE2A">
        <w:tblPrEx>
          <w:tblCellMar>
            <w:top w:w="0" w:type="dxa"/>
            <w:left w:w="0" w:type="dxa"/>
            <w:bottom w:w="0" w:type="dxa"/>
            <w:right w:w="0" w:type="dxa"/>
          </w:tblCellMar>
        </w:tblPrEx>
        <w:trPr>
          <w:wBefore w:w="0" w:type="auto"/>
          <w:tblCellSpacing w:w="0" w:type="dxa"/>
        </w:trPr>
        <w:tc>
          <w:tcPr>
            <w:tcW w:w="0" w:type="auto"/>
            <w:noWrap w:val="0"/>
            <w:vAlign w:val="center"/>
          </w:tcPr>
          <w:p w14:paraId="4C6ABC36">
            <w:r>
              <w:rPr>
                <w:rStyle w:val="10"/>
                <w:rFonts w:hint="eastAsia"/>
              </w:rPr>
              <w:t>使用技术要求:</w:t>
            </w:r>
            <w:r>
              <w:rPr>
                <w:rFonts w:hint="eastAsia"/>
              </w:rPr>
              <w:br w:type="textWrapping"/>
            </w:r>
            <w:r>
              <w:rPr>
                <w:rStyle w:val="11"/>
                <w:rFonts w:hint="eastAsia"/>
              </w:rPr>
              <w:t>1、于直播田水稻出苗后，杂草2-3叶期施药，茎叶喷雾，施药一次，施药前排干田水，保持土壤湿润，药后保持3-5厘米水层5-7天。 2、大风天或预计1小时内降雨，请勿施药。 3、每季最多使用次数1次。</w:t>
            </w:r>
          </w:p>
        </w:tc>
      </w:tr>
      <w:tr w14:paraId="0A606FDA">
        <w:tblPrEx>
          <w:tblCellMar>
            <w:top w:w="0" w:type="dxa"/>
            <w:left w:w="0" w:type="dxa"/>
            <w:bottom w:w="0" w:type="dxa"/>
            <w:right w:w="0" w:type="dxa"/>
          </w:tblCellMar>
        </w:tblPrEx>
        <w:trPr>
          <w:wBefore w:w="0" w:type="auto"/>
          <w:tblCellSpacing w:w="0" w:type="dxa"/>
        </w:trPr>
        <w:tc>
          <w:tcPr>
            <w:tcW w:w="0" w:type="auto"/>
            <w:noWrap w:val="0"/>
            <w:vAlign w:val="center"/>
          </w:tcPr>
          <w:p w14:paraId="0CE009E4">
            <w:r>
              <w:rPr>
                <w:rStyle w:val="10"/>
                <w:rFonts w:hint="eastAsia"/>
              </w:rPr>
              <w:t>产品性能:</w:t>
            </w:r>
            <w:r>
              <w:rPr>
                <w:rFonts w:hint="eastAsia"/>
              </w:rPr>
              <w:br w:type="textWrapping"/>
            </w:r>
            <w:r>
              <w:rPr>
                <w:rStyle w:val="11"/>
                <w:rFonts w:hint="eastAsia"/>
              </w:rPr>
              <w:t>本品能有效的防除水稻直播田一年生阔叶杂草，莎草，包括野慈菇，眼子菜，鸭舌草，狼把草，醴肠，节节菜，雨久花，萤蔺，丁香蓼，泽泻，水苋菜，异形莎草，三棱草等。</w:t>
            </w:r>
          </w:p>
        </w:tc>
      </w:tr>
      <w:tr w14:paraId="3C7E5EAB">
        <w:tblPrEx>
          <w:tblCellMar>
            <w:top w:w="0" w:type="dxa"/>
            <w:left w:w="0" w:type="dxa"/>
            <w:bottom w:w="0" w:type="dxa"/>
            <w:right w:w="0" w:type="dxa"/>
          </w:tblCellMar>
        </w:tblPrEx>
        <w:trPr>
          <w:wBefore w:w="0" w:type="auto"/>
          <w:tblCellSpacing w:w="0" w:type="dxa"/>
        </w:trPr>
        <w:tc>
          <w:tcPr>
            <w:tcW w:w="0" w:type="auto"/>
            <w:noWrap w:val="0"/>
            <w:vAlign w:val="center"/>
          </w:tcPr>
          <w:p w14:paraId="6CFB19C8">
            <w:r>
              <w:rPr>
                <w:rStyle w:val="10"/>
                <w:rFonts w:hint="eastAsia"/>
              </w:rPr>
              <w:t>注意事项：</w:t>
            </w:r>
            <w:r>
              <w:rPr>
                <w:rFonts w:hint="eastAsia"/>
              </w:rPr>
              <w:br w:type="textWrapping"/>
            </w:r>
            <w:r>
              <w:rPr>
                <w:rStyle w:val="11"/>
                <w:rFonts w:hint="eastAsia"/>
              </w:rPr>
              <w:t>1.该成分活性高，用药量低，施用药量应准确。 2.在施药、排水时注意不让本品漂移到阔叶作物上。 3.本品对眼睛有刺激作用，使用时应避免眼睛接触。施药时应穿长衣长裤、戴帽子、口罩、手套、眼镜等防护措施，此过程中，不能吃东西、饮水吸烟等；施药后，用清水和肥皂洗干净手脸等身体裸露部分。 4.远离水产养殖区，河塘等水体施药，禁止在河塘等水域清洗施药用具。清洗器具的废水不能排入河流、池塘等水源；鱼或虾蟹套养稻田禁用，施药后的田水不得直接排入水体。 5.用过的容器应妥善处理，不可做他用，也不可随意丢弃。 6.禁止儿童、孕妇及哺乳期的妇女接触。过敏者禁用，使用中有任何不良反应请及时就医。</w:t>
            </w:r>
          </w:p>
        </w:tc>
      </w:tr>
      <w:tr w14:paraId="76795C0E">
        <w:tblPrEx>
          <w:tblCellMar>
            <w:top w:w="0" w:type="dxa"/>
            <w:left w:w="0" w:type="dxa"/>
            <w:bottom w:w="0" w:type="dxa"/>
            <w:right w:w="0" w:type="dxa"/>
          </w:tblCellMar>
        </w:tblPrEx>
        <w:trPr>
          <w:wBefore w:w="0" w:type="auto"/>
          <w:tblCellSpacing w:w="0" w:type="dxa"/>
        </w:trPr>
        <w:tc>
          <w:tcPr>
            <w:tcW w:w="0" w:type="auto"/>
            <w:noWrap w:val="0"/>
            <w:vAlign w:val="center"/>
          </w:tcPr>
          <w:p w14:paraId="47394D41">
            <w:r>
              <w:rPr>
                <w:rStyle w:val="10"/>
                <w:rFonts w:hint="eastAsia"/>
              </w:rPr>
              <w:t>中毒急救措施：</w:t>
            </w:r>
            <w:r>
              <w:rPr>
                <w:rFonts w:hint="eastAsia"/>
              </w:rPr>
              <w:br w:type="textWrapping"/>
            </w:r>
            <w:r>
              <w:rPr>
                <w:rStyle w:val="11"/>
                <w:rFonts w:hint="eastAsia"/>
              </w:rPr>
              <w:t>皮肤接触：应立即脱去污染的衣物，用肥皂及清水彻底冲洗。眼睛接触：应立即拉开眼睑，用流动的清水冲洗15分钟，就医。吸入：应马上脱离现场至空气新鲜处。呼吸困难时给输氧、就医。误服中毒：立即送医院对症治疗。尚无特效解毒剂。</w:t>
            </w:r>
          </w:p>
        </w:tc>
      </w:tr>
      <w:tr w14:paraId="409C9289">
        <w:tblPrEx>
          <w:tblCellMar>
            <w:top w:w="0" w:type="dxa"/>
            <w:left w:w="0" w:type="dxa"/>
            <w:bottom w:w="0" w:type="dxa"/>
            <w:right w:w="0" w:type="dxa"/>
          </w:tblCellMar>
        </w:tblPrEx>
        <w:trPr>
          <w:wBefore w:w="0" w:type="auto"/>
          <w:tblCellSpacing w:w="0" w:type="dxa"/>
        </w:trPr>
        <w:tc>
          <w:tcPr>
            <w:tcW w:w="0" w:type="auto"/>
            <w:noWrap w:val="0"/>
            <w:vAlign w:val="center"/>
          </w:tcPr>
          <w:p w14:paraId="7821D255">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本品应贮存在干燥、阴凉、通风、防雨处，远离火源或热源。置于儿童触及不到之处，并加锁。勿与食品、饮料、饲料、粮食等混合储运。本品在运输途中，避免日晒、雨淋，确保包装物完好无损。</w:t>
            </w:r>
          </w:p>
        </w:tc>
      </w:tr>
      <w:tr w14:paraId="35650A15">
        <w:tblPrEx>
          <w:tblCellMar>
            <w:top w:w="0" w:type="dxa"/>
            <w:left w:w="0" w:type="dxa"/>
            <w:bottom w:w="0" w:type="dxa"/>
            <w:right w:w="0" w:type="dxa"/>
          </w:tblCellMar>
        </w:tblPrEx>
        <w:trPr>
          <w:wBefore w:w="0" w:type="auto"/>
          <w:tblCellSpacing w:w="0" w:type="dxa"/>
        </w:trPr>
        <w:tc>
          <w:tcPr>
            <w:tcW w:w="0" w:type="auto"/>
            <w:noWrap w:val="0"/>
            <w:vAlign w:val="center"/>
          </w:tcPr>
          <w:p w14:paraId="03B643D7">
            <w:r>
              <w:rPr>
                <w:rStyle w:val="10"/>
                <w:rFonts w:hint="eastAsia"/>
              </w:rPr>
              <w:t>质量保证期：</w:t>
            </w:r>
            <w:r>
              <w:rPr>
                <w:rStyle w:val="11"/>
                <w:rFonts w:hint="eastAsia"/>
              </w:rPr>
              <w:t>2年</w:t>
            </w:r>
          </w:p>
        </w:tc>
      </w:tr>
      <w:tr w14:paraId="70F357AC">
        <w:tblPrEx>
          <w:tblCellMar>
            <w:top w:w="0" w:type="dxa"/>
            <w:left w:w="0" w:type="dxa"/>
            <w:bottom w:w="0" w:type="dxa"/>
            <w:right w:w="0" w:type="dxa"/>
          </w:tblCellMar>
        </w:tblPrEx>
        <w:trPr>
          <w:wBefore w:w="0" w:type="auto"/>
          <w:tblCellSpacing w:w="0" w:type="dxa"/>
        </w:trPr>
        <w:tc>
          <w:tcPr>
            <w:tcW w:w="0" w:type="auto"/>
            <w:noWrap w:val="0"/>
            <w:vAlign w:val="center"/>
          </w:tcPr>
          <w:p w14:paraId="49C162BB">
            <w:r>
              <w:rPr>
                <w:rStyle w:val="10"/>
                <w:rFonts w:hint="eastAsia"/>
              </w:rPr>
              <w:t>备注：</w:t>
            </w:r>
          </w:p>
        </w:tc>
      </w:tr>
    </w:tbl>
    <w:p w14:paraId="6C93FF9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58B9EB2">
        <w:tblPrEx>
          <w:tblCellMar>
            <w:top w:w="0" w:type="dxa"/>
            <w:left w:w="0" w:type="dxa"/>
            <w:bottom w:w="0" w:type="dxa"/>
            <w:right w:w="0" w:type="dxa"/>
          </w:tblCellMar>
        </w:tblPrEx>
        <w:trPr>
          <w:wBefore w:w="0" w:type="auto"/>
          <w:tblCellSpacing w:w="0" w:type="dxa"/>
        </w:trPr>
        <w:tc>
          <w:tcPr>
            <w:tcW w:w="0" w:type="auto"/>
            <w:noWrap w:val="0"/>
            <w:vAlign w:val="center"/>
          </w:tcPr>
          <w:p w14:paraId="28D792BF">
            <w:r>
              <w:rPr>
                <w:rStyle w:val="10"/>
                <w:rFonts w:hint="eastAsia"/>
              </w:rPr>
              <w:t>登记证号：</w:t>
            </w:r>
            <w:r>
              <w:rPr>
                <w:rFonts w:hint="eastAsia"/>
              </w:rPr>
              <w:t>WP20210209</w:t>
            </w:r>
          </w:p>
        </w:tc>
      </w:tr>
      <w:tr w14:paraId="22ABAD3B">
        <w:tblPrEx>
          <w:tblCellMar>
            <w:top w:w="0" w:type="dxa"/>
            <w:left w:w="0" w:type="dxa"/>
            <w:bottom w:w="0" w:type="dxa"/>
            <w:right w:w="0" w:type="dxa"/>
          </w:tblCellMar>
        </w:tblPrEx>
        <w:trPr>
          <w:wBefore w:w="0" w:type="auto"/>
          <w:tblCellSpacing w:w="0" w:type="dxa"/>
        </w:trPr>
        <w:tc>
          <w:tcPr>
            <w:tcW w:w="0" w:type="auto"/>
            <w:noWrap w:val="0"/>
            <w:vAlign w:val="center"/>
          </w:tcPr>
          <w:p w14:paraId="7DD87BEE">
            <w:r>
              <w:rPr>
                <w:rStyle w:val="10"/>
                <w:rFonts w:hint="eastAsia"/>
              </w:rPr>
              <w:t>登记证持有人：</w:t>
            </w:r>
            <w:r>
              <w:rPr>
                <w:rFonts w:hint="eastAsia"/>
              </w:rPr>
              <w:t>浙江正点实业有限公司</w:t>
            </w:r>
          </w:p>
        </w:tc>
      </w:tr>
      <w:tr w14:paraId="6B79CCB6">
        <w:tblPrEx>
          <w:tblCellMar>
            <w:top w:w="0" w:type="dxa"/>
            <w:left w:w="0" w:type="dxa"/>
            <w:bottom w:w="0" w:type="dxa"/>
            <w:right w:w="0" w:type="dxa"/>
          </w:tblCellMar>
        </w:tblPrEx>
        <w:trPr>
          <w:wBefore w:w="0" w:type="auto"/>
          <w:tblCellSpacing w:w="0" w:type="dxa"/>
        </w:trPr>
        <w:tc>
          <w:tcPr>
            <w:tcW w:w="0" w:type="auto"/>
            <w:noWrap w:val="0"/>
            <w:vAlign w:val="center"/>
          </w:tcPr>
          <w:p w14:paraId="72ED6C94">
            <w:r>
              <w:rPr>
                <w:rStyle w:val="10"/>
                <w:rFonts w:hint="eastAsia"/>
              </w:rPr>
              <w:t>农药名称：</w:t>
            </w:r>
            <w:r>
              <w:rPr>
                <w:rFonts w:hint="eastAsia"/>
              </w:rPr>
              <w:t>杀虫气雾剂</w:t>
            </w:r>
          </w:p>
        </w:tc>
      </w:tr>
      <w:tr w14:paraId="6DE9A4D0">
        <w:tblPrEx>
          <w:tblCellMar>
            <w:top w:w="0" w:type="dxa"/>
            <w:left w:w="0" w:type="dxa"/>
            <w:bottom w:w="0" w:type="dxa"/>
            <w:right w:w="0" w:type="dxa"/>
          </w:tblCellMar>
        </w:tblPrEx>
        <w:trPr>
          <w:wBefore w:w="0" w:type="auto"/>
          <w:tblCellSpacing w:w="0" w:type="dxa"/>
        </w:trPr>
        <w:tc>
          <w:tcPr>
            <w:tcW w:w="0" w:type="auto"/>
            <w:noWrap w:val="0"/>
            <w:vAlign w:val="center"/>
          </w:tcPr>
          <w:p w14:paraId="1BA1ADD3">
            <w:r>
              <w:rPr>
                <w:rStyle w:val="10"/>
                <w:rFonts w:hint="eastAsia"/>
              </w:rPr>
              <w:t>剂型：</w:t>
            </w:r>
            <w:r>
              <w:rPr>
                <w:rFonts w:hint="eastAsia"/>
              </w:rPr>
              <w:t>气雾剂</w:t>
            </w:r>
          </w:p>
        </w:tc>
      </w:tr>
      <w:tr w14:paraId="3661612C">
        <w:tblPrEx>
          <w:tblCellMar>
            <w:top w:w="0" w:type="dxa"/>
            <w:left w:w="0" w:type="dxa"/>
            <w:bottom w:w="0" w:type="dxa"/>
            <w:right w:w="0" w:type="dxa"/>
          </w:tblCellMar>
        </w:tblPrEx>
        <w:trPr>
          <w:wBefore w:w="0" w:type="auto"/>
          <w:tblCellSpacing w:w="0" w:type="dxa"/>
        </w:trPr>
        <w:tc>
          <w:tcPr>
            <w:tcW w:w="0" w:type="auto"/>
            <w:noWrap w:val="0"/>
            <w:vAlign w:val="center"/>
          </w:tcPr>
          <w:p w14:paraId="7B2AF7FD">
            <w:r>
              <w:rPr>
                <w:rStyle w:val="10"/>
                <w:rFonts w:hint="eastAsia"/>
              </w:rPr>
              <w:t>毒性及其标识：</w:t>
            </w:r>
            <w:r>
              <w:rPr>
                <w:rFonts w:hint="eastAsia"/>
              </w:rPr>
              <w:t xml:space="preserve"> 微毒 </w:t>
            </w:r>
          </w:p>
        </w:tc>
      </w:tr>
      <w:tr w14:paraId="2B4A24ED">
        <w:tblPrEx>
          <w:tblCellMar>
            <w:top w:w="0" w:type="dxa"/>
            <w:left w:w="0" w:type="dxa"/>
            <w:bottom w:w="0" w:type="dxa"/>
            <w:right w:w="0" w:type="dxa"/>
          </w:tblCellMar>
        </w:tblPrEx>
        <w:trPr>
          <w:wBefore w:w="0" w:type="auto"/>
          <w:tblCellSpacing w:w="0" w:type="dxa"/>
        </w:trPr>
        <w:tc>
          <w:tcPr>
            <w:tcW w:w="0" w:type="auto"/>
            <w:noWrap w:val="0"/>
            <w:vAlign w:val="center"/>
          </w:tcPr>
          <w:p w14:paraId="3C32BA68">
            <w:r>
              <w:rPr>
                <w:rStyle w:val="10"/>
                <w:rFonts w:hint="eastAsia"/>
              </w:rPr>
              <w:t>总有效成分含量：</w:t>
            </w:r>
            <w:r>
              <w:rPr>
                <w:rFonts w:hint="eastAsia"/>
              </w:rPr>
              <w:t>1.2%</w:t>
            </w:r>
          </w:p>
        </w:tc>
      </w:tr>
      <w:tr w14:paraId="0390A31F">
        <w:tblPrEx>
          <w:tblCellMar>
            <w:top w:w="0" w:type="dxa"/>
            <w:left w:w="0" w:type="dxa"/>
            <w:bottom w:w="0" w:type="dxa"/>
            <w:right w:w="0" w:type="dxa"/>
          </w:tblCellMar>
        </w:tblPrEx>
        <w:trPr>
          <w:wBefore w:w="0" w:type="auto"/>
          <w:tblCellSpacing w:w="0" w:type="dxa"/>
        </w:trPr>
        <w:tc>
          <w:tcPr>
            <w:tcW w:w="0" w:type="auto"/>
            <w:noWrap w:val="0"/>
            <w:vAlign w:val="center"/>
          </w:tcPr>
          <w:p w14:paraId="5536EA4D">
            <w:r>
              <w:rPr>
                <w:rFonts w:hint="eastAsia"/>
              </w:rPr>
              <w:t xml:space="preserve">有效成分及其含量： </w:t>
            </w:r>
          </w:p>
          <w:p w14:paraId="6C052A18">
            <w:r>
              <w:rPr>
                <w:rFonts w:hint="eastAsia"/>
              </w:rPr>
              <w:t xml:space="preserve">    氯菊酯0.8%    胺菊酯0.4%    </w:t>
            </w:r>
          </w:p>
        </w:tc>
      </w:tr>
      <w:tr w14:paraId="4E5E7E34">
        <w:tblPrEx>
          <w:tblCellMar>
            <w:top w:w="0" w:type="dxa"/>
            <w:left w:w="0" w:type="dxa"/>
            <w:bottom w:w="0" w:type="dxa"/>
            <w:right w:w="0" w:type="dxa"/>
          </w:tblCellMar>
        </w:tblPrEx>
        <w:trPr>
          <w:wBefore w:w="0" w:type="auto"/>
          <w:tblCellSpacing w:w="0" w:type="dxa"/>
        </w:trPr>
        <w:tc>
          <w:tcPr>
            <w:tcW w:w="0" w:type="auto"/>
            <w:noWrap w:val="0"/>
            <w:vAlign w:val="center"/>
          </w:tcPr>
          <w:p w14:paraId="32FBE68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69096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55C84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DEB817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1704F8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8CB81D0">
                  <w:r>
                    <w:rPr>
                      <w:rStyle w:val="11"/>
                      <w:rFonts w:hint="eastAsia"/>
                    </w:rPr>
                    <w:t>施用方式</w:t>
                  </w:r>
                </w:p>
              </w:tc>
            </w:tr>
            <w:tr w14:paraId="5059B3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3FF79BD">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9196E9">
                  <w:r>
                    <w:rPr>
                      <w:rStyle w:val="11"/>
                      <w:rFonts w:hint="eastAsia"/>
                    </w:rPr>
                    <w:t>蚂蚁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5FAF64">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7AF2AD">
                  <w:r>
                    <w:rPr>
                      <w:rStyle w:val="11"/>
                      <w:rFonts w:hint="eastAsia"/>
                    </w:rPr>
                    <w:t>喷雾</w:t>
                  </w:r>
                </w:p>
              </w:tc>
            </w:tr>
            <w:tr w14:paraId="2D6A0A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31BA0D">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CEA850">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585574">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0B8F9E">
                  <w:r>
                    <w:rPr>
                      <w:rStyle w:val="11"/>
                      <w:rFonts w:hint="eastAsia"/>
                    </w:rPr>
                    <w:t>喷雾</w:t>
                  </w:r>
                </w:p>
              </w:tc>
            </w:tr>
            <w:tr w14:paraId="54980E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862D85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324645">
                  <w:r>
                    <w:rPr>
                      <w:rStyle w:val="11"/>
                      <w:rFonts w:hint="eastAsia"/>
                    </w:rPr>
                    <w:t>跳蚤</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09F17E">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756419">
                  <w:r>
                    <w:rPr>
                      <w:rStyle w:val="11"/>
                      <w:rFonts w:hint="eastAsia"/>
                    </w:rPr>
                    <w:t>喷雾</w:t>
                  </w:r>
                </w:p>
              </w:tc>
            </w:tr>
            <w:tr w14:paraId="5012E7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FCD3406">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BFBB45">
                  <w:r>
                    <w:rPr>
                      <w:rStyle w:val="11"/>
                      <w:rFonts w:hint="eastAsia"/>
                    </w:rPr>
                    <w:t>尘螨</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4C5247">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75FFEC">
                  <w:r>
                    <w:rPr>
                      <w:rStyle w:val="11"/>
                      <w:rFonts w:hint="eastAsia"/>
                    </w:rPr>
                    <w:t>喷雾</w:t>
                  </w:r>
                </w:p>
              </w:tc>
            </w:tr>
          </w:tbl>
          <w:p w14:paraId="304A5ACB">
            <w:pPr>
              <w:rPr>
                <w:rFonts w:ascii="Times New Roman" w:hAnsi="Times New Roman" w:cs="Times New Roman"/>
                <w:sz w:val="20"/>
                <w:szCs w:val="20"/>
              </w:rPr>
            </w:pPr>
          </w:p>
        </w:tc>
      </w:tr>
      <w:tr w14:paraId="23B646D1">
        <w:tblPrEx>
          <w:tblCellMar>
            <w:top w:w="0" w:type="dxa"/>
            <w:left w:w="0" w:type="dxa"/>
            <w:bottom w:w="0" w:type="dxa"/>
            <w:right w:w="0" w:type="dxa"/>
          </w:tblCellMar>
        </w:tblPrEx>
        <w:trPr>
          <w:wBefore w:w="0" w:type="auto"/>
          <w:tblCellSpacing w:w="0" w:type="dxa"/>
        </w:trPr>
        <w:tc>
          <w:tcPr>
            <w:tcW w:w="0" w:type="auto"/>
            <w:noWrap w:val="0"/>
            <w:vAlign w:val="center"/>
          </w:tcPr>
          <w:p w14:paraId="51D6B245">
            <w:r>
              <w:rPr>
                <w:rStyle w:val="10"/>
                <w:rFonts w:hint="eastAsia"/>
              </w:rPr>
              <w:t>使用技术要求:</w:t>
            </w:r>
            <w:r>
              <w:rPr>
                <w:rFonts w:hint="eastAsia"/>
              </w:rPr>
              <w:br w:type="textWrapping"/>
            </w:r>
            <w:r>
              <w:rPr>
                <w:rStyle w:val="11"/>
                <w:rFonts w:hint="eastAsia"/>
              </w:rPr>
              <w:t>用前摇匀。对付蚊、蝇：直接对准喷射或关闭门窗，距墙壁、家具约1米向空中喷射。对付蟑螂、蚂蚁：直接对准喷射；或向其躲藏及经常出没的地方喷射。对付尘螨、跳蚤：可直接喷射在地毯等物品上，待药液干透后即可使用；使用后人畜立即离开房间，20分钟后打开门窗，充分通风后方可再次进入房间。</w:t>
            </w:r>
          </w:p>
        </w:tc>
      </w:tr>
      <w:tr w14:paraId="61C94622">
        <w:tblPrEx>
          <w:tblCellMar>
            <w:top w:w="0" w:type="dxa"/>
            <w:left w:w="0" w:type="dxa"/>
            <w:bottom w:w="0" w:type="dxa"/>
            <w:right w:w="0" w:type="dxa"/>
          </w:tblCellMar>
        </w:tblPrEx>
        <w:trPr>
          <w:wBefore w:w="0" w:type="auto"/>
          <w:tblCellSpacing w:w="0" w:type="dxa"/>
        </w:trPr>
        <w:tc>
          <w:tcPr>
            <w:tcW w:w="0" w:type="auto"/>
            <w:noWrap w:val="0"/>
            <w:vAlign w:val="center"/>
          </w:tcPr>
          <w:p w14:paraId="100C71D8">
            <w:r>
              <w:rPr>
                <w:rStyle w:val="10"/>
                <w:rFonts w:hint="eastAsia"/>
              </w:rPr>
              <w:t>产品性能:</w:t>
            </w:r>
            <w:r>
              <w:rPr>
                <w:rFonts w:hint="eastAsia"/>
              </w:rPr>
              <w:br w:type="textWrapping"/>
            </w:r>
            <w:r>
              <w:rPr>
                <w:rStyle w:val="11"/>
                <w:rFonts w:hint="eastAsia"/>
              </w:rPr>
              <w:t>本品为胺菊酯与氯菊酯复配而成的卫生杀虫剂，具有触杀、胃毒、击倒作用。对尘螨、蚊、蝇、蟑螂、跳蚤、蚂蚁等害虫，有驱杀作用。</w:t>
            </w:r>
          </w:p>
        </w:tc>
      </w:tr>
      <w:tr w14:paraId="2B96B4B9">
        <w:tblPrEx>
          <w:tblCellMar>
            <w:top w:w="0" w:type="dxa"/>
            <w:left w:w="0" w:type="dxa"/>
            <w:bottom w:w="0" w:type="dxa"/>
            <w:right w:w="0" w:type="dxa"/>
          </w:tblCellMar>
        </w:tblPrEx>
        <w:trPr>
          <w:wBefore w:w="0" w:type="auto"/>
          <w:tblCellSpacing w:w="0" w:type="dxa"/>
        </w:trPr>
        <w:tc>
          <w:tcPr>
            <w:tcW w:w="0" w:type="auto"/>
            <w:noWrap w:val="0"/>
            <w:vAlign w:val="center"/>
          </w:tcPr>
          <w:p w14:paraId="798D4C25">
            <w:r>
              <w:rPr>
                <w:rStyle w:val="10"/>
                <w:rFonts w:hint="eastAsia"/>
              </w:rPr>
              <w:t>注意事项：</w:t>
            </w:r>
            <w:r>
              <w:rPr>
                <w:rFonts w:hint="eastAsia"/>
              </w:rPr>
              <w:br w:type="textWrapping"/>
            </w:r>
            <w:r>
              <w:rPr>
                <w:rStyle w:val="11"/>
                <w:rFonts w:hint="eastAsia"/>
              </w:rPr>
              <w:t>仅用于室内；勿在火源附近使用；存放在50℃以下阴凉干燥处；切勿倒置罐身喷射；放置孩童接触不到的地方；严禁破坏罐体；喷射时远离人体、食物；喷射地毯等物品时宜在通风条件下操作；使用后洗手，并使房间通风15分钟；过敏者、孕妇忌操作。养蚕室及其附近禁用。废弃物妥善处理，不可随意丢弃或做他用。</w:t>
            </w:r>
          </w:p>
        </w:tc>
      </w:tr>
      <w:tr w14:paraId="48C9D92E">
        <w:tblPrEx>
          <w:tblCellMar>
            <w:top w:w="0" w:type="dxa"/>
            <w:left w:w="0" w:type="dxa"/>
            <w:bottom w:w="0" w:type="dxa"/>
            <w:right w:w="0" w:type="dxa"/>
          </w:tblCellMar>
        </w:tblPrEx>
        <w:trPr>
          <w:wBefore w:w="0" w:type="auto"/>
          <w:tblCellSpacing w:w="0" w:type="dxa"/>
        </w:trPr>
        <w:tc>
          <w:tcPr>
            <w:tcW w:w="0" w:type="auto"/>
            <w:noWrap w:val="0"/>
            <w:vAlign w:val="center"/>
          </w:tcPr>
          <w:p w14:paraId="536DDF8C">
            <w:r>
              <w:rPr>
                <w:rStyle w:val="10"/>
                <w:rFonts w:hint="eastAsia"/>
              </w:rPr>
              <w:t>中毒急救措施：</w:t>
            </w:r>
            <w:r>
              <w:rPr>
                <w:rFonts w:hint="eastAsia"/>
              </w:rPr>
              <w:br w:type="textWrapping"/>
            </w:r>
            <w:r>
              <w:rPr>
                <w:rStyle w:val="11"/>
                <w:rFonts w:hint="eastAsia"/>
              </w:rPr>
              <w:t>本品对眼睛有刺激性。1.用药时如果感觉不适，立即停止工作，采取急救措施，并携此标签送医就诊。 2.皮肤接触：立即脱掉被污染的衣物，用肥皂和大量清水彻底清洗受污染的皮肤。 3.眼睛溅药：立即将眼睑翻开，用清水冲洗10-15分钟，再请医生诊治。 4.发生吸入：立即将吸入者转移到空气新鲜处，请医生诊治。 5.误服：立即携带标签，送医就诊。</w:t>
            </w:r>
          </w:p>
        </w:tc>
      </w:tr>
      <w:tr w14:paraId="576EAD78">
        <w:tblPrEx>
          <w:tblCellMar>
            <w:top w:w="0" w:type="dxa"/>
            <w:left w:w="0" w:type="dxa"/>
            <w:bottom w:w="0" w:type="dxa"/>
            <w:right w:w="0" w:type="dxa"/>
          </w:tblCellMar>
        </w:tblPrEx>
        <w:trPr>
          <w:wBefore w:w="0" w:type="auto"/>
          <w:tblCellSpacing w:w="0" w:type="dxa"/>
        </w:trPr>
        <w:tc>
          <w:tcPr>
            <w:tcW w:w="0" w:type="auto"/>
            <w:noWrap w:val="0"/>
            <w:vAlign w:val="center"/>
          </w:tcPr>
          <w:p w14:paraId="3D951660">
            <w:r>
              <w:rPr>
                <w:rStyle w:val="10"/>
                <w:rFonts w:hint="eastAsia"/>
              </w:rPr>
              <w:t>储存和运输方法：</w:t>
            </w:r>
            <w:r>
              <w:rPr>
                <w:rFonts w:hint="eastAsia"/>
              </w:rPr>
              <w:br w:type="textWrapping"/>
            </w:r>
            <w:r>
              <w:rPr>
                <w:rStyle w:val="11"/>
                <w:rFonts w:hint="eastAsia"/>
              </w:rPr>
              <w:t>1.本品为极易燃液体，应以原包装置于阴凉、干燥和通风处。远离火源或热源。置于儿童等无关人员接触不到的地方，加锁保存。 2.勿与食品、饮料、饲料、种子、肥料等同贮同运。 3.搬运及运输过程中，轻拿轻放，切勿倒置。运输中应注意防雨防潮。</w:t>
            </w:r>
          </w:p>
        </w:tc>
      </w:tr>
      <w:tr w14:paraId="704FD5F4">
        <w:tblPrEx>
          <w:tblCellMar>
            <w:top w:w="0" w:type="dxa"/>
            <w:left w:w="0" w:type="dxa"/>
            <w:bottom w:w="0" w:type="dxa"/>
            <w:right w:w="0" w:type="dxa"/>
          </w:tblCellMar>
        </w:tblPrEx>
        <w:trPr>
          <w:wBefore w:w="0" w:type="auto"/>
          <w:tblCellSpacing w:w="0" w:type="dxa"/>
        </w:trPr>
        <w:tc>
          <w:tcPr>
            <w:tcW w:w="0" w:type="auto"/>
            <w:noWrap w:val="0"/>
            <w:vAlign w:val="center"/>
          </w:tcPr>
          <w:p w14:paraId="3244023E">
            <w:r>
              <w:rPr>
                <w:rStyle w:val="10"/>
                <w:rFonts w:hint="eastAsia"/>
              </w:rPr>
              <w:t>质量保证期：</w:t>
            </w:r>
            <w:r>
              <w:rPr>
                <w:rStyle w:val="11"/>
                <w:rFonts w:hint="eastAsia"/>
              </w:rPr>
              <w:t>3年</w:t>
            </w:r>
          </w:p>
        </w:tc>
      </w:tr>
      <w:tr w14:paraId="2C71172F">
        <w:tblPrEx>
          <w:tblCellMar>
            <w:top w:w="0" w:type="dxa"/>
            <w:left w:w="0" w:type="dxa"/>
            <w:bottom w:w="0" w:type="dxa"/>
            <w:right w:w="0" w:type="dxa"/>
          </w:tblCellMar>
        </w:tblPrEx>
        <w:trPr>
          <w:wBefore w:w="0" w:type="auto"/>
          <w:tblCellSpacing w:w="0" w:type="dxa"/>
        </w:trPr>
        <w:tc>
          <w:tcPr>
            <w:tcW w:w="0" w:type="auto"/>
            <w:noWrap w:val="0"/>
            <w:vAlign w:val="center"/>
          </w:tcPr>
          <w:p w14:paraId="20744F17">
            <w:r>
              <w:rPr>
                <w:rStyle w:val="10"/>
                <w:rFonts w:hint="eastAsia"/>
              </w:rPr>
              <w:t>备注：</w:t>
            </w:r>
          </w:p>
        </w:tc>
      </w:tr>
    </w:tbl>
    <w:p w14:paraId="368FCB7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7DE25B2">
        <w:tblPrEx>
          <w:tblCellMar>
            <w:top w:w="0" w:type="dxa"/>
            <w:left w:w="0" w:type="dxa"/>
            <w:bottom w:w="0" w:type="dxa"/>
            <w:right w:w="0" w:type="dxa"/>
          </w:tblCellMar>
        </w:tblPrEx>
        <w:trPr>
          <w:wBefore w:w="0" w:type="auto"/>
          <w:tblCellSpacing w:w="0" w:type="dxa"/>
        </w:trPr>
        <w:tc>
          <w:tcPr>
            <w:tcW w:w="0" w:type="auto"/>
            <w:noWrap w:val="0"/>
            <w:vAlign w:val="center"/>
          </w:tcPr>
          <w:p w14:paraId="5A88BCD2">
            <w:r>
              <w:rPr>
                <w:rStyle w:val="10"/>
                <w:rFonts w:hint="eastAsia"/>
              </w:rPr>
              <w:t>登记证号：</w:t>
            </w:r>
            <w:r>
              <w:rPr>
                <w:rFonts w:hint="eastAsia"/>
              </w:rPr>
              <w:t>PD20211947</w:t>
            </w:r>
          </w:p>
        </w:tc>
      </w:tr>
      <w:tr w14:paraId="3087B603">
        <w:tblPrEx>
          <w:tblCellMar>
            <w:top w:w="0" w:type="dxa"/>
            <w:left w:w="0" w:type="dxa"/>
            <w:bottom w:w="0" w:type="dxa"/>
            <w:right w:w="0" w:type="dxa"/>
          </w:tblCellMar>
        </w:tblPrEx>
        <w:trPr>
          <w:wBefore w:w="0" w:type="auto"/>
          <w:tblCellSpacing w:w="0" w:type="dxa"/>
        </w:trPr>
        <w:tc>
          <w:tcPr>
            <w:tcW w:w="0" w:type="auto"/>
            <w:noWrap w:val="0"/>
            <w:vAlign w:val="center"/>
          </w:tcPr>
          <w:p w14:paraId="5B5EA85C">
            <w:r>
              <w:rPr>
                <w:rStyle w:val="10"/>
                <w:rFonts w:hint="eastAsia"/>
              </w:rPr>
              <w:t>登记证持有人：</w:t>
            </w:r>
            <w:r>
              <w:rPr>
                <w:rFonts w:hint="eastAsia"/>
              </w:rPr>
              <w:t>陕西美邦药业集团股份有限公司</w:t>
            </w:r>
          </w:p>
        </w:tc>
      </w:tr>
      <w:tr w14:paraId="5703D051">
        <w:tblPrEx>
          <w:tblCellMar>
            <w:top w:w="0" w:type="dxa"/>
            <w:left w:w="0" w:type="dxa"/>
            <w:bottom w:w="0" w:type="dxa"/>
            <w:right w:w="0" w:type="dxa"/>
          </w:tblCellMar>
        </w:tblPrEx>
        <w:trPr>
          <w:wBefore w:w="0" w:type="auto"/>
          <w:tblCellSpacing w:w="0" w:type="dxa"/>
        </w:trPr>
        <w:tc>
          <w:tcPr>
            <w:tcW w:w="0" w:type="auto"/>
            <w:noWrap w:val="0"/>
            <w:vAlign w:val="center"/>
          </w:tcPr>
          <w:p w14:paraId="6FEAAE1D">
            <w:r>
              <w:rPr>
                <w:rStyle w:val="10"/>
                <w:rFonts w:hint="eastAsia"/>
              </w:rPr>
              <w:t>农药名称：</w:t>
            </w:r>
            <w:r>
              <w:rPr>
                <w:rFonts w:hint="eastAsia"/>
              </w:rPr>
              <w:t>氟吡菌胺·精甲霜灵</w:t>
            </w:r>
          </w:p>
        </w:tc>
      </w:tr>
      <w:tr w14:paraId="5CDD853A">
        <w:tblPrEx>
          <w:tblCellMar>
            <w:top w:w="0" w:type="dxa"/>
            <w:left w:w="0" w:type="dxa"/>
            <w:bottom w:w="0" w:type="dxa"/>
            <w:right w:w="0" w:type="dxa"/>
          </w:tblCellMar>
        </w:tblPrEx>
        <w:trPr>
          <w:wBefore w:w="0" w:type="auto"/>
          <w:tblCellSpacing w:w="0" w:type="dxa"/>
        </w:trPr>
        <w:tc>
          <w:tcPr>
            <w:tcW w:w="0" w:type="auto"/>
            <w:noWrap w:val="0"/>
            <w:vAlign w:val="center"/>
          </w:tcPr>
          <w:p w14:paraId="76219805">
            <w:r>
              <w:rPr>
                <w:rStyle w:val="10"/>
                <w:rFonts w:hint="eastAsia"/>
              </w:rPr>
              <w:t>剂型：</w:t>
            </w:r>
            <w:r>
              <w:rPr>
                <w:rFonts w:hint="eastAsia"/>
              </w:rPr>
              <w:t>悬浮剂</w:t>
            </w:r>
          </w:p>
        </w:tc>
      </w:tr>
      <w:tr w14:paraId="585C374A">
        <w:tblPrEx>
          <w:tblCellMar>
            <w:top w:w="0" w:type="dxa"/>
            <w:left w:w="0" w:type="dxa"/>
            <w:bottom w:w="0" w:type="dxa"/>
            <w:right w:w="0" w:type="dxa"/>
          </w:tblCellMar>
        </w:tblPrEx>
        <w:trPr>
          <w:wBefore w:w="0" w:type="auto"/>
          <w:tblCellSpacing w:w="0" w:type="dxa"/>
        </w:trPr>
        <w:tc>
          <w:tcPr>
            <w:tcW w:w="0" w:type="auto"/>
            <w:noWrap w:val="0"/>
            <w:vAlign w:val="center"/>
          </w:tcPr>
          <w:p w14:paraId="6F9B89FE">
            <w:r>
              <w:rPr>
                <w:rStyle w:val="10"/>
                <w:rFonts w:hint="eastAsia"/>
              </w:rPr>
              <w:t>毒性及其标识：</w:t>
            </w:r>
            <w:r>
              <w:rPr>
                <w:rFonts w:hint="eastAsia"/>
              </w:rPr>
              <w:t xml:space="preserve"> </w:t>
            </w:r>
            <w:r>
              <w:rPr>
                <w:lang/>
              </w:rPr>
              <w:drawing>
                <wp:inline distT="0" distB="0" distL="114300" distR="114300">
                  <wp:extent cx="476250" cy="323850"/>
                  <wp:effectExtent l="0" t="0" r="0" b="0"/>
                  <wp:docPr id="144" name="图片 14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40A158B">
        <w:tblPrEx>
          <w:tblCellMar>
            <w:top w:w="0" w:type="dxa"/>
            <w:left w:w="0" w:type="dxa"/>
            <w:bottom w:w="0" w:type="dxa"/>
            <w:right w:w="0" w:type="dxa"/>
          </w:tblCellMar>
        </w:tblPrEx>
        <w:trPr>
          <w:wBefore w:w="0" w:type="auto"/>
          <w:tblCellSpacing w:w="0" w:type="dxa"/>
        </w:trPr>
        <w:tc>
          <w:tcPr>
            <w:tcW w:w="0" w:type="auto"/>
            <w:noWrap w:val="0"/>
            <w:vAlign w:val="center"/>
          </w:tcPr>
          <w:p w14:paraId="37035B7E">
            <w:r>
              <w:rPr>
                <w:rStyle w:val="10"/>
                <w:rFonts w:hint="eastAsia"/>
              </w:rPr>
              <w:t>总有效成分含量：</w:t>
            </w:r>
            <w:r>
              <w:rPr>
                <w:rFonts w:hint="eastAsia"/>
              </w:rPr>
              <w:t>30%</w:t>
            </w:r>
          </w:p>
        </w:tc>
      </w:tr>
      <w:tr w14:paraId="41A1582F">
        <w:tblPrEx>
          <w:tblCellMar>
            <w:top w:w="0" w:type="dxa"/>
            <w:left w:w="0" w:type="dxa"/>
            <w:bottom w:w="0" w:type="dxa"/>
            <w:right w:w="0" w:type="dxa"/>
          </w:tblCellMar>
        </w:tblPrEx>
        <w:trPr>
          <w:wBefore w:w="0" w:type="auto"/>
          <w:tblCellSpacing w:w="0" w:type="dxa"/>
        </w:trPr>
        <w:tc>
          <w:tcPr>
            <w:tcW w:w="0" w:type="auto"/>
            <w:noWrap w:val="0"/>
            <w:vAlign w:val="center"/>
          </w:tcPr>
          <w:p w14:paraId="7137AD86">
            <w:r>
              <w:rPr>
                <w:rFonts w:hint="eastAsia"/>
              </w:rPr>
              <w:t xml:space="preserve">有效成分及其含量： </w:t>
            </w:r>
          </w:p>
          <w:p w14:paraId="55543EBC">
            <w:r>
              <w:rPr>
                <w:rFonts w:hint="eastAsia"/>
              </w:rPr>
              <w:t xml:space="preserve">    氟吡菌胺20%    精甲霜灵10%    </w:t>
            </w:r>
          </w:p>
        </w:tc>
      </w:tr>
      <w:tr w14:paraId="1F1CC871">
        <w:tblPrEx>
          <w:tblCellMar>
            <w:top w:w="0" w:type="dxa"/>
            <w:left w:w="0" w:type="dxa"/>
            <w:bottom w:w="0" w:type="dxa"/>
            <w:right w:w="0" w:type="dxa"/>
          </w:tblCellMar>
        </w:tblPrEx>
        <w:trPr>
          <w:wBefore w:w="0" w:type="auto"/>
          <w:tblCellSpacing w:w="0" w:type="dxa"/>
        </w:trPr>
        <w:tc>
          <w:tcPr>
            <w:tcW w:w="0" w:type="auto"/>
            <w:noWrap w:val="0"/>
            <w:vAlign w:val="center"/>
          </w:tcPr>
          <w:p w14:paraId="33B87CB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C1C82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560363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2B542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F9CE3B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B20825">
                  <w:r>
                    <w:rPr>
                      <w:rStyle w:val="11"/>
                      <w:rFonts w:hint="eastAsia"/>
                    </w:rPr>
                    <w:t>施用方式</w:t>
                  </w:r>
                </w:p>
              </w:tc>
            </w:tr>
            <w:tr w14:paraId="73E14B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E57FE0">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362608">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A5A30D">
                  <w:r>
                    <w:rPr>
                      <w:rStyle w:val="11"/>
                      <w:rFonts w:hint="eastAsia"/>
                    </w:rPr>
                    <w:t>11-19毫升/亩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E7D83B">
                  <w:r>
                    <w:rPr>
                      <w:rStyle w:val="11"/>
                      <w:rFonts w:hint="eastAsia"/>
                    </w:rPr>
                    <w:t>喷雾</w:t>
                  </w:r>
                </w:p>
              </w:tc>
            </w:tr>
          </w:tbl>
          <w:p w14:paraId="32CC081C">
            <w:pPr>
              <w:rPr>
                <w:rFonts w:ascii="Times New Roman" w:hAnsi="Times New Roman" w:cs="Times New Roman"/>
                <w:sz w:val="20"/>
                <w:szCs w:val="20"/>
              </w:rPr>
            </w:pPr>
          </w:p>
        </w:tc>
      </w:tr>
      <w:tr w14:paraId="2899F321">
        <w:tblPrEx>
          <w:tblCellMar>
            <w:top w:w="0" w:type="dxa"/>
            <w:left w:w="0" w:type="dxa"/>
            <w:bottom w:w="0" w:type="dxa"/>
            <w:right w:w="0" w:type="dxa"/>
          </w:tblCellMar>
        </w:tblPrEx>
        <w:trPr>
          <w:wBefore w:w="0" w:type="auto"/>
          <w:tblCellSpacing w:w="0" w:type="dxa"/>
        </w:trPr>
        <w:tc>
          <w:tcPr>
            <w:tcW w:w="0" w:type="auto"/>
            <w:noWrap w:val="0"/>
            <w:vAlign w:val="center"/>
          </w:tcPr>
          <w:p w14:paraId="79602AE4">
            <w:r>
              <w:rPr>
                <w:rStyle w:val="10"/>
                <w:rFonts w:hint="eastAsia"/>
              </w:rPr>
              <w:t>使用技术要求:</w:t>
            </w:r>
            <w:r>
              <w:rPr>
                <w:rFonts w:hint="eastAsia"/>
              </w:rPr>
              <w:br w:type="textWrapping"/>
            </w:r>
            <w:r>
              <w:rPr>
                <w:rStyle w:val="11"/>
                <w:rFonts w:hint="eastAsia"/>
              </w:rPr>
              <w:t>1. 本品适宜施药时期为马铃薯晚疫病发病初期施药，连续施药3次，每次间隔7-10天，注意喷雾均匀、周到，以确保药效。2. 大风天或预计1小时内降雨，请勿施药。3. 本品在马铃薯使用时的安全间隔期为7天，每季作物最多使用3次。</w:t>
            </w:r>
          </w:p>
        </w:tc>
      </w:tr>
      <w:tr w14:paraId="7AB1DC4F">
        <w:tblPrEx>
          <w:tblCellMar>
            <w:top w:w="0" w:type="dxa"/>
            <w:left w:w="0" w:type="dxa"/>
            <w:bottom w:w="0" w:type="dxa"/>
            <w:right w:w="0" w:type="dxa"/>
          </w:tblCellMar>
        </w:tblPrEx>
        <w:trPr>
          <w:wBefore w:w="0" w:type="auto"/>
          <w:tblCellSpacing w:w="0" w:type="dxa"/>
        </w:trPr>
        <w:tc>
          <w:tcPr>
            <w:tcW w:w="0" w:type="auto"/>
            <w:noWrap w:val="0"/>
            <w:vAlign w:val="center"/>
          </w:tcPr>
          <w:p w14:paraId="6B32BEC2">
            <w:r>
              <w:rPr>
                <w:rStyle w:val="10"/>
                <w:rFonts w:hint="eastAsia"/>
              </w:rPr>
              <w:t>产品性能:</w:t>
            </w:r>
            <w:r>
              <w:rPr>
                <w:rFonts w:hint="eastAsia"/>
              </w:rPr>
              <w:br w:type="textWrapping"/>
            </w:r>
            <w:r>
              <w:rPr>
                <w:rStyle w:val="11"/>
                <w:rFonts w:hint="eastAsia"/>
              </w:rPr>
              <w:t>本品是由氟吡菌胺和精甲霜灵复配而成的杀菌剂，氟吡菌胺为酰胺类杀菌剂，对卵菌纲病菌有很高的生物活性，具有保护和治疗作用，有较强的渗透性；精甲霜灵作用机制是抑制病菌菌丝体内核糖体RNAⅠ和蛋白质的合成。二者复配对马铃薯晚疫病具有较好的防治效果。</w:t>
            </w:r>
          </w:p>
        </w:tc>
      </w:tr>
      <w:tr w14:paraId="07A5A5D2">
        <w:tblPrEx>
          <w:tblCellMar>
            <w:top w:w="0" w:type="dxa"/>
            <w:left w:w="0" w:type="dxa"/>
            <w:bottom w:w="0" w:type="dxa"/>
            <w:right w:w="0" w:type="dxa"/>
          </w:tblCellMar>
        </w:tblPrEx>
        <w:trPr>
          <w:wBefore w:w="0" w:type="auto"/>
          <w:tblCellSpacing w:w="0" w:type="dxa"/>
        </w:trPr>
        <w:tc>
          <w:tcPr>
            <w:tcW w:w="0" w:type="auto"/>
            <w:noWrap w:val="0"/>
            <w:vAlign w:val="center"/>
          </w:tcPr>
          <w:p w14:paraId="670E0C6D">
            <w:r>
              <w:rPr>
                <w:rStyle w:val="10"/>
                <w:rFonts w:hint="eastAsia"/>
              </w:rPr>
              <w:t>注意事项：</w:t>
            </w:r>
            <w:r>
              <w:rPr>
                <w:rFonts w:hint="eastAsia"/>
              </w:rPr>
              <w:br w:type="textWrapping"/>
            </w:r>
            <w:r>
              <w:rPr>
                <w:rStyle w:val="11"/>
                <w:rFonts w:hint="eastAsia"/>
              </w:rPr>
              <w:t>1. 严格按照规定用药量和方法使用。 2. 建议与其他作用机制不同的杀菌剂轮换使用，以延缓抗性产生。 3. 本品对鱼、溞有毒，不可使用最外围桑树上的桑叶饲喂家蚕；水产养殖区、河塘等水体附近禁用，禁止在河塘等水体中清洗施药器具。 4. 对眼睛有强刺激性，使用时穿戴长衣长裤、帽子、口罩、手套、鞋等安全防护措施。施药期间不可吃东西、饮水、吸烟等；施药后应及时洗手、洗脸并洗涤施药时穿着的衣物。 5. 用药后包装物及用过的容器应妥善处理，不可做他用，也不可随意丢弃。 6. 孕妇及哺乳期妇女禁止接触本产品。</w:t>
            </w:r>
          </w:p>
        </w:tc>
      </w:tr>
      <w:tr w14:paraId="7E5D0772">
        <w:tblPrEx>
          <w:tblCellMar>
            <w:top w:w="0" w:type="dxa"/>
            <w:left w:w="0" w:type="dxa"/>
            <w:bottom w:w="0" w:type="dxa"/>
            <w:right w:w="0" w:type="dxa"/>
          </w:tblCellMar>
        </w:tblPrEx>
        <w:trPr>
          <w:wBefore w:w="0" w:type="auto"/>
          <w:tblCellSpacing w:w="0" w:type="dxa"/>
        </w:trPr>
        <w:tc>
          <w:tcPr>
            <w:tcW w:w="0" w:type="auto"/>
            <w:noWrap w:val="0"/>
            <w:vAlign w:val="center"/>
          </w:tcPr>
          <w:p w14:paraId="17DCB738">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17B516EF">
        <w:tblPrEx>
          <w:tblCellMar>
            <w:top w:w="0" w:type="dxa"/>
            <w:left w:w="0" w:type="dxa"/>
            <w:bottom w:w="0" w:type="dxa"/>
            <w:right w:w="0" w:type="dxa"/>
          </w:tblCellMar>
        </w:tblPrEx>
        <w:trPr>
          <w:wBefore w:w="0" w:type="auto"/>
          <w:tblCellSpacing w:w="0" w:type="dxa"/>
        </w:trPr>
        <w:tc>
          <w:tcPr>
            <w:tcW w:w="0" w:type="auto"/>
            <w:noWrap w:val="0"/>
            <w:vAlign w:val="center"/>
          </w:tcPr>
          <w:p w14:paraId="443BEA4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本品应贮存在干燥、阴凉、通风、防雨处，远离火源或热源。置于儿童、无关人员及动物触及不到之处，并加锁保存。勿与食品、饮料、粮食、饲料、种子等其他商品同贮同运。</w:t>
            </w:r>
          </w:p>
        </w:tc>
      </w:tr>
      <w:tr w14:paraId="3BCEEBA4">
        <w:tblPrEx>
          <w:tblCellMar>
            <w:top w:w="0" w:type="dxa"/>
            <w:left w:w="0" w:type="dxa"/>
            <w:bottom w:w="0" w:type="dxa"/>
            <w:right w:w="0" w:type="dxa"/>
          </w:tblCellMar>
        </w:tblPrEx>
        <w:trPr>
          <w:wBefore w:w="0" w:type="auto"/>
          <w:tblCellSpacing w:w="0" w:type="dxa"/>
        </w:trPr>
        <w:tc>
          <w:tcPr>
            <w:tcW w:w="0" w:type="auto"/>
            <w:noWrap w:val="0"/>
            <w:vAlign w:val="center"/>
          </w:tcPr>
          <w:p w14:paraId="02B69C83">
            <w:r>
              <w:rPr>
                <w:rStyle w:val="10"/>
                <w:rFonts w:hint="eastAsia"/>
              </w:rPr>
              <w:t>质量保证期：</w:t>
            </w:r>
            <w:r>
              <w:rPr>
                <w:rStyle w:val="11"/>
                <w:rFonts w:hint="eastAsia"/>
              </w:rPr>
              <w:t>2年</w:t>
            </w:r>
          </w:p>
        </w:tc>
      </w:tr>
      <w:tr w14:paraId="3411F81C">
        <w:tblPrEx>
          <w:tblCellMar>
            <w:top w:w="0" w:type="dxa"/>
            <w:left w:w="0" w:type="dxa"/>
            <w:bottom w:w="0" w:type="dxa"/>
            <w:right w:w="0" w:type="dxa"/>
          </w:tblCellMar>
        </w:tblPrEx>
        <w:trPr>
          <w:wBefore w:w="0" w:type="auto"/>
          <w:tblCellSpacing w:w="0" w:type="dxa"/>
        </w:trPr>
        <w:tc>
          <w:tcPr>
            <w:tcW w:w="0" w:type="auto"/>
            <w:noWrap w:val="0"/>
            <w:vAlign w:val="center"/>
          </w:tcPr>
          <w:p w14:paraId="143B73C8">
            <w:r>
              <w:rPr>
                <w:rStyle w:val="10"/>
                <w:rFonts w:hint="eastAsia"/>
              </w:rPr>
              <w:t>备注：</w:t>
            </w:r>
          </w:p>
        </w:tc>
      </w:tr>
    </w:tbl>
    <w:p w14:paraId="1DE542E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654469">
        <w:tblPrEx>
          <w:tblCellMar>
            <w:top w:w="0" w:type="dxa"/>
            <w:left w:w="0" w:type="dxa"/>
            <w:bottom w:w="0" w:type="dxa"/>
            <w:right w:w="0" w:type="dxa"/>
          </w:tblCellMar>
        </w:tblPrEx>
        <w:trPr>
          <w:wBefore w:w="0" w:type="auto"/>
          <w:tblCellSpacing w:w="0" w:type="dxa"/>
        </w:trPr>
        <w:tc>
          <w:tcPr>
            <w:tcW w:w="0" w:type="auto"/>
            <w:noWrap w:val="0"/>
            <w:vAlign w:val="center"/>
          </w:tcPr>
          <w:p w14:paraId="786AD62B">
            <w:r>
              <w:rPr>
                <w:rStyle w:val="10"/>
                <w:rFonts w:hint="eastAsia"/>
              </w:rPr>
              <w:t>登记证号：</w:t>
            </w:r>
            <w:r>
              <w:rPr>
                <w:rFonts w:hint="eastAsia"/>
              </w:rPr>
              <w:t>PD20211841</w:t>
            </w:r>
          </w:p>
        </w:tc>
      </w:tr>
      <w:tr w14:paraId="16077DD9">
        <w:tblPrEx>
          <w:tblCellMar>
            <w:top w:w="0" w:type="dxa"/>
            <w:left w:w="0" w:type="dxa"/>
            <w:bottom w:w="0" w:type="dxa"/>
            <w:right w:w="0" w:type="dxa"/>
          </w:tblCellMar>
        </w:tblPrEx>
        <w:trPr>
          <w:wBefore w:w="0" w:type="auto"/>
          <w:tblCellSpacing w:w="0" w:type="dxa"/>
        </w:trPr>
        <w:tc>
          <w:tcPr>
            <w:tcW w:w="0" w:type="auto"/>
            <w:noWrap w:val="0"/>
            <w:vAlign w:val="center"/>
          </w:tcPr>
          <w:p w14:paraId="178DDBB8">
            <w:r>
              <w:rPr>
                <w:rStyle w:val="10"/>
                <w:rFonts w:hint="eastAsia"/>
              </w:rPr>
              <w:t>登记证持有人：</w:t>
            </w:r>
            <w:r>
              <w:rPr>
                <w:rFonts w:hint="eastAsia"/>
              </w:rPr>
              <w:t>广东省佛山市盈辉作物科学有限公司</w:t>
            </w:r>
          </w:p>
        </w:tc>
      </w:tr>
      <w:tr w14:paraId="32115C97">
        <w:tblPrEx>
          <w:tblCellMar>
            <w:top w:w="0" w:type="dxa"/>
            <w:left w:w="0" w:type="dxa"/>
            <w:bottom w:w="0" w:type="dxa"/>
            <w:right w:w="0" w:type="dxa"/>
          </w:tblCellMar>
        </w:tblPrEx>
        <w:trPr>
          <w:wBefore w:w="0" w:type="auto"/>
          <w:tblCellSpacing w:w="0" w:type="dxa"/>
        </w:trPr>
        <w:tc>
          <w:tcPr>
            <w:tcW w:w="0" w:type="auto"/>
            <w:noWrap w:val="0"/>
            <w:vAlign w:val="center"/>
          </w:tcPr>
          <w:p w14:paraId="499B43C0">
            <w:r>
              <w:rPr>
                <w:rStyle w:val="10"/>
                <w:rFonts w:hint="eastAsia"/>
              </w:rPr>
              <w:t>农药名称：</w:t>
            </w:r>
            <w:r>
              <w:rPr>
                <w:rFonts w:hint="eastAsia"/>
              </w:rPr>
              <w:t>丁醚脲·唑虫酰胺</w:t>
            </w:r>
          </w:p>
        </w:tc>
      </w:tr>
      <w:tr w14:paraId="0F8E7E3A">
        <w:tblPrEx>
          <w:tblCellMar>
            <w:top w:w="0" w:type="dxa"/>
            <w:left w:w="0" w:type="dxa"/>
            <w:bottom w:w="0" w:type="dxa"/>
            <w:right w:w="0" w:type="dxa"/>
          </w:tblCellMar>
        </w:tblPrEx>
        <w:trPr>
          <w:wBefore w:w="0" w:type="auto"/>
          <w:tblCellSpacing w:w="0" w:type="dxa"/>
        </w:trPr>
        <w:tc>
          <w:tcPr>
            <w:tcW w:w="0" w:type="auto"/>
            <w:noWrap w:val="0"/>
            <w:vAlign w:val="center"/>
          </w:tcPr>
          <w:p w14:paraId="7646110B">
            <w:r>
              <w:rPr>
                <w:rStyle w:val="10"/>
                <w:rFonts w:hint="eastAsia"/>
              </w:rPr>
              <w:t>剂型：</w:t>
            </w:r>
            <w:r>
              <w:rPr>
                <w:rFonts w:hint="eastAsia"/>
              </w:rPr>
              <w:t>悬浮剂</w:t>
            </w:r>
          </w:p>
        </w:tc>
      </w:tr>
      <w:tr w14:paraId="336B0968">
        <w:tblPrEx>
          <w:tblCellMar>
            <w:top w:w="0" w:type="dxa"/>
            <w:left w:w="0" w:type="dxa"/>
            <w:bottom w:w="0" w:type="dxa"/>
            <w:right w:w="0" w:type="dxa"/>
          </w:tblCellMar>
        </w:tblPrEx>
        <w:trPr>
          <w:wBefore w:w="0" w:type="auto"/>
          <w:tblCellSpacing w:w="0" w:type="dxa"/>
        </w:trPr>
        <w:tc>
          <w:tcPr>
            <w:tcW w:w="0" w:type="auto"/>
            <w:noWrap w:val="0"/>
            <w:vAlign w:val="center"/>
          </w:tcPr>
          <w:p w14:paraId="56D2F798">
            <w:r>
              <w:rPr>
                <w:rStyle w:val="10"/>
                <w:rFonts w:hint="eastAsia"/>
              </w:rPr>
              <w:t>毒性及其标识：</w:t>
            </w:r>
            <w:r>
              <w:rPr>
                <w:rFonts w:hint="eastAsia"/>
              </w:rPr>
              <w:t xml:space="preserve"> </w:t>
            </w:r>
            <w:r>
              <w:rPr>
                <w:lang/>
              </w:rPr>
              <w:drawing>
                <wp:inline distT="0" distB="0" distL="114300" distR="114300">
                  <wp:extent cx="476250" cy="323850"/>
                  <wp:effectExtent l="0" t="0" r="0" b="0"/>
                  <wp:docPr id="145" name="图片 145"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59E1D9DE">
        <w:tblPrEx>
          <w:tblCellMar>
            <w:top w:w="0" w:type="dxa"/>
            <w:left w:w="0" w:type="dxa"/>
            <w:bottom w:w="0" w:type="dxa"/>
            <w:right w:w="0" w:type="dxa"/>
          </w:tblCellMar>
        </w:tblPrEx>
        <w:trPr>
          <w:wBefore w:w="0" w:type="auto"/>
          <w:tblCellSpacing w:w="0" w:type="dxa"/>
        </w:trPr>
        <w:tc>
          <w:tcPr>
            <w:tcW w:w="0" w:type="auto"/>
            <w:noWrap w:val="0"/>
            <w:vAlign w:val="center"/>
          </w:tcPr>
          <w:p w14:paraId="070AD4CE">
            <w:r>
              <w:rPr>
                <w:rStyle w:val="10"/>
                <w:rFonts w:hint="eastAsia"/>
              </w:rPr>
              <w:t>总有效成分含量：</w:t>
            </w:r>
            <w:r>
              <w:rPr>
                <w:rFonts w:hint="eastAsia"/>
              </w:rPr>
              <w:t>30%</w:t>
            </w:r>
          </w:p>
        </w:tc>
      </w:tr>
      <w:tr w14:paraId="7B50626F">
        <w:tblPrEx>
          <w:tblCellMar>
            <w:top w:w="0" w:type="dxa"/>
            <w:left w:w="0" w:type="dxa"/>
            <w:bottom w:w="0" w:type="dxa"/>
            <w:right w:w="0" w:type="dxa"/>
          </w:tblCellMar>
        </w:tblPrEx>
        <w:trPr>
          <w:wBefore w:w="0" w:type="auto"/>
          <w:tblCellSpacing w:w="0" w:type="dxa"/>
        </w:trPr>
        <w:tc>
          <w:tcPr>
            <w:tcW w:w="0" w:type="auto"/>
            <w:noWrap w:val="0"/>
            <w:vAlign w:val="center"/>
          </w:tcPr>
          <w:p w14:paraId="4140B732">
            <w:r>
              <w:rPr>
                <w:rFonts w:hint="eastAsia"/>
              </w:rPr>
              <w:t xml:space="preserve">有效成分及其含量： </w:t>
            </w:r>
          </w:p>
          <w:p w14:paraId="3F4A0A8E">
            <w:r>
              <w:rPr>
                <w:rFonts w:hint="eastAsia"/>
              </w:rPr>
              <w:t xml:space="preserve">    丁醚脲20%    唑虫酰胺10%    </w:t>
            </w:r>
          </w:p>
        </w:tc>
      </w:tr>
      <w:tr w14:paraId="0E8DA7AD">
        <w:tblPrEx>
          <w:tblCellMar>
            <w:top w:w="0" w:type="dxa"/>
            <w:left w:w="0" w:type="dxa"/>
            <w:bottom w:w="0" w:type="dxa"/>
            <w:right w:w="0" w:type="dxa"/>
          </w:tblCellMar>
        </w:tblPrEx>
        <w:trPr>
          <w:wBefore w:w="0" w:type="auto"/>
          <w:tblCellSpacing w:w="0" w:type="dxa"/>
        </w:trPr>
        <w:tc>
          <w:tcPr>
            <w:tcW w:w="0" w:type="auto"/>
            <w:noWrap w:val="0"/>
            <w:vAlign w:val="center"/>
          </w:tcPr>
          <w:p w14:paraId="585ABB4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857E8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4CD99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14485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5A50C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4BB7FA9">
                  <w:r>
                    <w:rPr>
                      <w:rStyle w:val="11"/>
                      <w:rFonts w:hint="eastAsia"/>
                    </w:rPr>
                    <w:t>施用方式</w:t>
                  </w:r>
                </w:p>
              </w:tc>
            </w:tr>
            <w:tr w14:paraId="52344F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4A24BC">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94465F">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D588D1">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E19601">
                  <w:r>
                    <w:rPr>
                      <w:rStyle w:val="11"/>
                      <w:rFonts w:hint="eastAsia"/>
                    </w:rPr>
                    <w:t>喷雾</w:t>
                  </w:r>
                </w:p>
              </w:tc>
            </w:tr>
          </w:tbl>
          <w:p w14:paraId="6D5DBD0D">
            <w:pPr>
              <w:rPr>
                <w:rFonts w:ascii="Times New Roman" w:hAnsi="Times New Roman" w:cs="Times New Roman"/>
                <w:sz w:val="20"/>
                <w:szCs w:val="20"/>
              </w:rPr>
            </w:pPr>
          </w:p>
        </w:tc>
      </w:tr>
      <w:tr w14:paraId="2D1FF25B">
        <w:tblPrEx>
          <w:tblCellMar>
            <w:top w:w="0" w:type="dxa"/>
            <w:left w:w="0" w:type="dxa"/>
            <w:bottom w:w="0" w:type="dxa"/>
            <w:right w:w="0" w:type="dxa"/>
          </w:tblCellMar>
        </w:tblPrEx>
        <w:trPr>
          <w:wBefore w:w="0" w:type="auto"/>
          <w:tblCellSpacing w:w="0" w:type="dxa"/>
        </w:trPr>
        <w:tc>
          <w:tcPr>
            <w:tcW w:w="0" w:type="auto"/>
            <w:noWrap w:val="0"/>
            <w:vAlign w:val="center"/>
          </w:tcPr>
          <w:p w14:paraId="1CBBBDC8">
            <w:r>
              <w:rPr>
                <w:rStyle w:val="10"/>
                <w:rFonts w:hint="eastAsia"/>
              </w:rPr>
              <w:t>使用技术要求:</w:t>
            </w:r>
            <w:r>
              <w:rPr>
                <w:rFonts w:hint="eastAsia"/>
              </w:rPr>
              <w:br w:type="textWrapping"/>
            </w:r>
            <w:r>
              <w:rPr>
                <w:rStyle w:val="11"/>
                <w:rFonts w:hint="eastAsia"/>
              </w:rPr>
              <w:t>1. 甘蓝小菜蛾卵孵盛期至低龄幼虫发生始盛期施药1次。2. 大风天或预计1小时内降雨，请勿施药。3. 本品在甘蓝上的安全间隔期为7天，每季作物最多可使用1次。</w:t>
            </w:r>
          </w:p>
        </w:tc>
      </w:tr>
      <w:tr w14:paraId="470B1134">
        <w:tblPrEx>
          <w:tblCellMar>
            <w:top w:w="0" w:type="dxa"/>
            <w:left w:w="0" w:type="dxa"/>
            <w:bottom w:w="0" w:type="dxa"/>
            <w:right w:w="0" w:type="dxa"/>
          </w:tblCellMar>
        </w:tblPrEx>
        <w:trPr>
          <w:wBefore w:w="0" w:type="auto"/>
          <w:tblCellSpacing w:w="0" w:type="dxa"/>
        </w:trPr>
        <w:tc>
          <w:tcPr>
            <w:tcW w:w="0" w:type="auto"/>
            <w:noWrap w:val="0"/>
            <w:vAlign w:val="center"/>
          </w:tcPr>
          <w:p w14:paraId="220A1C87">
            <w:r>
              <w:rPr>
                <w:rStyle w:val="10"/>
                <w:rFonts w:hint="eastAsia"/>
              </w:rPr>
              <w:t>产品性能:</w:t>
            </w:r>
            <w:r>
              <w:rPr>
                <w:rFonts w:hint="eastAsia"/>
              </w:rPr>
              <w:br w:type="textWrapping"/>
            </w:r>
            <w:r>
              <w:rPr>
                <w:rStyle w:val="11"/>
                <w:rFonts w:hint="eastAsia"/>
              </w:rPr>
              <w:t>本品中的唑虫酰胺是新型吡唑杂环类杀虫杀螨剂，阻碍线粒体的代谢系统中的电子传达系统复合体I，从而使电子传达收到阻碍，使昆虫不能提供和贮存能量。丁醚脲在紫外线照射下或在虫体内多功能氧化酶的作用下，分解物能阻碍害虫体内神经细胞线粒体功能的发挥，影响其呼吸作用及能量转换，两者混配导致害虫麻痹后死亡。</w:t>
            </w:r>
          </w:p>
        </w:tc>
      </w:tr>
      <w:tr w14:paraId="4583601E">
        <w:tblPrEx>
          <w:tblCellMar>
            <w:top w:w="0" w:type="dxa"/>
            <w:left w:w="0" w:type="dxa"/>
            <w:bottom w:w="0" w:type="dxa"/>
            <w:right w:w="0" w:type="dxa"/>
          </w:tblCellMar>
        </w:tblPrEx>
        <w:trPr>
          <w:wBefore w:w="0" w:type="auto"/>
          <w:tblCellSpacing w:w="0" w:type="dxa"/>
        </w:trPr>
        <w:tc>
          <w:tcPr>
            <w:tcW w:w="0" w:type="auto"/>
            <w:noWrap w:val="0"/>
            <w:vAlign w:val="center"/>
          </w:tcPr>
          <w:p w14:paraId="60F05B72">
            <w:r>
              <w:rPr>
                <w:rStyle w:val="10"/>
                <w:rFonts w:hint="eastAsia"/>
              </w:rPr>
              <w:t>注意事项：</w:t>
            </w:r>
            <w:r>
              <w:rPr>
                <w:rFonts w:hint="eastAsia"/>
              </w:rPr>
              <w:br w:type="textWrapping"/>
            </w:r>
            <w:r>
              <w:rPr>
                <w:rStyle w:val="11"/>
                <w:rFonts w:hint="eastAsia"/>
              </w:rPr>
              <w:t>1. 使用时穿戴长衣、长裤、帽子、口罩、手套等防护措施。3. 本品对鱼、大型溞和藻毒性高，远离水产养殖区、河塘等水体施药；禁止在河塘等水体中清洗施药器具。周围开花植物花期禁用，使用时应密切关注对附近蜂群的影响。家蚕及桑园附近禁用。鸟类保护区附近禁用。4. 建议与其它杀虫剂轮换使用，延缓抗性。5. 禁止孕妇及哺乳期妇女接触。6. 用过的容器应妥善处理，不可做他用，也不可随意丢弃。</w:t>
            </w:r>
          </w:p>
        </w:tc>
      </w:tr>
      <w:tr w14:paraId="306AC3DB">
        <w:tblPrEx>
          <w:tblCellMar>
            <w:top w:w="0" w:type="dxa"/>
            <w:left w:w="0" w:type="dxa"/>
            <w:bottom w:w="0" w:type="dxa"/>
            <w:right w:w="0" w:type="dxa"/>
          </w:tblCellMar>
        </w:tblPrEx>
        <w:trPr>
          <w:wBefore w:w="0" w:type="auto"/>
          <w:tblCellSpacing w:w="0" w:type="dxa"/>
        </w:trPr>
        <w:tc>
          <w:tcPr>
            <w:tcW w:w="0" w:type="auto"/>
            <w:noWrap w:val="0"/>
            <w:vAlign w:val="center"/>
          </w:tcPr>
          <w:p w14:paraId="2EAA0880">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w:t>
            </w:r>
          </w:p>
        </w:tc>
      </w:tr>
      <w:tr w14:paraId="42BE5E21">
        <w:tblPrEx>
          <w:tblCellMar>
            <w:top w:w="0" w:type="dxa"/>
            <w:left w:w="0" w:type="dxa"/>
            <w:bottom w:w="0" w:type="dxa"/>
            <w:right w:w="0" w:type="dxa"/>
          </w:tblCellMar>
        </w:tblPrEx>
        <w:trPr>
          <w:wBefore w:w="0" w:type="auto"/>
          <w:tblCellSpacing w:w="0" w:type="dxa"/>
        </w:trPr>
        <w:tc>
          <w:tcPr>
            <w:tcW w:w="0" w:type="auto"/>
            <w:noWrap w:val="0"/>
            <w:vAlign w:val="center"/>
          </w:tcPr>
          <w:p w14:paraId="5E321769">
            <w:r>
              <w:rPr>
                <w:rStyle w:val="10"/>
                <w:rFonts w:hint="eastAsia"/>
              </w:rPr>
              <w:t>储存和运输方法：</w:t>
            </w:r>
            <w:r>
              <w:rPr>
                <w:rFonts w:hint="eastAsia"/>
              </w:rPr>
              <w:br w:type="textWrapping"/>
            </w:r>
            <w:r>
              <w:rPr>
                <w:rStyle w:val="11"/>
                <w:rFonts w:hint="eastAsia"/>
              </w:rPr>
              <w:t>1. 本品应贮存在干燥、通风、阴凉、防雨处，远离火源或热源。 2. 置于儿童、无关人员触及不到之处，并加锁。勿与食品、饮料、饲料、粮食等同贮同运。</w:t>
            </w:r>
          </w:p>
        </w:tc>
      </w:tr>
      <w:tr w14:paraId="0B26C151">
        <w:tblPrEx>
          <w:tblCellMar>
            <w:top w:w="0" w:type="dxa"/>
            <w:left w:w="0" w:type="dxa"/>
            <w:bottom w:w="0" w:type="dxa"/>
            <w:right w:w="0" w:type="dxa"/>
          </w:tblCellMar>
        </w:tblPrEx>
        <w:trPr>
          <w:wBefore w:w="0" w:type="auto"/>
          <w:tblCellSpacing w:w="0" w:type="dxa"/>
        </w:trPr>
        <w:tc>
          <w:tcPr>
            <w:tcW w:w="0" w:type="auto"/>
            <w:noWrap w:val="0"/>
            <w:vAlign w:val="center"/>
          </w:tcPr>
          <w:p w14:paraId="4A91CFD7">
            <w:r>
              <w:rPr>
                <w:rStyle w:val="10"/>
                <w:rFonts w:hint="eastAsia"/>
              </w:rPr>
              <w:t>质量保证期：</w:t>
            </w:r>
            <w:r>
              <w:rPr>
                <w:rStyle w:val="11"/>
                <w:rFonts w:hint="eastAsia"/>
              </w:rPr>
              <w:t>2年</w:t>
            </w:r>
          </w:p>
        </w:tc>
      </w:tr>
      <w:tr w14:paraId="032165AA">
        <w:tblPrEx>
          <w:tblCellMar>
            <w:top w:w="0" w:type="dxa"/>
            <w:left w:w="0" w:type="dxa"/>
            <w:bottom w:w="0" w:type="dxa"/>
            <w:right w:w="0" w:type="dxa"/>
          </w:tblCellMar>
        </w:tblPrEx>
        <w:trPr>
          <w:wBefore w:w="0" w:type="auto"/>
          <w:tblCellSpacing w:w="0" w:type="dxa"/>
        </w:trPr>
        <w:tc>
          <w:tcPr>
            <w:tcW w:w="0" w:type="auto"/>
            <w:noWrap w:val="0"/>
            <w:vAlign w:val="center"/>
          </w:tcPr>
          <w:p w14:paraId="1BE673B1">
            <w:r>
              <w:rPr>
                <w:rStyle w:val="10"/>
                <w:rFonts w:hint="eastAsia"/>
              </w:rPr>
              <w:t>备注：</w:t>
            </w:r>
          </w:p>
        </w:tc>
      </w:tr>
    </w:tbl>
    <w:p w14:paraId="1D42BE3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3890AFC">
        <w:tblPrEx>
          <w:tblCellMar>
            <w:top w:w="0" w:type="dxa"/>
            <w:left w:w="0" w:type="dxa"/>
            <w:bottom w:w="0" w:type="dxa"/>
            <w:right w:w="0" w:type="dxa"/>
          </w:tblCellMar>
        </w:tblPrEx>
        <w:trPr>
          <w:wBefore w:w="0" w:type="auto"/>
          <w:tblCellSpacing w:w="0" w:type="dxa"/>
        </w:trPr>
        <w:tc>
          <w:tcPr>
            <w:tcW w:w="0" w:type="auto"/>
            <w:noWrap w:val="0"/>
            <w:vAlign w:val="center"/>
          </w:tcPr>
          <w:p w14:paraId="687F273E">
            <w:r>
              <w:rPr>
                <w:rStyle w:val="10"/>
                <w:rFonts w:hint="eastAsia"/>
              </w:rPr>
              <w:t>登记证号：</w:t>
            </w:r>
            <w:r>
              <w:rPr>
                <w:rFonts w:hint="eastAsia"/>
              </w:rPr>
              <w:t>PD20211864</w:t>
            </w:r>
          </w:p>
        </w:tc>
      </w:tr>
      <w:tr w14:paraId="68BE8E80">
        <w:tblPrEx>
          <w:tblCellMar>
            <w:top w:w="0" w:type="dxa"/>
            <w:left w:w="0" w:type="dxa"/>
            <w:bottom w:w="0" w:type="dxa"/>
            <w:right w:w="0" w:type="dxa"/>
          </w:tblCellMar>
        </w:tblPrEx>
        <w:trPr>
          <w:wBefore w:w="0" w:type="auto"/>
          <w:tblCellSpacing w:w="0" w:type="dxa"/>
        </w:trPr>
        <w:tc>
          <w:tcPr>
            <w:tcW w:w="0" w:type="auto"/>
            <w:noWrap w:val="0"/>
            <w:vAlign w:val="center"/>
          </w:tcPr>
          <w:p w14:paraId="615967A7">
            <w:r>
              <w:rPr>
                <w:rStyle w:val="10"/>
                <w:rFonts w:hint="eastAsia"/>
              </w:rPr>
              <w:t>登记证持有人：</w:t>
            </w:r>
            <w:r>
              <w:rPr>
                <w:rFonts w:hint="eastAsia"/>
              </w:rPr>
              <w:t>陕西康禾立丰生物科技药业有限公司</w:t>
            </w:r>
          </w:p>
        </w:tc>
      </w:tr>
      <w:tr w14:paraId="2B54F12D">
        <w:tblPrEx>
          <w:tblCellMar>
            <w:top w:w="0" w:type="dxa"/>
            <w:left w:w="0" w:type="dxa"/>
            <w:bottom w:w="0" w:type="dxa"/>
            <w:right w:w="0" w:type="dxa"/>
          </w:tblCellMar>
        </w:tblPrEx>
        <w:trPr>
          <w:wBefore w:w="0" w:type="auto"/>
          <w:tblCellSpacing w:w="0" w:type="dxa"/>
        </w:trPr>
        <w:tc>
          <w:tcPr>
            <w:tcW w:w="0" w:type="auto"/>
            <w:noWrap w:val="0"/>
            <w:vAlign w:val="center"/>
          </w:tcPr>
          <w:p w14:paraId="55607798">
            <w:r>
              <w:rPr>
                <w:rStyle w:val="10"/>
                <w:rFonts w:hint="eastAsia"/>
              </w:rPr>
              <w:t>农药名称：</w:t>
            </w:r>
            <w:r>
              <w:rPr>
                <w:rFonts w:hint="eastAsia"/>
              </w:rPr>
              <w:t>氯虫苯·溴氰</w:t>
            </w:r>
          </w:p>
        </w:tc>
      </w:tr>
      <w:tr w14:paraId="16C6DB4C">
        <w:tblPrEx>
          <w:tblCellMar>
            <w:top w:w="0" w:type="dxa"/>
            <w:left w:w="0" w:type="dxa"/>
            <w:bottom w:w="0" w:type="dxa"/>
            <w:right w:w="0" w:type="dxa"/>
          </w:tblCellMar>
        </w:tblPrEx>
        <w:trPr>
          <w:wBefore w:w="0" w:type="auto"/>
          <w:tblCellSpacing w:w="0" w:type="dxa"/>
        </w:trPr>
        <w:tc>
          <w:tcPr>
            <w:tcW w:w="0" w:type="auto"/>
            <w:noWrap w:val="0"/>
            <w:vAlign w:val="center"/>
          </w:tcPr>
          <w:p w14:paraId="5A231DE0">
            <w:r>
              <w:rPr>
                <w:rStyle w:val="10"/>
                <w:rFonts w:hint="eastAsia"/>
              </w:rPr>
              <w:t>剂型：</w:t>
            </w:r>
            <w:r>
              <w:rPr>
                <w:rFonts w:hint="eastAsia"/>
              </w:rPr>
              <w:t>悬浮剂</w:t>
            </w:r>
          </w:p>
        </w:tc>
      </w:tr>
      <w:tr w14:paraId="0A0A428E">
        <w:tblPrEx>
          <w:tblCellMar>
            <w:top w:w="0" w:type="dxa"/>
            <w:left w:w="0" w:type="dxa"/>
            <w:bottom w:w="0" w:type="dxa"/>
            <w:right w:w="0" w:type="dxa"/>
          </w:tblCellMar>
        </w:tblPrEx>
        <w:trPr>
          <w:wBefore w:w="0" w:type="auto"/>
          <w:tblCellSpacing w:w="0" w:type="dxa"/>
        </w:trPr>
        <w:tc>
          <w:tcPr>
            <w:tcW w:w="0" w:type="auto"/>
            <w:noWrap w:val="0"/>
            <w:vAlign w:val="center"/>
          </w:tcPr>
          <w:p w14:paraId="3E279337">
            <w:r>
              <w:rPr>
                <w:rStyle w:val="10"/>
                <w:rFonts w:hint="eastAsia"/>
              </w:rPr>
              <w:t>毒性及其标识：</w:t>
            </w:r>
            <w:r>
              <w:rPr>
                <w:rFonts w:hint="eastAsia"/>
              </w:rPr>
              <w:t xml:space="preserve"> </w:t>
            </w:r>
            <w:r>
              <w:rPr>
                <w:lang/>
              </w:rPr>
              <w:drawing>
                <wp:inline distT="0" distB="0" distL="114300" distR="114300">
                  <wp:extent cx="476250" cy="323850"/>
                  <wp:effectExtent l="0" t="0" r="0" b="0"/>
                  <wp:docPr id="146" name="图片 14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DC5F8A5">
        <w:tblPrEx>
          <w:tblCellMar>
            <w:top w:w="0" w:type="dxa"/>
            <w:left w:w="0" w:type="dxa"/>
            <w:bottom w:w="0" w:type="dxa"/>
            <w:right w:w="0" w:type="dxa"/>
          </w:tblCellMar>
        </w:tblPrEx>
        <w:trPr>
          <w:wBefore w:w="0" w:type="auto"/>
          <w:tblCellSpacing w:w="0" w:type="dxa"/>
        </w:trPr>
        <w:tc>
          <w:tcPr>
            <w:tcW w:w="0" w:type="auto"/>
            <w:noWrap w:val="0"/>
            <w:vAlign w:val="center"/>
          </w:tcPr>
          <w:p w14:paraId="30E01D84">
            <w:r>
              <w:rPr>
                <w:rStyle w:val="10"/>
                <w:rFonts w:hint="eastAsia"/>
              </w:rPr>
              <w:t>总有效成分含量：</w:t>
            </w:r>
            <w:r>
              <w:rPr>
                <w:rFonts w:hint="eastAsia"/>
              </w:rPr>
              <w:t>7%</w:t>
            </w:r>
          </w:p>
        </w:tc>
      </w:tr>
      <w:tr w14:paraId="010D49E5">
        <w:tblPrEx>
          <w:tblCellMar>
            <w:top w:w="0" w:type="dxa"/>
            <w:left w:w="0" w:type="dxa"/>
            <w:bottom w:w="0" w:type="dxa"/>
            <w:right w:w="0" w:type="dxa"/>
          </w:tblCellMar>
        </w:tblPrEx>
        <w:trPr>
          <w:wBefore w:w="0" w:type="auto"/>
          <w:tblCellSpacing w:w="0" w:type="dxa"/>
        </w:trPr>
        <w:tc>
          <w:tcPr>
            <w:tcW w:w="0" w:type="auto"/>
            <w:noWrap w:val="0"/>
            <w:vAlign w:val="center"/>
          </w:tcPr>
          <w:p w14:paraId="53B86211">
            <w:r>
              <w:rPr>
                <w:rFonts w:hint="eastAsia"/>
              </w:rPr>
              <w:t xml:space="preserve">有效成分及其含量： </w:t>
            </w:r>
          </w:p>
          <w:p w14:paraId="0CD84A7A">
            <w:r>
              <w:rPr>
                <w:rFonts w:hint="eastAsia"/>
              </w:rPr>
              <w:t xml:space="preserve">    氯虫苯甲酰胺5%    溴氰菊酯2%    </w:t>
            </w:r>
          </w:p>
        </w:tc>
      </w:tr>
      <w:tr w14:paraId="01BCBC24">
        <w:tblPrEx>
          <w:tblCellMar>
            <w:top w:w="0" w:type="dxa"/>
            <w:left w:w="0" w:type="dxa"/>
            <w:bottom w:w="0" w:type="dxa"/>
            <w:right w:w="0" w:type="dxa"/>
          </w:tblCellMar>
        </w:tblPrEx>
        <w:trPr>
          <w:wBefore w:w="0" w:type="auto"/>
          <w:tblCellSpacing w:w="0" w:type="dxa"/>
        </w:trPr>
        <w:tc>
          <w:tcPr>
            <w:tcW w:w="0" w:type="auto"/>
            <w:noWrap w:val="0"/>
            <w:vAlign w:val="center"/>
          </w:tcPr>
          <w:p w14:paraId="6634B4D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D9954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6AF5A0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6DEFA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F70956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682EF0B">
                  <w:r>
                    <w:rPr>
                      <w:rStyle w:val="11"/>
                      <w:rFonts w:hint="eastAsia"/>
                    </w:rPr>
                    <w:t>施用方式</w:t>
                  </w:r>
                </w:p>
              </w:tc>
            </w:tr>
            <w:tr w14:paraId="1A8ACA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D4FC2CB">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4498E0">
                  <w:r>
                    <w:rPr>
                      <w:rStyle w:val="11"/>
                      <w:rFonts w:hint="eastAsia"/>
                    </w:rPr>
                    <w:t>梨小食心虫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CF9709">
                  <w:r>
                    <w:rPr>
                      <w:rStyle w:val="11"/>
                      <w:rFonts w:hint="eastAsia"/>
                    </w:rPr>
                    <w:t>3000-5000倍液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1925F0">
                  <w:r>
                    <w:rPr>
                      <w:rStyle w:val="11"/>
                      <w:rFonts w:hint="eastAsia"/>
                    </w:rPr>
                    <w:t>喷雾</w:t>
                  </w:r>
                </w:p>
              </w:tc>
            </w:tr>
          </w:tbl>
          <w:p w14:paraId="6317D2D3">
            <w:pPr>
              <w:rPr>
                <w:rFonts w:ascii="Times New Roman" w:hAnsi="Times New Roman" w:cs="Times New Roman"/>
                <w:sz w:val="20"/>
                <w:szCs w:val="20"/>
              </w:rPr>
            </w:pPr>
          </w:p>
        </w:tc>
      </w:tr>
      <w:tr w14:paraId="7AAE12FE">
        <w:tblPrEx>
          <w:tblCellMar>
            <w:top w:w="0" w:type="dxa"/>
            <w:left w:w="0" w:type="dxa"/>
            <w:bottom w:w="0" w:type="dxa"/>
            <w:right w:w="0" w:type="dxa"/>
          </w:tblCellMar>
        </w:tblPrEx>
        <w:trPr>
          <w:wBefore w:w="0" w:type="auto"/>
          <w:tblCellSpacing w:w="0" w:type="dxa"/>
        </w:trPr>
        <w:tc>
          <w:tcPr>
            <w:tcW w:w="0" w:type="auto"/>
            <w:noWrap w:val="0"/>
            <w:vAlign w:val="center"/>
          </w:tcPr>
          <w:p w14:paraId="2C9B77F0">
            <w:r>
              <w:rPr>
                <w:rStyle w:val="10"/>
                <w:rFonts w:hint="eastAsia"/>
              </w:rPr>
              <w:t>使用技术要求:</w:t>
            </w:r>
            <w:r>
              <w:rPr>
                <w:rFonts w:hint="eastAsia"/>
              </w:rPr>
              <w:br w:type="textWrapping"/>
            </w:r>
            <w:r>
              <w:rPr>
                <w:rStyle w:val="11"/>
                <w:rFonts w:hint="eastAsia"/>
              </w:rPr>
              <w:t>1、本品在桃树上安全间隔期为7天，每季最多使用1次。 2、于梨小食心虫卵孵盛期喷雾施药1次。施药时应均匀喷雾。 3、大风天或预计 1 小时内降雨，请勿施药。</w:t>
            </w:r>
          </w:p>
        </w:tc>
      </w:tr>
      <w:tr w14:paraId="01F1274A">
        <w:tblPrEx>
          <w:tblCellMar>
            <w:top w:w="0" w:type="dxa"/>
            <w:left w:w="0" w:type="dxa"/>
            <w:bottom w:w="0" w:type="dxa"/>
            <w:right w:w="0" w:type="dxa"/>
          </w:tblCellMar>
        </w:tblPrEx>
        <w:trPr>
          <w:wBefore w:w="0" w:type="auto"/>
          <w:tblCellSpacing w:w="0" w:type="dxa"/>
        </w:trPr>
        <w:tc>
          <w:tcPr>
            <w:tcW w:w="0" w:type="auto"/>
            <w:noWrap w:val="0"/>
            <w:vAlign w:val="center"/>
          </w:tcPr>
          <w:p w14:paraId="4661E30F">
            <w:r>
              <w:rPr>
                <w:rStyle w:val="10"/>
                <w:rFonts w:hint="eastAsia"/>
              </w:rPr>
              <w:t>产品性能:</w:t>
            </w:r>
            <w:r>
              <w:rPr>
                <w:rFonts w:hint="eastAsia"/>
              </w:rPr>
              <w:br w:type="textWrapping"/>
            </w:r>
            <w:r>
              <w:rPr>
                <w:rStyle w:val="11"/>
                <w:rFonts w:hint="eastAsia"/>
              </w:rPr>
              <w:t xml:space="preserve">本品由双酰胺类杀虫剂和菊酯类杀虫剂混配而成，通过激活兰尼碱受体和使昆虫过度兴奋、麻痹死亡而成作用，对梨小食心虫具有较好的防效 </w:t>
            </w:r>
          </w:p>
        </w:tc>
      </w:tr>
      <w:tr w14:paraId="571225FA">
        <w:tblPrEx>
          <w:tblCellMar>
            <w:top w:w="0" w:type="dxa"/>
            <w:left w:w="0" w:type="dxa"/>
            <w:bottom w:w="0" w:type="dxa"/>
            <w:right w:w="0" w:type="dxa"/>
          </w:tblCellMar>
        </w:tblPrEx>
        <w:trPr>
          <w:wBefore w:w="0" w:type="auto"/>
          <w:tblCellSpacing w:w="0" w:type="dxa"/>
        </w:trPr>
        <w:tc>
          <w:tcPr>
            <w:tcW w:w="0" w:type="auto"/>
            <w:noWrap w:val="0"/>
            <w:vAlign w:val="center"/>
          </w:tcPr>
          <w:p w14:paraId="6728E5A2">
            <w:r>
              <w:rPr>
                <w:rStyle w:val="10"/>
                <w:rFonts w:hint="eastAsia"/>
              </w:rPr>
              <w:t>注意事项：</w:t>
            </w:r>
            <w:r>
              <w:rPr>
                <w:rFonts w:hint="eastAsia"/>
              </w:rPr>
              <w:br w:type="textWrapping"/>
            </w:r>
            <w:r>
              <w:rPr>
                <w:rStyle w:val="11"/>
                <w:rFonts w:hint="eastAsia"/>
              </w:rPr>
              <w:t>1、本品在蚕室及桑园附近禁用。 2、本品在瓢虫等天敌放飞区域禁用。 3、本品不可与强酸、强碱性物质混用。 4、包装物用后建议清洗三遍后，送指定地点回收，进行无害化处理。用过的的容器妥善处理，不可做他用，也不可随意丢弃。 5、使用本品时采取相应的安全防护措施，穿防护服、戴手套等。施药期间不可吃东西和饮水，施药后应及时洗手和洗脸。 6、孕妇和哺乳期妇女应避免接触。7.避免与氧化剂接触。8.水产养殖区、河塘等水体附近禁用，禁止在河塘等水域清洗施药器具； 桑园及蚕室附近禁用；瓢虫等天敌放飞区域禁用。</w:t>
            </w:r>
          </w:p>
        </w:tc>
      </w:tr>
      <w:tr w14:paraId="2E671A24">
        <w:tblPrEx>
          <w:tblCellMar>
            <w:top w:w="0" w:type="dxa"/>
            <w:left w:w="0" w:type="dxa"/>
            <w:bottom w:w="0" w:type="dxa"/>
            <w:right w:w="0" w:type="dxa"/>
          </w:tblCellMar>
        </w:tblPrEx>
        <w:trPr>
          <w:wBefore w:w="0" w:type="auto"/>
          <w:tblCellSpacing w:w="0" w:type="dxa"/>
        </w:trPr>
        <w:tc>
          <w:tcPr>
            <w:tcW w:w="0" w:type="auto"/>
            <w:noWrap w:val="0"/>
            <w:vAlign w:val="center"/>
          </w:tcPr>
          <w:p w14:paraId="78BB2E25">
            <w:r>
              <w:rPr>
                <w:rStyle w:val="10"/>
                <w:rFonts w:hint="eastAsia"/>
              </w:rPr>
              <w:t>中毒急救措施：</w:t>
            </w:r>
            <w:r>
              <w:rPr>
                <w:rFonts w:hint="eastAsia"/>
              </w:rPr>
              <w:br w:type="textWrapping"/>
            </w:r>
            <w:r>
              <w:rPr>
                <w:rStyle w:val="11"/>
                <w:rFonts w:hint="eastAsia"/>
              </w:rPr>
              <w:t>对眼睛有刺激性，使用时避免接触眼睛。 1、吸入，应将病人立即移至空气流通处。 2、皮肤接触，用清水清洗至少15分钟。 3、眼睛接触，立即用大量清水清洗，还可向医生咨询。 4、误服，如有不适，携此标签请医生诊治，对症治疗。</w:t>
            </w:r>
          </w:p>
        </w:tc>
      </w:tr>
      <w:tr w14:paraId="2624E1F1">
        <w:tblPrEx>
          <w:tblCellMar>
            <w:top w:w="0" w:type="dxa"/>
            <w:left w:w="0" w:type="dxa"/>
            <w:bottom w:w="0" w:type="dxa"/>
            <w:right w:w="0" w:type="dxa"/>
          </w:tblCellMar>
        </w:tblPrEx>
        <w:trPr>
          <w:wBefore w:w="0" w:type="auto"/>
          <w:tblCellSpacing w:w="0" w:type="dxa"/>
        </w:trPr>
        <w:tc>
          <w:tcPr>
            <w:tcW w:w="0" w:type="auto"/>
            <w:noWrap w:val="0"/>
            <w:vAlign w:val="center"/>
          </w:tcPr>
          <w:p w14:paraId="7959B802">
            <w:r>
              <w:rPr>
                <w:rStyle w:val="10"/>
                <w:rFonts w:hint="eastAsia"/>
              </w:rPr>
              <w:t>储存和运输方法：</w:t>
            </w:r>
            <w:r>
              <w:rPr>
                <w:rFonts w:hint="eastAsia"/>
              </w:rPr>
              <w:br w:type="textWrapping"/>
            </w:r>
            <w:r>
              <w:rPr>
                <w:rStyle w:val="11"/>
                <w:rFonts w:hint="eastAsia"/>
              </w:rPr>
              <w:t>1、本品应以原包装贮存于阴凉、干燥和通风处。 远离热源或者火源。 2、本品勿与食物、饲料、饮料和粮食等其他物品同贮同运，并放置于儿童接触不到的地方，加锁保管。 3、运输时应注意防水防潮，避免雨淋；搬运时轻搬轻放，不可倒置。</w:t>
            </w:r>
          </w:p>
        </w:tc>
      </w:tr>
      <w:tr w14:paraId="558516CF">
        <w:tblPrEx>
          <w:tblCellMar>
            <w:top w:w="0" w:type="dxa"/>
            <w:left w:w="0" w:type="dxa"/>
            <w:bottom w:w="0" w:type="dxa"/>
            <w:right w:w="0" w:type="dxa"/>
          </w:tblCellMar>
        </w:tblPrEx>
        <w:trPr>
          <w:wBefore w:w="0" w:type="auto"/>
          <w:tblCellSpacing w:w="0" w:type="dxa"/>
        </w:trPr>
        <w:tc>
          <w:tcPr>
            <w:tcW w:w="0" w:type="auto"/>
            <w:noWrap w:val="0"/>
            <w:vAlign w:val="center"/>
          </w:tcPr>
          <w:p w14:paraId="762D2031">
            <w:r>
              <w:rPr>
                <w:rStyle w:val="10"/>
                <w:rFonts w:hint="eastAsia"/>
              </w:rPr>
              <w:t>质量保证期：</w:t>
            </w:r>
            <w:r>
              <w:rPr>
                <w:rStyle w:val="11"/>
                <w:rFonts w:hint="eastAsia"/>
              </w:rPr>
              <w:t>2年</w:t>
            </w:r>
          </w:p>
        </w:tc>
      </w:tr>
      <w:tr w14:paraId="1C37B07C">
        <w:tblPrEx>
          <w:tblCellMar>
            <w:top w:w="0" w:type="dxa"/>
            <w:left w:w="0" w:type="dxa"/>
            <w:bottom w:w="0" w:type="dxa"/>
            <w:right w:w="0" w:type="dxa"/>
          </w:tblCellMar>
        </w:tblPrEx>
        <w:trPr>
          <w:wBefore w:w="0" w:type="auto"/>
          <w:tblCellSpacing w:w="0" w:type="dxa"/>
        </w:trPr>
        <w:tc>
          <w:tcPr>
            <w:tcW w:w="0" w:type="auto"/>
            <w:noWrap w:val="0"/>
            <w:vAlign w:val="center"/>
          </w:tcPr>
          <w:p w14:paraId="4F70E384">
            <w:r>
              <w:rPr>
                <w:rStyle w:val="10"/>
                <w:rFonts w:hint="eastAsia"/>
              </w:rPr>
              <w:t>备注：</w:t>
            </w:r>
          </w:p>
        </w:tc>
      </w:tr>
    </w:tbl>
    <w:p w14:paraId="4E07AEF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913F931">
        <w:tblPrEx>
          <w:tblCellMar>
            <w:top w:w="0" w:type="dxa"/>
            <w:left w:w="0" w:type="dxa"/>
            <w:bottom w:w="0" w:type="dxa"/>
            <w:right w:w="0" w:type="dxa"/>
          </w:tblCellMar>
        </w:tblPrEx>
        <w:trPr>
          <w:wBefore w:w="0" w:type="auto"/>
          <w:tblCellSpacing w:w="0" w:type="dxa"/>
        </w:trPr>
        <w:tc>
          <w:tcPr>
            <w:tcW w:w="0" w:type="auto"/>
            <w:noWrap w:val="0"/>
            <w:vAlign w:val="center"/>
          </w:tcPr>
          <w:p w14:paraId="2DB7FED6">
            <w:r>
              <w:rPr>
                <w:rStyle w:val="10"/>
                <w:rFonts w:hint="eastAsia"/>
              </w:rPr>
              <w:t>登记证号：</w:t>
            </w:r>
            <w:r>
              <w:rPr>
                <w:rFonts w:hint="eastAsia"/>
              </w:rPr>
              <w:t>PD20211911</w:t>
            </w:r>
          </w:p>
        </w:tc>
      </w:tr>
      <w:tr w14:paraId="3F5C5FB3">
        <w:tblPrEx>
          <w:tblCellMar>
            <w:top w:w="0" w:type="dxa"/>
            <w:left w:w="0" w:type="dxa"/>
            <w:bottom w:w="0" w:type="dxa"/>
            <w:right w:w="0" w:type="dxa"/>
          </w:tblCellMar>
        </w:tblPrEx>
        <w:trPr>
          <w:wBefore w:w="0" w:type="auto"/>
          <w:tblCellSpacing w:w="0" w:type="dxa"/>
        </w:trPr>
        <w:tc>
          <w:tcPr>
            <w:tcW w:w="0" w:type="auto"/>
            <w:noWrap w:val="0"/>
            <w:vAlign w:val="center"/>
          </w:tcPr>
          <w:p w14:paraId="5C03C0A1">
            <w:r>
              <w:rPr>
                <w:rStyle w:val="10"/>
                <w:rFonts w:hint="eastAsia"/>
              </w:rPr>
              <w:t>登记证持有人：</w:t>
            </w:r>
            <w:r>
              <w:rPr>
                <w:rFonts w:hint="eastAsia"/>
              </w:rPr>
              <w:t>陕西汤普森生物科技有限公司</w:t>
            </w:r>
          </w:p>
        </w:tc>
      </w:tr>
      <w:tr w14:paraId="760CAFA1">
        <w:tblPrEx>
          <w:tblCellMar>
            <w:top w:w="0" w:type="dxa"/>
            <w:left w:w="0" w:type="dxa"/>
            <w:bottom w:w="0" w:type="dxa"/>
            <w:right w:w="0" w:type="dxa"/>
          </w:tblCellMar>
        </w:tblPrEx>
        <w:trPr>
          <w:wBefore w:w="0" w:type="auto"/>
          <w:tblCellSpacing w:w="0" w:type="dxa"/>
        </w:trPr>
        <w:tc>
          <w:tcPr>
            <w:tcW w:w="0" w:type="auto"/>
            <w:noWrap w:val="0"/>
            <w:vAlign w:val="center"/>
          </w:tcPr>
          <w:p w14:paraId="77016F55">
            <w:r>
              <w:rPr>
                <w:rStyle w:val="10"/>
                <w:rFonts w:hint="eastAsia"/>
              </w:rPr>
              <w:t>农药名称：</w:t>
            </w:r>
            <w:r>
              <w:rPr>
                <w:rFonts w:hint="eastAsia"/>
              </w:rPr>
              <w:t>乙铝·氟吡胺</w:t>
            </w:r>
          </w:p>
        </w:tc>
      </w:tr>
      <w:tr w14:paraId="084E2B58">
        <w:tblPrEx>
          <w:tblCellMar>
            <w:top w:w="0" w:type="dxa"/>
            <w:left w:w="0" w:type="dxa"/>
            <w:bottom w:w="0" w:type="dxa"/>
            <w:right w:w="0" w:type="dxa"/>
          </w:tblCellMar>
        </w:tblPrEx>
        <w:trPr>
          <w:wBefore w:w="0" w:type="auto"/>
          <w:tblCellSpacing w:w="0" w:type="dxa"/>
        </w:trPr>
        <w:tc>
          <w:tcPr>
            <w:tcW w:w="0" w:type="auto"/>
            <w:noWrap w:val="0"/>
            <w:vAlign w:val="center"/>
          </w:tcPr>
          <w:p w14:paraId="3AC886E4">
            <w:r>
              <w:rPr>
                <w:rStyle w:val="10"/>
                <w:rFonts w:hint="eastAsia"/>
              </w:rPr>
              <w:t>剂型：</w:t>
            </w:r>
            <w:r>
              <w:rPr>
                <w:rFonts w:hint="eastAsia"/>
              </w:rPr>
              <w:t>水分散粒剂</w:t>
            </w:r>
          </w:p>
        </w:tc>
      </w:tr>
      <w:tr w14:paraId="1B9E0216">
        <w:tblPrEx>
          <w:tblCellMar>
            <w:top w:w="0" w:type="dxa"/>
            <w:left w:w="0" w:type="dxa"/>
            <w:bottom w:w="0" w:type="dxa"/>
            <w:right w:w="0" w:type="dxa"/>
          </w:tblCellMar>
        </w:tblPrEx>
        <w:trPr>
          <w:wBefore w:w="0" w:type="auto"/>
          <w:tblCellSpacing w:w="0" w:type="dxa"/>
        </w:trPr>
        <w:tc>
          <w:tcPr>
            <w:tcW w:w="0" w:type="auto"/>
            <w:noWrap w:val="0"/>
            <w:vAlign w:val="center"/>
          </w:tcPr>
          <w:p w14:paraId="61561780">
            <w:r>
              <w:rPr>
                <w:rStyle w:val="10"/>
                <w:rFonts w:hint="eastAsia"/>
              </w:rPr>
              <w:t>毒性及其标识：</w:t>
            </w:r>
            <w:r>
              <w:rPr>
                <w:rFonts w:hint="eastAsia"/>
              </w:rPr>
              <w:t xml:space="preserve"> 微毒 </w:t>
            </w:r>
          </w:p>
        </w:tc>
      </w:tr>
      <w:tr w14:paraId="5A7C1368">
        <w:tblPrEx>
          <w:tblCellMar>
            <w:top w:w="0" w:type="dxa"/>
            <w:left w:w="0" w:type="dxa"/>
            <w:bottom w:w="0" w:type="dxa"/>
            <w:right w:w="0" w:type="dxa"/>
          </w:tblCellMar>
        </w:tblPrEx>
        <w:trPr>
          <w:wBefore w:w="0" w:type="auto"/>
          <w:tblCellSpacing w:w="0" w:type="dxa"/>
        </w:trPr>
        <w:tc>
          <w:tcPr>
            <w:tcW w:w="0" w:type="auto"/>
            <w:noWrap w:val="0"/>
            <w:vAlign w:val="center"/>
          </w:tcPr>
          <w:p w14:paraId="16D78715">
            <w:r>
              <w:rPr>
                <w:rStyle w:val="10"/>
                <w:rFonts w:hint="eastAsia"/>
              </w:rPr>
              <w:t>总有效成分含量：</w:t>
            </w:r>
            <w:r>
              <w:rPr>
                <w:rFonts w:hint="eastAsia"/>
              </w:rPr>
              <w:t>71%</w:t>
            </w:r>
          </w:p>
        </w:tc>
      </w:tr>
      <w:tr w14:paraId="2CE74293">
        <w:tblPrEx>
          <w:tblCellMar>
            <w:top w:w="0" w:type="dxa"/>
            <w:left w:w="0" w:type="dxa"/>
            <w:bottom w:w="0" w:type="dxa"/>
            <w:right w:w="0" w:type="dxa"/>
          </w:tblCellMar>
        </w:tblPrEx>
        <w:trPr>
          <w:wBefore w:w="0" w:type="auto"/>
          <w:tblCellSpacing w:w="0" w:type="dxa"/>
        </w:trPr>
        <w:tc>
          <w:tcPr>
            <w:tcW w:w="0" w:type="auto"/>
            <w:noWrap w:val="0"/>
            <w:vAlign w:val="center"/>
          </w:tcPr>
          <w:p w14:paraId="3A0F4724">
            <w:r>
              <w:rPr>
                <w:rFonts w:hint="eastAsia"/>
              </w:rPr>
              <w:t xml:space="preserve">有效成分及其含量： </w:t>
            </w:r>
          </w:p>
          <w:p w14:paraId="02708635">
            <w:r>
              <w:rPr>
                <w:rFonts w:hint="eastAsia"/>
              </w:rPr>
              <w:t xml:space="preserve">    氟吡菌胺4.4%    三乙膦酸铝66.6%    </w:t>
            </w:r>
          </w:p>
        </w:tc>
      </w:tr>
      <w:tr w14:paraId="2730C68A">
        <w:tblPrEx>
          <w:tblCellMar>
            <w:top w:w="0" w:type="dxa"/>
            <w:left w:w="0" w:type="dxa"/>
            <w:bottom w:w="0" w:type="dxa"/>
            <w:right w:w="0" w:type="dxa"/>
          </w:tblCellMar>
        </w:tblPrEx>
        <w:trPr>
          <w:wBefore w:w="0" w:type="auto"/>
          <w:tblCellSpacing w:w="0" w:type="dxa"/>
        </w:trPr>
        <w:tc>
          <w:tcPr>
            <w:tcW w:w="0" w:type="auto"/>
            <w:noWrap w:val="0"/>
            <w:vAlign w:val="center"/>
          </w:tcPr>
          <w:p w14:paraId="6BD0B47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3864A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BF563F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044CF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C3832A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FA5D768">
                  <w:r>
                    <w:rPr>
                      <w:rStyle w:val="11"/>
                      <w:rFonts w:hint="eastAsia"/>
                    </w:rPr>
                    <w:t>施用方式</w:t>
                  </w:r>
                </w:p>
              </w:tc>
            </w:tr>
            <w:tr w14:paraId="78DEA3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3F470B9">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B5DAC9">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A54170">
                  <w:r>
                    <w:rPr>
                      <w:rStyle w:val="11"/>
                      <w:rFonts w:hint="eastAsia"/>
                    </w:rPr>
                    <w:t>500-700倍液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FD6672">
                  <w:r>
                    <w:rPr>
                      <w:rStyle w:val="11"/>
                      <w:rFonts w:hint="eastAsia"/>
                    </w:rPr>
                    <w:t>喷雾</w:t>
                  </w:r>
                </w:p>
              </w:tc>
            </w:tr>
          </w:tbl>
          <w:p w14:paraId="606D2389">
            <w:pPr>
              <w:rPr>
                <w:rFonts w:ascii="Times New Roman" w:hAnsi="Times New Roman" w:cs="Times New Roman"/>
                <w:sz w:val="20"/>
                <w:szCs w:val="20"/>
              </w:rPr>
            </w:pPr>
          </w:p>
        </w:tc>
      </w:tr>
      <w:tr w14:paraId="2D607EC0">
        <w:tblPrEx>
          <w:tblCellMar>
            <w:top w:w="0" w:type="dxa"/>
            <w:left w:w="0" w:type="dxa"/>
            <w:bottom w:w="0" w:type="dxa"/>
            <w:right w:w="0" w:type="dxa"/>
          </w:tblCellMar>
        </w:tblPrEx>
        <w:trPr>
          <w:wBefore w:w="0" w:type="auto"/>
          <w:tblCellSpacing w:w="0" w:type="dxa"/>
        </w:trPr>
        <w:tc>
          <w:tcPr>
            <w:tcW w:w="0" w:type="auto"/>
            <w:noWrap w:val="0"/>
            <w:vAlign w:val="center"/>
          </w:tcPr>
          <w:p w14:paraId="50C68B26">
            <w:r>
              <w:rPr>
                <w:rStyle w:val="10"/>
                <w:rFonts w:hint="eastAsia"/>
              </w:rPr>
              <w:t>使用技术要求:</w:t>
            </w:r>
            <w:r>
              <w:rPr>
                <w:rFonts w:hint="eastAsia"/>
              </w:rPr>
              <w:br w:type="textWrapping"/>
            </w:r>
            <w:r>
              <w:rPr>
                <w:rStyle w:val="11"/>
                <w:rFonts w:hint="eastAsia"/>
              </w:rPr>
              <w:t>1.应于发病前或初期进行喷雾，视发病情况可用药3次，注意喷雾均匀、周到，以确保药效。2.大风天或预计1小时内降雨，请勿施药。3.本品在葡萄上使用时的安全间隔期为14天，每季作物最多使用3次。</w:t>
            </w:r>
          </w:p>
        </w:tc>
      </w:tr>
      <w:tr w14:paraId="2BC9522D">
        <w:tblPrEx>
          <w:tblCellMar>
            <w:top w:w="0" w:type="dxa"/>
            <w:left w:w="0" w:type="dxa"/>
            <w:bottom w:w="0" w:type="dxa"/>
            <w:right w:w="0" w:type="dxa"/>
          </w:tblCellMar>
        </w:tblPrEx>
        <w:trPr>
          <w:wBefore w:w="0" w:type="auto"/>
          <w:tblCellSpacing w:w="0" w:type="dxa"/>
        </w:trPr>
        <w:tc>
          <w:tcPr>
            <w:tcW w:w="0" w:type="auto"/>
            <w:noWrap w:val="0"/>
            <w:vAlign w:val="center"/>
          </w:tcPr>
          <w:p w14:paraId="7E8DB829">
            <w:r>
              <w:rPr>
                <w:rStyle w:val="10"/>
                <w:rFonts w:hint="eastAsia"/>
              </w:rPr>
              <w:t>产品性能:</w:t>
            </w:r>
            <w:r>
              <w:rPr>
                <w:rFonts w:hint="eastAsia"/>
              </w:rPr>
              <w:br w:type="textWrapping"/>
            </w:r>
            <w:r>
              <w:rPr>
                <w:rStyle w:val="11"/>
                <w:rFonts w:hint="eastAsia"/>
              </w:rPr>
              <w:t xml:space="preserve">本品是由氟吡菌胺与三乙膦酸铝复配而成的杀菌剂，氟吡菌胺为酰胺类杀菌剂，对卵菌纲病菌有很高的生物活性，具有保护和治疗作用，有较强的渗透性；三乙膦酸铝具有在植物体内可以同时向上、向下双向传导的有机磷内吸性杀菌剂。两者混配，优势互补，对葡萄霜霉病有较好的防治效果。 </w:t>
            </w:r>
          </w:p>
        </w:tc>
      </w:tr>
      <w:tr w14:paraId="7892C5CC">
        <w:tblPrEx>
          <w:tblCellMar>
            <w:top w:w="0" w:type="dxa"/>
            <w:left w:w="0" w:type="dxa"/>
            <w:bottom w:w="0" w:type="dxa"/>
            <w:right w:w="0" w:type="dxa"/>
          </w:tblCellMar>
        </w:tblPrEx>
        <w:trPr>
          <w:wBefore w:w="0" w:type="auto"/>
          <w:tblCellSpacing w:w="0" w:type="dxa"/>
        </w:trPr>
        <w:tc>
          <w:tcPr>
            <w:tcW w:w="0" w:type="auto"/>
            <w:noWrap w:val="0"/>
            <w:vAlign w:val="center"/>
          </w:tcPr>
          <w:p w14:paraId="6DD22903">
            <w:r>
              <w:rPr>
                <w:rStyle w:val="10"/>
                <w:rFonts w:hint="eastAsia"/>
              </w:rPr>
              <w:t>注意事项：</w:t>
            </w:r>
            <w:r>
              <w:rPr>
                <w:rFonts w:hint="eastAsia"/>
              </w:rPr>
              <w:br w:type="textWrapping"/>
            </w:r>
            <w:r>
              <w:rPr>
                <w:rStyle w:val="11"/>
                <w:rFonts w:hint="eastAsia"/>
              </w:rPr>
              <w:t>（1）严格按规定用药量和方法使用。 （2）建议与其他作用机制不同的杀菌剂轮换使用，以延缓抗性产生。 （3）本品对鸟、蚕的风险不可接受，鸟类保护区附近、蚕室及桑园附近禁用， 远离水产养殖区、河塘等水体施药，禁止在河塘等水体中清洗施药器具。 （4）对眼睛有中度刺激性，使用时穿戴长衣长裤、帽子、口罩、手套、鞋等安全防护措施。施药期间不可吃东西、饮水、吸烟等；施药后应及时洗手、洗脸并洗涤施药时穿着的衣物。 （5）用药后包装物及用过的容器应妥善处理，不可做他用，也不可随意丢弃。 （6）孕妇及哺乳期妇女禁止接触本品。</w:t>
            </w:r>
          </w:p>
        </w:tc>
      </w:tr>
      <w:tr w14:paraId="77DEAE1F">
        <w:tblPrEx>
          <w:tblCellMar>
            <w:top w:w="0" w:type="dxa"/>
            <w:left w:w="0" w:type="dxa"/>
            <w:bottom w:w="0" w:type="dxa"/>
            <w:right w:w="0" w:type="dxa"/>
          </w:tblCellMar>
        </w:tblPrEx>
        <w:trPr>
          <w:wBefore w:w="0" w:type="auto"/>
          <w:tblCellSpacing w:w="0" w:type="dxa"/>
        </w:trPr>
        <w:tc>
          <w:tcPr>
            <w:tcW w:w="0" w:type="auto"/>
            <w:noWrap w:val="0"/>
            <w:vAlign w:val="center"/>
          </w:tcPr>
          <w:p w14:paraId="168E3DD8">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6EA59A05">
        <w:tblPrEx>
          <w:tblCellMar>
            <w:top w:w="0" w:type="dxa"/>
            <w:left w:w="0" w:type="dxa"/>
            <w:bottom w:w="0" w:type="dxa"/>
            <w:right w:w="0" w:type="dxa"/>
          </w:tblCellMar>
        </w:tblPrEx>
        <w:trPr>
          <w:wBefore w:w="0" w:type="auto"/>
          <w:tblCellSpacing w:w="0" w:type="dxa"/>
        </w:trPr>
        <w:tc>
          <w:tcPr>
            <w:tcW w:w="0" w:type="auto"/>
            <w:noWrap w:val="0"/>
            <w:vAlign w:val="center"/>
          </w:tcPr>
          <w:p w14:paraId="7239569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0686A8EA">
        <w:tblPrEx>
          <w:tblCellMar>
            <w:top w:w="0" w:type="dxa"/>
            <w:left w:w="0" w:type="dxa"/>
            <w:bottom w:w="0" w:type="dxa"/>
            <w:right w:w="0" w:type="dxa"/>
          </w:tblCellMar>
        </w:tblPrEx>
        <w:trPr>
          <w:wBefore w:w="0" w:type="auto"/>
          <w:tblCellSpacing w:w="0" w:type="dxa"/>
        </w:trPr>
        <w:tc>
          <w:tcPr>
            <w:tcW w:w="0" w:type="auto"/>
            <w:noWrap w:val="0"/>
            <w:vAlign w:val="center"/>
          </w:tcPr>
          <w:p w14:paraId="4A937658">
            <w:r>
              <w:rPr>
                <w:rStyle w:val="10"/>
                <w:rFonts w:hint="eastAsia"/>
              </w:rPr>
              <w:t>质量保证期：</w:t>
            </w:r>
            <w:r>
              <w:rPr>
                <w:rStyle w:val="11"/>
                <w:rFonts w:hint="eastAsia"/>
              </w:rPr>
              <w:t>2年</w:t>
            </w:r>
          </w:p>
        </w:tc>
      </w:tr>
      <w:tr w14:paraId="38E6D81F">
        <w:tblPrEx>
          <w:tblCellMar>
            <w:top w:w="0" w:type="dxa"/>
            <w:left w:w="0" w:type="dxa"/>
            <w:bottom w:w="0" w:type="dxa"/>
            <w:right w:w="0" w:type="dxa"/>
          </w:tblCellMar>
        </w:tblPrEx>
        <w:trPr>
          <w:wBefore w:w="0" w:type="auto"/>
          <w:tblCellSpacing w:w="0" w:type="dxa"/>
        </w:trPr>
        <w:tc>
          <w:tcPr>
            <w:tcW w:w="0" w:type="auto"/>
            <w:noWrap w:val="0"/>
            <w:vAlign w:val="center"/>
          </w:tcPr>
          <w:p w14:paraId="73E46A34">
            <w:r>
              <w:rPr>
                <w:rStyle w:val="10"/>
                <w:rFonts w:hint="eastAsia"/>
              </w:rPr>
              <w:t>备注：</w:t>
            </w:r>
          </w:p>
        </w:tc>
      </w:tr>
    </w:tbl>
    <w:p w14:paraId="00C9C01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FA557B4">
        <w:tblPrEx>
          <w:tblCellMar>
            <w:top w:w="0" w:type="dxa"/>
            <w:left w:w="0" w:type="dxa"/>
            <w:bottom w:w="0" w:type="dxa"/>
            <w:right w:w="0" w:type="dxa"/>
          </w:tblCellMar>
        </w:tblPrEx>
        <w:trPr>
          <w:wBefore w:w="0" w:type="auto"/>
          <w:tblCellSpacing w:w="0" w:type="dxa"/>
        </w:trPr>
        <w:tc>
          <w:tcPr>
            <w:tcW w:w="0" w:type="auto"/>
            <w:noWrap w:val="0"/>
            <w:vAlign w:val="center"/>
          </w:tcPr>
          <w:p w14:paraId="5EA87BE1">
            <w:r>
              <w:rPr>
                <w:rStyle w:val="10"/>
                <w:rFonts w:hint="eastAsia"/>
              </w:rPr>
              <w:t>登记证号：</w:t>
            </w:r>
            <w:r>
              <w:rPr>
                <w:rFonts w:hint="eastAsia"/>
              </w:rPr>
              <w:t>PD20212026</w:t>
            </w:r>
          </w:p>
        </w:tc>
      </w:tr>
      <w:tr w14:paraId="5F80FFA3">
        <w:tblPrEx>
          <w:tblCellMar>
            <w:top w:w="0" w:type="dxa"/>
            <w:left w:w="0" w:type="dxa"/>
            <w:bottom w:w="0" w:type="dxa"/>
            <w:right w:w="0" w:type="dxa"/>
          </w:tblCellMar>
        </w:tblPrEx>
        <w:trPr>
          <w:wBefore w:w="0" w:type="auto"/>
          <w:tblCellSpacing w:w="0" w:type="dxa"/>
        </w:trPr>
        <w:tc>
          <w:tcPr>
            <w:tcW w:w="0" w:type="auto"/>
            <w:noWrap w:val="0"/>
            <w:vAlign w:val="center"/>
          </w:tcPr>
          <w:p w14:paraId="6C1ADE1D">
            <w:r>
              <w:rPr>
                <w:rStyle w:val="10"/>
                <w:rFonts w:hint="eastAsia"/>
              </w:rPr>
              <w:t>登记证持有人：</w:t>
            </w:r>
            <w:r>
              <w:rPr>
                <w:rFonts w:hint="eastAsia"/>
              </w:rPr>
              <w:t>山东天道生物工程有限公司</w:t>
            </w:r>
          </w:p>
        </w:tc>
      </w:tr>
      <w:tr w14:paraId="398B6466">
        <w:tblPrEx>
          <w:tblCellMar>
            <w:top w:w="0" w:type="dxa"/>
            <w:left w:w="0" w:type="dxa"/>
            <w:bottom w:w="0" w:type="dxa"/>
            <w:right w:w="0" w:type="dxa"/>
          </w:tblCellMar>
        </w:tblPrEx>
        <w:trPr>
          <w:wBefore w:w="0" w:type="auto"/>
          <w:tblCellSpacing w:w="0" w:type="dxa"/>
        </w:trPr>
        <w:tc>
          <w:tcPr>
            <w:tcW w:w="0" w:type="auto"/>
            <w:noWrap w:val="0"/>
            <w:vAlign w:val="center"/>
          </w:tcPr>
          <w:p w14:paraId="4FA5BD24">
            <w:r>
              <w:rPr>
                <w:rStyle w:val="10"/>
                <w:rFonts w:hint="eastAsia"/>
              </w:rPr>
              <w:t>农药名称：</w:t>
            </w:r>
            <w:r>
              <w:rPr>
                <w:rFonts w:hint="eastAsia"/>
              </w:rPr>
              <w:t>吲丁·诱抗素</w:t>
            </w:r>
          </w:p>
        </w:tc>
      </w:tr>
      <w:tr w14:paraId="60B61F08">
        <w:tblPrEx>
          <w:tblCellMar>
            <w:top w:w="0" w:type="dxa"/>
            <w:left w:w="0" w:type="dxa"/>
            <w:bottom w:w="0" w:type="dxa"/>
            <w:right w:w="0" w:type="dxa"/>
          </w:tblCellMar>
        </w:tblPrEx>
        <w:trPr>
          <w:wBefore w:w="0" w:type="auto"/>
          <w:tblCellSpacing w:w="0" w:type="dxa"/>
        </w:trPr>
        <w:tc>
          <w:tcPr>
            <w:tcW w:w="0" w:type="auto"/>
            <w:noWrap w:val="0"/>
            <w:vAlign w:val="center"/>
          </w:tcPr>
          <w:p w14:paraId="02AD9D47">
            <w:r>
              <w:rPr>
                <w:rStyle w:val="10"/>
                <w:rFonts w:hint="eastAsia"/>
              </w:rPr>
              <w:t>剂型：</w:t>
            </w:r>
            <w:r>
              <w:rPr>
                <w:rFonts w:hint="eastAsia"/>
              </w:rPr>
              <w:t>可溶液剂</w:t>
            </w:r>
          </w:p>
        </w:tc>
      </w:tr>
      <w:tr w14:paraId="0080C630">
        <w:tblPrEx>
          <w:tblCellMar>
            <w:top w:w="0" w:type="dxa"/>
            <w:left w:w="0" w:type="dxa"/>
            <w:bottom w:w="0" w:type="dxa"/>
            <w:right w:w="0" w:type="dxa"/>
          </w:tblCellMar>
        </w:tblPrEx>
        <w:trPr>
          <w:wBefore w:w="0" w:type="auto"/>
          <w:tblCellSpacing w:w="0" w:type="dxa"/>
        </w:trPr>
        <w:tc>
          <w:tcPr>
            <w:tcW w:w="0" w:type="auto"/>
            <w:noWrap w:val="0"/>
            <w:vAlign w:val="center"/>
          </w:tcPr>
          <w:p w14:paraId="67B7C24A">
            <w:r>
              <w:rPr>
                <w:rStyle w:val="10"/>
                <w:rFonts w:hint="eastAsia"/>
              </w:rPr>
              <w:t>毒性及其标识：</w:t>
            </w:r>
            <w:r>
              <w:rPr>
                <w:rFonts w:hint="eastAsia"/>
              </w:rPr>
              <w:t xml:space="preserve"> </w:t>
            </w:r>
            <w:r>
              <w:rPr>
                <w:lang/>
              </w:rPr>
              <w:drawing>
                <wp:inline distT="0" distB="0" distL="114300" distR="114300">
                  <wp:extent cx="476250" cy="323850"/>
                  <wp:effectExtent l="0" t="0" r="0" b="0"/>
                  <wp:docPr id="147" name="图片 14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00DB49">
        <w:tblPrEx>
          <w:tblCellMar>
            <w:top w:w="0" w:type="dxa"/>
            <w:left w:w="0" w:type="dxa"/>
            <w:bottom w:w="0" w:type="dxa"/>
            <w:right w:w="0" w:type="dxa"/>
          </w:tblCellMar>
        </w:tblPrEx>
        <w:trPr>
          <w:wBefore w:w="0" w:type="auto"/>
          <w:tblCellSpacing w:w="0" w:type="dxa"/>
        </w:trPr>
        <w:tc>
          <w:tcPr>
            <w:tcW w:w="0" w:type="auto"/>
            <w:noWrap w:val="0"/>
            <w:vAlign w:val="center"/>
          </w:tcPr>
          <w:p w14:paraId="0625F4C6">
            <w:r>
              <w:rPr>
                <w:rStyle w:val="10"/>
                <w:rFonts w:hint="eastAsia"/>
              </w:rPr>
              <w:t>总有效成分含量：</w:t>
            </w:r>
            <w:r>
              <w:rPr>
                <w:rFonts w:hint="eastAsia"/>
              </w:rPr>
              <w:t>1%</w:t>
            </w:r>
          </w:p>
        </w:tc>
      </w:tr>
      <w:tr w14:paraId="3B4D5228">
        <w:tblPrEx>
          <w:tblCellMar>
            <w:top w:w="0" w:type="dxa"/>
            <w:left w:w="0" w:type="dxa"/>
            <w:bottom w:w="0" w:type="dxa"/>
            <w:right w:w="0" w:type="dxa"/>
          </w:tblCellMar>
        </w:tblPrEx>
        <w:trPr>
          <w:wBefore w:w="0" w:type="auto"/>
          <w:tblCellSpacing w:w="0" w:type="dxa"/>
        </w:trPr>
        <w:tc>
          <w:tcPr>
            <w:tcW w:w="0" w:type="auto"/>
            <w:noWrap w:val="0"/>
            <w:vAlign w:val="center"/>
          </w:tcPr>
          <w:p w14:paraId="5DCC1ADA">
            <w:r>
              <w:rPr>
                <w:rFonts w:hint="eastAsia"/>
              </w:rPr>
              <w:t xml:space="preserve">有效成分及其含量： </w:t>
            </w:r>
          </w:p>
          <w:p w14:paraId="14589519">
            <w:r>
              <w:rPr>
                <w:rFonts w:hint="eastAsia"/>
              </w:rPr>
              <w:t xml:space="preserve">    吲哚丁酸0.9%    S-诱抗素0.1%    </w:t>
            </w:r>
          </w:p>
        </w:tc>
      </w:tr>
      <w:tr w14:paraId="4945DED3">
        <w:tblPrEx>
          <w:tblCellMar>
            <w:top w:w="0" w:type="dxa"/>
            <w:left w:w="0" w:type="dxa"/>
            <w:bottom w:w="0" w:type="dxa"/>
            <w:right w:w="0" w:type="dxa"/>
          </w:tblCellMar>
        </w:tblPrEx>
        <w:trPr>
          <w:wBefore w:w="0" w:type="auto"/>
          <w:tblCellSpacing w:w="0" w:type="dxa"/>
        </w:trPr>
        <w:tc>
          <w:tcPr>
            <w:tcW w:w="0" w:type="auto"/>
            <w:noWrap w:val="0"/>
            <w:vAlign w:val="center"/>
          </w:tcPr>
          <w:p w14:paraId="0E5757B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10DF7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2B1474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2D3654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58AA8A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5A6FB3C">
                  <w:r>
                    <w:rPr>
                      <w:rStyle w:val="11"/>
                      <w:rFonts w:hint="eastAsia"/>
                    </w:rPr>
                    <w:t>施用方式</w:t>
                  </w:r>
                </w:p>
              </w:tc>
            </w:tr>
            <w:tr w14:paraId="75CB58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B611E79">
                  <w:r>
                    <w:rPr>
                      <w:rStyle w:val="11"/>
                      <w:rFonts w:hint="eastAsia"/>
                    </w:rPr>
                    <w:t>水稻秧田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B395B9">
                  <w:r>
                    <w:rPr>
                      <w:rStyle w:val="11"/>
                      <w:rFonts w:hint="eastAsia"/>
                    </w:rPr>
                    <w:t>促进生根</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E00C68">
                  <w:r>
                    <w:rPr>
                      <w:rStyle w:val="11"/>
                      <w:rFonts w:hint="eastAsia"/>
                    </w:rPr>
                    <w:t>500-1000倍液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CDC20B">
                  <w:r>
                    <w:rPr>
                      <w:rStyle w:val="11"/>
                      <w:rFonts w:hint="eastAsia"/>
                    </w:rPr>
                    <w:t>喷雾</w:t>
                  </w:r>
                </w:p>
              </w:tc>
            </w:tr>
          </w:tbl>
          <w:p w14:paraId="47BCA01E">
            <w:pPr>
              <w:rPr>
                <w:rFonts w:ascii="Times New Roman" w:hAnsi="Times New Roman" w:cs="Times New Roman"/>
                <w:sz w:val="20"/>
                <w:szCs w:val="20"/>
              </w:rPr>
            </w:pPr>
          </w:p>
        </w:tc>
      </w:tr>
      <w:tr w14:paraId="436B96BF">
        <w:tblPrEx>
          <w:tblCellMar>
            <w:top w:w="0" w:type="dxa"/>
            <w:left w:w="0" w:type="dxa"/>
            <w:bottom w:w="0" w:type="dxa"/>
            <w:right w:w="0" w:type="dxa"/>
          </w:tblCellMar>
        </w:tblPrEx>
        <w:trPr>
          <w:wBefore w:w="0" w:type="auto"/>
          <w:tblCellSpacing w:w="0" w:type="dxa"/>
        </w:trPr>
        <w:tc>
          <w:tcPr>
            <w:tcW w:w="0" w:type="auto"/>
            <w:noWrap w:val="0"/>
            <w:vAlign w:val="center"/>
          </w:tcPr>
          <w:p w14:paraId="546A0DA6">
            <w:r>
              <w:rPr>
                <w:rStyle w:val="10"/>
                <w:rFonts w:hint="eastAsia"/>
              </w:rPr>
              <w:t>使用技术要求:</w:t>
            </w:r>
            <w:r>
              <w:rPr>
                <w:rFonts w:hint="eastAsia"/>
              </w:rPr>
              <w:br w:type="textWrapping"/>
            </w:r>
            <w:r>
              <w:rPr>
                <w:rStyle w:val="11"/>
                <w:rFonts w:hint="eastAsia"/>
              </w:rPr>
              <w:t>1. 水稻秧苗移栽前7天秧苗喷雾1次，注意均匀。 2. 大风或预计1小时内有雨，请勿施药。</w:t>
            </w:r>
          </w:p>
        </w:tc>
      </w:tr>
      <w:tr w14:paraId="13400F6B">
        <w:tblPrEx>
          <w:tblCellMar>
            <w:top w:w="0" w:type="dxa"/>
            <w:left w:w="0" w:type="dxa"/>
            <w:bottom w:w="0" w:type="dxa"/>
            <w:right w:w="0" w:type="dxa"/>
          </w:tblCellMar>
        </w:tblPrEx>
        <w:trPr>
          <w:wBefore w:w="0" w:type="auto"/>
          <w:tblCellSpacing w:w="0" w:type="dxa"/>
        </w:trPr>
        <w:tc>
          <w:tcPr>
            <w:tcW w:w="0" w:type="auto"/>
            <w:noWrap w:val="0"/>
            <w:vAlign w:val="center"/>
          </w:tcPr>
          <w:p w14:paraId="0BEA60A6">
            <w:r>
              <w:rPr>
                <w:rStyle w:val="10"/>
                <w:rFonts w:hint="eastAsia"/>
              </w:rPr>
              <w:t>产品性能:</w:t>
            </w:r>
            <w:r>
              <w:rPr>
                <w:rFonts w:hint="eastAsia"/>
              </w:rPr>
              <w:br w:type="textWrapping"/>
            </w:r>
            <w:r>
              <w:rPr>
                <w:rStyle w:val="11"/>
                <w:rFonts w:hint="eastAsia"/>
              </w:rPr>
              <w:t>吲哚丁酸和S-诱抗素都属于生物化学农药，是植物生长调节剂，本产品在水稻秧田使用，能促进水稻生根，提高水稻分蘖率</w:t>
            </w:r>
          </w:p>
        </w:tc>
      </w:tr>
      <w:tr w14:paraId="2F9940EF">
        <w:tblPrEx>
          <w:tblCellMar>
            <w:top w:w="0" w:type="dxa"/>
            <w:left w:w="0" w:type="dxa"/>
            <w:bottom w:w="0" w:type="dxa"/>
            <w:right w:w="0" w:type="dxa"/>
          </w:tblCellMar>
        </w:tblPrEx>
        <w:trPr>
          <w:wBefore w:w="0" w:type="auto"/>
          <w:tblCellSpacing w:w="0" w:type="dxa"/>
        </w:trPr>
        <w:tc>
          <w:tcPr>
            <w:tcW w:w="0" w:type="auto"/>
            <w:noWrap w:val="0"/>
            <w:vAlign w:val="center"/>
          </w:tcPr>
          <w:p w14:paraId="07365491">
            <w:r>
              <w:rPr>
                <w:rStyle w:val="10"/>
                <w:rFonts w:hint="eastAsia"/>
              </w:rPr>
              <w:t>注意事项：</w:t>
            </w:r>
            <w:r>
              <w:rPr>
                <w:rFonts w:hint="eastAsia"/>
              </w:rPr>
              <w:br w:type="textWrapping"/>
            </w:r>
            <w:r>
              <w:rPr>
                <w:rStyle w:val="11"/>
                <w:rFonts w:hint="eastAsia"/>
              </w:rPr>
              <w:t>1. 本品不可与碱性物质混用。 2. 注意避光保存，开启包装后最好一次性用完，配制好的水溶液不易久存，现配现用。 3. 使用本品时应穿长衣长裤、戴手套、眼镜、口罩等，避免药液接触眼睛、粘膜和伤口等。不可吃东西、喝水和吸烟；施药后应及时清洗干净手脸等。 4. 禁止河塘等水域内清洗施药器具或将清洗施药器具的废水倒入河流、池塘等水源。 5. 孕妇及哺乳期女禁止接触本品。 正确开启包装袋，用过的包装袋应妥善处理，不可做他用，也不可随意丢弃。6. 避免与氧化剂接触。</w:t>
            </w:r>
          </w:p>
        </w:tc>
      </w:tr>
      <w:tr w14:paraId="24C1B8F0">
        <w:tblPrEx>
          <w:tblCellMar>
            <w:top w:w="0" w:type="dxa"/>
            <w:left w:w="0" w:type="dxa"/>
            <w:bottom w:w="0" w:type="dxa"/>
            <w:right w:w="0" w:type="dxa"/>
          </w:tblCellMar>
        </w:tblPrEx>
        <w:trPr>
          <w:wBefore w:w="0" w:type="auto"/>
          <w:tblCellSpacing w:w="0" w:type="dxa"/>
        </w:trPr>
        <w:tc>
          <w:tcPr>
            <w:tcW w:w="0" w:type="auto"/>
            <w:noWrap w:val="0"/>
            <w:vAlign w:val="center"/>
          </w:tcPr>
          <w:p w14:paraId="7F847BFC">
            <w:r>
              <w:rPr>
                <w:rStyle w:val="10"/>
                <w:rFonts w:hint="eastAsia"/>
              </w:rPr>
              <w:t>中毒急救措施：</w:t>
            </w:r>
            <w:r>
              <w:rPr>
                <w:rFonts w:hint="eastAsia"/>
              </w:rPr>
              <w:br w:type="textWrapping"/>
            </w:r>
            <w:r>
              <w:rPr>
                <w:rStyle w:val="11"/>
                <w:rFonts w:hint="eastAsia"/>
              </w:rPr>
              <w:t>避免接触到眼睛或皮肤，不慎接触皮肤或溅入眼睛，应用大量清水冲洗至少15分钟。吸入或误食时，如有不适症状，立即携此标签送医院对症治疗。</w:t>
            </w:r>
          </w:p>
        </w:tc>
      </w:tr>
      <w:tr w14:paraId="3AA0E025">
        <w:tblPrEx>
          <w:tblCellMar>
            <w:top w:w="0" w:type="dxa"/>
            <w:left w:w="0" w:type="dxa"/>
            <w:bottom w:w="0" w:type="dxa"/>
            <w:right w:w="0" w:type="dxa"/>
          </w:tblCellMar>
        </w:tblPrEx>
        <w:trPr>
          <w:wBefore w:w="0" w:type="auto"/>
          <w:tblCellSpacing w:w="0" w:type="dxa"/>
        </w:trPr>
        <w:tc>
          <w:tcPr>
            <w:tcW w:w="0" w:type="auto"/>
            <w:noWrap w:val="0"/>
            <w:vAlign w:val="center"/>
          </w:tcPr>
          <w:p w14:paraId="2C2D9D2A">
            <w:r>
              <w:rPr>
                <w:rStyle w:val="10"/>
                <w:rFonts w:hint="eastAsia"/>
              </w:rPr>
              <w:t>储存和运输方法：</w:t>
            </w:r>
            <w:r>
              <w:rPr>
                <w:rFonts w:hint="eastAsia"/>
              </w:rPr>
              <w:br w:type="textWrapping"/>
            </w:r>
            <w:r>
              <w:rPr>
                <w:rStyle w:val="11"/>
                <w:rFonts w:hint="eastAsia"/>
              </w:rPr>
              <w:t>本品属易燃液体，应贮存在干燥、阴凉、避光、通风、防雨处，远离火源和热源。置于儿童、无关人员触及不到之处，并加锁。勿与食物、饮料、种子、饲料同贮同运。</w:t>
            </w:r>
          </w:p>
        </w:tc>
      </w:tr>
      <w:tr w14:paraId="17DB5752">
        <w:tblPrEx>
          <w:tblCellMar>
            <w:top w:w="0" w:type="dxa"/>
            <w:left w:w="0" w:type="dxa"/>
            <w:bottom w:w="0" w:type="dxa"/>
            <w:right w:w="0" w:type="dxa"/>
          </w:tblCellMar>
        </w:tblPrEx>
        <w:trPr>
          <w:wBefore w:w="0" w:type="auto"/>
          <w:tblCellSpacing w:w="0" w:type="dxa"/>
        </w:trPr>
        <w:tc>
          <w:tcPr>
            <w:tcW w:w="0" w:type="auto"/>
            <w:noWrap w:val="0"/>
            <w:vAlign w:val="center"/>
          </w:tcPr>
          <w:p w14:paraId="483B4569">
            <w:r>
              <w:rPr>
                <w:rStyle w:val="10"/>
                <w:rFonts w:hint="eastAsia"/>
              </w:rPr>
              <w:t>质量保证期：</w:t>
            </w:r>
            <w:r>
              <w:rPr>
                <w:rStyle w:val="11"/>
                <w:rFonts w:hint="eastAsia"/>
              </w:rPr>
              <w:t>2年</w:t>
            </w:r>
          </w:p>
        </w:tc>
      </w:tr>
      <w:tr w14:paraId="78C0809F">
        <w:tblPrEx>
          <w:tblCellMar>
            <w:top w:w="0" w:type="dxa"/>
            <w:left w:w="0" w:type="dxa"/>
            <w:bottom w:w="0" w:type="dxa"/>
            <w:right w:w="0" w:type="dxa"/>
          </w:tblCellMar>
        </w:tblPrEx>
        <w:trPr>
          <w:wBefore w:w="0" w:type="auto"/>
          <w:tblCellSpacing w:w="0" w:type="dxa"/>
        </w:trPr>
        <w:tc>
          <w:tcPr>
            <w:tcW w:w="0" w:type="auto"/>
            <w:noWrap w:val="0"/>
            <w:vAlign w:val="center"/>
          </w:tcPr>
          <w:p w14:paraId="19155700">
            <w:r>
              <w:rPr>
                <w:rStyle w:val="10"/>
                <w:rFonts w:hint="eastAsia"/>
              </w:rPr>
              <w:t>备注：</w:t>
            </w:r>
          </w:p>
        </w:tc>
      </w:tr>
    </w:tbl>
    <w:p w14:paraId="3AD54E2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DC74EAF">
        <w:tblPrEx>
          <w:tblCellMar>
            <w:top w:w="0" w:type="dxa"/>
            <w:left w:w="0" w:type="dxa"/>
            <w:bottom w:w="0" w:type="dxa"/>
            <w:right w:w="0" w:type="dxa"/>
          </w:tblCellMar>
        </w:tblPrEx>
        <w:trPr>
          <w:wBefore w:w="0" w:type="auto"/>
          <w:tblCellSpacing w:w="0" w:type="dxa"/>
        </w:trPr>
        <w:tc>
          <w:tcPr>
            <w:tcW w:w="0" w:type="auto"/>
            <w:noWrap w:val="0"/>
            <w:vAlign w:val="center"/>
          </w:tcPr>
          <w:p w14:paraId="7C263B1A">
            <w:r>
              <w:rPr>
                <w:rStyle w:val="10"/>
                <w:rFonts w:hint="eastAsia"/>
              </w:rPr>
              <w:t>登记证号：</w:t>
            </w:r>
            <w:r>
              <w:rPr>
                <w:rFonts w:hint="eastAsia"/>
              </w:rPr>
              <w:t>PD20211960</w:t>
            </w:r>
          </w:p>
        </w:tc>
      </w:tr>
      <w:tr w14:paraId="5FD041BA">
        <w:tblPrEx>
          <w:tblCellMar>
            <w:top w:w="0" w:type="dxa"/>
            <w:left w:w="0" w:type="dxa"/>
            <w:bottom w:w="0" w:type="dxa"/>
            <w:right w:w="0" w:type="dxa"/>
          </w:tblCellMar>
        </w:tblPrEx>
        <w:trPr>
          <w:wBefore w:w="0" w:type="auto"/>
          <w:tblCellSpacing w:w="0" w:type="dxa"/>
        </w:trPr>
        <w:tc>
          <w:tcPr>
            <w:tcW w:w="0" w:type="auto"/>
            <w:noWrap w:val="0"/>
            <w:vAlign w:val="center"/>
          </w:tcPr>
          <w:p w14:paraId="51BBE1BB">
            <w:r>
              <w:rPr>
                <w:rStyle w:val="10"/>
                <w:rFonts w:hint="eastAsia"/>
              </w:rPr>
              <w:t>登记证持有人：</w:t>
            </w:r>
            <w:r>
              <w:rPr>
                <w:rFonts w:hint="eastAsia"/>
              </w:rPr>
              <w:t>四川百事东旺生物科技有限公司</w:t>
            </w:r>
          </w:p>
        </w:tc>
      </w:tr>
      <w:tr w14:paraId="182BCD90">
        <w:tblPrEx>
          <w:tblCellMar>
            <w:top w:w="0" w:type="dxa"/>
            <w:left w:w="0" w:type="dxa"/>
            <w:bottom w:w="0" w:type="dxa"/>
            <w:right w:w="0" w:type="dxa"/>
          </w:tblCellMar>
        </w:tblPrEx>
        <w:trPr>
          <w:wBefore w:w="0" w:type="auto"/>
          <w:tblCellSpacing w:w="0" w:type="dxa"/>
        </w:trPr>
        <w:tc>
          <w:tcPr>
            <w:tcW w:w="0" w:type="auto"/>
            <w:noWrap w:val="0"/>
            <w:vAlign w:val="center"/>
          </w:tcPr>
          <w:p w14:paraId="551974AE">
            <w:r>
              <w:rPr>
                <w:rStyle w:val="10"/>
                <w:rFonts w:hint="eastAsia"/>
              </w:rPr>
              <w:t>农药名称：</w:t>
            </w:r>
            <w:r>
              <w:rPr>
                <w:rFonts w:hint="eastAsia"/>
              </w:rPr>
              <w:t>碱式硫酸铜</w:t>
            </w:r>
          </w:p>
        </w:tc>
      </w:tr>
      <w:tr w14:paraId="6F9E71FF">
        <w:tblPrEx>
          <w:tblCellMar>
            <w:top w:w="0" w:type="dxa"/>
            <w:left w:w="0" w:type="dxa"/>
            <w:bottom w:w="0" w:type="dxa"/>
            <w:right w:w="0" w:type="dxa"/>
          </w:tblCellMar>
        </w:tblPrEx>
        <w:trPr>
          <w:wBefore w:w="0" w:type="auto"/>
          <w:tblCellSpacing w:w="0" w:type="dxa"/>
        </w:trPr>
        <w:tc>
          <w:tcPr>
            <w:tcW w:w="0" w:type="auto"/>
            <w:noWrap w:val="0"/>
            <w:vAlign w:val="center"/>
          </w:tcPr>
          <w:p w14:paraId="44490B1E">
            <w:r>
              <w:rPr>
                <w:rStyle w:val="10"/>
                <w:rFonts w:hint="eastAsia"/>
              </w:rPr>
              <w:t>剂型：</w:t>
            </w:r>
            <w:r>
              <w:rPr>
                <w:rFonts w:hint="eastAsia"/>
              </w:rPr>
              <w:t>悬浮剂</w:t>
            </w:r>
          </w:p>
        </w:tc>
      </w:tr>
      <w:tr w14:paraId="7A2781C3">
        <w:tblPrEx>
          <w:tblCellMar>
            <w:top w:w="0" w:type="dxa"/>
            <w:left w:w="0" w:type="dxa"/>
            <w:bottom w:w="0" w:type="dxa"/>
            <w:right w:w="0" w:type="dxa"/>
          </w:tblCellMar>
        </w:tblPrEx>
        <w:trPr>
          <w:wBefore w:w="0" w:type="auto"/>
          <w:tblCellSpacing w:w="0" w:type="dxa"/>
        </w:trPr>
        <w:tc>
          <w:tcPr>
            <w:tcW w:w="0" w:type="auto"/>
            <w:noWrap w:val="0"/>
            <w:vAlign w:val="center"/>
          </w:tcPr>
          <w:p w14:paraId="5237F5F1">
            <w:r>
              <w:rPr>
                <w:rStyle w:val="10"/>
                <w:rFonts w:hint="eastAsia"/>
              </w:rPr>
              <w:t>毒性及其标识：</w:t>
            </w:r>
            <w:r>
              <w:rPr>
                <w:rFonts w:hint="eastAsia"/>
              </w:rPr>
              <w:t xml:space="preserve"> </w:t>
            </w:r>
            <w:r>
              <w:rPr>
                <w:lang/>
              </w:rPr>
              <w:drawing>
                <wp:inline distT="0" distB="0" distL="114300" distR="114300">
                  <wp:extent cx="476250" cy="323850"/>
                  <wp:effectExtent l="0" t="0" r="0" b="0"/>
                  <wp:docPr id="148" name="图片 14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5332017">
        <w:tblPrEx>
          <w:tblCellMar>
            <w:top w:w="0" w:type="dxa"/>
            <w:left w:w="0" w:type="dxa"/>
            <w:bottom w:w="0" w:type="dxa"/>
            <w:right w:w="0" w:type="dxa"/>
          </w:tblCellMar>
        </w:tblPrEx>
        <w:trPr>
          <w:wBefore w:w="0" w:type="auto"/>
          <w:tblCellSpacing w:w="0" w:type="dxa"/>
        </w:trPr>
        <w:tc>
          <w:tcPr>
            <w:tcW w:w="0" w:type="auto"/>
            <w:noWrap w:val="0"/>
            <w:vAlign w:val="center"/>
          </w:tcPr>
          <w:p w14:paraId="171B4711">
            <w:r>
              <w:rPr>
                <w:rStyle w:val="10"/>
                <w:rFonts w:hint="eastAsia"/>
              </w:rPr>
              <w:t>总有效成分含量：</w:t>
            </w:r>
            <w:r>
              <w:rPr>
                <w:rFonts w:hint="eastAsia"/>
              </w:rPr>
              <w:t>35%</w:t>
            </w:r>
          </w:p>
        </w:tc>
      </w:tr>
      <w:tr w14:paraId="09C8DEF8">
        <w:tblPrEx>
          <w:tblCellMar>
            <w:top w:w="0" w:type="dxa"/>
            <w:left w:w="0" w:type="dxa"/>
            <w:bottom w:w="0" w:type="dxa"/>
            <w:right w:w="0" w:type="dxa"/>
          </w:tblCellMar>
        </w:tblPrEx>
        <w:trPr>
          <w:wBefore w:w="0" w:type="auto"/>
          <w:tblCellSpacing w:w="0" w:type="dxa"/>
        </w:trPr>
        <w:tc>
          <w:tcPr>
            <w:tcW w:w="0" w:type="auto"/>
            <w:noWrap w:val="0"/>
            <w:vAlign w:val="center"/>
          </w:tcPr>
          <w:p w14:paraId="124E3F8D">
            <w:r>
              <w:rPr>
                <w:rFonts w:hint="eastAsia"/>
              </w:rPr>
              <w:t xml:space="preserve">有效成分及其含量： </w:t>
            </w:r>
          </w:p>
          <w:p w14:paraId="523DDB94">
            <w:r>
              <w:rPr>
                <w:rFonts w:hint="eastAsia"/>
              </w:rPr>
              <w:t xml:space="preserve">    碱式硫酸铜35%    </w:t>
            </w:r>
          </w:p>
        </w:tc>
      </w:tr>
      <w:tr w14:paraId="7D63A390">
        <w:tblPrEx>
          <w:tblCellMar>
            <w:top w:w="0" w:type="dxa"/>
            <w:left w:w="0" w:type="dxa"/>
            <w:bottom w:w="0" w:type="dxa"/>
            <w:right w:w="0" w:type="dxa"/>
          </w:tblCellMar>
        </w:tblPrEx>
        <w:trPr>
          <w:wBefore w:w="0" w:type="auto"/>
          <w:tblCellSpacing w:w="0" w:type="dxa"/>
        </w:trPr>
        <w:tc>
          <w:tcPr>
            <w:tcW w:w="0" w:type="auto"/>
            <w:noWrap w:val="0"/>
            <w:vAlign w:val="center"/>
          </w:tcPr>
          <w:p w14:paraId="4D7522B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376A1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952AB6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C5C3B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C94D38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0400D6C">
                  <w:r>
                    <w:rPr>
                      <w:rStyle w:val="11"/>
                      <w:rFonts w:hint="eastAsia"/>
                    </w:rPr>
                    <w:t>施用方式</w:t>
                  </w:r>
                </w:p>
              </w:tc>
            </w:tr>
            <w:tr w14:paraId="7308CE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8EF0A0">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600940">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55CB74">
                  <w:r>
                    <w:rPr>
                      <w:rStyle w:val="11"/>
                      <w:rFonts w:hint="eastAsia"/>
                    </w:rPr>
                    <w:t>350-450倍液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BB5F26">
                  <w:r>
                    <w:rPr>
                      <w:rStyle w:val="11"/>
                      <w:rFonts w:hint="eastAsia"/>
                    </w:rPr>
                    <w:t>喷雾</w:t>
                  </w:r>
                </w:p>
              </w:tc>
            </w:tr>
          </w:tbl>
          <w:p w14:paraId="3B152E2B">
            <w:pPr>
              <w:rPr>
                <w:rFonts w:ascii="Times New Roman" w:hAnsi="Times New Roman" w:cs="Times New Roman"/>
                <w:sz w:val="20"/>
                <w:szCs w:val="20"/>
              </w:rPr>
            </w:pPr>
          </w:p>
        </w:tc>
      </w:tr>
      <w:tr w14:paraId="087F72C6">
        <w:tblPrEx>
          <w:tblCellMar>
            <w:top w:w="0" w:type="dxa"/>
            <w:left w:w="0" w:type="dxa"/>
            <w:bottom w:w="0" w:type="dxa"/>
            <w:right w:w="0" w:type="dxa"/>
          </w:tblCellMar>
        </w:tblPrEx>
        <w:trPr>
          <w:wBefore w:w="0" w:type="auto"/>
          <w:tblCellSpacing w:w="0" w:type="dxa"/>
        </w:trPr>
        <w:tc>
          <w:tcPr>
            <w:tcW w:w="0" w:type="auto"/>
            <w:noWrap w:val="0"/>
            <w:vAlign w:val="center"/>
          </w:tcPr>
          <w:p w14:paraId="7EA3D3B5">
            <w:r>
              <w:rPr>
                <w:rStyle w:val="10"/>
                <w:rFonts w:hint="eastAsia"/>
              </w:rPr>
              <w:t>使用技术要求:</w:t>
            </w:r>
            <w:r>
              <w:rPr>
                <w:rFonts w:hint="eastAsia"/>
              </w:rPr>
              <w:br w:type="textWrapping"/>
            </w:r>
            <w:r>
              <w:rPr>
                <w:rStyle w:val="11"/>
                <w:rFonts w:hint="eastAsia"/>
              </w:rPr>
              <w:t>1. 建议在柑橘溃疡病发病前或发病初期施药，施药2次，间隔7-10天。柑橘上每季最多使用2次。2. 大风天或预计1小时内降雨，请勿使用。</w:t>
            </w:r>
          </w:p>
        </w:tc>
      </w:tr>
      <w:tr w14:paraId="0D6251C3">
        <w:tblPrEx>
          <w:tblCellMar>
            <w:top w:w="0" w:type="dxa"/>
            <w:left w:w="0" w:type="dxa"/>
            <w:bottom w:w="0" w:type="dxa"/>
            <w:right w:w="0" w:type="dxa"/>
          </w:tblCellMar>
        </w:tblPrEx>
        <w:trPr>
          <w:wBefore w:w="0" w:type="auto"/>
          <w:tblCellSpacing w:w="0" w:type="dxa"/>
        </w:trPr>
        <w:tc>
          <w:tcPr>
            <w:tcW w:w="0" w:type="auto"/>
            <w:noWrap w:val="0"/>
            <w:vAlign w:val="center"/>
          </w:tcPr>
          <w:p w14:paraId="2470D5E1">
            <w:r>
              <w:rPr>
                <w:rStyle w:val="10"/>
                <w:rFonts w:hint="eastAsia"/>
              </w:rPr>
              <w:t>产品性能:</w:t>
            </w:r>
            <w:r>
              <w:rPr>
                <w:rFonts w:hint="eastAsia"/>
              </w:rPr>
              <w:br w:type="textWrapping"/>
            </w:r>
            <w:r>
              <w:rPr>
                <w:rStyle w:val="11"/>
                <w:rFonts w:hint="eastAsia"/>
              </w:rPr>
              <w:t>本品属广谱无机铜类保护性杀菌剂，施用后释放出的铜离子进入病菌细胞后，使病菌蛋白质凝固并破坏病菌酶系统起到杀菌作用。本品耐雨水冲刷，可增绿叶片，促使作物生长健壮。用于防治柑橘溃疡病。</w:t>
            </w:r>
          </w:p>
        </w:tc>
      </w:tr>
      <w:tr w14:paraId="40E4843D">
        <w:tblPrEx>
          <w:tblCellMar>
            <w:top w:w="0" w:type="dxa"/>
            <w:left w:w="0" w:type="dxa"/>
            <w:bottom w:w="0" w:type="dxa"/>
            <w:right w:w="0" w:type="dxa"/>
          </w:tblCellMar>
        </w:tblPrEx>
        <w:trPr>
          <w:wBefore w:w="0" w:type="auto"/>
          <w:tblCellSpacing w:w="0" w:type="dxa"/>
        </w:trPr>
        <w:tc>
          <w:tcPr>
            <w:tcW w:w="0" w:type="auto"/>
            <w:noWrap w:val="0"/>
            <w:vAlign w:val="center"/>
          </w:tcPr>
          <w:p w14:paraId="6FBB4B20">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本品对眼睛有刺激性，使用时避免接触眼睛，穿戴长衣、长裤、帽子、口罩、手套等防护措施。请勿吸烟及饮食；施用后及时清洗外露的皮肤、用过的器具和污染的衣物。2. 在保证药效不受影响的前提下适当减少用药量，使暴露量相对降低，措施的有效性与施用量减少程度大致成线性正比。3. 在鸟类保护区和放飞区、蚕室及桑园附近、（周围）开花作物花期禁用。4. 本品对鱼类等水生生物毒性较高，远离水产养殖区、河塘等水体施药；药液及其废液不得污染各类水域、土壤等环境，禁止在河塘等水体中清洗施药器具。清洗器具的废水不能排入池塘、河流、水源。5. 应与其他作用机制不同的杀菌剂轮换使用，以延缓抗性产生。6. 孕妇或哺乳期妇女禁止接触农药。7. 用过的容器应妥善处理，不可做他用，也不可随意丢弃。8. 避免与氧化剂接触。</w:t>
            </w:r>
          </w:p>
        </w:tc>
      </w:tr>
      <w:tr w14:paraId="0E1DD0F9">
        <w:tblPrEx>
          <w:tblCellMar>
            <w:top w:w="0" w:type="dxa"/>
            <w:left w:w="0" w:type="dxa"/>
            <w:bottom w:w="0" w:type="dxa"/>
            <w:right w:w="0" w:type="dxa"/>
          </w:tblCellMar>
        </w:tblPrEx>
        <w:trPr>
          <w:wBefore w:w="0" w:type="auto"/>
          <w:tblCellSpacing w:w="0" w:type="dxa"/>
        </w:trPr>
        <w:tc>
          <w:tcPr>
            <w:tcW w:w="0" w:type="auto"/>
            <w:noWrap w:val="0"/>
            <w:vAlign w:val="center"/>
          </w:tcPr>
          <w:p w14:paraId="184CB8F6">
            <w:r>
              <w:rPr>
                <w:rStyle w:val="10"/>
                <w:rFonts w:hint="eastAsia"/>
              </w:rPr>
              <w:t>中毒急救措施：</w:t>
            </w:r>
            <w:r>
              <w:rPr>
                <w:rFonts w:hint="eastAsia"/>
              </w:rPr>
              <w:br w:type="textWrapping"/>
            </w:r>
            <w:r>
              <w:rPr>
                <w:rStyle w:val="11"/>
                <w:rFonts w:hint="eastAsia"/>
              </w:rPr>
              <w:t>1. 如有药液溅到皮肤或眼睛上，应立即用清水冲洗至少15分钟，严重者请及时就医。若误服，立即携标签请医生诊治。不慎吸入，立即将吸入者转移到空气流通处，严重者携标签就医。 2.本品无特殊解毒剂，对症治疗。</w:t>
            </w:r>
          </w:p>
        </w:tc>
      </w:tr>
      <w:tr w14:paraId="7F9517DA">
        <w:tblPrEx>
          <w:tblCellMar>
            <w:top w:w="0" w:type="dxa"/>
            <w:left w:w="0" w:type="dxa"/>
            <w:bottom w:w="0" w:type="dxa"/>
            <w:right w:w="0" w:type="dxa"/>
          </w:tblCellMar>
        </w:tblPrEx>
        <w:trPr>
          <w:wBefore w:w="0" w:type="auto"/>
          <w:tblCellSpacing w:w="0" w:type="dxa"/>
        </w:trPr>
        <w:tc>
          <w:tcPr>
            <w:tcW w:w="0" w:type="auto"/>
            <w:noWrap w:val="0"/>
            <w:vAlign w:val="center"/>
          </w:tcPr>
          <w:p w14:paraId="457845E3">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本品应贮存在干燥、阴凉、通风、防雨处，远离火源或热源。置于儿童、无关人员触及不到之处，并加锁保存。勿与食品、饮料、粮食、饲料等其他商品同贮同运。</w:t>
            </w:r>
          </w:p>
        </w:tc>
      </w:tr>
      <w:tr w14:paraId="6E42142E">
        <w:tblPrEx>
          <w:tblCellMar>
            <w:top w:w="0" w:type="dxa"/>
            <w:left w:w="0" w:type="dxa"/>
            <w:bottom w:w="0" w:type="dxa"/>
            <w:right w:w="0" w:type="dxa"/>
          </w:tblCellMar>
        </w:tblPrEx>
        <w:trPr>
          <w:wBefore w:w="0" w:type="auto"/>
          <w:tblCellSpacing w:w="0" w:type="dxa"/>
        </w:trPr>
        <w:tc>
          <w:tcPr>
            <w:tcW w:w="0" w:type="auto"/>
            <w:noWrap w:val="0"/>
            <w:vAlign w:val="center"/>
          </w:tcPr>
          <w:p w14:paraId="1C04258B">
            <w:r>
              <w:rPr>
                <w:rStyle w:val="10"/>
                <w:rFonts w:hint="eastAsia"/>
              </w:rPr>
              <w:t>质量保证期：</w:t>
            </w:r>
            <w:r>
              <w:rPr>
                <w:rStyle w:val="11"/>
                <w:rFonts w:hint="eastAsia"/>
              </w:rPr>
              <w:t>2年</w:t>
            </w:r>
          </w:p>
        </w:tc>
      </w:tr>
      <w:tr w14:paraId="4E1082E5">
        <w:tblPrEx>
          <w:tblCellMar>
            <w:top w:w="0" w:type="dxa"/>
            <w:left w:w="0" w:type="dxa"/>
            <w:bottom w:w="0" w:type="dxa"/>
            <w:right w:w="0" w:type="dxa"/>
          </w:tblCellMar>
        </w:tblPrEx>
        <w:trPr>
          <w:wBefore w:w="0" w:type="auto"/>
          <w:tblCellSpacing w:w="0" w:type="dxa"/>
        </w:trPr>
        <w:tc>
          <w:tcPr>
            <w:tcW w:w="0" w:type="auto"/>
            <w:noWrap w:val="0"/>
            <w:vAlign w:val="center"/>
          </w:tcPr>
          <w:p w14:paraId="559B6326">
            <w:r>
              <w:rPr>
                <w:rStyle w:val="10"/>
                <w:rFonts w:hint="eastAsia"/>
              </w:rPr>
              <w:t>备注：</w:t>
            </w:r>
          </w:p>
        </w:tc>
      </w:tr>
    </w:tbl>
    <w:p w14:paraId="64B049E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8474C99">
        <w:tblPrEx>
          <w:tblCellMar>
            <w:top w:w="0" w:type="dxa"/>
            <w:left w:w="0" w:type="dxa"/>
            <w:bottom w:w="0" w:type="dxa"/>
            <w:right w:w="0" w:type="dxa"/>
          </w:tblCellMar>
        </w:tblPrEx>
        <w:trPr>
          <w:wBefore w:w="0" w:type="auto"/>
          <w:tblCellSpacing w:w="0" w:type="dxa"/>
        </w:trPr>
        <w:tc>
          <w:tcPr>
            <w:tcW w:w="0" w:type="auto"/>
            <w:noWrap w:val="0"/>
            <w:vAlign w:val="center"/>
          </w:tcPr>
          <w:p w14:paraId="72C3D659">
            <w:r>
              <w:rPr>
                <w:rStyle w:val="10"/>
                <w:rFonts w:hint="eastAsia"/>
              </w:rPr>
              <w:t>登记证号：</w:t>
            </w:r>
            <w:r>
              <w:rPr>
                <w:rFonts w:hint="eastAsia"/>
              </w:rPr>
              <w:t>PD20211695</w:t>
            </w:r>
          </w:p>
        </w:tc>
      </w:tr>
      <w:tr w14:paraId="70C705B2">
        <w:tblPrEx>
          <w:tblCellMar>
            <w:top w:w="0" w:type="dxa"/>
            <w:left w:w="0" w:type="dxa"/>
            <w:bottom w:w="0" w:type="dxa"/>
            <w:right w:w="0" w:type="dxa"/>
          </w:tblCellMar>
        </w:tblPrEx>
        <w:trPr>
          <w:wBefore w:w="0" w:type="auto"/>
          <w:tblCellSpacing w:w="0" w:type="dxa"/>
        </w:trPr>
        <w:tc>
          <w:tcPr>
            <w:tcW w:w="0" w:type="auto"/>
            <w:noWrap w:val="0"/>
            <w:vAlign w:val="center"/>
          </w:tcPr>
          <w:p w14:paraId="160BCF93">
            <w:r>
              <w:rPr>
                <w:rStyle w:val="10"/>
                <w:rFonts w:hint="eastAsia"/>
              </w:rPr>
              <w:t>登记证持有人：</w:t>
            </w:r>
            <w:r>
              <w:rPr>
                <w:rFonts w:hint="eastAsia"/>
              </w:rPr>
              <w:t>齐齐哈尔华丰化工有限公司</w:t>
            </w:r>
          </w:p>
        </w:tc>
      </w:tr>
      <w:tr w14:paraId="635C1E93">
        <w:tblPrEx>
          <w:tblCellMar>
            <w:top w:w="0" w:type="dxa"/>
            <w:left w:w="0" w:type="dxa"/>
            <w:bottom w:w="0" w:type="dxa"/>
            <w:right w:w="0" w:type="dxa"/>
          </w:tblCellMar>
        </w:tblPrEx>
        <w:trPr>
          <w:wBefore w:w="0" w:type="auto"/>
          <w:tblCellSpacing w:w="0" w:type="dxa"/>
        </w:trPr>
        <w:tc>
          <w:tcPr>
            <w:tcW w:w="0" w:type="auto"/>
            <w:noWrap w:val="0"/>
            <w:vAlign w:val="center"/>
          </w:tcPr>
          <w:p w14:paraId="48EEA50D">
            <w:r>
              <w:rPr>
                <w:rStyle w:val="10"/>
                <w:rFonts w:hint="eastAsia"/>
              </w:rPr>
              <w:t>农药名称：</w:t>
            </w:r>
            <w:r>
              <w:rPr>
                <w:rFonts w:hint="eastAsia"/>
              </w:rPr>
              <w:t>噻虫·咯·霜灵</w:t>
            </w:r>
          </w:p>
        </w:tc>
      </w:tr>
      <w:tr w14:paraId="3DA6E87C">
        <w:tblPrEx>
          <w:tblCellMar>
            <w:top w:w="0" w:type="dxa"/>
            <w:left w:w="0" w:type="dxa"/>
            <w:bottom w:w="0" w:type="dxa"/>
            <w:right w:w="0" w:type="dxa"/>
          </w:tblCellMar>
        </w:tblPrEx>
        <w:trPr>
          <w:wBefore w:w="0" w:type="auto"/>
          <w:tblCellSpacing w:w="0" w:type="dxa"/>
        </w:trPr>
        <w:tc>
          <w:tcPr>
            <w:tcW w:w="0" w:type="auto"/>
            <w:noWrap w:val="0"/>
            <w:vAlign w:val="center"/>
          </w:tcPr>
          <w:p w14:paraId="3A7E5DA0">
            <w:r>
              <w:rPr>
                <w:rStyle w:val="10"/>
                <w:rFonts w:hint="eastAsia"/>
              </w:rPr>
              <w:t>剂型：</w:t>
            </w:r>
            <w:r>
              <w:rPr>
                <w:rFonts w:hint="eastAsia"/>
              </w:rPr>
              <w:t>种子处理悬浮剂</w:t>
            </w:r>
          </w:p>
        </w:tc>
      </w:tr>
      <w:tr w14:paraId="45021146">
        <w:tblPrEx>
          <w:tblCellMar>
            <w:top w:w="0" w:type="dxa"/>
            <w:left w:w="0" w:type="dxa"/>
            <w:bottom w:w="0" w:type="dxa"/>
            <w:right w:w="0" w:type="dxa"/>
          </w:tblCellMar>
        </w:tblPrEx>
        <w:trPr>
          <w:wBefore w:w="0" w:type="auto"/>
          <w:tblCellSpacing w:w="0" w:type="dxa"/>
        </w:trPr>
        <w:tc>
          <w:tcPr>
            <w:tcW w:w="0" w:type="auto"/>
            <w:noWrap w:val="0"/>
            <w:vAlign w:val="center"/>
          </w:tcPr>
          <w:p w14:paraId="21E6BDD8">
            <w:r>
              <w:rPr>
                <w:rStyle w:val="10"/>
                <w:rFonts w:hint="eastAsia"/>
              </w:rPr>
              <w:t>毒性及其标识：</w:t>
            </w:r>
            <w:r>
              <w:rPr>
                <w:rFonts w:hint="eastAsia"/>
              </w:rPr>
              <w:t xml:space="preserve"> </w:t>
            </w:r>
            <w:r>
              <w:rPr>
                <w:lang/>
              </w:rPr>
              <w:drawing>
                <wp:inline distT="0" distB="0" distL="114300" distR="114300">
                  <wp:extent cx="476250" cy="323850"/>
                  <wp:effectExtent l="0" t="0" r="0" b="0"/>
                  <wp:docPr id="149" name="图片 14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C4277F8">
        <w:tblPrEx>
          <w:tblCellMar>
            <w:top w:w="0" w:type="dxa"/>
            <w:left w:w="0" w:type="dxa"/>
            <w:bottom w:w="0" w:type="dxa"/>
            <w:right w:w="0" w:type="dxa"/>
          </w:tblCellMar>
        </w:tblPrEx>
        <w:trPr>
          <w:wBefore w:w="0" w:type="auto"/>
          <w:tblCellSpacing w:w="0" w:type="dxa"/>
        </w:trPr>
        <w:tc>
          <w:tcPr>
            <w:tcW w:w="0" w:type="auto"/>
            <w:noWrap w:val="0"/>
            <w:vAlign w:val="center"/>
          </w:tcPr>
          <w:p w14:paraId="7BBAEBD8">
            <w:r>
              <w:rPr>
                <w:rStyle w:val="10"/>
                <w:rFonts w:hint="eastAsia"/>
              </w:rPr>
              <w:t>总有效成分含量：</w:t>
            </w:r>
            <w:r>
              <w:rPr>
                <w:rFonts w:hint="eastAsia"/>
              </w:rPr>
              <w:t>25%</w:t>
            </w:r>
          </w:p>
        </w:tc>
      </w:tr>
      <w:tr w14:paraId="473EB20A">
        <w:tblPrEx>
          <w:tblCellMar>
            <w:top w:w="0" w:type="dxa"/>
            <w:left w:w="0" w:type="dxa"/>
            <w:bottom w:w="0" w:type="dxa"/>
            <w:right w:w="0" w:type="dxa"/>
          </w:tblCellMar>
        </w:tblPrEx>
        <w:trPr>
          <w:wBefore w:w="0" w:type="auto"/>
          <w:tblCellSpacing w:w="0" w:type="dxa"/>
        </w:trPr>
        <w:tc>
          <w:tcPr>
            <w:tcW w:w="0" w:type="auto"/>
            <w:noWrap w:val="0"/>
            <w:vAlign w:val="center"/>
          </w:tcPr>
          <w:p w14:paraId="2984FEB9">
            <w:r>
              <w:rPr>
                <w:rFonts w:hint="eastAsia"/>
              </w:rPr>
              <w:t xml:space="preserve">有效成分及其含量： </w:t>
            </w:r>
          </w:p>
          <w:p w14:paraId="221099A3">
            <w:r>
              <w:rPr>
                <w:rFonts w:hint="eastAsia"/>
              </w:rPr>
              <w:t xml:space="preserve">    咯菌腈1.1%    噻虫嗪22.2%    精甲霜灵1.7%    </w:t>
            </w:r>
          </w:p>
        </w:tc>
      </w:tr>
      <w:tr w14:paraId="211B354E">
        <w:tblPrEx>
          <w:tblCellMar>
            <w:top w:w="0" w:type="dxa"/>
            <w:left w:w="0" w:type="dxa"/>
            <w:bottom w:w="0" w:type="dxa"/>
            <w:right w:w="0" w:type="dxa"/>
          </w:tblCellMar>
        </w:tblPrEx>
        <w:trPr>
          <w:wBefore w:w="0" w:type="auto"/>
          <w:tblCellSpacing w:w="0" w:type="dxa"/>
        </w:trPr>
        <w:tc>
          <w:tcPr>
            <w:tcW w:w="0" w:type="auto"/>
            <w:noWrap w:val="0"/>
            <w:vAlign w:val="center"/>
          </w:tcPr>
          <w:p w14:paraId="6A8E95C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24508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AC7544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C7ABCF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9C779D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AF51D2">
                  <w:r>
                    <w:rPr>
                      <w:rStyle w:val="11"/>
                      <w:rFonts w:hint="eastAsia"/>
                    </w:rPr>
                    <w:t>施用方式</w:t>
                  </w:r>
                </w:p>
              </w:tc>
            </w:tr>
            <w:tr w14:paraId="3ACD3A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03C33F3">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07FEAB">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85409D">
                  <w:r>
                    <w:rPr>
                      <w:rStyle w:val="11"/>
                      <w:rFonts w:hint="eastAsia"/>
                    </w:rPr>
                    <w:t>500-700毫升/100千克种子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83F7A7">
                  <w:r>
                    <w:rPr>
                      <w:rStyle w:val="11"/>
                      <w:rFonts w:hint="eastAsia"/>
                    </w:rPr>
                    <w:t>种子包衣</w:t>
                  </w:r>
                </w:p>
              </w:tc>
            </w:tr>
            <w:tr w14:paraId="1B9D0E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7A411B7">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066706">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B7B8B7">
                  <w:r>
                    <w:rPr>
                      <w:rStyle w:val="11"/>
                      <w:rFonts w:hint="eastAsia"/>
                    </w:rPr>
                    <w:t>500-700毫升/100千克种子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2A31A4">
                  <w:r>
                    <w:rPr>
                      <w:rStyle w:val="11"/>
                      <w:rFonts w:hint="eastAsia"/>
                    </w:rPr>
                    <w:t>种子包衣</w:t>
                  </w:r>
                </w:p>
              </w:tc>
            </w:tr>
          </w:tbl>
          <w:p w14:paraId="0C8D74FB">
            <w:pPr>
              <w:rPr>
                <w:rFonts w:ascii="Times New Roman" w:hAnsi="Times New Roman" w:cs="Times New Roman"/>
                <w:sz w:val="20"/>
                <w:szCs w:val="20"/>
              </w:rPr>
            </w:pPr>
          </w:p>
        </w:tc>
      </w:tr>
      <w:tr w14:paraId="7E433D22">
        <w:tblPrEx>
          <w:tblCellMar>
            <w:top w:w="0" w:type="dxa"/>
            <w:left w:w="0" w:type="dxa"/>
            <w:bottom w:w="0" w:type="dxa"/>
            <w:right w:w="0" w:type="dxa"/>
          </w:tblCellMar>
        </w:tblPrEx>
        <w:trPr>
          <w:wBefore w:w="0" w:type="auto"/>
          <w:tblCellSpacing w:w="0" w:type="dxa"/>
        </w:trPr>
        <w:tc>
          <w:tcPr>
            <w:tcW w:w="0" w:type="auto"/>
            <w:noWrap w:val="0"/>
            <w:vAlign w:val="center"/>
          </w:tcPr>
          <w:p w14:paraId="2F4929F1">
            <w:r>
              <w:rPr>
                <w:rStyle w:val="10"/>
                <w:rFonts w:hint="eastAsia"/>
              </w:rPr>
              <w:t>使用技术要求:</w:t>
            </w:r>
            <w:r>
              <w:rPr>
                <w:rFonts w:hint="eastAsia"/>
              </w:rPr>
              <w:br w:type="textWrapping"/>
            </w:r>
            <w:r>
              <w:rPr>
                <w:rStyle w:val="11"/>
                <w:rFonts w:hint="eastAsia"/>
              </w:rPr>
              <w:t>1. 本产品既可用于种子公司进行专业化机械包衣，也可用于农户手工包衣。所用种子均需达到国家良种标准；2. 将药剂用适量清水稀释后与种子混合均匀，自然晾干后播种。3.播种时需考虑低温、大雨等不良环境影响，适时播种。4.配制好的药液应在24小时内使用。</w:t>
            </w:r>
          </w:p>
        </w:tc>
      </w:tr>
      <w:tr w14:paraId="6B7A258A">
        <w:tblPrEx>
          <w:tblCellMar>
            <w:top w:w="0" w:type="dxa"/>
            <w:left w:w="0" w:type="dxa"/>
            <w:bottom w:w="0" w:type="dxa"/>
            <w:right w:w="0" w:type="dxa"/>
          </w:tblCellMar>
        </w:tblPrEx>
        <w:trPr>
          <w:wBefore w:w="0" w:type="auto"/>
          <w:tblCellSpacing w:w="0" w:type="dxa"/>
        </w:trPr>
        <w:tc>
          <w:tcPr>
            <w:tcW w:w="0" w:type="auto"/>
            <w:noWrap w:val="0"/>
            <w:vAlign w:val="center"/>
          </w:tcPr>
          <w:p w14:paraId="0233F725">
            <w:r>
              <w:rPr>
                <w:rStyle w:val="10"/>
                <w:rFonts w:hint="eastAsia"/>
              </w:rPr>
              <w:t>产品性能:</w:t>
            </w:r>
            <w:r>
              <w:rPr>
                <w:rFonts w:hint="eastAsia"/>
              </w:rPr>
              <w:br w:type="textWrapping"/>
            </w:r>
            <w:r>
              <w:rPr>
                <w:rStyle w:val="11"/>
                <w:rFonts w:hint="eastAsia"/>
              </w:rPr>
              <w:t>本品为三元复配杀虫杀菌剂。其中噻虫嗪是一种烟碱类杀虫剂。用于种子处理，可被作物根迅速内吸，并传导到植株各部位。精甲霜灵为内吸性苯胺类化合物，对卵菌纲真菌如腐霉、绵霉等低等真菌引起的多种种传和土传病害有较好的防效。咯菌腈为非内吸苯吡咯类化合物，对子囊菌、担子菌、半知菌等许多病原菌引起的种传和土传病害有较好的防效。本品为可流动的悬浮液体，用于种子包衣处理后，三种有效成分在种子売周直接形成一层保护性药膜，有效的防治根腐病和蛴螬。</w:t>
            </w:r>
          </w:p>
        </w:tc>
      </w:tr>
      <w:tr w14:paraId="03D13801">
        <w:tblPrEx>
          <w:tblCellMar>
            <w:top w:w="0" w:type="dxa"/>
            <w:left w:w="0" w:type="dxa"/>
            <w:bottom w:w="0" w:type="dxa"/>
            <w:right w:w="0" w:type="dxa"/>
          </w:tblCellMar>
        </w:tblPrEx>
        <w:trPr>
          <w:wBefore w:w="0" w:type="auto"/>
          <w:tblCellSpacing w:w="0" w:type="dxa"/>
        </w:trPr>
        <w:tc>
          <w:tcPr>
            <w:tcW w:w="0" w:type="auto"/>
            <w:noWrap w:val="0"/>
            <w:vAlign w:val="center"/>
          </w:tcPr>
          <w:p w14:paraId="41044BAC">
            <w:r>
              <w:rPr>
                <w:rStyle w:val="10"/>
                <w:rFonts w:hint="eastAsia"/>
              </w:rPr>
              <w:t>注意事项：</w:t>
            </w:r>
            <w:r>
              <w:rPr>
                <w:rFonts w:hint="eastAsia"/>
              </w:rPr>
              <w:br w:type="textWrapping"/>
            </w:r>
            <w:r>
              <w:rPr>
                <w:rStyle w:val="11"/>
                <w:rFonts w:hint="eastAsia"/>
              </w:rPr>
              <w:t>1.包衣后的种子应尽早使用，禁止供人畜食用。2.处理过的种子必须放置在有明显标签的容器内。勿与食物、饲料放在一起，不得饲喂禽畜，更不得用来加工饲料或食品。 3.使用时应密切关注对附近蜂群的影响。鸟类保护区附近禁用。播种后必须覆土，严禁畜禽进入。 4.包衣及使用过程中所有的器具，使用后应彻底清洗。5.包衣过程中应注意个人防护，穿戴长衣长裤、帽子、口罩、手套等安全防护措施。用药后清洗手部、脸部及其它接触到药剂的身体部分。6.本品对鱼类等水生生物有毒，远离水产养殖区施药，禁止在河塘等水体中清洗施药器具。7.用过的容器要妥善处理，不可作他用，也不可随意丢弃。8.孕妇、哺乳期妇女及过敏者禁用，使用中有任何不良反应者及时就医。9.避免与氧化剂接触。</w:t>
            </w:r>
          </w:p>
        </w:tc>
      </w:tr>
      <w:tr w14:paraId="29FD9DBB">
        <w:tblPrEx>
          <w:tblCellMar>
            <w:top w:w="0" w:type="dxa"/>
            <w:left w:w="0" w:type="dxa"/>
            <w:bottom w:w="0" w:type="dxa"/>
            <w:right w:w="0" w:type="dxa"/>
          </w:tblCellMar>
        </w:tblPrEx>
        <w:trPr>
          <w:wBefore w:w="0" w:type="auto"/>
          <w:tblCellSpacing w:w="0" w:type="dxa"/>
        </w:trPr>
        <w:tc>
          <w:tcPr>
            <w:tcW w:w="0" w:type="auto"/>
            <w:noWrap w:val="0"/>
            <w:vAlign w:val="center"/>
          </w:tcPr>
          <w:p w14:paraId="5C7DC310">
            <w:r>
              <w:rPr>
                <w:rStyle w:val="10"/>
                <w:rFonts w:hint="eastAsia"/>
              </w:rPr>
              <w:t>中毒急救措施：</w:t>
            </w:r>
            <w:r>
              <w:rPr>
                <w:rFonts w:hint="eastAsia"/>
              </w:rPr>
              <w:br w:type="textWrapping"/>
            </w:r>
            <w:r>
              <w:rPr>
                <w:rStyle w:val="11"/>
                <w:rFonts w:hint="eastAsia"/>
              </w:rPr>
              <w:t>本品对眼睛有刺激作用，使用时避免药剂直接接触到眼睛。皮肤接触：用清水和肥皂彻底清洗；溅入眼睛：请立即用大量清水冲洗至少15分钟并就医；吸入：将病人移至空气清新处；误服：发生中毒现象时，请立即携此标签就医，对症治疗。</w:t>
            </w:r>
          </w:p>
        </w:tc>
      </w:tr>
      <w:tr w14:paraId="666BC7D6">
        <w:tblPrEx>
          <w:tblCellMar>
            <w:top w:w="0" w:type="dxa"/>
            <w:left w:w="0" w:type="dxa"/>
            <w:bottom w:w="0" w:type="dxa"/>
            <w:right w:w="0" w:type="dxa"/>
          </w:tblCellMar>
        </w:tblPrEx>
        <w:trPr>
          <w:wBefore w:w="0" w:type="auto"/>
          <w:tblCellSpacing w:w="0" w:type="dxa"/>
        </w:trPr>
        <w:tc>
          <w:tcPr>
            <w:tcW w:w="0" w:type="auto"/>
            <w:noWrap w:val="0"/>
            <w:vAlign w:val="center"/>
          </w:tcPr>
          <w:p w14:paraId="7DDAA5A2">
            <w:r>
              <w:rPr>
                <w:rStyle w:val="10"/>
                <w:rFonts w:hint="eastAsia"/>
              </w:rPr>
              <w:t>储存和运输方法：</w:t>
            </w:r>
            <w:r>
              <w:rPr>
                <w:rFonts w:hint="eastAsia"/>
              </w:rPr>
              <w:br w:type="textWrapping"/>
            </w:r>
            <w:r>
              <w:rPr>
                <w:rStyle w:val="11"/>
                <w:rFonts w:hint="eastAsia"/>
              </w:rPr>
              <w:t>本品应在0～35℃下储存，防止受冻。，置于儿童触及不到之处，并加锁。勿与食品、饮料、饲料、种子、粮食等其他物品同储同运，严防人畜中毒。运输中防冻防雨。</w:t>
            </w:r>
          </w:p>
        </w:tc>
      </w:tr>
      <w:tr w14:paraId="1A2A50F6">
        <w:tblPrEx>
          <w:tblCellMar>
            <w:top w:w="0" w:type="dxa"/>
            <w:left w:w="0" w:type="dxa"/>
            <w:bottom w:w="0" w:type="dxa"/>
            <w:right w:w="0" w:type="dxa"/>
          </w:tblCellMar>
        </w:tblPrEx>
        <w:trPr>
          <w:wBefore w:w="0" w:type="auto"/>
          <w:tblCellSpacing w:w="0" w:type="dxa"/>
        </w:trPr>
        <w:tc>
          <w:tcPr>
            <w:tcW w:w="0" w:type="auto"/>
            <w:noWrap w:val="0"/>
            <w:vAlign w:val="center"/>
          </w:tcPr>
          <w:p w14:paraId="4AB0E728">
            <w:r>
              <w:rPr>
                <w:rStyle w:val="10"/>
                <w:rFonts w:hint="eastAsia"/>
              </w:rPr>
              <w:t>质量保证期：</w:t>
            </w:r>
            <w:r>
              <w:rPr>
                <w:rStyle w:val="11"/>
                <w:rFonts w:hint="eastAsia"/>
              </w:rPr>
              <w:t>2年</w:t>
            </w:r>
          </w:p>
        </w:tc>
      </w:tr>
      <w:tr w14:paraId="22A9BE0B">
        <w:tblPrEx>
          <w:tblCellMar>
            <w:top w:w="0" w:type="dxa"/>
            <w:left w:w="0" w:type="dxa"/>
            <w:bottom w:w="0" w:type="dxa"/>
            <w:right w:w="0" w:type="dxa"/>
          </w:tblCellMar>
        </w:tblPrEx>
        <w:trPr>
          <w:wBefore w:w="0" w:type="auto"/>
          <w:tblCellSpacing w:w="0" w:type="dxa"/>
        </w:trPr>
        <w:tc>
          <w:tcPr>
            <w:tcW w:w="0" w:type="auto"/>
            <w:noWrap w:val="0"/>
            <w:vAlign w:val="center"/>
          </w:tcPr>
          <w:p w14:paraId="2868943B">
            <w:r>
              <w:rPr>
                <w:rStyle w:val="10"/>
                <w:rFonts w:hint="eastAsia"/>
              </w:rPr>
              <w:t>备注：</w:t>
            </w:r>
          </w:p>
        </w:tc>
      </w:tr>
    </w:tbl>
    <w:p w14:paraId="5584925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41E9A19">
        <w:tblPrEx>
          <w:tblCellMar>
            <w:top w:w="0" w:type="dxa"/>
            <w:left w:w="0" w:type="dxa"/>
            <w:bottom w:w="0" w:type="dxa"/>
            <w:right w:w="0" w:type="dxa"/>
          </w:tblCellMar>
        </w:tblPrEx>
        <w:trPr>
          <w:wBefore w:w="0" w:type="auto"/>
          <w:tblCellSpacing w:w="0" w:type="dxa"/>
        </w:trPr>
        <w:tc>
          <w:tcPr>
            <w:tcW w:w="0" w:type="auto"/>
            <w:noWrap w:val="0"/>
            <w:vAlign w:val="center"/>
          </w:tcPr>
          <w:p w14:paraId="740CD37B">
            <w:r>
              <w:rPr>
                <w:rStyle w:val="10"/>
                <w:rFonts w:hint="eastAsia"/>
              </w:rPr>
              <w:t>登记证号：</w:t>
            </w:r>
            <w:r>
              <w:rPr>
                <w:rFonts w:hint="eastAsia"/>
              </w:rPr>
              <w:t>PD20211997</w:t>
            </w:r>
          </w:p>
        </w:tc>
      </w:tr>
      <w:tr w14:paraId="4FCDB0D8">
        <w:tblPrEx>
          <w:tblCellMar>
            <w:top w:w="0" w:type="dxa"/>
            <w:left w:w="0" w:type="dxa"/>
            <w:bottom w:w="0" w:type="dxa"/>
            <w:right w:w="0" w:type="dxa"/>
          </w:tblCellMar>
        </w:tblPrEx>
        <w:trPr>
          <w:wBefore w:w="0" w:type="auto"/>
          <w:tblCellSpacing w:w="0" w:type="dxa"/>
        </w:trPr>
        <w:tc>
          <w:tcPr>
            <w:tcW w:w="0" w:type="auto"/>
            <w:noWrap w:val="0"/>
            <w:vAlign w:val="center"/>
          </w:tcPr>
          <w:p w14:paraId="0907DE8D">
            <w:r>
              <w:rPr>
                <w:rStyle w:val="10"/>
                <w:rFonts w:hint="eastAsia"/>
              </w:rPr>
              <w:t>登记证持有人：</w:t>
            </w:r>
            <w:r>
              <w:rPr>
                <w:rFonts w:hint="eastAsia"/>
              </w:rPr>
              <w:t>青岛中达农业科技有限公司</w:t>
            </w:r>
          </w:p>
        </w:tc>
      </w:tr>
      <w:tr w14:paraId="23A2CF65">
        <w:tblPrEx>
          <w:tblCellMar>
            <w:top w:w="0" w:type="dxa"/>
            <w:left w:w="0" w:type="dxa"/>
            <w:bottom w:w="0" w:type="dxa"/>
            <w:right w:w="0" w:type="dxa"/>
          </w:tblCellMar>
        </w:tblPrEx>
        <w:trPr>
          <w:wBefore w:w="0" w:type="auto"/>
          <w:tblCellSpacing w:w="0" w:type="dxa"/>
        </w:trPr>
        <w:tc>
          <w:tcPr>
            <w:tcW w:w="0" w:type="auto"/>
            <w:noWrap w:val="0"/>
            <w:vAlign w:val="center"/>
          </w:tcPr>
          <w:p w14:paraId="763A98DD">
            <w:r>
              <w:rPr>
                <w:rStyle w:val="10"/>
                <w:rFonts w:hint="eastAsia"/>
              </w:rPr>
              <w:t>农药名称：</w:t>
            </w:r>
            <w:r>
              <w:rPr>
                <w:rFonts w:hint="eastAsia"/>
              </w:rPr>
              <w:t>春雷·喹啉铜</w:t>
            </w:r>
          </w:p>
        </w:tc>
      </w:tr>
      <w:tr w14:paraId="78060687">
        <w:tblPrEx>
          <w:tblCellMar>
            <w:top w:w="0" w:type="dxa"/>
            <w:left w:w="0" w:type="dxa"/>
            <w:bottom w:w="0" w:type="dxa"/>
            <w:right w:w="0" w:type="dxa"/>
          </w:tblCellMar>
        </w:tblPrEx>
        <w:trPr>
          <w:wBefore w:w="0" w:type="auto"/>
          <w:tblCellSpacing w:w="0" w:type="dxa"/>
        </w:trPr>
        <w:tc>
          <w:tcPr>
            <w:tcW w:w="0" w:type="auto"/>
            <w:noWrap w:val="0"/>
            <w:vAlign w:val="center"/>
          </w:tcPr>
          <w:p w14:paraId="031AA160">
            <w:r>
              <w:rPr>
                <w:rStyle w:val="10"/>
                <w:rFonts w:hint="eastAsia"/>
              </w:rPr>
              <w:t>剂型：</w:t>
            </w:r>
            <w:r>
              <w:rPr>
                <w:rFonts w:hint="eastAsia"/>
              </w:rPr>
              <w:t>悬浮剂</w:t>
            </w:r>
          </w:p>
        </w:tc>
      </w:tr>
      <w:tr w14:paraId="360BB5E7">
        <w:tblPrEx>
          <w:tblCellMar>
            <w:top w:w="0" w:type="dxa"/>
            <w:left w:w="0" w:type="dxa"/>
            <w:bottom w:w="0" w:type="dxa"/>
            <w:right w:w="0" w:type="dxa"/>
          </w:tblCellMar>
        </w:tblPrEx>
        <w:trPr>
          <w:wBefore w:w="0" w:type="auto"/>
          <w:tblCellSpacing w:w="0" w:type="dxa"/>
        </w:trPr>
        <w:tc>
          <w:tcPr>
            <w:tcW w:w="0" w:type="auto"/>
            <w:noWrap w:val="0"/>
            <w:vAlign w:val="center"/>
          </w:tcPr>
          <w:p w14:paraId="5D88736C">
            <w:r>
              <w:rPr>
                <w:rStyle w:val="10"/>
                <w:rFonts w:hint="eastAsia"/>
              </w:rPr>
              <w:t>毒性及其标识：</w:t>
            </w:r>
            <w:r>
              <w:rPr>
                <w:rFonts w:hint="eastAsia"/>
              </w:rPr>
              <w:t xml:space="preserve"> </w:t>
            </w:r>
            <w:r>
              <w:rPr>
                <w:lang/>
              </w:rPr>
              <w:drawing>
                <wp:inline distT="0" distB="0" distL="114300" distR="114300">
                  <wp:extent cx="476250" cy="323850"/>
                  <wp:effectExtent l="0" t="0" r="0" b="0"/>
                  <wp:docPr id="150" name="图片 15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39FAB88">
        <w:tblPrEx>
          <w:tblCellMar>
            <w:top w:w="0" w:type="dxa"/>
            <w:left w:w="0" w:type="dxa"/>
            <w:bottom w:w="0" w:type="dxa"/>
            <w:right w:w="0" w:type="dxa"/>
          </w:tblCellMar>
        </w:tblPrEx>
        <w:trPr>
          <w:wBefore w:w="0" w:type="auto"/>
          <w:tblCellSpacing w:w="0" w:type="dxa"/>
        </w:trPr>
        <w:tc>
          <w:tcPr>
            <w:tcW w:w="0" w:type="auto"/>
            <w:noWrap w:val="0"/>
            <w:vAlign w:val="center"/>
          </w:tcPr>
          <w:p w14:paraId="10C46552">
            <w:r>
              <w:rPr>
                <w:rStyle w:val="10"/>
                <w:rFonts w:hint="eastAsia"/>
              </w:rPr>
              <w:t>总有效成分含量：</w:t>
            </w:r>
            <w:r>
              <w:rPr>
                <w:rFonts w:hint="eastAsia"/>
              </w:rPr>
              <w:t>36%</w:t>
            </w:r>
          </w:p>
        </w:tc>
      </w:tr>
      <w:tr w14:paraId="79BF1D3F">
        <w:tblPrEx>
          <w:tblCellMar>
            <w:top w:w="0" w:type="dxa"/>
            <w:left w:w="0" w:type="dxa"/>
            <w:bottom w:w="0" w:type="dxa"/>
            <w:right w:w="0" w:type="dxa"/>
          </w:tblCellMar>
        </w:tblPrEx>
        <w:trPr>
          <w:wBefore w:w="0" w:type="auto"/>
          <w:tblCellSpacing w:w="0" w:type="dxa"/>
        </w:trPr>
        <w:tc>
          <w:tcPr>
            <w:tcW w:w="0" w:type="auto"/>
            <w:noWrap w:val="0"/>
            <w:vAlign w:val="center"/>
          </w:tcPr>
          <w:p w14:paraId="589FE413">
            <w:r>
              <w:rPr>
                <w:rFonts w:hint="eastAsia"/>
              </w:rPr>
              <w:t xml:space="preserve">有效成分及其含量： </w:t>
            </w:r>
          </w:p>
          <w:p w14:paraId="2B90FF0F">
            <w:r>
              <w:rPr>
                <w:rFonts w:hint="eastAsia"/>
              </w:rPr>
              <w:t xml:space="preserve">    春雷霉素3%    喹啉铜33%    </w:t>
            </w:r>
          </w:p>
        </w:tc>
      </w:tr>
      <w:tr w14:paraId="1C6D27D9">
        <w:tblPrEx>
          <w:tblCellMar>
            <w:top w:w="0" w:type="dxa"/>
            <w:left w:w="0" w:type="dxa"/>
            <w:bottom w:w="0" w:type="dxa"/>
            <w:right w:w="0" w:type="dxa"/>
          </w:tblCellMar>
        </w:tblPrEx>
        <w:trPr>
          <w:wBefore w:w="0" w:type="auto"/>
          <w:tblCellSpacing w:w="0" w:type="dxa"/>
        </w:trPr>
        <w:tc>
          <w:tcPr>
            <w:tcW w:w="0" w:type="auto"/>
            <w:noWrap w:val="0"/>
            <w:vAlign w:val="center"/>
          </w:tcPr>
          <w:p w14:paraId="53EF015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76516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D70063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759404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AD9658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0F16325">
                  <w:r>
                    <w:rPr>
                      <w:rStyle w:val="11"/>
                      <w:rFonts w:hint="eastAsia"/>
                    </w:rPr>
                    <w:t>施用方式</w:t>
                  </w:r>
                </w:p>
              </w:tc>
            </w:tr>
            <w:tr w14:paraId="681B02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ADC244A">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5D26C2">
                  <w:r>
                    <w:rPr>
                      <w:rStyle w:val="11"/>
                      <w:rFonts w:hint="eastAsia"/>
                    </w:rPr>
                    <w:t>细菌性角斑病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2F29B0">
                  <w:r>
                    <w:rPr>
                      <w:rStyle w:val="11"/>
                      <w:rFonts w:hint="eastAsia"/>
                    </w:rPr>
                    <w:t>35-55毫升/亩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929FCF">
                  <w:r>
                    <w:rPr>
                      <w:rStyle w:val="11"/>
                      <w:rFonts w:hint="eastAsia"/>
                    </w:rPr>
                    <w:t>喷雾</w:t>
                  </w:r>
                </w:p>
              </w:tc>
            </w:tr>
          </w:tbl>
          <w:p w14:paraId="1596B401">
            <w:pPr>
              <w:rPr>
                <w:rFonts w:ascii="Times New Roman" w:hAnsi="Times New Roman" w:cs="Times New Roman"/>
                <w:sz w:val="20"/>
                <w:szCs w:val="20"/>
              </w:rPr>
            </w:pPr>
          </w:p>
        </w:tc>
      </w:tr>
      <w:tr w14:paraId="3B052BA9">
        <w:tblPrEx>
          <w:tblCellMar>
            <w:top w:w="0" w:type="dxa"/>
            <w:left w:w="0" w:type="dxa"/>
            <w:bottom w:w="0" w:type="dxa"/>
            <w:right w:w="0" w:type="dxa"/>
          </w:tblCellMar>
        </w:tblPrEx>
        <w:trPr>
          <w:wBefore w:w="0" w:type="auto"/>
          <w:tblCellSpacing w:w="0" w:type="dxa"/>
        </w:trPr>
        <w:tc>
          <w:tcPr>
            <w:tcW w:w="0" w:type="auto"/>
            <w:noWrap w:val="0"/>
            <w:vAlign w:val="center"/>
          </w:tcPr>
          <w:p w14:paraId="4042B172">
            <w:r>
              <w:rPr>
                <w:rStyle w:val="10"/>
                <w:rFonts w:hint="eastAsia"/>
              </w:rPr>
              <w:t>使用技术要求:</w:t>
            </w:r>
            <w:r>
              <w:rPr>
                <w:rFonts w:hint="eastAsia"/>
              </w:rPr>
              <w:br w:type="textWrapping"/>
            </w:r>
            <w:r>
              <w:rPr>
                <w:rStyle w:val="11"/>
                <w:rFonts w:hint="eastAsia"/>
              </w:rPr>
              <w:t>1.本品应在黄瓜细菌性角斑病发病前或发病初期施药，可施药2次，间隔7天左右。喷药应注意均匀覆盖全株，须使用足量药液。 2.大风天或预计1小时内有雨，请勿施药。 3.本品在黄瓜上使用的安全间隔期为3天，每季作物最多使用次数为2次。</w:t>
            </w:r>
          </w:p>
        </w:tc>
      </w:tr>
      <w:tr w14:paraId="3E64F056">
        <w:tblPrEx>
          <w:tblCellMar>
            <w:top w:w="0" w:type="dxa"/>
            <w:left w:w="0" w:type="dxa"/>
            <w:bottom w:w="0" w:type="dxa"/>
            <w:right w:w="0" w:type="dxa"/>
          </w:tblCellMar>
        </w:tblPrEx>
        <w:trPr>
          <w:wBefore w:w="0" w:type="auto"/>
          <w:tblCellSpacing w:w="0" w:type="dxa"/>
        </w:trPr>
        <w:tc>
          <w:tcPr>
            <w:tcW w:w="0" w:type="auto"/>
            <w:noWrap w:val="0"/>
            <w:vAlign w:val="center"/>
          </w:tcPr>
          <w:p w14:paraId="6AF4CC42">
            <w:r>
              <w:rPr>
                <w:rStyle w:val="10"/>
                <w:rFonts w:hint="eastAsia"/>
              </w:rPr>
              <w:t>产品性能:</w:t>
            </w:r>
            <w:r>
              <w:rPr>
                <w:rFonts w:hint="eastAsia"/>
              </w:rPr>
              <w:br w:type="textWrapping"/>
            </w:r>
            <w:r>
              <w:rPr>
                <w:rStyle w:val="11"/>
                <w:rFonts w:hint="eastAsia"/>
              </w:rPr>
              <w:t>本品是春雷霉素与喹啉铜的混配制剂，春雷霉素是农用抗菌素，具有较强的内吸性，该药主要干扰氨基酸的代谢酯酶系统，从而影响蛋白质的合成，抑制菌丝伸长和造成细胞颗粒化，但对孢子萌发无影响。喹啉铜是一种低残留的有机铜</w:t>
            </w:r>
            <w:r>
              <w:rPr>
                <w:rStyle w:val="11"/>
                <w:rFonts w:hint="eastAsia"/>
                <w:lang w:eastAsia="zh-CN"/>
              </w:rPr>
              <w:t>螯合</w:t>
            </w:r>
            <w:r>
              <w:rPr>
                <w:rStyle w:val="11"/>
                <w:rFonts w:hint="eastAsia"/>
              </w:rPr>
              <w:t>物，对真菌、细菌性等病害具有良好预防和治疗作用。在作物表面形成一层严密的保护膜，抑制病菌萌发和侵入，从而达到防病治病的目的。</w:t>
            </w:r>
          </w:p>
        </w:tc>
      </w:tr>
      <w:tr w14:paraId="00394536">
        <w:tblPrEx>
          <w:tblCellMar>
            <w:top w:w="0" w:type="dxa"/>
            <w:left w:w="0" w:type="dxa"/>
            <w:bottom w:w="0" w:type="dxa"/>
            <w:right w:w="0" w:type="dxa"/>
          </w:tblCellMar>
        </w:tblPrEx>
        <w:trPr>
          <w:wBefore w:w="0" w:type="auto"/>
          <w:tblCellSpacing w:w="0" w:type="dxa"/>
        </w:trPr>
        <w:tc>
          <w:tcPr>
            <w:tcW w:w="0" w:type="auto"/>
            <w:noWrap w:val="0"/>
            <w:vAlign w:val="center"/>
          </w:tcPr>
          <w:p w14:paraId="366CEADD">
            <w:r>
              <w:rPr>
                <w:rStyle w:val="10"/>
                <w:rFonts w:hint="eastAsia"/>
              </w:rPr>
              <w:t>注意事项：</w:t>
            </w:r>
            <w:r>
              <w:rPr>
                <w:rFonts w:hint="eastAsia"/>
              </w:rPr>
              <w:br w:type="textWrapping"/>
            </w:r>
            <w:r>
              <w:rPr>
                <w:rStyle w:val="11"/>
                <w:rFonts w:hint="eastAsia"/>
              </w:rPr>
              <w:t>1.施用时穿戴长衣、长裤、帽子、口罩、手套等安全防护措施，请勿吸烟及饮食；施用后及时清洗外露的皮肤、用过的器具和污染的衣物，废液禁止排入河塘等水域；对眼睛有刺激，使用时需做好防护措施。2.本品对鱼类等水生生物毒性较高，禁止在河塘等水体中清洗施药器具，远离水产养殖区、河塘等水体施药；药液及其废液不得污染各类水域、土壤等环境。勿将药液或空包装弃于水中或在河塘中清洗施药器具，避免影响鱼类等水生生物和污染水源。3.用过的容器应妥善处理，不可做他用，也不可随意丢弃。4.孕妇和哺乳期妇女避免接触本品。5.建议与其他作用机制不同的杀菌剂轮换使用。6.避免与还原剂和氧化剂接触。</w:t>
            </w:r>
          </w:p>
        </w:tc>
      </w:tr>
      <w:tr w14:paraId="3714E45B">
        <w:tblPrEx>
          <w:tblCellMar>
            <w:top w:w="0" w:type="dxa"/>
            <w:left w:w="0" w:type="dxa"/>
            <w:bottom w:w="0" w:type="dxa"/>
            <w:right w:w="0" w:type="dxa"/>
          </w:tblCellMar>
        </w:tblPrEx>
        <w:trPr>
          <w:wBefore w:w="0" w:type="auto"/>
          <w:tblCellSpacing w:w="0" w:type="dxa"/>
        </w:trPr>
        <w:tc>
          <w:tcPr>
            <w:tcW w:w="0" w:type="auto"/>
            <w:noWrap w:val="0"/>
            <w:vAlign w:val="center"/>
          </w:tcPr>
          <w:p w14:paraId="1F419343">
            <w:r>
              <w:rPr>
                <w:rStyle w:val="10"/>
                <w:rFonts w:hint="eastAsia"/>
              </w:rPr>
              <w:t>中毒急救措施：</w:t>
            </w:r>
            <w:r>
              <w:rPr>
                <w:rFonts w:hint="eastAsia"/>
              </w:rPr>
              <w:br w:type="textWrapping"/>
            </w:r>
            <w:r>
              <w:rPr>
                <w:rStyle w:val="11"/>
                <w:rFonts w:hint="eastAsia"/>
              </w:rPr>
              <w:t>对眼睛有刺激性，使用时避免接触眼睛。 急救措施：使用中或使用后如果感到不适，应立即停止工作，采取急救措施，并携带标签送医院就诊。1.皮肤接触：若本产品溅到皮肤上，应以大量清水冲洗；2.本品对眼睛有刺激性，眼睛溅入：立即用清水冲洗至少15分钟；3.吸入：应移至空气新鲜处；4.误食：经口误服者应立即催吐，并送医院诊治，进行对症治疗。</w:t>
            </w:r>
          </w:p>
        </w:tc>
      </w:tr>
      <w:tr w14:paraId="0C194709">
        <w:tblPrEx>
          <w:tblCellMar>
            <w:top w:w="0" w:type="dxa"/>
            <w:left w:w="0" w:type="dxa"/>
            <w:bottom w:w="0" w:type="dxa"/>
            <w:right w:w="0" w:type="dxa"/>
          </w:tblCellMar>
        </w:tblPrEx>
        <w:trPr>
          <w:wBefore w:w="0" w:type="auto"/>
          <w:tblCellSpacing w:w="0" w:type="dxa"/>
        </w:trPr>
        <w:tc>
          <w:tcPr>
            <w:tcW w:w="0" w:type="auto"/>
            <w:noWrap w:val="0"/>
            <w:vAlign w:val="center"/>
          </w:tcPr>
          <w:p w14:paraId="51EFF99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140F1F88">
        <w:tblPrEx>
          <w:tblCellMar>
            <w:top w:w="0" w:type="dxa"/>
            <w:left w:w="0" w:type="dxa"/>
            <w:bottom w:w="0" w:type="dxa"/>
            <w:right w:w="0" w:type="dxa"/>
          </w:tblCellMar>
        </w:tblPrEx>
        <w:trPr>
          <w:wBefore w:w="0" w:type="auto"/>
          <w:tblCellSpacing w:w="0" w:type="dxa"/>
        </w:trPr>
        <w:tc>
          <w:tcPr>
            <w:tcW w:w="0" w:type="auto"/>
            <w:noWrap w:val="0"/>
            <w:vAlign w:val="center"/>
          </w:tcPr>
          <w:p w14:paraId="79515358">
            <w:r>
              <w:rPr>
                <w:rStyle w:val="10"/>
                <w:rFonts w:hint="eastAsia"/>
              </w:rPr>
              <w:t>质量保证期：</w:t>
            </w:r>
            <w:r>
              <w:rPr>
                <w:rStyle w:val="11"/>
                <w:rFonts w:hint="eastAsia"/>
              </w:rPr>
              <w:t>2年</w:t>
            </w:r>
          </w:p>
        </w:tc>
      </w:tr>
      <w:tr w14:paraId="46DAD463">
        <w:tblPrEx>
          <w:tblCellMar>
            <w:top w:w="0" w:type="dxa"/>
            <w:left w:w="0" w:type="dxa"/>
            <w:bottom w:w="0" w:type="dxa"/>
            <w:right w:w="0" w:type="dxa"/>
          </w:tblCellMar>
        </w:tblPrEx>
        <w:trPr>
          <w:wBefore w:w="0" w:type="auto"/>
          <w:tblCellSpacing w:w="0" w:type="dxa"/>
        </w:trPr>
        <w:tc>
          <w:tcPr>
            <w:tcW w:w="0" w:type="auto"/>
            <w:noWrap w:val="0"/>
            <w:vAlign w:val="center"/>
          </w:tcPr>
          <w:p w14:paraId="4F152B07">
            <w:r>
              <w:rPr>
                <w:rStyle w:val="10"/>
                <w:rFonts w:hint="eastAsia"/>
              </w:rPr>
              <w:t>备注：</w:t>
            </w:r>
          </w:p>
        </w:tc>
      </w:tr>
    </w:tbl>
    <w:p w14:paraId="1ACB8C1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6784719">
        <w:tblPrEx>
          <w:tblCellMar>
            <w:top w:w="0" w:type="dxa"/>
            <w:left w:w="0" w:type="dxa"/>
            <w:bottom w:w="0" w:type="dxa"/>
            <w:right w:w="0" w:type="dxa"/>
          </w:tblCellMar>
        </w:tblPrEx>
        <w:trPr>
          <w:wBefore w:w="0" w:type="auto"/>
          <w:tblCellSpacing w:w="0" w:type="dxa"/>
        </w:trPr>
        <w:tc>
          <w:tcPr>
            <w:tcW w:w="0" w:type="auto"/>
            <w:noWrap w:val="0"/>
            <w:vAlign w:val="center"/>
          </w:tcPr>
          <w:p w14:paraId="10379B58">
            <w:r>
              <w:rPr>
                <w:rStyle w:val="10"/>
                <w:rFonts w:hint="eastAsia"/>
              </w:rPr>
              <w:t>登记证号：</w:t>
            </w:r>
            <w:r>
              <w:rPr>
                <w:rFonts w:hint="eastAsia"/>
              </w:rPr>
              <w:t>PD20211900</w:t>
            </w:r>
          </w:p>
        </w:tc>
      </w:tr>
      <w:tr w14:paraId="1D3A45D6">
        <w:tblPrEx>
          <w:tblCellMar>
            <w:top w:w="0" w:type="dxa"/>
            <w:left w:w="0" w:type="dxa"/>
            <w:bottom w:w="0" w:type="dxa"/>
            <w:right w:w="0" w:type="dxa"/>
          </w:tblCellMar>
        </w:tblPrEx>
        <w:trPr>
          <w:wBefore w:w="0" w:type="auto"/>
          <w:tblCellSpacing w:w="0" w:type="dxa"/>
        </w:trPr>
        <w:tc>
          <w:tcPr>
            <w:tcW w:w="0" w:type="auto"/>
            <w:noWrap w:val="0"/>
            <w:vAlign w:val="center"/>
          </w:tcPr>
          <w:p w14:paraId="22A26DBA">
            <w:r>
              <w:rPr>
                <w:rStyle w:val="10"/>
                <w:rFonts w:hint="eastAsia"/>
              </w:rPr>
              <w:t>登记证持有人：</w:t>
            </w:r>
            <w:r>
              <w:rPr>
                <w:rFonts w:hint="eastAsia"/>
              </w:rPr>
              <w:t>郑州先利达化工有限公司</w:t>
            </w:r>
          </w:p>
        </w:tc>
      </w:tr>
      <w:tr w14:paraId="7DEF8F66">
        <w:tblPrEx>
          <w:tblCellMar>
            <w:top w:w="0" w:type="dxa"/>
            <w:left w:w="0" w:type="dxa"/>
            <w:bottom w:w="0" w:type="dxa"/>
            <w:right w:w="0" w:type="dxa"/>
          </w:tblCellMar>
        </w:tblPrEx>
        <w:trPr>
          <w:wBefore w:w="0" w:type="auto"/>
          <w:tblCellSpacing w:w="0" w:type="dxa"/>
        </w:trPr>
        <w:tc>
          <w:tcPr>
            <w:tcW w:w="0" w:type="auto"/>
            <w:noWrap w:val="0"/>
            <w:vAlign w:val="center"/>
          </w:tcPr>
          <w:p w14:paraId="2DDF5750">
            <w:r>
              <w:rPr>
                <w:rStyle w:val="10"/>
                <w:rFonts w:hint="eastAsia"/>
              </w:rPr>
              <w:t>农药名称：</w:t>
            </w:r>
            <w:r>
              <w:rPr>
                <w:rFonts w:hint="eastAsia"/>
              </w:rPr>
              <w:t>咯菌·噁霉灵</w:t>
            </w:r>
          </w:p>
        </w:tc>
      </w:tr>
      <w:tr w14:paraId="16A879EE">
        <w:tblPrEx>
          <w:tblCellMar>
            <w:top w:w="0" w:type="dxa"/>
            <w:left w:w="0" w:type="dxa"/>
            <w:bottom w:w="0" w:type="dxa"/>
            <w:right w:w="0" w:type="dxa"/>
          </w:tblCellMar>
        </w:tblPrEx>
        <w:trPr>
          <w:wBefore w:w="0" w:type="auto"/>
          <w:tblCellSpacing w:w="0" w:type="dxa"/>
        </w:trPr>
        <w:tc>
          <w:tcPr>
            <w:tcW w:w="0" w:type="auto"/>
            <w:noWrap w:val="0"/>
            <w:vAlign w:val="center"/>
          </w:tcPr>
          <w:p w14:paraId="22651FD3">
            <w:r>
              <w:rPr>
                <w:rStyle w:val="10"/>
                <w:rFonts w:hint="eastAsia"/>
              </w:rPr>
              <w:t>剂型：</w:t>
            </w:r>
            <w:r>
              <w:rPr>
                <w:rFonts w:hint="eastAsia"/>
              </w:rPr>
              <w:t>颗粒剂</w:t>
            </w:r>
          </w:p>
        </w:tc>
      </w:tr>
      <w:tr w14:paraId="69FA5FDA">
        <w:tblPrEx>
          <w:tblCellMar>
            <w:top w:w="0" w:type="dxa"/>
            <w:left w:w="0" w:type="dxa"/>
            <w:bottom w:w="0" w:type="dxa"/>
            <w:right w:w="0" w:type="dxa"/>
          </w:tblCellMar>
        </w:tblPrEx>
        <w:trPr>
          <w:wBefore w:w="0" w:type="auto"/>
          <w:tblCellSpacing w:w="0" w:type="dxa"/>
        </w:trPr>
        <w:tc>
          <w:tcPr>
            <w:tcW w:w="0" w:type="auto"/>
            <w:noWrap w:val="0"/>
            <w:vAlign w:val="center"/>
          </w:tcPr>
          <w:p w14:paraId="10A7FAC3">
            <w:r>
              <w:rPr>
                <w:rStyle w:val="10"/>
                <w:rFonts w:hint="eastAsia"/>
              </w:rPr>
              <w:t>毒性及其标识：</w:t>
            </w:r>
            <w:r>
              <w:rPr>
                <w:rFonts w:hint="eastAsia"/>
              </w:rPr>
              <w:t xml:space="preserve"> 微毒 </w:t>
            </w:r>
          </w:p>
        </w:tc>
      </w:tr>
      <w:tr w14:paraId="7D72198B">
        <w:tblPrEx>
          <w:tblCellMar>
            <w:top w:w="0" w:type="dxa"/>
            <w:left w:w="0" w:type="dxa"/>
            <w:bottom w:w="0" w:type="dxa"/>
            <w:right w:w="0" w:type="dxa"/>
          </w:tblCellMar>
        </w:tblPrEx>
        <w:trPr>
          <w:wBefore w:w="0" w:type="auto"/>
          <w:tblCellSpacing w:w="0" w:type="dxa"/>
        </w:trPr>
        <w:tc>
          <w:tcPr>
            <w:tcW w:w="0" w:type="auto"/>
            <w:noWrap w:val="0"/>
            <w:vAlign w:val="center"/>
          </w:tcPr>
          <w:p w14:paraId="3E8E76D4">
            <w:r>
              <w:rPr>
                <w:rStyle w:val="10"/>
                <w:rFonts w:hint="eastAsia"/>
              </w:rPr>
              <w:t>总有效成分含量：</w:t>
            </w:r>
            <w:r>
              <w:rPr>
                <w:rFonts w:hint="eastAsia"/>
              </w:rPr>
              <w:t>0.12%</w:t>
            </w:r>
          </w:p>
        </w:tc>
      </w:tr>
      <w:tr w14:paraId="24FD3D15">
        <w:tblPrEx>
          <w:tblCellMar>
            <w:top w:w="0" w:type="dxa"/>
            <w:left w:w="0" w:type="dxa"/>
            <w:bottom w:w="0" w:type="dxa"/>
            <w:right w:w="0" w:type="dxa"/>
          </w:tblCellMar>
        </w:tblPrEx>
        <w:trPr>
          <w:wBefore w:w="0" w:type="auto"/>
          <w:tblCellSpacing w:w="0" w:type="dxa"/>
        </w:trPr>
        <w:tc>
          <w:tcPr>
            <w:tcW w:w="0" w:type="auto"/>
            <w:noWrap w:val="0"/>
            <w:vAlign w:val="center"/>
          </w:tcPr>
          <w:p w14:paraId="37051E24">
            <w:r>
              <w:rPr>
                <w:rFonts w:hint="eastAsia"/>
              </w:rPr>
              <w:t xml:space="preserve">有效成分及其含量： </w:t>
            </w:r>
          </w:p>
          <w:p w14:paraId="3CFE0617">
            <w:r>
              <w:rPr>
                <w:rFonts w:hint="eastAsia"/>
              </w:rPr>
              <w:t xml:space="preserve">    噁霉灵0.1%    咯菌腈0.02%    </w:t>
            </w:r>
          </w:p>
        </w:tc>
      </w:tr>
      <w:tr w14:paraId="2878EF33">
        <w:tblPrEx>
          <w:tblCellMar>
            <w:top w:w="0" w:type="dxa"/>
            <w:left w:w="0" w:type="dxa"/>
            <w:bottom w:w="0" w:type="dxa"/>
            <w:right w:w="0" w:type="dxa"/>
          </w:tblCellMar>
        </w:tblPrEx>
        <w:trPr>
          <w:wBefore w:w="0" w:type="auto"/>
          <w:tblCellSpacing w:w="0" w:type="dxa"/>
        </w:trPr>
        <w:tc>
          <w:tcPr>
            <w:tcW w:w="0" w:type="auto"/>
            <w:noWrap w:val="0"/>
            <w:vAlign w:val="center"/>
          </w:tcPr>
          <w:p w14:paraId="0698146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F239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EC4BDD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681E90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3DDBD2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320E7AF">
                  <w:r>
                    <w:rPr>
                      <w:rStyle w:val="11"/>
                      <w:rFonts w:hint="eastAsia"/>
                    </w:rPr>
                    <w:t>施用方式</w:t>
                  </w:r>
                </w:p>
              </w:tc>
            </w:tr>
            <w:tr w14:paraId="2E2C0D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9F4835E">
                  <w:r>
                    <w:rPr>
                      <w:rStyle w:val="11"/>
                      <w:rFonts w:hint="eastAsia"/>
                    </w:rPr>
                    <w:t>冬瓜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6C3D35">
                  <w:r>
                    <w:rPr>
                      <w:rStyle w:val="11"/>
                      <w:rFonts w:hint="eastAsia"/>
                    </w:rPr>
                    <w:t>立枯病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BA6943">
                  <w:r>
                    <w:rPr>
                      <w:rStyle w:val="11"/>
                      <w:rFonts w:hint="eastAsia"/>
                    </w:rPr>
                    <w:t>10-20千克/亩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C7D624">
                  <w:r>
                    <w:rPr>
                      <w:rStyle w:val="11"/>
                      <w:rFonts w:hint="eastAsia"/>
                    </w:rPr>
                    <w:t>穴施</w:t>
                  </w:r>
                </w:p>
              </w:tc>
            </w:tr>
          </w:tbl>
          <w:p w14:paraId="4205D1E1">
            <w:pPr>
              <w:rPr>
                <w:rFonts w:ascii="Times New Roman" w:hAnsi="Times New Roman" w:cs="Times New Roman"/>
                <w:sz w:val="20"/>
                <w:szCs w:val="20"/>
              </w:rPr>
            </w:pPr>
          </w:p>
        </w:tc>
      </w:tr>
      <w:tr w14:paraId="4A0A4391">
        <w:tblPrEx>
          <w:tblCellMar>
            <w:top w:w="0" w:type="dxa"/>
            <w:left w:w="0" w:type="dxa"/>
            <w:bottom w:w="0" w:type="dxa"/>
            <w:right w:w="0" w:type="dxa"/>
          </w:tblCellMar>
        </w:tblPrEx>
        <w:trPr>
          <w:wBefore w:w="0" w:type="auto"/>
          <w:tblCellSpacing w:w="0" w:type="dxa"/>
        </w:trPr>
        <w:tc>
          <w:tcPr>
            <w:tcW w:w="0" w:type="auto"/>
            <w:noWrap w:val="0"/>
            <w:vAlign w:val="center"/>
          </w:tcPr>
          <w:p w14:paraId="659A5FF4">
            <w:r>
              <w:rPr>
                <w:rStyle w:val="10"/>
                <w:rFonts w:hint="eastAsia"/>
              </w:rPr>
              <w:t>使用技术要求:</w:t>
            </w:r>
            <w:r>
              <w:rPr>
                <w:rFonts w:hint="eastAsia"/>
              </w:rPr>
              <w:br w:type="textWrapping"/>
            </w:r>
            <w:r>
              <w:rPr>
                <w:rStyle w:val="11"/>
                <w:rFonts w:hint="eastAsia"/>
              </w:rPr>
              <w:t>1、本品在冬瓜苗移栽或定植前施药，施用方式为穴施。2、施药时撒施均匀，施用后立即覆土。 3、本品每季最多施药1次，安全间隔期为收获期。</w:t>
            </w:r>
          </w:p>
        </w:tc>
      </w:tr>
      <w:tr w14:paraId="3F25EDE1">
        <w:tblPrEx>
          <w:tblCellMar>
            <w:top w:w="0" w:type="dxa"/>
            <w:left w:w="0" w:type="dxa"/>
            <w:bottom w:w="0" w:type="dxa"/>
            <w:right w:w="0" w:type="dxa"/>
          </w:tblCellMar>
        </w:tblPrEx>
        <w:trPr>
          <w:wBefore w:w="0" w:type="auto"/>
          <w:tblCellSpacing w:w="0" w:type="dxa"/>
        </w:trPr>
        <w:tc>
          <w:tcPr>
            <w:tcW w:w="0" w:type="auto"/>
            <w:noWrap w:val="0"/>
            <w:vAlign w:val="center"/>
          </w:tcPr>
          <w:p w14:paraId="4BB82A63">
            <w:r>
              <w:rPr>
                <w:rStyle w:val="10"/>
                <w:rFonts w:hint="eastAsia"/>
              </w:rPr>
              <w:t>产品性能:</w:t>
            </w:r>
            <w:r>
              <w:rPr>
                <w:rFonts w:hint="eastAsia"/>
              </w:rPr>
              <w:br w:type="textWrapping"/>
            </w:r>
            <w:r>
              <w:rPr>
                <w:rStyle w:val="11"/>
                <w:rFonts w:hint="eastAsia"/>
              </w:rPr>
              <w:t xml:space="preserve">本品是两元复配的冬瓜用杀菌剂，其中噁霉灵是防治土传病害的一种传统的内吸性杀菌剂，具有预防和治疗作用，植物根部可吸收，并可在根系内传导；咯菌腈属非内吸性杀菌剂，通过抑制葡萄糖磷酰化有关的转移，从而抑制病原真菌菌丝体生长，可防治作物的种传和土传真菌病害。二者复配可有效防治冬瓜立枯病。 </w:t>
            </w:r>
          </w:p>
        </w:tc>
      </w:tr>
      <w:tr w14:paraId="275E24E2">
        <w:tblPrEx>
          <w:tblCellMar>
            <w:top w:w="0" w:type="dxa"/>
            <w:left w:w="0" w:type="dxa"/>
            <w:bottom w:w="0" w:type="dxa"/>
            <w:right w:w="0" w:type="dxa"/>
          </w:tblCellMar>
        </w:tblPrEx>
        <w:trPr>
          <w:wBefore w:w="0" w:type="auto"/>
          <w:tblCellSpacing w:w="0" w:type="dxa"/>
        </w:trPr>
        <w:tc>
          <w:tcPr>
            <w:tcW w:w="0" w:type="auto"/>
            <w:noWrap w:val="0"/>
            <w:vAlign w:val="center"/>
          </w:tcPr>
          <w:p w14:paraId="2B0EBE75">
            <w:r>
              <w:rPr>
                <w:rStyle w:val="10"/>
                <w:rFonts w:hint="eastAsia"/>
              </w:rPr>
              <w:t>注意事项：</w:t>
            </w:r>
            <w:r>
              <w:rPr>
                <w:rFonts w:hint="eastAsia"/>
              </w:rPr>
              <w:br w:type="textWrapping"/>
            </w:r>
            <w:r>
              <w:rPr>
                <w:rStyle w:val="11"/>
                <w:rFonts w:hint="eastAsia"/>
              </w:rPr>
              <w:t>1、本品对眼睛有刺激作用，使用时应穿（戴）长衣裤、帽子、手套、护目镜、口罩等安全防护措施，避免皮肤接触药剂；施药期间不可吃东西和饮水等，避免吸入或误服药剂。2、施药后用清水及肥皂彻底清洗脸部及其它皮肤裸露部位。3、远离水产养殖区、河塘等水体施药，禁止在河塘等水体中清洗施药器具，避免残液流入湖泊，河流或鱼塘中污染水源。4、废弃物要妥善处理，不能随意丢弃，也不能做他用，并按照当地的有关规定处置所有的废弃物。5、鸟类保护区、鸟类栖息地、养殖场及其附近禁用。7、避免孕妇、哺乳期妇女及过敏者接触。</w:t>
            </w:r>
          </w:p>
        </w:tc>
      </w:tr>
      <w:tr w14:paraId="0D36D881">
        <w:tblPrEx>
          <w:tblCellMar>
            <w:top w:w="0" w:type="dxa"/>
            <w:left w:w="0" w:type="dxa"/>
            <w:bottom w:w="0" w:type="dxa"/>
            <w:right w:w="0" w:type="dxa"/>
          </w:tblCellMar>
        </w:tblPrEx>
        <w:trPr>
          <w:wBefore w:w="0" w:type="auto"/>
          <w:tblCellSpacing w:w="0" w:type="dxa"/>
        </w:trPr>
        <w:tc>
          <w:tcPr>
            <w:tcW w:w="0" w:type="auto"/>
            <w:noWrap w:val="0"/>
            <w:vAlign w:val="center"/>
          </w:tcPr>
          <w:p w14:paraId="758B644D">
            <w:r>
              <w:rPr>
                <w:rStyle w:val="10"/>
                <w:rFonts w:hint="eastAsia"/>
              </w:rPr>
              <w:t>中毒急救措施：</w:t>
            </w:r>
            <w:r>
              <w:rPr>
                <w:rFonts w:hint="eastAsia"/>
              </w:rPr>
              <w:br w:type="textWrapping"/>
            </w:r>
            <w:r>
              <w:rPr>
                <w:rStyle w:val="11"/>
                <w:rFonts w:hint="eastAsia"/>
              </w:rPr>
              <w:t>1、对皮肤、眼睛有刺激症状，无中毒报道。急救治疗：2、接触皮肤，立即脱掉被污染的衣物，用肥皂和清水彻底清洗皮肤表面。3、眼睛接触，立即将眼睑翻开，用清水彻底冲洗至少15分钟，并请医生诊治。4、不慎吸入：立即将吸入者转移到空气新鲜处，并请医生诊治。 5、不慎误服，应立即催吐、洗胃、清洗口腔，还应携带此标签尽快去医院就诊，对症治疗（去除污物，注意生命体征），无特效解毒剂。</w:t>
            </w:r>
          </w:p>
        </w:tc>
      </w:tr>
      <w:tr w14:paraId="55564B33">
        <w:tblPrEx>
          <w:tblCellMar>
            <w:top w:w="0" w:type="dxa"/>
            <w:left w:w="0" w:type="dxa"/>
            <w:bottom w:w="0" w:type="dxa"/>
            <w:right w:w="0" w:type="dxa"/>
          </w:tblCellMar>
        </w:tblPrEx>
        <w:trPr>
          <w:wBefore w:w="0" w:type="auto"/>
          <w:tblCellSpacing w:w="0" w:type="dxa"/>
        </w:trPr>
        <w:tc>
          <w:tcPr>
            <w:tcW w:w="0" w:type="auto"/>
            <w:noWrap w:val="0"/>
            <w:vAlign w:val="center"/>
          </w:tcPr>
          <w:p w14:paraId="2B2D979A">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种子、食品、饮料、饲料等其他商品同贮同运。运输时应注意防水防潮，避免雨淋；搬运时轻搬轻放，不可倒置。</w:t>
            </w:r>
          </w:p>
        </w:tc>
      </w:tr>
      <w:tr w14:paraId="4D5C0A55">
        <w:tblPrEx>
          <w:tblCellMar>
            <w:top w:w="0" w:type="dxa"/>
            <w:left w:w="0" w:type="dxa"/>
            <w:bottom w:w="0" w:type="dxa"/>
            <w:right w:w="0" w:type="dxa"/>
          </w:tblCellMar>
        </w:tblPrEx>
        <w:trPr>
          <w:wBefore w:w="0" w:type="auto"/>
          <w:tblCellSpacing w:w="0" w:type="dxa"/>
        </w:trPr>
        <w:tc>
          <w:tcPr>
            <w:tcW w:w="0" w:type="auto"/>
            <w:noWrap w:val="0"/>
            <w:vAlign w:val="center"/>
          </w:tcPr>
          <w:p w14:paraId="60AEDF23">
            <w:r>
              <w:rPr>
                <w:rStyle w:val="10"/>
                <w:rFonts w:hint="eastAsia"/>
              </w:rPr>
              <w:t>质量保证期：</w:t>
            </w:r>
            <w:r>
              <w:rPr>
                <w:rStyle w:val="11"/>
                <w:rFonts w:hint="eastAsia"/>
              </w:rPr>
              <w:t>2年</w:t>
            </w:r>
          </w:p>
        </w:tc>
      </w:tr>
      <w:tr w14:paraId="30690F05">
        <w:tblPrEx>
          <w:tblCellMar>
            <w:top w:w="0" w:type="dxa"/>
            <w:left w:w="0" w:type="dxa"/>
            <w:bottom w:w="0" w:type="dxa"/>
            <w:right w:w="0" w:type="dxa"/>
          </w:tblCellMar>
        </w:tblPrEx>
        <w:trPr>
          <w:wBefore w:w="0" w:type="auto"/>
          <w:tblCellSpacing w:w="0" w:type="dxa"/>
        </w:trPr>
        <w:tc>
          <w:tcPr>
            <w:tcW w:w="0" w:type="auto"/>
            <w:noWrap w:val="0"/>
            <w:vAlign w:val="center"/>
          </w:tcPr>
          <w:p w14:paraId="6EFABF5F">
            <w:r>
              <w:rPr>
                <w:rStyle w:val="10"/>
                <w:rFonts w:hint="eastAsia"/>
              </w:rPr>
              <w:t>备注：</w:t>
            </w:r>
          </w:p>
        </w:tc>
      </w:tr>
    </w:tbl>
    <w:p w14:paraId="3EA782B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BC69C1C">
        <w:tblPrEx>
          <w:tblCellMar>
            <w:top w:w="0" w:type="dxa"/>
            <w:left w:w="0" w:type="dxa"/>
            <w:bottom w:w="0" w:type="dxa"/>
            <w:right w:w="0" w:type="dxa"/>
          </w:tblCellMar>
        </w:tblPrEx>
        <w:trPr>
          <w:wBefore w:w="0" w:type="auto"/>
          <w:tblCellSpacing w:w="0" w:type="dxa"/>
        </w:trPr>
        <w:tc>
          <w:tcPr>
            <w:tcW w:w="0" w:type="auto"/>
            <w:noWrap w:val="0"/>
            <w:vAlign w:val="center"/>
          </w:tcPr>
          <w:p w14:paraId="36B88F78">
            <w:r>
              <w:rPr>
                <w:rStyle w:val="10"/>
                <w:rFonts w:hint="eastAsia"/>
              </w:rPr>
              <w:t>登记证号：</w:t>
            </w:r>
            <w:r>
              <w:rPr>
                <w:rFonts w:hint="eastAsia"/>
              </w:rPr>
              <w:t>PD20212117</w:t>
            </w:r>
          </w:p>
        </w:tc>
      </w:tr>
      <w:tr w14:paraId="33D4BAEE">
        <w:tblPrEx>
          <w:tblCellMar>
            <w:top w:w="0" w:type="dxa"/>
            <w:left w:w="0" w:type="dxa"/>
            <w:bottom w:w="0" w:type="dxa"/>
            <w:right w:w="0" w:type="dxa"/>
          </w:tblCellMar>
        </w:tblPrEx>
        <w:trPr>
          <w:wBefore w:w="0" w:type="auto"/>
          <w:tblCellSpacing w:w="0" w:type="dxa"/>
        </w:trPr>
        <w:tc>
          <w:tcPr>
            <w:tcW w:w="0" w:type="auto"/>
            <w:noWrap w:val="0"/>
            <w:vAlign w:val="center"/>
          </w:tcPr>
          <w:p w14:paraId="32925AF5">
            <w:r>
              <w:rPr>
                <w:rStyle w:val="10"/>
                <w:rFonts w:hint="eastAsia"/>
              </w:rPr>
              <w:t>登记证持有人：</w:t>
            </w:r>
            <w:r>
              <w:rPr>
                <w:rFonts w:hint="eastAsia"/>
              </w:rPr>
              <w:t>永农生物科学有限公司</w:t>
            </w:r>
          </w:p>
        </w:tc>
      </w:tr>
      <w:tr w14:paraId="3F514FD9">
        <w:tblPrEx>
          <w:tblCellMar>
            <w:top w:w="0" w:type="dxa"/>
            <w:left w:w="0" w:type="dxa"/>
            <w:bottom w:w="0" w:type="dxa"/>
            <w:right w:w="0" w:type="dxa"/>
          </w:tblCellMar>
        </w:tblPrEx>
        <w:trPr>
          <w:wBefore w:w="0" w:type="auto"/>
          <w:tblCellSpacing w:w="0" w:type="dxa"/>
        </w:trPr>
        <w:tc>
          <w:tcPr>
            <w:tcW w:w="0" w:type="auto"/>
            <w:noWrap w:val="0"/>
            <w:vAlign w:val="center"/>
          </w:tcPr>
          <w:p w14:paraId="636C1514">
            <w:r>
              <w:rPr>
                <w:rStyle w:val="10"/>
                <w:rFonts w:hint="eastAsia"/>
              </w:rPr>
              <w:t>农药名称：</w:t>
            </w:r>
            <w:r>
              <w:rPr>
                <w:rFonts w:hint="eastAsia"/>
              </w:rPr>
              <w:t>乙氧呋草黄</w:t>
            </w:r>
          </w:p>
        </w:tc>
      </w:tr>
      <w:tr w14:paraId="287F65A3">
        <w:tblPrEx>
          <w:tblCellMar>
            <w:top w:w="0" w:type="dxa"/>
            <w:left w:w="0" w:type="dxa"/>
            <w:bottom w:w="0" w:type="dxa"/>
            <w:right w:w="0" w:type="dxa"/>
          </w:tblCellMar>
        </w:tblPrEx>
        <w:trPr>
          <w:wBefore w:w="0" w:type="auto"/>
          <w:tblCellSpacing w:w="0" w:type="dxa"/>
        </w:trPr>
        <w:tc>
          <w:tcPr>
            <w:tcW w:w="0" w:type="auto"/>
            <w:noWrap w:val="0"/>
            <w:vAlign w:val="center"/>
          </w:tcPr>
          <w:p w14:paraId="73ED49EA">
            <w:r>
              <w:rPr>
                <w:rStyle w:val="10"/>
                <w:rFonts w:hint="eastAsia"/>
              </w:rPr>
              <w:t>剂型：</w:t>
            </w:r>
            <w:r>
              <w:rPr>
                <w:rFonts w:hint="eastAsia"/>
              </w:rPr>
              <w:t>乳油</w:t>
            </w:r>
          </w:p>
        </w:tc>
      </w:tr>
      <w:tr w14:paraId="150C0D0C">
        <w:tblPrEx>
          <w:tblCellMar>
            <w:top w:w="0" w:type="dxa"/>
            <w:left w:w="0" w:type="dxa"/>
            <w:bottom w:w="0" w:type="dxa"/>
            <w:right w:w="0" w:type="dxa"/>
          </w:tblCellMar>
        </w:tblPrEx>
        <w:trPr>
          <w:wBefore w:w="0" w:type="auto"/>
          <w:tblCellSpacing w:w="0" w:type="dxa"/>
        </w:trPr>
        <w:tc>
          <w:tcPr>
            <w:tcW w:w="0" w:type="auto"/>
            <w:noWrap w:val="0"/>
            <w:vAlign w:val="center"/>
          </w:tcPr>
          <w:p w14:paraId="11B89240">
            <w:r>
              <w:rPr>
                <w:rStyle w:val="10"/>
                <w:rFonts w:hint="eastAsia"/>
              </w:rPr>
              <w:t>毒性及其标识：</w:t>
            </w:r>
            <w:r>
              <w:rPr>
                <w:rFonts w:hint="eastAsia"/>
              </w:rPr>
              <w:t xml:space="preserve"> </w:t>
            </w:r>
            <w:r>
              <w:rPr>
                <w:lang/>
              </w:rPr>
              <w:drawing>
                <wp:inline distT="0" distB="0" distL="114300" distR="114300">
                  <wp:extent cx="476250" cy="323850"/>
                  <wp:effectExtent l="0" t="0" r="0" b="0"/>
                  <wp:docPr id="151" name="图片 15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3265621">
        <w:tblPrEx>
          <w:tblCellMar>
            <w:top w:w="0" w:type="dxa"/>
            <w:left w:w="0" w:type="dxa"/>
            <w:bottom w:w="0" w:type="dxa"/>
            <w:right w:w="0" w:type="dxa"/>
          </w:tblCellMar>
        </w:tblPrEx>
        <w:trPr>
          <w:wBefore w:w="0" w:type="auto"/>
          <w:tblCellSpacing w:w="0" w:type="dxa"/>
        </w:trPr>
        <w:tc>
          <w:tcPr>
            <w:tcW w:w="0" w:type="auto"/>
            <w:noWrap w:val="0"/>
            <w:vAlign w:val="center"/>
          </w:tcPr>
          <w:p w14:paraId="7126E566">
            <w:r>
              <w:rPr>
                <w:rStyle w:val="10"/>
                <w:rFonts w:hint="eastAsia"/>
              </w:rPr>
              <w:t>总有效成分含量：</w:t>
            </w:r>
            <w:r>
              <w:rPr>
                <w:rFonts w:hint="eastAsia"/>
              </w:rPr>
              <w:t>20%</w:t>
            </w:r>
          </w:p>
        </w:tc>
      </w:tr>
      <w:tr w14:paraId="1A764DE6">
        <w:tblPrEx>
          <w:tblCellMar>
            <w:top w:w="0" w:type="dxa"/>
            <w:left w:w="0" w:type="dxa"/>
            <w:bottom w:w="0" w:type="dxa"/>
            <w:right w:w="0" w:type="dxa"/>
          </w:tblCellMar>
        </w:tblPrEx>
        <w:trPr>
          <w:wBefore w:w="0" w:type="auto"/>
          <w:tblCellSpacing w:w="0" w:type="dxa"/>
        </w:trPr>
        <w:tc>
          <w:tcPr>
            <w:tcW w:w="0" w:type="auto"/>
            <w:noWrap w:val="0"/>
            <w:vAlign w:val="center"/>
          </w:tcPr>
          <w:p w14:paraId="4EBBD023">
            <w:r>
              <w:rPr>
                <w:rFonts w:hint="eastAsia"/>
              </w:rPr>
              <w:t xml:space="preserve">有效成分及其含量： </w:t>
            </w:r>
          </w:p>
          <w:p w14:paraId="51302332">
            <w:r>
              <w:rPr>
                <w:rFonts w:hint="eastAsia"/>
              </w:rPr>
              <w:t xml:space="preserve">    乙氧呋草黄20%    </w:t>
            </w:r>
          </w:p>
        </w:tc>
      </w:tr>
      <w:tr w14:paraId="21DE6EE4">
        <w:tblPrEx>
          <w:tblCellMar>
            <w:top w:w="0" w:type="dxa"/>
            <w:left w:w="0" w:type="dxa"/>
            <w:bottom w:w="0" w:type="dxa"/>
            <w:right w:w="0" w:type="dxa"/>
          </w:tblCellMar>
        </w:tblPrEx>
        <w:trPr>
          <w:wBefore w:w="0" w:type="auto"/>
          <w:tblCellSpacing w:w="0" w:type="dxa"/>
        </w:trPr>
        <w:tc>
          <w:tcPr>
            <w:tcW w:w="0" w:type="auto"/>
            <w:noWrap w:val="0"/>
            <w:vAlign w:val="center"/>
          </w:tcPr>
          <w:p w14:paraId="0ECEC7D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C427B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3F775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04219D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6D7AC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C79A741">
                  <w:r>
                    <w:rPr>
                      <w:rStyle w:val="11"/>
                      <w:rFonts w:hint="eastAsia"/>
                    </w:rPr>
                    <w:t>施用方式</w:t>
                  </w:r>
                </w:p>
              </w:tc>
            </w:tr>
            <w:tr w14:paraId="443870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7D7917">
                  <w:r>
                    <w:rPr>
                      <w:rStyle w:val="11"/>
                      <w:rFonts w:hint="eastAsia"/>
                    </w:rPr>
                    <w:t>甜菜田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EB37EB">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137E9A">
                  <w:r>
                    <w:rPr>
                      <w:rStyle w:val="11"/>
                      <w:rFonts w:hint="eastAsia"/>
                    </w:rPr>
                    <w:t>400-500毫升/亩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2A0849">
                  <w:r>
                    <w:rPr>
                      <w:rStyle w:val="11"/>
                      <w:rFonts w:hint="eastAsia"/>
                    </w:rPr>
                    <w:t>茎叶喷雾</w:t>
                  </w:r>
                </w:p>
              </w:tc>
            </w:tr>
          </w:tbl>
          <w:p w14:paraId="678CE446">
            <w:pPr>
              <w:rPr>
                <w:rFonts w:ascii="Times New Roman" w:hAnsi="Times New Roman" w:cs="Times New Roman"/>
                <w:sz w:val="20"/>
                <w:szCs w:val="20"/>
              </w:rPr>
            </w:pPr>
          </w:p>
        </w:tc>
      </w:tr>
      <w:tr w14:paraId="402BCCE7">
        <w:tblPrEx>
          <w:tblCellMar>
            <w:top w:w="0" w:type="dxa"/>
            <w:left w:w="0" w:type="dxa"/>
            <w:bottom w:w="0" w:type="dxa"/>
            <w:right w:w="0" w:type="dxa"/>
          </w:tblCellMar>
        </w:tblPrEx>
        <w:trPr>
          <w:wBefore w:w="0" w:type="auto"/>
          <w:tblCellSpacing w:w="0" w:type="dxa"/>
        </w:trPr>
        <w:tc>
          <w:tcPr>
            <w:tcW w:w="0" w:type="auto"/>
            <w:noWrap w:val="0"/>
            <w:vAlign w:val="center"/>
          </w:tcPr>
          <w:p w14:paraId="51371838">
            <w:r>
              <w:rPr>
                <w:rStyle w:val="10"/>
                <w:rFonts w:hint="eastAsia"/>
              </w:rPr>
              <w:t>使用技术要求:</w:t>
            </w:r>
            <w:r>
              <w:rPr>
                <w:rFonts w:hint="eastAsia"/>
              </w:rPr>
              <w:br w:type="textWrapping"/>
            </w:r>
            <w:r>
              <w:rPr>
                <w:rStyle w:val="11"/>
                <w:rFonts w:hint="eastAsia"/>
              </w:rPr>
              <w:t>1.每季最多使用1次。3.本品最佳施用时期为甜菜出苗后阔叶杂草2-4叶期，进行常规茎叶喷雾。4.每亩兑水量30-40升，用清水稀释，喷液量根据气候条件调整，如干旱可适当增大喷液量。5.在无风天施药，避免药液漂移到邻近作物田。</w:t>
            </w:r>
          </w:p>
        </w:tc>
      </w:tr>
      <w:tr w14:paraId="170A5CE8">
        <w:tblPrEx>
          <w:tblCellMar>
            <w:top w:w="0" w:type="dxa"/>
            <w:left w:w="0" w:type="dxa"/>
            <w:bottom w:w="0" w:type="dxa"/>
            <w:right w:w="0" w:type="dxa"/>
          </w:tblCellMar>
        </w:tblPrEx>
        <w:trPr>
          <w:wBefore w:w="0" w:type="auto"/>
          <w:tblCellSpacing w:w="0" w:type="dxa"/>
        </w:trPr>
        <w:tc>
          <w:tcPr>
            <w:tcW w:w="0" w:type="auto"/>
            <w:noWrap w:val="0"/>
            <w:vAlign w:val="center"/>
          </w:tcPr>
          <w:p w14:paraId="121C6AAD">
            <w:r>
              <w:rPr>
                <w:rStyle w:val="10"/>
                <w:rFonts w:hint="eastAsia"/>
              </w:rPr>
              <w:t>产品性能:</w:t>
            </w:r>
            <w:r>
              <w:rPr>
                <w:rFonts w:hint="eastAsia"/>
              </w:rPr>
              <w:br w:type="textWrapping"/>
            </w:r>
            <w:r>
              <w:rPr>
                <w:rStyle w:val="11"/>
                <w:rFonts w:hint="eastAsia"/>
              </w:rPr>
              <w:t>本品为甜菜苗后使用的选择性除草剂，可有效地防除甜菜田一年生阔叶杂草。</w:t>
            </w:r>
          </w:p>
        </w:tc>
      </w:tr>
      <w:tr w14:paraId="78560271">
        <w:tblPrEx>
          <w:tblCellMar>
            <w:top w:w="0" w:type="dxa"/>
            <w:left w:w="0" w:type="dxa"/>
            <w:bottom w:w="0" w:type="dxa"/>
            <w:right w:w="0" w:type="dxa"/>
          </w:tblCellMar>
        </w:tblPrEx>
        <w:trPr>
          <w:wBefore w:w="0" w:type="auto"/>
          <w:tblCellSpacing w:w="0" w:type="dxa"/>
        </w:trPr>
        <w:tc>
          <w:tcPr>
            <w:tcW w:w="0" w:type="auto"/>
            <w:noWrap w:val="0"/>
            <w:vAlign w:val="center"/>
          </w:tcPr>
          <w:p w14:paraId="05E65E02">
            <w:r>
              <w:rPr>
                <w:rStyle w:val="10"/>
                <w:rFonts w:hint="eastAsia"/>
              </w:rPr>
              <w:t>注意事项：</w:t>
            </w:r>
            <w:r>
              <w:rPr>
                <w:rFonts w:hint="eastAsia"/>
              </w:rPr>
              <w:br w:type="textWrapping"/>
            </w:r>
            <w:r>
              <w:rPr>
                <w:rStyle w:val="11"/>
                <w:rFonts w:hint="eastAsia"/>
              </w:rPr>
              <w:t>1.施用时不得与酸、碱性农药混用，以免本药剂在酸、碱性介质中水解影响药效。干旱及杂草叶龄较大时施药会降低药效,因此在苗后尽早施药。2. 使用时应穿长衣长裤、靴子，戴帽子、护目镜、口罩、手套等防护用具；施药期间不可吃东西、饮水、吸烟等；施药后应及时洗手、洗脸并洗涤施药时穿着的衣物。3.水产养殖区、河塘等水域附近禁用。施药后剩余药液与施药器械应避免倒入河塘或在河塘内清洗，以免污染水源。用过的容器应妥善处理，不可做它用，也不可随意丢弃。4.孕妇及哺乳期妇女禁止接触本品。5.瓢虫等天敌放飞区域禁用。6.蚕室及桑园附近禁用。7.施药时避免药液漂移到邻近作物田。</w:t>
            </w:r>
          </w:p>
        </w:tc>
      </w:tr>
      <w:tr w14:paraId="129FC7E7">
        <w:tblPrEx>
          <w:tblCellMar>
            <w:top w:w="0" w:type="dxa"/>
            <w:left w:w="0" w:type="dxa"/>
            <w:bottom w:w="0" w:type="dxa"/>
            <w:right w:w="0" w:type="dxa"/>
          </w:tblCellMar>
        </w:tblPrEx>
        <w:trPr>
          <w:wBefore w:w="0" w:type="auto"/>
          <w:tblCellSpacing w:w="0" w:type="dxa"/>
        </w:trPr>
        <w:tc>
          <w:tcPr>
            <w:tcW w:w="0" w:type="auto"/>
            <w:noWrap w:val="0"/>
            <w:vAlign w:val="center"/>
          </w:tcPr>
          <w:p w14:paraId="4BF2A22C">
            <w:r>
              <w:rPr>
                <w:rStyle w:val="10"/>
                <w:rFonts w:hint="eastAsia"/>
              </w:rPr>
              <w:t>中毒急救措施：</w:t>
            </w:r>
            <w:r>
              <w:rPr>
                <w:rFonts w:hint="eastAsia"/>
              </w:rPr>
              <w:br w:type="textWrapping"/>
            </w:r>
            <w:r>
              <w:rPr>
                <w:rStyle w:val="11"/>
                <w:rFonts w:hint="eastAsia"/>
              </w:rPr>
              <w:t>中毒症状：本品对皮肤和眼睛有刺激作用。如不慎接触皮肤，应立即用大量清水冲洗；若溅到眼睛中，立即用大量清水冲洗至少15分钟，严重时就医；如不慎吸入，应将病人立即移至空气清新处；如不慎误服，立即停止服用，并携本标签及时把病人送往医院对症治疗。本品无特效解毒剂。</w:t>
            </w:r>
          </w:p>
        </w:tc>
      </w:tr>
      <w:tr w14:paraId="62A77425">
        <w:tblPrEx>
          <w:tblCellMar>
            <w:top w:w="0" w:type="dxa"/>
            <w:left w:w="0" w:type="dxa"/>
            <w:bottom w:w="0" w:type="dxa"/>
            <w:right w:w="0" w:type="dxa"/>
          </w:tblCellMar>
        </w:tblPrEx>
        <w:trPr>
          <w:wBefore w:w="0" w:type="auto"/>
          <w:tblCellSpacing w:w="0" w:type="dxa"/>
        </w:trPr>
        <w:tc>
          <w:tcPr>
            <w:tcW w:w="0" w:type="auto"/>
            <w:noWrap w:val="0"/>
            <w:vAlign w:val="center"/>
          </w:tcPr>
          <w:p w14:paraId="5F9F6325">
            <w:r>
              <w:rPr>
                <w:rStyle w:val="10"/>
                <w:rFonts w:hint="eastAsia"/>
              </w:rPr>
              <w:t>储存和运输方法：</w:t>
            </w:r>
            <w:r>
              <w:rPr>
                <w:rFonts w:hint="eastAsia"/>
              </w:rPr>
              <w:br w:type="textWrapping"/>
            </w:r>
            <w:r>
              <w:rPr>
                <w:rStyle w:val="11"/>
                <w:rFonts w:hint="eastAsia"/>
              </w:rPr>
              <w:t>本品应贮存在阴凉、干燥、通风、防雨处，远离火源和热源。置于儿童、无关人员或动物触及不到之处，并加锁。勿与食品、饮料、粮食、饲料等物品同贮同运。避免与酸、碱性介质混放。</w:t>
            </w:r>
          </w:p>
        </w:tc>
      </w:tr>
      <w:tr w14:paraId="6B77904C">
        <w:tblPrEx>
          <w:tblCellMar>
            <w:top w:w="0" w:type="dxa"/>
            <w:left w:w="0" w:type="dxa"/>
            <w:bottom w:w="0" w:type="dxa"/>
            <w:right w:w="0" w:type="dxa"/>
          </w:tblCellMar>
        </w:tblPrEx>
        <w:trPr>
          <w:wBefore w:w="0" w:type="auto"/>
          <w:tblCellSpacing w:w="0" w:type="dxa"/>
        </w:trPr>
        <w:tc>
          <w:tcPr>
            <w:tcW w:w="0" w:type="auto"/>
            <w:noWrap w:val="0"/>
            <w:vAlign w:val="center"/>
          </w:tcPr>
          <w:p w14:paraId="67B9FA96">
            <w:r>
              <w:rPr>
                <w:rStyle w:val="10"/>
                <w:rFonts w:hint="eastAsia"/>
              </w:rPr>
              <w:t>质量保证期：</w:t>
            </w:r>
            <w:r>
              <w:rPr>
                <w:rStyle w:val="11"/>
                <w:rFonts w:hint="eastAsia"/>
              </w:rPr>
              <w:t>2年</w:t>
            </w:r>
          </w:p>
        </w:tc>
      </w:tr>
      <w:tr w14:paraId="6735BC12">
        <w:tblPrEx>
          <w:tblCellMar>
            <w:top w:w="0" w:type="dxa"/>
            <w:left w:w="0" w:type="dxa"/>
            <w:bottom w:w="0" w:type="dxa"/>
            <w:right w:w="0" w:type="dxa"/>
          </w:tblCellMar>
        </w:tblPrEx>
        <w:trPr>
          <w:wBefore w:w="0" w:type="auto"/>
          <w:tblCellSpacing w:w="0" w:type="dxa"/>
        </w:trPr>
        <w:tc>
          <w:tcPr>
            <w:tcW w:w="0" w:type="auto"/>
            <w:noWrap w:val="0"/>
            <w:vAlign w:val="center"/>
          </w:tcPr>
          <w:p w14:paraId="45817BB5">
            <w:r>
              <w:rPr>
                <w:rStyle w:val="10"/>
                <w:rFonts w:hint="eastAsia"/>
              </w:rPr>
              <w:t>备注：</w:t>
            </w:r>
          </w:p>
        </w:tc>
      </w:tr>
    </w:tbl>
    <w:p w14:paraId="014AC68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5BFBFFF">
        <w:tblPrEx>
          <w:tblCellMar>
            <w:top w:w="0" w:type="dxa"/>
            <w:left w:w="0" w:type="dxa"/>
            <w:bottom w:w="0" w:type="dxa"/>
            <w:right w:w="0" w:type="dxa"/>
          </w:tblCellMar>
        </w:tblPrEx>
        <w:trPr>
          <w:wBefore w:w="0" w:type="auto"/>
          <w:tblCellSpacing w:w="0" w:type="dxa"/>
        </w:trPr>
        <w:tc>
          <w:tcPr>
            <w:tcW w:w="0" w:type="auto"/>
            <w:noWrap w:val="0"/>
            <w:vAlign w:val="center"/>
          </w:tcPr>
          <w:p w14:paraId="32619A84">
            <w:r>
              <w:rPr>
                <w:rStyle w:val="10"/>
                <w:rFonts w:hint="eastAsia"/>
              </w:rPr>
              <w:t>登记证号：</w:t>
            </w:r>
            <w:r>
              <w:rPr>
                <w:rFonts w:hint="eastAsia"/>
              </w:rPr>
              <w:t>PD20212126</w:t>
            </w:r>
          </w:p>
        </w:tc>
      </w:tr>
      <w:tr w14:paraId="2DC837D9">
        <w:tblPrEx>
          <w:tblCellMar>
            <w:top w:w="0" w:type="dxa"/>
            <w:left w:w="0" w:type="dxa"/>
            <w:bottom w:w="0" w:type="dxa"/>
            <w:right w:w="0" w:type="dxa"/>
          </w:tblCellMar>
        </w:tblPrEx>
        <w:trPr>
          <w:wBefore w:w="0" w:type="auto"/>
          <w:tblCellSpacing w:w="0" w:type="dxa"/>
        </w:trPr>
        <w:tc>
          <w:tcPr>
            <w:tcW w:w="0" w:type="auto"/>
            <w:noWrap w:val="0"/>
            <w:vAlign w:val="center"/>
          </w:tcPr>
          <w:p w14:paraId="2CEEF5F7">
            <w:r>
              <w:rPr>
                <w:rStyle w:val="10"/>
                <w:rFonts w:hint="eastAsia"/>
              </w:rPr>
              <w:t>登记证持有人：</w:t>
            </w:r>
            <w:r>
              <w:rPr>
                <w:rFonts w:hint="eastAsia"/>
              </w:rPr>
              <w:t>河南锦绣之星作物保护有限公司</w:t>
            </w:r>
          </w:p>
        </w:tc>
      </w:tr>
      <w:tr w14:paraId="53B206FF">
        <w:tblPrEx>
          <w:tblCellMar>
            <w:top w:w="0" w:type="dxa"/>
            <w:left w:w="0" w:type="dxa"/>
            <w:bottom w:w="0" w:type="dxa"/>
            <w:right w:w="0" w:type="dxa"/>
          </w:tblCellMar>
        </w:tblPrEx>
        <w:trPr>
          <w:wBefore w:w="0" w:type="auto"/>
          <w:tblCellSpacing w:w="0" w:type="dxa"/>
        </w:trPr>
        <w:tc>
          <w:tcPr>
            <w:tcW w:w="0" w:type="auto"/>
            <w:noWrap w:val="0"/>
            <w:vAlign w:val="center"/>
          </w:tcPr>
          <w:p w14:paraId="44D51F80">
            <w:r>
              <w:rPr>
                <w:rStyle w:val="10"/>
                <w:rFonts w:hint="eastAsia"/>
              </w:rPr>
              <w:t>农药名称：</w:t>
            </w:r>
            <w:r>
              <w:rPr>
                <w:rFonts w:hint="eastAsia"/>
              </w:rPr>
              <w:t>甲基二磺隆</w:t>
            </w:r>
          </w:p>
        </w:tc>
      </w:tr>
      <w:tr w14:paraId="0181AE24">
        <w:tblPrEx>
          <w:tblCellMar>
            <w:top w:w="0" w:type="dxa"/>
            <w:left w:w="0" w:type="dxa"/>
            <w:bottom w:w="0" w:type="dxa"/>
            <w:right w:w="0" w:type="dxa"/>
          </w:tblCellMar>
        </w:tblPrEx>
        <w:trPr>
          <w:wBefore w:w="0" w:type="auto"/>
          <w:tblCellSpacing w:w="0" w:type="dxa"/>
        </w:trPr>
        <w:tc>
          <w:tcPr>
            <w:tcW w:w="0" w:type="auto"/>
            <w:noWrap w:val="0"/>
            <w:vAlign w:val="center"/>
          </w:tcPr>
          <w:p w14:paraId="2F7CADE9">
            <w:r>
              <w:rPr>
                <w:rStyle w:val="10"/>
                <w:rFonts w:hint="eastAsia"/>
              </w:rPr>
              <w:t>剂型：</w:t>
            </w:r>
            <w:r>
              <w:rPr>
                <w:rFonts w:hint="eastAsia"/>
              </w:rPr>
              <w:t>可分散油悬浮剂</w:t>
            </w:r>
          </w:p>
        </w:tc>
      </w:tr>
      <w:tr w14:paraId="2C035F65">
        <w:tblPrEx>
          <w:tblCellMar>
            <w:top w:w="0" w:type="dxa"/>
            <w:left w:w="0" w:type="dxa"/>
            <w:bottom w:w="0" w:type="dxa"/>
            <w:right w:w="0" w:type="dxa"/>
          </w:tblCellMar>
        </w:tblPrEx>
        <w:trPr>
          <w:wBefore w:w="0" w:type="auto"/>
          <w:tblCellSpacing w:w="0" w:type="dxa"/>
        </w:trPr>
        <w:tc>
          <w:tcPr>
            <w:tcW w:w="0" w:type="auto"/>
            <w:noWrap w:val="0"/>
            <w:vAlign w:val="center"/>
          </w:tcPr>
          <w:p w14:paraId="4D015AA5">
            <w:r>
              <w:rPr>
                <w:rStyle w:val="10"/>
                <w:rFonts w:hint="eastAsia"/>
              </w:rPr>
              <w:t>毒性及其标识：</w:t>
            </w:r>
            <w:r>
              <w:rPr>
                <w:rFonts w:hint="eastAsia"/>
              </w:rPr>
              <w:t xml:space="preserve"> </w:t>
            </w:r>
            <w:r>
              <w:rPr>
                <w:lang/>
              </w:rPr>
              <w:drawing>
                <wp:inline distT="0" distB="0" distL="114300" distR="114300">
                  <wp:extent cx="476250" cy="323850"/>
                  <wp:effectExtent l="0" t="0" r="0" b="0"/>
                  <wp:docPr id="152" name="图片 15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5EAEAB9">
        <w:tblPrEx>
          <w:tblCellMar>
            <w:top w:w="0" w:type="dxa"/>
            <w:left w:w="0" w:type="dxa"/>
            <w:bottom w:w="0" w:type="dxa"/>
            <w:right w:w="0" w:type="dxa"/>
          </w:tblCellMar>
        </w:tblPrEx>
        <w:trPr>
          <w:wBefore w:w="0" w:type="auto"/>
          <w:tblCellSpacing w:w="0" w:type="dxa"/>
        </w:trPr>
        <w:tc>
          <w:tcPr>
            <w:tcW w:w="0" w:type="auto"/>
            <w:noWrap w:val="0"/>
            <w:vAlign w:val="center"/>
          </w:tcPr>
          <w:p w14:paraId="6A9255A7">
            <w:r>
              <w:rPr>
                <w:rStyle w:val="10"/>
                <w:rFonts w:hint="eastAsia"/>
              </w:rPr>
              <w:t>总有效成分含量：</w:t>
            </w:r>
            <w:r>
              <w:rPr>
                <w:rFonts w:hint="eastAsia"/>
              </w:rPr>
              <w:t>30克/升</w:t>
            </w:r>
          </w:p>
        </w:tc>
      </w:tr>
      <w:tr w14:paraId="1E8911B7">
        <w:tblPrEx>
          <w:tblCellMar>
            <w:top w:w="0" w:type="dxa"/>
            <w:left w:w="0" w:type="dxa"/>
            <w:bottom w:w="0" w:type="dxa"/>
            <w:right w:w="0" w:type="dxa"/>
          </w:tblCellMar>
        </w:tblPrEx>
        <w:trPr>
          <w:wBefore w:w="0" w:type="auto"/>
          <w:tblCellSpacing w:w="0" w:type="dxa"/>
        </w:trPr>
        <w:tc>
          <w:tcPr>
            <w:tcW w:w="0" w:type="auto"/>
            <w:noWrap w:val="0"/>
            <w:vAlign w:val="center"/>
          </w:tcPr>
          <w:p w14:paraId="344B0D13">
            <w:r>
              <w:rPr>
                <w:rFonts w:hint="eastAsia"/>
              </w:rPr>
              <w:t xml:space="preserve">有效成分及其含量： </w:t>
            </w:r>
          </w:p>
          <w:p w14:paraId="72A038A7">
            <w:r>
              <w:rPr>
                <w:rFonts w:hint="eastAsia"/>
              </w:rPr>
              <w:t xml:space="preserve">    甲基二磺隆30克/升    </w:t>
            </w:r>
          </w:p>
        </w:tc>
      </w:tr>
      <w:tr w14:paraId="5B60836F">
        <w:tblPrEx>
          <w:tblCellMar>
            <w:top w:w="0" w:type="dxa"/>
            <w:left w:w="0" w:type="dxa"/>
            <w:bottom w:w="0" w:type="dxa"/>
            <w:right w:w="0" w:type="dxa"/>
          </w:tblCellMar>
        </w:tblPrEx>
        <w:trPr>
          <w:wBefore w:w="0" w:type="auto"/>
          <w:tblCellSpacing w:w="0" w:type="dxa"/>
        </w:trPr>
        <w:tc>
          <w:tcPr>
            <w:tcW w:w="0" w:type="auto"/>
            <w:noWrap w:val="0"/>
            <w:vAlign w:val="center"/>
          </w:tcPr>
          <w:p w14:paraId="1AA4347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D42AE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BFBA9A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827A75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C7DF6F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D0B61FA">
                  <w:r>
                    <w:rPr>
                      <w:rStyle w:val="11"/>
                      <w:rFonts w:hint="eastAsia"/>
                    </w:rPr>
                    <w:t>施用方式</w:t>
                  </w:r>
                </w:p>
              </w:tc>
            </w:tr>
            <w:tr w14:paraId="1D2AAA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DB90D5">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3A4339">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186AD4">
                  <w:r>
                    <w:rPr>
                      <w:rStyle w:val="11"/>
                      <w:rFonts w:hint="eastAsia"/>
                    </w:rPr>
                    <w:t>25-35毫升/亩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6E5F79">
                  <w:r>
                    <w:rPr>
                      <w:rStyle w:val="11"/>
                      <w:rFonts w:hint="eastAsia"/>
                    </w:rPr>
                    <w:t>茎叶喷雾</w:t>
                  </w:r>
                </w:p>
              </w:tc>
            </w:tr>
          </w:tbl>
          <w:p w14:paraId="154A3978">
            <w:pPr>
              <w:rPr>
                <w:rFonts w:ascii="Times New Roman" w:hAnsi="Times New Roman" w:cs="Times New Roman"/>
                <w:sz w:val="20"/>
                <w:szCs w:val="20"/>
              </w:rPr>
            </w:pPr>
          </w:p>
        </w:tc>
      </w:tr>
      <w:tr w14:paraId="2AD20429">
        <w:tblPrEx>
          <w:tblCellMar>
            <w:top w:w="0" w:type="dxa"/>
            <w:left w:w="0" w:type="dxa"/>
            <w:bottom w:w="0" w:type="dxa"/>
            <w:right w:w="0" w:type="dxa"/>
          </w:tblCellMar>
        </w:tblPrEx>
        <w:trPr>
          <w:wBefore w:w="0" w:type="auto"/>
          <w:tblCellSpacing w:w="0" w:type="dxa"/>
        </w:trPr>
        <w:tc>
          <w:tcPr>
            <w:tcW w:w="0" w:type="auto"/>
            <w:noWrap w:val="0"/>
            <w:vAlign w:val="center"/>
          </w:tcPr>
          <w:p w14:paraId="2257F3F2">
            <w:r>
              <w:rPr>
                <w:rStyle w:val="10"/>
                <w:rFonts w:hint="eastAsia"/>
              </w:rPr>
              <w:t>使用技术要求:</w:t>
            </w:r>
            <w:r>
              <w:rPr>
                <w:rFonts w:hint="eastAsia"/>
              </w:rPr>
              <w:br w:type="textWrapping"/>
            </w:r>
            <w:r>
              <w:rPr>
                <w:rStyle w:val="11"/>
                <w:rFonts w:hint="eastAsia"/>
              </w:rPr>
              <w:t>1. 施药时期：冬小麦返青至拔节前，杂草2-5叶期茎叶喷雾施药1次，亩用水量30kg，茎叶喷雾。 2. 大风天或1小时内有降雨，请勿施药。3. 本品每季作物最多使用1次。4. 施药后遇低温天气易造成药害。</w:t>
            </w:r>
          </w:p>
        </w:tc>
      </w:tr>
      <w:tr w14:paraId="43E77163">
        <w:tblPrEx>
          <w:tblCellMar>
            <w:top w:w="0" w:type="dxa"/>
            <w:left w:w="0" w:type="dxa"/>
            <w:bottom w:w="0" w:type="dxa"/>
            <w:right w:w="0" w:type="dxa"/>
          </w:tblCellMar>
        </w:tblPrEx>
        <w:trPr>
          <w:wBefore w:w="0" w:type="auto"/>
          <w:tblCellSpacing w:w="0" w:type="dxa"/>
        </w:trPr>
        <w:tc>
          <w:tcPr>
            <w:tcW w:w="0" w:type="auto"/>
            <w:noWrap w:val="0"/>
            <w:vAlign w:val="center"/>
          </w:tcPr>
          <w:p w14:paraId="37B28661">
            <w:r>
              <w:rPr>
                <w:rStyle w:val="10"/>
                <w:rFonts w:hint="eastAsia"/>
              </w:rPr>
              <w:t>产品性能:</w:t>
            </w:r>
            <w:r>
              <w:rPr>
                <w:rFonts w:hint="eastAsia"/>
              </w:rPr>
              <w:br w:type="textWrapping"/>
            </w:r>
            <w:r>
              <w:rPr>
                <w:rStyle w:val="11"/>
                <w:rFonts w:hint="eastAsia"/>
              </w:rPr>
              <w:t>本品为小麦田苗后防除禾本科杂草的内吸选择性茎叶除草剂，对节节麦有特殊的防除作用，同时对硬草、早熟禾、棒头草、看麦娘、菵草、多花黑麦草、野燕麦、蜡烛草等一年生禾本科杂草，以及牛繁缕、荠菜等麦田阔叶杂草也有较好控制效果；使用时期宽，正确剂量使用下对小麦及后茬作物安全。</w:t>
            </w:r>
          </w:p>
        </w:tc>
      </w:tr>
      <w:tr w14:paraId="5802AB27">
        <w:tblPrEx>
          <w:tblCellMar>
            <w:top w:w="0" w:type="dxa"/>
            <w:left w:w="0" w:type="dxa"/>
            <w:bottom w:w="0" w:type="dxa"/>
            <w:right w:w="0" w:type="dxa"/>
          </w:tblCellMar>
        </w:tblPrEx>
        <w:trPr>
          <w:wBefore w:w="0" w:type="auto"/>
          <w:tblCellSpacing w:w="0" w:type="dxa"/>
        </w:trPr>
        <w:tc>
          <w:tcPr>
            <w:tcW w:w="0" w:type="auto"/>
            <w:noWrap w:val="0"/>
            <w:vAlign w:val="center"/>
          </w:tcPr>
          <w:p w14:paraId="0245D8E5">
            <w:r>
              <w:rPr>
                <w:rStyle w:val="10"/>
                <w:rFonts w:hint="eastAsia"/>
              </w:rPr>
              <w:t>注意事项：</w:t>
            </w:r>
            <w:r>
              <w:rPr>
                <w:rFonts w:hint="eastAsia"/>
              </w:rPr>
              <w:br w:type="textWrapping"/>
            </w:r>
            <w:r>
              <w:rPr>
                <w:rStyle w:val="11"/>
                <w:rFonts w:hint="eastAsia"/>
              </w:rPr>
              <w:t>1. 本品为油悬浮制剂，长期放置可能出现分层，请充分摇匀后使用。不宜与2,4-滴混用，以免药害。麦田处理4周内不可放牧或收割麦苗饲用。施药后2~4周杂草死亡。施用8小时后降雨一般不影响药效。2. 严格按推荐的使用技术和用量均匀施用，不得超范围使用。该产品对不同小麦品种安全性存在差异，某些春小麦和角质（强筋或硬质）型小麦品种（如扬麦158、豫麦18、济麦20等）对本剂敏感，使用前须先进行小范围安全性试验验证。本剂施用后有蹲苗作用，某些小麦品种可能出现黄化或矮化现象，小麦返青起身后黄化自然消失，可抑制小麦徒长倒伏。3. 建议采用扇形雾喷头喷施，田间喷药量要均匀一致，严禁“草多处多喷”、重喷和漏喷。冬季低温霜冻期、小麦起身拔节期、大雨前、低洼积水或遭受涝害、冻害、盐碱害、病害等的小麦田不宜施药。施用前后2天内不可大水漫灌麦田，以确保药效，避免药害。4. 使用本产品应采取相应的安全防护措施，施药时要有防护措施，戴口罩、手套、穿保护性作业服，严禁吸烟和饮食，避免药物与皮肤和眼睛直接接触，施药后要及时洗手洗脸。5. 本品对鸟类有毒，鸟类放飞区禁用，对藻类等水生生物有毒，远离水产养殖区、河塘等水体施药，禁止在河塘等水体中清洗施药器具，禁止污染水源等。6. 用过的容器应妥善处理，不可做他用，也不可随意丢弃。7. 禁止儿童、孕妇及哺乳期妇女接触，过敏者禁用，使用中有任何不良反应请及时就医。按新含量提交资料的相似产品。8.避免与氧化剂接触。</w:t>
            </w:r>
          </w:p>
        </w:tc>
      </w:tr>
      <w:tr w14:paraId="3B4403BB">
        <w:tblPrEx>
          <w:tblCellMar>
            <w:top w:w="0" w:type="dxa"/>
            <w:left w:w="0" w:type="dxa"/>
            <w:bottom w:w="0" w:type="dxa"/>
            <w:right w:w="0" w:type="dxa"/>
          </w:tblCellMar>
        </w:tblPrEx>
        <w:trPr>
          <w:wBefore w:w="0" w:type="auto"/>
          <w:tblCellSpacing w:w="0" w:type="dxa"/>
        </w:trPr>
        <w:tc>
          <w:tcPr>
            <w:tcW w:w="0" w:type="auto"/>
            <w:noWrap w:val="0"/>
            <w:vAlign w:val="center"/>
          </w:tcPr>
          <w:p w14:paraId="2C4B25C3">
            <w:r>
              <w:rPr>
                <w:rStyle w:val="10"/>
                <w:rFonts w:hint="eastAsia"/>
              </w:rPr>
              <w:t>中毒急救措施：</w:t>
            </w:r>
            <w:r>
              <w:rPr>
                <w:rFonts w:hint="eastAsia"/>
              </w:rPr>
              <w:br w:type="textWrapping"/>
            </w:r>
            <w:r>
              <w:rPr>
                <w:rStyle w:val="11"/>
                <w:rFonts w:hint="eastAsia"/>
              </w:rPr>
              <w:t xml:space="preserve">中毒症状：对眼睛、皮肤、粘膜有刺激性，使用时请注意防护，无其他明显中毒症状。 急救措施：使用中或使用后如感觉不适，应立即停止工作，采取急救措施，携带本标签到医院就诊。 皮肤接触：脱去污染的衣服，用大量清水和肥皂冲洗皮肤。 眼睛溅入：立即用清水冲洗眼睛至少15分钟。 吸入：立即离开施药现场，转移至空气新鲜处。 误服：不慎误服，立即携带标签送医院就诊。应先洗胃，再用活性炭和硫酸钠处理，监测肝、肾、血红球数及呼吸和心脏功能，透析消除（强制碱利尿）。 </w:t>
            </w:r>
          </w:p>
        </w:tc>
      </w:tr>
      <w:tr w14:paraId="2E051644">
        <w:tblPrEx>
          <w:tblCellMar>
            <w:top w:w="0" w:type="dxa"/>
            <w:left w:w="0" w:type="dxa"/>
            <w:bottom w:w="0" w:type="dxa"/>
            <w:right w:w="0" w:type="dxa"/>
          </w:tblCellMar>
        </w:tblPrEx>
        <w:trPr>
          <w:wBefore w:w="0" w:type="auto"/>
          <w:tblCellSpacing w:w="0" w:type="dxa"/>
        </w:trPr>
        <w:tc>
          <w:tcPr>
            <w:tcW w:w="0" w:type="auto"/>
            <w:noWrap w:val="0"/>
            <w:vAlign w:val="center"/>
          </w:tcPr>
          <w:p w14:paraId="3C60379E">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本品应贮存在干燥、阴凉、通风、防雨处，远离火源或热源。置于儿童、无关人员及动物接触不到的地方，并加锁保存。勿与食品、种子、饮料、饲料、粮食等同贮同运。 </w:t>
            </w:r>
          </w:p>
        </w:tc>
      </w:tr>
      <w:tr w14:paraId="1EB89E96">
        <w:tblPrEx>
          <w:tblCellMar>
            <w:top w:w="0" w:type="dxa"/>
            <w:left w:w="0" w:type="dxa"/>
            <w:bottom w:w="0" w:type="dxa"/>
            <w:right w:w="0" w:type="dxa"/>
          </w:tblCellMar>
        </w:tblPrEx>
        <w:trPr>
          <w:wBefore w:w="0" w:type="auto"/>
          <w:tblCellSpacing w:w="0" w:type="dxa"/>
        </w:trPr>
        <w:tc>
          <w:tcPr>
            <w:tcW w:w="0" w:type="auto"/>
            <w:noWrap w:val="0"/>
            <w:vAlign w:val="center"/>
          </w:tcPr>
          <w:p w14:paraId="75B9B2CB">
            <w:r>
              <w:rPr>
                <w:rStyle w:val="10"/>
                <w:rFonts w:hint="eastAsia"/>
              </w:rPr>
              <w:t>质量保证期：</w:t>
            </w:r>
            <w:r>
              <w:rPr>
                <w:rStyle w:val="11"/>
                <w:rFonts w:hint="eastAsia"/>
              </w:rPr>
              <w:t>2年</w:t>
            </w:r>
          </w:p>
        </w:tc>
      </w:tr>
      <w:tr w14:paraId="0B5296D5">
        <w:tblPrEx>
          <w:tblCellMar>
            <w:top w:w="0" w:type="dxa"/>
            <w:left w:w="0" w:type="dxa"/>
            <w:bottom w:w="0" w:type="dxa"/>
            <w:right w:w="0" w:type="dxa"/>
          </w:tblCellMar>
        </w:tblPrEx>
        <w:trPr>
          <w:wBefore w:w="0" w:type="auto"/>
          <w:tblCellSpacing w:w="0" w:type="dxa"/>
        </w:trPr>
        <w:tc>
          <w:tcPr>
            <w:tcW w:w="0" w:type="auto"/>
            <w:noWrap w:val="0"/>
            <w:vAlign w:val="center"/>
          </w:tcPr>
          <w:p w14:paraId="74A685E7">
            <w:r>
              <w:rPr>
                <w:rStyle w:val="10"/>
                <w:rFonts w:hint="eastAsia"/>
              </w:rPr>
              <w:t>备注：</w:t>
            </w:r>
            <w:r>
              <w:rPr>
                <w:rFonts w:hint="eastAsia"/>
              </w:rPr>
              <w:br w:type="textWrapping"/>
            </w:r>
            <w:r>
              <w:rPr>
                <w:rStyle w:val="11"/>
                <w:rFonts w:hint="eastAsia"/>
              </w:rPr>
              <w:t>甲基二磺隆3.1%。</w:t>
            </w:r>
          </w:p>
        </w:tc>
      </w:tr>
    </w:tbl>
    <w:p w14:paraId="503F2F7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5C551F7">
        <w:tblPrEx>
          <w:tblCellMar>
            <w:top w:w="0" w:type="dxa"/>
            <w:left w:w="0" w:type="dxa"/>
            <w:bottom w:w="0" w:type="dxa"/>
            <w:right w:w="0" w:type="dxa"/>
          </w:tblCellMar>
        </w:tblPrEx>
        <w:trPr>
          <w:wBefore w:w="0" w:type="auto"/>
          <w:tblCellSpacing w:w="0" w:type="dxa"/>
        </w:trPr>
        <w:tc>
          <w:tcPr>
            <w:tcW w:w="0" w:type="auto"/>
            <w:noWrap w:val="0"/>
            <w:vAlign w:val="center"/>
          </w:tcPr>
          <w:p w14:paraId="3FF1F472">
            <w:r>
              <w:rPr>
                <w:rStyle w:val="10"/>
                <w:rFonts w:hint="eastAsia"/>
              </w:rPr>
              <w:t>登记证号：</w:t>
            </w:r>
            <w:r>
              <w:rPr>
                <w:rFonts w:hint="eastAsia"/>
              </w:rPr>
              <w:t>PD20212290</w:t>
            </w:r>
          </w:p>
        </w:tc>
      </w:tr>
      <w:tr w14:paraId="7075D6A7">
        <w:tblPrEx>
          <w:tblCellMar>
            <w:top w:w="0" w:type="dxa"/>
            <w:left w:w="0" w:type="dxa"/>
            <w:bottom w:w="0" w:type="dxa"/>
            <w:right w:w="0" w:type="dxa"/>
          </w:tblCellMar>
        </w:tblPrEx>
        <w:trPr>
          <w:wBefore w:w="0" w:type="auto"/>
          <w:tblCellSpacing w:w="0" w:type="dxa"/>
        </w:trPr>
        <w:tc>
          <w:tcPr>
            <w:tcW w:w="0" w:type="auto"/>
            <w:noWrap w:val="0"/>
            <w:vAlign w:val="center"/>
          </w:tcPr>
          <w:p w14:paraId="7A6E93D7">
            <w:r>
              <w:rPr>
                <w:rStyle w:val="10"/>
                <w:rFonts w:hint="eastAsia"/>
              </w:rPr>
              <w:t>登记证持有人：</w:t>
            </w:r>
            <w:r>
              <w:rPr>
                <w:rFonts w:hint="eastAsia"/>
              </w:rPr>
              <w:t>安道麦安邦（江苏）有限公司</w:t>
            </w:r>
          </w:p>
        </w:tc>
      </w:tr>
      <w:tr w14:paraId="27E4A74A">
        <w:tblPrEx>
          <w:tblCellMar>
            <w:top w:w="0" w:type="dxa"/>
            <w:left w:w="0" w:type="dxa"/>
            <w:bottom w:w="0" w:type="dxa"/>
            <w:right w:w="0" w:type="dxa"/>
          </w:tblCellMar>
        </w:tblPrEx>
        <w:trPr>
          <w:wBefore w:w="0" w:type="auto"/>
          <w:tblCellSpacing w:w="0" w:type="dxa"/>
        </w:trPr>
        <w:tc>
          <w:tcPr>
            <w:tcW w:w="0" w:type="auto"/>
            <w:noWrap w:val="0"/>
            <w:vAlign w:val="center"/>
          </w:tcPr>
          <w:p w14:paraId="182AC16E">
            <w:r>
              <w:rPr>
                <w:rStyle w:val="10"/>
                <w:rFonts w:hint="eastAsia"/>
              </w:rPr>
              <w:t>农药名称：</w:t>
            </w:r>
            <w:r>
              <w:rPr>
                <w:rFonts w:hint="eastAsia"/>
              </w:rPr>
              <w:t>氟乐灵</w:t>
            </w:r>
          </w:p>
        </w:tc>
      </w:tr>
      <w:tr w14:paraId="4842A654">
        <w:tblPrEx>
          <w:tblCellMar>
            <w:top w:w="0" w:type="dxa"/>
            <w:left w:w="0" w:type="dxa"/>
            <w:bottom w:w="0" w:type="dxa"/>
            <w:right w:w="0" w:type="dxa"/>
          </w:tblCellMar>
        </w:tblPrEx>
        <w:trPr>
          <w:wBefore w:w="0" w:type="auto"/>
          <w:tblCellSpacing w:w="0" w:type="dxa"/>
        </w:trPr>
        <w:tc>
          <w:tcPr>
            <w:tcW w:w="0" w:type="auto"/>
            <w:noWrap w:val="0"/>
            <w:vAlign w:val="center"/>
          </w:tcPr>
          <w:p w14:paraId="4913F771">
            <w:r>
              <w:rPr>
                <w:rStyle w:val="10"/>
                <w:rFonts w:hint="eastAsia"/>
              </w:rPr>
              <w:t>剂型：</w:t>
            </w:r>
            <w:r>
              <w:rPr>
                <w:rFonts w:hint="eastAsia"/>
              </w:rPr>
              <w:t>乳油</w:t>
            </w:r>
          </w:p>
        </w:tc>
      </w:tr>
      <w:tr w14:paraId="14266A53">
        <w:tblPrEx>
          <w:tblCellMar>
            <w:top w:w="0" w:type="dxa"/>
            <w:left w:w="0" w:type="dxa"/>
            <w:bottom w:w="0" w:type="dxa"/>
            <w:right w:w="0" w:type="dxa"/>
          </w:tblCellMar>
        </w:tblPrEx>
        <w:trPr>
          <w:wBefore w:w="0" w:type="auto"/>
          <w:tblCellSpacing w:w="0" w:type="dxa"/>
        </w:trPr>
        <w:tc>
          <w:tcPr>
            <w:tcW w:w="0" w:type="auto"/>
            <w:noWrap w:val="0"/>
            <w:vAlign w:val="center"/>
          </w:tcPr>
          <w:p w14:paraId="290DEC97">
            <w:r>
              <w:rPr>
                <w:rStyle w:val="10"/>
                <w:rFonts w:hint="eastAsia"/>
              </w:rPr>
              <w:t>毒性及其标识：</w:t>
            </w:r>
            <w:r>
              <w:rPr>
                <w:rFonts w:hint="eastAsia"/>
              </w:rPr>
              <w:t xml:space="preserve"> </w:t>
            </w:r>
            <w:r>
              <w:rPr>
                <w:lang/>
              </w:rPr>
              <w:drawing>
                <wp:inline distT="0" distB="0" distL="114300" distR="114300">
                  <wp:extent cx="476250" cy="323850"/>
                  <wp:effectExtent l="0" t="0" r="0" b="0"/>
                  <wp:docPr id="153" name="图片 15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2881442">
        <w:tblPrEx>
          <w:tblCellMar>
            <w:top w:w="0" w:type="dxa"/>
            <w:left w:w="0" w:type="dxa"/>
            <w:bottom w:w="0" w:type="dxa"/>
            <w:right w:w="0" w:type="dxa"/>
          </w:tblCellMar>
        </w:tblPrEx>
        <w:trPr>
          <w:wBefore w:w="0" w:type="auto"/>
          <w:tblCellSpacing w:w="0" w:type="dxa"/>
        </w:trPr>
        <w:tc>
          <w:tcPr>
            <w:tcW w:w="0" w:type="auto"/>
            <w:noWrap w:val="0"/>
            <w:vAlign w:val="center"/>
          </w:tcPr>
          <w:p w14:paraId="627AF8E5">
            <w:r>
              <w:rPr>
                <w:rStyle w:val="10"/>
                <w:rFonts w:hint="eastAsia"/>
              </w:rPr>
              <w:t>总有效成分含量：</w:t>
            </w:r>
            <w:r>
              <w:rPr>
                <w:rFonts w:hint="eastAsia"/>
              </w:rPr>
              <w:t>480克/升</w:t>
            </w:r>
          </w:p>
        </w:tc>
      </w:tr>
      <w:tr w14:paraId="4CBCC026">
        <w:tblPrEx>
          <w:tblCellMar>
            <w:top w:w="0" w:type="dxa"/>
            <w:left w:w="0" w:type="dxa"/>
            <w:bottom w:w="0" w:type="dxa"/>
            <w:right w:w="0" w:type="dxa"/>
          </w:tblCellMar>
        </w:tblPrEx>
        <w:trPr>
          <w:wBefore w:w="0" w:type="auto"/>
          <w:tblCellSpacing w:w="0" w:type="dxa"/>
        </w:trPr>
        <w:tc>
          <w:tcPr>
            <w:tcW w:w="0" w:type="auto"/>
            <w:noWrap w:val="0"/>
            <w:vAlign w:val="center"/>
          </w:tcPr>
          <w:p w14:paraId="70CF1827">
            <w:r>
              <w:rPr>
                <w:rFonts w:hint="eastAsia"/>
              </w:rPr>
              <w:t xml:space="preserve">有效成分及其含量： </w:t>
            </w:r>
          </w:p>
          <w:p w14:paraId="3E76A399">
            <w:r>
              <w:rPr>
                <w:rFonts w:hint="eastAsia"/>
              </w:rPr>
              <w:t xml:space="preserve">    氟乐灵480克/升    </w:t>
            </w:r>
          </w:p>
        </w:tc>
      </w:tr>
      <w:tr w14:paraId="1C000ED7">
        <w:tblPrEx>
          <w:tblCellMar>
            <w:top w:w="0" w:type="dxa"/>
            <w:left w:w="0" w:type="dxa"/>
            <w:bottom w:w="0" w:type="dxa"/>
            <w:right w:w="0" w:type="dxa"/>
          </w:tblCellMar>
        </w:tblPrEx>
        <w:trPr>
          <w:wBefore w:w="0" w:type="auto"/>
          <w:tblCellSpacing w:w="0" w:type="dxa"/>
        </w:trPr>
        <w:tc>
          <w:tcPr>
            <w:tcW w:w="0" w:type="auto"/>
            <w:noWrap w:val="0"/>
            <w:vAlign w:val="center"/>
          </w:tcPr>
          <w:p w14:paraId="0827F6E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6E82E2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5BCA69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AC821A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6F4C9F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75085AB">
                  <w:r>
                    <w:rPr>
                      <w:rStyle w:val="11"/>
                      <w:rFonts w:hint="eastAsia"/>
                    </w:rPr>
                    <w:t>施用方式</w:t>
                  </w:r>
                </w:p>
              </w:tc>
            </w:tr>
            <w:tr w14:paraId="1583DA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4CACBDB">
                  <w:r>
                    <w:rPr>
                      <w:rStyle w:val="11"/>
                      <w:rFonts w:hint="eastAsia"/>
                    </w:rPr>
                    <w:t>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E2D72D">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3BE1D7">
                  <w:r>
                    <w:rPr>
                      <w:rStyle w:val="11"/>
                      <w:rFonts w:hint="eastAsia"/>
                    </w:rPr>
                    <w:t>125-175毫升/亩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AD8186">
                  <w:r>
                    <w:rPr>
                      <w:rStyle w:val="11"/>
                      <w:rFonts w:hint="eastAsia"/>
                    </w:rPr>
                    <w:t>土壤喷雾</w:t>
                  </w:r>
                </w:p>
              </w:tc>
            </w:tr>
          </w:tbl>
          <w:p w14:paraId="280DCFBF">
            <w:pPr>
              <w:rPr>
                <w:rFonts w:ascii="Times New Roman" w:hAnsi="Times New Roman" w:cs="Times New Roman"/>
                <w:sz w:val="20"/>
                <w:szCs w:val="20"/>
              </w:rPr>
            </w:pPr>
          </w:p>
        </w:tc>
      </w:tr>
      <w:tr w14:paraId="1A5707C4">
        <w:tblPrEx>
          <w:tblCellMar>
            <w:top w:w="0" w:type="dxa"/>
            <w:left w:w="0" w:type="dxa"/>
            <w:bottom w:w="0" w:type="dxa"/>
            <w:right w:w="0" w:type="dxa"/>
          </w:tblCellMar>
        </w:tblPrEx>
        <w:trPr>
          <w:wBefore w:w="0" w:type="auto"/>
          <w:tblCellSpacing w:w="0" w:type="dxa"/>
        </w:trPr>
        <w:tc>
          <w:tcPr>
            <w:tcW w:w="0" w:type="auto"/>
            <w:noWrap w:val="0"/>
            <w:vAlign w:val="center"/>
          </w:tcPr>
          <w:p w14:paraId="1CF5A448">
            <w:r>
              <w:rPr>
                <w:rStyle w:val="10"/>
                <w:rFonts w:hint="eastAsia"/>
              </w:rPr>
              <w:t>使用技术要求:</w:t>
            </w:r>
            <w:r>
              <w:rPr>
                <w:rFonts w:hint="eastAsia"/>
              </w:rPr>
              <w:br w:type="textWrapping"/>
            </w:r>
            <w:r>
              <w:rPr>
                <w:rStyle w:val="11"/>
                <w:rFonts w:hint="eastAsia"/>
              </w:rPr>
              <w:t>1.大豆田施药必须在播种前进行土壤喷雾处理 ，施药后5-7天播种作物。 2.施药后必须及时耙地混土5厘米左右，防止药剂光解失效，喷后立即混土；注意切勿使药液漂移到邻近作物上。3.本品在大豆作物上使用每个作物周期的最多使用次数为1次。4.大风天请勿施药。5.施药时防止药液飘移到邻近作物，以免产生药害；6.氟乐灵土壤残效期较长，注意合理安排后茬作物，保证安全间隔期。7.本品每季最多使用1次。</w:t>
            </w:r>
          </w:p>
        </w:tc>
      </w:tr>
      <w:tr w14:paraId="66D0E87A">
        <w:tblPrEx>
          <w:tblCellMar>
            <w:top w:w="0" w:type="dxa"/>
            <w:left w:w="0" w:type="dxa"/>
            <w:bottom w:w="0" w:type="dxa"/>
            <w:right w:w="0" w:type="dxa"/>
          </w:tblCellMar>
        </w:tblPrEx>
        <w:trPr>
          <w:wBefore w:w="0" w:type="auto"/>
          <w:tblCellSpacing w:w="0" w:type="dxa"/>
        </w:trPr>
        <w:tc>
          <w:tcPr>
            <w:tcW w:w="0" w:type="auto"/>
            <w:noWrap w:val="0"/>
            <w:vAlign w:val="center"/>
          </w:tcPr>
          <w:p w14:paraId="79FBA215">
            <w:r>
              <w:rPr>
                <w:rStyle w:val="10"/>
                <w:rFonts w:hint="eastAsia"/>
              </w:rPr>
              <w:t>产品性能:</w:t>
            </w:r>
            <w:r>
              <w:rPr>
                <w:rFonts w:hint="eastAsia"/>
              </w:rPr>
              <w:br w:type="textWrapping"/>
            </w:r>
            <w:r>
              <w:rPr>
                <w:rStyle w:val="11"/>
                <w:rFonts w:hint="eastAsia"/>
              </w:rPr>
              <w:t>本品是一种二硝基苯胺类，选择性触杀型土壤处理剂，用于大豆田，可有效防除一年生杂草，在推荐剂量下使用对作物安全。</w:t>
            </w:r>
          </w:p>
        </w:tc>
      </w:tr>
      <w:tr w14:paraId="4E324EA3">
        <w:tblPrEx>
          <w:tblCellMar>
            <w:top w:w="0" w:type="dxa"/>
            <w:left w:w="0" w:type="dxa"/>
            <w:bottom w:w="0" w:type="dxa"/>
            <w:right w:w="0" w:type="dxa"/>
          </w:tblCellMar>
        </w:tblPrEx>
        <w:trPr>
          <w:wBefore w:w="0" w:type="auto"/>
          <w:tblCellSpacing w:w="0" w:type="dxa"/>
        </w:trPr>
        <w:tc>
          <w:tcPr>
            <w:tcW w:w="0" w:type="auto"/>
            <w:noWrap w:val="0"/>
            <w:vAlign w:val="center"/>
          </w:tcPr>
          <w:p w14:paraId="3F06B0B7">
            <w:r>
              <w:rPr>
                <w:rStyle w:val="10"/>
                <w:rFonts w:hint="eastAsia"/>
              </w:rPr>
              <w:t>注意事项：</w:t>
            </w:r>
            <w:r>
              <w:rPr>
                <w:rFonts w:hint="eastAsia"/>
              </w:rPr>
              <w:br w:type="textWrapping"/>
            </w:r>
            <w:r>
              <w:rPr>
                <w:rStyle w:val="11"/>
                <w:rFonts w:hint="eastAsia"/>
              </w:rPr>
              <w:t>1.孕妇及哺乳期妇女禁止接触本品。2.本品对鱼类等水生生物有毒，远离水产养殖区施药，禁止在河塘等水体中清洗施药器具。施药时，应将最外围桑树设置为隔离带。3.要求整地要平细，喷洒要均匀，混土要彻底。4.使用本品时应穿戴帽子、口罩、长衣、长裤、手套、鞋。避免吸入药液。施药期间不可吃东西和饮水。施药后应及时洗手和洗脸。5.使用后剩下的药液不可倒入河塘等水域；不要将包装废弃物随便丢弃，应根据环保要求妥善处理。</w:t>
            </w:r>
          </w:p>
        </w:tc>
      </w:tr>
      <w:tr w14:paraId="17CE6F78">
        <w:tblPrEx>
          <w:tblCellMar>
            <w:top w:w="0" w:type="dxa"/>
            <w:left w:w="0" w:type="dxa"/>
            <w:bottom w:w="0" w:type="dxa"/>
            <w:right w:w="0" w:type="dxa"/>
          </w:tblCellMar>
        </w:tblPrEx>
        <w:trPr>
          <w:wBefore w:w="0" w:type="auto"/>
          <w:tblCellSpacing w:w="0" w:type="dxa"/>
        </w:trPr>
        <w:tc>
          <w:tcPr>
            <w:tcW w:w="0" w:type="auto"/>
            <w:noWrap w:val="0"/>
            <w:vAlign w:val="center"/>
          </w:tcPr>
          <w:p w14:paraId="48A36B11">
            <w:r>
              <w:rPr>
                <w:rStyle w:val="10"/>
                <w:rFonts w:hint="eastAsia"/>
              </w:rPr>
              <w:t>中毒急救措施：</w:t>
            </w:r>
            <w:r>
              <w:rPr>
                <w:rFonts w:hint="eastAsia"/>
              </w:rPr>
              <w:br w:type="textWrapping"/>
            </w:r>
            <w:r>
              <w:rPr>
                <w:rStyle w:val="11"/>
                <w:rFonts w:hint="eastAsia"/>
              </w:rPr>
              <w:t>对眼睛、皮肤有刺激性，使用时避免接触眼睛、皮肤。吸入中毒：头疼、眩晕、昏迷；误食：恶心、头疼、抽筋、呕吐；眼睛接触后可能会刺激眼睛。无特殊解毒药剂。不慎药液接触皮肤，尽快用大量清水和肥皂清洗皮肤表面。不慎药液接触眼睛，尽快用清水冲洗眼睛至少15分钟。吸入中毒者，立即将其移到空气新鲜处。如果呼吸困难，可进行人工呼吸。不慎吞服药液，用大量水漱口。不要给昏迷患者喂食任何东西然。携标签将病人送往医院。</w:t>
            </w:r>
          </w:p>
        </w:tc>
      </w:tr>
      <w:tr w14:paraId="68600F64">
        <w:tblPrEx>
          <w:tblCellMar>
            <w:top w:w="0" w:type="dxa"/>
            <w:left w:w="0" w:type="dxa"/>
            <w:bottom w:w="0" w:type="dxa"/>
            <w:right w:w="0" w:type="dxa"/>
          </w:tblCellMar>
        </w:tblPrEx>
        <w:trPr>
          <w:wBefore w:w="0" w:type="auto"/>
          <w:tblCellSpacing w:w="0" w:type="dxa"/>
        </w:trPr>
        <w:tc>
          <w:tcPr>
            <w:tcW w:w="0" w:type="auto"/>
            <w:noWrap w:val="0"/>
            <w:vAlign w:val="center"/>
          </w:tcPr>
          <w:p w14:paraId="5C6C466C">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本品应贮存在干燥、阴凉、通风、防雨处，远离火源或热源。置于儿童触及不到之处，并加锁。勿与食品、饮料、粮食、饲料等其他商品同贮同运。</w:t>
            </w:r>
          </w:p>
        </w:tc>
      </w:tr>
      <w:tr w14:paraId="1C984C48">
        <w:tblPrEx>
          <w:tblCellMar>
            <w:top w:w="0" w:type="dxa"/>
            <w:left w:w="0" w:type="dxa"/>
            <w:bottom w:w="0" w:type="dxa"/>
            <w:right w:w="0" w:type="dxa"/>
          </w:tblCellMar>
        </w:tblPrEx>
        <w:trPr>
          <w:wBefore w:w="0" w:type="auto"/>
          <w:tblCellSpacing w:w="0" w:type="dxa"/>
        </w:trPr>
        <w:tc>
          <w:tcPr>
            <w:tcW w:w="0" w:type="auto"/>
            <w:noWrap w:val="0"/>
            <w:vAlign w:val="center"/>
          </w:tcPr>
          <w:p w14:paraId="44D962A0">
            <w:r>
              <w:rPr>
                <w:rStyle w:val="10"/>
                <w:rFonts w:hint="eastAsia"/>
              </w:rPr>
              <w:t>质量保证期：</w:t>
            </w:r>
            <w:r>
              <w:rPr>
                <w:rStyle w:val="11"/>
                <w:rFonts w:hint="eastAsia"/>
              </w:rPr>
              <w:t>2年</w:t>
            </w:r>
          </w:p>
        </w:tc>
      </w:tr>
      <w:tr w14:paraId="517C4034">
        <w:tblPrEx>
          <w:tblCellMar>
            <w:top w:w="0" w:type="dxa"/>
            <w:left w:w="0" w:type="dxa"/>
            <w:bottom w:w="0" w:type="dxa"/>
            <w:right w:w="0" w:type="dxa"/>
          </w:tblCellMar>
        </w:tblPrEx>
        <w:trPr>
          <w:wBefore w:w="0" w:type="auto"/>
          <w:tblCellSpacing w:w="0" w:type="dxa"/>
        </w:trPr>
        <w:tc>
          <w:tcPr>
            <w:tcW w:w="0" w:type="auto"/>
            <w:noWrap w:val="0"/>
            <w:vAlign w:val="center"/>
          </w:tcPr>
          <w:p w14:paraId="1357E805">
            <w:r>
              <w:rPr>
                <w:rStyle w:val="10"/>
                <w:rFonts w:hint="eastAsia"/>
              </w:rPr>
              <w:t>备注：</w:t>
            </w:r>
          </w:p>
        </w:tc>
      </w:tr>
    </w:tbl>
    <w:p w14:paraId="304CA7E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E91D5F">
        <w:tblPrEx>
          <w:tblCellMar>
            <w:top w:w="0" w:type="dxa"/>
            <w:left w:w="0" w:type="dxa"/>
            <w:bottom w:w="0" w:type="dxa"/>
            <w:right w:w="0" w:type="dxa"/>
          </w:tblCellMar>
        </w:tblPrEx>
        <w:trPr>
          <w:wBefore w:w="0" w:type="auto"/>
          <w:tblCellSpacing w:w="0" w:type="dxa"/>
        </w:trPr>
        <w:tc>
          <w:tcPr>
            <w:tcW w:w="0" w:type="auto"/>
            <w:noWrap w:val="0"/>
            <w:vAlign w:val="center"/>
          </w:tcPr>
          <w:p w14:paraId="1C92B3F4">
            <w:r>
              <w:rPr>
                <w:rStyle w:val="10"/>
                <w:rFonts w:hint="eastAsia"/>
              </w:rPr>
              <w:t>登记证号：</w:t>
            </w:r>
            <w:r>
              <w:rPr>
                <w:rFonts w:hint="eastAsia"/>
              </w:rPr>
              <w:t>PD20211700</w:t>
            </w:r>
          </w:p>
        </w:tc>
      </w:tr>
      <w:tr w14:paraId="68C2F7E4">
        <w:tblPrEx>
          <w:tblCellMar>
            <w:top w:w="0" w:type="dxa"/>
            <w:left w:w="0" w:type="dxa"/>
            <w:bottom w:w="0" w:type="dxa"/>
            <w:right w:w="0" w:type="dxa"/>
          </w:tblCellMar>
        </w:tblPrEx>
        <w:trPr>
          <w:wBefore w:w="0" w:type="auto"/>
          <w:tblCellSpacing w:w="0" w:type="dxa"/>
        </w:trPr>
        <w:tc>
          <w:tcPr>
            <w:tcW w:w="0" w:type="auto"/>
            <w:noWrap w:val="0"/>
            <w:vAlign w:val="center"/>
          </w:tcPr>
          <w:p w14:paraId="0B2A99DC">
            <w:r>
              <w:rPr>
                <w:rStyle w:val="10"/>
                <w:rFonts w:hint="eastAsia"/>
              </w:rPr>
              <w:t>登记证持有人：</w:t>
            </w:r>
            <w:r>
              <w:rPr>
                <w:rFonts w:hint="eastAsia"/>
              </w:rPr>
              <w:t>河南省安阳市红旗药业有限公司</w:t>
            </w:r>
          </w:p>
        </w:tc>
      </w:tr>
      <w:tr w14:paraId="049E7513">
        <w:tblPrEx>
          <w:tblCellMar>
            <w:top w:w="0" w:type="dxa"/>
            <w:left w:w="0" w:type="dxa"/>
            <w:bottom w:w="0" w:type="dxa"/>
            <w:right w:w="0" w:type="dxa"/>
          </w:tblCellMar>
        </w:tblPrEx>
        <w:trPr>
          <w:wBefore w:w="0" w:type="auto"/>
          <w:tblCellSpacing w:w="0" w:type="dxa"/>
        </w:trPr>
        <w:tc>
          <w:tcPr>
            <w:tcW w:w="0" w:type="auto"/>
            <w:noWrap w:val="0"/>
            <w:vAlign w:val="center"/>
          </w:tcPr>
          <w:p w14:paraId="3782304E">
            <w:r>
              <w:rPr>
                <w:rStyle w:val="10"/>
                <w:rFonts w:hint="eastAsia"/>
              </w:rPr>
              <w:t>农药名称：</w:t>
            </w:r>
            <w:r>
              <w:rPr>
                <w:rFonts w:hint="eastAsia"/>
              </w:rPr>
              <w:t>咯菌·噻虫胺</w:t>
            </w:r>
          </w:p>
        </w:tc>
      </w:tr>
      <w:tr w14:paraId="081930E4">
        <w:tblPrEx>
          <w:tblCellMar>
            <w:top w:w="0" w:type="dxa"/>
            <w:left w:w="0" w:type="dxa"/>
            <w:bottom w:w="0" w:type="dxa"/>
            <w:right w:w="0" w:type="dxa"/>
          </w:tblCellMar>
        </w:tblPrEx>
        <w:trPr>
          <w:wBefore w:w="0" w:type="auto"/>
          <w:tblCellSpacing w:w="0" w:type="dxa"/>
        </w:trPr>
        <w:tc>
          <w:tcPr>
            <w:tcW w:w="0" w:type="auto"/>
            <w:noWrap w:val="0"/>
            <w:vAlign w:val="center"/>
          </w:tcPr>
          <w:p w14:paraId="5792245C">
            <w:r>
              <w:rPr>
                <w:rStyle w:val="10"/>
                <w:rFonts w:hint="eastAsia"/>
              </w:rPr>
              <w:t>剂型：</w:t>
            </w:r>
            <w:r>
              <w:rPr>
                <w:rFonts w:hint="eastAsia"/>
              </w:rPr>
              <w:t>种子处理悬浮剂</w:t>
            </w:r>
          </w:p>
        </w:tc>
      </w:tr>
      <w:tr w14:paraId="19D6A8FE">
        <w:tblPrEx>
          <w:tblCellMar>
            <w:top w:w="0" w:type="dxa"/>
            <w:left w:w="0" w:type="dxa"/>
            <w:bottom w:w="0" w:type="dxa"/>
            <w:right w:w="0" w:type="dxa"/>
          </w:tblCellMar>
        </w:tblPrEx>
        <w:trPr>
          <w:wBefore w:w="0" w:type="auto"/>
          <w:tblCellSpacing w:w="0" w:type="dxa"/>
        </w:trPr>
        <w:tc>
          <w:tcPr>
            <w:tcW w:w="0" w:type="auto"/>
            <w:noWrap w:val="0"/>
            <w:vAlign w:val="center"/>
          </w:tcPr>
          <w:p w14:paraId="665D2CD6">
            <w:r>
              <w:rPr>
                <w:rStyle w:val="10"/>
                <w:rFonts w:hint="eastAsia"/>
              </w:rPr>
              <w:t>毒性及其标识：</w:t>
            </w:r>
            <w:r>
              <w:rPr>
                <w:rFonts w:hint="eastAsia"/>
              </w:rPr>
              <w:t xml:space="preserve"> 微毒 </w:t>
            </w:r>
          </w:p>
        </w:tc>
      </w:tr>
      <w:tr w14:paraId="7881B1D0">
        <w:tblPrEx>
          <w:tblCellMar>
            <w:top w:w="0" w:type="dxa"/>
            <w:left w:w="0" w:type="dxa"/>
            <w:bottom w:w="0" w:type="dxa"/>
            <w:right w:w="0" w:type="dxa"/>
          </w:tblCellMar>
        </w:tblPrEx>
        <w:trPr>
          <w:wBefore w:w="0" w:type="auto"/>
          <w:tblCellSpacing w:w="0" w:type="dxa"/>
        </w:trPr>
        <w:tc>
          <w:tcPr>
            <w:tcW w:w="0" w:type="auto"/>
            <w:noWrap w:val="0"/>
            <w:vAlign w:val="center"/>
          </w:tcPr>
          <w:p w14:paraId="0C2BAC8C">
            <w:r>
              <w:rPr>
                <w:rStyle w:val="10"/>
                <w:rFonts w:hint="eastAsia"/>
              </w:rPr>
              <w:t>总有效成分含量：</w:t>
            </w:r>
            <w:r>
              <w:rPr>
                <w:rFonts w:hint="eastAsia"/>
              </w:rPr>
              <w:t>5.5%</w:t>
            </w:r>
          </w:p>
        </w:tc>
      </w:tr>
      <w:tr w14:paraId="3537EBD0">
        <w:tblPrEx>
          <w:tblCellMar>
            <w:top w:w="0" w:type="dxa"/>
            <w:left w:w="0" w:type="dxa"/>
            <w:bottom w:w="0" w:type="dxa"/>
            <w:right w:w="0" w:type="dxa"/>
          </w:tblCellMar>
        </w:tblPrEx>
        <w:trPr>
          <w:wBefore w:w="0" w:type="auto"/>
          <w:tblCellSpacing w:w="0" w:type="dxa"/>
        </w:trPr>
        <w:tc>
          <w:tcPr>
            <w:tcW w:w="0" w:type="auto"/>
            <w:noWrap w:val="0"/>
            <w:vAlign w:val="center"/>
          </w:tcPr>
          <w:p w14:paraId="5173DE76">
            <w:r>
              <w:rPr>
                <w:rFonts w:hint="eastAsia"/>
              </w:rPr>
              <w:t xml:space="preserve">有效成分及其含量： </w:t>
            </w:r>
          </w:p>
          <w:p w14:paraId="639A1B1E">
            <w:r>
              <w:rPr>
                <w:rFonts w:hint="eastAsia"/>
              </w:rPr>
              <w:t xml:space="preserve">    噻虫胺5%    咯菌腈0.5%    </w:t>
            </w:r>
          </w:p>
        </w:tc>
      </w:tr>
      <w:tr w14:paraId="74A00FE9">
        <w:tblPrEx>
          <w:tblCellMar>
            <w:top w:w="0" w:type="dxa"/>
            <w:left w:w="0" w:type="dxa"/>
            <w:bottom w:w="0" w:type="dxa"/>
            <w:right w:w="0" w:type="dxa"/>
          </w:tblCellMar>
        </w:tblPrEx>
        <w:trPr>
          <w:wBefore w:w="0" w:type="auto"/>
          <w:tblCellSpacing w:w="0" w:type="dxa"/>
        </w:trPr>
        <w:tc>
          <w:tcPr>
            <w:tcW w:w="0" w:type="auto"/>
            <w:noWrap w:val="0"/>
            <w:vAlign w:val="center"/>
          </w:tcPr>
          <w:p w14:paraId="33C07E3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D0E09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01E19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83AE2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58B87C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FF95B5">
                  <w:r>
                    <w:rPr>
                      <w:rStyle w:val="11"/>
                      <w:rFonts w:hint="eastAsia"/>
                    </w:rPr>
                    <w:t>施用方式</w:t>
                  </w:r>
                </w:p>
              </w:tc>
            </w:tr>
            <w:tr w14:paraId="12CB24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145513">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45C03C">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FFBDFD">
                  <w:r>
                    <w:rPr>
                      <w:rStyle w:val="11"/>
                      <w:rFonts w:hint="eastAsia"/>
                    </w:rPr>
                    <w:t>3600-4800毫升/100千克种子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2C1387">
                  <w:r>
                    <w:rPr>
                      <w:rStyle w:val="11"/>
                      <w:rFonts w:hint="eastAsia"/>
                    </w:rPr>
                    <w:t>种子包衣</w:t>
                  </w:r>
                </w:p>
              </w:tc>
            </w:tr>
            <w:tr w14:paraId="214262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FC3EEF6">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27B495">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DE5871">
                  <w:r>
                    <w:rPr>
                      <w:rStyle w:val="11"/>
                      <w:rFonts w:hint="eastAsia"/>
                    </w:rPr>
                    <w:t>3600-4800毫升/100千克种子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01C7EA">
                  <w:r>
                    <w:rPr>
                      <w:rStyle w:val="11"/>
                      <w:rFonts w:hint="eastAsia"/>
                    </w:rPr>
                    <w:t>种子包衣</w:t>
                  </w:r>
                </w:p>
              </w:tc>
            </w:tr>
          </w:tbl>
          <w:p w14:paraId="1EBC4354">
            <w:pPr>
              <w:rPr>
                <w:rFonts w:ascii="Times New Roman" w:hAnsi="Times New Roman" w:cs="Times New Roman"/>
                <w:sz w:val="20"/>
                <w:szCs w:val="20"/>
              </w:rPr>
            </w:pPr>
          </w:p>
        </w:tc>
      </w:tr>
      <w:tr w14:paraId="0E150CAF">
        <w:tblPrEx>
          <w:tblCellMar>
            <w:top w:w="0" w:type="dxa"/>
            <w:left w:w="0" w:type="dxa"/>
            <w:bottom w:w="0" w:type="dxa"/>
            <w:right w:w="0" w:type="dxa"/>
          </w:tblCellMar>
        </w:tblPrEx>
        <w:trPr>
          <w:wBefore w:w="0" w:type="auto"/>
          <w:tblCellSpacing w:w="0" w:type="dxa"/>
        </w:trPr>
        <w:tc>
          <w:tcPr>
            <w:tcW w:w="0" w:type="auto"/>
            <w:noWrap w:val="0"/>
            <w:vAlign w:val="center"/>
          </w:tcPr>
          <w:p w14:paraId="0C4329DD">
            <w:r>
              <w:rPr>
                <w:rStyle w:val="10"/>
                <w:rFonts w:hint="eastAsia"/>
              </w:rPr>
              <w:t>使用技术要求:</w:t>
            </w:r>
            <w:r>
              <w:rPr>
                <w:rFonts w:hint="eastAsia"/>
              </w:rPr>
              <w:br w:type="textWrapping"/>
            </w:r>
            <w:r>
              <w:rPr>
                <w:rStyle w:val="11"/>
                <w:rFonts w:hint="eastAsia"/>
              </w:rPr>
              <w:t>1.按照播种量称取推荐用量的药剂，加入适量水稀释成药浆，将药浆和催芽后的种子充分搅拌均匀，在阴凉通风处平铺摊开，晾干后播种。 2.用于处理的种子应达到国家良种标准。 3.配制好的药液应在24小时内使用。</w:t>
            </w:r>
          </w:p>
        </w:tc>
      </w:tr>
      <w:tr w14:paraId="7033F06C">
        <w:tblPrEx>
          <w:tblCellMar>
            <w:top w:w="0" w:type="dxa"/>
            <w:left w:w="0" w:type="dxa"/>
            <w:bottom w:w="0" w:type="dxa"/>
            <w:right w:w="0" w:type="dxa"/>
          </w:tblCellMar>
        </w:tblPrEx>
        <w:trPr>
          <w:wBefore w:w="0" w:type="auto"/>
          <w:tblCellSpacing w:w="0" w:type="dxa"/>
        </w:trPr>
        <w:tc>
          <w:tcPr>
            <w:tcW w:w="0" w:type="auto"/>
            <w:noWrap w:val="0"/>
            <w:vAlign w:val="center"/>
          </w:tcPr>
          <w:p w14:paraId="2146FFFB">
            <w:r>
              <w:rPr>
                <w:rStyle w:val="10"/>
                <w:rFonts w:hint="eastAsia"/>
              </w:rPr>
              <w:t>产品性能:</w:t>
            </w:r>
            <w:r>
              <w:rPr>
                <w:rFonts w:hint="eastAsia"/>
              </w:rPr>
              <w:br w:type="textWrapping"/>
            </w:r>
            <w:r>
              <w:rPr>
                <w:rStyle w:val="11"/>
                <w:rFonts w:hint="eastAsia"/>
              </w:rPr>
              <w:t>本品为两元复配种衣剂，其中的噻虫胺是一种结构全新、广谱、低毒的烟碱类杀虫剂，用于种子处理，可被作物根部迅速内吸，并传导到植株各部位。咯菌腈为非内吸苯吡咯类化合物，两种有效成分混配可有效防治花生蛴螬、根腐病。</w:t>
            </w:r>
          </w:p>
        </w:tc>
      </w:tr>
      <w:tr w14:paraId="4CF9C54C">
        <w:tblPrEx>
          <w:tblCellMar>
            <w:top w:w="0" w:type="dxa"/>
            <w:left w:w="0" w:type="dxa"/>
            <w:bottom w:w="0" w:type="dxa"/>
            <w:right w:w="0" w:type="dxa"/>
          </w:tblCellMar>
        </w:tblPrEx>
        <w:trPr>
          <w:wBefore w:w="0" w:type="auto"/>
          <w:tblCellSpacing w:w="0" w:type="dxa"/>
        </w:trPr>
        <w:tc>
          <w:tcPr>
            <w:tcW w:w="0" w:type="auto"/>
            <w:noWrap w:val="0"/>
            <w:vAlign w:val="center"/>
          </w:tcPr>
          <w:p w14:paraId="42BD950F">
            <w:r>
              <w:rPr>
                <w:rStyle w:val="10"/>
                <w:rFonts w:hint="eastAsia"/>
              </w:rPr>
              <w:t>注意事项：</w:t>
            </w:r>
            <w:r>
              <w:rPr>
                <w:rFonts w:hint="eastAsia"/>
              </w:rPr>
              <w:br w:type="textWrapping"/>
            </w:r>
            <w:r>
              <w:rPr>
                <w:rStyle w:val="11"/>
                <w:rFonts w:hint="eastAsia"/>
              </w:rPr>
              <w:t>1.配药和种子处理应在通风处进行，操作人员应佩戴防渗手套、口罩，穿长袖衣、长裤、靴子等，此时不可饮食、吸烟等。种子处理结束后，彻底清洗防护用具、洗澡，并更换和清洗工作服。2.本品对鱼类等水生生物有毒，远离水产养殖区、河塘等水体施药，药液及其废液不得污染各类水域、土壤等环境，禁止在河塘等水体中清洗施药器具，勿将药液或空包装弃于水中。对鸟类和蜜蜂有毒性，建议鸟类保护区附近禁用，该产品在开花植物花期禁用，且使用时应密切关注对附近蜂群的影响。3.处理过的种子必须放置在有明显标签的容器内。勿与食物、饲料放在一起，不得饲喂禽畜，更不得用来加工饲料或食品。4.孕妇和哺乳期妇女禁止接触农药。使用后容器应妥善处理，不可随意丢弃或作他用。5.避免与氧化剂接触</w:t>
            </w:r>
          </w:p>
        </w:tc>
      </w:tr>
      <w:tr w14:paraId="61FDDE92">
        <w:tblPrEx>
          <w:tblCellMar>
            <w:top w:w="0" w:type="dxa"/>
            <w:left w:w="0" w:type="dxa"/>
            <w:bottom w:w="0" w:type="dxa"/>
            <w:right w:w="0" w:type="dxa"/>
          </w:tblCellMar>
        </w:tblPrEx>
        <w:trPr>
          <w:wBefore w:w="0" w:type="auto"/>
          <w:tblCellSpacing w:w="0" w:type="dxa"/>
        </w:trPr>
        <w:tc>
          <w:tcPr>
            <w:tcW w:w="0" w:type="auto"/>
            <w:noWrap w:val="0"/>
            <w:vAlign w:val="center"/>
          </w:tcPr>
          <w:p w14:paraId="1138FD4A">
            <w:r>
              <w:rPr>
                <w:rStyle w:val="10"/>
                <w:rFonts w:hint="eastAsia"/>
              </w:rPr>
              <w:t>中毒急救措施：</w:t>
            </w:r>
            <w:r>
              <w:rPr>
                <w:rFonts w:hint="eastAsia"/>
              </w:rPr>
              <w:br w:type="textWrapping"/>
            </w:r>
            <w:r>
              <w:rPr>
                <w:rStyle w:val="11"/>
                <w:rFonts w:hint="eastAsia"/>
              </w:rPr>
              <w:t>中毒症状：表现为头痛、头昏、恶心呕吐，双手颤抖，抽搐、惊厥、昏迷等。使用本产品时对眼睛和皮肤做好防护措施，如皮肤接触，用肥皂和大量的清水冲洗并换洗衣物；如不慎溅入眼睛立即用流动清水冲洗不少于15分钟；若误服，立即用大量水引发呕吐，若病人昏迷切勿引吐，立即携标签就医，对症治疗。不慎吸入，立即将吸入者转移到空气新鲜处，严重者携标签就医。</w:t>
            </w:r>
          </w:p>
        </w:tc>
      </w:tr>
      <w:tr w14:paraId="3574C88B">
        <w:tblPrEx>
          <w:tblCellMar>
            <w:top w:w="0" w:type="dxa"/>
            <w:left w:w="0" w:type="dxa"/>
            <w:bottom w:w="0" w:type="dxa"/>
            <w:right w:w="0" w:type="dxa"/>
          </w:tblCellMar>
        </w:tblPrEx>
        <w:trPr>
          <w:wBefore w:w="0" w:type="auto"/>
          <w:tblCellSpacing w:w="0" w:type="dxa"/>
        </w:trPr>
        <w:tc>
          <w:tcPr>
            <w:tcW w:w="0" w:type="auto"/>
            <w:noWrap w:val="0"/>
            <w:vAlign w:val="center"/>
          </w:tcPr>
          <w:p w14:paraId="4209B6E1">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本品应贮存在干燥、阴凉、通风、防雨处，远离火源或热源。置于儿童触及不到之处，并加锁。勿与食品、饮料、粮食、饲料等其他商品同贮同运。</w:t>
            </w:r>
          </w:p>
        </w:tc>
      </w:tr>
      <w:tr w14:paraId="477297CB">
        <w:tblPrEx>
          <w:tblCellMar>
            <w:top w:w="0" w:type="dxa"/>
            <w:left w:w="0" w:type="dxa"/>
            <w:bottom w:w="0" w:type="dxa"/>
            <w:right w:w="0" w:type="dxa"/>
          </w:tblCellMar>
        </w:tblPrEx>
        <w:trPr>
          <w:wBefore w:w="0" w:type="auto"/>
          <w:tblCellSpacing w:w="0" w:type="dxa"/>
        </w:trPr>
        <w:tc>
          <w:tcPr>
            <w:tcW w:w="0" w:type="auto"/>
            <w:noWrap w:val="0"/>
            <w:vAlign w:val="center"/>
          </w:tcPr>
          <w:p w14:paraId="0AD9130B">
            <w:r>
              <w:rPr>
                <w:rStyle w:val="10"/>
                <w:rFonts w:hint="eastAsia"/>
              </w:rPr>
              <w:t>质量保证期：</w:t>
            </w:r>
            <w:r>
              <w:rPr>
                <w:rStyle w:val="11"/>
                <w:rFonts w:hint="eastAsia"/>
              </w:rPr>
              <w:t>2年</w:t>
            </w:r>
          </w:p>
        </w:tc>
      </w:tr>
      <w:tr w14:paraId="63BBB920">
        <w:tblPrEx>
          <w:tblCellMar>
            <w:top w:w="0" w:type="dxa"/>
            <w:left w:w="0" w:type="dxa"/>
            <w:bottom w:w="0" w:type="dxa"/>
            <w:right w:w="0" w:type="dxa"/>
          </w:tblCellMar>
        </w:tblPrEx>
        <w:trPr>
          <w:wBefore w:w="0" w:type="auto"/>
          <w:tblCellSpacing w:w="0" w:type="dxa"/>
        </w:trPr>
        <w:tc>
          <w:tcPr>
            <w:tcW w:w="0" w:type="auto"/>
            <w:noWrap w:val="0"/>
            <w:vAlign w:val="center"/>
          </w:tcPr>
          <w:p w14:paraId="2D8F8AEE">
            <w:r>
              <w:rPr>
                <w:rStyle w:val="10"/>
                <w:rFonts w:hint="eastAsia"/>
              </w:rPr>
              <w:t>备注：</w:t>
            </w:r>
          </w:p>
        </w:tc>
      </w:tr>
    </w:tbl>
    <w:p w14:paraId="1C8DAE5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2655BEC">
        <w:tblPrEx>
          <w:tblCellMar>
            <w:top w:w="0" w:type="dxa"/>
            <w:left w:w="0" w:type="dxa"/>
            <w:bottom w:w="0" w:type="dxa"/>
            <w:right w:w="0" w:type="dxa"/>
          </w:tblCellMar>
        </w:tblPrEx>
        <w:trPr>
          <w:wBefore w:w="0" w:type="auto"/>
          <w:tblCellSpacing w:w="0" w:type="dxa"/>
        </w:trPr>
        <w:tc>
          <w:tcPr>
            <w:tcW w:w="0" w:type="auto"/>
            <w:noWrap w:val="0"/>
            <w:vAlign w:val="center"/>
          </w:tcPr>
          <w:p w14:paraId="4B09EF9C">
            <w:r>
              <w:rPr>
                <w:rStyle w:val="10"/>
                <w:rFonts w:hint="eastAsia"/>
              </w:rPr>
              <w:t>登记证号：</w:t>
            </w:r>
            <w:r>
              <w:rPr>
                <w:rFonts w:hint="eastAsia"/>
              </w:rPr>
              <w:t>PD20212172</w:t>
            </w:r>
          </w:p>
        </w:tc>
      </w:tr>
      <w:tr w14:paraId="0AECC5FE">
        <w:tblPrEx>
          <w:tblCellMar>
            <w:top w:w="0" w:type="dxa"/>
            <w:left w:w="0" w:type="dxa"/>
            <w:bottom w:w="0" w:type="dxa"/>
            <w:right w:w="0" w:type="dxa"/>
          </w:tblCellMar>
        </w:tblPrEx>
        <w:trPr>
          <w:wBefore w:w="0" w:type="auto"/>
          <w:tblCellSpacing w:w="0" w:type="dxa"/>
        </w:trPr>
        <w:tc>
          <w:tcPr>
            <w:tcW w:w="0" w:type="auto"/>
            <w:noWrap w:val="0"/>
            <w:vAlign w:val="center"/>
          </w:tcPr>
          <w:p w14:paraId="14853D82">
            <w:r>
              <w:rPr>
                <w:rStyle w:val="10"/>
                <w:rFonts w:hint="eastAsia"/>
              </w:rPr>
              <w:t>登记证持有人：</w:t>
            </w:r>
            <w:r>
              <w:rPr>
                <w:rFonts w:hint="eastAsia"/>
              </w:rPr>
              <w:t>广东省佛山市盈辉作物科学有限公司</w:t>
            </w:r>
          </w:p>
        </w:tc>
      </w:tr>
      <w:tr w14:paraId="0B25DEDB">
        <w:tblPrEx>
          <w:tblCellMar>
            <w:top w:w="0" w:type="dxa"/>
            <w:left w:w="0" w:type="dxa"/>
            <w:bottom w:w="0" w:type="dxa"/>
            <w:right w:w="0" w:type="dxa"/>
          </w:tblCellMar>
        </w:tblPrEx>
        <w:trPr>
          <w:wBefore w:w="0" w:type="auto"/>
          <w:tblCellSpacing w:w="0" w:type="dxa"/>
        </w:trPr>
        <w:tc>
          <w:tcPr>
            <w:tcW w:w="0" w:type="auto"/>
            <w:noWrap w:val="0"/>
            <w:vAlign w:val="center"/>
          </w:tcPr>
          <w:p w14:paraId="095C4A75">
            <w:r>
              <w:rPr>
                <w:rStyle w:val="10"/>
                <w:rFonts w:hint="eastAsia"/>
              </w:rPr>
              <w:t>农药名称：</w:t>
            </w:r>
            <w:r>
              <w:rPr>
                <w:rFonts w:hint="eastAsia"/>
              </w:rPr>
              <w:t>精异丙甲草胺</w:t>
            </w:r>
          </w:p>
        </w:tc>
      </w:tr>
      <w:tr w14:paraId="392BA4B5">
        <w:tblPrEx>
          <w:tblCellMar>
            <w:top w:w="0" w:type="dxa"/>
            <w:left w:w="0" w:type="dxa"/>
            <w:bottom w:w="0" w:type="dxa"/>
            <w:right w:w="0" w:type="dxa"/>
          </w:tblCellMar>
        </w:tblPrEx>
        <w:trPr>
          <w:wBefore w:w="0" w:type="auto"/>
          <w:tblCellSpacing w:w="0" w:type="dxa"/>
        </w:trPr>
        <w:tc>
          <w:tcPr>
            <w:tcW w:w="0" w:type="auto"/>
            <w:noWrap w:val="0"/>
            <w:vAlign w:val="center"/>
          </w:tcPr>
          <w:p w14:paraId="4D26E5BA">
            <w:r>
              <w:rPr>
                <w:rStyle w:val="10"/>
                <w:rFonts w:hint="eastAsia"/>
              </w:rPr>
              <w:t>剂型：</w:t>
            </w:r>
            <w:r>
              <w:rPr>
                <w:rFonts w:hint="eastAsia"/>
              </w:rPr>
              <w:t>乳油</w:t>
            </w:r>
          </w:p>
        </w:tc>
      </w:tr>
      <w:tr w14:paraId="2A5E0CE4">
        <w:tblPrEx>
          <w:tblCellMar>
            <w:top w:w="0" w:type="dxa"/>
            <w:left w:w="0" w:type="dxa"/>
            <w:bottom w:w="0" w:type="dxa"/>
            <w:right w:w="0" w:type="dxa"/>
          </w:tblCellMar>
        </w:tblPrEx>
        <w:trPr>
          <w:wBefore w:w="0" w:type="auto"/>
          <w:tblCellSpacing w:w="0" w:type="dxa"/>
        </w:trPr>
        <w:tc>
          <w:tcPr>
            <w:tcW w:w="0" w:type="auto"/>
            <w:noWrap w:val="0"/>
            <w:vAlign w:val="center"/>
          </w:tcPr>
          <w:p w14:paraId="5E5EEC45">
            <w:r>
              <w:rPr>
                <w:rStyle w:val="10"/>
                <w:rFonts w:hint="eastAsia"/>
              </w:rPr>
              <w:t>毒性及其标识：</w:t>
            </w:r>
            <w:r>
              <w:rPr>
                <w:rFonts w:hint="eastAsia"/>
              </w:rPr>
              <w:t xml:space="preserve"> </w:t>
            </w:r>
            <w:r>
              <w:rPr>
                <w:lang/>
              </w:rPr>
              <w:drawing>
                <wp:inline distT="0" distB="0" distL="114300" distR="114300">
                  <wp:extent cx="476250" cy="323850"/>
                  <wp:effectExtent l="0" t="0" r="0" b="0"/>
                  <wp:docPr id="154" name="图片 15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EAA1A0C">
        <w:tblPrEx>
          <w:tblCellMar>
            <w:top w:w="0" w:type="dxa"/>
            <w:left w:w="0" w:type="dxa"/>
            <w:bottom w:w="0" w:type="dxa"/>
            <w:right w:w="0" w:type="dxa"/>
          </w:tblCellMar>
        </w:tblPrEx>
        <w:trPr>
          <w:wBefore w:w="0" w:type="auto"/>
          <w:tblCellSpacing w:w="0" w:type="dxa"/>
        </w:trPr>
        <w:tc>
          <w:tcPr>
            <w:tcW w:w="0" w:type="auto"/>
            <w:noWrap w:val="0"/>
            <w:vAlign w:val="center"/>
          </w:tcPr>
          <w:p w14:paraId="7D6E75FA">
            <w:r>
              <w:rPr>
                <w:rStyle w:val="10"/>
                <w:rFonts w:hint="eastAsia"/>
              </w:rPr>
              <w:t>总有效成分含量：</w:t>
            </w:r>
            <w:r>
              <w:rPr>
                <w:rFonts w:hint="eastAsia"/>
              </w:rPr>
              <w:t>960克/升</w:t>
            </w:r>
          </w:p>
        </w:tc>
      </w:tr>
      <w:tr w14:paraId="3C9F9CFA">
        <w:tblPrEx>
          <w:tblCellMar>
            <w:top w:w="0" w:type="dxa"/>
            <w:left w:w="0" w:type="dxa"/>
            <w:bottom w:w="0" w:type="dxa"/>
            <w:right w:w="0" w:type="dxa"/>
          </w:tblCellMar>
        </w:tblPrEx>
        <w:trPr>
          <w:wBefore w:w="0" w:type="auto"/>
          <w:tblCellSpacing w:w="0" w:type="dxa"/>
        </w:trPr>
        <w:tc>
          <w:tcPr>
            <w:tcW w:w="0" w:type="auto"/>
            <w:noWrap w:val="0"/>
            <w:vAlign w:val="center"/>
          </w:tcPr>
          <w:p w14:paraId="21DFB6EC">
            <w:r>
              <w:rPr>
                <w:rFonts w:hint="eastAsia"/>
              </w:rPr>
              <w:t xml:space="preserve">有效成分及其含量： </w:t>
            </w:r>
          </w:p>
          <w:p w14:paraId="54171CA1">
            <w:r>
              <w:rPr>
                <w:rFonts w:hint="eastAsia"/>
              </w:rPr>
              <w:t xml:space="preserve">    精异丙甲草胺960克/升    </w:t>
            </w:r>
          </w:p>
        </w:tc>
      </w:tr>
      <w:tr w14:paraId="735BE9DB">
        <w:tblPrEx>
          <w:tblCellMar>
            <w:top w:w="0" w:type="dxa"/>
            <w:left w:w="0" w:type="dxa"/>
            <w:bottom w:w="0" w:type="dxa"/>
            <w:right w:w="0" w:type="dxa"/>
          </w:tblCellMar>
        </w:tblPrEx>
        <w:trPr>
          <w:wBefore w:w="0" w:type="auto"/>
          <w:tblCellSpacing w:w="0" w:type="dxa"/>
        </w:trPr>
        <w:tc>
          <w:tcPr>
            <w:tcW w:w="0" w:type="auto"/>
            <w:noWrap w:val="0"/>
            <w:vAlign w:val="center"/>
          </w:tcPr>
          <w:p w14:paraId="0BB9187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CDDEB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4BC551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9CAE8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187A67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05063A2">
                  <w:r>
                    <w:rPr>
                      <w:rStyle w:val="11"/>
                      <w:rFonts w:hint="eastAsia"/>
                    </w:rPr>
                    <w:t>施用方式</w:t>
                  </w:r>
                </w:p>
              </w:tc>
            </w:tr>
            <w:tr w14:paraId="4F6F6B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B81ABC">
                  <w:r>
                    <w:rPr>
                      <w:rStyle w:val="11"/>
                      <w:rFonts w:hint="eastAsia"/>
                    </w:rPr>
                    <w:t>西瓜田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7CF7CF">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2F0372">
                  <w:r>
                    <w:rPr>
                      <w:rStyle w:val="11"/>
                      <w:rFonts w:hint="eastAsia"/>
                    </w:rPr>
                    <w:t>40-65毫升/亩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FF4D98">
                  <w:r>
                    <w:rPr>
                      <w:rStyle w:val="11"/>
                      <w:rFonts w:hint="eastAsia"/>
                    </w:rPr>
                    <w:t>土壤喷雾</w:t>
                  </w:r>
                </w:p>
              </w:tc>
            </w:tr>
          </w:tbl>
          <w:p w14:paraId="01DB104F">
            <w:pPr>
              <w:rPr>
                <w:rFonts w:ascii="Times New Roman" w:hAnsi="Times New Roman" w:cs="Times New Roman"/>
                <w:sz w:val="20"/>
                <w:szCs w:val="20"/>
              </w:rPr>
            </w:pPr>
          </w:p>
        </w:tc>
      </w:tr>
      <w:tr w14:paraId="77282C25">
        <w:tblPrEx>
          <w:tblCellMar>
            <w:top w:w="0" w:type="dxa"/>
            <w:left w:w="0" w:type="dxa"/>
            <w:bottom w:w="0" w:type="dxa"/>
            <w:right w:w="0" w:type="dxa"/>
          </w:tblCellMar>
        </w:tblPrEx>
        <w:trPr>
          <w:wBefore w:w="0" w:type="auto"/>
          <w:tblCellSpacing w:w="0" w:type="dxa"/>
        </w:trPr>
        <w:tc>
          <w:tcPr>
            <w:tcW w:w="0" w:type="auto"/>
            <w:noWrap w:val="0"/>
            <w:vAlign w:val="center"/>
          </w:tcPr>
          <w:p w14:paraId="03CAEF45">
            <w:r>
              <w:rPr>
                <w:rStyle w:val="10"/>
                <w:rFonts w:hint="eastAsia"/>
              </w:rPr>
              <w:t>使用技术要求:</w:t>
            </w:r>
            <w:r>
              <w:rPr>
                <w:rFonts w:hint="eastAsia"/>
              </w:rPr>
              <w:br w:type="textWrapping"/>
            </w:r>
            <w:r>
              <w:rPr>
                <w:rStyle w:val="11"/>
                <w:rFonts w:hint="eastAsia"/>
              </w:rPr>
              <w:t>1. 西瓜播后苗欠货移栽前，按推荐剂量，于作物移栽前土壤均匀喷雾。施药时，根据土壤墒情决定兑水量，推荐30-60公斤/亩，均匀喷雾。 2. 干旱气候不利于药效发挥，在土壤墒情较差时，可在施药后浅混土2-3厘米。 3 .在质地粘重的土壤上施用时，使用高剂量；在疏松的土壤上施用时，使用低剂量。 4. 该药剂在低洼地或砂壤土使用时，如遇雨，容易发生淋溶药害，需慎用。 5. 请勿在水旱轮作栽培的西瓜田和小拱棚使用本品。6. 每季作物最多使用1次。</w:t>
            </w:r>
          </w:p>
        </w:tc>
      </w:tr>
      <w:tr w14:paraId="1162DA91">
        <w:tblPrEx>
          <w:tblCellMar>
            <w:top w:w="0" w:type="dxa"/>
            <w:left w:w="0" w:type="dxa"/>
            <w:bottom w:w="0" w:type="dxa"/>
            <w:right w:w="0" w:type="dxa"/>
          </w:tblCellMar>
        </w:tblPrEx>
        <w:trPr>
          <w:wBefore w:w="0" w:type="auto"/>
          <w:tblCellSpacing w:w="0" w:type="dxa"/>
        </w:trPr>
        <w:tc>
          <w:tcPr>
            <w:tcW w:w="0" w:type="auto"/>
            <w:noWrap w:val="0"/>
            <w:vAlign w:val="center"/>
          </w:tcPr>
          <w:p w14:paraId="42310AF8">
            <w:r>
              <w:rPr>
                <w:rStyle w:val="10"/>
                <w:rFonts w:hint="eastAsia"/>
              </w:rPr>
              <w:t>产品性能:</w:t>
            </w:r>
            <w:r>
              <w:rPr>
                <w:rFonts w:hint="eastAsia"/>
              </w:rPr>
              <w:br w:type="textWrapping"/>
            </w:r>
            <w:r>
              <w:rPr>
                <w:rStyle w:val="11"/>
                <w:rFonts w:hint="eastAsia"/>
              </w:rPr>
              <w:t>精异丙甲草胺通过萌发杂草的芽鞘、幼芽吸收而发挥杀草作用。适用于作物播后苗前或移栽前土壤处理，可防除一年生禾本科杂草、部分双子叶杂草和一年生莎草科杂草，如稗草、马唐、臂形草、牛筋草、狗尾草、异型莎草、碎米莎草、荠菜、苋、鸭趾草及蓼等。</w:t>
            </w:r>
          </w:p>
        </w:tc>
      </w:tr>
      <w:tr w14:paraId="4E0C7821">
        <w:tblPrEx>
          <w:tblCellMar>
            <w:top w:w="0" w:type="dxa"/>
            <w:left w:w="0" w:type="dxa"/>
            <w:bottom w:w="0" w:type="dxa"/>
            <w:right w:w="0" w:type="dxa"/>
          </w:tblCellMar>
        </w:tblPrEx>
        <w:trPr>
          <w:wBefore w:w="0" w:type="auto"/>
          <w:tblCellSpacing w:w="0" w:type="dxa"/>
        </w:trPr>
        <w:tc>
          <w:tcPr>
            <w:tcW w:w="0" w:type="auto"/>
            <w:noWrap w:val="0"/>
            <w:vAlign w:val="center"/>
          </w:tcPr>
          <w:p w14:paraId="20D2BBD4">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本品对眼睛有刺激性，使用时避免接触眼睛，穿戴长衣、长裤、帽子、口罩、手套等防护措施。施药期间不可吃东西、饮水等。施药后应及时洗手、洗脸等。2. 清洗施药器具的废水不能排入河流、池塘等水源。废弃物应妥善处理，不可做他用，也不可随意丢弃。3. 本品对鱼类等水生生物有毒，远离水产养殖区、河塘等水域施药，禁止河塘等水体清洗施药器械。赤眼蜂等天敌放飞区域禁用。远离桑蚕基地施药，在附近桑园附近施药要设置隔离带。4. 孕妇及哺乳期妇女应避免接触本品。</w:t>
            </w:r>
          </w:p>
        </w:tc>
      </w:tr>
      <w:tr w14:paraId="2A74F1D3">
        <w:tblPrEx>
          <w:tblCellMar>
            <w:top w:w="0" w:type="dxa"/>
            <w:left w:w="0" w:type="dxa"/>
            <w:bottom w:w="0" w:type="dxa"/>
            <w:right w:w="0" w:type="dxa"/>
          </w:tblCellMar>
        </w:tblPrEx>
        <w:trPr>
          <w:wBefore w:w="0" w:type="auto"/>
          <w:tblCellSpacing w:w="0" w:type="dxa"/>
        </w:trPr>
        <w:tc>
          <w:tcPr>
            <w:tcW w:w="0" w:type="auto"/>
            <w:noWrap w:val="0"/>
            <w:vAlign w:val="center"/>
          </w:tcPr>
          <w:p w14:paraId="6C3B4822">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应立即用清水漱口，严禁引吐，避免呕吐物吸入肺部，立即携带标签到对症治疗。</w:t>
            </w:r>
          </w:p>
        </w:tc>
      </w:tr>
      <w:tr w14:paraId="403140DA">
        <w:tblPrEx>
          <w:tblCellMar>
            <w:top w:w="0" w:type="dxa"/>
            <w:left w:w="0" w:type="dxa"/>
            <w:bottom w:w="0" w:type="dxa"/>
            <w:right w:w="0" w:type="dxa"/>
          </w:tblCellMar>
        </w:tblPrEx>
        <w:trPr>
          <w:wBefore w:w="0" w:type="auto"/>
          <w:tblCellSpacing w:w="0" w:type="dxa"/>
        </w:trPr>
        <w:tc>
          <w:tcPr>
            <w:tcW w:w="0" w:type="auto"/>
            <w:noWrap w:val="0"/>
            <w:vAlign w:val="center"/>
          </w:tcPr>
          <w:p w14:paraId="1E33B7D0">
            <w:r>
              <w:rPr>
                <w:rStyle w:val="10"/>
                <w:rFonts w:hint="eastAsia"/>
              </w:rPr>
              <w:t>储存和运输方法：</w:t>
            </w:r>
            <w:r>
              <w:rPr>
                <w:rFonts w:hint="eastAsia"/>
              </w:rPr>
              <w:br w:type="textWrapping"/>
            </w:r>
            <w:r>
              <w:rPr>
                <w:rStyle w:val="11"/>
                <w:rFonts w:hint="eastAsia"/>
              </w:rPr>
              <w:t>贮运时应严防潮湿和日晒，保持良好通风，置于儿童、无关人员及动物接触不到的地方，并加锁保存；避免与食物、种子、粮食、饮料、饲料混放混运</w:t>
            </w:r>
          </w:p>
        </w:tc>
      </w:tr>
      <w:tr w14:paraId="4166B00A">
        <w:tblPrEx>
          <w:tblCellMar>
            <w:top w:w="0" w:type="dxa"/>
            <w:left w:w="0" w:type="dxa"/>
            <w:bottom w:w="0" w:type="dxa"/>
            <w:right w:w="0" w:type="dxa"/>
          </w:tblCellMar>
        </w:tblPrEx>
        <w:trPr>
          <w:wBefore w:w="0" w:type="auto"/>
          <w:tblCellSpacing w:w="0" w:type="dxa"/>
        </w:trPr>
        <w:tc>
          <w:tcPr>
            <w:tcW w:w="0" w:type="auto"/>
            <w:noWrap w:val="0"/>
            <w:vAlign w:val="center"/>
          </w:tcPr>
          <w:p w14:paraId="19BDD8E7">
            <w:r>
              <w:rPr>
                <w:rStyle w:val="10"/>
                <w:rFonts w:hint="eastAsia"/>
              </w:rPr>
              <w:t>质量保证期：</w:t>
            </w:r>
            <w:r>
              <w:rPr>
                <w:rStyle w:val="11"/>
                <w:rFonts w:hint="eastAsia"/>
              </w:rPr>
              <w:t>2年</w:t>
            </w:r>
          </w:p>
        </w:tc>
      </w:tr>
      <w:tr w14:paraId="222BE39A">
        <w:tblPrEx>
          <w:tblCellMar>
            <w:top w:w="0" w:type="dxa"/>
            <w:left w:w="0" w:type="dxa"/>
            <w:bottom w:w="0" w:type="dxa"/>
            <w:right w:w="0" w:type="dxa"/>
          </w:tblCellMar>
        </w:tblPrEx>
        <w:trPr>
          <w:wBefore w:w="0" w:type="auto"/>
          <w:tblCellSpacing w:w="0" w:type="dxa"/>
        </w:trPr>
        <w:tc>
          <w:tcPr>
            <w:tcW w:w="0" w:type="auto"/>
            <w:noWrap w:val="0"/>
            <w:vAlign w:val="center"/>
          </w:tcPr>
          <w:p w14:paraId="14829B05">
            <w:r>
              <w:rPr>
                <w:rStyle w:val="10"/>
                <w:rFonts w:hint="eastAsia"/>
              </w:rPr>
              <w:t>备注：</w:t>
            </w:r>
            <w:r>
              <w:rPr>
                <w:rFonts w:hint="eastAsia"/>
              </w:rPr>
              <w:br w:type="textWrapping"/>
            </w:r>
            <w:r>
              <w:rPr>
                <w:rStyle w:val="11"/>
                <w:rFonts w:hint="eastAsia"/>
              </w:rPr>
              <w:t>质量分数87%。</w:t>
            </w:r>
          </w:p>
        </w:tc>
      </w:tr>
    </w:tbl>
    <w:p w14:paraId="03C6A86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8DBC9E7">
        <w:tblPrEx>
          <w:tblCellMar>
            <w:top w:w="0" w:type="dxa"/>
            <w:left w:w="0" w:type="dxa"/>
            <w:bottom w:w="0" w:type="dxa"/>
            <w:right w:w="0" w:type="dxa"/>
          </w:tblCellMar>
        </w:tblPrEx>
        <w:trPr>
          <w:wBefore w:w="0" w:type="auto"/>
          <w:tblCellSpacing w:w="0" w:type="dxa"/>
        </w:trPr>
        <w:tc>
          <w:tcPr>
            <w:tcW w:w="0" w:type="auto"/>
            <w:noWrap w:val="0"/>
            <w:vAlign w:val="center"/>
          </w:tcPr>
          <w:p w14:paraId="13CD8EDD">
            <w:r>
              <w:rPr>
                <w:rStyle w:val="10"/>
                <w:rFonts w:hint="eastAsia"/>
              </w:rPr>
              <w:t>登记证号：</w:t>
            </w:r>
            <w:r>
              <w:rPr>
                <w:rFonts w:hint="eastAsia"/>
              </w:rPr>
              <w:t>PD20212224</w:t>
            </w:r>
          </w:p>
        </w:tc>
      </w:tr>
      <w:tr w14:paraId="7534AE90">
        <w:tblPrEx>
          <w:tblCellMar>
            <w:top w:w="0" w:type="dxa"/>
            <w:left w:w="0" w:type="dxa"/>
            <w:bottom w:w="0" w:type="dxa"/>
            <w:right w:w="0" w:type="dxa"/>
          </w:tblCellMar>
        </w:tblPrEx>
        <w:trPr>
          <w:wBefore w:w="0" w:type="auto"/>
          <w:tblCellSpacing w:w="0" w:type="dxa"/>
        </w:trPr>
        <w:tc>
          <w:tcPr>
            <w:tcW w:w="0" w:type="auto"/>
            <w:noWrap w:val="0"/>
            <w:vAlign w:val="center"/>
          </w:tcPr>
          <w:p w14:paraId="76F29351">
            <w:r>
              <w:rPr>
                <w:rStyle w:val="10"/>
                <w:rFonts w:hint="eastAsia"/>
              </w:rPr>
              <w:t>登记证持有人：</w:t>
            </w:r>
            <w:r>
              <w:rPr>
                <w:rFonts w:hint="eastAsia"/>
              </w:rPr>
              <w:t>侨昌现代农业有限公司</w:t>
            </w:r>
          </w:p>
        </w:tc>
      </w:tr>
      <w:tr w14:paraId="754C7713">
        <w:tblPrEx>
          <w:tblCellMar>
            <w:top w:w="0" w:type="dxa"/>
            <w:left w:w="0" w:type="dxa"/>
            <w:bottom w:w="0" w:type="dxa"/>
            <w:right w:w="0" w:type="dxa"/>
          </w:tblCellMar>
        </w:tblPrEx>
        <w:trPr>
          <w:wBefore w:w="0" w:type="auto"/>
          <w:tblCellSpacing w:w="0" w:type="dxa"/>
        </w:trPr>
        <w:tc>
          <w:tcPr>
            <w:tcW w:w="0" w:type="auto"/>
            <w:noWrap w:val="0"/>
            <w:vAlign w:val="center"/>
          </w:tcPr>
          <w:p w14:paraId="3AC2E4FF">
            <w:r>
              <w:rPr>
                <w:rStyle w:val="10"/>
                <w:rFonts w:hint="eastAsia"/>
              </w:rPr>
              <w:t>农药名称：</w:t>
            </w:r>
            <w:r>
              <w:rPr>
                <w:rFonts w:hint="eastAsia"/>
              </w:rPr>
              <w:t>2甲·草铵膦</w:t>
            </w:r>
          </w:p>
        </w:tc>
      </w:tr>
      <w:tr w14:paraId="4273DD67">
        <w:tblPrEx>
          <w:tblCellMar>
            <w:top w:w="0" w:type="dxa"/>
            <w:left w:w="0" w:type="dxa"/>
            <w:bottom w:w="0" w:type="dxa"/>
            <w:right w:w="0" w:type="dxa"/>
          </w:tblCellMar>
        </w:tblPrEx>
        <w:trPr>
          <w:wBefore w:w="0" w:type="auto"/>
          <w:tblCellSpacing w:w="0" w:type="dxa"/>
        </w:trPr>
        <w:tc>
          <w:tcPr>
            <w:tcW w:w="0" w:type="auto"/>
            <w:noWrap w:val="0"/>
            <w:vAlign w:val="center"/>
          </w:tcPr>
          <w:p w14:paraId="24F63F57">
            <w:r>
              <w:rPr>
                <w:rStyle w:val="10"/>
                <w:rFonts w:hint="eastAsia"/>
              </w:rPr>
              <w:t>剂型：</w:t>
            </w:r>
            <w:r>
              <w:rPr>
                <w:rFonts w:hint="eastAsia"/>
              </w:rPr>
              <w:t>可溶液剂</w:t>
            </w:r>
          </w:p>
        </w:tc>
      </w:tr>
      <w:tr w14:paraId="6A217966">
        <w:tblPrEx>
          <w:tblCellMar>
            <w:top w:w="0" w:type="dxa"/>
            <w:left w:w="0" w:type="dxa"/>
            <w:bottom w:w="0" w:type="dxa"/>
            <w:right w:w="0" w:type="dxa"/>
          </w:tblCellMar>
        </w:tblPrEx>
        <w:trPr>
          <w:wBefore w:w="0" w:type="auto"/>
          <w:tblCellSpacing w:w="0" w:type="dxa"/>
        </w:trPr>
        <w:tc>
          <w:tcPr>
            <w:tcW w:w="0" w:type="auto"/>
            <w:noWrap w:val="0"/>
            <w:vAlign w:val="center"/>
          </w:tcPr>
          <w:p w14:paraId="3FCA0591">
            <w:r>
              <w:rPr>
                <w:rStyle w:val="10"/>
                <w:rFonts w:hint="eastAsia"/>
              </w:rPr>
              <w:t>毒性及其标识：</w:t>
            </w:r>
            <w:r>
              <w:rPr>
                <w:rFonts w:hint="eastAsia"/>
              </w:rPr>
              <w:t xml:space="preserve"> </w:t>
            </w:r>
            <w:r>
              <w:rPr>
                <w:lang/>
              </w:rPr>
              <w:drawing>
                <wp:inline distT="0" distB="0" distL="114300" distR="114300">
                  <wp:extent cx="476250" cy="323850"/>
                  <wp:effectExtent l="0" t="0" r="0" b="0"/>
                  <wp:docPr id="155" name="图片 15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A39B91B">
        <w:tblPrEx>
          <w:tblCellMar>
            <w:top w:w="0" w:type="dxa"/>
            <w:left w:w="0" w:type="dxa"/>
            <w:bottom w:w="0" w:type="dxa"/>
            <w:right w:w="0" w:type="dxa"/>
          </w:tblCellMar>
        </w:tblPrEx>
        <w:trPr>
          <w:wBefore w:w="0" w:type="auto"/>
          <w:tblCellSpacing w:w="0" w:type="dxa"/>
        </w:trPr>
        <w:tc>
          <w:tcPr>
            <w:tcW w:w="0" w:type="auto"/>
            <w:noWrap w:val="0"/>
            <w:vAlign w:val="center"/>
          </w:tcPr>
          <w:p w14:paraId="59B9C771">
            <w:r>
              <w:rPr>
                <w:rStyle w:val="10"/>
                <w:rFonts w:hint="eastAsia"/>
              </w:rPr>
              <w:t>总有效成分含量：</w:t>
            </w:r>
            <w:r>
              <w:rPr>
                <w:rFonts w:hint="eastAsia"/>
              </w:rPr>
              <w:t>14.9%</w:t>
            </w:r>
          </w:p>
        </w:tc>
      </w:tr>
      <w:tr w14:paraId="4E3A1671">
        <w:tblPrEx>
          <w:tblCellMar>
            <w:top w:w="0" w:type="dxa"/>
            <w:left w:w="0" w:type="dxa"/>
            <w:bottom w:w="0" w:type="dxa"/>
            <w:right w:w="0" w:type="dxa"/>
          </w:tblCellMar>
        </w:tblPrEx>
        <w:trPr>
          <w:wBefore w:w="0" w:type="auto"/>
          <w:tblCellSpacing w:w="0" w:type="dxa"/>
        </w:trPr>
        <w:tc>
          <w:tcPr>
            <w:tcW w:w="0" w:type="auto"/>
            <w:noWrap w:val="0"/>
            <w:vAlign w:val="center"/>
          </w:tcPr>
          <w:p w14:paraId="075468EF">
            <w:r>
              <w:rPr>
                <w:rFonts w:hint="eastAsia"/>
              </w:rPr>
              <w:t xml:space="preserve">有效成分及其含量： </w:t>
            </w:r>
          </w:p>
          <w:p w14:paraId="28A25EC6">
            <w:r>
              <w:rPr>
                <w:rFonts w:hint="eastAsia"/>
              </w:rPr>
              <w:t xml:space="preserve">    2甲4氯4.9%    草铵膦10%    </w:t>
            </w:r>
          </w:p>
        </w:tc>
      </w:tr>
      <w:tr w14:paraId="2776563D">
        <w:tblPrEx>
          <w:tblCellMar>
            <w:top w:w="0" w:type="dxa"/>
            <w:left w:w="0" w:type="dxa"/>
            <w:bottom w:w="0" w:type="dxa"/>
            <w:right w:w="0" w:type="dxa"/>
          </w:tblCellMar>
        </w:tblPrEx>
        <w:trPr>
          <w:wBefore w:w="0" w:type="auto"/>
          <w:tblCellSpacing w:w="0" w:type="dxa"/>
        </w:trPr>
        <w:tc>
          <w:tcPr>
            <w:tcW w:w="0" w:type="auto"/>
            <w:noWrap w:val="0"/>
            <w:vAlign w:val="center"/>
          </w:tcPr>
          <w:p w14:paraId="5A61009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78F92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D67370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9F19A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DE4A0C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C6B575B">
                  <w:r>
                    <w:rPr>
                      <w:rStyle w:val="11"/>
                      <w:rFonts w:hint="eastAsia"/>
                    </w:rPr>
                    <w:t>施用方式</w:t>
                  </w:r>
                </w:p>
              </w:tc>
            </w:tr>
            <w:tr w14:paraId="1C88B7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8B1D31">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B71A98">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BBFE3D">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6F4683">
                  <w:r>
                    <w:rPr>
                      <w:rStyle w:val="11"/>
                      <w:rFonts w:hint="eastAsia"/>
                    </w:rPr>
                    <w:t>茎叶喷雾</w:t>
                  </w:r>
                </w:p>
              </w:tc>
            </w:tr>
          </w:tbl>
          <w:p w14:paraId="57460EDE">
            <w:pPr>
              <w:rPr>
                <w:rFonts w:ascii="Times New Roman" w:hAnsi="Times New Roman" w:cs="Times New Roman"/>
                <w:sz w:val="20"/>
                <w:szCs w:val="20"/>
              </w:rPr>
            </w:pPr>
          </w:p>
        </w:tc>
      </w:tr>
      <w:tr w14:paraId="28CF8A03">
        <w:tblPrEx>
          <w:tblCellMar>
            <w:top w:w="0" w:type="dxa"/>
            <w:left w:w="0" w:type="dxa"/>
            <w:bottom w:w="0" w:type="dxa"/>
            <w:right w:w="0" w:type="dxa"/>
          </w:tblCellMar>
        </w:tblPrEx>
        <w:trPr>
          <w:wBefore w:w="0" w:type="auto"/>
          <w:tblCellSpacing w:w="0" w:type="dxa"/>
        </w:trPr>
        <w:tc>
          <w:tcPr>
            <w:tcW w:w="0" w:type="auto"/>
            <w:noWrap w:val="0"/>
            <w:vAlign w:val="center"/>
          </w:tcPr>
          <w:p w14:paraId="0184D2E5">
            <w:r>
              <w:rPr>
                <w:rStyle w:val="10"/>
                <w:rFonts w:hint="eastAsia"/>
              </w:rPr>
              <w:t>使用技术要求:</w:t>
            </w:r>
            <w:r>
              <w:rPr>
                <w:rFonts w:hint="eastAsia"/>
              </w:rPr>
              <w:br w:type="textWrapping"/>
            </w:r>
            <w:r>
              <w:rPr>
                <w:rStyle w:val="11"/>
                <w:rFonts w:hint="eastAsia"/>
              </w:rPr>
              <w:t>1、杂草生长旺盛时期施药，每亩兑水20-30公斤，均匀茎叶喷雾。2、大风天或预计1小时内降雨，请勿施药。3、施药时注意避免药液飘移到邻近作物。</w:t>
            </w:r>
          </w:p>
        </w:tc>
      </w:tr>
      <w:tr w14:paraId="17F39599">
        <w:tblPrEx>
          <w:tblCellMar>
            <w:top w:w="0" w:type="dxa"/>
            <w:left w:w="0" w:type="dxa"/>
            <w:bottom w:w="0" w:type="dxa"/>
            <w:right w:w="0" w:type="dxa"/>
          </w:tblCellMar>
        </w:tblPrEx>
        <w:trPr>
          <w:wBefore w:w="0" w:type="auto"/>
          <w:tblCellSpacing w:w="0" w:type="dxa"/>
        </w:trPr>
        <w:tc>
          <w:tcPr>
            <w:tcW w:w="0" w:type="auto"/>
            <w:noWrap w:val="0"/>
            <w:vAlign w:val="center"/>
          </w:tcPr>
          <w:p w14:paraId="0643961F">
            <w:r>
              <w:rPr>
                <w:rStyle w:val="10"/>
                <w:rFonts w:hint="eastAsia"/>
              </w:rPr>
              <w:t>产品性能:</w:t>
            </w:r>
            <w:r>
              <w:rPr>
                <w:rFonts w:hint="eastAsia"/>
              </w:rPr>
              <w:br w:type="textWrapping"/>
            </w:r>
            <w:r>
              <w:rPr>
                <w:rStyle w:val="11"/>
                <w:rFonts w:hint="eastAsia"/>
              </w:rPr>
              <w:t>本品为稳定的均相液体，可有效防除非耕地杂草。</w:t>
            </w:r>
          </w:p>
        </w:tc>
      </w:tr>
      <w:tr w14:paraId="1602EA19">
        <w:tblPrEx>
          <w:tblCellMar>
            <w:top w:w="0" w:type="dxa"/>
            <w:left w:w="0" w:type="dxa"/>
            <w:bottom w:w="0" w:type="dxa"/>
            <w:right w:w="0" w:type="dxa"/>
          </w:tblCellMar>
        </w:tblPrEx>
        <w:trPr>
          <w:wBefore w:w="0" w:type="auto"/>
          <w:tblCellSpacing w:w="0" w:type="dxa"/>
        </w:trPr>
        <w:tc>
          <w:tcPr>
            <w:tcW w:w="0" w:type="auto"/>
            <w:noWrap w:val="0"/>
            <w:vAlign w:val="center"/>
          </w:tcPr>
          <w:p w14:paraId="3D8DEDE0">
            <w:r>
              <w:rPr>
                <w:rStyle w:val="10"/>
                <w:rFonts w:hint="eastAsia"/>
              </w:rPr>
              <w:t>注意事项：</w:t>
            </w:r>
            <w:r>
              <w:rPr>
                <w:rFonts w:hint="eastAsia"/>
              </w:rPr>
              <w:br w:type="textWrapping"/>
            </w:r>
            <w:r>
              <w:rPr>
                <w:rStyle w:val="11"/>
                <w:rFonts w:hint="eastAsia"/>
              </w:rPr>
              <w:t>1、本品对蜜蜂、鱼类等水生生物、家蚕有毒，施药期间应避免对周围蜂群的影响，禁止在开花植物花期、蚕室和桑园附近使用。赤眼蜂等天敌放飞区域禁用。地下水、饮用水水源地禁用。2、远离水产养殖区、河塘等水域施药。3、使用本品时应穿防护服、戴口罩、手套等防护用具，避免吸入药液；施药期间不可吃东西、喝水、吸烟等。施药后应及时洗手、洗脸等。4、禁止在河塘等水域内清洗施药器具或将清洗施药器具的废水倒入河流、池塘等水源。5、废弃物应妥善处理，不可做他用，也不可随意丢弃。6、本药剂大面积灭草时，药后杂草成片干枯，应注意防治火灾发生。7、孕妇及哺乳期妇女避免接触本品。</w:t>
            </w:r>
          </w:p>
        </w:tc>
      </w:tr>
      <w:tr w14:paraId="5272FF80">
        <w:tblPrEx>
          <w:tblCellMar>
            <w:top w:w="0" w:type="dxa"/>
            <w:left w:w="0" w:type="dxa"/>
            <w:bottom w:w="0" w:type="dxa"/>
            <w:right w:w="0" w:type="dxa"/>
          </w:tblCellMar>
        </w:tblPrEx>
        <w:trPr>
          <w:wBefore w:w="0" w:type="auto"/>
          <w:tblCellSpacing w:w="0" w:type="dxa"/>
        </w:trPr>
        <w:tc>
          <w:tcPr>
            <w:tcW w:w="0" w:type="auto"/>
            <w:noWrap w:val="0"/>
            <w:vAlign w:val="center"/>
          </w:tcPr>
          <w:p w14:paraId="104BF992">
            <w:r>
              <w:rPr>
                <w:rStyle w:val="10"/>
                <w:rFonts w:hint="eastAsia"/>
              </w:rPr>
              <w:t>中毒急救措施：</w:t>
            </w:r>
            <w:r>
              <w:rPr>
                <w:rFonts w:hint="eastAsia"/>
              </w:rPr>
              <w:br w:type="textWrapping"/>
            </w:r>
            <w:r>
              <w:rPr>
                <w:rStyle w:val="11"/>
                <w:rFonts w:hint="eastAsia"/>
              </w:rPr>
              <w:t>对眼睛、皮肤和粘膜有刺激作用。如不慎吸入，将病人移至空气流通处；不慎接触皮肤，用大量清水和肥皂冲洗干净；若溅入眼睛，用大量清水冲洗至少15分钟，仍有不适，就医；如误服，立即带标签送医院，对症治疗。应先洗胃，无特效解毒剂。</w:t>
            </w:r>
          </w:p>
        </w:tc>
      </w:tr>
      <w:tr w14:paraId="397BB6DA">
        <w:tblPrEx>
          <w:tblCellMar>
            <w:top w:w="0" w:type="dxa"/>
            <w:left w:w="0" w:type="dxa"/>
            <w:bottom w:w="0" w:type="dxa"/>
            <w:right w:w="0" w:type="dxa"/>
          </w:tblCellMar>
        </w:tblPrEx>
        <w:trPr>
          <w:wBefore w:w="0" w:type="auto"/>
          <w:tblCellSpacing w:w="0" w:type="dxa"/>
        </w:trPr>
        <w:tc>
          <w:tcPr>
            <w:tcW w:w="0" w:type="auto"/>
            <w:noWrap w:val="0"/>
            <w:vAlign w:val="center"/>
          </w:tcPr>
          <w:p w14:paraId="1568AE1F">
            <w:r>
              <w:rPr>
                <w:rStyle w:val="10"/>
                <w:rFonts w:hint="eastAsia"/>
              </w:rPr>
              <w:t>储存和运输方法：</w:t>
            </w:r>
            <w:r>
              <w:rPr>
                <w:rFonts w:hint="eastAsia"/>
              </w:rPr>
              <w:br w:type="textWrapping"/>
            </w:r>
            <w:r>
              <w:rPr>
                <w:rStyle w:val="11"/>
                <w:rFonts w:hint="eastAsia"/>
              </w:rPr>
              <w:t>本品应贮存于阴凉、干燥、通风、防雨处。远离火源和热源，置于儿童及无关人员接触不到之处，并加锁。不能与食品、饮料、粮食、饲料等同贮同运。</w:t>
            </w:r>
          </w:p>
        </w:tc>
      </w:tr>
      <w:tr w14:paraId="543B1243">
        <w:tblPrEx>
          <w:tblCellMar>
            <w:top w:w="0" w:type="dxa"/>
            <w:left w:w="0" w:type="dxa"/>
            <w:bottom w:w="0" w:type="dxa"/>
            <w:right w:w="0" w:type="dxa"/>
          </w:tblCellMar>
        </w:tblPrEx>
        <w:trPr>
          <w:wBefore w:w="0" w:type="auto"/>
          <w:tblCellSpacing w:w="0" w:type="dxa"/>
        </w:trPr>
        <w:tc>
          <w:tcPr>
            <w:tcW w:w="0" w:type="auto"/>
            <w:noWrap w:val="0"/>
            <w:vAlign w:val="center"/>
          </w:tcPr>
          <w:p w14:paraId="39DA0450">
            <w:r>
              <w:rPr>
                <w:rStyle w:val="10"/>
                <w:rFonts w:hint="eastAsia"/>
              </w:rPr>
              <w:t>质量保证期：</w:t>
            </w:r>
            <w:r>
              <w:rPr>
                <w:rStyle w:val="11"/>
                <w:rFonts w:hint="eastAsia"/>
              </w:rPr>
              <w:t>2年</w:t>
            </w:r>
          </w:p>
        </w:tc>
      </w:tr>
      <w:tr w14:paraId="0D201F2C">
        <w:tblPrEx>
          <w:tblCellMar>
            <w:top w:w="0" w:type="dxa"/>
            <w:left w:w="0" w:type="dxa"/>
            <w:bottom w:w="0" w:type="dxa"/>
            <w:right w:w="0" w:type="dxa"/>
          </w:tblCellMar>
        </w:tblPrEx>
        <w:trPr>
          <w:wBefore w:w="0" w:type="auto"/>
          <w:tblCellSpacing w:w="0" w:type="dxa"/>
        </w:trPr>
        <w:tc>
          <w:tcPr>
            <w:tcW w:w="0" w:type="auto"/>
            <w:noWrap w:val="0"/>
            <w:vAlign w:val="center"/>
          </w:tcPr>
          <w:p w14:paraId="509E8DEA">
            <w:r>
              <w:rPr>
                <w:rStyle w:val="10"/>
                <w:rFonts w:hint="eastAsia"/>
              </w:rPr>
              <w:t>备注：</w:t>
            </w:r>
            <w:r>
              <w:rPr>
                <w:rFonts w:hint="eastAsia"/>
              </w:rPr>
              <w:br w:type="textWrapping"/>
            </w:r>
            <w:r>
              <w:rPr>
                <w:rStyle w:val="11"/>
                <w:rFonts w:hint="eastAsia"/>
              </w:rPr>
              <w:t>2甲4氯二甲胺盐含量：6%</w:t>
            </w:r>
          </w:p>
        </w:tc>
      </w:tr>
    </w:tbl>
    <w:p w14:paraId="2ECA369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01300D6">
        <w:tblPrEx>
          <w:tblCellMar>
            <w:top w:w="0" w:type="dxa"/>
            <w:left w:w="0" w:type="dxa"/>
            <w:bottom w:w="0" w:type="dxa"/>
            <w:right w:w="0" w:type="dxa"/>
          </w:tblCellMar>
        </w:tblPrEx>
        <w:trPr>
          <w:wBefore w:w="0" w:type="auto"/>
          <w:tblCellSpacing w:w="0" w:type="dxa"/>
        </w:trPr>
        <w:tc>
          <w:tcPr>
            <w:tcW w:w="0" w:type="auto"/>
            <w:noWrap w:val="0"/>
            <w:vAlign w:val="center"/>
          </w:tcPr>
          <w:p w14:paraId="0CEB228D">
            <w:r>
              <w:rPr>
                <w:rStyle w:val="10"/>
                <w:rFonts w:hint="eastAsia"/>
              </w:rPr>
              <w:t>登记证号：</w:t>
            </w:r>
            <w:r>
              <w:rPr>
                <w:rFonts w:hint="eastAsia"/>
              </w:rPr>
              <w:t>PD20212010</w:t>
            </w:r>
          </w:p>
        </w:tc>
      </w:tr>
      <w:tr w14:paraId="6AA717F5">
        <w:tblPrEx>
          <w:tblCellMar>
            <w:top w:w="0" w:type="dxa"/>
            <w:left w:w="0" w:type="dxa"/>
            <w:bottom w:w="0" w:type="dxa"/>
            <w:right w:w="0" w:type="dxa"/>
          </w:tblCellMar>
        </w:tblPrEx>
        <w:trPr>
          <w:wBefore w:w="0" w:type="auto"/>
          <w:tblCellSpacing w:w="0" w:type="dxa"/>
        </w:trPr>
        <w:tc>
          <w:tcPr>
            <w:tcW w:w="0" w:type="auto"/>
            <w:noWrap w:val="0"/>
            <w:vAlign w:val="center"/>
          </w:tcPr>
          <w:p w14:paraId="52802A0B">
            <w:r>
              <w:rPr>
                <w:rStyle w:val="10"/>
                <w:rFonts w:hint="eastAsia"/>
              </w:rPr>
              <w:t>登记证持有人：</w:t>
            </w:r>
            <w:r>
              <w:rPr>
                <w:rFonts w:hint="eastAsia"/>
              </w:rPr>
              <w:t>江苏康鹏农化有限公司</w:t>
            </w:r>
          </w:p>
        </w:tc>
      </w:tr>
      <w:tr w14:paraId="52EB27CB">
        <w:tblPrEx>
          <w:tblCellMar>
            <w:top w:w="0" w:type="dxa"/>
            <w:left w:w="0" w:type="dxa"/>
            <w:bottom w:w="0" w:type="dxa"/>
            <w:right w:w="0" w:type="dxa"/>
          </w:tblCellMar>
        </w:tblPrEx>
        <w:trPr>
          <w:wBefore w:w="0" w:type="auto"/>
          <w:tblCellSpacing w:w="0" w:type="dxa"/>
        </w:trPr>
        <w:tc>
          <w:tcPr>
            <w:tcW w:w="0" w:type="auto"/>
            <w:noWrap w:val="0"/>
            <w:vAlign w:val="center"/>
          </w:tcPr>
          <w:p w14:paraId="0A826572">
            <w:r>
              <w:rPr>
                <w:rStyle w:val="10"/>
                <w:rFonts w:hint="eastAsia"/>
              </w:rPr>
              <w:t>农药名称：</w:t>
            </w:r>
            <w:r>
              <w:rPr>
                <w:rFonts w:hint="eastAsia"/>
              </w:rPr>
              <w:t>王铜</w:t>
            </w:r>
          </w:p>
        </w:tc>
      </w:tr>
      <w:tr w14:paraId="7549D907">
        <w:tblPrEx>
          <w:tblCellMar>
            <w:top w:w="0" w:type="dxa"/>
            <w:left w:w="0" w:type="dxa"/>
            <w:bottom w:w="0" w:type="dxa"/>
            <w:right w:w="0" w:type="dxa"/>
          </w:tblCellMar>
        </w:tblPrEx>
        <w:trPr>
          <w:wBefore w:w="0" w:type="auto"/>
          <w:tblCellSpacing w:w="0" w:type="dxa"/>
        </w:trPr>
        <w:tc>
          <w:tcPr>
            <w:tcW w:w="0" w:type="auto"/>
            <w:noWrap w:val="0"/>
            <w:vAlign w:val="center"/>
          </w:tcPr>
          <w:p w14:paraId="2CB1C365">
            <w:r>
              <w:rPr>
                <w:rStyle w:val="10"/>
                <w:rFonts w:hint="eastAsia"/>
              </w:rPr>
              <w:t>剂型：</w:t>
            </w:r>
            <w:r>
              <w:rPr>
                <w:rFonts w:hint="eastAsia"/>
              </w:rPr>
              <w:t>水分散粒剂</w:t>
            </w:r>
          </w:p>
        </w:tc>
      </w:tr>
      <w:tr w14:paraId="04FB701F">
        <w:tblPrEx>
          <w:tblCellMar>
            <w:top w:w="0" w:type="dxa"/>
            <w:left w:w="0" w:type="dxa"/>
            <w:bottom w:w="0" w:type="dxa"/>
            <w:right w:w="0" w:type="dxa"/>
          </w:tblCellMar>
        </w:tblPrEx>
        <w:trPr>
          <w:wBefore w:w="0" w:type="auto"/>
          <w:tblCellSpacing w:w="0" w:type="dxa"/>
        </w:trPr>
        <w:tc>
          <w:tcPr>
            <w:tcW w:w="0" w:type="auto"/>
            <w:noWrap w:val="0"/>
            <w:vAlign w:val="center"/>
          </w:tcPr>
          <w:p w14:paraId="384B72B1">
            <w:r>
              <w:rPr>
                <w:rStyle w:val="10"/>
                <w:rFonts w:hint="eastAsia"/>
              </w:rPr>
              <w:t>毒性及其标识：</w:t>
            </w:r>
            <w:r>
              <w:rPr>
                <w:rFonts w:hint="eastAsia"/>
              </w:rPr>
              <w:t xml:space="preserve"> </w:t>
            </w:r>
            <w:r>
              <w:rPr>
                <w:lang/>
              </w:rPr>
              <w:drawing>
                <wp:inline distT="0" distB="0" distL="114300" distR="114300">
                  <wp:extent cx="476250" cy="323850"/>
                  <wp:effectExtent l="0" t="0" r="0" b="0"/>
                  <wp:docPr id="156" name="图片 15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428FBB0">
        <w:tblPrEx>
          <w:tblCellMar>
            <w:top w:w="0" w:type="dxa"/>
            <w:left w:w="0" w:type="dxa"/>
            <w:bottom w:w="0" w:type="dxa"/>
            <w:right w:w="0" w:type="dxa"/>
          </w:tblCellMar>
        </w:tblPrEx>
        <w:trPr>
          <w:wBefore w:w="0" w:type="auto"/>
          <w:tblCellSpacing w:w="0" w:type="dxa"/>
        </w:trPr>
        <w:tc>
          <w:tcPr>
            <w:tcW w:w="0" w:type="auto"/>
            <w:noWrap w:val="0"/>
            <w:vAlign w:val="center"/>
          </w:tcPr>
          <w:p w14:paraId="0C86051C">
            <w:r>
              <w:rPr>
                <w:rStyle w:val="10"/>
                <w:rFonts w:hint="eastAsia"/>
              </w:rPr>
              <w:t>总有效成分含量：</w:t>
            </w:r>
            <w:r>
              <w:rPr>
                <w:rFonts w:hint="eastAsia"/>
              </w:rPr>
              <w:t>84%</w:t>
            </w:r>
          </w:p>
        </w:tc>
      </w:tr>
      <w:tr w14:paraId="4122CE2C">
        <w:tblPrEx>
          <w:tblCellMar>
            <w:top w:w="0" w:type="dxa"/>
            <w:left w:w="0" w:type="dxa"/>
            <w:bottom w:w="0" w:type="dxa"/>
            <w:right w:w="0" w:type="dxa"/>
          </w:tblCellMar>
        </w:tblPrEx>
        <w:trPr>
          <w:wBefore w:w="0" w:type="auto"/>
          <w:tblCellSpacing w:w="0" w:type="dxa"/>
        </w:trPr>
        <w:tc>
          <w:tcPr>
            <w:tcW w:w="0" w:type="auto"/>
            <w:noWrap w:val="0"/>
            <w:vAlign w:val="center"/>
          </w:tcPr>
          <w:p w14:paraId="4954A20F">
            <w:r>
              <w:rPr>
                <w:rFonts w:hint="eastAsia"/>
              </w:rPr>
              <w:t xml:space="preserve">有效成分及其含量： </w:t>
            </w:r>
          </w:p>
          <w:p w14:paraId="73DC1D2B">
            <w:r>
              <w:rPr>
                <w:rFonts w:hint="eastAsia"/>
              </w:rPr>
              <w:t xml:space="preserve">    王铜84%    </w:t>
            </w:r>
          </w:p>
        </w:tc>
      </w:tr>
      <w:tr w14:paraId="4A16D8F8">
        <w:tblPrEx>
          <w:tblCellMar>
            <w:top w:w="0" w:type="dxa"/>
            <w:left w:w="0" w:type="dxa"/>
            <w:bottom w:w="0" w:type="dxa"/>
            <w:right w:w="0" w:type="dxa"/>
          </w:tblCellMar>
        </w:tblPrEx>
        <w:trPr>
          <w:wBefore w:w="0" w:type="auto"/>
          <w:tblCellSpacing w:w="0" w:type="dxa"/>
        </w:trPr>
        <w:tc>
          <w:tcPr>
            <w:tcW w:w="0" w:type="auto"/>
            <w:noWrap w:val="0"/>
            <w:vAlign w:val="center"/>
          </w:tcPr>
          <w:p w14:paraId="44B23B9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4EF98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B1295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592464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FD2FC1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F35936E">
                  <w:r>
                    <w:rPr>
                      <w:rStyle w:val="11"/>
                      <w:rFonts w:hint="eastAsia"/>
                    </w:rPr>
                    <w:t>施用方式</w:t>
                  </w:r>
                </w:p>
              </w:tc>
            </w:tr>
            <w:tr w14:paraId="166438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1847481">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026D7D">
                  <w:r>
                    <w:rPr>
                      <w:rStyle w:val="11"/>
                      <w:rFonts w:hint="eastAsia"/>
                    </w:rPr>
                    <w:t>细菌性角斑病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EA019E">
                  <w:r>
                    <w:rPr>
                      <w:rStyle w:val="11"/>
                      <w:rFonts w:hint="eastAsia"/>
                    </w:rPr>
                    <w:t>119-179克/亩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B11157">
                  <w:r>
                    <w:rPr>
                      <w:rStyle w:val="11"/>
                      <w:rFonts w:hint="eastAsia"/>
                    </w:rPr>
                    <w:t>喷雾</w:t>
                  </w:r>
                </w:p>
              </w:tc>
            </w:tr>
          </w:tbl>
          <w:p w14:paraId="239F0AD6">
            <w:pPr>
              <w:rPr>
                <w:rFonts w:ascii="Times New Roman" w:hAnsi="Times New Roman" w:cs="Times New Roman"/>
                <w:sz w:val="20"/>
                <w:szCs w:val="20"/>
              </w:rPr>
            </w:pPr>
          </w:p>
        </w:tc>
      </w:tr>
      <w:tr w14:paraId="2E9B100D">
        <w:tblPrEx>
          <w:tblCellMar>
            <w:top w:w="0" w:type="dxa"/>
            <w:left w:w="0" w:type="dxa"/>
            <w:bottom w:w="0" w:type="dxa"/>
            <w:right w:w="0" w:type="dxa"/>
          </w:tblCellMar>
        </w:tblPrEx>
        <w:trPr>
          <w:wBefore w:w="0" w:type="auto"/>
          <w:tblCellSpacing w:w="0" w:type="dxa"/>
        </w:trPr>
        <w:tc>
          <w:tcPr>
            <w:tcW w:w="0" w:type="auto"/>
            <w:noWrap w:val="0"/>
            <w:vAlign w:val="center"/>
          </w:tcPr>
          <w:p w14:paraId="31DC0BD3">
            <w:r>
              <w:rPr>
                <w:rStyle w:val="10"/>
                <w:rFonts w:hint="eastAsia"/>
              </w:rPr>
              <w:t>使用技术要求:</w:t>
            </w:r>
            <w:r>
              <w:rPr>
                <w:rFonts w:hint="eastAsia"/>
              </w:rPr>
              <w:br w:type="textWrapping"/>
            </w:r>
            <w:r>
              <w:rPr>
                <w:rStyle w:val="11"/>
                <w:rFonts w:hint="eastAsia"/>
              </w:rPr>
              <w:t>1.防治黄瓜细菌性角斑病于发病前或发病初期施药，施药间隔时间建议7-10天，视病情发展施药2-3次。2.喷雾时注意叶片正、反面喷洒均匀，避免漏喷。3.大风天或预计1小时内降雨，请勿施药。 4.每季最多使用3次。</w:t>
            </w:r>
          </w:p>
        </w:tc>
      </w:tr>
      <w:tr w14:paraId="50D5B11A">
        <w:tblPrEx>
          <w:tblCellMar>
            <w:top w:w="0" w:type="dxa"/>
            <w:left w:w="0" w:type="dxa"/>
            <w:bottom w:w="0" w:type="dxa"/>
            <w:right w:w="0" w:type="dxa"/>
          </w:tblCellMar>
        </w:tblPrEx>
        <w:trPr>
          <w:wBefore w:w="0" w:type="auto"/>
          <w:tblCellSpacing w:w="0" w:type="dxa"/>
        </w:trPr>
        <w:tc>
          <w:tcPr>
            <w:tcW w:w="0" w:type="auto"/>
            <w:noWrap w:val="0"/>
            <w:vAlign w:val="center"/>
          </w:tcPr>
          <w:p w14:paraId="5C3CD2BC">
            <w:r>
              <w:rPr>
                <w:rStyle w:val="10"/>
                <w:rFonts w:hint="eastAsia"/>
              </w:rPr>
              <w:t>产品性能:</w:t>
            </w:r>
            <w:r>
              <w:rPr>
                <w:rFonts w:hint="eastAsia"/>
              </w:rPr>
              <w:br w:type="textWrapping"/>
            </w:r>
            <w:r>
              <w:rPr>
                <w:rStyle w:val="11"/>
                <w:rFonts w:hint="eastAsia"/>
              </w:rPr>
              <w:t>本产品为无机铜素保护性杀菌剂，氧氯化铜喷到作物上后能粘附在植物体表面，形成一层保护膜，不易被雨水冲刷。在一定湿度条件下释放出可溶性碱式氯化铜离子，起杀菌作用。</w:t>
            </w:r>
          </w:p>
        </w:tc>
      </w:tr>
      <w:tr w14:paraId="79DE47A3">
        <w:tblPrEx>
          <w:tblCellMar>
            <w:top w:w="0" w:type="dxa"/>
            <w:left w:w="0" w:type="dxa"/>
            <w:bottom w:w="0" w:type="dxa"/>
            <w:right w:w="0" w:type="dxa"/>
          </w:tblCellMar>
        </w:tblPrEx>
        <w:trPr>
          <w:wBefore w:w="0" w:type="auto"/>
          <w:tblCellSpacing w:w="0" w:type="dxa"/>
        </w:trPr>
        <w:tc>
          <w:tcPr>
            <w:tcW w:w="0" w:type="auto"/>
            <w:noWrap w:val="0"/>
            <w:vAlign w:val="center"/>
          </w:tcPr>
          <w:p w14:paraId="7FC14874">
            <w:r>
              <w:rPr>
                <w:rStyle w:val="10"/>
                <w:rFonts w:hint="eastAsia"/>
              </w:rPr>
              <w:t>注意事项：</w:t>
            </w:r>
            <w:r>
              <w:rPr>
                <w:rFonts w:hint="eastAsia"/>
              </w:rPr>
              <w:br w:type="textWrapping"/>
            </w:r>
            <w:r>
              <w:rPr>
                <w:rStyle w:val="11"/>
                <w:rFonts w:hint="eastAsia"/>
              </w:rPr>
              <w:t>1.对铜敏感的时期和作物（桃、李、梅、杏、柿子、大白菜、菜豆、莴苣、荸荠等）慎用。施药时注意避免漂移至上述作物。2.避免在暑天中午高温烈日下操作，避免高温期使用高浓度喷药。3.避免阴湿天气或露水未干前施药，以免发生药害，喷药24小时内遇大雨需补喷。4.建议与其他作用机制不同的杀菌剂轮换使用，以延缓抗性产生。5.对水生生物危害大，1.水产养殖区、河塘等水体附近禁用，禁止在河塘等水域清洗施药器具；（周围）开花植物花期禁用；鸟类保护区附近禁用；桑园及蚕室附近禁用。6.本品对眼睛有刺激性，使用时避免接触眼睛，穿戴长衣、长裤、帽子、口罩、手套等防护措施。避免吸入药液，施药时不可吸烟、进食、饮水，施药后应洗手、脸等身体裸露部位。7.孕期及哺乳期妇女禁止接触本品。8.用过的容器应妥善处理，不可做他用，也不可随意丢弃。</w:t>
            </w:r>
          </w:p>
        </w:tc>
      </w:tr>
      <w:tr w14:paraId="24393484">
        <w:tblPrEx>
          <w:tblCellMar>
            <w:top w:w="0" w:type="dxa"/>
            <w:left w:w="0" w:type="dxa"/>
            <w:bottom w:w="0" w:type="dxa"/>
            <w:right w:w="0" w:type="dxa"/>
          </w:tblCellMar>
        </w:tblPrEx>
        <w:trPr>
          <w:wBefore w:w="0" w:type="auto"/>
          <w:tblCellSpacing w:w="0" w:type="dxa"/>
        </w:trPr>
        <w:tc>
          <w:tcPr>
            <w:tcW w:w="0" w:type="auto"/>
            <w:noWrap w:val="0"/>
            <w:vAlign w:val="center"/>
          </w:tcPr>
          <w:p w14:paraId="2085469E">
            <w:r>
              <w:rPr>
                <w:rStyle w:val="10"/>
                <w:rFonts w:hint="eastAsia"/>
              </w:rPr>
              <w:t>中毒急救措施：</w:t>
            </w:r>
            <w:r>
              <w:rPr>
                <w:rFonts w:hint="eastAsia"/>
              </w:rPr>
              <w:br w:type="textWrapping"/>
            </w:r>
            <w:r>
              <w:rPr>
                <w:rStyle w:val="11"/>
                <w:rFonts w:hint="eastAsia"/>
              </w:rPr>
              <w:t>1.中毒症状：一旦发生中毒，请立即送医院诊治。 2.吸入：应立即将病人移至通风处，注意保暖和休息，请医生诊治。 3.皮肤接触：立即脱掉被污染的衣服，用大量清水清洗。 4.眼睛溅入：应用大量的清水冲洗至少15分钟，请医生诊治。 5.误服：应立即催吐、洗胃和导泻，携带本标签，送医院就诊。</w:t>
            </w:r>
          </w:p>
        </w:tc>
      </w:tr>
      <w:tr w14:paraId="6217A077">
        <w:tblPrEx>
          <w:tblCellMar>
            <w:top w:w="0" w:type="dxa"/>
            <w:left w:w="0" w:type="dxa"/>
            <w:bottom w:w="0" w:type="dxa"/>
            <w:right w:w="0" w:type="dxa"/>
          </w:tblCellMar>
        </w:tblPrEx>
        <w:trPr>
          <w:wBefore w:w="0" w:type="auto"/>
          <w:tblCellSpacing w:w="0" w:type="dxa"/>
        </w:trPr>
        <w:tc>
          <w:tcPr>
            <w:tcW w:w="0" w:type="auto"/>
            <w:noWrap w:val="0"/>
            <w:vAlign w:val="center"/>
          </w:tcPr>
          <w:p w14:paraId="013DF9FD">
            <w:r>
              <w:rPr>
                <w:rStyle w:val="10"/>
                <w:rFonts w:hint="eastAsia"/>
              </w:rPr>
              <w:t>储存和运输方法：</w:t>
            </w:r>
            <w:r>
              <w:rPr>
                <w:rFonts w:hint="eastAsia"/>
              </w:rPr>
              <w:br w:type="textWrapping"/>
            </w:r>
            <w:r>
              <w:rPr>
                <w:rStyle w:val="11"/>
                <w:rFonts w:hint="eastAsia"/>
              </w:rPr>
              <w:t>1.本品应贮存在干燥、阴凉、通风、防雨处，远离火源或热源。 2.勿与食品、饮料、饲料及易燃易爆物等其他商品同贮同运。 3.置于儿童触及不到之处，并加锁。 4.运输前应检查包装容器是否完整、密封，运输过程中确保容器不泄漏、不倒塌、不坠落、不损坏，轻拿轻放。贮运过程中轻拿轻放，注意防雨防晒。</w:t>
            </w:r>
          </w:p>
        </w:tc>
      </w:tr>
      <w:tr w14:paraId="18CEC80C">
        <w:tblPrEx>
          <w:tblCellMar>
            <w:top w:w="0" w:type="dxa"/>
            <w:left w:w="0" w:type="dxa"/>
            <w:bottom w:w="0" w:type="dxa"/>
            <w:right w:w="0" w:type="dxa"/>
          </w:tblCellMar>
        </w:tblPrEx>
        <w:trPr>
          <w:wBefore w:w="0" w:type="auto"/>
          <w:tblCellSpacing w:w="0" w:type="dxa"/>
        </w:trPr>
        <w:tc>
          <w:tcPr>
            <w:tcW w:w="0" w:type="auto"/>
            <w:noWrap w:val="0"/>
            <w:vAlign w:val="center"/>
          </w:tcPr>
          <w:p w14:paraId="4E272B43">
            <w:r>
              <w:rPr>
                <w:rStyle w:val="10"/>
                <w:rFonts w:hint="eastAsia"/>
              </w:rPr>
              <w:t>质量保证期：</w:t>
            </w:r>
            <w:r>
              <w:rPr>
                <w:rStyle w:val="11"/>
                <w:rFonts w:hint="eastAsia"/>
              </w:rPr>
              <w:t>2年</w:t>
            </w:r>
          </w:p>
        </w:tc>
      </w:tr>
      <w:tr w14:paraId="712FD15D">
        <w:tblPrEx>
          <w:tblCellMar>
            <w:top w:w="0" w:type="dxa"/>
            <w:left w:w="0" w:type="dxa"/>
            <w:bottom w:w="0" w:type="dxa"/>
            <w:right w:w="0" w:type="dxa"/>
          </w:tblCellMar>
        </w:tblPrEx>
        <w:trPr>
          <w:wBefore w:w="0" w:type="auto"/>
          <w:tblCellSpacing w:w="0" w:type="dxa"/>
        </w:trPr>
        <w:tc>
          <w:tcPr>
            <w:tcW w:w="0" w:type="auto"/>
            <w:noWrap w:val="0"/>
            <w:vAlign w:val="center"/>
          </w:tcPr>
          <w:p w14:paraId="709A763B">
            <w:r>
              <w:rPr>
                <w:rStyle w:val="10"/>
                <w:rFonts w:hint="eastAsia"/>
              </w:rPr>
              <w:t>备注：</w:t>
            </w:r>
          </w:p>
        </w:tc>
      </w:tr>
    </w:tbl>
    <w:p w14:paraId="21AA917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24A0FD">
        <w:tblPrEx>
          <w:tblCellMar>
            <w:top w:w="0" w:type="dxa"/>
            <w:left w:w="0" w:type="dxa"/>
            <w:bottom w:w="0" w:type="dxa"/>
            <w:right w:w="0" w:type="dxa"/>
          </w:tblCellMar>
        </w:tblPrEx>
        <w:trPr>
          <w:wBefore w:w="0" w:type="auto"/>
          <w:tblCellSpacing w:w="0" w:type="dxa"/>
        </w:trPr>
        <w:tc>
          <w:tcPr>
            <w:tcW w:w="0" w:type="auto"/>
            <w:noWrap w:val="0"/>
            <w:vAlign w:val="center"/>
          </w:tcPr>
          <w:p w14:paraId="0E6A2CFF">
            <w:r>
              <w:rPr>
                <w:rStyle w:val="10"/>
                <w:rFonts w:hint="eastAsia"/>
              </w:rPr>
              <w:t>登记证号：</w:t>
            </w:r>
            <w:r>
              <w:rPr>
                <w:rFonts w:hint="eastAsia"/>
              </w:rPr>
              <w:t>WP20210217</w:t>
            </w:r>
          </w:p>
        </w:tc>
      </w:tr>
      <w:tr w14:paraId="7AA482A2">
        <w:tblPrEx>
          <w:tblCellMar>
            <w:top w:w="0" w:type="dxa"/>
            <w:left w:w="0" w:type="dxa"/>
            <w:bottom w:w="0" w:type="dxa"/>
            <w:right w:w="0" w:type="dxa"/>
          </w:tblCellMar>
        </w:tblPrEx>
        <w:trPr>
          <w:wBefore w:w="0" w:type="auto"/>
          <w:tblCellSpacing w:w="0" w:type="dxa"/>
        </w:trPr>
        <w:tc>
          <w:tcPr>
            <w:tcW w:w="0" w:type="auto"/>
            <w:noWrap w:val="0"/>
            <w:vAlign w:val="center"/>
          </w:tcPr>
          <w:p w14:paraId="14BE0079">
            <w:r>
              <w:rPr>
                <w:rStyle w:val="10"/>
                <w:rFonts w:hint="eastAsia"/>
              </w:rPr>
              <w:t>登记证持有人：</w:t>
            </w:r>
            <w:r>
              <w:rPr>
                <w:rFonts w:hint="eastAsia"/>
              </w:rPr>
              <w:t>山东省临沂市友谊日化有限公司</w:t>
            </w:r>
          </w:p>
        </w:tc>
      </w:tr>
      <w:tr w14:paraId="6FC25BC7">
        <w:tblPrEx>
          <w:tblCellMar>
            <w:top w:w="0" w:type="dxa"/>
            <w:left w:w="0" w:type="dxa"/>
            <w:bottom w:w="0" w:type="dxa"/>
            <w:right w:w="0" w:type="dxa"/>
          </w:tblCellMar>
        </w:tblPrEx>
        <w:trPr>
          <w:wBefore w:w="0" w:type="auto"/>
          <w:tblCellSpacing w:w="0" w:type="dxa"/>
        </w:trPr>
        <w:tc>
          <w:tcPr>
            <w:tcW w:w="0" w:type="auto"/>
            <w:noWrap w:val="0"/>
            <w:vAlign w:val="center"/>
          </w:tcPr>
          <w:p w14:paraId="115874E2">
            <w:r>
              <w:rPr>
                <w:rStyle w:val="10"/>
                <w:rFonts w:hint="eastAsia"/>
              </w:rPr>
              <w:t>农药名称：</w:t>
            </w:r>
            <w:r>
              <w:rPr>
                <w:rFonts w:hint="eastAsia"/>
              </w:rPr>
              <w:t>杀虫气雾剂</w:t>
            </w:r>
          </w:p>
        </w:tc>
      </w:tr>
      <w:tr w14:paraId="525B60DE">
        <w:tblPrEx>
          <w:tblCellMar>
            <w:top w:w="0" w:type="dxa"/>
            <w:left w:w="0" w:type="dxa"/>
            <w:bottom w:w="0" w:type="dxa"/>
            <w:right w:w="0" w:type="dxa"/>
          </w:tblCellMar>
        </w:tblPrEx>
        <w:trPr>
          <w:wBefore w:w="0" w:type="auto"/>
          <w:tblCellSpacing w:w="0" w:type="dxa"/>
        </w:trPr>
        <w:tc>
          <w:tcPr>
            <w:tcW w:w="0" w:type="auto"/>
            <w:noWrap w:val="0"/>
            <w:vAlign w:val="center"/>
          </w:tcPr>
          <w:p w14:paraId="231EC124">
            <w:r>
              <w:rPr>
                <w:rStyle w:val="10"/>
                <w:rFonts w:hint="eastAsia"/>
              </w:rPr>
              <w:t>剂型：</w:t>
            </w:r>
            <w:r>
              <w:rPr>
                <w:rFonts w:hint="eastAsia"/>
              </w:rPr>
              <w:t>气雾剂</w:t>
            </w:r>
          </w:p>
        </w:tc>
      </w:tr>
      <w:tr w14:paraId="5F12663E">
        <w:tblPrEx>
          <w:tblCellMar>
            <w:top w:w="0" w:type="dxa"/>
            <w:left w:w="0" w:type="dxa"/>
            <w:bottom w:w="0" w:type="dxa"/>
            <w:right w:w="0" w:type="dxa"/>
          </w:tblCellMar>
        </w:tblPrEx>
        <w:trPr>
          <w:wBefore w:w="0" w:type="auto"/>
          <w:tblCellSpacing w:w="0" w:type="dxa"/>
        </w:trPr>
        <w:tc>
          <w:tcPr>
            <w:tcW w:w="0" w:type="auto"/>
            <w:noWrap w:val="0"/>
            <w:vAlign w:val="center"/>
          </w:tcPr>
          <w:p w14:paraId="60E1318A">
            <w:r>
              <w:rPr>
                <w:rStyle w:val="10"/>
                <w:rFonts w:hint="eastAsia"/>
              </w:rPr>
              <w:t>毒性及其标识：</w:t>
            </w:r>
            <w:r>
              <w:rPr>
                <w:rFonts w:hint="eastAsia"/>
              </w:rPr>
              <w:t xml:space="preserve"> 微毒 </w:t>
            </w:r>
          </w:p>
        </w:tc>
      </w:tr>
      <w:tr w14:paraId="252774B8">
        <w:tblPrEx>
          <w:tblCellMar>
            <w:top w:w="0" w:type="dxa"/>
            <w:left w:w="0" w:type="dxa"/>
            <w:bottom w:w="0" w:type="dxa"/>
            <w:right w:w="0" w:type="dxa"/>
          </w:tblCellMar>
        </w:tblPrEx>
        <w:trPr>
          <w:wBefore w:w="0" w:type="auto"/>
          <w:tblCellSpacing w:w="0" w:type="dxa"/>
        </w:trPr>
        <w:tc>
          <w:tcPr>
            <w:tcW w:w="0" w:type="auto"/>
            <w:noWrap w:val="0"/>
            <w:vAlign w:val="center"/>
          </w:tcPr>
          <w:p w14:paraId="100EDC79">
            <w:r>
              <w:rPr>
                <w:rStyle w:val="10"/>
                <w:rFonts w:hint="eastAsia"/>
              </w:rPr>
              <w:t>总有效成分含量：</w:t>
            </w:r>
            <w:r>
              <w:rPr>
                <w:rFonts w:hint="eastAsia"/>
              </w:rPr>
              <w:t>0.50%</w:t>
            </w:r>
          </w:p>
        </w:tc>
      </w:tr>
      <w:tr w14:paraId="535F8F3C">
        <w:tblPrEx>
          <w:tblCellMar>
            <w:top w:w="0" w:type="dxa"/>
            <w:left w:w="0" w:type="dxa"/>
            <w:bottom w:w="0" w:type="dxa"/>
            <w:right w:w="0" w:type="dxa"/>
          </w:tblCellMar>
        </w:tblPrEx>
        <w:trPr>
          <w:wBefore w:w="0" w:type="auto"/>
          <w:tblCellSpacing w:w="0" w:type="dxa"/>
        </w:trPr>
        <w:tc>
          <w:tcPr>
            <w:tcW w:w="0" w:type="auto"/>
            <w:noWrap w:val="0"/>
            <w:vAlign w:val="center"/>
          </w:tcPr>
          <w:p w14:paraId="6AA407F3">
            <w:r>
              <w:rPr>
                <w:rFonts w:hint="eastAsia"/>
              </w:rPr>
              <w:t xml:space="preserve">有效成分及其含量： </w:t>
            </w:r>
          </w:p>
          <w:p w14:paraId="78C08FDC">
            <w:r>
              <w:rPr>
                <w:rFonts w:hint="eastAsia"/>
              </w:rPr>
              <w:t xml:space="preserve">    除虫菊素0.5%    </w:t>
            </w:r>
          </w:p>
        </w:tc>
      </w:tr>
      <w:tr w14:paraId="5D004C25">
        <w:tblPrEx>
          <w:tblCellMar>
            <w:top w:w="0" w:type="dxa"/>
            <w:left w:w="0" w:type="dxa"/>
            <w:bottom w:w="0" w:type="dxa"/>
            <w:right w:w="0" w:type="dxa"/>
          </w:tblCellMar>
        </w:tblPrEx>
        <w:trPr>
          <w:wBefore w:w="0" w:type="auto"/>
          <w:tblCellSpacing w:w="0" w:type="dxa"/>
        </w:trPr>
        <w:tc>
          <w:tcPr>
            <w:tcW w:w="0" w:type="auto"/>
            <w:noWrap w:val="0"/>
            <w:vAlign w:val="center"/>
          </w:tcPr>
          <w:p w14:paraId="7006FAC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DB7446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5B6764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47862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1FC9AB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3202E41">
                  <w:r>
                    <w:rPr>
                      <w:rStyle w:val="11"/>
                      <w:rFonts w:hint="eastAsia"/>
                    </w:rPr>
                    <w:t>施用方式</w:t>
                  </w:r>
                </w:p>
              </w:tc>
            </w:tr>
            <w:tr w14:paraId="6E171F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E3389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323862">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6A456A">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0BE4FD">
                  <w:r>
                    <w:rPr>
                      <w:rStyle w:val="11"/>
                      <w:rFonts w:hint="eastAsia"/>
                    </w:rPr>
                    <w:t>喷雾</w:t>
                  </w:r>
                </w:p>
              </w:tc>
            </w:tr>
          </w:tbl>
          <w:p w14:paraId="05FD32CC">
            <w:pPr>
              <w:rPr>
                <w:rFonts w:ascii="Times New Roman" w:hAnsi="Times New Roman" w:cs="Times New Roman"/>
                <w:sz w:val="20"/>
                <w:szCs w:val="20"/>
              </w:rPr>
            </w:pPr>
          </w:p>
        </w:tc>
      </w:tr>
      <w:tr w14:paraId="0A7AC3CF">
        <w:tblPrEx>
          <w:tblCellMar>
            <w:top w:w="0" w:type="dxa"/>
            <w:left w:w="0" w:type="dxa"/>
            <w:bottom w:w="0" w:type="dxa"/>
            <w:right w:w="0" w:type="dxa"/>
          </w:tblCellMar>
        </w:tblPrEx>
        <w:trPr>
          <w:wBefore w:w="0" w:type="auto"/>
          <w:tblCellSpacing w:w="0" w:type="dxa"/>
        </w:trPr>
        <w:tc>
          <w:tcPr>
            <w:tcW w:w="0" w:type="auto"/>
            <w:noWrap w:val="0"/>
            <w:vAlign w:val="center"/>
          </w:tcPr>
          <w:p w14:paraId="5D74271A">
            <w:r>
              <w:rPr>
                <w:rStyle w:val="10"/>
                <w:rFonts w:hint="eastAsia"/>
              </w:rPr>
              <w:t>使用技术要求:</w:t>
            </w:r>
            <w:r>
              <w:rPr>
                <w:rFonts w:hint="eastAsia"/>
              </w:rPr>
              <w:br w:type="textWrapping"/>
            </w:r>
            <w:r>
              <w:rPr>
                <w:rStyle w:val="11"/>
                <w:rFonts w:hint="eastAsia"/>
              </w:rPr>
              <w:t>关闭门窗，竖直罐体，按下阀门。驱杀蚊、蝇时，按房间面积向空间适量喷雾，驱杀蜚蠊（俗称蟑螂）时，向其出没、栖息处喷雾。使用后人、畜立即离开房间，20分钟后打开门窗，对房间做充分通风后方可再次进入。</w:t>
            </w:r>
          </w:p>
        </w:tc>
      </w:tr>
      <w:tr w14:paraId="1B559592">
        <w:tblPrEx>
          <w:tblCellMar>
            <w:top w:w="0" w:type="dxa"/>
            <w:left w:w="0" w:type="dxa"/>
            <w:bottom w:w="0" w:type="dxa"/>
            <w:right w:w="0" w:type="dxa"/>
          </w:tblCellMar>
        </w:tblPrEx>
        <w:trPr>
          <w:wBefore w:w="0" w:type="auto"/>
          <w:tblCellSpacing w:w="0" w:type="dxa"/>
        </w:trPr>
        <w:tc>
          <w:tcPr>
            <w:tcW w:w="0" w:type="auto"/>
            <w:noWrap w:val="0"/>
            <w:vAlign w:val="center"/>
          </w:tcPr>
          <w:p w14:paraId="1472D377">
            <w:r>
              <w:rPr>
                <w:rStyle w:val="10"/>
                <w:rFonts w:hint="eastAsia"/>
              </w:rPr>
              <w:t>产品性能:</w:t>
            </w:r>
            <w:r>
              <w:rPr>
                <w:rFonts w:hint="eastAsia"/>
              </w:rPr>
              <w:br w:type="textWrapping"/>
            </w:r>
            <w:r>
              <w:rPr>
                <w:rStyle w:val="11"/>
                <w:rFonts w:hint="eastAsia"/>
              </w:rPr>
              <w:t>本品采用拟除虫菊酯为有效成分，能驱杀蚊、蝇、蜚蠊（俗称蟑螂）害虫，适用于家庭、宾馆、饭店等室内环境。</w:t>
            </w:r>
          </w:p>
        </w:tc>
      </w:tr>
      <w:tr w14:paraId="42507009">
        <w:tblPrEx>
          <w:tblCellMar>
            <w:top w:w="0" w:type="dxa"/>
            <w:left w:w="0" w:type="dxa"/>
            <w:bottom w:w="0" w:type="dxa"/>
            <w:right w:w="0" w:type="dxa"/>
          </w:tblCellMar>
        </w:tblPrEx>
        <w:trPr>
          <w:wBefore w:w="0" w:type="auto"/>
          <w:tblCellSpacing w:w="0" w:type="dxa"/>
        </w:trPr>
        <w:tc>
          <w:tcPr>
            <w:tcW w:w="0" w:type="auto"/>
            <w:noWrap w:val="0"/>
            <w:vAlign w:val="center"/>
          </w:tcPr>
          <w:p w14:paraId="0211076F">
            <w:r>
              <w:rPr>
                <w:rStyle w:val="10"/>
                <w:rFonts w:hint="eastAsia"/>
              </w:rPr>
              <w:t>注意事项：</w:t>
            </w:r>
            <w:r>
              <w:rPr>
                <w:rFonts w:hint="eastAsia"/>
              </w:rPr>
              <w:br w:type="textWrapping"/>
            </w:r>
            <w:r>
              <w:rPr>
                <w:rStyle w:val="11"/>
                <w:rFonts w:hint="eastAsia"/>
              </w:rPr>
              <w:t>1、使用前请移走或覆盖暴露在外的食物并关闭火源，避免在同一空间使用多种气雾剂。 2、勿倒置喷雾，用后洗手，过敏者禁用，远离儿童，避免孕妇及哺乳期妇女接触。 3、本品对鱼、蚕有高毒，蚕室、蚕房及附近禁止使用，以免造成危害。 4、本品属压力容器，极易燃品，易燃易爆，勿猛烈撞击，勿接近火源、热源。 5、勿置于阳光下暴晒，存放于小于50℃的阴凉干燥处。使用完的空罐严禁焚烧或再次冲装。 6、使用中有任何不良反应立即携标签到医院就医。 7、仅用于室内。</w:t>
            </w:r>
          </w:p>
        </w:tc>
      </w:tr>
      <w:tr w14:paraId="43CE4551">
        <w:tblPrEx>
          <w:tblCellMar>
            <w:top w:w="0" w:type="dxa"/>
            <w:left w:w="0" w:type="dxa"/>
            <w:bottom w:w="0" w:type="dxa"/>
            <w:right w:w="0" w:type="dxa"/>
          </w:tblCellMar>
        </w:tblPrEx>
        <w:trPr>
          <w:wBefore w:w="0" w:type="auto"/>
          <w:tblCellSpacing w:w="0" w:type="dxa"/>
        </w:trPr>
        <w:tc>
          <w:tcPr>
            <w:tcW w:w="0" w:type="auto"/>
            <w:noWrap w:val="0"/>
            <w:vAlign w:val="center"/>
          </w:tcPr>
          <w:p w14:paraId="678CA48A">
            <w:r>
              <w:rPr>
                <w:rStyle w:val="10"/>
                <w:rFonts w:hint="eastAsia"/>
              </w:rPr>
              <w:t>中毒急救措施：</w:t>
            </w:r>
            <w:r>
              <w:rPr>
                <w:rFonts w:hint="eastAsia"/>
              </w:rPr>
              <w:br w:type="textWrapping"/>
            </w:r>
            <w:r>
              <w:rPr>
                <w:rStyle w:val="11"/>
                <w:rFonts w:hint="eastAsia"/>
              </w:rPr>
              <w:t>如药液粘上皮肤或眼睛，使用清水水冲洗。本品无特殊解毒剂，使用本品有任何不良反应或误服中毒立即携标签到医院就医并对症治疗。</w:t>
            </w:r>
          </w:p>
        </w:tc>
      </w:tr>
      <w:tr w14:paraId="69425329">
        <w:tblPrEx>
          <w:tblCellMar>
            <w:top w:w="0" w:type="dxa"/>
            <w:left w:w="0" w:type="dxa"/>
            <w:bottom w:w="0" w:type="dxa"/>
            <w:right w:w="0" w:type="dxa"/>
          </w:tblCellMar>
        </w:tblPrEx>
        <w:trPr>
          <w:wBefore w:w="0" w:type="auto"/>
          <w:tblCellSpacing w:w="0" w:type="dxa"/>
        </w:trPr>
        <w:tc>
          <w:tcPr>
            <w:tcW w:w="0" w:type="auto"/>
            <w:noWrap w:val="0"/>
            <w:vAlign w:val="center"/>
          </w:tcPr>
          <w:p w14:paraId="02774F18">
            <w:r>
              <w:rPr>
                <w:rStyle w:val="10"/>
                <w:rFonts w:hint="eastAsia"/>
              </w:rPr>
              <w:t>储存和运输方法：</w:t>
            </w:r>
            <w:r>
              <w:rPr>
                <w:rFonts w:hint="eastAsia"/>
              </w:rPr>
              <w:br w:type="textWrapping"/>
            </w:r>
            <w:r>
              <w:rPr>
                <w:rStyle w:val="11"/>
                <w:rFonts w:hint="eastAsia"/>
              </w:rPr>
              <w:t>1、搬运产品时应轻取轻放、严禁猛烈碰撞、日晒、重压、并不得倒置。运输应有易燃、易爆标志。置于儿童接触不到的地方。 2、产品应贮存在阴凉、干燥、通风处的仓库内，不得和易燃、易爆品、种子、食品、粮食、饲料、饮料等共储混放。</w:t>
            </w:r>
          </w:p>
        </w:tc>
      </w:tr>
      <w:tr w14:paraId="77E62C2A">
        <w:tblPrEx>
          <w:tblCellMar>
            <w:top w:w="0" w:type="dxa"/>
            <w:left w:w="0" w:type="dxa"/>
            <w:bottom w:w="0" w:type="dxa"/>
            <w:right w:w="0" w:type="dxa"/>
          </w:tblCellMar>
        </w:tblPrEx>
        <w:trPr>
          <w:wBefore w:w="0" w:type="auto"/>
          <w:tblCellSpacing w:w="0" w:type="dxa"/>
        </w:trPr>
        <w:tc>
          <w:tcPr>
            <w:tcW w:w="0" w:type="auto"/>
            <w:noWrap w:val="0"/>
            <w:vAlign w:val="center"/>
          </w:tcPr>
          <w:p w14:paraId="27363BA0">
            <w:r>
              <w:rPr>
                <w:rStyle w:val="10"/>
                <w:rFonts w:hint="eastAsia"/>
              </w:rPr>
              <w:t>质量保证期：</w:t>
            </w:r>
            <w:r>
              <w:rPr>
                <w:rStyle w:val="11"/>
                <w:rFonts w:hint="eastAsia"/>
              </w:rPr>
              <w:t>2年</w:t>
            </w:r>
          </w:p>
        </w:tc>
      </w:tr>
      <w:tr w14:paraId="4E1E1D6A">
        <w:tblPrEx>
          <w:tblCellMar>
            <w:top w:w="0" w:type="dxa"/>
            <w:left w:w="0" w:type="dxa"/>
            <w:bottom w:w="0" w:type="dxa"/>
            <w:right w:w="0" w:type="dxa"/>
          </w:tblCellMar>
        </w:tblPrEx>
        <w:trPr>
          <w:wBefore w:w="0" w:type="auto"/>
          <w:tblCellSpacing w:w="0" w:type="dxa"/>
        </w:trPr>
        <w:tc>
          <w:tcPr>
            <w:tcW w:w="0" w:type="auto"/>
            <w:noWrap w:val="0"/>
            <w:vAlign w:val="center"/>
          </w:tcPr>
          <w:p w14:paraId="0025E07D">
            <w:r>
              <w:rPr>
                <w:rStyle w:val="10"/>
                <w:rFonts w:hint="eastAsia"/>
              </w:rPr>
              <w:t>备注：</w:t>
            </w:r>
          </w:p>
        </w:tc>
      </w:tr>
    </w:tbl>
    <w:p w14:paraId="2D0F811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2001B6D">
        <w:tblPrEx>
          <w:tblCellMar>
            <w:top w:w="0" w:type="dxa"/>
            <w:left w:w="0" w:type="dxa"/>
            <w:bottom w:w="0" w:type="dxa"/>
            <w:right w:w="0" w:type="dxa"/>
          </w:tblCellMar>
        </w:tblPrEx>
        <w:trPr>
          <w:wBefore w:w="0" w:type="auto"/>
          <w:tblCellSpacing w:w="0" w:type="dxa"/>
        </w:trPr>
        <w:tc>
          <w:tcPr>
            <w:tcW w:w="0" w:type="auto"/>
            <w:noWrap w:val="0"/>
            <w:vAlign w:val="center"/>
          </w:tcPr>
          <w:p w14:paraId="0E86E487">
            <w:r>
              <w:rPr>
                <w:rStyle w:val="10"/>
                <w:rFonts w:hint="eastAsia"/>
              </w:rPr>
              <w:t>登记证号：</w:t>
            </w:r>
            <w:r>
              <w:rPr>
                <w:rFonts w:hint="eastAsia"/>
              </w:rPr>
              <w:t>PD20211794</w:t>
            </w:r>
          </w:p>
        </w:tc>
      </w:tr>
      <w:tr w14:paraId="1639176D">
        <w:tblPrEx>
          <w:tblCellMar>
            <w:top w:w="0" w:type="dxa"/>
            <w:left w:w="0" w:type="dxa"/>
            <w:bottom w:w="0" w:type="dxa"/>
            <w:right w:w="0" w:type="dxa"/>
          </w:tblCellMar>
        </w:tblPrEx>
        <w:trPr>
          <w:wBefore w:w="0" w:type="auto"/>
          <w:tblCellSpacing w:w="0" w:type="dxa"/>
        </w:trPr>
        <w:tc>
          <w:tcPr>
            <w:tcW w:w="0" w:type="auto"/>
            <w:noWrap w:val="0"/>
            <w:vAlign w:val="center"/>
          </w:tcPr>
          <w:p w14:paraId="16054FFC">
            <w:r>
              <w:rPr>
                <w:rStyle w:val="10"/>
                <w:rFonts w:hint="eastAsia"/>
              </w:rPr>
              <w:t>登记证持有人：</w:t>
            </w:r>
            <w:r>
              <w:rPr>
                <w:rFonts w:hint="eastAsia"/>
              </w:rPr>
              <w:t>汝阳自强生物科技有限公司</w:t>
            </w:r>
          </w:p>
        </w:tc>
      </w:tr>
      <w:tr w14:paraId="251D17DF">
        <w:tblPrEx>
          <w:tblCellMar>
            <w:top w:w="0" w:type="dxa"/>
            <w:left w:w="0" w:type="dxa"/>
            <w:bottom w:w="0" w:type="dxa"/>
            <w:right w:w="0" w:type="dxa"/>
          </w:tblCellMar>
        </w:tblPrEx>
        <w:trPr>
          <w:wBefore w:w="0" w:type="auto"/>
          <w:tblCellSpacing w:w="0" w:type="dxa"/>
        </w:trPr>
        <w:tc>
          <w:tcPr>
            <w:tcW w:w="0" w:type="auto"/>
            <w:noWrap w:val="0"/>
            <w:vAlign w:val="center"/>
          </w:tcPr>
          <w:p w14:paraId="6044A344">
            <w:r>
              <w:rPr>
                <w:rStyle w:val="10"/>
                <w:rFonts w:hint="eastAsia"/>
              </w:rPr>
              <w:t>农药名称：</w:t>
            </w:r>
            <w:r>
              <w:rPr>
                <w:rFonts w:hint="eastAsia"/>
              </w:rPr>
              <w:t>二嗪·敌百虫</w:t>
            </w:r>
          </w:p>
        </w:tc>
      </w:tr>
      <w:tr w14:paraId="7C176ECD">
        <w:tblPrEx>
          <w:tblCellMar>
            <w:top w:w="0" w:type="dxa"/>
            <w:left w:w="0" w:type="dxa"/>
            <w:bottom w:w="0" w:type="dxa"/>
            <w:right w:w="0" w:type="dxa"/>
          </w:tblCellMar>
        </w:tblPrEx>
        <w:trPr>
          <w:wBefore w:w="0" w:type="auto"/>
          <w:tblCellSpacing w:w="0" w:type="dxa"/>
        </w:trPr>
        <w:tc>
          <w:tcPr>
            <w:tcW w:w="0" w:type="auto"/>
            <w:noWrap w:val="0"/>
            <w:vAlign w:val="center"/>
          </w:tcPr>
          <w:p w14:paraId="4FDCA51B">
            <w:r>
              <w:rPr>
                <w:rStyle w:val="10"/>
                <w:rFonts w:hint="eastAsia"/>
              </w:rPr>
              <w:t>剂型：</w:t>
            </w:r>
            <w:r>
              <w:rPr>
                <w:rFonts w:hint="eastAsia"/>
              </w:rPr>
              <w:t>颗粒剂</w:t>
            </w:r>
          </w:p>
        </w:tc>
      </w:tr>
      <w:tr w14:paraId="5EF10F3A">
        <w:tblPrEx>
          <w:tblCellMar>
            <w:top w:w="0" w:type="dxa"/>
            <w:left w:w="0" w:type="dxa"/>
            <w:bottom w:w="0" w:type="dxa"/>
            <w:right w:w="0" w:type="dxa"/>
          </w:tblCellMar>
        </w:tblPrEx>
        <w:trPr>
          <w:wBefore w:w="0" w:type="auto"/>
          <w:tblCellSpacing w:w="0" w:type="dxa"/>
        </w:trPr>
        <w:tc>
          <w:tcPr>
            <w:tcW w:w="0" w:type="auto"/>
            <w:noWrap w:val="0"/>
            <w:vAlign w:val="center"/>
          </w:tcPr>
          <w:p w14:paraId="3B545F1F">
            <w:r>
              <w:rPr>
                <w:rStyle w:val="10"/>
                <w:rFonts w:hint="eastAsia"/>
              </w:rPr>
              <w:t>毒性及其标识：</w:t>
            </w:r>
            <w:r>
              <w:rPr>
                <w:rFonts w:hint="eastAsia"/>
              </w:rPr>
              <w:t xml:space="preserve"> </w:t>
            </w:r>
            <w:r>
              <w:rPr>
                <w:lang/>
              </w:rPr>
              <w:drawing>
                <wp:inline distT="0" distB="0" distL="114300" distR="114300">
                  <wp:extent cx="476250" cy="323850"/>
                  <wp:effectExtent l="0" t="0" r="0" b="0"/>
                  <wp:docPr id="157" name="图片 15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314192F">
        <w:tblPrEx>
          <w:tblCellMar>
            <w:top w:w="0" w:type="dxa"/>
            <w:left w:w="0" w:type="dxa"/>
            <w:bottom w:w="0" w:type="dxa"/>
            <w:right w:w="0" w:type="dxa"/>
          </w:tblCellMar>
        </w:tblPrEx>
        <w:trPr>
          <w:wBefore w:w="0" w:type="auto"/>
          <w:tblCellSpacing w:w="0" w:type="dxa"/>
        </w:trPr>
        <w:tc>
          <w:tcPr>
            <w:tcW w:w="0" w:type="auto"/>
            <w:noWrap w:val="0"/>
            <w:vAlign w:val="center"/>
          </w:tcPr>
          <w:p w14:paraId="01020C03">
            <w:r>
              <w:rPr>
                <w:rStyle w:val="10"/>
                <w:rFonts w:hint="eastAsia"/>
              </w:rPr>
              <w:t>总有效成分含量：</w:t>
            </w:r>
            <w:r>
              <w:rPr>
                <w:rFonts w:hint="eastAsia"/>
              </w:rPr>
              <w:t>6%</w:t>
            </w:r>
          </w:p>
        </w:tc>
      </w:tr>
      <w:tr w14:paraId="799BE1DE">
        <w:tblPrEx>
          <w:tblCellMar>
            <w:top w:w="0" w:type="dxa"/>
            <w:left w:w="0" w:type="dxa"/>
            <w:bottom w:w="0" w:type="dxa"/>
            <w:right w:w="0" w:type="dxa"/>
          </w:tblCellMar>
        </w:tblPrEx>
        <w:trPr>
          <w:wBefore w:w="0" w:type="auto"/>
          <w:tblCellSpacing w:w="0" w:type="dxa"/>
        </w:trPr>
        <w:tc>
          <w:tcPr>
            <w:tcW w:w="0" w:type="auto"/>
            <w:noWrap w:val="0"/>
            <w:vAlign w:val="center"/>
          </w:tcPr>
          <w:p w14:paraId="1C19C7C3">
            <w:r>
              <w:rPr>
                <w:rFonts w:hint="eastAsia"/>
              </w:rPr>
              <w:t xml:space="preserve">有效成分及其含量： </w:t>
            </w:r>
          </w:p>
          <w:p w14:paraId="3DFB178B">
            <w:r>
              <w:rPr>
                <w:rFonts w:hint="eastAsia"/>
              </w:rPr>
              <w:t xml:space="preserve">    敌百虫4%    二嗪磷2%    </w:t>
            </w:r>
          </w:p>
        </w:tc>
      </w:tr>
      <w:tr w14:paraId="57096095">
        <w:tblPrEx>
          <w:tblCellMar>
            <w:top w:w="0" w:type="dxa"/>
            <w:left w:w="0" w:type="dxa"/>
            <w:bottom w:w="0" w:type="dxa"/>
            <w:right w:w="0" w:type="dxa"/>
          </w:tblCellMar>
        </w:tblPrEx>
        <w:trPr>
          <w:wBefore w:w="0" w:type="auto"/>
          <w:tblCellSpacing w:w="0" w:type="dxa"/>
        </w:trPr>
        <w:tc>
          <w:tcPr>
            <w:tcW w:w="0" w:type="auto"/>
            <w:noWrap w:val="0"/>
            <w:vAlign w:val="center"/>
          </w:tcPr>
          <w:p w14:paraId="6B19D67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20540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947064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75D9D4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7B063A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4A849F">
                  <w:r>
                    <w:rPr>
                      <w:rStyle w:val="11"/>
                      <w:rFonts w:hint="eastAsia"/>
                    </w:rPr>
                    <w:t>施用方式</w:t>
                  </w:r>
                </w:p>
              </w:tc>
            </w:tr>
            <w:tr w14:paraId="058574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46BC146">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D3301C">
                  <w:r>
                    <w:rPr>
                      <w:rStyle w:val="11"/>
                      <w:rFonts w:hint="eastAsia"/>
                    </w:rPr>
                    <w:t>蔗龟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19201C">
                  <w:r>
                    <w:rPr>
                      <w:rStyle w:val="11"/>
                      <w:rFonts w:hint="eastAsia"/>
                    </w:rPr>
                    <w:t>1875-2500克/亩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30FB4F">
                  <w:r>
                    <w:rPr>
                      <w:rStyle w:val="11"/>
                      <w:rFonts w:hint="eastAsia"/>
                    </w:rPr>
                    <w:t>沟施</w:t>
                  </w:r>
                </w:p>
              </w:tc>
            </w:tr>
          </w:tbl>
          <w:p w14:paraId="0D2640D4">
            <w:pPr>
              <w:rPr>
                <w:rFonts w:ascii="Times New Roman" w:hAnsi="Times New Roman" w:cs="Times New Roman"/>
                <w:sz w:val="20"/>
                <w:szCs w:val="20"/>
              </w:rPr>
            </w:pPr>
          </w:p>
        </w:tc>
      </w:tr>
      <w:tr w14:paraId="58595131">
        <w:tblPrEx>
          <w:tblCellMar>
            <w:top w:w="0" w:type="dxa"/>
            <w:left w:w="0" w:type="dxa"/>
            <w:bottom w:w="0" w:type="dxa"/>
            <w:right w:w="0" w:type="dxa"/>
          </w:tblCellMar>
        </w:tblPrEx>
        <w:trPr>
          <w:wBefore w:w="0" w:type="auto"/>
          <w:tblCellSpacing w:w="0" w:type="dxa"/>
        </w:trPr>
        <w:tc>
          <w:tcPr>
            <w:tcW w:w="0" w:type="auto"/>
            <w:noWrap w:val="0"/>
            <w:vAlign w:val="center"/>
          </w:tcPr>
          <w:p w14:paraId="05A0F76C">
            <w:r>
              <w:rPr>
                <w:rStyle w:val="10"/>
                <w:rFonts w:hint="eastAsia"/>
              </w:rPr>
              <w:t>使用技术要求:</w:t>
            </w:r>
            <w:r>
              <w:rPr>
                <w:rFonts w:hint="eastAsia"/>
              </w:rPr>
              <w:br w:type="textWrapping"/>
            </w:r>
            <w:r>
              <w:rPr>
                <w:rStyle w:val="11"/>
                <w:rFonts w:hint="eastAsia"/>
              </w:rPr>
              <w:t>1.于甘蔗摆种后，将药剂均匀施于种植沟内，施药后及时覆土。 2.每季作物用药一次。</w:t>
            </w:r>
          </w:p>
        </w:tc>
      </w:tr>
      <w:tr w14:paraId="2FEFB78D">
        <w:tblPrEx>
          <w:tblCellMar>
            <w:top w:w="0" w:type="dxa"/>
            <w:left w:w="0" w:type="dxa"/>
            <w:bottom w:w="0" w:type="dxa"/>
            <w:right w:w="0" w:type="dxa"/>
          </w:tblCellMar>
        </w:tblPrEx>
        <w:trPr>
          <w:wBefore w:w="0" w:type="auto"/>
          <w:tblCellSpacing w:w="0" w:type="dxa"/>
        </w:trPr>
        <w:tc>
          <w:tcPr>
            <w:tcW w:w="0" w:type="auto"/>
            <w:noWrap w:val="0"/>
            <w:vAlign w:val="center"/>
          </w:tcPr>
          <w:p w14:paraId="7359AF11">
            <w:r>
              <w:rPr>
                <w:rStyle w:val="10"/>
                <w:rFonts w:hint="eastAsia"/>
              </w:rPr>
              <w:t>产品性能:</w:t>
            </w:r>
            <w:r>
              <w:rPr>
                <w:rFonts w:hint="eastAsia"/>
              </w:rPr>
              <w:br w:type="textWrapping"/>
            </w:r>
            <w:r>
              <w:rPr>
                <w:rStyle w:val="11"/>
                <w:rFonts w:hint="eastAsia"/>
              </w:rPr>
              <w:t>本品由敌百虫和二嗪磷复配而成，敌百虫是一种毒性低、杀虫谱广的有机磷杀虫剂。对害虫有很强的胃毒作用，兼有触杀作用，对植物具有渗透性，但无内吸传导作用。二嗪磷抑制乙酰胆碱酯酶，对鳞翅目、同翅目等多种害虫有较好的防效。二者复配，对甘蔗蔗龟具有较好的防效。</w:t>
            </w:r>
          </w:p>
        </w:tc>
      </w:tr>
      <w:tr w14:paraId="159FFE88">
        <w:tblPrEx>
          <w:tblCellMar>
            <w:top w:w="0" w:type="dxa"/>
            <w:left w:w="0" w:type="dxa"/>
            <w:bottom w:w="0" w:type="dxa"/>
            <w:right w:w="0" w:type="dxa"/>
          </w:tblCellMar>
        </w:tblPrEx>
        <w:trPr>
          <w:wBefore w:w="0" w:type="auto"/>
          <w:tblCellSpacing w:w="0" w:type="dxa"/>
        </w:trPr>
        <w:tc>
          <w:tcPr>
            <w:tcW w:w="0" w:type="auto"/>
            <w:noWrap w:val="0"/>
            <w:vAlign w:val="center"/>
          </w:tcPr>
          <w:p w14:paraId="00F8E7C7">
            <w:r>
              <w:rPr>
                <w:rStyle w:val="10"/>
                <w:rFonts w:hint="eastAsia"/>
              </w:rPr>
              <w:t>注意事项：</w:t>
            </w:r>
            <w:r>
              <w:rPr>
                <w:rFonts w:hint="eastAsia"/>
              </w:rPr>
              <w:br w:type="textWrapping"/>
            </w:r>
            <w:r>
              <w:rPr>
                <w:rStyle w:val="11"/>
                <w:rFonts w:hint="eastAsia"/>
              </w:rPr>
              <w:t>1.施药前应将大块土壤打碎以保证药效。2.严格按照推荐的使用剂量和施药时期用药。3. 施药时应做好防护，穿作业服及手套，施药后应及时清洗。4. 桑园或蚕室附近禁用。 5.施药时远离水产养殖区、河塘等水体，禁止在河塘等水体中清洗施药工具。周围开花植物花期禁用，施药期间应密切关注对附近蜂群的影响。鸟类保护区禁用，施药后立即覆土。地下水、饮用水水源地附近禁用。6.用过的容器应妥善处理，不可做他用，也不可随意丢弃。7.孕妇及哺乳期妇女禁止接触本品。</w:t>
            </w:r>
          </w:p>
        </w:tc>
      </w:tr>
      <w:tr w14:paraId="582EF73A">
        <w:tblPrEx>
          <w:tblCellMar>
            <w:top w:w="0" w:type="dxa"/>
            <w:left w:w="0" w:type="dxa"/>
            <w:bottom w:w="0" w:type="dxa"/>
            <w:right w:w="0" w:type="dxa"/>
          </w:tblCellMar>
        </w:tblPrEx>
        <w:trPr>
          <w:wBefore w:w="0" w:type="auto"/>
          <w:tblCellSpacing w:w="0" w:type="dxa"/>
        </w:trPr>
        <w:tc>
          <w:tcPr>
            <w:tcW w:w="0" w:type="auto"/>
            <w:noWrap w:val="0"/>
            <w:vAlign w:val="center"/>
          </w:tcPr>
          <w:p w14:paraId="06F06C35">
            <w:r>
              <w:rPr>
                <w:rStyle w:val="10"/>
                <w:rFonts w:hint="eastAsia"/>
              </w:rPr>
              <w:t>中毒急救措施：</w:t>
            </w:r>
            <w:r>
              <w:rPr>
                <w:rFonts w:hint="eastAsia"/>
              </w:rPr>
              <w:br w:type="textWrapping"/>
            </w:r>
            <w:r>
              <w:rPr>
                <w:rStyle w:val="11"/>
                <w:rFonts w:hint="eastAsia"/>
              </w:rPr>
              <w:t>本品为复配制剂，中毒症状：早期症状为瞳孔放大，行动失调，肌肉颤抖，严重时导致呕吐。如误入眼睛，立即用清水冲洗至少15分钟，仍有不适时立即就医；如接触皮肤，立即用清水冲洗并换洗衣物；如误服立即携标签送医院对症治疗。</w:t>
            </w:r>
          </w:p>
        </w:tc>
      </w:tr>
      <w:tr w14:paraId="4860BE1E">
        <w:tblPrEx>
          <w:tblCellMar>
            <w:top w:w="0" w:type="dxa"/>
            <w:left w:w="0" w:type="dxa"/>
            <w:bottom w:w="0" w:type="dxa"/>
            <w:right w:w="0" w:type="dxa"/>
          </w:tblCellMar>
        </w:tblPrEx>
        <w:trPr>
          <w:wBefore w:w="0" w:type="auto"/>
          <w:tblCellSpacing w:w="0" w:type="dxa"/>
        </w:trPr>
        <w:tc>
          <w:tcPr>
            <w:tcW w:w="0" w:type="auto"/>
            <w:noWrap w:val="0"/>
            <w:vAlign w:val="center"/>
          </w:tcPr>
          <w:p w14:paraId="0B546193">
            <w:r>
              <w:rPr>
                <w:rStyle w:val="10"/>
                <w:rFonts w:hint="eastAsia"/>
              </w:rPr>
              <w:t>储存和运输方法：</w:t>
            </w:r>
            <w:r>
              <w:rPr>
                <w:rFonts w:hint="eastAsia"/>
              </w:rPr>
              <w:br w:type="textWrapping"/>
            </w:r>
            <w:r>
              <w:rPr>
                <w:rStyle w:val="11"/>
                <w:rFonts w:hint="eastAsia"/>
              </w:rPr>
              <w:t>1.本品应贮存于阴凉、干燥和通风防雨处，远离热源和火源。2.本品贮存应放置于儿童接触不到的地方，并加锁保存；不可与食品、饮料、粮食、饲料等同贮同运。3.运输时应注意防晒、防潮、防雨，搬运时轻搬轻放。4.远离火源或热源。</w:t>
            </w:r>
          </w:p>
        </w:tc>
      </w:tr>
      <w:tr w14:paraId="244EC940">
        <w:tblPrEx>
          <w:tblCellMar>
            <w:top w:w="0" w:type="dxa"/>
            <w:left w:w="0" w:type="dxa"/>
            <w:bottom w:w="0" w:type="dxa"/>
            <w:right w:w="0" w:type="dxa"/>
          </w:tblCellMar>
        </w:tblPrEx>
        <w:trPr>
          <w:wBefore w:w="0" w:type="auto"/>
          <w:tblCellSpacing w:w="0" w:type="dxa"/>
        </w:trPr>
        <w:tc>
          <w:tcPr>
            <w:tcW w:w="0" w:type="auto"/>
            <w:noWrap w:val="0"/>
            <w:vAlign w:val="center"/>
          </w:tcPr>
          <w:p w14:paraId="35A3DE90">
            <w:r>
              <w:rPr>
                <w:rStyle w:val="10"/>
                <w:rFonts w:hint="eastAsia"/>
              </w:rPr>
              <w:t>质量保证期：</w:t>
            </w:r>
            <w:r>
              <w:rPr>
                <w:rStyle w:val="11"/>
                <w:rFonts w:hint="eastAsia"/>
              </w:rPr>
              <w:t>2年</w:t>
            </w:r>
          </w:p>
        </w:tc>
      </w:tr>
      <w:tr w14:paraId="06B887F9">
        <w:tblPrEx>
          <w:tblCellMar>
            <w:top w:w="0" w:type="dxa"/>
            <w:left w:w="0" w:type="dxa"/>
            <w:bottom w:w="0" w:type="dxa"/>
            <w:right w:w="0" w:type="dxa"/>
          </w:tblCellMar>
        </w:tblPrEx>
        <w:trPr>
          <w:wBefore w:w="0" w:type="auto"/>
          <w:tblCellSpacing w:w="0" w:type="dxa"/>
        </w:trPr>
        <w:tc>
          <w:tcPr>
            <w:tcW w:w="0" w:type="auto"/>
            <w:noWrap w:val="0"/>
            <w:vAlign w:val="center"/>
          </w:tcPr>
          <w:p w14:paraId="4258C455">
            <w:r>
              <w:rPr>
                <w:rStyle w:val="10"/>
                <w:rFonts w:hint="eastAsia"/>
              </w:rPr>
              <w:t>备注：</w:t>
            </w:r>
          </w:p>
        </w:tc>
      </w:tr>
    </w:tbl>
    <w:p w14:paraId="617F608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86D660">
        <w:tblPrEx>
          <w:tblCellMar>
            <w:top w:w="0" w:type="dxa"/>
            <w:left w:w="0" w:type="dxa"/>
            <w:bottom w:w="0" w:type="dxa"/>
            <w:right w:w="0" w:type="dxa"/>
          </w:tblCellMar>
        </w:tblPrEx>
        <w:trPr>
          <w:wBefore w:w="0" w:type="auto"/>
          <w:tblCellSpacing w:w="0" w:type="dxa"/>
        </w:trPr>
        <w:tc>
          <w:tcPr>
            <w:tcW w:w="0" w:type="auto"/>
            <w:noWrap w:val="0"/>
            <w:vAlign w:val="center"/>
          </w:tcPr>
          <w:p w14:paraId="72ACB55D">
            <w:r>
              <w:rPr>
                <w:rStyle w:val="10"/>
                <w:rFonts w:hint="eastAsia"/>
              </w:rPr>
              <w:t>登记证号：</w:t>
            </w:r>
            <w:r>
              <w:rPr>
                <w:rFonts w:hint="eastAsia"/>
              </w:rPr>
              <w:t>PD20211919</w:t>
            </w:r>
          </w:p>
        </w:tc>
      </w:tr>
      <w:tr w14:paraId="43D026D2">
        <w:tblPrEx>
          <w:tblCellMar>
            <w:top w:w="0" w:type="dxa"/>
            <w:left w:w="0" w:type="dxa"/>
            <w:bottom w:w="0" w:type="dxa"/>
            <w:right w:w="0" w:type="dxa"/>
          </w:tblCellMar>
        </w:tblPrEx>
        <w:trPr>
          <w:wBefore w:w="0" w:type="auto"/>
          <w:tblCellSpacing w:w="0" w:type="dxa"/>
        </w:trPr>
        <w:tc>
          <w:tcPr>
            <w:tcW w:w="0" w:type="auto"/>
            <w:noWrap w:val="0"/>
            <w:vAlign w:val="center"/>
          </w:tcPr>
          <w:p w14:paraId="623ABDB7">
            <w:r>
              <w:rPr>
                <w:rStyle w:val="10"/>
                <w:rFonts w:hint="eastAsia"/>
              </w:rPr>
              <w:t>登记证持有人：</w:t>
            </w:r>
            <w:r>
              <w:rPr>
                <w:rFonts w:hint="eastAsia"/>
              </w:rPr>
              <w:t>浙江省杭州宇龙化工有限公司</w:t>
            </w:r>
          </w:p>
        </w:tc>
      </w:tr>
      <w:tr w14:paraId="353E81AD">
        <w:tblPrEx>
          <w:tblCellMar>
            <w:top w:w="0" w:type="dxa"/>
            <w:left w:w="0" w:type="dxa"/>
            <w:bottom w:w="0" w:type="dxa"/>
            <w:right w:w="0" w:type="dxa"/>
          </w:tblCellMar>
        </w:tblPrEx>
        <w:trPr>
          <w:wBefore w:w="0" w:type="auto"/>
          <w:tblCellSpacing w:w="0" w:type="dxa"/>
        </w:trPr>
        <w:tc>
          <w:tcPr>
            <w:tcW w:w="0" w:type="auto"/>
            <w:noWrap w:val="0"/>
            <w:vAlign w:val="center"/>
          </w:tcPr>
          <w:p w14:paraId="4A71FE17">
            <w:r>
              <w:rPr>
                <w:rStyle w:val="10"/>
                <w:rFonts w:hint="eastAsia"/>
              </w:rPr>
              <w:t>农药名称：</w:t>
            </w:r>
            <w:r>
              <w:rPr>
                <w:rFonts w:hint="eastAsia"/>
              </w:rPr>
              <w:t>四氟·吡唑酯</w:t>
            </w:r>
          </w:p>
        </w:tc>
      </w:tr>
      <w:tr w14:paraId="6845AB71">
        <w:tblPrEx>
          <w:tblCellMar>
            <w:top w:w="0" w:type="dxa"/>
            <w:left w:w="0" w:type="dxa"/>
            <w:bottom w:w="0" w:type="dxa"/>
            <w:right w:w="0" w:type="dxa"/>
          </w:tblCellMar>
        </w:tblPrEx>
        <w:trPr>
          <w:wBefore w:w="0" w:type="auto"/>
          <w:tblCellSpacing w:w="0" w:type="dxa"/>
        </w:trPr>
        <w:tc>
          <w:tcPr>
            <w:tcW w:w="0" w:type="auto"/>
            <w:noWrap w:val="0"/>
            <w:vAlign w:val="center"/>
          </w:tcPr>
          <w:p w14:paraId="35A62B7E">
            <w:r>
              <w:rPr>
                <w:rStyle w:val="10"/>
                <w:rFonts w:hint="eastAsia"/>
              </w:rPr>
              <w:t>剂型：</w:t>
            </w:r>
            <w:r>
              <w:rPr>
                <w:rFonts w:hint="eastAsia"/>
              </w:rPr>
              <w:t>悬乳剂</w:t>
            </w:r>
          </w:p>
        </w:tc>
      </w:tr>
      <w:tr w14:paraId="03CC5E13">
        <w:tblPrEx>
          <w:tblCellMar>
            <w:top w:w="0" w:type="dxa"/>
            <w:left w:w="0" w:type="dxa"/>
            <w:bottom w:w="0" w:type="dxa"/>
            <w:right w:w="0" w:type="dxa"/>
          </w:tblCellMar>
        </w:tblPrEx>
        <w:trPr>
          <w:wBefore w:w="0" w:type="auto"/>
          <w:tblCellSpacing w:w="0" w:type="dxa"/>
        </w:trPr>
        <w:tc>
          <w:tcPr>
            <w:tcW w:w="0" w:type="auto"/>
            <w:noWrap w:val="0"/>
            <w:vAlign w:val="center"/>
          </w:tcPr>
          <w:p w14:paraId="79D63225">
            <w:r>
              <w:rPr>
                <w:rStyle w:val="10"/>
                <w:rFonts w:hint="eastAsia"/>
              </w:rPr>
              <w:t>毒性及其标识：</w:t>
            </w:r>
            <w:r>
              <w:rPr>
                <w:rFonts w:hint="eastAsia"/>
              </w:rPr>
              <w:t xml:space="preserve"> </w:t>
            </w:r>
            <w:r>
              <w:rPr>
                <w:lang/>
              </w:rPr>
              <w:drawing>
                <wp:inline distT="0" distB="0" distL="114300" distR="114300">
                  <wp:extent cx="476250" cy="323850"/>
                  <wp:effectExtent l="0" t="0" r="0" b="0"/>
                  <wp:docPr id="158" name="图片 15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37F2DEA">
        <w:tblPrEx>
          <w:tblCellMar>
            <w:top w:w="0" w:type="dxa"/>
            <w:left w:w="0" w:type="dxa"/>
            <w:bottom w:w="0" w:type="dxa"/>
            <w:right w:w="0" w:type="dxa"/>
          </w:tblCellMar>
        </w:tblPrEx>
        <w:trPr>
          <w:wBefore w:w="0" w:type="auto"/>
          <w:tblCellSpacing w:w="0" w:type="dxa"/>
        </w:trPr>
        <w:tc>
          <w:tcPr>
            <w:tcW w:w="0" w:type="auto"/>
            <w:noWrap w:val="0"/>
            <w:vAlign w:val="center"/>
          </w:tcPr>
          <w:p w14:paraId="1FDF593D">
            <w:r>
              <w:rPr>
                <w:rStyle w:val="10"/>
                <w:rFonts w:hint="eastAsia"/>
              </w:rPr>
              <w:t>总有效成分含量：</w:t>
            </w:r>
            <w:r>
              <w:rPr>
                <w:rFonts w:hint="eastAsia"/>
              </w:rPr>
              <w:t>20%</w:t>
            </w:r>
          </w:p>
        </w:tc>
      </w:tr>
      <w:tr w14:paraId="7165B38B">
        <w:tblPrEx>
          <w:tblCellMar>
            <w:top w:w="0" w:type="dxa"/>
            <w:left w:w="0" w:type="dxa"/>
            <w:bottom w:w="0" w:type="dxa"/>
            <w:right w:w="0" w:type="dxa"/>
          </w:tblCellMar>
        </w:tblPrEx>
        <w:trPr>
          <w:wBefore w:w="0" w:type="auto"/>
          <w:tblCellSpacing w:w="0" w:type="dxa"/>
        </w:trPr>
        <w:tc>
          <w:tcPr>
            <w:tcW w:w="0" w:type="auto"/>
            <w:noWrap w:val="0"/>
            <w:vAlign w:val="center"/>
          </w:tcPr>
          <w:p w14:paraId="16C53887">
            <w:r>
              <w:rPr>
                <w:rFonts w:hint="eastAsia"/>
              </w:rPr>
              <w:t xml:space="preserve">有效成分及其含量： </w:t>
            </w:r>
          </w:p>
          <w:p w14:paraId="7BAE26CB">
            <w:r>
              <w:rPr>
                <w:rFonts w:hint="eastAsia"/>
              </w:rPr>
              <w:t xml:space="preserve">    吡唑醚菌酯10%    四氟醚唑10%    </w:t>
            </w:r>
          </w:p>
        </w:tc>
      </w:tr>
      <w:tr w14:paraId="212A2341">
        <w:tblPrEx>
          <w:tblCellMar>
            <w:top w:w="0" w:type="dxa"/>
            <w:left w:w="0" w:type="dxa"/>
            <w:bottom w:w="0" w:type="dxa"/>
            <w:right w:w="0" w:type="dxa"/>
          </w:tblCellMar>
        </w:tblPrEx>
        <w:trPr>
          <w:wBefore w:w="0" w:type="auto"/>
          <w:tblCellSpacing w:w="0" w:type="dxa"/>
        </w:trPr>
        <w:tc>
          <w:tcPr>
            <w:tcW w:w="0" w:type="auto"/>
            <w:noWrap w:val="0"/>
            <w:vAlign w:val="center"/>
          </w:tcPr>
          <w:p w14:paraId="71E7587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D171F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F072D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BFA6C1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758FA8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78F15F">
                  <w:r>
                    <w:rPr>
                      <w:rStyle w:val="11"/>
                      <w:rFonts w:hint="eastAsia"/>
                    </w:rPr>
                    <w:t>施用方式</w:t>
                  </w:r>
                </w:p>
              </w:tc>
            </w:tr>
            <w:tr w14:paraId="001CC2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BFE5720">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DD75E4">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BBE272">
                  <w:r>
                    <w:rPr>
                      <w:rStyle w:val="11"/>
                      <w:rFonts w:hint="eastAsia"/>
                    </w:rPr>
                    <w:t>20-40毫升/亩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85C6FB">
                  <w:r>
                    <w:rPr>
                      <w:rStyle w:val="11"/>
                      <w:rFonts w:hint="eastAsia"/>
                    </w:rPr>
                    <w:t>喷雾</w:t>
                  </w:r>
                </w:p>
              </w:tc>
            </w:tr>
          </w:tbl>
          <w:p w14:paraId="609D8461">
            <w:pPr>
              <w:rPr>
                <w:rFonts w:ascii="Times New Roman" w:hAnsi="Times New Roman" w:cs="Times New Roman"/>
                <w:sz w:val="20"/>
                <w:szCs w:val="20"/>
              </w:rPr>
            </w:pPr>
          </w:p>
        </w:tc>
      </w:tr>
      <w:tr w14:paraId="37D5579C">
        <w:tblPrEx>
          <w:tblCellMar>
            <w:top w:w="0" w:type="dxa"/>
            <w:left w:w="0" w:type="dxa"/>
            <w:bottom w:w="0" w:type="dxa"/>
            <w:right w:w="0" w:type="dxa"/>
          </w:tblCellMar>
        </w:tblPrEx>
        <w:trPr>
          <w:wBefore w:w="0" w:type="auto"/>
          <w:tblCellSpacing w:w="0" w:type="dxa"/>
        </w:trPr>
        <w:tc>
          <w:tcPr>
            <w:tcW w:w="0" w:type="auto"/>
            <w:noWrap w:val="0"/>
            <w:vAlign w:val="center"/>
          </w:tcPr>
          <w:p w14:paraId="1A608FC7">
            <w:r>
              <w:rPr>
                <w:rStyle w:val="10"/>
                <w:rFonts w:hint="eastAsia"/>
              </w:rPr>
              <w:t>使用技术要求:</w:t>
            </w:r>
            <w:r>
              <w:rPr>
                <w:rFonts w:hint="eastAsia"/>
              </w:rPr>
              <w:br w:type="textWrapping"/>
            </w:r>
            <w:r>
              <w:rPr>
                <w:rStyle w:val="11"/>
                <w:rFonts w:hint="eastAsia"/>
              </w:rPr>
              <w:t>于黄瓜白粉病发病前或初期进行喷雾，可连续施药2-3次，间隔7天左右一次。每季作物最多使用3次，安全间隔期为3天。</w:t>
            </w:r>
          </w:p>
        </w:tc>
      </w:tr>
      <w:tr w14:paraId="74A02C7C">
        <w:tblPrEx>
          <w:tblCellMar>
            <w:top w:w="0" w:type="dxa"/>
            <w:left w:w="0" w:type="dxa"/>
            <w:bottom w:w="0" w:type="dxa"/>
            <w:right w:w="0" w:type="dxa"/>
          </w:tblCellMar>
        </w:tblPrEx>
        <w:trPr>
          <w:wBefore w:w="0" w:type="auto"/>
          <w:tblCellSpacing w:w="0" w:type="dxa"/>
        </w:trPr>
        <w:tc>
          <w:tcPr>
            <w:tcW w:w="0" w:type="auto"/>
            <w:noWrap w:val="0"/>
            <w:vAlign w:val="center"/>
          </w:tcPr>
          <w:p w14:paraId="19A41D6A">
            <w:r>
              <w:rPr>
                <w:rStyle w:val="10"/>
                <w:rFonts w:hint="eastAsia"/>
              </w:rPr>
              <w:t>产品性能:</w:t>
            </w:r>
            <w:r>
              <w:rPr>
                <w:rFonts w:hint="eastAsia"/>
              </w:rPr>
              <w:br w:type="textWrapping"/>
            </w:r>
            <w:r>
              <w:rPr>
                <w:rStyle w:val="11"/>
                <w:rFonts w:hint="eastAsia"/>
              </w:rPr>
              <w:t>本品具有较强的内吸、渗透、传导性，兼具保护和治疗作用。吡唑醚菌酯是甲氧基丙烯酸酯类活性成分，可抑制病菌线粒体的呼吸作用。作用速度快，施药几分钟即可作用靶标，并在叶片上形成保护膜，持效期长，兼具预防作用。同时，可增强作物抗逆性，提高作物品质；四氟醚唑为三唑类内吸传导型杀菌剂，适用于防治黄瓜的白粉病，作用机制是抑制真菌麦角甾醇的生物合成，从而阻碍真菌菌丝生长和分生孢子的形成。具有内吸传导作用。两种药剂复配，可有效防治作物各种病害，具有广谱、长效、低毒等特点，且对作物安全。</w:t>
            </w:r>
          </w:p>
        </w:tc>
      </w:tr>
      <w:tr w14:paraId="3E89EBEA">
        <w:tblPrEx>
          <w:tblCellMar>
            <w:top w:w="0" w:type="dxa"/>
            <w:left w:w="0" w:type="dxa"/>
            <w:bottom w:w="0" w:type="dxa"/>
            <w:right w:w="0" w:type="dxa"/>
          </w:tblCellMar>
        </w:tblPrEx>
        <w:trPr>
          <w:wBefore w:w="0" w:type="auto"/>
          <w:tblCellSpacing w:w="0" w:type="dxa"/>
        </w:trPr>
        <w:tc>
          <w:tcPr>
            <w:tcW w:w="0" w:type="auto"/>
            <w:noWrap w:val="0"/>
            <w:vAlign w:val="center"/>
          </w:tcPr>
          <w:p w14:paraId="20902D58">
            <w:r>
              <w:rPr>
                <w:rStyle w:val="10"/>
                <w:rFonts w:hint="eastAsia"/>
              </w:rPr>
              <w:t>注意事项：</w:t>
            </w:r>
            <w:r>
              <w:rPr>
                <w:rFonts w:hint="eastAsia"/>
              </w:rPr>
              <w:br w:type="textWrapping"/>
            </w:r>
            <w:r>
              <w:rPr>
                <w:rStyle w:val="11"/>
                <w:rFonts w:hint="eastAsia"/>
              </w:rPr>
              <w:t>1. 施用人员在作业过程中，应严格按照产品标签信息和使用说明，科学用药，穿着长衣长裤和鞋袜、配戴手套、帽子、口罩，作业结束后及时淋浴、更衣。鉴于本产品对眼睛、皮肤有刺激性，使用时避免接触眼睛、皮肤，穿戴长衣、长裤、帽子、口罩、手套等防护措施。避免意外伤害。2. 本品应避免与氧化剂接触。3. 操作本品时应禁止饮食、吸烟和饮水等。4. 使用过的空包装应妥善处理，切勿重复使用或作他用，也不可随意丢弃。所有施药器具，用后应立即用清水或适当的洗涤剂清洗。5. 未用完的制剂应放在原包装内密封保存，切勿将本品置于饮、食容器内。6. 严格按照推荐方法使用、操作和贮藏本品。使用时应接受当地农业技术部门的指导。7. 蚕室及桑园附近禁用；（周围）开花植物花期禁用。8. 远离水产养殖区、河塘等水体施药。禁止在河塘等水体中清洗施药器具。9. 禁止孕妇及哺乳期妇女接触本品。</w:t>
            </w:r>
          </w:p>
        </w:tc>
      </w:tr>
      <w:tr w14:paraId="47617C3F">
        <w:tblPrEx>
          <w:tblCellMar>
            <w:top w:w="0" w:type="dxa"/>
            <w:left w:w="0" w:type="dxa"/>
            <w:bottom w:w="0" w:type="dxa"/>
            <w:right w:w="0" w:type="dxa"/>
          </w:tblCellMar>
        </w:tblPrEx>
        <w:trPr>
          <w:wBefore w:w="0" w:type="auto"/>
          <w:tblCellSpacing w:w="0" w:type="dxa"/>
        </w:trPr>
        <w:tc>
          <w:tcPr>
            <w:tcW w:w="0" w:type="auto"/>
            <w:noWrap w:val="0"/>
            <w:vAlign w:val="center"/>
          </w:tcPr>
          <w:p w14:paraId="6F3CAC5E">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2.不慎吸入，应将病人移至空气清新处；3.皮肤接触：应立即脱掉污染的衣物，尽快用肥皂水及清水冲洗15分钟以上，严重者，请就医；4.溅入眼睛，应立即翻开上下眼睑，用流动的自来水冲洗15分钟以上，如又不适感觉，请就医；5.误服，不要引吐，应立即携带标签，就医。6.无特效解毒剂，对症治疗。</w:t>
            </w:r>
          </w:p>
        </w:tc>
      </w:tr>
      <w:tr w14:paraId="0A8AB1D5">
        <w:tblPrEx>
          <w:tblCellMar>
            <w:top w:w="0" w:type="dxa"/>
            <w:left w:w="0" w:type="dxa"/>
            <w:bottom w:w="0" w:type="dxa"/>
            <w:right w:w="0" w:type="dxa"/>
          </w:tblCellMar>
        </w:tblPrEx>
        <w:trPr>
          <w:wBefore w:w="0" w:type="auto"/>
          <w:tblCellSpacing w:w="0" w:type="dxa"/>
        </w:trPr>
        <w:tc>
          <w:tcPr>
            <w:tcW w:w="0" w:type="auto"/>
            <w:noWrap w:val="0"/>
            <w:vAlign w:val="center"/>
          </w:tcPr>
          <w:p w14:paraId="7D9E49D8">
            <w:r>
              <w:rPr>
                <w:rStyle w:val="10"/>
                <w:rFonts w:hint="eastAsia"/>
              </w:rPr>
              <w:t>储存和运输方法：</w:t>
            </w:r>
            <w:r>
              <w:rPr>
                <w:rFonts w:hint="eastAsia"/>
              </w:rPr>
              <w:br w:type="textWrapping"/>
            </w:r>
            <w:r>
              <w:rPr>
                <w:rStyle w:val="11"/>
                <w:rFonts w:hint="eastAsia"/>
              </w:rPr>
              <w:t>本品应贮存在干燥、阴凉、通风处，远离火源或热源。置于儿童触及不到之处，并加锁。勿与食品、饮料、饲料、粮食等混合储运。</w:t>
            </w:r>
          </w:p>
        </w:tc>
      </w:tr>
      <w:tr w14:paraId="3AE28384">
        <w:tblPrEx>
          <w:tblCellMar>
            <w:top w:w="0" w:type="dxa"/>
            <w:left w:w="0" w:type="dxa"/>
            <w:bottom w:w="0" w:type="dxa"/>
            <w:right w:w="0" w:type="dxa"/>
          </w:tblCellMar>
        </w:tblPrEx>
        <w:trPr>
          <w:wBefore w:w="0" w:type="auto"/>
          <w:tblCellSpacing w:w="0" w:type="dxa"/>
        </w:trPr>
        <w:tc>
          <w:tcPr>
            <w:tcW w:w="0" w:type="auto"/>
            <w:noWrap w:val="0"/>
            <w:vAlign w:val="center"/>
          </w:tcPr>
          <w:p w14:paraId="33E31848">
            <w:r>
              <w:rPr>
                <w:rStyle w:val="10"/>
                <w:rFonts w:hint="eastAsia"/>
              </w:rPr>
              <w:t>质量保证期：</w:t>
            </w:r>
            <w:r>
              <w:rPr>
                <w:rStyle w:val="11"/>
                <w:rFonts w:hint="eastAsia"/>
              </w:rPr>
              <w:t>2年</w:t>
            </w:r>
          </w:p>
        </w:tc>
      </w:tr>
      <w:tr w14:paraId="59A08D49">
        <w:tblPrEx>
          <w:tblCellMar>
            <w:top w:w="0" w:type="dxa"/>
            <w:left w:w="0" w:type="dxa"/>
            <w:bottom w:w="0" w:type="dxa"/>
            <w:right w:w="0" w:type="dxa"/>
          </w:tblCellMar>
        </w:tblPrEx>
        <w:trPr>
          <w:wBefore w:w="0" w:type="auto"/>
          <w:tblCellSpacing w:w="0" w:type="dxa"/>
        </w:trPr>
        <w:tc>
          <w:tcPr>
            <w:tcW w:w="0" w:type="auto"/>
            <w:noWrap w:val="0"/>
            <w:vAlign w:val="center"/>
          </w:tcPr>
          <w:p w14:paraId="76E5FA33">
            <w:r>
              <w:rPr>
                <w:rStyle w:val="10"/>
                <w:rFonts w:hint="eastAsia"/>
              </w:rPr>
              <w:t>备注：</w:t>
            </w:r>
          </w:p>
        </w:tc>
      </w:tr>
    </w:tbl>
    <w:p w14:paraId="771F0C9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0110E51">
        <w:tblPrEx>
          <w:tblCellMar>
            <w:top w:w="0" w:type="dxa"/>
            <w:left w:w="0" w:type="dxa"/>
            <w:bottom w:w="0" w:type="dxa"/>
            <w:right w:w="0" w:type="dxa"/>
          </w:tblCellMar>
        </w:tblPrEx>
        <w:trPr>
          <w:wBefore w:w="0" w:type="auto"/>
          <w:tblCellSpacing w:w="0" w:type="dxa"/>
        </w:trPr>
        <w:tc>
          <w:tcPr>
            <w:tcW w:w="0" w:type="auto"/>
            <w:noWrap w:val="0"/>
            <w:vAlign w:val="center"/>
          </w:tcPr>
          <w:p w14:paraId="16772B55">
            <w:r>
              <w:rPr>
                <w:rStyle w:val="10"/>
                <w:rFonts w:hint="eastAsia"/>
              </w:rPr>
              <w:t>登记证号：</w:t>
            </w:r>
            <w:r>
              <w:rPr>
                <w:rFonts w:hint="eastAsia"/>
              </w:rPr>
              <w:t>WP20210219</w:t>
            </w:r>
          </w:p>
        </w:tc>
      </w:tr>
      <w:tr w14:paraId="2CE265FB">
        <w:tblPrEx>
          <w:tblCellMar>
            <w:top w:w="0" w:type="dxa"/>
            <w:left w:w="0" w:type="dxa"/>
            <w:bottom w:w="0" w:type="dxa"/>
            <w:right w:w="0" w:type="dxa"/>
          </w:tblCellMar>
        </w:tblPrEx>
        <w:trPr>
          <w:wBefore w:w="0" w:type="auto"/>
          <w:tblCellSpacing w:w="0" w:type="dxa"/>
        </w:trPr>
        <w:tc>
          <w:tcPr>
            <w:tcW w:w="0" w:type="auto"/>
            <w:noWrap w:val="0"/>
            <w:vAlign w:val="center"/>
          </w:tcPr>
          <w:p w14:paraId="12BC6E20">
            <w:r>
              <w:rPr>
                <w:rStyle w:val="10"/>
                <w:rFonts w:hint="eastAsia"/>
              </w:rPr>
              <w:t>登记证持有人：</w:t>
            </w:r>
            <w:r>
              <w:rPr>
                <w:rFonts w:hint="eastAsia"/>
              </w:rPr>
              <w:t>东阳市康家日用品有限公司</w:t>
            </w:r>
          </w:p>
        </w:tc>
      </w:tr>
      <w:tr w14:paraId="1466BEA9">
        <w:tblPrEx>
          <w:tblCellMar>
            <w:top w:w="0" w:type="dxa"/>
            <w:left w:w="0" w:type="dxa"/>
            <w:bottom w:w="0" w:type="dxa"/>
            <w:right w:w="0" w:type="dxa"/>
          </w:tblCellMar>
        </w:tblPrEx>
        <w:trPr>
          <w:wBefore w:w="0" w:type="auto"/>
          <w:tblCellSpacing w:w="0" w:type="dxa"/>
        </w:trPr>
        <w:tc>
          <w:tcPr>
            <w:tcW w:w="0" w:type="auto"/>
            <w:noWrap w:val="0"/>
            <w:vAlign w:val="center"/>
          </w:tcPr>
          <w:p w14:paraId="6AF6C8BF">
            <w:r>
              <w:rPr>
                <w:rStyle w:val="10"/>
                <w:rFonts w:hint="eastAsia"/>
              </w:rPr>
              <w:t>农药名称：</w:t>
            </w:r>
            <w:r>
              <w:rPr>
                <w:rFonts w:hint="eastAsia"/>
              </w:rPr>
              <w:t>驱蚊液</w:t>
            </w:r>
          </w:p>
        </w:tc>
      </w:tr>
      <w:tr w14:paraId="19104E29">
        <w:tblPrEx>
          <w:tblCellMar>
            <w:top w:w="0" w:type="dxa"/>
            <w:left w:w="0" w:type="dxa"/>
            <w:bottom w:w="0" w:type="dxa"/>
            <w:right w:w="0" w:type="dxa"/>
          </w:tblCellMar>
        </w:tblPrEx>
        <w:trPr>
          <w:wBefore w:w="0" w:type="auto"/>
          <w:tblCellSpacing w:w="0" w:type="dxa"/>
        </w:trPr>
        <w:tc>
          <w:tcPr>
            <w:tcW w:w="0" w:type="auto"/>
            <w:noWrap w:val="0"/>
            <w:vAlign w:val="center"/>
          </w:tcPr>
          <w:p w14:paraId="7EBC7AA4">
            <w:r>
              <w:rPr>
                <w:rStyle w:val="10"/>
                <w:rFonts w:hint="eastAsia"/>
              </w:rPr>
              <w:t>剂型：</w:t>
            </w:r>
            <w:r>
              <w:rPr>
                <w:rFonts w:hint="eastAsia"/>
              </w:rPr>
              <w:t>驱蚊液</w:t>
            </w:r>
          </w:p>
        </w:tc>
      </w:tr>
      <w:tr w14:paraId="55BB174B">
        <w:tblPrEx>
          <w:tblCellMar>
            <w:top w:w="0" w:type="dxa"/>
            <w:left w:w="0" w:type="dxa"/>
            <w:bottom w:w="0" w:type="dxa"/>
            <w:right w:w="0" w:type="dxa"/>
          </w:tblCellMar>
        </w:tblPrEx>
        <w:trPr>
          <w:wBefore w:w="0" w:type="auto"/>
          <w:tblCellSpacing w:w="0" w:type="dxa"/>
        </w:trPr>
        <w:tc>
          <w:tcPr>
            <w:tcW w:w="0" w:type="auto"/>
            <w:noWrap w:val="0"/>
            <w:vAlign w:val="center"/>
          </w:tcPr>
          <w:p w14:paraId="29FFF2FC">
            <w:r>
              <w:rPr>
                <w:rStyle w:val="10"/>
                <w:rFonts w:hint="eastAsia"/>
              </w:rPr>
              <w:t>毒性及其标识：</w:t>
            </w:r>
            <w:r>
              <w:rPr>
                <w:rFonts w:hint="eastAsia"/>
              </w:rPr>
              <w:t xml:space="preserve"> 微毒 </w:t>
            </w:r>
          </w:p>
        </w:tc>
      </w:tr>
      <w:tr w14:paraId="4E36D66E">
        <w:tblPrEx>
          <w:tblCellMar>
            <w:top w:w="0" w:type="dxa"/>
            <w:left w:w="0" w:type="dxa"/>
            <w:bottom w:w="0" w:type="dxa"/>
            <w:right w:w="0" w:type="dxa"/>
          </w:tblCellMar>
        </w:tblPrEx>
        <w:trPr>
          <w:wBefore w:w="0" w:type="auto"/>
          <w:tblCellSpacing w:w="0" w:type="dxa"/>
        </w:trPr>
        <w:tc>
          <w:tcPr>
            <w:tcW w:w="0" w:type="auto"/>
            <w:noWrap w:val="0"/>
            <w:vAlign w:val="center"/>
          </w:tcPr>
          <w:p w14:paraId="27D168F8">
            <w:r>
              <w:rPr>
                <w:rStyle w:val="10"/>
                <w:rFonts w:hint="eastAsia"/>
              </w:rPr>
              <w:t>总有效成分含量：</w:t>
            </w:r>
            <w:r>
              <w:rPr>
                <w:rFonts w:hint="eastAsia"/>
              </w:rPr>
              <w:t>10%</w:t>
            </w:r>
          </w:p>
        </w:tc>
      </w:tr>
      <w:tr w14:paraId="1F3A2AC4">
        <w:tblPrEx>
          <w:tblCellMar>
            <w:top w:w="0" w:type="dxa"/>
            <w:left w:w="0" w:type="dxa"/>
            <w:bottom w:w="0" w:type="dxa"/>
            <w:right w:w="0" w:type="dxa"/>
          </w:tblCellMar>
        </w:tblPrEx>
        <w:trPr>
          <w:wBefore w:w="0" w:type="auto"/>
          <w:tblCellSpacing w:w="0" w:type="dxa"/>
        </w:trPr>
        <w:tc>
          <w:tcPr>
            <w:tcW w:w="0" w:type="auto"/>
            <w:noWrap w:val="0"/>
            <w:vAlign w:val="center"/>
          </w:tcPr>
          <w:p w14:paraId="7D9CB06B">
            <w:r>
              <w:rPr>
                <w:rFonts w:hint="eastAsia"/>
              </w:rPr>
              <w:t xml:space="preserve">有效成分及其含量： </w:t>
            </w:r>
          </w:p>
          <w:p w14:paraId="615F6341">
            <w:r>
              <w:rPr>
                <w:rFonts w:hint="eastAsia"/>
              </w:rPr>
              <w:t xml:space="preserve">    驱蚊酯10%    </w:t>
            </w:r>
          </w:p>
        </w:tc>
      </w:tr>
      <w:tr w14:paraId="51BFF411">
        <w:tblPrEx>
          <w:tblCellMar>
            <w:top w:w="0" w:type="dxa"/>
            <w:left w:w="0" w:type="dxa"/>
            <w:bottom w:w="0" w:type="dxa"/>
            <w:right w:w="0" w:type="dxa"/>
          </w:tblCellMar>
        </w:tblPrEx>
        <w:trPr>
          <w:wBefore w:w="0" w:type="auto"/>
          <w:tblCellSpacing w:w="0" w:type="dxa"/>
        </w:trPr>
        <w:tc>
          <w:tcPr>
            <w:tcW w:w="0" w:type="auto"/>
            <w:noWrap w:val="0"/>
            <w:vAlign w:val="center"/>
          </w:tcPr>
          <w:p w14:paraId="7688B7F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7F9FF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1799B7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1845EC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8A91A4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05FE292">
                  <w:r>
                    <w:rPr>
                      <w:rStyle w:val="11"/>
                      <w:rFonts w:hint="eastAsia"/>
                    </w:rPr>
                    <w:t>施用方式</w:t>
                  </w:r>
                </w:p>
              </w:tc>
            </w:tr>
            <w:tr w14:paraId="39B629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3516400">
                  <w:r>
                    <w:rPr>
                      <w:rStyle w:val="11"/>
                      <w:rFonts w:hint="eastAsia"/>
                    </w:rPr>
                    <w:t>卫生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CD188D">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EE587E">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F49D73">
                  <w:r>
                    <w:rPr>
                      <w:rStyle w:val="11"/>
                      <w:rFonts w:hint="eastAsia"/>
                    </w:rPr>
                    <w:t>涂抹</w:t>
                  </w:r>
                </w:p>
              </w:tc>
            </w:tr>
          </w:tbl>
          <w:p w14:paraId="0C27150B">
            <w:pPr>
              <w:rPr>
                <w:rFonts w:ascii="Times New Roman" w:hAnsi="Times New Roman" w:cs="Times New Roman"/>
                <w:sz w:val="20"/>
                <w:szCs w:val="20"/>
              </w:rPr>
            </w:pPr>
          </w:p>
        </w:tc>
      </w:tr>
      <w:tr w14:paraId="4A7C2741">
        <w:tblPrEx>
          <w:tblCellMar>
            <w:top w:w="0" w:type="dxa"/>
            <w:left w:w="0" w:type="dxa"/>
            <w:bottom w:w="0" w:type="dxa"/>
            <w:right w:w="0" w:type="dxa"/>
          </w:tblCellMar>
        </w:tblPrEx>
        <w:trPr>
          <w:wBefore w:w="0" w:type="auto"/>
          <w:tblCellSpacing w:w="0" w:type="dxa"/>
        </w:trPr>
        <w:tc>
          <w:tcPr>
            <w:tcW w:w="0" w:type="auto"/>
            <w:noWrap w:val="0"/>
            <w:vAlign w:val="center"/>
          </w:tcPr>
          <w:p w14:paraId="79889479">
            <w:r>
              <w:rPr>
                <w:rStyle w:val="10"/>
                <w:rFonts w:hint="eastAsia"/>
              </w:rPr>
              <w:t>使用技术要求:</w:t>
            </w:r>
            <w:r>
              <w:rPr>
                <w:rFonts w:hint="eastAsia"/>
              </w:rPr>
              <w:br w:type="textWrapping"/>
            </w:r>
            <w:r>
              <w:rPr>
                <w:rStyle w:val="11"/>
                <w:rFonts w:hint="eastAsia"/>
              </w:rPr>
              <w:t>本品以驱蚊酯为主要成分，有效驱蚊时间可达5小时以上。使用时，直接涂抹于皮肤暴露部位即可有效驱避蚊子叮咬。</w:t>
            </w:r>
          </w:p>
        </w:tc>
      </w:tr>
      <w:tr w14:paraId="5F37F9E5">
        <w:tblPrEx>
          <w:tblCellMar>
            <w:top w:w="0" w:type="dxa"/>
            <w:left w:w="0" w:type="dxa"/>
            <w:bottom w:w="0" w:type="dxa"/>
            <w:right w:w="0" w:type="dxa"/>
          </w:tblCellMar>
        </w:tblPrEx>
        <w:trPr>
          <w:wBefore w:w="0" w:type="auto"/>
          <w:tblCellSpacing w:w="0" w:type="dxa"/>
        </w:trPr>
        <w:tc>
          <w:tcPr>
            <w:tcW w:w="0" w:type="auto"/>
            <w:noWrap w:val="0"/>
            <w:vAlign w:val="center"/>
          </w:tcPr>
          <w:p w14:paraId="4B4D177A">
            <w:r>
              <w:rPr>
                <w:rStyle w:val="10"/>
                <w:rFonts w:hint="eastAsia"/>
              </w:rPr>
              <w:t>产品性能:</w:t>
            </w:r>
            <w:r>
              <w:rPr>
                <w:rFonts w:hint="eastAsia"/>
              </w:rPr>
              <w:br w:type="textWrapping"/>
            </w:r>
            <w:r>
              <w:rPr>
                <w:rStyle w:val="11"/>
                <w:rFonts w:hint="eastAsia"/>
              </w:rPr>
              <w:t>本品以驱蚊酯为有效成分，能有效驱避蚊子，适合家居、旅行、垂钓等活动驱蚊使用。</w:t>
            </w:r>
          </w:p>
        </w:tc>
      </w:tr>
      <w:tr w14:paraId="47F97874">
        <w:tblPrEx>
          <w:tblCellMar>
            <w:top w:w="0" w:type="dxa"/>
            <w:left w:w="0" w:type="dxa"/>
            <w:bottom w:w="0" w:type="dxa"/>
            <w:right w:w="0" w:type="dxa"/>
          </w:tblCellMar>
        </w:tblPrEx>
        <w:trPr>
          <w:wBefore w:w="0" w:type="auto"/>
          <w:tblCellSpacing w:w="0" w:type="dxa"/>
        </w:trPr>
        <w:tc>
          <w:tcPr>
            <w:tcW w:w="0" w:type="auto"/>
            <w:noWrap w:val="0"/>
            <w:vAlign w:val="center"/>
          </w:tcPr>
          <w:p w14:paraId="19CE0539">
            <w:r>
              <w:rPr>
                <w:rStyle w:val="10"/>
                <w:rFonts w:hint="eastAsia"/>
              </w:rPr>
              <w:t>注意事项：</w:t>
            </w:r>
            <w:r>
              <w:rPr>
                <w:rFonts w:hint="eastAsia"/>
              </w:rPr>
              <w:br w:type="textWrapping"/>
            </w:r>
            <w:r>
              <w:rPr>
                <w:rStyle w:val="11"/>
                <w:rFonts w:hint="eastAsia"/>
              </w:rPr>
              <w:t>1.本品应置于儿童接触不到的地方，避免误服。 2.勿用于眼睛及其周围皮肤。 3.施药后应清洗双手。 4.本品禁止食用。5. 对家蚕有影响，禁止在蚕室，蚕房及附近使用。6.有皮炎及皮肤破损者禁用。过敏者禁用。使用中有任何不良反应请及时就医。</w:t>
            </w:r>
          </w:p>
        </w:tc>
      </w:tr>
      <w:tr w14:paraId="57D9AEAF">
        <w:tblPrEx>
          <w:tblCellMar>
            <w:top w:w="0" w:type="dxa"/>
            <w:left w:w="0" w:type="dxa"/>
            <w:bottom w:w="0" w:type="dxa"/>
            <w:right w:w="0" w:type="dxa"/>
          </w:tblCellMar>
        </w:tblPrEx>
        <w:trPr>
          <w:wBefore w:w="0" w:type="auto"/>
          <w:tblCellSpacing w:w="0" w:type="dxa"/>
        </w:trPr>
        <w:tc>
          <w:tcPr>
            <w:tcW w:w="0" w:type="auto"/>
            <w:noWrap w:val="0"/>
            <w:vAlign w:val="center"/>
          </w:tcPr>
          <w:p w14:paraId="1F6865DF">
            <w:r>
              <w:rPr>
                <w:rStyle w:val="10"/>
                <w:rFonts w:hint="eastAsia"/>
              </w:rPr>
              <w:t>中毒急救措施：</w:t>
            </w:r>
            <w:r>
              <w:rPr>
                <w:rFonts w:hint="eastAsia"/>
              </w:rPr>
              <w:br w:type="textWrapping"/>
            </w:r>
            <w:r>
              <w:rPr>
                <w:rStyle w:val="11"/>
                <w:rFonts w:hint="eastAsia"/>
              </w:rPr>
              <w:t>使用本品如不慎接触眼睛，应立即用清水洗净并就医。若有误服，请立即携本品包装至医院诊治。如有不适，清洗涂抹处并及时就医。</w:t>
            </w:r>
          </w:p>
        </w:tc>
      </w:tr>
      <w:tr w14:paraId="44E3B6EC">
        <w:tblPrEx>
          <w:tblCellMar>
            <w:top w:w="0" w:type="dxa"/>
            <w:left w:w="0" w:type="dxa"/>
            <w:bottom w:w="0" w:type="dxa"/>
            <w:right w:w="0" w:type="dxa"/>
          </w:tblCellMar>
        </w:tblPrEx>
        <w:trPr>
          <w:wBefore w:w="0" w:type="auto"/>
          <w:tblCellSpacing w:w="0" w:type="dxa"/>
        </w:trPr>
        <w:tc>
          <w:tcPr>
            <w:tcW w:w="0" w:type="auto"/>
            <w:noWrap w:val="0"/>
            <w:vAlign w:val="center"/>
          </w:tcPr>
          <w:p w14:paraId="08AEE7B7">
            <w:r>
              <w:rPr>
                <w:rStyle w:val="10"/>
                <w:rFonts w:hint="eastAsia"/>
              </w:rPr>
              <w:t>储存和运输方法：</w:t>
            </w:r>
            <w:r>
              <w:rPr>
                <w:rFonts w:hint="eastAsia"/>
              </w:rPr>
              <w:br w:type="textWrapping"/>
            </w:r>
            <w:r>
              <w:rPr>
                <w:rStyle w:val="11"/>
                <w:rFonts w:hint="eastAsia"/>
              </w:rPr>
              <w:t>1.本品应贮存于阴凉、干燥、通风、避光处，并远离火源和热源。 ·应置于儿童及宠物触及不到之处，并加锁。2.请勿与食品、饮料、种子、饲料及易燃易爆等其它商品同贮同运。3. 运输时，请注意防雨淋、高温，轻拿轻放，不得损坏包装。</w:t>
            </w:r>
          </w:p>
        </w:tc>
      </w:tr>
      <w:tr w14:paraId="70CCC9A6">
        <w:tblPrEx>
          <w:tblCellMar>
            <w:top w:w="0" w:type="dxa"/>
            <w:left w:w="0" w:type="dxa"/>
            <w:bottom w:w="0" w:type="dxa"/>
            <w:right w:w="0" w:type="dxa"/>
          </w:tblCellMar>
        </w:tblPrEx>
        <w:trPr>
          <w:wBefore w:w="0" w:type="auto"/>
          <w:tblCellSpacing w:w="0" w:type="dxa"/>
        </w:trPr>
        <w:tc>
          <w:tcPr>
            <w:tcW w:w="0" w:type="auto"/>
            <w:noWrap w:val="0"/>
            <w:vAlign w:val="center"/>
          </w:tcPr>
          <w:p w14:paraId="618B4B23">
            <w:r>
              <w:rPr>
                <w:rStyle w:val="10"/>
                <w:rFonts w:hint="eastAsia"/>
              </w:rPr>
              <w:t>质量保证期：</w:t>
            </w:r>
            <w:r>
              <w:rPr>
                <w:rStyle w:val="11"/>
                <w:rFonts w:hint="eastAsia"/>
              </w:rPr>
              <w:t>3年</w:t>
            </w:r>
          </w:p>
        </w:tc>
      </w:tr>
      <w:tr w14:paraId="62EB5DE7">
        <w:tblPrEx>
          <w:tblCellMar>
            <w:top w:w="0" w:type="dxa"/>
            <w:left w:w="0" w:type="dxa"/>
            <w:bottom w:w="0" w:type="dxa"/>
            <w:right w:w="0" w:type="dxa"/>
          </w:tblCellMar>
        </w:tblPrEx>
        <w:trPr>
          <w:wBefore w:w="0" w:type="auto"/>
          <w:tblCellSpacing w:w="0" w:type="dxa"/>
        </w:trPr>
        <w:tc>
          <w:tcPr>
            <w:tcW w:w="0" w:type="auto"/>
            <w:noWrap w:val="0"/>
            <w:vAlign w:val="center"/>
          </w:tcPr>
          <w:p w14:paraId="26DD1C56">
            <w:r>
              <w:rPr>
                <w:rStyle w:val="10"/>
                <w:rFonts w:hint="eastAsia"/>
              </w:rPr>
              <w:t>备注：</w:t>
            </w:r>
          </w:p>
        </w:tc>
      </w:tr>
    </w:tbl>
    <w:p w14:paraId="00FB17B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2C6E6B2">
        <w:tblPrEx>
          <w:tblCellMar>
            <w:top w:w="0" w:type="dxa"/>
            <w:left w:w="0" w:type="dxa"/>
            <w:bottom w:w="0" w:type="dxa"/>
            <w:right w:w="0" w:type="dxa"/>
          </w:tblCellMar>
        </w:tblPrEx>
        <w:trPr>
          <w:wBefore w:w="0" w:type="auto"/>
          <w:tblCellSpacing w:w="0" w:type="dxa"/>
        </w:trPr>
        <w:tc>
          <w:tcPr>
            <w:tcW w:w="0" w:type="auto"/>
            <w:noWrap w:val="0"/>
            <w:vAlign w:val="center"/>
          </w:tcPr>
          <w:p w14:paraId="3E1148E1">
            <w:r>
              <w:rPr>
                <w:rStyle w:val="10"/>
                <w:rFonts w:hint="eastAsia"/>
              </w:rPr>
              <w:t>登记证号：</w:t>
            </w:r>
            <w:r>
              <w:rPr>
                <w:rFonts w:hint="eastAsia"/>
              </w:rPr>
              <w:t>PD20170309</w:t>
            </w:r>
          </w:p>
        </w:tc>
      </w:tr>
      <w:tr w14:paraId="1A43F39A">
        <w:tblPrEx>
          <w:tblCellMar>
            <w:top w:w="0" w:type="dxa"/>
            <w:left w:w="0" w:type="dxa"/>
            <w:bottom w:w="0" w:type="dxa"/>
            <w:right w:w="0" w:type="dxa"/>
          </w:tblCellMar>
        </w:tblPrEx>
        <w:trPr>
          <w:wBefore w:w="0" w:type="auto"/>
          <w:tblCellSpacing w:w="0" w:type="dxa"/>
        </w:trPr>
        <w:tc>
          <w:tcPr>
            <w:tcW w:w="0" w:type="auto"/>
            <w:noWrap w:val="0"/>
            <w:vAlign w:val="center"/>
          </w:tcPr>
          <w:p w14:paraId="03F39148">
            <w:r>
              <w:rPr>
                <w:rStyle w:val="10"/>
                <w:rFonts w:hint="eastAsia"/>
              </w:rPr>
              <w:t>登记证持有人：</w:t>
            </w:r>
            <w:r>
              <w:rPr>
                <w:rFonts w:hint="eastAsia"/>
              </w:rPr>
              <w:t>哈尔滨火龙神农业生物化工有限公司</w:t>
            </w:r>
          </w:p>
        </w:tc>
      </w:tr>
      <w:tr w14:paraId="344181C8">
        <w:tblPrEx>
          <w:tblCellMar>
            <w:top w:w="0" w:type="dxa"/>
            <w:left w:w="0" w:type="dxa"/>
            <w:bottom w:w="0" w:type="dxa"/>
            <w:right w:w="0" w:type="dxa"/>
          </w:tblCellMar>
        </w:tblPrEx>
        <w:trPr>
          <w:wBefore w:w="0" w:type="auto"/>
          <w:tblCellSpacing w:w="0" w:type="dxa"/>
        </w:trPr>
        <w:tc>
          <w:tcPr>
            <w:tcW w:w="0" w:type="auto"/>
            <w:noWrap w:val="0"/>
            <w:vAlign w:val="center"/>
          </w:tcPr>
          <w:p w14:paraId="7EDDE991">
            <w:r>
              <w:rPr>
                <w:rStyle w:val="10"/>
                <w:rFonts w:hint="eastAsia"/>
              </w:rPr>
              <w:t>农药名称：</w:t>
            </w:r>
            <w:r>
              <w:rPr>
                <w:rFonts w:hint="eastAsia"/>
              </w:rPr>
              <w:t>精甲·咯·嘧菌</w:t>
            </w:r>
          </w:p>
        </w:tc>
      </w:tr>
      <w:tr w14:paraId="20AAEBA4">
        <w:tblPrEx>
          <w:tblCellMar>
            <w:top w:w="0" w:type="dxa"/>
            <w:left w:w="0" w:type="dxa"/>
            <w:bottom w:w="0" w:type="dxa"/>
            <w:right w:w="0" w:type="dxa"/>
          </w:tblCellMar>
        </w:tblPrEx>
        <w:trPr>
          <w:wBefore w:w="0" w:type="auto"/>
          <w:tblCellSpacing w:w="0" w:type="dxa"/>
        </w:trPr>
        <w:tc>
          <w:tcPr>
            <w:tcW w:w="0" w:type="auto"/>
            <w:noWrap w:val="0"/>
            <w:vAlign w:val="center"/>
          </w:tcPr>
          <w:p w14:paraId="33940A56">
            <w:r>
              <w:rPr>
                <w:rStyle w:val="10"/>
                <w:rFonts w:hint="eastAsia"/>
              </w:rPr>
              <w:t>剂型：</w:t>
            </w:r>
            <w:r>
              <w:rPr>
                <w:rFonts w:hint="eastAsia"/>
              </w:rPr>
              <w:t>悬浮种衣剂</w:t>
            </w:r>
          </w:p>
        </w:tc>
      </w:tr>
      <w:tr w14:paraId="634C034C">
        <w:tblPrEx>
          <w:tblCellMar>
            <w:top w:w="0" w:type="dxa"/>
            <w:left w:w="0" w:type="dxa"/>
            <w:bottom w:w="0" w:type="dxa"/>
            <w:right w:w="0" w:type="dxa"/>
          </w:tblCellMar>
        </w:tblPrEx>
        <w:trPr>
          <w:wBefore w:w="0" w:type="auto"/>
          <w:tblCellSpacing w:w="0" w:type="dxa"/>
        </w:trPr>
        <w:tc>
          <w:tcPr>
            <w:tcW w:w="0" w:type="auto"/>
            <w:noWrap w:val="0"/>
            <w:vAlign w:val="center"/>
          </w:tcPr>
          <w:p w14:paraId="64075359">
            <w:r>
              <w:rPr>
                <w:rStyle w:val="10"/>
                <w:rFonts w:hint="eastAsia"/>
              </w:rPr>
              <w:t>毒性及其标识：</w:t>
            </w:r>
            <w:r>
              <w:rPr>
                <w:rFonts w:hint="eastAsia"/>
              </w:rPr>
              <w:t xml:space="preserve"> </w:t>
            </w:r>
            <w:r>
              <w:rPr>
                <w:lang/>
              </w:rPr>
              <w:drawing>
                <wp:inline distT="0" distB="0" distL="114300" distR="114300">
                  <wp:extent cx="476250" cy="323850"/>
                  <wp:effectExtent l="0" t="0" r="0" b="0"/>
                  <wp:docPr id="159" name="图片 15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43C2B22">
        <w:tblPrEx>
          <w:tblCellMar>
            <w:top w:w="0" w:type="dxa"/>
            <w:left w:w="0" w:type="dxa"/>
            <w:bottom w:w="0" w:type="dxa"/>
            <w:right w:w="0" w:type="dxa"/>
          </w:tblCellMar>
        </w:tblPrEx>
        <w:trPr>
          <w:wBefore w:w="0" w:type="auto"/>
          <w:tblCellSpacing w:w="0" w:type="dxa"/>
        </w:trPr>
        <w:tc>
          <w:tcPr>
            <w:tcW w:w="0" w:type="auto"/>
            <w:noWrap w:val="0"/>
            <w:vAlign w:val="center"/>
          </w:tcPr>
          <w:p w14:paraId="32A6C96E">
            <w:r>
              <w:rPr>
                <w:rStyle w:val="10"/>
                <w:rFonts w:hint="eastAsia"/>
              </w:rPr>
              <w:t>总有效成分含量：</w:t>
            </w:r>
            <w:r>
              <w:rPr>
                <w:rFonts w:hint="eastAsia"/>
              </w:rPr>
              <w:t>6%</w:t>
            </w:r>
          </w:p>
        </w:tc>
      </w:tr>
      <w:tr w14:paraId="2D19CF15">
        <w:tblPrEx>
          <w:tblCellMar>
            <w:top w:w="0" w:type="dxa"/>
            <w:left w:w="0" w:type="dxa"/>
            <w:bottom w:w="0" w:type="dxa"/>
            <w:right w:w="0" w:type="dxa"/>
          </w:tblCellMar>
        </w:tblPrEx>
        <w:trPr>
          <w:wBefore w:w="0" w:type="auto"/>
          <w:tblCellSpacing w:w="0" w:type="dxa"/>
        </w:trPr>
        <w:tc>
          <w:tcPr>
            <w:tcW w:w="0" w:type="auto"/>
            <w:noWrap w:val="0"/>
            <w:vAlign w:val="center"/>
          </w:tcPr>
          <w:p w14:paraId="32BB6682">
            <w:r>
              <w:rPr>
                <w:rFonts w:hint="eastAsia"/>
              </w:rPr>
              <w:t xml:space="preserve">有效成分及其含量： </w:t>
            </w:r>
          </w:p>
          <w:p w14:paraId="6B38B1E1">
            <w:r>
              <w:rPr>
                <w:rFonts w:hint="eastAsia"/>
              </w:rPr>
              <w:t xml:space="preserve">    嘧菌酯3.6%    咯菌腈0.6%    精甲霜灵1.8%    </w:t>
            </w:r>
          </w:p>
        </w:tc>
      </w:tr>
      <w:tr w14:paraId="04B5B5A0">
        <w:tblPrEx>
          <w:tblCellMar>
            <w:top w:w="0" w:type="dxa"/>
            <w:left w:w="0" w:type="dxa"/>
            <w:bottom w:w="0" w:type="dxa"/>
            <w:right w:w="0" w:type="dxa"/>
          </w:tblCellMar>
        </w:tblPrEx>
        <w:trPr>
          <w:wBefore w:w="0" w:type="auto"/>
          <w:tblCellSpacing w:w="0" w:type="dxa"/>
        </w:trPr>
        <w:tc>
          <w:tcPr>
            <w:tcW w:w="0" w:type="auto"/>
            <w:noWrap w:val="0"/>
            <w:vAlign w:val="center"/>
          </w:tcPr>
          <w:p w14:paraId="6526531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858B6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6021C8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4DEB0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AD68D6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8F49F5">
                  <w:r>
                    <w:rPr>
                      <w:rStyle w:val="11"/>
                      <w:rFonts w:hint="eastAsia"/>
                    </w:rPr>
                    <w:t>施用方式</w:t>
                  </w:r>
                </w:p>
              </w:tc>
            </w:tr>
            <w:tr w14:paraId="277F37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F84A26">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9CC59B">
                  <w:r>
                    <w:rPr>
                      <w:rStyle w:val="11"/>
                      <w:rFonts w:hint="eastAsia"/>
                    </w:rPr>
                    <w:t>烂秧病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255FBB">
                  <w:r>
                    <w:rPr>
                      <w:rStyle w:val="11"/>
                      <w:rFonts w:hint="eastAsia"/>
                    </w:rPr>
                    <w:t>667-1000毫升/100千克种子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8C8F8E">
                  <w:r>
                    <w:rPr>
                      <w:rStyle w:val="11"/>
                      <w:rFonts w:hint="eastAsia"/>
                    </w:rPr>
                    <w:t>种子包衣</w:t>
                  </w:r>
                </w:p>
              </w:tc>
            </w:tr>
          </w:tbl>
          <w:p w14:paraId="40F84CD8">
            <w:pPr>
              <w:rPr>
                <w:rFonts w:ascii="Times New Roman" w:hAnsi="Times New Roman" w:cs="Times New Roman"/>
                <w:sz w:val="20"/>
                <w:szCs w:val="20"/>
              </w:rPr>
            </w:pPr>
          </w:p>
        </w:tc>
      </w:tr>
      <w:tr w14:paraId="2F75C7B2">
        <w:tblPrEx>
          <w:tblCellMar>
            <w:top w:w="0" w:type="dxa"/>
            <w:left w:w="0" w:type="dxa"/>
            <w:bottom w:w="0" w:type="dxa"/>
            <w:right w:w="0" w:type="dxa"/>
          </w:tblCellMar>
        </w:tblPrEx>
        <w:trPr>
          <w:wBefore w:w="0" w:type="auto"/>
          <w:tblCellSpacing w:w="0" w:type="dxa"/>
        </w:trPr>
        <w:tc>
          <w:tcPr>
            <w:tcW w:w="0" w:type="auto"/>
            <w:noWrap w:val="0"/>
            <w:vAlign w:val="center"/>
          </w:tcPr>
          <w:p w14:paraId="08586D28">
            <w:r>
              <w:rPr>
                <w:rStyle w:val="10"/>
                <w:rFonts w:hint="eastAsia"/>
              </w:rPr>
              <w:t>使用技术要求:</w:t>
            </w:r>
            <w:r>
              <w:rPr>
                <w:rFonts w:hint="eastAsia"/>
              </w:rPr>
              <w:br w:type="textWrapping"/>
            </w:r>
            <w:r>
              <w:rPr>
                <w:rStyle w:val="11"/>
                <w:rFonts w:hint="eastAsia"/>
              </w:rPr>
              <w:t>1.按推荐用药量，1比2～3倍兑水，药与种子以1：100-150的比例充分搅拌，直到药液均匀分布到种子表面，晾干后即可。2.本品使用方便，可供种子公司作种子包衣剂，亦可供农户直接拌种包衣。3.用于处理的种子应达到国家良种标准。4.配制好的药液应在24小时内使用。5.在作物新品种上大面积应用时，必须先进行小范围的安全性试验。</w:t>
            </w:r>
          </w:p>
        </w:tc>
      </w:tr>
      <w:tr w14:paraId="2D21DE13">
        <w:tblPrEx>
          <w:tblCellMar>
            <w:top w:w="0" w:type="dxa"/>
            <w:left w:w="0" w:type="dxa"/>
            <w:bottom w:w="0" w:type="dxa"/>
            <w:right w:w="0" w:type="dxa"/>
          </w:tblCellMar>
        </w:tblPrEx>
        <w:trPr>
          <w:wBefore w:w="0" w:type="auto"/>
          <w:tblCellSpacing w:w="0" w:type="dxa"/>
        </w:trPr>
        <w:tc>
          <w:tcPr>
            <w:tcW w:w="0" w:type="auto"/>
            <w:noWrap w:val="0"/>
            <w:vAlign w:val="center"/>
          </w:tcPr>
          <w:p w14:paraId="6199E88A">
            <w:r>
              <w:rPr>
                <w:rStyle w:val="10"/>
                <w:rFonts w:hint="eastAsia"/>
              </w:rPr>
              <w:t>产品性能:</w:t>
            </w:r>
            <w:r>
              <w:rPr>
                <w:rFonts w:hint="eastAsia"/>
              </w:rPr>
              <w:br w:type="textWrapping"/>
            </w:r>
            <w:r>
              <w:rPr>
                <w:rStyle w:val="11"/>
                <w:rFonts w:hint="eastAsia"/>
              </w:rPr>
              <w:t>本品由精甲霜灵、咯菌腈、嘧菌酯复配而成，杀菌谱广且持效期长，用于种子包衣处理可有效防治水稻恶苗病、立枯病等病害。</w:t>
            </w:r>
          </w:p>
        </w:tc>
      </w:tr>
      <w:tr w14:paraId="01C365F7">
        <w:tblPrEx>
          <w:tblCellMar>
            <w:top w:w="0" w:type="dxa"/>
            <w:left w:w="0" w:type="dxa"/>
            <w:bottom w:w="0" w:type="dxa"/>
            <w:right w:w="0" w:type="dxa"/>
          </w:tblCellMar>
        </w:tblPrEx>
        <w:trPr>
          <w:wBefore w:w="0" w:type="auto"/>
          <w:tblCellSpacing w:w="0" w:type="dxa"/>
        </w:trPr>
        <w:tc>
          <w:tcPr>
            <w:tcW w:w="0" w:type="auto"/>
            <w:noWrap w:val="0"/>
            <w:vAlign w:val="center"/>
          </w:tcPr>
          <w:p w14:paraId="039A94FC">
            <w:r>
              <w:rPr>
                <w:rStyle w:val="10"/>
                <w:rFonts w:hint="eastAsia"/>
              </w:rPr>
              <w:t>注意事项：</w:t>
            </w:r>
            <w:r>
              <w:rPr>
                <w:rFonts w:hint="eastAsia"/>
              </w:rPr>
              <w:br w:type="textWrapping"/>
            </w:r>
            <w:r>
              <w:rPr>
                <w:rStyle w:val="11"/>
                <w:rFonts w:hint="eastAsia"/>
              </w:rPr>
              <w:t>1.请按照农药安全使用准则使用本品。在种子处理过程中，避免药液接触皮肤、眼睛和污染衣物，避免吸入药液。切勿在施药现场抽烟或饮食。在饮水、进食和抽烟前、应先洗手、洗脸。2.配药和种子处理应在通风处进行，操作人员应戴面罩，防渗手套，穿长袖衣、长裤和靴子等防护用具。3.种子处理结束后，彻底清洗防护用具，洗澡，并更换和清洗工作服。4.处理过的种子必须放置在有明显标签的容器内。勿与食物、饲料放在一起，不得饲喂禽畜，更不得用来加工饲料或食品。5.使用过的空包装，用清水冲洗三次后妥善处理，切勿随意丢弃。6.本品对鱼及水生生物高毒，水产养殖区、河塘等水体附近禁用，禁止在河塘等水域清洗施药器具。鱼或虾蟹套养稻田禁用，施药后的田水不得直接排入水体。7.孕妇及哺乳期妇女禁止接触本品。</w:t>
            </w:r>
          </w:p>
        </w:tc>
      </w:tr>
      <w:tr w14:paraId="525992FE">
        <w:tblPrEx>
          <w:tblCellMar>
            <w:top w:w="0" w:type="dxa"/>
            <w:left w:w="0" w:type="dxa"/>
            <w:bottom w:w="0" w:type="dxa"/>
            <w:right w:w="0" w:type="dxa"/>
          </w:tblCellMar>
        </w:tblPrEx>
        <w:trPr>
          <w:wBefore w:w="0" w:type="auto"/>
          <w:tblCellSpacing w:w="0" w:type="dxa"/>
        </w:trPr>
        <w:tc>
          <w:tcPr>
            <w:tcW w:w="0" w:type="auto"/>
            <w:noWrap w:val="0"/>
            <w:vAlign w:val="center"/>
          </w:tcPr>
          <w:p w14:paraId="12F47A52">
            <w:r>
              <w:rPr>
                <w:rStyle w:val="10"/>
                <w:rFonts w:hint="eastAsia"/>
              </w:rPr>
              <w:t>中毒急救措施：</w:t>
            </w:r>
            <w:r>
              <w:rPr>
                <w:rFonts w:hint="eastAsia"/>
              </w:rPr>
              <w:br w:type="textWrapping"/>
            </w:r>
            <w:r>
              <w:rPr>
                <w:rStyle w:val="11"/>
                <w:rFonts w:hint="eastAsia"/>
              </w:rPr>
              <w:t>1.皮肤接触：立即脱掉被污染的衣物，用肥皂和大量清水彻底清洗受污染的皮肤15－20分钟。必要时请医生诊治。2.眼睛溅药：立即将眼睑翻开，用清水轻柔地冲洗15－20分钟，再请医生诊治。3.发生吸入：立即将吸入者转移到空气新鲜处，注意保暖和休息，请医生诊治。4.误服：请勿引吐。立即携带标签，送医就诊。紧急医疗措施：使用医用活性炭洗胃，洗胃时注意防止胃容物进入呼吸道。注意：对昏迷病人，切勿经口喂入任何东西或引吐。解毒剂：无专用解毒剂，对症治疗。</w:t>
            </w:r>
          </w:p>
        </w:tc>
      </w:tr>
      <w:tr w14:paraId="16AFA3DB">
        <w:tblPrEx>
          <w:tblCellMar>
            <w:top w:w="0" w:type="dxa"/>
            <w:left w:w="0" w:type="dxa"/>
            <w:bottom w:w="0" w:type="dxa"/>
            <w:right w:w="0" w:type="dxa"/>
          </w:tblCellMar>
        </w:tblPrEx>
        <w:trPr>
          <w:wBefore w:w="0" w:type="auto"/>
          <w:tblCellSpacing w:w="0" w:type="dxa"/>
        </w:trPr>
        <w:tc>
          <w:tcPr>
            <w:tcW w:w="0" w:type="auto"/>
            <w:noWrap w:val="0"/>
            <w:vAlign w:val="center"/>
          </w:tcPr>
          <w:p w14:paraId="44D87728">
            <w:r>
              <w:rPr>
                <w:rStyle w:val="10"/>
                <w:rFonts w:hint="eastAsia"/>
              </w:rPr>
              <w:t>储存和运输方法：</w:t>
            </w:r>
            <w:r>
              <w:rPr>
                <w:rFonts w:hint="eastAsia"/>
              </w:rPr>
              <w:br w:type="textWrapping"/>
            </w:r>
            <w:r>
              <w:rPr>
                <w:rStyle w:val="11"/>
                <w:rFonts w:hint="eastAsia"/>
              </w:rPr>
              <w:t>1.本品应加锁保存，勿让儿童、无关人员和动物接触。勿与食物、饮料和动物饲料放在一起贮存和运输。2.本品应贮藏在避光、干燥、通风处。储藏温度应避免低于-10℃或高于35℃。3.运输时应注意避光、防高温、雨淋。</w:t>
            </w:r>
          </w:p>
        </w:tc>
      </w:tr>
      <w:tr w14:paraId="50D53BEB">
        <w:tblPrEx>
          <w:tblCellMar>
            <w:top w:w="0" w:type="dxa"/>
            <w:left w:w="0" w:type="dxa"/>
            <w:bottom w:w="0" w:type="dxa"/>
            <w:right w:w="0" w:type="dxa"/>
          </w:tblCellMar>
        </w:tblPrEx>
        <w:trPr>
          <w:wBefore w:w="0" w:type="auto"/>
          <w:tblCellSpacing w:w="0" w:type="dxa"/>
        </w:trPr>
        <w:tc>
          <w:tcPr>
            <w:tcW w:w="0" w:type="auto"/>
            <w:noWrap w:val="0"/>
            <w:vAlign w:val="center"/>
          </w:tcPr>
          <w:p w14:paraId="3E9A8E88">
            <w:r>
              <w:rPr>
                <w:rStyle w:val="10"/>
                <w:rFonts w:hint="eastAsia"/>
              </w:rPr>
              <w:t>质量保证期：</w:t>
            </w:r>
            <w:r>
              <w:rPr>
                <w:rStyle w:val="11"/>
                <w:rFonts w:hint="eastAsia"/>
              </w:rPr>
              <w:t>2年</w:t>
            </w:r>
          </w:p>
        </w:tc>
      </w:tr>
      <w:tr w14:paraId="6E054D12">
        <w:tblPrEx>
          <w:tblCellMar>
            <w:top w:w="0" w:type="dxa"/>
            <w:left w:w="0" w:type="dxa"/>
            <w:bottom w:w="0" w:type="dxa"/>
            <w:right w:w="0" w:type="dxa"/>
          </w:tblCellMar>
        </w:tblPrEx>
        <w:trPr>
          <w:wBefore w:w="0" w:type="auto"/>
          <w:tblCellSpacing w:w="0" w:type="dxa"/>
        </w:trPr>
        <w:tc>
          <w:tcPr>
            <w:tcW w:w="0" w:type="auto"/>
            <w:noWrap w:val="0"/>
            <w:vAlign w:val="center"/>
          </w:tcPr>
          <w:p w14:paraId="18E19FD7">
            <w:r>
              <w:rPr>
                <w:rStyle w:val="10"/>
                <w:rFonts w:hint="eastAsia"/>
              </w:rPr>
              <w:t>备注：</w:t>
            </w:r>
          </w:p>
        </w:tc>
      </w:tr>
    </w:tbl>
    <w:p w14:paraId="7D66CC0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1453378">
        <w:tblPrEx>
          <w:tblCellMar>
            <w:top w:w="0" w:type="dxa"/>
            <w:left w:w="0" w:type="dxa"/>
            <w:bottom w:w="0" w:type="dxa"/>
            <w:right w:w="0" w:type="dxa"/>
          </w:tblCellMar>
        </w:tblPrEx>
        <w:trPr>
          <w:wBefore w:w="0" w:type="auto"/>
          <w:tblCellSpacing w:w="0" w:type="dxa"/>
        </w:trPr>
        <w:tc>
          <w:tcPr>
            <w:tcW w:w="0" w:type="auto"/>
            <w:noWrap w:val="0"/>
            <w:vAlign w:val="center"/>
          </w:tcPr>
          <w:p w14:paraId="526B5594">
            <w:r>
              <w:rPr>
                <w:rStyle w:val="10"/>
                <w:rFonts w:hint="eastAsia"/>
              </w:rPr>
              <w:t>登记证号：</w:t>
            </w:r>
            <w:r>
              <w:rPr>
                <w:rFonts w:hint="eastAsia"/>
              </w:rPr>
              <w:t>PD20211880</w:t>
            </w:r>
          </w:p>
        </w:tc>
      </w:tr>
      <w:tr w14:paraId="1D7363CF">
        <w:tblPrEx>
          <w:tblCellMar>
            <w:top w:w="0" w:type="dxa"/>
            <w:left w:w="0" w:type="dxa"/>
            <w:bottom w:w="0" w:type="dxa"/>
            <w:right w:w="0" w:type="dxa"/>
          </w:tblCellMar>
        </w:tblPrEx>
        <w:trPr>
          <w:wBefore w:w="0" w:type="auto"/>
          <w:tblCellSpacing w:w="0" w:type="dxa"/>
        </w:trPr>
        <w:tc>
          <w:tcPr>
            <w:tcW w:w="0" w:type="auto"/>
            <w:noWrap w:val="0"/>
            <w:vAlign w:val="center"/>
          </w:tcPr>
          <w:p w14:paraId="0FCD0A09">
            <w:r>
              <w:rPr>
                <w:rStyle w:val="10"/>
                <w:rFonts w:hint="eastAsia"/>
              </w:rPr>
              <w:t>登记证持有人：</w:t>
            </w:r>
            <w:r>
              <w:rPr>
                <w:rFonts w:hint="eastAsia"/>
              </w:rPr>
              <w:t>平顶山市益农科技有限公司</w:t>
            </w:r>
          </w:p>
        </w:tc>
      </w:tr>
      <w:tr w14:paraId="437AD361">
        <w:tblPrEx>
          <w:tblCellMar>
            <w:top w:w="0" w:type="dxa"/>
            <w:left w:w="0" w:type="dxa"/>
            <w:bottom w:w="0" w:type="dxa"/>
            <w:right w:w="0" w:type="dxa"/>
          </w:tblCellMar>
        </w:tblPrEx>
        <w:trPr>
          <w:wBefore w:w="0" w:type="auto"/>
          <w:tblCellSpacing w:w="0" w:type="dxa"/>
        </w:trPr>
        <w:tc>
          <w:tcPr>
            <w:tcW w:w="0" w:type="auto"/>
            <w:noWrap w:val="0"/>
            <w:vAlign w:val="center"/>
          </w:tcPr>
          <w:p w14:paraId="6104D976">
            <w:r>
              <w:rPr>
                <w:rStyle w:val="10"/>
                <w:rFonts w:hint="eastAsia"/>
              </w:rPr>
              <w:t>农药名称：</w:t>
            </w:r>
            <w:r>
              <w:rPr>
                <w:rFonts w:hint="eastAsia"/>
              </w:rPr>
              <w:t>氟啶虫酰胺·烯啶虫胺</w:t>
            </w:r>
          </w:p>
        </w:tc>
      </w:tr>
      <w:tr w14:paraId="6948D2E1">
        <w:tblPrEx>
          <w:tblCellMar>
            <w:top w:w="0" w:type="dxa"/>
            <w:left w:w="0" w:type="dxa"/>
            <w:bottom w:w="0" w:type="dxa"/>
            <w:right w:w="0" w:type="dxa"/>
          </w:tblCellMar>
        </w:tblPrEx>
        <w:trPr>
          <w:wBefore w:w="0" w:type="auto"/>
          <w:tblCellSpacing w:w="0" w:type="dxa"/>
        </w:trPr>
        <w:tc>
          <w:tcPr>
            <w:tcW w:w="0" w:type="auto"/>
            <w:noWrap w:val="0"/>
            <w:vAlign w:val="center"/>
          </w:tcPr>
          <w:p w14:paraId="336F4123">
            <w:r>
              <w:rPr>
                <w:rStyle w:val="10"/>
                <w:rFonts w:hint="eastAsia"/>
              </w:rPr>
              <w:t>剂型：</w:t>
            </w:r>
            <w:r>
              <w:rPr>
                <w:rFonts w:hint="eastAsia"/>
              </w:rPr>
              <w:t>水分散粒剂</w:t>
            </w:r>
          </w:p>
        </w:tc>
      </w:tr>
      <w:tr w14:paraId="66CA7831">
        <w:tblPrEx>
          <w:tblCellMar>
            <w:top w:w="0" w:type="dxa"/>
            <w:left w:w="0" w:type="dxa"/>
            <w:bottom w:w="0" w:type="dxa"/>
            <w:right w:w="0" w:type="dxa"/>
          </w:tblCellMar>
        </w:tblPrEx>
        <w:trPr>
          <w:wBefore w:w="0" w:type="auto"/>
          <w:tblCellSpacing w:w="0" w:type="dxa"/>
        </w:trPr>
        <w:tc>
          <w:tcPr>
            <w:tcW w:w="0" w:type="auto"/>
            <w:noWrap w:val="0"/>
            <w:vAlign w:val="center"/>
          </w:tcPr>
          <w:p w14:paraId="6F44292F">
            <w:r>
              <w:rPr>
                <w:rStyle w:val="10"/>
                <w:rFonts w:hint="eastAsia"/>
              </w:rPr>
              <w:t>毒性及其标识：</w:t>
            </w:r>
            <w:r>
              <w:rPr>
                <w:rFonts w:hint="eastAsia"/>
              </w:rPr>
              <w:t xml:space="preserve"> </w:t>
            </w:r>
            <w:r>
              <w:rPr>
                <w:lang/>
              </w:rPr>
              <w:drawing>
                <wp:inline distT="0" distB="0" distL="114300" distR="114300">
                  <wp:extent cx="476250" cy="323850"/>
                  <wp:effectExtent l="0" t="0" r="0" b="0"/>
                  <wp:docPr id="160" name="图片 16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7889577">
        <w:tblPrEx>
          <w:tblCellMar>
            <w:top w:w="0" w:type="dxa"/>
            <w:left w:w="0" w:type="dxa"/>
            <w:bottom w:w="0" w:type="dxa"/>
            <w:right w:w="0" w:type="dxa"/>
          </w:tblCellMar>
        </w:tblPrEx>
        <w:trPr>
          <w:wBefore w:w="0" w:type="auto"/>
          <w:tblCellSpacing w:w="0" w:type="dxa"/>
        </w:trPr>
        <w:tc>
          <w:tcPr>
            <w:tcW w:w="0" w:type="auto"/>
            <w:noWrap w:val="0"/>
            <w:vAlign w:val="center"/>
          </w:tcPr>
          <w:p w14:paraId="104857CE">
            <w:r>
              <w:rPr>
                <w:rStyle w:val="10"/>
                <w:rFonts w:hint="eastAsia"/>
              </w:rPr>
              <w:t>总有效成分含量：</w:t>
            </w:r>
            <w:r>
              <w:rPr>
                <w:rFonts w:hint="eastAsia"/>
              </w:rPr>
              <w:t>30%</w:t>
            </w:r>
          </w:p>
        </w:tc>
      </w:tr>
      <w:tr w14:paraId="16F0B11D">
        <w:tblPrEx>
          <w:tblCellMar>
            <w:top w:w="0" w:type="dxa"/>
            <w:left w:w="0" w:type="dxa"/>
            <w:bottom w:w="0" w:type="dxa"/>
            <w:right w:w="0" w:type="dxa"/>
          </w:tblCellMar>
        </w:tblPrEx>
        <w:trPr>
          <w:wBefore w:w="0" w:type="auto"/>
          <w:tblCellSpacing w:w="0" w:type="dxa"/>
        </w:trPr>
        <w:tc>
          <w:tcPr>
            <w:tcW w:w="0" w:type="auto"/>
            <w:noWrap w:val="0"/>
            <w:vAlign w:val="center"/>
          </w:tcPr>
          <w:p w14:paraId="1021C66F">
            <w:r>
              <w:rPr>
                <w:rFonts w:hint="eastAsia"/>
              </w:rPr>
              <w:t xml:space="preserve">有效成分及其含量： </w:t>
            </w:r>
          </w:p>
          <w:p w14:paraId="55BECBA3">
            <w:r>
              <w:rPr>
                <w:rFonts w:hint="eastAsia"/>
              </w:rPr>
              <w:t xml:space="preserve">    氟啶虫酰胺10%    烯啶虫胺20%    </w:t>
            </w:r>
          </w:p>
        </w:tc>
      </w:tr>
      <w:tr w14:paraId="76937925">
        <w:tblPrEx>
          <w:tblCellMar>
            <w:top w:w="0" w:type="dxa"/>
            <w:left w:w="0" w:type="dxa"/>
            <w:bottom w:w="0" w:type="dxa"/>
            <w:right w:w="0" w:type="dxa"/>
          </w:tblCellMar>
        </w:tblPrEx>
        <w:trPr>
          <w:wBefore w:w="0" w:type="auto"/>
          <w:tblCellSpacing w:w="0" w:type="dxa"/>
        </w:trPr>
        <w:tc>
          <w:tcPr>
            <w:tcW w:w="0" w:type="auto"/>
            <w:noWrap w:val="0"/>
            <w:vAlign w:val="center"/>
          </w:tcPr>
          <w:p w14:paraId="4B847F3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2CE9B25">
              <w:tblPrEx>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F7FE04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90ADBF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B1CB6A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1357977">
                  <w:r>
                    <w:rPr>
                      <w:rStyle w:val="11"/>
                      <w:rFonts w:hint="eastAsia"/>
                    </w:rPr>
                    <w:t>施用方式</w:t>
                  </w:r>
                </w:p>
              </w:tc>
            </w:tr>
            <w:tr w14:paraId="59795B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033402F">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5ED5EF">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84B5B0">
                  <w:r>
                    <w:rPr>
                      <w:rStyle w:val="11"/>
                      <w:rFonts w:hint="eastAsia"/>
                    </w:rPr>
                    <w:t>4-6克/亩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CAA94F">
                  <w:r>
                    <w:rPr>
                      <w:rStyle w:val="11"/>
                      <w:rFonts w:hint="eastAsia"/>
                    </w:rPr>
                    <w:t>喷雾</w:t>
                  </w:r>
                </w:p>
              </w:tc>
            </w:tr>
          </w:tbl>
          <w:p w14:paraId="42D49C2C">
            <w:pPr>
              <w:rPr>
                <w:rFonts w:ascii="Times New Roman" w:hAnsi="Times New Roman" w:cs="Times New Roman"/>
                <w:sz w:val="20"/>
                <w:szCs w:val="20"/>
              </w:rPr>
            </w:pPr>
          </w:p>
        </w:tc>
      </w:tr>
      <w:tr w14:paraId="410C7C40">
        <w:tblPrEx>
          <w:tblCellMar>
            <w:top w:w="0" w:type="dxa"/>
            <w:left w:w="0" w:type="dxa"/>
            <w:bottom w:w="0" w:type="dxa"/>
            <w:right w:w="0" w:type="dxa"/>
          </w:tblCellMar>
        </w:tblPrEx>
        <w:trPr>
          <w:wBefore w:w="0" w:type="auto"/>
          <w:tblCellSpacing w:w="0" w:type="dxa"/>
        </w:trPr>
        <w:tc>
          <w:tcPr>
            <w:tcW w:w="0" w:type="auto"/>
            <w:noWrap w:val="0"/>
            <w:vAlign w:val="center"/>
          </w:tcPr>
          <w:p w14:paraId="67D3F2CA">
            <w:r>
              <w:rPr>
                <w:rStyle w:val="10"/>
                <w:rFonts w:hint="eastAsia"/>
              </w:rPr>
              <w:t>使用技术要求:</w:t>
            </w:r>
            <w:r>
              <w:rPr>
                <w:rFonts w:hint="eastAsia"/>
              </w:rPr>
              <w:br w:type="textWrapping"/>
            </w:r>
            <w:r>
              <w:rPr>
                <w:rStyle w:val="11"/>
                <w:rFonts w:hint="eastAsia"/>
              </w:rPr>
              <w:t>1. 本品于棉花蚜虫发生始盛期喷雾使用，注意喷雾均匀。 2. 大风天或预计1小时内降雨，请勿施药。 3. 本品在棉花上使用的安全间隔期为14天，每季作物最多使用1次。</w:t>
            </w:r>
          </w:p>
        </w:tc>
      </w:tr>
      <w:tr w14:paraId="5505E24D">
        <w:tblPrEx>
          <w:tblCellMar>
            <w:top w:w="0" w:type="dxa"/>
            <w:left w:w="0" w:type="dxa"/>
            <w:bottom w:w="0" w:type="dxa"/>
            <w:right w:w="0" w:type="dxa"/>
          </w:tblCellMar>
        </w:tblPrEx>
        <w:trPr>
          <w:wBefore w:w="0" w:type="auto"/>
          <w:tblCellSpacing w:w="0" w:type="dxa"/>
        </w:trPr>
        <w:tc>
          <w:tcPr>
            <w:tcW w:w="0" w:type="auto"/>
            <w:noWrap w:val="0"/>
            <w:vAlign w:val="center"/>
          </w:tcPr>
          <w:p w14:paraId="18F20BE5">
            <w:r>
              <w:rPr>
                <w:rStyle w:val="10"/>
                <w:rFonts w:hint="eastAsia"/>
              </w:rPr>
              <w:t>产品性能:</w:t>
            </w:r>
            <w:r>
              <w:rPr>
                <w:rFonts w:hint="eastAsia"/>
              </w:rPr>
              <w:br w:type="textWrapping"/>
            </w:r>
            <w:r>
              <w:rPr>
                <w:rStyle w:val="11"/>
                <w:rFonts w:hint="eastAsia"/>
              </w:rPr>
              <w:t>烯啶虫胺主要作用于昆虫神经系统，对害虫的突触受体具有神经阻断作用，导致神经的轴突触隔膜电位通道刺激消失，致使害虫麻痹死亡。氟啶虫酰胺是一种低毒吡啶酰胺类、昆虫生长调节剂类杀虫剂，具有很好的神经毒剂和快速拒食作用，并具有良好的渗透作用；可从根部向茎部、叶部渗透，通过阻碍害虫吮吸作用而致死，害虫摄入药剂以后很快停止吮吸，最后饥饿而死。二者复配可有效防治棉花蚜虫。</w:t>
            </w:r>
          </w:p>
        </w:tc>
      </w:tr>
      <w:tr w14:paraId="21FA9929">
        <w:tblPrEx>
          <w:tblCellMar>
            <w:top w:w="0" w:type="dxa"/>
            <w:left w:w="0" w:type="dxa"/>
            <w:bottom w:w="0" w:type="dxa"/>
            <w:right w:w="0" w:type="dxa"/>
          </w:tblCellMar>
        </w:tblPrEx>
        <w:trPr>
          <w:wBefore w:w="0" w:type="auto"/>
          <w:tblCellSpacing w:w="0" w:type="dxa"/>
        </w:trPr>
        <w:tc>
          <w:tcPr>
            <w:tcW w:w="0" w:type="auto"/>
            <w:noWrap w:val="0"/>
            <w:vAlign w:val="center"/>
          </w:tcPr>
          <w:p w14:paraId="7EA0278F">
            <w:r>
              <w:rPr>
                <w:rStyle w:val="10"/>
                <w:rFonts w:hint="eastAsia"/>
              </w:rPr>
              <w:t>注意事项：</w:t>
            </w:r>
            <w:r>
              <w:rPr>
                <w:rFonts w:hint="eastAsia"/>
              </w:rPr>
              <w:br w:type="textWrapping"/>
            </w:r>
            <w:r>
              <w:rPr>
                <w:rStyle w:val="11"/>
                <w:rFonts w:hint="eastAsia"/>
              </w:rPr>
              <w:t>1. 建议与其他不同作用机制的杀虫剂轮换使用，以延缓抗性产生。2. 配药时应在通风处进行，本品对眼睛有刺激性，使用时避免接触眼睛，穿戴长衣、长裤、帽子、口罩、手套等防护措施。严禁抽烟或饮食；在施药过程中，避免药液接触皮肤、眼睛和污染衣物，避免吸入药液；施药后应用肥皂和清水彻底清洗暴露在外的皮肤，并及时更换衣物。3. 施药前后要彻底清洗施药器械，.禁止在河塘等水域清洗施药器具，勿将本品及其废液弃于池塘、河溪、湖泊等，以免污染水源。4. （周围）开花植物花期禁用；.蚕室及桑园附近禁用；.赤眼蜂等天敌放飞区域禁用。 5. 用过的容器应妥善处理，不可做他用，也不可随意丢弃。6. 孕妇及哺乳期妇女避免接触本产品。</w:t>
            </w:r>
          </w:p>
        </w:tc>
      </w:tr>
      <w:tr w14:paraId="51EA3D15">
        <w:tblPrEx>
          <w:tblCellMar>
            <w:top w:w="0" w:type="dxa"/>
            <w:left w:w="0" w:type="dxa"/>
            <w:bottom w:w="0" w:type="dxa"/>
            <w:right w:w="0" w:type="dxa"/>
          </w:tblCellMar>
        </w:tblPrEx>
        <w:trPr>
          <w:wBefore w:w="0" w:type="auto"/>
          <w:tblCellSpacing w:w="0" w:type="dxa"/>
        </w:trPr>
        <w:tc>
          <w:tcPr>
            <w:tcW w:w="0" w:type="auto"/>
            <w:noWrap w:val="0"/>
            <w:vAlign w:val="center"/>
          </w:tcPr>
          <w:p w14:paraId="68E37979">
            <w:r>
              <w:rPr>
                <w:rStyle w:val="10"/>
                <w:rFonts w:hint="eastAsia"/>
              </w:rPr>
              <w:t>中毒急救措施：</w:t>
            </w:r>
            <w:r>
              <w:rPr>
                <w:rFonts w:hint="eastAsia"/>
              </w:rPr>
              <w:br w:type="textWrapping"/>
            </w:r>
            <w:r>
              <w:rPr>
                <w:rStyle w:val="11"/>
                <w:rFonts w:hint="eastAsia"/>
              </w:rPr>
              <w:t>1. 建议与其他不同作用机制的杀虫剂轮换使用，以延缓抗性产生。2. 配药时应在通风处进行，操作人员需提前做好保护措施，穿着长衣长裤或长款防护服，戴好手套、面罩或护目镜等，严禁抽烟或饮食；在施药过程中，避免药液接触皮肤、眼睛和污染衣物，避免吸入药液；施药后应用肥皂和清水彻底清洗暴露在外的皮肤，并及时更换衣物。3. 施药前后要彻底清洗施药器械，不能在河流等水体中清洗施药器械，勿将本品及其废液弃于池塘、河溪、湖泊等，以免污染水源。4. 桑园及蚕室附近禁用。（周围）开花植物花期禁用。赤眼蜂、七星瓢虫（或其他代表性天敌）等天敌放飞区域禁用。 5. 用过的容器应妥善处理，不可做他用，也不可随意丢弃。6. 孕妇及哺乳期妇女避免接触本产品。</w:t>
            </w:r>
          </w:p>
        </w:tc>
      </w:tr>
      <w:tr w14:paraId="487E8E23">
        <w:tblPrEx>
          <w:tblCellMar>
            <w:top w:w="0" w:type="dxa"/>
            <w:left w:w="0" w:type="dxa"/>
            <w:bottom w:w="0" w:type="dxa"/>
            <w:right w:w="0" w:type="dxa"/>
          </w:tblCellMar>
        </w:tblPrEx>
        <w:trPr>
          <w:wBefore w:w="0" w:type="auto"/>
          <w:tblCellSpacing w:w="0" w:type="dxa"/>
        </w:trPr>
        <w:tc>
          <w:tcPr>
            <w:tcW w:w="0" w:type="auto"/>
            <w:noWrap w:val="0"/>
            <w:vAlign w:val="center"/>
          </w:tcPr>
          <w:p w14:paraId="4EEA62F6">
            <w:r>
              <w:rPr>
                <w:rStyle w:val="10"/>
                <w:rFonts w:hint="eastAsia"/>
              </w:rPr>
              <w:t>储存和运输方法：</w:t>
            </w:r>
            <w:r>
              <w:rPr>
                <w:rFonts w:hint="eastAsia"/>
              </w:rPr>
              <w:br w:type="textWrapping"/>
            </w:r>
            <w:r>
              <w:rPr>
                <w:rStyle w:val="11"/>
                <w:rFonts w:hint="eastAsia"/>
              </w:rPr>
              <w:t>1.本品应贮存在干燥、阴凉、通风、防雨处，远离火源或热源。2.置于儿童、无关人员及动物触及不到之处，并加锁保存。3.勿与食品、饮料、粮食、饲料等同贮同运。4.运输时防雨防潮，装卸时轻卸轻放。</w:t>
            </w:r>
          </w:p>
        </w:tc>
      </w:tr>
      <w:tr w14:paraId="57D8388E">
        <w:tblPrEx>
          <w:tblCellMar>
            <w:top w:w="0" w:type="dxa"/>
            <w:left w:w="0" w:type="dxa"/>
            <w:bottom w:w="0" w:type="dxa"/>
            <w:right w:w="0" w:type="dxa"/>
          </w:tblCellMar>
        </w:tblPrEx>
        <w:trPr>
          <w:wBefore w:w="0" w:type="auto"/>
          <w:tblCellSpacing w:w="0" w:type="dxa"/>
        </w:trPr>
        <w:tc>
          <w:tcPr>
            <w:tcW w:w="0" w:type="auto"/>
            <w:noWrap w:val="0"/>
            <w:vAlign w:val="center"/>
          </w:tcPr>
          <w:p w14:paraId="40D4D071">
            <w:r>
              <w:rPr>
                <w:rStyle w:val="10"/>
                <w:rFonts w:hint="eastAsia"/>
              </w:rPr>
              <w:t>质量保证期：</w:t>
            </w:r>
            <w:r>
              <w:rPr>
                <w:rStyle w:val="11"/>
                <w:rFonts w:hint="eastAsia"/>
              </w:rPr>
              <w:t>2年</w:t>
            </w:r>
          </w:p>
        </w:tc>
      </w:tr>
      <w:tr w14:paraId="02216DB9">
        <w:tblPrEx>
          <w:tblCellMar>
            <w:top w:w="0" w:type="dxa"/>
            <w:left w:w="0" w:type="dxa"/>
            <w:bottom w:w="0" w:type="dxa"/>
            <w:right w:w="0" w:type="dxa"/>
          </w:tblCellMar>
        </w:tblPrEx>
        <w:trPr>
          <w:wBefore w:w="0" w:type="auto"/>
          <w:tblCellSpacing w:w="0" w:type="dxa"/>
        </w:trPr>
        <w:tc>
          <w:tcPr>
            <w:tcW w:w="0" w:type="auto"/>
            <w:noWrap w:val="0"/>
            <w:vAlign w:val="center"/>
          </w:tcPr>
          <w:p w14:paraId="5D4C9A84">
            <w:r>
              <w:rPr>
                <w:rStyle w:val="10"/>
                <w:rFonts w:hint="eastAsia"/>
              </w:rPr>
              <w:t>备注：</w:t>
            </w:r>
          </w:p>
        </w:tc>
      </w:tr>
    </w:tbl>
    <w:p w14:paraId="347E47E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398077D">
        <w:tblPrEx>
          <w:tblCellMar>
            <w:top w:w="0" w:type="dxa"/>
            <w:left w:w="0" w:type="dxa"/>
            <w:bottom w:w="0" w:type="dxa"/>
            <w:right w:w="0" w:type="dxa"/>
          </w:tblCellMar>
        </w:tblPrEx>
        <w:trPr>
          <w:wBefore w:w="0" w:type="auto"/>
          <w:tblCellSpacing w:w="0" w:type="dxa"/>
        </w:trPr>
        <w:tc>
          <w:tcPr>
            <w:tcW w:w="0" w:type="auto"/>
            <w:noWrap w:val="0"/>
            <w:vAlign w:val="center"/>
          </w:tcPr>
          <w:p w14:paraId="7DE21A86">
            <w:r>
              <w:rPr>
                <w:rStyle w:val="10"/>
                <w:rFonts w:hint="eastAsia"/>
              </w:rPr>
              <w:t>登记证号：</w:t>
            </w:r>
            <w:r>
              <w:rPr>
                <w:rFonts w:hint="eastAsia"/>
              </w:rPr>
              <w:t>PD20212185</w:t>
            </w:r>
          </w:p>
        </w:tc>
      </w:tr>
      <w:tr w14:paraId="77670829">
        <w:tblPrEx>
          <w:tblCellMar>
            <w:top w:w="0" w:type="dxa"/>
            <w:left w:w="0" w:type="dxa"/>
            <w:bottom w:w="0" w:type="dxa"/>
            <w:right w:w="0" w:type="dxa"/>
          </w:tblCellMar>
        </w:tblPrEx>
        <w:trPr>
          <w:wBefore w:w="0" w:type="auto"/>
          <w:tblCellSpacing w:w="0" w:type="dxa"/>
        </w:trPr>
        <w:tc>
          <w:tcPr>
            <w:tcW w:w="0" w:type="auto"/>
            <w:noWrap w:val="0"/>
            <w:vAlign w:val="center"/>
          </w:tcPr>
          <w:p w14:paraId="44051C22">
            <w:r>
              <w:rPr>
                <w:rStyle w:val="10"/>
                <w:rFonts w:hint="eastAsia"/>
              </w:rPr>
              <w:t>登记证持有人：</w:t>
            </w:r>
            <w:r>
              <w:rPr>
                <w:rFonts w:hint="eastAsia"/>
              </w:rPr>
              <w:t>广西兄弟农药厂</w:t>
            </w:r>
          </w:p>
        </w:tc>
      </w:tr>
      <w:tr w14:paraId="157DA400">
        <w:tblPrEx>
          <w:tblCellMar>
            <w:top w:w="0" w:type="dxa"/>
            <w:left w:w="0" w:type="dxa"/>
            <w:bottom w:w="0" w:type="dxa"/>
            <w:right w:w="0" w:type="dxa"/>
          </w:tblCellMar>
        </w:tblPrEx>
        <w:trPr>
          <w:wBefore w:w="0" w:type="auto"/>
          <w:tblCellSpacing w:w="0" w:type="dxa"/>
        </w:trPr>
        <w:tc>
          <w:tcPr>
            <w:tcW w:w="0" w:type="auto"/>
            <w:noWrap w:val="0"/>
            <w:vAlign w:val="center"/>
          </w:tcPr>
          <w:p w14:paraId="2D33F285">
            <w:r>
              <w:rPr>
                <w:rStyle w:val="10"/>
                <w:rFonts w:hint="eastAsia"/>
              </w:rPr>
              <w:t>农药名称：</w:t>
            </w:r>
            <w:r>
              <w:rPr>
                <w:rFonts w:hint="eastAsia"/>
              </w:rPr>
              <w:t>环嗪酮</w:t>
            </w:r>
          </w:p>
        </w:tc>
      </w:tr>
      <w:tr w14:paraId="516FC3F2">
        <w:tblPrEx>
          <w:tblCellMar>
            <w:top w:w="0" w:type="dxa"/>
            <w:left w:w="0" w:type="dxa"/>
            <w:bottom w:w="0" w:type="dxa"/>
            <w:right w:w="0" w:type="dxa"/>
          </w:tblCellMar>
        </w:tblPrEx>
        <w:trPr>
          <w:wBefore w:w="0" w:type="auto"/>
          <w:tblCellSpacing w:w="0" w:type="dxa"/>
        </w:trPr>
        <w:tc>
          <w:tcPr>
            <w:tcW w:w="0" w:type="auto"/>
            <w:noWrap w:val="0"/>
            <w:vAlign w:val="center"/>
          </w:tcPr>
          <w:p w14:paraId="48FA1A40">
            <w:r>
              <w:rPr>
                <w:rStyle w:val="10"/>
                <w:rFonts w:hint="eastAsia"/>
              </w:rPr>
              <w:t>剂型：</w:t>
            </w:r>
            <w:r>
              <w:rPr>
                <w:rFonts w:hint="eastAsia"/>
              </w:rPr>
              <w:t>颗粒剂</w:t>
            </w:r>
          </w:p>
        </w:tc>
      </w:tr>
      <w:tr w14:paraId="594158FD">
        <w:tblPrEx>
          <w:tblCellMar>
            <w:top w:w="0" w:type="dxa"/>
            <w:left w:w="0" w:type="dxa"/>
            <w:bottom w:w="0" w:type="dxa"/>
            <w:right w:w="0" w:type="dxa"/>
          </w:tblCellMar>
        </w:tblPrEx>
        <w:trPr>
          <w:wBefore w:w="0" w:type="auto"/>
          <w:tblCellSpacing w:w="0" w:type="dxa"/>
        </w:trPr>
        <w:tc>
          <w:tcPr>
            <w:tcW w:w="0" w:type="auto"/>
            <w:noWrap w:val="0"/>
            <w:vAlign w:val="center"/>
          </w:tcPr>
          <w:p w14:paraId="32314689">
            <w:r>
              <w:rPr>
                <w:rStyle w:val="10"/>
                <w:rFonts w:hint="eastAsia"/>
              </w:rPr>
              <w:t>毒性及其标识：</w:t>
            </w:r>
            <w:r>
              <w:rPr>
                <w:rFonts w:hint="eastAsia"/>
              </w:rPr>
              <w:t xml:space="preserve"> </w:t>
            </w:r>
            <w:r>
              <w:rPr>
                <w:lang/>
              </w:rPr>
              <w:drawing>
                <wp:inline distT="0" distB="0" distL="114300" distR="114300">
                  <wp:extent cx="476250" cy="323850"/>
                  <wp:effectExtent l="0" t="0" r="0" b="0"/>
                  <wp:docPr id="161" name="图片 16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3FC9FD">
        <w:tblPrEx>
          <w:tblCellMar>
            <w:top w:w="0" w:type="dxa"/>
            <w:left w:w="0" w:type="dxa"/>
            <w:bottom w:w="0" w:type="dxa"/>
            <w:right w:w="0" w:type="dxa"/>
          </w:tblCellMar>
        </w:tblPrEx>
        <w:trPr>
          <w:wBefore w:w="0" w:type="auto"/>
          <w:tblCellSpacing w:w="0" w:type="dxa"/>
        </w:trPr>
        <w:tc>
          <w:tcPr>
            <w:tcW w:w="0" w:type="auto"/>
            <w:noWrap w:val="0"/>
            <w:vAlign w:val="center"/>
          </w:tcPr>
          <w:p w14:paraId="19987977">
            <w:r>
              <w:rPr>
                <w:rStyle w:val="10"/>
                <w:rFonts w:hint="eastAsia"/>
              </w:rPr>
              <w:t>总有效成分含量：</w:t>
            </w:r>
            <w:r>
              <w:rPr>
                <w:rFonts w:hint="eastAsia"/>
              </w:rPr>
              <w:t>5%</w:t>
            </w:r>
          </w:p>
        </w:tc>
      </w:tr>
      <w:tr w14:paraId="0822E6E9">
        <w:tblPrEx>
          <w:tblCellMar>
            <w:top w:w="0" w:type="dxa"/>
            <w:left w:w="0" w:type="dxa"/>
            <w:bottom w:w="0" w:type="dxa"/>
            <w:right w:w="0" w:type="dxa"/>
          </w:tblCellMar>
        </w:tblPrEx>
        <w:trPr>
          <w:wBefore w:w="0" w:type="auto"/>
          <w:tblCellSpacing w:w="0" w:type="dxa"/>
        </w:trPr>
        <w:tc>
          <w:tcPr>
            <w:tcW w:w="0" w:type="auto"/>
            <w:noWrap w:val="0"/>
            <w:vAlign w:val="center"/>
          </w:tcPr>
          <w:p w14:paraId="76872678">
            <w:r>
              <w:rPr>
                <w:rFonts w:hint="eastAsia"/>
              </w:rPr>
              <w:t xml:space="preserve">有效成分及其含量： </w:t>
            </w:r>
          </w:p>
          <w:p w14:paraId="307AFBF3">
            <w:r>
              <w:rPr>
                <w:rFonts w:hint="eastAsia"/>
              </w:rPr>
              <w:t xml:space="preserve">    环嗪酮5%    </w:t>
            </w:r>
          </w:p>
        </w:tc>
      </w:tr>
      <w:tr w14:paraId="0FD7D0DB">
        <w:tblPrEx>
          <w:tblCellMar>
            <w:top w:w="0" w:type="dxa"/>
            <w:left w:w="0" w:type="dxa"/>
            <w:bottom w:w="0" w:type="dxa"/>
            <w:right w:w="0" w:type="dxa"/>
          </w:tblCellMar>
        </w:tblPrEx>
        <w:trPr>
          <w:wBefore w:w="0" w:type="auto"/>
          <w:tblCellSpacing w:w="0" w:type="dxa"/>
        </w:trPr>
        <w:tc>
          <w:tcPr>
            <w:tcW w:w="0" w:type="auto"/>
            <w:noWrap w:val="0"/>
            <w:vAlign w:val="center"/>
          </w:tcPr>
          <w:p w14:paraId="41DA418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12E2B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F7777D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9FCE1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9D99D4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573AB0">
                  <w:r>
                    <w:rPr>
                      <w:rStyle w:val="11"/>
                      <w:rFonts w:hint="eastAsia"/>
                    </w:rPr>
                    <w:t>施用方式</w:t>
                  </w:r>
                </w:p>
              </w:tc>
            </w:tr>
            <w:tr w14:paraId="381C49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1F4574">
                  <w:r>
                    <w:rPr>
                      <w:rStyle w:val="11"/>
                      <w:rFonts w:hint="eastAsia"/>
                    </w:rPr>
                    <w:t>森林防火道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FB1AE8">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2478EC">
                  <w:r>
                    <w:rPr>
                      <w:rStyle w:val="11"/>
                      <w:rFonts w:hint="eastAsia"/>
                    </w:rPr>
                    <w:t>1.5-2.5千克/亩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927677">
                  <w:r>
                    <w:rPr>
                      <w:rStyle w:val="11"/>
                      <w:rFonts w:hint="eastAsia"/>
                    </w:rPr>
                    <w:t>撒施</w:t>
                  </w:r>
                </w:p>
              </w:tc>
            </w:tr>
          </w:tbl>
          <w:p w14:paraId="52538139">
            <w:pPr>
              <w:rPr>
                <w:rFonts w:ascii="Times New Roman" w:hAnsi="Times New Roman" w:cs="Times New Roman"/>
                <w:sz w:val="20"/>
                <w:szCs w:val="20"/>
              </w:rPr>
            </w:pPr>
          </w:p>
        </w:tc>
      </w:tr>
      <w:tr w14:paraId="62CE4FE4">
        <w:tblPrEx>
          <w:tblCellMar>
            <w:top w:w="0" w:type="dxa"/>
            <w:left w:w="0" w:type="dxa"/>
            <w:bottom w:w="0" w:type="dxa"/>
            <w:right w:w="0" w:type="dxa"/>
          </w:tblCellMar>
        </w:tblPrEx>
        <w:trPr>
          <w:wBefore w:w="0" w:type="auto"/>
          <w:tblCellSpacing w:w="0" w:type="dxa"/>
        </w:trPr>
        <w:tc>
          <w:tcPr>
            <w:tcW w:w="0" w:type="auto"/>
            <w:noWrap w:val="0"/>
            <w:vAlign w:val="center"/>
          </w:tcPr>
          <w:p w14:paraId="1E1BD756">
            <w:r>
              <w:rPr>
                <w:rStyle w:val="10"/>
                <w:rFonts w:hint="eastAsia"/>
              </w:rPr>
              <w:t>使用技术要求:</w:t>
            </w:r>
            <w:r>
              <w:rPr>
                <w:rFonts w:hint="eastAsia"/>
              </w:rPr>
              <w:br w:type="textWrapping"/>
            </w:r>
            <w:r>
              <w:rPr>
                <w:rStyle w:val="11"/>
                <w:rFonts w:hint="eastAsia"/>
              </w:rPr>
              <w:t>1. 在森林防火道杂草旺盛生长期撒施1次。 2. 施药后1～3天内请勿放牧和采割。 3. 避免在其他作物上使用而产生药害。</w:t>
            </w:r>
          </w:p>
        </w:tc>
      </w:tr>
      <w:tr w14:paraId="26805868">
        <w:tblPrEx>
          <w:tblCellMar>
            <w:top w:w="0" w:type="dxa"/>
            <w:left w:w="0" w:type="dxa"/>
            <w:bottom w:w="0" w:type="dxa"/>
            <w:right w:w="0" w:type="dxa"/>
          </w:tblCellMar>
        </w:tblPrEx>
        <w:trPr>
          <w:wBefore w:w="0" w:type="auto"/>
          <w:tblCellSpacing w:w="0" w:type="dxa"/>
        </w:trPr>
        <w:tc>
          <w:tcPr>
            <w:tcW w:w="0" w:type="auto"/>
            <w:noWrap w:val="0"/>
            <w:vAlign w:val="center"/>
          </w:tcPr>
          <w:p w14:paraId="5D2BF6EE">
            <w:r>
              <w:rPr>
                <w:rStyle w:val="10"/>
                <w:rFonts w:hint="eastAsia"/>
              </w:rPr>
              <w:t>产品性能:</w:t>
            </w:r>
            <w:r>
              <w:rPr>
                <w:rFonts w:hint="eastAsia"/>
              </w:rPr>
              <w:br w:type="textWrapping"/>
            </w:r>
            <w:r>
              <w:rPr>
                <w:rStyle w:val="11"/>
                <w:rFonts w:hint="eastAsia"/>
              </w:rPr>
              <w:t>环嗪酮为芽后触杀型除草剂，抑制植物的光合作用，它的杀草谱和杀灌木谱较广，而且毒力强，持效长，用于常绿针叶林幼林抚育，造林前除草灭灌，维护和开设森林防火道以及林土改良等，也可用于油库、机场、道路两边的除草灭灌。用于防除1年生或2年生杂草。</w:t>
            </w:r>
          </w:p>
        </w:tc>
      </w:tr>
      <w:tr w14:paraId="105F13B5">
        <w:tblPrEx>
          <w:tblCellMar>
            <w:top w:w="0" w:type="dxa"/>
            <w:left w:w="0" w:type="dxa"/>
            <w:bottom w:w="0" w:type="dxa"/>
            <w:right w:w="0" w:type="dxa"/>
          </w:tblCellMar>
        </w:tblPrEx>
        <w:trPr>
          <w:wBefore w:w="0" w:type="auto"/>
          <w:tblCellSpacing w:w="0" w:type="dxa"/>
        </w:trPr>
        <w:tc>
          <w:tcPr>
            <w:tcW w:w="0" w:type="auto"/>
            <w:noWrap w:val="0"/>
            <w:vAlign w:val="center"/>
          </w:tcPr>
          <w:p w14:paraId="1BC93449">
            <w:r>
              <w:rPr>
                <w:rStyle w:val="10"/>
                <w:rFonts w:hint="eastAsia"/>
              </w:rPr>
              <w:t>注意事项：</w:t>
            </w:r>
            <w:r>
              <w:rPr>
                <w:rFonts w:hint="eastAsia"/>
              </w:rPr>
              <w:br w:type="textWrapping"/>
            </w:r>
            <w:r>
              <w:rPr>
                <w:rStyle w:val="11"/>
                <w:rFonts w:hint="eastAsia"/>
              </w:rPr>
              <w:t>1. 开启包装物及施药时穿戴帽子、口罩、长衣、长裤、手套、鞋。</w:t>
            </w:r>
            <w:r>
              <w:rPr>
                <w:rStyle w:val="11"/>
                <w:rFonts w:hint="eastAsia"/>
              </w:rPr>
              <w:t> </w:t>
            </w:r>
            <w:r>
              <w:rPr>
                <w:rStyle w:val="11"/>
                <w:rFonts w:hint="eastAsia"/>
              </w:rPr>
              <w:t>。避免与口眼及皮肤接触；喷药时不要吸烟或饮食，工作完毕后，应清洗手及裸露的皮肤。2. 本品药效的发挥与降雨有密切关系，最好在雨季前用药。如果施药后15天不降雨，应想法在施药处浇水，否则药效较差。3. 本品忌在暴雨前使用，导致药剂被雨水冲走。4. 用过的容器要妥善处理，不可作他用，也不可随意丢弃。5. 避免与非靶标生物接触，做好安全工作，应远离水产养殖区喷药，禁止在河塘清洗施药器具，清洗器具的废水不能排入河流、池塘等水源，以免造成不必要的环境污染。6. 鸟类保护区附近禁用，施药后立即覆土。7. 孕妇及哺乳期妇女避免接触此药。.</w:t>
            </w:r>
          </w:p>
        </w:tc>
      </w:tr>
      <w:tr w14:paraId="285C22D2">
        <w:tblPrEx>
          <w:tblCellMar>
            <w:top w:w="0" w:type="dxa"/>
            <w:left w:w="0" w:type="dxa"/>
            <w:bottom w:w="0" w:type="dxa"/>
            <w:right w:w="0" w:type="dxa"/>
          </w:tblCellMar>
        </w:tblPrEx>
        <w:trPr>
          <w:wBefore w:w="0" w:type="auto"/>
          <w:tblCellSpacing w:w="0" w:type="dxa"/>
        </w:trPr>
        <w:tc>
          <w:tcPr>
            <w:tcW w:w="0" w:type="auto"/>
            <w:noWrap w:val="0"/>
            <w:vAlign w:val="center"/>
          </w:tcPr>
          <w:p w14:paraId="015C519B">
            <w:r>
              <w:rPr>
                <w:rStyle w:val="10"/>
                <w:rFonts w:hint="eastAsia"/>
              </w:rPr>
              <w:t>中毒急救措施：</w:t>
            </w:r>
            <w:r>
              <w:rPr>
                <w:rFonts w:hint="eastAsia"/>
              </w:rPr>
              <w:br w:type="textWrapping"/>
            </w:r>
            <w:r>
              <w:rPr>
                <w:rStyle w:val="11"/>
                <w:rFonts w:hint="eastAsia"/>
              </w:rPr>
              <w:t xml:space="preserve">中毒症状：按标签推荐方法使用，无典型中毒症状。 皮肤接触：立即脱去被污染的衣物，用肥皂和大量清水冲洗皮肤暴露部位。如皮肤刺激感持续，请医生诊治。眼睛溅入：立即翻开眼睑，用清水冲洗至少15分钟，再请医生诊治。吸 入：立即将吸入者转移到空气清新处，若吸入者停止呼吸，需要进行人工呼吸。注意保暖和休息，请医生诊治。误 食：严禁引吐，应先立即用清水漱口，再携带产品标签送医就诊，对症治疗。注意：对昏迷病人，切勿经口喂入任何东西。 </w:t>
            </w:r>
          </w:p>
        </w:tc>
      </w:tr>
      <w:tr w14:paraId="5A1B1A0E">
        <w:tblPrEx>
          <w:tblCellMar>
            <w:top w:w="0" w:type="dxa"/>
            <w:left w:w="0" w:type="dxa"/>
            <w:bottom w:w="0" w:type="dxa"/>
            <w:right w:w="0" w:type="dxa"/>
          </w:tblCellMar>
        </w:tblPrEx>
        <w:trPr>
          <w:wBefore w:w="0" w:type="auto"/>
          <w:tblCellSpacing w:w="0" w:type="dxa"/>
        </w:trPr>
        <w:tc>
          <w:tcPr>
            <w:tcW w:w="0" w:type="auto"/>
            <w:noWrap w:val="0"/>
            <w:vAlign w:val="center"/>
          </w:tcPr>
          <w:p w14:paraId="517D5185">
            <w:r>
              <w:rPr>
                <w:rStyle w:val="10"/>
                <w:rFonts w:hint="eastAsia"/>
              </w:rPr>
              <w:t>储存和运输方法：</w:t>
            </w:r>
            <w:r>
              <w:rPr>
                <w:rFonts w:hint="eastAsia"/>
              </w:rPr>
              <w:br w:type="textWrapping"/>
            </w:r>
            <w:r>
              <w:rPr>
                <w:rStyle w:val="11"/>
                <w:rFonts w:hint="eastAsia"/>
              </w:rPr>
              <w:t>本品应储存在干燥、阴凉、通风、防雨处，远离火源或热源，置于儿童、无关人员触及不到的地方，并加锁。装卸、运输过程中，需专门车辆运输，轻拿轻放，确保包装不泄露、不损坏。不能与食品、饮料、粮食、饲料等混合储存。</w:t>
            </w:r>
          </w:p>
        </w:tc>
      </w:tr>
      <w:tr w14:paraId="23E1011F">
        <w:tblPrEx>
          <w:tblCellMar>
            <w:top w:w="0" w:type="dxa"/>
            <w:left w:w="0" w:type="dxa"/>
            <w:bottom w:w="0" w:type="dxa"/>
            <w:right w:w="0" w:type="dxa"/>
          </w:tblCellMar>
        </w:tblPrEx>
        <w:trPr>
          <w:wBefore w:w="0" w:type="auto"/>
          <w:tblCellSpacing w:w="0" w:type="dxa"/>
        </w:trPr>
        <w:tc>
          <w:tcPr>
            <w:tcW w:w="0" w:type="auto"/>
            <w:noWrap w:val="0"/>
            <w:vAlign w:val="center"/>
          </w:tcPr>
          <w:p w14:paraId="11E18ECC">
            <w:r>
              <w:rPr>
                <w:rStyle w:val="10"/>
                <w:rFonts w:hint="eastAsia"/>
              </w:rPr>
              <w:t>质量保证期：</w:t>
            </w:r>
            <w:r>
              <w:rPr>
                <w:rStyle w:val="11"/>
                <w:rFonts w:hint="eastAsia"/>
              </w:rPr>
              <w:t>2年</w:t>
            </w:r>
          </w:p>
        </w:tc>
      </w:tr>
      <w:tr w14:paraId="04B28463">
        <w:tblPrEx>
          <w:tblCellMar>
            <w:top w:w="0" w:type="dxa"/>
            <w:left w:w="0" w:type="dxa"/>
            <w:bottom w:w="0" w:type="dxa"/>
            <w:right w:w="0" w:type="dxa"/>
          </w:tblCellMar>
        </w:tblPrEx>
        <w:trPr>
          <w:wBefore w:w="0" w:type="auto"/>
          <w:tblCellSpacing w:w="0" w:type="dxa"/>
        </w:trPr>
        <w:tc>
          <w:tcPr>
            <w:tcW w:w="0" w:type="auto"/>
            <w:noWrap w:val="0"/>
            <w:vAlign w:val="center"/>
          </w:tcPr>
          <w:p w14:paraId="27BC47A0">
            <w:r>
              <w:rPr>
                <w:rStyle w:val="10"/>
                <w:rFonts w:hint="eastAsia"/>
              </w:rPr>
              <w:t>备注：</w:t>
            </w:r>
          </w:p>
        </w:tc>
      </w:tr>
    </w:tbl>
    <w:p w14:paraId="56AA5B6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B1F68FD">
        <w:tblPrEx>
          <w:tblCellMar>
            <w:top w:w="0" w:type="dxa"/>
            <w:left w:w="0" w:type="dxa"/>
            <w:bottom w:w="0" w:type="dxa"/>
            <w:right w:w="0" w:type="dxa"/>
          </w:tblCellMar>
        </w:tblPrEx>
        <w:trPr>
          <w:wBefore w:w="0" w:type="auto"/>
          <w:tblCellSpacing w:w="0" w:type="dxa"/>
        </w:trPr>
        <w:tc>
          <w:tcPr>
            <w:tcW w:w="0" w:type="auto"/>
            <w:noWrap w:val="0"/>
            <w:vAlign w:val="center"/>
          </w:tcPr>
          <w:p w14:paraId="60999254">
            <w:r>
              <w:rPr>
                <w:rStyle w:val="10"/>
                <w:rFonts w:hint="eastAsia"/>
              </w:rPr>
              <w:t>登记证号：</w:t>
            </w:r>
            <w:r>
              <w:rPr>
                <w:rFonts w:hint="eastAsia"/>
              </w:rPr>
              <w:t>WP20210223</w:t>
            </w:r>
          </w:p>
        </w:tc>
      </w:tr>
      <w:tr w14:paraId="6B51390A">
        <w:tblPrEx>
          <w:tblCellMar>
            <w:top w:w="0" w:type="dxa"/>
            <w:left w:w="0" w:type="dxa"/>
            <w:bottom w:w="0" w:type="dxa"/>
            <w:right w:w="0" w:type="dxa"/>
          </w:tblCellMar>
        </w:tblPrEx>
        <w:trPr>
          <w:wBefore w:w="0" w:type="auto"/>
          <w:tblCellSpacing w:w="0" w:type="dxa"/>
        </w:trPr>
        <w:tc>
          <w:tcPr>
            <w:tcW w:w="0" w:type="auto"/>
            <w:noWrap w:val="0"/>
            <w:vAlign w:val="center"/>
          </w:tcPr>
          <w:p w14:paraId="105D232A">
            <w:r>
              <w:rPr>
                <w:rStyle w:val="10"/>
                <w:rFonts w:hint="eastAsia"/>
              </w:rPr>
              <w:t>登记证持有人：</w:t>
            </w:r>
            <w:r>
              <w:rPr>
                <w:rFonts w:hint="eastAsia"/>
              </w:rPr>
              <w:t>义乌市豪威生物科技有限公司</w:t>
            </w:r>
          </w:p>
        </w:tc>
      </w:tr>
      <w:tr w14:paraId="193787BF">
        <w:tblPrEx>
          <w:tblCellMar>
            <w:top w:w="0" w:type="dxa"/>
            <w:left w:w="0" w:type="dxa"/>
            <w:bottom w:w="0" w:type="dxa"/>
            <w:right w:w="0" w:type="dxa"/>
          </w:tblCellMar>
        </w:tblPrEx>
        <w:trPr>
          <w:wBefore w:w="0" w:type="auto"/>
          <w:tblCellSpacing w:w="0" w:type="dxa"/>
        </w:trPr>
        <w:tc>
          <w:tcPr>
            <w:tcW w:w="0" w:type="auto"/>
            <w:noWrap w:val="0"/>
            <w:vAlign w:val="center"/>
          </w:tcPr>
          <w:p w14:paraId="396BDEAC">
            <w:r>
              <w:rPr>
                <w:rStyle w:val="10"/>
                <w:rFonts w:hint="eastAsia"/>
              </w:rPr>
              <w:t>农药名称：</w:t>
            </w:r>
            <w:r>
              <w:rPr>
                <w:rFonts w:hint="eastAsia"/>
              </w:rPr>
              <w:t>杀虫气雾剂</w:t>
            </w:r>
          </w:p>
        </w:tc>
      </w:tr>
      <w:tr w14:paraId="7FE6F37F">
        <w:tblPrEx>
          <w:tblCellMar>
            <w:top w:w="0" w:type="dxa"/>
            <w:left w:w="0" w:type="dxa"/>
            <w:bottom w:w="0" w:type="dxa"/>
            <w:right w:w="0" w:type="dxa"/>
          </w:tblCellMar>
        </w:tblPrEx>
        <w:trPr>
          <w:wBefore w:w="0" w:type="auto"/>
          <w:tblCellSpacing w:w="0" w:type="dxa"/>
        </w:trPr>
        <w:tc>
          <w:tcPr>
            <w:tcW w:w="0" w:type="auto"/>
            <w:noWrap w:val="0"/>
            <w:vAlign w:val="center"/>
          </w:tcPr>
          <w:p w14:paraId="1225C898">
            <w:r>
              <w:rPr>
                <w:rStyle w:val="10"/>
                <w:rFonts w:hint="eastAsia"/>
              </w:rPr>
              <w:t>剂型：</w:t>
            </w:r>
            <w:r>
              <w:rPr>
                <w:rFonts w:hint="eastAsia"/>
              </w:rPr>
              <w:t>气雾剂</w:t>
            </w:r>
          </w:p>
        </w:tc>
      </w:tr>
      <w:tr w14:paraId="7B5EA9F9">
        <w:tblPrEx>
          <w:tblCellMar>
            <w:top w:w="0" w:type="dxa"/>
            <w:left w:w="0" w:type="dxa"/>
            <w:bottom w:w="0" w:type="dxa"/>
            <w:right w:w="0" w:type="dxa"/>
          </w:tblCellMar>
        </w:tblPrEx>
        <w:trPr>
          <w:wBefore w:w="0" w:type="auto"/>
          <w:tblCellSpacing w:w="0" w:type="dxa"/>
        </w:trPr>
        <w:tc>
          <w:tcPr>
            <w:tcW w:w="0" w:type="auto"/>
            <w:noWrap w:val="0"/>
            <w:vAlign w:val="center"/>
          </w:tcPr>
          <w:p w14:paraId="7D168581">
            <w:r>
              <w:rPr>
                <w:rStyle w:val="10"/>
                <w:rFonts w:hint="eastAsia"/>
              </w:rPr>
              <w:t>毒性及其标识：</w:t>
            </w:r>
            <w:r>
              <w:rPr>
                <w:rFonts w:hint="eastAsia"/>
              </w:rPr>
              <w:t xml:space="preserve"> 微毒 </w:t>
            </w:r>
          </w:p>
        </w:tc>
      </w:tr>
      <w:tr w14:paraId="2CF2A34F">
        <w:tblPrEx>
          <w:tblCellMar>
            <w:top w:w="0" w:type="dxa"/>
            <w:left w:w="0" w:type="dxa"/>
            <w:bottom w:w="0" w:type="dxa"/>
            <w:right w:w="0" w:type="dxa"/>
          </w:tblCellMar>
        </w:tblPrEx>
        <w:trPr>
          <w:wBefore w:w="0" w:type="auto"/>
          <w:tblCellSpacing w:w="0" w:type="dxa"/>
        </w:trPr>
        <w:tc>
          <w:tcPr>
            <w:tcW w:w="0" w:type="auto"/>
            <w:noWrap w:val="0"/>
            <w:vAlign w:val="center"/>
          </w:tcPr>
          <w:p w14:paraId="4367FE01">
            <w:r>
              <w:rPr>
                <w:rStyle w:val="10"/>
                <w:rFonts w:hint="eastAsia"/>
              </w:rPr>
              <w:t>总有效成分含量：</w:t>
            </w:r>
            <w:r>
              <w:rPr>
                <w:rFonts w:hint="eastAsia"/>
              </w:rPr>
              <w:t>1.7%</w:t>
            </w:r>
          </w:p>
        </w:tc>
      </w:tr>
      <w:tr w14:paraId="2D4ED390">
        <w:tblPrEx>
          <w:tblCellMar>
            <w:top w:w="0" w:type="dxa"/>
            <w:left w:w="0" w:type="dxa"/>
            <w:bottom w:w="0" w:type="dxa"/>
            <w:right w:w="0" w:type="dxa"/>
          </w:tblCellMar>
        </w:tblPrEx>
        <w:trPr>
          <w:wBefore w:w="0" w:type="auto"/>
          <w:tblCellSpacing w:w="0" w:type="dxa"/>
        </w:trPr>
        <w:tc>
          <w:tcPr>
            <w:tcW w:w="0" w:type="auto"/>
            <w:noWrap w:val="0"/>
            <w:vAlign w:val="center"/>
          </w:tcPr>
          <w:p w14:paraId="2DDDFB9B">
            <w:r>
              <w:rPr>
                <w:rFonts w:hint="eastAsia"/>
              </w:rPr>
              <w:t xml:space="preserve">有效成分及其含量： </w:t>
            </w:r>
          </w:p>
          <w:p w14:paraId="15714F5F">
            <w:r>
              <w:rPr>
                <w:rFonts w:hint="eastAsia"/>
              </w:rPr>
              <w:t xml:space="preserve">    四氟苯菊酯1.7%    </w:t>
            </w:r>
          </w:p>
        </w:tc>
      </w:tr>
      <w:tr w14:paraId="11488AC4">
        <w:tblPrEx>
          <w:tblCellMar>
            <w:top w:w="0" w:type="dxa"/>
            <w:left w:w="0" w:type="dxa"/>
            <w:bottom w:w="0" w:type="dxa"/>
            <w:right w:w="0" w:type="dxa"/>
          </w:tblCellMar>
        </w:tblPrEx>
        <w:trPr>
          <w:wBefore w:w="0" w:type="auto"/>
          <w:tblCellSpacing w:w="0" w:type="dxa"/>
        </w:trPr>
        <w:tc>
          <w:tcPr>
            <w:tcW w:w="0" w:type="auto"/>
            <w:noWrap w:val="0"/>
            <w:vAlign w:val="center"/>
          </w:tcPr>
          <w:p w14:paraId="1FD3D10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6A0B7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89473A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4336EB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8B2AA1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83F68AB">
                  <w:r>
                    <w:rPr>
                      <w:rStyle w:val="11"/>
                      <w:rFonts w:hint="eastAsia"/>
                    </w:rPr>
                    <w:t>施用方式</w:t>
                  </w:r>
                </w:p>
              </w:tc>
            </w:tr>
            <w:tr w14:paraId="18B36A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DC2C0CE">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8D0C65">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5B066F">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2EF3D9">
                  <w:r>
                    <w:rPr>
                      <w:rStyle w:val="11"/>
                      <w:rFonts w:hint="eastAsia"/>
                    </w:rPr>
                    <w:t>喷雾</w:t>
                  </w:r>
                </w:p>
              </w:tc>
            </w:tr>
          </w:tbl>
          <w:p w14:paraId="017209FC">
            <w:pPr>
              <w:rPr>
                <w:rFonts w:ascii="Times New Roman" w:hAnsi="Times New Roman" w:cs="Times New Roman"/>
                <w:sz w:val="20"/>
                <w:szCs w:val="20"/>
              </w:rPr>
            </w:pPr>
          </w:p>
        </w:tc>
      </w:tr>
      <w:tr w14:paraId="17DAED71">
        <w:tblPrEx>
          <w:tblCellMar>
            <w:top w:w="0" w:type="dxa"/>
            <w:left w:w="0" w:type="dxa"/>
            <w:bottom w:w="0" w:type="dxa"/>
            <w:right w:w="0" w:type="dxa"/>
          </w:tblCellMar>
        </w:tblPrEx>
        <w:trPr>
          <w:wBefore w:w="0" w:type="auto"/>
          <w:tblCellSpacing w:w="0" w:type="dxa"/>
        </w:trPr>
        <w:tc>
          <w:tcPr>
            <w:tcW w:w="0" w:type="auto"/>
            <w:noWrap w:val="0"/>
            <w:vAlign w:val="center"/>
          </w:tcPr>
          <w:p w14:paraId="49FFA7D2">
            <w:r>
              <w:rPr>
                <w:rStyle w:val="10"/>
                <w:rFonts w:hint="eastAsia"/>
              </w:rPr>
              <w:t>使用技术要求:</w:t>
            </w:r>
            <w:r>
              <w:rPr>
                <w:rFonts w:hint="eastAsia"/>
              </w:rPr>
              <w:br w:type="textWrapping"/>
            </w:r>
            <w:r>
              <w:rPr>
                <w:rStyle w:val="11"/>
                <w:rFonts w:hint="eastAsia"/>
              </w:rPr>
              <w:t>1.本品为定量喷雾，有效避免过量施药。2.使用方法为（1）在一个约10平米的房间对角喷雾，喷雾时向高处连续按压两次阀门（须间隔3秒喷雾），无需直接将药液喷雾于虫体；（2）直接以本品对准蚊喷雾，也可驱杀蚊。3.用药后人员立即离开房间，密闭门窗15-20分钟后打开通风，充分通风后方可进入房间。4.本品药效可以持续12小时，同一房间内每日使用不应超过2次。</w:t>
            </w:r>
          </w:p>
        </w:tc>
      </w:tr>
      <w:tr w14:paraId="038B0621">
        <w:tblPrEx>
          <w:tblCellMar>
            <w:top w:w="0" w:type="dxa"/>
            <w:left w:w="0" w:type="dxa"/>
            <w:bottom w:w="0" w:type="dxa"/>
            <w:right w:w="0" w:type="dxa"/>
          </w:tblCellMar>
        </w:tblPrEx>
        <w:trPr>
          <w:wBefore w:w="0" w:type="auto"/>
          <w:tblCellSpacing w:w="0" w:type="dxa"/>
        </w:trPr>
        <w:tc>
          <w:tcPr>
            <w:tcW w:w="0" w:type="auto"/>
            <w:noWrap w:val="0"/>
            <w:vAlign w:val="center"/>
          </w:tcPr>
          <w:p w14:paraId="21716BF7">
            <w:r>
              <w:rPr>
                <w:rStyle w:val="10"/>
                <w:rFonts w:hint="eastAsia"/>
              </w:rPr>
              <w:t>产品性能:</w:t>
            </w:r>
            <w:r>
              <w:rPr>
                <w:rFonts w:hint="eastAsia"/>
              </w:rPr>
              <w:br w:type="textWrapping"/>
            </w:r>
            <w:r>
              <w:rPr>
                <w:rStyle w:val="11"/>
                <w:rFonts w:hint="eastAsia"/>
              </w:rPr>
              <w:t>本品采用定量喷射阀门，可有效驱杀房间里的蚊。适用于卧室、客厅、酒店、办公室、卫生间、浴室等场所。</w:t>
            </w:r>
          </w:p>
        </w:tc>
      </w:tr>
      <w:tr w14:paraId="6AA4A62E">
        <w:tblPrEx>
          <w:tblCellMar>
            <w:top w:w="0" w:type="dxa"/>
            <w:left w:w="0" w:type="dxa"/>
            <w:bottom w:w="0" w:type="dxa"/>
            <w:right w:w="0" w:type="dxa"/>
          </w:tblCellMar>
        </w:tblPrEx>
        <w:trPr>
          <w:wBefore w:w="0" w:type="auto"/>
          <w:tblCellSpacing w:w="0" w:type="dxa"/>
        </w:trPr>
        <w:tc>
          <w:tcPr>
            <w:tcW w:w="0" w:type="auto"/>
            <w:noWrap w:val="0"/>
            <w:vAlign w:val="center"/>
          </w:tcPr>
          <w:p w14:paraId="169C21EE">
            <w:r>
              <w:rPr>
                <w:rStyle w:val="10"/>
                <w:rFonts w:hint="eastAsia"/>
              </w:rPr>
              <w:t>注意事项：</w:t>
            </w:r>
            <w:r>
              <w:rPr>
                <w:rFonts w:hint="eastAsia"/>
              </w:rPr>
              <w:br w:type="textWrapping"/>
            </w:r>
            <w:r>
              <w:rPr>
                <w:rStyle w:val="11"/>
                <w:rFonts w:hint="eastAsia"/>
              </w:rPr>
              <w:t>1.本品仅限室内使用。请勿连续喷雾，喷雾间隔请保持3秒以上。2.勿向人体或食物喷雾。3.切勿对眼睛或植物喷雾；使用后应立即用肥皂清洗手。4.本品属于菊酯类杀虫剂，对鱼、蚕高毒，鱼缸附近禁用，蚕室内及其附近场所禁用。5.过敏者禁用，使用中有任何不良反应请及时就医。6.禁止孕妇、婴儿及哺乳期妇女接触。7.本品属压力包装，切勿毁坏及焚烧。禁止近火喷雾，切勿倒置使用，空罐勿投入火中。8.用过的容器应妥善处理，不可做他用，也不可随意丢弃。</w:t>
            </w:r>
          </w:p>
        </w:tc>
      </w:tr>
      <w:tr w14:paraId="677EFE3F">
        <w:tblPrEx>
          <w:tblCellMar>
            <w:top w:w="0" w:type="dxa"/>
            <w:left w:w="0" w:type="dxa"/>
            <w:bottom w:w="0" w:type="dxa"/>
            <w:right w:w="0" w:type="dxa"/>
          </w:tblCellMar>
        </w:tblPrEx>
        <w:trPr>
          <w:wBefore w:w="0" w:type="auto"/>
          <w:tblCellSpacing w:w="0" w:type="dxa"/>
        </w:trPr>
        <w:tc>
          <w:tcPr>
            <w:tcW w:w="0" w:type="auto"/>
            <w:noWrap w:val="0"/>
            <w:vAlign w:val="center"/>
          </w:tcPr>
          <w:p w14:paraId="1483DD8E">
            <w:r>
              <w:rPr>
                <w:rStyle w:val="10"/>
                <w:rFonts w:hint="eastAsia"/>
              </w:rPr>
              <w:t>中毒急救措施：</w:t>
            </w:r>
            <w:r>
              <w:rPr>
                <w:rFonts w:hint="eastAsia"/>
              </w:rPr>
              <w:br w:type="textWrapping"/>
            </w:r>
            <w:r>
              <w:rPr>
                <w:rStyle w:val="11"/>
                <w:rFonts w:hint="eastAsia"/>
              </w:rPr>
              <w:t>中毒症状表现为头痛、头昏、恶心、呕吐。 急救措施：使用中或使用后如果感觉不适，应立即停止工作，采取急救措施，并携带标签送医院就诊。皮肤接触：请用肥皂和大量水冲洗洗净。眼睛溅入：立即用流动清水冲洗至少15分钟。吸入：如感到头晕或呼吸不适，立即离开至空气新鲜处。无特效解毒剂，对症治疗。</w:t>
            </w:r>
          </w:p>
        </w:tc>
      </w:tr>
      <w:tr w14:paraId="63397247">
        <w:tblPrEx>
          <w:tblCellMar>
            <w:top w:w="0" w:type="dxa"/>
            <w:left w:w="0" w:type="dxa"/>
            <w:bottom w:w="0" w:type="dxa"/>
            <w:right w:w="0" w:type="dxa"/>
          </w:tblCellMar>
        </w:tblPrEx>
        <w:trPr>
          <w:wBefore w:w="0" w:type="auto"/>
          <w:tblCellSpacing w:w="0" w:type="dxa"/>
        </w:trPr>
        <w:tc>
          <w:tcPr>
            <w:tcW w:w="0" w:type="auto"/>
            <w:noWrap w:val="0"/>
            <w:vAlign w:val="center"/>
          </w:tcPr>
          <w:p w14:paraId="5C0E4EC9">
            <w:r>
              <w:rPr>
                <w:rStyle w:val="10"/>
                <w:rFonts w:hint="eastAsia"/>
              </w:rPr>
              <w:t>储存和运输方法：</w:t>
            </w:r>
            <w:r>
              <w:rPr>
                <w:rFonts w:hint="eastAsia"/>
              </w:rPr>
              <w:br w:type="textWrapping"/>
            </w:r>
            <w:r>
              <w:rPr>
                <w:rStyle w:val="11"/>
                <w:rFonts w:hint="eastAsia"/>
              </w:rPr>
              <w:t>1.本品属易燃物，存放于50℃以下通风、阴凉、干燥处，远离火源和热源。不得贮存在潮湿、高温或靠近火源的地方，以免发生爆炸。2.不能与食品、饮料、种子、粮食、饲料或易燃易爆品等混合储运。不得倒置储运。3.置于儿童、无关人员及动物触及不到的地方并加锁。4.搬运时轻拿轻放，防止剧烈震动和重压。</w:t>
            </w:r>
          </w:p>
        </w:tc>
      </w:tr>
      <w:tr w14:paraId="5C3684CA">
        <w:tblPrEx>
          <w:tblCellMar>
            <w:top w:w="0" w:type="dxa"/>
            <w:left w:w="0" w:type="dxa"/>
            <w:bottom w:w="0" w:type="dxa"/>
            <w:right w:w="0" w:type="dxa"/>
          </w:tblCellMar>
        </w:tblPrEx>
        <w:trPr>
          <w:wBefore w:w="0" w:type="auto"/>
          <w:tblCellSpacing w:w="0" w:type="dxa"/>
        </w:trPr>
        <w:tc>
          <w:tcPr>
            <w:tcW w:w="0" w:type="auto"/>
            <w:noWrap w:val="0"/>
            <w:vAlign w:val="center"/>
          </w:tcPr>
          <w:p w14:paraId="4CF83957">
            <w:r>
              <w:rPr>
                <w:rStyle w:val="10"/>
                <w:rFonts w:hint="eastAsia"/>
              </w:rPr>
              <w:t>质量保证期：</w:t>
            </w:r>
            <w:r>
              <w:rPr>
                <w:rStyle w:val="11"/>
                <w:rFonts w:hint="eastAsia"/>
              </w:rPr>
              <w:t>2年</w:t>
            </w:r>
          </w:p>
        </w:tc>
      </w:tr>
      <w:tr w14:paraId="7D6896FE">
        <w:tblPrEx>
          <w:tblCellMar>
            <w:top w:w="0" w:type="dxa"/>
            <w:left w:w="0" w:type="dxa"/>
            <w:bottom w:w="0" w:type="dxa"/>
            <w:right w:w="0" w:type="dxa"/>
          </w:tblCellMar>
        </w:tblPrEx>
        <w:trPr>
          <w:wBefore w:w="0" w:type="auto"/>
          <w:tblCellSpacing w:w="0" w:type="dxa"/>
        </w:trPr>
        <w:tc>
          <w:tcPr>
            <w:tcW w:w="0" w:type="auto"/>
            <w:noWrap w:val="0"/>
            <w:vAlign w:val="center"/>
          </w:tcPr>
          <w:p w14:paraId="3EF07B53">
            <w:r>
              <w:rPr>
                <w:rStyle w:val="10"/>
                <w:rFonts w:hint="eastAsia"/>
              </w:rPr>
              <w:t>备注：</w:t>
            </w:r>
          </w:p>
        </w:tc>
      </w:tr>
    </w:tbl>
    <w:p w14:paraId="10A385E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824DF81">
        <w:tblPrEx>
          <w:tblCellMar>
            <w:top w:w="0" w:type="dxa"/>
            <w:left w:w="0" w:type="dxa"/>
            <w:bottom w:w="0" w:type="dxa"/>
            <w:right w:w="0" w:type="dxa"/>
          </w:tblCellMar>
        </w:tblPrEx>
        <w:trPr>
          <w:wBefore w:w="0" w:type="auto"/>
          <w:tblCellSpacing w:w="0" w:type="dxa"/>
        </w:trPr>
        <w:tc>
          <w:tcPr>
            <w:tcW w:w="0" w:type="auto"/>
            <w:noWrap w:val="0"/>
            <w:vAlign w:val="center"/>
          </w:tcPr>
          <w:p w14:paraId="6F5C5170">
            <w:r>
              <w:rPr>
                <w:rStyle w:val="10"/>
                <w:rFonts w:hint="eastAsia"/>
              </w:rPr>
              <w:t>登记证号：</w:t>
            </w:r>
            <w:r>
              <w:rPr>
                <w:rFonts w:hint="eastAsia"/>
              </w:rPr>
              <w:t>PD20211908</w:t>
            </w:r>
          </w:p>
        </w:tc>
      </w:tr>
      <w:tr w14:paraId="329E917D">
        <w:tblPrEx>
          <w:tblCellMar>
            <w:top w:w="0" w:type="dxa"/>
            <w:left w:w="0" w:type="dxa"/>
            <w:bottom w:w="0" w:type="dxa"/>
            <w:right w:w="0" w:type="dxa"/>
          </w:tblCellMar>
        </w:tblPrEx>
        <w:trPr>
          <w:wBefore w:w="0" w:type="auto"/>
          <w:tblCellSpacing w:w="0" w:type="dxa"/>
        </w:trPr>
        <w:tc>
          <w:tcPr>
            <w:tcW w:w="0" w:type="auto"/>
            <w:noWrap w:val="0"/>
            <w:vAlign w:val="center"/>
          </w:tcPr>
          <w:p w14:paraId="5BFB86F6">
            <w:r>
              <w:rPr>
                <w:rStyle w:val="10"/>
                <w:rFonts w:hint="eastAsia"/>
              </w:rPr>
              <w:t>登记证持有人：</w:t>
            </w:r>
            <w:r>
              <w:rPr>
                <w:rFonts w:hint="eastAsia"/>
              </w:rPr>
              <w:t>延边绿洲化工有限公司</w:t>
            </w:r>
          </w:p>
        </w:tc>
      </w:tr>
      <w:tr w14:paraId="42717E63">
        <w:tblPrEx>
          <w:tblCellMar>
            <w:top w:w="0" w:type="dxa"/>
            <w:left w:w="0" w:type="dxa"/>
            <w:bottom w:w="0" w:type="dxa"/>
            <w:right w:w="0" w:type="dxa"/>
          </w:tblCellMar>
        </w:tblPrEx>
        <w:trPr>
          <w:wBefore w:w="0" w:type="auto"/>
          <w:tblCellSpacing w:w="0" w:type="dxa"/>
        </w:trPr>
        <w:tc>
          <w:tcPr>
            <w:tcW w:w="0" w:type="auto"/>
            <w:noWrap w:val="0"/>
            <w:vAlign w:val="center"/>
          </w:tcPr>
          <w:p w14:paraId="225814A8">
            <w:r>
              <w:rPr>
                <w:rStyle w:val="10"/>
                <w:rFonts w:hint="eastAsia"/>
              </w:rPr>
              <w:t>农药名称：</w:t>
            </w:r>
            <w:r>
              <w:rPr>
                <w:rFonts w:hint="eastAsia"/>
              </w:rPr>
              <w:t>噁霉灵</w:t>
            </w:r>
          </w:p>
        </w:tc>
      </w:tr>
      <w:tr w14:paraId="4DE8A5D4">
        <w:tblPrEx>
          <w:tblCellMar>
            <w:top w:w="0" w:type="dxa"/>
            <w:left w:w="0" w:type="dxa"/>
            <w:bottom w:w="0" w:type="dxa"/>
            <w:right w:w="0" w:type="dxa"/>
          </w:tblCellMar>
        </w:tblPrEx>
        <w:trPr>
          <w:wBefore w:w="0" w:type="auto"/>
          <w:tblCellSpacing w:w="0" w:type="dxa"/>
        </w:trPr>
        <w:tc>
          <w:tcPr>
            <w:tcW w:w="0" w:type="auto"/>
            <w:noWrap w:val="0"/>
            <w:vAlign w:val="center"/>
          </w:tcPr>
          <w:p w14:paraId="2370CFBD">
            <w:r>
              <w:rPr>
                <w:rStyle w:val="10"/>
                <w:rFonts w:hint="eastAsia"/>
              </w:rPr>
              <w:t>剂型：</w:t>
            </w:r>
            <w:r>
              <w:rPr>
                <w:rFonts w:hint="eastAsia"/>
              </w:rPr>
              <w:t>可溶粉剂</w:t>
            </w:r>
          </w:p>
        </w:tc>
      </w:tr>
      <w:tr w14:paraId="2D28E8B2">
        <w:tblPrEx>
          <w:tblCellMar>
            <w:top w:w="0" w:type="dxa"/>
            <w:left w:w="0" w:type="dxa"/>
            <w:bottom w:w="0" w:type="dxa"/>
            <w:right w:w="0" w:type="dxa"/>
          </w:tblCellMar>
        </w:tblPrEx>
        <w:trPr>
          <w:wBefore w:w="0" w:type="auto"/>
          <w:tblCellSpacing w:w="0" w:type="dxa"/>
        </w:trPr>
        <w:tc>
          <w:tcPr>
            <w:tcW w:w="0" w:type="auto"/>
            <w:noWrap w:val="0"/>
            <w:vAlign w:val="center"/>
          </w:tcPr>
          <w:p w14:paraId="55F7C339">
            <w:r>
              <w:rPr>
                <w:rStyle w:val="10"/>
                <w:rFonts w:hint="eastAsia"/>
              </w:rPr>
              <w:t>毒性及其标识：</w:t>
            </w:r>
            <w:r>
              <w:rPr>
                <w:rFonts w:hint="eastAsia"/>
              </w:rPr>
              <w:t xml:space="preserve"> </w:t>
            </w:r>
            <w:r>
              <w:rPr>
                <w:lang/>
              </w:rPr>
              <w:drawing>
                <wp:inline distT="0" distB="0" distL="114300" distR="114300">
                  <wp:extent cx="476250" cy="323850"/>
                  <wp:effectExtent l="0" t="0" r="0" b="0"/>
                  <wp:docPr id="162" name="图片 16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DF367D3">
        <w:tblPrEx>
          <w:tblCellMar>
            <w:top w:w="0" w:type="dxa"/>
            <w:left w:w="0" w:type="dxa"/>
            <w:bottom w:w="0" w:type="dxa"/>
            <w:right w:w="0" w:type="dxa"/>
          </w:tblCellMar>
        </w:tblPrEx>
        <w:trPr>
          <w:wBefore w:w="0" w:type="auto"/>
          <w:tblCellSpacing w:w="0" w:type="dxa"/>
        </w:trPr>
        <w:tc>
          <w:tcPr>
            <w:tcW w:w="0" w:type="auto"/>
            <w:noWrap w:val="0"/>
            <w:vAlign w:val="center"/>
          </w:tcPr>
          <w:p w14:paraId="6DAD3DAA">
            <w:r>
              <w:rPr>
                <w:rStyle w:val="10"/>
                <w:rFonts w:hint="eastAsia"/>
              </w:rPr>
              <w:t>总有效成分含量：</w:t>
            </w:r>
            <w:r>
              <w:rPr>
                <w:rFonts w:hint="eastAsia"/>
              </w:rPr>
              <w:t>98%</w:t>
            </w:r>
          </w:p>
        </w:tc>
      </w:tr>
      <w:tr w14:paraId="3ED6B6A6">
        <w:tblPrEx>
          <w:tblCellMar>
            <w:top w:w="0" w:type="dxa"/>
            <w:left w:w="0" w:type="dxa"/>
            <w:bottom w:w="0" w:type="dxa"/>
            <w:right w:w="0" w:type="dxa"/>
          </w:tblCellMar>
        </w:tblPrEx>
        <w:trPr>
          <w:wBefore w:w="0" w:type="auto"/>
          <w:tblCellSpacing w:w="0" w:type="dxa"/>
        </w:trPr>
        <w:tc>
          <w:tcPr>
            <w:tcW w:w="0" w:type="auto"/>
            <w:noWrap w:val="0"/>
            <w:vAlign w:val="center"/>
          </w:tcPr>
          <w:p w14:paraId="4D385DA3">
            <w:r>
              <w:rPr>
                <w:rFonts w:hint="eastAsia"/>
              </w:rPr>
              <w:t xml:space="preserve">有效成分及其含量： </w:t>
            </w:r>
          </w:p>
          <w:p w14:paraId="63AAEC69">
            <w:r>
              <w:rPr>
                <w:rFonts w:hint="eastAsia"/>
              </w:rPr>
              <w:t xml:space="preserve">    噁霉灵98%    </w:t>
            </w:r>
          </w:p>
        </w:tc>
      </w:tr>
      <w:tr w14:paraId="1B501F38">
        <w:tblPrEx>
          <w:tblCellMar>
            <w:top w:w="0" w:type="dxa"/>
            <w:left w:w="0" w:type="dxa"/>
            <w:bottom w:w="0" w:type="dxa"/>
            <w:right w:w="0" w:type="dxa"/>
          </w:tblCellMar>
        </w:tblPrEx>
        <w:trPr>
          <w:wBefore w:w="0" w:type="auto"/>
          <w:tblCellSpacing w:w="0" w:type="dxa"/>
        </w:trPr>
        <w:tc>
          <w:tcPr>
            <w:tcW w:w="0" w:type="auto"/>
            <w:noWrap w:val="0"/>
            <w:vAlign w:val="center"/>
          </w:tcPr>
          <w:p w14:paraId="22BBD9B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B0DC7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37638E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3BE8B5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A6B02B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E0A700F">
                  <w:r>
                    <w:rPr>
                      <w:rStyle w:val="11"/>
                      <w:rFonts w:hint="eastAsia"/>
                    </w:rPr>
                    <w:t>施用方式</w:t>
                  </w:r>
                </w:p>
              </w:tc>
            </w:tr>
            <w:tr w14:paraId="193D29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921DBE">
                  <w:r>
                    <w:rPr>
                      <w:rStyle w:val="11"/>
                      <w:rFonts w:hint="eastAsia"/>
                    </w:rPr>
                    <w:t>西瓜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713546">
                  <w:r>
                    <w:rPr>
                      <w:rStyle w:val="11"/>
                      <w:rFonts w:hint="eastAsia"/>
                    </w:rPr>
                    <w:t>枯萎病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918290">
                  <w:r>
                    <w:rPr>
                      <w:rStyle w:val="11"/>
                      <w:rFonts w:hint="eastAsia"/>
                    </w:rPr>
                    <w:t>2000-2800倍液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6B08A2">
                  <w:r>
                    <w:rPr>
                      <w:rStyle w:val="11"/>
                      <w:rFonts w:hint="eastAsia"/>
                    </w:rPr>
                    <w:t>灌根</w:t>
                  </w:r>
                </w:p>
              </w:tc>
            </w:tr>
          </w:tbl>
          <w:p w14:paraId="4CBEBCFD">
            <w:pPr>
              <w:rPr>
                <w:rFonts w:ascii="Times New Roman" w:hAnsi="Times New Roman" w:cs="Times New Roman"/>
                <w:sz w:val="20"/>
                <w:szCs w:val="20"/>
              </w:rPr>
            </w:pPr>
          </w:p>
        </w:tc>
      </w:tr>
      <w:tr w14:paraId="6EFD2DC7">
        <w:tblPrEx>
          <w:tblCellMar>
            <w:top w:w="0" w:type="dxa"/>
            <w:left w:w="0" w:type="dxa"/>
            <w:bottom w:w="0" w:type="dxa"/>
            <w:right w:w="0" w:type="dxa"/>
          </w:tblCellMar>
        </w:tblPrEx>
        <w:trPr>
          <w:wBefore w:w="0" w:type="auto"/>
          <w:tblCellSpacing w:w="0" w:type="dxa"/>
        </w:trPr>
        <w:tc>
          <w:tcPr>
            <w:tcW w:w="0" w:type="auto"/>
            <w:noWrap w:val="0"/>
            <w:vAlign w:val="center"/>
          </w:tcPr>
          <w:p w14:paraId="1823F087">
            <w:r>
              <w:rPr>
                <w:rStyle w:val="10"/>
                <w:rFonts w:hint="eastAsia"/>
              </w:rPr>
              <w:t>使用技术要求:</w:t>
            </w:r>
            <w:r>
              <w:rPr>
                <w:rFonts w:hint="eastAsia"/>
              </w:rPr>
              <w:br w:type="textWrapping"/>
            </w:r>
            <w:r>
              <w:rPr>
                <w:rStyle w:val="11"/>
                <w:rFonts w:hint="eastAsia"/>
              </w:rPr>
              <w:t>1. 本品应于西瓜枯萎病发病前（西瓜移栽或定植后）或发病初期开始用药，兑水进行灌根，每株灌150毫升左右。使用本品后的西瓜至少应间隔7天才能收获，每季最多使用1次。</w:t>
            </w:r>
          </w:p>
        </w:tc>
      </w:tr>
      <w:tr w14:paraId="5EBAC22D">
        <w:tblPrEx>
          <w:tblCellMar>
            <w:top w:w="0" w:type="dxa"/>
            <w:left w:w="0" w:type="dxa"/>
            <w:bottom w:w="0" w:type="dxa"/>
            <w:right w:w="0" w:type="dxa"/>
          </w:tblCellMar>
        </w:tblPrEx>
        <w:trPr>
          <w:wBefore w:w="0" w:type="auto"/>
          <w:tblCellSpacing w:w="0" w:type="dxa"/>
        </w:trPr>
        <w:tc>
          <w:tcPr>
            <w:tcW w:w="0" w:type="auto"/>
            <w:noWrap w:val="0"/>
            <w:vAlign w:val="center"/>
          </w:tcPr>
          <w:p w14:paraId="4DE0AB26">
            <w:r>
              <w:rPr>
                <w:rStyle w:val="10"/>
                <w:rFonts w:hint="eastAsia"/>
              </w:rPr>
              <w:t>产品性能:</w:t>
            </w:r>
            <w:r>
              <w:rPr>
                <w:rFonts w:hint="eastAsia"/>
              </w:rPr>
              <w:br w:type="textWrapping"/>
            </w:r>
            <w:r>
              <w:rPr>
                <w:rStyle w:val="11"/>
                <w:rFonts w:hint="eastAsia"/>
              </w:rPr>
              <w:t>噁霉灵是防治土传病害的一种传统的内吸性杀菌剂，具有预防和治疗作用，植物根部可吸收，并可在根系内传导。可能是DNA/RNA合成抑制剂，用作土壤和种子处理剂。本品与土壤中的铁、铝离子结合，抑制病原菌的孢子萌发。可用于防治西瓜枯萎病。</w:t>
            </w:r>
          </w:p>
        </w:tc>
      </w:tr>
      <w:tr w14:paraId="26A11572">
        <w:tblPrEx>
          <w:tblCellMar>
            <w:top w:w="0" w:type="dxa"/>
            <w:left w:w="0" w:type="dxa"/>
            <w:bottom w:w="0" w:type="dxa"/>
            <w:right w:w="0" w:type="dxa"/>
          </w:tblCellMar>
        </w:tblPrEx>
        <w:trPr>
          <w:wBefore w:w="0" w:type="auto"/>
          <w:tblCellSpacing w:w="0" w:type="dxa"/>
        </w:trPr>
        <w:tc>
          <w:tcPr>
            <w:tcW w:w="0" w:type="auto"/>
            <w:noWrap w:val="0"/>
            <w:vAlign w:val="center"/>
          </w:tcPr>
          <w:p w14:paraId="623698AD">
            <w:r>
              <w:rPr>
                <w:rStyle w:val="10"/>
                <w:rFonts w:hint="eastAsia"/>
              </w:rPr>
              <w:t>注意事项：</w:t>
            </w:r>
            <w:r>
              <w:rPr>
                <w:rFonts w:hint="eastAsia"/>
              </w:rPr>
              <w:br w:type="textWrapping"/>
            </w:r>
            <w:r>
              <w:rPr>
                <w:rStyle w:val="11"/>
                <w:rFonts w:hint="eastAsia"/>
              </w:rPr>
              <w:t>1. 远离水产养殖区施药，禁止在河塘等水体中清洗施药器具，清洗施药器具的水也不能排入河塘等水体。 2. 本品对眼睛有刺激性，使用时避免接触眼睛，穿戴长衣、长裤、帽子、口罩、手套等防护措施。，避免皮肤接触及口鼻吸入。使用中不可吸烟、饮水及吃东西，使用后及时清洗手、脸等暴露部位皮肤并更换衣物。 3. 用过的容器应妥善处理，不可做他用，也不可随意丢弃。 4. 建议与作用机制不同的杀菌剂轮换使用，以延缓抗性产生。 5. 禁止儿童、孕妇和哺乳期妇女接触。 6. 过敏者禁用，使用中有任何不良反应请及时就医。</w:t>
            </w:r>
          </w:p>
        </w:tc>
      </w:tr>
      <w:tr w14:paraId="45A8E3C6">
        <w:tblPrEx>
          <w:tblCellMar>
            <w:top w:w="0" w:type="dxa"/>
            <w:left w:w="0" w:type="dxa"/>
            <w:bottom w:w="0" w:type="dxa"/>
            <w:right w:w="0" w:type="dxa"/>
          </w:tblCellMar>
        </w:tblPrEx>
        <w:trPr>
          <w:wBefore w:w="0" w:type="auto"/>
          <w:tblCellSpacing w:w="0" w:type="dxa"/>
        </w:trPr>
        <w:tc>
          <w:tcPr>
            <w:tcW w:w="0" w:type="auto"/>
            <w:noWrap w:val="0"/>
            <w:vAlign w:val="center"/>
          </w:tcPr>
          <w:p w14:paraId="477AC436">
            <w:r>
              <w:rPr>
                <w:rStyle w:val="10"/>
                <w:rFonts w:hint="eastAsia"/>
              </w:rPr>
              <w:t>中毒急救措施：</w:t>
            </w:r>
            <w:r>
              <w:rPr>
                <w:rFonts w:hint="eastAsia"/>
              </w:rPr>
              <w:br w:type="textWrapping"/>
            </w:r>
            <w:r>
              <w:rPr>
                <w:rStyle w:val="11"/>
                <w:rFonts w:hint="eastAsia"/>
              </w:rPr>
              <w:t xml:space="preserve">中毒急救：使用中或使用后如果感觉不适，应立即停止工作，采取急救措施，并携带标签送医院就诊。 皮肤接触：立即脱掉被污染的衣物，用软布去除沾染农药，大量清水和肥皂冲洗。眼睛接触：立即翻开眼睑，用大量清水冲洗至少15分钟，及时就医。吸入：立即离开施药现场，转移至空气流通处。误服：立即停止服用，用清水充分漱口后，立即携带农药标签到医院就诊。大量饮水，催吐。无专用解毒剂，对症治疗。 </w:t>
            </w:r>
          </w:p>
        </w:tc>
      </w:tr>
      <w:tr w14:paraId="06E9239D">
        <w:tblPrEx>
          <w:tblCellMar>
            <w:top w:w="0" w:type="dxa"/>
            <w:left w:w="0" w:type="dxa"/>
            <w:bottom w:w="0" w:type="dxa"/>
            <w:right w:w="0" w:type="dxa"/>
          </w:tblCellMar>
        </w:tblPrEx>
        <w:trPr>
          <w:wBefore w:w="0" w:type="auto"/>
          <w:tblCellSpacing w:w="0" w:type="dxa"/>
        </w:trPr>
        <w:tc>
          <w:tcPr>
            <w:tcW w:w="0" w:type="auto"/>
            <w:noWrap w:val="0"/>
            <w:vAlign w:val="center"/>
          </w:tcPr>
          <w:p w14:paraId="7E847FDD">
            <w:r>
              <w:rPr>
                <w:rStyle w:val="10"/>
                <w:rFonts w:hint="eastAsia"/>
              </w:rPr>
              <w:t>储存和运输方法：</w:t>
            </w:r>
            <w:r>
              <w:rPr>
                <w:rFonts w:hint="eastAsia"/>
              </w:rPr>
              <w:br w:type="textWrapping"/>
            </w:r>
            <w:r>
              <w:rPr>
                <w:rStyle w:val="11"/>
                <w:rFonts w:hint="eastAsia"/>
              </w:rPr>
              <w:t>本品应贮存在通风、干燥的库房中。贮运时，严防潮湿和日晒，远离火源或热源。置于儿童、无关人员及动物接触不到的地方，并加锁保存。不能与食品、饮料、粮食、饲料等混合储存。</w:t>
            </w:r>
          </w:p>
        </w:tc>
      </w:tr>
      <w:tr w14:paraId="39BD5579">
        <w:tblPrEx>
          <w:tblCellMar>
            <w:top w:w="0" w:type="dxa"/>
            <w:left w:w="0" w:type="dxa"/>
            <w:bottom w:w="0" w:type="dxa"/>
            <w:right w:w="0" w:type="dxa"/>
          </w:tblCellMar>
        </w:tblPrEx>
        <w:trPr>
          <w:wBefore w:w="0" w:type="auto"/>
          <w:tblCellSpacing w:w="0" w:type="dxa"/>
        </w:trPr>
        <w:tc>
          <w:tcPr>
            <w:tcW w:w="0" w:type="auto"/>
            <w:noWrap w:val="0"/>
            <w:vAlign w:val="center"/>
          </w:tcPr>
          <w:p w14:paraId="41B56708">
            <w:r>
              <w:rPr>
                <w:rStyle w:val="10"/>
                <w:rFonts w:hint="eastAsia"/>
              </w:rPr>
              <w:t>质量保证期：</w:t>
            </w:r>
            <w:r>
              <w:rPr>
                <w:rStyle w:val="11"/>
                <w:rFonts w:hint="eastAsia"/>
              </w:rPr>
              <w:t>2年</w:t>
            </w:r>
          </w:p>
        </w:tc>
      </w:tr>
      <w:tr w14:paraId="6410BBE3">
        <w:tblPrEx>
          <w:tblCellMar>
            <w:top w:w="0" w:type="dxa"/>
            <w:left w:w="0" w:type="dxa"/>
            <w:bottom w:w="0" w:type="dxa"/>
            <w:right w:w="0" w:type="dxa"/>
          </w:tblCellMar>
        </w:tblPrEx>
        <w:trPr>
          <w:wBefore w:w="0" w:type="auto"/>
          <w:tblCellSpacing w:w="0" w:type="dxa"/>
        </w:trPr>
        <w:tc>
          <w:tcPr>
            <w:tcW w:w="0" w:type="auto"/>
            <w:noWrap w:val="0"/>
            <w:vAlign w:val="center"/>
          </w:tcPr>
          <w:p w14:paraId="6551DDBE">
            <w:r>
              <w:rPr>
                <w:rStyle w:val="10"/>
                <w:rFonts w:hint="eastAsia"/>
              </w:rPr>
              <w:t>备注：</w:t>
            </w:r>
          </w:p>
        </w:tc>
      </w:tr>
    </w:tbl>
    <w:p w14:paraId="390ADAB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0EE4AB2">
        <w:tblPrEx>
          <w:tblCellMar>
            <w:top w:w="0" w:type="dxa"/>
            <w:left w:w="0" w:type="dxa"/>
            <w:bottom w:w="0" w:type="dxa"/>
            <w:right w:w="0" w:type="dxa"/>
          </w:tblCellMar>
        </w:tblPrEx>
        <w:trPr>
          <w:wBefore w:w="0" w:type="auto"/>
          <w:tblCellSpacing w:w="0" w:type="dxa"/>
        </w:trPr>
        <w:tc>
          <w:tcPr>
            <w:tcW w:w="0" w:type="auto"/>
            <w:noWrap w:val="0"/>
            <w:vAlign w:val="center"/>
          </w:tcPr>
          <w:p w14:paraId="5DB94A32">
            <w:r>
              <w:rPr>
                <w:rStyle w:val="10"/>
                <w:rFonts w:hint="eastAsia"/>
              </w:rPr>
              <w:t>登记证号：</w:t>
            </w:r>
            <w:r>
              <w:rPr>
                <w:rFonts w:hint="eastAsia"/>
              </w:rPr>
              <w:t>PD20211694</w:t>
            </w:r>
          </w:p>
        </w:tc>
      </w:tr>
      <w:tr w14:paraId="3AA1D349">
        <w:tblPrEx>
          <w:tblCellMar>
            <w:top w:w="0" w:type="dxa"/>
            <w:left w:w="0" w:type="dxa"/>
            <w:bottom w:w="0" w:type="dxa"/>
            <w:right w:w="0" w:type="dxa"/>
          </w:tblCellMar>
        </w:tblPrEx>
        <w:trPr>
          <w:wBefore w:w="0" w:type="auto"/>
          <w:tblCellSpacing w:w="0" w:type="dxa"/>
        </w:trPr>
        <w:tc>
          <w:tcPr>
            <w:tcW w:w="0" w:type="auto"/>
            <w:noWrap w:val="0"/>
            <w:vAlign w:val="center"/>
          </w:tcPr>
          <w:p w14:paraId="10D1697A">
            <w:r>
              <w:rPr>
                <w:rStyle w:val="10"/>
                <w:rFonts w:hint="eastAsia"/>
              </w:rPr>
              <w:t>登记证持有人：</w:t>
            </w:r>
            <w:r>
              <w:rPr>
                <w:rFonts w:hint="eastAsia"/>
              </w:rPr>
              <w:t>山东省青岛金尔农化研制开发有限公司</w:t>
            </w:r>
          </w:p>
        </w:tc>
      </w:tr>
      <w:tr w14:paraId="5C7B5D2A">
        <w:tblPrEx>
          <w:tblCellMar>
            <w:top w:w="0" w:type="dxa"/>
            <w:left w:w="0" w:type="dxa"/>
            <w:bottom w:w="0" w:type="dxa"/>
            <w:right w:w="0" w:type="dxa"/>
          </w:tblCellMar>
        </w:tblPrEx>
        <w:trPr>
          <w:wBefore w:w="0" w:type="auto"/>
          <w:tblCellSpacing w:w="0" w:type="dxa"/>
        </w:trPr>
        <w:tc>
          <w:tcPr>
            <w:tcW w:w="0" w:type="auto"/>
            <w:noWrap w:val="0"/>
            <w:vAlign w:val="center"/>
          </w:tcPr>
          <w:p w14:paraId="7C92F0A8">
            <w:r>
              <w:rPr>
                <w:rStyle w:val="10"/>
                <w:rFonts w:hint="eastAsia"/>
              </w:rPr>
              <w:t>农药名称：</w:t>
            </w:r>
            <w:r>
              <w:rPr>
                <w:rFonts w:hint="eastAsia"/>
              </w:rPr>
              <w:t>咯菌腈·噻虫胺·噻呋</w:t>
            </w:r>
          </w:p>
        </w:tc>
      </w:tr>
      <w:tr w14:paraId="3DF61342">
        <w:tblPrEx>
          <w:tblCellMar>
            <w:top w:w="0" w:type="dxa"/>
            <w:left w:w="0" w:type="dxa"/>
            <w:bottom w:w="0" w:type="dxa"/>
            <w:right w:w="0" w:type="dxa"/>
          </w:tblCellMar>
        </w:tblPrEx>
        <w:trPr>
          <w:wBefore w:w="0" w:type="auto"/>
          <w:tblCellSpacing w:w="0" w:type="dxa"/>
        </w:trPr>
        <w:tc>
          <w:tcPr>
            <w:tcW w:w="0" w:type="auto"/>
            <w:noWrap w:val="0"/>
            <w:vAlign w:val="center"/>
          </w:tcPr>
          <w:p w14:paraId="77781007">
            <w:r>
              <w:rPr>
                <w:rStyle w:val="10"/>
                <w:rFonts w:hint="eastAsia"/>
              </w:rPr>
              <w:t>剂型：</w:t>
            </w:r>
            <w:r>
              <w:rPr>
                <w:rFonts w:hint="eastAsia"/>
              </w:rPr>
              <w:t>种子处理悬浮剂</w:t>
            </w:r>
          </w:p>
        </w:tc>
      </w:tr>
      <w:tr w14:paraId="787853C7">
        <w:tblPrEx>
          <w:tblCellMar>
            <w:top w:w="0" w:type="dxa"/>
            <w:left w:w="0" w:type="dxa"/>
            <w:bottom w:w="0" w:type="dxa"/>
            <w:right w:w="0" w:type="dxa"/>
          </w:tblCellMar>
        </w:tblPrEx>
        <w:trPr>
          <w:wBefore w:w="0" w:type="auto"/>
          <w:tblCellSpacing w:w="0" w:type="dxa"/>
        </w:trPr>
        <w:tc>
          <w:tcPr>
            <w:tcW w:w="0" w:type="auto"/>
            <w:noWrap w:val="0"/>
            <w:vAlign w:val="center"/>
          </w:tcPr>
          <w:p w14:paraId="2153CF48">
            <w:r>
              <w:rPr>
                <w:rStyle w:val="10"/>
                <w:rFonts w:hint="eastAsia"/>
              </w:rPr>
              <w:t>毒性及其标识：</w:t>
            </w:r>
            <w:r>
              <w:rPr>
                <w:rFonts w:hint="eastAsia"/>
              </w:rPr>
              <w:t xml:space="preserve"> 微毒 </w:t>
            </w:r>
          </w:p>
        </w:tc>
      </w:tr>
      <w:tr w14:paraId="422298F5">
        <w:tblPrEx>
          <w:tblCellMar>
            <w:top w:w="0" w:type="dxa"/>
            <w:left w:w="0" w:type="dxa"/>
            <w:bottom w:w="0" w:type="dxa"/>
            <w:right w:w="0" w:type="dxa"/>
          </w:tblCellMar>
        </w:tblPrEx>
        <w:trPr>
          <w:wBefore w:w="0" w:type="auto"/>
          <w:tblCellSpacing w:w="0" w:type="dxa"/>
        </w:trPr>
        <w:tc>
          <w:tcPr>
            <w:tcW w:w="0" w:type="auto"/>
            <w:noWrap w:val="0"/>
            <w:vAlign w:val="center"/>
          </w:tcPr>
          <w:p w14:paraId="196ED75E">
            <w:r>
              <w:rPr>
                <w:rStyle w:val="10"/>
                <w:rFonts w:hint="eastAsia"/>
              </w:rPr>
              <w:t>总有效成分含量：</w:t>
            </w:r>
            <w:r>
              <w:rPr>
                <w:rFonts w:hint="eastAsia"/>
              </w:rPr>
              <w:t>6.2%</w:t>
            </w:r>
          </w:p>
        </w:tc>
      </w:tr>
      <w:tr w14:paraId="763B4688">
        <w:tblPrEx>
          <w:tblCellMar>
            <w:top w:w="0" w:type="dxa"/>
            <w:left w:w="0" w:type="dxa"/>
            <w:bottom w:w="0" w:type="dxa"/>
            <w:right w:w="0" w:type="dxa"/>
          </w:tblCellMar>
        </w:tblPrEx>
        <w:trPr>
          <w:wBefore w:w="0" w:type="auto"/>
          <w:tblCellSpacing w:w="0" w:type="dxa"/>
        </w:trPr>
        <w:tc>
          <w:tcPr>
            <w:tcW w:w="0" w:type="auto"/>
            <w:noWrap w:val="0"/>
            <w:vAlign w:val="center"/>
          </w:tcPr>
          <w:p w14:paraId="2C1E8C74">
            <w:r>
              <w:rPr>
                <w:rFonts w:hint="eastAsia"/>
              </w:rPr>
              <w:t xml:space="preserve">有效成分及其含量： </w:t>
            </w:r>
          </w:p>
          <w:p w14:paraId="2F653FB0">
            <w:r>
              <w:rPr>
                <w:rFonts w:hint="eastAsia"/>
              </w:rPr>
              <w:t xml:space="preserve">    噻虫胺5%    咯菌腈0.3%    噻呋酰胺0.9%    </w:t>
            </w:r>
          </w:p>
        </w:tc>
      </w:tr>
      <w:tr w14:paraId="6ED2540D">
        <w:tblPrEx>
          <w:tblCellMar>
            <w:top w:w="0" w:type="dxa"/>
            <w:left w:w="0" w:type="dxa"/>
            <w:bottom w:w="0" w:type="dxa"/>
            <w:right w:w="0" w:type="dxa"/>
          </w:tblCellMar>
        </w:tblPrEx>
        <w:trPr>
          <w:wBefore w:w="0" w:type="auto"/>
          <w:tblCellSpacing w:w="0" w:type="dxa"/>
        </w:trPr>
        <w:tc>
          <w:tcPr>
            <w:tcW w:w="0" w:type="auto"/>
            <w:noWrap w:val="0"/>
            <w:vAlign w:val="center"/>
          </w:tcPr>
          <w:p w14:paraId="37DD108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B70C2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3914D7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A00AF1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81F559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069F37">
                  <w:r>
                    <w:rPr>
                      <w:rStyle w:val="11"/>
                      <w:rFonts w:hint="eastAsia"/>
                    </w:rPr>
                    <w:t>施用方式</w:t>
                  </w:r>
                </w:p>
              </w:tc>
            </w:tr>
            <w:tr w14:paraId="795AB8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FBCFDD">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5A671C">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601303">
                  <w:r>
                    <w:rPr>
                      <w:rStyle w:val="11"/>
                      <w:rFonts w:hint="eastAsia"/>
                    </w:rPr>
                    <w:t>2000-3300毫升/100千克种子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BAECE8">
                  <w:r>
                    <w:rPr>
                      <w:rStyle w:val="11"/>
                      <w:rFonts w:hint="eastAsia"/>
                    </w:rPr>
                    <w:t>种子包衣</w:t>
                  </w:r>
                </w:p>
              </w:tc>
            </w:tr>
            <w:tr w14:paraId="77796C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79B47F8">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DE7A02">
                  <w:r>
                    <w:rPr>
                      <w:rStyle w:val="11"/>
                      <w:rFonts w:hint="eastAsia"/>
                    </w:rPr>
                    <w:t>白绢病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7E6B4F">
                  <w:r>
                    <w:rPr>
                      <w:rStyle w:val="11"/>
                      <w:rFonts w:hint="eastAsia"/>
                    </w:rPr>
                    <w:t>2000-3300毫升/100千克种子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D1E60B">
                  <w:r>
                    <w:rPr>
                      <w:rStyle w:val="11"/>
                      <w:rFonts w:hint="eastAsia"/>
                    </w:rPr>
                    <w:t>种子包衣</w:t>
                  </w:r>
                </w:p>
              </w:tc>
            </w:tr>
          </w:tbl>
          <w:p w14:paraId="119AEEA7">
            <w:pPr>
              <w:rPr>
                <w:rFonts w:ascii="Times New Roman" w:hAnsi="Times New Roman" w:cs="Times New Roman"/>
                <w:sz w:val="20"/>
                <w:szCs w:val="20"/>
              </w:rPr>
            </w:pPr>
          </w:p>
        </w:tc>
      </w:tr>
      <w:tr w14:paraId="7D1852BF">
        <w:tblPrEx>
          <w:tblCellMar>
            <w:top w:w="0" w:type="dxa"/>
            <w:left w:w="0" w:type="dxa"/>
            <w:bottom w:w="0" w:type="dxa"/>
            <w:right w:w="0" w:type="dxa"/>
          </w:tblCellMar>
        </w:tblPrEx>
        <w:trPr>
          <w:wBefore w:w="0" w:type="auto"/>
          <w:tblCellSpacing w:w="0" w:type="dxa"/>
        </w:trPr>
        <w:tc>
          <w:tcPr>
            <w:tcW w:w="0" w:type="auto"/>
            <w:noWrap w:val="0"/>
            <w:vAlign w:val="center"/>
          </w:tcPr>
          <w:p w14:paraId="05F8A5F3">
            <w:r>
              <w:rPr>
                <w:rStyle w:val="10"/>
                <w:rFonts w:hint="eastAsia"/>
              </w:rPr>
              <w:t>使用技术要求:</w:t>
            </w:r>
            <w:r>
              <w:rPr>
                <w:rFonts w:hint="eastAsia"/>
              </w:rPr>
              <w:br w:type="textWrapping"/>
            </w:r>
            <w:r>
              <w:rPr>
                <w:rStyle w:val="11"/>
                <w:rFonts w:hint="eastAsia"/>
              </w:rPr>
              <w:t>1.在花生播种前将药液与种子充分搅拌，使药液均匀粘在种子上，摊晾后播种。 2.配制好的药液应在24小时内使用完，包衣后的种子应及时催芽播种。</w:t>
            </w:r>
          </w:p>
        </w:tc>
      </w:tr>
      <w:tr w14:paraId="33BE25CF">
        <w:tblPrEx>
          <w:tblCellMar>
            <w:top w:w="0" w:type="dxa"/>
            <w:left w:w="0" w:type="dxa"/>
            <w:bottom w:w="0" w:type="dxa"/>
            <w:right w:w="0" w:type="dxa"/>
          </w:tblCellMar>
        </w:tblPrEx>
        <w:trPr>
          <w:wBefore w:w="0" w:type="auto"/>
          <w:tblCellSpacing w:w="0" w:type="dxa"/>
        </w:trPr>
        <w:tc>
          <w:tcPr>
            <w:tcW w:w="0" w:type="auto"/>
            <w:noWrap w:val="0"/>
            <w:vAlign w:val="center"/>
          </w:tcPr>
          <w:p w14:paraId="1D2718B7">
            <w:r>
              <w:rPr>
                <w:rStyle w:val="10"/>
                <w:rFonts w:hint="eastAsia"/>
              </w:rPr>
              <w:t>产品性能:</w:t>
            </w:r>
            <w:r>
              <w:rPr>
                <w:rFonts w:hint="eastAsia"/>
              </w:rPr>
              <w:br w:type="textWrapping"/>
            </w:r>
            <w:r>
              <w:rPr>
                <w:rStyle w:val="11"/>
                <w:rFonts w:hint="eastAsia"/>
              </w:rPr>
              <w:t>本品是咯菌腈、噻呋酰胺和噻虫胺三元复配的种子处理剂，咯菌腈是非内吸苯吡咯类化合物，作为种子处理剂用于防治作物的种传及土传病害。噻呋酰胺具有内吸传导性，是琥珀酸酯脱氢酶抑制剂，对担子菌纲真菌引起白绢病等有效。噻虫胺具有根内吸活性和层间传导性，是乙酰胆碱受体激动剂，作用于昆虫中枢神经系统的突触。该产品对花生白绢病和蛴螬有较好防效。</w:t>
            </w:r>
          </w:p>
        </w:tc>
      </w:tr>
      <w:tr w14:paraId="1DE0F1F6">
        <w:tblPrEx>
          <w:tblCellMar>
            <w:top w:w="0" w:type="dxa"/>
            <w:left w:w="0" w:type="dxa"/>
            <w:bottom w:w="0" w:type="dxa"/>
            <w:right w:w="0" w:type="dxa"/>
          </w:tblCellMar>
        </w:tblPrEx>
        <w:trPr>
          <w:wBefore w:w="0" w:type="auto"/>
          <w:tblCellSpacing w:w="0" w:type="dxa"/>
        </w:trPr>
        <w:tc>
          <w:tcPr>
            <w:tcW w:w="0" w:type="auto"/>
            <w:noWrap w:val="0"/>
            <w:vAlign w:val="center"/>
          </w:tcPr>
          <w:p w14:paraId="7F7DCEA0">
            <w:r>
              <w:rPr>
                <w:rStyle w:val="10"/>
                <w:rFonts w:hint="eastAsia"/>
              </w:rPr>
              <w:t>注意事项：</w:t>
            </w:r>
            <w:r>
              <w:rPr>
                <w:rFonts w:hint="eastAsia"/>
              </w:rPr>
              <w:br w:type="textWrapping"/>
            </w:r>
            <w:r>
              <w:rPr>
                <w:rStyle w:val="11"/>
                <w:rFonts w:hint="eastAsia"/>
              </w:rPr>
              <w:t>1.本品在花生播种前拌种。 2.使用时应穿长衣长裤、靴子，戴帽子、护目镜、口罩、手套等防护用具；施药期间不可吃东西、饮水、吸烟等；施药后应及时洗手、洗脸并洗涤施药时穿着的衣物。3.禁止在河塘等水体中清洗施药器具。4.（周围）开花植物花期禁用，使用时应密切关注对附近蜂群的影响；鸟类保护区附近禁用。5.用过的容器应妥善处理，不可做他用，也不可随意丢弃。6.孕妇及哺乳期妇女避免接触本产品。</w:t>
            </w:r>
          </w:p>
        </w:tc>
      </w:tr>
      <w:tr w14:paraId="7A2B9638">
        <w:tblPrEx>
          <w:tblCellMar>
            <w:top w:w="0" w:type="dxa"/>
            <w:left w:w="0" w:type="dxa"/>
            <w:bottom w:w="0" w:type="dxa"/>
            <w:right w:w="0" w:type="dxa"/>
          </w:tblCellMar>
        </w:tblPrEx>
        <w:trPr>
          <w:wBefore w:w="0" w:type="auto"/>
          <w:tblCellSpacing w:w="0" w:type="dxa"/>
        </w:trPr>
        <w:tc>
          <w:tcPr>
            <w:tcW w:w="0" w:type="auto"/>
            <w:noWrap w:val="0"/>
            <w:vAlign w:val="center"/>
          </w:tcPr>
          <w:p w14:paraId="268516AC">
            <w:r>
              <w:rPr>
                <w:rStyle w:val="10"/>
                <w:rFonts w:hint="eastAsia"/>
              </w:rPr>
              <w:t>中毒急救措施：</w:t>
            </w:r>
            <w:r>
              <w:rPr>
                <w:rFonts w:hint="eastAsia"/>
              </w:rPr>
              <w:br w:type="textWrapping"/>
            </w:r>
            <w:r>
              <w:rPr>
                <w:rStyle w:val="11"/>
                <w:rFonts w:hint="eastAsia"/>
              </w:rPr>
              <w:t>1.使用本产品时对眼睛和皮肤做好防护措施，如不慎溅入眼睛立即用流动清水冲洗不少于15分钟，若严重者请及时就医。若误服，立即用大量水引发呕吐，若病人昏迷切勿引吐，立即携标签就医，对症治疗。不慎吸入，立即将吸入者转移到空气新鲜处，严重者携标签就医。</w:t>
            </w:r>
          </w:p>
        </w:tc>
      </w:tr>
      <w:tr w14:paraId="1967AA5B">
        <w:tblPrEx>
          <w:tblCellMar>
            <w:top w:w="0" w:type="dxa"/>
            <w:left w:w="0" w:type="dxa"/>
            <w:bottom w:w="0" w:type="dxa"/>
            <w:right w:w="0" w:type="dxa"/>
          </w:tblCellMar>
        </w:tblPrEx>
        <w:trPr>
          <w:wBefore w:w="0" w:type="auto"/>
          <w:tblCellSpacing w:w="0" w:type="dxa"/>
        </w:trPr>
        <w:tc>
          <w:tcPr>
            <w:tcW w:w="0" w:type="auto"/>
            <w:noWrap w:val="0"/>
            <w:vAlign w:val="center"/>
          </w:tcPr>
          <w:p w14:paraId="7814065C">
            <w:r>
              <w:rPr>
                <w:rStyle w:val="10"/>
                <w:rFonts w:hint="eastAsia"/>
              </w:rPr>
              <w:t>储存和运输方法：</w:t>
            </w:r>
            <w:r>
              <w:rPr>
                <w:rFonts w:hint="eastAsia"/>
              </w:rPr>
              <w:br w:type="textWrapping"/>
            </w:r>
            <w:r>
              <w:rPr>
                <w:rStyle w:val="11"/>
                <w:rFonts w:hint="eastAsia"/>
              </w:rPr>
              <w:t>1.本品应贮存在干燥、阴凉、通风、防雨处，远离火源或热源。2.置于儿童、无关人员及动物触及不到之处，并加锁保存。3.勿与食品、饮料、粮食、饲料等同贮同运。4.运输时防雨防潮，装卸时轻卸轻放。</w:t>
            </w:r>
          </w:p>
        </w:tc>
      </w:tr>
      <w:tr w14:paraId="1BD0645D">
        <w:tblPrEx>
          <w:tblCellMar>
            <w:top w:w="0" w:type="dxa"/>
            <w:left w:w="0" w:type="dxa"/>
            <w:bottom w:w="0" w:type="dxa"/>
            <w:right w:w="0" w:type="dxa"/>
          </w:tblCellMar>
        </w:tblPrEx>
        <w:trPr>
          <w:wBefore w:w="0" w:type="auto"/>
          <w:tblCellSpacing w:w="0" w:type="dxa"/>
        </w:trPr>
        <w:tc>
          <w:tcPr>
            <w:tcW w:w="0" w:type="auto"/>
            <w:noWrap w:val="0"/>
            <w:vAlign w:val="center"/>
          </w:tcPr>
          <w:p w14:paraId="7AD63FCB">
            <w:r>
              <w:rPr>
                <w:rStyle w:val="10"/>
                <w:rFonts w:hint="eastAsia"/>
              </w:rPr>
              <w:t>质量保证期：</w:t>
            </w:r>
            <w:r>
              <w:rPr>
                <w:rStyle w:val="11"/>
                <w:rFonts w:hint="eastAsia"/>
              </w:rPr>
              <w:t>2年</w:t>
            </w:r>
          </w:p>
        </w:tc>
      </w:tr>
      <w:tr w14:paraId="634EB98E">
        <w:tblPrEx>
          <w:tblCellMar>
            <w:top w:w="0" w:type="dxa"/>
            <w:left w:w="0" w:type="dxa"/>
            <w:bottom w:w="0" w:type="dxa"/>
            <w:right w:w="0" w:type="dxa"/>
          </w:tblCellMar>
        </w:tblPrEx>
        <w:trPr>
          <w:wBefore w:w="0" w:type="auto"/>
          <w:tblCellSpacing w:w="0" w:type="dxa"/>
        </w:trPr>
        <w:tc>
          <w:tcPr>
            <w:tcW w:w="0" w:type="auto"/>
            <w:noWrap w:val="0"/>
            <w:vAlign w:val="center"/>
          </w:tcPr>
          <w:p w14:paraId="52EF0D9B">
            <w:r>
              <w:rPr>
                <w:rStyle w:val="10"/>
                <w:rFonts w:hint="eastAsia"/>
              </w:rPr>
              <w:t>备注：</w:t>
            </w:r>
          </w:p>
        </w:tc>
      </w:tr>
    </w:tbl>
    <w:p w14:paraId="5ABA2D1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7870095">
        <w:tblPrEx>
          <w:tblCellMar>
            <w:top w:w="0" w:type="dxa"/>
            <w:left w:w="0" w:type="dxa"/>
            <w:bottom w:w="0" w:type="dxa"/>
            <w:right w:w="0" w:type="dxa"/>
          </w:tblCellMar>
        </w:tblPrEx>
        <w:trPr>
          <w:wBefore w:w="0" w:type="auto"/>
          <w:tblCellSpacing w:w="0" w:type="dxa"/>
        </w:trPr>
        <w:tc>
          <w:tcPr>
            <w:tcW w:w="0" w:type="auto"/>
            <w:noWrap w:val="0"/>
            <w:vAlign w:val="center"/>
          </w:tcPr>
          <w:p w14:paraId="0481B9F0">
            <w:r>
              <w:rPr>
                <w:rStyle w:val="10"/>
                <w:rFonts w:hint="eastAsia"/>
              </w:rPr>
              <w:t>登记证号：</w:t>
            </w:r>
            <w:r>
              <w:rPr>
                <w:rFonts w:hint="eastAsia"/>
              </w:rPr>
              <w:t>PD20211840</w:t>
            </w:r>
          </w:p>
        </w:tc>
      </w:tr>
      <w:tr w14:paraId="4DA5E908">
        <w:tblPrEx>
          <w:tblCellMar>
            <w:top w:w="0" w:type="dxa"/>
            <w:left w:w="0" w:type="dxa"/>
            <w:bottom w:w="0" w:type="dxa"/>
            <w:right w:w="0" w:type="dxa"/>
          </w:tblCellMar>
        </w:tblPrEx>
        <w:trPr>
          <w:wBefore w:w="0" w:type="auto"/>
          <w:tblCellSpacing w:w="0" w:type="dxa"/>
        </w:trPr>
        <w:tc>
          <w:tcPr>
            <w:tcW w:w="0" w:type="auto"/>
            <w:noWrap w:val="0"/>
            <w:vAlign w:val="center"/>
          </w:tcPr>
          <w:p w14:paraId="4BD6BBF7">
            <w:r>
              <w:rPr>
                <w:rStyle w:val="10"/>
                <w:rFonts w:hint="eastAsia"/>
              </w:rPr>
              <w:t>登记证持有人：</w:t>
            </w:r>
            <w:r>
              <w:rPr>
                <w:rFonts w:hint="eastAsia"/>
              </w:rPr>
              <w:t>广东省佛山市盈辉作物科学有限公司</w:t>
            </w:r>
          </w:p>
        </w:tc>
      </w:tr>
      <w:tr w14:paraId="041BCBBC">
        <w:tblPrEx>
          <w:tblCellMar>
            <w:top w:w="0" w:type="dxa"/>
            <w:left w:w="0" w:type="dxa"/>
            <w:bottom w:w="0" w:type="dxa"/>
            <w:right w:w="0" w:type="dxa"/>
          </w:tblCellMar>
        </w:tblPrEx>
        <w:trPr>
          <w:wBefore w:w="0" w:type="auto"/>
          <w:tblCellSpacing w:w="0" w:type="dxa"/>
        </w:trPr>
        <w:tc>
          <w:tcPr>
            <w:tcW w:w="0" w:type="auto"/>
            <w:noWrap w:val="0"/>
            <w:vAlign w:val="center"/>
          </w:tcPr>
          <w:p w14:paraId="4C2A2E78">
            <w:r>
              <w:rPr>
                <w:rStyle w:val="10"/>
                <w:rFonts w:hint="eastAsia"/>
              </w:rPr>
              <w:t>农药名称：</w:t>
            </w:r>
            <w:r>
              <w:rPr>
                <w:rFonts w:hint="eastAsia"/>
              </w:rPr>
              <w:t>呋虫胺</w:t>
            </w:r>
          </w:p>
        </w:tc>
      </w:tr>
      <w:tr w14:paraId="233B7997">
        <w:tblPrEx>
          <w:tblCellMar>
            <w:top w:w="0" w:type="dxa"/>
            <w:left w:w="0" w:type="dxa"/>
            <w:bottom w:w="0" w:type="dxa"/>
            <w:right w:w="0" w:type="dxa"/>
          </w:tblCellMar>
        </w:tblPrEx>
        <w:trPr>
          <w:wBefore w:w="0" w:type="auto"/>
          <w:tblCellSpacing w:w="0" w:type="dxa"/>
        </w:trPr>
        <w:tc>
          <w:tcPr>
            <w:tcW w:w="0" w:type="auto"/>
            <w:noWrap w:val="0"/>
            <w:vAlign w:val="center"/>
          </w:tcPr>
          <w:p w14:paraId="0248B3FE">
            <w:r>
              <w:rPr>
                <w:rStyle w:val="10"/>
                <w:rFonts w:hint="eastAsia"/>
              </w:rPr>
              <w:t>剂型：</w:t>
            </w:r>
            <w:r>
              <w:rPr>
                <w:rFonts w:hint="eastAsia"/>
              </w:rPr>
              <w:t>颗粒剂</w:t>
            </w:r>
          </w:p>
        </w:tc>
      </w:tr>
      <w:tr w14:paraId="2A68EF72">
        <w:tblPrEx>
          <w:tblCellMar>
            <w:top w:w="0" w:type="dxa"/>
            <w:left w:w="0" w:type="dxa"/>
            <w:bottom w:w="0" w:type="dxa"/>
            <w:right w:w="0" w:type="dxa"/>
          </w:tblCellMar>
        </w:tblPrEx>
        <w:trPr>
          <w:wBefore w:w="0" w:type="auto"/>
          <w:tblCellSpacing w:w="0" w:type="dxa"/>
        </w:trPr>
        <w:tc>
          <w:tcPr>
            <w:tcW w:w="0" w:type="auto"/>
            <w:noWrap w:val="0"/>
            <w:vAlign w:val="center"/>
          </w:tcPr>
          <w:p w14:paraId="7BF532EB">
            <w:r>
              <w:rPr>
                <w:rStyle w:val="10"/>
                <w:rFonts w:hint="eastAsia"/>
              </w:rPr>
              <w:t>毒性及其标识：</w:t>
            </w:r>
            <w:r>
              <w:rPr>
                <w:rFonts w:hint="eastAsia"/>
              </w:rPr>
              <w:t xml:space="preserve"> </w:t>
            </w:r>
            <w:r>
              <w:rPr>
                <w:lang/>
              </w:rPr>
              <w:drawing>
                <wp:inline distT="0" distB="0" distL="114300" distR="114300">
                  <wp:extent cx="476250" cy="323850"/>
                  <wp:effectExtent l="0" t="0" r="0" b="0"/>
                  <wp:docPr id="163" name="图片 16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426A0F8">
        <w:tblPrEx>
          <w:tblCellMar>
            <w:top w:w="0" w:type="dxa"/>
            <w:left w:w="0" w:type="dxa"/>
            <w:bottom w:w="0" w:type="dxa"/>
            <w:right w:w="0" w:type="dxa"/>
          </w:tblCellMar>
        </w:tblPrEx>
        <w:trPr>
          <w:wBefore w:w="0" w:type="auto"/>
          <w:tblCellSpacing w:w="0" w:type="dxa"/>
        </w:trPr>
        <w:tc>
          <w:tcPr>
            <w:tcW w:w="0" w:type="auto"/>
            <w:noWrap w:val="0"/>
            <w:vAlign w:val="center"/>
          </w:tcPr>
          <w:p w14:paraId="4F37A63B">
            <w:r>
              <w:rPr>
                <w:rStyle w:val="10"/>
                <w:rFonts w:hint="eastAsia"/>
              </w:rPr>
              <w:t>总有效成分含量：</w:t>
            </w:r>
            <w:r>
              <w:rPr>
                <w:rFonts w:hint="eastAsia"/>
              </w:rPr>
              <w:t>0.1%</w:t>
            </w:r>
          </w:p>
        </w:tc>
      </w:tr>
      <w:tr w14:paraId="57761E30">
        <w:tblPrEx>
          <w:tblCellMar>
            <w:top w:w="0" w:type="dxa"/>
            <w:left w:w="0" w:type="dxa"/>
            <w:bottom w:w="0" w:type="dxa"/>
            <w:right w:w="0" w:type="dxa"/>
          </w:tblCellMar>
        </w:tblPrEx>
        <w:trPr>
          <w:wBefore w:w="0" w:type="auto"/>
          <w:tblCellSpacing w:w="0" w:type="dxa"/>
        </w:trPr>
        <w:tc>
          <w:tcPr>
            <w:tcW w:w="0" w:type="auto"/>
            <w:noWrap w:val="0"/>
            <w:vAlign w:val="center"/>
          </w:tcPr>
          <w:p w14:paraId="002C6A94">
            <w:r>
              <w:rPr>
                <w:rFonts w:hint="eastAsia"/>
              </w:rPr>
              <w:t xml:space="preserve">有效成分及其含量： </w:t>
            </w:r>
          </w:p>
          <w:p w14:paraId="27B8BA9A">
            <w:r>
              <w:rPr>
                <w:rFonts w:hint="eastAsia"/>
              </w:rPr>
              <w:t xml:space="preserve">    呋虫胺0.1%    </w:t>
            </w:r>
          </w:p>
        </w:tc>
      </w:tr>
      <w:tr w14:paraId="7C13FF25">
        <w:tblPrEx>
          <w:tblCellMar>
            <w:top w:w="0" w:type="dxa"/>
            <w:left w:w="0" w:type="dxa"/>
            <w:bottom w:w="0" w:type="dxa"/>
            <w:right w:w="0" w:type="dxa"/>
          </w:tblCellMar>
        </w:tblPrEx>
        <w:trPr>
          <w:wBefore w:w="0" w:type="auto"/>
          <w:tblCellSpacing w:w="0" w:type="dxa"/>
        </w:trPr>
        <w:tc>
          <w:tcPr>
            <w:tcW w:w="0" w:type="auto"/>
            <w:noWrap w:val="0"/>
            <w:vAlign w:val="center"/>
          </w:tcPr>
          <w:p w14:paraId="52436E9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80A57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40FEB6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C505F1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3749F6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5CAD0C">
                  <w:r>
                    <w:rPr>
                      <w:rStyle w:val="11"/>
                      <w:rFonts w:hint="eastAsia"/>
                    </w:rPr>
                    <w:t>施用方式</w:t>
                  </w:r>
                </w:p>
              </w:tc>
            </w:tr>
            <w:tr w14:paraId="28CB8F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DE15EA5">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6567EB">
                  <w:r>
                    <w:rPr>
                      <w:rStyle w:val="11"/>
                      <w:rFonts w:hint="eastAsia"/>
                    </w:rPr>
                    <w:t>二化螟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FB09F8">
                  <w:r>
                    <w:rPr>
                      <w:rStyle w:val="11"/>
                      <w:rFonts w:hint="eastAsia"/>
                    </w:rPr>
                    <w:t>10-15千克/亩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A54E6A">
                  <w:r>
                    <w:rPr>
                      <w:rStyle w:val="11"/>
                      <w:rFonts w:hint="eastAsia"/>
                    </w:rPr>
                    <w:t>撒施</w:t>
                  </w:r>
                </w:p>
              </w:tc>
            </w:tr>
          </w:tbl>
          <w:p w14:paraId="13AAF6BD">
            <w:pPr>
              <w:rPr>
                <w:rFonts w:ascii="Times New Roman" w:hAnsi="Times New Roman" w:cs="Times New Roman"/>
                <w:sz w:val="20"/>
                <w:szCs w:val="20"/>
              </w:rPr>
            </w:pPr>
          </w:p>
        </w:tc>
      </w:tr>
      <w:tr w14:paraId="4854DC42">
        <w:tblPrEx>
          <w:tblCellMar>
            <w:top w:w="0" w:type="dxa"/>
            <w:left w:w="0" w:type="dxa"/>
            <w:bottom w:w="0" w:type="dxa"/>
            <w:right w:w="0" w:type="dxa"/>
          </w:tblCellMar>
        </w:tblPrEx>
        <w:trPr>
          <w:wBefore w:w="0" w:type="auto"/>
          <w:tblCellSpacing w:w="0" w:type="dxa"/>
        </w:trPr>
        <w:tc>
          <w:tcPr>
            <w:tcW w:w="0" w:type="auto"/>
            <w:noWrap w:val="0"/>
            <w:vAlign w:val="center"/>
          </w:tcPr>
          <w:p w14:paraId="038C35F7">
            <w:r>
              <w:rPr>
                <w:rStyle w:val="10"/>
                <w:rFonts w:hint="eastAsia"/>
              </w:rPr>
              <w:t>使用技术要求:</w:t>
            </w:r>
            <w:r>
              <w:rPr>
                <w:rFonts w:hint="eastAsia"/>
              </w:rPr>
              <w:br w:type="textWrapping"/>
            </w:r>
            <w:r>
              <w:rPr>
                <w:rStyle w:val="11"/>
                <w:rFonts w:hint="eastAsia"/>
              </w:rPr>
              <w:t>1. 在水稻二化螟卵孵盛期至低龄幼虫发生始盛期施药1次，每季最多施药1次。2. 大风天或预计1小时内降雨，请勿施药。</w:t>
            </w:r>
          </w:p>
        </w:tc>
      </w:tr>
      <w:tr w14:paraId="4204CA16">
        <w:tblPrEx>
          <w:tblCellMar>
            <w:top w:w="0" w:type="dxa"/>
            <w:left w:w="0" w:type="dxa"/>
            <w:bottom w:w="0" w:type="dxa"/>
            <w:right w:w="0" w:type="dxa"/>
          </w:tblCellMar>
        </w:tblPrEx>
        <w:trPr>
          <w:wBefore w:w="0" w:type="auto"/>
          <w:tblCellSpacing w:w="0" w:type="dxa"/>
        </w:trPr>
        <w:tc>
          <w:tcPr>
            <w:tcW w:w="0" w:type="auto"/>
            <w:noWrap w:val="0"/>
            <w:vAlign w:val="center"/>
          </w:tcPr>
          <w:p w14:paraId="027F680E">
            <w:r>
              <w:rPr>
                <w:rStyle w:val="10"/>
                <w:rFonts w:hint="eastAsia"/>
              </w:rPr>
              <w:t>产品性能:</w:t>
            </w:r>
            <w:r>
              <w:rPr>
                <w:rFonts w:hint="eastAsia"/>
              </w:rPr>
              <w:br w:type="textWrapping"/>
            </w:r>
            <w:r>
              <w:rPr>
                <w:rStyle w:val="11"/>
                <w:rFonts w:hint="eastAsia"/>
              </w:rPr>
              <w:t>呋虫胺是可通过脊柱神经传递的内吸性杀虫剂，具有触杀和胃毒作用，可以快速被植物根系吸收并向顶传导，可用于防治水稻二化螟。</w:t>
            </w:r>
          </w:p>
        </w:tc>
      </w:tr>
      <w:tr w14:paraId="6F0A58DA">
        <w:tblPrEx>
          <w:tblCellMar>
            <w:top w:w="0" w:type="dxa"/>
            <w:left w:w="0" w:type="dxa"/>
            <w:bottom w:w="0" w:type="dxa"/>
            <w:right w:w="0" w:type="dxa"/>
          </w:tblCellMar>
        </w:tblPrEx>
        <w:trPr>
          <w:wBefore w:w="0" w:type="auto"/>
          <w:tblCellSpacing w:w="0" w:type="dxa"/>
        </w:trPr>
        <w:tc>
          <w:tcPr>
            <w:tcW w:w="0" w:type="auto"/>
            <w:noWrap w:val="0"/>
            <w:vAlign w:val="center"/>
          </w:tcPr>
          <w:p w14:paraId="50D46936">
            <w:r>
              <w:rPr>
                <w:rStyle w:val="10"/>
                <w:rFonts w:hint="eastAsia"/>
              </w:rPr>
              <w:t>注意事项：</w:t>
            </w:r>
            <w:r>
              <w:rPr>
                <w:rFonts w:hint="eastAsia"/>
              </w:rPr>
              <w:br w:type="textWrapping"/>
            </w:r>
            <w:r>
              <w:rPr>
                <w:rStyle w:val="11"/>
                <w:rFonts w:hint="eastAsia"/>
              </w:rPr>
              <w:t>1．施药时田间水层应有3-5厘米保水5-7天，均匀撒施。2.本品对眼睛有刺激性，施用时注意安全防护，穿（戴）长衣、长裤、口罩、手套、鞋子等。；施药时不能吃东西、吸烟、饮水等；施药后彻底清洗裸露部位并更换衣物。3.本品对大型溞有毒性，水产养殖区、河塘等水体附近禁用；禁止在河塘等水体中清洗施药器具；鱼或虾蟹套养稻田禁用，施药后的田水不得直接排入水体；清洗器具的废水不能排入河流、池塘等水源。4.用过的容器应妥善处理，不可做他用，也不可随意丢弃。5.周围开花植物花期禁用，使用时应密切关注对附近蜂群的影响。6.鸟类保护区禁用。7.避免孕妇及哺乳期妇女接触本品。</w:t>
            </w:r>
          </w:p>
        </w:tc>
      </w:tr>
      <w:tr w14:paraId="50A52EE7">
        <w:tblPrEx>
          <w:tblCellMar>
            <w:top w:w="0" w:type="dxa"/>
            <w:left w:w="0" w:type="dxa"/>
            <w:bottom w:w="0" w:type="dxa"/>
            <w:right w:w="0" w:type="dxa"/>
          </w:tblCellMar>
        </w:tblPrEx>
        <w:trPr>
          <w:wBefore w:w="0" w:type="auto"/>
          <w:tblCellSpacing w:w="0" w:type="dxa"/>
        </w:trPr>
        <w:tc>
          <w:tcPr>
            <w:tcW w:w="0" w:type="auto"/>
            <w:noWrap w:val="0"/>
            <w:vAlign w:val="center"/>
          </w:tcPr>
          <w:p w14:paraId="26E647F5">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w:t>
            </w:r>
          </w:p>
        </w:tc>
      </w:tr>
      <w:tr w14:paraId="0A278867">
        <w:tblPrEx>
          <w:tblCellMar>
            <w:top w:w="0" w:type="dxa"/>
            <w:left w:w="0" w:type="dxa"/>
            <w:bottom w:w="0" w:type="dxa"/>
            <w:right w:w="0" w:type="dxa"/>
          </w:tblCellMar>
        </w:tblPrEx>
        <w:trPr>
          <w:wBefore w:w="0" w:type="auto"/>
          <w:tblCellSpacing w:w="0" w:type="dxa"/>
        </w:trPr>
        <w:tc>
          <w:tcPr>
            <w:tcW w:w="0" w:type="auto"/>
            <w:noWrap w:val="0"/>
            <w:vAlign w:val="center"/>
          </w:tcPr>
          <w:p w14:paraId="557E5C8A">
            <w:r>
              <w:rPr>
                <w:rStyle w:val="10"/>
                <w:rFonts w:hint="eastAsia"/>
              </w:rPr>
              <w:t>储存和运输方法：</w:t>
            </w:r>
            <w:r>
              <w:rPr>
                <w:rFonts w:hint="eastAsia"/>
              </w:rPr>
              <w:br w:type="textWrapping"/>
            </w:r>
            <w:r>
              <w:rPr>
                <w:rStyle w:val="11"/>
                <w:rFonts w:hint="eastAsia"/>
              </w:rPr>
              <w:t>1. 本品应贮存在干燥、通风、阴凉、防雨处，远离火源或热源。 2. 本品应当置于儿童、无关人员及动物接触不到的地方，并加锁保存。 3. 不能与食品、饮料、粮食、饲料等混合储运。</w:t>
            </w:r>
          </w:p>
        </w:tc>
      </w:tr>
      <w:tr w14:paraId="22A026BE">
        <w:tblPrEx>
          <w:tblCellMar>
            <w:top w:w="0" w:type="dxa"/>
            <w:left w:w="0" w:type="dxa"/>
            <w:bottom w:w="0" w:type="dxa"/>
            <w:right w:w="0" w:type="dxa"/>
          </w:tblCellMar>
        </w:tblPrEx>
        <w:trPr>
          <w:wBefore w:w="0" w:type="auto"/>
          <w:tblCellSpacing w:w="0" w:type="dxa"/>
        </w:trPr>
        <w:tc>
          <w:tcPr>
            <w:tcW w:w="0" w:type="auto"/>
            <w:noWrap w:val="0"/>
            <w:vAlign w:val="center"/>
          </w:tcPr>
          <w:p w14:paraId="0812F697">
            <w:r>
              <w:rPr>
                <w:rStyle w:val="10"/>
                <w:rFonts w:hint="eastAsia"/>
              </w:rPr>
              <w:t>质量保证期：</w:t>
            </w:r>
            <w:r>
              <w:rPr>
                <w:rStyle w:val="11"/>
                <w:rFonts w:hint="eastAsia"/>
              </w:rPr>
              <w:t>2年</w:t>
            </w:r>
          </w:p>
        </w:tc>
      </w:tr>
      <w:tr w14:paraId="716F591C">
        <w:tblPrEx>
          <w:tblCellMar>
            <w:top w:w="0" w:type="dxa"/>
            <w:left w:w="0" w:type="dxa"/>
            <w:bottom w:w="0" w:type="dxa"/>
            <w:right w:w="0" w:type="dxa"/>
          </w:tblCellMar>
        </w:tblPrEx>
        <w:trPr>
          <w:wBefore w:w="0" w:type="auto"/>
          <w:tblCellSpacing w:w="0" w:type="dxa"/>
        </w:trPr>
        <w:tc>
          <w:tcPr>
            <w:tcW w:w="0" w:type="auto"/>
            <w:noWrap w:val="0"/>
            <w:vAlign w:val="center"/>
          </w:tcPr>
          <w:p w14:paraId="5DB3A964">
            <w:r>
              <w:rPr>
                <w:rStyle w:val="10"/>
                <w:rFonts w:hint="eastAsia"/>
              </w:rPr>
              <w:t>备注：</w:t>
            </w:r>
          </w:p>
        </w:tc>
      </w:tr>
    </w:tbl>
    <w:p w14:paraId="1898E12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47F58F5">
        <w:tblPrEx>
          <w:tblCellMar>
            <w:top w:w="0" w:type="dxa"/>
            <w:left w:w="0" w:type="dxa"/>
            <w:bottom w:w="0" w:type="dxa"/>
            <w:right w:w="0" w:type="dxa"/>
          </w:tblCellMar>
        </w:tblPrEx>
        <w:trPr>
          <w:wBefore w:w="0" w:type="auto"/>
          <w:tblCellSpacing w:w="0" w:type="dxa"/>
        </w:trPr>
        <w:tc>
          <w:tcPr>
            <w:tcW w:w="0" w:type="auto"/>
            <w:noWrap w:val="0"/>
            <w:vAlign w:val="center"/>
          </w:tcPr>
          <w:p w14:paraId="4D6E1FFD">
            <w:r>
              <w:rPr>
                <w:rStyle w:val="10"/>
                <w:rFonts w:hint="eastAsia"/>
              </w:rPr>
              <w:t>登记证号：</w:t>
            </w:r>
            <w:r>
              <w:rPr>
                <w:rFonts w:hint="eastAsia"/>
              </w:rPr>
              <w:t>PD20212116</w:t>
            </w:r>
          </w:p>
        </w:tc>
      </w:tr>
      <w:tr w14:paraId="13A0493D">
        <w:tblPrEx>
          <w:tblCellMar>
            <w:top w:w="0" w:type="dxa"/>
            <w:left w:w="0" w:type="dxa"/>
            <w:bottom w:w="0" w:type="dxa"/>
            <w:right w:w="0" w:type="dxa"/>
          </w:tblCellMar>
        </w:tblPrEx>
        <w:trPr>
          <w:wBefore w:w="0" w:type="auto"/>
          <w:tblCellSpacing w:w="0" w:type="dxa"/>
        </w:trPr>
        <w:tc>
          <w:tcPr>
            <w:tcW w:w="0" w:type="auto"/>
            <w:noWrap w:val="0"/>
            <w:vAlign w:val="center"/>
          </w:tcPr>
          <w:p w14:paraId="2D397138">
            <w:r>
              <w:rPr>
                <w:rStyle w:val="10"/>
                <w:rFonts w:hint="eastAsia"/>
              </w:rPr>
              <w:t>登记证持有人：</w:t>
            </w:r>
            <w:r>
              <w:rPr>
                <w:rFonts w:hint="eastAsia"/>
              </w:rPr>
              <w:t>江西红土地化工有限公司</w:t>
            </w:r>
          </w:p>
        </w:tc>
      </w:tr>
      <w:tr w14:paraId="59AE35CC">
        <w:tblPrEx>
          <w:tblCellMar>
            <w:top w:w="0" w:type="dxa"/>
            <w:left w:w="0" w:type="dxa"/>
            <w:bottom w:w="0" w:type="dxa"/>
            <w:right w:w="0" w:type="dxa"/>
          </w:tblCellMar>
        </w:tblPrEx>
        <w:trPr>
          <w:wBefore w:w="0" w:type="auto"/>
          <w:tblCellSpacing w:w="0" w:type="dxa"/>
        </w:trPr>
        <w:tc>
          <w:tcPr>
            <w:tcW w:w="0" w:type="auto"/>
            <w:noWrap w:val="0"/>
            <w:vAlign w:val="center"/>
          </w:tcPr>
          <w:p w14:paraId="666853BD">
            <w:r>
              <w:rPr>
                <w:rStyle w:val="10"/>
                <w:rFonts w:hint="eastAsia"/>
              </w:rPr>
              <w:t>农药名称：</w:t>
            </w:r>
            <w:r>
              <w:rPr>
                <w:rFonts w:hint="eastAsia"/>
              </w:rPr>
              <w:t>噁唑酰草胺</w:t>
            </w:r>
          </w:p>
        </w:tc>
      </w:tr>
      <w:tr w14:paraId="092120C0">
        <w:tblPrEx>
          <w:tblCellMar>
            <w:top w:w="0" w:type="dxa"/>
            <w:left w:w="0" w:type="dxa"/>
            <w:bottom w:w="0" w:type="dxa"/>
            <w:right w:w="0" w:type="dxa"/>
          </w:tblCellMar>
        </w:tblPrEx>
        <w:trPr>
          <w:wBefore w:w="0" w:type="auto"/>
          <w:tblCellSpacing w:w="0" w:type="dxa"/>
        </w:trPr>
        <w:tc>
          <w:tcPr>
            <w:tcW w:w="0" w:type="auto"/>
            <w:noWrap w:val="0"/>
            <w:vAlign w:val="center"/>
          </w:tcPr>
          <w:p w14:paraId="5B701B09">
            <w:r>
              <w:rPr>
                <w:rStyle w:val="10"/>
                <w:rFonts w:hint="eastAsia"/>
              </w:rPr>
              <w:t>剂型：</w:t>
            </w:r>
            <w:r>
              <w:rPr>
                <w:rFonts w:hint="eastAsia"/>
              </w:rPr>
              <w:t>乳油</w:t>
            </w:r>
          </w:p>
        </w:tc>
      </w:tr>
      <w:tr w14:paraId="08CB1E5F">
        <w:tblPrEx>
          <w:tblCellMar>
            <w:top w:w="0" w:type="dxa"/>
            <w:left w:w="0" w:type="dxa"/>
            <w:bottom w:w="0" w:type="dxa"/>
            <w:right w:w="0" w:type="dxa"/>
          </w:tblCellMar>
        </w:tblPrEx>
        <w:trPr>
          <w:wBefore w:w="0" w:type="auto"/>
          <w:tblCellSpacing w:w="0" w:type="dxa"/>
        </w:trPr>
        <w:tc>
          <w:tcPr>
            <w:tcW w:w="0" w:type="auto"/>
            <w:noWrap w:val="0"/>
            <w:vAlign w:val="center"/>
          </w:tcPr>
          <w:p w14:paraId="37EBCD67">
            <w:r>
              <w:rPr>
                <w:rStyle w:val="10"/>
                <w:rFonts w:hint="eastAsia"/>
              </w:rPr>
              <w:t>毒性及其标识：</w:t>
            </w:r>
            <w:r>
              <w:rPr>
                <w:rFonts w:hint="eastAsia"/>
              </w:rPr>
              <w:t xml:space="preserve"> </w:t>
            </w:r>
            <w:r>
              <w:rPr>
                <w:lang/>
              </w:rPr>
              <w:drawing>
                <wp:inline distT="0" distB="0" distL="114300" distR="114300">
                  <wp:extent cx="476250" cy="323850"/>
                  <wp:effectExtent l="0" t="0" r="0" b="0"/>
                  <wp:docPr id="164" name="图片 16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145B8C5">
        <w:tblPrEx>
          <w:tblCellMar>
            <w:top w:w="0" w:type="dxa"/>
            <w:left w:w="0" w:type="dxa"/>
            <w:bottom w:w="0" w:type="dxa"/>
            <w:right w:w="0" w:type="dxa"/>
          </w:tblCellMar>
        </w:tblPrEx>
        <w:trPr>
          <w:wBefore w:w="0" w:type="auto"/>
          <w:tblCellSpacing w:w="0" w:type="dxa"/>
        </w:trPr>
        <w:tc>
          <w:tcPr>
            <w:tcW w:w="0" w:type="auto"/>
            <w:noWrap w:val="0"/>
            <w:vAlign w:val="center"/>
          </w:tcPr>
          <w:p w14:paraId="640595D6">
            <w:r>
              <w:rPr>
                <w:rStyle w:val="10"/>
                <w:rFonts w:hint="eastAsia"/>
              </w:rPr>
              <w:t>总有效成分含量：</w:t>
            </w:r>
            <w:r>
              <w:rPr>
                <w:rFonts w:hint="eastAsia"/>
              </w:rPr>
              <w:t>10%</w:t>
            </w:r>
          </w:p>
        </w:tc>
      </w:tr>
      <w:tr w14:paraId="7399B6A0">
        <w:tblPrEx>
          <w:tblCellMar>
            <w:top w:w="0" w:type="dxa"/>
            <w:left w:w="0" w:type="dxa"/>
            <w:bottom w:w="0" w:type="dxa"/>
            <w:right w:w="0" w:type="dxa"/>
          </w:tblCellMar>
        </w:tblPrEx>
        <w:trPr>
          <w:wBefore w:w="0" w:type="auto"/>
          <w:tblCellSpacing w:w="0" w:type="dxa"/>
        </w:trPr>
        <w:tc>
          <w:tcPr>
            <w:tcW w:w="0" w:type="auto"/>
            <w:noWrap w:val="0"/>
            <w:vAlign w:val="center"/>
          </w:tcPr>
          <w:p w14:paraId="5D10168D">
            <w:r>
              <w:rPr>
                <w:rFonts w:hint="eastAsia"/>
              </w:rPr>
              <w:t xml:space="preserve">有效成分及其含量： </w:t>
            </w:r>
          </w:p>
          <w:p w14:paraId="400A3EB2">
            <w:r>
              <w:rPr>
                <w:rFonts w:hint="eastAsia"/>
              </w:rPr>
              <w:t xml:space="preserve">    噁唑酰草胺10%    </w:t>
            </w:r>
          </w:p>
        </w:tc>
      </w:tr>
      <w:tr w14:paraId="2C2A7869">
        <w:tblPrEx>
          <w:tblCellMar>
            <w:top w:w="0" w:type="dxa"/>
            <w:left w:w="0" w:type="dxa"/>
            <w:bottom w:w="0" w:type="dxa"/>
            <w:right w:w="0" w:type="dxa"/>
          </w:tblCellMar>
        </w:tblPrEx>
        <w:trPr>
          <w:wBefore w:w="0" w:type="auto"/>
          <w:tblCellSpacing w:w="0" w:type="dxa"/>
        </w:trPr>
        <w:tc>
          <w:tcPr>
            <w:tcW w:w="0" w:type="auto"/>
            <w:noWrap w:val="0"/>
            <w:vAlign w:val="center"/>
          </w:tcPr>
          <w:p w14:paraId="2B25B77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6029A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E17637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03CBD7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14613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368CC5">
                  <w:r>
                    <w:rPr>
                      <w:rStyle w:val="11"/>
                      <w:rFonts w:hint="eastAsia"/>
                    </w:rPr>
                    <w:t>施用方式</w:t>
                  </w:r>
                </w:p>
              </w:tc>
            </w:tr>
            <w:tr w14:paraId="3E9F87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A0476D7">
                  <w:r>
                    <w:rPr>
                      <w:rStyle w:val="11"/>
                      <w:rFonts w:hint="eastAsia"/>
                    </w:rPr>
                    <w:t>直播水稻田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6CF75C">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E865D8">
                  <w:r>
                    <w:rPr>
                      <w:rStyle w:val="11"/>
                      <w:rFonts w:hint="eastAsia"/>
                    </w:rPr>
                    <w:t>70-80毫升/亩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E9DF76">
                  <w:r>
                    <w:rPr>
                      <w:rStyle w:val="11"/>
                      <w:rFonts w:hint="eastAsia"/>
                    </w:rPr>
                    <w:t>茎叶喷雾</w:t>
                  </w:r>
                </w:p>
              </w:tc>
            </w:tr>
          </w:tbl>
          <w:p w14:paraId="3582BA48">
            <w:pPr>
              <w:rPr>
                <w:rFonts w:ascii="Times New Roman" w:hAnsi="Times New Roman" w:cs="Times New Roman"/>
                <w:sz w:val="20"/>
                <w:szCs w:val="20"/>
              </w:rPr>
            </w:pPr>
          </w:p>
        </w:tc>
      </w:tr>
      <w:tr w14:paraId="328D0FDD">
        <w:tblPrEx>
          <w:tblCellMar>
            <w:top w:w="0" w:type="dxa"/>
            <w:left w:w="0" w:type="dxa"/>
            <w:bottom w:w="0" w:type="dxa"/>
            <w:right w:w="0" w:type="dxa"/>
          </w:tblCellMar>
        </w:tblPrEx>
        <w:trPr>
          <w:wBefore w:w="0" w:type="auto"/>
          <w:tblCellSpacing w:w="0" w:type="dxa"/>
        </w:trPr>
        <w:tc>
          <w:tcPr>
            <w:tcW w:w="0" w:type="auto"/>
            <w:noWrap w:val="0"/>
            <w:vAlign w:val="center"/>
          </w:tcPr>
          <w:p w14:paraId="5A135E70">
            <w:r>
              <w:rPr>
                <w:rStyle w:val="10"/>
                <w:rFonts w:hint="eastAsia"/>
              </w:rPr>
              <w:t>使用技术要求:</w:t>
            </w:r>
            <w:r>
              <w:rPr>
                <w:rFonts w:hint="eastAsia"/>
              </w:rPr>
              <w:br w:type="textWrapping"/>
            </w:r>
            <w:r>
              <w:rPr>
                <w:rStyle w:val="11"/>
                <w:rFonts w:hint="eastAsia"/>
              </w:rPr>
              <w:t>1.于直播水稻2叶1心后，一年生禾本科杂草2-5叶期，茎叶喷雾施药，施药前排干田水，保持田间湿润，药后1-3天复水，田内保持3-5厘米水层，保水5-7天后恢复正常管理。2. 每季作物最多使用1次。</w:t>
            </w:r>
          </w:p>
        </w:tc>
      </w:tr>
      <w:tr w14:paraId="3877C124">
        <w:tblPrEx>
          <w:tblCellMar>
            <w:top w:w="0" w:type="dxa"/>
            <w:left w:w="0" w:type="dxa"/>
            <w:bottom w:w="0" w:type="dxa"/>
            <w:right w:w="0" w:type="dxa"/>
          </w:tblCellMar>
        </w:tblPrEx>
        <w:trPr>
          <w:wBefore w:w="0" w:type="auto"/>
          <w:tblCellSpacing w:w="0" w:type="dxa"/>
        </w:trPr>
        <w:tc>
          <w:tcPr>
            <w:tcW w:w="0" w:type="auto"/>
            <w:noWrap w:val="0"/>
            <w:vAlign w:val="center"/>
          </w:tcPr>
          <w:p w14:paraId="7DE71ED4">
            <w:r>
              <w:rPr>
                <w:rStyle w:val="10"/>
                <w:rFonts w:hint="eastAsia"/>
              </w:rPr>
              <w:t>产品性能:</w:t>
            </w:r>
            <w:r>
              <w:rPr>
                <w:rFonts w:hint="eastAsia"/>
              </w:rPr>
              <w:br w:type="textWrapping"/>
            </w:r>
            <w:r>
              <w:rPr>
                <w:rStyle w:val="11"/>
                <w:rFonts w:hint="eastAsia"/>
              </w:rPr>
              <w:t>本品是芳氧苯氧丙酸类内吸传导型除草剂,经茎叶吸收，通过维管束传导至生长点，抑制植物体内脂肪酸的合成，从而达到除草效果。可用于水稻田防除稗草、千金子、马唐等多种禾本科杂草。推荐剂量下使用安全。</w:t>
            </w:r>
          </w:p>
        </w:tc>
      </w:tr>
      <w:tr w14:paraId="29656FBE">
        <w:tblPrEx>
          <w:tblCellMar>
            <w:top w:w="0" w:type="dxa"/>
            <w:left w:w="0" w:type="dxa"/>
            <w:bottom w:w="0" w:type="dxa"/>
            <w:right w:w="0" w:type="dxa"/>
          </w:tblCellMar>
        </w:tblPrEx>
        <w:trPr>
          <w:wBefore w:w="0" w:type="auto"/>
          <w:tblCellSpacing w:w="0" w:type="dxa"/>
        </w:trPr>
        <w:tc>
          <w:tcPr>
            <w:tcW w:w="0" w:type="auto"/>
            <w:noWrap w:val="0"/>
            <w:vAlign w:val="center"/>
          </w:tcPr>
          <w:p w14:paraId="18C4DC0E">
            <w:r>
              <w:rPr>
                <w:rStyle w:val="10"/>
                <w:rFonts w:hint="eastAsia"/>
              </w:rPr>
              <w:t>注意事项：</w:t>
            </w:r>
            <w:r>
              <w:rPr>
                <w:rFonts w:hint="eastAsia"/>
              </w:rPr>
              <w:br w:type="textWrapping"/>
            </w:r>
            <w:r>
              <w:rPr>
                <w:rStyle w:val="11"/>
                <w:rFonts w:hint="eastAsia"/>
              </w:rPr>
              <w:t>1. 本品对眼睛有刺激性，使用时避免接触眼睛，穿戴长衣、长裤、帽子、口罩、手套等安全防护措施。避免农药与皮肤接触或吸入。施药期间不可饮食、吸烟，施药后应及时洗手和洗脸等。2. 避免药液飘移到邻近的禾本科作物田。3. 施药后彻底清洗施药器械，废水妥善处理，以免污染水源与环境。禁止在河塘等水体中清洗施药器具。 4. 用过的包装物应妥善处理，不可另做他用，也不可随意丢弃。5. 远离水产养殖区、河塘等水体施药；禁止在河塘等水体中清洗施药器具；鱼或虾蟹套养稻田禁用；施药后的田水不得直接排入水体。6. 蚕室及桑园附近禁用。7. 孕妇及哺乳期的妇女避免接触本品。</w:t>
            </w:r>
          </w:p>
        </w:tc>
      </w:tr>
      <w:tr w14:paraId="761B63E4">
        <w:tblPrEx>
          <w:tblCellMar>
            <w:top w:w="0" w:type="dxa"/>
            <w:left w:w="0" w:type="dxa"/>
            <w:bottom w:w="0" w:type="dxa"/>
            <w:right w:w="0" w:type="dxa"/>
          </w:tblCellMar>
        </w:tblPrEx>
        <w:trPr>
          <w:wBefore w:w="0" w:type="auto"/>
          <w:tblCellSpacing w:w="0" w:type="dxa"/>
        </w:trPr>
        <w:tc>
          <w:tcPr>
            <w:tcW w:w="0" w:type="auto"/>
            <w:noWrap w:val="0"/>
            <w:vAlign w:val="center"/>
          </w:tcPr>
          <w:p w14:paraId="63C61B3B">
            <w:r>
              <w:rPr>
                <w:rStyle w:val="10"/>
                <w:rFonts w:hint="eastAsia"/>
              </w:rPr>
              <w:t>中毒急救措施：</w:t>
            </w:r>
            <w:r>
              <w:rPr>
                <w:rFonts w:hint="eastAsia"/>
              </w:rPr>
              <w:br w:type="textWrapping"/>
            </w:r>
            <w:r>
              <w:rPr>
                <w:rStyle w:val="11"/>
                <w:rFonts w:hint="eastAsia"/>
              </w:rPr>
              <w:t>1. 中毒症状：对眼睛、皮肤和粘膜有刺激作用。 2. 皮肤接触：立即脱掉被污染的衣物，用肥皂和大量清水彻底清洗受污染的皮肤。 3. 眼睛溅药：对眼睛有刺激作用，溅入眼睛中，立即将眼睑翻开，用清水冲洗至少15分钟，再请医生诊治。4. 不慎吸入，应将病人移到空气清新处。5. 误服，立即携标签就医。6. 本品尚无特效解毒剂，应对症治疗。</w:t>
            </w:r>
          </w:p>
        </w:tc>
      </w:tr>
      <w:tr w14:paraId="5BA8F680">
        <w:tblPrEx>
          <w:tblCellMar>
            <w:top w:w="0" w:type="dxa"/>
            <w:left w:w="0" w:type="dxa"/>
            <w:bottom w:w="0" w:type="dxa"/>
            <w:right w:w="0" w:type="dxa"/>
          </w:tblCellMar>
        </w:tblPrEx>
        <w:trPr>
          <w:wBefore w:w="0" w:type="auto"/>
          <w:tblCellSpacing w:w="0" w:type="dxa"/>
        </w:trPr>
        <w:tc>
          <w:tcPr>
            <w:tcW w:w="0" w:type="auto"/>
            <w:noWrap w:val="0"/>
            <w:vAlign w:val="center"/>
          </w:tcPr>
          <w:p w14:paraId="1198AA61">
            <w:r>
              <w:rPr>
                <w:rStyle w:val="10"/>
                <w:rFonts w:hint="eastAsia"/>
              </w:rPr>
              <w:t>储存和运输方法：</w:t>
            </w:r>
            <w:r>
              <w:rPr>
                <w:rFonts w:hint="eastAsia"/>
              </w:rPr>
              <w:br w:type="textWrapping"/>
            </w:r>
            <w:r>
              <w:rPr>
                <w:rStyle w:val="11"/>
                <w:rFonts w:hint="eastAsia"/>
              </w:rPr>
              <w:t>1.本品应贮存在干燥、阴凉、通风、防雨处，远离火源或热源。置于儿童、无关人员触及不到之处，并加锁。勿与食品、饮料、粮食、饲料等物品同贮同运。避免与氧化剂（如高锰酸钾）接触。运输时，必须严格执行国家及公司有关安全运输规定。</w:t>
            </w:r>
          </w:p>
        </w:tc>
      </w:tr>
      <w:tr w14:paraId="4C3766B3">
        <w:tblPrEx>
          <w:tblCellMar>
            <w:top w:w="0" w:type="dxa"/>
            <w:left w:w="0" w:type="dxa"/>
            <w:bottom w:w="0" w:type="dxa"/>
            <w:right w:w="0" w:type="dxa"/>
          </w:tblCellMar>
        </w:tblPrEx>
        <w:trPr>
          <w:wBefore w:w="0" w:type="auto"/>
          <w:tblCellSpacing w:w="0" w:type="dxa"/>
        </w:trPr>
        <w:tc>
          <w:tcPr>
            <w:tcW w:w="0" w:type="auto"/>
            <w:noWrap w:val="0"/>
            <w:vAlign w:val="center"/>
          </w:tcPr>
          <w:p w14:paraId="4F5D6479">
            <w:r>
              <w:rPr>
                <w:rStyle w:val="10"/>
                <w:rFonts w:hint="eastAsia"/>
              </w:rPr>
              <w:t>质量保证期：</w:t>
            </w:r>
            <w:r>
              <w:rPr>
                <w:rStyle w:val="11"/>
                <w:rFonts w:hint="eastAsia"/>
              </w:rPr>
              <w:t>2年</w:t>
            </w:r>
          </w:p>
        </w:tc>
      </w:tr>
      <w:tr w14:paraId="0FE6C021">
        <w:tblPrEx>
          <w:tblCellMar>
            <w:top w:w="0" w:type="dxa"/>
            <w:left w:w="0" w:type="dxa"/>
            <w:bottom w:w="0" w:type="dxa"/>
            <w:right w:w="0" w:type="dxa"/>
          </w:tblCellMar>
        </w:tblPrEx>
        <w:trPr>
          <w:wBefore w:w="0" w:type="auto"/>
          <w:tblCellSpacing w:w="0" w:type="dxa"/>
        </w:trPr>
        <w:tc>
          <w:tcPr>
            <w:tcW w:w="0" w:type="auto"/>
            <w:noWrap w:val="0"/>
            <w:vAlign w:val="center"/>
          </w:tcPr>
          <w:p w14:paraId="1AB14D21">
            <w:r>
              <w:rPr>
                <w:rStyle w:val="10"/>
                <w:rFonts w:hint="eastAsia"/>
              </w:rPr>
              <w:t>备注：</w:t>
            </w:r>
          </w:p>
        </w:tc>
      </w:tr>
    </w:tbl>
    <w:p w14:paraId="04826B3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6D7EB97">
        <w:tblPrEx>
          <w:tblCellMar>
            <w:top w:w="0" w:type="dxa"/>
            <w:left w:w="0" w:type="dxa"/>
            <w:bottom w:w="0" w:type="dxa"/>
            <w:right w:w="0" w:type="dxa"/>
          </w:tblCellMar>
        </w:tblPrEx>
        <w:trPr>
          <w:wBefore w:w="0" w:type="auto"/>
          <w:tblCellSpacing w:w="0" w:type="dxa"/>
        </w:trPr>
        <w:tc>
          <w:tcPr>
            <w:tcW w:w="0" w:type="auto"/>
            <w:noWrap w:val="0"/>
            <w:vAlign w:val="center"/>
          </w:tcPr>
          <w:p w14:paraId="416051F4">
            <w:r>
              <w:rPr>
                <w:rStyle w:val="10"/>
                <w:rFonts w:hint="eastAsia"/>
              </w:rPr>
              <w:t>登记证号：</w:t>
            </w:r>
            <w:r>
              <w:rPr>
                <w:rFonts w:hint="eastAsia"/>
              </w:rPr>
              <w:t>PD20212129</w:t>
            </w:r>
          </w:p>
        </w:tc>
      </w:tr>
      <w:tr w14:paraId="4473B48C">
        <w:tblPrEx>
          <w:tblCellMar>
            <w:top w:w="0" w:type="dxa"/>
            <w:left w:w="0" w:type="dxa"/>
            <w:bottom w:w="0" w:type="dxa"/>
            <w:right w:w="0" w:type="dxa"/>
          </w:tblCellMar>
        </w:tblPrEx>
        <w:trPr>
          <w:wBefore w:w="0" w:type="auto"/>
          <w:tblCellSpacing w:w="0" w:type="dxa"/>
        </w:trPr>
        <w:tc>
          <w:tcPr>
            <w:tcW w:w="0" w:type="auto"/>
            <w:noWrap w:val="0"/>
            <w:vAlign w:val="center"/>
          </w:tcPr>
          <w:p w14:paraId="57CEBEE9">
            <w:r>
              <w:rPr>
                <w:rStyle w:val="10"/>
                <w:rFonts w:hint="eastAsia"/>
              </w:rPr>
              <w:t>登记证持有人：</w:t>
            </w:r>
            <w:r>
              <w:rPr>
                <w:rFonts w:hint="eastAsia"/>
              </w:rPr>
              <w:t>山东万豪化工股份有限公司</w:t>
            </w:r>
          </w:p>
        </w:tc>
      </w:tr>
      <w:tr w14:paraId="661ADF2E">
        <w:tblPrEx>
          <w:tblCellMar>
            <w:top w:w="0" w:type="dxa"/>
            <w:left w:w="0" w:type="dxa"/>
            <w:bottom w:w="0" w:type="dxa"/>
            <w:right w:w="0" w:type="dxa"/>
          </w:tblCellMar>
        </w:tblPrEx>
        <w:trPr>
          <w:wBefore w:w="0" w:type="auto"/>
          <w:tblCellSpacing w:w="0" w:type="dxa"/>
        </w:trPr>
        <w:tc>
          <w:tcPr>
            <w:tcW w:w="0" w:type="auto"/>
            <w:noWrap w:val="0"/>
            <w:vAlign w:val="center"/>
          </w:tcPr>
          <w:p w14:paraId="641CB10F">
            <w:r>
              <w:rPr>
                <w:rStyle w:val="10"/>
                <w:rFonts w:hint="eastAsia"/>
              </w:rPr>
              <w:t>农药名称：</w:t>
            </w:r>
            <w:r>
              <w:rPr>
                <w:rFonts w:hint="eastAsia"/>
              </w:rPr>
              <w:t>乙·莠·滴辛酯</w:t>
            </w:r>
          </w:p>
        </w:tc>
      </w:tr>
      <w:tr w14:paraId="276AE034">
        <w:tblPrEx>
          <w:tblCellMar>
            <w:top w:w="0" w:type="dxa"/>
            <w:left w:w="0" w:type="dxa"/>
            <w:bottom w:w="0" w:type="dxa"/>
            <w:right w:w="0" w:type="dxa"/>
          </w:tblCellMar>
        </w:tblPrEx>
        <w:trPr>
          <w:wBefore w:w="0" w:type="auto"/>
          <w:tblCellSpacing w:w="0" w:type="dxa"/>
        </w:trPr>
        <w:tc>
          <w:tcPr>
            <w:tcW w:w="0" w:type="auto"/>
            <w:noWrap w:val="0"/>
            <w:vAlign w:val="center"/>
          </w:tcPr>
          <w:p w14:paraId="34EA9789">
            <w:r>
              <w:rPr>
                <w:rStyle w:val="10"/>
                <w:rFonts w:hint="eastAsia"/>
              </w:rPr>
              <w:t>剂型：</w:t>
            </w:r>
            <w:r>
              <w:rPr>
                <w:rFonts w:hint="eastAsia"/>
              </w:rPr>
              <w:t>悬乳剂</w:t>
            </w:r>
          </w:p>
        </w:tc>
      </w:tr>
      <w:tr w14:paraId="56686033">
        <w:tblPrEx>
          <w:tblCellMar>
            <w:top w:w="0" w:type="dxa"/>
            <w:left w:w="0" w:type="dxa"/>
            <w:bottom w:w="0" w:type="dxa"/>
            <w:right w:w="0" w:type="dxa"/>
          </w:tblCellMar>
        </w:tblPrEx>
        <w:trPr>
          <w:wBefore w:w="0" w:type="auto"/>
          <w:tblCellSpacing w:w="0" w:type="dxa"/>
        </w:trPr>
        <w:tc>
          <w:tcPr>
            <w:tcW w:w="0" w:type="auto"/>
            <w:noWrap w:val="0"/>
            <w:vAlign w:val="center"/>
          </w:tcPr>
          <w:p w14:paraId="6EFCF2E7">
            <w:r>
              <w:rPr>
                <w:rStyle w:val="10"/>
                <w:rFonts w:hint="eastAsia"/>
              </w:rPr>
              <w:t>毒性及其标识：</w:t>
            </w:r>
            <w:r>
              <w:rPr>
                <w:rFonts w:hint="eastAsia"/>
              </w:rPr>
              <w:t xml:space="preserve"> </w:t>
            </w:r>
            <w:r>
              <w:rPr>
                <w:lang/>
              </w:rPr>
              <w:drawing>
                <wp:inline distT="0" distB="0" distL="114300" distR="114300">
                  <wp:extent cx="476250" cy="323850"/>
                  <wp:effectExtent l="0" t="0" r="0" b="0"/>
                  <wp:docPr id="165" name="图片 16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AB7DE9">
        <w:tblPrEx>
          <w:tblCellMar>
            <w:top w:w="0" w:type="dxa"/>
            <w:left w:w="0" w:type="dxa"/>
            <w:bottom w:w="0" w:type="dxa"/>
            <w:right w:w="0" w:type="dxa"/>
          </w:tblCellMar>
        </w:tblPrEx>
        <w:trPr>
          <w:wBefore w:w="0" w:type="auto"/>
          <w:tblCellSpacing w:w="0" w:type="dxa"/>
        </w:trPr>
        <w:tc>
          <w:tcPr>
            <w:tcW w:w="0" w:type="auto"/>
            <w:noWrap w:val="0"/>
            <w:vAlign w:val="center"/>
          </w:tcPr>
          <w:p w14:paraId="62E8FA94">
            <w:r>
              <w:rPr>
                <w:rStyle w:val="10"/>
                <w:rFonts w:hint="eastAsia"/>
              </w:rPr>
              <w:t>总有效成分含量：</w:t>
            </w:r>
            <w:r>
              <w:rPr>
                <w:rFonts w:hint="eastAsia"/>
              </w:rPr>
              <w:t>72%</w:t>
            </w:r>
          </w:p>
        </w:tc>
      </w:tr>
      <w:tr w14:paraId="78F9DBEE">
        <w:tblPrEx>
          <w:tblCellMar>
            <w:top w:w="0" w:type="dxa"/>
            <w:left w:w="0" w:type="dxa"/>
            <w:bottom w:w="0" w:type="dxa"/>
            <w:right w:w="0" w:type="dxa"/>
          </w:tblCellMar>
        </w:tblPrEx>
        <w:trPr>
          <w:wBefore w:w="0" w:type="auto"/>
          <w:tblCellSpacing w:w="0" w:type="dxa"/>
        </w:trPr>
        <w:tc>
          <w:tcPr>
            <w:tcW w:w="0" w:type="auto"/>
            <w:noWrap w:val="0"/>
            <w:vAlign w:val="center"/>
          </w:tcPr>
          <w:p w14:paraId="0E7E8702">
            <w:r>
              <w:rPr>
                <w:rFonts w:hint="eastAsia"/>
              </w:rPr>
              <w:t xml:space="preserve">有效成分及其含量： </w:t>
            </w:r>
          </w:p>
          <w:p w14:paraId="73804647">
            <w:r>
              <w:rPr>
                <w:rFonts w:hint="eastAsia"/>
              </w:rPr>
              <w:t xml:space="preserve">    莠去津25%    2,4-滴异辛酯6%    乙草胺41%    </w:t>
            </w:r>
          </w:p>
        </w:tc>
      </w:tr>
      <w:tr w14:paraId="50FB08E9">
        <w:tblPrEx>
          <w:tblCellMar>
            <w:top w:w="0" w:type="dxa"/>
            <w:left w:w="0" w:type="dxa"/>
            <w:bottom w:w="0" w:type="dxa"/>
            <w:right w:w="0" w:type="dxa"/>
          </w:tblCellMar>
        </w:tblPrEx>
        <w:trPr>
          <w:wBefore w:w="0" w:type="auto"/>
          <w:tblCellSpacing w:w="0" w:type="dxa"/>
        </w:trPr>
        <w:tc>
          <w:tcPr>
            <w:tcW w:w="0" w:type="auto"/>
            <w:noWrap w:val="0"/>
            <w:vAlign w:val="center"/>
          </w:tcPr>
          <w:p w14:paraId="02C8495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11F05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65B6BA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B9D33F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73EAEB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3C4573">
                  <w:r>
                    <w:rPr>
                      <w:rStyle w:val="11"/>
                      <w:rFonts w:hint="eastAsia"/>
                    </w:rPr>
                    <w:t>施用方式</w:t>
                  </w:r>
                </w:p>
              </w:tc>
            </w:tr>
            <w:tr w14:paraId="7F32AA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546AA8">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F4393A">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A4B466">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38902F">
                  <w:r>
                    <w:rPr>
                      <w:rStyle w:val="11"/>
                      <w:rFonts w:hint="eastAsia"/>
                    </w:rPr>
                    <w:t>土壤喷雾</w:t>
                  </w:r>
                </w:p>
              </w:tc>
            </w:tr>
          </w:tbl>
          <w:p w14:paraId="28C105E3">
            <w:pPr>
              <w:rPr>
                <w:rFonts w:ascii="Times New Roman" w:hAnsi="Times New Roman" w:cs="Times New Roman"/>
                <w:sz w:val="20"/>
                <w:szCs w:val="20"/>
              </w:rPr>
            </w:pPr>
          </w:p>
        </w:tc>
      </w:tr>
      <w:tr w14:paraId="2C2CCCAB">
        <w:tblPrEx>
          <w:tblCellMar>
            <w:top w:w="0" w:type="dxa"/>
            <w:left w:w="0" w:type="dxa"/>
            <w:bottom w:w="0" w:type="dxa"/>
            <w:right w:w="0" w:type="dxa"/>
          </w:tblCellMar>
        </w:tblPrEx>
        <w:trPr>
          <w:wBefore w:w="0" w:type="auto"/>
          <w:tblCellSpacing w:w="0" w:type="dxa"/>
        </w:trPr>
        <w:tc>
          <w:tcPr>
            <w:tcW w:w="0" w:type="auto"/>
            <w:noWrap w:val="0"/>
            <w:vAlign w:val="center"/>
          </w:tcPr>
          <w:p w14:paraId="6CEBDF1C">
            <w:r>
              <w:rPr>
                <w:rStyle w:val="10"/>
                <w:rFonts w:hint="eastAsia"/>
              </w:rPr>
              <w:t>使用技术要求:</w:t>
            </w:r>
            <w:r>
              <w:rPr>
                <w:rFonts w:hint="eastAsia"/>
              </w:rPr>
              <w:br w:type="textWrapping"/>
            </w:r>
            <w:r>
              <w:rPr>
                <w:rStyle w:val="11"/>
                <w:rFonts w:hint="eastAsia"/>
              </w:rPr>
              <w:t>1.玉米播后苗前，每亩对水40-50公斤，进行土壤均匀喷雾。 2.在无风或微风（风力不大于2级）。气温15-28℃晴天施药。用标准喷容器压低喷头或减压喷雾，严禁使用弥雾机或超低容量喷雾。施药时注意风向，100米以内或下风种植有阔叶作物的玉米田，请勿使用。 3.每季最多使用1次。</w:t>
            </w:r>
          </w:p>
        </w:tc>
      </w:tr>
      <w:tr w14:paraId="377617E4">
        <w:tblPrEx>
          <w:tblCellMar>
            <w:top w:w="0" w:type="dxa"/>
            <w:left w:w="0" w:type="dxa"/>
            <w:bottom w:w="0" w:type="dxa"/>
            <w:right w:w="0" w:type="dxa"/>
          </w:tblCellMar>
        </w:tblPrEx>
        <w:trPr>
          <w:wBefore w:w="0" w:type="auto"/>
          <w:tblCellSpacing w:w="0" w:type="dxa"/>
        </w:trPr>
        <w:tc>
          <w:tcPr>
            <w:tcW w:w="0" w:type="auto"/>
            <w:noWrap w:val="0"/>
            <w:vAlign w:val="center"/>
          </w:tcPr>
          <w:p w14:paraId="643B1042">
            <w:r>
              <w:rPr>
                <w:rStyle w:val="10"/>
                <w:rFonts w:hint="eastAsia"/>
              </w:rPr>
              <w:t>产品性能:</w:t>
            </w:r>
            <w:r>
              <w:rPr>
                <w:rFonts w:hint="eastAsia"/>
              </w:rPr>
              <w:br w:type="textWrapping"/>
            </w:r>
            <w:r>
              <w:rPr>
                <w:rStyle w:val="11"/>
                <w:rFonts w:hint="eastAsia"/>
              </w:rPr>
              <w:t>本品是由乙草胺、莠去津和2，4-滴异辛酯复配而成。乙草胺为选择性芽前除草剂，莠去津为选择性内吸除草剂，2，4-滴异辛酯为苯氧羧酸类激素型选择性除草剂，是2，4-滴丁酯优良换代产品。玉米播后苗前封闭使用，可防除稗草、马唐、藜、反枝苋等一年生杂草。</w:t>
            </w:r>
          </w:p>
        </w:tc>
      </w:tr>
      <w:tr w14:paraId="5C661D1B">
        <w:tblPrEx>
          <w:tblCellMar>
            <w:top w:w="0" w:type="dxa"/>
            <w:left w:w="0" w:type="dxa"/>
            <w:bottom w:w="0" w:type="dxa"/>
            <w:right w:w="0" w:type="dxa"/>
          </w:tblCellMar>
        </w:tblPrEx>
        <w:trPr>
          <w:wBefore w:w="0" w:type="auto"/>
          <w:tblCellSpacing w:w="0" w:type="dxa"/>
        </w:trPr>
        <w:tc>
          <w:tcPr>
            <w:tcW w:w="0" w:type="auto"/>
            <w:noWrap w:val="0"/>
            <w:vAlign w:val="center"/>
          </w:tcPr>
          <w:p w14:paraId="760BAAF3">
            <w:r>
              <w:rPr>
                <w:rStyle w:val="10"/>
                <w:rFonts w:hint="eastAsia"/>
              </w:rPr>
              <w:t>注意事项：</w:t>
            </w:r>
            <w:r>
              <w:rPr>
                <w:rFonts w:hint="eastAsia"/>
              </w:rPr>
              <w:br w:type="textWrapping"/>
            </w:r>
            <w:r>
              <w:rPr>
                <w:rStyle w:val="11"/>
                <w:rFonts w:hint="eastAsia"/>
              </w:rPr>
              <w:t>1.与大豆等其他作物间套或混种的春玉米田禁用。 2.本品受土壤水分、有机质含量和质地影响，土壤干旱、有机质含量高、质地重的地块应根据具体情况在登记用量范围内适当增加用药量和兑水量。 3.施药时穿长衣长裤、戴手套、眼镜等；此时不得进食、吸烟、饮水等，以防误食引起中毒；施药后应及时清洗皮肤及所穿衣物。4、水产养殖区、河塘等水体附近禁用，禁止在河塘等水域清洗施药器具，清洗器具的废水不能排入河流、池塘等水源，废弃物要妥善处理，不能乱丢乱放，也不能做它用。赤眼蜂等天敌放飞区域禁用。地下饮用水、水源地禁用。 5、避免孕妇和哺乳期妇女接触此药。6、废弃物应妥善处理，不能乱丢乱放，也不能做他用。</w:t>
            </w:r>
          </w:p>
        </w:tc>
      </w:tr>
      <w:tr w14:paraId="2D22A6BA">
        <w:tblPrEx>
          <w:tblCellMar>
            <w:top w:w="0" w:type="dxa"/>
            <w:left w:w="0" w:type="dxa"/>
            <w:bottom w:w="0" w:type="dxa"/>
            <w:right w:w="0" w:type="dxa"/>
          </w:tblCellMar>
        </w:tblPrEx>
        <w:trPr>
          <w:wBefore w:w="0" w:type="auto"/>
          <w:tblCellSpacing w:w="0" w:type="dxa"/>
        </w:trPr>
        <w:tc>
          <w:tcPr>
            <w:tcW w:w="0" w:type="auto"/>
            <w:noWrap w:val="0"/>
            <w:vAlign w:val="center"/>
          </w:tcPr>
          <w:p w14:paraId="55F9F57C">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 2、若溅到皮肤上，应立即用大量清水冲洗，如皮肤疼痛感持续，请医生诊治。 3、不慎溅入眼中，要立即用清水冲洗15分钟以上，并请医生诊治。 4、若误服，立即携此标签将病人送医院救治，可对症治疗。</w:t>
            </w:r>
          </w:p>
        </w:tc>
      </w:tr>
      <w:tr w14:paraId="717979E9">
        <w:tblPrEx>
          <w:tblCellMar>
            <w:top w:w="0" w:type="dxa"/>
            <w:left w:w="0" w:type="dxa"/>
            <w:bottom w:w="0" w:type="dxa"/>
            <w:right w:w="0" w:type="dxa"/>
          </w:tblCellMar>
        </w:tblPrEx>
        <w:trPr>
          <w:wBefore w:w="0" w:type="auto"/>
          <w:tblCellSpacing w:w="0" w:type="dxa"/>
        </w:trPr>
        <w:tc>
          <w:tcPr>
            <w:tcW w:w="0" w:type="auto"/>
            <w:noWrap w:val="0"/>
            <w:vAlign w:val="center"/>
          </w:tcPr>
          <w:p w14:paraId="06DB56B7">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本品应贮存在干燥、阴凉、通风、防雨处，远离火源或热源。置于儿童、无关人员触及不到之处，并加锁。勿与食品、饮料、粮食、饲料等物其他商品同贮同运</w:t>
            </w:r>
          </w:p>
        </w:tc>
      </w:tr>
      <w:tr w14:paraId="1E7A2F05">
        <w:tblPrEx>
          <w:tblCellMar>
            <w:top w:w="0" w:type="dxa"/>
            <w:left w:w="0" w:type="dxa"/>
            <w:bottom w:w="0" w:type="dxa"/>
            <w:right w:w="0" w:type="dxa"/>
          </w:tblCellMar>
        </w:tblPrEx>
        <w:trPr>
          <w:wBefore w:w="0" w:type="auto"/>
          <w:tblCellSpacing w:w="0" w:type="dxa"/>
        </w:trPr>
        <w:tc>
          <w:tcPr>
            <w:tcW w:w="0" w:type="auto"/>
            <w:noWrap w:val="0"/>
            <w:vAlign w:val="center"/>
          </w:tcPr>
          <w:p w14:paraId="1B7746B9">
            <w:r>
              <w:rPr>
                <w:rStyle w:val="10"/>
                <w:rFonts w:hint="eastAsia"/>
              </w:rPr>
              <w:t>质量保证期：</w:t>
            </w:r>
            <w:r>
              <w:rPr>
                <w:rStyle w:val="11"/>
                <w:rFonts w:hint="eastAsia"/>
              </w:rPr>
              <w:t>2年</w:t>
            </w:r>
          </w:p>
        </w:tc>
      </w:tr>
      <w:tr w14:paraId="5DF32674">
        <w:tblPrEx>
          <w:tblCellMar>
            <w:top w:w="0" w:type="dxa"/>
            <w:left w:w="0" w:type="dxa"/>
            <w:bottom w:w="0" w:type="dxa"/>
            <w:right w:w="0" w:type="dxa"/>
          </w:tblCellMar>
        </w:tblPrEx>
        <w:trPr>
          <w:wBefore w:w="0" w:type="auto"/>
          <w:tblCellSpacing w:w="0" w:type="dxa"/>
        </w:trPr>
        <w:tc>
          <w:tcPr>
            <w:tcW w:w="0" w:type="auto"/>
            <w:noWrap w:val="0"/>
            <w:vAlign w:val="center"/>
          </w:tcPr>
          <w:p w14:paraId="5BEF96D0">
            <w:r>
              <w:rPr>
                <w:rStyle w:val="10"/>
                <w:rFonts w:hint="eastAsia"/>
              </w:rPr>
              <w:t>备注：</w:t>
            </w:r>
          </w:p>
        </w:tc>
      </w:tr>
    </w:tbl>
    <w:p w14:paraId="4203107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BB86204">
        <w:tblPrEx>
          <w:tblCellMar>
            <w:top w:w="0" w:type="dxa"/>
            <w:left w:w="0" w:type="dxa"/>
            <w:bottom w:w="0" w:type="dxa"/>
            <w:right w:w="0" w:type="dxa"/>
          </w:tblCellMar>
        </w:tblPrEx>
        <w:trPr>
          <w:wBefore w:w="0" w:type="auto"/>
          <w:tblCellSpacing w:w="0" w:type="dxa"/>
        </w:trPr>
        <w:tc>
          <w:tcPr>
            <w:tcW w:w="0" w:type="auto"/>
            <w:noWrap w:val="0"/>
            <w:vAlign w:val="center"/>
          </w:tcPr>
          <w:p w14:paraId="11FDD076">
            <w:r>
              <w:rPr>
                <w:rStyle w:val="10"/>
                <w:rFonts w:hint="eastAsia"/>
              </w:rPr>
              <w:t>登记证号：</w:t>
            </w:r>
            <w:r>
              <w:rPr>
                <w:rFonts w:hint="eastAsia"/>
              </w:rPr>
              <w:t>PD20212083</w:t>
            </w:r>
          </w:p>
        </w:tc>
      </w:tr>
      <w:tr w14:paraId="47C05EFB">
        <w:tblPrEx>
          <w:tblCellMar>
            <w:top w:w="0" w:type="dxa"/>
            <w:left w:w="0" w:type="dxa"/>
            <w:bottom w:w="0" w:type="dxa"/>
            <w:right w:w="0" w:type="dxa"/>
          </w:tblCellMar>
        </w:tblPrEx>
        <w:trPr>
          <w:wBefore w:w="0" w:type="auto"/>
          <w:tblCellSpacing w:w="0" w:type="dxa"/>
        </w:trPr>
        <w:tc>
          <w:tcPr>
            <w:tcW w:w="0" w:type="auto"/>
            <w:noWrap w:val="0"/>
            <w:vAlign w:val="center"/>
          </w:tcPr>
          <w:p w14:paraId="5C0411A8">
            <w:r>
              <w:rPr>
                <w:rStyle w:val="10"/>
                <w:rFonts w:hint="eastAsia"/>
              </w:rPr>
              <w:t>登记证持有人：</w:t>
            </w:r>
            <w:r>
              <w:rPr>
                <w:rFonts w:hint="eastAsia"/>
              </w:rPr>
              <w:t>黑龙江华诺生物科技有限责任公司</w:t>
            </w:r>
          </w:p>
        </w:tc>
      </w:tr>
      <w:tr w14:paraId="1F9E538C">
        <w:tblPrEx>
          <w:tblCellMar>
            <w:top w:w="0" w:type="dxa"/>
            <w:left w:w="0" w:type="dxa"/>
            <w:bottom w:w="0" w:type="dxa"/>
            <w:right w:w="0" w:type="dxa"/>
          </w:tblCellMar>
        </w:tblPrEx>
        <w:trPr>
          <w:wBefore w:w="0" w:type="auto"/>
          <w:tblCellSpacing w:w="0" w:type="dxa"/>
        </w:trPr>
        <w:tc>
          <w:tcPr>
            <w:tcW w:w="0" w:type="auto"/>
            <w:noWrap w:val="0"/>
            <w:vAlign w:val="center"/>
          </w:tcPr>
          <w:p w14:paraId="1EAF7416">
            <w:r>
              <w:rPr>
                <w:rStyle w:val="10"/>
                <w:rFonts w:hint="eastAsia"/>
              </w:rPr>
              <w:t>农药名称：</w:t>
            </w:r>
            <w:r>
              <w:rPr>
                <w:rFonts w:hint="eastAsia"/>
              </w:rPr>
              <w:t>丙草胺</w:t>
            </w:r>
          </w:p>
        </w:tc>
      </w:tr>
      <w:tr w14:paraId="323F6282">
        <w:tblPrEx>
          <w:tblCellMar>
            <w:top w:w="0" w:type="dxa"/>
            <w:left w:w="0" w:type="dxa"/>
            <w:bottom w:w="0" w:type="dxa"/>
            <w:right w:w="0" w:type="dxa"/>
          </w:tblCellMar>
        </w:tblPrEx>
        <w:trPr>
          <w:wBefore w:w="0" w:type="auto"/>
          <w:tblCellSpacing w:w="0" w:type="dxa"/>
        </w:trPr>
        <w:tc>
          <w:tcPr>
            <w:tcW w:w="0" w:type="auto"/>
            <w:noWrap w:val="0"/>
            <w:vAlign w:val="center"/>
          </w:tcPr>
          <w:p w14:paraId="60181527">
            <w:r>
              <w:rPr>
                <w:rStyle w:val="10"/>
                <w:rFonts w:hint="eastAsia"/>
              </w:rPr>
              <w:t>剂型：</w:t>
            </w:r>
            <w:r>
              <w:rPr>
                <w:rFonts w:hint="eastAsia"/>
              </w:rPr>
              <w:t>微囊悬浮剂</w:t>
            </w:r>
          </w:p>
        </w:tc>
      </w:tr>
      <w:tr w14:paraId="0095196A">
        <w:tblPrEx>
          <w:tblCellMar>
            <w:top w:w="0" w:type="dxa"/>
            <w:left w:w="0" w:type="dxa"/>
            <w:bottom w:w="0" w:type="dxa"/>
            <w:right w:w="0" w:type="dxa"/>
          </w:tblCellMar>
        </w:tblPrEx>
        <w:trPr>
          <w:wBefore w:w="0" w:type="auto"/>
          <w:tblCellSpacing w:w="0" w:type="dxa"/>
        </w:trPr>
        <w:tc>
          <w:tcPr>
            <w:tcW w:w="0" w:type="auto"/>
            <w:noWrap w:val="0"/>
            <w:vAlign w:val="center"/>
          </w:tcPr>
          <w:p w14:paraId="5B3CC615">
            <w:r>
              <w:rPr>
                <w:rStyle w:val="10"/>
                <w:rFonts w:hint="eastAsia"/>
              </w:rPr>
              <w:t>毒性及其标识：</w:t>
            </w:r>
            <w:r>
              <w:rPr>
                <w:rFonts w:hint="eastAsia"/>
              </w:rPr>
              <w:t xml:space="preserve"> </w:t>
            </w:r>
            <w:r>
              <w:rPr>
                <w:lang/>
              </w:rPr>
              <w:drawing>
                <wp:inline distT="0" distB="0" distL="114300" distR="114300">
                  <wp:extent cx="476250" cy="323850"/>
                  <wp:effectExtent l="0" t="0" r="0" b="0"/>
                  <wp:docPr id="166" name="图片 16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6624400">
        <w:tblPrEx>
          <w:tblCellMar>
            <w:top w:w="0" w:type="dxa"/>
            <w:left w:w="0" w:type="dxa"/>
            <w:bottom w:w="0" w:type="dxa"/>
            <w:right w:w="0" w:type="dxa"/>
          </w:tblCellMar>
        </w:tblPrEx>
        <w:trPr>
          <w:wBefore w:w="0" w:type="auto"/>
          <w:tblCellSpacing w:w="0" w:type="dxa"/>
        </w:trPr>
        <w:tc>
          <w:tcPr>
            <w:tcW w:w="0" w:type="auto"/>
            <w:noWrap w:val="0"/>
            <w:vAlign w:val="center"/>
          </w:tcPr>
          <w:p w14:paraId="13D6B5F4">
            <w:r>
              <w:rPr>
                <w:rStyle w:val="10"/>
                <w:rFonts w:hint="eastAsia"/>
              </w:rPr>
              <w:t>总有效成分含量：</w:t>
            </w:r>
            <w:r>
              <w:rPr>
                <w:rFonts w:hint="eastAsia"/>
              </w:rPr>
              <w:t>36%</w:t>
            </w:r>
          </w:p>
        </w:tc>
      </w:tr>
      <w:tr w14:paraId="13EFB231">
        <w:tblPrEx>
          <w:tblCellMar>
            <w:top w:w="0" w:type="dxa"/>
            <w:left w:w="0" w:type="dxa"/>
            <w:bottom w:w="0" w:type="dxa"/>
            <w:right w:w="0" w:type="dxa"/>
          </w:tblCellMar>
        </w:tblPrEx>
        <w:trPr>
          <w:wBefore w:w="0" w:type="auto"/>
          <w:tblCellSpacing w:w="0" w:type="dxa"/>
        </w:trPr>
        <w:tc>
          <w:tcPr>
            <w:tcW w:w="0" w:type="auto"/>
            <w:noWrap w:val="0"/>
            <w:vAlign w:val="center"/>
          </w:tcPr>
          <w:p w14:paraId="3226AFBD">
            <w:r>
              <w:rPr>
                <w:rFonts w:hint="eastAsia"/>
              </w:rPr>
              <w:t xml:space="preserve">有效成分及其含量： </w:t>
            </w:r>
          </w:p>
          <w:p w14:paraId="4BCA00CB">
            <w:r>
              <w:rPr>
                <w:rFonts w:hint="eastAsia"/>
              </w:rPr>
              <w:t xml:space="preserve">    丙草胺36%    </w:t>
            </w:r>
          </w:p>
        </w:tc>
      </w:tr>
      <w:tr w14:paraId="22E1D196">
        <w:tblPrEx>
          <w:tblCellMar>
            <w:top w:w="0" w:type="dxa"/>
            <w:left w:w="0" w:type="dxa"/>
            <w:bottom w:w="0" w:type="dxa"/>
            <w:right w:w="0" w:type="dxa"/>
          </w:tblCellMar>
        </w:tblPrEx>
        <w:trPr>
          <w:wBefore w:w="0" w:type="auto"/>
          <w:tblCellSpacing w:w="0" w:type="dxa"/>
        </w:trPr>
        <w:tc>
          <w:tcPr>
            <w:tcW w:w="0" w:type="auto"/>
            <w:noWrap w:val="0"/>
            <w:vAlign w:val="center"/>
          </w:tcPr>
          <w:p w14:paraId="25760CB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F2661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D4EF77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BF169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9B874F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6F832DA">
                  <w:r>
                    <w:rPr>
                      <w:rStyle w:val="11"/>
                      <w:rFonts w:hint="eastAsia"/>
                    </w:rPr>
                    <w:t>施用方式</w:t>
                  </w:r>
                </w:p>
              </w:tc>
            </w:tr>
            <w:tr w14:paraId="040BE9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F7CE75A">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3C2F5A">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ED5649">
                  <w:r>
                    <w:rPr>
                      <w:rStyle w:val="11"/>
                      <w:rFonts w:hint="eastAsia"/>
                    </w:rPr>
                    <w:t>85-95毫升/亩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952F52">
                  <w:r>
                    <w:rPr>
                      <w:rStyle w:val="11"/>
                      <w:rFonts w:hint="eastAsia"/>
                    </w:rPr>
                    <w:t>药土法</w:t>
                  </w:r>
                </w:p>
              </w:tc>
            </w:tr>
          </w:tbl>
          <w:p w14:paraId="5664CD4C">
            <w:pPr>
              <w:rPr>
                <w:rFonts w:ascii="Times New Roman" w:hAnsi="Times New Roman" w:cs="Times New Roman"/>
                <w:sz w:val="20"/>
                <w:szCs w:val="20"/>
              </w:rPr>
            </w:pPr>
          </w:p>
        </w:tc>
      </w:tr>
      <w:tr w14:paraId="4B782946">
        <w:tblPrEx>
          <w:tblCellMar>
            <w:top w:w="0" w:type="dxa"/>
            <w:left w:w="0" w:type="dxa"/>
            <w:bottom w:w="0" w:type="dxa"/>
            <w:right w:w="0" w:type="dxa"/>
          </w:tblCellMar>
        </w:tblPrEx>
        <w:trPr>
          <w:wBefore w:w="0" w:type="auto"/>
          <w:tblCellSpacing w:w="0" w:type="dxa"/>
        </w:trPr>
        <w:tc>
          <w:tcPr>
            <w:tcW w:w="0" w:type="auto"/>
            <w:noWrap w:val="0"/>
            <w:vAlign w:val="center"/>
          </w:tcPr>
          <w:p w14:paraId="0B0D9934">
            <w:r>
              <w:rPr>
                <w:rStyle w:val="10"/>
                <w:rFonts w:hint="eastAsia"/>
              </w:rPr>
              <w:t>使用技术要求:</w:t>
            </w:r>
            <w:r>
              <w:rPr>
                <w:rFonts w:hint="eastAsia"/>
              </w:rPr>
              <w:br w:type="textWrapping"/>
            </w:r>
            <w:r>
              <w:rPr>
                <w:rStyle w:val="11"/>
                <w:rFonts w:hint="eastAsia"/>
              </w:rPr>
              <w:t>1. 本稻移栽后5-7天采用药土法均匀撒施，药后保浅水层5-7天后正常田管。推荐制剂用药量：85-95毫升/亩。药后水层勿淹没秧苗，以免引发药害。2. 在水稻每个生产周期最多使用次数为1次。</w:t>
            </w:r>
          </w:p>
        </w:tc>
      </w:tr>
      <w:tr w14:paraId="5B3816F2">
        <w:tblPrEx>
          <w:tblCellMar>
            <w:top w:w="0" w:type="dxa"/>
            <w:left w:w="0" w:type="dxa"/>
            <w:bottom w:w="0" w:type="dxa"/>
            <w:right w:w="0" w:type="dxa"/>
          </w:tblCellMar>
        </w:tblPrEx>
        <w:trPr>
          <w:wBefore w:w="0" w:type="auto"/>
          <w:tblCellSpacing w:w="0" w:type="dxa"/>
        </w:trPr>
        <w:tc>
          <w:tcPr>
            <w:tcW w:w="0" w:type="auto"/>
            <w:noWrap w:val="0"/>
            <w:vAlign w:val="center"/>
          </w:tcPr>
          <w:p w14:paraId="2D226045">
            <w:r>
              <w:rPr>
                <w:rStyle w:val="10"/>
                <w:rFonts w:hint="eastAsia"/>
              </w:rPr>
              <w:t>产品性能:</w:t>
            </w:r>
            <w:r>
              <w:rPr>
                <w:rFonts w:hint="eastAsia"/>
              </w:rPr>
              <w:br w:type="textWrapping"/>
            </w:r>
            <w:r>
              <w:rPr>
                <w:rStyle w:val="11"/>
                <w:rFonts w:hint="eastAsia"/>
              </w:rPr>
              <w:t>丙草胺属于选择性除草剂，可通过植物下胚轴、中胚轴、胚芽鞘吸收，抑制细胞分裂。用于防治水稻移栽田一年生杂草。</w:t>
            </w:r>
          </w:p>
        </w:tc>
      </w:tr>
      <w:tr w14:paraId="055C9095">
        <w:tblPrEx>
          <w:tblCellMar>
            <w:top w:w="0" w:type="dxa"/>
            <w:left w:w="0" w:type="dxa"/>
            <w:bottom w:w="0" w:type="dxa"/>
            <w:right w:w="0" w:type="dxa"/>
          </w:tblCellMar>
        </w:tblPrEx>
        <w:trPr>
          <w:wBefore w:w="0" w:type="auto"/>
          <w:tblCellSpacing w:w="0" w:type="dxa"/>
        </w:trPr>
        <w:tc>
          <w:tcPr>
            <w:tcW w:w="0" w:type="auto"/>
            <w:noWrap w:val="0"/>
            <w:vAlign w:val="center"/>
          </w:tcPr>
          <w:p w14:paraId="580B0813">
            <w:r>
              <w:rPr>
                <w:rStyle w:val="10"/>
                <w:rFonts w:hint="eastAsia"/>
              </w:rPr>
              <w:t>注意事项：</w:t>
            </w:r>
            <w:r>
              <w:rPr>
                <w:rFonts w:hint="eastAsia"/>
              </w:rPr>
              <w:br w:type="textWrapping"/>
            </w:r>
            <w:r>
              <w:rPr>
                <w:rStyle w:val="11"/>
                <w:rFonts w:hint="eastAsia"/>
              </w:rPr>
              <w:t>1 .本品对皮肤、眼睛有刺激性，使用时避免接触皮肤、眼睛，穿戴长衣、长裤、帽子、口罩、手套等防护措施。避免口鼻吸入。使用中不可吸烟、饮水及吃东西，使用后及时清洗手、脸等暴露部位皮肤并更换衣物。 2. 本品对水生生物有毒，远离水产养殖区、河塘等水体施药，禁止在河塘等水体中清洗施药器具；2. 鱼或虾蟹套养稻田禁用、施药后的田水不得直接排入水体。 3. 用过的容器应妥善处理，不可作他用，也不可随意丢弃。 4. 禁止儿童、孕妇及哺乳期妇女接触。过敏者禁用，使用中有任何不良反应请及时就医。 5. 避免与氧化剂接触。</w:t>
            </w:r>
          </w:p>
        </w:tc>
      </w:tr>
      <w:tr w14:paraId="7BCCA095">
        <w:tblPrEx>
          <w:tblCellMar>
            <w:top w:w="0" w:type="dxa"/>
            <w:left w:w="0" w:type="dxa"/>
            <w:bottom w:w="0" w:type="dxa"/>
            <w:right w:w="0" w:type="dxa"/>
          </w:tblCellMar>
        </w:tblPrEx>
        <w:trPr>
          <w:wBefore w:w="0" w:type="auto"/>
          <w:tblCellSpacing w:w="0" w:type="dxa"/>
        </w:trPr>
        <w:tc>
          <w:tcPr>
            <w:tcW w:w="0" w:type="auto"/>
            <w:noWrap w:val="0"/>
            <w:vAlign w:val="center"/>
          </w:tcPr>
          <w:p w14:paraId="56FF75EB">
            <w:r>
              <w:rPr>
                <w:rStyle w:val="10"/>
                <w:rFonts w:hint="eastAsia"/>
              </w:rPr>
              <w:t>中毒急救措施：</w:t>
            </w:r>
            <w:r>
              <w:rPr>
                <w:rFonts w:hint="eastAsia"/>
              </w:rPr>
              <w:br w:type="textWrapping"/>
            </w:r>
            <w:r>
              <w:rPr>
                <w:rStyle w:val="11"/>
                <w:rFonts w:hint="eastAsia"/>
              </w:rPr>
              <w:t xml:space="preserve">中毒症状：对眼睛和皮肤有刺激性。 急救措施：使用中或使用后如果感觉不适，应立即停止工作，采取急救措施，并携带标签送医院就诊。 皮肤接触：立即脱去污染的衣物，用软布去除沾染农药，用大量清水和肥皂冲洗。 眼睛溅入：立即用流动清水冲洗不少于15分钟。 吸入：立即离开施药现场，转移到空气清新处。 误食：立即停止服用，用清水充分漱口后，携带农药标签到医院就诊。 </w:t>
            </w:r>
          </w:p>
        </w:tc>
      </w:tr>
      <w:tr w14:paraId="55658F7C">
        <w:tblPrEx>
          <w:tblCellMar>
            <w:top w:w="0" w:type="dxa"/>
            <w:left w:w="0" w:type="dxa"/>
            <w:bottom w:w="0" w:type="dxa"/>
            <w:right w:w="0" w:type="dxa"/>
          </w:tblCellMar>
        </w:tblPrEx>
        <w:trPr>
          <w:wBefore w:w="0" w:type="auto"/>
          <w:tblCellSpacing w:w="0" w:type="dxa"/>
        </w:trPr>
        <w:tc>
          <w:tcPr>
            <w:tcW w:w="0" w:type="auto"/>
            <w:noWrap w:val="0"/>
            <w:vAlign w:val="center"/>
          </w:tcPr>
          <w:p w14:paraId="127DE981">
            <w:r>
              <w:rPr>
                <w:rStyle w:val="10"/>
                <w:rFonts w:hint="eastAsia"/>
              </w:rPr>
              <w:t>储存和运输方法：</w:t>
            </w:r>
            <w:r>
              <w:rPr>
                <w:rFonts w:hint="eastAsia"/>
              </w:rPr>
              <w:br w:type="textWrapping"/>
            </w:r>
            <w:r>
              <w:rPr>
                <w:rStyle w:val="11"/>
                <w:rFonts w:hint="eastAsia"/>
              </w:rPr>
              <w:t>本品应贮存在干燥、阴凉、避光、通风、防雨处，不能阳光直射，远离火源或热源，避免与氧化剂接触。置于儿童、无关人员触及不到之处，并加锁。勿与食品、饮料、饲料、粮食等同贮同运。</w:t>
            </w:r>
          </w:p>
        </w:tc>
      </w:tr>
      <w:tr w14:paraId="42C280A7">
        <w:tblPrEx>
          <w:tblCellMar>
            <w:top w:w="0" w:type="dxa"/>
            <w:left w:w="0" w:type="dxa"/>
            <w:bottom w:w="0" w:type="dxa"/>
            <w:right w:w="0" w:type="dxa"/>
          </w:tblCellMar>
        </w:tblPrEx>
        <w:trPr>
          <w:wBefore w:w="0" w:type="auto"/>
          <w:tblCellSpacing w:w="0" w:type="dxa"/>
        </w:trPr>
        <w:tc>
          <w:tcPr>
            <w:tcW w:w="0" w:type="auto"/>
            <w:noWrap w:val="0"/>
            <w:vAlign w:val="center"/>
          </w:tcPr>
          <w:p w14:paraId="3DBF4DE8">
            <w:r>
              <w:rPr>
                <w:rStyle w:val="10"/>
                <w:rFonts w:hint="eastAsia"/>
              </w:rPr>
              <w:t>质量保证期：</w:t>
            </w:r>
            <w:r>
              <w:rPr>
                <w:rStyle w:val="11"/>
                <w:rFonts w:hint="eastAsia"/>
              </w:rPr>
              <w:t>2年</w:t>
            </w:r>
          </w:p>
        </w:tc>
      </w:tr>
      <w:tr w14:paraId="22EF2072">
        <w:tblPrEx>
          <w:tblCellMar>
            <w:top w:w="0" w:type="dxa"/>
            <w:left w:w="0" w:type="dxa"/>
            <w:bottom w:w="0" w:type="dxa"/>
            <w:right w:w="0" w:type="dxa"/>
          </w:tblCellMar>
        </w:tblPrEx>
        <w:trPr>
          <w:wBefore w:w="0" w:type="auto"/>
          <w:tblCellSpacing w:w="0" w:type="dxa"/>
        </w:trPr>
        <w:tc>
          <w:tcPr>
            <w:tcW w:w="0" w:type="auto"/>
            <w:noWrap w:val="0"/>
            <w:vAlign w:val="center"/>
          </w:tcPr>
          <w:p w14:paraId="0A8B7BB6">
            <w:r>
              <w:rPr>
                <w:rStyle w:val="10"/>
                <w:rFonts w:hint="eastAsia"/>
              </w:rPr>
              <w:t>备注：</w:t>
            </w:r>
          </w:p>
        </w:tc>
      </w:tr>
    </w:tbl>
    <w:p w14:paraId="30C6982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0F32C33">
        <w:tblPrEx>
          <w:tblCellMar>
            <w:top w:w="0" w:type="dxa"/>
            <w:left w:w="0" w:type="dxa"/>
            <w:bottom w:w="0" w:type="dxa"/>
            <w:right w:w="0" w:type="dxa"/>
          </w:tblCellMar>
        </w:tblPrEx>
        <w:trPr>
          <w:wBefore w:w="0" w:type="auto"/>
          <w:tblCellSpacing w:w="0" w:type="dxa"/>
        </w:trPr>
        <w:tc>
          <w:tcPr>
            <w:tcW w:w="0" w:type="auto"/>
            <w:noWrap w:val="0"/>
            <w:vAlign w:val="center"/>
          </w:tcPr>
          <w:p w14:paraId="03912212">
            <w:r>
              <w:rPr>
                <w:rStyle w:val="10"/>
                <w:rFonts w:hint="eastAsia"/>
              </w:rPr>
              <w:t>登记证号：</w:t>
            </w:r>
            <w:r>
              <w:rPr>
                <w:rFonts w:hint="eastAsia"/>
              </w:rPr>
              <w:t>PD20211765</w:t>
            </w:r>
          </w:p>
        </w:tc>
      </w:tr>
      <w:tr w14:paraId="640A6E16">
        <w:tblPrEx>
          <w:tblCellMar>
            <w:top w:w="0" w:type="dxa"/>
            <w:left w:w="0" w:type="dxa"/>
            <w:bottom w:w="0" w:type="dxa"/>
            <w:right w:w="0" w:type="dxa"/>
          </w:tblCellMar>
        </w:tblPrEx>
        <w:trPr>
          <w:wBefore w:w="0" w:type="auto"/>
          <w:tblCellSpacing w:w="0" w:type="dxa"/>
        </w:trPr>
        <w:tc>
          <w:tcPr>
            <w:tcW w:w="0" w:type="auto"/>
            <w:noWrap w:val="0"/>
            <w:vAlign w:val="center"/>
          </w:tcPr>
          <w:p w14:paraId="47626C71">
            <w:r>
              <w:rPr>
                <w:rStyle w:val="10"/>
                <w:rFonts w:hint="eastAsia"/>
              </w:rPr>
              <w:t>登记证持有人：</w:t>
            </w:r>
            <w:r>
              <w:rPr>
                <w:rFonts w:hint="eastAsia"/>
              </w:rPr>
              <w:t>湖南新长山农业发展股份有限公司</w:t>
            </w:r>
          </w:p>
        </w:tc>
      </w:tr>
      <w:tr w14:paraId="4F9F0933">
        <w:tblPrEx>
          <w:tblCellMar>
            <w:top w:w="0" w:type="dxa"/>
            <w:left w:w="0" w:type="dxa"/>
            <w:bottom w:w="0" w:type="dxa"/>
            <w:right w:w="0" w:type="dxa"/>
          </w:tblCellMar>
        </w:tblPrEx>
        <w:trPr>
          <w:wBefore w:w="0" w:type="auto"/>
          <w:tblCellSpacing w:w="0" w:type="dxa"/>
        </w:trPr>
        <w:tc>
          <w:tcPr>
            <w:tcW w:w="0" w:type="auto"/>
            <w:noWrap w:val="0"/>
            <w:vAlign w:val="center"/>
          </w:tcPr>
          <w:p w14:paraId="76E0F38C">
            <w:r>
              <w:rPr>
                <w:rStyle w:val="10"/>
                <w:rFonts w:hint="eastAsia"/>
              </w:rPr>
              <w:t>农药名称：</w:t>
            </w:r>
            <w:r>
              <w:rPr>
                <w:rFonts w:hint="eastAsia"/>
              </w:rPr>
              <w:t>联苯·吡虫啉</w:t>
            </w:r>
          </w:p>
        </w:tc>
      </w:tr>
      <w:tr w14:paraId="64787A84">
        <w:tblPrEx>
          <w:tblCellMar>
            <w:top w:w="0" w:type="dxa"/>
            <w:left w:w="0" w:type="dxa"/>
            <w:bottom w:w="0" w:type="dxa"/>
            <w:right w:w="0" w:type="dxa"/>
          </w:tblCellMar>
        </w:tblPrEx>
        <w:trPr>
          <w:wBefore w:w="0" w:type="auto"/>
          <w:tblCellSpacing w:w="0" w:type="dxa"/>
        </w:trPr>
        <w:tc>
          <w:tcPr>
            <w:tcW w:w="0" w:type="auto"/>
            <w:noWrap w:val="0"/>
            <w:vAlign w:val="center"/>
          </w:tcPr>
          <w:p w14:paraId="3EB7990E">
            <w:r>
              <w:rPr>
                <w:rStyle w:val="10"/>
                <w:rFonts w:hint="eastAsia"/>
              </w:rPr>
              <w:t>剂型：</w:t>
            </w:r>
            <w:r>
              <w:rPr>
                <w:rFonts w:hint="eastAsia"/>
              </w:rPr>
              <w:t>悬浮剂</w:t>
            </w:r>
          </w:p>
        </w:tc>
      </w:tr>
      <w:tr w14:paraId="566DE96E">
        <w:tblPrEx>
          <w:tblCellMar>
            <w:top w:w="0" w:type="dxa"/>
            <w:left w:w="0" w:type="dxa"/>
            <w:bottom w:w="0" w:type="dxa"/>
            <w:right w:w="0" w:type="dxa"/>
          </w:tblCellMar>
        </w:tblPrEx>
        <w:trPr>
          <w:wBefore w:w="0" w:type="auto"/>
          <w:tblCellSpacing w:w="0" w:type="dxa"/>
        </w:trPr>
        <w:tc>
          <w:tcPr>
            <w:tcW w:w="0" w:type="auto"/>
            <w:noWrap w:val="0"/>
            <w:vAlign w:val="center"/>
          </w:tcPr>
          <w:p w14:paraId="5A158BBD">
            <w:r>
              <w:rPr>
                <w:rStyle w:val="10"/>
                <w:rFonts w:hint="eastAsia"/>
              </w:rPr>
              <w:t>毒性及其标识：</w:t>
            </w:r>
            <w:r>
              <w:rPr>
                <w:rFonts w:hint="eastAsia"/>
              </w:rPr>
              <w:t xml:space="preserve"> </w:t>
            </w:r>
            <w:r>
              <w:rPr>
                <w:lang/>
              </w:rPr>
              <w:drawing>
                <wp:inline distT="0" distB="0" distL="114300" distR="114300">
                  <wp:extent cx="476250" cy="323850"/>
                  <wp:effectExtent l="0" t="0" r="0" b="0"/>
                  <wp:docPr id="167" name="图片 16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853EC6F">
        <w:tblPrEx>
          <w:tblCellMar>
            <w:top w:w="0" w:type="dxa"/>
            <w:left w:w="0" w:type="dxa"/>
            <w:bottom w:w="0" w:type="dxa"/>
            <w:right w:w="0" w:type="dxa"/>
          </w:tblCellMar>
        </w:tblPrEx>
        <w:trPr>
          <w:wBefore w:w="0" w:type="auto"/>
          <w:tblCellSpacing w:w="0" w:type="dxa"/>
        </w:trPr>
        <w:tc>
          <w:tcPr>
            <w:tcW w:w="0" w:type="auto"/>
            <w:noWrap w:val="0"/>
            <w:vAlign w:val="center"/>
          </w:tcPr>
          <w:p w14:paraId="5C889B7D">
            <w:r>
              <w:rPr>
                <w:rStyle w:val="10"/>
                <w:rFonts w:hint="eastAsia"/>
              </w:rPr>
              <w:t>总有效成分含量：</w:t>
            </w:r>
            <w:r>
              <w:rPr>
                <w:rFonts w:hint="eastAsia"/>
              </w:rPr>
              <w:t>27%</w:t>
            </w:r>
          </w:p>
        </w:tc>
      </w:tr>
      <w:tr w14:paraId="28D834A9">
        <w:tblPrEx>
          <w:tblCellMar>
            <w:top w:w="0" w:type="dxa"/>
            <w:left w:w="0" w:type="dxa"/>
            <w:bottom w:w="0" w:type="dxa"/>
            <w:right w:w="0" w:type="dxa"/>
          </w:tblCellMar>
        </w:tblPrEx>
        <w:trPr>
          <w:wBefore w:w="0" w:type="auto"/>
          <w:tblCellSpacing w:w="0" w:type="dxa"/>
        </w:trPr>
        <w:tc>
          <w:tcPr>
            <w:tcW w:w="0" w:type="auto"/>
            <w:noWrap w:val="0"/>
            <w:vAlign w:val="center"/>
          </w:tcPr>
          <w:p w14:paraId="7F613646">
            <w:r>
              <w:rPr>
                <w:rFonts w:hint="eastAsia"/>
              </w:rPr>
              <w:t xml:space="preserve">有效成分及其含量： </w:t>
            </w:r>
          </w:p>
          <w:p w14:paraId="46A293E0">
            <w:r>
              <w:rPr>
                <w:rFonts w:hint="eastAsia"/>
              </w:rPr>
              <w:t xml:space="preserve">    联苯菊酯4.5%    吡虫啉22.5%    </w:t>
            </w:r>
          </w:p>
        </w:tc>
      </w:tr>
      <w:tr w14:paraId="0A0E5ED6">
        <w:tblPrEx>
          <w:tblCellMar>
            <w:top w:w="0" w:type="dxa"/>
            <w:left w:w="0" w:type="dxa"/>
            <w:bottom w:w="0" w:type="dxa"/>
            <w:right w:w="0" w:type="dxa"/>
          </w:tblCellMar>
        </w:tblPrEx>
        <w:trPr>
          <w:wBefore w:w="0" w:type="auto"/>
          <w:tblCellSpacing w:w="0" w:type="dxa"/>
        </w:trPr>
        <w:tc>
          <w:tcPr>
            <w:tcW w:w="0" w:type="auto"/>
            <w:noWrap w:val="0"/>
            <w:vAlign w:val="center"/>
          </w:tcPr>
          <w:p w14:paraId="17A6010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DB12C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CB87D5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83C162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69C098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B231B06">
                  <w:r>
                    <w:rPr>
                      <w:rStyle w:val="11"/>
                      <w:rFonts w:hint="eastAsia"/>
                    </w:rPr>
                    <w:t>施用方式</w:t>
                  </w:r>
                </w:p>
              </w:tc>
            </w:tr>
            <w:tr w14:paraId="06CD0F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40391E">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120DC0">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BAE3DE">
                  <w:r>
                    <w:rPr>
                      <w:rStyle w:val="11"/>
                      <w:rFonts w:hint="eastAsia"/>
                    </w:rPr>
                    <w:t>2-6毫升/亩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3F53CB">
                  <w:r>
                    <w:rPr>
                      <w:rStyle w:val="11"/>
                      <w:rFonts w:hint="eastAsia"/>
                    </w:rPr>
                    <w:t>喷雾</w:t>
                  </w:r>
                </w:p>
              </w:tc>
            </w:tr>
          </w:tbl>
          <w:p w14:paraId="0786550E">
            <w:pPr>
              <w:rPr>
                <w:rFonts w:ascii="Times New Roman" w:hAnsi="Times New Roman" w:cs="Times New Roman"/>
                <w:sz w:val="20"/>
                <w:szCs w:val="20"/>
              </w:rPr>
            </w:pPr>
          </w:p>
        </w:tc>
      </w:tr>
      <w:tr w14:paraId="0EC6C214">
        <w:tblPrEx>
          <w:tblCellMar>
            <w:top w:w="0" w:type="dxa"/>
            <w:left w:w="0" w:type="dxa"/>
            <w:bottom w:w="0" w:type="dxa"/>
            <w:right w:w="0" w:type="dxa"/>
          </w:tblCellMar>
        </w:tblPrEx>
        <w:trPr>
          <w:wBefore w:w="0" w:type="auto"/>
          <w:tblCellSpacing w:w="0" w:type="dxa"/>
        </w:trPr>
        <w:tc>
          <w:tcPr>
            <w:tcW w:w="0" w:type="auto"/>
            <w:noWrap w:val="0"/>
            <w:vAlign w:val="center"/>
          </w:tcPr>
          <w:p w14:paraId="64A6159E">
            <w:r>
              <w:rPr>
                <w:rStyle w:val="10"/>
                <w:rFonts w:hint="eastAsia"/>
              </w:rPr>
              <w:t>使用技术要求:</w:t>
            </w:r>
            <w:r>
              <w:rPr>
                <w:rFonts w:hint="eastAsia"/>
              </w:rPr>
              <w:br w:type="textWrapping"/>
            </w:r>
            <w:r>
              <w:rPr>
                <w:rStyle w:val="11"/>
                <w:rFonts w:hint="eastAsia"/>
              </w:rPr>
              <w:t>1、于小麦蚜虫始盛期开始喷雾施药，注意喷雾均匀周到。2、大风天或预计1小时内有雨，请勿施药。3、本品在小麦上的安全间隔期为14天，每季最多使用1次。</w:t>
            </w:r>
          </w:p>
        </w:tc>
      </w:tr>
      <w:tr w14:paraId="2017498D">
        <w:tblPrEx>
          <w:tblCellMar>
            <w:top w:w="0" w:type="dxa"/>
            <w:left w:w="0" w:type="dxa"/>
            <w:bottom w:w="0" w:type="dxa"/>
            <w:right w:w="0" w:type="dxa"/>
          </w:tblCellMar>
        </w:tblPrEx>
        <w:trPr>
          <w:wBefore w:w="0" w:type="auto"/>
          <w:tblCellSpacing w:w="0" w:type="dxa"/>
        </w:trPr>
        <w:tc>
          <w:tcPr>
            <w:tcW w:w="0" w:type="auto"/>
            <w:noWrap w:val="0"/>
            <w:vAlign w:val="center"/>
          </w:tcPr>
          <w:p w14:paraId="13D729AC">
            <w:r>
              <w:rPr>
                <w:rStyle w:val="10"/>
                <w:rFonts w:hint="eastAsia"/>
              </w:rPr>
              <w:t>产品性能:</w:t>
            </w:r>
            <w:r>
              <w:rPr>
                <w:rFonts w:hint="eastAsia"/>
              </w:rPr>
              <w:br w:type="textWrapping"/>
            </w:r>
            <w:r>
              <w:rPr>
                <w:rStyle w:val="11"/>
                <w:rFonts w:hint="eastAsia"/>
              </w:rPr>
              <w:t>本品为两种不同作用机理的有效成分联苯菊酯和吡虫啉的混配制剂。联苯菊酯是拟除虫菊酯类杀虫剂，吡虫啉是硝基亚甲基类杀虫剂，二者混配具有内吸、触杀和胃毒作用，用于防治小麦蚜虫。</w:t>
            </w:r>
          </w:p>
        </w:tc>
      </w:tr>
      <w:tr w14:paraId="47C14A3F">
        <w:tblPrEx>
          <w:tblCellMar>
            <w:top w:w="0" w:type="dxa"/>
            <w:left w:w="0" w:type="dxa"/>
            <w:bottom w:w="0" w:type="dxa"/>
            <w:right w:w="0" w:type="dxa"/>
          </w:tblCellMar>
        </w:tblPrEx>
        <w:trPr>
          <w:wBefore w:w="0" w:type="auto"/>
          <w:tblCellSpacing w:w="0" w:type="dxa"/>
        </w:trPr>
        <w:tc>
          <w:tcPr>
            <w:tcW w:w="0" w:type="auto"/>
            <w:noWrap w:val="0"/>
            <w:vAlign w:val="center"/>
          </w:tcPr>
          <w:p w14:paraId="1E9D9281">
            <w:r>
              <w:rPr>
                <w:rStyle w:val="10"/>
                <w:rFonts w:hint="eastAsia"/>
              </w:rPr>
              <w:t>注意事项：</w:t>
            </w:r>
            <w:r>
              <w:rPr>
                <w:rFonts w:hint="eastAsia"/>
              </w:rPr>
              <w:br w:type="textWrapping"/>
            </w:r>
            <w:r>
              <w:rPr>
                <w:rStyle w:val="11"/>
                <w:rFonts w:hint="eastAsia"/>
              </w:rPr>
              <w:t>1.本品对眼睛有刺激作用，避免眼睛接触。在配制和使用本品时，应穿（戴）好长衣、长裤、帽子、手套、口罩等安全防护措施，避免皮肤接触及口鼻吸入，施药期间不得进食、饮水和吸烟。2.本品不可与呈碱性的农药等物质混用，避免与具有氧化性物质接触或混合。3.本品对蜜蜂、水生生物和家蚕有毒，远离水产养殖区、河塘等水体施药，禁止在河塘等水域清洗施药器具。4.（周围）开花植物花期禁用，使用时应密切关注对附近蜂群的影响；蚕室和桑园附近禁用；赤眼蜂等天敌放飞区禁用。5.用过的容器应妥善处理，不可做他用，也不可随意丢弃。6.建议与其他作用机制不同的杀虫剂轮换使用，以延缓抗性产生。8.孕妇及哺乳期妇女禁止接触本品。</w:t>
            </w:r>
          </w:p>
        </w:tc>
      </w:tr>
      <w:tr w14:paraId="2214A854">
        <w:tblPrEx>
          <w:tblCellMar>
            <w:top w:w="0" w:type="dxa"/>
            <w:left w:w="0" w:type="dxa"/>
            <w:bottom w:w="0" w:type="dxa"/>
            <w:right w:w="0" w:type="dxa"/>
          </w:tblCellMar>
        </w:tblPrEx>
        <w:trPr>
          <w:wBefore w:w="0" w:type="auto"/>
          <w:tblCellSpacing w:w="0" w:type="dxa"/>
        </w:trPr>
        <w:tc>
          <w:tcPr>
            <w:tcW w:w="0" w:type="auto"/>
            <w:noWrap w:val="0"/>
            <w:vAlign w:val="center"/>
          </w:tcPr>
          <w:p w14:paraId="42C3E9F8">
            <w:r>
              <w:rPr>
                <w:rStyle w:val="10"/>
                <w:rFonts w:hint="eastAsia"/>
              </w:rPr>
              <w:t>中毒急救措施：</w:t>
            </w:r>
            <w:r>
              <w:rPr>
                <w:rFonts w:hint="eastAsia"/>
              </w:rPr>
              <w:br w:type="textWrapping"/>
            </w:r>
            <w:r>
              <w:rPr>
                <w:rStyle w:val="11"/>
                <w:rFonts w:hint="eastAsia"/>
              </w:rPr>
              <w:t>不慎吸入，应将病人移至空气流通处。不慎接触皮肤或溅入眼睛，应用大量清水冲洗至少15分钟。本品无特殊解毒剂，误服则应立即携此标签将病人送医院对症治疗。</w:t>
            </w:r>
          </w:p>
        </w:tc>
      </w:tr>
      <w:tr w14:paraId="41FDA144">
        <w:tblPrEx>
          <w:tblCellMar>
            <w:top w:w="0" w:type="dxa"/>
            <w:left w:w="0" w:type="dxa"/>
            <w:bottom w:w="0" w:type="dxa"/>
            <w:right w:w="0" w:type="dxa"/>
          </w:tblCellMar>
        </w:tblPrEx>
        <w:trPr>
          <w:wBefore w:w="0" w:type="auto"/>
          <w:tblCellSpacing w:w="0" w:type="dxa"/>
        </w:trPr>
        <w:tc>
          <w:tcPr>
            <w:tcW w:w="0" w:type="auto"/>
            <w:noWrap w:val="0"/>
            <w:vAlign w:val="center"/>
          </w:tcPr>
          <w:p w14:paraId="500F336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本品应贮存在干燥、阴凉、通风、防雨处，远离火源或热源。置于儿童、无关人员触及不到之处，并加锁保存。勿与粮食、食品、饮料、饲料等其他商品同贮同运。</w:t>
            </w:r>
          </w:p>
        </w:tc>
      </w:tr>
      <w:tr w14:paraId="4ADED9C9">
        <w:tblPrEx>
          <w:tblCellMar>
            <w:top w:w="0" w:type="dxa"/>
            <w:left w:w="0" w:type="dxa"/>
            <w:bottom w:w="0" w:type="dxa"/>
            <w:right w:w="0" w:type="dxa"/>
          </w:tblCellMar>
        </w:tblPrEx>
        <w:trPr>
          <w:wBefore w:w="0" w:type="auto"/>
          <w:tblCellSpacing w:w="0" w:type="dxa"/>
        </w:trPr>
        <w:tc>
          <w:tcPr>
            <w:tcW w:w="0" w:type="auto"/>
            <w:noWrap w:val="0"/>
            <w:vAlign w:val="center"/>
          </w:tcPr>
          <w:p w14:paraId="1599E0F9">
            <w:r>
              <w:rPr>
                <w:rStyle w:val="10"/>
                <w:rFonts w:hint="eastAsia"/>
              </w:rPr>
              <w:t>质量保证期：</w:t>
            </w:r>
            <w:r>
              <w:rPr>
                <w:rStyle w:val="11"/>
                <w:rFonts w:hint="eastAsia"/>
              </w:rPr>
              <w:t>2天</w:t>
            </w:r>
          </w:p>
        </w:tc>
      </w:tr>
      <w:tr w14:paraId="545600FD">
        <w:tblPrEx>
          <w:tblCellMar>
            <w:top w:w="0" w:type="dxa"/>
            <w:left w:w="0" w:type="dxa"/>
            <w:bottom w:w="0" w:type="dxa"/>
            <w:right w:w="0" w:type="dxa"/>
          </w:tblCellMar>
        </w:tblPrEx>
        <w:trPr>
          <w:wBefore w:w="0" w:type="auto"/>
          <w:tblCellSpacing w:w="0" w:type="dxa"/>
        </w:trPr>
        <w:tc>
          <w:tcPr>
            <w:tcW w:w="0" w:type="auto"/>
            <w:noWrap w:val="0"/>
            <w:vAlign w:val="center"/>
          </w:tcPr>
          <w:p w14:paraId="51327265">
            <w:r>
              <w:rPr>
                <w:rStyle w:val="10"/>
                <w:rFonts w:hint="eastAsia"/>
              </w:rPr>
              <w:t>备注：</w:t>
            </w:r>
          </w:p>
        </w:tc>
      </w:tr>
    </w:tbl>
    <w:p w14:paraId="1327D0B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EAF3BD9">
        <w:tblPrEx>
          <w:tblCellMar>
            <w:top w:w="0" w:type="dxa"/>
            <w:left w:w="0" w:type="dxa"/>
            <w:bottom w:w="0" w:type="dxa"/>
            <w:right w:w="0" w:type="dxa"/>
          </w:tblCellMar>
        </w:tblPrEx>
        <w:trPr>
          <w:wBefore w:w="0" w:type="auto"/>
          <w:tblCellSpacing w:w="0" w:type="dxa"/>
        </w:trPr>
        <w:tc>
          <w:tcPr>
            <w:tcW w:w="0" w:type="auto"/>
            <w:noWrap w:val="0"/>
            <w:vAlign w:val="center"/>
          </w:tcPr>
          <w:p w14:paraId="7EFC016C">
            <w:r>
              <w:rPr>
                <w:rStyle w:val="10"/>
                <w:rFonts w:hint="eastAsia"/>
              </w:rPr>
              <w:t>登记证号：</w:t>
            </w:r>
            <w:r>
              <w:rPr>
                <w:rFonts w:hint="eastAsia"/>
              </w:rPr>
              <w:t>PD20212143</w:t>
            </w:r>
          </w:p>
        </w:tc>
      </w:tr>
      <w:tr w14:paraId="51493835">
        <w:tblPrEx>
          <w:tblCellMar>
            <w:top w:w="0" w:type="dxa"/>
            <w:left w:w="0" w:type="dxa"/>
            <w:bottom w:w="0" w:type="dxa"/>
            <w:right w:w="0" w:type="dxa"/>
          </w:tblCellMar>
        </w:tblPrEx>
        <w:trPr>
          <w:wBefore w:w="0" w:type="auto"/>
          <w:tblCellSpacing w:w="0" w:type="dxa"/>
        </w:trPr>
        <w:tc>
          <w:tcPr>
            <w:tcW w:w="0" w:type="auto"/>
            <w:noWrap w:val="0"/>
            <w:vAlign w:val="center"/>
          </w:tcPr>
          <w:p w14:paraId="6E3ED318">
            <w:r>
              <w:rPr>
                <w:rStyle w:val="10"/>
                <w:rFonts w:hint="eastAsia"/>
              </w:rPr>
              <w:t>登记证持有人：</w:t>
            </w:r>
            <w:r>
              <w:rPr>
                <w:rFonts w:hint="eastAsia"/>
              </w:rPr>
              <w:t>京博农化科技有限公司</w:t>
            </w:r>
          </w:p>
        </w:tc>
      </w:tr>
      <w:tr w14:paraId="5F26DEA6">
        <w:tblPrEx>
          <w:tblCellMar>
            <w:top w:w="0" w:type="dxa"/>
            <w:left w:w="0" w:type="dxa"/>
            <w:bottom w:w="0" w:type="dxa"/>
            <w:right w:w="0" w:type="dxa"/>
          </w:tblCellMar>
        </w:tblPrEx>
        <w:trPr>
          <w:wBefore w:w="0" w:type="auto"/>
          <w:tblCellSpacing w:w="0" w:type="dxa"/>
        </w:trPr>
        <w:tc>
          <w:tcPr>
            <w:tcW w:w="0" w:type="auto"/>
            <w:noWrap w:val="0"/>
            <w:vAlign w:val="center"/>
          </w:tcPr>
          <w:p w14:paraId="095A2C55">
            <w:r>
              <w:rPr>
                <w:rStyle w:val="10"/>
                <w:rFonts w:hint="eastAsia"/>
              </w:rPr>
              <w:t>农药名称：</w:t>
            </w:r>
            <w:r>
              <w:rPr>
                <w:rFonts w:hint="eastAsia"/>
              </w:rPr>
              <w:t>砜嘧磺隆</w:t>
            </w:r>
          </w:p>
        </w:tc>
      </w:tr>
      <w:tr w14:paraId="62B02A94">
        <w:tblPrEx>
          <w:tblCellMar>
            <w:top w:w="0" w:type="dxa"/>
            <w:left w:w="0" w:type="dxa"/>
            <w:bottom w:w="0" w:type="dxa"/>
            <w:right w:w="0" w:type="dxa"/>
          </w:tblCellMar>
        </w:tblPrEx>
        <w:trPr>
          <w:wBefore w:w="0" w:type="auto"/>
          <w:tblCellSpacing w:w="0" w:type="dxa"/>
        </w:trPr>
        <w:tc>
          <w:tcPr>
            <w:tcW w:w="0" w:type="auto"/>
            <w:noWrap w:val="0"/>
            <w:vAlign w:val="center"/>
          </w:tcPr>
          <w:p w14:paraId="64F92804">
            <w:r>
              <w:rPr>
                <w:rStyle w:val="10"/>
                <w:rFonts w:hint="eastAsia"/>
              </w:rPr>
              <w:t>剂型：</w:t>
            </w:r>
            <w:r>
              <w:rPr>
                <w:rFonts w:hint="eastAsia"/>
              </w:rPr>
              <w:t>水分散粒剂</w:t>
            </w:r>
          </w:p>
        </w:tc>
      </w:tr>
      <w:tr w14:paraId="460C91D1">
        <w:tblPrEx>
          <w:tblCellMar>
            <w:top w:w="0" w:type="dxa"/>
            <w:left w:w="0" w:type="dxa"/>
            <w:bottom w:w="0" w:type="dxa"/>
            <w:right w:w="0" w:type="dxa"/>
          </w:tblCellMar>
        </w:tblPrEx>
        <w:trPr>
          <w:wBefore w:w="0" w:type="auto"/>
          <w:tblCellSpacing w:w="0" w:type="dxa"/>
        </w:trPr>
        <w:tc>
          <w:tcPr>
            <w:tcW w:w="0" w:type="auto"/>
            <w:noWrap w:val="0"/>
            <w:vAlign w:val="center"/>
          </w:tcPr>
          <w:p w14:paraId="2B881F24">
            <w:r>
              <w:rPr>
                <w:rStyle w:val="10"/>
                <w:rFonts w:hint="eastAsia"/>
              </w:rPr>
              <w:t>毒性及其标识：</w:t>
            </w:r>
            <w:r>
              <w:rPr>
                <w:rFonts w:hint="eastAsia"/>
              </w:rPr>
              <w:t xml:space="preserve"> </w:t>
            </w:r>
            <w:r>
              <w:rPr>
                <w:lang/>
              </w:rPr>
              <w:drawing>
                <wp:inline distT="0" distB="0" distL="114300" distR="114300">
                  <wp:extent cx="476250" cy="323850"/>
                  <wp:effectExtent l="0" t="0" r="0" b="0"/>
                  <wp:docPr id="168" name="图片 16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92914C4">
        <w:tblPrEx>
          <w:tblCellMar>
            <w:top w:w="0" w:type="dxa"/>
            <w:left w:w="0" w:type="dxa"/>
            <w:bottom w:w="0" w:type="dxa"/>
            <w:right w:w="0" w:type="dxa"/>
          </w:tblCellMar>
        </w:tblPrEx>
        <w:trPr>
          <w:wBefore w:w="0" w:type="auto"/>
          <w:tblCellSpacing w:w="0" w:type="dxa"/>
        </w:trPr>
        <w:tc>
          <w:tcPr>
            <w:tcW w:w="0" w:type="auto"/>
            <w:noWrap w:val="0"/>
            <w:vAlign w:val="center"/>
          </w:tcPr>
          <w:p w14:paraId="44B3F6B5">
            <w:r>
              <w:rPr>
                <w:rStyle w:val="10"/>
                <w:rFonts w:hint="eastAsia"/>
              </w:rPr>
              <w:t>总有效成分含量：</w:t>
            </w:r>
            <w:r>
              <w:rPr>
                <w:rFonts w:hint="eastAsia"/>
              </w:rPr>
              <w:t>25%</w:t>
            </w:r>
          </w:p>
        </w:tc>
      </w:tr>
      <w:tr w14:paraId="5055B1E1">
        <w:tblPrEx>
          <w:tblCellMar>
            <w:top w:w="0" w:type="dxa"/>
            <w:left w:w="0" w:type="dxa"/>
            <w:bottom w:w="0" w:type="dxa"/>
            <w:right w:w="0" w:type="dxa"/>
          </w:tblCellMar>
        </w:tblPrEx>
        <w:trPr>
          <w:wBefore w:w="0" w:type="auto"/>
          <w:tblCellSpacing w:w="0" w:type="dxa"/>
        </w:trPr>
        <w:tc>
          <w:tcPr>
            <w:tcW w:w="0" w:type="auto"/>
            <w:noWrap w:val="0"/>
            <w:vAlign w:val="center"/>
          </w:tcPr>
          <w:p w14:paraId="50676972">
            <w:r>
              <w:rPr>
                <w:rFonts w:hint="eastAsia"/>
              </w:rPr>
              <w:t xml:space="preserve">有效成分及其含量： </w:t>
            </w:r>
          </w:p>
          <w:p w14:paraId="4E153155">
            <w:r>
              <w:rPr>
                <w:rFonts w:hint="eastAsia"/>
              </w:rPr>
              <w:t xml:space="preserve">    砜嘧磺隆25%    </w:t>
            </w:r>
          </w:p>
        </w:tc>
      </w:tr>
      <w:tr w14:paraId="7141B102">
        <w:tblPrEx>
          <w:tblCellMar>
            <w:top w:w="0" w:type="dxa"/>
            <w:left w:w="0" w:type="dxa"/>
            <w:bottom w:w="0" w:type="dxa"/>
            <w:right w:w="0" w:type="dxa"/>
          </w:tblCellMar>
        </w:tblPrEx>
        <w:trPr>
          <w:wBefore w:w="0" w:type="auto"/>
          <w:tblCellSpacing w:w="0" w:type="dxa"/>
        </w:trPr>
        <w:tc>
          <w:tcPr>
            <w:tcW w:w="0" w:type="auto"/>
            <w:noWrap w:val="0"/>
            <w:vAlign w:val="center"/>
          </w:tcPr>
          <w:p w14:paraId="6F0A6B2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FDC7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6F0859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F27575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3E051D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5460F1">
                  <w:r>
                    <w:rPr>
                      <w:rStyle w:val="11"/>
                      <w:rFonts w:hint="eastAsia"/>
                    </w:rPr>
                    <w:t>施用方式</w:t>
                  </w:r>
                </w:p>
              </w:tc>
            </w:tr>
            <w:tr w14:paraId="0B65E3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6492A29">
                  <w:r>
                    <w:rPr>
                      <w:rStyle w:val="11"/>
                      <w:rFonts w:hint="eastAsia"/>
                    </w:rPr>
                    <w:t>烟草田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BC2694">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57CA73">
                  <w:r>
                    <w:rPr>
                      <w:rStyle w:val="11"/>
                      <w:rFonts w:hint="eastAsia"/>
                    </w:rPr>
                    <w:t>4-6克/亩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1047D3">
                  <w:r>
                    <w:rPr>
                      <w:rStyle w:val="11"/>
                      <w:rFonts w:hint="eastAsia"/>
                    </w:rPr>
                    <w:t>定向茎叶喷雾</w:t>
                  </w:r>
                </w:p>
              </w:tc>
            </w:tr>
          </w:tbl>
          <w:p w14:paraId="68406A52">
            <w:pPr>
              <w:rPr>
                <w:rFonts w:ascii="Times New Roman" w:hAnsi="Times New Roman" w:cs="Times New Roman"/>
                <w:sz w:val="20"/>
                <w:szCs w:val="20"/>
              </w:rPr>
            </w:pPr>
          </w:p>
        </w:tc>
      </w:tr>
      <w:tr w14:paraId="4BD3810A">
        <w:tblPrEx>
          <w:tblCellMar>
            <w:top w:w="0" w:type="dxa"/>
            <w:left w:w="0" w:type="dxa"/>
            <w:bottom w:w="0" w:type="dxa"/>
            <w:right w:w="0" w:type="dxa"/>
          </w:tblCellMar>
        </w:tblPrEx>
        <w:trPr>
          <w:wBefore w:w="0" w:type="auto"/>
          <w:tblCellSpacing w:w="0" w:type="dxa"/>
        </w:trPr>
        <w:tc>
          <w:tcPr>
            <w:tcW w:w="0" w:type="auto"/>
            <w:noWrap w:val="0"/>
            <w:vAlign w:val="center"/>
          </w:tcPr>
          <w:p w14:paraId="1D533CAB">
            <w:r>
              <w:rPr>
                <w:rStyle w:val="10"/>
                <w:rFonts w:hint="eastAsia"/>
              </w:rPr>
              <w:t>使用技术要求:</w:t>
            </w:r>
            <w:r>
              <w:rPr>
                <w:rFonts w:hint="eastAsia"/>
              </w:rPr>
              <w:br w:type="textWrapping"/>
            </w:r>
            <w:r>
              <w:rPr>
                <w:rStyle w:val="11"/>
                <w:rFonts w:hint="eastAsia"/>
              </w:rPr>
              <w:t>1、本品用于防除烟草田一年生杂草，于烟草移栽活株后，田间一年生杂草2-5叶期，针对田间杂草植株均匀定向喷雾施药进行茎叶处理。2、每季作物只能使用1次。</w:t>
            </w:r>
          </w:p>
        </w:tc>
      </w:tr>
      <w:tr w14:paraId="1C82264A">
        <w:tblPrEx>
          <w:tblCellMar>
            <w:top w:w="0" w:type="dxa"/>
            <w:left w:w="0" w:type="dxa"/>
            <w:bottom w:w="0" w:type="dxa"/>
            <w:right w:w="0" w:type="dxa"/>
          </w:tblCellMar>
        </w:tblPrEx>
        <w:trPr>
          <w:wBefore w:w="0" w:type="auto"/>
          <w:tblCellSpacing w:w="0" w:type="dxa"/>
        </w:trPr>
        <w:tc>
          <w:tcPr>
            <w:tcW w:w="0" w:type="auto"/>
            <w:noWrap w:val="0"/>
            <w:vAlign w:val="center"/>
          </w:tcPr>
          <w:p w14:paraId="6AFD753E">
            <w:r>
              <w:rPr>
                <w:rStyle w:val="10"/>
                <w:rFonts w:hint="eastAsia"/>
              </w:rPr>
              <w:t>产品性能:</w:t>
            </w:r>
            <w:r>
              <w:rPr>
                <w:rFonts w:hint="eastAsia"/>
              </w:rPr>
              <w:br w:type="textWrapping"/>
            </w:r>
            <w:r>
              <w:rPr>
                <w:rStyle w:val="11"/>
                <w:rFonts w:hint="eastAsia"/>
              </w:rPr>
              <w:t>主要防除烟草田一年生禾本科及阔叶杂草，如：自生麦苗、马唐、稗草、狗尾草、野燕麦、野高粱、蓼、鸭跖草、荠菜、马齿苋、反枝苋、野油菜、莎草等。</w:t>
            </w:r>
          </w:p>
        </w:tc>
      </w:tr>
      <w:tr w14:paraId="1BD6E4EB">
        <w:tblPrEx>
          <w:tblCellMar>
            <w:top w:w="0" w:type="dxa"/>
            <w:left w:w="0" w:type="dxa"/>
            <w:bottom w:w="0" w:type="dxa"/>
            <w:right w:w="0" w:type="dxa"/>
          </w:tblCellMar>
        </w:tblPrEx>
        <w:trPr>
          <w:wBefore w:w="0" w:type="auto"/>
          <w:tblCellSpacing w:w="0" w:type="dxa"/>
        </w:trPr>
        <w:tc>
          <w:tcPr>
            <w:tcW w:w="0" w:type="auto"/>
            <w:noWrap w:val="0"/>
            <w:vAlign w:val="center"/>
          </w:tcPr>
          <w:p w14:paraId="0F50F4DE">
            <w:r>
              <w:rPr>
                <w:rStyle w:val="10"/>
                <w:rFonts w:hint="eastAsia"/>
              </w:rPr>
              <w:t>注意事项：</w:t>
            </w:r>
            <w:r>
              <w:rPr>
                <w:rFonts w:hint="eastAsia"/>
              </w:rPr>
              <w:br w:type="textWrapping"/>
            </w:r>
            <w:r>
              <w:rPr>
                <w:rStyle w:val="11"/>
                <w:rFonts w:hint="eastAsia"/>
              </w:rPr>
              <w:t>1、本剂用药量少，施药时应掌握称量。先用少量水配成母液，然后再加足水量。2、使用本品时应穿戴防护服、口罩和手套等防护用具，避免吸入药液。施药期间不可吃东西、喝水、吸烟等。施药后应及时洗手、洗脸等。3、禁止河塘等水域内清洗施药器具或将清洗施药器具的废水倒入河流、池塘等水源。远离水产养殖区、河塘等水体施药。用过的容器应妥善处理，不可做它用，也不可随意丢弃。4、孕妇及哺乳期妇女避免接触此药。5、赤眼蜂等天敌放飞区域禁用。</w:t>
            </w:r>
          </w:p>
        </w:tc>
      </w:tr>
      <w:tr w14:paraId="19E004F8">
        <w:tblPrEx>
          <w:tblCellMar>
            <w:top w:w="0" w:type="dxa"/>
            <w:left w:w="0" w:type="dxa"/>
            <w:bottom w:w="0" w:type="dxa"/>
            <w:right w:w="0" w:type="dxa"/>
          </w:tblCellMar>
        </w:tblPrEx>
        <w:trPr>
          <w:wBefore w:w="0" w:type="auto"/>
          <w:tblCellSpacing w:w="0" w:type="dxa"/>
        </w:trPr>
        <w:tc>
          <w:tcPr>
            <w:tcW w:w="0" w:type="auto"/>
            <w:noWrap w:val="0"/>
            <w:vAlign w:val="center"/>
          </w:tcPr>
          <w:p w14:paraId="76D90B57">
            <w:r>
              <w:rPr>
                <w:rStyle w:val="10"/>
                <w:rFonts w:hint="eastAsia"/>
              </w:rPr>
              <w:t>中毒急救措施：</w:t>
            </w:r>
            <w:r>
              <w:rPr>
                <w:rFonts w:hint="eastAsia"/>
              </w:rPr>
              <w:br w:type="textWrapping"/>
            </w:r>
            <w:r>
              <w:rPr>
                <w:rStyle w:val="11"/>
                <w:rFonts w:hint="eastAsia"/>
              </w:rPr>
              <w:t>对眼睛有刺激性，使用时避免接触眼睛。 急救措施：使用中或使用后如果感觉不适，应立即停止工作，采取急救措施，并携带标签送医院就诊。1．皮肤接触：立即用大量清水和肥皂冲洗。2．眼睛溅入：立即用流动清水冲洗不少于15分钟。3．不慎吸入:应将病人移至空气流通处；4.如误服，携此标签送医院引吐并对症治疗。本品尚无特效解毒剂。若摄入量大，病人十分清醒，可用吐根糖浆诱吐，还可在服用的活性炭泥中加入山梨醇对症治疗。</w:t>
            </w:r>
          </w:p>
        </w:tc>
      </w:tr>
      <w:tr w14:paraId="49163182">
        <w:tblPrEx>
          <w:tblCellMar>
            <w:top w:w="0" w:type="dxa"/>
            <w:left w:w="0" w:type="dxa"/>
            <w:bottom w:w="0" w:type="dxa"/>
            <w:right w:w="0" w:type="dxa"/>
          </w:tblCellMar>
        </w:tblPrEx>
        <w:trPr>
          <w:wBefore w:w="0" w:type="auto"/>
          <w:tblCellSpacing w:w="0" w:type="dxa"/>
        </w:trPr>
        <w:tc>
          <w:tcPr>
            <w:tcW w:w="0" w:type="auto"/>
            <w:noWrap w:val="0"/>
            <w:vAlign w:val="center"/>
          </w:tcPr>
          <w:p w14:paraId="1398AF5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本品应贮存在干燥、阴凉、通风、防雨处，远离火源或热源。置于儿童、无关人员及动物触及不到之处，并加锁保存。勿与食品、饮料、饲料、粮食等其他商品同贮同运。</w:t>
            </w:r>
          </w:p>
        </w:tc>
      </w:tr>
      <w:tr w14:paraId="1DC45B85">
        <w:tblPrEx>
          <w:tblCellMar>
            <w:top w:w="0" w:type="dxa"/>
            <w:left w:w="0" w:type="dxa"/>
            <w:bottom w:w="0" w:type="dxa"/>
            <w:right w:w="0" w:type="dxa"/>
          </w:tblCellMar>
        </w:tblPrEx>
        <w:trPr>
          <w:wBefore w:w="0" w:type="auto"/>
          <w:tblCellSpacing w:w="0" w:type="dxa"/>
        </w:trPr>
        <w:tc>
          <w:tcPr>
            <w:tcW w:w="0" w:type="auto"/>
            <w:noWrap w:val="0"/>
            <w:vAlign w:val="center"/>
          </w:tcPr>
          <w:p w14:paraId="30CA6538">
            <w:r>
              <w:rPr>
                <w:rStyle w:val="10"/>
                <w:rFonts w:hint="eastAsia"/>
              </w:rPr>
              <w:t>质量保证期：</w:t>
            </w:r>
            <w:r>
              <w:rPr>
                <w:rStyle w:val="11"/>
                <w:rFonts w:hint="eastAsia"/>
              </w:rPr>
              <w:t>2年</w:t>
            </w:r>
          </w:p>
        </w:tc>
      </w:tr>
      <w:tr w14:paraId="0D717D4D">
        <w:tblPrEx>
          <w:tblCellMar>
            <w:top w:w="0" w:type="dxa"/>
            <w:left w:w="0" w:type="dxa"/>
            <w:bottom w:w="0" w:type="dxa"/>
            <w:right w:w="0" w:type="dxa"/>
          </w:tblCellMar>
        </w:tblPrEx>
        <w:trPr>
          <w:wBefore w:w="0" w:type="auto"/>
          <w:tblCellSpacing w:w="0" w:type="dxa"/>
        </w:trPr>
        <w:tc>
          <w:tcPr>
            <w:tcW w:w="0" w:type="auto"/>
            <w:noWrap w:val="0"/>
            <w:vAlign w:val="center"/>
          </w:tcPr>
          <w:p w14:paraId="5D1E7896">
            <w:r>
              <w:rPr>
                <w:rStyle w:val="10"/>
                <w:rFonts w:hint="eastAsia"/>
              </w:rPr>
              <w:t>备注：</w:t>
            </w:r>
          </w:p>
        </w:tc>
      </w:tr>
    </w:tbl>
    <w:p w14:paraId="56C37DA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E332304">
        <w:tblPrEx>
          <w:tblCellMar>
            <w:top w:w="0" w:type="dxa"/>
            <w:left w:w="0" w:type="dxa"/>
            <w:bottom w:w="0" w:type="dxa"/>
            <w:right w:w="0" w:type="dxa"/>
          </w:tblCellMar>
        </w:tblPrEx>
        <w:trPr>
          <w:wBefore w:w="0" w:type="auto"/>
          <w:tblCellSpacing w:w="0" w:type="dxa"/>
        </w:trPr>
        <w:tc>
          <w:tcPr>
            <w:tcW w:w="0" w:type="auto"/>
            <w:noWrap w:val="0"/>
            <w:vAlign w:val="center"/>
          </w:tcPr>
          <w:p w14:paraId="42DA32E5">
            <w:r>
              <w:rPr>
                <w:rStyle w:val="10"/>
                <w:rFonts w:hint="eastAsia"/>
              </w:rPr>
              <w:t>登记证号：</w:t>
            </w:r>
            <w:r>
              <w:rPr>
                <w:rFonts w:hint="eastAsia"/>
              </w:rPr>
              <w:t>PD20212160</w:t>
            </w:r>
          </w:p>
        </w:tc>
      </w:tr>
      <w:tr w14:paraId="36C4E54E">
        <w:tblPrEx>
          <w:tblCellMar>
            <w:top w:w="0" w:type="dxa"/>
            <w:left w:w="0" w:type="dxa"/>
            <w:bottom w:w="0" w:type="dxa"/>
            <w:right w:w="0" w:type="dxa"/>
          </w:tblCellMar>
        </w:tblPrEx>
        <w:trPr>
          <w:wBefore w:w="0" w:type="auto"/>
          <w:tblCellSpacing w:w="0" w:type="dxa"/>
        </w:trPr>
        <w:tc>
          <w:tcPr>
            <w:tcW w:w="0" w:type="auto"/>
            <w:noWrap w:val="0"/>
            <w:vAlign w:val="center"/>
          </w:tcPr>
          <w:p w14:paraId="7442D75F">
            <w:r>
              <w:rPr>
                <w:rStyle w:val="10"/>
                <w:rFonts w:hint="eastAsia"/>
              </w:rPr>
              <w:t>登记证持有人：</w:t>
            </w:r>
            <w:r>
              <w:rPr>
                <w:rFonts w:hint="eastAsia"/>
              </w:rPr>
              <w:t>成都邦农化学有限公司</w:t>
            </w:r>
          </w:p>
        </w:tc>
      </w:tr>
      <w:tr w14:paraId="58EB7EAA">
        <w:tblPrEx>
          <w:tblCellMar>
            <w:top w:w="0" w:type="dxa"/>
            <w:left w:w="0" w:type="dxa"/>
            <w:bottom w:w="0" w:type="dxa"/>
            <w:right w:w="0" w:type="dxa"/>
          </w:tblCellMar>
        </w:tblPrEx>
        <w:trPr>
          <w:wBefore w:w="0" w:type="auto"/>
          <w:tblCellSpacing w:w="0" w:type="dxa"/>
        </w:trPr>
        <w:tc>
          <w:tcPr>
            <w:tcW w:w="0" w:type="auto"/>
            <w:noWrap w:val="0"/>
            <w:vAlign w:val="center"/>
          </w:tcPr>
          <w:p w14:paraId="1F63109C">
            <w:r>
              <w:rPr>
                <w:rStyle w:val="10"/>
                <w:rFonts w:hint="eastAsia"/>
              </w:rPr>
              <w:t>农药名称：</w:t>
            </w:r>
            <w:r>
              <w:rPr>
                <w:rFonts w:hint="eastAsia"/>
              </w:rPr>
              <w:t>烟嘧磺隆</w:t>
            </w:r>
          </w:p>
        </w:tc>
      </w:tr>
      <w:tr w14:paraId="3F489FAD">
        <w:tblPrEx>
          <w:tblCellMar>
            <w:top w:w="0" w:type="dxa"/>
            <w:left w:w="0" w:type="dxa"/>
            <w:bottom w:w="0" w:type="dxa"/>
            <w:right w:w="0" w:type="dxa"/>
          </w:tblCellMar>
        </w:tblPrEx>
        <w:trPr>
          <w:wBefore w:w="0" w:type="auto"/>
          <w:tblCellSpacing w:w="0" w:type="dxa"/>
        </w:trPr>
        <w:tc>
          <w:tcPr>
            <w:tcW w:w="0" w:type="auto"/>
            <w:noWrap w:val="0"/>
            <w:vAlign w:val="center"/>
          </w:tcPr>
          <w:p w14:paraId="77377F75">
            <w:r>
              <w:rPr>
                <w:rStyle w:val="10"/>
                <w:rFonts w:hint="eastAsia"/>
              </w:rPr>
              <w:t>剂型：</w:t>
            </w:r>
            <w:r>
              <w:rPr>
                <w:rFonts w:hint="eastAsia"/>
              </w:rPr>
              <w:t>可分散油悬浮剂</w:t>
            </w:r>
          </w:p>
        </w:tc>
      </w:tr>
      <w:tr w14:paraId="41E74B54">
        <w:tblPrEx>
          <w:tblCellMar>
            <w:top w:w="0" w:type="dxa"/>
            <w:left w:w="0" w:type="dxa"/>
            <w:bottom w:w="0" w:type="dxa"/>
            <w:right w:w="0" w:type="dxa"/>
          </w:tblCellMar>
        </w:tblPrEx>
        <w:trPr>
          <w:wBefore w:w="0" w:type="auto"/>
          <w:tblCellSpacing w:w="0" w:type="dxa"/>
        </w:trPr>
        <w:tc>
          <w:tcPr>
            <w:tcW w:w="0" w:type="auto"/>
            <w:noWrap w:val="0"/>
            <w:vAlign w:val="center"/>
          </w:tcPr>
          <w:p w14:paraId="26E80BA4">
            <w:r>
              <w:rPr>
                <w:rStyle w:val="10"/>
                <w:rFonts w:hint="eastAsia"/>
              </w:rPr>
              <w:t>毒性及其标识：</w:t>
            </w:r>
            <w:r>
              <w:rPr>
                <w:rFonts w:hint="eastAsia"/>
              </w:rPr>
              <w:t xml:space="preserve"> 微毒 </w:t>
            </w:r>
          </w:p>
        </w:tc>
      </w:tr>
      <w:tr w14:paraId="0ADD1A3D">
        <w:tblPrEx>
          <w:tblCellMar>
            <w:top w:w="0" w:type="dxa"/>
            <w:left w:w="0" w:type="dxa"/>
            <w:bottom w:w="0" w:type="dxa"/>
            <w:right w:w="0" w:type="dxa"/>
          </w:tblCellMar>
        </w:tblPrEx>
        <w:trPr>
          <w:wBefore w:w="0" w:type="auto"/>
          <w:tblCellSpacing w:w="0" w:type="dxa"/>
        </w:trPr>
        <w:tc>
          <w:tcPr>
            <w:tcW w:w="0" w:type="auto"/>
            <w:noWrap w:val="0"/>
            <w:vAlign w:val="center"/>
          </w:tcPr>
          <w:p w14:paraId="5FEBF256">
            <w:r>
              <w:rPr>
                <w:rStyle w:val="10"/>
                <w:rFonts w:hint="eastAsia"/>
              </w:rPr>
              <w:t>总有效成分含量：</w:t>
            </w:r>
            <w:r>
              <w:rPr>
                <w:rFonts w:hint="eastAsia"/>
              </w:rPr>
              <w:t>20%</w:t>
            </w:r>
          </w:p>
        </w:tc>
      </w:tr>
      <w:tr w14:paraId="0F73751D">
        <w:tblPrEx>
          <w:tblCellMar>
            <w:top w:w="0" w:type="dxa"/>
            <w:left w:w="0" w:type="dxa"/>
            <w:bottom w:w="0" w:type="dxa"/>
            <w:right w:w="0" w:type="dxa"/>
          </w:tblCellMar>
        </w:tblPrEx>
        <w:trPr>
          <w:wBefore w:w="0" w:type="auto"/>
          <w:tblCellSpacing w:w="0" w:type="dxa"/>
        </w:trPr>
        <w:tc>
          <w:tcPr>
            <w:tcW w:w="0" w:type="auto"/>
            <w:noWrap w:val="0"/>
            <w:vAlign w:val="center"/>
          </w:tcPr>
          <w:p w14:paraId="135FD2A5">
            <w:r>
              <w:rPr>
                <w:rFonts w:hint="eastAsia"/>
              </w:rPr>
              <w:t xml:space="preserve">有效成分及其含量： </w:t>
            </w:r>
          </w:p>
          <w:p w14:paraId="3535F9F8">
            <w:r>
              <w:rPr>
                <w:rFonts w:hint="eastAsia"/>
              </w:rPr>
              <w:t xml:space="preserve">    烟嘧磺隆20%    </w:t>
            </w:r>
          </w:p>
        </w:tc>
      </w:tr>
      <w:tr w14:paraId="2324502B">
        <w:tblPrEx>
          <w:tblCellMar>
            <w:top w:w="0" w:type="dxa"/>
            <w:left w:w="0" w:type="dxa"/>
            <w:bottom w:w="0" w:type="dxa"/>
            <w:right w:w="0" w:type="dxa"/>
          </w:tblCellMar>
        </w:tblPrEx>
        <w:trPr>
          <w:wBefore w:w="0" w:type="auto"/>
          <w:tblCellSpacing w:w="0" w:type="dxa"/>
        </w:trPr>
        <w:tc>
          <w:tcPr>
            <w:tcW w:w="0" w:type="auto"/>
            <w:noWrap w:val="0"/>
            <w:vAlign w:val="center"/>
          </w:tcPr>
          <w:p w14:paraId="0D62353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8C69E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42DEB9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5D64C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BB2AD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668780B">
                  <w:r>
                    <w:rPr>
                      <w:rStyle w:val="11"/>
                      <w:rFonts w:hint="eastAsia"/>
                    </w:rPr>
                    <w:t>施用方式</w:t>
                  </w:r>
                </w:p>
              </w:tc>
            </w:tr>
            <w:tr w14:paraId="04BD83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046B2F">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53DB2D">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DCA636">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6BB042">
                  <w:r>
                    <w:rPr>
                      <w:rStyle w:val="11"/>
                      <w:rFonts w:hint="eastAsia"/>
                    </w:rPr>
                    <w:t>茎叶喷雾</w:t>
                  </w:r>
                </w:p>
              </w:tc>
            </w:tr>
          </w:tbl>
          <w:p w14:paraId="52B8C22D">
            <w:pPr>
              <w:rPr>
                <w:rFonts w:ascii="Times New Roman" w:hAnsi="Times New Roman" w:cs="Times New Roman"/>
                <w:sz w:val="20"/>
                <w:szCs w:val="20"/>
              </w:rPr>
            </w:pPr>
          </w:p>
        </w:tc>
      </w:tr>
      <w:tr w14:paraId="08BE34E7">
        <w:tblPrEx>
          <w:tblCellMar>
            <w:top w:w="0" w:type="dxa"/>
            <w:left w:w="0" w:type="dxa"/>
            <w:bottom w:w="0" w:type="dxa"/>
            <w:right w:w="0" w:type="dxa"/>
          </w:tblCellMar>
        </w:tblPrEx>
        <w:trPr>
          <w:wBefore w:w="0" w:type="auto"/>
          <w:tblCellSpacing w:w="0" w:type="dxa"/>
        </w:trPr>
        <w:tc>
          <w:tcPr>
            <w:tcW w:w="0" w:type="auto"/>
            <w:noWrap w:val="0"/>
            <w:vAlign w:val="center"/>
          </w:tcPr>
          <w:p w14:paraId="5F6407C6">
            <w:r>
              <w:rPr>
                <w:rStyle w:val="10"/>
                <w:rFonts w:hint="eastAsia"/>
              </w:rPr>
              <w:t>使用技术要求:</w:t>
            </w:r>
            <w:r>
              <w:rPr>
                <w:rFonts w:hint="eastAsia"/>
              </w:rPr>
              <w:br w:type="textWrapping"/>
            </w:r>
            <w:r>
              <w:rPr>
                <w:rStyle w:val="11"/>
                <w:rFonts w:hint="eastAsia"/>
              </w:rPr>
              <w:t>1、玉米3至5叶期，杂草2-4叶期，茎叶喷雾施药。2、最好选择无风、空气湿度大条件下施药。预计１小时内有降雨，请勿使用。3、此药剂用在玉米以外的作物上会产生药害，施药时不要把药剂洒到或流入周围的其他作物田里。每季最多使用1次。</w:t>
            </w:r>
          </w:p>
        </w:tc>
      </w:tr>
      <w:tr w14:paraId="3FBBF674">
        <w:tblPrEx>
          <w:tblCellMar>
            <w:top w:w="0" w:type="dxa"/>
            <w:left w:w="0" w:type="dxa"/>
            <w:bottom w:w="0" w:type="dxa"/>
            <w:right w:w="0" w:type="dxa"/>
          </w:tblCellMar>
        </w:tblPrEx>
        <w:trPr>
          <w:wBefore w:w="0" w:type="auto"/>
          <w:tblCellSpacing w:w="0" w:type="dxa"/>
        </w:trPr>
        <w:tc>
          <w:tcPr>
            <w:tcW w:w="0" w:type="auto"/>
            <w:noWrap w:val="0"/>
            <w:vAlign w:val="center"/>
          </w:tcPr>
          <w:p w14:paraId="44283689">
            <w:r>
              <w:rPr>
                <w:rStyle w:val="10"/>
                <w:rFonts w:hint="eastAsia"/>
              </w:rPr>
              <w:t>产品性能:</w:t>
            </w:r>
            <w:r>
              <w:rPr>
                <w:rFonts w:hint="eastAsia"/>
              </w:rPr>
              <w:br w:type="textWrapping"/>
            </w:r>
            <w:r>
              <w:rPr>
                <w:rStyle w:val="11"/>
                <w:rFonts w:hint="eastAsia"/>
              </w:rPr>
              <w:t>本剂为选择性的玉米田专用茎叶除草剂，它不仅对稗草、马唐、狗尾草等一年生禾本科杂草有很好的效果，而且对马齿苋、苋菜、蓼等阔叶草及香附子等莎草科杂草又有很好防效。</w:t>
            </w:r>
          </w:p>
        </w:tc>
      </w:tr>
      <w:tr w14:paraId="469989F6">
        <w:tblPrEx>
          <w:tblCellMar>
            <w:top w:w="0" w:type="dxa"/>
            <w:left w:w="0" w:type="dxa"/>
            <w:bottom w:w="0" w:type="dxa"/>
            <w:right w:w="0" w:type="dxa"/>
          </w:tblCellMar>
        </w:tblPrEx>
        <w:trPr>
          <w:wBefore w:w="0" w:type="auto"/>
          <w:tblCellSpacing w:w="0" w:type="dxa"/>
        </w:trPr>
        <w:tc>
          <w:tcPr>
            <w:tcW w:w="0" w:type="auto"/>
            <w:noWrap w:val="0"/>
            <w:vAlign w:val="center"/>
          </w:tcPr>
          <w:p w14:paraId="4A428B51">
            <w:r>
              <w:rPr>
                <w:rStyle w:val="10"/>
                <w:rFonts w:hint="eastAsia"/>
              </w:rPr>
              <w:t>注意事项：</w:t>
            </w:r>
            <w:r>
              <w:rPr>
                <w:rFonts w:hint="eastAsia"/>
              </w:rPr>
              <w:br w:type="textWrapping"/>
            </w:r>
            <w:r>
              <w:rPr>
                <w:rStyle w:val="11"/>
                <w:rFonts w:hint="eastAsia"/>
              </w:rPr>
              <w:t>1.不要和有机磷杀虫剂混用或使用本剂前后7天内不要使用有机磷类杀虫剂,以免发生药害。 2.施药数日后，有时会出现作物褪色或抑制生长的情况，但不会影响作物的生长和产量。3.遇特殊条件，如高温干旱、低温、玉米生长弱小时，请慎用。初次使用本剂，需在当地植保部门指导下使用。 4.严禁用弥雾机施药，施药应选择在早上或傍晚时进行。 5.如在上茬小麦田中使用过长残效除草剂，如甲磺隆,绿磺隆等的玉米田,及与阔叶作物间作或套种的玉米田，不宜使用本剂。 6.施药时穿长衣长裤、戴手套、眼镜等，此时不能吃东西、饮水、吸烟等；施药后洗干净手脸等。7.严格按照标签内容及技术资料使用本剂。 8.清洗器具的废水不能排入河流、池塘等水源，废弃物要妥善处理，不能乱丢乱放，也不能做他用。 9.避免孕妇及哺乳期的妇女接触。</w:t>
            </w:r>
          </w:p>
        </w:tc>
      </w:tr>
      <w:tr w14:paraId="0425DA73">
        <w:tblPrEx>
          <w:tblCellMar>
            <w:top w:w="0" w:type="dxa"/>
            <w:left w:w="0" w:type="dxa"/>
            <w:bottom w:w="0" w:type="dxa"/>
            <w:right w:w="0" w:type="dxa"/>
          </w:tblCellMar>
        </w:tblPrEx>
        <w:trPr>
          <w:wBefore w:w="0" w:type="auto"/>
          <w:tblCellSpacing w:w="0" w:type="dxa"/>
        </w:trPr>
        <w:tc>
          <w:tcPr>
            <w:tcW w:w="0" w:type="auto"/>
            <w:noWrap w:val="0"/>
            <w:vAlign w:val="center"/>
          </w:tcPr>
          <w:p w14:paraId="39137531">
            <w:r>
              <w:rPr>
                <w:rStyle w:val="10"/>
                <w:rFonts w:hint="eastAsia"/>
              </w:rPr>
              <w:t>中毒急救措施：</w:t>
            </w:r>
            <w:r>
              <w:rPr>
                <w:rFonts w:hint="eastAsia"/>
              </w:rPr>
              <w:br w:type="textWrapping"/>
            </w:r>
            <w:r>
              <w:rPr>
                <w:rStyle w:val="11"/>
                <w:rFonts w:hint="eastAsia"/>
              </w:rPr>
              <w:t>本品对眼睛、皮肤和粘膜有刺激作用。如不慎吸入，将病人移至空气流通处；不慎接触皮肤，用大量清水和肥皂冲洗干净；若溅入眼睛，用大量清水冲洗至少15分钟，仍有不适，就医 ；如误服，立即带标签送医院，对症治疗。无特效解毒剂。</w:t>
            </w:r>
          </w:p>
        </w:tc>
      </w:tr>
      <w:tr w14:paraId="7C409A41">
        <w:tblPrEx>
          <w:tblCellMar>
            <w:top w:w="0" w:type="dxa"/>
            <w:left w:w="0" w:type="dxa"/>
            <w:bottom w:w="0" w:type="dxa"/>
            <w:right w:w="0" w:type="dxa"/>
          </w:tblCellMar>
        </w:tblPrEx>
        <w:trPr>
          <w:wBefore w:w="0" w:type="auto"/>
          <w:tblCellSpacing w:w="0" w:type="dxa"/>
        </w:trPr>
        <w:tc>
          <w:tcPr>
            <w:tcW w:w="0" w:type="auto"/>
            <w:noWrap w:val="0"/>
            <w:vAlign w:val="center"/>
          </w:tcPr>
          <w:p w14:paraId="4BDE625F">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种子、饲料等其他商品混合储存。储存或运输时堆层不得超过规定，注意轻拿轻放，以免损坏包装，导致产品泄露。</w:t>
            </w:r>
          </w:p>
        </w:tc>
      </w:tr>
      <w:tr w14:paraId="0D27C4FC">
        <w:tblPrEx>
          <w:tblCellMar>
            <w:top w:w="0" w:type="dxa"/>
            <w:left w:w="0" w:type="dxa"/>
            <w:bottom w:w="0" w:type="dxa"/>
            <w:right w:w="0" w:type="dxa"/>
          </w:tblCellMar>
        </w:tblPrEx>
        <w:trPr>
          <w:wBefore w:w="0" w:type="auto"/>
          <w:tblCellSpacing w:w="0" w:type="dxa"/>
        </w:trPr>
        <w:tc>
          <w:tcPr>
            <w:tcW w:w="0" w:type="auto"/>
            <w:noWrap w:val="0"/>
            <w:vAlign w:val="center"/>
          </w:tcPr>
          <w:p w14:paraId="443EAFA1">
            <w:r>
              <w:rPr>
                <w:rStyle w:val="10"/>
                <w:rFonts w:hint="eastAsia"/>
              </w:rPr>
              <w:t>质量保证期：</w:t>
            </w:r>
            <w:r>
              <w:rPr>
                <w:rStyle w:val="11"/>
                <w:rFonts w:hint="eastAsia"/>
              </w:rPr>
              <w:t>2年</w:t>
            </w:r>
          </w:p>
        </w:tc>
      </w:tr>
      <w:tr w14:paraId="5B1A2D71">
        <w:tblPrEx>
          <w:tblCellMar>
            <w:top w:w="0" w:type="dxa"/>
            <w:left w:w="0" w:type="dxa"/>
            <w:bottom w:w="0" w:type="dxa"/>
            <w:right w:w="0" w:type="dxa"/>
          </w:tblCellMar>
        </w:tblPrEx>
        <w:trPr>
          <w:wBefore w:w="0" w:type="auto"/>
          <w:tblCellSpacing w:w="0" w:type="dxa"/>
        </w:trPr>
        <w:tc>
          <w:tcPr>
            <w:tcW w:w="0" w:type="auto"/>
            <w:noWrap w:val="0"/>
            <w:vAlign w:val="center"/>
          </w:tcPr>
          <w:p w14:paraId="2F0D2739">
            <w:r>
              <w:rPr>
                <w:rStyle w:val="10"/>
                <w:rFonts w:hint="eastAsia"/>
              </w:rPr>
              <w:t>备注：</w:t>
            </w:r>
          </w:p>
        </w:tc>
      </w:tr>
    </w:tbl>
    <w:p w14:paraId="1EA0BED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AB9B00F">
        <w:tblPrEx>
          <w:tblCellMar>
            <w:top w:w="0" w:type="dxa"/>
            <w:left w:w="0" w:type="dxa"/>
            <w:bottom w:w="0" w:type="dxa"/>
            <w:right w:w="0" w:type="dxa"/>
          </w:tblCellMar>
        </w:tblPrEx>
        <w:trPr>
          <w:wBefore w:w="0" w:type="auto"/>
          <w:tblCellSpacing w:w="0" w:type="dxa"/>
        </w:trPr>
        <w:tc>
          <w:tcPr>
            <w:tcW w:w="0" w:type="auto"/>
            <w:noWrap w:val="0"/>
            <w:vAlign w:val="center"/>
          </w:tcPr>
          <w:p w14:paraId="35F2228E">
            <w:r>
              <w:rPr>
                <w:rStyle w:val="10"/>
                <w:rFonts w:hint="eastAsia"/>
              </w:rPr>
              <w:t>登记证号：</w:t>
            </w:r>
            <w:r>
              <w:rPr>
                <w:rFonts w:hint="eastAsia"/>
              </w:rPr>
              <w:t>PD20211856</w:t>
            </w:r>
          </w:p>
        </w:tc>
      </w:tr>
      <w:tr w14:paraId="1EB5761D">
        <w:tblPrEx>
          <w:tblCellMar>
            <w:top w:w="0" w:type="dxa"/>
            <w:left w:w="0" w:type="dxa"/>
            <w:bottom w:w="0" w:type="dxa"/>
            <w:right w:w="0" w:type="dxa"/>
          </w:tblCellMar>
        </w:tblPrEx>
        <w:trPr>
          <w:wBefore w:w="0" w:type="auto"/>
          <w:tblCellSpacing w:w="0" w:type="dxa"/>
        </w:trPr>
        <w:tc>
          <w:tcPr>
            <w:tcW w:w="0" w:type="auto"/>
            <w:noWrap w:val="0"/>
            <w:vAlign w:val="center"/>
          </w:tcPr>
          <w:p w14:paraId="25BED675">
            <w:r>
              <w:rPr>
                <w:rStyle w:val="10"/>
                <w:rFonts w:hint="eastAsia"/>
              </w:rPr>
              <w:t>登记证持有人：</w:t>
            </w:r>
            <w:r>
              <w:rPr>
                <w:rFonts w:hint="eastAsia"/>
              </w:rPr>
              <w:t>江西中迅农化有限公司</w:t>
            </w:r>
          </w:p>
        </w:tc>
      </w:tr>
      <w:tr w14:paraId="3245A5FD">
        <w:tblPrEx>
          <w:tblCellMar>
            <w:top w:w="0" w:type="dxa"/>
            <w:left w:w="0" w:type="dxa"/>
            <w:bottom w:w="0" w:type="dxa"/>
            <w:right w:w="0" w:type="dxa"/>
          </w:tblCellMar>
        </w:tblPrEx>
        <w:trPr>
          <w:wBefore w:w="0" w:type="auto"/>
          <w:tblCellSpacing w:w="0" w:type="dxa"/>
        </w:trPr>
        <w:tc>
          <w:tcPr>
            <w:tcW w:w="0" w:type="auto"/>
            <w:noWrap w:val="0"/>
            <w:vAlign w:val="center"/>
          </w:tcPr>
          <w:p w14:paraId="30A32D46">
            <w:r>
              <w:rPr>
                <w:rStyle w:val="10"/>
                <w:rFonts w:hint="eastAsia"/>
              </w:rPr>
              <w:t>农药名称：</w:t>
            </w:r>
            <w:r>
              <w:rPr>
                <w:rFonts w:hint="eastAsia"/>
              </w:rPr>
              <w:t>乙螨·丁醚脲</w:t>
            </w:r>
          </w:p>
        </w:tc>
      </w:tr>
      <w:tr w14:paraId="7EB0F6BD">
        <w:tblPrEx>
          <w:tblCellMar>
            <w:top w:w="0" w:type="dxa"/>
            <w:left w:w="0" w:type="dxa"/>
            <w:bottom w:w="0" w:type="dxa"/>
            <w:right w:w="0" w:type="dxa"/>
          </w:tblCellMar>
        </w:tblPrEx>
        <w:trPr>
          <w:wBefore w:w="0" w:type="auto"/>
          <w:tblCellSpacing w:w="0" w:type="dxa"/>
        </w:trPr>
        <w:tc>
          <w:tcPr>
            <w:tcW w:w="0" w:type="auto"/>
            <w:noWrap w:val="0"/>
            <w:vAlign w:val="center"/>
          </w:tcPr>
          <w:p w14:paraId="0B72A21E">
            <w:r>
              <w:rPr>
                <w:rStyle w:val="10"/>
                <w:rFonts w:hint="eastAsia"/>
              </w:rPr>
              <w:t>剂型：</w:t>
            </w:r>
            <w:r>
              <w:rPr>
                <w:rFonts w:hint="eastAsia"/>
              </w:rPr>
              <w:t>悬浮剂</w:t>
            </w:r>
          </w:p>
        </w:tc>
      </w:tr>
      <w:tr w14:paraId="44092901">
        <w:tblPrEx>
          <w:tblCellMar>
            <w:top w:w="0" w:type="dxa"/>
            <w:left w:w="0" w:type="dxa"/>
            <w:bottom w:w="0" w:type="dxa"/>
            <w:right w:w="0" w:type="dxa"/>
          </w:tblCellMar>
        </w:tblPrEx>
        <w:trPr>
          <w:wBefore w:w="0" w:type="auto"/>
          <w:tblCellSpacing w:w="0" w:type="dxa"/>
        </w:trPr>
        <w:tc>
          <w:tcPr>
            <w:tcW w:w="0" w:type="auto"/>
            <w:noWrap w:val="0"/>
            <w:vAlign w:val="center"/>
          </w:tcPr>
          <w:p w14:paraId="163DCAB9">
            <w:r>
              <w:rPr>
                <w:rStyle w:val="10"/>
                <w:rFonts w:hint="eastAsia"/>
              </w:rPr>
              <w:t>毒性及其标识：</w:t>
            </w:r>
            <w:r>
              <w:rPr>
                <w:rFonts w:hint="eastAsia"/>
              </w:rPr>
              <w:t xml:space="preserve"> </w:t>
            </w:r>
            <w:r>
              <w:rPr>
                <w:lang/>
              </w:rPr>
              <w:drawing>
                <wp:inline distT="0" distB="0" distL="114300" distR="114300">
                  <wp:extent cx="476250" cy="323850"/>
                  <wp:effectExtent l="0" t="0" r="0" b="0"/>
                  <wp:docPr id="169" name="图片 16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1D82957">
        <w:tblPrEx>
          <w:tblCellMar>
            <w:top w:w="0" w:type="dxa"/>
            <w:left w:w="0" w:type="dxa"/>
            <w:bottom w:w="0" w:type="dxa"/>
            <w:right w:w="0" w:type="dxa"/>
          </w:tblCellMar>
        </w:tblPrEx>
        <w:trPr>
          <w:wBefore w:w="0" w:type="auto"/>
          <w:tblCellSpacing w:w="0" w:type="dxa"/>
        </w:trPr>
        <w:tc>
          <w:tcPr>
            <w:tcW w:w="0" w:type="auto"/>
            <w:noWrap w:val="0"/>
            <w:vAlign w:val="center"/>
          </w:tcPr>
          <w:p w14:paraId="318581DE">
            <w:r>
              <w:rPr>
                <w:rStyle w:val="10"/>
                <w:rFonts w:hint="eastAsia"/>
              </w:rPr>
              <w:t>总有效成分含量：</w:t>
            </w:r>
            <w:r>
              <w:rPr>
                <w:rFonts w:hint="eastAsia"/>
              </w:rPr>
              <w:t>45%</w:t>
            </w:r>
          </w:p>
        </w:tc>
      </w:tr>
      <w:tr w14:paraId="37509863">
        <w:tblPrEx>
          <w:tblCellMar>
            <w:top w:w="0" w:type="dxa"/>
            <w:left w:w="0" w:type="dxa"/>
            <w:bottom w:w="0" w:type="dxa"/>
            <w:right w:w="0" w:type="dxa"/>
          </w:tblCellMar>
        </w:tblPrEx>
        <w:trPr>
          <w:wBefore w:w="0" w:type="auto"/>
          <w:tblCellSpacing w:w="0" w:type="dxa"/>
        </w:trPr>
        <w:tc>
          <w:tcPr>
            <w:tcW w:w="0" w:type="auto"/>
            <w:noWrap w:val="0"/>
            <w:vAlign w:val="center"/>
          </w:tcPr>
          <w:p w14:paraId="492458EE">
            <w:r>
              <w:rPr>
                <w:rFonts w:hint="eastAsia"/>
              </w:rPr>
              <w:t xml:space="preserve">有效成分及其含量： </w:t>
            </w:r>
          </w:p>
          <w:p w14:paraId="62C1872B">
            <w:r>
              <w:rPr>
                <w:rFonts w:hint="eastAsia"/>
              </w:rPr>
              <w:t xml:space="preserve">    乙螨唑15%    丁醚脲30%    </w:t>
            </w:r>
          </w:p>
        </w:tc>
      </w:tr>
      <w:tr w14:paraId="1297936C">
        <w:tblPrEx>
          <w:tblCellMar>
            <w:top w:w="0" w:type="dxa"/>
            <w:left w:w="0" w:type="dxa"/>
            <w:bottom w:w="0" w:type="dxa"/>
            <w:right w:w="0" w:type="dxa"/>
          </w:tblCellMar>
        </w:tblPrEx>
        <w:trPr>
          <w:wBefore w:w="0" w:type="auto"/>
          <w:tblCellSpacing w:w="0" w:type="dxa"/>
        </w:trPr>
        <w:tc>
          <w:tcPr>
            <w:tcW w:w="0" w:type="auto"/>
            <w:noWrap w:val="0"/>
            <w:vAlign w:val="center"/>
          </w:tcPr>
          <w:p w14:paraId="3D99316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5A6EC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071CAE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C10E3E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D7B8DF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AF4D8BF">
                  <w:r>
                    <w:rPr>
                      <w:rStyle w:val="11"/>
                      <w:rFonts w:hint="eastAsia"/>
                    </w:rPr>
                    <w:t>施用方式</w:t>
                  </w:r>
                </w:p>
              </w:tc>
            </w:tr>
            <w:tr w14:paraId="3796CD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3C0D78F">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D6DDFA">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C54E73">
                  <w:r>
                    <w:rPr>
                      <w:rStyle w:val="11"/>
                      <w:rFonts w:hint="eastAsia"/>
                    </w:rPr>
                    <w:t>3750-5000倍液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3E8B19">
                  <w:r>
                    <w:rPr>
                      <w:rStyle w:val="11"/>
                      <w:rFonts w:hint="eastAsia"/>
                    </w:rPr>
                    <w:t>喷雾</w:t>
                  </w:r>
                </w:p>
              </w:tc>
            </w:tr>
          </w:tbl>
          <w:p w14:paraId="03E7D326">
            <w:pPr>
              <w:rPr>
                <w:rFonts w:ascii="Times New Roman" w:hAnsi="Times New Roman" w:cs="Times New Roman"/>
                <w:sz w:val="20"/>
                <w:szCs w:val="20"/>
              </w:rPr>
            </w:pPr>
          </w:p>
        </w:tc>
      </w:tr>
      <w:tr w14:paraId="4DFEAC4D">
        <w:tblPrEx>
          <w:tblCellMar>
            <w:top w:w="0" w:type="dxa"/>
            <w:left w:w="0" w:type="dxa"/>
            <w:bottom w:w="0" w:type="dxa"/>
            <w:right w:w="0" w:type="dxa"/>
          </w:tblCellMar>
        </w:tblPrEx>
        <w:trPr>
          <w:wBefore w:w="0" w:type="auto"/>
          <w:tblCellSpacing w:w="0" w:type="dxa"/>
        </w:trPr>
        <w:tc>
          <w:tcPr>
            <w:tcW w:w="0" w:type="auto"/>
            <w:noWrap w:val="0"/>
            <w:vAlign w:val="center"/>
          </w:tcPr>
          <w:p w14:paraId="31377EBA">
            <w:r>
              <w:rPr>
                <w:rStyle w:val="10"/>
                <w:rFonts w:hint="eastAsia"/>
              </w:rPr>
              <w:t>使用技术要求:</w:t>
            </w:r>
            <w:r>
              <w:rPr>
                <w:rFonts w:hint="eastAsia"/>
              </w:rPr>
              <w:br w:type="textWrapping"/>
            </w:r>
            <w:r>
              <w:rPr>
                <w:rStyle w:val="11"/>
                <w:rFonts w:hint="eastAsia"/>
              </w:rPr>
              <w:t>1.于柑橘树红蜘蛛发生始盛期施药1次，施药时应对柑橘树整株施药，包括叶片背面。 2.在大风天或预计1时内降雨，请勿施药。 3.安全间隔期为21天，每个作物周期最多使用次数为1次。</w:t>
            </w:r>
          </w:p>
        </w:tc>
      </w:tr>
      <w:tr w14:paraId="38AE51ED">
        <w:tblPrEx>
          <w:tblCellMar>
            <w:top w:w="0" w:type="dxa"/>
            <w:left w:w="0" w:type="dxa"/>
            <w:bottom w:w="0" w:type="dxa"/>
            <w:right w:w="0" w:type="dxa"/>
          </w:tblCellMar>
        </w:tblPrEx>
        <w:trPr>
          <w:wBefore w:w="0" w:type="auto"/>
          <w:tblCellSpacing w:w="0" w:type="dxa"/>
        </w:trPr>
        <w:tc>
          <w:tcPr>
            <w:tcW w:w="0" w:type="auto"/>
            <w:noWrap w:val="0"/>
            <w:vAlign w:val="center"/>
          </w:tcPr>
          <w:p w14:paraId="33ED3C69">
            <w:r>
              <w:rPr>
                <w:rStyle w:val="10"/>
                <w:rFonts w:hint="eastAsia"/>
              </w:rPr>
              <w:t>产品性能:</w:t>
            </w:r>
            <w:r>
              <w:rPr>
                <w:rFonts w:hint="eastAsia"/>
              </w:rPr>
              <w:br w:type="textWrapping"/>
            </w:r>
            <w:r>
              <w:rPr>
                <w:rStyle w:val="11"/>
                <w:rFonts w:hint="eastAsia"/>
              </w:rPr>
              <w:t>本品为新型化合物乙螨唑和丁醚脲复配的产品。乙螨唑主要作用于幼若螨和卵，丁醚脲对各种发育状态的幼若螨、成螨均有良好防效。与常规杀螨剂无交互抗性，对抗性害螨效果好。本品粘附性好，耐雨水冲刷，持效期长。</w:t>
            </w:r>
          </w:p>
        </w:tc>
      </w:tr>
      <w:tr w14:paraId="0A759025">
        <w:tblPrEx>
          <w:tblCellMar>
            <w:top w:w="0" w:type="dxa"/>
            <w:left w:w="0" w:type="dxa"/>
            <w:bottom w:w="0" w:type="dxa"/>
            <w:right w:w="0" w:type="dxa"/>
          </w:tblCellMar>
        </w:tblPrEx>
        <w:trPr>
          <w:wBefore w:w="0" w:type="auto"/>
          <w:tblCellSpacing w:w="0" w:type="dxa"/>
        </w:trPr>
        <w:tc>
          <w:tcPr>
            <w:tcW w:w="0" w:type="auto"/>
            <w:noWrap w:val="0"/>
            <w:vAlign w:val="center"/>
          </w:tcPr>
          <w:p w14:paraId="2214E60B">
            <w:r>
              <w:rPr>
                <w:rStyle w:val="10"/>
                <w:rFonts w:hint="eastAsia"/>
              </w:rPr>
              <w:t>注意事项：</w:t>
            </w:r>
            <w:r>
              <w:rPr>
                <w:rFonts w:hint="eastAsia"/>
              </w:rPr>
              <w:br w:type="textWrapping"/>
            </w:r>
            <w:r>
              <w:rPr>
                <w:rStyle w:val="11"/>
                <w:rFonts w:hint="eastAsia"/>
              </w:rPr>
              <w:t>1.本品对鱼类等水生生物、大型溞有毒，应远离水产养殖区、河塘等水体附近施药，禁止在河塘等水体清洗施药器具。 2.蚕室及桑园附近禁用。 瓢虫等天敌放飞区域禁用。3.本品对眼睛、皮肤有刺激性，使用时避免接触眼睛、皮肤，穿戴长衣、长裤、帽子、口罩、手套等防护措施。避免吸入药液。施药期间不可吃东西和饮水。施药后应及时洗手和洗脸。4.用过的容器应妥善处理，不可做他用，也不可随意丢弃。5.孕妇及哺乳期妇女禁止接触本品。</w:t>
            </w:r>
          </w:p>
        </w:tc>
      </w:tr>
      <w:tr w14:paraId="03DFA944">
        <w:tblPrEx>
          <w:tblCellMar>
            <w:top w:w="0" w:type="dxa"/>
            <w:left w:w="0" w:type="dxa"/>
            <w:bottom w:w="0" w:type="dxa"/>
            <w:right w:w="0" w:type="dxa"/>
          </w:tblCellMar>
        </w:tblPrEx>
        <w:trPr>
          <w:wBefore w:w="0" w:type="auto"/>
          <w:tblCellSpacing w:w="0" w:type="dxa"/>
        </w:trPr>
        <w:tc>
          <w:tcPr>
            <w:tcW w:w="0" w:type="auto"/>
            <w:noWrap w:val="0"/>
            <w:vAlign w:val="center"/>
          </w:tcPr>
          <w:p w14:paraId="6437A4BB">
            <w:r>
              <w:rPr>
                <w:rStyle w:val="10"/>
                <w:rFonts w:hint="eastAsia"/>
              </w:rPr>
              <w:t>中毒急救措施：</w:t>
            </w:r>
            <w:r>
              <w:rPr>
                <w:rFonts w:hint="eastAsia"/>
              </w:rPr>
              <w:br w:type="textWrapping"/>
            </w:r>
            <w:r>
              <w:rPr>
                <w:rStyle w:val="11"/>
                <w:rFonts w:hint="eastAsia"/>
              </w:rPr>
              <w:t>使用中或使用后如果感觉不适，应立即停止工作，采取急救措施；如接触皮肤，用肥皂和清水彻底清洗；若溅入眼睛，用清水冲洗眼睛至少15分钟，仍不适，送医就诊；若误服，立即携标签送医就诊，对症治疗。</w:t>
            </w:r>
          </w:p>
        </w:tc>
      </w:tr>
      <w:tr w14:paraId="5880227D">
        <w:tblPrEx>
          <w:tblCellMar>
            <w:top w:w="0" w:type="dxa"/>
            <w:left w:w="0" w:type="dxa"/>
            <w:bottom w:w="0" w:type="dxa"/>
            <w:right w:w="0" w:type="dxa"/>
          </w:tblCellMar>
        </w:tblPrEx>
        <w:trPr>
          <w:wBefore w:w="0" w:type="auto"/>
          <w:tblCellSpacing w:w="0" w:type="dxa"/>
        </w:trPr>
        <w:tc>
          <w:tcPr>
            <w:tcW w:w="0" w:type="auto"/>
            <w:noWrap w:val="0"/>
            <w:vAlign w:val="center"/>
          </w:tcPr>
          <w:p w14:paraId="33B8183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本品应贮存在干燥、阴凉、通风、防雨处，远离火源或热源。置于儿童、无关人员触及不到之处，并加锁。勿与食品、饮料、饲料、粮食等同贮同运。</w:t>
            </w:r>
          </w:p>
        </w:tc>
      </w:tr>
      <w:tr w14:paraId="7CE1DF17">
        <w:tblPrEx>
          <w:tblCellMar>
            <w:top w:w="0" w:type="dxa"/>
            <w:left w:w="0" w:type="dxa"/>
            <w:bottom w:w="0" w:type="dxa"/>
            <w:right w:w="0" w:type="dxa"/>
          </w:tblCellMar>
        </w:tblPrEx>
        <w:trPr>
          <w:wBefore w:w="0" w:type="auto"/>
          <w:tblCellSpacing w:w="0" w:type="dxa"/>
        </w:trPr>
        <w:tc>
          <w:tcPr>
            <w:tcW w:w="0" w:type="auto"/>
            <w:noWrap w:val="0"/>
            <w:vAlign w:val="center"/>
          </w:tcPr>
          <w:p w14:paraId="288DF577">
            <w:r>
              <w:rPr>
                <w:rStyle w:val="10"/>
                <w:rFonts w:hint="eastAsia"/>
              </w:rPr>
              <w:t>质量保证期：</w:t>
            </w:r>
            <w:r>
              <w:rPr>
                <w:rStyle w:val="11"/>
                <w:rFonts w:hint="eastAsia"/>
              </w:rPr>
              <w:t>2年</w:t>
            </w:r>
          </w:p>
        </w:tc>
      </w:tr>
      <w:tr w14:paraId="11E5FB97">
        <w:tblPrEx>
          <w:tblCellMar>
            <w:top w:w="0" w:type="dxa"/>
            <w:left w:w="0" w:type="dxa"/>
            <w:bottom w:w="0" w:type="dxa"/>
            <w:right w:w="0" w:type="dxa"/>
          </w:tblCellMar>
        </w:tblPrEx>
        <w:trPr>
          <w:wBefore w:w="0" w:type="auto"/>
          <w:tblCellSpacing w:w="0" w:type="dxa"/>
        </w:trPr>
        <w:tc>
          <w:tcPr>
            <w:tcW w:w="0" w:type="auto"/>
            <w:noWrap w:val="0"/>
            <w:vAlign w:val="center"/>
          </w:tcPr>
          <w:p w14:paraId="5A09193C">
            <w:r>
              <w:rPr>
                <w:rStyle w:val="10"/>
                <w:rFonts w:hint="eastAsia"/>
              </w:rPr>
              <w:t>备注：</w:t>
            </w:r>
          </w:p>
        </w:tc>
      </w:tr>
    </w:tbl>
    <w:p w14:paraId="55521F1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B4FA1D2">
        <w:tblPrEx>
          <w:tblCellMar>
            <w:top w:w="0" w:type="dxa"/>
            <w:left w:w="0" w:type="dxa"/>
            <w:bottom w:w="0" w:type="dxa"/>
            <w:right w:w="0" w:type="dxa"/>
          </w:tblCellMar>
        </w:tblPrEx>
        <w:trPr>
          <w:wBefore w:w="0" w:type="auto"/>
          <w:tblCellSpacing w:w="0" w:type="dxa"/>
        </w:trPr>
        <w:tc>
          <w:tcPr>
            <w:tcW w:w="0" w:type="auto"/>
            <w:noWrap w:val="0"/>
            <w:vAlign w:val="center"/>
          </w:tcPr>
          <w:p w14:paraId="4D6869DF">
            <w:r>
              <w:rPr>
                <w:rStyle w:val="10"/>
                <w:rFonts w:hint="eastAsia"/>
              </w:rPr>
              <w:t>登记证号：</w:t>
            </w:r>
            <w:r>
              <w:rPr>
                <w:rFonts w:hint="eastAsia"/>
              </w:rPr>
              <w:t>PD20212203</w:t>
            </w:r>
          </w:p>
        </w:tc>
      </w:tr>
      <w:tr w14:paraId="70F52B45">
        <w:tblPrEx>
          <w:tblCellMar>
            <w:top w:w="0" w:type="dxa"/>
            <w:left w:w="0" w:type="dxa"/>
            <w:bottom w:w="0" w:type="dxa"/>
            <w:right w:w="0" w:type="dxa"/>
          </w:tblCellMar>
        </w:tblPrEx>
        <w:trPr>
          <w:wBefore w:w="0" w:type="auto"/>
          <w:tblCellSpacing w:w="0" w:type="dxa"/>
        </w:trPr>
        <w:tc>
          <w:tcPr>
            <w:tcW w:w="0" w:type="auto"/>
            <w:noWrap w:val="0"/>
            <w:vAlign w:val="center"/>
          </w:tcPr>
          <w:p w14:paraId="201BE9ED">
            <w:r>
              <w:rPr>
                <w:rStyle w:val="10"/>
                <w:rFonts w:hint="eastAsia"/>
              </w:rPr>
              <w:t>登记证持有人：</w:t>
            </w:r>
            <w:r>
              <w:rPr>
                <w:rFonts w:hint="eastAsia"/>
              </w:rPr>
              <w:t>山东绿邦作物科学股份有限公司</w:t>
            </w:r>
          </w:p>
        </w:tc>
      </w:tr>
      <w:tr w14:paraId="298FCF10">
        <w:tblPrEx>
          <w:tblCellMar>
            <w:top w:w="0" w:type="dxa"/>
            <w:left w:w="0" w:type="dxa"/>
            <w:bottom w:w="0" w:type="dxa"/>
            <w:right w:w="0" w:type="dxa"/>
          </w:tblCellMar>
        </w:tblPrEx>
        <w:trPr>
          <w:wBefore w:w="0" w:type="auto"/>
          <w:tblCellSpacing w:w="0" w:type="dxa"/>
        </w:trPr>
        <w:tc>
          <w:tcPr>
            <w:tcW w:w="0" w:type="auto"/>
            <w:noWrap w:val="0"/>
            <w:vAlign w:val="center"/>
          </w:tcPr>
          <w:p w14:paraId="24E3401C">
            <w:r>
              <w:rPr>
                <w:rStyle w:val="10"/>
                <w:rFonts w:hint="eastAsia"/>
              </w:rPr>
              <w:t>农药名称：</w:t>
            </w:r>
            <w:r>
              <w:rPr>
                <w:rFonts w:hint="eastAsia"/>
              </w:rPr>
              <w:t>氟草·草铵膦</w:t>
            </w:r>
          </w:p>
        </w:tc>
      </w:tr>
      <w:tr w14:paraId="51D3FA3B">
        <w:tblPrEx>
          <w:tblCellMar>
            <w:top w:w="0" w:type="dxa"/>
            <w:left w:w="0" w:type="dxa"/>
            <w:bottom w:w="0" w:type="dxa"/>
            <w:right w:w="0" w:type="dxa"/>
          </w:tblCellMar>
        </w:tblPrEx>
        <w:trPr>
          <w:wBefore w:w="0" w:type="auto"/>
          <w:tblCellSpacing w:w="0" w:type="dxa"/>
        </w:trPr>
        <w:tc>
          <w:tcPr>
            <w:tcW w:w="0" w:type="auto"/>
            <w:noWrap w:val="0"/>
            <w:vAlign w:val="center"/>
          </w:tcPr>
          <w:p w14:paraId="4CF9629C">
            <w:r>
              <w:rPr>
                <w:rStyle w:val="10"/>
                <w:rFonts w:hint="eastAsia"/>
              </w:rPr>
              <w:t>剂型：</w:t>
            </w:r>
            <w:r>
              <w:rPr>
                <w:rFonts w:hint="eastAsia"/>
              </w:rPr>
              <w:t>可湿性粉剂</w:t>
            </w:r>
          </w:p>
        </w:tc>
      </w:tr>
      <w:tr w14:paraId="6E726D3D">
        <w:tblPrEx>
          <w:tblCellMar>
            <w:top w:w="0" w:type="dxa"/>
            <w:left w:w="0" w:type="dxa"/>
            <w:bottom w:w="0" w:type="dxa"/>
            <w:right w:w="0" w:type="dxa"/>
          </w:tblCellMar>
        </w:tblPrEx>
        <w:trPr>
          <w:wBefore w:w="0" w:type="auto"/>
          <w:tblCellSpacing w:w="0" w:type="dxa"/>
        </w:trPr>
        <w:tc>
          <w:tcPr>
            <w:tcW w:w="0" w:type="auto"/>
            <w:noWrap w:val="0"/>
            <w:vAlign w:val="center"/>
          </w:tcPr>
          <w:p w14:paraId="6412A6E5">
            <w:r>
              <w:rPr>
                <w:rStyle w:val="10"/>
                <w:rFonts w:hint="eastAsia"/>
              </w:rPr>
              <w:t>毒性及其标识：</w:t>
            </w:r>
            <w:r>
              <w:rPr>
                <w:rFonts w:hint="eastAsia"/>
              </w:rPr>
              <w:t xml:space="preserve"> </w:t>
            </w:r>
            <w:r>
              <w:rPr>
                <w:lang/>
              </w:rPr>
              <w:drawing>
                <wp:inline distT="0" distB="0" distL="114300" distR="114300">
                  <wp:extent cx="476250" cy="323850"/>
                  <wp:effectExtent l="0" t="0" r="0" b="0"/>
                  <wp:docPr id="170" name="图片 17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06B5EC0">
        <w:tblPrEx>
          <w:tblCellMar>
            <w:top w:w="0" w:type="dxa"/>
            <w:left w:w="0" w:type="dxa"/>
            <w:bottom w:w="0" w:type="dxa"/>
            <w:right w:w="0" w:type="dxa"/>
          </w:tblCellMar>
        </w:tblPrEx>
        <w:trPr>
          <w:wBefore w:w="0" w:type="auto"/>
          <w:tblCellSpacing w:w="0" w:type="dxa"/>
        </w:trPr>
        <w:tc>
          <w:tcPr>
            <w:tcW w:w="0" w:type="auto"/>
            <w:noWrap w:val="0"/>
            <w:vAlign w:val="center"/>
          </w:tcPr>
          <w:p w14:paraId="7F1AA78A">
            <w:r>
              <w:rPr>
                <w:rStyle w:val="10"/>
                <w:rFonts w:hint="eastAsia"/>
              </w:rPr>
              <w:t>总有效成分含量：</w:t>
            </w:r>
            <w:r>
              <w:rPr>
                <w:rFonts w:hint="eastAsia"/>
              </w:rPr>
              <w:t>66%</w:t>
            </w:r>
          </w:p>
        </w:tc>
      </w:tr>
      <w:tr w14:paraId="1FF3A642">
        <w:tblPrEx>
          <w:tblCellMar>
            <w:top w:w="0" w:type="dxa"/>
            <w:left w:w="0" w:type="dxa"/>
            <w:bottom w:w="0" w:type="dxa"/>
            <w:right w:w="0" w:type="dxa"/>
          </w:tblCellMar>
        </w:tblPrEx>
        <w:trPr>
          <w:wBefore w:w="0" w:type="auto"/>
          <w:tblCellSpacing w:w="0" w:type="dxa"/>
        </w:trPr>
        <w:tc>
          <w:tcPr>
            <w:tcW w:w="0" w:type="auto"/>
            <w:noWrap w:val="0"/>
            <w:vAlign w:val="center"/>
          </w:tcPr>
          <w:p w14:paraId="0087C5C4">
            <w:r>
              <w:rPr>
                <w:rFonts w:hint="eastAsia"/>
              </w:rPr>
              <w:t xml:space="preserve">有效成分及其含量： </w:t>
            </w:r>
          </w:p>
          <w:p w14:paraId="58292C1B">
            <w:r>
              <w:rPr>
                <w:rFonts w:hint="eastAsia"/>
              </w:rPr>
              <w:t xml:space="preserve">    丙炔氟草胺6%    草铵膦60%    </w:t>
            </w:r>
          </w:p>
        </w:tc>
      </w:tr>
      <w:tr w14:paraId="3B6FFECC">
        <w:tblPrEx>
          <w:tblCellMar>
            <w:top w:w="0" w:type="dxa"/>
            <w:left w:w="0" w:type="dxa"/>
            <w:bottom w:w="0" w:type="dxa"/>
            <w:right w:w="0" w:type="dxa"/>
          </w:tblCellMar>
        </w:tblPrEx>
        <w:trPr>
          <w:wBefore w:w="0" w:type="auto"/>
          <w:tblCellSpacing w:w="0" w:type="dxa"/>
        </w:trPr>
        <w:tc>
          <w:tcPr>
            <w:tcW w:w="0" w:type="auto"/>
            <w:noWrap w:val="0"/>
            <w:vAlign w:val="center"/>
          </w:tcPr>
          <w:p w14:paraId="5723C00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F50FD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3EF5FD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FBF49E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007B6C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5D3AA5E">
                  <w:r>
                    <w:rPr>
                      <w:rStyle w:val="11"/>
                      <w:rFonts w:hint="eastAsia"/>
                    </w:rPr>
                    <w:t>施用方式</w:t>
                  </w:r>
                </w:p>
              </w:tc>
            </w:tr>
            <w:tr w14:paraId="4D3BB3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3875C8B">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4A9704">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932885">
                  <w:r>
                    <w:rPr>
                      <w:rStyle w:val="11"/>
                      <w:rFonts w:hint="eastAsia"/>
                    </w:rPr>
                    <w:t>40-60毫升/亩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1F8CE6">
                  <w:r>
                    <w:rPr>
                      <w:rStyle w:val="11"/>
                      <w:rFonts w:hint="eastAsia"/>
                    </w:rPr>
                    <w:t>茎叶喷雾</w:t>
                  </w:r>
                </w:p>
              </w:tc>
            </w:tr>
          </w:tbl>
          <w:p w14:paraId="6AFE687E">
            <w:pPr>
              <w:rPr>
                <w:rFonts w:ascii="Times New Roman" w:hAnsi="Times New Roman" w:cs="Times New Roman"/>
                <w:sz w:val="20"/>
                <w:szCs w:val="20"/>
              </w:rPr>
            </w:pPr>
          </w:p>
        </w:tc>
      </w:tr>
      <w:tr w14:paraId="60727ACE">
        <w:tblPrEx>
          <w:tblCellMar>
            <w:top w:w="0" w:type="dxa"/>
            <w:left w:w="0" w:type="dxa"/>
            <w:bottom w:w="0" w:type="dxa"/>
            <w:right w:w="0" w:type="dxa"/>
          </w:tblCellMar>
        </w:tblPrEx>
        <w:trPr>
          <w:wBefore w:w="0" w:type="auto"/>
          <w:tblCellSpacing w:w="0" w:type="dxa"/>
        </w:trPr>
        <w:tc>
          <w:tcPr>
            <w:tcW w:w="0" w:type="auto"/>
            <w:noWrap w:val="0"/>
            <w:vAlign w:val="center"/>
          </w:tcPr>
          <w:p w14:paraId="6C986690">
            <w:r>
              <w:rPr>
                <w:rStyle w:val="10"/>
                <w:rFonts w:hint="eastAsia"/>
              </w:rPr>
              <w:t>使用技术要求:</w:t>
            </w:r>
            <w:r>
              <w:rPr>
                <w:rFonts w:hint="eastAsia"/>
              </w:rPr>
              <w:br w:type="textWrapping"/>
            </w:r>
            <w:r>
              <w:rPr>
                <w:rStyle w:val="11"/>
                <w:rFonts w:hint="eastAsia"/>
              </w:rPr>
              <w:t>1.于非耕地杂草旺盛生长期茎叶喷雾施药一次。 2.避免药液喷到作物绿色部位，避免漂移到邻近作物田。3. 禁止在田间道路、田埂、果树行间、休耕地、林场地等农林区域使用。   </w:t>
            </w:r>
          </w:p>
        </w:tc>
      </w:tr>
      <w:tr w14:paraId="11A074DF">
        <w:tblPrEx>
          <w:tblCellMar>
            <w:top w:w="0" w:type="dxa"/>
            <w:left w:w="0" w:type="dxa"/>
            <w:bottom w:w="0" w:type="dxa"/>
            <w:right w:w="0" w:type="dxa"/>
          </w:tblCellMar>
        </w:tblPrEx>
        <w:trPr>
          <w:wBefore w:w="0" w:type="auto"/>
          <w:tblCellSpacing w:w="0" w:type="dxa"/>
        </w:trPr>
        <w:tc>
          <w:tcPr>
            <w:tcW w:w="0" w:type="auto"/>
            <w:noWrap w:val="0"/>
            <w:vAlign w:val="center"/>
          </w:tcPr>
          <w:p w14:paraId="50742A0E">
            <w:r>
              <w:rPr>
                <w:rStyle w:val="10"/>
                <w:rFonts w:hint="eastAsia"/>
              </w:rPr>
              <w:t>产品性能:</w:t>
            </w:r>
            <w:r>
              <w:rPr>
                <w:rFonts w:hint="eastAsia"/>
              </w:rPr>
              <w:br w:type="textWrapping"/>
            </w:r>
            <w:r>
              <w:rPr>
                <w:rStyle w:val="11"/>
                <w:rFonts w:hint="eastAsia"/>
              </w:rPr>
              <w:t>本品是丙炔氟草胺和草铵膦复配的除草剂；该产品具有活性高、除草速度快、杀草谱广、持效期长的特点。 对非耕地杂草有较好的防效。</w:t>
            </w:r>
          </w:p>
        </w:tc>
      </w:tr>
      <w:tr w14:paraId="35742DE7">
        <w:tblPrEx>
          <w:tblCellMar>
            <w:top w:w="0" w:type="dxa"/>
            <w:left w:w="0" w:type="dxa"/>
            <w:bottom w:w="0" w:type="dxa"/>
            <w:right w:w="0" w:type="dxa"/>
          </w:tblCellMar>
        </w:tblPrEx>
        <w:trPr>
          <w:wBefore w:w="0" w:type="auto"/>
          <w:tblCellSpacing w:w="0" w:type="dxa"/>
        </w:trPr>
        <w:tc>
          <w:tcPr>
            <w:tcW w:w="0" w:type="auto"/>
            <w:noWrap w:val="0"/>
            <w:vAlign w:val="center"/>
          </w:tcPr>
          <w:p w14:paraId="6498CEE7">
            <w:r>
              <w:rPr>
                <w:rStyle w:val="10"/>
                <w:rFonts w:hint="eastAsia"/>
              </w:rPr>
              <w:t>注意事项：</w:t>
            </w:r>
            <w:r>
              <w:rPr>
                <w:rFonts w:hint="eastAsia"/>
              </w:rPr>
              <w:br w:type="textWrapping"/>
            </w:r>
            <w:r>
              <w:rPr>
                <w:rStyle w:val="11"/>
                <w:rFonts w:hint="eastAsia"/>
              </w:rPr>
              <w:t>1. 使用本品应采取相应的安全防护措施，穿长衣、长裤、鞋子，戴帽子、口罩和手套等，避免皮肤接触及口鼻吸入。使用中不可吸烟、饮水及吃东西，使用后及时清洗手、脸等暴露部位皮肤并更换衣物。 2. 施药前、后要彻底清洗喷药器械，洗涤后的废水不能排入河流、池塘等水源。 3. 用过的容器应妥善处理，不能随意丢弃，也不能做他用。 4. 本品对鱼类等水生生物有毒；远离水产养殖区施药，禁止在河塘等水体中清洗施药器具。洗涤器具后的废水和未使用完的药液不应污染河流等水源，避免影响鱼类和污染水源。5. 蚕室及桑园附近禁用；天敌放飞区域禁用本品。 6. 开启封口应小心药液溅出，废弃包装物应冲洗压扁后深埋或由生产企业回收处理。 7. 孕妇及哺乳期妇女避免接触。8.赤眼蜂等天敌放飞区域禁用。</w:t>
            </w:r>
          </w:p>
        </w:tc>
      </w:tr>
      <w:tr w14:paraId="07126D12">
        <w:tblPrEx>
          <w:tblCellMar>
            <w:top w:w="0" w:type="dxa"/>
            <w:left w:w="0" w:type="dxa"/>
            <w:bottom w:w="0" w:type="dxa"/>
            <w:right w:w="0" w:type="dxa"/>
          </w:tblCellMar>
        </w:tblPrEx>
        <w:trPr>
          <w:wBefore w:w="0" w:type="auto"/>
          <w:tblCellSpacing w:w="0" w:type="dxa"/>
        </w:trPr>
        <w:tc>
          <w:tcPr>
            <w:tcW w:w="0" w:type="auto"/>
            <w:noWrap w:val="0"/>
            <w:vAlign w:val="center"/>
          </w:tcPr>
          <w:p w14:paraId="34A92742">
            <w:r>
              <w:rPr>
                <w:rStyle w:val="10"/>
                <w:rFonts w:hint="eastAsia"/>
              </w:rPr>
              <w:t>中毒急救措施：</w:t>
            </w:r>
            <w:r>
              <w:rPr>
                <w:rFonts w:hint="eastAsia"/>
              </w:rPr>
              <w:br w:type="textWrapping"/>
            </w:r>
            <w:r>
              <w:rPr>
                <w:rStyle w:val="11"/>
                <w:rFonts w:hint="eastAsia"/>
              </w:rPr>
              <w:t>中毒症状：对眼睛、皮肤或粘膜有刺激作用。急救措施：使用中或使用后如果感觉不适，应立即停止工作，采取急救措施，并携带标签送医院就诊。 1. 皮肤接触：脱去污染的衣物，用软布去除沾染农药，立即用大量清水和肥皂冲洗； 2. 眼睛接触：立即用流动的清水至少冲洗15分钟，仍有不适应立即就医； 3. 吸入：立即离开施药现场，转移到空气清新处。 4. 如误服，立即停止服用，用清水充分漱口后，立即携带标签到医院对症治疗。</w:t>
            </w:r>
          </w:p>
        </w:tc>
      </w:tr>
      <w:tr w14:paraId="4BAC4095">
        <w:tblPrEx>
          <w:tblCellMar>
            <w:top w:w="0" w:type="dxa"/>
            <w:left w:w="0" w:type="dxa"/>
            <w:bottom w:w="0" w:type="dxa"/>
            <w:right w:w="0" w:type="dxa"/>
          </w:tblCellMar>
        </w:tblPrEx>
        <w:trPr>
          <w:wBefore w:w="0" w:type="auto"/>
          <w:tblCellSpacing w:w="0" w:type="dxa"/>
        </w:trPr>
        <w:tc>
          <w:tcPr>
            <w:tcW w:w="0" w:type="auto"/>
            <w:noWrap w:val="0"/>
            <w:vAlign w:val="center"/>
          </w:tcPr>
          <w:p w14:paraId="6895A2F4">
            <w:r>
              <w:rPr>
                <w:rStyle w:val="10"/>
                <w:rFonts w:hint="eastAsia"/>
              </w:rPr>
              <w:t>储存和运输方法：</w:t>
            </w:r>
            <w:r>
              <w:rPr>
                <w:rFonts w:hint="eastAsia"/>
              </w:rPr>
              <w:br w:type="textWrapping"/>
            </w:r>
            <w:r>
              <w:rPr>
                <w:rStyle w:val="11"/>
                <w:rFonts w:hint="eastAsia"/>
              </w:rPr>
              <w:t>贮运时应严防潮湿和日晒，保持良好通风，远离热源或火源，置于儿童、无关人员及动物触及不到的地方，并加锁保存；不能与食品、饮料、粮食、饲料等混合储运。</w:t>
            </w:r>
          </w:p>
        </w:tc>
      </w:tr>
      <w:tr w14:paraId="70BC0DBF">
        <w:tblPrEx>
          <w:tblCellMar>
            <w:top w:w="0" w:type="dxa"/>
            <w:left w:w="0" w:type="dxa"/>
            <w:bottom w:w="0" w:type="dxa"/>
            <w:right w:w="0" w:type="dxa"/>
          </w:tblCellMar>
        </w:tblPrEx>
        <w:trPr>
          <w:wBefore w:w="0" w:type="auto"/>
          <w:tblCellSpacing w:w="0" w:type="dxa"/>
        </w:trPr>
        <w:tc>
          <w:tcPr>
            <w:tcW w:w="0" w:type="auto"/>
            <w:noWrap w:val="0"/>
            <w:vAlign w:val="center"/>
          </w:tcPr>
          <w:p w14:paraId="6A9309C4">
            <w:r>
              <w:rPr>
                <w:rStyle w:val="10"/>
                <w:rFonts w:hint="eastAsia"/>
              </w:rPr>
              <w:t>质量保证期：</w:t>
            </w:r>
            <w:r>
              <w:rPr>
                <w:rStyle w:val="11"/>
                <w:rFonts w:hint="eastAsia"/>
              </w:rPr>
              <w:t>2年</w:t>
            </w:r>
          </w:p>
        </w:tc>
      </w:tr>
      <w:tr w14:paraId="0074ACD2">
        <w:tblPrEx>
          <w:tblCellMar>
            <w:top w:w="0" w:type="dxa"/>
            <w:left w:w="0" w:type="dxa"/>
            <w:bottom w:w="0" w:type="dxa"/>
            <w:right w:w="0" w:type="dxa"/>
          </w:tblCellMar>
        </w:tblPrEx>
        <w:trPr>
          <w:wBefore w:w="0" w:type="auto"/>
          <w:tblCellSpacing w:w="0" w:type="dxa"/>
        </w:trPr>
        <w:tc>
          <w:tcPr>
            <w:tcW w:w="0" w:type="auto"/>
            <w:noWrap w:val="0"/>
            <w:vAlign w:val="center"/>
          </w:tcPr>
          <w:p w14:paraId="7DC93AE3">
            <w:r>
              <w:rPr>
                <w:rStyle w:val="10"/>
                <w:rFonts w:hint="eastAsia"/>
              </w:rPr>
              <w:t>备注：</w:t>
            </w:r>
          </w:p>
        </w:tc>
      </w:tr>
    </w:tbl>
    <w:p w14:paraId="1FE2058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6EA5BB3">
        <w:tblPrEx>
          <w:tblCellMar>
            <w:top w:w="0" w:type="dxa"/>
            <w:left w:w="0" w:type="dxa"/>
            <w:bottom w:w="0" w:type="dxa"/>
            <w:right w:w="0" w:type="dxa"/>
          </w:tblCellMar>
        </w:tblPrEx>
        <w:trPr>
          <w:wBefore w:w="0" w:type="auto"/>
          <w:tblCellSpacing w:w="0" w:type="dxa"/>
        </w:trPr>
        <w:tc>
          <w:tcPr>
            <w:tcW w:w="0" w:type="auto"/>
            <w:noWrap w:val="0"/>
            <w:vAlign w:val="center"/>
          </w:tcPr>
          <w:p w14:paraId="2F839F7D">
            <w:r>
              <w:rPr>
                <w:rStyle w:val="10"/>
                <w:rFonts w:hint="eastAsia"/>
              </w:rPr>
              <w:t>登记证号：</w:t>
            </w:r>
            <w:r>
              <w:rPr>
                <w:rFonts w:hint="eastAsia"/>
              </w:rPr>
              <w:t>PD20211942</w:t>
            </w:r>
          </w:p>
        </w:tc>
      </w:tr>
      <w:tr w14:paraId="270D6BAF">
        <w:tblPrEx>
          <w:tblCellMar>
            <w:top w:w="0" w:type="dxa"/>
            <w:left w:w="0" w:type="dxa"/>
            <w:bottom w:w="0" w:type="dxa"/>
            <w:right w:w="0" w:type="dxa"/>
          </w:tblCellMar>
        </w:tblPrEx>
        <w:trPr>
          <w:wBefore w:w="0" w:type="auto"/>
          <w:tblCellSpacing w:w="0" w:type="dxa"/>
        </w:trPr>
        <w:tc>
          <w:tcPr>
            <w:tcW w:w="0" w:type="auto"/>
            <w:noWrap w:val="0"/>
            <w:vAlign w:val="center"/>
          </w:tcPr>
          <w:p w14:paraId="3D18341A">
            <w:r>
              <w:rPr>
                <w:rStyle w:val="10"/>
                <w:rFonts w:hint="eastAsia"/>
              </w:rPr>
              <w:t>登记证持有人：</w:t>
            </w:r>
            <w:r>
              <w:rPr>
                <w:rFonts w:hint="eastAsia"/>
              </w:rPr>
              <w:t>河南金田地农化有限责任公司</w:t>
            </w:r>
          </w:p>
        </w:tc>
      </w:tr>
      <w:tr w14:paraId="2F5A631A">
        <w:tblPrEx>
          <w:tblCellMar>
            <w:top w:w="0" w:type="dxa"/>
            <w:left w:w="0" w:type="dxa"/>
            <w:bottom w:w="0" w:type="dxa"/>
            <w:right w:w="0" w:type="dxa"/>
          </w:tblCellMar>
        </w:tblPrEx>
        <w:trPr>
          <w:wBefore w:w="0" w:type="auto"/>
          <w:tblCellSpacing w:w="0" w:type="dxa"/>
        </w:trPr>
        <w:tc>
          <w:tcPr>
            <w:tcW w:w="0" w:type="auto"/>
            <w:noWrap w:val="0"/>
            <w:vAlign w:val="center"/>
          </w:tcPr>
          <w:p w14:paraId="33E717B9">
            <w:r>
              <w:rPr>
                <w:rStyle w:val="10"/>
                <w:rFonts w:hint="eastAsia"/>
              </w:rPr>
              <w:t>农药名称：</w:t>
            </w:r>
            <w:r>
              <w:rPr>
                <w:rFonts w:hint="eastAsia"/>
              </w:rPr>
              <w:t>吡唑醚菌酯</w:t>
            </w:r>
          </w:p>
        </w:tc>
      </w:tr>
      <w:tr w14:paraId="4C9EA322">
        <w:tblPrEx>
          <w:tblCellMar>
            <w:top w:w="0" w:type="dxa"/>
            <w:left w:w="0" w:type="dxa"/>
            <w:bottom w:w="0" w:type="dxa"/>
            <w:right w:w="0" w:type="dxa"/>
          </w:tblCellMar>
        </w:tblPrEx>
        <w:trPr>
          <w:wBefore w:w="0" w:type="auto"/>
          <w:tblCellSpacing w:w="0" w:type="dxa"/>
        </w:trPr>
        <w:tc>
          <w:tcPr>
            <w:tcW w:w="0" w:type="auto"/>
            <w:noWrap w:val="0"/>
            <w:vAlign w:val="center"/>
          </w:tcPr>
          <w:p w14:paraId="25A7A3D9">
            <w:r>
              <w:rPr>
                <w:rStyle w:val="10"/>
                <w:rFonts w:hint="eastAsia"/>
              </w:rPr>
              <w:t>剂型：</w:t>
            </w:r>
            <w:r>
              <w:rPr>
                <w:rFonts w:hint="eastAsia"/>
              </w:rPr>
              <w:t>悬浮剂</w:t>
            </w:r>
          </w:p>
        </w:tc>
      </w:tr>
      <w:tr w14:paraId="6F2FB527">
        <w:tblPrEx>
          <w:tblCellMar>
            <w:top w:w="0" w:type="dxa"/>
            <w:left w:w="0" w:type="dxa"/>
            <w:bottom w:w="0" w:type="dxa"/>
            <w:right w:w="0" w:type="dxa"/>
          </w:tblCellMar>
        </w:tblPrEx>
        <w:trPr>
          <w:wBefore w:w="0" w:type="auto"/>
          <w:tblCellSpacing w:w="0" w:type="dxa"/>
        </w:trPr>
        <w:tc>
          <w:tcPr>
            <w:tcW w:w="0" w:type="auto"/>
            <w:noWrap w:val="0"/>
            <w:vAlign w:val="center"/>
          </w:tcPr>
          <w:p w14:paraId="652C7893">
            <w:r>
              <w:rPr>
                <w:rStyle w:val="10"/>
                <w:rFonts w:hint="eastAsia"/>
              </w:rPr>
              <w:t>毒性及其标识：</w:t>
            </w:r>
            <w:r>
              <w:rPr>
                <w:rFonts w:hint="eastAsia"/>
              </w:rPr>
              <w:t xml:space="preserve"> </w:t>
            </w:r>
            <w:r>
              <w:rPr>
                <w:lang/>
              </w:rPr>
              <w:drawing>
                <wp:inline distT="0" distB="0" distL="114300" distR="114300">
                  <wp:extent cx="476250" cy="323850"/>
                  <wp:effectExtent l="0" t="0" r="0" b="0"/>
                  <wp:docPr id="171" name="图片 17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085FA47">
        <w:tblPrEx>
          <w:tblCellMar>
            <w:top w:w="0" w:type="dxa"/>
            <w:left w:w="0" w:type="dxa"/>
            <w:bottom w:w="0" w:type="dxa"/>
            <w:right w:w="0" w:type="dxa"/>
          </w:tblCellMar>
        </w:tblPrEx>
        <w:trPr>
          <w:wBefore w:w="0" w:type="auto"/>
          <w:tblCellSpacing w:w="0" w:type="dxa"/>
        </w:trPr>
        <w:tc>
          <w:tcPr>
            <w:tcW w:w="0" w:type="auto"/>
            <w:noWrap w:val="0"/>
            <w:vAlign w:val="center"/>
          </w:tcPr>
          <w:p w14:paraId="07B4662E">
            <w:r>
              <w:rPr>
                <w:rStyle w:val="10"/>
                <w:rFonts w:hint="eastAsia"/>
              </w:rPr>
              <w:t>总有效成分含量：</w:t>
            </w:r>
            <w:r>
              <w:rPr>
                <w:rFonts w:hint="eastAsia"/>
              </w:rPr>
              <w:t>25%</w:t>
            </w:r>
          </w:p>
        </w:tc>
      </w:tr>
      <w:tr w14:paraId="62DBBF3E">
        <w:tblPrEx>
          <w:tblCellMar>
            <w:top w:w="0" w:type="dxa"/>
            <w:left w:w="0" w:type="dxa"/>
            <w:bottom w:w="0" w:type="dxa"/>
            <w:right w:w="0" w:type="dxa"/>
          </w:tblCellMar>
        </w:tblPrEx>
        <w:trPr>
          <w:wBefore w:w="0" w:type="auto"/>
          <w:tblCellSpacing w:w="0" w:type="dxa"/>
        </w:trPr>
        <w:tc>
          <w:tcPr>
            <w:tcW w:w="0" w:type="auto"/>
            <w:noWrap w:val="0"/>
            <w:vAlign w:val="center"/>
          </w:tcPr>
          <w:p w14:paraId="6DB00B32">
            <w:r>
              <w:rPr>
                <w:rFonts w:hint="eastAsia"/>
              </w:rPr>
              <w:t xml:space="preserve">有效成分及其含量： </w:t>
            </w:r>
          </w:p>
          <w:p w14:paraId="3B1C1D98">
            <w:r>
              <w:rPr>
                <w:rFonts w:hint="eastAsia"/>
              </w:rPr>
              <w:t xml:space="preserve">    吡唑醚菌酯25%    </w:t>
            </w:r>
          </w:p>
        </w:tc>
      </w:tr>
      <w:tr w14:paraId="79BA3A5A">
        <w:tblPrEx>
          <w:tblCellMar>
            <w:top w:w="0" w:type="dxa"/>
            <w:left w:w="0" w:type="dxa"/>
            <w:bottom w:w="0" w:type="dxa"/>
            <w:right w:w="0" w:type="dxa"/>
          </w:tblCellMar>
        </w:tblPrEx>
        <w:trPr>
          <w:wBefore w:w="0" w:type="auto"/>
          <w:tblCellSpacing w:w="0" w:type="dxa"/>
        </w:trPr>
        <w:tc>
          <w:tcPr>
            <w:tcW w:w="0" w:type="auto"/>
            <w:noWrap w:val="0"/>
            <w:vAlign w:val="center"/>
          </w:tcPr>
          <w:p w14:paraId="7056E41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2148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910A6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ADC41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1B4DD8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472642F">
                  <w:r>
                    <w:rPr>
                      <w:rStyle w:val="11"/>
                      <w:rFonts w:hint="eastAsia"/>
                    </w:rPr>
                    <w:t>施用方式</w:t>
                  </w:r>
                </w:p>
              </w:tc>
            </w:tr>
            <w:tr w14:paraId="5322E3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3126A75">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991EF4">
                  <w:r>
                    <w:rPr>
                      <w:rStyle w:val="11"/>
                      <w:rFonts w:hint="eastAsia"/>
                    </w:rPr>
                    <w:t>早疫病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E5DCC9">
                  <w:r>
                    <w:rPr>
                      <w:rStyle w:val="11"/>
                      <w:rFonts w:hint="eastAsia"/>
                    </w:rPr>
                    <w:t>40-48毫升/亩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65F967">
                  <w:r>
                    <w:rPr>
                      <w:rStyle w:val="11"/>
                      <w:rFonts w:hint="eastAsia"/>
                    </w:rPr>
                    <w:t>喷雾</w:t>
                  </w:r>
                </w:p>
              </w:tc>
            </w:tr>
          </w:tbl>
          <w:p w14:paraId="661E2786">
            <w:pPr>
              <w:rPr>
                <w:rFonts w:ascii="Times New Roman" w:hAnsi="Times New Roman" w:cs="Times New Roman"/>
                <w:sz w:val="20"/>
                <w:szCs w:val="20"/>
              </w:rPr>
            </w:pPr>
          </w:p>
        </w:tc>
      </w:tr>
      <w:tr w14:paraId="65341AA7">
        <w:tblPrEx>
          <w:tblCellMar>
            <w:top w:w="0" w:type="dxa"/>
            <w:left w:w="0" w:type="dxa"/>
            <w:bottom w:w="0" w:type="dxa"/>
            <w:right w:w="0" w:type="dxa"/>
          </w:tblCellMar>
        </w:tblPrEx>
        <w:trPr>
          <w:wBefore w:w="0" w:type="auto"/>
          <w:tblCellSpacing w:w="0" w:type="dxa"/>
        </w:trPr>
        <w:tc>
          <w:tcPr>
            <w:tcW w:w="0" w:type="auto"/>
            <w:noWrap w:val="0"/>
            <w:vAlign w:val="center"/>
          </w:tcPr>
          <w:p w14:paraId="1E658E45">
            <w:r>
              <w:rPr>
                <w:rStyle w:val="10"/>
                <w:rFonts w:hint="eastAsia"/>
              </w:rPr>
              <w:t>使用技术要求:</w:t>
            </w:r>
            <w:r>
              <w:rPr>
                <w:rFonts w:hint="eastAsia"/>
              </w:rPr>
              <w:br w:type="textWrapping"/>
            </w:r>
            <w:r>
              <w:rPr>
                <w:rStyle w:val="11"/>
                <w:rFonts w:hint="eastAsia"/>
              </w:rPr>
              <w:t>1.在马铃薯早疫病发病初期，按推荐剂量使用本品均匀喷雾，根据病害发生程度，可连续施药2-3次，间隔7天左右。2.大风天或预计1小时内降雨，请勿施药。3.在马铃薯上安全间隔期为28天，每季作物最多施药3次。</w:t>
            </w:r>
          </w:p>
        </w:tc>
      </w:tr>
      <w:tr w14:paraId="6FD8C641">
        <w:tblPrEx>
          <w:tblCellMar>
            <w:top w:w="0" w:type="dxa"/>
            <w:left w:w="0" w:type="dxa"/>
            <w:bottom w:w="0" w:type="dxa"/>
            <w:right w:w="0" w:type="dxa"/>
          </w:tblCellMar>
        </w:tblPrEx>
        <w:trPr>
          <w:wBefore w:w="0" w:type="auto"/>
          <w:tblCellSpacing w:w="0" w:type="dxa"/>
        </w:trPr>
        <w:tc>
          <w:tcPr>
            <w:tcW w:w="0" w:type="auto"/>
            <w:noWrap w:val="0"/>
            <w:vAlign w:val="center"/>
          </w:tcPr>
          <w:p w14:paraId="7C5ECF75">
            <w:r>
              <w:rPr>
                <w:rStyle w:val="10"/>
                <w:rFonts w:hint="eastAsia"/>
              </w:rPr>
              <w:t>产品性能:</w:t>
            </w:r>
            <w:r>
              <w:rPr>
                <w:rFonts w:hint="eastAsia"/>
              </w:rPr>
              <w:br w:type="textWrapping"/>
            </w:r>
            <w:r>
              <w:rPr>
                <w:rStyle w:val="11"/>
                <w:rFonts w:hint="eastAsia"/>
              </w:rPr>
              <w:t xml:space="preserve">吡唑醚菌酯属甲氧基丙烯酸酯类杀菌剂，可渗透叶片到达叶肉组织，有效控制叶片中的病原孢子。兼具保护和治疗作用。对马铃薯早疫病具有较好的防治效果。 </w:t>
            </w:r>
          </w:p>
        </w:tc>
      </w:tr>
      <w:tr w14:paraId="39C7F11F">
        <w:tblPrEx>
          <w:tblCellMar>
            <w:top w:w="0" w:type="dxa"/>
            <w:left w:w="0" w:type="dxa"/>
            <w:bottom w:w="0" w:type="dxa"/>
            <w:right w:w="0" w:type="dxa"/>
          </w:tblCellMar>
        </w:tblPrEx>
        <w:trPr>
          <w:wBefore w:w="0" w:type="auto"/>
          <w:tblCellSpacing w:w="0" w:type="dxa"/>
        </w:trPr>
        <w:tc>
          <w:tcPr>
            <w:tcW w:w="0" w:type="auto"/>
            <w:noWrap w:val="0"/>
            <w:vAlign w:val="center"/>
          </w:tcPr>
          <w:p w14:paraId="2EF3F786">
            <w:r>
              <w:rPr>
                <w:rStyle w:val="10"/>
                <w:rFonts w:hint="eastAsia"/>
              </w:rPr>
              <w:t>注意事项：</w:t>
            </w:r>
            <w:r>
              <w:rPr>
                <w:rFonts w:hint="eastAsia"/>
              </w:rPr>
              <w:br w:type="textWrapping"/>
            </w:r>
            <w:r>
              <w:rPr>
                <w:rStyle w:val="11"/>
                <w:rFonts w:hint="eastAsia"/>
              </w:rPr>
              <w:t>1.请按照农药安全使用准则使用本品。避免药液接触皮肤、眼睛和污染衣物，避免吸入雾滴。切勿在施药现场抽烟或饮食。在饮水、进食和抽烟前，应先洗手、洗脸。2.施药时应带手套、面罩，穿长袖衣、长裤和靴子。3.施药后彻底清洗器械，禁止在河塘等水体中清洗施药器具，清洗器具的废水不能排入河流、池塘等水源。4.施药时应远离池塘、水源，蚕室及桑园附近禁用，赤眼蜂、瓢虫等天敌放飞区域禁用。5.未用完的制剂应放在原包装内密封保存。用过的容器应妥善处理，不可做他用，也不可随意丢弃。6.避免孕妇及哺乳期的妇女接触此药。</w:t>
            </w:r>
          </w:p>
        </w:tc>
      </w:tr>
      <w:tr w14:paraId="42DE52C9">
        <w:tblPrEx>
          <w:tblCellMar>
            <w:top w:w="0" w:type="dxa"/>
            <w:left w:w="0" w:type="dxa"/>
            <w:bottom w:w="0" w:type="dxa"/>
            <w:right w:w="0" w:type="dxa"/>
          </w:tblCellMar>
        </w:tblPrEx>
        <w:trPr>
          <w:wBefore w:w="0" w:type="auto"/>
          <w:tblCellSpacing w:w="0" w:type="dxa"/>
        </w:trPr>
        <w:tc>
          <w:tcPr>
            <w:tcW w:w="0" w:type="auto"/>
            <w:noWrap w:val="0"/>
            <w:vAlign w:val="center"/>
          </w:tcPr>
          <w:p w14:paraId="6BBE34EB">
            <w:r>
              <w:rPr>
                <w:rStyle w:val="10"/>
                <w:rFonts w:hint="eastAsia"/>
              </w:rPr>
              <w:t>中毒急救措施：</w:t>
            </w:r>
            <w:r>
              <w:rPr>
                <w:rFonts w:hint="eastAsia"/>
              </w:rPr>
              <w:br w:type="textWrapping"/>
            </w:r>
            <w:r>
              <w:rPr>
                <w:rStyle w:val="11"/>
                <w:rFonts w:hint="eastAsia"/>
              </w:rPr>
              <w:t>本品对眼睛有刺激性。用药时如感觉不适，立即停止工作，采取急救措施，并携此标签送医就诊；如溅入眼睛，立即用大量流动清水冲洗至少15分钟，再请医生诊治；如误服，立即停止，用大量的清水充分漱口后，应立即携此标签将病人送医院对症治疗。不慎吸入，立即将吸入者转移到空气新鲜处，严重者携标签就医。本品无特效解毒剂。可采取洗胃、活性炭吸附及稀释等办法救治，注意防止胃容物进入呼吸道。注意：切勿对昏迷病人经口喂入任何东西或引吐。</w:t>
            </w:r>
          </w:p>
        </w:tc>
      </w:tr>
      <w:tr w14:paraId="4FCB0B4B">
        <w:tblPrEx>
          <w:tblCellMar>
            <w:top w:w="0" w:type="dxa"/>
            <w:left w:w="0" w:type="dxa"/>
            <w:bottom w:w="0" w:type="dxa"/>
            <w:right w:w="0" w:type="dxa"/>
          </w:tblCellMar>
        </w:tblPrEx>
        <w:trPr>
          <w:wBefore w:w="0" w:type="auto"/>
          <w:tblCellSpacing w:w="0" w:type="dxa"/>
        </w:trPr>
        <w:tc>
          <w:tcPr>
            <w:tcW w:w="0" w:type="auto"/>
            <w:noWrap w:val="0"/>
            <w:vAlign w:val="center"/>
          </w:tcPr>
          <w:p w14:paraId="66B2643F">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本品应贮存在干燥、阴凉、通风、防雨处，远离火源或热源。置于儿童触及不到之处，并加锁。勿与食品、饮料、粮食、饲料等同贮同运。</w:t>
            </w:r>
          </w:p>
        </w:tc>
      </w:tr>
      <w:tr w14:paraId="0F970C6D">
        <w:tblPrEx>
          <w:tblCellMar>
            <w:top w:w="0" w:type="dxa"/>
            <w:left w:w="0" w:type="dxa"/>
            <w:bottom w:w="0" w:type="dxa"/>
            <w:right w:w="0" w:type="dxa"/>
          </w:tblCellMar>
        </w:tblPrEx>
        <w:trPr>
          <w:wBefore w:w="0" w:type="auto"/>
          <w:tblCellSpacing w:w="0" w:type="dxa"/>
        </w:trPr>
        <w:tc>
          <w:tcPr>
            <w:tcW w:w="0" w:type="auto"/>
            <w:noWrap w:val="0"/>
            <w:vAlign w:val="center"/>
          </w:tcPr>
          <w:p w14:paraId="72F50737">
            <w:r>
              <w:rPr>
                <w:rStyle w:val="10"/>
                <w:rFonts w:hint="eastAsia"/>
              </w:rPr>
              <w:t>质量保证期：</w:t>
            </w:r>
            <w:r>
              <w:rPr>
                <w:rStyle w:val="11"/>
                <w:rFonts w:hint="eastAsia"/>
              </w:rPr>
              <w:t>2年</w:t>
            </w:r>
          </w:p>
        </w:tc>
      </w:tr>
      <w:tr w14:paraId="11AC8EDC">
        <w:tblPrEx>
          <w:tblCellMar>
            <w:top w:w="0" w:type="dxa"/>
            <w:left w:w="0" w:type="dxa"/>
            <w:bottom w:w="0" w:type="dxa"/>
            <w:right w:w="0" w:type="dxa"/>
          </w:tblCellMar>
        </w:tblPrEx>
        <w:trPr>
          <w:wBefore w:w="0" w:type="auto"/>
          <w:tblCellSpacing w:w="0" w:type="dxa"/>
        </w:trPr>
        <w:tc>
          <w:tcPr>
            <w:tcW w:w="0" w:type="auto"/>
            <w:noWrap w:val="0"/>
            <w:vAlign w:val="center"/>
          </w:tcPr>
          <w:p w14:paraId="4CD4731C">
            <w:r>
              <w:rPr>
                <w:rStyle w:val="10"/>
                <w:rFonts w:hint="eastAsia"/>
              </w:rPr>
              <w:t>备注：</w:t>
            </w:r>
          </w:p>
        </w:tc>
      </w:tr>
    </w:tbl>
    <w:p w14:paraId="6C61E61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B83D220">
        <w:tblPrEx>
          <w:tblCellMar>
            <w:top w:w="0" w:type="dxa"/>
            <w:left w:w="0" w:type="dxa"/>
            <w:bottom w:w="0" w:type="dxa"/>
            <w:right w:w="0" w:type="dxa"/>
          </w:tblCellMar>
        </w:tblPrEx>
        <w:trPr>
          <w:wBefore w:w="0" w:type="auto"/>
          <w:tblCellSpacing w:w="0" w:type="dxa"/>
        </w:trPr>
        <w:tc>
          <w:tcPr>
            <w:tcW w:w="0" w:type="auto"/>
            <w:noWrap w:val="0"/>
            <w:vAlign w:val="center"/>
          </w:tcPr>
          <w:p w14:paraId="48AE9D58">
            <w:r>
              <w:rPr>
                <w:rStyle w:val="10"/>
                <w:rFonts w:hint="eastAsia"/>
              </w:rPr>
              <w:t>登记证号：</w:t>
            </w:r>
            <w:r>
              <w:rPr>
                <w:rFonts w:hint="eastAsia"/>
              </w:rPr>
              <w:t>PD20211779</w:t>
            </w:r>
          </w:p>
        </w:tc>
      </w:tr>
      <w:tr w14:paraId="3D86C8B9">
        <w:tblPrEx>
          <w:tblCellMar>
            <w:top w:w="0" w:type="dxa"/>
            <w:left w:w="0" w:type="dxa"/>
            <w:bottom w:w="0" w:type="dxa"/>
            <w:right w:w="0" w:type="dxa"/>
          </w:tblCellMar>
        </w:tblPrEx>
        <w:trPr>
          <w:wBefore w:w="0" w:type="auto"/>
          <w:tblCellSpacing w:w="0" w:type="dxa"/>
        </w:trPr>
        <w:tc>
          <w:tcPr>
            <w:tcW w:w="0" w:type="auto"/>
            <w:noWrap w:val="0"/>
            <w:vAlign w:val="center"/>
          </w:tcPr>
          <w:p w14:paraId="7D7F0644">
            <w:r>
              <w:rPr>
                <w:rStyle w:val="10"/>
                <w:rFonts w:hint="eastAsia"/>
              </w:rPr>
              <w:t>登记证持有人：</w:t>
            </w:r>
            <w:r>
              <w:rPr>
                <w:rFonts w:hint="eastAsia"/>
              </w:rPr>
              <w:t>京博农化科技有限公司</w:t>
            </w:r>
          </w:p>
        </w:tc>
      </w:tr>
      <w:tr w14:paraId="0B168EC5">
        <w:tblPrEx>
          <w:tblCellMar>
            <w:top w:w="0" w:type="dxa"/>
            <w:left w:w="0" w:type="dxa"/>
            <w:bottom w:w="0" w:type="dxa"/>
            <w:right w:w="0" w:type="dxa"/>
          </w:tblCellMar>
        </w:tblPrEx>
        <w:trPr>
          <w:wBefore w:w="0" w:type="auto"/>
          <w:tblCellSpacing w:w="0" w:type="dxa"/>
        </w:trPr>
        <w:tc>
          <w:tcPr>
            <w:tcW w:w="0" w:type="auto"/>
            <w:noWrap w:val="0"/>
            <w:vAlign w:val="center"/>
          </w:tcPr>
          <w:p w14:paraId="14B5875A">
            <w:r>
              <w:rPr>
                <w:rStyle w:val="10"/>
                <w:rFonts w:hint="eastAsia"/>
              </w:rPr>
              <w:t>农药名称：</w:t>
            </w:r>
            <w:r>
              <w:rPr>
                <w:rFonts w:hint="eastAsia"/>
              </w:rPr>
              <w:t>甲氧虫酰肼</w:t>
            </w:r>
          </w:p>
        </w:tc>
      </w:tr>
      <w:tr w14:paraId="16787BFF">
        <w:tblPrEx>
          <w:tblCellMar>
            <w:top w:w="0" w:type="dxa"/>
            <w:left w:w="0" w:type="dxa"/>
            <w:bottom w:w="0" w:type="dxa"/>
            <w:right w:w="0" w:type="dxa"/>
          </w:tblCellMar>
        </w:tblPrEx>
        <w:trPr>
          <w:wBefore w:w="0" w:type="auto"/>
          <w:tblCellSpacing w:w="0" w:type="dxa"/>
        </w:trPr>
        <w:tc>
          <w:tcPr>
            <w:tcW w:w="0" w:type="auto"/>
            <w:noWrap w:val="0"/>
            <w:vAlign w:val="center"/>
          </w:tcPr>
          <w:p w14:paraId="402DBAD0">
            <w:r>
              <w:rPr>
                <w:rStyle w:val="10"/>
                <w:rFonts w:hint="eastAsia"/>
              </w:rPr>
              <w:t>剂型：</w:t>
            </w:r>
            <w:r>
              <w:rPr>
                <w:rFonts w:hint="eastAsia"/>
              </w:rPr>
              <w:t>悬浮剂</w:t>
            </w:r>
          </w:p>
        </w:tc>
      </w:tr>
      <w:tr w14:paraId="6D2E8AF3">
        <w:tblPrEx>
          <w:tblCellMar>
            <w:top w:w="0" w:type="dxa"/>
            <w:left w:w="0" w:type="dxa"/>
            <w:bottom w:w="0" w:type="dxa"/>
            <w:right w:w="0" w:type="dxa"/>
          </w:tblCellMar>
        </w:tblPrEx>
        <w:trPr>
          <w:wBefore w:w="0" w:type="auto"/>
          <w:tblCellSpacing w:w="0" w:type="dxa"/>
        </w:trPr>
        <w:tc>
          <w:tcPr>
            <w:tcW w:w="0" w:type="auto"/>
            <w:noWrap w:val="0"/>
            <w:vAlign w:val="center"/>
          </w:tcPr>
          <w:p w14:paraId="79F93560">
            <w:r>
              <w:rPr>
                <w:rStyle w:val="10"/>
                <w:rFonts w:hint="eastAsia"/>
              </w:rPr>
              <w:t>毒性及其标识：</w:t>
            </w:r>
            <w:r>
              <w:rPr>
                <w:rFonts w:hint="eastAsia"/>
              </w:rPr>
              <w:t xml:space="preserve"> </w:t>
            </w:r>
            <w:r>
              <w:rPr>
                <w:lang/>
              </w:rPr>
              <w:drawing>
                <wp:inline distT="0" distB="0" distL="114300" distR="114300">
                  <wp:extent cx="476250" cy="323850"/>
                  <wp:effectExtent l="0" t="0" r="0" b="0"/>
                  <wp:docPr id="172" name="图片 17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5713796">
        <w:tblPrEx>
          <w:tblCellMar>
            <w:top w:w="0" w:type="dxa"/>
            <w:left w:w="0" w:type="dxa"/>
            <w:bottom w:w="0" w:type="dxa"/>
            <w:right w:w="0" w:type="dxa"/>
          </w:tblCellMar>
        </w:tblPrEx>
        <w:trPr>
          <w:wBefore w:w="0" w:type="auto"/>
          <w:tblCellSpacing w:w="0" w:type="dxa"/>
        </w:trPr>
        <w:tc>
          <w:tcPr>
            <w:tcW w:w="0" w:type="auto"/>
            <w:noWrap w:val="0"/>
            <w:vAlign w:val="center"/>
          </w:tcPr>
          <w:p w14:paraId="272647FB">
            <w:r>
              <w:rPr>
                <w:rStyle w:val="10"/>
                <w:rFonts w:hint="eastAsia"/>
              </w:rPr>
              <w:t>总有效成分含量：</w:t>
            </w:r>
            <w:r>
              <w:rPr>
                <w:rFonts w:hint="eastAsia"/>
              </w:rPr>
              <w:t>240克/升</w:t>
            </w:r>
          </w:p>
        </w:tc>
      </w:tr>
      <w:tr w14:paraId="03677BA4">
        <w:tblPrEx>
          <w:tblCellMar>
            <w:top w:w="0" w:type="dxa"/>
            <w:left w:w="0" w:type="dxa"/>
            <w:bottom w:w="0" w:type="dxa"/>
            <w:right w:w="0" w:type="dxa"/>
          </w:tblCellMar>
        </w:tblPrEx>
        <w:trPr>
          <w:wBefore w:w="0" w:type="auto"/>
          <w:tblCellSpacing w:w="0" w:type="dxa"/>
        </w:trPr>
        <w:tc>
          <w:tcPr>
            <w:tcW w:w="0" w:type="auto"/>
            <w:noWrap w:val="0"/>
            <w:vAlign w:val="center"/>
          </w:tcPr>
          <w:p w14:paraId="7D5DF5E2">
            <w:r>
              <w:rPr>
                <w:rFonts w:hint="eastAsia"/>
              </w:rPr>
              <w:t xml:space="preserve">有效成分及其含量： </w:t>
            </w:r>
          </w:p>
          <w:p w14:paraId="6D02157E">
            <w:r>
              <w:rPr>
                <w:rFonts w:hint="eastAsia"/>
              </w:rPr>
              <w:t xml:space="preserve">    甲氧虫酰肼240克/升    </w:t>
            </w:r>
          </w:p>
        </w:tc>
      </w:tr>
      <w:tr w14:paraId="6A26774A">
        <w:tblPrEx>
          <w:tblCellMar>
            <w:top w:w="0" w:type="dxa"/>
            <w:left w:w="0" w:type="dxa"/>
            <w:bottom w:w="0" w:type="dxa"/>
            <w:right w:w="0" w:type="dxa"/>
          </w:tblCellMar>
        </w:tblPrEx>
        <w:trPr>
          <w:wBefore w:w="0" w:type="auto"/>
          <w:tblCellSpacing w:w="0" w:type="dxa"/>
        </w:trPr>
        <w:tc>
          <w:tcPr>
            <w:tcW w:w="0" w:type="auto"/>
            <w:noWrap w:val="0"/>
            <w:vAlign w:val="center"/>
          </w:tcPr>
          <w:p w14:paraId="2B51577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750B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5749C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403A2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5E6340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D37305">
                  <w:r>
                    <w:rPr>
                      <w:rStyle w:val="11"/>
                      <w:rFonts w:hint="eastAsia"/>
                    </w:rPr>
                    <w:t>施用方式</w:t>
                  </w:r>
                </w:p>
              </w:tc>
            </w:tr>
            <w:tr w14:paraId="3F08DD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397C3D">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0496C5">
                  <w:r>
                    <w:rPr>
                      <w:rStyle w:val="11"/>
                      <w:rFonts w:hint="eastAsia"/>
                    </w:rPr>
                    <w:t>二化螟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976885">
                  <w:r>
                    <w:rPr>
                      <w:rStyle w:val="11"/>
                      <w:rFonts w:hint="eastAsia"/>
                    </w:rPr>
                    <w:t>19-28毫升/亩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77569B">
                  <w:r>
                    <w:rPr>
                      <w:rStyle w:val="11"/>
                      <w:rFonts w:hint="eastAsia"/>
                    </w:rPr>
                    <w:t>喷雾</w:t>
                  </w:r>
                </w:p>
              </w:tc>
            </w:tr>
          </w:tbl>
          <w:p w14:paraId="28860AA4">
            <w:pPr>
              <w:rPr>
                <w:rFonts w:ascii="Times New Roman" w:hAnsi="Times New Roman" w:cs="Times New Roman"/>
                <w:sz w:val="20"/>
                <w:szCs w:val="20"/>
              </w:rPr>
            </w:pPr>
          </w:p>
        </w:tc>
      </w:tr>
      <w:tr w14:paraId="07190E81">
        <w:tblPrEx>
          <w:tblCellMar>
            <w:top w:w="0" w:type="dxa"/>
            <w:left w:w="0" w:type="dxa"/>
            <w:bottom w:w="0" w:type="dxa"/>
            <w:right w:w="0" w:type="dxa"/>
          </w:tblCellMar>
        </w:tblPrEx>
        <w:trPr>
          <w:wBefore w:w="0" w:type="auto"/>
          <w:tblCellSpacing w:w="0" w:type="dxa"/>
        </w:trPr>
        <w:tc>
          <w:tcPr>
            <w:tcW w:w="0" w:type="auto"/>
            <w:noWrap w:val="0"/>
            <w:vAlign w:val="center"/>
          </w:tcPr>
          <w:p w14:paraId="22114036">
            <w:r>
              <w:rPr>
                <w:rStyle w:val="10"/>
                <w:rFonts w:hint="eastAsia"/>
              </w:rPr>
              <w:t>使用技术要求:</w:t>
            </w:r>
            <w:r>
              <w:rPr>
                <w:rFonts w:hint="eastAsia"/>
              </w:rPr>
              <w:br w:type="textWrapping"/>
            </w:r>
            <w:r>
              <w:rPr>
                <w:rStyle w:val="11"/>
                <w:rFonts w:hint="eastAsia"/>
              </w:rPr>
              <w:t>1. 本品应在二化螟孵化高峰期施药1次。使用本品后的水稻至少应间隔55天才能收获，每季最多使用2次。 2. 大风天或1小时内降雨，请勿施药。</w:t>
            </w:r>
          </w:p>
        </w:tc>
      </w:tr>
      <w:tr w14:paraId="103F0C20">
        <w:tblPrEx>
          <w:tblCellMar>
            <w:top w:w="0" w:type="dxa"/>
            <w:left w:w="0" w:type="dxa"/>
            <w:bottom w:w="0" w:type="dxa"/>
            <w:right w:w="0" w:type="dxa"/>
          </w:tblCellMar>
        </w:tblPrEx>
        <w:trPr>
          <w:wBefore w:w="0" w:type="auto"/>
          <w:tblCellSpacing w:w="0" w:type="dxa"/>
        </w:trPr>
        <w:tc>
          <w:tcPr>
            <w:tcW w:w="0" w:type="auto"/>
            <w:noWrap w:val="0"/>
            <w:vAlign w:val="center"/>
          </w:tcPr>
          <w:p w14:paraId="781E5400">
            <w:r>
              <w:rPr>
                <w:rStyle w:val="10"/>
                <w:rFonts w:hint="eastAsia"/>
              </w:rPr>
              <w:t>产品性能:</w:t>
            </w:r>
            <w:r>
              <w:rPr>
                <w:rFonts w:hint="eastAsia"/>
              </w:rPr>
              <w:br w:type="textWrapping"/>
            </w:r>
            <w:r>
              <w:rPr>
                <w:rStyle w:val="11"/>
                <w:rFonts w:hint="eastAsia"/>
              </w:rPr>
              <w:t>甲氧虫酰肼属昆虫生长调节剂，双酰肼类蜕皮激素类似物，可抑制昆虫摄食，主要是干扰昆虫的正常生长发育，致使害虫过早不正常蜕皮而死。可用于防治水稻二化螟。</w:t>
            </w:r>
          </w:p>
        </w:tc>
      </w:tr>
      <w:tr w14:paraId="61E093F1">
        <w:tblPrEx>
          <w:tblCellMar>
            <w:top w:w="0" w:type="dxa"/>
            <w:left w:w="0" w:type="dxa"/>
            <w:bottom w:w="0" w:type="dxa"/>
            <w:right w:w="0" w:type="dxa"/>
          </w:tblCellMar>
        </w:tblPrEx>
        <w:trPr>
          <w:wBefore w:w="0" w:type="auto"/>
          <w:tblCellSpacing w:w="0" w:type="dxa"/>
        </w:trPr>
        <w:tc>
          <w:tcPr>
            <w:tcW w:w="0" w:type="auto"/>
            <w:noWrap w:val="0"/>
            <w:vAlign w:val="center"/>
          </w:tcPr>
          <w:p w14:paraId="086FF4FF">
            <w:r>
              <w:rPr>
                <w:rStyle w:val="10"/>
                <w:rFonts w:hint="eastAsia"/>
              </w:rPr>
              <w:t>注意事项：</w:t>
            </w:r>
            <w:r>
              <w:rPr>
                <w:rFonts w:hint="eastAsia"/>
              </w:rPr>
              <w:br w:type="textWrapping"/>
            </w:r>
            <w:r>
              <w:rPr>
                <w:rStyle w:val="11"/>
                <w:rFonts w:hint="eastAsia"/>
              </w:rPr>
              <w:t>1. 本品对鱼类等水生生物有毒，远离水产养殖区、河塘等水体施药；禁止在河塘等水体中清洗施药器具，清洗器具的废水不能排入河流、池塘等水体。对家蚕有毒，蚕室和桑园附近禁用；鱼或虾蟹套养的稻田禁用，施药后的田水不得直接排入水体。2. 使用本品应采取相应的安全防护措施，穿靴子、长袖衣和长裤，戴防护手套、口罩等，避免皮肤接触及口鼻吸入。使用中不可吸烟、饮水及吃东西，使用后及时用大量清水和肥皂清洗手、脸等暴露部位皮肤并更换衣物。3. 用过的容器应妥善处理，不可做他用，也不可随意丢弃。4. 建议与作用机制不同的杀虫剂轮换使用，以延缓抗性产生。5. 、禁止儿童、孕妇及哺乳期的妇女接触，过敏者禁用，使用中有任何不良反应请及时就医。</w:t>
            </w:r>
          </w:p>
        </w:tc>
      </w:tr>
      <w:tr w14:paraId="71DC05F9">
        <w:tblPrEx>
          <w:tblCellMar>
            <w:top w:w="0" w:type="dxa"/>
            <w:left w:w="0" w:type="dxa"/>
            <w:bottom w:w="0" w:type="dxa"/>
            <w:right w:w="0" w:type="dxa"/>
          </w:tblCellMar>
        </w:tblPrEx>
        <w:trPr>
          <w:wBefore w:w="0" w:type="auto"/>
          <w:tblCellSpacing w:w="0" w:type="dxa"/>
        </w:trPr>
        <w:tc>
          <w:tcPr>
            <w:tcW w:w="0" w:type="auto"/>
            <w:noWrap w:val="0"/>
            <w:vAlign w:val="center"/>
          </w:tcPr>
          <w:p w14:paraId="7A3670C5">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 皮肤接触：立即脱去污染衣物，用软布去除沾染农药，后用大量清水和肥皂冲洗。 眼睛溅入：立即翻开上下眼睑，用流动的清水冲洗至少15分钟。 吸入：立即脱离施药现场，转移至空气新鲜处。 误 服：立即停止服用，用清水充分漱口后，立即携带农药标签到医院就诊。</w:t>
            </w:r>
          </w:p>
        </w:tc>
      </w:tr>
      <w:tr w14:paraId="3CDC8FC3">
        <w:tblPrEx>
          <w:tblCellMar>
            <w:top w:w="0" w:type="dxa"/>
            <w:left w:w="0" w:type="dxa"/>
            <w:bottom w:w="0" w:type="dxa"/>
            <w:right w:w="0" w:type="dxa"/>
          </w:tblCellMar>
        </w:tblPrEx>
        <w:trPr>
          <w:wBefore w:w="0" w:type="auto"/>
          <w:tblCellSpacing w:w="0" w:type="dxa"/>
        </w:trPr>
        <w:tc>
          <w:tcPr>
            <w:tcW w:w="0" w:type="auto"/>
            <w:noWrap w:val="0"/>
            <w:vAlign w:val="center"/>
          </w:tcPr>
          <w:p w14:paraId="736100BA">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本品应贮存在干燥、阴凉、通风、防雨处，远离火源或热源。置于儿童、无关人员触及不到之处，并加锁。勿与食品、饮料、粮食、饲料、种子等其他商品同贮同运。</w:t>
            </w:r>
          </w:p>
        </w:tc>
      </w:tr>
      <w:tr w14:paraId="748669C2">
        <w:tblPrEx>
          <w:tblCellMar>
            <w:top w:w="0" w:type="dxa"/>
            <w:left w:w="0" w:type="dxa"/>
            <w:bottom w:w="0" w:type="dxa"/>
            <w:right w:w="0" w:type="dxa"/>
          </w:tblCellMar>
        </w:tblPrEx>
        <w:trPr>
          <w:wBefore w:w="0" w:type="auto"/>
          <w:tblCellSpacing w:w="0" w:type="dxa"/>
        </w:trPr>
        <w:tc>
          <w:tcPr>
            <w:tcW w:w="0" w:type="auto"/>
            <w:noWrap w:val="0"/>
            <w:vAlign w:val="center"/>
          </w:tcPr>
          <w:p w14:paraId="74E262A7">
            <w:r>
              <w:rPr>
                <w:rStyle w:val="10"/>
                <w:rFonts w:hint="eastAsia"/>
              </w:rPr>
              <w:t>质量保证期：</w:t>
            </w:r>
            <w:r>
              <w:rPr>
                <w:rStyle w:val="11"/>
                <w:rFonts w:hint="eastAsia"/>
              </w:rPr>
              <w:t>2年</w:t>
            </w:r>
          </w:p>
        </w:tc>
      </w:tr>
      <w:tr w14:paraId="05240D25">
        <w:tblPrEx>
          <w:tblCellMar>
            <w:top w:w="0" w:type="dxa"/>
            <w:left w:w="0" w:type="dxa"/>
            <w:bottom w:w="0" w:type="dxa"/>
            <w:right w:w="0" w:type="dxa"/>
          </w:tblCellMar>
        </w:tblPrEx>
        <w:trPr>
          <w:wBefore w:w="0" w:type="auto"/>
          <w:tblCellSpacing w:w="0" w:type="dxa"/>
        </w:trPr>
        <w:tc>
          <w:tcPr>
            <w:tcW w:w="0" w:type="auto"/>
            <w:noWrap w:val="0"/>
            <w:vAlign w:val="center"/>
          </w:tcPr>
          <w:p w14:paraId="6C5F07E3">
            <w:r>
              <w:rPr>
                <w:rStyle w:val="10"/>
                <w:rFonts w:hint="eastAsia"/>
              </w:rPr>
              <w:t>备注：</w:t>
            </w:r>
            <w:r>
              <w:rPr>
                <w:rFonts w:hint="eastAsia"/>
              </w:rPr>
              <w:br w:type="textWrapping"/>
            </w:r>
            <w:r>
              <w:rPr>
                <w:rStyle w:val="11"/>
                <w:rFonts w:hint="eastAsia"/>
              </w:rPr>
              <w:t>质量分数22.9%。</w:t>
            </w:r>
          </w:p>
        </w:tc>
      </w:tr>
    </w:tbl>
    <w:p w14:paraId="3D6CC6C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BECB421">
        <w:tblPrEx>
          <w:tblCellMar>
            <w:top w:w="0" w:type="dxa"/>
            <w:left w:w="0" w:type="dxa"/>
            <w:bottom w:w="0" w:type="dxa"/>
            <w:right w:w="0" w:type="dxa"/>
          </w:tblCellMar>
        </w:tblPrEx>
        <w:trPr>
          <w:wBefore w:w="0" w:type="auto"/>
          <w:tblCellSpacing w:w="0" w:type="dxa"/>
        </w:trPr>
        <w:tc>
          <w:tcPr>
            <w:tcW w:w="0" w:type="auto"/>
            <w:noWrap w:val="0"/>
            <w:vAlign w:val="center"/>
          </w:tcPr>
          <w:p w14:paraId="07116247">
            <w:r>
              <w:rPr>
                <w:rStyle w:val="10"/>
                <w:rFonts w:hint="eastAsia"/>
              </w:rPr>
              <w:t>登记证号：</w:t>
            </w:r>
            <w:r>
              <w:rPr>
                <w:rFonts w:hint="eastAsia"/>
              </w:rPr>
              <w:t>PD20211847</w:t>
            </w:r>
          </w:p>
        </w:tc>
      </w:tr>
      <w:tr w14:paraId="17405500">
        <w:tblPrEx>
          <w:tblCellMar>
            <w:top w:w="0" w:type="dxa"/>
            <w:left w:w="0" w:type="dxa"/>
            <w:bottom w:w="0" w:type="dxa"/>
            <w:right w:w="0" w:type="dxa"/>
          </w:tblCellMar>
        </w:tblPrEx>
        <w:trPr>
          <w:wBefore w:w="0" w:type="auto"/>
          <w:tblCellSpacing w:w="0" w:type="dxa"/>
        </w:trPr>
        <w:tc>
          <w:tcPr>
            <w:tcW w:w="0" w:type="auto"/>
            <w:noWrap w:val="0"/>
            <w:vAlign w:val="center"/>
          </w:tcPr>
          <w:p w14:paraId="147F73E2">
            <w:r>
              <w:rPr>
                <w:rStyle w:val="10"/>
                <w:rFonts w:hint="eastAsia"/>
              </w:rPr>
              <w:t>登记证持有人：</w:t>
            </w:r>
            <w:r>
              <w:rPr>
                <w:rFonts w:hint="eastAsia"/>
              </w:rPr>
              <w:t>汝阳自强生物科技有限公司</w:t>
            </w:r>
          </w:p>
        </w:tc>
      </w:tr>
      <w:tr w14:paraId="350E279F">
        <w:tblPrEx>
          <w:tblCellMar>
            <w:top w:w="0" w:type="dxa"/>
            <w:left w:w="0" w:type="dxa"/>
            <w:bottom w:w="0" w:type="dxa"/>
            <w:right w:w="0" w:type="dxa"/>
          </w:tblCellMar>
        </w:tblPrEx>
        <w:trPr>
          <w:wBefore w:w="0" w:type="auto"/>
          <w:tblCellSpacing w:w="0" w:type="dxa"/>
        </w:trPr>
        <w:tc>
          <w:tcPr>
            <w:tcW w:w="0" w:type="auto"/>
            <w:noWrap w:val="0"/>
            <w:vAlign w:val="center"/>
          </w:tcPr>
          <w:p w14:paraId="3771A3A0">
            <w:r>
              <w:rPr>
                <w:rStyle w:val="10"/>
                <w:rFonts w:hint="eastAsia"/>
              </w:rPr>
              <w:t>农药名称：</w:t>
            </w:r>
            <w:r>
              <w:rPr>
                <w:rFonts w:hint="eastAsia"/>
              </w:rPr>
              <w:t>氟啶虫酰胺·联苯菊酯</w:t>
            </w:r>
          </w:p>
        </w:tc>
      </w:tr>
      <w:tr w14:paraId="08C45397">
        <w:tblPrEx>
          <w:tblCellMar>
            <w:top w:w="0" w:type="dxa"/>
            <w:left w:w="0" w:type="dxa"/>
            <w:bottom w:w="0" w:type="dxa"/>
            <w:right w:w="0" w:type="dxa"/>
          </w:tblCellMar>
        </w:tblPrEx>
        <w:trPr>
          <w:wBefore w:w="0" w:type="auto"/>
          <w:tblCellSpacing w:w="0" w:type="dxa"/>
        </w:trPr>
        <w:tc>
          <w:tcPr>
            <w:tcW w:w="0" w:type="auto"/>
            <w:noWrap w:val="0"/>
            <w:vAlign w:val="center"/>
          </w:tcPr>
          <w:p w14:paraId="66DDA608">
            <w:r>
              <w:rPr>
                <w:rStyle w:val="10"/>
                <w:rFonts w:hint="eastAsia"/>
              </w:rPr>
              <w:t>剂型：</w:t>
            </w:r>
            <w:r>
              <w:rPr>
                <w:rFonts w:hint="eastAsia"/>
              </w:rPr>
              <w:t>悬浮剂</w:t>
            </w:r>
          </w:p>
        </w:tc>
      </w:tr>
      <w:tr w14:paraId="62733D14">
        <w:tblPrEx>
          <w:tblCellMar>
            <w:top w:w="0" w:type="dxa"/>
            <w:left w:w="0" w:type="dxa"/>
            <w:bottom w:w="0" w:type="dxa"/>
            <w:right w:w="0" w:type="dxa"/>
          </w:tblCellMar>
        </w:tblPrEx>
        <w:trPr>
          <w:wBefore w:w="0" w:type="auto"/>
          <w:tblCellSpacing w:w="0" w:type="dxa"/>
        </w:trPr>
        <w:tc>
          <w:tcPr>
            <w:tcW w:w="0" w:type="auto"/>
            <w:noWrap w:val="0"/>
            <w:vAlign w:val="center"/>
          </w:tcPr>
          <w:p w14:paraId="0E66FE73">
            <w:r>
              <w:rPr>
                <w:rStyle w:val="10"/>
                <w:rFonts w:hint="eastAsia"/>
              </w:rPr>
              <w:t>毒性及其标识：</w:t>
            </w:r>
            <w:r>
              <w:rPr>
                <w:rFonts w:hint="eastAsia"/>
              </w:rPr>
              <w:t xml:space="preserve"> </w:t>
            </w:r>
            <w:r>
              <w:rPr>
                <w:lang/>
              </w:rPr>
              <w:drawing>
                <wp:inline distT="0" distB="0" distL="114300" distR="114300">
                  <wp:extent cx="476250" cy="323850"/>
                  <wp:effectExtent l="0" t="0" r="0" b="0"/>
                  <wp:docPr id="173" name="图片 17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50085E4">
        <w:tblPrEx>
          <w:tblCellMar>
            <w:top w:w="0" w:type="dxa"/>
            <w:left w:w="0" w:type="dxa"/>
            <w:bottom w:w="0" w:type="dxa"/>
            <w:right w:w="0" w:type="dxa"/>
          </w:tblCellMar>
        </w:tblPrEx>
        <w:trPr>
          <w:wBefore w:w="0" w:type="auto"/>
          <w:tblCellSpacing w:w="0" w:type="dxa"/>
        </w:trPr>
        <w:tc>
          <w:tcPr>
            <w:tcW w:w="0" w:type="auto"/>
            <w:noWrap w:val="0"/>
            <w:vAlign w:val="center"/>
          </w:tcPr>
          <w:p w14:paraId="3CA7B5F3">
            <w:r>
              <w:rPr>
                <w:rStyle w:val="10"/>
                <w:rFonts w:hint="eastAsia"/>
              </w:rPr>
              <w:t>总有效成分含量：</w:t>
            </w:r>
            <w:r>
              <w:rPr>
                <w:rFonts w:hint="eastAsia"/>
              </w:rPr>
              <w:t>20%</w:t>
            </w:r>
          </w:p>
        </w:tc>
      </w:tr>
      <w:tr w14:paraId="5EC4CC3C">
        <w:tblPrEx>
          <w:tblCellMar>
            <w:top w:w="0" w:type="dxa"/>
            <w:left w:w="0" w:type="dxa"/>
            <w:bottom w:w="0" w:type="dxa"/>
            <w:right w:w="0" w:type="dxa"/>
          </w:tblCellMar>
        </w:tblPrEx>
        <w:trPr>
          <w:wBefore w:w="0" w:type="auto"/>
          <w:tblCellSpacing w:w="0" w:type="dxa"/>
        </w:trPr>
        <w:tc>
          <w:tcPr>
            <w:tcW w:w="0" w:type="auto"/>
            <w:noWrap w:val="0"/>
            <w:vAlign w:val="center"/>
          </w:tcPr>
          <w:p w14:paraId="51187005">
            <w:r>
              <w:rPr>
                <w:rFonts w:hint="eastAsia"/>
              </w:rPr>
              <w:t xml:space="preserve">有效成分及其含量： </w:t>
            </w:r>
          </w:p>
          <w:p w14:paraId="0CC7C671">
            <w:r>
              <w:rPr>
                <w:rFonts w:hint="eastAsia"/>
              </w:rPr>
              <w:t xml:space="preserve">    联苯菊酯10%    氟啶虫酰胺10%    </w:t>
            </w:r>
          </w:p>
        </w:tc>
      </w:tr>
      <w:tr w14:paraId="25835C5F">
        <w:tblPrEx>
          <w:tblCellMar>
            <w:top w:w="0" w:type="dxa"/>
            <w:left w:w="0" w:type="dxa"/>
            <w:bottom w:w="0" w:type="dxa"/>
            <w:right w:w="0" w:type="dxa"/>
          </w:tblCellMar>
        </w:tblPrEx>
        <w:trPr>
          <w:wBefore w:w="0" w:type="auto"/>
          <w:tblCellSpacing w:w="0" w:type="dxa"/>
        </w:trPr>
        <w:tc>
          <w:tcPr>
            <w:tcW w:w="0" w:type="auto"/>
            <w:noWrap w:val="0"/>
            <w:vAlign w:val="center"/>
          </w:tcPr>
          <w:p w14:paraId="3358934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98196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A608A9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2089A5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056652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D1D780">
                  <w:r>
                    <w:rPr>
                      <w:rStyle w:val="11"/>
                      <w:rFonts w:hint="eastAsia"/>
                    </w:rPr>
                    <w:t>施用方式</w:t>
                  </w:r>
                </w:p>
              </w:tc>
            </w:tr>
            <w:tr w14:paraId="520C5A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DF0798F">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27E8D7">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3DE1E2">
                  <w:r>
                    <w:rPr>
                      <w:rStyle w:val="11"/>
                      <w:rFonts w:hint="eastAsia"/>
                    </w:rPr>
                    <w:t>15-23毫升/亩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72A981">
                  <w:r>
                    <w:rPr>
                      <w:rStyle w:val="11"/>
                      <w:rFonts w:hint="eastAsia"/>
                    </w:rPr>
                    <w:t>喷雾</w:t>
                  </w:r>
                </w:p>
              </w:tc>
            </w:tr>
          </w:tbl>
          <w:p w14:paraId="2BA4AE06">
            <w:pPr>
              <w:rPr>
                <w:rFonts w:ascii="Times New Roman" w:hAnsi="Times New Roman" w:cs="Times New Roman"/>
                <w:sz w:val="20"/>
                <w:szCs w:val="20"/>
              </w:rPr>
            </w:pPr>
          </w:p>
        </w:tc>
      </w:tr>
      <w:tr w14:paraId="0B71F5CF">
        <w:tblPrEx>
          <w:tblCellMar>
            <w:top w:w="0" w:type="dxa"/>
            <w:left w:w="0" w:type="dxa"/>
            <w:bottom w:w="0" w:type="dxa"/>
            <w:right w:w="0" w:type="dxa"/>
          </w:tblCellMar>
        </w:tblPrEx>
        <w:trPr>
          <w:wBefore w:w="0" w:type="auto"/>
          <w:tblCellSpacing w:w="0" w:type="dxa"/>
        </w:trPr>
        <w:tc>
          <w:tcPr>
            <w:tcW w:w="0" w:type="auto"/>
            <w:noWrap w:val="0"/>
            <w:vAlign w:val="center"/>
          </w:tcPr>
          <w:p w14:paraId="2EEA0566">
            <w:r>
              <w:rPr>
                <w:rStyle w:val="10"/>
                <w:rFonts w:hint="eastAsia"/>
              </w:rPr>
              <w:t>使用技术要求:</w:t>
            </w:r>
            <w:r>
              <w:rPr>
                <w:rFonts w:hint="eastAsia"/>
              </w:rPr>
              <w:br w:type="textWrapping"/>
            </w:r>
            <w:r>
              <w:rPr>
                <w:rStyle w:val="11"/>
                <w:rFonts w:hint="eastAsia"/>
              </w:rPr>
              <w:t>1.本品于茶树茶小绿叶蝉低龄若虫始盛发期喷雾1次，注意喷雾均匀。 2.大风天或预计1小时内降雨，请勿施药。 3.在茶树上安全间隔期5天，每季最多使用1次。</w:t>
            </w:r>
          </w:p>
        </w:tc>
      </w:tr>
      <w:tr w14:paraId="7CCDF566">
        <w:tblPrEx>
          <w:tblCellMar>
            <w:top w:w="0" w:type="dxa"/>
            <w:left w:w="0" w:type="dxa"/>
            <w:bottom w:w="0" w:type="dxa"/>
            <w:right w:w="0" w:type="dxa"/>
          </w:tblCellMar>
        </w:tblPrEx>
        <w:trPr>
          <w:wBefore w:w="0" w:type="auto"/>
          <w:tblCellSpacing w:w="0" w:type="dxa"/>
        </w:trPr>
        <w:tc>
          <w:tcPr>
            <w:tcW w:w="0" w:type="auto"/>
            <w:noWrap w:val="0"/>
            <w:vAlign w:val="center"/>
          </w:tcPr>
          <w:p w14:paraId="52C20947">
            <w:r>
              <w:rPr>
                <w:rStyle w:val="10"/>
                <w:rFonts w:hint="eastAsia"/>
              </w:rPr>
              <w:t>产品性能:</w:t>
            </w:r>
            <w:r>
              <w:rPr>
                <w:rFonts w:hint="eastAsia"/>
              </w:rPr>
              <w:br w:type="textWrapping"/>
            </w:r>
            <w:r>
              <w:rPr>
                <w:rStyle w:val="11"/>
                <w:rFonts w:hint="eastAsia"/>
              </w:rPr>
              <w:t>联苯菊酯是一种高效合成拟除虫菊酯类杀虫、杀螨剂，具有触杀和胃毒作用。氟啶虫酰胺是一种低毒吡啶酰胺类、昆虫生长调节剂类杀虫剂，具有很好的神经毒剂和快速拒食作用，并具有良好的渗透作用；可从根部向茎部、叶部渗透，通过阻碍害虫吮吸作用而致死，害虫摄入药剂以后很快停止吮吸，最后饥饿而死。二者复配可有效防治茶树茶小绿叶蝉。</w:t>
            </w:r>
          </w:p>
        </w:tc>
      </w:tr>
      <w:tr w14:paraId="18AE7413">
        <w:tblPrEx>
          <w:tblCellMar>
            <w:top w:w="0" w:type="dxa"/>
            <w:left w:w="0" w:type="dxa"/>
            <w:bottom w:w="0" w:type="dxa"/>
            <w:right w:w="0" w:type="dxa"/>
          </w:tblCellMar>
        </w:tblPrEx>
        <w:trPr>
          <w:wBefore w:w="0" w:type="auto"/>
          <w:tblCellSpacing w:w="0" w:type="dxa"/>
        </w:trPr>
        <w:tc>
          <w:tcPr>
            <w:tcW w:w="0" w:type="auto"/>
            <w:noWrap w:val="0"/>
            <w:vAlign w:val="center"/>
          </w:tcPr>
          <w:p w14:paraId="44B7FD92">
            <w:r>
              <w:rPr>
                <w:rStyle w:val="10"/>
                <w:rFonts w:hint="eastAsia"/>
              </w:rPr>
              <w:t>注意事项：</w:t>
            </w:r>
            <w:r>
              <w:rPr>
                <w:rFonts w:hint="eastAsia"/>
              </w:rPr>
              <w:br w:type="textWrapping"/>
            </w:r>
            <w:r>
              <w:rPr>
                <w:rStyle w:val="11"/>
                <w:rFonts w:hint="eastAsia"/>
              </w:rPr>
              <w:t>1. 本品不可与呈碱性的农药等物质混合使用，也不可与中等及以上氧化剂接触。2.建议与其他不同作用机制的杀虫剂轮换使用，以延缓抗性产生。3.配药时应在通风处进行，操作人员需提前做好保护措施，该产品对眼睛有刺激性，使用时避免接触眼睛，穿戴长衣、长裤、帽子、口罩、手套等防护措施，严禁抽烟或饮食；在施药过程中，避免药液接触皮肤、眼睛和污染衣物，避免吸入药液；施药后应用肥皂和清水彻底清洗暴露在外的皮肤，并及时更换衣物。 4.水产养殖区、河塘等水体附近禁用，禁止在河塘等水域清洗施药器具。5.养蜂场所和（周围）开花植物花期禁用，施药期间应密切关注对附近蜂群的影响；桑园及蚕室附近禁用；赤眼蜂、瓢虫等天敌放飞区域禁用。6.用过的容器应妥善处理，不可做他用，也不可随意丢弃。7.孕妇及哺乳期妇女避免接触本产品。</w:t>
            </w:r>
          </w:p>
        </w:tc>
      </w:tr>
      <w:tr w14:paraId="1145D244">
        <w:tblPrEx>
          <w:tblCellMar>
            <w:top w:w="0" w:type="dxa"/>
            <w:left w:w="0" w:type="dxa"/>
            <w:bottom w:w="0" w:type="dxa"/>
            <w:right w:w="0" w:type="dxa"/>
          </w:tblCellMar>
        </w:tblPrEx>
        <w:trPr>
          <w:wBefore w:w="0" w:type="auto"/>
          <w:tblCellSpacing w:w="0" w:type="dxa"/>
        </w:trPr>
        <w:tc>
          <w:tcPr>
            <w:tcW w:w="0" w:type="auto"/>
            <w:noWrap w:val="0"/>
            <w:vAlign w:val="center"/>
          </w:tcPr>
          <w:p w14:paraId="59264CB7">
            <w:r>
              <w:rPr>
                <w:rStyle w:val="10"/>
                <w:rFonts w:hint="eastAsia"/>
              </w:rPr>
              <w:t>中毒急救措施：</w:t>
            </w:r>
            <w:r>
              <w:rPr>
                <w:rFonts w:hint="eastAsia"/>
              </w:rPr>
              <w:br w:type="textWrapping"/>
            </w:r>
            <w:r>
              <w:rPr>
                <w:rStyle w:val="11"/>
                <w:rFonts w:hint="eastAsia"/>
              </w:rPr>
              <w:t>1.无典型中毒症状。用药时如果感觉不适，立即停止工作，采取急救措施，并携此标签送医就诊；2.皮肤接触：立即脱掉被污染的衣物，用肥皂和大量清水彻底清洗受污染的皮肤。必要时请医生诊治；3.眼睛溅药：立即将眼睑翻开，用清水冲洗至少15分钟，再请医生诊治；4.发生吸入：立即将吸入者转移到空气新鲜处，注意保暖和休息，请医生诊治；5.误服：请勿引吐。立即携带标签，送医就诊。紧急医疗措施：使用医用活性炭洗胃，洗胃时注意防止胃容物进入呼吸道。注意：对昏迷病人，切勿经口喂入任何东西或引吐。无专用解毒剂，对症治疗。</w:t>
            </w:r>
          </w:p>
        </w:tc>
      </w:tr>
      <w:tr w14:paraId="75AE2A24">
        <w:tblPrEx>
          <w:tblCellMar>
            <w:top w:w="0" w:type="dxa"/>
            <w:left w:w="0" w:type="dxa"/>
            <w:bottom w:w="0" w:type="dxa"/>
            <w:right w:w="0" w:type="dxa"/>
          </w:tblCellMar>
        </w:tblPrEx>
        <w:trPr>
          <w:wBefore w:w="0" w:type="auto"/>
          <w:tblCellSpacing w:w="0" w:type="dxa"/>
        </w:trPr>
        <w:tc>
          <w:tcPr>
            <w:tcW w:w="0" w:type="auto"/>
            <w:noWrap w:val="0"/>
            <w:vAlign w:val="center"/>
          </w:tcPr>
          <w:p w14:paraId="30EA1114">
            <w:r>
              <w:rPr>
                <w:rStyle w:val="10"/>
                <w:rFonts w:hint="eastAsia"/>
              </w:rPr>
              <w:t>储存和运输方法：</w:t>
            </w:r>
            <w:r>
              <w:rPr>
                <w:rFonts w:hint="eastAsia"/>
              </w:rPr>
              <w:br w:type="textWrapping"/>
            </w:r>
            <w:r>
              <w:rPr>
                <w:rStyle w:val="11"/>
                <w:rFonts w:hint="eastAsia"/>
              </w:rPr>
              <w:t>1.本品应贮存于阴凉、干燥和通风防雨处，远离热源和火源。2.本品贮存应放置于儿童接触不到的地方，并加锁保存；不可与食品、饮料、粮食、饲料等同贮同运。3.运输时应注意防晒、防潮、防雨，搬运时轻搬轻放。</w:t>
            </w:r>
          </w:p>
        </w:tc>
      </w:tr>
      <w:tr w14:paraId="0C3D8393">
        <w:tblPrEx>
          <w:tblCellMar>
            <w:top w:w="0" w:type="dxa"/>
            <w:left w:w="0" w:type="dxa"/>
            <w:bottom w:w="0" w:type="dxa"/>
            <w:right w:w="0" w:type="dxa"/>
          </w:tblCellMar>
        </w:tblPrEx>
        <w:trPr>
          <w:wBefore w:w="0" w:type="auto"/>
          <w:tblCellSpacing w:w="0" w:type="dxa"/>
        </w:trPr>
        <w:tc>
          <w:tcPr>
            <w:tcW w:w="0" w:type="auto"/>
            <w:noWrap w:val="0"/>
            <w:vAlign w:val="center"/>
          </w:tcPr>
          <w:p w14:paraId="3A4FE5B1">
            <w:r>
              <w:rPr>
                <w:rStyle w:val="10"/>
                <w:rFonts w:hint="eastAsia"/>
              </w:rPr>
              <w:t>质量保证期：</w:t>
            </w:r>
            <w:r>
              <w:rPr>
                <w:rStyle w:val="11"/>
                <w:rFonts w:hint="eastAsia"/>
              </w:rPr>
              <w:t>2年</w:t>
            </w:r>
          </w:p>
        </w:tc>
      </w:tr>
      <w:tr w14:paraId="4B29EFA8">
        <w:tblPrEx>
          <w:tblCellMar>
            <w:top w:w="0" w:type="dxa"/>
            <w:left w:w="0" w:type="dxa"/>
            <w:bottom w:w="0" w:type="dxa"/>
            <w:right w:w="0" w:type="dxa"/>
          </w:tblCellMar>
        </w:tblPrEx>
        <w:trPr>
          <w:wBefore w:w="0" w:type="auto"/>
          <w:tblCellSpacing w:w="0" w:type="dxa"/>
        </w:trPr>
        <w:tc>
          <w:tcPr>
            <w:tcW w:w="0" w:type="auto"/>
            <w:noWrap w:val="0"/>
            <w:vAlign w:val="center"/>
          </w:tcPr>
          <w:p w14:paraId="40D166BC">
            <w:r>
              <w:rPr>
                <w:rStyle w:val="10"/>
                <w:rFonts w:hint="eastAsia"/>
              </w:rPr>
              <w:t>备注：</w:t>
            </w:r>
          </w:p>
        </w:tc>
      </w:tr>
    </w:tbl>
    <w:p w14:paraId="4742581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DCAE22B">
        <w:tblPrEx>
          <w:tblCellMar>
            <w:top w:w="0" w:type="dxa"/>
            <w:left w:w="0" w:type="dxa"/>
            <w:bottom w:w="0" w:type="dxa"/>
            <w:right w:w="0" w:type="dxa"/>
          </w:tblCellMar>
        </w:tblPrEx>
        <w:trPr>
          <w:wBefore w:w="0" w:type="auto"/>
          <w:tblCellSpacing w:w="0" w:type="dxa"/>
        </w:trPr>
        <w:tc>
          <w:tcPr>
            <w:tcW w:w="0" w:type="auto"/>
            <w:noWrap w:val="0"/>
            <w:vAlign w:val="center"/>
          </w:tcPr>
          <w:p w14:paraId="088E5D97">
            <w:r>
              <w:rPr>
                <w:rStyle w:val="10"/>
                <w:rFonts w:hint="eastAsia"/>
              </w:rPr>
              <w:t>登记证号：</w:t>
            </w:r>
            <w:r>
              <w:rPr>
                <w:rFonts w:hint="eastAsia"/>
              </w:rPr>
              <w:t>PD20211983</w:t>
            </w:r>
          </w:p>
        </w:tc>
      </w:tr>
      <w:tr w14:paraId="7E67AD76">
        <w:tblPrEx>
          <w:tblCellMar>
            <w:top w:w="0" w:type="dxa"/>
            <w:left w:w="0" w:type="dxa"/>
            <w:bottom w:w="0" w:type="dxa"/>
            <w:right w:w="0" w:type="dxa"/>
          </w:tblCellMar>
        </w:tblPrEx>
        <w:trPr>
          <w:wBefore w:w="0" w:type="auto"/>
          <w:tblCellSpacing w:w="0" w:type="dxa"/>
        </w:trPr>
        <w:tc>
          <w:tcPr>
            <w:tcW w:w="0" w:type="auto"/>
            <w:noWrap w:val="0"/>
            <w:vAlign w:val="center"/>
          </w:tcPr>
          <w:p w14:paraId="5BCA1CA3">
            <w:r>
              <w:rPr>
                <w:rStyle w:val="10"/>
                <w:rFonts w:hint="eastAsia"/>
              </w:rPr>
              <w:t>登记证持有人：</w:t>
            </w:r>
            <w:r>
              <w:rPr>
                <w:rFonts w:hint="eastAsia"/>
              </w:rPr>
              <w:t>上海沪联生物药业（夏邑）股份有限公司</w:t>
            </w:r>
          </w:p>
        </w:tc>
      </w:tr>
      <w:tr w14:paraId="7B6A38C9">
        <w:tblPrEx>
          <w:tblCellMar>
            <w:top w:w="0" w:type="dxa"/>
            <w:left w:w="0" w:type="dxa"/>
            <w:bottom w:w="0" w:type="dxa"/>
            <w:right w:w="0" w:type="dxa"/>
          </w:tblCellMar>
        </w:tblPrEx>
        <w:trPr>
          <w:wBefore w:w="0" w:type="auto"/>
          <w:tblCellSpacing w:w="0" w:type="dxa"/>
        </w:trPr>
        <w:tc>
          <w:tcPr>
            <w:tcW w:w="0" w:type="auto"/>
            <w:noWrap w:val="0"/>
            <w:vAlign w:val="center"/>
          </w:tcPr>
          <w:p w14:paraId="1D7142C7">
            <w:r>
              <w:rPr>
                <w:rStyle w:val="10"/>
                <w:rFonts w:hint="eastAsia"/>
              </w:rPr>
              <w:t>农药名称：</w:t>
            </w:r>
            <w:r>
              <w:rPr>
                <w:rFonts w:hint="eastAsia"/>
              </w:rPr>
              <w:t>唑醚·咪鲜胺</w:t>
            </w:r>
          </w:p>
        </w:tc>
      </w:tr>
      <w:tr w14:paraId="6C523DFF">
        <w:tblPrEx>
          <w:tblCellMar>
            <w:top w:w="0" w:type="dxa"/>
            <w:left w:w="0" w:type="dxa"/>
            <w:bottom w:w="0" w:type="dxa"/>
            <w:right w:w="0" w:type="dxa"/>
          </w:tblCellMar>
        </w:tblPrEx>
        <w:trPr>
          <w:wBefore w:w="0" w:type="auto"/>
          <w:tblCellSpacing w:w="0" w:type="dxa"/>
        </w:trPr>
        <w:tc>
          <w:tcPr>
            <w:tcW w:w="0" w:type="auto"/>
            <w:noWrap w:val="0"/>
            <w:vAlign w:val="center"/>
          </w:tcPr>
          <w:p w14:paraId="4930E71C">
            <w:r>
              <w:rPr>
                <w:rStyle w:val="10"/>
                <w:rFonts w:hint="eastAsia"/>
              </w:rPr>
              <w:t>剂型：</w:t>
            </w:r>
            <w:r>
              <w:rPr>
                <w:rFonts w:hint="eastAsia"/>
              </w:rPr>
              <w:t>水乳剂</w:t>
            </w:r>
          </w:p>
        </w:tc>
      </w:tr>
      <w:tr w14:paraId="28137D03">
        <w:tblPrEx>
          <w:tblCellMar>
            <w:top w:w="0" w:type="dxa"/>
            <w:left w:w="0" w:type="dxa"/>
            <w:bottom w:w="0" w:type="dxa"/>
            <w:right w:w="0" w:type="dxa"/>
          </w:tblCellMar>
        </w:tblPrEx>
        <w:trPr>
          <w:wBefore w:w="0" w:type="auto"/>
          <w:tblCellSpacing w:w="0" w:type="dxa"/>
        </w:trPr>
        <w:tc>
          <w:tcPr>
            <w:tcW w:w="0" w:type="auto"/>
            <w:noWrap w:val="0"/>
            <w:vAlign w:val="center"/>
          </w:tcPr>
          <w:p w14:paraId="0E971507">
            <w:r>
              <w:rPr>
                <w:rStyle w:val="10"/>
                <w:rFonts w:hint="eastAsia"/>
              </w:rPr>
              <w:t>毒性及其标识：</w:t>
            </w:r>
            <w:r>
              <w:rPr>
                <w:rFonts w:hint="eastAsia"/>
              </w:rPr>
              <w:t xml:space="preserve"> </w:t>
            </w:r>
            <w:r>
              <w:rPr>
                <w:lang/>
              </w:rPr>
              <w:drawing>
                <wp:inline distT="0" distB="0" distL="114300" distR="114300">
                  <wp:extent cx="476250" cy="323850"/>
                  <wp:effectExtent l="0" t="0" r="0" b="0"/>
                  <wp:docPr id="174" name="图片 174"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444D3A3B">
        <w:tblPrEx>
          <w:tblCellMar>
            <w:top w:w="0" w:type="dxa"/>
            <w:left w:w="0" w:type="dxa"/>
            <w:bottom w:w="0" w:type="dxa"/>
            <w:right w:w="0" w:type="dxa"/>
          </w:tblCellMar>
        </w:tblPrEx>
        <w:trPr>
          <w:wBefore w:w="0" w:type="auto"/>
          <w:tblCellSpacing w:w="0" w:type="dxa"/>
        </w:trPr>
        <w:tc>
          <w:tcPr>
            <w:tcW w:w="0" w:type="auto"/>
            <w:noWrap w:val="0"/>
            <w:vAlign w:val="center"/>
          </w:tcPr>
          <w:p w14:paraId="0F10B7FE">
            <w:r>
              <w:rPr>
                <w:rStyle w:val="10"/>
                <w:rFonts w:hint="eastAsia"/>
              </w:rPr>
              <w:t>总有效成分含量：</w:t>
            </w:r>
            <w:r>
              <w:rPr>
                <w:rFonts w:hint="eastAsia"/>
              </w:rPr>
              <w:t>40%</w:t>
            </w:r>
          </w:p>
        </w:tc>
      </w:tr>
      <w:tr w14:paraId="33BE8106">
        <w:tblPrEx>
          <w:tblCellMar>
            <w:top w:w="0" w:type="dxa"/>
            <w:left w:w="0" w:type="dxa"/>
            <w:bottom w:w="0" w:type="dxa"/>
            <w:right w:w="0" w:type="dxa"/>
          </w:tblCellMar>
        </w:tblPrEx>
        <w:trPr>
          <w:wBefore w:w="0" w:type="auto"/>
          <w:tblCellSpacing w:w="0" w:type="dxa"/>
        </w:trPr>
        <w:tc>
          <w:tcPr>
            <w:tcW w:w="0" w:type="auto"/>
            <w:noWrap w:val="0"/>
            <w:vAlign w:val="center"/>
          </w:tcPr>
          <w:p w14:paraId="2FE365AF">
            <w:r>
              <w:rPr>
                <w:rFonts w:hint="eastAsia"/>
              </w:rPr>
              <w:t xml:space="preserve">有效成分及其含量： </w:t>
            </w:r>
          </w:p>
          <w:p w14:paraId="1C93D67B">
            <w:r>
              <w:rPr>
                <w:rFonts w:hint="eastAsia"/>
              </w:rPr>
              <w:t xml:space="preserve">    咪鲜胺30%    吡唑醚菌酯10%    </w:t>
            </w:r>
          </w:p>
        </w:tc>
      </w:tr>
      <w:tr w14:paraId="14669A20">
        <w:tblPrEx>
          <w:tblCellMar>
            <w:top w:w="0" w:type="dxa"/>
            <w:left w:w="0" w:type="dxa"/>
            <w:bottom w:w="0" w:type="dxa"/>
            <w:right w:w="0" w:type="dxa"/>
          </w:tblCellMar>
        </w:tblPrEx>
        <w:trPr>
          <w:wBefore w:w="0" w:type="auto"/>
          <w:tblCellSpacing w:w="0" w:type="dxa"/>
        </w:trPr>
        <w:tc>
          <w:tcPr>
            <w:tcW w:w="0" w:type="auto"/>
            <w:noWrap w:val="0"/>
            <w:vAlign w:val="center"/>
          </w:tcPr>
          <w:p w14:paraId="1A7CC2F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F3531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35FD1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DE919F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7267DE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C3C288">
                  <w:r>
                    <w:rPr>
                      <w:rStyle w:val="11"/>
                      <w:rFonts w:hint="eastAsia"/>
                    </w:rPr>
                    <w:t>施用方式</w:t>
                  </w:r>
                </w:p>
              </w:tc>
            </w:tr>
            <w:tr w14:paraId="625413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35DFEEE">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690A6C">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43A979">
                  <w:r>
                    <w:rPr>
                      <w:rStyle w:val="11"/>
                      <w:rFonts w:hint="eastAsia"/>
                    </w:rPr>
                    <w:t>3000-4000倍液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BBE284">
                  <w:r>
                    <w:rPr>
                      <w:rStyle w:val="11"/>
                      <w:rFonts w:hint="eastAsia"/>
                    </w:rPr>
                    <w:t>喷雾</w:t>
                  </w:r>
                </w:p>
              </w:tc>
            </w:tr>
          </w:tbl>
          <w:p w14:paraId="1F458968">
            <w:pPr>
              <w:rPr>
                <w:rFonts w:ascii="Times New Roman" w:hAnsi="Times New Roman" w:cs="Times New Roman"/>
                <w:sz w:val="20"/>
                <w:szCs w:val="20"/>
              </w:rPr>
            </w:pPr>
          </w:p>
        </w:tc>
      </w:tr>
      <w:tr w14:paraId="4504E570">
        <w:tblPrEx>
          <w:tblCellMar>
            <w:top w:w="0" w:type="dxa"/>
            <w:left w:w="0" w:type="dxa"/>
            <w:bottom w:w="0" w:type="dxa"/>
            <w:right w:w="0" w:type="dxa"/>
          </w:tblCellMar>
        </w:tblPrEx>
        <w:trPr>
          <w:wBefore w:w="0" w:type="auto"/>
          <w:tblCellSpacing w:w="0" w:type="dxa"/>
        </w:trPr>
        <w:tc>
          <w:tcPr>
            <w:tcW w:w="0" w:type="auto"/>
            <w:noWrap w:val="0"/>
            <w:vAlign w:val="center"/>
          </w:tcPr>
          <w:p w14:paraId="4C3387A9">
            <w:r>
              <w:rPr>
                <w:rStyle w:val="10"/>
                <w:rFonts w:hint="eastAsia"/>
              </w:rPr>
              <w:t>使用技术要求:</w:t>
            </w:r>
            <w:r>
              <w:rPr>
                <w:rFonts w:hint="eastAsia"/>
              </w:rPr>
              <w:br w:type="textWrapping"/>
            </w:r>
            <w:r>
              <w:rPr>
                <w:rStyle w:val="11"/>
                <w:rFonts w:hint="eastAsia"/>
              </w:rPr>
              <w:t>1、本品应于柑橘树炭疽病发病前或发病初期施药，可视病情施药2~3次，施药间隔10~14天，按推荐剂量兑水均匀喷雾。2、大风天或预计1小时内降雨，请勿施药。3、本品在柑橘树上使用的安全间隔期为21天，每季最多使用3次。</w:t>
            </w:r>
          </w:p>
        </w:tc>
      </w:tr>
      <w:tr w14:paraId="74A3688C">
        <w:tblPrEx>
          <w:tblCellMar>
            <w:top w:w="0" w:type="dxa"/>
            <w:left w:w="0" w:type="dxa"/>
            <w:bottom w:w="0" w:type="dxa"/>
            <w:right w:w="0" w:type="dxa"/>
          </w:tblCellMar>
        </w:tblPrEx>
        <w:trPr>
          <w:wBefore w:w="0" w:type="auto"/>
          <w:tblCellSpacing w:w="0" w:type="dxa"/>
        </w:trPr>
        <w:tc>
          <w:tcPr>
            <w:tcW w:w="0" w:type="auto"/>
            <w:noWrap w:val="0"/>
            <w:vAlign w:val="center"/>
          </w:tcPr>
          <w:p w14:paraId="0E4AEEE3">
            <w:r>
              <w:rPr>
                <w:rStyle w:val="10"/>
                <w:rFonts w:hint="eastAsia"/>
              </w:rPr>
              <w:t>产品性能:</w:t>
            </w:r>
            <w:r>
              <w:rPr>
                <w:rFonts w:hint="eastAsia"/>
              </w:rPr>
              <w:br w:type="textWrapping"/>
            </w:r>
            <w:r>
              <w:rPr>
                <w:rStyle w:val="11"/>
                <w:rFonts w:hint="eastAsia"/>
              </w:rPr>
              <w:t>本品由吡唑醚菌酯和咪鲜胺复配而成，外观为白色乳状液体，无刺激性气味。吡唑醚菌酯为为线粒体呼吸抑制剂，可阻断病菌细胞色素BC1酶复合物的电子传递，具有保护、治疗和叶片渗透传导作用；咪鲜胺是甾醇脱甲基化抑制剂，可抑制麦角甾醇的生物合成，具有保护和铲除作用。两者混配后可有效防治柑橘树炭疽病。</w:t>
            </w:r>
          </w:p>
        </w:tc>
      </w:tr>
      <w:tr w14:paraId="2D5A9DF1">
        <w:tblPrEx>
          <w:tblCellMar>
            <w:top w:w="0" w:type="dxa"/>
            <w:left w:w="0" w:type="dxa"/>
            <w:bottom w:w="0" w:type="dxa"/>
            <w:right w:w="0" w:type="dxa"/>
          </w:tblCellMar>
        </w:tblPrEx>
        <w:trPr>
          <w:wBefore w:w="0" w:type="auto"/>
          <w:tblCellSpacing w:w="0" w:type="dxa"/>
        </w:trPr>
        <w:tc>
          <w:tcPr>
            <w:tcW w:w="0" w:type="auto"/>
            <w:noWrap w:val="0"/>
            <w:vAlign w:val="center"/>
          </w:tcPr>
          <w:p w14:paraId="18BD4EBE">
            <w:r>
              <w:rPr>
                <w:rStyle w:val="10"/>
                <w:rFonts w:hint="eastAsia"/>
              </w:rPr>
              <w:t>注意事项：</w:t>
            </w:r>
            <w:r>
              <w:rPr>
                <w:rFonts w:hint="eastAsia"/>
              </w:rPr>
              <w:br w:type="textWrapping"/>
            </w:r>
            <w:r>
              <w:rPr>
                <w:rStyle w:val="11"/>
                <w:rFonts w:hint="eastAsia"/>
              </w:rPr>
              <w:t>1、本品不可与碱性物质混用。2、蚕室和桑园附近禁用。3、施药时远离水产养殖区、河塘等水体附近施药，禁止在河塘等水体中清洗施药器具，避免药液流入河塘等水体中污染水源。4、施药时应穿长衣、长裤，佩戴口罩、护目镜、手套等防护用品，切勿在施药时抽烟或饮食等，施药后应及时清洗皮肤并更换衣物。5、建议与其他不同作用机制的药剂轮换使用，以延缓抗性产生。6、用过的容器应妥善处理，不可做他用，也不可随意丢弃。7、儿童、孕妇及哺乳期妇女应避免接触本品。</w:t>
            </w:r>
          </w:p>
        </w:tc>
      </w:tr>
      <w:tr w14:paraId="19314419">
        <w:tblPrEx>
          <w:tblCellMar>
            <w:top w:w="0" w:type="dxa"/>
            <w:left w:w="0" w:type="dxa"/>
            <w:bottom w:w="0" w:type="dxa"/>
            <w:right w:w="0" w:type="dxa"/>
          </w:tblCellMar>
        </w:tblPrEx>
        <w:trPr>
          <w:wBefore w:w="0" w:type="auto"/>
          <w:tblCellSpacing w:w="0" w:type="dxa"/>
        </w:trPr>
        <w:tc>
          <w:tcPr>
            <w:tcW w:w="0" w:type="auto"/>
            <w:noWrap w:val="0"/>
            <w:vAlign w:val="center"/>
          </w:tcPr>
          <w:p w14:paraId="552788D2">
            <w:r>
              <w:rPr>
                <w:rStyle w:val="10"/>
                <w:rFonts w:hint="eastAsia"/>
              </w:rPr>
              <w:t>中毒急救措施：</w:t>
            </w:r>
            <w:r>
              <w:rPr>
                <w:rFonts w:hint="eastAsia"/>
              </w:rPr>
              <w:br w:type="textWrapping"/>
            </w:r>
            <w:r>
              <w:rPr>
                <w:rStyle w:val="11"/>
                <w:rFonts w:hint="eastAsia"/>
              </w:rPr>
              <w:t>对眼睛有刺激性。急救措施：使用中或使用后如果感觉不适，立即停止工作，采取急救措施，并携此标签送医就诊。皮肤接触：立即脱掉被污染的衣物，用大量清水和肥皂彻底冲洗受污染皮肤，仍有不适时，请及时就医。眼睛溅入：立即将眼睑翻开，用清水冲洗至少15分钟。仍有不适时，就医。不慎吸入：立即转移至空气清新处，保持呼吸畅通。误服：立即停止服用，用清水充分漱口后，携带农药标签到医院就诊。无特效解毒剂，对症治疗。</w:t>
            </w:r>
          </w:p>
        </w:tc>
      </w:tr>
      <w:tr w14:paraId="7C22E3E9">
        <w:tblPrEx>
          <w:tblCellMar>
            <w:top w:w="0" w:type="dxa"/>
            <w:left w:w="0" w:type="dxa"/>
            <w:bottom w:w="0" w:type="dxa"/>
            <w:right w:w="0" w:type="dxa"/>
          </w:tblCellMar>
        </w:tblPrEx>
        <w:trPr>
          <w:wBefore w:w="0" w:type="auto"/>
          <w:tblCellSpacing w:w="0" w:type="dxa"/>
        </w:trPr>
        <w:tc>
          <w:tcPr>
            <w:tcW w:w="0" w:type="auto"/>
            <w:noWrap w:val="0"/>
            <w:vAlign w:val="center"/>
          </w:tcPr>
          <w:p w14:paraId="7E13144D">
            <w:r>
              <w:rPr>
                <w:rStyle w:val="10"/>
                <w:rFonts w:hint="eastAsia"/>
              </w:rPr>
              <w:t>储存和运输方法：</w:t>
            </w:r>
            <w:r>
              <w:rPr>
                <w:rFonts w:hint="eastAsia"/>
              </w:rPr>
              <w:br w:type="textWrapping"/>
            </w:r>
            <w:r>
              <w:rPr>
                <w:rStyle w:val="11"/>
                <w:rFonts w:hint="eastAsia"/>
              </w:rPr>
              <w:t>本品应贮存在通风、干燥的库房中。贮运时，严防潮湿和日晒，不得与食物、种子、饲料混放，避免与皮肤、眼睛接触，防止由口、鼻吸入，避免让儿童接触。</w:t>
            </w:r>
          </w:p>
        </w:tc>
      </w:tr>
      <w:tr w14:paraId="46792A7F">
        <w:tblPrEx>
          <w:tblCellMar>
            <w:top w:w="0" w:type="dxa"/>
            <w:left w:w="0" w:type="dxa"/>
            <w:bottom w:w="0" w:type="dxa"/>
            <w:right w:w="0" w:type="dxa"/>
          </w:tblCellMar>
        </w:tblPrEx>
        <w:trPr>
          <w:wBefore w:w="0" w:type="auto"/>
          <w:tblCellSpacing w:w="0" w:type="dxa"/>
        </w:trPr>
        <w:tc>
          <w:tcPr>
            <w:tcW w:w="0" w:type="auto"/>
            <w:noWrap w:val="0"/>
            <w:vAlign w:val="center"/>
          </w:tcPr>
          <w:p w14:paraId="39A8AB76">
            <w:r>
              <w:rPr>
                <w:rStyle w:val="10"/>
                <w:rFonts w:hint="eastAsia"/>
              </w:rPr>
              <w:t>质量保证期：</w:t>
            </w:r>
            <w:r>
              <w:rPr>
                <w:rStyle w:val="11"/>
                <w:rFonts w:hint="eastAsia"/>
              </w:rPr>
              <w:t>2年</w:t>
            </w:r>
          </w:p>
        </w:tc>
      </w:tr>
      <w:tr w14:paraId="0BE075CD">
        <w:tblPrEx>
          <w:tblCellMar>
            <w:top w:w="0" w:type="dxa"/>
            <w:left w:w="0" w:type="dxa"/>
            <w:bottom w:w="0" w:type="dxa"/>
            <w:right w:w="0" w:type="dxa"/>
          </w:tblCellMar>
        </w:tblPrEx>
        <w:trPr>
          <w:wBefore w:w="0" w:type="auto"/>
          <w:tblCellSpacing w:w="0" w:type="dxa"/>
        </w:trPr>
        <w:tc>
          <w:tcPr>
            <w:tcW w:w="0" w:type="auto"/>
            <w:noWrap w:val="0"/>
            <w:vAlign w:val="center"/>
          </w:tcPr>
          <w:p w14:paraId="4A353BD8">
            <w:r>
              <w:rPr>
                <w:rStyle w:val="10"/>
                <w:rFonts w:hint="eastAsia"/>
              </w:rPr>
              <w:t>备注：</w:t>
            </w:r>
          </w:p>
        </w:tc>
      </w:tr>
    </w:tbl>
    <w:p w14:paraId="6653A56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7B3C3B">
        <w:tblPrEx>
          <w:tblCellMar>
            <w:top w:w="0" w:type="dxa"/>
            <w:left w:w="0" w:type="dxa"/>
            <w:bottom w:w="0" w:type="dxa"/>
            <w:right w:w="0" w:type="dxa"/>
          </w:tblCellMar>
        </w:tblPrEx>
        <w:trPr>
          <w:wBefore w:w="0" w:type="auto"/>
          <w:tblCellSpacing w:w="0" w:type="dxa"/>
        </w:trPr>
        <w:tc>
          <w:tcPr>
            <w:tcW w:w="0" w:type="auto"/>
            <w:noWrap w:val="0"/>
            <w:vAlign w:val="center"/>
          </w:tcPr>
          <w:p w14:paraId="5179E047">
            <w:r>
              <w:rPr>
                <w:rStyle w:val="10"/>
                <w:rFonts w:hint="eastAsia"/>
              </w:rPr>
              <w:t>登记证号：</w:t>
            </w:r>
            <w:r>
              <w:rPr>
                <w:rFonts w:hint="eastAsia"/>
              </w:rPr>
              <w:t>PD20212096</w:t>
            </w:r>
          </w:p>
        </w:tc>
      </w:tr>
      <w:tr w14:paraId="44C88668">
        <w:tblPrEx>
          <w:tblCellMar>
            <w:top w:w="0" w:type="dxa"/>
            <w:left w:w="0" w:type="dxa"/>
            <w:bottom w:w="0" w:type="dxa"/>
            <w:right w:w="0" w:type="dxa"/>
          </w:tblCellMar>
        </w:tblPrEx>
        <w:trPr>
          <w:wBefore w:w="0" w:type="auto"/>
          <w:tblCellSpacing w:w="0" w:type="dxa"/>
        </w:trPr>
        <w:tc>
          <w:tcPr>
            <w:tcW w:w="0" w:type="auto"/>
            <w:noWrap w:val="0"/>
            <w:vAlign w:val="center"/>
          </w:tcPr>
          <w:p w14:paraId="24808851">
            <w:r>
              <w:rPr>
                <w:rStyle w:val="10"/>
                <w:rFonts w:hint="eastAsia"/>
              </w:rPr>
              <w:t>登记证持有人：</w:t>
            </w:r>
            <w:r>
              <w:rPr>
                <w:rFonts w:hint="eastAsia"/>
              </w:rPr>
              <w:t>江苏省南通江山农药化工股份有限公司</w:t>
            </w:r>
          </w:p>
        </w:tc>
      </w:tr>
      <w:tr w14:paraId="7656BFCB">
        <w:tblPrEx>
          <w:tblCellMar>
            <w:top w:w="0" w:type="dxa"/>
            <w:left w:w="0" w:type="dxa"/>
            <w:bottom w:w="0" w:type="dxa"/>
            <w:right w:w="0" w:type="dxa"/>
          </w:tblCellMar>
        </w:tblPrEx>
        <w:trPr>
          <w:wBefore w:w="0" w:type="auto"/>
          <w:tblCellSpacing w:w="0" w:type="dxa"/>
        </w:trPr>
        <w:tc>
          <w:tcPr>
            <w:tcW w:w="0" w:type="auto"/>
            <w:noWrap w:val="0"/>
            <w:vAlign w:val="center"/>
          </w:tcPr>
          <w:p w14:paraId="162830B1">
            <w:r>
              <w:rPr>
                <w:rStyle w:val="10"/>
                <w:rFonts w:hint="eastAsia"/>
              </w:rPr>
              <w:t>农药名称：</w:t>
            </w:r>
            <w:r>
              <w:rPr>
                <w:rFonts w:hint="eastAsia"/>
              </w:rPr>
              <w:t>唑啉·炔草酯</w:t>
            </w:r>
          </w:p>
        </w:tc>
      </w:tr>
      <w:tr w14:paraId="13365C3F">
        <w:tblPrEx>
          <w:tblCellMar>
            <w:top w:w="0" w:type="dxa"/>
            <w:left w:w="0" w:type="dxa"/>
            <w:bottom w:w="0" w:type="dxa"/>
            <w:right w:w="0" w:type="dxa"/>
          </w:tblCellMar>
        </w:tblPrEx>
        <w:trPr>
          <w:wBefore w:w="0" w:type="auto"/>
          <w:tblCellSpacing w:w="0" w:type="dxa"/>
        </w:trPr>
        <w:tc>
          <w:tcPr>
            <w:tcW w:w="0" w:type="auto"/>
            <w:noWrap w:val="0"/>
            <w:vAlign w:val="center"/>
          </w:tcPr>
          <w:p w14:paraId="58BD8ABB">
            <w:r>
              <w:rPr>
                <w:rStyle w:val="10"/>
                <w:rFonts w:hint="eastAsia"/>
              </w:rPr>
              <w:t>剂型：</w:t>
            </w:r>
            <w:r>
              <w:rPr>
                <w:rFonts w:hint="eastAsia"/>
              </w:rPr>
              <w:t>乳油</w:t>
            </w:r>
          </w:p>
        </w:tc>
      </w:tr>
      <w:tr w14:paraId="3DD90B90">
        <w:tblPrEx>
          <w:tblCellMar>
            <w:top w:w="0" w:type="dxa"/>
            <w:left w:w="0" w:type="dxa"/>
            <w:bottom w:w="0" w:type="dxa"/>
            <w:right w:w="0" w:type="dxa"/>
          </w:tblCellMar>
        </w:tblPrEx>
        <w:trPr>
          <w:wBefore w:w="0" w:type="auto"/>
          <w:tblCellSpacing w:w="0" w:type="dxa"/>
        </w:trPr>
        <w:tc>
          <w:tcPr>
            <w:tcW w:w="0" w:type="auto"/>
            <w:noWrap w:val="0"/>
            <w:vAlign w:val="center"/>
          </w:tcPr>
          <w:p w14:paraId="5D18120D">
            <w:r>
              <w:rPr>
                <w:rStyle w:val="10"/>
                <w:rFonts w:hint="eastAsia"/>
              </w:rPr>
              <w:t>毒性及其标识：</w:t>
            </w:r>
            <w:r>
              <w:rPr>
                <w:rFonts w:hint="eastAsia"/>
              </w:rPr>
              <w:t xml:space="preserve"> </w:t>
            </w:r>
            <w:r>
              <w:rPr>
                <w:lang/>
              </w:rPr>
              <w:drawing>
                <wp:inline distT="0" distB="0" distL="114300" distR="114300">
                  <wp:extent cx="476250" cy="323850"/>
                  <wp:effectExtent l="0" t="0" r="0" b="0"/>
                  <wp:docPr id="175" name="图片 17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AD7DA7D">
        <w:tblPrEx>
          <w:tblCellMar>
            <w:top w:w="0" w:type="dxa"/>
            <w:left w:w="0" w:type="dxa"/>
            <w:bottom w:w="0" w:type="dxa"/>
            <w:right w:w="0" w:type="dxa"/>
          </w:tblCellMar>
        </w:tblPrEx>
        <w:trPr>
          <w:wBefore w:w="0" w:type="auto"/>
          <w:tblCellSpacing w:w="0" w:type="dxa"/>
        </w:trPr>
        <w:tc>
          <w:tcPr>
            <w:tcW w:w="0" w:type="auto"/>
            <w:noWrap w:val="0"/>
            <w:vAlign w:val="center"/>
          </w:tcPr>
          <w:p w14:paraId="1679B45F">
            <w:r>
              <w:rPr>
                <w:rStyle w:val="10"/>
                <w:rFonts w:hint="eastAsia"/>
              </w:rPr>
              <w:t>总有效成分含量：</w:t>
            </w:r>
            <w:r>
              <w:rPr>
                <w:rFonts w:hint="eastAsia"/>
              </w:rPr>
              <w:t>20%</w:t>
            </w:r>
          </w:p>
        </w:tc>
      </w:tr>
      <w:tr w14:paraId="6559F2F1">
        <w:tblPrEx>
          <w:tblCellMar>
            <w:top w:w="0" w:type="dxa"/>
            <w:left w:w="0" w:type="dxa"/>
            <w:bottom w:w="0" w:type="dxa"/>
            <w:right w:w="0" w:type="dxa"/>
          </w:tblCellMar>
        </w:tblPrEx>
        <w:trPr>
          <w:wBefore w:w="0" w:type="auto"/>
          <w:tblCellSpacing w:w="0" w:type="dxa"/>
        </w:trPr>
        <w:tc>
          <w:tcPr>
            <w:tcW w:w="0" w:type="auto"/>
            <w:noWrap w:val="0"/>
            <w:vAlign w:val="center"/>
          </w:tcPr>
          <w:p w14:paraId="12350FDE">
            <w:r>
              <w:rPr>
                <w:rFonts w:hint="eastAsia"/>
              </w:rPr>
              <w:t xml:space="preserve">有效成分及其含量： </w:t>
            </w:r>
          </w:p>
          <w:p w14:paraId="1FF5F018">
            <w:r>
              <w:rPr>
                <w:rFonts w:hint="eastAsia"/>
              </w:rPr>
              <w:t xml:space="preserve">    唑啉草酯10%    炔草酯10%    </w:t>
            </w:r>
          </w:p>
        </w:tc>
      </w:tr>
      <w:tr w14:paraId="336FAF3A">
        <w:tblPrEx>
          <w:tblCellMar>
            <w:top w:w="0" w:type="dxa"/>
            <w:left w:w="0" w:type="dxa"/>
            <w:bottom w:w="0" w:type="dxa"/>
            <w:right w:w="0" w:type="dxa"/>
          </w:tblCellMar>
        </w:tblPrEx>
        <w:trPr>
          <w:wBefore w:w="0" w:type="auto"/>
          <w:tblCellSpacing w:w="0" w:type="dxa"/>
        </w:trPr>
        <w:tc>
          <w:tcPr>
            <w:tcW w:w="0" w:type="auto"/>
            <w:noWrap w:val="0"/>
            <w:vAlign w:val="center"/>
          </w:tcPr>
          <w:p w14:paraId="407F246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A51DD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2CCF44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951C8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A40E6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0B48E30">
                  <w:r>
                    <w:rPr>
                      <w:rStyle w:val="11"/>
                      <w:rFonts w:hint="eastAsia"/>
                    </w:rPr>
                    <w:t>施用方式</w:t>
                  </w:r>
                </w:p>
              </w:tc>
            </w:tr>
            <w:tr w14:paraId="7798E5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C33016F">
                  <w:r>
                    <w:rPr>
                      <w:rStyle w:val="11"/>
                      <w:rFonts w:hint="eastAsia"/>
                    </w:rPr>
                    <w:t>春小麦田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423092">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B9C03E">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B1E022">
                  <w:r>
                    <w:rPr>
                      <w:rStyle w:val="11"/>
                      <w:rFonts w:hint="eastAsia"/>
                    </w:rPr>
                    <w:t>茎叶喷雾</w:t>
                  </w:r>
                </w:p>
              </w:tc>
            </w:tr>
          </w:tbl>
          <w:p w14:paraId="0582DD15">
            <w:pPr>
              <w:rPr>
                <w:rFonts w:ascii="Times New Roman" w:hAnsi="Times New Roman" w:cs="Times New Roman"/>
                <w:sz w:val="20"/>
                <w:szCs w:val="20"/>
              </w:rPr>
            </w:pPr>
          </w:p>
        </w:tc>
      </w:tr>
      <w:tr w14:paraId="2C3ABBDF">
        <w:tblPrEx>
          <w:tblCellMar>
            <w:top w:w="0" w:type="dxa"/>
            <w:left w:w="0" w:type="dxa"/>
            <w:bottom w:w="0" w:type="dxa"/>
            <w:right w:w="0" w:type="dxa"/>
          </w:tblCellMar>
        </w:tblPrEx>
        <w:trPr>
          <w:wBefore w:w="0" w:type="auto"/>
          <w:tblCellSpacing w:w="0" w:type="dxa"/>
        </w:trPr>
        <w:tc>
          <w:tcPr>
            <w:tcW w:w="0" w:type="auto"/>
            <w:noWrap w:val="0"/>
            <w:vAlign w:val="center"/>
          </w:tcPr>
          <w:p w14:paraId="415E09F4">
            <w:r>
              <w:rPr>
                <w:rStyle w:val="10"/>
                <w:rFonts w:hint="eastAsia"/>
              </w:rPr>
              <w:t>使用技术要求:</w:t>
            </w:r>
            <w:r>
              <w:rPr>
                <w:rFonts w:hint="eastAsia"/>
              </w:rPr>
              <w:br w:type="textWrapping"/>
            </w:r>
            <w:r>
              <w:rPr>
                <w:rStyle w:val="11"/>
                <w:rFonts w:hint="eastAsia"/>
              </w:rPr>
              <w:t>1.在春小麦3-5叶期，禾本科杂草3-5叶期茎叶喷雾施药一次，每亩兑水15-30升均匀细致茎叶喷雾。 2.每季最多使用1次。</w:t>
            </w:r>
          </w:p>
        </w:tc>
      </w:tr>
      <w:tr w14:paraId="07A82934">
        <w:tblPrEx>
          <w:tblCellMar>
            <w:top w:w="0" w:type="dxa"/>
            <w:left w:w="0" w:type="dxa"/>
            <w:bottom w:w="0" w:type="dxa"/>
            <w:right w:w="0" w:type="dxa"/>
          </w:tblCellMar>
        </w:tblPrEx>
        <w:trPr>
          <w:wBefore w:w="0" w:type="auto"/>
          <w:tblCellSpacing w:w="0" w:type="dxa"/>
        </w:trPr>
        <w:tc>
          <w:tcPr>
            <w:tcW w:w="0" w:type="auto"/>
            <w:noWrap w:val="0"/>
            <w:vAlign w:val="center"/>
          </w:tcPr>
          <w:p w14:paraId="164384A4">
            <w:r>
              <w:rPr>
                <w:rStyle w:val="10"/>
                <w:rFonts w:hint="eastAsia"/>
              </w:rPr>
              <w:t>产品性能:</w:t>
            </w:r>
            <w:r>
              <w:rPr>
                <w:rFonts w:hint="eastAsia"/>
              </w:rPr>
              <w:br w:type="textWrapping"/>
            </w:r>
            <w:r>
              <w:rPr>
                <w:rStyle w:val="11"/>
                <w:rFonts w:hint="eastAsia"/>
              </w:rPr>
              <w:t>本品由两种不同作用机制的除草剂混配而成，适用于小麦田禾本科杂草的综合治理。本品苗后茎叶处理，可有效防除春麦田稗草、狗尾草等麦田主要禾本科杂草。</w:t>
            </w:r>
          </w:p>
        </w:tc>
      </w:tr>
      <w:tr w14:paraId="7BAA18DC">
        <w:tblPrEx>
          <w:tblCellMar>
            <w:top w:w="0" w:type="dxa"/>
            <w:left w:w="0" w:type="dxa"/>
            <w:bottom w:w="0" w:type="dxa"/>
            <w:right w:w="0" w:type="dxa"/>
          </w:tblCellMar>
        </w:tblPrEx>
        <w:trPr>
          <w:wBefore w:w="0" w:type="auto"/>
          <w:tblCellSpacing w:w="0" w:type="dxa"/>
        </w:trPr>
        <w:tc>
          <w:tcPr>
            <w:tcW w:w="0" w:type="auto"/>
            <w:noWrap w:val="0"/>
            <w:vAlign w:val="center"/>
          </w:tcPr>
          <w:p w14:paraId="39B386A0">
            <w:r>
              <w:rPr>
                <w:rStyle w:val="10"/>
                <w:rFonts w:hint="eastAsia"/>
              </w:rPr>
              <w:t>注意事项：</w:t>
            </w:r>
            <w:r>
              <w:rPr>
                <w:rFonts w:hint="eastAsia"/>
              </w:rPr>
              <w:br w:type="textWrapping"/>
            </w:r>
            <w:r>
              <w:rPr>
                <w:rStyle w:val="11"/>
                <w:rFonts w:hint="eastAsia"/>
              </w:rPr>
              <w:t>1.严格按推荐剂量施药，杂草草龄较大或（和）发生密度较大时，采用推荐剂量的高量。 2.请勿在大麦和燕麦田使用；避免药液飘移到邻近作物田；施药后仔细清洗喷雾器避免药物残留造成玉米、高粱及其他敏感作物药害。 3.避免在极端气候如气温大幅波动， 异常干旱，极端低温高温，田间积水，小麦生长不良等条件下使用，否则可能影响药效或导致作物药害。 4.不推荐与激素类除草剂混用，如2, 4-D、2甲4氯、麦草畏、氯氟吡氧乙酸等。 5.使用时应穿戴长衣、长裤、帽子、手套、口罩等安全防护措施；施药期间不可吃东西、饮水、吸烟等；施药后应及时洗手、洗脸并洗涤施药时穿着的衣物。 6.远离水产养殖区、河塘等水体施药；禁止在河塘等水体中清洗施药器具。 7.用过的容器和废弃物应妥善处理，不可随意丢弃或做他用。 8.孕妇及哺乳期妇女禁止接触本品。</w:t>
            </w:r>
          </w:p>
        </w:tc>
      </w:tr>
      <w:tr w14:paraId="1A9A77D7">
        <w:tblPrEx>
          <w:tblCellMar>
            <w:top w:w="0" w:type="dxa"/>
            <w:left w:w="0" w:type="dxa"/>
            <w:bottom w:w="0" w:type="dxa"/>
            <w:right w:w="0" w:type="dxa"/>
          </w:tblCellMar>
        </w:tblPrEx>
        <w:trPr>
          <w:wBefore w:w="0" w:type="auto"/>
          <w:tblCellSpacing w:w="0" w:type="dxa"/>
        </w:trPr>
        <w:tc>
          <w:tcPr>
            <w:tcW w:w="0" w:type="auto"/>
            <w:noWrap w:val="0"/>
            <w:vAlign w:val="center"/>
          </w:tcPr>
          <w:p w14:paraId="41C90E52">
            <w:r>
              <w:rPr>
                <w:rStyle w:val="10"/>
                <w:rFonts w:hint="eastAsia"/>
              </w:rPr>
              <w:t>中毒急救措施：</w:t>
            </w:r>
            <w:r>
              <w:rPr>
                <w:rFonts w:hint="eastAsia"/>
              </w:rPr>
              <w:br w:type="textWrapping"/>
            </w:r>
            <w:r>
              <w:rPr>
                <w:rStyle w:val="11"/>
                <w:rFonts w:hint="eastAsia"/>
              </w:rPr>
              <w:t>对眼睛和眼睛的刺激性，使用时避免接触眼睛和皮肤。 中毒症状：用药时如果感觉不适，立即停止工作，采取急救措施，并携此标签送医就诊； 急救措施：1、皮肤接触：立即脱掉被污染的衣物，用大量清水冲洗被污染的皮肤，如皮肤刺激感持续，请医生诊治。 2、眼睛接触：立即将眼睑翻开，用大量清水冲洗眼至少15分钟，再请医生诊治。 3、发生吸入：将患者转移到空气新鲜处。如果呼吸不正常或停止，实施人工呼吸。注意患者保暖和休息，然后请医生诊治。 4、误服：立即携带标签，送医院就诊。请勿引吐。 5、解毒剂：本品无特效解毒剂，应对症治疗。</w:t>
            </w:r>
          </w:p>
        </w:tc>
      </w:tr>
      <w:tr w14:paraId="27E28C54">
        <w:tblPrEx>
          <w:tblCellMar>
            <w:top w:w="0" w:type="dxa"/>
            <w:left w:w="0" w:type="dxa"/>
            <w:bottom w:w="0" w:type="dxa"/>
            <w:right w:w="0" w:type="dxa"/>
          </w:tblCellMar>
        </w:tblPrEx>
        <w:trPr>
          <w:wBefore w:w="0" w:type="auto"/>
          <w:tblCellSpacing w:w="0" w:type="dxa"/>
        </w:trPr>
        <w:tc>
          <w:tcPr>
            <w:tcW w:w="0" w:type="auto"/>
            <w:noWrap w:val="0"/>
            <w:vAlign w:val="center"/>
          </w:tcPr>
          <w:p w14:paraId="5340A0AD">
            <w:r>
              <w:rPr>
                <w:rStyle w:val="10"/>
                <w:rFonts w:hint="eastAsia"/>
              </w:rPr>
              <w:t>储存和运输方法：</w:t>
            </w:r>
            <w:r>
              <w:rPr>
                <w:rFonts w:hint="eastAsia"/>
              </w:rPr>
              <w:br w:type="textWrapping"/>
            </w:r>
            <w:r>
              <w:rPr>
                <w:rStyle w:val="11"/>
                <w:rFonts w:hint="eastAsia"/>
              </w:rPr>
              <w:t>应贮存在干燥、阴凉、通风、防雨处，远离火源或热源。置于儿童触及不到之处，并加锁。勿与食品、饮料、粮食、饲料等其他商品同贮同运。确保不淋雨、不损坏、不泄漏。装卸过程中要轻搬轻放。</w:t>
            </w:r>
          </w:p>
        </w:tc>
      </w:tr>
      <w:tr w14:paraId="7361CC29">
        <w:tblPrEx>
          <w:tblCellMar>
            <w:top w:w="0" w:type="dxa"/>
            <w:left w:w="0" w:type="dxa"/>
            <w:bottom w:w="0" w:type="dxa"/>
            <w:right w:w="0" w:type="dxa"/>
          </w:tblCellMar>
        </w:tblPrEx>
        <w:trPr>
          <w:wBefore w:w="0" w:type="auto"/>
          <w:tblCellSpacing w:w="0" w:type="dxa"/>
        </w:trPr>
        <w:tc>
          <w:tcPr>
            <w:tcW w:w="0" w:type="auto"/>
            <w:noWrap w:val="0"/>
            <w:vAlign w:val="center"/>
          </w:tcPr>
          <w:p w14:paraId="52A159A4">
            <w:r>
              <w:rPr>
                <w:rStyle w:val="10"/>
                <w:rFonts w:hint="eastAsia"/>
              </w:rPr>
              <w:t>质量保证期：</w:t>
            </w:r>
            <w:r>
              <w:rPr>
                <w:rStyle w:val="11"/>
                <w:rFonts w:hint="eastAsia"/>
              </w:rPr>
              <w:t>2年</w:t>
            </w:r>
          </w:p>
        </w:tc>
      </w:tr>
      <w:tr w14:paraId="00AB8417">
        <w:tblPrEx>
          <w:tblCellMar>
            <w:top w:w="0" w:type="dxa"/>
            <w:left w:w="0" w:type="dxa"/>
            <w:bottom w:w="0" w:type="dxa"/>
            <w:right w:w="0" w:type="dxa"/>
          </w:tblCellMar>
        </w:tblPrEx>
        <w:trPr>
          <w:wBefore w:w="0" w:type="auto"/>
          <w:tblCellSpacing w:w="0" w:type="dxa"/>
        </w:trPr>
        <w:tc>
          <w:tcPr>
            <w:tcW w:w="0" w:type="auto"/>
            <w:noWrap w:val="0"/>
            <w:vAlign w:val="center"/>
          </w:tcPr>
          <w:p w14:paraId="4DC86774">
            <w:r>
              <w:rPr>
                <w:rStyle w:val="10"/>
                <w:rFonts w:hint="eastAsia"/>
              </w:rPr>
              <w:t>备注：</w:t>
            </w:r>
          </w:p>
        </w:tc>
      </w:tr>
    </w:tbl>
    <w:p w14:paraId="6C6FCF7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AD26CDB">
        <w:tblPrEx>
          <w:tblCellMar>
            <w:top w:w="0" w:type="dxa"/>
            <w:left w:w="0" w:type="dxa"/>
            <w:bottom w:w="0" w:type="dxa"/>
            <w:right w:w="0" w:type="dxa"/>
          </w:tblCellMar>
        </w:tblPrEx>
        <w:trPr>
          <w:wBefore w:w="0" w:type="auto"/>
          <w:tblCellSpacing w:w="0" w:type="dxa"/>
        </w:trPr>
        <w:tc>
          <w:tcPr>
            <w:tcW w:w="0" w:type="auto"/>
            <w:noWrap w:val="0"/>
            <w:vAlign w:val="center"/>
          </w:tcPr>
          <w:p w14:paraId="7484174A">
            <w:r>
              <w:rPr>
                <w:rStyle w:val="10"/>
                <w:rFonts w:hint="eastAsia"/>
              </w:rPr>
              <w:t>登记证号：</w:t>
            </w:r>
            <w:r>
              <w:rPr>
                <w:rFonts w:hint="eastAsia"/>
              </w:rPr>
              <w:t>PD20212259</w:t>
            </w:r>
          </w:p>
        </w:tc>
      </w:tr>
      <w:tr w14:paraId="68946D60">
        <w:tblPrEx>
          <w:tblCellMar>
            <w:top w:w="0" w:type="dxa"/>
            <w:left w:w="0" w:type="dxa"/>
            <w:bottom w:w="0" w:type="dxa"/>
            <w:right w:w="0" w:type="dxa"/>
          </w:tblCellMar>
        </w:tblPrEx>
        <w:trPr>
          <w:wBefore w:w="0" w:type="auto"/>
          <w:tblCellSpacing w:w="0" w:type="dxa"/>
        </w:trPr>
        <w:tc>
          <w:tcPr>
            <w:tcW w:w="0" w:type="auto"/>
            <w:noWrap w:val="0"/>
            <w:vAlign w:val="center"/>
          </w:tcPr>
          <w:p w14:paraId="5130F472">
            <w:r>
              <w:rPr>
                <w:rStyle w:val="10"/>
                <w:rFonts w:hint="eastAsia"/>
              </w:rPr>
              <w:t>登记证持有人：</w:t>
            </w:r>
            <w:r>
              <w:rPr>
                <w:rFonts w:hint="eastAsia"/>
              </w:rPr>
              <w:t>山东圣鹏科技股份有限公司</w:t>
            </w:r>
          </w:p>
        </w:tc>
      </w:tr>
      <w:tr w14:paraId="3F1316CF">
        <w:tblPrEx>
          <w:tblCellMar>
            <w:top w:w="0" w:type="dxa"/>
            <w:left w:w="0" w:type="dxa"/>
            <w:bottom w:w="0" w:type="dxa"/>
            <w:right w:w="0" w:type="dxa"/>
          </w:tblCellMar>
        </w:tblPrEx>
        <w:trPr>
          <w:wBefore w:w="0" w:type="auto"/>
          <w:tblCellSpacing w:w="0" w:type="dxa"/>
        </w:trPr>
        <w:tc>
          <w:tcPr>
            <w:tcW w:w="0" w:type="auto"/>
            <w:noWrap w:val="0"/>
            <w:vAlign w:val="center"/>
          </w:tcPr>
          <w:p w14:paraId="5BD780F3">
            <w:r>
              <w:rPr>
                <w:rStyle w:val="10"/>
                <w:rFonts w:hint="eastAsia"/>
              </w:rPr>
              <w:t>农药名称：</w:t>
            </w:r>
            <w:r>
              <w:rPr>
                <w:rFonts w:hint="eastAsia"/>
              </w:rPr>
              <w:t>2甲· 草甘膦</w:t>
            </w:r>
          </w:p>
        </w:tc>
      </w:tr>
      <w:tr w14:paraId="6B0D5A7C">
        <w:tblPrEx>
          <w:tblCellMar>
            <w:top w:w="0" w:type="dxa"/>
            <w:left w:w="0" w:type="dxa"/>
            <w:bottom w:w="0" w:type="dxa"/>
            <w:right w:w="0" w:type="dxa"/>
          </w:tblCellMar>
        </w:tblPrEx>
        <w:trPr>
          <w:wBefore w:w="0" w:type="auto"/>
          <w:tblCellSpacing w:w="0" w:type="dxa"/>
        </w:trPr>
        <w:tc>
          <w:tcPr>
            <w:tcW w:w="0" w:type="auto"/>
            <w:noWrap w:val="0"/>
            <w:vAlign w:val="center"/>
          </w:tcPr>
          <w:p w14:paraId="7E3E3497">
            <w:r>
              <w:rPr>
                <w:rStyle w:val="10"/>
                <w:rFonts w:hint="eastAsia"/>
              </w:rPr>
              <w:t>剂型：</w:t>
            </w:r>
            <w:r>
              <w:rPr>
                <w:rFonts w:hint="eastAsia"/>
              </w:rPr>
              <w:t>可溶液剂</w:t>
            </w:r>
          </w:p>
        </w:tc>
      </w:tr>
      <w:tr w14:paraId="5ACEA346">
        <w:tblPrEx>
          <w:tblCellMar>
            <w:top w:w="0" w:type="dxa"/>
            <w:left w:w="0" w:type="dxa"/>
            <w:bottom w:w="0" w:type="dxa"/>
            <w:right w:w="0" w:type="dxa"/>
          </w:tblCellMar>
        </w:tblPrEx>
        <w:trPr>
          <w:wBefore w:w="0" w:type="auto"/>
          <w:tblCellSpacing w:w="0" w:type="dxa"/>
        </w:trPr>
        <w:tc>
          <w:tcPr>
            <w:tcW w:w="0" w:type="auto"/>
            <w:noWrap w:val="0"/>
            <w:vAlign w:val="center"/>
          </w:tcPr>
          <w:p w14:paraId="18E5E164">
            <w:r>
              <w:rPr>
                <w:rStyle w:val="10"/>
                <w:rFonts w:hint="eastAsia"/>
              </w:rPr>
              <w:t>毒性及其标识：</w:t>
            </w:r>
            <w:r>
              <w:rPr>
                <w:rFonts w:hint="eastAsia"/>
              </w:rPr>
              <w:t xml:space="preserve"> </w:t>
            </w:r>
            <w:r>
              <w:rPr>
                <w:lang/>
              </w:rPr>
              <w:drawing>
                <wp:inline distT="0" distB="0" distL="114300" distR="114300">
                  <wp:extent cx="476250" cy="323850"/>
                  <wp:effectExtent l="0" t="0" r="0" b="0"/>
                  <wp:docPr id="176" name="图片 17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76C92B5">
        <w:tblPrEx>
          <w:tblCellMar>
            <w:top w:w="0" w:type="dxa"/>
            <w:left w:w="0" w:type="dxa"/>
            <w:bottom w:w="0" w:type="dxa"/>
            <w:right w:w="0" w:type="dxa"/>
          </w:tblCellMar>
        </w:tblPrEx>
        <w:trPr>
          <w:wBefore w:w="0" w:type="auto"/>
          <w:tblCellSpacing w:w="0" w:type="dxa"/>
        </w:trPr>
        <w:tc>
          <w:tcPr>
            <w:tcW w:w="0" w:type="auto"/>
            <w:noWrap w:val="0"/>
            <w:vAlign w:val="center"/>
          </w:tcPr>
          <w:p w14:paraId="33155BD4">
            <w:r>
              <w:rPr>
                <w:rStyle w:val="10"/>
                <w:rFonts w:hint="eastAsia"/>
              </w:rPr>
              <w:t>总有效成分含量：</w:t>
            </w:r>
            <w:r>
              <w:rPr>
                <w:rFonts w:hint="eastAsia"/>
              </w:rPr>
              <w:t>36%</w:t>
            </w:r>
          </w:p>
        </w:tc>
      </w:tr>
      <w:tr w14:paraId="27884024">
        <w:tblPrEx>
          <w:tblCellMar>
            <w:top w:w="0" w:type="dxa"/>
            <w:left w:w="0" w:type="dxa"/>
            <w:bottom w:w="0" w:type="dxa"/>
            <w:right w:w="0" w:type="dxa"/>
          </w:tblCellMar>
        </w:tblPrEx>
        <w:trPr>
          <w:wBefore w:w="0" w:type="auto"/>
          <w:tblCellSpacing w:w="0" w:type="dxa"/>
        </w:trPr>
        <w:tc>
          <w:tcPr>
            <w:tcW w:w="0" w:type="auto"/>
            <w:noWrap w:val="0"/>
            <w:vAlign w:val="center"/>
          </w:tcPr>
          <w:p w14:paraId="16EEB2EF">
            <w:r>
              <w:rPr>
                <w:rFonts w:hint="eastAsia"/>
              </w:rPr>
              <w:t xml:space="preserve">有效成分及其含量： </w:t>
            </w:r>
          </w:p>
          <w:p w14:paraId="4BE38119">
            <w:r>
              <w:rPr>
                <w:rFonts w:hint="eastAsia"/>
              </w:rPr>
              <w:t xml:space="preserve">    草甘膦30.4%    2甲4氯5.6%    </w:t>
            </w:r>
          </w:p>
        </w:tc>
      </w:tr>
      <w:tr w14:paraId="1084325A">
        <w:tblPrEx>
          <w:tblCellMar>
            <w:top w:w="0" w:type="dxa"/>
            <w:left w:w="0" w:type="dxa"/>
            <w:bottom w:w="0" w:type="dxa"/>
            <w:right w:w="0" w:type="dxa"/>
          </w:tblCellMar>
        </w:tblPrEx>
        <w:trPr>
          <w:wBefore w:w="0" w:type="auto"/>
          <w:tblCellSpacing w:w="0" w:type="dxa"/>
        </w:trPr>
        <w:tc>
          <w:tcPr>
            <w:tcW w:w="0" w:type="auto"/>
            <w:noWrap w:val="0"/>
            <w:vAlign w:val="center"/>
          </w:tcPr>
          <w:p w14:paraId="6771B87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56197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AFF3FC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F7EE86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5BB13F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302A24">
                  <w:r>
                    <w:rPr>
                      <w:rStyle w:val="11"/>
                      <w:rFonts w:hint="eastAsia"/>
                    </w:rPr>
                    <w:t>施用方式</w:t>
                  </w:r>
                </w:p>
              </w:tc>
            </w:tr>
            <w:tr w14:paraId="5295C9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D4FCC99">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0CEB88">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11E993">
                  <w:r>
                    <w:rPr>
                      <w:rStyle w:val="11"/>
                      <w:rFonts w:hint="eastAsia"/>
                    </w:rPr>
                    <w:t>210-310毫升/亩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10FBCE">
                  <w:r>
                    <w:rPr>
                      <w:rStyle w:val="11"/>
                      <w:rFonts w:hint="eastAsia"/>
                    </w:rPr>
                    <w:t>茎叶喷雾</w:t>
                  </w:r>
                </w:p>
              </w:tc>
            </w:tr>
          </w:tbl>
          <w:p w14:paraId="293A6F13">
            <w:pPr>
              <w:rPr>
                <w:rFonts w:ascii="Times New Roman" w:hAnsi="Times New Roman" w:cs="Times New Roman"/>
                <w:sz w:val="20"/>
                <w:szCs w:val="20"/>
              </w:rPr>
            </w:pPr>
          </w:p>
        </w:tc>
      </w:tr>
      <w:tr w14:paraId="2F7FAE44">
        <w:tblPrEx>
          <w:tblCellMar>
            <w:top w:w="0" w:type="dxa"/>
            <w:left w:w="0" w:type="dxa"/>
            <w:bottom w:w="0" w:type="dxa"/>
            <w:right w:w="0" w:type="dxa"/>
          </w:tblCellMar>
        </w:tblPrEx>
        <w:trPr>
          <w:wBefore w:w="0" w:type="auto"/>
          <w:tblCellSpacing w:w="0" w:type="dxa"/>
        </w:trPr>
        <w:tc>
          <w:tcPr>
            <w:tcW w:w="0" w:type="auto"/>
            <w:noWrap w:val="0"/>
            <w:vAlign w:val="center"/>
          </w:tcPr>
          <w:p w14:paraId="0D4F67EE">
            <w:r>
              <w:rPr>
                <w:rStyle w:val="10"/>
                <w:rFonts w:hint="eastAsia"/>
              </w:rPr>
              <w:t>使用技术要求:</w:t>
            </w:r>
            <w:r>
              <w:rPr>
                <w:rFonts w:hint="eastAsia"/>
              </w:rPr>
              <w:br w:type="textWrapping"/>
            </w:r>
            <w:r>
              <w:rPr>
                <w:rStyle w:val="11"/>
                <w:rFonts w:hint="eastAsia"/>
              </w:rPr>
              <w:t>1.本品应于杂草生长旺盛期定向茎叶喷雾。2.大风天或预计1小时内降雨，请勿施药。3.施药时应注意避免药液飘移到临近作物，以免产生药害。</w:t>
            </w:r>
          </w:p>
        </w:tc>
      </w:tr>
      <w:tr w14:paraId="1D677DAE">
        <w:tblPrEx>
          <w:tblCellMar>
            <w:top w:w="0" w:type="dxa"/>
            <w:left w:w="0" w:type="dxa"/>
            <w:bottom w:w="0" w:type="dxa"/>
            <w:right w:w="0" w:type="dxa"/>
          </w:tblCellMar>
        </w:tblPrEx>
        <w:trPr>
          <w:wBefore w:w="0" w:type="auto"/>
          <w:tblCellSpacing w:w="0" w:type="dxa"/>
        </w:trPr>
        <w:tc>
          <w:tcPr>
            <w:tcW w:w="0" w:type="auto"/>
            <w:noWrap w:val="0"/>
            <w:vAlign w:val="center"/>
          </w:tcPr>
          <w:p w14:paraId="34C438AF">
            <w:r>
              <w:rPr>
                <w:rStyle w:val="10"/>
                <w:rFonts w:hint="eastAsia"/>
              </w:rPr>
              <w:t>产品性能:</w:t>
            </w:r>
            <w:r>
              <w:rPr>
                <w:rFonts w:hint="eastAsia"/>
              </w:rPr>
              <w:br w:type="textWrapping"/>
            </w:r>
            <w:r>
              <w:rPr>
                <w:rStyle w:val="11"/>
                <w:rFonts w:hint="eastAsia"/>
              </w:rPr>
              <w:t>本品是灭生性除草剂，能有效地防除非耕地一年生杂草及多年生杂草。</w:t>
            </w:r>
          </w:p>
        </w:tc>
      </w:tr>
      <w:tr w14:paraId="50C996B8">
        <w:tblPrEx>
          <w:tblCellMar>
            <w:top w:w="0" w:type="dxa"/>
            <w:left w:w="0" w:type="dxa"/>
            <w:bottom w:w="0" w:type="dxa"/>
            <w:right w:w="0" w:type="dxa"/>
          </w:tblCellMar>
        </w:tblPrEx>
        <w:trPr>
          <w:wBefore w:w="0" w:type="auto"/>
          <w:tblCellSpacing w:w="0" w:type="dxa"/>
        </w:trPr>
        <w:tc>
          <w:tcPr>
            <w:tcW w:w="0" w:type="auto"/>
            <w:noWrap w:val="0"/>
            <w:vAlign w:val="center"/>
          </w:tcPr>
          <w:p w14:paraId="5D3FA9E0">
            <w:r>
              <w:rPr>
                <w:rStyle w:val="10"/>
                <w:rFonts w:hint="eastAsia"/>
              </w:rPr>
              <w:t>注意事项：</w:t>
            </w:r>
            <w:r>
              <w:rPr>
                <w:rFonts w:hint="eastAsia"/>
              </w:rPr>
              <w:br w:type="textWrapping"/>
            </w:r>
            <w:r>
              <w:rPr>
                <w:rStyle w:val="11"/>
                <w:rFonts w:hint="eastAsia"/>
              </w:rPr>
              <w:t>1.避免飘移药害；禁止在田间道路、田埂、果树行间、休耕地、林场林地等农林业区域使用。</w:t>
            </w:r>
            <w:r>
              <w:rPr>
                <w:rStyle w:val="11"/>
                <w:rFonts w:hint="eastAsia"/>
              </w:rPr>
              <w:t> </w:t>
            </w:r>
            <w:r>
              <w:rPr>
                <w:rStyle w:val="11"/>
                <w:rFonts w:hint="eastAsia"/>
              </w:rPr>
              <w:t>2.本品与土壤接触立即钝化丧失活性，宜作茎叶处理，施药时间宜在杂草初期处于旺盛生长期到开花前，有较大叶面积能接触较多药液为宜。施药后4-6小时内降雨会降低药效，应酌情补喷。3.施药时要穿防护衣、裤、戴口罩、手套和护目镜等，此时不能吸烟、饮食等。施药后要用肥皂洗手、洗脸。要顺风喷雾，以免药液接触皮肤、进入眼睛内引起炎症。4.勿与酸性物质接触，以免降低药效。避免与氧化剂接触。5</w:t>
            </w:r>
            <w:r>
              <w:rPr>
                <w:rStyle w:val="11"/>
                <w:rFonts w:hint="eastAsia"/>
              </w:rPr>
              <w:t> </w:t>
            </w:r>
            <w:r>
              <w:rPr>
                <w:rStyle w:val="11"/>
                <w:rFonts w:hint="eastAsia"/>
              </w:rPr>
              <w:t>.禁止在河塘等水体中清洗施药器具；蚕室及桑园附近禁用。6.废弃物要妥善处理，不能随意丢弃，也不能另作它用。7.施药后5天内，不能放牧、割草、翻耕等。8.避免孕妇及哺乳期的妇女接触本品。</w:t>
            </w:r>
          </w:p>
        </w:tc>
      </w:tr>
      <w:tr w14:paraId="5AD6B974">
        <w:tblPrEx>
          <w:tblCellMar>
            <w:top w:w="0" w:type="dxa"/>
            <w:left w:w="0" w:type="dxa"/>
            <w:bottom w:w="0" w:type="dxa"/>
            <w:right w:w="0" w:type="dxa"/>
          </w:tblCellMar>
        </w:tblPrEx>
        <w:trPr>
          <w:wBefore w:w="0" w:type="auto"/>
          <w:tblCellSpacing w:w="0" w:type="dxa"/>
        </w:trPr>
        <w:tc>
          <w:tcPr>
            <w:tcW w:w="0" w:type="auto"/>
            <w:noWrap w:val="0"/>
            <w:vAlign w:val="center"/>
          </w:tcPr>
          <w:p w14:paraId="12A1DA56">
            <w:r>
              <w:rPr>
                <w:rStyle w:val="10"/>
                <w:rFonts w:hint="eastAsia"/>
              </w:rPr>
              <w:t>中毒急救措施：</w:t>
            </w:r>
            <w:r>
              <w:rPr>
                <w:rFonts w:hint="eastAsia"/>
              </w:rPr>
              <w:br w:type="textWrapping"/>
            </w:r>
            <w:r>
              <w:rPr>
                <w:rStyle w:val="11"/>
                <w:rFonts w:hint="eastAsia"/>
              </w:rPr>
              <w:t>本品对眼睛有刺激性。中毒症状表现为恶心、呕吐、肌肉颤动、瞳孔缩小等症状，气味刺激鼻粘膜。 施用人员在施用过程中避免眼睛接触到本产品。用药时如果感觉不适，立即停止工作，采取急救措施，并携此标签送医就诊。使用中药液溅到眼睛中，立即用清水冲洗至少15分钟，严重时就医。皮肤接触时，用清水及肥皂洗干净。误服或误饮时，若摄入量大，病人十分清醒，可用吐根糖浆诱吐，还可在服用的活性炭泥中加入山梨醇。并马上将病人连同标签送医院急救，请医生对症治疗，注意防止脑水肿和保护肝脏。无特效解毒剂。</w:t>
            </w:r>
          </w:p>
        </w:tc>
      </w:tr>
      <w:tr w14:paraId="455812C4">
        <w:tblPrEx>
          <w:tblCellMar>
            <w:top w:w="0" w:type="dxa"/>
            <w:left w:w="0" w:type="dxa"/>
            <w:bottom w:w="0" w:type="dxa"/>
            <w:right w:w="0" w:type="dxa"/>
          </w:tblCellMar>
        </w:tblPrEx>
        <w:trPr>
          <w:wBefore w:w="0" w:type="auto"/>
          <w:tblCellSpacing w:w="0" w:type="dxa"/>
        </w:trPr>
        <w:tc>
          <w:tcPr>
            <w:tcW w:w="0" w:type="auto"/>
            <w:noWrap w:val="0"/>
            <w:vAlign w:val="center"/>
          </w:tcPr>
          <w:p w14:paraId="7873E41A">
            <w:r>
              <w:rPr>
                <w:rStyle w:val="10"/>
                <w:rFonts w:hint="eastAsia"/>
              </w:rPr>
              <w:t>储存和运输方法：</w:t>
            </w:r>
            <w:r>
              <w:rPr>
                <w:rFonts w:hint="eastAsia"/>
              </w:rPr>
              <w:br w:type="textWrapping"/>
            </w:r>
            <w:r>
              <w:rPr>
                <w:rStyle w:val="11"/>
                <w:rFonts w:hint="eastAsia"/>
              </w:rPr>
              <w:t>本品应存放在阴凉通风处，远离热源或火源，置于儿童触及不到的地方，并加锁。不可与食物、饲料、饮料、粮食等同贮同运。运输时要防潮、防晒，轻拿轻放。</w:t>
            </w:r>
          </w:p>
        </w:tc>
      </w:tr>
      <w:tr w14:paraId="1374ABB8">
        <w:tblPrEx>
          <w:tblCellMar>
            <w:top w:w="0" w:type="dxa"/>
            <w:left w:w="0" w:type="dxa"/>
            <w:bottom w:w="0" w:type="dxa"/>
            <w:right w:w="0" w:type="dxa"/>
          </w:tblCellMar>
        </w:tblPrEx>
        <w:trPr>
          <w:wBefore w:w="0" w:type="auto"/>
          <w:tblCellSpacing w:w="0" w:type="dxa"/>
        </w:trPr>
        <w:tc>
          <w:tcPr>
            <w:tcW w:w="0" w:type="auto"/>
            <w:noWrap w:val="0"/>
            <w:vAlign w:val="center"/>
          </w:tcPr>
          <w:p w14:paraId="6EE8D6FC">
            <w:r>
              <w:rPr>
                <w:rStyle w:val="10"/>
                <w:rFonts w:hint="eastAsia"/>
              </w:rPr>
              <w:t>质量保证期：</w:t>
            </w:r>
            <w:r>
              <w:rPr>
                <w:rStyle w:val="11"/>
                <w:rFonts w:hint="eastAsia"/>
              </w:rPr>
              <w:t>2年</w:t>
            </w:r>
          </w:p>
        </w:tc>
      </w:tr>
      <w:tr w14:paraId="30315FDF">
        <w:tblPrEx>
          <w:tblCellMar>
            <w:top w:w="0" w:type="dxa"/>
            <w:left w:w="0" w:type="dxa"/>
            <w:bottom w:w="0" w:type="dxa"/>
            <w:right w:w="0" w:type="dxa"/>
          </w:tblCellMar>
        </w:tblPrEx>
        <w:trPr>
          <w:wBefore w:w="0" w:type="auto"/>
          <w:tblCellSpacing w:w="0" w:type="dxa"/>
        </w:trPr>
        <w:tc>
          <w:tcPr>
            <w:tcW w:w="0" w:type="auto"/>
            <w:noWrap w:val="0"/>
            <w:vAlign w:val="center"/>
          </w:tcPr>
          <w:p w14:paraId="4244175A">
            <w:r>
              <w:rPr>
                <w:rStyle w:val="10"/>
                <w:rFonts w:hint="eastAsia"/>
              </w:rPr>
              <w:t>备注：</w:t>
            </w:r>
            <w:r>
              <w:rPr>
                <w:rFonts w:hint="eastAsia"/>
              </w:rPr>
              <w:br w:type="textWrapping"/>
            </w:r>
            <w:r>
              <w:rPr>
                <w:rStyle w:val="11"/>
                <w:rFonts w:hint="eastAsia"/>
              </w:rPr>
              <w:t>草甘膦异丙铵盐41%，2甲4氯异丙胺盐7.3%。</w:t>
            </w:r>
          </w:p>
        </w:tc>
      </w:tr>
    </w:tbl>
    <w:p w14:paraId="7FBCBF6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B72B81F">
        <w:tblPrEx>
          <w:tblCellMar>
            <w:top w:w="0" w:type="dxa"/>
            <w:left w:w="0" w:type="dxa"/>
            <w:bottom w:w="0" w:type="dxa"/>
            <w:right w:w="0" w:type="dxa"/>
          </w:tblCellMar>
        </w:tblPrEx>
        <w:trPr>
          <w:wBefore w:w="0" w:type="auto"/>
          <w:tblCellSpacing w:w="0" w:type="dxa"/>
        </w:trPr>
        <w:tc>
          <w:tcPr>
            <w:tcW w:w="0" w:type="auto"/>
            <w:noWrap w:val="0"/>
            <w:vAlign w:val="center"/>
          </w:tcPr>
          <w:p w14:paraId="577AF6D0">
            <w:r>
              <w:rPr>
                <w:rStyle w:val="10"/>
                <w:rFonts w:hint="eastAsia"/>
              </w:rPr>
              <w:t>登记证号：</w:t>
            </w:r>
            <w:r>
              <w:rPr>
                <w:rFonts w:hint="eastAsia"/>
              </w:rPr>
              <w:t>WP20210265</w:t>
            </w:r>
          </w:p>
        </w:tc>
      </w:tr>
      <w:tr w14:paraId="705DAC6C">
        <w:tblPrEx>
          <w:tblCellMar>
            <w:top w:w="0" w:type="dxa"/>
            <w:left w:w="0" w:type="dxa"/>
            <w:bottom w:w="0" w:type="dxa"/>
            <w:right w:w="0" w:type="dxa"/>
          </w:tblCellMar>
        </w:tblPrEx>
        <w:trPr>
          <w:wBefore w:w="0" w:type="auto"/>
          <w:tblCellSpacing w:w="0" w:type="dxa"/>
        </w:trPr>
        <w:tc>
          <w:tcPr>
            <w:tcW w:w="0" w:type="auto"/>
            <w:noWrap w:val="0"/>
            <w:vAlign w:val="center"/>
          </w:tcPr>
          <w:p w14:paraId="50528733">
            <w:r>
              <w:rPr>
                <w:rStyle w:val="10"/>
                <w:rFonts w:hint="eastAsia"/>
              </w:rPr>
              <w:t>登记证持有人：</w:t>
            </w:r>
            <w:r>
              <w:rPr>
                <w:rFonts w:hint="eastAsia"/>
              </w:rPr>
              <w:t>广东茂名绿银农化有限公司</w:t>
            </w:r>
          </w:p>
        </w:tc>
      </w:tr>
      <w:tr w14:paraId="1C60E4F7">
        <w:tblPrEx>
          <w:tblCellMar>
            <w:top w:w="0" w:type="dxa"/>
            <w:left w:w="0" w:type="dxa"/>
            <w:bottom w:w="0" w:type="dxa"/>
            <w:right w:w="0" w:type="dxa"/>
          </w:tblCellMar>
        </w:tblPrEx>
        <w:trPr>
          <w:wBefore w:w="0" w:type="auto"/>
          <w:tblCellSpacing w:w="0" w:type="dxa"/>
        </w:trPr>
        <w:tc>
          <w:tcPr>
            <w:tcW w:w="0" w:type="auto"/>
            <w:noWrap w:val="0"/>
            <w:vAlign w:val="center"/>
          </w:tcPr>
          <w:p w14:paraId="5F223417">
            <w:r>
              <w:rPr>
                <w:rStyle w:val="10"/>
                <w:rFonts w:hint="eastAsia"/>
              </w:rPr>
              <w:t>农药名称：</w:t>
            </w:r>
            <w:r>
              <w:rPr>
                <w:rFonts w:hint="eastAsia"/>
              </w:rPr>
              <w:t>吡丙·呋虫胺</w:t>
            </w:r>
          </w:p>
        </w:tc>
      </w:tr>
      <w:tr w14:paraId="1E3FC08E">
        <w:tblPrEx>
          <w:tblCellMar>
            <w:top w:w="0" w:type="dxa"/>
            <w:left w:w="0" w:type="dxa"/>
            <w:bottom w:w="0" w:type="dxa"/>
            <w:right w:w="0" w:type="dxa"/>
          </w:tblCellMar>
        </w:tblPrEx>
        <w:trPr>
          <w:wBefore w:w="0" w:type="auto"/>
          <w:tblCellSpacing w:w="0" w:type="dxa"/>
        </w:trPr>
        <w:tc>
          <w:tcPr>
            <w:tcW w:w="0" w:type="auto"/>
            <w:noWrap w:val="0"/>
            <w:vAlign w:val="center"/>
          </w:tcPr>
          <w:p w14:paraId="2E71ED17">
            <w:r>
              <w:rPr>
                <w:rStyle w:val="10"/>
                <w:rFonts w:hint="eastAsia"/>
              </w:rPr>
              <w:t>剂型：</w:t>
            </w:r>
            <w:r>
              <w:rPr>
                <w:rFonts w:hint="eastAsia"/>
              </w:rPr>
              <w:t>可溶液剂</w:t>
            </w:r>
          </w:p>
        </w:tc>
      </w:tr>
      <w:tr w14:paraId="4C78ECCA">
        <w:tblPrEx>
          <w:tblCellMar>
            <w:top w:w="0" w:type="dxa"/>
            <w:left w:w="0" w:type="dxa"/>
            <w:bottom w:w="0" w:type="dxa"/>
            <w:right w:w="0" w:type="dxa"/>
          </w:tblCellMar>
        </w:tblPrEx>
        <w:trPr>
          <w:wBefore w:w="0" w:type="auto"/>
          <w:tblCellSpacing w:w="0" w:type="dxa"/>
        </w:trPr>
        <w:tc>
          <w:tcPr>
            <w:tcW w:w="0" w:type="auto"/>
            <w:noWrap w:val="0"/>
            <w:vAlign w:val="center"/>
          </w:tcPr>
          <w:p w14:paraId="28877B71">
            <w:r>
              <w:rPr>
                <w:rStyle w:val="10"/>
                <w:rFonts w:hint="eastAsia"/>
              </w:rPr>
              <w:t>毒性及其标识：</w:t>
            </w:r>
            <w:r>
              <w:rPr>
                <w:rFonts w:hint="eastAsia"/>
              </w:rPr>
              <w:t xml:space="preserve"> 微毒 </w:t>
            </w:r>
          </w:p>
        </w:tc>
      </w:tr>
      <w:tr w14:paraId="10574669">
        <w:tblPrEx>
          <w:tblCellMar>
            <w:top w:w="0" w:type="dxa"/>
            <w:left w:w="0" w:type="dxa"/>
            <w:bottom w:w="0" w:type="dxa"/>
            <w:right w:w="0" w:type="dxa"/>
          </w:tblCellMar>
        </w:tblPrEx>
        <w:trPr>
          <w:wBefore w:w="0" w:type="auto"/>
          <w:tblCellSpacing w:w="0" w:type="dxa"/>
        </w:trPr>
        <w:tc>
          <w:tcPr>
            <w:tcW w:w="0" w:type="auto"/>
            <w:noWrap w:val="0"/>
            <w:vAlign w:val="center"/>
          </w:tcPr>
          <w:p w14:paraId="6EF6DE6B">
            <w:r>
              <w:rPr>
                <w:rStyle w:val="10"/>
                <w:rFonts w:hint="eastAsia"/>
              </w:rPr>
              <w:t>总有效成分含量：</w:t>
            </w:r>
            <w:r>
              <w:rPr>
                <w:rFonts w:hint="eastAsia"/>
              </w:rPr>
              <w:t>21%</w:t>
            </w:r>
          </w:p>
        </w:tc>
      </w:tr>
      <w:tr w14:paraId="455089B4">
        <w:tblPrEx>
          <w:tblCellMar>
            <w:top w:w="0" w:type="dxa"/>
            <w:left w:w="0" w:type="dxa"/>
            <w:bottom w:w="0" w:type="dxa"/>
            <w:right w:w="0" w:type="dxa"/>
          </w:tblCellMar>
        </w:tblPrEx>
        <w:trPr>
          <w:wBefore w:w="0" w:type="auto"/>
          <w:tblCellSpacing w:w="0" w:type="dxa"/>
        </w:trPr>
        <w:tc>
          <w:tcPr>
            <w:tcW w:w="0" w:type="auto"/>
            <w:noWrap w:val="0"/>
            <w:vAlign w:val="center"/>
          </w:tcPr>
          <w:p w14:paraId="36114EC3">
            <w:r>
              <w:rPr>
                <w:rFonts w:hint="eastAsia"/>
              </w:rPr>
              <w:t xml:space="preserve">有效成分及其含量： </w:t>
            </w:r>
          </w:p>
          <w:p w14:paraId="1B15559C">
            <w:r>
              <w:rPr>
                <w:rFonts w:hint="eastAsia"/>
              </w:rPr>
              <w:t xml:space="preserve">    吡丙醚7%    呋虫胺14%    </w:t>
            </w:r>
          </w:p>
        </w:tc>
      </w:tr>
      <w:tr w14:paraId="100E05A6">
        <w:tblPrEx>
          <w:tblCellMar>
            <w:top w:w="0" w:type="dxa"/>
            <w:left w:w="0" w:type="dxa"/>
            <w:bottom w:w="0" w:type="dxa"/>
            <w:right w:w="0" w:type="dxa"/>
          </w:tblCellMar>
        </w:tblPrEx>
        <w:trPr>
          <w:wBefore w:w="0" w:type="auto"/>
          <w:tblCellSpacing w:w="0" w:type="dxa"/>
        </w:trPr>
        <w:tc>
          <w:tcPr>
            <w:tcW w:w="0" w:type="auto"/>
            <w:noWrap w:val="0"/>
            <w:vAlign w:val="center"/>
          </w:tcPr>
          <w:p w14:paraId="397AFA4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A2E6B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66F9FD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F7EBBC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82DEA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DF52CA9">
                  <w:r>
                    <w:rPr>
                      <w:rStyle w:val="11"/>
                      <w:rFonts w:hint="eastAsia"/>
                    </w:rPr>
                    <w:t>施用方式</w:t>
                  </w:r>
                </w:p>
              </w:tc>
            </w:tr>
            <w:tr w14:paraId="49FDA0B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21CFA7">
                  <w:r>
                    <w:rPr>
                      <w:rStyle w:val="11"/>
                      <w:rFonts w:hint="eastAsia"/>
                    </w:rPr>
                    <w:t>室外（孳生地）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3F9326">
                  <w:r>
                    <w:rPr>
                      <w:rStyle w:val="11"/>
                      <w:rFonts w:hint="eastAsia"/>
                    </w:rPr>
                    <w:t>蝇(幼虫)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EF95CD">
                  <w:r>
                    <w:rPr>
                      <w:rStyle w:val="11"/>
                      <w:rFonts w:hint="eastAsia"/>
                    </w:rPr>
                    <w:t>1毫升/平方米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388B6A">
                  <w:r>
                    <w:rPr>
                      <w:rStyle w:val="11"/>
                      <w:rFonts w:hint="eastAsia"/>
                    </w:rPr>
                    <w:t>喷洒</w:t>
                  </w:r>
                </w:p>
              </w:tc>
            </w:tr>
          </w:tbl>
          <w:p w14:paraId="16DB5CAA">
            <w:pPr>
              <w:rPr>
                <w:rFonts w:ascii="Times New Roman" w:hAnsi="Times New Roman" w:cs="Times New Roman"/>
                <w:sz w:val="20"/>
                <w:szCs w:val="20"/>
              </w:rPr>
            </w:pPr>
          </w:p>
        </w:tc>
      </w:tr>
      <w:tr w14:paraId="0A85D580">
        <w:tblPrEx>
          <w:tblCellMar>
            <w:top w:w="0" w:type="dxa"/>
            <w:left w:w="0" w:type="dxa"/>
            <w:bottom w:w="0" w:type="dxa"/>
            <w:right w:w="0" w:type="dxa"/>
          </w:tblCellMar>
        </w:tblPrEx>
        <w:trPr>
          <w:wBefore w:w="0" w:type="auto"/>
          <w:tblCellSpacing w:w="0" w:type="dxa"/>
        </w:trPr>
        <w:tc>
          <w:tcPr>
            <w:tcW w:w="0" w:type="auto"/>
            <w:noWrap w:val="0"/>
            <w:vAlign w:val="center"/>
          </w:tcPr>
          <w:p w14:paraId="1C1B71A5">
            <w:r>
              <w:rPr>
                <w:rStyle w:val="10"/>
                <w:rFonts w:hint="eastAsia"/>
              </w:rPr>
              <w:t>使用技术要求:</w:t>
            </w:r>
            <w:r>
              <w:rPr>
                <w:rFonts w:hint="eastAsia"/>
              </w:rPr>
              <w:br w:type="textWrapping"/>
            </w:r>
            <w:r>
              <w:rPr>
                <w:rStyle w:val="11"/>
                <w:rFonts w:hint="eastAsia"/>
              </w:rPr>
              <w:t>本产品仅用于室外，施药时，将制剂用一定量的清水稀释后，在蝇（幼虫）孳生地直接喷洒。</w:t>
            </w:r>
          </w:p>
        </w:tc>
      </w:tr>
      <w:tr w14:paraId="5B74EA92">
        <w:tblPrEx>
          <w:tblCellMar>
            <w:top w:w="0" w:type="dxa"/>
            <w:left w:w="0" w:type="dxa"/>
            <w:bottom w:w="0" w:type="dxa"/>
            <w:right w:w="0" w:type="dxa"/>
          </w:tblCellMar>
        </w:tblPrEx>
        <w:trPr>
          <w:wBefore w:w="0" w:type="auto"/>
          <w:tblCellSpacing w:w="0" w:type="dxa"/>
        </w:trPr>
        <w:tc>
          <w:tcPr>
            <w:tcW w:w="0" w:type="auto"/>
            <w:noWrap w:val="0"/>
            <w:vAlign w:val="center"/>
          </w:tcPr>
          <w:p w14:paraId="4EC0AEA6">
            <w:r>
              <w:rPr>
                <w:rStyle w:val="10"/>
                <w:rFonts w:hint="eastAsia"/>
              </w:rPr>
              <w:t>产品性能:</w:t>
            </w:r>
            <w:r>
              <w:rPr>
                <w:rFonts w:hint="eastAsia"/>
              </w:rPr>
              <w:br w:type="textWrapping"/>
            </w:r>
            <w:r>
              <w:rPr>
                <w:rStyle w:val="11"/>
                <w:rFonts w:hint="eastAsia"/>
              </w:rPr>
              <w:t>本产品为吡丙醚与呋虫胺复配制剂，两者复配能有效防治室外蝇（幼虫），适用于蝇（幼虫）孳生地。</w:t>
            </w:r>
          </w:p>
        </w:tc>
      </w:tr>
      <w:tr w14:paraId="619D5EED">
        <w:tblPrEx>
          <w:tblCellMar>
            <w:top w:w="0" w:type="dxa"/>
            <w:left w:w="0" w:type="dxa"/>
            <w:bottom w:w="0" w:type="dxa"/>
            <w:right w:w="0" w:type="dxa"/>
          </w:tblCellMar>
        </w:tblPrEx>
        <w:trPr>
          <w:wBefore w:w="0" w:type="auto"/>
          <w:tblCellSpacing w:w="0" w:type="dxa"/>
        </w:trPr>
        <w:tc>
          <w:tcPr>
            <w:tcW w:w="0" w:type="auto"/>
            <w:noWrap w:val="0"/>
            <w:vAlign w:val="center"/>
          </w:tcPr>
          <w:p w14:paraId="513FB316">
            <w:r>
              <w:rPr>
                <w:rStyle w:val="10"/>
                <w:rFonts w:hint="eastAsia"/>
              </w:rPr>
              <w:t>注意事项：</w:t>
            </w:r>
            <w:r>
              <w:rPr>
                <w:rFonts w:hint="eastAsia"/>
              </w:rPr>
              <w:br w:type="textWrapping"/>
            </w:r>
            <w:r>
              <w:rPr>
                <w:rStyle w:val="11"/>
                <w:rFonts w:hint="eastAsia"/>
              </w:rPr>
              <w:t>1、严格按照规定用药量和方法使用。2、养蜂场所和周围开花植物花期禁用，使用时应密切关注对附近蜂群的影响；蚕室及桑园附近禁用。 3、远离水产养殖区、河塘等水体施药，禁止在河塘等水体中清洗施药器具，避免污染水源。4、施用时应穿戴长衣、长裤、帽子、口罩、手套等安全防护措施；施药中禁止饮食、吸烟、饮水等；施药后应用肥皂和清水彻底清洗暴露在外的皮肤。5、用药后包装物及用过的容器应妥善处理，不可做他用，也不可随意丢弃。6、孕妇、哺乳期的妇女禁止接触本产品。7、产品属于易燃液体。</w:t>
            </w:r>
          </w:p>
        </w:tc>
      </w:tr>
      <w:tr w14:paraId="7D265D3B">
        <w:tblPrEx>
          <w:tblCellMar>
            <w:top w:w="0" w:type="dxa"/>
            <w:left w:w="0" w:type="dxa"/>
            <w:bottom w:w="0" w:type="dxa"/>
            <w:right w:w="0" w:type="dxa"/>
          </w:tblCellMar>
        </w:tblPrEx>
        <w:trPr>
          <w:wBefore w:w="0" w:type="auto"/>
          <w:tblCellSpacing w:w="0" w:type="dxa"/>
        </w:trPr>
        <w:tc>
          <w:tcPr>
            <w:tcW w:w="0" w:type="auto"/>
            <w:noWrap w:val="0"/>
            <w:vAlign w:val="center"/>
          </w:tcPr>
          <w:p w14:paraId="42A69341">
            <w:r>
              <w:rPr>
                <w:rStyle w:val="10"/>
                <w:rFonts w:hint="eastAsia"/>
              </w:rPr>
              <w:t>中毒急救措施：</w:t>
            </w:r>
            <w:r>
              <w:rPr>
                <w:rFonts w:hint="eastAsia"/>
              </w:rPr>
              <w:br w:type="textWrapping"/>
            </w:r>
            <w:r>
              <w:rPr>
                <w:rStyle w:val="11"/>
                <w:rFonts w:hint="eastAsia"/>
              </w:rPr>
              <w:t>对眼睛有刺激性，使用时避免接触眼睛。 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对症治疗。</w:t>
            </w:r>
          </w:p>
        </w:tc>
      </w:tr>
      <w:tr w14:paraId="518671E1">
        <w:tblPrEx>
          <w:tblCellMar>
            <w:top w:w="0" w:type="dxa"/>
            <w:left w:w="0" w:type="dxa"/>
            <w:bottom w:w="0" w:type="dxa"/>
            <w:right w:w="0" w:type="dxa"/>
          </w:tblCellMar>
        </w:tblPrEx>
        <w:trPr>
          <w:wBefore w:w="0" w:type="auto"/>
          <w:tblCellSpacing w:w="0" w:type="dxa"/>
        </w:trPr>
        <w:tc>
          <w:tcPr>
            <w:tcW w:w="0" w:type="auto"/>
            <w:noWrap w:val="0"/>
            <w:vAlign w:val="center"/>
          </w:tcPr>
          <w:p w14:paraId="3566A7B2">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本品应储存在干燥、阴凉、通风、防雨处，远离火源或热源。置于儿童接触不到的地方，并加锁保存。不能与食品、饮料、粮食、饲料等同储同运。在装卸、运输时应轻拿轻放。</w:t>
            </w:r>
          </w:p>
        </w:tc>
      </w:tr>
      <w:tr w14:paraId="1FB59800">
        <w:tblPrEx>
          <w:tblCellMar>
            <w:top w:w="0" w:type="dxa"/>
            <w:left w:w="0" w:type="dxa"/>
            <w:bottom w:w="0" w:type="dxa"/>
            <w:right w:w="0" w:type="dxa"/>
          </w:tblCellMar>
        </w:tblPrEx>
        <w:trPr>
          <w:wBefore w:w="0" w:type="auto"/>
          <w:tblCellSpacing w:w="0" w:type="dxa"/>
        </w:trPr>
        <w:tc>
          <w:tcPr>
            <w:tcW w:w="0" w:type="auto"/>
            <w:noWrap w:val="0"/>
            <w:vAlign w:val="center"/>
          </w:tcPr>
          <w:p w14:paraId="5D593B66">
            <w:r>
              <w:rPr>
                <w:rStyle w:val="10"/>
                <w:rFonts w:hint="eastAsia"/>
              </w:rPr>
              <w:t>质量保证期：</w:t>
            </w:r>
            <w:r>
              <w:rPr>
                <w:rStyle w:val="11"/>
                <w:rFonts w:hint="eastAsia"/>
              </w:rPr>
              <w:t>2年</w:t>
            </w:r>
          </w:p>
        </w:tc>
      </w:tr>
      <w:tr w14:paraId="2AB24E22">
        <w:tblPrEx>
          <w:tblCellMar>
            <w:top w:w="0" w:type="dxa"/>
            <w:left w:w="0" w:type="dxa"/>
            <w:bottom w:w="0" w:type="dxa"/>
            <w:right w:w="0" w:type="dxa"/>
          </w:tblCellMar>
        </w:tblPrEx>
        <w:trPr>
          <w:wBefore w:w="0" w:type="auto"/>
          <w:tblCellSpacing w:w="0" w:type="dxa"/>
        </w:trPr>
        <w:tc>
          <w:tcPr>
            <w:tcW w:w="0" w:type="auto"/>
            <w:noWrap w:val="0"/>
            <w:vAlign w:val="center"/>
          </w:tcPr>
          <w:p w14:paraId="764EC67A">
            <w:r>
              <w:rPr>
                <w:rStyle w:val="10"/>
                <w:rFonts w:hint="eastAsia"/>
              </w:rPr>
              <w:t>备注：</w:t>
            </w:r>
          </w:p>
        </w:tc>
      </w:tr>
    </w:tbl>
    <w:p w14:paraId="73E5F8E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EA2B08A">
        <w:tblPrEx>
          <w:tblCellMar>
            <w:top w:w="0" w:type="dxa"/>
            <w:left w:w="0" w:type="dxa"/>
            <w:bottom w:w="0" w:type="dxa"/>
            <w:right w:w="0" w:type="dxa"/>
          </w:tblCellMar>
        </w:tblPrEx>
        <w:trPr>
          <w:wBefore w:w="0" w:type="auto"/>
          <w:tblCellSpacing w:w="0" w:type="dxa"/>
        </w:trPr>
        <w:tc>
          <w:tcPr>
            <w:tcW w:w="0" w:type="auto"/>
            <w:noWrap w:val="0"/>
            <w:vAlign w:val="center"/>
          </w:tcPr>
          <w:p w14:paraId="42627E43">
            <w:r>
              <w:rPr>
                <w:rStyle w:val="10"/>
                <w:rFonts w:hint="eastAsia"/>
              </w:rPr>
              <w:t>登记证号：</w:t>
            </w:r>
            <w:r>
              <w:rPr>
                <w:rFonts w:hint="eastAsia"/>
              </w:rPr>
              <w:t>PD20211719</w:t>
            </w:r>
          </w:p>
        </w:tc>
      </w:tr>
      <w:tr w14:paraId="24987121">
        <w:tblPrEx>
          <w:tblCellMar>
            <w:top w:w="0" w:type="dxa"/>
            <w:left w:w="0" w:type="dxa"/>
            <w:bottom w:w="0" w:type="dxa"/>
            <w:right w:w="0" w:type="dxa"/>
          </w:tblCellMar>
        </w:tblPrEx>
        <w:trPr>
          <w:wBefore w:w="0" w:type="auto"/>
          <w:tblCellSpacing w:w="0" w:type="dxa"/>
        </w:trPr>
        <w:tc>
          <w:tcPr>
            <w:tcW w:w="0" w:type="auto"/>
            <w:noWrap w:val="0"/>
            <w:vAlign w:val="center"/>
          </w:tcPr>
          <w:p w14:paraId="1DBC2D4D">
            <w:r>
              <w:rPr>
                <w:rStyle w:val="10"/>
                <w:rFonts w:hint="eastAsia"/>
              </w:rPr>
              <w:t>登记证持有人：</w:t>
            </w:r>
            <w:r>
              <w:rPr>
                <w:rFonts w:hint="eastAsia"/>
              </w:rPr>
              <w:t>广东茂名绿银农化有限公司</w:t>
            </w:r>
          </w:p>
        </w:tc>
      </w:tr>
      <w:tr w14:paraId="656768BC">
        <w:tblPrEx>
          <w:tblCellMar>
            <w:top w:w="0" w:type="dxa"/>
            <w:left w:w="0" w:type="dxa"/>
            <w:bottom w:w="0" w:type="dxa"/>
            <w:right w:w="0" w:type="dxa"/>
          </w:tblCellMar>
        </w:tblPrEx>
        <w:trPr>
          <w:wBefore w:w="0" w:type="auto"/>
          <w:tblCellSpacing w:w="0" w:type="dxa"/>
        </w:trPr>
        <w:tc>
          <w:tcPr>
            <w:tcW w:w="0" w:type="auto"/>
            <w:noWrap w:val="0"/>
            <w:vAlign w:val="center"/>
          </w:tcPr>
          <w:p w14:paraId="6CA9198C">
            <w:r>
              <w:rPr>
                <w:rStyle w:val="10"/>
                <w:rFonts w:hint="eastAsia"/>
              </w:rPr>
              <w:t>农药名称：</w:t>
            </w:r>
            <w:r>
              <w:rPr>
                <w:rFonts w:hint="eastAsia"/>
              </w:rPr>
              <w:t>联苯·噻虫胺</w:t>
            </w:r>
          </w:p>
        </w:tc>
      </w:tr>
      <w:tr w14:paraId="5222B7A5">
        <w:tblPrEx>
          <w:tblCellMar>
            <w:top w:w="0" w:type="dxa"/>
            <w:left w:w="0" w:type="dxa"/>
            <w:bottom w:w="0" w:type="dxa"/>
            <w:right w:w="0" w:type="dxa"/>
          </w:tblCellMar>
        </w:tblPrEx>
        <w:trPr>
          <w:wBefore w:w="0" w:type="auto"/>
          <w:tblCellSpacing w:w="0" w:type="dxa"/>
        </w:trPr>
        <w:tc>
          <w:tcPr>
            <w:tcW w:w="0" w:type="auto"/>
            <w:noWrap w:val="0"/>
            <w:vAlign w:val="center"/>
          </w:tcPr>
          <w:p w14:paraId="15A55293">
            <w:r>
              <w:rPr>
                <w:rStyle w:val="10"/>
                <w:rFonts w:hint="eastAsia"/>
              </w:rPr>
              <w:t>剂型：</w:t>
            </w:r>
            <w:r>
              <w:rPr>
                <w:rFonts w:hint="eastAsia"/>
              </w:rPr>
              <w:t>颗粒剂</w:t>
            </w:r>
          </w:p>
        </w:tc>
      </w:tr>
      <w:tr w14:paraId="425E52B3">
        <w:tblPrEx>
          <w:tblCellMar>
            <w:top w:w="0" w:type="dxa"/>
            <w:left w:w="0" w:type="dxa"/>
            <w:bottom w:w="0" w:type="dxa"/>
            <w:right w:w="0" w:type="dxa"/>
          </w:tblCellMar>
        </w:tblPrEx>
        <w:trPr>
          <w:wBefore w:w="0" w:type="auto"/>
          <w:tblCellSpacing w:w="0" w:type="dxa"/>
        </w:trPr>
        <w:tc>
          <w:tcPr>
            <w:tcW w:w="0" w:type="auto"/>
            <w:noWrap w:val="0"/>
            <w:vAlign w:val="center"/>
          </w:tcPr>
          <w:p w14:paraId="407657E9">
            <w:r>
              <w:rPr>
                <w:rStyle w:val="10"/>
                <w:rFonts w:hint="eastAsia"/>
              </w:rPr>
              <w:t>毒性及其标识：</w:t>
            </w:r>
            <w:r>
              <w:rPr>
                <w:rFonts w:hint="eastAsia"/>
              </w:rPr>
              <w:t xml:space="preserve"> </w:t>
            </w:r>
            <w:r>
              <w:rPr>
                <w:lang/>
              </w:rPr>
              <w:drawing>
                <wp:inline distT="0" distB="0" distL="114300" distR="114300">
                  <wp:extent cx="476250" cy="323850"/>
                  <wp:effectExtent l="0" t="0" r="0" b="0"/>
                  <wp:docPr id="177" name="图片 17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DDCF3D7">
        <w:tblPrEx>
          <w:tblCellMar>
            <w:top w:w="0" w:type="dxa"/>
            <w:left w:w="0" w:type="dxa"/>
            <w:bottom w:w="0" w:type="dxa"/>
            <w:right w:w="0" w:type="dxa"/>
          </w:tblCellMar>
        </w:tblPrEx>
        <w:trPr>
          <w:wBefore w:w="0" w:type="auto"/>
          <w:tblCellSpacing w:w="0" w:type="dxa"/>
        </w:trPr>
        <w:tc>
          <w:tcPr>
            <w:tcW w:w="0" w:type="auto"/>
            <w:noWrap w:val="0"/>
            <w:vAlign w:val="center"/>
          </w:tcPr>
          <w:p w14:paraId="0EB59F25">
            <w:r>
              <w:rPr>
                <w:rStyle w:val="10"/>
                <w:rFonts w:hint="eastAsia"/>
              </w:rPr>
              <w:t>总有效成分含量：</w:t>
            </w:r>
            <w:r>
              <w:rPr>
                <w:rFonts w:hint="eastAsia"/>
              </w:rPr>
              <w:t>2%</w:t>
            </w:r>
          </w:p>
        </w:tc>
      </w:tr>
      <w:tr w14:paraId="4996954B">
        <w:tblPrEx>
          <w:tblCellMar>
            <w:top w:w="0" w:type="dxa"/>
            <w:left w:w="0" w:type="dxa"/>
            <w:bottom w:w="0" w:type="dxa"/>
            <w:right w:w="0" w:type="dxa"/>
          </w:tblCellMar>
        </w:tblPrEx>
        <w:trPr>
          <w:wBefore w:w="0" w:type="auto"/>
          <w:tblCellSpacing w:w="0" w:type="dxa"/>
        </w:trPr>
        <w:tc>
          <w:tcPr>
            <w:tcW w:w="0" w:type="auto"/>
            <w:noWrap w:val="0"/>
            <w:vAlign w:val="center"/>
          </w:tcPr>
          <w:p w14:paraId="6C04DF75">
            <w:r>
              <w:rPr>
                <w:rFonts w:hint="eastAsia"/>
              </w:rPr>
              <w:t xml:space="preserve">有效成分及其含量： </w:t>
            </w:r>
          </w:p>
          <w:p w14:paraId="10276EA7">
            <w:r>
              <w:rPr>
                <w:rFonts w:hint="eastAsia"/>
              </w:rPr>
              <w:t xml:space="preserve">    联苯菊酯1%    噻虫胺1%    </w:t>
            </w:r>
          </w:p>
        </w:tc>
      </w:tr>
      <w:tr w14:paraId="0D02DB98">
        <w:tblPrEx>
          <w:tblCellMar>
            <w:top w:w="0" w:type="dxa"/>
            <w:left w:w="0" w:type="dxa"/>
            <w:bottom w:w="0" w:type="dxa"/>
            <w:right w:w="0" w:type="dxa"/>
          </w:tblCellMar>
        </w:tblPrEx>
        <w:trPr>
          <w:wBefore w:w="0" w:type="auto"/>
          <w:tblCellSpacing w:w="0" w:type="dxa"/>
        </w:trPr>
        <w:tc>
          <w:tcPr>
            <w:tcW w:w="0" w:type="auto"/>
            <w:noWrap w:val="0"/>
            <w:vAlign w:val="center"/>
          </w:tcPr>
          <w:p w14:paraId="24EBC5A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95F2A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2CABBF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280903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8B4C63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236F4A9">
                  <w:r>
                    <w:rPr>
                      <w:rStyle w:val="11"/>
                      <w:rFonts w:hint="eastAsia"/>
                    </w:rPr>
                    <w:t>施用方式</w:t>
                  </w:r>
                </w:p>
              </w:tc>
            </w:tr>
            <w:tr w14:paraId="06698E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42E115D">
                  <w:r>
                    <w:rPr>
                      <w:rStyle w:val="11"/>
                      <w:rFonts w:hint="eastAsia"/>
                    </w:rPr>
                    <w:t>韭菜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93ECE6">
                  <w:r>
                    <w:rPr>
                      <w:rStyle w:val="11"/>
                      <w:rFonts w:hint="eastAsia"/>
                    </w:rPr>
                    <w:t>韭蛆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302267">
                  <w:r>
                    <w:rPr>
                      <w:rStyle w:val="11"/>
                      <w:rFonts w:hint="eastAsia"/>
                    </w:rPr>
                    <w:t>1000-2000克/亩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8E0719">
                  <w:r>
                    <w:rPr>
                      <w:rStyle w:val="11"/>
                      <w:rFonts w:hint="eastAsia"/>
                    </w:rPr>
                    <w:t>撒施</w:t>
                  </w:r>
                </w:p>
              </w:tc>
            </w:tr>
          </w:tbl>
          <w:p w14:paraId="4FDA92B0">
            <w:pPr>
              <w:rPr>
                <w:rFonts w:ascii="Times New Roman" w:hAnsi="Times New Roman" w:cs="Times New Roman"/>
                <w:sz w:val="20"/>
                <w:szCs w:val="20"/>
              </w:rPr>
            </w:pPr>
          </w:p>
        </w:tc>
      </w:tr>
      <w:tr w14:paraId="7B9657DA">
        <w:tblPrEx>
          <w:tblCellMar>
            <w:top w:w="0" w:type="dxa"/>
            <w:left w:w="0" w:type="dxa"/>
            <w:bottom w:w="0" w:type="dxa"/>
            <w:right w:w="0" w:type="dxa"/>
          </w:tblCellMar>
        </w:tblPrEx>
        <w:trPr>
          <w:wBefore w:w="0" w:type="auto"/>
          <w:tblCellSpacing w:w="0" w:type="dxa"/>
        </w:trPr>
        <w:tc>
          <w:tcPr>
            <w:tcW w:w="0" w:type="auto"/>
            <w:noWrap w:val="0"/>
            <w:vAlign w:val="center"/>
          </w:tcPr>
          <w:p w14:paraId="1860FEAC">
            <w:r>
              <w:rPr>
                <w:rStyle w:val="10"/>
                <w:rFonts w:hint="eastAsia"/>
              </w:rPr>
              <w:t>使用技术要求:</w:t>
            </w:r>
            <w:r>
              <w:rPr>
                <w:rFonts w:hint="eastAsia"/>
              </w:rPr>
              <w:br w:type="textWrapping"/>
            </w:r>
            <w:r>
              <w:rPr>
                <w:rStyle w:val="11"/>
                <w:rFonts w:hint="eastAsia"/>
              </w:rPr>
              <w:t>1.本品于韭菜韭蛆发生初期撒施施药1次。2. 在大风天或预计1小时内降雨，请勿施药。3. 本品在韭菜上每季作物最多施药1次，安全间隔期为15天。</w:t>
            </w:r>
          </w:p>
        </w:tc>
      </w:tr>
      <w:tr w14:paraId="0C61310B">
        <w:tblPrEx>
          <w:tblCellMar>
            <w:top w:w="0" w:type="dxa"/>
            <w:left w:w="0" w:type="dxa"/>
            <w:bottom w:w="0" w:type="dxa"/>
            <w:right w:w="0" w:type="dxa"/>
          </w:tblCellMar>
        </w:tblPrEx>
        <w:trPr>
          <w:wBefore w:w="0" w:type="auto"/>
          <w:tblCellSpacing w:w="0" w:type="dxa"/>
        </w:trPr>
        <w:tc>
          <w:tcPr>
            <w:tcW w:w="0" w:type="auto"/>
            <w:noWrap w:val="0"/>
            <w:vAlign w:val="center"/>
          </w:tcPr>
          <w:p w14:paraId="3FCC92DD">
            <w:r>
              <w:rPr>
                <w:rStyle w:val="10"/>
                <w:rFonts w:hint="eastAsia"/>
              </w:rPr>
              <w:t>产品性能:</w:t>
            </w:r>
            <w:r>
              <w:rPr>
                <w:rFonts w:hint="eastAsia"/>
              </w:rPr>
              <w:br w:type="textWrapping"/>
            </w:r>
            <w:r>
              <w:rPr>
                <w:rStyle w:val="11"/>
                <w:rFonts w:hint="eastAsia"/>
              </w:rPr>
              <w:t>本品是联苯菊酯和噻虫胺二元复配的杀虫剂。联苯菊酯是一种高效合成拟除虫菊酯类杀虫、杀螨剂，具有触杀、胃毒、击倒速度快、杀虫谱广等作用。噻虫胺是具噻唑环的第二代新烟碱类杀虫剂，二者复配对韭菜韭蛆防治效果较好。</w:t>
            </w:r>
          </w:p>
        </w:tc>
      </w:tr>
      <w:tr w14:paraId="2559B3E4">
        <w:tblPrEx>
          <w:tblCellMar>
            <w:top w:w="0" w:type="dxa"/>
            <w:left w:w="0" w:type="dxa"/>
            <w:bottom w:w="0" w:type="dxa"/>
            <w:right w:w="0" w:type="dxa"/>
          </w:tblCellMar>
        </w:tblPrEx>
        <w:trPr>
          <w:wBefore w:w="0" w:type="auto"/>
          <w:tblCellSpacing w:w="0" w:type="dxa"/>
        </w:trPr>
        <w:tc>
          <w:tcPr>
            <w:tcW w:w="0" w:type="auto"/>
            <w:noWrap w:val="0"/>
            <w:vAlign w:val="center"/>
          </w:tcPr>
          <w:p w14:paraId="0F1AC9E0">
            <w:r>
              <w:rPr>
                <w:rStyle w:val="10"/>
                <w:rFonts w:hint="eastAsia"/>
              </w:rPr>
              <w:t>注意事项：</w:t>
            </w:r>
            <w:r>
              <w:rPr>
                <w:rFonts w:hint="eastAsia"/>
              </w:rPr>
              <w:br w:type="textWrapping"/>
            </w:r>
            <w:r>
              <w:rPr>
                <w:rStyle w:val="11"/>
                <w:rFonts w:hint="eastAsia"/>
              </w:rPr>
              <w:t>1、建议与其他作用机制不同的杀虫剂轮换使用，以延缓抗性产生。2、本品不可与碱性农药等物质混合使用。3、操作人员需建议使用时穿戴长衣长裤、帽子、口罩、手套、鞋等，严禁抽烟或饮食；在施药过程中，避免药剂接触皮肤、眼睛和污染衣物，避免吸入药液；施药后应用肥皂和清水彻底清洗暴露在外的皮肤，并及时更换衣物。4、水产养殖区、河塘等水体附近禁用，禁止在河塘等水体中清洗施药器具。药液及其废液不得污染各类水域、土壤等环境。5、本品对蜜蜂、家蚕有毒，避免在蜜源作物（周围）开花期使用，使用时应密切关注对附近蜂群的影响。鸟类保护区附近禁用；桑园及蚕室附近禁用。6、用药后包装物及用过的容器应妥善处理，不可做他用，也不可随意丢弃。7、孕妇及哺乳期妇女禁止接触本品。</w:t>
            </w:r>
          </w:p>
        </w:tc>
      </w:tr>
      <w:tr w14:paraId="117BB9E3">
        <w:tblPrEx>
          <w:tblCellMar>
            <w:top w:w="0" w:type="dxa"/>
            <w:left w:w="0" w:type="dxa"/>
            <w:bottom w:w="0" w:type="dxa"/>
            <w:right w:w="0" w:type="dxa"/>
          </w:tblCellMar>
        </w:tblPrEx>
        <w:trPr>
          <w:wBefore w:w="0" w:type="auto"/>
          <w:tblCellSpacing w:w="0" w:type="dxa"/>
        </w:trPr>
        <w:tc>
          <w:tcPr>
            <w:tcW w:w="0" w:type="auto"/>
            <w:noWrap w:val="0"/>
            <w:vAlign w:val="center"/>
          </w:tcPr>
          <w:p w14:paraId="07343E04">
            <w:r>
              <w:rPr>
                <w:rStyle w:val="10"/>
                <w:rFonts w:hint="eastAsia"/>
              </w:rPr>
              <w:t>中毒急救措施：</w:t>
            </w:r>
            <w:r>
              <w:rPr>
                <w:rFonts w:hint="eastAsia"/>
              </w:rPr>
              <w:br w:type="textWrapping"/>
            </w:r>
            <w:r>
              <w:rPr>
                <w:rStyle w:val="11"/>
                <w:rFonts w:hint="eastAsia"/>
              </w:rPr>
              <w:t>1.用药时或用药后如果感觉不适，立即停止工作，采取急救措施，并携此标签送医就诊。2.皮肤接触：立即脱掉被污染的衣物，用肥皂和大量清水彻底清洗受污染的皮肤。必要时请医生诊治。3.眼睛溅药：立即将眼睑翻开，用清水冲洗至少15分钟，请医生诊治。4.发生吸入：立即将吸入者转移到空气新鲜处，请医生诊治。5.误服：请勿引吐，立即携带标签送医就诊，无专用解毒剂，对症治疗。</w:t>
            </w:r>
          </w:p>
        </w:tc>
      </w:tr>
      <w:tr w14:paraId="6D9FF935">
        <w:tblPrEx>
          <w:tblCellMar>
            <w:top w:w="0" w:type="dxa"/>
            <w:left w:w="0" w:type="dxa"/>
            <w:bottom w:w="0" w:type="dxa"/>
            <w:right w:w="0" w:type="dxa"/>
          </w:tblCellMar>
        </w:tblPrEx>
        <w:trPr>
          <w:wBefore w:w="0" w:type="auto"/>
          <w:tblCellSpacing w:w="0" w:type="dxa"/>
        </w:trPr>
        <w:tc>
          <w:tcPr>
            <w:tcW w:w="0" w:type="auto"/>
            <w:noWrap w:val="0"/>
            <w:vAlign w:val="center"/>
          </w:tcPr>
          <w:p w14:paraId="44548CE6">
            <w:r>
              <w:rPr>
                <w:rStyle w:val="10"/>
                <w:rFonts w:hint="eastAsia"/>
              </w:rPr>
              <w:t>储存和运输方法：</w:t>
            </w:r>
            <w:r>
              <w:rPr>
                <w:rFonts w:hint="eastAsia"/>
              </w:rPr>
              <w:br w:type="textWrapping"/>
            </w:r>
            <w:r>
              <w:rPr>
                <w:rStyle w:val="11"/>
                <w:rFonts w:hint="eastAsia"/>
              </w:rPr>
              <w:t>1.本品应贮存在干燥、阴凉、通风、防雨处，远离火源或热源。2.置于儿童、无关人员及动物触及不到之处，并加锁保存。3.勿与食品、饮料、粮食、饲料等其它商品同贮同运。4.运输时防雨防潮，装卸时轻卸轻放。</w:t>
            </w:r>
          </w:p>
        </w:tc>
      </w:tr>
      <w:tr w14:paraId="7119F19E">
        <w:tblPrEx>
          <w:tblCellMar>
            <w:top w:w="0" w:type="dxa"/>
            <w:left w:w="0" w:type="dxa"/>
            <w:bottom w:w="0" w:type="dxa"/>
            <w:right w:w="0" w:type="dxa"/>
          </w:tblCellMar>
        </w:tblPrEx>
        <w:trPr>
          <w:wBefore w:w="0" w:type="auto"/>
          <w:tblCellSpacing w:w="0" w:type="dxa"/>
        </w:trPr>
        <w:tc>
          <w:tcPr>
            <w:tcW w:w="0" w:type="auto"/>
            <w:noWrap w:val="0"/>
            <w:vAlign w:val="center"/>
          </w:tcPr>
          <w:p w14:paraId="340F980E">
            <w:r>
              <w:rPr>
                <w:rStyle w:val="10"/>
                <w:rFonts w:hint="eastAsia"/>
              </w:rPr>
              <w:t>质量保证期：</w:t>
            </w:r>
            <w:r>
              <w:rPr>
                <w:rStyle w:val="11"/>
                <w:rFonts w:hint="eastAsia"/>
              </w:rPr>
              <w:t>2年</w:t>
            </w:r>
          </w:p>
        </w:tc>
      </w:tr>
      <w:tr w14:paraId="6E8723F9">
        <w:tblPrEx>
          <w:tblCellMar>
            <w:top w:w="0" w:type="dxa"/>
            <w:left w:w="0" w:type="dxa"/>
            <w:bottom w:w="0" w:type="dxa"/>
            <w:right w:w="0" w:type="dxa"/>
          </w:tblCellMar>
        </w:tblPrEx>
        <w:trPr>
          <w:wBefore w:w="0" w:type="auto"/>
          <w:tblCellSpacing w:w="0" w:type="dxa"/>
        </w:trPr>
        <w:tc>
          <w:tcPr>
            <w:tcW w:w="0" w:type="auto"/>
            <w:noWrap w:val="0"/>
            <w:vAlign w:val="center"/>
          </w:tcPr>
          <w:p w14:paraId="328CBC46">
            <w:r>
              <w:rPr>
                <w:rStyle w:val="10"/>
                <w:rFonts w:hint="eastAsia"/>
              </w:rPr>
              <w:t>备注：</w:t>
            </w:r>
          </w:p>
        </w:tc>
      </w:tr>
    </w:tbl>
    <w:p w14:paraId="41334ED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1B4B94B">
        <w:tblPrEx>
          <w:tblCellMar>
            <w:top w:w="0" w:type="dxa"/>
            <w:left w:w="0" w:type="dxa"/>
            <w:bottom w:w="0" w:type="dxa"/>
            <w:right w:w="0" w:type="dxa"/>
          </w:tblCellMar>
        </w:tblPrEx>
        <w:trPr>
          <w:wBefore w:w="0" w:type="auto"/>
          <w:tblCellSpacing w:w="0" w:type="dxa"/>
        </w:trPr>
        <w:tc>
          <w:tcPr>
            <w:tcW w:w="0" w:type="auto"/>
            <w:noWrap w:val="0"/>
            <w:vAlign w:val="center"/>
          </w:tcPr>
          <w:p w14:paraId="6416206A">
            <w:r>
              <w:rPr>
                <w:rStyle w:val="10"/>
                <w:rFonts w:hint="eastAsia"/>
              </w:rPr>
              <w:t>登记证号：</w:t>
            </w:r>
            <w:r>
              <w:rPr>
                <w:rFonts w:hint="eastAsia"/>
              </w:rPr>
              <w:t>PD20211897</w:t>
            </w:r>
          </w:p>
        </w:tc>
      </w:tr>
      <w:tr w14:paraId="7F499845">
        <w:tblPrEx>
          <w:tblCellMar>
            <w:top w:w="0" w:type="dxa"/>
            <w:left w:w="0" w:type="dxa"/>
            <w:bottom w:w="0" w:type="dxa"/>
            <w:right w:w="0" w:type="dxa"/>
          </w:tblCellMar>
        </w:tblPrEx>
        <w:trPr>
          <w:wBefore w:w="0" w:type="auto"/>
          <w:tblCellSpacing w:w="0" w:type="dxa"/>
        </w:trPr>
        <w:tc>
          <w:tcPr>
            <w:tcW w:w="0" w:type="auto"/>
            <w:noWrap w:val="0"/>
            <w:vAlign w:val="center"/>
          </w:tcPr>
          <w:p w14:paraId="5A8FAFF6">
            <w:r>
              <w:rPr>
                <w:rStyle w:val="10"/>
                <w:rFonts w:hint="eastAsia"/>
              </w:rPr>
              <w:t>登记证持有人：</w:t>
            </w:r>
            <w:r>
              <w:rPr>
                <w:rFonts w:hint="eastAsia"/>
              </w:rPr>
              <w:t>陕西西大华特科技实业有限公司</w:t>
            </w:r>
          </w:p>
        </w:tc>
      </w:tr>
      <w:tr w14:paraId="2E9C1BC6">
        <w:tblPrEx>
          <w:tblCellMar>
            <w:top w:w="0" w:type="dxa"/>
            <w:left w:w="0" w:type="dxa"/>
            <w:bottom w:w="0" w:type="dxa"/>
            <w:right w:w="0" w:type="dxa"/>
          </w:tblCellMar>
        </w:tblPrEx>
        <w:trPr>
          <w:wBefore w:w="0" w:type="auto"/>
          <w:tblCellSpacing w:w="0" w:type="dxa"/>
        </w:trPr>
        <w:tc>
          <w:tcPr>
            <w:tcW w:w="0" w:type="auto"/>
            <w:noWrap w:val="0"/>
            <w:vAlign w:val="center"/>
          </w:tcPr>
          <w:p w14:paraId="788A0E86">
            <w:r>
              <w:rPr>
                <w:rStyle w:val="10"/>
                <w:rFonts w:hint="eastAsia"/>
              </w:rPr>
              <w:t>农药名称：</w:t>
            </w:r>
            <w:r>
              <w:rPr>
                <w:rFonts w:hint="eastAsia"/>
              </w:rPr>
              <w:t>喹啉铜·噻霉酮</w:t>
            </w:r>
          </w:p>
        </w:tc>
      </w:tr>
      <w:tr w14:paraId="66D345F6">
        <w:tblPrEx>
          <w:tblCellMar>
            <w:top w:w="0" w:type="dxa"/>
            <w:left w:w="0" w:type="dxa"/>
            <w:bottom w:w="0" w:type="dxa"/>
            <w:right w:w="0" w:type="dxa"/>
          </w:tblCellMar>
        </w:tblPrEx>
        <w:trPr>
          <w:wBefore w:w="0" w:type="auto"/>
          <w:tblCellSpacing w:w="0" w:type="dxa"/>
        </w:trPr>
        <w:tc>
          <w:tcPr>
            <w:tcW w:w="0" w:type="auto"/>
            <w:noWrap w:val="0"/>
            <w:vAlign w:val="center"/>
          </w:tcPr>
          <w:p w14:paraId="09DB6F10">
            <w:r>
              <w:rPr>
                <w:rStyle w:val="10"/>
                <w:rFonts w:hint="eastAsia"/>
              </w:rPr>
              <w:t>剂型：</w:t>
            </w:r>
            <w:r>
              <w:rPr>
                <w:rFonts w:hint="eastAsia"/>
              </w:rPr>
              <w:t>悬浮剂</w:t>
            </w:r>
          </w:p>
        </w:tc>
      </w:tr>
      <w:tr w14:paraId="3440817F">
        <w:tblPrEx>
          <w:tblCellMar>
            <w:top w:w="0" w:type="dxa"/>
            <w:left w:w="0" w:type="dxa"/>
            <w:bottom w:w="0" w:type="dxa"/>
            <w:right w:w="0" w:type="dxa"/>
          </w:tblCellMar>
        </w:tblPrEx>
        <w:trPr>
          <w:wBefore w:w="0" w:type="auto"/>
          <w:tblCellSpacing w:w="0" w:type="dxa"/>
        </w:trPr>
        <w:tc>
          <w:tcPr>
            <w:tcW w:w="0" w:type="auto"/>
            <w:noWrap w:val="0"/>
            <w:vAlign w:val="center"/>
          </w:tcPr>
          <w:p w14:paraId="4913DC8B">
            <w:r>
              <w:rPr>
                <w:rStyle w:val="10"/>
                <w:rFonts w:hint="eastAsia"/>
              </w:rPr>
              <w:t>毒性及其标识：</w:t>
            </w:r>
            <w:r>
              <w:rPr>
                <w:rFonts w:hint="eastAsia"/>
              </w:rPr>
              <w:t xml:space="preserve"> </w:t>
            </w:r>
            <w:r>
              <w:rPr>
                <w:lang/>
              </w:rPr>
              <w:drawing>
                <wp:inline distT="0" distB="0" distL="114300" distR="114300">
                  <wp:extent cx="476250" cy="323850"/>
                  <wp:effectExtent l="0" t="0" r="0" b="0"/>
                  <wp:docPr id="178" name="图片 17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A65BE81">
        <w:tblPrEx>
          <w:tblCellMar>
            <w:top w:w="0" w:type="dxa"/>
            <w:left w:w="0" w:type="dxa"/>
            <w:bottom w:w="0" w:type="dxa"/>
            <w:right w:w="0" w:type="dxa"/>
          </w:tblCellMar>
        </w:tblPrEx>
        <w:trPr>
          <w:wBefore w:w="0" w:type="auto"/>
          <w:tblCellSpacing w:w="0" w:type="dxa"/>
        </w:trPr>
        <w:tc>
          <w:tcPr>
            <w:tcW w:w="0" w:type="auto"/>
            <w:noWrap w:val="0"/>
            <w:vAlign w:val="center"/>
          </w:tcPr>
          <w:p w14:paraId="5E7DD2EE">
            <w:r>
              <w:rPr>
                <w:rStyle w:val="10"/>
                <w:rFonts w:hint="eastAsia"/>
              </w:rPr>
              <w:t>总有效成分含量：</w:t>
            </w:r>
            <w:r>
              <w:rPr>
                <w:rFonts w:hint="eastAsia"/>
              </w:rPr>
              <w:t>25%</w:t>
            </w:r>
          </w:p>
        </w:tc>
      </w:tr>
      <w:tr w14:paraId="05F3F8A7">
        <w:tblPrEx>
          <w:tblCellMar>
            <w:top w:w="0" w:type="dxa"/>
            <w:left w:w="0" w:type="dxa"/>
            <w:bottom w:w="0" w:type="dxa"/>
            <w:right w:w="0" w:type="dxa"/>
          </w:tblCellMar>
        </w:tblPrEx>
        <w:trPr>
          <w:wBefore w:w="0" w:type="auto"/>
          <w:tblCellSpacing w:w="0" w:type="dxa"/>
        </w:trPr>
        <w:tc>
          <w:tcPr>
            <w:tcW w:w="0" w:type="auto"/>
            <w:noWrap w:val="0"/>
            <w:vAlign w:val="center"/>
          </w:tcPr>
          <w:p w14:paraId="23EACE66">
            <w:r>
              <w:rPr>
                <w:rFonts w:hint="eastAsia"/>
              </w:rPr>
              <w:t xml:space="preserve">有效成分及其含量： </w:t>
            </w:r>
          </w:p>
          <w:p w14:paraId="521B4F5B">
            <w:r>
              <w:rPr>
                <w:rFonts w:hint="eastAsia"/>
              </w:rPr>
              <w:t xml:space="preserve">    噻霉酮3%    喹啉铜22%    </w:t>
            </w:r>
          </w:p>
        </w:tc>
      </w:tr>
      <w:tr w14:paraId="68C9FA50">
        <w:tblPrEx>
          <w:tblCellMar>
            <w:top w:w="0" w:type="dxa"/>
            <w:left w:w="0" w:type="dxa"/>
            <w:bottom w:w="0" w:type="dxa"/>
            <w:right w:w="0" w:type="dxa"/>
          </w:tblCellMar>
        </w:tblPrEx>
        <w:trPr>
          <w:wBefore w:w="0" w:type="auto"/>
          <w:tblCellSpacing w:w="0" w:type="dxa"/>
        </w:trPr>
        <w:tc>
          <w:tcPr>
            <w:tcW w:w="0" w:type="auto"/>
            <w:noWrap w:val="0"/>
            <w:vAlign w:val="center"/>
          </w:tcPr>
          <w:p w14:paraId="63B5003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8BE2D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7104D9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0A88A6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CE5BB2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653ED16">
                  <w:r>
                    <w:rPr>
                      <w:rStyle w:val="11"/>
                      <w:rFonts w:hint="eastAsia"/>
                    </w:rPr>
                    <w:t>施用方式</w:t>
                  </w:r>
                </w:p>
              </w:tc>
            </w:tr>
            <w:tr w14:paraId="5588A3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CB02CCF">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0D6D01">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6B1E61">
                  <w:r>
                    <w:rPr>
                      <w:rStyle w:val="11"/>
                      <w:rFonts w:hint="eastAsia"/>
                    </w:rPr>
                    <w:t>700-1100倍液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BD6102">
                  <w:r>
                    <w:rPr>
                      <w:rStyle w:val="11"/>
                      <w:rFonts w:hint="eastAsia"/>
                    </w:rPr>
                    <w:t>喷雾</w:t>
                  </w:r>
                </w:p>
              </w:tc>
            </w:tr>
          </w:tbl>
          <w:p w14:paraId="04BEC045">
            <w:pPr>
              <w:rPr>
                <w:rFonts w:ascii="Times New Roman" w:hAnsi="Times New Roman" w:cs="Times New Roman"/>
                <w:sz w:val="20"/>
                <w:szCs w:val="20"/>
              </w:rPr>
            </w:pPr>
          </w:p>
        </w:tc>
      </w:tr>
      <w:tr w14:paraId="0064F976">
        <w:tblPrEx>
          <w:tblCellMar>
            <w:top w:w="0" w:type="dxa"/>
            <w:left w:w="0" w:type="dxa"/>
            <w:bottom w:w="0" w:type="dxa"/>
            <w:right w:w="0" w:type="dxa"/>
          </w:tblCellMar>
        </w:tblPrEx>
        <w:trPr>
          <w:wBefore w:w="0" w:type="auto"/>
          <w:tblCellSpacing w:w="0" w:type="dxa"/>
        </w:trPr>
        <w:tc>
          <w:tcPr>
            <w:tcW w:w="0" w:type="auto"/>
            <w:noWrap w:val="0"/>
            <w:vAlign w:val="center"/>
          </w:tcPr>
          <w:p w14:paraId="286E573A">
            <w:r>
              <w:rPr>
                <w:rStyle w:val="10"/>
                <w:rFonts w:hint="eastAsia"/>
              </w:rPr>
              <w:t>使用技术要求:</w:t>
            </w:r>
            <w:r>
              <w:rPr>
                <w:rFonts w:hint="eastAsia"/>
              </w:rPr>
              <w:br w:type="textWrapping"/>
            </w:r>
            <w:r>
              <w:rPr>
                <w:rStyle w:val="11"/>
                <w:rFonts w:hint="eastAsia"/>
              </w:rPr>
              <w:t>1.本品应于柑橘溃疡病发生前或初期施药，注意均匀喷雾。 2.大风天或预计1小时内降雨，请勿施药。3.产品在柑橘上使用的安全间隔期为30天，每季最多使用次数为2次。</w:t>
            </w:r>
          </w:p>
        </w:tc>
      </w:tr>
      <w:tr w14:paraId="6FB69FE0">
        <w:tblPrEx>
          <w:tblCellMar>
            <w:top w:w="0" w:type="dxa"/>
            <w:left w:w="0" w:type="dxa"/>
            <w:bottom w:w="0" w:type="dxa"/>
            <w:right w:w="0" w:type="dxa"/>
          </w:tblCellMar>
        </w:tblPrEx>
        <w:trPr>
          <w:wBefore w:w="0" w:type="auto"/>
          <w:tblCellSpacing w:w="0" w:type="dxa"/>
        </w:trPr>
        <w:tc>
          <w:tcPr>
            <w:tcW w:w="0" w:type="auto"/>
            <w:noWrap w:val="0"/>
            <w:vAlign w:val="center"/>
          </w:tcPr>
          <w:p w14:paraId="71378A54">
            <w:r>
              <w:rPr>
                <w:rStyle w:val="10"/>
                <w:rFonts w:hint="eastAsia"/>
              </w:rPr>
              <w:t>产品性能:</w:t>
            </w:r>
            <w:r>
              <w:rPr>
                <w:rFonts w:hint="eastAsia"/>
              </w:rPr>
              <w:br w:type="textWrapping"/>
            </w:r>
            <w:r>
              <w:rPr>
                <w:rStyle w:val="11"/>
                <w:rFonts w:hint="eastAsia"/>
              </w:rPr>
              <w:t>本品是喹啉铜与噻酶酮的混配制剂，喹啉铜是一种有机铜</w:t>
            </w:r>
            <w:r>
              <w:rPr>
                <w:rStyle w:val="11"/>
                <w:rFonts w:hint="eastAsia"/>
                <w:lang w:eastAsia="zh-CN"/>
              </w:rPr>
              <w:t>螯合</w:t>
            </w:r>
            <w:r>
              <w:rPr>
                <w:rStyle w:val="11"/>
                <w:rFonts w:hint="eastAsia"/>
              </w:rPr>
              <w:t>物，在作物表面形成一层严密的保护膜，抑制病菌萌发和侵入，具有治疗和保护作用。噻霉酮是一种新型杀菌剂，对真菌性病害具有预防和治疗作用，二者复配对柑橘溃疡病有很好的防效。</w:t>
            </w:r>
          </w:p>
        </w:tc>
      </w:tr>
      <w:tr w14:paraId="71B99576">
        <w:tblPrEx>
          <w:tblCellMar>
            <w:top w:w="0" w:type="dxa"/>
            <w:left w:w="0" w:type="dxa"/>
            <w:bottom w:w="0" w:type="dxa"/>
            <w:right w:w="0" w:type="dxa"/>
          </w:tblCellMar>
        </w:tblPrEx>
        <w:trPr>
          <w:wBefore w:w="0" w:type="auto"/>
          <w:tblCellSpacing w:w="0" w:type="dxa"/>
        </w:trPr>
        <w:tc>
          <w:tcPr>
            <w:tcW w:w="0" w:type="auto"/>
            <w:noWrap w:val="0"/>
            <w:vAlign w:val="center"/>
          </w:tcPr>
          <w:p w14:paraId="213D1AC4">
            <w:r>
              <w:rPr>
                <w:rStyle w:val="10"/>
                <w:rFonts w:hint="eastAsia"/>
              </w:rPr>
              <w:t>注意事项：</w:t>
            </w:r>
            <w:r>
              <w:rPr>
                <w:rFonts w:hint="eastAsia"/>
              </w:rPr>
              <w:br w:type="textWrapping"/>
            </w:r>
            <w:r>
              <w:rPr>
                <w:rStyle w:val="11"/>
                <w:rFonts w:hint="eastAsia"/>
              </w:rPr>
              <w:t>1.本品对鱼类、溞类毒性较高，蚕室、桑园区禁用。 2.建议与其他作用机制不同的杀菌剂轮用，以减缓抗性产生。 3.水产养殖区、河塘等水体附近禁用，禁止在河塘等水体中清洗施药器具。用过的容器应妥善处理，不可做他用，也不可随意丢弃。 4.施用时应戴防护镜、口罩和手套，穿防护服；施药中禁止饮食、吸烟、饮水等；施药后应用肥皂和清水彻底清洗暴露在外的皮肤。 5.孕妇和哺乳期妇女禁止接触本品。</w:t>
            </w:r>
          </w:p>
        </w:tc>
      </w:tr>
      <w:tr w14:paraId="201A3B84">
        <w:tblPrEx>
          <w:tblCellMar>
            <w:top w:w="0" w:type="dxa"/>
            <w:left w:w="0" w:type="dxa"/>
            <w:bottom w:w="0" w:type="dxa"/>
            <w:right w:w="0" w:type="dxa"/>
          </w:tblCellMar>
        </w:tblPrEx>
        <w:trPr>
          <w:wBefore w:w="0" w:type="auto"/>
          <w:tblCellSpacing w:w="0" w:type="dxa"/>
        </w:trPr>
        <w:tc>
          <w:tcPr>
            <w:tcW w:w="0" w:type="auto"/>
            <w:noWrap w:val="0"/>
            <w:vAlign w:val="center"/>
          </w:tcPr>
          <w:p w14:paraId="1BBF8FC1">
            <w:r>
              <w:rPr>
                <w:rStyle w:val="10"/>
                <w:rFonts w:hint="eastAsia"/>
              </w:rPr>
              <w:t>中毒急救措施：</w:t>
            </w:r>
            <w:r>
              <w:rPr>
                <w:rFonts w:hint="eastAsia"/>
              </w:rPr>
              <w:br w:type="textWrapping"/>
            </w:r>
            <w:r>
              <w:rPr>
                <w:rStyle w:val="11"/>
                <w:rFonts w:hint="eastAsia"/>
              </w:rPr>
              <w:t>本品在使用中或使用后如果感觉不适，应立即停止工作，采取急救措施。误服，立即携带标签送医院就诊。如不慎溅入眼睛或接触皮肤，立即用流动清水冲洗至少15分钟；不慎吸入立即用清水充分漱口后，立即携带标签送医就诊。</w:t>
            </w:r>
          </w:p>
        </w:tc>
      </w:tr>
      <w:tr w14:paraId="1F7F3FA3">
        <w:tblPrEx>
          <w:tblCellMar>
            <w:top w:w="0" w:type="dxa"/>
            <w:left w:w="0" w:type="dxa"/>
            <w:bottom w:w="0" w:type="dxa"/>
            <w:right w:w="0" w:type="dxa"/>
          </w:tblCellMar>
        </w:tblPrEx>
        <w:trPr>
          <w:wBefore w:w="0" w:type="auto"/>
          <w:tblCellSpacing w:w="0" w:type="dxa"/>
        </w:trPr>
        <w:tc>
          <w:tcPr>
            <w:tcW w:w="0" w:type="auto"/>
            <w:noWrap w:val="0"/>
            <w:vAlign w:val="center"/>
          </w:tcPr>
          <w:p w14:paraId="268A26A5">
            <w:r>
              <w:rPr>
                <w:rStyle w:val="10"/>
                <w:rFonts w:hint="eastAsia"/>
              </w:rPr>
              <w:t>储存和运输方法：</w:t>
            </w:r>
            <w:r>
              <w:rPr>
                <w:rFonts w:hint="eastAsia"/>
              </w:rPr>
              <w:br w:type="textWrapping"/>
            </w:r>
            <w:r>
              <w:rPr>
                <w:rStyle w:val="11"/>
                <w:rFonts w:hint="eastAsia"/>
              </w:rPr>
              <w:t>1、本品应贮存在干燥、阴凉、通风、防雨处，远离火源或热源。2、置于儿童触及不到之处，并加锁。3、勿与食品、饮料、饲料和粮食等其他商品同贮同运。</w:t>
            </w:r>
          </w:p>
        </w:tc>
      </w:tr>
      <w:tr w14:paraId="46B198E2">
        <w:tblPrEx>
          <w:tblCellMar>
            <w:top w:w="0" w:type="dxa"/>
            <w:left w:w="0" w:type="dxa"/>
            <w:bottom w:w="0" w:type="dxa"/>
            <w:right w:w="0" w:type="dxa"/>
          </w:tblCellMar>
        </w:tblPrEx>
        <w:trPr>
          <w:wBefore w:w="0" w:type="auto"/>
          <w:tblCellSpacing w:w="0" w:type="dxa"/>
        </w:trPr>
        <w:tc>
          <w:tcPr>
            <w:tcW w:w="0" w:type="auto"/>
            <w:noWrap w:val="0"/>
            <w:vAlign w:val="center"/>
          </w:tcPr>
          <w:p w14:paraId="09B5F15E">
            <w:r>
              <w:rPr>
                <w:rStyle w:val="10"/>
                <w:rFonts w:hint="eastAsia"/>
              </w:rPr>
              <w:t>质量保证期：</w:t>
            </w:r>
            <w:r>
              <w:rPr>
                <w:rStyle w:val="11"/>
                <w:rFonts w:hint="eastAsia"/>
              </w:rPr>
              <w:t>2年</w:t>
            </w:r>
          </w:p>
        </w:tc>
      </w:tr>
      <w:tr w14:paraId="1AF30216">
        <w:tblPrEx>
          <w:tblCellMar>
            <w:top w:w="0" w:type="dxa"/>
            <w:left w:w="0" w:type="dxa"/>
            <w:bottom w:w="0" w:type="dxa"/>
            <w:right w:w="0" w:type="dxa"/>
          </w:tblCellMar>
        </w:tblPrEx>
        <w:trPr>
          <w:wBefore w:w="0" w:type="auto"/>
          <w:tblCellSpacing w:w="0" w:type="dxa"/>
        </w:trPr>
        <w:tc>
          <w:tcPr>
            <w:tcW w:w="0" w:type="auto"/>
            <w:noWrap w:val="0"/>
            <w:vAlign w:val="center"/>
          </w:tcPr>
          <w:p w14:paraId="09614F3D">
            <w:r>
              <w:rPr>
                <w:rStyle w:val="10"/>
                <w:rFonts w:hint="eastAsia"/>
              </w:rPr>
              <w:t>备注：</w:t>
            </w:r>
          </w:p>
        </w:tc>
      </w:tr>
    </w:tbl>
    <w:p w14:paraId="4D028AD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1F75DB1">
        <w:tblPrEx>
          <w:tblCellMar>
            <w:top w:w="0" w:type="dxa"/>
            <w:left w:w="0" w:type="dxa"/>
            <w:bottom w:w="0" w:type="dxa"/>
            <w:right w:w="0" w:type="dxa"/>
          </w:tblCellMar>
        </w:tblPrEx>
        <w:trPr>
          <w:wBefore w:w="0" w:type="auto"/>
          <w:tblCellSpacing w:w="0" w:type="dxa"/>
        </w:trPr>
        <w:tc>
          <w:tcPr>
            <w:tcW w:w="0" w:type="auto"/>
            <w:noWrap w:val="0"/>
            <w:vAlign w:val="center"/>
          </w:tcPr>
          <w:p w14:paraId="3F3CDC05">
            <w:r>
              <w:rPr>
                <w:rStyle w:val="10"/>
                <w:rFonts w:hint="eastAsia"/>
              </w:rPr>
              <w:t>登记证号：</w:t>
            </w:r>
            <w:r>
              <w:rPr>
                <w:rFonts w:hint="eastAsia"/>
              </w:rPr>
              <w:t>PD20211729</w:t>
            </w:r>
          </w:p>
        </w:tc>
      </w:tr>
      <w:tr w14:paraId="5B137AF8">
        <w:tblPrEx>
          <w:tblCellMar>
            <w:top w:w="0" w:type="dxa"/>
            <w:left w:w="0" w:type="dxa"/>
            <w:bottom w:w="0" w:type="dxa"/>
            <w:right w:w="0" w:type="dxa"/>
          </w:tblCellMar>
        </w:tblPrEx>
        <w:trPr>
          <w:wBefore w:w="0" w:type="auto"/>
          <w:tblCellSpacing w:w="0" w:type="dxa"/>
        </w:trPr>
        <w:tc>
          <w:tcPr>
            <w:tcW w:w="0" w:type="auto"/>
            <w:noWrap w:val="0"/>
            <w:vAlign w:val="center"/>
          </w:tcPr>
          <w:p w14:paraId="22929927">
            <w:r>
              <w:rPr>
                <w:rStyle w:val="10"/>
                <w:rFonts w:hint="eastAsia"/>
              </w:rPr>
              <w:t>登记证持有人：</w:t>
            </w:r>
            <w:r>
              <w:rPr>
                <w:rFonts w:hint="eastAsia"/>
              </w:rPr>
              <w:t>福建省德盛生物工程有限责任公司</w:t>
            </w:r>
          </w:p>
        </w:tc>
      </w:tr>
      <w:tr w14:paraId="3021FD23">
        <w:tblPrEx>
          <w:tblCellMar>
            <w:top w:w="0" w:type="dxa"/>
            <w:left w:w="0" w:type="dxa"/>
            <w:bottom w:w="0" w:type="dxa"/>
            <w:right w:w="0" w:type="dxa"/>
          </w:tblCellMar>
        </w:tblPrEx>
        <w:trPr>
          <w:wBefore w:w="0" w:type="auto"/>
          <w:tblCellSpacing w:w="0" w:type="dxa"/>
        </w:trPr>
        <w:tc>
          <w:tcPr>
            <w:tcW w:w="0" w:type="auto"/>
            <w:noWrap w:val="0"/>
            <w:vAlign w:val="center"/>
          </w:tcPr>
          <w:p w14:paraId="4335BF1D">
            <w:r>
              <w:rPr>
                <w:rStyle w:val="10"/>
                <w:rFonts w:hint="eastAsia"/>
              </w:rPr>
              <w:t>农药名称：</w:t>
            </w:r>
            <w:r>
              <w:rPr>
                <w:rFonts w:hint="eastAsia"/>
              </w:rPr>
              <w:t>虫螨·茚虫威</w:t>
            </w:r>
          </w:p>
        </w:tc>
      </w:tr>
      <w:tr w14:paraId="6EBF73F8">
        <w:tblPrEx>
          <w:tblCellMar>
            <w:top w:w="0" w:type="dxa"/>
            <w:left w:w="0" w:type="dxa"/>
            <w:bottom w:w="0" w:type="dxa"/>
            <w:right w:w="0" w:type="dxa"/>
          </w:tblCellMar>
        </w:tblPrEx>
        <w:trPr>
          <w:wBefore w:w="0" w:type="auto"/>
          <w:tblCellSpacing w:w="0" w:type="dxa"/>
        </w:trPr>
        <w:tc>
          <w:tcPr>
            <w:tcW w:w="0" w:type="auto"/>
            <w:noWrap w:val="0"/>
            <w:vAlign w:val="center"/>
          </w:tcPr>
          <w:p w14:paraId="6BA51087">
            <w:r>
              <w:rPr>
                <w:rStyle w:val="10"/>
                <w:rFonts w:hint="eastAsia"/>
              </w:rPr>
              <w:t>剂型：</w:t>
            </w:r>
            <w:r>
              <w:rPr>
                <w:rFonts w:hint="eastAsia"/>
              </w:rPr>
              <w:t>悬浮剂</w:t>
            </w:r>
          </w:p>
        </w:tc>
      </w:tr>
      <w:tr w14:paraId="2FAB4DCE">
        <w:tblPrEx>
          <w:tblCellMar>
            <w:top w:w="0" w:type="dxa"/>
            <w:left w:w="0" w:type="dxa"/>
            <w:bottom w:w="0" w:type="dxa"/>
            <w:right w:w="0" w:type="dxa"/>
          </w:tblCellMar>
        </w:tblPrEx>
        <w:trPr>
          <w:wBefore w:w="0" w:type="auto"/>
          <w:tblCellSpacing w:w="0" w:type="dxa"/>
        </w:trPr>
        <w:tc>
          <w:tcPr>
            <w:tcW w:w="0" w:type="auto"/>
            <w:noWrap w:val="0"/>
            <w:vAlign w:val="center"/>
          </w:tcPr>
          <w:p w14:paraId="5C692B50">
            <w:r>
              <w:rPr>
                <w:rStyle w:val="10"/>
                <w:rFonts w:hint="eastAsia"/>
              </w:rPr>
              <w:t>毒性及其标识：</w:t>
            </w:r>
            <w:r>
              <w:rPr>
                <w:rFonts w:hint="eastAsia"/>
              </w:rPr>
              <w:t xml:space="preserve"> </w:t>
            </w:r>
            <w:r>
              <w:rPr>
                <w:lang/>
              </w:rPr>
              <w:drawing>
                <wp:inline distT="0" distB="0" distL="114300" distR="114300">
                  <wp:extent cx="476250" cy="323850"/>
                  <wp:effectExtent l="0" t="0" r="0" b="0"/>
                  <wp:docPr id="179" name="图片 17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57F19BE">
        <w:tblPrEx>
          <w:tblCellMar>
            <w:top w:w="0" w:type="dxa"/>
            <w:left w:w="0" w:type="dxa"/>
            <w:bottom w:w="0" w:type="dxa"/>
            <w:right w:w="0" w:type="dxa"/>
          </w:tblCellMar>
        </w:tblPrEx>
        <w:trPr>
          <w:wBefore w:w="0" w:type="auto"/>
          <w:tblCellSpacing w:w="0" w:type="dxa"/>
        </w:trPr>
        <w:tc>
          <w:tcPr>
            <w:tcW w:w="0" w:type="auto"/>
            <w:noWrap w:val="0"/>
            <w:vAlign w:val="center"/>
          </w:tcPr>
          <w:p w14:paraId="067440B5">
            <w:r>
              <w:rPr>
                <w:rStyle w:val="10"/>
                <w:rFonts w:hint="eastAsia"/>
              </w:rPr>
              <w:t>总有效成分含量：</w:t>
            </w:r>
            <w:r>
              <w:rPr>
                <w:rFonts w:hint="eastAsia"/>
              </w:rPr>
              <w:t>15%</w:t>
            </w:r>
          </w:p>
        </w:tc>
      </w:tr>
      <w:tr w14:paraId="58DB560F">
        <w:tblPrEx>
          <w:tblCellMar>
            <w:top w:w="0" w:type="dxa"/>
            <w:left w:w="0" w:type="dxa"/>
            <w:bottom w:w="0" w:type="dxa"/>
            <w:right w:w="0" w:type="dxa"/>
          </w:tblCellMar>
        </w:tblPrEx>
        <w:trPr>
          <w:wBefore w:w="0" w:type="auto"/>
          <w:tblCellSpacing w:w="0" w:type="dxa"/>
        </w:trPr>
        <w:tc>
          <w:tcPr>
            <w:tcW w:w="0" w:type="auto"/>
            <w:noWrap w:val="0"/>
            <w:vAlign w:val="center"/>
          </w:tcPr>
          <w:p w14:paraId="0785AC9A">
            <w:r>
              <w:rPr>
                <w:rFonts w:hint="eastAsia"/>
              </w:rPr>
              <w:t xml:space="preserve">有效成分及其含量： </w:t>
            </w:r>
          </w:p>
          <w:p w14:paraId="464239C8">
            <w:r>
              <w:rPr>
                <w:rFonts w:hint="eastAsia"/>
              </w:rPr>
              <w:t xml:space="preserve">    虫螨腈10%    茚虫威5%    </w:t>
            </w:r>
          </w:p>
        </w:tc>
      </w:tr>
      <w:tr w14:paraId="17ED15B9">
        <w:tblPrEx>
          <w:tblCellMar>
            <w:top w:w="0" w:type="dxa"/>
            <w:left w:w="0" w:type="dxa"/>
            <w:bottom w:w="0" w:type="dxa"/>
            <w:right w:w="0" w:type="dxa"/>
          </w:tblCellMar>
        </w:tblPrEx>
        <w:trPr>
          <w:wBefore w:w="0" w:type="auto"/>
          <w:tblCellSpacing w:w="0" w:type="dxa"/>
        </w:trPr>
        <w:tc>
          <w:tcPr>
            <w:tcW w:w="0" w:type="auto"/>
            <w:noWrap w:val="0"/>
            <w:vAlign w:val="center"/>
          </w:tcPr>
          <w:p w14:paraId="2A54F99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569DB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10319A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4F291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0BCCA5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2DA6CEB">
                  <w:r>
                    <w:rPr>
                      <w:rStyle w:val="11"/>
                      <w:rFonts w:hint="eastAsia"/>
                    </w:rPr>
                    <w:t>施用方式</w:t>
                  </w:r>
                </w:p>
              </w:tc>
            </w:tr>
            <w:tr w14:paraId="36C982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311C05F">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ADA77C">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F0B8D0">
                  <w:r>
                    <w:rPr>
                      <w:rStyle w:val="11"/>
                      <w:rFonts w:hint="eastAsia"/>
                    </w:rPr>
                    <w:t>10-20毫克/亩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F438BF">
                  <w:r>
                    <w:rPr>
                      <w:rStyle w:val="11"/>
                      <w:rFonts w:hint="eastAsia"/>
                    </w:rPr>
                    <w:t>喷雾</w:t>
                  </w:r>
                </w:p>
              </w:tc>
            </w:tr>
          </w:tbl>
          <w:p w14:paraId="370A959A">
            <w:pPr>
              <w:rPr>
                <w:rFonts w:ascii="Times New Roman" w:hAnsi="Times New Roman" w:cs="Times New Roman"/>
                <w:sz w:val="20"/>
                <w:szCs w:val="20"/>
              </w:rPr>
            </w:pPr>
          </w:p>
        </w:tc>
      </w:tr>
      <w:tr w14:paraId="6277B6B7">
        <w:tblPrEx>
          <w:tblCellMar>
            <w:top w:w="0" w:type="dxa"/>
            <w:left w:w="0" w:type="dxa"/>
            <w:bottom w:w="0" w:type="dxa"/>
            <w:right w:w="0" w:type="dxa"/>
          </w:tblCellMar>
        </w:tblPrEx>
        <w:trPr>
          <w:wBefore w:w="0" w:type="auto"/>
          <w:tblCellSpacing w:w="0" w:type="dxa"/>
        </w:trPr>
        <w:tc>
          <w:tcPr>
            <w:tcW w:w="0" w:type="auto"/>
            <w:noWrap w:val="0"/>
            <w:vAlign w:val="center"/>
          </w:tcPr>
          <w:p w14:paraId="4186E2C5">
            <w:r>
              <w:rPr>
                <w:rStyle w:val="10"/>
                <w:rFonts w:hint="eastAsia"/>
              </w:rPr>
              <w:t>使用技术要求:</w:t>
            </w:r>
            <w:r>
              <w:rPr>
                <w:rFonts w:hint="eastAsia"/>
              </w:rPr>
              <w:br w:type="textWrapping"/>
            </w:r>
            <w:r>
              <w:rPr>
                <w:rStyle w:val="11"/>
                <w:rFonts w:hint="eastAsia"/>
              </w:rPr>
              <w:t>1. 在甘蓝小菜蛾低龄幼虫期（1-2龄），以推荐剂量对水均匀喷雾施药一次。2. 大风天或预计1小时内有雨，请勿施药。3. 本品在甘蓝上的安全间隔期14天，每季最多使用1次。</w:t>
            </w:r>
          </w:p>
        </w:tc>
      </w:tr>
      <w:tr w14:paraId="28C2A350">
        <w:tblPrEx>
          <w:tblCellMar>
            <w:top w:w="0" w:type="dxa"/>
            <w:left w:w="0" w:type="dxa"/>
            <w:bottom w:w="0" w:type="dxa"/>
            <w:right w:w="0" w:type="dxa"/>
          </w:tblCellMar>
        </w:tblPrEx>
        <w:trPr>
          <w:wBefore w:w="0" w:type="auto"/>
          <w:tblCellSpacing w:w="0" w:type="dxa"/>
        </w:trPr>
        <w:tc>
          <w:tcPr>
            <w:tcW w:w="0" w:type="auto"/>
            <w:noWrap w:val="0"/>
            <w:vAlign w:val="center"/>
          </w:tcPr>
          <w:p w14:paraId="36BF1F77">
            <w:r>
              <w:rPr>
                <w:rStyle w:val="10"/>
                <w:rFonts w:hint="eastAsia"/>
              </w:rPr>
              <w:t>产品性能:</w:t>
            </w:r>
            <w:r>
              <w:rPr>
                <w:rFonts w:hint="eastAsia"/>
              </w:rPr>
              <w:br w:type="textWrapping"/>
            </w:r>
            <w:r>
              <w:rPr>
                <w:rStyle w:val="11"/>
                <w:rFonts w:hint="eastAsia"/>
              </w:rPr>
              <w:t>本品是由虫螨腈与茚虫威复配而成的杀虫剂，可抑制二磷酸腺苷（ADP）向三磷酸腺苷（ATP）的转化，阻断害虫神经细胞中的钠通道，导致靶标害虫麻痹、最终死亡。能有效防治甘蓝甜菜夜蛾。</w:t>
            </w:r>
          </w:p>
        </w:tc>
      </w:tr>
      <w:tr w14:paraId="6DC102B2">
        <w:tblPrEx>
          <w:tblCellMar>
            <w:top w:w="0" w:type="dxa"/>
            <w:left w:w="0" w:type="dxa"/>
            <w:bottom w:w="0" w:type="dxa"/>
            <w:right w:w="0" w:type="dxa"/>
          </w:tblCellMar>
        </w:tblPrEx>
        <w:trPr>
          <w:wBefore w:w="0" w:type="auto"/>
          <w:tblCellSpacing w:w="0" w:type="dxa"/>
        </w:trPr>
        <w:tc>
          <w:tcPr>
            <w:tcW w:w="0" w:type="auto"/>
            <w:noWrap w:val="0"/>
            <w:vAlign w:val="center"/>
          </w:tcPr>
          <w:p w14:paraId="1F8F89CB">
            <w:r>
              <w:rPr>
                <w:rStyle w:val="10"/>
                <w:rFonts w:hint="eastAsia"/>
              </w:rPr>
              <w:t>注意事项：</w:t>
            </w:r>
            <w:r>
              <w:rPr>
                <w:rFonts w:hint="eastAsia"/>
              </w:rPr>
              <w:br w:type="textWrapping"/>
            </w:r>
            <w:r>
              <w:rPr>
                <w:rStyle w:val="11"/>
                <w:rFonts w:hint="eastAsia"/>
              </w:rPr>
              <w:t>1.严格按农药安全使用规则正确使用，未用完的液体就保存在原包装内，盖紧瓶盖，并远离儿童、饮料和食物。2.喷雾器使用后彻底清洗干净，清洗废液妥善处理，剩余药剂及废弃包装不得随意丢弃，更不可留做他用。3.使用本品时应采取相应的安全防护措施，穿戴长衣、长裤、帽子、口罩、手套等安全防护措施，避免皮肤接触。使用中不可吸烟、饮水及吃东西，使用后及时清洗手、脸等暴露部位的皮肤并更换衣物。4.本品对鸟类、蜜蜂、家蚕和水生生物等有毒，鸟类放飞区保护区禁用；施药时应避免对周围蜂群的影响，(周围)开花植物花期禁用； 4.蚕室及桑园附近禁用；蚕室和桑园附近禁用；水应远离水产养殖区喷药、池塘及水体施药，禁止在河塘清洗施药器具，清洗器具的废水不能排入河流、池塘等水源，以免造成不必要的环境污染。赤眼蜂（或其他代表性天敌）等天敌放飞区域禁用。 5.建议与其他不同机制的杀虫剂轮换使用，避免氧化剂接触此药。6.避免与非靶标生物接触，做好安全工作。7.孕妇及哺乳期妇女避免接触此药。</w:t>
            </w:r>
          </w:p>
        </w:tc>
      </w:tr>
      <w:tr w14:paraId="43C28A28">
        <w:tblPrEx>
          <w:tblCellMar>
            <w:top w:w="0" w:type="dxa"/>
            <w:left w:w="0" w:type="dxa"/>
            <w:bottom w:w="0" w:type="dxa"/>
            <w:right w:w="0" w:type="dxa"/>
          </w:tblCellMar>
        </w:tblPrEx>
        <w:trPr>
          <w:wBefore w:w="0" w:type="auto"/>
          <w:tblCellSpacing w:w="0" w:type="dxa"/>
        </w:trPr>
        <w:tc>
          <w:tcPr>
            <w:tcW w:w="0" w:type="auto"/>
            <w:noWrap w:val="0"/>
            <w:vAlign w:val="center"/>
          </w:tcPr>
          <w:p w14:paraId="7A68B041">
            <w:r>
              <w:rPr>
                <w:rStyle w:val="10"/>
                <w:rFonts w:hint="eastAsia"/>
              </w:rPr>
              <w:t>中毒急救措施：</w:t>
            </w:r>
            <w:r>
              <w:rPr>
                <w:rFonts w:hint="eastAsia"/>
              </w:rPr>
              <w:br w:type="textWrapping"/>
            </w:r>
            <w:r>
              <w:rPr>
                <w:rStyle w:val="11"/>
                <w:rFonts w:hint="eastAsia"/>
              </w:rPr>
              <w:t xml:space="preserve">使用中或使用后如果感觉不适，应立即停止工作，采取急救措施，并携带标签送医院就诊。 皮肤接触：立即脱去被污染的衣物，用大量清水冲洗皮肤暴露部位。眼睛溅入：立即翻开眼睑，用清水冲洗至少15分钟，再请医生诊治。不慎吸入：立即将吸入者转移到空气清新处，请医生诊治。误服：立即停止服用，可能引起不同程度的肠炎，立即携带农药标签到医院就诊。 </w:t>
            </w:r>
          </w:p>
        </w:tc>
      </w:tr>
      <w:tr w14:paraId="7224564B">
        <w:tblPrEx>
          <w:tblCellMar>
            <w:top w:w="0" w:type="dxa"/>
            <w:left w:w="0" w:type="dxa"/>
            <w:bottom w:w="0" w:type="dxa"/>
            <w:right w:w="0" w:type="dxa"/>
          </w:tblCellMar>
        </w:tblPrEx>
        <w:trPr>
          <w:wBefore w:w="0" w:type="auto"/>
          <w:tblCellSpacing w:w="0" w:type="dxa"/>
        </w:trPr>
        <w:tc>
          <w:tcPr>
            <w:tcW w:w="0" w:type="auto"/>
            <w:noWrap w:val="0"/>
            <w:vAlign w:val="center"/>
          </w:tcPr>
          <w:p w14:paraId="2B26B407">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饲料、种子和粮食等其他商品同贮同运。运输时，注意包装不能倾倒、压破、防高温雨淋。</w:t>
            </w:r>
          </w:p>
        </w:tc>
      </w:tr>
      <w:tr w14:paraId="677012B6">
        <w:tblPrEx>
          <w:tblCellMar>
            <w:top w:w="0" w:type="dxa"/>
            <w:left w:w="0" w:type="dxa"/>
            <w:bottom w:w="0" w:type="dxa"/>
            <w:right w:w="0" w:type="dxa"/>
          </w:tblCellMar>
        </w:tblPrEx>
        <w:trPr>
          <w:wBefore w:w="0" w:type="auto"/>
          <w:tblCellSpacing w:w="0" w:type="dxa"/>
        </w:trPr>
        <w:tc>
          <w:tcPr>
            <w:tcW w:w="0" w:type="auto"/>
            <w:noWrap w:val="0"/>
            <w:vAlign w:val="center"/>
          </w:tcPr>
          <w:p w14:paraId="680E821D">
            <w:r>
              <w:rPr>
                <w:rStyle w:val="10"/>
                <w:rFonts w:hint="eastAsia"/>
              </w:rPr>
              <w:t>质量保证期：</w:t>
            </w:r>
            <w:r>
              <w:rPr>
                <w:rStyle w:val="11"/>
                <w:rFonts w:hint="eastAsia"/>
              </w:rPr>
              <w:t>2年</w:t>
            </w:r>
          </w:p>
        </w:tc>
      </w:tr>
      <w:tr w14:paraId="4F5F6194">
        <w:tblPrEx>
          <w:tblCellMar>
            <w:top w:w="0" w:type="dxa"/>
            <w:left w:w="0" w:type="dxa"/>
            <w:bottom w:w="0" w:type="dxa"/>
            <w:right w:w="0" w:type="dxa"/>
          </w:tblCellMar>
        </w:tblPrEx>
        <w:trPr>
          <w:wBefore w:w="0" w:type="auto"/>
          <w:tblCellSpacing w:w="0" w:type="dxa"/>
        </w:trPr>
        <w:tc>
          <w:tcPr>
            <w:tcW w:w="0" w:type="auto"/>
            <w:noWrap w:val="0"/>
            <w:vAlign w:val="center"/>
          </w:tcPr>
          <w:p w14:paraId="479C7A87">
            <w:r>
              <w:rPr>
                <w:rStyle w:val="10"/>
                <w:rFonts w:hint="eastAsia"/>
              </w:rPr>
              <w:t>备注：</w:t>
            </w:r>
          </w:p>
        </w:tc>
      </w:tr>
    </w:tbl>
    <w:p w14:paraId="1685F5A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74CD00D">
        <w:tblPrEx>
          <w:tblCellMar>
            <w:top w:w="0" w:type="dxa"/>
            <w:left w:w="0" w:type="dxa"/>
            <w:bottom w:w="0" w:type="dxa"/>
            <w:right w:w="0" w:type="dxa"/>
          </w:tblCellMar>
        </w:tblPrEx>
        <w:trPr>
          <w:wBefore w:w="0" w:type="auto"/>
          <w:tblCellSpacing w:w="0" w:type="dxa"/>
        </w:trPr>
        <w:tc>
          <w:tcPr>
            <w:tcW w:w="0" w:type="auto"/>
            <w:noWrap w:val="0"/>
            <w:vAlign w:val="center"/>
          </w:tcPr>
          <w:p w14:paraId="6FC8D2CE">
            <w:r>
              <w:rPr>
                <w:rStyle w:val="10"/>
                <w:rFonts w:hint="eastAsia"/>
              </w:rPr>
              <w:t>登记证号：</w:t>
            </w:r>
            <w:r>
              <w:rPr>
                <w:rFonts w:hint="eastAsia"/>
              </w:rPr>
              <w:t>PD20212270</w:t>
            </w:r>
          </w:p>
        </w:tc>
      </w:tr>
      <w:tr w14:paraId="41C03EA5">
        <w:tblPrEx>
          <w:tblCellMar>
            <w:top w:w="0" w:type="dxa"/>
            <w:left w:w="0" w:type="dxa"/>
            <w:bottom w:w="0" w:type="dxa"/>
            <w:right w:w="0" w:type="dxa"/>
          </w:tblCellMar>
        </w:tblPrEx>
        <w:trPr>
          <w:wBefore w:w="0" w:type="auto"/>
          <w:tblCellSpacing w:w="0" w:type="dxa"/>
        </w:trPr>
        <w:tc>
          <w:tcPr>
            <w:tcW w:w="0" w:type="auto"/>
            <w:noWrap w:val="0"/>
            <w:vAlign w:val="center"/>
          </w:tcPr>
          <w:p w14:paraId="0A2A65DD">
            <w:r>
              <w:rPr>
                <w:rStyle w:val="10"/>
                <w:rFonts w:hint="eastAsia"/>
              </w:rPr>
              <w:t>登记证持有人：</w:t>
            </w:r>
            <w:r>
              <w:rPr>
                <w:rFonts w:hint="eastAsia"/>
              </w:rPr>
              <w:t>安徽金土地生物科技有限公司</w:t>
            </w:r>
          </w:p>
        </w:tc>
      </w:tr>
      <w:tr w14:paraId="230B6292">
        <w:tblPrEx>
          <w:tblCellMar>
            <w:top w:w="0" w:type="dxa"/>
            <w:left w:w="0" w:type="dxa"/>
            <w:bottom w:w="0" w:type="dxa"/>
            <w:right w:w="0" w:type="dxa"/>
          </w:tblCellMar>
        </w:tblPrEx>
        <w:trPr>
          <w:wBefore w:w="0" w:type="auto"/>
          <w:tblCellSpacing w:w="0" w:type="dxa"/>
        </w:trPr>
        <w:tc>
          <w:tcPr>
            <w:tcW w:w="0" w:type="auto"/>
            <w:noWrap w:val="0"/>
            <w:vAlign w:val="center"/>
          </w:tcPr>
          <w:p w14:paraId="390FB9EE">
            <w:r>
              <w:rPr>
                <w:rStyle w:val="10"/>
                <w:rFonts w:hint="eastAsia"/>
              </w:rPr>
              <w:t>农药名称：</w:t>
            </w:r>
            <w:r>
              <w:rPr>
                <w:rFonts w:hint="eastAsia"/>
              </w:rPr>
              <w:t>噁唑·氰氟</w:t>
            </w:r>
          </w:p>
        </w:tc>
      </w:tr>
      <w:tr w14:paraId="36B29203">
        <w:tblPrEx>
          <w:tblCellMar>
            <w:top w:w="0" w:type="dxa"/>
            <w:left w:w="0" w:type="dxa"/>
            <w:bottom w:w="0" w:type="dxa"/>
            <w:right w:w="0" w:type="dxa"/>
          </w:tblCellMar>
        </w:tblPrEx>
        <w:trPr>
          <w:wBefore w:w="0" w:type="auto"/>
          <w:tblCellSpacing w:w="0" w:type="dxa"/>
        </w:trPr>
        <w:tc>
          <w:tcPr>
            <w:tcW w:w="0" w:type="auto"/>
            <w:noWrap w:val="0"/>
            <w:vAlign w:val="center"/>
          </w:tcPr>
          <w:p w14:paraId="50DF4612">
            <w:r>
              <w:rPr>
                <w:rStyle w:val="10"/>
                <w:rFonts w:hint="eastAsia"/>
              </w:rPr>
              <w:t>剂型：</w:t>
            </w:r>
            <w:r>
              <w:rPr>
                <w:rFonts w:hint="eastAsia"/>
              </w:rPr>
              <w:t>乳油</w:t>
            </w:r>
          </w:p>
        </w:tc>
      </w:tr>
      <w:tr w14:paraId="76A6C1BD">
        <w:tblPrEx>
          <w:tblCellMar>
            <w:top w:w="0" w:type="dxa"/>
            <w:left w:w="0" w:type="dxa"/>
            <w:bottom w:w="0" w:type="dxa"/>
            <w:right w:w="0" w:type="dxa"/>
          </w:tblCellMar>
        </w:tblPrEx>
        <w:trPr>
          <w:wBefore w:w="0" w:type="auto"/>
          <w:tblCellSpacing w:w="0" w:type="dxa"/>
        </w:trPr>
        <w:tc>
          <w:tcPr>
            <w:tcW w:w="0" w:type="auto"/>
            <w:noWrap w:val="0"/>
            <w:vAlign w:val="center"/>
          </w:tcPr>
          <w:p w14:paraId="400C58DC">
            <w:r>
              <w:rPr>
                <w:rStyle w:val="10"/>
                <w:rFonts w:hint="eastAsia"/>
              </w:rPr>
              <w:t>毒性及其标识：</w:t>
            </w:r>
            <w:r>
              <w:rPr>
                <w:rFonts w:hint="eastAsia"/>
              </w:rPr>
              <w:t xml:space="preserve"> </w:t>
            </w:r>
            <w:r>
              <w:rPr>
                <w:lang/>
              </w:rPr>
              <w:drawing>
                <wp:inline distT="0" distB="0" distL="114300" distR="114300">
                  <wp:extent cx="476250" cy="323850"/>
                  <wp:effectExtent l="0" t="0" r="0" b="0"/>
                  <wp:docPr id="180" name="图片 18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470F4C9">
        <w:tblPrEx>
          <w:tblCellMar>
            <w:top w:w="0" w:type="dxa"/>
            <w:left w:w="0" w:type="dxa"/>
            <w:bottom w:w="0" w:type="dxa"/>
            <w:right w:w="0" w:type="dxa"/>
          </w:tblCellMar>
        </w:tblPrEx>
        <w:trPr>
          <w:wBefore w:w="0" w:type="auto"/>
          <w:tblCellSpacing w:w="0" w:type="dxa"/>
        </w:trPr>
        <w:tc>
          <w:tcPr>
            <w:tcW w:w="0" w:type="auto"/>
            <w:noWrap w:val="0"/>
            <w:vAlign w:val="center"/>
          </w:tcPr>
          <w:p w14:paraId="05560AA1">
            <w:r>
              <w:rPr>
                <w:rStyle w:val="10"/>
                <w:rFonts w:hint="eastAsia"/>
              </w:rPr>
              <w:t>总有效成分含量：</w:t>
            </w:r>
            <w:r>
              <w:rPr>
                <w:rFonts w:hint="eastAsia"/>
              </w:rPr>
              <w:t>35%</w:t>
            </w:r>
          </w:p>
        </w:tc>
      </w:tr>
      <w:tr w14:paraId="107E8ED8">
        <w:tblPrEx>
          <w:tblCellMar>
            <w:top w:w="0" w:type="dxa"/>
            <w:left w:w="0" w:type="dxa"/>
            <w:bottom w:w="0" w:type="dxa"/>
            <w:right w:w="0" w:type="dxa"/>
          </w:tblCellMar>
        </w:tblPrEx>
        <w:trPr>
          <w:wBefore w:w="0" w:type="auto"/>
          <w:tblCellSpacing w:w="0" w:type="dxa"/>
        </w:trPr>
        <w:tc>
          <w:tcPr>
            <w:tcW w:w="0" w:type="auto"/>
            <w:noWrap w:val="0"/>
            <w:vAlign w:val="center"/>
          </w:tcPr>
          <w:p w14:paraId="6B245836">
            <w:r>
              <w:rPr>
                <w:rFonts w:hint="eastAsia"/>
              </w:rPr>
              <w:t xml:space="preserve">有效成分及其含量： </w:t>
            </w:r>
          </w:p>
          <w:p w14:paraId="2DE6B9AE">
            <w:r>
              <w:rPr>
                <w:rFonts w:hint="eastAsia"/>
              </w:rPr>
              <w:t xml:space="preserve">    噁唑酰草胺15%    氰氟草酯20%    </w:t>
            </w:r>
          </w:p>
        </w:tc>
      </w:tr>
      <w:tr w14:paraId="076AB0BB">
        <w:tblPrEx>
          <w:tblCellMar>
            <w:top w:w="0" w:type="dxa"/>
            <w:left w:w="0" w:type="dxa"/>
            <w:bottom w:w="0" w:type="dxa"/>
            <w:right w:w="0" w:type="dxa"/>
          </w:tblCellMar>
        </w:tblPrEx>
        <w:trPr>
          <w:wBefore w:w="0" w:type="auto"/>
          <w:tblCellSpacing w:w="0" w:type="dxa"/>
        </w:trPr>
        <w:tc>
          <w:tcPr>
            <w:tcW w:w="0" w:type="auto"/>
            <w:noWrap w:val="0"/>
            <w:vAlign w:val="center"/>
          </w:tcPr>
          <w:p w14:paraId="4C07596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198B3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540FF1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7F5B3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7576E9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F49DE97">
                  <w:r>
                    <w:rPr>
                      <w:rStyle w:val="11"/>
                      <w:rFonts w:hint="eastAsia"/>
                    </w:rPr>
                    <w:t>施用方式</w:t>
                  </w:r>
                </w:p>
              </w:tc>
            </w:tr>
            <w:tr w14:paraId="375F67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73B9A0">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EB3636">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06B5D4">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B00227">
                  <w:r>
                    <w:rPr>
                      <w:rStyle w:val="11"/>
                      <w:rFonts w:hint="eastAsia"/>
                    </w:rPr>
                    <w:t>茎叶喷雾</w:t>
                  </w:r>
                </w:p>
              </w:tc>
            </w:tr>
          </w:tbl>
          <w:p w14:paraId="4D551F30">
            <w:pPr>
              <w:rPr>
                <w:rFonts w:ascii="Times New Roman" w:hAnsi="Times New Roman" w:cs="Times New Roman"/>
                <w:sz w:val="20"/>
                <w:szCs w:val="20"/>
              </w:rPr>
            </w:pPr>
          </w:p>
        </w:tc>
      </w:tr>
      <w:tr w14:paraId="0525DF9A">
        <w:tblPrEx>
          <w:tblCellMar>
            <w:top w:w="0" w:type="dxa"/>
            <w:left w:w="0" w:type="dxa"/>
            <w:bottom w:w="0" w:type="dxa"/>
            <w:right w:w="0" w:type="dxa"/>
          </w:tblCellMar>
        </w:tblPrEx>
        <w:trPr>
          <w:wBefore w:w="0" w:type="auto"/>
          <w:tblCellSpacing w:w="0" w:type="dxa"/>
        </w:trPr>
        <w:tc>
          <w:tcPr>
            <w:tcW w:w="0" w:type="auto"/>
            <w:noWrap w:val="0"/>
            <w:vAlign w:val="center"/>
          </w:tcPr>
          <w:p w14:paraId="15DC6374">
            <w:r>
              <w:rPr>
                <w:rStyle w:val="10"/>
                <w:rFonts w:hint="eastAsia"/>
              </w:rPr>
              <w:t>使用技术要求:</w:t>
            </w:r>
            <w:r>
              <w:rPr>
                <w:rFonts w:hint="eastAsia"/>
              </w:rPr>
              <w:br w:type="textWrapping"/>
            </w:r>
            <w:r>
              <w:rPr>
                <w:rStyle w:val="11"/>
                <w:rFonts w:hint="eastAsia"/>
              </w:rPr>
              <w:t>1、在直播稻田禾本科杂草2-3叶期茎叶喷雾施药一次，兑水30-40升/亩，茎叶喷雾处理。2、药前排水，药后24～48h回水，保持3-5cm水层5-7天，注意避免淹没水稻秧苗心叶，以后正常管理。3、本品每季最多施药次数为1次。4、水层勿淹没水稻心叶避免药害。</w:t>
            </w:r>
          </w:p>
        </w:tc>
      </w:tr>
      <w:tr w14:paraId="70BB835B">
        <w:tblPrEx>
          <w:tblCellMar>
            <w:top w:w="0" w:type="dxa"/>
            <w:left w:w="0" w:type="dxa"/>
            <w:bottom w:w="0" w:type="dxa"/>
            <w:right w:w="0" w:type="dxa"/>
          </w:tblCellMar>
        </w:tblPrEx>
        <w:trPr>
          <w:wBefore w:w="0" w:type="auto"/>
          <w:tblCellSpacing w:w="0" w:type="dxa"/>
        </w:trPr>
        <w:tc>
          <w:tcPr>
            <w:tcW w:w="0" w:type="auto"/>
            <w:noWrap w:val="0"/>
            <w:vAlign w:val="center"/>
          </w:tcPr>
          <w:p w14:paraId="5102549D">
            <w:r>
              <w:rPr>
                <w:rStyle w:val="10"/>
                <w:rFonts w:hint="eastAsia"/>
              </w:rPr>
              <w:t>产品性能:</w:t>
            </w:r>
            <w:r>
              <w:rPr>
                <w:rFonts w:hint="eastAsia"/>
              </w:rPr>
              <w:br w:type="textWrapping"/>
            </w:r>
            <w:r>
              <w:rPr>
                <w:rStyle w:val="11"/>
                <w:rFonts w:hint="eastAsia"/>
              </w:rPr>
              <w:t>本品是噁唑酰草胺和氰氟草酯的混配制剂，噁唑酰草胺和氰氟草酯均是芳氧苯氧丙酸类内吸传导型除草剂，属乙酰辅酶A羧化酶（ACCase）抑制剂，能抑制植物脂肪酸的合成。经茎叶吸收，通过维管束传导至生长点，达到除草效果。推荐剂量下使用，对水稻安全，二者混用能够有效防除水稻田(直播)一年生禾本科杂草。</w:t>
            </w:r>
          </w:p>
        </w:tc>
      </w:tr>
      <w:tr w14:paraId="0F77040A">
        <w:tblPrEx>
          <w:tblCellMar>
            <w:top w:w="0" w:type="dxa"/>
            <w:left w:w="0" w:type="dxa"/>
            <w:bottom w:w="0" w:type="dxa"/>
            <w:right w:w="0" w:type="dxa"/>
          </w:tblCellMar>
        </w:tblPrEx>
        <w:trPr>
          <w:wBefore w:w="0" w:type="auto"/>
          <w:tblCellSpacing w:w="0" w:type="dxa"/>
        </w:trPr>
        <w:tc>
          <w:tcPr>
            <w:tcW w:w="0" w:type="auto"/>
            <w:noWrap w:val="0"/>
            <w:vAlign w:val="center"/>
          </w:tcPr>
          <w:p w14:paraId="02B169FB">
            <w:r>
              <w:rPr>
                <w:rStyle w:val="10"/>
                <w:rFonts w:hint="eastAsia"/>
              </w:rPr>
              <w:t>注意事项：</w:t>
            </w:r>
            <w:r>
              <w:rPr>
                <w:rFonts w:hint="eastAsia"/>
              </w:rPr>
              <w:br w:type="textWrapping"/>
            </w:r>
            <w:r>
              <w:rPr>
                <w:rStyle w:val="11"/>
                <w:rFonts w:hint="eastAsia"/>
              </w:rPr>
              <w:t>1、正常使用技术条件下对后茬作物安全。2、使用本品时应穿戴防护服、手套等，避免吸入药液；施药期间不可吃东西、饮水等。施药后应及时洗手、洗脸等。3、本品禁止在蚕室和桑园附近使用。4、远离水产养殖区、河塘等水域施药，禁止在河塘等水体清洗施药器械。废弃物应妥善处理，不可做他用，也不可随意丢弃。5、鱼、虾、蟹套养稻田禁用，施药后的田水不得直接排入水体。6、孕妇及哺乳期妇女应避免接触本品。7、本品对眼睛、皮肤有刺激性，使用时要注意避免药液与眼睛、皮肤接触。8、避免与氧化剂接触。</w:t>
            </w:r>
          </w:p>
        </w:tc>
      </w:tr>
      <w:tr w14:paraId="357B14C0">
        <w:tblPrEx>
          <w:tblCellMar>
            <w:top w:w="0" w:type="dxa"/>
            <w:left w:w="0" w:type="dxa"/>
            <w:bottom w:w="0" w:type="dxa"/>
            <w:right w:w="0" w:type="dxa"/>
          </w:tblCellMar>
        </w:tblPrEx>
        <w:trPr>
          <w:wBefore w:w="0" w:type="auto"/>
          <w:tblCellSpacing w:w="0" w:type="dxa"/>
        </w:trPr>
        <w:tc>
          <w:tcPr>
            <w:tcW w:w="0" w:type="auto"/>
            <w:noWrap w:val="0"/>
            <w:vAlign w:val="center"/>
          </w:tcPr>
          <w:p w14:paraId="386E0A15">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1．眼睛溅入∶立刻用大量清水冲洗15-20分钟，如配戴隐形眼镜，冲洗5分钟后摘掉眼镜再冲洗15分钟。携此标签去医院诊治。 2．误食∶立即饮用一杯或两杯水，用一只手指按住咽喉的后面部位，引吐。任何时候，不要试图让失去知觉的人呕吐或通过口部为其喂食。并请立即带标签就医。 3．皮肤沾附∶脱去被溅到衣服。立即用大量清水冲洗皮肤。衣服彻底清洗后方可再穿。 4．误吸∶转移至空气清新处，如症状持续，向医生咨询。 5．给医护人员的提示：无特效解毒药，请医生根据症状治疗。</w:t>
            </w:r>
          </w:p>
        </w:tc>
      </w:tr>
      <w:tr w14:paraId="1ABF34D1">
        <w:tblPrEx>
          <w:tblCellMar>
            <w:top w:w="0" w:type="dxa"/>
            <w:left w:w="0" w:type="dxa"/>
            <w:bottom w:w="0" w:type="dxa"/>
            <w:right w:w="0" w:type="dxa"/>
          </w:tblCellMar>
        </w:tblPrEx>
        <w:trPr>
          <w:wBefore w:w="0" w:type="auto"/>
          <w:tblCellSpacing w:w="0" w:type="dxa"/>
        </w:trPr>
        <w:tc>
          <w:tcPr>
            <w:tcW w:w="0" w:type="auto"/>
            <w:noWrap w:val="0"/>
            <w:vAlign w:val="center"/>
          </w:tcPr>
          <w:p w14:paraId="4A1E467A">
            <w:r>
              <w:rPr>
                <w:rStyle w:val="10"/>
                <w:rFonts w:hint="eastAsia"/>
              </w:rPr>
              <w:t>储存和运输方法：</w:t>
            </w:r>
            <w:r>
              <w:rPr>
                <w:rFonts w:hint="eastAsia"/>
              </w:rPr>
              <w:br w:type="textWrapping"/>
            </w:r>
            <w:r>
              <w:rPr>
                <w:rStyle w:val="11"/>
                <w:rFonts w:hint="eastAsia"/>
              </w:rPr>
              <w:t>1、本品应贮存在干燥、阴凉、通风、防雨处，远离火源或热源。2、本品应当置于儿童、无关人员触及不到之处，并加锁保存。3、勿与食品、饮料、饲料、粮食等其他商品同贮同运。</w:t>
            </w:r>
          </w:p>
        </w:tc>
      </w:tr>
      <w:tr w14:paraId="00B2F79D">
        <w:tblPrEx>
          <w:tblCellMar>
            <w:top w:w="0" w:type="dxa"/>
            <w:left w:w="0" w:type="dxa"/>
            <w:bottom w:w="0" w:type="dxa"/>
            <w:right w:w="0" w:type="dxa"/>
          </w:tblCellMar>
        </w:tblPrEx>
        <w:trPr>
          <w:wBefore w:w="0" w:type="auto"/>
          <w:tblCellSpacing w:w="0" w:type="dxa"/>
        </w:trPr>
        <w:tc>
          <w:tcPr>
            <w:tcW w:w="0" w:type="auto"/>
            <w:noWrap w:val="0"/>
            <w:vAlign w:val="center"/>
          </w:tcPr>
          <w:p w14:paraId="00C23C80">
            <w:r>
              <w:rPr>
                <w:rStyle w:val="10"/>
                <w:rFonts w:hint="eastAsia"/>
              </w:rPr>
              <w:t>质量保证期：</w:t>
            </w:r>
            <w:r>
              <w:rPr>
                <w:rStyle w:val="11"/>
                <w:rFonts w:hint="eastAsia"/>
              </w:rPr>
              <w:t>2年</w:t>
            </w:r>
          </w:p>
        </w:tc>
      </w:tr>
      <w:tr w14:paraId="01FE8A8D">
        <w:tblPrEx>
          <w:tblCellMar>
            <w:top w:w="0" w:type="dxa"/>
            <w:left w:w="0" w:type="dxa"/>
            <w:bottom w:w="0" w:type="dxa"/>
            <w:right w:w="0" w:type="dxa"/>
          </w:tblCellMar>
        </w:tblPrEx>
        <w:trPr>
          <w:wBefore w:w="0" w:type="auto"/>
          <w:tblCellSpacing w:w="0" w:type="dxa"/>
        </w:trPr>
        <w:tc>
          <w:tcPr>
            <w:tcW w:w="0" w:type="auto"/>
            <w:noWrap w:val="0"/>
            <w:vAlign w:val="center"/>
          </w:tcPr>
          <w:p w14:paraId="4A422DAB">
            <w:r>
              <w:rPr>
                <w:rStyle w:val="10"/>
                <w:rFonts w:hint="eastAsia"/>
              </w:rPr>
              <w:t>备注：</w:t>
            </w:r>
          </w:p>
        </w:tc>
      </w:tr>
    </w:tbl>
    <w:p w14:paraId="2E6726A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8BDCC17">
        <w:tblPrEx>
          <w:tblCellMar>
            <w:top w:w="0" w:type="dxa"/>
            <w:left w:w="0" w:type="dxa"/>
            <w:bottom w:w="0" w:type="dxa"/>
            <w:right w:w="0" w:type="dxa"/>
          </w:tblCellMar>
        </w:tblPrEx>
        <w:trPr>
          <w:wBefore w:w="0" w:type="auto"/>
          <w:tblCellSpacing w:w="0" w:type="dxa"/>
        </w:trPr>
        <w:tc>
          <w:tcPr>
            <w:tcW w:w="0" w:type="auto"/>
            <w:noWrap w:val="0"/>
            <w:vAlign w:val="center"/>
          </w:tcPr>
          <w:p w14:paraId="55C0A218">
            <w:r>
              <w:rPr>
                <w:rStyle w:val="10"/>
                <w:rFonts w:hint="eastAsia"/>
              </w:rPr>
              <w:t>登记证号：</w:t>
            </w:r>
            <w:r>
              <w:rPr>
                <w:rFonts w:hint="eastAsia"/>
              </w:rPr>
              <w:t>PD20211952</w:t>
            </w:r>
          </w:p>
        </w:tc>
      </w:tr>
      <w:tr w14:paraId="4A26FF90">
        <w:tblPrEx>
          <w:tblCellMar>
            <w:top w:w="0" w:type="dxa"/>
            <w:left w:w="0" w:type="dxa"/>
            <w:bottom w:w="0" w:type="dxa"/>
            <w:right w:w="0" w:type="dxa"/>
          </w:tblCellMar>
        </w:tblPrEx>
        <w:trPr>
          <w:wBefore w:w="0" w:type="auto"/>
          <w:tblCellSpacing w:w="0" w:type="dxa"/>
        </w:trPr>
        <w:tc>
          <w:tcPr>
            <w:tcW w:w="0" w:type="auto"/>
            <w:noWrap w:val="0"/>
            <w:vAlign w:val="center"/>
          </w:tcPr>
          <w:p w14:paraId="2B1A09E7">
            <w:r>
              <w:rPr>
                <w:rStyle w:val="10"/>
                <w:rFonts w:hint="eastAsia"/>
              </w:rPr>
              <w:t>登记证持有人：</w:t>
            </w:r>
            <w:r>
              <w:rPr>
                <w:rFonts w:hint="eastAsia"/>
              </w:rPr>
              <w:t>河南省博爱惠丰生化农药有限公司</w:t>
            </w:r>
          </w:p>
        </w:tc>
      </w:tr>
      <w:tr w14:paraId="4FBDAF57">
        <w:tblPrEx>
          <w:tblCellMar>
            <w:top w:w="0" w:type="dxa"/>
            <w:left w:w="0" w:type="dxa"/>
            <w:bottom w:w="0" w:type="dxa"/>
            <w:right w:w="0" w:type="dxa"/>
          </w:tblCellMar>
        </w:tblPrEx>
        <w:trPr>
          <w:wBefore w:w="0" w:type="auto"/>
          <w:tblCellSpacing w:w="0" w:type="dxa"/>
        </w:trPr>
        <w:tc>
          <w:tcPr>
            <w:tcW w:w="0" w:type="auto"/>
            <w:noWrap w:val="0"/>
            <w:vAlign w:val="center"/>
          </w:tcPr>
          <w:p w14:paraId="13E6CBA9">
            <w:r>
              <w:rPr>
                <w:rStyle w:val="10"/>
                <w:rFonts w:hint="eastAsia"/>
              </w:rPr>
              <w:t>农药名称：</w:t>
            </w:r>
            <w:r>
              <w:rPr>
                <w:rFonts w:hint="eastAsia"/>
              </w:rPr>
              <w:t>唑醚·戊唑醇</w:t>
            </w:r>
          </w:p>
        </w:tc>
      </w:tr>
      <w:tr w14:paraId="70B589E3">
        <w:tblPrEx>
          <w:tblCellMar>
            <w:top w:w="0" w:type="dxa"/>
            <w:left w:w="0" w:type="dxa"/>
            <w:bottom w:w="0" w:type="dxa"/>
            <w:right w:w="0" w:type="dxa"/>
          </w:tblCellMar>
        </w:tblPrEx>
        <w:trPr>
          <w:wBefore w:w="0" w:type="auto"/>
          <w:tblCellSpacing w:w="0" w:type="dxa"/>
        </w:trPr>
        <w:tc>
          <w:tcPr>
            <w:tcW w:w="0" w:type="auto"/>
            <w:noWrap w:val="0"/>
            <w:vAlign w:val="center"/>
          </w:tcPr>
          <w:p w14:paraId="310AE13F">
            <w:r>
              <w:rPr>
                <w:rStyle w:val="10"/>
                <w:rFonts w:hint="eastAsia"/>
              </w:rPr>
              <w:t>剂型：</w:t>
            </w:r>
            <w:r>
              <w:rPr>
                <w:rFonts w:hint="eastAsia"/>
              </w:rPr>
              <w:t>悬浮剂</w:t>
            </w:r>
          </w:p>
        </w:tc>
      </w:tr>
      <w:tr w14:paraId="3019ABC1">
        <w:tblPrEx>
          <w:tblCellMar>
            <w:top w:w="0" w:type="dxa"/>
            <w:left w:w="0" w:type="dxa"/>
            <w:bottom w:w="0" w:type="dxa"/>
            <w:right w:w="0" w:type="dxa"/>
          </w:tblCellMar>
        </w:tblPrEx>
        <w:trPr>
          <w:wBefore w:w="0" w:type="auto"/>
          <w:tblCellSpacing w:w="0" w:type="dxa"/>
        </w:trPr>
        <w:tc>
          <w:tcPr>
            <w:tcW w:w="0" w:type="auto"/>
            <w:noWrap w:val="0"/>
            <w:vAlign w:val="center"/>
          </w:tcPr>
          <w:p w14:paraId="1533119F">
            <w:r>
              <w:rPr>
                <w:rStyle w:val="10"/>
                <w:rFonts w:hint="eastAsia"/>
              </w:rPr>
              <w:t>毒性及其标识：</w:t>
            </w:r>
            <w:r>
              <w:rPr>
                <w:rFonts w:hint="eastAsia"/>
              </w:rPr>
              <w:t xml:space="preserve"> </w:t>
            </w:r>
            <w:r>
              <w:rPr>
                <w:lang/>
              </w:rPr>
              <w:drawing>
                <wp:inline distT="0" distB="0" distL="114300" distR="114300">
                  <wp:extent cx="476250" cy="323850"/>
                  <wp:effectExtent l="0" t="0" r="0" b="0"/>
                  <wp:docPr id="181" name="图片 18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ADD125D">
        <w:tblPrEx>
          <w:tblCellMar>
            <w:top w:w="0" w:type="dxa"/>
            <w:left w:w="0" w:type="dxa"/>
            <w:bottom w:w="0" w:type="dxa"/>
            <w:right w:w="0" w:type="dxa"/>
          </w:tblCellMar>
        </w:tblPrEx>
        <w:trPr>
          <w:wBefore w:w="0" w:type="auto"/>
          <w:tblCellSpacing w:w="0" w:type="dxa"/>
        </w:trPr>
        <w:tc>
          <w:tcPr>
            <w:tcW w:w="0" w:type="auto"/>
            <w:noWrap w:val="0"/>
            <w:vAlign w:val="center"/>
          </w:tcPr>
          <w:p w14:paraId="595E0246">
            <w:r>
              <w:rPr>
                <w:rStyle w:val="10"/>
                <w:rFonts w:hint="eastAsia"/>
              </w:rPr>
              <w:t>总有效成分含量：</w:t>
            </w:r>
            <w:r>
              <w:rPr>
                <w:rFonts w:hint="eastAsia"/>
              </w:rPr>
              <w:t>40%</w:t>
            </w:r>
          </w:p>
        </w:tc>
      </w:tr>
      <w:tr w14:paraId="7F19D334">
        <w:tblPrEx>
          <w:tblCellMar>
            <w:top w:w="0" w:type="dxa"/>
            <w:left w:w="0" w:type="dxa"/>
            <w:bottom w:w="0" w:type="dxa"/>
            <w:right w:w="0" w:type="dxa"/>
          </w:tblCellMar>
        </w:tblPrEx>
        <w:trPr>
          <w:wBefore w:w="0" w:type="auto"/>
          <w:tblCellSpacing w:w="0" w:type="dxa"/>
        </w:trPr>
        <w:tc>
          <w:tcPr>
            <w:tcW w:w="0" w:type="auto"/>
            <w:noWrap w:val="0"/>
            <w:vAlign w:val="center"/>
          </w:tcPr>
          <w:p w14:paraId="63D10551">
            <w:r>
              <w:rPr>
                <w:rFonts w:hint="eastAsia"/>
              </w:rPr>
              <w:t xml:space="preserve">有效成分及其含量： </w:t>
            </w:r>
          </w:p>
          <w:p w14:paraId="12D8100E">
            <w:r>
              <w:rPr>
                <w:rFonts w:hint="eastAsia"/>
              </w:rPr>
              <w:t xml:space="preserve">    吡唑醚菌酯10%    戊唑醇30%    </w:t>
            </w:r>
          </w:p>
        </w:tc>
      </w:tr>
      <w:tr w14:paraId="33F8A1C5">
        <w:tblPrEx>
          <w:tblCellMar>
            <w:top w:w="0" w:type="dxa"/>
            <w:left w:w="0" w:type="dxa"/>
            <w:bottom w:w="0" w:type="dxa"/>
            <w:right w:w="0" w:type="dxa"/>
          </w:tblCellMar>
        </w:tblPrEx>
        <w:trPr>
          <w:wBefore w:w="0" w:type="auto"/>
          <w:tblCellSpacing w:w="0" w:type="dxa"/>
        </w:trPr>
        <w:tc>
          <w:tcPr>
            <w:tcW w:w="0" w:type="auto"/>
            <w:noWrap w:val="0"/>
            <w:vAlign w:val="center"/>
          </w:tcPr>
          <w:p w14:paraId="1CA66FC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8A5C0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8FC5F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BE89ED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FDDB45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CC6EE81">
                  <w:r>
                    <w:rPr>
                      <w:rStyle w:val="11"/>
                      <w:rFonts w:hint="eastAsia"/>
                    </w:rPr>
                    <w:t>施用方式</w:t>
                  </w:r>
                </w:p>
              </w:tc>
            </w:tr>
            <w:tr w14:paraId="4E424C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BB9DF53">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3686C4">
                  <w:r>
                    <w:rPr>
                      <w:rStyle w:val="11"/>
                      <w:rFonts w:hint="eastAsia"/>
                    </w:rPr>
                    <w:t>赤霉病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E1C356">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9CE5FF">
                  <w:r>
                    <w:rPr>
                      <w:rStyle w:val="11"/>
                      <w:rFonts w:hint="eastAsia"/>
                    </w:rPr>
                    <w:t>喷雾</w:t>
                  </w:r>
                </w:p>
              </w:tc>
            </w:tr>
          </w:tbl>
          <w:p w14:paraId="207CC1AF">
            <w:pPr>
              <w:rPr>
                <w:rFonts w:ascii="Times New Roman" w:hAnsi="Times New Roman" w:cs="Times New Roman"/>
                <w:sz w:val="20"/>
                <w:szCs w:val="20"/>
              </w:rPr>
            </w:pPr>
          </w:p>
        </w:tc>
      </w:tr>
      <w:tr w14:paraId="476A2208">
        <w:tblPrEx>
          <w:tblCellMar>
            <w:top w:w="0" w:type="dxa"/>
            <w:left w:w="0" w:type="dxa"/>
            <w:bottom w:w="0" w:type="dxa"/>
            <w:right w:w="0" w:type="dxa"/>
          </w:tblCellMar>
        </w:tblPrEx>
        <w:trPr>
          <w:wBefore w:w="0" w:type="auto"/>
          <w:tblCellSpacing w:w="0" w:type="dxa"/>
        </w:trPr>
        <w:tc>
          <w:tcPr>
            <w:tcW w:w="0" w:type="auto"/>
            <w:noWrap w:val="0"/>
            <w:vAlign w:val="center"/>
          </w:tcPr>
          <w:p w14:paraId="7CB8981B">
            <w:r>
              <w:rPr>
                <w:rStyle w:val="10"/>
                <w:rFonts w:hint="eastAsia"/>
              </w:rPr>
              <w:t>使用技术要求:</w:t>
            </w:r>
            <w:r>
              <w:rPr>
                <w:rFonts w:hint="eastAsia"/>
              </w:rPr>
              <w:br w:type="textWrapping"/>
            </w:r>
            <w:r>
              <w:rPr>
                <w:rStyle w:val="11"/>
                <w:rFonts w:hint="eastAsia"/>
              </w:rPr>
              <w:t>1．于小麦赤霉病发病前或小麦扬花初期施药，间隔5～7天施药1次，最多施药2次， 施药时对准穗部喷雾。喷雾均匀、周到，以确保防效。 2.大风天或预计1小时内降雨，请勿施药。 3.产品在作物上使用的推荐安全间隔期为14天，每个作物周期的最多使用2次。</w:t>
            </w:r>
          </w:p>
        </w:tc>
      </w:tr>
      <w:tr w14:paraId="084A30D9">
        <w:tblPrEx>
          <w:tblCellMar>
            <w:top w:w="0" w:type="dxa"/>
            <w:left w:w="0" w:type="dxa"/>
            <w:bottom w:w="0" w:type="dxa"/>
            <w:right w:w="0" w:type="dxa"/>
          </w:tblCellMar>
        </w:tblPrEx>
        <w:trPr>
          <w:wBefore w:w="0" w:type="auto"/>
          <w:tblCellSpacing w:w="0" w:type="dxa"/>
        </w:trPr>
        <w:tc>
          <w:tcPr>
            <w:tcW w:w="0" w:type="auto"/>
            <w:noWrap w:val="0"/>
            <w:vAlign w:val="center"/>
          </w:tcPr>
          <w:p w14:paraId="60511F96">
            <w:r>
              <w:rPr>
                <w:rStyle w:val="10"/>
                <w:rFonts w:hint="eastAsia"/>
              </w:rPr>
              <w:t>产品性能:</w:t>
            </w:r>
            <w:r>
              <w:rPr>
                <w:rFonts w:hint="eastAsia"/>
              </w:rPr>
              <w:br w:type="textWrapping"/>
            </w:r>
            <w:r>
              <w:rPr>
                <w:rStyle w:val="11"/>
                <w:rFonts w:hint="eastAsia"/>
              </w:rPr>
              <w:t>本品为三唑类和甲氧基丙烯酸酯类的混配制剂，具有较高的杀菌活性。同时具有保护、治疗作用，对小麦赤霉病有较好的防效。本品在推荐剂量下对作物安全，能够促进氮的吸收，进而增强作物的抵抗力。</w:t>
            </w:r>
          </w:p>
        </w:tc>
      </w:tr>
      <w:tr w14:paraId="7F23AF1E">
        <w:tblPrEx>
          <w:tblCellMar>
            <w:top w:w="0" w:type="dxa"/>
            <w:left w:w="0" w:type="dxa"/>
            <w:bottom w:w="0" w:type="dxa"/>
            <w:right w:w="0" w:type="dxa"/>
          </w:tblCellMar>
        </w:tblPrEx>
        <w:trPr>
          <w:wBefore w:w="0" w:type="auto"/>
          <w:tblCellSpacing w:w="0" w:type="dxa"/>
        </w:trPr>
        <w:tc>
          <w:tcPr>
            <w:tcW w:w="0" w:type="auto"/>
            <w:noWrap w:val="0"/>
            <w:vAlign w:val="center"/>
          </w:tcPr>
          <w:p w14:paraId="48AB44D8">
            <w:r>
              <w:rPr>
                <w:rStyle w:val="10"/>
                <w:rFonts w:hint="eastAsia"/>
              </w:rPr>
              <w:t>注意事项：</w:t>
            </w:r>
            <w:r>
              <w:rPr>
                <w:rFonts w:hint="eastAsia"/>
              </w:rPr>
              <w:br w:type="textWrapping"/>
            </w:r>
            <w:r>
              <w:rPr>
                <w:rStyle w:val="11"/>
                <w:rFonts w:hint="eastAsia"/>
              </w:rPr>
              <w:t>1、本品对鸟类、家蚕有毒，鸟类保护区附近禁用；桑园及蚕室附近禁用；远离水产养殖区、河塘等水体施药，禁止在河塘等水域内清洗施药器具； 2、本品对眼睛有刺激性，使用本品应采取相应的安全防护措施，穿防护服，戴防护手套、口罩等，避免皮肤接触及口鼻吸入。使用中不可吸烟、饮水及吃东西，使用后及时清洗手、脸等暴露部位皮肤并更换衣物。3、建议与其他作用机制不同的杀虫剂轮换使用，以延缓抗药性。4、用过的容器应妥善处理，不可做他用，也不可随意丢弃。5、避免孕妇及哺乳期妇女接触本品。</w:t>
            </w:r>
          </w:p>
        </w:tc>
      </w:tr>
      <w:tr w14:paraId="540FDD6A">
        <w:tblPrEx>
          <w:tblCellMar>
            <w:top w:w="0" w:type="dxa"/>
            <w:left w:w="0" w:type="dxa"/>
            <w:bottom w:w="0" w:type="dxa"/>
            <w:right w:w="0" w:type="dxa"/>
          </w:tblCellMar>
        </w:tblPrEx>
        <w:trPr>
          <w:wBefore w:w="0" w:type="auto"/>
          <w:tblCellSpacing w:w="0" w:type="dxa"/>
        </w:trPr>
        <w:tc>
          <w:tcPr>
            <w:tcW w:w="0" w:type="auto"/>
            <w:noWrap w:val="0"/>
            <w:vAlign w:val="center"/>
          </w:tcPr>
          <w:p w14:paraId="37F34995">
            <w:r>
              <w:rPr>
                <w:rStyle w:val="10"/>
                <w:rFonts w:hint="eastAsia"/>
              </w:rPr>
              <w:t>中毒急救措施：</w:t>
            </w:r>
            <w:r>
              <w:rPr>
                <w:rFonts w:hint="eastAsia"/>
              </w:rPr>
              <w:br w:type="textWrapping"/>
            </w:r>
            <w:r>
              <w:rPr>
                <w:rStyle w:val="11"/>
                <w:rFonts w:hint="eastAsia"/>
              </w:rPr>
              <w:t>中毒症状：本品对眼睛有刺激作用。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用清水充分漱口后，立即携带标签到医院到医院就诊。本品无特效解毒剂，可对症治疗。</w:t>
            </w:r>
          </w:p>
        </w:tc>
      </w:tr>
      <w:tr w14:paraId="35739612">
        <w:tblPrEx>
          <w:tblCellMar>
            <w:top w:w="0" w:type="dxa"/>
            <w:left w:w="0" w:type="dxa"/>
            <w:bottom w:w="0" w:type="dxa"/>
            <w:right w:w="0" w:type="dxa"/>
          </w:tblCellMar>
        </w:tblPrEx>
        <w:trPr>
          <w:wBefore w:w="0" w:type="auto"/>
          <w:tblCellSpacing w:w="0" w:type="dxa"/>
        </w:trPr>
        <w:tc>
          <w:tcPr>
            <w:tcW w:w="0" w:type="auto"/>
            <w:noWrap w:val="0"/>
            <w:vAlign w:val="center"/>
          </w:tcPr>
          <w:p w14:paraId="45DD77E2">
            <w:r>
              <w:rPr>
                <w:rStyle w:val="10"/>
                <w:rFonts w:hint="eastAsia"/>
              </w:rPr>
              <w:t>储存和运输方法：</w:t>
            </w:r>
            <w:r>
              <w:rPr>
                <w:rFonts w:hint="eastAsia"/>
              </w:rPr>
              <w:br w:type="textWrapping"/>
            </w:r>
            <w:r>
              <w:rPr>
                <w:rStyle w:val="11"/>
                <w:rFonts w:hint="eastAsia"/>
              </w:rPr>
              <w:t xml:space="preserve">本品应贮存在阴凉、干燥、通风、防雨处，远离火源或热源，置于儿童触及不到之处，并加锁；不能与食品、饮料、粮食、饲料等物品同贮同运。装卸运输时注意检查包装是否密封完整，轻拿轻放。 </w:t>
            </w:r>
          </w:p>
        </w:tc>
      </w:tr>
      <w:tr w14:paraId="73879CA5">
        <w:tblPrEx>
          <w:tblCellMar>
            <w:top w:w="0" w:type="dxa"/>
            <w:left w:w="0" w:type="dxa"/>
            <w:bottom w:w="0" w:type="dxa"/>
            <w:right w:w="0" w:type="dxa"/>
          </w:tblCellMar>
        </w:tblPrEx>
        <w:trPr>
          <w:wBefore w:w="0" w:type="auto"/>
          <w:tblCellSpacing w:w="0" w:type="dxa"/>
        </w:trPr>
        <w:tc>
          <w:tcPr>
            <w:tcW w:w="0" w:type="auto"/>
            <w:noWrap w:val="0"/>
            <w:vAlign w:val="center"/>
          </w:tcPr>
          <w:p w14:paraId="61D46960">
            <w:r>
              <w:rPr>
                <w:rStyle w:val="10"/>
                <w:rFonts w:hint="eastAsia"/>
              </w:rPr>
              <w:t>质量保证期：</w:t>
            </w:r>
            <w:r>
              <w:rPr>
                <w:rStyle w:val="11"/>
                <w:rFonts w:hint="eastAsia"/>
              </w:rPr>
              <w:t>2年</w:t>
            </w:r>
          </w:p>
        </w:tc>
      </w:tr>
      <w:tr w14:paraId="4D5D7D2B">
        <w:tblPrEx>
          <w:tblCellMar>
            <w:top w:w="0" w:type="dxa"/>
            <w:left w:w="0" w:type="dxa"/>
            <w:bottom w:w="0" w:type="dxa"/>
            <w:right w:w="0" w:type="dxa"/>
          </w:tblCellMar>
        </w:tblPrEx>
        <w:trPr>
          <w:wBefore w:w="0" w:type="auto"/>
          <w:tblCellSpacing w:w="0" w:type="dxa"/>
        </w:trPr>
        <w:tc>
          <w:tcPr>
            <w:tcW w:w="0" w:type="auto"/>
            <w:noWrap w:val="0"/>
            <w:vAlign w:val="center"/>
          </w:tcPr>
          <w:p w14:paraId="08FEBE0D">
            <w:r>
              <w:rPr>
                <w:rStyle w:val="10"/>
                <w:rFonts w:hint="eastAsia"/>
              </w:rPr>
              <w:t>备注：</w:t>
            </w:r>
          </w:p>
        </w:tc>
      </w:tr>
    </w:tbl>
    <w:p w14:paraId="406B0AD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5E14E73">
        <w:tblPrEx>
          <w:tblCellMar>
            <w:top w:w="0" w:type="dxa"/>
            <w:left w:w="0" w:type="dxa"/>
            <w:bottom w:w="0" w:type="dxa"/>
            <w:right w:w="0" w:type="dxa"/>
          </w:tblCellMar>
        </w:tblPrEx>
        <w:trPr>
          <w:wBefore w:w="0" w:type="auto"/>
          <w:tblCellSpacing w:w="0" w:type="dxa"/>
        </w:trPr>
        <w:tc>
          <w:tcPr>
            <w:tcW w:w="0" w:type="auto"/>
            <w:noWrap w:val="0"/>
            <w:vAlign w:val="center"/>
          </w:tcPr>
          <w:p w14:paraId="62A31F9F">
            <w:r>
              <w:rPr>
                <w:rStyle w:val="10"/>
                <w:rFonts w:hint="eastAsia"/>
              </w:rPr>
              <w:t>登记证号：</w:t>
            </w:r>
            <w:r>
              <w:rPr>
                <w:rFonts w:hint="eastAsia"/>
              </w:rPr>
              <w:t>PD20212294</w:t>
            </w:r>
          </w:p>
        </w:tc>
      </w:tr>
      <w:tr w14:paraId="07CF4945">
        <w:tblPrEx>
          <w:tblCellMar>
            <w:top w:w="0" w:type="dxa"/>
            <w:left w:w="0" w:type="dxa"/>
            <w:bottom w:w="0" w:type="dxa"/>
            <w:right w:w="0" w:type="dxa"/>
          </w:tblCellMar>
        </w:tblPrEx>
        <w:trPr>
          <w:wBefore w:w="0" w:type="auto"/>
          <w:tblCellSpacing w:w="0" w:type="dxa"/>
        </w:trPr>
        <w:tc>
          <w:tcPr>
            <w:tcW w:w="0" w:type="auto"/>
            <w:noWrap w:val="0"/>
            <w:vAlign w:val="center"/>
          </w:tcPr>
          <w:p w14:paraId="6AE94141">
            <w:r>
              <w:rPr>
                <w:rStyle w:val="10"/>
                <w:rFonts w:hint="eastAsia"/>
              </w:rPr>
              <w:t>登记证持有人：</w:t>
            </w:r>
            <w:r>
              <w:rPr>
                <w:rFonts w:hint="eastAsia"/>
              </w:rPr>
              <w:t>侨昌现代农业有限公司</w:t>
            </w:r>
          </w:p>
        </w:tc>
      </w:tr>
      <w:tr w14:paraId="1B3118B0">
        <w:tblPrEx>
          <w:tblCellMar>
            <w:top w:w="0" w:type="dxa"/>
            <w:left w:w="0" w:type="dxa"/>
            <w:bottom w:w="0" w:type="dxa"/>
            <w:right w:w="0" w:type="dxa"/>
          </w:tblCellMar>
        </w:tblPrEx>
        <w:trPr>
          <w:wBefore w:w="0" w:type="auto"/>
          <w:tblCellSpacing w:w="0" w:type="dxa"/>
        </w:trPr>
        <w:tc>
          <w:tcPr>
            <w:tcW w:w="0" w:type="auto"/>
            <w:noWrap w:val="0"/>
            <w:vAlign w:val="center"/>
          </w:tcPr>
          <w:p w14:paraId="0AEA86CC">
            <w:r>
              <w:rPr>
                <w:rStyle w:val="10"/>
                <w:rFonts w:hint="eastAsia"/>
              </w:rPr>
              <w:t>农药名称：</w:t>
            </w:r>
            <w:r>
              <w:rPr>
                <w:rFonts w:hint="eastAsia"/>
              </w:rPr>
              <w:t>精草铵膦铵盐</w:t>
            </w:r>
          </w:p>
        </w:tc>
      </w:tr>
      <w:tr w14:paraId="0FCA95A7">
        <w:tblPrEx>
          <w:tblCellMar>
            <w:top w:w="0" w:type="dxa"/>
            <w:left w:w="0" w:type="dxa"/>
            <w:bottom w:w="0" w:type="dxa"/>
            <w:right w:w="0" w:type="dxa"/>
          </w:tblCellMar>
        </w:tblPrEx>
        <w:trPr>
          <w:wBefore w:w="0" w:type="auto"/>
          <w:tblCellSpacing w:w="0" w:type="dxa"/>
        </w:trPr>
        <w:tc>
          <w:tcPr>
            <w:tcW w:w="0" w:type="auto"/>
            <w:noWrap w:val="0"/>
            <w:vAlign w:val="center"/>
          </w:tcPr>
          <w:p w14:paraId="55597B90">
            <w:r>
              <w:rPr>
                <w:rStyle w:val="10"/>
                <w:rFonts w:hint="eastAsia"/>
              </w:rPr>
              <w:t>剂型：</w:t>
            </w:r>
            <w:r>
              <w:rPr>
                <w:rFonts w:hint="eastAsia"/>
              </w:rPr>
              <w:t>可溶液剂</w:t>
            </w:r>
          </w:p>
        </w:tc>
      </w:tr>
      <w:tr w14:paraId="2D53B66B">
        <w:tblPrEx>
          <w:tblCellMar>
            <w:top w:w="0" w:type="dxa"/>
            <w:left w:w="0" w:type="dxa"/>
            <w:bottom w:w="0" w:type="dxa"/>
            <w:right w:w="0" w:type="dxa"/>
          </w:tblCellMar>
        </w:tblPrEx>
        <w:trPr>
          <w:wBefore w:w="0" w:type="auto"/>
          <w:tblCellSpacing w:w="0" w:type="dxa"/>
        </w:trPr>
        <w:tc>
          <w:tcPr>
            <w:tcW w:w="0" w:type="auto"/>
            <w:noWrap w:val="0"/>
            <w:vAlign w:val="center"/>
          </w:tcPr>
          <w:p w14:paraId="3460283C">
            <w:r>
              <w:rPr>
                <w:rStyle w:val="10"/>
                <w:rFonts w:hint="eastAsia"/>
              </w:rPr>
              <w:t>毒性及其标识：</w:t>
            </w:r>
            <w:r>
              <w:rPr>
                <w:rFonts w:hint="eastAsia"/>
              </w:rPr>
              <w:t xml:space="preserve"> </w:t>
            </w:r>
            <w:r>
              <w:rPr>
                <w:lang/>
              </w:rPr>
              <w:drawing>
                <wp:inline distT="0" distB="0" distL="114300" distR="114300">
                  <wp:extent cx="476250" cy="323850"/>
                  <wp:effectExtent l="0" t="0" r="0" b="0"/>
                  <wp:docPr id="182" name="图片 18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E6B902D">
        <w:tblPrEx>
          <w:tblCellMar>
            <w:top w:w="0" w:type="dxa"/>
            <w:left w:w="0" w:type="dxa"/>
            <w:bottom w:w="0" w:type="dxa"/>
            <w:right w:w="0" w:type="dxa"/>
          </w:tblCellMar>
        </w:tblPrEx>
        <w:trPr>
          <w:wBefore w:w="0" w:type="auto"/>
          <w:tblCellSpacing w:w="0" w:type="dxa"/>
        </w:trPr>
        <w:tc>
          <w:tcPr>
            <w:tcW w:w="0" w:type="auto"/>
            <w:noWrap w:val="0"/>
            <w:vAlign w:val="center"/>
          </w:tcPr>
          <w:p w14:paraId="7CF22AD6">
            <w:r>
              <w:rPr>
                <w:rStyle w:val="10"/>
                <w:rFonts w:hint="eastAsia"/>
              </w:rPr>
              <w:t>总有效成分含量：</w:t>
            </w:r>
            <w:r>
              <w:rPr>
                <w:rFonts w:hint="eastAsia"/>
              </w:rPr>
              <w:t>20%</w:t>
            </w:r>
          </w:p>
        </w:tc>
      </w:tr>
      <w:tr w14:paraId="257AE613">
        <w:tblPrEx>
          <w:tblCellMar>
            <w:top w:w="0" w:type="dxa"/>
            <w:left w:w="0" w:type="dxa"/>
            <w:bottom w:w="0" w:type="dxa"/>
            <w:right w:w="0" w:type="dxa"/>
          </w:tblCellMar>
        </w:tblPrEx>
        <w:trPr>
          <w:wBefore w:w="0" w:type="auto"/>
          <w:tblCellSpacing w:w="0" w:type="dxa"/>
        </w:trPr>
        <w:tc>
          <w:tcPr>
            <w:tcW w:w="0" w:type="auto"/>
            <w:noWrap w:val="0"/>
            <w:vAlign w:val="center"/>
          </w:tcPr>
          <w:p w14:paraId="64D30FAA">
            <w:r>
              <w:rPr>
                <w:rFonts w:hint="eastAsia"/>
              </w:rPr>
              <w:t xml:space="preserve">有效成分及其含量： </w:t>
            </w:r>
          </w:p>
          <w:p w14:paraId="5AF864AD">
            <w:r>
              <w:rPr>
                <w:rFonts w:hint="eastAsia"/>
              </w:rPr>
              <w:t xml:space="preserve">    精草铵膦20%    </w:t>
            </w:r>
          </w:p>
        </w:tc>
      </w:tr>
      <w:tr w14:paraId="704DAC19">
        <w:tblPrEx>
          <w:tblCellMar>
            <w:top w:w="0" w:type="dxa"/>
            <w:left w:w="0" w:type="dxa"/>
            <w:bottom w:w="0" w:type="dxa"/>
            <w:right w:w="0" w:type="dxa"/>
          </w:tblCellMar>
        </w:tblPrEx>
        <w:trPr>
          <w:wBefore w:w="0" w:type="auto"/>
          <w:tblCellSpacing w:w="0" w:type="dxa"/>
        </w:trPr>
        <w:tc>
          <w:tcPr>
            <w:tcW w:w="0" w:type="auto"/>
            <w:noWrap w:val="0"/>
            <w:vAlign w:val="center"/>
          </w:tcPr>
          <w:p w14:paraId="58CD03C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8C55E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7E2DEB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D8996B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85495F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46AF02F">
                  <w:r>
                    <w:rPr>
                      <w:rStyle w:val="11"/>
                      <w:rFonts w:hint="eastAsia"/>
                    </w:rPr>
                    <w:t>施用方式</w:t>
                  </w:r>
                </w:p>
              </w:tc>
            </w:tr>
            <w:tr w14:paraId="005A5A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BBA2FA7">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97F65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B11212">
                  <w:r>
                    <w:rPr>
                      <w:rStyle w:val="11"/>
                      <w:rFonts w:hint="eastAsia"/>
                    </w:rPr>
                    <w:t>100-200毫升/亩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41D55A">
                  <w:r>
                    <w:rPr>
                      <w:rStyle w:val="11"/>
                      <w:rFonts w:hint="eastAsia"/>
                    </w:rPr>
                    <w:t>茎叶喷雾</w:t>
                  </w:r>
                </w:p>
              </w:tc>
            </w:tr>
          </w:tbl>
          <w:p w14:paraId="72092C35">
            <w:pPr>
              <w:rPr>
                <w:rFonts w:ascii="Times New Roman" w:hAnsi="Times New Roman" w:cs="Times New Roman"/>
                <w:sz w:val="20"/>
                <w:szCs w:val="20"/>
              </w:rPr>
            </w:pPr>
          </w:p>
        </w:tc>
      </w:tr>
      <w:tr w14:paraId="41E016AA">
        <w:tblPrEx>
          <w:tblCellMar>
            <w:top w:w="0" w:type="dxa"/>
            <w:left w:w="0" w:type="dxa"/>
            <w:bottom w:w="0" w:type="dxa"/>
            <w:right w:w="0" w:type="dxa"/>
          </w:tblCellMar>
        </w:tblPrEx>
        <w:trPr>
          <w:wBefore w:w="0" w:type="auto"/>
          <w:tblCellSpacing w:w="0" w:type="dxa"/>
        </w:trPr>
        <w:tc>
          <w:tcPr>
            <w:tcW w:w="0" w:type="auto"/>
            <w:noWrap w:val="0"/>
            <w:vAlign w:val="center"/>
          </w:tcPr>
          <w:p w14:paraId="4D09C1FC">
            <w:r>
              <w:rPr>
                <w:rStyle w:val="10"/>
                <w:rFonts w:hint="eastAsia"/>
              </w:rPr>
              <w:t>使用技术要求:</w:t>
            </w:r>
            <w:r>
              <w:rPr>
                <w:rFonts w:hint="eastAsia"/>
              </w:rPr>
              <w:br w:type="textWrapping"/>
            </w:r>
            <w:r>
              <w:rPr>
                <w:rStyle w:val="11"/>
                <w:rFonts w:hint="eastAsia"/>
              </w:rPr>
              <w:t>1、杂草生长旺盛时期施药，每亩兑水20-30公斤，均匀茎叶喷雾。2、大风天或预计1小时内降雨，请勿施药。3、施药时注意避免药液飘移到邻近作物。</w:t>
            </w:r>
          </w:p>
        </w:tc>
      </w:tr>
      <w:tr w14:paraId="7BBC97B5">
        <w:tblPrEx>
          <w:tblCellMar>
            <w:top w:w="0" w:type="dxa"/>
            <w:left w:w="0" w:type="dxa"/>
            <w:bottom w:w="0" w:type="dxa"/>
            <w:right w:w="0" w:type="dxa"/>
          </w:tblCellMar>
        </w:tblPrEx>
        <w:trPr>
          <w:wBefore w:w="0" w:type="auto"/>
          <w:tblCellSpacing w:w="0" w:type="dxa"/>
        </w:trPr>
        <w:tc>
          <w:tcPr>
            <w:tcW w:w="0" w:type="auto"/>
            <w:noWrap w:val="0"/>
            <w:vAlign w:val="center"/>
          </w:tcPr>
          <w:p w14:paraId="3E552B80">
            <w:r>
              <w:rPr>
                <w:rStyle w:val="10"/>
                <w:rFonts w:hint="eastAsia"/>
              </w:rPr>
              <w:t>产品性能:</w:t>
            </w:r>
            <w:r>
              <w:rPr>
                <w:rFonts w:hint="eastAsia"/>
              </w:rPr>
              <w:br w:type="textWrapping"/>
            </w:r>
            <w:r>
              <w:rPr>
                <w:rStyle w:val="11"/>
                <w:rFonts w:hint="eastAsia"/>
              </w:rPr>
              <w:t>本品为稳定的均相液体，可有效防除非耕地杂草。</w:t>
            </w:r>
          </w:p>
        </w:tc>
      </w:tr>
      <w:tr w14:paraId="10F6A07A">
        <w:tblPrEx>
          <w:tblCellMar>
            <w:top w:w="0" w:type="dxa"/>
            <w:left w:w="0" w:type="dxa"/>
            <w:bottom w:w="0" w:type="dxa"/>
            <w:right w:w="0" w:type="dxa"/>
          </w:tblCellMar>
        </w:tblPrEx>
        <w:trPr>
          <w:wBefore w:w="0" w:type="auto"/>
          <w:tblCellSpacing w:w="0" w:type="dxa"/>
        </w:trPr>
        <w:tc>
          <w:tcPr>
            <w:tcW w:w="0" w:type="auto"/>
            <w:noWrap w:val="0"/>
            <w:vAlign w:val="center"/>
          </w:tcPr>
          <w:p w14:paraId="6D0605F2">
            <w:r>
              <w:rPr>
                <w:rStyle w:val="10"/>
                <w:rFonts w:hint="eastAsia"/>
              </w:rPr>
              <w:t>注意事项：</w:t>
            </w:r>
            <w:r>
              <w:rPr>
                <w:rFonts w:hint="eastAsia"/>
              </w:rPr>
              <w:br w:type="textWrapping"/>
            </w:r>
            <w:r>
              <w:rPr>
                <w:rStyle w:val="11"/>
                <w:rFonts w:hint="eastAsia"/>
              </w:rPr>
              <w:t>1、本品对蜜蜂、鱼类等水生生物、家蚕有毒，施药期间应避免对周围蜂群的影响，禁止在开花植物花期、蚕室和桑园附近使用。赤眼蜂等天敌放飞区域禁用。地下水、饮用水水源地禁用。桑园最外一排作为隔离带。2、远离水产养殖区、河塘等水域施药。3、使用本品时应穿防护服、戴口罩、手套等防护用具，避免吸入药液；施药期间不可吃东西、喝水、吸烟等。施药后应及时洗手、洗脸等。4、禁止在河塘等水域内清洗施药器具或将清洗施药器具的废水倒入河流、池塘等水源。5、废弃物应妥善处理，不可做他用，也不可随意丢弃。6、本药剂大面积灭草时，药后杂草成片干枯，应注意防治火灾发生。7、孕妇及哺乳期妇女避免接触本品。8、禁止在田间道路、田埂、果树行间、休耕地、林场林地等农林业区域使用。</w:t>
            </w:r>
          </w:p>
        </w:tc>
      </w:tr>
      <w:tr w14:paraId="2CBB240B">
        <w:tblPrEx>
          <w:tblCellMar>
            <w:top w:w="0" w:type="dxa"/>
            <w:left w:w="0" w:type="dxa"/>
            <w:bottom w:w="0" w:type="dxa"/>
            <w:right w:w="0" w:type="dxa"/>
          </w:tblCellMar>
        </w:tblPrEx>
        <w:trPr>
          <w:wBefore w:w="0" w:type="auto"/>
          <w:tblCellSpacing w:w="0" w:type="dxa"/>
        </w:trPr>
        <w:tc>
          <w:tcPr>
            <w:tcW w:w="0" w:type="auto"/>
            <w:noWrap w:val="0"/>
            <w:vAlign w:val="center"/>
          </w:tcPr>
          <w:p w14:paraId="75C1AB2B">
            <w:r>
              <w:rPr>
                <w:rStyle w:val="10"/>
                <w:rFonts w:hint="eastAsia"/>
              </w:rPr>
              <w:t>中毒急救措施：</w:t>
            </w:r>
            <w:r>
              <w:rPr>
                <w:rFonts w:hint="eastAsia"/>
              </w:rPr>
              <w:br w:type="textWrapping"/>
            </w:r>
            <w:r>
              <w:rPr>
                <w:rStyle w:val="11"/>
                <w:rFonts w:hint="eastAsia"/>
              </w:rPr>
              <w:t>对眼睛、皮肤和粘膜有刺激作用。如不慎吸入，将病人移至空气流通处；不慎接触皮肤，用大量清水和肥皂冲洗干净；若溅入眼睛，用大量清水冲洗至少15分钟，仍有不适，就医；如误服，立即带标签送医院，对症治疗。应先洗胃，无特效解毒剂。</w:t>
            </w:r>
          </w:p>
        </w:tc>
      </w:tr>
      <w:tr w14:paraId="38AAA110">
        <w:tblPrEx>
          <w:tblCellMar>
            <w:top w:w="0" w:type="dxa"/>
            <w:left w:w="0" w:type="dxa"/>
            <w:bottom w:w="0" w:type="dxa"/>
            <w:right w:w="0" w:type="dxa"/>
          </w:tblCellMar>
        </w:tblPrEx>
        <w:trPr>
          <w:wBefore w:w="0" w:type="auto"/>
          <w:tblCellSpacing w:w="0" w:type="dxa"/>
        </w:trPr>
        <w:tc>
          <w:tcPr>
            <w:tcW w:w="0" w:type="auto"/>
            <w:noWrap w:val="0"/>
            <w:vAlign w:val="center"/>
          </w:tcPr>
          <w:p w14:paraId="011AFFB7">
            <w:r>
              <w:rPr>
                <w:rStyle w:val="10"/>
                <w:rFonts w:hint="eastAsia"/>
              </w:rPr>
              <w:t>储存和运输方法：</w:t>
            </w:r>
            <w:r>
              <w:rPr>
                <w:rFonts w:hint="eastAsia"/>
              </w:rPr>
              <w:br w:type="textWrapping"/>
            </w:r>
            <w:r>
              <w:rPr>
                <w:rStyle w:val="11"/>
                <w:rFonts w:hint="eastAsia"/>
              </w:rPr>
              <w:t>本品应贮存于阴凉、干燥、通风、防雨处。远离火源和热源，置于儿童及无关人员接触不到之处，并加锁。不能与食品、饮料、粮食、饲料等同贮同运。</w:t>
            </w:r>
          </w:p>
        </w:tc>
      </w:tr>
      <w:tr w14:paraId="79DFC664">
        <w:tblPrEx>
          <w:tblCellMar>
            <w:top w:w="0" w:type="dxa"/>
            <w:left w:w="0" w:type="dxa"/>
            <w:bottom w:w="0" w:type="dxa"/>
            <w:right w:w="0" w:type="dxa"/>
          </w:tblCellMar>
        </w:tblPrEx>
        <w:trPr>
          <w:wBefore w:w="0" w:type="auto"/>
          <w:tblCellSpacing w:w="0" w:type="dxa"/>
        </w:trPr>
        <w:tc>
          <w:tcPr>
            <w:tcW w:w="0" w:type="auto"/>
            <w:noWrap w:val="0"/>
            <w:vAlign w:val="center"/>
          </w:tcPr>
          <w:p w14:paraId="18F0D78A">
            <w:r>
              <w:rPr>
                <w:rStyle w:val="10"/>
                <w:rFonts w:hint="eastAsia"/>
              </w:rPr>
              <w:t>质量保证期：</w:t>
            </w:r>
            <w:r>
              <w:rPr>
                <w:rStyle w:val="11"/>
                <w:rFonts w:hint="eastAsia"/>
              </w:rPr>
              <w:t>2年</w:t>
            </w:r>
          </w:p>
        </w:tc>
      </w:tr>
      <w:tr w14:paraId="38A2EB90">
        <w:tblPrEx>
          <w:tblCellMar>
            <w:top w:w="0" w:type="dxa"/>
            <w:left w:w="0" w:type="dxa"/>
            <w:bottom w:w="0" w:type="dxa"/>
            <w:right w:w="0" w:type="dxa"/>
          </w:tblCellMar>
        </w:tblPrEx>
        <w:trPr>
          <w:wBefore w:w="0" w:type="auto"/>
          <w:tblCellSpacing w:w="0" w:type="dxa"/>
        </w:trPr>
        <w:tc>
          <w:tcPr>
            <w:tcW w:w="0" w:type="auto"/>
            <w:noWrap w:val="0"/>
            <w:vAlign w:val="center"/>
          </w:tcPr>
          <w:p w14:paraId="18236C50">
            <w:r>
              <w:rPr>
                <w:rStyle w:val="10"/>
                <w:rFonts w:hint="eastAsia"/>
              </w:rPr>
              <w:t>备注：</w:t>
            </w:r>
            <w:r>
              <w:rPr>
                <w:rFonts w:hint="eastAsia"/>
              </w:rPr>
              <w:br w:type="textWrapping"/>
            </w:r>
            <w:r>
              <w:rPr>
                <w:rStyle w:val="11"/>
                <w:rFonts w:hint="eastAsia"/>
              </w:rPr>
              <w:t>精草铵膦铵盐质量分数21.9%</w:t>
            </w:r>
          </w:p>
        </w:tc>
      </w:tr>
    </w:tbl>
    <w:p w14:paraId="0630E0F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7087B3">
        <w:tblPrEx>
          <w:tblCellMar>
            <w:top w:w="0" w:type="dxa"/>
            <w:left w:w="0" w:type="dxa"/>
            <w:bottom w:w="0" w:type="dxa"/>
            <w:right w:w="0" w:type="dxa"/>
          </w:tblCellMar>
        </w:tblPrEx>
        <w:trPr>
          <w:wBefore w:w="0" w:type="auto"/>
          <w:tblCellSpacing w:w="0" w:type="dxa"/>
        </w:trPr>
        <w:tc>
          <w:tcPr>
            <w:tcW w:w="0" w:type="auto"/>
            <w:noWrap w:val="0"/>
            <w:vAlign w:val="center"/>
          </w:tcPr>
          <w:p w14:paraId="400E8FCD">
            <w:r>
              <w:rPr>
                <w:rStyle w:val="10"/>
                <w:rFonts w:hint="eastAsia"/>
              </w:rPr>
              <w:t>登记证号：</w:t>
            </w:r>
            <w:r>
              <w:rPr>
                <w:rFonts w:hint="eastAsia"/>
              </w:rPr>
              <w:t>PD20211778</w:t>
            </w:r>
          </w:p>
        </w:tc>
      </w:tr>
      <w:tr w14:paraId="11006893">
        <w:tblPrEx>
          <w:tblCellMar>
            <w:top w:w="0" w:type="dxa"/>
            <w:left w:w="0" w:type="dxa"/>
            <w:bottom w:w="0" w:type="dxa"/>
            <w:right w:w="0" w:type="dxa"/>
          </w:tblCellMar>
        </w:tblPrEx>
        <w:trPr>
          <w:wBefore w:w="0" w:type="auto"/>
          <w:tblCellSpacing w:w="0" w:type="dxa"/>
        </w:trPr>
        <w:tc>
          <w:tcPr>
            <w:tcW w:w="0" w:type="auto"/>
            <w:noWrap w:val="0"/>
            <w:vAlign w:val="center"/>
          </w:tcPr>
          <w:p w14:paraId="3D12B21F">
            <w:r>
              <w:rPr>
                <w:rStyle w:val="10"/>
                <w:rFonts w:hint="eastAsia"/>
              </w:rPr>
              <w:t>登记证持有人：</w:t>
            </w:r>
            <w:r>
              <w:rPr>
                <w:rFonts w:hint="eastAsia"/>
              </w:rPr>
              <w:t>山东奥胜生物科技有限公司</w:t>
            </w:r>
          </w:p>
        </w:tc>
      </w:tr>
      <w:tr w14:paraId="5F1937CD">
        <w:tblPrEx>
          <w:tblCellMar>
            <w:top w:w="0" w:type="dxa"/>
            <w:left w:w="0" w:type="dxa"/>
            <w:bottom w:w="0" w:type="dxa"/>
            <w:right w:w="0" w:type="dxa"/>
          </w:tblCellMar>
        </w:tblPrEx>
        <w:trPr>
          <w:wBefore w:w="0" w:type="auto"/>
          <w:tblCellSpacing w:w="0" w:type="dxa"/>
        </w:trPr>
        <w:tc>
          <w:tcPr>
            <w:tcW w:w="0" w:type="auto"/>
            <w:noWrap w:val="0"/>
            <w:vAlign w:val="center"/>
          </w:tcPr>
          <w:p w14:paraId="23A4CAAD">
            <w:r>
              <w:rPr>
                <w:rStyle w:val="10"/>
                <w:rFonts w:hint="eastAsia"/>
              </w:rPr>
              <w:t>农药名称：</w:t>
            </w:r>
            <w:r>
              <w:rPr>
                <w:rFonts w:hint="eastAsia"/>
              </w:rPr>
              <w:t>联苯·噻虫啉</w:t>
            </w:r>
          </w:p>
        </w:tc>
      </w:tr>
      <w:tr w14:paraId="281E0E07">
        <w:tblPrEx>
          <w:tblCellMar>
            <w:top w:w="0" w:type="dxa"/>
            <w:left w:w="0" w:type="dxa"/>
            <w:bottom w:w="0" w:type="dxa"/>
            <w:right w:w="0" w:type="dxa"/>
          </w:tblCellMar>
        </w:tblPrEx>
        <w:trPr>
          <w:wBefore w:w="0" w:type="auto"/>
          <w:tblCellSpacing w:w="0" w:type="dxa"/>
        </w:trPr>
        <w:tc>
          <w:tcPr>
            <w:tcW w:w="0" w:type="auto"/>
            <w:noWrap w:val="0"/>
            <w:vAlign w:val="center"/>
          </w:tcPr>
          <w:p w14:paraId="490069F7">
            <w:r>
              <w:rPr>
                <w:rStyle w:val="10"/>
                <w:rFonts w:hint="eastAsia"/>
              </w:rPr>
              <w:t>剂型：</w:t>
            </w:r>
            <w:r>
              <w:rPr>
                <w:rFonts w:hint="eastAsia"/>
              </w:rPr>
              <w:t>悬浮剂</w:t>
            </w:r>
          </w:p>
        </w:tc>
      </w:tr>
      <w:tr w14:paraId="7B91C90A">
        <w:tblPrEx>
          <w:tblCellMar>
            <w:top w:w="0" w:type="dxa"/>
            <w:left w:w="0" w:type="dxa"/>
            <w:bottom w:w="0" w:type="dxa"/>
            <w:right w:w="0" w:type="dxa"/>
          </w:tblCellMar>
        </w:tblPrEx>
        <w:trPr>
          <w:wBefore w:w="0" w:type="auto"/>
          <w:tblCellSpacing w:w="0" w:type="dxa"/>
        </w:trPr>
        <w:tc>
          <w:tcPr>
            <w:tcW w:w="0" w:type="auto"/>
            <w:noWrap w:val="0"/>
            <w:vAlign w:val="center"/>
          </w:tcPr>
          <w:p w14:paraId="0F36117C">
            <w:r>
              <w:rPr>
                <w:rStyle w:val="10"/>
                <w:rFonts w:hint="eastAsia"/>
              </w:rPr>
              <w:t>毒性及其标识：</w:t>
            </w:r>
            <w:r>
              <w:rPr>
                <w:rFonts w:hint="eastAsia"/>
              </w:rPr>
              <w:t xml:space="preserve"> </w:t>
            </w:r>
            <w:r>
              <w:rPr>
                <w:lang/>
              </w:rPr>
              <w:drawing>
                <wp:inline distT="0" distB="0" distL="114300" distR="114300">
                  <wp:extent cx="476250" cy="323850"/>
                  <wp:effectExtent l="0" t="0" r="0" b="0"/>
                  <wp:docPr id="183" name="图片 18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64AA9BC">
        <w:tblPrEx>
          <w:tblCellMar>
            <w:top w:w="0" w:type="dxa"/>
            <w:left w:w="0" w:type="dxa"/>
            <w:bottom w:w="0" w:type="dxa"/>
            <w:right w:w="0" w:type="dxa"/>
          </w:tblCellMar>
        </w:tblPrEx>
        <w:trPr>
          <w:wBefore w:w="0" w:type="auto"/>
          <w:tblCellSpacing w:w="0" w:type="dxa"/>
        </w:trPr>
        <w:tc>
          <w:tcPr>
            <w:tcW w:w="0" w:type="auto"/>
            <w:noWrap w:val="0"/>
            <w:vAlign w:val="center"/>
          </w:tcPr>
          <w:p w14:paraId="52BB8D14">
            <w:r>
              <w:rPr>
                <w:rStyle w:val="10"/>
                <w:rFonts w:hint="eastAsia"/>
              </w:rPr>
              <w:t>总有效成分含量：</w:t>
            </w:r>
            <w:r>
              <w:rPr>
                <w:rFonts w:hint="eastAsia"/>
              </w:rPr>
              <w:t>20%</w:t>
            </w:r>
          </w:p>
        </w:tc>
      </w:tr>
      <w:tr w14:paraId="21CA3777">
        <w:tblPrEx>
          <w:tblCellMar>
            <w:top w:w="0" w:type="dxa"/>
            <w:left w:w="0" w:type="dxa"/>
            <w:bottom w:w="0" w:type="dxa"/>
            <w:right w:w="0" w:type="dxa"/>
          </w:tblCellMar>
        </w:tblPrEx>
        <w:trPr>
          <w:wBefore w:w="0" w:type="auto"/>
          <w:tblCellSpacing w:w="0" w:type="dxa"/>
        </w:trPr>
        <w:tc>
          <w:tcPr>
            <w:tcW w:w="0" w:type="auto"/>
            <w:noWrap w:val="0"/>
            <w:vAlign w:val="center"/>
          </w:tcPr>
          <w:p w14:paraId="2AAAD86D">
            <w:r>
              <w:rPr>
                <w:rFonts w:hint="eastAsia"/>
              </w:rPr>
              <w:t xml:space="preserve">有效成分及其含量： </w:t>
            </w:r>
          </w:p>
          <w:p w14:paraId="61846938">
            <w:r>
              <w:rPr>
                <w:rFonts w:hint="eastAsia"/>
              </w:rPr>
              <w:t xml:space="preserve">    联苯菊酯7.5%    噻虫啉12.5%    </w:t>
            </w:r>
          </w:p>
        </w:tc>
      </w:tr>
      <w:tr w14:paraId="16D3AB5D">
        <w:tblPrEx>
          <w:tblCellMar>
            <w:top w:w="0" w:type="dxa"/>
            <w:left w:w="0" w:type="dxa"/>
            <w:bottom w:w="0" w:type="dxa"/>
            <w:right w:w="0" w:type="dxa"/>
          </w:tblCellMar>
        </w:tblPrEx>
        <w:trPr>
          <w:wBefore w:w="0" w:type="auto"/>
          <w:tblCellSpacing w:w="0" w:type="dxa"/>
        </w:trPr>
        <w:tc>
          <w:tcPr>
            <w:tcW w:w="0" w:type="auto"/>
            <w:noWrap w:val="0"/>
            <w:vAlign w:val="center"/>
          </w:tcPr>
          <w:p w14:paraId="4A9866B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B0AEF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6BEAEA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023B7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15D51C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784B5C">
                  <w:r>
                    <w:rPr>
                      <w:rStyle w:val="11"/>
                      <w:rFonts w:hint="eastAsia"/>
                    </w:rPr>
                    <w:t>施用方式</w:t>
                  </w:r>
                </w:p>
              </w:tc>
            </w:tr>
            <w:tr w14:paraId="2E421A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3077B51">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757571">
                  <w:r>
                    <w:rPr>
                      <w:rStyle w:val="11"/>
                      <w:rFonts w:hint="eastAsia"/>
                    </w:rPr>
                    <w:t>木虱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3D50DC">
                  <w:r>
                    <w:rPr>
                      <w:rStyle w:val="11"/>
                      <w:rFonts w:hint="eastAsia"/>
                    </w:rPr>
                    <w:t>3000-4000倍液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A00C3B">
                  <w:r>
                    <w:rPr>
                      <w:rStyle w:val="11"/>
                      <w:rFonts w:hint="eastAsia"/>
                    </w:rPr>
                    <w:t>喷雾</w:t>
                  </w:r>
                </w:p>
              </w:tc>
            </w:tr>
          </w:tbl>
          <w:p w14:paraId="3153CE44">
            <w:pPr>
              <w:rPr>
                <w:rFonts w:ascii="Times New Roman" w:hAnsi="Times New Roman" w:cs="Times New Roman"/>
                <w:sz w:val="20"/>
                <w:szCs w:val="20"/>
              </w:rPr>
            </w:pPr>
          </w:p>
        </w:tc>
      </w:tr>
      <w:tr w14:paraId="0B01BCA8">
        <w:tblPrEx>
          <w:tblCellMar>
            <w:top w:w="0" w:type="dxa"/>
            <w:left w:w="0" w:type="dxa"/>
            <w:bottom w:w="0" w:type="dxa"/>
            <w:right w:w="0" w:type="dxa"/>
          </w:tblCellMar>
        </w:tblPrEx>
        <w:trPr>
          <w:wBefore w:w="0" w:type="auto"/>
          <w:tblCellSpacing w:w="0" w:type="dxa"/>
        </w:trPr>
        <w:tc>
          <w:tcPr>
            <w:tcW w:w="0" w:type="auto"/>
            <w:noWrap w:val="0"/>
            <w:vAlign w:val="center"/>
          </w:tcPr>
          <w:p w14:paraId="4D536951">
            <w:r>
              <w:rPr>
                <w:rStyle w:val="10"/>
                <w:rFonts w:hint="eastAsia"/>
              </w:rPr>
              <w:t>使用技术要求:</w:t>
            </w:r>
            <w:r>
              <w:rPr>
                <w:rFonts w:hint="eastAsia"/>
              </w:rPr>
              <w:br w:type="textWrapping"/>
            </w:r>
            <w:r>
              <w:rPr>
                <w:rStyle w:val="11"/>
                <w:rFonts w:hint="eastAsia"/>
              </w:rPr>
              <w:t>1.本品应于木虱低龄若虫发生始盛期喷雾施药1次。注意喷雾均匀； 2.大风天或预计1小时内降雨，请勿施药； 3.本品在柑橘上使用的安全间隔期为21天，每季作物最多使用次数为1次。4.加强木虱对噻虫啉等新烟碱类农药的抗性监测；与其他不同作用机理药剂轮换使用。</w:t>
            </w:r>
          </w:p>
        </w:tc>
      </w:tr>
      <w:tr w14:paraId="56A16BEC">
        <w:tblPrEx>
          <w:tblCellMar>
            <w:top w:w="0" w:type="dxa"/>
            <w:left w:w="0" w:type="dxa"/>
            <w:bottom w:w="0" w:type="dxa"/>
            <w:right w:w="0" w:type="dxa"/>
          </w:tblCellMar>
        </w:tblPrEx>
        <w:trPr>
          <w:wBefore w:w="0" w:type="auto"/>
          <w:tblCellSpacing w:w="0" w:type="dxa"/>
        </w:trPr>
        <w:tc>
          <w:tcPr>
            <w:tcW w:w="0" w:type="auto"/>
            <w:noWrap w:val="0"/>
            <w:vAlign w:val="center"/>
          </w:tcPr>
          <w:p w14:paraId="7567A56A">
            <w:r>
              <w:rPr>
                <w:rStyle w:val="10"/>
                <w:rFonts w:hint="eastAsia"/>
              </w:rPr>
              <w:t>产品性能:</w:t>
            </w:r>
            <w:r>
              <w:rPr>
                <w:rFonts w:hint="eastAsia"/>
              </w:rPr>
              <w:br w:type="textWrapping"/>
            </w:r>
            <w:r>
              <w:rPr>
                <w:rStyle w:val="11"/>
                <w:rFonts w:hint="eastAsia"/>
              </w:rPr>
              <w:t>本品是联苯菊酯与噻虫啉的复配制剂。联苯菊酯为高效合成的拟除虫菊酯类杀虫杀螨剂；噻虫啉为新型氯代烟碱类杀虫剂，具有很强的内吸、触杀和胃毒活性，通过叶面喷雾后可在植物体内传导和均匀分布，对刺吸式和咀嚼式口器害虫有特效，持效期长；两者混配可用于防治柑橘树木虱。</w:t>
            </w:r>
          </w:p>
        </w:tc>
      </w:tr>
      <w:tr w14:paraId="282817AB">
        <w:tblPrEx>
          <w:tblCellMar>
            <w:top w:w="0" w:type="dxa"/>
            <w:left w:w="0" w:type="dxa"/>
            <w:bottom w:w="0" w:type="dxa"/>
            <w:right w:w="0" w:type="dxa"/>
          </w:tblCellMar>
        </w:tblPrEx>
        <w:trPr>
          <w:wBefore w:w="0" w:type="auto"/>
          <w:tblCellSpacing w:w="0" w:type="dxa"/>
        </w:trPr>
        <w:tc>
          <w:tcPr>
            <w:tcW w:w="0" w:type="auto"/>
            <w:noWrap w:val="0"/>
            <w:vAlign w:val="center"/>
          </w:tcPr>
          <w:p w14:paraId="3A87A946">
            <w:r>
              <w:rPr>
                <w:rStyle w:val="10"/>
                <w:rFonts w:hint="eastAsia"/>
              </w:rPr>
              <w:t>注意事项：</w:t>
            </w:r>
            <w:r>
              <w:rPr>
                <w:rFonts w:hint="eastAsia"/>
              </w:rPr>
              <w:br w:type="textWrapping"/>
            </w:r>
            <w:r>
              <w:rPr>
                <w:rStyle w:val="11"/>
                <w:rFonts w:hint="eastAsia"/>
              </w:rPr>
              <w:t>1. 水产养殖区、河塘等水体附近禁用，禁止在河塘等水域清洗施药器具；（周围）开花植物花期禁用；桑园及蚕室附近禁用；赤眼蜂等天敌放飞区域禁用。 2.使用时穿戴长衣长裤、帽子、口罩、手套、鞋等安全使用防护措施。避免皮肤接触及口鼻吸入；施药期间不可吸烟、饮水及吃东西；施药后应及时清洗手、脸等暴露部位皮肤并更换衣物。 3. 本品不可与碱性农药等物质混合使用；应避免与强氧化剂接触。 4. 用过的容器应妥善处理，不可作他用，也不可随意丢弃。 5. 避免孕妇及哺乳期妇女接触。</w:t>
            </w:r>
          </w:p>
        </w:tc>
      </w:tr>
      <w:tr w14:paraId="7088F6F0">
        <w:tblPrEx>
          <w:tblCellMar>
            <w:top w:w="0" w:type="dxa"/>
            <w:left w:w="0" w:type="dxa"/>
            <w:bottom w:w="0" w:type="dxa"/>
            <w:right w:w="0" w:type="dxa"/>
          </w:tblCellMar>
        </w:tblPrEx>
        <w:trPr>
          <w:wBefore w:w="0" w:type="auto"/>
          <w:tblCellSpacing w:w="0" w:type="dxa"/>
        </w:trPr>
        <w:tc>
          <w:tcPr>
            <w:tcW w:w="0" w:type="auto"/>
            <w:noWrap w:val="0"/>
            <w:vAlign w:val="center"/>
          </w:tcPr>
          <w:p w14:paraId="60819C8D">
            <w:r>
              <w:rPr>
                <w:rStyle w:val="10"/>
                <w:rFonts w:hint="eastAsia"/>
              </w:rPr>
              <w:t>中毒急救措施：</w:t>
            </w:r>
            <w:r>
              <w:rPr>
                <w:rFonts w:hint="eastAsia"/>
              </w:rPr>
              <w:br w:type="textWrapping"/>
            </w:r>
            <w:r>
              <w:rPr>
                <w:rStyle w:val="11"/>
                <w:rFonts w:hint="eastAsia"/>
              </w:rPr>
              <w:t>中毒症状表现为人体接触药液部位有刺痛感，尤其在口、鼻周围，但无红斑；接触量大时会引起头痛、头昏、恶心呕吐、双手颤抖，重者抽搐或惊厥、昏迷、休克。不慎吸入，应将病人移至空气流通处。不慎接触皮肤或溅入眼睛，应用大量清水冲洗至少15分钟，必要时就医；误服应立即送医院诊治；医生应首先判断中毒的主要原因，若判断为联苯菊酯中毒为主，无特殊解毒剂，可对症治疗；大量吞服时可洗胃，不能催吐；就医时必须携带此标签。</w:t>
            </w:r>
          </w:p>
        </w:tc>
      </w:tr>
      <w:tr w14:paraId="26EE4A1D">
        <w:tblPrEx>
          <w:tblCellMar>
            <w:top w:w="0" w:type="dxa"/>
            <w:left w:w="0" w:type="dxa"/>
            <w:bottom w:w="0" w:type="dxa"/>
            <w:right w:w="0" w:type="dxa"/>
          </w:tblCellMar>
        </w:tblPrEx>
        <w:trPr>
          <w:wBefore w:w="0" w:type="auto"/>
          <w:tblCellSpacing w:w="0" w:type="dxa"/>
        </w:trPr>
        <w:tc>
          <w:tcPr>
            <w:tcW w:w="0" w:type="auto"/>
            <w:noWrap w:val="0"/>
            <w:vAlign w:val="center"/>
          </w:tcPr>
          <w:p w14:paraId="3480325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本品应贮存在干燥、阴凉、通风、防雨处，远离火源或热源。置于儿童、无关人员触及不到之处，并加锁。勿与食品、饮料、粮食、饲料等物其他商品同贮同运。</w:t>
            </w:r>
          </w:p>
        </w:tc>
      </w:tr>
      <w:tr w14:paraId="51F25B56">
        <w:tblPrEx>
          <w:tblCellMar>
            <w:top w:w="0" w:type="dxa"/>
            <w:left w:w="0" w:type="dxa"/>
            <w:bottom w:w="0" w:type="dxa"/>
            <w:right w:w="0" w:type="dxa"/>
          </w:tblCellMar>
        </w:tblPrEx>
        <w:trPr>
          <w:wBefore w:w="0" w:type="auto"/>
          <w:tblCellSpacing w:w="0" w:type="dxa"/>
        </w:trPr>
        <w:tc>
          <w:tcPr>
            <w:tcW w:w="0" w:type="auto"/>
            <w:noWrap w:val="0"/>
            <w:vAlign w:val="center"/>
          </w:tcPr>
          <w:p w14:paraId="749BF3B0">
            <w:r>
              <w:rPr>
                <w:rStyle w:val="10"/>
                <w:rFonts w:hint="eastAsia"/>
              </w:rPr>
              <w:t>质量保证期：</w:t>
            </w:r>
            <w:r>
              <w:rPr>
                <w:rStyle w:val="11"/>
                <w:rFonts w:hint="eastAsia"/>
              </w:rPr>
              <w:t>2年</w:t>
            </w:r>
          </w:p>
        </w:tc>
      </w:tr>
      <w:tr w14:paraId="0FD6E1CE">
        <w:tblPrEx>
          <w:tblCellMar>
            <w:top w:w="0" w:type="dxa"/>
            <w:left w:w="0" w:type="dxa"/>
            <w:bottom w:w="0" w:type="dxa"/>
            <w:right w:w="0" w:type="dxa"/>
          </w:tblCellMar>
        </w:tblPrEx>
        <w:trPr>
          <w:wBefore w:w="0" w:type="auto"/>
          <w:tblCellSpacing w:w="0" w:type="dxa"/>
        </w:trPr>
        <w:tc>
          <w:tcPr>
            <w:tcW w:w="0" w:type="auto"/>
            <w:noWrap w:val="0"/>
            <w:vAlign w:val="center"/>
          </w:tcPr>
          <w:p w14:paraId="38FD305B">
            <w:r>
              <w:rPr>
                <w:rStyle w:val="10"/>
                <w:rFonts w:hint="eastAsia"/>
              </w:rPr>
              <w:t>备注：</w:t>
            </w:r>
          </w:p>
        </w:tc>
      </w:tr>
    </w:tbl>
    <w:p w14:paraId="1D968E6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FB52276">
        <w:tblPrEx>
          <w:tblCellMar>
            <w:top w:w="0" w:type="dxa"/>
            <w:left w:w="0" w:type="dxa"/>
            <w:bottom w:w="0" w:type="dxa"/>
            <w:right w:w="0" w:type="dxa"/>
          </w:tblCellMar>
        </w:tblPrEx>
        <w:trPr>
          <w:wBefore w:w="0" w:type="auto"/>
          <w:tblCellSpacing w:w="0" w:type="dxa"/>
        </w:trPr>
        <w:tc>
          <w:tcPr>
            <w:tcW w:w="0" w:type="auto"/>
            <w:noWrap w:val="0"/>
            <w:vAlign w:val="center"/>
          </w:tcPr>
          <w:p w14:paraId="6428978A">
            <w:r>
              <w:rPr>
                <w:rStyle w:val="10"/>
                <w:rFonts w:hint="eastAsia"/>
              </w:rPr>
              <w:t>登记证号：</w:t>
            </w:r>
            <w:r>
              <w:rPr>
                <w:rFonts w:hint="eastAsia"/>
              </w:rPr>
              <w:t>WP20210263</w:t>
            </w:r>
          </w:p>
        </w:tc>
      </w:tr>
      <w:tr w14:paraId="4893A6D9">
        <w:tblPrEx>
          <w:tblCellMar>
            <w:top w:w="0" w:type="dxa"/>
            <w:left w:w="0" w:type="dxa"/>
            <w:bottom w:w="0" w:type="dxa"/>
            <w:right w:w="0" w:type="dxa"/>
          </w:tblCellMar>
        </w:tblPrEx>
        <w:trPr>
          <w:wBefore w:w="0" w:type="auto"/>
          <w:tblCellSpacing w:w="0" w:type="dxa"/>
        </w:trPr>
        <w:tc>
          <w:tcPr>
            <w:tcW w:w="0" w:type="auto"/>
            <w:noWrap w:val="0"/>
            <w:vAlign w:val="center"/>
          </w:tcPr>
          <w:p w14:paraId="4F32757B">
            <w:r>
              <w:rPr>
                <w:rStyle w:val="10"/>
                <w:rFonts w:hint="eastAsia"/>
              </w:rPr>
              <w:t>登记证持有人：</w:t>
            </w:r>
            <w:r>
              <w:rPr>
                <w:rFonts w:hint="eastAsia"/>
              </w:rPr>
              <w:t>上海风语日化用品有限公司</w:t>
            </w:r>
          </w:p>
        </w:tc>
      </w:tr>
      <w:tr w14:paraId="4C9F1A5B">
        <w:tblPrEx>
          <w:tblCellMar>
            <w:top w:w="0" w:type="dxa"/>
            <w:left w:w="0" w:type="dxa"/>
            <w:bottom w:w="0" w:type="dxa"/>
            <w:right w:w="0" w:type="dxa"/>
          </w:tblCellMar>
        </w:tblPrEx>
        <w:trPr>
          <w:wBefore w:w="0" w:type="auto"/>
          <w:tblCellSpacing w:w="0" w:type="dxa"/>
        </w:trPr>
        <w:tc>
          <w:tcPr>
            <w:tcW w:w="0" w:type="auto"/>
            <w:noWrap w:val="0"/>
            <w:vAlign w:val="center"/>
          </w:tcPr>
          <w:p w14:paraId="448125A8">
            <w:r>
              <w:rPr>
                <w:rStyle w:val="10"/>
                <w:rFonts w:hint="eastAsia"/>
              </w:rPr>
              <w:t>农药名称：</w:t>
            </w:r>
            <w:r>
              <w:rPr>
                <w:rFonts w:hint="eastAsia"/>
              </w:rPr>
              <w:t>电热蚊香液</w:t>
            </w:r>
          </w:p>
        </w:tc>
      </w:tr>
      <w:tr w14:paraId="6378386D">
        <w:tblPrEx>
          <w:tblCellMar>
            <w:top w:w="0" w:type="dxa"/>
            <w:left w:w="0" w:type="dxa"/>
            <w:bottom w:w="0" w:type="dxa"/>
            <w:right w:w="0" w:type="dxa"/>
          </w:tblCellMar>
        </w:tblPrEx>
        <w:trPr>
          <w:wBefore w:w="0" w:type="auto"/>
          <w:tblCellSpacing w:w="0" w:type="dxa"/>
        </w:trPr>
        <w:tc>
          <w:tcPr>
            <w:tcW w:w="0" w:type="auto"/>
            <w:noWrap w:val="0"/>
            <w:vAlign w:val="center"/>
          </w:tcPr>
          <w:p w14:paraId="22670566">
            <w:r>
              <w:rPr>
                <w:rStyle w:val="10"/>
                <w:rFonts w:hint="eastAsia"/>
              </w:rPr>
              <w:t>剂型：</w:t>
            </w:r>
            <w:r>
              <w:rPr>
                <w:rFonts w:hint="eastAsia"/>
              </w:rPr>
              <w:t>电热香蚊液</w:t>
            </w:r>
          </w:p>
        </w:tc>
      </w:tr>
      <w:tr w14:paraId="715F26BD">
        <w:tblPrEx>
          <w:tblCellMar>
            <w:top w:w="0" w:type="dxa"/>
            <w:left w:w="0" w:type="dxa"/>
            <w:bottom w:w="0" w:type="dxa"/>
            <w:right w:w="0" w:type="dxa"/>
          </w:tblCellMar>
        </w:tblPrEx>
        <w:trPr>
          <w:wBefore w:w="0" w:type="auto"/>
          <w:tblCellSpacing w:w="0" w:type="dxa"/>
        </w:trPr>
        <w:tc>
          <w:tcPr>
            <w:tcW w:w="0" w:type="auto"/>
            <w:noWrap w:val="0"/>
            <w:vAlign w:val="center"/>
          </w:tcPr>
          <w:p w14:paraId="006CCEE4">
            <w:r>
              <w:rPr>
                <w:rStyle w:val="10"/>
                <w:rFonts w:hint="eastAsia"/>
              </w:rPr>
              <w:t>毒性及其标识：</w:t>
            </w:r>
            <w:r>
              <w:rPr>
                <w:rFonts w:hint="eastAsia"/>
              </w:rPr>
              <w:t xml:space="preserve"> 微毒 </w:t>
            </w:r>
          </w:p>
        </w:tc>
      </w:tr>
      <w:tr w14:paraId="713104FA">
        <w:tblPrEx>
          <w:tblCellMar>
            <w:top w:w="0" w:type="dxa"/>
            <w:left w:w="0" w:type="dxa"/>
            <w:bottom w:w="0" w:type="dxa"/>
            <w:right w:w="0" w:type="dxa"/>
          </w:tblCellMar>
        </w:tblPrEx>
        <w:trPr>
          <w:wBefore w:w="0" w:type="auto"/>
          <w:tblCellSpacing w:w="0" w:type="dxa"/>
        </w:trPr>
        <w:tc>
          <w:tcPr>
            <w:tcW w:w="0" w:type="auto"/>
            <w:noWrap w:val="0"/>
            <w:vAlign w:val="center"/>
          </w:tcPr>
          <w:p w14:paraId="72A779E8">
            <w:r>
              <w:rPr>
                <w:rStyle w:val="10"/>
                <w:rFonts w:hint="eastAsia"/>
              </w:rPr>
              <w:t>总有效成分含量：</w:t>
            </w:r>
            <w:r>
              <w:rPr>
                <w:rFonts w:hint="eastAsia"/>
              </w:rPr>
              <w:t>0.6%</w:t>
            </w:r>
          </w:p>
        </w:tc>
      </w:tr>
      <w:tr w14:paraId="28C1CC99">
        <w:tblPrEx>
          <w:tblCellMar>
            <w:top w:w="0" w:type="dxa"/>
            <w:left w:w="0" w:type="dxa"/>
            <w:bottom w:w="0" w:type="dxa"/>
            <w:right w:w="0" w:type="dxa"/>
          </w:tblCellMar>
        </w:tblPrEx>
        <w:trPr>
          <w:wBefore w:w="0" w:type="auto"/>
          <w:tblCellSpacing w:w="0" w:type="dxa"/>
        </w:trPr>
        <w:tc>
          <w:tcPr>
            <w:tcW w:w="0" w:type="auto"/>
            <w:noWrap w:val="0"/>
            <w:vAlign w:val="center"/>
          </w:tcPr>
          <w:p w14:paraId="091EEC87">
            <w:r>
              <w:rPr>
                <w:rFonts w:hint="eastAsia"/>
              </w:rPr>
              <w:t xml:space="preserve">有效成分及其含量： </w:t>
            </w:r>
          </w:p>
          <w:p w14:paraId="2EBC487F">
            <w:r>
              <w:rPr>
                <w:rFonts w:hint="eastAsia"/>
              </w:rPr>
              <w:t xml:space="preserve">    氯氟醚菊酯0.6%    </w:t>
            </w:r>
          </w:p>
        </w:tc>
      </w:tr>
      <w:tr w14:paraId="08E53BD9">
        <w:tblPrEx>
          <w:tblCellMar>
            <w:top w:w="0" w:type="dxa"/>
            <w:left w:w="0" w:type="dxa"/>
            <w:bottom w:w="0" w:type="dxa"/>
            <w:right w:w="0" w:type="dxa"/>
          </w:tblCellMar>
        </w:tblPrEx>
        <w:trPr>
          <w:wBefore w:w="0" w:type="auto"/>
          <w:tblCellSpacing w:w="0" w:type="dxa"/>
        </w:trPr>
        <w:tc>
          <w:tcPr>
            <w:tcW w:w="0" w:type="auto"/>
            <w:noWrap w:val="0"/>
            <w:vAlign w:val="center"/>
          </w:tcPr>
          <w:p w14:paraId="367F5E2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503B7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591A0E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53FD99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8D358D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438E749">
                  <w:r>
                    <w:rPr>
                      <w:rStyle w:val="11"/>
                      <w:rFonts w:hint="eastAsia"/>
                    </w:rPr>
                    <w:t>施用方式</w:t>
                  </w:r>
                </w:p>
              </w:tc>
            </w:tr>
            <w:tr w14:paraId="057F39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D58FE7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966BCE">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0C180C">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FA3CD9">
                  <w:r>
                    <w:rPr>
                      <w:rStyle w:val="11"/>
                      <w:rFonts w:hint="eastAsia"/>
                    </w:rPr>
                    <w:t>电热加温</w:t>
                  </w:r>
                </w:p>
              </w:tc>
            </w:tr>
          </w:tbl>
          <w:p w14:paraId="2CA4F19F">
            <w:pPr>
              <w:rPr>
                <w:rFonts w:ascii="Times New Roman" w:hAnsi="Times New Roman" w:cs="Times New Roman"/>
                <w:sz w:val="20"/>
                <w:szCs w:val="20"/>
              </w:rPr>
            </w:pPr>
          </w:p>
        </w:tc>
      </w:tr>
      <w:tr w14:paraId="7380C195">
        <w:tblPrEx>
          <w:tblCellMar>
            <w:top w:w="0" w:type="dxa"/>
            <w:left w:w="0" w:type="dxa"/>
            <w:bottom w:w="0" w:type="dxa"/>
            <w:right w:w="0" w:type="dxa"/>
          </w:tblCellMar>
        </w:tblPrEx>
        <w:trPr>
          <w:wBefore w:w="0" w:type="auto"/>
          <w:tblCellSpacing w:w="0" w:type="dxa"/>
        </w:trPr>
        <w:tc>
          <w:tcPr>
            <w:tcW w:w="0" w:type="auto"/>
            <w:noWrap w:val="0"/>
            <w:vAlign w:val="center"/>
          </w:tcPr>
          <w:p w14:paraId="09AEA9C7">
            <w:r>
              <w:rPr>
                <w:rStyle w:val="10"/>
                <w:rFonts w:hint="eastAsia"/>
              </w:rPr>
              <w:t>使用技术要求:</w:t>
            </w:r>
            <w:r>
              <w:rPr>
                <w:rFonts w:hint="eastAsia"/>
              </w:rPr>
              <w:br w:type="textWrapping"/>
            </w:r>
            <w:r>
              <w:rPr>
                <w:rStyle w:val="11"/>
                <w:rFonts w:hint="eastAsia"/>
              </w:rPr>
              <w:t>1. 取出药液瓶，旋开药瓶盖，慢慢向上取出，请勿碰芯棒，一手持蚊香器，一手拿住药液瓶，把瓶口对准蚊香器内螺纹旋紧，并检查芯棒是否居中；2. 接通电源，拨通开关，指示灯亮，表示蚊香器开始工作； 3. 使用时请将蚊香器置于风口处，以充分发挥其驱蚊效果；4. 通过透明窗，可以随时了解药液的消耗情况；5. 药液用完后，请先切断电源，再更换一瓶新的药液。</w:t>
            </w:r>
          </w:p>
        </w:tc>
      </w:tr>
      <w:tr w14:paraId="2E48F0BF">
        <w:tblPrEx>
          <w:tblCellMar>
            <w:top w:w="0" w:type="dxa"/>
            <w:left w:w="0" w:type="dxa"/>
            <w:bottom w:w="0" w:type="dxa"/>
            <w:right w:w="0" w:type="dxa"/>
          </w:tblCellMar>
        </w:tblPrEx>
        <w:trPr>
          <w:wBefore w:w="0" w:type="auto"/>
          <w:tblCellSpacing w:w="0" w:type="dxa"/>
        </w:trPr>
        <w:tc>
          <w:tcPr>
            <w:tcW w:w="0" w:type="auto"/>
            <w:noWrap w:val="0"/>
            <w:vAlign w:val="center"/>
          </w:tcPr>
          <w:p w14:paraId="365C0EA9">
            <w:r>
              <w:rPr>
                <w:rStyle w:val="10"/>
                <w:rFonts w:hint="eastAsia"/>
              </w:rPr>
              <w:t>产品性能:</w:t>
            </w:r>
            <w:r>
              <w:rPr>
                <w:rFonts w:hint="eastAsia"/>
              </w:rPr>
              <w:br w:type="textWrapping"/>
            </w:r>
            <w:r>
              <w:rPr>
                <w:rStyle w:val="11"/>
                <w:rFonts w:hint="eastAsia"/>
              </w:rPr>
              <w:t>本品选用拟除虫菊酯为有效成分配制而成，同时专门设计了配套使用的电加热器，通电后，可均匀散发药液，既卫生又方便，是理想的夏令驱蚊用品之一。适用于家庭、宾馆、办公等场所使用。</w:t>
            </w:r>
          </w:p>
        </w:tc>
      </w:tr>
      <w:tr w14:paraId="702346A3">
        <w:tblPrEx>
          <w:tblCellMar>
            <w:top w:w="0" w:type="dxa"/>
            <w:left w:w="0" w:type="dxa"/>
            <w:bottom w:w="0" w:type="dxa"/>
            <w:right w:w="0" w:type="dxa"/>
          </w:tblCellMar>
        </w:tblPrEx>
        <w:trPr>
          <w:wBefore w:w="0" w:type="auto"/>
          <w:tblCellSpacing w:w="0" w:type="dxa"/>
        </w:trPr>
        <w:tc>
          <w:tcPr>
            <w:tcW w:w="0" w:type="auto"/>
            <w:noWrap w:val="0"/>
            <w:vAlign w:val="center"/>
          </w:tcPr>
          <w:p w14:paraId="22C1A251">
            <w:r>
              <w:rPr>
                <w:rStyle w:val="10"/>
                <w:rFonts w:hint="eastAsia"/>
              </w:rPr>
              <w:t>注意事项：</w:t>
            </w:r>
            <w:r>
              <w:rPr>
                <w:rFonts w:hint="eastAsia"/>
              </w:rPr>
              <w:br w:type="textWrapping"/>
            </w:r>
            <w:r>
              <w:rPr>
                <w:rStyle w:val="11"/>
                <w:rFonts w:hint="eastAsia"/>
              </w:rPr>
              <w:t>1. 仅限室内使用，使用前请仔细阅读使用方法及注意事项。 2. 开启门窗使用时，请将加热器置于上风口。 3. 请勿将电热蚊香液加热器置于运转的电风扇前。 4. 使用时应放在儿童接触不到的地方。 5. 电热蚊香液应远离火源，若长期不使用时，请将药液瓶从加热器中取出，加盖密封后置于低温阴暗处保存。防加盖密封后置于低温阴暗处保存。使用时注意用电及防火安全。 6. 孕妇及哺乳期妇女禁止接触。</w:t>
            </w:r>
          </w:p>
        </w:tc>
      </w:tr>
      <w:tr w14:paraId="2F47241D">
        <w:tblPrEx>
          <w:tblCellMar>
            <w:top w:w="0" w:type="dxa"/>
            <w:left w:w="0" w:type="dxa"/>
            <w:bottom w:w="0" w:type="dxa"/>
            <w:right w:w="0" w:type="dxa"/>
          </w:tblCellMar>
        </w:tblPrEx>
        <w:trPr>
          <w:wBefore w:w="0" w:type="auto"/>
          <w:tblCellSpacing w:w="0" w:type="dxa"/>
        </w:trPr>
        <w:tc>
          <w:tcPr>
            <w:tcW w:w="0" w:type="auto"/>
            <w:noWrap w:val="0"/>
            <w:vAlign w:val="center"/>
          </w:tcPr>
          <w:p w14:paraId="042632B9">
            <w:r>
              <w:rPr>
                <w:rStyle w:val="10"/>
                <w:rFonts w:hint="eastAsia"/>
              </w:rPr>
              <w:t>中毒急救措施：</w:t>
            </w:r>
            <w:r>
              <w:rPr>
                <w:rFonts w:hint="eastAsia"/>
              </w:rPr>
              <w:br w:type="textWrapping"/>
            </w:r>
            <w:r>
              <w:rPr>
                <w:rStyle w:val="11"/>
                <w:rFonts w:hint="eastAsia"/>
              </w:rPr>
              <w:t>若皮肤、眼睛接触到应用大量清水冲洗至少15分钟并就医，若误食应立即到医院对症治疗。</w:t>
            </w:r>
          </w:p>
        </w:tc>
      </w:tr>
      <w:tr w14:paraId="7F4F70BB">
        <w:tblPrEx>
          <w:tblCellMar>
            <w:top w:w="0" w:type="dxa"/>
            <w:left w:w="0" w:type="dxa"/>
            <w:bottom w:w="0" w:type="dxa"/>
            <w:right w:w="0" w:type="dxa"/>
          </w:tblCellMar>
        </w:tblPrEx>
        <w:trPr>
          <w:wBefore w:w="0" w:type="auto"/>
          <w:tblCellSpacing w:w="0" w:type="dxa"/>
        </w:trPr>
        <w:tc>
          <w:tcPr>
            <w:tcW w:w="0" w:type="auto"/>
            <w:noWrap w:val="0"/>
            <w:vAlign w:val="center"/>
          </w:tcPr>
          <w:p w14:paraId="3026C7A3">
            <w:r>
              <w:rPr>
                <w:rStyle w:val="10"/>
                <w:rFonts w:hint="eastAsia"/>
              </w:rPr>
              <w:t>储存和运输方法：</w:t>
            </w:r>
            <w:r>
              <w:rPr>
                <w:rFonts w:hint="eastAsia"/>
              </w:rPr>
              <w:br w:type="textWrapping"/>
            </w:r>
            <w:r>
              <w:rPr>
                <w:rStyle w:val="11"/>
                <w:rFonts w:hint="eastAsia"/>
              </w:rPr>
              <w:t>1. 储存和运输时应保持阴凉通风，避免阳光直射，避免重压； 2. 远离热源、火源； 3. 勿与食品、饮料、种子、饲料、粮食及易燃易爆品混放混运。 4. 置于儿童、无关人员触及不到之处，并加锁。</w:t>
            </w:r>
          </w:p>
        </w:tc>
      </w:tr>
      <w:tr w14:paraId="13EDE32B">
        <w:tblPrEx>
          <w:tblCellMar>
            <w:top w:w="0" w:type="dxa"/>
            <w:left w:w="0" w:type="dxa"/>
            <w:bottom w:w="0" w:type="dxa"/>
            <w:right w:w="0" w:type="dxa"/>
          </w:tblCellMar>
        </w:tblPrEx>
        <w:trPr>
          <w:wBefore w:w="0" w:type="auto"/>
          <w:tblCellSpacing w:w="0" w:type="dxa"/>
        </w:trPr>
        <w:tc>
          <w:tcPr>
            <w:tcW w:w="0" w:type="auto"/>
            <w:noWrap w:val="0"/>
            <w:vAlign w:val="center"/>
          </w:tcPr>
          <w:p w14:paraId="6247F2E0">
            <w:r>
              <w:rPr>
                <w:rStyle w:val="10"/>
                <w:rFonts w:hint="eastAsia"/>
              </w:rPr>
              <w:t>质量保证期：</w:t>
            </w:r>
            <w:r>
              <w:rPr>
                <w:rStyle w:val="11"/>
                <w:rFonts w:hint="eastAsia"/>
              </w:rPr>
              <w:t>2年</w:t>
            </w:r>
          </w:p>
        </w:tc>
      </w:tr>
      <w:tr w14:paraId="2FF266EF">
        <w:tblPrEx>
          <w:tblCellMar>
            <w:top w:w="0" w:type="dxa"/>
            <w:left w:w="0" w:type="dxa"/>
            <w:bottom w:w="0" w:type="dxa"/>
            <w:right w:w="0" w:type="dxa"/>
          </w:tblCellMar>
        </w:tblPrEx>
        <w:trPr>
          <w:wBefore w:w="0" w:type="auto"/>
          <w:tblCellSpacing w:w="0" w:type="dxa"/>
        </w:trPr>
        <w:tc>
          <w:tcPr>
            <w:tcW w:w="0" w:type="auto"/>
            <w:noWrap w:val="0"/>
            <w:vAlign w:val="center"/>
          </w:tcPr>
          <w:p w14:paraId="6CDFF130">
            <w:r>
              <w:rPr>
                <w:rStyle w:val="10"/>
                <w:rFonts w:hint="eastAsia"/>
              </w:rPr>
              <w:t>备注：</w:t>
            </w:r>
          </w:p>
        </w:tc>
      </w:tr>
    </w:tbl>
    <w:p w14:paraId="6BDB1B6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6CA6E37">
        <w:tblPrEx>
          <w:tblCellMar>
            <w:top w:w="0" w:type="dxa"/>
            <w:left w:w="0" w:type="dxa"/>
            <w:bottom w:w="0" w:type="dxa"/>
            <w:right w:w="0" w:type="dxa"/>
          </w:tblCellMar>
        </w:tblPrEx>
        <w:trPr>
          <w:wBefore w:w="0" w:type="auto"/>
          <w:tblCellSpacing w:w="0" w:type="dxa"/>
        </w:trPr>
        <w:tc>
          <w:tcPr>
            <w:tcW w:w="0" w:type="auto"/>
            <w:noWrap w:val="0"/>
            <w:vAlign w:val="center"/>
          </w:tcPr>
          <w:p w14:paraId="73EF3D89">
            <w:r>
              <w:rPr>
                <w:rStyle w:val="10"/>
                <w:rFonts w:hint="eastAsia"/>
              </w:rPr>
              <w:t>登记证号：</w:t>
            </w:r>
            <w:r>
              <w:rPr>
                <w:rFonts w:hint="eastAsia"/>
              </w:rPr>
              <w:t>PD20212022</w:t>
            </w:r>
          </w:p>
        </w:tc>
      </w:tr>
      <w:tr w14:paraId="6DCC46F2">
        <w:tblPrEx>
          <w:tblCellMar>
            <w:top w:w="0" w:type="dxa"/>
            <w:left w:w="0" w:type="dxa"/>
            <w:bottom w:w="0" w:type="dxa"/>
            <w:right w:w="0" w:type="dxa"/>
          </w:tblCellMar>
        </w:tblPrEx>
        <w:trPr>
          <w:wBefore w:w="0" w:type="auto"/>
          <w:tblCellSpacing w:w="0" w:type="dxa"/>
        </w:trPr>
        <w:tc>
          <w:tcPr>
            <w:tcW w:w="0" w:type="auto"/>
            <w:noWrap w:val="0"/>
            <w:vAlign w:val="center"/>
          </w:tcPr>
          <w:p w14:paraId="6360C3E8">
            <w:r>
              <w:rPr>
                <w:rStyle w:val="10"/>
                <w:rFonts w:hint="eastAsia"/>
              </w:rPr>
              <w:t>登记证持有人：</w:t>
            </w:r>
            <w:r>
              <w:rPr>
                <w:rFonts w:hint="eastAsia"/>
              </w:rPr>
              <w:t>顺毅股份有限公司</w:t>
            </w:r>
          </w:p>
        </w:tc>
      </w:tr>
      <w:tr w14:paraId="7C002CB1">
        <w:tblPrEx>
          <w:tblCellMar>
            <w:top w:w="0" w:type="dxa"/>
            <w:left w:w="0" w:type="dxa"/>
            <w:bottom w:w="0" w:type="dxa"/>
            <w:right w:w="0" w:type="dxa"/>
          </w:tblCellMar>
        </w:tblPrEx>
        <w:trPr>
          <w:wBefore w:w="0" w:type="auto"/>
          <w:tblCellSpacing w:w="0" w:type="dxa"/>
        </w:trPr>
        <w:tc>
          <w:tcPr>
            <w:tcW w:w="0" w:type="auto"/>
            <w:noWrap w:val="0"/>
            <w:vAlign w:val="center"/>
          </w:tcPr>
          <w:p w14:paraId="2034D412">
            <w:r>
              <w:rPr>
                <w:rStyle w:val="10"/>
                <w:rFonts w:hint="eastAsia"/>
              </w:rPr>
              <w:t>农药名称：</w:t>
            </w:r>
            <w:r>
              <w:rPr>
                <w:rFonts w:hint="eastAsia"/>
              </w:rPr>
              <w:t>调环酸钙</w:t>
            </w:r>
          </w:p>
        </w:tc>
      </w:tr>
      <w:tr w14:paraId="29274821">
        <w:tblPrEx>
          <w:tblCellMar>
            <w:top w:w="0" w:type="dxa"/>
            <w:left w:w="0" w:type="dxa"/>
            <w:bottom w:w="0" w:type="dxa"/>
            <w:right w:w="0" w:type="dxa"/>
          </w:tblCellMar>
        </w:tblPrEx>
        <w:trPr>
          <w:wBefore w:w="0" w:type="auto"/>
          <w:tblCellSpacing w:w="0" w:type="dxa"/>
        </w:trPr>
        <w:tc>
          <w:tcPr>
            <w:tcW w:w="0" w:type="auto"/>
            <w:noWrap w:val="0"/>
            <w:vAlign w:val="center"/>
          </w:tcPr>
          <w:p w14:paraId="1687D2EC">
            <w:r>
              <w:rPr>
                <w:rStyle w:val="10"/>
                <w:rFonts w:hint="eastAsia"/>
              </w:rPr>
              <w:t>剂型：</w:t>
            </w:r>
            <w:r>
              <w:rPr>
                <w:rFonts w:hint="eastAsia"/>
              </w:rPr>
              <w:t>悬浮剂</w:t>
            </w:r>
          </w:p>
        </w:tc>
      </w:tr>
      <w:tr w14:paraId="64AC4240">
        <w:tblPrEx>
          <w:tblCellMar>
            <w:top w:w="0" w:type="dxa"/>
            <w:left w:w="0" w:type="dxa"/>
            <w:bottom w:w="0" w:type="dxa"/>
            <w:right w:w="0" w:type="dxa"/>
          </w:tblCellMar>
        </w:tblPrEx>
        <w:trPr>
          <w:wBefore w:w="0" w:type="auto"/>
          <w:tblCellSpacing w:w="0" w:type="dxa"/>
        </w:trPr>
        <w:tc>
          <w:tcPr>
            <w:tcW w:w="0" w:type="auto"/>
            <w:noWrap w:val="0"/>
            <w:vAlign w:val="center"/>
          </w:tcPr>
          <w:p w14:paraId="7A032190">
            <w:r>
              <w:rPr>
                <w:rStyle w:val="10"/>
                <w:rFonts w:hint="eastAsia"/>
              </w:rPr>
              <w:t>毒性及其标识：</w:t>
            </w:r>
            <w:r>
              <w:rPr>
                <w:rFonts w:hint="eastAsia"/>
              </w:rPr>
              <w:t xml:space="preserve"> </w:t>
            </w:r>
            <w:r>
              <w:rPr>
                <w:lang/>
              </w:rPr>
              <w:drawing>
                <wp:inline distT="0" distB="0" distL="114300" distR="114300">
                  <wp:extent cx="476250" cy="323850"/>
                  <wp:effectExtent l="0" t="0" r="0" b="0"/>
                  <wp:docPr id="184" name="图片 18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73A8CFB">
        <w:tblPrEx>
          <w:tblCellMar>
            <w:top w:w="0" w:type="dxa"/>
            <w:left w:w="0" w:type="dxa"/>
            <w:bottom w:w="0" w:type="dxa"/>
            <w:right w:w="0" w:type="dxa"/>
          </w:tblCellMar>
        </w:tblPrEx>
        <w:trPr>
          <w:wBefore w:w="0" w:type="auto"/>
          <w:tblCellSpacing w:w="0" w:type="dxa"/>
        </w:trPr>
        <w:tc>
          <w:tcPr>
            <w:tcW w:w="0" w:type="auto"/>
            <w:noWrap w:val="0"/>
            <w:vAlign w:val="center"/>
          </w:tcPr>
          <w:p w14:paraId="40E7A74D">
            <w:r>
              <w:rPr>
                <w:rStyle w:val="10"/>
                <w:rFonts w:hint="eastAsia"/>
              </w:rPr>
              <w:t>总有效成分含量：</w:t>
            </w:r>
            <w:r>
              <w:rPr>
                <w:rFonts w:hint="eastAsia"/>
              </w:rPr>
              <w:t>5%</w:t>
            </w:r>
          </w:p>
        </w:tc>
      </w:tr>
      <w:tr w14:paraId="267C0C00">
        <w:tblPrEx>
          <w:tblCellMar>
            <w:top w:w="0" w:type="dxa"/>
            <w:left w:w="0" w:type="dxa"/>
            <w:bottom w:w="0" w:type="dxa"/>
            <w:right w:w="0" w:type="dxa"/>
          </w:tblCellMar>
        </w:tblPrEx>
        <w:trPr>
          <w:wBefore w:w="0" w:type="auto"/>
          <w:tblCellSpacing w:w="0" w:type="dxa"/>
        </w:trPr>
        <w:tc>
          <w:tcPr>
            <w:tcW w:w="0" w:type="auto"/>
            <w:noWrap w:val="0"/>
            <w:vAlign w:val="center"/>
          </w:tcPr>
          <w:p w14:paraId="28B1DC25">
            <w:r>
              <w:rPr>
                <w:rFonts w:hint="eastAsia"/>
              </w:rPr>
              <w:t xml:space="preserve">有效成分及其含量： </w:t>
            </w:r>
          </w:p>
          <w:p w14:paraId="68DC575A">
            <w:r>
              <w:rPr>
                <w:rFonts w:hint="eastAsia"/>
              </w:rPr>
              <w:t xml:space="preserve">    调环酸钙5%    </w:t>
            </w:r>
          </w:p>
        </w:tc>
      </w:tr>
      <w:tr w14:paraId="7BD6E463">
        <w:tblPrEx>
          <w:tblCellMar>
            <w:top w:w="0" w:type="dxa"/>
            <w:left w:w="0" w:type="dxa"/>
            <w:bottom w:w="0" w:type="dxa"/>
            <w:right w:w="0" w:type="dxa"/>
          </w:tblCellMar>
        </w:tblPrEx>
        <w:trPr>
          <w:wBefore w:w="0" w:type="auto"/>
          <w:tblCellSpacing w:w="0" w:type="dxa"/>
        </w:trPr>
        <w:tc>
          <w:tcPr>
            <w:tcW w:w="0" w:type="auto"/>
            <w:noWrap w:val="0"/>
            <w:vAlign w:val="center"/>
          </w:tcPr>
          <w:p w14:paraId="7A8DBCB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CD2E4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8D917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D3A4E0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4D17D6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7D99452">
                  <w:r>
                    <w:rPr>
                      <w:rStyle w:val="11"/>
                      <w:rFonts w:hint="eastAsia"/>
                    </w:rPr>
                    <w:t>施用方式</w:t>
                  </w:r>
                </w:p>
              </w:tc>
            </w:tr>
            <w:tr w14:paraId="279283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96776E1">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233EE7">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388A5E">
                  <w:r>
                    <w:rPr>
                      <w:rStyle w:val="11"/>
                      <w:rFonts w:hint="eastAsia"/>
                    </w:rPr>
                    <w:t>20-30毫升/亩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7F34C7">
                  <w:r>
                    <w:rPr>
                      <w:rStyle w:val="11"/>
                      <w:rFonts w:hint="eastAsia"/>
                    </w:rPr>
                    <w:t>喷雾</w:t>
                  </w:r>
                </w:p>
              </w:tc>
            </w:tr>
          </w:tbl>
          <w:p w14:paraId="5B57A3D7">
            <w:pPr>
              <w:rPr>
                <w:rFonts w:ascii="Times New Roman" w:hAnsi="Times New Roman" w:cs="Times New Roman"/>
                <w:sz w:val="20"/>
                <w:szCs w:val="20"/>
              </w:rPr>
            </w:pPr>
          </w:p>
        </w:tc>
      </w:tr>
      <w:tr w14:paraId="37652B49">
        <w:tblPrEx>
          <w:tblCellMar>
            <w:top w:w="0" w:type="dxa"/>
            <w:left w:w="0" w:type="dxa"/>
            <w:bottom w:w="0" w:type="dxa"/>
            <w:right w:w="0" w:type="dxa"/>
          </w:tblCellMar>
        </w:tblPrEx>
        <w:trPr>
          <w:wBefore w:w="0" w:type="auto"/>
          <w:tblCellSpacing w:w="0" w:type="dxa"/>
        </w:trPr>
        <w:tc>
          <w:tcPr>
            <w:tcW w:w="0" w:type="auto"/>
            <w:noWrap w:val="0"/>
            <w:vAlign w:val="center"/>
          </w:tcPr>
          <w:p w14:paraId="1A07EB80">
            <w:r>
              <w:rPr>
                <w:rStyle w:val="10"/>
                <w:rFonts w:hint="eastAsia"/>
              </w:rPr>
              <w:t>使用技术要求:</w:t>
            </w:r>
            <w:r>
              <w:rPr>
                <w:rFonts w:hint="eastAsia"/>
              </w:rPr>
              <w:br w:type="textWrapping"/>
            </w:r>
            <w:r>
              <w:rPr>
                <w:rStyle w:val="11"/>
                <w:rFonts w:hint="eastAsia"/>
              </w:rPr>
              <w:t>1. 施药时期：水稻拔节前7-10天按推荐药量进行叶面均匀喷雾1次。2. 喷药时间以清晨或傍晚为宜，大风天或预计6小时内降雨，请勿施药。3. 每季最多使用1次，安全间隔期60天。</w:t>
            </w:r>
          </w:p>
        </w:tc>
      </w:tr>
      <w:tr w14:paraId="5A3F5834">
        <w:tblPrEx>
          <w:tblCellMar>
            <w:top w:w="0" w:type="dxa"/>
            <w:left w:w="0" w:type="dxa"/>
            <w:bottom w:w="0" w:type="dxa"/>
            <w:right w:w="0" w:type="dxa"/>
          </w:tblCellMar>
        </w:tblPrEx>
        <w:trPr>
          <w:wBefore w:w="0" w:type="auto"/>
          <w:tblCellSpacing w:w="0" w:type="dxa"/>
        </w:trPr>
        <w:tc>
          <w:tcPr>
            <w:tcW w:w="0" w:type="auto"/>
            <w:noWrap w:val="0"/>
            <w:vAlign w:val="center"/>
          </w:tcPr>
          <w:p w14:paraId="2D323D1C">
            <w:r>
              <w:rPr>
                <w:rStyle w:val="10"/>
                <w:rFonts w:hint="eastAsia"/>
              </w:rPr>
              <w:t>产品性能:</w:t>
            </w:r>
            <w:r>
              <w:rPr>
                <w:rFonts w:hint="eastAsia"/>
              </w:rPr>
              <w:br w:type="textWrapping"/>
            </w:r>
            <w:r>
              <w:rPr>
                <w:rStyle w:val="11"/>
                <w:rFonts w:hint="eastAsia"/>
              </w:rPr>
              <w:t xml:space="preserve">本品为植物生长调节剂，可以通过植物吸收从而抑制赤霉酸的合成，具有抗倒伏及矮化性能。可调节水稻生长。 </w:t>
            </w:r>
          </w:p>
        </w:tc>
      </w:tr>
      <w:tr w14:paraId="7E1CC516">
        <w:tblPrEx>
          <w:tblCellMar>
            <w:top w:w="0" w:type="dxa"/>
            <w:left w:w="0" w:type="dxa"/>
            <w:bottom w:w="0" w:type="dxa"/>
            <w:right w:w="0" w:type="dxa"/>
          </w:tblCellMar>
        </w:tblPrEx>
        <w:trPr>
          <w:wBefore w:w="0" w:type="auto"/>
          <w:tblCellSpacing w:w="0" w:type="dxa"/>
        </w:trPr>
        <w:tc>
          <w:tcPr>
            <w:tcW w:w="0" w:type="auto"/>
            <w:noWrap w:val="0"/>
            <w:vAlign w:val="center"/>
          </w:tcPr>
          <w:p w14:paraId="61BD907E">
            <w:r>
              <w:rPr>
                <w:rStyle w:val="10"/>
                <w:rFonts w:hint="eastAsia"/>
              </w:rPr>
              <w:t>注意事项：</w:t>
            </w:r>
            <w:r>
              <w:rPr>
                <w:rFonts w:hint="eastAsia"/>
              </w:rPr>
              <w:br w:type="textWrapping"/>
            </w:r>
            <w:r>
              <w:rPr>
                <w:rStyle w:val="11"/>
                <w:rFonts w:hint="eastAsia"/>
              </w:rPr>
              <w:t>1. 施药人员应避免和药剂直接接触，不要迎风喷药，以避免吸入药雾。2. 使用本品时应戴防护手套、口罩，穿防护服；操作本品时不饮食、不饮水、不抽烟等。施药后应及时用肥皂和清水清洗裸露的皮肤和衣服。避免与皮肤、眼睛直接接触，防止由口、鼻吸入。3. 用过的容器应妥善处理，不可做他用，也不可随意丢弃。4. 本品使用时请现配现用，请勿将稀释后的悬浮液长期贮存。5. 水产养殖区、河塘等水体附近禁用，禁止在河塘等水体中清洗施药器具；鱼或虾蟹套养稻田禁用、施药后的田水不得直接排入水体。6. 孕妇和哺乳期妇女避免接触本品。</w:t>
            </w:r>
          </w:p>
        </w:tc>
      </w:tr>
      <w:tr w14:paraId="756A088A">
        <w:tblPrEx>
          <w:tblCellMar>
            <w:top w:w="0" w:type="dxa"/>
            <w:left w:w="0" w:type="dxa"/>
            <w:bottom w:w="0" w:type="dxa"/>
            <w:right w:w="0" w:type="dxa"/>
          </w:tblCellMar>
        </w:tblPrEx>
        <w:trPr>
          <w:wBefore w:w="0" w:type="auto"/>
          <w:tblCellSpacing w:w="0" w:type="dxa"/>
        </w:trPr>
        <w:tc>
          <w:tcPr>
            <w:tcW w:w="0" w:type="auto"/>
            <w:noWrap w:val="0"/>
            <w:vAlign w:val="center"/>
          </w:tcPr>
          <w:p w14:paraId="32230CB7">
            <w:r>
              <w:rPr>
                <w:rStyle w:val="10"/>
                <w:rFonts w:hint="eastAsia"/>
              </w:rPr>
              <w:t>中毒急救措施：</w:t>
            </w:r>
            <w:r>
              <w:rPr>
                <w:rFonts w:hint="eastAsia"/>
              </w:rPr>
              <w:br w:type="textWrapping"/>
            </w:r>
            <w:r>
              <w:rPr>
                <w:rStyle w:val="11"/>
                <w:rFonts w:hint="eastAsia"/>
              </w:rPr>
              <w:t>中毒症状：本品毒性较低，使用中有任何不良反应请及时就医。中毒急救：眼睛及皮肤接触：不慎接触皮肤或溅入眼睛，立即用大量清水冲洗至少15分钟，仍有不适时，及时就医。吸入：施药时吸入药液，如有不适，立即将患者转移至空气流通处，呼吸困难者给输氧，并及时就医。误服：不慎误食，即刻用清水充分漱口后，立即携带此标签将病人送医院诊治。无特效解毒剂，对症治疗。</w:t>
            </w:r>
          </w:p>
        </w:tc>
      </w:tr>
      <w:tr w14:paraId="2EBFB0CA">
        <w:tblPrEx>
          <w:tblCellMar>
            <w:top w:w="0" w:type="dxa"/>
            <w:left w:w="0" w:type="dxa"/>
            <w:bottom w:w="0" w:type="dxa"/>
            <w:right w:w="0" w:type="dxa"/>
          </w:tblCellMar>
        </w:tblPrEx>
        <w:trPr>
          <w:wBefore w:w="0" w:type="auto"/>
          <w:tblCellSpacing w:w="0" w:type="dxa"/>
        </w:trPr>
        <w:tc>
          <w:tcPr>
            <w:tcW w:w="0" w:type="auto"/>
            <w:noWrap w:val="0"/>
            <w:vAlign w:val="center"/>
          </w:tcPr>
          <w:p w14:paraId="2A579CC2">
            <w:r>
              <w:rPr>
                <w:rStyle w:val="10"/>
                <w:rFonts w:hint="eastAsia"/>
              </w:rPr>
              <w:t>储存和运输方法：</w:t>
            </w:r>
            <w:r>
              <w:rPr>
                <w:rFonts w:hint="eastAsia"/>
              </w:rPr>
              <w:br w:type="textWrapping"/>
            </w:r>
            <w:r>
              <w:rPr>
                <w:rStyle w:val="11"/>
                <w:rFonts w:hint="eastAsia"/>
              </w:rPr>
              <w:t>本品宜保存于阴凉、干燥、通风的库房中。避免阳光直射，远离火源或热源，避免与氧化剂接触。不能与食品、饮料、粮食、饲料等混合储存。置于儿童接触不到的地方，并加锁保存。</w:t>
            </w:r>
          </w:p>
        </w:tc>
      </w:tr>
      <w:tr w14:paraId="61C242D6">
        <w:tblPrEx>
          <w:tblCellMar>
            <w:top w:w="0" w:type="dxa"/>
            <w:left w:w="0" w:type="dxa"/>
            <w:bottom w:w="0" w:type="dxa"/>
            <w:right w:w="0" w:type="dxa"/>
          </w:tblCellMar>
        </w:tblPrEx>
        <w:trPr>
          <w:wBefore w:w="0" w:type="auto"/>
          <w:tblCellSpacing w:w="0" w:type="dxa"/>
        </w:trPr>
        <w:tc>
          <w:tcPr>
            <w:tcW w:w="0" w:type="auto"/>
            <w:noWrap w:val="0"/>
            <w:vAlign w:val="center"/>
          </w:tcPr>
          <w:p w14:paraId="783523A3">
            <w:r>
              <w:rPr>
                <w:rStyle w:val="10"/>
                <w:rFonts w:hint="eastAsia"/>
              </w:rPr>
              <w:t>质量保证期：</w:t>
            </w:r>
            <w:r>
              <w:rPr>
                <w:rStyle w:val="11"/>
                <w:rFonts w:hint="eastAsia"/>
              </w:rPr>
              <w:t>2年</w:t>
            </w:r>
          </w:p>
        </w:tc>
      </w:tr>
      <w:tr w14:paraId="4CEBFA9F">
        <w:tblPrEx>
          <w:tblCellMar>
            <w:top w:w="0" w:type="dxa"/>
            <w:left w:w="0" w:type="dxa"/>
            <w:bottom w:w="0" w:type="dxa"/>
            <w:right w:w="0" w:type="dxa"/>
          </w:tblCellMar>
        </w:tblPrEx>
        <w:trPr>
          <w:wBefore w:w="0" w:type="auto"/>
          <w:tblCellSpacing w:w="0" w:type="dxa"/>
        </w:trPr>
        <w:tc>
          <w:tcPr>
            <w:tcW w:w="0" w:type="auto"/>
            <w:noWrap w:val="0"/>
            <w:vAlign w:val="center"/>
          </w:tcPr>
          <w:p w14:paraId="78D595F1">
            <w:r>
              <w:rPr>
                <w:rStyle w:val="10"/>
                <w:rFonts w:hint="eastAsia"/>
              </w:rPr>
              <w:t>备注：</w:t>
            </w:r>
          </w:p>
        </w:tc>
      </w:tr>
    </w:tbl>
    <w:p w14:paraId="0079DEF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60C9DE">
        <w:tblPrEx>
          <w:tblCellMar>
            <w:top w:w="0" w:type="dxa"/>
            <w:left w:w="0" w:type="dxa"/>
            <w:bottom w:w="0" w:type="dxa"/>
            <w:right w:w="0" w:type="dxa"/>
          </w:tblCellMar>
        </w:tblPrEx>
        <w:trPr>
          <w:wBefore w:w="0" w:type="auto"/>
          <w:tblCellSpacing w:w="0" w:type="dxa"/>
        </w:trPr>
        <w:tc>
          <w:tcPr>
            <w:tcW w:w="0" w:type="auto"/>
            <w:noWrap w:val="0"/>
            <w:vAlign w:val="center"/>
          </w:tcPr>
          <w:p w14:paraId="41296876">
            <w:r>
              <w:rPr>
                <w:rStyle w:val="10"/>
                <w:rFonts w:hint="eastAsia"/>
              </w:rPr>
              <w:t>登记证号：</w:t>
            </w:r>
            <w:r>
              <w:rPr>
                <w:rFonts w:hint="eastAsia"/>
              </w:rPr>
              <w:t>PD20211770</w:t>
            </w:r>
          </w:p>
        </w:tc>
      </w:tr>
      <w:tr w14:paraId="72F07E86">
        <w:tblPrEx>
          <w:tblCellMar>
            <w:top w:w="0" w:type="dxa"/>
            <w:left w:w="0" w:type="dxa"/>
            <w:bottom w:w="0" w:type="dxa"/>
            <w:right w:w="0" w:type="dxa"/>
          </w:tblCellMar>
        </w:tblPrEx>
        <w:trPr>
          <w:wBefore w:w="0" w:type="auto"/>
          <w:tblCellSpacing w:w="0" w:type="dxa"/>
        </w:trPr>
        <w:tc>
          <w:tcPr>
            <w:tcW w:w="0" w:type="auto"/>
            <w:noWrap w:val="0"/>
            <w:vAlign w:val="center"/>
          </w:tcPr>
          <w:p w14:paraId="4A5CA55A">
            <w:r>
              <w:rPr>
                <w:rStyle w:val="10"/>
                <w:rFonts w:hint="eastAsia"/>
              </w:rPr>
              <w:t>登记证持有人：</w:t>
            </w:r>
            <w:r>
              <w:rPr>
                <w:rFonts w:hint="eastAsia"/>
              </w:rPr>
              <w:t>河南瀚斯作物保护有限公司</w:t>
            </w:r>
          </w:p>
        </w:tc>
      </w:tr>
      <w:tr w14:paraId="4F2D92F6">
        <w:tblPrEx>
          <w:tblCellMar>
            <w:top w:w="0" w:type="dxa"/>
            <w:left w:w="0" w:type="dxa"/>
            <w:bottom w:w="0" w:type="dxa"/>
            <w:right w:w="0" w:type="dxa"/>
          </w:tblCellMar>
        </w:tblPrEx>
        <w:trPr>
          <w:wBefore w:w="0" w:type="auto"/>
          <w:tblCellSpacing w:w="0" w:type="dxa"/>
        </w:trPr>
        <w:tc>
          <w:tcPr>
            <w:tcW w:w="0" w:type="auto"/>
            <w:noWrap w:val="0"/>
            <w:vAlign w:val="center"/>
          </w:tcPr>
          <w:p w14:paraId="2F80E92D">
            <w:r>
              <w:rPr>
                <w:rStyle w:val="10"/>
                <w:rFonts w:hint="eastAsia"/>
              </w:rPr>
              <w:t>农药名称：</w:t>
            </w:r>
            <w:r>
              <w:rPr>
                <w:rFonts w:hint="eastAsia"/>
              </w:rPr>
              <w:t>联苯·呋虫胺</w:t>
            </w:r>
          </w:p>
        </w:tc>
      </w:tr>
      <w:tr w14:paraId="44532A47">
        <w:tblPrEx>
          <w:tblCellMar>
            <w:top w:w="0" w:type="dxa"/>
            <w:left w:w="0" w:type="dxa"/>
            <w:bottom w:w="0" w:type="dxa"/>
            <w:right w:w="0" w:type="dxa"/>
          </w:tblCellMar>
        </w:tblPrEx>
        <w:trPr>
          <w:wBefore w:w="0" w:type="auto"/>
          <w:tblCellSpacing w:w="0" w:type="dxa"/>
        </w:trPr>
        <w:tc>
          <w:tcPr>
            <w:tcW w:w="0" w:type="auto"/>
            <w:noWrap w:val="0"/>
            <w:vAlign w:val="center"/>
          </w:tcPr>
          <w:p w14:paraId="394D44E4">
            <w:r>
              <w:rPr>
                <w:rStyle w:val="10"/>
                <w:rFonts w:hint="eastAsia"/>
              </w:rPr>
              <w:t>剂型：</w:t>
            </w:r>
            <w:r>
              <w:rPr>
                <w:rFonts w:hint="eastAsia"/>
              </w:rPr>
              <w:t>可分散油悬浮剂</w:t>
            </w:r>
          </w:p>
        </w:tc>
      </w:tr>
      <w:tr w14:paraId="19BCFA7B">
        <w:tblPrEx>
          <w:tblCellMar>
            <w:top w:w="0" w:type="dxa"/>
            <w:left w:w="0" w:type="dxa"/>
            <w:bottom w:w="0" w:type="dxa"/>
            <w:right w:w="0" w:type="dxa"/>
          </w:tblCellMar>
        </w:tblPrEx>
        <w:trPr>
          <w:wBefore w:w="0" w:type="auto"/>
          <w:tblCellSpacing w:w="0" w:type="dxa"/>
        </w:trPr>
        <w:tc>
          <w:tcPr>
            <w:tcW w:w="0" w:type="auto"/>
            <w:noWrap w:val="0"/>
            <w:vAlign w:val="center"/>
          </w:tcPr>
          <w:p w14:paraId="54799228">
            <w:r>
              <w:rPr>
                <w:rStyle w:val="10"/>
                <w:rFonts w:hint="eastAsia"/>
              </w:rPr>
              <w:t>毒性及其标识：</w:t>
            </w:r>
            <w:r>
              <w:rPr>
                <w:rFonts w:hint="eastAsia"/>
              </w:rPr>
              <w:t xml:space="preserve"> </w:t>
            </w:r>
            <w:r>
              <w:rPr>
                <w:lang/>
              </w:rPr>
              <w:drawing>
                <wp:inline distT="0" distB="0" distL="114300" distR="114300">
                  <wp:extent cx="476250" cy="323850"/>
                  <wp:effectExtent l="0" t="0" r="0" b="0"/>
                  <wp:docPr id="185" name="图片 18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298C84D">
        <w:tblPrEx>
          <w:tblCellMar>
            <w:top w:w="0" w:type="dxa"/>
            <w:left w:w="0" w:type="dxa"/>
            <w:bottom w:w="0" w:type="dxa"/>
            <w:right w:w="0" w:type="dxa"/>
          </w:tblCellMar>
        </w:tblPrEx>
        <w:trPr>
          <w:wBefore w:w="0" w:type="auto"/>
          <w:tblCellSpacing w:w="0" w:type="dxa"/>
        </w:trPr>
        <w:tc>
          <w:tcPr>
            <w:tcW w:w="0" w:type="auto"/>
            <w:noWrap w:val="0"/>
            <w:vAlign w:val="center"/>
          </w:tcPr>
          <w:p w14:paraId="49D1A364">
            <w:r>
              <w:rPr>
                <w:rStyle w:val="10"/>
                <w:rFonts w:hint="eastAsia"/>
              </w:rPr>
              <w:t>总有效成分含量：</w:t>
            </w:r>
            <w:r>
              <w:rPr>
                <w:rFonts w:hint="eastAsia"/>
              </w:rPr>
              <w:t>15%</w:t>
            </w:r>
          </w:p>
        </w:tc>
      </w:tr>
      <w:tr w14:paraId="249C70C8">
        <w:tblPrEx>
          <w:tblCellMar>
            <w:top w:w="0" w:type="dxa"/>
            <w:left w:w="0" w:type="dxa"/>
            <w:bottom w:w="0" w:type="dxa"/>
            <w:right w:w="0" w:type="dxa"/>
          </w:tblCellMar>
        </w:tblPrEx>
        <w:trPr>
          <w:wBefore w:w="0" w:type="auto"/>
          <w:tblCellSpacing w:w="0" w:type="dxa"/>
        </w:trPr>
        <w:tc>
          <w:tcPr>
            <w:tcW w:w="0" w:type="auto"/>
            <w:noWrap w:val="0"/>
            <w:vAlign w:val="center"/>
          </w:tcPr>
          <w:p w14:paraId="50D50275">
            <w:r>
              <w:rPr>
                <w:rFonts w:hint="eastAsia"/>
              </w:rPr>
              <w:t xml:space="preserve">有效成分及其含量： </w:t>
            </w:r>
          </w:p>
          <w:p w14:paraId="0EB00CEF">
            <w:r>
              <w:rPr>
                <w:rFonts w:hint="eastAsia"/>
              </w:rPr>
              <w:t xml:space="preserve">    呋虫胺9%    联苯菊酯6%    </w:t>
            </w:r>
          </w:p>
        </w:tc>
      </w:tr>
      <w:tr w14:paraId="1CFBA523">
        <w:tblPrEx>
          <w:tblCellMar>
            <w:top w:w="0" w:type="dxa"/>
            <w:left w:w="0" w:type="dxa"/>
            <w:bottom w:w="0" w:type="dxa"/>
            <w:right w:w="0" w:type="dxa"/>
          </w:tblCellMar>
        </w:tblPrEx>
        <w:trPr>
          <w:wBefore w:w="0" w:type="auto"/>
          <w:tblCellSpacing w:w="0" w:type="dxa"/>
        </w:trPr>
        <w:tc>
          <w:tcPr>
            <w:tcW w:w="0" w:type="auto"/>
            <w:noWrap w:val="0"/>
            <w:vAlign w:val="center"/>
          </w:tcPr>
          <w:p w14:paraId="7C69706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A1B00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7E5548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AA634F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863014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5E91FCA">
                  <w:r>
                    <w:rPr>
                      <w:rStyle w:val="11"/>
                      <w:rFonts w:hint="eastAsia"/>
                    </w:rPr>
                    <w:t>施用方式</w:t>
                  </w:r>
                </w:p>
              </w:tc>
            </w:tr>
            <w:tr w14:paraId="66A207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7962A5A">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B62877">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7B92C4">
                  <w:r>
                    <w:rPr>
                      <w:rStyle w:val="11"/>
                      <w:rFonts w:hint="eastAsia"/>
                    </w:rPr>
                    <w:t>20-40毫升/亩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0F5219">
                  <w:r>
                    <w:rPr>
                      <w:rStyle w:val="11"/>
                      <w:rFonts w:hint="eastAsia"/>
                    </w:rPr>
                    <w:t>喷雾</w:t>
                  </w:r>
                </w:p>
              </w:tc>
            </w:tr>
          </w:tbl>
          <w:p w14:paraId="7933DC6E">
            <w:pPr>
              <w:rPr>
                <w:rFonts w:ascii="Times New Roman" w:hAnsi="Times New Roman" w:cs="Times New Roman"/>
                <w:sz w:val="20"/>
                <w:szCs w:val="20"/>
              </w:rPr>
            </w:pPr>
          </w:p>
        </w:tc>
      </w:tr>
      <w:tr w14:paraId="5F004488">
        <w:tblPrEx>
          <w:tblCellMar>
            <w:top w:w="0" w:type="dxa"/>
            <w:left w:w="0" w:type="dxa"/>
            <w:bottom w:w="0" w:type="dxa"/>
            <w:right w:w="0" w:type="dxa"/>
          </w:tblCellMar>
        </w:tblPrEx>
        <w:trPr>
          <w:wBefore w:w="0" w:type="auto"/>
          <w:tblCellSpacing w:w="0" w:type="dxa"/>
        </w:trPr>
        <w:tc>
          <w:tcPr>
            <w:tcW w:w="0" w:type="auto"/>
            <w:noWrap w:val="0"/>
            <w:vAlign w:val="center"/>
          </w:tcPr>
          <w:p w14:paraId="3A574844">
            <w:r>
              <w:rPr>
                <w:rStyle w:val="10"/>
                <w:rFonts w:hint="eastAsia"/>
              </w:rPr>
              <w:t>使用技术要求:</w:t>
            </w:r>
            <w:r>
              <w:rPr>
                <w:rFonts w:hint="eastAsia"/>
              </w:rPr>
              <w:br w:type="textWrapping"/>
            </w:r>
            <w:r>
              <w:rPr>
                <w:rStyle w:val="11"/>
                <w:rFonts w:hint="eastAsia"/>
              </w:rPr>
              <w:t>1. 在小麦蚜虫发生始盛期施药，每个作物周期最多施药1次，安全间隔期21天。 2. 大风天或预计1小时之内有雨，请勿施药。</w:t>
            </w:r>
          </w:p>
        </w:tc>
      </w:tr>
      <w:tr w14:paraId="37A6A647">
        <w:tblPrEx>
          <w:tblCellMar>
            <w:top w:w="0" w:type="dxa"/>
            <w:left w:w="0" w:type="dxa"/>
            <w:bottom w:w="0" w:type="dxa"/>
            <w:right w:w="0" w:type="dxa"/>
          </w:tblCellMar>
        </w:tblPrEx>
        <w:trPr>
          <w:wBefore w:w="0" w:type="auto"/>
          <w:tblCellSpacing w:w="0" w:type="dxa"/>
        </w:trPr>
        <w:tc>
          <w:tcPr>
            <w:tcW w:w="0" w:type="auto"/>
            <w:noWrap w:val="0"/>
            <w:vAlign w:val="center"/>
          </w:tcPr>
          <w:p w14:paraId="39683FB6">
            <w:r>
              <w:rPr>
                <w:rStyle w:val="10"/>
                <w:rFonts w:hint="eastAsia"/>
              </w:rPr>
              <w:t>产品性能:</w:t>
            </w:r>
            <w:r>
              <w:rPr>
                <w:rFonts w:hint="eastAsia"/>
              </w:rPr>
              <w:br w:type="textWrapping"/>
            </w:r>
            <w:r>
              <w:rPr>
                <w:rStyle w:val="11"/>
                <w:rFonts w:hint="eastAsia"/>
              </w:rPr>
              <w:t>本品为联苯菊酯与呋虫胺混配制剂，具有触杀和胃毒作用，可有效防治小麦蚜虫。</w:t>
            </w:r>
          </w:p>
        </w:tc>
      </w:tr>
      <w:tr w14:paraId="67E4AFF8">
        <w:tblPrEx>
          <w:tblCellMar>
            <w:top w:w="0" w:type="dxa"/>
            <w:left w:w="0" w:type="dxa"/>
            <w:bottom w:w="0" w:type="dxa"/>
            <w:right w:w="0" w:type="dxa"/>
          </w:tblCellMar>
        </w:tblPrEx>
        <w:trPr>
          <w:wBefore w:w="0" w:type="auto"/>
          <w:tblCellSpacing w:w="0" w:type="dxa"/>
        </w:trPr>
        <w:tc>
          <w:tcPr>
            <w:tcW w:w="0" w:type="auto"/>
            <w:noWrap w:val="0"/>
            <w:vAlign w:val="center"/>
          </w:tcPr>
          <w:p w14:paraId="2DA8086C">
            <w:r>
              <w:rPr>
                <w:rStyle w:val="10"/>
                <w:rFonts w:hint="eastAsia"/>
              </w:rPr>
              <w:t>注意事项：</w:t>
            </w:r>
            <w:r>
              <w:rPr>
                <w:rFonts w:hint="eastAsia"/>
              </w:rPr>
              <w:br w:type="textWrapping"/>
            </w:r>
            <w:r>
              <w:rPr>
                <w:rStyle w:val="11"/>
                <w:rFonts w:hint="eastAsia"/>
              </w:rPr>
              <w:t>1.本品为烟碱类与拟除虫菊酯类混配的杀虫剂，建议避免持续使用或与作用位点相似的杀虫剂轮换使用。本品不可以与其它烟碱类杀虫剂混合使用。2. 远离水产养殖区、河塘等水体施药，禁止在河塘等水体中清洗施药器具；（周围）开花植物花期禁用，使用期间应密切关注对附近蜂群的影响；蚕室及桑园附近禁用；瓢虫、赤眼蜂等天敌放飞区域禁用。3. 本品对眼睛有刺激性，使用时避免接触眼睛，穿戴长衣、长裤、帽子、口罩、手套等安全防护措施。施药期间不可吃东西和饮水。施药后及时洗手、洗脸。4. 孕妇、哺乳期妇女及过敏者禁止接触本品。 5. 用过的容器应妥善处理，不可做他用，也不可随意丢弃。</w:t>
            </w:r>
          </w:p>
        </w:tc>
      </w:tr>
      <w:tr w14:paraId="1DCE54C4">
        <w:tblPrEx>
          <w:tblCellMar>
            <w:top w:w="0" w:type="dxa"/>
            <w:left w:w="0" w:type="dxa"/>
            <w:bottom w:w="0" w:type="dxa"/>
            <w:right w:w="0" w:type="dxa"/>
          </w:tblCellMar>
        </w:tblPrEx>
        <w:trPr>
          <w:wBefore w:w="0" w:type="auto"/>
          <w:tblCellSpacing w:w="0" w:type="dxa"/>
        </w:trPr>
        <w:tc>
          <w:tcPr>
            <w:tcW w:w="0" w:type="auto"/>
            <w:noWrap w:val="0"/>
            <w:vAlign w:val="center"/>
          </w:tcPr>
          <w:p w14:paraId="1E50DBA3">
            <w:r>
              <w:rPr>
                <w:rStyle w:val="10"/>
                <w:rFonts w:hint="eastAsia"/>
              </w:rPr>
              <w:t>中毒急救措施：</w:t>
            </w:r>
            <w:r>
              <w:rPr>
                <w:rFonts w:hint="eastAsia"/>
              </w:rPr>
              <w:br w:type="textWrapping"/>
            </w:r>
            <w:r>
              <w:rPr>
                <w:rStyle w:val="11"/>
                <w:rFonts w:hint="eastAsia"/>
              </w:rPr>
              <w:t>1. 中毒症状表现为头痛、呕吐、恶心、呼吸急促、抽搐、昏迷等。严重时对肝、肾损伤。2. 眼睛溅入：立刻用大量清水冲洗，如配戴隐形眼镜，冲洗1-2分钟后摘掉眼镜再冲洗数分钟。如症状持续，请就医。3. 不慎吸入，将病人移至空气流通处。4. 皮肤沾附∶除去被溅及衣物，并立刻用肥皂和大量清水冲洗皮肤。被溅及衣物须彻底清洗后方可再穿。5. 误食∶请勿引吐。如误食请就医，对症治疗。无特效解毒剂。</w:t>
            </w:r>
          </w:p>
        </w:tc>
      </w:tr>
      <w:tr w14:paraId="687CF808">
        <w:tblPrEx>
          <w:tblCellMar>
            <w:top w:w="0" w:type="dxa"/>
            <w:left w:w="0" w:type="dxa"/>
            <w:bottom w:w="0" w:type="dxa"/>
            <w:right w:w="0" w:type="dxa"/>
          </w:tblCellMar>
        </w:tblPrEx>
        <w:trPr>
          <w:wBefore w:w="0" w:type="auto"/>
          <w:tblCellSpacing w:w="0" w:type="dxa"/>
        </w:trPr>
        <w:tc>
          <w:tcPr>
            <w:tcW w:w="0" w:type="auto"/>
            <w:noWrap w:val="0"/>
            <w:vAlign w:val="center"/>
          </w:tcPr>
          <w:p w14:paraId="79A2375A">
            <w:r>
              <w:rPr>
                <w:rStyle w:val="10"/>
                <w:rFonts w:hint="eastAsia"/>
              </w:rPr>
              <w:t>储存和运输方法：</w:t>
            </w:r>
            <w:r>
              <w:rPr>
                <w:rFonts w:hint="eastAsia"/>
              </w:rPr>
              <w:br w:type="textWrapping"/>
            </w:r>
            <w:r>
              <w:rPr>
                <w:rStyle w:val="11"/>
                <w:rFonts w:hint="eastAsia"/>
              </w:rPr>
              <w:t>本品应贮存在干燥、阴凉、通风处、防雨防湿防潮，远离火源或热源。置于儿童、无关人员触及不到之处，并加锁。勿与食品、饮料、饲料、粮食等同贮同运。</w:t>
            </w:r>
          </w:p>
        </w:tc>
      </w:tr>
      <w:tr w14:paraId="3323F49E">
        <w:tblPrEx>
          <w:tblCellMar>
            <w:top w:w="0" w:type="dxa"/>
            <w:left w:w="0" w:type="dxa"/>
            <w:bottom w:w="0" w:type="dxa"/>
            <w:right w:w="0" w:type="dxa"/>
          </w:tblCellMar>
        </w:tblPrEx>
        <w:trPr>
          <w:wBefore w:w="0" w:type="auto"/>
          <w:tblCellSpacing w:w="0" w:type="dxa"/>
        </w:trPr>
        <w:tc>
          <w:tcPr>
            <w:tcW w:w="0" w:type="auto"/>
            <w:noWrap w:val="0"/>
            <w:vAlign w:val="center"/>
          </w:tcPr>
          <w:p w14:paraId="79B250E0">
            <w:r>
              <w:rPr>
                <w:rStyle w:val="10"/>
                <w:rFonts w:hint="eastAsia"/>
              </w:rPr>
              <w:t>质量保证期：</w:t>
            </w:r>
            <w:r>
              <w:rPr>
                <w:rStyle w:val="11"/>
                <w:rFonts w:hint="eastAsia"/>
              </w:rPr>
              <w:t>2年</w:t>
            </w:r>
          </w:p>
        </w:tc>
      </w:tr>
      <w:tr w14:paraId="2C10A029">
        <w:tblPrEx>
          <w:tblCellMar>
            <w:top w:w="0" w:type="dxa"/>
            <w:left w:w="0" w:type="dxa"/>
            <w:bottom w:w="0" w:type="dxa"/>
            <w:right w:w="0" w:type="dxa"/>
          </w:tblCellMar>
        </w:tblPrEx>
        <w:trPr>
          <w:wBefore w:w="0" w:type="auto"/>
          <w:tblCellSpacing w:w="0" w:type="dxa"/>
        </w:trPr>
        <w:tc>
          <w:tcPr>
            <w:tcW w:w="0" w:type="auto"/>
            <w:noWrap w:val="0"/>
            <w:vAlign w:val="center"/>
          </w:tcPr>
          <w:p w14:paraId="13F8790B">
            <w:r>
              <w:rPr>
                <w:rStyle w:val="10"/>
                <w:rFonts w:hint="eastAsia"/>
              </w:rPr>
              <w:t>备注：</w:t>
            </w:r>
          </w:p>
        </w:tc>
      </w:tr>
    </w:tbl>
    <w:p w14:paraId="0F1EF68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44FF3A3">
        <w:tblPrEx>
          <w:tblCellMar>
            <w:top w:w="0" w:type="dxa"/>
            <w:left w:w="0" w:type="dxa"/>
            <w:bottom w:w="0" w:type="dxa"/>
            <w:right w:w="0" w:type="dxa"/>
          </w:tblCellMar>
        </w:tblPrEx>
        <w:trPr>
          <w:wBefore w:w="0" w:type="auto"/>
          <w:tblCellSpacing w:w="0" w:type="dxa"/>
        </w:trPr>
        <w:tc>
          <w:tcPr>
            <w:tcW w:w="0" w:type="auto"/>
            <w:noWrap w:val="0"/>
            <w:vAlign w:val="center"/>
          </w:tcPr>
          <w:p w14:paraId="3DC6E502">
            <w:r>
              <w:rPr>
                <w:rStyle w:val="10"/>
                <w:rFonts w:hint="eastAsia"/>
              </w:rPr>
              <w:t>登记证号：</w:t>
            </w:r>
            <w:r>
              <w:rPr>
                <w:rFonts w:hint="eastAsia"/>
              </w:rPr>
              <w:t>WP20210230</w:t>
            </w:r>
          </w:p>
        </w:tc>
      </w:tr>
      <w:tr w14:paraId="79760514">
        <w:tblPrEx>
          <w:tblCellMar>
            <w:top w:w="0" w:type="dxa"/>
            <w:left w:w="0" w:type="dxa"/>
            <w:bottom w:w="0" w:type="dxa"/>
            <w:right w:w="0" w:type="dxa"/>
          </w:tblCellMar>
        </w:tblPrEx>
        <w:trPr>
          <w:wBefore w:w="0" w:type="auto"/>
          <w:tblCellSpacing w:w="0" w:type="dxa"/>
        </w:trPr>
        <w:tc>
          <w:tcPr>
            <w:tcW w:w="0" w:type="auto"/>
            <w:noWrap w:val="0"/>
            <w:vAlign w:val="center"/>
          </w:tcPr>
          <w:p w14:paraId="1BDFA0BE">
            <w:r>
              <w:rPr>
                <w:rStyle w:val="10"/>
                <w:rFonts w:hint="eastAsia"/>
              </w:rPr>
              <w:t>登记证持有人：</w:t>
            </w:r>
            <w:r>
              <w:rPr>
                <w:rFonts w:hint="eastAsia"/>
              </w:rPr>
              <w:t>江苏百灵农化有限公司</w:t>
            </w:r>
          </w:p>
        </w:tc>
      </w:tr>
      <w:tr w14:paraId="5EF2034D">
        <w:tblPrEx>
          <w:tblCellMar>
            <w:top w:w="0" w:type="dxa"/>
            <w:left w:w="0" w:type="dxa"/>
            <w:bottom w:w="0" w:type="dxa"/>
            <w:right w:w="0" w:type="dxa"/>
          </w:tblCellMar>
        </w:tblPrEx>
        <w:trPr>
          <w:wBefore w:w="0" w:type="auto"/>
          <w:tblCellSpacing w:w="0" w:type="dxa"/>
        </w:trPr>
        <w:tc>
          <w:tcPr>
            <w:tcW w:w="0" w:type="auto"/>
            <w:noWrap w:val="0"/>
            <w:vAlign w:val="center"/>
          </w:tcPr>
          <w:p w14:paraId="68691CDB">
            <w:r>
              <w:rPr>
                <w:rStyle w:val="10"/>
                <w:rFonts w:hint="eastAsia"/>
              </w:rPr>
              <w:t>农药名称：</w:t>
            </w:r>
            <w:r>
              <w:rPr>
                <w:rFonts w:hint="eastAsia"/>
              </w:rPr>
              <w:t>杀螺胺·四聚乙醛</w:t>
            </w:r>
          </w:p>
        </w:tc>
      </w:tr>
      <w:tr w14:paraId="2E46DC3B">
        <w:tblPrEx>
          <w:tblCellMar>
            <w:top w:w="0" w:type="dxa"/>
            <w:left w:w="0" w:type="dxa"/>
            <w:bottom w:w="0" w:type="dxa"/>
            <w:right w:w="0" w:type="dxa"/>
          </w:tblCellMar>
        </w:tblPrEx>
        <w:trPr>
          <w:wBefore w:w="0" w:type="auto"/>
          <w:tblCellSpacing w:w="0" w:type="dxa"/>
        </w:trPr>
        <w:tc>
          <w:tcPr>
            <w:tcW w:w="0" w:type="auto"/>
            <w:noWrap w:val="0"/>
            <w:vAlign w:val="center"/>
          </w:tcPr>
          <w:p w14:paraId="649210E9">
            <w:r>
              <w:rPr>
                <w:rStyle w:val="10"/>
                <w:rFonts w:hint="eastAsia"/>
              </w:rPr>
              <w:t>剂型：</w:t>
            </w:r>
            <w:r>
              <w:rPr>
                <w:rFonts w:hint="eastAsia"/>
              </w:rPr>
              <w:t>悬浮剂</w:t>
            </w:r>
          </w:p>
        </w:tc>
      </w:tr>
      <w:tr w14:paraId="7CA3E548">
        <w:tblPrEx>
          <w:tblCellMar>
            <w:top w:w="0" w:type="dxa"/>
            <w:left w:w="0" w:type="dxa"/>
            <w:bottom w:w="0" w:type="dxa"/>
            <w:right w:w="0" w:type="dxa"/>
          </w:tblCellMar>
        </w:tblPrEx>
        <w:trPr>
          <w:wBefore w:w="0" w:type="auto"/>
          <w:tblCellSpacing w:w="0" w:type="dxa"/>
        </w:trPr>
        <w:tc>
          <w:tcPr>
            <w:tcW w:w="0" w:type="auto"/>
            <w:noWrap w:val="0"/>
            <w:vAlign w:val="center"/>
          </w:tcPr>
          <w:p w14:paraId="7E1E1680">
            <w:r>
              <w:rPr>
                <w:rStyle w:val="10"/>
                <w:rFonts w:hint="eastAsia"/>
              </w:rPr>
              <w:t>毒性及其标识：</w:t>
            </w:r>
            <w:r>
              <w:rPr>
                <w:rFonts w:hint="eastAsia"/>
              </w:rPr>
              <w:t xml:space="preserve"> </w:t>
            </w:r>
            <w:r>
              <w:rPr>
                <w:lang/>
              </w:rPr>
              <w:drawing>
                <wp:inline distT="0" distB="0" distL="114300" distR="114300">
                  <wp:extent cx="476250" cy="323850"/>
                  <wp:effectExtent l="0" t="0" r="0" b="0"/>
                  <wp:docPr id="186" name="图片 18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4E10988">
        <w:tblPrEx>
          <w:tblCellMar>
            <w:top w:w="0" w:type="dxa"/>
            <w:left w:w="0" w:type="dxa"/>
            <w:bottom w:w="0" w:type="dxa"/>
            <w:right w:w="0" w:type="dxa"/>
          </w:tblCellMar>
        </w:tblPrEx>
        <w:trPr>
          <w:wBefore w:w="0" w:type="auto"/>
          <w:tblCellSpacing w:w="0" w:type="dxa"/>
        </w:trPr>
        <w:tc>
          <w:tcPr>
            <w:tcW w:w="0" w:type="auto"/>
            <w:noWrap w:val="0"/>
            <w:vAlign w:val="center"/>
          </w:tcPr>
          <w:p w14:paraId="09E6E9B3">
            <w:r>
              <w:rPr>
                <w:rStyle w:val="10"/>
                <w:rFonts w:hint="eastAsia"/>
              </w:rPr>
              <w:t>总有效成分含量：</w:t>
            </w:r>
            <w:r>
              <w:rPr>
                <w:rFonts w:hint="eastAsia"/>
              </w:rPr>
              <w:t>22.1%</w:t>
            </w:r>
          </w:p>
        </w:tc>
      </w:tr>
      <w:tr w14:paraId="25F921E7">
        <w:tblPrEx>
          <w:tblCellMar>
            <w:top w:w="0" w:type="dxa"/>
            <w:left w:w="0" w:type="dxa"/>
            <w:bottom w:w="0" w:type="dxa"/>
            <w:right w:w="0" w:type="dxa"/>
          </w:tblCellMar>
        </w:tblPrEx>
        <w:trPr>
          <w:wBefore w:w="0" w:type="auto"/>
          <w:tblCellSpacing w:w="0" w:type="dxa"/>
        </w:trPr>
        <w:tc>
          <w:tcPr>
            <w:tcW w:w="0" w:type="auto"/>
            <w:noWrap w:val="0"/>
            <w:vAlign w:val="center"/>
          </w:tcPr>
          <w:p w14:paraId="20981E9A">
            <w:r>
              <w:rPr>
                <w:rFonts w:hint="eastAsia"/>
              </w:rPr>
              <w:t xml:space="preserve">有效成分及其含量： </w:t>
            </w:r>
          </w:p>
          <w:p w14:paraId="37FFDD7D">
            <w:r>
              <w:rPr>
                <w:rFonts w:hint="eastAsia"/>
              </w:rPr>
              <w:t xml:space="preserve">    杀螺胺21.1%    四聚乙醛1%    </w:t>
            </w:r>
          </w:p>
        </w:tc>
      </w:tr>
      <w:tr w14:paraId="6930631B">
        <w:tblPrEx>
          <w:tblCellMar>
            <w:top w:w="0" w:type="dxa"/>
            <w:left w:w="0" w:type="dxa"/>
            <w:bottom w:w="0" w:type="dxa"/>
            <w:right w:w="0" w:type="dxa"/>
          </w:tblCellMar>
        </w:tblPrEx>
        <w:trPr>
          <w:wBefore w:w="0" w:type="auto"/>
          <w:tblCellSpacing w:w="0" w:type="dxa"/>
        </w:trPr>
        <w:tc>
          <w:tcPr>
            <w:tcW w:w="0" w:type="auto"/>
            <w:noWrap w:val="0"/>
            <w:vAlign w:val="center"/>
          </w:tcPr>
          <w:p w14:paraId="5B1B1D7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39AA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43E9D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0F2211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FFEF0C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3E1092">
                  <w:r>
                    <w:rPr>
                      <w:rStyle w:val="11"/>
                      <w:rFonts w:hint="eastAsia"/>
                    </w:rPr>
                    <w:t>施用方式</w:t>
                  </w:r>
                </w:p>
              </w:tc>
            </w:tr>
            <w:tr w14:paraId="16B2A3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2A65A21">
                  <w:r>
                    <w:rPr>
                      <w:rStyle w:val="11"/>
                      <w:rFonts w:hint="eastAsia"/>
                    </w:rPr>
                    <w:t>滩涂</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2082C3">
                  <w:r>
                    <w:rPr>
                      <w:rStyle w:val="11"/>
                      <w:rFonts w:hint="eastAsia"/>
                    </w:rPr>
                    <w:t>钉螺</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A14922">
                  <w:r>
                    <w:rPr>
                      <w:rStyle w:val="11"/>
                      <w:rFonts w:hint="eastAsia"/>
                    </w:rPr>
                    <w:t>4-8毫升/平方米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DDB27B">
                  <w:r>
                    <w:rPr>
                      <w:rStyle w:val="11"/>
                      <w:rFonts w:hint="eastAsia"/>
                    </w:rPr>
                    <w:t>喷洒</w:t>
                  </w:r>
                </w:p>
              </w:tc>
            </w:tr>
          </w:tbl>
          <w:p w14:paraId="09ADFEFA">
            <w:pPr>
              <w:rPr>
                <w:rFonts w:ascii="Times New Roman" w:hAnsi="Times New Roman" w:cs="Times New Roman"/>
                <w:sz w:val="20"/>
                <w:szCs w:val="20"/>
              </w:rPr>
            </w:pPr>
          </w:p>
        </w:tc>
      </w:tr>
      <w:tr w14:paraId="65035F4D">
        <w:tblPrEx>
          <w:tblCellMar>
            <w:top w:w="0" w:type="dxa"/>
            <w:left w:w="0" w:type="dxa"/>
            <w:bottom w:w="0" w:type="dxa"/>
            <w:right w:w="0" w:type="dxa"/>
          </w:tblCellMar>
        </w:tblPrEx>
        <w:trPr>
          <w:wBefore w:w="0" w:type="auto"/>
          <w:tblCellSpacing w:w="0" w:type="dxa"/>
        </w:trPr>
        <w:tc>
          <w:tcPr>
            <w:tcW w:w="0" w:type="auto"/>
            <w:noWrap w:val="0"/>
            <w:vAlign w:val="center"/>
          </w:tcPr>
          <w:p w14:paraId="37351449">
            <w:r>
              <w:rPr>
                <w:rStyle w:val="10"/>
                <w:rFonts w:hint="eastAsia"/>
              </w:rPr>
              <w:t>使用技术要求:</w:t>
            </w:r>
            <w:r>
              <w:rPr>
                <w:rFonts w:hint="eastAsia"/>
              </w:rPr>
              <w:br w:type="textWrapping"/>
            </w:r>
            <w:r>
              <w:rPr>
                <w:rStyle w:val="11"/>
                <w:rFonts w:hint="eastAsia"/>
              </w:rPr>
              <w:t>1..于钉螺繁殖初期至发生或危害高峰前期使用。2.灭螺时气温最好在20℃以上，在大雨或暴雨前不宜施药，以免药液流失。</w:t>
            </w:r>
          </w:p>
        </w:tc>
      </w:tr>
      <w:tr w14:paraId="335CFEF4">
        <w:tblPrEx>
          <w:tblCellMar>
            <w:top w:w="0" w:type="dxa"/>
            <w:left w:w="0" w:type="dxa"/>
            <w:bottom w:w="0" w:type="dxa"/>
            <w:right w:w="0" w:type="dxa"/>
          </w:tblCellMar>
        </w:tblPrEx>
        <w:trPr>
          <w:wBefore w:w="0" w:type="auto"/>
          <w:tblCellSpacing w:w="0" w:type="dxa"/>
        </w:trPr>
        <w:tc>
          <w:tcPr>
            <w:tcW w:w="0" w:type="auto"/>
            <w:noWrap w:val="0"/>
            <w:vAlign w:val="center"/>
          </w:tcPr>
          <w:p w14:paraId="1CAD189B">
            <w:r>
              <w:rPr>
                <w:rStyle w:val="10"/>
                <w:rFonts w:hint="eastAsia"/>
              </w:rPr>
              <w:t>产品性能:</w:t>
            </w:r>
            <w:r>
              <w:rPr>
                <w:rFonts w:hint="eastAsia"/>
              </w:rPr>
              <w:br w:type="textWrapping"/>
            </w:r>
            <w:r>
              <w:rPr>
                <w:rStyle w:val="11"/>
                <w:rFonts w:hint="eastAsia"/>
              </w:rPr>
              <w:t>四聚乙醛通过影响乙酰胆碱酯酶，破坏螺体内特殊的黏液，使螺体迅速脱水，神经麻痹，造成死亡。杀螺胺为酚类有机杀软体动物剂，主要影响螺的能量代谢而导致螺死亡，也可引起螺的腺体和消化腺上皮组织损伤。本品用于防治滩涂钉螺。</w:t>
            </w:r>
          </w:p>
        </w:tc>
      </w:tr>
      <w:tr w14:paraId="11C2FCF9">
        <w:tblPrEx>
          <w:tblCellMar>
            <w:top w:w="0" w:type="dxa"/>
            <w:left w:w="0" w:type="dxa"/>
            <w:bottom w:w="0" w:type="dxa"/>
            <w:right w:w="0" w:type="dxa"/>
          </w:tblCellMar>
        </w:tblPrEx>
        <w:trPr>
          <w:wBefore w:w="0" w:type="auto"/>
          <w:tblCellSpacing w:w="0" w:type="dxa"/>
        </w:trPr>
        <w:tc>
          <w:tcPr>
            <w:tcW w:w="0" w:type="auto"/>
            <w:noWrap w:val="0"/>
            <w:vAlign w:val="center"/>
          </w:tcPr>
          <w:p w14:paraId="693AA321">
            <w:r>
              <w:rPr>
                <w:rStyle w:val="10"/>
                <w:rFonts w:hint="eastAsia"/>
              </w:rPr>
              <w:t>注意事项：</w:t>
            </w:r>
            <w:r>
              <w:rPr>
                <w:rFonts w:hint="eastAsia"/>
              </w:rPr>
              <w:br w:type="textWrapping"/>
            </w:r>
            <w:r>
              <w:rPr>
                <w:rStyle w:val="11"/>
                <w:rFonts w:hint="eastAsia"/>
              </w:rPr>
              <w:t>1、使用本品时应穿戴长衣、长裤、帽子、口罩、手套等防护措施，避免吸入药液，施药期间不能吃东西和饮水，施药后应及时洗手和洗脸。2、本品对鱼、蛙、贝类有毒，远离水产养殖区、河塘等水体施药，鱼虾养殖区禁用，禁止在河塘等水体中清洗施药器具。3、鸟类保护区附近禁用。4、蚕室附近禁用。5、周围开花植物花期禁用。6、避免与氧化剂接触。7、灭螺2周内，禁止在灭螺区域内放牧。8、用过的容器应妥善处理，不可做他用，不可随意丢弃。9、禁止儿童、孕妇和哺乳期妇女接触本品。</w:t>
            </w:r>
          </w:p>
        </w:tc>
      </w:tr>
      <w:tr w14:paraId="6C6525A2">
        <w:tblPrEx>
          <w:tblCellMar>
            <w:top w:w="0" w:type="dxa"/>
            <w:left w:w="0" w:type="dxa"/>
            <w:bottom w:w="0" w:type="dxa"/>
            <w:right w:w="0" w:type="dxa"/>
          </w:tblCellMar>
        </w:tblPrEx>
        <w:trPr>
          <w:wBefore w:w="0" w:type="auto"/>
          <w:tblCellSpacing w:w="0" w:type="dxa"/>
        </w:trPr>
        <w:tc>
          <w:tcPr>
            <w:tcW w:w="0" w:type="auto"/>
            <w:noWrap w:val="0"/>
            <w:vAlign w:val="center"/>
          </w:tcPr>
          <w:p w14:paraId="4653D13F">
            <w:r>
              <w:rPr>
                <w:rStyle w:val="10"/>
                <w:rFonts w:hint="eastAsia"/>
              </w:rPr>
              <w:t>中毒急救措施：</w:t>
            </w:r>
            <w:r>
              <w:rPr>
                <w:rFonts w:hint="eastAsia"/>
              </w:rPr>
              <w:br w:type="textWrapping"/>
            </w:r>
            <w:r>
              <w:rPr>
                <w:rStyle w:val="11"/>
                <w:rFonts w:hint="eastAsia"/>
              </w:rPr>
              <w:t>该产品对眼睛、皮肤有刺激性，使用时避免接触眼睛、皮肤。皮肤接触：立即褪去被污染的衣物，用肥皂与大量清水至少冲洗15分钟，送医就诊；眼睛溅入：立即翻开眼睑，用流动的清水至少冲洗15分钟，送医就诊；吸入：不慎吸入，立即转移至空气清新处，送医就诊；误食：不慎误食，马上停止食用，携带标签送医就诊，无特效解毒剂，应对症治疗。</w:t>
            </w:r>
          </w:p>
        </w:tc>
      </w:tr>
      <w:tr w14:paraId="4A6EAA7F">
        <w:tblPrEx>
          <w:tblCellMar>
            <w:top w:w="0" w:type="dxa"/>
            <w:left w:w="0" w:type="dxa"/>
            <w:bottom w:w="0" w:type="dxa"/>
            <w:right w:w="0" w:type="dxa"/>
          </w:tblCellMar>
        </w:tblPrEx>
        <w:trPr>
          <w:wBefore w:w="0" w:type="auto"/>
          <w:tblCellSpacing w:w="0" w:type="dxa"/>
        </w:trPr>
        <w:tc>
          <w:tcPr>
            <w:tcW w:w="0" w:type="auto"/>
            <w:noWrap w:val="0"/>
            <w:vAlign w:val="center"/>
          </w:tcPr>
          <w:p w14:paraId="32AD7179">
            <w:r>
              <w:rPr>
                <w:rStyle w:val="10"/>
                <w:rFonts w:hint="eastAsia"/>
              </w:rPr>
              <w:t>储存和运输方法：</w:t>
            </w:r>
            <w:r>
              <w:rPr>
                <w:rFonts w:hint="eastAsia"/>
              </w:rPr>
              <w:br w:type="textWrapping"/>
            </w:r>
            <w:r>
              <w:rPr>
                <w:rStyle w:val="11"/>
                <w:rFonts w:hint="eastAsia"/>
              </w:rPr>
              <w:t>1、本品应贮存在干燥、阴凉、通风、防雨处，远离火源和热源。2、装卸时工人需要穿戴口罩、手套、胶靴，工作结束后用清水清洗裸露的皮肤。3、置于儿童接触不到的地方，并加锁。4、不能与食品、饮料、粮食、饲料等混合储存、运输。</w:t>
            </w:r>
          </w:p>
        </w:tc>
      </w:tr>
      <w:tr w14:paraId="776C5C30">
        <w:tblPrEx>
          <w:tblCellMar>
            <w:top w:w="0" w:type="dxa"/>
            <w:left w:w="0" w:type="dxa"/>
            <w:bottom w:w="0" w:type="dxa"/>
            <w:right w:w="0" w:type="dxa"/>
          </w:tblCellMar>
        </w:tblPrEx>
        <w:trPr>
          <w:wBefore w:w="0" w:type="auto"/>
          <w:tblCellSpacing w:w="0" w:type="dxa"/>
        </w:trPr>
        <w:tc>
          <w:tcPr>
            <w:tcW w:w="0" w:type="auto"/>
            <w:noWrap w:val="0"/>
            <w:vAlign w:val="center"/>
          </w:tcPr>
          <w:p w14:paraId="1E27A6BA">
            <w:r>
              <w:rPr>
                <w:rStyle w:val="10"/>
                <w:rFonts w:hint="eastAsia"/>
              </w:rPr>
              <w:t>质量保证期：</w:t>
            </w:r>
            <w:r>
              <w:rPr>
                <w:rStyle w:val="11"/>
                <w:rFonts w:hint="eastAsia"/>
              </w:rPr>
              <w:t>2年</w:t>
            </w:r>
          </w:p>
        </w:tc>
      </w:tr>
      <w:tr w14:paraId="205D18E2">
        <w:tblPrEx>
          <w:tblCellMar>
            <w:top w:w="0" w:type="dxa"/>
            <w:left w:w="0" w:type="dxa"/>
            <w:bottom w:w="0" w:type="dxa"/>
            <w:right w:w="0" w:type="dxa"/>
          </w:tblCellMar>
        </w:tblPrEx>
        <w:trPr>
          <w:wBefore w:w="0" w:type="auto"/>
          <w:tblCellSpacing w:w="0" w:type="dxa"/>
        </w:trPr>
        <w:tc>
          <w:tcPr>
            <w:tcW w:w="0" w:type="auto"/>
            <w:noWrap w:val="0"/>
            <w:vAlign w:val="center"/>
          </w:tcPr>
          <w:p w14:paraId="732B46A5">
            <w:r>
              <w:rPr>
                <w:rStyle w:val="10"/>
                <w:rFonts w:hint="eastAsia"/>
              </w:rPr>
              <w:t>备注：</w:t>
            </w:r>
          </w:p>
        </w:tc>
      </w:tr>
    </w:tbl>
    <w:p w14:paraId="2106A0E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7F02CA">
        <w:tblPrEx>
          <w:tblCellMar>
            <w:top w:w="0" w:type="dxa"/>
            <w:left w:w="0" w:type="dxa"/>
            <w:bottom w:w="0" w:type="dxa"/>
            <w:right w:w="0" w:type="dxa"/>
          </w:tblCellMar>
        </w:tblPrEx>
        <w:trPr>
          <w:wBefore w:w="0" w:type="auto"/>
          <w:tblCellSpacing w:w="0" w:type="dxa"/>
        </w:trPr>
        <w:tc>
          <w:tcPr>
            <w:tcW w:w="0" w:type="auto"/>
            <w:noWrap w:val="0"/>
            <w:vAlign w:val="center"/>
          </w:tcPr>
          <w:p w14:paraId="23D0934F">
            <w:r>
              <w:rPr>
                <w:rStyle w:val="10"/>
                <w:rFonts w:hint="eastAsia"/>
              </w:rPr>
              <w:t>登记证号：</w:t>
            </w:r>
            <w:r>
              <w:rPr>
                <w:rFonts w:hint="eastAsia"/>
              </w:rPr>
              <w:t>PD20212050</w:t>
            </w:r>
          </w:p>
        </w:tc>
      </w:tr>
      <w:tr w14:paraId="2ECF88D2">
        <w:tblPrEx>
          <w:tblCellMar>
            <w:top w:w="0" w:type="dxa"/>
            <w:left w:w="0" w:type="dxa"/>
            <w:bottom w:w="0" w:type="dxa"/>
            <w:right w:w="0" w:type="dxa"/>
          </w:tblCellMar>
        </w:tblPrEx>
        <w:trPr>
          <w:wBefore w:w="0" w:type="auto"/>
          <w:tblCellSpacing w:w="0" w:type="dxa"/>
        </w:trPr>
        <w:tc>
          <w:tcPr>
            <w:tcW w:w="0" w:type="auto"/>
            <w:noWrap w:val="0"/>
            <w:vAlign w:val="center"/>
          </w:tcPr>
          <w:p w14:paraId="14D98EC0">
            <w:r>
              <w:rPr>
                <w:rStyle w:val="10"/>
                <w:rFonts w:hint="eastAsia"/>
              </w:rPr>
              <w:t>登记证持有人：</w:t>
            </w:r>
            <w:r>
              <w:rPr>
                <w:rFonts w:hint="eastAsia"/>
              </w:rPr>
              <w:t>四川百事东旺生物科技有限公司</w:t>
            </w:r>
          </w:p>
        </w:tc>
      </w:tr>
      <w:tr w14:paraId="56D76CC6">
        <w:tblPrEx>
          <w:tblCellMar>
            <w:top w:w="0" w:type="dxa"/>
            <w:left w:w="0" w:type="dxa"/>
            <w:bottom w:w="0" w:type="dxa"/>
            <w:right w:w="0" w:type="dxa"/>
          </w:tblCellMar>
        </w:tblPrEx>
        <w:trPr>
          <w:wBefore w:w="0" w:type="auto"/>
          <w:tblCellSpacing w:w="0" w:type="dxa"/>
        </w:trPr>
        <w:tc>
          <w:tcPr>
            <w:tcW w:w="0" w:type="auto"/>
            <w:noWrap w:val="0"/>
            <w:vAlign w:val="center"/>
          </w:tcPr>
          <w:p w14:paraId="13221976">
            <w:r>
              <w:rPr>
                <w:rStyle w:val="10"/>
                <w:rFonts w:hint="eastAsia"/>
              </w:rPr>
              <w:t>农药名称：</w:t>
            </w:r>
            <w:r>
              <w:rPr>
                <w:rFonts w:hint="eastAsia"/>
              </w:rPr>
              <w:t>氯化胆碱</w:t>
            </w:r>
          </w:p>
        </w:tc>
      </w:tr>
      <w:tr w14:paraId="4704BFA5">
        <w:tblPrEx>
          <w:tblCellMar>
            <w:top w:w="0" w:type="dxa"/>
            <w:left w:w="0" w:type="dxa"/>
            <w:bottom w:w="0" w:type="dxa"/>
            <w:right w:w="0" w:type="dxa"/>
          </w:tblCellMar>
        </w:tblPrEx>
        <w:trPr>
          <w:wBefore w:w="0" w:type="auto"/>
          <w:tblCellSpacing w:w="0" w:type="dxa"/>
        </w:trPr>
        <w:tc>
          <w:tcPr>
            <w:tcW w:w="0" w:type="auto"/>
            <w:noWrap w:val="0"/>
            <w:vAlign w:val="center"/>
          </w:tcPr>
          <w:p w14:paraId="7B8149CF">
            <w:r>
              <w:rPr>
                <w:rStyle w:val="10"/>
                <w:rFonts w:hint="eastAsia"/>
              </w:rPr>
              <w:t>剂型：</w:t>
            </w:r>
            <w:r>
              <w:rPr>
                <w:rFonts w:hint="eastAsia"/>
              </w:rPr>
              <w:t>可溶液剂</w:t>
            </w:r>
          </w:p>
        </w:tc>
      </w:tr>
      <w:tr w14:paraId="065D92BC">
        <w:tblPrEx>
          <w:tblCellMar>
            <w:top w:w="0" w:type="dxa"/>
            <w:left w:w="0" w:type="dxa"/>
            <w:bottom w:w="0" w:type="dxa"/>
            <w:right w:w="0" w:type="dxa"/>
          </w:tblCellMar>
        </w:tblPrEx>
        <w:trPr>
          <w:wBefore w:w="0" w:type="auto"/>
          <w:tblCellSpacing w:w="0" w:type="dxa"/>
        </w:trPr>
        <w:tc>
          <w:tcPr>
            <w:tcW w:w="0" w:type="auto"/>
            <w:noWrap w:val="0"/>
            <w:vAlign w:val="center"/>
          </w:tcPr>
          <w:p w14:paraId="4478E208">
            <w:r>
              <w:rPr>
                <w:rStyle w:val="10"/>
                <w:rFonts w:hint="eastAsia"/>
              </w:rPr>
              <w:t>毒性及其标识：</w:t>
            </w:r>
            <w:r>
              <w:rPr>
                <w:rFonts w:hint="eastAsia"/>
              </w:rPr>
              <w:t xml:space="preserve"> </w:t>
            </w:r>
            <w:r>
              <w:rPr>
                <w:lang/>
              </w:rPr>
              <w:drawing>
                <wp:inline distT="0" distB="0" distL="114300" distR="114300">
                  <wp:extent cx="476250" cy="323850"/>
                  <wp:effectExtent l="0" t="0" r="0" b="0"/>
                  <wp:docPr id="187" name="图片 18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C96621F">
        <w:tblPrEx>
          <w:tblCellMar>
            <w:top w:w="0" w:type="dxa"/>
            <w:left w:w="0" w:type="dxa"/>
            <w:bottom w:w="0" w:type="dxa"/>
            <w:right w:w="0" w:type="dxa"/>
          </w:tblCellMar>
        </w:tblPrEx>
        <w:trPr>
          <w:wBefore w:w="0" w:type="auto"/>
          <w:tblCellSpacing w:w="0" w:type="dxa"/>
        </w:trPr>
        <w:tc>
          <w:tcPr>
            <w:tcW w:w="0" w:type="auto"/>
            <w:noWrap w:val="0"/>
            <w:vAlign w:val="center"/>
          </w:tcPr>
          <w:p w14:paraId="7B278869">
            <w:r>
              <w:rPr>
                <w:rStyle w:val="10"/>
                <w:rFonts w:hint="eastAsia"/>
              </w:rPr>
              <w:t>总有效成分含量：</w:t>
            </w:r>
            <w:r>
              <w:rPr>
                <w:rFonts w:hint="eastAsia"/>
              </w:rPr>
              <w:t>70%</w:t>
            </w:r>
          </w:p>
        </w:tc>
      </w:tr>
      <w:tr w14:paraId="56FAE88F">
        <w:tblPrEx>
          <w:tblCellMar>
            <w:top w:w="0" w:type="dxa"/>
            <w:left w:w="0" w:type="dxa"/>
            <w:bottom w:w="0" w:type="dxa"/>
            <w:right w:w="0" w:type="dxa"/>
          </w:tblCellMar>
        </w:tblPrEx>
        <w:trPr>
          <w:wBefore w:w="0" w:type="auto"/>
          <w:tblCellSpacing w:w="0" w:type="dxa"/>
        </w:trPr>
        <w:tc>
          <w:tcPr>
            <w:tcW w:w="0" w:type="auto"/>
            <w:noWrap w:val="0"/>
            <w:vAlign w:val="center"/>
          </w:tcPr>
          <w:p w14:paraId="546FF92A">
            <w:r>
              <w:rPr>
                <w:rFonts w:hint="eastAsia"/>
              </w:rPr>
              <w:t xml:space="preserve">有效成分及其含量： </w:t>
            </w:r>
          </w:p>
          <w:p w14:paraId="2C666D46">
            <w:r>
              <w:rPr>
                <w:rFonts w:hint="eastAsia"/>
              </w:rPr>
              <w:t xml:space="preserve">    氯化胆碱70%    </w:t>
            </w:r>
          </w:p>
        </w:tc>
      </w:tr>
      <w:tr w14:paraId="472C5A7B">
        <w:tblPrEx>
          <w:tblCellMar>
            <w:top w:w="0" w:type="dxa"/>
            <w:left w:w="0" w:type="dxa"/>
            <w:bottom w:w="0" w:type="dxa"/>
            <w:right w:w="0" w:type="dxa"/>
          </w:tblCellMar>
        </w:tblPrEx>
        <w:trPr>
          <w:wBefore w:w="0" w:type="auto"/>
          <w:tblCellSpacing w:w="0" w:type="dxa"/>
        </w:trPr>
        <w:tc>
          <w:tcPr>
            <w:tcW w:w="0" w:type="auto"/>
            <w:noWrap w:val="0"/>
            <w:vAlign w:val="center"/>
          </w:tcPr>
          <w:p w14:paraId="1D055C1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4702E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D965BB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46F55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4002E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E138067">
                  <w:r>
                    <w:rPr>
                      <w:rStyle w:val="11"/>
                      <w:rFonts w:hint="eastAsia"/>
                    </w:rPr>
                    <w:t>施用方式</w:t>
                  </w:r>
                </w:p>
              </w:tc>
            </w:tr>
            <w:tr w14:paraId="1422FD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F3A3FA">
                  <w:r>
                    <w:rPr>
                      <w:rStyle w:val="11"/>
                      <w:rFonts w:hint="eastAsia"/>
                    </w:rPr>
                    <w:t>甘薯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0034D2">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9D5DA2">
                  <w:r>
                    <w:rPr>
                      <w:rStyle w:val="11"/>
                      <w:rFonts w:hint="eastAsia"/>
                    </w:rPr>
                    <w:t>12-18毫升/亩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35F92F">
                  <w:r>
                    <w:rPr>
                      <w:rStyle w:val="11"/>
                      <w:rFonts w:hint="eastAsia"/>
                    </w:rPr>
                    <w:t>茎叶喷雾</w:t>
                  </w:r>
                </w:p>
              </w:tc>
            </w:tr>
          </w:tbl>
          <w:p w14:paraId="6F21013E">
            <w:pPr>
              <w:rPr>
                <w:rFonts w:ascii="Times New Roman" w:hAnsi="Times New Roman" w:cs="Times New Roman"/>
                <w:sz w:val="20"/>
                <w:szCs w:val="20"/>
              </w:rPr>
            </w:pPr>
          </w:p>
        </w:tc>
      </w:tr>
      <w:tr w14:paraId="60A19AFB">
        <w:tblPrEx>
          <w:tblCellMar>
            <w:top w:w="0" w:type="dxa"/>
            <w:left w:w="0" w:type="dxa"/>
            <w:bottom w:w="0" w:type="dxa"/>
            <w:right w:w="0" w:type="dxa"/>
          </w:tblCellMar>
        </w:tblPrEx>
        <w:trPr>
          <w:wBefore w:w="0" w:type="auto"/>
          <w:tblCellSpacing w:w="0" w:type="dxa"/>
        </w:trPr>
        <w:tc>
          <w:tcPr>
            <w:tcW w:w="0" w:type="auto"/>
            <w:noWrap w:val="0"/>
            <w:vAlign w:val="center"/>
          </w:tcPr>
          <w:p w14:paraId="4CC07036">
            <w:r>
              <w:rPr>
                <w:rStyle w:val="10"/>
                <w:rFonts w:hint="eastAsia"/>
              </w:rPr>
              <w:t>使用技术要求:</w:t>
            </w:r>
            <w:r>
              <w:rPr>
                <w:rFonts w:hint="eastAsia"/>
              </w:rPr>
              <w:br w:type="textWrapping"/>
            </w:r>
            <w:r>
              <w:rPr>
                <w:rStyle w:val="11"/>
                <w:rFonts w:hint="eastAsia"/>
              </w:rPr>
              <w:t>1.在薯块膨大初期喷雾施药一次，此后间隔10天左右喷施一次，共喷施三次。2. 大风天或预计1小时内降雨，请勿施药。</w:t>
            </w:r>
          </w:p>
        </w:tc>
      </w:tr>
      <w:tr w14:paraId="561CADFB">
        <w:tblPrEx>
          <w:tblCellMar>
            <w:top w:w="0" w:type="dxa"/>
            <w:left w:w="0" w:type="dxa"/>
            <w:bottom w:w="0" w:type="dxa"/>
            <w:right w:w="0" w:type="dxa"/>
          </w:tblCellMar>
        </w:tblPrEx>
        <w:trPr>
          <w:wBefore w:w="0" w:type="auto"/>
          <w:tblCellSpacing w:w="0" w:type="dxa"/>
        </w:trPr>
        <w:tc>
          <w:tcPr>
            <w:tcW w:w="0" w:type="auto"/>
            <w:noWrap w:val="0"/>
            <w:vAlign w:val="center"/>
          </w:tcPr>
          <w:p w14:paraId="1FD00EFF">
            <w:r>
              <w:rPr>
                <w:rStyle w:val="10"/>
                <w:rFonts w:hint="eastAsia"/>
              </w:rPr>
              <w:t>产品性能:</w:t>
            </w:r>
            <w:r>
              <w:rPr>
                <w:rFonts w:hint="eastAsia"/>
              </w:rPr>
              <w:br w:type="textWrapping"/>
            </w:r>
            <w:r>
              <w:rPr>
                <w:rStyle w:val="11"/>
                <w:rFonts w:hint="eastAsia"/>
              </w:rPr>
              <w:t>本品其主要作用原理是活化植物光合作用的关键酶，促使植物吸收光能和利用光能，更好的固化和同化CO2(二氧化碳），增加叶片光合速率，增加植物碳水化合物、蛋白质和叶绿素。</w:t>
            </w:r>
          </w:p>
        </w:tc>
      </w:tr>
      <w:tr w14:paraId="1DA8C454">
        <w:tblPrEx>
          <w:tblCellMar>
            <w:top w:w="0" w:type="dxa"/>
            <w:left w:w="0" w:type="dxa"/>
            <w:bottom w:w="0" w:type="dxa"/>
            <w:right w:w="0" w:type="dxa"/>
          </w:tblCellMar>
        </w:tblPrEx>
        <w:trPr>
          <w:wBefore w:w="0" w:type="auto"/>
          <w:tblCellSpacing w:w="0" w:type="dxa"/>
        </w:trPr>
        <w:tc>
          <w:tcPr>
            <w:tcW w:w="0" w:type="auto"/>
            <w:noWrap w:val="0"/>
            <w:vAlign w:val="center"/>
          </w:tcPr>
          <w:p w14:paraId="22ED2F09">
            <w:r>
              <w:rPr>
                <w:rStyle w:val="10"/>
                <w:rFonts w:hint="eastAsia"/>
              </w:rPr>
              <w:t>注意事项：</w:t>
            </w:r>
            <w:r>
              <w:rPr>
                <w:rFonts w:hint="eastAsia"/>
              </w:rPr>
              <w:br w:type="textWrapping"/>
            </w:r>
            <w:r>
              <w:rPr>
                <w:rStyle w:val="11"/>
                <w:rFonts w:hint="eastAsia"/>
              </w:rPr>
              <w:t>1、应严格按农药安全操作规程使用，施药时应穿戴长衣、长裤、帽子、口罩、手套等防护措施此时不能吸烟、吃东西、饮水等。施药后要清洗手、脸等。 2、沿包装袋上的撕口小心开启，防止药液污染皮肤和眼睛，包装袋应 妥善处理。 3、不宜与碱性物质混合，可与弱酸性及中性农药混用。 4、不宜施在弱势植株上。 5、施用本品后，田间施肥和其它管理仍需照常进行。 6、有关使用技术详情请在当地农技人员指导下使用或向我公司咨询。 7、水产养殖区、河塘等水体附近禁用，禁止在河塘等水域清洗施药器具。 8、用过的容器应妥善处理，不可随意丢弃或作他用。 9、孕妇及哺乳期妇女避免接触本产品。10.避免与具有氧化性物质接触或混合。</w:t>
            </w:r>
          </w:p>
        </w:tc>
      </w:tr>
      <w:tr w14:paraId="547FBB19">
        <w:tblPrEx>
          <w:tblCellMar>
            <w:top w:w="0" w:type="dxa"/>
            <w:left w:w="0" w:type="dxa"/>
            <w:bottom w:w="0" w:type="dxa"/>
            <w:right w:w="0" w:type="dxa"/>
          </w:tblCellMar>
        </w:tblPrEx>
        <w:trPr>
          <w:wBefore w:w="0" w:type="auto"/>
          <w:tblCellSpacing w:w="0" w:type="dxa"/>
        </w:trPr>
        <w:tc>
          <w:tcPr>
            <w:tcW w:w="0" w:type="auto"/>
            <w:noWrap w:val="0"/>
            <w:vAlign w:val="center"/>
          </w:tcPr>
          <w:p w14:paraId="01EBA95C">
            <w:r>
              <w:rPr>
                <w:rStyle w:val="10"/>
                <w:rFonts w:hint="eastAsia"/>
              </w:rPr>
              <w:t>中毒急救措施：</w:t>
            </w:r>
            <w:r>
              <w:rPr>
                <w:rFonts w:hint="eastAsia"/>
              </w:rPr>
              <w:br w:type="textWrapping"/>
            </w:r>
            <w:r>
              <w:rPr>
                <w:rStyle w:val="11"/>
                <w:rFonts w:hint="eastAsia"/>
              </w:rPr>
              <w:t>该产品对眼睛有刺激性，使用时避免接触眼睛。 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129D82BF">
        <w:tblPrEx>
          <w:tblCellMar>
            <w:top w:w="0" w:type="dxa"/>
            <w:left w:w="0" w:type="dxa"/>
            <w:bottom w:w="0" w:type="dxa"/>
            <w:right w:w="0" w:type="dxa"/>
          </w:tblCellMar>
        </w:tblPrEx>
        <w:trPr>
          <w:wBefore w:w="0" w:type="auto"/>
          <w:tblCellSpacing w:w="0" w:type="dxa"/>
        </w:trPr>
        <w:tc>
          <w:tcPr>
            <w:tcW w:w="0" w:type="auto"/>
            <w:noWrap w:val="0"/>
            <w:vAlign w:val="center"/>
          </w:tcPr>
          <w:p w14:paraId="01CDF3C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本品应贮存在干燥、阴凉、通风、防雨处，远离火源或热源。置于儿童、无关人员触及不到之处，并加锁保存。勿与食品、饮料、粮食、饲料等其他商品同贮同运。</w:t>
            </w:r>
          </w:p>
        </w:tc>
      </w:tr>
      <w:tr w14:paraId="546F0CC3">
        <w:tblPrEx>
          <w:tblCellMar>
            <w:top w:w="0" w:type="dxa"/>
            <w:left w:w="0" w:type="dxa"/>
            <w:bottom w:w="0" w:type="dxa"/>
            <w:right w:w="0" w:type="dxa"/>
          </w:tblCellMar>
        </w:tblPrEx>
        <w:trPr>
          <w:wBefore w:w="0" w:type="auto"/>
          <w:tblCellSpacing w:w="0" w:type="dxa"/>
        </w:trPr>
        <w:tc>
          <w:tcPr>
            <w:tcW w:w="0" w:type="auto"/>
            <w:noWrap w:val="0"/>
            <w:vAlign w:val="center"/>
          </w:tcPr>
          <w:p w14:paraId="65FD3215">
            <w:r>
              <w:rPr>
                <w:rStyle w:val="10"/>
                <w:rFonts w:hint="eastAsia"/>
              </w:rPr>
              <w:t>质量保证期：</w:t>
            </w:r>
            <w:r>
              <w:rPr>
                <w:rStyle w:val="11"/>
                <w:rFonts w:hint="eastAsia"/>
              </w:rPr>
              <w:t>2年</w:t>
            </w:r>
          </w:p>
        </w:tc>
      </w:tr>
      <w:tr w14:paraId="5DAA5584">
        <w:tblPrEx>
          <w:tblCellMar>
            <w:top w:w="0" w:type="dxa"/>
            <w:left w:w="0" w:type="dxa"/>
            <w:bottom w:w="0" w:type="dxa"/>
            <w:right w:w="0" w:type="dxa"/>
          </w:tblCellMar>
        </w:tblPrEx>
        <w:trPr>
          <w:wBefore w:w="0" w:type="auto"/>
          <w:tblCellSpacing w:w="0" w:type="dxa"/>
        </w:trPr>
        <w:tc>
          <w:tcPr>
            <w:tcW w:w="0" w:type="auto"/>
            <w:noWrap w:val="0"/>
            <w:vAlign w:val="center"/>
          </w:tcPr>
          <w:p w14:paraId="22F8B700">
            <w:r>
              <w:rPr>
                <w:rStyle w:val="10"/>
                <w:rFonts w:hint="eastAsia"/>
              </w:rPr>
              <w:t>备注：</w:t>
            </w:r>
          </w:p>
        </w:tc>
      </w:tr>
    </w:tbl>
    <w:p w14:paraId="55FEC65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55BDD7">
        <w:tblPrEx>
          <w:tblCellMar>
            <w:top w:w="0" w:type="dxa"/>
            <w:left w:w="0" w:type="dxa"/>
            <w:bottom w:w="0" w:type="dxa"/>
            <w:right w:w="0" w:type="dxa"/>
          </w:tblCellMar>
        </w:tblPrEx>
        <w:trPr>
          <w:wBefore w:w="0" w:type="auto"/>
          <w:tblCellSpacing w:w="0" w:type="dxa"/>
        </w:trPr>
        <w:tc>
          <w:tcPr>
            <w:tcW w:w="0" w:type="auto"/>
            <w:noWrap w:val="0"/>
            <w:vAlign w:val="center"/>
          </w:tcPr>
          <w:p w14:paraId="66C26CED">
            <w:r>
              <w:rPr>
                <w:rStyle w:val="10"/>
                <w:rFonts w:hint="eastAsia"/>
              </w:rPr>
              <w:t>登记证号：</w:t>
            </w:r>
            <w:r>
              <w:rPr>
                <w:rFonts w:hint="eastAsia"/>
              </w:rPr>
              <w:t>PD20212008</w:t>
            </w:r>
          </w:p>
        </w:tc>
      </w:tr>
      <w:tr w14:paraId="64DF9895">
        <w:tblPrEx>
          <w:tblCellMar>
            <w:top w:w="0" w:type="dxa"/>
            <w:left w:w="0" w:type="dxa"/>
            <w:bottom w:w="0" w:type="dxa"/>
            <w:right w:w="0" w:type="dxa"/>
          </w:tblCellMar>
        </w:tblPrEx>
        <w:trPr>
          <w:wBefore w:w="0" w:type="auto"/>
          <w:tblCellSpacing w:w="0" w:type="dxa"/>
        </w:trPr>
        <w:tc>
          <w:tcPr>
            <w:tcW w:w="0" w:type="auto"/>
            <w:noWrap w:val="0"/>
            <w:vAlign w:val="center"/>
          </w:tcPr>
          <w:p w14:paraId="0C765513">
            <w:r>
              <w:rPr>
                <w:rStyle w:val="10"/>
                <w:rFonts w:hint="eastAsia"/>
              </w:rPr>
              <w:t>登记证持有人：</w:t>
            </w:r>
            <w:r>
              <w:rPr>
                <w:rFonts w:hint="eastAsia"/>
              </w:rPr>
              <w:t>河北省邯郸市建华植物农药厂</w:t>
            </w:r>
          </w:p>
        </w:tc>
      </w:tr>
      <w:tr w14:paraId="4A20F3F2">
        <w:tblPrEx>
          <w:tblCellMar>
            <w:top w:w="0" w:type="dxa"/>
            <w:left w:w="0" w:type="dxa"/>
            <w:bottom w:w="0" w:type="dxa"/>
            <w:right w:w="0" w:type="dxa"/>
          </w:tblCellMar>
        </w:tblPrEx>
        <w:trPr>
          <w:wBefore w:w="0" w:type="auto"/>
          <w:tblCellSpacing w:w="0" w:type="dxa"/>
        </w:trPr>
        <w:tc>
          <w:tcPr>
            <w:tcW w:w="0" w:type="auto"/>
            <w:noWrap w:val="0"/>
            <w:vAlign w:val="center"/>
          </w:tcPr>
          <w:p w14:paraId="7DDFF8BF">
            <w:r>
              <w:rPr>
                <w:rStyle w:val="10"/>
                <w:rFonts w:hint="eastAsia"/>
              </w:rPr>
              <w:t>农药名称：</w:t>
            </w:r>
            <w:r>
              <w:rPr>
                <w:rFonts w:hint="eastAsia"/>
              </w:rPr>
              <w:t>氟啶胺</w:t>
            </w:r>
          </w:p>
        </w:tc>
      </w:tr>
      <w:tr w14:paraId="1A1BA527">
        <w:tblPrEx>
          <w:tblCellMar>
            <w:top w:w="0" w:type="dxa"/>
            <w:left w:w="0" w:type="dxa"/>
            <w:bottom w:w="0" w:type="dxa"/>
            <w:right w:w="0" w:type="dxa"/>
          </w:tblCellMar>
        </w:tblPrEx>
        <w:trPr>
          <w:wBefore w:w="0" w:type="auto"/>
          <w:tblCellSpacing w:w="0" w:type="dxa"/>
        </w:trPr>
        <w:tc>
          <w:tcPr>
            <w:tcW w:w="0" w:type="auto"/>
            <w:noWrap w:val="0"/>
            <w:vAlign w:val="center"/>
          </w:tcPr>
          <w:p w14:paraId="24555589">
            <w:r>
              <w:rPr>
                <w:rStyle w:val="10"/>
                <w:rFonts w:hint="eastAsia"/>
              </w:rPr>
              <w:t>剂型：</w:t>
            </w:r>
            <w:r>
              <w:rPr>
                <w:rFonts w:hint="eastAsia"/>
              </w:rPr>
              <w:t>悬浮剂</w:t>
            </w:r>
          </w:p>
        </w:tc>
      </w:tr>
      <w:tr w14:paraId="26D7240D">
        <w:tblPrEx>
          <w:tblCellMar>
            <w:top w:w="0" w:type="dxa"/>
            <w:left w:w="0" w:type="dxa"/>
            <w:bottom w:w="0" w:type="dxa"/>
            <w:right w:w="0" w:type="dxa"/>
          </w:tblCellMar>
        </w:tblPrEx>
        <w:trPr>
          <w:wBefore w:w="0" w:type="auto"/>
          <w:tblCellSpacing w:w="0" w:type="dxa"/>
        </w:trPr>
        <w:tc>
          <w:tcPr>
            <w:tcW w:w="0" w:type="auto"/>
            <w:noWrap w:val="0"/>
            <w:vAlign w:val="center"/>
          </w:tcPr>
          <w:p w14:paraId="664E839B">
            <w:r>
              <w:rPr>
                <w:rStyle w:val="10"/>
                <w:rFonts w:hint="eastAsia"/>
              </w:rPr>
              <w:t>毒性及其标识：</w:t>
            </w:r>
            <w:r>
              <w:rPr>
                <w:rFonts w:hint="eastAsia"/>
              </w:rPr>
              <w:t xml:space="preserve"> </w:t>
            </w:r>
            <w:r>
              <w:rPr>
                <w:lang/>
              </w:rPr>
              <w:drawing>
                <wp:inline distT="0" distB="0" distL="114300" distR="114300">
                  <wp:extent cx="476250" cy="323850"/>
                  <wp:effectExtent l="0" t="0" r="0" b="0"/>
                  <wp:docPr id="188" name="图片 18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B26C5CB">
        <w:tblPrEx>
          <w:tblCellMar>
            <w:top w:w="0" w:type="dxa"/>
            <w:left w:w="0" w:type="dxa"/>
            <w:bottom w:w="0" w:type="dxa"/>
            <w:right w:w="0" w:type="dxa"/>
          </w:tblCellMar>
        </w:tblPrEx>
        <w:trPr>
          <w:wBefore w:w="0" w:type="auto"/>
          <w:tblCellSpacing w:w="0" w:type="dxa"/>
        </w:trPr>
        <w:tc>
          <w:tcPr>
            <w:tcW w:w="0" w:type="auto"/>
            <w:noWrap w:val="0"/>
            <w:vAlign w:val="center"/>
          </w:tcPr>
          <w:p w14:paraId="1FAF0D53">
            <w:r>
              <w:rPr>
                <w:rStyle w:val="10"/>
                <w:rFonts w:hint="eastAsia"/>
              </w:rPr>
              <w:t>总有效成分含量：</w:t>
            </w:r>
            <w:r>
              <w:rPr>
                <w:rFonts w:hint="eastAsia"/>
              </w:rPr>
              <w:t>500克/升</w:t>
            </w:r>
          </w:p>
        </w:tc>
      </w:tr>
      <w:tr w14:paraId="0EBC82BB">
        <w:tblPrEx>
          <w:tblCellMar>
            <w:top w:w="0" w:type="dxa"/>
            <w:left w:w="0" w:type="dxa"/>
            <w:bottom w:w="0" w:type="dxa"/>
            <w:right w:w="0" w:type="dxa"/>
          </w:tblCellMar>
        </w:tblPrEx>
        <w:trPr>
          <w:wBefore w:w="0" w:type="auto"/>
          <w:tblCellSpacing w:w="0" w:type="dxa"/>
        </w:trPr>
        <w:tc>
          <w:tcPr>
            <w:tcW w:w="0" w:type="auto"/>
            <w:noWrap w:val="0"/>
            <w:vAlign w:val="center"/>
          </w:tcPr>
          <w:p w14:paraId="2DF7C278">
            <w:r>
              <w:rPr>
                <w:rFonts w:hint="eastAsia"/>
              </w:rPr>
              <w:t xml:space="preserve">有效成分及其含量： </w:t>
            </w:r>
          </w:p>
          <w:p w14:paraId="1478FE81">
            <w:r>
              <w:rPr>
                <w:rFonts w:hint="eastAsia"/>
              </w:rPr>
              <w:t xml:space="preserve">    氟啶胺500克/升    </w:t>
            </w:r>
          </w:p>
        </w:tc>
      </w:tr>
      <w:tr w14:paraId="16F5A138">
        <w:tblPrEx>
          <w:tblCellMar>
            <w:top w:w="0" w:type="dxa"/>
            <w:left w:w="0" w:type="dxa"/>
            <w:bottom w:w="0" w:type="dxa"/>
            <w:right w:w="0" w:type="dxa"/>
          </w:tblCellMar>
        </w:tblPrEx>
        <w:trPr>
          <w:wBefore w:w="0" w:type="auto"/>
          <w:tblCellSpacing w:w="0" w:type="dxa"/>
        </w:trPr>
        <w:tc>
          <w:tcPr>
            <w:tcW w:w="0" w:type="auto"/>
            <w:noWrap w:val="0"/>
            <w:vAlign w:val="center"/>
          </w:tcPr>
          <w:p w14:paraId="6225FBA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CD37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8ACC68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7C9116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750C45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9D4DA43">
                  <w:r>
                    <w:rPr>
                      <w:rStyle w:val="11"/>
                      <w:rFonts w:hint="eastAsia"/>
                    </w:rPr>
                    <w:t>施用方式</w:t>
                  </w:r>
                </w:p>
              </w:tc>
            </w:tr>
            <w:tr w14:paraId="012EAC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0E1F317">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B46F64">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9D40C2">
                  <w:r>
                    <w:rPr>
                      <w:rStyle w:val="11"/>
                      <w:rFonts w:hint="eastAsia"/>
                    </w:rPr>
                    <w:t>25-35毫升/亩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307AB7">
                  <w:r>
                    <w:rPr>
                      <w:rStyle w:val="11"/>
                      <w:rFonts w:hint="eastAsia"/>
                    </w:rPr>
                    <w:t>喷雾</w:t>
                  </w:r>
                </w:p>
              </w:tc>
            </w:tr>
          </w:tbl>
          <w:p w14:paraId="321BE9CB">
            <w:pPr>
              <w:rPr>
                <w:rFonts w:ascii="Times New Roman" w:hAnsi="Times New Roman" w:cs="Times New Roman"/>
                <w:sz w:val="20"/>
                <w:szCs w:val="20"/>
              </w:rPr>
            </w:pPr>
          </w:p>
        </w:tc>
      </w:tr>
      <w:tr w14:paraId="66EAD78E">
        <w:tblPrEx>
          <w:tblCellMar>
            <w:top w:w="0" w:type="dxa"/>
            <w:left w:w="0" w:type="dxa"/>
            <w:bottom w:w="0" w:type="dxa"/>
            <w:right w:w="0" w:type="dxa"/>
          </w:tblCellMar>
        </w:tblPrEx>
        <w:trPr>
          <w:wBefore w:w="0" w:type="auto"/>
          <w:tblCellSpacing w:w="0" w:type="dxa"/>
        </w:trPr>
        <w:tc>
          <w:tcPr>
            <w:tcW w:w="0" w:type="auto"/>
            <w:noWrap w:val="0"/>
            <w:vAlign w:val="center"/>
          </w:tcPr>
          <w:p w14:paraId="674AAE76">
            <w:r>
              <w:rPr>
                <w:rStyle w:val="10"/>
                <w:rFonts w:hint="eastAsia"/>
              </w:rPr>
              <w:t>使用技术要求:</w:t>
            </w:r>
            <w:r>
              <w:rPr>
                <w:rFonts w:hint="eastAsia"/>
              </w:rPr>
              <w:br w:type="textWrapping"/>
            </w:r>
            <w:r>
              <w:rPr>
                <w:rStyle w:val="11"/>
                <w:rFonts w:hint="eastAsia"/>
              </w:rPr>
              <w:t>1.于辣椒炭疽病发病前或发病初期使用；每季最多使用3次，施药间隔期为7天，安全间隔期为7天。2. 大风天或预计1小时内有雨请勿施药。</w:t>
            </w:r>
          </w:p>
        </w:tc>
      </w:tr>
      <w:tr w14:paraId="551A623D">
        <w:tblPrEx>
          <w:tblCellMar>
            <w:top w:w="0" w:type="dxa"/>
            <w:left w:w="0" w:type="dxa"/>
            <w:bottom w:w="0" w:type="dxa"/>
            <w:right w:w="0" w:type="dxa"/>
          </w:tblCellMar>
        </w:tblPrEx>
        <w:trPr>
          <w:wBefore w:w="0" w:type="auto"/>
          <w:tblCellSpacing w:w="0" w:type="dxa"/>
        </w:trPr>
        <w:tc>
          <w:tcPr>
            <w:tcW w:w="0" w:type="auto"/>
            <w:noWrap w:val="0"/>
            <w:vAlign w:val="center"/>
          </w:tcPr>
          <w:p w14:paraId="1AC1FF5C">
            <w:r>
              <w:rPr>
                <w:rStyle w:val="10"/>
                <w:rFonts w:hint="eastAsia"/>
              </w:rPr>
              <w:t>产品性能:</w:t>
            </w:r>
            <w:r>
              <w:rPr>
                <w:rFonts w:hint="eastAsia"/>
              </w:rPr>
              <w:br w:type="textWrapping"/>
            </w:r>
            <w:r>
              <w:rPr>
                <w:rStyle w:val="11"/>
                <w:rFonts w:hint="eastAsia"/>
              </w:rPr>
              <w:t>本剂为吡啶类杀菌剂，对鞭毛菌类、半知菌类引起的病害有良好的防治效果,防治辣椒炭疽病有很好的防效。</w:t>
            </w:r>
          </w:p>
        </w:tc>
      </w:tr>
      <w:tr w14:paraId="523A6E62">
        <w:tblPrEx>
          <w:tblCellMar>
            <w:top w:w="0" w:type="dxa"/>
            <w:left w:w="0" w:type="dxa"/>
            <w:bottom w:w="0" w:type="dxa"/>
            <w:right w:w="0" w:type="dxa"/>
          </w:tblCellMar>
        </w:tblPrEx>
        <w:trPr>
          <w:wBefore w:w="0" w:type="auto"/>
          <w:tblCellSpacing w:w="0" w:type="dxa"/>
        </w:trPr>
        <w:tc>
          <w:tcPr>
            <w:tcW w:w="0" w:type="auto"/>
            <w:noWrap w:val="0"/>
            <w:vAlign w:val="center"/>
          </w:tcPr>
          <w:p w14:paraId="2B68184F">
            <w:r>
              <w:rPr>
                <w:rStyle w:val="10"/>
                <w:rFonts w:hint="eastAsia"/>
              </w:rPr>
              <w:t>注意事项：</w:t>
            </w:r>
            <w:r>
              <w:rPr>
                <w:rFonts w:hint="eastAsia"/>
              </w:rPr>
              <w:br w:type="textWrapping"/>
            </w:r>
            <w:r>
              <w:rPr>
                <w:rStyle w:val="11"/>
                <w:rFonts w:hint="eastAsia"/>
              </w:rPr>
              <w:t>1.使用本剂前要充分摇匀。药液及其废液不得污染各类水域、土壤等环境。 2.喷药时请将药液均匀地喷雾到植株全部叶片的正反面，以保证药效。 3..不要随意与肥料、其他农药等混用。如果必需和其他产品混用，务必在当地植保技术部门的指导下进行安全性试验确认安全后方可使用。 4.施药时，要穿戴作业服，做好安全防护。施药后注意要立即清洗手足脸并换下作业服。 5.有过敏病史者，应禁止施药及禁止进入施药地。 6.不宜在温室使用本药剂。 7.本药剂对鱼及水生动物有毒，应避免将药液飞散、流入鱼塘、河流及湖泊，不得在以上水域清洗喷药工具。 8.孕妇及儿童禁止接触该药剂。9.使用前请仔细阅读标签，严格按照本标签规定的使用技术和使用方法、注意事项等所有内容单独使用本品。</w:t>
            </w:r>
          </w:p>
        </w:tc>
      </w:tr>
      <w:tr w14:paraId="72B4E357">
        <w:tblPrEx>
          <w:tblCellMar>
            <w:top w:w="0" w:type="dxa"/>
            <w:left w:w="0" w:type="dxa"/>
            <w:bottom w:w="0" w:type="dxa"/>
            <w:right w:w="0" w:type="dxa"/>
          </w:tblCellMar>
        </w:tblPrEx>
        <w:trPr>
          <w:wBefore w:w="0" w:type="auto"/>
          <w:tblCellSpacing w:w="0" w:type="dxa"/>
        </w:trPr>
        <w:tc>
          <w:tcPr>
            <w:tcW w:w="0" w:type="auto"/>
            <w:noWrap w:val="0"/>
            <w:vAlign w:val="center"/>
          </w:tcPr>
          <w:p w14:paraId="293FC051">
            <w:r>
              <w:rPr>
                <w:rStyle w:val="10"/>
                <w:rFonts w:hint="eastAsia"/>
              </w:rPr>
              <w:t>中毒急救措施：</w:t>
            </w:r>
            <w:r>
              <w:rPr>
                <w:rFonts w:hint="eastAsia"/>
              </w:rPr>
              <w:br w:type="textWrapping"/>
            </w:r>
            <w:r>
              <w:rPr>
                <w:rStyle w:val="11"/>
                <w:rFonts w:hint="eastAsia"/>
              </w:rPr>
              <w:t>使用中或使用后如果感觉不适，应立即停止工作，采取急救措施。1.皮肤接触：脱去污染的衣物，用软布去除沾染农药，立即用大量清水和肥皂冲洗。2.眼睛溅入：立即用流动清水冲洗不少于15分钟。3.吸入：立即离开施药现场，转移到空气清新处。4.误食：请勿引吐，立即携带标签，送医就诊。无专用解毒剂，对症治疗。</w:t>
            </w:r>
          </w:p>
        </w:tc>
      </w:tr>
      <w:tr w14:paraId="76FB3638">
        <w:tblPrEx>
          <w:tblCellMar>
            <w:top w:w="0" w:type="dxa"/>
            <w:left w:w="0" w:type="dxa"/>
            <w:bottom w:w="0" w:type="dxa"/>
            <w:right w:w="0" w:type="dxa"/>
          </w:tblCellMar>
        </w:tblPrEx>
        <w:trPr>
          <w:wBefore w:w="0" w:type="auto"/>
          <w:tblCellSpacing w:w="0" w:type="dxa"/>
        </w:trPr>
        <w:tc>
          <w:tcPr>
            <w:tcW w:w="0" w:type="auto"/>
            <w:noWrap w:val="0"/>
            <w:vAlign w:val="center"/>
          </w:tcPr>
          <w:p w14:paraId="5A28297E">
            <w:r>
              <w:rPr>
                <w:rStyle w:val="10"/>
                <w:rFonts w:hint="eastAsia"/>
              </w:rPr>
              <w:t>储存和运输方法：</w:t>
            </w:r>
            <w:r>
              <w:rPr>
                <w:rFonts w:hint="eastAsia"/>
              </w:rPr>
              <w:br w:type="textWrapping"/>
            </w:r>
            <w:r>
              <w:rPr>
                <w:rStyle w:val="11"/>
                <w:rFonts w:hint="eastAsia"/>
              </w:rPr>
              <w:t>1、本品应贮存在干燥、阴凉、通风、防雨处，远离火源或热源。2、置于儿童、无关人员及动物接触不到的地方，并加锁保存。3、勿与食品、饮料、粮食、饲料等其他商品同贮同运。</w:t>
            </w:r>
          </w:p>
        </w:tc>
      </w:tr>
      <w:tr w14:paraId="330B239D">
        <w:tblPrEx>
          <w:tblCellMar>
            <w:top w:w="0" w:type="dxa"/>
            <w:left w:w="0" w:type="dxa"/>
            <w:bottom w:w="0" w:type="dxa"/>
            <w:right w:w="0" w:type="dxa"/>
          </w:tblCellMar>
        </w:tblPrEx>
        <w:trPr>
          <w:wBefore w:w="0" w:type="auto"/>
          <w:tblCellSpacing w:w="0" w:type="dxa"/>
        </w:trPr>
        <w:tc>
          <w:tcPr>
            <w:tcW w:w="0" w:type="auto"/>
            <w:noWrap w:val="0"/>
            <w:vAlign w:val="center"/>
          </w:tcPr>
          <w:p w14:paraId="0C768236">
            <w:r>
              <w:rPr>
                <w:rStyle w:val="10"/>
                <w:rFonts w:hint="eastAsia"/>
              </w:rPr>
              <w:t>质量保证期：</w:t>
            </w:r>
            <w:r>
              <w:rPr>
                <w:rStyle w:val="11"/>
                <w:rFonts w:hint="eastAsia"/>
              </w:rPr>
              <w:t>2年</w:t>
            </w:r>
          </w:p>
        </w:tc>
      </w:tr>
      <w:tr w14:paraId="1C3575F0">
        <w:tblPrEx>
          <w:tblCellMar>
            <w:top w:w="0" w:type="dxa"/>
            <w:left w:w="0" w:type="dxa"/>
            <w:bottom w:w="0" w:type="dxa"/>
            <w:right w:w="0" w:type="dxa"/>
          </w:tblCellMar>
        </w:tblPrEx>
        <w:trPr>
          <w:wBefore w:w="0" w:type="auto"/>
          <w:tblCellSpacing w:w="0" w:type="dxa"/>
        </w:trPr>
        <w:tc>
          <w:tcPr>
            <w:tcW w:w="0" w:type="auto"/>
            <w:noWrap w:val="0"/>
            <w:vAlign w:val="center"/>
          </w:tcPr>
          <w:p w14:paraId="3A54EE47">
            <w:r>
              <w:rPr>
                <w:rStyle w:val="10"/>
                <w:rFonts w:hint="eastAsia"/>
              </w:rPr>
              <w:t>备注：</w:t>
            </w:r>
            <w:r>
              <w:rPr>
                <w:rFonts w:hint="eastAsia"/>
              </w:rPr>
              <w:br w:type="textWrapping"/>
            </w:r>
            <w:r>
              <w:rPr>
                <w:rStyle w:val="11"/>
                <w:rFonts w:hint="eastAsia"/>
              </w:rPr>
              <w:t>质量分数42%。</w:t>
            </w:r>
          </w:p>
        </w:tc>
      </w:tr>
    </w:tbl>
    <w:p w14:paraId="7EFDFE1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A0BFA1D">
        <w:tblPrEx>
          <w:tblCellMar>
            <w:top w:w="0" w:type="dxa"/>
            <w:left w:w="0" w:type="dxa"/>
            <w:bottom w:w="0" w:type="dxa"/>
            <w:right w:w="0" w:type="dxa"/>
          </w:tblCellMar>
        </w:tblPrEx>
        <w:trPr>
          <w:wBefore w:w="0" w:type="auto"/>
          <w:tblCellSpacing w:w="0" w:type="dxa"/>
        </w:trPr>
        <w:tc>
          <w:tcPr>
            <w:tcW w:w="0" w:type="auto"/>
            <w:noWrap w:val="0"/>
            <w:vAlign w:val="center"/>
          </w:tcPr>
          <w:p w14:paraId="6D9B25B1">
            <w:r>
              <w:rPr>
                <w:rStyle w:val="10"/>
                <w:rFonts w:hint="eastAsia"/>
              </w:rPr>
              <w:t>登记证号：</w:t>
            </w:r>
            <w:r>
              <w:rPr>
                <w:rFonts w:hint="eastAsia"/>
              </w:rPr>
              <w:t>WP20210228</w:t>
            </w:r>
          </w:p>
        </w:tc>
      </w:tr>
      <w:tr w14:paraId="7C5AE0DE">
        <w:tblPrEx>
          <w:tblCellMar>
            <w:top w:w="0" w:type="dxa"/>
            <w:left w:w="0" w:type="dxa"/>
            <w:bottom w:w="0" w:type="dxa"/>
            <w:right w:w="0" w:type="dxa"/>
          </w:tblCellMar>
        </w:tblPrEx>
        <w:trPr>
          <w:wBefore w:w="0" w:type="auto"/>
          <w:tblCellSpacing w:w="0" w:type="dxa"/>
        </w:trPr>
        <w:tc>
          <w:tcPr>
            <w:tcW w:w="0" w:type="auto"/>
            <w:noWrap w:val="0"/>
            <w:vAlign w:val="center"/>
          </w:tcPr>
          <w:p w14:paraId="12AC6549">
            <w:r>
              <w:rPr>
                <w:rStyle w:val="10"/>
                <w:rFonts w:hint="eastAsia"/>
              </w:rPr>
              <w:t>登记证持有人：</w:t>
            </w:r>
            <w:r>
              <w:rPr>
                <w:rFonts w:hint="eastAsia"/>
              </w:rPr>
              <w:t>河南恒信农化有限公司</w:t>
            </w:r>
          </w:p>
        </w:tc>
      </w:tr>
      <w:tr w14:paraId="22F2B052">
        <w:tblPrEx>
          <w:tblCellMar>
            <w:top w:w="0" w:type="dxa"/>
            <w:left w:w="0" w:type="dxa"/>
            <w:bottom w:w="0" w:type="dxa"/>
            <w:right w:w="0" w:type="dxa"/>
          </w:tblCellMar>
        </w:tblPrEx>
        <w:trPr>
          <w:wBefore w:w="0" w:type="auto"/>
          <w:tblCellSpacing w:w="0" w:type="dxa"/>
        </w:trPr>
        <w:tc>
          <w:tcPr>
            <w:tcW w:w="0" w:type="auto"/>
            <w:noWrap w:val="0"/>
            <w:vAlign w:val="center"/>
          </w:tcPr>
          <w:p w14:paraId="77291314">
            <w:r>
              <w:rPr>
                <w:rStyle w:val="10"/>
                <w:rFonts w:hint="eastAsia"/>
              </w:rPr>
              <w:t>农药名称：</w:t>
            </w:r>
            <w:r>
              <w:rPr>
                <w:rFonts w:hint="eastAsia"/>
              </w:rPr>
              <w:t>杀虫饵剂</w:t>
            </w:r>
          </w:p>
        </w:tc>
      </w:tr>
      <w:tr w14:paraId="49ADA004">
        <w:tblPrEx>
          <w:tblCellMar>
            <w:top w:w="0" w:type="dxa"/>
            <w:left w:w="0" w:type="dxa"/>
            <w:bottom w:w="0" w:type="dxa"/>
            <w:right w:w="0" w:type="dxa"/>
          </w:tblCellMar>
        </w:tblPrEx>
        <w:trPr>
          <w:wBefore w:w="0" w:type="auto"/>
          <w:tblCellSpacing w:w="0" w:type="dxa"/>
        </w:trPr>
        <w:tc>
          <w:tcPr>
            <w:tcW w:w="0" w:type="auto"/>
            <w:noWrap w:val="0"/>
            <w:vAlign w:val="center"/>
          </w:tcPr>
          <w:p w14:paraId="1592B082">
            <w:r>
              <w:rPr>
                <w:rStyle w:val="10"/>
                <w:rFonts w:hint="eastAsia"/>
              </w:rPr>
              <w:t>剂型：</w:t>
            </w:r>
            <w:r>
              <w:rPr>
                <w:rFonts w:hint="eastAsia"/>
              </w:rPr>
              <w:t>饵剂</w:t>
            </w:r>
          </w:p>
        </w:tc>
      </w:tr>
      <w:tr w14:paraId="492E72AE">
        <w:tblPrEx>
          <w:tblCellMar>
            <w:top w:w="0" w:type="dxa"/>
            <w:left w:w="0" w:type="dxa"/>
            <w:bottom w:w="0" w:type="dxa"/>
            <w:right w:w="0" w:type="dxa"/>
          </w:tblCellMar>
        </w:tblPrEx>
        <w:trPr>
          <w:wBefore w:w="0" w:type="auto"/>
          <w:tblCellSpacing w:w="0" w:type="dxa"/>
        </w:trPr>
        <w:tc>
          <w:tcPr>
            <w:tcW w:w="0" w:type="auto"/>
            <w:noWrap w:val="0"/>
            <w:vAlign w:val="center"/>
          </w:tcPr>
          <w:p w14:paraId="0167E512">
            <w:r>
              <w:rPr>
                <w:rStyle w:val="10"/>
                <w:rFonts w:hint="eastAsia"/>
              </w:rPr>
              <w:t>毒性及其标识：</w:t>
            </w:r>
            <w:r>
              <w:rPr>
                <w:rFonts w:hint="eastAsia"/>
              </w:rPr>
              <w:t xml:space="preserve"> 微毒 </w:t>
            </w:r>
          </w:p>
        </w:tc>
      </w:tr>
      <w:tr w14:paraId="16B88121">
        <w:tblPrEx>
          <w:tblCellMar>
            <w:top w:w="0" w:type="dxa"/>
            <w:left w:w="0" w:type="dxa"/>
            <w:bottom w:w="0" w:type="dxa"/>
            <w:right w:w="0" w:type="dxa"/>
          </w:tblCellMar>
        </w:tblPrEx>
        <w:trPr>
          <w:wBefore w:w="0" w:type="auto"/>
          <w:tblCellSpacing w:w="0" w:type="dxa"/>
        </w:trPr>
        <w:tc>
          <w:tcPr>
            <w:tcW w:w="0" w:type="auto"/>
            <w:noWrap w:val="0"/>
            <w:vAlign w:val="center"/>
          </w:tcPr>
          <w:p w14:paraId="456830DD">
            <w:r>
              <w:rPr>
                <w:rStyle w:val="10"/>
                <w:rFonts w:hint="eastAsia"/>
              </w:rPr>
              <w:t>总有效成分含量：</w:t>
            </w:r>
            <w:r>
              <w:rPr>
                <w:rFonts w:hint="eastAsia"/>
              </w:rPr>
              <w:t>0.5%</w:t>
            </w:r>
          </w:p>
        </w:tc>
      </w:tr>
      <w:tr w14:paraId="4BE0B105">
        <w:tblPrEx>
          <w:tblCellMar>
            <w:top w:w="0" w:type="dxa"/>
            <w:left w:w="0" w:type="dxa"/>
            <w:bottom w:w="0" w:type="dxa"/>
            <w:right w:w="0" w:type="dxa"/>
          </w:tblCellMar>
        </w:tblPrEx>
        <w:trPr>
          <w:wBefore w:w="0" w:type="auto"/>
          <w:tblCellSpacing w:w="0" w:type="dxa"/>
        </w:trPr>
        <w:tc>
          <w:tcPr>
            <w:tcW w:w="0" w:type="auto"/>
            <w:noWrap w:val="0"/>
            <w:vAlign w:val="center"/>
          </w:tcPr>
          <w:p w14:paraId="544CA66E">
            <w:r>
              <w:rPr>
                <w:rFonts w:hint="eastAsia"/>
              </w:rPr>
              <w:t xml:space="preserve">有效成分及其含量： </w:t>
            </w:r>
          </w:p>
          <w:p w14:paraId="6B6F5E18">
            <w:r>
              <w:rPr>
                <w:rFonts w:hint="eastAsia"/>
              </w:rPr>
              <w:t xml:space="preserve">    呋虫胺0.5%    </w:t>
            </w:r>
          </w:p>
        </w:tc>
      </w:tr>
      <w:tr w14:paraId="0A018B50">
        <w:tblPrEx>
          <w:tblCellMar>
            <w:top w:w="0" w:type="dxa"/>
            <w:left w:w="0" w:type="dxa"/>
            <w:bottom w:w="0" w:type="dxa"/>
            <w:right w:w="0" w:type="dxa"/>
          </w:tblCellMar>
        </w:tblPrEx>
        <w:trPr>
          <w:wBefore w:w="0" w:type="auto"/>
          <w:tblCellSpacing w:w="0" w:type="dxa"/>
        </w:trPr>
        <w:tc>
          <w:tcPr>
            <w:tcW w:w="0" w:type="auto"/>
            <w:noWrap w:val="0"/>
            <w:vAlign w:val="center"/>
          </w:tcPr>
          <w:p w14:paraId="6E4443B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658880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BC138C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F814E6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36FDE2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1943F2A">
                  <w:r>
                    <w:rPr>
                      <w:rStyle w:val="11"/>
                      <w:rFonts w:hint="eastAsia"/>
                    </w:rPr>
                    <w:t>施用方式</w:t>
                  </w:r>
                </w:p>
              </w:tc>
            </w:tr>
            <w:tr w14:paraId="60ED5D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78B27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280053">
                  <w:r>
                    <w:rPr>
                      <w:rStyle w:val="11"/>
                      <w:rFonts w:hint="eastAsia"/>
                    </w:rPr>
                    <w:t>蚂蚁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677206">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D80291">
                  <w:r>
                    <w:rPr>
                      <w:rStyle w:val="11"/>
                      <w:rFonts w:hint="eastAsia"/>
                    </w:rPr>
                    <w:t>投放</w:t>
                  </w:r>
                </w:p>
              </w:tc>
            </w:tr>
            <w:tr w14:paraId="331954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9B94A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F53ECA">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95D9EA">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9F3E5F">
                  <w:r>
                    <w:rPr>
                      <w:rStyle w:val="11"/>
                      <w:rFonts w:hint="eastAsia"/>
                    </w:rPr>
                    <w:t>投放</w:t>
                  </w:r>
                </w:p>
              </w:tc>
            </w:tr>
            <w:tr w14:paraId="4314A6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AEF7AF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2F35C5">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975A66">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A7281A">
                  <w:r>
                    <w:rPr>
                      <w:rStyle w:val="11"/>
                      <w:rFonts w:hint="eastAsia"/>
                    </w:rPr>
                    <w:t>投放</w:t>
                  </w:r>
                </w:p>
              </w:tc>
            </w:tr>
          </w:tbl>
          <w:p w14:paraId="708C62B6">
            <w:pPr>
              <w:rPr>
                <w:rFonts w:ascii="Times New Roman" w:hAnsi="Times New Roman" w:cs="Times New Roman"/>
                <w:sz w:val="20"/>
                <w:szCs w:val="20"/>
              </w:rPr>
            </w:pPr>
          </w:p>
        </w:tc>
      </w:tr>
      <w:tr w14:paraId="16944E5C">
        <w:tblPrEx>
          <w:tblCellMar>
            <w:top w:w="0" w:type="dxa"/>
            <w:left w:w="0" w:type="dxa"/>
            <w:bottom w:w="0" w:type="dxa"/>
            <w:right w:w="0" w:type="dxa"/>
          </w:tblCellMar>
        </w:tblPrEx>
        <w:trPr>
          <w:wBefore w:w="0" w:type="auto"/>
          <w:tblCellSpacing w:w="0" w:type="dxa"/>
        </w:trPr>
        <w:tc>
          <w:tcPr>
            <w:tcW w:w="0" w:type="auto"/>
            <w:noWrap w:val="0"/>
            <w:vAlign w:val="center"/>
          </w:tcPr>
          <w:p w14:paraId="6D534204">
            <w:r>
              <w:rPr>
                <w:rStyle w:val="10"/>
                <w:rFonts w:hint="eastAsia"/>
              </w:rPr>
              <w:t>使用技术要求:</w:t>
            </w:r>
            <w:r>
              <w:rPr>
                <w:rFonts w:hint="eastAsia"/>
              </w:rPr>
              <w:br w:type="textWrapping"/>
            </w:r>
            <w:r>
              <w:rPr>
                <w:rStyle w:val="11"/>
                <w:rFonts w:hint="eastAsia"/>
              </w:rPr>
              <w:t>仅用于室内，将本品饱和投放在蜚蠊、苍蝇、蚂蚁滋扰的场所，根据蜚蠊、苍蝇、蚂蚁的密度适当增加或减少用药量。</w:t>
            </w:r>
          </w:p>
        </w:tc>
      </w:tr>
      <w:tr w14:paraId="1CD55B14">
        <w:tblPrEx>
          <w:tblCellMar>
            <w:top w:w="0" w:type="dxa"/>
            <w:left w:w="0" w:type="dxa"/>
            <w:bottom w:w="0" w:type="dxa"/>
            <w:right w:w="0" w:type="dxa"/>
          </w:tblCellMar>
        </w:tblPrEx>
        <w:trPr>
          <w:wBefore w:w="0" w:type="auto"/>
          <w:tblCellSpacing w:w="0" w:type="dxa"/>
        </w:trPr>
        <w:tc>
          <w:tcPr>
            <w:tcW w:w="0" w:type="auto"/>
            <w:noWrap w:val="0"/>
            <w:vAlign w:val="center"/>
          </w:tcPr>
          <w:p w14:paraId="289E1A3A">
            <w:r>
              <w:rPr>
                <w:rStyle w:val="10"/>
                <w:rFonts w:hint="eastAsia"/>
              </w:rPr>
              <w:t>产品性能:</w:t>
            </w:r>
            <w:r>
              <w:rPr>
                <w:rFonts w:hint="eastAsia"/>
              </w:rPr>
              <w:br w:type="textWrapping"/>
            </w:r>
            <w:r>
              <w:rPr>
                <w:rStyle w:val="11"/>
                <w:rFonts w:hint="eastAsia"/>
              </w:rPr>
              <w:t>呋虫胺是通过脊柱神经传递和触杀胃毒作用的系统性杀虫剂，适用于家庭、宾馆、办公室等室内场所使用。</w:t>
            </w:r>
          </w:p>
        </w:tc>
      </w:tr>
      <w:tr w14:paraId="3472E82E">
        <w:tblPrEx>
          <w:tblCellMar>
            <w:top w:w="0" w:type="dxa"/>
            <w:left w:w="0" w:type="dxa"/>
            <w:bottom w:w="0" w:type="dxa"/>
            <w:right w:w="0" w:type="dxa"/>
          </w:tblCellMar>
        </w:tblPrEx>
        <w:trPr>
          <w:wBefore w:w="0" w:type="auto"/>
          <w:tblCellSpacing w:w="0" w:type="dxa"/>
        </w:trPr>
        <w:tc>
          <w:tcPr>
            <w:tcW w:w="0" w:type="auto"/>
            <w:noWrap w:val="0"/>
            <w:vAlign w:val="center"/>
          </w:tcPr>
          <w:p w14:paraId="3CDD4162">
            <w:r>
              <w:rPr>
                <w:rStyle w:val="10"/>
                <w:rFonts w:hint="eastAsia"/>
              </w:rPr>
              <w:t>注意事项：</w:t>
            </w:r>
            <w:r>
              <w:rPr>
                <w:rFonts w:hint="eastAsia"/>
              </w:rPr>
              <w:br w:type="textWrapping"/>
            </w:r>
            <w:r>
              <w:rPr>
                <w:rStyle w:val="11"/>
                <w:rFonts w:hint="eastAsia"/>
              </w:rPr>
              <w:t>1.不要将本品施放于水流通道处，以免影响本品的持效作用。 2. 施药后应清洗双手3.本品仅限用于室内。 4.施用本品时不要让药剂沾染皮肤和眼睛；切勿污染食品及饮用水；应远离儿童、家畜及宠物，以防误食；蚕室及其附近禁用。 5.避免孕妇、哺乳期妇女及过敏者接触本品； 6. 用过的空包装应妥善处理，不可随意丢弃，也不可做他用。</w:t>
            </w:r>
          </w:p>
        </w:tc>
      </w:tr>
      <w:tr w14:paraId="3E085C6B">
        <w:tblPrEx>
          <w:tblCellMar>
            <w:top w:w="0" w:type="dxa"/>
            <w:left w:w="0" w:type="dxa"/>
            <w:bottom w:w="0" w:type="dxa"/>
            <w:right w:w="0" w:type="dxa"/>
          </w:tblCellMar>
        </w:tblPrEx>
        <w:trPr>
          <w:wBefore w:w="0" w:type="auto"/>
          <w:tblCellSpacing w:w="0" w:type="dxa"/>
        </w:trPr>
        <w:tc>
          <w:tcPr>
            <w:tcW w:w="0" w:type="auto"/>
            <w:noWrap w:val="0"/>
            <w:vAlign w:val="center"/>
          </w:tcPr>
          <w:p w14:paraId="35F52FDF">
            <w:r>
              <w:rPr>
                <w:rStyle w:val="10"/>
                <w:rFonts w:hint="eastAsia"/>
              </w:rPr>
              <w:t>中毒急救措施：</w:t>
            </w:r>
            <w:r>
              <w:rPr>
                <w:rFonts w:hint="eastAsia"/>
              </w:rPr>
              <w:br w:type="textWrapping"/>
            </w:r>
            <w:r>
              <w:rPr>
                <w:rStyle w:val="11"/>
                <w:rFonts w:hint="eastAsia"/>
              </w:rPr>
              <w:t>中毒急救措施：无明显中毒报告。使用中或使用后如果感觉不适，应立即停止工作，采取急救措施，并携带标签送医院就诊。皮肤接触：脱去污染的衣物，立即用软布去除沾染农药，用大量清水和肥皂冲洗。眼睛溅入：立即用流动清水冲洗不少于15分钟。吸入：立即离开施药现场，转移到空气清新处。误食：立即停止服用，用清水充分漱口后，携带农药标签到医院就诊。</w:t>
            </w:r>
          </w:p>
        </w:tc>
      </w:tr>
      <w:tr w14:paraId="0791875A">
        <w:tblPrEx>
          <w:tblCellMar>
            <w:top w:w="0" w:type="dxa"/>
            <w:left w:w="0" w:type="dxa"/>
            <w:bottom w:w="0" w:type="dxa"/>
            <w:right w:w="0" w:type="dxa"/>
          </w:tblCellMar>
        </w:tblPrEx>
        <w:trPr>
          <w:wBefore w:w="0" w:type="auto"/>
          <w:tblCellSpacing w:w="0" w:type="dxa"/>
        </w:trPr>
        <w:tc>
          <w:tcPr>
            <w:tcW w:w="0" w:type="auto"/>
            <w:noWrap w:val="0"/>
            <w:vAlign w:val="center"/>
          </w:tcPr>
          <w:p w14:paraId="0230CD27">
            <w:r>
              <w:rPr>
                <w:rStyle w:val="10"/>
                <w:rFonts w:hint="eastAsia"/>
              </w:rPr>
              <w:t>储存和运输方法：</w:t>
            </w:r>
            <w:r>
              <w:rPr>
                <w:rFonts w:hint="eastAsia"/>
              </w:rPr>
              <w:br w:type="textWrapping"/>
            </w:r>
            <w:r>
              <w:rPr>
                <w:rStyle w:val="11"/>
                <w:rFonts w:hint="eastAsia"/>
              </w:rPr>
              <w:t>本品应贮存在干燥、阴凉、通风、防雨处，远离火源或热源。运输时防雨防潮；装卸时轻卸轻放。本品应当置于儿童、无关人员及动物接触不到的地方，并加锁保存。勿与食品、种子、饲料等同贮同运。</w:t>
            </w:r>
          </w:p>
        </w:tc>
      </w:tr>
      <w:tr w14:paraId="6AFBFD4A">
        <w:tblPrEx>
          <w:tblCellMar>
            <w:top w:w="0" w:type="dxa"/>
            <w:left w:w="0" w:type="dxa"/>
            <w:bottom w:w="0" w:type="dxa"/>
            <w:right w:w="0" w:type="dxa"/>
          </w:tblCellMar>
        </w:tblPrEx>
        <w:trPr>
          <w:wBefore w:w="0" w:type="auto"/>
          <w:tblCellSpacing w:w="0" w:type="dxa"/>
        </w:trPr>
        <w:tc>
          <w:tcPr>
            <w:tcW w:w="0" w:type="auto"/>
            <w:noWrap w:val="0"/>
            <w:vAlign w:val="center"/>
          </w:tcPr>
          <w:p w14:paraId="7B55E2D4">
            <w:r>
              <w:rPr>
                <w:rStyle w:val="10"/>
                <w:rFonts w:hint="eastAsia"/>
              </w:rPr>
              <w:t>质量保证期：</w:t>
            </w:r>
            <w:r>
              <w:rPr>
                <w:rStyle w:val="11"/>
                <w:rFonts w:hint="eastAsia"/>
              </w:rPr>
              <w:t>2年</w:t>
            </w:r>
          </w:p>
        </w:tc>
      </w:tr>
      <w:tr w14:paraId="212BAFC2">
        <w:tblPrEx>
          <w:tblCellMar>
            <w:top w:w="0" w:type="dxa"/>
            <w:left w:w="0" w:type="dxa"/>
            <w:bottom w:w="0" w:type="dxa"/>
            <w:right w:w="0" w:type="dxa"/>
          </w:tblCellMar>
        </w:tblPrEx>
        <w:trPr>
          <w:wBefore w:w="0" w:type="auto"/>
          <w:tblCellSpacing w:w="0" w:type="dxa"/>
        </w:trPr>
        <w:tc>
          <w:tcPr>
            <w:tcW w:w="0" w:type="auto"/>
            <w:noWrap w:val="0"/>
            <w:vAlign w:val="center"/>
          </w:tcPr>
          <w:p w14:paraId="1215C33F">
            <w:r>
              <w:rPr>
                <w:rStyle w:val="10"/>
                <w:rFonts w:hint="eastAsia"/>
              </w:rPr>
              <w:t>备注：</w:t>
            </w:r>
          </w:p>
        </w:tc>
      </w:tr>
    </w:tbl>
    <w:p w14:paraId="1F24004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3C05D23">
        <w:tblPrEx>
          <w:tblCellMar>
            <w:top w:w="0" w:type="dxa"/>
            <w:left w:w="0" w:type="dxa"/>
            <w:bottom w:w="0" w:type="dxa"/>
            <w:right w:w="0" w:type="dxa"/>
          </w:tblCellMar>
        </w:tblPrEx>
        <w:trPr>
          <w:wBefore w:w="0" w:type="auto"/>
          <w:tblCellSpacing w:w="0" w:type="dxa"/>
        </w:trPr>
        <w:tc>
          <w:tcPr>
            <w:tcW w:w="0" w:type="auto"/>
            <w:noWrap w:val="0"/>
            <w:vAlign w:val="center"/>
          </w:tcPr>
          <w:p w14:paraId="3CDDE7F0">
            <w:r>
              <w:rPr>
                <w:rStyle w:val="10"/>
                <w:rFonts w:hint="eastAsia"/>
              </w:rPr>
              <w:t>登记证号：</w:t>
            </w:r>
            <w:r>
              <w:rPr>
                <w:rFonts w:hint="eastAsia"/>
              </w:rPr>
              <w:t>PD20211717</w:t>
            </w:r>
          </w:p>
        </w:tc>
      </w:tr>
      <w:tr w14:paraId="637E4108">
        <w:tblPrEx>
          <w:tblCellMar>
            <w:top w:w="0" w:type="dxa"/>
            <w:left w:w="0" w:type="dxa"/>
            <w:bottom w:w="0" w:type="dxa"/>
            <w:right w:w="0" w:type="dxa"/>
          </w:tblCellMar>
        </w:tblPrEx>
        <w:trPr>
          <w:wBefore w:w="0" w:type="auto"/>
          <w:tblCellSpacing w:w="0" w:type="dxa"/>
        </w:trPr>
        <w:tc>
          <w:tcPr>
            <w:tcW w:w="0" w:type="auto"/>
            <w:noWrap w:val="0"/>
            <w:vAlign w:val="center"/>
          </w:tcPr>
          <w:p w14:paraId="189D25F8">
            <w:r>
              <w:rPr>
                <w:rStyle w:val="10"/>
                <w:rFonts w:hint="eastAsia"/>
              </w:rPr>
              <w:t>登记证持有人：</w:t>
            </w:r>
            <w:r>
              <w:rPr>
                <w:rFonts w:hint="eastAsia"/>
              </w:rPr>
              <w:t>陕西西大华特科技实业有限公司</w:t>
            </w:r>
          </w:p>
        </w:tc>
      </w:tr>
      <w:tr w14:paraId="61EEE3F1">
        <w:tblPrEx>
          <w:tblCellMar>
            <w:top w:w="0" w:type="dxa"/>
            <w:left w:w="0" w:type="dxa"/>
            <w:bottom w:w="0" w:type="dxa"/>
            <w:right w:w="0" w:type="dxa"/>
          </w:tblCellMar>
        </w:tblPrEx>
        <w:trPr>
          <w:wBefore w:w="0" w:type="auto"/>
          <w:tblCellSpacing w:w="0" w:type="dxa"/>
        </w:trPr>
        <w:tc>
          <w:tcPr>
            <w:tcW w:w="0" w:type="auto"/>
            <w:noWrap w:val="0"/>
            <w:vAlign w:val="center"/>
          </w:tcPr>
          <w:p w14:paraId="0EF8B560">
            <w:r>
              <w:rPr>
                <w:rStyle w:val="10"/>
                <w:rFonts w:hint="eastAsia"/>
              </w:rPr>
              <w:t>农药名称：</w:t>
            </w:r>
            <w:r>
              <w:rPr>
                <w:rFonts w:hint="eastAsia"/>
              </w:rPr>
              <w:t>氟啶·啶虫脒</w:t>
            </w:r>
          </w:p>
        </w:tc>
      </w:tr>
      <w:tr w14:paraId="6A7285F5">
        <w:tblPrEx>
          <w:tblCellMar>
            <w:top w:w="0" w:type="dxa"/>
            <w:left w:w="0" w:type="dxa"/>
            <w:bottom w:w="0" w:type="dxa"/>
            <w:right w:w="0" w:type="dxa"/>
          </w:tblCellMar>
        </w:tblPrEx>
        <w:trPr>
          <w:wBefore w:w="0" w:type="auto"/>
          <w:tblCellSpacing w:w="0" w:type="dxa"/>
        </w:trPr>
        <w:tc>
          <w:tcPr>
            <w:tcW w:w="0" w:type="auto"/>
            <w:noWrap w:val="0"/>
            <w:vAlign w:val="center"/>
          </w:tcPr>
          <w:p w14:paraId="13C8AB66">
            <w:r>
              <w:rPr>
                <w:rStyle w:val="10"/>
                <w:rFonts w:hint="eastAsia"/>
              </w:rPr>
              <w:t>剂型：</w:t>
            </w:r>
            <w:r>
              <w:rPr>
                <w:rFonts w:hint="eastAsia"/>
              </w:rPr>
              <w:t>水分散粒剂</w:t>
            </w:r>
          </w:p>
        </w:tc>
      </w:tr>
      <w:tr w14:paraId="7F0C29B8">
        <w:tblPrEx>
          <w:tblCellMar>
            <w:top w:w="0" w:type="dxa"/>
            <w:left w:w="0" w:type="dxa"/>
            <w:bottom w:w="0" w:type="dxa"/>
            <w:right w:w="0" w:type="dxa"/>
          </w:tblCellMar>
        </w:tblPrEx>
        <w:trPr>
          <w:wBefore w:w="0" w:type="auto"/>
          <w:tblCellSpacing w:w="0" w:type="dxa"/>
        </w:trPr>
        <w:tc>
          <w:tcPr>
            <w:tcW w:w="0" w:type="auto"/>
            <w:noWrap w:val="0"/>
            <w:vAlign w:val="center"/>
          </w:tcPr>
          <w:p w14:paraId="65F039D6">
            <w:r>
              <w:rPr>
                <w:rStyle w:val="10"/>
                <w:rFonts w:hint="eastAsia"/>
              </w:rPr>
              <w:t>毒性及其标识：</w:t>
            </w:r>
            <w:r>
              <w:rPr>
                <w:rFonts w:hint="eastAsia"/>
              </w:rPr>
              <w:t xml:space="preserve"> </w:t>
            </w:r>
            <w:r>
              <w:rPr>
                <w:lang/>
              </w:rPr>
              <w:drawing>
                <wp:inline distT="0" distB="0" distL="114300" distR="114300">
                  <wp:extent cx="476250" cy="323850"/>
                  <wp:effectExtent l="0" t="0" r="0" b="0"/>
                  <wp:docPr id="189" name="图片 18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4E5C4E1">
        <w:tblPrEx>
          <w:tblCellMar>
            <w:top w:w="0" w:type="dxa"/>
            <w:left w:w="0" w:type="dxa"/>
            <w:bottom w:w="0" w:type="dxa"/>
            <w:right w:w="0" w:type="dxa"/>
          </w:tblCellMar>
        </w:tblPrEx>
        <w:trPr>
          <w:wBefore w:w="0" w:type="auto"/>
          <w:tblCellSpacing w:w="0" w:type="dxa"/>
        </w:trPr>
        <w:tc>
          <w:tcPr>
            <w:tcW w:w="0" w:type="auto"/>
            <w:noWrap w:val="0"/>
            <w:vAlign w:val="center"/>
          </w:tcPr>
          <w:p w14:paraId="597C7CB0">
            <w:r>
              <w:rPr>
                <w:rStyle w:val="10"/>
                <w:rFonts w:hint="eastAsia"/>
              </w:rPr>
              <w:t>总有效成分含量：</w:t>
            </w:r>
            <w:r>
              <w:rPr>
                <w:rFonts w:hint="eastAsia"/>
              </w:rPr>
              <w:t>50%</w:t>
            </w:r>
          </w:p>
        </w:tc>
      </w:tr>
      <w:tr w14:paraId="177CF99B">
        <w:tblPrEx>
          <w:tblCellMar>
            <w:top w:w="0" w:type="dxa"/>
            <w:left w:w="0" w:type="dxa"/>
            <w:bottom w:w="0" w:type="dxa"/>
            <w:right w:w="0" w:type="dxa"/>
          </w:tblCellMar>
        </w:tblPrEx>
        <w:trPr>
          <w:wBefore w:w="0" w:type="auto"/>
          <w:tblCellSpacing w:w="0" w:type="dxa"/>
        </w:trPr>
        <w:tc>
          <w:tcPr>
            <w:tcW w:w="0" w:type="auto"/>
            <w:noWrap w:val="0"/>
            <w:vAlign w:val="center"/>
          </w:tcPr>
          <w:p w14:paraId="61A07F09">
            <w:r>
              <w:rPr>
                <w:rFonts w:hint="eastAsia"/>
              </w:rPr>
              <w:t xml:space="preserve">有效成分及其含量： </w:t>
            </w:r>
          </w:p>
          <w:p w14:paraId="3DDBFB24">
            <w:r>
              <w:rPr>
                <w:rFonts w:hint="eastAsia"/>
              </w:rPr>
              <w:t xml:space="preserve">    氟啶虫酰胺30%    啶虫脒20%    </w:t>
            </w:r>
          </w:p>
        </w:tc>
      </w:tr>
      <w:tr w14:paraId="708C31AA">
        <w:tblPrEx>
          <w:tblCellMar>
            <w:top w:w="0" w:type="dxa"/>
            <w:left w:w="0" w:type="dxa"/>
            <w:bottom w:w="0" w:type="dxa"/>
            <w:right w:w="0" w:type="dxa"/>
          </w:tblCellMar>
        </w:tblPrEx>
        <w:trPr>
          <w:wBefore w:w="0" w:type="auto"/>
          <w:tblCellSpacing w:w="0" w:type="dxa"/>
        </w:trPr>
        <w:tc>
          <w:tcPr>
            <w:tcW w:w="0" w:type="auto"/>
            <w:noWrap w:val="0"/>
            <w:vAlign w:val="center"/>
          </w:tcPr>
          <w:p w14:paraId="1EB84DC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169B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920C2B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8625FF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CC7F8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33563A9">
                  <w:r>
                    <w:rPr>
                      <w:rStyle w:val="11"/>
                      <w:rFonts w:hint="eastAsia"/>
                    </w:rPr>
                    <w:t>施用方式</w:t>
                  </w:r>
                </w:p>
              </w:tc>
            </w:tr>
            <w:tr w14:paraId="3B662E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986216A">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4C5427">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1F8644">
                  <w:r>
                    <w:rPr>
                      <w:rStyle w:val="11"/>
                      <w:rFonts w:hint="eastAsia"/>
                    </w:rPr>
                    <w:t>7-8克/亩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00B3CF">
                  <w:r>
                    <w:rPr>
                      <w:rStyle w:val="11"/>
                      <w:rFonts w:hint="eastAsia"/>
                    </w:rPr>
                    <w:t>喷雾</w:t>
                  </w:r>
                </w:p>
              </w:tc>
            </w:tr>
          </w:tbl>
          <w:p w14:paraId="339A9B5C">
            <w:pPr>
              <w:rPr>
                <w:rFonts w:ascii="Times New Roman" w:hAnsi="Times New Roman" w:cs="Times New Roman"/>
                <w:sz w:val="20"/>
                <w:szCs w:val="20"/>
              </w:rPr>
            </w:pPr>
          </w:p>
        </w:tc>
      </w:tr>
      <w:tr w14:paraId="04CFD703">
        <w:tblPrEx>
          <w:tblCellMar>
            <w:top w:w="0" w:type="dxa"/>
            <w:left w:w="0" w:type="dxa"/>
            <w:bottom w:w="0" w:type="dxa"/>
            <w:right w:w="0" w:type="dxa"/>
          </w:tblCellMar>
        </w:tblPrEx>
        <w:trPr>
          <w:wBefore w:w="0" w:type="auto"/>
          <w:tblCellSpacing w:w="0" w:type="dxa"/>
        </w:trPr>
        <w:tc>
          <w:tcPr>
            <w:tcW w:w="0" w:type="auto"/>
            <w:noWrap w:val="0"/>
            <w:vAlign w:val="center"/>
          </w:tcPr>
          <w:p w14:paraId="64B42832">
            <w:r>
              <w:rPr>
                <w:rStyle w:val="10"/>
                <w:rFonts w:hint="eastAsia"/>
              </w:rPr>
              <w:t>使用技术要求:</w:t>
            </w:r>
            <w:r>
              <w:rPr>
                <w:rFonts w:hint="eastAsia"/>
              </w:rPr>
              <w:br w:type="textWrapping"/>
            </w:r>
            <w:r>
              <w:rPr>
                <w:rStyle w:val="11"/>
                <w:rFonts w:hint="eastAsia"/>
              </w:rPr>
              <w:t>1. 于甘蓝蚜虫发生始盛期喷雾施药1次，应注意均匀喷雾。2. 大风天或预计1小时内降雨，请勿施药。3. 本产品在甘蓝上使用的安全间隔期为7天，每季最多使用1次。</w:t>
            </w:r>
          </w:p>
        </w:tc>
      </w:tr>
      <w:tr w14:paraId="6001A34F">
        <w:tblPrEx>
          <w:tblCellMar>
            <w:top w:w="0" w:type="dxa"/>
            <w:left w:w="0" w:type="dxa"/>
            <w:bottom w:w="0" w:type="dxa"/>
            <w:right w:w="0" w:type="dxa"/>
          </w:tblCellMar>
        </w:tblPrEx>
        <w:trPr>
          <w:wBefore w:w="0" w:type="auto"/>
          <w:tblCellSpacing w:w="0" w:type="dxa"/>
        </w:trPr>
        <w:tc>
          <w:tcPr>
            <w:tcW w:w="0" w:type="auto"/>
            <w:noWrap w:val="0"/>
            <w:vAlign w:val="center"/>
          </w:tcPr>
          <w:p w14:paraId="5448D9C7">
            <w:r>
              <w:rPr>
                <w:rStyle w:val="10"/>
                <w:rFonts w:hint="eastAsia"/>
              </w:rPr>
              <w:t>产品性能:</w:t>
            </w:r>
            <w:r>
              <w:rPr>
                <w:rFonts w:hint="eastAsia"/>
              </w:rPr>
              <w:br w:type="textWrapping"/>
            </w:r>
            <w:r>
              <w:rPr>
                <w:rStyle w:val="11"/>
                <w:rFonts w:hint="eastAsia"/>
              </w:rPr>
              <w:t>本品是由氟啶虫酰胺和啶虫脒复配而成的杀虫剂，氟啶虫酰胺其作用机制是通过阻碍害虫吮吸作用，使害虫摄入药剂后很快停止吮吸，最后饥饿而死，具有触杀和胃毒作用。啶虫脒作用于昆虫神经系统突触部位的烟碱乙酰胆碱受体，干扰昆虫神经系统的刺激传导，引起神经系统通路阻塞，造成神经递质乙酰胆碱在突触部位的积累，从而导致昆虫麻痹，最终死亡。按登记剂量使用时，对甘蓝蚜虫有较好的防治效果，且对甘蓝安全。</w:t>
            </w:r>
          </w:p>
        </w:tc>
      </w:tr>
      <w:tr w14:paraId="22052AA8">
        <w:tblPrEx>
          <w:tblCellMar>
            <w:top w:w="0" w:type="dxa"/>
            <w:left w:w="0" w:type="dxa"/>
            <w:bottom w:w="0" w:type="dxa"/>
            <w:right w:w="0" w:type="dxa"/>
          </w:tblCellMar>
        </w:tblPrEx>
        <w:trPr>
          <w:wBefore w:w="0" w:type="auto"/>
          <w:tblCellSpacing w:w="0" w:type="dxa"/>
        </w:trPr>
        <w:tc>
          <w:tcPr>
            <w:tcW w:w="0" w:type="auto"/>
            <w:noWrap w:val="0"/>
            <w:vAlign w:val="center"/>
          </w:tcPr>
          <w:p w14:paraId="7D0B617D">
            <w:r>
              <w:rPr>
                <w:rStyle w:val="10"/>
                <w:rFonts w:hint="eastAsia"/>
              </w:rPr>
              <w:t>注意事项：</w:t>
            </w:r>
            <w:r>
              <w:rPr>
                <w:rFonts w:hint="eastAsia"/>
              </w:rPr>
              <w:br w:type="textWrapping"/>
            </w:r>
            <w:r>
              <w:rPr>
                <w:rStyle w:val="11"/>
                <w:rFonts w:hint="eastAsia"/>
              </w:rPr>
              <w:t>1. 本品不可与强碱性药液混用，建议与其他不同作用机制的杀虫剂交替使用，以延缓抗性的产生。2. 蚕室及桑园附近、赤眼蜂等天敌放飞区域禁用。3.禁止在河塘等水体中清洗施药器具。4. 本品对眼睛的刺激性，使用时避免接触眼睛。使用时应穿防护服和戴手套，避免吸入药液。施药期间不可吃东西和饮水，施药后应及时洗手和洗脸。5. 用药后包装物及用过的容器应妥善处理，不可做他用，也不可随意丢弃。6. 孕妇及哺乳期妇女禁止接触本产品。7.避免与具有氧化性物质接触或混合。</w:t>
            </w:r>
          </w:p>
        </w:tc>
      </w:tr>
      <w:tr w14:paraId="5412F8CB">
        <w:tblPrEx>
          <w:tblCellMar>
            <w:top w:w="0" w:type="dxa"/>
            <w:left w:w="0" w:type="dxa"/>
            <w:bottom w:w="0" w:type="dxa"/>
            <w:right w:w="0" w:type="dxa"/>
          </w:tblCellMar>
        </w:tblPrEx>
        <w:trPr>
          <w:wBefore w:w="0" w:type="auto"/>
          <w:tblCellSpacing w:w="0" w:type="dxa"/>
        </w:trPr>
        <w:tc>
          <w:tcPr>
            <w:tcW w:w="0" w:type="auto"/>
            <w:noWrap w:val="0"/>
            <w:vAlign w:val="center"/>
          </w:tcPr>
          <w:p w14:paraId="4EA1C608">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误食：立即停止服用，用清水充分漱口后，立即携带农药标签到医院就诊。</w:t>
            </w:r>
          </w:p>
        </w:tc>
      </w:tr>
      <w:tr w14:paraId="1AE282A1">
        <w:tblPrEx>
          <w:tblCellMar>
            <w:top w:w="0" w:type="dxa"/>
            <w:left w:w="0" w:type="dxa"/>
            <w:bottom w:w="0" w:type="dxa"/>
            <w:right w:w="0" w:type="dxa"/>
          </w:tblCellMar>
        </w:tblPrEx>
        <w:trPr>
          <w:wBefore w:w="0" w:type="auto"/>
          <w:tblCellSpacing w:w="0" w:type="dxa"/>
        </w:trPr>
        <w:tc>
          <w:tcPr>
            <w:tcW w:w="0" w:type="auto"/>
            <w:noWrap w:val="0"/>
            <w:vAlign w:val="center"/>
          </w:tcPr>
          <w:p w14:paraId="5844DE37">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本品应贮存在干燥、阴凉、通风、防雨处，远离火源或热源。置于儿童、无关人员及动物触及不到之处，并加锁保存。勿与食品、饮料、饲料和粮食等其他商品同贮同运。</w:t>
            </w:r>
          </w:p>
        </w:tc>
      </w:tr>
      <w:tr w14:paraId="38B0DD64">
        <w:tblPrEx>
          <w:tblCellMar>
            <w:top w:w="0" w:type="dxa"/>
            <w:left w:w="0" w:type="dxa"/>
            <w:bottom w:w="0" w:type="dxa"/>
            <w:right w:w="0" w:type="dxa"/>
          </w:tblCellMar>
        </w:tblPrEx>
        <w:trPr>
          <w:wBefore w:w="0" w:type="auto"/>
          <w:tblCellSpacing w:w="0" w:type="dxa"/>
        </w:trPr>
        <w:tc>
          <w:tcPr>
            <w:tcW w:w="0" w:type="auto"/>
            <w:noWrap w:val="0"/>
            <w:vAlign w:val="center"/>
          </w:tcPr>
          <w:p w14:paraId="3D62DCF5">
            <w:r>
              <w:rPr>
                <w:rStyle w:val="10"/>
                <w:rFonts w:hint="eastAsia"/>
              </w:rPr>
              <w:t>质量保证期：</w:t>
            </w:r>
            <w:r>
              <w:rPr>
                <w:rStyle w:val="11"/>
                <w:rFonts w:hint="eastAsia"/>
              </w:rPr>
              <w:t>2年</w:t>
            </w:r>
          </w:p>
        </w:tc>
      </w:tr>
      <w:tr w14:paraId="6020CE61">
        <w:tblPrEx>
          <w:tblCellMar>
            <w:top w:w="0" w:type="dxa"/>
            <w:left w:w="0" w:type="dxa"/>
            <w:bottom w:w="0" w:type="dxa"/>
            <w:right w:w="0" w:type="dxa"/>
          </w:tblCellMar>
        </w:tblPrEx>
        <w:trPr>
          <w:wBefore w:w="0" w:type="auto"/>
          <w:tblCellSpacing w:w="0" w:type="dxa"/>
        </w:trPr>
        <w:tc>
          <w:tcPr>
            <w:tcW w:w="0" w:type="auto"/>
            <w:noWrap w:val="0"/>
            <w:vAlign w:val="center"/>
          </w:tcPr>
          <w:p w14:paraId="4D7FC099">
            <w:r>
              <w:rPr>
                <w:rStyle w:val="10"/>
                <w:rFonts w:hint="eastAsia"/>
              </w:rPr>
              <w:t>备注：</w:t>
            </w:r>
          </w:p>
        </w:tc>
      </w:tr>
    </w:tbl>
    <w:p w14:paraId="149E9FE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531A3E6">
        <w:tblPrEx>
          <w:tblCellMar>
            <w:top w:w="0" w:type="dxa"/>
            <w:left w:w="0" w:type="dxa"/>
            <w:bottom w:w="0" w:type="dxa"/>
            <w:right w:w="0" w:type="dxa"/>
          </w:tblCellMar>
        </w:tblPrEx>
        <w:trPr>
          <w:wBefore w:w="0" w:type="auto"/>
          <w:tblCellSpacing w:w="0" w:type="dxa"/>
        </w:trPr>
        <w:tc>
          <w:tcPr>
            <w:tcW w:w="0" w:type="auto"/>
            <w:noWrap w:val="0"/>
            <w:vAlign w:val="center"/>
          </w:tcPr>
          <w:p w14:paraId="360E9413">
            <w:r>
              <w:rPr>
                <w:rStyle w:val="10"/>
                <w:rFonts w:hint="eastAsia"/>
              </w:rPr>
              <w:t>登记证号：</w:t>
            </w:r>
            <w:r>
              <w:rPr>
                <w:rFonts w:hint="eastAsia"/>
              </w:rPr>
              <w:t>PD20211975</w:t>
            </w:r>
          </w:p>
        </w:tc>
      </w:tr>
      <w:tr w14:paraId="5290A76C">
        <w:tblPrEx>
          <w:tblCellMar>
            <w:top w:w="0" w:type="dxa"/>
            <w:left w:w="0" w:type="dxa"/>
            <w:bottom w:w="0" w:type="dxa"/>
            <w:right w:w="0" w:type="dxa"/>
          </w:tblCellMar>
        </w:tblPrEx>
        <w:trPr>
          <w:wBefore w:w="0" w:type="auto"/>
          <w:tblCellSpacing w:w="0" w:type="dxa"/>
        </w:trPr>
        <w:tc>
          <w:tcPr>
            <w:tcW w:w="0" w:type="auto"/>
            <w:noWrap w:val="0"/>
            <w:vAlign w:val="center"/>
          </w:tcPr>
          <w:p w14:paraId="5E4723EE">
            <w:r>
              <w:rPr>
                <w:rStyle w:val="10"/>
                <w:rFonts w:hint="eastAsia"/>
              </w:rPr>
              <w:t>登记证持有人：</w:t>
            </w:r>
            <w:r>
              <w:rPr>
                <w:rFonts w:hint="eastAsia"/>
              </w:rPr>
              <w:t>陕西亿田丰作物科技有限公司</w:t>
            </w:r>
          </w:p>
        </w:tc>
      </w:tr>
      <w:tr w14:paraId="41300466">
        <w:tblPrEx>
          <w:tblCellMar>
            <w:top w:w="0" w:type="dxa"/>
            <w:left w:w="0" w:type="dxa"/>
            <w:bottom w:w="0" w:type="dxa"/>
            <w:right w:w="0" w:type="dxa"/>
          </w:tblCellMar>
        </w:tblPrEx>
        <w:trPr>
          <w:wBefore w:w="0" w:type="auto"/>
          <w:tblCellSpacing w:w="0" w:type="dxa"/>
        </w:trPr>
        <w:tc>
          <w:tcPr>
            <w:tcW w:w="0" w:type="auto"/>
            <w:noWrap w:val="0"/>
            <w:vAlign w:val="center"/>
          </w:tcPr>
          <w:p w14:paraId="2A78D769">
            <w:r>
              <w:rPr>
                <w:rStyle w:val="10"/>
                <w:rFonts w:hint="eastAsia"/>
              </w:rPr>
              <w:t>农药名称：</w:t>
            </w:r>
            <w:r>
              <w:rPr>
                <w:rFonts w:hint="eastAsia"/>
              </w:rPr>
              <w:t>氟吡菌胺·喹啉铜</w:t>
            </w:r>
          </w:p>
        </w:tc>
      </w:tr>
      <w:tr w14:paraId="4402814F">
        <w:tblPrEx>
          <w:tblCellMar>
            <w:top w:w="0" w:type="dxa"/>
            <w:left w:w="0" w:type="dxa"/>
            <w:bottom w:w="0" w:type="dxa"/>
            <w:right w:w="0" w:type="dxa"/>
          </w:tblCellMar>
        </w:tblPrEx>
        <w:trPr>
          <w:wBefore w:w="0" w:type="auto"/>
          <w:tblCellSpacing w:w="0" w:type="dxa"/>
        </w:trPr>
        <w:tc>
          <w:tcPr>
            <w:tcW w:w="0" w:type="auto"/>
            <w:noWrap w:val="0"/>
            <w:vAlign w:val="center"/>
          </w:tcPr>
          <w:p w14:paraId="14DB3A78">
            <w:r>
              <w:rPr>
                <w:rStyle w:val="10"/>
                <w:rFonts w:hint="eastAsia"/>
              </w:rPr>
              <w:t>剂型：</w:t>
            </w:r>
            <w:r>
              <w:rPr>
                <w:rFonts w:hint="eastAsia"/>
              </w:rPr>
              <w:t>悬浮剂</w:t>
            </w:r>
          </w:p>
        </w:tc>
      </w:tr>
      <w:tr w14:paraId="73DDA9D7">
        <w:tblPrEx>
          <w:tblCellMar>
            <w:top w:w="0" w:type="dxa"/>
            <w:left w:w="0" w:type="dxa"/>
            <w:bottom w:w="0" w:type="dxa"/>
            <w:right w:w="0" w:type="dxa"/>
          </w:tblCellMar>
        </w:tblPrEx>
        <w:trPr>
          <w:wBefore w:w="0" w:type="auto"/>
          <w:tblCellSpacing w:w="0" w:type="dxa"/>
        </w:trPr>
        <w:tc>
          <w:tcPr>
            <w:tcW w:w="0" w:type="auto"/>
            <w:noWrap w:val="0"/>
            <w:vAlign w:val="center"/>
          </w:tcPr>
          <w:p w14:paraId="1D383359">
            <w:r>
              <w:rPr>
                <w:rStyle w:val="10"/>
                <w:rFonts w:hint="eastAsia"/>
              </w:rPr>
              <w:t>毒性及其标识：</w:t>
            </w:r>
            <w:r>
              <w:rPr>
                <w:rFonts w:hint="eastAsia"/>
              </w:rPr>
              <w:t xml:space="preserve"> 微毒 </w:t>
            </w:r>
          </w:p>
        </w:tc>
      </w:tr>
      <w:tr w14:paraId="3308BFCF">
        <w:tblPrEx>
          <w:tblCellMar>
            <w:top w:w="0" w:type="dxa"/>
            <w:left w:w="0" w:type="dxa"/>
            <w:bottom w:w="0" w:type="dxa"/>
            <w:right w:w="0" w:type="dxa"/>
          </w:tblCellMar>
        </w:tblPrEx>
        <w:trPr>
          <w:wBefore w:w="0" w:type="auto"/>
          <w:tblCellSpacing w:w="0" w:type="dxa"/>
        </w:trPr>
        <w:tc>
          <w:tcPr>
            <w:tcW w:w="0" w:type="auto"/>
            <w:noWrap w:val="0"/>
            <w:vAlign w:val="center"/>
          </w:tcPr>
          <w:p w14:paraId="64B898FF">
            <w:r>
              <w:rPr>
                <w:rStyle w:val="10"/>
                <w:rFonts w:hint="eastAsia"/>
              </w:rPr>
              <w:t>总有效成分含量：</w:t>
            </w:r>
            <w:r>
              <w:rPr>
                <w:rFonts w:hint="eastAsia"/>
              </w:rPr>
              <w:t>32%</w:t>
            </w:r>
          </w:p>
        </w:tc>
      </w:tr>
      <w:tr w14:paraId="78D34B42">
        <w:tblPrEx>
          <w:tblCellMar>
            <w:top w:w="0" w:type="dxa"/>
            <w:left w:w="0" w:type="dxa"/>
            <w:bottom w:w="0" w:type="dxa"/>
            <w:right w:w="0" w:type="dxa"/>
          </w:tblCellMar>
        </w:tblPrEx>
        <w:trPr>
          <w:wBefore w:w="0" w:type="auto"/>
          <w:tblCellSpacing w:w="0" w:type="dxa"/>
        </w:trPr>
        <w:tc>
          <w:tcPr>
            <w:tcW w:w="0" w:type="auto"/>
            <w:noWrap w:val="0"/>
            <w:vAlign w:val="center"/>
          </w:tcPr>
          <w:p w14:paraId="76E48820">
            <w:r>
              <w:rPr>
                <w:rFonts w:hint="eastAsia"/>
              </w:rPr>
              <w:t xml:space="preserve">有效成分及其含量： </w:t>
            </w:r>
          </w:p>
          <w:p w14:paraId="7CF846E7">
            <w:r>
              <w:rPr>
                <w:rFonts w:hint="eastAsia"/>
              </w:rPr>
              <w:t xml:space="preserve">    喹啉铜24%    氟吡菌胺8%    </w:t>
            </w:r>
          </w:p>
        </w:tc>
      </w:tr>
      <w:tr w14:paraId="6D84AD4A">
        <w:tblPrEx>
          <w:tblCellMar>
            <w:top w:w="0" w:type="dxa"/>
            <w:left w:w="0" w:type="dxa"/>
            <w:bottom w:w="0" w:type="dxa"/>
            <w:right w:w="0" w:type="dxa"/>
          </w:tblCellMar>
        </w:tblPrEx>
        <w:trPr>
          <w:wBefore w:w="0" w:type="auto"/>
          <w:tblCellSpacing w:w="0" w:type="dxa"/>
        </w:trPr>
        <w:tc>
          <w:tcPr>
            <w:tcW w:w="0" w:type="auto"/>
            <w:noWrap w:val="0"/>
            <w:vAlign w:val="center"/>
          </w:tcPr>
          <w:p w14:paraId="2AB5851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D9A60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CB3FD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03D87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D045CB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8F04E1">
                  <w:r>
                    <w:rPr>
                      <w:rStyle w:val="11"/>
                      <w:rFonts w:hint="eastAsia"/>
                    </w:rPr>
                    <w:t>施用方式</w:t>
                  </w:r>
                </w:p>
              </w:tc>
            </w:tr>
            <w:tr w14:paraId="6246B4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DFB4673">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1C7C58">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D9F33A">
                  <w:r>
                    <w:rPr>
                      <w:rStyle w:val="11"/>
                      <w:rFonts w:hint="eastAsia"/>
                    </w:rPr>
                    <w:t>50-58毫升/亩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22289E">
                  <w:r>
                    <w:rPr>
                      <w:rStyle w:val="11"/>
                      <w:rFonts w:hint="eastAsia"/>
                    </w:rPr>
                    <w:t>喷雾</w:t>
                  </w:r>
                </w:p>
              </w:tc>
            </w:tr>
          </w:tbl>
          <w:p w14:paraId="4AC3309E">
            <w:pPr>
              <w:rPr>
                <w:rFonts w:ascii="Times New Roman" w:hAnsi="Times New Roman" w:cs="Times New Roman"/>
                <w:sz w:val="20"/>
                <w:szCs w:val="20"/>
              </w:rPr>
            </w:pPr>
          </w:p>
        </w:tc>
      </w:tr>
      <w:tr w14:paraId="26FAC898">
        <w:tblPrEx>
          <w:tblCellMar>
            <w:top w:w="0" w:type="dxa"/>
            <w:left w:w="0" w:type="dxa"/>
            <w:bottom w:w="0" w:type="dxa"/>
            <w:right w:w="0" w:type="dxa"/>
          </w:tblCellMar>
        </w:tblPrEx>
        <w:trPr>
          <w:wBefore w:w="0" w:type="auto"/>
          <w:tblCellSpacing w:w="0" w:type="dxa"/>
        </w:trPr>
        <w:tc>
          <w:tcPr>
            <w:tcW w:w="0" w:type="auto"/>
            <w:noWrap w:val="0"/>
            <w:vAlign w:val="center"/>
          </w:tcPr>
          <w:p w14:paraId="6FA91EBF">
            <w:r>
              <w:rPr>
                <w:rStyle w:val="10"/>
                <w:rFonts w:hint="eastAsia"/>
              </w:rPr>
              <w:t>使用技术要求:</w:t>
            </w:r>
            <w:r>
              <w:rPr>
                <w:rFonts w:hint="eastAsia"/>
              </w:rPr>
              <w:br w:type="textWrapping"/>
            </w:r>
            <w:r>
              <w:rPr>
                <w:rStyle w:val="11"/>
                <w:rFonts w:hint="eastAsia"/>
              </w:rPr>
              <w:t>1. 黄瓜霜霉病发病前或发病初期施药，施药3次，间隔5-7天。施药时采用叶片均匀喷雾，喷液量以均匀喷湿叶片正反面，药液欲滴未滴为度。2. 大风天或预计1小时内降雨，请勿施药。3. 本品在黄瓜上使用的安全间隔期为3天，每季作物最多使用3次。</w:t>
            </w:r>
          </w:p>
        </w:tc>
      </w:tr>
      <w:tr w14:paraId="5F47F1A9">
        <w:tblPrEx>
          <w:tblCellMar>
            <w:top w:w="0" w:type="dxa"/>
            <w:left w:w="0" w:type="dxa"/>
            <w:bottom w:w="0" w:type="dxa"/>
            <w:right w:w="0" w:type="dxa"/>
          </w:tblCellMar>
        </w:tblPrEx>
        <w:trPr>
          <w:wBefore w:w="0" w:type="auto"/>
          <w:tblCellSpacing w:w="0" w:type="dxa"/>
        </w:trPr>
        <w:tc>
          <w:tcPr>
            <w:tcW w:w="0" w:type="auto"/>
            <w:noWrap w:val="0"/>
            <w:vAlign w:val="center"/>
          </w:tcPr>
          <w:p w14:paraId="6BA0079D">
            <w:r>
              <w:rPr>
                <w:rStyle w:val="10"/>
                <w:rFonts w:hint="eastAsia"/>
              </w:rPr>
              <w:t>产品性能:</w:t>
            </w:r>
            <w:r>
              <w:rPr>
                <w:rFonts w:hint="eastAsia"/>
              </w:rPr>
              <w:br w:type="textWrapping"/>
            </w:r>
            <w:r>
              <w:rPr>
                <w:rStyle w:val="11"/>
                <w:rFonts w:hint="eastAsia"/>
              </w:rPr>
              <w:t>本品是由氟吡菌胺与喹啉铜复配而成的杀菌剂，氟吡菌胺为吡啶酰胺类杀菌剂，对卵菌纲真菌病害有较高的生物活性，具有保护和治疗作用，有较强的渗透性。喹啉铜一种有机铜</w:t>
            </w:r>
            <w:r>
              <w:rPr>
                <w:rStyle w:val="11"/>
                <w:rFonts w:hint="eastAsia"/>
                <w:lang w:eastAsia="zh-CN"/>
              </w:rPr>
              <w:t>螯合</w:t>
            </w:r>
            <w:r>
              <w:rPr>
                <w:rStyle w:val="11"/>
                <w:rFonts w:hint="eastAsia"/>
              </w:rPr>
              <w:t>物，对真菌性病害具有较好的预防和治疗作用。在作物表面形成一层严密的保护膜，抑制病菌萌发和侵入，从而达到防病治病的目的。两者混配后兼具预防、保护和治疗效果，按登记剂量使用时，对黄瓜霜霉病有较好的防治效果，且对黄瓜安全。</w:t>
            </w:r>
          </w:p>
        </w:tc>
      </w:tr>
      <w:tr w14:paraId="07B17A09">
        <w:tblPrEx>
          <w:tblCellMar>
            <w:top w:w="0" w:type="dxa"/>
            <w:left w:w="0" w:type="dxa"/>
            <w:bottom w:w="0" w:type="dxa"/>
            <w:right w:w="0" w:type="dxa"/>
          </w:tblCellMar>
        </w:tblPrEx>
        <w:trPr>
          <w:wBefore w:w="0" w:type="auto"/>
          <w:tblCellSpacing w:w="0" w:type="dxa"/>
        </w:trPr>
        <w:tc>
          <w:tcPr>
            <w:tcW w:w="0" w:type="auto"/>
            <w:noWrap w:val="0"/>
            <w:vAlign w:val="center"/>
          </w:tcPr>
          <w:p w14:paraId="08C2A9EA">
            <w:r>
              <w:rPr>
                <w:rStyle w:val="10"/>
                <w:rFonts w:hint="eastAsia"/>
              </w:rPr>
              <w:t>注意事项：</w:t>
            </w:r>
            <w:r>
              <w:rPr>
                <w:rFonts w:hint="eastAsia"/>
              </w:rPr>
              <w:br w:type="textWrapping"/>
            </w:r>
            <w:r>
              <w:rPr>
                <w:rStyle w:val="11"/>
                <w:rFonts w:hint="eastAsia"/>
              </w:rPr>
              <w:t>1．严格按规定用药量和方法使用。 2．建议与其他作用机制不同的杀菌剂轮换使用，以延缓抗性产生。 3．本品对鱼、水溞有毒，水产养殖区、河塘等水体附近禁用，禁止在河塘等水体中清洗施药器具。 4．对眼睛有中度刺激性，使用本品时应穿戴长衣长裤、护目镜、帽子、口罩、手套、鞋等安全防护措施。施药期间不可吃东西、饮水、吸烟等；施药后应及时洗手、洗脸并洗涤施药时穿着的衣物。 5．用药后包装物及用过的容器应妥善处理，不可做他用，也不可随意丢弃。 6．孕妇及哺乳期妇女禁止接触本品。</w:t>
            </w:r>
          </w:p>
        </w:tc>
      </w:tr>
      <w:tr w14:paraId="69CE990F">
        <w:tblPrEx>
          <w:tblCellMar>
            <w:top w:w="0" w:type="dxa"/>
            <w:left w:w="0" w:type="dxa"/>
            <w:bottom w:w="0" w:type="dxa"/>
            <w:right w:w="0" w:type="dxa"/>
          </w:tblCellMar>
        </w:tblPrEx>
        <w:trPr>
          <w:wBefore w:w="0" w:type="auto"/>
          <w:tblCellSpacing w:w="0" w:type="dxa"/>
        </w:trPr>
        <w:tc>
          <w:tcPr>
            <w:tcW w:w="0" w:type="auto"/>
            <w:noWrap w:val="0"/>
            <w:vAlign w:val="center"/>
          </w:tcPr>
          <w:p w14:paraId="30CBF838">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71FDC3A0">
        <w:tblPrEx>
          <w:tblCellMar>
            <w:top w:w="0" w:type="dxa"/>
            <w:left w:w="0" w:type="dxa"/>
            <w:bottom w:w="0" w:type="dxa"/>
            <w:right w:w="0" w:type="dxa"/>
          </w:tblCellMar>
        </w:tblPrEx>
        <w:trPr>
          <w:wBefore w:w="0" w:type="auto"/>
          <w:tblCellSpacing w:w="0" w:type="dxa"/>
        </w:trPr>
        <w:tc>
          <w:tcPr>
            <w:tcW w:w="0" w:type="auto"/>
            <w:noWrap w:val="0"/>
            <w:vAlign w:val="center"/>
          </w:tcPr>
          <w:p w14:paraId="2E78A83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本品应贮存在干燥、阴凉、通风、防雨处，远离火源或热源。置于儿童、无关人员及动物触及不到之处，并加锁保存。勿与食品、饮料、粮食、饲料等其他商品同贮同运。</w:t>
            </w:r>
          </w:p>
        </w:tc>
      </w:tr>
      <w:tr w14:paraId="168EE28A">
        <w:tblPrEx>
          <w:tblCellMar>
            <w:top w:w="0" w:type="dxa"/>
            <w:left w:w="0" w:type="dxa"/>
            <w:bottom w:w="0" w:type="dxa"/>
            <w:right w:w="0" w:type="dxa"/>
          </w:tblCellMar>
        </w:tblPrEx>
        <w:trPr>
          <w:wBefore w:w="0" w:type="auto"/>
          <w:tblCellSpacing w:w="0" w:type="dxa"/>
        </w:trPr>
        <w:tc>
          <w:tcPr>
            <w:tcW w:w="0" w:type="auto"/>
            <w:noWrap w:val="0"/>
            <w:vAlign w:val="center"/>
          </w:tcPr>
          <w:p w14:paraId="19EA93E7">
            <w:r>
              <w:rPr>
                <w:rStyle w:val="10"/>
                <w:rFonts w:hint="eastAsia"/>
              </w:rPr>
              <w:t>质量保证期：</w:t>
            </w:r>
            <w:r>
              <w:rPr>
                <w:rStyle w:val="11"/>
                <w:rFonts w:hint="eastAsia"/>
              </w:rPr>
              <w:t>2年</w:t>
            </w:r>
          </w:p>
        </w:tc>
      </w:tr>
      <w:tr w14:paraId="4D2397AD">
        <w:tblPrEx>
          <w:tblCellMar>
            <w:top w:w="0" w:type="dxa"/>
            <w:left w:w="0" w:type="dxa"/>
            <w:bottom w:w="0" w:type="dxa"/>
            <w:right w:w="0" w:type="dxa"/>
          </w:tblCellMar>
        </w:tblPrEx>
        <w:trPr>
          <w:wBefore w:w="0" w:type="auto"/>
          <w:tblCellSpacing w:w="0" w:type="dxa"/>
        </w:trPr>
        <w:tc>
          <w:tcPr>
            <w:tcW w:w="0" w:type="auto"/>
            <w:noWrap w:val="0"/>
            <w:vAlign w:val="center"/>
          </w:tcPr>
          <w:p w14:paraId="755AD02A">
            <w:r>
              <w:rPr>
                <w:rStyle w:val="10"/>
                <w:rFonts w:hint="eastAsia"/>
              </w:rPr>
              <w:t>备注：</w:t>
            </w:r>
          </w:p>
        </w:tc>
      </w:tr>
    </w:tbl>
    <w:p w14:paraId="1383D3F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C48A90D">
        <w:tblPrEx>
          <w:tblCellMar>
            <w:top w:w="0" w:type="dxa"/>
            <w:left w:w="0" w:type="dxa"/>
            <w:bottom w:w="0" w:type="dxa"/>
            <w:right w:w="0" w:type="dxa"/>
          </w:tblCellMar>
        </w:tblPrEx>
        <w:trPr>
          <w:wBefore w:w="0" w:type="auto"/>
          <w:tblCellSpacing w:w="0" w:type="dxa"/>
        </w:trPr>
        <w:tc>
          <w:tcPr>
            <w:tcW w:w="0" w:type="auto"/>
            <w:noWrap w:val="0"/>
            <w:vAlign w:val="center"/>
          </w:tcPr>
          <w:p w14:paraId="2FCA133E">
            <w:r>
              <w:rPr>
                <w:rStyle w:val="10"/>
                <w:rFonts w:hint="eastAsia"/>
              </w:rPr>
              <w:t>登记证号：</w:t>
            </w:r>
            <w:r>
              <w:rPr>
                <w:rFonts w:hint="eastAsia"/>
              </w:rPr>
              <w:t>WP20210201</w:t>
            </w:r>
          </w:p>
        </w:tc>
      </w:tr>
      <w:tr w14:paraId="6F6811FC">
        <w:tblPrEx>
          <w:tblCellMar>
            <w:top w:w="0" w:type="dxa"/>
            <w:left w:w="0" w:type="dxa"/>
            <w:bottom w:w="0" w:type="dxa"/>
            <w:right w:w="0" w:type="dxa"/>
          </w:tblCellMar>
        </w:tblPrEx>
        <w:trPr>
          <w:wBefore w:w="0" w:type="auto"/>
          <w:tblCellSpacing w:w="0" w:type="dxa"/>
        </w:trPr>
        <w:tc>
          <w:tcPr>
            <w:tcW w:w="0" w:type="auto"/>
            <w:noWrap w:val="0"/>
            <w:vAlign w:val="center"/>
          </w:tcPr>
          <w:p w14:paraId="6E3DCD78">
            <w:r>
              <w:rPr>
                <w:rStyle w:val="10"/>
                <w:rFonts w:hint="eastAsia"/>
              </w:rPr>
              <w:t>登记证持有人：</w:t>
            </w:r>
            <w:r>
              <w:rPr>
                <w:rFonts w:hint="eastAsia"/>
              </w:rPr>
              <w:t>广西壮族自治区柳州市万友家庭卫生害虫防治所</w:t>
            </w:r>
          </w:p>
        </w:tc>
      </w:tr>
      <w:tr w14:paraId="5E97BBCC">
        <w:tblPrEx>
          <w:tblCellMar>
            <w:top w:w="0" w:type="dxa"/>
            <w:left w:w="0" w:type="dxa"/>
            <w:bottom w:w="0" w:type="dxa"/>
            <w:right w:w="0" w:type="dxa"/>
          </w:tblCellMar>
        </w:tblPrEx>
        <w:trPr>
          <w:wBefore w:w="0" w:type="auto"/>
          <w:tblCellSpacing w:w="0" w:type="dxa"/>
        </w:trPr>
        <w:tc>
          <w:tcPr>
            <w:tcW w:w="0" w:type="auto"/>
            <w:noWrap w:val="0"/>
            <w:vAlign w:val="center"/>
          </w:tcPr>
          <w:p w14:paraId="5E70B8C4">
            <w:r>
              <w:rPr>
                <w:rStyle w:val="10"/>
                <w:rFonts w:hint="eastAsia"/>
              </w:rPr>
              <w:t>农药名称：</w:t>
            </w:r>
            <w:r>
              <w:rPr>
                <w:rFonts w:hint="eastAsia"/>
              </w:rPr>
              <w:t>电热蚊香液</w:t>
            </w:r>
          </w:p>
        </w:tc>
      </w:tr>
      <w:tr w14:paraId="30279BBE">
        <w:tblPrEx>
          <w:tblCellMar>
            <w:top w:w="0" w:type="dxa"/>
            <w:left w:w="0" w:type="dxa"/>
            <w:bottom w:w="0" w:type="dxa"/>
            <w:right w:w="0" w:type="dxa"/>
          </w:tblCellMar>
        </w:tblPrEx>
        <w:trPr>
          <w:wBefore w:w="0" w:type="auto"/>
          <w:tblCellSpacing w:w="0" w:type="dxa"/>
        </w:trPr>
        <w:tc>
          <w:tcPr>
            <w:tcW w:w="0" w:type="auto"/>
            <w:noWrap w:val="0"/>
            <w:vAlign w:val="center"/>
          </w:tcPr>
          <w:p w14:paraId="29005958">
            <w:r>
              <w:rPr>
                <w:rStyle w:val="10"/>
                <w:rFonts w:hint="eastAsia"/>
              </w:rPr>
              <w:t>剂型：</w:t>
            </w:r>
            <w:r>
              <w:rPr>
                <w:rFonts w:hint="eastAsia"/>
              </w:rPr>
              <w:t>电热蚊香液</w:t>
            </w:r>
          </w:p>
        </w:tc>
      </w:tr>
      <w:tr w14:paraId="2AB1F4D9">
        <w:tblPrEx>
          <w:tblCellMar>
            <w:top w:w="0" w:type="dxa"/>
            <w:left w:w="0" w:type="dxa"/>
            <w:bottom w:w="0" w:type="dxa"/>
            <w:right w:w="0" w:type="dxa"/>
          </w:tblCellMar>
        </w:tblPrEx>
        <w:trPr>
          <w:wBefore w:w="0" w:type="auto"/>
          <w:tblCellSpacing w:w="0" w:type="dxa"/>
        </w:trPr>
        <w:tc>
          <w:tcPr>
            <w:tcW w:w="0" w:type="auto"/>
            <w:noWrap w:val="0"/>
            <w:vAlign w:val="center"/>
          </w:tcPr>
          <w:p w14:paraId="7B4B0728">
            <w:r>
              <w:rPr>
                <w:rStyle w:val="10"/>
                <w:rFonts w:hint="eastAsia"/>
              </w:rPr>
              <w:t>毒性及其标识：</w:t>
            </w:r>
            <w:r>
              <w:rPr>
                <w:rFonts w:hint="eastAsia"/>
              </w:rPr>
              <w:t xml:space="preserve"> 微毒 </w:t>
            </w:r>
          </w:p>
        </w:tc>
      </w:tr>
      <w:tr w14:paraId="247AFB42">
        <w:tblPrEx>
          <w:tblCellMar>
            <w:top w:w="0" w:type="dxa"/>
            <w:left w:w="0" w:type="dxa"/>
            <w:bottom w:w="0" w:type="dxa"/>
            <w:right w:w="0" w:type="dxa"/>
          </w:tblCellMar>
        </w:tblPrEx>
        <w:trPr>
          <w:wBefore w:w="0" w:type="auto"/>
          <w:tblCellSpacing w:w="0" w:type="dxa"/>
        </w:trPr>
        <w:tc>
          <w:tcPr>
            <w:tcW w:w="0" w:type="auto"/>
            <w:noWrap w:val="0"/>
            <w:vAlign w:val="center"/>
          </w:tcPr>
          <w:p w14:paraId="4D44760A">
            <w:r>
              <w:rPr>
                <w:rStyle w:val="10"/>
                <w:rFonts w:hint="eastAsia"/>
              </w:rPr>
              <w:t>总有效成分含量：</w:t>
            </w:r>
            <w:r>
              <w:rPr>
                <w:rFonts w:hint="eastAsia"/>
              </w:rPr>
              <w:t>0.8%</w:t>
            </w:r>
          </w:p>
        </w:tc>
      </w:tr>
      <w:tr w14:paraId="66929D85">
        <w:tblPrEx>
          <w:tblCellMar>
            <w:top w:w="0" w:type="dxa"/>
            <w:left w:w="0" w:type="dxa"/>
            <w:bottom w:w="0" w:type="dxa"/>
            <w:right w:w="0" w:type="dxa"/>
          </w:tblCellMar>
        </w:tblPrEx>
        <w:trPr>
          <w:wBefore w:w="0" w:type="auto"/>
          <w:tblCellSpacing w:w="0" w:type="dxa"/>
        </w:trPr>
        <w:tc>
          <w:tcPr>
            <w:tcW w:w="0" w:type="auto"/>
            <w:noWrap w:val="0"/>
            <w:vAlign w:val="center"/>
          </w:tcPr>
          <w:p w14:paraId="1AA2389B">
            <w:r>
              <w:rPr>
                <w:rFonts w:hint="eastAsia"/>
              </w:rPr>
              <w:t xml:space="preserve">有效成分及其含量： </w:t>
            </w:r>
          </w:p>
          <w:p w14:paraId="589D2FD6">
            <w:r>
              <w:rPr>
                <w:rFonts w:hint="eastAsia"/>
              </w:rPr>
              <w:t xml:space="preserve">    氯氟醚菊酯0.8%    </w:t>
            </w:r>
          </w:p>
        </w:tc>
      </w:tr>
      <w:tr w14:paraId="0497008B">
        <w:tblPrEx>
          <w:tblCellMar>
            <w:top w:w="0" w:type="dxa"/>
            <w:left w:w="0" w:type="dxa"/>
            <w:bottom w:w="0" w:type="dxa"/>
            <w:right w:w="0" w:type="dxa"/>
          </w:tblCellMar>
        </w:tblPrEx>
        <w:trPr>
          <w:wBefore w:w="0" w:type="auto"/>
          <w:tblCellSpacing w:w="0" w:type="dxa"/>
        </w:trPr>
        <w:tc>
          <w:tcPr>
            <w:tcW w:w="0" w:type="auto"/>
            <w:noWrap w:val="0"/>
            <w:vAlign w:val="center"/>
          </w:tcPr>
          <w:p w14:paraId="06C08D7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7999F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B18907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336845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D884E8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999DF37">
                  <w:r>
                    <w:rPr>
                      <w:rStyle w:val="11"/>
                      <w:rFonts w:hint="eastAsia"/>
                    </w:rPr>
                    <w:t>施用方式</w:t>
                  </w:r>
                </w:p>
              </w:tc>
            </w:tr>
            <w:tr w14:paraId="2A002C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AE6139">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CB526F">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C619AB">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608E1B">
                  <w:r>
                    <w:rPr>
                      <w:rStyle w:val="11"/>
                      <w:rFonts w:hint="eastAsia"/>
                    </w:rPr>
                    <w:t>电热加温</w:t>
                  </w:r>
                </w:p>
              </w:tc>
            </w:tr>
          </w:tbl>
          <w:p w14:paraId="59C994C3">
            <w:pPr>
              <w:rPr>
                <w:rFonts w:ascii="Times New Roman" w:hAnsi="Times New Roman" w:cs="Times New Roman"/>
                <w:sz w:val="20"/>
                <w:szCs w:val="20"/>
              </w:rPr>
            </w:pPr>
          </w:p>
        </w:tc>
      </w:tr>
      <w:tr w14:paraId="79D3CCE3">
        <w:tblPrEx>
          <w:tblCellMar>
            <w:top w:w="0" w:type="dxa"/>
            <w:left w:w="0" w:type="dxa"/>
            <w:bottom w:w="0" w:type="dxa"/>
            <w:right w:w="0" w:type="dxa"/>
          </w:tblCellMar>
        </w:tblPrEx>
        <w:trPr>
          <w:wBefore w:w="0" w:type="auto"/>
          <w:tblCellSpacing w:w="0" w:type="dxa"/>
        </w:trPr>
        <w:tc>
          <w:tcPr>
            <w:tcW w:w="0" w:type="auto"/>
            <w:noWrap w:val="0"/>
            <w:vAlign w:val="center"/>
          </w:tcPr>
          <w:p w14:paraId="0F31FFA7">
            <w:r>
              <w:rPr>
                <w:rStyle w:val="10"/>
                <w:rFonts w:hint="eastAsia"/>
              </w:rPr>
              <w:t>使用技术要求:</w:t>
            </w:r>
            <w:r>
              <w:rPr>
                <w:rFonts w:hint="eastAsia"/>
              </w:rPr>
              <w:br w:type="textWrapping"/>
            </w:r>
            <w:r>
              <w:rPr>
                <w:rStyle w:val="11"/>
                <w:rFonts w:hint="eastAsia"/>
              </w:rPr>
              <w:t>1. 取出药液瓶，旋开药瓶盖，慢慢向上取出，请勿碰芯棒，一手持蚊香器，一手拿住药液瓶，把瓶口对准蚊香器内螺纹旋紧，并检查芯棒是否居中；2. 接通电源，拨通开关，指示灯亮，表示蚊香器开始工作；3. 使用时请将蚊香器置于风口处，以充分发挥其驱蚊效果；4. 通过透明窗，可以随时了解药液的消耗情况；5. 药液用完后，请先切断电源，再更换一瓶新的药液；6. 无论使用墙壁插座或拖线板，请始终保持药液瓶竖直向上，防止药液渗漏引起事故。</w:t>
            </w:r>
          </w:p>
        </w:tc>
      </w:tr>
      <w:tr w14:paraId="30F405C7">
        <w:tblPrEx>
          <w:tblCellMar>
            <w:top w:w="0" w:type="dxa"/>
            <w:left w:w="0" w:type="dxa"/>
            <w:bottom w:w="0" w:type="dxa"/>
            <w:right w:w="0" w:type="dxa"/>
          </w:tblCellMar>
        </w:tblPrEx>
        <w:trPr>
          <w:wBefore w:w="0" w:type="auto"/>
          <w:tblCellSpacing w:w="0" w:type="dxa"/>
        </w:trPr>
        <w:tc>
          <w:tcPr>
            <w:tcW w:w="0" w:type="auto"/>
            <w:noWrap w:val="0"/>
            <w:vAlign w:val="center"/>
          </w:tcPr>
          <w:p w14:paraId="09C1E2CE">
            <w:r>
              <w:rPr>
                <w:rStyle w:val="10"/>
                <w:rFonts w:hint="eastAsia"/>
              </w:rPr>
              <w:t>产品性能:</w:t>
            </w:r>
            <w:r>
              <w:rPr>
                <w:rFonts w:hint="eastAsia"/>
              </w:rPr>
              <w:br w:type="textWrapping"/>
            </w:r>
            <w:r>
              <w:rPr>
                <w:rStyle w:val="11"/>
                <w:rFonts w:hint="eastAsia"/>
              </w:rPr>
              <w:t>本品选用拟除虫菊酯类药剂为有效成分配制而成，通电后，可均匀散发药液，累计有效驱蚊时间可达60日以上（每晚8小时计），使用方便适用于家庭、宾馆、办公室、饭店等室内场所。</w:t>
            </w:r>
          </w:p>
        </w:tc>
      </w:tr>
      <w:tr w14:paraId="3F6232E8">
        <w:tblPrEx>
          <w:tblCellMar>
            <w:top w:w="0" w:type="dxa"/>
            <w:left w:w="0" w:type="dxa"/>
            <w:bottom w:w="0" w:type="dxa"/>
            <w:right w:w="0" w:type="dxa"/>
          </w:tblCellMar>
        </w:tblPrEx>
        <w:trPr>
          <w:wBefore w:w="0" w:type="auto"/>
          <w:tblCellSpacing w:w="0" w:type="dxa"/>
        </w:trPr>
        <w:tc>
          <w:tcPr>
            <w:tcW w:w="0" w:type="auto"/>
            <w:noWrap w:val="0"/>
            <w:vAlign w:val="center"/>
          </w:tcPr>
          <w:p w14:paraId="1F807A7C">
            <w:r>
              <w:rPr>
                <w:rStyle w:val="10"/>
                <w:rFonts w:hint="eastAsia"/>
              </w:rPr>
              <w:t>注意事项：</w:t>
            </w:r>
            <w:r>
              <w:rPr>
                <w:rFonts w:hint="eastAsia"/>
              </w:rPr>
              <w:br w:type="textWrapping"/>
            </w:r>
            <w:r>
              <w:rPr>
                <w:rStyle w:val="11"/>
                <w:rFonts w:hint="eastAsia"/>
              </w:rPr>
              <w:t>1. 仅限室内使用，使用前请仔细阅读使用方法及注意事项。2. 开启门窗使用时，请将加热器置于上风口。3. 请勿将电热蚊香液加热器置于运转的电风扇前。4. 使用时应放在儿童接触不到的地方。5. 电热蚊香液应远离火源，若长期不使用时，请将药液瓶从加热器中取出，加盖密封后置于低温阴暗处保存。使用时注意用电及防加盖密封后置于低温阴暗处保存。使用时注意用电及防火安全。6. 避免与皮肤、眼睛接触、勿与食物一起存放。7. 用后洗手。过敏者禁用。使用中有任何不良反应请及时就医。8. 对鱼、蚕有毒，蚕室、桑园、鱼塘及其附近禁用。9. 避免误服，使用中有任何不良反应立即携标签到医院就医对症治疗。</w:t>
            </w:r>
          </w:p>
        </w:tc>
      </w:tr>
      <w:tr w14:paraId="5CE375AE">
        <w:tblPrEx>
          <w:tblCellMar>
            <w:top w:w="0" w:type="dxa"/>
            <w:left w:w="0" w:type="dxa"/>
            <w:bottom w:w="0" w:type="dxa"/>
            <w:right w:w="0" w:type="dxa"/>
          </w:tblCellMar>
        </w:tblPrEx>
        <w:trPr>
          <w:wBefore w:w="0" w:type="auto"/>
          <w:tblCellSpacing w:w="0" w:type="dxa"/>
        </w:trPr>
        <w:tc>
          <w:tcPr>
            <w:tcW w:w="0" w:type="auto"/>
            <w:noWrap w:val="0"/>
            <w:vAlign w:val="center"/>
          </w:tcPr>
          <w:p w14:paraId="75D80AB9">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使用中或使用后如果感觉不适，应立即停止工作，采取急救措施，并携带标签送医院就诊。若皮肤、眼睛接触到应用大量清水冲洗至少十五分钟并就医，若误食应立即到医院对症治疗。</w:t>
            </w:r>
          </w:p>
        </w:tc>
      </w:tr>
      <w:tr w14:paraId="482E159D">
        <w:tblPrEx>
          <w:tblCellMar>
            <w:top w:w="0" w:type="dxa"/>
            <w:left w:w="0" w:type="dxa"/>
            <w:bottom w:w="0" w:type="dxa"/>
            <w:right w:w="0" w:type="dxa"/>
          </w:tblCellMar>
        </w:tblPrEx>
        <w:trPr>
          <w:wBefore w:w="0" w:type="auto"/>
          <w:tblCellSpacing w:w="0" w:type="dxa"/>
        </w:trPr>
        <w:tc>
          <w:tcPr>
            <w:tcW w:w="0" w:type="auto"/>
            <w:noWrap w:val="0"/>
            <w:vAlign w:val="center"/>
          </w:tcPr>
          <w:p w14:paraId="356523B1">
            <w:r>
              <w:rPr>
                <w:rStyle w:val="10"/>
                <w:rFonts w:hint="eastAsia"/>
              </w:rPr>
              <w:t>储存和运输方法：</w:t>
            </w:r>
            <w:r>
              <w:rPr>
                <w:rFonts w:hint="eastAsia"/>
              </w:rPr>
              <w:br w:type="textWrapping"/>
            </w:r>
            <w:r>
              <w:rPr>
                <w:rStyle w:val="11"/>
                <w:rFonts w:hint="eastAsia"/>
              </w:rPr>
              <w:t>本品易应贮存在干燥、阴凉、通风、防雨处，远离火源或热源。置于儿童触及不到之处，并加锁。勿与食品、饮料、饲料、粮食等其他商品同贮同运。</w:t>
            </w:r>
          </w:p>
        </w:tc>
      </w:tr>
      <w:tr w14:paraId="30E6B2BD">
        <w:tblPrEx>
          <w:tblCellMar>
            <w:top w:w="0" w:type="dxa"/>
            <w:left w:w="0" w:type="dxa"/>
            <w:bottom w:w="0" w:type="dxa"/>
            <w:right w:w="0" w:type="dxa"/>
          </w:tblCellMar>
        </w:tblPrEx>
        <w:trPr>
          <w:wBefore w:w="0" w:type="auto"/>
          <w:tblCellSpacing w:w="0" w:type="dxa"/>
        </w:trPr>
        <w:tc>
          <w:tcPr>
            <w:tcW w:w="0" w:type="auto"/>
            <w:noWrap w:val="0"/>
            <w:vAlign w:val="center"/>
          </w:tcPr>
          <w:p w14:paraId="14B08B6C">
            <w:r>
              <w:rPr>
                <w:rStyle w:val="10"/>
                <w:rFonts w:hint="eastAsia"/>
              </w:rPr>
              <w:t>质量保证期：</w:t>
            </w:r>
            <w:r>
              <w:rPr>
                <w:rStyle w:val="11"/>
                <w:rFonts w:hint="eastAsia"/>
              </w:rPr>
              <w:t>2年</w:t>
            </w:r>
          </w:p>
        </w:tc>
      </w:tr>
      <w:tr w14:paraId="2AEDADB9">
        <w:tblPrEx>
          <w:tblCellMar>
            <w:top w:w="0" w:type="dxa"/>
            <w:left w:w="0" w:type="dxa"/>
            <w:bottom w:w="0" w:type="dxa"/>
            <w:right w:w="0" w:type="dxa"/>
          </w:tblCellMar>
        </w:tblPrEx>
        <w:trPr>
          <w:wBefore w:w="0" w:type="auto"/>
          <w:tblCellSpacing w:w="0" w:type="dxa"/>
        </w:trPr>
        <w:tc>
          <w:tcPr>
            <w:tcW w:w="0" w:type="auto"/>
            <w:noWrap w:val="0"/>
            <w:vAlign w:val="center"/>
          </w:tcPr>
          <w:p w14:paraId="5A4C91CA">
            <w:r>
              <w:rPr>
                <w:rStyle w:val="10"/>
                <w:rFonts w:hint="eastAsia"/>
              </w:rPr>
              <w:t>备注：</w:t>
            </w:r>
          </w:p>
        </w:tc>
      </w:tr>
    </w:tbl>
    <w:p w14:paraId="1CEADA7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59394EF">
        <w:tblPrEx>
          <w:tblCellMar>
            <w:top w:w="0" w:type="dxa"/>
            <w:left w:w="0" w:type="dxa"/>
            <w:bottom w:w="0" w:type="dxa"/>
            <w:right w:w="0" w:type="dxa"/>
          </w:tblCellMar>
        </w:tblPrEx>
        <w:trPr>
          <w:wBefore w:w="0" w:type="auto"/>
          <w:tblCellSpacing w:w="0" w:type="dxa"/>
        </w:trPr>
        <w:tc>
          <w:tcPr>
            <w:tcW w:w="0" w:type="auto"/>
            <w:noWrap w:val="0"/>
            <w:vAlign w:val="center"/>
          </w:tcPr>
          <w:p w14:paraId="5024178C">
            <w:r>
              <w:rPr>
                <w:rStyle w:val="10"/>
                <w:rFonts w:hint="eastAsia"/>
              </w:rPr>
              <w:t>登记证号：</w:t>
            </w:r>
            <w:r>
              <w:rPr>
                <w:rFonts w:hint="eastAsia"/>
              </w:rPr>
              <w:t>PD20211970</w:t>
            </w:r>
          </w:p>
        </w:tc>
      </w:tr>
      <w:tr w14:paraId="4B1B4ED5">
        <w:tblPrEx>
          <w:tblCellMar>
            <w:top w:w="0" w:type="dxa"/>
            <w:left w:w="0" w:type="dxa"/>
            <w:bottom w:w="0" w:type="dxa"/>
            <w:right w:w="0" w:type="dxa"/>
          </w:tblCellMar>
        </w:tblPrEx>
        <w:trPr>
          <w:wBefore w:w="0" w:type="auto"/>
          <w:tblCellSpacing w:w="0" w:type="dxa"/>
        </w:trPr>
        <w:tc>
          <w:tcPr>
            <w:tcW w:w="0" w:type="auto"/>
            <w:noWrap w:val="0"/>
            <w:vAlign w:val="center"/>
          </w:tcPr>
          <w:p w14:paraId="789B9264">
            <w:r>
              <w:rPr>
                <w:rStyle w:val="10"/>
                <w:rFonts w:hint="eastAsia"/>
              </w:rPr>
              <w:t>登记证持有人：</w:t>
            </w:r>
            <w:r>
              <w:rPr>
                <w:rFonts w:hint="eastAsia"/>
              </w:rPr>
              <w:t>四川百事东旺生物科技有限公司</w:t>
            </w:r>
          </w:p>
        </w:tc>
      </w:tr>
      <w:tr w14:paraId="3783D257">
        <w:tblPrEx>
          <w:tblCellMar>
            <w:top w:w="0" w:type="dxa"/>
            <w:left w:w="0" w:type="dxa"/>
            <w:bottom w:w="0" w:type="dxa"/>
            <w:right w:w="0" w:type="dxa"/>
          </w:tblCellMar>
        </w:tblPrEx>
        <w:trPr>
          <w:wBefore w:w="0" w:type="auto"/>
          <w:tblCellSpacing w:w="0" w:type="dxa"/>
        </w:trPr>
        <w:tc>
          <w:tcPr>
            <w:tcW w:w="0" w:type="auto"/>
            <w:noWrap w:val="0"/>
            <w:vAlign w:val="center"/>
          </w:tcPr>
          <w:p w14:paraId="64171CF0">
            <w:r>
              <w:rPr>
                <w:rStyle w:val="10"/>
                <w:rFonts w:hint="eastAsia"/>
              </w:rPr>
              <w:t>农药名称：</w:t>
            </w:r>
            <w:r>
              <w:rPr>
                <w:rFonts w:hint="eastAsia"/>
              </w:rPr>
              <w:t>氢铜·王铜</w:t>
            </w:r>
          </w:p>
        </w:tc>
      </w:tr>
      <w:tr w14:paraId="700D91A9">
        <w:tblPrEx>
          <w:tblCellMar>
            <w:top w:w="0" w:type="dxa"/>
            <w:left w:w="0" w:type="dxa"/>
            <w:bottom w:w="0" w:type="dxa"/>
            <w:right w:w="0" w:type="dxa"/>
          </w:tblCellMar>
        </w:tblPrEx>
        <w:trPr>
          <w:wBefore w:w="0" w:type="auto"/>
          <w:tblCellSpacing w:w="0" w:type="dxa"/>
        </w:trPr>
        <w:tc>
          <w:tcPr>
            <w:tcW w:w="0" w:type="auto"/>
            <w:noWrap w:val="0"/>
            <w:vAlign w:val="center"/>
          </w:tcPr>
          <w:p w14:paraId="01422F38">
            <w:r>
              <w:rPr>
                <w:rStyle w:val="10"/>
                <w:rFonts w:hint="eastAsia"/>
              </w:rPr>
              <w:t>剂型：</w:t>
            </w:r>
            <w:r>
              <w:rPr>
                <w:rFonts w:hint="eastAsia"/>
              </w:rPr>
              <w:t>悬浮剂</w:t>
            </w:r>
          </w:p>
        </w:tc>
      </w:tr>
      <w:tr w14:paraId="7E40F3AC">
        <w:tblPrEx>
          <w:tblCellMar>
            <w:top w:w="0" w:type="dxa"/>
            <w:left w:w="0" w:type="dxa"/>
            <w:bottom w:w="0" w:type="dxa"/>
            <w:right w:w="0" w:type="dxa"/>
          </w:tblCellMar>
        </w:tblPrEx>
        <w:trPr>
          <w:wBefore w:w="0" w:type="auto"/>
          <w:tblCellSpacing w:w="0" w:type="dxa"/>
        </w:trPr>
        <w:tc>
          <w:tcPr>
            <w:tcW w:w="0" w:type="auto"/>
            <w:noWrap w:val="0"/>
            <w:vAlign w:val="center"/>
          </w:tcPr>
          <w:p w14:paraId="466805F5">
            <w:r>
              <w:rPr>
                <w:rStyle w:val="10"/>
                <w:rFonts w:hint="eastAsia"/>
              </w:rPr>
              <w:t>毒性及其标识：</w:t>
            </w:r>
            <w:r>
              <w:rPr>
                <w:rFonts w:hint="eastAsia"/>
              </w:rPr>
              <w:t xml:space="preserve"> </w:t>
            </w:r>
            <w:r>
              <w:rPr>
                <w:lang/>
              </w:rPr>
              <w:drawing>
                <wp:inline distT="0" distB="0" distL="114300" distR="114300">
                  <wp:extent cx="476250" cy="323850"/>
                  <wp:effectExtent l="0" t="0" r="0" b="0"/>
                  <wp:docPr id="190" name="图片 19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F82E622">
        <w:tblPrEx>
          <w:tblCellMar>
            <w:top w:w="0" w:type="dxa"/>
            <w:left w:w="0" w:type="dxa"/>
            <w:bottom w:w="0" w:type="dxa"/>
            <w:right w:w="0" w:type="dxa"/>
          </w:tblCellMar>
        </w:tblPrEx>
        <w:trPr>
          <w:wBefore w:w="0" w:type="auto"/>
          <w:tblCellSpacing w:w="0" w:type="dxa"/>
        </w:trPr>
        <w:tc>
          <w:tcPr>
            <w:tcW w:w="0" w:type="auto"/>
            <w:noWrap w:val="0"/>
            <w:vAlign w:val="center"/>
          </w:tcPr>
          <w:p w14:paraId="5EB9012B">
            <w:r>
              <w:rPr>
                <w:rStyle w:val="10"/>
                <w:rFonts w:hint="eastAsia"/>
              </w:rPr>
              <w:t>总有效成分含量：</w:t>
            </w:r>
            <w:r>
              <w:rPr>
                <w:rFonts w:hint="eastAsia"/>
              </w:rPr>
              <w:t>34%</w:t>
            </w:r>
          </w:p>
        </w:tc>
      </w:tr>
      <w:tr w14:paraId="32BE8E84">
        <w:tblPrEx>
          <w:tblCellMar>
            <w:top w:w="0" w:type="dxa"/>
            <w:left w:w="0" w:type="dxa"/>
            <w:bottom w:w="0" w:type="dxa"/>
            <w:right w:w="0" w:type="dxa"/>
          </w:tblCellMar>
        </w:tblPrEx>
        <w:trPr>
          <w:wBefore w:w="0" w:type="auto"/>
          <w:tblCellSpacing w:w="0" w:type="dxa"/>
        </w:trPr>
        <w:tc>
          <w:tcPr>
            <w:tcW w:w="0" w:type="auto"/>
            <w:noWrap w:val="0"/>
            <w:vAlign w:val="center"/>
          </w:tcPr>
          <w:p w14:paraId="228E84F6">
            <w:r>
              <w:rPr>
                <w:rFonts w:hint="eastAsia"/>
              </w:rPr>
              <w:t xml:space="preserve">有效成分及其含量： </w:t>
            </w:r>
          </w:p>
          <w:p w14:paraId="47E8BD52">
            <w:r>
              <w:rPr>
                <w:rFonts w:hint="eastAsia"/>
              </w:rPr>
              <w:t xml:space="preserve">    氢氧化铜16.5%    王铜17.5%    </w:t>
            </w:r>
          </w:p>
        </w:tc>
      </w:tr>
      <w:tr w14:paraId="4F8938A8">
        <w:tblPrEx>
          <w:tblCellMar>
            <w:top w:w="0" w:type="dxa"/>
            <w:left w:w="0" w:type="dxa"/>
            <w:bottom w:w="0" w:type="dxa"/>
            <w:right w:w="0" w:type="dxa"/>
          </w:tblCellMar>
        </w:tblPrEx>
        <w:trPr>
          <w:wBefore w:w="0" w:type="auto"/>
          <w:tblCellSpacing w:w="0" w:type="dxa"/>
        </w:trPr>
        <w:tc>
          <w:tcPr>
            <w:tcW w:w="0" w:type="auto"/>
            <w:noWrap w:val="0"/>
            <w:vAlign w:val="center"/>
          </w:tcPr>
          <w:p w14:paraId="624E768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A9DC6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F593A9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CF6302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3F389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5C6DB6">
                  <w:r>
                    <w:rPr>
                      <w:rStyle w:val="11"/>
                      <w:rFonts w:hint="eastAsia"/>
                    </w:rPr>
                    <w:t>施用方式</w:t>
                  </w:r>
                </w:p>
              </w:tc>
            </w:tr>
            <w:tr w14:paraId="6C523A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D9B433D">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392C65">
                  <w:r>
                    <w:rPr>
                      <w:rStyle w:val="11"/>
                      <w:rFonts w:hint="eastAsia"/>
                    </w:rPr>
                    <w:t>细菌性角斑病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983770">
                  <w:r>
                    <w:rPr>
                      <w:rStyle w:val="11"/>
                      <w:rFonts w:hint="eastAsia"/>
                    </w:rPr>
                    <w:t>60-100毫升/亩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0E7BF1">
                  <w:r>
                    <w:rPr>
                      <w:rStyle w:val="11"/>
                      <w:rFonts w:hint="eastAsia"/>
                    </w:rPr>
                    <w:t>喷雾</w:t>
                  </w:r>
                </w:p>
              </w:tc>
            </w:tr>
          </w:tbl>
          <w:p w14:paraId="3C4CB937">
            <w:pPr>
              <w:rPr>
                <w:rFonts w:ascii="Times New Roman" w:hAnsi="Times New Roman" w:cs="Times New Roman"/>
                <w:sz w:val="20"/>
                <w:szCs w:val="20"/>
              </w:rPr>
            </w:pPr>
          </w:p>
        </w:tc>
      </w:tr>
      <w:tr w14:paraId="745DA49E">
        <w:tblPrEx>
          <w:tblCellMar>
            <w:top w:w="0" w:type="dxa"/>
            <w:left w:w="0" w:type="dxa"/>
            <w:bottom w:w="0" w:type="dxa"/>
            <w:right w:w="0" w:type="dxa"/>
          </w:tblCellMar>
        </w:tblPrEx>
        <w:trPr>
          <w:wBefore w:w="0" w:type="auto"/>
          <w:tblCellSpacing w:w="0" w:type="dxa"/>
        </w:trPr>
        <w:tc>
          <w:tcPr>
            <w:tcW w:w="0" w:type="auto"/>
            <w:noWrap w:val="0"/>
            <w:vAlign w:val="center"/>
          </w:tcPr>
          <w:p w14:paraId="453739B9">
            <w:r>
              <w:rPr>
                <w:rStyle w:val="10"/>
                <w:rFonts w:hint="eastAsia"/>
              </w:rPr>
              <w:t>使用技术要求:</w:t>
            </w:r>
            <w:r>
              <w:rPr>
                <w:rFonts w:hint="eastAsia"/>
              </w:rPr>
              <w:br w:type="textWrapping"/>
            </w:r>
            <w:r>
              <w:rPr>
                <w:rStyle w:val="11"/>
                <w:rFonts w:hint="eastAsia"/>
              </w:rPr>
              <w:t>1.在病害发生前或初期施药一次，第一次药后7-10天第二次施药。2. 大风天或预计1小时内降雨，请勿施药。3、本品在黄瓜上使用的安全间隔期：3天，每季作物最多施药2次。</w:t>
            </w:r>
          </w:p>
        </w:tc>
      </w:tr>
      <w:tr w14:paraId="28E7DFC7">
        <w:tblPrEx>
          <w:tblCellMar>
            <w:top w:w="0" w:type="dxa"/>
            <w:left w:w="0" w:type="dxa"/>
            <w:bottom w:w="0" w:type="dxa"/>
            <w:right w:w="0" w:type="dxa"/>
          </w:tblCellMar>
        </w:tblPrEx>
        <w:trPr>
          <w:wBefore w:w="0" w:type="auto"/>
          <w:tblCellSpacing w:w="0" w:type="dxa"/>
        </w:trPr>
        <w:tc>
          <w:tcPr>
            <w:tcW w:w="0" w:type="auto"/>
            <w:noWrap w:val="0"/>
            <w:vAlign w:val="center"/>
          </w:tcPr>
          <w:p w14:paraId="42D579A2">
            <w:r>
              <w:rPr>
                <w:rStyle w:val="10"/>
                <w:rFonts w:hint="eastAsia"/>
              </w:rPr>
              <w:t>产品性能:</w:t>
            </w:r>
            <w:r>
              <w:rPr>
                <w:rFonts w:hint="eastAsia"/>
              </w:rPr>
              <w:br w:type="textWrapping"/>
            </w:r>
            <w:r>
              <w:rPr>
                <w:rStyle w:val="11"/>
                <w:rFonts w:hint="eastAsia"/>
              </w:rPr>
              <w:t>本品是由氢氧化铜和王铜两种铜剂复配而成的新型铜制剂杀菌剂，能够快速稳定释放铜离子，迅速杀灭病菌，同时延长产品持效期，大大提高铜制剂对作物的安全性。本品采用特有制剂加工技术，有效成分在植物表面形成有效保护层，提高药效和耐雨水冲刷。</w:t>
            </w:r>
          </w:p>
        </w:tc>
      </w:tr>
      <w:tr w14:paraId="6FC0BE0B">
        <w:tblPrEx>
          <w:tblCellMar>
            <w:top w:w="0" w:type="dxa"/>
            <w:left w:w="0" w:type="dxa"/>
            <w:bottom w:w="0" w:type="dxa"/>
            <w:right w:w="0" w:type="dxa"/>
          </w:tblCellMar>
        </w:tblPrEx>
        <w:trPr>
          <w:wBefore w:w="0" w:type="auto"/>
          <w:tblCellSpacing w:w="0" w:type="dxa"/>
        </w:trPr>
        <w:tc>
          <w:tcPr>
            <w:tcW w:w="0" w:type="auto"/>
            <w:noWrap w:val="0"/>
            <w:vAlign w:val="center"/>
          </w:tcPr>
          <w:p w14:paraId="18C7C8D3">
            <w:r>
              <w:rPr>
                <w:rStyle w:val="10"/>
                <w:rFonts w:hint="eastAsia"/>
              </w:rPr>
              <w:t>注意事项：</w:t>
            </w:r>
            <w:r>
              <w:rPr>
                <w:rFonts w:hint="eastAsia"/>
              </w:rPr>
              <w:br w:type="textWrapping"/>
            </w:r>
            <w:r>
              <w:rPr>
                <w:rStyle w:val="11"/>
                <w:rFonts w:hint="eastAsia"/>
              </w:rPr>
              <w:t>1. 在推荐剂量下使用，对作物和后茬安全。2. 不能与碱性制剂产品混配。3. 作物花期禁止使用。桃、李等对铜离子敏感的作物禁用。4. 配药和施药时应穿戴防护服和手套，避免吸入药液，不可吃东西和饮水。施药后应及时洗手和洗脸。 5. 配药时，沿包装切口撕开倒入盛有一定水的喷雾器中，再用清水对盛有药剂的包装至少冲洗3次，并将冲洗液倒入喷雾器中。6. 施药时不可污染水源，并请远离水产养殖区域、河塘水体施药。施药后，禁止将剩余的药剂或洗涤药械的水放到池塘、河流等水体中。用过的容器应妥善处理，不可做他用，也不可随意丢弃。 7.避免孕妇及哺乳期的妇女接触。</w:t>
            </w:r>
          </w:p>
        </w:tc>
      </w:tr>
      <w:tr w14:paraId="63A914FD">
        <w:tblPrEx>
          <w:tblCellMar>
            <w:top w:w="0" w:type="dxa"/>
            <w:left w:w="0" w:type="dxa"/>
            <w:bottom w:w="0" w:type="dxa"/>
            <w:right w:w="0" w:type="dxa"/>
          </w:tblCellMar>
        </w:tblPrEx>
        <w:trPr>
          <w:wBefore w:w="0" w:type="auto"/>
          <w:tblCellSpacing w:w="0" w:type="dxa"/>
        </w:trPr>
        <w:tc>
          <w:tcPr>
            <w:tcW w:w="0" w:type="auto"/>
            <w:noWrap w:val="0"/>
            <w:vAlign w:val="center"/>
          </w:tcPr>
          <w:p w14:paraId="239D92AE">
            <w:r>
              <w:rPr>
                <w:rStyle w:val="10"/>
                <w:rFonts w:hint="eastAsia"/>
              </w:rPr>
              <w:t>中毒急救措施：</w:t>
            </w:r>
            <w:r>
              <w:rPr>
                <w:rFonts w:hint="eastAsia"/>
              </w:rPr>
              <w:br w:type="textWrapping"/>
            </w:r>
            <w:r>
              <w:rPr>
                <w:rStyle w:val="11"/>
                <w:rFonts w:hint="eastAsia"/>
              </w:rPr>
              <w:t>1. 吸入，将病人转移至空气新鲜处。保持呼吸通畅。吸呼困难时给氧。如呼吸及心跳停止，立即进行人工呼吸。如仍感觉不适，请就医。2. 误服，请携标签及时就医。禁止引吐。可饮用活性炭的水悬浮液或石蜡液体。 3. 皮肤沾附，应用肥皂水彻底清洗。4. 溅入眼中，立即将眼睑翻开，用流动清水或生理盐水冲洗至少10分钟，就医。在获得医生指导前，禁止用洗眼器和眼药膏。</w:t>
            </w:r>
          </w:p>
        </w:tc>
      </w:tr>
      <w:tr w14:paraId="048C9692">
        <w:tblPrEx>
          <w:tblCellMar>
            <w:top w:w="0" w:type="dxa"/>
            <w:left w:w="0" w:type="dxa"/>
            <w:bottom w:w="0" w:type="dxa"/>
            <w:right w:w="0" w:type="dxa"/>
          </w:tblCellMar>
        </w:tblPrEx>
        <w:trPr>
          <w:wBefore w:w="0" w:type="auto"/>
          <w:tblCellSpacing w:w="0" w:type="dxa"/>
        </w:trPr>
        <w:tc>
          <w:tcPr>
            <w:tcW w:w="0" w:type="auto"/>
            <w:noWrap w:val="0"/>
            <w:vAlign w:val="center"/>
          </w:tcPr>
          <w:p w14:paraId="3EC7279E">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本品应贮存在干燥、阴凉、通风、防雨处，远离火源或热源。置于儿童、无关人员触及不到之处，并加锁保存。勿与食品、饮料、粮食、饲料等其他商品同贮同运。</w:t>
            </w:r>
          </w:p>
        </w:tc>
      </w:tr>
      <w:tr w14:paraId="53E5BC42">
        <w:tblPrEx>
          <w:tblCellMar>
            <w:top w:w="0" w:type="dxa"/>
            <w:left w:w="0" w:type="dxa"/>
            <w:bottom w:w="0" w:type="dxa"/>
            <w:right w:w="0" w:type="dxa"/>
          </w:tblCellMar>
        </w:tblPrEx>
        <w:trPr>
          <w:wBefore w:w="0" w:type="auto"/>
          <w:tblCellSpacing w:w="0" w:type="dxa"/>
        </w:trPr>
        <w:tc>
          <w:tcPr>
            <w:tcW w:w="0" w:type="auto"/>
            <w:noWrap w:val="0"/>
            <w:vAlign w:val="center"/>
          </w:tcPr>
          <w:p w14:paraId="674ABCD1">
            <w:r>
              <w:rPr>
                <w:rStyle w:val="10"/>
                <w:rFonts w:hint="eastAsia"/>
              </w:rPr>
              <w:t>质量保证期：</w:t>
            </w:r>
            <w:r>
              <w:rPr>
                <w:rStyle w:val="11"/>
                <w:rFonts w:hint="eastAsia"/>
              </w:rPr>
              <w:t>2年</w:t>
            </w:r>
          </w:p>
        </w:tc>
      </w:tr>
      <w:tr w14:paraId="7D228803">
        <w:tblPrEx>
          <w:tblCellMar>
            <w:top w:w="0" w:type="dxa"/>
            <w:left w:w="0" w:type="dxa"/>
            <w:bottom w:w="0" w:type="dxa"/>
            <w:right w:w="0" w:type="dxa"/>
          </w:tblCellMar>
        </w:tblPrEx>
        <w:trPr>
          <w:wBefore w:w="0" w:type="auto"/>
          <w:tblCellSpacing w:w="0" w:type="dxa"/>
        </w:trPr>
        <w:tc>
          <w:tcPr>
            <w:tcW w:w="0" w:type="auto"/>
            <w:noWrap w:val="0"/>
            <w:vAlign w:val="center"/>
          </w:tcPr>
          <w:p w14:paraId="0208B58E">
            <w:r>
              <w:rPr>
                <w:rStyle w:val="10"/>
                <w:rFonts w:hint="eastAsia"/>
              </w:rPr>
              <w:t>备注：</w:t>
            </w:r>
          </w:p>
        </w:tc>
      </w:tr>
    </w:tbl>
    <w:p w14:paraId="4194F14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F9147D0">
        <w:tblPrEx>
          <w:tblCellMar>
            <w:top w:w="0" w:type="dxa"/>
            <w:left w:w="0" w:type="dxa"/>
            <w:bottom w:w="0" w:type="dxa"/>
            <w:right w:w="0" w:type="dxa"/>
          </w:tblCellMar>
        </w:tblPrEx>
        <w:trPr>
          <w:wBefore w:w="0" w:type="auto"/>
          <w:tblCellSpacing w:w="0" w:type="dxa"/>
        </w:trPr>
        <w:tc>
          <w:tcPr>
            <w:tcW w:w="0" w:type="auto"/>
            <w:noWrap w:val="0"/>
            <w:vAlign w:val="center"/>
          </w:tcPr>
          <w:p w14:paraId="178F8ECE">
            <w:r>
              <w:rPr>
                <w:rStyle w:val="10"/>
                <w:rFonts w:hint="eastAsia"/>
              </w:rPr>
              <w:t>登记证号：</w:t>
            </w:r>
            <w:r>
              <w:rPr>
                <w:rFonts w:hint="eastAsia"/>
              </w:rPr>
              <w:t>PD20211876</w:t>
            </w:r>
          </w:p>
        </w:tc>
      </w:tr>
      <w:tr w14:paraId="7AB0421C">
        <w:tblPrEx>
          <w:tblCellMar>
            <w:top w:w="0" w:type="dxa"/>
            <w:left w:w="0" w:type="dxa"/>
            <w:bottom w:w="0" w:type="dxa"/>
            <w:right w:w="0" w:type="dxa"/>
          </w:tblCellMar>
        </w:tblPrEx>
        <w:trPr>
          <w:wBefore w:w="0" w:type="auto"/>
          <w:tblCellSpacing w:w="0" w:type="dxa"/>
        </w:trPr>
        <w:tc>
          <w:tcPr>
            <w:tcW w:w="0" w:type="auto"/>
            <w:noWrap w:val="0"/>
            <w:vAlign w:val="center"/>
          </w:tcPr>
          <w:p w14:paraId="15A498FB">
            <w:r>
              <w:rPr>
                <w:rStyle w:val="10"/>
                <w:rFonts w:hint="eastAsia"/>
              </w:rPr>
              <w:t>登记证持有人：</w:t>
            </w:r>
            <w:r>
              <w:rPr>
                <w:rFonts w:hint="eastAsia"/>
              </w:rPr>
              <w:t>内蒙古灵圣作物科技有限公司</w:t>
            </w:r>
          </w:p>
        </w:tc>
      </w:tr>
      <w:tr w14:paraId="1CE6EA80">
        <w:tblPrEx>
          <w:tblCellMar>
            <w:top w:w="0" w:type="dxa"/>
            <w:left w:w="0" w:type="dxa"/>
            <w:bottom w:w="0" w:type="dxa"/>
            <w:right w:w="0" w:type="dxa"/>
          </w:tblCellMar>
        </w:tblPrEx>
        <w:trPr>
          <w:wBefore w:w="0" w:type="auto"/>
          <w:tblCellSpacing w:w="0" w:type="dxa"/>
        </w:trPr>
        <w:tc>
          <w:tcPr>
            <w:tcW w:w="0" w:type="auto"/>
            <w:noWrap w:val="0"/>
            <w:vAlign w:val="center"/>
          </w:tcPr>
          <w:p w14:paraId="3E071346">
            <w:r>
              <w:rPr>
                <w:rStyle w:val="10"/>
                <w:rFonts w:hint="eastAsia"/>
              </w:rPr>
              <w:t>农药名称：</w:t>
            </w:r>
            <w:r>
              <w:rPr>
                <w:rFonts w:hint="eastAsia"/>
              </w:rPr>
              <w:t>阿维·氯苯酰</w:t>
            </w:r>
          </w:p>
        </w:tc>
      </w:tr>
      <w:tr w14:paraId="4D791AAB">
        <w:tblPrEx>
          <w:tblCellMar>
            <w:top w:w="0" w:type="dxa"/>
            <w:left w:w="0" w:type="dxa"/>
            <w:bottom w:w="0" w:type="dxa"/>
            <w:right w:w="0" w:type="dxa"/>
          </w:tblCellMar>
        </w:tblPrEx>
        <w:trPr>
          <w:wBefore w:w="0" w:type="auto"/>
          <w:tblCellSpacing w:w="0" w:type="dxa"/>
        </w:trPr>
        <w:tc>
          <w:tcPr>
            <w:tcW w:w="0" w:type="auto"/>
            <w:noWrap w:val="0"/>
            <w:vAlign w:val="center"/>
          </w:tcPr>
          <w:p w14:paraId="01104E07">
            <w:r>
              <w:rPr>
                <w:rStyle w:val="10"/>
                <w:rFonts w:hint="eastAsia"/>
              </w:rPr>
              <w:t>剂型：</w:t>
            </w:r>
            <w:r>
              <w:rPr>
                <w:rFonts w:hint="eastAsia"/>
              </w:rPr>
              <w:t>悬浮剂</w:t>
            </w:r>
          </w:p>
        </w:tc>
      </w:tr>
      <w:tr w14:paraId="58E6569E">
        <w:tblPrEx>
          <w:tblCellMar>
            <w:top w:w="0" w:type="dxa"/>
            <w:left w:w="0" w:type="dxa"/>
            <w:bottom w:w="0" w:type="dxa"/>
            <w:right w:w="0" w:type="dxa"/>
          </w:tblCellMar>
        </w:tblPrEx>
        <w:trPr>
          <w:wBefore w:w="0" w:type="auto"/>
          <w:tblCellSpacing w:w="0" w:type="dxa"/>
        </w:trPr>
        <w:tc>
          <w:tcPr>
            <w:tcW w:w="0" w:type="auto"/>
            <w:noWrap w:val="0"/>
            <w:vAlign w:val="center"/>
          </w:tcPr>
          <w:p w14:paraId="3B3029EC">
            <w:r>
              <w:rPr>
                <w:rStyle w:val="10"/>
                <w:rFonts w:hint="eastAsia"/>
              </w:rPr>
              <w:t>毒性及其标识：</w:t>
            </w:r>
            <w:r>
              <w:rPr>
                <w:rFonts w:hint="eastAsia"/>
              </w:rPr>
              <w:t xml:space="preserve"> </w:t>
            </w:r>
            <w:r>
              <w:rPr>
                <w:lang/>
              </w:rPr>
              <w:drawing>
                <wp:inline distT="0" distB="0" distL="114300" distR="114300">
                  <wp:extent cx="476250" cy="323850"/>
                  <wp:effectExtent l="0" t="0" r="0" b="0"/>
                  <wp:docPr id="191" name="图片 19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1A2DF56E">
        <w:tblPrEx>
          <w:tblCellMar>
            <w:top w:w="0" w:type="dxa"/>
            <w:left w:w="0" w:type="dxa"/>
            <w:bottom w:w="0" w:type="dxa"/>
            <w:right w:w="0" w:type="dxa"/>
          </w:tblCellMar>
        </w:tblPrEx>
        <w:trPr>
          <w:wBefore w:w="0" w:type="auto"/>
          <w:tblCellSpacing w:w="0" w:type="dxa"/>
        </w:trPr>
        <w:tc>
          <w:tcPr>
            <w:tcW w:w="0" w:type="auto"/>
            <w:noWrap w:val="0"/>
            <w:vAlign w:val="center"/>
          </w:tcPr>
          <w:p w14:paraId="09EF4735">
            <w:r>
              <w:rPr>
                <w:rStyle w:val="10"/>
                <w:rFonts w:hint="eastAsia"/>
              </w:rPr>
              <w:t>总有效成分含量：</w:t>
            </w:r>
            <w:r>
              <w:rPr>
                <w:rFonts w:hint="eastAsia"/>
              </w:rPr>
              <w:t>6%</w:t>
            </w:r>
          </w:p>
        </w:tc>
      </w:tr>
      <w:tr w14:paraId="2B419E72">
        <w:tblPrEx>
          <w:tblCellMar>
            <w:top w:w="0" w:type="dxa"/>
            <w:left w:w="0" w:type="dxa"/>
            <w:bottom w:w="0" w:type="dxa"/>
            <w:right w:w="0" w:type="dxa"/>
          </w:tblCellMar>
        </w:tblPrEx>
        <w:trPr>
          <w:wBefore w:w="0" w:type="auto"/>
          <w:tblCellSpacing w:w="0" w:type="dxa"/>
        </w:trPr>
        <w:tc>
          <w:tcPr>
            <w:tcW w:w="0" w:type="auto"/>
            <w:noWrap w:val="0"/>
            <w:vAlign w:val="center"/>
          </w:tcPr>
          <w:p w14:paraId="69C3CF8A">
            <w:r>
              <w:rPr>
                <w:rFonts w:hint="eastAsia"/>
              </w:rPr>
              <w:t xml:space="preserve">有效成分及其含量： </w:t>
            </w:r>
          </w:p>
          <w:p w14:paraId="0B0C2EC1">
            <w:r>
              <w:rPr>
                <w:rFonts w:hint="eastAsia"/>
              </w:rPr>
              <w:t xml:space="preserve">    氯虫苯甲酰胺4.3%    阿维菌素1.7%    </w:t>
            </w:r>
          </w:p>
        </w:tc>
      </w:tr>
      <w:tr w14:paraId="52BB112C">
        <w:tblPrEx>
          <w:tblCellMar>
            <w:top w:w="0" w:type="dxa"/>
            <w:left w:w="0" w:type="dxa"/>
            <w:bottom w:w="0" w:type="dxa"/>
            <w:right w:w="0" w:type="dxa"/>
          </w:tblCellMar>
        </w:tblPrEx>
        <w:trPr>
          <w:wBefore w:w="0" w:type="auto"/>
          <w:tblCellSpacing w:w="0" w:type="dxa"/>
        </w:trPr>
        <w:tc>
          <w:tcPr>
            <w:tcW w:w="0" w:type="auto"/>
            <w:noWrap w:val="0"/>
            <w:vAlign w:val="center"/>
          </w:tcPr>
          <w:p w14:paraId="7131CE2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EFB10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AF9BB2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34E7C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474877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602D30D">
                  <w:r>
                    <w:rPr>
                      <w:rStyle w:val="11"/>
                      <w:rFonts w:hint="eastAsia"/>
                    </w:rPr>
                    <w:t>施用方式</w:t>
                  </w:r>
                </w:p>
              </w:tc>
            </w:tr>
            <w:tr w14:paraId="516704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81BC1D">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59030F">
                  <w:r>
                    <w:rPr>
                      <w:rStyle w:val="11"/>
                      <w:rFonts w:hint="eastAsia"/>
                    </w:rPr>
                    <w:t>二化螟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DFDCD2">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556B27">
                  <w:r>
                    <w:rPr>
                      <w:rStyle w:val="11"/>
                      <w:rFonts w:hint="eastAsia"/>
                    </w:rPr>
                    <w:t>喷雾</w:t>
                  </w:r>
                </w:p>
              </w:tc>
            </w:tr>
          </w:tbl>
          <w:p w14:paraId="5C0CB2B9">
            <w:pPr>
              <w:rPr>
                <w:rFonts w:ascii="Times New Roman" w:hAnsi="Times New Roman" w:cs="Times New Roman"/>
                <w:sz w:val="20"/>
                <w:szCs w:val="20"/>
              </w:rPr>
            </w:pPr>
          </w:p>
        </w:tc>
      </w:tr>
      <w:tr w14:paraId="0449F5B3">
        <w:tblPrEx>
          <w:tblCellMar>
            <w:top w:w="0" w:type="dxa"/>
            <w:left w:w="0" w:type="dxa"/>
            <w:bottom w:w="0" w:type="dxa"/>
            <w:right w:w="0" w:type="dxa"/>
          </w:tblCellMar>
        </w:tblPrEx>
        <w:trPr>
          <w:wBefore w:w="0" w:type="auto"/>
          <w:tblCellSpacing w:w="0" w:type="dxa"/>
        </w:trPr>
        <w:tc>
          <w:tcPr>
            <w:tcW w:w="0" w:type="auto"/>
            <w:noWrap w:val="0"/>
            <w:vAlign w:val="center"/>
          </w:tcPr>
          <w:p w14:paraId="2D02B264">
            <w:r>
              <w:rPr>
                <w:rStyle w:val="10"/>
                <w:rFonts w:hint="eastAsia"/>
              </w:rPr>
              <w:t>使用技术要求:</w:t>
            </w:r>
            <w:r>
              <w:rPr>
                <w:rFonts w:hint="eastAsia"/>
              </w:rPr>
              <w:br w:type="textWrapping"/>
            </w:r>
            <w:r>
              <w:rPr>
                <w:rStyle w:val="11"/>
                <w:rFonts w:hint="eastAsia"/>
              </w:rPr>
              <w:t>1. 在二化螟卵孵盛期施药1次。兑水整个植株均匀喷雾，注意叶片背面。2. 在水稻上每季作物最多使用1次，安全间隔期21天。3. 大风天或预计1小时内降雨，请勿施药。傍晚施药更有利于药效充分发挥。</w:t>
            </w:r>
          </w:p>
        </w:tc>
      </w:tr>
      <w:tr w14:paraId="463737AB">
        <w:tblPrEx>
          <w:tblCellMar>
            <w:top w:w="0" w:type="dxa"/>
            <w:left w:w="0" w:type="dxa"/>
            <w:bottom w:w="0" w:type="dxa"/>
            <w:right w:w="0" w:type="dxa"/>
          </w:tblCellMar>
        </w:tblPrEx>
        <w:trPr>
          <w:wBefore w:w="0" w:type="auto"/>
          <w:tblCellSpacing w:w="0" w:type="dxa"/>
        </w:trPr>
        <w:tc>
          <w:tcPr>
            <w:tcW w:w="0" w:type="auto"/>
            <w:noWrap w:val="0"/>
            <w:vAlign w:val="center"/>
          </w:tcPr>
          <w:p w14:paraId="4F8C1FA5">
            <w:r>
              <w:rPr>
                <w:rStyle w:val="10"/>
                <w:rFonts w:hint="eastAsia"/>
              </w:rPr>
              <w:t>产品性能:</w:t>
            </w:r>
            <w:r>
              <w:rPr>
                <w:rFonts w:hint="eastAsia"/>
              </w:rPr>
              <w:br w:type="textWrapping"/>
            </w:r>
            <w:r>
              <w:rPr>
                <w:rStyle w:val="11"/>
                <w:rFonts w:hint="eastAsia"/>
              </w:rPr>
              <w:t>本品由阿维菌素和氯虫苯甲酰胺混配而成，二者结合具有胃毒、触杀及叶片渗透作用，可用于防治水稻二化螟。</w:t>
            </w:r>
          </w:p>
        </w:tc>
      </w:tr>
      <w:tr w14:paraId="097D7B6C">
        <w:tblPrEx>
          <w:tblCellMar>
            <w:top w:w="0" w:type="dxa"/>
            <w:left w:w="0" w:type="dxa"/>
            <w:bottom w:w="0" w:type="dxa"/>
            <w:right w:w="0" w:type="dxa"/>
          </w:tblCellMar>
        </w:tblPrEx>
        <w:trPr>
          <w:wBefore w:w="0" w:type="auto"/>
          <w:tblCellSpacing w:w="0" w:type="dxa"/>
        </w:trPr>
        <w:tc>
          <w:tcPr>
            <w:tcW w:w="0" w:type="auto"/>
            <w:noWrap w:val="0"/>
            <w:vAlign w:val="center"/>
          </w:tcPr>
          <w:p w14:paraId="7DD6FBD4">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本品对眼睛有刺激性，使用时避免接触眼睛，穿戴长衣、长裤、帽子、口罩、手套等防护措施。施药完毕后及时换洗衣物，洗净手、脸和被污染的皮肤。2. 施药前、后要彻底清洗喷药器械，洗涤后的废水不应污染河流等水源，未用完的药液应密封后妥善放置。3. 用药后包装物及用过的容器应妥善处理，不可做他用，也不可随意丢弃。4. 使用时不得污染各类水域、土壤等环境。5. 本品对蜜蜂、家蚕、非靶标生物、水生生物有影响。在水产养殖区、河塘等水体附近禁用，禁止在河塘等水体中清洗施药器具，清洗器具的废水不能排入河流、池塘等水体，鱼或虾蟹套养稻田禁用，施药后的田水不得直接排入水体。(周围)开花植物花期禁用，使用期间应密切关注对附近蜂群的影响；在蚕室及桑园附近禁用，瓢虫、赤眼蜂等天敌放飞区禁用。6. 孕妇及哺乳期妇女禁止接触。7. 为避免产生抗药性，建议与其它作用机理不同的杀虫剂轮换或交替使用。</w:t>
            </w:r>
          </w:p>
        </w:tc>
      </w:tr>
      <w:tr w14:paraId="3BAE57F3">
        <w:tblPrEx>
          <w:tblCellMar>
            <w:top w:w="0" w:type="dxa"/>
            <w:left w:w="0" w:type="dxa"/>
            <w:bottom w:w="0" w:type="dxa"/>
            <w:right w:w="0" w:type="dxa"/>
          </w:tblCellMar>
        </w:tblPrEx>
        <w:trPr>
          <w:wBefore w:w="0" w:type="auto"/>
          <w:tblCellSpacing w:w="0" w:type="dxa"/>
        </w:trPr>
        <w:tc>
          <w:tcPr>
            <w:tcW w:w="0" w:type="auto"/>
            <w:noWrap w:val="0"/>
            <w:vAlign w:val="center"/>
          </w:tcPr>
          <w:p w14:paraId="12E8E9C6">
            <w:r>
              <w:rPr>
                <w:rStyle w:val="10"/>
                <w:rFonts w:hint="eastAsia"/>
              </w:rPr>
              <w:t>中毒急救措施：</w:t>
            </w:r>
            <w:r>
              <w:rPr>
                <w:rFonts w:hint="eastAsia"/>
              </w:rPr>
              <w:br w:type="textWrapping"/>
            </w:r>
            <w:r>
              <w:rPr>
                <w:rStyle w:val="11"/>
                <w:rFonts w:hint="eastAsia"/>
              </w:rPr>
              <w:t>中毒症状：中毒初期会出现瞳孔扩大、运动失调和肌肉痉挛等症状，严重时导致呕吐。如接触皮肤，用肥皂和大量清水彻底清洗受污的皮肤；如溅及眼睛，用大量流动清水冲洗眼睛至少15分钟；严重者送医就诊；如不慎吸入，应将病人移至空气流通处，请医生诊治；如误服，不得催吐，立即携带标签，送医就诊。紧急医疗措施：使用医用活性炭洗胃，洗胃时注意防止胃容物进入呼吸道。注意：对昏迷病人，切勿经口喂入任何东西或引吐。无专用解毒剂，对症治疗。</w:t>
            </w:r>
          </w:p>
        </w:tc>
      </w:tr>
      <w:tr w14:paraId="03A7E3B4">
        <w:tblPrEx>
          <w:tblCellMar>
            <w:top w:w="0" w:type="dxa"/>
            <w:left w:w="0" w:type="dxa"/>
            <w:bottom w:w="0" w:type="dxa"/>
            <w:right w:w="0" w:type="dxa"/>
          </w:tblCellMar>
        </w:tblPrEx>
        <w:trPr>
          <w:wBefore w:w="0" w:type="auto"/>
          <w:tblCellSpacing w:w="0" w:type="dxa"/>
        </w:trPr>
        <w:tc>
          <w:tcPr>
            <w:tcW w:w="0" w:type="auto"/>
            <w:noWrap w:val="0"/>
            <w:vAlign w:val="center"/>
          </w:tcPr>
          <w:p w14:paraId="4B944C28">
            <w:r>
              <w:rPr>
                <w:rStyle w:val="10"/>
                <w:rFonts w:hint="eastAsia"/>
              </w:rPr>
              <w:t>储存和运输方法：</w:t>
            </w:r>
            <w:r>
              <w:rPr>
                <w:rFonts w:hint="eastAsia"/>
              </w:rPr>
              <w:br w:type="textWrapping"/>
            </w:r>
            <w:r>
              <w:rPr>
                <w:rStyle w:val="11"/>
                <w:rFonts w:hint="eastAsia"/>
              </w:rPr>
              <w:t>本品应贮存在阴凉、干燥、通风、防雨处，远离火源和热源。置于儿童、无关人员触及不到之处，并加锁保存。勿与食品、饮料、粮食、饲料等同贮同运。</w:t>
            </w:r>
          </w:p>
        </w:tc>
      </w:tr>
      <w:tr w14:paraId="2E07E24B">
        <w:tblPrEx>
          <w:tblCellMar>
            <w:top w:w="0" w:type="dxa"/>
            <w:left w:w="0" w:type="dxa"/>
            <w:bottom w:w="0" w:type="dxa"/>
            <w:right w:w="0" w:type="dxa"/>
          </w:tblCellMar>
        </w:tblPrEx>
        <w:trPr>
          <w:wBefore w:w="0" w:type="auto"/>
          <w:tblCellSpacing w:w="0" w:type="dxa"/>
        </w:trPr>
        <w:tc>
          <w:tcPr>
            <w:tcW w:w="0" w:type="auto"/>
            <w:noWrap w:val="0"/>
            <w:vAlign w:val="center"/>
          </w:tcPr>
          <w:p w14:paraId="70BD1427">
            <w:r>
              <w:rPr>
                <w:rStyle w:val="10"/>
                <w:rFonts w:hint="eastAsia"/>
              </w:rPr>
              <w:t>质量保证期：</w:t>
            </w:r>
            <w:r>
              <w:rPr>
                <w:rStyle w:val="11"/>
                <w:rFonts w:hint="eastAsia"/>
              </w:rPr>
              <w:t>2年</w:t>
            </w:r>
          </w:p>
        </w:tc>
      </w:tr>
      <w:tr w14:paraId="7D8FFDF9">
        <w:tblPrEx>
          <w:tblCellMar>
            <w:top w:w="0" w:type="dxa"/>
            <w:left w:w="0" w:type="dxa"/>
            <w:bottom w:w="0" w:type="dxa"/>
            <w:right w:w="0" w:type="dxa"/>
          </w:tblCellMar>
        </w:tblPrEx>
        <w:trPr>
          <w:wBefore w:w="0" w:type="auto"/>
          <w:tblCellSpacing w:w="0" w:type="dxa"/>
        </w:trPr>
        <w:tc>
          <w:tcPr>
            <w:tcW w:w="0" w:type="auto"/>
            <w:noWrap w:val="0"/>
            <w:vAlign w:val="center"/>
          </w:tcPr>
          <w:p w14:paraId="4440C7BE">
            <w:r>
              <w:rPr>
                <w:rStyle w:val="10"/>
                <w:rFonts w:hint="eastAsia"/>
              </w:rPr>
              <w:t>备注：</w:t>
            </w:r>
          </w:p>
        </w:tc>
      </w:tr>
    </w:tbl>
    <w:p w14:paraId="5764499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57CA52D">
        <w:tblPrEx>
          <w:tblCellMar>
            <w:top w:w="0" w:type="dxa"/>
            <w:left w:w="0" w:type="dxa"/>
            <w:bottom w:w="0" w:type="dxa"/>
            <w:right w:w="0" w:type="dxa"/>
          </w:tblCellMar>
        </w:tblPrEx>
        <w:trPr>
          <w:wBefore w:w="0" w:type="auto"/>
          <w:tblCellSpacing w:w="0" w:type="dxa"/>
        </w:trPr>
        <w:tc>
          <w:tcPr>
            <w:tcW w:w="0" w:type="auto"/>
            <w:noWrap w:val="0"/>
            <w:vAlign w:val="center"/>
          </w:tcPr>
          <w:p w14:paraId="581CDF9E">
            <w:r>
              <w:rPr>
                <w:rStyle w:val="10"/>
                <w:rFonts w:hint="eastAsia"/>
              </w:rPr>
              <w:t>登记证号：</w:t>
            </w:r>
            <w:r>
              <w:rPr>
                <w:rFonts w:hint="eastAsia"/>
              </w:rPr>
              <w:t>PD20211783</w:t>
            </w:r>
          </w:p>
        </w:tc>
      </w:tr>
      <w:tr w14:paraId="5B1B9FCB">
        <w:tblPrEx>
          <w:tblCellMar>
            <w:top w:w="0" w:type="dxa"/>
            <w:left w:w="0" w:type="dxa"/>
            <w:bottom w:w="0" w:type="dxa"/>
            <w:right w:w="0" w:type="dxa"/>
          </w:tblCellMar>
        </w:tblPrEx>
        <w:trPr>
          <w:wBefore w:w="0" w:type="auto"/>
          <w:tblCellSpacing w:w="0" w:type="dxa"/>
        </w:trPr>
        <w:tc>
          <w:tcPr>
            <w:tcW w:w="0" w:type="auto"/>
            <w:noWrap w:val="0"/>
            <w:vAlign w:val="center"/>
          </w:tcPr>
          <w:p w14:paraId="29E07AC7">
            <w:r>
              <w:rPr>
                <w:rStyle w:val="10"/>
                <w:rFonts w:hint="eastAsia"/>
              </w:rPr>
              <w:t>登记证持有人：</w:t>
            </w:r>
            <w:r>
              <w:rPr>
                <w:rFonts w:hint="eastAsia"/>
              </w:rPr>
              <w:t>山东尚农农业科技有限公司</w:t>
            </w:r>
          </w:p>
        </w:tc>
      </w:tr>
      <w:tr w14:paraId="0D4FAFBB">
        <w:tblPrEx>
          <w:tblCellMar>
            <w:top w:w="0" w:type="dxa"/>
            <w:left w:w="0" w:type="dxa"/>
            <w:bottom w:w="0" w:type="dxa"/>
            <w:right w:w="0" w:type="dxa"/>
          </w:tblCellMar>
        </w:tblPrEx>
        <w:trPr>
          <w:wBefore w:w="0" w:type="auto"/>
          <w:tblCellSpacing w:w="0" w:type="dxa"/>
        </w:trPr>
        <w:tc>
          <w:tcPr>
            <w:tcW w:w="0" w:type="auto"/>
            <w:noWrap w:val="0"/>
            <w:vAlign w:val="center"/>
          </w:tcPr>
          <w:p w14:paraId="733CBB24">
            <w:r>
              <w:rPr>
                <w:rStyle w:val="10"/>
                <w:rFonts w:hint="eastAsia"/>
              </w:rPr>
              <w:t>农药名称：</w:t>
            </w:r>
            <w:r>
              <w:rPr>
                <w:rFonts w:hint="eastAsia"/>
              </w:rPr>
              <w:t>联苯·噻虫胺</w:t>
            </w:r>
          </w:p>
        </w:tc>
      </w:tr>
      <w:tr w14:paraId="15A2E02E">
        <w:tblPrEx>
          <w:tblCellMar>
            <w:top w:w="0" w:type="dxa"/>
            <w:left w:w="0" w:type="dxa"/>
            <w:bottom w:w="0" w:type="dxa"/>
            <w:right w:w="0" w:type="dxa"/>
          </w:tblCellMar>
        </w:tblPrEx>
        <w:trPr>
          <w:wBefore w:w="0" w:type="auto"/>
          <w:tblCellSpacing w:w="0" w:type="dxa"/>
        </w:trPr>
        <w:tc>
          <w:tcPr>
            <w:tcW w:w="0" w:type="auto"/>
            <w:noWrap w:val="0"/>
            <w:vAlign w:val="center"/>
          </w:tcPr>
          <w:p w14:paraId="4335CD2C">
            <w:r>
              <w:rPr>
                <w:rStyle w:val="10"/>
                <w:rFonts w:hint="eastAsia"/>
              </w:rPr>
              <w:t>剂型：</w:t>
            </w:r>
            <w:r>
              <w:rPr>
                <w:rFonts w:hint="eastAsia"/>
              </w:rPr>
              <w:t>悬浮剂</w:t>
            </w:r>
          </w:p>
        </w:tc>
      </w:tr>
      <w:tr w14:paraId="3D45BAA4">
        <w:tblPrEx>
          <w:tblCellMar>
            <w:top w:w="0" w:type="dxa"/>
            <w:left w:w="0" w:type="dxa"/>
            <w:bottom w:w="0" w:type="dxa"/>
            <w:right w:w="0" w:type="dxa"/>
          </w:tblCellMar>
        </w:tblPrEx>
        <w:trPr>
          <w:wBefore w:w="0" w:type="auto"/>
          <w:tblCellSpacing w:w="0" w:type="dxa"/>
        </w:trPr>
        <w:tc>
          <w:tcPr>
            <w:tcW w:w="0" w:type="auto"/>
            <w:noWrap w:val="0"/>
            <w:vAlign w:val="center"/>
          </w:tcPr>
          <w:p w14:paraId="148FA497">
            <w:r>
              <w:rPr>
                <w:rStyle w:val="10"/>
                <w:rFonts w:hint="eastAsia"/>
              </w:rPr>
              <w:t>毒性及其标识：</w:t>
            </w:r>
            <w:r>
              <w:rPr>
                <w:rFonts w:hint="eastAsia"/>
              </w:rPr>
              <w:t xml:space="preserve"> </w:t>
            </w:r>
            <w:r>
              <w:rPr>
                <w:lang/>
              </w:rPr>
              <w:drawing>
                <wp:inline distT="0" distB="0" distL="114300" distR="114300">
                  <wp:extent cx="476250" cy="323850"/>
                  <wp:effectExtent l="0" t="0" r="0" b="0"/>
                  <wp:docPr id="192" name="图片 19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86A5E0A">
        <w:tblPrEx>
          <w:tblCellMar>
            <w:top w:w="0" w:type="dxa"/>
            <w:left w:w="0" w:type="dxa"/>
            <w:bottom w:w="0" w:type="dxa"/>
            <w:right w:w="0" w:type="dxa"/>
          </w:tblCellMar>
        </w:tblPrEx>
        <w:trPr>
          <w:wBefore w:w="0" w:type="auto"/>
          <w:tblCellSpacing w:w="0" w:type="dxa"/>
        </w:trPr>
        <w:tc>
          <w:tcPr>
            <w:tcW w:w="0" w:type="auto"/>
            <w:noWrap w:val="0"/>
            <w:vAlign w:val="center"/>
          </w:tcPr>
          <w:p w14:paraId="6159948D">
            <w:r>
              <w:rPr>
                <w:rStyle w:val="10"/>
                <w:rFonts w:hint="eastAsia"/>
              </w:rPr>
              <w:t>总有效成分含量：</w:t>
            </w:r>
            <w:r>
              <w:rPr>
                <w:rFonts w:hint="eastAsia"/>
              </w:rPr>
              <w:t>10%</w:t>
            </w:r>
          </w:p>
        </w:tc>
      </w:tr>
      <w:tr w14:paraId="6FB1486C">
        <w:tblPrEx>
          <w:tblCellMar>
            <w:top w:w="0" w:type="dxa"/>
            <w:left w:w="0" w:type="dxa"/>
            <w:bottom w:w="0" w:type="dxa"/>
            <w:right w:w="0" w:type="dxa"/>
          </w:tblCellMar>
        </w:tblPrEx>
        <w:trPr>
          <w:wBefore w:w="0" w:type="auto"/>
          <w:tblCellSpacing w:w="0" w:type="dxa"/>
        </w:trPr>
        <w:tc>
          <w:tcPr>
            <w:tcW w:w="0" w:type="auto"/>
            <w:noWrap w:val="0"/>
            <w:vAlign w:val="center"/>
          </w:tcPr>
          <w:p w14:paraId="54F1171D">
            <w:r>
              <w:rPr>
                <w:rFonts w:hint="eastAsia"/>
              </w:rPr>
              <w:t xml:space="preserve">有效成分及其含量： </w:t>
            </w:r>
          </w:p>
          <w:p w14:paraId="4F2D0B03">
            <w:r>
              <w:rPr>
                <w:rFonts w:hint="eastAsia"/>
              </w:rPr>
              <w:t xml:space="preserve">    噻虫胺5%    联苯菊酯5%    </w:t>
            </w:r>
          </w:p>
        </w:tc>
      </w:tr>
      <w:tr w14:paraId="7CBA4EA6">
        <w:tblPrEx>
          <w:tblCellMar>
            <w:top w:w="0" w:type="dxa"/>
            <w:left w:w="0" w:type="dxa"/>
            <w:bottom w:w="0" w:type="dxa"/>
            <w:right w:w="0" w:type="dxa"/>
          </w:tblCellMar>
        </w:tblPrEx>
        <w:trPr>
          <w:wBefore w:w="0" w:type="auto"/>
          <w:tblCellSpacing w:w="0" w:type="dxa"/>
        </w:trPr>
        <w:tc>
          <w:tcPr>
            <w:tcW w:w="0" w:type="auto"/>
            <w:noWrap w:val="0"/>
            <w:vAlign w:val="center"/>
          </w:tcPr>
          <w:p w14:paraId="3C49E4F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17A39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623E50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4F905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09F01E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3E9EA77">
                  <w:r>
                    <w:rPr>
                      <w:rStyle w:val="11"/>
                      <w:rFonts w:hint="eastAsia"/>
                    </w:rPr>
                    <w:t>施用方式</w:t>
                  </w:r>
                </w:p>
              </w:tc>
            </w:tr>
            <w:tr w14:paraId="343E63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DD655C8">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E1FD5C">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8469F9">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C92578">
                  <w:r>
                    <w:rPr>
                      <w:rStyle w:val="11"/>
                      <w:rFonts w:hint="eastAsia"/>
                    </w:rPr>
                    <w:t>喷雾</w:t>
                  </w:r>
                </w:p>
              </w:tc>
            </w:tr>
          </w:tbl>
          <w:p w14:paraId="14B15835">
            <w:pPr>
              <w:rPr>
                <w:rFonts w:ascii="Times New Roman" w:hAnsi="Times New Roman" w:cs="Times New Roman"/>
                <w:sz w:val="20"/>
                <w:szCs w:val="20"/>
              </w:rPr>
            </w:pPr>
          </w:p>
        </w:tc>
      </w:tr>
      <w:tr w14:paraId="06B41A70">
        <w:tblPrEx>
          <w:tblCellMar>
            <w:top w:w="0" w:type="dxa"/>
            <w:left w:w="0" w:type="dxa"/>
            <w:bottom w:w="0" w:type="dxa"/>
            <w:right w:w="0" w:type="dxa"/>
          </w:tblCellMar>
        </w:tblPrEx>
        <w:trPr>
          <w:wBefore w:w="0" w:type="auto"/>
          <w:tblCellSpacing w:w="0" w:type="dxa"/>
        </w:trPr>
        <w:tc>
          <w:tcPr>
            <w:tcW w:w="0" w:type="auto"/>
            <w:noWrap w:val="0"/>
            <w:vAlign w:val="center"/>
          </w:tcPr>
          <w:p w14:paraId="2E52E06B">
            <w:r>
              <w:rPr>
                <w:rStyle w:val="10"/>
                <w:rFonts w:hint="eastAsia"/>
              </w:rPr>
              <w:t>使用技术要求:</w:t>
            </w:r>
            <w:r>
              <w:rPr>
                <w:rFonts w:hint="eastAsia"/>
              </w:rPr>
              <w:br w:type="textWrapping"/>
            </w:r>
            <w:r>
              <w:rPr>
                <w:rStyle w:val="11"/>
                <w:rFonts w:hint="eastAsia"/>
              </w:rPr>
              <w:t>1. 本品于小麦蚜虫发生初期施药1从。 2. 本品在小麦上的安全间隔期为14天，每季最多施药1次。 3．大风天或预计1小时内降雨，请勿施药。</w:t>
            </w:r>
          </w:p>
        </w:tc>
      </w:tr>
      <w:tr w14:paraId="682900E1">
        <w:tblPrEx>
          <w:tblCellMar>
            <w:top w:w="0" w:type="dxa"/>
            <w:left w:w="0" w:type="dxa"/>
            <w:bottom w:w="0" w:type="dxa"/>
            <w:right w:w="0" w:type="dxa"/>
          </w:tblCellMar>
        </w:tblPrEx>
        <w:trPr>
          <w:wBefore w:w="0" w:type="auto"/>
          <w:tblCellSpacing w:w="0" w:type="dxa"/>
        </w:trPr>
        <w:tc>
          <w:tcPr>
            <w:tcW w:w="0" w:type="auto"/>
            <w:noWrap w:val="0"/>
            <w:vAlign w:val="center"/>
          </w:tcPr>
          <w:p w14:paraId="18057DDF">
            <w:r>
              <w:rPr>
                <w:rStyle w:val="10"/>
                <w:rFonts w:hint="eastAsia"/>
              </w:rPr>
              <w:t>产品性能:</w:t>
            </w:r>
            <w:r>
              <w:rPr>
                <w:rFonts w:hint="eastAsia"/>
              </w:rPr>
              <w:br w:type="textWrapping"/>
            </w:r>
            <w:r>
              <w:rPr>
                <w:rStyle w:val="11"/>
                <w:rFonts w:hint="eastAsia"/>
              </w:rPr>
              <w:t xml:space="preserve">本品为两种不同作用机理的有效成分联苯菊酯和噻虫胺的混配制剂。噻虫胺是新型氯代烟碱类杀虫剂，联苯菊酯是拟除虫菊酯类杀虫剂，二者混用具有内吸、触杀和胃毒的作用。对小麦蚜虫具有较好的防治效果。 </w:t>
            </w:r>
          </w:p>
        </w:tc>
      </w:tr>
      <w:tr w14:paraId="5E833B7A">
        <w:tblPrEx>
          <w:tblCellMar>
            <w:top w:w="0" w:type="dxa"/>
            <w:left w:w="0" w:type="dxa"/>
            <w:bottom w:w="0" w:type="dxa"/>
            <w:right w:w="0" w:type="dxa"/>
          </w:tblCellMar>
        </w:tblPrEx>
        <w:trPr>
          <w:wBefore w:w="0" w:type="auto"/>
          <w:tblCellSpacing w:w="0" w:type="dxa"/>
        </w:trPr>
        <w:tc>
          <w:tcPr>
            <w:tcW w:w="0" w:type="auto"/>
            <w:noWrap w:val="0"/>
            <w:vAlign w:val="center"/>
          </w:tcPr>
          <w:p w14:paraId="12985A21">
            <w:r>
              <w:rPr>
                <w:rStyle w:val="10"/>
                <w:rFonts w:hint="eastAsia"/>
              </w:rPr>
              <w:t>注意事项：</w:t>
            </w:r>
            <w:r>
              <w:rPr>
                <w:rFonts w:hint="eastAsia"/>
              </w:rPr>
              <w:br w:type="textWrapping"/>
            </w:r>
            <w:r>
              <w:rPr>
                <w:rStyle w:val="11"/>
                <w:rFonts w:hint="eastAsia"/>
              </w:rPr>
              <w:t>1. 本品不可与碱性、强酸性的农药等物质混合使用。 2.建议与其他作用机制不同的杀虫剂轮换使用，以延缓抗性产生。3.本品对蜜蜂、家蚕有毒，蜜蜂采粉采蜜区禁用，（周围）开花植物花期禁用，使用期间应密切关注对附近蜂群的影响； 蚕室及桑园附近禁用；.瓢虫、赤眼蜂等天敌放飞区域禁用； 鸟类保护区附近禁用。4. 远离水产养殖区、河塘等水体施药，禁止在河塘等水体中清洗施药器具。 5. 本品对眼睛有刺激性，使用时避免接触眼睛，穿戴长衣、长裤、帽子、口罩、手套等防护措施。施药期间不可吃东西和饮水。施药后应及时洗手和洗脸。6. 用药后包装物及用过的容器应妥善处理，不可做他用，也不可随意丢弃。 7. 孕妇及哺乳期妇女禁止接触本品。</w:t>
            </w:r>
          </w:p>
        </w:tc>
      </w:tr>
      <w:tr w14:paraId="11FC25BF">
        <w:tblPrEx>
          <w:tblCellMar>
            <w:top w:w="0" w:type="dxa"/>
            <w:left w:w="0" w:type="dxa"/>
            <w:bottom w:w="0" w:type="dxa"/>
            <w:right w:w="0" w:type="dxa"/>
          </w:tblCellMar>
        </w:tblPrEx>
        <w:trPr>
          <w:wBefore w:w="0" w:type="auto"/>
          <w:tblCellSpacing w:w="0" w:type="dxa"/>
        </w:trPr>
        <w:tc>
          <w:tcPr>
            <w:tcW w:w="0" w:type="auto"/>
            <w:noWrap w:val="0"/>
            <w:vAlign w:val="center"/>
          </w:tcPr>
          <w:p w14:paraId="2438D447">
            <w:r>
              <w:rPr>
                <w:rStyle w:val="10"/>
                <w:rFonts w:hint="eastAsia"/>
              </w:rPr>
              <w:t>中毒急救措施：</w:t>
            </w:r>
            <w:r>
              <w:rPr>
                <w:rFonts w:hint="eastAsia"/>
              </w:rPr>
              <w:br w:type="textWrapping"/>
            </w:r>
            <w:r>
              <w:rPr>
                <w:rStyle w:val="11"/>
                <w:rFonts w:hint="eastAsia"/>
              </w:rPr>
              <w:t>中毒症状：头晕、头痛、多汗，行动失调，肌肉颤抖、腹泻发生，严重时导致呕吐、昏迷、呼吸困难。 急救措施：使用中或使用后如果感觉不适,应立即停止工作,采取急救措施,并携带标签送医院就诊。1、皮肤接触:脱去污染的衣物,用软布去除沾染农药,立即用大量清水和肥皂冲洗。2、眼睛溅入:立即用流动清水冲洗不少于15分钟。3、吸入:立即离开施药现场,转移到空气清新处。4、误食:立即停止服用,用清水充分漱口后,立即携带农药标签到医院就诊。</w:t>
            </w:r>
          </w:p>
        </w:tc>
      </w:tr>
      <w:tr w14:paraId="247DD93C">
        <w:tblPrEx>
          <w:tblCellMar>
            <w:top w:w="0" w:type="dxa"/>
            <w:left w:w="0" w:type="dxa"/>
            <w:bottom w:w="0" w:type="dxa"/>
            <w:right w:w="0" w:type="dxa"/>
          </w:tblCellMar>
        </w:tblPrEx>
        <w:trPr>
          <w:wBefore w:w="0" w:type="auto"/>
          <w:tblCellSpacing w:w="0" w:type="dxa"/>
        </w:trPr>
        <w:tc>
          <w:tcPr>
            <w:tcW w:w="0" w:type="auto"/>
            <w:noWrap w:val="0"/>
            <w:vAlign w:val="center"/>
          </w:tcPr>
          <w:p w14:paraId="3133652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本品应贮存在干燥、阴凉、通风、防雨处，远离火源或热源。置于儿童、无关人员触及不到之处，并加锁。勿与食品、饮料、饲料、粮食等同贮同运。</w:t>
            </w:r>
          </w:p>
        </w:tc>
      </w:tr>
      <w:tr w14:paraId="48AB8431">
        <w:tblPrEx>
          <w:tblCellMar>
            <w:top w:w="0" w:type="dxa"/>
            <w:left w:w="0" w:type="dxa"/>
            <w:bottom w:w="0" w:type="dxa"/>
            <w:right w:w="0" w:type="dxa"/>
          </w:tblCellMar>
        </w:tblPrEx>
        <w:trPr>
          <w:wBefore w:w="0" w:type="auto"/>
          <w:tblCellSpacing w:w="0" w:type="dxa"/>
        </w:trPr>
        <w:tc>
          <w:tcPr>
            <w:tcW w:w="0" w:type="auto"/>
            <w:noWrap w:val="0"/>
            <w:vAlign w:val="center"/>
          </w:tcPr>
          <w:p w14:paraId="129764A3">
            <w:r>
              <w:rPr>
                <w:rStyle w:val="10"/>
                <w:rFonts w:hint="eastAsia"/>
              </w:rPr>
              <w:t>质量保证期：</w:t>
            </w:r>
            <w:r>
              <w:rPr>
                <w:rStyle w:val="11"/>
                <w:rFonts w:hint="eastAsia"/>
              </w:rPr>
              <w:t>2年</w:t>
            </w:r>
          </w:p>
        </w:tc>
      </w:tr>
      <w:tr w14:paraId="3E43BFBB">
        <w:tblPrEx>
          <w:tblCellMar>
            <w:top w:w="0" w:type="dxa"/>
            <w:left w:w="0" w:type="dxa"/>
            <w:bottom w:w="0" w:type="dxa"/>
            <w:right w:w="0" w:type="dxa"/>
          </w:tblCellMar>
        </w:tblPrEx>
        <w:trPr>
          <w:wBefore w:w="0" w:type="auto"/>
          <w:tblCellSpacing w:w="0" w:type="dxa"/>
        </w:trPr>
        <w:tc>
          <w:tcPr>
            <w:tcW w:w="0" w:type="auto"/>
            <w:noWrap w:val="0"/>
            <w:vAlign w:val="center"/>
          </w:tcPr>
          <w:p w14:paraId="24315789">
            <w:r>
              <w:rPr>
                <w:rStyle w:val="10"/>
                <w:rFonts w:hint="eastAsia"/>
              </w:rPr>
              <w:t>备注：</w:t>
            </w:r>
          </w:p>
        </w:tc>
      </w:tr>
    </w:tbl>
    <w:p w14:paraId="7F340BE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DF474DF">
        <w:tblPrEx>
          <w:tblCellMar>
            <w:top w:w="0" w:type="dxa"/>
            <w:left w:w="0" w:type="dxa"/>
            <w:bottom w:w="0" w:type="dxa"/>
            <w:right w:w="0" w:type="dxa"/>
          </w:tblCellMar>
        </w:tblPrEx>
        <w:trPr>
          <w:wBefore w:w="0" w:type="auto"/>
          <w:tblCellSpacing w:w="0" w:type="dxa"/>
        </w:trPr>
        <w:tc>
          <w:tcPr>
            <w:tcW w:w="0" w:type="auto"/>
            <w:noWrap w:val="0"/>
            <w:vAlign w:val="center"/>
          </w:tcPr>
          <w:p w14:paraId="7ABAA999">
            <w:r>
              <w:rPr>
                <w:rStyle w:val="10"/>
                <w:rFonts w:hint="eastAsia"/>
              </w:rPr>
              <w:t>登记证号：</w:t>
            </w:r>
            <w:r>
              <w:rPr>
                <w:rFonts w:hint="eastAsia"/>
              </w:rPr>
              <w:t>PD20211860</w:t>
            </w:r>
          </w:p>
        </w:tc>
      </w:tr>
      <w:tr w14:paraId="61F442AB">
        <w:tblPrEx>
          <w:tblCellMar>
            <w:top w:w="0" w:type="dxa"/>
            <w:left w:w="0" w:type="dxa"/>
            <w:bottom w:w="0" w:type="dxa"/>
            <w:right w:w="0" w:type="dxa"/>
          </w:tblCellMar>
        </w:tblPrEx>
        <w:trPr>
          <w:wBefore w:w="0" w:type="auto"/>
          <w:tblCellSpacing w:w="0" w:type="dxa"/>
        </w:trPr>
        <w:tc>
          <w:tcPr>
            <w:tcW w:w="0" w:type="auto"/>
            <w:noWrap w:val="0"/>
            <w:vAlign w:val="center"/>
          </w:tcPr>
          <w:p w14:paraId="71C369B3">
            <w:r>
              <w:rPr>
                <w:rStyle w:val="10"/>
                <w:rFonts w:hint="eastAsia"/>
              </w:rPr>
              <w:t>登记证持有人：</w:t>
            </w:r>
            <w:r>
              <w:rPr>
                <w:rFonts w:hint="eastAsia"/>
              </w:rPr>
              <w:t>山东省绿士农药有限公司</w:t>
            </w:r>
          </w:p>
        </w:tc>
      </w:tr>
      <w:tr w14:paraId="734EEBBF">
        <w:tblPrEx>
          <w:tblCellMar>
            <w:top w:w="0" w:type="dxa"/>
            <w:left w:w="0" w:type="dxa"/>
            <w:bottom w:w="0" w:type="dxa"/>
            <w:right w:w="0" w:type="dxa"/>
          </w:tblCellMar>
        </w:tblPrEx>
        <w:trPr>
          <w:wBefore w:w="0" w:type="auto"/>
          <w:tblCellSpacing w:w="0" w:type="dxa"/>
        </w:trPr>
        <w:tc>
          <w:tcPr>
            <w:tcW w:w="0" w:type="auto"/>
            <w:noWrap w:val="0"/>
            <w:vAlign w:val="center"/>
          </w:tcPr>
          <w:p w14:paraId="6383A3ED">
            <w:r>
              <w:rPr>
                <w:rStyle w:val="10"/>
                <w:rFonts w:hint="eastAsia"/>
              </w:rPr>
              <w:t>农药名称：</w:t>
            </w:r>
            <w:r>
              <w:rPr>
                <w:rFonts w:hint="eastAsia"/>
              </w:rPr>
              <w:t>虫螨·茚虫威</w:t>
            </w:r>
          </w:p>
        </w:tc>
      </w:tr>
      <w:tr w14:paraId="2519EAEB">
        <w:tblPrEx>
          <w:tblCellMar>
            <w:top w:w="0" w:type="dxa"/>
            <w:left w:w="0" w:type="dxa"/>
            <w:bottom w:w="0" w:type="dxa"/>
            <w:right w:w="0" w:type="dxa"/>
          </w:tblCellMar>
        </w:tblPrEx>
        <w:trPr>
          <w:wBefore w:w="0" w:type="auto"/>
          <w:tblCellSpacing w:w="0" w:type="dxa"/>
        </w:trPr>
        <w:tc>
          <w:tcPr>
            <w:tcW w:w="0" w:type="auto"/>
            <w:noWrap w:val="0"/>
            <w:vAlign w:val="center"/>
          </w:tcPr>
          <w:p w14:paraId="39BFC99F">
            <w:r>
              <w:rPr>
                <w:rStyle w:val="10"/>
                <w:rFonts w:hint="eastAsia"/>
              </w:rPr>
              <w:t>剂型：</w:t>
            </w:r>
            <w:r>
              <w:rPr>
                <w:rFonts w:hint="eastAsia"/>
              </w:rPr>
              <w:t>悬浮剂</w:t>
            </w:r>
          </w:p>
        </w:tc>
      </w:tr>
      <w:tr w14:paraId="55283E16">
        <w:tblPrEx>
          <w:tblCellMar>
            <w:top w:w="0" w:type="dxa"/>
            <w:left w:w="0" w:type="dxa"/>
            <w:bottom w:w="0" w:type="dxa"/>
            <w:right w:w="0" w:type="dxa"/>
          </w:tblCellMar>
        </w:tblPrEx>
        <w:trPr>
          <w:wBefore w:w="0" w:type="auto"/>
          <w:tblCellSpacing w:w="0" w:type="dxa"/>
        </w:trPr>
        <w:tc>
          <w:tcPr>
            <w:tcW w:w="0" w:type="auto"/>
            <w:noWrap w:val="0"/>
            <w:vAlign w:val="center"/>
          </w:tcPr>
          <w:p w14:paraId="0ACB450A">
            <w:r>
              <w:rPr>
                <w:rStyle w:val="10"/>
                <w:rFonts w:hint="eastAsia"/>
              </w:rPr>
              <w:t>毒性及其标识：</w:t>
            </w:r>
            <w:r>
              <w:rPr>
                <w:rFonts w:hint="eastAsia"/>
              </w:rPr>
              <w:t xml:space="preserve"> </w:t>
            </w:r>
            <w:r>
              <w:rPr>
                <w:lang/>
              </w:rPr>
              <w:drawing>
                <wp:inline distT="0" distB="0" distL="114300" distR="114300">
                  <wp:extent cx="476250" cy="323850"/>
                  <wp:effectExtent l="0" t="0" r="0" b="0"/>
                  <wp:docPr id="193" name="图片 193"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71CE532F">
        <w:tblPrEx>
          <w:tblCellMar>
            <w:top w:w="0" w:type="dxa"/>
            <w:left w:w="0" w:type="dxa"/>
            <w:bottom w:w="0" w:type="dxa"/>
            <w:right w:w="0" w:type="dxa"/>
          </w:tblCellMar>
        </w:tblPrEx>
        <w:trPr>
          <w:wBefore w:w="0" w:type="auto"/>
          <w:tblCellSpacing w:w="0" w:type="dxa"/>
        </w:trPr>
        <w:tc>
          <w:tcPr>
            <w:tcW w:w="0" w:type="auto"/>
            <w:noWrap w:val="0"/>
            <w:vAlign w:val="center"/>
          </w:tcPr>
          <w:p w14:paraId="2961FB0C">
            <w:r>
              <w:rPr>
                <w:rStyle w:val="10"/>
                <w:rFonts w:hint="eastAsia"/>
              </w:rPr>
              <w:t>总有效成分含量：</w:t>
            </w:r>
            <w:r>
              <w:rPr>
                <w:rFonts w:hint="eastAsia"/>
              </w:rPr>
              <w:t>35%</w:t>
            </w:r>
          </w:p>
        </w:tc>
      </w:tr>
      <w:tr w14:paraId="0E4D03E7">
        <w:tblPrEx>
          <w:tblCellMar>
            <w:top w:w="0" w:type="dxa"/>
            <w:left w:w="0" w:type="dxa"/>
            <w:bottom w:w="0" w:type="dxa"/>
            <w:right w:w="0" w:type="dxa"/>
          </w:tblCellMar>
        </w:tblPrEx>
        <w:trPr>
          <w:wBefore w:w="0" w:type="auto"/>
          <w:tblCellSpacing w:w="0" w:type="dxa"/>
        </w:trPr>
        <w:tc>
          <w:tcPr>
            <w:tcW w:w="0" w:type="auto"/>
            <w:noWrap w:val="0"/>
            <w:vAlign w:val="center"/>
          </w:tcPr>
          <w:p w14:paraId="72B9C0CF">
            <w:r>
              <w:rPr>
                <w:rFonts w:hint="eastAsia"/>
              </w:rPr>
              <w:t xml:space="preserve">有效成分及其含量： </w:t>
            </w:r>
          </w:p>
          <w:p w14:paraId="4DAE910A">
            <w:r>
              <w:rPr>
                <w:rFonts w:hint="eastAsia"/>
              </w:rPr>
              <w:t xml:space="preserve">    虫螨腈25%    茚虫威10%    </w:t>
            </w:r>
          </w:p>
        </w:tc>
      </w:tr>
      <w:tr w14:paraId="2FF16D08">
        <w:tblPrEx>
          <w:tblCellMar>
            <w:top w:w="0" w:type="dxa"/>
            <w:left w:w="0" w:type="dxa"/>
            <w:bottom w:w="0" w:type="dxa"/>
            <w:right w:w="0" w:type="dxa"/>
          </w:tblCellMar>
        </w:tblPrEx>
        <w:trPr>
          <w:wBefore w:w="0" w:type="auto"/>
          <w:tblCellSpacing w:w="0" w:type="dxa"/>
        </w:trPr>
        <w:tc>
          <w:tcPr>
            <w:tcW w:w="0" w:type="auto"/>
            <w:noWrap w:val="0"/>
            <w:vAlign w:val="center"/>
          </w:tcPr>
          <w:p w14:paraId="6BF8637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E7C11B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D5ECCE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EFFE3B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C66FC6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0329FF2">
                  <w:r>
                    <w:rPr>
                      <w:rStyle w:val="11"/>
                      <w:rFonts w:hint="eastAsia"/>
                    </w:rPr>
                    <w:t>施用方式</w:t>
                  </w:r>
                </w:p>
              </w:tc>
            </w:tr>
            <w:tr w14:paraId="3CF322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978FC89">
                  <w:r>
                    <w:rPr>
                      <w:rStyle w:val="11"/>
                      <w:rFonts w:hint="eastAsia"/>
                    </w:rPr>
                    <w:t>大白菜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AB8C1C">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BB0545">
                  <w:r>
                    <w:rPr>
                      <w:rStyle w:val="11"/>
                      <w:rFonts w:hint="eastAsia"/>
                    </w:rPr>
                    <w:t>14-20毫升/亩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00BC4C">
                  <w:r>
                    <w:rPr>
                      <w:rStyle w:val="11"/>
                      <w:rFonts w:hint="eastAsia"/>
                    </w:rPr>
                    <w:t>喷雾</w:t>
                  </w:r>
                </w:p>
              </w:tc>
            </w:tr>
          </w:tbl>
          <w:p w14:paraId="547AC322">
            <w:pPr>
              <w:rPr>
                <w:rFonts w:ascii="Times New Roman" w:hAnsi="Times New Roman" w:cs="Times New Roman"/>
                <w:sz w:val="20"/>
                <w:szCs w:val="20"/>
              </w:rPr>
            </w:pPr>
          </w:p>
        </w:tc>
      </w:tr>
      <w:tr w14:paraId="7339FB6E">
        <w:tblPrEx>
          <w:tblCellMar>
            <w:top w:w="0" w:type="dxa"/>
            <w:left w:w="0" w:type="dxa"/>
            <w:bottom w:w="0" w:type="dxa"/>
            <w:right w:w="0" w:type="dxa"/>
          </w:tblCellMar>
        </w:tblPrEx>
        <w:trPr>
          <w:wBefore w:w="0" w:type="auto"/>
          <w:tblCellSpacing w:w="0" w:type="dxa"/>
        </w:trPr>
        <w:tc>
          <w:tcPr>
            <w:tcW w:w="0" w:type="auto"/>
            <w:noWrap w:val="0"/>
            <w:vAlign w:val="center"/>
          </w:tcPr>
          <w:p w14:paraId="178514CB">
            <w:r>
              <w:rPr>
                <w:rStyle w:val="10"/>
                <w:rFonts w:hint="eastAsia"/>
              </w:rPr>
              <w:t>使用技术要求:</w:t>
            </w:r>
            <w:r>
              <w:rPr>
                <w:rFonts w:hint="eastAsia"/>
              </w:rPr>
              <w:br w:type="textWrapping"/>
            </w:r>
            <w:r>
              <w:rPr>
                <w:rStyle w:val="11"/>
                <w:rFonts w:hint="eastAsia"/>
              </w:rPr>
              <w:t>1.于甜菜夜蛾低龄幼虫始盛期喷雾施药1次，注意喷雾均匀周到。2.。3.大风天或预计1小时内降雨，请勿施药。4.本品在大白菜上使用的安全间隔期为14天，最多使用1次</w:t>
            </w:r>
          </w:p>
        </w:tc>
      </w:tr>
      <w:tr w14:paraId="49617CD5">
        <w:tblPrEx>
          <w:tblCellMar>
            <w:top w:w="0" w:type="dxa"/>
            <w:left w:w="0" w:type="dxa"/>
            <w:bottom w:w="0" w:type="dxa"/>
            <w:right w:w="0" w:type="dxa"/>
          </w:tblCellMar>
        </w:tblPrEx>
        <w:trPr>
          <w:wBefore w:w="0" w:type="auto"/>
          <w:tblCellSpacing w:w="0" w:type="dxa"/>
        </w:trPr>
        <w:tc>
          <w:tcPr>
            <w:tcW w:w="0" w:type="auto"/>
            <w:noWrap w:val="0"/>
            <w:vAlign w:val="center"/>
          </w:tcPr>
          <w:p w14:paraId="4129D442">
            <w:r>
              <w:rPr>
                <w:rStyle w:val="10"/>
                <w:rFonts w:hint="eastAsia"/>
              </w:rPr>
              <w:t>产品性能:</w:t>
            </w:r>
            <w:r>
              <w:rPr>
                <w:rFonts w:hint="eastAsia"/>
              </w:rPr>
              <w:br w:type="textWrapping"/>
            </w:r>
            <w:r>
              <w:rPr>
                <w:rStyle w:val="11"/>
                <w:rFonts w:hint="eastAsia"/>
              </w:rPr>
              <w:t>本品由两种具有不同作用机制的杀虫剂复配而成，适于害虫的综合治理及抗性管理。本品渗透性强，对大白菜甜菜夜蛾的防效较好；具有胃毒和触杀作用。</w:t>
            </w:r>
          </w:p>
        </w:tc>
      </w:tr>
      <w:tr w14:paraId="4A45CBF8">
        <w:tblPrEx>
          <w:tblCellMar>
            <w:top w:w="0" w:type="dxa"/>
            <w:left w:w="0" w:type="dxa"/>
            <w:bottom w:w="0" w:type="dxa"/>
            <w:right w:w="0" w:type="dxa"/>
          </w:tblCellMar>
        </w:tblPrEx>
        <w:trPr>
          <w:wBefore w:w="0" w:type="auto"/>
          <w:tblCellSpacing w:w="0" w:type="dxa"/>
        </w:trPr>
        <w:tc>
          <w:tcPr>
            <w:tcW w:w="0" w:type="auto"/>
            <w:noWrap w:val="0"/>
            <w:vAlign w:val="center"/>
          </w:tcPr>
          <w:p w14:paraId="1E3A09D6">
            <w:r>
              <w:rPr>
                <w:rStyle w:val="10"/>
                <w:rFonts w:hint="eastAsia"/>
              </w:rPr>
              <w:t>注意事项：</w:t>
            </w:r>
            <w:r>
              <w:rPr>
                <w:rFonts w:hint="eastAsia"/>
              </w:rPr>
              <w:br w:type="textWrapping"/>
            </w:r>
            <w:r>
              <w:rPr>
                <w:rStyle w:val="11"/>
                <w:rFonts w:hint="eastAsia"/>
              </w:rPr>
              <w:t>1.在配制和使用本品时,应穿戴长衣、长裤、帽子、口罩、手套等防护措施，避免皮肤接触及口鼻吸入,严禁吸烟和饮食；2.鸟类保护区附近禁用；（周围）开花植物花期禁用，使用时应密切关注对附近蜂群的影响；桑园及蚕室附近禁用；瓢虫等天敌放飞区域禁用； 水产养殖区、河塘等水体附近禁用，禁止在河塘等水域清洗施药器具。3.避免孕妇及哺乳期妇女接触。 ；4.赤眼蜂等天敌放飞区禁用；5.用过的容器应妥善处理，不可做他用，也不可随意丢弃；6.使用后应用肥皂和足量清水冲洗手部、面部和其它裸露的身体部位以及药剂污染的衣物等；7.建议与其他作用机制不同的杀虫剂轮换使用，以延缓抗性产生。</w:t>
            </w:r>
          </w:p>
        </w:tc>
      </w:tr>
      <w:tr w14:paraId="6924EB19">
        <w:tblPrEx>
          <w:tblCellMar>
            <w:top w:w="0" w:type="dxa"/>
            <w:left w:w="0" w:type="dxa"/>
            <w:bottom w:w="0" w:type="dxa"/>
            <w:right w:w="0" w:type="dxa"/>
          </w:tblCellMar>
        </w:tblPrEx>
        <w:trPr>
          <w:wBefore w:w="0" w:type="auto"/>
          <w:tblCellSpacing w:w="0" w:type="dxa"/>
        </w:trPr>
        <w:tc>
          <w:tcPr>
            <w:tcW w:w="0" w:type="auto"/>
            <w:noWrap w:val="0"/>
            <w:vAlign w:val="center"/>
          </w:tcPr>
          <w:p w14:paraId="62574748">
            <w:r>
              <w:rPr>
                <w:rStyle w:val="10"/>
                <w:rFonts w:hint="eastAsia"/>
              </w:rPr>
              <w:t>中毒急救措施：</w:t>
            </w:r>
            <w:r>
              <w:rPr>
                <w:rFonts w:hint="eastAsia"/>
              </w:rPr>
              <w:br w:type="textWrapping"/>
            </w:r>
            <w:r>
              <w:rPr>
                <w:rStyle w:val="11"/>
                <w:rFonts w:hint="eastAsia"/>
              </w:rPr>
              <w:t>对眼睛有刺激性，使用时避免接触眼睛。 不慎吸入，应将病人移至空气流通处。不慎接触皮肤，脱去污染的衣物，用软布去除沾染农药，立即用大量清水和肥皂冲洗；如溅入眼睛，应用大量清水冲洗至少15分钟。误服则立即停止服用，用清水漱口后，应立即携此标签将病人送医院诊治。</w:t>
            </w:r>
          </w:p>
        </w:tc>
      </w:tr>
      <w:tr w14:paraId="3F875FA0">
        <w:tblPrEx>
          <w:tblCellMar>
            <w:top w:w="0" w:type="dxa"/>
            <w:left w:w="0" w:type="dxa"/>
            <w:bottom w:w="0" w:type="dxa"/>
            <w:right w:w="0" w:type="dxa"/>
          </w:tblCellMar>
        </w:tblPrEx>
        <w:trPr>
          <w:wBefore w:w="0" w:type="auto"/>
          <w:tblCellSpacing w:w="0" w:type="dxa"/>
        </w:trPr>
        <w:tc>
          <w:tcPr>
            <w:tcW w:w="0" w:type="auto"/>
            <w:noWrap w:val="0"/>
            <w:vAlign w:val="center"/>
          </w:tcPr>
          <w:p w14:paraId="63818F5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本品应贮存在干燥、阴凉、通风、防雨处，远离火源或热源。置于儿童、无关人员触及不到之处，并加锁保存。勿与粮食、食品、饮料、饲料等其他商品同贮同运。</w:t>
            </w:r>
          </w:p>
        </w:tc>
      </w:tr>
      <w:tr w14:paraId="26F1CAC1">
        <w:tblPrEx>
          <w:tblCellMar>
            <w:top w:w="0" w:type="dxa"/>
            <w:left w:w="0" w:type="dxa"/>
            <w:bottom w:w="0" w:type="dxa"/>
            <w:right w:w="0" w:type="dxa"/>
          </w:tblCellMar>
        </w:tblPrEx>
        <w:trPr>
          <w:wBefore w:w="0" w:type="auto"/>
          <w:tblCellSpacing w:w="0" w:type="dxa"/>
        </w:trPr>
        <w:tc>
          <w:tcPr>
            <w:tcW w:w="0" w:type="auto"/>
            <w:noWrap w:val="0"/>
            <w:vAlign w:val="center"/>
          </w:tcPr>
          <w:p w14:paraId="37BEF09D">
            <w:r>
              <w:rPr>
                <w:rStyle w:val="10"/>
                <w:rFonts w:hint="eastAsia"/>
              </w:rPr>
              <w:t>质量保证期：</w:t>
            </w:r>
            <w:r>
              <w:rPr>
                <w:rStyle w:val="11"/>
                <w:rFonts w:hint="eastAsia"/>
              </w:rPr>
              <w:t>2年</w:t>
            </w:r>
          </w:p>
        </w:tc>
      </w:tr>
      <w:tr w14:paraId="06B3F1CD">
        <w:tblPrEx>
          <w:tblCellMar>
            <w:top w:w="0" w:type="dxa"/>
            <w:left w:w="0" w:type="dxa"/>
            <w:bottom w:w="0" w:type="dxa"/>
            <w:right w:w="0" w:type="dxa"/>
          </w:tblCellMar>
        </w:tblPrEx>
        <w:trPr>
          <w:wBefore w:w="0" w:type="auto"/>
          <w:tblCellSpacing w:w="0" w:type="dxa"/>
        </w:trPr>
        <w:tc>
          <w:tcPr>
            <w:tcW w:w="0" w:type="auto"/>
            <w:noWrap w:val="0"/>
            <w:vAlign w:val="center"/>
          </w:tcPr>
          <w:p w14:paraId="275EDA6D">
            <w:r>
              <w:rPr>
                <w:rStyle w:val="10"/>
                <w:rFonts w:hint="eastAsia"/>
              </w:rPr>
              <w:t>备注：</w:t>
            </w:r>
          </w:p>
        </w:tc>
      </w:tr>
    </w:tbl>
    <w:p w14:paraId="75E7361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ACC7007">
        <w:tblPrEx>
          <w:tblCellMar>
            <w:top w:w="0" w:type="dxa"/>
            <w:left w:w="0" w:type="dxa"/>
            <w:bottom w:w="0" w:type="dxa"/>
            <w:right w:w="0" w:type="dxa"/>
          </w:tblCellMar>
        </w:tblPrEx>
        <w:trPr>
          <w:wBefore w:w="0" w:type="auto"/>
          <w:tblCellSpacing w:w="0" w:type="dxa"/>
        </w:trPr>
        <w:tc>
          <w:tcPr>
            <w:tcW w:w="0" w:type="auto"/>
            <w:noWrap w:val="0"/>
            <w:vAlign w:val="center"/>
          </w:tcPr>
          <w:p w14:paraId="539E821C">
            <w:r>
              <w:rPr>
                <w:rStyle w:val="10"/>
                <w:rFonts w:hint="eastAsia"/>
              </w:rPr>
              <w:t>登记证号：</w:t>
            </w:r>
            <w:r>
              <w:rPr>
                <w:rFonts w:hint="eastAsia"/>
              </w:rPr>
              <w:t>PD20212039</w:t>
            </w:r>
          </w:p>
        </w:tc>
      </w:tr>
      <w:tr w14:paraId="723CF84D">
        <w:tblPrEx>
          <w:tblCellMar>
            <w:top w:w="0" w:type="dxa"/>
            <w:left w:w="0" w:type="dxa"/>
            <w:bottom w:w="0" w:type="dxa"/>
            <w:right w:w="0" w:type="dxa"/>
          </w:tblCellMar>
        </w:tblPrEx>
        <w:trPr>
          <w:wBefore w:w="0" w:type="auto"/>
          <w:tblCellSpacing w:w="0" w:type="dxa"/>
        </w:trPr>
        <w:tc>
          <w:tcPr>
            <w:tcW w:w="0" w:type="auto"/>
            <w:noWrap w:val="0"/>
            <w:vAlign w:val="center"/>
          </w:tcPr>
          <w:p w14:paraId="3C77EAF1">
            <w:r>
              <w:rPr>
                <w:rStyle w:val="10"/>
                <w:rFonts w:hint="eastAsia"/>
              </w:rPr>
              <w:t>登记证持有人：</w:t>
            </w:r>
            <w:r>
              <w:rPr>
                <w:rFonts w:hint="eastAsia"/>
              </w:rPr>
              <w:t>陕西美邦药业集团股份有限公司</w:t>
            </w:r>
          </w:p>
        </w:tc>
      </w:tr>
      <w:tr w14:paraId="7FFC978B">
        <w:tblPrEx>
          <w:tblCellMar>
            <w:top w:w="0" w:type="dxa"/>
            <w:left w:w="0" w:type="dxa"/>
            <w:bottom w:w="0" w:type="dxa"/>
            <w:right w:w="0" w:type="dxa"/>
          </w:tblCellMar>
        </w:tblPrEx>
        <w:trPr>
          <w:wBefore w:w="0" w:type="auto"/>
          <w:tblCellSpacing w:w="0" w:type="dxa"/>
        </w:trPr>
        <w:tc>
          <w:tcPr>
            <w:tcW w:w="0" w:type="auto"/>
            <w:noWrap w:val="0"/>
            <w:vAlign w:val="center"/>
          </w:tcPr>
          <w:p w14:paraId="4837D568">
            <w:r>
              <w:rPr>
                <w:rStyle w:val="10"/>
                <w:rFonts w:hint="eastAsia"/>
              </w:rPr>
              <w:t>农药名称：</w:t>
            </w:r>
            <w:r>
              <w:rPr>
                <w:rFonts w:hint="eastAsia"/>
              </w:rPr>
              <w:t>苄氨基嘌呤·氯化胆碱</w:t>
            </w:r>
          </w:p>
        </w:tc>
      </w:tr>
      <w:tr w14:paraId="60032312">
        <w:tblPrEx>
          <w:tblCellMar>
            <w:top w:w="0" w:type="dxa"/>
            <w:left w:w="0" w:type="dxa"/>
            <w:bottom w:w="0" w:type="dxa"/>
            <w:right w:w="0" w:type="dxa"/>
          </w:tblCellMar>
        </w:tblPrEx>
        <w:trPr>
          <w:wBefore w:w="0" w:type="auto"/>
          <w:tblCellSpacing w:w="0" w:type="dxa"/>
        </w:trPr>
        <w:tc>
          <w:tcPr>
            <w:tcW w:w="0" w:type="auto"/>
            <w:noWrap w:val="0"/>
            <w:vAlign w:val="center"/>
          </w:tcPr>
          <w:p w14:paraId="05E001D4">
            <w:r>
              <w:rPr>
                <w:rStyle w:val="10"/>
                <w:rFonts w:hint="eastAsia"/>
              </w:rPr>
              <w:t>剂型：</w:t>
            </w:r>
            <w:r>
              <w:rPr>
                <w:rFonts w:hint="eastAsia"/>
              </w:rPr>
              <w:t>悬浮剂</w:t>
            </w:r>
          </w:p>
        </w:tc>
      </w:tr>
      <w:tr w14:paraId="1B6113B2">
        <w:tblPrEx>
          <w:tblCellMar>
            <w:top w:w="0" w:type="dxa"/>
            <w:left w:w="0" w:type="dxa"/>
            <w:bottom w:w="0" w:type="dxa"/>
            <w:right w:w="0" w:type="dxa"/>
          </w:tblCellMar>
        </w:tblPrEx>
        <w:trPr>
          <w:wBefore w:w="0" w:type="auto"/>
          <w:tblCellSpacing w:w="0" w:type="dxa"/>
        </w:trPr>
        <w:tc>
          <w:tcPr>
            <w:tcW w:w="0" w:type="auto"/>
            <w:noWrap w:val="0"/>
            <w:vAlign w:val="center"/>
          </w:tcPr>
          <w:p w14:paraId="226BB231">
            <w:r>
              <w:rPr>
                <w:rStyle w:val="10"/>
                <w:rFonts w:hint="eastAsia"/>
              </w:rPr>
              <w:t>毒性及其标识：</w:t>
            </w:r>
            <w:r>
              <w:rPr>
                <w:rFonts w:hint="eastAsia"/>
              </w:rPr>
              <w:t xml:space="preserve"> </w:t>
            </w:r>
            <w:r>
              <w:rPr>
                <w:lang/>
              </w:rPr>
              <w:drawing>
                <wp:inline distT="0" distB="0" distL="114300" distR="114300">
                  <wp:extent cx="476250" cy="323850"/>
                  <wp:effectExtent l="0" t="0" r="0" b="0"/>
                  <wp:docPr id="194" name="图片 19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79CA11B">
        <w:tblPrEx>
          <w:tblCellMar>
            <w:top w:w="0" w:type="dxa"/>
            <w:left w:w="0" w:type="dxa"/>
            <w:bottom w:w="0" w:type="dxa"/>
            <w:right w:w="0" w:type="dxa"/>
          </w:tblCellMar>
        </w:tblPrEx>
        <w:trPr>
          <w:wBefore w:w="0" w:type="auto"/>
          <w:tblCellSpacing w:w="0" w:type="dxa"/>
        </w:trPr>
        <w:tc>
          <w:tcPr>
            <w:tcW w:w="0" w:type="auto"/>
            <w:noWrap w:val="0"/>
            <w:vAlign w:val="center"/>
          </w:tcPr>
          <w:p w14:paraId="59AE7031">
            <w:r>
              <w:rPr>
                <w:rStyle w:val="10"/>
                <w:rFonts w:hint="eastAsia"/>
              </w:rPr>
              <w:t>总有效成分含量：</w:t>
            </w:r>
            <w:r>
              <w:rPr>
                <w:rFonts w:hint="eastAsia"/>
              </w:rPr>
              <w:t>500克/升</w:t>
            </w:r>
          </w:p>
        </w:tc>
      </w:tr>
      <w:tr w14:paraId="0EB359DD">
        <w:tblPrEx>
          <w:tblCellMar>
            <w:top w:w="0" w:type="dxa"/>
            <w:left w:w="0" w:type="dxa"/>
            <w:bottom w:w="0" w:type="dxa"/>
            <w:right w:w="0" w:type="dxa"/>
          </w:tblCellMar>
        </w:tblPrEx>
        <w:trPr>
          <w:wBefore w:w="0" w:type="auto"/>
          <w:tblCellSpacing w:w="0" w:type="dxa"/>
        </w:trPr>
        <w:tc>
          <w:tcPr>
            <w:tcW w:w="0" w:type="auto"/>
            <w:noWrap w:val="0"/>
            <w:vAlign w:val="center"/>
          </w:tcPr>
          <w:p w14:paraId="3DDFF48D">
            <w:r>
              <w:rPr>
                <w:rFonts w:hint="eastAsia"/>
              </w:rPr>
              <w:t xml:space="preserve">有效成分及其含量： </w:t>
            </w:r>
          </w:p>
          <w:p w14:paraId="3365C98B">
            <w:r>
              <w:rPr>
                <w:rFonts w:hint="eastAsia"/>
              </w:rPr>
              <w:t xml:space="preserve">    氯化胆碱450克/升    苄氨基嘌呤50克/升    </w:t>
            </w:r>
          </w:p>
        </w:tc>
      </w:tr>
      <w:tr w14:paraId="2D3DF3FC">
        <w:tblPrEx>
          <w:tblCellMar>
            <w:top w:w="0" w:type="dxa"/>
            <w:left w:w="0" w:type="dxa"/>
            <w:bottom w:w="0" w:type="dxa"/>
            <w:right w:w="0" w:type="dxa"/>
          </w:tblCellMar>
        </w:tblPrEx>
        <w:trPr>
          <w:wBefore w:w="0" w:type="auto"/>
          <w:tblCellSpacing w:w="0" w:type="dxa"/>
        </w:trPr>
        <w:tc>
          <w:tcPr>
            <w:tcW w:w="0" w:type="auto"/>
            <w:noWrap w:val="0"/>
            <w:vAlign w:val="center"/>
          </w:tcPr>
          <w:p w14:paraId="6872287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E980C5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722199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5D2139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F75F4E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A11F47">
                  <w:r>
                    <w:rPr>
                      <w:rStyle w:val="11"/>
                      <w:rFonts w:hint="eastAsia"/>
                    </w:rPr>
                    <w:t>施用方式</w:t>
                  </w:r>
                </w:p>
              </w:tc>
            </w:tr>
            <w:tr w14:paraId="54F457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AB474D7">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85CEFB">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EBF277">
                  <w:r>
                    <w:rPr>
                      <w:rStyle w:val="11"/>
                      <w:rFonts w:hint="eastAsia"/>
                    </w:rPr>
                    <w:t>10-20毫升/亩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498417">
                  <w:r>
                    <w:rPr>
                      <w:rStyle w:val="11"/>
                      <w:rFonts w:hint="eastAsia"/>
                    </w:rPr>
                    <w:t>喷雾</w:t>
                  </w:r>
                </w:p>
              </w:tc>
            </w:tr>
          </w:tbl>
          <w:p w14:paraId="7AE976A0">
            <w:pPr>
              <w:rPr>
                <w:rFonts w:ascii="Times New Roman" w:hAnsi="Times New Roman" w:cs="Times New Roman"/>
                <w:sz w:val="20"/>
                <w:szCs w:val="20"/>
              </w:rPr>
            </w:pPr>
          </w:p>
        </w:tc>
      </w:tr>
      <w:tr w14:paraId="61373BB9">
        <w:tblPrEx>
          <w:tblCellMar>
            <w:top w:w="0" w:type="dxa"/>
            <w:left w:w="0" w:type="dxa"/>
            <w:bottom w:w="0" w:type="dxa"/>
            <w:right w:w="0" w:type="dxa"/>
          </w:tblCellMar>
        </w:tblPrEx>
        <w:trPr>
          <w:wBefore w:w="0" w:type="auto"/>
          <w:tblCellSpacing w:w="0" w:type="dxa"/>
        </w:trPr>
        <w:tc>
          <w:tcPr>
            <w:tcW w:w="0" w:type="auto"/>
            <w:noWrap w:val="0"/>
            <w:vAlign w:val="center"/>
          </w:tcPr>
          <w:p w14:paraId="1BE5A185">
            <w:r>
              <w:rPr>
                <w:rStyle w:val="10"/>
                <w:rFonts w:hint="eastAsia"/>
              </w:rPr>
              <w:t>使用技术要求:</w:t>
            </w:r>
            <w:r>
              <w:rPr>
                <w:rFonts w:hint="eastAsia"/>
              </w:rPr>
              <w:br w:type="textWrapping"/>
            </w:r>
            <w:r>
              <w:rPr>
                <w:rStyle w:val="11"/>
                <w:rFonts w:hint="eastAsia"/>
              </w:rPr>
              <w:t>1. 本品适宜施药时期为花生花蕾期和下针期各施药1次，间隔10-15天施药1次，共施药2次，注意喷雾均匀、周到，以确保药效。2. 大风天或预计1小时内降雨，请勿施药。3.每季作物最多使用2次。</w:t>
            </w:r>
          </w:p>
        </w:tc>
      </w:tr>
      <w:tr w14:paraId="49A09EA9">
        <w:tblPrEx>
          <w:tblCellMar>
            <w:top w:w="0" w:type="dxa"/>
            <w:left w:w="0" w:type="dxa"/>
            <w:bottom w:w="0" w:type="dxa"/>
            <w:right w:w="0" w:type="dxa"/>
          </w:tblCellMar>
        </w:tblPrEx>
        <w:trPr>
          <w:wBefore w:w="0" w:type="auto"/>
          <w:tblCellSpacing w:w="0" w:type="dxa"/>
        </w:trPr>
        <w:tc>
          <w:tcPr>
            <w:tcW w:w="0" w:type="auto"/>
            <w:noWrap w:val="0"/>
            <w:vAlign w:val="center"/>
          </w:tcPr>
          <w:p w14:paraId="367AF4FC">
            <w:r>
              <w:rPr>
                <w:rStyle w:val="10"/>
                <w:rFonts w:hint="eastAsia"/>
              </w:rPr>
              <w:t>产品性能:</w:t>
            </w:r>
            <w:r>
              <w:rPr>
                <w:rFonts w:hint="eastAsia"/>
              </w:rPr>
              <w:br w:type="textWrapping"/>
            </w:r>
            <w:r>
              <w:rPr>
                <w:rStyle w:val="11"/>
                <w:rFonts w:hint="eastAsia"/>
              </w:rPr>
              <w:t>本产品是苄氨基嘌呤和氯化胆碱二元复配，可以调节植物生长，诱导花芽的分化，促进侧芽发生、细胞分裂、减少植物体内叶绿素的分解，具有抑制衰老，促绿作用。按推荐剂量使用时，对于花生生长具有较好的调节作用。</w:t>
            </w:r>
          </w:p>
        </w:tc>
      </w:tr>
      <w:tr w14:paraId="69AF7471">
        <w:tblPrEx>
          <w:tblCellMar>
            <w:top w:w="0" w:type="dxa"/>
            <w:left w:w="0" w:type="dxa"/>
            <w:bottom w:w="0" w:type="dxa"/>
            <w:right w:w="0" w:type="dxa"/>
          </w:tblCellMar>
        </w:tblPrEx>
        <w:trPr>
          <w:wBefore w:w="0" w:type="auto"/>
          <w:tblCellSpacing w:w="0" w:type="dxa"/>
        </w:trPr>
        <w:tc>
          <w:tcPr>
            <w:tcW w:w="0" w:type="auto"/>
            <w:noWrap w:val="0"/>
            <w:vAlign w:val="center"/>
          </w:tcPr>
          <w:p w14:paraId="523FF973">
            <w:r>
              <w:rPr>
                <w:rStyle w:val="10"/>
                <w:rFonts w:hint="eastAsia"/>
              </w:rPr>
              <w:t>注意事项：</w:t>
            </w:r>
            <w:r>
              <w:rPr>
                <w:rFonts w:hint="eastAsia"/>
              </w:rPr>
              <w:br w:type="textWrapping"/>
            </w:r>
            <w:r>
              <w:rPr>
                <w:rStyle w:val="11"/>
                <w:rFonts w:hint="eastAsia"/>
              </w:rPr>
              <w:t>1. 严格按规定用药量和方法使用。 2. 禁止在河塘等水体中清洗施药器具；不可使用最外围桑树上的叶片饲喂家蚕。 3. 对眼睛有中度刺激性，使用时穿戴长衣长裤、帽子、口罩、手套、鞋等安全防护措施。施药期间不可吃东西、饮水、吸烟等；施药后应及时洗手、洗脸并洗涤施药时穿着的衣物。 4. 用药后包装物及用过的容器应妥善处理，不可做他用，也不可随意丢弃。 5. 使用本产品时应穿防护服和戴手套，避免吸入药液。施药期间不可吃东西和饮水，施药后应及时洗手和洗脸。 6. 孕妇及哺乳期妇女禁止接触本品。</w:t>
            </w:r>
          </w:p>
        </w:tc>
      </w:tr>
      <w:tr w14:paraId="3457A065">
        <w:tblPrEx>
          <w:tblCellMar>
            <w:top w:w="0" w:type="dxa"/>
            <w:left w:w="0" w:type="dxa"/>
            <w:bottom w:w="0" w:type="dxa"/>
            <w:right w:w="0" w:type="dxa"/>
          </w:tblCellMar>
        </w:tblPrEx>
        <w:trPr>
          <w:wBefore w:w="0" w:type="auto"/>
          <w:tblCellSpacing w:w="0" w:type="dxa"/>
        </w:trPr>
        <w:tc>
          <w:tcPr>
            <w:tcW w:w="0" w:type="auto"/>
            <w:noWrap w:val="0"/>
            <w:vAlign w:val="center"/>
          </w:tcPr>
          <w:p w14:paraId="5EF4C1FF">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562397A1">
        <w:tblPrEx>
          <w:tblCellMar>
            <w:top w:w="0" w:type="dxa"/>
            <w:left w:w="0" w:type="dxa"/>
            <w:bottom w:w="0" w:type="dxa"/>
            <w:right w:w="0" w:type="dxa"/>
          </w:tblCellMar>
        </w:tblPrEx>
        <w:trPr>
          <w:wBefore w:w="0" w:type="auto"/>
          <w:tblCellSpacing w:w="0" w:type="dxa"/>
        </w:trPr>
        <w:tc>
          <w:tcPr>
            <w:tcW w:w="0" w:type="auto"/>
            <w:noWrap w:val="0"/>
            <w:vAlign w:val="center"/>
          </w:tcPr>
          <w:p w14:paraId="0BB436E9">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本品应贮存在干燥、阴凉、通风、防雨处，远离火源或热源。置于儿童、无关人员及动物触及不到之处，并加锁保存。勿与食品、饮料、饲料、粮食和种子等其他商品同贮同运。</w:t>
            </w:r>
          </w:p>
        </w:tc>
      </w:tr>
      <w:tr w14:paraId="0F448652">
        <w:tblPrEx>
          <w:tblCellMar>
            <w:top w:w="0" w:type="dxa"/>
            <w:left w:w="0" w:type="dxa"/>
            <w:bottom w:w="0" w:type="dxa"/>
            <w:right w:w="0" w:type="dxa"/>
          </w:tblCellMar>
        </w:tblPrEx>
        <w:trPr>
          <w:wBefore w:w="0" w:type="auto"/>
          <w:tblCellSpacing w:w="0" w:type="dxa"/>
        </w:trPr>
        <w:tc>
          <w:tcPr>
            <w:tcW w:w="0" w:type="auto"/>
            <w:noWrap w:val="0"/>
            <w:vAlign w:val="center"/>
          </w:tcPr>
          <w:p w14:paraId="56178A63">
            <w:r>
              <w:rPr>
                <w:rStyle w:val="10"/>
                <w:rFonts w:hint="eastAsia"/>
              </w:rPr>
              <w:t>质量保证期：</w:t>
            </w:r>
            <w:r>
              <w:rPr>
                <w:rStyle w:val="11"/>
                <w:rFonts w:hint="eastAsia"/>
              </w:rPr>
              <w:t>2年</w:t>
            </w:r>
          </w:p>
        </w:tc>
      </w:tr>
      <w:tr w14:paraId="253D90F2">
        <w:tblPrEx>
          <w:tblCellMar>
            <w:top w:w="0" w:type="dxa"/>
            <w:left w:w="0" w:type="dxa"/>
            <w:bottom w:w="0" w:type="dxa"/>
            <w:right w:w="0" w:type="dxa"/>
          </w:tblCellMar>
        </w:tblPrEx>
        <w:trPr>
          <w:wBefore w:w="0" w:type="auto"/>
          <w:tblCellSpacing w:w="0" w:type="dxa"/>
        </w:trPr>
        <w:tc>
          <w:tcPr>
            <w:tcW w:w="0" w:type="auto"/>
            <w:noWrap w:val="0"/>
            <w:vAlign w:val="center"/>
          </w:tcPr>
          <w:p w14:paraId="1AFDD64F">
            <w:r>
              <w:rPr>
                <w:rStyle w:val="10"/>
                <w:rFonts w:hint="eastAsia"/>
              </w:rPr>
              <w:t>备注：</w:t>
            </w:r>
            <w:r>
              <w:rPr>
                <w:rFonts w:hint="eastAsia"/>
              </w:rPr>
              <w:br w:type="textWrapping"/>
            </w:r>
            <w:r>
              <w:rPr>
                <w:rStyle w:val="11"/>
                <w:rFonts w:hint="eastAsia"/>
              </w:rPr>
              <w:t>苄氨基嘌呤4.6%；氯化胆碱41.4%。</w:t>
            </w:r>
          </w:p>
        </w:tc>
      </w:tr>
    </w:tbl>
    <w:p w14:paraId="3DFCC43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7A1AA00">
        <w:tblPrEx>
          <w:tblCellMar>
            <w:top w:w="0" w:type="dxa"/>
            <w:left w:w="0" w:type="dxa"/>
            <w:bottom w:w="0" w:type="dxa"/>
            <w:right w:w="0" w:type="dxa"/>
          </w:tblCellMar>
        </w:tblPrEx>
        <w:trPr>
          <w:wBefore w:w="0" w:type="auto"/>
          <w:tblCellSpacing w:w="0" w:type="dxa"/>
        </w:trPr>
        <w:tc>
          <w:tcPr>
            <w:tcW w:w="0" w:type="auto"/>
            <w:noWrap w:val="0"/>
            <w:vAlign w:val="center"/>
          </w:tcPr>
          <w:p w14:paraId="702CCADB">
            <w:r>
              <w:rPr>
                <w:rStyle w:val="10"/>
                <w:rFonts w:hint="eastAsia"/>
              </w:rPr>
              <w:t>登记证号：</w:t>
            </w:r>
            <w:r>
              <w:rPr>
                <w:rFonts w:hint="eastAsia"/>
              </w:rPr>
              <w:t>PD20212091</w:t>
            </w:r>
          </w:p>
        </w:tc>
      </w:tr>
      <w:tr w14:paraId="4E60EAD7">
        <w:tblPrEx>
          <w:tblCellMar>
            <w:top w:w="0" w:type="dxa"/>
            <w:left w:w="0" w:type="dxa"/>
            <w:bottom w:w="0" w:type="dxa"/>
            <w:right w:w="0" w:type="dxa"/>
          </w:tblCellMar>
        </w:tblPrEx>
        <w:trPr>
          <w:wBefore w:w="0" w:type="auto"/>
          <w:tblCellSpacing w:w="0" w:type="dxa"/>
        </w:trPr>
        <w:tc>
          <w:tcPr>
            <w:tcW w:w="0" w:type="auto"/>
            <w:noWrap w:val="0"/>
            <w:vAlign w:val="center"/>
          </w:tcPr>
          <w:p w14:paraId="3D6838DB">
            <w:r>
              <w:rPr>
                <w:rStyle w:val="10"/>
                <w:rFonts w:hint="eastAsia"/>
              </w:rPr>
              <w:t>登记证持有人：</w:t>
            </w:r>
            <w:r>
              <w:rPr>
                <w:rFonts w:hint="eastAsia"/>
              </w:rPr>
              <w:t>河北兴柏农业科技有限公司</w:t>
            </w:r>
          </w:p>
        </w:tc>
      </w:tr>
      <w:tr w14:paraId="421AAB0A">
        <w:tblPrEx>
          <w:tblCellMar>
            <w:top w:w="0" w:type="dxa"/>
            <w:left w:w="0" w:type="dxa"/>
            <w:bottom w:w="0" w:type="dxa"/>
            <w:right w:w="0" w:type="dxa"/>
          </w:tblCellMar>
        </w:tblPrEx>
        <w:trPr>
          <w:wBefore w:w="0" w:type="auto"/>
          <w:tblCellSpacing w:w="0" w:type="dxa"/>
        </w:trPr>
        <w:tc>
          <w:tcPr>
            <w:tcW w:w="0" w:type="auto"/>
            <w:noWrap w:val="0"/>
            <w:vAlign w:val="center"/>
          </w:tcPr>
          <w:p w14:paraId="69308D63">
            <w:r>
              <w:rPr>
                <w:rStyle w:val="10"/>
                <w:rFonts w:hint="eastAsia"/>
              </w:rPr>
              <w:t>农药名称：</w:t>
            </w:r>
            <w:r>
              <w:rPr>
                <w:rFonts w:hint="eastAsia"/>
              </w:rPr>
              <w:t>甲基二磺隆</w:t>
            </w:r>
          </w:p>
        </w:tc>
      </w:tr>
      <w:tr w14:paraId="1D1B3E0D">
        <w:tblPrEx>
          <w:tblCellMar>
            <w:top w:w="0" w:type="dxa"/>
            <w:left w:w="0" w:type="dxa"/>
            <w:bottom w:w="0" w:type="dxa"/>
            <w:right w:w="0" w:type="dxa"/>
          </w:tblCellMar>
        </w:tblPrEx>
        <w:trPr>
          <w:wBefore w:w="0" w:type="auto"/>
          <w:tblCellSpacing w:w="0" w:type="dxa"/>
        </w:trPr>
        <w:tc>
          <w:tcPr>
            <w:tcW w:w="0" w:type="auto"/>
            <w:noWrap w:val="0"/>
            <w:vAlign w:val="center"/>
          </w:tcPr>
          <w:p w14:paraId="41ED4B1B">
            <w:r>
              <w:rPr>
                <w:rStyle w:val="10"/>
                <w:rFonts w:hint="eastAsia"/>
              </w:rPr>
              <w:t>剂型：</w:t>
            </w:r>
            <w:r>
              <w:rPr>
                <w:rFonts w:hint="eastAsia"/>
              </w:rPr>
              <w:t>可分散油悬浮剂</w:t>
            </w:r>
          </w:p>
        </w:tc>
      </w:tr>
      <w:tr w14:paraId="711BFB15">
        <w:tblPrEx>
          <w:tblCellMar>
            <w:top w:w="0" w:type="dxa"/>
            <w:left w:w="0" w:type="dxa"/>
            <w:bottom w:w="0" w:type="dxa"/>
            <w:right w:w="0" w:type="dxa"/>
          </w:tblCellMar>
        </w:tblPrEx>
        <w:trPr>
          <w:wBefore w:w="0" w:type="auto"/>
          <w:tblCellSpacing w:w="0" w:type="dxa"/>
        </w:trPr>
        <w:tc>
          <w:tcPr>
            <w:tcW w:w="0" w:type="auto"/>
            <w:noWrap w:val="0"/>
            <w:vAlign w:val="center"/>
          </w:tcPr>
          <w:p w14:paraId="28776AB5">
            <w:r>
              <w:rPr>
                <w:rStyle w:val="10"/>
                <w:rFonts w:hint="eastAsia"/>
              </w:rPr>
              <w:t>毒性及其标识：</w:t>
            </w:r>
            <w:r>
              <w:rPr>
                <w:rFonts w:hint="eastAsia"/>
              </w:rPr>
              <w:t xml:space="preserve"> </w:t>
            </w:r>
            <w:r>
              <w:rPr>
                <w:lang/>
              </w:rPr>
              <w:drawing>
                <wp:inline distT="0" distB="0" distL="114300" distR="114300">
                  <wp:extent cx="476250" cy="323850"/>
                  <wp:effectExtent l="0" t="0" r="0" b="0"/>
                  <wp:docPr id="195" name="图片 19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CE522DB">
        <w:tblPrEx>
          <w:tblCellMar>
            <w:top w:w="0" w:type="dxa"/>
            <w:left w:w="0" w:type="dxa"/>
            <w:bottom w:w="0" w:type="dxa"/>
            <w:right w:w="0" w:type="dxa"/>
          </w:tblCellMar>
        </w:tblPrEx>
        <w:trPr>
          <w:wBefore w:w="0" w:type="auto"/>
          <w:tblCellSpacing w:w="0" w:type="dxa"/>
        </w:trPr>
        <w:tc>
          <w:tcPr>
            <w:tcW w:w="0" w:type="auto"/>
            <w:noWrap w:val="0"/>
            <w:vAlign w:val="center"/>
          </w:tcPr>
          <w:p w14:paraId="16B40B3B">
            <w:r>
              <w:rPr>
                <w:rStyle w:val="10"/>
                <w:rFonts w:hint="eastAsia"/>
              </w:rPr>
              <w:t>总有效成分含量：</w:t>
            </w:r>
            <w:r>
              <w:rPr>
                <w:rFonts w:hint="eastAsia"/>
              </w:rPr>
              <w:t>30克/升</w:t>
            </w:r>
          </w:p>
        </w:tc>
      </w:tr>
      <w:tr w14:paraId="7CABEF20">
        <w:tblPrEx>
          <w:tblCellMar>
            <w:top w:w="0" w:type="dxa"/>
            <w:left w:w="0" w:type="dxa"/>
            <w:bottom w:w="0" w:type="dxa"/>
            <w:right w:w="0" w:type="dxa"/>
          </w:tblCellMar>
        </w:tblPrEx>
        <w:trPr>
          <w:wBefore w:w="0" w:type="auto"/>
          <w:tblCellSpacing w:w="0" w:type="dxa"/>
        </w:trPr>
        <w:tc>
          <w:tcPr>
            <w:tcW w:w="0" w:type="auto"/>
            <w:noWrap w:val="0"/>
            <w:vAlign w:val="center"/>
          </w:tcPr>
          <w:p w14:paraId="43FF45A9">
            <w:r>
              <w:rPr>
                <w:rFonts w:hint="eastAsia"/>
              </w:rPr>
              <w:t xml:space="preserve">有效成分及其含量： </w:t>
            </w:r>
          </w:p>
          <w:p w14:paraId="51C448A9">
            <w:r>
              <w:rPr>
                <w:rFonts w:hint="eastAsia"/>
              </w:rPr>
              <w:t xml:space="preserve">    甲基二磺隆30克/升    </w:t>
            </w:r>
          </w:p>
        </w:tc>
      </w:tr>
      <w:tr w14:paraId="19BBB7B1">
        <w:tblPrEx>
          <w:tblCellMar>
            <w:top w:w="0" w:type="dxa"/>
            <w:left w:w="0" w:type="dxa"/>
            <w:bottom w:w="0" w:type="dxa"/>
            <w:right w:w="0" w:type="dxa"/>
          </w:tblCellMar>
        </w:tblPrEx>
        <w:trPr>
          <w:wBefore w:w="0" w:type="auto"/>
          <w:tblCellSpacing w:w="0" w:type="dxa"/>
        </w:trPr>
        <w:tc>
          <w:tcPr>
            <w:tcW w:w="0" w:type="auto"/>
            <w:noWrap w:val="0"/>
            <w:vAlign w:val="center"/>
          </w:tcPr>
          <w:p w14:paraId="2EB7C0D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AF36C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526DDD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CA51C7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C372C7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1CEFF5F">
                  <w:r>
                    <w:rPr>
                      <w:rStyle w:val="11"/>
                      <w:rFonts w:hint="eastAsia"/>
                    </w:rPr>
                    <w:t>施用方式</w:t>
                  </w:r>
                </w:p>
              </w:tc>
            </w:tr>
            <w:tr w14:paraId="733CB7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C4E140">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FBA902">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DEB6A3">
                  <w:r>
                    <w:rPr>
                      <w:rStyle w:val="11"/>
                      <w:rFonts w:hint="eastAsia"/>
                    </w:rPr>
                    <w:t>25-35毫升/亩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227DD1">
                  <w:r>
                    <w:rPr>
                      <w:rStyle w:val="11"/>
                      <w:rFonts w:hint="eastAsia"/>
                    </w:rPr>
                    <w:t>茎叶喷雾</w:t>
                  </w:r>
                </w:p>
              </w:tc>
            </w:tr>
          </w:tbl>
          <w:p w14:paraId="039A96A3">
            <w:pPr>
              <w:rPr>
                <w:rFonts w:ascii="Times New Roman" w:hAnsi="Times New Roman" w:cs="Times New Roman"/>
                <w:sz w:val="20"/>
                <w:szCs w:val="20"/>
              </w:rPr>
            </w:pPr>
          </w:p>
        </w:tc>
      </w:tr>
      <w:tr w14:paraId="1CAD0387">
        <w:tblPrEx>
          <w:tblCellMar>
            <w:top w:w="0" w:type="dxa"/>
            <w:left w:w="0" w:type="dxa"/>
            <w:bottom w:w="0" w:type="dxa"/>
            <w:right w:w="0" w:type="dxa"/>
          </w:tblCellMar>
        </w:tblPrEx>
        <w:trPr>
          <w:wBefore w:w="0" w:type="auto"/>
          <w:tblCellSpacing w:w="0" w:type="dxa"/>
        </w:trPr>
        <w:tc>
          <w:tcPr>
            <w:tcW w:w="0" w:type="auto"/>
            <w:noWrap w:val="0"/>
            <w:vAlign w:val="center"/>
          </w:tcPr>
          <w:p w14:paraId="48E90409">
            <w:r>
              <w:rPr>
                <w:rStyle w:val="10"/>
                <w:rFonts w:hint="eastAsia"/>
              </w:rPr>
              <w:t>使用技术要求:</w:t>
            </w:r>
            <w:r>
              <w:rPr>
                <w:rFonts w:hint="eastAsia"/>
              </w:rPr>
              <w:br w:type="textWrapping"/>
            </w:r>
            <w:r>
              <w:rPr>
                <w:rStyle w:val="11"/>
                <w:rFonts w:hint="eastAsia"/>
              </w:rPr>
              <w:t>1. 本品应于小麦3-6叶期、一年生杂草2-5叶期使用，茎叶喷雾法施药。 2. 配药前先按农药科学使用规范原包装摇匀，再采用二次稀释法配药。严格按照标签推荐的剂量和方法施药，田间喷液量均匀一致，严禁重喷、多喷和漏喷。本剂型制剂储藏后，常出现分层现象，使用前用力摇匀后配制药液，不影响药效。3. 每季作物最多使用1次，安全间隔期可设定为收获期。</w:t>
            </w:r>
          </w:p>
        </w:tc>
      </w:tr>
      <w:tr w14:paraId="7FB2B84C">
        <w:tblPrEx>
          <w:tblCellMar>
            <w:top w:w="0" w:type="dxa"/>
            <w:left w:w="0" w:type="dxa"/>
            <w:bottom w:w="0" w:type="dxa"/>
            <w:right w:w="0" w:type="dxa"/>
          </w:tblCellMar>
        </w:tblPrEx>
        <w:trPr>
          <w:wBefore w:w="0" w:type="auto"/>
          <w:tblCellSpacing w:w="0" w:type="dxa"/>
        </w:trPr>
        <w:tc>
          <w:tcPr>
            <w:tcW w:w="0" w:type="auto"/>
            <w:noWrap w:val="0"/>
            <w:vAlign w:val="center"/>
          </w:tcPr>
          <w:p w14:paraId="4331C65C">
            <w:r>
              <w:rPr>
                <w:rStyle w:val="10"/>
                <w:rFonts w:hint="eastAsia"/>
              </w:rPr>
              <w:t>产品性能:</w:t>
            </w:r>
            <w:r>
              <w:rPr>
                <w:rFonts w:hint="eastAsia"/>
              </w:rPr>
              <w:br w:type="textWrapping"/>
            </w:r>
            <w:r>
              <w:rPr>
                <w:rStyle w:val="11"/>
                <w:rFonts w:hint="eastAsia"/>
              </w:rPr>
              <w:t>甲基二磺隆属磺酰脲类除草剂，为支链氨基酸合成（乙酰乳酸合成酶ALS或乙酰羟基酸合成酶AHAS）抑制剂。抑制生物体必需的氨基酸缬氨酸、异亮氨酸的生物合成，而使细胞停止分裂，阻碍植物生长。可用于防除小麦田一年生杂草。</w:t>
            </w:r>
          </w:p>
        </w:tc>
      </w:tr>
      <w:tr w14:paraId="2B6F5328">
        <w:tblPrEx>
          <w:tblCellMar>
            <w:top w:w="0" w:type="dxa"/>
            <w:left w:w="0" w:type="dxa"/>
            <w:bottom w:w="0" w:type="dxa"/>
            <w:right w:w="0" w:type="dxa"/>
          </w:tblCellMar>
        </w:tblPrEx>
        <w:trPr>
          <w:wBefore w:w="0" w:type="auto"/>
          <w:tblCellSpacing w:w="0" w:type="dxa"/>
        </w:trPr>
        <w:tc>
          <w:tcPr>
            <w:tcW w:w="0" w:type="auto"/>
            <w:noWrap w:val="0"/>
            <w:vAlign w:val="center"/>
          </w:tcPr>
          <w:p w14:paraId="3B89B631">
            <w:r>
              <w:rPr>
                <w:rStyle w:val="10"/>
                <w:rFonts w:hint="eastAsia"/>
              </w:rPr>
              <w:t>注意事项：</w:t>
            </w:r>
            <w:r>
              <w:rPr>
                <w:rFonts w:hint="eastAsia"/>
              </w:rPr>
              <w:br w:type="textWrapping"/>
            </w:r>
            <w:r>
              <w:rPr>
                <w:rStyle w:val="11"/>
                <w:rFonts w:hint="eastAsia"/>
              </w:rPr>
              <w:t>1. 施药后有蹲苗作用，某些小麦品种可能出现黄化或矮化现象，小麦返青起身后黄化自然消失，可抑制小麦徒长倒伏。麦田套种下茬作物时，应于小麦起身拔节55天以后进行。麦田处理4周内不可放牧或收割麦苗饲用。2. 不推荐与激素类除草剂混用，如2，4-D、2甲4氯等。3. 本品对眼睛有刺激性，使用时避免接触眼睛，穿戴长衣、长裤、帽子、口罩、手套等防护措施；使用中不可吸烟、饮水及吃东西，使用后及时用大量清水和肥皂清洗手、脸等暴露部位皮肤并更换衣物。4. 对水生生物有毒，远离水产养殖区、河塘等水体施药，禁止在河塘等水体中清洗施药器具；清洗施药器具的废水不能排入河流、池塘等水源。5. 对蜜蜂有毒，（周围）开花植物花期禁用，使用时应密切关注对附近蜂群的影响。6. 用过的容器应妥善处理，不可做他用，也不可随意丢弃。7. 禁止儿童、孕妇及哺乳期的妇女接触。过敏者禁用，使用中有任何不良反应请及时就医。</w:t>
            </w:r>
          </w:p>
        </w:tc>
      </w:tr>
      <w:tr w14:paraId="54AC2C1A">
        <w:tblPrEx>
          <w:tblCellMar>
            <w:top w:w="0" w:type="dxa"/>
            <w:left w:w="0" w:type="dxa"/>
            <w:bottom w:w="0" w:type="dxa"/>
            <w:right w:w="0" w:type="dxa"/>
          </w:tblCellMar>
        </w:tblPrEx>
        <w:trPr>
          <w:wBefore w:w="0" w:type="auto"/>
          <w:tblCellSpacing w:w="0" w:type="dxa"/>
        </w:trPr>
        <w:tc>
          <w:tcPr>
            <w:tcW w:w="0" w:type="auto"/>
            <w:noWrap w:val="0"/>
            <w:vAlign w:val="center"/>
          </w:tcPr>
          <w:p w14:paraId="412F0C36">
            <w:r>
              <w:rPr>
                <w:rStyle w:val="10"/>
                <w:rFonts w:hint="eastAsia"/>
              </w:rPr>
              <w:t>中毒急救措施：</w:t>
            </w:r>
            <w:r>
              <w:rPr>
                <w:rFonts w:hint="eastAsia"/>
              </w:rPr>
              <w:br w:type="textWrapping"/>
            </w:r>
            <w:r>
              <w:rPr>
                <w:rStyle w:val="11"/>
                <w:rFonts w:hint="eastAsia"/>
              </w:rPr>
              <w:t>中毒症状：对眼睛有刺激性。 急救措施：使用中或使用后如果感觉不适，应立即停止工作，采取急救措施，并携带标签送医院就诊。 皮肤接触：立即脱去污染衣物，用软布去除沾染农药，立即用大量清水和肥皂冲洗。眼睛接触：用流动的清水冲洗至少15分钟。吸入：立即离开施药现场，转移到空气清新处。误服：立即停止服用，用清水充分漱口后，携带农药标签到医院就诊。</w:t>
            </w:r>
          </w:p>
        </w:tc>
      </w:tr>
      <w:tr w14:paraId="78BF1484">
        <w:tblPrEx>
          <w:tblCellMar>
            <w:top w:w="0" w:type="dxa"/>
            <w:left w:w="0" w:type="dxa"/>
            <w:bottom w:w="0" w:type="dxa"/>
            <w:right w:w="0" w:type="dxa"/>
          </w:tblCellMar>
        </w:tblPrEx>
        <w:trPr>
          <w:wBefore w:w="0" w:type="auto"/>
          <w:tblCellSpacing w:w="0" w:type="dxa"/>
        </w:trPr>
        <w:tc>
          <w:tcPr>
            <w:tcW w:w="0" w:type="auto"/>
            <w:noWrap w:val="0"/>
            <w:vAlign w:val="center"/>
          </w:tcPr>
          <w:p w14:paraId="1DC1974B">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本品应贮存在干燥、阴凉、通风、防雨处，远离火源或热源。置于儿童接触不到的地方。不能与食品、饮料、粮食、饲料等混合储存。</w:t>
            </w:r>
          </w:p>
        </w:tc>
      </w:tr>
      <w:tr w14:paraId="7D1C1E00">
        <w:tblPrEx>
          <w:tblCellMar>
            <w:top w:w="0" w:type="dxa"/>
            <w:left w:w="0" w:type="dxa"/>
            <w:bottom w:w="0" w:type="dxa"/>
            <w:right w:w="0" w:type="dxa"/>
          </w:tblCellMar>
        </w:tblPrEx>
        <w:trPr>
          <w:wBefore w:w="0" w:type="auto"/>
          <w:tblCellSpacing w:w="0" w:type="dxa"/>
        </w:trPr>
        <w:tc>
          <w:tcPr>
            <w:tcW w:w="0" w:type="auto"/>
            <w:noWrap w:val="0"/>
            <w:vAlign w:val="center"/>
          </w:tcPr>
          <w:p w14:paraId="2B3E7E1B">
            <w:r>
              <w:rPr>
                <w:rStyle w:val="10"/>
                <w:rFonts w:hint="eastAsia"/>
              </w:rPr>
              <w:t>质量保证期：</w:t>
            </w:r>
            <w:r>
              <w:rPr>
                <w:rStyle w:val="11"/>
                <w:rFonts w:hint="eastAsia"/>
              </w:rPr>
              <w:t>2年</w:t>
            </w:r>
          </w:p>
        </w:tc>
      </w:tr>
      <w:tr w14:paraId="669E1E3D">
        <w:tblPrEx>
          <w:tblCellMar>
            <w:top w:w="0" w:type="dxa"/>
            <w:left w:w="0" w:type="dxa"/>
            <w:bottom w:w="0" w:type="dxa"/>
            <w:right w:w="0" w:type="dxa"/>
          </w:tblCellMar>
        </w:tblPrEx>
        <w:trPr>
          <w:wBefore w:w="0" w:type="auto"/>
          <w:tblCellSpacing w:w="0" w:type="dxa"/>
        </w:trPr>
        <w:tc>
          <w:tcPr>
            <w:tcW w:w="0" w:type="auto"/>
            <w:noWrap w:val="0"/>
            <w:vAlign w:val="center"/>
          </w:tcPr>
          <w:p w14:paraId="5DE0B230">
            <w:r>
              <w:rPr>
                <w:rStyle w:val="10"/>
                <w:rFonts w:hint="eastAsia"/>
              </w:rPr>
              <w:t>备注：</w:t>
            </w:r>
            <w:r>
              <w:rPr>
                <w:rFonts w:hint="eastAsia"/>
              </w:rPr>
              <w:br w:type="textWrapping"/>
            </w:r>
            <w:r>
              <w:rPr>
                <w:rStyle w:val="11"/>
                <w:rFonts w:hint="eastAsia"/>
              </w:rPr>
              <w:t>质量分数3%。</w:t>
            </w:r>
          </w:p>
        </w:tc>
      </w:tr>
    </w:tbl>
    <w:p w14:paraId="0D31E98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2F1450B">
        <w:tblPrEx>
          <w:tblCellMar>
            <w:top w:w="0" w:type="dxa"/>
            <w:left w:w="0" w:type="dxa"/>
            <w:bottom w:w="0" w:type="dxa"/>
            <w:right w:w="0" w:type="dxa"/>
          </w:tblCellMar>
        </w:tblPrEx>
        <w:trPr>
          <w:wBefore w:w="0" w:type="auto"/>
          <w:tblCellSpacing w:w="0" w:type="dxa"/>
        </w:trPr>
        <w:tc>
          <w:tcPr>
            <w:tcW w:w="0" w:type="auto"/>
            <w:noWrap w:val="0"/>
            <w:vAlign w:val="center"/>
          </w:tcPr>
          <w:p w14:paraId="55C04B75">
            <w:r>
              <w:rPr>
                <w:rStyle w:val="10"/>
                <w:rFonts w:hint="eastAsia"/>
              </w:rPr>
              <w:t>登记证号：</w:t>
            </w:r>
            <w:r>
              <w:rPr>
                <w:rFonts w:hint="eastAsia"/>
              </w:rPr>
              <w:t>PD20211987</w:t>
            </w:r>
          </w:p>
        </w:tc>
      </w:tr>
      <w:tr w14:paraId="168DF8B4">
        <w:tblPrEx>
          <w:tblCellMar>
            <w:top w:w="0" w:type="dxa"/>
            <w:left w:w="0" w:type="dxa"/>
            <w:bottom w:w="0" w:type="dxa"/>
            <w:right w:w="0" w:type="dxa"/>
          </w:tblCellMar>
        </w:tblPrEx>
        <w:trPr>
          <w:wBefore w:w="0" w:type="auto"/>
          <w:tblCellSpacing w:w="0" w:type="dxa"/>
        </w:trPr>
        <w:tc>
          <w:tcPr>
            <w:tcW w:w="0" w:type="auto"/>
            <w:noWrap w:val="0"/>
            <w:vAlign w:val="center"/>
          </w:tcPr>
          <w:p w14:paraId="324B8F3F">
            <w:r>
              <w:rPr>
                <w:rStyle w:val="10"/>
                <w:rFonts w:hint="eastAsia"/>
              </w:rPr>
              <w:t>登记证持有人：</w:t>
            </w:r>
            <w:r>
              <w:rPr>
                <w:rFonts w:hint="eastAsia"/>
              </w:rPr>
              <w:t>深圳诺普信农化股份有限公司</w:t>
            </w:r>
          </w:p>
        </w:tc>
      </w:tr>
      <w:tr w14:paraId="460266A6">
        <w:tblPrEx>
          <w:tblCellMar>
            <w:top w:w="0" w:type="dxa"/>
            <w:left w:w="0" w:type="dxa"/>
            <w:bottom w:w="0" w:type="dxa"/>
            <w:right w:w="0" w:type="dxa"/>
          </w:tblCellMar>
        </w:tblPrEx>
        <w:trPr>
          <w:wBefore w:w="0" w:type="auto"/>
          <w:tblCellSpacing w:w="0" w:type="dxa"/>
        </w:trPr>
        <w:tc>
          <w:tcPr>
            <w:tcW w:w="0" w:type="auto"/>
            <w:noWrap w:val="0"/>
            <w:vAlign w:val="center"/>
          </w:tcPr>
          <w:p w14:paraId="3486AB99">
            <w:r>
              <w:rPr>
                <w:rStyle w:val="10"/>
                <w:rFonts w:hint="eastAsia"/>
              </w:rPr>
              <w:t>农药名称：</w:t>
            </w:r>
            <w:r>
              <w:rPr>
                <w:rFonts w:hint="eastAsia"/>
              </w:rPr>
              <w:t>咯菌·嘧菌酯</w:t>
            </w:r>
          </w:p>
        </w:tc>
      </w:tr>
      <w:tr w14:paraId="4319C346">
        <w:tblPrEx>
          <w:tblCellMar>
            <w:top w:w="0" w:type="dxa"/>
            <w:left w:w="0" w:type="dxa"/>
            <w:bottom w:w="0" w:type="dxa"/>
            <w:right w:w="0" w:type="dxa"/>
          </w:tblCellMar>
        </w:tblPrEx>
        <w:trPr>
          <w:wBefore w:w="0" w:type="auto"/>
          <w:tblCellSpacing w:w="0" w:type="dxa"/>
        </w:trPr>
        <w:tc>
          <w:tcPr>
            <w:tcW w:w="0" w:type="auto"/>
            <w:noWrap w:val="0"/>
            <w:vAlign w:val="center"/>
          </w:tcPr>
          <w:p w14:paraId="1A1C93F3">
            <w:r>
              <w:rPr>
                <w:rStyle w:val="10"/>
                <w:rFonts w:hint="eastAsia"/>
              </w:rPr>
              <w:t>剂型：</w:t>
            </w:r>
            <w:r>
              <w:rPr>
                <w:rFonts w:hint="eastAsia"/>
              </w:rPr>
              <w:t>颗粒剂</w:t>
            </w:r>
          </w:p>
        </w:tc>
      </w:tr>
      <w:tr w14:paraId="655687D6">
        <w:tblPrEx>
          <w:tblCellMar>
            <w:top w:w="0" w:type="dxa"/>
            <w:left w:w="0" w:type="dxa"/>
            <w:bottom w:w="0" w:type="dxa"/>
            <w:right w:w="0" w:type="dxa"/>
          </w:tblCellMar>
        </w:tblPrEx>
        <w:trPr>
          <w:wBefore w:w="0" w:type="auto"/>
          <w:tblCellSpacing w:w="0" w:type="dxa"/>
        </w:trPr>
        <w:tc>
          <w:tcPr>
            <w:tcW w:w="0" w:type="auto"/>
            <w:noWrap w:val="0"/>
            <w:vAlign w:val="center"/>
          </w:tcPr>
          <w:p w14:paraId="76B1AF9B">
            <w:r>
              <w:rPr>
                <w:rStyle w:val="10"/>
                <w:rFonts w:hint="eastAsia"/>
              </w:rPr>
              <w:t>毒性及其标识：</w:t>
            </w:r>
            <w:r>
              <w:rPr>
                <w:rFonts w:hint="eastAsia"/>
              </w:rPr>
              <w:t xml:space="preserve"> 微毒 </w:t>
            </w:r>
          </w:p>
        </w:tc>
      </w:tr>
      <w:tr w14:paraId="13E9B95A">
        <w:tblPrEx>
          <w:tblCellMar>
            <w:top w:w="0" w:type="dxa"/>
            <w:left w:w="0" w:type="dxa"/>
            <w:bottom w:w="0" w:type="dxa"/>
            <w:right w:w="0" w:type="dxa"/>
          </w:tblCellMar>
        </w:tblPrEx>
        <w:trPr>
          <w:wBefore w:w="0" w:type="auto"/>
          <w:tblCellSpacing w:w="0" w:type="dxa"/>
        </w:trPr>
        <w:tc>
          <w:tcPr>
            <w:tcW w:w="0" w:type="auto"/>
            <w:noWrap w:val="0"/>
            <w:vAlign w:val="center"/>
          </w:tcPr>
          <w:p w14:paraId="42644EED">
            <w:r>
              <w:rPr>
                <w:rStyle w:val="10"/>
                <w:rFonts w:hint="eastAsia"/>
              </w:rPr>
              <w:t>总有效成分含量：</w:t>
            </w:r>
            <w:r>
              <w:rPr>
                <w:rFonts w:hint="eastAsia"/>
              </w:rPr>
              <w:t>0.6%</w:t>
            </w:r>
          </w:p>
        </w:tc>
      </w:tr>
      <w:tr w14:paraId="2F899CE2">
        <w:tblPrEx>
          <w:tblCellMar>
            <w:top w:w="0" w:type="dxa"/>
            <w:left w:w="0" w:type="dxa"/>
            <w:bottom w:w="0" w:type="dxa"/>
            <w:right w:w="0" w:type="dxa"/>
          </w:tblCellMar>
        </w:tblPrEx>
        <w:trPr>
          <w:wBefore w:w="0" w:type="auto"/>
          <w:tblCellSpacing w:w="0" w:type="dxa"/>
        </w:trPr>
        <w:tc>
          <w:tcPr>
            <w:tcW w:w="0" w:type="auto"/>
            <w:noWrap w:val="0"/>
            <w:vAlign w:val="center"/>
          </w:tcPr>
          <w:p w14:paraId="7E7FDAF9">
            <w:r>
              <w:rPr>
                <w:rFonts w:hint="eastAsia"/>
              </w:rPr>
              <w:t xml:space="preserve">有效成分及其含量： </w:t>
            </w:r>
          </w:p>
          <w:p w14:paraId="6689C7A1">
            <w:r>
              <w:rPr>
                <w:rFonts w:hint="eastAsia"/>
              </w:rPr>
              <w:t xml:space="preserve">    咯菌腈0.1%    嘧菌酯0.5%    </w:t>
            </w:r>
          </w:p>
        </w:tc>
      </w:tr>
      <w:tr w14:paraId="0122FCB4">
        <w:tblPrEx>
          <w:tblCellMar>
            <w:top w:w="0" w:type="dxa"/>
            <w:left w:w="0" w:type="dxa"/>
            <w:bottom w:w="0" w:type="dxa"/>
            <w:right w:w="0" w:type="dxa"/>
          </w:tblCellMar>
        </w:tblPrEx>
        <w:trPr>
          <w:wBefore w:w="0" w:type="auto"/>
          <w:tblCellSpacing w:w="0" w:type="dxa"/>
        </w:trPr>
        <w:tc>
          <w:tcPr>
            <w:tcW w:w="0" w:type="auto"/>
            <w:noWrap w:val="0"/>
            <w:vAlign w:val="center"/>
          </w:tcPr>
          <w:p w14:paraId="6AB5462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2BD40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61246A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8E486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E3C470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2A63FD8">
                  <w:r>
                    <w:rPr>
                      <w:rStyle w:val="11"/>
                      <w:rFonts w:hint="eastAsia"/>
                    </w:rPr>
                    <w:t>施用方式</w:t>
                  </w:r>
                </w:p>
              </w:tc>
            </w:tr>
            <w:tr w14:paraId="1CAD8D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3BB6EE1">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C6328E">
                  <w:r>
                    <w:rPr>
                      <w:rStyle w:val="11"/>
                      <w:rFonts w:hint="eastAsia"/>
                    </w:rPr>
                    <w:t>枯萎病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ED78D2">
                  <w:r>
                    <w:rPr>
                      <w:rStyle w:val="11"/>
                      <w:rFonts w:hint="eastAsia"/>
                    </w:rPr>
                    <w:t>3000-5000克/亩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C5AE5A">
                  <w:r>
                    <w:rPr>
                      <w:rStyle w:val="11"/>
                      <w:rFonts w:hint="eastAsia"/>
                    </w:rPr>
                    <w:t>沟施</w:t>
                  </w:r>
                </w:p>
              </w:tc>
            </w:tr>
          </w:tbl>
          <w:p w14:paraId="6F6B27FA">
            <w:pPr>
              <w:rPr>
                <w:rFonts w:ascii="Times New Roman" w:hAnsi="Times New Roman" w:cs="Times New Roman"/>
                <w:sz w:val="20"/>
                <w:szCs w:val="20"/>
              </w:rPr>
            </w:pPr>
          </w:p>
        </w:tc>
      </w:tr>
      <w:tr w14:paraId="6CE10D7E">
        <w:tblPrEx>
          <w:tblCellMar>
            <w:top w:w="0" w:type="dxa"/>
            <w:left w:w="0" w:type="dxa"/>
            <w:bottom w:w="0" w:type="dxa"/>
            <w:right w:w="0" w:type="dxa"/>
          </w:tblCellMar>
        </w:tblPrEx>
        <w:trPr>
          <w:wBefore w:w="0" w:type="auto"/>
          <w:tblCellSpacing w:w="0" w:type="dxa"/>
        </w:trPr>
        <w:tc>
          <w:tcPr>
            <w:tcW w:w="0" w:type="auto"/>
            <w:noWrap w:val="0"/>
            <w:vAlign w:val="center"/>
          </w:tcPr>
          <w:p w14:paraId="020734F1">
            <w:r>
              <w:rPr>
                <w:rStyle w:val="10"/>
                <w:rFonts w:hint="eastAsia"/>
              </w:rPr>
              <w:t>使用技术要求:</w:t>
            </w:r>
            <w:r>
              <w:rPr>
                <w:rFonts w:hint="eastAsia"/>
              </w:rPr>
              <w:br w:type="textWrapping"/>
            </w:r>
            <w:r>
              <w:rPr>
                <w:rStyle w:val="11"/>
                <w:rFonts w:hint="eastAsia"/>
              </w:rPr>
              <w:t>1.辣椒移栽前沟施1次；2.大风天请勿施药；3.每季最多使用1次。</w:t>
            </w:r>
          </w:p>
        </w:tc>
      </w:tr>
      <w:tr w14:paraId="4423F44F">
        <w:tblPrEx>
          <w:tblCellMar>
            <w:top w:w="0" w:type="dxa"/>
            <w:left w:w="0" w:type="dxa"/>
            <w:bottom w:w="0" w:type="dxa"/>
            <w:right w:w="0" w:type="dxa"/>
          </w:tblCellMar>
        </w:tblPrEx>
        <w:trPr>
          <w:wBefore w:w="0" w:type="auto"/>
          <w:tblCellSpacing w:w="0" w:type="dxa"/>
        </w:trPr>
        <w:tc>
          <w:tcPr>
            <w:tcW w:w="0" w:type="auto"/>
            <w:noWrap w:val="0"/>
            <w:vAlign w:val="center"/>
          </w:tcPr>
          <w:p w14:paraId="614B6679">
            <w:r>
              <w:rPr>
                <w:rStyle w:val="10"/>
                <w:rFonts w:hint="eastAsia"/>
              </w:rPr>
              <w:t>产品性能:</w:t>
            </w:r>
            <w:r>
              <w:rPr>
                <w:rFonts w:hint="eastAsia"/>
              </w:rPr>
              <w:br w:type="textWrapping"/>
            </w:r>
            <w:r>
              <w:rPr>
                <w:rStyle w:val="11"/>
                <w:rFonts w:hint="eastAsia"/>
              </w:rPr>
              <w:t>本品由咯菌腈和嘧菌酯复配而成，可被根吸收，并迅速向植株上部传导，可以有效的防治辣椒枯萎病。</w:t>
            </w:r>
          </w:p>
        </w:tc>
      </w:tr>
      <w:tr w14:paraId="7370E7C8">
        <w:tblPrEx>
          <w:tblCellMar>
            <w:top w:w="0" w:type="dxa"/>
            <w:left w:w="0" w:type="dxa"/>
            <w:bottom w:w="0" w:type="dxa"/>
            <w:right w:w="0" w:type="dxa"/>
          </w:tblCellMar>
        </w:tblPrEx>
        <w:trPr>
          <w:wBefore w:w="0" w:type="auto"/>
          <w:tblCellSpacing w:w="0" w:type="dxa"/>
        </w:trPr>
        <w:tc>
          <w:tcPr>
            <w:tcW w:w="0" w:type="auto"/>
            <w:noWrap w:val="0"/>
            <w:vAlign w:val="center"/>
          </w:tcPr>
          <w:p w14:paraId="216C5AC9">
            <w:r>
              <w:rPr>
                <w:rStyle w:val="10"/>
                <w:rFonts w:hint="eastAsia"/>
              </w:rPr>
              <w:t>注意事项：</w:t>
            </w:r>
            <w:r>
              <w:rPr>
                <w:rFonts w:hint="eastAsia"/>
              </w:rPr>
              <w:br w:type="textWrapping"/>
            </w:r>
            <w:r>
              <w:rPr>
                <w:rStyle w:val="11"/>
                <w:rFonts w:hint="eastAsia"/>
              </w:rPr>
              <w:t>1.本品不能与碱性农药等物质混合使用。2.施药时，应穿长衣、长裤、鞋，戴口罩以及胶皮手套，以避免污染皮肤和眼睛；施药期间不可进食、饮水和吸烟；施药完毕后应及时换洗衣物，洗净手、脸和被污染的皮肤。3.施药前、后要彻底清洗施药器械，洗涤后的废水不应污染河流等水源，未用完的药液应密封后妥善放置。禁止在河塘等水域清洗施药器具。 4.开启封口应小心药剂撒出，废弃包装物应由生产企业或其他单位回收处理，不可随意丢弃或作他用。 5.鸟类保护区附近禁用，播种、施药后立即覆土。6.孕妇及哺乳期妇女禁止接触本品。</w:t>
            </w:r>
          </w:p>
        </w:tc>
      </w:tr>
      <w:tr w14:paraId="7010FD0B">
        <w:tblPrEx>
          <w:tblCellMar>
            <w:top w:w="0" w:type="dxa"/>
            <w:left w:w="0" w:type="dxa"/>
            <w:bottom w:w="0" w:type="dxa"/>
            <w:right w:w="0" w:type="dxa"/>
          </w:tblCellMar>
        </w:tblPrEx>
        <w:trPr>
          <w:wBefore w:w="0" w:type="auto"/>
          <w:tblCellSpacing w:w="0" w:type="dxa"/>
        </w:trPr>
        <w:tc>
          <w:tcPr>
            <w:tcW w:w="0" w:type="auto"/>
            <w:noWrap w:val="0"/>
            <w:vAlign w:val="center"/>
          </w:tcPr>
          <w:p w14:paraId="611FB8E9">
            <w:r>
              <w:rPr>
                <w:rStyle w:val="10"/>
                <w:rFonts w:hint="eastAsia"/>
              </w:rPr>
              <w:t>中毒急救措施：</w:t>
            </w:r>
            <w:r>
              <w:rPr>
                <w:rFonts w:hint="eastAsia"/>
              </w:rPr>
              <w:br w:type="textWrapping"/>
            </w:r>
            <w:r>
              <w:rPr>
                <w:rStyle w:val="11"/>
                <w:rFonts w:hint="eastAsia"/>
              </w:rPr>
              <w:t>使用中或使用后如感觉不适，应立即采取急救措施；本品如误入眼睛，立即用清水至少冲洗15分钟，仍有不适立即就医；如接触皮肤，立即用清水冲洗并换洗衣物；如误服立即送医院对症治疗，无特殊解毒剂。</w:t>
            </w:r>
          </w:p>
        </w:tc>
      </w:tr>
      <w:tr w14:paraId="0F07C60E">
        <w:tblPrEx>
          <w:tblCellMar>
            <w:top w:w="0" w:type="dxa"/>
            <w:left w:w="0" w:type="dxa"/>
            <w:bottom w:w="0" w:type="dxa"/>
            <w:right w:w="0" w:type="dxa"/>
          </w:tblCellMar>
        </w:tblPrEx>
        <w:trPr>
          <w:wBefore w:w="0" w:type="auto"/>
          <w:tblCellSpacing w:w="0" w:type="dxa"/>
        </w:trPr>
        <w:tc>
          <w:tcPr>
            <w:tcW w:w="0" w:type="auto"/>
            <w:noWrap w:val="0"/>
            <w:vAlign w:val="center"/>
          </w:tcPr>
          <w:p w14:paraId="477E8E64">
            <w:r>
              <w:rPr>
                <w:rStyle w:val="10"/>
                <w:rFonts w:hint="eastAsia"/>
              </w:rPr>
              <w:t>储存和运输方法：</w:t>
            </w:r>
            <w:r>
              <w:rPr>
                <w:rFonts w:hint="eastAsia"/>
              </w:rPr>
              <w:br w:type="textWrapping"/>
            </w:r>
            <w:r>
              <w:rPr>
                <w:rStyle w:val="11"/>
                <w:rFonts w:hint="eastAsia"/>
              </w:rPr>
              <w:t>本品贮存应注意阴凉、干燥、通风，远离火源，不能与食品、饮料、粮食、饲料等物品同贮同运。远离儿童及家畜并加锁，以免误服。避免与皮肤、眼睛接触。装卸运输时注意检查包装是否密封完整，轻拿轻放，不可倒置。</w:t>
            </w:r>
          </w:p>
        </w:tc>
      </w:tr>
      <w:tr w14:paraId="6D4C9519">
        <w:tblPrEx>
          <w:tblCellMar>
            <w:top w:w="0" w:type="dxa"/>
            <w:left w:w="0" w:type="dxa"/>
            <w:bottom w:w="0" w:type="dxa"/>
            <w:right w:w="0" w:type="dxa"/>
          </w:tblCellMar>
        </w:tblPrEx>
        <w:trPr>
          <w:wBefore w:w="0" w:type="auto"/>
          <w:tblCellSpacing w:w="0" w:type="dxa"/>
        </w:trPr>
        <w:tc>
          <w:tcPr>
            <w:tcW w:w="0" w:type="auto"/>
            <w:noWrap w:val="0"/>
            <w:vAlign w:val="center"/>
          </w:tcPr>
          <w:p w14:paraId="45E55918">
            <w:r>
              <w:rPr>
                <w:rStyle w:val="10"/>
                <w:rFonts w:hint="eastAsia"/>
              </w:rPr>
              <w:t>质量保证期：</w:t>
            </w:r>
            <w:r>
              <w:rPr>
                <w:rStyle w:val="11"/>
                <w:rFonts w:hint="eastAsia"/>
              </w:rPr>
              <w:t>2年</w:t>
            </w:r>
          </w:p>
        </w:tc>
      </w:tr>
      <w:tr w14:paraId="044DA47C">
        <w:tblPrEx>
          <w:tblCellMar>
            <w:top w:w="0" w:type="dxa"/>
            <w:left w:w="0" w:type="dxa"/>
            <w:bottom w:w="0" w:type="dxa"/>
            <w:right w:w="0" w:type="dxa"/>
          </w:tblCellMar>
        </w:tblPrEx>
        <w:trPr>
          <w:wBefore w:w="0" w:type="auto"/>
          <w:tblCellSpacing w:w="0" w:type="dxa"/>
        </w:trPr>
        <w:tc>
          <w:tcPr>
            <w:tcW w:w="0" w:type="auto"/>
            <w:noWrap w:val="0"/>
            <w:vAlign w:val="center"/>
          </w:tcPr>
          <w:p w14:paraId="6866FC35">
            <w:r>
              <w:rPr>
                <w:rStyle w:val="10"/>
                <w:rFonts w:hint="eastAsia"/>
              </w:rPr>
              <w:t>备注：</w:t>
            </w:r>
          </w:p>
        </w:tc>
      </w:tr>
    </w:tbl>
    <w:p w14:paraId="71E1BF3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FA12CB9">
        <w:tblPrEx>
          <w:tblCellMar>
            <w:top w:w="0" w:type="dxa"/>
            <w:left w:w="0" w:type="dxa"/>
            <w:bottom w:w="0" w:type="dxa"/>
            <w:right w:w="0" w:type="dxa"/>
          </w:tblCellMar>
        </w:tblPrEx>
        <w:trPr>
          <w:wBefore w:w="0" w:type="auto"/>
          <w:tblCellSpacing w:w="0" w:type="dxa"/>
        </w:trPr>
        <w:tc>
          <w:tcPr>
            <w:tcW w:w="0" w:type="auto"/>
            <w:noWrap w:val="0"/>
            <w:vAlign w:val="center"/>
          </w:tcPr>
          <w:p w14:paraId="03B376E0">
            <w:r>
              <w:rPr>
                <w:rStyle w:val="10"/>
                <w:rFonts w:hint="eastAsia"/>
              </w:rPr>
              <w:t>登记证号：</w:t>
            </w:r>
            <w:r>
              <w:rPr>
                <w:rFonts w:hint="eastAsia"/>
              </w:rPr>
              <w:t>PD20212258</w:t>
            </w:r>
          </w:p>
        </w:tc>
      </w:tr>
      <w:tr w14:paraId="4CCAFE04">
        <w:tblPrEx>
          <w:tblCellMar>
            <w:top w:w="0" w:type="dxa"/>
            <w:left w:w="0" w:type="dxa"/>
            <w:bottom w:w="0" w:type="dxa"/>
            <w:right w:w="0" w:type="dxa"/>
          </w:tblCellMar>
        </w:tblPrEx>
        <w:trPr>
          <w:wBefore w:w="0" w:type="auto"/>
          <w:tblCellSpacing w:w="0" w:type="dxa"/>
        </w:trPr>
        <w:tc>
          <w:tcPr>
            <w:tcW w:w="0" w:type="auto"/>
            <w:noWrap w:val="0"/>
            <w:vAlign w:val="center"/>
          </w:tcPr>
          <w:p w14:paraId="37FF1DEE">
            <w:r>
              <w:rPr>
                <w:rStyle w:val="10"/>
                <w:rFonts w:hint="eastAsia"/>
              </w:rPr>
              <w:t>登记证持有人：</w:t>
            </w:r>
            <w:r>
              <w:rPr>
                <w:rFonts w:hint="eastAsia"/>
              </w:rPr>
              <w:t>安徽远景作物保护有限公司</w:t>
            </w:r>
          </w:p>
        </w:tc>
      </w:tr>
      <w:tr w14:paraId="702478E5">
        <w:tblPrEx>
          <w:tblCellMar>
            <w:top w:w="0" w:type="dxa"/>
            <w:left w:w="0" w:type="dxa"/>
            <w:bottom w:w="0" w:type="dxa"/>
            <w:right w:w="0" w:type="dxa"/>
          </w:tblCellMar>
        </w:tblPrEx>
        <w:trPr>
          <w:wBefore w:w="0" w:type="auto"/>
          <w:tblCellSpacing w:w="0" w:type="dxa"/>
        </w:trPr>
        <w:tc>
          <w:tcPr>
            <w:tcW w:w="0" w:type="auto"/>
            <w:noWrap w:val="0"/>
            <w:vAlign w:val="center"/>
          </w:tcPr>
          <w:p w14:paraId="5ECAFA14">
            <w:r>
              <w:rPr>
                <w:rStyle w:val="10"/>
                <w:rFonts w:hint="eastAsia"/>
              </w:rPr>
              <w:t>农药名称：</w:t>
            </w:r>
            <w:r>
              <w:rPr>
                <w:rFonts w:hint="eastAsia"/>
              </w:rPr>
              <w:t>丙噁酮·丁草胺·西草净</w:t>
            </w:r>
          </w:p>
        </w:tc>
      </w:tr>
      <w:tr w14:paraId="56C0BC33">
        <w:tblPrEx>
          <w:tblCellMar>
            <w:top w:w="0" w:type="dxa"/>
            <w:left w:w="0" w:type="dxa"/>
            <w:bottom w:w="0" w:type="dxa"/>
            <w:right w:w="0" w:type="dxa"/>
          </w:tblCellMar>
        </w:tblPrEx>
        <w:trPr>
          <w:wBefore w:w="0" w:type="auto"/>
          <w:tblCellSpacing w:w="0" w:type="dxa"/>
        </w:trPr>
        <w:tc>
          <w:tcPr>
            <w:tcW w:w="0" w:type="auto"/>
            <w:noWrap w:val="0"/>
            <w:vAlign w:val="center"/>
          </w:tcPr>
          <w:p w14:paraId="047E3EB6">
            <w:r>
              <w:rPr>
                <w:rStyle w:val="10"/>
                <w:rFonts w:hint="eastAsia"/>
              </w:rPr>
              <w:t>剂型：</w:t>
            </w:r>
            <w:r>
              <w:rPr>
                <w:rFonts w:hint="eastAsia"/>
              </w:rPr>
              <w:t>可分散油悬浮剂</w:t>
            </w:r>
          </w:p>
        </w:tc>
      </w:tr>
      <w:tr w14:paraId="3CAC4FA1">
        <w:tblPrEx>
          <w:tblCellMar>
            <w:top w:w="0" w:type="dxa"/>
            <w:left w:w="0" w:type="dxa"/>
            <w:bottom w:w="0" w:type="dxa"/>
            <w:right w:w="0" w:type="dxa"/>
          </w:tblCellMar>
        </w:tblPrEx>
        <w:trPr>
          <w:wBefore w:w="0" w:type="auto"/>
          <w:tblCellSpacing w:w="0" w:type="dxa"/>
        </w:trPr>
        <w:tc>
          <w:tcPr>
            <w:tcW w:w="0" w:type="auto"/>
            <w:noWrap w:val="0"/>
            <w:vAlign w:val="center"/>
          </w:tcPr>
          <w:p w14:paraId="1681B0FC">
            <w:r>
              <w:rPr>
                <w:rStyle w:val="10"/>
                <w:rFonts w:hint="eastAsia"/>
              </w:rPr>
              <w:t>毒性及其标识：</w:t>
            </w:r>
            <w:r>
              <w:rPr>
                <w:rFonts w:hint="eastAsia"/>
              </w:rPr>
              <w:t xml:space="preserve"> </w:t>
            </w:r>
            <w:r>
              <w:rPr>
                <w:lang/>
              </w:rPr>
              <w:drawing>
                <wp:inline distT="0" distB="0" distL="114300" distR="114300">
                  <wp:extent cx="476250" cy="323850"/>
                  <wp:effectExtent l="0" t="0" r="0" b="0"/>
                  <wp:docPr id="196" name="图片 19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74E0409">
        <w:tblPrEx>
          <w:tblCellMar>
            <w:top w:w="0" w:type="dxa"/>
            <w:left w:w="0" w:type="dxa"/>
            <w:bottom w:w="0" w:type="dxa"/>
            <w:right w:w="0" w:type="dxa"/>
          </w:tblCellMar>
        </w:tblPrEx>
        <w:trPr>
          <w:wBefore w:w="0" w:type="auto"/>
          <w:tblCellSpacing w:w="0" w:type="dxa"/>
        </w:trPr>
        <w:tc>
          <w:tcPr>
            <w:tcW w:w="0" w:type="auto"/>
            <w:noWrap w:val="0"/>
            <w:vAlign w:val="center"/>
          </w:tcPr>
          <w:p w14:paraId="311D3134">
            <w:r>
              <w:rPr>
                <w:rStyle w:val="10"/>
                <w:rFonts w:hint="eastAsia"/>
              </w:rPr>
              <w:t>总有效成分含量：</w:t>
            </w:r>
            <w:r>
              <w:rPr>
                <w:rFonts w:hint="eastAsia"/>
              </w:rPr>
              <w:t>78%</w:t>
            </w:r>
          </w:p>
        </w:tc>
      </w:tr>
      <w:tr w14:paraId="474FF909">
        <w:tblPrEx>
          <w:tblCellMar>
            <w:top w:w="0" w:type="dxa"/>
            <w:left w:w="0" w:type="dxa"/>
            <w:bottom w:w="0" w:type="dxa"/>
            <w:right w:w="0" w:type="dxa"/>
          </w:tblCellMar>
        </w:tblPrEx>
        <w:trPr>
          <w:wBefore w:w="0" w:type="auto"/>
          <w:tblCellSpacing w:w="0" w:type="dxa"/>
        </w:trPr>
        <w:tc>
          <w:tcPr>
            <w:tcW w:w="0" w:type="auto"/>
            <w:noWrap w:val="0"/>
            <w:vAlign w:val="center"/>
          </w:tcPr>
          <w:p w14:paraId="415FFB37">
            <w:r>
              <w:rPr>
                <w:rFonts w:hint="eastAsia"/>
              </w:rPr>
              <w:t xml:space="preserve">有效成分及其含量： </w:t>
            </w:r>
          </w:p>
          <w:p w14:paraId="29B9AFA0">
            <w:r>
              <w:rPr>
                <w:rFonts w:hint="eastAsia"/>
              </w:rPr>
              <w:t xml:space="preserve">    丁草胺60%    西草净13%    丙炔噁草酮5%    </w:t>
            </w:r>
          </w:p>
        </w:tc>
      </w:tr>
      <w:tr w14:paraId="1651A3F0">
        <w:tblPrEx>
          <w:tblCellMar>
            <w:top w:w="0" w:type="dxa"/>
            <w:left w:w="0" w:type="dxa"/>
            <w:bottom w:w="0" w:type="dxa"/>
            <w:right w:w="0" w:type="dxa"/>
          </w:tblCellMar>
        </w:tblPrEx>
        <w:trPr>
          <w:wBefore w:w="0" w:type="auto"/>
          <w:tblCellSpacing w:w="0" w:type="dxa"/>
        </w:trPr>
        <w:tc>
          <w:tcPr>
            <w:tcW w:w="0" w:type="auto"/>
            <w:noWrap w:val="0"/>
            <w:vAlign w:val="center"/>
          </w:tcPr>
          <w:p w14:paraId="3AA813B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16774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611633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4D819A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5DFE9C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A38C441">
                  <w:r>
                    <w:rPr>
                      <w:rStyle w:val="11"/>
                      <w:rFonts w:hint="eastAsia"/>
                    </w:rPr>
                    <w:t>施用方式</w:t>
                  </w:r>
                </w:p>
              </w:tc>
            </w:tr>
            <w:tr w14:paraId="16E13C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F34681B">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ACF08A">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ED8244">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4BD830">
                  <w:r>
                    <w:rPr>
                      <w:rStyle w:val="11"/>
                      <w:rFonts w:hint="eastAsia"/>
                    </w:rPr>
                    <w:t>喷雾</w:t>
                  </w:r>
                </w:p>
              </w:tc>
            </w:tr>
          </w:tbl>
          <w:p w14:paraId="626519C5">
            <w:pPr>
              <w:rPr>
                <w:rFonts w:ascii="Times New Roman" w:hAnsi="Times New Roman" w:cs="Times New Roman"/>
                <w:sz w:val="20"/>
                <w:szCs w:val="20"/>
              </w:rPr>
            </w:pPr>
          </w:p>
        </w:tc>
      </w:tr>
      <w:tr w14:paraId="0A49DDBB">
        <w:tblPrEx>
          <w:tblCellMar>
            <w:top w:w="0" w:type="dxa"/>
            <w:left w:w="0" w:type="dxa"/>
            <w:bottom w:w="0" w:type="dxa"/>
            <w:right w:w="0" w:type="dxa"/>
          </w:tblCellMar>
        </w:tblPrEx>
        <w:trPr>
          <w:wBefore w:w="0" w:type="auto"/>
          <w:tblCellSpacing w:w="0" w:type="dxa"/>
        </w:trPr>
        <w:tc>
          <w:tcPr>
            <w:tcW w:w="0" w:type="auto"/>
            <w:noWrap w:val="0"/>
            <w:vAlign w:val="center"/>
          </w:tcPr>
          <w:p w14:paraId="64F661F1">
            <w:r>
              <w:rPr>
                <w:rStyle w:val="10"/>
                <w:rFonts w:hint="eastAsia"/>
              </w:rPr>
              <w:t>使用技术要求:</w:t>
            </w:r>
            <w:r>
              <w:rPr>
                <w:rFonts w:hint="eastAsia"/>
              </w:rPr>
              <w:br w:type="textWrapping"/>
            </w:r>
            <w:r>
              <w:rPr>
                <w:rStyle w:val="11"/>
                <w:rFonts w:hint="eastAsia"/>
              </w:rPr>
              <w:t>1.在水稻移栽前灌水整地后喷雾施药一次。施药后田间需有水层3-5cm，后排水插秧，正常管理。２.大风天或预计1小时内降雨请勿施药。3. 勿超剂量使用，插秧后水层勿淹没水稻心叶避免药害。4.每季作物最多使用1次。</w:t>
            </w:r>
          </w:p>
        </w:tc>
      </w:tr>
      <w:tr w14:paraId="381740A7">
        <w:tblPrEx>
          <w:tblCellMar>
            <w:top w:w="0" w:type="dxa"/>
            <w:left w:w="0" w:type="dxa"/>
            <w:bottom w:w="0" w:type="dxa"/>
            <w:right w:w="0" w:type="dxa"/>
          </w:tblCellMar>
        </w:tblPrEx>
        <w:trPr>
          <w:wBefore w:w="0" w:type="auto"/>
          <w:tblCellSpacing w:w="0" w:type="dxa"/>
        </w:trPr>
        <w:tc>
          <w:tcPr>
            <w:tcW w:w="0" w:type="auto"/>
            <w:noWrap w:val="0"/>
            <w:vAlign w:val="center"/>
          </w:tcPr>
          <w:p w14:paraId="1AB0B306">
            <w:r>
              <w:rPr>
                <w:rStyle w:val="10"/>
                <w:rFonts w:hint="eastAsia"/>
              </w:rPr>
              <w:t>产品性能:</w:t>
            </w:r>
            <w:r>
              <w:rPr>
                <w:rFonts w:hint="eastAsia"/>
              </w:rPr>
              <w:br w:type="textWrapping"/>
            </w:r>
            <w:r>
              <w:rPr>
                <w:rStyle w:val="11"/>
                <w:rFonts w:hint="eastAsia"/>
              </w:rPr>
              <w:t>本剂是由丙炔噁草酮、丁草胺、西草净混配的水稻田苗前土壤处理除草剂。可有效防治水稻移栽田中的稗草、眼子菜、节节菜和碎米莎草等一年生杂草。</w:t>
            </w:r>
          </w:p>
        </w:tc>
      </w:tr>
      <w:tr w14:paraId="7FD10375">
        <w:tblPrEx>
          <w:tblCellMar>
            <w:top w:w="0" w:type="dxa"/>
            <w:left w:w="0" w:type="dxa"/>
            <w:bottom w:w="0" w:type="dxa"/>
            <w:right w:w="0" w:type="dxa"/>
          </w:tblCellMar>
        </w:tblPrEx>
        <w:trPr>
          <w:wBefore w:w="0" w:type="auto"/>
          <w:tblCellSpacing w:w="0" w:type="dxa"/>
        </w:trPr>
        <w:tc>
          <w:tcPr>
            <w:tcW w:w="0" w:type="auto"/>
            <w:noWrap w:val="0"/>
            <w:vAlign w:val="center"/>
          </w:tcPr>
          <w:p w14:paraId="689FE8A1">
            <w:r>
              <w:rPr>
                <w:rStyle w:val="10"/>
                <w:rFonts w:hint="eastAsia"/>
              </w:rPr>
              <w:t>注意事项：</w:t>
            </w:r>
            <w:r>
              <w:rPr>
                <w:rFonts w:hint="eastAsia"/>
              </w:rPr>
              <w:br w:type="textWrapping"/>
            </w:r>
            <w:r>
              <w:rPr>
                <w:rStyle w:val="11"/>
                <w:rFonts w:hint="eastAsia"/>
              </w:rPr>
              <w:t>1.使用本品前，请先充分摇匀。2.施药时应穿戴长衣长裤、帽子、口罩、手套、鞋等安全防护措施。施药中禁止饮食、吸烟、饮水等；施药后应用肥皂和清水彻底清洗暴露在外的皮肤。3.本剂对鱼等水生生物高毒性，远离水产养殖区、河塘等水体施药；禁止在池塘等水域清洗施药器具。4.鱼或虾蟹套养稻田禁用，施药后的田水不得直接排入水体。5.施用时若周围有桑园，最外围桑树设置为隔离带，不能用于饲养家蚕。6.孕妇和哺乳期妇女避免接触此药。7.用过的容器应妥善处理，不可做他用，也不可随意丢弃。8.本品对眼睛有刺激性，避免眼睛接触。9.插秧后水层勿淹没水稻心叶避免药害。</w:t>
            </w:r>
          </w:p>
        </w:tc>
      </w:tr>
      <w:tr w14:paraId="135AAFC7">
        <w:tblPrEx>
          <w:tblCellMar>
            <w:top w:w="0" w:type="dxa"/>
            <w:left w:w="0" w:type="dxa"/>
            <w:bottom w:w="0" w:type="dxa"/>
            <w:right w:w="0" w:type="dxa"/>
          </w:tblCellMar>
        </w:tblPrEx>
        <w:trPr>
          <w:wBefore w:w="0" w:type="auto"/>
          <w:tblCellSpacing w:w="0" w:type="dxa"/>
        </w:trPr>
        <w:tc>
          <w:tcPr>
            <w:tcW w:w="0" w:type="auto"/>
            <w:noWrap w:val="0"/>
            <w:vAlign w:val="center"/>
          </w:tcPr>
          <w:p w14:paraId="4CACF918">
            <w:r>
              <w:rPr>
                <w:rStyle w:val="10"/>
                <w:rFonts w:hint="eastAsia"/>
              </w:rPr>
              <w:t>中毒急救措施：</w:t>
            </w:r>
            <w:r>
              <w:rPr>
                <w:rFonts w:hint="eastAsia"/>
              </w:rPr>
              <w:br w:type="textWrapping"/>
            </w:r>
            <w:r>
              <w:rPr>
                <w:rStyle w:val="11"/>
                <w:rFonts w:hint="eastAsia"/>
              </w:rPr>
              <w:t>本品如误入眼睛，立即用清水至少冲洗15分钟，仍有不适应立即就医；不慎吸入，应将病人移到通风处。如接触皮肤，立即用清水冲洗并换洗衣物；如误服立即送医院对症治疗，不能催吐，无特殊解毒剂，对症治疗。</w:t>
            </w:r>
          </w:p>
        </w:tc>
      </w:tr>
      <w:tr w14:paraId="513C54F5">
        <w:tblPrEx>
          <w:tblCellMar>
            <w:top w:w="0" w:type="dxa"/>
            <w:left w:w="0" w:type="dxa"/>
            <w:bottom w:w="0" w:type="dxa"/>
            <w:right w:w="0" w:type="dxa"/>
          </w:tblCellMar>
        </w:tblPrEx>
        <w:trPr>
          <w:wBefore w:w="0" w:type="auto"/>
          <w:tblCellSpacing w:w="0" w:type="dxa"/>
        </w:trPr>
        <w:tc>
          <w:tcPr>
            <w:tcW w:w="0" w:type="auto"/>
            <w:noWrap w:val="0"/>
            <w:vAlign w:val="center"/>
          </w:tcPr>
          <w:p w14:paraId="63652750">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本品应贮存在干燥、阴凉、通风、防雨处，远离火源或热源。置于儿童及无关人员触及不到之处，并加锁。不能与食品、饮料、粮食、饲料等混合储运。</w:t>
            </w:r>
          </w:p>
        </w:tc>
      </w:tr>
      <w:tr w14:paraId="3C96B1D0">
        <w:tblPrEx>
          <w:tblCellMar>
            <w:top w:w="0" w:type="dxa"/>
            <w:left w:w="0" w:type="dxa"/>
            <w:bottom w:w="0" w:type="dxa"/>
            <w:right w:w="0" w:type="dxa"/>
          </w:tblCellMar>
        </w:tblPrEx>
        <w:trPr>
          <w:wBefore w:w="0" w:type="auto"/>
          <w:tblCellSpacing w:w="0" w:type="dxa"/>
        </w:trPr>
        <w:tc>
          <w:tcPr>
            <w:tcW w:w="0" w:type="auto"/>
            <w:noWrap w:val="0"/>
            <w:vAlign w:val="center"/>
          </w:tcPr>
          <w:p w14:paraId="44C63223">
            <w:r>
              <w:rPr>
                <w:rStyle w:val="10"/>
                <w:rFonts w:hint="eastAsia"/>
              </w:rPr>
              <w:t>质量保证期：</w:t>
            </w:r>
            <w:r>
              <w:rPr>
                <w:rStyle w:val="11"/>
                <w:rFonts w:hint="eastAsia"/>
              </w:rPr>
              <w:t>2年</w:t>
            </w:r>
          </w:p>
        </w:tc>
      </w:tr>
      <w:tr w14:paraId="413A9BAB">
        <w:tblPrEx>
          <w:tblCellMar>
            <w:top w:w="0" w:type="dxa"/>
            <w:left w:w="0" w:type="dxa"/>
            <w:bottom w:w="0" w:type="dxa"/>
            <w:right w:w="0" w:type="dxa"/>
          </w:tblCellMar>
        </w:tblPrEx>
        <w:trPr>
          <w:wBefore w:w="0" w:type="auto"/>
          <w:tblCellSpacing w:w="0" w:type="dxa"/>
        </w:trPr>
        <w:tc>
          <w:tcPr>
            <w:tcW w:w="0" w:type="auto"/>
            <w:noWrap w:val="0"/>
            <w:vAlign w:val="center"/>
          </w:tcPr>
          <w:p w14:paraId="7D70D5F4">
            <w:r>
              <w:rPr>
                <w:rStyle w:val="10"/>
                <w:rFonts w:hint="eastAsia"/>
              </w:rPr>
              <w:t>备注：</w:t>
            </w:r>
          </w:p>
        </w:tc>
      </w:tr>
    </w:tbl>
    <w:p w14:paraId="5CFF879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60F27B3">
        <w:tblPrEx>
          <w:tblCellMar>
            <w:top w:w="0" w:type="dxa"/>
            <w:left w:w="0" w:type="dxa"/>
            <w:bottom w:w="0" w:type="dxa"/>
            <w:right w:w="0" w:type="dxa"/>
          </w:tblCellMar>
        </w:tblPrEx>
        <w:trPr>
          <w:wBefore w:w="0" w:type="auto"/>
          <w:tblCellSpacing w:w="0" w:type="dxa"/>
        </w:trPr>
        <w:tc>
          <w:tcPr>
            <w:tcW w:w="0" w:type="auto"/>
            <w:noWrap w:val="0"/>
            <w:vAlign w:val="center"/>
          </w:tcPr>
          <w:p w14:paraId="6F1A16CF">
            <w:r>
              <w:rPr>
                <w:rStyle w:val="10"/>
                <w:rFonts w:hint="eastAsia"/>
              </w:rPr>
              <w:t>登记证号：</w:t>
            </w:r>
            <w:r>
              <w:rPr>
                <w:rFonts w:hint="eastAsia"/>
              </w:rPr>
              <w:t>PD20211893</w:t>
            </w:r>
          </w:p>
        </w:tc>
      </w:tr>
      <w:tr w14:paraId="0A9E150E">
        <w:tblPrEx>
          <w:tblCellMar>
            <w:top w:w="0" w:type="dxa"/>
            <w:left w:w="0" w:type="dxa"/>
            <w:bottom w:w="0" w:type="dxa"/>
            <w:right w:w="0" w:type="dxa"/>
          </w:tblCellMar>
        </w:tblPrEx>
        <w:trPr>
          <w:wBefore w:w="0" w:type="auto"/>
          <w:tblCellSpacing w:w="0" w:type="dxa"/>
        </w:trPr>
        <w:tc>
          <w:tcPr>
            <w:tcW w:w="0" w:type="auto"/>
            <w:noWrap w:val="0"/>
            <w:vAlign w:val="center"/>
          </w:tcPr>
          <w:p w14:paraId="342DB7DF">
            <w:r>
              <w:rPr>
                <w:rStyle w:val="10"/>
                <w:rFonts w:hint="eastAsia"/>
              </w:rPr>
              <w:t>登记证持有人：</w:t>
            </w:r>
            <w:r>
              <w:rPr>
                <w:rFonts w:hint="eastAsia"/>
              </w:rPr>
              <w:t>江苏剑牌农化股份有限公司</w:t>
            </w:r>
          </w:p>
        </w:tc>
      </w:tr>
      <w:tr w14:paraId="79A19CB0">
        <w:tblPrEx>
          <w:tblCellMar>
            <w:top w:w="0" w:type="dxa"/>
            <w:left w:w="0" w:type="dxa"/>
            <w:bottom w:w="0" w:type="dxa"/>
            <w:right w:w="0" w:type="dxa"/>
          </w:tblCellMar>
        </w:tblPrEx>
        <w:trPr>
          <w:wBefore w:w="0" w:type="auto"/>
          <w:tblCellSpacing w:w="0" w:type="dxa"/>
        </w:trPr>
        <w:tc>
          <w:tcPr>
            <w:tcW w:w="0" w:type="auto"/>
            <w:noWrap w:val="0"/>
            <w:vAlign w:val="center"/>
          </w:tcPr>
          <w:p w14:paraId="1B112EDE">
            <w:r>
              <w:rPr>
                <w:rStyle w:val="10"/>
                <w:rFonts w:hint="eastAsia"/>
              </w:rPr>
              <w:t>农药名称：</w:t>
            </w:r>
            <w:r>
              <w:rPr>
                <w:rFonts w:hint="eastAsia"/>
              </w:rPr>
              <w:t>氨基寡糖素</w:t>
            </w:r>
          </w:p>
        </w:tc>
      </w:tr>
      <w:tr w14:paraId="704AD937">
        <w:tblPrEx>
          <w:tblCellMar>
            <w:top w:w="0" w:type="dxa"/>
            <w:left w:w="0" w:type="dxa"/>
            <w:bottom w:w="0" w:type="dxa"/>
            <w:right w:w="0" w:type="dxa"/>
          </w:tblCellMar>
        </w:tblPrEx>
        <w:trPr>
          <w:wBefore w:w="0" w:type="auto"/>
          <w:tblCellSpacing w:w="0" w:type="dxa"/>
        </w:trPr>
        <w:tc>
          <w:tcPr>
            <w:tcW w:w="0" w:type="auto"/>
            <w:noWrap w:val="0"/>
            <w:vAlign w:val="center"/>
          </w:tcPr>
          <w:p w14:paraId="2E883498">
            <w:r>
              <w:rPr>
                <w:rStyle w:val="10"/>
                <w:rFonts w:hint="eastAsia"/>
              </w:rPr>
              <w:t>剂型：</w:t>
            </w:r>
            <w:r>
              <w:rPr>
                <w:rFonts w:hint="eastAsia"/>
              </w:rPr>
              <w:t>可溶液剂</w:t>
            </w:r>
          </w:p>
        </w:tc>
      </w:tr>
      <w:tr w14:paraId="60C21869">
        <w:tblPrEx>
          <w:tblCellMar>
            <w:top w:w="0" w:type="dxa"/>
            <w:left w:w="0" w:type="dxa"/>
            <w:bottom w:w="0" w:type="dxa"/>
            <w:right w:w="0" w:type="dxa"/>
          </w:tblCellMar>
        </w:tblPrEx>
        <w:trPr>
          <w:wBefore w:w="0" w:type="auto"/>
          <w:tblCellSpacing w:w="0" w:type="dxa"/>
        </w:trPr>
        <w:tc>
          <w:tcPr>
            <w:tcW w:w="0" w:type="auto"/>
            <w:noWrap w:val="0"/>
            <w:vAlign w:val="center"/>
          </w:tcPr>
          <w:p w14:paraId="664C3FE3">
            <w:r>
              <w:rPr>
                <w:rStyle w:val="10"/>
                <w:rFonts w:hint="eastAsia"/>
              </w:rPr>
              <w:t>毒性及其标识：</w:t>
            </w:r>
            <w:r>
              <w:rPr>
                <w:rFonts w:hint="eastAsia"/>
              </w:rPr>
              <w:t xml:space="preserve"> </w:t>
            </w:r>
            <w:r>
              <w:rPr>
                <w:lang/>
              </w:rPr>
              <w:drawing>
                <wp:inline distT="0" distB="0" distL="114300" distR="114300">
                  <wp:extent cx="476250" cy="323850"/>
                  <wp:effectExtent l="0" t="0" r="0" b="0"/>
                  <wp:docPr id="197" name="图片 19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2146E68">
        <w:tblPrEx>
          <w:tblCellMar>
            <w:top w:w="0" w:type="dxa"/>
            <w:left w:w="0" w:type="dxa"/>
            <w:bottom w:w="0" w:type="dxa"/>
            <w:right w:w="0" w:type="dxa"/>
          </w:tblCellMar>
        </w:tblPrEx>
        <w:trPr>
          <w:wBefore w:w="0" w:type="auto"/>
          <w:tblCellSpacing w:w="0" w:type="dxa"/>
        </w:trPr>
        <w:tc>
          <w:tcPr>
            <w:tcW w:w="0" w:type="auto"/>
            <w:noWrap w:val="0"/>
            <w:vAlign w:val="center"/>
          </w:tcPr>
          <w:p w14:paraId="714DB8A6">
            <w:r>
              <w:rPr>
                <w:rStyle w:val="10"/>
                <w:rFonts w:hint="eastAsia"/>
              </w:rPr>
              <w:t>总有效成分含量：</w:t>
            </w:r>
            <w:r>
              <w:rPr>
                <w:rFonts w:hint="eastAsia"/>
              </w:rPr>
              <w:t>5%</w:t>
            </w:r>
          </w:p>
        </w:tc>
      </w:tr>
      <w:tr w14:paraId="763DF4B1">
        <w:tblPrEx>
          <w:tblCellMar>
            <w:top w:w="0" w:type="dxa"/>
            <w:left w:w="0" w:type="dxa"/>
            <w:bottom w:w="0" w:type="dxa"/>
            <w:right w:w="0" w:type="dxa"/>
          </w:tblCellMar>
        </w:tblPrEx>
        <w:trPr>
          <w:wBefore w:w="0" w:type="auto"/>
          <w:tblCellSpacing w:w="0" w:type="dxa"/>
        </w:trPr>
        <w:tc>
          <w:tcPr>
            <w:tcW w:w="0" w:type="auto"/>
            <w:noWrap w:val="0"/>
            <w:vAlign w:val="center"/>
          </w:tcPr>
          <w:p w14:paraId="3B7D2441">
            <w:r>
              <w:rPr>
                <w:rFonts w:hint="eastAsia"/>
              </w:rPr>
              <w:t xml:space="preserve">有效成分及其含量： </w:t>
            </w:r>
          </w:p>
          <w:p w14:paraId="5EA83B9D">
            <w:r>
              <w:rPr>
                <w:rFonts w:hint="eastAsia"/>
              </w:rPr>
              <w:t xml:space="preserve">    氨基寡糖素5%    </w:t>
            </w:r>
          </w:p>
        </w:tc>
      </w:tr>
      <w:tr w14:paraId="75A7B119">
        <w:tblPrEx>
          <w:tblCellMar>
            <w:top w:w="0" w:type="dxa"/>
            <w:left w:w="0" w:type="dxa"/>
            <w:bottom w:w="0" w:type="dxa"/>
            <w:right w:w="0" w:type="dxa"/>
          </w:tblCellMar>
        </w:tblPrEx>
        <w:trPr>
          <w:wBefore w:w="0" w:type="auto"/>
          <w:tblCellSpacing w:w="0" w:type="dxa"/>
        </w:trPr>
        <w:tc>
          <w:tcPr>
            <w:tcW w:w="0" w:type="auto"/>
            <w:noWrap w:val="0"/>
            <w:vAlign w:val="center"/>
          </w:tcPr>
          <w:p w14:paraId="070B2A2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27B4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9EAE44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BB2CAC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464786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BF2220E">
                  <w:r>
                    <w:rPr>
                      <w:rStyle w:val="11"/>
                      <w:rFonts w:hint="eastAsia"/>
                    </w:rPr>
                    <w:t>施用方式</w:t>
                  </w:r>
                </w:p>
              </w:tc>
            </w:tr>
            <w:tr w14:paraId="694095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FA7CBC">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9CB0E8">
                  <w:r>
                    <w:rPr>
                      <w:rStyle w:val="11"/>
                      <w:rFonts w:hint="eastAsia"/>
                    </w:rPr>
                    <w:t>病毒病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9EFD17">
                  <w:r>
                    <w:rPr>
                      <w:rStyle w:val="11"/>
                      <w:rFonts w:hint="eastAsia"/>
                    </w:rPr>
                    <w:t>30-45毫升/亩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B1F6E3">
                  <w:r>
                    <w:rPr>
                      <w:rStyle w:val="11"/>
                      <w:rFonts w:hint="eastAsia"/>
                    </w:rPr>
                    <w:t>喷雾</w:t>
                  </w:r>
                </w:p>
              </w:tc>
            </w:tr>
            <w:tr w14:paraId="49FD8F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15A7D4">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AC854A">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13E9B9">
                  <w:r>
                    <w:rPr>
                      <w:rStyle w:val="11"/>
                      <w:rFonts w:hint="eastAsia"/>
                    </w:rPr>
                    <w:t>30-45毫升/亩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590B44">
                  <w:r>
                    <w:rPr>
                      <w:rStyle w:val="11"/>
                      <w:rFonts w:hint="eastAsia"/>
                    </w:rPr>
                    <w:t>喷雾</w:t>
                  </w:r>
                </w:p>
              </w:tc>
            </w:tr>
          </w:tbl>
          <w:p w14:paraId="04E7D518">
            <w:pPr>
              <w:rPr>
                <w:rFonts w:ascii="Times New Roman" w:hAnsi="Times New Roman" w:cs="Times New Roman"/>
                <w:sz w:val="20"/>
                <w:szCs w:val="20"/>
              </w:rPr>
            </w:pPr>
          </w:p>
        </w:tc>
      </w:tr>
      <w:tr w14:paraId="485E4DCC">
        <w:tblPrEx>
          <w:tblCellMar>
            <w:top w:w="0" w:type="dxa"/>
            <w:left w:w="0" w:type="dxa"/>
            <w:bottom w:w="0" w:type="dxa"/>
            <w:right w:w="0" w:type="dxa"/>
          </w:tblCellMar>
        </w:tblPrEx>
        <w:trPr>
          <w:wBefore w:w="0" w:type="auto"/>
          <w:tblCellSpacing w:w="0" w:type="dxa"/>
        </w:trPr>
        <w:tc>
          <w:tcPr>
            <w:tcW w:w="0" w:type="auto"/>
            <w:noWrap w:val="0"/>
            <w:vAlign w:val="center"/>
          </w:tcPr>
          <w:p w14:paraId="6A45D376">
            <w:r>
              <w:rPr>
                <w:rStyle w:val="10"/>
                <w:rFonts w:hint="eastAsia"/>
              </w:rPr>
              <w:t>使用技术要求:</w:t>
            </w:r>
            <w:r>
              <w:rPr>
                <w:rFonts w:hint="eastAsia"/>
              </w:rPr>
              <w:br w:type="textWrapping"/>
            </w:r>
            <w:r>
              <w:rPr>
                <w:rStyle w:val="11"/>
                <w:rFonts w:hint="eastAsia"/>
              </w:rPr>
              <w:t>1.本品应于烟草病毒病、番茄晚疫病发病初期施药，常规均匀喷雾，间隔7-10天施药一次，连续施药2-3次，注意喷雾均匀周到，切勿漏喷或重喷。 2.高温天气、大风或预计1小时内降雨请勿施药。</w:t>
            </w:r>
          </w:p>
        </w:tc>
      </w:tr>
      <w:tr w14:paraId="0F9C71D3">
        <w:tblPrEx>
          <w:tblCellMar>
            <w:top w:w="0" w:type="dxa"/>
            <w:left w:w="0" w:type="dxa"/>
            <w:bottom w:w="0" w:type="dxa"/>
            <w:right w:w="0" w:type="dxa"/>
          </w:tblCellMar>
        </w:tblPrEx>
        <w:trPr>
          <w:wBefore w:w="0" w:type="auto"/>
          <w:tblCellSpacing w:w="0" w:type="dxa"/>
        </w:trPr>
        <w:tc>
          <w:tcPr>
            <w:tcW w:w="0" w:type="auto"/>
            <w:noWrap w:val="0"/>
            <w:vAlign w:val="center"/>
          </w:tcPr>
          <w:p w14:paraId="56D15BF7">
            <w:r>
              <w:rPr>
                <w:rStyle w:val="10"/>
                <w:rFonts w:hint="eastAsia"/>
              </w:rPr>
              <w:t>产品性能:</w:t>
            </w:r>
            <w:r>
              <w:rPr>
                <w:rFonts w:hint="eastAsia"/>
              </w:rPr>
              <w:br w:type="textWrapping"/>
            </w:r>
            <w:r>
              <w:rPr>
                <w:rStyle w:val="11"/>
                <w:rFonts w:hint="eastAsia"/>
              </w:rPr>
              <w:t>本品为植物诱抗剂，在植物体内作为激发因子诱导植物对病害产生抗病性而起作用的，施用后能提高作物作物自身的免疫力和防卫反应，使植株免受危害。</w:t>
            </w:r>
          </w:p>
        </w:tc>
      </w:tr>
      <w:tr w14:paraId="06633216">
        <w:tblPrEx>
          <w:tblCellMar>
            <w:top w:w="0" w:type="dxa"/>
            <w:left w:w="0" w:type="dxa"/>
            <w:bottom w:w="0" w:type="dxa"/>
            <w:right w:w="0" w:type="dxa"/>
          </w:tblCellMar>
        </w:tblPrEx>
        <w:trPr>
          <w:wBefore w:w="0" w:type="auto"/>
          <w:tblCellSpacing w:w="0" w:type="dxa"/>
        </w:trPr>
        <w:tc>
          <w:tcPr>
            <w:tcW w:w="0" w:type="auto"/>
            <w:noWrap w:val="0"/>
            <w:vAlign w:val="center"/>
          </w:tcPr>
          <w:p w14:paraId="0266F144">
            <w:r>
              <w:rPr>
                <w:rStyle w:val="10"/>
                <w:rFonts w:hint="eastAsia"/>
              </w:rPr>
              <w:t>注意事项：</w:t>
            </w:r>
            <w:r>
              <w:rPr>
                <w:rFonts w:hint="eastAsia"/>
              </w:rPr>
              <w:br w:type="textWrapping"/>
            </w:r>
            <w:r>
              <w:rPr>
                <w:rStyle w:val="11"/>
                <w:rFonts w:hint="eastAsia"/>
              </w:rPr>
              <w:t>1、施用时应穿戴防护镜、口罩和手套等防护服，穿长衣、长裤；施药中禁止饮食、吸烟、饮水等；施药后应用肥皂和清水彻底清洗暴露在外的皮肤；2、远离水产养殖区施药，禁止在河塘等水域内清洗施药器具，避免污染水源。3、不宜与强碱性物质混用。避免与氧化剂接触。4、建议与其他作用机制不同的药剂轮换使用。5、用过后容器应妥善处理，不可做他用，也不可随意丢弃。6、孕妇及哺乳期妇女避免接触本产品。</w:t>
            </w:r>
          </w:p>
        </w:tc>
      </w:tr>
      <w:tr w14:paraId="226BE26B">
        <w:tblPrEx>
          <w:tblCellMar>
            <w:top w:w="0" w:type="dxa"/>
            <w:left w:w="0" w:type="dxa"/>
            <w:bottom w:w="0" w:type="dxa"/>
            <w:right w:w="0" w:type="dxa"/>
          </w:tblCellMar>
        </w:tblPrEx>
        <w:trPr>
          <w:wBefore w:w="0" w:type="auto"/>
          <w:tblCellSpacing w:w="0" w:type="dxa"/>
        </w:trPr>
        <w:tc>
          <w:tcPr>
            <w:tcW w:w="0" w:type="auto"/>
            <w:noWrap w:val="0"/>
            <w:vAlign w:val="center"/>
          </w:tcPr>
          <w:p w14:paraId="1DA29D10">
            <w:r>
              <w:rPr>
                <w:rStyle w:val="10"/>
                <w:rFonts w:hint="eastAsia"/>
              </w:rPr>
              <w:t>中毒急救措施：</w:t>
            </w:r>
            <w:r>
              <w:rPr>
                <w:rFonts w:hint="eastAsia"/>
              </w:rPr>
              <w:br w:type="textWrapping"/>
            </w:r>
            <w:r>
              <w:rPr>
                <w:rStyle w:val="11"/>
                <w:rFonts w:hint="eastAsia"/>
              </w:rPr>
              <w:t>对眼睛和皮肤有刺激性，使用时避免接触眼睛和皮肤。1、使用中或使用后如果感觉不适，应立即停止工作，并携带标签送医院就诊。2、皮肤接触：脱去污染的衣物，用软布去除沾染农药，立即用大量清水和肥皂冲洗。眼睛溅入：立即用流动清水冲洗不少于15分钟。3、误食：立即停止服用，用清水充分漱口后，立即携带农药标签就医，对症治疗。</w:t>
            </w:r>
          </w:p>
        </w:tc>
      </w:tr>
      <w:tr w14:paraId="36AAF583">
        <w:tblPrEx>
          <w:tblCellMar>
            <w:top w:w="0" w:type="dxa"/>
            <w:left w:w="0" w:type="dxa"/>
            <w:bottom w:w="0" w:type="dxa"/>
            <w:right w:w="0" w:type="dxa"/>
          </w:tblCellMar>
        </w:tblPrEx>
        <w:trPr>
          <w:wBefore w:w="0" w:type="auto"/>
          <w:tblCellSpacing w:w="0" w:type="dxa"/>
        </w:trPr>
        <w:tc>
          <w:tcPr>
            <w:tcW w:w="0" w:type="auto"/>
            <w:noWrap w:val="0"/>
            <w:vAlign w:val="center"/>
          </w:tcPr>
          <w:p w14:paraId="030A5952">
            <w:r>
              <w:rPr>
                <w:rStyle w:val="10"/>
                <w:rFonts w:hint="eastAsia"/>
              </w:rPr>
              <w:t>储存和运输方法：</w:t>
            </w:r>
            <w:r>
              <w:rPr>
                <w:rFonts w:hint="eastAsia"/>
              </w:rPr>
              <w:br w:type="textWrapping"/>
            </w:r>
            <w:r>
              <w:rPr>
                <w:rStyle w:val="11"/>
                <w:rFonts w:hint="eastAsia"/>
              </w:rPr>
              <w:t>1、本品应储存在干燥、阴凉、通风、防雨处，远离火源或热源。2、置于儿童接触不到的地方，并加锁。不能与食品、饮料、粮食、饲料等同储同运。3、在装卸、运输时，应轻拿轻放，注意防雨防潮。</w:t>
            </w:r>
          </w:p>
        </w:tc>
      </w:tr>
      <w:tr w14:paraId="0BF30C9F">
        <w:tblPrEx>
          <w:tblCellMar>
            <w:top w:w="0" w:type="dxa"/>
            <w:left w:w="0" w:type="dxa"/>
            <w:bottom w:w="0" w:type="dxa"/>
            <w:right w:w="0" w:type="dxa"/>
          </w:tblCellMar>
        </w:tblPrEx>
        <w:trPr>
          <w:wBefore w:w="0" w:type="auto"/>
          <w:tblCellSpacing w:w="0" w:type="dxa"/>
        </w:trPr>
        <w:tc>
          <w:tcPr>
            <w:tcW w:w="0" w:type="auto"/>
            <w:noWrap w:val="0"/>
            <w:vAlign w:val="center"/>
          </w:tcPr>
          <w:p w14:paraId="4E2612AD">
            <w:r>
              <w:rPr>
                <w:rStyle w:val="10"/>
                <w:rFonts w:hint="eastAsia"/>
              </w:rPr>
              <w:t>质量保证期：</w:t>
            </w:r>
            <w:r>
              <w:rPr>
                <w:rStyle w:val="11"/>
                <w:rFonts w:hint="eastAsia"/>
              </w:rPr>
              <w:t>2年</w:t>
            </w:r>
          </w:p>
        </w:tc>
      </w:tr>
      <w:tr w14:paraId="0FA00BED">
        <w:tblPrEx>
          <w:tblCellMar>
            <w:top w:w="0" w:type="dxa"/>
            <w:left w:w="0" w:type="dxa"/>
            <w:bottom w:w="0" w:type="dxa"/>
            <w:right w:w="0" w:type="dxa"/>
          </w:tblCellMar>
        </w:tblPrEx>
        <w:trPr>
          <w:wBefore w:w="0" w:type="auto"/>
          <w:tblCellSpacing w:w="0" w:type="dxa"/>
        </w:trPr>
        <w:tc>
          <w:tcPr>
            <w:tcW w:w="0" w:type="auto"/>
            <w:noWrap w:val="0"/>
            <w:vAlign w:val="center"/>
          </w:tcPr>
          <w:p w14:paraId="6932F43F">
            <w:r>
              <w:rPr>
                <w:rStyle w:val="10"/>
                <w:rFonts w:hint="eastAsia"/>
              </w:rPr>
              <w:t>备注：</w:t>
            </w:r>
          </w:p>
        </w:tc>
      </w:tr>
    </w:tbl>
    <w:p w14:paraId="04C3223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9A15FA8">
        <w:tblPrEx>
          <w:tblCellMar>
            <w:top w:w="0" w:type="dxa"/>
            <w:left w:w="0" w:type="dxa"/>
            <w:bottom w:w="0" w:type="dxa"/>
            <w:right w:w="0" w:type="dxa"/>
          </w:tblCellMar>
        </w:tblPrEx>
        <w:trPr>
          <w:wBefore w:w="0" w:type="auto"/>
          <w:tblCellSpacing w:w="0" w:type="dxa"/>
        </w:trPr>
        <w:tc>
          <w:tcPr>
            <w:tcW w:w="0" w:type="auto"/>
            <w:noWrap w:val="0"/>
            <w:vAlign w:val="center"/>
          </w:tcPr>
          <w:p w14:paraId="2A43B95A">
            <w:r>
              <w:rPr>
                <w:rStyle w:val="10"/>
                <w:rFonts w:hint="eastAsia"/>
              </w:rPr>
              <w:t>登记证号：</w:t>
            </w:r>
            <w:r>
              <w:rPr>
                <w:rFonts w:hint="eastAsia"/>
              </w:rPr>
              <w:t>PD20212011</w:t>
            </w:r>
          </w:p>
        </w:tc>
      </w:tr>
      <w:tr w14:paraId="3852298C">
        <w:tblPrEx>
          <w:tblCellMar>
            <w:top w:w="0" w:type="dxa"/>
            <w:left w:w="0" w:type="dxa"/>
            <w:bottom w:w="0" w:type="dxa"/>
            <w:right w:w="0" w:type="dxa"/>
          </w:tblCellMar>
        </w:tblPrEx>
        <w:trPr>
          <w:wBefore w:w="0" w:type="auto"/>
          <w:tblCellSpacing w:w="0" w:type="dxa"/>
        </w:trPr>
        <w:tc>
          <w:tcPr>
            <w:tcW w:w="0" w:type="auto"/>
            <w:noWrap w:val="0"/>
            <w:vAlign w:val="center"/>
          </w:tcPr>
          <w:p w14:paraId="56A669DE">
            <w:r>
              <w:rPr>
                <w:rStyle w:val="10"/>
                <w:rFonts w:hint="eastAsia"/>
              </w:rPr>
              <w:t>登记证持有人：</w:t>
            </w:r>
            <w:r>
              <w:rPr>
                <w:rFonts w:hint="eastAsia"/>
              </w:rPr>
              <w:t>山东科大创业生物有限公司</w:t>
            </w:r>
          </w:p>
        </w:tc>
      </w:tr>
      <w:tr w14:paraId="3A55B13B">
        <w:tblPrEx>
          <w:tblCellMar>
            <w:top w:w="0" w:type="dxa"/>
            <w:left w:w="0" w:type="dxa"/>
            <w:bottom w:w="0" w:type="dxa"/>
            <w:right w:w="0" w:type="dxa"/>
          </w:tblCellMar>
        </w:tblPrEx>
        <w:trPr>
          <w:wBefore w:w="0" w:type="auto"/>
          <w:tblCellSpacing w:w="0" w:type="dxa"/>
        </w:trPr>
        <w:tc>
          <w:tcPr>
            <w:tcW w:w="0" w:type="auto"/>
            <w:noWrap w:val="0"/>
            <w:vAlign w:val="center"/>
          </w:tcPr>
          <w:p w14:paraId="4E5AA9C0">
            <w:r>
              <w:rPr>
                <w:rStyle w:val="10"/>
                <w:rFonts w:hint="eastAsia"/>
              </w:rPr>
              <w:t>农药名称：</w:t>
            </w:r>
            <w:r>
              <w:rPr>
                <w:rFonts w:hint="eastAsia"/>
              </w:rPr>
              <w:t>小檗碱盐酸盐</w:t>
            </w:r>
          </w:p>
        </w:tc>
      </w:tr>
      <w:tr w14:paraId="0EC5C0BE">
        <w:tblPrEx>
          <w:tblCellMar>
            <w:top w:w="0" w:type="dxa"/>
            <w:left w:w="0" w:type="dxa"/>
            <w:bottom w:w="0" w:type="dxa"/>
            <w:right w:w="0" w:type="dxa"/>
          </w:tblCellMar>
        </w:tblPrEx>
        <w:trPr>
          <w:wBefore w:w="0" w:type="auto"/>
          <w:tblCellSpacing w:w="0" w:type="dxa"/>
        </w:trPr>
        <w:tc>
          <w:tcPr>
            <w:tcW w:w="0" w:type="auto"/>
            <w:noWrap w:val="0"/>
            <w:vAlign w:val="center"/>
          </w:tcPr>
          <w:p w14:paraId="13B4A99F">
            <w:r>
              <w:rPr>
                <w:rStyle w:val="10"/>
                <w:rFonts w:hint="eastAsia"/>
              </w:rPr>
              <w:t>剂型：</w:t>
            </w:r>
            <w:r>
              <w:rPr>
                <w:rFonts w:hint="eastAsia"/>
              </w:rPr>
              <w:t>可溶液剂</w:t>
            </w:r>
          </w:p>
        </w:tc>
      </w:tr>
      <w:tr w14:paraId="51744106">
        <w:tblPrEx>
          <w:tblCellMar>
            <w:top w:w="0" w:type="dxa"/>
            <w:left w:w="0" w:type="dxa"/>
            <w:bottom w:w="0" w:type="dxa"/>
            <w:right w:w="0" w:type="dxa"/>
          </w:tblCellMar>
        </w:tblPrEx>
        <w:trPr>
          <w:wBefore w:w="0" w:type="auto"/>
          <w:tblCellSpacing w:w="0" w:type="dxa"/>
        </w:trPr>
        <w:tc>
          <w:tcPr>
            <w:tcW w:w="0" w:type="auto"/>
            <w:noWrap w:val="0"/>
            <w:vAlign w:val="center"/>
          </w:tcPr>
          <w:p w14:paraId="5039828B">
            <w:r>
              <w:rPr>
                <w:rStyle w:val="10"/>
                <w:rFonts w:hint="eastAsia"/>
              </w:rPr>
              <w:t>毒性及其标识：</w:t>
            </w:r>
            <w:r>
              <w:rPr>
                <w:rFonts w:hint="eastAsia"/>
              </w:rPr>
              <w:t xml:space="preserve"> </w:t>
            </w:r>
            <w:r>
              <w:rPr>
                <w:lang/>
              </w:rPr>
              <w:drawing>
                <wp:inline distT="0" distB="0" distL="114300" distR="114300">
                  <wp:extent cx="476250" cy="323850"/>
                  <wp:effectExtent l="0" t="0" r="0" b="0"/>
                  <wp:docPr id="198" name="图片 19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877FBD9">
        <w:tblPrEx>
          <w:tblCellMar>
            <w:top w:w="0" w:type="dxa"/>
            <w:left w:w="0" w:type="dxa"/>
            <w:bottom w:w="0" w:type="dxa"/>
            <w:right w:w="0" w:type="dxa"/>
          </w:tblCellMar>
        </w:tblPrEx>
        <w:trPr>
          <w:wBefore w:w="0" w:type="auto"/>
          <w:tblCellSpacing w:w="0" w:type="dxa"/>
        </w:trPr>
        <w:tc>
          <w:tcPr>
            <w:tcW w:w="0" w:type="auto"/>
            <w:noWrap w:val="0"/>
            <w:vAlign w:val="center"/>
          </w:tcPr>
          <w:p w14:paraId="6AB21911">
            <w:r>
              <w:rPr>
                <w:rStyle w:val="10"/>
                <w:rFonts w:hint="eastAsia"/>
              </w:rPr>
              <w:t>总有效成分含量：</w:t>
            </w:r>
            <w:r>
              <w:rPr>
                <w:rFonts w:hint="eastAsia"/>
              </w:rPr>
              <w:t>0.5%</w:t>
            </w:r>
          </w:p>
        </w:tc>
      </w:tr>
      <w:tr w14:paraId="35B6C0BF">
        <w:tblPrEx>
          <w:tblCellMar>
            <w:top w:w="0" w:type="dxa"/>
            <w:left w:w="0" w:type="dxa"/>
            <w:bottom w:w="0" w:type="dxa"/>
            <w:right w:w="0" w:type="dxa"/>
          </w:tblCellMar>
        </w:tblPrEx>
        <w:trPr>
          <w:wBefore w:w="0" w:type="auto"/>
          <w:tblCellSpacing w:w="0" w:type="dxa"/>
        </w:trPr>
        <w:tc>
          <w:tcPr>
            <w:tcW w:w="0" w:type="auto"/>
            <w:noWrap w:val="0"/>
            <w:vAlign w:val="center"/>
          </w:tcPr>
          <w:p w14:paraId="03193E5D">
            <w:r>
              <w:rPr>
                <w:rFonts w:hint="eastAsia"/>
              </w:rPr>
              <w:t xml:space="preserve">有效成分及其含量： </w:t>
            </w:r>
          </w:p>
          <w:p w14:paraId="5F06960B">
            <w:r>
              <w:rPr>
                <w:rFonts w:hint="eastAsia"/>
              </w:rPr>
              <w:t xml:space="preserve">    小檗碱0.5%    </w:t>
            </w:r>
          </w:p>
        </w:tc>
      </w:tr>
      <w:tr w14:paraId="281BDBEB">
        <w:tblPrEx>
          <w:tblCellMar>
            <w:top w:w="0" w:type="dxa"/>
            <w:left w:w="0" w:type="dxa"/>
            <w:bottom w:w="0" w:type="dxa"/>
            <w:right w:w="0" w:type="dxa"/>
          </w:tblCellMar>
        </w:tblPrEx>
        <w:trPr>
          <w:wBefore w:w="0" w:type="auto"/>
          <w:tblCellSpacing w:w="0" w:type="dxa"/>
        </w:trPr>
        <w:tc>
          <w:tcPr>
            <w:tcW w:w="0" w:type="auto"/>
            <w:noWrap w:val="0"/>
            <w:vAlign w:val="center"/>
          </w:tcPr>
          <w:p w14:paraId="257A0C4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60483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A7A190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611F85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08A678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2A2B9B6">
                  <w:r>
                    <w:rPr>
                      <w:rStyle w:val="11"/>
                      <w:rFonts w:hint="eastAsia"/>
                    </w:rPr>
                    <w:t>施用方式</w:t>
                  </w:r>
                </w:p>
              </w:tc>
            </w:tr>
            <w:tr w14:paraId="49787C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3932125">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502F2C">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3E7064">
                  <w:r>
                    <w:rPr>
                      <w:rStyle w:val="11"/>
                      <w:rFonts w:hint="eastAsia"/>
                    </w:rPr>
                    <w:t>200-250克/亩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C98195">
                  <w:r>
                    <w:rPr>
                      <w:rStyle w:val="11"/>
                      <w:rFonts w:hint="eastAsia"/>
                    </w:rPr>
                    <w:t>喷雾</w:t>
                  </w:r>
                </w:p>
              </w:tc>
            </w:tr>
          </w:tbl>
          <w:p w14:paraId="3C022BA4">
            <w:pPr>
              <w:rPr>
                <w:rFonts w:ascii="Times New Roman" w:hAnsi="Times New Roman" w:cs="Times New Roman"/>
                <w:sz w:val="20"/>
                <w:szCs w:val="20"/>
              </w:rPr>
            </w:pPr>
          </w:p>
        </w:tc>
      </w:tr>
      <w:tr w14:paraId="3C72F7C5">
        <w:tblPrEx>
          <w:tblCellMar>
            <w:top w:w="0" w:type="dxa"/>
            <w:left w:w="0" w:type="dxa"/>
            <w:bottom w:w="0" w:type="dxa"/>
            <w:right w:w="0" w:type="dxa"/>
          </w:tblCellMar>
        </w:tblPrEx>
        <w:trPr>
          <w:wBefore w:w="0" w:type="auto"/>
          <w:tblCellSpacing w:w="0" w:type="dxa"/>
        </w:trPr>
        <w:tc>
          <w:tcPr>
            <w:tcW w:w="0" w:type="auto"/>
            <w:noWrap w:val="0"/>
            <w:vAlign w:val="center"/>
          </w:tcPr>
          <w:p w14:paraId="484F8569">
            <w:r>
              <w:rPr>
                <w:rStyle w:val="10"/>
                <w:rFonts w:hint="eastAsia"/>
              </w:rPr>
              <w:t>使用技术要求:</w:t>
            </w:r>
            <w:r>
              <w:rPr>
                <w:rFonts w:hint="eastAsia"/>
              </w:rPr>
              <w:br w:type="textWrapping"/>
            </w:r>
            <w:r>
              <w:rPr>
                <w:rStyle w:val="11"/>
                <w:rFonts w:hint="eastAsia"/>
              </w:rPr>
              <w:t>1.于黄瓜白粉病发病前或发病初期开始茎叶喷雾施药，间隔7-10天再次施药，连续2-3次。注意喷雾均匀。 2.大风天或预计1小时内降雨，请勿施药。</w:t>
            </w:r>
          </w:p>
        </w:tc>
      </w:tr>
      <w:tr w14:paraId="5FF3D388">
        <w:tblPrEx>
          <w:tblCellMar>
            <w:top w:w="0" w:type="dxa"/>
            <w:left w:w="0" w:type="dxa"/>
            <w:bottom w:w="0" w:type="dxa"/>
            <w:right w:w="0" w:type="dxa"/>
          </w:tblCellMar>
        </w:tblPrEx>
        <w:trPr>
          <w:wBefore w:w="0" w:type="auto"/>
          <w:tblCellSpacing w:w="0" w:type="dxa"/>
        </w:trPr>
        <w:tc>
          <w:tcPr>
            <w:tcW w:w="0" w:type="auto"/>
            <w:noWrap w:val="0"/>
            <w:vAlign w:val="center"/>
          </w:tcPr>
          <w:p w14:paraId="7918D133">
            <w:r>
              <w:rPr>
                <w:rStyle w:val="10"/>
                <w:rFonts w:hint="eastAsia"/>
              </w:rPr>
              <w:t>产品性能:</w:t>
            </w:r>
            <w:r>
              <w:rPr>
                <w:rFonts w:hint="eastAsia"/>
              </w:rPr>
              <w:br w:type="textWrapping"/>
            </w:r>
            <w:r>
              <w:rPr>
                <w:rStyle w:val="11"/>
                <w:rFonts w:hint="eastAsia"/>
              </w:rPr>
              <w:t>本品是能渗透到植物体内和病斑部位，通过干扰病原菌体内代谢，而抑制其生长和繁殖。可用于防治黄瓜白粉病。</w:t>
            </w:r>
          </w:p>
        </w:tc>
      </w:tr>
      <w:tr w14:paraId="753D92DD">
        <w:tblPrEx>
          <w:tblCellMar>
            <w:top w:w="0" w:type="dxa"/>
            <w:left w:w="0" w:type="dxa"/>
            <w:bottom w:w="0" w:type="dxa"/>
            <w:right w:w="0" w:type="dxa"/>
          </w:tblCellMar>
        </w:tblPrEx>
        <w:trPr>
          <w:wBefore w:w="0" w:type="auto"/>
          <w:tblCellSpacing w:w="0" w:type="dxa"/>
        </w:trPr>
        <w:tc>
          <w:tcPr>
            <w:tcW w:w="0" w:type="auto"/>
            <w:noWrap w:val="0"/>
            <w:vAlign w:val="center"/>
          </w:tcPr>
          <w:p w14:paraId="4903E773">
            <w:r>
              <w:rPr>
                <w:rStyle w:val="10"/>
                <w:rFonts w:hint="eastAsia"/>
              </w:rPr>
              <w:t>注意事项：</w:t>
            </w:r>
            <w:r>
              <w:rPr>
                <w:rFonts w:hint="eastAsia"/>
              </w:rPr>
              <w:br w:type="textWrapping"/>
            </w:r>
            <w:r>
              <w:rPr>
                <w:rStyle w:val="11"/>
                <w:rFonts w:hint="eastAsia"/>
              </w:rPr>
              <w:t>1.使用本剂前要充分摇匀。施药时应按农药使用规则进行操作，穿戴防护服、口罩、手套和护目镜，避免吸入药液。施药期间禁止吃东西和饮水，施药后应及时洗脸、洗手。 2.水产养殖区、河塘等水体附近禁用。禁止在河塘等水域清洗施药器具。施药和清洗药械时避免污染水源。3.孕妇及哺乳期妇女应避免接触本品。4.不宜在温室使用本药剂，不要随意与肥料、其他农药等混用。建议与其它作用机制不同杀菌剂轮换使用，以延缓抗性产生。 5.用过的容器应妥善处理，不可做他用，也不可随意丢弃。6.孕妇及哺乳期妇女避免接触本产品。</w:t>
            </w:r>
          </w:p>
        </w:tc>
      </w:tr>
      <w:tr w14:paraId="0322751C">
        <w:tblPrEx>
          <w:tblCellMar>
            <w:top w:w="0" w:type="dxa"/>
            <w:left w:w="0" w:type="dxa"/>
            <w:bottom w:w="0" w:type="dxa"/>
            <w:right w:w="0" w:type="dxa"/>
          </w:tblCellMar>
        </w:tblPrEx>
        <w:trPr>
          <w:wBefore w:w="0" w:type="auto"/>
          <w:tblCellSpacing w:w="0" w:type="dxa"/>
        </w:trPr>
        <w:tc>
          <w:tcPr>
            <w:tcW w:w="0" w:type="auto"/>
            <w:noWrap w:val="0"/>
            <w:vAlign w:val="center"/>
          </w:tcPr>
          <w:p w14:paraId="4A62FDC1">
            <w:r>
              <w:rPr>
                <w:rStyle w:val="10"/>
                <w:rFonts w:hint="eastAsia"/>
              </w:rPr>
              <w:t>中毒急救措施：</w:t>
            </w:r>
            <w:r>
              <w:rPr>
                <w:rFonts w:hint="eastAsia"/>
              </w:rPr>
              <w:br w:type="textWrapping"/>
            </w:r>
            <w:r>
              <w:rPr>
                <w:rStyle w:val="11"/>
                <w:rFonts w:hint="eastAsia"/>
              </w:rPr>
              <w:t>接触该药剂后请更换衣服，如果药剂进入眼睛，用大量水冲洗至少15分钟；如果接触皮肤，用水和肥皂冲洗；如误服，请用水充分漱口后，并立即携标签到医院就诊。</w:t>
            </w:r>
          </w:p>
        </w:tc>
      </w:tr>
      <w:tr w14:paraId="7FA11FED">
        <w:tblPrEx>
          <w:tblCellMar>
            <w:top w:w="0" w:type="dxa"/>
            <w:left w:w="0" w:type="dxa"/>
            <w:bottom w:w="0" w:type="dxa"/>
            <w:right w:w="0" w:type="dxa"/>
          </w:tblCellMar>
        </w:tblPrEx>
        <w:trPr>
          <w:wBefore w:w="0" w:type="auto"/>
          <w:tblCellSpacing w:w="0" w:type="dxa"/>
        </w:trPr>
        <w:tc>
          <w:tcPr>
            <w:tcW w:w="0" w:type="auto"/>
            <w:noWrap w:val="0"/>
            <w:vAlign w:val="center"/>
          </w:tcPr>
          <w:p w14:paraId="08B4A425">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本品应贮存在干燥、阴凉、通风、防雨处，远离火源或热源。置于儿童、无关人员触及不到之处，并加锁。勿与食品、饮料、饲料、粮食等混合储运。</w:t>
            </w:r>
          </w:p>
        </w:tc>
      </w:tr>
      <w:tr w14:paraId="4A5DA06A">
        <w:tblPrEx>
          <w:tblCellMar>
            <w:top w:w="0" w:type="dxa"/>
            <w:left w:w="0" w:type="dxa"/>
            <w:bottom w:w="0" w:type="dxa"/>
            <w:right w:w="0" w:type="dxa"/>
          </w:tblCellMar>
        </w:tblPrEx>
        <w:trPr>
          <w:wBefore w:w="0" w:type="auto"/>
          <w:tblCellSpacing w:w="0" w:type="dxa"/>
        </w:trPr>
        <w:tc>
          <w:tcPr>
            <w:tcW w:w="0" w:type="auto"/>
            <w:noWrap w:val="0"/>
            <w:vAlign w:val="center"/>
          </w:tcPr>
          <w:p w14:paraId="55924E07">
            <w:r>
              <w:rPr>
                <w:rStyle w:val="10"/>
                <w:rFonts w:hint="eastAsia"/>
              </w:rPr>
              <w:t>质量保证期：</w:t>
            </w:r>
            <w:r>
              <w:rPr>
                <w:rStyle w:val="11"/>
                <w:rFonts w:hint="eastAsia"/>
              </w:rPr>
              <w:t>2年</w:t>
            </w:r>
          </w:p>
        </w:tc>
      </w:tr>
      <w:tr w14:paraId="3860B384">
        <w:tblPrEx>
          <w:tblCellMar>
            <w:top w:w="0" w:type="dxa"/>
            <w:left w:w="0" w:type="dxa"/>
            <w:bottom w:w="0" w:type="dxa"/>
            <w:right w:w="0" w:type="dxa"/>
          </w:tblCellMar>
        </w:tblPrEx>
        <w:trPr>
          <w:wBefore w:w="0" w:type="auto"/>
          <w:tblCellSpacing w:w="0" w:type="dxa"/>
        </w:trPr>
        <w:tc>
          <w:tcPr>
            <w:tcW w:w="0" w:type="auto"/>
            <w:noWrap w:val="0"/>
            <w:vAlign w:val="center"/>
          </w:tcPr>
          <w:p w14:paraId="1CDA4F42">
            <w:r>
              <w:rPr>
                <w:rStyle w:val="10"/>
                <w:rFonts w:hint="eastAsia"/>
              </w:rPr>
              <w:t>备注：</w:t>
            </w:r>
            <w:r>
              <w:rPr>
                <w:rFonts w:hint="eastAsia"/>
              </w:rPr>
              <w:br w:type="textWrapping"/>
            </w:r>
            <w:r>
              <w:rPr>
                <w:rStyle w:val="11"/>
                <w:rFonts w:hint="eastAsia"/>
              </w:rPr>
              <w:t>小檗碱盐酸盐0.55%。</w:t>
            </w:r>
          </w:p>
        </w:tc>
      </w:tr>
    </w:tbl>
    <w:p w14:paraId="38950A4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6533DB">
        <w:tblPrEx>
          <w:tblCellMar>
            <w:top w:w="0" w:type="dxa"/>
            <w:left w:w="0" w:type="dxa"/>
            <w:bottom w:w="0" w:type="dxa"/>
            <w:right w:w="0" w:type="dxa"/>
          </w:tblCellMar>
        </w:tblPrEx>
        <w:trPr>
          <w:wBefore w:w="0" w:type="auto"/>
          <w:tblCellSpacing w:w="0" w:type="dxa"/>
        </w:trPr>
        <w:tc>
          <w:tcPr>
            <w:tcW w:w="0" w:type="auto"/>
            <w:noWrap w:val="0"/>
            <w:vAlign w:val="center"/>
          </w:tcPr>
          <w:p w14:paraId="2604E380">
            <w:r>
              <w:rPr>
                <w:rStyle w:val="10"/>
                <w:rFonts w:hint="eastAsia"/>
              </w:rPr>
              <w:t>登记证号：</w:t>
            </w:r>
            <w:r>
              <w:rPr>
                <w:rFonts w:hint="eastAsia"/>
              </w:rPr>
              <w:t>WP20210247</w:t>
            </w:r>
          </w:p>
        </w:tc>
      </w:tr>
      <w:tr w14:paraId="276DD50A">
        <w:tblPrEx>
          <w:tblCellMar>
            <w:top w:w="0" w:type="dxa"/>
            <w:left w:w="0" w:type="dxa"/>
            <w:bottom w:w="0" w:type="dxa"/>
            <w:right w:w="0" w:type="dxa"/>
          </w:tblCellMar>
        </w:tblPrEx>
        <w:trPr>
          <w:wBefore w:w="0" w:type="auto"/>
          <w:tblCellSpacing w:w="0" w:type="dxa"/>
        </w:trPr>
        <w:tc>
          <w:tcPr>
            <w:tcW w:w="0" w:type="auto"/>
            <w:noWrap w:val="0"/>
            <w:vAlign w:val="center"/>
          </w:tcPr>
          <w:p w14:paraId="0830453A">
            <w:r>
              <w:rPr>
                <w:rStyle w:val="10"/>
                <w:rFonts w:hint="eastAsia"/>
              </w:rPr>
              <w:t>登记证持有人：</w:t>
            </w:r>
            <w:r>
              <w:rPr>
                <w:rFonts w:hint="eastAsia"/>
              </w:rPr>
              <w:t>中山凯中有限公司</w:t>
            </w:r>
          </w:p>
        </w:tc>
      </w:tr>
      <w:tr w14:paraId="4A9411AE">
        <w:tblPrEx>
          <w:tblCellMar>
            <w:top w:w="0" w:type="dxa"/>
            <w:left w:w="0" w:type="dxa"/>
            <w:bottom w:w="0" w:type="dxa"/>
            <w:right w:w="0" w:type="dxa"/>
          </w:tblCellMar>
        </w:tblPrEx>
        <w:trPr>
          <w:wBefore w:w="0" w:type="auto"/>
          <w:tblCellSpacing w:w="0" w:type="dxa"/>
        </w:trPr>
        <w:tc>
          <w:tcPr>
            <w:tcW w:w="0" w:type="auto"/>
            <w:noWrap w:val="0"/>
            <w:vAlign w:val="center"/>
          </w:tcPr>
          <w:p w14:paraId="4AE3A050">
            <w:r>
              <w:rPr>
                <w:rStyle w:val="10"/>
                <w:rFonts w:hint="eastAsia"/>
              </w:rPr>
              <w:t>农药名称：</w:t>
            </w:r>
            <w:r>
              <w:rPr>
                <w:rFonts w:hint="eastAsia"/>
              </w:rPr>
              <w:t>杀虫气雾剂</w:t>
            </w:r>
          </w:p>
        </w:tc>
      </w:tr>
      <w:tr w14:paraId="5CB64130">
        <w:tblPrEx>
          <w:tblCellMar>
            <w:top w:w="0" w:type="dxa"/>
            <w:left w:w="0" w:type="dxa"/>
            <w:bottom w:w="0" w:type="dxa"/>
            <w:right w:w="0" w:type="dxa"/>
          </w:tblCellMar>
        </w:tblPrEx>
        <w:trPr>
          <w:wBefore w:w="0" w:type="auto"/>
          <w:tblCellSpacing w:w="0" w:type="dxa"/>
        </w:trPr>
        <w:tc>
          <w:tcPr>
            <w:tcW w:w="0" w:type="auto"/>
            <w:noWrap w:val="0"/>
            <w:vAlign w:val="center"/>
          </w:tcPr>
          <w:p w14:paraId="3F133B76">
            <w:r>
              <w:rPr>
                <w:rStyle w:val="10"/>
                <w:rFonts w:hint="eastAsia"/>
              </w:rPr>
              <w:t>剂型：</w:t>
            </w:r>
            <w:r>
              <w:rPr>
                <w:rFonts w:hint="eastAsia"/>
              </w:rPr>
              <w:t>气雾剂</w:t>
            </w:r>
          </w:p>
        </w:tc>
      </w:tr>
      <w:tr w14:paraId="1C7E62D2">
        <w:tblPrEx>
          <w:tblCellMar>
            <w:top w:w="0" w:type="dxa"/>
            <w:left w:w="0" w:type="dxa"/>
            <w:bottom w:w="0" w:type="dxa"/>
            <w:right w:w="0" w:type="dxa"/>
          </w:tblCellMar>
        </w:tblPrEx>
        <w:trPr>
          <w:wBefore w:w="0" w:type="auto"/>
          <w:tblCellSpacing w:w="0" w:type="dxa"/>
        </w:trPr>
        <w:tc>
          <w:tcPr>
            <w:tcW w:w="0" w:type="auto"/>
            <w:noWrap w:val="0"/>
            <w:vAlign w:val="center"/>
          </w:tcPr>
          <w:p w14:paraId="2EA5CDD0">
            <w:r>
              <w:rPr>
                <w:rStyle w:val="10"/>
                <w:rFonts w:hint="eastAsia"/>
              </w:rPr>
              <w:t>毒性及其标识：</w:t>
            </w:r>
            <w:r>
              <w:rPr>
                <w:rFonts w:hint="eastAsia"/>
              </w:rPr>
              <w:t xml:space="preserve"> </w:t>
            </w:r>
            <w:r>
              <w:rPr>
                <w:lang/>
              </w:rPr>
              <w:drawing>
                <wp:inline distT="0" distB="0" distL="114300" distR="114300">
                  <wp:extent cx="476250" cy="323850"/>
                  <wp:effectExtent l="0" t="0" r="0" b="0"/>
                  <wp:docPr id="199" name="图片 19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FC1FF06">
        <w:tblPrEx>
          <w:tblCellMar>
            <w:top w:w="0" w:type="dxa"/>
            <w:left w:w="0" w:type="dxa"/>
            <w:bottom w:w="0" w:type="dxa"/>
            <w:right w:w="0" w:type="dxa"/>
          </w:tblCellMar>
        </w:tblPrEx>
        <w:trPr>
          <w:wBefore w:w="0" w:type="auto"/>
          <w:tblCellSpacing w:w="0" w:type="dxa"/>
        </w:trPr>
        <w:tc>
          <w:tcPr>
            <w:tcW w:w="0" w:type="auto"/>
            <w:noWrap w:val="0"/>
            <w:vAlign w:val="center"/>
          </w:tcPr>
          <w:p w14:paraId="3325BF33">
            <w:r>
              <w:rPr>
                <w:rStyle w:val="10"/>
                <w:rFonts w:hint="eastAsia"/>
              </w:rPr>
              <w:t>总有效成分含量：</w:t>
            </w:r>
            <w:r>
              <w:rPr>
                <w:rFonts w:hint="eastAsia"/>
              </w:rPr>
              <w:t>0.9%</w:t>
            </w:r>
          </w:p>
        </w:tc>
      </w:tr>
      <w:tr w14:paraId="6F2748F3">
        <w:tblPrEx>
          <w:tblCellMar>
            <w:top w:w="0" w:type="dxa"/>
            <w:left w:w="0" w:type="dxa"/>
            <w:bottom w:w="0" w:type="dxa"/>
            <w:right w:w="0" w:type="dxa"/>
          </w:tblCellMar>
        </w:tblPrEx>
        <w:trPr>
          <w:wBefore w:w="0" w:type="auto"/>
          <w:tblCellSpacing w:w="0" w:type="dxa"/>
        </w:trPr>
        <w:tc>
          <w:tcPr>
            <w:tcW w:w="0" w:type="auto"/>
            <w:noWrap w:val="0"/>
            <w:vAlign w:val="center"/>
          </w:tcPr>
          <w:p w14:paraId="785A2E28">
            <w:r>
              <w:rPr>
                <w:rFonts w:hint="eastAsia"/>
              </w:rPr>
              <w:t xml:space="preserve">有效成分及其含量： </w:t>
            </w:r>
          </w:p>
          <w:p w14:paraId="61F01AF2">
            <w:r>
              <w:rPr>
                <w:rFonts w:hint="eastAsia"/>
              </w:rPr>
              <w:t xml:space="preserve">    除虫菊素0.9%    </w:t>
            </w:r>
          </w:p>
        </w:tc>
      </w:tr>
      <w:tr w14:paraId="00BCF8E3">
        <w:tblPrEx>
          <w:tblCellMar>
            <w:top w:w="0" w:type="dxa"/>
            <w:left w:w="0" w:type="dxa"/>
            <w:bottom w:w="0" w:type="dxa"/>
            <w:right w:w="0" w:type="dxa"/>
          </w:tblCellMar>
        </w:tblPrEx>
        <w:trPr>
          <w:wBefore w:w="0" w:type="auto"/>
          <w:tblCellSpacing w:w="0" w:type="dxa"/>
        </w:trPr>
        <w:tc>
          <w:tcPr>
            <w:tcW w:w="0" w:type="auto"/>
            <w:noWrap w:val="0"/>
            <w:vAlign w:val="center"/>
          </w:tcPr>
          <w:p w14:paraId="3200669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EF496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08E81C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C10359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21093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472F4E">
                  <w:r>
                    <w:rPr>
                      <w:rStyle w:val="11"/>
                      <w:rFonts w:hint="eastAsia"/>
                    </w:rPr>
                    <w:t>施用方式</w:t>
                  </w:r>
                </w:p>
              </w:tc>
            </w:tr>
            <w:tr w14:paraId="55E38B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DE24AC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9297F8">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EB1E5A">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523297">
                  <w:r>
                    <w:rPr>
                      <w:rStyle w:val="11"/>
                      <w:rFonts w:hint="eastAsia"/>
                    </w:rPr>
                    <w:t>喷雾</w:t>
                  </w:r>
                </w:p>
              </w:tc>
            </w:tr>
            <w:tr w14:paraId="292584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FE391B">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F20EF0">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676840">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42AF38">
                  <w:r>
                    <w:rPr>
                      <w:rStyle w:val="11"/>
                      <w:rFonts w:hint="eastAsia"/>
                    </w:rPr>
                    <w:t>喷雾</w:t>
                  </w:r>
                </w:p>
              </w:tc>
            </w:tr>
            <w:tr w14:paraId="34CCB3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31FD97">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C22581">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9A5BF8">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A1F025">
                  <w:r>
                    <w:rPr>
                      <w:rStyle w:val="11"/>
                      <w:rFonts w:hint="eastAsia"/>
                    </w:rPr>
                    <w:t>喷雾</w:t>
                  </w:r>
                </w:p>
              </w:tc>
            </w:tr>
            <w:tr w14:paraId="74E2AF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3FFE0AC">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27EE7E">
                  <w:r>
                    <w:rPr>
                      <w:rStyle w:val="11"/>
                      <w:rFonts w:hint="eastAsia"/>
                    </w:rPr>
                    <w:t>蚂蚁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9DB3AB">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A7C35A">
                  <w:r>
                    <w:rPr>
                      <w:rStyle w:val="11"/>
                      <w:rFonts w:hint="eastAsia"/>
                    </w:rPr>
                    <w:t>喷雾</w:t>
                  </w:r>
                </w:p>
              </w:tc>
            </w:tr>
            <w:tr w14:paraId="00B86B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2848C8A">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46205B">
                  <w:r>
                    <w:rPr>
                      <w:rStyle w:val="11"/>
                      <w:rFonts w:hint="eastAsia"/>
                    </w:rPr>
                    <w:t>跳蚤</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7496F9">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13CFE8">
                  <w:r>
                    <w:rPr>
                      <w:rStyle w:val="11"/>
                      <w:rFonts w:hint="eastAsia"/>
                    </w:rPr>
                    <w:t>喷雾</w:t>
                  </w:r>
                </w:p>
              </w:tc>
            </w:tr>
            <w:tr w14:paraId="3D9F04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88C431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5467CA">
                  <w:r>
                    <w:rPr>
                      <w:rStyle w:val="11"/>
                      <w:rFonts w:hint="eastAsia"/>
                    </w:rPr>
                    <w:t>臭虫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EDE746">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50815D">
                  <w:r>
                    <w:rPr>
                      <w:rStyle w:val="11"/>
                      <w:rFonts w:hint="eastAsia"/>
                    </w:rPr>
                    <w:t>喷雾</w:t>
                  </w:r>
                </w:p>
              </w:tc>
            </w:tr>
          </w:tbl>
          <w:p w14:paraId="25A50AB6">
            <w:pPr>
              <w:rPr>
                <w:rFonts w:ascii="Times New Roman" w:hAnsi="Times New Roman" w:cs="Times New Roman"/>
                <w:sz w:val="20"/>
                <w:szCs w:val="20"/>
              </w:rPr>
            </w:pPr>
          </w:p>
        </w:tc>
      </w:tr>
      <w:tr w14:paraId="348981B9">
        <w:tblPrEx>
          <w:tblCellMar>
            <w:top w:w="0" w:type="dxa"/>
            <w:left w:w="0" w:type="dxa"/>
            <w:bottom w:w="0" w:type="dxa"/>
            <w:right w:w="0" w:type="dxa"/>
          </w:tblCellMar>
        </w:tblPrEx>
        <w:trPr>
          <w:wBefore w:w="0" w:type="auto"/>
          <w:tblCellSpacing w:w="0" w:type="dxa"/>
        </w:trPr>
        <w:tc>
          <w:tcPr>
            <w:tcW w:w="0" w:type="auto"/>
            <w:noWrap w:val="0"/>
            <w:vAlign w:val="center"/>
          </w:tcPr>
          <w:p w14:paraId="4F058D54">
            <w:r>
              <w:rPr>
                <w:rStyle w:val="10"/>
                <w:rFonts w:hint="eastAsia"/>
              </w:rPr>
              <w:t>使用技术要求:</w:t>
            </w:r>
            <w:r>
              <w:rPr>
                <w:rFonts w:hint="eastAsia"/>
              </w:rPr>
              <w:br w:type="textWrapping"/>
            </w:r>
            <w:r>
              <w:rPr>
                <w:rStyle w:val="11"/>
                <w:rFonts w:hint="eastAsia"/>
              </w:rPr>
              <w:t>1. 驱杀蚊、蝇时，可直接对准飞行中的蚊子、苍蝇喷射，或者按照房间面积，向空间适量喷射，喷口斜向上喷射。◆驱杀蜚蠊（俗称蟑螂）、蚂蚁、臭虫、跳蚤时，向其出没或栖息处适量喷射。2. 使用后人畜立即离开房间，关闭门窗，20分钟后打开门窗，充分通风后方可再次进入房间。</w:t>
            </w:r>
          </w:p>
        </w:tc>
      </w:tr>
      <w:tr w14:paraId="0E043DF6">
        <w:tblPrEx>
          <w:tblCellMar>
            <w:top w:w="0" w:type="dxa"/>
            <w:left w:w="0" w:type="dxa"/>
            <w:bottom w:w="0" w:type="dxa"/>
            <w:right w:w="0" w:type="dxa"/>
          </w:tblCellMar>
        </w:tblPrEx>
        <w:trPr>
          <w:wBefore w:w="0" w:type="auto"/>
          <w:tblCellSpacing w:w="0" w:type="dxa"/>
        </w:trPr>
        <w:tc>
          <w:tcPr>
            <w:tcW w:w="0" w:type="auto"/>
            <w:noWrap w:val="0"/>
            <w:vAlign w:val="center"/>
          </w:tcPr>
          <w:p w14:paraId="4D9C59AA">
            <w:r>
              <w:rPr>
                <w:rStyle w:val="10"/>
                <w:rFonts w:hint="eastAsia"/>
              </w:rPr>
              <w:t>产品性能:</w:t>
            </w:r>
            <w:r>
              <w:rPr>
                <w:rFonts w:hint="eastAsia"/>
              </w:rPr>
              <w:br w:type="textWrapping"/>
            </w:r>
            <w:r>
              <w:rPr>
                <w:rStyle w:val="11"/>
                <w:rFonts w:hint="eastAsia"/>
              </w:rPr>
              <w:t>本品有效成分除虫菊素，源于天然植物除虫菊，能有效驱杀蚊子、苍蝇、蜚蠊（俗称蟑螂）、蚂蚁、臭虫、跳蚤等卫生害虫；使用方便，是改善家居、宾馆等环境卫生的理想用品之一。</w:t>
            </w:r>
          </w:p>
        </w:tc>
      </w:tr>
      <w:tr w14:paraId="46B568BA">
        <w:tblPrEx>
          <w:tblCellMar>
            <w:top w:w="0" w:type="dxa"/>
            <w:left w:w="0" w:type="dxa"/>
            <w:bottom w:w="0" w:type="dxa"/>
            <w:right w:w="0" w:type="dxa"/>
          </w:tblCellMar>
        </w:tblPrEx>
        <w:trPr>
          <w:wBefore w:w="0" w:type="auto"/>
          <w:tblCellSpacing w:w="0" w:type="dxa"/>
        </w:trPr>
        <w:tc>
          <w:tcPr>
            <w:tcW w:w="0" w:type="auto"/>
            <w:noWrap w:val="0"/>
            <w:vAlign w:val="center"/>
          </w:tcPr>
          <w:p w14:paraId="24703275">
            <w:r>
              <w:rPr>
                <w:rStyle w:val="10"/>
                <w:rFonts w:hint="eastAsia"/>
              </w:rPr>
              <w:t>注意事项：</w:t>
            </w:r>
            <w:r>
              <w:rPr>
                <w:rFonts w:hint="eastAsia"/>
              </w:rPr>
              <w:br w:type="textWrapping"/>
            </w:r>
            <w:r>
              <w:rPr>
                <w:rStyle w:val="11"/>
                <w:rFonts w:hint="eastAsia"/>
              </w:rPr>
              <w:t>1. 仅限室内使用，请按指示使用。 2. 使用后注意通风。勿倒置使用。用后洗手。勿向人体及食物喷雾。 3. 本品对鱼类、蜂和蚕毒性高，蚕室及其附近禁用。 4. 过敏者禁用。使用中有任何不良反应请及时就医。本品属压力包装，切勿毁坏及焚烧，勿近火或倒置喷射，空罐勿投入火中。 5. 使用前请移走或覆盖暴露在外的食品并关闭火源，避免在同一空间使用多种气雾剂。 6. 用过的容器应妥善处理，不可做他用，也不可随意丢弃。 7. 孕妇及哺乳期妇女禁止接触。</w:t>
            </w:r>
          </w:p>
        </w:tc>
      </w:tr>
      <w:tr w14:paraId="742CC092">
        <w:tblPrEx>
          <w:tblCellMar>
            <w:top w:w="0" w:type="dxa"/>
            <w:left w:w="0" w:type="dxa"/>
            <w:bottom w:w="0" w:type="dxa"/>
            <w:right w:w="0" w:type="dxa"/>
          </w:tblCellMar>
        </w:tblPrEx>
        <w:trPr>
          <w:wBefore w:w="0" w:type="auto"/>
          <w:tblCellSpacing w:w="0" w:type="dxa"/>
        </w:trPr>
        <w:tc>
          <w:tcPr>
            <w:tcW w:w="0" w:type="auto"/>
            <w:noWrap w:val="0"/>
            <w:vAlign w:val="center"/>
          </w:tcPr>
          <w:p w14:paraId="535590AE">
            <w:r>
              <w:rPr>
                <w:rStyle w:val="10"/>
                <w:rFonts w:hint="eastAsia"/>
              </w:rPr>
              <w:t>中毒急救措施：</w:t>
            </w:r>
            <w:r>
              <w:rPr>
                <w:rFonts w:hint="eastAsia"/>
              </w:rPr>
              <w:br w:type="textWrapping"/>
            </w:r>
            <w:r>
              <w:rPr>
                <w:rStyle w:val="11"/>
                <w:rFonts w:hint="eastAsia"/>
              </w:rPr>
              <w:t>药液粘上皮肤或眼睛，请即用大量清水清洗至少15分钟，并就医。若使用中感觉不适或不慎误服，请立即携标签送医院根据症状诊治。</w:t>
            </w:r>
          </w:p>
        </w:tc>
      </w:tr>
      <w:tr w14:paraId="09A16C4D">
        <w:tblPrEx>
          <w:tblCellMar>
            <w:top w:w="0" w:type="dxa"/>
            <w:left w:w="0" w:type="dxa"/>
            <w:bottom w:w="0" w:type="dxa"/>
            <w:right w:w="0" w:type="dxa"/>
          </w:tblCellMar>
        </w:tblPrEx>
        <w:trPr>
          <w:wBefore w:w="0" w:type="auto"/>
          <w:tblCellSpacing w:w="0" w:type="dxa"/>
        </w:trPr>
        <w:tc>
          <w:tcPr>
            <w:tcW w:w="0" w:type="auto"/>
            <w:noWrap w:val="0"/>
            <w:vAlign w:val="center"/>
          </w:tcPr>
          <w:p w14:paraId="786569BE">
            <w:r>
              <w:rPr>
                <w:rStyle w:val="10"/>
                <w:rFonts w:hint="eastAsia"/>
              </w:rPr>
              <w:t>储存和运输方法：</w:t>
            </w:r>
            <w:r>
              <w:rPr>
                <w:rFonts w:hint="eastAsia"/>
              </w:rPr>
              <w:br w:type="textWrapping"/>
            </w:r>
            <w:r>
              <w:rPr>
                <w:rStyle w:val="11"/>
                <w:rFonts w:hint="eastAsia"/>
              </w:rPr>
              <w:t>本品极易燃，远离火源或热源，产品应贮存在50℃以下通风、阴凉、干燥（低温）的库房中，严防潮湿和曝晒。运输装卸要小心轻放。严禁猛烈撞击，且不可倒置。置于儿童、无关人员触及不到之处，并加锁。勿与食品、饮料、饲料、粮食等同贮同运。</w:t>
            </w:r>
          </w:p>
        </w:tc>
      </w:tr>
      <w:tr w14:paraId="339E2054">
        <w:tblPrEx>
          <w:tblCellMar>
            <w:top w:w="0" w:type="dxa"/>
            <w:left w:w="0" w:type="dxa"/>
            <w:bottom w:w="0" w:type="dxa"/>
            <w:right w:w="0" w:type="dxa"/>
          </w:tblCellMar>
        </w:tblPrEx>
        <w:trPr>
          <w:wBefore w:w="0" w:type="auto"/>
          <w:tblCellSpacing w:w="0" w:type="dxa"/>
        </w:trPr>
        <w:tc>
          <w:tcPr>
            <w:tcW w:w="0" w:type="auto"/>
            <w:noWrap w:val="0"/>
            <w:vAlign w:val="center"/>
          </w:tcPr>
          <w:p w14:paraId="1CE348B8">
            <w:r>
              <w:rPr>
                <w:rStyle w:val="10"/>
                <w:rFonts w:hint="eastAsia"/>
              </w:rPr>
              <w:t>质量保证期：</w:t>
            </w:r>
            <w:r>
              <w:rPr>
                <w:rStyle w:val="11"/>
                <w:rFonts w:hint="eastAsia"/>
              </w:rPr>
              <w:t>3年</w:t>
            </w:r>
          </w:p>
        </w:tc>
      </w:tr>
      <w:tr w14:paraId="14B32691">
        <w:tblPrEx>
          <w:tblCellMar>
            <w:top w:w="0" w:type="dxa"/>
            <w:left w:w="0" w:type="dxa"/>
            <w:bottom w:w="0" w:type="dxa"/>
            <w:right w:w="0" w:type="dxa"/>
          </w:tblCellMar>
        </w:tblPrEx>
        <w:trPr>
          <w:wBefore w:w="0" w:type="auto"/>
          <w:tblCellSpacing w:w="0" w:type="dxa"/>
        </w:trPr>
        <w:tc>
          <w:tcPr>
            <w:tcW w:w="0" w:type="auto"/>
            <w:noWrap w:val="0"/>
            <w:vAlign w:val="center"/>
          </w:tcPr>
          <w:p w14:paraId="5BE7527B">
            <w:r>
              <w:rPr>
                <w:rStyle w:val="10"/>
                <w:rFonts w:hint="eastAsia"/>
              </w:rPr>
              <w:t>备注：</w:t>
            </w:r>
          </w:p>
        </w:tc>
      </w:tr>
    </w:tbl>
    <w:p w14:paraId="50FCC2C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AD0DC14">
        <w:tblPrEx>
          <w:tblCellMar>
            <w:top w:w="0" w:type="dxa"/>
            <w:left w:w="0" w:type="dxa"/>
            <w:bottom w:w="0" w:type="dxa"/>
            <w:right w:w="0" w:type="dxa"/>
          </w:tblCellMar>
        </w:tblPrEx>
        <w:trPr>
          <w:wBefore w:w="0" w:type="auto"/>
          <w:tblCellSpacing w:w="0" w:type="dxa"/>
        </w:trPr>
        <w:tc>
          <w:tcPr>
            <w:tcW w:w="0" w:type="auto"/>
            <w:noWrap w:val="0"/>
            <w:vAlign w:val="center"/>
          </w:tcPr>
          <w:p w14:paraId="3BE47FA4">
            <w:r>
              <w:rPr>
                <w:rStyle w:val="10"/>
                <w:rFonts w:hint="eastAsia"/>
              </w:rPr>
              <w:t>登记证号：</w:t>
            </w:r>
            <w:r>
              <w:rPr>
                <w:rFonts w:hint="eastAsia"/>
              </w:rPr>
              <w:t>PD20212075</w:t>
            </w:r>
          </w:p>
        </w:tc>
      </w:tr>
      <w:tr w14:paraId="7034C565">
        <w:tblPrEx>
          <w:tblCellMar>
            <w:top w:w="0" w:type="dxa"/>
            <w:left w:w="0" w:type="dxa"/>
            <w:bottom w:w="0" w:type="dxa"/>
            <w:right w:w="0" w:type="dxa"/>
          </w:tblCellMar>
        </w:tblPrEx>
        <w:trPr>
          <w:wBefore w:w="0" w:type="auto"/>
          <w:tblCellSpacing w:w="0" w:type="dxa"/>
        </w:trPr>
        <w:tc>
          <w:tcPr>
            <w:tcW w:w="0" w:type="auto"/>
            <w:noWrap w:val="0"/>
            <w:vAlign w:val="center"/>
          </w:tcPr>
          <w:p w14:paraId="571C87EF">
            <w:r>
              <w:rPr>
                <w:rStyle w:val="10"/>
                <w:rFonts w:hint="eastAsia"/>
              </w:rPr>
              <w:t>登记证持有人：</w:t>
            </w:r>
            <w:r>
              <w:rPr>
                <w:rFonts w:hint="eastAsia"/>
              </w:rPr>
              <w:t>湖南农大海特农化有限公司</w:t>
            </w:r>
          </w:p>
        </w:tc>
      </w:tr>
      <w:tr w14:paraId="4730ED9A">
        <w:tblPrEx>
          <w:tblCellMar>
            <w:top w:w="0" w:type="dxa"/>
            <w:left w:w="0" w:type="dxa"/>
            <w:bottom w:w="0" w:type="dxa"/>
            <w:right w:w="0" w:type="dxa"/>
          </w:tblCellMar>
        </w:tblPrEx>
        <w:trPr>
          <w:wBefore w:w="0" w:type="auto"/>
          <w:tblCellSpacing w:w="0" w:type="dxa"/>
        </w:trPr>
        <w:tc>
          <w:tcPr>
            <w:tcW w:w="0" w:type="auto"/>
            <w:noWrap w:val="0"/>
            <w:vAlign w:val="center"/>
          </w:tcPr>
          <w:p w14:paraId="07E84BB2">
            <w:r>
              <w:rPr>
                <w:rStyle w:val="10"/>
                <w:rFonts w:hint="eastAsia"/>
              </w:rPr>
              <w:t>农药名称：</w:t>
            </w:r>
            <w:r>
              <w:rPr>
                <w:rFonts w:hint="eastAsia"/>
              </w:rPr>
              <w:t>氟啶胺</w:t>
            </w:r>
          </w:p>
        </w:tc>
      </w:tr>
      <w:tr w14:paraId="79042BF3">
        <w:tblPrEx>
          <w:tblCellMar>
            <w:top w:w="0" w:type="dxa"/>
            <w:left w:w="0" w:type="dxa"/>
            <w:bottom w:w="0" w:type="dxa"/>
            <w:right w:w="0" w:type="dxa"/>
          </w:tblCellMar>
        </w:tblPrEx>
        <w:trPr>
          <w:wBefore w:w="0" w:type="auto"/>
          <w:tblCellSpacing w:w="0" w:type="dxa"/>
        </w:trPr>
        <w:tc>
          <w:tcPr>
            <w:tcW w:w="0" w:type="auto"/>
            <w:noWrap w:val="0"/>
            <w:vAlign w:val="center"/>
          </w:tcPr>
          <w:p w14:paraId="5F951A4D">
            <w:r>
              <w:rPr>
                <w:rStyle w:val="10"/>
                <w:rFonts w:hint="eastAsia"/>
              </w:rPr>
              <w:t>剂型：</w:t>
            </w:r>
            <w:r>
              <w:rPr>
                <w:rFonts w:hint="eastAsia"/>
              </w:rPr>
              <w:t>悬浮剂</w:t>
            </w:r>
          </w:p>
        </w:tc>
      </w:tr>
      <w:tr w14:paraId="3C79DB02">
        <w:tblPrEx>
          <w:tblCellMar>
            <w:top w:w="0" w:type="dxa"/>
            <w:left w:w="0" w:type="dxa"/>
            <w:bottom w:w="0" w:type="dxa"/>
            <w:right w:w="0" w:type="dxa"/>
          </w:tblCellMar>
        </w:tblPrEx>
        <w:trPr>
          <w:wBefore w:w="0" w:type="auto"/>
          <w:tblCellSpacing w:w="0" w:type="dxa"/>
        </w:trPr>
        <w:tc>
          <w:tcPr>
            <w:tcW w:w="0" w:type="auto"/>
            <w:noWrap w:val="0"/>
            <w:vAlign w:val="center"/>
          </w:tcPr>
          <w:p w14:paraId="00103A5A">
            <w:r>
              <w:rPr>
                <w:rStyle w:val="10"/>
                <w:rFonts w:hint="eastAsia"/>
              </w:rPr>
              <w:t>毒性及其标识：</w:t>
            </w:r>
            <w:r>
              <w:rPr>
                <w:rFonts w:hint="eastAsia"/>
              </w:rPr>
              <w:t xml:space="preserve"> 微毒 </w:t>
            </w:r>
          </w:p>
        </w:tc>
      </w:tr>
      <w:tr w14:paraId="16E36B89">
        <w:tblPrEx>
          <w:tblCellMar>
            <w:top w:w="0" w:type="dxa"/>
            <w:left w:w="0" w:type="dxa"/>
            <w:bottom w:w="0" w:type="dxa"/>
            <w:right w:w="0" w:type="dxa"/>
          </w:tblCellMar>
        </w:tblPrEx>
        <w:trPr>
          <w:wBefore w:w="0" w:type="auto"/>
          <w:tblCellSpacing w:w="0" w:type="dxa"/>
        </w:trPr>
        <w:tc>
          <w:tcPr>
            <w:tcW w:w="0" w:type="auto"/>
            <w:noWrap w:val="0"/>
            <w:vAlign w:val="center"/>
          </w:tcPr>
          <w:p w14:paraId="1434DCF7">
            <w:r>
              <w:rPr>
                <w:rStyle w:val="10"/>
                <w:rFonts w:hint="eastAsia"/>
              </w:rPr>
              <w:t>总有效成分含量：</w:t>
            </w:r>
            <w:r>
              <w:rPr>
                <w:rFonts w:hint="eastAsia"/>
              </w:rPr>
              <w:t>500克/升</w:t>
            </w:r>
          </w:p>
        </w:tc>
      </w:tr>
      <w:tr w14:paraId="7F0DFC1D">
        <w:tblPrEx>
          <w:tblCellMar>
            <w:top w:w="0" w:type="dxa"/>
            <w:left w:w="0" w:type="dxa"/>
            <w:bottom w:w="0" w:type="dxa"/>
            <w:right w:w="0" w:type="dxa"/>
          </w:tblCellMar>
        </w:tblPrEx>
        <w:trPr>
          <w:wBefore w:w="0" w:type="auto"/>
          <w:tblCellSpacing w:w="0" w:type="dxa"/>
        </w:trPr>
        <w:tc>
          <w:tcPr>
            <w:tcW w:w="0" w:type="auto"/>
            <w:noWrap w:val="0"/>
            <w:vAlign w:val="center"/>
          </w:tcPr>
          <w:p w14:paraId="5E3535B9">
            <w:r>
              <w:rPr>
                <w:rFonts w:hint="eastAsia"/>
              </w:rPr>
              <w:t xml:space="preserve">有效成分及其含量： </w:t>
            </w:r>
          </w:p>
          <w:p w14:paraId="7EA44FAF">
            <w:r>
              <w:rPr>
                <w:rFonts w:hint="eastAsia"/>
              </w:rPr>
              <w:t xml:space="preserve">    氟啶胺500克/升    </w:t>
            </w:r>
          </w:p>
        </w:tc>
      </w:tr>
      <w:tr w14:paraId="2F916796">
        <w:tblPrEx>
          <w:tblCellMar>
            <w:top w:w="0" w:type="dxa"/>
            <w:left w:w="0" w:type="dxa"/>
            <w:bottom w:w="0" w:type="dxa"/>
            <w:right w:w="0" w:type="dxa"/>
          </w:tblCellMar>
        </w:tblPrEx>
        <w:trPr>
          <w:wBefore w:w="0" w:type="auto"/>
          <w:tblCellSpacing w:w="0" w:type="dxa"/>
        </w:trPr>
        <w:tc>
          <w:tcPr>
            <w:tcW w:w="0" w:type="auto"/>
            <w:noWrap w:val="0"/>
            <w:vAlign w:val="center"/>
          </w:tcPr>
          <w:p w14:paraId="703852B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2A03B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EC6580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572878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9D0232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B9250D4">
                  <w:r>
                    <w:rPr>
                      <w:rStyle w:val="11"/>
                      <w:rFonts w:hint="eastAsia"/>
                    </w:rPr>
                    <w:t>施用方式</w:t>
                  </w:r>
                </w:p>
              </w:tc>
            </w:tr>
            <w:tr w14:paraId="091659E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E97B027">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D2F111">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F6B640">
                  <w:r>
                    <w:rPr>
                      <w:rStyle w:val="11"/>
                      <w:rFonts w:hint="eastAsia"/>
                    </w:rPr>
                    <w:t>1500-2000倍液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D675FF">
                  <w:r>
                    <w:rPr>
                      <w:rStyle w:val="11"/>
                      <w:rFonts w:hint="eastAsia"/>
                    </w:rPr>
                    <w:t>喷雾</w:t>
                  </w:r>
                </w:p>
              </w:tc>
            </w:tr>
          </w:tbl>
          <w:p w14:paraId="66913885">
            <w:pPr>
              <w:rPr>
                <w:rFonts w:ascii="Times New Roman" w:hAnsi="Times New Roman" w:cs="Times New Roman"/>
                <w:sz w:val="20"/>
                <w:szCs w:val="20"/>
              </w:rPr>
            </w:pPr>
          </w:p>
        </w:tc>
      </w:tr>
      <w:tr w14:paraId="49D38884">
        <w:tblPrEx>
          <w:tblCellMar>
            <w:top w:w="0" w:type="dxa"/>
            <w:left w:w="0" w:type="dxa"/>
            <w:bottom w:w="0" w:type="dxa"/>
            <w:right w:w="0" w:type="dxa"/>
          </w:tblCellMar>
        </w:tblPrEx>
        <w:trPr>
          <w:wBefore w:w="0" w:type="auto"/>
          <w:tblCellSpacing w:w="0" w:type="dxa"/>
        </w:trPr>
        <w:tc>
          <w:tcPr>
            <w:tcW w:w="0" w:type="auto"/>
            <w:noWrap w:val="0"/>
            <w:vAlign w:val="center"/>
          </w:tcPr>
          <w:p w14:paraId="518F0B76">
            <w:r>
              <w:rPr>
                <w:rStyle w:val="10"/>
                <w:rFonts w:hint="eastAsia"/>
              </w:rPr>
              <w:t>使用技术要求:</w:t>
            </w:r>
            <w:r>
              <w:rPr>
                <w:rFonts w:hint="eastAsia"/>
              </w:rPr>
              <w:br w:type="textWrapping"/>
            </w:r>
            <w:r>
              <w:rPr>
                <w:rStyle w:val="11"/>
                <w:rFonts w:hint="eastAsia"/>
              </w:rPr>
              <w:t>1. 于柑橘树红蜘蛛发生初期施药，喷雾时应注意均匀、周到。 2. 本品在柑橘上使用的安全间隔期为28天，每季作物最多使用1次。3. 大风天或预计1小时内有降雨，请勿施药。</w:t>
            </w:r>
          </w:p>
        </w:tc>
      </w:tr>
      <w:tr w14:paraId="11B4A0B5">
        <w:tblPrEx>
          <w:tblCellMar>
            <w:top w:w="0" w:type="dxa"/>
            <w:left w:w="0" w:type="dxa"/>
            <w:bottom w:w="0" w:type="dxa"/>
            <w:right w:w="0" w:type="dxa"/>
          </w:tblCellMar>
        </w:tblPrEx>
        <w:trPr>
          <w:wBefore w:w="0" w:type="auto"/>
          <w:tblCellSpacing w:w="0" w:type="dxa"/>
        </w:trPr>
        <w:tc>
          <w:tcPr>
            <w:tcW w:w="0" w:type="auto"/>
            <w:noWrap w:val="0"/>
            <w:vAlign w:val="center"/>
          </w:tcPr>
          <w:p w14:paraId="105059CE">
            <w:r>
              <w:rPr>
                <w:rStyle w:val="10"/>
                <w:rFonts w:hint="eastAsia"/>
              </w:rPr>
              <w:t>产品性能:</w:t>
            </w:r>
            <w:r>
              <w:rPr>
                <w:rFonts w:hint="eastAsia"/>
              </w:rPr>
              <w:br w:type="textWrapping"/>
            </w:r>
            <w:r>
              <w:rPr>
                <w:rStyle w:val="11"/>
                <w:rFonts w:hint="eastAsia"/>
              </w:rPr>
              <w:t>本品是一种杀螨剂，无内吸，不具治疗作用，但极耐雨水冲刷、残效长，是一种很好的叶面喷洒剂，并能兼治叶螨，对柑橘树红蜘蛛有较好的防效。</w:t>
            </w:r>
          </w:p>
        </w:tc>
      </w:tr>
      <w:tr w14:paraId="733A8F73">
        <w:tblPrEx>
          <w:tblCellMar>
            <w:top w:w="0" w:type="dxa"/>
            <w:left w:w="0" w:type="dxa"/>
            <w:bottom w:w="0" w:type="dxa"/>
            <w:right w:w="0" w:type="dxa"/>
          </w:tblCellMar>
        </w:tblPrEx>
        <w:trPr>
          <w:wBefore w:w="0" w:type="auto"/>
          <w:tblCellSpacing w:w="0" w:type="dxa"/>
        </w:trPr>
        <w:tc>
          <w:tcPr>
            <w:tcW w:w="0" w:type="auto"/>
            <w:noWrap w:val="0"/>
            <w:vAlign w:val="center"/>
          </w:tcPr>
          <w:p w14:paraId="3A7A8CDC">
            <w:r>
              <w:rPr>
                <w:rStyle w:val="10"/>
                <w:rFonts w:hint="eastAsia"/>
              </w:rPr>
              <w:t>注意事项：</w:t>
            </w:r>
            <w:r>
              <w:rPr>
                <w:rFonts w:hint="eastAsia"/>
              </w:rPr>
              <w:br w:type="textWrapping"/>
            </w:r>
            <w:r>
              <w:rPr>
                <w:rStyle w:val="11"/>
                <w:rFonts w:hint="eastAsia"/>
              </w:rPr>
              <w:t>1. 建议与其他作用机制不同的杀虫剂轮换使用，以延缓抗性产生。 2. 本品对鱼、大型溞、藻类有毒。3. 水产养殖区、河塘等水体附近禁用，蚕室及桑园附近禁用，鸟类保护区域禁用，鱼或虾蟹套养稻田禁用，施药后田水不得直接排入水体，禁止在河塘等水域中清洗施药器具，用过的容器应妥善处理，不可做他用，也不可随意丢弃。4. 本品对眼睛有刺激性，使用时穿戴长衣、长裤、帽子、口罩、手套等防护措施。严格按照农药安全使用规则操作，避免接触皮肤、眼睛和污染衣物，避免吸入药滴，勿在施药现场抽烟和饮食。 施药后应立即清洗，并更换工作服。 5. 孕妇、哺乳期妇女及过敏者禁止接触本品。</w:t>
            </w:r>
          </w:p>
        </w:tc>
      </w:tr>
      <w:tr w14:paraId="6F7681B6">
        <w:tblPrEx>
          <w:tblCellMar>
            <w:top w:w="0" w:type="dxa"/>
            <w:left w:w="0" w:type="dxa"/>
            <w:bottom w:w="0" w:type="dxa"/>
            <w:right w:w="0" w:type="dxa"/>
          </w:tblCellMar>
        </w:tblPrEx>
        <w:trPr>
          <w:wBefore w:w="0" w:type="auto"/>
          <w:tblCellSpacing w:w="0" w:type="dxa"/>
        </w:trPr>
        <w:tc>
          <w:tcPr>
            <w:tcW w:w="0" w:type="auto"/>
            <w:noWrap w:val="0"/>
            <w:vAlign w:val="center"/>
          </w:tcPr>
          <w:p w14:paraId="14DA9ED1">
            <w:r>
              <w:rPr>
                <w:rStyle w:val="10"/>
                <w:rFonts w:hint="eastAsia"/>
              </w:rPr>
              <w:t>中毒急救措施：</w:t>
            </w:r>
            <w:r>
              <w:rPr>
                <w:rFonts w:hint="eastAsia"/>
              </w:rPr>
              <w:br w:type="textWrapping"/>
            </w:r>
            <w:r>
              <w:rPr>
                <w:rStyle w:val="11"/>
                <w:rFonts w:hint="eastAsia"/>
              </w:rPr>
              <w:t>本品对兔眼部有刺激性，若不慎溅入眼中，立即用大量清水冲洗至少15分钟，并立即送医院检查；若不慎吸入，应将病人移至空气流通处；若误食，应携带标签及时送医院对症治疗。</w:t>
            </w:r>
          </w:p>
        </w:tc>
      </w:tr>
      <w:tr w14:paraId="25A8521E">
        <w:tblPrEx>
          <w:tblCellMar>
            <w:top w:w="0" w:type="dxa"/>
            <w:left w:w="0" w:type="dxa"/>
            <w:bottom w:w="0" w:type="dxa"/>
            <w:right w:w="0" w:type="dxa"/>
          </w:tblCellMar>
        </w:tblPrEx>
        <w:trPr>
          <w:wBefore w:w="0" w:type="auto"/>
          <w:tblCellSpacing w:w="0" w:type="dxa"/>
        </w:trPr>
        <w:tc>
          <w:tcPr>
            <w:tcW w:w="0" w:type="auto"/>
            <w:noWrap w:val="0"/>
            <w:vAlign w:val="center"/>
          </w:tcPr>
          <w:p w14:paraId="63F7934F">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饲料、粮食等混合同贮同运。本品在运输途中，严防日晒、雨淋，保持阴凉和通风，确保包装物完好无损。</w:t>
            </w:r>
          </w:p>
        </w:tc>
      </w:tr>
      <w:tr w14:paraId="408FF115">
        <w:tblPrEx>
          <w:tblCellMar>
            <w:top w:w="0" w:type="dxa"/>
            <w:left w:w="0" w:type="dxa"/>
            <w:bottom w:w="0" w:type="dxa"/>
            <w:right w:w="0" w:type="dxa"/>
          </w:tblCellMar>
        </w:tblPrEx>
        <w:trPr>
          <w:wBefore w:w="0" w:type="auto"/>
          <w:tblCellSpacing w:w="0" w:type="dxa"/>
        </w:trPr>
        <w:tc>
          <w:tcPr>
            <w:tcW w:w="0" w:type="auto"/>
            <w:noWrap w:val="0"/>
            <w:vAlign w:val="center"/>
          </w:tcPr>
          <w:p w14:paraId="064BC587">
            <w:r>
              <w:rPr>
                <w:rStyle w:val="10"/>
                <w:rFonts w:hint="eastAsia"/>
              </w:rPr>
              <w:t>质量保证期：</w:t>
            </w:r>
            <w:r>
              <w:rPr>
                <w:rStyle w:val="11"/>
                <w:rFonts w:hint="eastAsia"/>
              </w:rPr>
              <w:t>2年</w:t>
            </w:r>
          </w:p>
        </w:tc>
      </w:tr>
      <w:tr w14:paraId="6EC931DD">
        <w:tblPrEx>
          <w:tblCellMar>
            <w:top w:w="0" w:type="dxa"/>
            <w:left w:w="0" w:type="dxa"/>
            <w:bottom w:w="0" w:type="dxa"/>
            <w:right w:w="0" w:type="dxa"/>
          </w:tblCellMar>
        </w:tblPrEx>
        <w:trPr>
          <w:wBefore w:w="0" w:type="auto"/>
          <w:tblCellSpacing w:w="0" w:type="dxa"/>
        </w:trPr>
        <w:tc>
          <w:tcPr>
            <w:tcW w:w="0" w:type="auto"/>
            <w:noWrap w:val="0"/>
            <w:vAlign w:val="center"/>
          </w:tcPr>
          <w:p w14:paraId="7C7CA81A">
            <w:r>
              <w:rPr>
                <w:rStyle w:val="10"/>
                <w:rFonts w:hint="eastAsia"/>
              </w:rPr>
              <w:t>备注：</w:t>
            </w:r>
            <w:r>
              <w:rPr>
                <w:rFonts w:hint="eastAsia"/>
              </w:rPr>
              <w:br w:type="textWrapping"/>
            </w:r>
            <w:r>
              <w:rPr>
                <w:rStyle w:val="11"/>
                <w:rFonts w:hint="eastAsia"/>
              </w:rPr>
              <w:t>氟啶胺41.5%。</w:t>
            </w:r>
          </w:p>
        </w:tc>
      </w:tr>
    </w:tbl>
    <w:p w14:paraId="06AE940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15D7E3B">
        <w:tblPrEx>
          <w:tblCellMar>
            <w:top w:w="0" w:type="dxa"/>
            <w:left w:w="0" w:type="dxa"/>
            <w:bottom w:w="0" w:type="dxa"/>
            <w:right w:w="0" w:type="dxa"/>
          </w:tblCellMar>
        </w:tblPrEx>
        <w:trPr>
          <w:wBefore w:w="0" w:type="auto"/>
          <w:tblCellSpacing w:w="0" w:type="dxa"/>
        </w:trPr>
        <w:tc>
          <w:tcPr>
            <w:tcW w:w="0" w:type="auto"/>
            <w:noWrap w:val="0"/>
            <w:vAlign w:val="center"/>
          </w:tcPr>
          <w:p w14:paraId="055557C2">
            <w:r>
              <w:rPr>
                <w:rStyle w:val="10"/>
                <w:rFonts w:hint="eastAsia"/>
              </w:rPr>
              <w:t>登记证号：</w:t>
            </w:r>
            <w:r>
              <w:rPr>
                <w:rFonts w:hint="eastAsia"/>
              </w:rPr>
              <w:t>PD20211825</w:t>
            </w:r>
          </w:p>
        </w:tc>
      </w:tr>
      <w:tr w14:paraId="481A8ABB">
        <w:tblPrEx>
          <w:tblCellMar>
            <w:top w:w="0" w:type="dxa"/>
            <w:left w:w="0" w:type="dxa"/>
            <w:bottom w:w="0" w:type="dxa"/>
            <w:right w:w="0" w:type="dxa"/>
          </w:tblCellMar>
        </w:tblPrEx>
        <w:trPr>
          <w:wBefore w:w="0" w:type="auto"/>
          <w:tblCellSpacing w:w="0" w:type="dxa"/>
        </w:trPr>
        <w:tc>
          <w:tcPr>
            <w:tcW w:w="0" w:type="auto"/>
            <w:noWrap w:val="0"/>
            <w:vAlign w:val="center"/>
          </w:tcPr>
          <w:p w14:paraId="1E4A4784">
            <w:r>
              <w:rPr>
                <w:rStyle w:val="10"/>
                <w:rFonts w:hint="eastAsia"/>
              </w:rPr>
              <w:t>登记证持有人：</w:t>
            </w:r>
            <w:r>
              <w:rPr>
                <w:rFonts w:hint="eastAsia"/>
              </w:rPr>
              <w:t>上海悦联生物科技有限公司</w:t>
            </w:r>
          </w:p>
        </w:tc>
      </w:tr>
      <w:tr w14:paraId="5DDDD210">
        <w:tblPrEx>
          <w:tblCellMar>
            <w:top w:w="0" w:type="dxa"/>
            <w:left w:w="0" w:type="dxa"/>
            <w:bottom w:w="0" w:type="dxa"/>
            <w:right w:w="0" w:type="dxa"/>
          </w:tblCellMar>
        </w:tblPrEx>
        <w:trPr>
          <w:wBefore w:w="0" w:type="auto"/>
          <w:tblCellSpacing w:w="0" w:type="dxa"/>
        </w:trPr>
        <w:tc>
          <w:tcPr>
            <w:tcW w:w="0" w:type="auto"/>
            <w:noWrap w:val="0"/>
            <w:vAlign w:val="center"/>
          </w:tcPr>
          <w:p w14:paraId="0956B665">
            <w:r>
              <w:rPr>
                <w:rStyle w:val="10"/>
                <w:rFonts w:hint="eastAsia"/>
              </w:rPr>
              <w:t>农药名称：</w:t>
            </w:r>
            <w:r>
              <w:rPr>
                <w:rFonts w:hint="eastAsia"/>
              </w:rPr>
              <w:t>噻虫胺</w:t>
            </w:r>
          </w:p>
        </w:tc>
      </w:tr>
      <w:tr w14:paraId="09D62AA9">
        <w:tblPrEx>
          <w:tblCellMar>
            <w:top w:w="0" w:type="dxa"/>
            <w:left w:w="0" w:type="dxa"/>
            <w:bottom w:w="0" w:type="dxa"/>
            <w:right w:w="0" w:type="dxa"/>
          </w:tblCellMar>
        </w:tblPrEx>
        <w:trPr>
          <w:wBefore w:w="0" w:type="auto"/>
          <w:tblCellSpacing w:w="0" w:type="dxa"/>
        </w:trPr>
        <w:tc>
          <w:tcPr>
            <w:tcW w:w="0" w:type="auto"/>
            <w:noWrap w:val="0"/>
            <w:vAlign w:val="center"/>
          </w:tcPr>
          <w:p w14:paraId="110E3100">
            <w:r>
              <w:rPr>
                <w:rStyle w:val="10"/>
                <w:rFonts w:hint="eastAsia"/>
              </w:rPr>
              <w:t>剂型：</w:t>
            </w:r>
            <w:r>
              <w:rPr>
                <w:rFonts w:hint="eastAsia"/>
              </w:rPr>
              <w:t>种子处理悬浮剂</w:t>
            </w:r>
          </w:p>
        </w:tc>
      </w:tr>
      <w:tr w14:paraId="15ED5E95">
        <w:tblPrEx>
          <w:tblCellMar>
            <w:top w:w="0" w:type="dxa"/>
            <w:left w:w="0" w:type="dxa"/>
            <w:bottom w:w="0" w:type="dxa"/>
            <w:right w:w="0" w:type="dxa"/>
          </w:tblCellMar>
        </w:tblPrEx>
        <w:trPr>
          <w:wBefore w:w="0" w:type="auto"/>
          <w:tblCellSpacing w:w="0" w:type="dxa"/>
        </w:trPr>
        <w:tc>
          <w:tcPr>
            <w:tcW w:w="0" w:type="auto"/>
            <w:noWrap w:val="0"/>
            <w:vAlign w:val="center"/>
          </w:tcPr>
          <w:p w14:paraId="25BE6170">
            <w:r>
              <w:rPr>
                <w:rStyle w:val="10"/>
                <w:rFonts w:hint="eastAsia"/>
              </w:rPr>
              <w:t>毒性及其标识：</w:t>
            </w:r>
            <w:r>
              <w:rPr>
                <w:rFonts w:hint="eastAsia"/>
              </w:rPr>
              <w:t xml:space="preserve"> </w:t>
            </w:r>
            <w:r>
              <w:rPr>
                <w:lang/>
              </w:rPr>
              <w:drawing>
                <wp:inline distT="0" distB="0" distL="114300" distR="114300">
                  <wp:extent cx="476250" cy="323850"/>
                  <wp:effectExtent l="0" t="0" r="0" b="0"/>
                  <wp:docPr id="200" name="图片 20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B147213">
        <w:tblPrEx>
          <w:tblCellMar>
            <w:top w:w="0" w:type="dxa"/>
            <w:left w:w="0" w:type="dxa"/>
            <w:bottom w:w="0" w:type="dxa"/>
            <w:right w:w="0" w:type="dxa"/>
          </w:tblCellMar>
        </w:tblPrEx>
        <w:trPr>
          <w:wBefore w:w="0" w:type="auto"/>
          <w:tblCellSpacing w:w="0" w:type="dxa"/>
        </w:trPr>
        <w:tc>
          <w:tcPr>
            <w:tcW w:w="0" w:type="auto"/>
            <w:noWrap w:val="0"/>
            <w:vAlign w:val="center"/>
          </w:tcPr>
          <w:p w14:paraId="12F64EB8">
            <w:r>
              <w:rPr>
                <w:rStyle w:val="10"/>
                <w:rFonts w:hint="eastAsia"/>
              </w:rPr>
              <w:t>总有效成分含量：</w:t>
            </w:r>
            <w:r>
              <w:rPr>
                <w:rFonts w:hint="eastAsia"/>
              </w:rPr>
              <w:t>48%</w:t>
            </w:r>
          </w:p>
        </w:tc>
      </w:tr>
      <w:tr w14:paraId="694E4FA2">
        <w:tblPrEx>
          <w:tblCellMar>
            <w:top w:w="0" w:type="dxa"/>
            <w:left w:w="0" w:type="dxa"/>
            <w:bottom w:w="0" w:type="dxa"/>
            <w:right w:w="0" w:type="dxa"/>
          </w:tblCellMar>
        </w:tblPrEx>
        <w:trPr>
          <w:wBefore w:w="0" w:type="auto"/>
          <w:tblCellSpacing w:w="0" w:type="dxa"/>
        </w:trPr>
        <w:tc>
          <w:tcPr>
            <w:tcW w:w="0" w:type="auto"/>
            <w:noWrap w:val="0"/>
            <w:vAlign w:val="center"/>
          </w:tcPr>
          <w:p w14:paraId="6C993ECD">
            <w:r>
              <w:rPr>
                <w:rFonts w:hint="eastAsia"/>
              </w:rPr>
              <w:t xml:space="preserve">有效成分及其含量： </w:t>
            </w:r>
          </w:p>
          <w:p w14:paraId="2508E880">
            <w:r>
              <w:rPr>
                <w:rFonts w:hint="eastAsia"/>
              </w:rPr>
              <w:t xml:space="preserve">    噻虫胺48%    </w:t>
            </w:r>
          </w:p>
        </w:tc>
      </w:tr>
      <w:tr w14:paraId="6A9C0951">
        <w:tblPrEx>
          <w:tblCellMar>
            <w:top w:w="0" w:type="dxa"/>
            <w:left w:w="0" w:type="dxa"/>
            <w:bottom w:w="0" w:type="dxa"/>
            <w:right w:w="0" w:type="dxa"/>
          </w:tblCellMar>
        </w:tblPrEx>
        <w:trPr>
          <w:wBefore w:w="0" w:type="auto"/>
          <w:tblCellSpacing w:w="0" w:type="dxa"/>
        </w:trPr>
        <w:tc>
          <w:tcPr>
            <w:tcW w:w="0" w:type="auto"/>
            <w:noWrap w:val="0"/>
            <w:vAlign w:val="center"/>
          </w:tcPr>
          <w:p w14:paraId="47BEB72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0DCA7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3EA7F0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DB8648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FEA4D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F7F1A4E">
                  <w:r>
                    <w:rPr>
                      <w:rStyle w:val="11"/>
                      <w:rFonts w:hint="eastAsia"/>
                    </w:rPr>
                    <w:t>施用方式</w:t>
                  </w:r>
                </w:p>
              </w:tc>
            </w:tr>
            <w:tr w14:paraId="33DE05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B3A04C">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0624EA">
                  <w:r>
                    <w:rPr>
                      <w:rStyle w:val="11"/>
                      <w:rFonts w:hint="eastAsia"/>
                    </w:rPr>
                    <w:t>小地老虎</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340D3B">
                  <w:r>
                    <w:rPr>
                      <w:rStyle w:val="11"/>
                      <w:rFonts w:hint="eastAsia"/>
                    </w:rPr>
                    <w:t>225-300毫升/100千克种子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85FD94">
                  <w:r>
                    <w:rPr>
                      <w:rStyle w:val="11"/>
                      <w:rFonts w:hint="eastAsia"/>
                    </w:rPr>
                    <w:t>种子包衣</w:t>
                  </w:r>
                </w:p>
              </w:tc>
            </w:tr>
          </w:tbl>
          <w:p w14:paraId="540F3DE3">
            <w:pPr>
              <w:rPr>
                <w:rFonts w:ascii="Times New Roman" w:hAnsi="Times New Roman" w:cs="Times New Roman"/>
                <w:sz w:val="20"/>
                <w:szCs w:val="20"/>
              </w:rPr>
            </w:pPr>
          </w:p>
        </w:tc>
      </w:tr>
      <w:tr w14:paraId="01A03AA5">
        <w:tblPrEx>
          <w:tblCellMar>
            <w:top w:w="0" w:type="dxa"/>
            <w:left w:w="0" w:type="dxa"/>
            <w:bottom w:w="0" w:type="dxa"/>
            <w:right w:w="0" w:type="dxa"/>
          </w:tblCellMar>
        </w:tblPrEx>
        <w:trPr>
          <w:wBefore w:w="0" w:type="auto"/>
          <w:tblCellSpacing w:w="0" w:type="dxa"/>
        </w:trPr>
        <w:tc>
          <w:tcPr>
            <w:tcW w:w="0" w:type="auto"/>
            <w:noWrap w:val="0"/>
            <w:vAlign w:val="center"/>
          </w:tcPr>
          <w:p w14:paraId="539FBA87">
            <w:r>
              <w:rPr>
                <w:rStyle w:val="10"/>
                <w:rFonts w:hint="eastAsia"/>
              </w:rPr>
              <w:t>使用技术要求:</w:t>
            </w:r>
            <w:r>
              <w:rPr>
                <w:rFonts w:hint="eastAsia"/>
              </w:rPr>
              <w:br w:type="textWrapping"/>
            </w:r>
            <w:r>
              <w:rPr>
                <w:rStyle w:val="11"/>
                <w:rFonts w:hint="eastAsia"/>
              </w:rPr>
              <w:t>1.本产品既可用于种子公司进行专业化机械包衣，也可用于农户手工包衣。所用种子均需达到国家良种标准； 2.手工包衣：根据种子量确定制剂用药量，加适量清水，混合均匀调成浆状药液，倒在种子上充分搅拌，待均匀着药后，摊开晾于通风阴凉处。机械包衣：按推荐制剂用药量加适量清水，混合均匀调成浆状药液；选用适宜的包衣机械，根据要求调整药种比进行包衣处理。 3.播种时需考虑低温、大雨等不良环境影响，适时播种。</w:t>
            </w:r>
          </w:p>
        </w:tc>
      </w:tr>
      <w:tr w14:paraId="5CF6B8CC">
        <w:tblPrEx>
          <w:tblCellMar>
            <w:top w:w="0" w:type="dxa"/>
            <w:left w:w="0" w:type="dxa"/>
            <w:bottom w:w="0" w:type="dxa"/>
            <w:right w:w="0" w:type="dxa"/>
          </w:tblCellMar>
        </w:tblPrEx>
        <w:trPr>
          <w:wBefore w:w="0" w:type="auto"/>
          <w:tblCellSpacing w:w="0" w:type="dxa"/>
        </w:trPr>
        <w:tc>
          <w:tcPr>
            <w:tcW w:w="0" w:type="auto"/>
            <w:noWrap w:val="0"/>
            <w:vAlign w:val="center"/>
          </w:tcPr>
          <w:p w14:paraId="02ECF890">
            <w:r>
              <w:rPr>
                <w:rStyle w:val="10"/>
                <w:rFonts w:hint="eastAsia"/>
              </w:rPr>
              <w:t>产品性能:</w:t>
            </w:r>
            <w:r>
              <w:rPr>
                <w:rFonts w:hint="eastAsia"/>
              </w:rPr>
              <w:br w:type="textWrapping"/>
            </w:r>
            <w:r>
              <w:rPr>
                <w:rStyle w:val="11"/>
                <w:rFonts w:hint="eastAsia"/>
              </w:rPr>
              <w:t>噻虫胺属新烟碱类杀虫剂，是一种活性高、具有内吸性、触杀和胃毒作用的广谱杀虫剂。作用机理是结合位于神经后突触的烟碱乙酰胆碱受体。</w:t>
            </w:r>
          </w:p>
        </w:tc>
      </w:tr>
      <w:tr w14:paraId="36FF51C8">
        <w:tblPrEx>
          <w:tblCellMar>
            <w:top w:w="0" w:type="dxa"/>
            <w:left w:w="0" w:type="dxa"/>
            <w:bottom w:w="0" w:type="dxa"/>
            <w:right w:w="0" w:type="dxa"/>
          </w:tblCellMar>
        </w:tblPrEx>
        <w:trPr>
          <w:wBefore w:w="0" w:type="auto"/>
          <w:tblCellSpacing w:w="0" w:type="dxa"/>
        </w:trPr>
        <w:tc>
          <w:tcPr>
            <w:tcW w:w="0" w:type="auto"/>
            <w:noWrap w:val="0"/>
            <w:vAlign w:val="center"/>
          </w:tcPr>
          <w:p w14:paraId="547A4B8A">
            <w:r>
              <w:rPr>
                <w:rStyle w:val="10"/>
                <w:rFonts w:hint="eastAsia"/>
              </w:rPr>
              <w:t>注意事项：</w:t>
            </w:r>
            <w:r>
              <w:rPr>
                <w:rFonts w:hint="eastAsia"/>
              </w:rPr>
              <w:br w:type="textWrapping"/>
            </w:r>
            <w:r>
              <w:rPr>
                <w:rStyle w:val="11"/>
                <w:rFonts w:hint="eastAsia"/>
              </w:rPr>
              <w:t>1.样品要现配现用，配制和使用本品时应采取相应的安全防护措施，穿防护服，戴防护手套、口罩等。避免皮肤接触及口鼻吸入药液。使用中不可吸烟、饮水和吃东西等；使用后及时清洗手、脸等暴露部位皮肤并更换衣物。 2.处理过的种子必须放置在有明显标签的容器内。勿与食物、饲料放在一起，不得饲喂禽畜，更不得用来加工饲料或食品。 3.播种后必须覆土，严禁畜禽进入。 4.禁止在河塘等水域清洗施药器具，使用后的包装物应遵照农药包装废弃物回收准则的相关规定处理，不可作他用，也不可随意丢弃。 5.本品对鸟类有毒，鸟类保护区域禁止使用本品。 6.孕妇及哺乳期妇女禁止接触此药。</w:t>
            </w:r>
          </w:p>
        </w:tc>
      </w:tr>
      <w:tr w14:paraId="5F62C783">
        <w:tblPrEx>
          <w:tblCellMar>
            <w:top w:w="0" w:type="dxa"/>
            <w:left w:w="0" w:type="dxa"/>
            <w:bottom w:w="0" w:type="dxa"/>
            <w:right w:w="0" w:type="dxa"/>
          </w:tblCellMar>
        </w:tblPrEx>
        <w:trPr>
          <w:wBefore w:w="0" w:type="auto"/>
          <w:tblCellSpacing w:w="0" w:type="dxa"/>
        </w:trPr>
        <w:tc>
          <w:tcPr>
            <w:tcW w:w="0" w:type="auto"/>
            <w:noWrap w:val="0"/>
            <w:vAlign w:val="center"/>
          </w:tcPr>
          <w:p w14:paraId="56D3ECAC">
            <w:r>
              <w:rPr>
                <w:rStyle w:val="10"/>
                <w:rFonts w:hint="eastAsia"/>
              </w:rPr>
              <w:t>中毒急救措施：</w:t>
            </w:r>
            <w:r>
              <w:rPr>
                <w:rFonts w:hint="eastAsia"/>
              </w:rPr>
              <w:br w:type="textWrapping"/>
            </w:r>
            <w:r>
              <w:rPr>
                <w:rStyle w:val="11"/>
                <w:rFonts w:hint="eastAsia"/>
              </w:rPr>
              <w:t>急救措施：本品对眼睛有刺激性，使用中或使用后如果感觉不适，应立即停止工作采取急救措施，并携带标签送医院就诊。 1）皮肤接触：脱去污染的衣物，用软布去除沾染农药，用大量清水和肥皂冲洗。 2）眼睛溅入：立即用流动清水冲洗不少于15分钟。 3）吸入：立即离开施药现场，转移到空气清新处。 4）误食：立即停止服用，用清水充分漱口后，立即携带标签送医院就诊。无特效解毒剂，对症治疗。</w:t>
            </w:r>
          </w:p>
        </w:tc>
      </w:tr>
      <w:tr w14:paraId="20B16DDF">
        <w:tblPrEx>
          <w:tblCellMar>
            <w:top w:w="0" w:type="dxa"/>
            <w:left w:w="0" w:type="dxa"/>
            <w:bottom w:w="0" w:type="dxa"/>
            <w:right w:w="0" w:type="dxa"/>
          </w:tblCellMar>
        </w:tblPrEx>
        <w:trPr>
          <w:wBefore w:w="0" w:type="auto"/>
          <w:tblCellSpacing w:w="0" w:type="dxa"/>
        </w:trPr>
        <w:tc>
          <w:tcPr>
            <w:tcW w:w="0" w:type="auto"/>
            <w:noWrap w:val="0"/>
            <w:vAlign w:val="center"/>
          </w:tcPr>
          <w:p w14:paraId="55982CA3">
            <w:r>
              <w:rPr>
                <w:rStyle w:val="10"/>
                <w:rFonts w:hint="eastAsia"/>
              </w:rPr>
              <w:t>储存和运输方法：</w:t>
            </w:r>
            <w:r>
              <w:rPr>
                <w:rFonts w:hint="eastAsia"/>
              </w:rPr>
              <w:br w:type="textWrapping"/>
            </w:r>
            <w:r>
              <w:rPr>
                <w:rStyle w:val="11"/>
                <w:rFonts w:hint="eastAsia"/>
              </w:rPr>
              <w:t>本品应当贮存在干燥、阴凉、通风、防雨处，远离火源和热源。置于儿童、无关人员及动物接触不到的地方，并加锁保存。不得与食物、种子、饲料、粮食等同贮同运。</w:t>
            </w:r>
          </w:p>
        </w:tc>
      </w:tr>
      <w:tr w14:paraId="078F4211">
        <w:tblPrEx>
          <w:tblCellMar>
            <w:top w:w="0" w:type="dxa"/>
            <w:left w:w="0" w:type="dxa"/>
            <w:bottom w:w="0" w:type="dxa"/>
            <w:right w:w="0" w:type="dxa"/>
          </w:tblCellMar>
        </w:tblPrEx>
        <w:trPr>
          <w:wBefore w:w="0" w:type="auto"/>
          <w:tblCellSpacing w:w="0" w:type="dxa"/>
        </w:trPr>
        <w:tc>
          <w:tcPr>
            <w:tcW w:w="0" w:type="auto"/>
            <w:noWrap w:val="0"/>
            <w:vAlign w:val="center"/>
          </w:tcPr>
          <w:p w14:paraId="1DB91CFD">
            <w:r>
              <w:rPr>
                <w:rStyle w:val="10"/>
                <w:rFonts w:hint="eastAsia"/>
              </w:rPr>
              <w:t>质量保证期：</w:t>
            </w:r>
            <w:r>
              <w:rPr>
                <w:rStyle w:val="11"/>
                <w:rFonts w:hint="eastAsia"/>
              </w:rPr>
              <w:t>2年</w:t>
            </w:r>
          </w:p>
        </w:tc>
      </w:tr>
      <w:tr w14:paraId="5359BF67">
        <w:tblPrEx>
          <w:tblCellMar>
            <w:top w:w="0" w:type="dxa"/>
            <w:left w:w="0" w:type="dxa"/>
            <w:bottom w:w="0" w:type="dxa"/>
            <w:right w:w="0" w:type="dxa"/>
          </w:tblCellMar>
        </w:tblPrEx>
        <w:trPr>
          <w:wBefore w:w="0" w:type="auto"/>
          <w:tblCellSpacing w:w="0" w:type="dxa"/>
        </w:trPr>
        <w:tc>
          <w:tcPr>
            <w:tcW w:w="0" w:type="auto"/>
            <w:noWrap w:val="0"/>
            <w:vAlign w:val="center"/>
          </w:tcPr>
          <w:p w14:paraId="27C8008F">
            <w:r>
              <w:rPr>
                <w:rStyle w:val="10"/>
                <w:rFonts w:hint="eastAsia"/>
              </w:rPr>
              <w:t>备注：</w:t>
            </w:r>
          </w:p>
        </w:tc>
      </w:tr>
    </w:tbl>
    <w:p w14:paraId="37A8BAB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BD9C836">
        <w:tblPrEx>
          <w:tblCellMar>
            <w:top w:w="0" w:type="dxa"/>
            <w:left w:w="0" w:type="dxa"/>
            <w:bottom w:w="0" w:type="dxa"/>
            <w:right w:w="0" w:type="dxa"/>
          </w:tblCellMar>
        </w:tblPrEx>
        <w:trPr>
          <w:wBefore w:w="0" w:type="auto"/>
          <w:tblCellSpacing w:w="0" w:type="dxa"/>
        </w:trPr>
        <w:tc>
          <w:tcPr>
            <w:tcW w:w="0" w:type="auto"/>
            <w:noWrap w:val="0"/>
            <w:vAlign w:val="center"/>
          </w:tcPr>
          <w:p w14:paraId="2D3B9B3D">
            <w:r>
              <w:rPr>
                <w:rStyle w:val="10"/>
                <w:rFonts w:hint="eastAsia"/>
              </w:rPr>
              <w:t>登记证号：</w:t>
            </w:r>
            <w:r>
              <w:rPr>
                <w:rFonts w:hint="eastAsia"/>
              </w:rPr>
              <w:t>PD20212173</w:t>
            </w:r>
          </w:p>
        </w:tc>
      </w:tr>
      <w:tr w14:paraId="705FB7E4">
        <w:tblPrEx>
          <w:tblCellMar>
            <w:top w:w="0" w:type="dxa"/>
            <w:left w:w="0" w:type="dxa"/>
            <w:bottom w:w="0" w:type="dxa"/>
            <w:right w:w="0" w:type="dxa"/>
          </w:tblCellMar>
        </w:tblPrEx>
        <w:trPr>
          <w:wBefore w:w="0" w:type="auto"/>
          <w:tblCellSpacing w:w="0" w:type="dxa"/>
        </w:trPr>
        <w:tc>
          <w:tcPr>
            <w:tcW w:w="0" w:type="auto"/>
            <w:noWrap w:val="0"/>
            <w:vAlign w:val="center"/>
          </w:tcPr>
          <w:p w14:paraId="02B32F5E">
            <w:r>
              <w:rPr>
                <w:rStyle w:val="10"/>
                <w:rFonts w:hint="eastAsia"/>
              </w:rPr>
              <w:t>登记证持有人：</w:t>
            </w:r>
            <w:r>
              <w:rPr>
                <w:rFonts w:hint="eastAsia"/>
              </w:rPr>
              <w:t>安徽华星化工有限公司</w:t>
            </w:r>
          </w:p>
        </w:tc>
      </w:tr>
      <w:tr w14:paraId="06D9A273">
        <w:tblPrEx>
          <w:tblCellMar>
            <w:top w:w="0" w:type="dxa"/>
            <w:left w:w="0" w:type="dxa"/>
            <w:bottom w:w="0" w:type="dxa"/>
            <w:right w:w="0" w:type="dxa"/>
          </w:tblCellMar>
        </w:tblPrEx>
        <w:trPr>
          <w:wBefore w:w="0" w:type="auto"/>
          <w:tblCellSpacing w:w="0" w:type="dxa"/>
        </w:trPr>
        <w:tc>
          <w:tcPr>
            <w:tcW w:w="0" w:type="auto"/>
            <w:noWrap w:val="0"/>
            <w:vAlign w:val="center"/>
          </w:tcPr>
          <w:p w14:paraId="17DA579A">
            <w:r>
              <w:rPr>
                <w:rStyle w:val="10"/>
                <w:rFonts w:hint="eastAsia"/>
              </w:rPr>
              <w:t>农药名称：</w:t>
            </w:r>
            <w:r>
              <w:rPr>
                <w:rFonts w:hint="eastAsia"/>
              </w:rPr>
              <w:t>草甘膦铵盐</w:t>
            </w:r>
          </w:p>
        </w:tc>
      </w:tr>
      <w:tr w14:paraId="5BBD5BA0">
        <w:tblPrEx>
          <w:tblCellMar>
            <w:top w:w="0" w:type="dxa"/>
            <w:left w:w="0" w:type="dxa"/>
            <w:bottom w:w="0" w:type="dxa"/>
            <w:right w:w="0" w:type="dxa"/>
          </w:tblCellMar>
        </w:tblPrEx>
        <w:trPr>
          <w:wBefore w:w="0" w:type="auto"/>
          <w:tblCellSpacing w:w="0" w:type="dxa"/>
        </w:trPr>
        <w:tc>
          <w:tcPr>
            <w:tcW w:w="0" w:type="auto"/>
            <w:noWrap w:val="0"/>
            <w:vAlign w:val="center"/>
          </w:tcPr>
          <w:p w14:paraId="1E004FB7">
            <w:r>
              <w:rPr>
                <w:rStyle w:val="10"/>
                <w:rFonts w:hint="eastAsia"/>
              </w:rPr>
              <w:t>剂型：</w:t>
            </w:r>
            <w:r>
              <w:rPr>
                <w:rFonts w:hint="eastAsia"/>
              </w:rPr>
              <w:t>可溶粒剂</w:t>
            </w:r>
          </w:p>
        </w:tc>
      </w:tr>
      <w:tr w14:paraId="70AC524B">
        <w:tblPrEx>
          <w:tblCellMar>
            <w:top w:w="0" w:type="dxa"/>
            <w:left w:w="0" w:type="dxa"/>
            <w:bottom w:w="0" w:type="dxa"/>
            <w:right w:w="0" w:type="dxa"/>
          </w:tblCellMar>
        </w:tblPrEx>
        <w:trPr>
          <w:wBefore w:w="0" w:type="auto"/>
          <w:tblCellSpacing w:w="0" w:type="dxa"/>
        </w:trPr>
        <w:tc>
          <w:tcPr>
            <w:tcW w:w="0" w:type="auto"/>
            <w:noWrap w:val="0"/>
            <w:vAlign w:val="center"/>
          </w:tcPr>
          <w:p w14:paraId="447350AE">
            <w:r>
              <w:rPr>
                <w:rStyle w:val="10"/>
                <w:rFonts w:hint="eastAsia"/>
              </w:rPr>
              <w:t>毒性及其标识：</w:t>
            </w:r>
            <w:r>
              <w:rPr>
                <w:rFonts w:hint="eastAsia"/>
              </w:rPr>
              <w:t xml:space="preserve"> </w:t>
            </w:r>
            <w:r>
              <w:rPr>
                <w:lang/>
              </w:rPr>
              <w:drawing>
                <wp:inline distT="0" distB="0" distL="114300" distR="114300">
                  <wp:extent cx="476250" cy="323850"/>
                  <wp:effectExtent l="0" t="0" r="0" b="0"/>
                  <wp:docPr id="201" name="图片 20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7E27B04">
        <w:tblPrEx>
          <w:tblCellMar>
            <w:top w:w="0" w:type="dxa"/>
            <w:left w:w="0" w:type="dxa"/>
            <w:bottom w:w="0" w:type="dxa"/>
            <w:right w:w="0" w:type="dxa"/>
          </w:tblCellMar>
        </w:tblPrEx>
        <w:trPr>
          <w:wBefore w:w="0" w:type="auto"/>
          <w:tblCellSpacing w:w="0" w:type="dxa"/>
        </w:trPr>
        <w:tc>
          <w:tcPr>
            <w:tcW w:w="0" w:type="auto"/>
            <w:noWrap w:val="0"/>
            <w:vAlign w:val="center"/>
          </w:tcPr>
          <w:p w14:paraId="24F3ACFC">
            <w:r>
              <w:rPr>
                <w:rStyle w:val="10"/>
                <w:rFonts w:hint="eastAsia"/>
              </w:rPr>
              <w:t>总有效成分含量：</w:t>
            </w:r>
            <w:r>
              <w:rPr>
                <w:rFonts w:hint="eastAsia"/>
              </w:rPr>
              <w:t>80%</w:t>
            </w:r>
          </w:p>
        </w:tc>
      </w:tr>
      <w:tr w14:paraId="402C61BE">
        <w:tblPrEx>
          <w:tblCellMar>
            <w:top w:w="0" w:type="dxa"/>
            <w:left w:w="0" w:type="dxa"/>
            <w:bottom w:w="0" w:type="dxa"/>
            <w:right w:w="0" w:type="dxa"/>
          </w:tblCellMar>
        </w:tblPrEx>
        <w:trPr>
          <w:wBefore w:w="0" w:type="auto"/>
          <w:tblCellSpacing w:w="0" w:type="dxa"/>
        </w:trPr>
        <w:tc>
          <w:tcPr>
            <w:tcW w:w="0" w:type="auto"/>
            <w:noWrap w:val="0"/>
            <w:vAlign w:val="center"/>
          </w:tcPr>
          <w:p w14:paraId="4C8E97CD">
            <w:r>
              <w:rPr>
                <w:rFonts w:hint="eastAsia"/>
              </w:rPr>
              <w:t xml:space="preserve">有效成分及其含量： </w:t>
            </w:r>
          </w:p>
          <w:p w14:paraId="6657AF96">
            <w:r>
              <w:rPr>
                <w:rFonts w:hint="eastAsia"/>
              </w:rPr>
              <w:t xml:space="preserve">    草甘膦80%    </w:t>
            </w:r>
          </w:p>
        </w:tc>
      </w:tr>
      <w:tr w14:paraId="7E51EBDD">
        <w:tblPrEx>
          <w:tblCellMar>
            <w:top w:w="0" w:type="dxa"/>
            <w:left w:w="0" w:type="dxa"/>
            <w:bottom w:w="0" w:type="dxa"/>
            <w:right w:w="0" w:type="dxa"/>
          </w:tblCellMar>
        </w:tblPrEx>
        <w:trPr>
          <w:wBefore w:w="0" w:type="auto"/>
          <w:tblCellSpacing w:w="0" w:type="dxa"/>
        </w:trPr>
        <w:tc>
          <w:tcPr>
            <w:tcW w:w="0" w:type="auto"/>
            <w:noWrap w:val="0"/>
            <w:vAlign w:val="center"/>
          </w:tcPr>
          <w:p w14:paraId="60E719D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0E2EE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B992F4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D4CDA4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D708D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DAE81CC">
                  <w:r>
                    <w:rPr>
                      <w:rStyle w:val="11"/>
                      <w:rFonts w:hint="eastAsia"/>
                    </w:rPr>
                    <w:t>施用方式</w:t>
                  </w:r>
                </w:p>
              </w:tc>
            </w:tr>
            <w:tr w14:paraId="2DFA1A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96907D">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DD0C0B">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AFCCA7">
                  <w:r>
                    <w:rPr>
                      <w:rStyle w:val="11"/>
                      <w:rFonts w:hint="eastAsia"/>
                    </w:rPr>
                    <w:t>90-170克/亩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F7C78D">
                  <w:r>
                    <w:rPr>
                      <w:rStyle w:val="11"/>
                      <w:rFonts w:hint="eastAsia"/>
                    </w:rPr>
                    <w:t>茎叶喷雾</w:t>
                  </w:r>
                </w:p>
              </w:tc>
            </w:tr>
          </w:tbl>
          <w:p w14:paraId="05EFBB83">
            <w:pPr>
              <w:rPr>
                <w:rFonts w:ascii="Times New Roman" w:hAnsi="Times New Roman" w:cs="Times New Roman"/>
                <w:sz w:val="20"/>
                <w:szCs w:val="20"/>
              </w:rPr>
            </w:pPr>
          </w:p>
        </w:tc>
      </w:tr>
      <w:tr w14:paraId="1CD291C2">
        <w:tblPrEx>
          <w:tblCellMar>
            <w:top w:w="0" w:type="dxa"/>
            <w:left w:w="0" w:type="dxa"/>
            <w:bottom w:w="0" w:type="dxa"/>
            <w:right w:w="0" w:type="dxa"/>
          </w:tblCellMar>
        </w:tblPrEx>
        <w:trPr>
          <w:wBefore w:w="0" w:type="auto"/>
          <w:tblCellSpacing w:w="0" w:type="dxa"/>
        </w:trPr>
        <w:tc>
          <w:tcPr>
            <w:tcW w:w="0" w:type="auto"/>
            <w:noWrap w:val="0"/>
            <w:vAlign w:val="center"/>
          </w:tcPr>
          <w:p w14:paraId="34D753B7">
            <w:r>
              <w:rPr>
                <w:rStyle w:val="10"/>
                <w:rFonts w:hint="eastAsia"/>
              </w:rPr>
              <w:t>使用技术要求:</w:t>
            </w:r>
            <w:r>
              <w:rPr>
                <w:rFonts w:hint="eastAsia"/>
              </w:rPr>
              <w:br w:type="textWrapping"/>
            </w:r>
            <w:r>
              <w:rPr>
                <w:rStyle w:val="11"/>
                <w:rFonts w:hint="eastAsia"/>
              </w:rPr>
              <w:t>1. 在非耕地杂草旺盛生长期，以推荐剂量兑水均匀茎叶喷雾施药一次。2. 避免飘移药害，大风天或预计１小时内降雨，请勿施药，以防产生药害。3. 禁止在田间道路、田埂、果树行间、休耕地、林场林地等农林业区域使用。 </w:t>
            </w:r>
          </w:p>
        </w:tc>
      </w:tr>
      <w:tr w14:paraId="2F55E198">
        <w:tblPrEx>
          <w:tblCellMar>
            <w:top w:w="0" w:type="dxa"/>
            <w:left w:w="0" w:type="dxa"/>
            <w:bottom w:w="0" w:type="dxa"/>
            <w:right w:w="0" w:type="dxa"/>
          </w:tblCellMar>
        </w:tblPrEx>
        <w:trPr>
          <w:wBefore w:w="0" w:type="auto"/>
          <w:tblCellSpacing w:w="0" w:type="dxa"/>
        </w:trPr>
        <w:tc>
          <w:tcPr>
            <w:tcW w:w="0" w:type="auto"/>
            <w:noWrap w:val="0"/>
            <w:vAlign w:val="center"/>
          </w:tcPr>
          <w:p w14:paraId="3AAB1202">
            <w:r>
              <w:rPr>
                <w:rStyle w:val="10"/>
                <w:rFonts w:hint="eastAsia"/>
              </w:rPr>
              <w:t>产品性能:</w:t>
            </w:r>
            <w:r>
              <w:rPr>
                <w:rFonts w:hint="eastAsia"/>
              </w:rPr>
              <w:br w:type="textWrapping"/>
            </w:r>
            <w:r>
              <w:rPr>
                <w:rStyle w:val="11"/>
                <w:rFonts w:hint="eastAsia"/>
              </w:rPr>
              <w:t>本品是一种灭生性内吸传导型处理剂，对非耕地杂草有较好的防除效果。</w:t>
            </w:r>
          </w:p>
        </w:tc>
      </w:tr>
      <w:tr w14:paraId="23D5AE40">
        <w:tblPrEx>
          <w:tblCellMar>
            <w:top w:w="0" w:type="dxa"/>
            <w:left w:w="0" w:type="dxa"/>
            <w:bottom w:w="0" w:type="dxa"/>
            <w:right w:w="0" w:type="dxa"/>
          </w:tblCellMar>
        </w:tblPrEx>
        <w:trPr>
          <w:wBefore w:w="0" w:type="auto"/>
          <w:tblCellSpacing w:w="0" w:type="dxa"/>
        </w:trPr>
        <w:tc>
          <w:tcPr>
            <w:tcW w:w="0" w:type="auto"/>
            <w:noWrap w:val="0"/>
            <w:vAlign w:val="center"/>
          </w:tcPr>
          <w:p w14:paraId="51F41325">
            <w:r>
              <w:rPr>
                <w:rStyle w:val="10"/>
                <w:rFonts w:hint="eastAsia"/>
              </w:rPr>
              <w:t>注意事项：</w:t>
            </w:r>
            <w:r>
              <w:rPr>
                <w:rFonts w:hint="eastAsia"/>
              </w:rPr>
              <w:br w:type="textWrapping"/>
            </w:r>
            <w:r>
              <w:rPr>
                <w:rStyle w:val="11"/>
                <w:rFonts w:hint="eastAsia"/>
              </w:rPr>
              <w:t>1. 本品对眼睛有刺激性，使用时避免接触眼睛，穿戴长衣、长裤、帽子、口罩、手套等安全防护措施。施药时不能吃东西、喝水和吸烟等。工作结束后，应用肥皂、清水洗脸、手和裸露部位。2. 禁止在河塘等水体中清洗施药器具；蚕室及桑园附近禁用；鸟类保护区附近禁用。避免药液流入湖泊，河流或鱼塘中污染水源。3. 施药后药械应彻底清洗，剩余的药液和洗刷施药用具的水，不要倒入田间或河流、池塘等水源。4. 避免孕妇及哺乳期妇女接触。5. 7、用过的容器应妥善处理，不可做他用，也不可随意丢弃。</w:t>
            </w:r>
          </w:p>
        </w:tc>
      </w:tr>
      <w:tr w14:paraId="3AE99B2C">
        <w:tblPrEx>
          <w:tblCellMar>
            <w:top w:w="0" w:type="dxa"/>
            <w:left w:w="0" w:type="dxa"/>
            <w:bottom w:w="0" w:type="dxa"/>
            <w:right w:w="0" w:type="dxa"/>
          </w:tblCellMar>
        </w:tblPrEx>
        <w:trPr>
          <w:wBefore w:w="0" w:type="auto"/>
          <w:tblCellSpacing w:w="0" w:type="dxa"/>
        </w:trPr>
        <w:tc>
          <w:tcPr>
            <w:tcW w:w="0" w:type="auto"/>
            <w:noWrap w:val="0"/>
            <w:vAlign w:val="center"/>
          </w:tcPr>
          <w:p w14:paraId="302ADB88">
            <w:r>
              <w:rPr>
                <w:rStyle w:val="10"/>
                <w:rFonts w:hint="eastAsia"/>
              </w:rPr>
              <w:t>中毒急救措施：</w:t>
            </w:r>
            <w:r>
              <w:rPr>
                <w:rFonts w:hint="eastAsia"/>
              </w:rPr>
              <w:br w:type="textWrapping"/>
            </w:r>
            <w:r>
              <w:rPr>
                <w:rStyle w:val="11"/>
                <w:rFonts w:hint="eastAsia"/>
              </w:rPr>
              <w:t>中毒症状：对眼睛、皮肤和上呼吸道有刺激作用。急救措施：若不慎接触眼睛和皮肤，应立即用大量清水冲洗至少15分钟；尚无特效解毒剂。如误服时摄入量大，病人十分清醒，可用吐根糖浆诱吐，还可在服用的活性炭泥中加入山梨醇，送医院对症治疗。</w:t>
            </w:r>
          </w:p>
        </w:tc>
      </w:tr>
      <w:tr w14:paraId="1413E9DB">
        <w:tblPrEx>
          <w:tblCellMar>
            <w:top w:w="0" w:type="dxa"/>
            <w:left w:w="0" w:type="dxa"/>
            <w:bottom w:w="0" w:type="dxa"/>
            <w:right w:w="0" w:type="dxa"/>
          </w:tblCellMar>
        </w:tblPrEx>
        <w:trPr>
          <w:wBefore w:w="0" w:type="auto"/>
          <w:tblCellSpacing w:w="0" w:type="dxa"/>
        </w:trPr>
        <w:tc>
          <w:tcPr>
            <w:tcW w:w="0" w:type="auto"/>
            <w:noWrap w:val="0"/>
            <w:vAlign w:val="center"/>
          </w:tcPr>
          <w:p w14:paraId="3AF59BE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本品应贮存在干燥、阴凉、通风、防雨处，远离火源或热源。置于儿童、无关人员触及不到之处，并加锁。勿与食品、饮料、饲料、粮食等同贮同运。</w:t>
            </w:r>
          </w:p>
        </w:tc>
      </w:tr>
      <w:tr w14:paraId="3F31549E">
        <w:tblPrEx>
          <w:tblCellMar>
            <w:top w:w="0" w:type="dxa"/>
            <w:left w:w="0" w:type="dxa"/>
            <w:bottom w:w="0" w:type="dxa"/>
            <w:right w:w="0" w:type="dxa"/>
          </w:tblCellMar>
        </w:tblPrEx>
        <w:trPr>
          <w:wBefore w:w="0" w:type="auto"/>
          <w:tblCellSpacing w:w="0" w:type="dxa"/>
        </w:trPr>
        <w:tc>
          <w:tcPr>
            <w:tcW w:w="0" w:type="auto"/>
            <w:noWrap w:val="0"/>
            <w:vAlign w:val="center"/>
          </w:tcPr>
          <w:p w14:paraId="39BB0AAD">
            <w:r>
              <w:rPr>
                <w:rStyle w:val="10"/>
                <w:rFonts w:hint="eastAsia"/>
              </w:rPr>
              <w:t>质量保证期：</w:t>
            </w:r>
            <w:r>
              <w:rPr>
                <w:rStyle w:val="11"/>
                <w:rFonts w:hint="eastAsia"/>
              </w:rPr>
              <w:t>2年</w:t>
            </w:r>
          </w:p>
        </w:tc>
      </w:tr>
      <w:tr w14:paraId="3F386F4C">
        <w:tblPrEx>
          <w:tblCellMar>
            <w:top w:w="0" w:type="dxa"/>
            <w:left w:w="0" w:type="dxa"/>
            <w:bottom w:w="0" w:type="dxa"/>
            <w:right w:w="0" w:type="dxa"/>
          </w:tblCellMar>
        </w:tblPrEx>
        <w:trPr>
          <w:wBefore w:w="0" w:type="auto"/>
          <w:tblCellSpacing w:w="0" w:type="dxa"/>
        </w:trPr>
        <w:tc>
          <w:tcPr>
            <w:tcW w:w="0" w:type="auto"/>
            <w:noWrap w:val="0"/>
            <w:vAlign w:val="center"/>
          </w:tcPr>
          <w:p w14:paraId="50109B0C">
            <w:r>
              <w:rPr>
                <w:rStyle w:val="10"/>
                <w:rFonts w:hint="eastAsia"/>
              </w:rPr>
              <w:t>备注：</w:t>
            </w:r>
          </w:p>
        </w:tc>
      </w:tr>
    </w:tbl>
    <w:p w14:paraId="3319BAF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1AE5A0">
        <w:tblPrEx>
          <w:tblCellMar>
            <w:top w:w="0" w:type="dxa"/>
            <w:left w:w="0" w:type="dxa"/>
            <w:bottom w:w="0" w:type="dxa"/>
            <w:right w:w="0" w:type="dxa"/>
          </w:tblCellMar>
        </w:tblPrEx>
        <w:trPr>
          <w:wBefore w:w="0" w:type="auto"/>
          <w:tblCellSpacing w:w="0" w:type="dxa"/>
        </w:trPr>
        <w:tc>
          <w:tcPr>
            <w:tcW w:w="0" w:type="auto"/>
            <w:noWrap w:val="0"/>
            <w:vAlign w:val="center"/>
          </w:tcPr>
          <w:p w14:paraId="1F3AC17B">
            <w:r>
              <w:rPr>
                <w:rStyle w:val="10"/>
                <w:rFonts w:hint="eastAsia"/>
              </w:rPr>
              <w:t>登记证号：</w:t>
            </w:r>
            <w:r>
              <w:rPr>
                <w:rFonts w:hint="eastAsia"/>
              </w:rPr>
              <w:t>PD20211720</w:t>
            </w:r>
          </w:p>
        </w:tc>
      </w:tr>
      <w:tr w14:paraId="5632070E">
        <w:tblPrEx>
          <w:tblCellMar>
            <w:top w:w="0" w:type="dxa"/>
            <w:left w:w="0" w:type="dxa"/>
            <w:bottom w:w="0" w:type="dxa"/>
            <w:right w:w="0" w:type="dxa"/>
          </w:tblCellMar>
        </w:tblPrEx>
        <w:trPr>
          <w:wBefore w:w="0" w:type="auto"/>
          <w:tblCellSpacing w:w="0" w:type="dxa"/>
        </w:trPr>
        <w:tc>
          <w:tcPr>
            <w:tcW w:w="0" w:type="auto"/>
            <w:noWrap w:val="0"/>
            <w:vAlign w:val="center"/>
          </w:tcPr>
          <w:p w14:paraId="755E80C1">
            <w:r>
              <w:rPr>
                <w:rStyle w:val="10"/>
                <w:rFonts w:hint="eastAsia"/>
              </w:rPr>
              <w:t>登记证持有人：</w:t>
            </w:r>
            <w:r>
              <w:rPr>
                <w:rFonts w:hint="eastAsia"/>
              </w:rPr>
              <w:t>天津市华宇农药有限公司</w:t>
            </w:r>
          </w:p>
        </w:tc>
      </w:tr>
      <w:tr w14:paraId="31A53654">
        <w:tblPrEx>
          <w:tblCellMar>
            <w:top w:w="0" w:type="dxa"/>
            <w:left w:w="0" w:type="dxa"/>
            <w:bottom w:w="0" w:type="dxa"/>
            <w:right w:w="0" w:type="dxa"/>
          </w:tblCellMar>
        </w:tblPrEx>
        <w:trPr>
          <w:wBefore w:w="0" w:type="auto"/>
          <w:tblCellSpacing w:w="0" w:type="dxa"/>
        </w:trPr>
        <w:tc>
          <w:tcPr>
            <w:tcW w:w="0" w:type="auto"/>
            <w:noWrap w:val="0"/>
            <w:vAlign w:val="center"/>
          </w:tcPr>
          <w:p w14:paraId="729B544B">
            <w:r>
              <w:rPr>
                <w:rStyle w:val="10"/>
                <w:rFonts w:hint="eastAsia"/>
              </w:rPr>
              <w:t>农药名称：</w:t>
            </w:r>
            <w:r>
              <w:rPr>
                <w:rFonts w:hint="eastAsia"/>
              </w:rPr>
              <w:t>联苯菊酯</w:t>
            </w:r>
          </w:p>
        </w:tc>
      </w:tr>
      <w:tr w14:paraId="2DA84EFD">
        <w:tblPrEx>
          <w:tblCellMar>
            <w:top w:w="0" w:type="dxa"/>
            <w:left w:w="0" w:type="dxa"/>
            <w:bottom w:w="0" w:type="dxa"/>
            <w:right w:w="0" w:type="dxa"/>
          </w:tblCellMar>
        </w:tblPrEx>
        <w:trPr>
          <w:wBefore w:w="0" w:type="auto"/>
          <w:tblCellSpacing w:w="0" w:type="dxa"/>
        </w:trPr>
        <w:tc>
          <w:tcPr>
            <w:tcW w:w="0" w:type="auto"/>
            <w:noWrap w:val="0"/>
            <w:vAlign w:val="center"/>
          </w:tcPr>
          <w:p w14:paraId="2617C661">
            <w:r>
              <w:rPr>
                <w:rStyle w:val="10"/>
                <w:rFonts w:hint="eastAsia"/>
              </w:rPr>
              <w:t>剂型：</w:t>
            </w:r>
            <w:r>
              <w:rPr>
                <w:rFonts w:hint="eastAsia"/>
              </w:rPr>
              <w:t>水乳剂</w:t>
            </w:r>
          </w:p>
        </w:tc>
      </w:tr>
      <w:tr w14:paraId="6839D5EC">
        <w:tblPrEx>
          <w:tblCellMar>
            <w:top w:w="0" w:type="dxa"/>
            <w:left w:w="0" w:type="dxa"/>
            <w:bottom w:w="0" w:type="dxa"/>
            <w:right w:w="0" w:type="dxa"/>
          </w:tblCellMar>
        </w:tblPrEx>
        <w:trPr>
          <w:wBefore w:w="0" w:type="auto"/>
          <w:tblCellSpacing w:w="0" w:type="dxa"/>
        </w:trPr>
        <w:tc>
          <w:tcPr>
            <w:tcW w:w="0" w:type="auto"/>
            <w:noWrap w:val="0"/>
            <w:vAlign w:val="center"/>
          </w:tcPr>
          <w:p w14:paraId="321BEF84">
            <w:r>
              <w:rPr>
                <w:rStyle w:val="10"/>
                <w:rFonts w:hint="eastAsia"/>
              </w:rPr>
              <w:t>毒性及其标识：</w:t>
            </w:r>
            <w:r>
              <w:rPr>
                <w:rFonts w:hint="eastAsia"/>
              </w:rPr>
              <w:t xml:space="preserve"> </w:t>
            </w:r>
            <w:r>
              <w:rPr>
                <w:lang/>
              </w:rPr>
              <w:drawing>
                <wp:inline distT="0" distB="0" distL="114300" distR="114300">
                  <wp:extent cx="476250" cy="323850"/>
                  <wp:effectExtent l="0" t="0" r="0" b="0"/>
                  <wp:docPr id="202" name="图片 20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F01DC49">
        <w:tblPrEx>
          <w:tblCellMar>
            <w:top w:w="0" w:type="dxa"/>
            <w:left w:w="0" w:type="dxa"/>
            <w:bottom w:w="0" w:type="dxa"/>
            <w:right w:w="0" w:type="dxa"/>
          </w:tblCellMar>
        </w:tblPrEx>
        <w:trPr>
          <w:wBefore w:w="0" w:type="auto"/>
          <w:tblCellSpacing w:w="0" w:type="dxa"/>
        </w:trPr>
        <w:tc>
          <w:tcPr>
            <w:tcW w:w="0" w:type="auto"/>
            <w:noWrap w:val="0"/>
            <w:vAlign w:val="center"/>
          </w:tcPr>
          <w:p w14:paraId="3B873012">
            <w:r>
              <w:rPr>
                <w:rStyle w:val="10"/>
                <w:rFonts w:hint="eastAsia"/>
              </w:rPr>
              <w:t>总有效成分含量：</w:t>
            </w:r>
            <w:r>
              <w:rPr>
                <w:rFonts w:hint="eastAsia"/>
              </w:rPr>
              <w:t>2.5%</w:t>
            </w:r>
          </w:p>
        </w:tc>
      </w:tr>
      <w:tr w14:paraId="47527625">
        <w:tblPrEx>
          <w:tblCellMar>
            <w:top w:w="0" w:type="dxa"/>
            <w:left w:w="0" w:type="dxa"/>
            <w:bottom w:w="0" w:type="dxa"/>
            <w:right w:w="0" w:type="dxa"/>
          </w:tblCellMar>
        </w:tblPrEx>
        <w:trPr>
          <w:wBefore w:w="0" w:type="auto"/>
          <w:tblCellSpacing w:w="0" w:type="dxa"/>
        </w:trPr>
        <w:tc>
          <w:tcPr>
            <w:tcW w:w="0" w:type="auto"/>
            <w:noWrap w:val="0"/>
            <w:vAlign w:val="center"/>
          </w:tcPr>
          <w:p w14:paraId="5EF06744">
            <w:r>
              <w:rPr>
                <w:rFonts w:hint="eastAsia"/>
              </w:rPr>
              <w:t xml:space="preserve">有效成分及其含量： </w:t>
            </w:r>
          </w:p>
          <w:p w14:paraId="6DB809B5">
            <w:r>
              <w:rPr>
                <w:rFonts w:hint="eastAsia"/>
              </w:rPr>
              <w:t xml:space="preserve">    联苯菊酯2.5%    </w:t>
            </w:r>
          </w:p>
        </w:tc>
      </w:tr>
      <w:tr w14:paraId="7A0DB165">
        <w:tblPrEx>
          <w:tblCellMar>
            <w:top w:w="0" w:type="dxa"/>
            <w:left w:w="0" w:type="dxa"/>
            <w:bottom w:w="0" w:type="dxa"/>
            <w:right w:w="0" w:type="dxa"/>
          </w:tblCellMar>
        </w:tblPrEx>
        <w:trPr>
          <w:wBefore w:w="0" w:type="auto"/>
          <w:tblCellSpacing w:w="0" w:type="dxa"/>
        </w:trPr>
        <w:tc>
          <w:tcPr>
            <w:tcW w:w="0" w:type="auto"/>
            <w:noWrap w:val="0"/>
            <w:vAlign w:val="center"/>
          </w:tcPr>
          <w:p w14:paraId="1D3ADFA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5E0E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FECAD3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B1B917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17AC7F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07A0082">
                  <w:r>
                    <w:rPr>
                      <w:rStyle w:val="11"/>
                      <w:rFonts w:hint="eastAsia"/>
                    </w:rPr>
                    <w:t>施用方式</w:t>
                  </w:r>
                </w:p>
              </w:tc>
            </w:tr>
            <w:tr w14:paraId="69C2E0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14A4CBF">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5272AB">
                  <w:r>
                    <w:rPr>
                      <w:rStyle w:val="11"/>
                      <w:rFonts w:hint="eastAsia"/>
                    </w:rPr>
                    <w:t>白粉虱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813F7A">
                  <w:r>
                    <w:rPr>
                      <w:rStyle w:val="11"/>
                      <w:rFonts w:hint="eastAsia"/>
                    </w:rPr>
                    <w:t>20-40毫升/亩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721013">
                  <w:r>
                    <w:rPr>
                      <w:rStyle w:val="11"/>
                      <w:rFonts w:hint="eastAsia"/>
                    </w:rPr>
                    <w:t>喷雾</w:t>
                  </w:r>
                </w:p>
              </w:tc>
            </w:tr>
          </w:tbl>
          <w:p w14:paraId="14721EEA">
            <w:pPr>
              <w:rPr>
                <w:rFonts w:ascii="Times New Roman" w:hAnsi="Times New Roman" w:cs="Times New Roman"/>
                <w:sz w:val="20"/>
                <w:szCs w:val="20"/>
              </w:rPr>
            </w:pPr>
          </w:p>
        </w:tc>
      </w:tr>
      <w:tr w14:paraId="1722C705">
        <w:tblPrEx>
          <w:tblCellMar>
            <w:top w:w="0" w:type="dxa"/>
            <w:left w:w="0" w:type="dxa"/>
            <w:bottom w:w="0" w:type="dxa"/>
            <w:right w:w="0" w:type="dxa"/>
          </w:tblCellMar>
        </w:tblPrEx>
        <w:trPr>
          <w:wBefore w:w="0" w:type="auto"/>
          <w:tblCellSpacing w:w="0" w:type="dxa"/>
        </w:trPr>
        <w:tc>
          <w:tcPr>
            <w:tcW w:w="0" w:type="auto"/>
            <w:noWrap w:val="0"/>
            <w:vAlign w:val="center"/>
          </w:tcPr>
          <w:p w14:paraId="0B34432C">
            <w:r>
              <w:rPr>
                <w:rStyle w:val="10"/>
                <w:rFonts w:hint="eastAsia"/>
              </w:rPr>
              <w:t>使用技术要求:</w:t>
            </w:r>
            <w:r>
              <w:rPr>
                <w:rFonts w:hint="eastAsia"/>
              </w:rPr>
              <w:br w:type="textWrapping"/>
            </w:r>
            <w:r>
              <w:rPr>
                <w:rStyle w:val="11"/>
                <w:rFonts w:hint="eastAsia"/>
              </w:rPr>
              <w:t>1.在白粉虱发生初期，虫口密度低时施药。施药时要均匀周到。 2.大风天或预计1小时内降雨，请勿施药。 3.本品在番茄上使用，每季最多使用1次；安全间隔期：4天。</w:t>
            </w:r>
          </w:p>
        </w:tc>
      </w:tr>
      <w:tr w14:paraId="394D5A65">
        <w:tblPrEx>
          <w:tblCellMar>
            <w:top w:w="0" w:type="dxa"/>
            <w:left w:w="0" w:type="dxa"/>
            <w:bottom w:w="0" w:type="dxa"/>
            <w:right w:w="0" w:type="dxa"/>
          </w:tblCellMar>
        </w:tblPrEx>
        <w:trPr>
          <w:wBefore w:w="0" w:type="auto"/>
          <w:tblCellSpacing w:w="0" w:type="dxa"/>
        </w:trPr>
        <w:tc>
          <w:tcPr>
            <w:tcW w:w="0" w:type="auto"/>
            <w:noWrap w:val="0"/>
            <w:vAlign w:val="center"/>
          </w:tcPr>
          <w:p w14:paraId="102BF695">
            <w:r>
              <w:rPr>
                <w:rStyle w:val="10"/>
                <w:rFonts w:hint="eastAsia"/>
              </w:rPr>
              <w:t>产品性能:</w:t>
            </w:r>
            <w:r>
              <w:rPr>
                <w:rFonts w:hint="eastAsia"/>
              </w:rPr>
              <w:br w:type="textWrapping"/>
            </w:r>
            <w:r>
              <w:rPr>
                <w:rStyle w:val="11"/>
                <w:rFonts w:hint="eastAsia"/>
              </w:rPr>
              <w:t>本品属拟除虫菊酯类杀虫剂。外观为白色均匀液体，具有触杀、胃毒作用，无内吸、熏蒸作用。按推荐剂量使用，本品对番茄白粉虱防效较好。</w:t>
            </w:r>
          </w:p>
        </w:tc>
      </w:tr>
      <w:tr w14:paraId="090D08FE">
        <w:tblPrEx>
          <w:tblCellMar>
            <w:top w:w="0" w:type="dxa"/>
            <w:left w:w="0" w:type="dxa"/>
            <w:bottom w:w="0" w:type="dxa"/>
            <w:right w:w="0" w:type="dxa"/>
          </w:tblCellMar>
        </w:tblPrEx>
        <w:trPr>
          <w:wBefore w:w="0" w:type="auto"/>
          <w:tblCellSpacing w:w="0" w:type="dxa"/>
        </w:trPr>
        <w:tc>
          <w:tcPr>
            <w:tcW w:w="0" w:type="auto"/>
            <w:noWrap w:val="0"/>
            <w:vAlign w:val="center"/>
          </w:tcPr>
          <w:p w14:paraId="2794B350">
            <w:r>
              <w:rPr>
                <w:rStyle w:val="10"/>
                <w:rFonts w:hint="eastAsia"/>
              </w:rPr>
              <w:t>注意事项：</w:t>
            </w:r>
            <w:r>
              <w:rPr>
                <w:rFonts w:hint="eastAsia"/>
              </w:rPr>
              <w:br w:type="textWrapping"/>
            </w:r>
            <w:r>
              <w:rPr>
                <w:rStyle w:val="11"/>
                <w:rFonts w:hint="eastAsia"/>
              </w:rPr>
              <w:t>1.本产品对蜜蜂、家蚕毒性大，周围花期作物禁用，施药期间应密切注意对附近蜂群的影响，赤眼蜂、瓢虫等天敌放飞区附近禁用、开花植物花期禁用、蚕室及桑园附近禁用；对鱼类等水生生物有毒，远离水产养殖区施药，禁止在河塘等水域内清洗施药器具。 2.施药时应戴防护用具，防止药液口鼻吸入；不得吸烟、饮食、饮水，施药后应清洗手、脸及身体被污染部分。 3.使用完毕后应及时清洗药械。用过的容器应妥善处理，不可做他用，也不可随意丢弃。不可将残留药物、清洗液倒入江河、鱼塘等水域，以免污染水源。 4.建议与其他用机制不同的杀虫剂轮换使用。 5.本品不能与石硫合剂和波尔多液等碱性物质混用。 6.年老体弱、有病的人员，儿童，孕期、经期、哺乳期妇女禁止接触本品。</w:t>
            </w:r>
          </w:p>
        </w:tc>
      </w:tr>
      <w:tr w14:paraId="3BCE9CBF">
        <w:tblPrEx>
          <w:tblCellMar>
            <w:top w:w="0" w:type="dxa"/>
            <w:left w:w="0" w:type="dxa"/>
            <w:bottom w:w="0" w:type="dxa"/>
            <w:right w:w="0" w:type="dxa"/>
          </w:tblCellMar>
        </w:tblPrEx>
        <w:trPr>
          <w:wBefore w:w="0" w:type="auto"/>
          <w:tblCellSpacing w:w="0" w:type="dxa"/>
        </w:trPr>
        <w:tc>
          <w:tcPr>
            <w:tcW w:w="0" w:type="auto"/>
            <w:noWrap w:val="0"/>
            <w:vAlign w:val="center"/>
          </w:tcPr>
          <w:p w14:paraId="2CE9CFD5">
            <w:r>
              <w:rPr>
                <w:rStyle w:val="10"/>
                <w:rFonts w:hint="eastAsia"/>
              </w:rPr>
              <w:t>中毒急救措施：</w:t>
            </w:r>
            <w:r>
              <w:rPr>
                <w:rFonts w:hint="eastAsia"/>
              </w:rPr>
              <w:br w:type="textWrapping"/>
            </w:r>
            <w:r>
              <w:rPr>
                <w:rStyle w:val="11"/>
                <w:rFonts w:hint="eastAsia"/>
              </w:rPr>
              <w:t>属神经毒剂，接触部位皮肤感到刺痛，但无红斑，尤其在口、鼻周围。接触量大时也会引起头痛，头昏，恶心呕吐，双手颤抖， 重者抽搐或惊厥、昏迷、休克。皮肤接触：脱去污染的衣着，用肥皂水及清水彻底冲洗皮肤；眼睛接触：立即将眼睑翻开，用清水冲洗10－15分钟，就医。吸入：迅速脱离现场至空气新鲜处。误服：立即送医院对症治疗，无特效解毒剂。大量吞服时可洗胃。不能催吐。</w:t>
            </w:r>
          </w:p>
        </w:tc>
      </w:tr>
      <w:tr w14:paraId="78AFAC28">
        <w:tblPrEx>
          <w:tblCellMar>
            <w:top w:w="0" w:type="dxa"/>
            <w:left w:w="0" w:type="dxa"/>
            <w:bottom w:w="0" w:type="dxa"/>
            <w:right w:w="0" w:type="dxa"/>
          </w:tblCellMar>
        </w:tblPrEx>
        <w:trPr>
          <w:wBefore w:w="0" w:type="auto"/>
          <w:tblCellSpacing w:w="0" w:type="dxa"/>
        </w:trPr>
        <w:tc>
          <w:tcPr>
            <w:tcW w:w="0" w:type="auto"/>
            <w:noWrap w:val="0"/>
            <w:vAlign w:val="center"/>
          </w:tcPr>
          <w:p w14:paraId="5F01BE9C">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本品应贮存于干燥、阴凉、通风、防雨处。远离火源或热源。置于儿童触及不到之处，并加锁。勿与食品、饮料、饲料、粮食等其它商品同贮同运。</w:t>
            </w:r>
          </w:p>
        </w:tc>
      </w:tr>
      <w:tr w14:paraId="415D1F23">
        <w:tblPrEx>
          <w:tblCellMar>
            <w:top w:w="0" w:type="dxa"/>
            <w:left w:w="0" w:type="dxa"/>
            <w:bottom w:w="0" w:type="dxa"/>
            <w:right w:w="0" w:type="dxa"/>
          </w:tblCellMar>
        </w:tblPrEx>
        <w:trPr>
          <w:wBefore w:w="0" w:type="auto"/>
          <w:tblCellSpacing w:w="0" w:type="dxa"/>
        </w:trPr>
        <w:tc>
          <w:tcPr>
            <w:tcW w:w="0" w:type="auto"/>
            <w:noWrap w:val="0"/>
            <w:vAlign w:val="center"/>
          </w:tcPr>
          <w:p w14:paraId="346BB1BE">
            <w:r>
              <w:rPr>
                <w:rStyle w:val="10"/>
                <w:rFonts w:hint="eastAsia"/>
              </w:rPr>
              <w:t>质量保证期：</w:t>
            </w:r>
            <w:r>
              <w:rPr>
                <w:rStyle w:val="11"/>
                <w:rFonts w:hint="eastAsia"/>
              </w:rPr>
              <w:t>2年</w:t>
            </w:r>
          </w:p>
        </w:tc>
      </w:tr>
      <w:tr w14:paraId="6E37C3A8">
        <w:tblPrEx>
          <w:tblCellMar>
            <w:top w:w="0" w:type="dxa"/>
            <w:left w:w="0" w:type="dxa"/>
            <w:bottom w:w="0" w:type="dxa"/>
            <w:right w:w="0" w:type="dxa"/>
          </w:tblCellMar>
        </w:tblPrEx>
        <w:trPr>
          <w:wBefore w:w="0" w:type="auto"/>
          <w:tblCellSpacing w:w="0" w:type="dxa"/>
        </w:trPr>
        <w:tc>
          <w:tcPr>
            <w:tcW w:w="0" w:type="auto"/>
            <w:noWrap w:val="0"/>
            <w:vAlign w:val="center"/>
          </w:tcPr>
          <w:p w14:paraId="6B752720">
            <w:r>
              <w:rPr>
                <w:rStyle w:val="10"/>
                <w:rFonts w:hint="eastAsia"/>
              </w:rPr>
              <w:t>备注：</w:t>
            </w:r>
          </w:p>
        </w:tc>
      </w:tr>
    </w:tbl>
    <w:p w14:paraId="3B2A0AB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4B98A26">
        <w:tblPrEx>
          <w:tblCellMar>
            <w:top w:w="0" w:type="dxa"/>
            <w:left w:w="0" w:type="dxa"/>
            <w:bottom w:w="0" w:type="dxa"/>
            <w:right w:w="0" w:type="dxa"/>
          </w:tblCellMar>
        </w:tblPrEx>
        <w:trPr>
          <w:wBefore w:w="0" w:type="auto"/>
          <w:tblCellSpacing w:w="0" w:type="dxa"/>
        </w:trPr>
        <w:tc>
          <w:tcPr>
            <w:tcW w:w="0" w:type="auto"/>
            <w:noWrap w:val="0"/>
            <w:vAlign w:val="center"/>
          </w:tcPr>
          <w:p w14:paraId="73444B75">
            <w:r>
              <w:rPr>
                <w:rStyle w:val="10"/>
                <w:rFonts w:hint="eastAsia"/>
              </w:rPr>
              <w:t>登记证号：</w:t>
            </w:r>
            <w:r>
              <w:rPr>
                <w:rFonts w:hint="eastAsia"/>
              </w:rPr>
              <w:t>PD20212148</w:t>
            </w:r>
          </w:p>
        </w:tc>
      </w:tr>
      <w:tr w14:paraId="4EFB423F">
        <w:tblPrEx>
          <w:tblCellMar>
            <w:top w:w="0" w:type="dxa"/>
            <w:left w:w="0" w:type="dxa"/>
            <w:bottom w:w="0" w:type="dxa"/>
            <w:right w:w="0" w:type="dxa"/>
          </w:tblCellMar>
        </w:tblPrEx>
        <w:trPr>
          <w:wBefore w:w="0" w:type="auto"/>
          <w:tblCellSpacing w:w="0" w:type="dxa"/>
        </w:trPr>
        <w:tc>
          <w:tcPr>
            <w:tcW w:w="0" w:type="auto"/>
            <w:noWrap w:val="0"/>
            <w:vAlign w:val="center"/>
          </w:tcPr>
          <w:p w14:paraId="42B53027">
            <w:r>
              <w:rPr>
                <w:rStyle w:val="10"/>
                <w:rFonts w:hint="eastAsia"/>
              </w:rPr>
              <w:t>登记证持有人：</w:t>
            </w:r>
            <w:r>
              <w:rPr>
                <w:rFonts w:hint="eastAsia"/>
              </w:rPr>
              <w:t>黑龙江谱农丰生物科技开发有限公司</w:t>
            </w:r>
          </w:p>
        </w:tc>
      </w:tr>
      <w:tr w14:paraId="0EA7C07B">
        <w:tblPrEx>
          <w:tblCellMar>
            <w:top w:w="0" w:type="dxa"/>
            <w:left w:w="0" w:type="dxa"/>
            <w:bottom w:w="0" w:type="dxa"/>
            <w:right w:w="0" w:type="dxa"/>
          </w:tblCellMar>
        </w:tblPrEx>
        <w:trPr>
          <w:wBefore w:w="0" w:type="auto"/>
          <w:tblCellSpacing w:w="0" w:type="dxa"/>
        </w:trPr>
        <w:tc>
          <w:tcPr>
            <w:tcW w:w="0" w:type="auto"/>
            <w:noWrap w:val="0"/>
            <w:vAlign w:val="center"/>
          </w:tcPr>
          <w:p w14:paraId="1891C19F">
            <w:r>
              <w:rPr>
                <w:rStyle w:val="10"/>
                <w:rFonts w:hint="eastAsia"/>
              </w:rPr>
              <w:t>农药名称：</w:t>
            </w:r>
            <w:r>
              <w:rPr>
                <w:rFonts w:hint="eastAsia"/>
              </w:rPr>
              <w:t>乙草·滴辛酯</w:t>
            </w:r>
          </w:p>
        </w:tc>
      </w:tr>
      <w:tr w14:paraId="0151D809">
        <w:tblPrEx>
          <w:tblCellMar>
            <w:top w:w="0" w:type="dxa"/>
            <w:left w:w="0" w:type="dxa"/>
            <w:bottom w:w="0" w:type="dxa"/>
            <w:right w:w="0" w:type="dxa"/>
          </w:tblCellMar>
        </w:tblPrEx>
        <w:trPr>
          <w:wBefore w:w="0" w:type="auto"/>
          <w:tblCellSpacing w:w="0" w:type="dxa"/>
        </w:trPr>
        <w:tc>
          <w:tcPr>
            <w:tcW w:w="0" w:type="auto"/>
            <w:noWrap w:val="0"/>
            <w:vAlign w:val="center"/>
          </w:tcPr>
          <w:p w14:paraId="7D2C88C1">
            <w:r>
              <w:rPr>
                <w:rStyle w:val="10"/>
                <w:rFonts w:hint="eastAsia"/>
              </w:rPr>
              <w:t>剂型：</w:t>
            </w:r>
            <w:r>
              <w:rPr>
                <w:rFonts w:hint="eastAsia"/>
              </w:rPr>
              <w:t>乳油</w:t>
            </w:r>
          </w:p>
        </w:tc>
      </w:tr>
      <w:tr w14:paraId="0C93B1ED">
        <w:tblPrEx>
          <w:tblCellMar>
            <w:top w:w="0" w:type="dxa"/>
            <w:left w:w="0" w:type="dxa"/>
            <w:bottom w:w="0" w:type="dxa"/>
            <w:right w:w="0" w:type="dxa"/>
          </w:tblCellMar>
        </w:tblPrEx>
        <w:trPr>
          <w:wBefore w:w="0" w:type="auto"/>
          <w:tblCellSpacing w:w="0" w:type="dxa"/>
        </w:trPr>
        <w:tc>
          <w:tcPr>
            <w:tcW w:w="0" w:type="auto"/>
            <w:noWrap w:val="0"/>
            <w:vAlign w:val="center"/>
          </w:tcPr>
          <w:p w14:paraId="5BA91D0F">
            <w:r>
              <w:rPr>
                <w:rStyle w:val="10"/>
                <w:rFonts w:hint="eastAsia"/>
              </w:rPr>
              <w:t>毒性及其标识：</w:t>
            </w:r>
            <w:r>
              <w:rPr>
                <w:rFonts w:hint="eastAsia"/>
              </w:rPr>
              <w:t xml:space="preserve"> </w:t>
            </w:r>
            <w:r>
              <w:rPr>
                <w:lang/>
              </w:rPr>
              <w:drawing>
                <wp:inline distT="0" distB="0" distL="114300" distR="114300">
                  <wp:extent cx="476250" cy="323850"/>
                  <wp:effectExtent l="0" t="0" r="0" b="0"/>
                  <wp:docPr id="203" name="图片 20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E2EFE8B">
        <w:tblPrEx>
          <w:tblCellMar>
            <w:top w:w="0" w:type="dxa"/>
            <w:left w:w="0" w:type="dxa"/>
            <w:bottom w:w="0" w:type="dxa"/>
            <w:right w:w="0" w:type="dxa"/>
          </w:tblCellMar>
        </w:tblPrEx>
        <w:trPr>
          <w:wBefore w:w="0" w:type="auto"/>
          <w:tblCellSpacing w:w="0" w:type="dxa"/>
        </w:trPr>
        <w:tc>
          <w:tcPr>
            <w:tcW w:w="0" w:type="auto"/>
            <w:noWrap w:val="0"/>
            <w:vAlign w:val="center"/>
          </w:tcPr>
          <w:p w14:paraId="601D8EA7">
            <w:r>
              <w:rPr>
                <w:rStyle w:val="10"/>
                <w:rFonts w:hint="eastAsia"/>
              </w:rPr>
              <w:t>总有效成分含量：</w:t>
            </w:r>
            <w:r>
              <w:rPr>
                <w:rFonts w:hint="eastAsia"/>
              </w:rPr>
              <w:t>78%</w:t>
            </w:r>
          </w:p>
        </w:tc>
      </w:tr>
      <w:tr w14:paraId="6BCEA87D">
        <w:tblPrEx>
          <w:tblCellMar>
            <w:top w:w="0" w:type="dxa"/>
            <w:left w:w="0" w:type="dxa"/>
            <w:bottom w:w="0" w:type="dxa"/>
            <w:right w:w="0" w:type="dxa"/>
          </w:tblCellMar>
        </w:tblPrEx>
        <w:trPr>
          <w:wBefore w:w="0" w:type="auto"/>
          <w:tblCellSpacing w:w="0" w:type="dxa"/>
        </w:trPr>
        <w:tc>
          <w:tcPr>
            <w:tcW w:w="0" w:type="auto"/>
            <w:noWrap w:val="0"/>
            <w:vAlign w:val="center"/>
          </w:tcPr>
          <w:p w14:paraId="2A4DD2E9">
            <w:r>
              <w:rPr>
                <w:rFonts w:hint="eastAsia"/>
              </w:rPr>
              <w:t xml:space="preserve">有效成分及其含量： </w:t>
            </w:r>
          </w:p>
          <w:p w14:paraId="79873777">
            <w:r>
              <w:rPr>
                <w:rFonts w:hint="eastAsia"/>
              </w:rPr>
              <w:t xml:space="preserve">    2,4-滴异辛酯18%    乙草胺60%    </w:t>
            </w:r>
          </w:p>
        </w:tc>
      </w:tr>
      <w:tr w14:paraId="754E138E">
        <w:tblPrEx>
          <w:tblCellMar>
            <w:top w:w="0" w:type="dxa"/>
            <w:left w:w="0" w:type="dxa"/>
            <w:bottom w:w="0" w:type="dxa"/>
            <w:right w:w="0" w:type="dxa"/>
          </w:tblCellMar>
        </w:tblPrEx>
        <w:trPr>
          <w:wBefore w:w="0" w:type="auto"/>
          <w:tblCellSpacing w:w="0" w:type="dxa"/>
        </w:trPr>
        <w:tc>
          <w:tcPr>
            <w:tcW w:w="0" w:type="auto"/>
            <w:noWrap w:val="0"/>
            <w:vAlign w:val="center"/>
          </w:tcPr>
          <w:p w14:paraId="67E6EFA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EE1FC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278E17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334844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DCA3D7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266B3D4">
                  <w:r>
                    <w:rPr>
                      <w:rStyle w:val="11"/>
                      <w:rFonts w:hint="eastAsia"/>
                    </w:rPr>
                    <w:t>施用方式</w:t>
                  </w:r>
                </w:p>
              </w:tc>
            </w:tr>
            <w:tr w14:paraId="679EA2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403F297">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1AF786">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2AC515">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3613B1">
                  <w:r>
                    <w:rPr>
                      <w:rStyle w:val="11"/>
                      <w:rFonts w:hint="eastAsia"/>
                    </w:rPr>
                    <w:t>土壤喷雾</w:t>
                  </w:r>
                </w:p>
              </w:tc>
            </w:tr>
          </w:tbl>
          <w:p w14:paraId="42C1D5AA">
            <w:pPr>
              <w:rPr>
                <w:rFonts w:ascii="Times New Roman" w:hAnsi="Times New Roman" w:cs="Times New Roman"/>
                <w:sz w:val="20"/>
                <w:szCs w:val="20"/>
              </w:rPr>
            </w:pPr>
          </w:p>
        </w:tc>
      </w:tr>
      <w:tr w14:paraId="74384105">
        <w:tblPrEx>
          <w:tblCellMar>
            <w:top w:w="0" w:type="dxa"/>
            <w:left w:w="0" w:type="dxa"/>
            <w:bottom w:w="0" w:type="dxa"/>
            <w:right w:w="0" w:type="dxa"/>
          </w:tblCellMar>
        </w:tblPrEx>
        <w:trPr>
          <w:wBefore w:w="0" w:type="auto"/>
          <w:tblCellSpacing w:w="0" w:type="dxa"/>
        </w:trPr>
        <w:tc>
          <w:tcPr>
            <w:tcW w:w="0" w:type="auto"/>
            <w:noWrap w:val="0"/>
            <w:vAlign w:val="center"/>
          </w:tcPr>
          <w:p w14:paraId="2128C230">
            <w:r>
              <w:rPr>
                <w:rStyle w:val="10"/>
                <w:rFonts w:hint="eastAsia"/>
              </w:rPr>
              <w:t>使用技术要求:</w:t>
            </w:r>
            <w:r>
              <w:rPr>
                <w:rFonts w:hint="eastAsia"/>
              </w:rPr>
              <w:br w:type="textWrapping"/>
            </w:r>
            <w:r>
              <w:rPr>
                <w:rStyle w:val="11"/>
                <w:rFonts w:hint="eastAsia"/>
              </w:rPr>
              <w:t>春玉米播后苗前土壤喷雾施药进行土壤封闭处理。选无风天气，按亩需药量对水30～40升，全田均匀喷雾。施药时避免药液漂移到邻近的敏感作物田。大风天或预计1小时内有降雨，请勿使用。 本品每季作物最多使用1次。</w:t>
            </w:r>
          </w:p>
        </w:tc>
      </w:tr>
      <w:tr w14:paraId="7572719F">
        <w:tblPrEx>
          <w:tblCellMar>
            <w:top w:w="0" w:type="dxa"/>
            <w:left w:w="0" w:type="dxa"/>
            <w:bottom w:w="0" w:type="dxa"/>
            <w:right w:w="0" w:type="dxa"/>
          </w:tblCellMar>
        </w:tblPrEx>
        <w:trPr>
          <w:wBefore w:w="0" w:type="auto"/>
          <w:tblCellSpacing w:w="0" w:type="dxa"/>
        </w:trPr>
        <w:tc>
          <w:tcPr>
            <w:tcW w:w="0" w:type="auto"/>
            <w:noWrap w:val="0"/>
            <w:vAlign w:val="center"/>
          </w:tcPr>
          <w:p w14:paraId="1DBEA77D">
            <w:r>
              <w:rPr>
                <w:rStyle w:val="10"/>
                <w:rFonts w:hint="eastAsia"/>
              </w:rPr>
              <w:t>产品性能:</w:t>
            </w:r>
            <w:r>
              <w:rPr>
                <w:rFonts w:hint="eastAsia"/>
              </w:rPr>
              <w:br w:type="textWrapping"/>
            </w:r>
            <w:r>
              <w:rPr>
                <w:rStyle w:val="11"/>
                <w:rFonts w:hint="eastAsia"/>
              </w:rPr>
              <w:t>本品为2，4-滴异辛酯和乙草胺复配的春玉米田苗前除草剂，按推荐用药量使用，可有效防除稗草、狗尾草、野燕麦、看麦娘、马唐、早熟禾、牛筋草、藜、蓼、苋、龙葵、马齿苋、繁缕、香薷、鬼针草、水棘针、苍耳、鸭跖草等多种一年生杂草。</w:t>
            </w:r>
          </w:p>
        </w:tc>
      </w:tr>
      <w:tr w14:paraId="5523DCCC">
        <w:tblPrEx>
          <w:tblCellMar>
            <w:top w:w="0" w:type="dxa"/>
            <w:left w:w="0" w:type="dxa"/>
            <w:bottom w:w="0" w:type="dxa"/>
            <w:right w:w="0" w:type="dxa"/>
          </w:tblCellMar>
        </w:tblPrEx>
        <w:trPr>
          <w:wBefore w:w="0" w:type="auto"/>
          <w:tblCellSpacing w:w="0" w:type="dxa"/>
        </w:trPr>
        <w:tc>
          <w:tcPr>
            <w:tcW w:w="0" w:type="auto"/>
            <w:noWrap w:val="0"/>
            <w:vAlign w:val="center"/>
          </w:tcPr>
          <w:p w14:paraId="63B4DFB4">
            <w:r>
              <w:rPr>
                <w:rStyle w:val="10"/>
                <w:rFonts w:hint="eastAsia"/>
              </w:rPr>
              <w:t>注意事项：</w:t>
            </w:r>
            <w:r>
              <w:rPr>
                <w:rFonts w:hint="eastAsia"/>
              </w:rPr>
              <w:br w:type="textWrapping"/>
            </w:r>
            <w:r>
              <w:rPr>
                <w:rStyle w:val="11"/>
                <w:rFonts w:hint="eastAsia"/>
              </w:rPr>
              <w:t>1、本品不可与呈碱性的农药等物质混用。 2、精细整地、保持土壤湿润、施药后浅混土2～3厘米、镇压，有利于提高药效。 3、土壤有机质含量高、土质粘重、土壤干旱，宜采用较高药量；有机质含量低、沙质土壤、土壤墒情好宜用较低药量。 4、使用时，如遇高温（＞25℃）、低温（&lt;13℃）、干旱、大风天气，可能会影响药效发挥；施药后遇大雨，地面有明水易产生药害。 5、使用时应注意风向，在100米以内种植有棉花、豆类、蔬菜、瓜类、葡萄、马铃薯及果树、林木等敏感作物的田块不得使用本品。 6、对皮肤和眼睛有刺激性，使用本品时应穿戴防护服、口罩和手套等防护用具，避免吸入药液。施药期间不可吃东西、喝水和吸烟。施药后应及时洗手和洗脸。 7、远离水产养殖区、河塘等水体施药。禁止在河塘等水体内清洗施药器具或将清洗施药器具的废水倒入河流、池塘等水体。鸟类保护区附近禁用。蚕室及桑园附近禁用，或采用最外围桑树作为隔离带，以降低对家蚕的风险。赤眼蜂等天敌昆虫放飞区域禁用。 8、用过的容器或包装物应妥善处理，不可做他用，也不可随意丢弃。 9、孕妇及哺乳期妇女避免接触此药。</w:t>
            </w:r>
          </w:p>
        </w:tc>
      </w:tr>
      <w:tr w14:paraId="793D2AAA">
        <w:tblPrEx>
          <w:tblCellMar>
            <w:top w:w="0" w:type="dxa"/>
            <w:left w:w="0" w:type="dxa"/>
            <w:bottom w:w="0" w:type="dxa"/>
            <w:right w:w="0" w:type="dxa"/>
          </w:tblCellMar>
        </w:tblPrEx>
        <w:trPr>
          <w:wBefore w:w="0" w:type="auto"/>
          <w:tblCellSpacing w:w="0" w:type="dxa"/>
        </w:trPr>
        <w:tc>
          <w:tcPr>
            <w:tcW w:w="0" w:type="auto"/>
            <w:noWrap w:val="0"/>
            <w:vAlign w:val="center"/>
          </w:tcPr>
          <w:p w14:paraId="7F9AED7E">
            <w:r>
              <w:rPr>
                <w:rStyle w:val="10"/>
                <w:rFonts w:hint="eastAsia"/>
              </w:rPr>
              <w:t>中毒急救措施：</w:t>
            </w:r>
            <w:r>
              <w:rPr>
                <w:rFonts w:hint="eastAsia"/>
              </w:rPr>
              <w:br w:type="textWrapping"/>
            </w:r>
            <w:r>
              <w:rPr>
                <w:rStyle w:val="11"/>
                <w:rFonts w:hint="eastAsia"/>
              </w:rPr>
              <w:t>本品对皮肤有轻度刺激作用，对眼睛有中度刺激作用，严重时对肝、肾有损伤。不慎接触皮肤，用大量清水冲洗；若溅入眼睛中，用大量清水冲洗至少15分钟，严重时送医院诊治。如误服，立即带标签就医。可用吐根糖浆诱吐，呕吐后服活性炭及山梨醇导泻。无解毒剂，对症治疗。</w:t>
            </w:r>
          </w:p>
        </w:tc>
      </w:tr>
      <w:tr w14:paraId="76AE1FCB">
        <w:tblPrEx>
          <w:tblCellMar>
            <w:top w:w="0" w:type="dxa"/>
            <w:left w:w="0" w:type="dxa"/>
            <w:bottom w:w="0" w:type="dxa"/>
            <w:right w:w="0" w:type="dxa"/>
          </w:tblCellMar>
        </w:tblPrEx>
        <w:trPr>
          <w:wBefore w:w="0" w:type="auto"/>
          <w:tblCellSpacing w:w="0" w:type="dxa"/>
        </w:trPr>
        <w:tc>
          <w:tcPr>
            <w:tcW w:w="0" w:type="auto"/>
            <w:noWrap w:val="0"/>
            <w:vAlign w:val="center"/>
          </w:tcPr>
          <w:p w14:paraId="336377CA">
            <w:r>
              <w:rPr>
                <w:rStyle w:val="10"/>
                <w:rFonts w:hint="eastAsia"/>
              </w:rPr>
              <w:t>储存和运输方法：</w:t>
            </w:r>
            <w:r>
              <w:rPr>
                <w:rFonts w:hint="eastAsia"/>
              </w:rPr>
              <w:br w:type="textWrapping"/>
            </w:r>
            <w:r>
              <w:rPr>
                <w:rStyle w:val="11"/>
                <w:rFonts w:hint="eastAsia"/>
              </w:rPr>
              <w:t>贮存在干燥、阴凉、通风、防雨处，远离火源或热源；置于儿童、无关人员触及不到之处，并加锁。勿与食品、饮料、粮食、饲料等物品同贮同运。</w:t>
            </w:r>
          </w:p>
        </w:tc>
      </w:tr>
      <w:tr w14:paraId="2D0A83E2">
        <w:tblPrEx>
          <w:tblCellMar>
            <w:top w:w="0" w:type="dxa"/>
            <w:left w:w="0" w:type="dxa"/>
            <w:bottom w:w="0" w:type="dxa"/>
            <w:right w:w="0" w:type="dxa"/>
          </w:tblCellMar>
        </w:tblPrEx>
        <w:trPr>
          <w:wBefore w:w="0" w:type="auto"/>
          <w:tblCellSpacing w:w="0" w:type="dxa"/>
        </w:trPr>
        <w:tc>
          <w:tcPr>
            <w:tcW w:w="0" w:type="auto"/>
            <w:noWrap w:val="0"/>
            <w:vAlign w:val="center"/>
          </w:tcPr>
          <w:p w14:paraId="28CD7850">
            <w:r>
              <w:rPr>
                <w:rStyle w:val="10"/>
                <w:rFonts w:hint="eastAsia"/>
              </w:rPr>
              <w:t>质量保证期：</w:t>
            </w:r>
            <w:r>
              <w:rPr>
                <w:rStyle w:val="11"/>
                <w:rFonts w:hint="eastAsia"/>
              </w:rPr>
              <w:t>2年</w:t>
            </w:r>
          </w:p>
        </w:tc>
      </w:tr>
      <w:tr w14:paraId="647DA41C">
        <w:tblPrEx>
          <w:tblCellMar>
            <w:top w:w="0" w:type="dxa"/>
            <w:left w:w="0" w:type="dxa"/>
            <w:bottom w:w="0" w:type="dxa"/>
            <w:right w:w="0" w:type="dxa"/>
          </w:tblCellMar>
        </w:tblPrEx>
        <w:trPr>
          <w:wBefore w:w="0" w:type="auto"/>
          <w:tblCellSpacing w:w="0" w:type="dxa"/>
        </w:trPr>
        <w:tc>
          <w:tcPr>
            <w:tcW w:w="0" w:type="auto"/>
            <w:noWrap w:val="0"/>
            <w:vAlign w:val="center"/>
          </w:tcPr>
          <w:p w14:paraId="6F09071C">
            <w:r>
              <w:rPr>
                <w:rStyle w:val="10"/>
                <w:rFonts w:hint="eastAsia"/>
              </w:rPr>
              <w:t>备注：</w:t>
            </w:r>
          </w:p>
        </w:tc>
      </w:tr>
    </w:tbl>
    <w:p w14:paraId="5840149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F94E86">
        <w:tblPrEx>
          <w:tblCellMar>
            <w:top w:w="0" w:type="dxa"/>
            <w:left w:w="0" w:type="dxa"/>
            <w:bottom w:w="0" w:type="dxa"/>
            <w:right w:w="0" w:type="dxa"/>
          </w:tblCellMar>
        </w:tblPrEx>
        <w:trPr>
          <w:wBefore w:w="0" w:type="auto"/>
          <w:tblCellSpacing w:w="0" w:type="dxa"/>
        </w:trPr>
        <w:tc>
          <w:tcPr>
            <w:tcW w:w="0" w:type="auto"/>
            <w:noWrap w:val="0"/>
            <w:vAlign w:val="center"/>
          </w:tcPr>
          <w:p w14:paraId="0B053758">
            <w:r>
              <w:rPr>
                <w:rStyle w:val="10"/>
                <w:rFonts w:hint="eastAsia"/>
              </w:rPr>
              <w:t>登记证号：</w:t>
            </w:r>
            <w:r>
              <w:rPr>
                <w:rFonts w:hint="eastAsia"/>
              </w:rPr>
              <w:t>WP20210221</w:t>
            </w:r>
          </w:p>
        </w:tc>
      </w:tr>
      <w:tr w14:paraId="44448D2F">
        <w:tblPrEx>
          <w:tblCellMar>
            <w:top w:w="0" w:type="dxa"/>
            <w:left w:w="0" w:type="dxa"/>
            <w:bottom w:w="0" w:type="dxa"/>
            <w:right w:w="0" w:type="dxa"/>
          </w:tblCellMar>
        </w:tblPrEx>
        <w:trPr>
          <w:wBefore w:w="0" w:type="auto"/>
          <w:tblCellSpacing w:w="0" w:type="dxa"/>
        </w:trPr>
        <w:tc>
          <w:tcPr>
            <w:tcW w:w="0" w:type="auto"/>
            <w:noWrap w:val="0"/>
            <w:vAlign w:val="center"/>
          </w:tcPr>
          <w:p w14:paraId="1B756CE0">
            <w:r>
              <w:rPr>
                <w:rStyle w:val="10"/>
                <w:rFonts w:hint="eastAsia"/>
              </w:rPr>
              <w:t>登记证持有人：</w:t>
            </w:r>
            <w:r>
              <w:rPr>
                <w:rFonts w:hint="eastAsia"/>
              </w:rPr>
              <w:t>广东省罗定市永安化工有限责任公司</w:t>
            </w:r>
          </w:p>
        </w:tc>
      </w:tr>
      <w:tr w14:paraId="456574CD">
        <w:tblPrEx>
          <w:tblCellMar>
            <w:top w:w="0" w:type="dxa"/>
            <w:left w:w="0" w:type="dxa"/>
            <w:bottom w:w="0" w:type="dxa"/>
            <w:right w:w="0" w:type="dxa"/>
          </w:tblCellMar>
        </w:tblPrEx>
        <w:trPr>
          <w:wBefore w:w="0" w:type="auto"/>
          <w:tblCellSpacing w:w="0" w:type="dxa"/>
        </w:trPr>
        <w:tc>
          <w:tcPr>
            <w:tcW w:w="0" w:type="auto"/>
            <w:noWrap w:val="0"/>
            <w:vAlign w:val="center"/>
          </w:tcPr>
          <w:p w14:paraId="3DBA631B">
            <w:r>
              <w:rPr>
                <w:rStyle w:val="10"/>
                <w:rFonts w:hint="eastAsia"/>
              </w:rPr>
              <w:t>农药名称：</w:t>
            </w:r>
            <w:r>
              <w:rPr>
                <w:rFonts w:hint="eastAsia"/>
              </w:rPr>
              <w:t>杀虫饵剂</w:t>
            </w:r>
          </w:p>
        </w:tc>
      </w:tr>
      <w:tr w14:paraId="1D94BFA6">
        <w:tblPrEx>
          <w:tblCellMar>
            <w:top w:w="0" w:type="dxa"/>
            <w:left w:w="0" w:type="dxa"/>
            <w:bottom w:w="0" w:type="dxa"/>
            <w:right w:w="0" w:type="dxa"/>
          </w:tblCellMar>
        </w:tblPrEx>
        <w:trPr>
          <w:wBefore w:w="0" w:type="auto"/>
          <w:tblCellSpacing w:w="0" w:type="dxa"/>
        </w:trPr>
        <w:tc>
          <w:tcPr>
            <w:tcW w:w="0" w:type="auto"/>
            <w:noWrap w:val="0"/>
            <w:vAlign w:val="center"/>
          </w:tcPr>
          <w:p w14:paraId="7F205182">
            <w:r>
              <w:rPr>
                <w:rStyle w:val="10"/>
                <w:rFonts w:hint="eastAsia"/>
              </w:rPr>
              <w:t>剂型：</w:t>
            </w:r>
            <w:r>
              <w:rPr>
                <w:rFonts w:hint="eastAsia"/>
              </w:rPr>
              <w:t>饵剂</w:t>
            </w:r>
          </w:p>
        </w:tc>
      </w:tr>
      <w:tr w14:paraId="0089ADAF">
        <w:tblPrEx>
          <w:tblCellMar>
            <w:top w:w="0" w:type="dxa"/>
            <w:left w:w="0" w:type="dxa"/>
            <w:bottom w:w="0" w:type="dxa"/>
            <w:right w:w="0" w:type="dxa"/>
          </w:tblCellMar>
        </w:tblPrEx>
        <w:trPr>
          <w:wBefore w:w="0" w:type="auto"/>
          <w:tblCellSpacing w:w="0" w:type="dxa"/>
        </w:trPr>
        <w:tc>
          <w:tcPr>
            <w:tcW w:w="0" w:type="auto"/>
            <w:noWrap w:val="0"/>
            <w:vAlign w:val="center"/>
          </w:tcPr>
          <w:p w14:paraId="78AEF3FC">
            <w:r>
              <w:rPr>
                <w:rStyle w:val="10"/>
                <w:rFonts w:hint="eastAsia"/>
              </w:rPr>
              <w:t>毒性及其标识：</w:t>
            </w:r>
            <w:r>
              <w:rPr>
                <w:rFonts w:hint="eastAsia"/>
              </w:rPr>
              <w:t xml:space="preserve"> </w:t>
            </w:r>
            <w:r>
              <w:rPr>
                <w:lang/>
              </w:rPr>
              <w:drawing>
                <wp:inline distT="0" distB="0" distL="114300" distR="114300">
                  <wp:extent cx="476250" cy="323850"/>
                  <wp:effectExtent l="0" t="0" r="0" b="0"/>
                  <wp:docPr id="204" name="图片 20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B11CA73">
        <w:tblPrEx>
          <w:tblCellMar>
            <w:top w:w="0" w:type="dxa"/>
            <w:left w:w="0" w:type="dxa"/>
            <w:bottom w:w="0" w:type="dxa"/>
            <w:right w:w="0" w:type="dxa"/>
          </w:tblCellMar>
        </w:tblPrEx>
        <w:trPr>
          <w:wBefore w:w="0" w:type="auto"/>
          <w:tblCellSpacing w:w="0" w:type="dxa"/>
        </w:trPr>
        <w:tc>
          <w:tcPr>
            <w:tcW w:w="0" w:type="auto"/>
            <w:noWrap w:val="0"/>
            <w:vAlign w:val="center"/>
          </w:tcPr>
          <w:p w14:paraId="3B3D2DD8">
            <w:r>
              <w:rPr>
                <w:rStyle w:val="10"/>
                <w:rFonts w:hint="eastAsia"/>
              </w:rPr>
              <w:t>总有效成分含量：</w:t>
            </w:r>
            <w:r>
              <w:rPr>
                <w:rFonts w:hint="eastAsia"/>
              </w:rPr>
              <w:t>2.5%</w:t>
            </w:r>
          </w:p>
        </w:tc>
      </w:tr>
      <w:tr w14:paraId="7252FC1E">
        <w:tblPrEx>
          <w:tblCellMar>
            <w:top w:w="0" w:type="dxa"/>
            <w:left w:w="0" w:type="dxa"/>
            <w:bottom w:w="0" w:type="dxa"/>
            <w:right w:w="0" w:type="dxa"/>
          </w:tblCellMar>
        </w:tblPrEx>
        <w:trPr>
          <w:wBefore w:w="0" w:type="auto"/>
          <w:tblCellSpacing w:w="0" w:type="dxa"/>
        </w:trPr>
        <w:tc>
          <w:tcPr>
            <w:tcW w:w="0" w:type="auto"/>
            <w:noWrap w:val="0"/>
            <w:vAlign w:val="center"/>
          </w:tcPr>
          <w:p w14:paraId="3A573D61">
            <w:r>
              <w:rPr>
                <w:rFonts w:hint="eastAsia"/>
              </w:rPr>
              <w:t xml:space="preserve">有效成分及其含量： </w:t>
            </w:r>
          </w:p>
          <w:p w14:paraId="692916FB">
            <w:r>
              <w:rPr>
                <w:rFonts w:hint="eastAsia"/>
              </w:rPr>
              <w:t xml:space="preserve">    吡虫啉2.5%    </w:t>
            </w:r>
          </w:p>
        </w:tc>
      </w:tr>
      <w:tr w14:paraId="1A857EEC">
        <w:tblPrEx>
          <w:tblCellMar>
            <w:top w:w="0" w:type="dxa"/>
            <w:left w:w="0" w:type="dxa"/>
            <w:bottom w:w="0" w:type="dxa"/>
            <w:right w:w="0" w:type="dxa"/>
          </w:tblCellMar>
        </w:tblPrEx>
        <w:trPr>
          <w:wBefore w:w="0" w:type="auto"/>
          <w:tblCellSpacing w:w="0" w:type="dxa"/>
        </w:trPr>
        <w:tc>
          <w:tcPr>
            <w:tcW w:w="0" w:type="auto"/>
            <w:noWrap w:val="0"/>
            <w:vAlign w:val="center"/>
          </w:tcPr>
          <w:p w14:paraId="537B4FA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27754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689B91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DD79C7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A8B5C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DE0453">
                  <w:r>
                    <w:rPr>
                      <w:rStyle w:val="11"/>
                      <w:rFonts w:hint="eastAsia"/>
                    </w:rPr>
                    <w:t>施用方式</w:t>
                  </w:r>
                </w:p>
              </w:tc>
            </w:tr>
            <w:tr w14:paraId="7E5252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415A4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CDF015">
                  <w:r>
                    <w:rPr>
                      <w:rStyle w:val="11"/>
                      <w:rFonts w:hint="eastAsia"/>
                    </w:rPr>
                    <w:t>蚂蚁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F6678C">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EED652">
                  <w:r>
                    <w:rPr>
                      <w:rStyle w:val="11"/>
                      <w:rFonts w:hint="eastAsia"/>
                    </w:rPr>
                    <w:t>投放</w:t>
                  </w:r>
                </w:p>
              </w:tc>
            </w:tr>
            <w:tr w14:paraId="2210FE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6D70F4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796FE5">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8FFA5D">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E6F5AF">
                  <w:r>
                    <w:rPr>
                      <w:rStyle w:val="11"/>
                      <w:rFonts w:hint="eastAsia"/>
                    </w:rPr>
                    <w:t>投放</w:t>
                  </w:r>
                </w:p>
              </w:tc>
            </w:tr>
          </w:tbl>
          <w:p w14:paraId="4C4AA7C9">
            <w:pPr>
              <w:rPr>
                <w:rFonts w:ascii="Times New Roman" w:hAnsi="Times New Roman" w:cs="Times New Roman"/>
                <w:sz w:val="20"/>
                <w:szCs w:val="20"/>
              </w:rPr>
            </w:pPr>
          </w:p>
        </w:tc>
      </w:tr>
      <w:tr w14:paraId="73A31298">
        <w:tblPrEx>
          <w:tblCellMar>
            <w:top w:w="0" w:type="dxa"/>
            <w:left w:w="0" w:type="dxa"/>
            <w:bottom w:w="0" w:type="dxa"/>
            <w:right w:w="0" w:type="dxa"/>
          </w:tblCellMar>
        </w:tblPrEx>
        <w:trPr>
          <w:wBefore w:w="0" w:type="auto"/>
          <w:tblCellSpacing w:w="0" w:type="dxa"/>
        </w:trPr>
        <w:tc>
          <w:tcPr>
            <w:tcW w:w="0" w:type="auto"/>
            <w:noWrap w:val="0"/>
            <w:vAlign w:val="center"/>
          </w:tcPr>
          <w:p w14:paraId="2D9AD36E">
            <w:r>
              <w:rPr>
                <w:rStyle w:val="10"/>
                <w:rFonts w:hint="eastAsia"/>
              </w:rPr>
              <w:t>使用技术要求:</w:t>
            </w:r>
            <w:r>
              <w:rPr>
                <w:rFonts w:hint="eastAsia"/>
              </w:rPr>
              <w:br w:type="textWrapping"/>
            </w:r>
            <w:r>
              <w:rPr>
                <w:rStyle w:val="11"/>
                <w:rFonts w:hint="eastAsia"/>
              </w:rPr>
              <w:t>将饵剂均匀撒洒在纸张、器皿或纸盒内，置于蚂蚁、蜚蠊聚集出没与藏匿的地方，比如墙角阴暗处、抽屉、墙角、过道等。每小袋投放3-4个点为宜。用于灭蟑螂时加啤酒或者水使成为糊状，涂于蟑螂出没处。建议5天后再投放一次。</w:t>
            </w:r>
          </w:p>
        </w:tc>
      </w:tr>
      <w:tr w14:paraId="3999E823">
        <w:tblPrEx>
          <w:tblCellMar>
            <w:top w:w="0" w:type="dxa"/>
            <w:left w:w="0" w:type="dxa"/>
            <w:bottom w:w="0" w:type="dxa"/>
            <w:right w:w="0" w:type="dxa"/>
          </w:tblCellMar>
        </w:tblPrEx>
        <w:trPr>
          <w:wBefore w:w="0" w:type="auto"/>
          <w:tblCellSpacing w:w="0" w:type="dxa"/>
        </w:trPr>
        <w:tc>
          <w:tcPr>
            <w:tcW w:w="0" w:type="auto"/>
            <w:noWrap w:val="0"/>
            <w:vAlign w:val="center"/>
          </w:tcPr>
          <w:p w14:paraId="43A2D2D2">
            <w:r>
              <w:rPr>
                <w:rStyle w:val="10"/>
                <w:rFonts w:hint="eastAsia"/>
              </w:rPr>
              <w:t>产品性能:</w:t>
            </w:r>
            <w:r>
              <w:rPr>
                <w:rFonts w:hint="eastAsia"/>
              </w:rPr>
              <w:br w:type="textWrapping"/>
            </w:r>
            <w:r>
              <w:rPr>
                <w:rStyle w:val="11"/>
                <w:rFonts w:hint="eastAsia"/>
              </w:rPr>
              <w:t>本品使用强力引诱剂，对蚂蚁、蜚蠊均有连锁的诱杀效果，可广泛使用于饭店、宾馆、工厂、市场、家庭等有蚂蚁、蜚蠊出没场所。</w:t>
            </w:r>
          </w:p>
        </w:tc>
      </w:tr>
      <w:tr w14:paraId="62070D56">
        <w:tblPrEx>
          <w:tblCellMar>
            <w:top w:w="0" w:type="dxa"/>
            <w:left w:w="0" w:type="dxa"/>
            <w:bottom w:w="0" w:type="dxa"/>
            <w:right w:w="0" w:type="dxa"/>
          </w:tblCellMar>
        </w:tblPrEx>
        <w:trPr>
          <w:wBefore w:w="0" w:type="auto"/>
          <w:tblCellSpacing w:w="0" w:type="dxa"/>
        </w:trPr>
        <w:tc>
          <w:tcPr>
            <w:tcW w:w="0" w:type="auto"/>
            <w:noWrap w:val="0"/>
            <w:vAlign w:val="center"/>
          </w:tcPr>
          <w:p w14:paraId="42D5D366">
            <w:r>
              <w:rPr>
                <w:rStyle w:val="10"/>
                <w:rFonts w:hint="eastAsia"/>
              </w:rPr>
              <w:t>注意事项：</w:t>
            </w:r>
            <w:r>
              <w:rPr>
                <w:rFonts w:hint="eastAsia"/>
              </w:rPr>
              <w:br w:type="textWrapping"/>
            </w:r>
            <w:r>
              <w:rPr>
                <w:rStyle w:val="11"/>
                <w:rFonts w:hint="eastAsia"/>
              </w:rPr>
              <w:t>置于阴凉通风干燥处，避免与皮肤、眼睛接触，防止由口鼻吸入，避免儿童及宠物误服，远离食物、饲料、种子。孕妇及哺乳期妇女禁止接触。</w:t>
            </w:r>
          </w:p>
        </w:tc>
      </w:tr>
      <w:tr w14:paraId="5F4A14D5">
        <w:tblPrEx>
          <w:tblCellMar>
            <w:top w:w="0" w:type="dxa"/>
            <w:left w:w="0" w:type="dxa"/>
            <w:bottom w:w="0" w:type="dxa"/>
            <w:right w:w="0" w:type="dxa"/>
          </w:tblCellMar>
        </w:tblPrEx>
        <w:trPr>
          <w:wBefore w:w="0" w:type="auto"/>
          <w:tblCellSpacing w:w="0" w:type="dxa"/>
        </w:trPr>
        <w:tc>
          <w:tcPr>
            <w:tcW w:w="0" w:type="auto"/>
            <w:noWrap w:val="0"/>
            <w:vAlign w:val="center"/>
          </w:tcPr>
          <w:p w14:paraId="7A22F517">
            <w:r>
              <w:rPr>
                <w:rStyle w:val="10"/>
                <w:rFonts w:hint="eastAsia"/>
              </w:rPr>
              <w:t>中毒急救措施：</w:t>
            </w:r>
            <w:r>
              <w:rPr>
                <w:rFonts w:hint="eastAsia"/>
              </w:rPr>
              <w:br w:type="textWrapping"/>
            </w:r>
            <w:r>
              <w:rPr>
                <w:rStyle w:val="11"/>
                <w:rFonts w:hint="eastAsia"/>
              </w:rPr>
              <w:t>对眼睛有刺激性，使用时避免药液接触眼睛。不慎吸入，应将病人移到通风处。不慎接触皮肤或溅入眼睛中，应用大量水冲洗至少15分钟。若误服应立即送医院抢救，无特殊解毒剂，可对症治疗。</w:t>
            </w:r>
          </w:p>
        </w:tc>
      </w:tr>
      <w:tr w14:paraId="4AE3D15E">
        <w:tblPrEx>
          <w:tblCellMar>
            <w:top w:w="0" w:type="dxa"/>
            <w:left w:w="0" w:type="dxa"/>
            <w:bottom w:w="0" w:type="dxa"/>
            <w:right w:w="0" w:type="dxa"/>
          </w:tblCellMar>
        </w:tblPrEx>
        <w:trPr>
          <w:wBefore w:w="0" w:type="auto"/>
          <w:tblCellSpacing w:w="0" w:type="dxa"/>
        </w:trPr>
        <w:tc>
          <w:tcPr>
            <w:tcW w:w="0" w:type="auto"/>
            <w:noWrap w:val="0"/>
            <w:vAlign w:val="center"/>
          </w:tcPr>
          <w:p w14:paraId="783C0434">
            <w:r>
              <w:rPr>
                <w:rStyle w:val="10"/>
                <w:rFonts w:hint="eastAsia"/>
              </w:rPr>
              <w:t>储存和运输方法：</w:t>
            </w:r>
            <w:r>
              <w:rPr>
                <w:rFonts w:hint="eastAsia"/>
              </w:rPr>
              <w:br w:type="textWrapping"/>
            </w:r>
            <w:r>
              <w:rPr>
                <w:rStyle w:val="11"/>
                <w:rFonts w:hint="eastAsia"/>
              </w:rPr>
              <w:t>储存于通风阴凉干燥的库房中，运输时，不得与食物、饲料、粮食、饲料混放。</w:t>
            </w:r>
          </w:p>
        </w:tc>
      </w:tr>
      <w:tr w14:paraId="7F42DD4A">
        <w:tblPrEx>
          <w:tblCellMar>
            <w:top w:w="0" w:type="dxa"/>
            <w:left w:w="0" w:type="dxa"/>
            <w:bottom w:w="0" w:type="dxa"/>
            <w:right w:w="0" w:type="dxa"/>
          </w:tblCellMar>
        </w:tblPrEx>
        <w:trPr>
          <w:wBefore w:w="0" w:type="auto"/>
          <w:tblCellSpacing w:w="0" w:type="dxa"/>
        </w:trPr>
        <w:tc>
          <w:tcPr>
            <w:tcW w:w="0" w:type="auto"/>
            <w:noWrap w:val="0"/>
            <w:vAlign w:val="center"/>
          </w:tcPr>
          <w:p w14:paraId="7BBB3365">
            <w:r>
              <w:rPr>
                <w:rStyle w:val="10"/>
                <w:rFonts w:hint="eastAsia"/>
              </w:rPr>
              <w:t>质量保证期：</w:t>
            </w:r>
            <w:r>
              <w:rPr>
                <w:rStyle w:val="11"/>
                <w:rFonts w:hint="eastAsia"/>
              </w:rPr>
              <w:t>2年</w:t>
            </w:r>
          </w:p>
        </w:tc>
      </w:tr>
      <w:tr w14:paraId="3AE946D8">
        <w:tblPrEx>
          <w:tblCellMar>
            <w:top w:w="0" w:type="dxa"/>
            <w:left w:w="0" w:type="dxa"/>
            <w:bottom w:w="0" w:type="dxa"/>
            <w:right w:w="0" w:type="dxa"/>
          </w:tblCellMar>
        </w:tblPrEx>
        <w:trPr>
          <w:wBefore w:w="0" w:type="auto"/>
          <w:tblCellSpacing w:w="0" w:type="dxa"/>
        </w:trPr>
        <w:tc>
          <w:tcPr>
            <w:tcW w:w="0" w:type="auto"/>
            <w:noWrap w:val="0"/>
            <w:vAlign w:val="center"/>
          </w:tcPr>
          <w:p w14:paraId="4DDFF1F4">
            <w:r>
              <w:rPr>
                <w:rStyle w:val="10"/>
                <w:rFonts w:hint="eastAsia"/>
              </w:rPr>
              <w:t>备注：</w:t>
            </w:r>
          </w:p>
        </w:tc>
      </w:tr>
    </w:tbl>
    <w:p w14:paraId="57241E3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9BD9962">
        <w:tblPrEx>
          <w:tblCellMar>
            <w:top w:w="0" w:type="dxa"/>
            <w:left w:w="0" w:type="dxa"/>
            <w:bottom w:w="0" w:type="dxa"/>
            <w:right w:w="0" w:type="dxa"/>
          </w:tblCellMar>
        </w:tblPrEx>
        <w:trPr>
          <w:wBefore w:w="0" w:type="auto"/>
          <w:tblCellSpacing w:w="0" w:type="dxa"/>
        </w:trPr>
        <w:tc>
          <w:tcPr>
            <w:tcW w:w="0" w:type="auto"/>
            <w:noWrap w:val="0"/>
            <w:vAlign w:val="center"/>
          </w:tcPr>
          <w:p w14:paraId="22893B04">
            <w:r>
              <w:rPr>
                <w:rStyle w:val="10"/>
                <w:rFonts w:hint="eastAsia"/>
              </w:rPr>
              <w:t>登记证号：</w:t>
            </w:r>
            <w:r>
              <w:rPr>
                <w:rFonts w:hint="eastAsia"/>
              </w:rPr>
              <w:t>PD20211769</w:t>
            </w:r>
          </w:p>
        </w:tc>
      </w:tr>
      <w:tr w14:paraId="1DDF1796">
        <w:tblPrEx>
          <w:tblCellMar>
            <w:top w:w="0" w:type="dxa"/>
            <w:left w:w="0" w:type="dxa"/>
            <w:bottom w:w="0" w:type="dxa"/>
            <w:right w:w="0" w:type="dxa"/>
          </w:tblCellMar>
        </w:tblPrEx>
        <w:trPr>
          <w:wBefore w:w="0" w:type="auto"/>
          <w:tblCellSpacing w:w="0" w:type="dxa"/>
        </w:trPr>
        <w:tc>
          <w:tcPr>
            <w:tcW w:w="0" w:type="auto"/>
            <w:noWrap w:val="0"/>
            <w:vAlign w:val="center"/>
          </w:tcPr>
          <w:p w14:paraId="57E52162">
            <w:r>
              <w:rPr>
                <w:rStyle w:val="10"/>
                <w:rFonts w:hint="eastAsia"/>
              </w:rPr>
              <w:t>登记证持有人：</w:t>
            </w:r>
            <w:r>
              <w:rPr>
                <w:rFonts w:hint="eastAsia"/>
              </w:rPr>
              <w:t>新乡市莱恩坪安园林有限公司</w:t>
            </w:r>
          </w:p>
        </w:tc>
      </w:tr>
      <w:tr w14:paraId="03691F34">
        <w:tblPrEx>
          <w:tblCellMar>
            <w:top w:w="0" w:type="dxa"/>
            <w:left w:w="0" w:type="dxa"/>
            <w:bottom w:w="0" w:type="dxa"/>
            <w:right w:w="0" w:type="dxa"/>
          </w:tblCellMar>
        </w:tblPrEx>
        <w:trPr>
          <w:wBefore w:w="0" w:type="auto"/>
          <w:tblCellSpacing w:w="0" w:type="dxa"/>
        </w:trPr>
        <w:tc>
          <w:tcPr>
            <w:tcW w:w="0" w:type="auto"/>
            <w:noWrap w:val="0"/>
            <w:vAlign w:val="center"/>
          </w:tcPr>
          <w:p w14:paraId="45F69019">
            <w:r>
              <w:rPr>
                <w:rStyle w:val="10"/>
                <w:rFonts w:hint="eastAsia"/>
              </w:rPr>
              <w:t>农药名称：</w:t>
            </w:r>
            <w:r>
              <w:rPr>
                <w:rFonts w:hint="eastAsia"/>
              </w:rPr>
              <w:t>氟啶虫酰胺·联苯菊酯</w:t>
            </w:r>
          </w:p>
        </w:tc>
      </w:tr>
      <w:tr w14:paraId="7A3C7205">
        <w:tblPrEx>
          <w:tblCellMar>
            <w:top w:w="0" w:type="dxa"/>
            <w:left w:w="0" w:type="dxa"/>
            <w:bottom w:w="0" w:type="dxa"/>
            <w:right w:w="0" w:type="dxa"/>
          </w:tblCellMar>
        </w:tblPrEx>
        <w:trPr>
          <w:wBefore w:w="0" w:type="auto"/>
          <w:tblCellSpacing w:w="0" w:type="dxa"/>
        </w:trPr>
        <w:tc>
          <w:tcPr>
            <w:tcW w:w="0" w:type="auto"/>
            <w:noWrap w:val="0"/>
            <w:vAlign w:val="center"/>
          </w:tcPr>
          <w:p w14:paraId="67AF5648">
            <w:r>
              <w:rPr>
                <w:rStyle w:val="10"/>
                <w:rFonts w:hint="eastAsia"/>
              </w:rPr>
              <w:t>剂型：</w:t>
            </w:r>
            <w:r>
              <w:rPr>
                <w:rFonts w:hint="eastAsia"/>
              </w:rPr>
              <w:t>悬浮剂</w:t>
            </w:r>
          </w:p>
        </w:tc>
      </w:tr>
      <w:tr w14:paraId="760C1BE1">
        <w:tblPrEx>
          <w:tblCellMar>
            <w:top w:w="0" w:type="dxa"/>
            <w:left w:w="0" w:type="dxa"/>
            <w:bottom w:w="0" w:type="dxa"/>
            <w:right w:w="0" w:type="dxa"/>
          </w:tblCellMar>
        </w:tblPrEx>
        <w:trPr>
          <w:wBefore w:w="0" w:type="auto"/>
          <w:tblCellSpacing w:w="0" w:type="dxa"/>
        </w:trPr>
        <w:tc>
          <w:tcPr>
            <w:tcW w:w="0" w:type="auto"/>
            <w:noWrap w:val="0"/>
            <w:vAlign w:val="center"/>
          </w:tcPr>
          <w:p w14:paraId="27A511D8">
            <w:r>
              <w:rPr>
                <w:rStyle w:val="10"/>
                <w:rFonts w:hint="eastAsia"/>
              </w:rPr>
              <w:t>毒性及其标识：</w:t>
            </w:r>
            <w:r>
              <w:rPr>
                <w:rFonts w:hint="eastAsia"/>
              </w:rPr>
              <w:t xml:space="preserve"> </w:t>
            </w:r>
            <w:r>
              <w:rPr>
                <w:lang/>
              </w:rPr>
              <w:drawing>
                <wp:inline distT="0" distB="0" distL="114300" distR="114300">
                  <wp:extent cx="476250" cy="323850"/>
                  <wp:effectExtent l="0" t="0" r="0" b="0"/>
                  <wp:docPr id="205" name="图片 20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3EDF4C8">
        <w:tblPrEx>
          <w:tblCellMar>
            <w:top w:w="0" w:type="dxa"/>
            <w:left w:w="0" w:type="dxa"/>
            <w:bottom w:w="0" w:type="dxa"/>
            <w:right w:w="0" w:type="dxa"/>
          </w:tblCellMar>
        </w:tblPrEx>
        <w:trPr>
          <w:wBefore w:w="0" w:type="auto"/>
          <w:tblCellSpacing w:w="0" w:type="dxa"/>
        </w:trPr>
        <w:tc>
          <w:tcPr>
            <w:tcW w:w="0" w:type="auto"/>
            <w:noWrap w:val="0"/>
            <w:vAlign w:val="center"/>
          </w:tcPr>
          <w:p w14:paraId="1E958F28">
            <w:r>
              <w:rPr>
                <w:rStyle w:val="10"/>
                <w:rFonts w:hint="eastAsia"/>
              </w:rPr>
              <w:t>总有效成分含量：</w:t>
            </w:r>
            <w:r>
              <w:rPr>
                <w:rFonts w:hint="eastAsia"/>
              </w:rPr>
              <w:t>15%</w:t>
            </w:r>
          </w:p>
        </w:tc>
      </w:tr>
      <w:tr w14:paraId="3B3E9CE0">
        <w:tblPrEx>
          <w:tblCellMar>
            <w:top w:w="0" w:type="dxa"/>
            <w:left w:w="0" w:type="dxa"/>
            <w:bottom w:w="0" w:type="dxa"/>
            <w:right w:w="0" w:type="dxa"/>
          </w:tblCellMar>
        </w:tblPrEx>
        <w:trPr>
          <w:wBefore w:w="0" w:type="auto"/>
          <w:tblCellSpacing w:w="0" w:type="dxa"/>
        </w:trPr>
        <w:tc>
          <w:tcPr>
            <w:tcW w:w="0" w:type="auto"/>
            <w:noWrap w:val="0"/>
            <w:vAlign w:val="center"/>
          </w:tcPr>
          <w:p w14:paraId="3310C7CB">
            <w:r>
              <w:rPr>
                <w:rFonts w:hint="eastAsia"/>
              </w:rPr>
              <w:t xml:space="preserve">有效成分及其含量： </w:t>
            </w:r>
          </w:p>
          <w:p w14:paraId="1E52DFB3">
            <w:r>
              <w:rPr>
                <w:rFonts w:hint="eastAsia"/>
              </w:rPr>
              <w:t xml:space="preserve">    氟啶虫酰胺10%    联苯菊酯5%    </w:t>
            </w:r>
          </w:p>
        </w:tc>
      </w:tr>
      <w:tr w14:paraId="6291694F">
        <w:tblPrEx>
          <w:tblCellMar>
            <w:top w:w="0" w:type="dxa"/>
            <w:left w:w="0" w:type="dxa"/>
            <w:bottom w:w="0" w:type="dxa"/>
            <w:right w:w="0" w:type="dxa"/>
          </w:tblCellMar>
        </w:tblPrEx>
        <w:trPr>
          <w:wBefore w:w="0" w:type="auto"/>
          <w:tblCellSpacing w:w="0" w:type="dxa"/>
        </w:trPr>
        <w:tc>
          <w:tcPr>
            <w:tcW w:w="0" w:type="auto"/>
            <w:noWrap w:val="0"/>
            <w:vAlign w:val="center"/>
          </w:tcPr>
          <w:p w14:paraId="200CD33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F3E95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C6B18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7062CC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4126A7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95A4452">
                  <w:r>
                    <w:rPr>
                      <w:rStyle w:val="11"/>
                      <w:rFonts w:hint="eastAsia"/>
                    </w:rPr>
                    <w:t>施用方式</w:t>
                  </w:r>
                </w:p>
              </w:tc>
            </w:tr>
            <w:tr w14:paraId="535A6E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DACA445">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F0B2F7">
                  <w:r>
                    <w:rPr>
                      <w:rStyle w:val="11"/>
                      <w:rFonts w:hint="eastAsia"/>
                    </w:rPr>
                    <w:t>桃蚜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CFEB93">
                  <w:r>
                    <w:rPr>
                      <w:rStyle w:val="11"/>
                      <w:rFonts w:hint="eastAsia"/>
                    </w:rPr>
                    <w:t>4000-5000倍液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08D715">
                  <w:r>
                    <w:rPr>
                      <w:rStyle w:val="11"/>
                      <w:rFonts w:hint="eastAsia"/>
                    </w:rPr>
                    <w:t>喷雾</w:t>
                  </w:r>
                </w:p>
              </w:tc>
            </w:tr>
          </w:tbl>
          <w:p w14:paraId="0052A500">
            <w:pPr>
              <w:rPr>
                <w:rFonts w:ascii="Times New Roman" w:hAnsi="Times New Roman" w:cs="Times New Roman"/>
                <w:sz w:val="20"/>
                <w:szCs w:val="20"/>
              </w:rPr>
            </w:pPr>
          </w:p>
        </w:tc>
      </w:tr>
      <w:tr w14:paraId="18B86AAC">
        <w:tblPrEx>
          <w:tblCellMar>
            <w:top w:w="0" w:type="dxa"/>
            <w:left w:w="0" w:type="dxa"/>
            <w:bottom w:w="0" w:type="dxa"/>
            <w:right w:w="0" w:type="dxa"/>
          </w:tblCellMar>
        </w:tblPrEx>
        <w:trPr>
          <w:wBefore w:w="0" w:type="auto"/>
          <w:tblCellSpacing w:w="0" w:type="dxa"/>
        </w:trPr>
        <w:tc>
          <w:tcPr>
            <w:tcW w:w="0" w:type="auto"/>
            <w:noWrap w:val="0"/>
            <w:vAlign w:val="center"/>
          </w:tcPr>
          <w:p w14:paraId="779E394E">
            <w:r>
              <w:rPr>
                <w:rStyle w:val="10"/>
                <w:rFonts w:hint="eastAsia"/>
              </w:rPr>
              <w:t>使用技术要求:</w:t>
            </w:r>
            <w:r>
              <w:rPr>
                <w:rFonts w:hint="eastAsia"/>
              </w:rPr>
              <w:br w:type="textWrapping"/>
            </w:r>
            <w:r>
              <w:rPr>
                <w:rStyle w:val="11"/>
                <w:rFonts w:hint="eastAsia"/>
              </w:rPr>
              <w:t>1．本品应于桃树桃蚜发生前或始盛期施药，注意喷雾均匀、周到，以确保防效。 2．本品在桃树上使用时的安全间隔期为14天，每季作物最多使用1次。 3．大风天或预计1小时内降雨，请勿施药。</w:t>
            </w:r>
          </w:p>
        </w:tc>
      </w:tr>
      <w:tr w14:paraId="593B43AA">
        <w:tblPrEx>
          <w:tblCellMar>
            <w:top w:w="0" w:type="dxa"/>
            <w:left w:w="0" w:type="dxa"/>
            <w:bottom w:w="0" w:type="dxa"/>
            <w:right w:w="0" w:type="dxa"/>
          </w:tblCellMar>
        </w:tblPrEx>
        <w:trPr>
          <w:wBefore w:w="0" w:type="auto"/>
          <w:tblCellSpacing w:w="0" w:type="dxa"/>
        </w:trPr>
        <w:tc>
          <w:tcPr>
            <w:tcW w:w="0" w:type="auto"/>
            <w:noWrap w:val="0"/>
            <w:vAlign w:val="center"/>
          </w:tcPr>
          <w:p w14:paraId="49CDB3B7">
            <w:r>
              <w:rPr>
                <w:rStyle w:val="10"/>
                <w:rFonts w:hint="eastAsia"/>
              </w:rPr>
              <w:t>产品性能:</w:t>
            </w:r>
            <w:r>
              <w:rPr>
                <w:rFonts w:hint="eastAsia"/>
              </w:rPr>
              <w:br w:type="textWrapping"/>
            </w:r>
            <w:r>
              <w:rPr>
                <w:rStyle w:val="11"/>
                <w:rFonts w:hint="eastAsia"/>
              </w:rPr>
              <w:t>联苯菊酯属拟除虫菊酯类杀虫剂，具有触杀、胃毒作用，杀虫谱广、作用迅速。氟啶虫酰胺是一种新型低毒吡啶酰胺类昆虫生长调节剂类杀虫剂，除具有触杀和胃毒作用，还具有很好的神经毒剂和快速拒食作用。该产品可以使得两种药剂的速效性和持效性产生互补效果，降低单剂的用药量，有效提高防治效果。</w:t>
            </w:r>
          </w:p>
        </w:tc>
      </w:tr>
      <w:tr w14:paraId="5D8E411C">
        <w:tblPrEx>
          <w:tblCellMar>
            <w:top w:w="0" w:type="dxa"/>
            <w:left w:w="0" w:type="dxa"/>
            <w:bottom w:w="0" w:type="dxa"/>
            <w:right w:w="0" w:type="dxa"/>
          </w:tblCellMar>
        </w:tblPrEx>
        <w:trPr>
          <w:wBefore w:w="0" w:type="auto"/>
          <w:tblCellSpacing w:w="0" w:type="dxa"/>
        </w:trPr>
        <w:tc>
          <w:tcPr>
            <w:tcW w:w="0" w:type="auto"/>
            <w:noWrap w:val="0"/>
            <w:vAlign w:val="center"/>
          </w:tcPr>
          <w:p w14:paraId="14BB8075">
            <w:r>
              <w:rPr>
                <w:rStyle w:val="10"/>
                <w:rFonts w:hint="eastAsia"/>
              </w:rPr>
              <w:t>注意事项：</w:t>
            </w:r>
            <w:r>
              <w:rPr>
                <w:rFonts w:hint="eastAsia"/>
              </w:rPr>
              <w:br w:type="textWrapping"/>
            </w:r>
            <w:r>
              <w:rPr>
                <w:rStyle w:val="11"/>
                <w:rFonts w:hint="eastAsia"/>
              </w:rPr>
              <w:t>1. 本品不可与呈碱性的农药等物质混合使用。2.使用本品时应穿戴防护服和手套、口罩等，避免皮肤接触及口鼻吸入药液。施药期间不可吃东西和饮水，施药后应及时洗手和洗脸。3.本品对蜜蜂、鱼等水生生物、家蚕有毒，施药期间避免对周围蜂群的影响、蜜源/粉源植物花期、蚕室和桑园附近禁用。远离水产养殖区、河塘等水体附近施药，避免药液污染水源，禁止在河塘等水域中清洗施药器具。赤眼蜂等天敌放飞区域禁用。4.用过的容器应妥善处理，不可做他用，也不可随意丢弃。5.孕妇及哺乳期妇女应避免接触本品。6.建议与其他作用机制不同的杀虫剂轮换使用，以延缓抗性的产生。</w:t>
            </w:r>
          </w:p>
        </w:tc>
      </w:tr>
      <w:tr w14:paraId="3991607D">
        <w:tblPrEx>
          <w:tblCellMar>
            <w:top w:w="0" w:type="dxa"/>
            <w:left w:w="0" w:type="dxa"/>
            <w:bottom w:w="0" w:type="dxa"/>
            <w:right w:w="0" w:type="dxa"/>
          </w:tblCellMar>
        </w:tblPrEx>
        <w:trPr>
          <w:wBefore w:w="0" w:type="auto"/>
          <w:tblCellSpacing w:w="0" w:type="dxa"/>
        </w:trPr>
        <w:tc>
          <w:tcPr>
            <w:tcW w:w="0" w:type="auto"/>
            <w:noWrap w:val="0"/>
            <w:vAlign w:val="center"/>
          </w:tcPr>
          <w:p w14:paraId="3FAC6128">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2.皮肤接触：立即脱掉被污染的衣物，用大量清水冲洗被污染的皮肤，再用肥皂清洗，然后用清水冲净。3.眼睛溅药：立即将眼睑翻开，用清水冲洗至少15分钟，再请医生诊治。4. 发生吸入：立即将吸入者转移到空气新鲜处，如果吸入者停止呼吸，需进行人工呼吸。请医生诊治。5. 误服：请勿引吐，立即携此标签，送医就诊。</w:t>
            </w:r>
          </w:p>
        </w:tc>
      </w:tr>
      <w:tr w14:paraId="411A14F7">
        <w:tblPrEx>
          <w:tblCellMar>
            <w:top w:w="0" w:type="dxa"/>
            <w:left w:w="0" w:type="dxa"/>
            <w:bottom w:w="0" w:type="dxa"/>
            <w:right w:w="0" w:type="dxa"/>
          </w:tblCellMar>
        </w:tblPrEx>
        <w:trPr>
          <w:wBefore w:w="0" w:type="auto"/>
          <w:tblCellSpacing w:w="0" w:type="dxa"/>
        </w:trPr>
        <w:tc>
          <w:tcPr>
            <w:tcW w:w="0" w:type="auto"/>
            <w:noWrap w:val="0"/>
            <w:vAlign w:val="center"/>
          </w:tcPr>
          <w:p w14:paraId="43DF0C5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本品应贮存在干燥、阴凉、通风、防雨处，远离火源或热源。置于儿童、无关人员及动物触及不到之处，并加锁保存。勿与食品、饮料、饲料、粮食等其他商品同贮同运。</w:t>
            </w:r>
          </w:p>
        </w:tc>
      </w:tr>
      <w:tr w14:paraId="6494C9E5">
        <w:tblPrEx>
          <w:tblCellMar>
            <w:top w:w="0" w:type="dxa"/>
            <w:left w:w="0" w:type="dxa"/>
            <w:bottom w:w="0" w:type="dxa"/>
            <w:right w:w="0" w:type="dxa"/>
          </w:tblCellMar>
        </w:tblPrEx>
        <w:trPr>
          <w:wBefore w:w="0" w:type="auto"/>
          <w:tblCellSpacing w:w="0" w:type="dxa"/>
        </w:trPr>
        <w:tc>
          <w:tcPr>
            <w:tcW w:w="0" w:type="auto"/>
            <w:noWrap w:val="0"/>
            <w:vAlign w:val="center"/>
          </w:tcPr>
          <w:p w14:paraId="07ED67C6">
            <w:r>
              <w:rPr>
                <w:rStyle w:val="10"/>
                <w:rFonts w:hint="eastAsia"/>
              </w:rPr>
              <w:t>质量保证期：</w:t>
            </w:r>
            <w:r>
              <w:rPr>
                <w:rStyle w:val="11"/>
                <w:rFonts w:hint="eastAsia"/>
              </w:rPr>
              <w:t>2年</w:t>
            </w:r>
          </w:p>
        </w:tc>
      </w:tr>
      <w:tr w14:paraId="256184C5">
        <w:tblPrEx>
          <w:tblCellMar>
            <w:top w:w="0" w:type="dxa"/>
            <w:left w:w="0" w:type="dxa"/>
            <w:bottom w:w="0" w:type="dxa"/>
            <w:right w:w="0" w:type="dxa"/>
          </w:tblCellMar>
        </w:tblPrEx>
        <w:trPr>
          <w:wBefore w:w="0" w:type="auto"/>
          <w:tblCellSpacing w:w="0" w:type="dxa"/>
        </w:trPr>
        <w:tc>
          <w:tcPr>
            <w:tcW w:w="0" w:type="auto"/>
            <w:noWrap w:val="0"/>
            <w:vAlign w:val="center"/>
          </w:tcPr>
          <w:p w14:paraId="51B8E5C2">
            <w:r>
              <w:rPr>
                <w:rStyle w:val="10"/>
                <w:rFonts w:hint="eastAsia"/>
              </w:rPr>
              <w:t>备注：</w:t>
            </w:r>
          </w:p>
        </w:tc>
      </w:tr>
    </w:tbl>
    <w:p w14:paraId="3EC3A7C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08047E1">
        <w:tblPrEx>
          <w:tblCellMar>
            <w:top w:w="0" w:type="dxa"/>
            <w:left w:w="0" w:type="dxa"/>
            <w:bottom w:w="0" w:type="dxa"/>
            <w:right w:w="0" w:type="dxa"/>
          </w:tblCellMar>
        </w:tblPrEx>
        <w:trPr>
          <w:wBefore w:w="0" w:type="auto"/>
          <w:tblCellSpacing w:w="0" w:type="dxa"/>
        </w:trPr>
        <w:tc>
          <w:tcPr>
            <w:tcW w:w="0" w:type="auto"/>
            <w:noWrap w:val="0"/>
            <w:vAlign w:val="center"/>
          </w:tcPr>
          <w:p w14:paraId="4936E66B">
            <w:r>
              <w:rPr>
                <w:rStyle w:val="10"/>
                <w:rFonts w:hint="eastAsia"/>
              </w:rPr>
              <w:t>登记证号：</w:t>
            </w:r>
            <w:r>
              <w:rPr>
                <w:rFonts w:hint="eastAsia"/>
              </w:rPr>
              <w:t>WP20210204</w:t>
            </w:r>
          </w:p>
        </w:tc>
      </w:tr>
      <w:tr w14:paraId="2A495872">
        <w:tblPrEx>
          <w:tblCellMar>
            <w:top w:w="0" w:type="dxa"/>
            <w:left w:w="0" w:type="dxa"/>
            <w:bottom w:w="0" w:type="dxa"/>
            <w:right w:w="0" w:type="dxa"/>
          </w:tblCellMar>
        </w:tblPrEx>
        <w:trPr>
          <w:wBefore w:w="0" w:type="auto"/>
          <w:tblCellSpacing w:w="0" w:type="dxa"/>
        </w:trPr>
        <w:tc>
          <w:tcPr>
            <w:tcW w:w="0" w:type="auto"/>
            <w:noWrap w:val="0"/>
            <w:vAlign w:val="center"/>
          </w:tcPr>
          <w:p w14:paraId="2A40D56C">
            <w:r>
              <w:rPr>
                <w:rStyle w:val="10"/>
                <w:rFonts w:hint="eastAsia"/>
              </w:rPr>
              <w:t>登记证持有人：</w:t>
            </w:r>
            <w:r>
              <w:rPr>
                <w:rFonts w:hint="eastAsia"/>
              </w:rPr>
              <w:t>广西发昌香业有限公司</w:t>
            </w:r>
          </w:p>
        </w:tc>
      </w:tr>
      <w:tr w14:paraId="5AF2D64F">
        <w:tblPrEx>
          <w:tblCellMar>
            <w:top w:w="0" w:type="dxa"/>
            <w:left w:w="0" w:type="dxa"/>
            <w:bottom w:w="0" w:type="dxa"/>
            <w:right w:w="0" w:type="dxa"/>
          </w:tblCellMar>
        </w:tblPrEx>
        <w:trPr>
          <w:wBefore w:w="0" w:type="auto"/>
          <w:tblCellSpacing w:w="0" w:type="dxa"/>
        </w:trPr>
        <w:tc>
          <w:tcPr>
            <w:tcW w:w="0" w:type="auto"/>
            <w:noWrap w:val="0"/>
            <w:vAlign w:val="center"/>
          </w:tcPr>
          <w:p w14:paraId="7635C1B3">
            <w:r>
              <w:rPr>
                <w:rStyle w:val="10"/>
                <w:rFonts w:hint="eastAsia"/>
              </w:rPr>
              <w:t>农药名称：</w:t>
            </w:r>
            <w:r>
              <w:rPr>
                <w:rFonts w:hint="eastAsia"/>
              </w:rPr>
              <w:t>蚊香</w:t>
            </w:r>
          </w:p>
        </w:tc>
      </w:tr>
      <w:tr w14:paraId="5BA814FE">
        <w:tblPrEx>
          <w:tblCellMar>
            <w:top w:w="0" w:type="dxa"/>
            <w:left w:w="0" w:type="dxa"/>
            <w:bottom w:w="0" w:type="dxa"/>
            <w:right w:w="0" w:type="dxa"/>
          </w:tblCellMar>
        </w:tblPrEx>
        <w:trPr>
          <w:wBefore w:w="0" w:type="auto"/>
          <w:tblCellSpacing w:w="0" w:type="dxa"/>
        </w:trPr>
        <w:tc>
          <w:tcPr>
            <w:tcW w:w="0" w:type="auto"/>
            <w:noWrap w:val="0"/>
            <w:vAlign w:val="center"/>
          </w:tcPr>
          <w:p w14:paraId="35B736AB">
            <w:r>
              <w:rPr>
                <w:rStyle w:val="10"/>
                <w:rFonts w:hint="eastAsia"/>
              </w:rPr>
              <w:t>剂型：</w:t>
            </w:r>
            <w:r>
              <w:rPr>
                <w:rFonts w:hint="eastAsia"/>
              </w:rPr>
              <w:t>蚊香</w:t>
            </w:r>
          </w:p>
        </w:tc>
      </w:tr>
      <w:tr w14:paraId="39DB9E7D">
        <w:tblPrEx>
          <w:tblCellMar>
            <w:top w:w="0" w:type="dxa"/>
            <w:left w:w="0" w:type="dxa"/>
            <w:bottom w:w="0" w:type="dxa"/>
            <w:right w:w="0" w:type="dxa"/>
          </w:tblCellMar>
        </w:tblPrEx>
        <w:trPr>
          <w:wBefore w:w="0" w:type="auto"/>
          <w:tblCellSpacing w:w="0" w:type="dxa"/>
        </w:trPr>
        <w:tc>
          <w:tcPr>
            <w:tcW w:w="0" w:type="auto"/>
            <w:noWrap w:val="0"/>
            <w:vAlign w:val="center"/>
          </w:tcPr>
          <w:p w14:paraId="5BD94290">
            <w:r>
              <w:rPr>
                <w:rStyle w:val="10"/>
                <w:rFonts w:hint="eastAsia"/>
              </w:rPr>
              <w:t>毒性及其标识：</w:t>
            </w:r>
            <w:r>
              <w:rPr>
                <w:rFonts w:hint="eastAsia"/>
              </w:rPr>
              <w:t xml:space="preserve"> 微毒 </w:t>
            </w:r>
          </w:p>
        </w:tc>
      </w:tr>
      <w:tr w14:paraId="599AB9A4">
        <w:tblPrEx>
          <w:tblCellMar>
            <w:top w:w="0" w:type="dxa"/>
            <w:left w:w="0" w:type="dxa"/>
            <w:bottom w:w="0" w:type="dxa"/>
            <w:right w:w="0" w:type="dxa"/>
          </w:tblCellMar>
        </w:tblPrEx>
        <w:trPr>
          <w:wBefore w:w="0" w:type="auto"/>
          <w:tblCellSpacing w:w="0" w:type="dxa"/>
        </w:trPr>
        <w:tc>
          <w:tcPr>
            <w:tcW w:w="0" w:type="auto"/>
            <w:noWrap w:val="0"/>
            <w:vAlign w:val="center"/>
          </w:tcPr>
          <w:p w14:paraId="43B17F29">
            <w:r>
              <w:rPr>
                <w:rStyle w:val="10"/>
                <w:rFonts w:hint="eastAsia"/>
              </w:rPr>
              <w:t>总有效成分含量：</w:t>
            </w:r>
            <w:r>
              <w:rPr>
                <w:rFonts w:hint="eastAsia"/>
              </w:rPr>
              <w:t>0.08%</w:t>
            </w:r>
          </w:p>
        </w:tc>
      </w:tr>
      <w:tr w14:paraId="64180AFA">
        <w:tblPrEx>
          <w:tblCellMar>
            <w:top w:w="0" w:type="dxa"/>
            <w:left w:w="0" w:type="dxa"/>
            <w:bottom w:w="0" w:type="dxa"/>
            <w:right w:w="0" w:type="dxa"/>
          </w:tblCellMar>
        </w:tblPrEx>
        <w:trPr>
          <w:wBefore w:w="0" w:type="auto"/>
          <w:tblCellSpacing w:w="0" w:type="dxa"/>
        </w:trPr>
        <w:tc>
          <w:tcPr>
            <w:tcW w:w="0" w:type="auto"/>
            <w:noWrap w:val="0"/>
            <w:vAlign w:val="center"/>
          </w:tcPr>
          <w:p w14:paraId="19EC5B96">
            <w:r>
              <w:rPr>
                <w:rFonts w:hint="eastAsia"/>
              </w:rPr>
              <w:t xml:space="preserve">有效成分及其含量： </w:t>
            </w:r>
          </w:p>
          <w:p w14:paraId="721E7089">
            <w:r>
              <w:rPr>
                <w:rFonts w:hint="eastAsia"/>
              </w:rPr>
              <w:t xml:space="preserve">    氯氟醚菊酯0.08%    </w:t>
            </w:r>
          </w:p>
        </w:tc>
      </w:tr>
      <w:tr w14:paraId="38874664">
        <w:tblPrEx>
          <w:tblCellMar>
            <w:top w:w="0" w:type="dxa"/>
            <w:left w:w="0" w:type="dxa"/>
            <w:bottom w:w="0" w:type="dxa"/>
            <w:right w:w="0" w:type="dxa"/>
          </w:tblCellMar>
        </w:tblPrEx>
        <w:trPr>
          <w:wBefore w:w="0" w:type="auto"/>
          <w:tblCellSpacing w:w="0" w:type="dxa"/>
        </w:trPr>
        <w:tc>
          <w:tcPr>
            <w:tcW w:w="0" w:type="auto"/>
            <w:noWrap w:val="0"/>
            <w:vAlign w:val="center"/>
          </w:tcPr>
          <w:p w14:paraId="29DC301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3C53C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15F756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F7455E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05DB3E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FB28A65">
                  <w:r>
                    <w:rPr>
                      <w:rStyle w:val="11"/>
                      <w:rFonts w:hint="eastAsia"/>
                    </w:rPr>
                    <w:t>施用方式</w:t>
                  </w:r>
                </w:p>
              </w:tc>
            </w:tr>
            <w:tr w14:paraId="0CBBC2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1AC70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6CD8D0">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1B9D9F">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338E9F">
                  <w:r>
                    <w:rPr>
                      <w:rStyle w:val="11"/>
                      <w:rFonts w:hint="eastAsia"/>
                    </w:rPr>
                    <w:t>点燃</w:t>
                  </w:r>
                </w:p>
              </w:tc>
            </w:tr>
          </w:tbl>
          <w:p w14:paraId="62AC249E">
            <w:pPr>
              <w:rPr>
                <w:rFonts w:ascii="Times New Roman" w:hAnsi="Times New Roman" w:cs="Times New Roman"/>
                <w:sz w:val="20"/>
                <w:szCs w:val="20"/>
              </w:rPr>
            </w:pPr>
          </w:p>
        </w:tc>
      </w:tr>
      <w:tr w14:paraId="476D8642">
        <w:tblPrEx>
          <w:tblCellMar>
            <w:top w:w="0" w:type="dxa"/>
            <w:left w:w="0" w:type="dxa"/>
            <w:bottom w:w="0" w:type="dxa"/>
            <w:right w:w="0" w:type="dxa"/>
          </w:tblCellMar>
        </w:tblPrEx>
        <w:trPr>
          <w:wBefore w:w="0" w:type="auto"/>
          <w:tblCellSpacing w:w="0" w:type="dxa"/>
        </w:trPr>
        <w:tc>
          <w:tcPr>
            <w:tcW w:w="0" w:type="auto"/>
            <w:noWrap w:val="0"/>
            <w:vAlign w:val="center"/>
          </w:tcPr>
          <w:p w14:paraId="7E89D48D">
            <w:r>
              <w:rPr>
                <w:rStyle w:val="10"/>
                <w:rFonts w:hint="eastAsia"/>
              </w:rPr>
              <w:t>使用技术要求:</w:t>
            </w:r>
            <w:r>
              <w:rPr>
                <w:rFonts w:hint="eastAsia"/>
              </w:rPr>
              <w:br w:type="textWrapping"/>
            </w:r>
            <w:r>
              <w:rPr>
                <w:rStyle w:val="11"/>
                <w:rFonts w:hint="eastAsia"/>
              </w:rPr>
              <w:t>1. 将两个一组的蚊香分开。 2. 将蚊香置于盒内配套的蚊香架上，然后点燃蚊香顶端。 3. 为使蚊香发挥效力，请将蚊香放置在上风向。</w:t>
            </w:r>
          </w:p>
        </w:tc>
      </w:tr>
      <w:tr w14:paraId="7DD03375">
        <w:tblPrEx>
          <w:tblCellMar>
            <w:top w:w="0" w:type="dxa"/>
            <w:left w:w="0" w:type="dxa"/>
            <w:bottom w:w="0" w:type="dxa"/>
            <w:right w:w="0" w:type="dxa"/>
          </w:tblCellMar>
        </w:tblPrEx>
        <w:trPr>
          <w:wBefore w:w="0" w:type="auto"/>
          <w:tblCellSpacing w:w="0" w:type="dxa"/>
        </w:trPr>
        <w:tc>
          <w:tcPr>
            <w:tcW w:w="0" w:type="auto"/>
            <w:noWrap w:val="0"/>
            <w:vAlign w:val="center"/>
          </w:tcPr>
          <w:p w14:paraId="1988BD5C">
            <w:r>
              <w:rPr>
                <w:rStyle w:val="10"/>
                <w:rFonts w:hint="eastAsia"/>
              </w:rPr>
              <w:t>产品性能:</w:t>
            </w:r>
            <w:r>
              <w:rPr>
                <w:rFonts w:hint="eastAsia"/>
              </w:rPr>
              <w:br w:type="textWrapping"/>
            </w:r>
            <w:r>
              <w:rPr>
                <w:rStyle w:val="11"/>
                <w:rFonts w:hint="eastAsia"/>
              </w:rPr>
              <w:t>本产品以拟除虫菊酯、碳粉等原料配制而成，对蚊子具有良好的驱杀效果，是现代家居驱杀蚊子的佳品之一。</w:t>
            </w:r>
          </w:p>
        </w:tc>
      </w:tr>
      <w:tr w14:paraId="7CE2DCD8">
        <w:tblPrEx>
          <w:tblCellMar>
            <w:top w:w="0" w:type="dxa"/>
            <w:left w:w="0" w:type="dxa"/>
            <w:bottom w:w="0" w:type="dxa"/>
            <w:right w:w="0" w:type="dxa"/>
          </w:tblCellMar>
        </w:tblPrEx>
        <w:trPr>
          <w:wBefore w:w="0" w:type="auto"/>
          <w:tblCellSpacing w:w="0" w:type="dxa"/>
        </w:trPr>
        <w:tc>
          <w:tcPr>
            <w:tcW w:w="0" w:type="auto"/>
            <w:noWrap w:val="0"/>
            <w:vAlign w:val="center"/>
          </w:tcPr>
          <w:p w14:paraId="515EBDD9">
            <w:r>
              <w:rPr>
                <w:rStyle w:val="10"/>
                <w:rFonts w:hint="eastAsia"/>
              </w:rPr>
              <w:t>注意事项：</w:t>
            </w:r>
            <w:r>
              <w:rPr>
                <w:rFonts w:hint="eastAsia"/>
              </w:rPr>
              <w:br w:type="textWrapping"/>
            </w:r>
            <w:r>
              <w:rPr>
                <w:rStyle w:val="11"/>
                <w:rFonts w:hint="eastAsia"/>
              </w:rPr>
              <w:t>1. 仅限室内使用，点燃使用时远离可燃物, 勿使用易燃品做灰盘。2. 在铁架上燃点蚊香, 注意通风；注意防火。3. 对鱼、蚕有毒，蚕室及其附近禁用；用后洗手。4.过敏者禁用；使用中有任何不良反应请及时就医。5.孕妇及哺乳期妇女、婴幼儿避免接触本品。</w:t>
            </w:r>
          </w:p>
        </w:tc>
      </w:tr>
      <w:tr w14:paraId="2874EE58">
        <w:tblPrEx>
          <w:tblCellMar>
            <w:top w:w="0" w:type="dxa"/>
            <w:left w:w="0" w:type="dxa"/>
            <w:bottom w:w="0" w:type="dxa"/>
            <w:right w:w="0" w:type="dxa"/>
          </w:tblCellMar>
        </w:tblPrEx>
        <w:trPr>
          <w:wBefore w:w="0" w:type="auto"/>
          <w:tblCellSpacing w:w="0" w:type="dxa"/>
        </w:trPr>
        <w:tc>
          <w:tcPr>
            <w:tcW w:w="0" w:type="auto"/>
            <w:noWrap w:val="0"/>
            <w:vAlign w:val="center"/>
          </w:tcPr>
          <w:p w14:paraId="27AA8BDA">
            <w:r>
              <w:rPr>
                <w:rStyle w:val="10"/>
                <w:rFonts w:hint="eastAsia"/>
              </w:rPr>
              <w:t>中毒急救措施：</w:t>
            </w:r>
            <w:r>
              <w:rPr>
                <w:rFonts w:hint="eastAsia"/>
              </w:rPr>
              <w:br w:type="textWrapping"/>
            </w:r>
            <w:r>
              <w:rPr>
                <w:rStyle w:val="11"/>
                <w:rFonts w:hint="eastAsia"/>
              </w:rPr>
              <w:t>若有误服，则应立即携带标签将病人送医院诊治，不慎吸入，应将病人移至空气流通处，请及时就医。</w:t>
            </w:r>
          </w:p>
        </w:tc>
      </w:tr>
      <w:tr w14:paraId="3E50B5E9">
        <w:tblPrEx>
          <w:tblCellMar>
            <w:top w:w="0" w:type="dxa"/>
            <w:left w:w="0" w:type="dxa"/>
            <w:bottom w:w="0" w:type="dxa"/>
            <w:right w:w="0" w:type="dxa"/>
          </w:tblCellMar>
        </w:tblPrEx>
        <w:trPr>
          <w:wBefore w:w="0" w:type="auto"/>
          <w:tblCellSpacing w:w="0" w:type="dxa"/>
        </w:trPr>
        <w:tc>
          <w:tcPr>
            <w:tcW w:w="0" w:type="auto"/>
            <w:noWrap w:val="0"/>
            <w:vAlign w:val="center"/>
          </w:tcPr>
          <w:p w14:paraId="5A6FC76B">
            <w:r>
              <w:rPr>
                <w:rStyle w:val="10"/>
                <w:rFonts w:hint="eastAsia"/>
              </w:rPr>
              <w:t>储存和运输方法：</w:t>
            </w:r>
            <w:r>
              <w:rPr>
                <w:rFonts w:hint="eastAsia"/>
              </w:rPr>
              <w:br w:type="textWrapping"/>
            </w:r>
            <w:r>
              <w:rPr>
                <w:rStyle w:val="11"/>
                <w:rFonts w:hint="eastAsia"/>
              </w:rPr>
              <w:t>1. 存放在干燥阴凉处。2. 置于儿童、无关人员触及不到之处，并加锁。勿与食品、饮料、饲料、粮食等同贮同运。3. 搬运时要轻取轻放，防止剧烈震动、日晒、雨淋和重压。4、远离火源或热源。</w:t>
            </w:r>
          </w:p>
        </w:tc>
      </w:tr>
      <w:tr w14:paraId="48D4C290">
        <w:tblPrEx>
          <w:tblCellMar>
            <w:top w:w="0" w:type="dxa"/>
            <w:left w:w="0" w:type="dxa"/>
            <w:bottom w:w="0" w:type="dxa"/>
            <w:right w:w="0" w:type="dxa"/>
          </w:tblCellMar>
        </w:tblPrEx>
        <w:trPr>
          <w:wBefore w:w="0" w:type="auto"/>
          <w:tblCellSpacing w:w="0" w:type="dxa"/>
        </w:trPr>
        <w:tc>
          <w:tcPr>
            <w:tcW w:w="0" w:type="auto"/>
            <w:noWrap w:val="0"/>
            <w:vAlign w:val="center"/>
          </w:tcPr>
          <w:p w14:paraId="6DA729A3">
            <w:r>
              <w:rPr>
                <w:rStyle w:val="10"/>
                <w:rFonts w:hint="eastAsia"/>
              </w:rPr>
              <w:t>质量保证期：</w:t>
            </w:r>
            <w:r>
              <w:rPr>
                <w:rStyle w:val="11"/>
                <w:rFonts w:hint="eastAsia"/>
              </w:rPr>
              <w:t>3年</w:t>
            </w:r>
          </w:p>
        </w:tc>
      </w:tr>
      <w:tr w14:paraId="684474AA">
        <w:tblPrEx>
          <w:tblCellMar>
            <w:top w:w="0" w:type="dxa"/>
            <w:left w:w="0" w:type="dxa"/>
            <w:bottom w:w="0" w:type="dxa"/>
            <w:right w:w="0" w:type="dxa"/>
          </w:tblCellMar>
        </w:tblPrEx>
        <w:trPr>
          <w:wBefore w:w="0" w:type="auto"/>
          <w:tblCellSpacing w:w="0" w:type="dxa"/>
        </w:trPr>
        <w:tc>
          <w:tcPr>
            <w:tcW w:w="0" w:type="auto"/>
            <w:noWrap w:val="0"/>
            <w:vAlign w:val="center"/>
          </w:tcPr>
          <w:p w14:paraId="7022FA58">
            <w:r>
              <w:rPr>
                <w:rStyle w:val="10"/>
                <w:rFonts w:hint="eastAsia"/>
              </w:rPr>
              <w:t>备注：</w:t>
            </w:r>
          </w:p>
        </w:tc>
      </w:tr>
    </w:tbl>
    <w:p w14:paraId="4590C4E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434E92D">
        <w:tblPrEx>
          <w:tblCellMar>
            <w:top w:w="0" w:type="dxa"/>
            <w:left w:w="0" w:type="dxa"/>
            <w:bottom w:w="0" w:type="dxa"/>
            <w:right w:w="0" w:type="dxa"/>
          </w:tblCellMar>
        </w:tblPrEx>
        <w:trPr>
          <w:wBefore w:w="0" w:type="auto"/>
          <w:tblCellSpacing w:w="0" w:type="dxa"/>
        </w:trPr>
        <w:tc>
          <w:tcPr>
            <w:tcW w:w="0" w:type="auto"/>
            <w:noWrap w:val="0"/>
            <w:vAlign w:val="center"/>
          </w:tcPr>
          <w:p w14:paraId="1E79937E">
            <w:r>
              <w:rPr>
                <w:rStyle w:val="10"/>
                <w:rFonts w:hint="eastAsia"/>
              </w:rPr>
              <w:t>登记证号：</w:t>
            </w:r>
            <w:r>
              <w:rPr>
                <w:rFonts w:hint="eastAsia"/>
              </w:rPr>
              <w:t>PD20212257</w:t>
            </w:r>
          </w:p>
        </w:tc>
      </w:tr>
      <w:tr w14:paraId="695FEE68">
        <w:tblPrEx>
          <w:tblCellMar>
            <w:top w:w="0" w:type="dxa"/>
            <w:left w:w="0" w:type="dxa"/>
            <w:bottom w:w="0" w:type="dxa"/>
            <w:right w:w="0" w:type="dxa"/>
          </w:tblCellMar>
        </w:tblPrEx>
        <w:trPr>
          <w:wBefore w:w="0" w:type="auto"/>
          <w:tblCellSpacing w:w="0" w:type="dxa"/>
        </w:trPr>
        <w:tc>
          <w:tcPr>
            <w:tcW w:w="0" w:type="auto"/>
            <w:noWrap w:val="0"/>
            <w:vAlign w:val="center"/>
          </w:tcPr>
          <w:p w14:paraId="7B7579FF">
            <w:r>
              <w:rPr>
                <w:rStyle w:val="10"/>
                <w:rFonts w:hint="eastAsia"/>
              </w:rPr>
              <w:t>登记证持有人：</w:t>
            </w:r>
            <w:r>
              <w:rPr>
                <w:rFonts w:hint="eastAsia"/>
              </w:rPr>
              <w:t>新乡市莱恩坪安园林有限公司</w:t>
            </w:r>
          </w:p>
        </w:tc>
      </w:tr>
      <w:tr w14:paraId="58018E56">
        <w:tblPrEx>
          <w:tblCellMar>
            <w:top w:w="0" w:type="dxa"/>
            <w:left w:w="0" w:type="dxa"/>
            <w:bottom w:w="0" w:type="dxa"/>
            <w:right w:w="0" w:type="dxa"/>
          </w:tblCellMar>
        </w:tblPrEx>
        <w:trPr>
          <w:wBefore w:w="0" w:type="auto"/>
          <w:tblCellSpacing w:w="0" w:type="dxa"/>
        </w:trPr>
        <w:tc>
          <w:tcPr>
            <w:tcW w:w="0" w:type="auto"/>
            <w:noWrap w:val="0"/>
            <w:vAlign w:val="center"/>
          </w:tcPr>
          <w:p w14:paraId="505E301B">
            <w:r>
              <w:rPr>
                <w:rStyle w:val="10"/>
                <w:rFonts w:hint="eastAsia"/>
              </w:rPr>
              <w:t>农药名称：</w:t>
            </w:r>
            <w:r>
              <w:rPr>
                <w:rFonts w:hint="eastAsia"/>
              </w:rPr>
              <w:t>乙羧·草铵膦</w:t>
            </w:r>
          </w:p>
        </w:tc>
      </w:tr>
      <w:tr w14:paraId="4F6031A9">
        <w:tblPrEx>
          <w:tblCellMar>
            <w:top w:w="0" w:type="dxa"/>
            <w:left w:w="0" w:type="dxa"/>
            <w:bottom w:w="0" w:type="dxa"/>
            <w:right w:w="0" w:type="dxa"/>
          </w:tblCellMar>
        </w:tblPrEx>
        <w:trPr>
          <w:wBefore w:w="0" w:type="auto"/>
          <w:tblCellSpacing w:w="0" w:type="dxa"/>
        </w:trPr>
        <w:tc>
          <w:tcPr>
            <w:tcW w:w="0" w:type="auto"/>
            <w:noWrap w:val="0"/>
            <w:vAlign w:val="center"/>
          </w:tcPr>
          <w:p w14:paraId="76E15548">
            <w:r>
              <w:rPr>
                <w:rStyle w:val="10"/>
                <w:rFonts w:hint="eastAsia"/>
              </w:rPr>
              <w:t>剂型：</w:t>
            </w:r>
            <w:r>
              <w:rPr>
                <w:rFonts w:hint="eastAsia"/>
              </w:rPr>
              <w:t>微乳剂</w:t>
            </w:r>
          </w:p>
        </w:tc>
      </w:tr>
      <w:tr w14:paraId="65E6CC2E">
        <w:tblPrEx>
          <w:tblCellMar>
            <w:top w:w="0" w:type="dxa"/>
            <w:left w:w="0" w:type="dxa"/>
            <w:bottom w:w="0" w:type="dxa"/>
            <w:right w:w="0" w:type="dxa"/>
          </w:tblCellMar>
        </w:tblPrEx>
        <w:trPr>
          <w:wBefore w:w="0" w:type="auto"/>
          <w:tblCellSpacing w:w="0" w:type="dxa"/>
        </w:trPr>
        <w:tc>
          <w:tcPr>
            <w:tcW w:w="0" w:type="auto"/>
            <w:noWrap w:val="0"/>
            <w:vAlign w:val="center"/>
          </w:tcPr>
          <w:p w14:paraId="4463F518">
            <w:r>
              <w:rPr>
                <w:rStyle w:val="10"/>
                <w:rFonts w:hint="eastAsia"/>
              </w:rPr>
              <w:t>毒性及其标识：</w:t>
            </w:r>
            <w:r>
              <w:rPr>
                <w:rFonts w:hint="eastAsia"/>
              </w:rPr>
              <w:t xml:space="preserve"> </w:t>
            </w:r>
            <w:r>
              <w:rPr>
                <w:lang/>
              </w:rPr>
              <w:drawing>
                <wp:inline distT="0" distB="0" distL="114300" distR="114300">
                  <wp:extent cx="476250" cy="323850"/>
                  <wp:effectExtent l="0" t="0" r="0" b="0"/>
                  <wp:docPr id="206" name="图片 20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0673B8E">
        <w:tblPrEx>
          <w:tblCellMar>
            <w:top w:w="0" w:type="dxa"/>
            <w:left w:w="0" w:type="dxa"/>
            <w:bottom w:w="0" w:type="dxa"/>
            <w:right w:w="0" w:type="dxa"/>
          </w:tblCellMar>
        </w:tblPrEx>
        <w:trPr>
          <w:wBefore w:w="0" w:type="auto"/>
          <w:tblCellSpacing w:w="0" w:type="dxa"/>
        </w:trPr>
        <w:tc>
          <w:tcPr>
            <w:tcW w:w="0" w:type="auto"/>
            <w:noWrap w:val="0"/>
            <w:vAlign w:val="center"/>
          </w:tcPr>
          <w:p w14:paraId="27E8A823">
            <w:r>
              <w:rPr>
                <w:rStyle w:val="10"/>
                <w:rFonts w:hint="eastAsia"/>
              </w:rPr>
              <w:t>总有效成分含量：</w:t>
            </w:r>
            <w:r>
              <w:rPr>
                <w:rFonts w:hint="eastAsia"/>
              </w:rPr>
              <w:t>20%</w:t>
            </w:r>
          </w:p>
        </w:tc>
      </w:tr>
      <w:tr w14:paraId="3DBDC1C8">
        <w:tblPrEx>
          <w:tblCellMar>
            <w:top w:w="0" w:type="dxa"/>
            <w:left w:w="0" w:type="dxa"/>
            <w:bottom w:w="0" w:type="dxa"/>
            <w:right w:w="0" w:type="dxa"/>
          </w:tblCellMar>
        </w:tblPrEx>
        <w:trPr>
          <w:wBefore w:w="0" w:type="auto"/>
          <w:tblCellSpacing w:w="0" w:type="dxa"/>
        </w:trPr>
        <w:tc>
          <w:tcPr>
            <w:tcW w:w="0" w:type="auto"/>
            <w:noWrap w:val="0"/>
            <w:vAlign w:val="center"/>
          </w:tcPr>
          <w:p w14:paraId="782D84C6">
            <w:r>
              <w:rPr>
                <w:rFonts w:hint="eastAsia"/>
              </w:rPr>
              <w:t xml:space="preserve">有效成分及其含量： </w:t>
            </w:r>
          </w:p>
          <w:p w14:paraId="4DFE3D29">
            <w:r>
              <w:rPr>
                <w:rFonts w:hint="eastAsia"/>
              </w:rPr>
              <w:t xml:space="preserve">    草铵膦19%    乙羧氟草醚1%    </w:t>
            </w:r>
          </w:p>
        </w:tc>
      </w:tr>
      <w:tr w14:paraId="092A71D9">
        <w:tblPrEx>
          <w:tblCellMar>
            <w:top w:w="0" w:type="dxa"/>
            <w:left w:w="0" w:type="dxa"/>
            <w:bottom w:w="0" w:type="dxa"/>
            <w:right w:w="0" w:type="dxa"/>
          </w:tblCellMar>
        </w:tblPrEx>
        <w:trPr>
          <w:wBefore w:w="0" w:type="auto"/>
          <w:tblCellSpacing w:w="0" w:type="dxa"/>
        </w:trPr>
        <w:tc>
          <w:tcPr>
            <w:tcW w:w="0" w:type="auto"/>
            <w:noWrap w:val="0"/>
            <w:vAlign w:val="center"/>
          </w:tcPr>
          <w:p w14:paraId="65DFB92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A6EAE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C1B937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11FD0F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F1B430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9DA7A5D">
                  <w:r>
                    <w:rPr>
                      <w:rStyle w:val="11"/>
                      <w:rFonts w:hint="eastAsia"/>
                    </w:rPr>
                    <w:t>施用方式</w:t>
                  </w:r>
                </w:p>
              </w:tc>
            </w:tr>
            <w:tr w14:paraId="44F8BB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5DEB656">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990F34">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13D3EA">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3C2F28">
                  <w:r>
                    <w:rPr>
                      <w:rStyle w:val="11"/>
                      <w:rFonts w:hint="eastAsia"/>
                    </w:rPr>
                    <w:t>茎叶喷雾</w:t>
                  </w:r>
                </w:p>
              </w:tc>
            </w:tr>
          </w:tbl>
          <w:p w14:paraId="44B63B81">
            <w:pPr>
              <w:rPr>
                <w:rFonts w:ascii="Times New Roman" w:hAnsi="Times New Roman" w:cs="Times New Roman"/>
                <w:sz w:val="20"/>
                <w:szCs w:val="20"/>
              </w:rPr>
            </w:pPr>
          </w:p>
        </w:tc>
      </w:tr>
      <w:tr w14:paraId="7DEEE392">
        <w:tblPrEx>
          <w:tblCellMar>
            <w:top w:w="0" w:type="dxa"/>
            <w:left w:w="0" w:type="dxa"/>
            <w:bottom w:w="0" w:type="dxa"/>
            <w:right w:w="0" w:type="dxa"/>
          </w:tblCellMar>
        </w:tblPrEx>
        <w:trPr>
          <w:wBefore w:w="0" w:type="auto"/>
          <w:tblCellSpacing w:w="0" w:type="dxa"/>
        </w:trPr>
        <w:tc>
          <w:tcPr>
            <w:tcW w:w="0" w:type="auto"/>
            <w:noWrap w:val="0"/>
            <w:vAlign w:val="center"/>
          </w:tcPr>
          <w:p w14:paraId="7498ECA1">
            <w:r>
              <w:rPr>
                <w:rStyle w:val="10"/>
                <w:rFonts w:hint="eastAsia"/>
              </w:rPr>
              <w:t>使用技术要求:</w:t>
            </w:r>
            <w:r>
              <w:rPr>
                <w:rFonts w:hint="eastAsia"/>
              </w:rPr>
              <w:br w:type="textWrapping"/>
            </w:r>
            <w:r>
              <w:rPr>
                <w:rStyle w:val="11"/>
                <w:rFonts w:hint="eastAsia"/>
              </w:rPr>
              <w:t>1.本品于非耕地杂草生长旺盛期茎叶均匀喷雾，应避免高温时施药。注意风向，防止药雾飘移到附近作物上造成药害。 2.施药时，如遇草龄较大或者持续干旱，请酌情增加喷药量。 防除多年生杂草或进入花期的杂草应使用推荐的高剂量。 3.喷药后4小时内降雨，药效会降低，可酌情补喷。4.大风天或预计1小时内降雨，勿施药。</w:t>
            </w:r>
          </w:p>
        </w:tc>
      </w:tr>
      <w:tr w14:paraId="6955DFF5">
        <w:tblPrEx>
          <w:tblCellMar>
            <w:top w:w="0" w:type="dxa"/>
            <w:left w:w="0" w:type="dxa"/>
            <w:bottom w:w="0" w:type="dxa"/>
            <w:right w:w="0" w:type="dxa"/>
          </w:tblCellMar>
        </w:tblPrEx>
        <w:trPr>
          <w:wBefore w:w="0" w:type="auto"/>
          <w:tblCellSpacing w:w="0" w:type="dxa"/>
        </w:trPr>
        <w:tc>
          <w:tcPr>
            <w:tcW w:w="0" w:type="auto"/>
            <w:noWrap w:val="0"/>
            <w:vAlign w:val="center"/>
          </w:tcPr>
          <w:p w14:paraId="1D5C3D4F">
            <w:r>
              <w:rPr>
                <w:rStyle w:val="10"/>
                <w:rFonts w:hint="eastAsia"/>
              </w:rPr>
              <w:t>产品性能:</w:t>
            </w:r>
            <w:r>
              <w:rPr>
                <w:rFonts w:hint="eastAsia"/>
              </w:rPr>
              <w:br w:type="textWrapping"/>
            </w:r>
            <w:r>
              <w:rPr>
                <w:rStyle w:val="11"/>
                <w:rFonts w:hint="eastAsia"/>
              </w:rPr>
              <w:t xml:space="preserve">本品为非选择性触杀型杂草茎叶处理剂，对非耕地杂草有较好的防效。 </w:t>
            </w:r>
          </w:p>
        </w:tc>
      </w:tr>
      <w:tr w14:paraId="30A62D95">
        <w:tblPrEx>
          <w:tblCellMar>
            <w:top w:w="0" w:type="dxa"/>
            <w:left w:w="0" w:type="dxa"/>
            <w:bottom w:w="0" w:type="dxa"/>
            <w:right w:w="0" w:type="dxa"/>
          </w:tblCellMar>
        </w:tblPrEx>
        <w:trPr>
          <w:wBefore w:w="0" w:type="auto"/>
          <w:tblCellSpacing w:w="0" w:type="dxa"/>
        </w:trPr>
        <w:tc>
          <w:tcPr>
            <w:tcW w:w="0" w:type="auto"/>
            <w:noWrap w:val="0"/>
            <w:vAlign w:val="center"/>
          </w:tcPr>
          <w:p w14:paraId="60E938F6">
            <w:r>
              <w:rPr>
                <w:rStyle w:val="10"/>
                <w:rFonts w:hint="eastAsia"/>
              </w:rPr>
              <w:t>注意事项：</w:t>
            </w:r>
            <w:r>
              <w:rPr>
                <w:rFonts w:hint="eastAsia"/>
              </w:rPr>
              <w:br w:type="textWrapping"/>
            </w:r>
            <w:r>
              <w:rPr>
                <w:rStyle w:val="11"/>
                <w:rFonts w:hint="eastAsia"/>
              </w:rPr>
              <w:t>1.使用本品时应穿戴长衣、长裤、帽子、口罩、手套等防护用具，避免吸入药液。施药期间不可吃东西、喝水和吸烟。施药后应及时洗手和洗脸。 2.配药时用清水配制，浑水会影响药效。现配现用，不宜久置。 3.禁止在河塘等水体中清洗施药器具；蚕室及桑园附近禁用；瓢虫等天敌放飞区域禁用。4.剩余药液或空容器要妥善处理，不可随意丢弃，亦不可做它用。4.孕妇和哺乳期妇女禁止接触此药。</w:t>
            </w:r>
          </w:p>
        </w:tc>
      </w:tr>
      <w:tr w14:paraId="2F74CB5D">
        <w:tblPrEx>
          <w:tblCellMar>
            <w:top w:w="0" w:type="dxa"/>
            <w:left w:w="0" w:type="dxa"/>
            <w:bottom w:w="0" w:type="dxa"/>
            <w:right w:w="0" w:type="dxa"/>
          </w:tblCellMar>
        </w:tblPrEx>
        <w:trPr>
          <w:wBefore w:w="0" w:type="auto"/>
          <w:tblCellSpacing w:w="0" w:type="dxa"/>
        </w:trPr>
        <w:tc>
          <w:tcPr>
            <w:tcW w:w="0" w:type="auto"/>
            <w:noWrap w:val="0"/>
            <w:vAlign w:val="center"/>
          </w:tcPr>
          <w:p w14:paraId="2957BA8D">
            <w:r>
              <w:rPr>
                <w:rStyle w:val="10"/>
                <w:rFonts w:hint="eastAsia"/>
              </w:rPr>
              <w:t>中毒急救措施：</w:t>
            </w:r>
            <w:r>
              <w:rPr>
                <w:rFonts w:hint="eastAsia"/>
              </w:rPr>
              <w:br w:type="textWrapping"/>
            </w:r>
            <w:r>
              <w:rPr>
                <w:rStyle w:val="11"/>
                <w:rFonts w:hint="eastAsia"/>
              </w:rPr>
              <w:t xml:space="preserve">中毒症状：对眼睛、皮肤或粘膜有刺激作用。 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用清水充分漱口后，立即携带标签到医院对症治疗。 </w:t>
            </w:r>
          </w:p>
        </w:tc>
      </w:tr>
      <w:tr w14:paraId="52FA3543">
        <w:tblPrEx>
          <w:tblCellMar>
            <w:top w:w="0" w:type="dxa"/>
            <w:left w:w="0" w:type="dxa"/>
            <w:bottom w:w="0" w:type="dxa"/>
            <w:right w:w="0" w:type="dxa"/>
          </w:tblCellMar>
        </w:tblPrEx>
        <w:trPr>
          <w:wBefore w:w="0" w:type="auto"/>
          <w:tblCellSpacing w:w="0" w:type="dxa"/>
        </w:trPr>
        <w:tc>
          <w:tcPr>
            <w:tcW w:w="0" w:type="auto"/>
            <w:noWrap w:val="0"/>
            <w:vAlign w:val="center"/>
          </w:tcPr>
          <w:p w14:paraId="59CCAA19">
            <w:r>
              <w:rPr>
                <w:rStyle w:val="10"/>
                <w:rFonts w:hint="eastAsia"/>
              </w:rPr>
              <w:t>储存和运输方法：</w:t>
            </w:r>
            <w:r>
              <w:rPr>
                <w:rFonts w:hint="eastAsia"/>
              </w:rPr>
              <w:br w:type="textWrapping"/>
            </w:r>
            <w:r>
              <w:rPr>
                <w:rStyle w:val="11"/>
                <w:rFonts w:hint="eastAsia"/>
              </w:rPr>
              <w:t>1.本品应贮存在干燥、通风、阴凉、防雨处，远离火源或热源；2.应置于儿童、无关人员及动物接触不到的地方，并加锁保存；3.勿与食品、饮料、饲料、粮食等同贮同运；运输时应注意避光、防高温、雨淋。</w:t>
            </w:r>
          </w:p>
        </w:tc>
      </w:tr>
      <w:tr w14:paraId="318016CB">
        <w:tblPrEx>
          <w:tblCellMar>
            <w:top w:w="0" w:type="dxa"/>
            <w:left w:w="0" w:type="dxa"/>
            <w:bottom w:w="0" w:type="dxa"/>
            <w:right w:w="0" w:type="dxa"/>
          </w:tblCellMar>
        </w:tblPrEx>
        <w:trPr>
          <w:wBefore w:w="0" w:type="auto"/>
          <w:tblCellSpacing w:w="0" w:type="dxa"/>
        </w:trPr>
        <w:tc>
          <w:tcPr>
            <w:tcW w:w="0" w:type="auto"/>
            <w:noWrap w:val="0"/>
            <w:vAlign w:val="center"/>
          </w:tcPr>
          <w:p w14:paraId="7999FF7A">
            <w:r>
              <w:rPr>
                <w:rStyle w:val="10"/>
                <w:rFonts w:hint="eastAsia"/>
              </w:rPr>
              <w:t>质量保证期：</w:t>
            </w:r>
            <w:r>
              <w:rPr>
                <w:rStyle w:val="11"/>
                <w:rFonts w:hint="eastAsia"/>
              </w:rPr>
              <w:t>2年</w:t>
            </w:r>
          </w:p>
        </w:tc>
      </w:tr>
      <w:tr w14:paraId="371A4EFD">
        <w:tblPrEx>
          <w:tblCellMar>
            <w:top w:w="0" w:type="dxa"/>
            <w:left w:w="0" w:type="dxa"/>
            <w:bottom w:w="0" w:type="dxa"/>
            <w:right w:w="0" w:type="dxa"/>
          </w:tblCellMar>
        </w:tblPrEx>
        <w:trPr>
          <w:wBefore w:w="0" w:type="auto"/>
          <w:tblCellSpacing w:w="0" w:type="dxa"/>
        </w:trPr>
        <w:tc>
          <w:tcPr>
            <w:tcW w:w="0" w:type="auto"/>
            <w:noWrap w:val="0"/>
            <w:vAlign w:val="center"/>
          </w:tcPr>
          <w:p w14:paraId="3962ECC4">
            <w:r>
              <w:rPr>
                <w:rStyle w:val="10"/>
                <w:rFonts w:hint="eastAsia"/>
              </w:rPr>
              <w:t>备注：</w:t>
            </w:r>
          </w:p>
        </w:tc>
      </w:tr>
    </w:tbl>
    <w:p w14:paraId="4377A50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B00666D">
        <w:tblPrEx>
          <w:tblCellMar>
            <w:top w:w="0" w:type="dxa"/>
            <w:left w:w="0" w:type="dxa"/>
            <w:bottom w:w="0" w:type="dxa"/>
            <w:right w:w="0" w:type="dxa"/>
          </w:tblCellMar>
        </w:tblPrEx>
        <w:trPr>
          <w:wBefore w:w="0" w:type="auto"/>
          <w:tblCellSpacing w:w="0" w:type="dxa"/>
        </w:trPr>
        <w:tc>
          <w:tcPr>
            <w:tcW w:w="0" w:type="auto"/>
            <w:noWrap w:val="0"/>
            <w:vAlign w:val="center"/>
          </w:tcPr>
          <w:p w14:paraId="194DF65A">
            <w:r>
              <w:rPr>
                <w:rStyle w:val="10"/>
                <w:rFonts w:hint="eastAsia"/>
              </w:rPr>
              <w:t>登记证号：</w:t>
            </w:r>
            <w:r>
              <w:rPr>
                <w:rFonts w:hint="eastAsia"/>
              </w:rPr>
              <w:t>WP20210238</w:t>
            </w:r>
          </w:p>
        </w:tc>
      </w:tr>
      <w:tr w14:paraId="1F1DA13B">
        <w:tblPrEx>
          <w:tblCellMar>
            <w:top w:w="0" w:type="dxa"/>
            <w:left w:w="0" w:type="dxa"/>
            <w:bottom w:w="0" w:type="dxa"/>
            <w:right w:w="0" w:type="dxa"/>
          </w:tblCellMar>
        </w:tblPrEx>
        <w:trPr>
          <w:wBefore w:w="0" w:type="auto"/>
          <w:tblCellSpacing w:w="0" w:type="dxa"/>
        </w:trPr>
        <w:tc>
          <w:tcPr>
            <w:tcW w:w="0" w:type="auto"/>
            <w:noWrap w:val="0"/>
            <w:vAlign w:val="center"/>
          </w:tcPr>
          <w:p w14:paraId="211CFA27">
            <w:r>
              <w:rPr>
                <w:rStyle w:val="10"/>
                <w:rFonts w:hint="eastAsia"/>
              </w:rPr>
              <w:t>登记证持有人：</w:t>
            </w:r>
            <w:r>
              <w:rPr>
                <w:rFonts w:hint="eastAsia"/>
              </w:rPr>
              <w:t>广东立威化工有限公司</w:t>
            </w:r>
          </w:p>
        </w:tc>
      </w:tr>
      <w:tr w14:paraId="1E6805EB">
        <w:tblPrEx>
          <w:tblCellMar>
            <w:top w:w="0" w:type="dxa"/>
            <w:left w:w="0" w:type="dxa"/>
            <w:bottom w:w="0" w:type="dxa"/>
            <w:right w:w="0" w:type="dxa"/>
          </w:tblCellMar>
        </w:tblPrEx>
        <w:trPr>
          <w:wBefore w:w="0" w:type="auto"/>
          <w:tblCellSpacing w:w="0" w:type="dxa"/>
        </w:trPr>
        <w:tc>
          <w:tcPr>
            <w:tcW w:w="0" w:type="auto"/>
            <w:noWrap w:val="0"/>
            <w:vAlign w:val="center"/>
          </w:tcPr>
          <w:p w14:paraId="1A99A3A0">
            <w:r>
              <w:rPr>
                <w:rStyle w:val="10"/>
                <w:rFonts w:hint="eastAsia"/>
              </w:rPr>
              <w:t>农药名称：</w:t>
            </w:r>
            <w:r>
              <w:rPr>
                <w:rFonts w:hint="eastAsia"/>
              </w:rPr>
              <w:t>噻虫·高氯氟</w:t>
            </w:r>
          </w:p>
        </w:tc>
      </w:tr>
      <w:tr w14:paraId="56285DB5">
        <w:tblPrEx>
          <w:tblCellMar>
            <w:top w:w="0" w:type="dxa"/>
            <w:left w:w="0" w:type="dxa"/>
            <w:bottom w:w="0" w:type="dxa"/>
            <w:right w:w="0" w:type="dxa"/>
          </w:tblCellMar>
        </w:tblPrEx>
        <w:trPr>
          <w:wBefore w:w="0" w:type="auto"/>
          <w:tblCellSpacing w:w="0" w:type="dxa"/>
        </w:trPr>
        <w:tc>
          <w:tcPr>
            <w:tcW w:w="0" w:type="auto"/>
            <w:noWrap w:val="0"/>
            <w:vAlign w:val="center"/>
          </w:tcPr>
          <w:p w14:paraId="5C0B79F7">
            <w:r>
              <w:rPr>
                <w:rStyle w:val="10"/>
                <w:rFonts w:hint="eastAsia"/>
              </w:rPr>
              <w:t>剂型：</w:t>
            </w:r>
            <w:r>
              <w:rPr>
                <w:rFonts w:hint="eastAsia"/>
              </w:rPr>
              <w:t>微囊悬浮-悬浮剂</w:t>
            </w:r>
          </w:p>
        </w:tc>
      </w:tr>
      <w:tr w14:paraId="229C06F9">
        <w:tblPrEx>
          <w:tblCellMar>
            <w:top w:w="0" w:type="dxa"/>
            <w:left w:w="0" w:type="dxa"/>
            <w:bottom w:w="0" w:type="dxa"/>
            <w:right w:w="0" w:type="dxa"/>
          </w:tblCellMar>
        </w:tblPrEx>
        <w:trPr>
          <w:wBefore w:w="0" w:type="auto"/>
          <w:tblCellSpacing w:w="0" w:type="dxa"/>
        </w:trPr>
        <w:tc>
          <w:tcPr>
            <w:tcW w:w="0" w:type="auto"/>
            <w:noWrap w:val="0"/>
            <w:vAlign w:val="center"/>
          </w:tcPr>
          <w:p w14:paraId="13DCB5AD">
            <w:r>
              <w:rPr>
                <w:rStyle w:val="10"/>
                <w:rFonts w:hint="eastAsia"/>
              </w:rPr>
              <w:t>毒性及其标识：</w:t>
            </w:r>
            <w:r>
              <w:rPr>
                <w:rFonts w:hint="eastAsia"/>
              </w:rPr>
              <w:t xml:space="preserve"> </w:t>
            </w:r>
            <w:r>
              <w:rPr>
                <w:lang/>
              </w:rPr>
              <w:drawing>
                <wp:inline distT="0" distB="0" distL="114300" distR="114300">
                  <wp:extent cx="476250" cy="323850"/>
                  <wp:effectExtent l="0" t="0" r="0" b="0"/>
                  <wp:docPr id="207" name="图片 20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ABABA3E">
        <w:tblPrEx>
          <w:tblCellMar>
            <w:top w:w="0" w:type="dxa"/>
            <w:left w:w="0" w:type="dxa"/>
            <w:bottom w:w="0" w:type="dxa"/>
            <w:right w:w="0" w:type="dxa"/>
          </w:tblCellMar>
        </w:tblPrEx>
        <w:trPr>
          <w:wBefore w:w="0" w:type="auto"/>
          <w:tblCellSpacing w:w="0" w:type="dxa"/>
        </w:trPr>
        <w:tc>
          <w:tcPr>
            <w:tcW w:w="0" w:type="auto"/>
            <w:noWrap w:val="0"/>
            <w:vAlign w:val="center"/>
          </w:tcPr>
          <w:p w14:paraId="6A36551F">
            <w:r>
              <w:rPr>
                <w:rStyle w:val="10"/>
                <w:rFonts w:hint="eastAsia"/>
              </w:rPr>
              <w:t>总有效成分含量：</w:t>
            </w:r>
            <w:r>
              <w:rPr>
                <w:rFonts w:hint="eastAsia"/>
              </w:rPr>
              <w:t>15.1%</w:t>
            </w:r>
          </w:p>
        </w:tc>
      </w:tr>
      <w:tr w14:paraId="6A8E0E62">
        <w:tblPrEx>
          <w:tblCellMar>
            <w:top w:w="0" w:type="dxa"/>
            <w:left w:w="0" w:type="dxa"/>
            <w:bottom w:w="0" w:type="dxa"/>
            <w:right w:w="0" w:type="dxa"/>
          </w:tblCellMar>
        </w:tblPrEx>
        <w:trPr>
          <w:wBefore w:w="0" w:type="auto"/>
          <w:tblCellSpacing w:w="0" w:type="dxa"/>
        </w:trPr>
        <w:tc>
          <w:tcPr>
            <w:tcW w:w="0" w:type="auto"/>
            <w:noWrap w:val="0"/>
            <w:vAlign w:val="center"/>
          </w:tcPr>
          <w:p w14:paraId="04F56A50">
            <w:r>
              <w:rPr>
                <w:rFonts w:hint="eastAsia"/>
              </w:rPr>
              <w:t xml:space="preserve">有效成分及其含量： </w:t>
            </w:r>
          </w:p>
          <w:p w14:paraId="5EA7C0DA">
            <w:r>
              <w:rPr>
                <w:rFonts w:hint="eastAsia"/>
              </w:rPr>
              <w:t xml:space="preserve">    高效氯氟氰菊酯3.5%    噻虫嗪11.6%    </w:t>
            </w:r>
          </w:p>
        </w:tc>
      </w:tr>
      <w:tr w14:paraId="727A3720">
        <w:tblPrEx>
          <w:tblCellMar>
            <w:top w:w="0" w:type="dxa"/>
            <w:left w:w="0" w:type="dxa"/>
            <w:bottom w:w="0" w:type="dxa"/>
            <w:right w:w="0" w:type="dxa"/>
          </w:tblCellMar>
        </w:tblPrEx>
        <w:trPr>
          <w:wBefore w:w="0" w:type="auto"/>
          <w:tblCellSpacing w:w="0" w:type="dxa"/>
        </w:trPr>
        <w:tc>
          <w:tcPr>
            <w:tcW w:w="0" w:type="auto"/>
            <w:noWrap w:val="0"/>
            <w:vAlign w:val="center"/>
          </w:tcPr>
          <w:p w14:paraId="08F933A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34B35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F100B1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037A6A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40B4F0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CA6654">
                  <w:r>
                    <w:rPr>
                      <w:rStyle w:val="11"/>
                      <w:rFonts w:hint="eastAsia"/>
                    </w:rPr>
                    <w:t>施用方式</w:t>
                  </w:r>
                </w:p>
              </w:tc>
            </w:tr>
            <w:tr w14:paraId="1676F1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D3AAFC1">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F89470">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5EE3FD">
                  <w:r>
                    <w:rPr>
                      <w:rStyle w:val="11"/>
                      <w:rFonts w:hint="eastAsia"/>
                    </w:rPr>
                    <w:t>115-230倍液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454908">
                  <w:r>
                    <w:rPr>
                      <w:rStyle w:val="11"/>
                      <w:rFonts w:hint="eastAsia"/>
                    </w:rPr>
                    <w:t>喷洒</w:t>
                  </w:r>
                </w:p>
              </w:tc>
            </w:tr>
          </w:tbl>
          <w:p w14:paraId="65532C77">
            <w:pPr>
              <w:rPr>
                <w:rFonts w:ascii="Times New Roman" w:hAnsi="Times New Roman" w:cs="Times New Roman"/>
                <w:sz w:val="20"/>
                <w:szCs w:val="20"/>
              </w:rPr>
            </w:pPr>
          </w:p>
        </w:tc>
      </w:tr>
      <w:tr w14:paraId="1A3FAD00">
        <w:tblPrEx>
          <w:tblCellMar>
            <w:top w:w="0" w:type="dxa"/>
            <w:left w:w="0" w:type="dxa"/>
            <w:bottom w:w="0" w:type="dxa"/>
            <w:right w:w="0" w:type="dxa"/>
          </w:tblCellMar>
        </w:tblPrEx>
        <w:trPr>
          <w:wBefore w:w="0" w:type="auto"/>
          <w:tblCellSpacing w:w="0" w:type="dxa"/>
        </w:trPr>
        <w:tc>
          <w:tcPr>
            <w:tcW w:w="0" w:type="auto"/>
            <w:noWrap w:val="0"/>
            <w:vAlign w:val="center"/>
          </w:tcPr>
          <w:p w14:paraId="26706034">
            <w:r>
              <w:rPr>
                <w:rStyle w:val="10"/>
                <w:rFonts w:hint="eastAsia"/>
              </w:rPr>
              <w:t>使用技术要求:</w:t>
            </w:r>
            <w:r>
              <w:rPr>
                <w:rFonts w:hint="eastAsia"/>
              </w:rPr>
              <w:br w:type="textWrapping"/>
            </w:r>
            <w:r>
              <w:rPr>
                <w:rStyle w:val="11"/>
                <w:rFonts w:hint="eastAsia"/>
              </w:rPr>
              <w:t>本品用于室外防治蝇，按推荐剂量，兑水稀释后，进行喷洒。</w:t>
            </w:r>
          </w:p>
        </w:tc>
      </w:tr>
      <w:tr w14:paraId="1B50A67D">
        <w:tblPrEx>
          <w:tblCellMar>
            <w:top w:w="0" w:type="dxa"/>
            <w:left w:w="0" w:type="dxa"/>
            <w:bottom w:w="0" w:type="dxa"/>
            <w:right w:w="0" w:type="dxa"/>
          </w:tblCellMar>
        </w:tblPrEx>
        <w:trPr>
          <w:wBefore w:w="0" w:type="auto"/>
          <w:tblCellSpacing w:w="0" w:type="dxa"/>
        </w:trPr>
        <w:tc>
          <w:tcPr>
            <w:tcW w:w="0" w:type="auto"/>
            <w:noWrap w:val="0"/>
            <w:vAlign w:val="center"/>
          </w:tcPr>
          <w:p w14:paraId="3FF23636">
            <w:r>
              <w:rPr>
                <w:rStyle w:val="10"/>
                <w:rFonts w:hint="eastAsia"/>
              </w:rPr>
              <w:t>产品性能:</w:t>
            </w:r>
            <w:r>
              <w:rPr>
                <w:rFonts w:hint="eastAsia"/>
              </w:rPr>
              <w:br w:type="textWrapping"/>
            </w:r>
            <w:r>
              <w:rPr>
                <w:rStyle w:val="11"/>
                <w:rFonts w:hint="eastAsia"/>
              </w:rPr>
              <w:t>高效氯氟氰菊酯是拟除虫菊酯类杀虫剂，具有触杀和胃毒作用。噻虫嗪是具有内吸作用的第二代新烟碱类杀虫剂，具胃毒和触杀活性。室外喷洒使用该产品，能有效防治蝇。</w:t>
            </w:r>
          </w:p>
        </w:tc>
      </w:tr>
      <w:tr w14:paraId="58C78AF3">
        <w:tblPrEx>
          <w:tblCellMar>
            <w:top w:w="0" w:type="dxa"/>
            <w:left w:w="0" w:type="dxa"/>
            <w:bottom w:w="0" w:type="dxa"/>
            <w:right w:w="0" w:type="dxa"/>
          </w:tblCellMar>
        </w:tblPrEx>
        <w:trPr>
          <w:wBefore w:w="0" w:type="auto"/>
          <w:tblCellSpacing w:w="0" w:type="dxa"/>
        </w:trPr>
        <w:tc>
          <w:tcPr>
            <w:tcW w:w="0" w:type="auto"/>
            <w:noWrap w:val="0"/>
            <w:vAlign w:val="center"/>
          </w:tcPr>
          <w:p w14:paraId="4DD00348">
            <w:r>
              <w:rPr>
                <w:rStyle w:val="10"/>
                <w:rFonts w:hint="eastAsia"/>
              </w:rPr>
              <w:t>注意事项：</w:t>
            </w:r>
            <w:r>
              <w:rPr>
                <w:rFonts w:hint="eastAsia"/>
              </w:rPr>
              <w:br w:type="textWrapping"/>
            </w:r>
            <w:r>
              <w:rPr>
                <w:rStyle w:val="11"/>
                <w:rFonts w:hint="eastAsia"/>
              </w:rPr>
              <w:t>1. 本品仅限专业人员使用。请按照农药安全使用准则使用本品。本品对眼睛有刺激性，避免药液接触皮肤、眼睛和污染衣物，避免吸入雾滴。切勿在施药现场抽烟或饮食。在饮水、进食和抽烟前，应先洗手、洗脸。2. 配药时，应戴丁腈橡胶手套和面罩，穿长袖衣、长裤和防水靴。3. 施药时，应戴可以覆盖口、鼻及面部的面罩，戴丁腈橡胶手套、穿长袖衣、长裤和防水靴。4. 施药后，彻底清洗防护用具后再脱掉防护用品。洗澡并更换和清洗工作服，工作服应同其他衣物分开清洗。5. 应依照当地法律法规妥善处理农药空包装，切勿重复使用或改作其它用途。所有施药器具，用后应立即用清水或适当的洗涤剂清洗。所有施药器具，用后应立即用清水或适当的洗涤剂清洗，清洗后的废水不能排入河塘等水源内，以免污染水源。6. 本品对鱼等水生动物、蜜蜂、蚕有毒，用药时应避免接触这些生物。蚕室内、桑园附近禁用。（周围）开花植物花期禁用，避免对周围蜂群产生影响。赤眼蜂等天敌放飞区禁用。鸟类保护区附近禁用。施药期间远离水产养殖区，禁止在河塘等水域清洗施药器具、防护用品等。本品不得直接用于水体。7. 药液未干时切勿让儿童和宠物等接触。8. 不要与碱性物质混用。避免与具有氧化性物质接触或混合。9.过敏者禁用；使用中有任何不良反应请及时就医。 10. 孕妇和哺乳期妇女应避免接触本品。</w:t>
            </w:r>
          </w:p>
        </w:tc>
      </w:tr>
      <w:tr w14:paraId="79CB8ADF">
        <w:tblPrEx>
          <w:tblCellMar>
            <w:top w:w="0" w:type="dxa"/>
            <w:left w:w="0" w:type="dxa"/>
            <w:bottom w:w="0" w:type="dxa"/>
            <w:right w:w="0" w:type="dxa"/>
          </w:tblCellMar>
        </w:tblPrEx>
        <w:trPr>
          <w:wBefore w:w="0" w:type="auto"/>
          <w:tblCellSpacing w:w="0" w:type="dxa"/>
        </w:trPr>
        <w:tc>
          <w:tcPr>
            <w:tcW w:w="0" w:type="auto"/>
            <w:noWrap w:val="0"/>
            <w:vAlign w:val="center"/>
          </w:tcPr>
          <w:p w14:paraId="52192072">
            <w:r>
              <w:rPr>
                <w:rStyle w:val="10"/>
                <w:rFonts w:hint="eastAsia"/>
              </w:rPr>
              <w:t>中毒急救措施：</w:t>
            </w:r>
            <w:r>
              <w:rPr>
                <w:rFonts w:hint="eastAsia"/>
              </w:rPr>
              <w:br w:type="textWrapping"/>
            </w:r>
            <w:r>
              <w:rPr>
                <w:rStyle w:val="11"/>
                <w:rFonts w:hint="eastAsia"/>
              </w:rPr>
              <w:t>中毒症状：按标签推荐方法使用，无中毒症状。不恰当的操作可能会引起皮肤，特别是面部皮肤感觉异常（痒，刺痛，发热，麻木等）。中毒急救：1.用药时如果感觉不适，立即停止工作，采取急救措施，并立即携此标签送医就诊。2.皮肤接触：立即脱掉被污染的衣物，用肥皂和大量清水彻底清洗受污染的皮肤，并请医生诊治。3.眼睛溅药：立即将眼睑翻开，用清水冲洗至少15分钟，再请医生诊治。4.发生吸入：立即将吸入者转移到空气新鲜处，注意保暖和休息，请医生诊治。5. 误服：请勿引吐，立即携带标签，送医就诊。紧急医疗措施（需专业医务人员操作）：使用医用活性炭洗胃，洗胃时应防止胃洗出物进入呼吸道。注意：对昏迷病人，切勿经口喂入任何东西或引吐。解毒剂：无专用解毒剂，对症治疗。中毒时，请拨打中国疾控中心中毒控制中心咨询热线： 400-650-5726。</w:t>
            </w:r>
          </w:p>
        </w:tc>
      </w:tr>
      <w:tr w14:paraId="4431A3E3">
        <w:tblPrEx>
          <w:tblCellMar>
            <w:top w:w="0" w:type="dxa"/>
            <w:left w:w="0" w:type="dxa"/>
            <w:bottom w:w="0" w:type="dxa"/>
            <w:right w:w="0" w:type="dxa"/>
          </w:tblCellMar>
        </w:tblPrEx>
        <w:trPr>
          <w:wBefore w:w="0" w:type="auto"/>
          <w:tblCellSpacing w:w="0" w:type="dxa"/>
        </w:trPr>
        <w:tc>
          <w:tcPr>
            <w:tcW w:w="0" w:type="auto"/>
            <w:noWrap w:val="0"/>
            <w:vAlign w:val="center"/>
          </w:tcPr>
          <w:p w14:paraId="3C8FF7E4">
            <w:r>
              <w:rPr>
                <w:rStyle w:val="10"/>
                <w:rFonts w:hint="eastAsia"/>
              </w:rPr>
              <w:t>储存和运输方法：</w:t>
            </w:r>
            <w:r>
              <w:rPr>
                <w:rFonts w:hint="eastAsia"/>
              </w:rPr>
              <w:br w:type="textWrapping"/>
            </w:r>
            <w:r>
              <w:rPr>
                <w:rStyle w:val="11"/>
                <w:rFonts w:hint="eastAsia"/>
              </w:rPr>
              <w:t>1.本品应加锁保存，置于儿童、无关人员和动物接触不到的地方。勿与食物、饮料、种子、粮食和动物饲料在一起存放或运输。2. 本品应贮藏在避光、干燥、通风处。运输时应注意避光、防高温、雨淋。3. 产品码放高度不宜超过2米，以免损坏包装。</w:t>
            </w:r>
          </w:p>
        </w:tc>
      </w:tr>
      <w:tr w14:paraId="4B460D38">
        <w:tblPrEx>
          <w:tblCellMar>
            <w:top w:w="0" w:type="dxa"/>
            <w:left w:w="0" w:type="dxa"/>
            <w:bottom w:w="0" w:type="dxa"/>
            <w:right w:w="0" w:type="dxa"/>
          </w:tblCellMar>
        </w:tblPrEx>
        <w:trPr>
          <w:wBefore w:w="0" w:type="auto"/>
          <w:tblCellSpacing w:w="0" w:type="dxa"/>
        </w:trPr>
        <w:tc>
          <w:tcPr>
            <w:tcW w:w="0" w:type="auto"/>
            <w:noWrap w:val="0"/>
            <w:vAlign w:val="center"/>
          </w:tcPr>
          <w:p w14:paraId="63D0727E">
            <w:r>
              <w:rPr>
                <w:rStyle w:val="10"/>
                <w:rFonts w:hint="eastAsia"/>
              </w:rPr>
              <w:t>质量保证期：</w:t>
            </w:r>
            <w:r>
              <w:rPr>
                <w:rStyle w:val="11"/>
                <w:rFonts w:hint="eastAsia"/>
              </w:rPr>
              <w:t>2年</w:t>
            </w:r>
          </w:p>
        </w:tc>
      </w:tr>
      <w:tr w14:paraId="3C98A558">
        <w:tblPrEx>
          <w:tblCellMar>
            <w:top w:w="0" w:type="dxa"/>
            <w:left w:w="0" w:type="dxa"/>
            <w:bottom w:w="0" w:type="dxa"/>
            <w:right w:w="0" w:type="dxa"/>
          </w:tblCellMar>
        </w:tblPrEx>
        <w:trPr>
          <w:wBefore w:w="0" w:type="auto"/>
          <w:tblCellSpacing w:w="0" w:type="dxa"/>
        </w:trPr>
        <w:tc>
          <w:tcPr>
            <w:tcW w:w="0" w:type="auto"/>
            <w:noWrap w:val="0"/>
            <w:vAlign w:val="center"/>
          </w:tcPr>
          <w:p w14:paraId="7FC243AD">
            <w:r>
              <w:rPr>
                <w:rStyle w:val="10"/>
                <w:rFonts w:hint="eastAsia"/>
              </w:rPr>
              <w:t>备注：</w:t>
            </w:r>
          </w:p>
        </w:tc>
      </w:tr>
    </w:tbl>
    <w:p w14:paraId="2173DD6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52EF9CC">
        <w:tblPrEx>
          <w:tblCellMar>
            <w:top w:w="0" w:type="dxa"/>
            <w:left w:w="0" w:type="dxa"/>
            <w:bottom w:w="0" w:type="dxa"/>
            <w:right w:w="0" w:type="dxa"/>
          </w:tblCellMar>
        </w:tblPrEx>
        <w:trPr>
          <w:wBefore w:w="0" w:type="auto"/>
          <w:tblCellSpacing w:w="0" w:type="dxa"/>
        </w:trPr>
        <w:tc>
          <w:tcPr>
            <w:tcW w:w="0" w:type="auto"/>
            <w:noWrap w:val="0"/>
            <w:vAlign w:val="center"/>
          </w:tcPr>
          <w:p w14:paraId="71D612AD">
            <w:r>
              <w:rPr>
                <w:rStyle w:val="10"/>
                <w:rFonts w:hint="eastAsia"/>
              </w:rPr>
              <w:t>登记证号：</w:t>
            </w:r>
            <w:r>
              <w:rPr>
                <w:rFonts w:hint="eastAsia"/>
              </w:rPr>
              <w:t>PD20212193</w:t>
            </w:r>
          </w:p>
        </w:tc>
      </w:tr>
      <w:tr w14:paraId="61B5163C">
        <w:tblPrEx>
          <w:tblCellMar>
            <w:top w:w="0" w:type="dxa"/>
            <w:left w:w="0" w:type="dxa"/>
            <w:bottom w:w="0" w:type="dxa"/>
            <w:right w:w="0" w:type="dxa"/>
          </w:tblCellMar>
        </w:tblPrEx>
        <w:trPr>
          <w:wBefore w:w="0" w:type="auto"/>
          <w:tblCellSpacing w:w="0" w:type="dxa"/>
        </w:trPr>
        <w:tc>
          <w:tcPr>
            <w:tcW w:w="0" w:type="auto"/>
            <w:noWrap w:val="0"/>
            <w:vAlign w:val="center"/>
          </w:tcPr>
          <w:p w14:paraId="475CB9C4">
            <w:r>
              <w:rPr>
                <w:rStyle w:val="10"/>
                <w:rFonts w:hint="eastAsia"/>
              </w:rPr>
              <w:t>登记证持有人：</w:t>
            </w:r>
            <w:r>
              <w:rPr>
                <w:rFonts w:hint="eastAsia"/>
              </w:rPr>
              <w:t>四川省乐山市福华通达农药科技有限公司</w:t>
            </w:r>
          </w:p>
        </w:tc>
      </w:tr>
      <w:tr w14:paraId="36D63E32">
        <w:tblPrEx>
          <w:tblCellMar>
            <w:top w:w="0" w:type="dxa"/>
            <w:left w:w="0" w:type="dxa"/>
            <w:bottom w:w="0" w:type="dxa"/>
            <w:right w:w="0" w:type="dxa"/>
          </w:tblCellMar>
        </w:tblPrEx>
        <w:trPr>
          <w:wBefore w:w="0" w:type="auto"/>
          <w:tblCellSpacing w:w="0" w:type="dxa"/>
        </w:trPr>
        <w:tc>
          <w:tcPr>
            <w:tcW w:w="0" w:type="auto"/>
            <w:noWrap w:val="0"/>
            <w:vAlign w:val="center"/>
          </w:tcPr>
          <w:p w14:paraId="5E1BF664">
            <w:r>
              <w:rPr>
                <w:rStyle w:val="10"/>
                <w:rFonts w:hint="eastAsia"/>
              </w:rPr>
              <w:t>农药名称：</w:t>
            </w:r>
            <w:r>
              <w:rPr>
                <w:rFonts w:hint="eastAsia"/>
              </w:rPr>
              <w:t>草铵·草甘膦</w:t>
            </w:r>
          </w:p>
        </w:tc>
      </w:tr>
      <w:tr w14:paraId="76435055">
        <w:tblPrEx>
          <w:tblCellMar>
            <w:top w:w="0" w:type="dxa"/>
            <w:left w:w="0" w:type="dxa"/>
            <w:bottom w:w="0" w:type="dxa"/>
            <w:right w:w="0" w:type="dxa"/>
          </w:tblCellMar>
        </w:tblPrEx>
        <w:trPr>
          <w:wBefore w:w="0" w:type="auto"/>
          <w:tblCellSpacing w:w="0" w:type="dxa"/>
        </w:trPr>
        <w:tc>
          <w:tcPr>
            <w:tcW w:w="0" w:type="auto"/>
            <w:noWrap w:val="0"/>
            <w:vAlign w:val="center"/>
          </w:tcPr>
          <w:p w14:paraId="13352A91">
            <w:r>
              <w:rPr>
                <w:rStyle w:val="10"/>
                <w:rFonts w:hint="eastAsia"/>
              </w:rPr>
              <w:t>剂型：</w:t>
            </w:r>
            <w:r>
              <w:rPr>
                <w:rFonts w:hint="eastAsia"/>
              </w:rPr>
              <w:t>可溶液剂</w:t>
            </w:r>
          </w:p>
        </w:tc>
      </w:tr>
      <w:tr w14:paraId="0B0ABE2F">
        <w:tblPrEx>
          <w:tblCellMar>
            <w:top w:w="0" w:type="dxa"/>
            <w:left w:w="0" w:type="dxa"/>
            <w:bottom w:w="0" w:type="dxa"/>
            <w:right w:w="0" w:type="dxa"/>
          </w:tblCellMar>
        </w:tblPrEx>
        <w:trPr>
          <w:wBefore w:w="0" w:type="auto"/>
          <w:tblCellSpacing w:w="0" w:type="dxa"/>
        </w:trPr>
        <w:tc>
          <w:tcPr>
            <w:tcW w:w="0" w:type="auto"/>
            <w:noWrap w:val="0"/>
            <w:vAlign w:val="center"/>
          </w:tcPr>
          <w:p w14:paraId="15628937">
            <w:r>
              <w:rPr>
                <w:rStyle w:val="10"/>
                <w:rFonts w:hint="eastAsia"/>
              </w:rPr>
              <w:t>毒性及其标识：</w:t>
            </w:r>
            <w:r>
              <w:rPr>
                <w:rFonts w:hint="eastAsia"/>
              </w:rPr>
              <w:t xml:space="preserve"> </w:t>
            </w:r>
            <w:r>
              <w:rPr>
                <w:lang/>
              </w:rPr>
              <w:drawing>
                <wp:inline distT="0" distB="0" distL="114300" distR="114300">
                  <wp:extent cx="476250" cy="323850"/>
                  <wp:effectExtent l="0" t="0" r="0" b="0"/>
                  <wp:docPr id="208" name="图片 20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7B0BF6A">
        <w:tblPrEx>
          <w:tblCellMar>
            <w:top w:w="0" w:type="dxa"/>
            <w:left w:w="0" w:type="dxa"/>
            <w:bottom w:w="0" w:type="dxa"/>
            <w:right w:w="0" w:type="dxa"/>
          </w:tblCellMar>
        </w:tblPrEx>
        <w:trPr>
          <w:wBefore w:w="0" w:type="auto"/>
          <w:tblCellSpacing w:w="0" w:type="dxa"/>
        </w:trPr>
        <w:tc>
          <w:tcPr>
            <w:tcW w:w="0" w:type="auto"/>
            <w:noWrap w:val="0"/>
            <w:vAlign w:val="center"/>
          </w:tcPr>
          <w:p w14:paraId="4D15BBB3">
            <w:r>
              <w:rPr>
                <w:rStyle w:val="10"/>
                <w:rFonts w:hint="eastAsia"/>
              </w:rPr>
              <w:t>总有效成分含量：</w:t>
            </w:r>
            <w:r>
              <w:rPr>
                <w:rFonts w:hint="eastAsia"/>
              </w:rPr>
              <w:t>36%</w:t>
            </w:r>
          </w:p>
        </w:tc>
      </w:tr>
      <w:tr w14:paraId="73A57318">
        <w:tblPrEx>
          <w:tblCellMar>
            <w:top w:w="0" w:type="dxa"/>
            <w:left w:w="0" w:type="dxa"/>
            <w:bottom w:w="0" w:type="dxa"/>
            <w:right w:w="0" w:type="dxa"/>
          </w:tblCellMar>
        </w:tblPrEx>
        <w:trPr>
          <w:wBefore w:w="0" w:type="auto"/>
          <w:tblCellSpacing w:w="0" w:type="dxa"/>
        </w:trPr>
        <w:tc>
          <w:tcPr>
            <w:tcW w:w="0" w:type="auto"/>
            <w:noWrap w:val="0"/>
            <w:vAlign w:val="center"/>
          </w:tcPr>
          <w:p w14:paraId="091F694E">
            <w:r>
              <w:rPr>
                <w:rFonts w:hint="eastAsia"/>
              </w:rPr>
              <w:t xml:space="preserve">有效成分及其含量： </w:t>
            </w:r>
          </w:p>
          <w:p w14:paraId="00B43F87">
            <w:r>
              <w:rPr>
                <w:rFonts w:hint="eastAsia"/>
              </w:rPr>
              <w:t xml:space="preserve">    草铵膦6%    草甘膦30%    </w:t>
            </w:r>
          </w:p>
        </w:tc>
      </w:tr>
      <w:tr w14:paraId="70EFA2DE">
        <w:tblPrEx>
          <w:tblCellMar>
            <w:top w:w="0" w:type="dxa"/>
            <w:left w:w="0" w:type="dxa"/>
            <w:bottom w:w="0" w:type="dxa"/>
            <w:right w:w="0" w:type="dxa"/>
          </w:tblCellMar>
        </w:tblPrEx>
        <w:trPr>
          <w:wBefore w:w="0" w:type="auto"/>
          <w:tblCellSpacing w:w="0" w:type="dxa"/>
        </w:trPr>
        <w:tc>
          <w:tcPr>
            <w:tcW w:w="0" w:type="auto"/>
            <w:noWrap w:val="0"/>
            <w:vAlign w:val="center"/>
          </w:tcPr>
          <w:p w14:paraId="4E786B7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0216C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DFD0E3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ECBA3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774273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296DD3E">
                  <w:r>
                    <w:rPr>
                      <w:rStyle w:val="11"/>
                      <w:rFonts w:hint="eastAsia"/>
                    </w:rPr>
                    <w:t>施用方式</w:t>
                  </w:r>
                </w:p>
              </w:tc>
            </w:tr>
            <w:tr w14:paraId="58FE07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669B6ED">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F74295">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570A83">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AB459C">
                  <w:r>
                    <w:rPr>
                      <w:rStyle w:val="11"/>
                      <w:rFonts w:hint="eastAsia"/>
                    </w:rPr>
                    <w:t>茎叶喷雾</w:t>
                  </w:r>
                </w:p>
              </w:tc>
            </w:tr>
          </w:tbl>
          <w:p w14:paraId="45C2E613">
            <w:pPr>
              <w:rPr>
                <w:rFonts w:ascii="Times New Roman" w:hAnsi="Times New Roman" w:cs="Times New Roman"/>
                <w:sz w:val="20"/>
                <w:szCs w:val="20"/>
              </w:rPr>
            </w:pPr>
          </w:p>
        </w:tc>
      </w:tr>
      <w:tr w14:paraId="3FAC3FD7">
        <w:tblPrEx>
          <w:tblCellMar>
            <w:top w:w="0" w:type="dxa"/>
            <w:left w:w="0" w:type="dxa"/>
            <w:bottom w:w="0" w:type="dxa"/>
            <w:right w:w="0" w:type="dxa"/>
          </w:tblCellMar>
        </w:tblPrEx>
        <w:trPr>
          <w:wBefore w:w="0" w:type="auto"/>
          <w:tblCellSpacing w:w="0" w:type="dxa"/>
        </w:trPr>
        <w:tc>
          <w:tcPr>
            <w:tcW w:w="0" w:type="auto"/>
            <w:noWrap w:val="0"/>
            <w:vAlign w:val="center"/>
          </w:tcPr>
          <w:p w14:paraId="6C5C87F2">
            <w:r>
              <w:rPr>
                <w:rStyle w:val="10"/>
                <w:rFonts w:hint="eastAsia"/>
              </w:rPr>
              <w:t>使用技术要求:</w:t>
            </w:r>
            <w:r>
              <w:rPr>
                <w:rFonts w:hint="eastAsia"/>
              </w:rPr>
              <w:br w:type="textWrapping"/>
            </w:r>
            <w:r>
              <w:rPr>
                <w:rStyle w:val="11"/>
                <w:rFonts w:hint="eastAsia"/>
              </w:rPr>
              <w:t>1.在非耕地杂草旺盛生长期，以推荐剂量兑水均匀茎叶喷雾施药一次。每公顷兑水量600-750升，注意均匀喷雾到杂草茎叶上，以保证除草效果。2. 本品为灭生性除草剂，施药时防止药液漂移到果木和临近作物上，以免发生药害。3. 大风天或预计1小时之内有降雨，请勿使用。4. 施药后5天内勿割草、放牧、翻地等。5.避免飘移药害；禁止在田间道路、田埂、果树行间、休耕地、林场林地等农林业区域使用。</w:t>
            </w:r>
          </w:p>
        </w:tc>
      </w:tr>
      <w:tr w14:paraId="6817BEE8">
        <w:tblPrEx>
          <w:tblCellMar>
            <w:top w:w="0" w:type="dxa"/>
            <w:left w:w="0" w:type="dxa"/>
            <w:bottom w:w="0" w:type="dxa"/>
            <w:right w:w="0" w:type="dxa"/>
          </w:tblCellMar>
        </w:tblPrEx>
        <w:trPr>
          <w:wBefore w:w="0" w:type="auto"/>
          <w:tblCellSpacing w:w="0" w:type="dxa"/>
        </w:trPr>
        <w:tc>
          <w:tcPr>
            <w:tcW w:w="0" w:type="auto"/>
            <w:noWrap w:val="0"/>
            <w:vAlign w:val="center"/>
          </w:tcPr>
          <w:p w14:paraId="5C47EAB4">
            <w:r>
              <w:rPr>
                <w:rStyle w:val="10"/>
                <w:rFonts w:hint="eastAsia"/>
              </w:rPr>
              <w:t>产品性能:</w:t>
            </w:r>
            <w:r>
              <w:rPr>
                <w:rFonts w:hint="eastAsia"/>
              </w:rPr>
              <w:br w:type="textWrapping"/>
            </w:r>
            <w:r>
              <w:rPr>
                <w:rStyle w:val="11"/>
                <w:rFonts w:hint="eastAsia"/>
              </w:rPr>
              <w:t>本品为草铵膦和草甘膦的混配制剂，防治非耕地杂草，属非选择性茎叶处理除草剂，接触绿色组织后具有杀伤作用，可被杂草绿色组织吸收，从而使杂草叶绿体失去活性。</w:t>
            </w:r>
          </w:p>
        </w:tc>
      </w:tr>
      <w:tr w14:paraId="41470759">
        <w:tblPrEx>
          <w:tblCellMar>
            <w:top w:w="0" w:type="dxa"/>
            <w:left w:w="0" w:type="dxa"/>
            <w:bottom w:w="0" w:type="dxa"/>
            <w:right w:w="0" w:type="dxa"/>
          </w:tblCellMar>
        </w:tblPrEx>
        <w:trPr>
          <w:wBefore w:w="0" w:type="auto"/>
          <w:tblCellSpacing w:w="0" w:type="dxa"/>
        </w:trPr>
        <w:tc>
          <w:tcPr>
            <w:tcW w:w="0" w:type="auto"/>
            <w:noWrap w:val="0"/>
            <w:vAlign w:val="center"/>
          </w:tcPr>
          <w:p w14:paraId="5A31FA2D">
            <w:r>
              <w:rPr>
                <w:rStyle w:val="10"/>
                <w:rFonts w:hint="eastAsia"/>
              </w:rPr>
              <w:t>注意事项：</w:t>
            </w:r>
            <w:r>
              <w:rPr>
                <w:rFonts w:hint="eastAsia"/>
              </w:rPr>
              <w:br w:type="textWrapping"/>
            </w:r>
            <w:r>
              <w:rPr>
                <w:rStyle w:val="11"/>
                <w:rFonts w:hint="eastAsia"/>
              </w:rPr>
              <w:t>1. 严格按农药安全使用规则正确使用，未用完的液体就保存在原包装内，盖紧瓶盖，并远离儿童、饮料和食物。2. 喷雾器使用后彻底清洗干净。如有其他疑问，请咨询当地植保部门或生产厂家。3. 使用本品时应穿戴长衣、长裤、帽子、口罩、手套等安全防护措施。避免皮肤接触。使用中不可吸烟、饮水及吃东西，使用后及时清洗手、脸等暴露部位的皮肤并更换衣物。4. 用过的容器要妥善处理，不可作他用，也不可随意丢弃。5. 不可使用最外围桑树上的叶片饲喂家蚕以及蚕室和桑园附近禁止施用本产品。禁止在河塘等水域清洗施药器具。6.本品对非靶标植物有毒，用于防治非耕地杂草，不可随意扩大使用范围。7. 本品避免与氧化剂接触。8. 孕妇及哺乳期妇女避免接触此药。</w:t>
            </w:r>
          </w:p>
        </w:tc>
      </w:tr>
      <w:tr w14:paraId="0FBBBAA2">
        <w:tblPrEx>
          <w:tblCellMar>
            <w:top w:w="0" w:type="dxa"/>
            <w:left w:w="0" w:type="dxa"/>
            <w:bottom w:w="0" w:type="dxa"/>
            <w:right w:w="0" w:type="dxa"/>
          </w:tblCellMar>
        </w:tblPrEx>
        <w:trPr>
          <w:wBefore w:w="0" w:type="auto"/>
          <w:tblCellSpacing w:w="0" w:type="dxa"/>
        </w:trPr>
        <w:tc>
          <w:tcPr>
            <w:tcW w:w="0" w:type="auto"/>
            <w:noWrap w:val="0"/>
            <w:vAlign w:val="center"/>
          </w:tcPr>
          <w:p w14:paraId="42E561BD">
            <w:r>
              <w:rPr>
                <w:rStyle w:val="10"/>
                <w:rFonts w:hint="eastAsia"/>
              </w:rPr>
              <w:t>中毒急救措施：</w:t>
            </w:r>
            <w:r>
              <w:rPr>
                <w:rFonts w:hint="eastAsia"/>
              </w:rPr>
              <w:br w:type="textWrapping"/>
            </w:r>
            <w:r>
              <w:rPr>
                <w:rStyle w:val="11"/>
                <w:rFonts w:hint="eastAsia"/>
              </w:rPr>
              <w:t>中毒症状：按照标签推荐方法使用，无典型中毒症状。 皮肤接触：立即脱去被污染的衣物，用肥皂和大量清水冲洗皮肤暴露部位。如皮肤刺激感持续，请医生诊治。眼睛溅入：立即翻开眼睑，用清水冲洗至少15分钟，再请医生诊治。吸 入：立即将吸入者转移到空气清新处，若吸入者停止呼吸，需要进行人工呼吸。注意保暖和休息，请医生诊治。误 食：严禁引吐，应先立即用清水漱口，再携带产品标签送医就诊，对症治疗。注意：对昏迷病人，切勿经口喂入任何东西。</w:t>
            </w:r>
          </w:p>
        </w:tc>
      </w:tr>
      <w:tr w14:paraId="4C51550A">
        <w:tblPrEx>
          <w:tblCellMar>
            <w:top w:w="0" w:type="dxa"/>
            <w:left w:w="0" w:type="dxa"/>
            <w:bottom w:w="0" w:type="dxa"/>
            <w:right w:w="0" w:type="dxa"/>
          </w:tblCellMar>
        </w:tblPrEx>
        <w:trPr>
          <w:wBefore w:w="0" w:type="auto"/>
          <w:tblCellSpacing w:w="0" w:type="dxa"/>
        </w:trPr>
        <w:tc>
          <w:tcPr>
            <w:tcW w:w="0" w:type="auto"/>
            <w:noWrap w:val="0"/>
            <w:vAlign w:val="center"/>
          </w:tcPr>
          <w:p w14:paraId="04AC4C4F">
            <w:r>
              <w:rPr>
                <w:rStyle w:val="10"/>
                <w:rFonts w:hint="eastAsia"/>
              </w:rPr>
              <w:t>储存和运输方法：</w:t>
            </w:r>
            <w:r>
              <w:rPr>
                <w:rFonts w:hint="eastAsia"/>
              </w:rPr>
              <w:br w:type="textWrapping"/>
            </w:r>
            <w:r>
              <w:rPr>
                <w:rStyle w:val="11"/>
                <w:rFonts w:hint="eastAsia"/>
              </w:rPr>
              <w:t>本品应储存在干燥、阴凉、通风、防雨处，远离火源或热源，置于儿童触及不到的地方，并加锁。装卸、运输过程中，需专门车辆运输，轻拿轻放，确保包装不泄露、不损坏。不能与食品、饮料、粮食、饲料等混合储存。</w:t>
            </w:r>
          </w:p>
        </w:tc>
      </w:tr>
      <w:tr w14:paraId="34FB90A2">
        <w:tblPrEx>
          <w:tblCellMar>
            <w:top w:w="0" w:type="dxa"/>
            <w:left w:w="0" w:type="dxa"/>
            <w:bottom w:w="0" w:type="dxa"/>
            <w:right w:w="0" w:type="dxa"/>
          </w:tblCellMar>
        </w:tblPrEx>
        <w:trPr>
          <w:wBefore w:w="0" w:type="auto"/>
          <w:tblCellSpacing w:w="0" w:type="dxa"/>
        </w:trPr>
        <w:tc>
          <w:tcPr>
            <w:tcW w:w="0" w:type="auto"/>
            <w:noWrap w:val="0"/>
            <w:vAlign w:val="center"/>
          </w:tcPr>
          <w:p w14:paraId="08BDDE6B">
            <w:r>
              <w:rPr>
                <w:rStyle w:val="10"/>
                <w:rFonts w:hint="eastAsia"/>
              </w:rPr>
              <w:t>质量保证期：</w:t>
            </w:r>
            <w:r>
              <w:rPr>
                <w:rStyle w:val="11"/>
                <w:rFonts w:hint="eastAsia"/>
              </w:rPr>
              <w:t>2年</w:t>
            </w:r>
          </w:p>
        </w:tc>
      </w:tr>
      <w:tr w14:paraId="097937C7">
        <w:tblPrEx>
          <w:tblCellMar>
            <w:top w:w="0" w:type="dxa"/>
            <w:left w:w="0" w:type="dxa"/>
            <w:bottom w:w="0" w:type="dxa"/>
            <w:right w:w="0" w:type="dxa"/>
          </w:tblCellMar>
        </w:tblPrEx>
        <w:trPr>
          <w:wBefore w:w="0" w:type="auto"/>
          <w:tblCellSpacing w:w="0" w:type="dxa"/>
        </w:trPr>
        <w:tc>
          <w:tcPr>
            <w:tcW w:w="0" w:type="auto"/>
            <w:noWrap w:val="0"/>
            <w:vAlign w:val="center"/>
          </w:tcPr>
          <w:p w14:paraId="3A20A566">
            <w:r>
              <w:rPr>
                <w:rStyle w:val="10"/>
                <w:rFonts w:hint="eastAsia"/>
              </w:rPr>
              <w:t>备注：</w:t>
            </w:r>
            <w:r>
              <w:rPr>
                <w:rFonts w:hint="eastAsia"/>
              </w:rPr>
              <w:br w:type="textWrapping"/>
            </w:r>
            <w:r>
              <w:rPr>
                <w:rStyle w:val="11"/>
                <w:rFonts w:hint="eastAsia"/>
              </w:rPr>
              <w:t>草甘膦异丙胺盐41%</w:t>
            </w:r>
          </w:p>
        </w:tc>
      </w:tr>
    </w:tbl>
    <w:p w14:paraId="209945A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60859B7">
        <w:tblPrEx>
          <w:tblCellMar>
            <w:top w:w="0" w:type="dxa"/>
            <w:left w:w="0" w:type="dxa"/>
            <w:bottom w:w="0" w:type="dxa"/>
            <w:right w:w="0" w:type="dxa"/>
          </w:tblCellMar>
        </w:tblPrEx>
        <w:trPr>
          <w:wBefore w:w="0" w:type="auto"/>
          <w:tblCellSpacing w:w="0" w:type="dxa"/>
        </w:trPr>
        <w:tc>
          <w:tcPr>
            <w:tcW w:w="0" w:type="auto"/>
            <w:noWrap w:val="0"/>
            <w:vAlign w:val="center"/>
          </w:tcPr>
          <w:p w14:paraId="10C6B1EF">
            <w:r>
              <w:rPr>
                <w:rStyle w:val="10"/>
                <w:rFonts w:hint="eastAsia"/>
              </w:rPr>
              <w:t>登记证号：</w:t>
            </w:r>
            <w:r>
              <w:rPr>
                <w:rFonts w:hint="eastAsia"/>
              </w:rPr>
              <w:t>PD20211836</w:t>
            </w:r>
          </w:p>
        </w:tc>
      </w:tr>
      <w:tr w14:paraId="05E8143A">
        <w:tblPrEx>
          <w:tblCellMar>
            <w:top w:w="0" w:type="dxa"/>
            <w:left w:w="0" w:type="dxa"/>
            <w:bottom w:w="0" w:type="dxa"/>
            <w:right w:w="0" w:type="dxa"/>
          </w:tblCellMar>
        </w:tblPrEx>
        <w:trPr>
          <w:wBefore w:w="0" w:type="auto"/>
          <w:tblCellSpacing w:w="0" w:type="dxa"/>
        </w:trPr>
        <w:tc>
          <w:tcPr>
            <w:tcW w:w="0" w:type="auto"/>
            <w:noWrap w:val="0"/>
            <w:vAlign w:val="center"/>
          </w:tcPr>
          <w:p w14:paraId="22B06AB8">
            <w:r>
              <w:rPr>
                <w:rStyle w:val="10"/>
                <w:rFonts w:hint="eastAsia"/>
              </w:rPr>
              <w:t>登记证持有人：</w:t>
            </w:r>
            <w:r>
              <w:rPr>
                <w:rFonts w:hint="eastAsia"/>
              </w:rPr>
              <w:t>河南喜夫农生物科技有限公司</w:t>
            </w:r>
          </w:p>
        </w:tc>
      </w:tr>
      <w:tr w14:paraId="13F3ED74">
        <w:tblPrEx>
          <w:tblCellMar>
            <w:top w:w="0" w:type="dxa"/>
            <w:left w:w="0" w:type="dxa"/>
            <w:bottom w:w="0" w:type="dxa"/>
            <w:right w:w="0" w:type="dxa"/>
          </w:tblCellMar>
        </w:tblPrEx>
        <w:trPr>
          <w:wBefore w:w="0" w:type="auto"/>
          <w:tblCellSpacing w:w="0" w:type="dxa"/>
        </w:trPr>
        <w:tc>
          <w:tcPr>
            <w:tcW w:w="0" w:type="auto"/>
            <w:noWrap w:val="0"/>
            <w:vAlign w:val="center"/>
          </w:tcPr>
          <w:p w14:paraId="313C6A1E">
            <w:r>
              <w:rPr>
                <w:rStyle w:val="10"/>
                <w:rFonts w:hint="eastAsia"/>
              </w:rPr>
              <w:t>农药名称：</w:t>
            </w:r>
            <w:r>
              <w:rPr>
                <w:rFonts w:hint="eastAsia"/>
              </w:rPr>
              <w:t>氟啶虫酰胺</w:t>
            </w:r>
          </w:p>
        </w:tc>
      </w:tr>
      <w:tr w14:paraId="7A5DCDBA">
        <w:tblPrEx>
          <w:tblCellMar>
            <w:top w:w="0" w:type="dxa"/>
            <w:left w:w="0" w:type="dxa"/>
            <w:bottom w:w="0" w:type="dxa"/>
            <w:right w:w="0" w:type="dxa"/>
          </w:tblCellMar>
        </w:tblPrEx>
        <w:trPr>
          <w:wBefore w:w="0" w:type="auto"/>
          <w:tblCellSpacing w:w="0" w:type="dxa"/>
        </w:trPr>
        <w:tc>
          <w:tcPr>
            <w:tcW w:w="0" w:type="auto"/>
            <w:noWrap w:val="0"/>
            <w:vAlign w:val="center"/>
          </w:tcPr>
          <w:p w14:paraId="52CEFE72">
            <w:r>
              <w:rPr>
                <w:rStyle w:val="10"/>
                <w:rFonts w:hint="eastAsia"/>
              </w:rPr>
              <w:t>剂型：</w:t>
            </w:r>
            <w:r>
              <w:rPr>
                <w:rFonts w:hint="eastAsia"/>
              </w:rPr>
              <w:t>悬浮剂</w:t>
            </w:r>
          </w:p>
        </w:tc>
      </w:tr>
      <w:tr w14:paraId="669687C0">
        <w:tblPrEx>
          <w:tblCellMar>
            <w:top w:w="0" w:type="dxa"/>
            <w:left w:w="0" w:type="dxa"/>
            <w:bottom w:w="0" w:type="dxa"/>
            <w:right w:w="0" w:type="dxa"/>
          </w:tblCellMar>
        </w:tblPrEx>
        <w:trPr>
          <w:wBefore w:w="0" w:type="auto"/>
          <w:tblCellSpacing w:w="0" w:type="dxa"/>
        </w:trPr>
        <w:tc>
          <w:tcPr>
            <w:tcW w:w="0" w:type="auto"/>
            <w:noWrap w:val="0"/>
            <w:vAlign w:val="center"/>
          </w:tcPr>
          <w:p w14:paraId="2E567A61">
            <w:r>
              <w:rPr>
                <w:rStyle w:val="10"/>
                <w:rFonts w:hint="eastAsia"/>
              </w:rPr>
              <w:t>毒性及其标识：</w:t>
            </w:r>
            <w:r>
              <w:rPr>
                <w:rFonts w:hint="eastAsia"/>
              </w:rPr>
              <w:t xml:space="preserve"> </w:t>
            </w:r>
            <w:r>
              <w:rPr>
                <w:lang/>
              </w:rPr>
              <w:drawing>
                <wp:inline distT="0" distB="0" distL="114300" distR="114300">
                  <wp:extent cx="476250" cy="323850"/>
                  <wp:effectExtent l="0" t="0" r="0" b="0"/>
                  <wp:docPr id="209" name="图片 20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2276763">
        <w:tblPrEx>
          <w:tblCellMar>
            <w:top w:w="0" w:type="dxa"/>
            <w:left w:w="0" w:type="dxa"/>
            <w:bottom w:w="0" w:type="dxa"/>
            <w:right w:w="0" w:type="dxa"/>
          </w:tblCellMar>
        </w:tblPrEx>
        <w:trPr>
          <w:wBefore w:w="0" w:type="auto"/>
          <w:tblCellSpacing w:w="0" w:type="dxa"/>
        </w:trPr>
        <w:tc>
          <w:tcPr>
            <w:tcW w:w="0" w:type="auto"/>
            <w:noWrap w:val="0"/>
            <w:vAlign w:val="center"/>
          </w:tcPr>
          <w:p w14:paraId="605487A3">
            <w:r>
              <w:rPr>
                <w:rStyle w:val="10"/>
                <w:rFonts w:hint="eastAsia"/>
              </w:rPr>
              <w:t>总有效成分含量：</w:t>
            </w:r>
            <w:r>
              <w:rPr>
                <w:rFonts w:hint="eastAsia"/>
              </w:rPr>
              <w:t>10%</w:t>
            </w:r>
          </w:p>
        </w:tc>
      </w:tr>
      <w:tr w14:paraId="32DBB5CB">
        <w:tblPrEx>
          <w:tblCellMar>
            <w:top w:w="0" w:type="dxa"/>
            <w:left w:w="0" w:type="dxa"/>
            <w:bottom w:w="0" w:type="dxa"/>
            <w:right w:w="0" w:type="dxa"/>
          </w:tblCellMar>
        </w:tblPrEx>
        <w:trPr>
          <w:wBefore w:w="0" w:type="auto"/>
          <w:tblCellSpacing w:w="0" w:type="dxa"/>
        </w:trPr>
        <w:tc>
          <w:tcPr>
            <w:tcW w:w="0" w:type="auto"/>
            <w:noWrap w:val="0"/>
            <w:vAlign w:val="center"/>
          </w:tcPr>
          <w:p w14:paraId="283B562C">
            <w:r>
              <w:rPr>
                <w:rFonts w:hint="eastAsia"/>
              </w:rPr>
              <w:t xml:space="preserve">有效成分及其含量： </w:t>
            </w:r>
          </w:p>
          <w:p w14:paraId="1A676A67">
            <w:r>
              <w:rPr>
                <w:rFonts w:hint="eastAsia"/>
              </w:rPr>
              <w:t xml:space="preserve">    氟啶虫酰胺10%    </w:t>
            </w:r>
          </w:p>
        </w:tc>
      </w:tr>
      <w:tr w14:paraId="2C2841F2">
        <w:tblPrEx>
          <w:tblCellMar>
            <w:top w:w="0" w:type="dxa"/>
            <w:left w:w="0" w:type="dxa"/>
            <w:bottom w:w="0" w:type="dxa"/>
            <w:right w:w="0" w:type="dxa"/>
          </w:tblCellMar>
        </w:tblPrEx>
        <w:trPr>
          <w:wBefore w:w="0" w:type="auto"/>
          <w:tblCellSpacing w:w="0" w:type="dxa"/>
        </w:trPr>
        <w:tc>
          <w:tcPr>
            <w:tcW w:w="0" w:type="auto"/>
            <w:noWrap w:val="0"/>
            <w:vAlign w:val="center"/>
          </w:tcPr>
          <w:p w14:paraId="51C44CC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9312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2E8EC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26096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A409C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2912C52">
                  <w:r>
                    <w:rPr>
                      <w:rStyle w:val="11"/>
                      <w:rFonts w:hint="eastAsia"/>
                    </w:rPr>
                    <w:t>施用方式</w:t>
                  </w:r>
                </w:p>
              </w:tc>
            </w:tr>
            <w:tr w14:paraId="77AC99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C830A5A">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4FEEA1">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B0BBDA">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EB673C">
                  <w:r>
                    <w:rPr>
                      <w:rStyle w:val="11"/>
                      <w:rFonts w:hint="eastAsia"/>
                    </w:rPr>
                    <w:t>喷雾</w:t>
                  </w:r>
                </w:p>
              </w:tc>
            </w:tr>
          </w:tbl>
          <w:p w14:paraId="64567A8E">
            <w:pPr>
              <w:rPr>
                <w:rFonts w:ascii="Times New Roman" w:hAnsi="Times New Roman" w:cs="Times New Roman"/>
                <w:sz w:val="20"/>
                <w:szCs w:val="20"/>
              </w:rPr>
            </w:pPr>
          </w:p>
        </w:tc>
      </w:tr>
      <w:tr w14:paraId="367168B6">
        <w:tblPrEx>
          <w:tblCellMar>
            <w:top w:w="0" w:type="dxa"/>
            <w:left w:w="0" w:type="dxa"/>
            <w:bottom w:w="0" w:type="dxa"/>
            <w:right w:w="0" w:type="dxa"/>
          </w:tblCellMar>
        </w:tblPrEx>
        <w:trPr>
          <w:wBefore w:w="0" w:type="auto"/>
          <w:tblCellSpacing w:w="0" w:type="dxa"/>
        </w:trPr>
        <w:tc>
          <w:tcPr>
            <w:tcW w:w="0" w:type="auto"/>
            <w:noWrap w:val="0"/>
            <w:vAlign w:val="center"/>
          </w:tcPr>
          <w:p w14:paraId="48981CEF">
            <w:r>
              <w:rPr>
                <w:rStyle w:val="10"/>
                <w:rFonts w:hint="eastAsia"/>
              </w:rPr>
              <w:t>使用技术要求:</w:t>
            </w:r>
            <w:r>
              <w:rPr>
                <w:rFonts w:hint="eastAsia"/>
              </w:rPr>
              <w:br w:type="textWrapping"/>
            </w:r>
            <w:r>
              <w:rPr>
                <w:rStyle w:val="11"/>
                <w:rFonts w:hint="eastAsia"/>
              </w:rPr>
              <w:t>1. 本品于茶树茶小绿叶蝉若虫发生盛期喷雾1次，注意喷雾均匀。 2. 大风天或预计1小时内降雨，请勿施药。 3. 本品在茶树上使用的安全间隔期为10天，每季最多使用1次。</w:t>
            </w:r>
          </w:p>
        </w:tc>
      </w:tr>
      <w:tr w14:paraId="05219FD8">
        <w:tblPrEx>
          <w:tblCellMar>
            <w:top w:w="0" w:type="dxa"/>
            <w:left w:w="0" w:type="dxa"/>
            <w:bottom w:w="0" w:type="dxa"/>
            <w:right w:w="0" w:type="dxa"/>
          </w:tblCellMar>
        </w:tblPrEx>
        <w:trPr>
          <w:wBefore w:w="0" w:type="auto"/>
          <w:tblCellSpacing w:w="0" w:type="dxa"/>
        </w:trPr>
        <w:tc>
          <w:tcPr>
            <w:tcW w:w="0" w:type="auto"/>
            <w:noWrap w:val="0"/>
            <w:vAlign w:val="center"/>
          </w:tcPr>
          <w:p w14:paraId="5D4DD21A">
            <w:r>
              <w:rPr>
                <w:rStyle w:val="10"/>
                <w:rFonts w:hint="eastAsia"/>
              </w:rPr>
              <w:t>产品性能:</w:t>
            </w:r>
            <w:r>
              <w:rPr>
                <w:rFonts w:hint="eastAsia"/>
              </w:rPr>
              <w:br w:type="textWrapping"/>
            </w:r>
            <w:r>
              <w:rPr>
                <w:rStyle w:val="11"/>
                <w:rFonts w:hint="eastAsia"/>
              </w:rPr>
              <w:t>氟啶虫酰胺是一种低毒吡啶酰胺类、昆虫生长调节剂类杀虫剂，具有很好的神经毒剂和快速拒食作用，并具有良好的渗透作用；可从根部向茎部、叶部渗透，通过阻碍害虫吮吸作用而致死，害虫摄入药剂以后很快停止吮吸，最后饥饿而死。可有效防治茶树茶小绿叶蝉。</w:t>
            </w:r>
          </w:p>
        </w:tc>
      </w:tr>
      <w:tr w14:paraId="00986606">
        <w:tblPrEx>
          <w:tblCellMar>
            <w:top w:w="0" w:type="dxa"/>
            <w:left w:w="0" w:type="dxa"/>
            <w:bottom w:w="0" w:type="dxa"/>
            <w:right w:w="0" w:type="dxa"/>
          </w:tblCellMar>
        </w:tblPrEx>
        <w:trPr>
          <w:wBefore w:w="0" w:type="auto"/>
          <w:tblCellSpacing w:w="0" w:type="dxa"/>
        </w:trPr>
        <w:tc>
          <w:tcPr>
            <w:tcW w:w="0" w:type="auto"/>
            <w:noWrap w:val="0"/>
            <w:vAlign w:val="center"/>
          </w:tcPr>
          <w:p w14:paraId="7F3AF4EA">
            <w:r>
              <w:rPr>
                <w:rStyle w:val="10"/>
                <w:rFonts w:hint="eastAsia"/>
              </w:rPr>
              <w:t>注意事项：</w:t>
            </w:r>
            <w:r>
              <w:rPr>
                <w:rFonts w:hint="eastAsia"/>
              </w:rPr>
              <w:br w:type="textWrapping"/>
            </w:r>
            <w:r>
              <w:rPr>
                <w:rStyle w:val="11"/>
                <w:rFonts w:hint="eastAsia"/>
              </w:rPr>
              <w:t>1. 建议与其他不同作用机制的杀虫剂轮换使用，以延缓抗性产生。2. 配药时应在通风处进行，操作人员需提前做好保护措施，穿着长衣长裤或长款防护服，戴好手套、面罩或护目镜等，严禁抽烟或饮食；在施药过程中，避免药液接触皮肤、眼睛和污染衣物，避免吸入药液；施药后应用肥皂和清水彻底清洗暴露在外的皮肤，并及时更换衣物。 3. 水产养殖区、河塘等水体附近禁用，禁止在河塘等水域清洗施药器具。4. （周围）开花植物花期禁用，施药期间应密切关注对附近蜂群的影响；桑园及蚕室附近禁用；赤眼蜂等天敌放飞区域禁用。5. 用过的容器应妥善处理，不可做他用，也不可随意丢弃。6. 孕妇及哺乳期妇女避免接触本产品。7. 避免与氧化剂接触。</w:t>
            </w:r>
          </w:p>
        </w:tc>
      </w:tr>
      <w:tr w14:paraId="3D69276C">
        <w:tblPrEx>
          <w:tblCellMar>
            <w:top w:w="0" w:type="dxa"/>
            <w:left w:w="0" w:type="dxa"/>
            <w:bottom w:w="0" w:type="dxa"/>
            <w:right w:w="0" w:type="dxa"/>
          </w:tblCellMar>
        </w:tblPrEx>
        <w:trPr>
          <w:wBefore w:w="0" w:type="auto"/>
          <w:tblCellSpacing w:w="0" w:type="dxa"/>
        </w:trPr>
        <w:tc>
          <w:tcPr>
            <w:tcW w:w="0" w:type="auto"/>
            <w:noWrap w:val="0"/>
            <w:vAlign w:val="center"/>
          </w:tcPr>
          <w:p w14:paraId="34576670">
            <w:r>
              <w:rPr>
                <w:rStyle w:val="10"/>
                <w:rFonts w:hint="eastAsia"/>
              </w:rPr>
              <w:t>中毒急救措施：</w:t>
            </w:r>
            <w:r>
              <w:rPr>
                <w:rFonts w:hint="eastAsia"/>
              </w:rPr>
              <w:br w:type="textWrapping"/>
            </w:r>
            <w:r>
              <w:rPr>
                <w:rStyle w:val="11"/>
                <w:rFonts w:hint="eastAsia"/>
              </w:rPr>
              <w:t>1. 无典型中毒症状。用药时如果感觉不适，立即停止工作，采取急救措施，并携此标签送医就诊；2. 皮肤接触：立即脱掉被污染的衣物，用肥皂和大量清水彻底清洗受污染的皮肤。必要时请医生诊治；3. 眼睛溅药：立即将眼睑翻开，用清水冲洗至少15分钟，再请医生诊治；4. 发生吸入：立即将吸入者转移到空气新鲜处，注意保暖和休息，请医生诊治；5. 误服：请勿引吐。立即携带标签，送医就诊。紧急医疗措施：使用医用活性炭洗胃，洗胃时注意防止胃容物进入呼吸道。注意：对昏迷病人，切勿经口喂入任何东西或引吐。无专用解毒剂，对症治疗。</w:t>
            </w:r>
          </w:p>
        </w:tc>
      </w:tr>
      <w:tr w14:paraId="6F25D3C6">
        <w:tblPrEx>
          <w:tblCellMar>
            <w:top w:w="0" w:type="dxa"/>
            <w:left w:w="0" w:type="dxa"/>
            <w:bottom w:w="0" w:type="dxa"/>
            <w:right w:w="0" w:type="dxa"/>
          </w:tblCellMar>
        </w:tblPrEx>
        <w:trPr>
          <w:wBefore w:w="0" w:type="auto"/>
          <w:tblCellSpacing w:w="0" w:type="dxa"/>
        </w:trPr>
        <w:tc>
          <w:tcPr>
            <w:tcW w:w="0" w:type="auto"/>
            <w:noWrap w:val="0"/>
            <w:vAlign w:val="center"/>
          </w:tcPr>
          <w:p w14:paraId="7BA11B3E">
            <w:r>
              <w:rPr>
                <w:rStyle w:val="10"/>
                <w:rFonts w:hint="eastAsia"/>
              </w:rPr>
              <w:t>储存和运输方法：</w:t>
            </w:r>
            <w:r>
              <w:rPr>
                <w:rFonts w:hint="eastAsia"/>
              </w:rPr>
              <w:br w:type="textWrapping"/>
            </w:r>
            <w:r>
              <w:rPr>
                <w:rStyle w:val="11"/>
                <w:rFonts w:hint="eastAsia"/>
              </w:rPr>
              <w:t>1.本品应贮存在干燥、阴凉、通风、防雨处，远离火源或热源。2.置于儿童、无关人员及动物触及不到之处，并加锁保存。3.勿与食品、饮料、粮食、饲料等同贮同运。4.运输时防雨防潮，装卸时轻卸轻放。</w:t>
            </w:r>
          </w:p>
        </w:tc>
      </w:tr>
      <w:tr w14:paraId="6BD8D016">
        <w:tblPrEx>
          <w:tblCellMar>
            <w:top w:w="0" w:type="dxa"/>
            <w:left w:w="0" w:type="dxa"/>
            <w:bottom w:w="0" w:type="dxa"/>
            <w:right w:w="0" w:type="dxa"/>
          </w:tblCellMar>
        </w:tblPrEx>
        <w:trPr>
          <w:wBefore w:w="0" w:type="auto"/>
          <w:tblCellSpacing w:w="0" w:type="dxa"/>
        </w:trPr>
        <w:tc>
          <w:tcPr>
            <w:tcW w:w="0" w:type="auto"/>
            <w:noWrap w:val="0"/>
            <w:vAlign w:val="center"/>
          </w:tcPr>
          <w:p w14:paraId="7367FEC3">
            <w:r>
              <w:rPr>
                <w:rStyle w:val="10"/>
                <w:rFonts w:hint="eastAsia"/>
              </w:rPr>
              <w:t>质量保证期：</w:t>
            </w:r>
            <w:r>
              <w:rPr>
                <w:rStyle w:val="11"/>
                <w:rFonts w:hint="eastAsia"/>
              </w:rPr>
              <w:t>2年</w:t>
            </w:r>
          </w:p>
        </w:tc>
      </w:tr>
      <w:tr w14:paraId="49D5EC0D">
        <w:tblPrEx>
          <w:tblCellMar>
            <w:top w:w="0" w:type="dxa"/>
            <w:left w:w="0" w:type="dxa"/>
            <w:bottom w:w="0" w:type="dxa"/>
            <w:right w:w="0" w:type="dxa"/>
          </w:tblCellMar>
        </w:tblPrEx>
        <w:trPr>
          <w:wBefore w:w="0" w:type="auto"/>
          <w:tblCellSpacing w:w="0" w:type="dxa"/>
        </w:trPr>
        <w:tc>
          <w:tcPr>
            <w:tcW w:w="0" w:type="auto"/>
            <w:noWrap w:val="0"/>
            <w:vAlign w:val="center"/>
          </w:tcPr>
          <w:p w14:paraId="69A88350">
            <w:r>
              <w:rPr>
                <w:rStyle w:val="10"/>
                <w:rFonts w:hint="eastAsia"/>
              </w:rPr>
              <w:t>备注：</w:t>
            </w:r>
          </w:p>
        </w:tc>
      </w:tr>
    </w:tbl>
    <w:p w14:paraId="7ED267F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3EB46F0">
        <w:tblPrEx>
          <w:tblCellMar>
            <w:top w:w="0" w:type="dxa"/>
            <w:left w:w="0" w:type="dxa"/>
            <w:bottom w:w="0" w:type="dxa"/>
            <w:right w:w="0" w:type="dxa"/>
          </w:tblCellMar>
        </w:tblPrEx>
        <w:trPr>
          <w:wBefore w:w="0" w:type="auto"/>
          <w:tblCellSpacing w:w="0" w:type="dxa"/>
        </w:trPr>
        <w:tc>
          <w:tcPr>
            <w:tcW w:w="0" w:type="auto"/>
            <w:noWrap w:val="0"/>
            <w:vAlign w:val="center"/>
          </w:tcPr>
          <w:p w14:paraId="3190A7A6">
            <w:r>
              <w:rPr>
                <w:rStyle w:val="10"/>
                <w:rFonts w:hint="eastAsia"/>
              </w:rPr>
              <w:t>登记证号：</w:t>
            </w:r>
            <w:r>
              <w:rPr>
                <w:rFonts w:hint="eastAsia"/>
              </w:rPr>
              <w:t>PD20211973</w:t>
            </w:r>
          </w:p>
        </w:tc>
      </w:tr>
      <w:tr w14:paraId="608E6522">
        <w:tblPrEx>
          <w:tblCellMar>
            <w:top w:w="0" w:type="dxa"/>
            <w:left w:w="0" w:type="dxa"/>
            <w:bottom w:w="0" w:type="dxa"/>
            <w:right w:w="0" w:type="dxa"/>
          </w:tblCellMar>
        </w:tblPrEx>
        <w:trPr>
          <w:wBefore w:w="0" w:type="auto"/>
          <w:tblCellSpacing w:w="0" w:type="dxa"/>
        </w:trPr>
        <w:tc>
          <w:tcPr>
            <w:tcW w:w="0" w:type="auto"/>
            <w:noWrap w:val="0"/>
            <w:vAlign w:val="center"/>
          </w:tcPr>
          <w:p w14:paraId="43816497">
            <w:r>
              <w:rPr>
                <w:rStyle w:val="10"/>
                <w:rFonts w:hint="eastAsia"/>
              </w:rPr>
              <w:t>登记证持有人：</w:t>
            </w:r>
            <w:r>
              <w:rPr>
                <w:rFonts w:hint="eastAsia"/>
              </w:rPr>
              <w:t>四川百事东旺生物科技有限公司</w:t>
            </w:r>
          </w:p>
        </w:tc>
      </w:tr>
      <w:tr w14:paraId="15041B76">
        <w:tblPrEx>
          <w:tblCellMar>
            <w:top w:w="0" w:type="dxa"/>
            <w:left w:w="0" w:type="dxa"/>
            <w:bottom w:w="0" w:type="dxa"/>
            <w:right w:w="0" w:type="dxa"/>
          </w:tblCellMar>
        </w:tblPrEx>
        <w:trPr>
          <w:wBefore w:w="0" w:type="auto"/>
          <w:tblCellSpacing w:w="0" w:type="dxa"/>
        </w:trPr>
        <w:tc>
          <w:tcPr>
            <w:tcW w:w="0" w:type="auto"/>
            <w:noWrap w:val="0"/>
            <w:vAlign w:val="center"/>
          </w:tcPr>
          <w:p w14:paraId="76483190">
            <w:r>
              <w:rPr>
                <w:rStyle w:val="10"/>
                <w:rFonts w:hint="eastAsia"/>
              </w:rPr>
              <w:t>农药名称：</w:t>
            </w:r>
            <w:r>
              <w:rPr>
                <w:rFonts w:hint="eastAsia"/>
              </w:rPr>
              <w:t>波尔多液</w:t>
            </w:r>
          </w:p>
        </w:tc>
      </w:tr>
      <w:tr w14:paraId="200CA561">
        <w:tblPrEx>
          <w:tblCellMar>
            <w:top w:w="0" w:type="dxa"/>
            <w:left w:w="0" w:type="dxa"/>
            <w:bottom w:w="0" w:type="dxa"/>
            <w:right w:w="0" w:type="dxa"/>
          </w:tblCellMar>
        </w:tblPrEx>
        <w:trPr>
          <w:wBefore w:w="0" w:type="auto"/>
          <w:tblCellSpacing w:w="0" w:type="dxa"/>
        </w:trPr>
        <w:tc>
          <w:tcPr>
            <w:tcW w:w="0" w:type="auto"/>
            <w:noWrap w:val="0"/>
            <w:vAlign w:val="center"/>
          </w:tcPr>
          <w:p w14:paraId="51B28323">
            <w:r>
              <w:rPr>
                <w:rStyle w:val="10"/>
                <w:rFonts w:hint="eastAsia"/>
              </w:rPr>
              <w:t>剂型：</w:t>
            </w:r>
            <w:r>
              <w:rPr>
                <w:rFonts w:hint="eastAsia"/>
              </w:rPr>
              <w:t>可湿性粉剂</w:t>
            </w:r>
          </w:p>
        </w:tc>
      </w:tr>
      <w:tr w14:paraId="40DF76C8">
        <w:tblPrEx>
          <w:tblCellMar>
            <w:top w:w="0" w:type="dxa"/>
            <w:left w:w="0" w:type="dxa"/>
            <w:bottom w:w="0" w:type="dxa"/>
            <w:right w:w="0" w:type="dxa"/>
          </w:tblCellMar>
        </w:tblPrEx>
        <w:trPr>
          <w:wBefore w:w="0" w:type="auto"/>
          <w:tblCellSpacing w:w="0" w:type="dxa"/>
        </w:trPr>
        <w:tc>
          <w:tcPr>
            <w:tcW w:w="0" w:type="auto"/>
            <w:noWrap w:val="0"/>
            <w:vAlign w:val="center"/>
          </w:tcPr>
          <w:p w14:paraId="55E86432">
            <w:r>
              <w:rPr>
                <w:rStyle w:val="10"/>
                <w:rFonts w:hint="eastAsia"/>
              </w:rPr>
              <w:t>毒性及其标识：</w:t>
            </w:r>
            <w:r>
              <w:rPr>
                <w:rFonts w:hint="eastAsia"/>
              </w:rPr>
              <w:t xml:space="preserve"> </w:t>
            </w:r>
            <w:r>
              <w:rPr>
                <w:lang/>
              </w:rPr>
              <w:drawing>
                <wp:inline distT="0" distB="0" distL="114300" distR="114300">
                  <wp:extent cx="476250" cy="323850"/>
                  <wp:effectExtent l="0" t="0" r="0" b="0"/>
                  <wp:docPr id="210" name="图片 21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353F26A">
        <w:tblPrEx>
          <w:tblCellMar>
            <w:top w:w="0" w:type="dxa"/>
            <w:left w:w="0" w:type="dxa"/>
            <w:bottom w:w="0" w:type="dxa"/>
            <w:right w:w="0" w:type="dxa"/>
          </w:tblCellMar>
        </w:tblPrEx>
        <w:trPr>
          <w:wBefore w:w="0" w:type="auto"/>
          <w:tblCellSpacing w:w="0" w:type="dxa"/>
        </w:trPr>
        <w:tc>
          <w:tcPr>
            <w:tcW w:w="0" w:type="auto"/>
            <w:noWrap w:val="0"/>
            <w:vAlign w:val="center"/>
          </w:tcPr>
          <w:p w14:paraId="3074A7C0">
            <w:r>
              <w:rPr>
                <w:rStyle w:val="10"/>
                <w:rFonts w:hint="eastAsia"/>
              </w:rPr>
              <w:t>总有效成分含量：</w:t>
            </w:r>
            <w:r>
              <w:rPr>
                <w:rFonts w:hint="eastAsia"/>
              </w:rPr>
              <w:t>80%</w:t>
            </w:r>
          </w:p>
        </w:tc>
      </w:tr>
      <w:tr w14:paraId="5D66E17F">
        <w:tblPrEx>
          <w:tblCellMar>
            <w:top w:w="0" w:type="dxa"/>
            <w:left w:w="0" w:type="dxa"/>
            <w:bottom w:w="0" w:type="dxa"/>
            <w:right w:w="0" w:type="dxa"/>
          </w:tblCellMar>
        </w:tblPrEx>
        <w:trPr>
          <w:wBefore w:w="0" w:type="auto"/>
          <w:tblCellSpacing w:w="0" w:type="dxa"/>
        </w:trPr>
        <w:tc>
          <w:tcPr>
            <w:tcW w:w="0" w:type="auto"/>
            <w:noWrap w:val="0"/>
            <w:vAlign w:val="center"/>
          </w:tcPr>
          <w:p w14:paraId="539DCB80">
            <w:r>
              <w:rPr>
                <w:rFonts w:hint="eastAsia"/>
              </w:rPr>
              <w:t xml:space="preserve">有效成分及其含量： </w:t>
            </w:r>
          </w:p>
          <w:p w14:paraId="5092C510">
            <w:r>
              <w:rPr>
                <w:rFonts w:hint="eastAsia"/>
              </w:rPr>
              <w:t xml:space="preserve">    波尔多液80%    </w:t>
            </w:r>
          </w:p>
        </w:tc>
      </w:tr>
      <w:tr w14:paraId="1A95A11C">
        <w:tblPrEx>
          <w:tblCellMar>
            <w:top w:w="0" w:type="dxa"/>
            <w:left w:w="0" w:type="dxa"/>
            <w:bottom w:w="0" w:type="dxa"/>
            <w:right w:w="0" w:type="dxa"/>
          </w:tblCellMar>
        </w:tblPrEx>
        <w:trPr>
          <w:wBefore w:w="0" w:type="auto"/>
          <w:tblCellSpacing w:w="0" w:type="dxa"/>
        </w:trPr>
        <w:tc>
          <w:tcPr>
            <w:tcW w:w="0" w:type="auto"/>
            <w:noWrap w:val="0"/>
            <w:vAlign w:val="center"/>
          </w:tcPr>
          <w:p w14:paraId="02D0F53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8DDF6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7D771F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8236F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83652C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C4D756B">
                  <w:r>
                    <w:rPr>
                      <w:rStyle w:val="11"/>
                      <w:rFonts w:hint="eastAsia"/>
                    </w:rPr>
                    <w:t>施用方式</w:t>
                  </w:r>
                </w:p>
              </w:tc>
            </w:tr>
            <w:tr w14:paraId="5135F4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F2C5AB3">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9A7128">
                  <w:r>
                    <w:rPr>
                      <w:rStyle w:val="11"/>
                      <w:rFonts w:hint="eastAsia"/>
                    </w:rPr>
                    <w:t>野火病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1232E7">
                  <w:r>
                    <w:rPr>
                      <w:rStyle w:val="11"/>
                      <w:rFonts w:hint="eastAsia"/>
                    </w:rPr>
                    <w:t>70-90克/亩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BA4A48">
                  <w:r>
                    <w:rPr>
                      <w:rStyle w:val="11"/>
                      <w:rFonts w:hint="eastAsia"/>
                    </w:rPr>
                    <w:t>喷雾</w:t>
                  </w:r>
                </w:p>
              </w:tc>
            </w:tr>
          </w:tbl>
          <w:p w14:paraId="30E5BDF9">
            <w:pPr>
              <w:rPr>
                <w:rFonts w:ascii="Times New Roman" w:hAnsi="Times New Roman" w:cs="Times New Roman"/>
                <w:sz w:val="20"/>
                <w:szCs w:val="20"/>
              </w:rPr>
            </w:pPr>
          </w:p>
        </w:tc>
      </w:tr>
      <w:tr w14:paraId="1D33E0A2">
        <w:tblPrEx>
          <w:tblCellMar>
            <w:top w:w="0" w:type="dxa"/>
            <w:left w:w="0" w:type="dxa"/>
            <w:bottom w:w="0" w:type="dxa"/>
            <w:right w:w="0" w:type="dxa"/>
          </w:tblCellMar>
        </w:tblPrEx>
        <w:trPr>
          <w:wBefore w:w="0" w:type="auto"/>
          <w:tblCellSpacing w:w="0" w:type="dxa"/>
        </w:trPr>
        <w:tc>
          <w:tcPr>
            <w:tcW w:w="0" w:type="auto"/>
            <w:noWrap w:val="0"/>
            <w:vAlign w:val="center"/>
          </w:tcPr>
          <w:p w14:paraId="66B75793">
            <w:r>
              <w:rPr>
                <w:rStyle w:val="10"/>
                <w:rFonts w:hint="eastAsia"/>
              </w:rPr>
              <w:t>使用技术要求:</w:t>
            </w:r>
            <w:r>
              <w:rPr>
                <w:rFonts w:hint="eastAsia"/>
              </w:rPr>
              <w:br w:type="textWrapping"/>
            </w:r>
            <w:r>
              <w:rPr>
                <w:rStyle w:val="11"/>
                <w:rFonts w:hint="eastAsia"/>
              </w:rPr>
              <w:t>1.于烟草野火病发病前或发病初期开始茎叶喷雾施药，间隔10左右天再次施药，连续2-3次。2. 大风天或预计1小时内降雨，请勿施药。</w:t>
            </w:r>
          </w:p>
        </w:tc>
      </w:tr>
      <w:tr w14:paraId="43739DA2">
        <w:tblPrEx>
          <w:tblCellMar>
            <w:top w:w="0" w:type="dxa"/>
            <w:left w:w="0" w:type="dxa"/>
            <w:bottom w:w="0" w:type="dxa"/>
            <w:right w:w="0" w:type="dxa"/>
          </w:tblCellMar>
        </w:tblPrEx>
        <w:trPr>
          <w:wBefore w:w="0" w:type="auto"/>
          <w:tblCellSpacing w:w="0" w:type="dxa"/>
        </w:trPr>
        <w:tc>
          <w:tcPr>
            <w:tcW w:w="0" w:type="auto"/>
            <w:noWrap w:val="0"/>
            <w:vAlign w:val="center"/>
          </w:tcPr>
          <w:p w14:paraId="1BF1E2E1">
            <w:r>
              <w:rPr>
                <w:rStyle w:val="10"/>
                <w:rFonts w:hint="eastAsia"/>
              </w:rPr>
              <w:t>产品性能:</w:t>
            </w:r>
            <w:r>
              <w:rPr>
                <w:rFonts w:hint="eastAsia"/>
              </w:rPr>
              <w:br w:type="textWrapping"/>
            </w:r>
            <w:r>
              <w:rPr>
                <w:rStyle w:val="11"/>
                <w:rFonts w:hint="eastAsia"/>
              </w:rPr>
              <w:t>本品为无机铜杀菌剂，通过铜离子使病原菌细胞膜上的蛋白质凝固及进入细胞内的少量铜离子与某些酶结合影响病原菌酶的活性而起到杀菌作用。</w:t>
            </w:r>
          </w:p>
        </w:tc>
      </w:tr>
      <w:tr w14:paraId="33DE5D1D">
        <w:tblPrEx>
          <w:tblCellMar>
            <w:top w:w="0" w:type="dxa"/>
            <w:left w:w="0" w:type="dxa"/>
            <w:bottom w:w="0" w:type="dxa"/>
            <w:right w:w="0" w:type="dxa"/>
          </w:tblCellMar>
        </w:tblPrEx>
        <w:trPr>
          <w:wBefore w:w="0" w:type="auto"/>
          <w:tblCellSpacing w:w="0" w:type="dxa"/>
        </w:trPr>
        <w:tc>
          <w:tcPr>
            <w:tcW w:w="0" w:type="auto"/>
            <w:noWrap w:val="0"/>
            <w:vAlign w:val="center"/>
          </w:tcPr>
          <w:p w14:paraId="500CE460">
            <w:r>
              <w:rPr>
                <w:rStyle w:val="10"/>
                <w:rFonts w:hint="eastAsia"/>
              </w:rPr>
              <w:t>注意事项：</w:t>
            </w:r>
            <w:r>
              <w:rPr>
                <w:rFonts w:hint="eastAsia"/>
              </w:rPr>
              <w:br w:type="textWrapping"/>
            </w:r>
            <w:r>
              <w:rPr>
                <w:rStyle w:val="11"/>
                <w:rFonts w:hint="eastAsia"/>
              </w:rPr>
              <w:t>1、喷药时要严格遵守《农药安全操作规程》，不要直接接触药液，施药人员和配药人员要戴口罩、穿防护服，施药结束后，要进行个人清洗。 2、本品不能与石硫合剂、松脂合剂等物质混合使用。 3、本品对家蚕毒性大，蚕室及桑园附近禁止使用。 鸟类保护区附近禁用。 4、配制容器不能用金属器皿，喷过的药械要及时洗净，防止腐蚀。 5、应与不同作用机制的杀菌剂轮换使用。6、药液及其废液不得污染各类水域、土壤等环境。7、禁止孕妇、哺乳期妇女接触本品。8、赤眼蜂等天敌放飞区域禁用。 9、用过的容器应妥善处理，不可作他用，也不可随意丢弃。 10、远离水产养殖区、河塘等水体施药，禁止在河塘等水体中清洗施药器具。</w:t>
            </w:r>
          </w:p>
        </w:tc>
      </w:tr>
      <w:tr w14:paraId="33B9372A">
        <w:tblPrEx>
          <w:tblCellMar>
            <w:top w:w="0" w:type="dxa"/>
            <w:left w:w="0" w:type="dxa"/>
            <w:bottom w:w="0" w:type="dxa"/>
            <w:right w:w="0" w:type="dxa"/>
          </w:tblCellMar>
        </w:tblPrEx>
        <w:trPr>
          <w:wBefore w:w="0" w:type="auto"/>
          <w:tblCellSpacing w:w="0" w:type="dxa"/>
        </w:trPr>
        <w:tc>
          <w:tcPr>
            <w:tcW w:w="0" w:type="auto"/>
            <w:noWrap w:val="0"/>
            <w:vAlign w:val="center"/>
          </w:tcPr>
          <w:p w14:paraId="72342BCC">
            <w:r>
              <w:rPr>
                <w:rStyle w:val="10"/>
                <w:rFonts w:hint="eastAsia"/>
              </w:rPr>
              <w:t>中毒急救措施：</w:t>
            </w:r>
            <w:r>
              <w:rPr>
                <w:rFonts w:hint="eastAsia"/>
              </w:rPr>
              <w:br w:type="textWrapping"/>
            </w:r>
            <w:r>
              <w:rPr>
                <w:rStyle w:val="11"/>
                <w:rFonts w:hint="eastAsia"/>
              </w:rPr>
              <w:t>对眼睛有刺激性，使用时避免药液接触眼睛。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0AD9E788">
        <w:tblPrEx>
          <w:tblCellMar>
            <w:top w:w="0" w:type="dxa"/>
            <w:left w:w="0" w:type="dxa"/>
            <w:bottom w:w="0" w:type="dxa"/>
            <w:right w:w="0" w:type="dxa"/>
          </w:tblCellMar>
        </w:tblPrEx>
        <w:trPr>
          <w:wBefore w:w="0" w:type="auto"/>
          <w:tblCellSpacing w:w="0" w:type="dxa"/>
        </w:trPr>
        <w:tc>
          <w:tcPr>
            <w:tcW w:w="0" w:type="auto"/>
            <w:noWrap w:val="0"/>
            <w:vAlign w:val="center"/>
          </w:tcPr>
          <w:p w14:paraId="7700179F">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本品应贮存在干燥、阴凉、通风、防雨处，远离火源或热源。置于儿童、无关人员触及不到之处，并加锁保存。勿与食品、饮料、粮食、饲料等其他商品同贮同运。</w:t>
            </w:r>
          </w:p>
        </w:tc>
      </w:tr>
      <w:tr w14:paraId="2F1393AB">
        <w:tblPrEx>
          <w:tblCellMar>
            <w:top w:w="0" w:type="dxa"/>
            <w:left w:w="0" w:type="dxa"/>
            <w:bottom w:w="0" w:type="dxa"/>
            <w:right w:w="0" w:type="dxa"/>
          </w:tblCellMar>
        </w:tblPrEx>
        <w:trPr>
          <w:wBefore w:w="0" w:type="auto"/>
          <w:tblCellSpacing w:w="0" w:type="dxa"/>
        </w:trPr>
        <w:tc>
          <w:tcPr>
            <w:tcW w:w="0" w:type="auto"/>
            <w:noWrap w:val="0"/>
            <w:vAlign w:val="center"/>
          </w:tcPr>
          <w:p w14:paraId="181750EA">
            <w:r>
              <w:rPr>
                <w:rStyle w:val="10"/>
                <w:rFonts w:hint="eastAsia"/>
              </w:rPr>
              <w:t>质量保证期：</w:t>
            </w:r>
            <w:r>
              <w:rPr>
                <w:rStyle w:val="11"/>
                <w:rFonts w:hint="eastAsia"/>
              </w:rPr>
              <w:t>2年</w:t>
            </w:r>
          </w:p>
        </w:tc>
      </w:tr>
      <w:tr w14:paraId="32B509C5">
        <w:tblPrEx>
          <w:tblCellMar>
            <w:top w:w="0" w:type="dxa"/>
            <w:left w:w="0" w:type="dxa"/>
            <w:bottom w:w="0" w:type="dxa"/>
            <w:right w:w="0" w:type="dxa"/>
          </w:tblCellMar>
        </w:tblPrEx>
        <w:trPr>
          <w:wBefore w:w="0" w:type="auto"/>
          <w:tblCellSpacing w:w="0" w:type="dxa"/>
        </w:trPr>
        <w:tc>
          <w:tcPr>
            <w:tcW w:w="0" w:type="auto"/>
            <w:noWrap w:val="0"/>
            <w:vAlign w:val="center"/>
          </w:tcPr>
          <w:p w14:paraId="3B1E1785">
            <w:r>
              <w:rPr>
                <w:rStyle w:val="10"/>
                <w:rFonts w:hint="eastAsia"/>
              </w:rPr>
              <w:t>备注：</w:t>
            </w:r>
          </w:p>
        </w:tc>
      </w:tr>
    </w:tbl>
    <w:p w14:paraId="625F39B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BB5BC2">
        <w:tblPrEx>
          <w:tblCellMar>
            <w:top w:w="0" w:type="dxa"/>
            <w:left w:w="0" w:type="dxa"/>
            <w:bottom w:w="0" w:type="dxa"/>
            <w:right w:w="0" w:type="dxa"/>
          </w:tblCellMar>
        </w:tblPrEx>
        <w:trPr>
          <w:wBefore w:w="0" w:type="auto"/>
          <w:tblCellSpacing w:w="0" w:type="dxa"/>
        </w:trPr>
        <w:tc>
          <w:tcPr>
            <w:tcW w:w="0" w:type="auto"/>
            <w:noWrap w:val="0"/>
            <w:vAlign w:val="center"/>
          </w:tcPr>
          <w:p w14:paraId="346734D6">
            <w:r>
              <w:rPr>
                <w:rStyle w:val="10"/>
                <w:rFonts w:hint="eastAsia"/>
              </w:rPr>
              <w:t>登记证号：</w:t>
            </w:r>
            <w:r>
              <w:rPr>
                <w:rFonts w:hint="eastAsia"/>
              </w:rPr>
              <w:t>PD20211768</w:t>
            </w:r>
          </w:p>
        </w:tc>
      </w:tr>
      <w:tr w14:paraId="4CC82ED2">
        <w:tblPrEx>
          <w:tblCellMar>
            <w:top w:w="0" w:type="dxa"/>
            <w:left w:w="0" w:type="dxa"/>
            <w:bottom w:w="0" w:type="dxa"/>
            <w:right w:w="0" w:type="dxa"/>
          </w:tblCellMar>
        </w:tblPrEx>
        <w:trPr>
          <w:wBefore w:w="0" w:type="auto"/>
          <w:tblCellSpacing w:w="0" w:type="dxa"/>
        </w:trPr>
        <w:tc>
          <w:tcPr>
            <w:tcW w:w="0" w:type="auto"/>
            <w:noWrap w:val="0"/>
            <w:vAlign w:val="center"/>
          </w:tcPr>
          <w:p w14:paraId="0E94EBB9">
            <w:r>
              <w:rPr>
                <w:rStyle w:val="10"/>
                <w:rFonts w:hint="eastAsia"/>
              </w:rPr>
              <w:t>登记证持有人：</w:t>
            </w:r>
            <w:r>
              <w:rPr>
                <w:rFonts w:hint="eastAsia"/>
              </w:rPr>
              <w:t>海南利蒙特生物科技有限公司</w:t>
            </w:r>
          </w:p>
        </w:tc>
      </w:tr>
      <w:tr w14:paraId="07158C12">
        <w:tblPrEx>
          <w:tblCellMar>
            <w:top w:w="0" w:type="dxa"/>
            <w:left w:w="0" w:type="dxa"/>
            <w:bottom w:w="0" w:type="dxa"/>
            <w:right w:w="0" w:type="dxa"/>
          </w:tblCellMar>
        </w:tblPrEx>
        <w:trPr>
          <w:wBefore w:w="0" w:type="auto"/>
          <w:tblCellSpacing w:w="0" w:type="dxa"/>
        </w:trPr>
        <w:tc>
          <w:tcPr>
            <w:tcW w:w="0" w:type="auto"/>
            <w:noWrap w:val="0"/>
            <w:vAlign w:val="center"/>
          </w:tcPr>
          <w:p w14:paraId="304DAC51">
            <w:r>
              <w:rPr>
                <w:rStyle w:val="10"/>
                <w:rFonts w:hint="eastAsia"/>
              </w:rPr>
              <w:t>农药名称：</w:t>
            </w:r>
            <w:r>
              <w:rPr>
                <w:rFonts w:hint="eastAsia"/>
              </w:rPr>
              <w:t>甲维盐·唑虫酰胺</w:t>
            </w:r>
          </w:p>
        </w:tc>
      </w:tr>
      <w:tr w14:paraId="1EC0E13C">
        <w:tblPrEx>
          <w:tblCellMar>
            <w:top w:w="0" w:type="dxa"/>
            <w:left w:w="0" w:type="dxa"/>
            <w:bottom w:w="0" w:type="dxa"/>
            <w:right w:w="0" w:type="dxa"/>
          </w:tblCellMar>
        </w:tblPrEx>
        <w:trPr>
          <w:wBefore w:w="0" w:type="auto"/>
          <w:tblCellSpacing w:w="0" w:type="dxa"/>
        </w:trPr>
        <w:tc>
          <w:tcPr>
            <w:tcW w:w="0" w:type="auto"/>
            <w:noWrap w:val="0"/>
            <w:vAlign w:val="center"/>
          </w:tcPr>
          <w:p w14:paraId="407C9185">
            <w:r>
              <w:rPr>
                <w:rStyle w:val="10"/>
                <w:rFonts w:hint="eastAsia"/>
              </w:rPr>
              <w:t>剂型：</w:t>
            </w:r>
            <w:r>
              <w:rPr>
                <w:rFonts w:hint="eastAsia"/>
              </w:rPr>
              <w:t>悬浮剂</w:t>
            </w:r>
          </w:p>
        </w:tc>
      </w:tr>
      <w:tr w14:paraId="3123DEF4">
        <w:tblPrEx>
          <w:tblCellMar>
            <w:top w:w="0" w:type="dxa"/>
            <w:left w:w="0" w:type="dxa"/>
            <w:bottom w:w="0" w:type="dxa"/>
            <w:right w:w="0" w:type="dxa"/>
          </w:tblCellMar>
        </w:tblPrEx>
        <w:trPr>
          <w:wBefore w:w="0" w:type="auto"/>
          <w:tblCellSpacing w:w="0" w:type="dxa"/>
        </w:trPr>
        <w:tc>
          <w:tcPr>
            <w:tcW w:w="0" w:type="auto"/>
            <w:noWrap w:val="0"/>
            <w:vAlign w:val="center"/>
          </w:tcPr>
          <w:p w14:paraId="7BA66ED3">
            <w:r>
              <w:rPr>
                <w:rStyle w:val="10"/>
                <w:rFonts w:hint="eastAsia"/>
              </w:rPr>
              <w:t>毒性及其标识：</w:t>
            </w:r>
            <w:r>
              <w:rPr>
                <w:rFonts w:hint="eastAsia"/>
              </w:rPr>
              <w:t xml:space="preserve"> </w:t>
            </w:r>
            <w:r>
              <w:rPr>
                <w:lang/>
              </w:rPr>
              <w:drawing>
                <wp:inline distT="0" distB="0" distL="114300" distR="114300">
                  <wp:extent cx="476250" cy="323850"/>
                  <wp:effectExtent l="0" t="0" r="0" b="0"/>
                  <wp:docPr id="211" name="图片 21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D677E75">
        <w:tblPrEx>
          <w:tblCellMar>
            <w:top w:w="0" w:type="dxa"/>
            <w:left w:w="0" w:type="dxa"/>
            <w:bottom w:w="0" w:type="dxa"/>
            <w:right w:w="0" w:type="dxa"/>
          </w:tblCellMar>
        </w:tblPrEx>
        <w:trPr>
          <w:wBefore w:w="0" w:type="auto"/>
          <w:tblCellSpacing w:w="0" w:type="dxa"/>
        </w:trPr>
        <w:tc>
          <w:tcPr>
            <w:tcW w:w="0" w:type="auto"/>
            <w:noWrap w:val="0"/>
            <w:vAlign w:val="center"/>
          </w:tcPr>
          <w:p w14:paraId="3B5F1210">
            <w:r>
              <w:rPr>
                <w:rStyle w:val="10"/>
                <w:rFonts w:hint="eastAsia"/>
              </w:rPr>
              <w:t>总有效成分含量：</w:t>
            </w:r>
            <w:r>
              <w:rPr>
                <w:rFonts w:hint="eastAsia"/>
              </w:rPr>
              <w:t>11.8%</w:t>
            </w:r>
          </w:p>
        </w:tc>
      </w:tr>
      <w:tr w14:paraId="38523447">
        <w:tblPrEx>
          <w:tblCellMar>
            <w:top w:w="0" w:type="dxa"/>
            <w:left w:w="0" w:type="dxa"/>
            <w:bottom w:w="0" w:type="dxa"/>
            <w:right w:w="0" w:type="dxa"/>
          </w:tblCellMar>
        </w:tblPrEx>
        <w:trPr>
          <w:wBefore w:w="0" w:type="auto"/>
          <w:tblCellSpacing w:w="0" w:type="dxa"/>
        </w:trPr>
        <w:tc>
          <w:tcPr>
            <w:tcW w:w="0" w:type="auto"/>
            <w:noWrap w:val="0"/>
            <w:vAlign w:val="center"/>
          </w:tcPr>
          <w:p w14:paraId="58D38451">
            <w:r>
              <w:rPr>
                <w:rFonts w:hint="eastAsia"/>
              </w:rPr>
              <w:t xml:space="preserve">有效成分及其含量： </w:t>
            </w:r>
          </w:p>
          <w:p w14:paraId="66CAE41B">
            <w:r>
              <w:rPr>
                <w:rFonts w:hint="eastAsia"/>
              </w:rPr>
              <w:t xml:space="preserve">    甲氨基阿维菌素1.8%    唑虫酰胺10%    </w:t>
            </w:r>
          </w:p>
        </w:tc>
      </w:tr>
      <w:tr w14:paraId="4C6036C3">
        <w:tblPrEx>
          <w:tblCellMar>
            <w:top w:w="0" w:type="dxa"/>
            <w:left w:w="0" w:type="dxa"/>
            <w:bottom w:w="0" w:type="dxa"/>
            <w:right w:w="0" w:type="dxa"/>
          </w:tblCellMar>
        </w:tblPrEx>
        <w:trPr>
          <w:wBefore w:w="0" w:type="auto"/>
          <w:tblCellSpacing w:w="0" w:type="dxa"/>
        </w:trPr>
        <w:tc>
          <w:tcPr>
            <w:tcW w:w="0" w:type="auto"/>
            <w:noWrap w:val="0"/>
            <w:vAlign w:val="center"/>
          </w:tcPr>
          <w:p w14:paraId="57BB9EE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296166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FC58CE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25A57F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70EE1B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134C5F1">
                  <w:r>
                    <w:rPr>
                      <w:rStyle w:val="11"/>
                      <w:rFonts w:hint="eastAsia"/>
                    </w:rPr>
                    <w:t>施用方式</w:t>
                  </w:r>
                </w:p>
              </w:tc>
            </w:tr>
            <w:tr w14:paraId="6A4058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0A5F1A">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0D588D">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D91AA1">
                  <w:r>
                    <w:rPr>
                      <w:rStyle w:val="11"/>
                      <w:rFonts w:hint="eastAsia"/>
                    </w:rPr>
                    <w:t>30-40 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6DCFA0">
                  <w:r>
                    <w:rPr>
                      <w:rStyle w:val="11"/>
                      <w:rFonts w:hint="eastAsia"/>
                    </w:rPr>
                    <w:t>喷雾</w:t>
                  </w:r>
                </w:p>
              </w:tc>
            </w:tr>
          </w:tbl>
          <w:p w14:paraId="75C2CA88">
            <w:pPr>
              <w:rPr>
                <w:rFonts w:ascii="Times New Roman" w:hAnsi="Times New Roman" w:cs="Times New Roman"/>
                <w:sz w:val="20"/>
                <w:szCs w:val="20"/>
              </w:rPr>
            </w:pPr>
          </w:p>
        </w:tc>
      </w:tr>
      <w:tr w14:paraId="76278B63">
        <w:tblPrEx>
          <w:tblCellMar>
            <w:top w:w="0" w:type="dxa"/>
            <w:left w:w="0" w:type="dxa"/>
            <w:bottom w:w="0" w:type="dxa"/>
            <w:right w:w="0" w:type="dxa"/>
          </w:tblCellMar>
        </w:tblPrEx>
        <w:trPr>
          <w:wBefore w:w="0" w:type="auto"/>
          <w:tblCellSpacing w:w="0" w:type="dxa"/>
        </w:trPr>
        <w:tc>
          <w:tcPr>
            <w:tcW w:w="0" w:type="auto"/>
            <w:noWrap w:val="0"/>
            <w:vAlign w:val="center"/>
          </w:tcPr>
          <w:p w14:paraId="5C96B8D6">
            <w:r>
              <w:rPr>
                <w:rStyle w:val="10"/>
                <w:rFonts w:hint="eastAsia"/>
              </w:rPr>
              <w:t>使用技术要求:</w:t>
            </w:r>
            <w:r>
              <w:rPr>
                <w:rFonts w:hint="eastAsia"/>
              </w:rPr>
              <w:br w:type="textWrapping"/>
            </w:r>
            <w:r>
              <w:rPr>
                <w:rStyle w:val="11"/>
                <w:rFonts w:hint="eastAsia"/>
              </w:rPr>
              <w:t>1．本品应于茶树茶小绿叶蝉若虫期施药，施药均匀周到。2．大风天或预计1小时内降雨，请勿施药。3. 本品茶树作物上使用的安全间隔期为7天，每个作物周期的最多使用次数为1次。</w:t>
            </w:r>
          </w:p>
        </w:tc>
      </w:tr>
      <w:tr w14:paraId="7B16ED3A">
        <w:tblPrEx>
          <w:tblCellMar>
            <w:top w:w="0" w:type="dxa"/>
            <w:left w:w="0" w:type="dxa"/>
            <w:bottom w:w="0" w:type="dxa"/>
            <w:right w:w="0" w:type="dxa"/>
          </w:tblCellMar>
        </w:tblPrEx>
        <w:trPr>
          <w:wBefore w:w="0" w:type="auto"/>
          <w:tblCellSpacing w:w="0" w:type="dxa"/>
        </w:trPr>
        <w:tc>
          <w:tcPr>
            <w:tcW w:w="0" w:type="auto"/>
            <w:noWrap w:val="0"/>
            <w:vAlign w:val="center"/>
          </w:tcPr>
          <w:p w14:paraId="6838CB58">
            <w:r>
              <w:rPr>
                <w:rStyle w:val="10"/>
                <w:rFonts w:hint="eastAsia"/>
              </w:rPr>
              <w:t>产品性能:</w:t>
            </w:r>
            <w:r>
              <w:rPr>
                <w:rFonts w:hint="eastAsia"/>
              </w:rPr>
              <w:br w:type="textWrapping"/>
            </w:r>
            <w:r>
              <w:rPr>
                <w:rStyle w:val="11"/>
                <w:rFonts w:hint="eastAsia"/>
              </w:rPr>
              <w:t>本品是由甲氨基阿维菌素苯甲酸盐和唑虫酰胺混配而成的农用杀虫剂。甲氨基阿维菌素苯甲酸盐是由阿维菌素B1开始合成的一种新型高效半人工合成的杀虫剂，属大环内酯双糖类化合物，具有胃毒和触杀作用。唑虫酰胺为新型吡唑杂环类杀虫杀螨剂。其作用机理为阻碍线粒体的代谢系统中的电子传达系统复合体I，从而使电子传达受到阻碍，使昆虫不能提供和贮存能量，是线粒体电子传达复合体阻碍剂。具有触杀作用。按登记剂量使用时，对茶树茶小绿叶蝉有较好的防治效果。</w:t>
            </w:r>
          </w:p>
        </w:tc>
      </w:tr>
      <w:tr w14:paraId="55AA10C7">
        <w:tblPrEx>
          <w:tblCellMar>
            <w:top w:w="0" w:type="dxa"/>
            <w:left w:w="0" w:type="dxa"/>
            <w:bottom w:w="0" w:type="dxa"/>
            <w:right w:w="0" w:type="dxa"/>
          </w:tblCellMar>
        </w:tblPrEx>
        <w:trPr>
          <w:wBefore w:w="0" w:type="auto"/>
          <w:tblCellSpacing w:w="0" w:type="dxa"/>
        </w:trPr>
        <w:tc>
          <w:tcPr>
            <w:tcW w:w="0" w:type="auto"/>
            <w:noWrap w:val="0"/>
            <w:vAlign w:val="center"/>
          </w:tcPr>
          <w:p w14:paraId="6346954A">
            <w:r>
              <w:rPr>
                <w:rStyle w:val="10"/>
                <w:rFonts w:hint="eastAsia"/>
              </w:rPr>
              <w:t>注意事项：</w:t>
            </w:r>
            <w:r>
              <w:rPr>
                <w:rFonts w:hint="eastAsia"/>
              </w:rPr>
              <w:br w:type="textWrapping"/>
            </w:r>
            <w:r>
              <w:rPr>
                <w:rStyle w:val="11"/>
                <w:rFonts w:hint="eastAsia"/>
              </w:rPr>
              <w:t>1.本品不宜与碱性农药混合使用。2.建议与其他不同作用机制的杀虫剂交替使用，以延缓抗性的产生。3.本品对鱼类、大型溞、藻类有毒。应远离水产养殖区、河塘等水体用药；禁止在河塘等水体中清洗施药器具。桑园及蚕室附近禁用；（周围）开花植物花期禁用，使用时应密切关注对附近蜂群的影响；瓢虫等天敌放飞区域禁用；鸟类保护区附近禁用。4.用药后包装物及用过的容器应妥善处理，不可做他用，也不可随意丢弃。5. 本品对眼睛有刺激性，使用时避免接触眼睛，穿戴长衣、长裤、帽子、口罩、手套等防护措施，避免吸入药液。施药期间不可吃东西和饮水。施药后应及时洗手和洗脸。6.孕妇及哺乳期妇女禁止接触。7.避免与氧化剂接触。</w:t>
            </w:r>
          </w:p>
        </w:tc>
      </w:tr>
      <w:tr w14:paraId="2B2BC41F">
        <w:tblPrEx>
          <w:tblCellMar>
            <w:top w:w="0" w:type="dxa"/>
            <w:left w:w="0" w:type="dxa"/>
            <w:bottom w:w="0" w:type="dxa"/>
            <w:right w:w="0" w:type="dxa"/>
          </w:tblCellMar>
        </w:tblPrEx>
        <w:trPr>
          <w:wBefore w:w="0" w:type="auto"/>
          <w:tblCellSpacing w:w="0" w:type="dxa"/>
        </w:trPr>
        <w:tc>
          <w:tcPr>
            <w:tcW w:w="0" w:type="auto"/>
            <w:noWrap w:val="0"/>
            <w:vAlign w:val="center"/>
          </w:tcPr>
          <w:p w14:paraId="69D0C69F">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本品如接触皮肤，用肥皂和清水彻底清洗受污的皮肤；如溅及眼睛，用清水冲洗眼睛至少10分钟；送医就诊，如误服，反复使用医用炭和大量水，并即携带标签，送医就诊。无特效解毒剂，对症治疗。</w:t>
            </w:r>
          </w:p>
        </w:tc>
      </w:tr>
      <w:tr w14:paraId="72E1FB48">
        <w:tblPrEx>
          <w:tblCellMar>
            <w:top w:w="0" w:type="dxa"/>
            <w:left w:w="0" w:type="dxa"/>
            <w:bottom w:w="0" w:type="dxa"/>
            <w:right w:w="0" w:type="dxa"/>
          </w:tblCellMar>
        </w:tblPrEx>
        <w:trPr>
          <w:wBefore w:w="0" w:type="auto"/>
          <w:tblCellSpacing w:w="0" w:type="dxa"/>
        </w:trPr>
        <w:tc>
          <w:tcPr>
            <w:tcW w:w="0" w:type="auto"/>
            <w:noWrap w:val="0"/>
            <w:vAlign w:val="center"/>
          </w:tcPr>
          <w:p w14:paraId="20DF26AD">
            <w:r>
              <w:rPr>
                <w:rStyle w:val="10"/>
                <w:rFonts w:hint="eastAsia"/>
              </w:rPr>
              <w:t>储存和运输方法：</w:t>
            </w:r>
            <w:r>
              <w:rPr>
                <w:rFonts w:hint="eastAsia"/>
              </w:rPr>
              <w:br w:type="textWrapping"/>
            </w:r>
            <w:r>
              <w:rPr>
                <w:rStyle w:val="11"/>
                <w:rFonts w:hint="eastAsia"/>
              </w:rPr>
              <w:t>本品应贮存在干燥、阴凉、通风、防雨处。置于儿童、无关人员触及不到之处，并加锁。勿与食品、饮料、饲料、粮食等同贮同运。</w:t>
            </w:r>
          </w:p>
        </w:tc>
      </w:tr>
      <w:tr w14:paraId="513FE8C1">
        <w:tblPrEx>
          <w:tblCellMar>
            <w:top w:w="0" w:type="dxa"/>
            <w:left w:w="0" w:type="dxa"/>
            <w:bottom w:w="0" w:type="dxa"/>
            <w:right w:w="0" w:type="dxa"/>
          </w:tblCellMar>
        </w:tblPrEx>
        <w:trPr>
          <w:wBefore w:w="0" w:type="auto"/>
          <w:tblCellSpacing w:w="0" w:type="dxa"/>
        </w:trPr>
        <w:tc>
          <w:tcPr>
            <w:tcW w:w="0" w:type="auto"/>
            <w:noWrap w:val="0"/>
            <w:vAlign w:val="center"/>
          </w:tcPr>
          <w:p w14:paraId="5EBC4322">
            <w:r>
              <w:rPr>
                <w:rStyle w:val="10"/>
                <w:rFonts w:hint="eastAsia"/>
              </w:rPr>
              <w:t>质量保证期：</w:t>
            </w:r>
            <w:r>
              <w:rPr>
                <w:rStyle w:val="11"/>
                <w:rFonts w:hint="eastAsia"/>
              </w:rPr>
              <w:t>2年</w:t>
            </w:r>
          </w:p>
        </w:tc>
      </w:tr>
      <w:tr w14:paraId="6A404EB4">
        <w:tblPrEx>
          <w:tblCellMar>
            <w:top w:w="0" w:type="dxa"/>
            <w:left w:w="0" w:type="dxa"/>
            <w:bottom w:w="0" w:type="dxa"/>
            <w:right w:w="0" w:type="dxa"/>
          </w:tblCellMar>
        </w:tblPrEx>
        <w:trPr>
          <w:wBefore w:w="0" w:type="auto"/>
          <w:tblCellSpacing w:w="0" w:type="dxa"/>
        </w:trPr>
        <w:tc>
          <w:tcPr>
            <w:tcW w:w="0" w:type="auto"/>
            <w:noWrap w:val="0"/>
            <w:vAlign w:val="center"/>
          </w:tcPr>
          <w:p w14:paraId="66FC7D3D">
            <w:r>
              <w:rPr>
                <w:rStyle w:val="10"/>
                <w:rFonts w:hint="eastAsia"/>
              </w:rPr>
              <w:t>备注：</w:t>
            </w:r>
            <w:r>
              <w:rPr>
                <w:rFonts w:hint="eastAsia"/>
              </w:rPr>
              <w:br w:type="textWrapping"/>
            </w:r>
            <w:r>
              <w:rPr>
                <w:rStyle w:val="11"/>
                <w:rFonts w:hint="eastAsia"/>
              </w:rPr>
              <w:t>甲氨基阿维菌素苯甲酸盐2%。</w:t>
            </w:r>
          </w:p>
        </w:tc>
      </w:tr>
    </w:tbl>
    <w:p w14:paraId="62CC335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B701E26">
        <w:tblPrEx>
          <w:tblCellMar>
            <w:top w:w="0" w:type="dxa"/>
            <w:left w:w="0" w:type="dxa"/>
            <w:bottom w:w="0" w:type="dxa"/>
            <w:right w:w="0" w:type="dxa"/>
          </w:tblCellMar>
        </w:tblPrEx>
        <w:trPr>
          <w:wBefore w:w="0" w:type="auto"/>
          <w:tblCellSpacing w:w="0" w:type="dxa"/>
        </w:trPr>
        <w:tc>
          <w:tcPr>
            <w:tcW w:w="0" w:type="auto"/>
            <w:noWrap w:val="0"/>
            <w:vAlign w:val="center"/>
          </w:tcPr>
          <w:p w14:paraId="59C12CFB">
            <w:r>
              <w:rPr>
                <w:rStyle w:val="10"/>
                <w:rFonts w:hint="eastAsia"/>
              </w:rPr>
              <w:t>登记证号：</w:t>
            </w:r>
            <w:r>
              <w:rPr>
                <w:rFonts w:hint="eastAsia"/>
              </w:rPr>
              <w:t>PD20211994</w:t>
            </w:r>
          </w:p>
        </w:tc>
      </w:tr>
      <w:tr w14:paraId="7FF31162">
        <w:tblPrEx>
          <w:tblCellMar>
            <w:top w:w="0" w:type="dxa"/>
            <w:left w:w="0" w:type="dxa"/>
            <w:bottom w:w="0" w:type="dxa"/>
            <w:right w:w="0" w:type="dxa"/>
          </w:tblCellMar>
        </w:tblPrEx>
        <w:trPr>
          <w:wBefore w:w="0" w:type="auto"/>
          <w:tblCellSpacing w:w="0" w:type="dxa"/>
        </w:trPr>
        <w:tc>
          <w:tcPr>
            <w:tcW w:w="0" w:type="auto"/>
            <w:noWrap w:val="0"/>
            <w:vAlign w:val="center"/>
          </w:tcPr>
          <w:p w14:paraId="46975B97">
            <w:r>
              <w:rPr>
                <w:rStyle w:val="10"/>
                <w:rFonts w:hint="eastAsia"/>
              </w:rPr>
              <w:t>登记证持有人：</w:t>
            </w:r>
            <w:r>
              <w:rPr>
                <w:rFonts w:hint="eastAsia"/>
              </w:rPr>
              <w:t>山东麒麟农化有限公司</w:t>
            </w:r>
          </w:p>
        </w:tc>
      </w:tr>
      <w:tr w14:paraId="195BD883">
        <w:tblPrEx>
          <w:tblCellMar>
            <w:top w:w="0" w:type="dxa"/>
            <w:left w:w="0" w:type="dxa"/>
            <w:bottom w:w="0" w:type="dxa"/>
            <w:right w:w="0" w:type="dxa"/>
          </w:tblCellMar>
        </w:tblPrEx>
        <w:trPr>
          <w:wBefore w:w="0" w:type="auto"/>
          <w:tblCellSpacing w:w="0" w:type="dxa"/>
        </w:trPr>
        <w:tc>
          <w:tcPr>
            <w:tcW w:w="0" w:type="auto"/>
            <w:noWrap w:val="0"/>
            <w:vAlign w:val="center"/>
          </w:tcPr>
          <w:p w14:paraId="4D3AC534">
            <w:r>
              <w:rPr>
                <w:rStyle w:val="10"/>
                <w:rFonts w:hint="eastAsia"/>
              </w:rPr>
              <w:t>农药名称：</w:t>
            </w:r>
            <w:r>
              <w:rPr>
                <w:rFonts w:hint="eastAsia"/>
              </w:rPr>
              <w:t>喹啉铜</w:t>
            </w:r>
          </w:p>
        </w:tc>
      </w:tr>
      <w:tr w14:paraId="3B4D75D8">
        <w:tblPrEx>
          <w:tblCellMar>
            <w:top w:w="0" w:type="dxa"/>
            <w:left w:w="0" w:type="dxa"/>
            <w:bottom w:w="0" w:type="dxa"/>
            <w:right w:w="0" w:type="dxa"/>
          </w:tblCellMar>
        </w:tblPrEx>
        <w:trPr>
          <w:wBefore w:w="0" w:type="auto"/>
          <w:tblCellSpacing w:w="0" w:type="dxa"/>
        </w:trPr>
        <w:tc>
          <w:tcPr>
            <w:tcW w:w="0" w:type="auto"/>
            <w:noWrap w:val="0"/>
            <w:vAlign w:val="center"/>
          </w:tcPr>
          <w:p w14:paraId="2C61F450">
            <w:r>
              <w:rPr>
                <w:rStyle w:val="10"/>
                <w:rFonts w:hint="eastAsia"/>
              </w:rPr>
              <w:t>剂型：</w:t>
            </w:r>
            <w:r>
              <w:rPr>
                <w:rFonts w:hint="eastAsia"/>
              </w:rPr>
              <w:t>悬浮剂</w:t>
            </w:r>
          </w:p>
        </w:tc>
      </w:tr>
      <w:tr w14:paraId="7D80384B">
        <w:tblPrEx>
          <w:tblCellMar>
            <w:top w:w="0" w:type="dxa"/>
            <w:left w:w="0" w:type="dxa"/>
            <w:bottom w:w="0" w:type="dxa"/>
            <w:right w:w="0" w:type="dxa"/>
          </w:tblCellMar>
        </w:tblPrEx>
        <w:trPr>
          <w:wBefore w:w="0" w:type="auto"/>
          <w:tblCellSpacing w:w="0" w:type="dxa"/>
        </w:trPr>
        <w:tc>
          <w:tcPr>
            <w:tcW w:w="0" w:type="auto"/>
            <w:noWrap w:val="0"/>
            <w:vAlign w:val="center"/>
          </w:tcPr>
          <w:p w14:paraId="64DB870D">
            <w:r>
              <w:rPr>
                <w:rStyle w:val="10"/>
                <w:rFonts w:hint="eastAsia"/>
              </w:rPr>
              <w:t>毒性及其标识：</w:t>
            </w:r>
            <w:r>
              <w:rPr>
                <w:rFonts w:hint="eastAsia"/>
              </w:rPr>
              <w:t xml:space="preserve"> </w:t>
            </w:r>
            <w:r>
              <w:rPr>
                <w:lang/>
              </w:rPr>
              <w:drawing>
                <wp:inline distT="0" distB="0" distL="114300" distR="114300">
                  <wp:extent cx="476250" cy="323850"/>
                  <wp:effectExtent l="0" t="0" r="0" b="0"/>
                  <wp:docPr id="212" name="图片 21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F13D039">
        <w:tblPrEx>
          <w:tblCellMar>
            <w:top w:w="0" w:type="dxa"/>
            <w:left w:w="0" w:type="dxa"/>
            <w:bottom w:w="0" w:type="dxa"/>
            <w:right w:w="0" w:type="dxa"/>
          </w:tblCellMar>
        </w:tblPrEx>
        <w:trPr>
          <w:wBefore w:w="0" w:type="auto"/>
          <w:tblCellSpacing w:w="0" w:type="dxa"/>
        </w:trPr>
        <w:tc>
          <w:tcPr>
            <w:tcW w:w="0" w:type="auto"/>
            <w:noWrap w:val="0"/>
            <w:vAlign w:val="center"/>
          </w:tcPr>
          <w:p w14:paraId="6B280097">
            <w:r>
              <w:rPr>
                <w:rStyle w:val="10"/>
                <w:rFonts w:hint="eastAsia"/>
              </w:rPr>
              <w:t>总有效成分含量：</w:t>
            </w:r>
            <w:r>
              <w:rPr>
                <w:rFonts w:hint="eastAsia"/>
              </w:rPr>
              <w:t>40%</w:t>
            </w:r>
          </w:p>
        </w:tc>
      </w:tr>
      <w:tr w14:paraId="1254F13A">
        <w:tblPrEx>
          <w:tblCellMar>
            <w:top w:w="0" w:type="dxa"/>
            <w:left w:w="0" w:type="dxa"/>
            <w:bottom w:w="0" w:type="dxa"/>
            <w:right w:w="0" w:type="dxa"/>
          </w:tblCellMar>
        </w:tblPrEx>
        <w:trPr>
          <w:wBefore w:w="0" w:type="auto"/>
          <w:tblCellSpacing w:w="0" w:type="dxa"/>
        </w:trPr>
        <w:tc>
          <w:tcPr>
            <w:tcW w:w="0" w:type="auto"/>
            <w:noWrap w:val="0"/>
            <w:vAlign w:val="center"/>
          </w:tcPr>
          <w:p w14:paraId="3B8A24B2">
            <w:r>
              <w:rPr>
                <w:rFonts w:hint="eastAsia"/>
              </w:rPr>
              <w:t xml:space="preserve">有效成分及其含量： </w:t>
            </w:r>
          </w:p>
          <w:p w14:paraId="3AD72795">
            <w:r>
              <w:rPr>
                <w:rFonts w:hint="eastAsia"/>
              </w:rPr>
              <w:t xml:space="preserve">    喹啉铜40%    </w:t>
            </w:r>
          </w:p>
        </w:tc>
      </w:tr>
      <w:tr w14:paraId="76578CDA">
        <w:tblPrEx>
          <w:tblCellMar>
            <w:top w:w="0" w:type="dxa"/>
            <w:left w:w="0" w:type="dxa"/>
            <w:bottom w:w="0" w:type="dxa"/>
            <w:right w:w="0" w:type="dxa"/>
          </w:tblCellMar>
        </w:tblPrEx>
        <w:trPr>
          <w:wBefore w:w="0" w:type="auto"/>
          <w:tblCellSpacing w:w="0" w:type="dxa"/>
        </w:trPr>
        <w:tc>
          <w:tcPr>
            <w:tcW w:w="0" w:type="auto"/>
            <w:noWrap w:val="0"/>
            <w:vAlign w:val="center"/>
          </w:tcPr>
          <w:p w14:paraId="7A17341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1AF97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A825A2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1BF61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A43A81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4EADF31">
                  <w:r>
                    <w:rPr>
                      <w:rStyle w:val="11"/>
                      <w:rFonts w:hint="eastAsia"/>
                    </w:rPr>
                    <w:t>施用方式</w:t>
                  </w:r>
                </w:p>
              </w:tc>
            </w:tr>
            <w:tr w14:paraId="2BD359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A664B58">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FC10EF">
                  <w:r>
                    <w:rPr>
                      <w:rStyle w:val="11"/>
                      <w:rFonts w:hint="eastAsia"/>
                    </w:rPr>
                    <w:t>细菌性角斑病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B78A59">
                  <w:r>
                    <w:rPr>
                      <w:rStyle w:val="11"/>
                      <w:rFonts w:hint="eastAsia"/>
                    </w:rPr>
                    <w:t>50-70毫升/亩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3BB72A">
                  <w:r>
                    <w:rPr>
                      <w:rStyle w:val="11"/>
                      <w:rFonts w:hint="eastAsia"/>
                    </w:rPr>
                    <w:t>喷雾</w:t>
                  </w:r>
                </w:p>
              </w:tc>
            </w:tr>
          </w:tbl>
          <w:p w14:paraId="6419A221">
            <w:pPr>
              <w:rPr>
                <w:rFonts w:ascii="Times New Roman" w:hAnsi="Times New Roman" w:cs="Times New Roman"/>
                <w:sz w:val="20"/>
                <w:szCs w:val="20"/>
              </w:rPr>
            </w:pPr>
          </w:p>
        </w:tc>
      </w:tr>
      <w:tr w14:paraId="68854B51">
        <w:tblPrEx>
          <w:tblCellMar>
            <w:top w:w="0" w:type="dxa"/>
            <w:left w:w="0" w:type="dxa"/>
            <w:bottom w:w="0" w:type="dxa"/>
            <w:right w:w="0" w:type="dxa"/>
          </w:tblCellMar>
        </w:tblPrEx>
        <w:trPr>
          <w:wBefore w:w="0" w:type="auto"/>
          <w:tblCellSpacing w:w="0" w:type="dxa"/>
        </w:trPr>
        <w:tc>
          <w:tcPr>
            <w:tcW w:w="0" w:type="auto"/>
            <w:noWrap w:val="0"/>
            <w:vAlign w:val="center"/>
          </w:tcPr>
          <w:p w14:paraId="434A11A9">
            <w:r>
              <w:rPr>
                <w:rStyle w:val="10"/>
                <w:rFonts w:hint="eastAsia"/>
              </w:rPr>
              <w:t>使用技术要求:</w:t>
            </w:r>
            <w:r>
              <w:rPr>
                <w:rFonts w:hint="eastAsia"/>
              </w:rPr>
              <w:br w:type="textWrapping"/>
            </w:r>
            <w:r>
              <w:rPr>
                <w:rStyle w:val="11"/>
                <w:rFonts w:hint="eastAsia"/>
              </w:rPr>
              <w:t>1）于黄瓜细菌性角斑病发病初期施药，间隔7天施药1次。 2）大风天或预计1小时内降雨，请勿施药。 3）本品每季作物最多使用3次,安全间隔期3天。</w:t>
            </w:r>
          </w:p>
        </w:tc>
      </w:tr>
      <w:tr w14:paraId="1F0B9393">
        <w:tblPrEx>
          <w:tblCellMar>
            <w:top w:w="0" w:type="dxa"/>
            <w:left w:w="0" w:type="dxa"/>
            <w:bottom w:w="0" w:type="dxa"/>
            <w:right w:w="0" w:type="dxa"/>
          </w:tblCellMar>
        </w:tblPrEx>
        <w:trPr>
          <w:wBefore w:w="0" w:type="auto"/>
          <w:tblCellSpacing w:w="0" w:type="dxa"/>
        </w:trPr>
        <w:tc>
          <w:tcPr>
            <w:tcW w:w="0" w:type="auto"/>
            <w:noWrap w:val="0"/>
            <w:vAlign w:val="center"/>
          </w:tcPr>
          <w:p w14:paraId="162B59C0">
            <w:r>
              <w:rPr>
                <w:rStyle w:val="10"/>
                <w:rFonts w:hint="eastAsia"/>
              </w:rPr>
              <w:t>产品性能:</w:t>
            </w:r>
            <w:r>
              <w:rPr>
                <w:rFonts w:hint="eastAsia"/>
              </w:rPr>
              <w:br w:type="textWrapping"/>
            </w:r>
            <w:r>
              <w:rPr>
                <w:rStyle w:val="11"/>
                <w:rFonts w:hint="eastAsia"/>
              </w:rPr>
              <w:t>本品是一种有机铜螯合物，对真菌、细菌性病害都具有优异的防治效果。在作物表面形成一层严密的保护膜，抑制病菌萌发和侵入，从而达到防病治病的目的。能有效防治黄瓜细菌性角斑病。</w:t>
            </w:r>
          </w:p>
        </w:tc>
      </w:tr>
      <w:tr w14:paraId="6F8BBEA1">
        <w:tblPrEx>
          <w:tblCellMar>
            <w:top w:w="0" w:type="dxa"/>
            <w:left w:w="0" w:type="dxa"/>
            <w:bottom w:w="0" w:type="dxa"/>
            <w:right w:w="0" w:type="dxa"/>
          </w:tblCellMar>
        </w:tblPrEx>
        <w:trPr>
          <w:wBefore w:w="0" w:type="auto"/>
          <w:tblCellSpacing w:w="0" w:type="dxa"/>
        </w:trPr>
        <w:tc>
          <w:tcPr>
            <w:tcW w:w="0" w:type="auto"/>
            <w:noWrap w:val="0"/>
            <w:vAlign w:val="center"/>
          </w:tcPr>
          <w:p w14:paraId="433D4ECF">
            <w:r>
              <w:rPr>
                <w:rStyle w:val="10"/>
                <w:rFonts w:hint="eastAsia"/>
              </w:rPr>
              <w:t>注意事项：</w:t>
            </w:r>
            <w:r>
              <w:rPr>
                <w:rFonts w:hint="eastAsia"/>
              </w:rPr>
              <w:br w:type="textWrapping"/>
            </w:r>
            <w:r>
              <w:rPr>
                <w:rStyle w:val="11"/>
                <w:rFonts w:hint="eastAsia"/>
              </w:rPr>
              <w:t>1）使用时应穿防护服，戴防护手套、口罩等，避免皮肤接触及口鼻吸入。使用中不可吸烟、饮水及吃东西，使用后及时用大量清水和肥皂清洗手、脸等暴露部位皮肤并更换衣物。2）本品对家蚕有毒，蚕室及桑园附近禁用。最外围桑树设置为隔离带，不能用于饲养家蚕。 3）禁止在河塘等水体中清洗施药器具，避免药液及其废液污染水源等。用过的容器应妥善处理，不可做他用，也不可随意丢弃。4）建议与其他作用机制不同的杀菌剂轮换使用，以延缓抗性产生。5）禁止儿童、孕妇及哺乳期妇女接触，过敏者禁用，使用中有任何不良反应请及时就医。</w:t>
            </w:r>
          </w:p>
        </w:tc>
      </w:tr>
      <w:tr w14:paraId="062C4579">
        <w:tblPrEx>
          <w:tblCellMar>
            <w:top w:w="0" w:type="dxa"/>
            <w:left w:w="0" w:type="dxa"/>
            <w:bottom w:w="0" w:type="dxa"/>
            <w:right w:w="0" w:type="dxa"/>
          </w:tblCellMar>
        </w:tblPrEx>
        <w:trPr>
          <w:wBefore w:w="0" w:type="auto"/>
          <w:tblCellSpacing w:w="0" w:type="dxa"/>
        </w:trPr>
        <w:tc>
          <w:tcPr>
            <w:tcW w:w="0" w:type="auto"/>
            <w:noWrap w:val="0"/>
            <w:vAlign w:val="center"/>
          </w:tcPr>
          <w:p w14:paraId="5F117C9A">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使用中或使用后如果感觉不适，应立即停止工作，采取急救措施，并携带标签送医就诊。 急救措施：使用中或使用后如果感觉不适，应立即停止工作，采取急救措施，并携带标签送医院就诊。如接触皮肤，脱去污染的衣物，立即用软布去除沾染的农药，用肥皂和清水彻底清洗受污的皮肤，如溅及眼睛，应立即用大量清水冲洗眼睛15分钟；如不慎吸入，立即离开施药现场，转移到空气清新处；如误服，不要引吐，用清水充分漱口后立即送医院救治。</w:t>
            </w:r>
          </w:p>
        </w:tc>
      </w:tr>
      <w:tr w14:paraId="563650A6">
        <w:tblPrEx>
          <w:tblCellMar>
            <w:top w:w="0" w:type="dxa"/>
            <w:left w:w="0" w:type="dxa"/>
            <w:bottom w:w="0" w:type="dxa"/>
            <w:right w:w="0" w:type="dxa"/>
          </w:tblCellMar>
        </w:tblPrEx>
        <w:trPr>
          <w:wBefore w:w="0" w:type="auto"/>
          <w:tblCellSpacing w:w="0" w:type="dxa"/>
        </w:trPr>
        <w:tc>
          <w:tcPr>
            <w:tcW w:w="0" w:type="auto"/>
            <w:noWrap w:val="0"/>
            <w:vAlign w:val="center"/>
          </w:tcPr>
          <w:p w14:paraId="3DE0BA4E">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本品应贮存在干燥、阴凉、通风、防雨处，远离火源或热源。置于儿童、无关人员触及不到之处，并加锁。勿与食品、饮料、粮食、饲料等物其他商品同贮同运。</w:t>
            </w:r>
          </w:p>
        </w:tc>
      </w:tr>
      <w:tr w14:paraId="3E9EFC32">
        <w:tblPrEx>
          <w:tblCellMar>
            <w:top w:w="0" w:type="dxa"/>
            <w:left w:w="0" w:type="dxa"/>
            <w:bottom w:w="0" w:type="dxa"/>
            <w:right w:w="0" w:type="dxa"/>
          </w:tblCellMar>
        </w:tblPrEx>
        <w:trPr>
          <w:wBefore w:w="0" w:type="auto"/>
          <w:tblCellSpacing w:w="0" w:type="dxa"/>
        </w:trPr>
        <w:tc>
          <w:tcPr>
            <w:tcW w:w="0" w:type="auto"/>
            <w:noWrap w:val="0"/>
            <w:vAlign w:val="center"/>
          </w:tcPr>
          <w:p w14:paraId="78BC96F0">
            <w:r>
              <w:rPr>
                <w:rStyle w:val="10"/>
                <w:rFonts w:hint="eastAsia"/>
              </w:rPr>
              <w:t>质量保证期：</w:t>
            </w:r>
            <w:r>
              <w:rPr>
                <w:rStyle w:val="11"/>
                <w:rFonts w:hint="eastAsia"/>
              </w:rPr>
              <w:t>2年</w:t>
            </w:r>
          </w:p>
        </w:tc>
      </w:tr>
      <w:tr w14:paraId="2E9124E9">
        <w:tblPrEx>
          <w:tblCellMar>
            <w:top w:w="0" w:type="dxa"/>
            <w:left w:w="0" w:type="dxa"/>
            <w:bottom w:w="0" w:type="dxa"/>
            <w:right w:w="0" w:type="dxa"/>
          </w:tblCellMar>
        </w:tblPrEx>
        <w:trPr>
          <w:wBefore w:w="0" w:type="auto"/>
          <w:tblCellSpacing w:w="0" w:type="dxa"/>
        </w:trPr>
        <w:tc>
          <w:tcPr>
            <w:tcW w:w="0" w:type="auto"/>
            <w:noWrap w:val="0"/>
            <w:vAlign w:val="center"/>
          </w:tcPr>
          <w:p w14:paraId="5F15A2FE">
            <w:r>
              <w:rPr>
                <w:rStyle w:val="10"/>
                <w:rFonts w:hint="eastAsia"/>
              </w:rPr>
              <w:t>备注：</w:t>
            </w:r>
          </w:p>
        </w:tc>
      </w:tr>
    </w:tbl>
    <w:p w14:paraId="5AFFA21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7CB0752">
        <w:tblPrEx>
          <w:tblCellMar>
            <w:top w:w="0" w:type="dxa"/>
            <w:left w:w="0" w:type="dxa"/>
            <w:bottom w:w="0" w:type="dxa"/>
            <w:right w:w="0" w:type="dxa"/>
          </w:tblCellMar>
        </w:tblPrEx>
        <w:trPr>
          <w:wBefore w:w="0" w:type="auto"/>
          <w:tblCellSpacing w:w="0" w:type="dxa"/>
        </w:trPr>
        <w:tc>
          <w:tcPr>
            <w:tcW w:w="0" w:type="auto"/>
            <w:noWrap w:val="0"/>
            <w:vAlign w:val="center"/>
          </w:tcPr>
          <w:p w14:paraId="29F47F11">
            <w:r>
              <w:rPr>
                <w:rStyle w:val="10"/>
                <w:rFonts w:hint="eastAsia"/>
              </w:rPr>
              <w:t>登记证号：</w:t>
            </w:r>
            <w:r>
              <w:rPr>
                <w:rFonts w:hint="eastAsia"/>
              </w:rPr>
              <w:t>PD20211930</w:t>
            </w:r>
          </w:p>
        </w:tc>
      </w:tr>
      <w:tr w14:paraId="745E163B">
        <w:tblPrEx>
          <w:tblCellMar>
            <w:top w:w="0" w:type="dxa"/>
            <w:left w:w="0" w:type="dxa"/>
            <w:bottom w:w="0" w:type="dxa"/>
            <w:right w:w="0" w:type="dxa"/>
          </w:tblCellMar>
        </w:tblPrEx>
        <w:trPr>
          <w:wBefore w:w="0" w:type="auto"/>
          <w:tblCellSpacing w:w="0" w:type="dxa"/>
        </w:trPr>
        <w:tc>
          <w:tcPr>
            <w:tcW w:w="0" w:type="auto"/>
            <w:noWrap w:val="0"/>
            <w:vAlign w:val="center"/>
          </w:tcPr>
          <w:p w14:paraId="0186492C">
            <w:r>
              <w:rPr>
                <w:rStyle w:val="10"/>
                <w:rFonts w:hint="eastAsia"/>
              </w:rPr>
              <w:t>登记证持有人：</w:t>
            </w:r>
            <w:r>
              <w:rPr>
                <w:rFonts w:hint="eastAsia"/>
              </w:rPr>
              <w:t>山东麒麟农化有限公司</w:t>
            </w:r>
          </w:p>
        </w:tc>
      </w:tr>
      <w:tr w14:paraId="76F8F823">
        <w:tblPrEx>
          <w:tblCellMar>
            <w:top w:w="0" w:type="dxa"/>
            <w:left w:w="0" w:type="dxa"/>
            <w:bottom w:w="0" w:type="dxa"/>
            <w:right w:w="0" w:type="dxa"/>
          </w:tblCellMar>
        </w:tblPrEx>
        <w:trPr>
          <w:wBefore w:w="0" w:type="auto"/>
          <w:tblCellSpacing w:w="0" w:type="dxa"/>
        </w:trPr>
        <w:tc>
          <w:tcPr>
            <w:tcW w:w="0" w:type="auto"/>
            <w:noWrap w:val="0"/>
            <w:vAlign w:val="center"/>
          </w:tcPr>
          <w:p w14:paraId="7BA3C34D">
            <w:r>
              <w:rPr>
                <w:rStyle w:val="10"/>
                <w:rFonts w:hint="eastAsia"/>
              </w:rPr>
              <w:t>农药名称：</w:t>
            </w:r>
            <w:r>
              <w:rPr>
                <w:rFonts w:hint="eastAsia"/>
              </w:rPr>
              <w:t>四氟·醚菌酯</w:t>
            </w:r>
          </w:p>
        </w:tc>
      </w:tr>
      <w:tr w14:paraId="5387A5FE">
        <w:tblPrEx>
          <w:tblCellMar>
            <w:top w:w="0" w:type="dxa"/>
            <w:left w:w="0" w:type="dxa"/>
            <w:bottom w:w="0" w:type="dxa"/>
            <w:right w:w="0" w:type="dxa"/>
          </w:tblCellMar>
        </w:tblPrEx>
        <w:trPr>
          <w:wBefore w:w="0" w:type="auto"/>
          <w:tblCellSpacing w:w="0" w:type="dxa"/>
        </w:trPr>
        <w:tc>
          <w:tcPr>
            <w:tcW w:w="0" w:type="auto"/>
            <w:noWrap w:val="0"/>
            <w:vAlign w:val="center"/>
          </w:tcPr>
          <w:p w14:paraId="0A2C7211">
            <w:r>
              <w:rPr>
                <w:rStyle w:val="10"/>
                <w:rFonts w:hint="eastAsia"/>
              </w:rPr>
              <w:t>剂型：</w:t>
            </w:r>
            <w:r>
              <w:rPr>
                <w:rFonts w:hint="eastAsia"/>
              </w:rPr>
              <w:t>悬乳剂</w:t>
            </w:r>
          </w:p>
        </w:tc>
      </w:tr>
      <w:tr w14:paraId="1583FCCA">
        <w:tblPrEx>
          <w:tblCellMar>
            <w:top w:w="0" w:type="dxa"/>
            <w:left w:w="0" w:type="dxa"/>
            <w:bottom w:w="0" w:type="dxa"/>
            <w:right w:w="0" w:type="dxa"/>
          </w:tblCellMar>
        </w:tblPrEx>
        <w:trPr>
          <w:wBefore w:w="0" w:type="auto"/>
          <w:tblCellSpacing w:w="0" w:type="dxa"/>
        </w:trPr>
        <w:tc>
          <w:tcPr>
            <w:tcW w:w="0" w:type="auto"/>
            <w:noWrap w:val="0"/>
            <w:vAlign w:val="center"/>
          </w:tcPr>
          <w:p w14:paraId="6AB8CBDF">
            <w:r>
              <w:rPr>
                <w:rStyle w:val="10"/>
                <w:rFonts w:hint="eastAsia"/>
              </w:rPr>
              <w:t>毒性及其标识：</w:t>
            </w:r>
            <w:r>
              <w:rPr>
                <w:rFonts w:hint="eastAsia"/>
              </w:rPr>
              <w:t xml:space="preserve"> </w:t>
            </w:r>
            <w:r>
              <w:rPr>
                <w:lang/>
              </w:rPr>
              <w:drawing>
                <wp:inline distT="0" distB="0" distL="114300" distR="114300">
                  <wp:extent cx="476250" cy="323850"/>
                  <wp:effectExtent l="0" t="0" r="0" b="0"/>
                  <wp:docPr id="213" name="图片 21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841B2B3">
        <w:tblPrEx>
          <w:tblCellMar>
            <w:top w:w="0" w:type="dxa"/>
            <w:left w:w="0" w:type="dxa"/>
            <w:bottom w:w="0" w:type="dxa"/>
            <w:right w:w="0" w:type="dxa"/>
          </w:tblCellMar>
        </w:tblPrEx>
        <w:trPr>
          <w:wBefore w:w="0" w:type="auto"/>
          <w:tblCellSpacing w:w="0" w:type="dxa"/>
        </w:trPr>
        <w:tc>
          <w:tcPr>
            <w:tcW w:w="0" w:type="auto"/>
            <w:noWrap w:val="0"/>
            <w:vAlign w:val="center"/>
          </w:tcPr>
          <w:p w14:paraId="36021497">
            <w:r>
              <w:rPr>
                <w:rStyle w:val="10"/>
                <w:rFonts w:hint="eastAsia"/>
              </w:rPr>
              <w:t>总有效成分含量：</w:t>
            </w:r>
            <w:r>
              <w:rPr>
                <w:rFonts w:hint="eastAsia"/>
              </w:rPr>
              <w:t>25%</w:t>
            </w:r>
          </w:p>
        </w:tc>
      </w:tr>
      <w:tr w14:paraId="67457AD1">
        <w:tblPrEx>
          <w:tblCellMar>
            <w:top w:w="0" w:type="dxa"/>
            <w:left w:w="0" w:type="dxa"/>
            <w:bottom w:w="0" w:type="dxa"/>
            <w:right w:w="0" w:type="dxa"/>
          </w:tblCellMar>
        </w:tblPrEx>
        <w:trPr>
          <w:wBefore w:w="0" w:type="auto"/>
          <w:tblCellSpacing w:w="0" w:type="dxa"/>
        </w:trPr>
        <w:tc>
          <w:tcPr>
            <w:tcW w:w="0" w:type="auto"/>
            <w:noWrap w:val="0"/>
            <w:vAlign w:val="center"/>
          </w:tcPr>
          <w:p w14:paraId="2A2B353C">
            <w:r>
              <w:rPr>
                <w:rFonts w:hint="eastAsia"/>
              </w:rPr>
              <w:t xml:space="preserve">有效成分及其含量： </w:t>
            </w:r>
          </w:p>
          <w:p w14:paraId="53260D26">
            <w:r>
              <w:rPr>
                <w:rFonts w:hint="eastAsia"/>
              </w:rPr>
              <w:t xml:space="preserve">    四氟醚唑5%    醚菌酯20%    </w:t>
            </w:r>
          </w:p>
        </w:tc>
      </w:tr>
      <w:tr w14:paraId="35D0524D">
        <w:tblPrEx>
          <w:tblCellMar>
            <w:top w:w="0" w:type="dxa"/>
            <w:left w:w="0" w:type="dxa"/>
            <w:bottom w:w="0" w:type="dxa"/>
            <w:right w:w="0" w:type="dxa"/>
          </w:tblCellMar>
        </w:tblPrEx>
        <w:trPr>
          <w:wBefore w:w="0" w:type="auto"/>
          <w:tblCellSpacing w:w="0" w:type="dxa"/>
        </w:trPr>
        <w:tc>
          <w:tcPr>
            <w:tcW w:w="0" w:type="auto"/>
            <w:noWrap w:val="0"/>
            <w:vAlign w:val="center"/>
          </w:tcPr>
          <w:p w14:paraId="4013146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667EA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2925AC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31F188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AD9492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44D42DF">
                  <w:r>
                    <w:rPr>
                      <w:rStyle w:val="11"/>
                      <w:rFonts w:hint="eastAsia"/>
                    </w:rPr>
                    <w:t>施用方式</w:t>
                  </w:r>
                </w:p>
              </w:tc>
            </w:tr>
            <w:tr w14:paraId="23B19D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EF92A3A">
                  <w:r>
                    <w:rPr>
                      <w:rStyle w:val="11"/>
                      <w:rFonts w:hint="eastAsia"/>
                    </w:rPr>
                    <w:t>草莓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197C62">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17ACA4">
                  <w:r>
                    <w:rPr>
                      <w:rStyle w:val="11"/>
                      <w:rFonts w:hint="eastAsia"/>
                    </w:rPr>
                    <w:t>32-42毫升/亩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2A019A">
                  <w:r>
                    <w:rPr>
                      <w:rStyle w:val="11"/>
                      <w:rFonts w:hint="eastAsia"/>
                    </w:rPr>
                    <w:t>喷雾</w:t>
                  </w:r>
                </w:p>
              </w:tc>
            </w:tr>
          </w:tbl>
          <w:p w14:paraId="05A9AD42">
            <w:pPr>
              <w:rPr>
                <w:rFonts w:ascii="Times New Roman" w:hAnsi="Times New Roman" w:cs="Times New Roman"/>
                <w:sz w:val="20"/>
                <w:szCs w:val="20"/>
              </w:rPr>
            </w:pPr>
          </w:p>
        </w:tc>
      </w:tr>
      <w:tr w14:paraId="24C26695">
        <w:tblPrEx>
          <w:tblCellMar>
            <w:top w:w="0" w:type="dxa"/>
            <w:left w:w="0" w:type="dxa"/>
            <w:bottom w:w="0" w:type="dxa"/>
            <w:right w:w="0" w:type="dxa"/>
          </w:tblCellMar>
        </w:tblPrEx>
        <w:trPr>
          <w:wBefore w:w="0" w:type="auto"/>
          <w:tblCellSpacing w:w="0" w:type="dxa"/>
        </w:trPr>
        <w:tc>
          <w:tcPr>
            <w:tcW w:w="0" w:type="auto"/>
            <w:noWrap w:val="0"/>
            <w:vAlign w:val="center"/>
          </w:tcPr>
          <w:p w14:paraId="03E3BB03">
            <w:r>
              <w:rPr>
                <w:rStyle w:val="10"/>
                <w:rFonts w:hint="eastAsia"/>
              </w:rPr>
              <w:t>使用技术要求:</w:t>
            </w:r>
            <w:r>
              <w:rPr>
                <w:rFonts w:hint="eastAsia"/>
              </w:rPr>
              <w:br w:type="textWrapping"/>
            </w:r>
            <w:r>
              <w:rPr>
                <w:rStyle w:val="11"/>
                <w:rFonts w:hint="eastAsia"/>
              </w:rPr>
              <w:t>1．本品在草莓白粉病发病前或发病初期施药，可施药2~3次，间隔7天左右。 2.本品在草莓上的安全间隔期为3天，每季最多施药3次。 3．大风天或预计1小时内降雨，请勿施药。</w:t>
            </w:r>
          </w:p>
        </w:tc>
      </w:tr>
      <w:tr w14:paraId="76B0CA8A">
        <w:tblPrEx>
          <w:tblCellMar>
            <w:top w:w="0" w:type="dxa"/>
            <w:left w:w="0" w:type="dxa"/>
            <w:bottom w:w="0" w:type="dxa"/>
            <w:right w:w="0" w:type="dxa"/>
          </w:tblCellMar>
        </w:tblPrEx>
        <w:trPr>
          <w:wBefore w:w="0" w:type="auto"/>
          <w:tblCellSpacing w:w="0" w:type="dxa"/>
        </w:trPr>
        <w:tc>
          <w:tcPr>
            <w:tcW w:w="0" w:type="auto"/>
            <w:noWrap w:val="0"/>
            <w:vAlign w:val="center"/>
          </w:tcPr>
          <w:p w14:paraId="2441C5DA">
            <w:r>
              <w:rPr>
                <w:rStyle w:val="10"/>
                <w:rFonts w:hint="eastAsia"/>
              </w:rPr>
              <w:t>产品性能:</w:t>
            </w:r>
            <w:r>
              <w:rPr>
                <w:rFonts w:hint="eastAsia"/>
              </w:rPr>
              <w:br w:type="textWrapping"/>
            </w:r>
            <w:r>
              <w:rPr>
                <w:rStyle w:val="11"/>
                <w:rFonts w:hint="eastAsia"/>
              </w:rPr>
              <w:t>本品是由甲氧基丙烯酸酯类杀菌剂醚菌酯和甾醇脱甲基化抑制剂的四氟醚唑复配而成的悬乳剂，两者作用机理不同，具有显著的增效作用，并可以有效延缓病原菌抗药性的产生，两者混配对草莓白粉病防效较好。</w:t>
            </w:r>
          </w:p>
        </w:tc>
      </w:tr>
      <w:tr w14:paraId="168CE551">
        <w:tblPrEx>
          <w:tblCellMar>
            <w:top w:w="0" w:type="dxa"/>
            <w:left w:w="0" w:type="dxa"/>
            <w:bottom w:w="0" w:type="dxa"/>
            <w:right w:w="0" w:type="dxa"/>
          </w:tblCellMar>
        </w:tblPrEx>
        <w:trPr>
          <w:wBefore w:w="0" w:type="auto"/>
          <w:tblCellSpacing w:w="0" w:type="dxa"/>
        </w:trPr>
        <w:tc>
          <w:tcPr>
            <w:tcW w:w="0" w:type="auto"/>
            <w:noWrap w:val="0"/>
            <w:vAlign w:val="center"/>
          </w:tcPr>
          <w:p w14:paraId="391AEB68">
            <w:r>
              <w:rPr>
                <w:rStyle w:val="10"/>
                <w:rFonts w:hint="eastAsia"/>
              </w:rPr>
              <w:t>注意事项：</w:t>
            </w:r>
            <w:r>
              <w:rPr>
                <w:rFonts w:hint="eastAsia"/>
              </w:rPr>
              <w:br w:type="textWrapping"/>
            </w:r>
            <w:r>
              <w:rPr>
                <w:rStyle w:val="11"/>
                <w:rFonts w:hint="eastAsia"/>
              </w:rPr>
              <w:t>1.严格按照规定用药量和方法使用。 2..建议与其他作用机制不同的杀菌剂轮换使用，以延缓抗性产生。3.本品对鸟类、家蚕有毒，鸟类保护区禁用，蚕室及桑园附近禁用。 4.使用时穿戴长衣长裤、帽子、口罩、手套、鞋等安全使用防护措施。避免吸入药液。施药期间不可吃东西和饮水。施药后应及时洗手和洗脸。5.用药后包装物及用过的容器应妥善处理，不可做他用，也不可随意丢弃。6.孕妇及哺乳期妇女禁止接触本品。7.远离水产养殖区、河塘等水体施药；禁止在河塘等水体中清洗施药器具。</w:t>
            </w:r>
          </w:p>
        </w:tc>
      </w:tr>
      <w:tr w14:paraId="424CD3D9">
        <w:tblPrEx>
          <w:tblCellMar>
            <w:top w:w="0" w:type="dxa"/>
            <w:left w:w="0" w:type="dxa"/>
            <w:bottom w:w="0" w:type="dxa"/>
            <w:right w:w="0" w:type="dxa"/>
          </w:tblCellMar>
        </w:tblPrEx>
        <w:trPr>
          <w:wBefore w:w="0" w:type="auto"/>
          <w:tblCellSpacing w:w="0" w:type="dxa"/>
        </w:trPr>
        <w:tc>
          <w:tcPr>
            <w:tcW w:w="0" w:type="auto"/>
            <w:noWrap w:val="0"/>
            <w:vAlign w:val="center"/>
          </w:tcPr>
          <w:p w14:paraId="6A32525C">
            <w:r>
              <w:rPr>
                <w:rStyle w:val="10"/>
                <w:rFonts w:hint="eastAsia"/>
              </w:rPr>
              <w:t>中毒急救措施：</w:t>
            </w:r>
            <w:r>
              <w:rPr>
                <w:rFonts w:hint="eastAsia"/>
              </w:rPr>
              <w:br w:type="textWrapping"/>
            </w:r>
            <w:r>
              <w:rPr>
                <w:rStyle w:val="11"/>
                <w:rFonts w:hint="eastAsia"/>
              </w:rPr>
              <w:t>对眼睛有刺激性，使用时避免药液接触眼睛。 1.用药时如果感觉不适，立即停止工作，采取急救措施，并携此标签送医就诊。2.皮肤接触：立即脱掉被污染的衣物，用大量清水冲洗被污染的皮肤，再用肥皂清洗，然后用清水冲洗。3.眼睛溅药：立即将眼睑翻开，用清水冲洗至少15分钟，再请医生诊治。4.误服:请勿引吐，立即携带标签，送医就诊，无专用解毒剂，对症治疗。</w:t>
            </w:r>
          </w:p>
        </w:tc>
      </w:tr>
      <w:tr w14:paraId="5BF12339">
        <w:tblPrEx>
          <w:tblCellMar>
            <w:top w:w="0" w:type="dxa"/>
            <w:left w:w="0" w:type="dxa"/>
            <w:bottom w:w="0" w:type="dxa"/>
            <w:right w:w="0" w:type="dxa"/>
          </w:tblCellMar>
        </w:tblPrEx>
        <w:trPr>
          <w:wBefore w:w="0" w:type="auto"/>
          <w:tblCellSpacing w:w="0" w:type="dxa"/>
        </w:trPr>
        <w:tc>
          <w:tcPr>
            <w:tcW w:w="0" w:type="auto"/>
            <w:noWrap w:val="0"/>
            <w:vAlign w:val="center"/>
          </w:tcPr>
          <w:p w14:paraId="6584722A">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本品应贮存在干燥、阴凉、通风、防雨处，远离火源或热源。置于儿童、无关人员及动物接触不到的地方，并加锁保存。勿与食品、饮料、粮食、饲料等其他商品同贮同运。</w:t>
            </w:r>
          </w:p>
        </w:tc>
      </w:tr>
      <w:tr w14:paraId="3D82A236">
        <w:tblPrEx>
          <w:tblCellMar>
            <w:top w:w="0" w:type="dxa"/>
            <w:left w:w="0" w:type="dxa"/>
            <w:bottom w:w="0" w:type="dxa"/>
            <w:right w:w="0" w:type="dxa"/>
          </w:tblCellMar>
        </w:tblPrEx>
        <w:trPr>
          <w:wBefore w:w="0" w:type="auto"/>
          <w:tblCellSpacing w:w="0" w:type="dxa"/>
        </w:trPr>
        <w:tc>
          <w:tcPr>
            <w:tcW w:w="0" w:type="auto"/>
            <w:noWrap w:val="0"/>
            <w:vAlign w:val="center"/>
          </w:tcPr>
          <w:p w14:paraId="5DA2B110">
            <w:r>
              <w:rPr>
                <w:rStyle w:val="10"/>
                <w:rFonts w:hint="eastAsia"/>
              </w:rPr>
              <w:t>质量保证期：</w:t>
            </w:r>
            <w:r>
              <w:rPr>
                <w:rStyle w:val="11"/>
                <w:rFonts w:hint="eastAsia"/>
              </w:rPr>
              <w:t>2年</w:t>
            </w:r>
          </w:p>
        </w:tc>
      </w:tr>
      <w:tr w14:paraId="1249AFDA">
        <w:tblPrEx>
          <w:tblCellMar>
            <w:top w:w="0" w:type="dxa"/>
            <w:left w:w="0" w:type="dxa"/>
            <w:bottom w:w="0" w:type="dxa"/>
            <w:right w:w="0" w:type="dxa"/>
          </w:tblCellMar>
        </w:tblPrEx>
        <w:trPr>
          <w:wBefore w:w="0" w:type="auto"/>
          <w:tblCellSpacing w:w="0" w:type="dxa"/>
        </w:trPr>
        <w:tc>
          <w:tcPr>
            <w:tcW w:w="0" w:type="auto"/>
            <w:noWrap w:val="0"/>
            <w:vAlign w:val="center"/>
          </w:tcPr>
          <w:p w14:paraId="5C61ED3B">
            <w:r>
              <w:rPr>
                <w:rStyle w:val="10"/>
                <w:rFonts w:hint="eastAsia"/>
              </w:rPr>
              <w:t>备注：</w:t>
            </w:r>
          </w:p>
        </w:tc>
      </w:tr>
    </w:tbl>
    <w:p w14:paraId="129565A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52171D2">
        <w:tblPrEx>
          <w:tblCellMar>
            <w:top w:w="0" w:type="dxa"/>
            <w:left w:w="0" w:type="dxa"/>
            <w:bottom w:w="0" w:type="dxa"/>
            <w:right w:w="0" w:type="dxa"/>
          </w:tblCellMar>
        </w:tblPrEx>
        <w:trPr>
          <w:wBefore w:w="0" w:type="auto"/>
          <w:tblCellSpacing w:w="0" w:type="dxa"/>
        </w:trPr>
        <w:tc>
          <w:tcPr>
            <w:tcW w:w="0" w:type="auto"/>
            <w:noWrap w:val="0"/>
            <w:vAlign w:val="center"/>
          </w:tcPr>
          <w:p w14:paraId="4B009098">
            <w:r>
              <w:rPr>
                <w:rStyle w:val="10"/>
                <w:rFonts w:hint="eastAsia"/>
              </w:rPr>
              <w:t>登记证号：</w:t>
            </w:r>
            <w:r>
              <w:rPr>
                <w:rFonts w:hint="eastAsia"/>
              </w:rPr>
              <w:t>PD20211927</w:t>
            </w:r>
          </w:p>
        </w:tc>
      </w:tr>
      <w:tr w14:paraId="01982F27">
        <w:tblPrEx>
          <w:tblCellMar>
            <w:top w:w="0" w:type="dxa"/>
            <w:left w:w="0" w:type="dxa"/>
            <w:bottom w:w="0" w:type="dxa"/>
            <w:right w:w="0" w:type="dxa"/>
          </w:tblCellMar>
        </w:tblPrEx>
        <w:trPr>
          <w:wBefore w:w="0" w:type="auto"/>
          <w:tblCellSpacing w:w="0" w:type="dxa"/>
        </w:trPr>
        <w:tc>
          <w:tcPr>
            <w:tcW w:w="0" w:type="auto"/>
            <w:noWrap w:val="0"/>
            <w:vAlign w:val="center"/>
          </w:tcPr>
          <w:p w14:paraId="08F54189">
            <w:r>
              <w:rPr>
                <w:rStyle w:val="10"/>
                <w:rFonts w:hint="eastAsia"/>
              </w:rPr>
              <w:t>登记证持有人：</w:t>
            </w:r>
            <w:r>
              <w:rPr>
                <w:rFonts w:hint="eastAsia"/>
              </w:rPr>
              <w:t>山东康乔生物科技有限公司</w:t>
            </w:r>
          </w:p>
        </w:tc>
      </w:tr>
      <w:tr w14:paraId="192270BA">
        <w:tblPrEx>
          <w:tblCellMar>
            <w:top w:w="0" w:type="dxa"/>
            <w:left w:w="0" w:type="dxa"/>
            <w:bottom w:w="0" w:type="dxa"/>
            <w:right w:w="0" w:type="dxa"/>
          </w:tblCellMar>
        </w:tblPrEx>
        <w:trPr>
          <w:wBefore w:w="0" w:type="auto"/>
          <w:tblCellSpacing w:w="0" w:type="dxa"/>
        </w:trPr>
        <w:tc>
          <w:tcPr>
            <w:tcW w:w="0" w:type="auto"/>
            <w:noWrap w:val="0"/>
            <w:vAlign w:val="center"/>
          </w:tcPr>
          <w:p w14:paraId="573185DB">
            <w:r>
              <w:rPr>
                <w:rStyle w:val="10"/>
                <w:rFonts w:hint="eastAsia"/>
              </w:rPr>
              <w:t>农药名称：</w:t>
            </w:r>
            <w:r>
              <w:rPr>
                <w:rFonts w:hint="eastAsia"/>
              </w:rPr>
              <w:t>春雷·喹啉铜</w:t>
            </w:r>
          </w:p>
        </w:tc>
      </w:tr>
      <w:tr w14:paraId="4F363EC6">
        <w:tblPrEx>
          <w:tblCellMar>
            <w:top w:w="0" w:type="dxa"/>
            <w:left w:w="0" w:type="dxa"/>
            <w:bottom w:w="0" w:type="dxa"/>
            <w:right w:w="0" w:type="dxa"/>
          </w:tblCellMar>
        </w:tblPrEx>
        <w:trPr>
          <w:wBefore w:w="0" w:type="auto"/>
          <w:tblCellSpacing w:w="0" w:type="dxa"/>
        </w:trPr>
        <w:tc>
          <w:tcPr>
            <w:tcW w:w="0" w:type="auto"/>
            <w:noWrap w:val="0"/>
            <w:vAlign w:val="center"/>
          </w:tcPr>
          <w:p w14:paraId="43C286BE">
            <w:r>
              <w:rPr>
                <w:rStyle w:val="10"/>
                <w:rFonts w:hint="eastAsia"/>
              </w:rPr>
              <w:t>剂型：</w:t>
            </w:r>
            <w:r>
              <w:rPr>
                <w:rFonts w:hint="eastAsia"/>
              </w:rPr>
              <w:t>悬浮剂</w:t>
            </w:r>
          </w:p>
        </w:tc>
      </w:tr>
      <w:tr w14:paraId="582B7441">
        <w:tblPrEx>
          <w:tblCellMar>
            <w:top w:w="0" w:type="dxa"/>
            <w:left w:w="0" w:type="dxa"/>
            <w:bottom w:w="0" w:type="dxa"/>
            <w:right w:w="0" w:type="dxa"/>
          </w:tblCellMar>
        </w:tblPrEx>
        <w:trPr>
          <w:wBefore w:w="0" w:type="auto"/>
          <w:tblCellSpacing w:w="0" w:type="dxa"/>
        </w:trPr>
        <w:tc>
          <w:tcPr>
            <w:tcW w:w="0" w:type="auto"/>
            <w:noWrap w:val="0"/>
            <w:vAlign w:val="center"/>
          </w:tcPr>
          <w:p w14:paraId="7C3773B5">
            <w:r>
              <w:rPr>
                <w:rStyle w:val="10"/>
                <w:rFonts w:hint="eastAsia"/>
              </w:rPr>
              <w:t>毒性及其标识：</w:t>
            </w:r>
            <w:r>
              <w:rPr>
                <w:rFonts w:hint="eastAsia"/>
              </w:rPr>
              <w:t xml:space="preserve"> </w:t>
            </w:r>
            <w:r>
              <w:rPr>
                <w:lang/>
              </w:rPr>
              <w:drawing>
                <wp:inline distT="0" distB="0" distL="114300" distR="114300">
                  <wp:extent cx="476250" cy="323850"/>
                  <wp:effectExtent l="0" t="0" r="0" b="0"/>
                  <wp:docPr id="214" name="图片 21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7C77C1">
        <w:tblPrEx>
          <w:tblCellMar>
            <w:top w:w="0" w:type="dxa"/>
            <w:left w:w="0" w:type="dxa"/>
            <w:bottom w:w="0" w:type="dxa"/>
            <w:right w:w="0" w:type="dxa"/>
          </w:tblCellMar>
        </w:tblPrEx>
        <w:trPr>
          <w:wBefore w:w="0" w:type="auto"/>
          <w:tblCellSpacing w:w="0" w:type="dxa"/>
        </w:trPr>
        <w:tc>
          <w:tcPr>
            <w:tcW w:w="0" w:type="auto"/>
            <w:noWrap w:val="0"/>
            <w:vAlign w:val="center"/>
          </w:tcPr>
          <w:p w14:paraId="1DF612DC">
            <w:r>
              <w:rPr>
                <w:rStyle w:val="10"/>
                <w:rFonts w:hint="eastAsia"/>
              </w:rPr>
              <w:t>总有效成分含量：</w:t>
            </w:r>
            <w:r>
              <w:rPr>
                <w:rFonts w:hint="eastAsia"/>
              </w:rPr>
              <w:t>33%</w:t>
            </w:r>
          </w:p>
        </w:tc>
      </w:tr>
      <w:tr w14:paraId="46259BA6">
        <w:tblPrEx>
          <w:tblCellMar>
            <w:top w:w="0" w:type="dxa"/>
            <w:left w:w="0" w:type="dxa"/>
            <w:bottom w:w="0" w:type="dxa"/>
            <w:right w:w="0" w:type="dxa"/>
          </w:tblCellMar>
        </w:tblPrEx>
        <w:trPr>
          <w:wBefore w:w="0" w:type="auto"/>
          <w:tblCellSpacing w:w="0" w:type="dxa"/>
        </w:trPr>
        <w:tc>
          <w:tcPr>
            <w:tcW w:w="0" w:type="auto"/>
            <w:noWrap w:val="0"/>
            <w:vAlign w:val="center"/>
          </w:tcPr>
          <w:p w14:paraId="119208B7">
            <w:r>
              <w:rPr>
                <w:rFonts w:hint="eastAsia"/>
              </w:rPr>
              <w:t xml:space="preserve">有效成分及其含量： </w:t>
            </w:r>
          </w:p>
          <w:p w14:paraId="1BDB70EF">
            <w:r>
              <w:rPr>
                <w:rFonts w:hint="eastAsia"/>
              </w:rPr>
              <w:t xml:space="preserve">    春雷霉素3.0%    喹啉铜33.0%    </w:t>
            </w:r>
          </w:p>
        </w:tc>
      </w:tr>
      <w:tr w14:paraId="089BF23A">
        <w:tblPrEx>
          <w:tblCellMar>
            <w:top w:w="0" w:type="dxa"/>
            <w:left w:w="0" w:type="dxa"/>
            <w:bottom w:w="0" w:type="dxa"/>
            <w:right w:w="0" w:type="dxa"/>
          </w:tblCellMar>
        </w:tblPrEx>
        <w:trPr>
          <w:wBefore w:w="0" w:type="auto"/>
          <w:tblCellSpacing w:w="0" w:type="dxa"/>
        </w:trPr>
        <w:tc>
          <w:tcPr>
            <w:tcW w:w="0" w:type="auto"/>
            <w:noWrap w:val="0"/>
            <w:vAlign w:val="center"/>
          </w:tcPr>
          <w:p w14:paraId="73E33A4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611C9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0AEE3F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7C79A5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2F49D0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9C1C6F8">
                  <w:r>
                    <w:rPr>
                      <w:rStyle w:val="11"/>
                      <w:rFonts w:hint="eastAsia"/>
                    </w:rPr>
                    <w:t>施用方式</w:t>
                  </w:r>
                </w:p>
              </w:tc>
            </w:tr>
            <w:tr w14:paraId="0E31C2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21DCDDB">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444466">
                  <w:r>
                    <w:rPr>
                      <w:rStyle w:val="11"/>
                      <w:rFonts w:hint="eastAsia"/>
                    </w:rPr>
                    <w:t>细菌性角斑病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543A14">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D10D06">
                  <w:r>
                    <w:rPr>
                      <w:rStyle w:val="11"/>
                      <w:rFonts w:hint="eastAsia"/>
                    </w:rPr>
                    <w:t>喷雾</w:t>
                  </w:r>
                </w:p>
              </w:tc>
            </w:tr>
          </w:tbl>
          <w:p w14:paraId="3D788382">
            <w:pPr>
              <w:rPr>
                <w:rFonts w:ascii="Times New Roman" w:hAnsi="Times New Roman" w:cs="Times New Roman"/>
                <w:sz w:val="20"/>
                <w:szCs w:val="20"/>
              </w:rPr>
            </w:pPr>
          </w:p>
        </w:tc>
      </w:tr>
      <w:tr w14:paraId="7CCCB6E0">
        <w:tblPrEx>
          <w:tblCellMar>
            <w:top w:w="0" w:type="dxa"/>
            <w:left w:w="0" w:type="dxa"/>
            <w:bottom w:w="0" w:type="dxa"/>
            <w:right w:w="0" w:type="dxa"/>
          </w:tblCellMar>
        </w:tblPrEx>
        <w:trPr>
          <w:wBefore w:w="0" w:type="auto"/>
          <w:tblCellSpacing w:w="0" w:type="dxa"/>
        </w:trPr>
        <w:tc>
          <w:tcPr>
            <w:tcW w:w="0" w:type="auto"/>
            <w:noWrap w:val="0"/>
            <w:vAlign w:val="center"/>
          </w:tcPr>
          <w:p w14:paraId="2EC8C2FA">
            <w:r>
              <w:rPr>
                <w:rStyle w:val="10"/>
                <w:rFonts w:hint="eastAsia"/>
              </w:rPr>
              <w:t>使用技术要求:</w:t>
            </w:r>
            <w:r>
              <w:rPr>
                <w:rFonts w:hint="eastAsia"/>
              </w:rPr>
              <w:br w:type="textWrapping"/>
            </w:r>
            <w:r>
              <w:rPr>
                <w:rStyle w:val="11"/>
                <w:rFonts w:hint="eastAsia"/>
              </w:rPr>
              <w:t>1.于细菌性角斑病发病前或发病初期，按照推荐施药剂量，全株均匀、周到喷雾。2.施药时避免药液漂移到上述作物上。大风天或预计短时间内有雨请勿施药。3、在黄瓜上使用的安全间隔期为3天，每个作物周期最多使用3次。</w:t>
            </w:r>
          </w:p>
        </w:tc>
      </w:tr>
      <w:tr w14:paraId="74C02CAE">
        <w:tblPrEx>
          <w:tblCellMar>
            <w:top w:w="0" w:type="dxa"/>
            <w:left w:w="0" w:type="dxa"/>
            <w:bottom w:w="0" w:type="dxa"/>
            <w:right w:w="0" w:type="dxa"/>
          </w:tblCellMar>
        </w:tblPrEx>
        <w:trPr>
          <w:wBefore w:w="0" w:type="auto"/>
          <w:tblCellSpacing w:w="0" w:type="dxa"/>
        </w:trPr>
        <w:tc>
          <w:tcPr>
            <w:tcW w:w="0" w:type="auto"/>
            <w:noWrap w:val="0"/>
            <w:vAlign w:val="center"/>
          </w:tcPr>
          <w:p w14:paraId="14D464C7">
            <w:r>
              <w:rPr>
                <w:rStyle w:val="10"/>
                <w:rFonts w:hint="eastAsia"/>
              </w:rPr>
              <w:t>产品性能:</w:t>
            </w:r>
            <w:r>
              <w:rPr>
                <w:rFonts w:hint="eastAsia"/>
              </w:rPr>
              <w:br w:type="textWrapping"/>
            </w:r>
            <w:r>
              <w:rPr>
                <w:rStyle w:val="11"/>
                <w:rFonts w:hint="eastAsia"/>
              </w:rPr>
              <w:t>本品是春雷霉素与喹啉铜的混配制剂。春雷霉素属农用抗菌素，具有较强的内吸性，其作用机理是干扰病菌氨基酸的代谢，从而影响蛋白质的合成，抑制菌丝的生长。喹啉铜是一种低残留的有机铜</w:t>
            </w:r>
            <w:r>
              <w:rPr>
                <w:rStyle w:val="11"/>
                <w:rFonts w:hint="eastAsia"/>
                <w:lang w:eastAsia="zh-CN"/>
              </w:rPr>
              <w:t>螯合</w:t>
            </w:r>
            <w:r>
              <w:rPr>
                <w:rStyle w:val="11"/>
                <w:rFonts w:hint="eastAsia"/>
              </w:rPr>
              <w:t>物，对细菌、真菌性病害具有良好的预防和治疗作用；可在作物表面形成一层严密的保护膜，抑制病菌萌发和侵入，从而达到防病治病的目的。两者混配，增效明显，在推荐施用剂量下，对黄瓜细菌性角斑病具有良好的防治效果。</w:t>
            </w:r>
          </w:p>
        </w:tc>
      </w:tr>
      <w:tr w14:paraId="591D516E">
        <w:tblPrEx>
          <w:tblCellMar>
            <w:top w:w="0" w:type="dxa"/>
            <w:left w:w="0" w:type="dxa"/>
            <w:bottom w:w="0" w:type="dxa"/>
            <w:right w:w="0" w:type="dxa"/>
          </w:tblCellMar>
        </w:tblPrEx>
        <w:trPr>
          <w:wBefore w:w="0" w:type="auto"/>
          <w:tblCellSpacing w:w="0" w:type="dxa"/>
        </w:trPr>
        <w:tc>
          <w:tcPr>
            <w:tcW w:w="0" w:type="auto"/>
            <w:noWrap w:val="0"/>
            <w:vAlign w:val="center"/>
          </w:tcPr>
          <w:p w14:paraId="1D021834">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本品对眼睛有刺激性，使用时避免接触眼睛，穿戴长衣、长裤、帽子、口罩、手套等防护措施。避免皮肤接触及口鼻吸入。使用中不可吸烟、饮水及吃东西，使用后及时清洗手、脸等暴露部位皮肤并更换衣物。2. 本品对鱼类等水生生物、蜜蜂、家蚕有毒，施药期间应避免对周围蜂群的影响、开花植物花期、蚕室和桑园附近禁用。远离水产养殖区、河塘等水域施药，禁止在河塘等水体中清洗施药器具。3. 不能与强碱性物质混用，避免与氧化剂接触。4.建议与其他作用机制不同的杀菌剂轮换使用，以延缓抗药性产生。5. 用过的容器应妥善处理，不可做他用，也不可随意丢弃。6.孕妇及哺乳期妇女应避免接触。</w:t>
            </w:r>
          </w:p>
        </w:tc>
      </w:tr>
      <w:tr w14:paraId="48A792C3">
        <w:tblPrEx>
          <w:tblCellMar>
            <w:top w:w="0" w:type="dxa"/>
            <w:left w:w="0" w:type="dxa"/>
            <w:bottom w:w="0" w:type="dxa"/>
            <w:right w:w="0" w:type="dxa"/>
          </w:tblCellMar>
        </w:tblPrEx>
        <w:trPr>
          <w:wBefore w:w="0" w:type="auto"/>
          <w:tblCellSpacing w:w="0" w:type="dxa"/>
        </w:trPr>
        <w:tc>
          <w:tcPr>
            <w:tcW w:w="0" w:type="auto"/>
            <w:noWrap w:val="0"/>
            <w:vAlign w:val="center"/>
          </w:tcPr>
          <w:p w14:paraId="2B6938C0">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皮肤接触：脱去污染的衣物，立即用软布去除沾染农药，用大量清水和肥皂冲洗。眼睛溅入：立即用流动清水冲洗不少于15分钟。吸入：立即离开施药现场，转移到空气清新处。误食：立即停止服用，用清水充分漱口后，携带农药标签到医院就诊。无特效解毒剂，对症治疗。</w:t>
            </w:r>
          </w:p>
        </w:tc>
      </w:tr>
      <w:tr w14:paraId="0F022DDD">
        <w:tblPrEx>
          <w:tblCellMar>
            <w:top w:w="0" w:type="dxa"/>
            <w:left w:w="0" w:type="dxa"/>
            <w:bottom w:w="0" w:type="dxa"/>
            <w:right w:w="0" w:type="dxa"/>
          </w:tblCellMar>
        </w:tblPrEx>
        <w:trPr>
          <w:wBefore w:w="0" w:type="auto"/>
          <w:tblCellSpacing w:w="0" w:type="dxa"/>
        </w:trPr>
        <w:tc>
          <w:tcPr>
            <w:tcW w:w="0" w:type="auto"/>
            <w:noWrap w:val="0"/>
            <w:vAlign w:val="center"/>
          </w:tcPr>
          <w:p w14:paraId="41D7AC4A">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5B59F7E6">
        <w:tblPrEx>
          <w:tblCellMar>
            <w:top w:w="0" w:type="dxa"/>
            <w:left w:w="0" w:type="dxa"/>
            <w:bottom w:w="0" w:type="dxa"/>
            <w:right w:w="0" w:type="dxa"/>
          </w:tblCellMar>
        </w:tblPrEx>
        <w:trPr>
          <w:wBefore w:w="0" w:type="auto"/>
          <w:tblCellSpacing w:w="0" w:type="dxa"/>
        </w:trPr>
        <w:tc>
          <w:tcPr>
            <w:tcW w:w="0" w:type="auto"/>
            <w:noWrap w:val="0"/>
            <w:vAlign w:val="center"/>
          </w:tcPr>
          <w:p w14:paraId="01B35437">
            <w:r>
              <w:rPr>
                <w:rStyle w:val="10"/>
                <w:rFonts w:hint="eastAsia"/>
              </w:rPr>
              <w:t>质量保证期：</w:t>
            </w:r>
            <w:r>
              <w:rPr>
                <w:rStyle w:val="11"/>
                <w:rFonts w:hint="eastAsia"/>
              </w:rPr>
              <w:t>2年</w:t>
            </w:r>
          </w:p>
        </w:tc>
      </w:tr>
      <w:tr w14:paraId="39E80F05">
        <w:tblPrEx>
          <w:tblCellMar>
            <w:top w:w="0" w:type="dxa"/>
            <w:left w:w="0" w:type="dxa"/>
            <w:bottom w:w="0" w:type="dxa"/>
            <w:right w:w="0" w:type="dxa"/>
          </w:tblCellMar>
        </w:tblPrEx>
        <w:trPr>
          <w:wBefore w:w="0" w:type="auto"/>
          <w:tblCellSpacing w:w="0" w:type="dxa"/>
        </w:trPr>
        <w:tc>
          <w:tcPr>
            <w:tcW w:w="0" w:type="auto"/>
            <w:noWrap w:val="0"/>
            <w:vAlign w:val="center"/>
          </w:tcPr>
          <w:p w14:paraId="4513D992">
            <w:r>
              <w:rPr>
                <w:rStyle w:val="10"/>
                <w:rFonts w:hint="eastAsia"/>
              </w:rPr>
              <w:t>备注：</w:t>
            </w:r>
            <w:r>
              <w:rPr>
                <w:rFonts w:hint="eastAsia"/>
              </w:rPr>
              <w:br w:type="textWrapping"/>
            </w:r>
            <w:r>
              <w:rPr>
                <w:rStyle w:val="11"/>
                <w:rFonts w:hint="eastAsia"/>
              </w:rPr>
              <w:t>春雷霉素盐酸盐3.2%。</w:t>
            </w:r>
          </w:p>
        </w:tc>
      </w:tr>
    </w:tbl>
    <w:p w14:paraId="376A852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6D70C4B">
        <w:tblPrEx>
          <w:tblCellMar>
            <w:top w:w="0" w:type="dxa"/>
            <w:left w:w="0" w:type="dxa"/>
            <w:bottom w:w="0" w:type="dxa"/>
            <w:right w:w="0" w:type="dxa"/>
          </w:tblCellMar>
        </w:tblPrEx>
        <w:trPr>
          <w:wBefore w:w="0" w:type="auto"/>
          <w:tblCellSpacing w:w="0" w:type="dxa"/>
        </w:trPr>
        <w:tc>
          <w:tcPr>
            <w:tcW w:w="0" w:type="auto"/>
            <w:noWrap w:val="0"/>
            <w:vAlign w:val="center"/>
          </w:tcPr>
          <w:p w14:paraId="7C225DBC">
            <w:r>
              <w:rPr>
                <w:rStyle w:val="10"/>
                <w:rFonts w:hint="eastAsia"/>
              </w:rPr>
              <w:t>登记证号：</w:t>
            </w:r>
            <w:r>
              <w:rPr>
                <w:rFonts w:hint="eastAsia"/>
              </w:rPr>
              <w:t>PD20211978</w:t>
            </w:r>
          </w:p>
        </w:tc>
      </w:tr>
      <w:tr w14:paraId="30F00872">
        <w:tblPrEx>
          <w:tblCellMar>
            <w:top w:w="0" w:type="dxa"/>
            <w:left w:w="0" w:type="dxa"/>
            <w:bottom w:w="0" w:type="dxa"/>
            <w:right w:w="0" w:type="dxa"/>
          </w:tblCellMar>
        </w:tblPrEx>
        <w:trPr>
          <w:wBefore w:w="0" w:type="auto"/>
          <w:tblCellSpacing w:w="0" w:type="dxa"/>
        </w:trPr>
        <w:tc>
          <w:tcPr>
            <w:tcW w:w="0" w:type="auto"/>
            <w:noWrap w:val="0"/>
            <w:vAlign w:val="center"/>
          </w:tcPr>
          <w:p w14:paraId="0367A34D">
            <w:r>
              <w:rPr>
                <w:rStyle w:val="10"/>
                <w:rFonts w:hint="eastAsia"/>
              </w:rPr>
              <w:t>登记证持有人：</w:t>
            </w:r>
            <w:r>
              <w:rPr>
                <w:rFonts w:hint="eastAsia"/>
              </w:rPr>
              <w:t>杨凌馥稷生物科技有限公司</w:t>
            </w:r>
          </w:p>
        </w:tc>
      </w:tr>
      <w:tr w14:paraId="481C242E">
        <w:tblPrEx>
          <w:tblCellMar>
            <w:top w:w="0" w:type="dxa"/>
            <w:left w:w="0" w:type="dxa"/>
            <w:bottom w:w="0" w:type="dxa"/>
            <w:right w:w="0" w:type="dxa"/>
          </w:tblCellMar>
        </w:tblPrEx>
        <w:trPr>
          <w:wBefore w:w="0" w:type="auto"/>
          <w:tblCellSpacing w:w="0" w:type="dxa"/>
        </w:trPr>
        <w:tc>
          <w:tcPr>
            <w:tcW w:w="0" w:type="auto"/>
            <w:noWrap w:val="0"/>
            <w:vAlign w:val="center"/>
          </w:tcPr>
          <w:p w14:paraId="1D7EF80C">
            <w:r>
              <w:rPr>
                <w:rStyle w:val="10"/>
                <w:rFonts w:hint="eastAsia"/>
              </w:rPr>
              <w:t>农药名称：</w:t>
            </w:r>
            <w:r>
              <w:rPr>
                <w:rFonts w:hint="eastAsia"/>
              </w:rPr>
              <w:t>小檗碱</w:t>
            </w:r>
          </w:p>
        </w:tc>
      </w:tr>
      <w:tr w14:paraId="2C6F1144">
        <w:tblPrEx>
          <w:tblCellMar>
            <w:top w:w="0" w:type="dxa"/>
            <w:left w:w="0" w:type="dxa"/>
            <w:bottom w:w="0" w:type="dxa"/>
            <w:right w:w="0" w:type="dxa"/>
          </w:tblCellMar>
        </w:tblPrEx>
        <w:trPr>
          <w:wBefore w:w="0" w:type="auto"/>
          <w:tblCellSpacing w:w="0" w:type="dxa"/>
        </w:trPr>
        <w:tc>
          <w:tcPr>
            <w:tcW w:w="0" w:type="auto"/>
            <w:noWrap w:val="0"/>
            <w:vAlign w:val="center"/>
          </w:tcPr>
          <w:p w14:paraId="457F4DDD">
            <w:r>
              <w:rPr>
                <w:rStyle w:val="10"/>
                <w:rFonts w:hint="eastAsia"/>
              </w:rPr>
              <w:t>剂型：</w:t>
            </w:r>
            <w:r>
              <w:rPr>
                <w:rFonts w:hint="eastAsia"/>
              </w:rPr>
              <w:t>可溶液剂</w:t>
            </w:r>
          </w:p>
        </w:tc>
      </w:tr>
      <w:tr w14:paraId="758CFB9D">
        <w:tblPrEx>
          <w:tblCellMar>
            <w:top w:w="0" w:type="dxa"/>
            <w:left w:w="0" w:type="dxa"/>
            <w:bottom w:w="0" w:type="dxa"/>
            <w:right w:w="0" w:type="dxa"/>
          </w:tblCellMar>
        </w:tblPrEx>
        <w:trPr>
          <w:wBefore w:w="0" w:type="auto"/>
          <w:tblCellSpacing w:w="0" w:type="dxa"/>
        </w:trPr>
        <w:tc>
          <w:tcPr>
            <w:tcW w:w="0" w:type="auto"/>
            <w:noWrap w:val="0"/>
            <w:vAlign w:val="center"/>
          </w:tcPr>
          <w:p w14:paraId="6D801FF1">
            <w:r>
              <w:rPr>
                <w:rStyle w:val="10"/>
                <w:rFonts w:hint="eastAsia"/>
              </w:rPr>
              <w:t>毒性及其标识：</w:t>
            </w:r>
            <w:r>
              <w:rPr>
                <w:rFonts w:hint="eastAsia"/>
              </w:rPr>
              <w:t xml:space="preserve"> </w:t>
            </w:r>
            <w:r>
              <w:rPr>
                <w:lang/>
              </w:rPr>
              <w:drawing>
                <wp:inline distT="0" distB="0" distL="114300" distR="114300">
                  <wp:extent cx="476250" cy="323850"/>
                  <wp:effectExtent l="0" t="0" r="0" b="0"/>
                  <wp:docPr id="215" name="图片 21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9A9B07C">
        <w:tblPrEx>
          <w:tblCellMar>
            <w:top w:w="0" w:type="dxa"/>
            <w:left w:w="0" w:type="dxa"/>
            <w:bottom w:w="0" w:type="dxa"/>
            <w:right w:w="0" w:type="dxa"/>
          </w:tblCellMar>
        </w:tblPrEx>
        <w:trPr>
          <w:wBefore w:w="0" w:type="auto"/>
          <w:tblCellSpacing w:w="0" w:type="dxa"/>
        </w:trPr>
        <w:tc>
          <w:tcPr>
            <w:tcW w:w="0" w:type="auto"/>
            <w:noWrap w:val="0"/>
            <w:vAlign w:val="center"/>
          </w:tcPr>
          <w:p w14:paraId="014C1DAD">
            <w:r>
              <w:rPr>
                <w:rStyle w:val="10"/>
                <w:rFonts w:hint="eastAsia"/>
              </w:rPr>
              <w:t>总有效成分含量：</w:t>
            </w:r>
            <w:r>
              <w:rPr>
                <w:rFonts w:hint="eastAsia"/>
              </w:rPr>
              <w:t>0.5%</w:t>
            </w:r>
          </w:p>
        </w:tc>
      </w:tr>
      <w:tr w14:paraId="74EC7D5E">
        <w:tblPrEx>
          <w:tblCellMar>
            <w:top w:w="0" w:type="dxa"/>
            <w:left w:w="0" w:type="dxa"/>
            <w:bottom w:w="0" w:type="dxa"/>
            <w:right w:w="0" w:type="dxa"/>
          </w:tblCellMar>
        </w:tblPrEx>
        <w:trPr>
          <w:wBefore w:w="0" w:type="auto"/>
          <w:tblCellSpacing w:w="0" w:type="dxa"/>
        </w:trPr>
        <w:tc>
          <w:tcPr>
            <w:tcW w:w="0" w:type="auto"/>
            <w:noWrap w:val="0"/>
            <w:vAlign w:val="center"/>
          </w:tcPr>
          <w:p w14:paraId="2B3CD322">
            <w:r>
              <w:rPr>
                <w:rFonts w:hint="eastAsia"/>
              </w:rPr>
              <w:t xml:space="preserve">有效成分及其含量： </w:t>
            </w:r>
          </w:p>
          <w:p w14:paraId="4B1F2438">
            <w:r>
              <w:rPr>
                <w:rFonts w:hint="eastAsia"/>
              </w:rPr>
              <w:t xml:space="preserve">    小檗碱0.5%    </w:t>
            </w:r>
          </w:p>
        </w:tc>
      </w:tr>
      <w:tr w14:paraId="7A31E9EA">
        <w:tblPrEx>
          <w:tblCellMar>
            <w:top w:w="0" w:type="dxa"/>
            <w:left w:w="0" w:type="dxa"/>
            <w:bottom w:w="0" w:type="dxa"/>
            <w:right w:w="0" w:type="dxa"/>
          </w:tblCellMar>
        </w:tblPrEx>
        <w:trPr>
          <w:wBefore w:w="0" w:type="auto"/>
          <w:tblCellSpacing w:w="0" w:type="dxa"/>
        </w:trPr>
        <w:tc>
          <w:tcPr>
            <w:tcW w:w="0" w:type="auto"/>
            <w:noWrap w:val="0"/>
            <w:vAlign w:val="center"/>
          </w:tcPr>
          <w:p w14:paraId="3824925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E6F9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FDE39A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8129D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E64F37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1FDB946">
                  <w:r>
                    <w:rPr>
                      <w:rStyle w:val="11"/>
                      <w:rFonts w:hint="eastAsia"/>
                    </w:rPr>
                    <w:t>施用方式</w:t>
                  </w:r>
                </w:p>
              </w:tc>
            </w:tr>
            <w:tr w14:paraId="2B4C20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1D27A44">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BEC604">
                  <w:r>
                    <w:rPr>
                      <w:rStyle w:val="11"/>
                      <w:rFonts w:hint="eastAsia"/>
                    </w:rPr>
                    <w:t>疫霉病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73CF21">
                  <w:r>
                    <w:rPr>
                      <w:rStyle w:val="11"/>
                      <w:rFonts w:hint="eastAsia"/>
                    </w:rPr>
                    <w:t>230-280毫升/亩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29B4A3">
                  <w:r>
                    <w:rPr>
                      <w:rStyle w:val="11"/>
                      <w:rFonts w:hint="eastAsia"/>
                    </w:rPr>
                    <w:t>喷雾</w:t>
                  </w:r>
                </w:p>
              </w:tc>
            </w:tr>
            <w:tr w14:paraId="0BEF30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7404D17">
                  <w:r>
                    <w:rPr>
                      <w:rStyle w:val="11"/>
                      <w:rFonts w:hint="eastAsia"/>
                    </w:rPr>
                    <w:t>三七</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5EF049">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7C46C7">
                  <w:r>
                    <w:rPr>
                      <w:rStyle w:val="11"/>
                      <w:rFonts w:hint="eastAsia"/>
                    </w:rPr>
                    <w:t>230-280毫升/亩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BAB448">
                  <w:r>
                    <w:rPr>
                      <w:rStyle w:val="11"/>
                      <w:rFonts w:hint="eastAsia"/>
                    </w:rPr>
                    <w:t>喷雾</w:t>
                  </w:r>
                </w:p>
              </w:tc>
            </w:tr>
          </w:tbl>
          <w:p w14:paraId="606EA6AB">
            <w:pPr>
              <w:rPr>
                <w:rFonts w:ascii="Times New Roman" w:hAnsi="Times New Roman" w:cs="Times New Roman"/>
                <w:sz w:val="20"/>
                <w:szCs w:val="20"/>
              </w:rPr>
            </w:pPr>
          </w:p>
        </w:tc>
      </w:tr>
      <w:tr w14:paraId="47D9A8CE">
        <w:tblPrEx>
          <w:tblCellMar>
            <w:top w:w="0" w:type="dxa"/>
            <w:left w:w="0" w:type="dxa"/>
            <w:bottom w:w="0" w:type="dxa"/>
            <w:right w:w="0" w:type="dxa"/>
          </w:tblCellMar>
        </w:tblPrEx>
        <w:trPr>
          <w:wBefore w:w="0" w:type="auto"/>
          <w:tblCellSpacing w:w="0" w:type="dxa"/>
        </w:trPr>
        <w:tc>
          <w:tcPr>
            <w:tcW w:w="0" w:type="auto"/>
            <w:noWrap w:val="0"/>
            <w:vAlign w:val="center"/>
          </w:tcPr>
          <w:p w14:paraId="483E6A8D">
            <w:r>
              <w:rPr>
                <w:rStyle w:val="10"/>
                <w:rFonts w:hint="eastAsia"/>
              </w:rPr>
              <w:t>使用技术要求:</w:t>
            </w:r>
            <w:r>
              <w:rPr>
                <w:rFonts w:hint="eastAsia"/>
              </w:rPr>
              <w:br w:type="textWrapping"/>
            </w:r>
            <w:r>
              <w:rPr>
                <w:rStyle w:val="11"/>
                <w:rFonts w:hint="eastAsia"/>
              </w:rPr>
              <w:t>1、于辣椒疫霉病、三七白粉病害发生前或发病初期喷雾施药，连续施药2-3次，每次间隔7-10天。晴天傍晚施药或阴天全天用药效果更佳，遇雨需重施。2、大风或预计1小时降雨，请勿施药。</w:t>
            </w:r>
          </w:p>
        </w:tc>
      </w:tr>
      <w:tr w14:paraId="18E6442D">
        <w:tblPrEx>
          <w:tblCellMar>
            <w:top w:w="0" w:type="dxa"/>
            <w:left w:w="0" w:type="dxa"/>
            <w:bottom w:w="0" w:type="dxa"/>
            <w:right w:w="0" w:type="dxa"/>
          </w:tblCellMar>
        </w:tblPrEx>
        <w:trPr>
          <w:wBefore w:w="0" w:type="auto"/>
          <w:tblCellSpacing w:w="0" w:type="dxa"/>
        </w:trPr>
        <w:tc>
          <w:tcPr>
            <w:tcW w:w="0" w:type="auto"/>
            <w:noWrap w:val="0"/>
            <w:vAlign w:val="center"/>
          </w:tcPr>
          <w:p w14:paraId="7430000F">
            <w:r>
              <w:rPr>
                <w:rStyle w:val="10"/>
                <w:rFonts w:hint="eastAsia"/>
              </w:rPr>
              <w:t>产品性能:</w:t>
            </w:r>
            <w:r>
              <w:rPr>
                <w:rFonts w:hint="eastAsia"/>
              </w:rPr>
              <w:br w:type="textWrapping"/>
            </w:r>
            <w:r>
              <w:rPr>
                <w:rStyle w:val="11"/>
                <w:rFonts w:hint="eastAsia"/>
              </w:rPr>
              <w:t>本产品是由中草药植物提取的生物碱杀菌剂，能迅速渗透到植物体内和病斑部位，通过干扰病原菌体代谢，抑制其生长和繁殖，达到杀菌作用。该植物源农用杀菌剂适用于防治辣椒疫霉病、三七白粉病。</w:t>
            </w:r>
          </w:p>
        </w:tc>
      </w:tr>
      <w:tr w14:paraId="0C41A2FF">
        <w:tblPrEx>
          <w:tblCellMar>
            <w:top w:w="0" w:type="dxa"/>
            <w:left w:w="0" w:type="dxa"/>
            <w:bottom w:w="0" w:type="dxa"/>
            <w:right w:w="0" w:type="dxa"/>
          </w:tblCellMar>
        </w:tblPrEx>
        <w:trPr>
          <w:wBefore w:w="0" w:type="auto"/>
          <w:tblCellSpacing w:w="0" w:type="dxa"/>
        </w:trPr>
        <w:tc>
          <w:tcPr>
            <w:tcW w:w="0" w:type="auto"/>
            <w:noWrap w:val="0"/>
            <w:vAlign w:val="center"/>
          </w:tcPr>
          <w:p w14:paraId="77B4939F">
            <w:r>
              <w:rPr>
                <w:rStyle w:val="10"/>
                <w:rFonts w:hint="eastAsia"/>
              </w:rPr>
              <w:t>注意事项：</w:t>
            </w:r>
            <w:r>
              <w:rPr>
                <w:rFonts w:hint="eastAsia"/>
              </w:rPr>
              <w:br w:type="textWrapping"/>
            </w:r>
            <w:r>
              <w:rPr>
                <w:rStyle w:val="11"/>
                <w:rFonts w:hint="eastAsia"/>
              </w:rPr>
              <w:t>1. 本品不可与呈强酸、强碱性的农药等物质混合使用。 2. 建议与其他作用机制不同的杀菌剂轮换使用，以延缓抗性产生。 3. 禁止在河塘等水域内清洗施药器具；远离水产养殖区、河塘等水体施药或水产养殖区、河塘等水体附近禁用；赤眼蜂等天敌放飞区禁用；鸟类保护区禁用。 4. 使用本品时应穿戴防护服和手套，避免吸入药液。施药期间不可吃东西和饮水。施药后应及时洗手和洗脸。 5. 用过的容器应妥善处理，不可做他用，也不可随意丢弃。 6. 孕妇及哺乳期妇女应避免接触。7.避免与氧化剂接触。8.易燃液体。</w:t>
            </w:r>
          </w:p>
        </w:tc>
      </w:tr>
      <w:tr w14:paraId="3F4D45F7">
        <w:tblPrEx>
          <w:tblCellMar>
            <w:top w:w="0" w:type="dxa"/>
            <w:left w:w="0" w:type="dxa"/>
            <w:bottom w:w="0" w:type="dxa"/>
            <w:right w:w="0" w:type="dxa"/>
          </w:tblCellMar>
        </w:tblPrEx>
        <w:trPr>
          <w:wBefore w:w="0" w:type="auto"/>
          <w:tblCellSpacing w:w="0" w:type="dxa"/>
        </w:trPr>
        <w:tc>
          <w:tcPr>
            <w:tcW w:w="0" w:type="auto"/>
            <w:noWrap w:val="0"/>
            <w:vAlign w:val="center"/>
          </w:tcPr>
          <w:p w14:paraId="509088EC">
            <w:r>
              <w:rPr>
                <w:rStyle w:val="10"/>
                <w:rFonts w:hint="eastAsia"/>
              </w:rPr>
              <w:t>中毒急救措施：</w:t>
            </w:r>
            <w:r>
              <w:rPr>
                <w:rFonts w:hint="eastAsia"/>
              </w:rPr>
              <w:br w:type="textWrapping"/>
            </w:r>
            <w:r>
              <w:rPr>
                <w:rStyle w:val="11"/>
                <w:rFonts w:hint="eastAsia"/>
              </w:rPr>
              <w:t>中毒症状：轻微红斑、作呕。急救措施：1.使用中或使用后如果感觉不适，立即停止工作，采取急救措施，并携带标签送医院就诊。2.皮肤接触：立即脱掉污染的衣物，用肥皂和大量清水彻底清除被污染的皮肤。3.眼睛溅药：立即将眼睑翻开，用大量清水冲洗至少15分钟，戴隐形眼镜者，冲洗5分钟后取下隐形眼镜，然后继续冲洗，再请医生诊治。4.发生吸入：立即将吸入者转移到空气新鲜及安静处，病情严重者请医生对症治疗。5.误服：立即停止服用，用清水充分漱口，携带标签到医院就诊。</w:t>
            </w:r>
          </w:p>
        </w:tc>
      </w:tr>
      <w:tr w14:paraId="15BE6CF8">
        <w:tblPrEx>
          <w:tblCellMar>
            <w:top w:w="0" w:type="dxa"/>
            <w:left w:w="0" w:type="dxa"/>
            <w:bottom w:w="0" w:type="dxa"/>
            <w:right w:w="0" w:type="dxa"/>
          </w:tblCellMar>
        </w:tblPrEx>
        <w:trPr>
          <w:wBefore w:w="0" w:type="auto"/>
          <w:tblCellSpacing w:w="0" w:type="dxa"/>
        </w:trPr>
        <w:tc>
          <w:tcPr>
            <w:tcW w:w="0" w:type="auto"/>
            <w:noWrap w:val="0"/>
            <w:vAlign w:val="center"/>
          </w:tcPr>
          <w:p w14:paraId="44D2C144">
            <w:r>
              <w:rPr>
                <w:rStyle w:val="10"/>
                <w:rFonts w:hint="eastAsia"/>
              </w:rPr>
              <w:t>储存和运输方法：</w:t>
            </w:r>
            <w:r>
              <w:rPr>
                <w:rFonts w:hint="eastAsia"/>
              </w:rPr>
              <w:br w:type="textWrapping"/>
            </w:r>
            <w:r>
              <w:rPr>
                <w:rStyle w:val="11"/>
                <w:rFonts w:hint="eastAsia"/>
              </w:rPr>
              <w:t>本品应贮存在阴凉、避光、通风处；严防受潮，曝晒。远离儿童并加锁保存，避免孕妇及哺乳期妇女接触。不能与食品、饮料、粮食饲料等物品同贮同运。</w:t>
            </w:r>
          </w:p>
        </w:tc>
      </w:tr>
      <w:tr w14:paraId="38A13932">
        <w:tblPrEx>
          <w:tblCellMar>
            <w:top w:w="0" w:type="dxa"/>
            <w:left w:w="0" w:type="dxa"/>
            <w:bottom w:w="0" w:type="dxa"/>
            <w:right w:w="0" w:type="dxa"/>
          </w:tblCellMar>
        </w:tblPrEx>
        <w:trPr>
          <w:wBefore w:w="0" w:type="auto"/>
          <w:tblCellSpacing w:w="0" w:type="dxa"/>
        </w:trPr>
        <w:tc>
          <w:tcPr>
            <w:tcW w:w="0" w:type="auto"/>
            <w:noWrap w:val="0"/>
            <w:vAlign w:val="center"/>
          </w:tcPr>
          <w:p w14:paraId="67AE4ABC">
            <w:r>
              <w:rPr>
                <w:rStyle w:val="10"/>
                <w:rFonts w:hint="eastAsia"/>
              </w:rPr>
              <w:t>质量保证期：</w:t>
            </w:r>
            <w:r>
              <w:rPr>
                <w:rStyle w:val="11"/>
                <w:rFonts w:hint="eastAsia"/>
              </w:rPr>
              <w:t>2年</w:t>
            </w:r>
          </w:p>
        </w:tc>
      </w:tr>
      <w:tr w14:paraId="10C020D7">
        <w:tblPrEx>
          <w:tblCellMar>
            <w:top w:w="0" w:type="dxa"/>
            <w:left w:w="0" w:type="dxa"/>
            <w:bottom w:w="0" w:type="dxa"/>
            <w:right w:w="0" w:type="dxa"/>
          </w:tblCellMar>
        </w:tblPrEx>
        <w:trPr>
          <w:wBefore w:w="0" w:type="auto"/>
          <w:tblCellSpacing w:w="0" w:type="dxa"/>
        </w:trPr>
        <w:tc>
          <w:tcPr>
            <w:tcW w:w="0" w:type="auto"/>
            <w:noWrap w:val="0"/>
            <w:vAlign w:val="center"/>
          </w:tcPr>
          <w:p w14:paraId="78E6C05E">
            <w:r>
              <w:rPr>
                <w:rStyle w:val="10"/>
                <w:rFonts w:hint="eastAsia"/>
              </w:rPr>
              <w:t>备注：</w:t>
            </w:r>
          </w:p>
        </w:tc>
      </w:tr>
    </w:tbl>
    <w:p w14:paraId="767A978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77A4A62">
        <w:tblPrEx>
          <w:tblCellMar>
            <w:top w:w="0" w:type="dxa"/>
            <w:left w:w="0" w:type="dxa"/>
            <w:bottom w:w="0" w:type="dxa"/>
            <w:right w:w="0" w:type="dxa"/>
          </w:tblCellMar>
        </w:tblPrEx>
        <w:trPr>
          <w:wBefore w:w="0" w:type="auto"/>
          <w:tblCellSpacing w:w="0" w:type="dxa"/>
        </w:trPr>
        <w:tc>
          <w:tcPr>
            <w:tcW w:w="0" w:type="auto"/>
            <w:noWrap w:val="0"/>
            <w:vAlign w:val="center"/>
          </w:tcPr>
          <w:p w14:paraId="76A70085">
            <w:r>
              <w:rPr>
                <w:rStyle w:val="10"/>
                <w:rFonts w:hint="eastAsia"/>
              </w:rPr>
              <w:t>登记证号：</w:t>
            </w:r>
            <w:r>
              <w:rPr>
                <w:rFonts w:hint="eastAsia"/>
              </w:rPr>
              <w:t>WP20210225</w:t>
            </w:r>
          </w:p>
        </w:tc>
      </w:tr>
      <w:tr w14:paraId="12AC9B55">
        <w:tblPrEx>
          <w:tblCellMar>
            <w:top w:w="0" w:type="dxa"/>
            <w:left w:w="0" w:type="dxa"/>
            <w:bottom w:w="0" w:type="dxa"/>
            <w:right w:w="0" w:type="dxa"/>
          </w:tblCellMar>
        </w:tblPrEx>
        <w:trPr>
          <w:wBefore w:w="0" w:type="auto"/>
          <w:tblCellSpacing w:w="0" w:type="dxa"/>
        </w:trPr>
        <w:tc>
          <w:tcPr>
            <w:tcW w:w="0" w:type="auto"/>
            <w:noWrap w:val="0"/>
            <w:vAlign w:val="center"/>
          </w:tcPr>
          <w:p w14:paraId="7989B311">
            <w:r>
              <w:rPr>
                <w:rStyle w:val="10"/>
                <w:rFonts w:hint="eastAsia"/>
              </w:rPr>
              <w:t>登记证持有人：</w:t>
            </w:r>
            <w:r>
              <w:rPr>
                <w:rFonts w:hint="eastAsia"/>
              </w:rPr>
              <w:t>浙江正点实业有限公司</w:t>
            </w:r>
          </w:p>
        </w:tc>
      </w:tr>
      <w:tr w14:paraId="379F4AD7">
        <w:tblPrEx>
          <w:tblCellMar>
            <w:top w:w="0" w:type="dxa"/>
            <w:left w:w="0" w:type="dxa"/>
            <w:bottom w:w="0" w:type="dxa"/>
            <w:right w:w="0" w:type="dxa"/>
          </w:tblCellMar>
        </w:tblPrEx>
        <w:trPr>
          <w:wBefore w:w="0" w:type="auto"/>
          <w:tblCellSpacing w:w="0" w:type="dxa"/>
        </w:trPr>
        <w:tc>
          <w:tcPr>
            <w:tcW w:w="0" w:type="auto"/>
            <w:noWrap w:val="0"/>
            <w:vAlign w:val="center"/>
          </w:tcPr>
          <w:p w14:paraId="5E93DD66">
            <w:r>
              <w:rPr>
                <w:rStyle w:val="10"/>
                <w:rFonts w:hint="eastAsia"/>
              </w:rPr>
              <w:t>农药名称：</w:t>
            </w:r>
            <w:r>
              <w:rPr>
                <w:rFonts w:hint="eastAsia"/>
              </w:rPr>
              <w:t>电热蚊香液</w:t>
            </w:r>
          </w:p>
        </w:tc>
      </w:tr>
      <w:tr w14:paraId="39E8B20F">
        <w:tblPrEx>
          <w:tblCellMar>
            <w:top w:w="0" w:type="dxa"/>
            <w:left w:w="0" w:type="dxa"/>
            <w:bottom w:w="0" w:type="dxa"/>
            <w:right w:w="0" w:type="dxa"/>
          </w:tblCellMar>
        </w:tblPrEx>
        <w:trPr>
          <w:wBefore w:w="0" w:type="auto"/>
          <w:tblCellSpacing w:w="0" w:type="dxa"/>
        </w:trPr>
        <w:tc>
          <w:tcPr>
            <w:tcW w:w="0" w:type="auto"/>
            <w:noWrap w:val="0"/>
            <w:vAlign w:val="center"/>
          </w:tcPr>
          <w:p w14:paraId="0E199D93">
            <w:r>
              <w:rPr>
                <w:rStyle w:val="10"/>
                <w:rFonts w:hint="eastAsia"/>
              </w:rPr>
              <w:t>剂型：</w:t>
            </w:r>
            <w:r>
              <w:rPr>
                <w:rFonts w:hint="eastAsia"/>
              </w:rPr>
              <w:t>电热香蚊液</w:t>
            </w:r>
          </w:p>
        </w:tc>
      </w:tr>
      <w:tr w14:paraId="1C3139C3">
        <w:tblPrEx>
          <w:tblCellMar>
            <w:top w:w="0" w:type="dxa"/>
            <w:left w:w="0" w:type="dxa"/>
            <w:bottom w:w="0" w:type="dxa"/>
            <w:right w:w="0" w:type="dxa"/>
          </w:tblCellMar>
        </w:tblPrEx>
        <w:trPr>
          <w:wBefore w:w="0" w:type="auto"/>
          <w:tblCellSpacing w:w="0" w:type="dxa"/>
        </w:trPr>
        <w:tc>
          <w:tcPr>
            <w:tcW w:w="0" w:type="auto"/>
            <w:noWrap w:val="0"/>
            <w:vAlign w:val="center"/>
          </w:tcPr>
          <w:p w14:paraId="55EAFDC0">
            <w:r>
              <w:rPr>
                <w:rStyle w:val="10"/>
                <w:rFonts w:hint="eastAsia"/>
              </w:rPr>
              <w:t>毒性及其标识：</w:t>
            </w:r>
            <w:r>
              <w:rPr>
                <w:rFonts w:hint="eastAsia"/>
              </w:rPr>
              <w:t xml:space="preserve"> 微毒 </w:t>
            </w:r>
          </w:p>
        </w:tc>
      </w:tr>
      <w:tr w14:paraId="610C88DB">
        <w:tblPrEx>
          <w:tblCellMar>
            <w:top w:w="0" w:type="dxa"/>
            <w:left w:w="0" w:type="dxa"/>
            <w:bottom w:w="0" w:type="dxa"/>
            <w:right w:w="0" w:type="dxa"/>
          </w:tblCellMar>
        </w:tblPrEx>
        <w:trPr>
          <w:wBefore w:w="0" w:type="auto"/>
          <w:tblCellSpacing w:w="0" w:type="dxa"/>
        </w:trPr>
        <w:tc>
          <w:tcPr>
            <w:tcW w:w="0" w:type="auto"/>
            <w:noWrap w:val="0"/>
            <w:vAlign w:val="center"/>
          </w:tcPr>
          <w:p w14:paraId="761F4409">
            <w:r>
              <w:rPr>
                <w:rStyle w:val="10"/>
                <w:rFonts w:hint="eastAsia"/>
              </w:rPr>
              <w:t>总有效成分含量：</w:t>
            </w:r>
            <w:r>
              <w:rPr>
                <w:rFonts w:hint="eastAsia"/>
              </w:rPr>
              <w:t>1.2%</w:t>
            </w:r>
          </w:p>
        </w:tc>
      </w:tr>
      <w:tr w14:paraId="448726FA">
        <w:tblPrEx>
          <w:tblCellMar>
            <w:top w:w="0" w:type="dxa"/>
            <w:left w:w="0" w:type="dxa"/>
            <w:bottom w:w="0" w:type="dxa"/>
            <w:right w:w="0" w:type="dxa"/>
          </w:tblCellMar>
        </w:tblPrEx>
        <w:trPr>
          <w:wBefore w:w="0" w:type="auto"/>
          <w:tblCellSpacing w:w="0" w:type="dxa"/>
        </w:trPr>
        <w:tc>
          <w:tcPr>
            <w:tcW w:w="0" w:type="auto"/>
            <w:noWrap w:val="0"/>
            <w:vAlign w:val="center"/>
          </w:tcPr>
          <w:p w14:paraId="6CD402BE">
            <w:r>
              <w:rPr>
                <w:rFonts w:hint="eastAsia"/>
              </w:rPr>
              <w:t xml:space="preserve">有效成分及其含量： </w:t>
            </w:r>
          </w:p>
          <w:p w14:paraId="1E0400D8">
            <w:r>
              <w:rPr>
                <w:rFonts w:hint="eastAsia"/>
              </w:rPr>
              <w:t xml:space="preserve">    氯氟醚菊酯1.2%    </w:t>
            </w:r>
          </w:p>
        </w:tc>
      </w:tr>
      <w:tr w14:paraId="16F7552E">
        <w:tblPrEx>
          <w:tblCellMar>
            <w:top w:w="0" w:type="dxa"/>
            <w:left w:w="0" w:type="dxa"/>
            <w:bottom w:w="0" w:type="dxa"/>
            <w:right w:w="0" w:type="dxa"/>
          </w:tblCellMar>
        </w:tblPrEx>
        <w:trPr>
          <w:wBefore w:w="0" w:type="auto"/>
          <w:tblCellSpacing w:w="0" w:type="dxa"/>
        </w:trPr>
        <w:tc>
          <w:tcPr>
            <w:tcW w:w="0" w:type="auto"/>
            <w:noWrap w:val="0"/>
            <w:vAlign w:val="center"/>
          </w:tcPr>
          <w:p w14:paraId="6AC6EE2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7F5A3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B3CE81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99A950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9A7972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4DB312E">
                  <w:r>
                    <w:rPr>
                      <w:rStyle w:val="11"/>
                      <w:rFonts w:hint="eastAsia"/>
                    </w:rPr>
                    <w:t>施用方式</w:t>
                  </w:r>
                </w:p>
              </w:tc>
            </w:tr>
            <w:tr w14:paraId="24502E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A61EEA">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0CA3EC">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3B85F0">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2E6912">
                  <w:r>
                    <w:rPr>
                      <w:rStyle w:val="11"/>
                      <w:rFonts w:hint="eastAsia"/>
                    </w:rPr>
                    <w:t>电热加温</w:t>
                  </w:r>
                </w:p>
              </w:tc>
            </w:tr>
          </w:tbl>
          <w:p w14:paraId="2CBD4CC4">
            <w:pPr>
              <w:rPr>
                <w:rFonts w:ascii="Times New Roman" w:hAnsi="Times New Roman" w:cs="Times New Roman"/>
                <w:sz w:val="20"/>
                <w:szCs w:val="20"/>
              </w:rPr>
            </w:pPr>
          </w:p>
        </w:tc>
      </w:tr>
      <w:tr w14:paraId="5D3DD5E0">
        <w:tblPrEx>
          <w:tblCellMar>
            <w:top w:w="0" w:type="dxa"/>
            <w:left w:w="0" w:type="dxa"/>
            <w:bottom w:w="0" w:type="dxa"/>
            <w:right w:w="0" w:type="dxa"/>
          </w:tblCellMar>
        </w:tblPrEx>
        <w:trPr>
          <w:wBefore w:w="0" w:type="auto"/>
          <w:tblCellSpacing w:w="0" w:type="dxa"/>
        </w:trPr>
        <w:tc>
          <w:tcPr>
            <w:tcW w:w="0" w:type="auto"/>
            <w:noWrap w:val="0"/>
            <w:vAlign w:val="center"/>
          </w:tcPr>
          <w:p w14:paraId="0E051666">
            <w:r>
              <w:rPr>
                <w:rStyle w:val="10"/>
                <w:rFonts w:hint="eastAsia"/>
              </w:rPr>
              <w:t>使用技术要求:</w:t>
            </w:r>
            <w:r>
              <w:rPr>
                <w:rFonts w:hint="eastAsia"/>
              </w:rPr>
              <w:br w:type="textWrapping"/>
            </w:r>
            <w:r>
              <w:rPr>
                <w:rStyle w:val="11"/>
                <w:rFonts w:hint="eastAsia"/>
              </w:rPr>
              <w:t>使用时药力散发均匀，无须每天添加或更换。使用方便。是现代家居驱蚊之良品之一。 1、旋开电热蚊香液的瓶盖； 2、将蚊香液装入驱蚊器内； 3、将驱蚊器插上电源，指示灯亮即表示正常工作； 4、用毕切断电源；</w:t>
            </w:r>
          </w:p>
        </w:tc>
      </w:tr>
      <w:tr w14:paraId="041DB1E8">
        <w:tblPrEx>
          <w:tblCellMar>
            <w:top w:w="0" w:type="dxa"/>
            <w:left w:w="0" w:type="dxa"/>
            <w:bottom w:w="0" w:type="dxa"/>
            <w:right w:w="0" w:type="dxa"/>
          </w:tblCellMar>
        </w:tblPrEx>
        <w:trPr>
          <w:wBefore w:w="0" w:type="auto"/>
          <w:tblCellSpacing w:w="0" w:type="dxa"/>
        </w:trPr>
        <w:tc>
          <w:tcPr>
            <w:tcW w:w="0" w:type="auto"/>
            <w:noWrap w:val="0"/>
            <w:vAlign w:val="center"/>
          </w:tcPr>
          <w:p w14:paraId="101823C3">
            <w:r>
              <w:rPr>
                <w:rStyle w:val="10"/>
                <w:rFonts w:hint="eastAsia"/>
              </w:rPr>
              <w:t>产品性能:</w:t>
            </w:r>
            <w:r>
              <w:rPr>
                <w:rFonts w:hint="eastAsia"/>
              </w:rPr>
              <w:br w:type="textWrapping"/>
            </w:r>
            <w:r>
              <w:rPr>
                <w:rStyle w:val="11"/>
                <w:rFonts w:hint="eastAsia"/>
              </w:rPr>
              <w:t>本品采用拟除虫菊酯类药剂为有效成分配制而成，能有效驱蚊，使用方便，无需天天更换；适合于家居、宾馆等场所使用。</w:t>
            </w:r>
          </w:p>
        </w:tc>
      </w:tr>
      <w:tr w14:paraId="5316B866">
        <w:tblPrEx>
          <w:tblCellMar>
            <w:top w:w="0" w:type="dxa"/>
            <w:left w:w="0" w:type="dxa"/>
            <w:bottom w:w="0" w:type="dxa"/>
            <w:right w:w="0" w:type="dxa"/>
          </w:tblCellMar>
        </w:tblPrEx>
        <w:trPr>
          <w:wBefore w:w="0" w:type="auto"/>
          <w:tblCellSpacing w:w="0" w:type="dxa"/>
        </w:trPr>
        <w:tc>
          <w:tcPr>
            <w:tcW w:w="0" w:type="auto"/>
            <w:noWrap w:val="0"/>
            <w:vAlign w:val="center"/>
          </w:tcPr>
          <w:p w14:paraId="2FB6E0D1">
            <w:r>
              <w:rPr>
                <w:rStyle w:val="10"/>
                <w:rFonts w:hint="eastAsia"/>
              </w:rPr>
              <w:t>注意事项：</w:t>
            </w:r>
            <w:r>
              <w:rPr>
                <w:rFonts w:hint="eastAsia"/>
              </w:rPr>
              <w:br w:type="textWrapping"/>
            </w:r>
            <w:r>
              <w:rPr>
                <w:rStyle w:val="11"/>
                <w:rFonts w:hint="eastAsia"/>
              </w:rPr>
              <w:t>置于儿童接触不到的地方。使用时注意通风；注意用电及防火安全；本品对鱼、蚕有毒，蚕室及其附近禁用；用后洗手。过敏者禁用；使用中有任何不良反应请及时就医。</w:t>
            </w:r>
          </w:p>
        </w:tc>
      </w:tr>
      <w:tr w14:paraId="3E9409CD">
        <w:tblPrEx>
          <w:tblCellMar>
            <w:top w:w="0" w:type="dxa"/>
            <w:left w:w="0" w:type="dxa"/>
            <w:bottom w:w="0" w:type="dxa"/>
            <w:right w:w="0" w:type="dxa"/>
          </w:tblCellMar>
        </w:tblPrEx>
        <w:trPr>
          <w:wBefore w:w="0" w:type="auto"/>
          <w:tblCellSpacing w:w="0" w:type="dxa"/>
        </w:trPr>
        <w:tc>
          <w:tcPr>
            <w:tcW w:w="0" w:type="auto"/>
            <w:noWrap w:val="0"/>
            <w:vAlign w:val="center"/>
          </w:tcPr>
          <w:p w14:paraId="493AFF3C">
            <w:r>
              <w:rPr>
                <w:rStyle w:val="10"/>
                <w:rFonts w:hint="eastAsia"/>
              </w:rPr>
              <w:t>中毒急救措施：</w:t>
            </w:r>
            <w:r>
              <w:rPr>
                <w:rFonts w:hint="eastAsia"/>
              </w:rPr>
              <w:br w:type="textWrapping"/>
            </w:r>
            <w:r>
              <w:rPr>
                <w:rStyle w:val="11"/>
                <w:rFonts w:hint="eastAsia"/>
              </w:rPr>
              <w:t>中毒和急救措施，若有误服，则应立即携带标签将病人送医院诊治。不慎吸入，应将病人移至空气流通处。如接触药液或溅入眼睛后应即用清水冲洗15分钟以上。</w:t>
            </w:r>
          </w:p>
        </w:tc>
      </w:tr>
      <w:tr w14:paraId="33206996">
        <w:tblPrEx>
          <w:tblCellMar>
            <w:top w:w="0" w:type="dxa"/>
            <w:left w:w="0" w:type="dxa"/>
            <w:bottom w:w="0" w:type="dxa"/>
            <w:right w:w="0" w:type="dxa"/>
          </w:tblCellMar>
        </w:tblPrEx>
        <w:trPr>
          <w:wBefore w:w="0" w:type="auto"/>
          <w:tblCellSpacing w:w="0" w:type="dxa"/>
        </w:trPr>
        <w:tc>
          <w:tcPr>
            <w:tcW w:w="0" w:type="auto"/>
            <w:noWrap w:val="0"/>
            <w:vAlign w:val="center"/>
          </w:tcPr>
          <w:p w14:paraId="20CE4BAD">
            <w:r>
              <w:rPr>
                <w:rStyle w:val="10"/>
                <w:rFonts w:hint="eastAsia"/>
              </w:rPr>
              <w:t>储存和运输方法：</w:t>
            </w:r>
            <w:r>
              <w:rPr>
                <w:rFonts w:hint="eastAsia"/>
              </w:rPr>
              <w:br w:type="textWrapping"/>
            </w:r>
            <w:r>
              <w:rPr>
                <w:rStyle w:val="11"/>
                <w:rFonts w:hint="eastAsia"/>
              </w:rPr>
              <w:t>1、置于儿童接触不到的阴凉干燥处；2、勿与食品、种子、饮料、饲料、粮食及易燃易爆品等同贮同运。3、搬运时要轻取轻放，防止剧烈震动、日晒、雨淋和重压。4、远离火源或热源。</w:t>
            </w:r>
          </w:p>
        </w:tc>
      </w:tr>
      <w:tr w14:paraId="2E2D6E9A">
        <w:tblPrEx>
          <w:tblCellMar>
            <w:top w:w="0" w:type="dxa"/>
            <w:left w:w="0" w:type="dxa"/>
            <w:bottom w:w="0" w:type="dxa"/>
            <w:right w:w="0" w:type="dxa"/>
          </w:tblCellMar>
        </w:tblPrEx>
        <w:trPr>
          <w:wBefore w:w="0" w:type="auto"/>
          <w:tblCellSpacing w:w="0" w:type="dxa"/>
        </w:trPr>
        <w:tc>
          <w:tcPr>
            <w:tcW w:w="0" w:type="auto"/>
            <w:noWrap w:val="0"/>
            <w:vAlign w:val="center"/>
          </w:tcPr>
          <w:p w14:paraId="59B9FD91">
            <w:r>
              <w:rPr>
                <w:rStyle w:val="10"/>
                <w:rFonts w:hint="eastAsia"/>
              </w:rPr>
              <w:t>质量保证期：</w:t>
            </w:r>
            <w:r>
              <w:rPr>
                <w:rStyle w:val="11"/>
                <w:rFonts w:hint="eastAsia"/>
              </w:rPr>
              <w:t>2</w:t>
            </w:r>
          </w:p>
        </w:tc>
      </w:tr>
      <w:tr w14:paraId="5324AACA">
        <w:tblPrEx>
          <w:tblCellMar>
            <w:top w:w="0" w:type="dxa"/>
            <w:left w:w="0" w:type="dxa"/>
            <w:bottom w:w="0" w:type="dxa"/>
            <w:right w:w="0" w:type="dxa"/>
          </w:tblCellMar>
        </w:tblPrEx>
        <w:trPr>
          <w:wBefore w:w="0" w:type="auto"/>
          <w:tblCellSpacing w:w="0" w:type="dxa"/>
        </w:trPr>
        <w:tc>
          <w:tcPr>
            <w:tcW w:w="0" w:type="auto"/>
            <w:noWrap w:val="0"/>
            <w:vAlign w:val="center"/>
          </w:tcPr>
          <w:p w14:paraId="3610A0AB">
            <w:r>
              <w:rPr>
                <w:rStyle w:val="10"/>
                <w:rFonts w:hint="eastAsia"/>
              </w:rPr>
              <w:t>备注：</w:t>
            </w:r>
          </w:p>
        </w:tc>
      </w:tr>
    </w:tbl>
    <w:p w14:paraId="2330878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ECE9F62">
        <w:tblPrEx>
          <w:tblCellMar>
            <w:top w:w="0" w:type="dxa"/>
            <w:left w:w="0" w:type="dxa"/>
            <w:bottom w:w="0" w:type="dxa"/>
            <w:right w:w="0" w:type="dxa"/>
          </w:tblCellMar>
        </w:tblPrEx>
        <w:trPr>
          <w:wBefore w:w="0" w:type="auto"/>
          <w:tblCellSpacing w:w="0" w:type="dxa"/>
        </w:trPr>
        <w:tc>
          <w:tcPr>
            <w:tcW w:w="0" w:type="auto"/>
            <w:noWrap w:val="0"/>
            <w:vAlign w:val="center"/>
          </w:tcPr>
          <w:p w14:paraId="19FA1CDE">
            <w:r>
              <w:rPr>
                <w:rStyle w:val="10"/>
                <w:rFonts w:hint="eastAsia"/>
              </w:rPr>
              <w:t>登记证号：</w:t>
            </w:r>
            <w:r>
              <w:rPr>
                <w:rFonts w:hint="eastAsia"/>
              </w:rPr>
              <w:t>PD20211698</w:t>
            </w:r>
          </w:p>
        </w:tc>
      </w:tr>
      <w:tr w14:paraId="7D8D48C9">
        <w:tblPrEx>
          <w:tblCellMar>
            <w:top w:w="0" w:type="dxa"/>
            <w:left w:w="0" w:type="dxa"/>
            <w:bottom w:w="0" w:type="dxa"/>
            <w:right w:w="0" w:type="dxa"/>
          </w:tblCellMar>
        </w:tblPrEx>
        <w:trPr>
          <w:wBefore w:w="0" w:type="auto"/>
          <w:tblCellSpacing w:w="0" w:type="dxa"/>
        </w:trPr>
        <w:tc>
          <w:tcPr>
            <w:tcW w:w="0" w:type="auto"/>
            <w:noWrap w:val="0"/>
            <w:vAlign w:val="center"/>
          </w:tcPr>
          <w:p w14:paraId="5977A786">
            <w:r>
              <w:rPr>
                <w:rStyle w:val="10"/>
                <w:rFonts w:hint="eastAsia"/>
              </w:rPr>
              <w:t>登记证持有人：</w:t>
            </w:r>
            <w:r>
              <w:rPr>
                <w:rFonts w:hint="eastAsia"/>
              </w:rPr>
              <w:t>安徽美兰农业发展股份有限公司</w:t>
            </w:r>
          </w:p>
        </w:tc>
      </w:tr>
      <w:tr w14:paraId="12E822F0">
        <w:tblPrEx>
          <w:tblCellMar>
            <w:top w:w="0" w:type="dxa"/>
            <w:left w:w="0" w:type="dxa"/>
            <w:bottom w:w="0" w:type="dxa"/>
            <w:right w:w="0" w:type="dxa"/>
          </w:tblCellMar>
        </w:tblPrEx>
        <w:trPr>
          <w:wBefore w:w="0" w:type="auto"/>
          <w:tblCellSpacing w:w="0" w:type="dxa"/>
        </w:trPr>
        <w:tc>
          <w:tcPr>
            <w:tcW w:w="0" w:type="auto"/>
            <w:noWrap w:val="0"/>
            <w:vAlign w:val="center"/>
          </w:tcPr>
          <w:p w14:paraId="7EFF9EB3">
            <w:r>
              <w:rPr>
                <w:rStyle w:val="10"/>
                <w:rFonts w:hint="eastAsia"/>
              </w:rPr>
              <w:t>农药名称：</w:t>
            </w:r>
            <w:r>
              <w:rPr>
                <w:rFonts w:hint="eastAsia"/>
              </w:rPr>
              <w:t>苯醚·咯·噻虫</w:t>
            </w:r>
          </w:p>
        </w:tc>
      </w:tr>
      <w:tr w14:paraId="469511D7">
        <w:tblPrEx>
          <w:tblCellMar>
            <w:top w:w="0" w:type="dxa"/>
            <w:left w:w="0" w:type="dxa"/>
            <w:bottom w:w="0" w:type="dxa"/>
            <w:right w:w="0" w:type="dxa"/>
          </w:tblCellMar>
        </w:tblPrEx>
        <w:trPr>
          <w:wBefore w:w="0" w:type="auto"/>
          <w:tblCellSpacing w:w="0" w:type="dxa"/>
        </w:trPr>
        <w:tc>
          <w:tcPr>
            <w:tcW w:w="0" w:type="auto"/>
            <w:noWrap w:val="0"/>
            <w:vAlign w:val="center"/>
          </w:tcPr>
          <w:p w14:paraId="08E5DBF1">
            <w:r>
              <w:rPr>
                <w:rStyle w:val="10"/>
                <w:rFonts w:hint="eastAsia"/>
              </w:rPr>
              <w:t>剂型：</w:t>
            </w:r>
            <w:r>
              <w:rPr>
                <w:rFonts w:hint="eastAsia"/>
              </w:rPr>
              <w:t>种子处理悬浮剂</w:t>
            </w:r>
          </w:p>
        </w:tc>
      </w:tr>
      <w:tr w14:paraId="54F605BF">
        <w:tblPrEx>
          <w:tblCellMar>
            <w:top w:w="0" w:type="dxa"/>
            <w:left w:w="0" w:type="dxa"/>
            <w:bottom w:w="0" w:type="dxa"/>
            <w:right w:w="0" w:type="dxa"/>
          </w:tblCellMar>
        </w:tblPrEx>
        <w:trPr>
          <w:wBefore w:w="0" w:type="auto"/>
          <w:tblCellSpacing w:w="0" w:type="dxa"/>
        </w:trPr>
        <w:tc>
          <w:tcPr>
            <w:tcW w:w="0" w:type="auto"/>
            <w:noWrap w:val="0"/>
            <w:vAlign w:val="center"/>
          </w:tcPr>
          <w:p w14:paraId="73700051">
            <w:r>
              <w:rPr>
                <w:rStyle w:val="10"/>
                <w:rFonts w:hint="eastAsia"/>
              </w:rPr>
              <w:t>毒性及其标识：</w:t>
            </w:r>
            <w:r>
              <w:rPr>
                <w:rFonts w:hint="eastAsia"/>
              </w:rPr>
              <w:t xml:space="preserve"> </w:t>
            </w:r>
            <w:r>
              <w:rPr>
                <w:lang/>
              </w:rPr>
              <w:drawing>
                <wp:inline distT="0" distB="0" distL="114300" distR="114300">
                  <wp:extent cx="476250" cy="323850"/>
                  <wp:effectExtent l="0" t="0" r="0" b="0"/>
                  <wp:docPr id="216" name="图片 21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4A5C094">
        <w:tblPrEx>
          <w:tblCellMar>
            <w:top w:w="0" w:type="dxa"/>
            <w:left w:w="0" w:type="dxa"/>
            <w:bottom w:w="0" w:type="dxa"/>
            <w:right w:w="0" w:type="dxa"/>
          </w:tblCellMar>
        </w:tblPrEx>
        <w:trPr>
          <w:wBefore w:w="0" w:type="auto"/>
          <w:tblCellSpacing w:w="0" w:type="dxa"/>
        </w:trPr>
        <w:tc>
          <w:tcPr>
            <w:tcW w:w="0" w:type="auto"/>
            <w:noWrap w:val="0"/>
            <w:vAlign w:val="center"/>
          </w:tcPr>
          <w:p w14:paraId="2E11C839">
            <w:r>
              <w:rPr>
                <w:rStyle w:val="10"/>
                <w:rFonts w:hint="eastAsia"/>
              </w:rPr>
              <w:t>总有效成分含量：</w:t>
            </w:r>
            <w:r>
              <w:rPr>
                <w:rFonts w:hint="eastAsia"/>
              </w:rPr>
              <w:t>27%</w:t>
            </w:r>
          </w:p>
        </w:tc>
      </w:tr>
      <w:tr w14:paraId="7AFD3F74">
        <w:tblPrEx>
          <w:tblCellMar>
            <w:top w:w="0" w:type="dxa"/>
            <w:left w:w="0" w:type="dxa"/>
            <w:bottom w:w="0" w:type="dxa"/>
            <w:right w:w="0" w:type="dxa"/>
          </w:tblCellMar>
        </w:tblPrEx>
        <w:trPr>
          <w:wBefore w:w="0" w:type="auto"/>
          <w:tblCellSpacing w:w="0" w:type="dxa"/>
        </w:trPr>
        <w:tc>
          <w:tcPr>
            <w:tcW w:w="0" w:type="auto"/>
            <w:noWrap w:val="0"/>
            <w:vAlign w:val="center"/>
          </w:tcPr>
          <w:p w14:paraId="52C21541">
            <w:r>
              <w:rPr>
                <w:rFonts w:hint="eastAsia"/>
              </w:rPr>
              <w:t xml:space="preserve">有效成分及其含量： </w:t>
            </w:r>
          </w:p>
          <w:p w14:paraId="021CA833">
            <w:r>
              <w:rPr>
                <w:rFonts w:hint="eastAsia"/>
              </w:rPr>
              <w:t xml:space="preserve">    咯菌腈2.2%    噻虫嗪22.6%    苯醚甲环唑2.2%    </w:t>
            </w:r>
          </w:p>
        </w:tc>
      </w:tr>
      <w:tr w14:paraId="0A865F24">
        <w:tblPrEx>
          <w:tblCellMar>
            <w:top w:w="0" w:type="dxa"/>
            <w:left w:w="0" w:type="dxa"/>
            <w:bottom w:w="0" w:type="dxa"/>
            <w:right w:w="0" w:type="dxa"/>
          </w:tblCellMar>
        </w:tblPrEx>
        <w:trPr>
          <w:wBefore w:w="0" w:type="auto"/>
          <w:tblCellSpacing w:w="0" w:type="dxa"/>
        </w:trPr>
        <w:tc>
          <w:tcPr>
            <w:tcW w:w="0" w:type="auto"/>
            <w:noWrap w:val="0"/>
            <w:vAlign w:val="center"/>
          </w:tcPr>
          <w:p w14:paraId="15BE72F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E132F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04079C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C43ADD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DF2F9C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7C681D">
                  <w:r>
                    <w:rPr>
                      <w:rStyle w:val="11"/>
                      <w:rFonts w:hint="eastAsia"/>
                    </w:rPr>
                    <w:t>施用方式</w:t>
                  </w:r>
                </w:p>
              </w:tc>
            </w:tr>
            <w:tr w14:paraId="7031FC7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07D68E9">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C6F21F">
                  <w:r>
                    <w:rPr>
                      <w:rStyle w:val="11"/>
                      <w:rFonts w:hint="eastAsia"/>
                    </w:rPr>
                    <w:t>恶苗病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E487A6">
                  <w:r>
                    <w:rPr>
                      <w:rStyle w:val="11"/>
                      <w:rFonts w:hint="eastAsia"/>
                    </w:rPr>
                    <w:t>335-500毫升/100千克种子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15F3AE">
                  <w:r>
                    <w:rPr>
                      <w:rStyle w:val="11"/>
                      <w:rFonts w:hint="eastAsia"/>
                    </w:rPr>
                    <w:t>种子包衣</w:t>
                  </w:r>
                </w:p>
              </w:tc>
            </w:tr>
            <w:tr w14:paraId="6E7525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237850">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8194B5">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A496B3">
                  <w:r>
                    <w:rPr>
                      <w:rStyle w:val="11"/>
                      <w:rFonts w:hint="eastAsia"/>
                    </w:rPr>
                    <w:t>335-500毫升/100千克种子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4AFBB2">
                  <w:r>
                    <w:rPr>
                      <w:rStyle w:val="11"/>
                      <w:rFonts w:hint="eastAsia"/>
                    </w:rPr>
                    <w:t>种子包衣</w:t>
                  </w:r>
                </w:p>
              </w:tc>
            </w:tr>
          </w:tbl>
          <w:p w14:paraId="46AC0B7C">
            <w:pPr>
              <w:rPr>
                <w:rFonts w:ascii="Times New Roman" w:hAnsi="Times New Roman" w:cs="Times New Roman"/>
                <w:sz w:val="20"/>
                <w:szCs w:val="20"/>
              </w:rPr>
            </w:pPr>
          </w:p>
        </w:tc>
      </w:tr>
      <w:tr w14:paraId="7AED675E">
        <w:tblPrEx>
          <w:tblCellMar>
            <w:top w:w="0" w:type="dxa"/>
            <w:left w:w="0" w:type="dxa"/>
            <w:bottom w:w="0" w:type="dxa"/>
            <w:right w:w="0" w:type="dxa"/>
          </w:tblCellMar>
        </w:tblPrEx>
        <w:trPr>
          <w:wBefore w:w="0" w:type="auto"/>
          <w:tblCellSpacing w:w="0" w:type="dxa"/>
        </w:trPr>
        <w:tc>
          <w:tcPr>
            <w:tcW w:w="0" w:type="auto"/>
            <w:noWrap w:val="0"/>
            <w:vAlign w:val="center"/>
          </w:tcPr>
          <w:p w14:paraId="03143E2E">
            <w:r>
              <w:rPr>
                <w:rStyle w:val="10"/>
                <w:rFonts w:hint="eastAsia"/>
              </w:rPr>
              <w:t>使用技术要求:</w:t>
            </w:r>
            <w:r>
              <w:rPr>
                <w:rFonts w:hint="eastAsia"/>
              </w:rPr>
              <w:br w:type="textWrapping"/>
            </w:r>
            <w:r>
              <w:rPr>
                <w:rStyle w:val="11"/>
                <w:rFonts w:hint="eastAsia"/>
              </w:rPr>
              <w:t>1. 于水稻播种前种子包衣处理1次，按照制剂推荐用量用水稀释药液，将药液和种子充分搅拌，直至种子着药（着色）均匀，晾干后即可。2.配制好的药液应在24小时内使用。</w:t>
            </w:r>
          </w:p>
        </w:tc>
      </w:tr>
      <w:tr w14:paraId="63DC9A69">
        <w:tblPrEx>
          <w:tblCellMar>
            <w:top w:w="0" w:type="dxa"/>
            <w:left w:w="0" w:type="dxa"/>
            <w:bottom w:w="0" w:type="dxa"/>
            <w:right w:w="0" w:type="dxa"/>
          </w:tblCellMar>
        </w:tblPrEx>
        <w:trPr>
          <w:wBefore w:w="0" w:type="auto"/>
          <w:tblCellSpacing w:w="0" w:type="dxa"/>
        </w:trPr>
        <w:tc>
          <w:tcPr>
            <w:tcW w:w="0" w:type="auto"/>
            <w:noWrap w:val="0"/>
            <w:vAlign w:val="center"/>
          </w:tcPr>
          <w:p w14:paraId="3CF4F84B">
            <w:r>
              <w:rPr>
                <w:rStyle w:val="10"/>
                <w:rFonts w:hint="eastAsia"/>
              </w:rPr>
              <w:t>产品性能:</w:t>
            </w:r>
            <w:r>
              <w:rPr>
                <w:rFonts w:hint="eastAsia"/>
              </w:rPr>
              <w:br w:type="textWrapping"/>
            </w:r>
            <w:r>
              <w:rPr>
                <w:rStyle w:val="11"/>
                <w:rFonts w:hint="eastAsia"/>
              </w:rPr>
              <w:t>本品由苯醚甲环唑、咯菌腈和噻虫嗪复配而成。苯醚甲环唑是甾醇脱甲基化抑制剂，抑制细胞膜麦角甾醇生物合成，从而阻止病原菌生长。咯菌腈属非内吸性杀菌剂，能够通过植物组织吸收，抑制渗透信号传导过程中的丝裂原活化蛋白激酶活性。噻虫嗪为乙酰胆碱受体的兴奋剂，影响害虫中枢神经系统的神经突触。本品用于种子包衣处理可有效防治水稻恶苗病、蓟马等病虫害。</w:t>
            </w:r>
          </w:p>
        </w:tc>
      </w:tr>
      <w:tr w14:paraId="78E05BBA">
        <w:tblPrEx>
          <w:tblCellMar>
            <w:top w:w="0" w:type="dxa"/>
            <w:left w:w="0" w:type="dxa"/>
            <w:bottom w:w="0" w:type="dxa"/>
            <w:right w:w="0" w:type="dxa"/>
          </w:tblCellMar>
        </w:tblPrEx>
        <w:trPr>
          <w:wBefore w:w="0" w:type="auto"/>
          <w:tblCellSpacing w:w="0" w:type="dxa"/>
        </w:trPr>
        <w:tc>
          <w:tcPr>
            <w:tcW w:w="0" w:type="auto"/>
            <w:noWrap w:val="0"/>
            <w:vAlign w:val="center"/>
          </w:tcPr>
          <w:p w14:paraId="0C8BD448">
            <w:r>
              <w:rPr>
                <w:rStyle w:val="10"/>
                <w:rFonts w:hint="eastAsia"/>
              </w:rPr>
              <w:t>注意事项：</w:t>
            </w:r>
            <w:r>
              <w:rPr>
                <w:rFonts w:hint="eastAsia"/>
              </w:rPr>
              <w:br w:type="textWrapping"/>
            </w:r>
            <w:r>
              <w:rPr>
                <w:rStyle w:val="11"/>
                <w:rFonts w:hint="eastAsia"/>
              </w:rPr>
              <w:t>1. 鸟类保护区附近禁用，(周围)开花植物花期禁用，使用时应密切关注对附近蜂群的影响。2. 远离水产养殖区施药，禁止在河塘等水体中清洗施药器具，清洗施药器具的水也不能排入河塘等水体。鱼或虾蟹套养稻田禁用。 3. 配药和种子处理应在通风处进行。配药时，操作人员应戴防渗透手套和面罩或护目镜，穿长袖衣、长裤和靴子；种子处理时，应戴防渗透手套，穿长袖衣、长裤和靴子。使用中不可吸烟、饮水及吃东西，使用后及时用大量清水和肥皂清洗手、脸等暴露部位皮肤并更换衣物。4. 处理过的种子必须放置在有明显标签的容器内。不得饲喂禽畜，更不得用来加工饲料或食品。5. 播种后立即覆土。并清理裸露在土壤表面的种子，严禁畜禽进入。6. 用过的容器应妥善处理，不可做他用，也不可随意丢弃。7. 孕妇及哺乳期妇女禁止接触。</w:t>
            </w:r>
          </w:p>
        </w:tc>
      </w:tr>
      <w:tr w14:paraId="1433BE53">
        <w:tblPrEx>
          <w:tblCellMar>
            <w:top w:w="0" w:type="dxa"/>
            <w:left w:w="0" w:type="dxa"/>
            <w:bottom w:w="0" w:type="dxa"/>
            <w:right w:w="0" w:type="dxa"/>
          </w:tblCellMar>
        </w:tblPrEx>
        <w:trPr>
          <w:wBefore w:w="0" w:type="auto"/>
          <w:tblCellSpacing w:w="0" w:type="dxa"/>
        </w:trPr>
        <w:tc>
          <w:tcPr>
            <w:tcW w:w="0" w:type="auto"/>
            <w:noWrap w:val="0"/>
            <w:vAlign w:val="center"/>
          </w:tcPr>
          <w:p w14:paraId="30F06560">
            <w:r>
              <w:rPr>
                <w:rStyle w:val="10"/>
                <w:rFonts w:hint="eastAsia"/>
              </w:rPr>
              <w:t>中毒急救措施：</w:t>
            </w:r>
            <w:r>
              <w:rPr>
                <w:rFonts w:hint="eastAsia"/>
              </w:rPr>
              <w:br w:type="textWrapping"/>
            </w:r>
            <w:r>
              <w:rPr>
                <w:rStyle w:val="11"/>
                <w:rFonts w:hint="eastAsia"/>
              </w:rPr>
              <w:t>1.皮肤接触：立即脱掉被污染的衣物，用大量清水和肥皂冲洗皮肤。 2.眼睛溅入：立即用流动清水冲洗不少于15分钟。如症状持续，携此标签去医院诊治。3.不慎吸入：立即将吸入者移至空气流通处，请医生诊治。4.误食：勿引吐，立即携此标签送医就诊，对症治疗，无特效解毒药。</w:t>
            </w:r>
          </w:p>
        </w:tc>
      </w:tr>
      <w:tr w14:paraId="3F490526">
        <w:tblPrEx>
          <w:tblCellMar>
            <w:top w:w="0" w:type="dxa"/>
            <w:left w:w="0" w:type="dxa"/>
            <w:bottom w:w="0" w:type="dxa"/>
            <w:right w:w="0" w:type="dxa"/>
          </w:tblCellMar>
        </w:tblPrEx>
        <w:trPr>
          <w:wBefore w:w="0" w:type="auto"/>
          <w:tblCellSpacing w:w="0" w:type="dxa"/>
        </w:trPr>
        <w:tc>
          <w:tcPr>
            <w:tcW w:w="0" w:type="auto"/>
            <w:noWrap w:val="0"/>
            <w:vAlign w:val="center"/>
          </w:tcPr>
          <w:p w14:paraId="14ECCD71">
            <w:r>
              <w:rPr>
                <w:rStyle w:val="10"/>
                <w:rFonts w:hint="eastAsia"/>
              </w:rPr>
              <w:t>储存和运输方法：</w:t>
            </w:r>
            <w:r>
              <w:rPr>
                <w:rFonts w:hint="eastAsia"/>
              </w:rPr>
              <w:br w:type="textWrapping"/>
            </w:r>
            <w:r>
              <w:rPr>
                <w:rStyle w:val="11"/>
                <w:rFonts w:hint="eastAsia"/>
              </w:rPr>
              <w:t>本品应贮存在干燥、阴凉、通风处，远离火源或热源。置于儿童、无关人员触及不到之处，并加锁。勿与食品、饮料、饲料、粮食等同贮同运。</w:t>
            </w:r>
          </w:p>
        </w:tc>
      </w:tr>
      <w:tr w14:paraId="00B1CF5E">
        <w:tblPrEx>
          <w:tblCellMar>
            <w:top w:w="0" w:type="dxa"/>
            <w:left w:w="0" w:type="dxa"/>
            <w:bottom w:w="0" w:type="dxa"/>
            <w:right w:w="0" w:type="dxa"/>
          </w:tblCellMar>
        </w:tblPrEx>
        <w:trPr>
          <w:wBefore w:w="0" w:type="auto"/>
          <w:tblCellSpacing w:w="0" w:type="dxa"/>
        </w:trPr>
        <w:tc>
          <w:tcPr>
            <w:tcW w:w="0" w:type="auto"/>
            <w:noWrap w:val="0"/>
            <w:vAlign w:val="center"/>
          </w:tcPr>
          <w:p w14:paraId="4CE9CC4B">
            <w:r>
              <w:rPr>
                <w:rStyle w:val="10"/>
                <w:rFonts w:hint="eastAsia"/>
              </w:rPr>
              <w:t>质量保证期：</w:t>
            </w:r>
            <w:r>
              <w:rPr>
                <w:rStyle w:val="11"/>
                <w:rFonts w:hint="eastAsia"/>
              </w:rPr>
              <w:t>2年</w:t>
            </w:r>
          </w:p>
        </w:tc>
      </w:tr>
      <w:tr w14:paraId="54606A29">
        <w:tblPrEx>
          <w:tblCellMar>
            <w:top w:w="0" w:type="dxa"/>
            <w:left w:w="0" w:type="dxa"/>
            <w:bottom w:w="0" w:type="dxa"/>
            <w:right w:w="0" w:type="dxa"/>
          </w:tblCellMar>
        </w:tblPrEx>
        <w:trPr>
          <w:wBefore w:w="0" w:type="auto"/>
          <w:tblCellSpacing w:w="0" w:type="dxa"/>
        </w:trPr>
        <w:tc>
          <w:tcPr>
            <w:tcW w:w="0" w:type="auto"/>
            <w:noWrap w:val="0"/>
            <w:vAlign w:val="center"/>
          </w:tcPr>
          <w:p w14:paraId="1149BFCD">
            <w:r>
              <w:rPr>
                <w:rStyle w:val="10"/>
                <w:rFonts w:hint="eastAsia"/>
              </w:rPr>
              <w:t>备注：</w:t>
            </w:r>
          </w:p>
        </w:tc>
      </w:tr>
    </w:tbl>
    <w:p w14:paraId="0DF5D2A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552CBBC">
        <w:tblPrEx>
          <w:tblCellMar>
            <w:top w:w="0" w:type="dxa"/>
            <w:left w:w="0" w:type="dxa"/>
            <w:bottom w:w="0" w:type="dxa"/>
            <w:right w:w="0" w:type="dxa"/>
          </w:tblCellMar>
        </w:tblPrEx>
        <w:trPr>
          <w:wBefore w:w="0" w:type="auto"/>
          <w:tblCellSpacing w:w="0" w:type="dxa"/>
        </w:trPr>
        <w:tc>
          <w:tcPr>
            <w:tcW w:w="0" w:type="auto"/>
            <w:noWrap w:val="0"/>
            <w:vAlign w:val="center"/>
          </w:tcPr>
          <w:p w14:paraId="2F7E3887">
            <w:r>
              <w:rPr>
                <w:rStyle w:val="10"/>
                <w:rFonts w:hint="eastAsia"/>
              </w:rPr>
              <w:t>登记证号：</w:t>
            </w:r>
            <w:r>
              <w:rPr>
                <w:rFonts w:hint="eastAsia"/>
              </w:rPr>
              <w:t>PD20212194</w:t>
            </w:r>
          </w:p>
        </w:tc>
      </w:tr>
      <w:tr w14:paraId="29270BB9">
        <w:tblPrEx>
          <w:tblCellMar>
            <w:top w:w="0" w:type="dxa"/>
            <w:left w:w="0" w:type="dxa"/>
            <w:bottom w:w="0" w:type="dxa"/>
            <w:right w:w="0" w:type="dxa"/>
          </w:tblCellMar>
        </w:tblPrEx>
        <w:trPr>
          <w:wBefore w:w="0" w:type="auto"/>
          <w:tblCellSpacing w:w="0" w:type="dxa"/>
        </w:trPr>
        <w:tc>
          <w:tcPr>
            <w:tcW w:w="0" w:type="auto"/>
            <w:noWrap w:val="0"/>
            <w:vAlign w:val="center"/>
          </w:tcPr>
          <w:p w14:paraId="0DE422BC">
            <w:r>
              <w:rPr>
                <w:rStyle w:val="10"/>
                <w:rFonts w:hint="eastAsia"/>
              </w:rPr>
              <w:t>登记证持有人：</w:t>
            </w:r>
            <w:r>
              <w:rPr>
                <w:rFonts w:hint="eastAsia"/>
              </w:rPr>
              <w:t>湖南泽丰农化有限公司</w:t>
            </w:r>
          </w:p>
        </w:tc>
      </w:tr>
      <w:tr w14:paraId="22A410B6">
        <w:tblPrEx>
          <w:tblCellMar>
            <w:top w:w="0" w:type="dxa"/>
            <w:left w:w="0" w:type="dxa"/>
            <w:bottom w:w="0" w:type="dxa"/>
            <w:right w:w="0" w:type="dxa"/>
          </w:tblCellMar>
        </w:tblPrEx>
        <w:trPr>
          <w:wBefore w:w="0" w:type="auto"/>
          <w:tblCellSpacing w:w="0" w:type="dxa"/>
        </w:trPr>
        <w:tc>
          <w:tcPr>
            <w:tcW w:w="0" w:type="auto"/>
            <w:noWrap w:val="0"/>
            <w:vAlign w:val="center"/>
          </w:tcPr>
          <w:p w14:paraId="5C89BD60">
            <w:r>
              <w:rPr>
                <w:rStyle w:val="10"/>
                <w:rFonts w:hint="eastAsia"/>
              </w:rPr>
              <w:t>农药名称：</w:t>
            </w:r>
            <w:r>
              <w:rPr>
                <w:rFonts w:hint="eastAsia"/>
              </w:rPr>
              <w:t>乙羧·草铵膦</w:t>
            </w:r>
          </w:p>
        </w:tc>
      </w:tr>
      <w:tr w14:paraId="50A32AA2">
        <w:tblPrEx>
          <w:tblCellMar>
            <w:top w:w="0" w:type="dxa"/>
            <w:left w:w="0" w:type="dxa"/>
            <w:bottom w:w="0" w:type="dxa"/>
            <w:right w:w="0" w:type="dxa"/>
          </w:tblCellMar>
        </w:tblPrEx>
        <w:trPr>
          <w:wBefore w:w="0" w:type="auto"/>
          <w:tblCellSpacing w:w="0" w:type="dxa"/>
        </w:trPr>
        <w:tc>
          <w:tcPr>
            <w:tcW w:w="0" w:type="auto"/>
            <w:noWrap w:val="0"/>
            <w:vAlign w:val="center"/>
          </w:tcPr>
          <w:p w14:paraId="52F9F04A">
            <w:r>
              <w:rPr>
                <w:rStyle w:val="10"/>
                <w:rFonts w:hint="eastAsia"/>
              </w:rPr>
              <w:t>剂型：</w:t>
            </w:r>
            <w:r>
              <w:rPr>
                <w:rFonts w:hint="eastAsia"/>
              </w:rPr>
              <w:t>可分散油悬浮剂</w:t>
            </w:r>
          </w:p>
        </w:tc>
      </w:tr>
      <w:tr w14:paraId="4D7EF6F0">
        <w:tblPrEx>
          <w:tblCellMar>
            <w:top w:w="0" w:type="dxa"/>
            <w:left w:w="0" w:type="dxa"/>
            <w:bottom w:w="0" w:type="dxa"/>
            <w:right w:w="0" w:type="dxa"/>
          </w:tblCellMar>
        </w:tblPrEx>
        <w:trPr>
          <w:wBefore w:w="0" w:type="auto"/>
          <w:tblCellSpacing w:w="0" w:type="dxa"/>
        </w:trPr>
        <w:tc>
          <w:tcPr>
            <w:tcW w:w="0" w:type="auto"/>
            <w:noWrap w:val="0"/>
            <w:vAlign w:val="center"/>
          </w:tcPr>
          <w:p w14:paraId="3741209E">
            <w:r>
              <w:rPr>
                <w:rStyle w:val="10"/>
                <w:rFonts w:hint="eastAsia"/>
              </w:rPr>
              <w:t>毒性及其标识：</w:t>
            </w:r>
            <w:r>
              <w:rPr>
                <w:rFonts w:hint="eastAsia"/>
              </w:rPr>
              <w:t xml:space="preserve"> </w:t>
            </w:r>
            <w:r>
              <w:rPr>
                <w:lang/>
              </w:rPr>
              <w:drawing>
                <wp:inline distT="0" distB="0" distL="114300" distR="114300">
                  <wp:extent cx="476250" cy="323850"/>
                  <wp:effectExtent l="0" t="0" r="0" b="0"/>
                  <wp:docPr id="217" name="图片 21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0363C5D">
        <w:tblPrEx>
          <w:tblCellMar>
            <w:top w:w="0" w:type="dxa"/>
            <w:left w:w="0" w:type="dxa"/>
            <w:bottom w:w="0" w:type="dxa"/>
            <w:right w:w="0" w:type="dxa"/>
          </w:tblCellMar>
        </w:tblPrEx>
        <w:trPr>
          <w:wBefore w:w="0" w:type="auto"/>
          <w:tblCellSpacing w:w="0" w:type="dxa"/>
        </w:trPr>
        <w:tc>
          <w:tcPr>
            <w:tcW w:w="0" w:type="auto"/>
            <w:noWrap w:val="0"/>
            <w:vAlign w:val="center"/>
          </w:tcPr>
          <w:p w14:paraId="32E9BB17">
            <w:r>
              <w:rPr>
                <w:rStyle w:val="10"/>
                <w:rFonts w:hint="eastAsia"/>
              </w:rPr>
              <w:t>总有效成分含量：</w:t>
            </w:r>
            <w:r>
              <w:rPr>
                <w:rFonts w:hint="eastAsia"/>
              </w:rPr>
              <w:t>24%</w:t>
            </w:r>
          </w:p>
        </w:tc>
      </w:tr>
      <w:tr w14:paraId="1E74D7DE">
        <w:tblPrEx>
          <w:tblCellMar>
            <w:top w:w="0" w:type="dxa"/>
            <w:left w:w="0" w:type="dxa"/>
            <w:bottom w:w="0" w:type="dxa"/>
            <w:right w:w="0" w:type="dxa"/>
          </w:tblCellMar>
        </w:tblPrEx>
        <w:trPr>
          <w:wBefore w:w="0" w:type="auto"/>
          <w:tblCellSpacing w:w="0" w:type="dxa"/>
        </w:trPr>
        <w:tc>
          <w:tcPr>
            <w:tcW w:w="0" w:type="auto"/>
            <w:noWrap w:val="0"/>
            <w:vAlign w:val="center"/>
          </w:tcPr>
          <w:p w14:paraId="0C52A850">
            <w:r>
              <w:rPr>
                <w:rFonts w:hint="eastAsia"/>
              </w:rPr>
              <w:t xml:space="preserve">有效成分及其含量： </w:t>
            </w:r>
          </w:p>
          <w:p w14:paraId="30B7BAF0">
            <w:r>
              <w:rPr>
                <w:rFonts w:hint="eastAsia"/>
              </w:rPr>
              <w:t xml:space="preserve">    乙羧氟草醚1.5%    草铵膦22.5%    </w:t>
            </w:r>
          </w:p>
        </w:tc>
      </w:tr>
      <w:tr w14:paraId="6B4D5663">
        <w:tblPrEx>
          <w:tblCellMar>
            <w:top w:w="0" w:type="dxa"/>
            <w:left w:w="0" w:type="dxa"/>
            <w:bottom w:w="0" w:type="dxa"/>
            <w:right w:w="0" w:type="dxa"/>
          </w:tblCellMar>
        </w:tblPrEx>
        <w:trPr>
          <w:wBefore w:w="0" w:type="auto"/>
          <w:tblCellSpacing w:w="0" w:type="dxa"/>
        </w:trPr>
        <w:tc>
          <w:tcPr>
            <w:tcW w:w="0" w:type="auto"/>
            <w:noWrap w:val="0"/>
            <w:vAlign w:val="center"/>
          </w:tcPr>
          <w:p w14:paraId="63B1C90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A4FCC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981DAE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F057A5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2E3564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2FB94D8">
                  <w:r>
                    <w:rPr>
                      <w:rStyle w:val="11"/>
                      <w:rFonts w:hint="eastAsia"/>
                    </w:rPr>
                    <w:t>施用方式</w:t>
                  </w:r>
                </w:p>
              </w:tc>
            </w:tr>
            <w:tr w14:paraId="3E894A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A3AE47">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FFFD75">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44861E">
                  <w:r>
                    <w:rPr>
                      <w:rStyle w:val="11"/>
                      <w:rFonts w:hint="eastAsia"/>
                    </w:rPr>
                    <w:t>170-330毫升/亩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9F6935">
                  <w:r>
                    <w:rPr>
                      <w:rStyle w:val="11"/>
                      <w:rFonts w:hint="eastAsia"/>
                    </w:rPr>
                    <w:t>茎叶喷雾</w:t>
                  </w:r>
                </w:p>
              </w:tc>
            </w:tr>
          </w:tbl>
          <w:p w14:paraId="38A676F5">
            <w:pPr>
              <w:rPr>
                <w:rFonts w:ascii="Times New Roman" w:hAnsi="Times New Roman" w:cs="Times New Roman"/>
                <w:sz w:val="20"/>
                <w:szCs w:val="20"/>
              </w:rPr>
            </w:pPr>
          </w:p>
        </w:tc>
      </w:tr>
      <w:tr w14:paraId="79CEDFF2">
        <w:tblPrEx>
          <w:tblCellMar>
            <w:top w:w="0" w:type="dxa"/>
            <w:left w:w="0" w:type="dxa"/>
            <w:bottom w:w="0" w:type="dxa"/>
            <w:right w:w="0" w:type="dxa"/>
          </w:tblCellMar>
        </w:tblPrEx>
        <w:trPr>
          <w:wBefore w:w="0" w:type="auto"/>
          <w:tblCellSpacing w:w="0" w:type="dxa"/>
        </w:trPr>
        <w:tc>
          <w:tcPr>
            <w:tcW w:w="0" w:type="auto"/>
            <w:noWrap w:val="0"/>
            <w:vAlign w:val="center"/>
          </w:tcPr>
          <w:p w14:paraId="70F758CA">
            <w:r>
              <w:rPr>
                <w:rStyle w:val="10"/>
                <w:rFonts w:hint="eastAsia"/>
              </w:rPr>
              <w:t>使用技术要求:</w:t>
            </w:r>
            <w:r>
              <w:rPr>
                <w:rFonts w:hint="eastAsia"/>
              </w:rPr>
              <w:br w:type="textWrapping"/>
            </w:r>
            <w:r>
              <w:rPr>
                <w:rStyle w:val="11"/>
                <w:rFonts w:hint="eastAsia"/>
              </w:rPr>
              <w:t>1. 应于非耕地杂草旺盛生长期茎叶喷雾施药一次，每亩兑水30-50公斤，进行杂草茎叶定向喷雾处理。 2. 干旱及杂草密度大或防除大龄杂草及多年生恶性杂草时，采用较高的推荐制剂用量和兑水量。3. 禁止在田间道路、田埂、果树行间、休耕地、林场地等农林区域使用。</w:t>
            </w:r>
          </w:p>
        </w:tc>
      </w:tr>
      <w:tr w14:paraId="79E74FBF">
        <w:tblPrEx>
          <w:tblCellMar>
            <w:top w:w="0" w:type="dxa"/>
            <w:left w:w="0" w:type="dxa"/>
            <w:bottom w:w="0" w:type="dxa"/>
            <w:right w:w="0" w:type="dxa"/>
          </w:tblCellMar>
        </w:tblPrEx>
        <w:trPr>
          <w:wBefore w:w="0" w:type="auto"/>
          <w:tblCellSpacing w:w="0" w:type="dxa"/>
        </w:trPr>
        <w:tc>
          <w:tcPr>
            <w:tcW w:w="0" w:type="auto"/>
            <w:noWrap w:val="0"/>
            <w:vAlign w:val="center"/>
          </w:tcPr>
          <w:p w14:paraId="1CEB80EA">
            <w:r>
              <w:rPr>
                <w:rStyle w:val="10"/>
                <w:rFonts w:hint="eastAsia"/>
              </w:rPr>
              <w:t>产品性能:</w:t>
            </w:r>
            <w:r>
              <w:rPr>
                <w:rFonts w:hint="eastAsia"/>
              </w:rPr>
              <w:br w:type="textWrapping"/>
            </w:r>
            <w:r>
              <w:rPr>
                <w:rStyle w:val="11"/>
                <w:rFonts w:hint="eastAsia"/>
              </w:rPr>
              <w:t>本品为非选择性触杀型杂草茎叶处理剂，是膦酸类拟天然化感仿生物源除草剂草铵膦与二苯醚类除草剂乙羧氟草醚复配而成的可分散油悬浮剂，具有杀草谱广、见效速度快、控草期长、耐雨水冲刷，对木质化的作物根系、树皮和浅根果树相对安全等特点。本品可有效解决草甘膦、百草枯抗性杂草，对抗性杂草小飞蓬、牛筋草等效果突出。</w:t>
            </w:r>
          </w:p>
        </w:tc>
      </w:tr>
      <w:tr w14:paraId="5EB2A9DB">
        <w:tblPrEx>
          <w:tblCellMar>
            <w:top w:w="0" w:type="dxa"/>
            <w:left w:w="0" w:type="dxa"/>
            <w:bottom w:w="0" w:type="dxa"/>
            <w:right w:w="0" w:type="dxa"/>
          </w:tblCellMar>
        </w:tblPrEx>
        <w:trPr>
          <w:wBefore w:w="0" w:type="auto"/>
          <w:tblCellSpacing w:w="0" w:type="dxa"/>
        </w:trPr>
        <w:tc>
          <w:tcPr>
            <w:tcW w:w="0" w:type="auto"/>
            <w:noWrap w:val="0"/>
            <w:vAlign w:val="center"/>
          </w:tcPr>
          <w:p w14:paraId="619DECC4">
            <w:r>
              <w:rPr>
                <w:rStyle w:val="10"/>
                <w:rFonts w:hint="eastAsia"/>
              </w:rPr>
              <w:t>注意事项：</w:t>
            </w:r>
            <w:r>
              <w:rPr>
                <w:rFonts w:hint="eastAsia"/>
              </w:rPr>
              <w:br w:type="textWrapping"/>
            </w:r>
            <w:r>
              <w:rPr>
                <w:rStyle w:val="11"/>
                <w:rFonts w:hint="eastAsia"/>
              </w:rPr>
              <w:t>1. 本品仅用于防除非耕地杂草，整个杂草生育期最多使用2次。 2. 应选择无风、湿润的晴朗天施药，避免在连续霜冻和严重干旱时施药，以免降低药效。施用后6小时后下雨不影响药效。 3. 不可用于农田。 4. 标签上标注该产品对皮肤有刺激性，使用时避免接触皮肤，穿戴长衣、长裤、帽子、口罩、手套等防护措施。此时不能吸烟、饮水等；施药后洗干净手、脸、皮肤暴露部位等，并及时更换衣物。 5. 远离水产养殖区、河塘等水体施药，禁止在河塘等水体清洗施药器具。 6. 本品对蜜蜂、鱼类等水生生物、家蚕有毒，施药期间应避免对周围蜂群的影响、开花植物花期、蚕室和桑园附近禁用。 7. 赤眼蜂等天敌放飞区域禁用。 8. 孕妇及哺乳期妇女避免接触。 9. 用过的容器应妥善处理，不可作他用，也不可随意丢弃。</w:t>
            </w:r>
          </w:p>
        </w:tc>
      </w:tr>
      <w:tr w14:paraId="5045CD38">
        <w:tblPrEx>
          <w:tblCellMar>
            <w:top w:w="0" w:type="dxa"/>
            <w:left w:w="0" w:type="dxa"/>
            <w:bottom w:w="0" w:type="dxa"/>
            <w:right w:w="0" w:type="dxa"/>
          </w:tblCellMar>
        </w:tblPrEx>
        <w:trPr>
          <w:wBefore w:w="0" w:type="auto"/>
          <w:tblCellSpacing w:w="0" w:type="dxa"/>
        </w:trPr>
        <w:tc>
          <w:tcPr>
            <w:tcW w:w="0" w:type="auto"/>
            <w:noWrap w:val="0"/>
            <w:vAlign w:val="center"/>
          </w:tcPr>
          <w:p w14:paraId="11730860">
            <w:r>
              <w:rPr>
                <w:rStyle w:val="10"/>
                <w:rFonts w:hint="eastAsia"/>
              </w:rPr>
              <w:t>中毒急救措施：</w:t>
            </w:r>
            <w:r>
              <w:rPr>
                <w:rFonts w:hint="eastAsia"/>
              </w:rPr>
              <w:br w:type="textWrapping"/>
            </w:r>
            <w:r>
              <w:rPr>
                <w:rStyle w:val="11"/>
                <w:rFonts w:hint="eastAsia"/>
              </w:rPr>
              <w:t>在使用期间如有不适，应立即停止使用，并立即离开工作现场。如药液溅到皮肤上，立即脱去被污染的衣服，用肥皂和足量的清水冲洗。如症状 持续，应携带本标签请医生诊治；如药剂溅到眼内，应用足量清水冲洗15分钟以上并请医生诊治。如误服，严禁引吐，应先立即用清水漱口，再携带本标签到医院诊治。</w:t>
            </w:r>
          </w:p>
        </w:tc>
      </w:tr>
      <w:tr w14:paraId="454C228A">
        <w:tblPrEx>
          <w:tblCellMar>
            <w:top w:w="0" w:type="dxa"/>
            <w:left w:w="0" w:type="dxa"/>
            <w:bottom w:w="0" w:type="dxa"/>
            <w:right w:w="0" w:type="dxa"/>
          </w:tblCellMar>
        </w:tblPrEx>
        <w:trPr>
          <w:wBefore w:w="0" w:type="auto"/>
          <w:tblCellSpacing w:w="0" w:type="dxa"/>
        </w:trPr>
        <w:tc>
          <w:tcPr>
            <w:tcW w:w="0" w:type="auto"/>
            <w:noWrap w:val="0"/>
            <w:vAlign w:val="center"/>
          </w:tcPr>
          <w:p w14:paraId="28E68102">
            <w:r>
              <w:rPr>
                <w:rStyle w:val="10"/>
                <w:rFonts w:hint="eastAsia"/>
              </w:rPr>
              <w:t>储存和运输方法：</w:t>
            </w:r>
            <w:r>
              <w:rPr>
                <w:rFonts w:hint="eastAsia"/>
              </w:rPr>
              <w:br w:type="textWrapping"/>
            </w:r>
            <w:r>
              <w:rPr>
                <w:rStyle w:val="11"/>
                <w:rFonts w:hint="eastAsia"/>
              </w:rPr>
              <w:t>1. 本品应以原包装贮存于阴凉、干燥和通风处；2. 本品贮存应远离食物和饲料，并放置于儿童、无关人员接触不到的地方，加锁保管。3. 勿与食品、饮料、饲料、粮食等同贮同运。</w:t>
            </w:r>
          </w:p>
        </w:tc>
      </w:tr>
      <w:tr w14:paraId="56B6CABD">
        <w:tblPrEx>
          <w:tblCellMar>
            <w:top w:w="0" w:type="dxa"/>
            <w:left w:w="0" w:type="dxa"/>
            <w:bottom w:w="0" w:type="dxa"/>
            <w:right w:w="0" w:type="dxa"/>
          </w:tblCellMar>
        </w:tblPrEx>
        <w:trPr>
          <w:wBefore w:w="0" w:type="auto"/>
          <w:tblCellSpacing w:w="0" w:type="dxa"/>
        </w:trPr>
        <w:tc>
          <w:tcPr>
            <w:tcW w:w="0" w:type="auto"/>
            <w:noWrap w:val="0"/>
            <w:vAlign w:val="center"/>
          </w:tcPr>
          <w:p w14:paraId="07102346">
            <w:r>
              <w:rPr>
                <w:rStyle w:val="10"/>
                <w:rFonts w:hint="eastAsia"/>
              </w:rPr>
              <w:t>质量保证期：</w:t>
            </w:r>
            <w:r>
              <w:rPr>
                <w:rStyle w:val="11"/>
                <w:rFonts w:hint="eastAsia"/>
              </w:rPr>
              <w:t>2年</w:t>
            </w:r>
          </w:p>
        </w:tc>
      </w:tr>
      <w:tr w14:paraId="1518F6FB">
        <w:tblPrEx>
          <w:tblCellMar>
            <w:top w:w="0" w:type="dxa"/>
            <w:left w:w="0" w:type="dxa"/>
            <w:bottom w:w="0" w:type="dxa"/>
            <w:right w:w="0" w:type="dxa"/>
          </w:tblCellMar>
        </w:tblPrEx>
        <w:trPr>
          <w:wBefore w:w="0" w:type="auto"/>
          <w:tblCellSpacing w:w="0" w:type="dxa"/>
        </w:trPr>
        <w:tc>
          <w:tcPr>
            <w:tcW w:w="0" w:type="auto"/>
            <w:noWrap w:val="0"/>
            <w:vAlign w:val="center"/>
          </w:tcPr>
          <w:p w14:paraId="56AD37AB">
            <w:r>
              <w:rPr>
                <w:rStyle w:val="10"/>
                <w:rFonts w:hint="eastAsia"/>
              </w:rPr>
              <w:t>备注：</w:t>
            </w:r>
          </w:p>
        </w:tc>
      </w:tr>
    </w:tbl>
    <w:p w14:paraId="15B926D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B002E1C">
        <w:tblPrEx>
          <w:tblCellMar>
            <w:top w:w="0" w:type="dxa"/>
            <w:left w:w="0" w:type="dxa"/>
            <w:bottom w:w="0" w:type="dxa"/>
            <w:right w:w="0" w:type="dxa"/>
          </w:tblCellMar>
        </w:tblPrEx>
        <w:trPr>
          <w:wBefore w:w="0" w:type="auto"/>
          <w:tblCellSpacing w:w="0" w:type="dxa"/>
        </w:trPr>
        <w:tc>
          <w:tcPr>
            <w:tcW w:w="0" w:type="auto"/>
            <w:noWrap w:val="0"/>
            <w:vAlign w:val="center"/>
          </w:tcPr>
          <w:p w14:paraId="6A4E931F">
            <w:r>
              <w:rPr>
                <w:rStyle w:val="10"/>
                <w:rFonts w:hint="eastAsia"/>
              </w:rPr>
              <w:t>登记证号：</w:t>
            </w:r>
            <w:r>
              <w:rPr>
                <w:rFonts w:hint="eastAsia"/>
              </w:rPr>
              <w:t>PD20212176</w:t>
            </w:r>
          </w:p>
        </w:tc>
      </w:tr>
      <w:tr w14:paraId="3417FA8F">
        <w:tblPrEx>
          <w:tblCellMar>
            <w:top w:w="0" w:type="dxa"/>
            <w:left w:w="0" w:type="dxa"/>
            <w:bottom w:w="0" w:type="dxa"/>
            <w:right w:w="0" w:type="dxa"/>
          </w:tblCellMar>
        </w:tblPrEx>
        <w:trPr>
          <w:wBefore w:w="0" w:type="auto"/>
          <w:tblCellSpacing w:w="0" w:type="dxa"/>
        </w:trPr>
        <w:tc>
          <w:tcPr>
            <w:tcW w:w="0" w:type="auto"/>
            <w:noWrap w:val="0"/>
            <w:vAlign w:val="center"/>
          </w:tcPr>
          <w:p w14:paraId="3A287422">
            <w:r>
              <w:rPr>
                <w:rStyle w:val="10"/>
                <w:rFonts w:hint="eastAsia"/>
              </w:rPr>
              <w:t>登记证持有人：</w:t>
            </w:r>
            <w:r>
              <w:rPr>
                <w:rFonts w:hint="eastAsia"/>
              </w:rPr>
              <w:t>南宁泰达丰生物科技有限公司</w:t>
            </w:r>
          </w:p>
        </w:tc>
      </w:tr>
      <w:tr w14:paraId="19F3F72D">
        <w:tblPrEx>
          <w:tblCellMar>
            <w:top w:w="0" w:type="dxa"/>
            <w:left w:w="0" w:type="dxa"/>
            <w:bottom w:w="0" w:type="dxa"/>
            <w:right w:w="0" w:type="dxa"/>
          </w:tblCellMar>
        </w:tblPrEx>
        <w:trPr>
          <w:wBefore w:w="0" w:type="auto"/>
          <w:tblCellSpacing w:w="0" w:type="dxa"/>
        </w:trPr>
        <w:tc>
          <w:tcPr>
            <w:tcW w:w="0" w:type="auto"/>
            <w:noWrap w:val="0"/>
            <w:vAlign w:val="center"/>
          </w:tcPr>
          <w:p w14:paraId="564127D5">
            <w:r>
              <w:rPr>
                <w:rStyle w:val="10"/>
                <w:rFonts w:hint="eastAsia"/>
              </w:rPr>
              <w:t>农药名称：</w:t>
            </w:r>
            <w:r>
              <w:rPr>
                <w:rFonts w:hint="eastAsia"/>
              </w:rPr>
              <w:t>2甲·草铵膦</w:t>
            </w:r>
          </w:p>
        </w:tc>
      </w:tr>
      <w:tr w14:paraId="0EEEC275">
        <w:tblPrEx>
          <w:tblCellMar>
            <w:top w:w="0" w:type="dxa"/>
            <w:left w:w="0" w:type="dxa"/>
            <w:bottom w:w="0" w:type="dxa"/>
            <w:right w:w="0" w:type="dxa"/>
          </w:tblCellMar>
        </w:tblPrEx>
        <w:trPr>
          <w:wBefore w:w="0" w:type="auto"/>
          <w:tblCellSpacing w:w="0" w:type="dxa"/>
        </w:trPr>
        <w:tc>
          <w:tcPr>
            <w:tcW w:w="0" w:type="auto"/>
            <w:noWrap w:val="0"/>
            <w:vAlign w:val="center"/>
          </w:tcPr>
          <w:p w14:paraId="6BD341D8">
            <w:r>
              <w:rPr>
                <w:rStyle w:val="10"/>
                <w:rFonts w:hint="eastAsia"/>
              </w:rPr>
              <w:t>剂型：</w:t>
            </w:r>
            <w:r>
              <w:rPr>
                <w:rFonts w:hint="eastAsia"/>
              </w:rPr>
              <w:t>可溶液剂</w:t>
            </w:r>
          </w:p>
        </w:tc>
      </w:tr>
      <w:tr w14:paraId="2470AAD1">
        <w:tblPrEx>
          <w:tblCellMar>
            <w:top w:w="0" w:type="dxa"/>
            <w:left w:w="0" w:type="dxa"/>
            <w:bottom w:w="0" w:type="dxa"/>
            <w:right w:w="0" w:type="dxa"/>
          </w:tblCellMar>
        </w:tblPrEx>
        <w:trPr>
          <w:wBefore w:w="0" w:type="auto"/>
          <w:tblCellSpacing w:w="0" w:type="dxa"/>
        </w:trPr>
        <w:tc>
          <w:tcPr>
            <w:tcW w:w="0" w:type="auto"/>
            <w:noWrap w:val="0"/>
            <w:vAlign w:val="center"/>
          </w:tcPr>
          <w:p w14:paraId="6E7729FD">
            <w:r>
              <w:rPr>
                <w:rStyle w:val="10"/>
                <w:rFonts w:hint="eastAsia"/>
              </w:rPr>
              <w:t>毒性及其标识：</w:t>
            </w:r>
            <w:r>
              <w:rPr>
                <w:rFonts w:hint="eastAsia"/>
              </w:rPr>
              <w:t xml:space="preserve"> </w:t>
            </w:r>
            <w:r>
              <w:rPr>
                <w:lang/>
              </w:rPr>
              <w:drawing>
                <wp:inline distT="0" distB="0" distL="114300" distR="114300">
                  <wp:extent cx="476250" cy="323850"/>
                  <wp:effectExtent l="0" t="0" r="0" b="0"/>
                  <wp:docPr id="218" name="图片 21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6EC52D4">
        <w:tblPrEx>
          <w:tblCellMar>
            <w:top w:w="0" w:type="dxa"/>
            <w:left w:w="0" w:type="dxa"/>
            <w:bottom w:w="0" w:type="dxa"/>
            <w:right w:w="0" w:type="dxa"/>
          </w:tblCellMar>
        </w:tblPrEx>
        <w:trPr>
          <w:wBefore w:w="0" w:type="auto"/>
          <w:tblCellSpacing w:w="0" w:type="dxa"/>
        </w:trPr>
        <w:tc>
          <w:tcPr>
            <w:tcW w:w="0" w:type="auto"/>
            <w:noWrap w:val="0"/>
            <w:vAlign w:val="center"/>
          </w:tcPr>
          <w:p w14:paraId="36A6D822">
            <w:r>
              <w:rPr>
                <w:rStyle w:val="10"/>
                <w:rFonts w:hint="eastAsia"/>
              </w:rPr>
              <w:t>总有效成分含量：</w:t>
            </w:r>
            <w:r>
              <w:rPr>
                <w:rFonts w:hint="eastAsia"/>
              </w:rPr>
              <w:t>13.6%</w:t>
            </w:r>
          </w:p>
        </w:tc>
      </w:tr>
      <w:tr w14:paraId="7BA87B59">
        <w:tblPrEx>
          <w:tblCellMar>
            <w:top w:w="0" w:type="dxa"/>
            <w:left w:w="0" w:type="dxa"/>
            <w:bottom w:w="0" w:type="dxa"/>
            <w:right w:w="0" w:type="dxa"/>
          </w:tblCellMar>
        </w:tblPrEx>
        <w:trPr>
          <w:wBefore w:w="0" w:type="auto"/>
          <w:tblCellSpacing w:w="0" w:type="dxa"/>
        </w:trPr>
        <w:tc>
          <w:tcPr>
            <w:tcW w:w="0" w:type="auto"/>
            <w:noWrap w:val="0"/>
            <w:vAlign w:val="center"/>
          </w:tcPr>
          <w:p w14:paraId="0FF84079">
            <w:r>
              <w:rPr>
                <w:rFonts w:hint="eastAsia"/>
              </w:rPr>
              <w:t xml:space="preserve">有效成分及其含量： </w:t>
            </w:r>
          </w:p>
          <w:p w14:paraId="5422896E">
            <w:r>
              <w:rPr>
                <w:rFonts w:hint="eastAsia"/>
              </w:rPr>
              <w:t xml:space="preserve">    草铵膦10%    2甲4氯钠3.6%    </w:t>
            </w:r>
          </w:p>
        </w:tc>
      </w:tr>
      <w:tr w14:paraId="3E61D070">
        <w:tblPrEx>
          <w:tblCellMar>
            <w:top w:w="0" w:type="dxa"/>
            <w:left w:w="0" w:type="dxa"/>
            <w:bottom w:w="0" w:type="dxa"/>
            <w:right w:w="0" w:type="dxa"/>
          </w:tblCellMar>
        </w:tblPrEx>
        <w:trPr>
          <w:wBefore w:w="0" w:type="auto"/>
          <w:tblCellSpacing w:w="0" w:type="dxa"/>
        </w:trPr>
        <w:tc>
          <w:tcPr>
            <w:tcW w:w="0" w:type="auto"/>
            <w:noWrap w:val="0"/>
            <w:vAlign w:val="center"/>
          </w:tcPr>
          <w:p w14:paraId="16CBF50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83C12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A09890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AB8121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C3053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9CEEBA1">
                  <w:r>
                    <w:rPr>
                      <w:rStyle w:val="11"/>
                      <w:rFonts w:hint="eastAsia"/>
                    </w:rPr>
                    <w:t>施用方式</w:t>
                  </w:r>
                </w:p>
              </w:tc>
            </w:tr>
            <w:tr w14:paraId="7BE5BE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9EE879A">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436495">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231CE0">
                  <w:r>
                    <w:rPr>
                      <w:rStyle w:val="11"/>
                      <w:rFonts w:hint="eastAsia"/>
                    </w:rPr>
                    <w:t>400-500克/亩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2C21D4">
                  <w:r>
                    <w:rPr>
                      <w:rStyle w:val="11"/>
                      <w:rFonts w:hint="eastAsia"/>
                    </w:rPr>
                    <w:t>茎叶喷雾</w:t>
                  </w:r>
                </w:p>
              </w:tc>
            </w:tr>
          </w:tbl>
          <w:p w14:paraId="2E35718E">
            <w:pPr>
              <w:rPr>
                <w:rFonts w:ascii="Times New Roman" w:hAnsi="Times New Roman" w:cs="Times New Roman"/>
                <w:sz w:val="20"/>
                <w:szCs w:val="20"/>
              </w:rPr>
            </w:pPr>
          </w:p>
        </w:tc>
      </w:tr>
      <w:tr w14:paraId="70C6EC94">
        <w:tblPrEx>
          <w:tblCellMar>
            <w:top w:w="0" w:type="dxa"/>
            <w:left w:w="0" w:type="dxa"/>
            <w:bottom w:w="0" w:type="dxa"/>
            <w:right w:w="0" w:type="dxa"/>
          </w:tblCellMar>
        </w:tblPrEx>
        <w:trPr>
          <w:wBefore w:w="0" w:type="auto"/>
          <w:tblCellSpacing w:w="0" w:type="dxa"/>
        </w:trPr>
        <w:tc>
          <w:tcPr>
            <w:tcW w:w="0" w:type="auto"/>
            <w:noWrap w:val="0"/>
            <w:vAlign w:val="center"/>
          </w:tcPr>
          <w:p w14:paraId="1C34C301">
            <w:r>
              <w:rPr>
                <w:rStyle w:val="10"/>
                <w:rFonts w:hint="eastAsia"/>
              </w:rPr>
              <w:t>使用技术要求:</w:t>
            </w:r>
            <w:r>
              <w:rPr>
                <w:rFonts w:hint="eastAsia"/>
              </w:rPr>
              <w:br w:type="textWrapping"/>
            </w:r>
            <w:r>
              <w:rPr>
                <w:rStyle w:val="11"/>
                <w:rFonts w:hint="eastAsia"/>
              </w:rPr>
              <w:t>1.在杂草生长旺期用药，宜在晴天露水干后喷雾，用清水将本剂稀释后定向均匀喷雾在杂草叶面上，不得用污水、硬水，以免影响药效。 2.大风天或下雨前后，请勿喷药。 3.喷药时应注意风向，防止飘移到邻近敏感作物上。 4.施用本品后3天内勿割草、放牧和翻地。</w:t>
            </w:r>
          </w:p>
        </w:tc>
      </w:tr>
      <w:tr w14:paraId="450E80B6">
        <w:tblPrEx>
          <w:tblCellMar>
            <w:top w:w="0" w:type="dxa"/>
            <w:left w:w="0" w:type="dxa"/>
            <w:bottom w:w="0" w:type="dxa"/>
            <w:right w:w="0" w:type="dxa"/>
          </w:tblCellMar>
        </w:tblPrEx>
        <w:trPr>
          <w:wBefore w:w="0" w:type="auto"/>
          <w:tblCellSpacing w:w="0" w:type="dxa"/>
        </w:trPr>
        <w:tc>
          <w:tcPr>
            <w:tcW w:w="0" w:type="auto"/>
            <w:noWrap w:val="0"/>
            <w:vAlign w:val="center"/>
          </w:tcPr>
          <w:p w14:paraId="65B0E5FF">
            <w:r>
              <w:rPr>
                <w:rStyle w:val="10"/>
                <w:rFonts w:hint="eastAsia"/>
              </w:rPr>
              <w:t>产品性能:</w:t>
            </w:r>
            <w:r>
              <w:rPr>
                <w:rFonts w:hint="eastAsia"/>
              </w:rPr>
              <w:br w:type="textWrapping"/>
            </w:r>
            <w:r>
              <w:rPr>
                <w:rStyle w:val="11"/>
                <w:rFonts w:hint="eastAsia"/>
              </w:rPr>
              <w:t>本品由2甲4氯钠和草铵膦复配制成，属低毒非传导性灭生性除草剂，能有效防除单子叶和双子叶、一年生和多年生杂草。</w:t>
            </w:r>
          </w:p>
        </w:tc>
      </w:tr>
      <w:tr w14:paraId="02E77A87">
        <w:tblPrEx>
          <w:tblCellMar>
            <w:top w:w="0" w:type="dxa"/>
            <w:left w:w="0" w:type="dxa"/>
            <w:bottom w:w="0" w:type="dxa"/>
            <w:right w:w="0" w:type="dxa"/>
          </w:tblCellMar>
        </w:tblPrEx>
        <w:trPr>
          <w:wBefore w:w="0" w:type="auto"/>
          <w:tblCellSpacing w:w="0" w:type="dxa"/>
        </w:trPr>
        <w:tc>
          <w:tcPr>
            <w:tcW w:w="0" w:type="auto"/>
            <w:noWrap w:val="0"/>
            <w:vAlign w:val="center"/>
          </w:tcPr>
          <w:p w14:paraId="0BFEC7ED">
            <w:r>
              <w:rPr>
                <w:rStyle w:val="10"/>
                <w:rFonts w:hint="eastAsia"/>
              </w:rPr>
              <w:t>注意事项：</w:t>
            </w:r>
            <w:r>
              <w:rPr>
                <w:rFonts w:hint="eastAsia"/>
              </w:rPr>
              <w:br w:type="textWrapping"/>
            </w:r>
            <w:r>
              <w:rPr>
                <w:rStyle w:val="11"/>
                <w:rFonts w:hint="eastAsia"/>
              </w:rPr>
              <w:t>1.为减缓杂草的抗药性，请注意与其他农药轮换使用。 2.不能与碱性物质混用,以免分解失效。 3.用药时应穿长衣长裤，戴上帽子口罩、手套、穿防护鞋，避免本剂接触眼睛和皮肤，不可饮水和进食等，施药后应用清水洗净暴露皮肤。 4.本品对鱼类有毒,使用时严禁药液流入河塘,禁止在河塘等水域清洗施药器具。远离水产养殖区、河塘等水体施药。赤眼蜂等天敌放飞区禁用。施药期间应避免对周围蜂群的影响、蜜蜂作物花期、蚕室和桑园附近禁用。 5.喷雾器必须专用。 6.废弃物及包装物要妥善处理，不能随意丢弃，也不能做他用。 7.孕妇和哺乳期妇女禁止接触本品。</w:t>
            </w:r>
          </w:p>
        </w:tc>
      </w:tr>
      <w:tr w14:paraId="4FCF761A">
        <w:tblPrEx>
          <w:tblCellMar>
            <w:top w:w="0" w:type="dxa"/>
            <w:left w:w="0" w:type="dxa"/>
            <w:bottom w:w="0" w:type="dxa"/>
            <w:right w:w="0" w:type="dxa"/>
          </w:tblCellMar>
        </w:tblPrEx>
        <w:trPr>
          <w:wBefore w:w="0" w:type="auto"/>
          <w:tblCellSpacing w:w="0" w:type="dxa"/>
        </w:trPr>
        <w:tc>
          <w:tcPr>
            <w:tcW w:w="0" w:type="auto"/>
            <w:noWrap w:val="0"/>
            <w:vAlign w:val="center"/>
          </w:tcPr>
          <w:p w14:paraId="5A426FC4">
            <w:r>
              <w:rPr>
                <w:rStyle w:val="10"/>
                <w:rFonts w:hint="eastAsia"/>
              </w:rPr>
              <w:t>中毒急救措施：</w:t>
            </w:r>
            <w:r>
              <w:rPr>
                <w:rFonts w:hint="eastAsia"/>
              </w:rPr>
              <w:br w:type="textWrapping"/>
            </w:r>
            <w:r>
              <w:rPr>
                <w:rStyle w:val="11"/>
                <w:rFonts w:hint="eastAsia"/>
              </w:rPr>
              <w:t>中毒症状表现为对皮肤、眼睛和上呼吸道有刺激作用。使用中或使用后如果感觉不适，应立即停止工作，采取急救措施，并携带标签送医院就诊。 1.皮肤接触：脱去污染的衣物，用软布去除沾染农药，立即用大量清水和肥皂冲洗；2.眼睛溅入：立即用流动清水冲洗不少于15分钟；3.吸入：立即离开施药现场，转移到空气清新处； 4.误食：立即停止服用，用清水充分漱口后，立即携带农药标签到医院就诊。</w:t>
            </w:r>
          </w:p>
        </w:tc>
      </w:tr>
      <w:tr w14:paraId="3A883D51">
        <w:tblPrEx>
          <w:tblCellMar>
            <w:top w:w="0" w:type="dxa"/>
            <w:left w:w="0" w:type="dxa"/>
            <w:bottom w:w="0" w:type="dxa"/>
            <w:right w:w="0" w:type="dxa"/>
          </w:tblCellMar>
        </w:tblPrEx>
        <w:trPr>
          <w:wBefore w:w="0" w:type="auto"/>
          <w:tblCellSpacing w:w="0" w:type="dxa"/>
        </w:trPr>
        <w:tc>
          <w:tcPr>
            <w:tcW w:w="0" w:type="auto"/>
            <w:noWrap w:val="0"/>
            <w:vAlign w:val="center"/>
          </w:tcPr>
          <w:p w14:paraId="4F4721E1">
            <w:r>
              <w:rPr>
                <w:rStyle w:val="10"/>
                <w:rFonts w:hint="eastAsia"/>
              </w:rPr>
              <w:t>储存和运输方法：</w:t>
            </w:r>
            <w:r>
              <w:rPr>
                <w:rFonts w:hint="eastAsia"/>
              </w:rPr>
              <w:br w:type="textWrapping"/>
            </w:r>
            <w:r>
              <w:rPr>
                <w:rStyle w:val="11"/>
                <w:rFonts w:hint="eastAsia"/>
              </w:rPr>
              <w:t>应贮存于阴凉、通风、干燥处，远离火源或热源，严防潮湿和日晒。置于儿童不易接触到的地方，并加锁。勿与食品、饮料、粮食、饲料等物品同贮同运。</w:t>
            </w:r>
          </w:p>
        </w:tc>
      </w:tr>
      <w:tr w14:paraId="34905FF8">
        <w:tblPrEx>
          <w:tblCellMar>
            <w:top w:w="0" w:type="dxa"/>
            <w:left w:w="0" w:type="dxa"/>
            <w:bottom w:w="0" w:type="dxa"/>
            <w:right w:w="0" w:type="dxa"/>
          </w:tblCellMar>
        </w:tblPrEx>
        <w:trPr>
          <w:wBefore w:w="0" w:type="auto"/>
          <w:tblCellSpacing w:w="0" w:type="dxa"/>
        </w:trPr>
        <w:tc>
          <w:tcPr>
            <w:tcW w:w="0" w:type="auto"/>
            <w:noWrap w:val="0"/>
            <w:vAlign w:val="center"/>
          </w:tcPr>
          <w:p w14:paraId="3CD6C607">
            <w:r>
              <w:rPr>
                <w:rStyle w:val="10"/>
                <w:rFonts w:hint="eastAsia"/>
              </w:rPr>
              <w:t>质量保证期：</w:t>
            </w:r>
            <w:r>
              <w:rPr>
                <w:rStyle w:val="11"/>
                <w:rFonts w:hint="eastAsia"/>
              </w:rPr>
              <w:t>2年</w:t>
            </w:r>
          </w:p>
        </w:tc>
      </w:tr>
      <w:tr w14:paraId="5798BFA8">
        <w:tblPrEx>
          <w:tblCellMar>
            <w:top w:w="0" w:type="dxa"/>
            <w:left w:w="0" w:type="dxa"/>
            <w:bottom w:w="0" w:type="dxa"/>
            <w:right w:w="0" w:type="dxa"/>
          </w:tblCellMar>
        </w:tblPrEx>
        <w:trPr>
          <w:wBefore w:w="0" w:type="auto"/>
          <w:tblCellSpacing w:w="0" w:type="dxa"/>
        </w:trPr>
        <w:tc>
          <w:tcPr>
            <w:tcW w:w="0" w:type="auto"/>
            <w:noWrap w:val="0"/>
            <w:vAlign w:val="center"/>
          </w:tcPr>
          <w:p w14:paraId="113F8855">
            <w:r>
              <w:rPr>
                <w:rStyle w:val="10"/>
                <w:rFonts w:hint="eastAsia"/>
              </w:rPr>
              <w:t>备注：</w:t>
            </w:r>
            <w:r>
              <w:rPr>
                <w:rFonts w:hint="eastAsia"/>
              </w:rPr>
              <w:br w:type="textWrapping"/>
            </w:r>
            <w:r>
              <w:rPr>
                <w:rStyle w:val="11"/>
                <w:rFonts w:hint="eastAsia"/>
              </w:rPr>
              <w:t>2甲4氯钠4%。</w:t>
            </w:r>
          </w:p>
        </w:tc>
      </w:tr>
    </w:tbl>
    <w:p w14:paraId="2FBA990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D1C3BC3">
        <w:tblPrEx>
          <w:tblCellMar>
            <w:top w:w="0" w:type="dxa"/>
            <w:left w:w="0" w:type="dxa"/>
            <w:bottom w:w="0" w:type="dxa"/>
            <w:right w:w="0" w:type="dxa"/>
          </w:tblCellMar>
        </w:tblPrEx>
        <w:trPr>
          <w:wBefore w:w="0" w:type="auto"/>
          <w:tblCellSpacing w:w="0" w:type="dxa"/>
        </w:trPr>
        <w:tc>
          <w:tcPr>
            <w:tcW w:w="0" w:type="auto"/>
            <w:noWrap w:val="0"/>
            <w:vAlign w:val="center"/>
          </w:tcPr>
          <w:p w14:paraId="592AD931">
            <w:r>
              <w:rPr>
                <w:rStyle w:val="10"/>
                <w:rFonts w:hint="eastAsia"/>
              </w:rPr>
              <w:t>登记证号：</w:t>
            </w:r>
            <w:r>
              <w:rPr>
                <w:rFonts w:hint="eastAsia"/>
              </w:rPr>
              <w:t>PD20211786</w:t>
            </w:r>
          </w:p>
        </w:tc>
      </w:tr>
      <w:tr w14:paraId="0E967E0B">
        <w:tblPrEx>
          <w:tblCellMar>
            <w:top w:w="0" w:type="dxa"/>
            <w:left w:w="0" w:type="dxa"/>
            <w:bottom w:w="0" w:type="dxa"/>
            <w:right w:w="0" w:type="dxa"/>
          </w:tblCellMar>
        </w:tblPrEx>
        <w:trPr>
          <w:wBefore w:w="0" w:type="auto"/>
          <w:tblCellSpacing w:w="0" w:type="dxa"/>
        </w:trPr>
        <w:tc>
          <w:tcPr>
            <w:tcW w:w="0" w:type="auto"/>
            <w:noWrap w:val="0"/>
            <w:vAlign w:val="center"/>
          </w:tcPr>
          <w:p w14:paraId="2484CB73">
            <w:r>
              <w:rPr>
                <w:rStyle w:val="10"/>
                <w:rFonts w:hint="eastAsia"/>
              </w:rPr>
              <w:t>登记证持有人：</w:t>
            </w:r>
            <w:r>
              <w:rPr>
                <w:rFonts w:hint="eastAsia"/>
              </w:rPr>
              <w:t>江苏健谷化工有限公司</w:t>
            </w:r>
          </w:p>
        </w:tc>
      </w:tr>
      <w:tr w14:paraId="366BA367">
        <w:tblPrEx>
          <w:tblCellMar>
            <w:top w:w="0" w:type="dxa"/>
            <w:left w:w="0" w:type="dxa"/>
            <w:bottom w:w="0" w:type="dxa"/>
            <w:right w:w="0" w:type="dxa"/>
          </w:tblCellMar>
        </w:tblPrEx>
        <w:trPr>
          <w:wBefore w:w="0" w:type="auto"/>
          <w:tblCellSpacing w:w="0" w:type="dxa"/>
        </w:trPr>
        <w:tc>
          <w:tcPr>
            <w:tcW w:w="0" w:type="auto"/>
            <w:noWrap w:val="0"/>
            <w:vAlign w:val="center"/>
          </w:tcPr>
          <w:p w14:paraId="5CBD2316">
            <w:r>
              <w:rPr>
                <w:rStyle w:val="10"/>
                <w:rFonts w:hint="eastAsia"/>
              </w:rPr>
              <w:t>农药名称：</w:t>
            </w:r>
            <w:r>
              <w:rPr>
                <w:rFonts w:hint="eastAsia"/>
              </w:rPr>
              <w:t>甲维·茚虫威</w:t>
            </w:r>
          </w:p>
        </w:tc>
      </w:tr>
      <w:tr w14:paraId="530543F8">
        <w:tblPrEx>
          <w:tblCellMar>
            <w:top w:w="0" w:type="dxa"/>
            <w:left w:w="0" w:type="dxa"/>
            <w:bottom w:w="0" w:type="dxa"/>
            <w:right w:w="0" w:type="dxa"/>
          </w:tblCellMar>
        </w:tblPrEx>
        <w:trPr>
          <w:wBefore w:w="0" w:type="auto"/>
          <w:tblCellSpacing w:w="0" w:type="dxa"/>
        </w:trPr>
        <w:tc>
          <w:tcPr>
            <w:tcW w:w="0" w:type="auto"/>
            <w:noWrap w:val="0"/>
            <w:vAlign w:val="center"/>
          </w:tcPr>
          <w:p w14:paraId="4BF3FE8F">
            <w:r>
              <w:rPr>
                <w:rStyle w:val="10"/>
                <w:rFonts w:hint="eastAsia"/>
              </w:rPr>
              <w:t>剂型：</w:t>
            </w:r>
            <w:r>
              <w:rPr>
                <w:rFonts w:hint="eastAsia"/>
              </w:rPr>
              <w:t>悬浮剂</w:t>
            </w:r>
          </w:p>
        </w:tc>
      </w:tr>
      <w:tr w14:paraId="61B79DED">
        <w:tblPrEx>
          <w:tblCellMar>
            <w:top w:w="0" w:type="dxa"/>
            <w:left w:w="0" w:type="dxa"/>
            <w:bottom w:w="0" w:type="dxa"/>
            <w:right w:w="0" w:type="dxa"/>
          </w:tblCellMar>
        </w:tblPrEx>
        <w:trPr>
          <w:wBefore w:w="0" w:type="auto"/>
          <w:tblCellSpacing w:w="0" w:type="dxa"/>
        </w:trPr>
        <w:tc>
          <w:tcPr>
            <w:tcW w:w="0" w:type="auto"/>
            <w:noWrap w:val="0"/>
            <w:vAlign w:val="center"/>
          </w:tcPr>
          <w:p w14:paraId="57122823">
            <w:r>
              <w:rPr>
                <w:rStyle w:val="10"/>
                <w:rFonts w:hint="eastAsia"/>
              </w:rPr>
              <w:t>毒性及其标识：</w:t>
            </w:r>
            <w:r>
              <w:rPr>
                <w:rFonts w:hint="eastAsia"/>
              </w:rPr>
              <w:t xml:space="preserve"> </w:t>
            </w:r>
            <w:r>
              <w:rPr>
                <w:lang/>
              </w:rPr>
              <w:drawing>
                <wp:inline distT="0" distB="0" distL="114300" distR="114300">
                  <wp:extent cx="476250" cy="323850"/>
                  <wp:effectExtent l="0" t="0" r="0" b="0"/>
                  <wp:docPr id="219" name="图片 21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286ABCD">
        <w:tblPrEx>
          <w:tblCellMar>
            <w:top w:w="0" w:type="dxa"/>
            <w:left w:w="0" w:type="dxa"/>
            <w:bottom w:w="0" w:type="dxa"/>
            <w:right w:w="0" w:type="dxa"/>
          </w:tblCellMar>
        </w:tblPrEx>
        <w:trPr>
          <w:wBefore w:w="0" w:type="auto"/>
          <w:tblCellSpacing w:w="0" w:type="dxa"/>
        </w:trPr>
        <w:tc>
          <w:tcPr>
            <w:tcW w:w="0" w:type="auto"/>
            <w:noWrap w:val="0"/>
            <w:vAlign w:val="center"/>
          </w:tcPr>
          <w:p w14:paraId="2CD63CF0">
            <w:r>
              <w:rPr>
                <w:rStyle w:val="10"/>
                <w:rFonts w:hint="eastAsia"/>
              </w:rPr>
              <w:t>总有效成分含量：</w:t>
            </w:r>
            <w:r>
              <w:rPr>
                <w:rFonts w:hint="eastAsia"/>
              </w:rPr>
              <w:t>9.8%</w:t>
            </w:r>
          </w:p>
        </w:tc>
      </w:tr>
      <w:tr w14:paraId="0CE40349">
        <w:tblPrEx>
          <w:tblCellMar>
            <w:top w:w="0" w:type="dxa"/>
            <w:left w:w="0" w:type="dxa"/>
            <w:bottom w:w="0" w:type="dxa"/>
            <w:right w:w="0" w:type="dxa"/>
          </w:tblCellMar>
        </w:tblPrEx>
        <w:trPr>
          <w:wBefore w:w="0" w:type="auto"/>
          <w:tblCellSpacing w:w="0" w:type="dxa"/>
        </w:trPr>
        <w:tc>
          <w:tcPr>
            <w:tcW w:w="0" w:type="auto"/>
            <w:noWrap w:val="0"/>
            <w:vAlign w:val="center"/>
          </w:tcPr>
          <w:p w14:paraId="0B3CD81B">
            <w:r>
              <w:rPr>
                <w:rFonts w:hint="eastAsia"/>
              </w:rPr>
              <w:t xml:space="preserve">有效成分及其含量： </w:t>
            </w:r>
          </w:p>
          <w:p w14:paraId="5E8E5B93">
            <w:r>
              <w:rPr>
                <w:rFonts w:hint="eastAsia"/>
              </w:rPr>
              <w:t xml:space="preserve">    甲氨基阿维菌素1.8%    茚虫威8%    </w:t>
            </w:r>
          </w:p>
        </w:tc>
      </w:tr>
      <w:tr w14:paraId="0830070E">
        <w:tblPrEx>
          <w:tblCellMar>
            <w:top w:w="0" w:type="dxa"/>
            <w:left w:w="0" w:type="dxa"/>
            <w:bottom w:w="0" w:type="dxa"/>
            <w:right w:w="0" w:type="dxa"/>
          </w:tblCellMar>
        </w:tblPrEx>
        <w:trPr>
          <w:wBefore w:w="0" w:type="auto"/>
          <w:tblCellSpacing w:w="0" w:type="dxa"/>
        </w:trPr>
        <w:tc>
          <w:tcPr>
            <w:tcW w:w="0" w:type="auto"/>
            <w:noWrap w:val="0"/>
            <w:vAlign w:val="center"/>
          </w:tcPr>
          <w:p w14:paraId="559D13E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3F4B9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904F02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7E8AB4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5D12F8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AB9BC5">
                  <w:r>
                    <w:rPr>
                      <w:rStyle w:val="11"/>
                      <w:rFonts w:hint="eastAsia"/>
                    </w:rPr>
                    <w:t>施用方式</w:t>
                  </w:r>
                </w:p>
              </w:tc>
            </w:tr>
            <w:tr w14:paraId="6A35BA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BE7BBC6">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8C2D29">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5AB910">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14E210">
                  <w:r>
                    <w:rPr>
                      <w:rStyle w:val="11"/>
                      <w:rFonts w:hint="eastAsia"/>
                    </w:rPr>
                    <w:t>喷雾</w:t>
                  </w:r>
                </w:p>
              </w:tc>
            </w:tr>
          </w:tbl>
          <w:p w14:paraId="516CE05D">
            <w:pPr>
              <w:rPr>
                <w:rFonts w:ascii="Times New Roman" w:hAnsi="Times New Roman" w:cs="Times New Roman"/>
                <w:sz w:val="20"/>
                <w:szCs w:val="20"/>
              </w:rPr>
            </w:pPr>
          </w:p>
        </w:tc>
      </w:tr>
      <w:tr w14:paraId="0D3739D5">
        <w:tblPrEx>
          <w:tblCellMar>
            <w:top w:w="0" w:type="dxa"/>
            <w:left w:w="0" w:type="dxa"/>
            <w:bottom w:w="0" w:type="dxa"/>
            <w:right w:w="0" w:type="dxa"/>
          </w:tblCellMar>
        </w:tblPrEx>
        <w:trPr>
          <w:wBefore w:w="0" w:type="auto"/>
          <w:tblCellSpacing w:w="0" w:type="dxa"/>
        </w:trPr>
        <w:tc>
          <w:tcPr>
            <w:tcW w:w="0" w:type="auto"/>
            <w:noWrap w:val="0"/>
            <w:vAlign w:val="center"/>
          </w:tcPr>
          <w:p w14:paraId="26351EA9">
            <w:r>
              <w:rPr>
                <w:rStyle w:val="10"/>
                <w:rFonts w:hint="eastAsia"/>
              </w:rPr>
              <w:t>使用技术要求:</w:t>
            </w:r>
            <w:r>
              <w:rPr>
                <w:rFonts w:hint="eastAsia"/>
              </w:rPr>
              <w:br w:type="textWrapping"/>
            </w:r>
            <w:r>
              <w:rPr>
                <w:rStyle w:val="11"/>
                <w:rFonts w:hint="eastAsia"/>
              </w:rPr>
              <w:t>1.配药时要摇匀后再稀释；2.于水稻稻纵卷叶螟卵孵化盛期至低龄幼虫期喷雾施药1次。；3.在晴天的下午近傍晚喷药，大风天或预计1小时内有雨，请勿施药。 安全使用标准：每个作物周期的最多使用次数为1次，安全间隔期为21天。</w:t>
            </w:r>
          </w:p>
        </w:tc>
      </w:tr>
      <w:tr w14:paraId="00E81BEE">
        <w:tblPrEx>
          <w:tblCellMar>
            <w:top w:w="0" w:type="dxa"/>
            <w:left w:w="0" w:type="dxa"/>
            <w:bottom w:w="0" w:type="dxa"/>
            <w:right w:w="0" w:type="dxa"/>
          </w:tblCellMar>
        </w:tblPrEx>
        <w:trPr>
          <w:wBefore w:w="0" w:type="auto"/>
          <w:tblCellSpacing w:w="0" w:type="dxa"/>
        </w:trPr>
        <w:tc>
          <w:tcPr>
            <w:tcW w:w="0" w:type="auto"/>
            <w:noWrap w:val="0"/>
            <w:vAlign w:val="center"/>
          </w:tcPr>
          <w:p w14:paraId="37F25B24">
            <w:r>
              <w:rPr>
                <w:rStyle w:val="10"/>
                <w:rFonts w:hint="eastAsia"/>
              </w:rPr>
              <w:t>产品性能:</w:t>
            </w:r>
            <w:r>
              <w:rPr>
                <w:rFonts w:hint="eastAsia"/>
              </w:rPr>
              <w:br w:type="textWrapping"/>
            </w:r>
            <w:r>
              <w:rPr>
                <w:rStyle w:val="11"/>
                <w:rFonts w:hint="eastAsia"/>
              </w:rPr>
              <w:t>甲氨基阿维菌素苯甲酸盐能有效渗入作物表皮组织，以胃毒、触杀作用为主，具有较长残效期。茚虫威通过干扰昆虫钠离子通道，使害虫中毒后麻痹致死，以触杀和胃毒作用为主，二者混配后对水稻稻纵卷具有较好的防治效果</w:t>
            </w:r>
          </w:p>
        </w:tc>
      </w:tr>
      <w:tr w14:paraId="4102F5B3">
        <w:tblPrEx>
          <w:tblCellMar>
            <w:top w:w="0" w:type="dxa"/>
            <w:left w:w="0" w:type="dxa"/>
            <w:bottom w:w="0" w:type="dxa"/>
            <w:right w:w="0" w:type="dxa"/>
          </w:tblCellMar>
        </w:tblPrEx>
        <w:trPr>
          <w:wBefore w:w="0" w:type="auto"/>
          <w:tblCellSpacing w:w="0" w:type="dxa"/>
        </w:trPr>
        <w:tc>
          <w:tcPr>
            <w:tcW w:w="0" w:type="auto"/>
            <w:noWrap w:val="0"/>
            <w:vAlign w:val="center"/>
          </w:tcPr>
          <w:p w14:paraId="21D48FD0">
            <w:r>
              <w:rPr>
                <w:rStyle w:val="10"/>
                <w:rFonts w:hint="eastAsia"/>
              </w:rPr>
              <w:t>注意事项：</w:t>
            </w:r>
            <w:r>
              <w:rPr>
                <w:rFonts w:hint="eastAsia"/>
              </w:rPr>
              <w:br w:type="textWrapping"/>
            </w:r>
            <w:r>
              <w:rPr>
                <w:rStyle w:val="11"/>
                <w:rFonts w:hint="eastAsia"/>
              </w:rPr>
              <w:t>1.本品不可与呈碱性的农药等物质混合使用。2.使用时穿戴长衣、长裤、帽子、口罩、手套等安全防护措施。以避免污染皮肤和眼睛，施药完毕后应及时换洗衣物，洗净手、脸和被污染的皮肤。3.本品对水生生物、蜜蜂、家蚕有毒，建议在蚕室及桑园附近禁用，或采用最外围桑树作为隔离带，以降低对家蚕的风险；建议（周围）开花植物花期禁用，使用时密切关注对附近蜂群的影响，赤眼蜂、瓢虫等天敌放飞区域禁用。。应远离水产养殖区、河塘等水体施药，鱼或虾蟹套养稻田禁用，施药后的田水不得直接排入水体。施药器械不得在河塘等水域内洗涤，严禁药液污染各类水域。4.用过的容器和废弃包装应妥善处理，不可随意丢弃或作他用。5.孕妇及哺乳期妇女禁止接触本品。6. 避免与具有氧化性物质接触或混合。</w:t>
            </w:r>
          </w:p>
        </w:tc>
      </w:tr>
      <w:tr w14:paraId="3625086B">
        <w:tblPrEx>
          <w:tblCellMar>
            <w:top w:w="0" w:type="dxa"/>
            <w:left w:w="0" w:type="dxa"/>
            <w:bottom w:w="0" w:type="dxa"/>
            <w:right w:w="0" w:type="dxa"/>
          </w:tblCellMar>
        </w:tblPrEx>
        <w:trPr>
          <w:wBefore w:w="0" w:type="auto"/>
          <w:tblCellSpacing w:w="0" w:type="dxa"/>
        </w:trPr>
        <w:tc>
          <w:tcPr>
            <w:tcW w:w="0" w:type="auto"/>
            <w:noWrap w:val="0"/>
            <w:vAlign w:val="center"/>
          </w:tcPr>
          <w:p w14:paraId="6217C7EF">
            <w:r>
              <w:rPr>
                <w:rStyle w:val="10"/>
                <w:rFonts w:hint="eastAsia"/>
              </w:rPr>
              <w:t>中毒急救措施：</w:t>
            </w:r>
            <w:r>
              <w:rPr>
                <w:rFonts w:hint="eastAsia"/>
              </w:rPr>
              <w:br w:type="textWrapping"/>
            </w:r>
            <w:r>
              <w:rPr>
                <w:rStyle w:val="11"/>
                <w:rFonts w:hint="eastAsia"/>
              </w:rPr>
              <w:t>中毒早期症状为瞳孔放大，行动失调，肌肉颤抖，严重时导致呕吐。 急救措施：如接触眼睛，用大量清水冲洗至少15分种，如仍有刺激立即送医对症治疗；如皮肤接触，脱掉被污染衣服，用清水及肥皂反复清洗；如误服应立即携标签送医院对症治疗，若判断为甲氨基阿维菌素苯甲酸盐中毒，引吐，并给患者服用吐根糖浆或麻黄素，勿给昏迷患者催吐或灌任何东西。抢救时避免使用增强γ－氨基丁酸活性的药物，如巴比妥、丙戊酸等。无特殊解毒剂，请对症治疗。</w:t>
            </w:r>
          </w:p>
        </w:tc>
      </w:tr>
      <w:tr w14:paraId="7DB6D788">
        <w:tblPrEx>
          <w:tblCellMar>
            <w:top w:w="0" w:type="dxa"/>
            <w:left w:w="0" w:type="dxa"/>
            <w:bottom w:w="0" w:type="dxa"/>
            <w:right w:w="0" w:type="dxa"/>
          </w:tblCellMar>
        </w:tblPrEx>
        <w:trPr>
          <w:wBefore w:w="0" w:type="auto"/>
          <w:tblCellSpacing w:w="0" w:type="dxa"/>
        </w:trPr>
        <w:tc>
          <w:tcPr>
            <w:tcW w:w="0" w:type="auto"/>
            <w:noWrap w:val="0"/>
            <w:vAlign w:val="center"/>
          </w:tcPr>
          <w:p w14:paraId="22135C50">
            <w:r>
              <w:rPr>
                <w:rStyle w:val="10"/>
                <w:rFonts w:hint="eastAsia"/>
              </w:rPr>
              <w:t>储存和运输方法：</w:t>
            </w:r>
            <w:r>
              <w:rPr>
                <w:rFonts w:hint="eastAsia"/>
              </w:rPr>
              <w:br w:type="textWrapping"/>
            </w:r>
            <w:r>
              <w:rPr>
                <w:rStyle w:val="11"/>
                <w:rFonts w:hint="eastAsia"/>
              </w:rPr>
              <w:t>1、本品应密封贮存在干燥、阴凉、通风、防雨处，远离火源或热源。2、存放于儿童触及不到之处，并加锁。3、勿与食品、饮料、粮食、饲料等其他商品同贮同运。</w:t>
            </w:r>
          </w:p>
        </w:tc>
      </w:tr>
      <w:tr w14:paraId="44E8DBBD">
        <w:tblPrEx>
          <w:tblCellMar>
            <w:top w:w="0" w:type="dxa"/>
            <w:left w:w="0" w:type="dxa"/>
            <w:bottom w:w="0" w:type="dxa"/>
            <w:right w:w="0" w:type="dxa"/>
          </w:tblCellMar>
        </w:tblPrEx>
        <w:trPr>
          <w:wBefore w:w="0" w:type="auto"/>
          <w:tblCellSpacing w:w="0" w:type="dxa"/>
        </w:trPr>
        <w:tc>
          <w:tcPr>
            <w:tcW w:w="0" w:type="auto"/>
            <w:noWrap w:val="0"/>
            <w:vAlign w:val="center"/>
          </w:tcPr>
          <w:p w14:paraId="3B469044">
            <w:r>
              <w:rPr>
                <w:rStyle w:val="10"/>
                <w:rFonts w:hint="eastAsia"/>
              </w:rPr>
              <w:t>质量保证期：</w:t>
            </w:r>
            <w:r>
              <w:rPr>
                <w:rStyle w:val="11"/>
                <w:rFonts w:hint="eastAsia"/>
              </w:rPr>
              <w:t>2年</w:t>
            </w:r>
          </w:p>
        </w:tc>
      </w:tr>
      <w:tr w14:paraId="4A9D8B0A">
        <w:tblPrEx>
          <w:tblCellMar>
            <w:top w:w="0" w:type="dxa"/>
            <w:left w:w="0" w:type="dxa"/>
            <w:bottom w:w="0" w:type="dxa"/>
            <w:right w:w="0" w:type="dxa"/>
          </w:tblCellMar>
        </w:tblPrEx>
        <w:trPr>
          <w:wBefore w:w="0" w:type="auto"/>
          <w:tblCellSpacing w:w="0" w:type="dxa"/>
        </w:trPr>
        <w:tc>
          <w:tcPr>
            <w:tcW w:w="0" w:type="auto"/>
            <w:noWrap w:val="0"/>
            <w:vAlign w:val="center"/>
          </w:tcPr>
          <w:p w14:paraId="579E193A">
            <w:r>
              <w:rPr>
                <w:rStyle w:val="10"/>
                <w:rFonts w:hint="eastAsia"/>
              </w:rPr>
              <w:t>备注：</w:t>
            </w:r>
          </w:p>
        </w:tc>
      </w:tr>
    </w:tbl>
    <w:p w14:paraId="778EFFE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CBF36C">
        <w:tblPrEx>
          <w:tblCellMar>
            <w:top w:w="0" w:type="dxa"/>
            <w:left w:w="0" w:type="dxa"/>
            <w:bottom w:w="0" w:type="dxa"/>
            <w:right w:w="0" w:type="dxa"/>
          </w:tblCellMar>
        </w:tblPrEx>
        <w:trPr>
          <w:wBefore w:w="0" w:type="auto"/>
          <w:tblCellSpacing w:w="0" w:type="dxa"/>
        </w:trPr>
        <w:tc>
          <w:tcPr>
            <w:tcW w:w="0" w:type="auto"/>
            <w:noWrap w:val="0"/>
            <w:vAlign w:val="center"/>
          </w:tcPr>
          <w:p w14:paraId="2AC4C2F8">
            <w:r>
              <w:rPr>
                <w:rStyle w:val="10"/>
                <w:rFonts w:hint="eastAsia"/>
              </w:rPr>
              <w:t>登记证号：</w:t>
            </w:r>
            <w:r>
              <w:rPr>
                <w:rFonts w:hint="eastAsia"/>
              </w:rPr>
              <w:t>PD20212187</w:t>
            </w:r>
          </w:p>
        </w:tc>
      </w:tr>
      <w:tr w14:paraId="17D9EF99">
        <w:tblPrEx>
          <w:tblCellMar>
            <w:top w:w="0" w:type="dxa"/>
            <w:left w:w="0" w:type="dxa"/>
            <w:bottom w:w="0" w:type="dxa"/>
            <w:right w:w="0" w:type="dxa"/>
          </w:tblCellMar>
        </w:tblPrEx>
        <w:trPr>
          <w:wBefore w:w="0" w:type="auto"/>
          <w:tblCellSpacing w:w="0" w:type="dxa"/>
        </w:trPr>
        <w:tc>
          <w:tcPr>
            <w:tcW w:w="0" w:type="auto"/>
            <w:noWrap w:val="0"/>
            <w:vAlign w:val="center"/>
          </w:tcPr>
          <w:p w14:paraId="514F95F8">
            <w:r>
              <w:rPr>
                <w:rStyle w:val="10"/>
                <w:rFonts w:hint="eastAsia"/>
              </w:rPr>
              <w:t>登记证持有人：</w:t>
            </w:r>
            <w:r>
              <w:rPr>
                <w:rFonts w:hint="eastAsia"/>
              </w:rPr>
              <w:t>河南省开封市浪潮化工有限公司</w:t>
            </w:r>
          </w:p>
        </w:tc>
      </w:tr>
      <w:tr w14:paraId="7EDC07D7">
        <w:tblPrEx>
          <w:tblCellMar>
            <w:top w:w="0" w:type="dxa"/>
            <w:left w:w="0" w:type="dxa"/>
            <w:bottom w:w="0" w:type="dxa"/>
            <w:right w:w="0" w:type="dxa"/>
          </w:tblCellMar>
        </w:tblPrEx>
        <w:trPr>
          <w:wBefore w:w="0" w:type="auto"/>
          <w:tblCellSpacing w:w="0" w:type="dxa"/>
        </w:trPr>
        <w:tc>
          <w:tcPr>
            <w:tcW w:w="0" w:type="auto"/>
            <w:noWrap w:val="0"/>
            <w:vAlign w:val="center"/>
          </w:tcPr>
          <w:p w14:paraId="4941A7E5">
            <w:r>
              <w:rPr>
                <w:rStyle w:val="10"/>
                <w:rFonts w:hint="eastAsia"/>
              </w:rPr>
              <w:t>农药名称：</w:t>
            </w:r>
            <w:r>
              <w:rPr>
                <w:rFonts w:hint="eastAsia"/>
              </w:rPr>
              <w:t>唑啉草酯</w:t>
            </w:r>
          </w:p>
        </w:tc>
      </w:tr>
      <w:tr w14:paraId="6DA6EA00">
        <w:tblPrEx>
          <w:tblCellMar>
            <w:top w:w="0" w:type="dxa"/>
            <w:left w:w="0" w:type="dxa"/>
            <w:bottom w:w="0" w:type="dxa"/>
            <w:right w:w="0" w:type="dxa"/>
          </w:tblCellMar>
        </w:tblPrEx>
        <w:trPr>
          <w:wBefore w:w="0" w:type="auto"/>
          <w:tblCellSpacing w:w="0" w:type="dxa"/>
        </w:trPr>
        <w:tc>
          <w:tcPr>
            <w:tcW w:w="0" w:type="auto"/>
            <w:noWrap w:val="0"/>
            <w:vAlign w:val="center"/>
          </w:tcPr>
          <w:p w14:paraId="5A440D1F">
            <w:r>
              <w:rPr>
                <w:rStyle w:val="10"/>
                <w:rFonts w:hint="eastAsia"/>
              </w:rPr>
              <w:t>剂型：</w:t>
            </w:r>
            <w:r>
              <w:rPr>
                <w:rFonts w:hint="eastAsia"/>
              </w:rPr>
              <w:t>乳油</w:t>
            </w:r>
          </w:p>
        </w:tc>
      </w:tr>
      <w:tr w14:paraId="32A373BA">
        <w:tblPrEx>
          <w:tblCellMar>
            <w:top w:w="0" w:type="dxa"/>
            <w:left w:w="0" w:type="dxa"/>
            <w:bottom w:w="0" w:type="dxa"/>
            <w:right w:w="0" w:type="dxa"/>
          </w:tblCellMar>
        </w:tblPrEx>
        <w:trPr>
          <w:wBefore w:w="0" w:type="auto"/>
          <w:tblCellSpacing w:w="0" w:type="dxa"/>
        </w:trPr>
        <w:tc>
          <w:tcPr>
            <w:tcW w:w="0" w:type="auto"/>
            <w:noWrap w:val="0"/>
            <w:vAlign w:val="center"/>
          </w:tcPr>
          <w:p w14:paraId="2B02B445">
            <w:r>
              <w:rPr>
                <w:rStyle w:val="10"/>
                <w:rFonts w:hint="eastAsia"/>
              </w:rPr>
              <w:t>毒性及其标识：</w:t>
            </w:r>
            <w:r>
              <w:rPr>
                <w:rFonts w:hint="eastAsia"/>
              </w:rPr>
              <w:t xml:space="preserve"> </w:t>
            </w:r>
            <w:r>
              <w:rPr>
                <w:lang/>
              </w:rPr>
              <w:drawing>
                <wp:inline distT="0" distB="0" distL="114300" distR="114300">
                  <wp:extent cx="476250" cy="323850"/>
                  <wp:effectExtent l="0" t="0" r="0" b="0"/>
                  <wp:docPr id="220" name="图片 22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55222D5">
        <w:tblPrEx>
          <w:tblCellMar>
            <w:top w:w="0" w:type="dxa"/>
            <w:left w:w="0" w:type="dxa"/>
            <w:bottom w:w="0" w:type="dxa"/>
            <w:right w:w="0" w:type="dxa"/>
          </w:tblCellMar>
        </w:tblPrEx>
        <w:trPr>
          <w:wBefore w:w="0" w:type="auto"/>
          <w:tblCellSpacing w:w="0" w:type="dxa"/>
        </w:trPr>
        <w:tc>
          <w:tcPr>
            <w:tcW w:w="0" w:type="auto"/>
            <w:noWrap w:val="0"/>
            <w:vAlign w:val="center"/>
          </w:tcPr>
          <w:p w14:paraId="78C91534">
            <w:r>
              <w:rPr>
                <w:rStyle w:val="10"/>
                <w:rFonts w:hint="eastAsia"/>
              </w:rPr>
              <w:t>总有效成分含量：</w:t>
            </w:r>
            <w:r>
              <w:rPr>
                <w:rFonts w:hint="eastAsia"/>
              </w:rPr>
              <w:t>5%</w:t>
            </w:r>
          </w:p>
        </w:tc>
      </w:tr>
      <w:tr w14:paraId="5AEE8D2C">
        <w:tblPrEx>
          <w:tblCellMar>
            <w:top w:w="0" w:type="dxa"/>
            <w:left w:w="0" w:type="dxa"/>
            <w:bottom w:w="0" w:type="dxa"/>
            <w:right w:w="0" w:type="dxa"/>
          </w:tblCellMar>
        </w:tblPrEx>
        <w:trPr>
          <w:wBefore w:w="0" w:type="auto"/>
          <w:tblCellSpacing w:w="0" w:type="dxa"/>
        </w:trPr>
        <w:tc>
          <w:tcPr>
            <w:tcW w:w="0" w:type="auto"/>
            <w:noWrap w:val="0"/>
            <w:vAlign w:val="center"/>
          </w:tcPr>
          <w:p w14:paraId="3DDA8A85">
            <w:r>
              <w:rPr>
                <w:rFonts w:hint="eastAsia"/>
              </w:rPr>
              <w:t xml:space="preserve">有效成分及其含量： </w:t>
            </w:r>
          </w:p>
          <w:p w14:paraId="0DA61A93">
            <w:r>
              <w:rPr>
                <w:rFonts w:hint="eastAsia"/>
              </w:rPr>
              <w:t xml:space="preserve">    唑啉草酯5%    </w:t>
            </w:r>
          </w:p>
        </w:tc>
      </w:tr>
      <w:tr w14:paraId="3BEA8CD3">
        <w:tblPrEx>
          <w:tblCellMar>
            <w:top w:w="0" w:type="dxa"/>
            <w:left w:w="0" w:type="dxa"/>
            <w:bottom w:w="0" w:type="dxa"/>
            <w:right w:w="0" w:type="dxa"/>
          </w:tblCellMar>
        </w:tblPrEx>
        <w:trPr>
          <w:wBefore w:w="0" w:type="auto"/>
          <w:tblCellSpacing w:w="0" w:type="dxa"/>
        </w:trPr>
        <w:tc>
          <w:tcPr>
            <w:tcW w:w="0" w:type="auto"/>
            <w:noWrap w:val="0"/>
            <w:vAlign w:val="center"/>
          </w:tcPr>
          <w:p w14:paraId="7B138B4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ADE44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995F8D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36C020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445E9B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7F22599">
                  <w:r>
                    <w:rPr>
                      <w:rStyle w:val="11"/>
                      <w:rFonts w:hint="eastAsia"/>
                    </w:rPr>
                    <w:t>施用方式</w:t>
                  </w:r>
                </w:p>
              </w:tc>
            </w:tr>
            <w:tr w14:paraId="745F36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1F574F">
                  <w:r>
                    <w:rPr>
                      <w:rStyle w:val="11"/>
                      <w:rFonts w:hint="eastAsia"/>
                    </w:rPr>
                    <w:t>大麦田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A66B9E">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A2C479">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887287">
                  <w:r>
                    <w:rPr>
                      <w:rStyle w:val="11"/>
                      <w:rFonts w:hint="eastAsia"/>
                    </w:rPr>
                    <w:t>茎叶喷雾</w:t>
                  </w:r>
                </w:p>
              </w:tc>
            </w:tr>
          </w:tbl>
          <w:p w14:paraId="38029C13">
            <w:pPr>
              <w:rPr>
                <w:rFonts w:ascii="Times New Roman" w:hAnsi="Times New Roman" w:cs="Times New Roman"/>
                <w:sz w:val="20"/>
                <w:szCs w:val="20"/>
              </w:rPr>
            </w:pPr>
          </w:p>
        </w:tc>
      </w:tr>
      <w:tr w14:paraId="3195F326">
        <w:tblPrEx>
          <w:tblCellMar>
            <w:top w:w="0" w:type="dxa"/>
            <w:left w:w="0" w:type="dxa"/>
            <w:bottom w:w="0" w:type="dxa"/>
            <w:right w:w="0" w:type="dxa"/>
          </w:tblCellMar>
        </w:tblPrEx>
        <w:trPr>
          <w:wBefore w:w="0" w:type="auto"/>
          <w:tblCellSpacing w:w="0" w:type="dxa"/>
        </w:trPr>
        <w:tc>
          <w:tcPr>
            <w:tcW w:w="0" w:type="auto"/>
            <w:noWrap w:val="0"/>
            <w:vAlign w:val="center"/>
          </w:tcPr>
          <w:p w14:paraId="78130B2B">
            <w:r>
              <w:rPr>
                <w:rStyle w:val="10"/>
                <w:rFonts w:hint="eastAsia"/>
              </w:rPr>
              <w:t>使用技术要求:</w:t>
            </w:r>
            <w:r>
              <w:rPr>
                <w:rFonts w:hint="eastAsia"/>
              </w:rPr>
              <w:br w:type="textWrapping"/>
            </w:r>
            <w:r>
              <w:rPr>
                <w:rStyle w:val="11"/>
                <w:rFonts w:hint="eastAsia"/>
              </w:rPr>
              <w:t>1.在一年生禾本科杂草3-5叶期，杂草生长旺盛期施药，每亩兑水15-30升均匀细致茎叶喷雾。2.严格按推荐剂量，田间喷液量要均匀一致，严禁重喷、多喷和漏喷，大风天或1小时内有降雨，请勿施药。杂草草龄较大或发生密度较大时，采用推荐最高剂量使用。3.避免在极端气候如气温大幅波动前后3天内，如干旱、低温（霜冻期）、高温，田间积水，大麦生长不良或遭受涝害、冻害、病害等胁迫条件下使用，否则可能影响药效或导致作物药害。4.不推荐与激素类除草剂混用，如2，4-D、2甲4氯、麦草畏等；与其他除草剂、农药、肥料混用建议先进行测试。5.避免药液漂移到邻近作物田；施药后仔细清洗喷雾器避免药物残留造成玉米、高粱及其他敏感作物药害。6.勿在冬前使用，避免因特殊气候的影响下，在农业生产中造成大面积药害。 7.每季作物最多使用1次。</w:t>
            </w:r>
          </w:p>
        </w:tc>
      </w:tr>
      <w:tr w14:paraId="22916DD9">
        <w:tblPrEx>
          <w:tblCellMar>
            <w:top w:w="0" w:type="dxa"/>
            <w:left w:w="0" w:type="dxa"/>
            <w:bottom w:w="0" w:type="dxa"/>
            <w:right w:w="0" w:type="dxa"/>
          </w:tblCellMar>
        </w:tblPrEx>
        <w:trPr>
          <w:wBefore w:w="0" w:type="auto"/>
          <w:tblCellSpacing w:w="0" w:type="dxa"/>
        </w:trPr>
        <w:tc>
          <w:tcPr>
            <w:tcW w:w="0" w:type="auto"/>
            <w:noWrap w:val="0"/>
            <w:vAlign w:val="center"/>
          </w:tcPr>
          <w:p w14:paraId="10211612">
            <w:r>
              <w:rPr>
                <w:rStyle w:val="10"/>
                <w:rFonts w:hint="eastAsia"/>
              </w:rPr>
              <w:t>产品性能:</w:t>
            </w:r>
            <w:r>
              <w:rPr>
                <w:rFonts w:hint="eastAsia"/>
              </w:rPr>
              <w:br w:type="textWrapping"/>
            </w:r>
            <w:r>
              <w:rPr>
                <w:rStyle w:val="11"/>
                <w:rFonts w:hint="eastAsia"/>
              </w:rPr>
              <w:t>唑啉草酯为内吸传导型，用于大麦田苗后茎叶处理的新一代除草剂，可防除野燕麦、黑麦草、狗尾草、看麦娘、硬草、菵草和棒头草等大多数一年生禾本科杂草。</w:t>
            </w:r>
          </w:p>
        </w:tc>
      </w:tr>
      <w:tr w14:paraId="70558A2D">
        <w:tblPrEx>
          <w:tblCellMar>
            <w:top w:w="0" w:type="dxa"/>
            <w:left w:w="0" w:type="dxa"/>
            <w:bottom w:w="0" w:type="dxa"/>
            <w:right w:w="0" w:type="dxa"/>
          </w:tblCellMar>
        </w:tblPrEx>
        <w:trPr>
          <w:wBefore w:w="0" w:type="auto"/>
          <w:tblCellSpacing w:w="0" w:type="dxa"/>
        </w:trPr>
        <w:tc>
          <w:tcPr>
            <w:tcW w:w="0" w:type="auto"/>
            <w:noWrap w:val="0"/>
            <w:vAlign w:val="center"/>
          </w:tcPr>
          <w:p w14:paraId="1B2881F5">
            <w:r>
              <w:rPr>
                <w:rStyle w:val="10"/>
                <w:rFonts w:hint="eastAsia"/>
              </w:rPr>
              <w:t>注意事项：</w:t>
            </w:r>
            <w:r>
              <w:rPr>
                <w:rFonts w:hint="eastAsia"/>
              </w:rPr>
              <w:br w:type="textWrapping"/>
            </w:r>
            <w:r>
              <w:rPr>
                <w:rStyle w:val="11"/>
                <w:rFonts w:hint="eastAsia"/>
              </w:rPr>
              <w:t>1. 请按照农药安全使用准则使用本品。避免药液接触皮肤、眼睛和污染衣物，避免吸入雾滴。2. 配药及施药时，应戴防渗手套、面罩或护目镜和口罩，穿长袖衣、长裤、靴子等。切勿在施药现场抽烟、饮食等。施药后，彻底清洗防护用具，洗澡，并更换和清洗工作服。3.远离水产养殖区、河塘等水体施药；禁止在河塘等水体中清洗施药器具；赤眼蜂等天敌放飞区域禁用。4.应依照当地法律法规妥善处理农药空包装。使用过的空包装，请用清水冲洗三次后，带离田间，妥善处理；切勿重复使用或改作其它用途。所有施药器具，用后应立即用清水或适当的洗涤剂清洗。5.勿将药液或空包装弃于水中或在河塘中洗涤喷雾器械，避免影响鱼类和污染水源。6.未用完的制剂应放在原包装内密封保存，切勿将本品置于饮、食容器内。7.避免孕妇及哺乳期的妇女接触本品。8.避免药液飘移到邻近的禾本科作物田。</w:t>
            </w:r>
          </w:p>
        </w:tc>
      </w:tr>
      <w:tr w14:paraId="75658969">
        <w:tblPrEx>
          <w:tblCellMar>
            <w:top w:w="0" w:type="dxa"/>
            <w:left w:w="0" w:type="dxa"/>
            <w:bottom w:w="0" w:type="dxa"/>
            <w:right w:w="0" w:type="dxa"/>
          </w:tblCellMar>
        </w:tblPrEx>
        <w:trPr>
          <w:wBefore w:w="0" w:type="auto"/>
          <w:tblCellSpacing w:w="0" w:type="dxa"/>
        </w:trPr>
        <w:tc>
          <w:tcPr>
            <w:tcW w:w="0" w:type="auto"/>
            <w:noWrap w:val="0"/>
            <w:vAlign w:val="center"/>
          </w:tcPr>
          <w:p w14:paraId="0290C2D2">
            <w:r>
              <w:rPr>
                <w:rStyle w:val="10"/>
                <w:rFonts w:hint="eastAsia"/>
              </w:rPr>
              <w:t>中毒急救措施：</w:t>
            </w:r>
            <w:r>
              <w:rPr>
                <w:rFonts w:hint="eastAsia"/>
              </w:rPr>
              <w:br w:type="textWrapping"/>
            </w:r>
            <w:r>
              <w:rPr>
                <w:rStyle w:val="11"/>
                <w:rFonts w:hint="eastAsia"/>
              </w:rPr>
              <w:t xml:space="preserve">中毒症状：无典型中毒症状，一旦发生中毒，请对症治疗。 中毒急救： 1.用药时如果感觉不适，立即停止工作，采取急救措施，并携此标签送医就诊。 2.皮肤接触：立即脱掉被污染的衣物，用大量清水冲洗被污染的皮肤,如皮肤刺激感持续，请医生诊治。再次使用前需清洗被污染的衣物。 3.眼睛溅药：立即将眼睑翻开，用大量清水冲洗至少15分钟。取下隐形眼镜。需要立即就医。 4.发生吸入：将患者转移到空气新鲜处。如果呼吸不正常或停止，实施人工呼吸。注意患者保暖和休息。立即呼叫医生或毒物控制中心。 5.误服：如果误服，立即联系医生，并出示此容器或标签。请勿引吐。无特效解毒剂。 </w:t>
            </w:r>
          </w:p>
        </w:tc>
      </w:tr>
      <w:tr w14:paraId="282122F7">
        <w:tblPrEx>
          <w:tblCellMar>
            <w:top w:w="0" w:type="dxa"/>
            <w:left w:w="0" w:type="dxa"/>
            <w:bottom w:w="0" w:type="dxa"/>
            <w:right w:w="0" w:type="dxa"/>
          </w:tblCellMar>
        </w:tblPrEx>
        <w:trPr>
          <w:wBefore w:w="0" w:type="auto"/>
          <w:tblCellSpacing w:w="0" w:type="dxa"/>
        </w:trPr>
        <w:tc>
          <w:tcPr>
            <w:tcW w:w="0" w:type="auto"/>
            <w:noWrap w:val="0"/>
            <w:vAlign w:val="center"/>
          </w:tcPr>
          <w:p w14:paraId="3F7229E0">
            <w:r>
              <w:rPr>
                <w:rStyle w:val="10"/>
                <w:rFonts w:hint="eastAsia"/>
              </w:rPr>
              <w:t>储存和运输方法：</w:t>
            </w:r>
            <w:r>
              <w:rPr>
                <w:rFonts w:hint="eastAsia"/>
              </w:rPr>
              <w:br w:type="textWrapping"/>
            </w:r>
            <w:r>
              <w:rPr>
                <w:rStyle w:val="11"/>
                <w:rFonts w:hint="eastAsia"/>
              </w:rPr>
              <w:t>1．本品应密封贮存在干燥、阴凉、通风、防雨处，远离火源或热源。2．存放于儿童触及不到之处，并加锁。3．勿与食品、饮料、粮食、饲料等其他商品同贮同运。贮存或运输时堆层不得超过规定，注意轻拿轻放，以免损坏包装，导致产品泄漏。</w:t>
            </w:r>
          </w:p>
        </w:tc>
      </w:tr>
      <w:tr w14:paraId="6A452E3C">
        <w:tblPrEx>
          <w:tblCellMar>
            <w:top w:w="0" w:type="dxa"/>
            <w:left w:w="0" w:type="dxa"/>
            <w:bottom w:w="0" w:type="dxa"/>
            <w:right w:w="0" w:type="dxa"/>
          </w:tblCellMar>
        </w:tblPrEx>
        <w:trPr>
          <w:wBefore w:w="0" w:type="auto"/>
          <w:tblCellSpacing w:w="0" w:type="dxa"/>
        </w:trPr>
        <w:tc>
          <w:tcPr>
            <w:tcW w:w="0" w:type="auto"/>
            <w:noWrap w:val="0"/>
            <w:vAlign w:val="center"/>
          </w:tcPr>
          <w:p w14:paraId="7CCC8345">
            <w:r>
              <w:rPr>
                <w:rStyle w:val="10"/>
                <w:rFonts w:hint="eastAsia"/>
              </w:rPr>
              <w:t>质量保证期：</w:t>
            </w:r>
            <w:r>
              <w:rPr>
                <w:rStyle w:val="11"/>
                <w:rFonts w:hint="eastAsia"/>
              </w:rPr>
              <w:t>2年</w:t>
            </w:r>
          </w:p>
        </w:tc>
      </w:tr>
      <w:tr w14:paraId="1A4E3A49">
        <w:tblPrEx>
          <w:tblCellMar>
            <w:top w:w="0" w:type="dxa"/>
            <w:left w:w="0" w:type="dxa"/>
            <w:bottom w:w="0" w:type="dxa"/>
            <w:right w:w="0" w:type="dxa"/>
          </w:tblCellMar>
        </w:tblPrEx>
        <w:trPr>
          <w:wBefore w:w="0" w:type="auto"/>
          <w:tblCellSpacing w:w="0" w:type="dxa"/>
        </w:trPr>
        <w:tc>
          <w:tcPr>
            <w:tcW w:w="0" w:type="auto"/>
            <w:noWrap w:val="0"/>
            <w:vAlign w:val="center"/>
          </w:tcPr>
          <w:p w14:paraId="69C24E32">
            <w:r>
              <w:rPr>
                <w:rStyle w:val="10"/>
                <w:rFonts w:hint="eastAsia"/>
              </w:rPr>
              <w:t>备注：</w:t>
            </w:r>
          </w:p>
        </w:tc>
      </w:tr>
    </w:tbl>
    <w:p w14:paraId="59DF6AF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81DE5FC">
        <w:tblPrEx>
          <w:tblCellMar>
            <w:top w:w="0" w:type="dxa"/>
            <w:left w:w="0" w:type="dxa"/>
            <w:bottom w:w="0" w:type="dxa"/>
            <w:right w:w="0" w:type="dxa"/>
          </w:tblCellMar>
        </w:tblPrEx>
        <w:trPr>
          <w:wBefore w:w="0" w:type="auto"/>
          <w:tblCellSpacing w:w="0" w:type="dxa"/>
        </w:trPr>
        <w:tc>
          <w:tcPr>
            <w:tcW w:w="0" w:type="auto"/>
            <w:noWrap w:val="0"/>
            <w:vAlign w:val="center"/>
          </w:tcPr>
          <w:p w14:paraId="233AF5F6">
            <w:r>
              <w:rPr>
                <w:rStyle w:val="10"/>
                <w:rFonts w:hint="eastAsia"/>
              </w:rPr>
              <w:t>登记证号：</w:t>
            </w:r>
            <w:r>
              <w:rPr>
                <w:rFonts w:hint="eastAsia"/>
              </w:rPr>
              <w:t>PD20212145</w:t>
            </w:r>
          </w:p>
        </w:tc>
      </w:tr>
      <w:tr w14:paraId="741ED39D">
        <w:tblPrEx>
          <w:tblCellMar>
            <w:top w:w="0" w:type="dxa"/>
            <w:left w:w="0" w:type="dxa"/>
            <w:bottom w:w="0" w:type="dxa"/>
            <w:right w:w="0" w:type="dxa"/>
          </w:tblCellMar>
        </w:tblPrEx>
        <w:trPr>
          <w:wBefore w:w="0" w:type="auto"/>
          <w:tblCellSpacing w:w="0" w:type="dxa"/>
        </w:trPr>
        <w:tc>
          <w:tcPr>
            <w:tcW w:w="0" w:type="auto"/>
            <w:noWrap w:val="0"/>
            <w:vAlign w:val="center"/>
          </w:tcPr>
          <w:p w14:paraId="338F9C94">
            <w:r>
              <w:rPr>
                <w:rStyle w:val="10"/>
                <w:rFonts w:hint="eastAsia"/>
              </w:rPr>
              <w:t>登记证持有人：</w:t>
            </w:r>
            <w:r>
              <w:rPr>
                <w:rFonts w:hint="eastAsia"/>
              </w:rPr>
              <w:t>齐齐哈尔华丰化工有限公司</w:t>
            </w:r>
          </w:p>
        </w:tc>
      </w:tr>
      <w:tr w14:paraId="61448842">
        <w:tblPrEx>
          <w:tblCellMar>
            <w:top w:w="0" w:type="dxa"/>
            <w:left w:w="0" w:type="dxa"/>
            <w:bottom w:w="0" w:type="dxa"/>
            <w:right w:w="0" w:type="dxa"/>
          </w:tblCellMar>
        </w:tblPrEx>
        <w:trPr>
          <w:wBefore w:w="0" w:type="auto"/>
          <w:tblCellSpacing w:w="0" w:type="dxa"/>
        </w:trPr>
        <w:tc>
          <w:tcPr>
            <w:tcW w:w="0" w:type="auto"/>
            <w:noWrap w:val="0"/>
            <w:vAlign w:val="center"/>
          </w:tcPr>
          <w:p w14:paraId="73E5F97A">
            <w:r>
              <w:rPr>
                <w:rStyle w:val="10"/>
                <w:rFonts w:hint="eastAsia"/>
              </w:rPr>
              <w:t>农药名称：</w:t>
            </w:r>
            <w:r>
              <w:rPr>
                <w:rFonts w:hint="eastAsia"/>
              </w:rPr>
              <w:t>硝·烟·莠去津</w:t>
            </w:r>
          </w:p>
        </w:tc>
      </w:tr>
      <w:tr w14:paraId="080BBDEB">
        <w:tblPrEx>
          <w:tblCellMar>
            <w:top w:w="0" w:type="dxa"/>
            <w:left w:w="0" w:type="dxa"/>
            <w:bottom w:w="0" w:type="dxa"/>
            <w:right w:w="0" w:type="dxa"/>
          </w:tblCellMar>
        </w:tblPrEx>
        <w:trPr>
          <w:wBefore w:w="0" w:type="auto"/>
          <w:tblCellSpacing w:w="0" w:type="dxa"/>
        </w:trPr>
        <w:tc>
          <w:tcPr>
            <w:tcW w:w="0" w:type="auto"/>
            <w:noWrap w:val="0"/>
            <w:vAlign w:val="center"/>
          </w:tcPr>
          <w:p w14:paraId="26254362">
            <w:r>
              <w:rPr>
                <w:rStyle w:val="10"/>
                <w:rFonts w:hint="eastAsia"/>
              </w:rPr>
              <w:t>剂型：</w:t>
            </w:r>
            <w:r>
              <w:rPr>
                <w:rFonts w:hint="eastAsia"/>
              </w:rPr>
              <w:t>可分散油悬浮剂</w:t>
            </w:r>
          </w:p>
        </w:tc>
      </w:tr>
      <w:tr w14:paraId="5A7E9A27">
        <w:tblPrEx>
          <w:tblCellMar>
            <w:top w:w="0" w:type="dxa"/>
            <w:left w:w="0" w:type="dxa"/>
            <w:bottom w:w="0" w:type="dxa"/>
            <w:right w:w="0" w:type="dxa"/>
          </w:tblCellMar>
        </w:tblPrEx>
        <w:trPr>
          <w:wBefore w:w="0" w:type="auto"/>
          <w:tblCellSpacing w:w="0" w:type="dxa"/>
        </w:trPr>
        <w:tc>
          <w:tcPr>
            <w:tcW w:w="0" w:type="auto"/>
            <w:noWrap w:val="0"/>
            <w:vAlign w:val="center"/>
          </w:tcPr>
          <w:p w14:paraId="297CD865">
            <w:r>
              <w:rPr>
                <w:rStyle w:val="10"/>
                <w:rFonts w:hint="eastAsia"/>
              </w:rPr>
              <w:t>毒性及其标识：</w:t>
            </w:r>
            <w:r>
              <w:rPr>
                <w:rFonts w:hint="eastAsia"/>
              </w:rPr>
              <w:t xml:space="preserve"> </w:t>
            </w:r>
            <w:r>
              <w:rPr>
                <w:lang/>
              </w:rPr>
              <w:drawing>
                <wp:inline distT="0" distB="0" distL="114300" distR="114300">
                  <wp:extent cx="476250" cy="323850"/>
                  <wp:effectExtent l="0" t="0" r="0" b="0"/>
                  <wp:docPr id="221" name="图片 22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75CC4AB">
        <w:tblPrEx>
          <w:tblCellMar>
            <w:top w:w="0" w:type="dxa"/>
            <w:left w:w="0" w:type="dxa"/>
            <w:bottom w:w="0" w:type="dxa"/>
            <w:right w:w="0" w:type="dxa"/>
          </w:tblCellMar>
        </w:tblPrEx>
        <w:trPr>
          <w:wBefore w:w="0" w:type="auto"/>
          <w:tblCellSpacing w:w="0" w:type="dxa"/>
        </w:trPr>
        <w:tc>
          <w:tcPr>
            <w:tcW w:w="0" w:type="auto"/>
            <w:noWrap w:val="0"/>
            <w:vAlign w:val="center"/>
          </w:tcPr>
          <w:p w14:paraId="1E7707FC">
            <w:r>
              <w:rPr>
                <w:rStyle w:val="10"/>
                <w:rFonts w:hint="eastAsia"/>
              </w:rPr>
              <w:t>总有效成分含量：</w:t>
            </w:r>
            <w:r>
              <w:rPr>
                <w:rFonts w:hint="eastAsia"/>
              </w:rPr>
              <w:t>39%</w:t>
            </w:r>
          </w:p>
        </w:tc>
      </w:tr>
      <w:tr w14:paraId="01F9B564">
        <w:tblPrEx>
          <w:tblCellMar>
            <w:top w:w="0" w:type="dxa"/>
            <w:left w:w="0" w:type="dxa"/>
            <w:bottom w:w="0" w:type="dxa"/>
            <w:right w:w="0" w:type="dxa"/>
          </w:tblCellMar>
        </w:tblPrEx>
        <w:trPr>
          <w:wBefore w:w="0" w:type="auto"/>
          <w:tblCellSpacing w:w="0" w:type="dxa"/>
        </w:trPr>
        <w:tc>
          <w:tcPr>
            <w:tcW w:w="0" w:type="auto"/>
            <w:noWrap w:val="0"/>
            <w:vAlign w:val="center"/>
          </w:tcPr>
          <w:p w14:paraId="65B2A08C">
            <w:r>
              <w:rPr>
                <w:rFonts w:hint="eastAsia"/>
              </w:rPr>
              <w:t xml:space="preserve">有效成分及其含量： </w:t>
            </w:r>
          </w:p>
          <w:p w14:paraId="12842C06">
            <w:r>
              <w:rPr>
                <w:rFonts w:hint="eastAsia"/>
              </w:rPr>
              <w:t xml:space="preserve">    硝磺草酮7.7%    烟嘧磺隆3.5%    莠去津27.8%    </w:t>
            </w:r>
          </w:p>
        </w:tc>
      </w:tr>
      <w:tr w14:paraId="0057114E">
        <w:tblPrEx>
          <w:tblCellMar>
            <w:top w:w="0" w:type="dxa"/>
            <w:left w:w="0" w:type="dxa"/>
            <w:bottom w:w="0" w:type="dxa"/>
            <w:right w:w="0" w:type="dxa"/>
          </w:tblCellMar>
        </w:tblPrEx>
        <w:trPr>
          <w:wBefore w:w="0" w:type="auto"/>
          <w:tblCellSpacing w:w="0" w:type="dxa"/>
        </w:trPr>
        <w:tc>
          <w:tcPr>
            <w:tcW w:w="0" w:type="auto"/>
            <w:noWrap w:val="0"/>
            <w:vAlign w:val="center"/>
          </w:tcPr>
          <w:p w14:paraId="76001E2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7FD53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8294DA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662DAC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BAE7D5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4541383">
                  <w:r>
                    <w:rPr>
                      <w:rStyle w:val="11"/>
                      <w:rFonts w:hint="eastAsia"/>
                    </w:rPr>
                    <w:t>施用方式</w:t>
                  </w:r>
                </w:p>
              </w:tc>
            </w:tr>
            <w:tr w14:paraId="175805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0AE3F72">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589717">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3D896B">
                  <w:r>
                    <w:rPr>
                      <w:rStyle w:val="11"/>
                      <w:rFonts w:hint="eastAsia"/>
                    </w:rPr>
                    <w:t>100-120毫升/亩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91CB97">
                  <w:r>
                    <w:rPr>
                      <w:rStyle w:val="11"/>
                      <w:rFonts w:hint="eastAsia"/>
                    </w:rPr>
                    <w:t>茎叶喷雾</w:t>
                  </w:r>
                </w:p>
              </w:tc>
            </w:tr>
          </w:tbl>
          <w:p w14:paraId="6DC2ECA8">
            <w:pPr>
              <w:rPr>
                <w:rFonts w:ascii="Times New Roman" w:hAnsi="Times New Roman" w:cs="Times New Roman"/>
                <w:sz w:val="20"/>
                <w:szCs w:val="20"/>
              </w:rPr>
            </w:pPr>
          </w:p>
        </w:tc>
      </w:tr>
      <w:tr w14:paraId="338B3392">
        <w:tblPrEx>
          <w:tblCellMar>
            <w:top w:w="0" w:type="dxa"/>
            <w:left w:w="0" w:type="dxa"/>
            <w:bottom w:w="0" w:type="dxa"/>
            <w:right w:w="0" w:type="dxa"/>
          </w:tblCellMar>
        </w:tblPrEx>
        <w:trPr>
          <w:wBefore w:w="0" w:type="auto"/>
          <w:tblCellSpacing w:w="0" w:type="dxa"/>
        </w:trPr>
        <w:tc>
          <w:tcPr>
            <w:tcW w:w="0" w:type="auto"/>
            <w:noWrap w:val="0"/>
            <w:vAlign w:val="center"/>
          </w:tcPr>
          <w:p w14:paraId="23EF288B">
            <w:r>
              <w:rPr>
                <w:rStyle w:val="10"/>
                <w:rFonts w:hint="eastAsia"/>
              </w:rPr>
              <w:t>使用技术要求:</w:t>
            </w:r>
            <w:r>
              <w:rPr>
                <w:rFonts w:hint="eastAsia"/>
              </w:rPr>
              <w:br w:type="textWrapping"/>
            </w:r>
            <w:r>
              <w:rPr>
                <w:rStyle w:val="11"/>
                <w:rFonts w:hint="eastAsia"/>
              </w:rPr>
              <w:t>1.应于玉米3-5叶期、杂草2-5叶期茎叶喷雾施药一次。亩用药量兑水20-30升。2.选无风晴天上午或傍晚施药，大风天及遇雨请勿施药。3.在春玉米田每季作物最多使用1次。</w:t>
            </w:r>
          </w:p>
        </w:tc>
      </w:tr>
      <w:tr w14:paraId="416FB78D">
        <w:tblPrEx>
          <w:tblCellMar>
            <w:top w:w="0" w:type="dxa"/>
            <w:left w:w="0" w:type="dxa"/>
            <w:bottom w:w="0" w:type="dxa"/>
            <w:right w:w="0" w:type="dxa"/>
          </w:tblCellMar>
        </w:tblPrEx>
        <w:trPr>
          <w:wBefore w:w="0" w:type="auto"/>
          <w:tblCellSpacing w:w="0" w:type="dxa"/>
        </w:trPr>
        <w:tc>
          <w:tcPr>
            <w:tcW w:w="0" w:type="auto"/>
            <w:noWrap w:val="0"/>
            <w:vAlign w:val="center"/>
          </w:tcPr>
          <w:p w14:paraId="052E1D9E">
            <w:r>
              <w:rPr>
                <w:rStyle w:val="10"/>
                <w:rFonts w:hint="eastAsia"/>
              </w:rPr>
              <w:t>产品性能:</w:t>
            </w:r>
            <w:r>
              <w:rPr>
                <w:rFonts w:hint="eastAsia"/>
              </w:rPr>
              <w:br w:type="textWrapping"/>
            </w:r>
            <w:r>
              <w:rPr>
                <w:rStyle w:val="11"/>
                <w:rFonts w:hint="eastAsia"/>
              </w:rPr>
              <w:t>本品为玉米田苗后茎叶处理除草剂，由三种不同作用机制的除草剂混配而成。三者混配能有效防除春玉米田一年生杂草，如稗草、狗尾草、马唐、牛筋草、鸭趾草、苘麻、野黍、看麦娘、马齿苋、藜、铁苋菜、自生麦苗等多种杂草。</w:t>
            </w:r>
          </w:p>
        </w:tc>
      </w:tr>
      <w:tr w14:paraId="680A33B3">
        <w:tblPrEx>
          <w:tblCellMar>
            <w:top w:w="0" w:type="dxa"/>
            <w:left w:w="0" w:type="dxa"/>
            <w:bottom w:w="0" w:type="dxa"/>
            <w:right w:w="0" w:type="dxa"/>
          </w:tblCellMar>
        </w:tblPrEx>
        <w:trPr>
          <w:wBefore w:w="0" w:type="auto"/>
          <w:tblCellSpacing w:w="0" w:type="dxa"/>
        </w:trPr>
        <w:tc>
          <w:tcPr>
            <w:tcW w:w="0" w:type="auto"/>
            <w:noWrap w:val="0"/>
            <w:vAlign w:val="center"/>
          </w:tcPr>
          <w:p w14:paraId="123A5AC2">
            <w:r>
              <w:rPr>
                <w:rStyle w:val="10"/>
                <w:rFonts w:hint="eastAsia"/>
              </w:rPr>
              <w:t>注意事项：</w:t>
            </w:r>
            <w:r>
              <w:rPr>
                <w:rFonts w:hint="eastAsia"/>
              </w:rPr>
              <w:br w:type="textWrapping"/>
            </w:r>
            <w:r>
              <w:rPr>
                <w:rStyle w:val="11"/>
                <w:rFonts w:hint="eastAsia"/>
              </w:rPr>
              <w:t>1. 施药时应避免药液漂移到邻近作物上，以免产生药害。2.甜玉米、爆裂玉米、糯玉米、制种玉米、玉米自交系品种较敏感，易产生药害。初次使用时应当先进行试验。新玉米品种，应当经试验确认安全后，方可使用。3.遇特殊条件，如高温干旱、低温、玉米生长弱小时，请慎用。4.施药时应采取相应的防护措施，穿靴子、长袖衣和长裤，戴防护手套、口罩和护目镜等，避免皮肤、眼睛接触及口鼻吸入。施药时不可吸烟、吃东西和饮水，施药后应及时洗手洗脸等暴露部位皮肤并更换衣物。5.水产养殖区、河塘等水体附近禁用，禁止在河塘等水域清洗施药器具。6.瓢虫等天敌放飞区域禁用；鸟类保护区附近禁用。7.地下水饮用水水源地禁用。8.用过的容器或包装物应妥善处理，不可做他用，也不可随意丢弃。9.禁止儿童、孕妇和哺乳期妇女接触。过敏者禁用，使用中有任何不良反应请及时就医。</w:t>
            </w:r>
          </w:p>
        </w:tc>
      </w:tr>
      <w:tr w14:paraId="2073E830">
        <w:tblPrEx>
          <w:tblCellMar>
            <w:top w:w="0" w:type="dxa"/>
            <w:left w:w="0" w:type="dxa"/>
            <w:bottom w:w="0" w:type="dxa"/>
            <w:right w:w="0" w:type="dxa"/>
          </w:tblCellMar>
        </w:tblPrEx>
        <w:trPr>
          <w:wBefore w:w="0" w:type="auto"/>
          <w:tblCellSpacing w:w="0" w:type="dxa"/>
        </w:trPr>
        <w:tc>
          <w:tcPr>
            <w:tcW w:w="0" w:type="auto"/>
            <w:noWrap w:val="0"/>
            <w:vAlign w:val="center"/>
          </w:tcPr>
          <w:p w14:paraId="08937D50">
            <w:r>
              <w:rPr>
                <w:rStyle w:val="10"/>
                <w:rFonts w:hint="eastAsia"/>
              </w:rPr>
              <w:t>中毒急救措施：</w:t>
            </w:r>
            <w:r>
              <w:rPr>
                <w:rFonts w:hint="eastAsia"/>
              </w:rPr>
              <w:br w:type="textWrapping"/>
            </w:r>
            <w:r>
              <w:rPr>
                <w:rStyle w:val="11"/>
                <w:rFonts w:hint="eastAsia"/>
              </w:rPr>
              <w:t>本品对眼睛有刺激性。1.皮肤接触：立即脱掉被污染的衣物，用肥皂和大量清水彻底清洗受污染的皮肤。2.眼睛溅药：立即将眼睑翻开，用清水冲洗至少15分钟。3.发生吸入：立即将吸入者转移到空气新鲜处。注意保暖和休息，请医生诊治。 4.误服：请勿引吐，立即携带标签，送医就诊。</w:t>
            </w:r>
          </w:p>
        </w:tc>
      </w:tr>
      <w:tr w14:paraId="20E58438">
        <w:tblPrEx>
          <w:tblCellMar>
            <w:top w:w="0" w:type="dxa"/>
            <w:left w:w="0" w:type="dxa"/>
            <w:bottom w:w="0" w:type="dxa"/>
            <w:right w:w="0" w:type="dxa"/>
          </w:tblCellMar>
        </w:tblPrEx>
        <w:trPr>
          <w:wBefore w:w="0" w:type="auto"/>
          <w:tblCellSpacing w:w="0" w:type="dxa"/>
        </w:trPr>
        <w:tc>
          <w:tcPr>
            <w:tcW w:w="0" w:type="auto"/>
            <w:noWrap w:val="0"/>
            <w:vAlign w:val="center"/>
          </w:tcPr>
          <w:p w14:paraId="25151A39">
            <w:r>
              <w:rPr>
                <w:rStyle w:val="10"/>
                <w:rFonts w:hint="eastAsia"/>
              </w:rPr>
              <w:t>储存和运输方法：</w:t>
            </w:r>
            <w:r>
              <w:rPr>
                <w:rFonts w:hint="eastAsia"/>
              </w:rPr>
              <w:br w:type="textWrapping"/>
            </w:r>
            <w:r>
              <w:rPr>
                <w:rStyle w:val="11"/>
                <w:rFonts w:hint="eastAsia"/>
              </w:rPr>
              <w:t>1.本品应贮存在干燥、阴凉、通风、防雨处，远离火源或热源。2.置于儿童触及不到之处，并加锁。3.勿与食品、饮料、饲料、粮食等同贮同运。</w:t>
            </w:r>
          </w:p>
        </w:tc>
      </w:tr>
      <w:tr w14:paraId="043B5A3B">
        <w:tblPrEx>
          <w:tblCellMar>
            <w:top w:w="0" w:type="dxa"/>
            <w:left w:w="0" w:type="dxa"/>
            <w:bottom w:w="0" w:type="dxa"/>
            <w:right w:w="0" w:type="dxa"/>
          </w:tblCellMar>
        </w:tblPrEx>
        <w:trPr>
          <w:wBefore w:w="0" w:type="auto"/>
          <w:tblCellSpacing w:w="0" w:type="dxa"/>
        </w:trPr>
        <w:tc>
          <w:tcPr>
            <w:tcW w:w="0" w:type="auto"/>
            <w:noWrap w:val="0"/>
            <w:vAlign w:val="center"/>
          </w:tcPr>
          <w:p w14:paraId="0A41690B">
            <w:r>
              <w:rPr>
                <w:rStyle w:val="10"/>
                <w:rFonts w:hint="eastAsia"/>
              </w:rPr>
              <w:t>质量保证期：</w:t>
            </w:r>
            <w:r>
              <w:rPr>
                <w:rStyle w:val="11"/>
                <w:rFonts w:hint="eastAsia"/>
              </w:rPr>
              <w:t>2年</w:t>
            </w:r>
          </w:p>
        </w:tc>
      </w:tr>
      <w:tr w14:paraId="7B3A0A87">
        <w:tblPrEx>
          <w:tblCellMar>
            <w:top w:w="0" w:type="dxa"/>
            <w:left w:w="0" w:type="dxa"/>
            <w:bottom w:w="0" w:type="dxa"/>
            <w:right w:w="0" w:type="dxa"/>
          </w:tblCellMar>
        </w:tblPrEx>
        <w:trPr>
          <w:wBefore w:w="0" w:type="auto"/>
          <w:tblCellSpacing w:w="0" w:type="dxa"/>
        </w:trPr>
        <w:tc>
          <w:tcPr>
            <w:tcW w:w="0" w:type="auto"/>
            <w:noWrap w:val="0"/>
            <w:vAlign w:val="center"/>
          </w:tcPr>
          <w:p w14:paraId="615A04E0">
            <w:r>
              <w:rPr>
                <w:rStyle w:val="10"/>
                <w:rFonts w:hint="eastAsia"/>
              </w:rPr>
              <w:t>备注：</w:t>
            </w:r>
          </w:p>
        </w:tc>
      </w:tr>
    </w:tbl>
    <w:p w14:paraId="00DC8E8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D938423">
        <w:tblPrEx>
          <w:tblCellMar>
            <w:top w:w="0" w:type="dxa"/>
            <w:left w:w="0" w:type="dxa"/>
            <w:bottom w:w="0" w:type="dxa"/>
            <w:right w:w="0" w:type="dxa"/>
          </w:tblCellMar>
        </w:tblPrEx>
        <w:trPr>
          <w:wBefore w:w="0" w:type="auto"/>
          <w:tblCellSpacing w:w="0" w:type="dxa"/>
        </w:trPr>
        <w:tc>
          <w:tcPr>
            <w:tcW w:w="0" w:type="auto"/>
            <w:noWrap w:val="0"/>
            <w:vAlign w:val="center"/>
          </w:tcPr>
          <w:p w14:paraId="77D704CB">
            <w:r>
              <w:rPr>
                <w:rStyle w:val="10"/>
                <w:rFonts w:hint="eastAsia"/>
              </w:rPr>
              <w:t>登记证号：</w:t>
            </w:r>
            <w:r>
              <w:rPr>
                <w:rFonts w:hint="eastAsia"/>
              </w:rPr>
              <w:t>PD20212169</w:t>
            </w:r>
          </w:p>
        </w:tc>
      </w:tr>
      <w:tr w14:paraId="3DEFF364">
        <w:tblPrEx>
          <w:tblCellMar>
            <w:top w:w="0" w:type="dxa"/>
            <w:left w:w="0" w:type="dxa"/>
            <w:bottom w:w="0" w:type="dxa"/>
            <w:right w:w="0" w:type="dxa"/>
          </w:tblCellMar>
        </w:tblPrEx>
        <w:trPr>
          <w:wBefore w:w="0" w:type="auto"/>
          <w:tblCellSpacing w:w="0" w:type="dxa"/>
        </w:trPr>
        <w:tc>
          <w:tcPr>
            <w:tcW w:w="0" w:type="auto"/>
            <w:noWrap w:val="0"/>
            <w:vAlign w:val="center"/>
          </w:tcPr>
          <w:p w14:paraId="1FCAAF9A">
            <w:r>
              <w:rPr>
                <w:rStyle w:val="10"/>
                <w:rFonts w:hint="eastAsia"/>
              </w:rPr>
              <w:t>登记证持有人：</w:t>
            </w:r>
            <w:r>
              <w:rPr>
                <w:rFonts w:hint="eastAsia"/>
              </w:rPr>
              <w:t>黑龙江双盈生物科技有限公司</w:t>
            </w:r>
          </w:p>
        </w:tc>
      </w:tr>
      <w:tr w14:paraId="1AF91FE5">
        <w:tblPrEx>
          <w:tblCellMar>
            <w:top w:w="0" w:type="dxa"/>
            <w:left w:w="0" w:type="dxa"/>
            <w:bottom w:w="0" w:type="dxa"/>
            <w:right w:w="0" w:type="dxa"/>
          </w:tblCellMar>
        </w:tblPrEx>
        <w:trPr>
          <w:wBefore w:w="0" w:type="auto"/>
          <w:tblCellSpacing w:w="0" w:type="dxa"/>
        </w:trPr>
        <w:tc>
          <w:tcPr>
            <w:tcW w:w="0" w:type="auto"/>
            <w:noWrap w:val="0"/>
            <w:vAlign w:val="center"/>
          </w:tcPr>
          <w:p w14:paraId="65A7381F">
            <w:r>
              <w:rPr>
                <w:rStyle w:val="10"/>
                <w:rFonts w:hint="eastAsia"/>
              </w:rPr>
              <w:t>农药名称：</w:t>
            </w:r>
            <w:r>
              <w:rPr>
                <w:rFonts w:hint="eastAsia"/>
              </w:rPr>
              <w:t>西草净</w:t>
            </w:r>
          </w:p>
        </w:tc>
      </w:tr>
      <w:tr w14:paraId="0ECD4B3D">
        <w:tblPrEx>
          <w:tblCellMar>
            <w:top w:w="0" w:type="dxa"/>
            <w:left w:w="0" w:type="dxa"/>
            <w:bottom w:w="0" w:type="dxa"/>
            <w:right w:w="0" w:type="dxa"/>
          </w:tblCellMar>
        </w:tblPrEx>
        <w:trPr>
          <w:wBefore w:w="0" w:type="auto"/>
          <w:tblCellSpacing w:w="0" w:type="dxa"/>
        </w:trPr>
        <w:tc>
          <w:tcPr>
            <w:tcW w:w="0" w:type="auto"/>
            <w:noWrap w:val="0"/>
            <w:vAlign w:val="center"/>
          </w:tcPr>
          <w:p w14:paraId="0D68B7AD">
            <w:r>
              <w:rPr>
                <w:rStyle w:val="10"/>
                <w:rFonts w:hint="eastAsia"/>
              </w:rPr>
              <w:t>剂型：</w:t>
            </w:r>
            <w:r>
              <w:rPr>
                <w:rFonts w:hint="eastAsia"/>
              </w:rPr>
              <w:t>乳油</w:t>
            </w:r>
          </w:p>
        </w:tc>
      </w:tr>
      <w:tr w14:paraId="1561884A">
        <w:tblPrEx>
          <w:tblCellMar>
            <w:top w:w="0" w:type="dxa"/>
            <w:left w:w="0" w:type="dxa"/>
            <w:bottom w:w="0" w:type="dxa"/>
            <w:right w:w="0" w:type="dxa"/>
          </w:tblCellMar>
        </w:tblPrEx>
        <w:trPr>
          <w:wBefore w:w="0" w:type="auto"/>
          <w:tblCellSpacing w:w="0" w:type="dxa"/>
        </w:trPr>
        <w:tc>
          <w:tcPr>
            <w:tcW w:w="0" w:type="auto"/>
            <w:noWrap w:val="0"/>
            <w:vAlign w:val="center"/>
          </w:tcPr>
          <w:p w14:paraId="48ADA7D8">
            <w:r>
              <w:rPr>
                <w:rStyle w:val="10"/>
                <w:rFonts w:hint="eastAsia"/>
              </w:rPr>
              <w:t>毒性及其标识：</w:t>
            </w:r>
            <w:r>
              <w:rPr>
                <w:rFonts w:hint="eastAsia"/>
              </w:rPr>
              <w:t xml:space="preserve"> </w:t>
            </w:r>
            <w:r>
              <w:rPr>
                <w:lang/>
              </w:rPr>
              <w:drawing>
                <wp:inline distT="0" distB="0" distL="114300" distR="114300">
                  <wp:extent cx="476250" cy="323850"/>
                  <wp:effectExtent l="0" t="0" r="0" b="0"/>
                  <wp:docPr id="222" name="图片 22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8F36326">
        <w:tblPrEx>
          <w:tblCellMar>
            <w:top w:w="0" w:type="dxa"/>
            <w:left w:w="0" w:type="dxa"/>
            <w:bottom w:w="0" w:type="dxa"/>
            <w:right w:w="0" w:type="dxa"/>
          </w:tblCellMar>
        </w:tblPrEx>
        <w:trPr>
          <w:wBefore w:w="0" w:type="auto"/>
          <w:tblCellSpacing w:w="0" w:type="dxa"/>
        </w:trPr>
        <w:tc>
          <w:tcPr>
            <w:tcW w:w="0" w:type="auto"/>
            <w:noWrap w:val="0"/>
            <w:vAlign w:val="center"/>
          </w:tcPr>
          <w:p w14:paraId="5C61F0E5">
            <w:r>
              <w:rPr>
                <w:rStyle w:val="10"/>
                <w:rFonts w:hint="eastAsia"/>
              </w:rPr>
              <w:t>总有效成分含量：</w:t>
            </w:r>
            <w:r>
              <w:rPr>
                <w:rFonts w:hint="eastAsia"/>
              </w:rPr>
              <w:t>18%</w:t>
            </w:r>
          </w:p>
        </w:tc>
      </w:tr>
      <w:tr w14:paraId="59EDEF43">
        <w:tblPrEx>
          <w:tblCellMar>
            <w:top w:w="0" w:type="dxa"/>
            <w:left w:w="0" w:type="dxa"/>
            <w:bottom w:w="0" w:type="dxa"/>
            <w:right w:w="0" w:type="dxa"/>
          </w:tblCellMar>
        </w:tblPrEx>
        <w:trPr>
          <w:wBefore w:w="0" w:type="auto"/>
          <w:tblCellSpacing w:w="0" w:type="dxa"/>
        </w:trPr>
        <w:tc>
          <w:tcPr>
            <w:tcW w:w="0" w:type="auto"/>
            <w:noWrap w:val="0"/>
            <w:vAlign w:val="center"/>
          </w:tcPr>
          <w:p w14:paraId="39F17667">
            <w:r>
              <w:rPr>
                <w:rFonts w:hint="eastAsia"/>
              </w:rPr>
              <w:t xml:space="preserve">有效成分及其含量： </w:t>
            </w:r>
          </w:p>
          <w:p w14:paraId="2FF9917D">
            <w:r>
              <w:rPr>
                <w:rFonts w:hint="eastAsia"/>
              </w:rPr>
              <w:t xml:space="preserve">    西草净18%    </w:t>
            </w:r>
          </w:p>
        </w:tc>
      </w:tr>
      <w:tr w14:paraId="46FEE65C">
        <w:tblPrEx>
          <w:tblCellMar>
            <w:top w:w="0" w:type="dxa"/>
            <w:left w:w="0" w:type="dxa"/>
            <w:bottom w:w="0" w:type="dxa"/>
            <w:right w:w="0" w:type="dxa"/>
          </w:tblCellMar>
        </w:tblPrEx>
        <w:trPr>
          <w:wBefore w:w="0" w:type="auto"/>
          <w:tblCellSpacing w:w="0" w:type="dxa"/>
        </w:trPr>
        <w:tc>
          <w:tcPr>
            <w:tcW w:w="0" w:type="auto"/>
            <w:noWrap w:val="0"/>
            <w:vAlign w:val="center"/>
          </w:tcPr>
          <w:p w14:paraId="39CF601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272A9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075B3E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8245C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D58A60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00BFE6">
                  <w:r>
                    <w:rPr>
                      <w:rStyle w:val="11"/>
                      <w:rFonts w:hint="eastAsia"/>
                    </w:rPr>
                    <w:t>施用方式</w:t>
                  </w:r>
                </w:p>
              </w:tc>
            </w:tr>
            <w:tr w14:paraId="106123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A4254A2">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F7C1E6">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3B2E00">
                  <w:r>
                    <w:rPr>
                      <w:rStyle w:val="11"/>
                      <w:rFonts w:hint="eastAsia"/>
                    </w:rPr>
                    <w:t>100-140毫升/亩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4FC916">
                  <w:r>
                    <w:rPr>
                      <w:rStyle w:val="11"/>
                      <w:rFonts w:hint="eastAsia"/>
                    </w:rPr>
                    <w:t>药土法</w:t>
                  </w:r>
                </w:p>
              </w:tc>
            </w:tr>
          </w:tbl>
          <w:p w14:paraId="24A4A732">
            <w:pPr>
              <w:rPr>
                <w:rFonts w:ascii="Times New Roman" w:hAnsi="Times New Roman" w:cs="Times New Roman"/>
                <w:sz w:val="20"/>
                <w:szCs w:val="20"/>
              </w:rPr>
            </w:pPr>
          </w:p>
        </w:tc>
      </w:tr>
      <w:tr w14:paraId="3432368B">
        <w:tblPrEx>
          <w:tblCellMar>
            <w:top w:w="0" w:type="dxa"/>
            <w:left w:w="0" w:type="dxa"/>
            <w:bottom w:w="0" w:type="dxa"/>
            <w:right w:w="0" w:type="dxa"/>
          </w:tblCellMar>
        </w:tblPrEx>
        <w:trPr>
          <w:wBefore w:w="0" w:type="auto"/>
          <w:tblCellSpacing w:w="0" w:type="dxa"/>
        </w:trPr>
        <w:tc>
          <w:tcPr>
            <w:tcW w:w="0" w:type="auto"/>
            <w:noWrap w:val="0"/>
            <w:vAlign w:val="center"/>
          </w:tcPr>
          <w:p w14:paraId="3DF92109">
            <w:r>
              <w:rPr>
                <w:rStyle w:val="10"/>
                <w:rFonts w:hint="eastAsia"/>
              </w:rPr>
              <w:t>使用技术要求:</w:t>
            </w:r>
            <w:r>
              <w:rPr>
                <w:rFonts w:hint="eastAsia"/>
              </w:rPr>
              <w:br w:type="textWrapping"/>
            </w:r>
            <w:r>
              <w:rPr>
                <w:rStyle w:val="11"/>
                <w:rFonts w:hint="eastAsia"/>
              </w:rPr>
              <w:t>1. 在水稻移栽后约15-20天，施药时保持3-5cm浅水层，以推荐剂量混药土均匀撒施一次。2.根据杂草基数、种类，选择合适的用药剂量，勿超剂量使用。田间以稗草及阔叶草为主，施药应适当提早，于秧苗返青后施药。施药过早、苗小苗弱或者施药期间高温均易造成药害。田间温度超过30℃勿用药。 3.水层勿淹没水稻心叶避免药害。 4. 大风天或预计1小时内降雨，请勿施药。5.本品每季最多使用1次。6.水层勿淹没水稻心叶避免药害；施药过早、苗小苗弱或者施药期间高温均易造成药害。</w:t>
            </w:r>
          </w:p>
        </w:tc>
      </w:tr>
      <w:tr w14:paraId="54B80458">
        <w:tblPrEx>
          <w:tblCellMar>
            <w:top w:w="0" w:type="dxa"/>
            <w:left w:w="0" w:type="dxa"/>
            <w:bottom w:w="0" w:type="dxa"/>
            <w:right w:w="0" w:type="dxa"/>
          </w:tblCellMar>
        </w:tblPrEx>
        <w:trPr>
          <w:wBefore w:w="0" w:type="auto"/>
          <w:tblCellSpacing w:w="0" w:type="dxa"/>
        </w:trPr>
        <w:tc>
          <w:tcPr>
            <w:tcW w:w="0" w:type="auto"/>
            <w:noWrap w:val="0"/>
            <w:vAlign w:val="center"/>
          </w:tcPr>
          <w:p w14:paraId="706FECD7">
            <w:r>
              <w:rPr>
                <w:rStyle w:val="10"/>
                <w:rFonts w:hint="eastAsia"/>
              </w:rPr>
              <w:t>产品性能:</w:t>
            </w:r>
            <w:r>
              <w:rPr>
                <w:rFonts w:hint="eastAsia"/>
              </w:rPr>
              <w:br w:type="textWrapping"/>
            </w:r>
            <w:r>
              <w:rPr>
                <w:rStyle w:val="11"/>
                <w:rFonts w:hint="eastAsia"/>
              </w:rPr>
              <w:t>本品是内吸传导型均三氮苯类除草剂，主要通过植物根系吸收传导到全株，抑制植物的光合作用，阻碍糖类的合成和淀粉的积累，使之因生理饥饿而死亡，能有效防除移栽水稻田一年生阔叶杂草。</w:t>
            </w:r>
          </w:p>
        </w:tc>
      </w:tr>
      <w:tr w14:paraId="7B52A00D">
        <w:tblPrEx>
          <w:tblCellMar>
            <w:top w:w="0" w:type="dxa"/>
            <w:left w:w="0" w:type="dxa"/>
            <w:bottom w:w="0" w:type="dxa"/>
            <w:right w:w="0" w:type="dxa"/>
          </w:tblCellMar>
        </w:tblPrEx>
        <w:trPr>
          <w:wBefore w:w="0" w:type="auto"/>
          <w:tblCellSpacing w:w="0" w:type="dxa"/>
        </w:trPr>
        <w:tc>
          <w:tcPr>
            <w:tcW w:w="0" w:type="auto"/>
            <w:noWrap w:val="0"/>
            <w:vAlign w:val="center"/>
          </w:tcPr>
          <w:p w14:paraId="7292C48A">
            <w:r>
              <w:rPr>
                <w:rStyle w:val="10"/>
                <w:rFonts w:hint="eastAsia"/>
              </w:rPr>
              <w:t>注意事项：</w:t>
            </w:r>
            <w:r>
              <w:rPr>
                <w:rFonts w:hint="eastAsia"/>
              </w:rPr>
              <w:br w:type="textWrapping"/>
            </w:r>
            <w:r>
              <w:rPr>
                <w:rStyle w:val="11"/>
                <w:rFonts w:hint="eastAsia"/>
              </w:rPr>
              <w:t>1、应用本品要求地平整土壤质地pH对安全性影响较大 ，有机质含量少的砂质土，低洼排水不良地及重碱或强酸性土使用，易发生药害，不能使用。 4、使用时应穿长衣长裤、靴子，戴帽子、护目镜、口罩、手套等防护用具；施药期间不可吃东西、饮水、吸烟等；施药后应及时洗手、洗脸并洗涤施药时穿着的衣物。 5、远离水产养殖区、河塘等水体施药，鱼或虾蟹套养稻田禁用。施药后的田水不得直接排入水体。禁止在河塘等水体中清洗施药器具。 6、孕妇和哺乳期妇女避免接触。 7、用过的容器应妥善处理，不可做他用，也不可随意丢弃。8、本品为易燃液体。</w:t>
            </w:r>
          </w:p>
        </w:tc>
      </w:tr>
      <w:tr w14:paraId="7498CF99">
        <w:tblPrEx>
          <w:tblCellMar>
            <w:top w:w="0" w:type="dxa"/>
            <w:left w:w="0" w:type="dxa"/>
            <w:bottom w:w="0" w:type="dxa"/>
            <w:right w:w="0" w:type="dxa"/>
          </w:tblCellMar>
        </w:tblPrEx>
        <w:trPr>
          <w:wBefore w:w="0" w:type="auto"/>
          <w:tblCellSpacing w:w="0" w:type="dxa"/>
        </w:trPr>
        <w:tc>
          <w:tcPr>
            <w:tcW w:w="0" w:type="auto"/>
            <w:noWrap w:val="0"/>
            <w:vAlign w:val="center"/>
          </w:tcPr>
          <w:p w14:paraId="0BFC464B">
            <w:r>
              <w:rPr>
                <w:rStyle w:val="10"/>
                <w:rFonts w:hint="eastAsia"/>
              </w:rPr>
              <w:t>中毒急救措施：</w:t>
            </w:r>
            <w:r>
              <w:rPr>
                <w:rFonts w:hint="eastAsia"/>
              </w:rPr>
              <w:br w:type="textWrapping"/>
            </w:r>
            <w:r>
              <w:rPr>
                <w:rStyle w:val="11"/>
                <w:rFonts w:hint="eastAsia"/>
              </w:rPr>
              <w:t>对眼睛和皮肤有刺激性，使用时避免接触眼睛和皮肤。 1.皮肤接触：立即脱掉被污染的衣物，用肥皂和大量清水彻底清洗受污染的皮肤。 2.眼睛溅药：立即将眼睑翻开，用清水冲洗10-15分钟，再请医生诊治。 3.不慎吸入：立即将吸入者转移到空气新鲜处，请医生诊治。 4.若误服，对症治疗，并送医院就诊。解毒剂：无专用解毒剂。</w:t>
            </w:r>
          </w:p>
        </w:tc>
      </w:tr>
      <w:tr w14:paraId="4E5553AE">
        <w:tblPrEx>
          <w:tblCellMar>
            <w:top w:w="0" w:type="dxa"/>
            <w:left w:w="0" w:type="dxa"/>
            <w:bottom w:w="0" w:type="dxa"/>
            <w:right w:w="0" w:type="dxa"/>
          </w:tblCellMar>
        </w:tblPrEx>
        <w:trPr>
          <w:wBefore w:w="0" w:type="auto"/>
          <w:tblCellSpacing w:w="0" w:type="dxa"/>
        </w:trPr>
        <w:tc>
          <w:tcPr>
            <w:tcW w:w="0" w:type="auto"/>
            <w:noWrap w:val="0"/>
            <w:vAlign w:val="center"/>
          </w:tcPr>
          <w:p w14:paraId="0C94C81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本品应贮存在干燥、阴凉、通风、防雨处，远离火源或热源。置于儿童、无关人员及动物触及不到之处，并加锁保存。勿与食品、粮食、饮料、饲料等同贮同运。</w:t>
            </w:r>
          </w:p>
        </w:tc>
      </w:tr>
      <w:tr w14:paraId="61DC0E25">
        <w:tblPrEx>
          <w:tblCellMar>
            <w:top w:w="0" w:type="dxa"/>
            <w:left w:w="0" w:type="dxa"/>
            <w:bottom w:w="0" w:type="dxa"/>
            <w:right w:w="0" w:type="dxa"/>
          </w:tblCellMar>
        </w:tblPrEx>
        <w:trPr>
          <w:wBefore w:w="0" w:type="auto"/>
          <w:tblCellSpacing w:w="0" w:type="dxa"/>
        </w:trPr>
        <w:tc>
          <w:tcPr>
            <w:tcW w:w="0" w:type="auto"/>
            <w:noWrap w:val="0"/>
            <w:vAlign w:val="center"/>
          </w:tcPr>
          <w:p w14:paraId="6E041CCE">
            <w:r>
              <w:rPr>
                <w:rStyle w:val="10"/>
                <w:rFonts w:hint="eastAsia"/>
              </w:rPr>
              <w:t>质量保证期：</w:t>
            </w:r>
            <w:r>
              <w:rPr>
                <w:rStyle w:val="11"/>
                <w:rFonts w:hint="eastAsia"/>
              </w:rPr>
              <w:t>2年</w:t>
            </w:r>
          </w:p>
        </w:tc>
      </w:tr>
      <w:tr w14:paraId="079E3EA2">
        <w:tblPrEx>
          <w:tblCellMar>
            <w:top w:w="0" w:type="dxa"/>
            <w:left w:w="0" w:type="dxa"/>
            <w:bottom w:w="0" w:type="dxa"/>
            <w:right w:w="0" w:type="dxa"/>
          </w:tblCellMar>
        </w:tblPrEx>
        <w:trPr>
          <w:wBefore w:w="0" w:type="auto"/>
          <w:tblCellSpacing w:w="0" w:type="dxa"/>
        </w:trPr>
        <w:tc>
          <w:tcPr>
            <w:tcW w:w="0" w:type="auto"/>
            <w:noWrap w:val="0"/>
            <w:vAlign w:val="center"/>
          </w:tcPr>
          <w:p w14:paraId="60D67B06">
            <w:r>
              <w:rPr>
                <w:rStyle w:val="10"/>
                <w:rFonts w:hint="eastAsia"/>
              </w:rPr>
              <w:t>备注：</w:t>
            </w:r>
          </w:p>
        </w:tc>
      </w:tr>
    </w:tbl>
    <w:p w14:paraId="5724C3D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7DCA61">
        <w:tblPrEx>
          <w:tblCellMar>
            <w:top w:w="0" w:type="dxa"/>
            <w:left w:w="0" w:type="dxa"/>
            <w:bottom w:w="0" w:type="dxa"/>
            <w:right w:w="0" w:type="dxa"/>
          </w:tblCellMar>
        </w:tblPrEx>
        <w:trPr>
          <w:wBefore w:w="0" w:type="auto"/>
          <w:tblCellSpacing w:w="0" w:type="dxa"/>
        </w:trPr>
        <w:tc>
          <w:tcPr>
            <w:tcW w:w="0" w:type="auto"/>
            <w:noWrap w:val="0"/>
            <w:vAlign w:val="center"/>
          </w:tcPr>
          <w:p w14:paraId="00D491FA">
            <w:r>
              <w:rPr>
                <w:rStyle w:val="10"/>
                <w:rFonts w:hint="eastAsia"/>
              </w:rPr>
              <w:t>登记证号：</w:t>
            </w:r>
            <w:r>
              <w:rPr>
                <w:rFonts w:hint="eastAsia"/>
              </w:rPr>
              <w:t>PD20211939</w:t>
            </w:r>
          </w:p>
        </w:tc>
      </w:tr>
      <w:tr w14:paraId="0598D19D">
        <w:tblPrEx>
          <w:tblCellMar>
            <w:top w:w="0" w:type="dxa"/>
            <w:left w:w="0" w:type="dxa"/>
            <w:bottom w:w="0" w:type="dxa"/>
            <w:right w:w="0" w:type="dxa"/>
          </w:tblCellMar>
        </w:tblPrEx>
        <w:trPr>
          <w:wBefore w:w="0" w:type="auto"/>
          <w:tblCellSpacing w:w="0" w:type="dxa"/>
        </w:trPr>
        <w:tc>
          <w:tcPr>
            <w:tcW w:w="0" w:type="auto"/>
            <w:noWrap w:val="0"/>
            <w:vAlign w:val="center"/>
          </w:tcPr>
          <w:p w14:paraId="19523E66">
            <w:r>
              <w:rPr>
                <w:rStyle w:val="10"/>
                <w:rFonts w:hint="eastAsia"/>
              </w:rPr>
              <w:t>登记证持有人：</w:t>
            </w:r>
            <w:r>
              <w:rPr>
                <w:rFonts w:hint="eastAsia"/>
              </w:rPr>
              <w:t>江苏健谷化工有限公司</w:t>
            </w:r>
          </w:p>
        </w:tc>
      </w:tr>
      <w:tr w14:paraId="7B0E4692">
        <w:tblPrEx>
          <w:tblCellMar>
            <w:top w:w="0" w:type="dxa"/>
            <w:left w:w="0" w:type="dxa"/>
            <w:bottom w:w="0" w:type="dxa"/>
            <w:right w:w="0" w:type="dxa"/>
          </w:tblCellMar>
        </w:tblPrEx>
        <w:trPr>
          <w:wBefore w:w="0" w:type="auto"/>
          <w:tblCellSpacing w:w="0" w:type="dxa"/>
        </w:trPr>
        <w:tc>
          <w:tcPr>
            <w:tcW w:w="0" w:type="auto"/>
            <w:noWrap w:val="0"/>
            <w:vAlign w:val="center"/>
          </w:tcPr>
          <w:p w14:paraId="051F8853">
            <w:r>
              <w:rPr>
                <w:rStyle w:val="10"/>
                <w:rFonts w:hint="eastAsia"/>
              </w:rPr>
              <w:t>农药名称：</w:t>
            </w:r>
            <w:r>
              <w:rPr>
                <w:rFonts w:hint="eastAsia"/>
              </w:rPr>
              <w:t>氟环·嘧菌酯</w:t>
            </w:r>
          </w:p>
        </w:tc>
      </w:tr>
      <w:tr w14:paraId="428D95D4">
        <w:tblPrEx>
          <w:tblCellMar>
            <w:top w:w="0" w:type="dxa"/>
            <w:left w:w="0" w:type="dxa"/>
            <w:bottom w:w="0" w:type="dxa"/>
            <w:right w:w="0" w:type="dxa"/>
          </w:tblCellMar>
        </w:tblPrEx>
        <w:trPr>
          <w:wBefore w:w="0" w:type="auto"/>
          <w:tblCellSpacing w:w="0" w:type="dxa"/>
        </w:trPr>
        <w:tc>
          <w:tcPr>
            <w:tcW w:w="0" w:type="auto"/>
            <w:noWrap w:val="0"/>
            <w:vAlign w:val="center"/>
          </w:tcPr>
          <w:p w14:paraId="254D11A3">
            <w:r>
              <w:rPr>
                <w:rStyle w:val="10"/>
                <w:rFonts w:hint="eastAsia"/>
              </w:rPr>
              <w:t>剂型：</w:t>
            </w:r>
            <w:r>
              <w:rPr>
                <w:rFonts w:hint="eastAsia"/>
              </w:rPr>
              <w:t>悬浮剂</w:t>
            </w:r>
          </w:p>
        </w:tc>
      </w:tr>
      <w:tr w14:paraId="1C5B20DB">
        <w:tblPrEx>
          <w:tblCellMar>
            <w:top w:w="0" w:type="dxa"/>
            <w:left w:w="0" w:type="dxa"/>
            <w:bottom w:w="0" w:type="dxa"/>
            <w:right w:w="0" w:type="dxa"/>
          </w:tblCellMar>
        </w:tblPrEx>
        <w:trPr>
          <w:wBefore w:w="0" w:type="auto"/>
          <w:tblCellSpacing w:w="0" w:type="dxa"/>
        </w:trPr>
        <w:tc>
          <w:tcPr>
            <w:tcW w:w="0" w:type="auto"/>
            <w:noWrap w:val="0"/>
            <w:vAlign w:val="center"/>
          </w:tcPr>
          <w:p w14:paraId="1C1E2C9C">
            <w:r>
              <w:rPr>
                <w:rStyle w:val="10"/>
                <w:rFonts w:hint="eastAsia"/>
              </w:rPr>
              <w:t>毒性及其标识：</w:t>
            </w:r>
            <w:r>
              <w:rPr>
                <w:rFonts w:hint="eastAsia"/>
              </w:rPr>
              <w:t xml:space="preserve"> </w:t>
            </w:r>
            <w:r>
              <w:rPr>
                <w:lang/>
              </w:rPr>
              <w:drawing>
                <wp:inline distT="0" distB="0" distL="114300" distR="114300">
                  <wp:extent cx="476250" cy="323850"/>
                  <wp:effectExtent l="0" t="0" r="0" b="0"/>
                  <wp:docPr id="223" name="图片 22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B431C6C">
        <w:tblPrEx>
          <w:tblCellMar>
            <w:top w:w="0" w:type="dxa"/>
            <w:left w:w="0" w:type="dxa"/>
            <w:bottom w:w="0" w:type="dxa"/>
            <w:right w:w="0" w:type="dxa"/>
          </w:tblCellMar>
        </w:tblPrEx>
        <w:trPr>
          <w:wBefore w:w="0" w:type="auto"/>
          <w:tblCellSpacing w:w="0" w:type="dxa"/>
        </w:trPr>
        <w:tc>
          <w:tcPr>
            <w:tcW w:w="0" w:type="auto"/>
            <w:noWrap w:val="0"/>
            <w:vAlign w:val="center"/>
          </w:tcPr>
          <w:p w14:paraId="09EFEDCC">
            <w:r>
              <w:rPr>
                <w:rStyle w:val="10"/>
                <w:rFonts w:hint="eastAsia"/>
              </w:rPr>
              <w:t>总有效成分含量：</w:t>
            </w:r>
            <w:r>
              <w:rPr>
                <w:rFonts w:hint="eastAsia"/>
              </w:rPr>
              <w:t>35%</w:t>
            </w:r>
          </w:p>
        </w:tc>
      </w:tr>
      <w:tr w14:paraId="71F5C501">
        <w:tblPrEx>
          <w:tblCellMar>
            <w:top w:w="0" w:type="dxa"/>
            <w:left w:w="0" w:type="dxa"/>
            <w:bottom w:w="0" w:type="dxa"/>
            <w:right w:w="0" w:type="dxa"/>
          </w:tblCellMar>
        </w:tblPrEx>
        <w:trPr>
          <w:wBefore w:w="0" w:type="auto"/>
          <w:tblCellSpacing w:w="0" w:type="dxa"/>
        </w:trPr>
        <w:tc>
          <w:tcPr>
            <w:tcW w:w="0" w:type="auto"/>
            <w:noWrap w:val="0"/>
            <w:vAlign w:val="center"/>
          </w:tcPr>
          <w:p w14:paraId="01599BA7">
            <w:r>
              <w:rPr>
                <w:rFonts w:hint="eastAsia"/>
              </w:rPr>
              <w:t xml:space="preserve">有效成分及其含量： </w:t>
            </w:r>
          </w:p>
          <w:p w14:paraId="4ED6D8BA">
            <w:r>
              <w:rPr>
                <w:rFonts w:hint="eastAsia"/>
              </w:rPr>
              <w:t xml:space="preserve">    嘧菌酯20%    氟环唑15%    </w:t>
            </w:r>
          </w:p>
        </w:tc>
      </w:tr>
      <w:tr w14:paraId="4ECAD73B">
        <w:tblPrEx>
          <w:tblCellMar>
            <w:top w:w="0" w:type="dxa"/>
            <w:left w:w="0" w:type="dxa"/>
            <w:bottom w:w="0" w:type="dxa"/>
            <w:right w:w="0" w:type="dxa"/>
          </w:tblCellMar>
        </w:tblPrEx>
        <w:trPr>
          <w:wBefore w:w="0" w:type="auto"/>
          <w:tblCellSpacing w:w="0" w:type="dxa"/>
        </w:trPr>
        <w:tc>
          <w:tcPr>
            <w:tcW w:w="0" w:type="auto"/>
            <w:noWrap w:val="0"/>
            <w:vAlign w:val="center"/>
          </w:tcPr>
          <w:p w14:paraId="0B9FC11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26483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C836CC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851BC8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31DB9D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AF209A9">
                  <w:r>
                    <w:rPr>
                      <w:rStyle w:val="11"/>
                      <w:rFonts w:hint="eastAsia"/>
                    </w:rPr>
                    <w:t>施用方式</w:t>
                  </w:r>
                </w:p>
              </w:tc>
            </w:tr>
            <w:tr w14:paraId="5C58D4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A59927B">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1D4626">
                  <w:r>
                    <w:rPr>
                      <w:rStyle w:val="11"/>
                      <w:rFonts w:hint="eastAsia"/>
                    </w:rPr>
                    <w:t>稻曲病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3A11BE">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AC0A71">
                  <w:r>
                    <w:rPr>
                      <w:rStyle w:val="11"/>
                      <w:rFonts w:hint="eastAsia"/>
                    </w:rPr>
                    <w:t>喷雾</w:t>
                  </w:r>
                </w:p>
              </w:tc>
            </w:tr>
            <w:tr w14:paraId="65E015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ADA3ED8">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F89FE5">
                  <w:r>
                    <w:rPr>
                      <w:rStyle w:val="11"/>
                      <w:rFonts w:hint="eastAsia"/>
                    </w:rPr>
                    <w:t>稻瘟病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AD9ED0">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9E29AC">
                  <w:r>
                    <w:rPr>
                      <w:rStyle w:val="11"/>
                      <w:rFonts w:hint="eastAsia"/>
                    </w:rPr>
                    <w:t>喷雾</w:t>
                  </w:r>
                </w:p>
              </w:tc>
            </w:tr>
          </w:tbl>
          <w:p w14:paraId="3454B12D">
            <w:pPr>
              <w:rPr>
                <w:rFonts w:ascii="Times New Roman" w:hAnsi="Times New Roman" w:cs="Times New Roman"/>
                <w:sz w:val="20"/>
                <w:szCs w:val="20"/>
              </w:rPr>
            </w:pPr>
          </w:p>
        </w:tc>
      </w:tr>
      <w:tr w14:paraId="7C86F955">
        <w:tblPrEx>
          <w:tblCellMar>
            <w:top w:w="0" w:type="dxa"/>
            <w:left w:w="0" w:type="dxa"/>
            <w:bottom w:w="0" w:type="dxa"/>
            <w:right w:w="0" w:type="dxa"/>
          </w:tblCellMar>
        </w:tblPrEx>
        <w:trPr>
          <w:wBefore w:w="0" w:type="auto"/>
          <w:tblCellSpacing w:w="0" w:type="dxa"/>
        </w:trPr>
        <w:tc>
          <w:tcPr>
            <w:tcW w:w="0" w:type="auto"/>
            <w:noWrap w:val="0"/>
            <w:vAlign w:val="center"/>
          </w:tcPr>
          <w:p w14:paraId="55E27A1E">
            <w:r>
              <w:rPr>
                <w:rStyle w:val="10"/>
                <w:rFonts w:hint="eastAsia"/>
              </w:rPr>
              <w:t>使用技术要求:</w:t>
            </w:r>
            <w:r>
              <w:rPr>
                <w:rFonts w:hint="eastAsia"/>
              </w:rPr>
              <w:br w:type="textWrapping"/>
            </w:r>
            <w:r>
              <w:rPr>
                <w:rStyle w:val="11"/>
                <w:rFonts w:hint="eastAsia"/>
              </w:rPr>
              <w:t>1. 本品应于水稻稻瘟病发初期施药，之后视病情发展情况可施药1-2次，间隔期7-14天。 2. 水稻稻曲病在水稻破口抽穗前3-7d喷雾防治，齐穗后可再施药1次。3. 大风天或预计1小时内降雨,请勿喷雾施药，或雨后补喷一次。 安全使用标准：每季最多使用次数为2次，安全间隔期为21天。</w:t>
            </w:r>
          </w:p>
        </w:tc>
      </w:tr>
      <w:tr w14:paraId="7001BD40">
        <w:tblPrEx>
          <w:tblCellMar>
            <w:top w:w="0" w:type="dxa"/>
            <w:left w:w="0" w:type="dxa"/>
            <w:bottom w:w="0" w:type="dxa"/>
            <w:right w:w="0" w:type="dxa"/>
          </w:tblCellMar>
        </w:tblPrEx>
        <w:trPr>
          <w:wBefore w:w="0" w:type="auto"/>
          <w:tblCellSpacing w:w="0" w:type="dxa"/>
        </w:trPr>
        <w:tc>
          <w:tcPr>
            <w:tcW w:w="0" w:type="auto"/>
            <w:noWrap w:val="0"/>
            <w:vAlign w:val="center"/>
          </w:tcPr>
          <w:p w14:paraId="527F0D0F">
            <w:r>
              <w:rPr>
                <w:rStyle w:val="10"/>
                <w:rFonts w:hint="eastAsia"/>
              </w:rPr>
              <w:t>产品性能:</w:t>
            </w:r>
            <w:r>
              <w:rPr>
                <w:rFonts w:hint="eastAsia"/>
              </w:rPr>
              <w:br w:type="textWrapping"/>
            </w:r>
            <w:r>
              <w:rPr>
                <w:rStyle w:val="11"/>
                <w:rFonts w:hint="eastAsia"/>
              </w:rPr>
              <w:t>本品为氟环唑和嘧菌酯复配而成的杀菌剂。氟环唑能够抑制甾醇生物合成中的C14脱甲基酶；嘧菌酯为线粒体呼吸抑制剂，通过抑制病菌的呼吸作用来破坏病菌的生物合成。二者复配，可有效防治水稻稻瘟病和稻曲病。</w:t>
            </w:r>
          </w:p>
        </w:tc>
      </w:tr>
      <w:tr w14:paraId="01D8A7E5">
        <w:tblPrEx>
          <w:tblCellMar>
            <w:top w:w="0" w:type="dxa"/>
            <w:left w:w="0" w:type="dxa"/>
            <w:bottom w:w="0" w:type="dxa"/>
            <w:right w:w="0" w:type="dxa"/>
          </w:tblCellMar>
        </w:tblPrEx>
        <w:trPr>
          <w:wBefore w:w="0" w:type="auto"/>
          <w:tblCellSpacing w:w="0" w:type="dxa"/>
        </w:trPr>
        <w:tc>
          <w:tcPr>
            <w:tcW w:w="0" w:type="auto"/>
            <w:noWrap w:val="0"/>
            <w:vAlign w:val="center"/>
          </w:tcPr>
          <w:p w14:paraId="5DCB1CA5">
            <w:r>
              <w:rPr>
                <w:rStyle w:val="10"/>
                <w:rFonts w:hint="eastAsia"/>
              </w:rPr>
              <w:t>注意事项：</w:t>
            </w:r>
            <w:r>
              <w:rPr>
                <w:rFonts w:hint="eastAsia"/>
              </w:rPr>
              <w:br w:type="textWrapping"/>
            </w:r>
            <w:r>
              <w:rPr>
                <w:rStyle w:val="11"/>
                <w:rFonts w:hint="eastAsia"/>
              </w:rPr>
              <w:t>1.建议与其他作用机制不同的杀菌剂轮换使用。 2.本品对天敌赤眼蜂、鸟类、家蚕有风险，鸟类保护区和赤眼蜂等天敌放飞区禁用；在蚕室及桑园附近禁用，或采用最外围桑树作为隔离带，以降低对家蚕的风险；3. 远离水产养殖区、河塘等水体施药，应避免药液流入河塘等水体中，清洗喷药器械时切忌污染水源，禁止在河塘等水体中清洗施药器具；鱼或虾蟹套养稻田禁用；施药后的田水不得直接排入水体。使用过的施药器械，应清洗干净方可用于其它的农药。4.使用时穿戴长衣、长裤、帽子、口罩、手套等安全防护措施；施药中禁止饮食、吸烟、饮水等；施药后应用肥皂和清水彻底清洗暴露在外的皮肤。5.丢弃的包装物等废弃物、用过的容器应妥善处理，不可随意丢弃或作他用，避免污染水体，建议用控制焚烧法或安全掩埋法处置包装物或废弃物。6.孕妇、哺乳期的妇女、过敏体质者、感冒和皮肤病患者禁止接触本产品。7.避免与氧化剂接触。</w:t>
            </w:r>
          </w:p>
        </w:tc>
      </w:tr>
      <w:tr w14:paraId="64FC926B">
        <w:tblPrEx>
          <w:tblCellMar>
            <w:top w:w="0" w:type="dxa"/>
            <w:left w:w="0" w:type="dxa"/>
            <w:bottom w:w="0" w:type="dxa"/>
            <w:right w:w="0" w:type="dxa"/>
          </w:tblCellMar>
        </w:tblPrEx>
        <w:trPr>
          <w:wBefore w:w="0" w:type="auto"/>
          <w:tblCellSpacing w:w="0" w:type="dxa"/>
        </w:trPr>
        <w:tc>
          <w:tcPr>
            <w:tcW w:w="0" w:type="auto"/>
            <w:noWrap w:val="0"/>
            <w:vAlign w:val="center"/>
          </w:tcPr>
          <w:p w14:paraId="5CCEE97B">
            <w:r>
              <w:rPr>
                <w:rStyle w:val="10"/>
                <w:rFonts w:hint="eastAsia"/>
              </w:rPr>
              <w:t>中毒急救措施：</w:t>
            </w:r>
            <w:r>
              <w:rPr>
                <w:rFonts w:hint="eastAsia"/>
              </w:rPr>
              <w:br w:type="textWrapping"/>
            </w:r>
            <w:r>
              <w:rPr>
                <w:rStyle w:val="11"/>
                <w:rFonts w:hint="eastAsia"/>
              </w:rPr>
              <w:t>中毒症状：对皮肤、眼和上呼吸道有刺激作用。 眼睛接触：提起眼睑，用流动清水或生理盐水冲洗。就医。 吸 入：迅速脱离现场至空气新鲜处。保持呼吸道通畅。如呼吸困难，给输氧。如呼吸停止，立即进行人工呼吸。就医。 食 入：用水漱口，并饮1-2杯水，对神志不清者切勿催吐，携此标签送医院诊治。</w:t>
            </w:r>
          </w:p>
        </w:tc>
      </w:tr>
      <w:tr w14:paraId="7588EF4D">
        <w:tblPrEx>
          <w:tblCellMar>
            <w:top w:w="0" w:type="dxa"/>
            <w:left w:w="0" w:type="dxa"/>
            <w:bottom w:w="0" w:type="dxa"/>
            <w:right w:w="0" w:type="dxa"/>
          </w:tblCellMar>
        </w:tblPrEx>
        <w:trPr>
          <w:wBefore w:w="0" w:type="auto"/>
          <w:tblCellSpacing w:w="0" w:type="dxa"/>
        </w:trPr>
        <w:tc>
          <w:tcPr>
            <w:tcW w:w="0" w:type="auto"/>
            <w:noWrap w:val="0"/>
            <w:vAlign w:val="center"/>
          </w:tcPr>
          <w:p w14:paraId="0A3BAE49">
            <w:r>
              <w:rPr>
                <w:rStyle w:val="10"/>
                <w:rFonts w:hint="eastAsia"/>
              </w:rPr>
              <w:t>储存和运输方法：</w:t>
            </w:r>
            <w:r>
              <w:rPr>
                <w:rFonts w:hint="eastAsia"/>
              </w:rPr>
              <w:br w:type="textWrapping"/>
            </w:r>
            <w:r>
              <w:rPr>
                <w:rStyle w:val="11"/>
                <w:rFonts w:hint="eastAsia"/>
              </w:rPr>
              <w:t>1. 本品应密封贮存在干燥、阴凉、通风、防雨处，远离火源或热源。2. 存放于儿童、无关人员触及不到之处，并加锁。3. 勿与食品、饮料、粮食、饲料等其他商品同贮同运。</w:t>
            </w:r>
          </w:p>
        </w:tc>
      </w:tr>
      <w:tr w14:paraId="2B2B952B">
        <w:tblPrEx>
          <w:tblCellMar>
            <w:top w:w="0" w:type="dxa"/>
            <w:left w:w="0" w:type="dxa"/>
            <w:bottom w:w="0" w:type="dxa"/>
            <w:right w:w="0" w:type="dxa"/>
          </w:tblCellMar>
        </w:tblPrEx>
        <w:trPr>
          <w:wBefore w:w="0" w:type="auto"/>
          <w:tblCellSpacing w:w="0" w:type="dxa"/>
        </w:trPr>
        <w:tc>
          <w:tcPr>
            <w:tcW w:w="0" w:type="auto"/>
            <w:noWrap w:val="0"/>
            <w:vAlign w:val="center"/>
          </w:tcPr>
          <w:p w14:paraId="2EC16359">
            <w:r>
              <w:rPr>
                <w:rStyle w:val="10"/>
                <w:rFonts w:hint="eastAsia"/>
              </w:rPr>
              <w:t>质量保证期：</w:t>
            </w:r>
            <w:r>
              <w:rPr>
                <w:rStyle w:val="11"/>
                <w:rFonts w:hint="eastAsia"/>
              </w:rPr>
              <w:t>2年</w:t>
            </w:r>
          </w:p>
        </w:tc>
      </w:tr>
      <w:tr w14:paraId="6182F8E4">
        <w:tblPrEx>
          <w:tblCellMar>
            <w:top w:w="0" w:type="dxa"/>
            <w:left w:w="0" w:type="dxa"/>
            <w:bottom w:w="0" w:type="dxa"/>
            <w:right w:w="0" w:type="dxa"/>
          </w:tblCellMar>
        </w:tblPrEx>
        <w:trPr>
          <w:wBefore w:w="0" w:type="auto"/>
          <w:tblCellSpacing w:w="0" w:type="dxa"/>
        </w:trPr>
        <w:tc>
          <w:tcPr>
            <w:tcW w:w="0" w:type="auto"/>
            <w:noWrap w:val="0"/>
            <w:vAlign w:val="center"/>
          </w:tcPr>
          <w:p w14:paraId="31882F29">
            <w:r>
              <w:rPr>
                <w:rStyle w:val="10"/>
                <w:rFonts w:hint="eastAsia"/>
              </w:rPr>
              <w:t>备注：</w:t>
            </w:r>
          </w:p>
        </w:tc>
      </w:tr>
    </w:tbl>
    <w:p w14:paraId="38F05EB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B1D166B">
        <w:tblPrEx>
          <w:tblCellMar>
            <w:top w:w="0" w:type="dxa"/>
            <w:left w:w="0" w:type="dxa"/>
            <w:bottom w:w="0" w:type="dxa"/>
            <w:right w:w="0" w:type="dxa"/>
          </w:tblCellMar>
        </w:tblPrEx>
        <w:trPr>
          <w:wBefore w:w="0" w:type="auto"/>
          <w:tblCellSpacing w:w="0" w:type="dxa"/>
        </w:trPr>
        <w:tc>
          <w:tcPr>
            <w:tcW w:w="0" w:type="auto"/>
            <w:noWrap w:val="0"/>
            <w:vAlign w:val="center"/>
          </w:tcPr>
          <w:p w14:paraId="21C92EFD">
            <w:r>
              <w:rPr>
                <w:rStyle w:val="10"/>
                <w:rFonts w:hint="eastAsia"/>
              </w:rPr>
              <w:t>登记证号：</w:t>
            </w:r>
            <w:r>
              <w:rPr>
                <w:rFonts w:hint="eastAsia"/>
              </w:rPr>
              <w:t>PD20212245</w:t>
            </w:r>
          </w:p>
        </w:tc>
      </w:tr>
      <w:tr w14:paraId="70C75E3E">
        <w:tblPrEx>
          <w:tblCellMar>
            <w:top w:w="0" w:type="dxa"/>
            <w:left w:w="0" w:type="dxa"/>
            <w:bottom w:w="0" w:type="dxa"/>
            <w:right w:w="0" w:type="dxa"/>
          </w:tblCellMar>
        </w:tblPrEx>
        <w:trPr>
          <w:wBefore w:w="0" w:type="auto"/>
          <w:tblCellSpacing w:w="0" w:type="dxa"/>
        </w:trPr>
        <w:tc>
          <w:tcPr>
            <w:tcW w:w="0" w:type="auto"/>
            <w:noWrap w:val="0"/>
            <w:vAlign w:val="center"/>
          </w:tcPr>
          <w:p w14:paraId="29ACB4FB">
            <w:r>
              <w:rPr>
                <w:rStyle w:val="10"/>
                <w:rFonts w:hint="eastAsia"/>
              </w:rPr>
              <w:t>登记证持有人：</w:t>
            </w:r>
            <w:r>
              <w:rPr>
                <w:rFonts w:hint="eastAsia"/>
              </w:rPr>
              <w:t>永济市环球生物制剂厂</w:t>
            </w:r>
          </w:p>
        </w:tc>
      </w:tr>
      <w:tr w14:paraId="261ED36E">
        <w:tblPrEx>
          <w:tblCellMar>
            <w:top w:w="0" w:type="dxa"/>
            <w:left w:w="0" w:type="dxa"/>
            <w:bottom w:w="0" w:type="dxa"/>
            <w:right w:w="0" w:type="dxa"/>
          </w:tblCellMar>
        </w:tblPrEx>
        <w:trPr>
          <w:wBefore w:w="0" w:type="auto"/>
          <w:tblCellSpacing w:w="0" w:type="dxa"/>
        </w:trPr>
        <w:tc>
          <w:tcPr>
            <w:tcW w:w="0" w:type="auto"/>
            <w:noWrap w:val="0"/>
            <w:vAlign w:val="center"/>
          </w:tcPr>
          <w:p w14:paraId="128006FC">
            <w:r>
              <w:rPr>
                <w:rStyle w:val="10"/>
                <w:rFonts w:hint="eastAsia"/>
              </w:rPr>
              <w:t>农药名称：</w:t>
            </w:r>
            <w:r>
              <w:rPr>
                <w:rFonts w:hint="eastAsia"/>
              </w:rPr>
              <w:t>草铵·草甘膦</w:t>
            </w:r>
          </w:p>
        </w:tc>
      </w:tr>
      <w:tr w14:paraId="5D7B264E">
        <w:tblPrEx>
          <w:tblCellMar>
            <w:top w:w="0" w:type="dxa"/>
            <w:left w:w="0" w:type="dxa"/>
            <w:bottom w:w="0" w:type="dxa"/>
            <w:right w:w="0" w:type="dxa"/>
          </w:tblCellMar>
        </w:tblPrEx>
        <w:trPr>
          <w:wBefore w:w="0" w:type="auto"/>
          <w:tblCellSpacing w:w="0" w:type="dxa"/>
        </w:trPr>
        <w:tc>
          <w:tcPr>
            <w:tcW w:w="0" w:type="auto"/>
            <w:noWrap w:val="0"/>
            <w:vAlign w:val="center"/>
          </w:tcPr>
          <w:p w14:paraId="3CA8B974">
            <w:r>
              <w:rPr>
                <w:rStyle w:val="10"/>
                <w:rFonts w:hint="eastAsia"/>
              </w:rPr>
              <w:t>剂型：</w:t>
            </w:r>
            <w:r>
              <w:rPr>
                <w:rFonts w:hint="eastAsia"/>
              </w:rPr>
              <w:t>可溶液剂</w:t>
            </w:r>
          </w:p>
        </w:tc>
      </w:tr>
      <w:tr w14:paraId="65D887B2">
        <w:tblPrEx>
          <w:tblCellMar>
            <w:top w:w="0" w:type="dxa"/>
            <w:left w:w="0" w:type="dxa"/>
            <w:bottom w:w="0" w:type="dxa"/>
            <w:right w:w="0" w:type="dxa"/>
          </w:tblCellMar>
        </w:tblPrEx>
        <w:trPr>
          <w:wBefore w:w="0" w:type="auto"/>
          <w:tblCellSpacing w:w="0" w:type="dxa"/>
        </w:trPr>
        <w:tc>
          <w:tcPr>
            <w:tcW w:w="0" w:type="auto"/>
            <w:noWrap w:val="0"/>
            <w:vAlign w:val="center"/>
          </w:tcPr>
          <w:p w14:paraId="56F38740">
            <w:r>
              <w:rPr>
                <w:rStyle w:val="10"/>
                <w:rFonts w:hint="eastAsia"/>
              </w:rPr>
              <w:t>毒性及其标识：</w:t>
            </w:r>
            <w:r>
              <w:rPr>
                <w:rFonts w:hint="eastAsia"/>
              </w:rPr>
              <w:t xml:space="preserve"> </w:t>
            </w:r>
            <w:r>
              <w:rPr>
                <w:lang/>
              </w:rPr>
              <w:drawing>
                <wp:inline distT="0" distB="0" distL="114300" distR="114300">
                  <wp:extent cx="476250" cy="323850"/>
                  <wp:effectExtent l="0" t="0" r="0" b="0"/>
                  <wp:docPr id="224" name="图片 22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595C551">
        <w:tblPrEx>
          <w:tblCellMar>
            <w:top w:w="0" w:type="dxa"/>
            <w:left w:w="0" w:type="dxa"/>
            <w:bottom w:w="0" w:type="dxa"/>
            <w:right w:w="0" w:type="dxa"/>
          </w:tblCellMar>
        </w:tblPrEx>
        <w:trPr>
          <w:wBefore w:w="0" w:type="auto"/>
          <w:tblCellSpacing w:w="0" w:type="dxa"/>
        </w:trPr>
        <w:tc>
          <w:tcPr>
            <w:tcW w:w="0" w:type="auto"/>
            <w:noWrap w:val="0"/>
            <w:vAlign w:val="center"/>
          </w:tcPr>
          <w:p w14:paraId="0847D935">
            <w:r>
              <w:rPr>
                <w:rStyle w:val="10"/>
                <w:rFonts w:hint="eastAsia"/>
              </w:rPr>
              <w:t>总有效成分含量：</w:t>
            </w:r>
            <w:r>
              <w:rPr>
                <w:rFonts w:hint="eastAsia"/>
              </w:rPr>
              <w:t>36%</w:t>
            </w:r>
          </w:p>
        </w:tc>
      </w:tr>
      <w:tr w14:paraId="2917C3E4">
        <w:tblPrEx>
          <w:tblCellMar>
            <w:top w:w="0" w:type="dxa"/>
            <w:left w:w="0" w:type="dxa"/>
            <w:bottom w:w="0" w:type="dxa"/>
            <w:right w:w="0" w:type="dxa"/>
          </w:tblCellMar>
        </w:tblPrEx>
        <w:trPr>
          <w:wBefore w:w="0" w:type="auto"/>
          <w:tblCellSpacing w:w="0" w:type="dxa"/>
        </w:trPr>
        <w:tc>
          <w:tcPr>
            <w:tcW w:w="0" w:type="auto"/>
            <w:noWrap w:val="0"/>
            <w:vAlign w:val="center"/>
          </w:tcPr>
          <w:p w14:paraId="72A252D9">
            <w:r>
              <w:rPr>
                <w:rFonts w:hint="eastAsia"/>
              </w:rPr>
              <w:t xml:space="preserve">有效成分及其含量： </w:t>
            </w:r>
          </w:p>
          <w:p w14:paraId="4CC22F4E">
            <w:r>
              <w:rPr>
                <w:rFonts w:hint="eastAsia"/>
              </w:rPr>
              <w:t xml:space="preserve">    草铵膦6%    草甘膦30%    </w:t>
            </w:r>
          </w:p>
        </w:tc>
      </w:tr>
      <w:tr w14:paraId="3B0DE0D5">
        <w:tblPrEx>
          <w:tblCellMar>
            <w:top w:w="0" w:type="dxa"/>
            <w:left w:w="0" w:type="dxa"/>
            <w:bottom w:w="0" w:type="dxa"/>
            <w:right w:w="0" w:type="dxa"/>
          </w:tblCellMar>
        </w:tblPrEx>
        <w:trPr>
          <w:wBefore w:w="0" w:type="auto"/>
          <w:tblCellSpacing w:w="0" w:type="dxa"/>
        </w:trPr>
        <w:tc>
          <w:tcPr>
            <w:tcW w:w="0" w:type="auto"/>
            <w:noWrap w:val="0"/>
            <w:vAlign w:val="center"/>
          </w:tcPr>
          <w:p w14:paraId="12E7CEB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63916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9125F7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6A378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CCC4E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6F107FC">
                  <w:r>
                    <w:rPr>
                      <w:rStyle w:val="11"/>
                      <w:rFonts w:hint="eastAsia"/>
                    </w:rPr>
                    <w:t>施用方式</w:t>
                  </w:r>
                </w:p>
              </w:tc>
            </w:tr>
            <w:tr w14:paraId="4ADFD75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690CE2B">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828232">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F7ABDB">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23E072">
                  <w:r>
                    <w:rPr>
                      <w:rStyle w:val="11"/>
                      <w:rFonts w:hint="eastAsia"/>
                    </w:rPr>
                    <w:t>茎叶喷雾</w:t>
                  </w:r>
                </w:p>
              </w:tc>
            </w:tr>
          </w:tbl>
          <w:p w14:paraId="0567F4EC">
            <w:pPr>
              <w:rPr>
                <w:rFonts w:ascii="Times New Roman" w:hAnsi="Times New Roman" w:cs="Times New Roman"/>
                <w:sz w:val="20"/>
                <w:szCs w:val="20"/>
              </w:rPr>
            </w:pPr>
          </w:p>
        </w:tc>
      </w:tr>
      <w:tr w14:paraId="267EA5D5">
        <w:tblPrEx>
          <w:tblCellMar>
            <w:top w:w="0" w:type="dxa"/>
            <w:left w:w="0" w:type="dxa"/>
            <w:bottom w:w="0" w:type="dxa"/>
            <w:right w:w="0" w:type="dxa"/>
          </w:tblCellMar>
        </w:tblPrEx>
        <w:trPr>
          <w:wBefore w:w="0" w:type="auto"/>
          <w:tblCellSpacing w:w="0" w:type="dxa"/>
        </w:trPr>
        <w:tc>
          <w:tcPr>
            <w:tcW w:w="0" w:type="auto"/>
            <w:noWrap w:val="0"/>
            <w:vAlign w:val="center"/>
          </w:tcPr>
          <w:p w14:paraId="3CAB774F">
            <w:r>
              <w:rPr>
                <w:rStyle w:val="10"/>
                <w:rFonts w:hint="eastAsia"/>
              </w:rPr>
              <w:t>使用技术要求:</w:t>
            </w:r>
            <w:r>
              <w:rPr>
                <w:rFonts w:hint="eastAsia"/>
              </w:rPr>
              <w:br w:type="textWrapping"/>
            </w:r>
            <w:r>
              <w:rPr>
                <w:rStyle w:val="11"/>
                <w:rFonts w:hint="eastAsia"/>
              </w:rPr>
              <w:t>1.严格按推荐的使用技术均匀施用。2.本品应在非耕地杂草旺盛生长期，以推荐剂量兑水均匀茎叶喷雾施药一次。避免药液飘移其他作物上。 3.预计6小时内降雨，请勿施药。4.禁止在田间道路、田埂、果树行间、休耕地、林场林地等农林业区域使用。</w:t>
            </w:r>
          </w:p>
        </w:tc>
      </w:tr>
      <w:tr w14:paraId="56854C35">
        <w:tblPrEx>
          <w:tblCellMar>
            <w:top w:w="0" w:type="dxa"/>
            <w:left w:w="0" w:type="dxa"/>
            <w:bottom w:w="0" w:type="dxa"/>
            <w:right w:w="0" w:type="dxa"/>
          </w:tblCellMar>
        </w:tblPrEx>
        <w:trPr>
          <w:wBefore w:w="0" w:type="auto"/>
          <w:tblCellSpacing w:w="0" w:type="dxa"/>
        </w:trPr>
        <w:tc>
          <w:tcPr>
            <w:tcW w:w="0" w:type="auto"/>
            <w:noWrap w:val="0"/>
            <w:vAlign w:val="center"/>
          </w:tcPr>
          <w:p w14:paraId="5FFE3240">
            <w:r>
              <w:rPr>
                <w:rStyle w:val="10"/>
                <w:rFonts w:hint="eastAsia"/>
              </w:rPr>
              <w:t>产品性能:</w:t>
            </w:r>
            <w:r>
              <w:rPr>
                <w:rFonts w:hint="eastAsia"/>
              </w:rPr>
              <w:br w:type="textWrapping"/>
            </w:r>
            <w:r>
              <w:rPr>
                <w:rStyle w:val="11"/>
                <w:rFonts w:hint="eastAsia"/>
              </w:rPr>
              <w:t>本剂为非选择性触杀型杂草茎叶处理除草剂，可防除非耕地多种一年生和多年生杂草。</w:t>
            </w:r>
          </w:p>
        </w:tc>
      </w:tr>
      <w:tr w14:paraId="6838E57D">
        <w:tblPrEx>
          <w:tblCellMar>
            <w:top w:w="0" w:type="dxa"/>
            <w:left w:w="0" w:type="dxa"/>
            <w:bottom w:w="0" w:type="dxa"/>
            <w:right w:w="0" w:type="dxa"/>
          </w:tblCellMar>
        </w:tblPrEx>
        <w:trPr>
          <w:wBefore w:w="0" w:type="auto"/>
          <w:tblCellSpacing w:w="0" w:type="dxa"/>
        </w:trPr>
        <w:tc>
          <w:tcPr>
            <w:tcW w:w="0" w:type="auto"/>
            <w:noWrap w:val="0"/>
            <w:vAlign w:val="center"/>
          </w:tcPr>
          <w:p w14:paraId="31A5FE75">
            <w:r>
              <w:rPr>
                <w:rStyle w:val="10"/>
                <w:rFonts w:hint="eastAsia"/>
              </w:rPr>
              <w:t>注意事项：</w:t>
            </w:r>
            <w:r>
              <w:rPr>
                <w:rFonts w:hint="eastAsia"/>
              </w:rPr>
              <w:br w:type="textWrapping"/>
            </w:r>
            <w:r>
              <w:rPr>
                <w:rStyle w:val="11"/>
                <w:rFonts w:hint="eastAsia"/>
              </w:rPr>
              <w:t>1.干旱及杂草密度、蒸发量和喷头流量较大或防除大龄杂草及多年生恶性杂草时，采用较高的推荐制剂用量和对水量。本剂以杂草茎叶吸收发挥除草活性，无土壤活性，应避免漏喷，确保杂草叶片充分均匀着药（30-50雾滴/平方厘米）。一般在杂草出齐后10-20厘米高时，采用扇形喷头均匀喷施，最高效、经济。选无风、湿润的晴天施用，避免在连续霜冻和严重干旱时施用，以免药效减低。施用后6小时后下雨不影响药效。 2.本品遇土钝化，配药时应在喷雾器内先加入少量清水，再加入施药量，最后补足余量清水混匀后喷施。应在通风处开启包装物，避免污染。 3. 使用时穿戴长衣、长裤、帽子、口罩、手套等安全防护措施，操作本品时禁止饮食、吸烟和饮水。4. 配药时，用清水对盛过药剂的包装瓶冲洗3次，并将冲洗液倒入喷雾器中。远离水产养殖区施药，用过的空包装应压烂或划破后妥善处理，切勿重复使用或它用；使用后的施药器具应及时清洗，但禁止在河塘等水体中清洗施药器具，使用本品时避免其污染地表水等生态环境。5. 施药后应及时用肥皂和足量清水冲洗手部、面部和其它身体裸露部位以及受药剂污染的衣物等。 6. 避免孕妇及哺乳期的妇女接触。7.鸟类保护区附近禁用；.桑园及蚕室附近禁用；.赤眼蜂等天敌放飞区域禁用。</w:t>
            </w:r>
          </w:p>
        </w:tc>
      </w:tr>
      <w:tr w14:paraId="2763086F">
        <w:tblPrEx>
          <w:tblCellMar>
            <w:top w:w="0" w:type="dxa"/>
            <w:left w:w="0" w:type="dxa"/>
            <w:bottom w:w="0" w:type="dxa"/>
            <w:right w:w="0" w:type="dxa"/>
          </w:tblCellMar>
        </w:tblPrEx>
        <w:trPr>
          <w:wBefore w:w="0" w:type="auto"/>
          <w:tblCellSpacing w:w="0" w:type="dxa"/>
        </w:trPr>
        <w:tc>
          <w:tcPr>
            <w:tcW w:w="0" w:type="auto"/>
            <w:noWrap w:val="0"/>
            <w:vAlign w:val="center"/>
          </w:tcPr>
          <w:p w14:paraId="24AA4868">
            <w:r>
              <w:rPr>
                <w:rStyle w:val="10"/>
                <w:rFonts w:hint="eastAsia"/>
              </w:rPr>
              <w:t>中毒急救措施：</w:t>
            </w:r>
            <w:r>
              <w:rPr>
                <w:rFonts w:hint="eastAsia"/>
              </w:rPr>
              <w:br w:type="textWrapping"/>
            </w:r>
            <w:r>
              <w:rPr>
                <w:rStyle w:val="11"/>
                <w:rFonts w:hint="eastAsia"/>
              </w:rPr>
              <w:t>对眼睛有刺激性，使用时避免接触眼睛。1.如药液溅到皮肤上，立即脱去被污染的衣服，用肥皂和足量清水冲洗。如症状持续，应携带本标签请医生诊治；本品对眼睛有轻微刺激，避免溅入眼睛。如药液溅到眼内，应用足量清水冲洗15分钟以上并请医生诊治。如吞服，严禁引吐，应先立即用清水漱口，再携带本标签到医院诊治。 2.症状：颤抖、意识混乱、数小时后痉挛、肠胃不适、发高烧、呼吸困难，行动迟缓、心律过速等症状。 3.治疗：1）紧急处理：对症治疗、使用解毒剂、解除污染。 2）禁忌：阿托品。 3）插管洗胃后，给活性炭和硫酸钠。 4）治疗：采用镇静安眠剂，每日肌肉或皮下注射1-5毫升/千克体重巴比妥、如必要，静脉内慢慢注射10毫克安定药；采用透析（加强碱性利尿）或血液渗透排毒；心电图和脑电图监视；呼吸、心脏和中枢神经系统检测；如需要，进行输氧和（或）人工呼吸。大量误服时，医生监护应持续至少48小时。 4.如发生中毒事故，请立即拨打中国疾病预防控制中心职业卫生与中毒控制所24小时咨询服务电话：010-83132345。</w:t>
            </w:r>
          </w:p>
        </w:tc>
      </w:tr>
      <w:tr w14:paraId="62EA50AE">
        <w:tblPrEx>
          <w:tblCellMar>
            <w:top w:w="0" w:type="dxa"/>
            <w:left w:w="0" w:type="dxa"/>
            <w:bottom w:w="0" w:type="dxa"/>
            <w:right w:w="0" w:type="dxa"/>
          </w:tblCellMar>
        </w:tblPrEx>
        <w:trPr>
          <w:wBefore w:w="0" w:type="auto"/>
          <w:tblCellSpacing w:w="0" w:type="dxa"/>
        </w:trPr>
        <w:tc>
          <w:tcPr>
            <w:tcW w:w="0" w:type="auto"/>
            <w:noWrap w:val="0"/>
            <w:vAlign w:val="center"/>
          </w:tcPr>
          <w:p w14:paraId="7004628B">
            <w:r>
              <w:rPr>
                <w:rStyle w:val="10"/>
                <w:rFonts w:hint="eastAsia"/>
              </w:rPr>
              <w:t>储存和运输方法：</w:t>
            </w:r>
            <w:r>
              <w:rPr>
                <w:rFonts w:hint="eastAsia"/>
              </w:rPr>
              <w:br w:type="textWrapping"/>
            </w:r>
            <w:r>
              <w:rPr>
                <w:rStyle w:val="11"/>
                <w:rFonts w:hint="eastAsia"/>
              </w:rPr>
              <w:t>应原包装置于干燥、阴凉、通风处加锁保存，避免儿童接触。勿与食品、饮料、饲料、粮食等其它产品同贮同运。储存温度宜在0-30℃，最高50℃。运输时轻搬轻放。</w:t>
            </w:r>
          </w:p>
        </w:tc>
      </w:tr>
      <w:tr w14:paraId="3E08F8E2">
        <w:tblPrEx>
          <w:tblCellMar>
            <w:top w:w="0" w:type="dxa"/>
            <w:left w:w="0" w:type="dxa"/>
            <w:bottom w:w="0" w:type="dxa"/>
            <w:right w:w="0" w:type="dxa"/>
          </w:tblCellMar>
        </w:tblPrEx>
        <w:trPr>
          <w:wBefore w:w="0" w:type="auto"/>
          <w:tblCellSpacing w:w="0" w:type="dxa"/>
        </w:trPr>
        <w:tc>
          <w:tcPr>
            <w:tcW w:w="0" w:type="auto"/>
            <w:noWrap w:val="0"/>
            <w:vAlign w:val="center"/>
          </w:tcPr>
          <w:p w14:paraId="19DAC265">
            <w:r>
              <w:rPr>
                <w:rStyle w:val="10"/>
                <w:rFonts w:hint="eastAsia"/>
              </w:rPr>
              <w:t>质量保证期：</w:t>
            </w:r>
            <w:r>
              <w:rPr>
                <w:rStyle w:val="11"/>
                <w:rFonts w:hint="eastAsia"/>
              </w:rPr>
              <w:t>2年</w:t>
            </w:r>
          </w:p>
        </w:tc>
      </w:tr>
      <w:tr w14:paraId="37C4C96E">
        <w:tblPrEx>
          <w:tblCellMar>
            <w:top w:w="0" w:type="dxa"/>
            <w:left w:w="0" w:type="dxa"/>
            <w:bottom w:w="0" w:type="dxa"/>
            <w:right w:w="0" w:type="dxa"/>
          </w:tblCellMar>
        </w:tblPrEx>
        <w:trPr>
          <w:wBefore w:w="0" w:type="auto"/>
          <w:tblCellSpacing w:w="0" w:type="dxa"/>
        </w:trPr>
        <w:tc>
          <w:tcPr>
            <w:tcW w:w="0" w:type="auto"/>
            <w:noWrap w:val="0"/>
            <w:vAlign w:val="center"/>
          </w:tcPr>
          <w:p w14:paraId="014EDE26">
            <w:r>
              <w:rPr>
                <w:rStyle w:val="10"/>
                <w:rFonts w:hint="eastAsia"/>
              </w:rPr>
              <w:t>备注：</w:t>
            </w:r>
          </w:p>
        </w:tc>
      </w:tr>
    </w:tbl>
    <w:p w14:paraId="6B6E935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6BD9535">
        <w:tblPrEx>
          <w:tblCellMar>
            <w:top w:w="0" w:type="dxa"/>
            <w:left w:w="0" w:type="dxa"/>
            <w:bottom w:w="0" w:type="dxa"/>
            <w:right w:w="0" w:type="dxa"/>
          </w:tblCellMar>
        </w:tblPrEx>
        <w:trPr>
          <w:wBefore w:w="0" w:type="auto"/>
          <w:tblCellSpacing w:w="0" w:type="dxa"/>
        </w:trPr>
        <w:tc>
          <w:tcPr>
            <w:tcW w:w="0" w:type="auto"/>
            <w:noWrap w:val="0"/>
            <w:vAlign w:val="center"/>
          </w:tcPr>
          <w:p w14:paraId="579637A4">
            <w:r>
              <w:rPr>
                <w:rStyle w:val="10"/>
                <w:rFonts w:hint="eastAsia"/>
              </w:rPr>
              <w:t>登记证号：</w:t>
            </w:r>
            <w:r>
              <w:rPr>
                <w:rFonts w:hint="eastAsia"/>
              </w:rPr>
              <w:t>PD20211755</w:t>
            </w:r>
          </w:p>
        </w:tc>
      </w:tr>
      <w:tr w14:paraId="65071B14">
        <w:tblPrEx>
          <w:tblCellMar>
            <w:top w:w="0" w:type="dxa"/>
            <w:left w:w="0" w:type="dxa"/>
            <w:bottom w:w="0" w:type="dxa"/>
            <w:right w:w="0" w:type="dxa"/>
          </w:tblCellMar>
        </w:tblPrEx>
        <w:trPr>
          <w:wBefore w:w="0" w:type="auto"/>
          <w:tblCellSpacing w:w="0" w:type="dxa"/>
        </w:trPr>
        <w:tc>
          <w:tcPr>
            <w:tcW w:w="0" w:type="auto"/>
            <w:noWrap w:val="0"/>
            <w:vAlign w:val="center"/>
          </w:tcPr>
          <w:p w14:paraId="2A791572">
            <w:r>
              <w:rPr>
                <w:rStyle w:val="10"/>
                <w:rFonts w:hint="eastAsia"/>
              </w:rPr>
              <w:t>登记证持有人：</w:t>
            </w:r>
            <w:r>
              <w:rPr>
                <w:rFonts w:hint="eastAsia"/>
              </w:rPr>
              <w:t>广东真格生物科技有限公司</w:t>
            </w:r>
          </w:p>
        </w:tc>
      </w:tr>
      <w:tr w14:paraId="67CBFD0F">
        <w:tblPrEx>
          <w:tblCellMar>
            <w:top w:w="0" w:type="dxa"/>
            <w:left w:w="0" w:type="dxa"/>
            <w:bottom w:w="0" w:type="dxa"/>
            <w:right w:w="0" w:type="dxa"/>
          </w:tblCellMar>
        </w:tblPrEx>
        <w:trPr>
          <w:wBefore w:w="0" w:type="auto"/>
          <w:tblCellSpacing w:w="0" w:type="dxa"/>
        </w:trPr>
        <w:tc>
          <w:tcPr>
            <w:tcW w:w="0" w:type="auto"/>
            <w:noWrap w:val="0"/>
            <w:vAlign w:val="center"/>
          </w:tcPr>
          <w:p w14:paraId="465AE1A7">
            <w:r>
              <w:rPr>
                <w:rStyle w:val="10"/>
                <w:rFonts w:hint="eastAsia"/>
              </w:rPr>
              <w:t>农药名称：</w:t>
            </w:r>
            <w:r>
              <w:rPr>
                <w:rFonts w:hint="eastAsia"/>
              </w:rPr>
              <w:t>噻虫嗪·杀虫环</w:t>
            </w:r>
          </w:p>
        </w:tc>
      </w:tr>
      <w:tr w14:paraId="5BCCA133">
        <w:tblPrEx>
          <w:tblCellMar>
            <w:top w:w="0" w:type="dxa"/>
            <w:left w:w="0" w:type="dxa"/>
            <w:bottom w:w="0" w:type="dxa"/>
            <w:right w:w="0" w:type="dxa"/>
          </w:tblCellMar>
        </w:tblPrEx>
        <w:trPr>
          <w:wBefore w:w="0" w:type="auto"/>
          <w:tblCellSpacing w:w="0" w:type="dxa"/>
        </w:trPr>
        <w:tc>
          <w:tcPr>
            <w:tcW w:w="0" w:type="auto"/>
            <w:noWrap w:val="0"/>
            <w:vAlign w:val="center"/>
          </w:tcPr>
          <w:p w14:paraId="197B6BD5">
            <w:r>
              <w:rPr>
                <w:rStyle w:val="10"/>
                <w:rFonts w:hint="eastAsia"/>
              </w:rPr>
              <w:t>剂型：</w:t>
            </w:r>
            <w:r>
              <w:rPr>
                <w:rFonts w:hint="eastAsia"/>
              </w:rPr>
              <w:t>可湿性粉剂</w:t>
            </w:r>
          </w:p>
        </w:tc>
      </w:tr>
      <w:tr w14:paraId="7B988F18">
        <w:tblPrEx>
          <w:tblCellMar>
            <w:top w:w="0" w:type="dxa"/>
            <w:left w:w="0" w:type="dxa"/>
            <w:bottom w:w="0" w:type="dxa"/>
            <w:right w:w="0" w:type="dxa"/>
          </w:tblCellMar>
        </w:tblPrEx>
        <w:trPr>
          <w:wBefore w:w="0" w:type="auto"/>
          <w:tblCellSpacing w:w="0" w:type="dxa"/>
        </w:trPr>
        <w:tc>
          <w:tcPr>
            <w:tcW w:w="0" w:type="auto"/>
            <w:noWrap w:val="0"/>
            <w:vAlign w:val="center"/>
          </w:tcPr>
          <w:p w14:paraId="512AB06E">
            <w:r>
              <w:rPr>
                <w:rStyle w:val="10"/>
                <w:rFonts w:hint="eastAsia"/>
              </w:rPr>
              <w:t>毒性及其标识：</w:t>
            </w:r>
            <w:r>
              <w:rPr>
                <w:rFonts w:hint="eastAsia"/>
              </w:rPr>
              <w:t xml:space="preserve"> </w:t>
            </w:r>
            <w:r>
              <w:rPr>
                <w:lang/>
              </w:rPr>
              <w:drawing>
                <wp:inline distT="0" distB="0" distL="114300" distR="114300">
                  <wp:extent cx="476250" cy="323850"/>
                  <wp:effectExtent l="0" t="0" r="0" b="0"/>
                  <wp:docPr id="225" name="图片 22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C92BB62">
        <w:tblPrEx>
          <w:tblCellMar>
            <w:top w:w="0" w:type="dxa"/>
            <w:left w:w="0" w:type="dxa"/>
            <w:bottom w:w="0" w:type="dxa"/>
            <w:right w:w="0" w:type="dxa"/>
          </w:tblCellMar>
        </w:tblPrEx>
        <w:trPr>
          <w:wBefore w:w="0" w:type="auto"/>
          <w:tblCellSpacing w:w="0" w:type="dxa"/>
        </w:trPr>
        <w:tc>
          <w:tcPr>
            <w:tcW w:w="0" w:type="auto"/>
            <w:noWrap w:val="0"/>
            <w:vAlign w:val="center"/>
          </w:tcPr>
          <w:p w14:paraId="0C6AEA86">
            <w:r>
              <w:rPr>
                <w:rStyle w:val="10"/>
                <w:rFonts w:hint="eastAsia"/>
              </w:rPr>
              <w:t>总有效成分含量：</w:t>
            </w:r>
            <w:r>
              <w:rPr>
                <w:rFonts w:hint="eastAsia"/>
              </w:rPr>
              <w:t>46.7%</w:t>
            </w:r>
          </w:p>
        </w:tc>
      </w:tr>
      <w:tr w14:paraId="241A5D0E">
        <w:tblPrEx>
          <w:tblCellMar>
            <w:top w:w="0" w:type="dxa"/>
            <w:left w:w="0" w:type="dxa"/>
            <w:bottom w:w="0" w:type="dxa"/>
            <w:right w:w="0" w:type="dxa"/>
          </w:tblCellMar>
        </w:tblPrEx>
        <w:trPr>
          <w:wBefore w:w="0" w:type="auto"/>
          <w:tblCellSpacing w:w="0" w:type="dxa"/>
        </w:trPr>
        <w:tc>
          <w:tcPr>
            <w:tcW w:w="0" w:type="auto"/>
            <w:noWrap w:val="0"/>
            <w:vAlign w:val="center"/>
          </w:tcPr>
          <w:p w14:paraId="66F3D535">
            <w:r>
              <w:rPr>
                <w:rFonts w:hint="eastAsia"/>
              </w:rPr>
              <w:t xml:space="preserve">有效成分及其含量： </w:t>
            </w:r>
          </w:p>
          <w:p w14:paraId="3B620BD4">
            <w:r>
              <w:rPr>
                <w:rFonts w:hint="eastAsia"/>
              </w:rPr>
              <w:t xml:space="preserve">    噻虫嗪20%    杀虫环26.7%    </w:t>
            </w:r>
          </w:p>
        </w:tc>
      </w:tr>
      <w:tr w14:paraId="4D0F6686">
        <w:tblPrEx>
          <w:tblCellMar>
            <w:top w:w="0" w:type="dxa"/>
            <w:left w:w="0" w:type="dxa"/>
            <w:bottom w:w="0" w:type="dxa"/>
            <w:right w:w="0" w:type="dxa"/>
          </w:tblCellMar>
        </w:tblPrEx>
        <w:trPr>
          <w:wBefore w:w="0" w:type="auto"/>
          <w:tblCellSpacing w:w="0" w:type="dxa"/>
        </w:trPr>
        <w:tc>
          <w:tcPr>
            <w:tcW w:w="0" w:type="auto"/>
            <w:noWrap w:val="0"/>
            <w:vAlign w:val="center"/>
          </w:tcPr>
          <w:p w14:paraId="6589640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6363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506F28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FA7D99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16CC7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857DF40">
                  <w:r>
                    <w:rPr>
                      <w:rStyle w:val="11"/>
                      <w:rFonts w:hint="eastAsia"/>
                    </w:rPr>
                    <w:t>施用方式</w:t>
                  </w:r>
                </w:p>
              </w:tc>
            </w:tr>
            <w:tr w14:paraId="68015B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D04F1E">
                  <w:r>
                    <w:rPr>
                      <w:rStyle w:val="11"/>
                      <w:rFonts w:hint="eastAsia"/>
                    </w:rPr>
                    <w:t>节瓜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625168">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7C669B">
                  <w:r>
                    <w:rPr>
                      <w:rStyle w:val="11"/>
                      <w:rFonts w:hint="eastAsia"/>
                    </w:rPr>
                    <w:t>12-16毫升/亩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D3EE42">
                  <w:r>
                    <w:rPr>
                      <w:rStyle w:val="11"/>
                      <w:rFonts w:hint="eastAsia"/>
                    </w:rPr>
                    <w:t>喷雾</w:t>
                  </w:r>
                </w:p>
              </w:tc>
            </w:tr>
          </w:tbl>
          <w:p w14:paraId="69A1CB8D">
            <w:pPr>
              <w:rPr>
                <w:rFonts w:ascii="Times New Roman" w:hAnsi="Times New Roman" w:cs="Times New Roman"/>
                <w:sz w:val="20"/>
                <w:szCs w:val="20"/>
              </w:rPr>
            </w:pPr>
          </w:p>
        </w:tc>
      </w:tr>
      <w:tr w14:paraId="4A859183">
        <w:tblPrEx>
          <w:tblCellMar>
            <w:top w:w="0" w:type="dxa"/>
            <w:left w:w="0" w:type="dxa"/>
            <w:bottom w:w="0" w:type="dxa"/>
            <w:right w:w="0" w:type="dxa"/>
          </w:tblCellMar>
        </w:tblPrEx>
        <w:trPr>
          <w:wBefore w:w="0" w:type="auto"/>
          <w:tblCellSpacing w:w="0" w:type="dxa"/>
        </w:trPr>
        <w:tc>
          <w:tcPr>
            <w:tcW w:w="0" w:type="auto"/>
            <w:noWrap w:val="0"/>
            <w:vAlign w:val="center"/>
          </w:tcPr>
          <w:p w14:paraId="6FD0F828">
            <w:r>
              <w:rPr>
                <w:rStyle w:val="10"/>
                <w:rFonts w:hint="eastAsia"/>
              </w:rPr>
              <w:t>使用技术要求:</w:t>
            </w:r>
            <w:r>
              <w:rPr>
                <w:rFonts w:hint="eastAsia"/>
              </w:rPr>
              <w:br w:type="textWrapping"/>
            </w:r>
            <w:r>
              <w:rPr>
                <w:rStyle w:val="11"/>
                <w:rFonts w:hint="eastAsia"/>
              </w:rPr>
              <w:t>1. 在节瓜蓟马发生始盛期施药1次，注意喷雾均匀。2. 大风天或预计1小时内降雨，请勿施药。3.在节瓜上每季作物最多使用1次，安全间隔期为5天。</w:t>
            </w:r>
          </w:p>
        </w:tc>
      </w:tr>
      <w:tr w14:paraId="1425785D">
        <w:tblPrEx>
          <w:tblCellMar>
            <w:top w:w="0" w:type="dxa"/>
            <w:left w:w="0" w:type="dxa"/>
            <w:bottom w:w="0" w:type="dxa"/>
            <w:right w:w="0" w:type="dxa"/>
          </w:tblCellMar>
        </w:tblPrEx>
        <w:trPr>
          <w:wBefore w:w="0" w:type="auto"/>
          <w:tblCellSpacing w:w="0" w:type="dxa"/>
        </w:trPr>
        <w:tc>
          <w:tcPr>
            <w:tcW w:w="0" w:type="auto"/>
            <w:noWrap w:val="0"/>
            <w:vAlign w:val="center"/>
          </w:tcPr>
          <w:p w14:paraId="3002D805">
            <w:r>
              <w:rPr>
                <w:rStyle w:val="10"/>
                <w:rFonts w:hint="eastAsia"/>
              </w:rPr>
              <w:t>产品性能:</w:t>
            </w:r>
            <w:r>
              <w:rPr>
                <w:rFonts w:hint="eastAsia"/>
              </w:rPr>
              <w:br w:type="textWrapping"/>
            </w:r>
            <w:r>
              <w:rPr>
                <w:rStyle w:val="11"/>
                <w:rFonts w:hint="eastAsia"/>
              </w:rPr>
              <w:t>本品是新烟碱类、沙蚕毒素类混配制剂，具有触杀、胃毒和内吸作用，且能杀卵。按登记剂量使用时，对节瓜蓟马有较好的防治效果。</w:t>
            </w:r>
          </w:p>
        </w:tc>
      </w:tr>
      <w:tr w14:paraId="3B2141D6">
        <w:tblPrEx>
          <w:tblCellMar>
            <w:top w:w="0" w:type="dxa"/>
            <w:left w:w="0" w:type="dxa"/>
            <w:bottom w:w="0" w:type="dxa"/>
            <w:right w:w="0" w:type="dxa"/>
          </w:tblCellMar>
        </w:tblPrEx>
        <w:trPr>
          <w:wBefore w:w="0" w:type="auto"/>
          <w:tblCellSpacing w:w="0" w:type="dxa"/>
        </w:trPr>
        <w:tc>
          <w:tcPr>
            <w:tcW w:w="0" w:type="auto"/>
            <w:noWrap w:val="0"/>
            <w:vAlign w:val="center"/>
          </w:tcPr>
          <w:p w14:paraId="236FBFBB">
            <w:r>
              <w:rPr>
                <w:rStyle w:val="10"/>
                <w:rFonts w:hint="eastAsia"/>
              </w:rPr>
              <w:t>注意事项：</w:t>
            </w:r>
            <w:r>
              <w:rPr>
                <w:rFonts w:hint="eastAsia"/>
              </w:rPr>
              <w:br w:type="textWrapping"/>
            </w:r>
            <w:r>
              <w:rPr>
                <w:rStyle w:val="11"/>
                <w:rFonts w:hint="eastAsia"/>
              </w:rPr>
              <w:t>1. 严格按照规定用药量和方法使用。2. 建议与其他作用机制不同的杀虫剂轮换使用，以延缓抗性产生。3. 鸟类保护区附近禁用；（周围）开花植物花期禁用，且使用时应密切关注对附近蜂群的影响；蚕室及桑园附近禁用；赤眼蜂、瓢虫（或其他代表性天敌）等天敌放飞区禁用。远离水产养殖区、河塘等水体施药，水产养殖区、河塘等水体附近禁用，鱼或虾蟹套餐稻田禁用，施药后的田水不得直接排入水体；清洗施药器械时切忌污染水源。4. 使用过的施药器械，应清洗干净方可用于其它的农药。5. 本品对眼睛有刺激性，施用时注意安全防护，穿（戴）长衣、长裤、帽子、口罩、手套、鞋子等；施药中禁止饮食、吸烟、饮水等；施药后应用肥皂和清水彻底清洗暴露在外的皮肤。6. 用药后包装物及用过的容器应妥善处理，不可做他用，也不可随意丢弃。7. 孕妇、哺乳期的妇女禁止接触本产品。</w:t>
            </w:r>
          </w:p>
        </w:tc>
      </w:tr>
      <w:tr w14:paraId="09BFBB62">
        <w:tblPrEx>
          <w:tblCellMar>
            <w:top w:w="0" w:type="dxa"/>
            <w:left w:w="0" w:type="dxa"/>
            <w:bottom w:w="0" w:type="dxa"/>
            <w:right w:w="0" w:type="dxa"/>
          </w:tblCellMar>
        </w:tblPrEx>
        <w:trPr>
          <w:wBefore w:w="0" w:type="auto"/>
          <w:tblCellSpacing w:w="0" w:type="dxa"/>
        </w:trPr>
        <w:tc>
          <w:tcPr>
            <w:tcW w:w="0" w:type="auto"/>
            <w:noWrap w:val="0"/>
            <w:vAlign w:val="center"/>
          </w:tcPr>
          <w:p w14:paraId="1AD29312">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41AC9711">
        <w:tblPrEx>
          <w:tblCellMar>
            <w:top w:w="0" w:type="dxa"/>
            <w:left w:w="0" w:type="dxa"/>
            <w:bottom w:w="0" w:type="dxa"/>
            <w:right w:w="0" w:type="dxa"/>
          </w:tblCellMar>
        </w:tblPrEx>
        <w:trPr>
          <w:wBefore w:w="0" w:type="auto"/>
          <w:tblCellSpacing w:w="0" w:type="dxa"/>
        </w:trPr>
        <w:tc>
          <w:tcPr>
            <w:tcW w:w="0" w:type="auto"/>
            <w:noWrap w:val="0"/>
            <w:vAlign w:val="center"/>
          </w:tcPr>
          <w:p w14:paraId="3351C794">
            <w:r>
              <w:rPr>
                <w:rStyle w:val="10"/>
                <w:rFonts w:hint="eastAsia"/>
              </w:rPr>
              <w:t>储存和运输方法：</w:t>
            </w:r>
            <w:r>
              <w:rPr>
                <w:rFonts w:hint="eastAsia"/>
              </w:rPr>
              <w:br w:type="textWrapping"/>
            </w:r>
            <w:r>
              <w:rPr>
                <w:rStyle w:val="11"/>
                <w:rFonts w:hint="eastAsia"/>
              </w:rPr>
              <w:t>本品应储存在干燥、阴凉、通风、防雨处，远离火源或热源。置于儿童、无关人员接触不到的地方，并加锁保存。不能与食品、饮料、粮食、饲料等同储同运。在装卸、运输时应轻拿轻放。</w:t>
            </w:r>
          </w:p>
        </w:tc>
      </w:tr>
      <w:tr w14:paraId="342E3F02">
        <w:tblPrEx>
          <w:tblCellMar>
            <w:top w:w="0" w:type="dxa"/>
            <w:left w:w="0" w:type="dxa"/>
            <w:bottom w:w="0" w:type="dxa"/>
            <w:right w:w="0" w:type="dxa"/>
          </w:tblCellMar>
        </w:tblPrEx>
        <w:trPr>
          <w:wBefore w:w="0" w:type="auto"/>
          <w:tblCellSpacing w:w="0" w:type="dxa"/>
        </w:trPr>
        <w:tc>
          <w:tcPr>
            <w:tcW w:w="0" w:type="auto"/>
            <w:noWrap w:val="0"/>
            <w:vAlign w:val="center"/>
          </w:tcPr>
          <w:p w14:paraId="58C09142">
            <w:r>
              <w:rPr>
                <w:rStyle w:val="10"/>
                <w:rFonts w:hint="eastAsia"/>
              </w:rPr>
              <w:t>质量保证期：</w:t>
            </w:r>
            <w:r>
              <w:rPr>
                <w:rStyle w:val="11"/>
                <w:rFonts w:hint="eastAsia"/>
              </w:rPr>
              <w:t>2年</w:t>
            </w:r>
          </w:p>
        </w:tc>
      </w:tr>
      <w:tr w14:paraId="63FEB135">
        <w:tblPrEx>
          <w:tblCellMar>
            <w:top w:w="0" w:type="dxa"/>
            <w:left w:w="0" w:type="dxa"/>
            <w:bottom w:w="0" w:type="dxa"/>
            <w:right w:w="0" w:type="dxa"/>
          </w:tblCellMar>
        </w:tblPrEx>
        <w:trPr>
          <w:wBefore w:w="0" w:type="auto"/>
          <w:tblCellSpacing w:w="0" w:type="dxa"/>
        </w:trPr>
        <w:tc>
          <w:tcPr>
            <w:tcW w:w="0" w:type="auto"/>
            <w:noWrap w:val="0"/>
            <w:vAlign w:val="center"/>
          </w:tcPr>
          <w:p w14:paraId="5AFF4A56">
            <w:r>
              <w:rPr>
                <w:rStyle w:val="10"/>
                <w:rFonts w:hint="eastAsia"/>
              </w:rPr>
              <w:t>备注：</w:t>
            </w:r>
            <w:r>
              <w:rPr>
                <w:rFonts w:hint="eastAsia"/>
              </w:rPr>
              <w:br w:type="textWrapping"/>
            </w:r>
            <w:r>
              <w:rPr>
                <w:rStyle w:val="11"/>
                <w:rFonts w:hint="eastAsia"/>
              </w:rPr>
              <w:t>杀虫双草酸盐40%。</w:t>
            </w:r>
          </w:p>
        </w:tc>
      </w:tr>
    </w:tbl>
    <w:p w14:paraId="53F21E1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B4F791">
        <w:tblPrEx>
          <w:tblCellMar>
            <w:top w:w="0" w:type="dxa"/>
            <w:left w:w="0" w:type="dxa"/>
            <w:bottom w:w="0" w:type="dxa"/>
            <w:right w:w="0" w:type="dxa"/>
          </w:tblCellMar>
        </w:tblPrEx>
        <w:trPr>
          <w:wBefore w:w="0" w:type="auto"/>
          <w:tblCellSpacing w:w="0" w:type="dxa"/>
        </w:trPr>
        <w:tc>
          <w:tcPr>
            <w:tcW w:w="0" w:type="auto"/>
            <w:noWrap w:val="0"/>
            <w:vAlign w:val="center"/>
          </w:tcPr>
          <w:p w14:paraId="0C6DEFAA">
            <w:r>
              <w:rPr>
                <w:rStyle w:val="10"/>
                <w:rFonts w:hint="eastAsia"/>
              </w:rPr>
              <w:t>登记证号：</w:t>
            </w:r>
            <w:r>
              <w:rPr>
                <w:rFonts w:hint="eastAsia"/>
              </w:rPr>
              <w:t>PD20212269</w:t>
            </w:r>
          </w:p>
        </w:tc>
      </w:tr>
      <w:tr w14:paraId="49E49BA6">
        <w:tblPrEx>
          <w:tblCellMar>
            <w:top w:w="0" w:type="dxa"/>
            <w:left w:w="0" w:type="dxa"/>
            <w:bottom w:w="0" w:type="dxa"/>
            <w:right w:w="0" w:type="dxa"/>
          </w:tblCellMar>
        </w:tblPrEx>
        <w:trPr>
          <w:wBefore w:w="0" w:type="auto"/>
          <w:tblCellSpacing w:w="0" w:type="dxa"/>
        </w:trPr>
        <w:tc>
          <w:tcPr>
            <w:tcW w:w="0" w:type="auto"/>
            <w:noWrap w:val="0"/>
            <w:vAlign w:val="center"/>
          </w:tcPr>
          <w:p w14:paraId="3E2C78B5">
            <w:r>
              <w:rPr>
                <w:rStyle w:val="10"/>
                <w:rFonts w:hint="eastAsia"/>
              </w:rPr>
              <w:t>登记证持有人：</w:t>
            </w:r>
            <w:r>
              <w:rPr>
                <w:rFonts w:hint="eastAsia"/>
              </w:rPr>
              <w:t>山东滨农科技有限公司</w:t>
            </w:r>
          </w:p>
        </w:tc>
      </w:tr>
      <w:tr w14:paraId="00817BD6">
        <w:tblPrEx>
          <w:tblCellMar>
            <w:top w:w="0" w:type="dxa"/>
            <w:left w:w="0" w:type="dxa"/>
            <w:bottom w:w="0" w:type="dxa"/>
            <w:right w:w="0" w:type="dxa"/>
          </w:tblCellMar>
        </w:tblPrEx>
        <w:trPr>
          <w:wBefore w:w="0" w:type="auto"/>
          <w:tblCellSpacing w:w="0" w:type="dxa"/>
        </w:trPr>
        <w:tc>
          <w:tcPr>
            <w:tcW w:w="0" w:type="auto"/>
            <w:noWrap w:val="0"/>
            <w:vAlign w:val="center"/>
          </w:tcPr>
          <w:p w14:paraId="59A70678">
            <w:r>
              <w:rPr>
                <w:rStyle w:val="10"/>
                <w:rFonts w:hint="eastAsia"/>
              </w:rPr>
              <w:t>农药名称：</w:t>
            </w:r>
            <w:r>
              <w:rPr>
                <w:rFonts w:hint="eastAsia"/>
              </w:rPr>
              <w:t>硝·2甲·莠灭</w:t>
            </w:r>
          </w:p>
        </w:tc>
      </w:tr>
      <w:tr w14:paraId="5583BD1D">
        <w:tblPrEx>
          <w:tblCellMar>
            <w:top w:w="0" w:type="dxa"/>
            <w:left w:w="0" w:type="dxa"/>
            <w:bottom w:w="0" w:type="dxa"/>
            <w:right w:w="0" w:type="dxa"/>
          </w:tblCellMar>
        </w:tblPrEx>
        <w:trPr>
          <w:wBefore w:w="0" w:type="auto"/>
          <w:tblCellSpacing w:w="0" w:type="dxa"/>
        </w:trPr>
        <w:tc>
          <w:tcPr>
            <w:tcW w:w="0" w:type="auto"/>
            <w:noWrap w:val="0"/>
            <w:vAlign w:val="center"/>
          </w:tcPr>
          <w:p w14:paraId="5DC14EC8">
            <w:r>
              <w:rPr>
                <w:rStyle w:val="10"/>
                <w:rFonts w:hint="eastAsia"/>
              </w:rPr>
              <w:t>剂型：</w:t>
            </w:r>
            <w:r>
              <w:rPr>
                <w:rFonts w:hint="eastAsia"/>
              </w:rPr>
              <w:t>可湿性粉剂</w:t>
            </w:r>
          </w:p>
        </w:tc>
      </w:tr>
      <w:tr w14:paraId="22260907">
        <w:tblPrEx>
          <w:tblCellMar>
            <w:top w:w="0" w:type="dxa"/>
            <w:left w:w="0" w:type="dxa"/>
            <w:bottom w:w="0" w:type="dxa"/>
            <w:right w:w="0" w:type="dxa"/>
          </w:tblCellMar>
        </w:tblPrEx>
        <w:trPr>
          <w:wBefore w:w="0" w:type="auto"/>
          <w:tblCellSpacing w:w="0" w:type="dxa"/>
        </w:trPr>
        <w:tc>
          <w:tcPr>
            <w:tcW w:w="0" w:type="auto"/>
            <w:noWrap w:val="0"/>
            <w:vAlign w:val="center"/>
          </w:tcPr>
          <w:p w14:paraId="050749CA">
            <w:r>
              <w:rPr>
                <w:rStyle w:val="10"/>
                <w:rFonts w:hint="eastAsia"/>
              </w:rPr>
              <w:t>毒性及其标识：</w:t>
            </w:r>
            <w:r>
              <w:rPr>
                <w:rFonts w:hint="eastAsia"/>
              </w:rPr>
              <w:t xml:space="preserve"> </w:t>
            </w:r>
            <w:r>
              <w:rPr>
                <w:lang/>
              </w:rPr>
              <w:drawing>
                <wp:inline distT="0" distB="0" distL="114300" distR="114300">
                  <wp:extent cx="476250" cy="323850"/>
                  <wp:effectExtent l="0" t="0" r="0" b="0"/>
                  <wp:docPr id="226" name="图片 22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B5E20B9">
        <w:tblPrEx>
          <w:tblCellMar>
            <w:top w:w="0" w:type="dxa"/>
            <w:left w:w="0" w:type="dxa"/>
            <w:bottom w:w="0" w:type="dxa"/>
            <w:right w:w="0" w:type="dxa"/>
          </w:tblCellMar>
        </w:tblPrEx>
        <w:trPr>
          <w:wBefore w:w="0" w:type="auto"/>
          <w:tblCellSpacing w:w="0" w:type="dxa"/>
        </w:trPr>
        <w:tc>
          <w:tcPr>
            <w:tcW w:w="0" w:type="auto"/>
            <w:noWrap w:val="0"/>
            <w:vAlign w:val="center"/>
          </w:tcPr>
          <w:p w14:paraId="476CC946">
            <w:r>
              <w:rPr>
                <w:rStyle w:val="10"/>
                <w:rFonts w:hint="eastAsia"/>
              </w:rPr>
              <w:t>总有效成分含量：</w:t>
            </w:r>
            <w:r>
              <w:rPr>
                <w:rFonts w:hint="eastAsia"/>
              </w:rPr>
              <w:t>59%</w:t>
            </w:r>
          </w:p>
        </w:tc>
      </w:tr>
      <w:tr w14:paraId="3719ECEB">
        <w:tblPrEx>
          <w:tblCellMar>
            <w:top w:w="0" w:type="dxa"/>
            <w:left w:w="0" w:type="dxa"/>
            <w:bottom w:w="0" w:type="dxa"/>
            <w:right w:w="0" w:type="dxa"/>
          </w:tblCellMar>
        </w:tblPrEx>
        <w:trPr>
          <w:wBefore w:w="0" w:type="auto"/>
          <w:tblCellSpacing w:w="0" w:type="dxa"/>
        </w:trPr>
        <w:tc>
          <w:tcPr>
            <w:tcW w:w="0" w:type="auto"/>
            <w:noWrap w:val="0"/>
            <w:vAlign w:val="center"/>
          </w:tcPr>
          <w:p w14:paraId="6D3B6FA6">
            <w:r>
              <w:rPr>
                <w:rFonts w:hint="eastAsia"/>
              </w:rPr>
              <w:t xml:space="preserve">有效成分及其含量： </w:t>
            </w:r>
          </w:p>
          <w:p w14:paraId="4755E0CD">
            <w:r>
              <w:rPr>
                <w:rFonts w:hint="eastAsia"/>
              </w:rPr>
              <w:t xml:space="preserve">    莠灭净40%    硝磺草酮10%    2甲4氯9%    </w:t>
            </w:r>
          </w:p>
        </w:tc>
      </w:tr>
      <w:tr w14:paraId="4E6EDE5F">
        <w:tblPrEx>
          <w:tblCellMar>
            <w:top w:w="0" w:type="dxa"/>
            <w:left w:w="0" w:type="dxa"/>
            <w:bottom w:w="0" w:type="dxa"/>
            <w:right w:w="0" w:type="dxa"/>
          </w:tblCellMar>
        </w:tblPrEx>
        <w:trPr>
          <w:wBefore w:w="0" w:type="auto"/>
          <w:tblCellSpacing w:w="0" w:type="dxa"/>
        </w:trPr>
        <w:tc>
          <w:tcPr>
            <w:tcW w:w="0" w:type="auto"/>
            <w:noWrap w:val="0"/>
            <w:vAlign w:val="center"/>
          </w:tcPr>
          <w:p w14:paraId="1B98ED7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1E626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12685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DDC72A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0CA2CC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FEF4556">
                  <w:r>
                    <w:rPr>
                      <w:rStyle w:val="11"/>
                      <w:rFonts w:hint="eastAsia"/>
                    </w:rPr>
                    <w:t>施用方式</w:t>
                  </w:r>
                </w:p>
              </w:tc>
            </w:tr>
            <w:tr w14:paraId="140A33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787DB8">
                  <w:r>
                    <w:rPr>
                      <w:rStyle w:val="11"/>
                      <w:rFonts w:hint="eastAsia"/>
                    </w:rPr>
                    <w:t>甘蔗田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D3CDA1">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4D7D9E">
                  <w:r>
                    <w:rPr>
                      <w:rStyle w:val="11"/>
                      <w:rFonts w:hint="eastAsia"/>
                    </w:rPr>
                    <w:t>70-90克/亩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D09B20">
                  <w:r>
                    <w:rPr>
                      <w:rStyle w:val="11"/>
                      <w:rFonts w:hint="eastAsia"/>
                    </w:rPr>
                    <w:t>定向茎叶喷雾</w:t>
                  </w:r>
                </w:p>
              </w:tc>
            </w:tr>
          </w:tbl>
          <w:p w14:paraId="23694261">
            <w:pPr>
              <w:rPr>
                <w:rFonts w:ascii="Times New Roman" w:hAnsi="Times New Roman" w:cs="Times New Roman"/>
                <w:sz w:val="20"/>
                <w:szCs w:val="20"/>
              </w:rPr>
            </w:pPr>
          </w:p>
        </w:tc>
      </w:tr>
      <w:tr w14:paraId="7AA27577">
        <w:tblPrEx>
          <w:tblCellMar>
            <w:top w:w="0" w:type="dxa"/>
            <w:left w:w="0" w:type="dxa"/>
            <w:bottom w:w="0" w:type="dxa"/>
            <w:right w:w="0" w:type="dxa"/>
          </w:tblCellMar>
        </w:tblPrEx>
        <w:trPr>
          <w:wBefore w:w="0" w:type="auto"/>
          <w:tblCellSpacing w:w="0" w:type="dxa"/>
        </w:trPr>
        <w:tc>
          <w:tcPr>
            <w:tcW w:w="0" w:type="auto"/>
            <w:noWrap w:val="0"/>
            <w:vAlign w:val="center"/>
          </w:tcPr>
          <w:p w14:paraId="76C3D56D">
            <w:r>
              <w:rPr>
                <w:rStyle w:val="10"/>
                <w:rFonts w:hint="eastAsia"/>
              </w:rPr>
              <w:t>使用技术要求:</w:t>
            </w:r>
            <w:r>
              <w:rPr>
                <w:rFonts w:hint="eastAsia"/>
              </w:rPr>
              <w:br w:type="textWrapping"/>
            </w:r>
            <w:r>
              <w:rPr>
                <w:rStyle w:val="11"/>
                <w:rFonts w:hint="eastAsia"/>
              </w:rPr>
              <w:t>二次稀释，充分搅拌，于甘蔗3-5叶期，杂草出齐至10厘米左右定向茎叶喷雾1次，施药时尽量对准垄沟杂草，压低喷头均匀喷雾，避免直接喷到甘蔗心叶上和减少药液向外漂移。预计1小时内有降雨或大风天请勿施药，施药时避免漂移到邻近敏感作物田。</w:t>
            </w:r>
          </w:p>
        </w:tc>
      </w:tr>
      <w:tr w14:paraId="2ABB937C">
        <w:tblPrEx>
          <w:tblCellMar>
            <w:top w:w="0" w:type="dxa"/>
            <w:left w:w="0" w:type="dxa"/>
            <w:bottom w:w="0" w:type="dxa"/>
            <w:right w:w="0" w:type="dxa"/>
          </w:tblCellMar>
        </w:tblPrEx>
        <w:trPr>
          <w:wBefore w:w="0" w:type="auto"/>
          <w:tblCellSpacing w:w="0" w:type="dxa"/>
        </w:trPr>
        <w:tc>
          <w:tcPr>
            <w:tcW w:w="0" w:type="auto"/>
            <w:noWrap w:val="0"/>
            <w:vAlign w:val="center"/>
          </w:tcPr>
          <w:p w14:paraId="68A50178">
            <w:r>
              <w:rPr>
                <w:rStyle w:val="10"/>
                <w:rFonts w:hint="eastAsia"/>
              </w:rPr>
              <w:t>产品性能:</w:t>
            </w:r>
            <w:r>
              <w:rPr>
                <w:rFonts w:hint="eastAsia"/>
              </w:rPr>
              <w:br w:type="textWrapping"/>
            </w:r>
            <w:r>
              <w:rPr>
                <w:rStyle w:val="11"/>
                <w:rFonts w:hint="eastAsia"/>
              </w:rPr>
              <w:t>甘蔗田新型除草剂，三元复配，含有不同的杀草机理，作用速度快，杀草谱广，用于防治多种一年生禾本科杂草与阔叶杂草。</w:t>
            </w:r>
          </w:p>
        </w:tc>
      </w:tr>
      <w:tr w14:paraId="6E4C5BBF">
        <w:tblPrEx>
          <w:tblCellMar>
            <w:top w:w="0" w:type="dxa"/>
            <w:left w:w="0" w:type="dxa"/>
            <w:bottom w:w="0" w:type="dxa"/>
            <w:right w:w="0" w:type="dxa"/>
          </w:tblCellMar>
        </w:tblPrEx>
        <w:trPr>
          <w:wBefore w:w="0" w:type="auto"/>
          <w:tblCellSpacing w:w="0" w:type="dxa"/>
        </w:trPr>
        <w:tc>
          <w:tcPr>
            <w:tcW w:w="0" w:type="auto"/>
            <w:noWrap w:val="0"/>
            <w:vAlign w:val="center"/>
          </w:tcPr>
          <w:p w14:paraId="390D04FE">
            <w:r>
              <w:rPr>
                <w:rStyle w:val="10"/>
                <w:rFonts w:hint="eastAsia"/>
              </w:rPr>
              <w:t>注意事项：</w:t>
            </w:r>
            <w:r>
              <w:rPr>
                <w:rFonts w:hint="eastAsia"/>
              </w:rPr>
              <w:br w:type="textWrapping"/>
            </w:r>
            <w:r>
              <w:rPr>
                <w:rStyle w:val="11"/>
                <w:rFonts w:hint="eastAsia"/>
              </w:rPr>
              <w:t>1. 在砂性土壤、田间积水的情况下使用，甘蔗叶片可能会出现轻微发黄现象，一般1-2周可恢复正常，不影响甘蔗的生长和产量。遇特殊条件，如高温、干旱、低温、生长弱小时请慎用。 2. 棉花、马铃薯、油菜、豆类、瓜类、果树等对本品敏感，用药时要防止雾滴漂移到上述植物上。间种或套种敏感作物的地块，请勿使用。 3. 本品对部分糖蔗品种比较敏感，如粤糖63/237#、93/158#、93/159#、新台糖系列如23#、25#、27#、桂糖系列、果蔗等不推荐使用，如在以上或其他新推广种植的品种上使用，需先进行试验验证后再考虑是否使用。 4. 远离水产养殖区、河塘等水体施药，禁止在河塘等水体清洗施药器具，清洗施药器具的废水不可倒入河流、池塘等水体。地下水。饮用水源地附近禁用，赤眼蜂等天敌放飞区禁用禁止在植物花期、蚕室及桑园等附近使用。 5. 本品对眼睛有刺激性，使用时避免接触眼睛，穿戴长衣、长裤、帽子、口罩、手套等防护措施。 6. 孕妇及哺乳期妇女应避免接触。7. 用过的容器应妥善处理，不可做他用，也不可随意丢弃。</w:t>
            </w:r>
          </w:p>
        </w:tc>
      </w:tr>
      <w:tr w14:paraId="0E8DD10E">
        <w:tblPrEx>
          <w:tblCellMar>
            <w:top w:w="0" w:type="dxa"/>
            <w:left w:w="0" w:type="dxa"/>
            <w:bottom w:w="0" w:type="dxa"/>
            <w:right w:w="0" w:type="dxa"/>
          </w:tblCellMar>
        </w:tblPrEx>
        <w:trPr>
          <w:wBefore w:w="0" w:type="auto"/>
          <w:tblCellSpacing w:w="0" w:type="dxa"/>
        </w:trPr>
        <w:tc>
          <w:tcPr>
            <w:tcW w:w="0" w:type="auto"/>
            <w:noWrap w:val="0"/>
            <w:vAlign w:val="center"/>
          </w:tcPr>
          <w:p w14:paraId="425FFA06">
            <w:r>
              <w:rPr>
                <w:rStyle w:val="10"/>
                <w:rFonts w:hint="eastAsia"/>
              </w:rPr>
              <w:t>中毒急救措施：</w:t>
            </w:r>
            <w:r>
              <w:rPr>
                <w:rFonts w:hint="eastAsia"/>
              </w:rPr>
              <w:br w:type="textWrapping"/>
            </w:r>
            <w:r>
              <w:rPr>
                <w:rStyle w:val="11"/>
                <w:rFonts w:hint="eastAsia"/>
              </w:rPr>
              <w:t xml:space="preserve">中毒症状：对眼、皮肤、粘膜有刺激作用。 1.皮肤接触：立即脱掉被污染的衣物，用肥皂和大量清水彻底清洗受污染的皮肤。 2.眼睛溅药：立即将眼睑翻开，用清水冲洗10-15分钟，再请医生诊治。 3.不慎吸入：立即将吸入者转移到空气新鲜处，请医生诊治。 4.若误服，要催吐，无解毒剂，立即送医院，对症治疗。 </w:t>
            </w:r>
          </w:p>
        </w:tc>
      </w:tr>
      <w:tr w14:paraId="315247BE">
        <w:tblPrEx>
          <w:tblCellMar>
            <w:top w:w="0" w:type="dxa"/>
            <w:left w:w="0" w:type="dxa"/>
            <w:bottom w:w="0" w:type="dxa"/>
            <w:right w:w="0" w:type="dxa"/>
          </w:tblCellMar>
        </w:tblPrEx>
        <w:trPr>
          <w:wBefore w:w="0" w:type="auto"/>
          <w:tblCellSpacing w:w="0" w:type="dxa"/>
        </w:trPr>
        <w:tc>
          <w:tcPr>
            <w:tcW w:w="0" w:type="auto"/>
            <w:noWrap w:val="0"/>
            <w:vAlign w:val="center"/>
          </w:tcPr>
          <w:p w14:paraId="5343B5E0">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本品应贮存在干燥、阴凉、通风、防雨处，远离火源或热源。置于儿童触及不到之处，并加锁。不能与食品、饮料、粮食、饲料等物品同贮同运。</w:t>
            </w:r>
          </w:p>
        </w:tc>
      </w:tr>
      <w:tr w14:paraId="39785CEA">
        <w:tblPrEx>
          <w:tblCellMar>
            <w:top w:w="0" w:type="dxa"/>
            <w:left w:w="0" w:type="dxa"/>
            <w:bottom w:w="0" w:type="dxa"/>
            <w:right w:w="0" w:type="dxa"/>
          </w:tblCellMar>
        </w:tblPrEx>
        <w:trPr>
          <w:wBefore w:w="0" w:type="auto"/>
          <w:tblCellSpacing w:w="0" w:type="dxa"/>
        </w:trPr>
        <w:tc>
          <w:tcPr>
            <w:tcW w:w="0" w:type="auto"/>
            <w:noWrap w:val="0"/>
            <w:vAlign w:val="center"/>
          </w:tcPr>
          <w:p w14:paraId="325C4F95">
            <w:r>
              <w:rPr>
                <w:rStyle w:val="10"/>
                <w:rFonts w:hint="eastAsia"/>
              </w:rPr>
              <w:t>质量保证期：</w:t>
            </w:r>
            <w:r>
              <w:rPr>
                <w:rStyle w:val="11"/>
                <w:rFonts w:hint="eastAsia"/>
              </w:rPr>
              <w:t>2年</w:t>
            </w:r>
          </w:p>
        </w:tc>
      </w:tr>
      <w:tr w14:paraId="200C0829">
        <w:tblPrEx>
          <w:tblCellMar>
            <w:top w:w="0" w:type="dxa"/>
            <w:left w:w="0" w:type="dxa"/>
            <w:bottom w:w="0" w:type="dxa"/>
            <w:right w:w="0" w:type="dxa"/>
          </w:tblCellMar>
        </w:tblPrEx>
        <w:trPr>
          <w:wBefore w:w="0" w:type="auto"/>
          <w:tblCellSpacing w:w="0" w:type="dxa"/>
        </w:trPr>
        <w:tc>
          <w:tcPr>
            <w:tcW w:w="0" w:type="auto"/>
            <w:noWrap w:val="0"/>
            <w:vAlign w:val="center"/>
          </w:tcPr>
          <w:p w14:paraId="5CBA3FD2">
            <w:r>
              <w:rPr>
                <w:rStyle w:val="10"/>
                <w:rFonts w:hint="eastAsia"/>
              </w:rPr>
              <w:t>备注：</w:t>
            </w:r>
            <w:r>
              <w:rPr>
                <w:rFonts w:hint="eastAsia"/>
              </w:rPr>
              <w:br w:type="textWrapping"/>
            </w:r>
            <w:r>
              <w:rPr>
                <w:rStyle w:val="11"/>
                <w:rFonts w:hint="eastAsia"/>
              </w:rPr>
              <w:t>2甲4氯钠10%。</w:t>
            </w:r>
          </w:p>
        </w:tc>
      </w:tr>
    </w:tbl>
    <w:p w14:paraId="4ECC857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C0E6E84">
        <w:tblPrEx>
          <w:tblCellMar>
            <w:top w:w="0" w:type="dxa"/>
            <w:left w:w="0" w:type="dxa"/>
            <w:bottom w:w="0" w:type="dxa"/>
            <w:right w:w="0" w:type="dxa"/>
          </w:tblCellMar>
        </w:tblPrEx>
        <w:trPr>
          <w:wBefore w:w="0" w:type="auto"/>
          <w:tblCellSpacing w:w="0" w:type="dxa"/>
        </w:trPr>
        <w:tc>
          <w:tcPr>
            <w:tcW w:w="0" w:type="auto"/>
            <w:noWrap w:val="0"/>
            <w:vAlign w:val="center"/>
          </w:tcPr>
          <w:p w14:paraId="743A9395">
            <w:r>
              <w:rPr>
                <w:rStyle w:val="10"/>
                <w:rFonts w:hint="eastAsia"/>
              </w:rPr>
              <w:t>登记证号：</w:t>
            </w:r>
            <w:r>
              <w:rPr>
                <w:rFonts w:hint="eastAsia"/>
              </w:rPr>
              <w:t>PD20212024</w:t>
            </w:r>
          </w:p>
        </w:tc>
      </w:tr>
      <w:tr w14:paraId="2F6F8F0B">
        <w:tblPrEx>
          <w:tblCellMar>
            <w:top w:w="0" w:type="dxa"/>
            <w:left w:w="0" w:type="dxa"/>
            <w:bottom w:w="0" w:type="dxa"/>
            <w:right w:w="0" w:type="dxa"/>
          </w:tblCellMar>
        </w:tblPrEx>
        <w:trPr>
          <w:wBefore w:w="0" w:type="auto"/>
          <w:tblCellSpacing w:w="0" w:type="dxa"/>
        </w:trPr>
        <w:tc>
          <w:tcPr>
            <w:tcW w:w="0" w:type="auto"/>
            <w:noWrap w:val="0"/>
            <w:vAlign w:val="center"/>
          </w:tcPr>
          <w:p w14:paraId="06DBAF16">
            <w:r>
              <w:rPr>
                <w:rStyle w:val="10"/>
                <w:rFonts w:hint="eastAsia"/>
              </w:rPr>
              <w:t>登记证持有人：</w:t>
            </w:r>
            <w:r>
              <w:rPr>
                <w:rFonts w:hint="eastAsia"/>
              </w:rPr>
              <w:t>沃达农业科技股份有限公司</w:t>
            </w:r>
          </w:p>
        </w:tc>
      </w:tr>
      <w:tr w14:paraId="68A3F2DE">
        <w:tblPrEx>
          <w:tblCellMar>
            <w:top w:w="0" w:type="dxa"/>
            <w:left w:w="0" w:type="dxa"/>
            <w:bottom w:w="0" w:type="dxa"/>
            <w:right w:w="0" w:type="dxa"/>
          </w:tblCellMar>
        </w:tblPrEx>
        <w:trPr>
          <w:wBefore w:w="0" w:type="auto"/>
          <w:tblCellSpacing w:w="0" w:type="dxa"/>
        </w:trPr>
        <w:tc>
          <w:tcPr>
            <w:tcW w:w="0" w:type="auto"/>
            <w:noWrap w:val="0"/>
            <w:vAlign w:val="center"/>
          </w:tcPr>
          <w:p w14:paraId="5984FD12">
            <w:r>
              <w:rPr>
                <w:rStyle w:val="10"/>
                <w:rFonts w:hint="eastAsia"/>
              </w:rPr>
              <w:t>农药名称：</w:t>
            </w:r>
            <w:r>
              <w:rPr>
                <w:rFonts w:hint="eastAsia"/>
              </w:rPr>
              <w:t>甲哌鎓</w:t>
            </w:r>
          </w:p>
        </w:tc>
      </w:tr>
      <w:tr w14:paraId="1C8DDB66">
        <w:tblPrEx>
          <w:tblCellMar>
            <w:top w:w="0" w:type="dxa"/>
            <w:left w:w="0" w:type="dxa"/>
            <w:bottom w:w="0" w:type="dxa"/>
            <w:right w:w="0" w:type="dxa"/>
          </w:tblCellMar>
        </w:tblPrEx>
        <w:trPr>
          <w:wBefore w:w="0" w:type="auto"/>
          <w:tblCellSpacing w:w="0" w:type="dxa"/>
        </w:trPr>
        <w:tc>
          <w:tcPr>
            <w:tcW w:w="0" w:type="auto"/>
            <w:noWrap w:val="0"/>
            <w:vAlign w:val="center"/>
          </w:tcPr>
          <w:p w14:paraId="53E21B91">
            <w:r>
              <w:rPr>
                <w:rStyle w:val="10"/>
                <w:rFonts w:hint="eastAsia"/>
              </w:rPr>
              <w:t>剂型：</w:t>
            </w:r>
            <w:r>
              <w:rPr>
                <w:rFonts w:hint="eastAsia"/>
              </w:rPr>
              <w:t>可溶性粉剂</w:t>
            </w:r>
          </w:p>
        </w:tc>
      </w:tr>
      <w:tr w14:paraId="3693E693">
        <w:tblPrEx>
          <w:tblCellMar>
            <w:top w:w="0" w:type="dxa"/>
            <w:left w:w="0" w:type="dxa"/>
            <w:bottom w:w="0" w:type="dxa"/>
            <w:right w:w="0" w:type="dxa"/>
          </w:tblCellMar>
        </w:tblPrEx>
        <w:trPr>
          <w:wBefore w:w="0" w:type="auto"/>
          <w:tblCellSpacing w:w="0" w:type="dxa"/>
        </w:trPr>
        <w:tc>
          <w:tcPr>
            <w:tcW w:w="0" w:type="auto"/>
            <w:noWrap w:val="0"/>
            <w:vAlign w:val="center"/>
          </w:tcPr>
          <w:p w14:paraId="3039BEB8">
            <w:r>
              <w:rPr>
                <w:rStyle w:val="10"/>
                <w:rFonts w:hint="eastAsia"/>
              </w:rPr>
              <w:t>毒性及其标识：</w:t>
            </w:r>
            <w:r>
              <w:rPr>
                <w:rFonts w:hint="eastAsia"/>
              </w:rPr>
              <w:t xml:space="preserve"> </w:t>
            </w:r>
            <w:r>
              <w:rPr>
                <w:lang/>
              </w:rPr>
              <w:drawing>
                <wp:inline distT="0" distB="0" distL="114300" distR="114300">
                  <wp:extent cx="476250" cy="323850"/>
                  <wp:effectExtent l="0" t="0" r="0" b="0"/>
                  <wp:docPr id="227" name="图片 22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9B04C0D">
        <w:tblPrEx>
          <w:tblCellMar>
            <w:top w:w="0" w:type="dxa"/>
            <w:left w:w="0" w:type="dxa"/>
            <w:bottom w:w="0" w:type="dxa"/>
            <w:right w:w="0" w:type="dxa"/>
          </w:tblCellMar>
        </w:tblPrEx>
        <w:trPr>
          <w:wBefore w:w="0" w:type="auto"/>
          <w:tblCellSpacing w:w="0" w:type="dxa"/>
        </w:trPr>
        <w:tc>
          <w:tcPr>
            <w:tcW w:w="0" w:type="auto"/>
            <w:noWrap w:val="0"/>
            <w:vAlign w:val="center"/>
          </w:tcPr>
          <w:p w14:paraId="6049267A">
            <w:r>
              <w:rPr>
                <w:rStyle w:val="10"/>
                <w:rFonts w:hint="eastAsia"/>
              </w:rPr>
              <w:t>总有效成分含量：</w:t>
            </w:r>
            <w:r>
              <w:rPr>
                <w:rFonts w:hint="eastAsia"/>
              </w:rPr>
              <w:t>98%</w:t>
            </w:r>
          </w:p>
        </w:tc>
      </w:tr>
      <w:tr w14:paraId="75B9B05C">
        <w:tblPrEx>
          <w:tblCellMar>
            <w:top w:w="0" w:type="dxa"/>
            <w:left w:w="0" w:type="dxa"/>
            <w:bottom w:w="0" w:type="dxa"/>
            <w:right w:w="0" w:type="dxa"/>
          </w:tblCellMar>
        </w:tblPrEx>
        <w:trPr>
          <w:wBefore w:w="0" w:type="auto"/>
          <w:tblCellSpacing w:w="0" w:type="dxa"/>
        </w:trPr>
        <w:tc>
          <w:tcPr>
            <w:tcW w:w="0" w:type="auto"/>
            <w:noWrap w:val="0"/>
            <w:vAlign w:val="center"/>
          </w:tcPr>
          <w:p w14:paraId="78BDC019">
            <w:r>
              <w:rPr>
                <w:rFonts w:hint="eastAsia"/>
              </w:rPr>
              <w:t xml:space="preserve">有效成分及其含量： </w:t>
            </w:r>
          </w:p>
          <w:p w14:paraId="2405B65E">
            <w:r>
              <w:rPr>
                <w:rFonts w:hint="eastAsia"/>
              </w:rPr>
              <w:t xml:space="preserve">    甲哌鎓98%    </w:t>
            </w:r>
          </w:p>
        </w:tc>
      </w:tr>
      <w:tr w14:paraId="4DF68E8B">
        <w:tblPrEx>
          <w:tblCellMar>
            <w:top w:w="0" w:type="dxa"/>
            <w:left w:w="0" w:type="dxa"/>
            <w:bottom w:w="0" w:type="dxa"/>
            <w:right w:w="0" w:type="dxa"/>
          </w:tblCellMar>
        </w:tblPrEx>
        <w:trPr>
          <w:wBefore w:w="0" w:type="auto"/>
          <w:tblCellSpacing w:w="0" w:type="dxa"/>
        </w:trPr>
        <w:tc>
          <w:tcPr>
            <w:tcW w:w="0" w:type="auto"/>
            <w:noWrap w:val="0"/>
            <w:vAlign w:val="center"/>
          </w:tcPr>
          <w:p w14:paraId="15A6765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9C8AC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5F3C9E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B7E44C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8F5336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BCCF66C">
                  <w:r>
                    <w:rPr>
                      <w:rStyle w:val="11"/>
                      <w:rFonts w:hint="eastAsia"/>
                    </w:rPr>
                    <w:t>施用方式</w:t>
                  </w:r>
                </w:p>
              </w:tc>
            </w:tr>
            <w:tr w14:paraId="513C5D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F867F3F">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0FBD67">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333DA1">
                  <w:r>
                    <w:rPr>
                      <w:rStyle w:val="11"/>
                      <w:rFonts w:hint="eastAsia"/>
                    </w:rPr>
                    <w:t>3-4克/亩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F3BC79">
                  <w:r>
                    <w:rPr>
                      <w:rStyle w:val="11"/>
                      <w:rFonts w:hint="eastAsia"/>
                    </w:rPr>
                    <w:t>喷雾</w:t>
                  </w:r>
                </w:p>
              </w:tc>
            </w:tr>
          </w:tbl>
          <w:p w14:paraId="298589D1">
            <w:pPr>
              <w:rPr>
                <w:rFonts w:ascii="Times New Roman" w:hAnsi="Times New Roman" w:cs="Times New Roman"/>
                <w:sz w:val="20"/>
                <w:szCs w:val="20"/>
              </w:rPr>
            </w:pPr>
          </w:p>
        </w:tc>
      </w:tr>
      <w:tr w14:paraId="20FC693E">
        <w:tblPrEx>
          <w:tblCellMar>
            <w:top w:w="0" w:type="dxa"/>
            <w:left w:w="0" w:type="dxa"/>
            <w:bottom w:w="0" w:type="dxa"/>
            <w:right w:w="0" w:type="dxa"/>
          </w:tblCellMar>
        </w:tblPrEx>
        <w:trPr>
          <w:wBefore w:w="0" w:type="auto"/>
          <w:tblCellSpacing w:w="0" w:type="dxa"/>
        </w:trPr>
        <w:tc>
          <w:tcPr>
            <w:tcW w:w="0" w:type="auto"/>
            <w:noWrap w:val="0"/>
            <w:vAlign w:val="center"/>
          </w:tcPr>
          <w:p w14:paraId="747116D3">
            <w:r>
              <w:rPr>
                <w:rStyle w:val="10"/>
                <w:rFonts w:hint="eastAsia"/>
              </w:rPr>
              <w:t>使用技术要求:</w:t>
            </w:r>
            <w:r>
              <w:rPr>
                <w:rFonts w:hint="eastAsia"/>
              </w:rPr>
              <w:br w:type="textWrapping"/>
            </w:r>
            <w:r>
              <w:rPr>
                <w:rStyle w:val="11"/>
                <w:rFonts w:hint="eastAsia"/>
              </w:rPr>
              <w:t>1.本品适用于棉花初花期或盛花期作茎叶处理。严格按照推荐用药量，均匀周到喷雾。2.应在晴朗天气的傍晚施药。预计短期内下雨、大风天请勿施药。3.本品在棉花上使用的安全间隔期间30天；每季作物最多使用1次。</w:t>
            </w:r>
          </w:p>
        </w:tc>
      </w:tr>
      <w:tr w14:paraId="123BE9F4">
        <w:tblPrEx>
          <w:tblCellMar>
            <w:top w:w="0" w:type="dxa"/>
            <w:left w:w="0" w:type="dxa"/>
            <w:bottom w:w="0" w:type="dxa"/>
            <w:right w:w="0" w:type="dxa"/>
          </w:tblCellMar>
        </w:tblPrEx>
        <w:trPr>
          <w:wBefore w:w="0" w:type="auto"/>
          <w:tblCellSpacing w:w="0" w:type="dxa"/>
        </w:trPr>
        <w:tc>
          <w:tcPr>
            <w:tcW w:w="0" w:type="auto"/>
            <w:noWrap w:val="0"/>
            <w:vAlign w:val="center"/>
          </w:tcPr>
          <w:p w14:paraId="3C0631DA">
            <w:r>
              <w:rPr>
                <w:rStyle w:val="10"/>
                <w:rFonts w:hint="eastAsia"/>
              </w:rPr>
              <w:t>产品性能:</w:t>
            </w:r>
            <w:r>
              <w:rPr>
                <w:rFonts w:hint="eastAsia"/>
              </w:rPr>
              <w:br w:type="textWrapping"/>
            </w:r>
            <w:r>
              <w:rPr>
                <w:rStyle w:val="11"/>
                <w:rFonts w:hint="eastAsia"/>
              </w:rPr>
              <w:t>本品为内吸植物生长延缓剂，能抑制细胞伸长，抑制赤霉素的生物合成。延缓营养体生长，使植株矮小化，株型紧凑，能增加叶绿素含量，提高叶片同化能力。</w:t>
            </w:r>
          </w:p>
        </w:tc>
      </w:tr>
      <w:tr w14:paraId="5A29881F">
        <w:tblPrEx>
          <w:tblCellMar>
            <w:top w:w="0" w:type="dxa"/>
            <w:left w:w="0" w:type="dxa"/>
            <w:bottom w:w="0" w:type="dxa"/>
            <w:right w:w="0" w:type="dxa"/>
          </w:tblCellMar>
        </w:tblPrEx>
        <w:trPr>
          <w:wBefore w:w="0" w:type="auto"/>
          <w:tblCellSpacing w:w="0" w:type="dxa"/>
        </w:trPr>
        <w:tc>
          <w:tcPr>
            <w:tcW w:w="0" w:type="auto"/>
            <w:noWrap w:val="0"/>
            <w:vAlign w:val="center"/>
          </w:tcPr>
          <w:p w14:paraId="6B55124B">
            <w:r>
              <w:rPr>
                <w:rStyle w:val="10"/>
                <w:rFonts w:hint="eastAsia"/>
              </w:rPr>
              <w:t>注意事项：</w:t>
            </w:r>
            <w:r>
              <w:rPr>
                <w:rFonts w:hint="eastAsia"/>
              </w:rPr>
              <w:br w:type="textWrapping"/>
            </w:r>
            <w:r>
              <w:rPr>
                <w:rStyle w:val="11"/>
                <w:rFonts w:hint="eastAsia"/>
              </w:rPr>
              <w:t>1、严格掌握使用条件：本品甲哌鎓适用于肥水条件好长势旺的棉田，天气干旱而不能保证灌溉的棉田不宜使用，在棉田受到危害以及自然灾害，生长受到抑制，长势弱的棉田时不宜使用。2.喷药时均匀周到，控制好药量用药不宜贪多，切忌一次大量使用，尤其是苗期、蕾期和初花期应严格控制药量。3、注意水肥配合使用，绝不能因施药后叶色变深而忽视施肥浇水。4、使用本品应带防护手套、口罩，穿干净防护服。工作结束后，应用肥皂、清水洗脸、手和裸露部位。5、避免孕妇及哺乳期妇女接触。6、禁止在河塘等水域清洗施药器具，清洗器具的废水，不能排入河流、池塘等水源。</w:t>
            </w:r>
          </w:p>
        </w:tc>
      </w:tr>
      <w:tr w14:paraId="3F74A5A0">
        <w:tblPrEx>
          <w:tblCellMar>
            <w:top w:w="0" w:type="dxa"/>
            <w:left w:w="0" w:type="dxa"/>
            <w:bottom w:w="0" w:type="dxa"/>
            <w:right w:w="0" w:type="dxa"/>
          </w:tblCellMar>
        </w:tblPrEx>
        <w:trPr>
          <w:wBefore w:w="0" w:type="auto"/>
          <w:tblCellSpacing w:w="0" w:type="dxa"/>
        </w:trPr>
        <w:tc>
          <w:tcPr>
            <w:tcW w:w="0" w:type="auto"/>
            <w:noWrap w:val="0"/>
            <w:vAlign w:val="center"/>
          </w:tcPr>
          <w:p w14:paraId="231F1E3A">
            <w:r>
              <w:rPr>
                <w:rStyle w:val="10"/>
                <w:rFonts w:hint="eastAsia"/>
              </w:rPr>
              <w:t>中毒急救措施：</w:t>
            </w:r>
            <w:r>
              <w:rPr>
                <w:rFonts w:hint="eastAsia"/>
              </w:rPr>
              <w:br w:type="textWrapping"/>
            </w:r>
            <w:r>
              <w:rPr>
                <w:rStyle w:val="11"/>
                <w:rFonts w:hint="eastAsia"/>
              </w:rPr>
              <w:t>一般无全身毒性。如果摄入，要催吐、洗胃。溅入眼内，立即用大量清水冲洗至少15分钟，仍有不适时，就医。皮肤接触时，用清水及肥皂洗干净。如误服，及时带标签送医院对症治疗。本品无特效解毒剂。</w:t>
            </w:r>
          </w:p>
        </w:tc>
      </w:tr>
      <w:tr w14:paraId="2261FA3E">
        <w:tblPrEx>
          <w:tblCellMar>
            <w:top w:w="0" w:type="dxa"/>
            <w:left w:w="0" w:type="dxa"/>
            <w:bottom w:w="0" w:type="dxa"/>
            <w:right w:w="0" w:type="dxa"/>
          </w:tblCellMar>
        </w:tblPrEx>
        <w:trPr>
          <w:wBefore w:w="0" w:type="auto"/>
          <w:tblCellSpacing w:w="0" w:type="dxa"/>
        </w:trPr>
        <w:tc>
          <w:tcPr>
            <w:tcW w:w="0" w:type="auto"/>
            <w:noWrap w:val="0"/>
            <w:vAlign w:val="center"/>
          </w:tcPr>
          <w:p w14:paraId="50F06832">
            <w:r>
              <w:rPr>
                <w:rStyle w:val="10"/>
                <w:rFonts w:hint="eastAsia"/>
              </w:rPr>
              <w:t>储存和运输方法：</w:t>
            </w:r>
            <w:r>
              <w:rPr>
                <w:rFonts w:hint="eastAsia"/>
              </w:rPr>
              <w:br w:type="textWrapping"/>
            </w:r>
            <w:r>
              <w:rPr>
                <w:rStyle w:val="11"/>
                <w:rFonts w:hint="eastAsia"/>
              </w:rPr>
              <w:t>包装件应贮存于通风、干燥、防雨、阴凉的库房中，远离火源和热源。贮运时，严防潮湿和日晒，远离火源或热源及儿童存放并加锁。不能与食品、饮料、粮食、饲料等同贮同运。</w:t>
            </w:r>
          </w:p>
        </w:tc>
      </w:tr>
      <w:tr w14:paraId="54C33A55">
        <w:tblPrEx>
          <w:tblCellMar>
            <w:top w:w="0" w:type="dxa"/>
            <w:left w:w="0" w:type="dxa"/>
            <w:bottom w:w="0" w:type="dxa"/>
            <w:right w:w="0" w:type="dxa"/>
          </w:tblCellMar>
        </w:tblPrEx>
        <w:trPr>
          <w:wBefore w:w="0" w:type="auto"/>
          <w:tblCellSpacing w:w="0" w:type="dxa"/>
        </w:trPr>
        <w:tc>
          <w:tcPr>
            <w:tcW w:w="0" w:type="auto"/>
            <w:noWrap w:val="0"/>
            <w:vAlign w:val="center"/>
          </w:tcPr>
          <w:p w14:paraId="4D6690FF">
            <w:r>
              <w:rPr>
                <w:rStyle w:val="10"/>
                <w:rFonts w:hint="eastAsia"/>
              </w:rPr>
              <w:t>质量保证期：</w:t>
            </w:r>
            <w:r>
              <w:rPr>
                <w:rStyle w:val="11"/>
                <w:rFonts w:hint="eastAsia"/>
              </w:rPr>
              <w:t>2年</w:t>
            </w:r>
          </w:p>
        </w:tc>
      </w:tr>
      <w:tr w14:paraId="793B847D">
        <w:tblPrEx>
          <w:tblCellMar>
            <w:top w:w="0" w:type="dxa"/>
            <w:left w:w="0" w:type="dxa"/>
            <w:bottom w:w="0" w:type="dxa"/>
            <w:right w:w="0" w:type="dxa"/>
          </w:tblCellMar>
        </w:tblPrEx>
        <w:trPr>
          <w:wBefore w:w="0" w:type="auto"/>
          <w:tblCellSpacing w:w="0" w:type="dxa"/>
        </w:trPr>
        <w:tc>
          <w:tcPr>
            <w:tcW w:w="0" w:type="auto"/>
            <w:noWrap w:val="0"/>
            <w:vAlign w:val="center"/>
          </w:tcPr>
          <w:p w14:paraId="49B81252">
            <w:r>
              <w:rPr>
                <w:rStyle w:val="10"/>
                <w:rFonts w:hint="eastAsia"/>
              </w:rPr>
              <w:t>备注：</w:t>
            </w:r>
          </w:p>
        </w:tc>
      </w:tr>
    </w:tbl>
    <w:p w14:paraId="1B43D72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A263207">
        <w:tblPrEx>
          <w:tblCellMar>
            <w:top w:w="0" w:type="dxa"/>
            <w:left w:w="0" w:type="dxa"/>
            <w:bottom w:w="0" w:type="dxa"/>
            <w:right w:w="0" w:type="dxa"/>
          </w:tblCellMar>
        </w:tblPrEx>
        <w:trPr>
          <w:wBefore w:w="0" w:type="auto"/>
          <w:tblCellSpacing w:w="0" w:type="dxa"/>
        </w:trPr>
        <w:tc>
          <w:tcPr>
            <w:tcW w:w="0" w:type="auto"/>
            <w:noWrap w:val="0"/>
            <w:vAlign w:val="center"/>
          </w:tcPr>
          <w:p w14:paraId="414F15DB">
            <w:r>
              <w:rPr>
                <w:rStyle w:val="10"/>
                <w:rFonts w:hint="eastAsia"/>
              </w:rPr>
              <w:t>登记证号：</w:t>
            </w:r>
            <w:r>
              <w:rPr>
                <w:rFonts w:hint="eastAsia"/>
              </w:rPr>
              <w:t>PD20211921</w:t>
            </w:r>
          </w:p>
        </w:tc>
      </w:tr>
      <w:tr w14:paraId="4EBB49F4">
        <w:tblPrEx>
          <w:tblCellMar>
            <w:top w:w="0" w:type="dxa"/>
            <w:left w:w="0" w:type="dxa"/>
            <w:bottom w:w="0" w:type="dxa"/>
            <w:right w:w="0" w:type="dxa"/>
          </w:tblCellMar>
        </w:tblPrEx>
        <w:trPr>
          <w:wBefore w:w="0" w:type="auto"/>
          <w:tblCellSpacing w:w="0" w:type="dxa"/>
        </w:trPr>
        <w:tc>
          <w:tcPr>
            <w:tcW w:w="0" w:type="auto"/>
            <w:noWrap w:val="0"/>
            <w:vAlign w:val="center"/>
          </w:tcPr>
          <w:p w14:paraId="1EDFE820">
            <w:r>
              <w:rPr>
                <w:rStyle w:val="10"/>
                <w:rFonts w:hint="eastAsia"/>
              </w:rPr>
              <w:t>登记证持有人：</w:t>
            </w:r>
            <w:r>
              <w:rPr>
                <w:rFonts w:hint="eastAsia"/>
              </w:rPr>
              <w:t>广东省佛山市盈辉作物科学有限公司</w:t>
            </w:r>
          </w:p>
        </w:tc>
      </w:tr>
      <w:tr w14:paraId="51E52732">
        <w:tblPrEx>
          <w:tblCellMar>
            <w:top w:w="0" w:type="dxa"/>
            <w:left w:w="0" w:type="dxa"/>
            <w:bottom w:w="0" w:type="dxa"/>
            <w:right w:w="0" w:type="dxa"/>
          </w:tblCellMar>
        </w:tblPrEx>
        <w:trPr>
          <w:wBefore w:w="0" w:type="auto"/>
          <w:tblCellSpacing w:w="0" w:type="dxa"/>
        </w:trPr>
        <w:tc>
          <w:tcPr>
            <w:tcW w:w="0" w:type="auto"/>
            <w:noWrap w:val="0"/>
            <w:vAlign w:val="center"/>
          </w:tcPr>
          <w:p w14:paraId="01027703">
            <w:r>
              <w:rPr>
                <w:rStyle w:val="10"/>
                <w:rFonts w:hint="eastAsia"/>
              </w:rPr>
              <w:t>农药名称：</w:t>
            </w:r>
            <w:r>
              <w:rPr>
                <w:rFonts w:hint="eastAsia"/>
              </w:rPr>
              <w:t>氨基寡糖素·宁南霉素</w:t>
            </w:r>
          </w:p>
        </w:tc>
      </w:tr>
      <w:tr w14:paraId="4C4E541B">
        <w:tblPrEx>
          <w:tblCellMar>
            <w:top w:w="0" w:type="dxa"/>
            <w:left w:w="0" w:type="dxa"/>
            <w:bottom w:w="0" w:type="dxa"/>
            <w:right w:w="0" w:type="dxa"/>
          </w:tblCellMar>
        </w:tblPrEx>
        <w:trPr>
          <w:wBefore w:w="0" w:type="auto"/>
          <w:tblCellSpacing w:w="0" w:type="dxa"/>
        </w:trPr>
        <w:tc>
          <w:tcPr>
            <w:tcW w:w="0" w:type="auto"/>
            <w:noWrap w:val="0"/>
            <w:vAlign w:val="center"/>
          </w:tcPr>
          <w:p w14:paraId="6EDC4C29">
            <w:r>
              <w:rPr>
                <w:rStyle w:val="10"/>
                <w:rFonts w:hint="eastAsia"/>
              </w:rPr>
              <w:t>剂型：</w:t>
            </w:r>
            <w:r>
              <w:rPr>
                <w:rFonts w:hint="eastAsia"/>
              </w:rPr>
              <w:t>可溶液剂</w:t>
            </w:r>
          </w:p>
        </w:tc>
      </w:tr>
      <w:tr w14:paraId="4D4770F3">
        <w:tblPrEx>
          <w:tblCellMar>
            <w:top w:w="0" w:type="dxa"/>
            <w:left w:w="0" w:type="dxa"/>
            <w:bottom w:w="0" w:type="dxa"/>
            <w:right w:w="0" w:type="dxa"/>
          </w:tblCellMar>
        </w:tblPrEx>
        <w:trPr>
          <w:wBefore w:w="0" w:type="auto"/>
          <w:tblCellSpacing w:w="0" w:type="dxa"/>
        </w:trPr>
        <w:tc>
          <w:tcPr>
            <w:tcW w:w="0" w:type="auto"/>
            <w:noWrap w:val="0"/>
            <w:vAlign w:val="center"/>
          </w:tcPr>
          <w:p w14:paraId="21176C69">
            <w:r>
              <w:rPr>
                <w:rStyle w:val="10"/>
                <w:rFonts w:hint="eastAsia"/>
              </w:rPr>
              <w:t>毒性及其标识：</w:t>
            </w:r>
            <w:r>
              <w:rPr>
                <w:rFonts w:hint="eastAsia"/>
              </w:rPr>
              <w:t xml:space="preserve"> </w:t>
            </w:r>
            <w:r>
              <w:rPr>
                <w:lang/>
              </w:rPr>
              <w:drawing>
                <wp:inline distT="0" distB="0" distL="114300" distR="114300">
                  <wp:extent cx="476250" cy="323850"/>
                  <wp:effectExtent l="0" t="0" r="0" b="0"/>
                  <wp:docPr id="228" name="图片 22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198B316">
        <w:tblPrEx>
          <w:tblCellMar>
            <w:top w:w="0" w:type="dxa"/>
            <w:left w:w="0" w:type="dxa"/>
            <w:bottom w:w="0" w:type="dxa"/>
            <w:right w:w="0" w:type="dxa"/>
          </w:tblCellMar>
        </w:tblPrEx>
        <w:trPr>
          <w:wBefore w:w="0" w:type="auto"/>
          <w:tblCellSpacing w:w="0" w:type="dxa"/>
        </w:trPr>
        <w:tc>
          <w:tcPr>
            <w:tcW w:w="0" w:type="auto"/>
            <w:noWrap w:val="0"/>
            <w:vAlign w:val="center"/>
          </w:tcPr>
          <w:p w14:paraId="510045FE">
            <w:r>
              <w:rPr>
                <w:rStyle w:val="10"/>
                <w:rFonts w:hint="eastAsia"/>
              </w:rPr>
              <w:t>总有效成分含量：</w:t>
            </w:r>
            <w:r>
              <w:rPr>
                <w:rFonts w:hint="eastAsia"/>
              </w:rPr>
              <w:t>8%</w:t>
            </w:r>
          </w:p>
        </w:tc>
      </w:tr>
      <w:tr w14:paraId="46921BBC">
        <w:tblPrEx>
          <w:tblCellMar>
            <w:top w:w="0" w:type="dxa"/>
            <w:left w:w="0" w:type="dxa"/>
            <w:bottom w:w="0" w:type="dxa"/>
            <w:right w:w="0" w:type="dxa"/>
          </w:tblCellMar>
        </w:tblPrEx>
        <w:trPr>
          <w:wBefore w:w="0" w:type="auto"/>
          <w:tblCellSpacing w:w="0" w:type="dxa"/>
        </w:trPr>
        <w:tc>
          <w:tcPr>
            <w:tcW w:w="0" w:type="auto"/>
            <w:noWrap w:val="0"/>
            <w:vAlign w:val="center"/>
          </w:tcPr>
          <w:p w14:paraId="131EBFFC">
            <w:r>
              <w:rPr>
                <w:rFonts w:hint="eastAsia"/>
              </w:rPr>
              <w:t xml:space="preserve">有效成分及其含量： </w:t>
            </w:r>
          </w:p>
          <w:p w14:paraId="2E75B75C">
            <w:r>
              <w:rPr>
                <w:rFonts w:hint="eastAsia"/>
              </w:rPr>
              <w:t xml:space="preserve">    氨基寡糖素2%    宁南霉素6%    </w:t>
            </w:r>
          </w:p>
        </w:tc>
      </w:tr>
      <w:tr w14:paraId="684DB79D">
        <w:tblPrEx>
          <w:tblCellMar>
            <w:top w:w="0" w:type="dxa"/>
            <w:left w:w="0" w:type="dxa"/>
            <w:bottom w:w="0" w:type="dxa"/>
            <w:right w:w="0" w:type="dxa"/>
          </w:tblCellMar>
        </w:tblPrEx>
        <w:trPr>
          <w:wBefore w:w="0" w:type="auto"/>
          <w:tblCellSpacing w:w="0" w:type="dxa"/>
        </w:trPr>
        <w:tc>
          <w:tcPr>
            <w:tcW w:w="0" w:type="auto"/>
            <w:noWrap w:val="0"/>
            <w:vAlign w:val="center"/>
          </w:tcPr>
          <w:p w14:paraId="0268D40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5807D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851B9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48225D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126F0D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005B808">
                  <w:r>
                    <w:rPr>
                      <w:rStyle w:val="11"/>
                      <w:rFonts w:hint="eastAsia"/>
                    </w:rPr>
                    <w:t>施用方式</w:t>
                  </w:r>
                </w:p>
              </w:tc>
            </w:tr>
            <w:tr w14:paraId="30A510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ACB90B4">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B801F9">
                  <w:r>
                    <w:rPr>
                      <w:rStyle w:val="11"/>
                      <w:rFonts w:hint="eastAsia"/>
                    </w:rPr>
                    <w:t>病毒病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4E2F2F">
                  <w:r>
                    <w:rPr>
                      <w:rStyle w:val="11"/>
                      <w:rFonts w:hint="eastAsia"/>
                    </w:rPr>
                    <w:t>75-100毫升/亩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382E28">
                  <w:r>
                    <w:rPr>
                      <w:rStyle w:val="11"/>
                      <w:rFonts w:hint="eastAsia"/>
                    </w:rPr>
                    <w:t>喷雾</w:t>
                  </w:r>
                </w:p>
              </w:tc>
            </w:tr>
          </w:tbl>
          <w:p w14:paraId="74FDBB87">
            <w:pPr>
              <w:rPr>
                <w:rFonts w:ascii="Times New Roman" w:hAnsi="Times New Roman" w:cs="Times New Roman"/>
                <w:sz w:val="20"/>
                <w:szCs w:val="20"/>
              </w:rPr>
            </w:pPr>
          </w:p>
        </w:tc>
      </w:tr>
      <w:tr w14:paraId="37D8869E">
        <w:tblPrEx>
          <w:tblCellMar>
            <w:top w:w="0" w:type="dxa"/>
            <w:left w:w="0" w:type="dxa"/>
            <w:bottom w:w="0" w:type="dxa"/>
            <w:right w:w="0" w:type="dxa"/>
          </w:tblCellMar>
        </w:tblPrEx>
        <w:trPr>
          <w:wBefore w:w="0" w:type="auto"/>
          <w:tblCellSpacing w:w="0" w:type="dxa"/>
        </w:trPr>
        <w:tc>
          <w:tcPr>
            <w:tcW w:w="0" w:type="auto"/>
            <w:noWrap w:val="0"/>
            <w:vAlign w:val="center"/>
          </w:tcPr>
          <w:p w14:paraId="107E0AAC">
            <w:r>
              <w:rPr>
                <w:rStyle w:val="10"/>
                <w:rFonts w:hint="eastAsia"/>
              </w:rPr>
              <w:t>使用技术要求:</w:t>
            </w:r>
            <w:r>
              <w:rPr>
                <w:rFonts w:hint="eastAsia"/>
              </w:rPr>
              <w:br w:type="textWrapping"/>
            </w:r>
            <w:r>
              <w:rPr>
                <w:rStyle w:val="11"/>
                <w:rFonts w:hint="eastAsia"/>
              </w:rPr>
              <w:t>1．番茄病毒病发病前进行常规喷雾，视病害发生情况可用药3次，间隔7天左右1次；每季作物最多使用3次，安全间隔期为7天。2. 大风天或预计1小时内降雨，请勿施药。</w:t>
            </w:r>
          </w:p>
        </w:tc>
      </w:tr>
      <w:tr w14:paraId="3DA8812A">
        <w:tblPrEx>
          <w:tblCellMar>
            <w:top w:w="0" w:type="dxa"/>
            <w:left w:w="0" w:type="dxa"/>
            <w:bottom w:w="0" w:type="dxa"/>
            <w:right w:w="0" w:type="dxa"/>
          </w:tblCellMar>
        </w:tblPrEx>
        <w:trPr>
          <w:wBefore w:w="0" w:type="auto"/>
          <w:tblCellSpacing w:w="0" w:type="dxa"/>
        </w:trPr>
        <w:tc>
          <w:tcPr>
            <w:tcW w:w="0" w:type="auto"/>
            <w:noWrap w:val="0"/>
            <w:vAlign w:val="center"/>
          </w:tcPr>
          <w:p w14:paraId="4295072A">
            <w:r>
              <w:rPr>
                <w:rStyle w:val="10"/>
                <w:rFonts w:hint="eastAsia"/>
              </w:rPr>
              <w:t>产品性能:</w:t>
            </w:r>
            <w:r>
              <w:rPr>
                <w:rFonts w:hint="eastAsia"/>
              </w:rPr>
              <w:br w:type="textWrapping"/>
            </w:r>
            <w:r>
              <w:rPr>
                <w:rStyle w:val="11"/>
                <w:rFonts w:hint="eastAsia"/>
              </w:rPr>
              <w:t>氨基寡糖素属植物诱导抗病剂，能抵御病原菌侵蚀的过程中，能诱导激发植物产生一系列的防御反应；宁南霉素延长病毒潜育期、破坏病毒粒体结构，降低病毒粒体浓度。两者混配抵抗病毒的能力而达到防治病毒病的作用。</w:t>
            </w:r>
          </w:p>
        </w:tc>
      </w:tr>
      <w:tr w14:paraId="097EFB72">
        <w:tblPrEx>
          <w:tblCellMar>
            <w:top w:w="0" w:type="dxa"/>
            <w:left w:w="0" w:type="dxa"/>
            <w:bottom w:w="0" w:type="dxa"/>
            <w:right w:w="0" w:type="dxa"/>
          </w:tblCellMar>
        </w:tblPrEx>
        <w:trPr>
          <w:wBefore w:w="0" w:type="auto"/>
          <w:tblCellSpacing w:w="0" w:type="dxa"/>
        </w:trPr>
        <w:tc>
          <w:tcPr>
            <w:tcW w:w="0" w:type="auto"/>
            <w:noWrap w:val="0"/>
            <w:vAlign w:val="center"/>
          </w:tcPr>
          <w:p w14:paraId="2D7ABA54">
            <w:r>
              <w:rPr>
                <w:rStyle w:val="10"/>
                <w:rFonts w:hint="eastAsia"/>
              </w:rPr>
              <w:t>注意事项：</w:t>
            </w:r>
            <w:r>
              <w:rPr>
                <w:rFonts w:hint="eastAsia"/>
              </w:rPr>
              <w:br w:type="textWrapping"/>
            </w:r>
            <w:r>
              <w:rPr>
                <w:rStyle w:val="11"/>
                <w:rFonts w:hint="eastAsia"/>
              </w:rPr>
              <w:t>1. 施药时须穿戴长衣长裤、帽子、口罩、手套、鞋等；施药时不能吃东西、吸烟、饮水等；施药后彻底清洗裸露部位。2. 用过的容器应妥善处理，不可做他用，也不可随意丢弃。 3. 禁止在河塘等水体中清洗施药器具。4. 桑园及蚕室附近禁用。5. 建议与其他不同作用机制杀菌剂交替使用，以延缓抗性产生。6. 避免孕妇及哺乳期妇女接触本品。</w:t>
            </w:r>
          </w:p>
        </w:tc>
      </w:tr>
      <w:tr w14:paraId="200EFCC6">
        <w:tblPrEx>
          <w:tblCellMar>
            <w:top w:w="0" w:type="dxa"/>
            <w:left w:w="0" w:type="dxa"/>
            <w:bottom w:w="0" w:type="dxa"/>
            <w:right w:w="0" w:type="dxa"/>
          </w:tblCellMar>
        </w:tblPrEx>
        <w:trPr>
          <w:wBefore w:w="0" w:type="auto"/>
          <w:tblCellSpacing w:w="0" w:type="dxa"/>
        </w:trPr>
        <w:tc>
          <w:tcPr>
            <w:tcW w:w="0" w:type="auto"/>
            <w:noWrap w:val="0"/>
            <w:vAlign w:val="center"/>
          </w:tcPr>
          <w:p w14:paraId="746642A6">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w:t>
            </w:r>
          </w:p>
        </w:tc>
      </w:tr>
      <w:tr w14:paraId="1E8131EA">
        <w:tblPrEx>
          <w:tblCellMar>
            <w:top w:w="0" w:type="dxa"/>
            <w:left w:w="0" w:type="dxa"/>
            <w:bottom w:w="0" w:type="dxa"/>
            <w:right w:w="0" w:type="dxa"/>
          </w:tblCellMar>
        </w:tblPrEx>
        <w:trPr>
          <w:wBefore w:w="0" w:type="auto"/>
          <w:tblCellSpacing w:w="0" w:type="dxa"/>
        </w:trPr>
        <w:tc>
          <w:tcPr>
            <w:tcW w:w="0" w:type="auto"/>
            <w:noWrap w:val="0"/>
            <w:vAlign w:val="center"/>
          </w:tcPr>
          <w:p w14:paraId="2E6603A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本品应贮存在干燥、阴凉、通风、防雨处，远离火源或热源。置于儿童、无关人员触及不到之处，并加锁。勿与食品、饮料、饲料、粮食等同贮同运。</w:t>
            </w:r>
          </w:p>
        </w:tc>
      </w:tr>
      <w:tr w14:paraId="5122DC6D">
        <w:tblPrEx>
          <w:tblCellMar>
            <w:top w:w="0" w:type="dxa"/>
            <w:left w:w="0" w:type="dxa"/>
            <w:bottom w:w="0" w:type="dxa"/>
            <w:right w:w="0" w:type="dxa"/>
          </w:tblCellMar>
        </w:tblPrEx>
        <w:trPr>
          <w:wBefore w:w="0" w:type="auto"/>
          <w:tblCellSpacing w:w="0" w:type="dxa"/>
        </w:trPr>
        <w:tc>
          <w:tcPr>
            <w:tcW w:w="0" w:type="auto"/>
            <w:noWrap w:val="0"/>
            <w:vAlign w:val="center"/>
          </w:tcPr>
          <w:p w14:paraId="5093786A">
            <w:r>
              <w:rPr>
                <w:rStyle w:val="10"/>
                <w:rFonts w:hint="eastAsia"/>
              </w:rPr>
              <w:t>质量保证期：</w:t>
            </w:r>
            <w:r>
              <w:rPr>
                <w:rStyle w:val="11"/>
                <w:rFonts w:hint="eastAsia"/>
              </w:rPr>
              <w:t>2年</w:t>
            </w:r>
          </w:p>
        </w:tc>
      </w:tr>
      <w:tr w14:paraId="4301654C">
        <w:tblPrEx>
          <w:tblCellMar>
            <w:top w:w="0" w:type="dxa"/>
            <w:left w:w="0" w:type="dxa"/>
            <w:bottom w:w="0" w:type="dxa"/>
            <w:right w:w="0" w:type="dxa"/>
          </w:tblCellMar>
        </w:tblPrEx>
        <w:trPr>
          <w:wBefore w:w="0" w:type="auto"/>
          <w:tblCellSpacing w:w="0" w:type="dxa"/>
        </w:trPr>
        <w:tc>
          <w:tcPr>
            <w:tcW w:w="0" w:type="auto"/>
            <w:noWrap w:val="0"/>
            <w:vAlign w:val="center"/>
          </w:tcPr>
          <w:p w14:paraId="6FB956C7">
            <w:r>
              <w:rPr>
                <w:rStyle w:val="10"/>
                <w:rFonts w:hint="eastAsia"/>
              </w:rPr>
              <w:t>备注：</w:t>
            </w:r>
          </w:p>
        </w:tc>
      </w:tr>
    </w:tbl>
    <w:p w14:paraId="7E7F4E0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2C89DB">
        <w:tblPrEx>
          <w:tblCellMar>
            <w:top w:w="0" w:type="dxa"/>
            <w:left w:w="0" w:type="dxa"/>
            <w:bottom w:w="0" w:type="dxa"/>
            <w:right w:w="0" w:type="dxa"/>
          </w:tblCellMar>
        </w:tblPrEx>
        <w:trPr>
          <w:wBefore w:w="0" w:type="auto"/>
          <w:tblCellSpacing w:w="0" w:type="dxa"/>
        </w:trPr>
        <w:tc>
          <w:tcPr>
            <w:tcW w:w="0" w:type="auto"/>
            <w:noWrap w:val="0"/>
            <w:vAlign w:val="center"/>
          </w:tcPr>
          <w:p w14:paraId="344B33A5">
            <w:r>
              <w:rPr>
                <w:rStyle w:val="10"/>
                <w:rFonts w:hint="eastAsia"/>
              </w:rPr>
              <w:t>登记证号：</w:t>
            </w:r>
            <w:r>
              <w:rPr>
                <w:rFonts w:hint="eastAsia"/>
              </w:rPr>
              <w:t>PD20211999</w:t>
            </w:r>
          </w:p>
        </w:tc>
      </w:tr>
      <w:tr w14:paraId="21468644">
        <w:tblPrEx>
          <w:tblCellMar>
            <w:top w:w="0" w:type="dxa"/>
            <w:left w:w="0" w:type="dxa"/>
            <w:bottom w:w="0" w:type="dxa"/>
            <w:right w:w="0" w:type="dxa"/>
          </w:tblCellMar>
        </w:tblPrEx>
        <w:trPr>
          <w:wBefore w:w="0" w:type="auto"/>
          <w:tblCellSpacing w:w="0" w:type="dxa"/>
        </w:trPr>
        <w:tc>
          <w:tcPr>
            <w:tcW w:w="0" w:type="auto"/>
            <w:noWrap w:val="0"/>
            <w:vAlign w:val="center"/>
          </w:tcPr>
          <w:p w14:paraId="4C338158">
            <w:r>
              <w:rPr>
                <w:rStyle w:val="10"/>
                <w:rFonts w:hint="eastAsia"/>
              </w:rPr>
              <w:t>登记证持有人：</w:t>
            </w:r>
            <w:r>
              <w:rPr>
                <w:rFonts w:hint="eastAsia"/>
              </w:rPr>
              <w:t>广西田园生化股份有限公司</w:t>
            </w:r>
          </w:p>
        </w:tc>
      </w:tr>
      <w:tr w14:paraId="11B63F55">
        <w:tblPrEx>
          <w:tblCellMar>
            <w:top w:w="0" w:type="dxa"/>
            <w:left w:w="0" w:type="dxa"/>
            <w:bottom w:w="0" w:type="dxa"/>
            <w:right w:w="0" w:type="dxa"/>
          </w:tblCellMar>
        </w:tblPrEx>
        <w:trPr>
          <w:wBefore w:w="0" w:type="auto"/>
          <w:tblCellSpacing w:w="0" w:type="dxa"/>
        </w:trPr>
        <w:tc>
          <w:tcPr>
            <w:tcW w:w="0" w:type="auto"/>
            <w:noWrap w:val="0"/>
            <w:vAlign w:val="center"/>
          </w:tcPr>
          <w:p w14:paraId="77B4EF01">
            <w:r>
              <w:rPr>
                <w:rStyle w:val="10"/>
                <w:rFonts w:hint="eastAsia"/>
              </w:rPr>
              <w:t>农药名称：</w:t>
            </w:r>
            <w:r>
              <w:rPr>
                <w:rFonts w:hint="eastAsia"/>
              </w:rPr>
              <w:t>毒氟磷</w:t>
            </w:r>
          </w:p>
        </w:tc>
      </w:tr>
      <w:tr w14:paraId="3755E932">
        <w:tblPrEx>
          <w:tblCellMar>
            <w:top w:w="0" w:type="dxa"/>
            <w:left w:w="0" w:type="dxa"/>
            <w:bottom w:w="0" w:type="dxa"/>
            <w:right w:w="0" w:type="dxa"/>
          </w:tblCellMar>
        </w:tblPrEx>
        <w:trPr>
          <w:wBefore w:w="0" w:type="auto"/>
          <w:tblCellSpacing w:w="0" w:type="dxa"/>
        </w:trPr>
        <w:tc>
          <w:tcPr>
            <w:tcW w:w="0" w:type="auto"/>
            <w:noWrap w:val="0"/>
            <w:vAlign w:val="center"/>
          </w:tcPr>
          <w:p w14:paraId="505671DF">
            <w:r>
              <w:rPr>
                <w:rStyle w:val="10"/>
                <w:rFonts w:hint="eastAsia"/>
              </w:rPr>
              <w:t>剂型：</w:t>
            </w:r>
            <w:r>
              <w:rPr>
                <w:rFonts w:hint="eastAsia"/>
              </w:rPr>
              <w:t>悬浮剂</w:t>
            </w:r>
          </w:p>
        </w:tc>
      </w:tr>
      <w:tr w14:paraId="2CED9F9F">
        <w:tblPrEx>
          <w:tblCellMar>
            <w:top w:w="0" w:type="dxa"/>
            <w:left w:w="0" w:type="dxa"/>
            <w:bottom w:w="0" w:type="dxa"/>
            <w:right w:w="0" w:type="dxa"/>
          </w:tblCellMar>
        </w:tblPrEx>
        <w:trPr>
          <w:wBefore w:w="0" w:type="auto"/>
          <w:tblCellSpacing w:w="0" w:type="dxa"/>
        </w:trPr>
        <w:tc>
          <w:tcPr>
            <w:tcW w:w="0" w:type="auto"/>
            <w:noWrap w:val="0"/>
            <w:vAlign w:val="center"/>
          </w:tcPr>
          <w:p w14:paraId="29951922">
            <w:r>
              <w:rPr>
                <w:rStyle w:val="10"/>
                <w:rFonts w:hint="eastAsia"/>
              </w:rPr>
              <w:t>毒性及其标识：</w:t>
            </w:r>
            <w:r>
              <w:rPr>
                <w:rFonts w:hint="eastAsia"/>
              </w:rPr>
              <w:t xml:space="preserve"> </w:t>
            </w:r>
            <w:r>
              <w:rPr>
                <w:lang/>
              </w:rPr>
              <w:drawing>
                <wp:inline distT="0" distB="0" distL="114300" distR="114300">
                  <wp:extent cx="476250" cy="323850"/>
                  <wp:effectExtent l="0" t="0" r="0" b="0"/>
                  <wp:docPr id="229" name="图片 22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D3272DC">
        <w:tblPrEx>
          <w:tblCellMar>
            <w:top w:w="0" w:type="dxa"/>
            <w:left w:w="0" w:type="dxa"/>
            <w:bottom w:w="0" w:type="dxa"/>
            <w:right w:w="0" w:type="dxa"/>
          </w:tblCellMar>
        </w:tblPrEx>
        <w:trPr>
          <w:wBefore w:w="0" w:type="auto"/>
          <w:tblCellSpacing w:w="0" w:type="dxa"/>
        </w:trPr>
        <w:tc>
          <w:tcPr>
            <w:tcW w:w="0" w:type="auto"/>
            <w:noWrap w:val="0"/>
            <w:vAlign w:val="center"/>
          </w:tcPr>
          <w:p w14:paraId="15E05C0B">
            <w:r>
              <w:rPr>
                <w:rStyle w:val="10"/>
                <w:rFonts w:hint="eastAsia"/>
              </w:rPr>
              <w:t>总有效成分含量：</w:t>
            </w:r>
            <w:r>
              <w:rPr>
                <w:rFonts w:hint="eastAsia"/>
              </w:rPr>
              <w:t>20%</w:t>
            </w:r>
          </w:p>
        </w:tc>
      </w:tr>
      <w:tr w14:paraId="4919BE1D">
        <w:tblPrEx>
          <w:tblCellMar>
            <w:top w:w="0" w:type="dxa"/>
            <w:left w:w="0" w:type="dxa"/>
            <w:bottom w:w="0" w:type="dxa"/>
            <w:right w:w="0" w:type="dxa"/>
          </w:tblCellMar>
        </w:tblPrEx>
        <w:trPr>
          <w:wBefore w:w="0" w:type="auto"/>
          <w:tblCellSpacing w:w="0" w:type="dxa"/>
        </w:trPr>
        <w:tc>
          <w:tcPr>
            <w:tcW w:w="0" w:type="auto"/>
            <w:noWrap w:val="0"/>
            <w:vAlign w:val="center"/>
          </w:tcPr>
          <w:p w14:paraId="45140121">
            <w:r>
              <w:rPr>
                <w:rFonts w:hint="eastAsia"/>
              </w:rPr>
              <w:t xml:space="preserve">有效成分及其含量： </w:t>
            </w:r>
          </w:p>
          <w:p w14:paraId="29C7175A">
            <w:r>
              <w:rPr>
                <w:rFonts w:hint="eastAsia"/>
              </w:rPr>
              <w:t xml:space="preserve">    毒氟磷20%    </w:t>
            </w:r>
          </w:p>
        </w:tc>
      </w:tr>
      <w:tr w14:paraId="1293372B">
        <w:tblPrEx>
          <w:tblCellMar>
            <w:top w:w="0" w:type="dxa"/>
            <w:left w:w="0" w:type="dxa"/>
            <w:bottom w:w="0" w:type="dxa"/>
            <w:right w:w="0" w:type="dxa"/>
          </w:tblCellMar>
        </w:tblPrEx>
        <w:trPr>
          <w:wBefore w:w="0" w:type="auto"/>
          <w:tblCellSpacing w:w="0" w:type="dxa"/>
        </w:trPr>
        <w:tc>
          <w:tcPr>
            <w:tcW w:w="0" w:type="auto"/>
            <w:noWrap w:val="0"/>
            <w:vAlign w:val="center"/>
          </w:tcPr>
          <w:p w14:paraId="3D77FC0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5DF3B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51567D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78453E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62CB10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C7A414C">
                  <w:r>
                    <w:rPr>
                      <w:rStyle w:val="11"/>
                      <w:rFonts w:hint="eastAsia"/>
                    </w:rPr>
                    <w:t>施用方式</w:t>
                  </w:r>
                </w:p>
              </w:tc>
            </w:tr>
            <w:tr w14:paraId="253DB7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F7AFE41">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5F1D66">
                  <w:r>
                    <w:rPr>
                      <w:rStyle w:val="11"/>
                      <w:rFonts w:hint="eastAsia"/>
                    </w:rPr>
                    <w:t>病毒病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1C5B1A">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9727AE">
                  <w:r>
                    <w:rPr>
                      <w:rStyle w:val="11"/>
                      <w:rFonts w:hint="eastAsia"/>
                    </w:rPr>
                    <w:t>喷雾</w:t>
                  </w:r>
                </w:p>
              </w:tc>
            </w:tr>
            <w:tr w14:paraId="04F441E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2381BA6">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3299F2">
                  <w:r>
                    <w:rPr>
                      <w:rStyle w:val="11"/>
                      <w:rFonts w:hint="eastAsia"/>
                    </w:rPr>
                    <w:t>黑条矮缩病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FB1B1B">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C95BEE">
                  <w:r>
                    <w:rPr>
                      <w:rStyle w:val="11"/>
                      <w:rFonts w:hint="eastAsia"/>
                    </w:rPr>
                    <w:t>喷雾</w:t>
                  </w:r>
                </w:p>
              </w:tc>
            </w:tr>
            <w:tr w14:paraId="759240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34C174">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D155E4">
                  <w:r>
                    <w:rPr>
                      <w:rStyle w:val="11"/>
                      <w:rFonts w:hint="eastAsia"/>
                    </w:rPr>
                    <w:t>病毒病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3D4347">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08453C">
                  <w:r>
                    <w:rPr>
                      <w:rStyle w:val="11"/>
                      <w:rFonts w:hint="eastAsia"/>
                    </w:rPr>
                    <w:t>喷雾</w:t>
                  </w:r>
                </w:p>
              </w:tc>
            </w:tr>
            <w:tr w14:paraId="545824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B6C3ACD">
                  <w:r>
                    <w:rPr>
                      <w:rStyle w:val="11"/>
                      <w:rFonts w:hint="eastAsia"/>
                    </w:rPr>
                    <w:t>西瓜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6E5861">
                  <w:r>
                    <w:rPr>
                      <w:rStyle w:val="11"/>
                      <w:rFonts w:hint="eastAsia"/>
                    </w:rPr>
                    <w:t>病毒病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6451D8">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3AB509">
                  <w:r>
                    <w:rPr>
                      <w:rStyle w:val="11"/>
                      <w:rFonts w:hint="eastAsia"/>
                    </w:rPr>
                    <w:t>喷雾</w:t>
                  </w:r>
                </w:p>
              </w:tc>
            </w:tr>
            <w:tr w14:paraId="3DB468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473A007">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02CE4C">
                  <w:r>
                    <w:rPr>
                      <w:rStyle w:val="11"/>
                      <w:rFonts w:hint="eastAsia"/>
                    </w:rPr>
                    <w:t>病毒病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C8394D">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FC9242">
                  <w:r>
                    <w:rPr>
                      <w:rStyle w:val="11"/>
                      <w:rFonts w:hint="eastAsia"/>
                    </w:rPr>
                    <w:t>喷雾</w:t>
                  </w:r>
                </w:p>
              </w:tc>
            </w:tr>
          </w:tbl>
          <w:p w14:paraId="7E39A64A">
            <w:pPr>
              <w:rPr>
                <w:rFonts w:ascii="Times New Roman" w:hAnsi="Times New Roman" w:cs="Times New Roman"/>
                <w:sz w:val="20"/>
                <w:szCs w:val="20"/>
              </w:rPr>
            </w:pPr>
          </w:p>
        </w:tc>
      </w:tr>
      <w:tr w14:paraId="71E7CA47">
        <w:tblPrEx>
          <w:tblCellMar>
            <w:top w:w="0" w:type="dxa"/>
            <w:left w:w="0" w:type="dxa"/>
            <w:bottom w:w="0" w:type="dxa"/>
            <w:right w:w="0" w:type="dxa"/>
          </w:tblCellMar>
        </w:tblPrEx>
        <w:trPr>
          <w:wBefore w:w="0" w:type="auto"/>
          <w:tblCellSpacing w:w="0" w:type="dxa"/>
        </w:trPr>
        <w:tc>
          <w:tcPr>
            <w:tcW w:w="0" w:type="auto"/>
            <w:noWrap w:val="0"/>
            <w:vAlign w:val="center"/>
          </w:tcPr>
          <w:p w14:paraId="13BD51B0">
            <w:r>
              <w:rPr>
                <w:rStyle w:val="10"/>
                <w:rFonts w:hint="eastAsia"/>
              </w:rPr>
              <w:t>使用技术要求:</w:t>
            </w:r>
            <w:r>
              <w:rPr>
                <w:rFonts w:hint="eastAsia"/>
              </w:rPr>
              <w:br w:type="textWrapping"/>
            </w:r>
            <w:r>
              <w:rPr>
                <w:rStyle w:val="11"/>
                <w:rFonts w:hint="eastAsia"/>
              </w:rPr>
              <w:t>1.建议于病害发生前或发病初期施药。 2.若施药后恰遇大雨，应视具体情况适当补喷药液。3.本品在黄瓜上的安全间隔期为3天，每季使用次数2次，施药间隔期为7-10天。在水稻上的安全间隔期为21天，每季使用次数2次，施药间隔期为7-10天。在马铃薯上的安全间隔期为14天，每季使用次数2次，施药间隔期为7-10天。在烟草上每季使用次数2次，施药间隔期为7-10天。在西瓜上的安全间隔期为10天，每季使用次数2次，施药间隔期为7-10天。</w:t>
            </w:r>
          </w:p>
        </w:tc>
      </w:tr>
      <w:tr w14:paraId="7F300F31">
        <w:tblPrEx>
          <w:tblCellMar>
            <w:top w:w="0" w:type="dxa"/>
            <w:left w:w="0" w:type="dxa"/>
            <w:bottom w:w="0" w:type="dxa"/>
            <w:right w:w="0" w:type="dxa"/>
          </w:tblCellMar>
        </w:tblPrEx>
        <w:trPr>
          <w:wBefore w:w="0" w:type="auto"/>
          <w:tblCellSpacing w:w="0" w:type="dxa"/>
        </w:trPr>
        <w:tc>
          <w:tcPr>
            <w:tcW w:w="0" w:type="auto"/>
            <w:noWrap w:val="0"/>
            <w:vAlign w:val="center"/>
          </w:tcPr>
          <w:p w14:paraId="38E7CF91">
            <w:r>
              <w:rPr>
                <w:rStyle w:val="10"/>
                <w:rFonts w:hint="eastAsia"/>
              </w:rPr>
              <w:t>产品性能:</w:t>
            </w:r>
            <w:r>
              <w:rPr>
                <w:rFonts w:hint="eastAsia"/>
              </w:rPr>
              <w:br w:type="textWrapping"/>
            </w:r>
            <w:r>
              <w:rPr>
                <w:rStyle w:val="11"/>
                <w:rFonts w:hint="eastAsia"/>
              </w:rPr>
              <w:t>毒氟磷为含氟氨基膦酸酯类新型抗病毒药剂，通过激活作物水杨酸传导，提高其含量，增强抗病毒能力，对病毒病有良好防治效果。</w:t>
            </w:r>
          </w:p>
        </w:tc>
      </w:tr>
      <w:tr w14:paraId="6CC29085">
        <w:tblPrEx>
          <w:tblCellMar>
            <w:top w:w="0" w:type="dxa"/>
            <w:left w:w="0" w:type="dxa"/>
            <w:bottom w:w="0" w:type="dxa"/>
            <w:right w:w="0" w:type="dxa"/>
          </w:tblCellMar>
        </w:tblPrEx>
        <w:trPr>
          <w:wBefore w:w="0" w:type="auto"/>
          <w:tblCellSpacing w:w="0" w:type="dxa"/>
        </w:trPr>
        <w:tc>
          <w:tcPr>
            <w:tcW w:w="0" w:type="auto"/>
            <w:noWrap w:val="0"/>
            <w:vAlign w:val="center"/>
          </w:tcPr>
          <w:p w14:paraId="1BA7F5BC">
            <w:r>
              <w:rPr>
                <w:rStyle w:val="10"/>
                <w:rFonts w:hint="eastAsia"/>
              </w:rPr>
              <w:t>注意事项：</w:t>
            </w:r>
            <w:r>
              <w:rPr>
                <w:rFonts w:hint="eastAsia"/>
              </w:rPr>
              <w:br w:type="textWrapping"/>
            </w:r>
            <w:r>
              <w:rPr>
                <w:rStyle w:val="11"/>
                <w:rFonts w:hint="eastAsia"/>
              </w:rPr>
              <w:t>1.严格按照农药规程施药，本品对眼睛有刺激性，使用时避免接触眼睛，穿戴长衣、长裤、帽子、口罩、手套等防护措施。施药时不得吸烟、饮水或进食，工作完毕用肥皂水洗手和身体裸露部位，并及时更换衣物。2.本品对鱼、水生生物、蚕、鸟有毒，使用本品时应当避免 与上述非靶标生物的接触，不在桑园、蚕室、池塘等处及其周围使用本品，禁止药物及清洗药具的废水直接排入鱼塘、河川等水体中。鱼或虾蟹套养稻田禁用，施药后的田水不得直接排入水体。3.避免孕妇及哺乳期的妇女接触。4.本品不能与碱性物质混用；为提高喷药质量药液应随配随用，不能久存。5.建议与其它不同作用机制的农药轮换使用。6.用过的容器应妥善处理，不可做他用，也不可以随意丢弃。</w:t>
            </w:r>
          </w:p>
        </w:tc>
      </w:tr>
      <w:tr w14:paraId="49288454">
        <w:tblPrEx>
          <w:tblCellMar>
            <w:top w:w="0" w:type="dxa"/>
            <w:left w:w="0" w:type="dxa"/>
            <w:bottom w:w="0" w:type="dxa"/>
            <w:right w:w="0" w:type="dxa"/>
          </w:tblCellMar>
        </w:tblPrEx>
        <w:trPr>
          <w:wBefore w:w="0" w:type="auto"/>
          <w:tblCellSpacing w:w="0" w:type="dxa"/>
        </w:trPr>
        <w:tc>
          <w:tcPr>
            <w:tcW w:w="0" w:type="auto"/>
            <w:noWrap w:val="0"/>
            <w:vAlign w:val="center"/>
          </w:tcPr>
          <w:p w14:paraId="67CFEF58">
            <w:r>
              <w:rPr>
                <w:rStyle w:val="10"/>
                <w:rFonts w:hint="eastAsia"/>
              </w:rPr>
              <w:t>中毒急救措施：</w:t>
            </w:r>
            <w:r>
              <w:rPr>
                <w:rFonts w:hint="eastAsia"/>
              </w:rPr>
              <w:br w:type="textWrapping"/>
            </w:r>
            <w:r>
              <w:rPr>
                <w:rStyle w:val="11"/>
                <w:rFonts w:hint="eastAsia"/>
              </w:rPr>
              <w:t>操作中或操作后如果感觉不适，应立即停止工作，采取急救措施。 1.皮肤接触：立即脱掉被污染的衣物，用肥皂和大量清水彻底清洗受污染的皮肤。 2.眼睛接触：立即将眼睑翻开，用流动清水冲洗至少15分钟，再请医生诊治。 3.发生吸入：立即将吸入者转移到空气新鲜处。如果吸入者停止呼吸，需进行人工呼吸。注意保暖和休息，速请医生诊治。 4.误服：立即停止服用，用清水充分漱口后，立即携农药标签送医院就诊。无特效解毒剂，应对症治疗。</w:t>
            </w:r>
          </w:p>
        </w:tc>
      </w:tr>
      <w:tr w14:paraId="63106CB3">
        <w:tblPrEx>
          <w:tblCellMar>
            <w:top w:w="0" w:type="dxa"/>
            <w:left w:w="0" w:type="dxa"/>
            <w:bottom w:w="0" w:type="dxa"/>
            <w:right w:w="0" w:type="dxa"/>
          </w:tblCellMar>
        </w:tblPrEx>
        <w:trPr>
          <w:wBefore w:w="0" w:type="auto"/>
          <w:tblCellSpacing w:w="0" w:type="dxa"/>
        </w:trPr>
        <w:tc>
          <w:tcPr>
            <w:tcW w:w="0" w:type="auto"/>
            <w:noWrap w:val="0"/>
            <w:vAlign w:val="center"/>
          </w:tcPr>
          <w:p w14:paraId="2700EF91">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本品应贮存在干燥、阴凉、通风、防雨处，远离火源或热源。置于儿童触及不到之处，并加锁。勿与食品、饮料、饲料和粮食等其他商品同贮同运。</w:t>
            </w:r>
          </w:p>
        </w:tc>
      </w:tr>
      <w:tr w14:paraId="600A086E">
        <w:tblPrEx>
          <w:tblCellMar>
            <w:top w:w="0" w:type="dxa"/>
            <w:left w:w="0" w:type="dxa"/>
            <w:bottom w:w="0" w:type="dxa"/>
            <w:right w:w="0" w:type="dxa"/>
          </w:tblCellMar>
        </w:tblPrEx>
        <w:trPr>
          <w:wBefore w:w="0" w:type="auto"/>
          <w:tblCellSpacing w:w="0" w:type="dxa"/>
        </w:trPr>
        <w:tc>
          <w:tcPr>
            <w:tcW w:w="0" w:type="auto"/>
            <w:noWrap w:val="0"/>
            <w:vAlign w:val="center"/>
          </w:tcPr>
          <w:p w14:paraId="3D0D31A4">
            <w:r>
              <w:rPr>
                <w:rStyle w:val="10"/>
                <w:rFonts w:hint="eastAsia"/>
              </w:rPr>
              <w:t>质量保证期：</w:t>
            </w:r>
            <w:r>
              <w:rPr>
                <w:rStyle w:val="11"/>
                <w:rFonts w:hint="eastAsia"/>
              </w:rPr>
              <w:t>2年</w:t>
            </w:r>
          </w:p>
        </w:tc>
      </w:tr>
      <w:tr w14:paraId="0CAF4EBB">
        <w:tblPrEx>
          <w:tblCellMar>
            <w:top w:w="0" w:type="dxa"/>
            <w:left w:w="0" w:type="dxa"/>
            <w:bottom w:w="0" w:type="dxa"/>
            <w:right w:w="0" w:type="dxa"/>
          </w:tblCellMar>
        </w:tblPrEx>
        <w:trPr>
          <w:wBefore w:w="0" w:type="auto"/>
          <w:tblCellSpacing w:w="0" w:type="dxa"/>
        </w:trPr>
        <w:tc>
          <w:tcPr>
            <w:tcW w:w="0" w:type="auto"/>
            <w:noWrap w:val="0"/>
            <w:vAlign w:val="center"/>
          </w:tcPr>
          <w:p w14:paraId="6D08793C">
            <w:r>
              <w:rPr>
                <w:rStyle w:val="10"/>
                <w:rFonts w:hint="eastAsia"/>
              </w:rPr>
              <w:t>备注：</w:t>
            </w:r>
          </w:p>
        </w:tc>
      </w:tr>
    </w:tbl>
    <w:p w14:paraId="2E4FF89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8DD451">
        <w:tblPrEx>
          <w:tblCellMar>
            <w:top w:w="0" w:type="dxa"/>
            <w:left w:w="0" w:type="dxa"/>
            <w:bottom w:w="0" w:type="dxa"/>
            <w:right w:w="0" w:type="dxa"/>
          </w:tblCellMar>
        </w:tblPrEx>
        <w:trPr>
          <w:wBefore w:w="0" w:type="auto"/>
          <w:tblCellSpacing w:w="0" w:type="dxa"/>
        </w:trPr>
        <w:tc>
          <w:tcPr>
            <w:tcW w:w="0" w:type="auto"/>
            <w:noWrap w:val="0"/>
            <w:vAlign w:val="center"/>
          </w:tcPr>
          <w:p w14:paraId="2A3D7C26">
            <w:r>
              <w:rPr>
                <w:rStyle w:val="10"/>
                <w:rFonts w:hint="eastAsia"/>
              </w:rPr>
              <w:t>登记证号：</w:t>
            </w:r>
            <w:r>
              <w:rPr>
                <w:rFonts w:hint="eastAsia"/>
              </w:rPr>
              <w:t>WP20210248</w:t>
            </w:r>
          </w:p>
        </w:tc>
      </w:tr>
      <w:tr w14:paraId="3AF8B4B6">
        <w:tblPrEx>
          <w:tblCellMar>
            <w:top w:w="0" w:type="dxa"/>
            <w:left w:w="0" w:type="dxa"/>
            <w:bottom w:w="0" w:type="dxa"/>
            <w:right w:w="0" w:type="dxa"/>
          </w:tblCellMar>
        </w:tblPrEx>
        <w:trPr>
          <w:wBefore w:w="0" w:type="auto"/>
          <w:tblCellSpacing w:w="0" w:type="dxa"/>
        </w:trPr>
        <w:tc>
          <w:tcPr>
            <w:tcW w:w="0" w:type="auto"/>
            <w:noWrap w:val="0"/>
            <w:vAlign w:val="center"/>
          </w:tcPr>
          <w:p w14:paraId="05A0DBFC">
            <w:r>
              <w:rPr>
                <w:rStyle w:val="10"/>
                <w:rFonts w:hint="eastAsia"/>
              </w:rPr>
              <w:t>登记证持有人：</w:t>
            </w:r>
            <w:r>
              <w:rPr>
                <w:rFonts w:hint="eastAsia"/>
              </w:rPr>
              <w:t>广东省佛山市南海奥帝精细化工有限公司</w:t>
            </w:r>
          </w:p>
        </w:tc>
      </w:tr>
      <w:tr w14:paraId="59E286A4">
        <w:tblPrEx>
          <w:tblCellMar>
            <w:top w:w="0" w:type="dxa"/>
            <w:left w:w="0" w:type="dxa"/>
            <w:bottom w:w="0" w:type="dxa"/>
            <w:right w:w="0" w:type="dxa"/>
          </w:tblCellMar>
        </w:tblPrEx>
        <w:trPr>
          <w:wBefore w:w="0" w:type="auto"/>
          <w:tblCellSpacing w:w="0" w:type="dxa"/>
        </w:trPr>
        <w:tc>
          <w:tcPr>
            <w:tcW w:w="0" w:type="auto"/>
            <w:noWrap w:val="0"/>
            <w:vAlign w:val="center"/>
          </w:tcPr>
          <w:p w14:paraId="5CCD1F8B">
            <w:r>
              <w:rPr>
                <w:rStyle w:val="10"/>
                <w:rFonts w:hint="eastAsia"/>
              </w:rPr>
              <w:t>农药名称：</w:t>
            </w:r>
            <w:r>
              <w:rPr>
                <w:rFonts w:hint="eastAsia"/>
              </w:rPr>
              <w:t>驱蚊液</w:t>
            </w:r>
          </w:p>
        </w:tc>
      </w:tr>
      <w:tr w14:paraId="524940A0">
        <w:tblPrEx>
          <w:tblCellMar>
            <w:top w:w="0" w:type="dxa"/>
            <w:left w:w="0" w:type="dxa"/>
            <w:bottom w:w="0" w:type="dxa"/>
            <w:right w:w="0" w:type="dxa"/>
          </w:tblCellMar>
        </w:tblPrEx>
        <w:trPr>
          <w:wBefore w:w="0" w:type="auto"/>
          <w:tblCellSpacing w:w="0" w:type="dxa"/>
        </w:trPr>
        <w:tc>
          <w:tcPr>
            <w:tcW w:w="0" w:type="auto"/>
            <w:noWrap w:val="0"/>
            <w:vAlign w:val="center"/>
          </w:tcPr>
          <w:p w14:paraId="4DDF0860">
            <w:r>
              <w:rPr>
                <w:rStyle w:val="10"/>
                <w:rFonts w:hint="eastAsia"/>
              </w:rPr>
              <w:t>剂型：</w:t>
            </w:r>
            <w:r>
              <w:rPr>
                <w:rFonts w:hint="eastAsia"/>
              </w:rPr>
              <w:t>驱蚊液</w:t>
            </w:r>
          </w:p>
        </w:tc>
      </w:tr>
      <w:tr w14:paraId="4C62F801">
        <w:tblPrEx>
          <w:tblCellMar>
            <w:top w:w="0" w:type="dxa"/>
            <w:left w:w="0" w:type="dxa"/>
            <w:bottom w:w="0" w:type="dxa"/>
            <w:right w:w="0" w:type="dxa"/>
          </w:tblCellMar>
        </w:tblPrEx>
        <w:trPr>
          <w:wBefore w:w="0" w:type="auto"/>
          <w:tblCellSpacing w:w="0" w:type="dxa"/>
        </w:trPr>
        <w:tc>
          <w:tcPr>
            <w:tcW w:w="0" w:type="auto"/>
            <w:noWrap w:val="0"/>
            <w:vAlign w:val="center"/>
          </w:tcPr>
          <w:p w14:paraId="7B450C07">
            <w:r>
              <w:rPr>
                <w:rStyle w:val="10"/>
                <w:rFonts w:hint="eastAsia"/>
              </w:rPr>
              <w:t>毒性及其标识：</w:t>
            </w:r>
            <w:r>
              <w:rPr>
                <w:rFonts w:hint="eastAsia"/>
              </w:rPr>
              <w:t xml:space="preserve"> 微毒 </w:t>
            </w:r>
          </w:p>
        </w:tc>
      </w:tr>
      <w:tr w14:paraId="1A7EAB65">
        <w:tblPrEx>
          <w:tblCellMar>
            <w:top w:w="0" w:type="dxa"/>
            <w:left w:w="0" w:type="dxa"/>
            <w:bottom w:w="0" w:type="dxa"/>
            <w:right w:w="0" w:type="dxa"/>
          </w:tblCellMar>
        </w:tblPrEx>
        <w:trPr>
          <w:wBefore w:w="0" w:type="auto"/>
          <w:tblCellSpacing w:w="0" w:type="dxa"/>
        </w:trPr>
        <w:tc>
          <w:tcPr>
            <w:tcW w:w="0" w:type="auto"/>
            <w:noWrap w:val="0"/>
            <w:vAlign w:val="center"/>
          </w:tcPr>
          <w:p w14:paraId="150B7B93">
            <w:r>
              <w:rPr>
                <w:rStyle w:val="10"/>
                <w:rFonts w:hint="eastAsia"/>
              </w:rPr>
              <w:t>总有效成分含量：</w:t>
            </w:r>
            <w:r>
              <w:rPr>
                <w:rFonts w:hint="eastAsia"/>
              </w:rPr>
              <w:t>10%</w:t>
            </w:r>
          </w:p>
        </w:tc>
      </w:tr>
      <w:tr w14:paraId="114B76FB">
        <w:tblPrEx>
          <w:tblCellMar>
            <w:top w:w="0" w:type="dxa"/>
            <w:left w:w="0" w:type="dxa"/>
            <w:bottom w:w="0" w:type="dxa"/>
            <w:right w:w="0" w:type="dxa"/>
          </w:tblCellMar>
        </w:tblPrEx>
        <w:trPr>
          <w:wBefore w:w="0" w:type="auto"/>
          <w:tblCellSpacing w:w="0" w:type="dxa"/>
        </w:trPr>
        <w:tc>
          <w:tcPr>
            <w:tcW w:w="0" w:type="auto"/>
            <w:noWrap w:val="0"/>
            <w:vAlign w:val="center"/>
          </w:tcPr>
          <w:p w14:paraId="5D618BFC">
            <w:r>
              <w:rPr>
                <w:rFonts w:hint="eastAsia"/>
              </w:rPr>
              <w:t xml:space="preserve">有效成分及其含量： </w:t>
            </w:r>
          </w:p>
          <w:p w14:paraId="514D6E6A">
            <w:r>
              <w:rPr>
                <w:rFonts w:hint="eastAsia"/>
              </w:rPr>
              <w:t xml:space="preserve">    驱蚊酯10%    </w:t>
            </w:r>
          </w:p>
        </w:tc>
      </w:tr>
      <w:tr w14:paraId="7C8A4F8D">
        <w:tblPrEx>
          <w:tblCellMar>
            <w:top w:w="0" w:type="dxa"/>
            <w:left w:w="0" w:type="dxa"/>
            <w:bottom w:w="0" w:type="dxa"/>
            <w:right w:w="0" w:type="dxa"/>
          </w:tblCellMar>
        </w:tblPrEx>
        <w:trPr>
          <w:wBefore w:w="0" w:type="auto"/>
          <w:tblCellSpacing w:w="0" w:type="dxa"/>
        </w:trPr>
        <w:tc>
          <w:tcPr>
            <w:tcW w:w="0" w:type="auto"/>
            <w:noWrap w:val="0"/>
            <w:vAlign w:val="center"/>
          </w:tcPr>
          <w:p w14:paraId="34A1967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888F6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6E2EE6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49CBF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5E9076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79A479A">
                  <w:r>
                    <w:rPr>
                      <w:rStyle w:val="11"/>
                      <w:rFonts w:hint="eastAsia"/>
                    </w:rPr>
                    <w:t>施用方式</w:t>
                  </w:r>
                </w:p>
              </w:tc>
            </w:tr>
            <w:tr w14:paraId="780981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83A10EA">
                  <w:r>
                    <w:rPr>
                      <w:rStyle w:val="11"/>
                      <w:rFonts w:hint="eastAsia"/>
                    </w:rPr>
                    <w:t>卫生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973C4F">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847E8C">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9217DC">
                  <w:r>
                    <w:rPr>
                      <w:rStyle w:val="11"/>
                      <w:rFonts w:hint="eastAsia"/>
                    </w:rPr>
                    <w:t>涂抹</w:t>
                  </w:r>
                </w:p>
              </w:tc>
            </w:tr>
          </w:tbl>
          <w:p w14:paraId="44FF4DC8">
            <w:pPr>
              <w:rPr>
                <w:rFonts w:ascii="Times New Roman" w:hAnsi="Times New Roman" w:cs="Times New Roman"/>
                <w:sz w:val="20"/>
                <w:szCs w:val="20"/>
              </w:rPr>
            </w:pPr>
          </w:p>
        </w:tc>
      </w:tr>
      <w:tr w14:paraId="613736D4">
        <w:tblPrEx>
          <w:tblCellMar>
            <w:top w:w="0" w:type="dxa"/>
            <w:left w:w="0" w:type="dxa"/>
            <w:bottom w:w="0" w:type="dxa"/>
            <w:right w:w="0" w:type="dxa"/>
          </w:tblCellMar>
        </w:tblPrEx>
        <w:trPr>
          <w:wBefore w:w="0" w:type="auto"/>
          <w:tblCellSpacing w:w="0" w:type="dxa"/>
        </w:trPr>
        <w:tc>
          <w:tcPr>
            <w:tcW w:w="0" w:type="auto"/>
            <w:noWrap w:val="0"/>
            <w:vAlign w:val="center"/>
          </w:tcPr>
          <w:p w14:paraId="3C7F4D30">
            <w:r>
              <w:rPr>
                <w:rStyle w:val="10"/>
                <w:rFonts w:hint="eastAsia"/>
              </w:rPr>
              <w:t>使用技术要求:</w:t>
            </w:r>
            <w:r>
              <w:rPr>
                <w:rFonts w:hint="eastAsia"/>
              </w:rPr>
              <w:br w:type="textWrapping"/>
            </w:r>
            <w:r>
              <w:rPr>
                <w:rStyle w:val="11"/>
                <w:rFonts w:hint="eastAsia"/>
              </w:rPr>
              <w:t>直接将本品涂抹于易受蚊子叮咬处即可。</w:t>
            </w:r>
          </w:p>
        </w:tc>
      </w:tr>
      <w:tr w14:paraId="0F13F1D5">
        <w:tblPrEx>
          <w:tblCellMar>
            <w:top w:w="0" w:type="dxa"/>
            <w:left w:w="0" w:type="dxa"/>
            <w:bottom w:w="0" w:type="dxa"/>
            <w:right w:w="0" w:type="dxa"/>
          </w:tblCellMar>
        </w:tblPrEx>
        <w:trPr>
          <w:wBefore w:w="0" w:type="auto"/>
          <w:tblCellSpacing w:w="0" w:type="dxa"/>
        </w:trPr>
        <w:tc>
          <w:tcPr>
            <w:tcW w:w="0" w:type="auto"/>
            <w:noWrap w:val="0"/>
            <w:vAlign w:val="center"/>
          </w:tcPr>
          <w:p w14:paraId="6DB38ADF">
            <w:r>
              <w:rPr>
                <w:rStyle w:val="10"/>
                <w:rFonts w:hint="eastAsia"/>
              </w:rPr>
              <w:t>产品性能:</w:t>
            </w:r>
            <w:r>
              <w:rPr>
                <w:rFonts w:hint="eastAsia"/>
              </w:rPr>
              <w:br w:type="textWrapping"/>
            </w:r>
            <w:r>
              <w:rPr>
                <w:rStyle w:val="11"/>
                <w:rFonts w:hint="eastAsia"/>
              </w:rPr>
              <w:t>本品是一种昆虫驱避剂，对蚊子具有良好的驱避效果，适用于居家、旅游、户外等。</w:t>
            </w:r>
          </w:p>
        </w:tc>
      </w:tr>
      <w:tr w14:paraId="64887A3D">
        <w:tblPrEx>
          <w:tblCellMar>
            <w:top w:w="0" w:type="dxa"/>
            <w:left w:w="0" w:type="dxa"/>
            <w:bottom w:w="0" w:type="dxa"/>
            <w:right w:w="0" w:type="dxa"/>
          </w:tblCellMar>
        </w:tblPrEx>
        <w:trPr>
          <w:wBefore w:w="0" w:type="auto"/>
          <w:tblCellSpacing w:w="0" w:type="dxa"/>
        </w:trPr>
        <w:tc>
          <w:tcPr>
            <w:tcW w:w="0" w:type="auto"/>
            <w:noWrap w:val="0"/>
            <w:vAlign w:val="center"/>
          </w:tcPr>
          <w:p w14:paraId="6A8F534B">
            <w:r>
              <w:rPr>
                <w:rStyle w:val="10"/>
                <w:rFonts w:hint="eastAsia"/>
              </w:rPr>
              <w:t>注意事项：</w:t>
            </w:r>
            <w:r>
              <w:rPr>
                <w:rFonts w:hint="eastAsia"/>
              </w:rPr>
              <w:br w:type="textWrapping"/>
            </w:r>
            <w:r>
              <w:rPr>
                <w:rStyle w:val="11"/>
                <w:rFonts w:hint="eastAsia"/>
              </w:rPr>
              <w:t>1. 本品含酒精，对酒精过敏者禁用。 2. 注意避火使用。 3. 本品应置于儿童接触不到的地方。 4.本品对眼睛有刺激性，勿用于皮肤破损处、唇部、眼睛及周围皮肤。 5. 用后请洗手。 6. 本品不能食用。使用时切勿污染食品及饮用水。 7. 六个月以下婴儿及孕妇禁用。有皮炎及皮肤破损者禁用。过敏者禁用。使用中有任何不良反应请及时就医。8. 避免与氧化剂接触。</w:t>
            </w:r>
          </w:p>
        </w:tc>
      </w:tr>
      <w:tr w14:paraId="45D08DAE">
        <w:tblPrEx>
          <w:tblCellMar>
            <w:top w:w="0" w:type="dxa"/>
            <w:left w:w="0" w:type="dxa"/>
            <w:bottom w:w="0" w:type="dxa"/>
            <w:right w:w="0" w:type="dxa"/>
          </w:tblCellMar>
        </w:tblPrEx>
        <w:trPr>
          <w:wBefore w:w="0" w:type="auto"/>
          <w:tblCellSpacing w:w="0" w:type="dxa"/>
        </w:trPr>
        <w:tc>
          <w:tcPr>
            <w:tcW w:w="0" w:type="auto"/>
            <w:noWrap w:val="0"/>
            <w:vAlign w:val="center"/>
          </w:tcPr>
          <w:p w14:paraId="48A9C517">
            <w:r>
              <w:rPr>
                <w:rStyle w:val="10"/>
                <w:rFonts w:hint="eastAsia"/>
              </w:rPr>
              <w:t>中毒急救措施：</w:t>
            </w:r>
            <w:r>
              <w:rPr>
                <w:rFonts w:hint="eastAsia"/>
              </w:rPr>
              <w:br w:type="textWrapping"/>
            </w:r>
            <w:r>
              <w:rPr>
                <w:rStyle w:val="11"/>
                <w:rFonts w:hint="eastAsia"/>
              </w:rPr>
              <w:t>勿触及眼睛、嘴及受伤皮肤，若触及用清水冲洗15分钟，若刺激持续，立即携带本品就医。若有误食，大量饮水并及时携带标签就医。如皮肤过敏，请停止使用，用水清洗并就医。</w:t>
            </w:r>
          </w:p>
        </w:tc>
      </w:tr>
      <w:tr w14:paraId="6C54382B">
        <w:tblPrEx>
          <w:tblCellMar>
            <w:top w:w="0" w:type="dxa"/>
            <w:left w:w="0" w:type="dxa"/>
            <w:bottom w:w="0" w:type="dxa"/>
            <w:right w:w="0" w:type="dxa"/>
          </w:tblCellMar>
        </w:tblPrEx>
        <w:trPr>
          <w:wBefore w:w="0" w:type="auto"/>
          <w:tblCellSpacing w:w="0" w:type="dxa"/>
        </w:trPr>
        <w:tc>
          <w:tcPr>
            <w:tcW w:w="0" w:type="auto"/>
            <w:noWrap w:val="0"/>
            <w:vAlign w:val="center"/>
          </w:tcPr>
          <w:p w14:paraId="7680E613">
            <w:r>
              <w:rPr>
                <w:rStyle w:val="10"/>
                <w:rFonts w:hint="eastAsia"/>
              </w:rPr>
              <w:t>储存和运输方法：</w:t>
            </w:r>
            <w:r>
              <w:rPr>
                <w:rFonts w:hint="eastAsia"/>
              </w:rPr>
              <w:br w:type="textWrapping"/>
            </w:r>
            <w:r>
              <w:rPr>
                <w:rStyle w:val="11"/>
                <w:rFonts w:hint="eastAsia"/>
              </w:rPr>
              <w:t>本品为易燃液体，应贮存于阴凉、干燥、通风、避光处，并远离火源和热源。 应置于婴幼儿及宠物触及不到之处，并加锁。 运输时，请注意防雨淋、高温，轻拿轻放，不得损坏包装。 请勿与食品、饮料、种子、粮食、饲料等其他商品同贮同运。</w:t>
            </w:r>
          </w:p>
        </w:tc>
      </w:tr>
      <w:tr w14:paraId="438DF923">
        <w:tblPrEx>
          <w:tblCellMar>
            <w:top w:w="0" w:type="dxa"/>
            <w:left w:w="0" w:type="dxa"/>
            <w:bottom w:w="0" w:type="dxa"/>
            <w:right w:w="0" w:type="dxa"/>
          </w:tblCellMar>
        </w:tblPrEx>
        <w:trPr>
          <w:wBefore w:w="0" w:type="auto"/>
          <w:tblCellSpacing w:w="0" w:type="dxa"/>
        </w:trPr>
        <w:tc>
          <w:tcPr>
            <w:tcW w:w="0" w:type="auto"/>
            <w:noWrap w:val="0"/>
            <w:vAlign w:val="center"/>
          </w:tcPr>
          <w:p w14:paraId="59E9FBE0">
            <w:r>
              <w:rPr>
                <w:rStyle w:val="10"/>
                <w:rFonts w:hint="eastAsia"/>
              </w:rPr>
              <w:t>质量保证期：</w:t>
            </w:r>
            <w:r>
              <w:rPr>
                <w:rStyle w:val="11"/>
                <w:rFonts w:hint="eastAsia"/>
              </w:rPr>
              <w:t>2年</w:t>
            </w:r>
          </w:p>
        </w:tc>
      </w:tr>
      <w:tr w14:paraId="5A4439F2">
        <w:tblPrEx>
          <w:tblCellMar>
            <w:top w:w="0" w:type="dxa"/>
            <w:left w:w="0" w:type="dxa"/>
            <w:bottom w:w="0" w:type="dxa"/>
            <w:right w:w="0" w:type="dxa"/>
          </w:tblCellMar>
        </w:tblPrEx>
        <w:trPr>
          <w:wBefore w:w="0" w:type="auto"/>
          <w:tblCellSpacing w:w="0" w:type="dxa"/>
        </w:trPr>
        <w:tc>
          <w:tcPr>
            <w:tcW w:w="0" w:type="auto"/>
            <w:noWrap w:val="0"/>
            <w:vAlign w:val="center"/>
          </w:tcPr>
          <w:p w14:paraId="16DB4952">
            <w:r>
              <w:rPr>
                <w:rStyle w:val="10"/>
                <w:rFonts w:hint="eastAsia"/>
              </w:rPr>
              <w:t>备注：</w:t>
            </w:r>
          </w:p>
        </w:tc>
      </w:tr>
    </w:tbl>
    <w:p w14:paraId="56803FA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1E7CB8C">
        <w:tblPrEx>
          <w:tblCellMar>
            <w:top w:w="0" w:type="dxa"/>
            <w:left w:w="0" w:type="dxa"/>
            <w:bottom w:w="0" w:type="dxa"/>
            <w:right w:w="0" w:type="dxa"/>
          </w:tblCellMar>
        </w:tblPrEx>
        <w:trPr>
          <w:wBefore w:w="0" w:type="auto"/>
          <w:tblCellSpacing w:w="0" w:type="dxa"/>
        </w:trPr>
        <w:tc>
          <w:tcPr>
            <w:tcW w:w="0" w:type="auto"/>
            <w:noWrap w:val="0"/>
            <w:vAlign w:val="center"/>
          </w:tcPr>
          <w:p w14:paraId="3FF87ACF">
            <w:r>
              <w:rPr>
                <w:rStyle w:val="10"/>
                <w:rFonts w:hint="eastAsia"/>
              </w:rPr>
              <w:t>登记证号：</w:t>
            </w:r>
            <w:r>
              <w:rPr>
                <w:rFonts w:hint="eastAsia"/>
              </w:rPr>
              <w:t>PD20211867</w:t>
            </w:r>
          </w:p>
        </w:tc>
      </w:tr>
      <w:tr w14:paraId="281B9DAF">
        <w:tblPrEx>
          <w:tblCellMar>
            <w:top w:w="0" w:type="dxa"/>
            <w:left w:w="0" w:type="dxa"/>
            <w:bottom w:w="0" w:type="dxa"/>
            <w:right w:w="0" w:type="dxa"/>
          </w:tblCellMar>
        </w:tblPrEx>
        <w:trPr>
          <w:wBefore w:w="0" w:type="auto"/>
          <w:tblCellSpacing w:w="0" w:type="dxa"/>
        </w:trPr>
        <w:tc>
          <w:tcPr>
            <w:tcW w:w="0" w:type="auto"/>
            <w:noWrap w:val="0"/>
            <w:vAlign w:val="center"/>
          </w:tcPr>
          <w:p w14:paraId="747B31C0">
            <w:r>
              <w:rPr>
                <w:rStyle w:val="10"/>
                <w:rFonts w:hint="eastAsia"/>
              </w:rPr>
              <w:t>登记证持有人：</w:t>
            </w:r>
            <w:r>
              <w:rPr>
                <w:rFonts w:hint="eastAsia"/>
              </w:rPr>
              <w:t>安徽美兰农业发展股份有限公司</w:t>
            </w:r>
          </w:p>
        </w:tc>
      </w:tr>
      <w:tr w14:paraId="747C734B">
        <w:tblPrEx>
          <w:tblCellMar>
            <w:top w:w="0" w:type="dxa"/>
            <w:left w:w="0" w:type="dxa"/>
            <w:bottom w:w="0" w:type="dxa"/>
            <w:right w:w="0" w:type="dxa"/>
          </w:tblCellMar>
        </w:tblPrEx>
        <w:trPr>
          <w:wBefore w:w="0" w:type="auto"/>
          <w:tblCellSpacing w:w="0" w:type="dxa"/>
        </w:trPr>
        <w:tc>
          <w:tcPr>
            <w:tcW w:w="0" w:type="auto"/>
            <w:noWrap w:val="0"/>
            <w:vAlign w:val="center"/>
          </w:tcPr>
          <w:p w14:paraId="41095EFF">
            <w:r>
              <w:rPr>
                <w:rStyle w:val="10"/>
                <w:rFonts w:hint="eastAsia"/>
              </w:rPr>
              <w:t>农药名称：</w:t>
            </w:r>
            <w:r>
              <w:rPr>
                <w:rFonts w:hint="eastAsia"/>
              </w:rPr>
              <w:t>阿维·杀虫单</w:t>
            </w:r>
          </w:p>
        </w:tc>
      </w:tr>
      <w:tr w14:paraId="76366B02">
        <w:tblPrEx>
          <w:tblCellMar>
            <w:top w:w="0" w:type="dxa"/>
            <w:left w:w="0" w:type="dxa"/>
            <w:bottom w:w="0" w:type="dxa"/>
            <w:right w:w="0" w:type="dxa"/>
          </w:tblCellMar>
        </w:tblPrEx>
        <w:trPr>
          <w:wBefore w:w="0" w:type="auto"/>
          <w:tblCellSpacing w:w="0" w:type="dxa"/>
        </w:trPr>
        <w:tc>
          <w:tcPr>
            <w:tcW w:w="0" w:type="auto"/>
            <w:noWrap w:val="0"/>
            <w:vAlign w:val="center"/>
          </w:tcPr>
          <w:p w14:paraId="1D0F67EF">
            <w:r>
              <w:rPr>
                <w:rStyle w:val="10"/>
                <w:rFonts w:hint="eastAsia"/>
              </w:rPr>
              <w:t>剂型：</w:t>
            </w:r>
            <w:r>
              <w:rPr>
                <w:rFonts w:hint="eastAsia"/>
              </w:rPr>
              <w:t>水分散粒剂</w:t>
            </w:r>
          </w:p>
        </w:tc>
      </w:tr>
      <w:tr w14:paraId="2AEC916D">
        <w:tblPrEx>
          <w:tblCellMar>
            <w:top w:w="0" w:type="dxa"/>
            <w:left w:w="0" w:type="dxa"/>
            <w:bottom w:w="0" w:type="dxa"/>
            <w:right w:w="0" w:type="dxa"/>
          </w:tblCellMar>
        </w:tblPrEx>
        <w:trPr>
          <w:wBefore w:w="0" w:type="auto"/>
          <w:tblCellSpacing w:w="0" w:type="dxa"/>
        </w:trPr>
        <w:tc>
          <w:tcPr>
            <w:tcW w:w="0" w:type="auto"/>
            <w:noWrap w:val="0"/>
            <w:vAlign w:val="center"/>
          </w:tcPr>
          <w:p w14:paraId="3FABFA30">
            <w:r>
              <w:rPr>
                <w:rStyle w:val="10"/>
                <w:rFonts w:hint="eastAsia"/>
              </w:rPr>
              <w:t>毒性及其标识：</w:t>
            </w:r>
            <w:r>
              <w:rPr>
                <w:rFonts w:hint="eastAsia"/>
              </w:rPr>
              <w:t xml:space="preserve"> </w:t>
            </w:r>
            <w:r>
              <w:rPr>
                <w:lang/>
              </w:rPr>
              <w:drawing>
                <wp:inline distT="0" distB="0" distL="114300" distR="114300">
                  <wp:extent cx="476250" cy="323850"/>
                  <wp:effectExtent l="0" t="0" r="0" b="0"/>
                  <wp:docPr id="230" name="图片 230"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中等毒 </w:t>
            </w:r>
            <w:r>
              <w:rPr>
                <w:rFonts w:hint="eastAsia"/>
              </w:rPr>
              <w:br w:type="textWrapping"/>
            </w:r>
            <w:r>
              <w:rPr>
                <w:rFonts w:hint="eastAsia"/>
              </w:rPr>
              <w:t xml:space="preserve">(原药高毒) </w:t>
            </w:r>
          </w:p>
        </w:tc>
      </w:tr>
      <w:tr w14:paraId="167D2FD1">
        <w:tblPrEx>
          <w:tblCellMar>
            <w:top w:w="0" w:type="dxa"/>
            <w:left w:w="0" w:type="dxa"/>
            <w:bottom w:w="0" w:type="dxa"/>
            <w:right w:w="0" w:type="dxa"/>
          </w:tblCellMar>
        </w:tblPrEx>
        <w:trPr>
          <w:wBefore w:w="0" w:type="auto"/>
          <w:tblCellSpacing w:w="0" w:type="dxa"/>
        </w:trPr>
        <w:tc>
          <w:tcPr>
            <w:tcW w:w="0" w:type="auto"/>
            <w:noWrap w:val="0"/>
            <w:vAlign w:val="center"/>
          </w:tcPr>
          <w:p w14:paraId="27400E4C">
            <w:r>
              <w:rPr>
                <w:rStyle w:val="10"/>
                <w:rFonts w:hint="eastAsia"/>
              </w:rPr>
              <w:t>总有效成分含量：</w:t>
            </w:r>
            <w:r>
              <w:rPr>
                <w:rFonts w:hint="eastAsia"/>
              </w:rPr>
              <w:t>60%</w:t>
            </w:r>
          </w:p>
        </w:tc>
      </w:tr>
      <w:tr w14:paraId="74D4DDDD">
        <w:tblPrEx>
          <w:tblCellMar>
            <w:top w:w="0" w:type="dxa"/>
            <w:left w:w="0" w:type="dxa"/>
            <w:bottom w:w="0" w:type="dxa"/>
            <w:right w:w="0" w:type="dxa"/>
          </w:tblCellMar>
        </w:tblPrEx>
        <w:trPr>
          <w:wBefore w:w="0" w:type="auto"/>
          <w:tblCellSpacing w:w="0" w:type="dxa"/>
        </w:trPr>
        <w:tc>
          <w:tcPr>
            <w:tcW w:w="0" w:type="auto"/>
            <w:noWrap w:val="0"/>
            <w:vAlign w:val="center"/>
          </w:tcPr>
          <w:p w14:paraId="0D206DC6">
            <w:r>
              <w:rPr>
                <w:rFonts w:hint="eastAsia"/>
              </w:rPr>
              <w:t xml:space="preserve">有效成分及其含量： </w:t>
            </w:r>
          </w:p>
          <w:p w14:paraId="26B1E66E">
            <w:r>
              <w:rPr>
                <w:rFonts w:hint="eastAsia"/>
              </w:rPr>
              <w:t xml:space="preserve">    杀虫单55%    阿维菌素5%    </w:t>
            </w:r>
          </w:p>
        </w:tc>
      </w:tr>
      <w:tr w14:paraId="3F9F1739">
        <w:tblPrEx>
          <w:tblCellMar>
            <w:top w:w="0" w:type="dxa"/>
            <w:left w:w="0" w:type="dxa"/>
            <w:bottom w:w="0" w:type="dxa"/>
            <w:right w:w="0" w:type="dxa"/>
          </w:tblCellMar>
        </w:tblPrEx>
        <w:trPr>
          <w:wBefore w:w="0" w:type="auto"/>
          <w:tblCellSpacing w:w="0" w:type="dxa"/>
        </w:trPr>
        <w:tc>
          <w:tcPr>
            <w:tcW w:w="0" w:type="auto"/>
            <w:noWrap w:val="0"/>
            <w:vAlign w:val="center"/>
          </w:tcPr>
          <w:p w14:paraId="1D4574C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2CCEF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32B399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343FA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B7AAD4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D009686">
                  <w:r>
                    <w:rPr>
                      <w:rStyle w:val="11"/>
                      <w:rFonts w:hint="eastAsia"/>
                    </w:rPr>
                    <w:t>施用方式</w:t>
                  </w:r>
                </w:p>
              </w:tc>
            </w:tr>
            <w:tr w14:paraId="27FB99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99EB99">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025156">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8BA8A3">
                  <w:r>
                    <w:rPr>
                      <w:rStyle w:val="11"/>
                      <w:rFonts w:hint="eastAsia"/>
                    </w:rPr>
                    <w:t>20-40克/亩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3CA1A0">
                  <w:r>
                    <w:rPr>
                      <w:rStyle w:val="11"/>
                      <w:rFonts w:hint="eastAsia"/>
                    </w:rPr>
                    <w:t>喷雾</w:t>
                  </w:r>
                </w:p>
              </w:tc>
            </w:tr>
          </w:tbl>
          <w:p w14:paraId="68265F50">
            <w:pPr>
              <w:rPr>
                <w:rFonts w:ascii="Times New Roman" w:hAnsi="Times New Roman" w:cs="Times New Roman"/>
                <w:sz w:val="20"/>
                <w:szCs w:val="20"/>
              </w:rPr>
            </w:pPr>
          </w:p>
        </w:tc>
      </w:tr>
      <w:tr w14:paraId="41199232">
        <w:tblPrEx>
          <w:tblCellMar>
            <w:top w:w="0" w:type="dxa"/>
            <w:left w:w="0" w:type="dxa"/>
            <w:bottom w:w="0" w:type="dxa"/>
            <w:right w:w="0" w:type="dxa"/>
          </w:tblCellMar>
        </w:tblPrEx>
        <w:trPr>
          <w:wBefore w:w="0" w:type="auto"/>
          <w:tblCellSpacing w:w="0" w:type="dxa"/>
        </w:trPr>
        <w:tc>
          <w:tcPr>
            <w:tcW w:w="0" w:type="auto"/>
            <w:noWrap w:val="0"/>
            <w:vAlign w:val="center"/>
          </w:tcPr>
          <w:p w14:paraId="79B4CACB">
            <w:r>
              <w:rPr>
                <w:rStyle w:val="10"/>
                <w:rFonts w:hint="eastAsia"/>
              </w:rPr>
              <w:t>使用技术要求:</w:t>
            </w:r>
            <w:r>
              <w:rPr>
                <w:rFonts w:hint="eastAsia"/>
              </w:rPr>
              <w:br w:type="textWrapping"/>
            </w:r>
            <w:r>
              <w:rPr>
                <w:rStyle w:val="11"/>
                <w:rFonts w:hint="eastAsia"/>
              </w:rPr>
              <w:t>1.于水稻稻纵卷叶螟卵孵盛期至低龄幼虫期喷雾施药1次。2.大风天或预计1小时内有雨，请勿施药。3.本品对棉花、烟草、十字花科蔬菜、大豆、四季豆、马铃薯等作物敏感，使用时注意避免飘移到这些临近作物上。4.在水稻上的安全间隔期为21天，每季最多施药1次。</w:t>
            </w:r>
          </w:p>
        </w:tc>
      </w:tr>
      <w:tr w14:paraId="5D2AA3F4">
        <w:tblPrEx>
          <w:tblCellMar>
            <w:top w:w="0" w:type="dxa"/>
            <w:left w:w="0" w:type="dxa"/>
            <w:bottom w:w="0" w:type="dxa"/>
            <w:right w:w="0" w:type="dxa"/>
          </w:tblCellMar>
        </w:tblPrEx>
        <w:trPr>
          <w:wBefore w:w="0" w:type="auto"/>
          <w:tblCellSpacing w:w="0" w:type="dxa"/>
        </w:trPr>
        <w:tc>
          <w:tcPr>
            <w:tcW w:w="0" w:type="auto"/>
            <w:noWrap w:val="0"/>
            <w:vAlign w:val="center"/>
          </w:tcPr>
          <w:p w14:paraId="29CA1817">
            <w:r>
              <w:rPr>
                <w:rStyle w:val="10"/>
                <w:rFonts w:hint="eastAsia"/>
              </w:rPr>
              <w:t>产品性能:</w:t>
            </w:r>
            <w:r>
              <w:rPr>
                <w:rFonts w:hint="eastAsia"/>
              </w:rPr>
              <w:br w:type="textWrapping"/>
            </w:r>
            <w:r>
              <w:rPr>
                <w:rStyle w:val="11"/>
                <w:rFonts w:hint="eastAsia"/>
              </w:rPr>
              <w:t>本品由阿维菌素和杀虫单复配而成，阿维菌素是一种大环内酯双糖类化合物，具有触杀和胃毒作用，并有微弱的熏蒸作用，它对叶片有较强的渗透作用，可杀死表皮下的害虫。杀虫单是一种人工合成的沙蚕毒素的类似物，进入昆虫体内迅速转化为沙蚕素或二氢沙蚕毒素，具有较强的触杀、胃毒和内吸传导作用。两者复配对水稻稻纵卷叶螟有良好的防治效果。</w:t>
            </w:r>
          </w:p>
        </w:tc>
      </w:tr>
      <w:tr w14:paraId="51C6F966">
        <w:tblPrEx>
          <w:tblCellMar>
            <w:top w:w="0" w:type="dxa"/>
            <w:left w:w="0" w:type="dxa"/>
            <w:bottom w:w="0" w:type="dxa"/>
            <w:right w:w="0" w:type="dxa"/>
          </w:tblCellMar>
        </w:tblPrEx>
        <w:trPr>
          <w:wBefore w:w="0" w:type="auto"/>
          <w:tblCellSpacing w:w="0" w:type="dxa"/>
        </w:trPr>
        <w:tc>
          <w:tcPr>
            <w:tcW w:w="0" w:type="auto"/>
            <w:noWrap w:val="0"/>
            <w:vAlign w:val="center"/>
          </w:tcPr>
          <w:p w14:paraId="73A43245">
            <w:r>
              <w:rPr>
                <w:rStyle w:val="10"/>
                <w:rFonts w:hint="eastAsia"/>
              </w:rPr>
              <w:t>注意事项：</w:t>
            </w:r>
            <w:r>
              <w:rPr>
                <w:rFonts w:hint="eastAsia"/>
              </w:rPr>
              <w:br w:type="textWrapping"/>
            </w:r>
            <w:r>
              <w:rPr>
                <w:rStyle w:val="11"/>
                <w:rFonts w:hint="eastAsia"/>
              </w:rPr>
              <w:t>1.本品不能与碱性物质混合使用。2.本品对蜜蜂、鸟类、家蚕、鱼类等水生生物有毒，使用时应密切关注对附近蜂群的影响，（周围）开花植物花期禁用、蚕室及桑园附近禁用、鸟类保护区禁止使用、赤眼蜂、瓢虫等天敌放飞区域禁用。水产养殖区、河塘等水体附近禁用、鱼或虾蟹套养稻田禁用，禁止在池塘等水域清洗施药器具，施药后的田水不得直接排入水体。3.使用本品时应穿戴防护服和手套等，避免吸入药液。施药期间不可抽烟、吃东西和饮水。施药后应及时洗手和洗脸。 4.用过的容器应妥善处理，不可做他用，也不可随意丢弃。不可将残留药物、清洗液倒入江河、鱼塘等水域。5.建议与作用机理不同的杀虫剂轮换使用，以延缓抗药性产生。6.孕妇或哺乳期妇女禁止接触。7.使用时穿戴长衣、长裤、帽子、口罩、手套等安全防护措施。</w:t>
            </w:r>
          </w:p>
        </w:tc>
      </w:tr>
      <w:tr w14:paraId="6CF7DBBD">
        <w:tblPrEx>
          <w:tblCellMar>
            <w:top w:w="0" w:type="dxa"/>
            <w:left w:w="0" w:type="dxa"/>
            <w:bottom w:w="0" w:type="dxa"/>
            <w:right w:w="0" w:type="dxa"/>
          </w:tblCellMar>
        </w:tblPrEx>
        <w:trPr>
          <w:wBefore w:w="0" w:type="auto"/>
          <w:tblCellSpacing w:w="0" w:type="dxa"/>
        </w:trPr>
        <w:tc>
          <w:tcPr>
            <w:tcW w:w="0" w:type="auto"/>
            <w:noWrap w:val="0"/>
            <w:vAlign w:val="center"/>
          </w:tcPr>
          <w:p w14:paraId="169B83C3">
            <w:r>
              <w:rPr>
                <w:rStyle w:val="10"/>
                <w:rFonts w:hint="eastAsia"/>
              </w:rPr>
              <w:t>中毒急救措施：</w:t>
            </w:r>
            <w:r>
              <w:rPr>
                <w:rFonts w:hint="eastAsia"/>
              </w:rPr>
              <w:br w:type="textWrapping"/>
            </w:r>
            <w:r>
              <w:rPr>
                <w:rStyle w:val="11"/>
                <w:rFonts w:hint="eastAsia"/>
              </w:rPr>
              <w:t>中毒症状：头痛、头昏、恶心、呕吐、瞳孔放大。急救措施：不慎吸入应将病人移至空气清新处；药液不慎沾染皮肤或溅入眼睛，应用大量清水冲洗干净；若发生中毒，请携带标签到医院，判断引起中毒的主要原因，阿维菌素中毒，立即引吐，服用吐根糖浆或麻黄素，但勿给昏迷患者引吐或灌任何东西；杀虫单中毒，草蕈碱样症状明显者可用阿托品类药物对抗，但注意防止过量。</w:t>
            </w:r>
          </w:p>
        </w:tc>
      </w:tr>
      <w:tr w14:paraId="788AD2F7">
        <w:tblPrEx>
          <w:tblCellMar>
            <w:top w:w="0" w:type="dxa"/>
            <w:left w:w="0" w:type="dxa"/>
            <w:bottom w:w="0" w:type="dxa"/>
            <w:right w:w="0" w:type="dxa"/>
          </w:tblCellMar>
        </w:tblPrEx>
        <w:trPr>
          <w:wBefore w:w="0" w:type="auto"/>
          <w:tblCellSpacing w:w="0" w:type="dxa"/>
        </w:trPr>
        <w:tc>
          <w:tcPr>
            <w:tcW w:w="0" w:type="auto"/>
            <w:noWrap w:val="0"/>
            <w:vAlign w:val="center"/>
          </w:tcPr>
          <w:p w14:paraId="7EFE2CF6">
            <w:r>
              <w:rPr>
                <w:rStyle w:val="10"/>
                <w:rFonts w:hint="eastAsia"/>
              </w:rPr>
              <w:t>储存和运输方法：</w:t>
            </w:r>
            <w:r>
              <w:rPr>
                <w:rFonts w:hint="eastAsia"/>
              </w:rPr>
              <w:br w:type="textWrapping"/>
            </w:r>
            <w:r>
              <w:rPr>
                <w:rStyle w:val="11"/>
                <w:rFonts w:hint="eastAsia"/>
              </w:rPr>
              <w:t>本品应贮存在干燥、阴凉、通风处，远离火源或热源。置于儿童接触不到的地方，并加锁保存。不能与食品、饮料、粮食、饲料等其他商品同贮同运。</w:t>
            </w:r>
          </w:p>
        </w:tc>
      </w:tr>
      <w:tr w14:paraId="44B573E0">
        <w:tblPrEx>
          <w:tblCellMar>
            <w:top w:w="0" w:type="dxa"/>
            <w:left w:w="0" w:type="dxa"/>
            <w:bottom w:w="0" w:type="dxa"/>
            <w:right w:w="0" w:type="dxa"/>
          </w:tblCellMar>
        </w:tblPrEx>
        <w:trPr>
          <w:wBefore w:w="0" w:type="auto"/>
          <w:tblCellSpacing w:w="0" w:type="dxa"/>
        </w:trPr>
        <w:tc>
          <w:tcPr>
            <w:tcW w:w="0" w:type="auto"/>
            <w:noWrap w:val="0"/>
            <w:vAlign w:val="center"/>
          </w:tcPr>
          <w:p w14:paraId="00FA0782">
            <w:r>
              <w:rPr>
                <w:rStyle w:val="10"/>
                <w:rFonts w:hint="eastAsia"/>
              </w:rPr>
              <w:t>质量保证期：</w:t>
            </w:r>
            <w:r>
              <w:rPr>
                <w:rStyle w:val="11"/>
                <w:rFonts w:hint="eastAsia"/>
              </w:rPr>
              <w:t>2年</w:t>
            </w:r>
          </w:p>
        </w:tc>
      </w:tr>
      <w:tr w14:paraId="62D18252">
        <w:tblPrEx>
          <w:tblCellMar>
            <w:top w:w="0" w:type="dxa"/>
            <w:left w:w="0" w:type="dxa"/>
            <w:bottom w:w="0" w:type="dxa"/>
            <w:right w:w="0" w:type="dxa"/>
          </w:tblCellMar>
        </w:tblPrEx>
        <w:trPr>
          <w:wBefore w:w="0" w:type="auto"/>
          <w:tblCellSpacing w:w="0" w:type="dxa"/>
        </w:trPr>
        <w:tc>
          <w:tcPr>
            <w:tcW w:w="0" w:type="auto"/>
            <w:noWrap w:val="0"/>
            <w:vAlign w:val="center"/>
          </w:tcPr>
          <w:p w14:paraId="32F41680">
            <w:r>
              <w:rPr>
                <w:rStyle w:val="10"/>
                <w:rFonts w:hint="eastAsia"/>
              </w:rPr>
              <w:t>备注：</w:t>
            </w:r>
          </w:p>
        </w:tc>
      </w:tr>
    </w:tbl>
    <w:p w14:paraId="0CAFD68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C6E28E7">
        <w:tblPrEx>
          <w:tblCellMar>
            <w:top w:w="0" w:type="dxa"/>
            <w:left w:w="0" w:type="dxa"/>
            <w:bottom w:w="0" w:type="dxa"/>
            <w:right w:w="0" w:type="dxa"/>
          </w:tblCellMar>
        </w:tblPrEx>
        <w:trPr>
          <w:wBefore w:w="0" w:type="auto"/>
          <w:tblCellSpacing w:w="0" w:type="dxa"/>
        </w:trPr>
        <w:tc>
          <w:tcPr>
            <w:tcW w:w="0" w:type="auto"/>
            <w:noWrap w:val="0"/>
            <w:vAlign w:val="center"/>
          </w:tcPr>
          <w:p w14:paraId="3F7673C5">
            <w:r>
              <w:rPr>
                <w:rStyle w:val="10"/>
                <w:rFonts w:hint="eastAsia"/>
              </w:rPr>
              <w:t>登记证号：</w:t>
            </w:r>
            <w:r>
              <w:rPr>
                <w:rFonts w:hint="eastAsia"/>
              </w:rPr>
              <w:t>PD20212165</w:t>
            </w:r>
          </w:p>
        </w:tc>
      </w:tr>
      <w:tr w14:paraId="54B80F95">
        <w:tblPrEx>
          <w:tblCellMar>
            <w:top w:w="0" w:type="dxa"/>
            <w:left w:w="0" w:type="dxa"/>
            <w:bottom w:w="0" w:type="dxa"/>
            <w:right w:w="0" w:type="dxa"/>
          </w:tblCellMar>
        </w:tblPrEx>
        <w:trPr>
          <w:wBefore w:w="0" w:type="auto"/>
          <w:tblCellSpacing w:w="0" w:type="dxa"/>
        </w:trPr>
        <w:tc>
          <w:tcPr>
            <w:tcW w:w="0" w:type="auto"/>
            <w:noWrap w:val="0"/>
            <w:vAlign w:val="center"/>
          </w:tcPr>
          <w:p w14:paraId="501C8D42">
            <w:r>
              <w:rPr>
                <w:rStyle w:val="10"/>
                <w:rFonts w:hint="eastAsia"/>
              </w:rPr>
              <w:t>登记证持有人：</w:t>
            </w:r>
            <w:r>
              <w:rPr>
                <w:rFonts w:hint="eastAsia"/>
              </w:rPr>
              <w:t>侨昌现代农业有限公司</w:t>
            </w:r>
          </w:p>
        </w:tc>
      </w:tr>
      <w:tr w14:paraId="291C6BD6">
        <w:tblPrEx>
          <w:tblCellMar>
            <w:top w:w="0" w:type="dxa"/>
            <w:left w:w="0" w:type="dxa"/>
            <w:bottom w:w="0" w:type="dxa"/>
            <w:right w:w="0" w:type="dxa"/>
          </w:tblCellMar>
        </w:tblPrEx>
        <w:trPr>
          <w:wBefore w:w="0" w:type="auto"/>
          <w:tblCellSpacing w:w="0" w:type="dxa"/>
        </w:trPr>
        <w:tc>
          <w:tcPr>
            <w:tcW w:w="0" w:type="auto"/>
            <w:noWrap w:val="0"/>
            <w:vAlign w:val="center"/>
          </w:tcPr>
          <w:p w14:paraId="5706A50E">
            <w:r>
              <w:rPr>
                <w:rStyle w:val="10"/>
                <w:rFonts w:hint="eastAsia"/>
              </w:rPr>
              <w:t>农药名称：</w:t>
            </w:r>
            <w:r>
              <w:rPr>
                <w:rFonts w:hint="eastAsia"/>
              </w:rPr>
              <w:t>二磺·氟唑</w:t>
            </w:r>
          </w:p>
        </w:tc>
      </w:tr>
      <w:tr w14:paraId="51DAA95F">
        <w:tblPrEx>
          <w:tblCellMar>
            <w:top w:w="0" w:type="dxa"/>
            <w:left w:w="0" w:type="dxa"/>
            <w:bottom w:w="0" w:type="dxa"/>
            <w:right w:w="0" w:type="dxa"/>
          </w:tblCellMar>
        </w:tblPrEx>
        <w:trPr>
          <w:wBefore w:w="0" w:type="auto"/>
          <w:tblCellSpacing w:w="0" w:type="dxa"/>
        </w:trPr>
        <w:tc>
          <w:tcPr>
            <w:tcW w:w="0" w:type="auto"/>
            <w:noWrap w:val="0"/>
            <w:vAlign w:val="center"/>
          </w:tcPr>
          <w:p w14:paraId="0C557447">
            <w:r>
              <w:rPr>
                <w:rStyle w:val="10"/>
                <w:rFonts w:hint="eastAsia"/>
              </w:rPr>
              <w:t>剂型：</w:t>
            </w:r>
            <w:r>
              <w:rPr>
                <w:rFonts w:hint="eastAsia"/>
              </w:rPr>
              <w:t>可分散油悬浮剂</w:t>
            </w:r>
          </w:p>
        </w:tc>
      </w:tr>
      <w:tr w14:paraId="5F76D09C">
        <w:tblPrEx>
          <w:tblCellMar>
            <w:top w:w="0" w:type="dxa"/>
            <w:left w:w="0" w:type="dxa"/>
            <w:bottom w:w="0" w:type="dxa"/>
            <w:right w:w="0" w:type="dxa"/>
          </w:tblCellMar>
        </w:tblPrEx>
        <w:trPr>
          <w:wBefore w:w="0" w:type="auto"/>
          <w:tblCellSpacing w:w="0" w:type="dxa"/>
        </w:trPr>
        <w:tc>
          <w:tcPr>
            <w:tcW w:w="0" w:type="auto"/>
            <w:noWrap w:val="0"/>
            <w:vAlign w:val="center"/>
          </w:tcPr>
          <w:p w14:paraId="7C5BAA7A">
            <w:r>
              <w:rPr>
                <w:rStyle w:val="10"/>
                <w:rFonts w:hint="eastAsia"/>
              </w:rPr>
              <w:t>毒性及其标识：</w:t>
            </w:r>
            <w:r>
              <w:rPr>
                <w:rFonts w:hint="eastAsia"/>
              </w:rPr>
              <w:t xml:space="preserve"> </w:t>
            </w:r>
            <w:r>
              <w:rPr>
                <w:lang/>
              </w:rPr>
              <w:drawing>
                <wp:inline distT="0" distB="0" distL="114300" distR="114300">
                  <wp:extent cx="476250" cy="323850"/>
                  <wp:effectExtent l="0" t="0" r="0" b="0"/>
                  <wp:docPr id="231" name="图片 23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54B1F58">
        <w:tblPrEx>
          <w:tblCellMar>
            <w:top w:w="0" w:type="dxa"/>
            <w:left w:w="0" w:type="dxa"/>
            <w:bottom w:w="0" w:type="dxa"/>
            <w:right w:w="0" w:type="dxa"/>
          </w:tblCellMar>
        </w:tblPrEx>
        <w:trPr>
          <w:wBefore w:w="0" w:type="auto"/>
          <w:tblCellSpacing w:w="0" w:type="dxa"/>
        </w:trPr>
        <w:tc>
          <w:tcPr>
            <w:tcW w:w="0" w:type="auto"/>
            <w:noWrap w:val="0"/>
            <w:vAlign w:val="center"/>
          </w:tcPr>
          <w:p w14:paraId="32271683">
            <w:r>
              <w:rPr>
                <w:rStyle w:val="10"/>
                <w:rFonts w:hint="eastAsia"/>
              </w:rPr>
              <w:t>总有效成分含量：</w:t>
            </w:r>
            <w:r>
              <w:rPr>
                <w:rFonts w:hint="eastAsia"/>
              </w:rPr>
              <w:t>3%</w:t>
            </w:r>
          </w:p>
        </w:tc>
      </w:tr>
      <w:tr w14:paraId="677882FD">
        <w:tblPrEx>
          <w:tblCellMar>
            <w:top w:w="0" w:type="dxa"/>
            <w:left w:w="0" w:type="dxa"/>
            <w:bottom w:w="0" w:type="dxa"/>
            <w:right w:w="0" w:type="dxa"/>
          </w:tblCellMar>
        </w:tblPrEx>
        <w:trPr>
          <w:wBefore w:w="0" w:type="auto"/>
          <w:tblCellSpacing w:w="0" w:type="dxa"/>
        </w:trPr>
        <w:tc>
          <w:tcPr>
            <w:tcW w:w="0" w:type="auto"/>
            <w:noWrap w:val="0"/>
            <w:vAlign w:val="center"/>
          </w:tcPr>
          <w:p w14:paraId="489C8900">
            <w:r>
              <w:rPr>
                <w:rFonts w:hint="eastAsia"/>
              </w:rPr>
              <w:t xml:space="preserve">有效成分及其含量： </w:t>
            </w:r>
          </w:p>
          <w:p w14:paraId="7380A145">
            <w:r>
              <w:rPr>
                <w:rFonts w:hint="eastAsia"/>
              </w:rPr>
              <w:t xml:space="preserve">    甲基二磺隆1%    氟唑磺隆2%    </w:t>
            </w:r>
          </w:p>
        </w:tc>
      </w:tr>
      <w:tr w14:paraId="78530E3A">
        <w:tblPrEx>
          <w:tblCellMar>
            <w:top w:w="0" w:type="dxa"/>
            <w:left w:w="0" w:type="dxa"/>
            <w:bottom w:w="0" w:type="dxa"/>
            <w:right w:w="0" w:type="dxa"/>
          </w:tblCellMar>
        </w:tblPrEx>
        <w:trPr>
          <w:wBefore w:w="0" w:type="auto"/>
          <w:tblCellSpacing w:w="0" w:type="dxa"/>
        </w:trPr>
        <w:tc>
          <w:tcPr>
            <w:tcW w:w="0" w:type="auto"/>
            <w:noWrap w:val="0"/>
            <w:vAlign w:val="center"/>
          </w:tcPr>
          <w:p w14:paraId="7B9A9D6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2BC36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D7286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FD0921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B68C51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E13F89E">
                  <w:r>
                    <w:rPr>
                      <w:rStyle w:val="11"/>
                      <w:rFonts w:hint="eastAsia"/>
                    </w:rPr>
                    <w:t>施用方式</w:t>
                  </w:r>
                </w:p>
              </w:tc>
            </w:tr>
            <w:tr w14:paraId="3AC6AD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5FEF2FF">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64D2D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E0CE22">
                  <w:r>
                    <w:rPr>
                      <w:rStyle w:val="11"/>
                      <w:rFonts w:hint="eastAsia"/>
                    </w:rPr>
                    <w:t>70-90毫升/亩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722DF6">
                  <w:r>
                    <w:rPr>
                      <w:rStyle w:val="11"/>
                      <w:rFonts w:hint="eastAsia"/>
                    </w:rPr>
                    <w:t>茎叶喷雾</w:t>
                  </w:r>
                </w:p>
              </w:tc>
            </w:tr>
          </w:tbl>
          <w:p w14:paraId="2F511EE7">
            <w:pPr>
              <w:rPr>
                <w:rFonts w:ascii="Times New Roman" w:hAnsi="Times New Roman" w:cs="Times New Roman"/>
                <w:sz w:val="20"/>
                <w:szCs w:val="20"/>
              </w:rPr>
            </w:pPr>
          </w:p>
        </w:tc>
      </w:tr>
      <w:tr w14:paraId="25935E60">
        <w:tblPrEx>
          <w:tblCellMar>
            <w:top w:w="0" w:type="dxa"/>
            <w:left w:w="0" w:type="dxa"/>
            <w:bottom w:w="0" w:type="dxa"/>
            <w:right w:w="0" w:type="dxa"/>
          </w:tblCellMar>
        </w:tblPrEx>
        <w:trPr>
          <w:wBefore w:w="0" w:type="auto"/>
          <w:tblCellSpacing w:w="0" w:type="dxa"/>
        </w:trPr>
        <w:tc>
          <w:tcPr>
            <w:tcW w:w="0" w:type="auto"/>
            <w:noWrap w:val="0"/>
            <w:vAlign w:val="center"/>
          </w:tcPr>
          <w:p w14:paraId="02A31B67">
            <w:r>
              <w:rPr>
                <w:rStyle w:val="10"/>
                <w:rFonts w:hint="eastAsia"/>
              </w:rPr>
              <w:t>使用技术要求:</w:t>
            </w:r>
            <w:r>
              <w:rPr>
                <w:rFonts w:hint="eastAsia"/>
              </w:rPr>
              <w:br w:type="textWrapping"/>
            </w:r>
            <w:r>
              <w:rPr>
                <w:rStyle w:val="11"/>
                <w:rFonts w:hint="eastAsia"/>
              </w:rPr>
              <w:t>1、每季作物最多使用1次。2、本品不宜与2,4-滴混用，以免产生药害。麦田处理4周内不可放牧或收割麦苗饲用。3、严格按推荐的使用技术均匀施用，不得超范围使用，某些春小麦和角质（强筋或硬质）型小麦品种（如扬麦158、豫麦18、济麦20等）对本剂敏感，使用前须先进行小范围安全性试验验证。4、勿在套种或间作大麦、燕麦、十字花科作物及豆类作物的小麦田使用。5、本品在土壤中的残效期较长。应用本品9个月后，可以轮作萝卜、大麦、红花、油菜、大豆、菜豆、向日葵、亚麻和马铃薯，11个月后可种植豌豆，24个月后可种植小扁豆。若后茬轮作标签上未标注的其他作物时，应先进行试验，确保安全后再轮作。6、勿在低温、8℃以下及干旱等不良气候条件下施药。7、在冬小麦返青至拔节前，春小麦3-5叶期，杂草2-4叶期，以推荐剂量兑水均匀茎叶喷雾施药一次，每亩兑水20-30公斤。8、尽量选择无风的天气施药，避免飘移药害。</w:t>
            </w:r>
          </w:p>
        </w:tc>
      </w:tr>
      <w:tr w14:paraId="04C0B8BC">
        <w:tblPrEx>
          <w:tblCellMar>
            <w:top w:w="0" w:type="dxa"/>
            <w:left w:w="0" w:type="dxa"/>
            <w:bottom w:w="0" w:type="dxa"/>
            <w:right w:w="0" w:type="dxa"/>
          </w:tblCellMar>
        </w:tblPrEx>
        <w:trPr>
          <w:wBefore w:w="0" w:type="auto"/>
          <w:tblCellSpacing w:w="0" w:type="dxa"/>
        </w:trPr>
        <w:tc>
          <w:tcPr>
            <w:tcW w:w="0" w:type="auto"/>
            <w:noWrap w:val="0"/>
            <w:vAlign w:val="center"/>
          </w:tcPr>
          <w:p w14:paraId="2D4C5A67">
            <w:r>
              <w:rPr>
                <w:rStyle w:val="10"/>
                <w:rFonts w:hint="eastAsia"/>
              </w:rPr>
              <w:t>产品性能:</w:t>
            </w:r>
            <w:r>
              <w:rPr>
                <w:rFonts w:hint="eastAsia"/>
              </w:rPr>
              <w:br w:type="textWrapping"/>
            </w:r>
            <w:r>
              <w:rPr>
                <w:rStyle w:val="11"/>
                <w:rFonts w:hint="eastAsia"/>
              </w:rPr>
              <w:t>本品是可流动、易测量体积的悬浮液体，可有效防除小麦田一年生杂草。</w:t>
            </w:r>
          </w:p>
        </w:tc>
      </w:tr>
      <w:tr w14:paraId="6888AF68">
        <w:tblPrEx>
          <w:tblCellMar>
            <w:top w:w="0" w:type="dxa"/>
            <w:left w:w="0" w:type="dxa"/>
            <w:bottom w:w="0" w:type="dxa"/>
            <w:right w:w="0" w:type="dxa"/>
          </w:tblCellMar>
        </w:tblPrEx>
        <w:trPr>
          <w:wBefore w:w="0" w:type="auto"/>
          <w:tblCellSpacing w:w="0" w:type="dxa"/>
        </w:trPr>
        <w:tc>
          <w:tcPr>
            <w:tcW w:w="0" w:type="auto"/>
            <w:noWrap w:val="0"/>
            <w:vAlign w:val="center"/>
          </w:tcPr>
          <w:p w14:paraId="604A8789">
            <w:r>
              <w:rPr>
                <w:rStyle w:val="10"/>
                <w:rFonts w:hint="eastAsia"/>
              </w:rPr>
              <w:t>注意事项：</w:t>
            </w:r>
            <w:r>
              <w:rPr>
                <w:rFonts w:hint="eastAsia"/>
              </w:rPr>
              <w:br w:type="textWrapping"/>
            </w:r>
            <w:r>
              <w:rPr>
                <w:rStyle w:val="11"/>
                <w:rFonts w:hint="eastAsia"/>
              </w:rPr>
              <w:t>1、本品对蜜蜂、鱼类等水生生物、家蚕有毒，施药期间应避免对周围蜂群的影响，禁止在开花植物花期、蚕室和桑园附近使用。赤眼蜂等天敌放飞区域禁用。地下水、饮用水水源地禁用。2、水产养殖区、河塘等水体附近禁用，禁止在河塘等水域清洗施药器具。3、对眼睛有刺激性，使用时避免接触眼睛，穿戴长衣、长裤、帽子、口罩、手套等防护措施，避免吸入药液；施药期间不可吃东西、喝水、吸烟等。施药后应及时洗手、洗脸等。4、禁止在河塘等水域内清洗施药器具或将清洗施药器具的废水倒入河流、池塘等水源。5、废弃物应妥善处理，不可做他用，也不可随意丢弃。6、孕妇及哺乳期妇女避免接触本品。</w:t>
            </w:r>
          </w:p>
        </w:tc>
      </w:tr>
      <w:tr w14:paraId="4C7B2350">
        <w:tblPrEx>
          <w:tblCellMar>
            <w:top w:w="0" w:type="dxa"/>
            <w:left w:w="0" w:type="dxa"/>
            <w:bottom w:w="0" w:type="dxa"/>
            <w:right w:w="0" w:type="dxa"/>
          </w:tblCellMar>
        </w:tblPrEx>
        <w:trPr>
          <w:wBefore w:w="0" w:type="auto"/>
          <w:tblCellSpacing w:w="0" w:type="dxa"/>
        </w:trPr>
        <w:tc>
          <w:tcPr>
            <w:tcW w:w="0" w:type="auto"/>
            <w:noWrap w:val="0"/>
            <w:vAlign w:val="center"/>
          </w:tcPr>
          <w:p w14:paraId="59DE0CD5">
            <w:r>
              <w:rPr>
                <w:rStyle w:val="10"/>
                <w:rFonts w:hint="eastAsia"/>
              </w:rPr>
              <w:t>中毒急救措施：</w:t>
            </w:r>
            <w:r>
              <w:rPr>
                <w:rFonts w:hint="eastAsia"/>
              </w:rPr>
              <w:br w:type="textWrapping"/>
            </w:r>
            <w:r>
              <w:rPr>
                <w:rStyle w:val="11"/>
                <w:rFonts w:hint="eastAsia"/>
              </w:rPr>
              <w:t>对眼睛、皮肤和粘膜有刺激作用。如不慎吸入，将病人移至空气流通处；不慎接触皮肤，用大量清水和肥皂冲洗干净；若溅入眼睛，用大量清水冲洗至少15分钟，仍有不适，就医；如误服，立即带标签送医院，对症治疗。应先洗胃，再用活性炭和硫酸钠处理，监测肝、肾、血红球及呼吸和心脏功能，透析消除（强制碱利尿）。无特效解毒剂。</w:t>
            </w:r>
          </w:p>
        </w:tc>
      </w:tr>
      <w:tr w14:paraId="5F4DC61E">
        <w:tblPrEx>
          <w:tblCellMar>
            <w:top w:w="0" w:type="dxa"/>
            <w:left w:w="0" w:type="dxa"/>
            <w:bottom w:w="0" w:type="dxa"/>
            <w:right w:w="0" w:type="dxa"/>
          </w:tblCellMar>
        </w:tblPrEx>
        <w:trPr>
          <w:wBefore w:w="0" w:type="auto"/>
          <w:tblCellSpacing w:w="0" w:type="dxa"/>
        </w:trPr>
        <w:tc>
          <w:tcPr>
            <w:tcW w:w="0" w:type="auto"/>
            <w:noWrap w:val="0"/>
            <w:vAlign w:val="center"/>
          </w:tcPr>
          <w:p w14:paraId="60E085E1">
            <w:r>
              <w:rPr>
                <w:rStyle w:val="10"/>
                <w:rFonts w:hint="eastAsia"/>
              </w:rPr>
              <w:t>储存和运输方法：</w:t>
            </w:r>
            <w:r>
              <w:rPr>
                <w:rFonts w:hint="eastAsia"/>
              </w:rPr>
              <w:br w:type="textWrapping"/>
            </w:r>
            <w:r>
              <w:rPr>
                <w:rStyle w:val="11"/>
                <w:rFonts w:hint="eastAsia"/>
              </w:rPr>
              <w:t>本品应贮存于阴凉、干燥、通风、防雨处。远离火源和热源，置于儿童及无关人员接触不到之处，并加锁。不能与食品、饮料、粮食、饲料等同贮同运。</w:t>
            </w:r>
          </w:p>
        </w:tc>
      </w:tr>
      <w:tr w14:paraId="76798D09">
        <w:tblPrEx>
          <w:tblCellMar>
            <w:top w:w="0" w:type="dxa"/>
            <w:left w:w="0" w:type="dxa"/>
            <w:bottom w:w="0" w:type="dxa"/>
            <w:right w:w="0" w:type="dxa"/>
          </w:tblCellMar>
        </w:tblPrEx>
        <w:trPr>
          <w:wBefore w:w="0" w:type="auto"/>
          <w:tblCellSpacing w:w="0" w:type="dxa"/>
        </w:trPr>
        <w:tc>
          <w:tcPr>
            <w:tcW w:w="0" w:type="auto"/>
            <w:noWrap w:val="0"/>
            <w:vAlign w:val="center"/>
          </w:tcPr>
          <w:p w14:paraId="20526679">
            <w:r>
              <w:rPr>
                <w:rStyle w:val="10"/>
                <w:rFonts w:hint="eastAsia"/>
              </w:rPr>
              <w:t>质量保证期：</w:t>
            </w:r>
            <w:r>
              <w:rPr>
                <w:rStyle w:val="11"/>
                <w:rFonts w:hint="eastAsia"/>
              </w:rPr>
              <w:t>2年</w:t>
            </w:r>
          </w:p>
        </w:tc>
      </w:tr>
      <w:tr w14:paraId="5AA72424">
        <w:tblPrEx>
          <w:tblCellMar>
            <w:top w:w="0" w:type="dxa"/>
            <w:left w:w="0" w:type="dxa"/>
            <w:bottom w:w="0" w:type="dxa"/>
            <w:right w:w="0" w:type="dxa"/>
          </w:tblCellMar>
        </w:tblPrEx>
        <w:trPr>
          <w:wBefore w:w="0" w:type="auto"/>
          <w:tblCellSpacing w:w="0" w:type="dxa"/>
        </w:trPr>
        <w:tc>
          <w:tcPr>
            <w:tcW w:w="0" w:type="auto"/>
            <w:noWrap w:val="0"/>
            <w:vAlign w:val="center"/>
          </w:tcPr>
          <w:p w14:paraId="5A4B0EA7">
            <w:r>
              <w:rPr>
                <w:rStyle w:val="10"/>
                <w:rFonts w:hint="eastAsia"/>
              </w:rPr>
              <w:t>备注：</w:t>
            </w:r>
          </w:p>
        </w:tc>
      </w:tr>
    </w:tbl>
    <w:p w14:paraId="582F4F0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C3BEA89">
        <w:tblPrEx>
          <w:tblCellMar>
            <w:top w:w="0" w:type="dxa"/>
            <w:left w:w="0" w:type="dxa"/>
            <w:bottom w:w="0" w:type="dxa"/>
            <w:right w:w="0" w:type="dxa"/>
          </w:tblCellMar>
        </w:tblPrEx>
        <w:trPr>
          <w:wBefore w:w="0" w:type="auto"/>
          <w:tblCellSpacing w:w="0" w:type="dxa"/>
        </w:trPr>
        <w:tc>
          <w:tcPr>
            <w:tcW w:w="0" w:type="auto"/>
            <w:noWrap w:val="0"/>
            <w:vAlign w:val="center"/>
          </w:tcPr>
          <w:p w14:paraId="0FC03ACA">
            <w:r>
              <w:rPr>
                <w:rStyle w:val="10"/>
                <w:rFonts w:hint="eastAsia"/>
              </w:rPr>
              <w:t>登记证号：</w:t>
            </w:r>
            <w:r>
              <w:rPr>
                <w:rFonts w:hint="eastAsia"/>
              </w:rPr>
              <w:t>PD20211874</w:t>
            </w:r>
          </w:p>
        </w:tc>
      </w:tr>
      <w:tr w14:paraId="3B992774">
        <w:tblPrEx>
          <w:tblCellMar>
            <w:top w:w="0" w:type="dxa"/>
            <w:left w:w="0" w:type="dxa"/>
            <w:bottom w:w="0" w:type="dxa"/>
            <w:right w:w="0" w:type="dxa"/>
          </w:tblCellMar>
        </w:tblPrEx>
        <w:trPr>
          <w:wBefore w:w="0" w:type="auto"/>
          <w:tblCellSpacing w:w="0" w:type="dxa"/>
        </w:trPr>
        <w:tc>
          <w:tcPr>
            <w:tcW w:w="0" w:type="auto"/>
            <w:noWrap w:val="0"/>
            <w:vAlign w:val="center"/>
          </w:tcPr>
          <w:p w14:paraId="260BB044">
            <w:r>
              <w:rPr>
                <w:rStyle w:val="10"/>
                <w:rFonts w:hint="eastAsia"/>
              </w:rPr>
              <w:t>登记证持有人：</w:t>
            </w:r>
            <w:r>
              <w:rPr>
                <w:rFonts w:hint="eastAsia"/>
              </w:rPr>
              <w:t>成都科利隆生化有限公司</w:t>
            </w:r>
          </w:p>
        </w:tc>
      </w:tr>
      <w:tr w14:paraId="12AAC763">
        <w:tblPrEx>
          <w:tblCellMar>
            <w:top w:w="0" w:type="dxa"/>
            <w:left w:w="0" w:type="dxa"/>
            <w:bottom w:w="0" w:type="dxa"/>
            <w:right w:w="0" w:type="dxa"/>
          </w:tblCellMar>
        </w:tblPrEx>
        <w:trPr>
          <w:wBefore w:w="0" w:type="auto"/>
          <w:tblCellSpacing w:w="0" w:type="dxa"/>
        </w:trPr>
        <w:tc>
          <w:tcPr>
            <w:tcW w:w="0" w:type="auto"/>
            <w:noWrap w:val="0"/>
            <w:vAlign w:val="center"/>
          </w:tcPr>
          <w:p w14:paraId="74728589">
            <w:r>
              <w:rPr>
                <w:rStyle w:val="10"/>
                <w:rFonts w:hint="eastAsia"/>
              </w:rPr>
              <w:t>农药名称：</w:t>
            </w:r>
            <w:r>
              <w:rPr>
                <w:rFonts w:hint="eastAsia"/>
              </w:rPr>
              <w:t>阿维菌素·氟啶胺</w:t>
            </w:r>
          </w:p>
        </w:tc>
      </w:tr>
      <w:tr w14:paraId="7107807F">
        <w:tblPrEx>
          <w:tblCellMar>
            <w:top w:w="0" w:type="dxa"/>
            <w:left w:w="0" w:type="dxa"/>
            <w:bottom w:w="0" w:type="dxa"/>
            <w:right w:w="0" w:type="dxa"/>
          </w:tblCellMar>
        </w:tblPrEx>
        <w:trPr>
          <w:wBefore w:w="0" w:type="auto"/>
          <w:tblCellSpacing w:w="0" w:type="dxa"/>
        </w:trPr>
        <w:tc>
          <w:tcPr>
            <w:tcW w:w="0" w:type="auto"/>
            <w:noWrap w:val="0"/>
            <w:vAlign w:val="center"/>
          </w:tcPr>
          <w:p w14:paraId="29ED1FE7">
            <w:r>
              <w:rPr>
                <w:rStyle w:val="10"/>
                <w:rFonts w:hint="eastAsia"/>
              </w:rPr>
              <w:t>剂型：</w:t>
            </w:r>
            <w:r>
              <w:rPr>
                <w:rFonts w:hint="eastAsia"/>
              </w:rPr>
              <w:t>悬浮剂</w:t>
            </w:r>
          </w:p>
        </w:tc>
      </w:tr>
      <w:tr w14:paraId="76704F72">
        <w:tblPrEx>
          <w:tblCellMar>
            <w:top w:w="0" w:type="dxa"/>
            <w:left w:w="0" w:type="dxa"/>
            <w:bottom w:w="0" w:type="dxa"/>
            <w:right w:w="0" w:type="dxa"/>
          </w:tblCellMar>
        </w:tblPrEx>
        <w:trPr>
          <w:wBefore w:w="0" w:type="auto"/>
          <w:tblCellSpacing w:w="0" w:type="dxa"/>
        </w:trPr>
        <w:tc>
          <w:tcPr>
            <w:tcW w:w="0" w:type="auto"/>
            <w:noWrap w:val="0"/>
            <w:vAlign w:val="center"/>
          </w:tcPr>
          <w:p w14:paraId="4126EC33">
            <w:r>
              <w:rPr>
                <w:rStyle w:val="10"/>
                <w:rFonts w:hint="eastAsia"/>
              </w:rPr>
              <w:t>毒性及其标识：</w:t>
            </w:r>
            <w:r>
              <w:rPr>
                <w:rFonts w:hint="eastAsia"/>
              </w:rPr>
              <w:t xml:space="preserve"> </w:t>
            </w:r>
            <w:r>
              <w:rPr>
                <w:lang/>
              </w:rPr>
              <w:drawing>
                <wp:inline distT="0" distB="0" distL="114300" distR="114300">
                  <wp:extent cx="476250" cy="323850"/>
                  <wp:effectExtent l="0" t="0" r="0" b="0"/>
                  <wp:docPr id="232" name="图片 23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0604F653">
        <w:tblPrEx>
          <w:tblCellMar>
            <w:top w:w="0" w:type="dxa"/>
            <w:left w:w="0" w:type="dxa"/>
            <w:bottom w:w="0" w:type="dxa"/>
            <w:right w:w="0" w:type="dxa"/>
          </w:tblCellMar>
        </w:tblPrEx>
        <w:trPr>
          <w:wBefore w:w="0" w:type="auto"/>
          <w:tblCellSpacing w:w="0" w:type="dxa"/>
        </w:trPr>
        <w:tc>
          <w:tcPr>
            <w:tcW w:w="0" w:type="auto"/>
            <w:noWrap w:val="0"/>
            <w:vAlign w:val="center"/>
          </w:tcPr>
          <w:p w14:paraId="28915300">
            <w:r>
              <w:rPr>
                <w:rStyle w:val="10"/>
                <w:rFonts w:hint="eastAsia"/>
              </w:rPr>
              <w:t>总有效成分含量：</w:t>
            </w:r>
            <w:r>
              <w:rPr>
                <w:rFonts w:hint="eastAsia"/>
              </w:rPr>
              <w:t>45%</w:t>
            </w:r>
          </w:p>
        </w:tc>
      </w:tr>
      <w:tr w14:paraId="3B8AE20C">
        <w:tblPrEx>
          <w:tblCellMar>
            <w:top w:w="0" w:type="dxa"/>
            <w:left w:w="0" w:type="dxa"/>
            <w:bottom w:w="0" w:type="dxa"/>
            <w:right w:w="0" w:type="dxa"/>
          </w:tblCellMar>
        </w:tblPrEx>
        <w:trPr>
          <w:wBefore w:w="0" w:type="auto"/>
          <w:tblCellSpacing w:w="0" w:type="dxa"/>
        </w:trPr>
        <w:tc>
          <w:tcPr>
            <w:tcW w:w="0" w:type="auto"/>
            <w:noWrap w:val="0"/>
            <w:vAlign w:val="center"/>
          </w:tcPr>
          <w:p w14:paraId="6A8B8E5F">
            <w:r>
              <w:rPr>
                <w:rFonts w:hint="eastAsia"/>
              </w:rPr>
              <w:t xml:space="preserve">有效成分及其含量： </w:t>
            </w:r>
          </w:p>
          <w:p w14:paraId="622B2ABA">
            <w:r>
              <w:rPr>
                <w:rFonts w:hint="eastAsia"/>
              </w:rPr>
              <w:t xml:space="preserve">    阿维菌素3%    氟啶胺42%    </w:t>
            </w:r>
          </w:p>
        </w:tc>
      </w:tr>
      <w:tr w14:paraId="6A299D00">
        <w:tblPrEx>
          <w:tblCellMar>
            <w:top w:w="0" w:type="dxa"/>
            <w:left w:w="0" w:type="dxa"/>
            <w:bottom w:w="0" w:type="dxa"/>
            <w:right w:w="0" w:type="dxa"/>
          </w:tblCellMar>
        </w:tblPrEx>
        <w:trPr>
          <w:wBefore w:w="0" w:type="auto"/>
          <w:tblCellSpacing w:w="0" w:type="dxa"/>
        </w:trPr>
        <w:tc>
          <w:tcPr>
            <w:tcW w:w="0" w:type="auto"/>
            <w:noWrap w:val="0"/>
            <w:vAlign w:val="center"/>
          </w:tcPr>
          <w:p w14:paraId="2432A1C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462C4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D2E2FA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4206D7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DDC1A2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A52D728">
                  <w:r>
                    <w:rPr>
                      <w:rStyle w:val="11"/>
                      <w:rFonts w:hint="eastAsia"/>
                    </w:rPr>
                    <w:t>施用方式</w:t>
                  </w:r>
                </w:p>
              </w:tc>
            </w:tr>
            <w:tr w14:paraId="3F6393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386D3D">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0DCA28">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FAD408">
                  <w:r>
                    <w:rPr>
                      <w:rStyle w:val="11"/>
                      <w:rFonts w:hint="eastAsia"/>
                    </w:rPr>
                    <w:t>3000-4000倍液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E87723">
                  <w:r>
                    <w:rPr>
                      <w:rStyle w:val="11"/>
                      <w:rFonts w:hint="eastAsia"/>
                    </w:rPr>
                    <w:t>喷雾</w:t>
                  </w:r>
                </w:p>
              </w:tc>
            </w:tr>
          </w:tbl>
          <w:p w14:paraId="32C0F9DD">
            <w:pPr>
              <w:rPr>
                <w:rFonts w:ascii="Times New Roman" w:hAnsi="Times New Roman" w:cs="Times New Roman"/>
                <w:sz w:val="20"/>
                <w:szCs w:val="20"/>
              </w:rPr>
            </w:pPr>
          </w:p>
        </w:tc>
      </w:tr>
      <w:tr w14:paraId="24001295">
        <w:tblPrEx>
          <w:tblCellMar>
            <w:top w:w="0" w:type="dxa"/>
            <w:left w:w="0" w:type="dxa"/>
            <w:bottom w:w="0" w:type="dxa"/>
            <w:right w:w="0" w:type="dxa"/>
          </w:tblCellMar>
        </w:tblPrEx>
        <w:trPr>
          <w:wBefore w:w="0" w:type="auto"/>
          <w:tblCellSpacing w:w="0" w:type="dxa"/>
        </w:trPr>
        <w:tc>
          <w:tcPr>
            <w:tcW w:w="0" w:type="auto"/>
            <w:noWrap w:val="0"/>
            <w:vAlign w:val="center"/>
          </w:tcPr>
          <w:p w14:paraId="360CE723">
            <w:r>
              <w:rPr>
                <w:rStyle w:val="10"/>
                <w:rFonts w:hint="eastAsia"/>
              </w:rPr>
              <w:t>使用技术要求:</w:t>
            </w:r>
            <w:r>
              <w:rPr>
                <w:rFonts w:hint="eastAsia"/>
              </w:rPr>
              <w:br w:type="textWrapping"/>
            </w:r>
            <w:r>
              <w:rPr>
                <w:rStyle w:val="11"/>
                <w:rFonts w:hint="eastAsia"/>
              </w:rPr>
              <w:t>1、于柑橘树红蜘蛛若虫发生初期喷雾施药1次，兑水均匀喷雾。 2、大风天或者预计1小时内下雨请勿施药； 3、每个作物周期最多使用1次，安全间隔期21天。</w:t>
            </w:r>
          </w:p>
        </w:tc>
      </w:tr>
      <w:tr w14:paraId="5A25EEA3">
        <w:tblPrEx>
          <w:tblCellMar>
            <w:top w:w="0" w:type="dxa"/>
            <w:left w:w="0" w:type="dxa"/>
            <w:bottom w:w="0" w:type="dxa"/>
            <w:right w:w="0" w:type="dxa"/>
          </w:tblCellMar>
        </w:tblPrEx>
        <w:trPr>
          <w:wBefore w:w="0" w:type="auto"/>
          <w:tblCellSpacing w:w="0" w:type="dxa"/>
        </w:trPr>
        <w:tc>
          <w:tcPr>
            <w:tcW w:w="0" w:type="auto"/>
            <w:noWrap w:val="0"/>
            <w:vAlign w:val="center"/>
          </w:tcPr>
          <w:p w14:paraId="602C1137">
            <w:r>
              <w:rPr>
                <w:rStyle w:val="10"/>
                <w:rFonts w:hint="eastAsia"/>
              </w:rPr>
              <w:t>产品性能:</w:t>
            </w:r>
            <w:r>
              <w:rPr>
                <w:rFonts w:hint="eastAsia"/>
              </w:rPr>
              <w:br w:type="textWrapping"/>
            </w:r>
            <w:r>
              <w:rPr>
                <w:rStyle w:val="11"/>
                <w:rFonts w:hint="eastAsia"/>
              </w:rPr>
              <w:t>阿维菌素是氯离子通道激活剂，对螨类和昆虫具有胃毒、触杀作用，喷施叶表面可迅速分解消散，渗入植物薄壁组织内的活性成分可较长时间存在于组织中并具有传到作用，对害螨和植物组织内取食危害的昆虫有长残效性。氟啶胺渗透性强，接触药液的螨卵变色失去活性，对红蜘蛛的卵和若螨有防效。两个有效成分科学混配后可以有效防柑橘红蜘蛛。</w:t>
            </w:r>
          </w:p>
        </w:tc>
      </w:tr>
      <w:tr w14:paraId="5A5A4265">
        <w:tblPrEx>
          <w:tblCellMar>
            <w:top w:w="0" w:type="dxa"/>
            <w:left w:w="0" w:type="dxa"/>
            <w:bottom w:w="0" w:type="dxa"/>
            <w:right w:w="0" w:type="dxa"/>
          </w:tblCellMar>
        </w:tblPrEx>
        <w:trPr>
          <w:wBefore w:w="0" w:type="auto"/>
          <w:tblCellSpacing w:w="0" w:type="dxa"/>
        </w:trPr>
        <w:tc>
          <w:tcPr>
            <w:tcW w:w="0" w:type="auto"/>
            <w:noWrap w:val="0"/>
            <w:vAlign w:val="center"/>
          </w:tcPr>
          <w:p w14:paraId="67F2448F">
            <w:r>
              <w:rPr>
                <w:rStyle w:val="10"/>
                <w:rFonts w:hint="eastAsia"/>
              </w:rPr>
              <w:t>注意事项：</w:t>
            </w:r>
            <w:r>
              <w:rPr>
                <w:rFonts w:hint="eastAsia"/>
              </w:rPr>
              <w:br w:type="textWrapping"/>
            </w:r>
            <w:r>
              <w:rPr>
                <w:rStyle w:val="11"/>
                <w:rFonts w:hint="eastAsia"/>
              </w:rPr>
              <w:t>1.建议与其他不同作用机理的杀虫剂轮换使用。 2.桑室和蚕室附近禁用；鸟类保护区、鸟类栖息地、养殖场及其附近禁用；（周围)开花植物花期禁用。 3.水产养殖区、河塘等水体附近禁用，禁止在河塘等水域清洗施药器具。 4.使用本品时穿戴帽子、口罩、长衣、长裤、手套、鞋。施药期间不可吃东西、饮水和吸烟，施药后应及时洗手和洗脸。 5.用过的容器应妥善处理，不可做他用，也不可随意丢弃。 6.孕妇及哺乳期妇女禁止接触。</w:t>
            </w:r>
          </w:p>
        </w:tc>
      </w:tr>
      <w:tr w14:paraId="70AFF478">
        <w:tblPrEx>
          <w:tblCellMar>
            <w:top w:w="0" w:type="dxa"/>
            <w:left w:w="0" w:type="dxa"/>
            <w:bottom w:w="0" w:type="dxa"/>
            <w:right w:w="0" w:type="dxa"/>
          </w:tblCellMar>
        </w:tblPrEx>
        <w:trPr>
          <w:wBefore w:w="0" w:type="auto"/>
          <w:tblCellSpacing w:w="0" w:type="dxa"/>
        </w:trPr>
        <w:tc>
          <w:tcPr>
            <w:tcW w:w="0" w:type="auto"/>
            <w:noWrap w:val="0"/>
            <w:vAlign w:val="center"/>
          </w:tcPr>
          <w:p w14:paraId="2B5ADE86">
            <w:r>
              <w:rPr>
                <w:rStyle w:val="10"/>
                <w:rFonts w:hint="eastAsia"/>
              </w:rPr>
              <w:t>中毒急救措施：</w:t>
            </w:r>
            <w:r>
              <w:rPr>
                <w:rFonts w:hint="eastAsia"/>
              </w:rPr>
              <w:br w:type="textWrapping"/>
            </w:r>
            <w:r>
              <w:rPr>
                <w:rStyle w:val="11"/>
                <w:rFonts w:hint="eastAsia"/>
              </w:rPr>
              <w:t xml:space="preserve">对眼睛有刺激性，使用时避免接触眼睛。使用中或使用后如果感觉不适，应立即停止工作，采取急救措施；如接触皮肤，用肥皂和清水彻底清洗；若溅入眼睛，用清水冲洗眼睛至少15分钟，仍不适，送医就诊；若误服，立即携标签送医就诊，对症治疗。 </w:t>
            </w:r>
          </w:p>
        </w:tc>
      </w:tr>
      <w:tr w14:paraId="746F146B">
        <w:tblPrEx>
          <w:tblCellMar>
            <w:top w:w="0" w:type="dxa"/>
            <w:left w:w="0" w:type="dxa"/>
            <w:bottom w:w="0" w:type="dxa"/>
            <w:right w:w="0" w:type="dxa"/>
          </w:tblCellMar>
        </w:tblPrEx>
        <w:trPr>
          <w:wBefore w:w="0" w:type="auto"/>
          <w:tblCellSpacing w:w="0" w:type="dxa"/>
        </w:trPr>
        <w:tc>
          <w:tcPr>
            <w:tcW w:w="0" w:type="auto"/>
            <w:noWrap w:val="0"/>
            <w:vAlign w:val="center"/>
          </w:tcPr>
          <w:p w14:paraId="14C9119F">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本品应贮存在干燥、阴凉、通风、防雨处，远离火源或热源。置于儿童、无关人员触及不到之处，并加锁。勿与食品、饮料、饲料等其他商品同贮同运。</w:t>
            </w:r>
          </w:p>
        </w:tc>
      </w:tr>
      <w:tr w14:paraId="426AF39A">
        <w:tblPrEx>
          <w:tblCellMar>
            <w:top w:w="0" w:type="dxa"/>
            <w:left w:w="0" w:type="dxa"/>
            <w:bottom w:w="0" w:type="dxa"/>
            <w:right w:w="0" w:type="dxa"/>
          </w:tblCellMar>
        </w:tblPrEx>
        <w:trPr>
          <w:wBefore w:w="0" w:type="auto"/>
          <w:tblCellSpacing w:w="0" w:type="dxa"/>
        </w:trPr>
        <w:tc>
          <w:tcPr>
            <w:tcW w:w="0" w:type="auto"/>
            <w:noWrap w:val="0"/>
            <w:vAlign w:val="center"/>
          </w:tcPr>
          <w:p w14:paraId="0CEBED0E">
            <w:r>
              <w:rPr>
                <w:rStyle w:val="10"/>
                <w:rFonts w:hint="eastAsia"/>
              </w:rPr>
              <w:t>质量保证期：</w:t>
            </w:r>
            <w:r>
              <w:rPr>
                <w:rStyle w:val="11"/>
                <w:rFonts w:hint="eastAsia"/>
              </w:rPr>
              <w:t>2年</w:t>
            </w:r>
          </w:p>
        </w:tc>
      </w:tr>
      <w:tr w14:paraId="76024C7B">
        <w:tblPrEx>
          <w:tblCellMar>
            <w:top w:w="0" w:type="dxa"/>
            <w:left w:w="0" w:type="dxa"/>
            <w:bottom w:w="0" w:type="dxa"/>
            <w:right w:w="0" w:type="dxa"/>
          </w:tblCellMar>
        </w:tblPrEx>
        <w:trPr>
          <w:wBefore w:w="0" w:type="auto"/>
          <w:tblCellSpacing w:w="0" w:type="dxa"/>
        </w:trPr>
        <w:tc>
          <w:tcPr>
            <w:tcW w:w="0" w:type="auto"/>
            <w:noWrap w:val="0"/>
            <w:vAlign w:val="center"/>
          </w:tcPr>
          <w:p w14:paraId="447F699C">
            <w:r>
              <w:rPr>
                <w:rStyle w:val="10"/>
                <w:rFonts w:hint="eastAsia"/>
              </w:rPr>
              <w:t>备注：</w:t>
            </w:r>
          </w:p>
        </w:tc>
      </w:tr>
    </w:tbl>
    <w:p w14:paraId="05747AF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4EC7A9">
        <w:tblPrEx>
          <w:tblCellMar>
            <w:top w:w="0" w:type="dxa"/>
            <w:left w:w="0" w:type="dxa"/>
            <w:bottom w:w="0" w:type="dxa"/>
            <w:right w:w="0" w:type="dxa"/>
          </w:tblCellMar>
        </w:tblPrEx>
        <w:trPr>
          <w:wBefore w:w="0" w:type="auto"/>
          <w:tblCellSpacing w:w="0" w:type="dxa"/>
        </w:trPr>
        <w:tc>
          <w:tcPr>
            <w:tcW w:w="0" w:type="auto"/>
            <w:noWrap w:val="0"/>
            <w:vAlign w:val="center"/>
          </w:tcPr>
          <w:p w14:paraId="4E4B944F">
            <w:r>
              <w:rPr>
                <w:rStyle w:val="10"/>
                <w:rFonts w:hint="eastAsia"/>
              </w:rPr>
              <w:t>登记证号：</w:t>
            </w:r>
            <w:r>
              <w:rPr>
                <w:rFonts w:hint="eastAsia"/>
              </w:rPr>
              <w:t>PD20200028</w:t>
            </w:r>
          </w:p>
        </w:tc>
      </w:tr>
      <w:tr w14:paraId="67B33B4D">
        <w:tblPrEx>
          <w:tblCellMar>
            <w:top w:w="0" w:type="dxa"/>
            <w:left w:w="0" w:type="dxa"/>
            <w:bottom w:w="0" w:type="dxa"/>
            <w:right w:w="0" w:type="dxa"/>
          </w:tblCellMar>
        </w:tblPrEx>
        <w:trPr>
          <w:wBefore w:w="0" w:type="auto"/>
          <w:tblCellSpacing w:w="0" w:type="dxa"/>
        </w:trPr>
        <w:tc>
          <w:tcPr>
            <w:tcW w:w="0" w:type="auto"/>
            <w:noWrap w:val="0"/>
            <w:vAlign w:val="center"/>
          </w:tcPr>
          <w:p w14:paraId="508F4241">
            <w:r>
              <w:rPr>
                <w:rStyle w:val="10"/>
                <w:rFonts w:hint="eastAsia"/>
              </w:rPr>
              <w:t>登记证持有人：</w:t>
            </w:r>
            <w:r>
              <w:rPr>
                <w:rFonts w:hint="eastAsia"/>
              </w:rPr>
              <w:t>哈尔滨火龙神农业生物化工有限公司</w:t>
            </w:r>
          </w:p>
        </w:tc>
      </w:tr>
      <w:tr w14:paraId="05CA7242">
        <w:tblPrEx>
          <w:tblCellMar>
            <w:top w:w="0" w:type="dxa"/>
            <w:left w:w="0" w:type="dxa"/>
            <w:bottom w:w="0" w:type="dxa"/>
            <w:right w:w="0" w:type="dxa"/>
          </w:tblCellMar>
        </w:tblPrEx>
        <w:trPr>
          <w:wBefore w:w="0" w:type="auto"/>
          <w:tblCellSpacing w:w="0" w:type="dxa"/>
        </w:trPr>
        <w:tc>
          <w:tcPr>
            <w:tcW w:w="0" w:type="auto"/>
            <w:noWrap w:val="0"/>
            <w:vAlign w:val="center"/>
          </w:tcPr>
          <w:p w14:paraId="1E9F86ED">
            <w:r>
              <w:rPr>
                <w:rStyle w:val="10"/>
                <w:rFonts w:hint="eastAsia"/>
              </w:rPr>
              <w:t>农药名称：</w:t>
            </w:r>
            <w:r>
              <w:rPr>
                <w:rFonts w:hint="eastAsia"/>
              </w:rPr>
              <w:t>吡唑酯·咯菌腈·精甲霜</w:t>
            </w:r>
          </w:p>
        </w:tc>
      </w:tr>
      <w:tr w14:paraId="5BC170A0">
        <w:tblPrEx>
          <w:tblCellMar>
            <w:top w:w="0" w:type="dxa"/>
            <w:left w:w="0" w:type="dxa"/>
            <w:bottom w:w="0" w:type="dxa"/>
            <w:right w:w="0" w:type="dxa"/>
          </w:tblCellMar>
        </w:tblPrEx>
        <w:trPr>
          <w:wBefore w:w="0" w:type="auto"/>
          <w:tblCellSpacing w:w="0" w:type="dxa"/>
        </w:trPr>
        <w:tc>
          <w:tcPr>
            <w:tcW w:w="0" w:type="auto"/>
            <w:noWrap w:val="0"/>
            <w:vAlign w:val="center"/>
          </w:tcPr>
          <w:p w14:paraId="6FFC38F6">
            <w:r>
              <w:rPr>
                <w:rStyle w:val="10"/>
                <w:rFonts w:hint="eastAsia"/>
              </w:rPr>
              <w:t>剂型：</w:t>
            </w:r>
            <w:r>
              <w:rPr>
                <w:rFonts w:hint="eastAsia"/>
              </w:rPr>
              <w:t>种子处理悬浮剂</w:t>
            </w:r>
          </w:p>
        </w:tc>
      </w:tr>
      <w:tr w14:paraId="2EFBF2DE">
        <w:tblPrEx>
          <w:tblCellMar>
            <w:top w:w="0" w:type="dxa"/>
            <w:left w:w="0" w:type="dxa"/>
            <w:bottom w:w="0" w:type="dxa"/>
            <w:right w:w="0" w:type="dxa"/>
          </w:tblCellMar>
        </w:tblPrEx>
        <w:trPr>
          <w:wBefore w:w="0" w:type="auto"/>
          <w:tblCellSpacing w:w="0" w:type="dxa"/>
        </w:trPr>
        <w:tc>
          <w:tcPr>
            <w:tcW w:w="0" w:type="auto"/>
            <w:noWrap w:val="0"/>
            <w:vAlign w:val="center"/>
          </w:tcPr>
          <w:p w14:paraId="5E903D9A">
            <w:r>
              <w:rPr>
                <w:rStyle w:val="10"/>
                <w:rFonts w:hint="eastAsia"/>
              </w:rPr>
              <w:t>毒性及其标识：</w:t>
            </w:r>
            <w:r>
              <w:rPr>
                <w:rFonts w:hint="eastAsia"/>
              </w:rPr>
              <w:t xml:space="preserve"> </w:t>
            </w:r>
            <w:r>
              <w:rPr>
                <w:lang/>
              </w:rPr>
              <w:drawing>
                <wp:inline distT="0" distB="0" distL="114300" distR="114300">
                  <wp:extent cx="476250" cy="323850"/>
                  <wp:effectExtent l="0" t="0" r="0" b="0"/>
                  <wp:docPr id="233" name="图片 23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4352A2A">
        <w:tblPrEx>
          <w:tblCellMar>
            <w:top w:w="0" w:type="dxa"/>
            <w:left w:w="0" w:type="dxa"/>
            <w:bottom w:w="0" w:type="dxa"/>
            <w:right w:w="0" w:type="dxa"/>
          </w:tblCellMar>
        </w:tblPrEx>
        <w:trPr>
          <w:wBefore w:w="0" w:type="auto"/>
          <w:tblCellSpacing w:w="0" w:type="dxa"/>
        </w:trPr>
        <w:tc>
          <w:tcPr>
            <w:tcW w:w="0" w:type="auto"/>
            <w:noWrap w:val="0"/>
            <w:vAlign w:val="center"/>
          </w:tcPr>
          <w:p w14:paraId="53072689">
            <w:r>
              <w:rPr>
                <w:rStyle w:val="10"/>
                <w:rFonts w:hint="eastAsia"/>
              </w:rPr>
              <w:t>总有效成分含量：</w:t>
            </w:r>
            <w:r>
              <w:rPr>
                <w:rFonts w:hint="eastAsia"/>
              </w:rPr>
              <w:t>2%</w:t>
            </w:r>
          </w:p>
        </w:tc>
      </w:tr>
      <w:tr w14:paraId="0F9770FA">
        <w:tblPrEx>
          <w:tblCellMar>
            <w:top w:w="0" w:type="dxa"/>
            <w:left w:w="0" w:type="dxa"/>
            <w:bottom w:w="0" w:type="dxa"/>
            <w:right w:w="0" w:type="dxa"/>
          </w:tblCellMar>
        </w:tblPrEx>
        <w:trPr>
          <w:wBefore w:w="0" w:type="auto"/>
          <w:tblCellSpacing w:w="0" w:type="dxa"/>
        </w:trPr>
        <w:tc>
          <w:tcPr>
            <w:tcW w:w="0" w:type="auto"/>
            <w:noWrap w:val="0"/>
            <w:vAlign w:val="center"/>
          </w:tcPr>
          <w:p w14:paraId="0D7619A7">
            <w:r>
              <w:rPr>
                <w:rFonts w:hint="eastAsia"/>
              </w:rPr>
              <w:t xml:space="preserve">有效成分及其含量： </w:t>
            </w:r>
          </w:p>
          <w:p w14:paraId="0FA8F27C">
            <w:r>
              <w:rPr>
                <w:rFonts w:hint="eastAsia"/>
              </w:rPr>
              <w:t xml:space="preserve">    吡唑醚菌酯1.2%    咯菌腈0.3%    精甲霜灵0.5%    </w:t>
            </w:r>
          </w:p>
        </w:tc>
      </w:tr>
      <w:tr w14:paraId="5AC7F8C7">
        <w:tblPrEx>
          <w:tblCellMar>
            <w:top w:w="0" w:type="dxa"/>
            <w:left w:w="0" w:type="dxa"/>
            <w:bottom w:w="0" w:type="dxa"/>
            <w:right w:w="0" w:type="dxa"/>
          </w:tblCellMar>
        </w:tblPrEx>
        <w:trPr>
          <w:wBefore w:w="0" w:type="auto"/>
          <w:tblCellSpacing w:w="0" w:type="dxa"/>
        </w:trPr>
        <w:tc>
          <w:tcPr>
            <w:tcW w:w="0" w:type="auto"/>
            <w:noWrap w:val="0"/>
            <w:vAlign w:val="center"/>
          </w:tcPr>
          <w:p w14:paraId="5FBD152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69F9D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EF2FE4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BE0BA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5B91DB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A602A95">
                  <w:r>
                    <w:rPr>
                      <w:rStyle w:val="11"/>
                      <w:rFonts w:hint="eastAsia"/>
                    </w:rPr>
                    <w:t>施用方式</w:t>
                  </w:r>
                </w:p>
              </w:tc>
            </w:tr>
            <w:tr w14:paraId="043978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CC8ADF5">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08E055">
                  <w:r>
                    <w:rPr>
                      <w:rStyle w:val="11"/>
                      <w:rFonts w:hint="eastAsia"/>
                    </w:rPr>
                    <w:t>烂秧病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AD13C9">
                  <w:r>
                    <w:rPr>
                      <w:rStyle w:val="11"/>
                      <w:rFonts w:hint="eastAsia"/>
                    </w:rPr>
                    <w:t>1665-2500毫升/100千克种子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CB69C3">
                  <w:r>
                    <w:rPr>
                      <w:rStyle w:val="11"/>
                      <w:rFonts w:hint="eastAsia"/>
                    </w:rPr>
                    <w:t>种子包衣</w:t>
                  </w:r>
                </w:p>
              </w:tc>
            </w:tr>
          </w:tbl>
          <w:p w14:paraId="5E4DDDDA">
            <w:pPr>
              <w:rPr>
                <w:rFonts w:ascii="Times New Roman" w:hAnsi="Times New Roman" w:cs="Times New Roman"/>
                <w:sz w:val="20"/>
                <w:szCs w:val="20"/>
              </w:rPr>
            </w:pPr>
          </w:p>
        </w:tc>
      </w:tr>
      <w:tr w14:paraId="4A4ACE13">
        <w:tblPrEx>
          <w:tblCellMar>
            <w:top w:w="0" w:type="dxa"/>
            <w:left w:w="0" w:type="dxa"/>
            <w:bottom w:w="0" w:type="dxa"/>
            <w:right w:w="0" w:type="dxa"/>
          </w:tblCellMar>
        </w:tblPrEx>
        <w:trPr>
          <w:wBefore w:w="0" w:type="auto"/>
          <w:tblCellSpacing w:w="0" w:type="dxa"/>
        </w:trPr>
        <w:tc>
          <w:tcPr>
            <w:tcW w:w="0" w:type="auto"/>
            <w:noWrap w:val="0"/>
            <w:vAlign w:val="center"/>
          </w:tcPr>
          <w:p w14:paraId="30314240">
            <w:r>
              <w:rPr>
                <w:rStyle w:val="10"/>
                <w:rFonts w:hint="eastAsia"/>
              </w:rPr>
              <w:t>使用技术要求:</w:t>
            </w:r>
            <w:r>
              <w:rPr>
                <w:rFonts w:hint="eastAsia"/>
              </w:rPr>
              <w:br w:type="textWrapping"/>
            </w:r>
            <w:r>
              <w:rPr>
                <w:rStyle w:val="11"/>
                <w:rFonts w:hint="eastAsia"/>
              </w:rPr>
              <w:t>1.按推荐用药量，1：1兑水，药与种子以1：40～60的比例充分搅拌，直到药液均匀分布到种子表面，晾干后即可。 2.本品使用方便，可供种子公司作种子包衣剂，亦可供农户直接拌种包衣，干籽后可直播，也可用清水浸种，浸种时间视温度而定，南方2-3天，北方5-7天。 3.用于处理的种子应达到国家良种标准。 4.配制好的药液应在24小时内使用。 5.在作物新品种上大面积应用时，必须先进行小范围的安全性试验。 每季节使用1次。</w:t>
            </w:r>
          </w:p>
        </w:tc>
      </w:tr>
      <w:tr w14:paraId="42C0BB95">
        <w:tblPrEx>
          <w:tblCellMar>
            <w:top w:w="0" w:type="dxa"/>
            <w:left w:w="0" w:type="dxa"/>
            <w:bottom w:w="0" w:type="dxa"/>
            <w:right w:w="0" w:type="dxa"/>
          </w:tblCellMar>
        </w:tblPrEx>
        <w:trPr>
          <w:wBefore w:w="0" w:type="auto"/>
          <w:tblCellSpacing w:w="0" w:type="dxa"/>
        </w:trPr>
        <w:tc>
          <w:tcPr>
            <w:tcW w:w="0" w:type="auto"/>
            <w:noWrap w:val="0"/>
            <w:vAlign w:val="center"/>
          </w:tcPr>
          <w:p w14:paraId="7ECF4B42">
            <w:r>
              <w:rPr>
                <w:rStyle w:val="10"/>
                <w:rFonts w:hint="eastAsia"/>
              </w:rPr>
              <w:t>产品性能:</w:t>
            </w:r>
            <w:r>
              <w:rPr>
                <w:rFonts w:hint="eastAsia"/>
              </w:rPr>
              <w:br w:type="textWrapping"/>
            </w:r>
            <w:r>
              <w:rPr>
                <w:rStyle w:val="11"/>
                <w:rFonts w:hint="eastAsia"/>
              </w:rPr>
              <w:t>本品由精甲霜灵、咯菌腈、吡唑醚菌酯复配而成，杀菌谱广且持效期长，用于种子包衣可有效防治水稻立枯病和烂秧病。</w:t>
            </w:r>
          </w:p>
        </w:tc>
      </w:tr>
      <w:tr w14:paraId="6D999CD7">
        <w:tblPrEx>
          <w:tblCellMar>
            <w:top w:w="0" w:type="dxa"/>
            <w:left w:w="0" w:type="dxa"/>
            <w:bottom w:w="0" w:type="dxa"/>
            <w:right w:w="0" w:type="dxa"/>
          </w:tblCellMar>
        </w:tblPrEx>
        <w:trPr>
          <w:wBefore w:w="0" w:type="auto"/>
          <w:tblCellSpacing w:w="0" w:type="dxa"/>
        </w:trPr>
        <w:tc>
          <w:tcPr>
            <w:tcW w:w="0" w:type="auto"/>
            <w:noWrap w:val="0"/>
            <w:vAlign w:val="center"/>
          </w:tcPr>
          <w:p w14:paraId="5455E777">
            <w:r>
              <w:rPr>
                <w:rStyle w:val="10"/>
                <w:rFonts w:hint="eastAsia"/>
              </w:rPr>
              <w:t>注意事项：</w:t>
            </w:r>
            <w:r>
              <w:rPr>
                <w:rFonts w:hint="eastAsia"/>
              </w:rPr>
              <w:br w:type="textWrapping"/>
            </w:r>
            <w:r>
              <w:rPr>
                <w:rStyle w:val="11"/>
                <w:rFonts w:hint="eastAsia"/>
              </w:rPr>
              <w:t>1.请按照农药安全使用准则使用本品。在种子处理过程中，避免药液接触皮肤、眼睛和污染衣物，避免吸入药液。切勿在施药现场抽烟或饮食。 2.配药和种子处理时操作人员应戴面罩，防渗手套，穿长袖衣、裤和靴子等防护用具。应在通风处进行配药和种子处理。配药及种子处理后，彻底清洗防护用具，洗澡，并更换和清洗施药衣物。 3.处理过的种子必须放置在有明显标签的容器内。勿与食物、饲料放在一起，不得饲喂禽畜，更不得用来加工饲料或食品。 4.本品适用于育秧大棚中播种育苗，播种后立即覆土，严禁畜禽进入，禁止在鸟类保护区使用。 5.用过的容器和废气包装应妥善处理，切勿重复使用或改作其它用途。 6.本品对鱼及水生生物有毒，勿将本品及其废液弃于池塘、河溪、湖泊等，以免污染水源。禁止在河塘等水域清洗施药器具。水产养殖区、河塘等水体附近禁用。鱼或虾蟹套养稻田禁用，施药后的田水不得直接排入水体。 7.孕妇及哺乳期妇女禁止接触本品。</w:t>
            </w:r>
          </w:p>
        </w:tc>
      </w:tr>
      <w:tr w14:paraId="600D3C7C">
        <w:tblPrEx>
          <w:tblCellMar>
            <w:top w:w="0" w:type="dxa"/>
            <w:left w:w="0" w:type="dxa"/>
            <w:bottom w:w="0" w:type="dxa"/>
            <w:right w:w="0" w:type="dxa"/>
          </w:tblCellMar>
        </w:tblPrEx>
        <w:trPr>
          <w:wBefore w:w="0" w:type="auto"/>
          <w:tblCellSpacing w:w="0" w:type="dxa"/>
        </w:trPr>
        <w:tc>
          <w:tcPr>
            <w:tcW w:w="0" w:type="auto"/>
            <w:noWrap w:val="0"/>
            <w:vAlign w:val="center"/>
          </w:tcPr>
          <w:p w14:paraId="55CFD92E">
            <w:r>
              <w:rPr>
                <w:rStyle w:val="10"/>
                <w:rFonts w:hint="eastAsia"/>
              </w:rPr>
              <w:t>中毒急救措施：</w:t>
            </w:r>
            <w:r>
              <w:rPr>
                <w:rFonts w:hint="eastAsia"/>
              </w:rPr>
              <w:br w:type="textWrapping"/>
            </w:r>
            <w:r>
              <w:rPr>
                <w:rStyle w:val="11"/>
                <w:rFonts w:hint="eastAsia"/>
              </w:rPr>
              <w:t>1.用药时如果感觉不适，立即停止工作，拨打急救电话寻求帮助，并携此标签送医就诊。 2.皮肤接触：立即脱掉被污染的衣物，用大量清水彻底清洗暴露的皮肤，并清洗污染的衣物。必要时请医生诊治。 3.眼睛溅药：立即将眼睑翻开，用清水冲洗至少15分钟，再请医生诊治。如果佩戴隐形眼镜，请立即摘掉。 4.发生吸入：立即将吸入者转移到空气新鲜处，注意保暖和休息，请医生诊治。 5.误服：请勿引吐。立即携带标签，送医就诊。注意：对昏迷病人，切勿经口喂入任何东西或引吐。 解毒剂：无专用解毒剂，对症治疗。</w:t>
            </w:r>
          </w:p>
        </w:tc>
      </w:tr>
      <w:tr w14:paraId="150753AB">
        <w:tblPrEx>
          <w:tblCellMar>
            <w:top w:w="0" w:type="dxa"/>
            <w:left w:w="0" w:type="dxa"/>
            <w:bottom w:w="0" w:type="dxa"/>
            <w:right w:w="0" w:type="dxa"/>
          </w:tblCellMar>
        </w:tblPrEx>
        <w:trPr>
          <w:wBefore w:w="0" w:type="auto"/>
          <w:tblCellSpacing w:w="0" w:type="dxa"/>
        </w:trPr>
        <w:tc>
          <w:tcPr>
            <w:tcW w:w="0" w:type="auto"/>
            <w:noWrap w:val="0"/>
            <w:vAlign w:val="center"/>
          </w:tcPr>
          <w:p w14:paraId="7AADA621">
            <w:r>
              <w:rPr>
                <w:rStyle w:val="10"/>
                <w:rFonts w:hint="eastAsia"/>
              </w:rPr>
              <w:t>储存和运输方法：</w:t>
            </w:r>
            <w:r>
              <w:rPr>
                <w:rFonts w:hint="eastAsia"/>
              </w:rPr>
              <w:br w:type="textWrapping"/>
            </w:r>
            <w:r>
              <w:rPr>
                <w:rStyle w:val="11"/>
                <w:rFonts w:hint="eastAsia"/>
              </w:rPr>
              <w:t>1.本品应加锁保存，勿让儿童、无关人员和动物接触。勿与食物、饮料、粮食和动物饲料放在一起贮存和运输。 2.本品应贮藏在避光、干燥、通风处，远离热源或火源。储藏温度应避免低于0℃或高于30℃。 3.运输时应注意避光、防高温、雨淋。</w:t>
            </w:r>
          </w:p>
        </w:tc>
      </w:tr>
      <w:tr w14:paraId="0D59F647">
        <w:tblPrEx>
          <w:tblCellMar>
            <w:top w:w="0" w:type="dxa"/>
            <w:left w:w="0" w:type="dxa"/>
            <w:bottom w:w="0" w:type="dxa"/>
            <w:right w:w="0" w:type="dxa"/>
          </w:tblCellMar>
        </w:tblPrEx>
        <w:trPr>
          <w:wBefore w:w="0" w:type="auto"/>
          <w:tblCellSpacing w:w="0" w:type="dxa"/>
        </w:trPr>
        <w:tc>
          <w:tcPr>
            <w:tcW w:w="0" w:type="auto"/>
            <w:noWrap w:val="0"/>
            <w:vAlign w:val="center"/>
          </w:tcPr>
          <w:p w14:paraId="49A2E1E4">
            <w:r>
              <w:rPr>
                <w:rStyle w:val="10"/>
                <w:rFonts w:hint="eastAsia"/>
              </w:rPr>
              <w:t>质量保证期：</w:t>
            </w:r>
            <w:r>
              <w:rPr>
                <w:rStyle w:val="11"/>
                <w:rFonts w:hint="eastAsia"/>
              </w:rPr>
              <w:t>2年</w:t>
            </w:r>
          </w:p>
        </w:tc>
      </w:tr>
      <w:tr w14:paraId="6074DF56">
        <w:tblPrEx>
          <w:tblCellMar>
            <w:top w:w="0" w:type="dxa"/>
            <w:left w:w="0" w:type="dxa"/>
            <w:bottom w:w="0" w:type="dxa"/>
            <w:right w:w="0" w:type="dxa"/>
          </w:tblCellMar>
        </w:tblPrEx>
        <w:trPr>
          <w:wBefore w:w="0" w:type="auto"/>
          <w:tblCellSpacing w:w="0" w:type="dxa"/>
        </w:trPr>
        <w:tc>
          <w:tcPr>
            <w:tcW w:w="0" w:type="auto"/>
            <w:noWrap w:val="0"/>
            <w:vAlign w:val="center"/>
          </w:tcPr>
          <w:p w14:paraId="6FB5106A">
            <w:r>
              <w:rPr>
                <w:rStyle w:val="10"/>
                <w:rFonts w:hint="eastAsia"/>
              </w:rPr>
              <w:t>备注：</w:t>
            </w:r>
          </w:p>
        </w:tc>
      </w:tr>
    </w:tbl>
    <w:p w14:paraId="53B882A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75439D1">
        <w:tblPrEx>
          <w:tblCellMar>
            <w:top w:w="0" w:type="dxa"/>
            <w:left w:w="0" w:type="dxa"/>
            <w:bottom w:w="0" w:type="dxa"/>
            <w:right w:w="0" w:type="dxa"/>
          </w:tblCellMar>
        </w:tblPrEx>
        <w:trPr>
          <w:wBefore w:w="0" w:type="auto"/>
          <w:tblCellSpacing w:w="0" w:type="dxa"/>
        </w:trPr>
        <w:tc>
          <w:tcPr>
            <w:tcW w:w="0" w:type="auto"/>
            <w:noWrap w:val="0"/>
            <w:vAlign w:val="center"/>
          </w:tcPr>
          <w:p w14:paraId="759CE71D">
            <w:r>
              <w:rPr>
                <w:rStyle w:val="10"/>
                <w:rFonts w:hint="eastAsia"/>
              </w:rPr>
              <w:t>登记证号：</w:t>
            </w:r>
            <w:r>
              <w:rPr>
                <w:rFonts w:hint="eastAsia"/>
              </w:rPr>
              <w:t>PD20211969</w:t>
            </w:r>
          </w:p>
        </w:tc>
      </w:tr>
      <w:tr w14:paraId="4259AFD9">
        <w:tblPrEx>
          <w:tblCellMar>
            <w:top w:w="0" w:type="dxa"/>
            <w:left w:w="0" w:type="dxa"/>
            <w:bottom w:w="0" w:type="dxa"/>
            <w:right w:w="0" w:type="dxa"/>
          </w:tblCellMar>
        </w:tblPrEx>
        <w:trPr>
          <w:wBefore w:w="0" w:type="auto"/>
          <w:tblCellSpacing w:w="0" w:type="dxa"/>
        </w:trPr>
        <w:tc>
          <w:tcPr>
            <w:tcW w:w="0" w:type="auto"/>
            <w:noWrap w:val="0"/>
            <w:vAlign w:val="center"/>
          </w:tcPr>
          <w:p w14:paraId="62755F32">
            <w:r>
              <w:rPr>
                <w:rStyle w:val="10"/>
                <w:rFonts w:hint="eastAsia"/>
              </w:rPr>
              <w:t>登记证持有人：</w:t>
            </w:r>
            <w:r>
              <w:rPr>
                <w:rFonts w:hint="eastAsia"/>
              </w:rPr>
              <w:t>广东广康生化科技股份有限公司</w:t>
            </w:r>
          </w:p>
        </w:tc>
      </w:tr>
      <w:tr w14:paraId="724D0FFD">
        <w:tblPrEx>
          <w:tblCellMar>
            <w:top w:w="0" w:type="dxa"/>
            <w:left w:w="0" w:type="dxa"/>
            <w:bottom w:w="0" w:type="dxa"/>
            <w:right w:w="0" w:type="dxa"/>
          </w:tblCellMar>
        </w:tblPrEx>
        <w:trPr>
          <w:wBefore w:w="0" w:type="auto"/>
          <w:tblCellSpacing w:w="0" w:type="dxa"/>
        </w:trPr>
        <w:tc>
          <w:tcPr>
            <w:tcW w:w="0" w:type="auto"/>
            <w:noWrap w:val="0"/>
            <w:vAlign w:val="center"/>
          </w:tcPr>
          <w:p w14:paraId="4D76C5EF">
            <w:r>
              <w:rPr>
                <w:rStyle w:val="10"/>
                <w:rFonts w:hint="eastAsia"/>
              </w:rPr>
              <w:t>农药名称：</w:t>
            </w:r>
            <w:r>
              <w:rPr>
                <w:rFonts w:hint="eastAsia"/>
              </w:rPr>
              <w:t>王铜</w:t>
            </w:r>
          </w:p>
        </w:tc>
      </w:tr>
      <w:tr w14:paraId="4DD1027C">
        <w:tblPrEx>
          <w:tblCellMar>
            <w:top w:w="0" w:type="dxa"/>
            <w:left w:w="0" w:type="dxa"/>
            <w:bottom w:w="0" w:type="dxa"/>
            <w:right w:w="0" w:type="dxa"/>
          </w:tblCellMar>
        </w:tblPrEx>
        <w:trPr>
          <w:wBefore w:w="0" w:type="auto"/>
          <w:tblCellSpacing w:w="0" w:type="dxa"/>
        </w:trPr>
        <w:tc>
          <w:tcPr>
            <w:tcW w:w="0" w:type="auto"/>
            <w:noWrap w:val="0"/>
            <w:vAlign w:val="center"/>
          </w:tcPr>
          <w:p w14:paraId="1324994B">
            <w:r>
              <w:rPr>
                <w:rStyle w:val="10"/>
                <w:rFonts w:hint="eastAsia"/>
              </w:rPr>
              <w:t>剂型：</w:t>
            </w:r>
            <w:r>
              <w:rPr>
                <w:rFonts w:hint="eastAsia"/>
              </w:rPr>
              <w:t>悬浮剂</w:t>
            </w:r>
          </w:p>
        </w:tc>
      </w:tr>
      <w:tr w14:paraId="63060F23">
        <w:tblPrEx>
          <w:tblCellMar>
            <w:top w:w="0" w:type="dxa"/>
            <w:left w:w="0" w:type="dxa"/>
            <w:bottom w:w="0" w:type="dxa"/>
            <w:right w:w="0" w:type="dxa"/>
          </w:tblCellMar>
        </w:tblPrEx>
        <w:trPr>
          <w:wBefore w:w="0" w:type="auto"/>
          <w:tblCellSpacing w:w="0" w:type="dxa"/>
        </w:trPr>
        <w:tc>
          <w:tcPr>
            <w:tcW w:w="0" w:type="auto"/>
            <w:noWrap w:val="0"/>
            <w:vAlign w:val="center"/>
          </w:tcPr>
          <w:p w14:paraId="3BB75E2D">
            <w:r>
              <w:rPr>
                <w:rStyle w:val="10"/>
                <w:rFonts w:hint="eastAsia"/>
              </w:rPr>
              <w:t>毒性及其标识：</w:t>
            </w:r>
            <w:r>
              <w:rPr>
                <w:rFonts w:hint="eastAsia"/>
              </w:rPr>
              <w:t xml:space="preserve"> </w:t>
            </w:r>
            <w:r>
              <w:rPr>
                <w:lang/>
              </w:rPr>
              <w:drawing>
                <wp:inline distT="0" distB="0" distL="114300" distR="114300">
                  <wp:extent cx="476250" cy="323850"/>
                  <wp:effectExtent l="0" t="0" r="0" b="0"/>
                  <wp:docPr id="234" name="图片 23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6A1FE6C">
        <w:tblPrEx>
          <w:tblCellMar>
            <w:top w:w="0" w:type="dxa"/>
            <w:left w:w="0" w:type="dxa"/>
            <w:bottom w:w="0" w:type="dxa"/>
            <w:right w:w="0" w:type="dxa"/>
          </w:tblCellMar>
        </w:tblPrEx>
        <w:trPr>
          <w:wBefore w:w="0" w:type="auto"/>
          <w:tblCellSpacing w:w="0" w:type="dxa"/>
        </w:trPr>
        <w:tc>
          <w:tcPr>
            <w:tcW w:w="0" w:type="auto"/>
            <w:noWrap w:val="0"/>
            <w:vAlign w:val="center"/>
          </w:tcPr>
          <w:p w14:paraId="1E59B463">
            <w:r>
              <w:rPr>
                <w:rStyle w:val="10"/>
                <w:rFonts w:hint="eastAsia"/>
              </w:rPr>
              <w:t>总有效成分含量：</w:t>
            </w:r>
            <w:r>
              <w:rPr>
                <w:rFonts w:hint="eastAsia"/>
              </w:rPr>
              <w:t>30%</w:t>
            </w:r>
          </w:p>
        </w:tc>
      </w:tr>
      <w:tr w14:paraId="505C9978">
        <w:tblPrEx>
          <w:tblCellMar>
            <w:top w:w="0" w:type="dxa"/>
            <w:left w:w="0" w:type="dxa"/>
            <w:bottom w:w="0" w:type="dxa"/>
            <w:right w:w="0" w:type="dxa"/>
          </w:tblCellMar>
        </w:tblPrEx>
        <w:trPr>
          <w:wBefore w:w="0" w:type="auto"/>
          <w:tblCellSpacing w:w="0" w:type="dxa"/>
        </w:trPr>
        <w:tc>
          <w:tcPr>
            <w:tcW w:w="0" w:type="auto"/>
            <w:noWrap w:val="0"/>
            <w:vAlign w:val="center"/>
          </w:tcPr>
          <w:p w14:paraId="38CE596F">
            <w:r>
              <w:rPr>
                <w:rFonts w:hint="eastAsia"/>
              </w:rPr>
              <w:t xml:space="preserve">有效成分及其含量： </w:t>
            </w:r>
          </w:p>
          <w:p w14:paraId="211C5487">
            <w:r>
              <w:rPr>
                <w:rFonts w:hint="eastAsia"/>
              </w:rPr>
              <w:t xml:space="preserve">    王铜30%    </w:t>
            </w:r>
          </w:p>
        </w:tc>
      </w:tr>
      <w:tr w14:paraId="4128E82F">
        <w:tblPrEx>
          <w:tblCellMar>
            <w:top w:w="0" w:type="dxa"/>
            <w:left w:w="0" w:type="dxa"/>
            <w:bottom w:w="0" w:type="dxa"/>
            <w:right w:w="0" w:type="dxa"/>
          </w:tblCellMar>
        </w:tblPrEx>
        <w:trPr>
          <w:wBefore w:w="0" w:type="auto"/>
          <w:tblCellSpacing w:w="0" w:type="dxa"/>
        </w:trPr>
        <w:tc>
          <w:tcPr>
            <w:tcW w:w="0" w:type="auto"/>
            <w:noWrap w:val="0"/>
            <w:vAlign w:val="center"/>
          </w:tcPr>
          <w:p w14:paraId="602121F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3DBDA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FED1D4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14312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31827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2083DD0">
                  <w:r>
                    <w:rPr>
                      <w:rStyle w:val="11"/>
                      <w:rFonts w:hint="eastAsia"/>
                    </w:rPr>
                    <w:t>施用方式</w:t>
                  </w:r>
                </w:p>
              </w:tc>
            </w:tr>
            <w:tr w14:paraId="3457AA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06115E">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97FE28">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7A5C58">
                  <w:r>
                    <w:rPr>
                      <w:rStyle w:val="11"/>
                      <w:rFonts w:hint="eastAsia"/>
                    </w:rPr>
                    <w:t>600-800倍液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C283DB">
                  <w:r>
                    <w:rPr>
                      <w:rStyle w:val="11"/>
                      <w:rFonts w:hint="eastAsia"/>
                    </w:rPr>
                    <w:t>喷雾</w:t>
                  </w:r>
                </w:p>
              </w:tc>
            </w:tr>
          </w:tbl>
          <w:p w14:paraId="65FA7247">
            <w:pPr>
              <w:rPr>
                <w:rFonts w:ascii="Times New Roman" w:hAnsi="Times New Roman" w:cs="Times New Roman"/>
                <w:sz w:val="20"/>
                <w:szCs w:val="20"/>
              </w:rPr>
            </w:pPr>
          </w:p>
        </w:tc>
      </w:tr>
      <w:tr w14:paraId="44E0A186">
        <w:tblPrEx>
          <w:tblCellMar>
            <w:top w:w="0" w:type="dxa"/>
            <w:left w:w="0" w:type="dxa"/>
            <w:bottom w:w="0" w:type="dxa"/>
            <w:right w:w="0" w:type="dxa"/>
          </w:tblCellMar>
        </w:tblPrEx>
        <w:trPr>
          <w:wBefore w:w="0" w:type="auto"/>
          <w:tblCellSpacing w:w="0" w:type="dxa"/>
        </w:trPr>
        <w:tc>
          <w:tcPr>
            <w:tcW w:w="0" w:type="auto"/>
            <w:noWrap w:val="0"/>
            <w:vAlign w:val="center"/>
          </w:tcPr>
          <w:p w14:paraId="44B487DB">
            <w:r>
              <w:rPr>
                <w:rStyle w:val="10"/>
                <w:rFonts w:hint="eastAsia"/>
              </w:rPr>
              <w:t>使用技术要求:</w:t>
            </w:r>
            <w:r>
              <w:rPr>
                <w:rFonts w:hint="eastAsia"/>
              </w:rPr>
              <w:br w:type="textWrapping"/>
            </w:r>
            <w:r>
              <w:rPr>
                <w:rStyle w:val="11"/>
                <w:rFonts w:hint="eastAsia"/>
              </w:rPr>
              <w:t xml:space="preserve">本品防治对象为柑橘溃疡病，于柑橘树抽梢初期病害发生前或发病初期施药，制剂用药量：600-1000倍液,连续施药2次，使用方法喷雾,每隔7-10天施药一次 。大风天或预计1小时内降雨，请勿施药。避免在暑天中午高温烈日下操作，喷药后24小时内遇大雨需补喷。 大风天或预计1小时几降雨，请勿施药。 不能在高温条件下或叶片有水珠条件下施用，否则易出现药害。 </w:t>
            </w:r>
          </w:p>
        </w:tc>
      </w:tr>
      <w:tr w14:paraId="701A7FF5">
        <w:tblPrEx>
          <w:tblCellMar>
            <w:top w:w="0" w:type="dxa"/>
            <w:left w:w="0" w:type="dxa"/>
            <w:bottom w:w="0" w:type="dxa"/>
            <w:right w:w="0" w:type="dxa"/>
          </w:tblCellMar>
        </w:tblPrEx>
        <w:trPr>
          <w:wBefore w:w="0" w:type="auto"/>
          <w:tblCellSpacing w:w="0" w:type="dxa"/>
        </w:trPr>
        <w:tc>
          <w:tcPr>
            <w:tcW w:w="0" w:type="auto"/>
            <w:noWrap w:val="0"/>
            <w:vAlign w:val="center"/>
          </w:tcPr>
          <w:p w14:paraId="25B434E7">
            <w:r>
              <w:rPr>
                <w:rStyle w:val="10"/>
                <w:rFonts w:hint="eastAsia"/>
              </w:rPr>
              <w:t>产品性能:</w:t>
            </w:r>
            <w:r>
              <w:rPr>
                <w:rFonts w:hint="eastAsia"/>
              </w:rPr>
              <w:br w:type="textWrapping"/>
            </w:r>
            <w:r>
              <w:rPr>
                <w:rStyle w:val="11"/>
                <w:rFonts w:hint="eastAsia"/>
              </w:rPr>
              <w:t>本品为无机铜类保护性杀菌剂，喷雾在作物上能粘复在作物表面形成一层保护膜，能有效防止病原细菌和真菌侵入，起到防病作用。</w:t>
            </w:r>
          </w:p>
        </w:tc>
      </w:tr>
      <w:tr w14:paraId="7EF6BBC9">
        <w:tblPrEx>
          <w:tblCellMar>
            <w:top w:w="0" w:type="dxa"/>
            <w:left w:w="0" w:type="dxa"/>
            <w:bottom w:w="0" w:type="dxa"/>
            <w:right w:w="0" w:type="dxa"/>
          </w:tblCellMar>
        </w:tblPrEx>
        <w:trPr>
          <w:wBefore w:w="0" w:type="auto"/>
          <w:tblCellSpacing w:w="0" w:type="dxa"/>
        </w:trPr>
        <w:tc>
          <w:tcPr>
            <w:tcW w:w="0" w:type="auto"/>
            <w:noWrap w:val="0"/>
            <w:vAlign w:val="center"/>
          </w:tcPr>
          <w:p w14:paraId="0C2A22C6">
            <w:r>
              <w:rPr>
                <w:rStyle w:val="10"/>
                <w:rFonts w:hint="eastAsia"/>
              </w:rPr>
              <w:t>注意事项：</w:t>
            </w:r>
            <w:r>
              <w:rPr>
                <w:rFonts w:hint="eastAsia"/>
              </w:rPr>
              <w:br w:type="textWrapping"/>
            </w:r>
            <w:r>
              <w:rPr>
                <w:rStyle w:val="11"/>
                <w:rFonts w:hint="eastAsia"/>
              </w:rPr>
              <w:t>1.须按照规定的使用量进行施药，不可任意提高使用量。 2.使用本品应采取相应的安全防护措施穿防护服、戴防护手套、口罩等，避免皮肤接触及口鼻吸入。使用中不可吸烟、饮水及吃东西；使用后及时清洗手、脸等暴露部位皮肤并更换衣物。 3.该产品对眼睛和皮肤有强烈刺激性，需加强对眼睛和皮肤的保护。 4.禁止在河塘等水体中清洗施药器具；远离水产养殖区、河塘等水体施药；（周围）开花植物花期禁用，使用时应密切关注对附近蜂群的影响；蚕室及桑园附近禁用；鸟类保护区禁用。 5.放置时间较长，可能出现沉淀，但不会失效，经手摇动，即恢复原状。建议与其它作用机制不同的杀菌剂轮换使用。 6.用过容器要妥善处理，不可做他用，也不可随意丢弃。 7.孕妇及哺乳期妇女禁止接触。 7、建议与其它作用机制不同的杀菌剂轮换使用。 8、避免孕妇及哺乳期妇女接触。 9、禁止在河塘等水域清洗施药器具，避免污染水源。</w:t>
            </w:r>
          </w:p>
        </w:tc>
      </w:tr>
      <w:tr w14:paraId="31F325CA">
        <w:tblPrEx>
          <w:tblCellMar>
            <w:top w:w="0" w:type="dxa"/>
            <w:left w:w="0" w:type="dxa"/>
            <w:bottom w:w="0" w:type="dxa"/>
            <w:right w:w="0" w:type="dxa"/>
          </w:tblCellMar>
        </w:tblPrEx>
        <w:trPr>
          <w:wBefore w:w="0" w:type="auto"/>
          <w:tblCellSpacing w:w="0" w:type="dxa"/>
        </w:trPr>
        <w:tc>
          <w:tcPr>
            <w:tcW w:w="0" w:type="auto"/>
            <w:noWrap w:val="0"/>
            <w:vAlign w:val="center"/>
          </w:tcPr>
          <w:p w14:paraId="16F0B88D">
            <w:r>
              <w:rPr>
                <w:rStyle w:val="10"/>
                <w:rFonts w:hint="eastAsia"/>
              </w:rPr>
              <w:t>中毒急救措施：</w:t>
            </w:r>
            <w:r>
              <w:rPr>
                <w:rFonts w:hint="eastAsia"/>
              </w:rPr>
              <w:br w:type="textWrapping"/>
            </w:r>
            <w:r>
              <w:rPr>
                <w:rStyle w:val="11"/>
                <w:rFonts w:hint="eastAsia"/>
              </w:rPr>
              <w:t>1.中毒症状表现为误食引起急性中毒，表现为头痛、头晕、乏力、口腔粘膜呈蓝色，口内有金属味，齿龈出血，舌发青，腹泻，腹绞痛，黑大便，重者昏迷、痉挛，血压 下降等。2.经口中毒，立即催吐、洗胃。不慎溅入眼睛中立即用大量清水冲洗，至少15分钟，并就医。 3.解毒剂为依地酸二钠钙，并配合对症治疗。</w:t>
            </w:r>
          </w:p>
        </w:tc>
      </w:tr>
      <w:tr w14:paraId="6DAB130E">
        <w:tblPrEx>
          <w:tblCellMar>
            <w:top w:w="0" w:type="dxa"/>
            <w:left w:w="0" w:type="dxa"/>
            <w:bottom w:w="0" w:type="dxa"/>
            <w:right w:w="0" w:type="dxa"/>
          </w:tblCellMar>
        </w:tblPrEx>
        <w:trPr>
          <w:wBefore w:w="0" w:type="auto"/>
          <w:tblCellSpacing w:w="0" w:type="dxa"/>
        </w:trPr>
        <w:tc>
          <w:tcPr>
            <w:tcW w:w="0" w:type="auto"/>
            <w:noWrap w:val="0"/>
            <w:vAlign w:val="center"/>
          </w:tcPr>
          <w:p w14:paraId="1430FC1E">
            <w:r>
              <w:rPr>
                <w:rStyle w:val="10"/>
                <w:rFonts w:hint="eastAsia"/>
              </w:rPr>
              <w:t>储存和运输方法：</w:t>
            </w:r>
            <w:r>
              <w:rPr>
                <w:rFonts w:hint="eastAsia"/>
              </w:rPr>
              <w:br w:type="textWrapping"/>
            </w:r>
            <w:r>
              <w:rPr>
                <w:rStyle w:val="11"/>
                <w:rFonts w:hint="eastAsia"/>
              </w:rPr>
              <w:t>本品应贮存在干燥、阴凉、通风处、防雨防湿防潮，远离火源或热源。置于儿童及动物触及不到的地方，并加锁保存。勿与食品、饮料、种子、饲料等其他商品同贮同运。</w:t>
            </w:r>
          </w:p>
        </w:tc>
      </w:tr>
      <w:tr w14:paraId="59A9B9C8">
        <w:tblPrEx>
          <w:tblCellMar>
            <w:top w:w="0" w:type="dxa"/>
            <w:left w:w="0" w:type="dxa"/>
            <w:bottom w:w="0" w:type="dxa"/>
            <w:right w:w="0" w:type="dxa"/>
          </w:tblCellMar>
        </w:tblPrEx>
        <w:trPr>
          <w:wBefore w:w="0" w:type="auto"/>
          <w:tblCellSpacing w:w="0" w:type="dxa"/>
        </w:trPr>
        <w:tc>
          <w:tcPr>
            <w:tcW w:w="0" w:type="auto"/>
            <w:noWrap w:val="0"/>
            <w:vAlign w:val="center"/>
          </w:tcPr>
          <w:p w14:paraId="6A3CF15F">
            <w:r>
              <w:rPr>
                <w:rStyle w:val="10"/>
                <w:rFonts w:hint="eastAsia"/>
              </w:rPr>
              <w:t>质量保证期：</w:t>
            </w:r>
            <w:r>
              <w:rPr>
                <w:rStyle w:val="11"/>
                <w:rFonts w:hint="eastAsia"/>
              </w:rPr>
              <w:t>2年</w:t>
            </w:r>
          </w:p>
        </w:tc>
      </w:tr>
      <w:tr w14:paraId="1EE42F7A">
        <w:tblPrEx>
          <w:tblCellMar>
            <w:top w:w="0" w:type="dxa"/>
            <w:left w:w="0" w:type="dxa"/>
            <w:bottom w:w="0" w:type="dxa"/>
            <w:right w:w="0" w:type="dxa"/>
          </w:tblCellMar>
        </w:tblPrEx>
        <w:trPr>
          <w:wBefore w:w="0" w:type="auto"/>
          <w:tblCellSpacing w:w="0" w:type="dxa"/>
        </w:trPr>
        <w:tc>
          <w:tcPr>
            <w:tcW w:w="0" w:type="auto"/>
            <w:noWrap w:val="0"/>
            <w:vAlign w:val="center"/>
          </w:tcPr>
          <w:p w14:paraId="15B65843">
            <w:r>
              <w:rPr>
                <w:rStyle w:val="10"/>
                <w:rFonts w:hint="eastAsia"/>
              </w:rPr>
              <w:t>备注：</w:t>
            </w:r>
          </w:p>
        </w:tc>
      </w:tr>
    </w:tbl>
    <w:p w14:paraId="001E2FD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A1763A">
        <w:tblPrEx>
          <w:tblCellMar>
            <w:top w:w="0" w:type="dxa"/>
            <w:left w:w="0" w:type="dxa"/>
            <w:bottom w:w="0" w:type="dxa"/>
            <w:right w:w="0" w:type="dxa"/>
          </w:tblCellMar>
        </w:tblPrEx>
        <w:trPr>
          <w:wBefore w:w="0" w:type="auto"/>
          <w:tblCellSpacing w:w="0" w:type="dxa"/>
        </w:trPr>
        <w:tc>
          <w:tcPr>
            <w:tcW w:w="0" w:type="auto"/>
            <w:noWrap w:val="0"/>
            <w:vAlign w:val="center"/>
          </w:tcPr>
          <w:p w14:paraId="11E226F5">
            <w:r>
              <w:rPr>
                <w:rStyle w:val="10"/>
                <w:rFonts w:hint="eastAsia"/>
              </w:rPr>
              <w:t>登记证号：</w:t>
            </w:r>
            <w:r>
              <w:rPr>
                <w:rFonts w:hint="eastAsia"/>
              </w:rPr>
              <w:t>PD20211766</w:t>
            </w:r>
          </w:p>
        </w:tc>
      </w:tr>
      <w:tr w14:paraId="66AC27E3">
        <w:tblPrEx>
          <w:tblCellMar>
            <w:top w:w="0" w:type="dxa"/>
            <w:left w:w="0" w:type="dxa"/>
            <w:bottom w:w="0" w:type="dxa"/>
            <w:right w:w="0" w:type="dxa"/>
          </w:tblCellMar>
        </w:tblPrEx>
        <w:trPr>
          <w:wBefore w:w="0" w:type="auto"/>
          <w:tblCellSpacing w:w="0" w:type="dxa"/>
        </w:trPr>
        <w:tc>
          <w:tcPr>
            <w:tcW w:w="0" w:type="auto"/>
            <w:noWrap w:val="0"/>
            <w:vAlign w:val="center"/>
          </w:tcPr>
          <w:p w14:paraId="569EAC46">
            <w:r>
              <w:rPr>
                <w:rStyle w:val="10"/>
                <w:rFonts w:hint="eastAsia"/>
              </w:rPr>
              <w:t>登记证持有人：</w:t>
            </w:r>
            <w:r>
              <w:rPr>
                <w:rFonts w:hint="eastAsia"/>
              </w:rPr>
              <w:t>福建省德盛生物工程有限责任公司</w:t>
            </w:r>
          </w:p>
        </w:tc>
      </w:tr>
      <w:tr w14:paraId="25A240BA">
        <w:tblPrEx>
          <w:tblCellMar>
            <w:top w:w="0" w:type="dxa"/>
            <w:left w:w="0" w:type="dxa"/>
            <w:bottom w:w="0" w:type="dxa"/>
            <w:right w:w="0" w:type="dxa"/>
          </w:tblCellMar>
        </w:tblPrEx>
        <w:trPr>
          <w:wBefore w:w="0" w:type="auto"/>
          <w:tblCellSpacing w:w="0" w:type="dxa"/>
        </w:trPr>
        <w:tc>
          <w:tcPr>
            <w:tcW w:w="0" w:type="auto"/>
            <w:noWrap w:val="0"/>
            <w:vAlign w:val="center"/>
          </w:tcPr>
          <w:p w14:paraId="574D654C">
            <w:r>
              <w:rPr>
                <w:rStyle w:val="10"/>
                <w:rFonts w:hint="eastAsia"/>
              </w:rPr>
              <w:t>农药名称：</w:t>
            </w:r>
            <w:r>
              <w:rPr>
                <w:rFonts w:hint="eastAsia"/>
              </w:rPr>
              <w:t>丁醚·茚虫威</w:t>
            </w:r>
          </w:p>
        </w:tc>
      </w:tr>
      <w:tr w14:paraId="2602F204">
        <w:tblPrEx>
          <w:tblCellMar>
            <w:top w:w="0" w:type="dxa"/>
            <w:left w:w="0" w:type="dxa"/>
            <w:bottom w:w="0" w:type="dxa"/>
            <w:right w:w="0" w:type="dxa"/>
          </w:tblCellMar>
        </w:tblPrEx>
        <w:trPr>
          <w:wBefore w:w="0" w:type="auto"/>
          <w:tblCellSpacing w:w="0" w:type="dxa"/>
        </w:trPr>
        <w:tc>
          <w:tcPr>
            <w:tcW w:w="0" w:type="auto"/>
            <w:noWrap w:val="0"/>
            <w:vAlign w:val="center"/>
          </w:tcPr>
          <w:p w14:paraId="442B641B">
            <w:r>
              <w:rPr>
                <w:rStyle w:val="10"/>
                <w:rFonts w:hint="eastAsia"/>
              </w:rPr>
              <w:t>剂型：</w:t>
            </w:r>
            <w:r>
              <w:rPr>
                <w:rFonts w:hint="eastAsia"/>
              </w:rPr>
              <w:t>悬浮剂</w:t>
            </w:r>
          </w:p>
        </w:tc>
      </w:tr>
      <w:tr w14:paraId="291564A8">
        <w:tblPrEx>
          <w:tblCellMar>
            <w:top w:w="0" w:type="dxa"/>
            <w:left w:w="0" w:type="dxa"/>
            <w:bottom w:w="0" w:type="dxa"/>
            <w:right w:w="0" w:type="dxa"/>
          </w:tblCellMar>
        </w:tblPrEx>
        <w:trPr>
          <w:wBefore w:w="0" w:type="auto"/>
          <w:tblCellSpacing w:w="0" w:type="dxa"/>
        </w:trPr>
        <w:tc>
          <w:tcPr>
            <w:tcW w:w="0" w:type="auto"/>
            <w:noWrap w:val="0"/>
            <w:vAlign w:val="center"/>
          </w:tcPr>
          <w:p w14:paraId="1C284C62">
            <w:r>
              <w:rPr>
                <w:rStyle w:val="10"/>
                <w:rFonts w:hint="eastAsia"/>
              </w:rPr>
              <w:t>毒性及其标识：</w:t>
            </w:r>
            <w:r>
              <w:rPr>
                <w:rFonts w:hint="eastAsia"/>
              </w:rPr>
              <w:t xml:space="preserve"> </w:t>
            </w:r>
            <w:r>
              <w:rPr>
                <w:lang/>
              </w:rPr>
              <w:drawing>
                <wp:inline distT="0" distB="0" distL="114300" distR="114300">
                  <wp:extent cx="476250" cy="323850"/>
                  <wp:effectExtent l="0" t="0" r="0" b="0"/>
                  <wp:docPr id="235" name="图片 23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983958E">
        <w:tblPrEx>
          <w:tblCellMar>
            <w:top w:w="0" w:type="dxa"/>
            <w:left w:w="0" w:type="dxa"/>
            <w:bottom w:w="0" w:type="dxa"/>
            <w:right w:w="0" w:type="dxa"/>
          </w:tblCellMar>
        </w:tblPrEx>
        <w:trPr>
          <w:wBefore w:w="0" w:type="auto"/>
          <w:tblCellSpacing w:w="0" w:type="dxa"/>
        </w:trPr>
        <w:tc>
          <w:tcPr>
            <w:tcW w:w="0" w:type="auto"/>
            <w:noWrap w:val="0"/>
            <w:vAlign w:val="center"/>
          </w:tcPr>
          <w:p w14:paraId="7CE2E4EC">
            <w:r>
              <w:rPr>
                <w:rStyle w:val="10"/>
                <w:rFonts w:hint="eastAsia"/>
              </w:rPr>
              <w:t>总有效成分含量：</w:t>
            </w:r>
            <w:r>
              <w:rPr>
                <w:rFonts w:hint="eastAsia"/>
              </w:rPr>
              <w:t>42%</w:t>
            </w:r>
          </w:p>
        </w:tc>
      </w:tr>
      <w:tr w14:paraId="597899B6">
        <w:tblPrEx>
          <w:tblCellMar>
            <w:top w:w="0" w:type="dxa"/>
            <w:left w:w="0" w:type="dxa"/>
            <w:bottom w:w="0" w:type="dxa"/>
            <w:right w:w="0" w:type="dxa"/>
          </w:tblCellMar>
        </w:tblPrEx>
        <w:trPr>
          <w:wBefore w:w="0" w:type="auto"/>
          <w:tblCellSpacing w:w="0" w:type="dxa"/>
        </w:trPr>
        <w:tc>
          <w:tcPr>
            <w:tcW w:w="0" w:type="auto"/>
            <w:noWrap w:val="0"/>
            <w:vAlign w:val="center"/>
          </w:tcPr>
          <w:p w14:paraId="0279900D">
            <w:r>
              <w:rPr>
                <w:rFonts w:hint="eastAsia"/>
              </w:rPr>
              <w:t xml:space="preserve">有效成分及其含量： </w:t>
            </w:r>
          </w:p>
          <w:p w14:paraId="284BACF3">
            <w:r>
              <w:rPr>
                <w:rFonts w:hint="eastAsia"/>
              </w:rPr>
              <w:t xml:space="preserve">    丁醚脲35%    茚虫威7%    </w:t>
            </w:r>
          </w:p>
        </w:tc>
      </w:tr>
      <w:tr w14:paraId="5600A1A8">
        <w:tblPrEx>
          <w:tblCellMar>
            <w:top w:w="0" w:type="dxa"/>
            <w:left w:w="0" w:type="dxa"/>
            <w:bottom w:w="0" w:type="dxa"/>
            <w:right w:w="0" w:type="dxa"/>
          </w:tblCellMar>
        </w:tblPrEx>
        <w:trPr>
          <w:wBefore w:w="0" w:type="auto"/>
          <w:tblCellSpacing w:w="0" w:type="dxa"/>
        </w:trPr>
        <w:tc>
          <w:tcPr>
            <w:tcW w:w="0" w:type="auto"/>
            <w:noWrap w:val="0"/>
            <w:vAlign w:val="center"/>
          </w:tcPr>
          <w:p w14:paraId="40FBC31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DB9B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37BBA3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AA0666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31958D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8EABD87">
                  <w:r>
                    <w:rPr>
                      <w:rStyle w:val="11"/>
                      <w:rFonts w:hint="eastAsia"/>
                    </w:rPr>
                    <w:t>施用方式</w:t>
                  </w:r>
                </w:p>
              </w:tc>
            </w:tr>
            <w:tr w14:paraId="3D1AB5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A310EF0">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48892D">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E72C0D">
                  <w:r>
                    <w:rPr>
                      <w:rStyle w:val="11"/>
                      <w:rFonts w:hint="eastAsia"/>
                    </w:rPr>
                    <w:t>20-30毫升/亩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5DA176">
                  <w:r>
                    <w:rPr>
                      <w:rStyle w:val="11"/>
                      <w:rFonts w:hint="eastAsia"/>
                    </w:rPr>
                    <w:t>喷雾</w:t>
                  </w:r>
                </w:p>
              </w:tc>
            </w:tr>
          </w:tbl>
          <w:p w14:paraId="58221174">
            <w:pPr>
              <w:rPr>
                <w:rFonts w:ascii="Times New Roman" w:hAnsi="Times New Roman" w:cs="Times New Roman"/>
                <w:sz w:val="20"/>
                <w:szCs w:val="20"/>
              </w:rPr>
            </w:pPr>
          </w:p>
        </w:tc>
      </w:tr>
      <w:tr w14:paraId="4ECD775E">
        <w:tblPrEx>
          <w:tblCellMar>
            <w:top w:w="0" w:type="dxa"/>
            <w:left w:w="0" w:type="dxa"/>
            <w:bottom w:w="0" w:type="dxa"/>
            <w:right w:w="0" w:type="dxa"/>
          </w:tblCellMar>
        </w:tblPrEx>
        <w:trPr>
          <w:wBefore w:w="0" w:type="auto"/>
          <w:tblCellSpacing w:w="0" w:type="dxa"/>
        </w:trPr>
        <w:tc>
          <w:tcPr>
            <w:tcW w:w="0" w:type="auto"/>
            <w:noWrap w:val="0"/>
            <w:vAlign w:val="center"/>
          </w:tcPr>
          <w:p w14:paraId="7CD3B0D8">
            <w:r>
              <w:rPr>
                <w:rStyle w:val="10"/>
                <w:rFonts w:hint="eastAsia"/>
              </w:rPr>
              <w:t>使用技术要求:</w:t>
            </w:r>
            <w:r>
              <w:rPr>
                <w:rFonts w:hint="eastAsia"/>
              </w:rPr>
              <w:br w:type="textWrapping"/>
            </w:r>
            <w:r>
              <w:rPr>
                <w:rStyle w:val="11"/>
                <w:rFonts w:hint="eastAsia"/>
              </w:rPr>
              <w:t>在茶树茶小绿叶蝉若虫发生期喷雾施药1次。每季最多使用1次，大风天或预计1小时内有雨，请勿施药。</w:t>
            </w:r>
          </w:p>
        </w:tc>
      </w:tr>
      <w:tr w14:paraId="2374774F">
        <w:tblPrEx>
          <w:tblCellMar>
            <w:top w:w="0" w:type="dxa"/>
            <w:left w:w="0" w:type="dxa"/>
            <w:bottom w:w="0" w:type="dxa"/>
            <w:right w:w="0" w:type="dxa"/>
          </w:tblCellMar>
        </w:tblPrEx>
        <w:trPr>
          <w:wBefore w:w="0" w:type="auto"/>
          <w:tblCellSpacing w:w="0" w:type="dxa"/>
        </w:trPr>
        <w:tc>
          <w:tcPr>
            <w:tcW w:w="0" w:type="auto"/>
            <w:noWrap w:val="0"/>
            <w:vAlign w:val="center"/>
          </w:tcPr>
          <w:p w14:paraId="775DD234">
            <w:r>
              <w:rPr>
                <w:rStyle w:val="10"/>
                <w:rFonts w:hint="eastAsia"/>
              </w:rPr>
              <w:t>产品性能:</w:t>
            </w:r>
            <w:r>
              <w:rPr>
                <w:rFonts w:hint="eastAsia"/>
              </w:rPr>
              <w:br w:type="textWrapping"/>
            </w:r>
            <w:r>
              <w:rPr>
                <w:rStyle w:val="11"/>
                <w:rFonts w:hint="eastAsia"/>
              </w:rPr>
              <w:t>丁醚脲为硫脲类杀虫、杀螨剂，具有触杀、胃毒作用，且具有一定的杀卵效果。在光的作用下，丁醚脲在体内转化为碳二亚胺，该物质为线粒体呼吸抑制剂。茚虫威为钠通道抑制剂，主要是阻断害虫神经细胞中的钠离子通道，使神经细胞丧失功能，导致靶标害虫麻痹、协调差，最终死亡，具有触杀和胃毒作用。两者混配用于防治茶树茶小绿叶蝉。</w:t>
            </w:r>
          </w:p>
        </w:tc>
      </w:tr>
      <w:tr w14:paraId="3AF023BD">
        <w:tblPrEx>
          <w:tblCellMar>
            <w:top w:w="0" w:type="dxa"/>
            <w:left w:w="0" w:type="dxa"/>
            <w:bottom w:w="0" w:type="dxa"/>
            <w:right w:w="0" w:type="dxa"/>
          </w:tblCellMar>
        </w:tblPrEx>
        <w:trPr>
          <w:wBefore w:w="0" w:type="auto"/>
          <w:tblCellSpacing w:w="0" w:type="dxa"/>
        </w:trPr>
        <w:tc>
          <w:tcPr>
            <w:tcW w:w="0" w:type="auto"/>
            <w:noWrap w:val="0"/>
            <w:vAlign w:val="center"/>
          </w:tcPr>
          <w:p w14:paraId="5DE11C94">
            <w:r>
              <w:rPr>
                <w:rStyle w:val="10"/>
                <w:rFonts w:hint="eastAsia"/>
              </w:rPr>
              <w:t>注意事项：</w:t>
            </w:r>
            <w:r>
              <w:rPr>
                <w:rFonts w:hint="eastAsia"/>
              </w:rPr>
              <w:br w:type="textWrapping"/>
            </w:r>
            <w:r>
              <w:rPr>
                <w:rStyle w:val="11"/>
                <w:rFonts w:hint="eastAsia"/>
              </w:rPr>
              <w:t>1.使用本品应采取相应的安全防护措施，穿防护服，戴帽子、防护手套、口罩等，避免皮肤接触及口鼻吸入。使用中不可吸烟、饮水及吃东西，使用后及时清洗手、脸等暴露部位皮肤并更换衣物。 2.本品对鱼类等水生生物、蜜蜂、家蚕有毒，远离水产养殖区施药，禁止在河塘等水体中清洗施药器具。（周围）开花植物花期禁用，使用时应密切关注对附近蜂群的影响。赤眼蜂等天敌放飞区域禁用；蚕室及桑园附近禁用。 3.建议与其他作用机制不同的杀虫剂轮换使用，以延缓抗药性产生。 4.用过的容器应妥善处理，不可作他用，也不可随意丢弃。 5.禁止儿童、孕妇及哺乳期妇女接触。过敏者禁用，使用中有任何不良反应请及时就医。</w:t>
            </w:r>
          </w:p>
        </w:tc>
      </w:tr>
      <w:tr w14:paraId="38509055">
        <w:tblPrEx>
          <w:tblCellMar>
            <w:top w:w="0" w:type="dxa"/>
            <w:left w:w="0" w:type="dxa"/>
            <w:bottom w:w="0" w:type="dxa"/>
            <w:right w:w="0" w:type="dxa"/>
          </w:tblCellMar>
        </w:tblPrEx>
        <w:trPr>
          <w:wBefore w:w="0" w:type="auto"/>
          <w:tblCellSpacing w:w="0" w:type="dxa"/>
        </w:trPr>
        <w:tc>
          <w:tcPr>
            <w:tcW w:w="0" w:type="auto"/>
            <w:noWrap w:val="0"/>
            <w:vAlign w:val="center"/>
          </w:tcPr>
          <w:p w14:paraId="2E17AF8A">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 皮肤接触：立即脱去污染的衣物，用软布去除沾染农药，用大量清水和肥皂冲洗。 眼睛溅入：立即用流动清水冲洗不少于15分钟。 吸入：立即离开施药现场，转移到空气清新处。 误食：立即停止服用，用清水充分漱口后，携带农药标签到医院就。</w:t>
            </w:r>
          </w:p>
        </w:tc>
      </w:tr>
      <w:tr w14:paraId="030D249E">
        <w:tblPrEx>
          <w:tblCellMar>
            <w:top w:w="0" w:type="dxa"/>
            <w:left w:w="0" w:type="dxa"/>
            <w:bottom w:w="0" w:type="dxa"/>
            <w:right w:w="0" w:type="dxa"/>
          </w:tblCellMar>
        </w:tblPrEx>
        <w:trPr>
          <w:wBefore w:w="0" w:type="auto"/>
          <w:tblCellSpacing w:w="0" w:type="dxa"/>
        </w:trPr>
        <w:tc>
          <w:tcPr>
            <w:tcW w:w="0" w:type="auto"/>
            <w:noWrap w:val="0"/>
            <w:vAlign w:val="center"/>
          </w:tcPr>
          <w:p w14:paraId="3D4FD76D">
            <w:r>
              <w:rPr>
                <w:rStyle w:val="10"/>
                <w:rFonts w:hint="eastAsia"/>
              </w:rPr>
              <w:t>储存和运输方法：</w:t>
            </w:r>
            <w:r>
              <w:rPr>
                <w:rFonts w:hint="eastAsia"/>
              </w:rPr>
              <w:br w:type="textWrapping"/>
            </w:r>
            <w:r>
              <w:rPr>
                <w:rStyle w:val="11"/>
                <w:rFonts w:hint="eastAsia"/>
              </w:rPr>
              <w:t>1．本品应密封贮存于干燥、阴凉、通风、防雨和置于儿童触及不到处，并加锁保护。防止贮运及装卸时由口、鼻吸入。2．本品不得与食品、饮料、饲料、粮食、种子等同贮同运；3．本品贮运时应远离水源、火源、防晒防潮等；4．本品贮运时堆码方式应符合安全和搬运方便的要求。</w:t>
            </w:r>
          </w:p>
        </w:tc>
      </w:tr>
      <w:tr w14:paraId="6A0AC2DD">
        <w:tblPrEx>
          <w:tblCellMar>
            <w:top w:w="0" w:type="dxa"/>
            <w:left w:w="0" w:type="dxa"/>
            <w:bottom w:w="0" w:type="dxa"/>
            <w:right w:w="0" w:type="dxa"/>
          </w:tblCellMar>
        </w:tblPrEx>
        <w:trPr>
          <w:wBefore w:w="0" w:type="auto"/>
          <w:tblCellSpacing w:w="0" w:type="dxa"/>
        </w:trPr>
        <w:tc>
          <w:tcPr>
            <w:tcW w:w="0" w:type="auto"/>
            <w:noWrap w:val="0"/>
            <w:vAlign w:val="center"/>
          </w:tcPr>
          <w:p w14:paraId="33858B3A">
            <w:r>
              <w:rPr>
                <w:rStyle w:val="10"/>
                <w:rFonts w:hint="eastAsia"/>
              </w:rPr>
              <w:t>质量保证期：</w:t>
            </w:r>
            <w:r>
              <w:rPr>
                <w:rStyle w:val="11"/>
                <w:rFonts w:hint="eastAsia"/>
              </w:rPr>
              <w:t>2年</w:t>
            </w:r>
          </w:p>
        </w:tc>
      </w:tr>
      <w:tr w14:paraId="756057BD">
        <w:tblPrEx>
          <w:tblCellMar>
            <w:top w:w="0" w:type="dxa"/>
            <w:left w:w="0" w:type="dxa"/>
            <w:bottom w:w="0" w:type="dxa"/>
            <w:right w:w="0" w:type="dxa"/>
          </w:tblCellMar>
        </w:tblPrEx>
        <w:trPr>
          <w:wBefore w:w="0" w:type="auto"/>
          <w:tblCellSpacing w:w="0" w:type="dxa"/>
        </w:trPr>
        <w:tc>
          <w:tcPr>
            <w:tcW w:w="0" w:type="auto"/>
            <w:noWrap w:val="0"/>
            <w:vAlign w:val="center"/>
          </w:tcPr>
          <w:p w14:paraId="6A264EFD">
            <w:r>
              <w:rPr>
                <w:rStyle w:val="10"/>
                <w:rFonts w:hint="eastAsia"/>
              </w:rPr>
              <w:t>备注：</w:t>
            </w:r>
          </w:p>
        </w:tc>
      </w:tr>
    </w:tbl>
    <w:p w14:paraId="1787327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2F9F2C1">
        <w:tblPrEx>
          <w:tblCellMar>
            <w:top w:w="0" w:type="dxa"/>
            <w:left w:w="0" w:type="dxa"/>
            <w:bottom w:w="0" w:type="dxa"/>
            <w:right w:w="0" w:type="dxa"/>
          </w:tblCellMar>
        </w:tblPrEx>
        <w:trPr>
          <w:wBefore w:w="0" w:type="auto"/>
          <w:tblCellSpacing w:w="0" w:type="dxa"/>
        </w:trPr>
        <w:tc>
          <w:tcPr>
            <w:tcW w:w="0" w:type="auto"/>
            <w:noWrap w:val="0"/>
            <w:vAlign w:val="center"/>
          </w:tcPr>
          <w:p w14:paraId="36B463D1">
            <w:r>
              <w:rPr>
                <w:rStyle w:val="10"/>
                <w:rFonts w:hint="eastAsia"/>
              </w:rPr>
              <w:t>登记证号：</w:t>
            </w:r>
            <w:r>
              <w:rPr>
                <w:rFonts w:hint="eastAsia"/>
              </w:rPr>
              <w:t>PD20211931</w:t>
            </w:r>
          </w:p>
        </w:tc>
      </w:tr>
      <w:tr w14:paraId="03B1AF7F">
        <w:tblPrEx>
          <w:tblCellMar>
            <w:top w:w="0" w:type="dxa"/>
            <w:left w:w="0" w:type="dxa"/>
            <w:bottom w:w="0" w:type="dxa"/>
            <w:right w:w="0" w:type="dxa"/>
          </w:tblCellMar>
        </w:tblPrEx>
        <w:trPr>
          <w:wBefore w:w="0" w:type="auto"/>
          <w:tblCellSpacing w:w="0" w:type="dxa"/>
        </w:trPr>
        <w:tc>
          <w:tcPr>
            <w:tcW w:w="0" w:type="auto"/>
            <w:noWrap w:val="0"/>
            <w:vAlign w:val="center"/>
          </w:tcPr>
          <w:p w14:paraId="3B20717B">
            <w:r>
              <w:rPr>
                <w:rStyle w:val="10"/>
                <w:rFonts w:hint="eastAsia"/>
              </w:rPr>
              <w:t>登记证持有人：</w:t>
            </w:r>
            <w:r>
              <w:rPr>
                <w:rFonts w:hint="eastAsia"/>
              </w:rPr>
              <w:t>山东润扬化学有限公司</w:t>
            </w:r>
          </w:p>
        </w:tc>
      </w:tr>
      <w:tr w14:paraId="2159A1B6">
        <w:tblPrEx>
          <w:tblCellMar>
            <w:top w:w="0" w:type="dxa"/>
            <w:left w:w="0" w:type="dxa"/>
            <w:bottom w:w="0" w:type="dxa"/>
            <w:right w:w="0" w:type="dxa"/>
          </w:tblCellMar>
        </w:tblPrEx>
        <w:trPr>
          <w:wBefore w:w="0" w:type="auto"/>
          <w:tblCellSpacing w:w="0" w:type="dxa"/>
        </w:trPr>
        <w:tc>
          <w:tcPr>
            <w:tcW w:w="0" w:type="auto"/>
            <w:noWrap w:val="0"/>
            <w:vAlign w:val="center"/>
          </w:tcPr>
          <w:p w14:paraId="6177A046">
            <w:r>
              <w:rPr>
                <w:rStyle w:val="10"/>
                <w:rFonts w:hint="eastAsia"/>
              </w:rPr>
              <w:t>农药名称：</w:t>
            </w:r>
            <w:r>
              <w:rPr>
                <w:rFonts w:hint="eastAsia"/>
              </w:rPr>
              <w:t>吡唑醚菌酯</w:t>
            </w:r>
          </w:p>
        </w:tc>
      </w:tr>
      <w:tr w14:paraId="17B99EF1">
        <w:tblPrEx>
          <w:tblCellMar>
            <w:top w:w="0" w:type="dxa"/>
            <w:left w:w="0" w:type="dxa"/>
            <w:bottom w:w="0" w:type="dxa"/>
            <w:right w:w="0" w:type="dxa"/>
          </w:tblCellMar>
        </w:tblPrEx>
        <w:trPr>
          <w:wBefore w:w="0" w:type="auto"/>
          <w:tblCellSpacing w:w="0" w:type="dxa"/>
        </w:trPr>
        <w:tc>
          <w:tcPr>
            <w:tcW w:w="0" w:type="auto"/>
            <w:noWrap w:val="0"/>
            <w:vAlign w:val="center"/>
          </w:tcPr>
          <w:p w14:paraId="542061EA">
            <w:r>
              <w:rPr>
                <w:rStyle w:val="10"/>
                <w:rFonts w:hint="eastAsia"/>
              </w:rPr>
              <w:t>剂型：</w:t>
            </w:r>
            <w:r>
              <w:rPr>
                <w:rFonts w:hint="eastAsia"/>
              </w:rPr>
              <w:t>水乳剂</w:t>
            </w:r>
          </w:p>
        </w:tc>
      </w:tr>
      <w:tr w14:paraId="61CABE6C">
        <w:tblPrEx>
          <w:tblCellMar>
            <w:top w:w="0" w:type="dxa"/>
            <w:left w:w="0" w:type="dxa"/>
            <w:bottom w:w="0" w:type="dxa"/>
            <w:right w:w="0" w:type="dxa"/>
          </w:tblCellMar>
        </w:tblPrEx>
        <w:trPr>
          <w:wBefore w:w="0" w:type="auto"/>
          <w:tblCellSpacing w:w="0" w:type="dxa"/>
        </w:trPr>
        <w:tc>
          <w:tcPr>
            <w:tcW w:w="0" w:type="auto"/>
            <w:noWrap w:val="0"/>
            <w:vAlign w:val="center"/>
          </w:tcPr>
          <w:p w14:paraId="7B5E1EE6">
            <w:r>
              <w:rPr>
                <w:rStyle w:val="10"/>
                <w:rFonts w:hint="eastAsia"/>
              </w:rPr>
              <w:t>毒性及其标识：</w:t>
            </w:r>
            <w:r>
              <w:rPr>
                <w:rFonts w:hint="eastAsia"/>
              </w:rPr>
              <w:t xml:space="preserve"> </w:t>
            </w:r>
            <w:r>
              <w:rPr>
                <w:lang/>
              </w:rPr>
              <w:drawing>
                <wp:inline distT="0" distB="0" distL="114300" distR="114300">
                  <wp:extent cx="476250" cy="323850"/>
                  <wp:effectExtent l="0" t="0" r="0" b="0"/>
                  <wp:docPr id="236" name="图片 23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87D30F8">
        <w:tblPrEx>
          <w:tblCellMar>
            <w:top w:w="0" w:type="dxa"/>
            <w:left w:w="0" w:type="dxa"/>
            <w:bottom w:w="0" w:type="dxa"/>
            <w:right w:w="0" w:type="dxa"/>
          </w:tblCellMar>
        </w:tblPrEx>
        <w:trPr>
          <w:wBefore w:w="0" w:type="auto"/>
          <w:tblCellSpacing w:w="0" w:type="dxa"/>
        </w:trPr>
        <w:tc>
          <w:tcPr>
            <w:tcW w:w="0" w:type="auto"/>
            <w:noWrap w:val="0"/>
            <w:vAlign w:val="center"/>
          </w:tcPr>
          <w:p w14:paraId="082E94C4">
            <w:r>
              <w:rPr>
                <w:rStyle w:val="10"/>
                <w:rFonts w:hint="eastAsia"/>
              </w:rPr>
              <w:t>总有效成分含量：</w:t>
            </w:r>
            <w:r>
              <w:rPr>
                <w:rFonts w:hint="eastAsia"/>
              </w:rPr>
              <w:t>10%</w:t>
            </w:r>
          </w:p>
        </w:tc>
      </w:tr>
      <w:tr w14:paraId="143D3286">
        <w:tblPrEx>
          <w:tblCellMar>
            <w:top w:w="0" w:type="dxa"/>
            <w:left w:w="0" w:type="dxa"/>
            <w:bottom w:w="0" w:type="dxa"/>
            <w:right w:w="0" w:type="dxa"/>
          </w:tblCellMar>
        </w:tblPrEx>
        <w:trPr>
          <w:wBefore w:w="0" w:type="auto"/>
          <w:tblCellSpacing w:w="0" w:type="dxa"/>
        </w:trPr>
        <w:tc>
          <w:tcPr>
            <w:tcW w:w="0" w:type="auto"/>
            <w:noWrap w:val="0"/>
            <w:vAlign w:val="center"/>
          </w:tcPr>
          <w:p w14:paraId="14B919C8">
            <w:r>
              <w:rPr>
                <w:rFonts w:hint="eastAsia"/>
              </w:rPr>
              <w:t xml:space="preserve">有效成分及其含量： </w:t>
            </w:r>
          </w:p>
          <w:p w14:paraId="4F321F84">
            <w:r>
              <w:rPr>
                <w:rFonts w:hint="eastAsia"/>
              </w:rPr>
              <w:t xml:space="preserve">    吡唑醚菌酯10%    </w:t>
            </w:r>
          </w:p>
        </w:tc>
      </w:tr>
      <w:tr w14:paraId="349087E8">
        <w:tblPrEx>
          <w:tblCellMar>
            <w:top w:w="0" w:type="dxa"/>
            <w:left w:w="0" w:type="dxa"/>
            <w:bottom w:w="0" w:type="dxa"/>
            <w:right w:w="0" w:type="dxa"/>
          </w:tblCellMar>
        </w:tblPrEx>
        <w:trPr>
          <w:wBefore w:w="0" w:type="auto"/>
          <w:tblCellSpacing w:w="0" w:type="dxa"/>
        </w:trPr>
        <w:tc>
          <w:tcPr>
            <w:tcW w:w="0" w:type="auto"/>
            <w:noWrap w:val="0"/>
            <w:vAlign w:val="center"/>
          </w:tcPr>
          <w:p w14:paraId="6EADE02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6EFF5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78924D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4D66E1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B7BBD4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E8CE91E">
                  <w:r>
                    <w:rPr>
                      <w:rStyle w:val="11"/>
                      <w:rFonts w:hint="eastAsia"/>
                    </w:rPr>
                    <w:t>施用方式</w:t>
                  </w:r>
                </w:p>
              </w:tc>
            </w:tr>
            <w:tr w14:paraId="222667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1A9E37D">
                  <w:r>
                    <w:rPr>
                      <w:rStyle w:val="11"/>
                      <w:rFonts w:hint="eastAsia"/>
                    </w:rPr>
                    <w:t>香蕉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64765D">
                  <w:r>
                    <w:rPr>
                      <w:rStyle w:val="11"/>
                      <w:rFonts w:hint="eastAsia"/>
                    </w:rPr>
                    <w:t>黑星病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88CAC5">
                  <w:r>
                    <w:rPr>
                      <w:rStyle w:val="11"/>
                      <w:rFonts w:hint="eastAsia"/>
                    </w:rPr>
                    <w:t>400-600倍液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891D91">
                  <w:r>
                    <w:rPr>
                      <w:rStyle w:val="11"/>
                      <w:rFonts w:hint="eastAsia"/>
                    </w:rPr>
                    <w:t>喷雾</w:t>
                  </w:r>
                </w:p>
              </w:tc>
            </w:tr>
          </w:tbl>
          <w:p w14:paraId="5D2A8741">
            <w:pPr>
              <w:rPr>
                <w:rFonts w:ascii="Times New Roman" w:hAnsi="Times New Roman" w:cs="Times New Roman"/>
                <w:sz w:val="20"/>
                <w:szCs w:val="20"/>
              </w:rPr>
            </w:pPr>
          </w:p>
        </w:tc>
      </w:tr>
      <w:tr w14:paraId="62F34D1E">
        <w:tblPrEx>
          <w:tblCellMar>
            <w:top w:w="0" w:type="dxa"/>
            <w:left w:w="0" w:type="dxa"/>
            <w:bottom w:w="0" w:type="dxa"/>
            <w:right w:w="0" w:type="dxa"/>
          </w:tblCellMar>
        </w:tblPrEx>
        <w:trPr>
          <w:wBefore w:w="0" w:type="auto"/>
          <w:tblCellSpacing w:w="0" w:type="dxa"/>
        </w:trPr>
        <w:tc>
          <w:tcPr>
            <w:tcW w:w="0" w:type="auto"/>
            <w:noWrap w:val="0"/>
            <w:vAlign w:val="center"/>
          </w:tcPr>
          <w:p w14:paraId="7D2204CF">
            <w:r>
              <w:rPr>
                <w:rStyle w:val="10"/>
                <w:rFonts w:hint="eastAsia"/>
              </w:rPr>
              <w:t>使用技术要求:</w:t>
            </w:r>
            <w:r>
              <w:rPr>
                <w:rFonts w:hint="eastAsia"/>
              </w:rPr>
              <w:br w:type="textWrapping"/>
            </w:r>
            <w:r>
              <w:rPr>
                <w:rStyle w:val="11"/>
                <w:rFonts w:hint="eastAsia"/>
              </w:rPr>
              <w:t xml:space="preserve">在香蕉黑星病发生前或发病初期施药，施药2次，间隔10天。大风天或预计1小时内降雨，请勿施药。安全间隔期为42天，每季作物最多使用2次。 </w:t>
            </w:r>
          </w:p>
        </w:tc>
      </w:tr>
      <w:tr w14:paraId="64C952CB">
        <w:tblPrEx>
          <w:tblCellMar>
            <w:top w:w="0" w:type="dxa"/>
            <w:left w:w="0" w:type="dxa"/>
            <w:bottom w:w="0" w:type="dxa"/>
            <w:right w:w="0" w:type="dxa"/>
          </w:tblCellMar>
        </w:tblPrEx>
        <w:trPr>
          <w:wBefore w:w="0" w:type="auto"/>
          <w:tblCellSpacing w:w="0" w:type="dxa"/>
        </w:trPr>
        <w:tc>
          <w:tcPr>
            <w:tcW w:w="0" w:type="auto"/>
            <w:noWrap w:val="0"/>
            <w:vAlign w:val="center"/>
          </w:tcPr>
          <w:p w14:paraId="658547A8">
            <w:r>
              <w:rPr>
                <w:rStyle w:val="10"/>
                <w:rFonts w:hint="eastAsia"/>
              </w:rPr>
              <w:t>产品性能:</w:t>
            </w:r>
            <w:r>
              <w:rPr>
                <w:rFonts w:hint="eastAsia"/>
              </w:rPr>
              <w:br w:type="textWrapping"/>
            </w:r>
            <w:r>
              <w:rPr>
                <w:rStyle w:val="11"/>
                <w:rFonts w:hint="eastAsia"/>
              </w:rPr>
              <w:t>吡唑醚菌酯，其作用机理为线粒体呼吸抑制剂．即通过在细胞色素bcl合成中阻止电子转移。具有保护、治疗、叶片渗透传导作用。对香蕉黑星病有较好的防治效果。</w:t>
            </w:r>
          </w:p>
        </w:tc>
      </w:tr>
      <w:tr w14:paraId="5A6FEE19">
        <w:tblPrEx>
          <w:tblCellMar>
            <w:top w:w="0" w:type="dxa"/>
            <w:left w:w="0" w:type="dxa"/>
            <w:bottom w:w="0" w:type="dxa"/>
            <w:right w:w="0" w:type="dxa"/>
          </w:tblCellMar>
        </w:tblPrEx>
        <w:trPr>
          <w:wBefore w:w="0" w:type="auto"/>
          <w:tblCellSpacing w:w="0" w:type="dxa"/>
        </w:trPr>
        <w:tc>
          <w:tcPr>
            <w:tcW w:w="0" w:type="auto"/>
            <w:noWrap w:val="0"/>
            <w:vAlign w:val="center"/>
          </w:tcPr>
          <w:p w14:paraId="3639EE8F">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本品对眼睛有刺激性，使用时避免接触眼睛，穿戴长衣、长裤、帽子、口罩、手套等防护措施。避免吸入药液。施药期间禁止吃东西和饮水，施药后应及时洗脸、洗手。 2. 该药对鱼有毒，对水蚤有毒，对藻类有毒，水产养殖区、河塘等水体附近禁用，禁止在河塘等水体中清洗施药器具，药液及其废液不得随意排放，避免污染水源。 3. 赤眼蜂等天敌放飞区域禁用；蚕室及桑园附近禁用。 4. 建议与其它作用机制不同杀菌剂轮换使用，以延缓抗性产生。 5. 用过的容器应妥善处理，不可做他用，也不可随意丢弃。 6. 孕妇及哺乳期妇女应避免接触本品。7. 避免与氧化剂接触。</w:t>
            </w:r>
          </w:p>
        </w:tc>
      </w:tr>
      <w:tr w14:paraId="45F9F265">
        <w:tblPrEx>
          <w:tblCellMar>
            <w:top w:w="0" w:type="dxa"/>
            <w:left w:w="0" w:type="dxa"/>
            <w:bottom w:w="0" w:type="dxa"/>
            <w:right w:w="0" w:type="dxa"/>
          </w:tblCellMar>
        </w:tblPrEx>
        <w:trPr>
          <w:wBefore w:w="0" w:type="auto"/>
          <w:tblCellSpacing w:w="0" w:type="dxa"/>
        </w:trPr>
        <w:tc>
          <w:tcPr>
            <w:tcW w:w="0" w:type="auto"/>
            <w:noWrap w:val="0"/>
            <w:vAlign w:val="center"/>
          </w:tcPr>
          <w:p w14:paraId="373259A9">
            <w:r>
              <w:rPr>
                <w:rStyle w:val="10"/>
                <w:rFonts w:hint="eastAsia"/>
              </w:rPr>
              <w:t>中毒急救措施：</w:t>
            </w:r>
            <w:r>
              <w:rPr>
                <w:rFonts w:hint="eastAsia"/>
              </w:rPr>
              <w:br w:type="textWrapping"/>
            </w:r>
            <w:r>
              <w:rPr>
                <w:rStyle w:val="11"/>
                <w:rFonts w:hint="eastAsia"/>
              </w:rPr>
              <w:t>不慎吸入，应立即移到空气流通处。对眼睛有刺激性，不慎溅入眼睛，应立即用清水冲洗眼睛至少15分钟。不慎接触皮肤，应立即用大量清水冲洗皮肤表面。若误服，立即携此标签送医院对症治疗。</w:t>
            </w:r>
          </w:p>
        </w:tc>
      </w:tr>
      <w:tr w14:paraId="4D803145">
        <w:tblPrEx>
          <w:tblCellMar>
            <w:top w:w="0" w:type="dxa"/>
            <w:left w:w="0" w:type="dxa"/>
            <w:bottom w:w="0" w:type="dxa"/>
            <w:right w:w="0" w:type="dxa"/>
          </w:tblCellMar>
        </w:tblPrEx>
        <w:trPr>
          <w:wBefore w:w="0" w:type="auto"/>
          <w:tblCellSpacing w:w="0" w:type="dxa"/>
        </w:trPr>
        <w:tc>
          <w:tcPr>
            <w:tcW w:w="0" w:type="auto"/>
            <w:noWrap w:val="0"/>
            <w:vAlign w:val="center"/>
          </w:tcPr>
          <w:p w14:paraId="3698F6AE">
            <w:r>
              <w:rPr>
                <w:rStyle w:val="10"/>
                <w:rFonts w:hint="eastAsia"/>
              </w:rPr>
              <w:t>储存和运输方法：</w:t>
            </w:r>
            <w:r>
              <w:rPr>
                <w:rFonts w:hint="eastAsia"/>
              </w:rPr>
              <w:br w:type="textWrapping"/>
            </w:r>
            <w:r>
              <w:rPr>
                <w:rStyle w:val="11"/>
                <w:rFonts w:hint="eastAsia"/>
              </w:rPr>
              <w:t>1. 本品应贮存在干燥、阴凉、通风、防雨处，远离火源或热源。 2. 置于儿童、无关人员触及不到之处，并加锁。勿与食品、饮料、饲料、粮食等同贮同运。</w:t>
            </w:r>
          </w:p>
        </w:tc>
      </w:tr>
      <w:tr w14:paraId="555BFBFC">
        <w:tblPrEx>
          <w:tblCellMar>
            <w:top w:w="0" w:type="dxa"/>
            <w:left w:w="0" w:type="dxa"/>
            <w:bottom w:w="0" w:type="dxa"/>
            <w:right w:w="0" w:type="dxa"/>
          </w:tblCellMar>
        </w:tblPrEx>
        <w:trPr>
          <w:wBefore w:w="0" w:type="auto"/>
          <w:tblCellSpacing w:w="0" w:type="dxa"/>
        </w:trPr>
        <w:tc>
          <w:tcPr>
            <w:tcW w:w="0" w:type="auto"/>
            <w:noWrap w:val="0"/>
            <w:vAlign w:val="center"/>
          </w:tcPr>
          <w:p w14:paraId="15D87838">
            <w:r>
              <w:rPr>
                <w:rStyle w:val="10"/>
                <w:rFonts w:hint="eastAsia"/>
              </w:rPr>
              <w:t>质量保证期：</w:t>
            </w:r>
            <w:r>
              <w:rPr>
                <w:rStyle w:val="11"/>
                <w:rFonts w:hint="eastAsia"/>
              </w:rPr>
              <w:t>2年</w:t>
            </w:r>
          </w:p>
        </w:tc>
      </w:tr>
      <w:tr w14:paraId="371A2649">
        <w:tblPrEx>
          <w:tblCellMar>
            <w:top w:w="0" w:type="dxa"/>
            <w:left w:w="0" w:type="dxa"/>
            <w:bottom w:w="0" w:type="dxa"/>
            <w:right w:w="0" w:type="dxa"/>
          </w:tblCellMar>
        </w:tblPrEx>
        <w:trPr>
          <w:wBefore w:w="0" w:type="auto"/>
          <w:tblCellSpacing w:w="0" w:type="dxa"/>
        </w:trPr>
        <w:tc>
          <w:tcPr>
            <w:tcW w:w="0" w:type="auto"/>
            <w:noWrap w:val="0"/>
            <w:vAlign w:val="center"/>
          </w:tcPr>
          <w:p w14:paraId="77027336">
            <w:r>
              <w:rPr>
                <w:rStyle w:val="10"/>
                <w:rFonts w:hint="eastAsia"/>
              </w:rPr>
              <w:t>备注：</w:t>
            </w:r>
          </w:p>
        </w:tc>
      </w:tr>
    </w:tbl>
    <w:p w14:paraId="2836107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4A53742">
        <w:tblPrEx>
          <w:tblCellMar>
            <w:top w:w="0" w:type="dxa"/>
            <w:left w:w="0" w:type="dxa"/>
            <w:bottom w:w="0" w:type="dxa"/>
            <w:right w:w="0" w:type="dxa"/>
          </w:tblCellMar>
        </w:tblPrEx>
        <w:trPr>
          <w:wBefore w:w="0" w:type="auto"/>
          <w:tblCellSpacing w:w="0" w:type="dxa"/>
        </w:trPr>
        <w:tc>
          <w:tcPr>
            <w:tcW w:w="0" w:type="auto"/>
            <w:noWrap w:val="0"/>
            <w:vAlign w:val="center"/>
          </w:tcPr>
          <w:p w14:paraId="0FF739CA">
            <w:r>
              <w:rPr>
                <w:rStyle w:val="10"/>
                <w:rFonts w:hint="eastAsia"/>
              </w:rPr>
              <w:t>登记证号：</w:t>
            </w:r>
            <w:r>
              <w:rPr>
                <w:rFonts w:hint="eastAsia"/>
              </w:rPr>
              <w:t>PD20211993</w:t>
            </w:r>
          </w:p>
        </w:tc>
      </w:tr>
      <w:tr w14:paraId="15DF5536">
        <w:tblPrEx>
          <w:tblCellMar>
            <w:top w:w="0" w:type="dxa"/>
            <w:left w:w="0" w:type="dxa"/>
            <w:bottom w:w="0" w:type="dxa"/>
            <w:right w:w="0" w:type="dxa"/>
          </w:tblCellMar>
        </w:tblPrEx>
        <w:trPr>
          <w:wBefore w:w="0" w:type="auto"/>
          <w:tblCellSpacing w:w="0" w:type="dxa"/>
        </w:trPr>
        <w:tc>
          <w:tcPr>
            <w:tcW w:w="0" w:type="auto"/>
            <w:noWrap w:val="0"/>
            <w:vAlign w:val="center"/>
          </w:tcPr>
          <w:p w14:paraId="6F542175">
            <w:r>
              <w:rPr>
                <w:rStyle w:val="10"/>
                <w:rFonts w:hint="eastAsia"/>
              </w:rPr>
              <w:t>登记证持有人：</w:t>
            </w:r>
            <w:r>
              <w:rPr>
                <w:rFonts w:hint="eastAsia"/>
              </w:rPr>
              <w:t>河北威远生物化工有限公司</w:t>
            </w:r>
          </w:p>
        </w:tc>
      </w:tr>
      <w:tr w14:paraId="16501FBC">
        <w:tblPrEx>
          <w:tblCellMar>
            <w:top w:w="0" w:type="dxa"/>
            <w:left w:w="0" w:type="dxa"/>
            <w:bottom w:w="0" w:type="dxa"/>
            <w:right w:w="0" w:type="dxa"/>
          </w:tblCellMar>
        </w:tblPrEx>
        <w:trPr>
          <w:wBefore w:w="0" w:type="auto"/>
          <w:tblCellSpacing w:w="0" w:type="dxa"/>
        </w:trPr>
        <w:tc>
          <w:tcPr>
            <w:tcW w:w="0" w:type="auto"/>
            <w:noWrap w:val="0"/>
            <w:vAlign w:val="center"/>
          </w:tcPr>
          <w:p w14:paraId="72456FD1">
            <w:r>
              <w:rPr>
                <w:rStyle w:val="10"/>
                <w:rFonts w:hint="eastAsia"/>
              </w:rPr>
              <w:t>农药名称：</w:t>
            </w:r>
            <w:r>
              <w:rPr>
                <w:rFonts w:hint="eastAsia"/>
              </w:rPr>
              <w:t>稻瘟酰胺·嘧菌酯</w:t>
            </w:r>
          </w:p>
        </w:tc>
      </w:tr>
      <w:tr w14:paraId="393653FA">
        <w:tblPrEx>
          <w:tblCellMar>
            <w:top w:w="0" w:type="dxa"/>
            <w:left w:w="0" w:type="dxa"/>
            <w:bottom w:w="0" w:type="dxa"/>
            <w:right w:w="0" w:type="dxa"/>
          </w:tblCellMar>
        </w:tblPrEx>
        <w:trPr>
          <w:wBefore w:w="0" w:type="auto"/>
          <w:tblCellSpacing w:w="0" w:type="dxa"/>
        </w:trPr>
        <w:tc>
          <w:tcPr>
            <w:tcW w:w="0" w:type="auto"/>
            <w:noWrap w:val="0"/>
            <w:vAlign w:val="center"/>
          </w:tcPr>
          <w:p w14:paraId="2F41BF5D">
            <w:r>
              <w:rPr>
                <w:rStyle w:val="10"/>
                <w:rFonts w:hint="eastAsia"/>
              </w:rPr>
              <w:t>剂型：</w:t>
            </w:r>
            <w:r>
              <w:rPr>
                <w:rFonts w:hint="eastAsia"/>
              </w:rPr>
              <w:t>悬浮剂</w:t>
            </w:r>
          </w:p>
        </w:tc>
      </w:tr>
      <w:tr w14:paraId="2B41C7F5">
        <w:tblPrEx>
          <w:tblCellMar>
            <w:top w:w="0" w:type="dxa"/>
            <w:left w:w="0" w:type="dxa"/>
            <w:bottom w:w="0" w:type="dxa"/>
            <w:right w:w="0" w:type="dxa"/>
          </w:tblCellMar>
        </w:tblPrEx>
        <w:trPr>
          <w:wBefore w:w="0" w:type="auto"/>
          <w:tblCellSpacing w:w="0" w:type="dxa"/>
        </w:trPr>
        <w:tc>
          <w:tcPr>
            <w:tcW w:w="0" w:type="auto"/>
            <w:noWrap w:val="0"/>
            <w:vAlign w:val="center"/>
          </w:tcPr>
          <w:p w14:paraId="4D157CB4">
            <w:r>
              <w:rPr>
                <w:rStyle w:val="10"/>
                <w:rFonts w:hint="eastAsia"/>
              </w:rPr>
              <w:t>毒性及其标识：</w:t>
            </w:r>
            <w:r>
              <w:rPr>
                <w:rFonts w:hint="eastAsia"/>
              </w:rPr>
              <w:t xml:space="preserve"> </w:t>
            </w:r>
            <w:r>
              <w:rPr>
                <w:lang/>
              </w:rPr>
              <w:drawing>
                <wp:inline distT="0" distB="0" distL="114300" distR="114300">
                  <wp:extent cx="476250" cy="323850"/>
                  <wp:effectExtent l="0" t="0" r="0" b="0"/>
                  <wp:docPr id="237" name="图片 23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747DF83">
        <w:tblPrEx>
          <w:tblCellMar>
            <w:top w:w="0" w:type="dxa"/>
            <w:left w:w="0" w:type="dxa"/>
            <w:bottom w:w="0" w:type="dxa"/>
            <w:right w:w="0" w:type="dxa"/>
          </w:tblCellMar>
        </w:tblPrEx>
        <w:trPr>
          <w:wBefore w:w="0" w:type="auto"/>
          <w:tblCellSpacing w:w="0" w:type="dxa"/>
        </w:trPr>
        <w:tc>
          <w:tcPr>
            <w:tcW w:w="0" w:type="auto"/>
            <w:noWrap w:val="0"/>
            <w:vAlign w:val="center"/>
          </w:tcPr>
          <w:p w14:paraId="2B3EB903">
            <w:r>
              <w:rPr>
                <w:rStyle w:val="10"/>
                <w:rFonts w:hint="eastAsia"/>
              </w:rPr>
              <w:t>总有效成分含量：</w:t>
            </w:r>
            <w:r>
              <w:rPr>
                <w:rFonts w:hint="eastAsia"/>
              </w:rPr>
              <w:t>40%</w:t>
            </w:r>
          </w:p>
        </w:tc>
      </w:tr>
      <w:tr w14:paraId="36591A73">
        <w:tblPrEx>
          <w:tblCellMar>
            <w:top w:w="0" w:type="dxa"/>
            <w:left w:w="0" w:type="dxa"/>
            <w:bottom w:w="0" w:type="dxa"/>
            <w:right w:w="0" w:type="dxa"/>
          </w:tblCellMar>
        </w:tblPrEx>
        <w:trPr>
          <w:wBefore w:w="0" w:type="auto"/>
          <w:tblCellSpacing w:w="0" w:type="dxa"/>
        </w:trPr>
        <w:tc>
          <w:tcPr>
            <w:tcW w:w="0" w:type="auto"/>
            <w:noWrap w:val="0"/>
            <w:vAlign w:val="center"/>
          </w:tcPr>
          <w:p w14:paraId="737A8E31">
            <w:r>
              <w:rPr>
                <w:rFonts w:hint="eastAsia"/>
              </w:rPr>
              <w:t xml:space="preserve">有效成分及其含量： </w:t>
            </w:r>
          </w:p>
          <w:p w14:paraId="004F3804">
            <w:r>
              <w:rPr>
                <w:rFonts w:hint="eastAsia"/>
              </w:rPr>
              <w:t xml:space="preserve">    嘧菌酯20%    稻瘟酰胺20%    </w:t>
            </w:r>
          </w:p>
        </w:tc>
      </w:tr>
      <w:tr w14:paraId="7179958E">
        <w:tblPrEx>
          <w:tblCellMar>
            <w:top w:w="0" w:type="dxa"/>
            <w:left w:w="0" w:type="dxa"/>
            <w:bottom w:w="0" w:type="dxa"/>
            <w:right w:w="0" w:type="dxa"/>
          </w:tblCellMar>
        </w:tblPrEx>
        <w:trPr>
          <w:wBefore w:w="0" w:type="auto"/>
          <w:tblCellSpacing w:w="0" w:type="dxa"/>
        </w:trPr>
        <w:tc>
          <w:tcPr>
            <w:tcW w:w="0" w:type="auto"/>
            <w:noWrap w:val="0"/>
            <w:vAlign w:val="center"/>
          </w:tcPr>
          <w:p w14:paraId="6DB334C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B6757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7789D3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104650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B7FB6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74D40B4">
                  <w:r>
                    <w:rPr>
                      <w:rStyle w:val="11"/>
                      <w:rFonts w:hint="eastAsia"/>
                    </w:rPr>
                    <w:t>施用方式</w:t>
                  </w:r>
                </w:p>
              </w:tc>
            </w:tr>
            <w:tr w14:paraId="558C1B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526FB41">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553E72">
                  <w:r>
                    <w:rPr>
                      <w:rStyle w:val="11"/>
                      <w:rFonts w:hint="eastAsia"/>
                    </w:rPr>
                    <w:t>稻瘟病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0EE23A">
                  <w:r>
                    <w:rPr>
                      <w:rStyle w:val="11"/>
                      <w:rFonts w:hint="eastAsia"/>
                    </w:rPr>
                    <w:t>25-50毫升/亩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D1ECA5">
                  <w:r>
                    <w:rPr>
                      <w:rStyle w:val="11"/>
                      <w:rFonts w:hint="eastAsia"/>
                    </w:rPr>
                    <w:t>喷雾</w:t>
                  </w:r>
                </w:p>
              </w:tc>
            </w:tr>
          </w:tbl>
          <w:p w14:paraId="11FCFF1F">
            <w:pPr>
              <w:rPr>
                <w:rFonts w:ascii="Times New Roman" w:hAnsi="Times New Roman" w:cs="Times New Roman"/>
                <w:sz w:val="20"/>
                <w:szCs w:val="20"/>
              </w:rPr>
            </w:pPr>
          </w:p>
        </w:tc>
      </w:tr>
      <w:tr w14:paraId="1B09FA68">
        <w:tblPrEx>
          <w:tblCellMar>
            <w:top w:w="0" w:type="dxa"/>
            <w:left w:w="0" w:type="dxa"/>
            <w:bottom w:w="0" w:type="dxa"/>
            <w:right w:w="0" w:type="dxa"/>
          </w:tblCellMar>
        </w:tblPrEx>
        <w:trPr>
          <w:wBefore w:w="0" w:type="auto"/>
          <w:tblCellSpacing w:w="0" w:type="dxa"/>
        </w:trPr>
        <w:tc>
          <w:tcPr>
            <w:tcW w:w="0" w:type="auto"/>
            <w:noWrap w:val="0"/>
            <w:vAlign w:val="center"/>
          </w:tcPr>
          <w:p w14:paraId="343B775F">
            <w:r>
              <w:rPr>
                <w:rStyle w:val="10"/>
                <w:rFonts w:hint="eastAsia"/>
              </w:rPr>
              <w:t>使用技术要求:</w:t>
            </w:r>
            <w:r>
              <w:rPr>
                <w:rFonts w:hint="eastAsia"/>
              </w:rPr>
              <w:br w:type="textWrapping"/>
            </w:r>
            <w:r>
              <w:rPr>
                <w:rStyle w:val="11"/>
                <w:rFonts w:hint="eastAsia"/>
              </w:rPr>
              <w:t>1．安全间隔期21天，每季最多使用1次。 2.于病害发生初期喷雾，喷雾均匀。大风天或预计1小时内降雨，请勿施药。</w:t>
            </w:r>
          </w:p>
        </w:tc>
      </w:tr>
      <w:tr w14:paraId="4542BE61">
        <w:tblPrEx>
          <w:tblCellMar>
            <w:top w:w="0" w:type="dxa"/>
            <w:left w:w="0" w:type="dxa"/>
            <w:bottom w:w="0" w:type="dxa"/>
            <w:right w:w="0" w:type="dxa"/>
          </w:tblCellMar>
        </w:tblPrEx>
        <w:trPr>
          <w:wBefore w:w="0" w:type="auto"/>
          <w:tblCellSpacing w:w="0" w:type="dxa"/>
        </w:trPr>
        <w:tc>
          <w:tcPr>
            <w:tcW w:w="0" w:type="auto"/>
            <w:noWrap w:val="0"/>
            <w:vAlign w:val="center"/>
          </w:tcPr>
          <w:p w14:paraId="671471AB">
            <w:r>
              <w:rPr>
                <w:rStyle w:val="10"/>
                <w:rFonts w:hint="eastAsia"/>
              </w:rPr>
              <w:t>产品性能:</w:t>
            </w:r>
            <w:r>
              <w:rPr>
                <w:rFonts w:hint="eastAsia"/>
              </w:rPr>
              <w:br w:type="textWrapping"/>
            </w:r>
            <w:r>
              <w:rPr>
                <w:rStyle w:val="11"/>
                <w:rFonts w:hint="eastAsia"/>
              </w:rPr>
              <w:t>稻瘟酰胺属苯氧酰胺类杀菌剂，其作用机理为黑色素生物合成抑制剂，从而抑制稻瘟病菌黑色素形成；嘧菌酯是一种β甲氧基丙烯酸酯类杀菌剂，通过抑制病原菌线粒体的呼吸作用来阻止其能量合成。二者混配有明显的增效作用，对水稻稻瘟病有有较好的防治效果。</w:t>
            </w:r>
          </w:p>
        </w:tc>
      </w:tr>
      <w:tr w14:paraId="60828E72">
        <w:tblPrEx>
          <w:tblCellMar>
            <w:top w:w="0" w:type="dxa"/>
            <w:left w:w="0" w:type="dxa"/>
            <w:bottom w:w="0" w:type="dxa"/>
            <w:right w:w="0" w:type="dxa"/>
          </w:tblCellMar>
        </w:tblPrEx>
        <w:trPr>
          <w:wBefore w:w="0" w:type="auto"/>
          <w:tblCellSpacing w:w="0" w:type="dxa"/>
        </w:trPr>
        <w:tc>
          <w:tcPr>
            <w:tcW w:w="0" w:type="auto"/>
            <w:noWrap w:val="0"/>
            <w:vAlign w:val="center"/>
          </w:tcPr>
          <w:p w14:paraId="4EE586BA">
            <w:r>
              <w:rPr>
                <w:rStyle w:val="10"/>
                <w:rFonts w:hint="eastAsia"/>
              </w:rPr>
              <w:t>注意事项：</w:t>
            </w:r>
            <w:r>
              <w:rPr>
                <w:rFonts w:hint="eastAsia"/>
              </w:rPr>
              <w:br w:type="textWrapping"/>
            </w:r>
            <w:r>
              <w:rPr>
                <w:rStyle w:val="11"/>
                <w:rFonts w:hint="eastAsia"/>
              </w:rPr>
              <w:t>1.使用本品应采取相应的安全防护措施，穿戴长衣、长裤、帽子、口罩、手套等安全防护措施。 避免皮肤接触及口鼻吸入。使用中不可吸烟、饮水及吃东西，使用后及时清洗手、脸等暴露部位皮肤并更换衣物。 2.禁止在河塘等水体中清洗施药器具；远离水产养殖工、河塘等水体施药或水产养殖区、河塘等水体附近禁用；鱼或虾蟹套养稻田禁用、施药后的田水不得直接排入水体。蚕室和桑园附近禁用。 3. 用过的容器应妥善处理，不可做他用，也不可随意丢弃。农药包装废弃物应及时交回农药经营者。 4．孕妇及哺乳期妇女避免接触。5.避免与氧化剂接触。</w:t>
            </w:r>
          </w:p>
        </w:tc>
      </w:tr>
      <w:tr w14:paraId="4FF6D303">
        <w:tblPrEx>
          <w:tblCellMar>
            <w:top w:w="0" w:type="dxa"/>
            <w:left w:w="0" w:type="dxa"/>
            <w:bottom w:w="0" w:type="dxa"/>
            <w:right w:w="0" w:type="dxa"/>
          </w:tblCellMar>
        </w:tblPrEx>
        <w:trPr>
          <w:wBefore w:w="0" w:type="auto"/>
          <w:tblCellSpacing w:w="0" w:type="dxa"/>
        </w:trPr>
        <w:tc>
          <w:tcPr>
            <w:tcW w:w="0" w:type="auto"/>
            <w:noWrap w:val="0"/>
            <w:vAlign w:val="center"/>
          </w:tcPr>
          <w:p w14:paraId="0B5AF53B">
            <w:r>
              <w:rPr>
                <w:rStyle w:val="10"/>
                <w:rFonts w:hint="eastAsia"/>
              </w:rPr>
              <w:t>中毒急救措施：</w:t>
            </w:r>
            <w:r>
              <w:rPr>
                <w:rFonts w:hint="eastAsia"/>
              </w:rPr>
              <w:br w:type="textWrapping"/>
            </w:r>
            <w:r>
              <w:rPr>
                <w:rStyle w:val="11"/>
                <w:rFonts w:hint="eastAsia"/>
              </w:rPr>
              <w:t xml:space="preserve">使用中或使用后如果感觉不适，应立即停止工作，采取急救措施，并携带标签送医院就诊。 1.皮肤接触：脱去污染的衣物，用软布去除沾染农药，立即用大量清水和肥皂冲洗。 2. 眼睛溅入：立即用流动清水冲洗不少于15分钟。 3.吸入：立即离开施药现场，转移到空气清新处。 4.误食：立即停止服用，用清水充分漱口后，立即携带农药标签到医院就诊。 5.解毒剂：无专用解毒剂，对症治疗。 </w:t>
            </w:r>
          </w:p>
        </w:tc>
      </w:tr>
      <w:tr w14:paraId="79AF8563">
        <w:tblPrEx>
          <w:tblCellMar>
            <w:top w:w="0" w:type="dxa"/>
            <w:left w:w="0" w:type="dxa"/>
            <w:bottom w:w="0" w:type="dxa"/>
            <w:right w:w="0" w:type="dxa"/>
          </w:tblCellMar>
        </w:tblPrEx>
        <w:trPr>
          <w:wBefore w:w="0" w:type="auto"/>
          <w:tblCellSpacing w:w="0" w:type="dxa"/>
        </w:trPr>
        <w:tc>
          <w:tcPr>
            <w:tcW w:w="0" w:type="auto"/>
            <w:noWrap w:val="0"/>
            <w:vAlign w:val="center"/>
          </w:tcPr>
          <w:p w14:paraId="41DDD2D2">
            <w:r>
              <w:rPr>
                <w:rStyle w:val="10"/>
                <w:rFonts w:hint="eastAsia"/>
              </w:rPr>
              <w:t>储存和运输方法：</w:t>
            </w:r>
            <w:r>
              <w:rPr>
                <w:rFonts w:hint="eastAsia"/>
              </w:rPr>
              <w:br w:type="textWrapping"/>
            </w:r>
            <w:r>
              <w:rPr>
                <w:rStyle w:val="11"/>
                <w:rFonts w:hint="eastAsia"/>
              </w:rPr>
              <w:t>本品应储存在干燥、阴凉、通风、防雨处，远离火源或热源。应当置于儿童、无关人员触及不到之处，并加锁保存；勿与食物、饮料、粮食和动物饲料在一起存放或运输。</w:t>
            </w:r>
          </w:p>
        </w:tc>
      </w:tr>
      <w:tr w14:paraId="12978B61">
        <w:tblPrEx>
          <w:tblCellMar>
            <w:top w:w="0" w:type="dxa"/>
            <w:left w:w="0" w:type="dxa"/>
            <w:bottom w:w="0" w:type="dxa"/>
            <w:right w:w="0" w:type="dxa"/>
          </w:tblCellMar>
        </w:tblPrEx>
        <w:trPr>
          <w:wBefore w:w="0" w:type="auto"/>
          <w:tblCellSpacing w:w="0" w:type="dxa"/>
        </w:trPr>
        <w:tc>
          <w:tcPr>
            <w:tcW w:w="0" w:type="auto"/>
            <w:noWrap w:val="0"/>
            <w:vAlign w:val="center"/>
          </w:tcPr>
          <w:p w14:paraId="72BB5296">
            <w:r>
              <w:rPr>
                <w:rStyle w:val="10"/>
                <w:rFonts w:hint="eastAsia"/>
              </w:rPr>
              <w:t>质量保证期：</w:t>
            </w:r>
            <w:r>
              <w:rPr>
                <w:rStyle w:val="11"/>
                <w:rFonts w:hint="eastAsia"/>
              </w:rPr>
              <w:t>2年</w:t>
            </w:r>
          </w:p>
        </w:tc>
      </w:tr>
      <w:tr w14:paraId="08C17700">
        <w:tblPrEx>
          <w:tblCellMar>
            <w:top w:w="0" w:type="dxa"/>
            <w:left w:w="0" w:type="dxa"/>
            <w:bottom w:w="0" w:type="dxa"/>
            <w:right w:w="0" w:type="dxa"/>
          </w:tblCellMar>
        </w:tblPrEx>
        <w:trPr>
          <w:wBefore w:w="0" w:type="auto"/>
          <w:tblCellSpacing w:w="0" w:type="dxa"/>
        </w:trPr>
        <w:tc>
          <w:tcPr>
            <w:tcW w:w="0" w:type="auto"/>
            <w:noWrap w:val="0"/>
            <w:vAlign w:val="center"/>
          </w:tcPr>
          <w:p w14:paraId="2E8E3C96">
            <w:r>
              <w:rPr>
                <w:rStyle w:val="10"/>
                <w:rFonts w:hint="eastAsia"/>
              </w:rPr>
              <w:t>备注：</w:t>
            </w:r>
          </w:p>
        </w:tc>
      </w:tr>
    </w:tbl>
    <w:p w14:paraId="4FD373D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E7C8D45">
        <w:tblPrEx>
          <w:tblCellMar>
            <w:top w:w="0" w:type="dxa"/>
            <w:left w:w="0" w:type="dxa"/>
            <w:bottom w:w="0" w:type="dxa"/>
            <w:right w:w="0" w:type="dxa"/>
          </w:tblCellMar>
        </w:tblPrEx>
        <w:trPr>
          <w:wBefore w:w="0" w:type="auto"/>
          <w:tblCellSpacing w:w="0" w:type="dxa"/>
        </w:trPr>
        <w:tc>
          <w:tcPr>
            <w:tcW w:w="0" w:type="auto"/>
            <w:noWrap w:val="0"/>
            <w:vAlign w:val="center"/>
          </w:tcPr>
          <w:p w14:paraId="5BDE687D">
            <w:r>
              <w:rPr>
                <w:rStyle w:val="10"/>
                <w:rFonts w:hint="eastAsia"/>
              </w:rPr>
              <w:t>登记证号：</w:t>
            </w:r>
            <w:r>
              <w:rPr>
                <w:rFonts w:hint="eastAsia"/>
              </w:rPr>
              <w:t>PD20212060</w:t>
            </w:r>
          </w:p>
        </w:tc>
      </w:tr>
      <w:tr w14:paraId="727D8BAB">
        <w:tblPrEx>
          <w:tblCellMar>
            <w:top w:w="0" w:type="dxa"/>
            <w:left w:w="0" w:type="dxa"/>
            <w:bottom w:w="0" w:type="dxa"/>
            <w:right w:w="0" w:type="dxa"/>
          </w:tblCellMar>
        </w:tblPrEx>
        <w:trPr>
          <w:wBefore w:w="0" w:type="auto"/>
          <w:tblCellSpacing w:w="0" w:type="dxa"/>
        </w:trPr>
        <w:tc>
          <w:tcPr>
            <w:tcW w:w="0" w:type="auto"/>
            <w:noWrap w:val="0"/>
            <w:vAlign w:val="center"/>
          </w:tcPr>
          <w:p w14:paraId="3024999D">
            <w:r>
              <w:rPr>
                <w:rStyle w:val="10"/>
                <w:rFonts w:hint="eastAsia"/>
              </w:rPr>
              <w:t>登记证持有人：</w:t>
            </w:r>
            <w:r>
              <w:rPr>
                <w:rFonts w:hint="eastAsia"/>
              </w:rPr>
              <w:t>甘肃华实农业科技有限公司</w:t>
            </w:r>
          </w:p>
        </w:tc>
      </w:tr>
      <w:tr w14:paraId="2A0F8514">
        <w:tblPrEx>
          <w:tblCellMar>
            <w:top w:w="0" w:type="dxa"/>
            <w:left w:w="0" w:type="dxa"/>
            <w:bottom w:w="0" w:type="dxa"/>
            <w:right w:w="0" w:type="dxa"/>
          </w:tblCellMar>
        </w:tblPrEx>
        <w:trPr>
          <w:wBefore w:w="0" w:type="auto"/>
          <w:tblCellSpacing w:w="0" w:type="dxa"/>
        </w:trPr>
        <w:tc>
          <w:tcPr>
            <w:tcW w:w="0" w:type="auto"/>
            <w:noWrap w:val="0"/>
            <w:vAlign w:val="center"/>
          </w:tcPr>
          <w:p w14:paraId="36A95832">
            <w:r>
              <w:rPr>
                <w:rStyle w:val="10"/>
                <w:rFonts w:hint="eastAsia"/>
              </w:rPr>
              <w:t>农药名称：</w:t>
            </w:r>
            <w:r>
              <w:rPr>
                <w:rFonts w:hint="eastAsia"/>
              </w:rPr>
              <w:t>硝钠·胺鲜酯</w:t>
            </w:r>
          </w:p>
        </w:tc>
      </w:tr>
      <w:tr w14:paraId="4C3C447A">
        <w:tblPrEx>
          <w:tblCellMar>
            <w:top w:w="0" w:type="dxa"/>
            <w:left w:w="0" w:type="dxa"/>
            <w:bottom w:w="0" w:type="dxa"/>
            <w:right w:w="0" w:type="dxa"/>
          </w:tblCellMar>
        </w:tblPrEx>
        <w:trPr>
          <w:wBefore w:w="0" w:type="auto"/>
          <w:tblCellSpacing w:w="0" w:type="dxa"/>
        </w:trPr>
        <w:tc>
          <w:tcPr>
            <w:tcW w:w="0" w:type="auto"/>
            <w:noWrap w:val="0"/>
            <w:vAlign w:val="center"/>
          </w:tcPr>
          <w:p w14:paraId="706F15E7">
            <w:r>
              <w:rPr>
                <w:rStyle w:val="10"/>
                <w:rFonts w:hint="eastAsia"/>
              </w:rPr>
              <w:t>剂型：</w:t>
            </w:r>
            <w:r>
              <w:rPr>
                <w:rFonts w:hint="eastAsia"/>
              </w:rPr>
              <w:t>可溶液剂</w:t>
            </w:r>
          </w:p>
        </w:tc>
      </w:tr>
      <w:tr w14:paraId="5A570B75">
        <w:tblPrEx>
          <w:tblCellMar>
            <w:top w:w="0" w:type="dxa"/>
            <w:left w:w="0" w:type="dxa"/>
            <w:bottom w:w="0" w:type="dxa"/>
            <w:right w:w="0" w:type="dxa"/>
          </w:tblCellMar>
        </w:tblPrEx>
        <w:trPr>
          <w:wBefore w:w="0" w:type="auto"/>
          <w:tblCellSpacing w:w="0" w:type="dxa"/>
        </w:trPr>
        <w:tc>
          <w:tcPr>
            <w:tcW w:w="0" w:type="auto"/>
            <w:noWrap w:val="0"/>
            <w:vAlign w:val="center"/>
          </w:tcPr>
          <w:p w14:paraId="50B43E5D">
            <w:r>
              <w:rPr>
                <w:rStyle w:val="10"/>
                <w:rFonts w:hint="eastAsia"/>
              </w:rPr>
              <w:t>毒性及其标识：</w:t>
            </w:r>
            <w:r>
              <w:rPr>
                <w:rFonts w:hint="eastAsia"/>
              </w:rPr>
              <w:t xml:space="preserve"> </w:t>
            </w:r>
            <w:r>
              <w:rPr>
                <w:lang/>
              </w:rPr>
              <w:drawing>
                <wp:inline distT="0" distB="0" distL="114300" distR="114300">
                  <wp:extent cx="476250" cy="323850"/>
                  <wp:effectExtent l="0" t="0" r="0" b="0"/>
                  <wp:docPr id="238" name="图片 23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3ECA6B5">
        <w:tblPrEx>
          <w:tblCellMar>
            <w:top w:w="0" w:type="dxa"/>
            <w:left w:w="0" w:type="dxa"/>
            <w:bottom w:w="0" w:type="dxa"/>
            <w:right w:w="0" w:type="dxa"/>
          </w:tblCellMar>
        </w:tblPrEx>
        <w:trPr>
          <w:wBefore w:w="0" w:type="auto"/>
          <w:tblCellSpacing w:w="0" w:type="dxa"/>
        </w:trPr>
        <w:tc>
          <w:tcPr>
            <w:tcW w:w="0" w:type="auto"/>
            <w:noWrap w:val="0"/>
            <w:vAlign w:val="center"/>
          </w:tcPr>
          <w:p w14:paraId="4D7568FD">
            <w:r>
              <w:rPr>
                <w:rStyle w:val="10"/>
                <w:rFonts w:hint="eastAsia"/>
              </w:rPr>
              <w:t>总有效成分含量：</w:t>
            </w:r>
            <w:r>
              <w:rPr>
                <w:rFonts w:hint="eastAsia"/>
              </w:rPr>
              <w:t>3%</w:t>
            </w:r>
          </w:p>
        </w:tc>
      </w:tr>
      <w:tr w14:paraId="17820F45">
        <w:tblPrEx>
          <w:tblCellMar>
            <w:top w:w="0" w:type="dxa"/>
            <w:left w:w="0" w:type="dxa"/>
            <w:bottom w:w="0" w:type="dxa"/>
            <w:right w:w="0" w:type="dxa"/>
          </w:tblCellMar>
        </w:tblPrEx>
        <w:trPr>
          <w:wBefore w:w="0" w:type="auto"/>
          <w:tblCellSpacing w:w="0" w:type="dxa"/>
        </w:trPr>
        <w:tc>
          <w:tcPr>
            <w:tcW w:w="0" w:type="auto"/>
            <w:noWrap w:val="0"/>
            <w:vAlign w:val="center"/>
          </w:tcPr>
          <w:p w14:paraId="35673B38">
            <w:r>
              <w:rPr>
                <w:rFonts w:hint="eastAsia"/>
              </w:rPr>
              <w:t xml:space="preserve">有效成分及其含量： </w:t>
            </w:r>
          </w:p>
          <w:p w14:paraId="5ED84BD8">
            <w:r>
              <w:rPr>
                <w:rFonts w:hint="eastAsia"/>
              </w:rPr>
              <w:t xml:space="preserve">    复硝酚钠0.6%    胺鲜酯2.4%    </w:t>
            </w:r>
          </w:p>
        </w:tc>
      </w:tr>
      <w:tr w14:paraId="2C02A9B0">
        <w:tblPrEx>
          <w:tblCellMar>
            <w:top w:w="0" w:type="dxa"/>
            <w:left w:w="0" w:type="dxa"/>
            <w:bottom w:w="0" w:type="dxa"/>
            <w:right w:w="0" w:type="dxa"/>
          </w:tblCellMar>
        </w:tblPrEx>
        <w:trPr>
          <w:wBefore w:w="0" w:type="auto"/>
          <w:tblCellSpacing w:w="0" w:type="dxa"/>
        </w:trPr>
        <w:tc>
          <w:tcPr>
            <w:tcW w:w="0" w:type="auto"/>
            <w:noWrap w:val="0"/>
            <w:vAlign w:val="center"/>
          </w:tcPr>
          <w:p w14:paraId="06B56F0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C2230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36D41F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A814E3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8C1B98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8805B24">
                  <w:r>
                    <w:rPr>
                      <w:rStyle w:val="11"/>
                      <w:rFonts w:hint="eastAsia"/>
                    </w:rPr>
                    <w:t>施用方式</w:t>
                  </w:r>
                </w:p>
              </w:tc>
            </w:tr>
            <w:tr w14:paraId="484F09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9F3BAE5">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1A6354">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BFB5E4">
                  <w:r>
                    <w:rPr>
                      <w:rStyle w:val="11"/>
                      <w:rFonts w:hint="eastAsia"/>
                    </w:rPr>
                    <w:t>1500-3000 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F8FCD1">
                  <w:r>
                    <w:rPr>
                      <w:rStyle w:val="11"/>
                      <w:rFonts w:hint="eastAsia"/>
                    </w:rPr>
                    <w:t>喷雾</w:t>
                  </w:r>
                </w:p>
              </w:tc>
            </w:tr>
          </w:tbl>
          <w:p w14:paraId="4376BA93">
            <w:pPr>
              <w:rPr>
                <w:rFonts w:ascii="Times New Roman" w:hAnsi="Times New Roman" w:cs="Times New Roman"/>
                <w:sz w:val="20"/>
                <w:szCs w:val="20"/>
              </w:rPr>
            </w:pPr>
          </w:p>
        </w:tc>
      </w:tr>
      <w:tr w14:paraId="7BD8A106">
        <w:tblPrEx>
          <w:tblCellMar>
            <w:top w:w="0" w:type="dxa"/>
            <w:left w:w="0" w:type="dxa"/>
            <w:bottom w:w="0" w:type="dxa"/>
            <w:right w:w="0" w:type="dxa"/>
          </w:tblCellMar>
        </w:tblPrEx>
        <w:trPr>
          <w:wBefore w:w="0" w:type="auto"/>
          <w:tblCellSpacing w:w="0" w:type="dxa"/>
        </w:trPr>
        <w:tc>
          <w:tcPr>
            <w:tcW w:w="0" w:type="auto"/>
            <w:noWrap w:val="0"/>
            <w:vAlign w:val="center"/>
          </w:tcPr>
          <w:p w14:paraId="062C4DA0">
            <w:r>
              <w:rPr>
                <w:rStyle w:val="10"/>
                <w:rFonts w:hint="eastAsia"/>
              </w:rPr>
              <w:t>使用技术要求:</w:t>
            </w:r>
            <w:r>
              <w:rPr>
                <w:rFonts w:hint="eastAsia"/>
              </w:rPr>
              <w:br w:type="textWrapping"/>
            </w:r>
            <w:r>
              <w:rPr>
                <w:rStyle w:val="11"/>
                <w:rFonts w:hint="eastAsia"/>
              </w:rPr>
              <w:t>1.本品分别在番茄苗期和花蕾期，针对全株喷雾施药各1次，共计施药2次。注意喷雾均匀、周到。 2.本品在番茄上每季作物最多使用2次。 3.大风天或预计1小时内降雨，请勿施药。</w:t>
            </w:r>
          </w:p>
        </w:tc>
      </w:tr>
      <w:tr w14:paraId="58F4A127">
        <w:tblPrEx>
          <w:tblCellMar>
            <w:top w:w="0" w:type="dxa"/>
            <w:left w:w="0" w:type="dxa"/>
            <w:bottom w:w="0" w:type="dxa"/>
            <w:right w:w="0" w:type="dxa"/>
          </w:tblCellMar>
        </w:tblPrEx>
        <w:trPr>
          <w:wBefore w:w="0" w:type="auto"/>
          <w:tblCellSpacing w:w="0" w:type="dxa"/>
        </w:trPr>
        <w:tc>
          <w:tcPr>
            <w:tcW w:w="0" w:type="auto"/>
            <w:noWrap w:val="0"/>
            <w:vAlign w:val="center"/>
          </w:tcPr>
          <w:p w14:paraId="45E91217">
            <w:r>
              <w:rPr>
                <w:rStyle w:val="10"/>
                <w:rFonts w:hint="eastAsia"/>
              </w:rPr>
              <w:t>产品性能:</w:t>
            </w:r>
            <w:r>
              <w:rPr>
                <w:rFonts w:hint="eastAsia"/>
              </w:rPr>
              <w:br w:type="textWrapping"/>
            </w:r>
            <w:r>
              <w:rPr>
                <w:rStyle w:val="11"/>
                <w:rFonts w:hint="eastAsia"/>
              </w:rPr>
              <w:t>本品是由复硝酚钠与胺鲜酯复配而成的植物生长调节剂，对植物生长具有调节作用。能较迅速渗透到植物体内，加快植物发根速度，对植物发根、生长、生殖及结果等发育阶段均有不同程度的促进作用。按登记剂量使用时，对番茄调节生长有较好的效果，且对供试番茄安全。</w:t>
            </w:r>
          </w:p>
        </w:tc>
      </w:tr>
      <w:tr w14:paraId="6219A2D7">
        <w:tblPrEx>
          <w:tblCellMar>
            <w:top w:w="0" w:type="dxa"/>
            <w:left w:w="0" w:type="dxa"/>
            <w:bottom w:w="0" w:type="dxa"/>
            <w:right w:w="0" w:type="dxa"/>
          </w:tblCellMar>
        </w:tblPrEx>
        <w:trPr>
          <w:wBefore w:w="0" w:type="auto"/>
          <w:tblCellSpacing w:w="0" w:type="dxa"/>
        </w:trPr>
        <w:tc>
          <w:tcPr>
            <w:tcW w:w="0" w:type="auto"/>
            <w:noWrap w:val="0"/>
            <w:vAlign w:val="center"/>
          </w:tcPr>
          <w:p w14:paraId="1D3589C3">
            <w:r>
              <w:rPr>
                <w:rStyle w:val="10"/>
                <w:rFonts w:hint="eastAsia"/>
              </w:rPr>
              <w:t>注意事项：</w:t>
            </w:r>
            <w:r>
              <w:rPr>
                <w:rFonts w:hint="eastAsia"/>
              </w:rPr>
              <w:br w:type="textWrapping"/>
            </w:r>
            <w:r>
              <w:rPr>
                <w:rStyle w:val="11"/>
                <w:rFonts w:hint="eastAsia"/>
              </w:rPr>
              <w:t>1．严格按照规定用药量和方法使用。2．本品不能与强酸、强碱性农药等物质混用。3．建议与其他作用机制不同的植物生长调节剂轮换使用，以延缓抗性产生。4．水产养殖区、河塘等水体附近禁用；禁止在河塘等水体中清洗施药器具。5．使用本品时应，穿戴长衣、长裤、帽子、口罩、手套等安全防护措施，避免吸入药液。施药期间不可吃东西和饮水。施药后应及时洗手和洗脸。 6．用药后包装物及用过的容器应妥善处理，不可做他用，也不可随意丢弃。 7．孕妇及哺乳期妇女禁止接触本品。制造厂敬告用户：严格按照推荐方法使用、操作和贮藏本品。使用时应接受当地农业技术部门的指导。</w:t>
            </w:r>
          </w:p>
        </w:tc>
      </w:tr>
      <w:tr w14:paraId="43AC80FD">
        <w:tblPrEx>
          <w:tblCellMar>
            <w:top w:w="0" w:type="dxa"/>
            <w:left w:w="0" w:type="dxa"/>
            <w:bottom w:w="0" w:type="dxa"/>
            <w:right w:w="0" w:type="dxa"/>
          </w:tblCellMar>
        </w:tblPrEx>
        <w:trPr>
          <w:wBefore w:w="0" w:type="auto"/>
          <w:tblCellSpacing w:w="0" w:type="dxa"/>
        </w:trPr>
        <w:tc>
          <w:tcPr>
            <w:tcW w:w="0" w:type="auto"/>
            <w:noWrap w:val="0"/>
            <w:vAlign w:val="center"/>
          </w:tcPr>
          <w:p w14:paraId="69978EE7">
            <w:r>
              <w:rPr>
                <w:rStyle w:val="10"/>
                <w:rFonts w:hint="eastAsia"/>
              </w:rPr>
              <w:t>中毒急救措施：</w:t>
            </w:r>
            <w:r>
              <w:rPr>
                <w:rFonts w:hint="eastAsia"/>
              </w:rPr>
              <w:br w:type="textWrapping"/>
            </w:r>
            <w:r>
              <w:rPr>
                <w:rStyle w:val="11"/>
                <w:rFonts w:hint="eastAsia"/>
              </w:rPr>
              <w:t>对眼睛有刺激性，使用时避免接触眼睛。 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12C3BF2F">
        <w:tblPrEx>
          <w:tblCellMar>
            <w:top w:w="0" w:type="dxa"/>
            <w:left w:w="0" w:type="dxa"/>
            <w:bottom w:w="0" w:type="dxa"/>
            <w:right w:w="0" w:type="dxa"/>
          </w:tblCellMar>
        </w:tblPrEx>
        <w:trPr>
          <w:wBefore w:w="0" w:type="auto"/>
          <w:tblCellSpacing w:w="0" w:type="dxa"/>
        </w:trPr>
        <w:tc>
          <w:tcPr>
            <w:tcW w:w="0" w:type="auto"/>
            <w:noWrap w:val="0"/>
            <w:vAlign w:val="center"/>
          </w:tcPr>
          <w:p w14:paraId="7AD14763">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本品应贮存在干燥、阴凉、通风、防雨处，远离火源或热源。置于儿童接触不到的地方，并加锁。不能与食品、饮料，饲料、粮食等混合储运。</w:t>
            </w:r>
          </w:p>
        </w:tc>
      </w:tr>
      <w:tr w14:paraId="0C26237B">
        <w:tblPrEx>
          <w:tblCellMar>
            <w:top w:w="0" w:type="dxa"/>
            <w:left w:w="0" w:type="dxa"/>
            <w:bottom w:w="0" w:type="dxa"/>
            <w:right w:w="0" w:type="dxa"/>
          </w:tblCellMar>
        </w:tblPrEx>
        <w:trPr>
          <w:wBefore w:w="0" w:type="auto"/>
          <w:tblCellSpacing w:w="0" w:type="dxa"/>
        </w:trPr>
        <w:tc>
          <w:tcPr>
            <w:tcW w:w="0" w:type="auto"/>
            <w:noWrap w:val="0"/>
            <w:vAlign w:val="center"/>
          </w:tcPr>
          <w:p w14:paraId="208CB9CD">
            <w:r>
              <w:rPr>
                <w:rStyle w:val="10"/>
                <w:rFonts w:hint="eastAsia"/>
              </w:rPr>
              <w:t>质量保证期：</w:t>
            </w:r>
            <w:r>
              <w:rPr>
                <w:rStyle w:val="11"/>
                <w:rFonts w:hint="eastAsia"/>
              </w:rPr>
              <w:t>2年</w:t>
            </w:r>
          </w:p>
        </w:tc>
      </w:tr>
      <w:tr w14:paraId="667DDC59">
        <w:tblPrEx>
          <w:tblCellMar>
            <w:top w:w="0" w:type="dxa"/>
            <w:left w:w="0" w:type="dxa"/>
            <w:bottom w:w="0" w:type="dxa"/>
            <w:right w:w="0" w:type="dxa"/>
          </w:tblCellMar>
        </w:tblPrEx>
        <w:trPr>
          <w:wBefore w:w="0" w:type="auto"/>
          <w:tblCellSpacing w:w="0" w:type="dxa"/>
        </w:trPr>
        <w:tc>
          <w:tcPr>
            <w:tcW w:w="0" w:type="auto"/>
            <w:noWrap w:val="0"/>
            <w:vAlign w:val="center"/>
          </w:tcPr>
          <w:p w14:paraId="745970A6">
            <w:r>
              <w:rPr>
                <w:rStyle w:val="10"/>
                <w:rFonts w:hint="eastAsia"/>
              </w:rPr>
              <w:t>备注：</w:t>
            </w:r>
          </w:p>
        </w:tc>
      </w:tr>
    </w:tbl>
    <w:p w14:paraId="7617E22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3B4C993">
        <w:tblPrEx>
          <w:tblCellMar>
            <w:top w:w="0" w:type="dxa"/>
            <w:left w:w="0" w:type="dxa"/>
            <w:bottom w:w="0" w:type="dxa"/>
            <w:right w:w="0" w:type="dxa"/>
          </w:tblCellMar>
        </w:tblPrEx>
        <w:trPr>
          <w:wBefore w:w="0" w:type="auto"/>
          <w:tblCellSpacing w:w="0" w:type="dxa"/>
        </w:trPr>
        <w:tc>
          <w:tcPr>
            <w:tcW w:w="0" w:type="auto"/>
            <w:noWrap w:val="0"/>
            <w:vAlign w:val="center"/>
          </w:tcPr>
          <w:p w14:paraId="731B7EB8">
            <w:r>
              <w:rPr>
                <w:rStyle w:val="10"/>
                <w:rFonts w:hint="eastAsia"/>
              </w:rPr>
              <w:t>登记证号：</w:t>
            </w:r>
            <w:r>
              <w:rPr>
                <w:rFonts w:hint="eastAsia"/>
              </w:rPr>
              <w:t>PD20211751</w:t>
            </w:r>
          </w:p>
        </w:tc>
      </w:tr>
      <w:tr w14:paraId="1921EEDF">
        <w:tblPrEx>
          <w:tblCellMar>
            <w:top w:w="0" w:type="dxa"/>
            <w:left w:w="0" w:type="dxa"/>
            <w:bottom w:w="0" w:type="dxa"/>
            <w:right w:w="0" w:type="dxa"/>
          </w:tblCellMar>
        </w:tblPrEx>
        <w:trPr>
          <w:wBefore w:w="0" w:type="auto"/>
          <w:tblCellSpacing w:w="0" w:type="dxa"/>
        </w:trPr>
        <w:tc>
          <w:tcPr>
            <w:tcW w:w="0" w:type="auto"/>
            <w:noWrap w:val="0"/>
            <w:vAlign w:val="center"/>
          </w:tcPr>
          <w:p w14:paraId="1149954A">
            <w:r>
              <w:rPr>
                <w:rStyle w:val="10"/>
                <w:rFonts w:hint="eastAsia"/>
              </w:rPr>
              <w:t>登记证持有人：</w:t>
            </w:r>
            <w:r>
              <w:rPr>
                <w:rFonts w:hint="eastAsia"/>
              </w:rPr>
              <w:t>山东曹达化工有限公司</w:t>
            </w:r>
          </w:p>
        </w:tc>
      </w:tr>
      <w:tr w14:paraId="423CD3A5">
        <w:tblPrEx>
          <w:tblCellMar>
            <w:top w:w="0" w:type="dxa"/>
            <w:left w:w="0" w:type="dxa"/>
            <w:bottom w:w="0" w:type="dxa"/>
            <w:right w:w="0" w:type="dxa"/>
          </w:tblCellMar>
        </w:tblPrEx>
        <w:trPr>
          <w:wBefore w:w="0" w:type="auto"/>
          <w:tblCellSpacing w:w="0" w:type="dxa"/>
        </w:trPr>
        <w:tc>
          <w:tcPr>
            <w:tcW w:w="0" w:type="auto"/>
            <w:noWrap w:val="0"/>
            <w:vAlign w:val="center"/>
          </w:tcPr>
          <w:p w14:paraId="44ACDDEB">
            <w:r>
              <w:rPr>
                <w:rStyle w:val="10"/>
                <w:rFonts w:hint="eastAsia"/>
              </w:rPr>
              <w:t>农药名称：</w:t>
            </w:r>
            <w:r>
              <w:rPr>
                <w:rFonts w:hint="eastAsia"/>
              </w:rPr>
              <w:t>吡蚜·呋虫胺</w:t>
            </w:r>
          </w:p>
        </w:tc>
      </w:tr>
      <w:tr w14:paraId="33C48F09">
        <w:tblPrEx>
          <w:tblCellMar>
            <w:top w:w="0" w:type="dxa"/>
            <w:left w:w="0" w:type="dxa"/>
            <w:bottom w:w="0" w:type="dxa"/>
            <w:right w:w="0" w:type="dxa"/>
          </w:tblCellMar>
        </w:tblPrEx>
        <w:trPr>
          <w:wBefore w:w="0" w:type="auto"/>
          <w:tblCellSpacing w:w="0" w:type="dxa"/>
        </w:trPr>
        <w:tc>
          <w:tcPr>
            <w:tcW w:w="0" w:type="auto"/>
            <w:noWrap w:val="0"/>
            <w:vAlign w:val="center"/>
          </w:tcPr>
          <w:p w14:paraId="40131CD3">
            <w:r>
              <w:rPr>
                <w:rStyle w:val="10"/>
                <w:rFonts w:hint="eastAsia"/>
              </w:rPr>
              <w:t>剂型：</w:t>
            </w:r>
            <w:r>
              <w:rPr>
                <w:rFonts w:hint="eastAsia"/>
              </w:rPr>
              <w:t>水分散粒剂</w:t>
            </w:r>
          </w:p>
        </w:tc>
      </w:tr>
      <w:tr w14:paraId="3691B63A">
        <w:tblPrEx>
          <w:tblCellMar>
            <w:top w:w="0" w:type="dxa"/>
            <w:left w:w="0" w:type="dxa"/>
            <w:bottom w:w="0" w:type="dxa"/>
            <w:right w:w="0" w:type="dxa"/>
          </w:tblCellMar>
        </w:tblPrEx>
        <w:trPr>
          <w:wBefore w:w="0" w:type="auto"/>
          <w:tblCellSpacing w:w="0" w:type="dxa"/>
        </w:trPr>
        <w:tc>
          <w:tcPr>
            <w:tcW w:w="0" w:type="auto"/>
            <w:noWrap w:val="0"/>
            <w:vAlign w:val="center"/>
          </w:tcPr>
          <w:p w14:paraId="62DE4A51">
            <w:r>
              <w:rPr>
                <w:rStyle w:val="10"/>
                <w:rFonts w:hint="eastAsia"/>
              </w:rPr>
              <w:t>毒性及其标识：</w:t>
            </w:r>
            <w:r>
              <w:rPr>
                <w:rFonts w:hint="eastAsia"/>
              </w:rPr>
              <w:t xml:space="preserve"> </w:t>
            </w:r>
            <w:r>
              <w:rPr>
                <w:lang/>
              </w:rPr>
              <w:drawing>
                <wp:inline distT="0" distB="0" distL="114300" distR="114300">
                  <wp:extent cx="476250" cy="323850"/>
                  <wp:effectExtent l="0" t="0" r="0" b="0"/>
                  <wp:docPr id="239" name="图片 23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B303322">
        <w:tblPrEx>
          <w:tblCellMar>
            <w:top w:w="0" w:type="dxa"/>
            <w:left w:w="0" w:type="dxa"/>
            <w:bottom w:w="0" w:type="dxa"/>
            <w:right w:w="0" w:type="dxa"/>
          </w:tblCellMar>
        </w:tblPrEx>
        <w:trPr>
          <w:wBefore w:w="0" w:type="auto"/>
          <w:tblCellSpacing w:w="0" w:type="dxa"/>
        </w:trPr>
        <w:tc>
          <w:tcPr>
            <w:tcW w:w="0" w:type="auto"/>
            <w:noWrap w:val="0"/>
            <w:vAlign w:val="center"/>
          </w:tcPr>
          <w:p w14:paraId="099EDCB4">
            <w:r>
              <w:rPr>
                <w:rStyle w:val="10"/>
                <w:rFonts w:hint="eastAsia"/>
              </w:rPr>
              <w:t>总有效成分含量：</w:t>
            </w:r>
            <w:r>
              <w:rPr>
                <w:rFonts w:hint="eastAsia"/>
              </w:rPr>
              <w:t>70%</w:t>
            </w:r>
          </w:p>
        </w:tc>
      </w:tr>
      <w:tr w14:paraId="00474A06">
        <w:tblPrEx>
          <w:tblCellMar>
            <w:top w:w="0" w:type="dxa"/>
            <w:left w:w="0" w:type="dxa"/>
            <w:bottom w:w="0" w:type="dxa"/>
            <w:right w:w="0" w:type="dxa"/>
          </w:tblCellMar>
        </w:tblPrEx>
        <w:trPr>
          <w:wBefore w:w="0" w:type="auto"/>
          <w:tblCellSpacing w:w="0" w:type="dxa"/>
        </w:trPr>
        <w:tc>
          <w:tcPr>
            <w:tcW w:w="0" w:type="auto"/>
            <w:noWrap w:val="0"/>
            <w:vAlign w:val="center"/>
          </w:tcPr>
          <w:p w14:paraId="5720FC60">
            <w:r>
              <w:rPr>
                <w:rFonts w:hint="eastAsia"/>
              </w:rPr>
              <w:t xml:space="preserve">有效成分及其含量： </w:t>
            </w:r>
          </w:p>
          <w:p w14:paraId="69748121">
            <w:r>
              <w:rPr>
                <w:rFonts w:hint="eastAsia"/>
              </w:rPr>
              <w:t xml:space="preserve">    呋虫胺20%    吡蚜酮50%    </w:t>
            </w:r>
          </w:p>
        </w:tc>
      </w:tr>
      <w:tr w14:paraId="7E3522BC">
        <w:tblPrEx>
          <w:tblCellMar>
            <w:top w:w="0" w:type="dxa"/>
            <w:left w:w="0" w:type="dxa"/>
            <w:bottom w:w="0" w:type="dxa"/>
            <w:right w:w="0" w:type="dxa"/>
          </w:tblCellMar>
        </w:tblPrEx>
        <w:trPr>
          <w:wBefore w:w="0" w:type="auto"/>
          <w:tblCellSpacing w:w="0" w:type="dxa"/>
        </w:trPr>
        <w:tc>
          <w:tcPr>
            <w:tcW w:w="0" w:type="auto"/>
            <w:noWrap w:val="0"/>
            <w:vAlign w:val="center"/>
          </w:tcPr>
          <w:p w14:paraId="11F77E3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83B0E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F3E047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A45EDF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C4D1B0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8D992DE">
                  <w:r>
                    <w:rPr>
                      <w:rStyle w:val="11"/>
                      <w:rFonts w:hint="eastAsia"/>
                    </w:rPr>
                    <w:t>施用方式</w:t>
                  </w:r>
                </w:p>
              </w:tc>
            </w:tr>
            <w:tr w14:paraId="045028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32B6E1">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8120E4">
                  <w:r>
                    <w:rPr>
                      <w:rStyle w:val="11"/>
                      <w:rFonts w:hint="eastAsia"/>
                    </w:rPr>
                    <w:t>稻飞虱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79697F">
                  <w:r>
                    <w:rPr>
                      <w:rStyle w:val="11"/>
                      <w:rFonts w:hint="eastAsia"/>
                    </w:rPr>
                    <w:t>8-12克/亩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D653C9">
                  <w:r>
                    <w:rPr>
                      <w:rStyle w:val="11"/>
                      <w:rFonts w:hint="eastAsia"/>
                    </w:rPr>
                    <w:t>喷雾</w:t>
                  </w:r>
                </w:p>
              </w:tc>
            </w:tr>
          </w:tbl>
          <w:p w14:paraId="15977F14">
            <w:pPr>
              <w:rPr>
                <w:rFonts w:ascii="Times New Roman" w:hAnsi="Times New Roman" w:cs="Times New Roman"/>
                <w:sz w:val="20"/>
                <w:szCs w:val="20"/>
              </w:rPr>
            </w:pPr>
          </w:p>
        </w:tc>
      </w:tr>
      <w:tr w14:paraId="0197A6AE">
        <w:tblPrEx>
          <w:tblCellMar>
            <w:top w:w="0" w:type="dxa"/>
            <w:left w:w="0" w:type="dxa"/>
            <w:bottom w:w="0" w:type="dxa"/>
            <w:right w:w="0" w:type="dxa"/>
          </w:tblCellMar>
        </w:tblPrEx>
        <w:trPr>
          <w:wBefore w:w="0" w:type="auto"/>
          <w:tblCellSpacing w:w="0" w:type="dxa"/>
        </w:trPr>
        <w:tc>
          <w:tcPr>
            <w:tcW w:w="0" w:type="auto"/>
            <w:noWrap w:val="0"/>
            <w:vAlign w:val="center"/>
          </w:tcPr>
          <w:p w14:paraId="7A8FBD6D">
            <w:r>
              <w:rPr>
                <w:rStyle w:val="10"/>
                <w:rFonts w:hint="eastAsia"/>
              </w:rPr>
              <w:t>使用技术要求:</w:t>
            </w:r>
            <w:r>
              <w:rPr>
                <w:rFonts w:hint="eastAsia"/>
              </w:rPr>
              <w:br w:type="textWrapping"/>
            </w:r>
            <w:r>
              <w:rPr>
                <w:rStyle w:val="11"/>
                <w:rFonts w:hint="eastAsia"/>
              </w:rPr>
              <w:t>1. 本品应于水稻稻飞虱卵孵盛期至若虫发生初期喷雾施药1次，喷雾施药，喷雾时应注意均匀、周到。 2. 大风天或预计1小时内降雨，请勿施药。3. 本品在水稻上的安全间隔期为14天，每季最多使用1次。</w:t>
            </w:r>
          </w:p>
        </w:tc>
      </w:tr>
      <w:tr w14:paraId="3459500F">
        <w:tblPrEx>
          <w:tblCellMar>
            <w:top w:w="0" w:type="dxa"/>
            <w:left w:w="0" w:type="dxa"/>
            <w:bottom w:w="0" w:type="dxa"/>
            <w:right w:w="0" w:type="dxa"/>
          </w:tblCellMar>
        </w:tblPrEx>
        <w:trPr>
          <w:wBefore w:w="0" w:type="auto"/>
          <w:tblCellSpacing w:w="0" w:type="dxa"/>
        </w:trPr>
        <w:tc>
          <w:tcPr>
            <w:tcW w:w="0" w:type="auto"/>
            <w:noWrap w:val="0"/>
            <w:vAlign w:val="center"/>
          </w:tcPr>
          <w:p w14:paraId="17C053BD">
            <w:r>
              <w:rPr>
                <w:rStyle w:val="10"/>
                <w:rFonts w:hint="eastAsia"/>
              </w:rPr>
              <w:t>产品性能:</w:t>
            </w:r>
            <w:r>
              <w:rPr>
                <w:rFonts w:hint="eastAsia"/>
              </w:rPr>
              <w:br w:type="textWrapping"/>
            </w:r>
            <w:r>
              <w:rPr>
                <w:rStyle w:val="11"/>
                <w:rFonts w:hint="eastAsia"/>
              </w:rPr>
              <w:t>本品由为吡蚜酮与呋虫胺混配而成的杀虫剂，吡蚜酮具有独特的口针阻塞效应，害虫一经取食迅速抑制进食；呋虫胺是烟碱类杀虫剂，通过作用于昆虫神经传递系统，影响昆虫中枢神经系统的突触，可以快速被植物吸收并广泛分布于作物体内，两者混配具有触杀、胃毒及内吸传导活性，可用于防治水稻稻飞虱。</w:t>
            </w:r>
          </w:p>
        </w:tc>
      </w:tr>
      <w:tr w14:paraId="4B728171">
        <w:tblPrEx>
          <w:tblCellMar>
            <w:top w:w="0" w:type="dxa"/>
            <w:left w:w="0" w:type="dxa"/>
            <w:bottom w:w="0" w:type="dxa"/>
            <w:right w:w="0" w:type="dxa"/>
          </w:tblCellMar>
        </w:tblPrEx>
        <w:trPr>
          <w:wBefore w:w="0" w:type="auto"/>
          <w:tblCellSpacing w:w="0" w:type="dxa"/>
        </w:trPr>
        <w:tc>
          <w:tcPr>
            <w:tcW w:w="0" w:type="auto"/>
            <w:noWrap w:val="0"/>
            <w:vAlign w:val="center"/>
          </w:tcPr>
          <w:p w14:paraId="0C1894E1">
            <w:r>
              <w:rPr>
                <w:rStyle w:val="10"/>
                <w:rFonts w:hint="eastAsia"/>
              </w:rPr>
              <w:t>注意事项：</w:t>
            </w:r>
            <w:r>
              <w:rPr>
                <w:rFonts w:hint="eastAsia"/>
              </w:rPr>
              <w:br w:type="textWrapping"/>
            </w:r>
            <w:r>
              <w:rPr>
                <w:rStyle w:val="11"/>
                <w:rFonts w:hint="eastAsia"/>
              </w:rPr>
              <w:t>1.本品对眼睛有刺激性，使用时避免接触眼睛，穿戴长衣、长裤、帽子、口罩、手套等防护措施，以避免污染皮肤和眼睛，施药完毕后及时换洗衣物，洗净手、脸和被污染的皮肤。2. 施药前、后要彻底清洗喷药器械，洗涤后的废水不应污染河流等水源，未用完的药液应密封后妥善放置。3. 用药后包装物及用过的容器应妥善处理，不可做他用，也不可随意丢弃。4. 使用时不得污染各类水域、土壤等环境。5. 本品对家蚕、非靶标生物、蜜蜂有影响。应远离水产养殖区、河塘等水体施药，禁止在河塘等水体中清洗施药器具，清洗器具的废水不能排入河流、池塘等水体。鱼或虾蟹套养稻田禁用。施药后的田水不得直接排入水体。蚕室及桑园附近禁用；瓢虫等天敌放飞区禁止使用；周围植物花期禁用。6. 孕妇及哺乳期妇女禁止接触。7. 为避免产生抗药性，建议与其它作用机理不同的杀虫剂轮换或交替使用。</w:t>
            </w:r>
          </w:p>
        </w:tc>
      </w:tr>
      <w:tr w14:paraId="1A1B3200">
        <w:tblPrEx>
          <w:tblCellMar>
            <w:top w:w="0" w:type="dxa"/>
            <w:left w:w="0" w:type="dxa"/>
            <w:bottom w:w="0" w:type="dxa"/>
            <w:right w:w="0" w:type="dxa"/>
          </w:tblCellMar>
        </w:tblPrEx>
        <w:trPr>
          <w:wBefore w:w="0" w:type="auto"/>
          <w:tblCellSpacing w:w="0" w:type="dxa"/>
        </w:trPr>
        <w:tc>
          <w:tcPr>
            <w:tcW w:w="0" w:type="auto"/>
            <w:noWrap w:val="0"/>
            <w:vAlign w:val="center"/>
          </w:tcPr>
          <w:p w14:paraId="13265D96">
            <w:r>
              <w:rPr>
                <w:rStyle w:val="10"/>
                <w:rFonts w:hint="eastAsia"/>
              </w:rPr>
              <w:t>中毒急救措施：</w:t>
            </w:r>
            <w:r>
              <w:rPr>
                <w:rFonts w:hint="eastAsia"/>
              </w:rPr>
              <w:br w:type="textWrapping"/>
            </w:r>
            <w:r>
              <w:rPr>
                <w:rStyle w:val="11"/>
                <w:rFonts w:hint="eastAsia"/>
              </w:rPr>
              <w:t>如接触皮肤，用肥皂和大量清水彻底清洗受污的皮肤；如溅及眼睛，用大量流动清水冲洗眼睛至少15分钟；严重者送医就诊；如不慎吸入，应将病人移至空气流通处，请医生诊治；如误服，不得催吐，立即携带标签，送医就诊，无专用解毒剂，对症治疗</w:t>
            </w:r>
          </w:p>
        </w:tc>
      </w:tr>
      <w:tr w14:paraId="5C36ACE0">
        <w:tblPrEx>
          <w:tblCellMar>
            <w:top w:w="0" w:type="dxa"/>
            <w:left w:w="0" w:type="dxa"/>
            <w:bottom w:w="0" w:type="dxa"/>
            <w:right w:w="0" w:type="dxa"/>
          </w:tblCellMar>
        </w:tblPrEx>
        <w:trPr>
          <w:wBefore w:w="0" w:type="auto"/>
          <w:tblCellSpacing w:w="0" w:type="dxa"/>
        </w:trPr>
        <w:tc>
          <w:tcPr>
            <w:tcW w:w="0" w:type="auto"/>
            <w:noWrap w:val="0"/>
            <w:vAlign w:val="center"/>
          </w:tcPr>
          <w:p w14:paraId="70770492">
            <w:r>
              <w:rPr>
                <w:rStyle w:val="10"/>
                <w:rFonts w:hint="eastAsia"/>
              </w:rPr>
              <w:t>储存和运输方法：</w:t>
            </w:r>
            <w:r>
              <w:rPr>
                <w:rFonts w:hint="eastAsia"/>
              </w:rPr>
              <w:br w:type="textWrapping"/>
            </w:r>
            <w:r>
              <w:rPr>
                <w:rStyle w:val="11"/>
                <w:rFonts w:hint="eastAsia"/>
              </w:rPr>
              <w:t>本品应贮存在阴凉、干燥、通风、防雨处，远离火源和热源。置于儿童触及不到之处，并加锁保存。勿与食品、饮料、粮食、饲料等物品同贮同运。</w:t>
            </w:r>
          </w:p>
        </w:tc>
      </w:tr>
      <w:tr w14:paraId="4E5A41BB">
        <w:tblPrEx>
          <w:tblCellMar>
            <w:top w:w="0" w:type="dxa"/>
            <w:left w:w="0" w:type="dxa"/>
            <w:bottom w:w="0" w:type="dxa"/>
            <w:right w:w="0" w:type="dxa"/>
          </w:tblCellMar>
        </w:tblPrEx>
        <w:trPr>
          <w:wBefore w:w="0" w:type="auto"/>
          <w:tblCellSpacing w:w="0" w:type="dxa"/>
        </w:trPr>
        <w:tc>
          <w:tcPr>
            <w:tcW w:w="0" w:type="auto"/>
            <w:noWrap w:val="0"/>
            <w:vAlign w:val="center"/>
          </w:tcPr>
          <w:p w14:paraId="53C97BC0">
            <w:r>
              <w:rPr>
                <w:rStyle w:val="10"/>
                <w:rFonts w:hint="eastAsia"/>
              </w:rPr>
              <w:t>质量保证期：</w:t>
            </w:r>
            <w:r>
              <w:rPr>
                <w:rStyle w:val="11"/>
                <w:rFonts w:hint="eastAsia"/>
              </w:rPr>
              <w:t>2年</w:t>
            </w:r>
          </w:p>
        </w:tc>
      </w:tr>
      <w:tr w14:paraId="358CF300">
        <w:tblPrEx>
          <w:tblCellMar>
            <w:top w:w="0" w:type="dxa"/>
            <w:left w:w="0" w:type="dxa"/>
            <w:bottom w:w="0" w:type="dxa"/>
            <w:right w:w="0" w:type="dxa"/>
          </w:tblCellMar>
        </w:tblPrEx>
        <w:trPr>
          <w:wBefore w:w="0" w:type="auto"/>
          <w:tblCellSpacing w:w="0" w:type="dxa"/>
        </w:trPr>
        <w:tc>
          <w:tcPr>
            <w:tcW w:w="0" w:type="auto"/>
            <w:noWrap w:val="0"/>
            <w:vAlign w:val="center"/>
          </w:tcPr>
          <w:p w14:paraId="75A2D171">
            <w:r>
              <w:rPr>
                <w:rStyle w:val="10"/>
                <w:rFonts w:hint="eastAsia"/>
              </w:rPr>
              <w:t>备注：</w:t>
            </w:r>
          </w:p>
        </w:tc>
      </w:tr>
    </w:tbl>
    <w:p w14:paraId="072FE8C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8DEF32A">
        <w:tblPrEx>
          <w:tblCellMar>
            <w:top w:w="0" w:type="dxa"/>
            <w:left w:w="0" w:type="dxa"/>
            <w:bottom w:w="0" w:type="dxa"/>
            <w:right w:w="0" w:type="dxa"/>
          </w:tblCellMar>
        </w:tblPrEx>
        <w:trPr>
          <w:wBefore w:w="0" w:type="auto"/>
          <w:tblCellSpacing w:w="0" w:type="dxa"/>
        </w:trPr>
        <w:tc>
          <w:tcPr>
            <w:tcW w:w="0" w:type="auto"/>
            <w:noWrap w:val="0"/>
            <w:vAlign w:val="center"/>
          </w:tcPr>
          <w:p w14:paraId="601501FE">
            <w:r>
              <w:rPr>
                <w:rStyle w:val="10"/>
                <w:rFonts w:hint="eastAsia"/>
              </w:rPr>
              <w:t>登记证号：</w:t>
            </w:r>
            <w:r>
              <w:rPr>
                <w:rFonts w:hint="eastAsia"/>
              </w:rPr>
              <w:t>PD20212286</w:t>
            </w:r>
          </w:p>
        </w:tc>
      </w:tr>
      <w:tr w14:paraId="69C63C84">
        <w:tblPrEx>
          <w:tblCellMar>
            <w:top w:w="0" w:type="dxa"/>
            <w:left w:w="0" w:type="dxa"/>
            <w:bottom w:w="0" w:type="dxa"/>
            <w:right w:w="0" w:type="dxa"/>
          </w:tblCellMar>
        </w:tblPrEx>
        <w:trPr>
          <w:wBefore w:w="0" w:type="auto"/>
          <w:tblCellSpacing w:w="0" w:type="dxa"/>
        </w:trPr>
        <w:tc>
          <w:tcPr>
            <w:tcW w:w="0" w:type="auto"/>
            <w:noWrap w:val="0"/>
            <w:vAlign w:val="center"/>
          </w:tcPr>
          <w:p w14:paraId="6E22AF64">
            <w:r>
              <w:rPr>
                <w:rStyle w:val="10"/>
                <w:rFonts w:hint="eastAsia"/>
              </w:rPr>
              <w:t>登记证持有人：</w:t>
            </w:r>
            <w:r>
              <w:rPr>
                <w:rFonts w:hint="eastAsia"/>
              </w:rPr>
              <w:t>衡水恒伟化工有限公司</w:t>
            </w:r>
          </w:p>
        </w:tc>
      </w:tr>
      <w:tr w14:paraId="212F09B6">
        <w:tblPrEx>
          <w:tblCellMar>
            <w:top w:w="0" w:type="dxa"/>
            <w:left w:w="0" w:type="dxa"/>
            <w:bottom w:w="0" w:type="dxa"/>
            <w:right w:w="0" w:type="dxa"/>
          </w:tblCellMar>
        </w:tblPrEx>
        <w:trPr>
          <w:wBefore w:w="0" w:type="auto"/>
          <w:tblCellSpacing w:w="0" w:type="dxa"/>
        </w:trPr>
        <w:tc>
          <w:tcPr>
            <w:tcW w:w="0" w:type="auto"/>
            <w:noWrap w:val="0"/>
            <w:vAlign w:val="center"/>
          </w:tcPr>
          <w:p w14:paraId="69DC53B4">
            <w:r>
              <w:rPr>
                <w:rStyle w:val="10"/>
                <w:rFonts w:hint="eastAsia"/>
              </w:rPr>
              <w:t>农药名称：</w:t>
            </w:r>
            <w:r>
              <w:rPr>
                <w:rFonts w:hint="eastAsia"/>
              </w:rPr>
              <w:t>草铵膦</w:t>
            </w:r>
          </w:p>
        </w:tc>
      </w:tr>
      <w:tr w14:paraId="598C529D">
        <w:tblPrEx>
          <w:tblCellMar>
            <w:top w:w="0" w:type="dxa"/>
            <w:left w:w="0" w:type="dxa"/>
            <w:bottom w:w="0" w:type="dxa"/>
            <w:right w:w="0" w:type="dxa"/>
          </w:tblCellMar>
        </w:tblPrEx>
        <w:trPr>
          <w:wBefore w:w="0" w:type="auto"/>
          <w:tblCellSpacing w:w="0" w:type="dxa"/>
        </w:trPr>
        <w:tc>
          <w:tcPr>
            <w:tcW w:w="0" w:type="auto"/>
            <w:noWrap w:val="0"/>
            <w:vAlign w:val="center"/>
          </w:tcPr>
          <w:p w14:paraId="349957E9">
            <w:r>
              <w:rPr>
                <w:rStyle w:val="10"/>
                <w:rFonts w:hint="eastAsia"/>
              </w:rPr>
              <w:t>剂型：</w:t>
            </w:r>
            <w:r>
              <w:rPr>
                <w:rFonts w:hint="eastAsia"/>
              </w:rPr>
              <w:t>可溶粒剂</w:t>
            </w:r>
          </w:p>
        </w:tc>
      </w:tr>
      <w:tr w14:paraId="1CE8551C">
        <w:tblPrEx>
          <w:tblCellMar>
            <w:top w:w="0" w:type="dxa"/>
            <w:left w:w="0" w:type="dxa"/>
            <w:bottom w:w="0" w:type="dxa"/>
            <w:right w:w="0" w:type="dxa"/>
          </w:tblCellMar>
        </w:tblPrEx>
        <w:trPr>
          <w:wBefore w:w="0" w:type="auto"/>
          <w:tblCellSpacing w:w="0" w:type="dxa"/>
        </w:trPr>
        <w:tc>
          <w:tcPr>
            <w:tcW w:w="0" w:type="auto"/>
            <w:noWrap w:val="0"/>
            <w:vAlign w:val="center"/>
          </w:tcPr>
          <w:p w14:paraId="7DE7429A">
            <w:r>
              <w:rPr>
                <w:rStyle w:val="10"/>
                <w:rFonts w:hint="eastAsia"/>
              </w:rPr>
              <w:t>毒性及其标识：</w:t>
            </w:r>
            <w:r>
              <w:rPr>
                <w:rFonts w:hint="eastAsia"/>
              </w:rPr>
              <w:t xml:space="preserve"> </w:t>
            </w:r>
            <w:r>
              <w:rPr>
                <w:lang/>
              </w:rPr>
              <w:drawing>
                <wp:inline distT="0" distB="0" distL="114300" distR="114300">
                  <wp:extent cx="476250" cy="323850"/>
                  <wp:effectExtent l="0" t="0" r="0" b="0"/>
                  <wp:docPr id="240" name="图片 24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A5C3CE2">
        <w:tblPrEx>
          <w:tblCellMar>
            <w:top w:w="0" w:type="dxa"/>
            <w:left w:w="0" w:type="dxa"/>
            <w:bottom w:w="0" w:type="dxa"/>
            <w:right w:w="0" w:type="dxa"/>
          </w:tblCellMar>
        </w:tblPrEx>
        <w:trPr>
          <w:wBefore w:w="0" w:type="auto"/>
          <w:tblCellSpacing w:w="0" w:type="dxa"/>
        </w:trPr>
        <w:tc>
          <w:tcPr>
            <w:tcW w:w="0" w:type="auto"/>
            <w:noWrap w:val="0"/>
            <w:vAlign w:val="center"/>
          </w:tcPr>
          <w:p w14:paraId="5C7A4565">
            <w:r>
              <w:rPr>
                <w:rStyle w:val="10"/>
                <w:rFonts w:hint="eastAsia"/>
              </w:rPr>
              <w:t>总有效成分含量：</w:t>
            </w:r>
            <w:r>
              <w:rPr>
                <w:rFonts w:hint="eastAsia"/>
              </w:rPr>
              <w:t>80%</w:t>
            </w:r>
          </w:p>
        </w:tc>
      </w:tr>
      <w:tr w14:paraId="2F8BB150">
        <w:tblPrEx>
          <w:tblCellMar>
            <w:top w:w="0" w:type="dxa"/>
            <w:left w:w="0" w:type="dxa"/>
            <w:bottom w:w="0" w:type="dxa"/>
            <w:right w:w="0" w:type="dxa"/>
          </w:tblCellMar>
        </w:tblPrEx>
        <w:trPr>
          <w:wBefore w:w="0" w:type="auto"/>
          <w:tblCellSpacing w:w="0" w:type="dxa"/>
        </w:trPr>
        <w:tc>
          <w:tcPr>
            <w:tcW w:w="0" w:type="auto"/>
            <w:noWrap w:val="0"/>
            <w:vAlign w:val="center"/>
          </w:tcPr>
          <w:p w14:paraId="2D426EA3">
            <w:r>
              <w:rPr>
                <w:rFonts w:hint="eastAsia"/>
              </w:rPr>
              <w:t xml:space="preserve">有效成分及其含量： </w:t>
            </w:r>
          </w:p>
          <w:p w14:paraId="312C308C">
            <w:r>
              <w:rPr>
                <w:rFonts w:hint="eastAsia"/>
              </w:rPr>
              <w:t xml:space="preserve">    草铵膦80%    </w:t>
            </w:r>
          </w:p>
        </w:tc>
      </w:tr>
      <w:tr w14:paraId="6BFFA6A8">
        <w:tblPrEx>
          <w:tblCellMar>
            <w:top w:w="0" w:type="dxa"/>
            <w:left w:w="0" w:type="dxa"/>
            <w:bottom w:w="0" w:type="dxa"/>
            <w:right w:w="0" w:type="dxa"/>
          </w:tblCellMar>
        </w:tblPrEx>
        <w:trPr>
          <w:wBefore w:w="0" w:type="auto"/>
          <w:tblCellSpacing w:w="0" w:type="dxa"/>
        </w:trPr>
        <w:tc>
          <w:tcPr>
            <w:tcW w:w="0" w:type="auto"/>
            <w:noWrap w:val="0"/>
            <w:vAlign w:val="center"/>
          </w:tcPr>
          <w:p w14:paraId="2A567A4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66599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EA8555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82354E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324C7F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CEBEE73">
                  <w:r>
                    <w:rPr>
                      <w:rStyle w:val="11"/>
                      <w:rFonts w:hint="eastAsia"/>
                    </w:rPr>
                    <w:t>施用方式</w:t>
                  </w:r>
                </w:p>
              </w:tc>
            </w:tr>
            <w:tr w14:paraId="1A1DE5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DC0E425">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FF2D9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152BC8">
                  <w:r>
                    <w:rPr>
                      <w:rStyle w:val="11"/>
                      <w:rFonts w:hint="eastAsia"/>
                    </w:rPr>
                    <w:t>50-100克/亩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355070">
                  <w:r>
                    <w:rPr>
                      <w:rStyle w:val="11"/>
                      <w:rFonts w:hint="eastAsia"/>
                    </w:rPr>
                    <w:t>茎叶喷雾</w:t>
                  </w:r>
                </w:p>
              </w:tc>
            </w:tr>
          </w:tbl>
          <w:p w14:paraId="355E14C0">
            <w:pPr>
              <w:rPr>
                <w:rFonts w:ascii="Times New Roman" w:hAnsi="Times New Roman" w:cs="Times New Roman"/>
                <w:sz w:val="20"/>
                <w:szCs w:val="20"/>
              </w:rPr>
            </w:pPr>
          </w:p>
        </w:tc>
      </w:tr>
      <w:tr w14:paraId="1CA65A6E">
        <w:tblPrEx>
          <w:tblCellMar>
            <w:top w:w="0" w:type="dxa"/>
            <w:left w:w="0" w:type="dxa"/>
            <w:bottom w:w="0" w:type="dxa"/>
            <w:right w:w="0" w:type="dxa"/>
          </w:tblCellMar>
        </w:tblPrEx>
        <w:trPr>
          <w:wBefore w:w="0" w:type="auto"/>
          <w:tblCellSpacing w:w="0" w:type="dxa"/>
        </w:trPr>
        <w:tc>
          <w:tcPr>
            <w:tcW w:w="0" w:type="auto"/>
            <w:noWrap w:val="0"/>
            <w:vAlign w:val="center"/>
          </w:tcPr>
          <w:p w14:paraId="7F324D32">
            <w:r>
              <w:rPr>
                <w:rStyle w:val="10"/>
                <w:rFonts w:hint="eastAsia"/>
              </w:rPr>
              <w:t>使用技术要求:</w:t>
            </w:r>
            <w:r>
              <w:rPr>
                <w:rFonts w:hint="eastAsia"/>
              </w:rPr>
              <w:br w:type="textWrapping"/>
            </w:r>
            <w:r>
              <w:rPr>
                <w:rStyle w:val="11"/>
                <w:rFonts w:hint="eastAsia"/>
              </w:rPr>
              <w:t>1. 于非耕地杂草旺盛生长期茎叶喷雾施药一次， 若杂草数量大且草龄较大，应选用高剂量。 2. 大风天或预计6小时内降雨，请勿施药。3. 每季作物使用1次。禁止在田间道路、田埂、果树行间、休耕地、林场地等农林区域使用。</w:t>
            </w:r>
          </w:p>
        </w:tc>
      </w:tr>
      <w:tr w14:paraId="417768B5">
        <w:tblPrEx>
          <w:tblCellMar>
            <w:top w:w="0" w:type="dxa"/>
            <w:left w:w="0" w:type="dxa"/>
            <w:bottom w:w="0" w:type="dxa"/>
            <w:right w:w="0" w:type="dxa"/>
          </w:tblCellMar>
        </w:tblPrEx>
        <w:trPr>
          <w:wBefore w:w="0" w:type="auto"/>
          <w:tblCellSpacing w:w="0" w:type="dxa"/>
        </w:trPr>
        <w:tc>
          <w:tcPr>
            <w:tcW w:w="0" w:type="auto"/>
            <w:noWrap w:val="0"/>
            <w:vAlign w:val="center"/>
          </w:tcPr>
          <w:p w14:paraId="7EDC8B80">
            <w:r>
              <w:rPr>
                <w:rStyle w:val="10"/>
                <w:rFonts w:hint="eastAsia"/>
              </w:rPr>
              <w:t>产品性能:</w:t>
            </w:r>
            <w:r>
              <w:rPr>
                <w:rFonts w:hint="eastAsia"/>
              </w:rPr>
              <w:br w:type="textWrapping"/>
            </w:r>
            <w:r>
              <w:rPr>
                <w:rStyle w:val="11"/>
                <w:rFonts w:hint="eastAsia"/>
              </w:rPr>
              <w:t>本剂为非选择性触杀型杂草茎叶处理除草剂，是膦酸类拟天然化感物仿生物源除草剂。具有杀草谱广、杀草速度快、持效期长、耐雨水冲刷等特点。</w:t>
            </w:r>
          </w:p>
        </w:tc>
      </w:tr>
      <w:tr w14:paraId="4EEA9857">
        <w:tblPrEx>
          <w:tblCellMar>
            <w:top w:w="0" w:type="dxa"/>
            <w:left w:w="0" w:type="dxa"/>
            <w:bottom w:w="0" w:type="dxa"/>
            <w:right w:w="0" w:type="dxa"/>
          </w:tblCellMar>
        </w:tblPrEx>
        <w:trPr>
          <w:wBefore w:w="0" w:type="auto"/>
          <w:tblCellSpacing w:w="0" w:type="dxa"/>
        </w:trPr>
        <w:tc>
          <w:tcPr>
            <w:tcW w:w="0" w:type="auto"/>
            <w:noWrap w:val="0"/>
            <w:vAlign w:val="center"/>
          </w:tcPr>
          <w:p w14:paraId="3547528C">
            <w:r>
              <w:rPr>
                <w:rStyle w:val="10"/>
                <w:rFonts w:hint="eastAsia"/>
              </w:rPr>
              <w:t>注意事项：</w:t>
            </w:r>
            <w:r>
              <w:rPr>
                <w:rFonts w:hint="eastAsia"/>
              </w:rPr>
              <w:br w:type="textWrapping"/>
            </w:r>
            <w:r>
              <w:rPr>
                <w:rStyle w:val="11"/>
                <w:rFonts w:hint="eastAsia"/>
              </w:rPr>
              <w:t>1. 本品为非选择性触杀型除草剂，施药时避免药液飘移到邻近的作物田。农药施用人员严格按照施药量、施药次数及施药间隔进行施药，或在专业植保人员的指导下施药，不能随意增加施药量、施药次数或缩短施药间隔。 2. 干旱及杂草密度、蒸发量和喷头流量较大或防除大龄杂草及多年生恶性 杂草时，采用较高的推荐制剂用量和对水量。 3. 避免在连续霜冻和严重干旱时施用，以免药效减低。施用后6小时后下 雨不影响药效。 4.本品对眼睛有刺激性，使用时避免接触眼睛，穿戴长衣、长裤、帽子、口罩、手套等防护措施。避免药液接触眼睛、粘膜和伤口，操作本品时禁止饮食、 吸烟和饮水。施药后应及时用肥皂和足量清水冲洗手部、面部和其它身 体裸露部位以及受药剂污染的衣物等。 5. 配药时，用清水对盛过药剂的包装瓶冲洗3次，并将冲洗液倒入喷雾器 中。用过的空包装应压烂或划破后妥善处理，切勿重复使用或它用； 使用后的施药器具应及时清洗，但禁止在河塘等水体中清洗施药器具， 使用本品时避免其污染地表水等生态环境。蚕室及桑园附近禁用。6. 用过的容器应妥善处理，不可做他用，也不可随意丢弃。 7. 孕妇及哺乳期妇女避免接触本品。</w:t>
            </w:r>
          </w:p>
        </w:tc>
      </w:tr>
      <w:tr w14:paraId="2C1E2FC3">
        <w:tblPrEx>
          <w:tblCellMar>
            <w:top w:w="0" w:type="dxa"/>
            <w:left w:w="0" w:type="dxa"/>
            <w:bottom w:w="0" w:type="dxa"/>
            <w:right w:w="0" w:type="dxa"/>
          </w:tblCellMar>
        </w:tblPrEx>
        <w:trPr>
          <w:wBefore w:w="0" w:type="auto"/>
          <w:tblCellSpacing w:w="0" w:type="dxa"/>
        </w:trPr>
        <w:tc>
          <w:tcPr>
            <w:tcW w:w="0" w:type="auto"/>
            <w:noWrap w:val="0"/>
            <w:vAlign w:val="center"/>
          </w:tcPr>
          <w:p w14:paraId="4C375B77">
            <w:r>
              <w:rPr>
                <w:rStyle w:val="10"/>
                <w:rFonts w:hint="eastAsia"/>
              </w:rPr>
              <w:t>中毒急救措施：</w:t>
            </w:r>
            <w:r>
              <w:rPr>
                <w:rFonts w:hint="eastAsia"/>
              </w:rPr>
              <w:br w:type="textWrapping"/>
            </w:r>
            <w:r>
              <w:rPr>
                <w:rStyle w:val="11"/>
                <w:rFonts w:hint="eastAsia"/>
              </w:rPr>
              <w:t>中毒症状：本品对皮肤和眼睛有刺激作用。如不慎接触皮肤，应立即用大 量清水冲洗；若溅到眼睛中，立即用大量清水冲洗至少15分钟，严重时就医；不慎吸入，应将病人立即移至空气清新处；如不慎误服，立即引吐， 并携本标签及时把病人送往医院对症治疗。本品无特效解毒剂。</w:t>
            </w:r>
          </w:p>
        </w:tc>
      </w:tr>
      <w:tr w14:paraId="0FE3263D">
        <w:tblPrEx>
          <w:tblCellMar>
            <w:top w:w="0" w:type="dxa"/>
            <w:left w:w="0" w:type="dxa"/>
            <w:bottom w:w="0" w:type="dxa"/>
            <w:right w:w="0" w:type="dxa"/>
          </w:tblCellMar>
        </w:tblPrEx>
        <w:trPr>
          <w:wBefore w:w="0" w:type="auto"/>
          <w:tblCellSpacing w:w="0" w:type="dxa"/>
        </w:trPr>
        <w:tc>
          <w:tcPr>
            <w:tcW w:w="0" w:type="auto"/>
            <w:noWrap w:val="0"/>
            <w:vAlign w:val="center"/>
          </w:tcPr>
          <w:p w14:paraId="2637065C">
            <w:r>
              <w:rPr>
                <w:rStyle w:val="10"/>
                <w:rFonts w:hint="eastAsia"/>
              </w:rPr>
              <w:t>储存和运输方法：</w:t>
            </w:r>
            <w:r>
              <w:rPr>
                <w:rFonts w:hint="eastAsia"/>
              </w:rPr>
              <w:br w:type="textWrapping"/>
            </w:r>
            <w:r>
              <w:rPr>
                <w:rStyle w:val="11"/>
                <w:rFonts w:hint="eastAsia"/>
              </w:rPr>
              <w:t>1.本品应贮存在干燥、阴凉、通风、防雨处,防太阳直射。保持容器密封。 2. 置于儿童、无关人员触及不到之处，远离火源和热源，加锁贮存，不能与食品，饮料、粮食、饲料等同时贮存和运输。 3. 储存温度宜在0-30℃，最高50℃。运输时轻搬轻放。</w:t>
            </w:r>
          </w:p>
        </w:tc>
      </w:tr>
      <w:tr w14:paraId="3F18C79B">
        <w:tblPrEx>
          <w:tblCellMar>
            <w:top w:w="0" w:type="dxa"/>
            <w:left w:w="0" w:type="dxa"/>
            <w:bottom w:w="0" w:type="dxa"/>
            <w:right w:w="0" w:type="dxa"/>
          </w:tblCellMar>
        </w:tblPrEx>
        <w:trPr>
          <w:wBefore w:w="0" w:type="auto"/>
          <w:tblCellSpacing w:w="0" w:type="dxa"/>
        </w:trPr>
        <w:tc>
          <w:tcPr>
            <w:tcW w:w="0" w:type="auto"/>
            <w:noWrap w:val="0"/>
            <w:vAlign w:val="center"/>
          </w:tcPr>
          <w:p w14:paraId="54D3E974">
            <w:r>
              <w:rPr>
                <w:rStyle w:val="10"/>
                <w:rFonts w:hint="eastAsia"/>
              </w:rPr>
              <w:t>质量保证期：</w:t>
            </w:r>
            <w:r>
              <w:rPr>
                <w:rStyle w:val="11"/>
                <w:rFonts w:hint="eastAsia"/>
              </w:rPr>
              <w:t>2年</w:t>
            </w:r>
          </w:p>
        </w:tc>
      </w:tr>
      <w:tr w14:paraId="3C08A352">
        <w:tblPrEx>
          <w:tblCellMar>
            <w:top w:w="0" w:type="dxa"/>
            <w:left w:w="0" w:type="dxa"/>
            <w:bottom w:w="0" w:type="dxa"/>
            <w:right w:w="0" w:type="dxa"/>
          </w:tblCellMar>
        </w:tblPrEx>
        <w:trPr>
          <w:wBefore w:w="0" w:type="auto"/>
          <w:tblCellSpacing w:w="0" w:type="dxa"/>
        </w:trPr>
        <w:tc>
          <w:tcPr>
            <w:tcW w:w="0" w:type="auto"/>
            <w:noWrap w:val="0"/>
            <w:vAlign w:val="center"/>
          </w:tcPr>
          <w:p w14:paraId="3FD4B5A5">
            <w:r>
              <w:rPr>
                <w:rStyle w:val="10"/>
                <w:rFonts w:hint="eastAsia"/>
              </w:rPr>
              <w:t>备注：</w:t>
            </w:r>
          </w:p>
        </w:tc>
      </w:tr>
    </w:tbl>
    <w:p w14:paraId="2728AB1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377E985">
        <w:tblPrEx>
          <w:tblCellMar>
            <w:top w:w="0" w:type="dxa"/>
            <w:left w:w="0" w:type="dxa"/>
            <w:bottom w:w="0" w:type="dxa"/>
            <w:right w:w="0" w:type="dxa"/>
          </w:tblCellMar>
        </w:tblPrEx>
        <w:trPr>
          <w:wBefore w:w="0" w:type="auto"/>
          <w:tblCellSpacing w:w="0" w:type="dxa"/>
        </w:trPr>
        <w:tc>
          <w:tcPr>
            <w:tcW w:w="0" w:type="auto"/>
            <w:noWrap w:val="0"/>
            <w:vAlign w:val="center"/>
          </w:tcPr>
          <w:p w14:paraId="1603EB41">
            <w:r>
              <w:rPr>
                <w:rStyle w:val="10"/>
                <w:rFonts w:hint="eastAsia"/>
              </w:rPr>
              <w:t>登记证号：</w:t>
            </w:r>
            <w:r>
              <w:rPr>
                <w:rFonts w:hint="eastAsia"/>
              </w:rPr>
              <w:t>PD20211791</w:t>
            </w:r>
          </w:p>
        </w:tc>
      </w:tr>
      <w:tr w14:paraId="0FFEBCC9">
        <w:tblPrEx>
          <w:tblCellMar>
            <w:top w:w="0" w:type="dxa"/>
            <w:left w:w="0" w:type="dxa"/>
            <w:bottom w:w="0" w:type="dxa"/>
            <w:right w:w="0" w:type="dxa"/>
          </w:tblCellMar>
        </w:tblPrEx>
        <w:trPr>
          <w:wBefore w:w="0" w:type="auto"/>
          <w:tblCellSpacing w:w="0" w:type="dxa"/>
        </w:trPr>
        <w:tc>
          <w:tcPr>
            <w:tcW w:w="0" w:type="auto"/>
            <w:noWrap w:val="0"/>
            <w:vAlign w:val="center"/>
          </w:tcPr>
          <w:p w14:paraId="3CA6B709">
            <w:r>
              <w:rPr>
                <w:rStyle w:val="10"/>
                <w:rFonts w:hint="eastAsia"/>
              </w:rPr>
              <w:t>登记证持有人：</w:t>
            </w:r>
            <w:r>
              <w:rPr>
                <w:rFonts w:hint="eastAsia"/>
              </w:rPr>
              <w:t>菏泽龙歌植保技术有限公司</w:t>
            </w:r>
          </w:p>
        </w:tc>
      </w:tr>
      <w:tr w14:paraId="3C48D08B">
        <w:tblPrEx>
          <w:tblCellMar>
            <w:top w:w="0" w:type="dxa"/>
            <w:left w:w="0" w:type="dxa"/>
            <w:bottom w:w="0" w:type="dxa"/>
            <w:right w:w="0" w:type="dxa"/>
          </w:tblCellMar>
        </w:tblPrEx>
        <w:trPr>
          <w:wBefore w:w="0" w:type="auto"/>
          <w:tblCellSpacing w:w="0" w:type="dxa"/>
        </w:trPr>
        <w:tc>
          <w:tcPr>
            <w:tcW w:w="0" w:type="auto"/>
            <w:noWrap w:val="0"/>
            <w:vAlign w:val="center"/>
          </w:tcPr>
          <w:p w14:paraId="43CFBC20">
            <w:r>
              <w:rPr>
                <w:rStyle w:val="10"/>
                <w:rFonts w:hint="eastAsia"/>
              </w:rPr>
              <w:t>农药名称：</w:t>
            </w:r>
            <w:r>
              <w:rPr>
                <w:rFonts w:hint="eastAsia"/>
              </w:rPr>
              <w:t>啶虫脒·哒螨灵</w:t>
            </w:r>
          </w:p>
        </w:tc>
      </w:tr>
      <w:tr w14:paraId="21BFBA1B">
        <w:tblPrEx>
          <w:tblCellMar>
            <w:top w:w="0" w:type="dxa"/>
            <w:left w:w="0" w:type="dxa"/>
            <w:bottom w:w="0" w:type="dxa"/>
            <w:right w:w="0" w:type="dxa"/>
          </w:tblCellMar>
        </w:tblPrEx>
        <w:trPr>
          <w:wBefore w:w="0" w:type="auto"/>
          <w:tblCellSpacing w:w="0" w:type="dxa"/>
        </w:trPr>
        <w:tc>
          <w:tcPr>
            <w:tcW w:w="0" w:type="auto"/>
            <w:noWrap w:val="0"/>
            <w:vAlign w:val="center"/>
          </w:tcPr>
          <w:p w14:paraId="26A9E130">
            <w:r>
              <w:rPr>
                <w:rStyle w:val="10"/>
                <w:rFonts w:hint="eastAsia"/>
              </w:rPr>
              <w:t>剂型：</w:t>
            </w:r>
            <w:r>
              <w:rPr>
                <w:rFonts w:hint="eastAsia"/>
              </w:rPr>
              <w:t>微乳剂</w:t>
            </w:r>
          </w:p>
        </w:tc>
      </w:tr>
      <w:tr w14:paraId="66238CF6">
        <w:tblPrEx>
          <w:tblCellMar>
            <w:top w:w="0" w:type="dxa"/>
            <w:left w:w="0" w:type="dxa"/>
            <w:bottom w:w="0" w:type="dxa"/>
            <w:right w:w="0" w:type="dxa"/>
          </w:tblCellMar>
        </w:tblPrEx>
        <w:trPr>
          <w:wBefore w:w="0" w:type="auto"/>
          <w:tblCellSpacing w:w="0" w:type="dxa"/>
        </w:trPr>
        <w:tc>
          <w:tcPr>
            <w:tcW w:w="0" w:type="auto"/>
            <w:noWrap w:val="0"/>
            <w:vAlign w:val="center"/>
          </w:tcPr>
          <w:p w14:paraId="3C20E9B8">
            <w:r>
              <w:rPr>
                <w:rStyle w:val="10"/>
                <w:rFonts w:hint="eastAsia"/>
              </w:rPr>
              <w:t>毒性及其标识：</w:t>
            </w:r>
            <w:r>
              <w:rPr>
                <w:rFonts w:hint="eastAsia"/>
              </w:rPr>
              <w:t xml:space="preserve"> </w:t>
            </w:r>
            <w:r>
              <w:rPr>
                <w:lang/>
              </w:rPr>
              <w:drawing>
                <wp:inline distT="0" distB="0" distL="114300" distR="114300">
                  <wp:extent cx="476250" cy="323850"/>
                  <wp:effectExtent l="0" t="0" r="0" b="0"/>
                  <wp:docPr id="241" name="图片 241"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560E1B1B">
        <w:tblPrEx>
          <w:tblCellMar>
            <w:top w:w="0" w:type="dxa"/>
            <w:left w:w="0" w:type="dxa"/>
            <w:bottom w:w="0" w:type="dxa"/>
            <w:right w:w="0" w:type="dxa"/>
          </w:tblCellMar>
        </w:tblPrEx>
        <w:trPr>
          <w:wBefore w:w="0" w:type="auto"/>
          <w:tblCellSpacing w:w="0" w:type="dxa"/>
        </w:trPr>
        <w:tc>
          <w:tcPr>
            <w:tcW w:w="0" w:type="auto"/>
            <w:noWrap w:val="0"/>
            <w:vAlign w:val="center"/>
          </w:tcPr>
          <w:p w14:paraId="2D1BF5E5">
            <w:r>
              <w:rPr>
                <w:rStyle w:val="10"/>
                <w:rFonts w:hint="eastAsia"/>
              </w:rPr>
              <w:t>总有效成分含量：</w:t>
            </w:r>
            <w:r>
              <w:rPr>
                <w:rFonts w:hint="eastAsia"/>
              </w:rPr>
              <w:t>15%</w:t>
            </w:r>
          </w:p>
        </w:tc>
      </w:tr>
      <w:tr w14:paraId="3295EC87">
        <w:tblPrEx>
          <w:tblCellMar>
            <w:top w:w="0" w:type="dxa"/>
            <w:left w:w="0" w:type="dxa"/>
            <w:bottom w:w="0" w:type="dxa"/>
            <w:right w:w="0" w:type="dxa"/>
          </w:tblCellMar>
        </w:tblPrEx>
        <w:trPr>
          <w:wBefore w:w="0" w:type="auto"/>
          <w:tblCellSpacing w:w="0" w:type="dxa"/>
        </w:trPr>
        <w:tc>
          <w:tcPr>
            <w:tcW w:w="0" w:type="auto"/>
            <w:noWrap w:val="0"/>
            <w:vAlign w:val="center"/>
          </w:tcPr>
          <w:p w14:paraId="5EC150BD">
            <w:r>
              <w:rPr>
                <w:rFonts w:hint="eastAsia"/>
              </w:rPr>
              <w:t xml:space="preserve">有效成分及其含量： </w:t>
            </w:r>
          </w:p>
          <w:p w14:paraId="0BFC291A">
            <w:r>
              <w:rPr>
                <w:rFonts w:hint="eastAsia"/>
              </w:rPr>
              <w:t xml:space="preserve">    哒螨灵10%    啶虫脒5%    </w:t>
            </w:r>
          </w:p>
        </w:tc>
      </w:tr>
      <w:tr w14:paraId="2043DF46">
        <w:tblPrEx>
          <w:tblCellMar>
            <w:top w:w="0" w:type="dxa"/>
            <w:left w:w="0" w:type="dxa"/>
            <w:bottom w:w="0" w:type="dxa"/>
            <w:right w:w="0" w:type="dxa"/>
          </w:tblCellMar>
        </w:tblPrEx>
        <w:trPr>
          <w:wBefore w:w="0" w:type="auto"/>
          <w:tblCellSpacing w:w="0" w:type="dxa"/>
        </w:trPr>
        <w:tc>
          <w:tcPr>
            <w:tcW w:w="0" w:type="auto"/>
            <w:noWrap w:val="0"/>
            <w:vAlign w:val="center"/>
          </w:tcPr>
          <w:p w14:paraId="6492D42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51F3A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699311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B8BC72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7BC7BC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6DA73E6">
                  <w:r>
                    <w:rPr>
                      <w:rStyle w:val="11"/>
                      <w:rFonts w:hint="eastAsia"/>
                    </w:rPr>
                    <w:t>施用方式</w:t>
                  </w:r>
                </w:p>
              </w:tc>
            </w:tr>
            <w:tr w14:paraId="6722C5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05B08B8">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50F630">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873B8D">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463BAE">
                  <w:r>
                    <w:rPr>
                      <w:rStyle w:val="11"/>
                      <w:rFonts w:hint="eastAsia"/>
                    </w:rPr>
                    <w:t>喷雾</w:t>
                  </w:r>
                </w:p>
              </w:tc>
            </w:tr>
          </w:tbl>
          <w:p w14:paraId="3C9EA737">
            <w:pPr>
              <w:rPr>
                <w:rFonts w:ascii="Times New Roman" w:hAnsi="Times New Roman" w:cs="Times New Roman"/>
                <w:sz w:val="20"/>
                <w:szCs w:val="20"/>
              </w:rPr>
            </w:pPr>
          </w:p>
        </w:tc>
      </w:tr>
      <w:tr w14:paraId="3CA3F516">
        <w:tblPrEx>
          <w:tblCellMar>
            <w:top w:w="0" w:type="dxa"/>
            <w:left w:w="0" w:type="dxa"/>
            <w:bottom w:w="0" w:type="dxa"/>
            <w:right w:w="0" w:type="dxa"/>
          </w:tblCellMar>
        </w:tblPrEx>
        <w:trPr>
          <w:wBefore w:w="0" w:type="auto"/>
          <w:tblCellSpacing w:w="0" w:type="dxa"/>
        </w:trPr>
        <w:tc>
          <w:tcPr>
            <w:tcW w:w="0" w:type="auto"/>
            <w:noWrap w:val="0"/>
            <w:vAlign w:val="center"/>
          </w:tcPr>
          <w:p w14:paraId="6EDE1116">
            <w:r>
              <w:rPr>
                <w:rStyle w:val="10"/>
                <w:rFonts w:hint="eastAsia"/>
              </w:rPr>
              <w:t>使用技术要求:</w:t>
            </w:r>
            <w:r>
              <w:rPr>
                <w:rFonts w:hint="eastAsia"/>
              </w:rPr>
              <w:br w:type="textWrapping"/>
            </w:r>
            <w:r>
              <w:rPr>
                <w:rStyle w:val="11"/>
                <w:rFonts w:hint="eastAsia"/>
              </w:rPr>
              <w:t>1.本品应于甘蓝黄条跳甲盛发期开始使用。2.本品在甘蓝上使用的安全间隔期为7天，每季作物最多施药2次。3. 大风天或预计1小时有降雨，请勿施药。</w:t>
            </w:r>
          </w:p>
        </w:tc>
      </w:tr>
      <w:tr w14:paraId="2B17AB5E">
        <w:tblPrEx>
          <w:tblCellMar>
            <w:top w:w="0" w:type="dxa"/>
            <w:left w:w="0" w:type="dxa"/>
            <w:bottom w:w="0" w:type="dxa"/>
            <w:right w:w="0" w:type="dxa"/>
          </w:tblCellMar>
        </w:tblPrEx>
        <w:trPr>
          <w:wBefore w:w="0" w:type="auto"/>
          <w:tblCellSpacing w:w="0" w:type="dxa"/>
        </w:trPr>
        <w:tc>
          <w:tcPr>
            <w:tcW w:w="0" w:type="auto"/>
            <w:noWrap w:val="0"/>
            <w:vAlign w:val="center"/>
          </w:tcPr>
          <w:p w14:paraId="0AB442C3">
            <w:r>
              <w:rPr>
                <w:rStyle w:val="10"/>
                <w:rFonts w:hint="eastAsia"/>
              </w:rPr>
              <w:t>产品性能:</w:t>
            </w:r>
            <w:r>
              <w:rPr>
                <w:rFonts w:hint="eastAsia"/>
              </w:rPr>
              <w:br w:type="textWrapping"/>
            </w:r>
            <w:r>
              <w:rPr>
                <w:rStyle w:val="11"/>
                <w:rFonts w:hint="eastAsia"/>
              </w:rPr>
              <w:t>啶虫脒能干扰昆虫神经系统的刺激传导，具有内吸、触杀和胃毒三种毒杀功能；哒螨灵为一种触杀性杀螨剂，二者混配，防效增强。对甘蓝黄条跳甲有较好的防效。</w:t>
            </w:r>
          </w:p>
        </w:tc>
      </w:tr>
      <w:tr w14:paraId="2801086C">
        <w:tblPrEx>
          <w:tblCellMar>
            <w:top w:w="0" w:type="dxa"/>
            <w:left w:w="0" w:type="dxa"/>
            <w:bottom w:w="0" w:type="dxa"/>
            <w:right w:w="0" w:type="dxa"/>
          </w:tblCellMar>
        </w:tblPrEx>
        <w:trPr>
          <w:wBefore w:w="0" w:type="auto"/>
          <w:tblCellSpacing w:w="0" w:type="dxa"/>
        </w:trPr>
        <w:tc>
          <w:tcPr>
            <w:tcW w:w="0" w:type="auto"/>
            <w:noWrap w:val="0"/>
            <w:vAlign w:val="center"/>
          </w:tcPr>
          <w:p w14:paraId="4E9D03D7">
            <w:r>
              <w:rPr>
                <w:rStyle w:val="10"/>
                <w:rFonts w:hint="eastAsia"/>
              </w:rPr>
              <w:t>注意事项：</w:t>
            </w:r>
            <w:r>
              <w:rPr>
                <w:rFonts w:hint="eastAsia"/>
              </w:rPr>
              <w:br w:type="textWrapping"/>
            </w:r>
            <w:r>
              <w:rPr>
                <w:rStyle w:val="11"/>
                <w:rFonts w:hint="eastAsia"/>
              </w:rPr>
              <w:t>1 . 建议与其他不同作用机制的杀虫剂轮换使用。2.远离水产养殖区、河塘等水体施药；禁止在河塘等水体中清洗施药器具；（周围）开花植物花期禁用，使用时应密切关注对附近蜂群的影响；蚕室及桑园附近禁用；赤眼蜂等天敌放飞区域禁用。3.鸟类保护区附近禁用。4.配药和施药时，应穿防护服，戴口罩或防毒面具以及胶皮手套，以避免污染皮肤和眼睛，施药完毕后应及时换洗衣物，洗净手、脸和被污染的皮肤。5. 孕妇及哺乳期妇女应避免接触。</w:t>
            </w:r>
          </w:p>
        </w:tc>
      </w:tr>
      <w:tr w14:paraId="597EBEA7">
        <w:tblPrEx>
          <w:tblCellMar>
            <w:top w:w="0" w:type="dxa"/>
            <w:left w:w="0" w:type="dxa"/>
            <w:bottom w:w="0" w:type="dxa"/>
            <w:right w:w="0" w:type="dxa"/>
          </w:tblCellMar>
        </w:tblPrEx>
        <w:trPr>
          <w:wBefore w:w="0" w:type="auto"/>
          <w:tblCellSpacing w:w="0" w:type="dxa"/>
        </w:trPr>
        <w:tc>
          <w:tcPr>
            <w:tcW w:w="0" w:type="auto"/>
            <w:noWrap w:val="0"/>
            <w:vAlign w:val="center"/>
          </w:tcPr>
          <w:p w14:paraId="7D083147">
            <w:r>
              <w:rPr>
                <w:rStyle w:val="10"/>
                <w:rFonts w:hint="eastAsia"/>
              </w:rPr>
              <w:t>中毒急救措施：</w:t>
            </w:r>
            <w:r>
              <w:rPr>
                <w:rFonts w:hint="eastAsia"/>
              </w:rPr>
              <w:br w:type="textWrapping"/>
            </w:r>
            <w:r>
              <w:rPr>
                <w:rStyle w:val="11"/>
                <w:rFonts w:hint="eastAsia"/>
              </w:rPr>
              <w:t>使用中或使用后若感觉不适，应立即停止工作，采取急救措施。本品如误入眼睛，立即用清水至少冲洗15分钟，仍有不适应立即就医；如接触皮肤，立即用清水冲洗并换洗衣物；不慎吸入，身感不适后立即将病人移到通风处，然后视病情就医；如误服，立即携标签送医院，无特殊解毒药，对症治疗。</w:t>
            </w:r>
          </w:p>
        </w:tc>
      </w:tr>
      <w:tr w14:paraId="2DEC4726">
        <w:tblPrEx>
          <w:tblCellMar>
            <w:top w:w="0" w:type="dxa"/>
            <w:left w:w="0" w:type="dxa"/>
            <w:bottom w:w="0" w:type="dxa"/>
            <w:right w:w="0" w:type="dxa"/>
          </w:tblCellMar>
        </w:tblPrEx>
        <w:trPr>
          <w:wBefore w:w="0" w:type="auto"/>
          <w:tblCellSpacing w:w="0" w:type="dxa"/>
        </w:trPr>
        <w:tc>
          <w:tcPr>
            <w:tcW w:w="0" w:type="auto"/>
            <w:noWrap w:val="0"/>
            <w:vAlign w:val="center"/>
          </w:tcPr>
          <w:p w14:paraId="2BEEC06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本品应贮存在干燥、阴凉、通风、防雨处，远离火源或热源。置于儿童、无关人员触及不到之处，并加锁保存。勿与食品、饮料、粮食、饲料等其他商品同贮同运。</w:t>
            </w:r>
          </w:p>
        </w:tc>
      </w:tr>
      <w:tr w14:paraId="5A614A05">
        <w:tblPrEx>
          <w:tblCellMar>
            <w:top w:w="0" w:type="dxa"/>
            <w:left w:w="0" w:type="dxa"/>
            <w:bottom w:w="0" w:type="dxa"/>
            <w:right w:w="0" w:type="dxa"/>
          </w:tblCellMar>
        </w:tblPrEx>
        <w:trPr>
          <w:wBefore w:w="0" w:type="auto"/>
          <w:tblCellSpacing w:w="0" w:type="dxa"/>
        </w:trPr>
        <w:tc>
          <w:tcPr>
            <w:tcW w:w="0" w:type="auto"/>
            <w:noWrap w:val="0"/>
            <w:vAlign w:val="center"/>
          </w:tcPr>
          <w:p w14:paraId="73CD592C">
            <w:r>
              <w:rPr>
                <w:rStyle w:val="10"/>
                <w:rFonts w:hint="eastAsia"/>
              </w:rPr>
              <w:t>质量保证期：</w:t>
            </w:r>
            <w:r>
              <w:rPr>
                <w:rStyle w:val="11"/>
                <w:rFonts w:hint="eastAsia"/>
              </w:rPr>
              <w:t>2年</w:t>
            </w:r>
          </w:p>
        </w:tc>
      </w:tr>
      <w:tr w14:paraId="1F9ACC35">
        <w:tblPrEx>
          <w:tblCellMar>
            <w:top w:w="0" w:type="dxa"/>
            <w:left w:w="0" w:type="dxa"/>
            <w:bottom w:w="0" w:type="dxa"/>
            <w:right w:w="0" w:type="dxa"/>
          </w:tblCellMar>
        </w:tblPrEx>
        <w:trPr>
          <w:wBefore w:w="0" w:type="auto"/>
          <w:tblCellSpacing w:w="0" w:type="dxa"/>
        </w:trPr>
        <w:tc>
          <w:tcPr>
            <w:tcW w:w="0" w:type="auto"/>
            <w:noWrap w:val="0"/>
            <w:vAlign w:val="center"/>
          </w:tcPr>
          <w:p w14:paraId="5C30FD63">
            <w:r>
              <w:rPr>
                <w:rStyle w:val="10"/>
                <w:rFonts w:hint="eastAsia"/>
              </w:rPr>
              <w:t>备注：</w:t>
            </w:r>
          </w:p>
        </w:tc>
      </w:tr>
    </w:tbl>
    <w:p w14:paraId="63A6B33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36C4853">
        <w:tblPrEx>
          <w:tblCellMar>
            <w:top w:w="0" w:type="dxa"/>
            <w:left w:w="0" w:type="dxa"/>
            <w:bottom w:w="0" w:type="dxa"/>
            <w:right w:w="0" w:type="dxa"/>
          </w:tblCellMar>
        </w:tblPrEx>
        <w:trPr>
          <w:wBefore w:w="0" w:type="auto"/>
          <w:tblCellSpacing w:w="0" w:type="dxa"/>
        </w:trPr>
        <w:tc>
          <w:tcPr>
            <w:tcW w:w="0" w:type="auto"/>
            <w:noWrap w:val="0"/>
            <w:vAlign w:val="center"/>
          </w:tcPr>
          <w:p w14:paraId="11A444A9">
            <w:r>
              <w:rPr>
                <w:rStyle w:val="10"/>
                <w:rFonts w:hint="eastAsia"/>
              </w:rPr>
              <w:t>登记证号：</w:t>
            </w:r>
            <w:r>
              <w:rPr>
                <w:rFonts w:hint="eastAsia"/>
              </w:rPr>
              <w:t>PD20211961</w:t>
            </w:r>
          </w:p>
        </w:tc>
      </w:tr>
      <w:tr w14:paraId="435B597C">
        <w:tblPrEx>
          <w:tblCellMar>
            <w:top w:w="0" w:type="dxa"/>
            <w:left w:w="0" w:type="dxa"/>
            <w:bottom w:w="0" w:type="dxa"/>
            <w:right w:w="0" w:type="dxa"/>
          </w:tblCellMar>
        </w:tblPrEx>
        <w:trPr>
          <w:wBefore w:w="0" w:type="auto"/>
          <w:tblCellSpacing w:w="0" w:type="dxa"/>
        </w:trPr>
        <w:tc>
          <w:tcPr>
            <w:tcW w:w="0" w:type="auto"/>
            <w:noWrap w:val="0"/>
            <w:vAlign w:val="center"/>
          </w:tcPr>
          <w:p w14:paraId="7FC9DE48">
            <w:r>
              <w:rPr>
                <w:rStyle w:val="10"/>
                <w:rFonts w:hint="eastAsia"/>
              </w:rPr>
              <w:t>登记证持有人：</w:t>
            </w:r>
            <w:r>
              <w:rPr>
                <w:rFonts w:hint="eastAsia"/>
              </w:rPr>
              <w:t>黑龙江省苗必壮农业科技有限公司</w:t>
            </w:r>
          </w:p>
        </w:tc>
      </w:tr>
      <w:tr w14:paraId="06983B04">
        <w:tblPrEx>
          <w:tblCellMar>
            <w:top w:w="0" w:type="dxa"/>
            <w:left w:w="0" w:type="dxa"/>
            <w:bottom w:w="0" w:type="dxa"/>
            <w:right w:w="0" w:type="dxa"/>
          </w:tblCellMar>
        </w:tblPrEx>
        <w:trPr>
          <w:wBefore w:w="0" w:type="auto"/>
          <w:tblCellSpacing w:w="0" w:type="dxa"/>
        </w:trPr>
        <w:tc>
          <w:tcPr>
            <w:tcW w:w="0" w:type="auto"/>
            <w:noWrap w:val="0"/>
            <w:vAlign w:val="center"/>
          </w:tcPr>
          <w:p w14:paraId="042272E6">
            <w:r>
              <w:rPr>
                <w:rStyle w:val="10"/>
                <w:rFonts w:hint="eastAsia"/>
              </w:rPr>
              <w:t>农药名称：</w:t>
            </w:r>
            <w:r>
              <w:rPr>
                <w:rFonts w:hint="eastAsia"/>
              </w:rPr>
              <w:t>精甲·咯·嘧菌</w:t>
            </w:r>
          </w:p>
        </w:tc>
      </w:tr>
      <w:tr w14:paraId="2B980745">
        <w:tblPrEx>
          <w:tblCellMar>
            <w:top w:w="0" w:type="dxa"/>
            <w:left w:w="0" w:type="dxa"/>
            <w:bottom w:w="0" w:type="dxa"/>
            <w:right w:w="0" w:type="dxa"/>
          </w:tblCellMar>
        </w:tblPrEx>
        <w:trPr>
          <w:wBefore w:w="0" w:type="auto"/>
          <w:tblCellSpacing w:w="0" w:type="dxa"/>
        </w:trPr>
        <w:tc>
          <w:tcPr>
            <w:tcW w:w="0" w:type="auto"/>
            <w:noWrap w:val="0"/>
            <w:vAlign w:val="center"/>
          </w:tcPr>
          <w:p w14:paraId="241D83EA">
            <w:r>
              <w:rPr>
                <w:rStyle w:val="10"/>
                <w:rFonts w:hint="eastAsia"/>
              </w:rPr>
              <w:t>剂型：</w:t>
            </w:r>
            <w:r>
              <w:rPr>
                <w:rFonts w:hint="eastAsia"/>
              </w:rPr>
              <w:t>种子处理悬浮剂</w:t>
            </w:r>
          </w:p>
        </w:tc>
      </w:tr>
      <w:tr w14:paraId="70F84A2B">
        <w:tblPrEx>
          <w:tblCellMar>
            <w:top w:w="0" w:type="dxa"/>
            <w:left w:w="0" w:type="dxa"/>
            <w:bottom w:w="0" w:type="dxa"/>
            <w:right w:w="0" w:type="dxa"/>
          </w:tblCellMar>
        </w:tblPrEx>
        <w:trPr>
          <w:wBefore w:w="0" w:type="auto"/>
          <w:tblCellSpacing w:w="0" w:type="dxa"/>
        </w:trPr>
        <w:tc>
          <w:tcPr>
            <w:tcW w:w="0" w:type="auto"/>
            <w:noWrap w:val="0"/>
            <w:vAlign w:val="center"/>
          </w:tcPr>
          <w:p w14:paraId="272F20C6">
            <w:r>
              <w:rPr>
                <w:rStyle w:val="10"/>
                <w:rFonts w:hint="eastAsia"/>
              </w:rPr>
              <w:t>毒性及其标识：</w:t>
            </w:r>
            <w:r>
              <w:rPr>
                <w:rFonts w:hint="eastAsia"/>
              </w:rPr>
              <w:t xml:space="preserve"> </w:t>
            </w:r>
            <w:r>
              <w:rPr>
                <w:lang/>
              </w:rPr>
              <w:drawing>
                <wp:inline distT="0" distB="0" distL="114300" distR="114300">
                  <wp:extent cx="476250" cy="323850"/>
                  <wp:effectExtent l="0" t="0" r="0" b="0"/>
                  <wp:docPr id="242" name="图片 24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7983341">
        <w:tblPrEx>
          <w:tblCellMar>
            <w:top w:w="0" w:type="dxa"/>
            <w:left w:w="0" w:type="dxa"/>
            <w:bottom w:w="0" w:type="dxa"/>
            <w:right w:w="0" w:type="dxa"/>
          </w:tblCellMar>
        </w:tblPrEx>
        <w:trPr>
          <w:wBefore w:w="0" w:type="auto"/>
          <w:tblCellSpacing w:w="0" w:type="dxa"/>
        </w:trPr>
        <w:tc>
          <w:tcPr>
            <w:tcW w:w="0" w:type="auto"/>
            <w:noWrap w:val="0"/>
            <w:vAlign w:val="center"/>
          </w:tcPr>
          <w:p w14:paraId="5D9CFFD0">
            <w:r>
              <w:rPr>
                <w:rStyle w:val="10"/>
                <w:rFonts w:hint="eastAsia"/>
              </w:rPr>
              <w:t>总有效成分含量：</w:t>
            </w:r>
            <w:r>
              <w:rPr>
                <w:rFonts w:hint="eastAsia"/>
              </w:rPr>
              <w:t>11%</w:t>
            </w:r>
          </w:p>
        </w:tc>
      </w:tr>
      <w:tr w14:paraId="5C8DE4C5">
        <w:tblPrEx>
          <w:tblCellMar>
            <w:top w:w="0" w:type="dxa"/>
            <w:left w:w="0" w:type="dxa"/>
            <w:bottom w:w="0" w:type="dxa"/>
            <w:right w:w="0" w:type="dxa"/>
          </w:tblCellMar>
        </w:tblPrEx>
        <w:trPr>
          <w:wBefore w:w="0" w:type="auto"/>
          <w:tblCellSpacing w:w="0" w:type="dxa"/>
        </w:trPr>
        <w:tc>
          <w:tcPr>
            <w:tcW w:w="0" w:type="auto"/>
            <w:noWrap w:val="0"/>
            <w:vAlign w:val="center"/>
          </w:tcPr>
          <w:p w14:paraId="5FBB3B77">
            <w:r>
              <w:rPr>
                <w:rFonts w:hint="eastAsia"/>
              </w:rPr>
              <w:t xml:space="preserve">有效成分及其含量： </w:t>
            </w:r>
          </w:p>
          <w:p w14:paraId="265CE0BC">
            <w:r>
              <w:rPr>
                <w:rFonts w:hint="eastAsia"/>
              </w:rPr>
              <w:t xml:space="preserve">    精甲霜灵3.3%    咯菌腈1.1%    嘧菌酯6.6%    </w:t>
            </w:r>
          </w:p>
        </w:tc>
      </w:tr>
      <w:tr w14:paraId="7282F530">
        <w:tblPrEx>
          <w:tblCellMar>
            <w:top w:w="0" w:type="dxa"/>
            <w:left w:w="0" w:type="dxa"/>
            <w:bottom w:w="0" w:type="dxa"/>
            <w:right w:w="0" w:type="dxa"/>
          </w:tblCellMar>
        </w:tblPrEx>
        <w:trPr>
          <w:wBefore w:w="0" w:type="auto"/>
          <w:tblCellSpacing w:w="0" w:type="dxa"/>
        </w:trPr>
        <w:tc>
          <w:tcPr>
            <w:tcW w:w="0" w:type="auto"/>
            <w:noWrap w:val="0"/>
            <w:vAlign w:val="center"/>
          </w:tcPr>
          <w:p w14:paraId="7E0FDCA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1E90F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E5D1C7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1E42C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355242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2CA82FB">
                  <w:r>
                    <w:rPr>
                      <w:rStyle w:val="11"/>
                      <w:rFonts w:hint="eastAsia"/>
                    </w:rPr>
                    <w:t>施用方式</w:t>
                  </w:r>
                </w:p>
              </w:tc>
            </w:tr>
            <w:tr w14:paraId="43608C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6C24D53">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295DD3">
                  <w:r>
                    <w:rPr>
                      <w:rStyle w:val="11"/>
                      <w:rFonts w:hint="eastAsia"/>
                    </w:rPr>
                    <w:t>茎基腐病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603A77">
                  <w:r>
                    <w:rPr>
                      <w:rStyle w:val="11"/>
                      <w:rFonts w:hint="eastAsia"/>
                    </w:rPr>
                    <w:t>200-300毫升/100千克种子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E8F7B3">
                  <w:r>
                    <w:rPr>
                      <w:rStyle w:val="11"/>
                      <w:rFonts w:hint="eastAsia"/>
                    </w:rPr>
                    <w:t>种子包衣</w:t>
                  </w:r>
                </w:p>
              </w:tc>
            </w:tr>
          </w:tbl>
          <w:p w14:paraId="6424BACA">
            <w:pPr>
              <w:rPr>
                <w:rFonts w:ascii="Times New Roman" w:hAnsi="Times New Roman" w:cs="Times New Roman"/>
                <w:sz w:val="20"/>
                <w:szCs w:val="20"/>
              </w:rPr>
            </w:pPr>
          </w:p>
        </w:tc>
      </w:tr>
      <w:tr w14:paraId="6E2751D0">
        <w:tblPrEx>
          <w:tblCellMar>
            <w:top w:w="0" w:type="dxa"/>
            <w:left w:w="0" w:type="dxa"/>
            <w:bottom w:w="0" w:type="dxa"/>
            <w:right w:w="0" w:type="dxa"/>
          </w:tblCellMar>
        </w:tblPrEx>
        <w:trPr>
          <w:wBefore w:w="0" w:type="auto"/>
          <w:tblCellSpacing w:w="0" w:type="dxa"/>
        </w:trPr>
        <w:tc>
          <w:tcPr>
            <w:tcW w:w="0" w:type="auto"/>
            <w:noWrap w:val="0"/>
            <w:vAlign w:val="center"/>
          </w:tcPr>
          <w:p w14:paraId="0DF06C4F">
            <w:r>
              <w:rPr>
                <w:rStyle w:val="10"/>
                <w:rFonts w:hint="eastAsia"/>
              </w:rPr>
              <w:t>使用技术要求:</w:t>
            </w:r>
            <w:r>
              <w:rPr>
                <w:rFonts w:hint="eastAsia"/>
              </w:rPr>
              <w:br w:type="textWrapping"/>
            </w:r>
            <w:r>
              <w:rPr>
                <w:rStyle w:val="11"/>
                <w:rFonts w:hint="eastAsia"/>
              </w:rPr>
              <w:t>1.于玉米播种前种子包衣，按照200-300毫升/100千克种子用水稀释药液，将药液和种子充分搅拌，直至种子着药（着色）均匀，阴干后即可。2.本品每季最多使用1次。</w:t>
            </w:r>
          </w:p>
        </w:tc>
      </w:tr>
      <w:tr w14:paraId="6EA8D42D">
        <w:tblPrEx>
          <w:tblCellMar>
            <w:top w:w="0" w:type="dxa"/>
            <w:left w:w="0" w:type="dxa"/>
            <w:bottom w:w="0" w:type="dxa"/>
            <w:right w:w="0" w:type="dxa"/>
          </w:tblCellMar>
        </w:tblPrEx>
        <w:trPr>
          <w:wBefore w:w="0" w:type="auto"/>
          <w:tblCellSpacing w:w="0" w:type="dxa"/>
        </w:trPr>
        <w:tc>
          <w:tcPr>
            <w:tcW w:w="0" w:type="auto"/>
            <w:noWrap w:val="0"/>
            <w:vAlign w:val="center"/>
          </w:tcPr>
          <w:p w14:paraId="55377D17">
            <w:r>
              <w:rPr>
                <w:rStyle w:val="10"/>
                <w:rFonts w:hint="eastAsia"/>
              </w:rPr>
              <w:t>产品性能:</w:t>
            </w:r>
            <w:r>
              <w:rPr>
                <w:rFonts w:hint="eastAsia"/>
              </w:rPr>
              <w:br w:type="textWrapping"/>
            </w:r>
            <w:r>
              <w:rPr>
                <w:rStyle w:val="11"/>
                <w:rFonts w:hint="eastAsia"/>
              </w:rPr>
              <w:t>本品由精甲霜灵、咯菌腈、嘧菌酯复配而成。精甲霜灵为具有保护作用和治疗作用的内吸性杀菌剂，可由植物的根、茎、叶吸收，干扰核糖体RNA的合成，抑制菌体蛋白质的合成。咯菌腈为非内吸性杀菌剂，能够抑制渗透信号传导过程中的丝裂原活化蛋白激酶活性。嘧菌酯能够抑制孢子萌发、菌丝生长和产孢，具有预防、治疗和铲除作用的内吸性杀菌剂，通过阻碍细胞色素b与细胞色素c1的电子传递，而抑制线粒体呼吸。三者混配可用于防治玉米茎基腐病。</w:t>
            </w:r>
          </w:p>
        </w:tc>
      </w:tr>
      <w:tr w14:paraId="5ED36616">
        <w:tblPrEx>
          <w:tblCellMar>
            <w:top w:w="0" w:type="dxa"/>
            <w:left w:w="0" w:type="dxa"/>
            <w:bottom w:w="0" w:type="dxa"/>
            <w:right w:w="0" w:type="dxa"/>
          </w:tblCellMar>
        </w:tblPrEx>
        <w:trPr>
          <w:wBefore w:w="0" w:type="auto"/>
          <w:tblCellSpacing w:w="0" w:type="dxa"/>
        </w:trPr>
        <w:tc>
          <w:tcPr>
            <w:tcW w:w="0" w:type="auto"/>
            <w:noWrap w:val="0"/>
            <w:vAlign w:val="center"/>
          </w:tcPr>
          <w:p w14:paraId="17006E19">
            <w:r>
              <w:rPr>
                <w:rStyle w:val="10"/>
                <w:rFonts w:hint="eastAsia"/>
              </w:rPr>
              <w:t>注意事项：</w:t>
            </w:r>
            <w:r>
              <w:rPr>
                <w:rFonts w:hint="eastAsia"/>
              </w:rPr>
              <w:br w:type="textWrapping"/>
            </w:r>
            <w:r>
              <w:rPr>
                <w:rStyle w:val="11"/>
                <w:rFonts w:hint="eastAsia"/>
              </w:rPr>
              <w:t>1.使用本品应采取相应的安全防护措施，穿防护服、戴手套、口罩等，避免皮肤接触及口鼻吸入。使用中不可吸烟、饮水及吃东西，使用后及时用大量清水和肥皂清洗手、脸等暴露部位皮肤并更换衣物。2.本品对鱼类等水生生物有毒，远离水产养殖区施药，禁止在河塘等水体中清洗施药器具。3.用过的容器应妥善处理，不可做他用，也不可随意丢弃。4.禁止儿童、孕妇及哺乳期的妇女接触。过敏者禁用，使用中有任何不良反应请及时就医。5.避免与氧化剂接触。</w:t>
            </w:r>
          </w:p>
        </w:tc>
      </w:tr>
      <w:tr w14:paraId="52F30032">
        <w:tblPrEx>
          <w:tblCellMar>
            <w:top w:w="0" w:type="dxa"/>
            <w:left w:w="0" w:type="dxa"/>
            <w:bottom w:w="0" w:type="dxa"/>
            <w:right w:w="0" w:type="dxa"/>
          </w:tblCellMar>
        </w:tblPrEx>
        <w:trPr>
          <w:wBefore w:w="0" w:type="auto"/>
          <w:tblCellSpacing w:w="0" w:type="dxa"/>
        </w:trPr>
        <w:tc>
          <w:tcPr>
            <w:tcW w:w="0" w:type="auto"/>
            <w:noWrap w:val="0"/>
            <w:vAlign w:val="center"/>
          </w:tcPr>
          <w:p w14:paraId="79C21B58">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皮肤接触：立即脱去污染的衣物，用软布去除沾染农药，用大量清水和肥皂冲洗。眼睛溅入：立即用流动清水冲洗不少于15分钟。吸入：立即离开施药现场，转移到空气清新处。误食：立即停止服用，用清水充分漱口后，携带农药标签到医院就诊。无特效解毒剂，对症治疗。紧急医疗措施：使用医用活性炭洗胃，洗胃时注意防止胃容物进入呼吸道。注意：对昏迷病人，切勿经口喂入任何东西或引吐。</w:t>
            </w:r>
          </w:p>
        </w:tc>
      </w:tr>
      <w:tr w14:paraId="52A83667">
        <w:tblPrEx>
          <w:tblCellMar>
            <w:top w:w="0" w:type="dxa"/>
            <w:left w:w="0" w:type="dxa"/>
            <w:bottom w:w="0" w:type="dxa"/>
            <w:right w:w="0" w:type="dxa"/>
          </w:tblCellMar>
        </w:tblPrEx>
        <w:trPr>
          <w:wBefore w:w="0" w:type="auto"/>
          <w:tblCellSpacing w:w="0" w:type="dxa"/>
        </w:trPr>
        <w:tc>
          <w:tcPr>
            <w:tcW w:w="0" w:type="auto"/>
            <w:noWrap w:val="0"/>
            <w:vAlign w:val="center"/>
          </w:tcPr>
          <w:p w14:paraId="0BD4E84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本品应贮存在干燥、阴凉、通风、防雨处，远离火源或热源。置于儿童、无关人员及动物接触不到的地方，并加锁保存。勿与食品、饮料、种子、饲料等同贮同运。</w:t>
            </w:r>
          </w:p>
        </w:tc>
      </w:tr>
      <w:tr w14:paraId="7A207A8F">
        <w:tblPrEx>
          <w:tblCellMar>
            <w:top w:w="0" w:type="dxa"/>
            <w:left w:w="0" w:type="dxa"/>
            <w:bottom w:w="0" w:type="dxa"/>
            <w:right w:w="0" w:type="dxa"/>
          </w:tblCellMar>
        </w:tblPrEx>
        <w:trPr>
          <w:wBefore w:w="0" w:type="auto"/>
          <w:tblCellSpacing w:w="0" w:type="dxa"/>
        </w:trPr>
        <w:tc>
          <w:tcPr>
            <w:tcW w:w="0" w:type="auto"/>
            <w:noWrap w:val="0"/>
            <w:vAlign w:val="center"/>
          </w:tcPr>
          <w:p w14:paraId="3E412878">
            <w:r>
              <w:rPr>
                <w:rStyle w:val="10"/>
                <w:rFonts w:hint="eastAsia"/>
              </w:rPr>
              <w:t>质量保证期：</w:t>
            </w:r>
            <w:r>
              <w:rPr>
                <w:rStyle w:val="11"/>
                <w:rFonts w:hint="eastAsia"/>
              </w:rPr>
              <w:t>2年</w:t>
            </w:r>
          </w:p>
        </w:tc>
      </w:tr>
      <w:tr w14:paraId="77A2378D">
        <w:tblPrEx>
          <w:tblCellMar>
            <w:top w:w="0" w:type="dxa"/>
            <w:left w:w="0" w:type="dxa"/>
            <w:bottom w:w="0" w:type="dxa"/>
            <w:right w:w="0" w:type="dxa"/>
          </w:tblCellMar>
        </w:tblPrEx>
        <w:trPr>
          <w:wBefore w:w="0" w:type="auto"/>
          <w:tblCellSpacing w:w="0" w:type="dxa"/>
        </w:trPr>
        <w:tc>
          <w:tcPr>
            <w:tcW w:w="0" w:type="auto"/>
            <w:noWrap w:val="0"/>
            <w:vAlign w:val="center"/>
          </w:tcPr>
          <w:p w14:paraId="4DF239E4">
            <w:r>
              <w:rPr>
                <w:rStyle w:val="10"/>
                <w:rFonts w:hint="eastAsia"/>
              </w:rPr>
              <w:t>备注：</w:t>
            </w:r>
          </w:p>
        </w:tc>
      </w:tr>
    </w:tbl>
    <w:p w14:paraId="67386B5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865F23B">
        <w:tblPrEx>
          <w:tblCellMar>
            <w:top w:w="0" w:type="dxa"/>
            <w:left w:w="0" w:type="dxa"/>
            <w:bottom w:w="0" w:type="dxa"/>
            <w:right w:w="0" w:type="dxa"/>
          </w:tblCellMar>
        </w:tblPrEx>
        <w:trPr>
          <w:wBefore w:w="0" w:type="auto"/>
          <w:tblCellSpacing w:w="0" w:type="dxa"/>
        </w:trPr>
        <w:tc>
          <w:tcPr>
            <w:tcW w:w="0" w:type="auto"/>
            <w:noWrap w:val="0"/>
            <w:vAlign w:val="center"/>
          </w:tcPr>
          <w:p w14:paraId="3B53D90C">
            <w:r>
              <w:rPr>
                <w:rStyle w:val="10"/>
                <w:rFonts w:hint="eastAsia"/>
              </w:rPr>
              <w:t>登记证号：</w:t>
            </w:r>
            <w:r>
              <w:rPr>
                <w:rFonts w:hint="eastAsia"/>
              </w:rPr>
              <w:t>PD20212260</w:t>
            </w:r>
          </w:p>
        </w:tc>
      </w:tr>
      <w:tr w14:paraId="021D1228">
        <w:tblPrEx>
          <w:tblCellMar>
            <w:top w:w="0" w:type="dxa"/>
            <w:left w:w="0" w:type="dxa"/>
            <w:bottom w:w="0" w:type="dxa"/>
            <w:right w:w="0" w:type="dxa"/>
          </w:tblCellMar>
        </w:tblPrEx>
        <w:trPr>
          <w:wBefore w:w="0" w:type="auto"/>
          <w:tblCellSpacing w:w="0" w:type="dxa"/>
        </w:trPr>
        <w:tc>
          <w:tcPr>
            <w:tcW w:w="0" w:type="auto"/>
            <w:noWrap w:val="0"/>
            <w:vAlign w:val="center"/>
          </w:tcPr>
          <w:p w14:paraId="46602128">
            <w:r>
              <w:rPr>
                <w:rStyle w:val="10"/>
                <w:rFonts w:hint="eastAsia"/>
              </w:rPr>
              <w:t>登记证持有人：</w:t>
            </w:r>
            <w:r>
              <w:rPr>
                <w:rFonts w:hint="eastAsia"/>
              </w:rPr>
              <w:t>山东滨农科技有限公司</w:t>
            </w:r>
          </w:p>
        </w:tc>
      </w:tr>
      <w:tr w14:paraId="1A3C29E4">
        <w:tblPrEx>
          <w:tblCellMar>
            <w:top w:w="0" w:type="dxa"/>
            <w:left w:w="0" w:type="dxa"/>
            <w:bottom w:w="0" w:type="dxa"/>
            <w:right w:w="0" w:type="dxa"/>
          </w:tblCellMar>
        </w:tblPrEx>
        <w:trPr>
          <w:wBefore w:w="0" w:type="auto"/>
          <w:tblCellSpacing w:w="0" w:type="dxa"/>
        </w:trPr>
        <w:tc>
          <w:tcPr>
            <w:tcW w:w="0" w:type="auto"/>
            <w:noWrap w:val="0"/>
            <w:vAlign w:val="center"/>
          </w:tcPr>
          <w:p w14:paraId="5D0F7258">
            <w:r>
              <w:rPr>
                <w:rStyle w:val="10"/>
                <w:rFonts w:hint="eastAsia"/>
              </w:rPr>
              <w:t>农药名称：</w:t>
            </w:r>
            <w:r>
              <w:rPr>
                <w:rFonts w:hint="eastAsia"/>
              </w:rPr>
              <w:t>苯唑酮·特丁津·烟嘧隆</w:t>
            </w:r>
          </w:p>
        </w:tc>
      </w:tr>
      <w:tr w14:paraId="4C202426">
        <w:tblPrEx>
          <w:tblCellMar>
            <w:top w:w="0" w:type="dxa"/>
            <w:left w:w="0" w:type="dxa"/>
            <w:bottom w:w="0" w:type="dxa"/>
            <w:right w:w="0" w:type="dxa"/>
          </w:tblCellMar>
        </w:tblPrEx>
        <w:trPr>
          <w:wBefore w:w="0" w:type="auto"/>
          <w:tblCellSpacing w:w="0" w:type="dxa"/>
        </w:trPr>
        <w:tc>
          <w:tcPr>
            <w:tcW w:w="0" w:type="auto"/>
            <w:noWrap w:val="0"/>
            <w:vAlign w:val="center"/>
          </w:tcPr>
          <w:p w14:paraId="33234AE6">
            <w:r>
              <w:rPr>
                <w:rStyle w:val="10"/>
                <w:rFonts w:hint="eastAsia"/>
              </w:rPr>
              <w:t>剂型：</w:t>
            </w:r>
            <w:r>
              <w:rPr>
                <w:rFonts w:hint="eastAsia"/>
              </w:rPr>
              <w:t>可分散油悬浮剂</w:t>
            </w:r>
          </w:p>
        </w:tc>
      </w:tr>
      <w:tr w14:paraId="1543B605">
        <w:tblPrEx>
          <w:tblCellMar>
            <w:top w:w="0" w:type="dxa"/>
            <w:left w:w="0" w:type="dxa"/>
            <w:bottom w:w="0" w:type="dxa"/>
            <w:right w:w="0" w:type="dxa"/>
          </w:tblCellMar>
        </w:tblPrEx>
        <w:trPr>
          <w:wBefore w:w="0" w:type="auto"/>
          <w:tblCellSpacing w:w="0" w:type="dxa"/>
        </w:trPr>
        <w:tc>
          <w:tcPr>
            <w:tcW w:w="0" w:type="auto"/>
            <w:noWrap w:val="0"/>
            <w:vAlign w:val="center"/>
          </w:tcPr>
          <w:p w14:paraId="31018398">
            <w:r>
              <w:rPr>
                <w:rStyle w:val="10"/>
                <w:rFonts w:hint="eastAsia"/>
              </w:rPr>
              <w:t>毒性及其标识：</w:t>
            </w:r>
            <w:r>
              <w:rPr>
                <w:rFonts w:hint="eastAsia"/>
              </w:rPr>
              <w:t xml:space="preserve"> </w:t>
            </w:r>
            <w:r>
              <w:rPr>
                <w:lang/>
              </w:rPr>
              <w:drawing>
                <wp:inline distT="0" distB="0" distL="114300" distR="114300">
                  <wp:extent cx="476250" cy="323850"/>
                  <wp:effectExtent l="0" t="0" r="0" b="0"/>
                  <wp:docPr id="243" name="图片 24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07126E0">
        <w:tblPrEx>
          <w:tblCellMar>
            <w:top w:w="0" w:type="dxa"/>
            <w:left w:w="0" w:type="dxa"/>
            <w:bottom w:w="0" w:type="dxa"/>
            <w:right w:w="0" w:type="dxa"/>
          </w:tblCellMar>
        </w:tblPrEx>
        <w:trPr>
          <w:wBefore w:w="0" w:type="auto"/>
          <w:tblCellSpacing w:w="0" w:type="dxa"/>
        </w:trPr>
        <w:tc>
          <w:tcPr>
            <w:tcW w:w="0" w:type="auto"/>
            <w:noWrap w:val="0"/>
            <w:vAlign w:val="center"/>
          </w:tcPr>
          <w:p w14:paraId="1D319AC1">
            <w:r>
              <w:rPr>
                <w:rStyle w:val="10"/>
                <w:rFonts w:hint="eastAsia"/>
              </w:rPr>
              <w:t>总有效成分含量：</w:t>
            </w:r>
            <w:r>
              <w:rPr>
                <w:rFonts w:hint="eastAsia"/>
              </w:rPr>
              <w:t>30%</w:t>
            </w:r>
          </w:p>
        </w:tc>
      </w:tr>
      <w:tr w14:paraId="1B0E759F">
        <w:tblPrEx>
          <w:tblCellMar>
            <w:top w:w="0" w:type="dxa"/>
            <w:left w:w="0" w:type="dxa"/>
            <w:bottom w:w="0" w:type="dxa"/>
            <w:right w:w="0" w:type="dxa"/>
          </w:tblCellMar>
        </w:tblPrEx>
        <w:trPr>
          <w:wBefore w:w="0" w:type="auto"/>
          <w:tblCellSpacing w:w="0" w:type="dxa"/>
        </w:trPr>
        <w:tc>
          <w:tcPr>
            <w:tcW w:w="0" w:type="auto"/>
            <w:noWrap w:val="0"/>
            <w:vAlign w:val="center"/>
          </w:tcPr>
          <w:p w14:paraId="57FD8569">
            <w:r>
              <w:rPr>
                <w:rFonts w:hint="eastAsia"/>
              </w:rPr>
              <w:t xml:space="preserve">有效成分及其含量： </w:t>
            </w:r>
          </w:p>
          <w:p w14:paraId="54280F54">
            <w:r>
              <w:rPr>
                <w:rFonts w:hint="eastAsia"/>
              </w:rPr>
              <w:t xml:space="preserve">    苯唑草酮2%    烟嘧磺隆3%    特丁津25%    </w:t>
            </w:r>
          </w:p>
        </w:tc>
      </w:tr>
      <w:tr w14:paraId="0DBA1264">
        <w:tblPrEx>
          <w:tblCellMar>
            <w:top w:w="0" w:type="dxa"/>
            <w:left w:w="0" w:type="dxa"/>
            <w:bottom w:w="0" w:type="dxa"/>
            <w:right w:w="0" w:type="dxa"/>
          </w:tblCellMar>
        </w:tblPrEx>
        <w:trPr>
          <w:wBefore w:w="0" w:type="auto"/>
          <w:tblCellSpacing w:w="0" w:type="dxa"/>
        </w:trPr>
        <w:tc>
          <w:tcPr>
            <w:tcW w:w="0" w:type="auto"/>
            <w:noWrap w:val="0"/>
            <w:vAlign w:val="center"/>
          </w:tcPr>
          <w:p w14:paraId="0D9A138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AA4F3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9EC5AE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9FE568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42214F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2EE33CF">
                  <w:r>
                    <w:rPr>
                      <w:rStyle w:val="11"/>
                      <w:rFonts w:hint="eastAsia"/>
                    </w:rPr>
                    <w:t>施用方式</w:t>
                  </w:r>
                </w:p>
              </w:tc>
            </w:tr>
            <w:tr w14:paraId="1028F5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808948">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934CD2">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C5A0F6">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6046BD">
                  <w:r>
                    <w:rPr>
                      <w:rStyle w:val="11"/>
                      <w:rFonts w:hint="eastAsia"/>
                    </w:rPr>
                    <w:t>茎叶喷雾</w:t>
                  </w:r>
                </w:p>
              </w:tc>
            </w:tr>
          </w:tbl>
          <w:p w14:paraId="68FCD1C0">
            <w:pPr>
              <w:rPr>
                <w:rFonts w:ascii="Times New Roman" w:hAnsi="Times New Roman" w:cs="Times New Roman"/>
                <w:sz w:val="20"/>
                <w:szCs w:val="20"/>
              </w:rPr>
            </w:pPr>
          </w:p>
        </w:tc>
      </w:tr>
      <w:tr w14:paraId="789D68E9">
        <w:tblPrEx>
          <w:tblCellMar>
            <w:top w:w="0" w:type="dxa"/>
            <w:left w:w="0" w:type="dxa"/>
            <w:bottom w:w="0" w:type="dxa"/>
            <w:right w:w="0" w:type="dxa"/>
          </w:tblCellMar>
        </w:tblPrEx>
        <w:trPr>
          <w:wBefore w:w="0" w:type="auto"/>
          <w:tblCellSpacing w:w="0" w:type="dxa"/>
        </w:trPr>
        <w:tc>
          <w:tcPr>
            <w:tcW w:w="0" w:type="auto"/>
            <w:noWrap w:val="0"/>
            <w:vAlign w:val="center"/>
          </w:tcPr>
          <w:p w14:paraId="0C5CBBE8">
            <w:r>
              <w:rPr>
                <w:rStyle w:val="10"/>
                <w:rFonts w:hint="eastAsia"/>
              </w:rPr>
              <w:t>使用技术要求:</w:t>
            </w:r>
            <w:r>
              <w:rPr>
                <w:rFonts w:hint="eastAsia"/>
              </w:rPr>
              <w:br w:type="textWrapping"/>
            </w:r>
            <w:r>
              <w:rPr>
                <w:rStyle w:val="11"/>
                <w:rFonts w:hint="eastAsia"/>
              </w:rPr>
              <w:t>1. 施药时期：玉米的3－5叶期，杂草2-4叶期均匀喷雾处理1次。2. 施药时间应在上午或傍晚，中午前后气温高时喷药易蒸发影响药效，大风或大雨前不要施药。3. 本品每季使用1次。4. 勿超剂量使用避免药害；避免飘移药害。5.合理安排后茬作物，保证安全间隔期。</w:t>
            </w:r>
          </w:p>
        </w:tc>
      </w:tr>
      <w:tr w14:paraId="0E79D762">
        <w:tblPrEx>
          <w:tblCellMar>
            <w:top w:w="0" w:type="dxa"/>
            <w:left w:w="0" w:type="dxa"/>
            <w:bottom w:w="0" w:type="dxa"/>
            <w:right w:w="0" w:type="dxa"/>
          </w:tblCellMar>
        </w:tblPrEx>
        <w:trPr>
          <w:wBefore w:w="0" w:type="auto"/>
          <w:tblCellSpacing w:w="0" w:type="dxa"/>
        </w:trPr>
        <w:tc>
          <w:tcPr>
            <w:tcW w:w="0" w:type="auto"/>
            <w:noWrap w:val="0"/>
            <w:vAlign w:val="center"/>
          </w:tcPr>
          <w:p w14:paraId="12881E1C">
            <w:r>
              <w:rPr>
                <w:rStyle w:val="10"/>
                <w:rFonts w:hint="eastAsia"/>
              </w:rPr>
              <w:t>产品性能:</w:t>
            </w:r>
            <w:r>
              <w:rPr>
                <w:rFonts w:hint="eastAsia"/>
              </w:rPr>
              <w:br w:type="textWrapping"/>
            </w:r>
            <w:r>
              <w:rPr>
                <w:rStyle w:val="11"/>
                <w:rFonts w:hint="eastAsia"/>
              </w:rPr>
              <w:t>本品为玉米田茎叶除草剂，可有效防除玉米田一年生杂草。</w:t>
            </w:r>
          </w:p>
        </w:tc>
      </w:tr>
      <w:tr w14:paraId="70CD8516">
        <w:tblPrEx>
          <w:tblCellMar>
            <w:top w:w="0" w:type="dxa"/>
            <w:left w:w="0" w:type="dxa"/>
            <w:bottom w:w="0" w:type="dxa"/>
            <w:right w:w="0" w:type="dxa"/>
          </w:tblCellMar>
        </w:tblPrEx>
        <w:trPr>
          <w:wBefore w:w="0" w:type="auto"/>
          <w:tblCellSpacing w:w="0" w:type="dxa"/>
        </w:trPr>
        <w:tc>
          <w:tcPr>
            <w:tcW w:w="0" w:type="auto"/>
            <w:noWrap w:val="0"/>
            <w:vAlign w:val="center"/>
          </w:tcPr>
          <w:p w14:paraId="6F4CB5CA">
            <w:r>
              <w:rPr>
                <w:rStyle w:val="10"/>
                <w:rFonts w:hint="eastAsia"/>
              </w:rPr>
              <w:t>注意事项：</w:t>
            </w:r>
            <w:r>
              <w:rPr>
                <w:rFonts w:hint="eastAsia"/>
              </w:rPr>
              <w:br w:type="textWrapping"/>
            </w:r>
            <w:r>
              <w:rPr>
                <w:rStyle w:val="11"/>
                <w:rFonts w:hint="eastAsia"/>
              </w:rPr>
              <w:t>1. 使用前，请详细阅读本标签并按推荐方法和剂量使用。2. 本剂不能与有机磷农药混用，如使用有机磷类农药，间隔期必须在7天以上。3. 如在玉米5叶期以后用药，应压低喷头顺垄喷雾，防止药液喷洒在小喇叭口内。不能用弥雾机施药。4. 不同玉米品种对本品安全性存在差异，其中观赏玉米、爆裂玉米、糯玉米、甜玉米等较敏感，不宜使用。自交系及制种田不宜使用，个别玉米新品种对烟嘧磺隆敏感，使用时应注意对玉米的安全性。间作或套种其他敏感作物的田块禁用。5. 用药前要充分摇匀，喷药要喷匀喷透但不可漏喷、重喷。异常的高温高湿天气不宜用药。本品对豆类、水稻、瓜类、杨树、桃树敏感，防止药液飘移。6. 施药期间应避免对周围蜂群的影响，禁止在开花植物花期、蚕室和桑园附近使用。远离水产养殖区、河塘等水域施药，地下水、饮用水源地禁用。赤眼蜂等天敌放飞区域禁用。7. 使用本品时应穿戴防护服和手套，避免吸入药液；施药期间不可吃东西和饮水；施药后应及时洗手和洗脸。8. 孕妇及哺乳期妇女应避免接触。9. 用过的容器应妥善处理，不可做他用，也不可随意丢弃。</w:t>
            </w:r>
          </w:p>
        </w:tc>
      </w:tr>
      <w:tr w14:paraId="733A7E2E">
        <w:tblPrEx>
          <w:tblCellMar>
            <w:top w:w="0" w:type="dxa"/>
            <w:left w:w="0" w:type="dxa"/>
            <w:bottom w:w="0" w:type="dxa"/>
            <w:right w:w="0" w:type="dxa"/>
          </w:tblCellMar>
        </w:tblPrEx>
        <w:trPr>
          <w:wBefore w:w="0" w:type="auto"/>
          <w:tblCellSpacing w:w="0" w:type="dxa"/>
        </w:trPr>
        <w:tc>
          <w:tcPr>
            <w:tcW w:w="0" w:type="auto"/>
            <w:noWrap w:val="0"/>
            <w:vAlign w:val="center"/>
          </w:tcPr>
          <w:p w14:paraId="0782EB77">
            <w:r>
              <w:rPr>
                <w:rStyle w:val="10"/>
                <w:rFonts w:hint="eastAsia"/>
              </w:rPr>
              <w:t>中毒急救措施：</w:t>
            </w:r>
            <w:r>
              <w:rPr>
                <w:rFonts w:hint="eastAsia"/>
              </w:rPr>
              <w:br w:type="textWrapping"/>
            </w:r>
            <w:r>
              <w:rPr>
                <w:rStyle w:val="11"/>
                <w:rFonts w:hint="eastAsia"/>
              </w:rPr>
              <w:t>1. 中毒症状：对眼、皮肤及呼吸道有刺激作用。2. 皮肤接触：立即脱掉被污染的衣物，用肥皂和大量清水彻底清洗受污染的皮肤。3. 眼睛溅药：立即将眼睑翻开，用清水冲洗10-15分钟，再请医生诊治。4. 不慎吸入：立即将吸入者转移到空气新鲜处，请医生诊治。5. 如误服，应立即携带此标签去医院诊治。无解毒剂，对症治疗。</w:t>
            </w:r>
          </w:p>
        </w:tc>
      </w:tr>
      <w:tr w14:paraId="44B46F52">
        <w:tblPrEx>
          <w:tblCellMar>
            <w:top w:w="0" w:type="dxa"/>
            <w:left w:w="0" w:type="dxa"/>
            <w:bottom w:w="0" w:type="dxa"/>
            <w:right w:w="0" w:type="dxa"/>
          </w:tblCellMar>
        </w:tblPrEx>
        <w:trPr>
          <w:wBefore w:w="0" w:type="auto"/>
          <w:tblCellSpacing w:w="0" w:type="dxa"/>
        </w:trPr>
        <w:tc>
          <w:tcPr>
            <w:tcW w:w="0" w:type="auto"/>
            <w:noWrap w:val="0"/>
            <w:vAlign w:val="center"/>
          </w:tcPr>
          <w:p w14:paraId="51B243D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本品应贮存在干燥、阴凉、通风、防雨处，远离火源或热源。置于儿童、无关人员触及不到之处，并加锁。不能与食品、饮料、粮食、饲料等同贮同运。</w:t>
            </w:r>
          </w:p>
        </w:tc>
      </w:tr>
      <w:tr w14:paraId="65D99FA9">
        <w:tblPrEx>
          <w:tblCellMar>
            <w:top w:w="0" w:type="dxa"/>
            <w:left w:w="0" w:type="dxa"/>
            <w:bottom w:w="0" w:type="dxa"/>
            <w:right w:w="0" w:type="dxa"/>
          </w:tblCellMar>
        </w:tblPrEx>
        <w:trPr>
          <w:wBefore w:w="0" w:type="auto"/>
          <w:tblCellSpacing w:w="0" w:type="dxa"/>
        </w:trPr>
        <w:tc>
          <w:tcPr>
            <w:tcW w:w="0" w:type="auto"/>
            <w:noWrap w:val="0"/>
            <w:vAlign w:val="center"/>
          </w:tcPr>
          <w:p w14:paraId="6B590E2F">
            <w:r>
              <w:rPr>
                <w:rStyle w:val="10"/>
                <w:rFonts w:hint="eastAsia"/>
              </w:rPr>
              <w:t>质量保证期：</w:t>
            </w:r>
            <w:r>
              <w:rPr>
                <w:rStyle w:val="11"/>
                <w:rFonts w:hint="eastAsia"/>
              </w:rPr>
              <w:t>2年</w:t>
            </w:r>
          </w:p>
        </w:tc>
      </w:tr>
      <w:tr w14:paraId="2A0C01F1">
        <w:tblPrEx>
          <w:tblCellMar>
            <w:top w:w="0" w:type="dxa"/>
            <w:left w:w="0" w:type="dxa"/>
            <w:bottom w:w="0" w:type="dxa"/>
            <w:right w:w="0" w:type="dxa"/>
          </w:tblCellMar>
        </w:tblPrEx>
        <w:trPr>
          <w:wBefore w:w="0" w:type="auto"/>
          <w:tblCellSpacing w:w="0" w:type="dxa"/>
        </w:trPr>
        <w:tc>
          <w:tcPr>
            <w:tcW w:w="0" w:type="auto"/>
            <w:noWrap w:val="0"/>
            <w:vAlign w:val="center"/>
          </w:tcPr>
          <w:p w14:paraId="47C412F6">
            <w:r>
              <w:rPr>
                <w:rStyle w:val="10"/>
                <w:rFonts w:hint="eastAsia"/>
              </w:rPr>
              <w:t>备注：</w:t>
            </w:r>
          </w:p>
        </w:tc>
      </w:tr>
    </w:tbl>
    <w:p w14:paraId="6013A58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541DA32">
        <w:tblPrEx>
          <w:tblCellMar>
            <w:top w:w="0" w:type="dxa"/>
            <w:left w:w="0" w:type="dxa"/>
            <w:bottom w:w="0" w:type="dxa"/>
            <w:right w:w="0" w:type="dxa"/>
          </w:tblCellMar>
        </w:tblPrEx>
        <w:trPr>
          <w:wBefore w:w="0" w:type="auto"/>
          <w:tblCellSpacing w:w="0" w:type="dxa"/>
        </w:trPr>
        <w:tc>
          <w:tcPr>
            <w:tcW w:w="0" w:type="auto"/>
            <w:noWrap w:val="0"/>
            <w:vAlign w:val="center"/>
          </w:tcPr>
          <w:p w14:paraId="2BA40F9E">
            <w:r>
              <w:rPr>
                <w:rStyle w:val="10"/>
                <w:rFonts w:hint="eastAsia"/>
              </w:rPr>
              <w:t>登记证号：</w:t>
            </w:r>
            <w:r>
              <w:rPr>
                <w:rFonts w:hint="eastAsia"/>
              </w:rPr>
              <w:t>PD20211842</w:t>
            </w:r>
          </w:p>
        </w:tc>
      </w:tr>
      <w:tr w14:paraId="6B7F61FD">
        <w:tblPrEx>
          <w:tblCellMar>
            <w:top w:w="0" w:type="dxa"/>
            <w:left w:w="0" w:type="dxa"/>
            <w:bottom w:w="0" w:type="dxa"/>
            <w:right w:w="0" w:type="dxa"/>
          </w:tblCellMar>
        </w:tblPrEx>
        <w:trPr>
          <w:wBefore w:w="0" w:type="auto"/>
          <w:tblCellSpacing w:w="0" w:type="dxa"/>
        </w:trPr>
        <w:tc>
          <w:tcPr>
            <w:tcW w:w="0" w:type="auto"/>
            <w:noWrap w:val="0"/>
            <w:vAlign w:val="center"/>
          </w:tcPr>
          <w:p w14:paraId="5438088E">
            <w:r>
              <w:rPr>
                <w:rStyle w:val="10"/>
                <w:rFonts w:hint="eastAsia"/>
              </w:rPr>
              <w:t>登记证持有人：</w:t>
            </w:r>
            <w:r>
              <w:rPr>
                <w:rFonts w:hint="eastAsia"/>
              </w:rPr>
              <w:t>上海悦联生物科技有限公司</w:t>
            </w:r>
          </w:p>
        </w:tc>
      </w:tr>
      <w:tr w14:paraId="2B1D4F04">
        <w:tblPrEx>
          <w:tblCellMar>
            <w:top w:w="0" w:type="dxa"/>
            <w:left w:w="0" w:type="dxa"/>
            <w:bottom w:w="0" w:type="dxa"/>
            <w:right w:w="0" w:type="dxa"/>
          </w:tblCellMar>
        </w:tblPrEx>
        <w:trPr>
          <w:wBefore w:w="0" w:type="auto"/>
          <w:tblCellSpacing w:w="0" w:type="dxa"/>
        </w:trPr>
        <w:tc>
          <w:tcPr>
            <w:tcW w:w="0" w:type="auto"/>
            <w:noWrap w:val="0"/>
            <w:vAlign w:val="center"/>
          </w:tcPr>
          <w:p w14:paraId="75284700">
            <w:r>
              <w:rPr>
                <w:rStyle w:val="10"/>
                <w:rFonts w:hint="eastAsia"/>
              </w:rPr>
              <w:t>农药名称：</w:t>
            </w:r>
            <w:r>
              <w:rPr>
                <w:rFonts w:hint="eastAsia"/>
              </w:rPr>
              <w:t>联肼·乙螨唑</w:t>
            </w:r>
          </w:p>
        </w:tc>
      </w:tr>
      <w:tr w14:paraId="0050525E">
        <w:tblPrEx>
          <w:tblCellMar>
            <w:top w:w="0" w:type="dxa"/>
            <w:left w:w="0" w:type="dxa"/>
            <w:bottom w:w="0" w:type="dxa"/>
            <w:right w:w="0" w:type="dxa"/>
          </w:tblCellMar>
        </w:tblPrEx>
        <w:trPr>
          <w:wBefore w:w="0" w:type="auto"/>
          <w:tblCellSpacing w:w="0" w:type="dxa"/>
        </w:trPr>
        <w:tc>
          <w:tcPr>
            <w:tcW w:w="0" w:type="auto"/>
            <w:noWrap w:val="0"/>
            <w:vAlign w:val="center"/>
          </w:tcPr>
          <w:p w14:paraId="33312966">
            <w:r>
              <w:rPr>
                <w:rStyle w:val="10"/>
                <w:rFonts w:hint="eastAsia"/>
              </w:rPr>
              <w:t>剂型：</w:t>
            </w:r>
            <w:r>
              <w:rPr>
                <w:rFonts w:hint="eastAsia"/>
              </w:rPr>
              <w:t>悬浮剂</w:t>
            </w:r>
          </w:p>
        </w:tc>
      </w:tr>
      <w:tr w14:paraId="2B306AE2">
        <w:tblPrEx>
          <w:tblCellMar>
            <w:top w:w="0" w:type="dxa"/>
            <w:left w:w="0" w:type="dxa"/>
            <w:bottom w:w="0" w:type="dxa"/>
            <w:right w:w="0" w:type="dxa"/>
          </w:tblCellMar>
        </w:tblPrEx>
        <w:trPr>
          <w:wBefore w:w="0" w:type="auto"/>
          <w:tblCellSpacing w:w="0" w:type="dxa"/>
        </w:trPr>
        <w:tc>
          <w:tcPr>
            <w:tcW w:w="0" w:type="auto"/>
            <w:noWrap w:val="0"/>
            <w:vAlign w:val="center"/>
          </w:tcPr>
          <w:p w14:paraId="0EDD0B93">
            <w:r>
              <w:rPr>
                <w:rStyle w:val="10"/>
                <w:rFonts w:hint="eastAsia"/>
              </w:rPr>
              <w:t>毒性及其标识：</w:t>
            </w:r>
            <w:r>
              <w:rPr>
                <w:rFonts w:hint="eastAsia"/>
              </w:rPr>
              <w:t xml:space="preserve"> </w:t>
            </w:r>
            <w:r>
              <w:rPr>
                <w:lang/>
              </w:rPr>
              <w:drawing>
                <wp:inline distT="0" distB="0" distL="114300" distR="114300">
                  <wp:extent cx="476250" cy="323850"/>
                  <wp:effectExtent l="0" t="0" r="0" b="0"/>
                  <wp:docPr id="244" name="图片 24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2DC525">
        <w:tblPrEx>
          <w:tblCellMar>
            <w:top w:w="0" w:type="dxa"/>
            <w:left w:w="0" w:type="dxa"/>
            <w:bottom w:w="0" w:type="dxa"/>
            <w:right w:w="0" w:type="dxa"/>
          </w:tblCellMar>
        </w:tblPrEx>
        <w:trPr>
          <w:wBefore w:w="0" w:type="auto"/>
          <w:tblCellSpacing w:w="0" w:type="dxa"/>
        </w:trPr>
        <w:tc>
          <w:tcPr>
            <w:tcW w:w="0" w:type="auto"/>
            <w:noWrap w:val="0"/>
            <w:vAlign w:val="center"/>
          </w:tcPr>
          <w:p w14:paraId="1D1767A7">
            <w:r>
              <w:rPr>
                <w:rStyle w:val="10"/>
                <w:rFonts w:hint="eastAsia"/>
              </w:rPr>
              <w:t>总有效成分含量：</w:t>
            </w:r>
            <w:r>
              <w:rPr>
                <w:rFonts w:hint="eastAsia"/>
              </w:rPr>
              <w:t>45%</w:t>
            </w:r>
          </w:p>
        </w:tc>
      </w:tr>
      <w:tr w14:paraId="54A87DA0">
        <w:tblPrEx>
          <w:tblCellMar>
            <w:top w:w="0" w:type="dxa"/>
            <w:left w:w="0" w:type="dxa"/>
            <w:bottom w:w="0" w:type="dxa"/>
            <w:right w:w="0" w:type="dxa"/>
          </w:tblCellMar>
        </w:tblPrEx>
        <w:trPr>
          <w:wBefore w:w="0" w:type="auto"/>
          <w:tblCellSpacing w:w="0" w:type="dxa"/>
        </w:trPr>
        <w:tc>
          <w:tcPr>
            <w:tcW w:w="0" w:type="auto"/>
            <w:noWrap w:val="0"/>
            <w:vAlign w:val="center"/>
          </w:tcPr>
          <w:p w14:paraId="6AF0A987">
            <w:r>
              <w:rPr>
                <w:rFonts w:hint="eastAsia"/>
              </w:rPr>
              <w:t xml:space="preserve">有效成分及其含量： </w:t>
            </w:r>
          </w:p>
          <w:p w14:paraId="202F5AEB">
            <w:r>
              <w:rPr>
                <w:rFonts w:hint="eastAsia"/>
              </w:rPr>
              <w:t xml:space="preserve">    联苯肼酯30%    乙螨唑15%    </w:t>
            </w:r>
          </w:p>
        </w:tc>
      </w:tr>
      <w:tr w14:paraId="125B3D35">
        <w:tblPrEx>
          <w:tblCellMar>
            <w:top w:w="0" w:type="dxa"/>
            <w:left w:w="0" w:type="dxa"/>
            <w:bottom w:w="0" w:type="dxa"/>
            <w:right w:w="0" w:type="dxa"/>
          </w:tblCellMar>
        </w:tblPrEx>
        <w:trPr>
          <w:wBefore w:w="0" w:type="auto"/>
          <w:tblCellSpacing w:w="0" w:type="dxa"/>
        </w:trPr>
        <w:tc>
          <w:tcPr>
            <w:tcW w:w="0" w:type="auto"/>
            <w:noWrap w:val="0"/>
            <w:vAlign w:val="center"/>
          </w:tcPr>
          <w:p w14:paraId="718EB73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8C4C7F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360B5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07DB05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C93128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5441A32">
                  <w:r>
                    <w:rPr>
                      <w:rStyle w:val="11"/>
                      <w:rFonts w:hint="eastAsia"/>
                    </w:rPr>
                    <w:t>施用方式</w:t>
                  </w:r>
                </w:p>
              </w:tc>
            </w:tr>
            <w:tr w14:paraId="6314BF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5804BE0">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929380">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CB3ED7">
                  <w:r>
                    <w:rPr>
                      <w:rStyle w:val="11"/>
                      <w:rFonts w:hint="eastAsia"/>
                    </w:rPr>
                    <w:t>8000-10000倍液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313AAC">
                  <w:r>
                    <w:rPr>
                      <w:rStyle w:val="11"/>
                      <w:rFonts w:hint="eastAsia"/>
                    </w:rPr>
                    <w:t>喷雾</w:t>
                  </w:r>
                </w:p>
              </w:tc>
            </w:tr>
          </w:tbl>
          <w:p w14:paraId="4247AEDD">
            <w:pPr>
              <w:rPr>
                <w:rFonts w:ascii="Times New Roman" w:hAnsi="Times New Roman" w:cs="Times New Roman"/>
                <w:sz w:val="20"/>
                <w:szCs w:val="20"/>
              </w:rPr>
            </w:pPr>
          </w:p>
        </w:tc>
      </w:tr>
      <w:tr w14:paraId="0A6E90B5">
        <w:tblPrEx>
          <w:tblCellMar>
            <w:top w:w="0" w:type="dxa"/>
            <w:left w:w="0" w:type="dxa"/>
            <w:bottom w:w="0" w:type="dxa"/>
            <w:right w:w="0" w:type="dxa"/>
          </w:tblCellMar>
        </w:tblPrEx>
        <w:trPr>
          <w:wBefore w:w="0" w:type="auto"/>
          <w:tblCellSpacing w:w="0" w:type="dxa"/>
        </w:trPr>
        <w:tc>
          <w:tcPr>
            <w:tcW w:w="0" w:type="auto"/>
            <w:noWrap w:val="0"/>
            <w:vAlign w:val="center"/>
          </w:tcPr>
          <w:p w14:paraId="785B5D3E">
            <w:r>
              <w:rPr>
                <w:rStyle w:val="10"/>
                <w:rFonts w:hint="eastAsia"/>
              </w:rPr>
              <w:t>使用技术要求:</w:t>
            </w:r>
            <w:r>
              <w:rPr>
                <w:rFonts w:hint="eastAsia"/>
              </w:rPr>
              <w:br w:type="textWrapping"/>
            </w:r>
            <w:r>
              <w:rPr>
                <w:rStyle w:val="11"/>
                <w:rFonts w:hint="eastAsia"/>
              </w:rPr>
              <w:t>1.于柑橘树红蜘蛛发生始盛期施药； 2.大风天或预计1小时内降雨，请勿施药； 3.在柑橘树上的安全间隔期为28天，每季最多使用1次。</w:t>
            </w:r>
          </w:p>
        </w:tc>
      </w:tr>
      <w:tr w14:paraId="12446928">
        <w:tblPrEx>
          <w:tblCellMar>
            <w:top w:w="0" w:type="dxa"/>
            <w:left w:w="0" w:type="dxa"/>
            <w:bottom w:w="0" w:type="dxa"/>
            <w:right w:w="0" w:type="dxa"/>
          </w:tblCellMar>
        </w:tblPrEx>
        <w:trPr>
          <w:wBefore w:w="0" w:type="auto"/>
          <w:tblCellSpacing w:w="0" w:type="dxa"/>
        </w:trPr>
        <w:tc>
          <w:tcPr>
            <w:tcW w:w="0" w:type="auto"/>
            <w:noWrap w:val="0"/>
            <w:vAlign w:val="center"/>
          </w:tcPr>
          <w:p w14:paraId="0C4D9B97">
            <w:r>
              <w:rPr>
                <w:rStyle w:val="10"/>
                <w:rFonts w:hint="eastAsia"/>
              </w:rPr>
              <w:t>产品性能:</w:t>
            </w:r>
            <w:r>
              <w:rPr>
                <w:rFonts w:hint="eastAsia"/>
              </w:rPr>
              <w:br w:type="textWrapping"/>
            </w:r>
            <w:r>
              <w:rPr>
                <w:rStyle w:val="11"/>
                <w:rFonts w:hint="eastAsia"/>
              </w:rPr>
              <w:t>本品是肼酯类杀螨剂和二苯基恶唑啉衍生物类杀螨剂的复配制剂。对害螨的卵、幼虫和成虫各个阶段均有较强杀伤作用。</w:t>
            </w:r>
          </w:p>
        </w:tc>
      </w:tr>
      <w:tr w14:paraId="7997DE71">
        <w:tblPrEx>
          <w:tblCellMar>
            <w:top w:w="0" w:type="dxa"/>
            <w:left w:w="0" w:type="dxa"/>
            <w:bottom w:w="0" w:type="dxa"/>
            <w:right w:w="0" w:type="dxa"/>
          </w:tblCellMar>
        </w:tblPrEx>
        <w:trPr>
          <w:wBefore w:w="0" w:type="auto"/>
          <w:tblCellSpacing w:w="0" w:type="dxa"/>
        </w:trPr>
        <w:tc>
          <w:tcPr>
            <w:tcW w:w="0" w:type="auto"/>
            <w:noWrap w:val="0"/>
            <w:vAlign w:val="center"/>
          </w:tcPr>
          <w:p w14:paraId="0A19D864">
            <w:r>
              <w:rPr>
                <w:rStyle w:val="10"/>
                <w:rFonts w:hint="eastAsia"/>
              </w:rPr>
              <w:t>注意事项：</w:t>
            </w:r>
            <w:r>
              <w:rPr>
                <w:rFonts w:hint="eastAsia"/>
              </w:rPr>
              <w:br w:type="textWrapping"/>
            </w:r>
            <w:r>
              <w:rPr>
                <w:rStyle w:val="11"/>
                <w:rFonts w:hint="eastAsia"/>
              </w:rPr>
              <w:t>1．使用本品时应采取相应的安全防护措施，穿防护服，戴防护手套、口罩等。避免皮肤接触及口鼻吸入药液。使用中不可吸烟、饮水、吃东西等；使用后及时清洗手、脸等暴露部位皮肤并更换衣物。 2．本品对水生生物有毒，水产养殖区、河塘等水体附近禁用，禁止在河塘等水域清洗施药器具。 3．建议与其他作用机制不同的杀虫剂轮换使用，以延缓抗性产生。 4．使用后的包装物应遵照农药包装废弃物回收准则的相关规定处理，不可作他用，也不可随意丢弃。 5．避免孕妇及哺乳期妇女接触。使用中有任何不良反应请及时就医。</w:t>
            </w:r>
          </w:p>
        </w:tc>
      </w:tr>
      <w:tr w14:paraId="7D532FB9">
        <w:tblPrEx>
          <w:tblCellMar>
            <w:top w:w="0" w:type="dxa"/>
            <w:left w:w="0" w:type="dxa"/>
            <w:bottom w:w="0" w:type="dxa"/>
            <w:right w:w="0" w:type="dxa"/>
          </w:tblCellMar>
        </w:tblPrEx>
        <w:trPr>
          <w:wBefore w:w="0" w:type="auto"/>
          <w:tblCellSpacing w:w="0" w:type="dxa"/>
        </w:trPr>
        <w:tc>
          <w:tcPr>
            <w:tcW w:w="0" w:type="auto"/>
            <w:noWrap w:val="0"/>
            <w:vAlign w:val="center"/>
          </w:tcPr>
          <w:p w14:paraId="72BA5D4D">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 1.皮肤接触：脱去污染的衣物，用软布去除沾染农药，立即用大量清水和肥皂冲洗。 2.眼睛溅入：立即用流动清水冲洗不少于15分钟，携带标签到医院就诊。 3.吸入：立即离开施药现场，转移到空气清新处。 4.误食：停止服用，用清水充分漱口后，立即携带标签到医院就诊。</w:t>
            </w:r>
          </w:p>
        </w:tc>
      </w:tr>
      <w:tr w14:paraId="4E0A6CA8">
        <w:tblPrEx>
          <w:tblCellMar>
            <w:top w:w="0" w:type="dxa"/>
            <w:left w:w="0" w:type="dxa"/>
            <w:bottom w:w="0" w:type="dxa"/>
            <w:right w:w="0" w:type="dxa"/>
          </w:tblCellMar>
        </w:tblPrEx>
        <w:trPr>
          <w:wBefore w:w="0" w:type="auto"/>
          <w:tblCellSpacing w:w="0" w:type="dxa"/>
        </w:trPr>
        <w:tc>
          <w:tcPr>
            <w:tcW w:w="0" w:type="auto"/>
            <w:noWrap w:val="0"/>
            <w:vAlign w:val="center"/>
          </w:tcPr>
          <w:p w14:paraId="76B2D12B">
            <w:r>
              <w:rPr>
                <w:rStyle w:val="10"/>
                <w:rFonts w:hint="eastAsia"/>
              </w:rPr>
              <w:t>储存和运输方法：</w:t>
            </w:r>
            <w:r>
              <w:rPr>
                <w:rFonts w:hint="eastAsia"/>
              </w:rPr>
              <w:br w:type="textWrapping"/>
            </w:r>
            <w:r>
              <w:rPr>
                <w:rStyle w:val="11"/>
                <w:rFonts w:hint="eastAsia"/>
              </w:rPr>
              <w:t>本品应贮存在避光、通风、干燥防风雨处，远离火源和热源。置于儿童、无关人员及动物接触不到的地方，并加锁保存。勿与食物、饮料、种子、粮食和饲料等同贮同运。</w:t>
            </w:r>
          </w:p>
        </w:tc>
      </w:tr>
      <w:tr w14:paraId="20F80663">
        <w:tblPrEx>
          <w:tblCellMar>
            <w:top w:w="0" w:type="dxa"/>
            <w:left w:w="0" w:type="dxa"/>
            <w:bottom w:w="0" w:type="dxa"/>
            <w:right w:w="0" w:type="dxa"/>
          </w:tblCellMar>
        </w:tblPrEx>
        <w:trPr>
          <w:wBefore w:w="0" w:type="auto"/>
          <w:tblCellSpacing w:w="0" w:type="dxa"/>
        </w:trPr>
        <w:tc>
          <w:tcPr>
            <w:tcW w:w="0" w:type="auto"/>
            <w:noWrap w:val="0"/>
            <w:vAlign w:val="center"/>
          </w:tcPr>
          <w:p w14:paraId="05097BD5">
            <w:r>
              <w:rPr>
                <w:rStyle w:val="10"/>
                <w:rFonts w:hint="eastAsia"/>
              </w:rPr>
              <w:t>质量保证期：</w:t>
            </w:r>
            <w:r>
              <w:rPr>
                <w:rStyle w:val="11"/>
                <w:rFonts w:hint="eastAsia"/>
              </w:rPr>
              <w:t>2年</w:t>
            </w:r>
          </w:p>
        </w:tc>
      </w:tr>
      <w:tr w14:paraId="51E1CC9D">
        <w:tblPrEx>
          <w:tblCellMar>
            <w:top w:w="0" w:type="dxa"/>
            <w:left w:w="0" w:type="dxa"/>
            <w:bottom w:w="0" w:type="dxa"/>
            <w:right w:w="0" w:type="dxa"/>
          </w:tblCellMar>
        </w:tblPrEx>
        <w:trPr>
          <w:wBefore w:w="0" w:type="auto"/>
          <w:tblCellSpacing w:w="0" w:type="dxa"/>
        </w:trPr>
        <w:tc>
          <w:tcPr>
            <w:tcW w:w="0" w:type="auto"/>
            <w:noWrap w:val="0"/>
            <w:vAlign w:val="center"/>
          </w:tcPr>
          <w:p w14:paraId="77267D30">
            <w:r>
              <w:rPr>
                <w:rStyle w:val="10"/>
                <w:rFonts w:hint="eastAsia"/>
              </w:rPr>
              <w:t>备注：</w:t>
            </w:r>
          </w:p>
        </w:tc>
      </w:tr>
    </w:tbl>
    <w:p w14:paraId="24D3446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1A474FB">
        <w:tblPrEx>
          <w:tblCellMar>
            <w:top w:w="0" w:type="dxa"/>
            <w:left w:w="0" w:type="dxa"/>
            <w:bottom w:w="0" w:type="dxa"/>
            <w:right w:w="0" w:type="dxa"/>
          </w:tblCellMar>
        </w:tblPrEx>
        <w:trPr>
          <w:wBefore w:w="0" w:type="auto"/>
          <w:tblCellSpacing w:w="0" w:type="dxa"/>
        </w:trPr>
        <w:tc>
          <w:tcPr>
            <w:tcW w:w="0" w:type="auto"/>
            <w:noWrap w:val="0"/>
            <w:vAlign w:val="center"/>
          </w:tcPr>
          <w:p w14:paraId="2A096158">
            <w:r>
              <w:rPr>
                <w:rStyle w:val="10"/>
                <w:rFonts w:hint="eastAsia"/>
              </w:rPr>
              <w:t>登记证号：</w:t>
            </w:r>
            <w:r>
              <w:rPr>
                <w:rFonts w:hint="eastAsia"/>
              </w:rPr>
              <w:t>PD20212212</w:t>
            </w:r>
          </w:p>
        </w:tc>
      </w:tr>
      <w:tr w14:paraId="5A9AC792">
        <w:tblPrEx>
          <w:tblCellMar>
            <w:top w:w="0" w:type="dxa"/>
            <w:left w:w="0" w:type="dxa"/>
            <w:bottom w:w="0" w:type="dxa"/>
            <w:right w:w="0" w:type="dxa"/>
          </w:tblCellMar>
        </w:tblPrEx>
        <w:trPr>
          <w:wBefore w:w="0" w:type="auto"/>
          <w:tblCellSpacing w:w="0" w:type="dxa"/>
        </w:trPr>
        <w:tc>
          <w:tcPr>
            <w:tcW w:w="0" w:type="auto"/>
            <w:noWrap w:val="0"/>
            <w:vAlign w:val="center"/>
          </w:tcPr>
          <w:p w14:paraId="321B3369">
            <w:r>
              <w:rPr>
                <w:rStyle w:val="10"/>
                <w:rFonts w:hint="eastAsia"/>
              </w:rPr>
              <w:t>登记证持有人：</w:t>
            </w:r>
            <w:r>
              <w:rPr>
                <w:rFonts w:hint="eastAsia"/>
              </w:rPr>
              <w:t>山东亿盛实业股份有限公司</w:t>
            </w:r>
          </w:p>
        </w:tc>
      </w:tr>
      <w:tr w14:paraId="77184417">
        <w:tblPrEx>
          <w:tblCellMar>
            <w:top w:w="0" w:type="dxa"/>
            <w:left w:w="0" w:type="dxa"/>
            <w:bottom w:w="0" w:type="dxa"/>
            <w:right w:w="0" w:type="dxa"/>
          </w:tblCellMar>
        </w:tblPrEx>
        <w:trPr>
          <w:wBefore w:w="0" w:type="auto"/>
          <w:tblCellSpacing w:w="0" w:type="dxa"/>
        </w:trPr>
        <w:tc>
          <w:tcPr>
            <w:tcW w:w="0" w:type="auto"/>
            <w:noWrap w:val="0"/>
            <w:vAlign w:val="center"/>
          </w:tcPr>
          <w:p w14:paraId="6935E1E8">
            <w:r>
              <w:rPr>
                <w:rStyle w:val="10"/>
                <w:rFonts w:hint="eastAsia"/>
              </w:rPr>
              <w:t>农药名称：</w:t>
            </w:r>
            <w:r>
              <w:rPr>
                <w:rFonts w:hint="eastAsia"/>
              </w:rPr>
              <w:t>精草铵膦铵盐</w:t>
            </w:r>
          </w:p>
        </w:tc>
      </w:tr>
      <w:tr w14:paraId="79553B92">
        <w:tblPrEx>
          <w:tblCellMar>
            <w:top w:w="0" w:type="dxa"/>
            <w:left w:w="0" w:type="dxa"/>
            <w:bottom w:w="0" w:type="dxa"/>
            <w:right w:w="0" w:type="dxa"/>
          </w:tblCellMar>
        </w:tblPrEx>
        <w:trPr>
          <w:wBefore w:w="0" w:type="auto"/>
          <w:tblCellSpacing w:w="0" w:type="dxa"/>
        </w:trPr>
        <w:tc>
          <w:tcPr>
            <w:tcW w:w="0" w:type="auto"/>
            <w:noWrap w:val="0"/>
            <w:vAlign w:val="center"/>
          </w:tcPr>
          <w:p w14:paraId="4AB5AFA7">
            <w:r>
              <w:rPr>
                <w:rStyle w:val="10"/>
                <w:rFonts w:hint="eastAsia"/>
              </w:rPr>
              <w:t>剂型：</w:t>
            </w:r>
            <w:r>
              <w:rPr>
                <w:rFonts w:hint="eastAsia"/>
              </w:rPr>
              <w:t>可溶液剂</w:t>
            </w:r>
          </w:p>
        </w:tc>
      </w:tr>
      <w:tr w14:paraId="2C768E57">
        <w:tblPrEx>
          <w:tblCellMar>
            <w:top w:w="0" w:type="dxa"/>
            <w:left w:w="0" w:type="dxa"/>
            <w:bottom w:w="0" w:type="dxa"/>
            <w:right w:w="0" w:type="dxa"/>
          </w:tblCellMar>
        </w:tblPrEx>
        <w:trPr>
          <w:wBefore w:w="0" w:type="auto"/>
          <w:tblCellSpacing w:w="0" w:type="dxa"/>
        </w:trPr>
        <w:tc>
          <w:tcPr>
            <w:tcW w:w="0" w:type="auto"/>
            <w:noWrap w:val="0"/>
            <w:vAlign w:val="center"/>
          </w:tcPr>
          <w:p w14:paraId="362574BC">
            <w:r>
              <w:rPr>
                <w:rStyle w:val="10"/>
                <w:rFonts w:hint="eastAsia"/>
              </w:rPr>
              <w:t>毒性及其标识：</w:t>
            </w:r>
            <w:r>
              <w:rPr>
                <w:rFonts w:hint="eastAsia"/>
              </w:rPr>
              <w:t xml:space="preserve"> </w:t>
            </w:r>
            <w:r>
              <w:rPr>
                <w:lang/>
              </w:rPr>
              <w:drawing>
                <wp:inline distT="0" distB="0" distL="114300" distR="114300">
                  <wp:extent cx="476250" cy="323850"/>
                  <wp:effectExtent l="0" t="0" r="0" b="0"/>
                  <wp:docPr id="245" name="图片 24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EA49C15">
        <w:tblPrEx>
          <w:tblCellMar>
            <w:top w:w="0" w:type="dxa"/>
            <w:left w:w="0" w:type="dxa"/>
            <w:bottom w:w="0" w:type="dxa"/>
            <w:right w:w="0" w:type="dxa"/>
          </w:tblCellMar>
        </w:tblPrEx>
        <w:trPr>
          <w:wBefore w:w="0" w:type="auto"/>
          <w:tblCellSpacing w:w="0" w:type="dxa"/>
        </w:trPr>
        <w:tc>
          <w:tcPr>
            <w:tcW w:w="0" w:type="auto"/>
            <w:noWrap w:val="0"/>
            <w:vAlign w:val="center"/>
          </w:tcPr>
          <w:p w14:paraId="07CD734C">
            <w:r>
              <w:rPr>
                <w:rStyle w:val="10"/>
                <w:rFonts w:hint="eastAsia"/>
              </w:rPr>
              <w:t>总有效成分含量：</w:t>
            </w:r>
            <w:r>
              <w:rPr>
                <w:rFonts w:hint="eastAsia"/>
              </w:rPr>
              <w:t>10%</w:t>
            </w:r>
          </w:p>
        </w:tc>
      </w:tr>
      <w:tr w14:paraId="6F2B42E7">
        <w:tblPrEx>
          <w:tblCellMar>
            <w:top w:w="0" w:type="dxa"/>
            <w:left w:w="0" w:type="dxa"/>
            <w:bottom w:w="0" w:type="dxa"/>
            <w:right w:w="0" w:type="dxa"/>
          </w:tblCellMar>
        </w:tblPrEx>
        <w:trPr>
          <w:wBefore w:w="0" w:type="auto"/>
          <w:tblCellSpacing w:w="0" w:type="dxa"/>
        </w:trPr>
        <w:tc>
          <w:tcPr>
            <w:tcW w:w="0" w:type="auto"/>
            <w:noWrap w:val="0"/>
            <w:vAlign w:val="center"/>
          </w:tcPr>
          <w:p w14:paraId="083ACBCA">
            <w:r>
              <w:rPr>
                <w:rFonts w:hint="eastAsia"/>
              </w:rPr>
              <w:t xml:space="preserve">有效成分及其含量： </w:t>
            </w:r>
          </w:p>
          <w:p w14:paraId="65A1778C">
            <w:r>
              <w:rPr>
                <w:rFonts w:hint="eastAsia"/>
              </w:rPr>
              <w:t xml:space="preserve">    精草铵膦10%    </w:t>
            </w:r>
          </w:p>
        </w:tc>
      </w:tr>
      <w:tr w14:paraId="31EC8B6F">
        <w:tblPrEx>
          <w:tblCellMar>
            <w:top w:w="0" w:type="dxa"/>
            <w:left w:w="0" w:type="dxa"/>
            <w:bottom w:w="0" w:type="dxa"/>
            <w:right w:w="0" w:type="dxa"/>
          </w:tblCellMar>
        </w:tblPrEx>
        <w:trPr>
          <w:wBefore w:w="0" w:type="auto"/>
          <w:tblCellSpacing w:w="0" w:type="dxa"/>
        </w:trPr>
        <w:tc>
          <w:tcPr>
            <w:tcW w:w="0" w:type="auto"/>
            <w:noWrap w:val="0"/>
            <w:vAlign w:val="center"/>
          </w:tcPr>
          <w:p w14:paraId="3716192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700B2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F33430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5976C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757FBC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E533194">
                  <w:r>
                    <w:rPr>
                      <w:rStyle w:val="11"/>
                      <w:rFonts w:hint="eastAsia"/>
                    </w:rPr>
                    <w:t>施用方式</w:t>
                  </w:r>
                </w:p>
              </w:tc>
            </w:tr>
            <w:tr w14:paraId="1B308B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4C31C8">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E6564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D544BC">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FDD898">
                  <w:r>
                    <w:rPr>
                      <w:rStyle w:val="11"/>
                      <w:rFonts w:hint="eastAsia"/>
                    </w:rPr>
                    <w:t>茎叶喷雾</w:t>
                  </w:r>
                </w:p>
              </w:tc>
            </w:tr>
          </w:tbl>
          <w:p w14:paraId="0BBFB590">
            <w:pPr>
              <w:rPr>
                <w:rFonts w:ascii="Times New Roman" w:hAnsi="Times New Roman" w:cs="Times New Roman"/>
                <w:sz w:val="20"/>
                <w:szCs w:val="20"/>
              </w:rPr>
            </w:pPr>
          </w:p>
        </w:tc>
      </w:tr>
      <w:tr w14:paraId="33D63B01">
        <w:tblPrEx>
          <w:tblCellMar>
            <w:top w:w="0" w:type="dxa"/>
            <w:left w:w="0" w:type="dxa"/>
            <w:bottom w:w="0" w:type="dxa"/>
            <w:right w:w="0" w:type="dxa"/>
          </w:tblCellMar>
        </w:tblPrEx>
        <w:trPr>
          <w:wBefore w:w="0" w:type="auto"/>
          <w:tblCellSpacing w:w="0" w:type="dxa"/>
        </w:trPr>
        <w:tc>
          <w:tcPr>
            <w:tcW w:w="0" w:type="auto"/>
            <w:noWrap w:val="0"/>
            <w:vAlign w:val="center"/>
          </w:tcPr>
          <w:p w14:paraId="6367B5B7">
            <w:r>
              <w:rPr>
                <w:rStyle w:val="10"/>
                <w:rFonts w:hint="eastAsia"/>
              </w:rPr>
              <w:t>使用技术要求:</w:t>
            </w:r>
            <w:r>
              <w:rPr>
                <w:rFonts w:hint="eastAsia"/>
              </w:rPr>
              <w:br w:type="textWrapping"/>
            </w:r>
            <w:r>
              <w:rPr>
                <w:rStyle w:val="11"/>
                <w:rFonts w:hint="eastAsia"/>
              </w:rPr>
              <w:t>1、应于非耕地杂草旺盛生长期茎叶喷雾施药一次，注意喷雾均匀周到。2、本品为非耕地除草剂，不能用于农田除草。3、本品需用清水配药，勿用浊水，以免减低药效，药后3－4小时内下雨，药效可能会降低。 安全使用标准：每季最多使用1次。</w:t>
            </w:r>
          </w:p>
        </w:tc>
      </w:tr>
      <w:tr w14:paraId="3041E1D5">
        <w:tblPrEx>
          <w:tblCellMar>
            <w:top w:w="0" w:type="dxa"/>
            <w:left w:w="0" w:type="dxa"/>
            <w:bottom w:w="0" w:type="dxa"/>
            <w:right w:w="0" w:type="dxa"/>
          </w:tblCellMar>
        </w:tblPrEx>
        <w:trPr>
          <w:wBefore w:w="0" w:type="auto"/>
          <w:tblCellSpacing w:w="0" w:type="dxa"/>
        </w:trPr>
        <w:tc>
          <w:tcPr>
            <w:tcW w:w="0" w:type="auto"/>
            <w:noWrap w:val="0"/>
            <w:vAlign w:val="center"/>
          </w:tcPr>
          <w:p w14:paraId="1658840F">
            <w:r>
              <w:rPr>
                <w:rStyle w:val="10"/>
                <w:rFonts w:hint="eastAsia"/>
              </w:rPr>
              <w:t>产品性能:</w:t>
            </w:r>
            <w:r>
              <w:rPr>
                <w:rFonts w:hint="eastAsia"/>
              </w:rPr>
              <w:br w:type="textWrapping"/>
            </w:r>
            <w:r>
              <w:rPr>
                <w:rStyle w:val="11"/>
                <w:rFonts w:hint="eastAsia"/>
              </w:rPr>
              <w:t>本品是一种具有部分内吸作用的触杀灭生性除草剂，属于膦酸类除草剂，是谷氨酰胺合成抑制剂，适用于防除非耕地杂草。</w:t>
            </w:r>
          </w:p>
        </w:tc>
      </w:tr>
      <w:tr w14:paraId="08A96C92">
        <w:tblPrEx>
          <w:tblCellMar>
            <w:top w:w="0" w:type="dxa"/>
            <w:left w:w="0" w:type="dxa"/>
            <w:bottom w:w="0" w:type="dxa"/>
            <w:right w:w="0" w:type="dxa"/>
          </w:tblCellMar>
        </w:tblPrEx>
        <w:trPr>
          <w:wBefore w:w="0" w:type="auto"/>
          <w:tblCellSpacing w:w="0" w:type="dxa"/>
        </w:trPr>
        <w:tc>
          <w:tcPr>
            <w:tcW w:w="0" w:type="auto"/>
            <w:noWrap w:val="0"/>
            <w:vAlign w:val="center"/>
          </w:tcPr>
          <w:p w14:paraId="7D7929C3">
            <w:r>
              <w:rPr>
                <w:rStyle w:val="10"/>
                <w:rFonts w:hint="eastAsia"/>
              </w:rPr>
              <w:t>注意事项：</w:t>
            </w:r>
            <w:r>
              <w:rPr>
                <w:rFonts w:hint="eastAsia"/>
              </w:rPr>
              <w:br w:type="textWrapping"/>
            </w:r>
            <w:r>
              <w:rPr>
                <w:rStyle w:val="11"/>
                <w:rFonts w:hint="eastAsia"/>
              </w:rPr>
              <w:t>1.使用时需均匀全面喷雾，喷湿喷透，施药时喷头上应加装保护罩，避免药液飘移到临近作物。具体施用时，需在当地农技植保部门指导下使用。2.本品遇土钝化，因此在稀释和配制本品药液时，应使用清水，禁止用浑浊的河水或沟渠水配药，以最大限度地提高除草的效果。3.本品对眼睛有刺激性，施药时请带上口罩、手套，穿长衣裤等，不能吃东西、喝水、吸烟等；施药完毕请立即用肥皂水清洗手和脸。4.本产品对家蚕有影响，蚕室及桑园附近禁用，远离水产养殖区、河塘等水域施药，禁止在河塘等水体清洗施药器具。5.孕妇及哺乳期的妇女避免接触此药。6.用过的容器应妥善处理，不可做它用，也不可随意丢弃。7.避免与具有氧化性物质接触或混合。8.禁止在田间道路、田埂、果树行间、休耕地、林场地等农林区域使用。</w:t>
            </w:r>
          </w:p>
        </w:tc>
      </w:tr>
      <w:tr w14:paraId="0F5D4CC1">
        <w:tblPrEx>
          <w:tblCellMar>
            <w:top w:w="0" w:type="dxa"/>
            <w:left w:w="0" w:type="dxa"/>
            <w:bottom w:w="0" w:type="dxa"/>
            <w:right w:w="0" w:type="dxa"/>
          </w:tblCellMar>
        </w:tblPrEx>
        <w:trPr>
          <w:wBefore w:w="0" w:type="auto"/>
          <w:tblCellSpacing w:w="0" w:type="dxa"/>
        </w:trPr>
        <w:tc>
          <w:tcPr>
            <w:tcW w:w="0" w:type="auto"/>
            <w:noWrap w:val="0"/>
            <w:vAlign w:val="center"/>
          </w:tcPr>
          <w:p w14:paraId="55942C6D">
            <w:r>
              <w:rPr>
                <w:rStyle w:val="10"/>
                <w:rFonts w:hint="eastAsia"/>
              </w:rPr>
              <w:t>中毒急救措施：</w:t>
            </w:r>
            <w:r>
              <w:rPr>
                <w:rFonts w:hint="eastAsia"/>
              </w:rPr>
              <w:br w:type="textWrapping"/>
            </w:r>
            <w:r>
              <w:rPr>
                <w:rStyle w:val="11"/>
                <w:rFonts w:hint="eastAsia"/>
              </w:rPr>
              <w:t>中毒症状表现为头晕、恶心、呕吐等。 若本产品溅到皮肤上，用大量清水及肥皂洗干净。 溅入眼睛中，立即用清水冲洗至少15分钟，仍有不适时，就医。 如不慎吸入，立即离开施药场地，到空气清新的地方，保持呼吸畅通。 误服，立即催吐，但勿给已昏迷的患者经口喂任何东西。并带标签送医诊治，进行对症治疗。无特效解毒剂。</w:t>
            </w:r>
          </w:p>
        </w:tc>
      </w:tr>
      <w:tr w14:paraId="0638B5BE">
        <w:tblPrEx>
          <w:tblCellMar>
            <w:top w:w="0" w:type="dxa"/>
            <w:left w:w="0" w:type="dxa"/>
            <w:bottom w:w="0" w:type="dxa"/>
            <w:right w:w="0" w:type="dxa"/>
          </w:tblCellMar>
        </w:tblPrEx>
        <w:trPr>
          <w:wBefore w:w="0" w:type="auto"/>
          <w:tblCellSpacing w:w="0" w:type="dxa"/>
        </w:trPr>
        <w:tc>
          <w:tcPr>
            <w:tcW w:w="0" w:type="auto"/>
            <w:noWrap w:val="0"/>
            <w:vAlign w:val="center"/>
          </w:tcPr>
          <w:p w14:paraId="6B8A3336">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它商品同贮同运。贮存或运输时堆层不得超过规定，注意轻拿轻放，以免损坏包装，导致产品泄露。避免与氧化剂接触</w:t>
            </w:r>
          </w:p>
        </w:tc>
      </w:tr>
      <w:tr w14:paraId="71674108">
        <w:tblPrEx>
          <w:tblCellMar>
            <w:top w:w="0" w:type="dxa"/>
            <w:left w:w="0" w:type="dxa"/>
            <w:bottom w:w="0" w:type="dxa"/>
            <w:right w:w="0" w:type="dxa"/>
          </w:tblCellMar>
        </w:tblPrEx>
        <w:trPr>
          <w:wBefore w:w="0" w:type="auto"/>
          <w:tblCellSpacing w:w="0" w:type="dxa"/>
        </w:trPr>
        <w:tc>
          <w:tcPr>
            <w:tcW w:w="0" w:type="auto"/>
            <w:noWrap w:val="0"/>
            <w:vAlign w:val="center"/>
          </w:tcPr>
          <w:p w14:paraId="3B5D74C3">
            <w:r>
              <w:rPr>
                <w:rStyle w:val="10"/>
                <w:rFonts w:hint="eastAsia"/>
              </w:rPr>
              <w:t>质量保证期：</w:t>
            </w:r>
            <w:r>
              <w:rPr>
                <w:rStyle w:val="11"/>
                <w:rFonts w:hint="eastAsia"/>
              </w:rPr>
              <w:t>2年</w:t>
            </w:r>
          </w:p>
        </w:tc>
      </w:tr>
      <w:tr w14:paraId="2065F76B">
        <w:tblPrEx>
          <w:tblCellMar>
            <w:top w:w="0" w:type="dxa"/>
            <w:left w:w="0" w:type="dxa"/>
            <w:bottom w:w="0" w:type="dxa"/>
            <w:right w:w="0" w:type="dxa"/>
          </w:tblCellMar>
        </w:tblPrEx>
        <w:trPr>
          <w:wBefore w:w="0" w:type="auto"/>
          <w:tblCellSpacing w:w="0" w:type="dxa"/>
        </w:trPr>
        <w:tc>
          <w:tcPr>
            <w:tcW w:w="0" w:type="auto"/>
            <w:noWrap w:val="0"/>
            <w:vAlign w:val="center"/>
          </w:tcPr>
          <w:p w14:paraId="0C2B93D7">
            <w:r>
              <w:rPr>
                <w:rStyle w:val="10"/>
                <w:rFonts w:hint="eastAsia"/>
              </w:rPr>
              <w:t>备注：</w:t>
            </w:r>
            <w:r>
              <w:rPr>
                <w:rFonts w:hint="eastAsia"/>
              </w:rPr>
              <w:br w:type="textWrapping"/>
            </w:r>
            <w:r>
              <w:rPr>
                <w:rStyle w:val="11"/>
                <w:rFonts w:hint="eastAsia"/>
              </w:rPr>
              <w:t>精草铵膦铵盐10.9%。</w:t>
            </w:r>
          </w:p>
        </w:tc>
      </w:tr>
    </w:tbl>
    <w:p w14:paraId="751E6A4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66D204C">
        <w:tblPrEx>
          <w:tblCellMar>
            <w:top w:w="0" w:type="dxa"/>
            <w:left w:w="0" w:type="dxa"/>
            <w:bottom w:w="0" w:type="dxa"/>
            <w:right w:w="0" w:type="dxa"/>
          </w:tblCellMar>
        </w:tblPrEx>
        <w:trPr>
          <w:wBefore w:w="0" w:type="auto"/>
          <w:tblCellSpacing w:w="0" w:type="dxa"/>
        </w:trPr>
        <w:tc>
          <w:tcPr>
            <w:tcW w:w="0" w:type="auto"/>
            <w:noWrap w:val="0"/>
            <w:vAlign w:val="center"/>
          </w:tcPr>
          <w:p w14:paraId="257C6786">
            <w:r>
              <w:rPr>
                <w:rStyle w:val="10"/>
                <w:rFonts w:hint="eastAsia"/>
              </w:rPr>
              <w:t>登记证号：</w:t>
            </w:r>
            <w:r>
              <w:rPr>
                <w:rFonts w:hint="eastAsia"/>
              </w:rPr>
              <w:t>PD20211691</w:t>
            </w:r>
          </w:p>
        </w:tc>
      </w:tr>
      <w:tr w14:paraId="6C1CCE56">
        <w:tblPrEx>
          <w:tblCellMar>
            <w:top w:w="0" w:type="dxa"/>
            <w:left w:w="0" w:type="dxa"/>
            <w:bottom w:w="0" w:type="dxa"/>
            <w:right w:w="0" w:type="dxa"/>
          </w:tblCellMar>
        </w:tblPrEx>
        <w:trPr>
          <w:wBefore w:w="0" w:type="auto"/>
          <w:tblCellSpacing w:w="0" w:type="dxa"/>
        </w:trPr>
        <w:tc>
          <w:tcPr>
            <w:tcW w:w="0" w:type="auto"/>
            <w:noWrap w:val="0"/>
            <w:vAlign w:val="center"/>
          </w:tcPr>
          <w:p w14:paraId="1DAD19CF">
            <w:r>
              <w:rPr>
                <w:rStyle w:val="10"/>
                <w:rFonts w:hint="eastAsia"/>
              </w:rPr>
              <w:t>登记证持有人：</w:t>
            </w:r>
            <w:r>
              <w:rPr>
                <w:rFonts w:hint="eastAsia"/>
              </w:rPr>
              <w:t>郑州郑氏化工产品有限公司</w:t>
            </w:r>
          </w:p>
        </w:tc>
      </w:tr>
      <w:tr w14:paraId="757D8AB8">
        <w:tblPrEx>
          <w:tblCellMar>
            <w:top w:w="0" w:type="dxa"/>
            <w:left w:w="0" w:type="dxa"/>
            <w:bottom w:w="0" w:type="dxa"/>
            <w:right w:w="0" w:type="dxa"/>
          </w:tblCellMar>
        </w:tblPrEx>
        <w:trPr>
          <w:wBefore w:w="0" w:type="auto"/>
          <w:tblCellSpacing w:w="0" w:type="dxa"/>
        </w:trPr>
        <w:tc>
          <w:tcPr>
            <w:tcW w:w="0" w:type="auto"/>
            <w:noWrap w:val="0"/>
            <w:vAlign w:val="center"/>
          </w:tcPr>
          <w:p w14:paraId="039752A2">
            <w:r>
              <w:rPr>
                <w:rStyle w:val="10"/>
                <w:rFonts w:hint="eastAsia"/>
              </w:rPr>
              <w:t>农药名称：</w:t>
            </w:r>
            <w:r>
              <w:rPr>
                <w:rFonts w:hint="eastAsia"/>
              </w:rPr>
              <w:t>羟烯腺嘌呤</w:t>
            </w:r>
          </w:p>
        </w:tc>
      </w:tr>
      <w:tr w14:paraId="5C109F3D">
        <w:tblPrEx>
          <w:tblCellMar>
            <w:top w:w="0" w:type="dxa"/>
            <w:left w:w="0" w:type="dxa"/>
            <w:bottom w:w="0" w:type="dxa"/>
            <w:right w:w="0" w:type="dxa"/>
          </w:tblCellMar>
        </w:tblPrEx>
        <w:trPr>
          <w:wBefore w:w="0" w:type="auto"/>
          <w:tblCellSpacing w:w="0" w:type="dxa"/>
        </w:trPr>
        <w:tc>
          <w:tcPr>
            <w:tcW w:w="0" w:type="auto"/>
            <w:noWrap w:val="0"/>
            <w:vAlign w:val="center"/>
          </w:tcPr>
          <w:p w14:paraId="700A9C36">
            <w:r>
              <w:rPr>
                <w:rStyle w:val="10"/>
                <w:rFonts w:hint="eastAsia"/>
              </w:rPr>
              <w:t>剂型：</w:t>
            </w:r>
            <w:r>
              <w:rPr>
                <w:rFonts w:hint="eastAsia"/>
              </w:rPr>
              <w:t>原药</w:t>
            </w:r>
          </w:p>
        </w:tc>
      </w:tr>
      <w:tr w14:paraId="158FF089">
        <w:tblPrEx>
          <w:tblCellMar>
            <w:top w:w="0" w:type="dxa"/>
            <w:left w:w="0" w:type="dxa"/>
            <w:bottom w:w="0" w:type="dxa"/>
            <w:right w:w="0" w:type="dxa"/>
          </w:tblCellMar>
        </w:tblPrEx>
        <w:trPr>
          <w:wBefore w:w="0" w:type="auto"/>
          <w:tblCellSpacing w:w="0" w:type="dxa"/>
        </w:trPr>
        <w:tc>
          <w:tcPr>
            <w:tcW w:w="0" w:type="auto"/>
            <w:noWrap w:val="0"/>
            <w:vAlign w:val="center"/>
          </w:tcPr>
          <w:p w14:paraId="34A91668">
            <w:r>
              <w:rPr>
                <w:rStyle w:val="10"/>
                <w:rFonts w:hint="eastAsia"/>
              </w:rPr>
              <w:t>毒性及其标识：</w:t>
            </w:r>
            <w:r>
              <w:rPr>
                <w:rFonts w:hint="eastAsia"/>
              </w:rPr>
              <w:t xml:space="preserve"> </w:t>
            </w:r>
            <w:r>
              <w:rPr>
                <w:lang/>
              </w:rPr>
              <w:drawing>
                <wp:inline distT="0" distB="0" distL="114300" distR="114300">
                  <wp:extent cx="476250" cy="323850"/>
                  <wp:effectExtent l="0" t="0" r="0" b="0"/>
                  <wp:docPr id="246" name="图片 24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76EC5C2">
        <w:tblPrEx>
          <w:tblCellMar>
            <w:top w:w="0" w:type="dxa"/>
            <w:left w:w="0" w:type="dxa"/>
            <w:bottom w:w="0" w:type="dxa"/>
            <w:right w:w="0" w:type="dxa"/>
          </w:tblCellMar>
        </w:tblPrEx>
        <w:trPr>
          <w:wBefore w:w="0" w:type="auto"/>
          <w:tblCellSpacing w:w="0" w:type="dxa"/>
        </w:trPr>
        <w:tc>
          <w:tcPr>
            <w:tcW w:w="0" w:type="auto"/>
            <w:noWrap w:val="0"/>
            <w:vAlign w:val="center"/>
          </w:tcPr>
          <w:p w14:paraId="4312F485">
            <w:r>
              <w:rPr>
                <w:rStyle w:val="10"/>
                <w:rFonts w:hint="eastAsia"/>
              </w:rPr>
              <w:t>总有效成分含量：</w:t>
            </w:r>
            <w:r>
              <w:rPr>
                <w:rFonts w:hint="eastAsia"/>
              </w:rPr>
              <w:t>98%</w:t>
            </w:r>
          </w:p>
        </w:tc>
      </w:tr>
      <w:tr w14:paraId="4B2FB48F">
        <w:tblPrEx>
          <w:tblCellMar>
            <w:top w:w="0" w:type="dxa"/>
            <w:left w:w="0" w:type="dxa"/>
            <w:bottom w:w="0" w:type="dxa"/>
            <w:right w:w="0" w:type="dxa"/>
          </w:tblCellMar>
        </w:tblPrEx>
        <w:trPr>
          <w:wBefore w:w="0" w:type="auto"/>
          <w:tblCellSpacing w:w="0" w:type="dxa"/>
        </w:trPr>
        <w:tc>
          <w:tcPr>
            <w:tcW w:w="0" w:type="auto"/>
            <w:noWrap w:val="0"/>
            <w:vAlign w:val="center"/>
          </w:tcPr>
          <w:p w14:paraId="17DE3043">
            <w:r>
              <w:rPr>
                <w:rFonts w:hint="eastAsia"/>
              </w:rPr>
              <w:t xml:space="preserve">有效成分及其含量： </w:t>
            </w:r>
          </w:p>
          <w:p w14:paraId="020A4510">
            <w:r>
              <w:rPr>
                <w:rFonts w:hint="eastAsia"/>
              </w:rPr>
              <w:t xml:space="preserve">    羟烯腺嘌呤98%    </w:t>
            </w:r>
          </w:p>
        </w:tc>
      </w:tr>
      <w:tr w14:paraId="3956EDAB">
        <w:tblPrEx>
          <w:tblCellMar>
            <w:top w:w="0" w:type="dxa"/>
            <w:left w:w="0" w:type="dxa"/>
            <w:bottom w:w="0" w:type="dxa"/>
            <w:right w:w="0" w:type="dxa"/>
          </w:tblCellMar>
        </w:tblPrEx>
        <w:trPr>
          <w:wBefore w:w="0" w:type="auto"/>
          <w:tblCellSpacing w:w="0" w:type="dxa"/>
        </w:trPr>
        <w:tc>
          <w:tcPr>
            <w:tcW w:w="0" w:type="auto"/>
            <w:noWrap w:val="0"/>
            <w:vAlign w:val="center"/>
          </w:tcPr>
          <w:p w14:paraId="49EE9D1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C9FCE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1EA5A4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0A7AB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DE4C62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F420339">
                  <w:r>
                    <w:rPr>
                      <w:rStyle w:val="11"/>
                      <w:rFonts w:hint="eastAsia"/>
                    </w:rPr>
                    <w:t>施用方式</w:t>
                  </w:r>
                </w:p>
              </w:tc>
            </w:tr>
          </w:tbl>
          <w:p w14:paraId="114D5E1C">
            <w:pPr>
              <w:rPr>
                <w:rFonts w:ascii="Times New Roman" w:hAnsi="Times New Roman" w:cs="Times New Roman"/>
                <w:sz w:val="20"/>
                <w:szCs w:val="20"/>
              </w:rPr>
            </w:pPr>
          </w:p>
        </w:tc>
      </w:tr>
      <w:tr w14:paraId="6015A552">
        <w:tblPrEx>
          <w:tblCellMar>
            <w:top w:w="0" w:type="dxa"/>
            <w:left w:w="0" w:type="dxa"/>
            <w:bottom w:w="0" w:type="dxa"/>
            <w:right w:w="0" w:type="dxa"/>
          </w:tblCellMar>
        </w:tblPrEx>
        <w:trPr>
          <w:wBefore w:w="0" w:type="auto"/>
          <w:tblCellSpacing w:w="0" w:type="dxa"/>
        </w:trPr>
        <w:tc>
          <w:tcPr>
            <w:tcW w:w="0" w:type="auto"/>
            <w:noWrap w:val="0"/>
            <w:vAlign w:val="center"/>
          </w:tcPr>
          <w:p w14:paraId="09E846C5">
            <w:r>
              <w:rPr>
                <w:rStyle w:val="10"/>
                <w:rFonts w:hint="eastAsia"/>
              </w:rPr>
              <w:t>使用技术要求:</w:t>
            </w:r>
          </w:p>
        </w:tc>
      </w:tr>
      <w:tr w14:paraId="06174E88">
        <w:tblPrEx>
          <w:tblCellMar>
            <w:top w:w="0" w:type="dxa"/>
            <w:left w:w="0" w:type="dxa"/>
            <w:bottom w:w="0" w:type="dxa"/>
            <w:right w:w="0" w:type="dxa"/>
          </w:tblCellMar>
        </w:tblPrEx>
        <w:trPr>
          <w:wBefore w:w="0" w:type="auto"/>
          <w:tblCellSpacing w:w="0" w:type="dxa"/>
        </w:trPr>
        <w:tc>
          <w:tcPr>
            <w:tcW w:w="0" w:type="auto"/>
            <w:noWrap w:val="0"/>
            <w:vAlign w:val="center"/>
          </w:tcPr>
          <w:p w14:paraId="6BD1EA58">
            <w:r>
              <w:rPr>
                <w:rStyle w:val="10"/>
                <w:rFonts w:hint="eastAsia"/>
              </w:rPr>
              <w:t>产品性能:</w:t>
            </w:r>
            <w:r>
              <w:rPr>
                <w:rFonts w:hint="eastAsia"/>
              </w:rPr>
              <w:br w:type="textWrapping"/>
            </w:r>
            <w:r>
              <w:rPr>
                <w:rStyle w:val="11"/>
                <w:rFonts w:hint="eastAsia"/>
              </w:rPr>
              <w:t>本品是农药制剂加工的原材料，不得用于农作物或者其他场所。本品是植物生长调节剂，能刺激植物细胞分裂，促进叶绿素形成，加速植物新陈代谢和蛋白质的合成，从而达到有机体迅速增长，促进作物早熟丰产，提高植物抗病抗衰抗寒能力。</w:t>
            </w:r>
          </w:p>
        </w:tc>
      </w:tr>
      <w:tr w14:paraId="3B03B384">
        <w:tblPrEx>
          <w:tblCellMar>
            <w:top w:w="0" w:type="dxa"/>
            <w:left w:w="0" w:type="dxa"/>
            <w:bottom w:w="0" w:type="dxa"/>
            <w:right w:w="0" w:type="dxa"/>
          </w:tblCellMar>
        </w:tblPrEx>
        <w:trPr>
          <w:wBefore w:w="0" w:type="auto"/>
          <w:tblCellSpacing w:w="0" w:type="dxa"/>
        </w:trPr>
        <w:tc>
          <w:tcPr>
            <w:tcW w:w="0" w:type="auto"/>
            <w:noWrap w:val="0"/>
            <w:vAlign w:val="center"/>
          </w:tcPr>
          <w:p w14:paraId="06BCC4C3">
            <w:r>
              <w:rPr>
                <w:rStyle w:val="10"/>
                <w:rFonts w:hint="eastAsia"/>
              </w:rPr>
              <w:t>注意事项：</w:t>
            </w:r>
            <w:r>
              <w:rPr>
                <w:rFonts w:hint="eastAsia"/>
              </w:rPr>
              <w:br w:type="textWrapping"/>
            </w:r>
            <w:r>
              <w:rPr>
                <w:rStyle w:val="11"/>
                <w:rFonts w:hint="eastAsia"/>
              </w:rPr>
              <w:t>1. 接触本品时应采取安全防护措施，穿胶鞋、长衣长裤和防护服，戴口罩、手套，避免刺激眼睛、皮肤接触及口鼻吸入，切勿吸烟、喝水或饮食。使用后立即清洗裸露部位的皮肤，更换并清洗工作服。 2. 发生泄漏时，应及时采取堵漏、关阀断源、围栏封堵、回收等措施。 3. 发生火灾时，应采取关阀断源、堵漏、停产、围火隔离等措施，只能用干粉灭火器、沙土、淋湿的棉被、麻袋等灭火，不得用水灭火。 4. 用过的容器或废弃包装应妥善处理，切勿他用或随意丢弃。 5. 禁止孕妇、哺乳期妇女及过敏者接触本品。</w:t>
            </w:r>
          </w:p>
        </w:tc>
      </w:tr>
      <w:tr w14:paraId="7C288F7C">
        <w:tblPrEx>
          <w:tblCellMar>
            <w:top w:w="0" w:type="dxa"/>
            <w:left w:w="0" w:type="dxa"/>
            <w:bottom w:w="0" w:type="dxa"/>
            <w:right w:w="0" w:type="dxa"/>
          </w:tblCellMar>
        </w:tblPrEx>
        <w:trPr>
          <w:wBefore w:w="0" w:type="auto"/>
          <w:tblCellSpacing w:w="0" w:type="dxa"/>
        </w:trPr>
        <w:tc>
          <w:tcPr>
            <w:tcW w:w="0" w:type="auto"/>
            <w:noWrap w:val="0"/>
            <w:vAlign w:val="center"/>
          </w:tcPr>
          <w:p w14:paraId="67F65D2E">
            <w:r>
              <w:rPr>
                <w:rStyle w:val="10"/>
                <w:rFonts w:hint="eastAsia"/>
              </w:rPr>
              <w:t>中毒急救措施：</w:t>
            </w:r>
            <w:r>
              <w:rPr>
                <w:rFonts w:hint="eastAsia"/>
              </w:rPr>
              <w:br w:type="textWrapping"/>
            </w:r>
            <w:r>
              <w:rPr>
                <w:rStyle w:val="11"/>
                <w:rFonts w:hint="eastAsia"/>
              </w:rPr>
              <w:t>中毒症状：无典型症状。 急救措施：如不慎溅入眼睛，应立即翻开眼睑，用清水冲洗至少15分钟；如接触皮肤，应立即脱掉被污染衣物，用大量清水冲洗被污染的皮肤；如不慎吸入，应立即转移至空气流通处；如不慎误服，立即携此标签送医对症治疗。</w:t>
            </w:r>
          </w:p>
        </w:tc>
      </w:tr>
      <w:tr w14:paraId="4EEB9E30">
        <w:tblPrEx>
          <w:tblCellMar>
            <w:top w:w="0" w:type="dxa"/>
            <w:left w:w="0" w:type="dxa"/>
            <w:bottom w:w="0" w:type="dxa"/>
            <w:right w:w="0" w:type="dxa"/>
          </w:tblCellMar>
        </w:tblPrEx>
        <w:trPr>
          <w:wBefore w:w="0" w:type="auto"/>
          <w:tblCellSpacing w:w="0" w:type="dxa"/>
        </w:trPr>
        <w:tc>
          <w:tcPr>
            <w:tcW w:w="0" w:type="auto"/>
            <w:noWrap w:val="0"/>
            <w:vAlign w:val="center"/>
          </w:tcPr>
          <w:p w14:paraId="6C3DACFE">
            <w:r>
              <w:rPr>
                <w:rStyle w:val="10"/>
                <w:rFonts w:hint="eastAsia"/>
              </w:rPr>
              <w:t>储存和运输方法：</w:t>
            </w:r>
            <w:r>
              <w:rPr>
                <w:rFonts w:hint="eastAsia"/>
              </w:rPr>
              <w:br w:type="textWrapping"/>
            </w:r>
            <w:r>
              <w:rPr>
                <w:rStyle w:val="11"/>
                <w:rFonts w:hint="eastAsia"/>
              </w:rPr>
              <w:t>1. 本品应贮存于阴凉、干燥、通风、防雨处，远离火源及热源。 2. 本品应远离家禽，不能与食品、饮料、饲料和粮食等同贮同运。 3. 本品应贮存于儿童触及不到的地方并加锁保存。</w:t>
            </w:r>
          </w:p>
        </w:tc>
      </w:tr>
      <w:tr w14:paraId="34069DC5">
        <w:tblPrEx>
          <w:tblCellMar>
            <w:top w:w="0" w:type="dxa"/>
            <w:left w:w="0" w:type="dxa"/>
            <w:bottom w:w="0" w:type="dxa"/>
            <w:right w:w="0" w:type="dxa"/>
          </w:tblCellMar>
        </w:tblPrEx>
        <w:trPr>
          <w:wBefore w:w="0" w:type="auto"/>
          <w:tblCellSpacing w:w="0" w:type="dxa"/>
        </w:trPr>
        <w:tc>
          <w:tcPr>
            <w:tcW w:w="0" w:type="auto"/>
            <w:noWrap w:val="0"/>
            <w:vAlign w:val="center"/>
          </w:tcPr>
          <w:p w14:paraId="2BE1320B">
            <w:r>
              <w:rPr>
                <w:rStyle w:val="10"/>
                <w:rFonts w:hint="eastAsia"/>
              </w:rPr>
              <w:t>质量保证期：</w:t>
            </w:r>
            <w:r>
              <w:rPr>
                <w:rStyle w:val="11"/>
                <w:rFonts w:hint="eastAsia"/>
              </w:rPr>
              <w:t>2年</w:t>
            </w:r>
          </w:p>
        </w:tc>
      </w:tr>
      <w:tr w14:paraId="051A6A7F">
        <w:tblPrEx>
          <w:tblCellMar>
            <w:top w:w="0" w:type="dxa"/>
            <w:left w:w="0" w:type="dxa"/>
            <w:bottom w:w="0" w:type="dxa"/>
            <w:right w:w="0" w:type="dxa"/>
          </w:tblCellMar>
        </w:tblPrEx>
        <w:trPr>
          <w:wBefore w:w="0" w:type="auto"/>
          <w:tblCellSpacing w:w="0" w:type="dxa"/>
        </w:trPr>
        <w:tc>
          <w:tcPr>
            <w:tcW w:w="0" w:type="auto"/>
            <w:noWrap w:val="0"/>
            <w:vAlign w:val="center"/>
          </w:tcPr>
          <w:p w14:paraId="7EC95828">
            <w:r>
              <w:rPr>
                <w:rStyle w:val="10"/>
                <w:rFonts w:hint="eastAsia"/>
              </w:rPr>
              <w:t>备注：</w:t>
            </w:r>
          </w:p>
        </w:tc>
      </w:tr>
    </w:tbl>
    <w:p w14:paraId="4F171EB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EE0DD5E">
        <w:tblPrEx>
          <w:tblCellMar>
            <w:top w:w="0" w:type="dxa"/>
            <w:left w:w="0" w:type="dxa"/>
            <w:bottom w:w="0" w:type="dxa"/>
            <w:right w:w="0" w:type="dxa"/>
          </w:tblCellMar>
        </w:tblPrEx>
        <w:trPr>
          <w:wBefore w:w="0" w:type="auto"/>
          <w:tblCellSpacing w:w="0" w:type="dxa"/>
        </w:trPr>
        <w:tc>
          <w:tcPr>
            <w:tcW w:w="0" w:type="auto"/>
            <w:noWrap w:val="0"/>
            <w:vAlign w:val="center"/>
          </w:tcPr>
          <w:p w14:paraId="1557452F">
            <w:r>
              <w:rPr>
                <w:rStyle w:val="10"/>
                <w:rFonts w:hint="eastAsia"/>
              </w:rPr>
              <w:t>登记证号：</w:t>
            </w:r>
            <w:r>
              <w:rPr>
                <w:rFonts w:hint="eastAsia"/>
              </w:rPr>
              <w:t>PD20212228</w:t>
            </w:r>
          </w:p>
        </w:tc>
      </w:tr>
      <w:tr w14:paraId="46AAF1F0">
        <w:tblPrEx>
          <w:tblCellMar>
            <w:top w:w="0" w:type="dxa"/>
            <w:left w:w="0" w:type="dxa"/>
            <w:bottom w:w="0" w:type="dxa"/>
            <w:right w:w="0" w:type="dxa"/>
          </w:tblCellMar>
        </w:tblPrEx>
        <w:trPr>
          <w:wBefore w:w="0" w:type="auto"/>
          <w:tblCellSpacing w:w="0" w:type="dxa"/>
        </w:trPr>
        <w:tc>
          <w:tcPr>
            <w:tcW w:w="0" w:type="auto"/>
            <w:noWrap w:val="0"/>
            <w:vAlign w:val="center"/>
          </w:tcPr>
          <w:p w14:paraId="5185FFC8">
            <w:r>
              <w:rPr>
                <w:rStyle w:val="10"/>
                <w:rFonts w:hint="eastAsia"/>
              </w:rPr>
              <w:t>登记证持有人：</w:t>
            </w:r>
            <w:r>
              <w:rPr>
                <w:rFonts w:hint="eastAsia"/>
              </w:rPr>
              <w:t>利尔化学股份有限公司</w:t>
            </w:r>
          </w:p>
        </w:tc>
      </w:tr>
      <w:tr w14:paraId="2A22F02C">
        <w:tblPrEx>
          <w:tblCellMar>
            <w:top w:w="0" w:type="dxa"/>
            <w:left w:w="0" w:type="dxa"/>
            <w:bottom w:w="0" w:type="dxa"/>
            <w:right w:w="0" w:type="dxa"/>
          </w:tblCellMar>
        </w:tblPrEx>
        <w:trPr>
          <w:wBefore w:w="0" w:type="auto"/>
          <w:tblCellSpacing w:w="0" w:type="dxa"/>
        </w:trPr>
        <w:tc>
          <w:tcPr>
            <w:tcW w:w="0" w:type="auto"/>
            <w:noWrap w:val="0"/>
            <w:vAlign w:val="center"/>
          </w:tcPr>
          <w:p w14:paraId="06E48CF9">
            <w:r>
              <w:rPr>
                <w:rStyle w:val="10"/>
                <w:rFonts w:hint="eastAsia"/>
              </w:rPr>
              <w:t>农药名称：</w:t>
            </w:r>
            <w:r>
              <w:rPr>
                <w:rFonts w:hint="eastAsia"/>
              </w:rPr>
              <w:t>精草铵膦铵盐</w:t>
            </w:r>
          </w:p>
        </w:tc>
      </w:tr>
      <w:tr w14:paraId="64FCE72D">
        <w:tblPrEx>
          <w:tblCellMar>
            <w:top w:w="0" w:type="dxa"/>
            <w:left w:w="0" w:type="dxa"/>
            <w:bottom w:w="0" w:type="dxa"/>
            <w:right w:w="0" w:type="dxa"/>
          </w:tblCellMar>
        </w:tblPrEx>
        <w:trPr>
          <w:wBefore w:w="0" w:type="auto"/>
          <w:tblCellSpacing w:w="0" w:type="dxa"/>
        </w:trPr>
        <w:tc>
          <w:tcPr>
            <w:tcW w:w="0" w:type="auto"/>
            <w:noWrap w:val="0"/>
            <w:vAlign w:val="center"/>
          </w:tcPr>
          <w:p w14:paraId="0178F918">
            <w:r>
              <w:rPr>
                <w:rStyle w:val="10"/>
                <w:rFonts w:hint="eastAsia"/>
              </w:rPr>
              <w:t>剂型：</w:t>
            </w:r>
            <w:r>
              <w:rPr>
                <w:rFonts w:hint="eastAsia"/>
              </w:rPr>
              <w:t>可溶液剂</w:t>
            </w:r>
          </w:p>
        </w:tc>
      </w:tr>
      <w:tr w14:paraId="574D6F92">
        <w:tblPrEx>
          <w:tblCellMar>
            <w:top w:w="0" w:type="dxa"/>
            <w:left w:w="0" w:type="dxa"/>
            <w:bottom w:w="0" w:type="dxa"/>
            <w:right w:w="0" w:type="dxa"/>
          </w:tblCellMar>
        </w:tblPrEx>
        <w:trPr>
          <w:wBefore w:w="0" w:type="auto"/>
          <w:tblCellSpacing w:w="0" w:type="dxa"/>
        </w:trPr>
        <w:tc>
          <w:tcPr>
            <w:tcW w:w="0" w:type="auto"/>
            <w:noWrap w:val="0"/>
            <w:vAlign w:val="center"/>
          </w:tcPr>
          <w:p w14:paraId="7BCA5238">
            <w:r>
              <w:rPr>
                <w:rStyle w:val="10"/>
                <w:rFonts w:hint="eastAsia"/>
              </w:rPr>
              <w:t>毒性及其标识：</w:t>
            </w:r>
            <w:r>
              <w:rPr>
                <w:rFonts w:hint="eastAsia"/>
              </w:rPr>
              <w:t xml:space="preserve"> </w:t>
            </w:r>
            <w:r>
              <w:rPr>
                <w:lang/>
              </w:rPr>
              <w:drawing>
                <wp:inline distT="0" distB="0" distL="114300" distR="114300">
                  <wp:extent cx="476250" cy="323850"/>
                  <wp:effectExtent l="0" t="0" r="0" b="0"/>
                  <wp:docPr id="247" name="图片 24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5F946D8">
        <w:tblPrEx>
          <w:tblCellMar>
            <w:top w:w="0" w:type="dxa"/>
            <w:left w:w="0" w:type="dxa"/>
            <w:bottom w:w="0" w:type="dxa"/>
            <w:right w:w="0" w:type="dxa"/>
          </w:tblCellMar>
        </w:tblPrEx>
        <w:trPr>
          <w:wBefore w:w="0" w:type="auto"/>
          <w:tblCellSpacing w:w="0" w:type="dxa"/>
        </w:trPr>
        <w:tc>
          <w:tcPr>
            <w:tcW w:w="0" w:type="auto"/>
            <w:noWrap w:val="0"/>
            <w:vAlign w:val="center"/>
          </w:tcPr>
          <w:p w14:paraId="154B048C">
            <w:r>
              <w:rPr>
                <w:rStyle w:val="10"/>
                <w:rFonts w:hint="eastAsia"/>
              </w:rPr>
              <w:t>总有效成分含量：</w:t>
            </w:r>
            <w:r>
              <w:rPr>
                <w:rFonts w:hint="eastAsia"/>
              </w:rPr>
              <w:t>15%</w:t>
            </w:r>
          </w:p>
        </w:tc>
      </w:tr>
      <w:tr w14:paraId="3ADC496A">
        <w:tblPrEx>
          <w:tblCellMar>
            <w:top w:w="0" w:type="dxa"/>
            <w:left w:w="0" w:type="dxa"/>
            <w:bottom w:w="0" w:type="dxa"/>
            <w:right w:w="0" w:type="dxa"/>
          </w:tblCellMar>
        </w:tblPrEx>
        <w:trPr>
          <w:wBefore w:w="0" w:type="auto"/>
          <w:tblCellSpacing w:w="0" w:type="dxa"/>
        </w:trPr>
        <w:tc>
          <w:tcPr>
            <w:tcW w:w="0" w:type="auto"/>
            <w:noWrap w:val="0"/>
            <w:vAlign w:val="center"/>
          </w:tcPr>
          <w:p w14:paraId="0846B540">
            <w:r>
              <w:rPr>
                <w:rFonts w:hint="eastAsia"/>
              </w:rPr>
              <w:t xml:space="preserve">有效成分及其含量： </w:t>
            </w:r>
          </w:p>
          <w:p w14:paraId="5E5A2C4E">
            <w:r>
              <w:rPr>
                <w:rFonts w:hint="eastAsia"/>
              </w:rPr>
              <w:t xml:space="preserve">    精草铵膦15%    </w:t>
            </w:r>
          </w:p>
        </w:tc>
      </w:tr>
      <w:tr w14:paraId="46D0605A">
        <w:tblPrEx>
          <w:tblCellMar>
            <w:top w:w="0" w:type="dxa"/>
            <w:left w:w="0" w:type="dxa"/>
            <w:bottom w:w="0" w:type="dxa"/>
            <w:right w:w="0" w:type="dxa"/>
          </w:tblCellMar>
        </w:tblPrEx>
        <w:trPr>
          <w:wBefore w:w="0" w:type="auto"/>
          <w:tblCellSpacing w:w="0" w:type="dxa"/>
        </w:trPr>
        <w:tc>
          <w:tcPr>
            <w:tcW w:w="0" w:type="auto"/>
            <w:noWrap w:val="0"/>
            <w:vAlign w:val="center"/>
          </w:tcPr>
          <w:p w14:paraId="0E5351E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83CA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96C54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848EC4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F964C7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31A4256">
                  <w:r>
                    <w:rPr>
                      <w:rStyle w:val="11"/>
                      <w:rFonts w:hint="eastAsia"/>
                    </w:rPr>
                    <w:t>施用方式</w:t>
                  </w:r>
                </w:p>
              </w:tc>
            </w:tr>
            <w:tr w14:paraId="7AA770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4C1F53">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7BDE30">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11687B">
                  <w:r>
                    <w:rPr>
                      <w:rStyle w:val="11"/>
                      <w:rFonts w:hint="eastAsia"/>
                    </w:rPr>
                    <w:t>135-200毫升/亩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5C24EA">
                  <w:r>
                    <w:rPr>
                      <w:rStyle w:val="11"/>
                      <w:rFonts w:hint="eastAsia"/>
                    </w:rPr>
                    <w:t>茎叶喷雾</w:t>
                  </w:r>
                </w:p>
              </w:tc>
            </w:tr>
          </w:tbl>
          <w:p w14:paraId="73809544">
            <w:pPr>
              <w:rPr>
                <w:rFonts w:ascii="Times New Roman" w:hAnsi="Times New Roman" w:cs="Times New Roman"/>
                <w:sz w:val="20"/>
                <w:szCs w:val="20"/>
              </w:rPr>
            </w:pPr>
          </w:p>
        </w:tc>
      </w:tr>
      <w:tr w14:paraId="74D6BD46">
        <w:tblPrEx>
          <w:tblCellMar>
            <w:top w:w="0" w:type="dxa"/>
            <w:left w:w="0" w:type="dxa"/>
            <w:bottom w:w="0" w:type="dxa"/>
            <w:right w:w="0" w:type="dxa"/>
          </w:tblCellMar>
        </w:tblPrEx>
        <w:trPr>
          <w:wBefore w:w="0" w:type="auto"/>
          <w:tblCellSpacing w:w="0" w:type="dxa"/>
        </w:trPr>
        <w:tc>
          <w:tcPr>
            <w:tcW w:w="0" w:type="auto"/>
            <w:noWrap w:val="0"/>
            <w:vAlign w:val="center"/>
          </w:tcPr>
          <w:p w14:paraId="39FB7036">
            <w:r>
              <w:rPr>
                <w:rStyle w:val="10"/>
                <w:rFonts w:hint="eastAsia"/>
              </w:rPr>
              <w:t>使用技术要求:</w:t>
            </w:r>
            <w:r>
              <w:rPr>
                <w:rFonts w:hint="eastAsia"/>
              </w:rPr>
              <w:br w:type="textWrapping"/>
            </w:r>
            <w:r>
              <w:rPr>
                <w:rStyle w:val="11"/>
                <w:rFonts w:hint="eastAsia"/>
              </w:rPr>
              <w:t>于非耕地杂草旺盛生长期茎叶喷雾施药一次，确保杂草喷湿喷透。若杂草草龄较大或杂草密度较大时应增加用药量。禁止在田间道路、田埂、果树行间、休耕地、林场地等农林区域使用。</w:t>
            </w:r>
          </w:p>
        </w:tc>
      </w:tr>
      <w:tr w14:paraId="1176C56A">
        <w:tblPrEx>
          <w:tblCellMar>
            <w:top w:w="0" w:type="dxa"/>
            <w:left w:w="0" w:type="dxa"/>
            <w:bottom w:w="0" w:type="dxa"/>
            <w:right w:w="0" w:type="dxa"/>
          </w:tblCellMar>
        </w:tblPrEx>
        <w:trPr>
          <w:wBefore w:w="0" w:type="auto"/>
          <w:tblCellSpacing w:w="0" w:type="dxa"/>
        </w:trPr>
        <w:tc>
          <w:tcPr>
            <w:tcW w:w="0" w:type="auto"/>
            <w:noWrap w:val="0"/>
            <w:vAlign w:val="center"/>
          </w:tcPr>
          <w:p w14:paraId="08BAF6EF">
            <w:r>
              <w:rPr>
                <w:rStyle w:val="10"/>
                <w:rFonts w:hint="eastAsia"/>
              </w:rPr>
              <w:t>产品性能:</w:t>
            </w:r>
            <w:r>
              <w:rPr>
                <w:rFonts w:hint="eastAsia"/>
              </w:rPr>
              <w:br w:type="textWrapping"/>
            </w:r>
            <w:r>
              <w:rPr>
                <w:rStyle w:val="11"/>
                <w:rFonts w:hint="eastAsia"/>
              </w:rPr>
              <w:t>本品是一种非选择性触杀型除草剂。</w:t>
            </w:r>
          </w:p>
        </w:tc>
      </w:tr>
      <w:tr w14:paraId="4D950CB6">
        <w:tblPrEx>
          <w:tblCellMar>
            <w:top w:w="0" w:type="dxa"/>
            <w:left w:w="0" w:type="dxa"/>
            <w:bottom w:w="0" w:type="dxa"/>
            <w:right w:w="0" w:type="dxa"/>
          </w:tblCellMar>
        </w:tblPrEx>
        <w:trPr>
          <w:wBefore w:w="0" w:type="auto"/>
          <w:tblCellSpacing w:w="0" w:type="dxa"/>
        </w:trPr>
        <w:tc>
          <w:tcPr>
            <w:tcW w:w="0" w:type="auto"/>
            <w:noWrap w:val="0"/>
            <w:vAlign w:val="center"/>
          </w:tcPr>
          <w:p w14:paraId="4980359B">
            <w:r>
              <w:rPr>
                <w:rStyle w:val="10"/>
                <w:rFonts w:hint="eastAsia"/>
              </w:rPr>
              <w:t>注意事项：</w:t>
            </w:r>
            <w:r>
              <w:rPr>
                <w:rFonts w:hint="eastAsia"/>
              </w:rPr>
              <w:br w:type="textWrapping"/>
            </w:r>
            <w:r>
              <w:rPr>
                <w:rStyle w:val="11"/>
                <w:rFonts w:hint="eastAsia"/>
              </w:rPr>
              <w:t>1、本品为非选择性除草剂，施药过程中若遇大风、大雨、积水等影响喷雾效果的情形应停止施药，并防止雾滴飘移到其他地块。 2、如需与其他助剂或药剂混用，请在当地农技人员指导下，先进行小面积试验确认有效性后，科学合理搭配使用。 3、请在农技人员指导下，根据杂草发生基数、叶龄及种类、施药时天气条件、药械种类等因素科学合理的调整用药剂量、用水量。 4、施用时尽量做好身体各部位科学合理的防护，采取正确的施药方式。注意个人防护，使用时穿戴长衣、长裤、帽子、口罩、手套等安全防护措施；施药时不能吸烟、饮水等；施药后清洗干净手脸等。 5、鸟类保护区附近禁用，禁止在河塘等水体中清洗施药器具。施药后及时、细致清洗施药器具，废弃物要妥善处理，不能随意丢弃，也不能做他用。 6、避免孕妇和哺乳期妇女接触本品。 7、使用前请仔细阅读此标签，并严格按照标签说明使用。未尽使用情形，请结合当地实际情况，在农业技术人员指导下使用。</w:t>
            </w:r>
          </w:p>
        </w:tc>
      </w:tr>
      <w:tr w14:paraId="49A084F8">
        <w:tblPrEx>
          <w:tblCellMar>
            <w:top w:w="0" w:type="dxa"/>
            <w:left w:w="0" w:type="dxa"/>
            <w:bottom w:w="0" w:type="dxa"/>
            <w:right w:w="0" w:type="dxa"/>
          </w:tblCellMar>
        </w:tblPrEx>
        <w:trPr>
          <w:wBefore w:w="0" w:type="auto"/>
          <w:tblCellSpacing w:w="0" w:type="dxa"/>
        </w:trPr>
        <w:tc>
          <w:tcPr>
            <w:tcW w:w="0" w:type="auto"/>
            <w:noWrap w:val="0"/>
            <w:vAlign w:val="center"/>
          </w:tcPr>
          <w:p w14:paraId="63A3C1E9">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71F5ECC2">
        <w:tblPrEx>
          <w:tblCellMar>
            <w:top w:w="0" w:type="dxa"/>
            <w:left w:w="0" w:type="dxa"/>
            <w:bottom w:w="0" w:type="dxa"/>
            <w:right w:w="0" w:type="dxa"/>
          </w:tblCellMar>
        </w:tblPrEx>
        <w:trPr>
          <w:wBefore w:w="0" w:type="auto"/>
          <w:tblCellSpacing w:w="0" w:type="dxa"/>
        </w:trPr>
        <w:tc>
          <w:tcPr>
            <w:tcW w:w="0" w:type="auto"/>
            <w:noWrap w:val="0"/>
            <w:vAlign w:val="center"/>
          </w:tcPr>
          <w:p w14:paraId="00A729FB">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物品同贮同运。装卸时，注意轻拿轻放，禁止说笑打闹、吃、喝、抽烟；运输时要防潮防晒。</w:t>
            </w:r>
          </w:p>
        </w:tc>
      </w:tr>
      <w:tr w14:paraId="693EAFEA">
        <w:tblPrEx>
          <w:tblCellMar>
            <w:top w:w="0" w:type="dxa"/>
            <w:left w:w="0" w:type="dxa"/>
            <w:bottom w:w="0" w:type="dxa"/>
            <w:right w:w="0" w:type="dxa"/>
          </w:tblCellMar>
        </w:tblPrEx>
        <w:trPr>
          <w:wBefore w:w="0" w:type="auto"/>
          <w:tblCellSpacing w:w="0" w:type="dxa"/>
        </w:trPr>
        <w:tc>
          <w:tcPr>
            <w:tcW w:w="0" w:type="auto"/>
            <w:noWrap w:val="0"/>
            <w:vAlign w:val="center"/>
          </w:tcPr>
          <w:p w14:paraId="04C44025">
            <w:r>
              <w:rPr>
                <w:rStyle w:val="10"/>
                <w:rFonts w:hint="eastAsia"/>
              </w:rPr>
              <w:t>质量保证期：</w:t>
            </w:r>
            <w:r>
              <w:rPr>
                <w:rStyle w:val="11"/>
                <w:rFonts w:hint="eastAsia"/>
              </w:rPr>
              <w:t>2年</w:t>
            </w:r>
          </w:p>
        </w:tc>
      </w:tr>
      <w:tr w14:paraId="35541617">
        <w:tblPrEx>
          <w:tblCellMar>
            <w:top w:w="0" w:type="dxa"/>
            <w:left w:w="0" w:type="dxa"/>
            <w:bottom w:w="0" w:type="dxa"/>
            <w:right w:w="0" w:type="dxa"/>
          </w:tblCellMar>
        </w:tblPrEx>
        <w:trPr>
          <w:wBefore w:w="0" w:type="auto"/>
          <w:tblCellSpacing w:w="0" w:type="dxa"/>
        </w:trPr>
        <w:tc>
          <w:tcPr>
            <w:tcW w:w="0" w:type="auto"/>
            <w:noWrap w:val="0"/>
            <w:vAlign w:val="center"/>
          </w:tcPr>
          <w:p w14:paraId="00ACA2B3">
            <w:r>
              <w:rPr>
                <w:rStyle w:val="10"/>
                <w:rFonts w:hint="eastAsia"/>
              </w:rPr>
              <w:t>备注：</w:t>
            </w:r>
            <w:r>
              <w:rPr>
                <w:rFonts w:hint="eastAsia"/>
              </w:rPr>
              <w:br w:type="textWrapping"/>
            </w:r>
            <w:r>
              <w:rPr>
                <w:rStyle w:val="11"/>
                <w:rFonts w:hint="eastAsia"/>
              </w:rPr>
              <w:t>精草铵膦铵盐16.4%。</w:t>
            </w:r>
          </w:p>
        </w:tc>
      </w:tr>
    </w:tbl>
    <w:p w14:paraId="6CC0B10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94987EB">
        <w:tblPrEx>
          <w:tblCellMar>
            <w:top w:w="0" w:type="dxa"/>
            <w:left w:w="0" w:type="dxa"/>
            <w:bottom w:w="0" w:type="dxa"/>
            <w:right w:w="0" w:type="dxa"/>
          </w:tblCellMar>
        </w:tblPrEx>
        <w:trPr>
          <w:wBefore w:w="0" w:type="auto"/>
          <w:tblCellSpacing w:w="0" w:type="dxa"/>
        </w:trPr>
        <w:tc>
          <w:tcPr>
            <w:tcW w:w="0" w:type="auto"/>
            <w:noWrap w:val="0"/>
            <w:vAlign w:val="center"/>
          </w:tcPr>
          <w:p w14:paraId="6B00E33E">
            <w:r>
              <w:rPr>
                <w:rStyle w:val="10"/>
                <w:rFonts w:hint="eastAsia"/>
              </w:rPr>
              <w:t>登记证号：</w:t>
            </w:r>
            <w:r>
              <w:rPr>
                <w:rFonts w:hint="eastAsia"/>
              </w:rPr>
              <w:t>PD20212209</w:t>
            </w:r>
          </w:p>
        </w:tc>
      </w:tr>
      <w:tr w14:paraId="179FDE0F">
        <w:tblPrEx>
          <w:tblCellMar>
            <w:top w:w="0" w:type="dxa"/>
            <w:left w:w="0" w:type="dxa"/>
            <w:bottom w:w="0" w:type="dxa"/>
            <w:right w:w="0" w:type="dxa"/>
          </w:tblCellMar>
        </w:tblPrEx>
        <w:trPr>
          <w:wBefore w:w="0" w:type="auto"/>
          <w:tblCellSpacing w:w="0" w:type="dxa"/>
        </w:trPr>
        <w:tc>
          <w:tcPr>
            <w:tcW w:w="0" w:type="auto"/>
            <w:noWrap w:val="0"/>
            <w:vAlign w:val="center"/>
          </w:tcPr>
          <w:p w14:paraId="4532FB82">
            <w:r>
              <w:rPr>
                <w:rStyle w:val="10"/>
                <w:rFonts w:hint="eastAsia"/>
              </w:rPr>
              <w:t>登记证持有人：</w:t>
            </w:r>
            <w:r>
              <w:rPr>
                <w:rFonts w:hint="eastAsia"/>
              </w:rPr>
              <w:t>上海悦联生物科技有限公司</w:t>
            </w:r>
          </w:p>
        </w:tc>
      </w:tr>
      <w:tr w14:paraId="0BE592D7">
        <w:tblPrEx>
          <w:tblCellMar>
            <w:top w:w="0" w:type="dxa"/>
            <w:left w:w="0" w:type="dxa"/>
            <w:bottom w:w="0" w:type="dxa"/>
            <w:right w:w="0" w:type="dxa"/>
          </w:tblCellMar>
        </w:tblPrEx>
        <w:trPr>
          <w:wBefore w:w="0" w:type="auto"/>
          <w:tblCellSpacing w:w="0" w:type="dxa"/>
        </w:trPr>
        <w:tc>
          <w:tcPr>
            <w:tcW w:w="0" w:type="auto"/>
            <w:noWrap w:val="0"/>
            <w:vAlign w:val="center"/>
          </w:tcPr>
          <w:p w14:paraId="5001AC86">
            <w:r>
              <w:rPr>
                <w:rStyle w:val="10"/>
                <w:rFonts w:hint="eastAsia"/>
              </w:rPr>
              <w:t>农药名称：</w:t>
            </w:r>
            <w:r>
              <w:rPr>
                <w:rFonts w:hint="eastAsia"/>
              </w:rPr>
              <w:t>苯嘧·草甘膦</w:t>
            </w:r>
          </w:p>
        </w:tc>
      </w:tr>
      <w:tr w14:paraId="30A6D8A4">
        <w:tblPrEx>
          <w:tblCellMar>
            <w:top w:w="0" w:type="dxa"/>
            <w:left w:w="0" w:type="dxa"/>
            <w:bottom w:w="0" w:type="dxa"/>
            <w:right w:w="0" w:type="dxa"/>
          </w:tblCellMar>
        </w:tblPrEx>
        <w:trPr>
          <w:wBefore w:w="0" w:type="auto"/>
          <w:tblCellSpacing w:w="0" w:type="dxa"/>
        </w:trPr>
        <w:tc>
          <w:tcPr>
            <w:tcW w:w="0" w:type="auto"/>
            <w:noWrap w:val="0"/>
            <w:vAlign w:val="center"/>
          </w:tcPr>
          <w:p w14:paraId="640F5749">
            <w:r>
              <w:rPr>
                <w:rStyle w:val="10"/>
                <w:rFonts w:hint="eastAsia"/>
              </w:rPr>
              <w:t>剂型：</w:t>
            </w:r>
            <w:r>
              <w:rPr>
                <w:rFonts w:hint="eastAsia"/>
              </w:rPr>
              <w:t>可分散油悬浮剂</w:t>
            </w:r>
          </w:p>
        </w:tc>
      </w:tr>
      <w:tr w14:paraId="4A5CF1B3">
        <w:tblPrEx>
          <w:tblCellMar>
            <w:top w:w="0" w:type="dxa"/>
            <w:left w:w="0" w:type="dxa"/>
            <w:bottom w:w="0" w:type="dxa"/>
            <w:right w:w="0" w:type="dxa"/>
          </w:tblCellMar>
        </w:tblPrEx>
        <w:trPr>
          <w:wBefore w:w="0" w:type="auto"/>
          <w:tblCellSpacing w:w="0" w:type="dxa"/>
        </w:trPr>
        <w:tc>
          <w:tcPr>
            <w:tcW w:w="0" w:type="auto"/>
            <w:noWrap w:val="0"/>
            <w:vAlign w:val="center"/>
          </w:tcPr>
          <w:p w14:paraId="5F3CEB6B">
            <w:r>
              <w:rPr>
                <w:rStyle w:val="10"/>
                <w:rFonts w:hint="eastAsia"/>
              </w:rPr>
              <w:t>毒性及其标识：</w:t>
            </w:r>
            <w:r>
              <w:rPr>
                <w:rFonts w:hint="eastAsia"/>
              </w:rPr>
              <w:t xml:space="preserve"> </w:t>
            </w:r>
            <w:r>
              <w:rPr>
                <w:lang/>
              </w:rPr>
              <w:drawing>
                <wp:inline distT="0" distB="0" distL="114300" distR="114300">
                  <wp:extent cx="476250" cy="323850"/>
                  <wp:effectExtent l="0" t="0" r="0" b="0"/>
                  <wp:docPr id="248" name="图片 24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253E0B9">
        <w:tblPrEx>
          <w:tblCellMar>
            <w:top w:w="0" w:type="dxa"/>
            <w:left w:w="0" w:type="dxa"/>
            <w:bottom w:w="0" w:type="dxa"/>
            <w:right w:w="0" w:type="dxa"/>
          </w:tblCellMar>
        </w:tblPrEx>
        <w:trPr>
          <w:wBefore w:w="0" w:type="auto"/>
          <w:tblCellSpacing w:w="0" w:type="dxa"/>
        </w:trPr>
        <w:tc>
          <w:tcPr>
            <w:tcW w:w="0" w:type="auto"/>
            <w:noWrap w:val="0"/>
            <w:vAlign w:val="center"/>
          </w:tcPr>
          <w:p w14:paraId="4FE5E744">
            <w:r>
              <w:rPr>
                <w:rStyle w:val="10"/>
                <w:rFonts w:hint="eastAsia"/>
              </w:rPr>
              <w:t>总有效成分含量：</w:t>
            </w:r>
            <w:r>
              <w:rPr>
                <w:rFonts w:hint="eastAsia"/>
              </w:rPr>
              <w:t>40%</w:t>
            </w:r>
          </w:p>
        </w:tc>
      </w:tr>
      <w:tr w14:paraId="36BB6F2D">
        <w:tblPrEx>
          <w:tblCellMar>
            <w:top w:w="0" w:type="dxa"/>
            <w:left w:w="0" w:type="dxa"/>
            <w:bottom w:w="0" w:type="dxa"/>
            <w:right w:w="0" w:type="dxa"/>
          </w:tblCellMar>
        </w:tblPrEx>
        <w:trPr>
          <w:wBefore w:w="0" w:type="auto"/>
          <w:tblCellSpacing w:w="0" w:type="dxa"/>
        </w:trPr>
        <w:tc>
          <w:tcPr>
            <w:tcW w:w="0" w:type="auto"/>
            <w:noWrap w:val="0"/>
            <w:vAlign w:val="center"/>
          </w:tcPr>
          <w:p w14:paraId="394AF871">
            <w:r>
              <w:rPr>
                <w:rFonts w:hint="eastAsia"/>
              </w:rPr>
              <w:t xml:space="preserve">有效成分及其含量： </w:t>
            </w:r>
          </w:p>
          <w:p w14:paraId="6CF0C6C7">
            <w:r>
              <w:rPr>
                <w:rFonts w:hint="eastAsia"/>
              </w:rPr>
              <w:t xml:space="preserve">    苯嘧磺草胺1%    草甘膦39%    </w:t>
            </w:r>
          </w:p>
        </w:tc>
      </w:tr>
      <w:tr w14:paraId="746A176D">
        <w:tblPrEx>
          <w:tblCellMar>
            <w:top w:w="0" w:type="dxa"/>
            <w:left w:w="0" w:type="dxa"/>
            <w:bottom w:w="0" w:type="dxa"/>
            <w:right w:w="0" w:type="dxa"/>
          </w:tblCellMar>
        </w:tblPrEx>
        <w:trPr>
          <w:wBefore w:w="0" w:type="auto"/>
          <w:tblCellSpacing w:w="0" w:type="dxa"/>
        </w:trPr>
        <w:tc>
          <w:tcPr>
            <w:tcW w:w="0" w:type="auto"/>
            <w:noWrap w:val="0"/>
            <w:vAlign w:val="center"/>
          </w:tcPr>
          <w:p w14:paraId="433F205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DADF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F3650F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CAFC0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0B3475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BE2008E">
                  <w:r>
                    <w:rPr>
                      <w:rStyle w:val="11"/>
                      <w:rFonts w:hint="eastAsia"/>
                    </w:rPr>
                    <w:t>施用方式</w:t>
                  </w:r>
                </w:p>
              </w:tc>
            </w:tr>
            <w:tr w14:paraId="3F9EE0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34F5BA3">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7810B0">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8C9097">
                  <w:r>
                    <w:rPr>
                      <w:rStyle w:val="11"/>
                      <w:rFonts w:hint="eastAsia"/>
                    </w:rPr>
                    <w:t>100-120毫升/亩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C886E1">
                  <w:r>
                    <w:rPr>
                      <w:rStyle w:val="11"/>
                      <w:rFonts w:hint="eastAsia"/>
                    </w:rPr>
                    <w:t>茎叶喷雾</w:t>
                  </w:r>
                </w:p>
              </w:tc>
            </w:tr>
          </w:tbl>
          <w:p w14:paraId="58779F80">
            <w:pPr>
              <w:rPr>
                <w:rFonts w:ascii="Times New Roman" w:hAnsi="Times New Roman" w:cs="Times New Roman"/>
                <w:sz w:val="20"/>
                <w:szCs w:val="20"/>
              </w:rPr>
            </w:pPr>
          </w:p>
        </w:tc>
      </w:tr>
      <w:tr w14:paraId="48063F2B">
        <w:tblPrEx>
          <w:tblCellMar>
            <w:top w:w="0" w:type="dxa"/>
            <w:left w:w="0" w:type="dxa"/>
            <w:bottom w:w="0" w:type="dxa"/>
            <w:right w:w="0" w:type="dxa"/>
          </w:tblCellMar>
        </w:tblPrEx>
        <w:trPr>
          <w:wBefore w:w="0" w:type="auto"/>
          <w:tblCellSpacing w:w="0" w:type="dxa"/>
        </w:trPr>
        <w:tc>
          <w:tcPr>
            <w:tcW w:w="0" w:type="auto"/>
            <w:noWrap w:val="0"/>
            <w:vAlign w:val="center"/>
          </w:tcPr>
          <w:p w14:paraId="68E8CAED">
            <w:r>
              <w:rPr>
                <w:rStyle w:val="10"/>
                <w:rFonts w:hint="eastAsia"/>
              </w:rPr>
              <w:t>使用技术要求:</w:t>
            </w:r>
            <w:r>
              <w:rPr>
                <w:rFonts w:hint="eastAsia"/>
              </w:rPr>
              <w:br w:type="textWrapping"/>
            </w:r>
            <w:r>
              <w:rPr>
                <w:rStyle w:val="11"/>
                <w:rFonts w:hint="eastAsia"/>
              </w:rPr>
              <w:t>1.在杂草生长旺盛期施药，注意均匀茎叶喷雾，干旱及杂草密度较大或防除大龄杂草及多年生恶性杂草时，采用较高的推荐制剂用量。 2.大风天或预计4小时内有雨请勿施药。 3.喷雾时应注意防止药液飘移到其他作物田上，以免产生药害。4. 禁止在田间道路、田埂、果树行间、休耕地、林场林地等农林业区域使用。</w:t>
            </w:r>
          </w:p>
        </w:tc>
      </w:tr>
      <w:tr w14:paraId="11FD1E68">
        <w:tblPrEx>
          <w:tblCellMar>
            <w:top w:w="0" w:type="dxa"/>
            <w:left w:w="0" w:type="dxa"/>
            <w:bottom w:w="0" w:type="dxa"/>
            <w:right w:w="0" w:type="dxa"/>
          </w:tblCellMar>
        </w:tblPrEx>
        <w:trPr>
          <w:wBefore w:w="0" w:type="auto"/>
          <w:tblCellSpacing w:w="0" w:type="dxa"/>
        </w:trPr>
        <w:tc>
          <w:tcPr>
            <w:tcW w:w="0" w:type="auto"/>
            <w:noWrap w:val="0"/>
            <w:vAlign w:val="center"/>
          </w:tcPr>
          <w:p w14:paraId="4610E175">
            <w:r>
              <w:rPr>
                <w:rStyle w:val="10"/>
                <w:rFonts w:hint="eastAsia"/>
              </w:rPr>
              <w:t>产品性能:</w:t>
            </w:r>
            <w:r>
              <w:rPr>
                <w:rFonts w:hint="eastAsia"/>
              </w:rPr>
              <w:br w:type="textWrapping"/>
            </w:r>
            <w:r>
              <w:rPr>
                <w:rStyle w:val="11"/>
                <w:rFonts w:hint="eastAsia"/>
              </w:rPr>
              <w:t>本品是由苯嘧磺草胺与草甘膦两种作用机理不同的除草剂混配而成，苯嘧磺草胺可弥补草甘膦对多种抗性及耐药阔叶杂草防效不足的缺点，草甘膦可弥补苯嘧磺草胺对禾本科杂草防效不足的缺点。使防治谱更为全面，综合防治一年生及多年生禾本科和阔叶杂草，增强防效，同时可延缓杂草抗药性，并有效治理对草甘膦产生抗性的杂草。</w:t>
            </w:r>
          </w:p>
        </w:tc>
      </w:tr>
      <w:tr w14:paraId="30221DDF">
        <w:tblPrEx>
          <w:tblCellMar>
            <w:top w:w="0" w:type="dxa"/>
            <w:left w:w="0" w:type="dxa"/>
            <w:bottom w:w="0" w:type="dxa"/>
            <w:right w:w="0" w:type="dxa"/>
          </w:tblCellMar>
        </w:tblPrEx>
        <w:trPr>
          <w:wBefore w:w="0" w:type="auto"/>
          <w:tblCellSpacing w:w="0" w:type="dxa"/>
        </w:trPr>
        <w:tc>
          <w:tcPr>
            <w:tcW w:w="0" w:type="auto"/>
            <w:noWrap w:val="0"/>
            <w:vAlign w:val="center"/>
          </w:tcPr>
          <w:p w14:paraId="3B872009">
            <w:r>
              <w:rPr>
                <w:rStyle w:val="10"/>
                <w:rFonts w:hint="eastAsia"/>
              </w:rPr>
              <w:t>注意事项：</w:t>
            </w:r>
            <w:r>
              <w:rPr>
                <w:rFonts w:hint="eastAsia"/>
              </w:rPr>
              <w:br w:type="textWrapping"/>
            </w:r>
            <w:r>
              <w:rPr>
                <w:rStyle w:val="11"/>
                <w:rFonts w:hint="eastAsia"/>
              </w:rPr>
              <w:t>1.用药后5天内请勿割草、放牧、耕地等。 2使用本品时应采取相应的安全防护措施，穿戴长衣、长裤、帽子、口罩、手套等防护措施。避免皮肤接触及口鼻吸入药液。使用中不可吸烟、饮水和吃东西等；使用后及时清洗手、脸等暴露部位皮肤并更换衣物。 3.远离水产养殖区、河塘等水体施药。不得将剩余药液倒入河塘湖泊等水体中。禁止在河塘等水域清洗施药器具。建议在晴天无风露珠退去后使用。 4.使用后的包装应妥善处理不可作他用，也不可随意丢弃。 5.避免孕妇及哺乳期妇女接触。</w:t>
            </w:r>
          </w:p>
        </w:tc>
      </w:tr>
      <w:tr w14:paraId="3657E95B">
        <w:tblPrEx>
          <w:tblCellMar>
            <w:top w:w="0" w:type="dxa"/>
            <w:left w:w="0" w:type="dxa"/>
            <w:bottom w:w="0" w:type="dxa"/>
            <w:right w:w="0" w:type="dxa"/>
          </w:tblCellMar>
        </w:tblPrEx>
        <w:trPr>
          <w:wBefore w:w="0" w:type="auto"/>
          <w:tblCellSpacing w:w="0" w:type="dxa"/>
        </w:trPr>
        <w:tc>
          <w:tcPr>
            <w:tcW w:w="0" w:type="auto"/>
            <w:noWrap w:val="0"/>
            <w:vAlign w:val="center"/>
          </w:tcPr>
          <w:p w14:paraId="472995A4">
            <w:r>
              <w:rPr>
                <w:rStyle w:val="10"/>
                <w:rFonts w:hint="eastAsia"/>
              </w:rPr>
              <w:t>中毒急救措施：</w:t>
            </w:r>
            <w:r>
              <w:rPr>
                <w:rFonts w:hint="eastAsia"/>
              </w:rPr>
              <w:br w:type="textWrapping"/>
            </w:r>
            <w:r>
              <w:rPr>
                <w:rStyle w:val="11"/>
                <w:rFonts w:hint="eastAsia"/>
              </w:rPr>
              <w:t>该产品对眼睛、皮肤有刺激性，使用时避免接触眼睛、皮肤。 使用中或使用后如果感觉不适，应立即停止工作采取急救措施，并携带标签送医院就诊。 1）皮肤接触：脱去污染的衣物，用软布去除沾染农药，用大量清水和肥皂冲洗。 2）眼睛溅入：立即用流动清水冲洗不少于15分钟。 3）吸入：立即离开施药现场，转移到空气清新处。 4）误食：立即停止服用，用清水充分漱口后，立即携带标签送医院就诊。 5）无特效解毒剂，对症治疗。</w:t>
            </w:r>
          </w:p>
        </w:tc>
      </w:tr>
      <w:tr w14:paraId="09717FE0">
        <w:tblPrEx>
          <w:tblCellMar>
            <w:top w:w="0" w:type="dxa"/>
            <w:left w:w="0" w:type="dxa"/>
            <w:bottom w:w="0" w:type="dxa"/>
            <w:right w:w="0" w:type="dxa"/>
          </w:tblCellMar>
        </w:tblPrEx>
        <w:trPr>
          <w:wBefore w:w="0" w:type="auto"/>
          <w:tblCellSpacing w:w="0" w:type="dxa"/>
        </w:trPr>
        <w:tc>
          <w:tcPr>
            <w:tcW w:w="0" w:type="auto"/>
            <w:noWrap w:val="0"/>
            <w:vAlign w:val="center"/>
          </w:tcPr>
          <w:p w14:paraId="5CC1B597">
            <w:r>
              <w:rPr>
                <w:rStyle w:val="10"/>
                <w:rFonts w:hint="eastAsia"/>
              </w:rPr>
              <w:t>储存和运输方法：</w:t>
            </w:r>
            <w:r>
              <w:rPr>
                <w:rFonts w:hint="eastAsia"/>
              </w:rPr>
              <w:br w:type="textWrapping"/>
            </w:r>
            <w:r>
              <w:rPr>
                <w:rStyle w:val="11"/>
                <w:rFonts w:hint="eastAsia"/>
              </w:rPr>
              <w:t>本品应贮存在避光、通风、干燥防风雨处，远离火源和热源。置于儿童、无关人员及动物接触不到的地方，并加锁保存。勿与食物、饮料、种子、粮食和饲料同贮同运。</w:t>
            </w:r>
          </w:p>
        </w:tc>
      </w:tr>
      <w:tr w14:paraId="433D6A64">
        <w:tblPrEx>
          <w:tblCellMar>
            <w:top w:w="0" w:type="dxa"/>
            <w:left w:w="0" w:type="dxa"/>
            <w:bottom w:w="0" w:type="dxa"/>
            <w:right w:w="0" w:type="dxa"/>
          </w:tblCellMar>
        </w:tblPrEx>
        <w:trPr>
          <w:wBefore w:w="0" w:type="auto"/>
          <w:tblCellSpacing w:w="0" w:type="dxa"/>
        </w:trPr>
        <w:tc>
          <w:tcPr>
            <w:tcW w:w="0" w:type="auto"/>
            <w:noWrap w:val="0"/>
            <w:vAlign w:val="center"/>
          </w:tcPr>
          <w:p w14:paraId="2307B3E9">
            <w:r>
              <w:rPr>
                <w:rStyle w:val="10"/>
                <w:rFonts w:hint="eastAsia"/>
              </w:rPr>
              <w:t>质量保证期：</w:t>
            </w:r>
            <w:r>
              <w:rPr>
                <w:rStyle w:val="11"/>
                <w:rFonts w:hint="eastAsia"/>
              </w:rPr>
              <w:t>2年</w:t>
            </w:r>
          </w:p>
        </w:tc>
      </w:tr>
      <w:tr w14:paraId="6F8BFB83">
        <w:tblPrEx>
          <w:tblCellMar>
            <w:top w:w="0" w:type="dxa"/>
            <w:left w:w="0" w:type="dxa"/>
            <w:bottom w:w="0" w:type="dxa"/>
            <w:right w:w="0" w:type="dxa"/>
          </w:tblCellMar>
        </w:tblPrEx>
        <w:trPr>
          <w:wBefore w:w="0" w:type="auto"/>
          <w:tblCellSpacing w:w="0" w:type="dxa"/>
        </w:trPr>
        <w:tc>
          <w:tcPr>
            <w:tcW w:w="0" w:type="auto"/>
            <w:noWrap w:val="0"/>
            <w:vAlign w:val="center"/>
          </w:tcPr>
          <w:p w14:paraId="46B9DDE7">
            <w:r>
              <w:rPr>
                <w:rStyle w:val="10"/>
                <w:rFonts w:hint="eastAsia"/>
              </w:rPr>
              <w:t>备注：</w:t>
            </w:r>
            <w:r>
              <w:rPr>
                <w:rFonts w:hint="eastAsia"/>
              </w:rPr>
              <w:br w:type="textWrapping"/>
            </w:r>
            <w:r>
              <w:rPr>
                <w:rStyle w:val="11"/>
                <w:rFonts w:hint="eastAsia"/>
              </w:rPr>
              <w:t>草甘膦铵盐42.9%.</w:t>
            </w:r>
          </w:p>
        </w:tc>
      </w:tr>
    </w:tbl>
    <w:p w14:paraId="0142094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851F0EB">
        <w:tblPrEx>
          <w:tblCellMar>
            <w:top w:w="0" w:type="dxa"/>
            <w:left w:w="0" w:type="dxa"/>
            <w:bottom w:w="0" w:type="dxa"/>
            <w:right w:w="0" w:type="dxa"/>
          </w:tblCellMar>
        </w:tblPrEx>
        <w:trPr>
          <w:wBefore w:w="0" w:type="auto"/>
          <w:tblCellSpacing w:w="0" w:type="dxa"/>
        </w:trPr>
        <w:tc>
          <w:tcPr>
            <w:tcW w:w="0" w:type="auto"/>
            <w:noWrap w:val="0"/>
            <w:vAlign w:val="center"/>
          </w:tcPr>
          <w:p w14:paraId="6E6DC339">
            <w:r>
              <w:rPr>
                <w:rStyle w:val="10"/>
                <w:rFonts w:hint="eastAsia"/>
              </w:rPr>
              <w:t>登记证号：</w:t>
            </w:r>
            <w:r>
              <w:rPr>
                <w:rFonts w:hint="eastAsia"/>
              </w:rPr>
              <w:t>PD20211901</w:t>
            </w:r>
          </w:p>
        </w:tc>
      </w:tr>
      <w:tr w14:paraId="18C801A9">
        <w:tblPrEx>
          <w:tblCellMar>
            <w:top w:w="0" w:type="dxa"/>
            <w:left w:w="0" w:type="dxa"/>
            <w:bottom w:w="0" w:type="dxa"/>
            <w:right w:w="0" w:type="dxa"/>
          </w:tblCellMar>
        </w:tblPrEx>
        <w:trPr>
          <w:wBefore w:w="0" w:type="auto"/>
          <w:tblCellSpacing w:w="0" w:type="dxa"/>
        </w:trPr>
        <w:tc>
          <w:tcPr>
            <w:tcW w:w="0" w:type="auto"/>
            <w:noWrap w:val="0"/>
            <w:vAlign w:val="center"/>
          </w:tcPr>
          <w:p w14:paraId="1E517484">
            <w:r>
              <w:rPr>
                <w:rStyle w:val="10"/>
                <w:rFonts w:hint="eastAsia"/>
              </w:rPr>
              <w:t>登记证持有人：</w:t>
            </w:r>
            <w:r>
              <w:rPr>
                <w:rFonts w:hint="eastAsia"/>
              </w:rPr>
              <w:t>上海沪联生物药业（夏邑）股份有限公司</w:t>
            </w:r>
          </w:p>
        </w:tc>
      </w:tr>
      <w:tr w14:paraId="766E32EC">
        <w:tblPrEx>
          <w:tblCellMar>
            <w:top w:w="0" w:type="dxa"/>
            <w:left w:w="0" w:type="dxa"/>
            <w:bottom w:w="0" w:type="dxa"/>
            <w:right w:w="0" w:type="dxa"/>
          </w:tblCellMar>
        </w:tblPrEx>
        <w:trPr>
          <w:wBefore w:w="0" w:type="auto"/>
          <w:tblCellSpacing w:w="0" w:type="dxa"/>
        </w:trPr>
        <w:tc>
          <w:tcPr>
            <w:tcW w:w="0" w:type="auto"/>
            <w:noWrap w:val="0"/>
            <w:vAlign w:val="center"/>
          </w:tcPr>
          <w:p w14:paraId="097FD96D">
            <w:r>
              <w:rPr>
                <w:rStyle w:val="10"/>
                <w:rFonts w:hint="eastAsia"/>
              </w:rPr>
              <w:t>农药名称：</w:t>
            </w:r>
            <w:r>
              <w:rPr>
                <w:rFonts w:hint="eastAsia"/>
              </w:rPr>
              <w:t>唑醚·喹啉铜</w:t>
            </w:r>
          </w:p>
        </w:tc>
      </w:tr>
      <w:tr w14:paraId="31C72407">
        <w:tblPrEx>
          <w:tblCellMar>
            <w:top w:w="0" w:type="dxa"/>
            <w:left w:w="0" w:type="dxa"/>
            <w:bottom w:w="0" w:type="dxa"/>
            <w:right w:w="0" w:type="dxa"/>
          </w:tblCellMar>
        </w:tblPrEx>
        <w:trPr>
          <w:wBefore w:w="0" w:type="auto"/>
          <w:tblCellSpacing w:w="0" w:type="dxa"/>
        </w:trPr>
        <w:tc>
          <w:tcPr>
            <w:tcW w:w="0" w:type="auto"/>
            <w:noWrap w:val="0"/>
            <w:vAlign w:val="center"/>
          </w:tcPr>
          <w:p w14:paraId="68F8472D">
            <w:r>
              <w:rPr>
                <w:rStyle w:val="10"/>
                <w:rFonts w:hint="eastAsia"/>
              </w:rPr>
              <w:t>剂型：</w:t>
            </w:r>
            <w:r>
              <w:rPr>
                <w:rFonts w:hint="eastAsia"/>
              </w:rPr>
              <w:t>悬浮剂</w:t>
            </w:r>
          </w:p>
        </w:tc>
      </w:tr>
      <w:tr w14:paraId="525020A3">
        <w:tblPrEx>
          <w:tblCellMar>
            <w:top w:w="0" w:type="dxa"/>
            <w:left w:w="0" w:type="dxa"/>
            <w:bottom w:w="0" w:type="dxa"/>
            <w:right w:w="0" w:type="dxa"/>
          </w:tblCellMar>
        </w:tblPrEx>
        <w:trPr>
          <w:wBefore w:w="0" w:type="auto"/>
          <w:tblCellSpacing w:w="0" w:type="dxa"/>
        </w:trPr>
        <w:tc>
          <w:tcPr>
            <w:tcW w:w="0" w:type="auto"/>
            <w:noWrap w:val="0"/>
            <w:vAlign w:val="center"/>
          </w:tcPr>
          <w:p w14:paraId="29C46A7D">
            <w:r>
              <w:rPr>
                <w:rStyle w:val="10"/>
                <w:rFonts w:hint="eastAsia"/>
              </w:rPr>
              <w:t>毒性及其标识：</w:t>
            </w:r>
            <w:r>
              <w:rPr>
                <w:rFonts w:hint="eastAsia"/>
              </w:rPr>
              <w:t xml:space="preserve"> </w:t>
            </w:r>
            <w:r>
              <w:rPr>
                <w:lang/>
              </w:rPr>
              <w:drawing>
                <wp:inline distT="0" distB="0" distL="114300" distR="114300">
                  <wp:extent cx="476250" cy="323850"/>
                  <wp:effectExtent l="0" t="0" r="0" b="0"/>
                  <wp:docPr id="249" name="图片 24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E2E3F2D">
        <w:tblPrEx>
          <w:tblCellMar>
            <w:top w:w="0" w:type="dxa"/>
            <w:left w:w="0" w:type="dxa"/>
            <w:bottom w:w="0" w:type="dxa"/>
            <w:right w:w="0" w:type="dxa"/>
          </w:tblCellMar>
        </w:tblPrEx>
        <w:trPr>
          <w:wBefore w:w="0" w:type="auto"/>
          <w:tblCellSpacing w:w="0" w:type="dxa"/>
        </w:trPr>
        <w:tc>
          <w:tcPr>
            <w:tcW w:w="0" w:type="auto"/>
            <w:noWrap w:val="0"/>
            <w:vAlign w:val="center"/>
          </w:tcPr>
          <w:p w14:paraId="133112AB">
            <w:r>
              <w:rPr>
                <w:rStyle w:val="10"/>
                <w:rFonts w:hint="eastAsia"/>
              </w:rPr>
              <w:t>总有效成分含量：</w:t>
            </w:r>
            <w:r>
              <w:rPr>
                <w:rFonts w:hint="eastAsia"/>
              </w:rPr>
              <w:t>40%</w:t>
            </w:r>
          </w:p>
        </w:tc>
      </w:tr>
      <w:tr w14:paraId="7C6F56DE">
        <w:tblPrEx>
          <w:tblCellMar>
            <w:top w:w="0" w:type="dxa"/>
            <w:left w:w="0" w:type="dxa"/>
            <w:bottom w:w="0" w:type="dxa"/>
            <w:right w:w="0" w:type="dxa"/>
          </w:tblCellMar>
        </w:tblPrEx>
        <w:trPr>
          <w:wBefore w:w="0" w:type="auto"/>
          <w:tblCellSpacing w:w="0" w:type="dxa"/>
        </w:trPr>
        <w:tc>
          <w:tcPr>
            <w:tcW w:w="0" w:type="auto"/>
            <w:noWrap w:val="0"/>
            <w:vAlign w:val="center"/>
          </w:tcPr>
          <w:p w14:paraId="21D38BAD">
            <w:r>
              <w:rPr>
                <w:rFonts w:hint="eastAsia"/>
              </w:rPr>
              <w:t xml:space="preserve">有效成分及其含量： </w:t>
            </w:r>
          </w:p>
          <w:p w14:paraId="493E45ED">
            <w:r>
              <w:rPr>
                <w:rFonts w:hint="eastAsia"/>
              </w:rPr>
              <w:t xml:space="preserve">    吡唑醚菌酯10%    喹啉铜30%    </w:t>
            </w:r>
          </w:p>
        </w:tc>
      </w:tr>
      <w:tr w14:paraId="181861A9">
        <w:tblPrEx>
          <w:tblCellMar>
            <w:top w:w="0" w:type="dxa"/>
            <w:left w:w="0" w:type="dxa"/>
            <w:bottom w:w="0" w:type="dxa"/>
            <w:right w:w="0" w:type="dxa"/>
          </w:tblCellMar>
        </w:tblPrEx>
        <w:trPr>
          <w:wBefore w:w="0" w:type="auto"/>
          <w:tblCellSpacing w:w="0" w:type="dxa"/>
        </w:trPr>
        <w:tc>
          <w:tcPr>
            <w:tcW w:w="0" w:type="auto"/>
            <w:noWrap w:val="0"/>
            <w:vAlign w:val="center"/>
          </w:tcPr>
          <w:p w14:paraId="785BC29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4D18E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805720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D758F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7661DB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B590EEE">
                  <w:r>
                    <w:rPr>
                      <w:rStyle w:val="11"/>
                      <w:rFonts w:hint="eastAsia"/>
                    </w:rPr>
                    <w:t>施用方式</w:t>
                  </w:r>
                </w:p>
              </w:tc>
            </w:tr>
            <w:tr w14:paraId="7BBB3D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28F0D93">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C6CBD2">
                  <w:r>
                    <w:rPr>
                      <w:rStyle w:val="11"/>
                      <w:rFonts w:hint="eastAsia"/>
                    </w:rPr>
                    <w:t>树脂病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FBBC3A">
                  <w:r>
                    <w:rPr>
                      <w:rStyle w:val="11"/>
                      <w:rFonts w:hint="eastAsia"/>
                    </w:rPr>
                    <w:t>700-1000倍液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766CC8">
                  <w:r>
                    <w:rPr>
                      <w:rStyle w:val="11"/>
                      <w:rFonts w:hint="eastAsia"/>
                    </w:rPr>
                    <w:t>喷雾</w:t>
                  </w:r>
                </w:p>
              </w:tc>
            </w:tr>
          </w:tbl>
          <w:p w14:paraId="125D40A2">
            <w:pPr>
              <w:rPr>
                <w:rFonts w:ascii="Times New Roman" w:hAnsi="Times New Roman" w:cs="Times New Roman"/>
                <w:sz w:val="20"/>
                <w:szCs w:val="20"/>
              </w:rPr>
            </w:pPr>
          </w:p>
        </w:tc>
      </w:tr>
      <w:tr w14:paraId="0DFC54E0">
        <w:tblPrEx>
          <w:tblCellMar>
            <w:top w:w="0" w:type="dxa"/>
            <w:left w:w="0" w:type="dxa"/>
            <w:bottom w:w="0" w:type="dxa"/>
            <w:right w:w="0" w:type="dxa"/>
          </w:tblCellMar>
        </w:tblPrEx>
        <w:trPr>
          <w:wBefore w:w="0" w:type="auto"/>
          <w:tblCellSpacing w:w="0" w:type="dxa"/>
        </w:trPr>
        <w:tc>
          <w:tcPr>
            <w:tcW w:w="0" w:type="auto"/>
            <w:noWrap w:val="0"/>
            <w:vAlign w:val="center"/>
          </w:tcPr>
          <w:p w14:paraId="77B8750D">
            <w:r>
              <w:rPr>
                <w:rStyle w:val="10"/>
                <w:rFonts w:hint="eastAsia"/>
              </w:rPr>
              <w:t>使用技术要求:</w:t>
            </w:r>
            <w:r>
              <w:rPr>
                <w:rFonts w:hint="eastAsia"/>
              </w:rPr>
              <w:br w:type="textWrapping"/>
            </w:r>
            <w:r>
              <w:rPr>
                <w:rStyle w:val="11"/>
                <w:rFonts w:hint="eastAsia"/>
              </w:rPr>
              <w:t>在柑橘树树脂病发病前或发病初期喷雾施药。每季最多使用2次，施药间隔10天，安全间隔期为30天。</w:t>
            </w:r>
          </w:p>
        </w:tc>
      </w:tr>
      <w:tr w14:paraId="041149D5">
        <w:tblPrEx>
          <w:tblCellMar>
            <w:top w:w="0" w:type="dxa"/>
            <w:left w:w="0" w:type="dxa"/>
            <w:bottom w:w="0" w:type="dxa"/>
            <w:right w:w="0" w:type="dxa"/>
          </w:tblCellMar>
        </w:tblPrEx>
        <w:trPr>
          <w:wBefore w:w="0" w:type="auto"/>
          <w:tblCellSpacing w:w="0" w:type="dxa"/>
        </w:trPr>
        <w:tc>
          <w:tcPr>
            <w:tcW w:w="0" w:type="auto"/>
            <w:noWrap w:val="0"/>
            <w:vAlign w:val="center"/>
          </w:tcPr>
          <w:p w14:paraId="61684376">
            <w:r>
              <w:rPr>
                <w:rStyle w:val="10"/>
                <w:rFonts w:hint="eastAsia"/>
              </w:rPr>
              <w:t>产品性能:</w:t>
            </w:r>
            <w:r>
              <w:rPr>
                <w:rFonts w:hint="eastAsia"/>
              </w:rPr>
              <w:br w:type="textWrapping"/>
            </w:r>
            <w:r>
              <w:rPr>
                <w:rStyle w:val="11"/>
                <w:rFonts w:hint="eastAsia"/>
              </w:rPr>
              <w:t>吡唑醚菌酯属醌外抑制剂，通过作用于细胞色素复合物bc1阻碍电子的传导，以抑制线粒体的呼吸作用。喹啉铜属非特异性多作用位点杀菌剂，不具有内吸性，对病害仅有预防作用，无治疗作用。用于防治柑橘树树脂病。</w:t>
            </w:r>
          </w:p>
        </w:tc>
      </w:tr>
      <w:tr w14:paraId="4CE04390">
        <w:tblPrEx>
          <w:tblCellMar>
            <w:top w:w="0" w:type="dxa"/>
            <w:left w:w="0" w:type="dxa"/>
            <w:bottom w:w="0" w:type="dxa"/>
            <w:right w:w="0" w:type="dxa"/>
          </w:tblCellMar>
        </w:tblPrEx>
        <w:trPr>
          <w:wBefore w:w="0" w:type="auto"/>
          <w:tblCellSpacing w:w="0" w:type="dxa"/>
        </w:trPr>
        <w:tc>
          <w:tcPr>
            <w:tcW w:w="0" w:type="auto"/>
            <w:noWrap w:val="0"/>
            <w:vAlign w:val="center"/>
          </w:tcPr>
          <w:p w14:paraId="150D86D0">
            <w:r>
              <w:rPr>
                <w:rStyle w:val="10"/>
                <w:rFonts w:hint="eastAsia"/>
              </w:rPr>
              <w:t>注意事项：</w:t>
            </w:r>
            <w:r>
              <w:rPr>
                <w:rFonts w:hint="eastAsia"/>
              </w:rPr>
              <w:br w:type="textWrapping"/>
            </w:r>
            <w:r>
              <w:rPr>
                <w:rStyle w:val="11"/>
                <w:rFonts w:hint="eastAsia"/>
              </w:rPr>
              <w:t>1.使用本品应采取相应的安全防护措施，穿防护服，戴帽子、防护手套、口罩等，避免皮肤接触及口鼻吸入。使用中不可吸烟、饮水及吃东西，使用后及时清洗手、脸等暴露部位皮肤并更换衣物。 2.本品对鱼类等水生生物有毒，远离水产养殖区施药，禁止在河塘等水体中清洗施药器具。对家蚕有毒，蚕室及桑园附近禁用。 3.建议与其他作用机制不同的杀菌剂轮换使用，以延缓抗药性产生。 4.用过的容器应妥善处理，不可作他用，也不可随意丢弃。 5.禁止儿童、孕妇及哺乳期妇女接触。过敏者禁用，使用中有任何不良反应请及时就医。</w:t>
            </w:r>
          </w:p>
        </w:tc>
      </w:tr>
      <w:tr w14:paraId="4C3A85C7">
        <w:tblPrEx>
          <w:tblCellMar>
            <w:top w:w="0" w:type="dxa"/>
            <w:left w:w="0" w:type="dxa"/>
            <w:bottom w:w="0" w:type="dxa"/>
            <w:right w:w="0" w:type="dxa"/>
          </w:tblCellMar>
        </w:tblPrEx>
        <w:trPr>
          <w:wBefore w:w="0" w:type="auto"/>
          <w:tblCellSpacing w:w="0" w:type="dxa"/>
        </w:trPr>
        <w:tc>
          <w:tcPr>
            <w:tcW w:w="0" w:type="auto"/>
            <w:noWrap w:val="0"/>
            <w:vAlign w:val="center"/>
          </w:tcPr>
          <w:p w14:paraId="410C6BDC">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 皮肤接触：立即脱去污染的衣物，用软布去除沾染农药，用大量清水和肥皂冲洗。 眼睛溅入：立即用流动清水冲洗不少于15分钟。 吸入：立即离开施药现场，转移到空气清新处。 误食：立即停止服用，用清水充分漱口后，携带农药标签到医院就诊。 </w:t>
            </w:r>
          </w:p>
        </w:tc>
      </w:tr>
      <w:tr w14:paraId="70AB5723">
        <w:tblPrEx>
          <w:tblCellMar>
            <w:top w:w="0" w:type="dxa"/>
            <w:left w:w="0" w:type="dxa"/>
            <w:bottom w:w="0" w:type="dxa"/>
            <w:right w:w="0" w:type="dxa"/>
          </w:tblCellMar>
        </w:tblPrEx>
        <w:trPr>
          <w:wBefore w:w="0" w:type="auto"/>
          <w:tblCellSpacing w:w="0" w:type="dxa"/>
        </w:trPr>
        <w:tc>
          <w:tcPr>
            <w:tcW w:w="0" w:type="auto"/>
            <w:noWrap w:val="0"/>
            <w:vAlign w:val="center"/>
          </w:tcPr>
          <w:p w14:paraId="216A5E71">
            <w:r>
              <w:rPr>
                <w:rStyle w:val="10"/>
                <w:rFonts w:hint="eastAsia"/>
              </w:rPr>
              <w:t>储存和运输方法：</w:t>
            </w:r>
            <w:r>
              <w:rPr>
                <w:rFonts w:hint="eastAsia"/>
              </w:rPr>
              <w:br w:type="textWrapping"/>
            </w:r>
            <w:r>
              <w:rPr>
                <w:rStyle w:val="11"/>
                <w:rFonts w:hint="eastAsia"/>
              </w:rPr>
              <w:t>本品应贮存在干燥、阴凉、通风、防雨处，远离火源或热源，避免与氧化剂接触。置于儿童接触不到的地方。不能与食品、饮料、粮食、饲料等混合储存。</w:t>
            </w:r>
          </w:p>
        </w:tc>
      </w:tr>
      <w:tr w14:paraId="53452C5C">
        <w:tblPrEx>
          <w:tblCellMar>
            <w:top w:w="0" w:type="dxa"/>
            <w:left w:w="0" w:type="dxa"/>
            <w:bottom w:w="0" w:type="dxa"/>
            <w:right w:w="0" w:type="dxa"/>
          </w:tblCellMar>
        </w:tblPrEx>
        <w:trPr>
          <w:wBefore w:w="0" w:type="auto"/>
          <w:tblCellSpacing w:w="0" w:type="dxa"/>
        </w:trPr>
        <w:tc>
          <w:tcPr>
            <w:tcW w:w="0" w:type="auto"/>
            <w:noWrap w:val="0"/>
            <w:vAlign w:val="center"/>
          </w:tcPr>
          <w:p w14:paraId="77C6F476">
            <w:r>
              <w:rPr>
                <w:rStyle w:val="10"/>
                <w:rFonts w:hint="eastAsia"/>
              </w:rPr>
              <w:t>质量保证期：</w:t>
            </w:r>
            <w:r>
              <w:rPr>
                <w:rStyle w:val="11"/>
                <w:rFonts w:hint="eastAsia"/>
              </w:rPr>
              <w:t>2年</w:t>
            </w:r>
          </w:p>
        </w:tc>
      </w:tr>
      <w:tr w14:paraId="063C5E37">
        <w:tblPrEx>
          <w:tblCellMar>
            <w:top w:w="0" w:type="dxa"/>
            <w:left w:w="0" w:type="dxa"/>
            <w:bottom w:w="0" w:type="dxa"/>
            <w:right w:w="0" w:type="dxa"/>
          </w:tblCellMar>
        </w:tblPrEx>
        <w:trPr>
          <w:wBefore w:w="0" w:type="auto"/>
          <w:tblCellSpacing w:w="0" w:type="dxa"/>
        </w:trPr>
        <w:tc>
          <w:tcPr>
            <w:tcW w:w="0" w:type="auto"/>
            <w:noWrap w:val="0"/>
            <w:vAlign w:val="center"/>
          </w:tcPr>
          <w:p w14:paraId="61CA7134">
            <w:r>
              <w:rPr>
                <w:rStyle w:val="10"/>
                <w:rFonts w:hint="eastAsia"/>
              </w:rPr>
              <w:t>备注：</w:t>
            </w:r>
          </w:p>
        </w:tc>
      </w:tr>
    </w:tbl>
    <w:p w14:paraId="25AB4DD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106CBD2">
        <w:tblPrEx>
          <w:tblCellMar>
            <w:top w:w="0" w:type="dxa"/>
            <w:left w:w="0" w:type="dxa"/>
            <w:bottom w:w="0" w:type="dxa"/>
            <w:right w:w="0" w:type="dxa"/>
          </w:tblCellMar>
        </w:tblPrEx>
        <w:trPr>
          <w:wBefore w:w="0" w:type="auto"/>
          <w:tblCellSpacing w:w="0" w:type="dxa"/>
        </w:trPr>
        <w:tc>
          <w:tcPr>
            <w:tcW w:w="0" w:type="auto"/>
            <w:noWrap w:val="0"/>
            <w:vAlign w:val="center"/>
          </w:tcPr>
          <w:p w14:paraId="614F2AF9">
            <w:r>
              <w:rPr>
                <w:rStyle w:val="10"/>
                <w:rFonts w:hint="eastAsia"/>
              </w:rPr>
              <w:t>登记证号：</w:t>
            </w:r>
            <w:r>
              <w:rPr>
                <w:rFonts w:hint="eastAsia"/>
              </w:rPr>
              <w:t>PD20211802</w:t>
            </w:r>
          </w:p>
        </w:tc>
      </w:tr>
      <w:tr w14:paraId="185998C1">
        <w:tblPrEx>
          <w:tblCellMar>
            <w:top w:w="0" w:type="dxa"/>
            <w:left w:w="0" w:type="dxa"/>
            <w:bottom w:w="0" w:type="dxa"/>
            <w:right w:w="0" w:type="dxa"/>
          </w:tblCellMar>
        </w:tblPrEx>
        <w:trPr>
          <w:wBefore w:w="0" w:type="auto"/>
          <w:tblCellSpacing w:w="0" w:type="dxa"/>
        </w:trPr>
        <w:tc>
          <w:tcPr>
            <w:tcW w:w="0" w:type="auto"/>
            <w:noWrap w:val="0"/>
            <w:vAlign w:val="center"/>
          </w:tcPr>
          <w:p w14:paraId="54331572">
            <w:r>
              <w:rPr>
                <w:rStyle w:val="10"/>
                <w:rFonts w:hint="eastAsia"/>
              </w:rPr>
              <w:t>登记证持有人：</w:t>
            </w:r>
            <w:r>
              <w:rPr>
                <w:rFonts w:hint="eastAsia"/>
              </w:rPr>
              <w:t>山西运城绿康实业有限公司</w:t>
            </w:r>
          </w:p>
        </w:tc>
      </w:tr>
      <w:tr w14:paraId="29F43A63">
        <w:tblPrEx>
          <w:tblCellMar>
            <w:top w:w="0" w:type="dxa"/>
            <w:left w:w="0" w:type="dxa"/>
            <w:bottom w:w="0" w:type="dxa"/>
            <w:right w:w="0" w:type="dxa"/>
          </w:tblCellMar>
        </w:tblPrEx>
        <w:trPr>
          <w:wBefore w:w="0" w:type="auto"/>
          <w:tblCellSpacing w:w="0" w:type="dxa"/>
        </w:trPr>
        <w:tc>
          <w:tcPr>
            <w:tcW w:w="0" w:type="auto"/>
            <w:noWrap w:val="0"/>
            <w:vAlign w:val="center"/>
          </w:tcPr>
          <w:p w14:paraId="5194341B">
            <w:r>
              <w:rPr>
                <w:rStyle w:val="10"/>
                <w:rFonts w:hint="eastAsia"/>
              </w:rPr>
              <w:t>农药名称：</w:t>
            </w:r>
            <w:r>
              <w:rPr>
                <w:rFonts w:hint="eastAsia"/>
              </w:rPr>
              <w:t>氟啶·啶虫脒</w:t>
            </w:r>
          </w:p>
        </w:tc>
      </w:tr>
      <w:tr w14:paraId="04EDD498">
        <w:tblPrEx>
          <w:tblCellMar>
            <w:top w:w="0" w:type="dxa"/>
            <w:left w:w="0" w:type="dxa"/>
            <w:bottom w:w="0" w:type="dxa"/>
            <w:right w:w="0" w:type="dxa"/>
          </w:tblCellMar>
        </w:tblPrEx>
        <w:trPr>
          <w:wBefore w:w="0" w:type="auto"/>
          <w:tblCellSpacing w:w="0" w:type="dxa"/>
        </w:trPr>
        <w:tc>
          <w:tcPr>
            <w:tcW w:w="0" w:type="auto"/>
            <w:noWrap w:val="0"/>
            <w:vAlign w:val="center"/>
          </w:tcPr>
          <w:p w14:paraId="003A80FC">
            <w:r>
              <w:rPr>
                <w:rStyle w:val="10"/>
                <w:rFonts w:hint="eastAsia"/>
              </w:rPr>
              <w:t>剂型：</w:t>
            </w:r>
            <w:r>
              <w:rPr>
                <w:rFonts w:hint="eastAsia"/>
              </w:rPr>
              <w:t>水分散粒剂</w:t>
            </w:r>
          </w:p>
        </w:tc>
      </w:tr>
      <w:tr w14:paraId="0F718841">
        <w:tblPrEx>
          <w:tblCellMar>
            <w:top w:w="0" w:type="dxa"/>
            <w:left w:w="0" w:type="dxa"/>
            <w:bottom w:w="0" w:type="dxa"/>
            <w:right w:w="0" w:type="dxa"/>
          </w:tblCellMar>
        </w:tblPrEx>
        <w:trPr>
          <w:wBefore w:w="0" w:type="auto"/>
          <w:tblCellSpacing w:w="0" w:type="dxa"/>
        </w:trPr>
        <w:tc>
          <w:tcPr>
            <w:tcW w:w="0" w:type="auto"/>
            <w:noWrap w:val="0"/>
            <w:vAlign w:val="center"/>
          </w:tcPr>
          <w:p w14:paraId="6E0A2CB0">
            <w:r>
              <w:rPr>
                <w:rStyle w:val="10"/>
                <w:rFonts w:hint="eastAsia"/>
              </w:rPr>
              <w:t>毒性及其标识：</w:t>
            </w:r>
            <w:r>
              <w:rPr>
                <w:rFonts w:hint="eastAsia"/>
              </w:rPr>
              <w:t xml:space="preserve"> </w:t>
            </w:r>
            <w:r>
              <w:rPr>
                <w:lang/>
              </w:rPr>
              <w:drawing>
                <wp:inline distT="0" distB="0" distL="114300" distR="114300">
                  <wp:extent cx="476250" cy="323850"/>
                  <wp:effectExtent l="0" t="0" r="0" b="0"/>
                  <wp:docPr id="250" name="图片 25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899E83C">
        <w:tblPrEx>
          <w:tblCellMar>
            <w:top w:w="0" w:type="dxa"/>
            <w:left w:w="0" w:type="dxa"/>
            <w:bottom w:w="0" w:type="dxa"/>
            <w:right w:w="0" w:type="dxa"/>
          </w:tblCellMar>
        </w:tblPrEx>
        <w:trPr>
          <w:wBefore w:w="0" w:type="auto"/>
          <w:tblCellSpacing w:w="0" w:type="dxa"/>
        </w:trPr>
        <w:tc>
          <w:tcPr>
            <w:tcW w:w="0" w:type="auto"/>
            <w:noWrap w:val="0"/>
            <w:vAlign w:val="center"/>
          </w:tcPr>
          <w:p w14:paraId="0C50CAD1">
            <w:r>
              <w:rPr>
                <w:rStyle w:val="10"/>
                <w:rFonts w:hint="eastAsia"/>
              </w:rPr>
              <w:t>总有效成分含量：</w:t>
            </w:r>
            <w:r>
              <w:rPr>
                <w:rFonts w:hint="eastAsia"/>
              </w:rPr>
              <w:t>35%</w:t>
            </w:r>
          </w:p>
        </w:tc>
      </w:tr>
      <w:tr w14:paraId="28C0A48B">
        <w:tblPrEx>
          <w:tblCellMar>
            <w:top w:w="0" w:type="dxa"/>
            <w:left w:w="0" w:type="dxa"/>
            <w:bottom w:w="0" w:type="dxa"/>
            <w:right w:w="0" w:type="dxa"/>
          </w:tblCellMar>
        </w:tblPrEx>
        <w:trPr>
          <w:wBefore w:w="0" w:type="auto"/>
          <w:tblCellSpacing w:w="0" w:type="dxa"/>
        </w:trPr>
        <w:tc>
          <w:tcPr>
            <w:tcW w:w="0" w:type="auto"/>
            <w:noWrap w:val="0"/>
            <w:vAlign w:val="center"/>
          </w:tcPr>
          <w:p w14:paraId="0E207386">
            <w:r>
              <w:rPr>
                <w:rFonts w:hint="eastAsia"/>
              </w:rPr>
              <w:t xml:space="preserve">有效成分及其含量： </w:t>
            </w:r>
          </w:p>
          <w:p w14:paraId="071B28BF">
            <w:r>
              <w:rPr>
                <w:rFonts w:hint="eastAsia"/>
              </w:rPr>
              <w:t xml:space="preserve">    氟啶虫酰胺20%    啶虫脒15%    </w:t>
            </w:r>
          </w:p>
        </w:tc>
      </w:tr>
      <w:tr w14:paraId="3287A8CC">
        <w:tblPrEx>
          <w:tblCellMar>
            <w:top w:w="0" w:type="dxa"/>
            <w:left w:w="0" w:type="dxa"/>
            <w:bottom w:w="0" w:type="dxa"/>
            <w:right w:w="0" w:type="dxa"/>
          </w:tblCellMar>
        </w:tblPrEx>
        <w:trPr>
          <w:wBefore w:w="0" w:type="auto"/>
          <w:tblCellSpacing w:w="0" w:type="dxa"/>
        </w:trPr>
        <w:tc>
          <w:tcPr>
            <w:tcW w:w="0" w:type="auto"/>
            <w:noWrap w:val="0"/>
            <w:vAlign w:val="center"/>
          </w:tcPr>
          <w:p w14:paraId="03B5DE0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7A12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6E919F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CB98ED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43DCD0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518E97E">
                  <w:r>
                    <w:rPr>
                      <w:rStyle w:val="11"/>
                      <w:rFonts w:hint="eastAsia"/>
                    </w:rPr>
                    <w:t>施用方式</w:t>
                  </w:r>
                </w:p>
              </w:tc>
            </w:tr>
            <w:tr w14:paraId="00F98F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AD01042">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CDC915">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E5EB72">
                  <w:r>
                    <w:rPr>
                      <w:rStyle w:val="11"/>
                      <w:rFonts w:hint="eastAsia"/>
                    </w:rPr>
                    <w:t>6-10克/亩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6CEBC6">
                  <w:r>
                    <w:rPr>
                      <w:rStyle w:val="11"/>
                      <w:rFonts w:hint="eastAsia"/>
                    </w:rPr>
                    <w:t>喷雾</w:t>
                  </w:r>
                </w:p>
              </w:tc>
            </w:tr>
          </w:tbl>
          <w:p w14:paraId="3CDC7976">
            <w:pPr>
              <w:rPr>
                <w:rFonts w:ascii="Times New Roman" w:hAnsi="Times New Roman" w:cs="Times New Roman"/>
                <w:sz w:val="20"/>
                <w:szCs w:val="20"/>
              </w:rPr>
            </w:pPr>
          </w:p>
        </w:tc>
      </w:tr>
      <w:tr w14:paraId="3BDF50BA">
        <w:tblPrEx>
          <w:tblCellMar>
            <w:top w:w="0" w:type="dxa"/>
            <w:left w:w="0" w:type="dxa"/>
            <w:bottom w:w="0" w:type="dxa"/>
            <w:right w:w="0" w:type="dxa"/>
          </w:tblCellMar>
        </w:tblPrEx>
        <w:trPr>
          <w:wBefore w:w="0" w:type="auto"/>
          <w:tblCellSpacing w:w="0" w:type="dxa"/>
        </w:trPr>
        <w:tc>
          <w:tcPr>
            <w:tcW w:w="0" w:type="auto"/>
            <w:noWrap w:val="0"/>
            <w:vAlign w:val="center"/>
          </w:tcPr>
          <w:p w14:paraId="30A0AD3B">
            <w:r>
              <w:rPr>
                <w:rStyle w:val="10"/>
                <w:rFonts w:hint="eastAsia"/>
              </w:rPr>
              <w:t>使用技术要求:</w:t>
            </w:r>
            <w:r>
              <w:rPr>
                <w:rFonts w:hint="eastAsia"/>
              </w:rPr>
              <w:br w:type="textWrapping"/>
            </w:r>
            <w:r>
              <w:rPr>
                <w:rStyle w:val="11"/>
                <w:rFonts w:hint="eastAsia"/>
              </w:rPr>
              <w:t>1. 于黄瓜蚜虫发生始盛期兑水均匀喷雾施药1次，注意喷雾均匀。2. 大风天或预计1小时内降雨，请勿施药。3. 在黄瓜上使用的安全间隔期为3天，每季作物最多使用1次。</w:t>
            </w:r>
          </w:p>
        </w:tc>
      </w:tr>
      <w:tr w14:paraId="361A8F9E">
        <w:tblPrEx>
          <w:tblCellMar>
            <w:top w:w="0" w:type="dxa"/>
            <w:left w:w="0" w:type="dxa"/>
            <w:bottom w:w="0" w:type="dxa"/>
            <w:right w:w="0" w:type="dxa"/>
          </w:tblCellMar>
        </w:tblPrEx>
        <w:trPr>
          <w:wBefore w:w="0" w:type="auto"/>
          <w:tblCellSpacing w:w="0" w:type="dxa"/>
        </w:trPr>
        <w:tc>
          <w:tcPr>
            <w:tcW w:w="0" w:type="auto"/>
            <w:noWrap w:val="0"/>
            <w:vAlign w:val="center"/>
          </w:tcPr>
          <w:p w14:paraId="13E88251">
            <w:r>
              <w:rPr>
                <w:rStyle w:val="10"/>
                <w:rFonts w:hint="eastAsia"/>
              </w:rPr>
              <w:t>产品性能:</w:t>
            </w:r>
            <w:r>
              <w:rPr>
                <w:rFonts w:hint="eastAsia"/>
              </w:rPr>
              <w:br w:type="textWrapping"/>
            </w:r>
            <w:r>
              <w:rPr>
                <w:rStyle w:val="11"/>
                <w:rFonts w:hint="eastAsia"/>
              </w:rPr>
              <w:t>本品为氟啶虫酰胺与啶虫脒复配制剂，氟啶虫酰胺具有神经毒剂和快速拒食作用，可通过阻碍害虫吮吸作用而致死，啶虫脒对害虫具有触杀和胃毒作用，并有内吸、渗透作用。按登记剂量使用时，对黄瓜蚜虫有良好的防治效果。</w:t>
            </w:r>
          </w:p>
        </w:tc>
      </w:tr>
      <w:tr w14:paraId="193AA317">
        <w:tblPrEx>
          <w:tblCellMar>
            <w:top w:w="0" w:type="dxa"/>
            <w:left w:w="0" w:type="dxa"/>
            <w:bottom w:w="0" w:type="dxa"/>
            <w:right w:w="0" w:type="dxa"/>
          </w:tblCellMar>
        </w:tblPrEx>
        <w:trPr>
          <w:wBefore w:w="0" w:type="auto"/>
          <w:tblCellSpacing w:w="0" w:type="dxa"/>
        </w:trPr>
        <w:tc>
          <w:tcPr>
            <w:tcW w:w="0" w:type="auto"/>
            <w:noWrap w:val="0"/>
            <w:vAlign w:val="center"/>
          </w:tcPr>
          <w:p w14:paraId="291E36EB">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施药中禁止饮食、吸烟、饮水等；施药后应用肥皂和清水彻底清洗暴露在外的皮肤。严格按照规定用药量和方法使用。2. 建议与其他作用机制不同的杀虫剂轮换使用，以延缓抗性产生。3. 远离水产养殖区、河塘等水体施药，禁止在河塘等水体中清洗施药器具。4.（周围）开花植物花期禁用，使用期间应密切关注对附近蜂群的影响；蚕室及桑园附近禁用；.瓢虫等天敌放飞区域禁用；鸟类保护区附近禁用。5. 使用过的施药器械，应清洗干净方可用于其它的农药。 6. 用药后包装物及用过的容器应妥善处理，不可做他用，也不可随意丢弃。7. 孕妇、哺乳期的妇女禁止接触本产品。</w:t>
            </w:r>
          </w:p>
        </w:tc>
      </w:tr>
      <w:tr w14:paraId="5A03167E">
        <w:tblPrEx>
          <w:tblCellMar>
            <w:top w:w="0" w:type="dxa"/>
            <w:left w:w="0" w:type="dxa"/>
            <w:bottom w:w="0" w:type="dxa"/>
            <w:right w:w="0" w:type="dxa"/>
          </w:tblCellMar>
        </w:tblPrEx>
        <w:trPr>
          <w:wBefore w:w="0" w:type="auto"/>
          <w:tblCellSpacing w:w="0" w:type="dxa"/>
        </w:trPr>
        <w:tc>
          <w:tcPr>
            <w:tcW w:w="0" w:type="auto"/>
            <w:noWrap w:val="0"/>
            <w:vAlign w:val="center"/>
          </w:tcPr>
          <w:p w14:paraId="169A8135">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7DE91F86">
        <w:tblPrEx>
          <w:tblCellMar>
            <w:top w:w="0" w:type="dxa"/>
            <w:left w:w="0" w:type="dxa"/>
            <w:bottom w:w="0" w:type="dxa"/>
            <w:right w:w="0" w:type="dxa"/>
          </w:tblCellMar>
        </w:tblPrEx>
        <w:trPr>
          <w:wBefore w:w="0" w:type="auto"/>
          <w:tblCellSpacing w:w="0" w:type="dxa"/>
        </w:trPr>
        <w:tc>
          <w:tcPr>
            <w:tcW w:w="0" w:type="auto"/>
            <w:noWrap w:val="0"/>
            <w:vAlign w:val="center"/>
          </w:tcPr>
          <w:p w14:paraId="7B21FA8B">
            <w:r>
              <w:rPr>
                <w:rStyle w:val="10"/>
                <w:rFonts w:hint="eastAsia"/>
              </w:rPr>
              <w:t>储存和运输方法：</w:t>
            </w:r>
            <w:r>
              <w:rPr>
                <w:rFonts w:hint="eastAsia"/>
              </w:rPr>
              <w:br w:type="textWrapping"/>
            </w:r>
            <w:r>
              <w:rPr>
                <w:rStyle w:val="11"/>
                <w:rFonts w:hint="eastAsia"/>
              </w:rPr>
              <w:t>本品应储存在干燥、阴凉、通风、防雨处，远离火源或热源。置于儿童、无关人员接触不到的地方，并加锁保存。不能与食品、饮料、粮食、饲料等同储同运。在装卸、运输时应轻拿轻放。</w:t>
            </w:r>
          </w:p>
        </w:tc>
      </w:tr>
      <w:tr w14:paraId="5E4705AA">
        <w:tblPrEx>
          <w:tblCellMar>
            <w:top w:w="0" w:type="dxa"/>
            <w:left w:w="0" w:type="dxa"/>
            <w:bottom w:w="0" w:type="dxa"/>
            <w:right w:w="0" w:type="dxa"/>
          </w:tblCellMar>
        </w:tblPrEx>
        <w:trPr>
          <w:wBefore w:w="0" w:type="auto"/>
          <w:tblCellSpacing w:w="0" w:type="dxa"/>
        </w:trPr>
        <w:tc>
          <w:tcPr>
            <w:tcW w:w="0" w:type="auto"/>
            <w:noWrap w:val="0"/>
            <w:vAlign w:val="center"/>
          </w:tcPr>
          <w:p w14:paraId="325F220C">
            <w:r>
              <w:rPr>
                <w:rStyle w:val="10"/>
                <w:rFonts w:hint="eastAsia"/>
              </w:rPr>
              <w:t>质量保证期：</w:t>
            </w:r>
            <w:r>
              <w:rPr>
                <w:rStyle w:val="11"/>
                <w:rFonts w:hint="eastAsia"/>
              </w:rPr>
              <w:t>2年</w:t>
            </w:r>
          </w:p>
        </w:tc>
      </w:tr>
      <w:tr w14:paraId="3AAD0895">
        <w:tblPrEx>
          <w:tblCellMar>
            <w:top w:w="0" w:type="dxa"/>
            <w:left w:w="0" w:type="dxa"/>
            <w:bottom w:w="0" w:type="dxa"/>
            <w:right w:w="0" w:type="dxa"/>
          </w:tblCellMar>
        </w:tblPrEx>
        <w:trPr>
          <w:wBefore w:w="0" w:type="auto"/>
          <w:tblCellSpacing w:w="0" w:type="dxa"/>
        </w:trPr>
        <w:tc>
          <w:tcPr>
            <w:tcW w:w="0" w:type="auto"/>
            <w:noWrap w:val="0"/>
            <w:vAlign w:val="center"/>
          </w:tcPr>
          <w:p w14:paraId="5E977940">
            <w:r>
              <w:rPr>
                <w:rStyle w:val="10"/>
                <w:rFonts w:hint="eastAsia"/>
              </w:rPr>
              <w:t>备注：</w:t>
            </w:r>
          </w:p>
        </w:tc>
      </w:tr>
    </w:tbl>
    <w:p w14:paraId="5D806BF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135E66F">
        <w:tblPrEx>
          <w:tblCellMar>
            <w:top w:w="0" w:type="dxa"/>
            <w:left w:w="0" w:type="dxa"/>
            <w:bottom w:w="0" w:type="dxa"/>
            <w:right w:w="0" w:type="dxa"/>
          </w:tblCellMar>
        </w:tblPrEx>
        <w:trPr>
          <w:wBefore w:w="0" w:type="auto"/>
          <w:tblCellSpacing w:w="0" w:type="dxa"/>
        </w:trPr>
        <w:tc>
          <w:tcPr>
            <w:tcW w:w="0" w:type="auto"/>
            <w:noWrap w:val="0"/>
            <w:vAlign w:val="center"/>
          </w:tcPr>
          <w:p w14:paraId="13531D5C">
            <w:r>
              <w:rPr>
                <w:rStyle w:val="10"/>
                <w:rFonts w:hint="eastAsia"/>
              </w:rPr>
              <w:t>登记证号：</w:t>
            </w:r>
            <w:r>
              <w:rPr>
                <w:rFonts w:hint="eastAsia"/>
              </w:rPr>
              <w:t>PD20212184</w:t>
            </w:r>
          </w:p>
        </w:tc>
      </w:tr>
      <w:tr w14:paraId="3AA8B1D2">
        <w:tblPrEx>
          <w:tblCellMar>
            <w:top w:w="0" w:type="dxa"/>
            <w:left w:w="0" w:type="dxa"/>
            <w:bottom w:w="0" w:type="dxa"/>
            <w:right w:w="0" w:type="dxa"/>
          </w:tblCellMar>
        </w:tblPrEx>
        <w:trPr>
          <w:wBefore w:w="0" w:type="auto"/>
          <w:tblCellSpacing w:w="0" w:type="dxa"/>
        </w:trPr>
        <w:tc>
          <w:tcPr>
            <w:tcW w:w="0" w:type="auto"/>
            <w:noWrap w:val="0"/>
            <w:vAlign w:val="center"/>
          </w:tcPr>
          <w:p w14:paraId="0A8A1019">
            <w:r>
              <w:rPr>
                <w:rStyle w:val="10"/>
                <w:rFonts w:hint="eastAsia"/>
              </w:rPr>
              <w:t>登记证持有人：</w:t>
            </w:r>
            <w:r>
              <w:rPr>
                <w:rFonts w:hint="eastAsia"/>
              </w:rPr>
              <w:t>山东奥坤作物科学股份有限公司</w:t>
            </w:r>
          </w:p>
        </w:tc>
      </w:tr>
      <w:tr w14:paraId="4C07AD78">
        <w:tblPrEx>
          <w:tblCellMar>
            <w:top w:w="0" w:type="dxa"/>
            <w:left w:w="0" w:type="dxa"/>
            <w:bottom w:w="0" w:type="dxa"/>
            <w:right w:w="0" w:type="dxa"/>
          </w:tblCellMar>
        </w:tblPrEx>
        <w:trPr>
          <w:wBefore w:w="0" w:type="auto"/>
          <w:tblCellSpacing w:w="0" w:type="dxa"/>
        </w:trPr>
        <w:tc>
          <w:tcPr>
            <w:tcW w:w="0" w:type="auto"/>
            <w:noWrap w:val="0"/>
            <w:vAlign w:val="center"/>
          </w:tcPr>
          <w:p w14:paraId="4D65773C">
            <w:r>
              <w:rPr>
                <w:rStyle w:val="10"/>
                <w:rFonts w:hint="eastAsia"/>
              </w:rPr>
              <w:t>农药名称：</w:t>
            </w:r>
            <w:r>
              <w:rPr>
                <w:rFonts w:hint="eastAsia"/>
              </w:rPr>
              <w:t>扑草净</w:t>
            </w:r>
          </w:p>
        </w:tc>
      </w:tr>
      <w:tr w14:paraId="056AF818">
        <w:tblPrEx>
          <w:tblCellMar>
            <w:top w:w="0" w:type="dxa"/>
            <w:left w:w="0" w:type="dxa"/>
            <w:bottom w:w="0" w:type="dxa"/>
            <w:right w:w="0" w:type="dxa"/>
          </w:tblCellMar>
        </w:tblPrEx>
        <w:trPr>
          <w:wBefore w:w="0" w:type="auto"/>
          <w:tblCellSpacing w:w="0" w:type="dxa"/>
        </w:trPr>
        <w:tc>
          <w:tcPr>
            <w:tcW w:w="0" w:type="auto"/>
            <w:noWrap w:val="0"/>
            <w:vAlign w:val="center"/>
          </w:tcPr>
          <w:p w14:paraId="351C9D34">
            <w:r>
              <w:rPr>
                <w:rStyle w:val="10"/>
                <w:rFonts w:hint="eastAsia"/>
              </w:rPr>
              <w:t>剂型：</w:t>
            </w:r>
            <w:r>
              <w:rPr>
                <w:rFonts w:hint="eastAsia"/>
              </w:rPr>
              <w:t>悬浮剂</w:t>
            </w:r>
          </w:p>
        </w:tc>
      </w:tr>
      <w:tr w14:paraId="005C7D51">
        <w:tblPrEx>
          <w:tblCellMar>
            <w:top w:w="0" w:type="dxa"/>
            <w:left w:w="0" w:type="dxa"/>
            <w:bottom w:w="0" w:type="dxa"/>
            <w:right w:w="0" w:type="dxa"/>
          </w:tblCellMar>
        </w:tblPrEx>
        <w:trPr>
          <w:wBefore w:w="0" w:type="auto"/>
          <w:tblCellSpacing w:w="0" w:type="dxa"/>
        </w:trPr>
        <w:tc>
          <w:tcPr>
            <w:tcW w:w="0" w:type="auto"/>
            <w:noWrap w:val="0"/>
            <w:vAlign w:val="center"/>
          </w:tcPr>
          <w:p w14:paraId="38DB5BF6">
            <w:r>
              <w:rPr>
                <w:rStyle w:val="10"/>
                <w:rFonts w:hint="eastAsia"/>
              </w:rPr>
              <w:t>毒性及其标识：</w:t>
            </w:r>
            <w:r>
              <w:rPr>
                <w:rFonts w:hint="eastAsia"/>
              </w:rPr>
              <w:t xml:space="preserve"> </w:t>
            </w:r>
            <w:r>
              <w:rPr>
                <w:lang/>
              </w:rPr>
              <w:drawing>
                <wp:inline distT="0" distB="0" distL="114300" distR="114300">
                  <wp:extent cx="476250" cy="323850"/>
                  <wp:effectExtent l="0" t="0" r="0" b="0"/>
                  <wp:docPr id="251" name="图片 25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13E7A31">
        <w:tblPrEx>
          <w:tblCellMar>
            <w:top w:w="0" w:type="dxa"/>
            <w:left w:w="0" w:type="dxa"/>
            <w:bottom w:w="0" w:type="dxa"/>
            <w:right w:w="0" w:type="dxa"/>
          </w:tblCellMar>
        </w:tblPrEx>
        <w:trPr>
          <w:wBefore w:w="0" w:type="auto"/>
          <w:tblCellSpacing w:w="0" w:type="dxa"/>
        </w:trPr>
        <w:tc>
          <w:tcPr>
            <w:tcW w:w="0" w:type="auto"/>
            <w:noWrap w:val="0"/>
            <w:vAlign w:val="center"/>
          </w:tcPr>
          <w:p w14:paraId="085FFD48">
            <w:r>
              <w:rPr>
                <w:rStyle w:val="10"/>
                <w:rFonts w:hint="eastAsia"/>
              </w:rPr>
              <w:t>总有效成分含量：</w:t>
            </w:r>
            <w:r>
              <w:rPr>
                <w:rFonts w:hint="eastAsia"/>
              </w:rPr>
              <w:t>500克/升</w:t>
            </w:r>
          </w:p>
        </w:tc>
      </w:tr>
      <w:tr w14:paraId="152F06DE">
        <w:tblPrEx>
          <w:tblCellMar>
            <w:top w:w="0" w:type="dxa"/>
            <w:left w:w="0" w:type="dxa"/>
            <w:bottom w:w="0" w:type="dxa"/>
            <w:right w:w="0" w:type="dxa"/>
          </w:tblCellMar>
        </w:tblPrEx>
        <w:trPr>
          <w:wBefore w:w="0" w:type="auto"/>
          <w:tblCellSpacing w:w="0" w:type="dxa"/>
        </w:trPr>
        <w:tc>
          <w:tcPr>
            <w:tcW w:w="0" w:type="auto"/>
            <w:noWrap w:val="0"/>
            <w:vAlign w:val="center"/>
          </w:tcPr>
          <w:p w14:paraId="70FB2A72">
            <w:r>
              <w:rPr>
                <w:rFonts w:hint="eastAsia"/>
              </w:rPr>
              <w:t xml:space="preserve">有效成分及其含量： </w:t>
            </w:r>
          </w:p>
          <w:p w14:paraId="0C3F4CC5">
            <w:r>
              <w:rPr>
                <w:rFonts w:hint="eastAsia"/>
              </w:rPr>
              <w:t xml:space="preserve">    扑草净500克/升    </w:t>
            </w:r>
          </w:p>
        </w:tc>
      </w:tr>
      <w:tr w14:paraId="35FF72A3">
        <w:tblPrEx>
          <w:tblCellMar>
            <w:top w:w="0" w:type="dxa"/>
            <w:left w:w="0" w:type="dxa"/>
            <w:bottom w:w="0" w:type="dxa"/>
            <w:right w:w="0" w:type="dxa"/>
          </w:tblCellMar>
        </w:tblPrEx>
        <w:trPr>
          <w:wBefore w:w="0" w:type="auto"/>
          <w:tblCellSpacing w:w="0" w:type="dxa"/>
        </w:trPr>
        <w:tc>
          <w:tcPr>
            <w:tcW w:w="0" w:type="auto"/>
            <w:noWrap w:val="0"/>
            <w:vAlign w:val="center"/>
          </w:tcPr>
          <w:p w14:paraId="750B002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E1AA0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ABBCBB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9B6DE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97D8A4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379DBE9">
                  <w:r>
                    <w:rPr>
                      <w:rStyle w:val="11"/>
                      <w:rFonts w:hint="eastAsia"/>
                    </w:rPr>
                    <w:t>施用方式</w:t>
                  </w:r>
                </w:p>
              </w:tc>
            </w:tr>
            <w:tr w14:paraId="325437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4196A55">
                  <w:r>
                    <w:rPr>
                      <w:rStyle w:val="11"/>
                      <w:rFonts w:hint="eastAsia"/>
                    </w:rPr>
                    <w:t>棉花田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582A9C">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9B7EE0">
                  <w:r>
                    <w:rPr>
                      <w:rStyle w:val="11"/>
                      <w:rFonts w:hint="eastAsia"/>
                    </w:rPr>
                    <w:t>100-150毫升/亩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47C920">
                  <w:r>
                    <w:rPr>
                      <w:rStyle w:val="11"/>
                      <w:rFonts w:hint="eastAsia"/>
                    </w:rPr>
                    <w:t>土壤喷雾</w:t>
                  </w:r>
                </w:p>
              </w:tc>
            </w:tr>
          </w:tbl>
          <w:p w14:paraId="4E555185">
            <w:pPr>
              <w:rPr>
                <w:rFonts w:ascii="Times New Roman" w:hAnsi="Times New Roman" w:cs="Times New Roman"/>
                <w:sz w:val="20"/>
                <w:szCs w:val="20"/>
              </w:rPr>
            </w:pPr>
          </w:p>
        </w:tc>
      </w:tr>
      <w:tr w14:paraId="73AE7F75">
        <w:tblPrEx>
          <w:tblCellMar>
            <w:top w:w="0" w:type="dxa"/>
            <w:left w:w="0" w:type="dxa"/>
            <w:bottom w:w="0" w:type="dxa"/>
            <w:right w:w="0" w:type="dxa"/>
          </w:tblCellMar>
        </w:tblPrEx>
        <w:trPr>
          <w:wBefore w:w="0" w:type="auto"/>
          <w:tblCellSpacing w:w="0" w:type="dxa"/>
        </w:trPr>
        <w:tc>
          <w:tcPr>
            <w:tcW w:w="0" w:type="auto"/>
            <w:noWrap w:val="0"/>
            <w:vAlign w:val="center"/>
          </w:tcPr>
          <w:p w14:paraId="48E94209">
            <w:r>
              <w:rPr>
                <w:rStyle w:val="10"/>
                <w:rFonts w:hint="eastAsia"/>
              </w:rPr>
              <w:t>使用技术要求:</w:t>
            </w:r>
            <w:r>
              <w:rPr>
                <w:rFonts w:hint="eastAsia"/>
              </w:rPr>
              <w:br w:type="textWrapping"/>
            </w:r>
            <w:r>
              <w:rPr>
                <w:rStyle w:val="11"/>
                <w:rFonts w:hint="eastAsia"/>
              </w:rPr>
              <w:t>1.地膜覆盖田应按实际施药面积计算用量。每亩兑水30-50公斤，于棉花播后苗前均匀喷雾。 2.每季作物最多使用1次。</w:t>
            </w:r>
          </w:p>
        </w:tc>
      </w:tr>
      <w:tr w14:paraId="582EC94D">
        <w:tblPrEx>
          <w:tblCellMar>
            <w:top w:w="0" w:type="dxa"/>
            <w:left w:w="0" w:type="dxa"/>
            <w:bottom w:w="0" w:type="dxa"/>
            <w:right w:w="0" w:type="dxa"/>
          </w:tblCellMar>
        </w:tblPrEx>
        <w:trPr>
          <w:wBefore w:w="0" w:type="auto"/>
          <w:tblCellSpacing w:w="0" w:type="dxa"/>
        </w:trPr>
        <w:tc>
          <w:tcPr>
            <w:tcW w:w="0" w:type="auto"/>
            <w:noWrap w:val="0"/>
            <w:vAlign w:val="center"/>
          </w:tcPr>
          <w:p w14:paraId="693CB72D">
            <w:r>
              <w:rPr>
                <w:rStyle w:val="10"/>
                <w:rFonts w:hint="eastAsia"/>
              </w:rPr>
              <w:t>产品性能:</w:t>
            </w:r>
            <w:r>
              <w:rPr>
                <w:rFonts w:hint="eastAsia"/>
              </w:rPr>
              <w:br w:type="textWrapping"/>
            </w:r>
            <w:r>
              <w:rPr>
                <w:rStyle w:val="11"/>
                <w:rFonts w:hint="eastAsia"/>
              </w:rPr>
              <w:t>本品是选择性内吸传导型除草剂，可从根部吸收，也可从茎叶渗入体内，运输至绿色叶片内抑制光合作用，中毒杂草失绿逐渐干枯死亡，发挥除草作用，能有效防治棉花田的马齿苋、藜、反枝苋、凹头苋、酸模叶蓼、繁缕、芥菜、苘麻、龙葵、婆婆纳、苍耳、辣子草等一年生阔叶杂草。</w:t>
            </w:r>
          </w:p>
        </w:tc>
      </w:tr>
      <w:tr w14:paraId="0A25CCF3">
        <w:tblPrEx>
          <w:tblCellMar>
            <w:top w:w="0" w:type="dxa"/>
            <w:left w:w="0" w:type="dxa"/>
            <w:bottom w:w="0" w:type="dxa"/>
            <w:right w:w="0" w:type="dxa"/>
          </w:tblCellMar>
        </w:tblPrEx>
        <w:trPr>
          <w:wBefore w:w="0" w:type="auto"/>
          <w:tblCellSpacing w:w="0" w:type="dxa"/>
        </w:trPr>
        <w:tc>
          <w:tcPr>
            <w:tcW w:w="0" w:type="auto"/>
            <w:noWrap w:val="0"/>
            <w:vAlign w:val="center"/>
          </w:tcPr>
          <w:p w14:paraId="7EE5BE51">
            <w:r>
              <w:rPr>
                <w:rStyle w:val="10"/>
                <w:rFonts w:hint="eastAsia"/>
              </w:rPr>
              <w:t>注意事项：</w:t>
            </w:r>
            <w:r>
              <w:rPr>
                <w:rFonts w:hint="eastAsia"/>
              </w:rPr>
              <w:br w:type="textWrapping"/>
            </w:r>
            <w:r>
              <w:rPr>
                <w:rStyle w:val="11"/>
                <w:rFonts w:hint="eastAsia"/>
              </w:rPr>
              <w:t>1.请按照农药安全使用规范使用本品。应根据田间杂草草相及抗性等具体情况，科学合理用药。 2.有机质含量低的砂质土不宜使用。避免药剂与其它作物接触。 3.地膜覆盖田，在28摄氏度以上时应及时放苗。小拱棚禁用。 4.使用本品时应穿戴防护服和手套，避免吸入药液。施药期间不可吃东 西和饮水。施药后应及时洗手和洗脸。 5.水产养殖区、河塘等水体附近禁用。禁止在河塘等水体清洗施药器具。 6.用过的容器和废弃物应妥善处理，不可做他用，也不可随意丢弃。 7.避免孕妇及哺乳期妇女接触。 8.结合当地实际情况，在农业技术人员指导下使用。</w:t>
            </w:r>
          </w:p>
        </w:tc>
      </w:tr>
      <w:tr w14:paraId="7CBACD3D">
        <w:tblPrEx>
          <w:tblCellMar>
            <w:top w:w="0" w:type="dxa"/>
            <w:left w:w="0" w:type="dxa"/>
            <w:bottom w:w="0" w:type="dxa"/>
            <w:right w:w="0" w:type="dxa"/>
          </w:tblCellMar>
        </w:tblPrEx>
        <w:trPr>
          <w:wBefore w:w="0" w:type="auto"/>
          <w:tblCellSpacing w:w="0" w:type="dxa"/>
        </w:trPr>
        <w:tc>
          <w:tcPr>
            <w:tcW w:w="0" w:type="auto"/>
            <w:noWrap w:val="0"/>
            <w:vAlign w:val="center"/>
          </w:tcPr>
          <w:p w14:paraId="561D66A6">
            <w:r>
              <w:rPr>
                <w:rStyle w:val="10"/>
                <w:rFonts w:hint="eastAsia"/>
              </w:rPr>
              <w:t>中毒急救措施：</w:t>
            </w:r>
            <w:r>
              <w:rPr>
                <w:rFonts w:hint="eastAsia"/>
              </w:rPr>
              <w:br w:type="textWrapping"/>
            </w:r>
            <w:r>
              <w:rPr>
                <w:rStyle w:val="11"/>
                <w:rFonts w:hint="eastAsia"/>
              </w:rPr>
              <w:t>中毒症状：本品对眼睛有刺激作用。不慎吸入，应将病人移至空气流通处。不慎接触皮肤或溅入眼睛，应用大量清水冲洗干净。误服则应立即携此标签将病人送医院诊治。本品无特殊解毒剂，请医生对症治疗。</w:t>
            </w:r>
          </w:p>
        </w:tc>
      </w:tr>
      <w:tr w14:paraId="394A6A09">
        <w:tblPrEx>
          <w:tblCellMar>
            <w:top w:w="0" w:type="dxa"/>
            <w:left w:w="0" w:type="dxa"/>
            <w:bottom w:w="0" w:type="dxa"/>
            <w:right w:w="0" w:type="dxa"/>
          </w:tblCellMar>
        </w:tblPrEx>
        <w:trPr>
          <w:wBefore w:w="0" w:type="auto"/>
          <w:tblCellSpacing w:w="0" w:type="dxa"/>
        </w:trPr>
        <w:tc>
          <w:tcPr>
            <w:tcW w:w="0" w:type="auto"/>
            <w:noWrap w:val="0"/>
            <w:vAlign w:val="center"/>
          </w:tcPr>
          <w:p w14:paraId="305D49A6">
            <w:r>
              <w:rPr>
                <w:rStyle w:val="10"/>
                <w:rFonts w:hint="eastAsia"/>
              </w:rPr>
              <w:t>储存和运输方法：</w:t>
            </w:r>
            <w:r>
              <w:rPr>
                <w:rFonts w:hint="eastAsia"/>
              </w:rPr>
              <w:br w:type="textWrapping"/>
            </w:r>
            <w:r>
              <w:rPr>
                <w:rStyle w:val="11"/>
                <w:rFonts w:hint="eastAsia"/>
              </w:rPr>
              <w:t>本品应储存在干燥、阴凉、通风、防雨处，不能与食品、饮料、粮食、饲料等混合储存，适宜储存温度为0℃~35℃。运输时应注意避光、防高温、防雨淋。运输和装卸时注意轻拿轻放，切勿倒置。置于儿童接触不到的地方，并加锁。远离火源或热源。</w:t>
            </w:r>
          </w:p>
        </w:tc>
      </w:tr>
      <w:tr w14:paraId="3C137855">
        <w:tblPrEx>
          <w:tblCellMar>
            <w:top w:w="0" w:type="dxa"/>
            <w:left w:w="0" w:type="dxa"/>
            <w:bottom w:w="0" w:type="dxa"/>
            <w:right w:w="0" w:type="dxa"/>
          </w:tblCellMar>
        </w:tblPrEx>
        <w:trPr>
          <w:wBefore w:w="0" w:type="auto"/>
          <w:tblCellSpacing w:w="0" w:type="dxa"/>
        </w:trPr>
        <w:tc>
          <w:tcPr>
            <w:tcW w:w="0" w:type="auto"/>
            <w:noWrap w:val="0"/>
            <w:vAlign w:val="center"/>
          </w:tcPr>
          <w:p w14:paraId="669BB7E2">
            <w:r>
              <w:rPr>
                <w:rStyle w:val="10"/>
                <w:rFonts w:hint="eastAsia"/>
              </w:rPr>
              <w:t>质量保证期：</w:t>
            </w:r>
            <w:r>
              <w:rPr>
                <w:rStyle w:val="11"/>
                <w:rFonts w:hint="eastAsia"/>
              </w:rPr>
              <w:t>2年</w:t>
            </w:r>
          </w:p>
        </w:tc>
      </w:tr>
      <w:tr w14:paraId="6D8D2BCE">
        <w:tblPrEx>
          <w:tblCellMar>
            <w:top w:w="0" w:type="dxa"/>
            <w:left w:w="0" w:type="dxa"/>
            <w:bottom w:w="0" w:type="dxa"/>
            <w:right w:w="0" w:type="dxa"/>
          </w:tblCellMar>
        </w:tblPrEx>
        <w:trPr>
          <w:wBefore w:w="0" w:type="auto"/>
          <w:tblCellSpacing w:w="0" w:type="dxa"/>
        </w:trPr>
        <w:tc>
          <w:tcPr>
            <w:tcW w:w="0" w:type="auto"/>
            <w:noWrap w:val="0"/>
            <w:vAlign w:val="center"/>
          </w:tcPr>
          <w:p w14:paraId="60164553">
            <w:r>
              <w:rPr>
                <w:rStyle w:val="10"/>
                <w:rFonts w:hint="eastAsia"/>
              </w:rPr>
              <w:t>备注：</w:t>
            </w:r>
            <w:r>
              <w:rPr>
                <w:rFonts w:hint="eastAsia"/>
              </w:rPr>
              <w:br w:type="textWrapping"/>
            </w:r>
            <w:r>
              <w:rPr>
                <w:rStyle w:val="11"/>
                <w:rFonts w:hint="eastAsia"/>
              </w:rPr>
              <w:t>质量分数45%。</w:t>
            </w:r>
          </w:p>
        </w:tc>
      </w:tr>
    </w:tbl>
    <w:p w14:paraId="23C8D92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42579F">
        <w:tblPrEx>
          <w:tblCellMar>
            <w:top w:w="0" w:type="dxa"/>
            <w:left w:w="0" w:type="dxa"/>
            <w:bottom w:w="0" w:type="dxa"/>
            <w:right w:w="0" w:type="dxa"/>
          </w:tblCellMar>
        </w:tblPrEx>
        <w:trPr>
          <w:wBefore w:w="0" w:type="auto"/>
          <w:tblCellSpacing w:w="0" w:type="dxa"/>
        </w:trPr>
        <w:tc>
          <w:tcPr>
            <w:tcW w:w="0" w:type="auto"/>
            <w:noWrap w:val="0"/>
            <w:vAlign w:val="center"/>
          </w:tcPr>
          <w:p w14:paraId="02C8B9C0">
            <w:r>
              <w:rPr>
                <w:rStyle w:val="10"/>
                <w:rFonts w:hint="eastAsia"/>
              </w:rPr>
              <w:t>登记证号：</w:t>
            </w:r>
            <w:r>
              <w:rPr>
                <w:rFonts w:hint="eastAsia"/>
              </w:rPr>
              <w:t>PD20212102</w:t>
            </w:r>
          </w:p>
        </w:tc>
      </w:tr>
      <w:tr w14:paraId="01425FFD">
        <w:tblPrEx>
          <w:tblCellMar>
            <w:top w:w="0" w:type="dxa"/>
            <w:left w:w="0" w:type="dxa"/>
            <w:bottom w:w="0" w:type="dxa"/>
            <w:right w:w="0" w:type="dxa"/>
          </w:tblCellMar>
        </w:tblPrEx>
        <w:trPr>
          <w:wBefore w:w="0" w:type="auto"/>
          <w:tblCellSpacing w:w="0" w:type="dxa"/>
        </w:trPr>
        <w:tc>
          <w:tcPr>
            <w:tcW w:w="0" w:type="auto"/>
            <w:noWrap w:val="0"/>
            <w:vAlign w:val="center"/>
          </w:tcPr>
          <w:p w14:paraId="22FF31BD">
            <w:r>
              <w:rPr>
                <w:rStyle w:val="10"/>
                <w:rFonts w:hint="eastAsia"/>
              </w:rPr>
              <w:t>登记证持有人：</w:t>
            </w:r>
            <w:r>
              <w:rPr>
                <w:rFonts w:hint="eastAsia"/>
              </w:rPr>
              <w:t>江苏富田农化有限公司</w:t>
            </w:r>
          </w:p>
        </w:tc>
      </w:tr>
      <w:tr w14:paraId="21C0373A">
        <w:tblPrEx>
          <w:tblCellMar>
            <w:top w:w="0" w:type="dxa"/>
            <w:left w:w="0" w:type="dxa"/>
            <w:bottom w:w="0" w:type="dxa"/>
            <w:right w:w="0" w:type="dxa"/>
          </w:tblCellMar>
        </w:tblPrEx>
        <w:trPr>
          <w:wBefore w:w="0" w:type="auto"/>
          <w:tblCellSpacing w:w="0" w:type="dxa"/>
        </w:trPr>
        <w:tc>
          <w:tcPr>
            <w:tcW w:w="0" w:type="auto"/>
            <w:noWrap w:val="0"/>
            <w:vAlign w:val="center"/>
          </w:tcPr>
          <w:p w14:paraId="7FEFA69A">
            <w:r>
              <w:rPr>
                <w:rStyle w:val="10"/>
                <w:rFonts w:hint="eastAsia"/>
              </w:rPr>
              <w:t>农药名称：</w:t>
            </w:r>
            <w:r>
              <w:rPr>
                <w:rFonts w:hint="eastAsia"/>
              </w:rPr>
              <w:t>敌稗</w:t>
            </w:r>
          </w:p>
        </w:tc>
      </w:tr>
      <w:tr w14:paraId="12E99886">
        <w:tblPrEx>
          <w:tblCellMar>
            <w:top w:w="0" w:type="dxa"/>
            <w:left w:w="0" w:type="dxa"/>
            <w:bottom w:w="0" w:type="dxa"/>
            <w:right w:w="0" w:type="dxa"/>
          </w:tblCellMar>
        </w:tblPrEx>
        <w:trPr>
          <w:wBefore w:w="0" w:type="auto"/>
          <w:tblCellSpacing w:w="0" w:type="dxa"/>
        </w:trPr>
        <w:tc>
          <w:tcPr>
            <w:tcW w:w="0" w:type="auto"/>
            <w:noWrap w:val="0"/>
            <w:vAlign w:val="center"/>
          </w:tcPr>
          <w:p w14:paraId="738BB68E">
            <w:r>
              <w:rPr>
                <w:rStyle w:val="10"/>
                <w:rFonts w:hint="eastAsia"/>
              </w:rPr>
              <w:t>剂型：</w:t>
            </w:r>
            <w:r>
              <w:rPr>
                <w:rFonts w:hint="eastAsia"/>
              </w:rPr>
              <w:t>乳油</w:t>
            </w:r>
          </w:p>
        </w:tc>
      </w:tr>
      <w:tr w14:paraId="4A72B181">
        <w:tblPrEx>
          <w:tblCellMar>
            <w:top w:w="0" w:type="dxa"/>
            <w:left w:w="0" w:type="dxa"/>
            <w:bottom w:w="0" w:type="dxa"/>
            <w:right w:w="0" w:type="dxa"/>
          </w:tblCellMar>
        </w:tblPrEx>
        <w:trPr>
          <w:wBefore w:w="0" w:type="auto"/>
          <w:tblCellSpacing w:w="0" w:type="dxa"/>
        </w:trPr>
        <w:tc>
          <w:tcPr>
            <w:tcW w:w="0" w:type="auto"/>
            <w:noWrap w:val="0"/>
            <w:vAlign w:val="center"/>
          </w:tcPr>
          <w:p w14:paraId="68EEB526">
            <w:r>
              <w:rPr>
                <w:rStyle w:val="10"/>
                <w:rFonts w:hint="eastAsia"/>
              </w:rPr>
              <w:t>毒性及其标识：</w:t>
            </w:r>
            <w:r>
              <w:rPr>
                <w:rFonts w:hint="eastAsia"/>
              </w:rPr>
              <w:t xml:space="preserve"> </w:t>
            </w:r>
            <w:r>
              <w:rPr>
                <w:lang/>
              </w:rPr>
              <w:drawing>
                <wp:inline distT="0" distB="0" distL="114300" distR="114300">
                  <wp:extent cx="476250" cy="323850"/>
                  <wp:effectExtent l="0" t="0" r="0" b="0"/>
                  <wp:docPr id="252" name="图片 25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CF85A5D">
        <w:tblPrEx>
          <w:tblCellMar>
            <w:top w:w="0" w:type="dxa"/>
            <w:left w:w="0" w:type="dxa"/>
            <w:bottom w:w="0" w:type="dxa"/>
            <w:right w:w="0" w:type="dxa"/>
          </w:tblCellMar>
        </w:tblPrEx>
        <w:trPr>
          <w:wBefore w:w="0" w:type="auto"/>
          <w:tblCellSpacing w:w="0" w:type="dxa"/>
        </w:trPr>
        <w:tc>
          <w:tcPr>
            <w:tcW w:w="0" w:type="auto"/>
            <w:noWrap w:val="0"/>
            <w:vAlign w:val="center"/>
          </w:tcPr>
          <w:p w14:paraId="3F700E87">
            <w:r>
              <w:rPr>
                <w:rStyle w:val="10"/>
                <w:rFonts w:hint="eastAsia"/>
              </w:rPr>
              <w:t>总有效成分含量：</w:t>
            </w:r>
            <w:r>
              <w:rPr>
                <w:rFonts w:hint="eastAsia"/>
              </w:rPr>
              <w:t>34%</w:t>
            </w:r>
          </w:p>
        </w:tc>
      </w:tr>
      <w:tr w14:paraId="769D221B">
        <w:tblPrEx>
          <w:tblCellMar>
            <w:top w:w="0" w:type="dxa"/>
            <w:left w:w="0" w:type="dxa"/>
            <w:bottom w:w="0" w:type="dxa"/>
            <w:right w:w="0" w:type="dxa"/>
          </w:tblCellMar>
        </w:tblPrEx>
        <w:trPr>
          <w:wBefore w:w="0" w:type="auto"/>
          <w:tblCellSpacing w:w="0" w:type="dxa"/>
        </w:trPr>
        <w:tc>
          <w:tcPr>
            <w:tcW w:w="0" w:type="auto"/>
            <w:noWrap w:val="0"/>
            <w:vAlign w:val="center"/>
          </w:tcPr>
          <w:p w14:paraId="740D8CD9">
            <w:r>
              <w:rPr>
                <w:rFonts w:hint="eastAsia"/>
              </w:rPr>
              <w:t xml:space="preserve">有效成分及其含量： </w:t>
            </w:r>
          </w:p>
          <w:p w14:paraId="5D5E1CE4">
            <w:r>
              <w:rPr>
                <w:rFonts w:hint="eastAsia"/>
              </w:rPr>
              <w:t xml:space="preserve">    敌稗34%    </w:t>
            </w:r>
          </w:p>
        </w:tc>
      </w:tr>
      <w:tr w14:paraId="7ABDFDA7">
        <w:tblPrEx>
          <w:tblCellMar>
            <w:top w:w="0" w:type="dxa"/>
            <w:left w:w="0" w:type="dxa"/>
            <w:bottom w:w="0" w:type="dxa"/>
            <w:right w:w="0" w:type="dxa"/>
          </w:tblCellMar>
        </w:tblPrEx>
        <w:trPr>
          <w:wBefore w:w="0" w:type="auto"/>
          <w:tblCellSpacing w:w="0" w:type="dxa"/>
        </w:trPr>
        <w:tc>
          <w:tcPr>
            <w:tcW w:w="0" w:type="auto"/>
            <w:noWrap w:val="0"/>
            <w:vAlign w:val="center"/>
          </w:tcPr>
          <w:p w14:paraId="159D764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562CC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CED00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1C6C6A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685898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6D87DB">
                  <w:r>
                    <w:rPr>
                      <w:rStyle w:val="11"/>
                      <w:rFonts w:hint="eastAsia"/>
                    </w:rPr>
                    <w:t>施用方式</w:t>
                  </w:r>
                </w:p>
              </w:tc>
            </w:tr>
            <w:tr w14:paraId="4D10F4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7B6EFDA">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06213D">
                  <w:r>
                    <w:rPr>
                      <w:rStyle w:val="11"/>
                      <w:rFonts w:hint="eastAsia"/>
                    </w:rPr>
                    <w:t>稗草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26F07C">
                  <w:r>
                    <w:rPr>
                      <w:rStyle w:val="11"/>
                      <w:rFonts w:hint="eastAsia"/>
                    </w:rPr>
                    <w:t>550-700毫升/亩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8A9C66">
                  <w:r>
                    <w:rPr>
                      <w:rStyle w:val="11"/>
                      <w:rFonts w:hint="eastAsia"/>
                    </w:rPr>
                    <w:t>茎叶喷雾</w:t>
                  </w:r>
                </w:p>
              </w:tc>
            </w:tr>
          </w:tbl>
          <w:p w14:paraId="5C15DF09">
            <w:pPr>
              <w:rPr>
                <w:rFonts w:ascii="Times New Roman" w:hAnsi="Times New Roman" w:cs="Times New Roman"/>
                <w:sz w:val="20"/>
                <w:szCs w:val="20"/>
              </w:rPr>
            </w:pPr>
          </w:p>
        </w:tc>
      </w:tr>
      <w:tr w14:paraId="525C53BF">
        <w:tblPrEx>
          <w:tblCellMar>
            <w:top w:w="0" w:type="dxa"/>
            <w:left w:w="0" w:type="dxa"/>
            <w:bottom w:w="0" w:type="dxa"/>
            <w:right w:w="0" w:type="dxa"/>
          </w:tblCellMar>
        </w:tblPrEx>
        <w:trPr>
          <w:wBefore w:w="0" w:type="auto"/>
          <w:tblCellSpacing w:w="0" w:type="dxa"/>
        </w:trPr>
        <w:tc>
          <w:tcPr>
            <w:tcW w:w="0" w:type="auto"/>
            <w:noWrap w:val="0"/>
            <w:vAlign w:val="center"/>
          </w:tcPr>
          <w:p w14:paraId="404ECB7C">
            <w:r>
              <w:rPr>
                <w:rStyle w:val="10"/>
                <w:rFonts w:hint="eastAsia"/>
              </w:rPr>
              <w:t>使用技术要求:</w:t>
            </w:r>
            <w:r>
              <w:rPr>
                <w:rFonts w:hint="eastAsia"/>
              </w:rPr>
              <w:br w:type="textWrapping"/>
            </w:r>
            <w:r>
              <w:rPr>
                <w:rStyle w:val="11"/>
                <w:rFonts w:hint="eastAsia"/>
              </w:rPr>
              <w:t>1、在水稻移栽缓苗后，稗草2叶期前后茎叶喷雾施药一次。 2、喷药前2天排干田水，喷药后2天复水淹没稗草，保水7天。 3、本品每季最多用药1次。4、水层勿淹没水稻心叶避免药害。5、施药时防止药液飘移到邻近作物，以免产生药害。</w:t>
            </w:r>
          </w:p>
        </w:tc>
      </w:tr>
      <w:tr w14:paraId="6F3E688B">
        <w:tblPrEx>
          <w:tblCellMar>
            <w:top w:w="0" w:type="dxa"/>
            <w:left w:w="0" w:type="dxa"/>
            <w:bottom w:w="0" w:type="dxa"/>
            <w:right w:w="0" w:type="dxa"/>
          </w:tblCellMar>
        </w:tblPrEx>
        <w:trPr>
          <w:wBefore w:w="0" w:type="auto"/>
          <w:tblCellSpacing w:w="0" w:type="dxa"/>
        </w:trPr>
        <w:tc>
          <w:tcPr>
            <w:tcW w:w="0" w:type="auto"/>
            <w:noWrap w:val="0"/>
            <w:vAlign w:val="center"/>
          </w:tcPr>
          <w:p w14:paraId="772F1928">
            <w:r>
              <w:rPr>
                <w:rStyle w:val="10"/>
                <w:rFonts w:hint="eastAsia"/>
              </w:rPr>
              <w:t>产品性能:</w:t>
            </w:r>
            <w:r>
              <w:rPr>
                <w:rFonts w:hint="eastAsia"/>
              </w:rPr>
              <w:br w:type="textWrapping"/>
            </w:r>
            <w:r>
              <w:rPr>
                <w:rStyle w:val="11"/>
                <w:rFonts w:hint="eastAsia"/>
              </w:rPr>
              <w:t>本品属于高选择性触杀型除草剂，在水稻体内被芳基羧基酰胺酶水解，3，4-二氯苯胺和丙酸而解毒，稗草由于缺乏此种解毒机能，细胞膜最先遭到破坏，导致水分代谢失调，很快失水枯死。以2叶期稗草最为敏感，敌稗遇土壤后分解失效，仅宜作茎叶处理剂。可作用于水稻移栽田，防除禾本科杂草稗草效果最好。</w:t>
            </w:r>
          </w:p>
        </w:tc>
      </w:tr>
      <w:tr w14:paraId="34610903">
        <w:tblPrEx>
          <w:tblCellMar>
            <w:top w:w="0" w:type="dxa"/>
            <w:left w:w="0" w:type="dxa"/>
            <w:bottom w:w="0" w:type="dxa"/>
            <w:right w:w="0" w:type="dxa"/>
          </w:tblCellMar>
        </w:tblPrEx>
        <w:trPr>
          <w:wBefore w:w="0" w:type="auto"/>
          <w:tblCellSpacing w:w="0" w:type="dxa"/>
        </w:trPr>
        <w:tc>
          <w:tcPr>
            <w:tcW w:w="0" w:type="auto"/>
            <w:noWrap w:val="0"/>
            <w:vAlign w:val="center"/>
          </w:tcPr>
          <w:p w14:paraId="6B2E62EB">
            <w:r>
              <w:rPr>
                <w:rStyle w:val="10"/>
                <w:rFonts w:hint="eastAsia"/>
              </w:rPr>
              <w:t>注意事项：</w:t>
            </w:r>
            <w:r>
              <w:rPr>
                <w:rFonts w:hint="eastAsia"/>
              </w:rPr>
              <w:br w:type="textWrapping"/>
            </w:r>
            <w:r>
              <w:rPr>
                <w:rStyle w:val="11"/>
                <w:rFonts w:hint="eastAsia"/>
              </w:rPr>
              <w:t>1、水稻在喷敌稗前后十天之内不能使用巴沙、西维因、马拉硫磷、磷胺、敌百虫等。更不能与这类农药混合施用，以免水稻发生药害。 2、应选晴天、无风天气喷药，气温高除草效果好。杂草叶面潮湿会降低除草效果，要待露水干后再施用，避免雨前喷药。 3、计算好用药量，将本品倒入喷雾器中，加入一定比例的水，充分混匀，在田间均匀喷施。施药时期必须掌握在杂草出土后，稗草小于3叶期，排干田水1-2天后，用喷雾器茎叶处理，施药后两天再回水，保持3-5厘米，保水7天后正常管理。 4、使用本品时应穿戴长衣、长裤、帽子、口罩、手套等安全防护措施，避免吸入药液；施药期间不可吃东西、饮水等。施药后应及时洗手、洗脸等。5、远离水产养殖区、河塘等水体施药，禁止在河塘等水体中清洗施药器具，清洗器具的废水不能排入河流、池塘等水体。鱼或虾蟹套养稻田禁用。施药后的田水不得直接排入水体。鸟类保护区附近禁用。蚕室及桑园附近禁用。天敌赤眼蜂（寄生性天敌）等天敌放飞区域禁用。 6、孕妇及哺乳期妇女禁止接触本品。7、用过的容器应妥善处理，不可做他用，也不可随意丢弃。8、本产品属于易燃液体。</w:t>
            </w:r>
          </w:p>
        </w:tc>
      </w:tr>
      <w:tr w14:paraId="1ABFF995">
        <w:tblPrEx>
          <w:tblCellMar>
            <w:top w:w="0" w:type="dxa"/>
            <w:left w:w="0" w:type="dxa"/>
            <w:bottom w:w="0" w:type="dxa"/>
            <w:right w:w="0" w:type="dxa"/>
          </w:tblCellMar>
        </w:tblPrEx>
        <w:trPr>
          <w:wBefore w:w="0" w:type="auto"/>
          <w:tblCellSpacing w:w="0" w:type="dxa"/>
        </w:trPr>
        <w:tc>
          <w:tcPr>
            <w:tcW w:w="0" w:type="auto"/>
            <w:noWrap w:val="0"/>
            <w:vAlign w:val="center"/>
          </w:tcPr>
          <w:p w14:paraId="0A8C4BD3">
            <w:r>
              <w:rPr>
                <w:rStyle w:val="10"/>
                <w:rFonts w:hint="eastAsia"/>
              </w:rPr>
              <w:t>中毒急救措施：</w:t>
            </w:r>
            <w:r>
              <w:rPr>
                <w:rFonts w:hint="eastAsia"/>
              </w:rPr>
              <w:br w:type="textWrapping"/>
            </w:r>
            <w:r>
              <w:rPr>
                <w:rStyle w:val="11"/>
                <w:rFonts w:hint="eastAsia"/>
              </w:rPr>
              <w:t>对眼睛有刺激性，使用时避免接触眼睛。 1、如不慎溅入眼睛中，应将眼睑翻开，用清水冲洗。 2、如皮肤沾上本品，立即用水冲洗。 3、误服者立即引吐，及时送医院急救。限用1升15%漂白土或7%膨润土活性炭悬浮液，同时服用甘露醇等合适泻药。</w:t>
            </w:r>
          </w:p>
        </w:tc>
      </w:tr>
      <w:tr w14:paraId="7895759C">
        <w:tblPrEx>
          <w:tblCellMar>
            <w:top w:w="0" w:type="dxa"/>
            <w:left w:w="0" w:type="dxa"/>
            <w:bottom w:w="0" w:type="dxa"/>
            <w:right w:w="0" w:type="dxa"/>
          </w:tblCellMar>
        </w:tblPrEx>
        <w:trPr>
          <w:wBefore w:w="0" w:type="auto"/>
          <w:tblCellSpacing w:w="0" w:type="dxa"/>
        </w:trPr>
        <w:tc>
          <w:tcPr>
            <w:tcW w:w="0" w:type="auto"/>
            <w:noWrap w:val="0"/>
            <w:vAlign w:val="center"/>
          </w:tcPr>
          <w:p w14:paraId="18CE7204">
            <w:r>
              <w:rPr>
                <w:rStyle w:val="10"/>
                <w:rFonts w:hint="eastAsia"/>
              </w:rPr>
              <w:t>储存和运输方法：</w:t>
            </w:r>
            <w:r>
              <w:rPr>
                <w:rFonts w:hint="eastAsia"/>
              </w:rPr>
              <w:br w:type="textWrapping"/>
            </w:r>
            <w:r>
              <w:rPr>
                <w:rStyle w:val="11"/>
                <w:rFonts w:hint="eastAsia"/>
              </w:rPr>
              <w:t>1、产品包装件应贮存在通风干燥的库房中。 2、贮运时严防潮湿和日晒，不能与食品、饮料、粮食、饲料等混合储运。 3、远离儿童，并加锁保存。避免与皮肤眼睛接触，防止口鼻吸入。</w:t>
            </w:r>
          </w:p>
        </w:tc>
      </w:tr>
      <w:tr w14:paraId="7D87D0DA">
        <w:tblPrEx>
          <w:tblCellMar>
            <w:top w:w="0" w:type="dxa"/>
            <w:left w:w="0" w:type="dxa"/>
            <w:bottom w:w="0" w:type="dxa"/>
            <w:right w:w="0" w:type="dxa"/>
          </w:tblCellMar>
        </w:tblPrEx>
        <w:trPr>
          <w:wBefore w:w="0" w:type="auto"/>
          <w:tblCellSpacing w:w="0" w:type="dxa"/>
        </w:trPr>
        <w:tc>
          <w:tcPr>
            <w:tcW w:w="0" w:type="auto"/>
            <w:noWrap w:val="0"/>
            <w:vAlign w:val="center"/>
          </w:tcPr>
          <w:p w14:paraId="109978D4">
            <w:r>
              <w:rPr>
                <w:rStyle w:val="10"/>
                <w:rFonts w:hint="eastAsia"/>
              </w:rPr>
              <w:t>质量保证期：</w:t>
            </w:r>
            <w:r>
              <w:rPr>
                <w:rStyle w:val="11"/>
                <w:rFonts w:hint="eastAsia"/>
              </w:rPr>
              <w:t>2年</w:t>
            </w:r>
          </w:p>
        </w:tc>
      </w:tr>
      <w:tr w14:paraId="7457C4DD">
        <w:tblPrEx>
          <w:tblCellMar>
            <w:top w:w="0" w:type="dxa"/>
            <w:left w:w="0" w:type="dxa"/>
            <w:bottom w:w="0" w:type="dxa"/>
            <w:right w:w="0" w:type="dxa"/>
          </w:tblCellMar>
        </w:tblPrEx>
        <w:trPr>
          <w:wBefore w:w="0" w:type="auto"/>
          <w:tblCellSpacing w:w="0" w:type="dxa"/>
        </w:trPr>
        <w:tc>
          <w:tcPr>
            <w:tcW w:w="0" w:type="auto"/>
            <w:noWrap w:val="0"/>
            <w:vAlign w:val="center"/>
          </w:tcPr>
          <w:p w14:paraId="01BB56A1">
            <w:r>
              <w:rPr>
                <w:rStyle w:val="10"/>
                <w:rFonts w:hint="eastAsia"/>
              </w:rPr>
              <w:t>备注：</w:t>
            </w:r>
          </w:p>
        </w:tc>
      </w:tr>
    </w:tbl>
    <w:p w14:paraId="3CD9B03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401A2EB">
        <w:tblPrEx>
          <w:tblCellMar>
            <w:top w:w="0" w:type="dxa"/>
            <w:left w:w="0" w:type="dxa"/>
            <w:bottom w:w="0" w:type="dxa"/>
            <w:right w:w="0" w:type="dxa"/>
          </w:tblCellMar>
        </w:tblPrEx>
        <w:trPr>
          <w:wBefore w:w="0" w:type="auto"/>
          <w:tblCellSpacing w:w="0" w:type="dxa"/>
        </w:trPr>
        <w:tc>
          <w:tcPr>
            <w:tcW w:w="0" w:type="auto"/>
            <w:noWrap w:val="0"/>
            <w:vAlign w:val="center"/>
          </w:tcPr>
          <w:p w14:paraId="6DD3730E">
            <w:r>
              <w:rPr>
                <w:rStyle w:val="10"/>
                <w:rFonts w:hint="eastAsia"/>
              </w:rPr>
              <w:t>登记证号：</w:t>
            </w:r>
            <w:r>
              <w:rPr>
                <w:rFonts w:hint="eastAsia"/>
              </w:rPr>
              <w:t>WP20210271</w:t>
            </w:r>
          </w:p>
        </w:tc>
      </w:tr>
      <w:tr w14:paraId="7FCE0327">
        <w:tblPrEx>
          <w:tblCellMar>
            <w:top w:w="0" w:type="dxa"/>
            <w:left w:w="0" w:type="dxa"/>
            <w:bottom w:w="0" w:type="dxa"/>
            <w:right w:w="0" w:type="dxa"/>
          </w:tblCellMar>
        </w:tblPrEx>
        <w:trPr>
          <w:wBefore w:w="0" w:type="auto"/>
          <w:tblCellSpacing w:w="0" w:type="dxa"/>
        </w:trPr>
        <w:tc>
          <w:tcPr>
            <w:tcW w:w="0" w:type="auto"/>
            <w:noWrap w:val="0"/>
            <w:vAlign w:val="center"/>
          </w:tcPr>
          <w:p w14:paraId="57506A7B">
            <w:r>
              <w:rPr>
                <w:rStyle w:val="10"/>
                <w:rFonts w:hint="eastAsia"/>
              </w:rPr>
              <w:t>登记证持有人：</w:t>
            </w:r>
            <w:r>
              <w:rPr>
                <w:rFonts w:hint="eastAsia"/>
              </w:rPr>
              <w:t>福建双飞日化有限公司</w:t>
            </w:r>
          </w:p>
        </w:tc>
      </w:tr>
      <w:tr w14:paraId="04E0E886">
        <w:tblPrEx>
          <w:tblCellMar>
            <w:top w:w="0" w:type="dxa"/>
            <w:left w:w="0" w:type="dxa"/>
            <w:bottom w:w="0" w:type="dxa"/>
            <w:right w:w="0" w:type="dxa"/>
          </w:tblCellMar>
        </w:tblPrEx>
        <w:trPr>
          <w:wBefore w:w="0" w:type="auto"/>
          <w:tblCellSpacing w:w="0" w:type="dxa"/>
        </w:trPr>
        <w:tc>
          <w:tcPr>
            <w:tcW w:w="0" w:type="auto"/>
            <w:noWrap w:val="0"/>
            <w:vAlign w:val="center"/>
          </w:tcPr>
          <w:p w14:paraId="33FCD12D">
            <w:r>
              <w:rPr>
                <w:rStyle w:val="10"/>
                <w:rFonts w:hint="eastAsia"/>
              </w:rPr>
              <w:t>农药名称：</w:t>
            </w:r>
            <w:r>
              <w:rPr>
                <w:rFonts w:hint="eastAsia"/>
              </w:rPr>
              <w:t>电热蚊香液</w:t>
            </w:r>
          </w:p>
        </w:tc>
      </w:tr>
      <w:tr w14:paraId="27D236F8">
        <w:tblPrEx>
          <w:tblCellMar>
            <w:top w:w="0" w:type="dxa"/>
            <w:left w:w="0" w:type="dxa"/>
            <w:bottom w:w="0" w:type="dxa"/>
            <w:right w:w="0" w:type="dxa"/>
          </w:tblCellMar>
        </w:tblPrEx>
        <w:trPr>
          <w:wBefore w:w="0" w:type="auto"/>
          <w:tblCellSpacing w:w="0" w:type="dxa"/>
        </w:trPr>
        <w:tc>
          <w:tcPr>
            <w:tcW w:w="0" w:type="auto"/>
            <w:noWrap w:val="0"/>
            <w:vAlign w:val="center"/>
          </w:tcPr>
          <w:p w14:paraId="1836E691">
            <w:r>
              <w:rPr>
                <w:rStyle w:val="10"/>
                <w:rFonts w:hint="eastAsia"/>
              </w:rPr>
              <w:t>剂型：</w:t>
            </w:r>
            <w:r>
              <w:rPr>
                <w:rFonts w:hint="eastAsia"/>
              </w:rPr>
              <w:t>电热蚊香液</w:t>
            </w:r>
          </w:p>
        </w:tc>
      </w:tr>
      <w:tr w14:paraId="157A7942">
        <w:tblPrEx>
          <w:tblCellMar>
            <w:top w:w="0" w:type="dxa"/>
            <w:left w:w="0" w:type="dxa"/>
            <w:bottom w:w="0" w:type="dxa"/>
            <w:right w:w="0" w:type="dxa"/>
          </w:tblCellMar>
        </w:tblPrEx>
        <w:trPr>
          <w:wBefore w:w="0" w:type="auto"/>
          <w:tblCellSpacing w:w="0" w:type="dxa"/>
        </w:trPr>
        <w:tc>
          <w:tcPr>
            <w:tcW w:w="0" w:type="auto"/>
            <w:noWrap w:val="0"/>
            <w:vAlign w:val="center"/>
          </w:tcPr>
          <w:p w14:paraId="22B0AD48">
            <w:r>
              <w:rPr>
                <w:rStyle w:val="10"/>
                <w:rFonts w:hint="eastAsia"/>
              </w:rPr>
              <w:t>毒性及其标识：</w:t>
            </w:r>
            <w:r>
              <w:rPr>
                <w:rFonts w:hint="eastAsia"/>
              </w:rPr>
              <w:t xml:space="preserve"> </w:t>
            </w:r>
            <w:r>
              <w:rPr>
                <w:lang/>
              </w:rPr>
              <w:drawing>
                <wp:inline distT="0" distB="0" distL="114300" distR="114300">
                  <wp:extent cx="476250" cy="323850"/>
                  <wp:effectExtent l="0" t="0" r="0" b="0"/>
                  <wp:docPr id="253" name="图片 25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9CADC5E">
        <w:tblPrEx>
          <w:tblCellMar>
            <w:top w:w="0" w:type="dxa"/>
            <w:left w:w="0" w:type="dxa"/>
            <w:bottom w:w="0" w:type="dxa"/>
            <w:right w:w="0" w:type="dxa"/>
          </w:tblCellMar>
        </w:tblPrEx>
        <w:trPr>
          <w:wBefore w:w="0" w:type="auto"/>
          <w:tblCellSpacing w:w="0" w:type="dxa"/>
        </w:trPr>
        <w:tc>
          <w:tcPr>
            <w:tcW w:w="0" w:type="auto"/>
            <w:noWrap w:val="0"/>
            <w:vAlign w:val="center"/>
          </w:tcPr>
          <w:p w14:paraId="429FC26D">
            <w:r>
              <w:rPr>
                <w:rStyle w:val="10"/>
                <w:rFonts w:hint="eastAsia"/>
              </w:rPr>
              <w:t>总有效成分含量：</w:t>
            </w:r>
            <w:r>
              <w:rPr>
                <w:rFonts w:hint="eastAsia"/>
              </w:rPr>
              <w:t>1%</w:t>
            </w:r>
          </w:p>
        </w:tc>
      </w:tr>
      <w:tr w14:paraId="29ABB34C">
        <w:tblPrEx>
          <w:tblCellMar>
            <w:top w:w="0" w:type="dxa"/>
            <w:left w:w="0" w:type="dxa"/>
            <w:bottom w:w="0" w:type="dxa"/>
            <w:right w:w="0" w:type="dxa"/>
          </w:tblCellMar>
        </w:tblPrEx>
        <w:trPr>
          <w:wBefore w:w="0" w:type="auto"/>
          <w:tblCellSpacing w:w="0" w:type="dxa"/>
        </w:trPr>
        <w:tc>
          <w:tcPr>
            <w:tcW w:w="0" w:type="auto"/>
            <w:noWrap w:val="0"/>
            <w:vAlign w:val="center"/>
          </w:tcPr>
          <w:p w14:paraId="4397C468">
            <w:r>
              <w:rPr>
                <w:rFonts w:hint="eastAsia"/>
              </w:rPr>
              <w:t xml:space="preserve">有效成分及其含量： </w:t>
            </w:r>
          </w:p>
          <w:p w14:paraId="4A10F984">
            <w:r>
              <w:rPr>
                <w:rFonts w:hint="eastAsia"/>
              </w:rPr>
              <w:t xml:space="preserve">    氯氟醚菊酯1%    </w:t>
            </w:r>
          </w:p>
        </w:tc>
      </w:tr>
      <w:tr w14:paraId="35D989D9">
        <w:tblPrEx>
          <w:tblCellMar>
            <w:top w:w="0" w:type="dxa"/>
            <w:left w:w="0" w:type="dxa"/>
            <w:bottom w:w="0" w:type="dxa"/>
            <w:right w:w="0" w:type="dxa"/>
          </w:tblCellMar>
        </w:tblPrEx>
        <w:trPr>
          <w:wBefore w:w="0" w:type="auto"/>
          <w:tblCellSpacing w:w="0" w:type="dxa"/>
        </w:trPr>
        <w:tc>
          <w:tcPr>
            <w:tcW w:w="0" w:type="auto"/>
            <w:noWrap w:val="0"/>
            <w:vAlign w:val="center"/>
          </w:tcPr>
          <w:p w14:paraId="06A15D2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6E753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961D11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F575C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1077AE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0B720CC">
                  <w:r>
                    <w:rPr>
                      <w:rStyle w:val="11"/>
                      <w:rFonts w:hint="eastAsia"/>
                    </w:rPr>
                    <w:t>施用方式</w:t>
                  </w:r>
                </w:p>
              </w:tc>
            </w:tr>
            <w:tr w14:paraId="073E0B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F57773D">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6A87E8">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97FAE9">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35450C">
                  <w:r>
                    <w:rPr>
                      <w:rStyle w:val="11"/>
                      <w:rFonts w:hint="eastAsia"/>
                    </w:rPr>
                    <w:t>电热加温</w:t>
                  </w:r>
                </w:p>
              </w:tc>
            </w:tr>
          </w:tbl>
          <w:p w14:paraId="1DF187CD">
            <w:pPr>
              <w:rPr>
                <w:rFonts w:ascii="Times New Roman" w:hAnsi="Times New Roman" w:cs="Times New Roman"/>
                <w:sz w:val="20"/>
                <w:szCs w:val="20"/>
              </w:rPr>
            </w:pPr>
          </w:p>
        </w:tc>
      </w:tr>
      <w:tr w14:paraId="7E2BED82">
        <w:tblPrEx>
          <w:tblCellMar>
            <w:top w:w="0" w:type="dxa"/>
            <w:left w:w="0" w:type="dxa"/>
            <w:bottom w:w="0" w:type="dxa"/>
            <w:right w:w="0" w:type="dxa"/>
          </w:tblCellMar>
        </w:tblPrEx>
        <w:trPr>
          <w:wBefore w:w="0" w:type="auto"/>
          <w:tblCellSpacing w:w="0" w:type="dxa"/>
        </w:trPr>
        <w:tc>
          <w:tcPr>
            <w:tcW w:w="0" w:type="auto"/>
            <w:noWrap w:val="0"/>
            <w:vAlign w:val="center"/>
          </w:tcPr>
          <w:p w14:paraId="3591C7AB">
            <w:r>
              <w:rPr>
                <w:rStyle w:val="10"/>
                <w:rFonts w:hint="eastAsia"/>
              </w:rPr>
              <w:t>使用技术要求:</w:t>
            </w:r>
            <w:r>
              <w:rPr>
                <w:rFonts w:hint="eastAsia"/>
              </w:rPr>
              <w:br w:type="textWrapping"/>
            </w:r>
            <w:r>
              <w:rPr>
                <w:rStyle w:val="11"/>
                <w:rFonts w:hint="eastAsia"/>
              </w:rPr>
              <w:t xml:space="preserve">使用技术要求: 1、拧开电热蚊香液的瓶盖。 2、将芯棒对准电加热器发热圈插入并向右旋紧。 3、接通电源，打开开关,指示灯亮表示开始工作。 4、不用时请切断电源或关闭开关,指示灯灭表示停止工作，无需旋下液瓶，但要保持液瓶竖立向上。 5、蚊香液用尽，请切断电源后，更换一瓶新的蚊香液。 </w:t>
            </w:r>
          </w:p>
        </w:tc>
      </w:tr>
      <w:tr w14:paraId="224682FF">
        <w:tblPrEx>
          <w:tblCellMar>
            <w:top w:w="0" w:type="dxa"/>
            <w:left w:w="0" w:type="dxa"/>
            <w:bottom w:w="0" w:type="dxa"/>
            <w:right w:w="0" w:type="dxa"/>
          </w:tblCellMar>
        </w:tblPrEx>
        <w:trPr>
          <w:wBefore w:w="0" w:type="auto"/>
          <w:tblCellSpacing w:w="0" w:type="dxa"/>
        </w:trPr>
        <w:tc>
          <w:tcPr>
            <w:tcW w:w="0" w:type="auto"/>
            <w:noWrap w:val="0"/>
            <w:vAlign w:val="center"/>
          </w:tcPr>
          <w:p w14:paraId="7CE8711E">
            <w:r>
              <w:rPr>
                <w:rStyle w:val="10"/>
                <w:rFonts w:hint="eastAsia"/>
              </w:rPr>
              <w:t>产品性能:</w:t>
            </w:r>
            <w:r>
              <w:rPr>
                <w:rFonts w:hint="eastAsia"/>
              </w:rPr>
              <w:br w:type="textWrapping"/>
            </w:r>
            <w:r>
              <w:rPr>
                <w:rStyle w:val="11"/>
                <w:rFonts w:hint="eastAsia"/>
              </w:rPr>
              <w:t>1、采用拟除虫菊酯为有效成份，有效驱杀蚊虫； 2、每天按使用8小时计，每瓶药液可持续使用70天。</w:t>
            </w:r>
          </w:p>
        </w:tc>
      </w:tr>
      <w:tr w14:paraId="62C1F816">
        <w:tblPrEx>
          <w:tblCellMar>
            <w:top w:w="0" w:type="dxa"/>
            <w:left w:w="0" w:type="dxa"/>
            <w:bottom w:w="0" w:type="dxa"/>
            <w:right w:w="0" w:type="dxa"/>
          </w:tblCellMar>
        </w:tblPrEx>
        <w:trPr>
          <w:wBefore w:w="0" w:type="auto"/>
          <w:tblCellSpacing w:w="0" w:type="dxa"/>
        </w:trPr>
        <w:tc>
          <w:tcPr>
            <w:tcW w:w="0" w:type="auto"/>
            <w:noWrap w:val="0"/>
            <w:vAlign w:val="center"/>
          </w:tcPr>
          <w:p w14:paraId="7A22D706">
            <w:r>
              <w:rPr>
                <w:rStyle w:val="10"/>
                <w:rFonts w:hint="eastAsia"/>
              </w:rPr>
              <w:t>注意事项：</w:t>
            </w:r>
            <w:r>
              <w:rPr>
                <w:rFonts w:hint="eastAsia"/>
              </w:rPr>
              <w:br w:type="textWrapping"/>
            </w:r>
            <w:r>
              <w:rPr>
                <w:rStyle w:val="11"/>
                <w:rFonts w:hint="eastAsia"/>
              </w:rPr>
              <w:t>1、请于睡前半小时使用，效果更佳。 2、使用时注意通风，注意用电及防火安全，用后洗手。 3、加热器工作时表面请勿覆盖任何物品，不用时请关闭开关。 4、使用时将电热蚊香液加热器放置在上风向。 5、对鱼类、蜂和蚕有毒，蚕室及其附近禁用。 6、加热器的使用寿命一般为2——3年。如果已超过正常使用年限，请购买新的双飞剑电热蚊香液加热器。 7、过敏者禁用，使用中有任何不良反应者请及时就医。 8、孕妇及哺乳期妇女避免接触芯棒。9.</w:t>
            </w:r>
          </w:p>
        </w:tc>
      </w:tr>
      <w:tr w14:paraId="089E7057">
        <w:tblPrEx>
          <w:tblCellMar>
            <w:top w:w="0" w:type="dxa"/>
            <w:left w:w="0" w:type="dxa"/>
            <w:bottom w:w="0" w:type="dxa"/>
            <w:right w:w="0" w:type="dxa"/>
          </w:tblCellMar>
        </w:tblPrEx>
        <w:trPr>
          <w:wBefore w:w="0" w:type="auto"/>
          <w:tblCellSpacing w:w="0" w:type="dxa"/>
        </w:trPr>
        <w:tc>
          <w:tcPr>
            <w:tcW w:w="0" w:type="auto"/>
            <w:noWrap w:val="0"/>
            <w:vAlign w:val="center"/>
          </w:tcPr>
          <w:p w14:paraId="2512AC90">
            <w:r>
              <w:rPr>
                <w:rStyle w:val="10"/>
                <w:rFonts w:hint="eastAsia"/>
              </w:rPr>
              <w:t>中毒急救措施：</w:t>
            </w:r>
            <w:r>
              <w:rPr>
                <w:rFonts w:hint="eastAsia"/>
              </w:rPr>
              <w:br w:type="textWrapping"/>
            </w:r>
            <w:r>
              <w:rPr>
                <w:rStyle w:val="11"/>
                <w:rFonts w:hint="eastAsia"/>
              </w:rPr>
              <w:t>1、过敏者禁用，使用中有任何不良反应者请及时就医。若有大量误服，不可催吐，应立即携带标签就医。 2、若不慎溅入眼睛或沾附皮肤，请立即用大量的清水冲洗并就医。</w:t>
            </w:r>
          </w:p>
        </w:tc>
      </w:tr>
      <w:tr w14:paraId="0BD79A0C">
        <w:tblPrEx>
          <w:tblCellMar>
            <w:top w:w="0" w:type="dxa"/>
            <w:left w:w="0" w:type="dxa"/>
            <w:bottom w:w="0" w:type="dxa"/>
            <w:right w:w="0" w:type="dxa"/>
          </w:tblCellMar>
        </w:tblPrEx>
        <w:trPr>
          <w:wBefore w:w="0" w:type="auto"/>
          <w:tblCellSpacing w:w="0" w:type="dxa"/>
        </w:trPr>
        <w:tc>
          <w:tcPr>
            <w:tcW w:w="0" w:type="auto"/>
            <w:noWrap w:val="0"/>
            <w:vAlign w:val="center"/>
          </w:tcPr>
          <w:p w14:paraId="2777AAA2">
            <w:r>
              <w:rPr>
                <w:rStyle w:val="10"/>
                <w:rFonts w:hint="eastAsia"/>
              </w:rPr>
              <w:t>储存和运输方法：</w:t>
            </w:r>
            <w:r>
              <w:rPr>
                <w:rFonts w:hint="eastAsia"/>
              </w:rPr>
              <w:br w:type="textWrapping"/>
            </w:r>
            <w:r>
              <w:rPr>
                <w:rStyle w:val="11"/>
                <w:rFonts w:hint="eastAsia"/>
              </w:rPr>
              <w:t>1、置于儿童接触不到的地方，并加锁保存，不能与食品、饮料、粮食、饲料等混合储运。 2、搬运时要轻取轻放，防止剧烈震动、日晒、雨淋和重压，远离火源和热源。</w:t>
            </w:r>
          </w:p>
        </w:tc>
      </w:tr>
      <w:tr w14:paraId="4CB07C05">
        <w:tblPrEx>
          <w:tblCellMar>
            <w:top w:w="0" w:type="dxa"/>
            <w:left w:w="0" w:type="dxa"/>
            <w:bottom w:w="0" w:type="dxa"/>
            <w:right w:w="0" w:type="dxa"/>
          </w:tblCellMar>
        </w:tblPrEx>
        <w:trPr>
          <w:wBefore w:w="0" w:type="auto"/>
          <w:tblCellSpacing w:w="0" w:type="dxa"/>
        </w:trPr>
        <w:tc>
          <w:tcPr>
            <w:tcW w:w="0" w:type="auto"/>
            <w:noWrap w:val="0"/>
            <w:vAlign w:val="center"/>
          </w:tcPr>
          <w:p w14:paraId="044AEF18">
            <w:r>
              <w:rPr>
                <w:rStyle w:val="10"/>
                <w:rFonts w:hint="eastAsia"/>
              </w:rPr>
              <w:t>质量保证期：</w:t>
            </w:r>
            <w:r>
              <w:rPr>
                <w:rStyle w:val="11"/>
                <w:rFonts w:hint="eastAsia"/>
              </w:rPr>
              <w:t>3年</w:t>
            </w:r>
          </w:p>
        </w:tc>
      </w:tr>
      <w:tr w14:paraId="78A19CBC">
        <w:tblPrEx>
          <w:tblCellMar>
            <w:top w:w="0" w:type="dxa"/>
            <w:left w:w="0" w:type="dxa"/>
            <w:bottom w:w="0" w:type="dxa"/>
            <w:right w:w="0" w:type="dxa"/>
          </w:tblCellMar>
        </w:tblPrEx>
        <w:trPr>
          <w:wBefore w:w="0" w:type="auto"/>
          <w:tblCellSpacing w:w="0" w:type="dxa"/>
        </w:trPr>
        <w:tc>
          <w:tcPr>
            <w:tcW w:w="0" w:type="auto"/>
            <w:noWrap w:val="0"/>
            <w:vAlign w:val="center"/>
          </w:tcPr>
          <w:p w14:paraId="2423095A">
            <w:r>
              <w:rPr>
                <w:rStyle w:val="10"/>
                <w:rFonts w:hint="eastAsia"/>
              </w:rPr>
              <w:t>备注：</w:t>
            </w:r>
          </w:p>
        </w:tc>
      </w:tr>
    </w:tbl>
    <w:p w14:paraId="1FDC750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8D17104">
        <w:tblPrEx>
          <w:tblCellMar>
            <w:top w:w="0" w:type="dxa"/>
            <w:left w:w="0" w:type="dxa"/>
            <w:bottom w:w="0" w:type="dxa"/>
            <w:right w:w="0" w:type="dxa"/>
          </w:tblCellMar>
        </w:tblPrEx>
        <w:trPr>
          <w:wBefore w:w="0" w:type="auto"/>
          <w:tblCellSpacing w:w="0" w:type="dxa"/>
        </w:trPr>
        <w:tc>
          <w:tcPr>
            <w:tcW w:w="0" w:type="auto"/>
            <w:noWrap w:val="0"/>
            <w:vAlign w:val="center"/>
          </w:tcPr>
          <w:p w14:paraId="49286A29">
            <w:r>
              <w:rPr>
                <w:rStyle w:val="10"/>
                <w:rFonts w:hint="eastAsia"/>
              </w:rPr>
              <w:t>登记证号：</w:t>
            </w:r>
            <w:r>
              <w:rPr>
                <w:rFonts w:hint="eastAsia"/>
              </w:rPr>
              <w:t>PD20211943</w:t>
            </w:r>
          </w:p>
        </w:tc>
      </w:tr>
      <w:tr w14:paraId="271C5677">
        <w:tblPrEx>
          <w:tblCellMar>
            <w:top w:w="0" w:type="dxa"/>
            <w:left w:w="0" w:type="dxa"/>
            <w:bottom w:w="0" w:type="dxa"/>
            <w:right w:w="0" w:type="dxa"/>
          </w:tblCellMar>
        </w:tblPrEx>
        <w:trPr>
          <w:wBefore w:w="0" w:type="auto"/>
          <w:tblCellSpacing w:w="0" w:type="dxa"/>
        </w:trPr>
        <w:tc>
          <w:tcPr>
            <w:tcW w:w="0" w:type="auto"/>
            <w:noWrap w:val="0"/>
            <w:vAlign w:val="center"/>
          </w:tcPr>
          <w:p w14:paraId="3C56ED15">
            <w:r>
              <w:rPr>
                <w:rStyle w:val="10"/>
                <w:rFonts w:hint="eastAsia"/>
              </w:rPr>
              <w:t>登记证持有人：</w:t>
            </w:r>
            <w:r>
              <w:rPr>
                <w:rFonts w:hint="eastAsia"/>
              </w:rPr>
              <w:t>济南仕邦农化有限公司</w:t>
            </w:r>
          </w:p>
        </w:tc>
      </w:tr>
      <w:tr w14:paraId="32DC9C80">
        <w:tblPrEx>
          <w:tblCellMar>
            <w:top w:w="0" w:type="dxa"/>
            <w:left w:w="0" w:type="dxa"/>
            <w:bottom w:w="0" w:type="dxa"/>
            <w:right w:w="0" w:type="dxa"/>
          </w:tblCellMar>
        </w:tblPrEx>
        <w:trPr>
          <w:wBefore w:w="0" w:type="auto"/>
          <w:tblCellSpacing w:w="0" w:type="dxa"/>
        </w:trPr>
        <w:tc>
          <w:tcPr>
            <w:tcW w:w="0" w:type="auto"/>
            <w:noWrap w:val="0"/>
            <w:vAlign w:val="center"/>
          </w:tcPr>
          <w:p w14:paraId="08C933FB">
            <w:r>
              <w:rPr>
                <w:rStyle w:val="10"/>
                <w:rFonts w:hint="eastAsia"/>
              </w:rPr>
              <w:t>农药名称：</w:t>
            </w:r>
            <w:r>
              <w:rPr>
                <w:rFonts w:hint="eastAsia"/>
              </w:rPr>
              <w:t>唑醚·戊唑醇</w:t>
            </w:r>
          </w:p>
        </w:tc>
      </w:tr>
      <w:tr w14:paraId="62D2A4EE">
        <w:tblPrEx>
          <w:tblCellMar>
            <w:top w:w="0" w:type="dxa"/>
            <w:left w:w="0" w:type="dxa"/>
            <w:bottom w:w="0" w:type="dxa"/>
            <w:right w:w="0" w:type="dxa"/>
          </w:tblCellMar>
        </w:tblPrEx>
        <w:trPr>
          <w:wBefore w:w="0" w:type="auto"/>
          <w:tblCellSpacing w:w="0" w:type="dxa"/>
        </w:trPr>
        <w:tc>
          <w:tcPr>
            <w:tcW w:w="0" w:type="auto"/>
            <w:noWrap w:val="0"/>
            <w:vAlign w:val="center"/>
          </w:tcPr>
          <w:p w14:paraId="743E6872">
            <w:r>
              <w:rPr>
                <w:rStyle w:val="10"/>
                <w:rFonts w:hint="eastAsia"/>
              </w:rPr>
              <w:t>剂型：</w:t>
            </w:r>
            <w:r>
              <w:rPr>
                <w:rFonts w:hint="eastAsia"/>
              </w:rPr>
              <w:t>超低容量液剂</w:t>
            </w:r>
          </w:p>
        </w:tc>
      </w:tr>
      <w:tr w14:paraId="60D5C548">
        <w:tblPrEx>
          <w:tblCellMar>
            <w:top w:w="0" w:type="dxa"/>
            <w:left w:w="0" w:type="dxa"/>
            <w:bottom w:w="0" w:type="dxa"/>
            <w:right w:w="0" w:type="dxa"/>
          </w:tblCellMar>
        </w:tblPrEx>
        <w:trPr>
          <w:wBefore w:w="0" w:type="auto"/>
          <w:tblCellSpacing w:w="0" w:type="dxa"/>
        </w:trPr>
        <w:tc>
          <w:tcPr>
            <w:tcW w:w="0" w:type="auto"/>
            <w:noWrap w:val="0"/>
            <w:vAlign w:val="center"/>
          </w:tcPr>
          <w:p w14:paraId="500B3483">
            <w:r>
              <w:rPr>
                <w:rStyle w:val="10"/>
                <w:rFonts w:hint="eastAsia"/>
              </w:rPr>
              <w:t>毒性及其标识：</w:t>
            </w:r>
            <w:r>
              <w:rPr>
                <w:rFonts w:hint="eastAsia"/>
              </w:rPr>
              <w:t xml:space="preserve"> </w:t>
            </w:r>
            <w:r>
              <w:rPr>
                <w:lang/>
              </w:rPr>
              <w:drawing>
                <wp:inline distT="0" distB="0" distL="114300" distR="114300">
                  <wp:extent cx="476250" cy="323850"/>
                  <wp:effectExtent l="0" t="0" r="0" b="0"/>
                  <wp:docPr id="254" name="图片 25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1BC3A72">
        <w:tblPrEx>
          <w:tblCellMar>
            <w:top w:w="0" w:type="dxa"/>
            <w:left w:w="0" w:type="dxa"/>
            <w:bottom w:w="0" w:type="dxa"/>
            <w:right w:w="0" w:type="dxa"/>
          </w:tblCellMar>
        </w:tblPrEx>
        <w:trPr>
          <w:wBefore w:w="0" w:type="auto"/>
          <w:tblCellSpacing w:w="0" w:type="dxa"/>
        </w:trPr>
        <w:tc>
          <w:tcPr>
            <w:tcW w:w="0" w:type="auto"/>
            <w:noWrap w:val="0"/>
            <w:vAlign w:val="center"/>
          </w:tcPr>
          <w:p w14:paraId="4BDFFCD2">
            <w:r>
              <w:rPr>
                <w:rStyle w:val="10"/>
                <w:rFonts w:hint="eastAsia"/>
              </w:rPr>
              <w:t>总有效成分含量：</w:t>
            </w:r>
            <w:r>
              <w:rPr>
                <w:rFonts w:hint="eastAsia"/>
              </w:rPr>
              <w:t>15%</w:t>
            </w:r>
          </w:p>
        </w:tc>
      </w:tr>
      <w:tr w14:paraId="718F97D2">
        <w:tblPrEx>
          <w:tblCellMar>
            <w:top w:w="0" w:type="dxa"/>
            <w:left w:w="0" w:type="dxa"/>
            <w:bottom w:w="0" w:type="dxa"/>
            <w:right w:w="0" w:type="dxa"/>
          </w:tblCellMar>
        </w:tblPrEx>
        <w:trPr>
          <w:wBefore w:w="0" w:type="auto"/>
          <w:tblCellSpacing w:w="0" w:type="dxa"/>
        </w:trPr>
        <w:tc>
          <w:tcPr>
            <w:tcW w:w="0" w:type="auto"/>
            <w:noWrap w:val="0"/>
            <w:vAlign w:val="center"/>
          </w:tcPr>
          <w:p w14:paraId="63D91C00">
            <w:r>
              <w:rPr>
                <w:rFonts w:hint="eastAsia"/>
              </w:rPr>
              <w:t xml:space="preserve">有效成分及其含量： </w:t>
            </w:r>
          </w:p>
          <w:p w14:paraId="1F862335">
            <w:r>
              <w:rPr>
                <w:rFonts w:hint="eastAsia"/>
              </w:rPr>
              <w:t xml:space="preserve">    吡唑醚菌酯7.5%    戊唑醇7.5%    </w:t>
            </w:r>
          </w:p>
        </w:tc>
      </w:tr>
      <w:tr w14:paraId="16B91032">
        <w:tblPrEx>
          <w:tblCellMar>
            <w:top w:w="0" w:type="dxa"/>
            <w:left w:w="0" w:type="dxa"/>
            <w:bottom w:w="0" w:type="dxa"/>
            <w:right w:w="0" w:type="dxa"/>
          </w:tblCellMar>
        </w:tblPrEx>
        <w:trPr>
          <w:wBefore w:w="0" w:type="auto"/>
          <w:tblCellSpacing w:w="0" w:type="dxa"/>
        </w:trPr>
        <w:tc>
          <w:tcPr>
            <w:tcW w:w="0" w:type="auto"/>
            <w:noWrap w:val="0"/>
            <w:vAlign w:val="center"/>
          </w:tcPr>
          <w:p w14:paraId="7F0D3CD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3901D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6995B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B4884E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A3283F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CCBD252">
                  <w:r>
                    <w:rPr>
                      <w:rStyle w:val="11"/>
                      <w:rFonts w:hint="eastAsia"/>
                    </w:rPr>
                    <w:t>施用方式</w:t>
                  </w:r>
                </w:p>
              </w:tc>
            </w:tr>
            <w:tr w14:paraId="64AE79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BADB8D5">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A4864D">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1E2B14">
                  <w:r>
                    <w:rPr>
                      <w:rStyle w:val="11"/>
                      <w:rFonts w:hint="eastAsia"/>
                    </w:rPr>
                    <w:t>53-66毫升/亩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CA971C">
                  <w:r>
                    <w:rPr>
                      <w:rStyle w:val="11"/>
                      <w:rFonts w:hint="eastAsia"/>
                    </w:rPr>
                    <w:t>超低容量喷雾</w:t>
                  </w:r>
                </w:p>
              </w:tc>
            </w:tr>
            <w:tr w14:paraId="7D12CB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D322D2F">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D7B704">
                  <w:r>
                    <w:rPr>
                      <w:rStyle w:val="11"/>
                      <w:rFonts w:hint="eastAsia"/>
                    </w:rPr>
                    <w:t>赤霉病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BE1233">
                  <w:r>
                    <w:rPr>
                      <w:rStyle w:val="11"/>
                      <w:rFonts w:hint="eastAsia"/>
                    </w:rPr>
                    <w:t>53-66毫升/亩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7E3FB1">
                  <w:r>
                    <w:rPr>
                      <w:rStyle w:val="11"/>
                      <w:rFonts w:hint="eastAsia"/>
                    </w:rPr>
                    <w:t>超低容量喷雾</w:t>
                  </w:r>
                </w:p>
              </w:tc>
            </w:tr>
            <w:tr w14:paraId="016548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B9E13EB">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00876C">
                  <w:r>
                    <w:rPr>
                      <w:rStyle w:val="11"/>
                      <w:rFonts w:hint="eastAsia"/>
                    </w:rPr>
                    <w:t>锈病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507FB9">
                  <w:r>
                    <w:rPr>
                      <w:rStyle w:val="11"/>
                      <w:rFonts w:hint="eastAsia"/>
                    </w:rPr>
                    <w:t>53-66毫升/亩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06BE92">
                  <w:r>
                    <w:rPr>
                      <w:rStyle w:val="11"/>
                      <w:rFonts w:hint="eastAsia"/>
                    </w:rPr>
                    <w:t>超低容量喷雾</w:t>
                  </w:r>
                </w:p>
              </w:tc>
            </w:tr>
          </w:tbl>
          <w:p w14:paraId="58828916">
            <w:pPr>
              <w:rPr>
                <w:rFonts w:ascii="Times New Roman" w:hAnsi="Times New Roman" w:cs="Times New Roman"/>
                <w:sz w:val="20"/>
                <w:szCs w:val="20"/>
              </w:rPr>
            </w:pPr>
          </w:p>
        </w:tc>
      </w:tr>
      <w:tr w14:paraId="27C687A4">
        <w:tblPrEx>
          <w:tblCellMar>
            <w:top w:w="0" w:type="dxa"/>
            <w:left w:w="0" w:type="dxa"/>
            <w:bottom w:w="0" w:type="dxa"/>
            <w:right w:w="0" w:type="dxa"/>
          </w:tblCellMar>
        </w:tblPrEx>
        <w:trPr>
          <w:wBefore w:w="0" w:type="auto"/>
          <w:tblCellSpacing w:w="0" w:type="dxa"/>
        </w:trPr>
        <w:tc>
          <w:tcPr>
            <w:tcW w:w="0" w:type="auto"/>
            <w:noWrap w:val="0"/>
            <w:vAlign w:val="center"/>
          </w:tcPr>
          <w:p w14:paraId="71BA1970">
            <w:r>
              <w:rPr>
                <w:rStyle w:val="10"/>
                <w:rFonts w:hint="eastAsia"/>
              </w:rPr>
              <w:t>使用技术要求:</w:t>
            </w:r>
            <w:r>
              <w:rPr>
                <w:rFonts w:hint="eastAsia"/>
              </w:rPr>
              <w:br w:type="textWrapping"/>
            </w:r>
            <w:r>
              <w:rPr>
                <w:rStyle w:val="11"/>
                <w:rFonts w:hint="eastAsia"/>
              </w:rPr>
              <w:t>1. 防治小麦赤霉病，于小麦扬花初期超低容量喷雾施药，连续施药2次，间隔7-10天。防治小麦白粉病、锈病，于病害发生初期超低容量喷雾施药，连续施药2次，间隔7-10天。2. 小麦上的安全间隔期35天，每季作物生长期最多施药2次。3. 大风天或预计2小时有降雨，请勿施药。</w:t>
            </w:r>
          </w:p>
        </w:tc>
      </w:tr>
      <w:tr w14:paraId="49E8AC1D">
        <w:tblPrEx>
          <w:tblCellMar>
            <w:top w:w="0" w:type="dxa"/>
            <w:left w:w="0" w:type="dxa"/>
            <w:bottom w:w="0" w:type="dxa"/>
            <w:right w:w="0" w:type="dxa"/>
          </w:tblCellMar>
        </w:tblPrEx>
        <w:trPr>
          <w:wBefore w:w="0" w:type="auto"/>
          <w:tblCellSpacing w:w="0" w:type="dxa"/>
        </w:trPr>
        <w:tc>
          <w:tcPr>
            <w:tcW w:w="0" w:type="auto"/>
            <w:noWrap w:val="0"/>
            <w:vAlign w:val="center"/>
          </w:tcPr>
          <w:p w14:paraId="4A26F3DC">
            <w:r>
              <w:rPr>
                <w:rStyle w:val="10"/>
                <w:rFonts w:hint="eastAsia"/>
              </w:rPr>
              <w:t>产品性能:</w:t>
            </w:r>
            <w:r>
              <w:rPr>
                <w:rFonts w:hint="eastAsia"/>
              </w:rPr>
              <w:br w:type="textWrapping"/>
            </w:r>
            <w:r>
              <w:rPr>
                <w:rStyle w:val="11"/>
                <w:rFonts w:hint="eastAsia"/>
              </w:rPr>
              <w:t>本品中戊唑醇对植物病原菌的孢子形成有强烈的抑制作用，吡唑醚菌酯为新型广谱杀菌剂，具有保护、治疗、叶片渗透传导作用。两者复配对小麦白粉病、锈病、赤霉病具有较好的治疗和保护效果。</w:t>
            </w:r>
          </w:p>
        </w:tc>
      </w:tr>
      <w:tr w14:paraId="38EE6087">
        <w:tblPrEx>
          <w:tblCellMar>
            <w:top w:w="0" w:type="dxa"/>
            <w:left w:w="0" w:type="dxa"/>
            <w:bottom w:w="0" w:type="dxa"/>
            <w:right w:w="0" w:type="dxa"/>
          </w:tblCellMar>
        </w:tblPrEx>
        <w:trPr>
          <w:wBefore w:w="0" w:type="auto"/>
          <w:tblCellSpacing w:w="0" w:type="dxa"/>
        </w:trPr>
        <w:tc>
          <w:tcPr>
            <w:tcW w:w="0" w:type="auto"/>
            <w:noWrap w:val="0"/>
            <w:vAlign w:val="center"/>
          </w:tcPr>
          <w:p w14:paraId="0452E62C">
            <w:r>
              <w:rPr>
                <w:rStyle w:val="10"/>
                <w:rFonts w:hint="eastAsia"/>
              </w:rPr>
              <w:t>注意事项：</w:t>
            </w:r>
            <w:r>
              <w:rPr>
                <w:rFonts w:hint="eastAsia"/>
              </w:rPr>
              <w:br w:type="textWrapping"/>
            </w:r>
            <w:r>
              <w:rPr>
                <w:rStyle w:val="11"/>
                <w:rFonts w:hint="eastAsia"/>
              </w:rPr>
              <w:t>1 .施药时，应穿戴防护服、手套和口罩等；施药期间不可吃东西、抽烟和饮水等；施药后，立即用肥皂洗手和洗脸等。 2. 远离水产养殖区、河塘等水体施药，禁止在河塘等水体中清洗施药器具，清洗器具的废水不能排入河流、池塘等水源。 3. 本品对鸟类、鱼、虾、蜜蜂、家蚕有毒，施药时应远离池塘、水源，蚕室及桑园附近禁用。 4. 未用完的制剂应放在原包装内密封保存，切勿将本品置于饮、食容器内，用过的容器应妥善处理，不可做他用，也不可随意丢弃。 5. 避免孕妇及哺乳期的妇女接触此药。</w:t>
            </w:r>
          </w:p>
        </w:tc>
      </w:tr>
      <w:tr w14:paraId="02510EF3">
        <w:tblPrEx>
          <w:tblCellMar>
            <w:top w:w="0" w:type="dxa"/>
            <w:left w:w="0" w:type="dxa"/>
            <w:bottom w:w="0" w:type="dxa"/>
            <w:right w:w="0" w:type="dxa"/>
          </w:tblCellMar>
        </w:tblPrEx>
        <w:trPr>
          <w:wBefore w:w="0" w:type="auto"/>
          <w:tblCellSpacing w:w="0" w:type="dxa"/>
        </w:trPr>
        <w:tc>
          <w:tcPr>
            <w:tcW w:w="0" w:type="auto"/>
            <w:noWrap w:val="0"/>
            <w:vAlign w:val="center"/>
          </w:tcPr>
          <w:p w14:paraId="55799D9A">
            <w:r>
              <w:rPr>
                <w:rStyle w:val="10"/>
                <w:rFonts w:hint="eastAsia"/>
              </w:rPr>
              <w:t>中毒急救措施：</w:t>
            </w:r>
            <w:r>
              <w:rPr>
                <w:rFonts w:hint="eastAsia"/>
              </w:rPr>
              <w:br w:type="textWrapping"/>
            </w:r>
            <w:r>
              <w:rPr>
                <w:rStyle w:val="11"/>
                <w:rFonts w:hint="eastAsia"/>
              </w:rPr>
              <w:t>用药时如感觉不适，立即停止工作，采取急救措施，并携此标签送医就诊；如溅入眼睛，立即用大量流动清水冲洗至少15分钟，再请医生诊治；如药液沾染皮肤，立即用肥皂水彻底清洗；如误吸，立即转移到通风处；如误服，立即停止，用大量清水充分漱口后，立即携此标签将病人送医院对症治疗。本品无特效解毒剂。可采取洗胃、活性炭吸附及稀释等办法救治，注意防止胃容物进入呼吸道。注意：切勿对昏迷病人经口喂入任何东西或引吐。</w:t>
            </w:r>
          </w:p>
        </w:tc>
      </w:tr>
      <w:tr w14:paraId="4B2BBDE7">
        <w:tblPrEx>
          <w:tblCellMar>
            <w:top w:w="0" w:type="dxa"/>
            <w:left w:w="0" w:type="dxa"/>
            <w:bottom w:w="0" w:type="dxa"/>
            <w:right w:w="0" w:type="dxa"/>
          </w:tblCellMar>
        </w:tblPrEx>
        <w:trPr>
          <w:wBefore w:w="0" w:type="auto"/>
          <w:tblCellSpacing w:w="0" w:type="dxa"/>
        </w:trPr>
        <w:tc>
          <w:tcPr>
            <w:tcW w:w="0" w:type="auto"/>
            <w:noWrap w:val="0"/>
            <w:vAlign w:val="center"/>
          </w:tcPr>
          <w:p w14:paraId="5CD19D87">
            <w:r>
              <w:rPr>
                <w:rStyle w:val="10"/>
                <w:rFonts w:hint="eastAsia"/>
              </w:rPr>
              <w:t>储存和运输方法：</w:t>
            </w:r>
            <w:r>
              <w:rPr>
                <w:rFonts w:hint="eastAsia"/>
              </w:rPr>
              <w:br w:type="textWrapping"/>
            </w:r>
            <w:r>
              <w:rPr>
                <w:rStyle w:val="11"/>
                <w:rFonts w:hint="eastAsia"/>
              </w:rPr>
              <w:t>本品应贮在于干燥、阴凉、通风、防雨处。远离火源或热源。置于儿童、无关人员触及不到之处，并加锁。勿与食品、饮料、饲料、粮食等同贮同运。</w:t>
            </w:r>
          </w:p>
        </w:tc>
      </w:tr>
      <w:tr w14:paraId="0B85B75D">
        <w:tblPrEx>
          <w:tblCellMar>
            <w:top w:w="0" w:type="dxa"/>
            <w:left w:w="0" w:type="dxa"/>
            <w:bottom w:w="0" w:type="dxa"/>
            <w:right w:w="0" w:type="dxa"/>
          </w:tblCellMar>
        </w:tblPrEx>
        <w:trPr>
          <w:wBefore w:w="0" w:type="auto"/>
          <w:tblCellSpacing w:w="0" w:type="dxa"/>
        </w:trPr>
        <w:tc>
          <w:tcPr>
            <w:tcW w:w="0" w:type="auto"/>
            <w:noWrap w:val="0"/>
            <w:vAlign w:val="center"/>
          </w:tcPr>
          <w:p w14:paraId="4CC9AAC6">
            <w:r>
              <w:rPr>
                <w:rStyle w:val="10"/>
                <w:rFonts w:hint="eastAsia"/>
              </w:rPr>
              <w:t>质量保证期：</w:t>
            </w:r>
            <w:r>
              <w:rPr>
                <w:rStyle w:val="11"/>
                <w:rFonts w:hint="eastAsia"/>
              </w:rPr>
              <w:t>2年</w:t>
            </w:r>
          </w:p>
        </w:tc>
      </w:tr>
      <w:tr w14:paraId="66DCE407">
        <w:tblPrEx>
          <w:tblCellMar>
            <w:top w:w="0" w:type="dxa"/>
            <w:left w:w="0" w:type="dxa"/>
            <w:bottom w:w="0" w:type="dxa"/>
            <w:right w:w="0" w:type="dxa"/>
          </w:tblCellMar>
        </w:tblPrEx>
        <w:trPr>
          <w:wBefore w:w="0" w:type="auto"/>
          <w:tblCellSpacing w:w="0" w:type="dxa"/>
        </w:trPr>
        <w:tc>
          <w:tcPr>
            <w:tcW w:w="0" w:type="auto"/>
            <w:noWrap w:val="0"/>
            <w:vAlign w:val="center"/>
          </w:tcPr>
          <w:p w14:paraId="66F5EF71">
            <w:r>
              <w:rPr>
                <w:rStyle w:val="10"/>
                <w:rFonts w:hint="eastAsia"/>
              </w:rPr>
              <w:t>备注：</w:t>
            </w:r>
          </w:p>
        </w:tc>
      </w:tr>
    </w:tbl>
    <w:p w14:paraId="2D24E6B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BFF022D">
        <w:tblPrEx>
          <w:tblCellMar>
            <w:top w:w="0" w:type="dxa"/>
            <w:left w:w="0" w:type="dxa"/>
            <w:bottom w:w="0" w:type="dxa"/>
            <w:right w:w="0" w:type="dxa"/>
          </w:tblCellMar>
        </w:tblPrEx>
        <w:trPr>
          <w:wBefore w:w="0" w:type="auto"/>
          <w:tblCellSpacing w:w="0" w:type="dxa"/>
        </w:trPr>
        <w:tc>
          <w:tcPr>
            <w:tcW w:w="0" w:type="auto"/>
            <w:noWrap w:val="0"/>
            <w:vAlign w:val="center"/>
          </w:tcPr>
          <w:p w14:paraId="33286CF8">
            <w:r>
              <w:rPr>
                <w:rStyle w:val="10"/>
                <w:rFonts w:hint="eastAsia"/>
              </w:rPr>
              <w:t>登记证号：</w:t>
            </w:r>
            <w:r>
              <w:rPr>
                <w:rFonts w:hint="eastAsia"/>
              </w:rPr>
              <w:t>PD20211878</w:t>
            </w:r>
          </w:p>
        </w:tc>
      </w:tr>
      <w:tr w14:paraId="5262EBEB">
        <w:tblPrEx>
          <w:tblCellMar>
            <w:top w:w="0" w:type="dxa"/>
            <w:left w:w="0" w:type="dxa"/>
            <w:bottom w:w="0" w:type="dxa"/>
            <w:right w:w="0" w:type="dxa"/>
          </w:tblCellMar>
        </w:tblPrEx>
        <w:trPr>
          <w:wBefore w:w="0" w:type="auto"/>
          <w:tblCellSpacing w:w="0" w:type="dxa"/>
        </w:trPr>
        <w:tc>
          <w:tcPr>
            <w:tcW w:w="0" w:type="auto"/>
            <w:noWrap w:val="0"/>
            <w:vAlign w:val="center"/>
          </w:tcPr>
          <w:p w14:paraId="4A612C8B">
            <w:r>
              <w:rPr>
                <w:rStyle w:val="10"/>
                <w:rFonts w:hint="eastAsia"/>
              </w:rPr>
              <w:t>登记证持有人：</w:t>
            </w:r>
            <w:r>
              <w:rPr>
                <w:rFonts w:hint="eastAsia"/>
              </w:rPr>
              <w:t>山东东远生物科技有限公司</w:t>
            </w:r>
          </w:p>
        </w:tc>
      </w:tr>
      <w:tr w14:paraId="1BF211C5">
        <w:tblPrEx>
          <w:tblCellMar>
            <w:top w:w="0" w:type="dxa"/>
            <w:left w:w="0" w:type="dxa"/>
            <w:bottom w:w="0" w:type="dxa"/>
            <w:right w:w="0" w:type="dxa"/>
          </w:tblCellMar>
        </w:tblPrEx>
        <w:trPr>
          <w:wBefore w:w="0" w:type="auto"/>
          <w:tblCellSpacing w:w="0" w:type="dxa"/>
        </w:trPr>
        <w:tc>
          <w:tcPr>
            <w:tcW w:w="0" w:type="auto"/>
            <w:noWrap w:val="0"/>
            <w:vAlign w:val="center"/>
          </w:tcPr>
          <w:p w14:paraId="271CB9A2">
            <w:r>
              <w:rPr>
                <w:rStyle w:val="10"/>
                <w:rFonts w:hint="eastAsia"/>
              </w:rPr>
              <w:t>农药名称：</w:t>
            </w:r>
            <w:r>
              <w:rPr>
                <w:rFonts w:hint="eastAsia"/>
              </w:rPr>
              <w:t>甲维·丁醚脲</w:t>
            </w:r>
          </w:p>
        </w:tc>
      </w:tr>
      <w:tr w14:paraId="6119EEB4">
        <w:tblPrEx>
          <w:tblCellMar>
            <w:top w:w="0" w:type="dxa"/>
            <w:left w:w="0" w:type="dxa"/>
            <w:bottom w:w="0" w:type="dxa"/>
            <w:right w:w="0" w:type="dxa"/>
          </w:tblCellMar>
        </w:tblPrEx>
        <w:trPr>
          <w:wBefore w:w="0" w:type="auto"/>
          <w:tblCellSpacing w:w="0" w:type="dxa"/>
        </w:trPr>
        <w:tc>
          <w:tcPr>
            <w:tcW w:w="0" w:type="auto"/>
            <w:noWrap w:val="0"/>
            <w:vAlign w:val="center"/>
          </w:tcPr>
          <w:p w14:paraId="38712DB3">
            <w:r>
              <w:rPr>
                <w:rStyle w:val="10"/>
                <w:rFonts w:hint="eastAsia"/>
              </w:rPr>
              <w:t>剂型：</w:t>
            </w:r>
            <w:r>
              <w:rPr>
                <w:rFonts w:hint="eastAsia"/>
              </w:rPr>
              <w:t>悬浮剂</w:t>
            </w:r>
          </w:p>
        </w:tc>
      </w:tr>
      <w:tr w14:paraId="4DD04BD7">
        <w:tblPrEx>
          <w:tblCellMar>
            <w:top w:w="0" w:type="dxa"/>
            <w:left w:w="0" w:type="dxa"/>
            <w:bottom w:w="0" w:type="dxa"/>
            <w:right w:w="0" w:type="dxa"/>
          </w:tblCellMar>
        </w:tblPrEx>
        <w:trPr>
          <w:wBefore w:w="0" w:type="auto"/>
          <w:tblCellSpacing w:w="0" w:type="dxa"/>
        </w:trPr>
        <w:tc>
          <w:tcPr>
            <w:tcW w:w="0" w:type="auto"/>
            <w:noWrap w:val="0"/>
            <w:vAlign w:val="center"/>
          </w:tcPr>
          <w:p w14:paraId="156D008F">
            <w:r>
              <w:rPr>
                <w:rStyle w:val="10"/>
                <w:rFonts w:hint="eastAsia"/>
              </w:rPr>
              <w:t>毒性及其标识：</w:t>
            </w:r>
            <w:r>
              <w:rPr>
                <w:rFonts w:hint="eastAsia"/>
              </w:rPr>
              <w:t xml:space="preserve"> </w:t>
            </w:r>
            <w:r>
              <w:rPr>
                <w:lang/>
              </w:rPr>
              <w:drawing>
                <wp:inline distT="0" distB="0" distL="114300" distR="114300">
                  <wp:extent cx="476250" cy="323850"/>
                  <wp:effectExtent l="0" t="0" r="0" b="0"/>
                  <wp:docPr id="255" name="图片 25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3B3962E">
        <w:tblPrEx>
          <w:tblCellMar>
            <w:top w:w="0" w:type="dxa"/>
            <w:left w:w="0" w:type="dxa"/>
            <w:bottom w:w="0" w:type="dxa"/>
            <w:right w:w="0" w:type="dxa"/>
          </w:tblCellMar>
        </w:tblPrEx>
        <w:trPr>
          <w:wBefore w:w="0" w:type="auto"/>
          <w:tblCellSpacing w:w="0" w:type="dxa"/>
        </w:trPr>
        <w:tc>
          <w:tcPr>
            <w:tcW w:w="0" w:type="auto"/>
            <w:noWrap w:val="0"/>
            <w:vAlign w:val="center"/>
          </w:tcPr>
          <w:p w14:paraId="26A55071">
            <w:r>
              <w:rPr>
                <w:rStyle w:val="10"/>
                <w:rFonts w:hint="eastAsia"/>
              </w:rPr>
              <w:t>总有效成分含量：</w:t>
            </w:r>
            <w:r>
              <w:rPr>
                <w:rFonts w:hint="eastAsia"/>
              </w:rPr>
              <w:t>21.3%</w:t>
            </w:r>
          </w:p>
        </w:tc>
      </w:tr>
      <w:tr w14:paraId="5AAC3C9C">
        <w:tblPrEx>
          <w:tblCellMar>
            <w:top w:w="0" w:type="dxa"/>
            <w:left w:w="0" w:type="dxa"/>
            <w:bottom w:w="0" w:type="dxa"/>
            <w:right w:w="0" w:type="dxa"/>
          </w:tblCellMar>
        </w:tblPrEx>
        <w:trPr>
          <w:wBefore w:w="0" w:type="auto"/>
          <w:tblCellSpacing w:w="0" w:type="dxa"/>
        </w:trPr>
        <w:tc>
          <w:tcPr>
            <w:tcW w:w="0" w:type="auto"/>
            <w:noWrap w:val="0"/>
            <w:vAlign w:val="center"/>
          </w:tcPr>
          <w:p w14:paraId="1B5FB9C7">
            <w:r>
              <w:rPr>
                <w:rFonts w:hint="eastAsia"/>
              </w:rPr>
              <w:t xml:space="preserve">有效成分及其含量： </w:t>
            </w:r>
          </w:p>
          <w:p w14:paraId="1B432D26">
            <w:r>
              <w:rPr>
                <w:rFonts w:hint="eastAsia"/>
              </w:rPr>
              <w:t xml:space="preserve">    甲氨基阿维菌素1.3%    丁醚脲20%    </w:t>
            </w:r>
          </w:p>
        </w:tc>
      </w:tr>
      <w:tr w14:paraId="2C27EF0E">
        <w:tblPrEx>
          <w:tblCellMar>
            <w:top w:w="0" w:type="dxa"/>
            <w:left w:w="0" w:type="dxa"/>
            <w:bottom w:w="0" w:type="dxa"/>
            <w:right w:w="0" w:type="dxa"/>
          </w:tblCellMar>
        </w:tblPrEx>
        <w:trPr>
          <w:wBefore w:w="0" w:type="auto"/>
          <w:tblCellSpacing w:w="0" w:type="dxa"/>
        </w:trPr>
        <w:tc>
          <w:tcPr>
            <w:tcW w:w="0" w:type="auto"/>
            <w:noWrap w:val="0"/>
            <w:vAlign w:val="center"/>
          </w:tcPr>
          <w:p w14:paraId="64DCE5D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2F5F2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5CF8AB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44682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98873C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1821CFA">
                  <w:r>
                    <w:rPr>
                      <w:rStyle w:val="11"/>
                      <w:rFonts w:hint="eastAsia"/>
                    </w:rPr>
                    <w:t>施用方式</w:t>
                  </w:r>
                </w:p>
              </w:tc>
            </w:tr>
            <w:tr w14:paraId="45B38D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D343904">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7BC044">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3A4162">
                  <w:r>
                    <w:rPr>
                      <w:rStyle w:val="11"/>
                      <w:rFonts w:hint="eastAsia"/>
                    </w:rPr>
                    <w:t>40-60毫升/亩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E48EB5">
                  <w:r>
                    <w:rPr>
                      <w:rStyle w:val="11"/>
                      <w:rFonts w:hint="eastAsia"/>
                    </w:rPr>
                    <w:t>喷雾</w:t>
                  </w:r>
                </w:p>
              </w:tc>
            </w:tr>
          </w:tbl>
          <w:p w14:paraId="3421001F">
            <w:pPr>
              <w:rPr>
                <w:rFonts w:ascii="Times New Roman" w:hAnsi="Times New Roman" w:cs="Times New Roman"/>
                <w:sz w:val="20"/>
                <w:szCs w:val="20"/>
              </w:rPr>
            </w:pPr>
          </w:p>
        </w:tc>
      </w:tr>
      <w:tr w14:paraId="1159B701">
        <w:tblPrEx>
          <w:tblCellMar>
            <w:top w:w="0" w:type="dxa"/>
            <w:left w:w="0" w:type="dxa"/>
            <w:bottom w:w="0" w:type="dxa"/>
            <w:right w:w="0" w:type="dxa"/>
          </w:tblCellMar>
        </w:tblPrEx>
        <w:trPr>
          <w:wBefore w:w="0" w:type="auto"/>
          <w:tblCellSpacing w:w="0" w:type="dxa"/>
        </w:trPr>
        <w:tc>
          <w:tcPr>
            <w:tcW w:w="0" w:type="auto"/>
            <w:noWrap w:val="0"/>
            <w:vAlign w:val="center"/>
          </w:tcPr>
          <w:p w14:paraId="63C04B59">
            <w:r>
              <w:rPr>
                <w:rStyle w:val="10"/>
                <w:rFonts w:hint="eastAsia"/>
              </w:rPr>
              <w:t>使用技术要求:</w:t>
            </w:r>
            <w:r>
              <w:rPr>
                <w:rFonts w:hint="eastAsia"/>
              </w:rPr>
              <w:br w:type="textWrapping"/>
            </w:r>
            <w:r>
              <w:rPr>
                <w:rStyle w:val="11"/>
                <w:rFonts w:hint="eastAsia"/>
              </w:rPr>
              <w:t>1.于小菜蛾低龄幼虫期喷雾施药1次，以有效成分用量129~193.5克/公顷均匀喷雾处理。2. 本品在甘蓝上的安全间隔期7天，可间隔7-10天施1次药，大风天或预计1小时内有雨，请勿施药。3. 每季最多使用1次。</w:t>
            </w:r>
          </w:p>
        </w:tc>
      </w:tr>
      <w:tr w14:paraId="163A1100">
        <w:tblPrEx>
          <w:tblCellMar>
            <w:top w:w="0" w:type="dxa"/>
            <w:left w:w="0" w:type="dxa"/>
            <w:bottom w:w="0" w:type="dxa"/>
            <w:right w:w="0" w:type="dxa"/>
          </w:tblCellMar>
        </w:tblPrEx>
        <w:trPr>
          <w:wBefore w:w="0" w:type="auto"/>
          <w:tblCellSpacing w:w="0" w:type="dxa"/>
        </w:trPr>
        <w:tc>
          <w:tcPr>
            <w:tcW w:w="0" w:type="auto"/>
            <w:noWrap w:val="0"/>
            <w:vAlign w:val="center"/>
          </w:tcPr>
          <w:p w14:paraId="73BE2614">
            <w:r>
              <w:rPr>
                <w:rStyle w:val="10"/>
                <w:rFonts w:hint="eastAsia"/>
              </w:rPr>
              <w:t>产品性能:</w:t>
            </w:r>
            <w:r>
              <w:rPr>
                <w:rFonts w:hint="eastAsia"/>
              </w:rPr>
              <w:br w:type="textWrapping"/>
            </w:r>
            <w:r>
              <w:rPr>
                <w:rStyle w:val="11"/>
                <w:rFonts w:hint="eastAsia"/>
              </w:rPr>
              <w:t>本品是由丁醚脲和甲氨基阿维菌素苯甲酸盐复配制剂。甲氨基阿维菌素苯甲酸盐是由阿一种大环内酯化合物，主要为胃毒作用，兼有一定的触杀作用。丁醚脲是一种硫脲类低毒杀虫剂，兼有内吸和熏蒸双重作用。两种有效成分复配，对防治甘蓝小菜蛾有较好的防效。</w:t>
            </w:r>
          </w:p>
        </w:tc>
      </w:tr>
      <w:tr w14:paraId="67436AE0">
        <w:tblPrEx>
          <w:tblCellMar>
            <w:top w:w="0" w:type="dxa"/>
            <w:left w:w="0" w:type="dxa"/>
            <w:bottom w:w="0" w:type="dxa"/>
            <w:right w:w="0" w:type="dxa"/>
          </w:tblCellMar>
        </w:tblPrEx>
        <w:trPr>
          <w:wBefore w:w="0" w:type="auto"/>
          <w:tblCellSpacing w:w="0" w:type="dxa"/>
        </w:trPr>
        <w:tc>
          <w:tcPr>
            <w:tcW w:w="0" w:type="auto"/>
            <w:noWrap w:val="0"/>
            <w:vAlign w:val="center"/>
          </w:tcPr>
          <w:p w14:paraId="33F89AB5">
            <w:r>
              <w:rPr>
                <w:rStyle w:val="10"/>
                <w:rFonts w:hint="eastAsia"/>
              </w:rPr>
              <w:t>注意事项：</w:t>
            </w:r>
            <w:r>
              <w:rPr>
                <w:rFonts w:hint="eastAsia"/>
              </w:rPr>
              <w:br w:type="textWrapping"/>
            </w:r>
            <w:r>
              <w:rPr>
                <w:rStyle w:val="11"/>
                <w:rFonts w:hint="eastAsia"/>
              </w:rPr>
              <w:t>1. 严格按农药安全使用规则正确使用，未用完的液体就保存在原包装内，盖紧瓶盖，并远离儿童、饮料和食物。2. 喷雾器使用后彻底清洗干净，清洗废液妥善处理，剩余药剂及废弃包装不得随意丢弃，更不可留做他用。3.本品对家蚕、蜜蜂、水生生物有毒，蚕室及桑园附近禁用，（周围）开花植物花期禁用，施药期间应密切关注对附近蜂群的影响，应远离水产养殖区喷药、池塘及水体施药，禁止在河塘清洗施药器具，清洗器具的废水不能排入河流、池塘等水源。4. 避免与非靶标生物接触，做好安全工作，禁止在捕食性天敌和寄生性天敌放飞区域施用本产品。5. 用过的废弃物应妥善保存，不可做他用，也不可随意丢弃。6.孕妇及哺乳期妇女避免接触。7.避免与氧化剂接触。8.对眼睛、皮肤有刺激性，使用时避免接触眼睛、皮肤，穿戴长衣、长裤、帽子、口罩、手套等防护措施。</w:t>
            </w:r>
          </w:p>
        </w:tc>
      </w:tr>
      <w:tr w14:paraId="63A56EA9">
        <w:tblPrEx>
          <w:tblCellMar>
            <w:top w:w="0" w:type="dxa"/>
            <w:left w:w="0" w:type="dxa"/>
            <w:bottom w:w="0" w:type="dxa"/>
            <w:right w:w="0" w:type="dxa"/>
          </w:tblCellMar>
        </w:tblPrEx>
        <w:trPr>
          <w:wBefore w:w="0" w:type="auto"/>
          <w:tblCellSpacing w:w="0" w:type="dxa"/>
        </w:trPr>
        <w:tc>
          <w:tcPr>
            <w:tcW w:w="0" w:type="auto"/>
            <w:noWrap w:val="0"/>
            <w:vAlign w:val="center"/>
          </w:tcPr>
          <w:p w14:paraId="1430C3F0">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 皮肤接触：立即脱去被污染的衣物，用大量清水冲洗皮肤暴露部位。眼睛溅入：立即翻开眼睑，用清水冲洗至少15分钟，再请医生诊治。不慎吸入：立即将吸入者转移到空气清新处，请医生诊治。误服：立即停止服用，可能引起不同程度的肠炎，立即携带农药标签到医院就诊。</w:t>
            </w:r>
          </w:p>
        </w:tc>
      </w:tr>
      <w:tr w14:paraId="57860336">
        <w:tblPrEx>
          <w:tblCellMar>
            <w:top w:w="0" w:type="dxa"/>
            <w:left w:w="0" w:type="dxa"/>
            <w:bottom w:w="0" w:type="dxa"/>
            <w:right w:w="0" w:type="dxa"/>
          </w:tblCellMar>
        </w:tblPrEx>
        <w:trPr>
          <w:wBefore w:w="0" w:type="auto"/>
          <w:tblCellSpacing w:w="0" w:type="dxa"/>
        </w:trPr>
        <w:tc>
          <w:tcPr>
            <w:tcW w:w="0" w:type="auto"/>
            <w:noWrap w:val="0"/>
            <w:vAlign w:val="center"/>
          </w:tcPr>
          <w:p w14:paraId="4698F80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饲料、粮食等其他商品同贮同运。运输时，注意包装不能倾倒、压破、防高温雨淋。</w:t>
            </w:r>
          </w:p>
        </w:tc>
      </w:tr>
      <w:tr w14:paraId="740742BF">
        <w:tblPrEx>
          <w:tblCellMar>
            <w:top w:w="0" w:type="dxa"/>
            <w:left w:w="0" w:type="dxa"/>
            <w:bottom w:w="0" w:type="dxa"/>
            <w:right w:w="0" w:type="dxa"/>
          </w:tblCellMar>
        </w:tblPrEx>
        <w:trPr>
          <w:wBefore w:w="0" w:type="auto"/>
          <w:tblCellSpacing w:w="0" w:type="dxa"/>
        </w:trPr>
        <w:tc>
          <w:tcPr>
            <w:tcW w:w="0" w:type="auto"/>
            <w:noWrap w:val="0"/>
            <w:vAlign w:val="center"/>
          </w:tcPr>
          <w:p w14:paraId="34454343">
            <w:r>
              <w:rPr>
                <w:rStyle w:val="10"/>
                <w:rFonts w:hint="eastAsia"/>
              </w:rPr>
              <w:t>质量保证期：</w:t>
            </w:r>
            <w:r>
              <w:rPr>
                <w:rStyle w:val="11"/>
                <w:rFonts w:hint="eastAsia"/>
              </w:rPr>
              <w:t>2年</w:t>
            </w:r>
          </w:p>
        </w:tc>
      </w:tr>
      <w:tr w14:paraId="57F8E574">
        <w:tblPrEx>
          <w:tblCellMar>
            <w:top w:w="0" w:type="dxa"/>
            <w:left w:w="0" w:type="dxa"/>
            <w:bottom w:w="0" w:type="dxa"/>
            <w:right w:w="0" w:type="dxa"/>
          </w:tblCellMar>
        </w:tblPrEx>
        <w:trPr>
          <w:wBefore w:w="0" w:type="auto"/>
          <w:tblCellSpacing w:w="0" w:type="dxa"/>
        </w:trPr>
        <w:tc>
          <w:tcPr>
            <w:tcW w:w="0" w:type="auto"/>
            <w:noWrap w:val="0"/>
            <w:vAlign w:val="center"/>
          </w:tcPr>
          <w:p w14:paraId="48E5BDF7">
            <w:r>
              <w:rPr>
                <w:rStyle w:val="10"/>
                <w:rFonts w:hint="eastAsia"/>
              </w:rPr>
              <w:t>备注：</w:t>
            </w:r>
            <w:r>
              <w:rPr>
                <w:rFonts w:hint="eastAsia"/>
              </w:rPr>
              <w:br w:type="textWrapping"/>
            </w:r>
            <w:r>
              <w:rPr>
                <w:rStyle w:val="11"/>
                <w:rFonts w:hint="eastAsia"/>
              </w:rPr>
              <w:t>甲氨基阿维菌素苯甲酸盐1.5%。</w:t>
            </w:r>
          </w:p>
        </w:tc>
      </w:tr>
    </w:tbl>
    <w:p w14:paraId="1BCAB86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FB2442B">
        <w:tblPrEx>
          <w:tblCellMar>
            <w:top w:w="0" w:type="dxa"/>
            <w:left w:w="0" w:type="dxa"/>
            <w:bottom w:w="0" w:type="dxa"/>
            <w:right w:w="0" w:type="dxa"/>
          </w:tblCellMar>
        </w:tblPrEx>
        <w:trPr>
          <w:wBefore w:w="0" w:type="auto"/>
          <w:tblCellSpacing w:w="0" w:type="dxa"/>
        </w:trPr>
        <w:tc>
          <w:tcPr>
            <w:tcW w:w="0" w:type="auto"/>
            <w:noWrap w:val="0"/>
            <w:vAlign w:val="center"/>
          </w:tcPr>
          <w:p w14:paraId="00E3032F">
            <w:r>
              <w:rPr>
                <w:rStyle w:val="10"/>
                <w:rFonts w:hint="eastAsia"/>
              </w:rPr>
              <w:t>登记证号：</w:t>
            </w:r>
            <w:r>
              <w:rPr>
                <w:rFonts w:hint="eastAsia"/>
              </w:rPr>
              <w:t>PD20212301</w:t>
            </w:r>
          </w:p>
        </w:tc>
      </w:tr>
      <w:tr w14:paraId="187189B6">
        <w:tblPrEx>
          <w:tblCellMar>
            <w:top w:w="0" w:type="dxa"/>
            <w:left w:w="0" w:type="dxa"/>
            <w:bottom w:w="0" w:type="dxa"/>
            <w:right w:w="0" w:type="dxa"/>
          </w:tblCellMar>
        </w:tblPrEx>
        <w:trPr>
          <w:wBefore w:w="0" w:type="auto"/>
          <w:tblCellSpacing w:w="0" w:type="dxa"/>
        </w:trPr>
        <w:tc>
          <w:tcPr>
            <w:tcW w:w="0" w:type="auto"/>
            <w:noWrap w:val="0"/>
            <w:vAlign w:val="center"/>
          </w:tcPr>
          <w:p w14:paraId="6DFD0C41">
            <w:r>
              <w:rPr>
                <w:rStyle w:val="10"/>
                <w:rFonts w:hint="eastAsia"/>
              </w:rPr>
              <w:t>登记证持有人：</w:t>
            </w:r>
            <w:r>
              <w:rPr>
                <w:rFonts w:hint="eastAsia"/>
              </w:rPr>
              <w:t>湖南新长山农业发展股份有限公司</w:t>
            </w:r>
          </w:p>
        </w:tc>
      </w:tr>
      <w:tr w14:paraId="483D35C1">
        <w:tblPrEx>
          <w:tblCellMar>
            <w:top w:w="0" w:type="dxa"/>
            <w:left w:w="0" w:type="dxa"/>
            <w:bottom w:w="0" w:type="dxa"/>
            <w:right w:w="0" w:type="dxa"/>
          </w:tblCellMar>
        </w:tblPrEx>
        <w:trPr>
          <w:wBefore w:w="0" w:type="auto"/>
          <w:tblCellSpacing w:w="0" w:type="dxa"/>
        </w:trPr>
        <w:tc>
          <w:tcPr>
            <w:tcW w:w="0" w:type="auto"/>
            <w:noWrap w:val="0"/>
            <w:vAlign w:val="center"/>
          </w:tcPr>
          <w:p w14:paraId="1E2D466E">
            <w:r>
              <w:rPr>
                <w:rStyle w:val="10"/>
                <w:rFonts w:hint="eastAsia"/>
              </w:rPr>
              <w:t>农药名称：</w:t>
            </w:r>
            <w:r>
              <w:rPr>
                <w:rFonts w:hint="eastAsia"/>
              </w:rPr>
              <w:t>寡糖·噻唑膦</w:t>
            </w:r>
          </w:p>
        </w:tc>
      </w:tr>
      <w:tr w14:paraId="495E6492">
        <w:tblPrEx>
          <w:tblCellMar>
            <w:top w:w="0" w:type="dxa"/>
            <w:left w:w="0" w:type="dxa"/>
            <w:bottom w:w="0" w:type="dxa"/>
            <w:right w:w="0" w:type="dxa"/>
          </w:tblCellMar>
        </w:tblPrEx>
        <w:trPr>
          <w:wBefore w:w="0" w:type="auto"/>
          <w:tblCellSpacing w:w="0" w:type="dxa"/>
        </w:trPr>
        <w:tc>
          <w:tcPr>
            <w:tcW w:w="0" w:type="auto"/>
            <w:noWrap w:val="0"/>
            <w:vAlign w:val="center"/>
          </w:tcPr>
          <w:p w14:paraId="3C146D41">
            <w:r>
              <w:rPr>
                <w:rStyle w:val="10"/>
                <w:rFonts w:hint="eastAsia"/>
              </w:rPr>
              <w:t>剂型：</w:t>
            </w:r>
            <w:r>
              <w:rPr>
                <w:rFonts w:hint="eastAsia"/>
              </w:rPr>
              <w:t>水乳剂</w:t>
            </w:r>
          </w:p>
        </w:tc>
      </w:tr>
      <w:tr w14:paraId="7DDAE7C0">
        <w:tblPrEx>
          <w:tblCellMar>
            <w:top w:w="0" w:type="dxa"/>
            <w:left w:w="0" w:type="dxa"/>
            <w:bottom w:w="0" w:type="dxa"/>
            <w:right w:w="0" w:type="dxa"/>
          </w:tblCellMar>
        </w:tblPrEx>
        <w:trPr>
          <w:wBefore w:w="0" w:type="auto"/>
          <w:tblCellSpacing w:w="0" w:type="dxa"/>
        </w:trPr>
        <w:tc>
          <w:tcPr>
            <w:tcW w:w="0" w:type="auto"/>
            <w:noWrap w:val="0"/>
            <w:vAlign w:val="center"/>
          </w:tcPr>
          <w:p w14:paraId="47FEC551">
            <w:r>
              <w:rPr>
                <w:rStyle w:val="10"/>
                <w:rFonts w:hint="eastAsia"/>
              </w:rPr>
              <w:t>毒性及其标识：</w:t>
            </w:r>
            <w:r>
              <w:rPr>
                <w:rFonts w:hint="eastAsia"/>
              </w:rPr>
              <w:t xml:space="preserve"> </w:t>
            </w:r>
            <w:r>
              <w:rPr>
                <w:lang/>
              </w:rPr>
              <w:drawing>
                <wp:inline distT="0" distB="0" distL="114300" distR="114300">
                  <wp:extent cx="476250" cy="323850"/>
                  <wp:effectExtent l="0" t="0" r="0" b="0"/>
                  <wp:docPr id="256" name="图片 25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9F607F1">
        <w:tblPrEx>
          <w:tblCellMar>
            <w:top w:w="0" w:type="dxa"/>
            <w:left w:w="0" w:type="dxa"/>
            <w:bottom w:w="0" w:type="dxa"/>
            <w:right w:w="0" w:type="dxa"/>
          </w:tblCellMar>
        </w:tblPrEx>
        <w:trPr>
          <w:wBefore w:w="0" w:type="auto"/>
          <w:tblCellSpacing w:w="0" w:type="dxa"/>
        </w:trPr>
        <w:tc>
          <w:tcPr>
            <w:tcW w:w="0" w:type="auto"/>
            <w:noWrap w:val="0"/>
            <w:vAlign w:val="center"/>
          </w:tcPr>
          <w:p w14:paraId="56879F5F">
            <w:r>
              <w:rPr>
                <w:rStyle w:val="10"/>
                <w:rFonts w:hint="eastAsia"/>
              </w:rPr>
              <w:t>总有效成分含量：</w:t>
            </w:r>
            <w:r>
              <w:rPr>
                <w:rFonts w:hint="eastAsia"/>
              </w:rPr>
              <w:t>6%</w:t>
            </w:r>
          </w:p>
        </w:tc>
      </w:tr>
      <w:tr w14:paraId="15A3CC65">
        <w:tblPrEx>
          <w:tblCellMar>
            <w:top w:w="0" w:type="dxa"/>
            <w:left w:w="0" w:type="dxa"/>
            <w:bottom w:w="0" w:type="dxa"/>
            <w:right w:w="0" w:type="dxa"/>
          </w:tblCellMar>
        </w:tblPrEx>
        <w:trPr>
          <w:wBefore w:w="0" w:type="auto"/>
          <w:tblCellSpacing w:w="0" w:type="dxa"/>
        </w:trPr>
        <w:tc>
          <w:tcPr>
            <w:tcW w:w="0" w:type="auto"/>
            <w:noWrap w:val="0"/>
            <w:vAlign w:val="center"/>
          </w:tcPr>
          <w:p w14:paraId="78F4B835">
            <w:r>
              <w:rPr>
                <w:rFonts w:hint="eastAsia"/>
              </w:rPr>
              <w:t xml:space="preserve">有效成分及其含量： </w:t>
            </w:r>
          </w:p>
          <w:p w14:paraId="2A79468E">
            <w:r>
              <w:rPr>
                <w:rFonts w:hint="eastAsia"/>
              </w:rPr>
              <w:t xml:space="preserve">    氨基寡糖素1%    噻唑膦5%    </w:t>
            </w:r>
          </w:p>
        </w:tc>
      </w:tr>
      <w:tr w14:paraId="4B1B23BC">
        <w:tblPrEx>
          <w:tblCellMar>
            <w:top w:w="0" w:type="dxa"/>
            <w:left w:w="0" w:type="dxa"/>
            <w:bottom w:w="0" w:type="dxa"/>
            <w:right w:w="0" w:type="dxa"/>
          </w:tblCellMar>
        </w:tblPrEx>
        <w:trPr>
          <w:wBefore w:w="0" w:type="auto"/>
          <w:tblCellSpacing w:w="0" w:type="dxa"/>
        </w:trPr>
        <w:tc>
          <w:tcPr>
            <w:tcW w:w="0" w:type="auto"/>
            <w:noWrap w:val="0"/>
            <w:vAlign w:val="center"/>
          </w:tcPr>
          <w:p w14:paraId="46532D8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5E52A9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DE7194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10742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2C008A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CC5873E">
                  <w:r>
                    <w:rPr>
                      <w:rStyle w:val="11"/>
                      <w:rFonts w:hint="eastAsia"/>
                    </w:rPr>
                    <w:t>施用方式</w:t>
                  </w:r>
                </w:p>
              </w:tc>
            </w:tr>
            <w:tr w14:paraId="6AACFF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8D10864">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6A94ED">
                  <w:r>
                    <w:rPr>
                      <w:rStyle w:val="11"/>
                      <w:rFonts w:hint="eastAsia"/>
                    </w:rPr>
                    <w:t>根结线虫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1F3C6B">
                  <w:r>
                    <w:rPr>
                      <w:rStyle w:val="11"/>
                      <w:rFonts w:hint="eastAsia"/>
                    </w:rPr>
                    <w:t>1000-1500毫升/亩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35D548">
                  <w:r>
                    <w:rPr>
                      <w:rStyle w:val="11"/>
                      <w:rFonts w:hint="eastAsia"/>
                    </w:rPr>
                    <w:t>灌根</w:t>
                  </w:r>
                </w:p>
              </w:tc>
            </w:tr>
          </w:tbl>
          <w:p w14:paraId="4E9D41F3">
            <w:pPr>
              <w:rPr>
                <w:rFonts w:ascii="Times New Roman" w:hAnsi="Times New Roman" w:cs="Times New Roman"/>
                <w:sz w:val="20"/>
                <w:szCs w:val="20"/>
              </w:rPr>
            </w:pPr>
          </w:p>
        </w:tc>
      </w:tr>
      <w:tr w14:paraId="6B76E91E">
        <w:tblPrEx>
          <w:tblCellMar>
            <w:top w:w="0" w:type="dxa"/>
            <w:left w:w="0" w:type="dxa"/>
            <w:bottom w:w="0" w:type="dxa"/>
            <w:right w:w="0" w:type="dxa"/>
          </w:tblCellMar>
        </w:tblPrEx>
        <w:trPr>
          <w:wBefore w:w="0" w:type="auto"/>
          <w:tblCellSpacing w:w="0" w:type="dxa"/>
        </w:trPr>
        <w:tc>
          <w:tcPr>
            <w:tcW w:w="0" w:type="auto"/>
            <w:noWrap w:val="0"/>
            <w:vAlign w:val="center"/>
          </w:tcPr>
          <w:p w14:paraId="6CED10A6">
            <w:r>
              <w:rPr>
                <w:rStyle w:val="10"/>
                <w:rFonts w:hint="eastAsia"/>
              </w:rPr>
              <w:t>使用技术要求:</w:t>
            </w:r>
            <w:r>
              <w:rPr>
                <w:rFonts w:hint="eastAsia"/>
              </w:rPr>
              <w:br w:type="textWrapping"/>
            </w:r>
            <w:r>
              <w:rPr>
                <w:rStyle w:val="11"/>
                <w:rFonts w:hint="eastAsia"/>
              </w:rPr>
              <w:t>1.本应于黄瓜移栽成活后灌根1次。2.每亩按以上制剂量兑水1500千克灌根施药(每株200毫升～250毫升药液)。</w:t>
            </w:r>
          </w:p>
        </w:tc>
      </w:tr>
      <w:tr w14:paraId="2CD99486">
        <w:tblPrEx>
          <w:tblCellMar>
            <w:top w:w="0" w:type="dxa"/>
            <w:left w:w="0" w:type="dxa"/>
            <w:bottom w:w="0" w:type="dxa"/>
            <w:right w:w="0" w:type="dxa"/>
          </w:tblCellMar>
        </w:tblPrEx>
        <w:trPr>
          <w:wBefore w:w="0" w:type="auto"/>
          <w:tblCellSpacing w:w="0" w:type="dxa"/>
        </w:trPr>
        <w:tc>
          <w:tcPr>
            <w:tcW w:w="0" w:type="auto"/>
            <w:noWrap w:val="0"/>
            <w:vAlign w:val="center"/>
          </w:tcPr>
          <w:p w14:paraId="0D32E12E">
            <w:r>
              <w:rPr>
                <w:rStyle w:val="10"/>
                <w:rFonts w:hint="eastAsia"/>
              </w:rPr>
              <w:t>产品性能:</w:t>
            </w:r>
            <w:r>
              <w:rPr>
                <w:rFonts w:hint="eastAsia"/>
              </w:rPr>
              <w:br w:type="textWrapping"/>
            </w:r>
            <w:r>
              <w:rPr>
                <w:rStyle w:val="11"/>
                <w:rFonts w:hint="eastAsia"/>
              </w:rPr>
              <w:t>氨基寡糖素为植物诱抗剂，在植物体内作为激发因子诱导植物对病害产生抗病性而起作用，施用后能提高作物自身的免疫力和防卫反应，促根壮苗，增强作物的抗逆性，促进植物生长发育。噻唑膦为触杀性和内吸传导型杀线虫剂，用低剂量就能阻碍线虫的活动，防止线虫对植物根部的侵入。</w:t>
            </w:r>
          </w:p>
        </w:tc>
      </w:tr>
      <w:tr w14:paraId="2CB70A33">
        <w:tblPrEx>
          <w:tblCellMar>
            <w:top w:w="0" w:type="dxa"/>
            <w:left w:w="0" w:type="dxa"/>
            <w:bottom w:w="0" w:type="dxa"/>
            <w:right w:w="0" w:type="dxa"/>
          </w:tblCellMar>
        </w:tblPrEx>
        <w:trPr>
          <w:wBefore w:w="0" w:type="auto"/>
          <w:tblCellSpacing w:w="0" w:type="dxa"/>
        </w:trPr>
        <w:tc>
          <w:tcPr>
            <w:tcW w:w="0" w:type="auto"/>
            <w:noWrap w:val="0"/>
            <w:vAlign w:val="center"/>
          </w:tcPr>
          <w:p w14:paraId="1EE4ABBC">
            <w:r>
              <w:rPr>
                <w:rStyle w:val="10"/>
                <w:rFonts w:hint="eastAsia"/>
              </w:rPr>
              <w:t>注意事项：</w:t>
            </w:r>
            <w:r>
              <w:rPr>
                <w:rFonts w:hint="eastAsia"/>
              </w:rPr>
              <w:br w:type="textWrapping"/>
            </w:r>
            <w:r>
              <w:rPr>
                <w:rStyle w:val="11"/>
                <w:rFonts w:hint="eastAsia"/>
              </w:rPr>
              <w:t>1.远离水产养殖区、河塘等水体施药；禁止在河塘等水体中清洗施药器具。</w:t>
            </w:r>
            <w:r>
              <w:rPr>
                <w:rStyle w:val="11"/>
                <w:rFonts w:hint="eastAsia"/>
              </w:rPr>
              <w:t> </w:t>
            </w:r>
            <w:r>
              <w:rPr>
                <w:rStyle w:val="11"/>
                <w:rFonts w:hint="eastAsia"/>
              </w:rPr>
              <w:t>2.（周围）开花植物花期禁用，使用时应密切关注对附近蜂群的影响；</w:t>
            </w:r>
            <w:r>
              <w:rPr>
                <w:rStyle w:val="11"/>
                <w:rFonts w:hint="eastAsia"/>
              </w:rPr>
              <w:t> </w:t>
            </w:r>
            <w:r>
              <w:rPr>
                <w:rStyle w:val="11"/>
                <w:rFonts w:hint="eastAsia"/>
              </w:rPr>
              <w:t>蚕室及桑园附近禁用。3.地下水、饮用水水源地禁用。</w:t>
            </w:r>
            <w:r>
              <w:rPr>
                <w:rStyle w:val="11"/>
                <w:rFonts w:hint="eastAsia"/>
              </w:rPr>
              <w:t> </w:t>
            </w:r>
            <w:r>
              <w:rPr>
                <w:rStyle w:val="11"/>
                <w:rFonts w:hint="eastAsia"/>
              </w:rPr>
              <w:t>4.施药时要穿防护服，戴防护手套、面罩等，避免皮肤接触及口鼻吸入。使用中不可吸烟、饮水及进食，使用后及时清洗手、脸等暴露部位皮肤并更换衣物。5.用过的容器应妥善处理，不可作他用，也不可随意丢弃。6.避免与氧化剂接触。请按推荐剂量正确使用。使用方法不当，超量使用或土壤水份过多时容易引起药害。7.避免孕妇及哺乳期妇女接触。</w:t>
            </w:r>
          </w:p>
        </w:tc>
      </w:tr>
      <w:tr w14:paraId="52181E89">
        <w:tblPrEx>
          <w:tblCellMar>
            <w:top w:w="0" w:type="dxa"/>
            <w:left w:w="0" w:type="dxa"/>
            <w:bottom w:w="0" w:type="dxa"/>
            <w:right w:w="0" w:type="dxa"/>
          </w:tblCellMar>
        </w:tblPrEx>
        <w:trPr>
          <w:wBefore w:w="0" w:type="auto"/>
          <w:tblCellSpacing w:w="0" w:type="dxa"/>
        </w:trPr>
        <w:tc>
          <w:tcPr>
            <w:tcW w:w="0" w:type="auto"/>
            <w:noWrap w:val="0"/>
            <w:vAlign w:val="center"/>
          </w:tcPr>
          <w:p w14:paraId="2C7E7C2C">
            <w:r>
              <w:rPr>
                <w:rStyle w:val="10"/>
                <w:rFonts w:hint="eastAsia"/>
              </w:rPr>
              <w:t>中毒急救措施：</w:t>
            </w:r>
            <w:r>
              <w:rPr>
                <w:rFonts w:hint="eastAsia"/>
              </w:rPr>
              <w:br w:type="textWrapping"/>
            </w:r>
            <w:r>
              <w:rPr>
                <w:rStyle w:val="11"/>
                <w:rFonts w:hint="eastAsia"/>
              </w:rPr>
              <w:t>使用中或使用后如感觉不适，应立即停止工作，采取急救措施。不慎吸入，应将病人移至空气流通处；溅入眼睛或接触皮肤，应使用大量清水冲洗至少15分钟。如误服，不要自行催吐，应立即送医院对症治疗，无特效解毒剂。</w:t>
            </w:r>
          </w:p>
        </w:tc>
      </w:tr>
      <w:tr w14:paraId="7509C03D">
        <w:tblPrEx>
          <w:tblCellMar>
            <w:top w:w="0" w:type="dxa"/>
            <w:left w:w="0" w:type="dxa"/>
            <w:bottom w:w="0" w:type="dxa"/>
            <w:right w:w="0" w:type="dxa"/>
          </w:tblCellMar>
        </w:tblPrEx>
        <w:trPr>
          <w:wBefore w:w="0" w:type="auto"/>
          <w:tblCellSpacing w:w="0" w:type="dxa"/>
        </w:trPr>
        <w:tc>
          <w:tcPr>
            <w:tcW w:w="0" w:type="auto"/>
            <w:noWrap w:val="0"/>
            <w:vAlign w:val="center"/>
          </w:tcPr>
          <w:p w14:paraId="5CE77F4A">
            <w:r>
              <w:rPr>
                <w:rStyle w:val="10"/>
                <w:rFonts w:hint="eastAsia"/>
              </w:rPr>
              <w:t>储存和运输方法：</w:t>
            </w:r>
            <w:r>
              <w:rPr>
                <w:rFonts w:hint="eastAsia"/>
              </w:rPr>
              <w:br w:type="textWrapping"/>
            </w:r>
            <w:r>
              <w:rPr>
                <w:rStyle w:val="11"/>
                <w:rFonts w:hint="eastAsia"/>
              </w:rPr>
              <w:t>本品为易燃液体。1.本品应贮存在通风、干燥的库房中，严防潮湿和日晒，远离火源或热源。置于儿童触及不到之处，并加锁。勿与食物、种子、饲料、粮食、饮料等同贮同运。2.搬运及运输过程中，轻拿轻放，不得倒置。</w:t>
            </w:r>
          </w:p>
        </w:tc>
      </w:tr>
      <w:tr w14:paraId="5D085B49">
        <w:tblPrEx>
          <w:tblCellMar>
            <w:top w:w="0" w:type="dxa"/>
            <w:left w:w="0" w:type="dxa"/>
            <w:bottom w:w="0" w:type="dxa"/>
            <w:right w:w="0" w:type="dxa"/>
          </w:tblCellMar>
        </w:tblPrEx>
        <w:trPr>
          <w:wBefore w:w="0" w:type="auto"/>
          <w:tblCellSpacing w:w="0" w:type="dxa"/>
        </w:trPr>
        <w:tc>
          <w:tcPr>
            <w:tcW w:w="0" w:type="auto"/>
            <w:noWrap w:val="0"/>
            <w:vAlign w:val="center"/>
          </w:tcPr>
          <w:p w14:paraId="0D261441">
            <w:r>
              <w:rPr>
                <w:rStyle w:val="10"/>
                <w:rFonts w:hint="eastAsia"/>
              </w:rPr>
              <w:t>质量保证期：</w:t>
            </w:r>
            <w:r>
              <w:rPr>
                <w:rStyle w:val="11"/>
                <w:rFonts w:hint="eastAsia"/>
              </w:rPr>
              <w:t>2年</w:t>
            </w:r>
          </w:p>
        </w:tc>
      </w:tr>
      <w:tr w14:paraId="6F30B315">
        <w:tblPrEx>
          <w:tblCellMar>
            <w:top w:w="0" w:type="dxa"/>
            <w:left w:w="0" w:type="dxa"/>
            <w:bottom w:w="0" w:type="dxa"/>
            <w:right w:w="0" w:type="dxa"/>
          </w:tblCellMar>
        </w:tblPrEx>
        <w:trPr>
          <w:wBefore w:w="0" w:type="auto"/>
          <w:tblCellSpacing w:w="0" w:type="dxa"/>
        </w:trPr>
        <w:tc>
          <w:tcPr>
            <w:tcW w:w="0" w:type="auto"/>
            <w:noWrap w:val="0"/>
            <w:vAlign w:val="center"/>
          </w:tcPr>
          <w:p w14:paraId="7C969AE6">
            <w:r>
              <w:rPr>
                <w:rStyle w:val="10"/>
                <w:rFonts w:hint="eastAsia"/>
              </w:rPr>
              <w:t>备注：</w:t>
            </w:r>
          </w:p>
        </w:tc>
      </w:tr>
    </w:tbl>
    <w:p w14:paraId="15ECAFF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B8F6788">
        <w:tblPrEx>
          <w:tblCellMar>
            <w:top w:w="0" w:type="dxa"/>
            <w:left w:w="0" w:type="dxa"/>
            <w:bottom w:w="0" w:type="dxa"/>
            <w:right w:w="0" w:type="dxa"/>
          </w:tblCellMar>
        </w:tblPrEx>
        <w:trPr>
          <w:wBefore w:w="0" w:type="auto"/>
          <w:tblCellSpacing w:w="0" w:type="dxa"/>
        </w:trPr>
        <w:tc>
          <w:tcPr>
            <w:tcW w:w="0" w:type="auto"/>
            <w:noWrap w:val="0"/>
            <w:vAlign w:val="center"/>
          </w:tcPr>
          <w:p w14:paraId="20D7ADB9">
            <w:r>
              <w:rPr>
                <w:rStyle w:val="10"/>
                <w:rFonts w:hint="eastAsia"/>
              </w:rPr>
              <w:t>登记证号：</w:t>
            </w:r>
            <w:r>
              <w:rPr>
                <w:rFonts w:hint="eastAsia"/>
              </w:rPr>
              <w:t>PD20211713</w:t>
            </w:r>
          </w:p>
        </w:tc>
      </w:tr>
      <w:tr w14:paraId="0D0103EA">
        <w:tblPrEx>
          <w:tblCellMar>
            <w:top w:w="0" w:type="dxa"/>
            <w:left w:w="0" w:type="dxa"/>
            <w:bottom w:w="0" w:type="dxa"/>
            <w:right w:w="0" w:type="dxa"/>
          </w:tblCellMar>
        </w:tblPrEx>
        <w:trPr>
          <w:wBefore w:w="0" w:type="auto"/>
          <w:tblCellSpacing w:w="0" w:type="dxa"/>
        </w:trPr>
        <w:tc>
          <w:tcPr>
            <w:tcW w:w="0" w:type="auto"/>
            <w:noWrap w:val="0"/>
            <w:vAlign w:val="center"/>
          </w:tcPr>
          <w:p w14:paraId="780BF9B6">
            <w:r>
              <w:rPr>
                <w:rStyle w:val="10"/>
                <w:rFonts w:hint="eastAsia"/>
              </w:rPr>
              <w:t>登记证持有人：</w:t>
            </w:r>
            <w:r>
              <w:rPr>
                <w:rFonts w:hint="eastAsia"/>
              </w:rPr>
              <w:t>吴桥农药有限公司</w:t>
            </w:r>
          </w:p>
        </w:tc>
      </w:tr>
      <w:tr w14:paraId="3B7E8213">
        <w:tblPrEx>
          <w:tblCellMar>
            <w:top w:w="0" w:type="dxa"/>
            <w:left w:w="0" w:type="dxa"/>
            <w:bottom w:w="0" w:type="dxa"/>
            <w:right w:w="0" w:type="dxa"/>
          </w:tblCellMar>
        </w:tblPrEx>
        <w:trPr>
          <w:wBefore w:w="0" w:type="auto"/>
          <w:tblCellSpacing w:w="0" w:type="dxa"/>
        </w:trPr>
        <w:tc>
          <w:tcPr>
            <w:tcW w:w="0" w:type="auto"/>
            <w:noWrap w:val="0"/>
            <w:vAlign w:val="center"/>
          </w:tcPr>
          <w:p w14:paraId="0A794337">
            <w:r>
              <w:rPr>
                <w:rStyle w:val="10"/>
                <w:rFonts w:hint="eastAsia"/>
              </w:rPr>
              <w:t>农药名称：</w:t>
            </w:r>
            <w:r>
              <w:rPr>
                <w:rFonts w:hint="eastAsia"/>
              </w:rPr>
              <w:t>氟啶虫酰胺·烯啶虫胺</w:t>
            </w:r>
          </w:p>
        </w:tc>
      </w:tr>
      <w:tr w14:paraId="3981829C">
        <w:tblPrEx>
          <w:tblCellMar>
            <w:top w:w="0" w:type="dxa"/>
            <w:left w:w="0" w:type="dxa"/>
            <w:bottom w:w="0" w:type="dxa"/>
            <w:right w:w="0" w:type="dxa"/>
          </w:tblCellMar>
        </w:tblPrEx>
        <w:trPr>
          <w:wBefore w:w="0" w:type="auto"/>
          <w:tblCellSpacing w:w="0" w:type="dxa"/>
        </w:trPr>
        <w:tc>
          <w:tcPr>
            <w:tcW w:w="0" w:type="auto"/>
            <w:noWrap w:val="0"/>
            <w:vAlign w:val="center"/>
          </w:tcPr>
          <w:p w14:paraId="0F38E623">
            <w:r>
              <w:rPr>
                <w:rStyle w:val="10"/>
                <w:rFonts w:hint="eastAsia"/>
              </w:rPr>
              <w:t>剂型：</w:t>
            </w:r>
            <w:r>
              <w:rPr>
                <w:rFonts w:hint="eastAsia"/>
              </w:rPr>
              <w:t>水分散粒剂</w:t>
            </w:r>
          </w:p>
        </w:tc>
      </w:tr>
      <w:tr w14:paraId="7295C176">
        <w:tblPrEx>
          <w:tblCellMar>
            <w:top w:w="0" w:type="dxa"/>
            <w:left w:w="0" w:type="dxa"/>
            <w:bottom w:w="0" w:type="dxa"/>
            <w:right w:w="0" w:type="dxa"/>
          </w:tblCellMar>
        </w:tblPrEx>
        <w:trPr>
          <w:wBefore w:w="0" w:type="auto"/>
          <w:tblCellSpacing w:w="0" w:type="dxa"/>
        </w:trPr>
        <w:tc>
          <w:tcPr>
            <w:tcW w:w="0" w:type="auto"/>
            <w:noWrap w:val="0"/>
            <w:vAlign w:val="center"/>
          </w:tcPr>
          <w:p w14:paraId="1B35ADFF">
            <w:r>
              <w:rPr>
                <w:rStyle w:val="10"/>
                <w:rFonts w:hint="eastAsia"/>
              </w:rPr>
              <w:t>毒性及其标识：</w:t>
            </w:r>
            <w:r>
              <w:rPr>
                <w:rFonts w:hint="eastAsia"/>
              </w:rPr>
              <w:t xml:space="preserve"> 微毒 </w:t>
            </w:r>
          </w:p>
        </w:tc>
      </w:tr>
      <w:tr w14:paraId="67FAF54B">
        <w:tblPrEx>
          <w:tblCellMar>
            <w:top w:w="0" w:type="dxa"/>
            <w:left w:w="0" w:type="dxa"/>
            <w:bottom w:w="0" w:type="dxa"/>
            <w:right w:w="0" w:type="dxa"/>
          </w:tblCellMar>
        </w:tblPrEx>
        <w:trPr>
          <w:wBefore w:w="0" w:type="auto"/>
          <w:tblCellSpacing w:w="0" w:type="dxa"/>
        </w:trPr>
        <w:tc>
          <w:tcPr>
            <w:tcW w:w="0" w:type="auto"/>
            <w:noWrap w:val="0"/>
            <w:vAlign w:val="center"/>
          </w:tcPr>
          <w:p w14:paraId="35DAC1FB">
            <w:r>
              <w:rPr>
                <w:rStyle w:val="10"/>
                <w:rFonts w:hint="eastAsia"/>
              </w:rPr>
              <w:t>总有效成分含量：</w:t>
            </w:r>
            <w:r>
              <w:rPr>
                <w:rFonts w:hint="eastAsia"/>
              </w:rPr>
              <w:t>30%</w:t>
            </w:r>
          </w:p>
        </w:tc>
      </w:tr>
      <w:tr w14:paraId="41933327">
        <w:tblPrEx>
          <w:tblCellMar>
            <w:top w:w="0" w:type="dxa"/>
            <w:left w:w="0" w:type="dxa"/>
            <w:bottom w:w="0" w:type="dxa"/>
            <w:right w:w="0" w:type="dxa"/>
          </w:tblCellMar>
        </w:tblPrEx>
        <w:trPr>
          <w:wBefore w:w="0" w:type="auto"/>
          <w:tblCellSpacing w:w="0" w:type="dxa"/>
        </w:trPr>
        <w:tc>
          <w:tcPr>
            <w:tcW w:w="0" w:type="auto"/>
            <w:noWrap w:val="0"/>
            <w:vAlign w:val="center"/>
          </w:tcPr>
          <w:p w14:paraId="2957CAA3">
            <w:r>
              <w:rPr>
                <w:rFonts w:hint="eastAsia"/>
              </w:rPr>
              <w:t xml:space="preserve">有效成分及其含量： </w:t>
            </w:r>
          </w:p>
          <w:p w14:paraId="06382555">
            <w:r>
              <w:rPr>
                <w:rFonts w:hint="eastAsia"/>
              </w:rPr>
              <w:t xml:space="preserve">    氟啶虫酰胺10%    烯啶虫胺20%    </w:t>
            </w:r>
          </w:p>
        </w:tc>
      </w:tr>
      <w:tr w14:paraId="089AB81C">
        <w:tblPrEx>
          <w:tblCellMar>
            <w:top w:w="0" w:type="dxa"/>
            <w:left w:w="0" w:type="dxa"/>
            <w:bottom w:w="0" w:type="dxa"/>
            <w:right w:w="0" w:type="dxa"/>
          </w:tblCellMar>
        </w:tblPrEx>
        <w:trPr>
          <w:wBefore w:w="0" w:type="auto"/>
          <w:tblCellSpacing w:w="0" w:type="dxa"/>
        </w:trPr>
        <w:tc>
          <w:tcPr>
            <w:tcW w:w="0" w:type="auto"/>
            <w:noWrap w:val="0"/>
            <w:vAlign w:val="center"/>
          </w:tcPr>
          <w:p w14:paraId="5F86E24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E48E1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FF5FA8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1D7A2A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86D1B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CE0070E">
                  <w:r>
                    <w:rPr>
                      <w:rStyle w:val="11"/>
                      <w:rFonts w:hint="eastAsia"/>
                    </w:rPr>
                    <w:t>施用方式</w:t>
                  </w:r>
                </w:p>
              </w:tc>
            </w:tr>
            <w:tr w14:paraId="13EAD9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EFDB06">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3CC664">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3EDE69">
                  <w:r>
                    <w:rPr>
                      <w:rStyle w:val="11"/>
                      <w:rFonts w:hint="eastAsia"/>
                    </w:rPr>
                    <w:t>4-5克/亩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4BB2A4">
                  <w:r>
                    <w:rPr>
                      <w:rStyle w:val="11"/>
                      <w:rFonts w:hint="eastAsia"/>
                    </w:rPr>
                    <w:t>喷雾</w:t>
                  </w:r>
                </w:p>
              </w:tc>
            </w:tr>
          </w:tbl>
          <w:p w14:paraId="45115DCC">
            <w:pPr>
              <w:rPr>
                <w:rFonts w:ascii="Times New Roman" w:hAnsi="Times New Roman" w:cs="Times New Roman"/>
                <w:sz w:val="20"/>
                <w:szCs w:val="20"/>
              </w:rPr>
            </w:pPr>
          </w:p>
        </w:tc>
      </w:tr>
      <w:tr w14:paraId="7D2804C5">
        <w:tblPrEx>
          <w:tblCellMar>
            <w:top w:w="0" w:type="dxa"/>
            <w:left w:w="0" w:type="dxa"/>
            <w:bottom w:w="0" w:type="dxa"/>
            <w:right w:w="0" w:type="dxa"/>
          </w:tblCellMar>
        </w:tblPrEx>
        <w:trPr>
          <w:wBefore w:w="0" w:type="auto"/>
          <w:tblCellSpacing w:w="0" w:type="dxa"/>
        </w:trPr>
        <w:tc>
          <w:tcPr>
            <w:tcW w:w="0" w:type="auto"/>
            <w:noWrap w:val="0"/>
            <w:vAlign w:val="center"/>
          </w:tcPr>
          <w:p w14:paraId="653B04C4">
            <w:r>
              <w:rPr>
                <w:rStyle w:val="10"/>
                <w:rFonts w:hint="eastAsia"/>
              </w:rPr>
              <w:t>使用技术要求:</w:t>
            </w:r>
            <w:r>
              <w:rPr>
                <w:rFonts w:hint="eastAsia"/>
              </w:rPr>
              <w:br w:type="textWrapping"/>
            </w:r>
            <w:r>
              <w:rPr>
                <w:rStyle w:val="11"/>
                <w:rFonts w:hint="eastAsia"/>
              </w:rPr>
              <w:t>1.在棉花蚜虫发生初盛期喷雾施药1次。注意喷雾均匀。 2.大风天或预计1小时内降雨，请勿施药。 3.在棉花上使用的安全间隔期为14天，每季作物最多使用1次。</w:t>
            </w:r>
          </w:p>
        </w:tc>
      </w:tr>
      <w:tr w14:paraId="09B990F4">
        <w:tblPrEx>
          <w:tblCellMar>
            <w:top w:w="0" w:type="dxa"/>
            <w:left w:w="0" w:type="dxa"/>
            <w:bottom w:w="0" w:type="dxa"/>
            <w:right w:w="0" w:type="dxa"/>
          </w:tblCellMar>
        </w:tblPrEx>
        <w:trPr>
          <w:wBefore w:w="0" w:type="auto"/>
          <w:tblCellSpacing w:w="0" w:type="dxa"/>
        </w:trPr>
        <w:tc>
          <w:tcPr>
            <w:tcW w:w="0" w:type="auto"/>
            <w:noWrap w:val="0"/>
            <w:vAlign w:val="center"/>
          </w:tcPr>
          <w:p w14:paraId="01D0B1A3">
            <w:r>
              <w:rPr>
                <w:rStyle w:val="10"/>
                <w:rFonts w:hint="eastAsia"/>
              </w:rPr>
              <w:t>产品性能:</w:t>
            </w:r>
            <w:r>
              <w:rPr>
                <w:rFonts w:hint="eastAsia"/>
              </w:rPr>
              <w:br w:type="textWrapping"/>
            </w:r>
            <w:r>
              <w:rPr>
                <w:rStyle w:val="11"/>
                <w:rFonts w:hint="eastAsia"/>
              </w:rPr>
              <w:t>烯啶虫胺主要作用于昆虫神经系统，对害虫的突触受体具有神经阻断作用，导致神经的轴突触隔膜电位通道刺激消失，致使害虫麻痹死亡。氟啶虫酰胺是一种低毒吡啶酰胺类、昆虫生长调节剂类杀虫剂，具有很好的神经毒剂和快速拒食作用，并具有良好的渗透作用；可从根部向茎部、叶部渗透，通过阻碍害虫吮吸作用而致死，害虫摄入药剂以后很快停止吮吸，最后饥饿而死。二者复配可有效防治棉花蚜虫。</w:t>
            </w:r>
          </w:p>
        </w:tc>
      </w:tr>
      <w:tr w14:paraId="3AD6A2B4">
        <w:tblPrEx>
          <w:tblCellMar>
            <w:top w:w="0" w:type="dxa"/>
            <w:left w:w="0" w:type="dxa"/>
            <w:bottom w:w="0" w:type="dxa"/>
            <w:right w:w="0" w:type="dxa"/>
          </w:tblCellMar>
        </w:tblPrEx>
        <w:trPr>
          <w:wBefore w:w="0" w:type="auto"/>
          <w:tblCellSpacing w:w="0" w:type="dxa"/>
        </w:trPr>
        <w:tc>
          <w:tcPr>
            <w:tcW w:w="0" w:type="auto"/>
            <w:noWrap w:val="0"/>
            <w:vAlign w:val="center"/>
          </w:tcPr>
          <w:p w14:paraId="087D0F92">
            <w:r>
              <w:rPr>
                <w:rStyle w:val="10"/>
                <w:rFonts w:hint="eastAsia"/>
              </w:rPr>
              <w:t>注意事项：</w:t>
            </w:r>
            <w:r>
              <w:rPr>
                <w:rFonts w:hint="eastAsia"/>
              </w:rPr>
              <w:br w:type="textWrapping"/>
            </w:r>
            <w:r>
              <w:rPr>
                <w:rStyle w:val="11"/>
                <w:rFonts w:hint="eastAsia"/>
              </w:rPr>
              <w:t>1.配药时应在通风处进行，操作人员需提前做好保护措施，穿着长衣长裤或长款防护服，戴好手套、面罩或护目镜等，严禁抽烟或饮食；在施药过程中，避免药液接触皮肤、眼睛和污染衣物，避免吸入药液；施药后应用肥皂和清水彻底清洗暴露在外的皮肤，并及时更换衣物。2.禁止在河塘等水域清洗施药器具；赤眼蜂等天敌放飞区域禁用。</w:t>
            </w:r>
            <w:r>
              <w:rPr>
                <w:rStyle w:val="11"/>
                <w:rFonts w:hint="eastAsia"/>
              </w:rPr>
              <w:t> </w:t>
            </w:r>
            <w:r>
              <w:rPr>
                <w:rStyle w:val="11"/>
                <w:rFonts w:hint="eastAsia"/>
              </w:rPr>
              <w:t>3. 建议与其他不同作用机制的杀虫剂轮换使用，以延缓抗性产生。4.用过的容器应妥善处理，不可做他用，也不可随意丢弃。5.孕妇及哺乳期妇女避免接触本产品。</w:t>
            </w:r>
          </w:p>
        </w:tc>
      </w:tr>
      <w:tr w14:paraId="3804352A">
        <w:tblPrEx>
          <w:tblCellMar>
            <w:top w:w="0" w:type="dxa"/>
            <w:left w:w="0" w:type="dxa"/>
            <w:bottom w:w="0" w:type="dxa"/>
            <w:right w:w="0" w:type="dxa"/>
          </w:tblCellMar>
        </w:tblPrEx>
        <w:trPr>
          <w:wBefore w:w="0" w:type="auto"/>
          <w:tblCellSpacing w:w="0" w:type="dxa"/>
        </w:trPr>
        <w:tc>
          <w:tcPr>
            <w:tcW w:w="0" w:type="auto"/>
            <w:noWrap w:val="0"/>
            <w:vAlign w:val="center"/>
          </w:tcPr>
          <w:p w14:paraId="58065EBC">
            <w:r>
              <w:rPr>
                <w:rStyle w:val="10"/>
                <w:rFonts w:hint="eastAsia"/>
              </w:rPr>
              <w:t>中毒急救措施：</w:t>
            </w:r>
            <w:r>
              <w:rPr>
                <w:rFonts w:hint="eastAsia"/>
              </w:rPr>
              <w:br w:type="textWrapping"/>
            </w:r>
            <w:r>
              <w:rPr>
                <w:rStyle w:val="11"/>
                <w:rFonts w:hint="eastAsia"/>
              </w:rPr>
              <w:t>本品对眼睛有刺激性。1.皮肤接触，立即用肥皂水或流动清水或彻底冲洗污染的皮肤、头发、 指甲等，若眼睛接触，用大量清水冲洗至少15分钟。 2.吸入时迅速脱离现场至空气新鲜处。保持呼吸道通畅。就医。 3.误服：送医就诊。使用医用活性炭洗胃，注意防止胃容物进入呼吸道。 无专用解毒剂，对症治疗。</w:t>
            </w:r>
          </w:p>
        </w:tc>
      </w:tr>
      <w:tr w14:paraId="15AD01BC">
        <w:tblPrEx>
          <w:tblCellMar>
            <w:top w:w="0" w:type="dxa"/>
            <w:left w:w="0" w:type="dxa"/>
            <w:bottom w:w="0" w:type="dxa"/>
            <w:right w:w="0" w:type="dxa"/>
          </w:tblCellMar>
        </w:tblPrEx>
        <w:trPr>
          <w:wBefore w:w="0" w:type="auto"/>
          <w:tblCellSpacing w:w="0" w:type="dxa"/>
        </w:trPr>
        <w:tc>
          <w:tcPr>
            <w:tcW w:w="0" w:type="auto"/>
            <w:noWrap w:val="0"/>
            <w:vAlign w:val="center"/>
          </w:tcPr>
          <w:p w14:paraId="27323284">
            <w:r>
              <w:rPr>
                <w:rStyle w:val="10"/>
                <w:rFonts w:hint="eastAsia"/>
              </w:rPr>
              <w:t>储存和运输方法：</w:t>
            </w:r>
            <w:r>
              <w:rPr>
                <w:rFonts w:hint="eastAsia"/>
              </w:rPr>
              <w:br w:type="textWrapping"/>
            </w:r>
            <w:r>
              <w:rPr>
                <w:rStyle w:val="11"/>
                <w:rFonts w:hint="eastAsia"/>
              </w:rPr>
              <w:t>1.本品应贮存在干燥、阴凉、通风、防雨库房中。保持容器密封。防止 阳光直射。应与氧化剂、酸类、碱类分开存放，切忌混储。 2.远离火源和热源，加锁贮存，置于儿童、无关人员触及不到之处。不 能与食品，饮料、粮食、饲料等同贮同运。</w:t>
            </w:r>
          </w:p>
        </w:tc>
      </w:tr>
      <w:tr w14:paraId="014BB6AB">
        <w:tblPrEx>
          <w:tblCellMar>
            <w:top w:w="0" w:type="dxa"/>
            <w:left w:w="0" w:type="dxa"/>
            <w:bottom w:w="0" w:type="dxa"/>
            <w:right w:w="0" w:type="dxa"/>
          </w:tblCellMar>
        </w:tblPrEx>
        <w:trPr>
          <w:wBefore w:w="0" w:type="auto"/>
          <w:tblCellSpacing w:w="0" w:type="dxa"/>
        </w:trPr>
        <w:tc>
          <w:tcPr>
            <w:tcW w:w="0" w:type="auto"/>
            <w:noWrap w:val="0"/>
            <w:vAlign w:val="center"/>
          </w:tcPr>
          <w:p w14:paraId="6DF5906F">
            <w:r>
              <w:rPr>
                <w:rStyle w:val="10"/>
                <w:rFonts w:hint="eastAsia"/>
              </w:rPr>
              <w:t>质量保证期：</w:t>
            </w:r>
            <w:r>
              <w:rPr>
                <w:rStyle w:val="11"/>
                <w:rFonts w:hint="eastAsia"/>
              </w:rPr>
              <w:t>2年</w:t>
            </w:r>
          </w:p>
        </w:tc>
      </w:tr>
      <w:tr w14:paraId="77ECAFCF">
        <w:tblPrEx>
          <w:tblCellMar>
            <w:top w:w="0" w:type="dxa"/>
            <w:left w:w="0" w:type="dxa"/>
            <w:bottom w:w="0" w:type="dxa"/>
            <w:right w:w="0" w:type="dxa"/>
          </w:tblCellMar>
        </w:tblPrEx>
        <w:trPr>
          <w:wBefore w:w="0" w:type="auto"/>
          <w:tblCellSpacing w:w="0" w:type="dxa"/>
        </w:trPr>
        <w:tc>
          <w:tcPr>
            <w:tcW w:w="0" w:type="auto"/>
            <w:noWrap w:val="0"/>
            <w:vAlign w:val="center"/>
          </w:tcPr>
          <w:p w14:paraId="0DBB22DA">
            <w:r>
              <w:rPr>
                <w:rStyle w:val="10"/>
                <w:rFonts w:hint="eastAsia"/>
              </w:rPr>
              <w:t>备注：</w:t>
            </w:r>
          </w:p>
        </w:tc>
      </w:tr>
    </w:tbl>
    <w:p w14:paraId="59CEF0F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9B0EDA0">
        <w:tblPrEx>
          <w:tblCellMar>
            <w:top w:w="0" w:type="dxa"/>
            <w:left w:w="0" w:type="dxa"/>
            <w:bottom w:w="0" w:type="dxa"/>
            <w:right w:w="0" w:type="dxa"/>
          </w:tblCellMar>
        </w:tblPrEx>
        <w:trPr>
          <w:wBefore w:w="0" w:type="auto"/>
          <w:tblCellSpacing w:w="0" w:type="dxa"/>
        </w:trPr>
        <w:tc>
          <w:tcPr>
            <w:tcW w:w="0" w:type="auto"/>
            <w:noWrap w:val="0"/>
            <w:vAlign w:val="center"/>
          </w:tcPr>
          <w:p w14:paraId="3E33062C">
            <w:r>
              <w:rPr>
                <w:rStyle w:val="10"/>
                <w:rFonts w:hint="eastAsia"/>
              </w:rPr>
              <w:t>登记证号：</w:t>
            </w:r>
            <w:r>
              <w:rPr>
                <w:rFonts w:hint="eastAsia"/>
              </w:rPr>
              <w:t>PD20211957</w:t>
            </w:r>
          </w:p>
        </w:tc>
      </w:tr>
      <w:tr w14:paraId="11EBB5EB">
        <w:tblPrEx>
          <w:tblCellMar>
            <w:top w:w="0" w:type="dxa"/>
            <w:left w:w="0" w:type="dxa"/>
            <w:bottom w:w="0" w:type="dxa"/>
            <w:right w:w="0" w:type="dxa"/>
          </w:tblCellMar>
        </w:tblPrEx>
        <w:trPr>
          <w:wBefore w:w="0" w:type="auto"/>
          <w:tblCellSpacing w:w="0" w:type="dxa"/>
        </w:trPr>
        <w:tc>
          <w:tcPr>
            <w:tcW w:w="0" w:type="auto"/>
            <w:noWrap w:val="0"/>
            <w:vAlign w:val="center"/>
          </w:tcPr>
          <w:p w14:paraId="205FDF7C">
            <w:r>
              <w:rPr>
                <w:rStyle w:val="10"/>
                <w:rFonts w:hint="eastAsia"/>
              </w:rPr>
              <w:t>登记证持有人：</w:t>
            </w:r>
            <w:r>
              <w:rPr>
                <w:rFonts w:hint="eastAsia"/>
              </w:rPr>
              <w:t>陕西恒田生物农业有限公司</w:t>
            </w:r>
          </w:p>
        </w:tc>
      </w:tr>
      <w:tr w14:paraId="3FA0701C">
        <w:tblPrEx>
          <w:tblCellMar>
            <w:top w:w="0" w:type="dxa"/>
            <w:left w:w="0" w:type="dxa"/>
            <w:bottom w:w="0" w:type="dxa"/>
            <w:right w:w="0" w:type="dxa"/>
          </w:tblCellMar>
        </w:tblPrEx>
        <w:trPr>
          <w:wBefore w:w="0" w:type="auto"/>
          <w:tblCellSpacing w:w="0" w:type="dxa"/>
        </w:trPr>
        <w:tc>
          <w:tcPr>
            <w:tcW w:w="0" w:type="auto"/>
            <w:noWrap w:val="0"/>
            <w:vAlign w:val="center"/>
          </w:tcPr>
          <w:p w14:paraId="28DF226A">
            <w:r>
              <w:rPr>
                <w:rStyle w:val="10"/>
                <w:rFonts w:hint="eastAsia"/>
              </w:rPr>
              <w:t>农药名称：</w:t>
            </w:r>
            <w:r>
              <w:rPr>
                <w:rFonts w:hint="eastAsia"/>
              </w:rPr>
              <w:t>甲基营养型芽孢杆菌LW-6</w:t>
            </w:r>
          </w:p>
        </w:tc>
      </w:tr>
      <w:tr w14:paraId="712AD3D8">
        <w:tblPrEx>
          <w:tblCellMar>
            <w:top w:w="0" w:type="dxa"/>
            <w:left w:w="0" w:type="dxa"/>
            <w:bottom w:w="0" w:type="dxa"/>
            <w:right w:w="0" w:type="dxa"/>
          </w:tblCellMar>
        </w:tblPrEx>
        <w:trPr>
          <w:wBefore w:w="0" w:type="auto"/>
          <w:tblCellSpacing w:w="0" w:type="dxa"/>
        </w:trPr>
        <w:tc>
          <w:tcPr>
            <w:tcW w:w="0" w:type="auto"/>
            <w:noWrap w:val="0"/>
            <w:vAlign w:val="center"/>
          </w:tcPr>
          <w:p w14:paraId="27A93D63">
            <w:r>
              <w:rPr>
                <w:rStyle w:val="10"/>
                <w:rFonts w:hint="eastAsia"/>
              </w:rPr>
              <w:t>剂型：</w:t>
            </w:r>
            <w:r>
              <w:rPr>
                <w:rFonts w:hint="eastAsia"/>
              </w:rPr>
              <w:t>可湿性粉剂</w:t>
            </w:r>
          </w:p>
        </w:tc>
      </w:tr>
      <w:tr w14:paraId="0E2E3720">
        <w:tblPrEx>
          <w:tblCellMar>
            <w:top w:w="0" w:type="dxa"/>
            <w:left w:w="0" w:type="dxa"/>
            <w:bottom w:w="0" w:type="dxa"/>
            <w:right w:w="0" w:type="dxa"/>
          </w:tblCellMar>
        </w:tblPrEx>
        <w:trPr>
          <w:wBefore w:w="0" w:type="auto"/>
          <w:tblCellSpacing w:w="0" w:type="dxa"/>
        </w:trPr>
        <w:tc>
          <w:tcPr>
            <w:tcW w:w="0" w:type="auto"/>
            <w:noWrap w:val="0"/>
            <w:vAlign w:val="center"/>
          </w:tcPr>
          <w:p w14:paraId="4113C0B6">
            <w:r>
              <w:rPr>
                <w:rStyle w:val="10"/>
                <w:rFonts w:hint="eastAsia"/>
              </w:rPr>
              <w:t>毒性及其标识：</w:t>
            </w:r>
            <w:r>
              <w:rPr>
                <w:rFonts w:hint="eastAsia"/>
              </w:rPr>
              <w:t xml:space="preserve"> </w:t>
            </w:r>
            <w:r>
              <w:rPr>
                <w:lang/>
              </w:rPr>
              <w:drawing>
                <wp:inline distT="0" distB="0" distL="114300" distR="114300">
                  <wp:extent cx="476250" cy="323850"/>
                  <wp:effectExtent l="0" t="0" r="0" b="0"/>
                  <wp:docPr id="257" name="图片 25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4649CEC">
        <w:tblPrEx>
          <w:tblCellMar>
            <w:top w:w="0" w:type="dxa"/>
            <w:left w:w="0" w:type="dxa"/>
            <w:bottom w:w="0" w:type="dxa"/>
            <w:right w:w="0" w:type="dxa"/>
          </w:tblCellMar>
        </w:tblPrEx>
        <w:trPr>
          <w:wBefore w:w="0" w:type="auto"/>
          <w:tblCellSpacing w:w="0" w:type="dxa"/>
        </w:trPr>
        <w:tc>
          <w:tcPr>
            <w:tcW w:w="0" w:type="auto"/>
            <w:noWrap w:val="0"/>
            <w:vAlign w:val="center"/>
          </w:tcPr>
          <w:p w14:paraId="147146BE">
            <w:r>
              <w:rPr>
                <w:rStyle w:val="10"/>
                <w:rFonts w:hint="eastAsia"/>
              </w:rPr>
              <w:t>总有效成分含量：</w:t>
            </w:r>
            <w:r>
              <w:rPr>
                <w:rFonts w:hint="eastAsia"/>
              </w:rPr>
              <w:t>200亿芽孢/克</w:t>
            </w:r>
          </w:p>
        </w:tc>
      </w:tr>
      <w:tr w14:paraId="14ACADC3">
        <w:tblPrEx>
          <w:tblCellMar>
            <w:top w:w="0" w:type="dxa"/>
            <w:left w:w="0" w:type="dxa"/>
            <w:bottom w:w="0" w:type="dxa"/>
            <w:right w:w="0" w:type="dxa"/>
          </w:tblCellMar>
        </w:tblPrEx>
        <w:trPr>
          <w:wBefore w:w="0" w:type="auto"/>
          <w:tblCellSpacing w:w="0" w:type="dxa"/>
        </w:trPr>
        <w:tc>
          <w:tcPr>
            <w:tcW w:w="0" w:type="auto"/>
            <w:noWrap w:val="0"/>
            <w:vAlign w:val="center"/>
          </w:tcPr>
          <w:p w14:paraId="252C72CE">
            <w:r>
              <w:rPr>
                <w:rFonts w:hint="eastAsia"/>
              </w:rPr>
              <w:t xml:space="preserve">有效成分及其含量： </w:t>
            </w:r>
          </w:p>
          <w:p w14:paraId="009928FF">
            <w:r>
              <w:rPr>
                <w:rFonts w:hint="eastAsia"/>
              </w:rPr>
              <w:t xml:space="preserve">    甲基营养型芽孢杆菌LW-6200亿芽孢/克    </w:t>
            </w:r>
          </w:p>
        </w:tc>
      </w:tr>
      <w:tr w14:paraId="648C4648">
        <w:tblPrEx>
          <w:tblCellMar>
            <w:top w:w="0" w:type="dxa"/>
            <w:left w:w="0" w:type="dxa"/>
            <w:bottom w:w="0" w:type="dxa"/>
            <w:right w:w="0" w:type="dxa"/>
          </w:tblCellMar>
        </w:tblPrEx>
        <w:trPr>
          <w:wBefore w:w="0" w:type="auto"/>
          <w:tblCellSpacing w:w="0" w:type="dxa"/>
        </w:trPr>
        <w:tc>
          <w:tcPr>
            <w:tcW w:w="0" w:type="auto"/>
            <w:noWrap w:val="0"/>
            <w:vAlign w:val="center"/>
          </w:tcPr>
          <w:p w14:paraId="0FC91F4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ED4C2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271E3C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939E8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7E1A66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C6C93EB">
                  <w:r>
                    <w:rPr>
                      <w:rStyle w:val="11"/>
                      <w:rFonts w:hint="eastAsia"/>
                    </w:rPr>
                    <w:t>施用方式</w:t>
                  </w:r>
                </w:p>
              </w:tc>
            </w:tr>
            <w:tr w14:paraId="25306D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525AAE5">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BB16B1">
                  <w:r>
                    <w:rPr>
                      <w:rStyle w:val="11"/>
                      <w:rFonts w:hint="eastAsia"/>
                    </w:rPr>
                    <w:t>黑胫病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EBC5BE">
                  <w:r>
                    <w:rPr>
                      <w:rStyle w:val="11"/>
                      <w:rFonts w:hint="eastAsia"/>
                    </w:rPr>
                    <w:t>30-50克/亩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16D7F2">
                  <w:r>
                    <w:rPr>
                      <w:rStyle w:val="11"/>
                      <w:rFonts w:hint="eastAsia"/>
                    </w:rPr>
                    <w:t>喷淋</w:t>
                  </w:r>
                </w:p>
              </w:tc>
            </w:tr>
          </w:tbl>
          <w:p w14:paraId="3F491D0F">
            <w:pPr>
              <w:rPr>
                <w:rFonts w:ascii="Times New Roman" w:hAnsi="Times New Roman" w:cs="Times New Roman"/>
                <w:sz w:val="20"/>
                <w:szCs w:val="20"/>
              </w:rPr>
            </w:pPr>
          </w:p>
        </w:tc>
      </w:tr>
      <w:tr w14:paraId="654C1890">
        <w:tblPrEx>
          <w:tblCellMar>
            <w:top w:w="0" w:type="dxa"/>
            <w:left w:w="0" w:type="dxa"/>
            <w:bottom w:w="0" w:type="dxa"/>
            <w:right w:w="0" w:type="dxa"/>
          </w:tblCellMar>
        </w:tblPrEx>
        <w:trPr>
          <w:wBefore w:w="0" w:type="auto"/>
          <w:tblCellSpacing w:w="0" w:type="dxa"/>
        </w:trPr>
        <w:tc>
          <w:tcPr>
            <w:tcW w:w="0" w:type="auto"/>
            <w:noWrap w:val="0"/>
            <w:vAlign w:val="center"/>
          </w:tcPr>
          <w:p w14:paraId="70C7193A">
            <w:r>
              <w:rPr>
                <w:rStyle w:val="10"/>
                <w:rFonts w:hint="eastAsia"/>
              </w:rPr>
              <w:t>使用技术要求:</w:t>
            </w:r>
            <w:r>
              <w:rPr>
                <w:rFonts w:hint="eastAsia"/>
              </w:rPr>
              <w:br w:type="textWrapping"/>
            </w:r>
            <w:r>
              <w:rPr>
                <w:rStyle w:val="11"/>
                <w:rFonts w:hint="eastAsia"/>
              </w:rPr>
              <w:t>1.在烟草黑胫病发病初期喷淋茎基部，可施药3次，间隔7天左右。2.使用前将药液充分摇匀。3.请勿在强阳光下施药，傍晚或阴天用药效果较佳。4.大风天或预计1小时内降雨，请勿施药。</w:t>
            </w:r>
          </w:p>
        </w:tc>
      </w:tr>
      <w:tr w14:paraId="247D1F19">
        <w:tblPrEx>
          <w:tblCellMar>
            <w:top w:w="0" w:type="dxa"/>
            <w:left w:w="0" w:type="dxa"/>
            <w:bottom w:w="0" w:type="dxa"/>
            <w:right w:w="0" w:type="dxa"/>
          </w:tblCellMar>
        </w:tblPrEx>
        <w:trPr>
          <w:wBefore w:w="0" w:type="auto"/>
          <w:tblCellSpacing w:w="0" w:type="dxa"/>
        </w:trPr>
        <w:tc>
          <w:tcPr>
            <w:tcW w:w="0" w:type="auto"/>
            <w:noWrap w:val="0"/>
            <w:vAlign w:val="center"/>
          </w:tcPr>
          <w:p w14:paraId="2572C8E7">
            <w:r>
              <w:rPr>
                <w:rStyle w:val="10"/>
                <w:rFonts w:hint="eastAsia"/>
              </w:rPr>
              <w:t>产品性能:</w:t>
            </w:r>
            <w:r>
              <w:rPr>
                <w:rFonts w:hint="eastAsia"/>
              </w:rPr>
              <w:br w:type="textWrapping"/>
            </w:r>
            <w:r>
              <w:rPr>
                <w:rStyle w:val="11"/>
                <w:rFonts w:hint="eastAsia"/>
              </w:rPr>
              <w:t>本品为微生物杀菌剂，通过成功定殖至植物根际、体表或体内，改善其周围菌群环境，与病原菌竞争植物周围的位点，并且分泌多种抗菌物质以抑制病原菌生长，同时诱导植物防御系统抵御病原菌入侵，从而达到有效排斥、抑制、防治病菌的作用。</w:t>
            </w:r>
          </w:p>
        </w:tc>
      </w:tr>
      <w:tr w14:paraId="651B9A60">
        <w:tblPrEx>
          <w:tblCellMar>
            <w:top w:w="0" w:type="dxa"/>
            <w:left w:w="0" w:type="dxa"/>
            <w:bottom w:w="0" w:type="dxa"/>
            <w:right w:w="0" w:type="dxa"/>
          </w:tblCellMar>
        </w:tblPrEx>
        <w:trPr>
          <w:wBefore w:w="0" w:type="auto"/>
          <w:tblCellSpacing w:w="0" w:type="dxa"/>
        </w:trPr>
        <w:tc>
          <w:tcPr>
            <w:tcW w:w="0" w:type="auto"/>
            <w:noWrap w:val="0"/>
            <w:vAlign w:val="center"/>
          </w:tcPr>
          <w:p w14:paraId="4BB3504B">
            <w:r>
              <w:rPr>
                <w:rStyle w:val="10"/>
                <w:rFonts w:hint="eastAsia"/>
              </w:rPr>
              <w:t>注意事项：</w:t>
            </w:r>
            <w:r>
              <w:rPr>
                <w:rFonts w:hint="eastAsia"/>
              </w:rPr>
              <w:br w:type="textWrapping"/>
            </w:r>
            <w:r>
              <w:rPr>
                <w:rStyle w:val="11"/>
                <w:rFonts w:hint="eastAsia"/>
              </w:rPr>
              <w:t>1.本品不能与含铜物质或链霉素等杀菌剂混用。2.禁止在河塘等水域清洗施药器具，药液及其废液不得污染各类水域。3.使用本品时应穿（戴）长衣、长裤、帽子、口罩、手套等安全防护措施，避免吸入药液。施药期间避免饮食，施药后应及时洗手和洗脸。4.用药后包装物及用过的容器应妥善处理，不可做他用，也不可随意丢弃。5.孕妇及哺乳期妇女避免接触本品。6.本品对眼睛有刺激作用，使用时避免接触眼睛。</w:t>
            </w:r>
          </w:p>
        </w:tc>
      </w:tr>
      <w:tr w14:paraId="12938AFC">
        <w:tblPrEx>
          <w:tblCellMar>
            <w:top w:w="0" w:type="dxa"/>
            <w:left w:w="0" w:type="dxa"/>
            <w:bottom w:w="0" w:type="dxa"/>
            <w:right w:w="0" w:type="dxa"/>
          </w:tblCellMar>
        </w:tblPrEx>
        <w:trPr>
          <w:wBefore w:w="0" w:type="auto"/>
          <w:tblCellSpacing w:w="0" w:type="dxa"/>
        </w:trPr>
        <w:tc>
          <w:tcPr>
            <w:tcW w:w="0" w:type="auto"/>
            <w:noWrap w:val="0"/>
            <w:vAlign w:val="center"/>
          </w:tcPr>
          <w:p w14:paraId="48548647">
            <w:r>
              <w:rPr>
                <w:rStyle w:val="10"/>
                <w:rFonts w:hint="eastAsia"/>
              </w:rPr>
              <w:t>中毒急救措施：</w:t>
            </w:r>
            <w:r>
              <w:rPr>
                <w:rFonts w:hint="eastAsia"/>
              </w:rPr>
              <w:br w:type="textWrapping"/>
            </w:r>
            <w:r>
              <w:rPr>
                <w:rStyle w:val="11"/>
                <w:rFonts w:hint="eastAsia"/>
              </w:rPr>
              <w:t>本品低毒，对人体无明显中毒症状。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01811D84">
        <w:tblPrEx>
          <w:tblCellMar>
            <w:top w:w="0" w:type="dxa"/>
            <w:left w:w="0" w:type="dxa"/>
            <w:bottom w:w="0" w:type="dxa"/>
            <w:right w:w="0" w:type="dxa"/>
          </w:tblCellMar>
        </w:tblPrEx>
        <w:trPr>
          <w:wBefore w:w="0" w:type="auto"/>
          <w:tblCellSpacing w:w="0" w:type="dxa"/>
        </w:trPr>
        <w:tc>
          <w:tcPr>
            <w:tcW w:w="0" w:type="auto"/>
            <w:noWrap w:val="0"/>
            <w:vAlign w:val="center"/>
          </w:tcPr>
          <w:p w14:paraId="2B46603A">
            <w:r>
              <w:rPr>
                <w:rStyle w:val="10"/>
                <w:rFonts w:hint="eastAsia"/>
              </w:rPr>
              <w:t>储存和运输方法：</w:t>
            </w:r>
            <w:r>
              <w:rPr>
                <w:rFonts w:hint="eastAsia"/>
              </w:rPr>
              <w:br w:type="textWrapping"/>
            </w:r>
            <w:r>
              <w:rPr>
                <w:rStyle w:val="11"/>
                <w:rFonts w:hint="eastAsia"/>
              </w:rPr>
              <w:t>本品应严防潮湿和日晒，药剂应储存于阴凉、干燥、通风处，远离火源和热源，置于儿童、无关人员接触不到之处并加锁。不能与食品、饮料、粮食、饲料等混合储存。运输时应注意避光、防高温、雨淋。</w:t>
            </w:r>
          </w:p>
        </w:tc>
      </w:tr>
      <w:tr w14:paraId="51499A0A">
        <w:tblPrEx>
          <w:tblCellMar>
            <w:top w:w="0" w:type="dxa"/>
            <w:left w:w="0" w:type="dxa"/>
            <w:bottom w:w="0" w:type="dxa"/>
            <w:right w:w="0" w:type="dxa"/>
          </w:tblCellMar>
        </w:tblPrEx>
        <w:trPr>
          <w:wBefore w:w="0" w:type="auto"/>
          <w:tblCellSpacing w:w="0" w:type="dxa"/>
        </w:trPr>
        <w:tc>
          <w:tcPr>
            <w:tcW w:w="0" w:type="auto"/>
            <w:noWrap w:val="0"/>
            <w:vAlign w:val="center"/>
          </w:tcPr>
          <w:p w14:paraId="636C4A59">
            <w:r>
              <w:rPr>
                <w:rStyle w:val="10"/>
                <w:rFonts w:hint="eastAsia"/>
              </w:rPr>
              <w:t>质量保证期：</w:t>
            </w:r>
            <w:r>
              <w:rPr>
                <w:rStyle w:val="11"/>
                <w:rFonts w:hint="eastAsia"/>
              </w:rPr>
              <w:t>2年</w:t>
            </w:r>
          </w:p>
        </w:tc>
      </w:tr>
      <w:tr w14:paraId="30A4685E">
        <w:tblPrEx>
          <w:tblCellMar>
            <w:top w:w="0" w:type="dxa"/>
            <w:left w:w="0" w:type="dxa"/>
            <w:bottom w:w="0" w:type="dxa"/>
            <w:right w:w="0" w:type="dxa"/>
          </w:tblCellMar>
        </w:tblPrEx>
        <w:trPr>
          <w:wBefore w:w="0" w:type="auto"/>
          <w:tblCellSpacing w:w="0" w:type="dxa"/>
        </w:trPr>
        <w:tc>
          <w:tcPr>
            <w:tcW w:w="0" w:type="auto"/>
            <w:noWrap w:val="0"/>
            <w:vAlign w:val="center"/>
          </w:tcPr>
          <w:p w14:paraId="463F172A">
            <w:r>
              <w:rPr>
                <w:rStyle w:val="10"/>
                <w:rFonts w:hint="eastAsia"/>
              </w:rPr>
              <w:t>备注：</w:t>
            </w:r>
          </w:p>
        </w:tc>
      </w:tr>
    </w:tbl>
    <w:p w14:paraId="7ADA925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A60DEAD">
        <w:tblPrEx>
          <w:tblCellMar>
            <w:top w:w="0" w:type="dxa"/>
            <w:left w:w="0" w:type="dxa"/>
            <w:bottom w:w="0" w:type="dxa"/>
            <w:right w:w="0" w:type="dxa"/>
          </w:tblCellMar>
        </w:tblPrEx>
        <w:trPr>
          <w:wBefore w:w="0" w:type="auto"/>
          <w:tblCellSpacing w:w="0" w:type="dxa"/>
        </w:trPr>
        <w:tc>
          <w:tcPr>
            <w:tcW w:w="0" w:type="auto"/>
            <w:noWrap w:val="0"/>
            <w:vAlign w:val="center"/>
          </w:tcPr>
          <w:p w14:paraId="53CB1D6C">
            <w:r>
              <w:rPr>
                <w:rStyle w:val="10"/>
                <w:rFonts w:hint="eastAsia"/>
              </w:rPr>
              <w:t>登记证号：</w:t>
            </w:r>
            <w:r>
              <w:rPr>
                <w:rFonts w:hint="eastAsia"/>
              </w:rPr>
              <w:t>PD20212122</w:t>
            </w:r>
          </w:p>
        </w:tc>
      </w:tr>
      <w:tr w14:paraId="747705DC">
        <w:tblPrEx>
          <w:tblCellMar>
            <w:top w:w="0" w:type="dxa"/>
            <w:left w:w="0" w:type="dxa"/>
            <w:bottom w:w="0" w:type="dxa"/>
            <w:right w:w="0" w:type="dxa"/>
          </w:tblCellMar>
        </w:tblPrEx>
        <w:trPr>
          <w:wBefore w:w="0" w:type="auto"/>
          <w:tblCellSpacing w:w="0" w:type="dxa"/>
        </w:trPr>
        <w:tc>
          <w:tcPr>
            <w:tcW w:w="0" w:type="auto"/>
            <w:noWrap w:val="0"/>
            <w:vAlign w:val="center"/>
          </w:tcPr>
          <w:p w14:paraId="21E46559">
            <w:r>
              <w:rPr>
                <w:rStyle w:val="10"/>
                <w:rFonts w:hint="eastAsia"/>
              </w:rPr>
              <w:t>登记证持有人：</w:t>
            </w:r>
            <w:r>
              <w:rPr>
                <w:rFonts w:hint="eastAsia"/>
              </w:rPr>
              <w:t>山东玥鸣生物科技有限公司</w:t>
            </w:r>
          </w:p>
        </w:tc>
      </w:tr>
      <w:tr w14:paraId="76106E16">
        <w:tblPrEx>
          <w:tblCellMar>
            <w:top w:w="0" w:type="dxa"/>
            <w:left w:w="0" w:type="dxa"/>
            <w:bottom w:w="0" w:type="dxa"/>
            <w:right w:w="0" w:type="dxa"/>
          </w:tblCellMar>
        </w:tblPrEx>
        <w:trPr>
          <w:wBefore w:w="0" w:type="auto"/>
          <w:tblCellSpacing w:w="0" w:type="dxa"/>
        </w:trPr>
        <w:tc>
          <w:tcPr>
            <w:tcW w:w="0" w:type="auto"/>
            <w:noWrap w:val="0"/>
            <w:vAlign w:val="center"/>
          </w:tcPr>
          <w:p w14:paraId="71A8635D">
            <w:r>
              <w:rPr>
                <w:rStyle w:val="10"/>
                <w:rFonts w:hint="eastAsia"/>
              </w:rPr>
              <w:t>农药名称：</w:t>
            </w:r>
            <w:r>
              <w:rPr>
                <w:rFonts w:hint="eastAsia"/>
              </w:rPr>
              <w:t>灭草松</w:t>
            </w:r>
          </w:p>
        </w:tc>
      </w:tr>
      <w:tr w14:paraId="31815179">
        <w:tblPrEx>
          <w:tblCellMar>
            <w:top w:w="0" w:type="dxa"/>
            <w:left w:w="0" w:type="dxa"/>
            <w:bottom w:w="0" w:type="dxa"/>
            <w:right w:w="0" w:type="dxa"/>
          </w:tblCellMar>
        </w:tblPrEx>
        <w:trPr>
          <w:wBefore w:w="0" w:type="auto"/>
          <w:tblCellSpacing w:w="0" w:type="dxa"/>
        </w:trPr>
        <w:tc>
          <w:tcPr>
            <w:tcW w:w="0" w:type="auto"/>
            <w:noWrap w:val="0"/>
            <w:vAlign w:val="center"/>
          </w:tcPr>
          <w:p w14:paraId="043390C2">
            <w:r>
              <w:rPr>
                <w:rStyle w:val="10"/>
                <w:rFonts w:hint="eastAsia"/>
              </w:rPr>
              <w:t>剂型：</w:t>
            </w:r>
            <w:r>
              <w:rPr>
                <w:rFonts w:hint="eastAsia"/>
              </w:rPr>
              <w:t>微乳剂</w:t>
            </w:r>
          </w:p>
        </w:tc>
      </w:tr>
      <w:tr w14:paraId="2BC03366">
        <w:tblPrEx>
          <w:tblCellMar>
            <w:top w:w="0" w:type="dxa"/>
            <w:left w:w="0" w:type="dxa"/>
            <w:bottom w:w="0" w:type="dxa"/>
            <w:right w:w="0" w:type="dxa"/>
          </w:tblCellMar>
        </w:tblPrEx>
        <w:trPr>
          <w:wBefore w:w="0" w:type="auto"/>
          <w:tblCellSpacing w:w="0" w:type="dxa"/>
        </w:trPr>
        <w:tc>
          <w:tcPr>
            <w:tcW w:w="0" w:type="auto"/>
            <w:noWrap w:val="0"/>
            <w:vAlign w:val="center"/>
          </w:tcPr>
          <w:p w14:paraId="24C59B1C">
            <w:r>
              <w:rPr>
                <w:rStyle w:val="10"/>
                <w:rFonts w:hint="eastAsia"/>
              </w:rPr>
              <w:t>毒性及其标识：</w:t>
            </w:r>
            <w:r>
              <w:rPr>
                <w:rFonts w:hint="eastAsia"/>
              </w:rPr>
              <w:t xml:space="preserve"> </w:t>
            </w:r>
            <w:r>
              <w:rPr>
                <w:lang/>
              </w:rPr>
              <w:drawing>
                <wp:inline distT="0" distB="0" distL="114300" distR="114300">
                  <wp:extent cx="476250" cy="323850"/>
                  <wp:effectExtent l="0" t="0" r="0" b="0"/>
                  <wp:docPr id="258" name="图片 25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FC16ACD">
        <w:tblPrEx>
          <w:tblCellMar>
            <w:top w:w="0" w:type="dxa"/>
            <w:left w:w="0" w:type="dxa"/>
            <w:bottom w:w="0" w:type="dxa"/>
            <w:right w:w="0" w:type="dxa"/>
          </w:tblCellMar>
        </w:tblPrEx>
        <w:trPr>
          <w:wBefore w:w="0" w:type="auto"/>
          <w:tblCellSpacing w:w="0" w:type="dxa"/>
        </w:trPr>
        <w:tc>
          <w:tcPr>
            <w:tcW w:w="0" w:type="auto"/>
            <w:noWrap w:val="0"/>
            <w:vAlign w:val="center"/>
          </w:tcPr>
          <w:p w14:paraId="48527F5E">
            <w:r>
              <w:rPr>
                <w:rStyle w:val="10"/>
                <w:rFonts w:hint="eastAsia"/>
              </w:rPr>
              <w:t>总有效成分含量：</w:t>
            </w:r>
            <w:r>
              <w:rPr>
                <w:rFonts w:hint="eastAsia"/>
              </w:rPr>
              <w:t>560克/升</w:t>
            </w:r>
          </w:p>
        </w:tc>
      </w:tr>
      <w:tr w14:paraId="3F7DD6B7">
        <w:tblPrEx>
          <w:tblCellMar>
            <w:top w:w="0" w:type="dxa"/>
            <w:left w:w="0" w:type="dxa"/>
            <w:bottom w:w="0" w:type="dxa"/>
            <w:right w:w="0" w:type="dxa"/>
          </w:tblCellMar>
        </w:tblPrEx>
        <w:trPr>
          <w:wBefore w:w="0" w:type="auto"/>
          <w:tblCellSpacing w:w="0" w:type="dxa"/>
        </w:trPr>
        <w:tc>
          <w:tcPr>
            <w:tcW w:w="0" w:type="auto"/>
            <w:noWrap w:val="0"/>
            <w:vAlign w:val="center"/>
          </w:tcPr>
          <w:p w14:paraId="4F40D396">
            <w:r>
              <w:rPr>
                <w:rFonts w:hint="eastAsia"/>
              </w:rPr>
              <w:t xml:space="preserve">有效成分及其含量： </w:t>
            </w:r>
          </w:p>
          <w:p w14:paraId="36DFB827">
            <w:r>
              <w:rPr>
                <w:rFonts w:hint="eastAsia"/>
              </w:rPr>
              <w:t xml:space="preserve">    灭草松560克/升    </w:t>
            </w:r>
          </w:p>
        </w:tc>
      </w:tr>
      <w:tr w14:paraId="070983A4">
        <w:tblPrEx>
          <w:tblCellMar>
            <w:top w:w="0" w:type="dxa"/>
            <w:left w:w="0" w:type="dxa"/>
            <w:bottom w:w="0" w:type="dxa"/>
            <w:right w:w="0" w:type="dxa"/>
          </w:tblCellMar>
        </w:tblPrEx>
        <w:trPr>
          <w:wBefore w:w="0" w:type="auto"/>
          <w:tblCellSpacing w:w="0" w:type="dxa"/>
        </w:trPr>
        <w:tc>
          <w:tcPr>
            <w:tcW w:w="0" w:type="auto"/>
            <w:noWrap w:val="0"/>
            <w:vAlign w:val="center"/>
          </w:tcPr>
          <w:p w14:paraId="151644A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D2004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18EC69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0DD0DD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00AF0E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81F7BBC">
                  <w:r>
                    <w:rPr>
                      <w:rStyle w:val="11"/>
                      <w:rFonts w:hint="eastAsia"/>
                    </w:rPr>
                    <w:t>施用方式</w:t>
                  </w:r>
                </w:p>
              </w:tc>
            </w:tr>
            <w:tr w14:paraId="03D38F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D7452D1">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ED2E36">
                  <w:r>
                    <w:rPr>
                      <w:rStyle w:val="11"/>
                      <w:rFonts w:hint="eastAsia"/>
                    </w:rPr>
                    <w:t>一年生阔叶杂草及部分莎草科杂草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63B92A">
                  <w:r>
                    <w:rPr>
                      <w:rStyle w:val="11"/>
                      <w:rFonts w:hint="eastAsia"/>
                    </w:rPr>
                    <w:t>160-180毫升/亩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07FC2A">
                  <w:r>
                    <w:rPr>
                      <w:rStyle w:val="11"/>
                      <w:rFonts w:hint="eastAsia"/>
                    </w:rPr>
                    <w:t>茎叶喷雾</w:t>
                  </w:r>
                </w:p>
              </w:tc>
            </w:tr>
          </w:tbl>
          <w:p w14:paraId="4A9C86A9">
            <w:pPr>
              <w:rPr>
                <w:rFonts w:ascii="Times New Roman" w:hAnsi="Times New Roman" w:cs="Times New Roman"/>
                <w:sz w:val="20"/>
                <w:szCs w:val="20"/>
              </w:rPr>
            </w:pPr>
          </w:p>
        </w:tc>
      </w:tr>
      <w:tr w14:paraId="5F41DE85">
        <w:tblPrEx>
          <w:tblCellMar>
            <w:top w:w="0" w:type="dxa"/>
            <w:left w:w="0" w:type="dxa"/>
            <w:bottom w:w="0" w:type="dxa"/>
            <w:right w:w="0" w:type="dxa"/>
          </w:tblCellMar>
        </w:tblPrEx>
        <w:trPr>
          <w:wBefore w:w="0" w:type="auto"/>
          <w:tblCellSpacing w:w="0" w:type="dxa"/>
        </w:trPr>
        <w:tc>
          <w:tcPr>
            <w:tcW w:w="0" w:type="auto"/>
            <w:noWrap w:val="0"/>
            <w:vAlign w:val="center"/>
          </w:tcPr>
          <w:p w14:paraId="4D1EA5C0">
            <w:r>
              <w:rPr>
                <w:rStyle w:val="10"/>
                <w:rFonts w:hint="eastAsia"/>
              </w:rPr>
              <w:t>使用技术要求:</w:t>
            </w:r>
            <w:r>
              <w:rPr>
                <w:rFonts w:hint="eastAsia"/>
              </w:rPr>
              <w:br w:type="textWrapping"/>
            </w:r>
            <w:r>
              <w:rPr>
                <w:rStyle w:val="11"/>
                <w:rFonts w:hint="eastAsia"/>
              </w:rPr>
              <w:t>1. 于水稻移栽后，杂草1-5叶期用药。 2. 大风天或预计1小时内降雨，请勿施药。3.本品每季最多使用1次。</w:t>
            </w:r>
          </w:p>
        </w:tc>
      </w:tr>
      <w:tr w14:paraId="3A4F520E">
        <w:tblPrEx>
          <w:tblCellMar>
            <w:top w:w="0" w:type="dxa"/>
            <w:left w:w="0" w:type="dxa"/>
            <w:bottom w:w="0" w:type="dxa"/>
            <w:right w:w="0" w:type="dxa"/>
          </w:tblCellMar>
        </w:tblPrEx>
        <w:trPr>
          <w:wBefore w:w="0" w:type="auto"/>
          <w:tblCellSpacing w:w="0" w:type="dxa"/>
        </w:trPr>
        <w:tc>
          <w:tcPr>
            <w:tcW w:w="0" w:type="auto"/>
            <w:noWrap w:val="0"/>
            <w:vAlign w:val="center"/>
          </w:tcPr>
          <w:p w14:paraId="784414AE">
            <w:r>
              <w:rPr>
                <w:rStyle w:val="10"/>
                <w:rFonts w:hint="eastAsia"/>
              </w:rPr>
              <w:t>产品性能:</w:t>
            </w:r>
            <w:r>
              <w:rPr>
                <w:rFonts w:hint="eastAsia"/>
              </w:rPr>
              <w:br w:type="textWrapping"/>
            </w:r>
            <w:r>
              <w:rPr>
                <w:rStyle w:val="11"/>
                <w:rFonts w:hint="eastAsia"/>
              </w:rPr>
              <w:t>本品为触杀型选择性的苗后除草剂。用于苗期茎叶处理，通过叶片接触而起作用。药剂由叶渗透传导 到叶绿体内抑制光合作用和水分代谢，造成营养饥饿，使生理机能失调而致死。</w:t>
            </w:r>
          </w:p>
        </w:tc>
      </w:tr>
      <w:tr w14:paraId="3B9B8967">
        <w:tblPrEx>
          <w:tblCellMar>
            <w:top w:w="0" w:type="dxa"/>
            <w:left w:w="0" w:type="dxa"/>
            <w:bottom w:w="0" w:type="dxa"/>
            <w:right w:w="0" w:type="dxa"/>
          </w:tblCellMar>
        </w:tblPrEx>
        <w:trPr>
          <w:wBefore w:w="0" w:type="auto"/>
          <w:tblCellSpacing w:w="0" w:type="dxa"/>
        </w:trPr>
        <w:tc>
          <w:tcPr>
            <w:tcW w:w="0" w:type="auto"/>
            <w:noWrap w:val="0"/>
            <w:vAlign w:val="center"/>
          </w:tcPr>
          <w:p w14:paraId="3D49F071">
            <w:r>
              <w:rPr>
                <w:rStyle w:val="10"/>
                <w:rFonts w:hint="eastAsia"/>
              </w:rPr>
              <w:t>注意事项：</w:t>
            </w:r>
            <w:r>
              <w:rPr>
                <w:rFonts w:hint="eastAsia"/>
              </w:rPr>
              <w:br w:type="textWrapping"/>
            </w:r>
            <w:r>
              <w:rPr>
                <w:rStyle w:val="11"/>
                <w:rFonts w:hint="eastAsia"/>
              </w:rPr>
              <w:t>1.灭草松在高温晴天活性高除草效果好，反之阴天和气温低时效果差。施药后8小时内应无雨。在极度干旱和水涝的田间不宜使用灭草松，以防发生药害。 2.灭草松对棉花、蔬菜等阔叶作物较为敏感，施药时注意避开。 3.使用本品时应做好安全防护措施，戴好口罩、手套等。此时不能吸烟、饮水等；施药后应及时洗手和洗脸等。 4. 水产养殖区、河塘等水体附近禁用，避免污染水塘等水体，禁止在河塘等水体中清洗施药器具。该产品使用后的残剩药剂及施药器械的洗涤用水切勿倒入湖、河、池塘中。用过的包装物要妥善处理，不能做他用，也不能随意丢弃。 5. 孕妇及哺乳期的妇女避免接触此药。6.本品为易燃液体。</w:t>
            </w:r>
          </w:p>
        </w:tc>
      </w:tr>
      <w:tr w14:paraId="65BF4F0D">
        <w:tblPrEx>
          <w:tblCellMar>
            <w:top w:w="0" w:type="dxa"/>
            <w:left w:w="0" w:type="dxa"/>
            <w:bottom w:w="0" w:type="dxa"/>
            <w:right w:w="0" w:type="dxa"/>
          </w:tblCellMar>
        </w:tblPrEx>
        <w:trPr>
          <w:wBefore w:w="0" w:type="auto"/>
          <w:tblCellSpacing w:w="0" w:type="dxa"/>
        </w:trPr>
        <w:tc>
          <w:tcPr>
            <w:tcW w:w="0" w:type="auto"/>
            <w:noWrap w:val="0"/>
            <w:vAlign w:val="center"/>
          </w:tcPr>
          <w:p w14:paraId="3BE39A79">
            <w:r>
              <w:rPr>
                <w:rStyle w:val="10"/>
                <w:rFonts w:hint="eastAsia"/>
              </w:rPr>
              <w:t>中毒急救措施：</w:t>
            </w:r>
            <w:r>
              <w:rPr>
                <w:rFonts w:hint="eastAsia"/>
              </w:rPr>
              <w:br w:type="textWrapping"/>
            </w:r>
            <w:r>
              <w:rPr>
                <w:rStyle w:val="11"/>
                <w:rFonts w:hint="eastAsia"/>
              </w:rPr>
              <w:t>皮肤接触：立即脱掉被污染的衣物，用大量清水冲洗被污染的皮肤15-20分钟，请医生诊治。眼睛溅入：立即将眼睑翻开，用清水轻缓冲洗15-20分钟，请医生诊治。发生吸入：立即将吸入者转移至空气新鲜处，若吸入者停止呼吸，需要进行人工呼吸，立即请医生诊治。误服：请勿食用促进吸收本品的食品，如脂肪（牛奶，蓖麻油）或酒类等。请立即服食活性炭（医用活性炭）。立即携带标签，送医就诊。注意生命体征及中枢神经系统症状。无专用解毒剂，对症治疗。</w:t>
            </w:r>
          </w:p>
        </w:tc>
      </w:tr>
      <w:tr w14:paraId="7F8BCF68">
        <w:tblPrEx>
          <w:tblCellMar>
            <w:top w:w="0" w:type="dxa"/>
            <w:left w:w="0" w:type="dxa"/>
            <w:bottom w:w="0" w:type="dxa"/>
            <w:right w:w="0" w:type="dxa"/>
          </w:tblCellMar>
        </w:tblPrEx>
        <w:trPr>
          <w:wBefore w:w="0" w:type="auto"/>
          <w:tblCellSpacing w:w="0" w:type="dxa"/>
        </w:trPr>
        <w:tc>
          <w:tcPr>
            <w:tcW w:w="0" w:type="auto"/>
            <w:noWrap w:val="0"/>
            <w:vAlign w:val="center"/>
          </w:tcPr>
          <w:p w14:paraId="6AD7BE8C">
            <w:r>
              <w:rPr>
                <w:rStyle w:val="10"/>
                <w:rFonts w:hint="eastAsia"/>
              </w:rPr>
              <w:t>储存和运输方法：</w:t>
            </w:r>
            <w:r>
              <w:rPr>
                <w:rFonts w:hint="eastAsia"/>
              </w:rPr>
              <w:br w:type="textWrapping"/>
            </w:r>
            <w:r>
              <w:rPr>
                <w:rStyle w:val="11"/>
                <w:rFonts w:hint="eastAsia"/>
              </w:rPr>
              <w:t>1.远离儿童，放于儿童及无关人员触及不到的地方，并加锁。 2.不能与食品、饮料、粮食、饲料等物品同贮同运。 3.贮存于干燥、阴凉、通风、防雨处，远离火源或热源。</w:t>
            </w:r>
          </w:p>
        </w:tc>
      </w:tr>
      <w:tr w14:paraId="5506BF8B">
        <w:tblPrEx>
          <w:tblCellMar>
            <w:top w:w="0" w:type="dxa"/>
            <w:left w:w="0" w:type="dxa"/>
            <w:bottom w:w="0" w:type="dxa"/>
            <w:right w:w="0" w:type="dxa"/>
          </w:tblCellMar>
        </w:tblPrEx>
        <w:trPr>
          <w:wBefore w:w="0" w:type="auto"/>
          <w:tblCellSpacing w:w="0" w:type="dxa"/>
        </w:trPr>
        <w:tc>
          <w:tcPr>
            <w:tcW w:w="0" w:type="auto"/>
            <w:noWrap w:val="0"/>
            <w:vAlign w:val="center"/>
          </w:tcPr>
          <w:p w14:paraId="011585EE">
            <w:r>
              <w:rPr>
                <w:rStyle w:val="10"/>
                <w:rFonts w:hint="eastAsia"/>
              </w:rPr>
              <w:t>质量保证期：</w:t>
            </w:r>
            <w:r>
              <w:rPr>
                <w:rStyle w:val="11"/>
                <w:rFonts w:hint="eastAsia"/>
              </w:rPr>
              <w:t>2年</w:t>
            </w:r>
          </w:p>
        </w:tc>
      </w:tr>
      <w:tr w14:paraId="278F665F">
        <w:tblPrEx>
          <w:tblCellMar>
            <w:top w:w="0" w:type="dxa"/>
            <w:left w:w="0" w:type="dxa"/>
            <w:bottom w:w="0" w:type="dxa"/>
            <w:right w:w="0" w:type="dxa"/>
          </w:tblCellMar>
        </w:tblPrEx>
        <w:trPr>
          <w:wBefore w:w="0" w:type="auto"/>
          <w:tblCellSpacing w:w="0" w:type="dxa"/>
        </w:trPr>
        <w:tc>
          <w:tcPr>
            <w:tcW w:w="0" w:type="auto"/>
            <w:noWrap w:val="0"/>
            <w:vAlign w:val="center"/>
          </w:tcPr>
          <w:p w14:paraId="61DE0863">
            <w:r>
              <w:rPr>
                <w:rStyle w:val="10"/>
                <w:rFonts w:hint="eastAsia"/>
              </w:rPr>
              <w:t>备注：</w:t>
            </w:r>
          </w:p>
        </w:tc>
      </w:tr>
    </w:tbl>
    <w:p w14:paraId="790B0D7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C39AAD">
        <w:tblPrEx>
          <w:tblCellMar>
            <w:top w:w="0" w:type="dxa"/>
            <w:left w:w="0" w:type="dxa"/>
            <w:bottom w:w="0" w:type="dxa"/>
            <w:right w:w="0" w:type="dxa"/>
          </w:tblCellMar>
        </w:tblPrEx>
        <w:trPr>
          <w:wBefore w:w="0" w:type="auto"/>
          <w:tblCellSpacing w:w="0" w:type="dxa"/>
        </w:trPr>
        <w:tc>
          <w:tcPr>
            <w:tcW w:w="0" w:type="auto"/>
            <w:noWrap w:val="0"/>
            <w:vAlign w:val="center"/>
          </w:tcPr>
          <w:p w14:paraId="574A16B5">
            <w:r>
              <w:rPr>
                <w:rStyle w:val="10"/>
                <w:rFonts w:hint="eastAsia"/>
              </w:rPr>
              <w:t>登记证号：</w:t>
            </w:r>
            <w:r>
              <w:rPr>
                <w:rFonts w:hint="eastAsia"/>
              </w:rPr>
              <w:t>PD20212240</w:t>
            </w:r>
          </w:p>
        </w:tc>
      </w:tr>
      <w:tr w14:paraId="49828553">
        <w:tblPrEx>
          <w:tblCellMar>
            <w:top w:w="0" w:type="dxa"/>
            <w:left w:w="0" w:type="dxa"/>
            <w:bottom w:w="0" w:type="dxa"/>
            <w:right w:w="0" w:type="dxa"/>
          </w:tblCellMar>
        </w:tblPrEx>
        <w:trPr>
          <w:wBefore w:w="0" w:type="auto"/>
          <w:tblCellSpacing w:w="0" w:type="dxa"/>
        </w:trPr>
        <w:tc>
          <w:tcPr>
            <w:tcW w:w="0" w:type="auto"/>
            <w:noWrap w:val="0"/>
            <w:vAlign w:val="center"/>
          </w:tcPr>
          <w:p w14:paraId="32C93C83">
            <w:r>
              <w:rPr>
                <w:rStyle w:val="10"/>
                <w:rFonts w:hint="eastAsia"/>
              </w:rPr>
              <w:t>登记证持有人：</w:t>
            </w:r>
            <w:r>
              <w:rPr>
                <w:rFonts w:hint="eastAsia"/>
              </w:rPr>
              <w:t>黑龙江省卫星生物科技有限公司</w:t>
            </w:r>
          </w:p>
        </w:tc>
      </w:tr>
      <w:tr w14:paraId="704817E9">
        <w:tblPrEx>
          <w:tblCellMar>
            <w:top w:w="0" w:type="dxa"/>
            <w:left w:w="0" w:type="dxa"/>
            <w:bottom w:w="0" w:type="dxa"/>
            <w:right w:w="0" w:type="dxa"/>
          </w:tblCellMar>
        </w:tblPrEx>
        <w:trPr>
          <w:wBefore w:w="0" w:type="auto"/>
          <w:tblCellSpacing w:w="0" w:type="dxa"/>
        </w:trPr>
        <w:tc>
          <w:tcPr>
            <w:tcW w:w="0" w:type="auto"/>
            <w:noWrap w:val="0"/>
            <w:vAlign w:val="center"/>
          </w:tcPr>
          <w:p w14:paraId="19C501F4">
            <w:r>
              <w:rPr>
                <w:rStyle w:val="10"/>
                <w:rFonts w:hint="eastAsia"/>
              </w:rPr>
              <w:t>农药名称：</w:t>
            </w:r>
            <w:r>
              <w:rPr>
                <w:rFonts w:hint="eastAsia"/>
              </w:rPr>
              <w:t>吡嘧·五氟磺</w:t>
            </w:r>
          </w:p>
        </w:tc>
      </w:tr>
      <w:tr w14:paraId="4389B1D3">
        <w:tblPrEx>
          <w:tblCellMar>
            <w:top w:w="0" w:type="dxa"/>
            <w:left w:w="0" w:type="dxa"/>
            <w:bottom w:w="0" w:type="dxa"/>
            <w:right w:w="0" w:type="dxa"/>
          </w:tblCellMar>
        </w:tblPrEx>
        <w:trPr>
          <w:wBefore w:w="0" w:type="auto"/>
          <w:tblCellSpacing w:w="0" w:type="dxa"/>
        </w:trPr>
        <w:tc>
          <w:tcPr>
            <w:tcW w:w="0" w:type="auto"/>
            <w:noWrap w:val="0"/>
            <w:vAlign w:val="center"/>
          </w:tcPr>
          <w:p w14:paraId="0D87CE3A">
            <w:r>
              <w:rPr>
                <w:rStyle w:val="10"/>
                <w:rFonts w:hint="eastAsia"/>
              </w:rPr>
              <w:t>剂型：</w:t>
            </w:r>
            <w:r>
              <w:rPr>
                <w:rFonts w:hint="eastAsia"/>
              </w:rPr>
              <w:t>颗粒剂</w:t>
            </w:r>
          </w:p>
        </w:tc>
      </w:tr>
      <w:tr w14:paraId="303361BC">
        <w:tblPrEx>
          <w:tblCellMar>
            <w:top w:w="0" w:type="dxa"/>
            <w:left w:w="0" w:type="dxa"/>
            <w:bottom w:w="0" w:type="dxa"/>
            <w:right w:w="0" w:type="dxa"/>
          </w:tblCellMar>
        </w:tblPrEx>
        <w:trPr>
          <w:wBefore w:w="0" w:type="auto"/>
          <w:tblCellSpacing w:w="0" w:type="dxa"/>
        </w:trPr>
        <w:tc>
          <w:tcPr>
            <w:tcW w:w="0" w:type="auto"/>
            <w:noWrap w:val="0"/>
            <w:vAlign w:val="center"/>
          </w:tcPr>
          <w:p w14:paraId="0E1D2647">
            <w:r>
              <w:rPr>
                <w:rStyle w:val="10"/>
                <w:rFonts w:hint="eastAsia"/>
              </w:rPr>
              <w:t>毒性及其标识：</w:t>
            </w:r>
            <w:r>
              <w:rPr>
                <w:rFonts w:hint="eastAsia"/>
              </w:rPr>
              <w:t xml:space="preserve"> </w:t>
            </w:r>
            <w:r>
              <w:rPr>
                <w:lang/>
              </w:rPr>
              <w:drawing>
                <wp:inline distT="0" distB="0" distL="114300" distR="114300">
                  <wp:extent cx="476250" cy="323850"/>
                  <wp:effectExtent l="0" t="0" r="0" b="0"/>
                  <wp:docPr id="259" name="图片 25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064DF85">
        <w:tblPrEx>
          <w:tblCellMar>
            <w:top w:w="0" w:type="dxa"/>
            <w:left w:w="0" w:type="dxa"/>
            <w:bottom w:w="0" w:type="dxa"/>
            <w:right w:w="0" w:type="dxa"/>
          </w:tblCellMar>
        </w:tblPrEx>
        <w:trPr>
          <w:wBefore w:w="0" w:type="auto"/>
          <w:tblCellSpacing w:w="0" w:type="dxa"/>
        </w:trPr>
        <w:tc>
          <w:tcPr>
            <w:tcW w:w="0" w:type="auto"/>
            <w:noWrap w:val="0"/>
            <w:vAlign w:val="center"/>
          </w:tcPr>
          <w:p w14:paraId="57FDC042">
            <w:r>
              <w:rPr>
                <w:rStyle w:val="10"/>
                <w:rFonts w:hint="eastAsia"/>
              </w:rPr>
              <w:t>总有效成分含量：</w:t>
            </w:r>
            <w:r>
              <w:rPr>
                <w:rFonts w:hint="eastAsia"/>
              </w:rPr>
              <w:t>0.03%</w:t>
            </w:r>
          </w:p>
        </w:tc>
      </w:tr>
      <w:tr w14:paraId="1755D200">
        <w:tblPrEx>
          <w:tblCellMar>
            <w:top w:w="0" w:type="dxa"/>
            <w:left w:w="0" w:type="dxa"/>
            <w:bottom w:w="0" w:type="dxa"/>
            <w:right w:w="0" w:type="dxa"/>
          </w:tblCellMar>
        </w:tblPrEx>
        <w:trPr>
          <w:wBefore w:w="0" w:type="auto"/>
          <w:tblCellSpacing w:w="0" w:type="dxa"/>
        </w:trPr>
        <w:tc>
          <w:tcPr>
            <w:tcW w:w="0" w:type="auto"/>
            <w:noWrap w:val="0"/>
            <w:vAlign w:val="center"/>
          </w:tcPr>
          <w:p w14:paraId="45E4991F">
            <w:r>
              <w:rPr>
                <w:rFonts w:hint="eastAsia"/>
              </w:rPr>
              <w:t xml:space="preserve">有效成分及其含量： </w:t>
            </w:r>
          </w:p>
          <w:p w14:paraId="528DBB11">
            <w:r>
              <w:rPr>
                <w:rFonts w:hint="eastAsia"/>
              </w:rPr>
              <w:t xml:space="preserve">    五氟磺草胺0.018%    吡嘧磺隆0.012%    </w:t>
            </w:r>
          </w:p>
        </w:tc>
      </w:tr>
      <w:tr w14:paraId="699436CB">
        <w:tblPrEx>
          <w:tblCellMar>
            <w:top w:w="0" w:type="dxa"/>
            <w:left w:w="0" w:type="dxa"/>
            <w:bottom w:w="0" w:type="dxa"/>
            <w:right w:w="0" w:type="dxa"/>
          </w:tblCellMar>
        </w:tblPrEx>
        <w:trPr>
          <w:wBefore w:w="0" w:type="auto"/>
          <w:tblCellSpacing w:w="0" w:type="dxa"/>
        </w:trPr>
        <w:tc>
          <w:tcPr>
            <w:tcW w:w="0" w:type="auto"/>
            <w:noWrap w:val="0"/>
            <w:vAlign w:val="center"/>
          </w:tcPr>
          <w:p w14:paraId="4BD116B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DD9FC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9EFB93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0B4902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CCD04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C45968E">
                  <w:r>
                    <w:rPr>
                      <w:rStyle w:val="11"/>
                      <w:rFonts w:hint="eastAsia"/>
                    </w:rPr>
                    <w:t>施用方式</w:t>
                  </w:r>
                </w:p>
              </w:tc>
            </w:tr>
            <w:tr w14:paraId="634F1DE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462D74">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094BC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85470A">
                  <w:r>
                    <w:rPr>
                      <w:rStyle w:val="11"/>
                      <w:rFonts w:hint="eastAsia"/>
                    </w:rPr>
                    <w:t>10千克-13千克/亩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01E336">
                  <w:r>
                    <w:rPr>
                      <w:rStyle w:val="11"/>
                      <w:rFonts w:hint="eastAsia"/>
                    </w:rPr>
                    <w:t>撒施</w:t>
                  </w:r>
                </w:p>
              </w:tc>
            </w:tr>
          </w:tbl>
          <w:p w14:paraId="243CDDAE">
            <w:pPr>
              <w:rPr>
                <w:rFonts w:ascii="Times New Roman" w:hAnsi="Times New Roman" w:cs="Times New Roman"/>
                <w:sz w:val="20"/>
                <w:szCs w:val="20"/>
              </w:rPr>
            </w:pPr>
          </w:p>
        </w:tc>
      </w:tr>
      <w:tr w14:paraId="45EE5411">
        <w:tblPrEx>
          <w:tblCellMar>
            <w:top w:w="0" w:type="dxa"/>
            <w:left w:w="0" w:type="dxa"/>
            <w:bottom w:w="0" w:type="dxa"/>
            <w:right w:w="0" w:type="dxa"/>
          </w:tblCellMar>
        </w:tblPrEx>
        <w:trPr>
          <w:wBefore w:w="0" w:type="auto"/>
          <w:tblCellSpacing w:w="0" w:type="dxa"/>
        </w:trPr>
        <w:tc>
          <w:tcPr>
            <w:tcW w:w="0" w:type="auto"/>
            <w:noWrap w:val="0"/>
            <w:vAlign w:val="center"/>
          </w:tcPr>
          <w:p w14:paraId="4DAC5788">
            <w:r>
              <w:rPr>
                <w:rStyle w:val="10"/>
                <w:rFonts w:hint="eastAsia"/>
              </w:rPr>
              <w:t>使用技术要求:</w:t>
            </w:r>
            <w:r>
              <w:rPr>
                <w:rFonts w:hint="eastAsia"/>
              </w:rPr>
              <w:br w:type="textWrapping"/>
            </w:r>
            <w:r>
              <w:rPr>
                <w:rStyle w:val="11"/>
                <w:rFonts w:hint="eastAsia"/>
              </w:rPr>
              <w:t>1. 于水稻移栽缓苗后，直接撒施施药，施药时田内保持2-5厘米水层，保水7-10天，只灌不排，之后待其自然落干。 2. 大风天或预计1小时内下雨，请勿施药。</w:t>
            </w:r>
          </w:p>
        </w:tc>
      </w:tr>
      <w:tr w14:paraId="6900273C">
        <w:tblPrEx>
          <w:tblCellMar>
            <w:top w:w="0" w:type="dxa"/>
            <w:left w:w="0" w:type="dxa"/>
            <w:bottom w:w="0" w:type="dxa"/>
            <w:right w:w="0" w:type="dxa"/>
          </w:tblCellMar>
        </w:tblPrEx>
        <w:trPr>
          <w:wBefore w:w="0" w:type="auto"/>
          <w:tblCellSpacing w:w="0" w:type="dxa"/>
        </w:trPr>
        <w:tc>
          <w:tcPr>
            <w:tcW w:w="0" w:type="auto"/>
            <w:noWrap w:val="0"/>
            <w:vAlign w:val="center"/>
          </w:tcPr>
          <w:p w14:paraId="124EA3D3">
            <w:r>
              <w:rPr>
                <w:rStyle w:val="10"/>
                <w:rFonts w:hint="eastAsia"/>
              </w:rPr>
              <w:t>产品性能:</w:t>
            </w:r>
            <w:r>
              <w:rPr>
                <w:rFonts w:hint="eastAsia"/>
              </w:rPr>
              <w:br w:type="textWrapping"/>
            </w:r>
            <w:r>
              <w:rPr>
                <w:rStyle w:val="11"/>
                <w:rFonts w:hint="eastAsia"/>
              </w:rPr>
              <w:t>五氟磺草胺属支链氨基酸合成抑制剂，为选择性内吸型苗前苗后处理除草剂，主要由叶片吸收，其次经根部吸收，随后经韧皮部和木质部传导至其它部位。吡嘧磺隆具有内吸性，经根部、叶片吸收并传导至分生组织。其药效不受温度影响，可有效控制水稻生长期的多种杂草危害。两者混配可用于防除水稻移栽田一年生杂草。</w:t>
            </w:r>
          </w:p>
        </w:tc>
      </w:tr>
      <w:tr w14:paraId="4DD19482">
        <w:tblPrEx>
          <w:tblCellMar>
            <w:top w:w="0" w:type="dxa"/>
            <w:left w:w="0" w:type="dxa"/>
            <w:bottom w:w="0" w:type="dxa"/>
            <w:right w:w="0" w:type="dxa"/>
          </w:tblCellMar>
        </w:tblPrEx>
        <w:trPr>
          <w:wBefore w:w="0" w:type="auto"/>
          <w:tblCellSpacing w:w="0" w:type="dxa"/>
        </w:trPr>
        <w:tc>
          <w:tcPr>
            <w:tcW w:w="0" w:type="auto"/>
            <w:noWrap w:val="0"/>
            <w:vAlign w:val="center"/>
          </w:tcPr>
          <w:p w14:paraId="565BC393">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皮肤接触及口鼻吸入。使用中不可吸烟、饮水及吃东西，使用后及时用大量清水和肥皂清洗手、脸等暴露部位皮肤并更换衣物。 2. 鸟类保护区禁用，施药后立即覆土。本品对藻类等水生生物有毒，远离水产养殖区、河塘等水体施药，禁止在河塘等水体中清洗施药器具，鱼或虾蟹套养稻田禁用，施药后的田水不得直接排入水体。 3. 建议与其它作用机制的除草剂轮换使用。 4. 用过的容器应妥善处理，不可做他用，也不可随意丢弃。 5. 禁止儿童、孕妇及哺乳期的妇女接触。过敏者禁用，使用中有任何不良反应请及时就医。</w:t>
            </w:r>
          </w:p>
        </w:tc>
      </w:tr>
      <w:tr w14:paraId="21D87EDB">
        <w:tblPrEx>
          <w:tblCellMar>
            <w:top w:w="0" w:type="dxa"/>
            <w:left w:w="0" w:type="dxa"/>
            <w:bottom w:w="0" w:type="dxa"/>
            <w:right w:w="0" w:type="dxa"/>
          </w:tblCellMar>
        </w:tblPrEx>
        <w:trPr>
          <w:wBefore w:w="0" w:type="auto"/>
          <w:tblCellSpacing w:w="0" w:type="dxa"/>
        </w:trPr>
        <w:tc>
          <w:tcPr>
            <w:tcW w:w="0" w:type="auto"/>
            <w:noWrap w:val="0"/>
            <w:vAlign w:val="center"/>
          </w:tcPr>
          <w:p w14:paraId="4FE4CAF0">
            <w:r>
              <w:rPr>
                <w:rStyle w:val="10"/>
                <w:rFonts w:hint="eastAsia"/>
              </w:rPr>
              <w:t>中毒急救措施：</w:t>
            </w:r>
            <w:r>
              <w:rPr>
                <w:rFonts w:hint="eastAsia"/>
              </w:rPr>
              <w:br w:type="textWrapping"/>
            </w:r>
            <w:r>
              <w:rPr>
                <w:rStyle w:val="11"/>
                <w:rFonts w:hint="eastAsia"/>
              </w:rPr>
              <w:t xml:space="preserve">中毒症状：对眼睛有刺激性。 急救措施：使用中或使用后如果感觉不适，应立即停止工作，采取急救措施，并携带标签送医院就诊。 皮肤接触：立即脱去污染的衣物，用软布去除沾染农药，用大量清水和肥皂冲洗。 眼睛溅入：立即用流动清水冲洗不少于15分钟。 吸入：立即离开施药现场，转移到空气清新处。 误食：立即停止服用，用清水充分漱口后，携带农药标签到医院就诊。 </w:t>
            </w:r>
          </w:p>
        </w:tc>
      </w:tr>
      <w:tr w14:paraId="6360F64A">
        <w:tblPrEx>
          <w:tblCellMar>
            <w:top w:w="0" w:type="dxa"/>
            <w:left w:w="0" w:type="dxa"/>
            <w:bottom w:w="0" w:type="dxa"/>
            <w:right w:w="0" w:type="dxa"/>
          </w:tblCellMar>
        </w:tblPrEx>
        <w:trPr>
          <w:wBefore w:w="0" w:type="auto"/>
          <w:tblCellSpacing w:w="0" w:type="dxa"/>
        </w:trPr>
        <w:tc>
          <w:tcPr>
            <w:tcW w:w="0" w:type="auto"/>
            <w:noWrap w:val="0"/>
            <w:vAlign w:val="center"/>
          </w:tcPr>
          <w:p w14:paraId="624742C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本品应贮存在干燥、阴凉、通风、防雨处，远离火源或热源。置于儿童、无关人员接触不到的地方。不能与食品、饮料、粮食、饲料等混合储存。</w:t>
            </w:r>
          </w:p>
        </w:tc>
      </w:tr>
      <w:tr w14:paraId="61D0C983">
        <w:tblPrEx>
          <w:tblCellMar>
            <w:top w:w="0" w:type="dxa"/>
            <w:left w:w="0" w:type="dxa"/>
            <w:bottom w:w="0" w:type="dxa"/>
            <w:right w:w="0" w:type="dxa"/>
          </w:tblCellMar>
        </w:tblPrEx>
        <w:trPr>
          <w:wBefore w:w="0" w:type="auto"/>
          <w:tblCellSpacing w:w="0" w:type="dxa"/>
        </w:trPr>
        <w:tc>
          <w:tcPr>
            <w:tcW w:w="0" w:type="auto"/>
            <w:noWrap w:val="0"/>
            <w:vAlign w:val="center"/>
          </w:tcPr>
          <w:p w14:paraId="752B7977">
            <w:r>
              <w:rPr>
                <w:rStyle w:val="10"/>
                <w:rFonts w:hint="eastAsia"/>
              </w:rPr>
              <w:t>质量保证期：</w:t>
            </w:r>
            <w:r>
              <w:rPr>
                <w:rStyle w:val="11"/>
                <w:rFonts w:hint="eastAsia"/>
              </w:rPr>
              <w:t>2年</w:t>
            </w:r>
          </w:p>
        </w:tc>
      </w:tr>
      <w:tr w14:paraId="525189EB">
        <w:tblPrEx>
          <w:tblCellMar>
            <w:top w:w="0" w:type="dxa"/>
            <w:left w:w="0" w:type="dxa"/>
            <w:bottom w:w="0" w:type="dxa"/>
            <w:right w:w="0" w:type="dxa"/>
          </w:tblCellMar>
        </w:tblPrEx>
        <w:trPr>
          <w:wBefore w:w="0" w:type="auto"/>
          <w:tblCellSpacing w:w="0" w:type="dxa"/>
        </w:trPr>
        <w:tc>
          <w:tcPr>
            <w:tcW w:w="0" w:type="auto"/>
            <w:noWrap w:val="0"/>
            <w:vAlign w:val="center"/>
          </w:tcPr>
          <w:p w14:paraId="39366A87">
            <w:r>
              <w:rPr>
                <w:rStyle w:val="10"/>
                <w:rFonts w:hint="eastAsia"/>
              </w:rPr>
              <w:t>备注：</w:t>
            </w:r>
          </w:p>
        </w:tc>
      </w:tr>
    </w:tbl>
    <w:p w14:paraId="532ABC7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BDE1CBA">
        <w:tblPrEx>
          <w:tblCellMar>
            <w:top w:w="0" w:type="dxa"/>
            <w:left w:w="0" w:type="dxa"/>
            <w:bottom w:w="0" w:type="dxa"/>
            <w:right w:w="0" w:type="dxa"/>
          </w:tblCellMar>
        </w:tblPrEx>
        <w:trPr>
          <w:wBefore w:w="0" w:type="auto"/>
          <w:tblCellSpacing w:w="0" w:type="dxa"/>
        </w:trPr>
        <w:tc>
          <w:tcPr>
            <w:tcW w:w="0" w:type="auto"/>
            <w:noWrap w:val="0"/>
            <w:vAlign w:val="center"/>
          </w:tcPr>
          <w:p w14:paraId="2B19037B">
            <w:r>
              <w:rPr>
                <w:rStyle w:val="10"/>
                <w:rFonts w:hint="eastAsia"/>
              </w:rPr>
              <w:t>登记证号：</w:t>
            </w:r>
            <w:r>
              <w:rPr>
                <w:rFonts w:hint="eastAsia"/>
              </w:rPr>
              <w:t>PD20211704</w:t>
            </w:r>
          </w:p>
        </w:tc>
      </w:tr>
      <w:tr w14:paraId="3F1A4ABC">
        <w:tblPrEx>
          <w:tblCellMar>
            <w:top w:w="0" w:type="dxa"/>
            <w:left w:w="0" w:type="dxa"/>
            <w:bottom w:w="0" w:type="dxa"/>
            <w:right w:w="0" w:type="dxa"/>
          </w:tblCellMar>
        </w:tblPrEx>
        <w:trPr>
          <w:wBefore w:w="0" w:type="auto"/>
          <w:tblCellSpacing w:w="0" w:type="dxa"/>
        </w:trPr>
        <w:tc>
          <w:tcPr>
            <w:tcW w:w="0" w:type="auto"/>
            <w:noWrap w:val="0"/>
            <w:vAlign w:val="center"/>
          </w:tcPr>
          <w:p w14:paraId="55F75C5B">
            <w:r>
              <w:rPr>
                <w:rStyle w:val="10"/>
                <w:rFonts w:hint="eastAsia"/>
              </w:rPr>
              <w:t>登记证持有人：</w:t>
            </w:r>
            <w:r>
              <w:rPr>
                <w:rFonts w:hint="eastAsia"/>
              </w:rPr>
              <w:t>河南省孟州市华丰生化农药有限公司</w:t>
            </w:r>
          </w:p>
        </w:tc>
      </w:tr>
      <w:tr w14:paraId="37BCB680">
        <w:tblPrEx>
          <w:tblCellMar>
            <w:top w:w="0" w:type="dxa"/>
            <w:left w:w="0" w:type="dxa"/>
            <w:bottom w:w="0" w:type="dxa"/>
            <w:right w:w="0" w:type="dxa"/>
          </w:tblCellMar>
        </w:tblPrEx>
        <w:trPr>
          <w:wBefore w:w="0" w:type="auto"/>
          <w:tblCellSpacing w:w="0" w:type="dxa"/>
        </w:trPr>
        <w:tc>
          <w:tcPr>
            <w:tcW w:w="0" w:type="auto"/>
            <w:noWrap w:val="0"/>
            <w:vAlign w:val="center"/>
          </w:tcPr>
          <w:p w14:paraId="67405D51">
            <w:r>
              <w:rPr>
                <w:rStyle w:val="10"/>
                <w:rFonts w:hint="eastAsia"/>
              </w:rPr>
              <w:t>农药名称：</w:t>
            </w:r>
            <w:r>
              <w:rPr>
                <w:rFonts w:hint="eastAsia"/>
              </w:rPr>
              <w:t>咯菌腈·噻虫胺·噻呋</w:t>
            </w:r>
          </w:p>
        </w:tc>
      </w:tr>
      <w:tr w14:paraId="45AF2EBF">
        <w:tblPrEx>
          <w:tblCellMar>
            <w:top w:w="0" w:type="dxa"/>
            <w:left w:w="0" w:type="dxa"/>
            <w:bottom w:w="0" w:type="dxa"/>
            <w:right w:w="0" w:type="dxa"/>
          </w:tblCellMar>
        </w:tblPrEx>
        <w:trPr>
          <w:wBefore w:w="0" w:type="auto"/>
          <w:tblCellSpacing w:w="0" w:type="dxa"/>
        </w:trPr>
        <w:tc>
          <w:tcPr>
            <w:tcW w:w="0" w:type="auto"/>
            <w:noWrap w:val="0"/>
            <w:vAlign w:val="center"/>
          </w:tcPr>
          <w:p w14:paraId="4C761480">
            <w:r>
              <w:rPr>
                <w:rStyle w:val="10"/>
                <w:rFonts w:hint="eastAsia"/>
              </w:rPr>
              <w:t>剂型：</w:t>
            </w:r>
            <w:r>
              <w:rPr>
                <w:rFonts w:hint="eastAsia"/>
              </w:rPr>
              <w:t>种子处理悬浮剂</w:t>
            </w:r>
          </w:p>
        </w:tc>
      </w:tr>
      <w:tr w14:paraId="2E18D8EB">
        <w:tblPrEx>
          <w:tblCellMar>
            <w:top w:w="0" w:type="dxa"/>
            <w:left w:w="0" w:type="dxa"/>
            <w:bottom w:w="0" w:type="dxa"/>
            <w:right w:w="0" w:type="dxa"/>
          </w:tblCellMar>
        </w:tblPrEx>
        <w:trPr>
          <w:wBefore w:w="0" w:type="auto"/>
          <w:tblCellSpacing w:w="0" w:type="dxa"/>
        </w:trPr>
        <w:tc>
          <w:tcPr>
            <w:tcW w:w="0" w:type="auto"/>
            <w:noWrap w:val="0"/>
            <w:vAlign w:val="center"/>
          </w:tcPr>
          <w:p w14:paraId="2EA99E40">
            <w:r>
              <w:rPr>
                <w:rStyle w:val="10"/>
                <w:rFonts w:hint="eastAsia"/>
              </w:rPr>
              <w:t>毒性及其标识：</w:t>
            </w:r>
            <w:r>
              <w:rPr>
                <w:rFonts w:hint="eastAsia"/>
              </w:rPr>
              <w:t xml:space="preserve"> </w:t>
            </w:r>
            <w:r>
              <w:rPr>
                <w:lang/>
              </w:rPr>
              <w:drawing>
                <wp:inline distT="0" distB="0" distL="114300" distR="114300">
                  <wp:extent cx="476250" cy="323850"/>
                  <wp:effectExtent l="0" t="0" r="0" b="0"/>
                  <wp:docPr id="260" name="图片 26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44EC0F4">
        <w:tblPrEx>
          <w:tblCellMar>
            <w:top w:w="0" w:type="dxa"/>
            <w:left w:w="0" w:type="dxa"/>
            <w:bottom w:w="0" w:type="dxa"/>
            <w:right w:w="0" w:type="dxa"/>
          </w:tblCellMar>
        </w:tblPrEx>
        <w:trPr>
          <w:wBefore w:w="0" w:type="auto"/>
          <w:tblCellSpacing w:w="0" w:type="dxa"/>
        </w:trPr>
        <w:tc>
          <w:tcPr>
            <w:tcW w:w="0" w:type="auto"/>
            <w:noWrap w:val="0"/>
            <w:vAlign w:val="center"/>
          </w:tcPr>
          <w:p w14:paraId="4FB893C8">
            <w:r>
              <w:rPr>
                <w:rStyle w:val="10"/>
                <w:rFonts w:hint="eastAsia"/>
              </w:rPr>
              <w:t>总有效成分含量：</w:t>
            </w:r>
            <w:r>
              <w:rPr>
                <w:rFonts w:hint="eastAsia"/>
              </w:rPr>
              <w:t>22%</w:t>
            </w:r>
          </w:p>
        </w:tc>
      </w:tr>
      <w:tr w14:paraId="308823B3">
        <w:tblPrEx>
          <w:tblCellMar>
            <w:top w:w="0" w:type="dxa"/>
            <w:left w:w="0" w:type="dxa"/>
            <w:bottom w:w="0" w:type="dxa"/>
            <w:right w:w="0" w:type="dxa"/>
          </w:tblCellMar>
        </w:tblPrEx>
        <w:trPr>
          <w:wBefore w:w="0" w:type="auto"/>
          <w:tblCellSpacing w:w="0" w:type="dxa"/>
        </w:trPr>
        <w:tc>
          <w:tcPr>
            <w:tcW w:w="0" w:type="auto"/>
            <w:noWrap w:val="0"/>
            <w:vAlign w:val="center"/>
          </w:tcPr>
          <w:p w14:paraId="3A340592">
            <w:r>
              <w:rPr>
                <w:rFonts w:hint="eastAsia"/>
              </w:rPr>
              <w:t xml:space="preserve">有效成分及其含量： </w:t>
            </w:r>
          </w:p>
          <w:p w14:paraId="4A4F3E11">
            <w:r>
              <w:rPr>
                <w:rFonts w:hint="eastAsia"/>
              </w:rPr>
              <w:t xml:space="preserve">    咯菌腈0.7%    噻虫胺20%    噻呋酰胺1.3%    </w:t>
            </w:r>
          </w:p>
        </w:tc>
      </w:tr>
      <w:tr w14:paraId="23232C6C">
        <w:tblPrEx>
          <w:tblCellMar>
            <w:top w:w="0" w:type="dxa"/>
            <w:left w:w="0" w:type="dxa"/>
            <w:bottom w:w="0" w:type="dxa"/>
            <w:right w:w="0" w:type="dxa"/>
          </w:tblCellMar>
        </w:tblPrEx>
        <w:trPr>
          <w:wBefore w:w="0" w:type="auto"/>
          <w:tblCellSpacing w:w="0" w:type="dxa"/>
        </w:trPr>
        <w:tc>
          <w:tcPr>
            <w:tcW w:w="0" w:type="auto"/>
            <w:noWrap w:val="0"/>
            <w:vAlign w:val="center"/>
          </w:tcPr>
          <w:p w14:paraId="35F20ED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BE991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C368BD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771178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99820F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F152F24">
                  <w:r>
                    <w:rPr>
                      <w:rStyle w:val="11"/>
                      <w:rFonts w:hint="eastAsia"/>
                    </w:rPr>
                    <w:t>施用方式</w:t>
                  </w:r>
                </w:p>
              </w:tc>
            </w:tr>
            <w:tr w14:paraId="626556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EA9AEC7">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0ADDA7">
                  <w:r>
                    <w:rPr>
                      <w:rStyle w:val="11"/>
                      <w:rFonts w:hint="eastAsia"/>
                    </w:rPr>
                    <w:t>白绢病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1B3F6B">
                  <w:r>
                    <w:rPr>
                      <w:rStyle w:val="11"/>
                      <w:rFonts w:hint="eastAsia"/>
                    </w:rPr>
                    <w:t>530-580毫升/100千克种子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3C7D52">
                  <w:r>
                    <w:rPr>
                      <w:rStyle w:val="11"/>
                      <w:rFonts w:hint="eastAsia"/>
                    </w:rPr>
                    <w:t>种子包衣</w:t>
                  </w:r>
                </w:p>
              </w:tc>
            </w:tr>
            <w:tr w14:paraId="60D9C3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51F776E">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276CB9">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EB1FD3">
                  <w:r>
                    <w:rPr>
                      <w:rStyle w:val="11"/>
                      <w:rFonts w:hint="eastAsia"/>
                    </w:rPr>
                    <w:t>530-580毫升/100千克种子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98A986">
                  <w:r>
                    <w:rPr>
                      <w:rStyle w:val="11"/>
                      <w:rFonts w:hint="eastAsia"/>
                    </w:rPr>
                    <w:t>种子包衣</w:t>
                  </w:r>
                </w:p>
              </w:tc>
            </w:tr>
          </w:tbl>
          <w:p w14:paraId="0C834923">
            <w:pPr>
              <w:rPr>
                <w:rFonts w:ascii="Times New Roman" w:hAnsi="Times New Roman" w:cs="Times New Roman"/>
                <w:sz w:val="20"/>
                <w:szCs w:val="20"/>
              </w:rPr>
            </w:pPr>
          </w:p>
        </w:tc>
      </w:tr>
      <w:tr w14:paraId="7D882150">
        <w:tblPrEx>
          <w:tblCellMar>
            <w:top w:w="0" w:type="dxa"/>
            <w:left w:w="0" w:type="dxa"/>
            <w:bottom w:w="0" w:type="dxa"/>
            <w:right w:w="0" w:type="dxa"/>
          </w:tblCellMar>
        </w:tblPrEx>
        <w:trPr>
          <w:wBefore w:w="0" w:type="auto"/>
          <w:tblCellSpacing w:w="0" w:type="dxa"/>
        </w:trPr>
        <w:tc>
          <w:tcPr>
            <w:tcW w:w="0" w:type="auto"/>
            <w:noWrap w:val="0"/>
            <w:vAlign w:val="center"/>
          </w:tcPr>
          <w:p w14:paraId="7B859878">
            <w:r>
              <w:rPr>
                <w:rStyle w:val="10"/>
                <w:rFonts w:hint="eastAsia"/>
              </w:rPr>
              <w:t>使用技术要求:</w:t>
            </w:r>
            <w:r>
              <w:rPr>
                <w:rFonts w:hint="eastAsia"/>
              </w:rPr>
              <w:br w:type="textWrapping"/>
            </w:r>
            <w:r>
              <w:rPr>
                <w:rStyle w:val="11"/>
                <w:rFonts w:hint="eastAsia"/>
              </w:rPr>
              <w:t>1. 花生播种前种子包衣施药1次。手工包衣：根据种子量确定制剂用药量，加适量清水，混合均匀调成浆状药液，倒在种子上充分搅拌，待均匀着药后，摊开晾于通风阴凉处。机械包衣：按推荐制剂用药量加适量清水，混合均匀后调成浆状药液；选用适宜的包衣机械，根据要求调整药种比进行包衣处理。 2. 播种时需考虑低温、大雨等不良环境影响，适时播种。</w:t>
            </w:r>
          </w:p>
        </w:tc>
      </w:tr>
      <w:tr w14:paraId="7CCAA6F5">
        <w:tblPrEx>
          <w:tblCellMar>
            <w:top w:w="0" w:type="dxa"/>
            <w:left w:w="0" w:type="dxa"/>
            <w:bottom w:w="0" w:type="dxa"/>
            <w:right w:w="0" w:type="dxa"/>
          </w:tblCellMar>
        </w:tblPrEx>
        <w:trPr>
          <w:wBefore w:w="0" w:type="auto"/>
          <w:tblCellSpacing w:w="0" w:type="dxa"/>
        </w:trPr>
        <w:tc>
          <w:tcPr>
            <w:tcW w:w="0" w:type="auto"/>
            <w:noWrap w:val="0"/>
            <w:vAlign w:val="center"/>
          </w:tcPr>
          <w:p w14:paraId="412BE757">
            <w:r>
              <w:rPr>
                <w:rStyle w:val="10"/>
                <w:rFonts w:hint="eastAsia"/>
              </w:rPr>
              <w:t>产品性能:</w:t>
            </w:r>
            <w:r>
              <w:rPr>
                <w:rFonts w:hint="eastAsia"/>
              </w:rPr>
              <w:br w:type="textWrapping"/>
            </w:r>
            <w:r>
              <w:rPr>
                <w:rStyle w:val="11"/>
                <w:rFonts w:hint="eastAsia"/>
              </w:rPr>
              <w:t>本品为三元复配杀虫杀菌剂。其中咯菌腈为非内吸苯吡咯类化合物，对子囊菌、担子菌、半知菌等许多病原菌引起的种传和土传病害有非常好的防效。噻虫胺是一种结构全新的烟碱类杀虫剂。用于种子处理，可被作物根迅速内吸，并传导到植株各部位。噻呋酰胺具有内吸传导性和长持效性，是琥珀酸酯脱氢酶抑制剂，对担子菌纲真菌引起的病害如白绢病等有效。</w:t>
            </w:r>
          </w:p>
        </w:tc>
      </w:tr>
      <w:tr w14:paraId="404304B1">
        <w:tblPrEx>
          <w:tblCellMar>
            <w:top w:w="0" w:type="dxa"/>
            <w:left w:w="0" w:type="dxa"/>
            <w:bottom w:w="0" w:type="dxa"/>
            <w:right w:w="0" w:type="dxa"/>
          </w:tblCellMar>
        </w:tblPrEx>
        <w:trPr>
          <w:wBefore w:w="0" w:type="auto"/>
          <w:tblCellSpacing w:w="0" w:type="dxa"/>
        </w:trPr>
        <w:tc>
          <w:tcPr>
            <w:tcW w:w="0" w:type="auto"/>
            <w:noWrap w:val="0"/>
            <w:vAlign w:val="center"/>
          </w:tcPr>
          <w:p w14:paraId="4ADEDBC0">
            <w:r>
              <w:rPr>
                <w:rStyle w:val="10"/>
                <w:rFonts w:hint="eastAsia"/>
              </w:rPr>
              <w:t>注意事项：</w:t>
            </w:r>
            <w:r>
              <w:rPr>
                <w:rFonts w:hint="eastAsia"/>
              </w:rPr>
              <w:br w:type="textWrapping"/>
            </w:r>
            <w:r>
              <w:rPr>
                <w:rStyle w:val="11"/>
                <w:rFonts w:hint="eastAsia"/>
              </w:rPr>
              <w:t>1. 使用本品时应采取安全防护措施，穿防护服，戴口罩、手套，避免刺激眼睛、皮肤接触及口鼻吸入，切勿吸烟或饮食。使用后及时洗手。 2. 本品对蜜蜂、鸟类有毒，使用时应密切关注对附近蜂群的影响，施药期间鸟类保护区附近禁用，播种后立即覆土，远离水产养殖区、河塘等水体施药，禁止在河塘等水体中清洗施药器具，施药后立即覆土。 3. 处理后的种子禁止供人畜食用，也不要与未处理种子混合或一起存放。4.本品勿与碱性农药等物质混合使用。5.用过的容器应妥善处理，不可做他用，也不可随意丢弃。6. 孕妇及哺乳期妇女禁止接触本品。</w:t>
            </w:r>
          </w:p>
        </w:tc>
      </w:tr>
      <w:tr w14:paraId="6AA90DFA">
        <w:tblPrEx>
          <w:tblCellMar>
            <w:top w:w="0" w:type="dxa"/>
            <w:left w:w="0" w:type="dxa"/>
            <w:bottom w:w="0" w:type="dxa"/>
            <w:right w:w="0" w:type="dxa"/>
          </w:tblCellMar>
        </w:tblPrEx>
        <w:trPr>
          <w:wBefore w:w="0" w:type="auto"/>
          <w:tblCellSpacing w:w="0" w:type="dxa"/>
        </w:trPr>
        <w:tc>
          <w:tcPr>
            <w:tcW w:w="0" w:type="auto"/>
            <w:noWrap w:val="0"/>
            <w:vAlign w:val="center"/>
          </w:tcPr>
          <w:p w14:paraId="1C6D3BB9">
            <w:r>
              <w:rPr>
                <w:rStyle w:val="10"/>
                <w:rFonts w:hint="eastAsia"/>
              </w:rPr>
              <w:t>中毒急救措施：</w:t>
            </w:r>
            <w:r>
              <w:rPr>
                <w:rFonts w:hint="eastAsia"/>
              </w:rPr>
              <w:br w:type="textWrapping"/>
            </w:r>
            <w:r>
              <w:rPr>
                <w:rStyle w:val="11"/>
                <w:rFonts w:hint="eastAsia"/>
              </w:rPr>
              <w:t xml:space="preserve">急救措施：1.皮肤接触：立即脱掉被污染的衣物，用大量清水冲洗；眼睛溅药：立即将眼睑翻开，用清水冲洗至少15分钟，再请医生诊治。 3.不慎吸入：立即将吸入者转移到空气新鲜处，如果吸入者停止呼吸， 需进行人工呼吸。请医生诊治。 4.误服：请用清水充分漱口后，立即携带标签，送医就诊。无专用解毒剂，对症治疗。 </w:t>
            </w:r>
          </w:p>
        </w:tc>
      </w:tr>
      <w:tr w14:paraId="1662A7FD">
        <w:tblPrEx>
          <w:tblCellMar>
            <w:top w:w="0" w:type="dxa"/>
            <w:left w:w="0" w:type="dxa"/>
            <w:bottom w:w="0" w:type="dxa"/>
            <w:right w:w="0" w:type="dxa"/>
          </w:tblCellMar>
        </w:tblPrEx>
        <w:trPr>
          <w:wBefore w:w="0" w:type="auto"/>
          <w:tblCellSpacing w:w="0" w:type="dxa"/>
        </w:trPr>
        <w:tc>
          <w:tcPr>
            <w:tcW w:w="0" w:type="auto"/>
            <w:noWrap w:val="0"/>
            <w:vAlign w:val="center"/>
          </w:tcPr>
          <w:p w14:paraId="3AB77842">
            <w:r>
              <w:rPr>
                <w:rStyle w:val="10"/>
                <w:rFonts w:hint="eastAsia"/>
              </w:rPr>
              <w:t>储存和运输方法：</w:t>
            </w:r>
            <w:r>
              <w:rPr>
                <w:rFonts w:hint="eastAsia"/>
              </w:rPr>
              <w:br w:type="textWrapping"/>
            </w:r>
            <w:r>
              <w:rPr>
                <w:rStyle w:val="11"/>
                <w:rFonts w:hint="eastAsia"/>
              </w:rPr>
              <w:t xml:space="preserve">本品贮存应注意阴凉、干燥、通风，远离火源、热源及儿童存放，并加锁；不能与食品、饮料、粮食、饲料等物品同贮同运。避免与皮肤、眼睛接触。装卸运输时注意检查包装是否密封完整，轻拿轻放，不可倒置。 </w:t>
            </w:r>
          </w:p>
        </w:tc>
      </w:tr>
      <w:tr w14:paraId="400102A0">
        <w:tblPrEx>
          <w:tblCellMar>
            <w:top w:w="0" w:type="dxa"/>
            <w:left w:w="0" w:type="dxa"/>
            <w:bottom w:w="0" w:type="dxa"/>
            <w:right w:w="0" w:type="dxa"/>
          </w:tblCellMar>
        </w:tblPrEx>
        <w:trPr>
          <w:wBefore w:w="0" w:type="auto"/>
          <w:tblCellSpacing w:w="0" w:type="dxa"/>
        </w:trPr>
        <w:tc>
          <w:tcPr>
            <w:tcW w:w="0" w:type="auto"/>
            <w:noWrap w:val="0"/>
            <w:vAlign w:val="center"/>
          </w:tcPr>
          <w:p w14:paraId="002CEE55">
            <w:r>
              <w:rPr>
                <w:rStyle w:val="10"/>
                <w:rFonts w:hint="eastAsia"/>
              </w:rPr>
              <w:t>质量保证期：</w:t>
            </w:r>
            <w:r>
              <w:rPr>
                <w:rStyle w:val="11"/>
                <w:rFonts w:hint="eastAsia"/>
              </w:rPr>
              <w:t>2年</w:t>
            </w:r>
          </w:p>
        </w:tc>
      </w:tr>
      <w:tr w14:paraId="38210D8D">
        <w:tblPrEx>
          <w:tblCellMar>
            <w:top w:w="0" w:type="dxa"/>
            <w:left w:w="0" w:type="dxa"/>
            <w:bottom w:w="0" w:type="dxa"/>
            <w:right w:w="0" w:type="dxa"/>
          </w:tblCellMar>
        </w:tblPrEx>
        <w:trPr>
          <w:wBefore w:w="0" w:type="auto"/>
          <w:tblCellSpacing w:w="0" w:type="dxa"/>
        </w:trPr>
        <w:tc>
          <w:tcPr>
            <w:tcW w:w="0" w:type="auto"/>
            <w:noWrap w:val="0"/>
            <w:vAlign w:val="center"/>
          </w:tcPr>
          <w:p w14:paraId="5D3F5B1B">
            <w:r>
              <w:rPr>
                <w:rStyle w:val="10"/>
                <w:rFonts w:hint="eastAsia"/>
              </w:rPr>
              <w:t>备注：</w:t>
            </w:r>
          </w:p>
        </w:tc>
      </w:tr>
    </w:tbl>
    <w:p w14:paraId="5C7CD0D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329214">
        <w:tblPrEx>
          <w:tblCellMar>
            <w:top w:w="0" w:type="dxa"/>
            <w:left w:w="0" w:type="dxa"/>
            <w:bottom w:w="0" w:type="dxa"/>
            <w:right w:w="0" w:type="dxa"/>
          </w:tblCellMar>
        </w:tblPrEx>
        <w:trPr>
          <w:wBefore w:w="0" w:type="auto"/>
          <w:tblCellSpacing w:w="0" w:type="dxa"/>
        </w:trPr>
        <w:tc>
          <w:tcPr>
            <w:tcW w:w="0" w:type="auto"/>
            <w:noWrap w:val="0"/>
            <w:vAlign w:val="center"/>
          </w:tcPr>
          <w:p w14:paraId="5BE4280D">
            <w:r>
              <w:rPr>
                <w:rStyle w:val="10"/>
                <w:rFonts w:hint="eastAsia"/>
              </w:rPr>
              <w:t>登记证号：</w:t>
            </w:r>
            <w:r>
              <w:rPr>
                <w:rFonts w:hint="eastAsia"/>
              </w:rPr>
              <w:t>PD20212088</w:t>
            </w:r>
          </w:p>
        </w:tc>
      </w:tr>
      <w:tr w14:paraId="2338D31F">
        <w:tblPrEx>
          <w:tblCellMar>
            <w:top w:w="0" w:type="dxa"/>
            <w:left w:w="0" w:type="dxa"/>
            <w:bottom w:w="0" w:type="dxa"/>
            <w:right w:w="0" w:type="dxa"/>
          </w:tblCellMar>
        </w:tblPrEx>
        <w:trPr>
          <w:wBefore w:w="0" w:type="auto"/>
          <w:tblCellSpacing w:w="0" w:type="dxa"/>
        </w:trPr>
        <w:tc>
          <w:tcPr>
            <w:tcW w:w="0" w:type="auto"/>
            <w:noWrap w:val="0"/>
            <w:vAlign w:val="center"/>
          </w:tcPr>
          <w:p w14:paraId="1BCFBD4F">
            <w:r>
              <w:rPr>
                <w:rStyle w:val="10"/>
                <w:rFonts w:hint="eastAsia"/>
              </w:rPr>
              <w:t>登记证持有人：</w:t>
            </w:r>
            <w:r>
              <w:rPr>
                <w:rFonts w:hint="eastAsia"/>
              </w:rPr>
              <w:t>张掖市大弓农化有限公司</w:t>
            </w:r>
          </w:p>
        </w:tc>
      </w:tr>
      <w:tr w14:paraId="1C725BD1">
        <w:tblPrEx>
          <w:tblCellMar>
            <w:top w:w="0" w:type="dxa"/>
            <w:left w:w="0" w:type="dxa"/>
            <w:bottom w:w="0" w:type="dxa"/>
            <w:right w:w="0" w:type="dxa"/>
          </w:tblCellMar>
        </w:tblPrEx>
        <w:trPr>
          <w:wBefore w:w="0" w:type="auto"/>
          <w:tblCellSpacing w:w="0" w:type="dxa"/>
        </w:trPr>
        <w:tc>
          <w:tcPr>
            <w:tcW w:w="0" w:type="auto"/>
            <w:noWrap w:val="0"/>
            <w:vAlign w:val="center"/>
          </w:tcPr>
          <w:p w14:paraId="2436A27D">
            <w:r>
              <w:rPr>
                <w:rStyle w:val="10"/>
                <w:rFonts w:hint="eastAsia"/>
              </w:rPr>
              <w:t>农药名称：</w:t>
            </w:r>
            <w:r>
              <w:rPr>
                <w:rFonts w:hint="eastAsia"/>
              </w:rPr>
              <w:t>乙氧氟草醚</w:t>
            </w:r>
          </w:p>
        </w:tc>
      </w:tr>
      <w:tr w14:paraId="4DAC3BE5">
        <w:tblPrEx>
          <w:tblCellMar>
            <w:top w:w="0" w:type="dxa"/>
            <w:left w:w="0" w:type="dxa"/>
            <w:bottom w:w="0" w:type="dxa"/>
            <w:right w:w="0" w:type="dxa"/>
          </w:tblCellMar>
        </w:tblPrEx>
        <w:trPr>
          <w:wBefore w:w="0" w:type="auto"/>
          <w:tblCellSpacing w:w="0" w:type="dxa"/>
        </w:trPr>
        <w:tc>
          <w:tcPr>
            <w:tcW w:w="0" w:type="auto"/>
            <w:noWrap w:val="0"/>
            <w:vAlign w:val="center"/>
          </w:tcPr>
          <w:p w14:paraId="16EFC102">
            <w:r>
              <w:rPr>
                <w:rStyle w:val="10"/>
                <w:rFonts w:hint="eastAsia"/>
              </w:rPr>
              <w:t>剂型：</w:t>
            </w:r>
            <w:r>
              <w:rPr>
                <w:rFonts w:hint="eastAsia"/>
              </w:rPr>
              <w:t>乳油</w:t>
            </w:r>
          </w:p>
        </w:tc>
      </w:tr>
      <w:tr w14:paraId="45643F6E">
        <w:tblPrEx>
          <w:tblCellMar>
            <w:top w:w="0" w:type="dxa"/>
            <w:left w:w="0" w:type="dxa"/>
            <w:bottom w:w="0" w:type="dxa"/>
            <w:right w:w="0" w:type="dxa"/>
          </w:tblCellMar>
        </w:tblPrEx>
        <w:trPr>
          <w:wBefore w:w="0" w:type="auto"/>
          <w:tblCellSpacing w:w="0" w:type="dxa"/>
        </w:trPr>
        <w:tc>
          <w:tcPr>
            <w:tcW w:w="0" w:type="auto"/>
            <w:noWrap w:val="0"/>
            <w:vAlign w:val="center"/>
          </w:tcPr>
          <w:p w14:paraId="2057817A">
            <w:r>
              <w:rPr>
                <w:rStyle w:val="10"/>
                <w:rFonts w:hint="eastAsia"/>
              </w:rPr>
              <w:t>毒性及其标识：</w:t>
            </w:r>
            <w:r>
              <w:rPr>
                <w:rFonts w:hint="eastAsia"/>
              </w:rPr>
              <w:t xml:space="preserve"> </w:t>
            </w:r>
            <w:r>
              <w:rPr>
                <w:lang/>
              </w:rPr>
              <w:drawing>
                <wp:inline distT="0" distB="0" distL="114300" distR="114300">
                  <wp:extent cx="476250" cy="323850"/>
                  <wp:effectExtent l="0" t="0" r="0" b="0"/>
                  <wp:docPr id="261" name="图片 26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D89E349">
        <w:tblPrEx>
          <w:tblCellMar>
            <w:top w:w="0" w:type="dxa"/>
            <w:left w:w="0" w:type="dxa"/>
            <w:bottom w:w="0" w:type="dxa"/>
            <w:right w:w="0" w:type="dxa"/>
          </w:tblCellMar>
        </w:tblPrEx>
        <w:trPr>
          <w:wBefore w:w="0" w:type="auto"/>
          <w:tblCellSpacing w:w="0" w:type="dxa"/>
        </w:trPr>
        <w:tc>
          <w:tcPr>
            <w:tcW w:w="0" w:type="auto"/>
            <w:noWrap w:val="0"/>
            <w:vAlign w:val="center"/>
          </w:tcPr>
          <w:p w14:paraId="20C6AA8A">
            <w:r>
              <w:rPr>
                <w:rStyle w:val="10"/>
                <w:rFonts w:hint="eastAsia"/>
              </w:rPr>
              <w:t>总有效成分含量：</w:t>
            </w:r>
            <w:r>
              <w:rPr>
                <w:rFonts w:hint="eastAsia"/>
              </w:rPr>
              <w:t>24%</w:t>
            </w:r>
          </w:p>
        </w:tc>
      </w:tr>
      <w:tr w14:paraId="53D1FB43">
        <w:tblPrEx>
          <w:tblCellMar>
            <w:top w:w="0" w:type="dxa"/>
            <w:left w:w="0" w:type="dxa"/>
            <w:bottom w:w="0" w:type="dxa"/>
            <w:right w:w="0" w:type="dxa"/>
          </w:tblCellMar>
        </w:tblPrEx>
        <w:trPr>
          <w:wBefore w:w="0" w:type="auto"/>
          <w:tblCellSpacing w:w="0" w:type="dxa"/>
        </w:trPr>
        <w:tc>
          <w:tcPr>
            <w:tcW w:w="0" w:type="auto"/>
            <w:noWrap w:val="0"/>
            <w:vAlign w:val="center"/>
          </w:tcPr>
          <w:p w14:paraId="65F5C790">
            <w:r>
              <w:rPr>
                <w:rFonts w:hint="eastAsia"/>
              </w:rPr>
              <w:t xml:space="preserve">有效成分及其含量： </w:t>
            </w:r>
          </w:p>
          <w:p w14:paraId="06C57726">
            <w:r>
              <w:rPr>
                <w:rFonts w:hint="eastAsia"/>
              </w:rPr>
              <w:t xml:space="preserve">    乙氧氟草醚24%    </w:t>
            </w:r>
          </w:p>
        </w:tc>
      </w:tr>
      <w:tr w14:paraId="6E9095FE">
        <w:tblPrEx>
          <w:tblCellMar>
            <w:top w:w="0" w:type="dxa"/>
            <w:left w:w="0" w:type="dxa"/>
            <w:bottom w:w="0" w:type="dxa"/>
            <w:right w:w="0" w:type="dxa"/>
          </w:tblCellMar>
        </w:tblPrEx>
        <w:trPr>
          <w:wBefore w:w="0" w:type="auto"/>
          <w:tblCellSpacing w:w="0" w:type="dxa"/>
        </w:trPr>
        <w:tc>
          <w:tcPr>
            <w:tcW w:w="0" w:type="auto"/>
            <w:noWrap w:val="0"/>
            <w:vAlign w:val="center"/>
          </w:tcPr>
          <w:p w14:paraId="067A912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27F9F8">
              <w:tblPrEx>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190F54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1FE42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5AC9CC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584065">
                  <w:r>
                    <w:rPr>
                      <w:rStyle w:val="11"/>
                      <w:rFonts w:hint="eastAsia"/>
                    </w:rPr>
                    <w:t>施用方式</w:t>
                  </w:r>
                </w:p>
              </w:tc>
            </w:tr>
            <w:tr w14:paraId="52C04D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4860B8">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17242B">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C70B31">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C4DCE9">
                  <w:r>
                    <w:rPr>
                      <w:rStyle w:val="11"/>
                      <w:rFonts w:hint="eastAsia"/>
                    </w:rPr>
                    <w:t>药土法</w:t>
                  </w:r>
                </w:p>
              </w:tc>
            </w:tr>
          </w:tbl>
          <w:p w14:paraId="0012452F">
            <w:pPr>
              <w:rPr>
                <w:rFonts w:ascii="Times New Roman" w:hAnsi="Times New Roman" w:cs="Times New Roman"/>
                <w:sz w:val="20"/>
                <w:szCs w:val="20"/>
              </w:rPr>
            </w:pPr>
          </w:p>
        </w:tc>
      </w:tr>
      <w:tr w14:paraId="251D34E2">
        <w:tblPrEx>
          <w:tblCellMar>
            <w:top w:w="0" w:type="dxa"/>
            <w:left w:w="0" w:type="dxa"/>
            <w:bottom w:w="0" w:type="dxa"/>
            <w:right w:w="0" w:type="dxa"/>
          </w:tblCellMar>
        </w:tblPrEx>
        <w:trPr>
          <w:wBefore w:w="0" w:type="auto"/>
          <w:tblCellSpacing w:w="0" w:type="dxa"/>
        </w:trPr>
        <w:tc>
          <w:tcPr>
            <w:tcW w:w="0" w:type="auto"/>
            <w:noWrap w:val="0"/>
            <w:vAlign w:val="center"/>
          </w:tcPr>
          <w:p w14:paraId="38D8752C">
            <w:r>
              <w:rPr>
                <w:rStyle w:val="10"/>
                <w:rFonts w:hint="eastAsia"/>
              </w:rPr>
              <w:t>使用技术要求:</w:t>
            </w:r>
            <w:r>
              <w:rPr>
                <w:rFonts w:hint="eastAsia"/>
              </w:rPr>
              <w:br w:type="textWrapping"/>
            </w:r>
            <w:r>
              <w:rPr>
                <w:rStyle w:val="11"/>
                <w:rFonts w:hint="eastAsia"/>
              </w:rPr>
              <w:t>1.在水稻移栽后5-7天，施药时保持3-5cm浅水层，以推荐剂量混药土均匀撒施一次。2.水层勿淹没水稻心叶避免药害。3.施药过早、苗小、苗弱或者施药期间高温均易造成药害；勿超剂量使用，避免药害。</w:t>
            </w:r>
            <w:r>
              <w:rPr>
                <w:rStyle w:val="11"/>
                <w:rFonts w:hint="eastAsia"/>
              </w:rPr>
              <w:t> </w:t>
            </w:r>
            <w:r>
              <w:rPr>
                <w:rStyle w:val="11"/>
                <w:rFonts w:hint="eastAsia"/>
              </w:rPr>
              <w:t>4.每季最多使用1次。</w:t>
            </w:r>
          </w:p>
        </w:tc>
      </w:tr>
      <w:tr w14:paraId="2517CDA0">
        <w:tblPrEx>
          <w:tblCellMar>
            <w:top w:w="0" w:type="dxa"/>
            <w:left w:w="0" w:type="dxa"/>
            <w:bottom w:w="0" w:type="dxa"/>
            <w:right w:w="0" w:type="dxa"/>
          </w:tblCellMar>
        </w:tblPrEx>
        <w:trPr>
          <w:wBefore w:w="0" w:type="auto"/>
          <w:tblCellSpacing w:w="0" w:type="dxa"/>
        </w:trPr>
        <w:tc>
          <w:tcPr>
            <w:tcW w:w="0" w:type="auto"/>
            <w:noWrap w:val="0"/>
            <w:vAlign w:val="center"/>
          </w:tcPr>
          <w:p w14:paraId="40701976">
            <w:r>
              <w:rPr>
                <w:rStyle w:val="10"/>
                <w:rFonts w:hint="eastAsia"/>
              </w:rPr>
              <w:t>产品性能:</w:t>
            </w:r>
            <w:r>
              <w:rPr>
                <w:rFonts w:hint="eastAsia"/>
              </w:rPr>
              <w:br w:type="textWrapping"/>
            </w:r>
            <w:r>
              <w:rPr>
                <w:rStyle w:val="11"/>
                <w:rFonts w:hint="eastAsia"/>
              </w:rPr>
              <w:t>本品是二苯醚类触杀型除草剂，在有光的情况下发挥杀草作用。乙氧氟草醚是原卟啉原氧化酶抑制剂，主要通过叶片（尤其是嫩叶）进行吸收，根部吸收较少，传导作用微弱。能有效防除水稻移栽田阔叶杂草、莎草及稗草、鸭舌草、陌上菜、异型莎草等一年生杂草。</w:t>
            </w:r>
          </w:p>
        </w:tc>
      </w:tr>
      <w:tr w14:paraId="3C8F89B3">
        <w:tblPrEx>
          <w:tblCellMar>
            <w:top w:w="0" w:type="dxa"/>
            <w:left w:w="0" w:type="dxa"/>
            <w:bottom w:w="0" w:type="dxa"/>
            <w:right w:w="0" w:type="dxa"/>
          </w:tblCellMar>
        </w:tblPrEx>
        <w:trPr>
          <w:wBefore w:w="0" w:type="auto"/>
          <w:tblCellSpacing w:w="0" w:type="dxa"/>
        </w:trPr>
        <w:tc>
          <w:tcPr>
            <w:tcW w:w="0" w:type="auto"/>
            <w:noWrap w:val="0"/>
            <w:vAlign w:val="center"/>
          </w:tcPr>
          <w:p w14:paraId="4588872D">
            <w:r>
              <w:rPr>
                <w:rStyle w:val="10"/>
                <w:rFonts w:hint="eastAsia"/>
              </w:rPr>
              <w:t>注意事项：</w:t>
            </w:r>
            <w:r>
              <w:rPr>
                <w:rFonts w:hint="eastAsia"/>
              </w:rPr>
              <w:br w:type="textWrapping"/>
            </w:r>
            <w:r>
              <w:rPr>
                <w:rStyle w:val="11"/>
                <w:rFonts w:hint="eastAsia"/>
              </w:rPr>
              <w:t>1.不能与呈碱性的农药等物质混用。2.本品为触杀型，施药剂量要准确，施药应均匀，施药后遇暴雨应注意排水，保持浅水层，以免伤害作物。3.稻苗高度应在20厘米以上，秧龄在30天以上的壮秧，气温在20℃以上使用。4.本品对眼睛、皮肤有刺激性。按农药安全使用规定操作，穿戴防护用品、护目镜，防止皮肤、眼睛和粘膜接触和吸入药土；施药期间不能吃东西、饮水等。5.施药后应及时洗手、洗脸等。各种工具要注意清洗。6.包装物及清洗后的污水和废药液应妥善处理，不得作他用或随地丢弃，以免污染水源。7.</w:t>
            </w:r>
            <w:r>
              <w:rPr>
                <w:rStyle w:val="11"/>
                <w:rFonts w:hint="eastAsia"/>
              </w:rPr>
              <w:t> </w:t>
            </w:r>
            <w:r>
              <w:rPr>
                <w:rStyle w:val="11"/>
                <w:rFonts w:hint="eastAsia"/>
              </w:rPr>
              <w:t>远离水产养殖区、河塘等水体施药，禁止在河塘等水体中清洗施药器具；鱼或虾蟹套养稻田禁用、施药后的田水不得直接排入水体。8.孕妇及哺乳期妇女避免接触本品。</w:t>
            </w:r>
          </w:p>
        </w:tc>
      </w:tr>
      <w:tr w14:paraId="33C7023D">
        <w:tblPrEx>
          <w:tblCellMar>
            <w:top w:w="0" w:type="dxa"/>
            <w:left w:w="0" w:type="dxa"/>
            <w:bottom w:w="0" w:type="dxa"/>
            <w:right w:w="0" w:type="dxa"/>
          </w:tblCellMar>
        </w:tblPrEx>
        <w:trPr>
          <w:wBefore w:w="0" w:type="auto"/>
          <w:tblCellSpacing w:w="0" w:type="dxa"/>
        </w:trPr>
        <w:tc>
          <w:tcPr>
            <w:tcW w:w="0" w:type="auto"/>
            <w:noWrap w:val="0"/>
            <w:vAlign w:val="center"/>
          </w:tcPr>
          <w:p w14:paraId="1BAA48A4">
            <w:r>
              <w:rPr>
                <w:rStyle w:val="10"/>
                <w:rFonts w:hint="eastAsia"/>
              </w:rPr>
              <w:t>中毒急救措施：</w:t>
            </w:r>
            <w:r>
              <w:rPr>
                <w:rFonts w:hint="eastAsia"/>
              </w:rPr>
              <w:br w:type="textWrapping"/>
            </w:r>
            <w:r>
              <w:rPr>
                <w:rStyle w:val="11"/>
                <w:rFonts w:hint="eastAsia"/>
              </w:rPr>
              <w:t>如药物溅到皮肤和衣物上，要用肥皂和清水冲洗；如溅到眼中时，应立即用大量清水冲洗；若误服，灌水，不可催吐，立即携带此标签送医院对症治疗。</w:t>
            </w:r>
          </w:p>
        </w:tc>
      </w:tr>
      <w:tr w14:paraId="1BA29C32">
        <w:tblPrEx>
          <w:tblCellMar>
            <w:top w:w="0" w:type="dxa"/>
            <w:left w:w="0" w:type="dxa"/>
            <w:bottom w:w="0" w:type="dxa"/>
            <w:right w:w="0" w:type="dxa"/>
          </w:tblCellMar>
        </w:tblPrEx>
        <w:trPr>
          <w:wBefore w:w="0" w:type="auto"/>
          <w:tblCellSpacing w:w="0" w:type="dxa"/>
        </w:trPr>
        <w:tc>
          <w:tcPr>
            <w:tcW w:w="0" w:type="auto"/>
            <w:noWrap w:val="0"/>
            <w:vAlign w:val="center"/>
          </w:tcPr>
          <w:p w14:paraId="0A337652">
            <w:r>
              <w:rPr>
                <w:rStyle w:val="10"/>
                <w:rFonts w:hint="eastAsia"/>
              </w:rPr>
              <w:t>储存和运输方法：</w:t>
            </w:r>
            <w:r>
              <w:rPr>
                <w:rFonts w:hint="eastAsia"/>
              </w:rPr>
              <w:br w:type="textWrapping"/>
            </w:r>
            <w:r>
              <w:rPr>
                <w:rStyle w:val="11"/>
                <w:rFonts w:hint="eastAsia"/>
              </w:rPr>
              <w:t>1.本品为易燃液体，应贮存在通风、干燥（低温）的室内仓库中。 2.装卸、运输时严防潮湿和日晒，远离热源或火源。 3.置于儿童触及不到的地方，并加锁。勿与食物、饮料、粮食、饲料等同贮同运。</w:t>
            </w:r>
          </w:p>
        </w:tc>
      </w:tr>
      <w:tr w14:paraId="3FF54299">
        <w:tblPrEx>
          <w:tblCellMar>
            <w:top w:w="0" w:type="dxa"/>
            <w:left w:w="0" w:type="dxa"/>
            <w:bottom w:w="0" w:type="dxa"/>
            <w:right w:w="0" w:type="dxa"/>
          </w:tblCellMar>
        </w:tblPrEx>
        <w:trPr>
          <w:wBefore w:w="0" w:type="auto"/>
          <w:tblCellSpacing w:w="0" w:type="dxa"/>
        </w:trPr>
        <w:tc>
          <w:tcPr>
            <w:tcW w:w="0" w:type="auto"/>
            <w:noWrap w:val="0"/>
            <w:vAlign w:val="center"/>
          </w:tcPr>
          <w:p w14:paraId="40F109FD">
            <w:r>
              <w:rPr>
                <w:rStyle w:val="10"/>
                <w:rFonts w:hint="eastAsia"/>
              </w:rPr>
              <w:t>质量保证期：</w:t>
            </w:r>
            <w:r>
              <w:rPr>
                <w:rStyle w:val="11"/>
                <w:rFonts w:hint="eastAsia"/>
              </w:rPr>
              <w:t>2年</w:t>
            </w:r>
          </w:p>
        </w:tc>
      </w:tr>
      <w:tr w14:paraId="74931AE6">
        <w:tblPrEx>
          <w:tblCellMar>
            <w:top w:w="0" w:type="dxa"/>
            <w:left w:w="0" w:type="dxa"/>
            <w:bottom w:w="0" w:type="dxa"/>
            <w:right w:w="0" w:type="dxa"/>
          </w:tblCellMar>
        </w:tblPrEx>
        <w:trPr>
          <w:wBefore w:w="0" w:type="auto"/>
          <w:tblCellSpacing w:w="0" w:type="dxa"/>
        </w:trPr>
        <w:tc>
          <w:tcPr>
            <w:tcW w:w="0" w:type="auto"/>
            <w:noWrap w:val="0"/>
            <w:vAlign w:val="center"/>
          </w:tcPr>
          <w:p w14:paraId="622D8135">
            <w:r>
              <w:rPr>
                <w:rStyle w:val="10"/>
                <w:rFonts w:hint="eastAsia"/>
              </w:rPr>
              <w:t>备注：</w:t>
            </w:r>
          </w:p>
        </w:tc>
      </w:tr>
    </w:tbl>
    <w:p w14:paraId="24AB2CB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DFA92D">
        <w:tblPrEx>
          <w:tblCellMar>
            <w:top w:w="0" w:type="dxa"/>
            <w:left w:w="0" w:type="dxa"/>
            <w:bottom w:w="0" w:type="dxa"/>
            <w:right w:w="0" w:type="dxa"/>
          </w:tblCellMar>
        </w:tblPrEx>
        <w:trPr>
          <w:wBefore w:w="0" w:type="auto"/>
          <w:tblCellSpacing w:w="0" w:type="dxa"/>
        </w:trPr>
        <w:tc>
          <w:tcPr>
            <w:tcW w:w="0" w:type="auto"/>
            <w:noWrap w:val="0"/>
            <w:vAlign w:val="center"/>
          </w:tcPr>
          <w:p w14:paraId="278E75DF">
            <w:r>
              <w:rPr>
                <w:rStyle w:val="10"/>
                <w:rFonts w:hint="eastAsia"/>
              </w:rPr>
              <w:t>登记证号：</w:t>
            </w:r>
            <w:r>
              <w:rPr>
                <w:rFonts w:hint="eastAsia"/>
              </w:rPr>
              <w:t>PD20211959</w:t>
            </w:r>
          </w:p>
        </w:tc>
      </w:tr>
      <w:tr w14:paraId="578A66C6">
        <w:tblPrEx>
          <w:tblCellMar>
            <w:top w:w="0" w:type="dxa"/>
            <w:left w:w="0" w:type="dxa"/>
            <w:bottom w:w="0" w:type="dxa"/>
            <w:right w:w="0" w:type="dxa"/>
          </w:tblCellMar>
        </w:tblPrEx>
        <w:trPr>
          <w:wBefore w:w="0" w:type="auto"/>
          <w:tblCellSpacing w:w="0" w:type="dxa"/>
        </w:trPr>
        <w:tc>
          <w:tcPr>
            <w:tcW w:w="0" w:type="auto"/>
            <w:noWrap w:val="0"/>
            <w:vAlign w:val="center"/>
          </w:tcPr>
          <w:p w14:paraId="5C53A855">
            <w:r>
              <w:rPr>
                <w:rStyle w:val="10"/>
                <w:rFonts w:hint="eastAsia"/>
              </w:rPr>
              <w:t>登记证持有人：</w:t>
            </w:r>
            <w:r>
              <w:rPr>
                <w:rFonts w:hint="eastAsia"/>
              </w:rPr>
              <w:t>福建凯立生物制品有限公司</w:t>
            </w:r>
          </w:p>
        </w:tc>
      </w:tr>
      <w:tr w14:paraId="53180C44">
        <w:tblPrEx>
          <w:tblCellMar>
            <w:top w:w="0" w:type="dxa"/>
            <w:left w:w="0" w:type="dxa"/>
            <w:bottom w:w="0" w:type="dxa"/>
            <w:right w:w="0" w:type="dxa"/>
          </w:tblCellMar>
        </w:tblPrEx>
        <w:trPr>
          <w:wBefore w:w="0" w:type="auto"/>
          <w:tblCellSpacing w:w="0" w:type="dxa"/>
        </w:trPr>
        <w:tc>
          <w:tcPr>
            <w:tcW w:w="0" w:type="auto"/>
            <w:noWrap w:val="0"/>
            <w:vAlign w:val="center"/>
          </w:tcPr>
          <w:p w14:paraId="3DFB1454">
            <w:r>
              <w:rPr>
                <w:rStyle w:val="10"/>
                <w:rFonts w:hint="eastAsia"/>
              </w:rPr>
              <w:t>农药名称：</w:t>
            </w:r>
            <w:r>
              <w:rPr>
                <w:rFonts w:hint="eastAsia"/>
              </w:rPr>
              <w:t>中生菌素</w:t>
            </w:r>
          </w:p>
        </w:tc>
      </w:tr>
      <w:tr w14:paraId="6AD24592">
        <w:tblPrEx>
          <w:tblCellMar>
            <w:top w:w="0" w:type="dxa"/>
            <w:left w:w="0" w:type="dxa"/>
            <w:bottom w:w="0" w:type="dxa"/>
            <w:right w:w="0" w:type="dxa"/>
          </w:tblCellMar>
        </w:tblPrEx>
        <w:trPr>
          <w:wBefore w:w="0" w:type="auto"/>
          <w:tblCellSpacing w:w="0" w:type="dxa"/>
        </w:trPr>
        <w:tc>
          <w:tcPr>
            <w:tcW w:w="0" w:type="auto"/>
            <w:noWrap w:val="0"/>
            <w:vAlign w:val="center"/>
          </w:tcPr>
          <w:p w14:paraId="450FCF4F">
            <w:r>
              <w:rPr>
                <w:rStyle w:val="10"/>
                <w:rFonts w:hint="eastAsia"/>
              </w:rPr>
              <w:t>剂型：</w:t>
            </w:r>
            <w:r>
              <w:rPr>
                <w:rFonts w:hint="eastAsia"/>
              </w:rPr>
              <w:t>可溶液剂</w:t>
            </w:r>
          </w:p>
        </w:tc>
      </w:tr>
      <w:tr w14:paraId="0A53B39A">
        <w:tblPrEx>
          <w:tblCellMar>
            <w:top w:w="0" w:type="dxa"/>
            <w:left w:w="0" w:type="dxa"/>
            <w:bottom w:w="0" w:type="dxa"/>
            <w:right w:w="0" w:type="dxa"/>
          </w:tblCellMar>
        </w:tblPrEx>
        <w:trPr>
          <w:wBefore w:w="0" w:type="auto"/>
          <w:tblCellSpacing w:w="0" w:type="dxa"/>
        </w:trPr>
        <w:tc>
          <w:tcPr>
            <w:tcW w:w="0" w:type="auto"/>
            <w:noWrap w:val="0"/>
            <w:vAlign w:val="center"/>
          </w:tcPr>
          <w:p w14:paraId="31BC3462">
            <w:r>
              <w:rPr>
                <w:rStyle w:val="10"/>
                <w:rFonts w:hint="eastAsia"/>
              </w:rPr>
              <w:t>毒性及其标识：</w:t>
            </w:r>
            <w:r>
              <w:rPr>
                <w:rFonts w:hint="eastAsia"/>
              </w:rPr>
              <w:t xml:space="preserve"> 微毒 </w:t>
            </w:r>
          </w:p>
        </w:tc>
      </w:tr>
      <w:tr w14:paraId="4AC8A384">
        <w:tblPrEx>
          <w:tblCellMar>
            <w:top w:w="0" w:type="dxa"/>
            <w:left w:w="0" w:type="dxa"/>
            <w:bottom w:w="0" w:type="dxa"/>
            <w:right w:w="0" w:type="dxa"/>
          </w:tblCellMar>
        </w:tblPrEx>
        <w:trPr>
          <w:wBefore w:w="0" w:type="auto"/>
          <w:tblCellSpacing w:w="0" w:type="dxa"/>
        </w:trPr>
        <w:tc>
          <w:tcPr>
            <w:tcW w:w="0" w:type="auto"/>
            <w:noWrap w:val="0"/>
            <w:vAlign w:val="center"/>
          </w:tcPr>
          <w:p w14:paraId="3B9007AF">
            <w:r>
              <w:rPr>
                <w:rStyle w:val="10"/>
                <w:rFonts w:hint="eastAsia"/>
              </w:rPr>
              <w:t>总有效成分含量：</w:t>
            </w:r>
            <w:r>
              <w:rPr>
                <w:rFonts w:hint="eastAsia"/>
              </w:rPr>
              <w:t>6%</w:t>
            </w:r>
          </w:p>
        </w:tc>
      </w:tr>
      <w:tr w14:paraId="7D67F43B">
        <w:tblPrEx>
          <w:tblCellMar>
            <w:top w:w="0" w:type="dxa"/>
            <w:left w:w="0" w:type="dxa"/>
            <w:bottom w:w="0" w:type="dxa"/>
            <w:right w:w="0" w:type="dxa"/>
          </w:tblCellMar>
        </w:tblPrEx>
        <w:trPr>
          <w:wBefore w:w="0" w:type="auto"/>
          <w:tblCellSpacing w:w="0" w:type="dxa"/>
        </w:trPr>
        <w:tc>
          <w:tcPr>
            <w:tcW w:w="0" w:type="auto"/>
            <w:noWrap w:val="0"/>
            <w:vAlign w:val="center"/>
          </w:tcPr>
          <w:p w14:paraId="707F4E4B">
            <w:r>
              <w:rPr>
                <w:rFonts w:hint="eastAsia"/>
              </w:rPr>
              <w:t xml:space="preserve">有效成分及其含量： </w:t>
            </w:r>
          </w:p>
          <w:p w14:paraId="060F69F0">
            <w:r>
              <w:rPr>
                <w:rFonts w:hint="eastAsia"/>
              </w:rPr>
              <w:t xml:space="preserve">    中生菌素6%    </w:t>
            </w:r>
          </w:p>
        </w:tc>
      </w:tr>
      <w:tr w14:paraId="16491698">
        <w:tblPrEx>
          <w:tblCellMar>
            <w:top w:w="0" w:type="dxa"/>
            <w:left w:w="0" w:type="dxa"/>
            <w:bottom w:w="0" w:type="dxa"/>
            <w:right w:w="0" w:type="dxa"/>
          </w:tblCellMar>
        </w:tblPrEx>
        <w:trPr>
          <w:wBefore w:w="0" w:type="auto"/>
          <w:tblCellSpacing w:w="0" w:type="dxa"/>
        </w:trPr>
        <w:tc>
          <w:tcPr>
            <w:tcW w:w="0" w:type="auto"/>
            <w:noWrap w:val="0"/>
            <w:vAlign w:val="center"/>
          </w:tcPr>
          <w:p w14:paraId="5459C92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EAE5C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730432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FB8D6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A19987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67824BC">
                  <w:r>
                    <w:rPr>
                      <w:rStyle w:val="11"/>
                      <w:rFonts w:hint="eastAsia"/>
                    </w:rPr>
                    <w:t>施用方式</w:t>
                  </w:r>
                </w:p>
              </w:tc>
            </w:tr>
            <w:tr w14:paraId="015235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445D1FF">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6E698E">
                  <w:r>
                    <w:rPr>
                      <w:rStyle w:val="11"/>
                      <w:rFonts w:hint="eastAsia"/>
                    </w:rPr>
                    <w:t>细菌性角斑病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5BCA18">
                  <w:r>
                    <w:rPr>
                      <w:rStyle w:val="11"/>
                      <w:rFonts w:hint="eastAsia"/>
                    </w:rPr>
                    <w:t>30-50 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2DD9DA">
                  <w:r>
                    <w:rPr>
                      <w:rStyle w:val="11"/>
                      <w:rFonts w:hint="eastAsia"/>
                    </w:rPr>
                    <w:t>喷雾</w:t>
                  </w:r>
                </w:p>
              </w:tc>
            </w:tr>
          </w:tbl>
          <w:p w14:paraId="00505DB4">
            <w:pPr>
              <w:rPr>
                <w:rFonts w:ascii="Times New Roman" w:hAnsi="Times New Roman" w:cs="Times New Roman"/>
                <w:sz w:val="20"/>
                <w:szCs w:val="20"/>
              </w:rPr>
            </w:pPr>
          </w:p>
        </w:tc>
      </w:tr>
      <w:tr w14:paraId="734A09EA">
        <w:tblPrEx>
          <w:tblCellMar>
            <w:top w:w="0" w:type="dxa"/>
            <w:left w:w="0" w:type="dxa"/>
            <w:bottom w:w="0" w:type="dxa"/>
            <w:right w:w="0" w:type="dxa"/>
          </w:tblCellMar>
        </w:tblPrEx>
        <w:trPr>
          <w:wBefore w:w="0" w:type="auto"/>
          <w:tblCellSpacing w:w="0" w:type="dxa"/>
        </w:trPr>
        <w:tc>
          <w:tcPr>
            <w:tcW w:w="0" w:type="auto"/>
            <w:noWrap w:val="0"/>
            <w:vAlign w:val="center"/>
          </w:tcPr>
          <w:p w14:paraId="1C3BCAE8">
            <w:r>
              <w:rPr>
                <w:rStyle w:val="10"/>
                <w:rFonts w:hint="eastAsia"/>
              </w:rPr>
              <w:t>使用技术要求:</w:t>
            </w:r>
            <w:r>
              <w:rPr>
                <w:rFonts w:hint="eastAsia"/>
              </w:rPr>
              <w:br w:type="textWrapping"/>
            </w:r>
            <w:r>
              <w:rPr>
                <w:rStyle w:val="11"/>
                <w:rFonts w:hint="eastAsia"/>
              </w:rPr>
              <w:t>1. 黄瓜细菌性角斑病发病前或发病初期施药，施药3次，间隔7天。 2. 每季最多施药次数3次，在黄瓜上安全间隔期为3天。 3. 大风天或预计1小时之内有降雨，请勿使用。</w:t>
            </w:r>
          </w:p>
        </w:tc>
      </w:tr>
      <w:tr w14:paraId="4B50A21F">
        <w:tblPrEx>
          <w:tblCellMar>
            <w:top w:w="0" w:type="dxa"/>
            <w:left w:w="0" w:type="dxa"/>
            <w:bottom w:w="0" w:type="dxa"/>
            <w:right w:w="0" w:type="dxa"/>
          </w:tblCellMar>
        </w:tblPrEx>
        <w:trPr>
          <w:wBefore w:w="0" w:type="auto"/>
          <w:tblCellSpacing w:w="0" w:type="dxa"/>
        </w:trPr>
        <w:tc>
          <w:tcPr>
            <w:tcW w:w="0" w:type="auto"/>
            <w:noWrap w:val="0"/>
            <w:vAlign w:val="center"/>
          </w:tcPr>
          <w:p w14:paraId="40455108">
            <w:r>
              <w:rPr>
                <w:rStyle w:val="10"/>
                <w:rFonts w:hint="eastAsia"/>
              </w:rPr>
              <w:t>产品性能:</w:t>
            </w:r>
            <w:r>
              <w:rPr>
                <w:rFonts w:hint="eastAsia"/>
              </w:rPr>
              <w:br w:type="textWrapping"/>
            </w:r>
            <w:r>
              <w:rPr>
                <w:rStyle w:val="11"/>
                <w:rFonts w:hint="eastAsia"/>
              </w:rPr>
              <w:t>本品为N-糖甙类生物源抗生素，对病原细菌的作用机理为抑制菌体蛋白质的合成，导致菌体死亡。</w:t>
            </w:r>
          </w:p>
        </w:tc>
      </w:tr>
      <w:tr w14:paraId="38BC4C39">
        <w:tblPrEx>
          <w:tblCellMar>
            <w:top w:w="0" w:type="dxa"/>
            <w:left w:w="0" w:type="dxa"/>
            <w:bottom w:w="0" w:type="dxa"/>
            <w:right w:w="0" w:type="dxa"/>
          </w:tblCellMar>
        </w:tblPrEx>
        <w:trPr>
          <w:wBefore w:w="0" w:type="auto"/>
          <w:tblCellSpacing w:w="0" w:type="dxa"/>
        </w:trPr>
        <w:tc>
          <w:tcPr>
            <w:tcW w:w="0" w:type="auto"/>
            <w:noWrap w:val="0"/>
            <w:vAlign w:val="center"/>
          </w:tcPr>
          <w:p w14:paraId="39A5773D">
            <w:r>
              <w:rPr>
                <w:rStyle w:val="10"/>
                <w:rFonts w:hint="eastAsia"/>
              </w:rPr>
              <w:t>注意事项：</w:t>
            </w:r>
            <w:r>
              <w:rPr>
                <w:rFonts w:hint="eastAsia"/>
              </w:rPr>
              <w:br w:type="textWrapping"/>
            </w:r>
            <w:r>
              <w:rPr>
                <w:rStyle w:val="11"/>
                <w:rFonts w:hint="eastAsia"/>
              </w:rPr>
              <w:t>1. 使用前请详细阅读产品标签，严格按照农药标签推荐的剂量和方法施用。大风天或预计1小时内降雨，请勿施药。2. 本品不可与强酸碱性以及氧化剂混用。3. 远离水产养殖区、河塘等水体施药，禁止在河塘等水体中清洗施药器具，禁止将残液倒入湖泊、河流或池塘等，施药后的田水不得直接排入水体。蚕室和桑园附近禁止施用本产品，禁止使用最外围桑叶饲喂家蚕。鸟类保护区附近禁用。4. 本品对眼睛有刺激性，使用时避免接触眼睛，穿戴长衣、长裤、帽子、口罩、手套等防护措施。使用中禁止饮食和吸烟；使用后及时用肥皂和清水彻底清洗皮肤暴露部位并更换衣物。万一误食，立即携带本产品标签送医就诊，对症治疗。5. 未用完的制剂应放在原包装内密封保存，切勿将本品置于饮食容器内。用过的容器或空包装应妥善处置，不可做他用，也不可随意丢弃。6. 建议与不同作用机制杀菌剂轮换使用。7.孕妇及哺乳期妇女避免接触此药。</w:t>
            </w:r>
          </w:p>
        </w:tc>
      </w:tr>
      <w:tr w14:paraId="1C5687F1">
        <w:tblPrEx>
          <w:tblCellMar>
            <w:top w:w="0" w:type="dxa"/>
            <w:left w:w="0" w:type="dxa"/>
            <w:bottom w:w="0" w:type="dxa"/>
            <w:right w:w="0" w:type="dxa"/>
          </w:tblCellMar>
        </w:tblPrEx>
        <w:trPr>
          <w:wBefore w:w="0" w:type="auto"/>
          <w:tblCellSpacing w:w="0" w:type="dxa"/>
        </w:trPr>
        <w:tc>
          <w:tcPr>
            <w:tcW w:w="0" w:type="auto"/>
            <w:noWrap w:val="0"/>
            <w:vAlign w:val="center"/>
          </w:tcPr>
          <w:p w14:paraId="657FC000">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本品如误入眼睛，立即用流动的清水至少冲洗15分钟，仍有不适用立即就医；如接触皮肤，脱去污染的衣物，用软布去除沾染农药，立即用大量清水和肥皂冲洗；吸入立即离开施药现场，转移到空气清新处。如误服，立即停止服用，用清水充分漱口后，立即携带标签到医院对症治疗。</w:t>
            </w:r>
          </w:p>
        </w:tc>
      </w:tr>
      <w:tr w14:paraId="1021BB3F">
        <w:tblPrEx>
          <w:tblCellMar>
            <w:top w:w="0" w:type="dxa"/>
            <w:left w:w="0" w:type="dxa"/>
            <w:bottom w:w="0" w:type="dxa"/>
            <w:right w:w="0" w:type="dxa"/>
          </w:tblCellMar>
        </w:tblPrEx>
        <w:trPr>
          <w:wBefore w:w="0" w:type="auto"/>
          <w:tblCellSpacing w:w="0" w:type="dxa"/>
        </w:trPr>
        <w:tc>
          <w:tcPr>
            <w:tcW w:w="0" w:type="auto"/>
            <w:noWrap w:val="0"/>
            <w:vAlign w:val="center"/>
          </w:tcPr>
          <w:p w14:paraId="10AF9006">
            <w:r>
              <w:rPr>
                <w:rStyle w:val="10"/>
                <w:rFonts w:hint="eastAsia"/>
              </w:rPr>
              <w:t>储存和运输方法：</w:t>
            </w:r>
            <w:r>
              <w:rPr>
                <w:rFonts w:hint="eastAsia"/>
              </w:rPr>
              <w:br w:type="textWrapping"/>
            </w:r>
            <w:r>
              <w:rPr>
                <w:rStyle w:val="11"/>
                <w:rFonts w:hint="eastAsia"/>
              </w:rPr>
              <w:t>本品应储存在干燥、阴凉、通风、防雨处，远离火源或热源，置于儿童、无关人员触及不到的地方，并加锁。装卸、运输过程中，需专门车辆运输，轻拿轻放，确保包装不泄露、不损坏。不能与食品、饮料、粮食、饲料等混合储存。</w:t>
            </w:r>
          </w:p>
        </w:tc>
      </w:tr>
      <w:tr w14:paraId="27481559">
        <w:tblPrEx>
          <w:tblCellMar>
            <w:top w:w="0" w:type="dxa"/>
            <w:left w:w="0" w:type="dxa"/>
            <w:bottom w:w="0" w:type="dxa"/>
            <w:right w:w="0" w:type="dxa"/>
          </w:tblCellMar>
        </w:tblPrEx>
        <w:trPr>
          <w:wBefore w:w="0" w:type="auto"/>
          <w:tblCellSpacing w:w="0" w:type="dxa"/>
        </w:trPr>
        <w:tc>
          <w:tcPr>
            <w:tcW w:w="0" w:type="auto"/>
            <w:noWrap w:val="0"/>
            <w:vAlign w:val="center"/>
          </w:tcPr>
          <w:p w14:paraId="3D9695CA">
            <w:r>
              <w:rPr>
                <w:rStyle w:val="10"/>
                <w:rFonts w:hint="eastAsia"/>
              </w:rPr>
              <w:t>质量保证期：</w:t>
            </w:r>
            <w:r>
              <w:rPr>
                <w:rStyle w:val="11"/>
                <w:rFonts w:hint="eastAsia"/>
              </w:rPr>
              <w:t>2年</w:t>
            </w:r>
          </w:p>
        </w:tc>
      </w:tr>
      <w:tr w14:paraId="61346CFA">
        <w:tblPrEx>
          <w:tblCellMar>
            <w:top w:w="0" w:type="dxa"/>
            <w:left w:w="0" w:type="dxa"/>
            <w:bottom w:w="0" w:type="dxa"/>
            <w:right w:w="0" w:type="dxa"/>
          </w:tblCellMar>
        </w:tblPrEx>
        <w:trPr>
          <w:wBefore w:w="0" w:type="auto"/>
          <w:tblCellSpacing w:w="0" w:type="dxa"/>
        </w:trPr>
        <w:tc>
          <w:tcPr>
            <w:tcW w:w="0" w:type="auto"/>
            <w:noWrap w:val="0"/>
            <w:vAlign w:val="center"/>
          </w:tcPr>
          <w:p w14:paraId="2F5AE2FD">
            <w:r>
              <w:rPr>
                <w:rStyle w:val="10"/>
                <w:rFonts w:hint="eastAsia"/>
              </w:rPr>
              <w:t>备注：</w:t>
            </w:r>
          </w:p>
        </w:tc>
      </w:tr>
    </w:tbl>
    <w:p w14:paraId="58E17A2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D90DDCA">
        <w:tblPrEx>
          <w:tblCellMar>
            <w:top w:w="0" w:type="dxa"/>
            <w:left w:w="0" w:type="dxa"/>
            <w:bottom w:w="0" w:type="dxa"/>
            <w:right w:w="0" w:type="dxa"/>
          </w:tblCellMar>
        </w:tblPrEx>
        <w:trPr>
          <w:wBefore w:w="0" w:type="auto"/>
          <w:tblCellSpacing w:w="0" w:type="dxa"/>
        </w:trPr>
        <w:tc>
          <w:tcPr>
            <w:tcW w:w="0" w:type="auto"/>
            <w:noWrap w:val="0"/>
            <w:vAlign w:val="center"/>
          </w:tcPr>
          <w:p w14:paraId="03F87933">
            <w:r>
              <w:rPr>
                <w:rStyle w:val="10"/>
                <w:rFonts w:hint="eastAsia"/>
              </w:rPr>
              <w:t>登记证号：</w:t>
            </w:r>
            <w:r>
              <w:rPr>
                <w:rFonts w:hint="eastAsia"/>
              </w:rPr>
              <w:t>PD20212087</w:t>
            </w:r>
          </w:p>
        </w:tc>
      </w:tr>
      <w:tr w14:paraId="1A2699DB">
        <w:tblPrEx>
          <w:tblCellMar>
            <w:top w:w="0" w:type="dxa"/>
            <w:left w:w="0" w:type="dxa"/>
            <w:bottom w:w="0" w:type="dxa"/>
            <w:right w:w="0" w:type="dxa"/>
          </w:tblCellMar>
        </w:tblPrEx>
        <w:trPr>
          <w:wBefore w:w="0" w:type="auto"/>
          <w:tblCellSpacing w:w="0" w:type="dxa"/>
        </w:trPr>
        <w:tc>
          <w:tcPr>
            <w:tcW w:w="0" w:type="auto"/>
            <w:noWrap w:val="0"/>
            <w:vAlign w:val="center"/>
          </w:tcPr>
          <w:p w14:paraId="1983A1E0">
            <w:r>
              <w:rPr>
                <w:rStyle w:val="10"/>
                <w:rFonts w:hint="eastAsia"/>
              </w:rPr>
              <w:t>登记证持有人：</w:t>
            </w:r>
            <w:r>
              <w:rPr>
                <w:rFonts w:hint="eastAsia"/>
              </w:rPr>
              <w:t>哈尔滨理工化工科技有限公司</w:t>
            </w:r>
          </w:p>
        </w:tc>
      </w:tr>
      <w:tr w14:paraId="4D1507AE">
        <w:tblPrEx>
          <w:tblCellMar>
            <w:top w:w="0" w:type="dxa"/>
            <w:left w:w="0" w:type="dxa"/>
            <w:bottom w:w="0" w:type="dxa"/>
            <w:right w:w="0" w:type="dxa"/>
          </w:tblCellMar>
        </w:tblPrEx>
        <w:trPr>
          <w:wBefore w:w="0" w:type="auto"/>
          <w:tblCellSpacing w:w="0" w:type="dxa"/>
        </w:trPr>
        <w:tc>
          <w:tcPr>
            <w:tcW w:w="0" w:type="auto"/>
            <w:noWrap w:val="0"/>
            <w:vAlign w:val="center"/>
          </w:tcPr>
          <w:p w14:paraId="6515868F">
            <w:r>
              <w:rPr>
                <w:rStyle w:val="10"/>
                <w:rFonts w:hint="eastAsia"/>
              </w:rPr>
              <w:t>农药名称：</w:t>
            </w:r>
            <w:r>
              <w:rPr>
                <w:rFonts w:hint="eastAsia"/>
              </w:rPr>
              <w:t>2,4-滴异辛酯</w:t>
            </w:r>
          </w:p>
        </w:tc>
      </w:tr>
      <w:tr w14:paraId="100511C5">
        <w:tblPrEx>
          <w:tblCellMar>
            <w:top w:w="0" w:type="dxa"/>
            <w:left w:w="0" w:type="dxa"/>
            <w:bottom w:w="0" w:type="dxa"/>
            <w:right w:w="0" w:type="dxa"/>
          </w:tblCellMar>
        </w:tblPrEx>
        <w:trPr>
          <w:wBefore w:w="0" w:type="auto"/>
          <w:tblCellSpacing w:w="0" w:type="dxa"/>
        </w:trPr>
        <w:tc>
          <w:tcPr>
            <w:tcW w:w="0" w:type="auto"/>
            <w:noWrap w:val="0"/>
            <w:vAlign w:val="center"/>
          </w:tcPr>
          <w:p w14:paraId="401FC07F">
            <w:r>
              <w:rPr>
                <w:rStyle w:val="10"/>
                <w:rFonts w:hint="eastAsia"/>
              </w:rPr>
              <w:t>剂型：</w:t>
            </w:r>
            <w:r>
              <w:rPr>
                <w:rFonts w:hint="eastAsia"/>
              </w:rPr>
              <w:t>乳油</w:t>
            </w:r>
          </w:p>
        </w:tc>
      </w:tr>
      <w:tr w14:paraId="5F77940C">
        <w:tblPrEx>
          <w:tblCellMar>
            <w:top w:w="0" w:type="dxa"/>
            <w:left w:w="0" w:type="dxa"/>
            <w:bottom w:w="0" w:type="dxa"/>
            <w:right w:w="0" w:type="dxa"/>
          </w:tblCellMar>
        </w:tblPrEx>
        <w:trPr>
          <w:wBefore w:w="0" w:type="auto"/>
          <w:tblCellSpacing w:w="0" w:type="dxa"/>
        </w:trPr>
        <w:tc>
          <w:tcPr>
            <w:tcW w:w="0" w:type="auto"/>
            <w:noWrap w:val="0"/>
            <w:vAlign w:val="center"/>
          </w:tcPr>
          <w:p w14:paraId="0D41200E">
            <w:r>
              <w:rPr>
                <w:rStyle w:val="10"/>
                <w:rFonts w:hint="eastAsia"/>
              </w:rPr>
              <w:t>毒性及其标识：</w:t>
            </w:r>
            <w:r>
              <w:rPr>
                <w:rFonts w:hint="eastAsia"/>
              </w:rPr>
              <w:t xml:space="preserve"> </w:t>
            </w:r>
            <w:r>
              <w:rPr>
                <w:lang/>
              </w:rPr>
              <w:drawing>
                <wp:inline distT="0" distB="0" distL="114300" distR="114300">
                  <wp:extent cx="476250" cy="323850"/>
                  <wp:effectExtent l="0" t="0" r="0" b="0"/>
                  <wp:docPr id="262" name="图片 26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206F8F1">
        <w:tblPrEx>
          <w:tblCellMar>
            <w:top w:w="0" w:type="dxa"/>
            <w:left w:w="0" w:type="dxa"/>
            <w:bottom w:w="0" w:type="dxa"/>
            <w:right w:w="0" w:type="dxa"/>
          </w:tblCellMar>
        </w:tblPrEx>
        <w:trPr>
          <w:wBefore w:w="0" w:type="auto"/>
          <w:tblCellSpacing w:w="0" w:type="dxa"/>
        </w:trPr>
        <w:tc>
          <w:tcPr>
            <w:tcW w:w="0" w:type="auto"/>
            <w:noWrap w:val="0"/>
            <w:vAlign w:val="center"/>
          </w:tcPr>
          <w:p w14:paraId="69425936">
            <w:r>
              <w:rPr>
                <w:rStyle w:val="10"/>
                <w:rFonts w:hint="eastAsia"/>
              </w:rPr>
              <w:t>总有效成分含量：</w:t>
            </w:r>
            <w:r>
              <w:rPr>
                <w:rFonts w:hint="eastAsia"/>
              </w:rPr>
              <w:t>62%</w:t>
            </w:r>
          </w:p>
        </w:tc>
      </w:tr>
      <w:tr w14:paraId="463719C8">
        <w:tblPrEx>
          <w:tblCellMar>
            <w:top w:w="0" w:type="dxa"/>
            <w:left w:w="0" w:type="dxa"/>
            <w:bottom w:w="0" w:type="dxa"/>
            <w:right w:w="0" w:type="dxa"/>
          </w:tblCellMar>
        </w:tblPrEx>
        <w:trPr>
          <w:wBefore w:w="0" w:type="auto"/>
          <w:tblCellSpacing w:w="0" w:type="dxa"/>
        </w:trPr>
        <w:tc>
          <w:tcPr>
            <w:tcW w:w="0" w:type="auto"/>
            <w:noWrap w:val="0"/>
            <w:vAlign w:val="center"/>
          </w:tcPr>
          <w:p w14:paraId="2BDB2B8E">
            <w:r>
              <w:rPr>
                <w:rFonts w:hint="eastAsia"/>
              </w:rPr>
              <w:t xml:space="preserve">有效成分及其含量： </w:t>
            </w:r>
          </w:p>
          <w:p w14:paraId="50FBBB80">
            <w:r>
              <w:rPr>
                <w:rFonts w:hint="eastAsia"/>
              </w:rPr>
              <w:t xml:space="preserve">    2,4-滴异辛酯62%    </w:t>
            </w:r>
          </w:p>
        </w:tc>
      </w:tr>
      <w:tr w14:paraId="1D6D1C0E">
        <w:tblPrEx>
          <w:tblCellMar>
            <w:top w:w="0" w:type="dxa"/>
            <w:left w:w="0" w:type="dxa"/>
            <w:bottom w:w="0" w:type="dxa"/>
            <w:right w:w="0" w:type="dxa"/>
          </w:tblCellMar>
        </w:tblPrEx>
        <w:trPr>
          <w:wBefore w:w="0" w:type="auto"/>
          <w:tblCellSpacing w:w="0" w:type="dxa"/>
        </w:trPr>
        <w:tc>
          <w:tcPr>
            <w:tcW w:w="0" w:type="auto"/>
            <w:noWrap w:val="0"/>
            <w:vAlign w:val="center"/>
          </w:tcPr>
          <w:p w14:paraId="1A431ED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94530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93643C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C7D793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66E4BD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C0BE326">
                  <w:r>
                    <w:rPr>
                      <w:rStyle w:val="11"/>
                      <w:rFonts w:hint="eastAsia"/>
                    </w:rPr>
                    <w:t>施用方式</w:t>
                  </w:r>
                </w:p>
              </w:tc>
            </w:tr>
            <w:tr w14:paraId="732F1A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59874DF">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19D93B">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95B061">
                  <w:r>
                    <w:rPr>
                      <w:rStyle w:val="11"/>
                      <w:rFonts w:hint="eastAsia"/>
                    </w:rPr>
                    <w:t>67-72毫升/亩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91BEF4">
                  <w:r>
                    <w:rPr>
                      <w:rStyle w:val="11"/>
                      <w:rFonts w:hint="eastAsia"/>
                    </w:rPr>
                    <w:t>播后苗前土壤喷雾</w:t>
                  </w:r>
                </w:p>
              </w:tc>
            </w:tr>
          </w:tbl>
          <w:p w14:paraId="4F552BD2">
            <w:pPr>
              <w:rPr>
                <w:rFonts w:ascii="Times New Roman" w:hAnsi="Times New Roman" w:cs="Times New Roman"/>
                <w:sz w:val="20"/>
                <w:szCs w:val="20"/>
              </w:rPr>
            </w:pPr>
          </w:p>
        </w:tc>
      </w:tr>
      <w:tr w14:paraId="108A2030">
        <w:tblPrEx>
          <w:tblCellMar>
            <w:top w:w="0" w:type="dxa"/>
            <w:left w:w="0" w:type="dxa"/>
            <w:bottom w:w="0" w:type="dxa"/>
            <w:right w:w="0" w:type="dxa"/>
          </w:tblCellMar>
        </w:tblPrEx>
        <w:trPr>
          <w:wBefore w:w="0" w:type="auto"/>
          <w:tblCellSpacing w:w="0" w:type="dxa"/>
        </w:trPr>
        <w:tc>
          <w:tcPr>
            <w:tcW w:w="0" w:type="auto"/>
            <w:noWrap w:val="0"/>
            <w:vAlign w:val="center"/>
          </w:tcPr>
          <w:p w14:paraId="025EBD61">
            <w:r>
              <w:rPr>
                <w:rStyle w:val="10"/>
                <w:rFonts w:hint="eastAsia"/>
              </w:rPr>
              <w:t>使用技术要求:</w:t>
            </w:r>
            <w:r>
              <w:rPr>
                <w:rFonts w:hint="eastAsia"/>
              </w:rPr>
              <w:br w:type="textWrapping"/>
            </w:r>
            <w:r>
              <w:rPr>
                <w:rStyle w:val="11"/>
                <w:rFonts w:hint="eastAsia"/>
              </w:rPr>
              <w:t>1.用于防除春玉米田一年生阔叶杂草，于春玉米播后苗前，土壤喷雾施药处理。。2.玉米自交系和某些单交种对本品敏感。3.施药时注意风向，防止药剂飘移到邻近的阔叶作物、蔬菜和果树上，以防产生药害。4.风速＞4米/秒时及降雨前，勿施药。5.每季最多使用1次。</w:t>
            </w:r>
          </w:p>
        </w:tc>
      </w:tr>
      <w:tr w14:paraId="157921E2">
        <w:tblPrEx>
          <w:tblCellMar>
            <w:top w:w="0" w:type="dxa"/>
            <w:left w:w="0" w:type="dxa"/>
            <w:bottom w:w="0" w:type="dxa"/>
            <w:right w:w="0" w:type="dxa"/>
          </w:tblCellMar>
        </w:tblPrEx>
        <w:trPr>
          <w:wBefore w:w="0" w:type="auto"/>
          <w:tblCellSpacing w:w="0" w:type="dxa"/>
        </w:trPr>
        <w:tc>
          <w:tcPr>
            <w:tcW w:w="0" w:type="auto"/>
            <w:noWrap w:val="0"/>
            <w:vAlign w:val="center"/>
          </w:tcPr>
          <w:p w14:paraId="6A35F7DD">
            <w:r>
              <w:rPr>
                <w:rStyle w:val="10"/>
                <w:rFonts w:hint="eastAsia"/>
              </w:rPr>
              <w:t>产品性能:</w:t>
            </w:r>
            <w:r>
              <w:rPr>
                <w:rFonts w:hint="eastAsia"/>
              </w:rPr>
              <w:br w:type="textWrapping"/>
            </w:r>
            <w:r>
              <w:rPr>
                <w:rStyle w:val="11"/>
                <w:rFonts w:hint="eastAsia"/>
              </w:rPr>
              <w:t>本品是苯氧羧酸类传导型除草剂，可被植物根、茎、叶吸收和传导，茎叶吸收可通过植物的韧皮部向下传导到达根部；根吸收可通过植物的木质部向上传导到达全株，使植物分生组织受抑制，长度生长停止，产生次生膨胀而导致根与茎肿胀，进而韧皮部堵塞，使整个植物表现畸形，严重破坏植物的生理功能，导致死亡。</w:t>
            </w:r>
          </w:p>
        </w:tc>
      </w:tr>
      <w:tr w14:paraId="62AD76A6">
        <w:tblPrEx>
          <w:tblCellMar>
            <w:top w:w="0" w:type="dxa"/>
            <w:left w:w="0" w:type="dxa"/>
            <w:bottom w:w="0" w:type="dxa"/>
            <w:right w:w="0" w:type="dxa"/>
          </w:tblCellMar>
        </w:tblPrEx>
        <w:trPr>
          <w:wBefore w:w="0" w:type="auto"/>
          <w:tblCellSpacing w:w="0" w:type="dxa"/>
        </w:trPr>
        <w:tc>
          <w:tcPr>
            <w:tcW w:w="0" w:type="auto"/>
            <w:noWrap w:val="0"/>
            <w:vAlign w:val="center"/>
          </w:tcPr>
          <w:p w14:paraId="29629049">
            <w:r>
              <w:rPr>
                <w:rStyle w:val="10"/>
                <w:rFonts w:hint="eastAsia"/>
              </w:rPr>
              <w:t>注意事项：</w:t>
            </w:r>
            <w:r>
              <w:rPr>
                <w:rFonts w:hint="eastAsia"/>
              </w:rPr>
              <w:br w:type="textWrapping"/>
            </w:r>
            <w:r>
              <w:rPr>
                <w:rStyle w:val="11"/>
                <w:rFonts w:hint="eastAsia"/>
              </w:rPr>
              <w:t>1. 使用本品时应注意风向，应在无风或微风（风力不大于2级）时用药,下风向有敏感作物田或在100米内种植了棉花、豆类、蔬菜、瓜类、中药材、葡萄、马铃薯及果树、林木等阔叶作物，不得使用该产品。2.此药避免与强酸性和呈碱性的农药等物质接触或混用，喷施药械要专用。3. 本品为苯氧乙酸类除草剂，建议与其他类型除草剂轮换使用，以免使杂草产生抗药性。4.应严格按照推荐剂量，采用标准的喷雾器压低喷头减压使用，禁止使用弥雾机或超低容量喷雾。5.土壤干旱影响药效的发挥，最好先浇水后施药；土壤有机质含量高时，用推荐剂量上限，反之用推荐剂量下限。 6.使用本品时应穿戴防护服、口罩、手套等防护用具，避免吸入药液。施药期间不可吃东西、喝水、吸烟等。施药后应及时洗手、洗脸等。 7. 远离水产养殖区、河塘等水体施药。禁止在河塘等水域内清洗施药器具或将清洗施药器具的废水倒入河流、池塘等水源。蚕室及桑园附近禁用，或采用最外围桑树作为隔离带，以降低对家蚕的风险。8.用过的废弃物要妥善处理，不可做它用，也不可随意丢弃。 9.孕妇及哺乳期妇女避免接触此药。10.该产品属于易燃液体。</w:t>
            </w:r>
          </w:p>
        </w:tc>
      </w:tr>
      <w:tr w14:paraId="08AEFBC1">
        <w:tblPrEx>
          <w:tblCellMar>
            <w:top w:w="0" w:type="dxa"/>
            <w:left w:w="0" w:type="dxa"/>
            <w:bottom w:w="0" w:type="dxa"/>
            <w:right w:w="0" w:type="dxa"/>
          </w:tblCellMar>
        </w:tblPrEx>
        <w:trPr>
          <w:wBefore w:w="0" w:type="auto"/>
          <w:tblCellSpacing w:w="0" w:type="dxa"/>
        </w:trPr>
        <w:tc>
          <w:tcPr>
            <w:tcW w:w="0" w:type="auto"/>
            <w:noWrap w:val="0"/>
            <w:vAlign w:val="center"/>
          </w:tcPr>
          <w:p w14:paraId="748FCE91">
            <w:r>
              <w:rPr>
                <w:rStyle w:val="10"/>
                <w:rFonts w:hint="eastAsia"/>
              </w:rPr>
              <w:t>中毒急救措施：</w:t>
            </w:r>
            <w:r>
              <w:rPr>
                <w:rFonts w:hint="eastAsia"/>
              </w:rPr>
              <w:br w:type="textWrapping"/>
            </w:r>
            <w:r>
              <w:rPr>
                <w:rStyle w:val="11"/>
                <w:rFonts w:hint="eastAsia"/>
              </w:rPr>
              <w:t>对眼睛有刺激性，使用时避免药液接触眼睛。本品中毒后会出现消化道症状，严重时对肝、肾损失。施药时要注意人体防护，如不慎吸入，将病人移至空气流通处；不慎接触皮肤，用大量清水和肥皂冲洗干净；若溅入眼睛，用大量清水冲洗至少15分钟，仍有不适，就医；如误服，立即带标签送医院，对症治疗。无特效解毒剂。</w:t>
            </w:r>
          </w:p>
        </w:tc>
      </w:tr>
      <w:tr w14:paraId="0B2D1FFA">
        <w:tblPrEx>
          <w:tblCellMar>
            <w:top w:w="0" w:type="dxa"/>
            <w:left w:w="0" w:type="dxa"/>
            <w:bottom w:w="0" w:type="dxa"/>
            <w:right w:w="0" w:type="dxa"/>
          </w:tblCellMar>
        </w:tblPrEx>
        <w:trPr>
          <w:wBefore w:w="0" w:type="auto"/>
          <w:tblCellSpacing w:w="0" w:type="dxa"/>
        </w:trPr>
        <w:tc>
          <w:tcPr>
            <w:tcW w:w="0" w:type="auto"/>
            <w:noWrap w:val="0"/>
            <w:vAlign w:val="center"/>
          </w:tcPr>
          <w:p w14:paraId="323832E1">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种子、饲料等其他商品混合储存。储存或运输时堆层不得超过规定，注意轻拿轻放，以免损坏包装，导致产品泄露。</w:t>
            </w:r>
          </w:p>
        </w:tc>
      </w:tr>
      <w:tr w14:paraId="40FF9DA8">
        <w:tblPrEx>
          <w:tblCellMar>
            <w:top w:w="0" w:type="dxa"/>
            <w:left w:w="0" w:type="dxa"/>
            <w:bottom w:w="0" w:type="dxa"/>
            <w:right w:w="0" w:type="dxa"/>
          </w:tblCellMar>
        </w:tblPrEx>
        <w:trPr>
          <w:wBefore w:w="0" w:type="auto"/>
          <w:tblCellSpacing w:w="0" w:type="dxa"/>
        </w:trPr>
        <w:tc>
          <w:tcPr>
            <w:tcW w:w="0" w:type="auto"/>
            <w:noWrap w:val="0"/>
            <w:vAlign w:val="center"/>
          </w:tcPr>
          <w:p w14:paraId="63773E5A">
            <w:r>
              <w:rPr>
                <w:rStyle w:val="10"/>
                <w:rFonts w:hint="eastAsia"/>
              </w:rPr>
              <w:t>质量保证期：</w:t>
            </w:r>
            <w:r>
              <w:rPr>
                <w:rStyle w:val="11"/>
                <w:rFonts w:hint="eastAsia"/>
              </w:rPr>
              <w:t>2年</w:t>
            </w:r>
          </w:p>
        </w:tc>
      </w:tr>
      <w:tr w14:paraId="53CE689E">
        <w:tblPrEx>
          <w:tblCellMar>
            <w:top w:w="0" w:type="dxa"/>
            <w:left w:w="0" w:type="dxa"/>
            <w:bottom w:w="0" w:type="dxa"/>
            <w:right w:w="0" w:type="dxa"/>
          </w:tblCellMar>
        </w:tblPrEx>
        <w:trPr>
          <w:wBefore w:w="0" w:type="auto"/>
          <w:tblCellSpacing w:w="0" w:type="dxa"/>
        </w:trPr>
        <w:tc>
          <w:tcPr>
            <w:tcW w:w="0" w:type="auto"/>
            <w:noWrap w:val="0"/>
            <w:vAlign w:val="center"/>
          </w:tcPr>
          <w:p w14:paraId="45471BCB">
            <w:r>
              <w:rPr>
                <w:rStyle w:val="10"/>
                <w:rFonts w:hint="eastAsia"/>
              </w:rPr>
              <w:t>备注：</w:t>
            </w:r>
          </w:p>
        </w:tc>
      </w:tr>
    </w:tbl>
    <w:p w14:paraId="3145822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CDED55">
        <w:tblPrEx>
          <w:tblCellMar>
            <w:top w:w="0" w:type="dxa"/>
            <w:left w:w="0" w:type="dxa"/>
            <w:bottom w:w="0" w:type="dxa"/>
            <w:right w:w="0" w:type="dxa"/>
          </w:tblCellMar>
        </w:tblPrEx>
        <w:trPr>
          <w:wBefore w:w="0" w:type="auto"/>
          <w:tblCellSpacing w:w="0" w:type="dxa"/>
        </w:trPr>
        <w:tc>
          <w:tcPr>
            <w:tcW w:w="0" w:type="auto"/>
            <w:noWrap w:val="0"/>
            <w:vAlign w:val="center"/>
          </w:tcPr>
          <w:p w14:paraId="2ECFD15A">
            <w:r>
              <w:rPr>
                <w:rStyle w:val="10"/>
                <w:rFonts w:hint="eastAsia"/>
              </w:rPr>
              <w:t>登记证号：</w:t>
            </w:r>
            <w:r>
              <w:rPr>
                <w:rFonts w:hint="eastAsia"/>
              </w:rPr>
              <w:t>PD20212210</w:t>
            </w:r>
          </w:p>
        </w:tc>
      </w:tr>
      <w:tr w14:paraId="4D7A8AD4">
        <w:tblPrEx>
          <w:tblCellMar>
            <w:top w:w="0" w:type="dxa"/>
            <w:left w:w="0" w:type="dxa"/>
            <w:bottom w:w="0" w:type="dxa"/>
            <w:right w:w="0" w:type="dxa"/>
          </w:tblCellMar>
        </w:tblPrEx>
        <w:trPr>
          <w:wBefore w:w="0" w:type="auto"/>
          <w:tblCellSpacing w:w="0" w:type="dxa"/>
        </w:trPr>
        <w:tc>
          <w:tcPr>
            <w:tcW w:w="0" w:type="auto"/>
            <w:noWrap w:val="0"/>
            <w:vAlign w:val="center"/>
          </w:tcPr>
          <w:p w14:paraId="1754AC19">
            <w:r>
              <w:rPr>
                <w:rStyle w:val="10"/>
                <w:rFonts w:hint="eastAsia"/>
              </w:rPr>
              <w:t>登记证持有人：</w:t>
            </w:r>
            <w:r>
              <w:rPr>
                <w:rFonts w:hint="eastAsia"/>
              </w:rPr>
              <w:t>利尔化学股份有限公司</w:t>
            </w:r>
          </w:p>
        </w:tc>
      </w:tr>
      <w:tr w14:paraId="16C058AC">
        <w:tblPrEx>
          <w:tblCellMar>
            <w:top w:w="0" w:type="dxa"/>
            <w:left w:w="0" w:type="dxa"/>
            <w:bottom w:w="0" w:type="dxa"/>
            <w:right w:w="0" w:type="dxa"/>
          </w:tblCellMar>
        </w:tblPrEx>
        <w:trPr>
          <w:wBefore w:w="0" w:type="auto"/>
          <w:tblCellSpacing w:w="0" w:type="dxa"/>
        </w:trPr>
        <w:tc>
          <w:tcPr>
            <w:tcW w:w="0" w:type="auto"/>
            <w:noWrap w:val="0"/>
            <w:vAlign w:val="center"/>
          </w:tcPr>
          <w:p w14:paraId="43A4117D">
            <w:r>
              <w:rPr>
                <w:rStyle w:val="10"/>
                <w:rFonts w:hint="eastAsia"/>
              </w:rPr>
              <w:t>农药名称：</w:t>
            </w:r>
            <w:r>
              <w:rPr>
                <w:rFonts w:hint="eastAsia"/>
              </w:rPr>
              <w:t>草铵膦</w:t>
            </w:r>
          </w:p>
        </w:tc>
      </w:tr>
      <w:tr w14:paraId="29A167F1">
        <w:tblPrEx>
          <w:tblCellMar>
            <w:top w:w="0" w:type="dxa"/>
            <w:left w:w="0" w:type="dxa"/>
            <w:bottom w:w="0" w:type="dxa"/>
            <w:right w:w="0" w:type="dxa"/>
          </w:tblCellMar>
        </w:tblPrEx>
        <w:trPr>
          <w:wBefore w:w="0" w:type="auto"/>
          <w:tblCellSpacing w:w="0" w:type="dxa"/>
        </w:trPr>
        <w:tc>
          <w:tcPr>
            <w:tcW w:w="0" w:type="auto"/>
            <w:noWrap w:val="0"/>
            <w:vAlign w:val="center"/>
          </w:tcPr>
          <w:p w14:paraId="30D31D08">
            <w:r>
              <w:rPr>
                <w:rStyle w:val="10"/>
                <w:rFonts w:hint="eastAsia"/>
              </w:rPr>
              <w:t>剂型：</w:t>
            </w:r>
            <w:r>
              <w:rPr>
                <w:rFonts w:hint="eastAsia"/>
              </w:rPr>
              <w:t>可溶液剂</w:t>
            </w:r>
          </w:p>
        </w:tc>
      </w:tr>
      <w:tr w14:paraId="05848796">
        <w:tblPrEx>
          <w:tblCellMar>
            <w:top w:w="0" w:type="dxa"/>
            <w:left w:w="0" w:type="dxa"/>
            <w:bottom w:w="0" w:type="dxa"/>
            <w:right w:w="0" w:type="dxa"/>
          </w:tblCellMar>
        </w:tblPrEx>
        <w:trPr>
          <w:wBefore w:w="0" w:type="auto"/>
          <w:tblCellSpacing w:w="0" w:type="dxa"/>
        </w:trPr>
        <w:tc>
          <w:tcPr>
            <w:tcW w:w="0" w:type="auto"/>
            <w:noWrap w:val="0"/>
            <w:vAlign w:val="center"/>
          </w:tcPr>
          <w:p w14:paraId="61AA149A">
            <w:r>
              <w:rPr>
                <w:rStyle w:val="10"/>
                <w:rFonts w:hint="eastAsia"/>
              </w:rPr>
              <w:t>毒性及其标识：</w:t>
            </w:r>
            <w:r>
              <w:rPr>
                <w:rFonts w:hint="eastAsia"/>
              </w:rPr>
              <w:t xml:space="preserve"> </w:t>
            </w:r>
            <w:r>
              <w:rPr>
                <w:lang/>
              </w:rPr>
              <w:drawing>
                <wp:inline distT="0" distB="0" distL="114300" distR="114300">
                  <wp:extent cx="476250" cy="323850"/>
                  <wp:effectExtent l="0" t="0" r="0" b="0"/>
                  <wp:docPr id="263" name="图片 26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A34D87E">
        <w:tblPrEx>
          <w:tblCellMar>
            <w:top w:w="0" w:type="dxa"/>
            <w:left w:w="0" w:type="dxa"/>
            <w:bottom w:w="0" w:type="dxa"/>
            <w:right w:w="0" w:type="dxa"/>
          </w:tblCellMar>
        </w:tblPrEx>
        <w:trPr>
          <w:wBefore w:w="0" w:type="auto"/>
          <w:tblCellSpacing w:w="0" w:type="dxa"/>
        </w:trPr>
        <w:tc>
          <w:tcPr>
            <w:tcW w:w="0" w:type="auto"/>
            <w:noWrap w:val="0"/>
            <w:vAlign w:val="center"/>
          </w:tcPr>
          <w:p w14:paraId="112F9B29">
            <w:r>
              <w:rPr>
                <w:rStyle w:val="10"/>
                <w:rFonts w:hint="eastAsia"/>
              </w:rPr>
              <w:t>总有效成分含量：</w:t>
            </w:r>
            <w:r>
              <w:rPr>
                <w:rFonts w:hint="eastAsia"/>
              </w:rPr>
              <w:t>50%</w:t>
            </w:r>
          </w:p>
        </w:tc>
      </w:tr>
      <w:tr w14:paraId="64DDF81E">
        <w:tblPrEx>
          <w:tblCellMar>
            <w:top w:w="0" w:type="dxa"/>
            <w:left w:w="0" w:type="dxa"/>
            <w:bottom w:w="0" w:type="dxa"/>
            <w:right w:w="0" w:type="dxa"/>
          </w:tblCellMar>
        </w:tblPrEx>
        <w:trPr>
          <w:wBefore w:w="0" w:type="auto"/>
          <w:tblCellSpacing w:w="0" w:type="dxa"/>
        </w:trPr>
        <w:tc>
          <w:tcPr>
            <w:tcW w:w="0" w:type="auto"/>
            <w:noWrap w:val="0"/>
            <w:vAlign w:val="center"/>
          </w:tcPr>
          <w:p w14:paraId="4A10FD0C">
            <w:r>
              <w:rPr>
                <w:rFonts w:hint="eastAsia"/>
              </w:rPr>
              <w:t xml:space="preserve">有效成分及其含量： </w:t>
            </w:r>
          </w:p>
          <w:p w14:paraId="189C416E">
            <w:r>
              <w:rPr>
                <w:rFonts w:hint="eastAsia"/>
              </w:rPr>
              <w:t xml:space="preserve">    草铵膦50%    </w:t>
            </w:r>
          </w:p>
        </w:tc>
      </w:tr>
      <w:tr w14:paraId="156F3714">
        <w:tblPrEx>
          <w:tblCellMar>
            <w:top w:w="0" w:type="dxa"/>
            <w:left w:w="0" w:type="dxa"/>
            <w:bottom w:w="0" w:type="dxa"/>
            <w:right w:w="0" w:type="dxa"/>
          </w:tblCellMar>
        </w:tblPrEx>
        <w:trPr>
          <w:wBefore w:w="0" w:type="auto"/>
          <w:tblCellSpacing w:w="0" w:type="dxa"/>
        </w:trPr>
        <w:tc>
          <w:tcPr>
            <w:tcW w:w="0" w:type="auto"/>
            <w:noWrap w:val="0"/>
            <w:vAlign w:val="center"/>
          </w:tcPr>
          <w:p w14:paraId="35BFD62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4B791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D9F037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A5BA91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DB3E91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AEFE480">
                  <w:r>
                    <w:rPr>
                      <w:rStyle w:val="11"/>
                      <w:rFonts w:hint="eastAsia"/>
                    </w:rPr>
                    <w:t>施用方式</w:t>
                  </w:r>
                </w:p>
              </w:tc>
            </w:tr>
            <w:tr w14:paraId="29E9B0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3FF2747">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03809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1800E3">
                  <w:r>
                    <w:rPr>
                      <w:rStyle w:val="11"/>
                      <w:rFonts w:hint="eastAsia"/>
                    </w:rPr>
                    <w:t>80-120毫升/亩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734113">
                  <w:r>
                    <w:rPr>
                      <w:rStyle w:val="11"/>
                      <w:rFonts w:hint="eastAsia"/>
                    </w:rPr>
                    <w:t>茎叶喷雾</w:t>
                  </w:r>
                </w:p>
              </w:tc>
            </w:tr>
          </w:tbl>
          <w:p w14:paraId="55B109F4">
            <w:pPr>
              <w:rPr>
                <w:rFonts w:ascii="Times New Roman" w:hAnsi="Times New Roman" w:cs="Times New Roman"/>
                <w:sz w:val="20"/>
                <w:szCs w:val="20"/>
              </w:rPr>
            </w:pPr>
          </w:p>
        </w:tc>
      </w:tr>
      <w:tr w14:paraId="103931E3">
        <w:tblPrEx>
          <w:tblCellMar>
            <w:top w:w="0" w:type="dxa"/>
            <w:left w:w="0" w:type="dxa"/>
            <w:bottom w:w="0" w:type="dxa"/>
            <w:right w:w="0" w:type="dxa"/>
          </w:tblCellMar>
        </w:tblPrEx>
        <w:trPr>
          <w:wBefore w:w="0" w:type="auto"/>
          <w:tblCellSpacing w:w="0" w:type="dxa"/>
        </w:trPr>
        <w:tc>
          <w:tcPr>
            <w:tcW w:w="0" w:type="auto"/>
            <w:noWrap w:val="0"/>
            <w:vAlign w:val="center"/>
          </w:tcPr>
          <w:p w14:paraId="13375DC8">
            <w:r>
              <w:rPr>
                <w:rStyle w:val="10"/>
                <w:rFonts w:hint="eastAsia"/>
              </w:rPr>
              <w:t>使用技术要求:</w:t>
            </w:r>
            <w:r>
              <w:rPr>
                <w:rFonts w:hint="eastAsia"/>
              </w:rPr>
              <w:br w:type="textWrapping"/>
            </w:r>
            <w:r>
              <w:rPr>
                <w:rStyle w:val="11"/>
                <w:rFonts w:hint="eastAsia"/>
              </w:rPr>
              <w:t>于非耕地杂草生长旺盛期，茎叶喷雾施药。使用注意事项：禁止在田间道路、田埂、果树行间、休耕地、林场林地等农林业区域使用。避免药液飘移。</w:t>
            </w:r>
          </w:p>
        </w:tc>
      </w:tr>
      <w:tr w14:paraId="6F56B799">
        <w:tblPrEx>
          <w:tblCellMar>
            <w:top w:w="0" w:type="dxa"/>
            <w:left w:w="0" w:type="dxa"/>
            <w:bottom w:w="0" w:type="dxa"/>
            <w:right w:w="0" w:type="dxa"/>
          </w:tblCellMar>
        </w:tblPrEx>
        <w:trPr>
          <w:wBefore w:w="0" w:type="auto"/>
          <w:tblCellSpacing w:w="0" w:type="dxa"/>
        </w:trPr>
        <w:tc>
          <w:tcPr>
            <w:tcW w:w="0" w:type="auto"/>
            <w:noWrap w:val="0"/>
            <w:vAlign w:val="center"/>
          </w:tcPr>
          <w:p w14:paraId="6CE901D3">
            <w:r>
              <w:rPr>
                <w:rStyle w:val="10"/>
                <w:rFonts w:hint="eastAsia"/>
              </w:rPr>
              <w:t>产品性能:</w:t>
            </w:r>
            <w:r>
              <w:rPr>
                <w:rFonts w:hint="eastAsia"/>
              </w:rPr>
              <w:br w:type="textWrapping"/>
            </w:r>
            <w:r>
              <w:rPr>
                <w:rStyle w:val="11"/>
                <w:rFonts w:hint="eastAsia"/>
              </w:rPr>
              <w:t>本品是一种内吸兼触杀型非选择性除草剂，应于杂草生长旺盛期喷雾施药，可使生长过程中的杂草茎叶枯死，对非耕地杂草等均有较好防效。药液接触土壤后快速分解，无土壤活性。</w:t>
            </w:r>
          </w:p>
        </w:tc>
      </w:tr>
      <w:tr w14:paraId="71CC9ACE">
        <w:tblPrEx>
          <w:tblCellMar>
            <w:top w:w="0" w:type="dxa"/>
            <w:left w:w="0" w:type="dxa"/>
            <w:bottom w:w="0" w:type="dxa"/>
            <w:right w:w="0" w:type="dxa"/>
          </w:tblCellMar>
        </w:tblPrEx>
        <w:trPr>
          <w:wBefore w:w="0" w:type="auto"/>
          <w:tblCellSpacing w:w="0" w:type="dxa"/>
        </w:trPr>
        <w:tc>
          <w:tcPr>
            <w:tcW w:w="0" w:type="auto"/>
            <w:noWrap w:val="0"/>
            <w:vAlign w:val="center"/>
          </w:tcPr>
          <w:p w14:paraId="3F101A15">
            <w:r>
              <w:rPr>
                <w:rStyle w:val="10"/>
                <w:rFonts w:hint="eastAsia"/>
              </w:rPr>
              <w:t>注意事项：</w:t>
            </w:r>
            <w:r>
              <w:rPr>
                <w:rFonts w:hint="eastAsia"/>
              </w:rPr>
              <w:br w:type="textWrapping"/>
            </w:r>
            <w:r>
              <w:rPr>
                <w:rStyle w:val="11"/>
                <w:rFonts w:hint="eastAsia"/>
              </w:rPr>
              <w:t>1. 本品遇土钝化，配置药液时应使用清水，禁止使用浑浊的河水或沟渠水配药。 2. 使用前请务必仔细阅读此标签，并严格按照标签说明使用。预计6小时内降雨，请勿施药。 3. 蚕室和桑园附近禁用。远离水产养殖区施药，禁止在河塘等水体中清洗施药器具。用过的容器应妥善处理，不可做他用，也不可随意丢弃。 4. 本品对眼睛有刺激性，使用时避免接触眼睛，穿戴长衣、长裤、帽子、口罩、手套等防护措施。避免吸入药液。施药期间不可吃东西和饮水等。施药后，彻底清洗器械，并立即用肥皂洗手和洗脸。 5. 避免孕妇及哺乳期的妇女接触本品。 6. 避免与氧化剂接触。</w:t>
            </w:r>
          </w:p>
        </w:tc>
      </w:tr>
      <w:tr w14:paraId="4FFEAE71">
        <w:tblPrEx>
          <w:tblCellMar>
            <w:top w:w="0" w:type="dxa"/>
            <w:left w:w="0" w:type="dxa"/>
            <w:bottom w:w="0" w:type="dxa"/>
            <w:right w:w="0" w:type="dxa"/>
          </w:tblCellMar>
        </w:tblPrEx>
        <w:trPr>
          <w:wBefore w:w="0" w:type="auto"/>
          <w:tblCellSpacing w:w="0" w:type="dxa"/>
        </w:trPr>
        <w:tc>
          <w:tcPr>
            <w:tcW w:w="0" w:type="auto"/>
            <w:noWrap w:val="0"/>
            <w:vAlign w:val="center"/>
          </w:tcPr>
          <w:p w14:paraId="103D2602">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4ECE81DE">
        <w:tblPrEx>
          <w:tblCellMar>
            <w:top w:w="0" w:type="dxa"/>
            <w:left w:w="0" w:type="dxa"/>
            <w:bottom w:w="0" w:type="dxa"/>
            <w:right w:w="0" w:type="dxa"/>
          </w:tblCellMar>
        </w:tblPrEx>
        <w:trPr>
          <w:wBefore w:w="0" w:type="auto"/>
          <w:tblCellSpacing w:w="0" w:type="dxa"/>
        </w:trPr>
        <w:tc>
          <w:tcPr>
            <w:tcW w:w="0" w:type="auto"/>
            <w:noWrap w:val="0"/>
            <w:vAlign w:val="center"/>
          </w:tcPr>
          <w:p w14:paraId="2DB4C28F">
            <w:r>
              <w:rPr>
                <w:rStyle w:val="10"/>
                <w:rFonts w:hint="eastAsia"/>
              </w:rPr>
              <w:t>储存和运输方法：</w:t>
            </w:r>
            <w:r>
              <w:rPr>
                <w:rFonts w:hint="eastAsia"/>
              </w:rPr>
              <w:br w:type="textWrapping"/>
            </w:r>
            <w:r>
              <w:rPr>
                <w:rStyle w:val="11"/>
                <w:rFonts w:hint="eastAsia"/>
              </w:rPr>
              <w:t>本品应贮存于干燥、阴凉、通风、防雨处，远离火源或热源。置于儿童、无关人员触及不到之处，应加锁保存。不能与食品、饮料、种子、粮食、饲料等物品同贮同运。装卸时，注意轻拿轻放，禁止说笑打闹、吃、喝、抽烟；运输时要防潮防晒。</w:t>
            </w:r>
          </w:p>
        </w:tc>
      </w:tr>
      <w:tr w14:paraId="137FF78E">
        <w:tblPrEx>
          <w:tblCellMar>
            <w:top w:w="0" w:type="dxa"/>
            <w:left w:w="0" w:type="dxa"/>
            <w:bottom w:w="0" w:type="dxa"/>
            <w:right w:w="0" w:type="dxa"/>
          </w:tblCellMar>
        </w:tblPrEx>
        <w:trPr>
          <w:wBefore w:w="0" w:type="auto"/>
          <w:tblCellSpacing w:w="0" w:type="dxa"/>
        </w:trPr>
        <w:tc>
          <w:tcPr>
            <w:tcW w:w="0" w:type="auto"/>
            <w:noWrap w:val="0"/>
            <w:vAlign w:val="center"/>
          </w:tcPr>
          <w:p w14:paraId="707BFD2D">
            <w:r>
              <w:rPr>
                <w:rStyle w:val="10"/>
                <w:rFonts w:hint="eastAsia"/>
              </w:rPr>
              <w:t>质量保证期：</w:t>
            </w:r>
            <w:r>
              <w:rPr>
                <w:rStyle w:val="11"/>
                <w:rFonts w:hint="eastAsia"/>
              </w:rPr>
              <w:t>2年</w:t>
            </w:r>
          </w:p>
        </w:tc>
      </w:tr>
      <w:tr w14:paraId="0DCE278A">
        <w:tblPrEx>
          <w:tblCellMar>
            <w:top w:w="0" w:type="dxa"/>
            <w:left w:w="0" w:type="dxa"/>
            <w:bottom w:w="0" w:type="dxa"/>
            <w:right w:w="0" w:type="dxa"/>
          </w:tblCellMar>
        </w:tblPrEx>
        <w:trPr>
          <w:wBefore w:w="0" w:type="auto"/>
          <w:tblCellSpacing w:w="0" w:type="dxa"/>
        </w:trPr>
        <w:tc>
          <w:tcPr>
            <w:tcW w:w="0" w:type="auto"/>
            <w:noWrap w:val="0"/>
            <w:vAlign w:val="center"/>
          </w:tcPr>
          <w:p w14:paraId="100308A0">
            <w:r>
              <w:rPr>
                <w:rStyle w:val="10"/>
                <w:rFonts w:hint="eastAsia"/>
              </w:rPr>
              <w:t>备注：</w:t>
            </w:r>
          </w:p>
        </w:tc>
      </w:tr>
    </w:tbl>
    <w:p w14:paraId="78E2D67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8EF60D">
        <w:tblPrEx>
          <w:tblCellMar>
            <w:top w:w="0" w:type="dxa"/>
            <w:left w:w="0" w:type="dxa"/>
            <w:bottom w:w="0" w:type="dxa"/>
            <w:right w:w="0" w:type="dxa"/>
          </w:tblCellMar>
        </w:tblPrEx>
        <w:trPr>
          <w:wBefore w:w="0" w:type="auto"/>
          <w:tblCellSpacing w:w="0" w:type="dxa"/>
        </w:trPr>
        <w:tc>
          <w:tcPr>
            <w:tcW w:w="0" w:type="auto"/>
            <w:noWrap w:val="0"/>
            <w:vAlign w:val="center"/>
          </w:tcPr>
          <w:p w14:paraId="5F72E73F">
            <w:r>
              <w:rPr>
                <w:rStyle w:val="10"/>
                <w:rFonts w:hint="eastAsia"/>
              </w:rPr>
              <w:t>登记证号：</w:t>
            </w:r>
            <w:r>
              <w:rPr>
                <w:rFonts w:hint="eastAsia"/>
              </w:rPr>
              <w:t>PD20212170</w:t>
            </w:r>
          </w:p>
        </w:tc>
      </w:tr>
      <w:tr w14:paraId="7D598062">
        <w:tblPrEx>
          <w:tblCellMar>
            <w:top w:w="0" w:type="dxa"/>
            <w:left w:w="0" w:type="dxa"/>
            <w:bottom w:w="0" w:type="dxa"/>
            <w:right w:w="0" w:type="dxa"/>
          </w:tblCellMar>
        </w:tblPrEx>
        <w:trPr>
          <w:wBefore w:w="0" w:type="auto"/>
          <w:tblCellSpacing w:w="0" w:type="dxa"/>
        </w:trPr>
        <w:tc>
          <w:tcPr>
            <w:tcW w:w="0" w:type="auto"/>
            <w:noWrap w:val="0"/>
            <w:vAlign w:val="center"/>
          </w:tcPr>
          <w:p w14:paraId="5DC4C9D1">
            <w:r>
              <w:rPr>
                <w:rStyle w:val="10"/>
                <w:rFonts w:hint="eastAsia"/>
              </w:rPr>
              <w:t>登记证持有人：</w:t>
            </w:r>
            <w:r>
              <w:rPr>
                <w:rFonts w:hint="eastAsia"/>
              </w:rPr>
              <w:t>黑龙江绿丰源生物科技有限公司</w:t>
            </w:r>
          </w:p>
        </w:tc>
      </w:tr>
      <w:tr w14:paraId="7B771683">
        <w:tblPrEx>
          <w:tblCellMar>
            <w:top w:w="0" w:type="dxa"/>
            <w:left w:w="0" w:type="dxa"/>
            <w:bottom w:w="0" w:type="dxa"/>
            <w:right w:w="0" w:type="dxa"/>
          </w:tblCellMar>
        </w:tblPrEx>
        <w:trPr>
          <w:wBefore w:w="0" w:type="auto"/>
          <w:tblCellSpacing w:w="0" w:type="dxa"/>
        </w:trPr>
        <w:tc>
          <w:tcPr>
            <w:tcW w:w="0" w:type="auto"/>
            <w:noWrap w:val="0"/>
            <w:vAlign w:val="center"/>
          </w:tcPr>
          <w:p w14:paraId="1B8FDA8D">
            <w:r>
              <w:rPr>
                <w:rStyle w:val="10"/>
                <w:rFonts w:hint="eastAsia"/>
              </w:rPr>
              <w:t>农药名称：</w:t>
            </w:r>
            <w:r>
              <w:rPr>
                <w:rFonts w:hint="eastAsia"/>
              </w:rPr>
              <w:t>丙炔氟草胺</w:t>
            </w:r>
          </w:p>
        </w:tc>
      </w:tr>
      <w:tr w14:paraId="24C07FE8">
        <w:tblPrEx>
          <w:tblCellMar>
            <w:top w:w="0" w:type="dxa"/>
            <w:left w:w="0" w:type="dxa"/>
            <w:bottom w:w="0" w:type="dxa"/>
            <w:right w:w="0" w:type="dxa"/>
          </w:tblCellMar>
        </w:tblPrEx>
        <w:trPr>
          <w:wBefore w:w="0" w:type="auto"/>
          <w:tblCellSpacing w:w="0" w:type="dxa"/>
        </w:trPr>
        <w:tc>
          <w:tcPr>
            <w:tcW w:w="0" w:type="auto"/>
            <w:noWrap w:val="0"/>
            <w:vAlign w:val="center"/>
          </w:tcPr>
          <w:p w14:paraId="26A95FAA">
            <w:r>
              <w:rPr>
                <w:rStyle w:val="10"/>
                <w:rFonts w:hint="eastAsia"/>
              </w:rPr>
              <w:t>剂型：</w:t>
            </w:r>
            <w:r>
              <w:rPr>
                <w:rFonts w:hint="eastAsia"/>
              </w:rPr>
              <w:t>悬浮剂</w:t>
            </w:r>
          </w:p>
        </w:tc>
      </w:tr>
      <w:tr w14:paraId="0ED7691F">
        <w:tblPrEx>
          <w:tblCellMar>
            <w:top w:w="0" w:type="dxa"/>
            <w:left w:w="0" w:type="dxa"/>
            <w:bottom w:w="0" w:type="dxa"/>
            <w:right w:w="0" w:type="dxa"/>
          </w:tblCellMar>
        </w:tblPrEx>
        <w:trPr>
          <w:wBefore w:w="0" w:type="auto"/>
          <w:tblCellSpacing w:w="0" w:type="dxa"/>
        </w:trPr>
        <w:tc>
          <w:tcPr>
            <w:tcW w:w="0" w:type="auto"/>
            <w:noWrap w:val="0"/>
            <w:vAlign w:val="center"/>
          </w:tcPr>
          <w:p w14:paraId="30507FD6">
            <w:r>
              <w:rPr>
                <w:rStyle w:val="10"/>
                <w:rFonts w:hint="eastAsia"/>
              </w:rPr>
              <w:t>毒性及其标识：</w:t>
            </w:r>
            <w:r>
              <w:rPr>
                <w:rFonts w:hint="eastAsia"/>
              </w:rPr>
              <w:t xml:space="preserve"> </w:t>
            </w:r>
            <w:r>
              <w:rPr>
                <w:lang/>
              </w:rPr>
              <w:drawing>
                <wp:inline distT="0" distB="0" distL="114300" distR="114300">
                  <wp:extent cx="476250" cy="323850"/>
                  <wp:effectExtent l="0" t="0" r="0" b="0"/>
                  <wp:docPr id="264" name="图片 26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C578854">
        <w:tblPrEx>
          <w:tblCellMar>
            <w:top w:w="0" w:type="dxa"/>
            <w:left w:w="0" w:type="dxa"/>
            <w:bottom w:w="0" w:type="dxa"/>
            <w:right w:w="0" w:type="dxa"/>
          </w:tblCellMar>
        </w:tblPrEx>
        <w:trPr>
          <w:wBefore w:w="0" w:type="auto"/>
          <w:tblCellSpacing w:w="0" w:type="dxa"/>
        </w:trPr>
        <w:tc>
          <w:tcPr>
            <w:tcW w:w="0" w:type="auto"/>
            <w:noWrap w:val="0"/>
            <w:vAlign w:val="center"/>
          </w:tcPr>
          <w:p w14:paraId="31D3DC50">
            <w:r>
              <w:rPr>
                <w:rStyle w:val="10"/>
                <w:rFonts w:hint="eastAsia"/>
              </w:rPr>
              <w:t>总有效成分含量：</w:t>
            </w:r>
            <w:r>
              <w:rPr>
                <w:rFonts w:hint="eastAsia"/>
              </w:rPr>
              <w:t>480克/升</w:t>
            </w:r>
          </w:p>
        </w:tc>
      </w:tr>
      <w:tr w14:paraId="6B7AAAEB">
        <w:tblPrEx>
          <w:tblCellMar>
            <w:top w:w="0" w:type="dxa"/>
            <w:left w:w="0" w:type="dxa"/>
            <w:bottom w:w="0" w:type="dxa"/>
            <w:right w:w="0" w:type="dxa"/>
          </w:tblCellMar>
        </w:tblPrEx>
        <w:trPr>
          <w:wBefore w:w="0" w:type="auto"/>
          <w:tblCellSpacing w:w="0" w:type="dxa"/>
        </w:trPr>
        <w:tc>
          <w:tcPr>
            <w:tcW w:w="0" w:type="auto"/>
            <w:noWrap w:val="0"/>
            <w:vAlign w:val="center"/>
          </w:tcPr>
          <w:p w14:paraId="5E3AAA71">
            <w:r>
              <w:rPr>
                <w:rFonts w:hint="eastAsia"/>
              </w:rPr>
              <w:t xml:space="preserve">有效成分及其含量： </w:t>
            </w:r>
          </w:p>
          <w:p w14:paraId="6DB7DE4F">
            <w:r>
              <w:rPr>
                <w:rFonts w:hint="eastAsia"/>
              </w:rPr>
              <w:t xml:space="preserve">    丙炔氟草胺480克/升    </w:t>
            </w:r>
          </w:p>
        </w:tc>
      </w:tr>
      <w:tr w14:paraId="2EF67D51">
        <w:tblPrEx>
          <w:tblCellMar>
            <w:top w:w="0" w:type="dxa"/>
            <w:left w:w="0" w:type="dxa"/>
            <w:bottom w:w="0" w:type="dxa"/>
            <w:right w:w="0" w:type="dxa"/>
          </w:tblCellMar>
        </w:tblPrEx>
        <w:trPr>
          <w:wBefore w:w="0" w:type="auto"/>
          <w:tblCellSpacing w:w="0" w:type="dxa"/>
        </w:trPr>
        <w:tc>
          <w:tcPr>
            <w:tcW w:w="0" w:type="auto"/>
            <w:noWrap w:val="0"/>
            <w:vAlign w:val="center"/>
          </w:tcPr>
          <w:p w14:paraId="7C64C71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9A1A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69D07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2A486A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8A3979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3840660">
                  <w:r>
                    <w:rPr>
                      <w:rStyle w:val="11"/>
                      <w:rFonts w:hint="eastAsia"/>
                    </w:rPr>
                    <w:t>施用方式</w:t>
                  </w:r>
                </w:p>
              </w:tc>
            </w:tr>
            <w:tr w14:paraId="7A10FE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030826">
                  <w:r>
                    <w:rPr>
                      <w:rStyle w:val="11"/>
                      <w:rFonts w:hint="eastAsia"/>
                    </w:rPr>
                    <w:t>春大豆田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D75A26">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9EEBC3">
                  <w:r>
                    <w:rPr>
                      <w:rStyle w:val="11"/>
                      <w:rFonts w:hint="eastAsia"/>
                    </w:rPr>
                    <w:t>4-5毫升/亩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027A48">
                  <w:r>
                    <w:rPr>
                      <w:rStyle w:val="11"/>
                      <w:rFonts w:hint="eastAsia"/>
                    </w:rPr>
                    <w:t>茎叶喷雾</w:t>
                  </w:r>
                </w:p>
              </w:tc>
            </w:tr>
          </w:tbl>
          <w:p w14:paraId="168C8EBC">
            <w:pPr>
              <w:rPr>
                <w:rFonts w:ascii="Times New Roman" w:hAnsi="Times New Roman" w:cs="Times New Roman"/>
                <w:sz w:val="20"/>
                <w:szCs w:val="20"/>
              </w:rPr>
            </w:pPr>
          </w:p>
        </w:tc>
      </w:tr>
      <w:tr w14:paraId="7B0C0ECE">
        <w:tblPrEx>
          <w:tblCellMar>
            <w:top w:w="0" w:type="dxa"/>
            <w:left w:w="0" w:type="dxa"/>
            <w:bottom w:w="0" w:type="dxa"/>
            <w:right w:w="0" w:type="dxa"/>
          </w:tblCellMar>
        </w:tblPrEx>
        <w:trPr>
          <w:wBefore w:w="0" w:type="auto"/>
          <w:tblCellSpacing w:w="0" w:type="dxa"/>
        </w:trPr>
        <w:tc>
          <w:tcPr>
            <w:tcW w:w="0" w:type="auto"/>
            <w:noWrap w:val="0"/>
            <w:vAlign w:val="center"/>
          </w:tcPr>
          <w:p w14:paraId="315CAE00">
            <w:r>
              <w:rPr>
                <w:rStyle w:val="10"/>
                <w:rFonts w:hint="eastAsia"/>
              </w:rPr>
              <w:t>使用技术要求:</w:t>
            </w:r>
            <w:r>
              <w:rPr>
                <w:rFonts w:hint="eastAsia"/>
              </w:rPr>
              <w:br w:type="textWrapping"/>
            </w:r>
            <w:r>
              <w:rPr>
                <w:rStyle w:val="11"/>
                <w:rFonts w:hint="eastAsia"/>
              </w:rPr>
              <w:t>于春大豆苗后早期（2片复叶左右），杂草2-4叶期，每亩用药量兑水20-25公斤，均匀的茎叶喷雾处理。大风天或预计4小时内下雨请勿施药。每季最多使用一次。大豆拱土或出苗期不能施药。在春大豆田每季最多使用1次。</w:t>
            </w:r>
          </w:p>
        </w:tc>
      </w:tr>
      <w:tr w14:paraId="5A8429A9">
        <w:tblPrEx>
          <w:tblCellMar>
            <w:top w:w="0" w:type="dxa"/>
            <w:left w:w="0" w:type="dxa"/>
            <w:bottom w:w="0" w:type="dxa"/>
            <w:right w:w="0" w:type="dxa"/>
          </w:tblCellMar>
        </w:tblPrEx>
        <w:trPr>
          <w:wBefore w:w="0" w:type="auto"/>
          <w:tblCellSpacing w:w="0" w:type="dxa"/>
        </w:trPr>
        <w:tc>
          <w:tcPr>
            <w:tcW w:w="0" w:type="auto"/>
            <w:noWrap w:val="0"/>
            <w:vAlign w:val="center"/>
          </w:tcPr>
          <w:p w14:paraId="5EB411BE">
            <w:r>
              <w:rPr>
                <w:rStyle w:val="10"/>
                <w:rFonts w:hint="eastAsia"/>
              </w:rPr>
              <w:t>产品性能:</w:t>
            </w:r>
            <w:r>
              <w:rPr>
                <w:rFonts w:hint="eastAsia"/>
              </w:rPr>
              <w:br w:type="textWrapping"/>
            </w:r>
            <w:r>
              <w:rPr>
                <w:rStyle w:val="11"/>
                <w:rFonts w:hint="eastAsia"/>
              </w:rPr>
              <w:t>本品属原卟啉原氧化酶抑制剂，是触杀型选择性除草剂。可被植物的幼芽和叶片吸收，在植物体内进行传导，在敏感杂草叶面作用迅速，引起原卟啉积累，使细胞膜脂质过氧化作用增强，从而导致敏感杂草的细胞膜结构和细胞功能不可逆的损害，杂草一般在24~48小时内由凋萎、白化直至枯死。可有效防除春大豆田一年生阔叶杂草和禾本科杂草。</w:t>
            </w:r>
          </w:p>
        </w:tc>
      </w:tr>
      <w:tr w14:paraId="24DB81DE">
        <w:tblPrEx>
          <w:tblCellMar>
            <w:top w:w="0" w:type="dxa"/>
            <w:left w:w="0" w:type="dxa"/>
            <w:bottom w:w="0" w:type="dxa"/>
            <w:right w:w="0" w:type="dxa"/>
          </w:tblCellMar>
        </w:tblPrEx>
        <w:trPr>
          <w:wBefore w:w="0" w:type="auto"/>
          <w:tblCellSpacing w:w="0" w:type="dxa"/>
        </w:trPr>
        <w:tc>
          <w:tcPr>
            <w:tcW w:w="0" w:type="auto"/>
            <w:noWrap w:val="0"/>
            <w:vAlign w:val="center"/>
          </w:tcPr>
          <w:p w14:paraId="6E60C03C">
            <w:r>
              <w:rPr>
                <w:rStyle w:val="10"/>
                <w:rFonts w:hint="eastAsia"/>
              </w:rPr>
              <w:t>注意事项：</w:t>
            </w:r>
            <w:r>
              <w:rPr>
                <w:rFonts w:hint="eastAsia"/>
              </w:rPr>
              <w:br w:type="textWrapping"/>
            </w:r>
            <w:r>
              <w:rPr>
                <w:rStyle w:val="11"/>
                <w:rFonts w:hint="eastAsia"/>
              </w:rPr>
              <w:t>1.现配现用，不宜长时间搁置，农药施用人员需严格按照施药量、施药方法等进行施药，并在专业植保人员的指导下施药，不得随意增加施药量和施药次数。2.避免药液飘移到敏感作物田。3.做好相关器械的定期检修和维护，避免施药器械的故障；药剂的使用过程中要做好身体各部位科学合理的防护，施药时穿长衣长裤、戴手套、戴口罩、护目镜等；此时不能吸烟、饮水等；施药后清洗干净手脸等。 4.水产养殖区、河塘等水体附近禁用，禁止在河塘等水域清洗施药器具。5.禁止老、弱、病、残、孕、小孩和哺乳期妇女接触和使用。6.用过的容器和废弃物应妥善处理，不可随意丢弃或做他用。</w:t>
            </w:r>
          </w:p>
        </w:tc>
      </w:tr>
      <w:tr w14:paraId="7C6DF3CE">
        <w:tblPrEx>
          <w:tblCellMar>
            <w:top w:w="0" w:type="dxa"/>
            <w:left w:w="0" w:type="dxa"/>
            <w:bottom w:w="0" w:type="dxa"/>
            <w:right w:w="0" w:type="dxa"/>
          </w:tblCellMar>
        </w:tblPrEx>
        <w:trPr>
          <w:wBefore w:w="0" w:type="auto"/>
          <w:tblCellSpacing w:w="0" w:type="dxa"/>
        </w:trPr>
        <w:tc>
          <w:tcPr>
            <w:tcW w:w="0" w:type="auto"/>
            <w:noWrap w:val="0"/>
            <w:vAlign w:val="center"/>
          </w:tcPr>
          <w:p w14:paraId="13C7BF10">
            <w:r>
              <w:rPr>
                <w:rStyle w:val="10"/>
                <w:rFonts w:hint="eastAsia"/>
              </w:rPr>
              <w:t>中毒急救措施：</w:t>
            </w:r>
            <w:r>
              <w:rPr>
                <w:rFonts w:hint="eastAsia"/>
              </w:rPr>
              <w:br w:type="textWrapping"/>
            </w:r>
            <w:r>
              <w:rPr>
                <w:rStyle w:val="11"/>
                <w:rFonts w:hint="eastAsia"/>
              </w:rPr>
              <w:t>中毒症状：本品对眼睛有轻度刺激。不慎吸入，应将病人移至空气流通处。不慎接触皮肤或溅入眼睛，应用大量清水冲洗至少15分钟，仍感不适请携带标签就医。不慎误服：立即拨打急救中心电话，如果可以吞咽饮足量温水，如无医生建议不要随意催吐，不要给昏迷患者经口灌胃任何东西。本品无特殊解毒剂，请医生对症治疗。</w:t>
            </w:r>
          </w:p>
        </w:tc>
      </w:tr>
      <w:tr w14:paraId="7443C048">
        <w:tblPrEx>
          <w:tblCellMar>
            <w:top w:w="0" w:type="dxa"/>
            <w:left w:w="0" w:type="dxa"/>
            <w:bottom w:w="0" w:type="dxa"/>
            <w:right w:w="0" w:type="dxa"/>
          </w:tblCellMar>
        </w:tblPrEx>
        <w:trPr>
          <w:wBefore w:w="0" w:type="auto"/>
          <w:tblCellSpacing w:w="0" w:type="dxa"/>
        </w:trPr>
        <w:tc>
          <w:tcPr>
            <w:tcW w:w="0" w:type="auto"/>
            <w:noWrap w:val="0"/>
            <w:vAlign w:val="center"/>
          </w:tcPr>
          <w:p w14:paraId="076DBCA3">
            <w:r>
              <w:rPr>
                <w:rStyle w:val="10"/>
                <w:rFonts w:hint="eastAsia"/>
              </w:rPr>
              <w:t>储存和运输方法：</w:t>
            </w:r>
            <w:r>
              <w:rPr>
                <w:rFonts w:hint="eastAsia"/>
              </w:rPr>
              <w:br w:type="textWrapping"/>
            </w:r>
            <w:r>
              <w:rPr>
                <w:rStyle w:val="11"/>
                <w:rFonts w:hint="eastAsia"/>
              </w:rPr>
              <w:t>本品应贮存在通风、干燥的库房内，严防潮湿和日晒。远离人员或火源。置于儿童触及不到的地方，并加锁。不得与食物、种子、饲料、饮料、粮食等混合储运。</w:t>
            </w:r>
          </w:p>
        </w:tc>
      </w:tr>
      <w:tr w14:paraId="2051387A">
        <w:tblPrEx>
          <w:tblCellMar>
            <w:top w:w="0" w:type="dxa"/>
            <w:left w:w="0" w:type="dxa"/>
            <w:bottom w:w="0" w:type="dxa"/>
            <w:right w:w="0" w:type="dxa"/>
          </w:tblCellMar>
        </w:tblPrEx>
        <w:trPr>
          <w:wBefore w:w="0" w:type="auto"/>
          <w:tblCellSpacing w:w="0" w:type="dxa"/>
        </w:trPr>
        <w:tc>
          <w:tcPr>
            <w:tcW w:w="0" w:type="auto"/>
            <w:noWrap w:val="0"/>
            <w:vAlign w:val="center"/>
          </w:tcPr>
          <w:p w14:paraId="610CC569">
            <w:r>
              <w:rPr>
                <w:rStyle w:val="10"/>
                <w:rFonts w:hint="eastAsia"/>
              </w:rPr>
              <w:t>质量保证期：</w:t>
            </w:r>
            <w:r>
              <w:rPr>
                <w:rStyle w:val="11"/>
                <w:rFonts w:hint="eastAsia"/>
              </w:rPr>
              <w:t>2年</w:t>
            </w:r>
          </w:p>
        </w:tc>
      </w:tr>
      <w:tr w14:paraId="25075C1E">
        <w:tblPrEx>
          <w:tblCellMar>
            <w:top w:w="0" w:type="dxa"/>
            <w:left w:w="0" w:type="dxa"/>
            <w:bottom w:w="0" w:type="dxa"/>
            <w:right w:w="0" w:type="dxa"/>
          </w:tblCellMar>
        </w:tblPrEx>
        <w:trPr>
          <w:wBefore w:w="0" w:type="auto"/>
          <w:tblCellSpacing w:w="0" w:type="dxa"/>
        </w:trPr>
        <w:tc>
          <w:tcPr>
            <w:tcW w:w="0" w:type="auto"/>
            <w:noWrap w:val="0"/>
            <w:vAlign w:val="center"/>
          </w:tcPr>
          <w:p w14:paraId="08775B43">
            <w:r>
              <w:rPr>
                <w:rStyle w:val="10"/>
                <w:rFonts w:hint="eastAsia"/>
              </w:rPr>
              <w:t>备注：</w:t>
            </w:r>
            <w:r>
              <w:rPr>
                <w:rFonts w:hint="eastAsia"/>
              </w:rPr>
              <w:br w:type="textWrapping"/>
            </w:r>
            <w:r>
              <w:rPr>
                <w:rStyle w:val="11"/>
                <w:rFonts w:hint="eastAsia"/>
              </w:rPr>
              <w:t>质量分数42%。</w:t>
            </w:r>
          </w:p>
        </w:tc>
      </w:tr>
    </w:tbl>
    <w:p w14:paraId="75F4137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7833D7">
        <w:tblPrEx>
          <w:tblCellMar>
            <w:top w:w="0" w:type="dxa"/>
            <w:left w:w="0" w:type="dxa"/>
            <w:bottom w:w="0" w:type="dxa"/>
            <w:right w:w="0" w:type="dxa"/>
          </w:tblCellMar>
        </w:tblPrEx>
        <w:trPr>
          <w:wBefore w:w="0" w:type="auto"/>
          <w:tblCellSpacing w:w="0" w:type="dxa"/>
        </w:trPr>
        <w:tc>
          <w:tcPr>
            <w:tcW w:w="0" w:type="auto"/>
            <w:noWrap w:val="0"/>
            <w:vAlign w:val="center"/>
          </w:tcPr>
          <w:p w14:paraId="5F5E4AD0">
            <w:r>
              <w:rPr>
                <w:rStyle w:val="10"/>
                <w:rFonts w:hint="eastAsia"/>
              </w:rPr>
              <w:t>登记证号：</w:t>
            </w:r>
            <w:r>
              <w:rPr>
                <w:rFonts w:hint="eastAsia"/>
              </w:rPr>
              <w:t>PD20212018</w:t>
            </w:r>
          </w:p>
        </w:tc>
      </w:tr>
      <w:tr w14:paraId="6F1311F6">
        <w:tblPrEx>
          <w:tblCellMar>
            <w:top w:w="0" w:type="dxa"/>
            <w:left w:w="0" w:type="dxa"/>
            <w:bottom w:w="0" w:type="dxa"/>
            <w:right w:w="0" w:type="dxa"/>
          </w:tblCellMar>
        </w:tblPrEx>
        <w:trPr>
          <w:wBefore w:w="0" w:type="auto"/>
          <w:tblCellSpacing w:w="0" w:type="dxa"/>
        </w:trPr>
        <w:tc>
          <w:tcPr>
            <w:tcW w:w="0" w:type="auto"/>
            <w:noWrap w:val="0"/>
            <w:vAlign w:val="center"/>
          </w:tcPr>
          <w:p w14:paraId="118ECE7A">
            <w:r>
              <w:rPr>
                <w:rStyle w:val="10"/>
                <w:rFonts w:hint="eastAsia"/>
              </w:rPr>
              <w:t>登记证持有人：</w:t>
            </w:r>
            <w:r>
              <w:rPr>
                <w:rFonts w:hint="eastAsia"/>
              </w:rPr>
              <w:t>美国仙农有限公司</w:t>
            </w:r>
          </w:p>
        </w:tc>
      </w:tr>
      <w:tr w14:paraId="58E47CFD">
        <w:tblPrEx>
          <w:tblCellMar>
            <w:top w:w="0" w:type="dxa"/>
            <w:left w:w="0" w:type="dxa"/>
            <w:bottom w:w="0" w:type="dxa"/>
            <w:right w:w="0" w:type="dxa"/>
          </w:tblCellMar>
        </w:tblPrEx>
        <w:trPr>
          <w:wBefore w:w="0" w:type="auto"/>
          <w:tblCellSpacing w:w="0" w:type="dxa"/>
        </w:trPr>
        <w:tc>
          <w:tcPr>
            <w:tcW w:w="0" w:type="auto"/>
            <w:noWrap w:val="0"/>
            <w:vAlign w:val="center"/>
          </w:tcPr>
          <w:p w14:paraId="0BB1EB5A">
            <w:r>
              <w:rPr>
                <w:rStyle w:val="10"/>
                <w:rFonts w:hint="eastAsia"/>
              </w:rPr>
              <w:t>农药名称：</w:t>
            </w:r>
            <w:r>
              <w:rPr>
                <w:rFonts w:hint="eastAsia"/>
              </w:rPr>
              <w:t>波尔·锰锌</w:t>
            </w:r>
          </w:p>
        </w:tc>
      </w:tr>
      <w:tr w14:paraId="6986F4D0">
        <w:tblPrEx>
          <w:tblCellMar>
            <w:top w:w="0" w:type="dxa"/>
            <w:left w:w="0" w:type="dxa"/>
            <w:bottom w:w="0" w:type="dxa"/>
            <w:right w:w="0" w:type="dxa"/>
          </w:tblCellMar>
        </w:tblPrEx>
        <w:trPr>
          <w:wBefore w:w="0" w:type="auto"/>
          <w:tblCellSpacing w:w="0" w:type="dxa"/>
        </w:trPr>
        <w:tc>
          <w:tcPr>
            <w:tcW w:w="0" w:type="auto"/>
            <w:noWrap w:val="0"/>
            <w:vAlign w:val="center"/>
          </w:tcPr>
          <w:p w14:paraId="105B9F53">
            <w:r>
              <w:rPr>
                <w:rStyle w:val="10"/>
                <w:rFonts w:hint="eastAsia"/>
              </w:rPr>
              <w:t>剂型：</w:t>
            </w:r>
            <w:r>
              <w:rPr>
                <w:rFonts w:hint="eastAsia"/>
              </w:rPr>
              <w:t>水分散粒剂</w:t>
            </w:r>
          </w:p>
        </w:tc>
      </w:tr>
      <w:tr w14:paraId="733D2495">
        <w:tblPrEx>
          <w:tblCellMar>
            <w:top w:w="0" w:type="dxa"/>
            <w:left w:w="0" w:type="dxa"/>
            <w:bottom w:w="0" w:type="dxa"/>
            <w:right w:w="0" w:type="dxa"/>
          </w:tblCellMar>
        </w:tblPrEx>
        <w:trPr>
          <w:wBefore w:w="0" w:type="auto"/>
          <w:tblCellSpacing w:w="0" w:type="dxa"/>
        </w:trPr>
        <w:tc>
          <w:tcPr>
            <w:tcW w:w="0" w:type="auto"/>
            <w:noWrap w:val="0"/>
            <w:vAlign w:val="center"/>
          </w:tcPr>
          <w:p w14:paraId="10AE02EB">
            <w:r>
              <w:rPr>
                <w:rStyle w:val="10"/>
                <w:rFonts w:hint="eastAsia"/>
              </w:rPr>
              <w:t>毒性及其标识：</w:t>
            </w:r>
            <w:r>
              <w:rPr>
                <w:rFonts w:hint="eastAsia"/>
              </w:rPr>
              <w:t xml:space="preserve"> 微毒 </w:t>
            </w:r>
          </w:p>
        </w:tc>
      </w:tr>
      <w:tr w14:paraId="1A471C80">
        <w:tblPrEx>
          <w:tblCellMar>
            <w:top w:w="0" w:type="dxa"/>
            <w:left w:w="0" w:type="dxa"/>
            <w:bottom w:w="0" w:type="dxa"/>
            <w:right w:w="0" w:type="dxa"/>
          </w:tblCellMar>
        </w:tblPrEx>
        <w:trPr>
          <w:wBefore w:w="0" w:type="auto"/>
          <w:tblCellSpacing w:w="0" w:type="dxa"/>
        </w:trPr>
        <w:tc>
          <w:tcPr>
            <w:tcW w:w="0" w:type="auto"/>
            <w:noWrap w:val="0"/>
            <w:vAlign w:val="center"/>
          </w:tcPr>
          <w:p w14:paraId="2DA16DC2">
            <w:r>
              <w:rPr>
                <w:rStyle w:val="10"/>
                <w:rFonts w:hint="eastAsia"/>
              </w:rPr>
              <w:t>总有效成分含量：</w:t>
            </w:r>
            <w:r>
              <w:rPr>
                <w:rFonts w:hint="eastAsia"/>
              </w:rPr>
              <w:t>78%</w:t>
            </w:r>
          </w:p>
        </w:tc>
      </w:tr>
      <w:tr w14:paraId="02C7D3AE">
        <w:tblPrEx>
          <w:tblCellMar>
            <w:top w:w="0" w:type="dxa"/>
            <w:left w:w="0" w:type="dxa"/>
            <w:bottom w:w="0" w:type="dxa"/>
            <w:right w:w="0" w:type="dxa"/>
          </w:tblCellMar>
        </w:tblPrEx>
        <w:trPr>
          <w:wBefore w:w="0" w:type="auto"/>
          <w:tblCellSpacing w:w="0" w:type="dxa"/>
        </w:trPr>
        <w:tc>
          <w:tcPr>
            <w:tcW w:w="0" w:type="auto"/>
            <w:noWrap w:val="0"/>
            <w:vAlign w:val="center"/>
          </w:tcPr>
          <w:p w14:paraId="152F7E34">
            <w:r>
              <w:rPr>
                <w:rFonts w:hint="eastAsia"/>
              </w:rPr>
              <w:t xml:space="preserve">有效成分及其含量： </w:t>
            </w:r>
          </w:p>
          <w:p w14:paraId="3B4D930C">
            <w:r>
              <w:rPr>
                <w:rFonts w:hint="eastAsia"/>
              </w:rPr>
              <w:t xml:space="preserve">    波尔多液48%    代森锰锌30%    </w:t>
            </w:r>
          </w:p>
        </w:tc>
      </w:tr>
      <w:tr w14:paraId="69061641">
        <w:tblPrEx>
          <w:tblCellMar>
            <w:top w:w="0" w:type="dxa"/>
            <w:left w:w="0" w:type="dxa"/>
            <w:bottom w:w="0" w:type="dxa"/>
            <w:right w:w="0" w:type="dxa"/>
          </w:tblCellMar>
        </w:tblPrEx>
        <w:trPr>
          <w:wBefore w:w="0" w:type="auto"/>
          <w:tblCellSpacing w:w="0" w:type="dxa"/>
        </w:trPr>
        <w:tc>
          <w:tcPr>
            <w:tcW w:w="0" w:type="auto"/>
            <w:noWrap w:val="0"/>
            <w:vAlign w:val="center"/>
          </w:tcPr>
          <w:p w14:paraId="557D56E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F9581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F5D2BA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7CF2F8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A1FEDC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3EBC8A">
                  <w:r>
                    <w:rPr>
                      <w:rStyle w:val="11"/>
                      <w:rFonts w:hint="eastAsia"/>
                    </w:rPr>
                    <w:t>施用方式</w:t>
                  </w:r>
                </w:p>
              </w:tc>
            </w:tr>
            <w:tr w14:paraId="53EB34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235C771">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6ED740">
                  <w:r>
                    <w:rPr>
                      <w:rStyle w:val="11"/>
                      <w:rFonts w:hint="eastAsia"/>
                    </w:rPr>
                    <w:t>轮纹病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00AE1F">
                  <w:r>
                    <w:rPr>
                      <w:rStyle w:val="11"/>
                      <w:rFonts w:hint="eastAsia"/>
                    </w:rPr>
                    <w:t>400-600倍液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A2F702">
                  <w:r>
                    <w:rPr>
                      <w:rStyle w:val="11"/>
                      <w:rFonts w:hint="eastAsia"/>
                    </w:rPr>
                    <w:t>喷雾</w:t>
                  </w:r>
                </w:p>
              </w:tc>
            </w:tr>
          </w:tbl>
          <w:p w14:paraId="1AC9A1A3">
            <w:pPr>
              <w:rPr>
                <w:rFonts w:ascii="Times New Roman" w:hAnsi="Times New Roman" w:cs="Times New Roman"/>
                <w:sz w:val="20"/>
                <w:szCs w:val="20"/>
              </w:rPr>
            </w:pPr>
          </w:p>
        </w:tc>
      </w:tr>
      <w:tr w14:paraId="79FA1951">
        <w:tblPrEx>
          <w:tblCellMar>
            <w:top w:w="0" w:type="dxa"/>
            <w:left w:w="0" w:type="dxa"/>
            <w:bottom w:w="0" w:type="dxa"/>
            <w:right w:w="0" w:type="dxa"/>
          </w:tblCellMar>
        </w:tblPrEx>
        <w:trPr>
          <w:wBefore w:w="0" w:type="auto"/>
          <w:tblCellSpacing w:w="0" w:type="dxa"/>
        </w:trPr>
        <w:tc>
          <w:tcPr>
            <w:tcW w:w="0" w:type="auto"/>
            <w:noWrap w:val="0"/>
            <w:vAlign w:val="center"/>
          </w:tcPr>
          <w:p w14:paraId="75E490D7">
            <w:r>
              <w:rPr>
                <w:rStyle w:val="10"/>
                <w:rFonts w:hint="eastAsia"/>
              </w:rPr>
              <w:t>使用技术要求:</w:t>
            </w:r>
            <w:r>
              <w:rPr>
                <w:rFonts w:hint="eastAsia"/>
              </w:rPr>
              <w:br w:type="textWrapping"/>
            </w:r>
            <w:r>
              <w:rPr>
                <w:rStyle w:val="11"/>
                <w:rFonts w:hint="eastAsia"/>
              </w:rPr>
              <w:t>应于发病前或初期进行常规喷雾，每季可施药2-3次，间隔10天左右1次。安全间隔期14天，每季最多使用3次。</w:t>
            </w:r>
          </w:p>
        </w:tc>
      </w:tr>
      <w:tr w14:paraId="7FB87975">
        <w:tblPrEx>
          <w:tblCellMar>
            <w:top w:w="0" w:type="dxa"/>
            <w:left w:w="0" w:type="dxa"/>
            <w:bottom w:w="0" w:type="dxa"/>
            <w:right w:w="0" w:type="dxa"/>
          </w:tblCellMar>
        </w:tblPrEx>
        <w:trPr>
          <w:wBefore w:w="0" w:type="auto"/>
          <w:tblCellSpacing w:w="0" w:type="dxa"/>
        </w:trPr>
        <w:tc>
          <w:tcPr>
            <w:tcW w:w="0" w:type="auto"/>
            <w:noWrap w:val="0"/>
            <w:vAlign w:val="center"/>
          </w:tcPr>
          <w:p w14:paraId="62BDEC08">
            <w:r>
              <w:rPr>
                <w:rStyle w:val="10"/>
                <w:rFonts w:hint="eastAsia"/>
              </w:rPr>
              <w:t>产品性能:</w:t>
            </w:r>
            <w:r>
              <w:rPr>
                <w:rFonts w:hint="eastAsia"/>
              </w:rPr>
              <w:br w:type="textWrapping"/>
            </w:r>
            <w:r>
              <w:rPr>
                <w:rStyle w:val="11"/>
                <w:rFonts w:hint="eastAsia"/>
              </w:rPr>
              <w:t>1 杀菌机理属于多位点作用；2 有效成分有优异的增效、协同作用。</w:t>
            </w:r>
          </w:p>
        </w:tc>
      </w:tr>
      <w:tr w14:paraId="5BDD84F0">
        <w:tblPrEx>
          <w:tblCellMar>
            <w:top w:w="0" w:type="dxa"/>
            <w:left w:w="0" w:type="dxa"/>
            <w:bottom w:w="0" w:type="dxa"/>
            <w:right w:w="0" w:type="dxa"/>
          </w:tblCellMar>
        </w:tblPrEx>
        <w:trPr>
          <w:wBefore w:w="0" w:type="auto"/>
          <w:tblCellSpacing w:w="0" w:type="dxa"/>
        </w:trPr>
        <w:tc>
          <w:tcPr>
            <w:tcW w:w="0" w:type="auto"/>
            <w:noWrap w:val="0"/>
            <w:vAlign w:val="center"/>
          </w:tcPr>
          <w:p w14:paraId="308F79C1">
            <w:r>
              <w:rPr>
                <w:rStyle w:val="10"/>
                <w:rFonts w:hint="eastAsia"/>
              </w:rPr>
              <w:t>注意事项：</w:t>
            </w:r>
            <w:r>
              <w:rPr>
                <w:rFonts w:hint="eastAsia"/>
              </w:rPr>
              <w:br w:type="textWrapping"/>
            </w:r>
            <w:r>
              <w:rPr>
                <w:rStyle w:val="11"/>
                <w:rFonts w:hint="eastAsia"/>
              </w:rPr>
              <w:t>1. 施药前请搅拌均匀，充分溶解； 2. 本品对眼睛有刺激性，使用时避免接触眼睛，穿戴长衣、长裤、帽子、口罩、手套等安全防护措施，施药完毕应立即洗手；3. 勿逆风施药，并避免药液接触皮肤或吸入药雾；4.远离水产养殖区、河塘等水体施药，禁止在河塘等水体中清洗施药器具；蚕室及桑园附近禁用。5. 孕妇及哺乳期妇女禁止接触本品。6.用后的容器应妥善处理，不可随意丢弃，不可做他用。</w:t>
            </w:r>
          </w:p>
        </w:tc>
      </w:tr>
      <w:tr w14:paraId="25CCC4D5">
        <w:tblPrEx>
          <w:tblCellMar>
            <w:top w:w="0" w:type="dxa"/>
            <w:left w:w="0" w:type="dxa"/>
            <w:bottom w:w="0" w:type="dxa"/>
            <w:right w:w="0" w:type="dxa"/>
          </w:tblCellMar>
        </w:tblPrEx>
        <w:trPr>
          <w:wBefore w:w="0" w:type="auto"/>
          <w:tblCellSpacing w:w="0" w:type="dxa"/>
        </w:trPr>
        <w:tc>
          <w:tcPr>
            <w:tcW w:w="0" w:type="auto"/>
            <w:noWrap w:val="0"/>
            <w:vAlign w:val="center"/>
          </w:tcPr>
          <w:p w14:paraId="5C138385">
            <w:r>
              <w:rPr>
                <w:rStyle w:val="10"/>
                <w:rFonts w:hint="eastAsia"/>
              </w:rPr>
              <w:t>中毒急救措施：</w:t>
            </w:r>
            <w:r>
              <w:rPr>
                <w:rFonts w:hint="eastAsia"/>
              </w:rPr>
              <w:br w:type="textWrapping"/>
            </w:r>
            <w:r>
              <w:rPr>
                <w:rStyle w:val="11"/>
                <w:rFonts w:hint="eastAsia"/>
              </w:rPr>
              <w:t>1.一般建议： 就医并出示本标签；2.对眼睛有一定刺激性，若眼睛接触：立即用大量水冲洗，包括眼睑以内。若眼睛刺激持续，请就医；3.皮肤接触： 立即用大量肥皂和水冲洗。脱掉污染衣物，再次使用前彻底清洗；4.吞服：若出现不适症状，联系毒性控制中心或就医；5.吸入： 将病患移至空气新鲜处。</w:t>
            </w:r>
          </w:p>
        </w:tc>
      </w:tr>
      <w:tr w14:paraId="41DB850D">
        <w:tblPrEx>
          <w:tblCellMar>
            <w:top w:w="0" w:type="dxa"/>
            <w:left w:w="0" w:type="dxa"/>
            <w:bottom w:w="0" w:type="dxa"/>
            <w:right w:w="0" w:type="dxa"/>
          </w:tblCellMar>
        </w:tblPrEx>
        <w:trPr>
          <w:wBefore w:w="0" w:type="auto"/>
          <w:tblCellSpacing w:w="0" w:type="dxa"/>
        </w:trPr>
        <w:tc>
          <w:tcPr>
            <w:tcW w:w="0" w:type="auto"/>
            <w:noWrap w:val="0"/>
            <w:vAlign w:val="center"/>
          </w:tcPr>
          <w:p w14:paraId="495A5283">
            <w:r>
              <w:rPr>
                <w:rStyle w:val="10"/>
                <w:rFonts w:hint="eastAsia"/>
              </w:rPr>
              <w:t>储存和运输方法：</w:t>
            </w:r>
            <w:r>
              <w:rPr>
                <w:rFonts w:hint="eastAsia"/>
              </w:rPr>
              <w:br w:type="textWrapping"/>
            </w:r>
            <w:r>
              <w:rPr>
                <w:rStyle w:val="11"/>
                <w:rFonts w:hint="eastAsia"/>
              </w:rPr>
              <w:t>1 存储于干燥、避光且通风良好之处。 2. 置于儿童、无关人员触及不到之处，并加锁。勿与食品、饮料、饲料、粮食等同贮同运。3. 拆封后请尽快用完，否则，请封口储藏。</w:t>
            </w:r>
          </w:p>
        </w:tc>
      </w:tr>
      <w:tr w14:paraId="5F6386FD">
        <w:tblPrEx>
          <w:tblCellMar>
            <w:top w:w="0" w:type="dxa"/>
            <w:left w:w="0" w:type="dxa"/>
            <w:bottom w:w="0" w:type="dxa"/>
            <w:right w:w="0" w:type="dxa"/>
          </w:tblCellMar>
        </w:tblPrEx>
        <w:trPr>
          <w:wBefore w:w="0" w:type="auto"/>
          <w:tblCellSpacing w:w="0" w:type="dxa"/>
        </w:trPr>
        <w:tc>
          <w:tcPr>
            <w:tcW w:w="0" w:type="auto"/>
            <w:noWrap w:val="0"/>
            <w:vAlign w:val="center"/>
          </w:tcPr>
          <w:p w14:paraId="7214287F">
            <w:r>
              <w:rPr>
                <w:rStyle w:val="10"/>
                <w:rFonts w:hint="eastAsia"/>
              </w:rPr>
              <w:t>质量保证期：</w:t>
            </w:r>
            <w:r>
              <w:rPr>
                <w:rStyle w:val="11"/>
                <w:rFonts w:hint="eastAsia"/>
              </w:rPr>
              <w:t>2年</w:t>
            </w:r>
          </w:p>
        </w:tc>
      </w:tr>
      <w:tr w14:paraId="4EFF4305">
        <w:tblPrEx>
          <w:tblCellMar>
            <w:top w:w="0" w:type="dxa"/>
            <w:left w:w="0" w:type="dxa"/>
            <w:bottom w:w="0" w:type="dxa"/>
            <w:right w:w="0" w:type="dxa"/>
          </w:tblCellMar>
        </w:tblPrEx>
        <w:trPr>
          <w:wBefore w:w="0" w:type="auto"/>
          <w:tblCellSpacing w:w="0" w:type="dxa"/>
        </w:trPr>
        <w:tc>
          <w:tcPr>
            <w:tcW w:w="0" w:type="auto"/>
            <w:noWrap w:val="0"/>
            <w:vAlign w:val="center"/>
          </w:tcPr>
          <w:p w14:paraId="417F7379">
            <w:r>
              <w:rPr>
                <w:rStyle w:val="10"/>
                <w:rFonts w:hint="eastAsia"/>
              </w:rPr>
              <w:t>备注：</w:t>
            </w:r>
          </w:p>
        </w:tc>
      </w:tr>
    </w:tbl>
    <w:p w14:paraId="5D400BB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A30581">
        <w:tblPrEx>
          <w:tblCellMar>
            <w:top w:w="0" w:type="dxa"/>
            <w:left w:w="0" w:type="dxa"/>
            <w:bottom w:w="0" w:type="dxa"/>
            <w:right w:w="0" w:type="dxa"/>
          </w:tblCellMar>
        </w:tblPrEx>
        <w:trPr>
          <w:wBefore w:w="0" w:type="auto"/>
          <w:tblCellSpacing w:w="0" w:type="dxa"/>
        </w:trPr>
        <w:tc>
          <w:tcPr>
            <w:tcW w:w="0" w:type="auto"/>
            <w:noWrap w:val="0"/>
            <w:vAlign w:val="center"/>
          </w:tcPr>
          <w:p w14:paraId="628D5E44">
            <w:r>
              <w:rPr>
                <w:rStyle w:val="10"/>
                <w:rFonts w:hint="eastAsia"/>
              </w:rPr>
              <w:t>登记证号：</w:t>
            </w:r>
            <w:r>
              <w:rPr>
                <w:rFonts w:hint="eastAsia"/>
              </w:rPr>
              <w:t>PD20211913</w:t>
            </w:r>
          </w:p>
        </w:tc>
      </w:tr>
      <w:tr w14:paraId="66A7C1BB">
        <w:tblPrEx>
          <w:tblCellMar>
            <w:top w:w="0" w:type="dxa"/>
            <w:left w:w="0" w:type="dxa"/>
            <w:bottom w:w="0" w:type="dxa"/>
            <w:right w:w="0" w:type="dxa"/>
          </w:tblCellMar>
        </w:tblPrEx>
        <w:trPr>
          <w:wBefore w:w="0" w:type="auto"/>
          <w:tblCellSpacing w:w="0" w:type="dxa"/>
        </w:trPr>
        <w:tc>
          <w:tcPr>
            <w:tcW w:w="0" w:type="auto"/>
            <w:noWrap w:val="0"/>
            <w:vAlign w:val="center"/>
          </w:tcPr>
          <w:p w14:paraId="55567192">
            <w:r>
              <w:rPr>
                <w:rStyle w:val="10"/>
                <w:rFonts w:hint="eastAsia"/>
              </w:rPr>
              <w:t>登记证持有人：</w:t>
            </w:r>
            <w:r>
              <w:rPr>
                <w:rFonts w:hint="eastAsia"/>
              </w:rPr>
              <w:t>黑龙江省苗必壮农业科技有限公司</w:t>
            </w:r>
          </w:p>
        </w:tc>
      </w:tr>
      <w:tr w14:paraId="3F4F8263">
        <w:tblPrEx>
          <w:tblCellMar>
            <w:top w:w="0" w:type="dxa"/>
            <w:left w:w="0" w:type="dxa"/>
            <w:bottom w:w="0" w:type="dxa"/>
            <w:right w:w="0" w:type="dxa"/>
          </w:tblCellMar>
        </w:tblPrEx>
        <w:trPr>
          <w:wBefore w:w="0" w:type="auto"/>
          <w:tblCellSpacing w:w="0" w:type="dxa"/>
        </w:trPr>
        <w:tc>
          <w:tcPr>
            <w:tcW w:w="0" w:type="auto"/>
            <w:noWrap w:val="0"/>
            <w:vAlign w:val="center"/>
          </w:tcPr>
          <w:p w14:paraId="2C5F4220">
            <w:r>
              <w:rPr>
                <w:rStyle w:val="10"/>
                <w:rFonts w:hint="eastAsia"/>
              </w:rPr>
              <w:t>农药名称：</w:t>
            </w:r>
            <w:r>
              <w:rPr>
                <w:rFonts w:hint="eastAsia"/>
              </w:rPr>
              <w:t>苯甲·嘧菌酯</w:t>
            </w:r>
          </w:p>
        </w:tc>
      </w:tr>
      <w:tr w14:paraId="0DFC1663">
        <w:tblPrEx>
          <w:tblCellMar>
            <w:top w:w="0" w:type="dxa"/>
            <w:left w:w="0" w:type="dxa"/>
            <w:bottom w:w="0" w:type="dxa"/>
            <w:right w:w="0" w:type="dxa"/>
          </w:tblCellMar>
        </w:tblPrEx>
        <w:trPr>
          <w:wBefore w:w="0" w:type="auto"/>
          <w:tblCellSpacing w:w="0" w:type="dxa"/>
        </w:trPr>
        <w:tc>
          <w:tcPr>
            <w:tcW w:w="0" w:type="auto"/>
            <w:noWrap w:val="0"/>
            <w:vAlign w:val="center"/>
          </w:tcPr>
          <w:p w14:paraId="3EFCA90B">
            <w:r>
              <w:rPr>
                <w:rStyle w:val="10"/>
                <w:rFonts w:hint="eastAsia"/>
              </w:rPr>
              <w:t>剂型：</w:t>
            </w:r>
            <w:r>
              <w:rPr>
                <w:rFonts w:hint="eastAsia"/>
              </w:rPr>
              <w:t>悬浮剂</w:t>
            </w:r>
          </w:p>
        </w:tc>
      </w:tr>
      <w:tr w14:paraId="603260EC">
        <w:tblPrEx>
          <w:tblCellMar>
            <w:top w:w="0" w:type="dxa"/>
            <w:left w:w="0" w:type="dxa"/>
            <w:bottom w:w="0" w:type="dxa"/>
            <w:right w:w="0" w:type="dxa"/>
          </w:tblCellMar>
        </w:tblPrEx>
        <w:trPr>
          <w:wBefore w:w="0" w:type="auto"/>
          <w:tblCellSpacing w:w="0" w:type="dxa"/>
        </w:trPr>
        <w:tc>
          <w:tcPr>
            <w:tcW w:w="0" w:type="auto"/>
            <w:noWrap w:val="0"/>
            <w:vAlign w:val="center"/>
          </w:tcPr>
          <w:p w14:paraId="451958EA">
            <w:r>
              <w:rPr>
                <w:rStyle w:val="10"/>
                <w:rFonts w:hint="eastAsia"/>
              </w:rPr>
              <w:t>毒性及其标识：</w:t>
            </w:r>
            <w:r>
              <w:rPr>
                <w:rFonts w:hint="eastAsia"/>
              </w:rPr>
              <w:t xml:space="preserve"> </w:t>
            </w:r>
            <w:r>
              <w:rPr>
                <w:lang/>
              </w:rPr>
              <w:drawing>
                <wp:inline distT="0" distB="0" distL="114300" distR="114300">
                  <wp:extent cx="476250" cy="323850"/>
                  <wp:effectExtent l="0" t="0" r="0" b="0"/>
                  <wp:docPr id="265" name="图片 26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A5370F4">
        <w:tblPrEx>
          <w:tblCellMar>
            <w:top w:w="0" w:type="dxa"/>
            <w:left w:w="0" w:type="dxa"/>
            <w:bottom w:w="0" w:type="dxa"/>
            <w:right w:w="0" w:type="dxa"/>
          </w:tblCellMar>
        </w:tblPrEx>
        <w:trPr>
          <w:wBefore w:w="0" w:type="auto"/>
          <w:tblCellSpacing w:w="0" w:type="dxa"/>
        </w:trPr>
        <w:tc>
          <w:tcPr>
            <w:tcW w:w="0" w:type="auto"/>
            <w:noWrap w:val="0"/>
            <w:vAlign w:val="center"/>
          </w:tcPr>
          <w:p w14:paraId="1C6B8ADE">
            <w:r>
              <w:rPr>
                <w:rStyle w:val="10"/>
                <w:rFonts w:hint="eastAsia"/>
              </w:rPr>
              <w:t>总有效成分含量：</w:t>
            </w:r>
            <w:r>
              <w:rPr>
                <w:rFonts w:hint="eastAsia"/>
              </w:rPr>
              <w:t>30%</w:t>
            </w:r>
          </w:p>
        </w:tc>
      </w:tr>
      <w:tr w14:paraId="3F2AB846">
        <w:tblPrEx>
          <w:tblCellMar>
            <w:top w:w="0" w:type="dxa"/>
            <w:left w:w="0" w:type="dxa"/>
            <w:bottom w:w="0" w:type="dxa"/>
            <w:right w:w="0" w:type="dxa"/>
          </w:tblCellMar>
        </w:tblPrEx>
        <w:trPr>
          <w:wBefore w:w="0" w:type="auto"/>
          <w:tblCellSpacing w:w="0" w:type="dxa"/>
        </w:trPr>
        <w:tc>
          <w:tcPr>
            <w:tcW w:w="0" w:type="auto"/>
            <w:noWrap w:val="0"/>
            <w:vAlign w:val="center"/>
          </w:tcPr>
          <w:p w14:paraId="350EAB6D">
            <w:r>
              <w:rPr>
                <w:rFonts w:hint="eastAsia"/>
              </w:rPr>
              <w:t xml:space="preserve">有效成分及其含量： </w:t>
            </w:r>
          </w:p>
          <w:p w14:paraId="6A3B7445">
            <w:r>
              <w:rPr>
                <w:rFonts w:hint="eastAsia"/>
              </w:rPr>
              <w:t xml:space="preserve">    苯醚甲环唑11.5%    嘧菌酯18.5%    </w:t>
            </w:r>
          </w:p>
        </w:tc>
      </w:tr>
      <w:tr w14:paraId="327BFECC">
        <w:tblPrEx>
          <w:tblCellMar>
            <w:top w:w="0" w:type="dxa"/>
            <w:left w:w="0" w:type="dxa"/>
            <w:bottom w:w="0" w:type="dxa"/>
            <w:right w:w="0" w:type="dxa"/>
          </w:tblCellMar>
        </w:tblPrEx>
        <w:trPr>
          <w:wBefore w:w="0" w:type="auto"/>
          <w:tblCellSpacing w:w="0" w:type="dxa"/>
        </w:trPr>
        <w:tc>
          <w:tcPr>
            <w:tcW w:w="0" w:type="auto"/>
            <w:noWrap w:val="0"/>
            <w:vAlign w:val="center"/>
          </w:tcPr>
          <w:p w14:paraId="0F7DD44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EA1C3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964B37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588B5E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5B89FE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C2489E">
                  <w:r>
                    <w:rPr>
                      <w:rStyle w:val="11"/>
                      <w:rFonts w:hint="eastAsia"/>
                    </w:rPr>
                    <w:t>施用方式</w:t>
                  </w:r>
                </w:p>
              </w:tc>
            </w:tr>
            <w:tr w14:paraId="4F16AA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DF8E55D">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B99F70">
                  <w:r>
                    <w:rPr>
                      <w:rStyle w:val="11"/>
                      <w:rFonts w:hint="eastAsia"/>
                    </w:rPr>
                    <w:t>早疫病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CBF490">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2AED3B">
                  <w:r>
                    <w:rPr>
                      <w:rStyle w:val="11"/>
                      <w:rFonts w:hint="eastAsia"/>
                    </w:rPr>
                    <w:t>喷雾</w:t>
                  </w:r>
                </w:p>
              </w:tc>
            </w:tr>
          </w:tbl>
          <w:p w14:paraId="13BCE666">
            <w:pPr>
              <w:rPr>
                <w:rFonts w:ascii="Times New Roman" w:hAnsi="Times New Roman" w:cs="Times New Roman"/>
                <w:sz w:val="20"/>
                <w:szCs w:val="20"/>
              </w:rPr>
            </w:pPr>
          </w:p>
        </w:tc>
      </w:tr>
      <w:tr w14:paraId="58DEF575">
        <w:tblPrEx>
          <w:tblCellMar>
            <w:top w:w="0" w:type="dxa"/>
            <w:left w:w="0" w:type="dxa"/>
            <w:bottom w:w="0" w:type="dxa"/>
            <w:right w:w="0" w:type="dxa"/>
          </w:tblCellMar>
        </w:tblPrEx>
        <w:trPr>
          <w:wBefore w:w="0" w:type="auto"/>
          <w:tblCellSpacing w:w="0" w:type="dxa"/>
        </w:trPr>
        <w:tc>
          <w:tcPr>
            <w:tcW w:w="0" w:type="auto"/>
            <w:noWrap w:val="0"/>
            <w:vAlign w:val="center"/>
          </w:tcPr>
          <w:p w14:paraId="1AE8A7C9">
            <w:r>
              <w:rPr>
                <w:rStyle w:val="10"/>
                <w:rFonts w:hint="eastAsia"/>
              </w:rPr>
              <w:t>使用技术要求:</w:t>
            </w:r>
            <w:r>
              <w:rPr>
                <w:rFonts w:hint="eastAsia"/>
              </w:rPr>
              <w:br w:type="textWrapping"/>
            </w:r>
            <w:r>
              <w:rPr>
                <w:rStyle w:val="11"/>
                <w:rFonts w:hint="eastAsia"/>
              </w:rPr>
              <w:t>防治马铃薯早疫病，按推荐剂量，每亩用水量：30～45 公斤，于发病前或初期进行常规喷雾，可用药2-3次，间隔7天左右1次。根据作物长势，叶面均匀喷雾。每季作物最多使用次数3次，安全间隔期14天。</w:t>
            </w:r>
          </w:p>
        </w:tc>
      </w:tr>
      <w:tr w14:paraId="0D76003E">
        <w:tblPrEx>
          <w:tblCellMar>
            <w:top w:w="0" w:type="dxa"/>
            <w:left w:w="0" w:type="dxa"/>
            <w:bottom w:w="0" w:type="dxa"/>
            <w:right w:w="0" w:type="dxa"/>
          </w:tblCellMar>
        </w:tblPrEx>
        <w:trPr>
          <w:wBefore w:w="0" w:type="auto"/>
          <w:tblCellSpacing w:w="0" w:type="dxa"/>
        </w:trPr>
        <w:tc>
          <w:tcPr>
            <w:tcW w:w="0" w:type="auto"/>
            <w:noWrap w:val="0"/>
            <w:vAlign w:val="center"/>
          </w:tcPr>
          <w:p w14:paraId="62AC200D">
            <w:r>
              <w:rPr>
                <w:rStyle w:val="10"/>
                <w:rFonts w:hint="eastAsia"/>
              </w:rPr>
              <w:t>产品性能:</w:t>
            </w:r>
            <w:r>
              <w:rPr>
                <w:rFonts w:hint="eastAsia"/>
              </w:rPr>
              <w:br w:type="textWrapping"/>
            </w:r>
            <w:r>
              <w:rPr>
                <w:rStyle w:val="11"/>
                <w:rFonts w:hint="eastAsia"/>
              </w:rPr>
              <w:t>本品由嘧菌酯和苯醚甲环唑混配而成，兼具保护和治疗活性，杀菌谱广，安全性好，对马铃薯早疫病具有较好的防效。</w:t>
            </w:r>
          </w:p>
        </w:tc>
      </w:tr>
      <w:tr w14:paraId="1186F641">
        <w:tblPrEx>
          <w:tblCellMar>
            <w:top w:w="0" w:type="dxa"/>
            <w:left w:w="0" w:type="dxa"/>
            <w:bottom w:w="0" w:type="dxa"/>
            <w:right w:w="0" w:type="dxa"/>
          </w:tblCellMar>
        </w:tblPrEx>
        <w:trPr>
          <w:wBefore w:w="0" w:type="auto"/>
          <w:tblCellSpacing w:w="0" w:type="dxa"/>
        </w:trPr>
        <w:tc>
          <w:tcPr>
            <w:tcW w:w="0" w:type="auto"/>
            <w:noWrap w:val="0"/>
            <w:vAlign w:val="center"/>
          </w:tcPr>
          <w:p w14:paraId="0EE9E4F2">
            <w:r>
              <w:rPr>
                <w:rStyle w:val="10"/>
                <w:rFonts w:hint="eastAsia"/>
              </w:rPr>
              <w:t>注意事项：</w:t>
            </w:r>
            <w:r>
              <w:rPr>
                <w:rFonts w:hint="eastAsia"/>
              </w:rPr>
              <w:br w:type="textWrapping"/>
            </w:r>
            <w:r>
              <w:rPr>
                <w:rStyle w:val="11"/>
                <w:rFonts w:hint="eastAsia"/>
              </w:rPr>
              <w:t>1. 使用本品时需做好保护措施，穿长袖衣裤，配戴防护手套、口罩、护目镜等。避免药液接触皮肤、眼睛，避免吸入雾滴。2. 施药期间不可吃东西、饮水等；施药后应及时洗手、洗脸等。3. 鸟类保护区附近禁用，施用时若周围有桑园，最外围桑树为隔离带，不能用于饲养家蚕。4. 勿将本品及其废液弃于池塘、河溪、湖泊等，以免污染水源。禁止在河塘等水体中清洗施药器具。5. 赤眼蜂等天敌放飞区域禁用。本品对鱼及水生生物有毒，请远离水产养殖区、河塘施药。6. 用过的容器和废弃包装应妥善处理，不得他用或随意丢弃。7. 孕妇及哺乳期妇女禁止接触本品。过敏者禁用。8. 本品避免与乳油类农药和有机硅助剂混用。</w:t>
            </w:r>
          </w:p>
        </w:tc>
      </w:tr>
      <w:tr w14:paraId="0B96B135">
        <w:tblPrEx>
          <w:tblCellMar>
            <w:top w:w="0" w:type="dxa"/>
            <w:left w:w="0" w:type="dxa"/>
            <w:bottom w:w="0" w:type="dxa"/>
            <w:right w:w="0" w:type="dxa"/>
          </w:tblCellMar>
        </w:tblPrEx>
        <w:trPr>
          <w:wBefore w:w="0" w:type="auto"/>
          <w:tblCellSpacing w:w="0" w:type="dxa"/>
        </w:trPr>
        <w:tc>
          <w:tcPr>
            <w:tcW w:w="0" w:type="auto"/>
            <w:noWrap w:val="0"/>
            <w:vAlign w:val="center"/>
          </w:tcPr>
          <w:p w14:paraId="2AF365D0">
            <w:r>
              <w:rPr>
                <w:rStyle w:val="10"/>
                <w:rFonts w:hint="eastAsia"/>
              </w:rPr>
              <w:t>中毒急救措施：</w:t>
            </w:r>
            <w:r>
              <w:rPr>
                <w:rFonts w:hint="eastAsia"/>
              </w:rPr>
              <w:br w:type="textWrapping"/>
            </w:r>
            <w:r>
              <w:rPr>
                <w:rStyle w:val="11"/>
                <w:rFonts w:hint="eastAsia"/>
              </w:rPr>
              <w:t>1.用药时如果感觉不适，请立即停止工作，采取急救措施，并携此标签送医就诊。2.皮肤接触：立即脱掉被污染的衣物，用肥皂和大量清水彻底清洗受污染的皮肤。必要时请医生诊治。3.眼睛溅药：立即将眼睑翻开，用清水轻柔冲洗至少15分钟，再请医生诊治。4.发生吸入：立即将吸入者转移到空气新鲜处，注意保暖和休息，请医生诊治。5.误服：立即携带标签，送医就诊。紧急医疗措施：使用医用活性炭洗胃，洗胃时防止胃残余物进入呼吸道。如果病人已昏迷，切勿经口喂入东西或引吐。</w:t>
            </w:r>
          </w:p>
        </w:tc>
      </w:tr>
      <w:tr w14:paraId="33889C72">
        <w:tblPrEx>
          <w:tblCellMar>
            <w:top w:w="0" w:type="dxa"/>
            <w:left w:w="0" w:type="dxa"/>
            <w:bottom w:w="0" w:type="dxa"/>
            <w:right w:w="0" w:type="dxa"/>
          </w:tblCellMar>
        </w:tblPrEx>
        <w:trPr>
          <w:wBefore w:w="0" w:type="auto"/>
          <w:tblCellSpacing w:w="0" w:type="dxa"/>
        </w:trPr>
        <w:tc>
          <w:tcPr>
            <w:tcW w:w="0" w:type="auto"/>
            <w:noWrap w:val="0"/>
            <w:vAlign w:val="center"/>
          </w:tcPr>
          <w:p w14:paraId="1CD85A1C">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本品应贮存在干燥、阴凉、通风、防雨处，远离火源或热源。置于儿童及无关人员触及不到之处，并加锁。不能与食品、饮料、粮食、饲料等物品同贮同运。</w:t>
            </w:r>
          </w:p>
        </w:tc>
      </w:tr>
      <w:tr w14:paraId="3026A169">
        <w:tblPrEx>
          <w:tblCellMar>
            <w:top w:w="0" w:type="dxa"/>
            <w:left w:w="0" w:type="dxa"/>
            <w:bottom w:w="0" w:type="dxa"/>
            <w:right w:w="0" w:type="dxa"/>
          </w:tblCellMar>
        </w:tblPrEx>
        <w:trPr>
          <w:wBefore w:w="0" w:type="auto"/>
          <w:tblCellSpacing w:w="0" w:type="dxa"/>
        </w:trPr>
        <w:tc>
          <w:tcPr>
            <w:tcW w:w="0" w:type="auto"/>
            <w:noWrap w:val="0"/>
            <w:vAlign w:val="center"/>
          </w:tcPr>
          <w:p w14:paraId="5CA23446">
            <w:r>
              <w:rPr>
                <w:rStyle w:val="10"/>
                <w:rFonts w:hint="eastAsia"/>
              </w:rPr>
              <w:t>质量保证期：</w:t>
            </w:r>
            <w:r>
              <w:rPr>
                <w:rStyle w:val="11"/>
                <w:rFonts w:hint="eastAsia"/>
              </w:rPr>
              <w:t>2年</w:t>
            </w:r>
          </w:p>
        </w:tc>
      </w:tr>
      <w:tr w14:paraId="0E256505">
        <w:tblPrEx>
          <w:tblCellMar>
            <w:top w:w="0" w:type="dxa"/>
            <w:left w:w="0" w:type="dxa"/>
            <w:bottom w:w="0" w:type="dxa"/>
            <w:right w:w="0" w:type="dxa"/>
          </w:tblCellMar>
        </w:tblPrEx>
        <w:trPr>
          <w:wBefore w:w="0" w:type="auto"/>
          <w:tblCellSpacing w:w="0" w:type="dxa"/>
        </w:trPr>
        <w:tc>
          <w:tcPr>
            <w:tcW w:w="0" w:type="auto"/>
            <w:noWrap w:val="0"/>
            <w:vAlign w:val="center"/>
          </w:tcPr>
          <w:p w14:paraId="596F8DED">
            <w:r>
              <w:rPr>
                <w:rStyle w:val="10"/>
                <w:rFonts w:hint="eastAsia"/>
              </w:rPr>
              <w:t>备注：</w:t>
            </w:r>
          </w:p>
        </w:tc>
      </w:tr>
    </w:tbl>
    <w:p w14:paraId="5F5785B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C7F2D56">
        <w:tblPrEx>
          <w:tblCellMar>
            <w:top w:w="0" w:type="dxa"/>
            <w:left w:w="0" w:type="dxa"/>
            <w:bottom w:w="0" w:type="dxa"/>
            <w:right w:w="0" w:type="dxa"/>
          </w:tblCellMar>
        </w:tblPrEx>
        <w:trPr>
          <w:wBefore w:w="0" w:type="auto"/>
          <w:tblCellSpacing w:w="0" w:type="dxa"/>
        </w:trPr>
        <w:tc>
          <w:tcPr>
            <w:tcW w:w="0" w:type="auto"/>
            <w:noWrap w:val="0"/>
            <w:vAlign w:val="center"/>
          </w:tcPr>
          <w:p w14:paraId="6821F8FE">
            <w:r>
              <w:rPr>
                <w:rStyle w:val="10"/>
                <w:rFonts w:hint="eastAsia"/>
              </w:rPr>
              <w:t>登记证号：</w:t>
            </w:r>
            <w:r>
              <w:rPr>
                <w:rFonts w:hint="eastAsia"/>
              </w:rPr>
              <w:t>PD20211886</w:t>
            </w:r>
          </w:p>
        </w:tc>
      </w:tr>
      <w:tr w14:paraId="6C5B966D">
        <w:tblPrEx>
          <w:tblCellMar>
            <w:top w:w="0" w:type="dxa"/>
            <w:left w:w="0" w:type="dxa"/>
            <w:bottom w:w="0" w:type="dxa"/>
            <w:right w:w="0" w:type="dxa"/>
          </w:tblCellMar>
        </w:tblPrEx>
        <w:trPr>
          <w:wBefore w:w="0" w:type="auto"/>
          <w:tblCellSpacing w:w="0" w:type="dxa"/>
        </w:trPr>
        <w:tc>
          <w:tcPr>
            <w:tcW w:w="0" w:type="auto"/>
            <w:noWrap w:val="0"/>
            <w:vAlign w:val="center"/>
          </w:tcPr>
          <w:p w14:paraId="235BA517">
            <w:r>
              <w:rPr>
                <w:rStyle w:val="10"/>
                <w:rFonts w:hint="eastAsia"/>
              </w:rPr>
              <w:t>登记证持有人：</w:t>
            </w:r>
            <w:r>
              <w:rPr>
                <w:rFonts w:hint="eastAsia"/>
              </w:rPr>
              <w:t>绍兴市幸运胶囊化学有限公司</w:t>
            </w:r>
          </w:p>
        </w:tc>
      </w:tr>
      <w:tr w14:paraId="6FCA21C7">
        <w:tblPrEx>
          <w:tblCellMar>
            <w:top w:w="0" w:type="dxa"/>
            <w:left w:w="0" w:type="dxa"/>
            <w:bottom w:w="0" w:type="dxa"/>
            <w:right w:w="0" w:type="dxa"/>
          </w:tblCellMar>
        </w:tblPrEx>
        <w:trPr>
          <w:wBefore w:w="0" w:type="auto"/>
          <w:tblCellSpacing w:w="0" w:type="dxa"/>
        </w:trPr>
        <w:tc>
          <w:tcPr>
            <w:tcW w:w="0" w:type="auto"/>
            <w:noWrap w:val="0"/>
            <w:vAlign w:val="center"/>
          </w:tcPr>
          <w:p w14:paraId="5592C7D7">
            <w:r>
              <w:rPr>
                <w:rStyle w:val="10"/>
                <w:rFonts w:hint="eastAsia"/>
              </w:rPr>
              <w:t>农药名称：</w:t>
            </w:r>
            <w:r>
              <w:rPr>
                <w:rFonts w:hint="eastAsia"/>
              </w:rPr>
              <w:t>呋虫胺</w:t>
            </w:r>
          </w:p>
        </w:tc>
      </w:tr>
      <w:tr w14:paraId="108199C1">
        <w:tblPrEx>
          <w:tblCellMar>
            <w:top w:w="0" w:type="dxa"/>
            <w:left w:w="0" w:type="dxa"/>
            <w:bottom w:w="0" w:type="dxa"/>
            <w:right w:w="0" w:type="dxa"/>
          </w:tblCellMar>
        </w:tblPrEx>
        <w:trPr>
          <w:wBefore w:w="0" w:type="auto"/>
          <w:tblCellSpacing w:w="0" w:type="dxa"/>
        </w:trPr>
        <w:tc>
          <w:tcPr>
            <w:tcW w:w="0" w:type="auto"/>
            <w:noWrap w:val="0"/>
            <w:vAlign w:val="center"/>
          </w:tcPr>
          <w:p w14:paraId="10386275">
            <w:r>
              <w:rPr>
                <w:rStyle w:val="10"/>
                <w:rFonts w:hint="eastAsia"/>
              </w:rPr>
              <w:t>剂型：</w:t>
            </w:r>
            <w:r>
              <w:rPr>
                <w:rFonts w:hint="eastAsia"/>
              </w:rPr>
              <w:t>饵剂</w:t>
            </w:r>
          </w:p>
        </w:tc>
      </w:tr>
      <w:tr w14:paraId="385D0188">
        <w:tblPrEx>
          <w:tblCellMar>
            <w:top w:w="0" w:type="dxa"/>
            <w:left w:w="0" w:type="dxa"/>
            <w:bottom w:w="0" w:type="dxa"/>
            <w:right w:w="0" w:type="dxa"/>
          </w:tblCellMar>
        </w:tblPrEx>
        <w:trPr>
          <w:wBefore w:w="0" w:type="auto"/>
          <w:tblCellSpacing w:w="0" w:type="dxa"/>
        </w:trPr>
        <w:tc>
          <w:tcPr>
            <w:tcW w:w="0" w:type="auto"/>
            <w:noWrap w:val="0"/>
            <w:vAlign w:val="center"/>
          </w:tcPr>
          <w:p w14:paraId="5E8BF5BE">
            <w:r>
              <w:rPr>
                <w:rStyle w:val="10"/>
                <w:rFonts w:hint="eastAsia"/>
              </w:rPr>
              <w:t>毒性及其标识：</w:t>
            </w:r>
            <w:r>
              <w:rPr>
                <w:rFonts w:hint="eastAsia"/>
              </w:rPr>
              <w:t xml:space="preserve"> 微毒 </w:t>
            </w:r>
          </w:p>
        </w:tc>
      </w:tr>
      <w:tr w14:paraId="5A5E8416">
        <w:tblPrEx>
          <w:tblCellMar>
            <w:top w:w="0" w:type="dxa"/>
            <w:left w:w="0" w:type="dxa"/>
            <w:bottom w:w="0" w:type="dxa"/>
            <w:right w:w="0" w:type="dxa"/>
          </w:tblCellMar>
        </w:tblPrEx>
        <w:trPr>
          <w:wBefore w:w="0" w:type="auto"/>
          <w:tblCellSpacing w:w="0" w:type="dxa"/>
        </w:trPr>
        <w:tc>
          <w:tcPr>
            <w:tcW w:w="0" w:type="auto"/>
            <w:noWrap w:val="0"/>
            <w:vAlign w:val="center"/>
          </w:tcPr>
          <w:p w14:paraId="2E49F57B">
            <w:r>
              <w:rPr>
                <w:rStyle w:val="10"/>
                <w:rFonts w:hint="eastAsia"/>
              </w:rPr>
              <w:t>总有效成分含量：</w:t>
            </w:r>
            <w:r>
              <w:rPr>
                <w:rFonts w:hint="eastAsia"/>
              </w:rPr>
              <w:t>0.5%</w:t>
            </w:r>
          </w:p>
        </w:tc>
      </w:tr>
      <w:tr w14:paraId="79563416">
        <w:tblPrEx>
          <w:tblCellMar>
            <w:top w:w="0" w:type="dxa"/>
            <w:left w:w="0" w:type="dxa"/>
            <w:bottom w:w="0" w:type="dxa"/>
            <w:right w:w="0" w:type="dxa"/>
          </w:tblCellMar>
        </w:tblPrEx>
        <w:trPr>
          <w:wBefore w:w="0" w:type="auto"/>
          <w:tblCellSpacing w:w="0" w:type="dxa"/>
        </w:trPr>
        <w:tc>
          <w:tcPr>
            <w:tcW w:w="0" w:type="auto"/>
            <w:noWrap w:val="0"/>
            <w:vAlign w:val="center"/>
          </w:tcPr>
          <w:p w14:paraId="61A566E3">
            <w:r>
              <w:rPr>
                <w:rFonts w:hint="eastAsia"/>
              </w:rPr>
              <w:t xml:space="preserve">有效成分及其含量： </w:t>
            </w:r>
          </w:p>
          <w:p w14:paraId="11E82D6D">
            <w:r>
              <w:rPr>
                <w:rFonts w:hint="eastAsia"/>
              </w:rPr>
              <w:t xml:space="preserve">    呋虫胺0.5%    </w:t>
            </w:r>
          </w:p>
        </w:tc>
      </w:tr>
      <w:tr w14:paraId="53E4D1DD">
        <w:tblPrEx>
          <w:tblCellMar>
            <w:top w:w="0" w:type="dxa"/>
            <w:left w:w="0" w:type="dxa"/>
            <w:bottom w:w="0" w:type="dxa"/>
            <w:right w:w="0" w:type="dxa"/>
          </w:tblCellMar>
        </w:tblPrEx>
        <w:trPr>
          <w:wBefore w:w="0" w:type="auto"/>
          <w:tblCellSpacing w:w="0" w:type="dxa"/>
        </w:trPr>
        <w:tc>
          <w:tcPr>
            <w:tcW w:w="0" w:type="auto"/>
            <w:noWrap w:val="0"/>
            <w:vAlign w:val="center"/>
          </w:tcPr>
          <w:p w14:paraId="7DBA238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AE957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A64ADF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B0E5D9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E74EB0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F7E737A">
                  <w:r>
                    <w:rPr>
                      <w:rStyle w:val="11"/>
                      <w:rFonts w:hint="eastAsia"/>
                    </w:rPr>
                    <w:t>施用方式</w:t>
                  </w:r>
                </w:p>
              </w:tc>
            </w:tr>
            <w:tr w14:paraId="7BC857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B83E622">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2444C0">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5BF11C">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916B7A">
                  <w:r>
                    <w:rPr>
                      <w:rStyle w:val="11"/>
                      <w:rFonts w:hint="eastAsia"/>
                    </w:rPr>
                    <w:t>投放</w:t>
                  </w:r>
                </w:p>
              </w:tc>
            </w:tr>
          </w:tbl>
          <w:p w14:paraId="3F87925E">
            <w:pPr>
              <w:rPr>
                <w:rFonts w:ascii="Times New Roman" w:hAnsi="Times New Roman" w:cs="Times New Roman"/>
                <w:sz w:val="20"/>
                <w:szCs w:val="20"/>
              </w:rPr>
            </w:pPr>
          </w:p>
        </w:tc>
      </w:tr>
      <w:tr w14:paraId="4404754C">
        <w:tblPrEx>
          <w:tblCellMar>
            <w:top w:w="0" w:type="dxa"/>
            <w:left w:w="0" w:type="dxa"/>
            <w:bottom w:w="0" w:type="dxa"/>
            <w:right w:w="0" w:type="dxa"/>
          </w:tblCellMar>
        </w:tblPrEx>
        <w:trPr>
          <w:wBefore w:w="0" w:type="auto"/>
          <w:tblCellSpacing w:w="0" w:type="dxa"/>
        </w:trPr>
        <w:tc>
          <w:tcPr>
            <w:tcW w:w="0" w:type="auto"/>
            <w:noWrap w:val="0"/>
            <w:vAlign w:val="center"/>
          </w:tcPr>
          <w:p w14:paraId="12499B5F">
            <w:r>
              <w:rPr>
                <w:rStyle w:val="10"/>
                <w:rFonts w:hint="eastAsia"/>
              </w:rPr>
              <w:t>使用技术要求:</w:t>
            </w:r>
            <w:r>
              <w:rPr>
                <w:rFonts w:hint="eastAsia"/>
              </w:rPr>
              <w:br w:type="textWrapping"/>
            </w:r>
            <w:r>
              <w:rPr>
                <w:rStyle w:val="11"/>
                <w:rFonts w:hint="eastAsia"/>
              </w:rPr>
              <w:t>将本品投放于蟑螂活动和危害场所。药要施在角落、缝隙等人不易接触、擦抹的位置。</w:t>
            </w:r>
          </w:p>
        </w:tc>
      </w:tr>
      <w:tr w14:paraId="32979AB0">
        <w:tblPrEx>
          <w:tblCellMar>
            <w:top w:w="0" w:type="dxa"/>
            <w:left w:w="0" w:type="dxa"/>
            <w:bottom w:w="0" w:type="dxa"/>
            <w:right w:w="0" w:type="dxa"/>
          </w:tblCellMar>
        </w:tblPrEx>
        <w:trPr>
          <w:wBefore w:w="0" w:type="auto"/>
          <w:tblCellSpacing w:w="0" w:type="dxa"/>
        </w:trPr>
        <w:tc>
          <w:tcPr>
            <w:tcW w:w="0" w:type="auto"/>
            <w:noWrap w:val="0"/>
            <w:vAlign w:val="center"/>
          </w:tcPr>
          <w:p w14:paraId="11E16BEB">
            <w:r>
              <w:rPr>
                <w:rStyle w:val="10"/>
                <w:rFonts w:hint="eastAsia"/>
              </w:rPr>
              <w:t>产品性能:</w:t>
            </w:r>
            <w:r>
              <w:rPr>
                <w:rFonts w:hint="eastAsia"/>
              </w:rPr>
              <w:br w:type="textWrapping"/>
            </w:r>
            <w:r>
              <w:rPr>
                <w:rStyle w:val="11"/>
                <w:rFonts w:hint="eastAsia"/>
              </w:rPr>
              <w:t>呋虫胺属新烟碱类杀虫剂，可通过胃毒和触杀作用，影响昆虫中枢神经系统突触后膜乙酰胆碱受体。适用于家庭、宾馆、办公室等室内场所。</w:t>
            </w:r>
          </w:p>
        </w:tc>
      </w:tr>
      <w:tr w14:paraId="189AAFB5">
        <w:tblPrEx>
          <w:tblCellMar>
            <w:top w:w="0" w:type="dxa"/>
            <w:left w:w="0" w:type="dxa"/>
            <w:bottom w:w="0" w:type="dxa"/>
            <w:right w:w="0" w:type="dxa"/>
          </w:tblCellMar>
        </w:tblPrEx>
        <w:trPr>
          <w:wBefore w:w="0" w:type="auto"/>
          <w:tblCellSpacing w:w="0" w:type="dxa"/>
        </w:trPr>
        <w:tc>
          <w:tcPr>
            <w:tcW w:w="0" w:type="auto"/>
            <w:noWrap w:val="0"/>
            <w:vAlign w:val="center"/>
          </w:tcPr>
          <w:p w14:paraId="1CF3B253">
            <w:r>
              <w:rPr>
                <w:rStyle w:val="10"/>
                <w:rFonts w:hint="eastAsia"/>
              </w:rPr>
              <w:t>注意事项：</w:t>
            </w:r>
            <w:r>
              <w:rPr>
                <w:rFonts w:hint="eastAsia"/>
              </w:rPr>
              <w:br w:type="textWrapping"/>
            </w:r>
            <w:r>
              <w:rPr>
                <w:rStyle w:val="11"/>
                <w:rFonts w:hint="eastAsia"/>
              </w:rPr>
              <w:t>1. 仅限室内使用。2.不要将本品施放于水流通道处，以免影响本品的持效作用。3. 使用时勿污染食品及饮用水。4. 施药后应清洗双手。 5. 用过的容器应妥善处理，不可做他用，也不可随意丢弃。6.蚕室及其附近禁用。 7.避免孕妇及哺乳期妇女接触。</w:t>
            </w:r>
          </w:p>
        </w:tc>
      </w:tr>
      <w:tr w14:paraId="21F2E378">
        <w:tblPrEx>
          <w:tblCellMar>
            <w:top w:w="0" w:type="dxa"/>
            <w:left w:w="0" w:type="dxa"/>
            <w:bottom w:w="0" w:type="dxa"/>
            <w:right w:w="0" w:type="dxa"/>
          </w:tblCellMar>
        </w:tblPrEx>
        <w:trPr>
          <w:wBefore w:w="0" w:type="auto"/>
          <w:tblCellSpacing w:w="0" w:type="dxa"/>
        </w:trPr>
        <w:tc>
          <w:tcPr>
            <w:tcW w:w="0" w:type="auto"/>
            <w:noWrap w:val="0"/>
            <w:vAlign w:val="center"/>
          </w:tcPr>
          <w:p w14:paraId="2CBEC3A9">
            <w:r>
              <w:rPr>
                <w:rStyle w:val="10"/>
                <w:rFonts w:hint="eastAsia"/>
              </w:rPr>
              <w:t>中毒急救措施：</w:t>
            </w:r>
            <w:r>
              <w:rPr>
                <w:rFonts w:hint="eastAsia"/>
              </w:rPr>
              <w:br w:type="textWrapping"/>
            </w:r>
            <w:r>
              <w:rPr>
                <w:rStyle w:val="11"/>
                <w:rFonts w:hint="eastAsia"/>
              </w:rPr>
              <w:t>1. 皮肤接触：脱去污染的衣物，立即用大量清水和肥皂冲洗。 2. 眼睛接触：立即翻开上下眼睑，用流动清水或生理盐水冲洗，就医。 3. 吸入：迅速脱离现场至空气新鲜处，保持呼吸道通畅，就医。 4. 误服：立即停止服用，用清水充分漱口后，立即携带产品标签到医院就诊。</w:t>
            </w:r>
          </w:p>
        </w:tc>
      </w:tr>
      <w:tr w14:paraId="61633A7A">
        <w:tblPrEx>
          <w:tblCellMar>
            <w:top w:w="0" w:type="dxa"/>
            <w:left w:w="0" w:type="dxa"/>
            <w:bottom w:w="0" w:type="dxa"/>
            <w:right w:w="0" w:type="dxa"/>
          </w:tblCellMar>
        </w:tblPrEx>
        <w:trPr>
          <w:wBefore w:w="0" w:type="auto"/>
          <w:tblCellSpacing w:w="0" w:type="dxa"/>
        </w:trPr>
        <w:tc>
          <w:tcPr>
            <w:tcW w:w="0" w:type="auto"/>
            <w:noWrap w:val="0"/>
            <w:vAlign w:val="center"/>
          </w:tcPr>
          <w:p w14:paraId="69078865">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本品应贮存在干燥、阴凉、通风、防雨处，远离火源或热源。置于儿童接触不到的地方，不能与食品、饮料、粮食、饲料等混合储存和运输。运输和装卸时注意轻拿轻放。</w:t>
            </w:r>
          </w:p>
        </w:tc>
      </w:tr>
      <w:tr w14:paraId="5E61134E">
        <w:tblPrEx>
          <w:tblCellMar>
            <w:top w:w="0" w:type="dxa"/>
            <w:left w:w="0" w:type="dxa"/>
            <w:bottom w:w="0" w:type="dxa"/>
            <w:right w:w="0" w:type="dxa"/>
          </w:tblCellMar>
        </w:tblPrEx>
        <w:trPr>
          <w:wBefore w:w="0" w:type="auto"/>
          <w:tblCellSpacing w:w="0" w:type="dxa"/>
        </w:trPr>
        <w:tc>
          <w:tcPr>
            <w:tcW w:w="0" w:type="auto"/>
            <w:noWrap w:val="0"/>
            <w:vAlign w:val="center"/>
          </w:tcPr>
          <w:p w14:paraId="0DD24B10">
            <w:r>
              <w:rPr>
                <w:rStyle w:val="10"/>
                <w:rFonts w:hint="eastAsia"/>
              </w:rPr>
              <w:t>质量保证期：</w:t>
            </w:r>
            <w:r>
              <w:rPr>
                <w:rStyle w:val="11"/>
                <w:rFonts w:hint="eastAsia"/>
              </w:rPr>
              <w:t>2年</w:t>
            </w:r>
          </w:p>
        </w:tc>
      </w:tr>
      <w:tr w14:paraId="56683404">
        <w:tblPrEx>
          <w:tblCellMar>
            <w:top w:w="0" w:type="dxa"/>
            <w:left w:w="0" w:type="dxa"/>
            <w:bottom w:w="0" w:type="dxa"/>
            <w:right w:w="0" w:type="dxa"/>
          </w:tblCellMar>
        </w:tblPrEx>
        <w:trPr>
          <w:wBefore w:w="0" w:type="auto"/>
          <w:tblCellSpacing w:w="0" w:type="dxa"/>
        </w:trPr>
        <w:tc>
          <w:tcPr>
            <w:tcW w:w="0" w:type="auto"/>
            <w:noWrap w:val="0"/>
            <w:vAlign w:val="center"/>
          </w:tcPr>
          <w:p w14:paraId="114A37FC">
            <w:r>
              <w:rPr>
                <w:rStyle w:val="10"/>
                <w:rFonts w:hint="eastAsia"/>
              </w:rPr>
              <w:t>备注：</w:t>
            </w:r>
          </w:p>
        </w:tc>
      </w:tr>
    </w:tbl>
    <w:p w14:paraId="260AA47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D8C4361">
        <w:tblPrEx>
          <w:tblCellMar>
            <w:top w:w="0" w:type="dxa"/>
            <w:left w:w="0" w:type="dxa"/>
            <w:bottom w:w="0" w:type="dxa"/>
            <w:right w:w="0" w:type="dxa"/>
          </w:tblCellMar>
        </w:tblPrEx>
        <w:trPr>
          <w:wBefore w:w="0" w:type="auto"/>
          <w:tblCellSpacing w:w="0" w:type="dxa"/>
        </w:trPr>
        <w:tc>
          <w:tcPr>
            <w:tcW w:w="0" w:type="auto"/>
            <w:noWrap w:val="0"/>
            <w:vAlign w:val="center"/>
          </w:tcPr>
          <w:p w14:paraId="0447AD72">
            <w:r>
              <w:rPr>
                <w:rStyle w:val="10"/>
                <w:rFonts w:hint="eastAsia"/>
              </w:rPr>
              <w:t>登记证号：</w:t>
            </w:r>
            <w:r>
              <w:rPr>
                <w:rFonts w:hint="eastAsia"/>
              </w:rPr>
              <w:t>PD20212268</w:t>
            </w:r>
          </w:p>
        </w:tc>
      </w:tr>
      <w:tr w14:paraId="542D566B">
        <w:tblPrEx>
          <w:tblCellMar>
            <w:top w:w="0" w:type="dxa"/>
            <w:left w:w="0" w:type="dxa"/>
            <w:bottom w:w="0" w:type="dxa"/>
            <w:right w:w="0" w:type="dxa"/>
          </w:tblCellMar>
        </w:tblPrEx>
        <w:trPr>
          <w:wBefore w:w="0" w:type="auto"/>
          <w:tblCellSpacing w:w="0" w:type="dxa"/>
        </w:trPr>
        <w:tc>
          <w:tcPr>
            <w:tcW w:w="0" w:type="auto"/>
            <w:noWrap w:val="0"/>
            <w:vAlign w:val="center"/>
          </w:tcPr>
          <w:p w14:paraId="209D03D7">
            <w:r>
              <w:rPr>
                <w:rStyle w:val="10"/>
                <w:rFonts w:hint="eastAsia"/>
              </w:rPr>
              <w:t>登记证持有人：</w:t>
            </w:r>
            <w:r>
              <w:rPr>
                <w:rFonts w:hint="eastAsia"/>
              </w:rPr>
              <w:t>济南绿霸农药有限公司</w:t>
            </w:r>
          </w:p>
        </w:tc>
      </w:tr>
      <w:tr w14:paraId="3461B88E">
        <w:tblPrEx>
          <w:tblCellMar>
            <w:top w:w="0" w:type="dxa"/>
            <w:left w:w="0" w:type="dxa"/>
            <w:bottom w:w="0" w:type="dxa"/>
            <w:right w:w="0" w:type="dxa"/>
          </w:tblCellMar>
        </w:tblPrEx>
        <w:trPr>
          <w:wBefore w:w="0" w:type="auto"/>
          <w:tblCellSpacing w:w="0" w:type="dxa"/>
        </w:trPr>
        <w:tc>
          <w:tcPr>
            <w:tcW w:w="0" w:type="auto"/>
            <w:noWrap w:val="0"/>
            <w:vAlign w:val="center"/>
          </w:tcPr>
          <w:p w14:paraId="74A4D421">
            <w:r>
              <w:rPr>
                <w:rStyle w:val="10"/>
                <w:rFonts w:hint="eastAsia"/>
              </w:rPr>
              <w:t>农药名称：</w:t>
            </w:r>
            <w:r>
              <w:rPr>
                <w:rFonts w:hint="eastAsia"/>
              </w:rPr>
              <w:t>噁唑·灭草松</w:t>
            </w:r>
          </w:p>
        </w:tc>
      </w:tr>
      <w:tr w14:paraId="3D564CD0">
        <w:tblPrEx>
          <w:tblCellMar>
            <w:top w:w="0" w:type="dxa"/>
            <w:left w:w="0" w:type="dxa"/>
            <w:bottom w:w="0" w:type="dxa"/>
            <w:right w:w="0" w:type="dxa"/>
          </w:tblCellMar>
        </w:tblPrEx>
        <w:trPr>
          <w:wBefore w:w="0" w:type="auto"/>
          <w:tblCellSpacing w:w="0" w:type="dxa"/>
        </w:trPr>
        <w:tc>
          <w:tcPr>
            <w:tcW w:w="0" w:type="auto"/>
            <w:noWrap w:val="0"/>
            <w:vAlign w:val="center"/>
          </w:tcPr>
          <w:p w14:paraId="113360CF">
            <w:r>
              <w:rPr>
                <w:rStyle w:val="10"/>
                <w:rFonts w:hint="eastAsia"/>
              </w:rPr>
              <w:t>剂型：</w:t>
            </w:r>
            <w:r>
              <w:rPr>
                <w:rFonts w:hint="eastAsia"/>
              </w:rPr>
              <w:t>微乳剂</w:t>
            </w:r>
          </w:p>
        </w:tc>
      </w:tr>
      <w:tr w14:paraId="34ED91D3">
        <w:tblPrEx>
          <w:tblCellMar>
            <w:top w:w="0" w:type="dxa"/>
            <w:left w:w="0" w:type="dxa"/>
            <w:bottom w:w="0" w:type="dxa"/>
            <w:right w:w="0" w:type="dxa"/>
          </w:tblCellMar>
        </w:tblPrEx>
        <w:trPr>
          <w:wBefore w:w="0" w:type="auto"/>
          <w:tblCellSpacing w:w="0" w:type="dxa"/>
        </w:trPr>
        <w:tc>
          <w:tcPr>
            <w:tcW w:w="0" w:type="auto"/>
            <w:noWrap w:val="0"/>
            <w:vAlign w:val="center"/>
          </w:tcPr>
          <w:p w14:paraId="5D593DB4">
            <w:r>
              <w:rPr>
                <w:rStyle w:val="10"/>
                <w:rFonts w:hint="eastAsia"/>
              </w:rPr>
              <w:t>毒性及其标识：</w:t>
            </w:r>
            <w:r>
              <w:rPr>
                <w:rFonts w:hint="eastAsia"/>
              </w:rPr>
              <w:t xml:space="preserve"> </w:t>
            </w:r>
            <w:r>
              <w:rPr>
                <w:lang/>
              </w:rPr>
              <w:drawing>
                <wp:inline distT="0" distB="0" distL="114300" distR="114300">
                  <wp:extent cx="476250" cy="323850"/>
                  <wp:effectExtent l="0" t="0" r="0" b="0"/>
                  <wp:docPr id="266" name="图片 26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11D9CDC">
        <w:tblPrEx>
          <w:tblCellMar>
            <w:top w:w="0" w:type="dxa"/>
            <w:left w:w="0" w:type="dxa"/>
            <w:bottom w:w="0" w:type="dxa"/>
            <w:right w:w="0" w:type="dxa"/>
          </w:tblCellMar>
        </w:tblPrEx>
        <w:trPr>
          <w:wBefore w:w="0" w:type="auto"/>
          <w:tblCellSpacing w:w="0" w:type="dxa"/>
        </w:trPr>
        <w:tc>
          <w:tcPr>
            <w:tcW w:w="0" w:type="auto"/>
            <w:noWrap w:val="0"/>
            <w:vAlign w:val="center"/>
          </w:tcPr>
          <w:p w14:paraId="5307FBC1">
            <w:r>
              <w:rPr>
                <w:rStyle w:val="10"/>
                <w:rFonts w:hint="eastAsia"/>
              </w:rPr>
              <w:t>总有效成分含量：</w:t>
            </w:r>
            <w:r>
              <w:rPr>
                <w:rFonts w:hint="eastAsia"/>
              </w:rPr>
              <w:t>20%</w:t>
            </w:r>
          </w:p>
        </w:tc>
      </w:tr>
      <w:tr w14:paraId="5C2558F8">
        <w:tblPrEx>
          <w:tblCellMar>
            <w:top w:w="0" w:type="dxa"/>
            <w:left w:w="0" w:type="dxa"/>
            <w:bottom w:w="0" w:type="dxa"/>
            <w:right w:w="0" w:type="dxa"/>
          </w:tblCellMar>
        </w:tblPrEx>
        <w:trPr>
          <w:wBefore w:w="0" w:type="auto"/>
          <w:tblCellSpacing w:w="0" w:type="dxa"/>
        </w:trPr>
        <w:tc>
          <w:tcPr>
            <w:tcW w:w="0" w:type="auto"/>
            <w:noWrap w:val="0"/>
            <w:vAlign w:val="center"/>
          </w:tcPr>
          <w:p w14:paraId="096BC3E1">
            <w:r>
              <w:rPr>
                <w:rFonts w:hint="eastAsia"/>
              </w:rPr>
              <w:t xml:space="preserve">有效成分及其含量： </w:t>
            </w:r>
          </w:p>
          <w:p w14:paraId="785D840B">
            <w:r>
              <w:rPr>
                <w:rFonts w:hint="eastAsia"/>
              </w:rPr>
              <w:t xml:space="preserve">    噁唑酰草胺3.3%    灭草松16.7%    </w:t>
            </w:r>
          </w:p>
        </w:tc>
      </w:tr>
      <w:tr w14:paraId="71D5594C">
        <w:tblPrEx>
          <w:tblCellMar>
            <w:top w:w="0" w:type="dxa"/>
            <w:left w:w="0" w:type="dxa"/>
            <w:bottom w:w="0" w:type="dxa"/>
            <w:right w:w="0" w:type="dxa"/>
          </w:tblCellMar>
        </w:tblPrEx>
        <w:trPr>
          <w:wBefore w:w="0" w:type="auto"/>
          <w:tblCellSpacing w:w="0" w:type="dxa"/>
        </w:trPr>
        <w:tc>
          <w:tcPr>
            <w:tcW w:w="0" w:type="auto"/>
            <w:noWrap w:val="0"/>
            <w:vAlign w:val="center"/>
          </w:tcPr>
          <w:p w14:paraId="4A897D9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9F7D3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11B17D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E8DC49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DCE7A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351B90">
                  <w:r>
                    <w:rPr>
                      <w:rStyle w:val="11"/>
                      <w:rFonts w:hint="eastAsia"/>
                    </w:rPr>
                    <w:t>施用方式</w:t>
                  </w:r>
                </w:p>
              </w:tc>
            </w:tr>
            <w:tr w14:paraId="3A2992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BB4AA56">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8AD846">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1E6ADF">
                  <w:r>
                    <w:rPr>
                      <w:rStyle w:val="11"/>
                      <w:rFonts w:hint="eastAsia"/>
                    </w:rPr>
                    <w:t>210-240毫升/亩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6B7DF1">
                  <w:r>
                    <w:rPr>
                      <w:rStyle w:val="11"/>
                      <w:rFonts w:hint="eastAsia"/>
                    </w:rPr>
                    <w:t>茎叶喷雾</w:t>
                  </w:r>
                </w:p>
              </w:tc>
            </w:tr>
          </w:tbl>
          <w:p w14:paraId="6E90E867">
            <w:pPr>
              <w:rPr>
                <w:rFonts w:ascii="Times New Roman" w:hAnsi="Times New Roman" w:cs="Times New Roman"/>
                <w:sz w:val="20"/>
                <w:szCs w:val="20"/>
              </w:rPr>
            </w:pPr>
          </w:p>
        </w:tc>
      </w:tr>
      <w:tr w14:paraId="2BA99C99">
        <w:tblPrEx>
          <w:tblCellMar>
            <w:top w:w="0" w:type="dxa"/>
            <w:left w:w="0" w:type="dxa"/>
            <w:bottom w:w="0" w:type="dxa"/>
            <w:right w:w="0" w:type="dxa"/>
          </w:tblCellMar>
        </w:tblPrEx>
        <w:trPr>
          <w:wBefore w:w="0" w:type="auto"/>
          <w:tblCellSpacing w:w="0" w:type="dxa"/>
        </w:trPr>
        <w:tc>
          <w:tcPr>
            <w:tcW w:w="0" w:type="auto"/>
            <w:noWrap w:val="0"/>
            <w:vAlign w:val="center"/>
          </w:tcPr>
          <w:p w14:paraId="560571AC">
            <w:r>
              <w:rPr>
                <w:rStyle w:val="10"/>
                <w:rFonts w:hint="eastAsia"/>
              </w:rPr>
              <w:t>使用技术要求:</w:t>
            </w:r>
            <w:r>
              <w:rPr>
                <w:rFonts w:hint="eastAsia"/>
              </w:rPr>
              <w:br w:type="textWrapping"/>
            </w:r>
            <w:r>
              <w:rPr>
                <w:rStyle w:val="11"/>
                <w:rFonts w:hint="eastAsia"/>
              </w:rPr>
              <w:t>1.于水稻（直播田）2叶1心期，杂草2-3叶期施药，茎叶喷雾处理，施药一次。2. 施药前排干田水，施药后1天回水，保持浅水层5-7天 3. 每季作物最多使用1次。</w:t>
            </w:r>
          </w:p>
        </w:tc>
      </w:tr>
      <w:tr w14:paraId="45F76D5C">
        <w:tblPrEx>
          <w:tblCellMar>
            <w:top w:w="0" w:type="dxa"/>
            <w:left w:w="0" w:type="dxa"/>
            <w:bottom w:w="0" w:type="dxa"/>
            <w:right w:w="0" w:type="dxa"/>
          </w:tblCellMar>
        </w:tblPrEx>
        <w:trPr>
          <w:wBefore w:w="0" w:type="auto"/>
          <w:tblCellSpacing w:w="0" w:type="dxa"/>
        </w:trPr>
        <w:tc>
          <w:tcPr>
            <w:tcW w:w="0" w:type="auto"/>
            <w:noWrap w:val="0"/>
            <w:vAlign w:val="center"/>
          </w:tcPr>
          <w:p w14:paraId="2626B185">
            <w:r>
              <w:rPr>
                <w:rStyle w:val="10"/>
                <w:rFonts w:hint="eastAsia"/>
              </w:rPr>
              <w:t>产品性能:</w:t>
            </w:r>
            <w:r>
              <w:rPr>
                <w:rFonts w:hint="eastAsia"/>
              </w:rPr>
              <w:br w:type="textWrapping"/>
            </w:r>
            <w:r>
              <w:rPr>
                <w:rStyle w:val="11"/>
                <w:rFonts w:hint="eastAsia"/>
              </w:rPr>
              <w:t>本品是噁唑酰草胺和灭草松的混配制剂，具较好内吸传导性，可通过茎叶吸收传导至根部，也可通过根部吸收传导至茎叶。除草活性高，对水稻田大多数一年生禾本科、阔叶类及莎草科杂草有效。选择性强，对水稻安全。</w:t>
            </w:r>
          </w:p>
        </w:tc>
      </w:tr>
      <w:tr w14:paraId="3EDB1A51">
        <w:tblPrEx>
          <w:tblCellMar>
            <w:top w:w="0" w:type="dxa"/>
            <w:left w:w="0" w:type="dxa"/>
            <w:bottom w:w="0" w:type="dxa"/>
            <w:right w:w="0" w:type="dxa"/>
          </w:tblCellMar>
        </w:tblPrEx>
        <w:trPr>
          <w:wBefore w:w="0" w:type="auto"/>
          <w:tblCellSpacing w:w="0" w:type="dxa"/>
        </w:trPr>
        <w:tc>
          <w:tcPr>
            <w:tcW w:w="0" w:type="auto"/>
            <w:noWrap w:val="0"/>
            <w:vAlign w:val="center"/>
          </w:tcPr>
          <w:p w14:paraId="3D061353">
            <w:r>
              <w:rPr>
                <w:rStyle w:val="10"/>
                <w:rFonts w:hint="eastAsia"/>
              </w:rPr>
              <w:t>注意事项：</w:t>
            </w:r>
            <w:r>
              <w:rPr>
                <w:rFonts w:hint="eastAsia"/>
              </w:rPr>
              <w:br w:type="textWrapping"/>
            </w:r>
            <w:r>
              <w:rPr>
                <w:rStyle w:val="11"/>
                <w:rFonts w:hint="eastAsia"/>
              </w:rPr>
              <w:t>1.杂交制种田禁用。 2.极端高温、干旱天气施药，水稻叶尖有可能出现斑点，可自然恢复。 3. 本品对眼睛有刺激性，使用时避免接触眼睛，穿戴长衣、长裤、帽子、口罩、手套等安全防护措施。施药期间不可吃东西和饮水，施药后应及时洗手和洗脸。 3.本品对鱼类等水生生物有毒，远离水产养殖区、河塘等水体施药；禁止在河塘等水体中清洗施药器具。4. 鱼或虾蟹套养稻田禁用，施药后的田水不得直接排入水体；蚕室及桑园附近禁用。 5.孕妇和哺乳期妇女应避免接触本品。 6.用过的容器应妥善处理，不可做他用，也不可随意丢弃。</w:t>
            </w:r>
          </w:p>
        </w:tc>
      </w:tr>
      <w:tr w14:paraId="555F9510">
        <w:tblPrEx>
          <w:tblCellMar>
            <w:top w:w="0" w:type="dxa"/>
            <w:left w:w="0" w:type="dxa"/>
            <w:bottom w:w="0" w:type="dxa"/>
            <w:right w:w="0" w:type="dxa"/>
          </w:tblCellMar>
        </w:tblPrEx>
        <w:trPr>
          <w:wBefore w:w="0" w:type="auto"/>
          <w:tblCellSpacing w:w="0" w:type="dxa"/>
        </w:trPr>
        <w:tc>
          <w:tcPr>
            <w:tcW w:w="0" w:type="auto"/>
            <w:noWrap w:val="0"/>
            <w:vAlign w:val="center"/>
          </w:tcPr>
          <w:p w14:paraId="6428BED5">
            <w:r>
              <w:rPr>
                <w:rStyle w:val="10"/>
                <w:rFonts w:hint="eastAsia"/>
              </w:rPr>
              <w:t>中毒急救措施：</w:t>
            </w:r>
            <w:r>
              <w:rPr>
                <w:rFonts w:hint="eastAsia"/>
              </w:rPr>
              <w:br w:type="textWrapping"/>
            </w:r>
            <w:r>
              <w:rPr>
                <w:rStyle w:val="11"/>
                <w:rFonts w:hint="eastAsia"/>
              </w:rPr>
              <w:t xml:space="preserve">中毒症状：本品对眼睛和呼吸道有刺激作用。 不慎吸入：应立即将病人移至空气流通处。 眼睛溅药：用大量清水清洗15分钟，如仍有刺激感，立即就医。 皮肤沾药：用肥皂水彻底清洗，如仍有刺激感，立即就医。 误服：立即携此标签就医。本品无特定解毒剂，对症治疗。 </w:t>
            </w:r>
          </w:p>
        </w:tc>
      </w:tr>
      <w:tr w14:paraId="37B7C376">
        <w:tblPrEx>
          <w:tblCellMar>
            <w:top w:w="0" w:type="dxa"/>
            <w:left w:w="0" w:type="dxa"/>
            <w:bottom w:w="0" w:type="dxa"/>
            <w:right w:w="0" w:type="dxa"/>
          </w:tblCellMar>
        </w:tblPrEx>
        <w:trPr>
          <w:wBefore w:w="0" w:type="auto"/>
          <w:tblCellSpacing w:w="0" w:type="dxa"/>
        </w:trPr>
        <w:tc>
          <w:tcPr>
            <w:tcW w:w="0" w:type="auto"/>
            <w:noWrap w:val="0"/>
            <w:vAlign w:val="center"/>
          </w:tcPr>
          <w:p w14:paraId="42E45F13">
            <w:r>
              <w:rPr>
                <w:rStyle w:val="10"/>
                <w:rFonts w:hint="eastAsia"/>
              </w:rPr>
              <w:t>储存和运输方法：</w:t>
            </w:r>
            <w:r>
              <w:rPr>
                <w:rFonts w:hint="eastAsia"/>
              </w:rPr>
              <w:br w:type="textWrapping"/>
            </w:r>
            <w:r>
              <w:rPr>
                <w:rStyle w:val="11"/>
                <w:rFonts w:hint="eastAsia"/>
              </w:rPr>
              <w:t>本品为易燃液体，应贮存在阴凉、干燥、通风、防雨处。远离火源或热源。置于儿童、无关人员触及不到之处，并加锁。勿与食品、饮料、饲料、粮食等同贮同运。运输时轻拿轻放，严禁倒置。</w:t>
            </w:r>
          </w:p>
        </w:tc>
      </w:tr>
      <w:tr w14:paraId="321C1A3B">
        <w:tblPrEx>
          <w:tblCellMar>
            <w:top w:w="0" w:type="dxa"/>
            <w:left w:w="0" w:type="dxa"/>
            <w:bottom w:w="0" w:type="dxa"/>
            <w:right w:w="0" w:type="dxa"/>
          </w:tblCellMar>
        </w:tblPrEx>
        <w:trPr>
          <w:wBefore w:w="0" w:type="auto"/>
          <w:tblCellSpacing w:w="0" w:type="dxa"/>
        </w:trPr>
        <w:tc>
          <w:tcPr>
            <w:tcW w:w="0" w:type="auto"/>
            <w:noWrap w:val="0"/>
            <w:vAlign w:val="center"/>
          </w:tcPr>
          <w:p w14:paraId="43581CB3">
            <w:r>
              <w:rPr>
                <w:rStyle w:val="10"/>
                <w:rFonts w:hint="eastAsia"/>
              </w:rPr>
              <w:t>质量保证期：</w:t>
            </w:r>
            <w:r>
              <w:rPr>
                <w:rStyle w:val="11"/>
                <w:rFonts w:hint="eastAsia"/>
              </w:rPr>
              <w:t>2年</w:t>
            </w:r>
          </w:p>
        </w:tc>
      </w:tr>
      <w:tr w14:paraId="3FC3EEA5">
        <w:tblPrEx>
          <w:tblCellMar>
            <w:top w:w="0" w:type="dxa"/>
            <w:left w:w="0" w:type="dxa"/>
            <w:bottom w:w="0" w:type="dxa"/>
            <w:right w:w="0" w:type="dxa"/>
          </w:tblCellMar>
        </w:tblPrEx>
        <w:trPr>
          <w:wBefore w:w="0" w:type="auto"/>
          <w:tblCellSpacing w:w="0" w:type="dxa"/>
        </w:trPr>
        <w:tc>
          <w:tcPr>
            <w:tcW w:w="0" w:type="auto"/>
            <w:noWrap w:val="0"/>
            <w:vAlign w:val="center"/>
          </w:tcPr>
          <w:p w14:paraId="13249FC4">
            <w:r>
              <w:rPr>
                <w:rStyle w:val="10"/>
                <w:rFonts w:hint="eastAsia"/>
              </w:rPr>
              <w:t>备注：</w:t>
            </w:r>
          </w:p>
        </w:tc>
      </w:tr>
    </w:tbl>
    <w:p w14:paraId="628F813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A42A9DA">
        <w:tblPrEx>
          <w:tblCellMar>
            <w:top w:w="0" w:type="dxa"/>
            <w:left w:w="0" w:type="dxa"/>
            <w:bottom w:w="0" w:type="dxa"/>
            <w:right w:w="0" w:type="dxa"/>
          </w:tblCellMar>
        </w:tblPrEx>
        <w:trPr>
          <w:wBefore w:w="0" w:type="auto"/>
          <w:tblCellSpacing w:w="0" w:type="dxa"/>
        </w:trPr>
        <w:tc>
          <w:tcPr>
            <w:tcW w:w="0" w:type="auto"/>
            <w:noWrap w:val="0"/>
            <w:vAlign w:val="center"/>
          </w:tcPr>
          <w:p w14:paraId="71C81C49">
            <w:r>
              <w:rPr>
                <w:rStyle w:val="10"/>
                <w:rFonts w:hint="eastAsia"/>
              </w:rPr>
              <w:t>登记证号：</w:t>
            </w:r>
            <w:r>
              <w:rPr>
                <w:rFonts w:hint="eastAsia"/>
              </w:rPr>
              <w:t>PD20211715</w:t>
            </w:r>
          </w:p>
        </w:tc>
      </w:tr>
      <w:tr w14:paraId="6FA93268">
        <w:tblPrEx>
          <w:tblCellMar>
            <w:top w:w="0" w:type="dxa"/>
            <w:left w:w="0" w:type="dxa"/>
            <w:bottom w:w="0" w:type="dxa"/>
            <w:right w:w="0" w:type="dxa"/>
          </w:tblCellMar>
        </w:tblPrEx>
        <w:trPr>
          <w:wBefore w:w="0" w:type="auto"/>
          <w:tblCellSpacing w:w="0" w:type="dxa"/>
        </w:trPr>
        <w:tc>
          <w:tcPr>
            <w:tcW w:w="0" w:type="auto"/>
            <w:noWrap w:val="0"/>
            <w:vAlign w:val="center"/>
          </w:tcPr>
          <w:p w14:paraId="4EB8DBEC">
            <w:r>
              <w:rPr>
                <w:rStyle w:val="10"/>
                <w:rFonts w:hint="eastAsia"/>
              </w:rPr>
              <w:t>登记证持有人：</w:t>
            </w:r>
            <w:r>
              <w:rPr>
                <w:rFonts w:hint="eastAsia"/>
              </w:rPr>
              <w:t>山东康乔生物科技有限公司</w:t>
            </w:r>
          </w:p>
        </w:tc>
      </w:tr>
      <w:tr w14:paraId="6A2435A0">
        <w:tblPrEx>
          <w:tblCellMar>
            <w:top w:w="0" w:type="dxa"/>
            <w:left w:w="0" w:type="dxa"/>
            <w:bottom w:w="0" w:type="dxa"/>
            <w:right w:w="0" w:type="dxa"/>
          </w:tblCellMar>
        </w:tblPrEx>
        <w:trPr>
          <w:wBefore w:w="0" w:type="auto"/>
          <w:tblCellSpacing w:w="0" w:type="dxa"/>
        </w:trPr>
        <w:tc>
          <w:tcPr>
            <w:tcW w:w="0" w:type="auto"/>
            <w:noWrap w:val="0"/>
            <w:vAlign w:val="center"/>
          </w:tcPr>
          <w:p w14:paraId="04476BBE">
            <w:r>
              <w:rPr>
                <w:rStyle w:val="10"/>
                <w:rFonts w:hint="eastAsia"/>
              </w:rPr>
              <w:t>农药名称：</w:t>
            </w:r>
            <w:r>
              <w:rPr>
                <w:rFonts w:hint="eastAsia"/>
              </w:rPr>
              <w:t>甲维·虱螨脲</w:t>
            </w:r>
          </w:p>
        </w:tc>
      </w:tr>
      <w:tr w14:paraId="37243720">
        <w:tblPrEx>
          <w:tblCellMar>
            <w:top w:w="0" w:type="dxa"/>
            <w:left w:w="0" w:type="dxa"/>
            <w:bottom w:w="0" w:type="dxa"/>
            <w:right w:w="0" w:type="dxa"/>
          </w:tblCellMar>
        </w:tblPrEx>
        <w:trPr>
          <w:wBefore w:w="0" w:type="auto"/>
          <w:tblCellSpacing w:w="0" w:type="dxa"/>
        </w:trPr>
        <w:tc>
          <w:tcPr>
            <w:tcW w:w="0" w:type="auto"/>
            <w:noWrap w:val="0"/>
            <w:vAlign w:val="center"/>
          </w:tcPr>
          <w:p w14:paraId="5C742813">
            <w:r>
              <w:rPr>
                <w:rStyle w:val="10"/>
                <w:rFonts w:hint="eastAsia"/>
              </w:rPr>
              <w:t>剂型：</w:t>
            </w:r>
            <w:r>
              <w:rPr>
                <w:rFonts w:hint="eastAsia"/>
              </w:rPr>
              <w:t>悬浮剂</w:t>
            </w:r>
          </w:p>
        </w:tc>
      </w:tr>
      <w:tr w14:paraId="44454AB7">
        <w:tblPrEx>
          <w:tblCellMar>
            <w:top w:w="0" w:type="dxa"/>
            <w:left w:w="0" w:type="dxa"/>
            <w:bottom w:w="0" w:type="dxa"/>
            <w:right w:w="0" w:type="dxa"/>
          </w:tblCellMar>
        </w:tblPrEx>
        <w:trPr>
          <w:wBefore w:w="0" w:type="auto"/>
          <w:tblCellSpacing w:w="0" w:type="dxa"/>
        </w:trPr>
        <w:tc>
          <w:tcPr>
            <w:tcW w:w="0" w:type="auto"/>
            <w:noWrap w:val="0"/>
            <w:vAlign w:val="center"/>
          </w:tcPr>
          <w:p w14:paraId="1E235210">
            <w:r>
              <w:rPr>
                <w:rStyle w:val="10"/>
                <w:rFonts w:hint="eastAsia"/>
              </w:rPr>
              <w:t>毒性及其标识：</w:t>
            </w:r>
            <w:r>
              <w:rPr>
                <w:rFonts w:hint="eastAsia"/>
              </w:rPr>
              <w:t xml:space="preserve"> </w:t>
            </w:r>
            <w:r>
              <w:rPr>
                <w:lang/>
              </w:rPr>
              <w:drawing>
                <wp:inline distT="0" distB="0" distL="114300" distR="114300">
                  <wp:extent cx="476250" cy="323850"/>
                  <wp:effectExtent l="0" t="0" r="0" b="0"/>
                  <wp:docPr id="267" name="图片 26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93A67E5">
        <w:tblPrEx>
          <w:tblCellMar>
            <w:top w:w="0" w:type="dxa"/>
            <w:left w:w="0" w:type="dxa"/>
            <w:bottom w:w="0" w:type="dxa"/>
            <w:right w:w="0" w:type="dxa"/>
          </w:tblCellMar>
        </w:tblPrEx>
        <w:trPr>
          <w:wBefore w:w="0" w:type="auto"/>
          <w:tblCellSpacing w:w="0" w:type="dxa"/>
        </w:trPr>
        <w:tc>
          <w:tcPr>
            <w:tcW w:w="0" w:type="auto"/>
            <w:noWrap w:val="0"/>
            <w:vAlign w:val="center"/>
          </w:tcPr>
          <w:p w14:paraId="39647398">
            <w:r>
              <w:rPr>
                <w:rStyle w:val="10"/>
                <w:rFonts w:hint="eastAsia"/>
              </w:rPr>
              <w:t>总有效成分含量：</w:t>
            </w:r>
            <w:r>
              <w:rPr>
                <w:rFonts w:hint="eastAsia"/>
              </w:rPr>
              <w:t>7.6%</w:t>
            </w:r>
          </w:p>
        </w:tc>
      </w:tr>
      <w:tr w14:paraId="3B648F17">
        <w:tblPrEx>
          <w:tblCellMar>
            <w:top w:w="0" w:type="dxa"/>
            <w:left w:w="0" w:type="dxa"/>
            <w:bottom w:w="0" w:type="dxa"/>
            <w:right w:w="0" w:type="dxa"/>
          </w:tblCellMar>
        </w:tblPrEx>
        <w:trPr>
          <w:wBefore w:w="0" w:type="auto"/>
          <w:tblCellSpacing w:w="0" w:type="dxa"/>
        </w:trPr>
        <w:tc>
          <w:tcPr>
            <w:tcW w:w="0" w:type="auto"/>
            <w:noWrap w:val="0"/>
            <w:vAlign w:val="center"/>
          </w:tcPr>
          <w:p w14:paraId="6EADE189">
            <w:r>
              <w:rPr>
                <w:rFonts w:hint="eastAsia"/>
              </w:rPr>
              <w:t xml:space="preserve">有效成分及其含量： </w:t>
            </w:r>
          </w:p>
          <w:p w14:paraId="16F2A5E4">
            <w:r>
              <w:rPr>
                <w:rFonts w:hint="eastAsia"/>
              </w:rPr>
              <w:t xml:space="preserve">    甲氨基阿维菌素2.6%    虱螨脲5%    </w:t>
            </w:r>
          </w:p>
        </w:tc>
      </w:tr>
      <w:tr w14:paraId="4EA33C70">
        <w:tblPrEx>
          <w:tblCellMar>
            <w:top w:w="0" w:type="dxa"/>
            <w:left w:w="0" w:type="dxa"/>
            <w:bottom w:w="0" w:type="dxa"/>
            <w:right w:w="0" w:type="dxa"/>
          </w:tblCellMar>
        </w:tblPrEx>
        <w:trPr>
          <w:wBefore w:w="0" w:type="auto"/>
          <w:tblCellSpacing w:w="0" w:type="dxa"/>
        </w:trPr>
        <w:tc>
          <w:tcPr>
            <w:tcW w:w="0" w:type="auto"/>
            <w:noWrap w:val="0"/>
            <w:vAlign w:val="center"/>
          </w:tcPr>
          <w:p w14:paraId="1A59539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CD449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55A01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3B1B6D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B2AFE6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02D1945">
                  <w:r>
                    <w:rPr>
                      <w:rStyle w:val="11"/>
                      <w:rFonts w:hint="eastAsia"/>
                    </w:rPr>
                    <w:t>施用方式</w:t>
                  </w:r>
                </w:p>
              </w:tc>
            </w:tr>
            <w:tr w14:paraId="5BB346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3963F4A">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5BA194">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337E09">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C9989C">
                  <w:r>
                    <w:rPr>
                      <w:rStyle w:val="11"/>
                      <w:rFonts w:hint="eastAsia"/>
                    </w:rPr>
                    <w:t>喷雾</w:t>
                  </w:r>
                </w:p>
              </w:tc>
            </w:tr>
          </w:tbl>
          <w:p w14:paraId="3C3C02EE">
            <w:pPr>
              <w:rPr>
                <w:rFonts w:ascii="Times New Roman" w:hAnsi="Times New Roman" w:cs="Times New Roman"/>
                <w:sz w:val="20"/>
                <w:szCs w:val="20"/>
              </w:rPr>
            </w:pPr>
          </w:p>
        </w:tc>
      </w:tr>
      <w:tr w14:paraId="398ECD89">
        <w:tblPrEx>
          <w:tblCellMar>
            <w:top w:w="0" w:type="dxa"/>
            <w:left w:w="0" w:type="dxa"/>
            <w:bottom w:w="0" w:type="dxa"/>
            <w:right w:w="0" w:type="dxa"/>
          </w:tblCellMar>
        </w:tblPrEx>
        <w:trPr>
          <w:wBefore w:w="0" w:type="auto"/>
          <w:tblCellSpacing w:w="0" w:type="dxa"/>
        </w:trPr>
        <w:tc>
          <w:tcPr>
            <w:tcW w:w="0" w:type="auto"/>
            <w:noWrap w:val="0"/>
            <w:vAlign w:val="center"/>
          </w:tcPr>
          <w:p w14:paraId="1BB3796F">
            <w:r>
              <w:rPr>
                <w:rStyle w:val="10"/>
                <w:rFonts w:hint="eastAsia"/>
              </w:rPr>
              <w:t>使用技术要求:</w:t>
            </w:r>
            <w:r>
              <w:rPr>
                <w:rFonts w:hint="eastAsia"/>
              </w:rPr>
              <w:br w:type="textWrapping"/>
            </w:r>
            <w:r>
              <w:rPr>
                <w:rStyle w:val="11"/>
                <w:rFonts w:hint="eastAsia"/>
              </w:rPr>
              <w:t>1.于甘蓝甜菜夜蛾卵孵化盛期至低龄幼虫期喷雾施药1次。施药时雾滴要细，喷雾要均匀。 2.大风天或预计1小时内有降雨，请勿施药。 3.在甘蓝上使用的安全间隔期为7天，每季作物最多使用1次。</w:t>
            </w:r>
          </w:p>
        </w:tc>
      </w:tr>
      <w:tr w14:paraId="6A2EF479">
        <w:tblPrEx>
          <w:tblCellMar>
            <w:top w:w="0" w:type="dxa"/>
            <w:left w:w="0" w:type="dxa"/>
            <w:bottom w:w="0" w:type="dxa"/>
            <w:right w:w="0" w:type="dxa"/>
          </w:tblCellMar>
        </w:tblPrEx>
        <w:trPr>
          <w:wBefore w:w="0" w:type="auto"/>
          <w:tblCellSpacing w:w="0" w:type="dxa"/>
        </w:trPr>
        <w:tc>
          <w:tcPr>
            <w:tcW w:w="0" w:type="auto"/>
            <w:noWrap w:val="0"/>
            <w:vAlign w:val="center"/>
          </w:tcPr>
          <w:p w14:paraId="07458784">
            <w:r>
              <w:rPr>
                <w:rStyle w:val="10"/>
                <w:rFonts w:hint="eastAsia"/>
              </w:rPr>
              <w:t>产品性能:</w:t>
            </w:r>
            <w:r>
              <w:rPr>
                <w:rFonts w:hint="eastAsia"/>
              </w:rPr>
              <w:br w:type="textWrapping"/>
            </w:r>
            <w:r>
              <w:rPr>
                <w:rStyle w:val="11"/>
                <w:rFonts w:hint="eastAsia"/>
              </w:rPr>
              <w:t>本品是由甲氨基阿维菌素苯甲酸盐和虱螨脲复配而成的杀虫剂，具有胃毒和触杀双重作用。通过影响昆虫表皮的形成而达到杀虫作用，同时还能阻碍害虫运动神经信息传递，影响害虫进食，最终死亡。</w:t>
            </w:r>
          </w:p>
        </w:tc>
      </w:tr>
      <w:tr w14:paraId="7F0A8A20">
        <w:tblPrEx>
          <w:tblCellMar>
            <w:top w:w="0" w:type="dxa"/>
            <w:left w:w="0" w:type="dxa"/>
            <w:bottom w:w="0" w:type="dxa"/>
            <w:right w:w="0" w:type="dxa"/>
          </w:tblCellMar>
        </w:tblPrEx>
        <w:trPr>
          <w:wBefore w:w="0" w:type="auto"/>
          <w:tblCellSpacing w:w="0" w:type="dxa"/>
        </w:trPr>
        <w:tc>
          <w:tcPr>
            <w:tcW w:w="0" w:type="auto"/>
            <w:noWrap w:val="0"/>
            <w:vAlign w:val="center"/>
          </w:tcPr>
          <w:p w14:paraId="18E3CEEB">
            <w:r>
              <w:rPr>
                <w:rStyle w:val="10"/>
                <w:rFonts w:hint="eastAsia"/>
              </w:rPr>
              <w:t>注意事项：</w:t>
            </w:r>
            <w:r>
              <w:rPr>
                <w:rFonts w:hint="eastAsia"/>
              </w:rPr>
              <w:br w:type="textWrapping"/>
            </w:r>
            <w:r>
              <w:rPr>
                <w:rStyle w:val="11"/>
                <w:rFonts w:hint="eastAsia"/>
              </w:rPr>
              <w:t>1.本品不可与强氧化剂或碱性类农药混合使用。避免与氧化剂接触。 2.使用时应穿长衣长裤、靴子，戴帽子、护目镜、口罩、手套等防护用具；施药期间不可吃东西、饮水、吸烟等；施药后应及时洗手、洗脸并洗涤施药时穿着的衣物。 3.水产养殖区、河塘等水体附近禁用，禁止在河塘等水域清洗施药器具。4.(周围)开花植物花期禁用，使用时应密切关注对附近蜂群的影响；</w:t>
            </w:r>
            <w:r>
              <w:rPr>
                <w:rStyle w:val="11"/>
                <w:rFonts w:hint="eastAsia"/>
              </w:rPr>
              <w:t> </w:t>
            </w:r>
            <w:r>
              <w:rPr>
                <w:rStyle w:val="11"/>
                <w:rFonts w:hint="eastAsia"/>
              </w:rPr>
              <w:t>蚕室及桑园附近禁用；赤眼蜂等天敌放飞区域禁用。 5.用过的容器应妥善处理，不可做他用，也不可随意丢弃。 6.孕妇、哺乳期妇女及过敏者禁止接触本品。</w:t>
            </w:r>
          </w:p>
        </w:tc>
      </w:tr>
      <w:tr w14:paraId="66D36C3C">
        <w:tblPrEx>
          <w:tblCellMar>
            <w:top w:w="0" w:type="dxa"/>
            <w:left w:w="0" w:type="dxa"/>
            <w:bottom w:w="0" w:type="dxa"/>
            <w:right w:w="0" w:type="dxa"/>
          </w:tblCellMar>
        </w:tblPrEx>
        <w:trPr>
          <w:wBefore w:w="0" w:type="auto"/>
          <w:tblCellSpacing w:w="0" w:type="dxa"/>
        </w:trPr>
        <w:tc>
          <w:tcPr>
            <w:tcW w:w="0" w:type="auto"/>
            <w:noWrap w:val="0"/>
            <w:vAlign w:val="center"/>
          </w:tcPr>
          <w:p w14:paraId="067F8FE3">
            <w:r>
              <w:rPr>
                <w:rStyle w:val="10"/>
                <w:rFonts w:hint="eastAsia"/>
              </w:rPr>
              <w:t>中毒急救措施：</w:t>
            </w:r>
            <w:r>
              <w:rPr>
                <w:rFonts w:hint="eastAsia"/>
              </w:rPr>
              <w:br w:type="textWrapping"/>
            </w:r>
            <w:r>
              <w:rPr>
                <w:rStyle w:val="11"/>
                <w:rFonts w:hint="eastAsia"/>
              </w:rPr>
              <w:t>本品对眼睛有刺激性。症状：早期症状为瞳孔放大，行动失调，肌肉颤抖，严重时导致呕吐。措施：1.吸入：将患者移至新鲜空气处，请医生诊治。 2.眼睛接触：分开眼睑，用大量清水冲洗眼至少15分钟，再请医生诊治。 3.皮肤接触：脱去污染的衣着，立即用清水冲洗污染的皮肤至少20分钟，再用肥皂冲洗干净，将药物对皮肤的影响降到最低。 4.口服：立即携带标签，送医就诊。 紧急措施：立即引吐并给患者服用吐根糖浆或黄麻素，但勿给昏迷患者催吐或灌任何东西。无特殊解毒剂，对症治疗。</w:t>
            </w:r>
          </w:p>
        </w:tc>
      </w:tr>
      <w:tr w14:paraId="4A745F9A">
        <w:tblPrEx>
          <w:tblCellMar>
            <w:top w:w="0" w:type="dxa"/>
            <w:left w:w="0" w:type="dxa"/>
            <w:bottom w:w="0" w:type="dxa"/>
            <w:right w:w="0" w:type="dxa"/>
          </w:tblCellMar>
        </w:tblPrEx>
        <w:trPr>
          <w:wBefore w:w="0" w:type="auto"/>
          <w:tblCellSpacing w:w="0" w:type="dxa"/>
        </w:trPr>
        <w:tc>
          <w:tcPr>
            <w:tcW w:w="0" w:type="auto"/>
            <w:noWrap w:val="0"/>
            <w:vAlign w:val="center"/>
          </w:tcPr>
          <w:p w14:paraId="00980BA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本品应贮存在干燥、阴凉、通风、防雨处，远离火源或热源。置于儿童、无关人员触及不到之处，并加锁。勿与食品、饮料、粮食、饲料等同贮同运。</w:t>
            </w:r>
          </w:p>
        </w:tc>
      </w:tr>
      <w:tr w14:paraId="1E88E149">
        <w:tblPrEx>
          <w:tblCellMar>
            <w:top w:w="0" w:type="dxa"/>
            <w:left w:w="0" w:type="dxa"/>
            <w:bottom w:w="0" w:type="dxa"/>
            <w:right w:w="0" w:type="dxa"/>
          </w:tblCellMar>
        </w:tblPrEx>
        <w:trPr>
          <w:wBefore w:w="0" w:type="auto"/>
          <w:tblCellSpacing w:w="0" w:type="dxa"/>
        </w:trPr>
        <w:tc>
          <w:tcPr>
            <w:tcW w:w="0" w:type="auto"/>
            <w:noWrap w:val="0"/>
            <w:vAlign w:val="center"/>
          </w:tcPr>
          <w:p w14:paraId="5FADDA4F">
            <w:r>
              <w:rPr>
                <w:rStyle w:val="10"/>
                <w:rFonts w:hint="eastAsia"/>
              </w:rPr>
              <w:t>质量保证期：</w:t>
            </w:r>
            <w:r>
              <w:rPr>
                <w:rStyle w:val="11"/>
                <w:rFonts w:hint="eastAsia"/>
              </w:rPr>
              <w:t>2年</w:t>
            </w:r>
          </w:p>
        </w:tc>
      </w:tr>
      <w:tr w14:paraId="2E4C90CA">
        <w:tblPrEx>
          <w:tblCellMar>
            <w:top w:w="0" w:type="dxa"/>
            <w:left w:w="0" w:type="dxa"/>
            <w:bottom w:w="0" w:type="dxa"/>
            <w:right w:w="0" w:type="dxa"/>
          </w:tblCellMar>
        </w:tblPrEx>
        <w:trPr>
          <w:wBefore w:w="0" w:type="auto"/>
          <w:tblCellSpacing w:w="0" w:type="dxa"/>
        </w:trPr>
        <w:tc>
          <w:tcPr>
            <w:tcW w:w="0" w:type="auto"/>
            <w:noWrap w:val="0"/>
            <w:vAlign w:val="center"/>
          </w:tcPr>
          <w:p w14:paraId="37989E39">
            <w:r>
              <w:rPr>
                <w:rStyle w:val="10"/>
                <w:rFonts w:hint="eastAsia"/>
              </w:rPr>
              <w:t>备注：</w:t>
            </w:r>
            <w:r>
              <w:rPr>
                <w:rFonts w:hint="eastAsia"/>
              </w:rPr>
              <w:br w:type="textWrapping"/>
            </w:r>
            <w:r>
              <w:rPr>
                <w:rStyle w:val="11"/>
                <w:rFonts w:hint="eastAsia"/>
              </w:rPr>
              <w:t>甲氨基阿维菌素苯甲酸盐3%。</w:t>
            </w:r>
          </w:p>
        </w:tc>
      </w:tr>
    </w:tbl>
    <w:p w14:paraId="41DAC05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2B870B8">
        <w:tblPrEx>
          <w:tblCellMar>
            <w:top w:w="0" w:type="dxa"/>
            <w:left w:w="0" w:type="dxa"/>
            <w:bottom w:w="0" w:type="dxa"/>
            <w:right w:w="0" w:type="dxa"/>
          </w:tblCellMar>
        </w:tblPrEx>
        <w:trPr>
          <w:wBefore w:w="0" w:type="auto"/>
          <w:tblCellSpacing w:w="0" w:type="dxa"/>
        </w:trPr>
        <w:tc>
          <w:tcPr>
            <w:tcW w:w="0" w:type="auto"/>
            <w:noWrap w:val="0"/>
            <w:vAlign w:val="center"/>
          </w:tcPr>
          <w:p w14:paraId="20B176AF">
            <w:r>
              <w:rPr>
                <w:rStyle w:val="10"/>
                <w:rFonts w:hint="eastAsia"/>
              </w:rPr>
              <w:t>登记证号：</w:t>
            </w:r>
            <w:r>
              <w:rPr>
                <w:rFonts w:hint="eastAsia"/>
              </w:rPr>
              <w:t>WP20210231</w:t>
            </w:r>
          </w:p>
        </w:tc>
      </w:tr>
      <w:tr w14:paraId="3ED9B19D">
        <w:tblPrEx>
          <w:tblCellMar>
            <w:top w:w="0" w:type="dxa"/>
            <w:left w:w="0" w:type="dxa"/>
            <w:bottom w:w="0" w:type="dxa"/>
            <w:right w:w="0" w:type="dxa"/>
          </w:tblCellMar>
        </w:tblPrEx>
        <w:trPr>
          <w:wBefore w:w="0" w:type="auto"/>
          <w:tblCellSpacing w:w="0" w:type="dxa"/>
        </w:trPr>
        <w:tc>
          <w:tcPr>
            <w:tcW w:w="0" w:type="auto"/>
            <w:noWrap w:val="0"/>
            <w:vAlign w:val="center"/>
          </w:tcPr>
          <w:p w14:paraId="2D339A81">
            <w:r>
              <w:rPr>
                <w:rStyle w:val="10"/>
                <w:rFonts w:hint="eastAsia"/>
              </w:rPr>
              <w:t>登记证持有人：</w:t>
            </w:r>
            <w:r>
              <w:rPr>
                <w:rFonts w:hint="eastAsia"/>
              </w:rPr>
              <w:t>江门市大光明农化新会有限公司</w:t>
            </w:r>
          </w:p>
        </w:tc>
      </w:tr>
      <w:tr w14:paraId="087788F7">
        <w:tblPrEx>
          <w:tblCellMar>
            <w:top w:w="0" w:type="dxa"/>
            <w:left w:w="0" w:type="dxa"/>
            <w:bottom w:w="0" w:type="dxa"/>
            <w:right w:w="0" w:type="dxa"/>
          </w:tblCellMar>
        </w:tblPrEx>
        <w:trPr>
          <w:wBefore w:w="0" w:type="auto"/>
          <w:tblCellSpacing w:w="0" w:type="dxa"/>
        </w:trPr>
        <w:tc>
          <w:tcPr>
            <w:tcW w:w="0" w:type="auto"/>
            <w:noWrap w:val="0"/>
            <w:vAlign w:val="center"/>
          </w:tcPr>
          <w:p w14:paraId="7510D481">
            <w:r>
              <w:rPr>
                <w:rStyle w:val="10"/>
                <w:rFonts w:hint="eastAsia"/>
              </w:rPr>
              <w:t>农药名称：</w:t>
            </w:r>
            <w:r>
              <w:rPr>
                <w:rFonts w:hint="eastAsia"/>
              </w:rPr>
              <w:t>杀蚁饵剂</w:t>
            </w:r>
          </w:p>
        </w:tc>
      </w:tr>
      <w:tr w14:paraId="43A064E5">
        <w:tblPrEx>
          <w:tblCellMar>
            <w:top w:w="0" w:type="dxa"/>
            <w:left w:w="0" w:type="dxa"/>
            <w:bottom w:w="0" w:type="dxa"/>
            <w:right w:w="0" w:type="dxa"/>
          </w:tblCellMar>
        </w:tblPrEx>
        <w:trPr>
          <w:wBefore w:w="0" w:type="auto"/>
          <w:tblCellSpacing w:w="0" w:type="dxa"/>
        </w:trPr>
        <w:tc>
          <w:tcPr>
            <w:tcW w:w="0" w:type="auto"/>
            <w:noWrap w:val="0"/>
            <w:vAlign w:val="center"/>
          </w:tcPr>
          <w:p w14:paraId="67004F60">
            <w:r>
              <w:rPr>
                <w:rStyle w:val="10"/>
                <w:rFonts w:hint="eastAsia"/>
              </w:rPr>
              <w:t>剂型：</w:t>
            </w:r>
            <w:r>
              <w:rPr>
                <w:rFonts w:hint="eastAsia"/>
              </w:rPr>
              <w:t>饵剂</w:t>
            </w:r>
          </w:p>
        </w:tc>
      </w:tr>
      <w:tr w14:paraId="7174ED1F">
        <w:tblPrEx>
          <w:tblCellMar>
            <w:top w:w="0" w:type="dxa"/>
            <w:left w:w="0" w:type="dxa"/>
            <w:bottom w:w="0" w:type="dxa"/>
            <w:right w:w="0" w:type="dxa"/>
          </w:tblCellMar>
        </w:tblPrEx>
        <w:trPr>
          <w:wBefore w:w="0" w:type="auto"/>
          <w:tblCellSpacing w:w="0" w:type="dxa"/>
        </w:trPr>
        <w:tc>
          <w:tcPr>
            <w:tcW w:w="0" w:type="auto"/>
            <w:noWrap w:val="0"/>
            <w:vAlign w:val="center"/>
          </w:tcPr>
          <w:p w14:paraId="1B327F9A">
            <w:r>
              <w:rPr>
                <w:rStyle w:val="10"/>
                <w:rFonts w:hint="eastAsia"/>
              </w:rPr>
              <w:t>毒性及其标识：</w:t>
            </w:r>
            <w:r>
              <w:rPr>
                <w:rFonts w:hint="eastAsia"/>
              </w:rPr>
              <w:t xml:space="preserve"> </w:t>
            </w:r>
            <w:r>
              <w:rPr>
                <w:lang/>
              </w:rPr>
              <w:drawing>
                <wp:inline distT="0" distB="0" distL="114300" distR="114300">
                  <wp:extent cx="476250" cy="323850"/>
                  <wp:effectExtent l="0" t="0" r="0" b="0"/>
                  <wp:docPr id="268" name="图片 26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0E1D33A">
        <w:tblPrEx>
          <w:tblCellMar>
            <w:top w:w="0" w:type="dxa"/>
            <w:left w:w="0" w:type="dxa"/>
            <w:bottom w:w="0" w:type="dxa"/>
            <w:right w:w="0" w:type="dxa"/>
          </w:tblCellMar>
        </w:tblPrEx>
        <w:trPr>
          <w:wBefore w:w="0" w:type="auto"/>
          <w:tblCellSpacing w:w="0" w:type="dxa"/>
        </w:trPr>
        <w:tc>
          <w:tcPr>
            <w:tcW w:w="0" w:type="auto"/>
            <w:noWrap w:val="0"/>
            <w:vAlign w:val="center"/>
          </w:tcPr>
          <w:p w14:paraId="6BD1A76B">
            <w:r>
              <w:rPr>
                <w:rStyle w:val="10"/>
                <w:rFonts w:hint="eastAsia"/>
              </w:rPr>
              <w:t>总有效成分含量：</w:t>
            </w:r>
            <w:r>
              <w:rPr>
                <w:rFonts w:hint="eastAsia"/>
              </w:rPr>
              <w:t>0.5%</w:t>
            </w:r>
          </w:p>
        </w:tc>
      </w:tr>
      <w:tr w14:paraId="49220061">
        <w:tblPrEx>
          <w:tblCellMar>
            <w:top w:w="0" w:type="dxa"/>
            <w:left w:w="0" w:type="dxa"/>
            <w:bottom w:w="0" w:type="dxa"/>
            <w:right w:w="0" w:type="dxa"/>
          </w:tblCellMar>
        </w:tblPrEx>
        <w:trPr>
          <w:wBefore w:w="0" w:type="auto"/>
          <w:tblCellSpacing w:w="0" w:type="dxa"/>
        </w:trPr>
        <w:tc>
          <w:tcPr>
            <w:tcW w:w="0" w:type="auto"/>
            <w:noWrap w:val="0"/>
            <w:vAlign w:val="center"/>
          </w:tcPr>
          <w:p w14:paraId="603FC0FB">
            <w:r>
              <w:rPr>
                <w:rFonts w:hint="eastAsia"/>
              </w:rPr>
              <w:t xml:space="preserve">有效成分及其含量： </w:t>
            </w:r>
          </w:p>
          <w:p w14:paraId="2D80817F">
            <w:r>
              <w:rPr>
                <w:rFonts w:hint="eastAsia"/>
              </w:rPr>
              <w:t xml:space="preserve">    茚虫威0.5%    </w:t>
            </w:r>
          </w:p>
        </w:tc>
      </w:tr>
      <w:tr w14:paraId="666F1D0A">
        <w:tblPrEx>
          <w:tblCellMar>
            <w:top w:w="0" w:type="dxa"/>
            <w:left w:w="0" w:type="dxa"/>
            <w:bottom w:w="0" w:type="dxa"/>
            <w:right w:w="0" w:type="dxa"/>
          </w:tblCellMar>
        </w:tblPrEx>
        <w:trPr>
          <w:wBefore w:w="0" w:type="auto"/>
          <w:tblCellSpacing w:w="0" w:type="dxa"/>
        </w:trPr>
        <w:tc>
          <w:tcPr>
            <w:tcW w:w="0" w:type="auto"/>
            <w:noWrap w:val="0"/>
            <w:vAlign w:val="center"/>
          </w:tcPr>
          <w:p w14:paraId="5691ACF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35D6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EA9565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1D1289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83006E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5A3567A">
                  <w:r>
                    <w:rPr>
                      <w:rStyle w:val="11"/>
                      <w:rFonts w:hint="eastAsia"/>
                    </w:rPr>
                    <w:t>施用方式</w:t>
                  </w:r>
                </w:p>
              </w:tc>
            </w:tr>
            <w:tr w14:paraId="55D5AB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54EF8C3">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40F569">
                  <w:r>
                    <w:rPr>
                      <w:rStyle w:val="11"/>
                      <w:rFonts w:hint="eastAsia"/>
                    </w:rPr>
                    <w:t>红火蚁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D06AD5">
                  <w:r>
                    <w:rPr>
                      <w:rStyle w:val="11"/>
                      <w:rFonts w:hint="eastAsia"/>
                    </w:rPr>
                    <w:t>2-3克/巢</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F8D5E7">
                  <w:r>
                    <w:rPr>
                      <w:rStyle w:val="11"/>
                      <w:rFonts w:hint="eastAsia"/>
                    </w:rPr>
                    <w:t>撒施</w:t>
                  </w:r>
                </w:p>
              </w:tc>
            </w:tr>
          </w:tbl>
          <w:p w14:paraId="44CAA189">
            <w:pPr>
              <w:rPr>
                <w:rFonts w:ascii="Times New Roman" w:hAnsi="Times New Roman" w:cs="Times New Roman"/>
                <w:sz w:val="20"/>
                <w:szCs w:val="20"/>
              </w:rPr>
            </w:pPr>
          </w:p>
        </w:tc>
      </w:tr>
      <w:tr w14:paraId="47275695">
        <w:tblPrEx>
          <w:tblCellMar>
            <w:top w:w="0" w:type="dxa"/>
            <w:left w:w="0" w:type="dxa"/>
            <w:bottom w:w="0" w:type="dxa"/>
            <w:right w:w="0" w:type="dxa"/>
          </w:tblCellMar>
        </w:tblPrEx>
        <w:trPr>
          <w:wBefore w:w="0" w:type="auto"/>
          <w:tblCellSpacing w:w="0" w:type="dxa"/>
        </w:trPr>
        <w:tc>
          <w:tcPr>
            <w:tcW w:w="0" w:type="auto"/>
            <w:noWrap w:val="0"/>
            <w:vAlign w:val="center"/>
          </w:tcPr>
          <w:p w14:paraId="6E9E94D9">
            <w:r>
              <w:rPr>
                <w:rStyle w:val="10"/>
                <w:rFonts w:hint="eastAsia"/>
              </w:rPr>
              <w:t>使用技术要求:</w:t>
            </w:r>
            <w:r>
              <w:rPr>
                <w:rFonts w:hint="eastAsia"/>
              </w:rPr>
              <w:br w:type="textWrapping"/>
            </w:r>
            <w:r>
              <w:rPr>
                <w:rStyle w:val="11"/>
                <w:rFonts w:hint="eastAsia"/>
              </w:rPr>
              <w:t>将饵剂环状撒施于蚁巢半径50厘米范围内。在地表温度在25～35℃、地面较为干燥时施药，施药后48小时内下雨则需重新施药。</w:t>
            </w:r>
          </w:p>
        </w:tc>
      </w:tr>
      <w:tr w14:paraId="53D70099">
        <w:tblPrEx>
          <w:tblCellMar>
            <w:top w:w="0" w:type="dxa"/>
            <w:left w:w="0" w:type="dxa"/>
            <w:bottom w:w="0" w:type="dxa"/>
            <w:right w:w="0" w:type="dxa"/>
          </w:tblCellMar>
        </w:tblPrEx>
        <w:trPr>
          <w:wBefore w:w="0" w:type="auto"/>
          <w:tblCellSpacing w:w="0" w:type="dxa"/>
        </w:trPr>
        <w:tc>
          <w:tcPr>
            <w:tcW w:w="0" w:type="auto"/>
            <w:noWrap w:val="0"/>
            <w:vAlign w:val="center"/>
          </w:tcPr>
          <w:p w14:paraId="14475841">
            <w:r>
              <w:rPr>
                <w:rStyle w:val="10"/>
                <w:rFonts w:hint="eastAsia"/>
              </w:rPr>
              <w:t>产品性能:</w:t>
            </w:r>
            <w:r>
              <w:rPr>
                <w:rFonts w:hint="eastAsia"/>
              </w:rPr>
              <w:br w:type="textWrapping"/>
            </w:r>
            <w:r>
              <w:rPr>
                <w:rStyle w:val="11"/>
                <w:rFonts w:hint="eastAsia"/>
              </w:rPr>
              <w:t>茚虫威是一种属噁二嗪类杀虫剂，作用机理为钠通道抑制剂，主要是阻断害虫神经细胞中的钠通道，导致靶标害虫神经失调、麻痹、最终死亡， 具有触杀和毒杀作用。</w:t>
            </w:r>
          </w:p>
        </w:tc>
      </w:tr>
      <w:tr w14:paraId="31699CFF">
        <w:tblPrEx>
          <w:tblCellMar>
            <w:top w:w="0" w:type="dxa"/>
            <w:left w:w="0" w:type="dxa"/>
            <w:bottom w:w="0" w:type="dxa"/>
            <w:right w:w="0" w:type="dxa"/>
          </w:tblCellMar>
        </w:tblPrEx>
        <w:trPr>
          <w:wBefore w:w="0" w:type="auto"/>
          <w:tblCellSpacing w:w="0" w:type="dxa"/>
        </w:trPr>
        <w:tc>
          <w:tcPr>
            <w:tcW w:w="0" w:type="auto"/>
            <w:noWrap w:val="0"/>
            <w:vAlign w:val="center"/>
          </w:tcPr>
          <w:p w14:paraId="19270EE7">
            <w:r>
              <w:rPr>
                <w:rStyle w:val="10"/>
                <w:rFonts w:hint="eastAsia"/>
              </w:rPr>
              <w:t>注意事项：</w:t>
            </w:r>
            <w:r>
              <w:rPr>
                <w:rFonts w:hint="eastAsia"/>
              </w:rPr>
              <w:br w:type="textWrapping"/>
            </w:r>
            <w:r>
              <w:rPr>
                <w:rStyle w:val="11"/>
                <w:rFonts w:hint="eastAsia"/>
              </w:rPr>
              <w:t>1.本品应置于儿童接触不到的地方，避免误食。 2.使用时应穿长衣长裤、靴子，戴帽子、护目镜、口罩、手套等防护用具；施药期间不可吃东西、饮水、吸烟等；施药后应及时洗手、洗脸并洗涤施药时穿着的衣物。 3.水产养殖区、河塘等水体附近禁用，禁止在河塘等水体中清洗施药器具；鸟类保护区附近禁用。5.未用完的制剂应放在原包装内密封保存，切勿将本品置于饮食容器内。6.用过的容器或空包装应妥善处置，不可做他用，也不可随意丢弃。 7.孕妇及哺乳期妇女禁止接触本品。</w:t>
            </w:r>
          </w:p>
        </w:tc>
      </w:tr>
      <w:tr w14:paraId="053632DF">
        <w:tblPrEx>
          <w:tblCellMar>
            <w:top w:w="0" w:type="dxa"/>
            <w:left w:w="0" w:type="dxa"/>
            <w:bottom w:w="0" w:type="dxa"/>
            <w:right w:w="0" w:type="dxa"/>
          </w:tblCellMar>
        </w:tblPrEx>
        <w:trPr>
          <w:wBefore w:w="0" w:type="auto"/>
          <w:tblCellSpacing w:w="0" w:type="dxa"/>
        </w:trPr>
        <w:tc>
          <w:tcPr>
            <w:tcW w:w="0" w:type="auto"/>
            <w:noWrap w:val="0"/>
            <w:vAlign w:val="center"/>
          </w:tcPr>
          <w:p w14:paraId="2BAE5B43">
            <w:r>
              <w:rPr>
                <w:rStyle w:val="10"/>
                <w:rFonts w:hint="eastAsia"/>
              </w:rPr>
              <w:t>中毒急救措施：</w:t>
            </w:r>
            <w:r>
              <w:rPr>
                <w:rFonts w:hint="eastAsia"/>
              </w:rPr>
              <w:br w:type="textWrapping"/>
            </w:r>
            <w:r>
              <w:rPr>
                <w:rStyle w:val="11"/>
                <w:rFonts w:hint="eastAsia"/>
              </w:rPr>
              <w:t>本品对眼睛有刺激性。不慎接触皮肤：立即脱去被污染的衣物， 用肥皂和大量清水冲洗皮肤暴露部位。如皮肤刺激感持续，请医生诊治。不慎接触眼睛：立即翻开眼睑，用清水冲洗至少 15 分钟，及时请医生诊治。不慎误食：严禁引吐，应先立即用清水漱口，再携带产品标签送医就诊，对症治疗。注意：对昏迷病人，切勿经口喂入任何东西。</w:t>
            </w:r>
          </w:p>
        </w:tc>
      </w:tr>
      <w:tr w14:paraId="0BF780F8">
        <w:tblPrEx>
          <w:tblCellMar>
            <w:top w:w="0" w:type="dxa"/>
            <w:left w:w="0" w:type="dxa"/>
            <w:bottom w:w="0" w:type="dxa"/>
            <w:right w:w="0" w:type="dxa"/>
          </w:tblCellMar>
        </w:tblPrEx>
        <w:trPr>
          <w:wBefore w:w="0" w:type="auto"/>
          <w:tblCellSpacing w:w="0" w:type="dxa"/>
        </w:trPr>
        <w:tc>
          <w:tcPr>
            <w:tcW w:w="0" w:type="auto"/>
            <w:noWrap w:val="0"/>
            <w:vAlign w:val="center"/>
          </w:tcPr>
          <w:p w14:paraId="14D45DEC">
            <w:r>
              <w:rPr>
                <w:rStyle w:val="10"/>
                <w:rFonts w:hint="eastAsia"/>
              </w:rPr>
              <w:t>储存和运输方法：</w:t>
            </w:r>
            <w:r>
              <w:rPr>
                <w:rFonts w:hint="eastAsia"/>
              </w:rPr>
              <w:br w:type="textWrapping"/>
            </w:r>
            <w:r>
              <w:rPr>
                <w:rStyle w:val="11"/>
                <w:rFonts w:hint="eastAsia"/>
              </w:rPr>
              <w:t>1.本品应贮存在阴凉、干燥、通风、防雨处，严防潮湿和日晒；2.远离火源与热源；3.置于儿童、无关人员及动物接触不到的地方，并加锁保存；4.勿与食物、饮料、种子、粮食、饲料等混合储存。</w:t>
            </w:r>
          </w:p>
        </w:tc>
      </w:tr>
      <w:tr w14:paraId="2D104EAE">
        <w:tblPrEx>
          <w:tblCellMar>
            <w:top w:w="0" w:type="dxa"/>
            <w:left w:w="0" w:type="dxa"/>
            <w:bottom w:w="0" w:type="dxa"/>
            <w:right w:w="0" w:type="dxa"/>
          </w:tblCellMar>
        </w:tblPrEx>
        <w:trPr>
          <w:wBefore w:w="0" w:type="auto"/>
          <w:tblCellSpacing w:w="0" w:type="dxa"/>
        </w:trPr>
        <w:tc>
          <w:tcPr>
            <w:tcW w:w="0" w:type="auto"/>
            <w:noWrap w:val="0"/>
            <w:vAlign w:val="center"/>
          </w:tcPr>
          <w:p w14:paraId="29D6F64C">
            <w:r>
              <w:rPr>
                <w:rStyle w:val="10"/>
                <w:rFonts w:hint="eastAsia"/>
              </w:rPr>
              <w:t>质量保证期：</w:t>
            </w:r>
            <w:r>
              <w:rPr>
                <w:rStyle w:val="11"/>
                <w:rFonts w:hint="eastAsia"/>
              </w:rPr>
              <w:t>2年</w:t>
            </w:r>
          </w:p>
        </w:tc>
      </w:tr>
      <w:tr w14:paraId="066677B1">
        <w:tblPrEx>
          <w:tblCellMar>
            <w:top w:w="0" w:type="dxa"/>
            <w:left w:w="0" w:type="dxa"/>
            <w:bottom w:w="0" w:type="dxa"/>
            <w:right w:w="0" w:type="dxa"/>
          </w:tblCellMar>
        </w:tblPrEx>
        <w:trPr>
          <w:wBefore w:w="0" w:type="auto"/>
          <w:tblCellSpacing w:w="0" w:type="dxa"/>
        </w:trPr>
        <w:tc>
          <w:tcPr>
            <w:tcW w:w="0" w:type="auto"/>
            <w:noWrap w:val="0"/>
            <w:vAlign w:val="center"/>
          </w:tcPr>
          <w:p w14:paraId="23C95FCE">
            <w:r>
              <w:rPr>
                <w:rStyle w:val="10"/>
                <w:rFonts w:hint="eastAsia"/>
              </w:rPr>
              <w:t>备注：</w:t>
            </w:r>
          </w:p>
        </w:tc>
      </w:tr>
    </w:tbl>
    <w:p w14:paraId="49B678E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59BB79E">
        <w:tblPrEx>
          <w:tblCellMar>
            <w:top w:w="0" w:type="dxa"/>
            <w:left w:w="0" w:type="dxa"/>
            <w:bottom w:w="0" w:type="dxa"/>
            <w:right w:w="0" w:type="dxa"/>
          </w:tblCellMar>
        </w:tblPrEx>
        <w:trPr>
          <w:wBefore w:w="0" w:type="auto"/>
          <w:tblCellSpacing w:w="0" w:type="dxa"/>
        </w:trPr>
        <w:tc>
          <w:tcPr>
            <w:tcW w:w="0" w:type="auto"/>
            <w:noWrap w:val="0"/>
            <w:vAlign w:val="center"/>
          </w:tcPr>
          <w:p w14:paraId="633F7A28">
            <w:r>
              <w:rPr>
                <w:rStyle w:val="10"/>
                <w:rFonts w:hint="eastAsia"/>
              </w:rPr>
              <w:t>登记证号：</w:t>
            </w:r>
            <w:r>
              <w:rPr>
                <w:rFonts w:hint="eastAsia"/>
              </w:rPr>
              <w:t>PD20212121</w:t>
            </w:r>
          </w:p>
        </w:tc>
      </w:tr>
      <w:tr w14:paraId="3B99900A">
        <w:tblPrEx>
          <w:tblCellMar>
            <w:top w:w="0" w:type="dxa"/>
            <w:left w:w="0" w:type="dxa"/>
            <w:bottom w:w="0" w:type="dxa"/>
            <w:right w:w="0" w:type="dxa"/>
          </w:tblCellMar>
        </w:tblPrEx>
        <w:trPr>
          <w:wBefore w:w="0" w:type="auto"/>
          <w:tblCellSpacing w:w="0" w:type="dxa"/>
        </w:trPr>
        <w:tc>
          <w:tcPr>
            <w:tcW w:w="0" w:type="auto"/>
            <w:noWrap w:val="0"/>
            <w:vAlign w:val="center"/>
          </w:tcPr>
          <w:p w14:paraId="1177EFA7">
            <w:r>
              <w:rPr>
                <w:rStyle w:val="10"/>
                <w:rFonts w:hint="eastAsia"/>
              </w:rPr>
              <w:t>登记证持有人：</w:t>
            </w:r>
            <w:r>
              <w:rPr>
                <w:rFonts w:hint="eastAsia"/>
              </w:rPr>
              <w:t>京博农化科技有限公司</w:t>
            </w:r>
          </w:p>
        </w:tc>
      </w:tr>
      <w:tr w14:paraId="2F0A249F">
        <w:tblPrEx>
          <w:tblCellMar>
            <w:top w:w="0" w:type="dxa"/>
            <w:left w:w="0" w:type="dxa"/>
            <w:bottom w:w="0" w:type="dxa"/>
            <w:right w:w="0" w:type="dxa"/>
          </w:tblCellMar>
        </w:tblPrEx>
        <w:trPr>
          <w:wBefore w:w="0" w:type="auto"/>
          <w:tblCellSpacing w:w="0" w:type="dxa"/>
        </w:trPr>
        <w:tc>
          <w:tcPr>
            <w:tcW w:w="0" w:type="auto"/>
            <w:noWrap w:val="0"/>
            <w:vAlign w:val="center"/>
          </w:tcPr>
          <w:p w14:paraId="3AD0C90A">
            <w:r>
              <w:rPr>
                <w:rStyle w:val="10"/>
                <w:rFonts w:hint="eastAsia"/>
              </w:rPr>
              <w:t>农药名称：</w:t>
            </w:r>
            <w:r>
              <w:rPr>
                <w:rFonts w:hint="eastAsia"/>
              </w:rPr>
              <w:t>双氟磺草胺</w:t>
            </w:r>
          </w:p>
        </w:tc>
      </w:tr>
      <w:tr w14:paraId="02C0737D">
        <w:tblPrEx>
          <w:tblCellMar>
            <w:top w:w="0" w:type="dxa"/>
            <w:left w:w="0" w:type="dxa"/>
            <w:bottom w:w="0" w:type="dxa"/>
            <w:right w:w="0" w:type="dxa"/>
          </w:tblCellMar>
        </w:tblPrEx>
        <w:trPr>
          <w:wBefore w:w="0" w:type="auto"/>
          <w:tblCellSpacing w:w="0" w:type="dxa"/>
        </w:trPr>
        <w:tc>
          <w:tcPr>
            <w:tcW w:w="0" w:type="auto"/>
            <w:noWrap w:val="0"/>
            <w:vAlign w:val="center"/>
          </w:tcPr>
          <w:p w14:paraId="6EBB087C">
            <w:r>
              <w:rPr>
                <w:rStyle w:val="10"/>
                <w:rFonts w:hint="eastAsia"/>
              </w:rPr>
              <w:t>剂型：</w:t>
            </w:r>
            <w:r>
              <w:rPr>
                <w:rFonts w:hint="eastAsia"/>
              </w:rPr>
              <w:t>悬浮剂</w:t>
            </w:r>
          </w:p>
        </w:tc>
      </w:tr>
      <w:tr w14:paraId="6C34A46F">
        <w:tblPrEx>
          <w:tblCellMar>
            <w:top w:w="0" w:type="dxa"/>
            <w:left w:w="0" w:type="dxa"/>
            <w:bottom w:w="0" w:type="dxa"/>
            <w:right w:w="0" w:type="dxa"/>
          </w:tblCellMar>
        </w:tblPrEx>
        <w:trPr>
          <w:wBefore w:w="0" w:type="auto"/>
          <w:tblCellSpacing w:w="0" w:type="dxa"/>
        </w:trPr>
        <w:tc>
          <w:tcPr>
            <w:tcW w:w="0" w:type="auto"/>
            <w:noWrap w:val="0"/>
            <w:vAlign w:val="center"/>
          </w:tcPr>
          <w:p w14:paraId="7F8F68B5">
            <w:r>
              <w:rPr>
                <w:rStyle w:val="10"/>
                <w:rFonts w:hint="eastAsia"/>
              </w:rPr>
              <w:t>毒性及其标识：</w:t>
            </w:r>
            <w:r>
              <w:rPr>
                <w:rFonts w:hint="eastAsia"/>
              </w:rPr>
              <w:t xml:space="preserve"> </w:t>
            </w:r>
            <w:r>
              <w:rPr>
                <w:lang/>
              </w:rPr>
              <w:drawing>
                <wp:inline distT="0" distB="0" distL="114300" distR="114300">
                  <wp:extent cx="476250" cy="323850"/>
                  <wp:effectExtent l="0" t="0" r="0" b="0"/>
                  <wp:docPr id="269" name="图片 26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ED6737A">
        <w:tblPrEx>
          <w:tblCellMar>
            <w:top w:w="0" w:type="dxa"/>
            <w:left w:w="0" w:type="dxa"/>
            <w:bottom w:w="0" w:type="dxa"/>
            <w:right w:w="0" w:type="dxa"/>
          </w:tblCellMar>
        </w:tblPrEx>
        <w:trPr>
          <w:wBefore w:w="0" w:type="auto"/>
          <w:tblCellSpacing w:w="0" w:type="dxa"/>
        </w:trPr>
        <w:tc>
          <w:tcPr>
            <w:tcW w:w="0" w:type="auto"/>
            <w:noWrap w:val="0"/>
            <w:vAlign w:val="center"/>
          </w:tcPr>
          <w:p w14:paraId="0D6FBEE3">
            <w:r>
              <w:rPr>
                <w:rStyle w:val="10"/>
                <w:rFonts w:hint="eastAsia"/>
              </w:rPr>
              <w:t>总有效成分含量：</w:t>
            </w:r>
            <w:r>
              <w:rPr>
                <w:rFonts w:hint="eastAsia"/>
              </w:rPr>
              <w:t>50克/升</w:t>
            </w:r>
          </w:p>
        </w:tc>
      </w:tr>
      <w:tr w14:paraId="303B222B">
        <w:tblPrEx>
          <w:tblCellMar>
            <w:top w:w="0" w:type="dxa"/>
            <w:left w:w="0" w:type="dxa"/>
            <w:bottom w:w="0" w:type="dxa"/>
            <w:right w:w="0" w:type="dxa"/>
          </w:tblCellMar>
        </w:tblPrEx>
        <w:trPr>
          <w:wBefore w:w="0" w:type="auto"/>
          <w:tblCellSpacing w:w="0" w:type="dxa"/>
        </w:trPr>
        <w:tc>
          <w:tcPr>
            <w:tcW w:w="0" w:type="auto"/>
            <w:noWrap w:val="0"/>
            <w:vAlign w:val="center"/>
          </w:tcPr>
          <w:p w14:paraId="2E074AAD">
            <w:r>
              <w:rPr>
                <w:rFonts w:hint="eastAsia"/>
              </w:rPr>
              <w:t xml:space="preserve">有效成分及其含量： </w:t>
            </w:r>
          </w:p>
          <w:p w14:paraId="28789889">
            <w:r>
              <w:rPr>
                <w:rFonts w:hint="eastAsia"/>
              </w:rPr>
              <w:t xml:space="preserve">    双氟磺草胺50克/升    </w:t>
            </w:r>
          </w:p>
        </w:tc>
      </w:tr>
      <w:tr w14:paraId="6ECC6CED">
        <w:tblPrEx>
          <w:tblCellMar>
            <w:top w:w="0" w:type="dxa"/>
            <w:left w:w="0" w:type="dxa"/>
            <w:bottom w:w="0" w:type="dxa"/>
            <w:right w:w="0" w:type="dxa"/>
          </w:tblCellMar>
        </w:tblPrEx>
        <w:trPr>
          <w:wBefore w:w="0" w:type="auto"/>
          <w:tblCellSpacing w:w="0" w:type="dxa"/>
        </w:trPr>
        <w:tc>
          <w:tcPr>
            <w:tcW w:w="0" w:type="auto"/>
            <w:noWrap w:val="0"/>
            <w:vAlign w:val="center"/>
          </w:tcPr>
          <w:p w14:paraId="539221F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D4CC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F3DB87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CCF94F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D8FFDA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E28A00C">
                  <w:r>
                    <w:rPr>
                      <w:rStyle w:val="11"/>
                      <w:rFonts w:hint="eastAsia"/>
                    </w:rPr>
                    <w:t>施用方式</w:t>
                  </w:r>
                </w:p>
              </w:tc>
            </w:tr>
            <w:tr w14:paraId="1977AC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9F5523E">
                  <w:r>
                    <w:rPr>
                      <w:rStyle w:val="11"/>
                      <w:rFonts w:hint="eastAsia"/>
                    </w:rPr>
                    <w:t>冬小麦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E1280E">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712986">
                  <w:r>
                    <w:rPr>
                      <w:rStyle w:val="11"/>
                      <w:rFonts w:hint="eastAsia"/>
                    </w:rPr>
                    <w:t>5-6毫升/亩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719352">
                  <w:r>
                    <w:rPr>
                      <w:rStyle w:val="11"/>
                      <w:rFonts w:hint="eastAsia"/>
                    </w:rPr>
                    <w:t>茎叶喷雾</w:t>
                  </w:r>
                </w:p>
              </w:tc>
            </w:tr>
          </w:tbl>
          <w:p w14:paraId="4B7B70DE">
            <w:pPr>
              <w:rPr>
                <w:rFonts w:ascii="Times New Roman" w:hAnsi="Times New Roman" w:cs="Times New Roman"/>
                <w:sz w:val="20"/>
                <w:szCs w:val="20"/>
              </w:rPr>
            </w:pPr>
          </w:p>
        </w:tc>
      </w:tr>
      <w:tr w14:paraId="27571C44">
        <w:tblPrEx>
          <w:tblCellMar>
            <w:top w:w="0" w:type="dxa"/>
            <w:left w:w="0" w:type="dxa"/>
            <w:bottom w:w="0" w:type="dxa"/>
            <w:right w:w="0" w:type="dxa"/>
          </w:tblCellMar>
        </w:tblPrEx>
        <w:trPr>
          <w:wBefore w:w="0" w:type="auto"/>
          <w:tblCellSpacing w:w="0" w:type="dxa"/>
        </w:trPr>
        <w:tc>
          <w:tcPr>
            <w:tcW w:w="0" w:type="auto"/>
            <w:noWrap w:val="0"/>
            <w:vAlign w:val="center"/>
          </w:tcPr>
          <w:p w14:paraId="5FFB6D5D">
            <w:r>
              <w:rPr>
                <w:rStyle w:val="10"/>
                <w:rFonts w:hint="eastAsia"/>
              </w:rPr>
              <w:t>使用技术要求:</w:t>
            </w:r>
            <w:r>
              <w:rPr>
                <w:rFonts w:hint="eastAsia"/>
              </w:rPr>
              <w:br w:type="textWrapping"/>
            </w:r>
            <w:r>
              <w:rPr>
                <w:rStyle w:val="11"/>
                <w:rFonts w:hint="eastAsia"/>
              </w:rPr>
              <w:t>1.冬小麦出苗后，阔叶杂草3～6叶期，茎叶均匀喷雾施药。2.大风天或预计1小时内降雨，请勿施药。3.在冬小麦上每季最多使用1次。</w:t>
            </w:r>
          </w:p>
        </w:tc>
      </w:tr>
      <w:tr w14:paraId="4E8B51FF">
        <w:tblPrEx>
          <w:tblCellMar>
            <w:top w:w="0" w:type="dxa"/>
            <w:left w:w="0" w:type="dxa"/>
            <w:bottom w:w="0" w:type="dxa"/>
            <w:right w:w="0" w:type="dxa"/>
          </w:tblCellMar>
        </w:tblPrEx>
        <w:trPr>
          <w:wBefore w:w="0" w:type="auto"/>
          <w:tblCellSpacing w:w="0" w:type="dxa"/>
        </w:trPr>
        <w:tc>
          <w:tcPr>
            <w:tcW w:w="0" w:type="auto"/>
            <w:noWrap w:val="0"/>
            <w:vAlign w:val="center"/>
          </w:tcPr>
          <w:p w14:paraId="58830638">
            <w:r>
              <w:rPr>
                <w:rStyle w:val="10"/>
                <w:rFonts w:hint="eastAsia"/>
              </w:rPr>
              <w:t>产品性能:</w:t>
            </w:r>
            <w:r>
              <w:rPr>
                <w:rFonts w:hint="eastAsia"/>
              </w:rPr>
              <w:br w:type="textWrapping"/>
            </w:r>
            <w:r>
              <w:rPr>
                <w:rStyle w:val="11"/>
                <w:rFonts w:hint="eastAsia"/>
              </w:rPr>
              <w:t>双氟磺草胺是支链氨基酸的合成抑制剂，为选择内吸性苗后除草剂，可被植物根部和嫩芽吸收，通过木质部和韧皮部快速传导。可用于防除冬小麦田阔叶杂草。</w:t>
            </w:r>
          </w:p>
        </w:tc>
      </w:tr>
      <w:tr w14:paraId="3C690BE7">
        <w:tblPrEx>
          <w:tblCellMar>
            <w:top w:w="0" w:type="dxa"/>
            <w:left w:w="0" w:type="dxa"/>
            <w:bottom w:w="0" w:type="dxa"/>
            <w:right w:w="0" w:type="dxa"/>
          </w:tblCellMar>
        </w:tblPrEx>
        <w:trPr>
          <w:wBefore w:w="0" w:type="auto"/>
          <w:tblCellSpacing w:w="0" w:type="dxa"/>
        </w:trPr>
        <w:tc>
          <w:tcPr>
            <w:tcW w:w="0" w:type="auto"/>
            <w:noWrap w:val="0"/>
            <w:vAlign w:val="center"/>
          </w:tcPr>
          <w:p w14:paraId="5610FA53">
            <w:r>
              <w:rPr>
                <w:rStyle w:val="10"/>
                <w:rFonts w:hint="eastAsia"/>
              </w:rPr>
              <w:t>注意事项：</w:t>
            </w:r>
            <w:r>
              <w:rPr>
                <w:rFonts w:hint="eastAsia"/>
              </w:rPr>
              <w:br w:type="textWrapping"/>
            </w:r>
            <w:r>
              <w:rPr>
                <w:rStyle w:val="11"/>
                <w:rFonts w:hint="eastAsia"/>
              </w:rPr>
              <w:t>1.使用本产品应采取相应的安全防护措施，施药时要有防护措施，戴口罩、手套、穿保护性作业服，严禁吸烟和饮食，避免药物与皮肤和眼睛直接接触，施药后要及时洗手洗脸。2.施药期间远离水产养殖区、河塘等水体施药，禁止在河塘等水体中清洗施药器具，禁止污染水源等。3.用过的容器应妥善处理，不可做他用，也不可随意丢弃。4.禁止儿童、孕妇及哺乳期妇女接触，过敏者禁用，使用中有任何不良反应请及时就医。</w:t>
            </w:r>
          </w:p>
        </w:tc>
      </w:tr>
      <w:tr w14:paraId="29841C7D">
        <w:tblPrEx>
          <w:tblCellMar>
            <w:top w:w="0" w:type="dxa"/>
            <w:left w:w="0" w:type="dxa"/>
            <w:bottom w:w="0" w:type="dxa"/>
            <w:right w:w="0" w:type="dxa"/>
          </w:tblCellMar>
        </w:tblPrEx>
        <w:trPr>
          <w:wBefore w:w="0" w:type="auto"/>
          <w:tblCellSpacing w:w="0" w:type="dxa"/>
        </w:trPr>
        <w:tc>
          <w:tcPr>
            <w:tcW w:w="0" w:type="auto"/>
            <w:noWrap w:val="0"/>
            <w:vAlign w:val="center"/>
          </w:tcPr>
          <w:p w14:paraId="0434A8E2">
            <w:r>
              <w:rPr>
                <w:rStyle w:val="10"/>
                <w:rFonts w:hint="eastAsia"/>
              </w:rPr>
              <w:t>中毒急救措施：</w:t>
            </w:r>
            <w:r>
              <w:rPr>
                <w:rFonts w:hint="eastAsia"/>
              </w:rPr>
              <w:br w:type="textWrapping"/>
            </w:r>
            <w:r>
              <w:rPr>
                <w:rStyle w:val="11"/>
                <w:rFonts w:hint="eastAsia"/>
              </w:rPr>
              <w:t>急救措施：使用中或使用后若感觉不适，应该立即停止工作，采取急救措施，并携带标签送医院就诊。 皮肤接触：如接触皮肤，用肥皂和大量清水彻底清洗受污的皮肤。 眼睛溅入：立即用清水冲洗眼睛至少15分钟。 吸入：立即离开施药现场，转移至空气新鲜处。 误服：不慎误服，立即携带标签送医院就诊。尚无特效解毒剂，对症治疗。</w:t>
            </w:r>
          </w:p>
        </w:tc>
      </w:tr>
      <w:tr w14:paraId="507FA4F5">
        <w:tblPrEx>
          <w:tblCellMar>
            <w:top w:w="0" w:type="dxa"/>
            <w:left w:w="0" w:type="dxa"/>
            <w:bottom w:w="0" w:type="dxa"/>
            <w:right w:w="0" w:type="dxa"/>
          </w:tblCellMar>
        </w:tblPrEx>
        <w:trPr>
          <w:wBefore w:w="0" w:type="auto"/>
          <w:tblCellSpacing w:w="0" w:type="dxa"/>
        </w:trPr>
        <w:tc>
          <w:tcPr>
            <w:tcW w:w="0" w:type="auto"/>
            <w:noWrap w:val="0"/>
            <w:vAlign w:val="center"/>
          </w:tcPr>
          <w:p w14:paraId="57330615">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本品应贮存在干燥、阴凉、通风、防雨处，远离火源或热源。置于儿童、无关人员及动物触及不到之处，并加锁保存。勿与食品、饮料、饲料、粮食等同贮同运。</w:t>
            </w:r>
          </w:p>
        </w:tc>
      </w:tr>
      <w:tr w14:paraId="7779764A">
        <w:tblPrEx>
          <w:tblCellMar>
            <w:top w:w="0" w:type="dxa"/>
            <w:left w:w="0" w:type="dxa"/>
            <w:bottom w:w="0" w:type="dxa"/>
            <w:right w:w="0" w:type="dxa"/>
          </w:tblCellMar>
        </w:tblPrEx>
        <w:trPr>
          <w:wBefore w:w="0" w:type="auto"/>
          <w:tblCellSpacing w:w="0" w:type="dxa"/>
        </w:trPr>
        <w:tc>
          <w:tcPr>
            <w:tcW w:w="0" w:type="auto"/>
            <w:noWrap w:val="0"/>
            <w:vAlign w:val="center"/>
          </w:tcPr>
          <w:p w14:paraId="0618EF9C">
            <w:r>
              <w:rPr>
                <w:rStyle w:val="10"/>
                <w:rFonts w:hint="eastAsia"/>
              </w:rPr>
              <w:t>质量保证期：</w:t>
            </w:r>
            <w:r>
              <w:rPr>
                <w:rStyle w:val="11"/>
                <w:rFonts w:hint="eastAsia"/>
              </w:rPr>
              <w:t>2年</w:t>
            </w:r>
          </w:p>
        </w:tc>
      </w:tr>
      <w:tr w14:paraId="1E2BF371">
        <w:tblPrEx>
          <w:tblCellMar>
            <w:top w:w="0" w:type="dxa"/>
            <w:left w:w="0" w:type="dxa"/>
            <w:bottom w:w="0" w:type="dxa"/>
            <w:right w:w="0" w:type="dxa"/>
          </w:tblCellMar>
        </w:tblPrEx>
        <w:trPr>
          <w:wBefore w:w="0" w:type="auto"/>
          <w:tblCellSpacing w:w="0" w:type="dxa"/>
        </w:trPr>
        <w:tc>
          <w:tcPr>
            <w:tcW w:w="0" w:type="auto"/>
            <w:noWrap w:val="0"/>
            <w:vAlign w:val="center"/>
          </w:tcPr>
          <w:p w14:paraId="015209AE">
            <w:r>
              <w:rPr>
                <w:rStyle w:val="10"/>
                <w:rFonts w:hint="eastAsia"/>
              </w:rPr>
              <w:t>备注：</w:t>
            </w:r>
            <w:r>
              <w:rPr>
                <w:rFonts w:hint="eastAsia"/>
              </w:rPr>
              <w:br w:type="textWrapping"/>
            </w:r>
            <w:r>
              <w:rPr>
                <w:rStyle w:val="11"/>
                <w:rFonts w:hint="eastAsia"/>
              </w:rPr>
              <w:t>质量分数4.8%。</w:t>
            </w:r>
          </w:p>
        </w:tc>
      </w:tr>
    </w:tbl>
    <w:p w14:paraId="227CC73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6693D58">
        <w:tblPrEx>
          <w:tblCellMar>
            <w:top w:w="0" w:type="dxa"/>
            <w:left w:w="0" w:type="dxa"/>
            <w:bottom w:w="0" w:type="dxa"/>
            <w:right w:w="0" w:type="dxa"/>
          </w:tblCellMar>
        </w:tblPrEx>
        <w:trPr>
          <w:wBefore w:w="0" w:type="auto"/>
          <w:tblCellSpacing w:w="0" w:type="dxa"/>
        </w:trPr>
        <w:tc>
          <w:tcPr>
            <w:tcW w:w="0" w:type="auto"/>
            <w:noWrap w:val="0"/>
            <w:vAlign w:val="center"/>
          </w:tcPr>
          <w:p w14:paraId="3489A055">
            <w:r>
              <w:rPr>
                <w:rStyle w:val="10"/>
                <w:rFonts w:hint="eastAsia"/>
              </w:rPr>
              <w:t>登记证号：</w:t>
            </w:r>
            <w:r>
              <w:rPr>
                <w:rFonts w:hint="eastAsia"/>
              </w:rPr>
              <w:t>PD20212192</w:t>
            </w:r>
          </w:p>
        </w:tc>
      </w:tr>
      <w:tr w14:paraId="07ADFC06">
        <w:tblPrEx>
          <w:tblCellMar>
            <w:top w:w="0" w:type="dxa"/>
            <w:left w:w="0" w:type="dxa"/>
            <w:bottom w:w="0" w:type="dxa"/>
            <w:right w:w="0" w:type="dxa"/>
          </w:tblCellMar>
        </w:tblPrEx>
        <w:trPr>
          <w:wBefore w:w="0" w:type="auto"/>
          <w:tblCellSpacing w:w="0" w:type="dxa"/>
        </w:trPr>
        <w:tc>
          <w:tcPr>
            <w:tcW w:w="0" w:type="auto"/>
            <w:noWrap w:val="0"/>
            <w:vAlign w:val="center"/>
          </w:tcPr>
          <w:p w14:paraId="79EA5B6F">
            <w:r>
              <w:rPr>
                <w:rStyle w:val="10"/>
                <w:rFonts w:hint="eastAsia"/>
              </w:rPr>
              <w:t>登记证持有人：</w:t>
            </w:r>
            <w:r>
              <w:rPr>
                <w:rFonts w:hint="eastAsia"/>
              </w:rPr>
              <w:t>广西瑞施特生物科技有限公司</w:t>
            </w:r>
          </w:p>
        </w:tc>
      </w:tr>
      <w:tr w14:paraId="4F36D45D">
        <w:tblPrEx>
          <w:tblCellMar>
            <w:top w:w="0" w:type="dxa"/>
            <w:left w:w="0" w:type="dxa"/>
            <w:bottom w:w="0" w:type="dxa"/>
            <w:right w:w="0" w:type="dxa"/>
          </w:tblCellMar>
        </w:tblPrEx>
        <w:trPr>
          <w:wBefore w:w="0" w:type="auto"/>
          <w:tblCellSpacing w:w="0" w:type="dxa"/>
        </w:trPr>
        <w:tc>
          <w:tcPr>
            <w:tcW w:w="0" w:type="auto"/>
            <w:noWrap w:val="0"/>
            <w:vAlign w:val="center"/>
          </w:tcPr>
          <w:p w14:paraId="65D71517">
            <w:r>
              <w:rPr>
                <w:rStyle w:val="10"/>
                <w:rFonts w:hint="eastAsia"/>
              </w:rPr>
              <w:t>农药名称：</w:t>
            </w:r>
            <w:r>
              <w:rPr>
                <w:rFonts w:hint="eastAsia"/>
              </w:rPr>
              <w:t>2甲·草甘膦</w:t>
            </w:r>
          </w:p>
        </w:tc>
      </w:tr>
      <w:tr w14:paraId="32D97BD7">
        <w:tblPrEx>
          <w:tblCellMar>
            <w:top w:w="0" w:type="dxa"/>
            <w:left w:w="0" w:type="dxa"/>
            <w:bottom w:w="0" w:type="dxa"/>
            <w:right w:w="0" w:type="dxa"/>
          </w:tblCellMar>
        </w:tblPrEx>
        <w:trPr>
          <w:wBefore w:w="0" w:type="auto"/>
          <w:tblCellSpacing w:w="0" w:type="dxa"/>
        </w:trPr>
        <w:tc>
          <w:tcPr>
            <w:tcW w:w="0" w:type="auto"/>
            <w:noWrap w:val="0"/>
            <w:vAlign w:val="center"/>
          </w:tcPr>
          <w:p w14:paraId="0B46F4E7">
            <w:r>
              <w:rPr>
                <w:rStyle w:val="10"/>
                <w:rFonts w:hint="eastAsia"/>
              </w:rPr>
              <w:t>剂型：</w:t>
            </w:r>
            <w:r>
              <w:rPr>
                <w:rFonts w:hint="eastAsia"/>
              </w:rPr>
              <w:t>可溶液剂</w:t>
            </w:r>
          </w:p>
        </w:tc>
      </w:tr>
      <w:tr w14:paraId="0937A1AF">
        <w:tblPrEx>
          <w:tblCellMar>
            <w:top w:w="0" w:type="dxa"/>
            <w:left w:w="0" w:type="dxa"/>
            <w:bottom w:w="0" w:type="dxa"/>
            <w:right w:w="0" w:type="dxa"/>
          </w:tblCellMar>
        </w:tblPrEx>
        <w:trPr>
          <w:wBefore w:w="0" w:type="auto"/>
          <w:tblCellSpacing w:w="0" w:type="dxa"/>
        </w:trPr>
        <w:tc>
          <w:tcPr>
            <w:tcW w:w="0" w:type="auto"/>
            <w:noWrap w:val="0"/>
            <w:vAlign w:val="center"/>
          </w:tcPr>
          <w:p w14:paraId="3C955B34">
            <w:r>
              <w:rPr>
                <w:rStyle w:val="10"/>
                <w:rFonts w:hint="eastAsia"/>
              </w:rPr>
              <w:t>毒性及其标识：</w:t>
            </w:r>
            <w:r>
              <w:rPr>
                <w:rFonts w:hint="eastAsia"/>
              </w:rPr>
              <w:t xml:space="preserve"> 微毒 </w:t>
            </w:r>
          </w:p>
        </w:tc>
      </w:tr>
      <w:tr w14:paraId="06FDB813">
        <w:tblPrEx>
          <w:tblCellMar>
            <w:top w:w="0" w:type="dxa"/>
            <w:left w:w="0" w:type="dxa"/>
            <w:bottom w:w="0" w:type="dxa"/>
            <w:right w:w="0" w:type="dxa"/>
          </w:tblCellMar>
        </w:tblPrEx>
        <w:trPr>
          <w:wBefore w:w="0" w:type="auto"/>
          <w:tblCellSpacing w:w="0" w:type="dxa"/>
        </w:trPr>
        <w:tc>
          <w:tcPr>
            <w:tcW w:w="0" w:type="auto"/>
            <w:noWrap w:val="0"/>
            <w:vAlign w:val="center"/>
          </w:tcPr>
          <w:p w14:paraId="7BCB162D">
            <w:r>
              <w:rPr>
                <w:rStyle w:val="10"/>
                <w:rFonts w:hint="eastAsia"/>
              </w:rPr>
              <w:t>总有效成分含量：</w:t>
            </w:r>
            <w:r>
              <w:rPr>
                <w:rFonts w:hint="eastAsia"/>
              </w:rPr>
              <w:t>32%</w:t>
            </w:r>
          </w:p>
        </w:tc>
      </w:tr>
      <w:tr w14:paraId="34C2053B">
        <w:tblPrEx>
          <w:tblCellMar>
            <w:top w:w="0" w:type="dxa"/>
            <w:left w:w="0" w:type="dxa"/>
            <w:bottom w:w="0" w:type="dxa"/>
            <w:right w:w="0" w:type="dxa"/>
          </w:tblCellMar>
        </w:tblPrEx>
        <w:trPr>
          <w:wBefore w:w="0" w:type="auto"/>
          <w:tblCellSpacing w:w="0" w:type="dxa"/>
        </w:trPr>
        <w:tc>
          <w:tcPr>
            <w:tcW w:w="0" w:type="auto"/>
            <w:noWrap w:val="0"/>
            <w:vAlign w:val="center"/>
          </w:tcPr>
          <w:p w14:paraId="7D9C4E9C">
            <w:r>
              <w:rPr>
                <w:rFonts w:hint="eastAsia"/>
              </w:rPr>
              <w:t xml:space="preserve">有效成分及其含量： </w:t>
            </w:r>
          </w:p>
          <w:p w14:paraId="5900FB15">
            <w:r>
              <w:rPr>
                <w:rFonts w:hint="eastAsia"/>
              </w:rPr>
              <w:t xml:space="preserve">    2甲4氯2%    草甘膦30%    </w:t>
            </w:r>
          </w:p>
        </w:tc>
      </w:tr>
      <w:tr w14:paraId="499357EF">
        <w:tblPrEx>
          <w:tblCellMar>
            <w:top w:w="0" w:type="dxa"/>
            <w:left w:w="0" w:type="dxa"/>
            <w:bottom w:w="0" w:type="dxa"/>
            <w:right w:w="0" w:type="dxa"/>
          </w:tblCellMar>
        </w:tblPrEx>
        <w:trPr>
          <w:wBefore w:w="0" w:type="auto"/>
          <w:tblCellSpacing w:w="0" w:type="dxa"/>
        </w:trPr>
        <w:tc>
          <w:tcPr>
            <w:tcW w:w="0" w:type="auto"/>
            <w:noWrap w:val="0"/>
            <w:vAlign w:val="center"/>
          </w:tcPr>
          <w:p w14:paraId="51A844D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BF1441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C4F73D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8FE1F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585CE9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B58F523">
                  <w:r>
                    <w:rPr>
                      <w:rStyle w:val="11"/>
                      <w:rFonts w:hint="eastAsia"/>
                    </w:rPr>
                    <w:t>施用方式</w:t>
                  </w:r>
                </w:p>
              </w:tc>
            </w:tr>
            <w:tr w14:paraId="778C58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DCAD3E">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346C1B">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A3E708">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DB73E4">
                  <w:r>
                    <w:rPr>
                      <w:rStyle w:val="11"/>
                      <w:rFonts w:hint="eastAsia"/>
                    </w:rPr>
                    <w:t>茎叶喷雾</w:t>
                  </w:r>
                </w:p>
              </w:tc>
            </w:tr>
          </w:tbl>
          <w:p w14:paraId="50BA550A">
            <w:pPr>
              <w:rPr>
                <w:rFonts w:ascii="Times New Roman" w:hAnsi="Times New Roman" w:cs="Times New Roman"/>
                <w:sz w:val="20"/>
                <w:szCs w:val="20"/>
              </w:rPr>
            </w:pPr>
          </w:p>
        </w:tc>
      </w:tr>
      <w:tr w14:paraId="093C2DD3">
        <w:tblPrEx>
          <w:tblCellMar>
            <w:top w:w="0" w:type="dxa"/>
            <w:left w:w="0" w:type="dxa"/>
            <w:bottom w:w="0" w:type="dxa"/>
            <w:right w:w="0" w:type="dxa"/>
          </w:tblCellMar>
        </w:tblPrEx>
        <w:trPr>
          <w:wBefore w:w="0" w:type="auto"/>
          <w:tblCellSpacing w:w="0" w:type="dxa"/>
        </w:trPr>
        <w:tc>
          <w:tcPr>
            <w:tcW w:w="0" w:type="auto"/>
            <w:noWrap w:val="0"/>
            <w:vAlign w:val="center"/>
          </w:tcPr>
          <w:p w14:paraId="296B0C39">
            <w:r>
              <w:rPr>
                <w:rStyle w:val="10"/>
                <w:rFonts w:hint="eastAsia"/>
              </w:rPr>
              <w:t>使用技术要求:</w:t>
            </w:r>
            <w:r>
              <w:rPr>
                <w:rFonts w:hint="eastAsia"/>
              </w:rPr>
              <w:br w:type="textWrapping"/>
            </w:r>
            <w:r>
              <w:rPr>
                <w:rStyle w:val="11"/>
                <w:rFonts w:hint="eastAsia"/>
              </w:rPr>
              <w:t>1. 在非耕地杂草旺盛生长期茎叶喷雾施药1次，应选择晴天无风天气施药。 2. 大风或预计1小时内降雨，请勿施药。 3. 禁止在田间道路、田埂、果树行间、休耕地、林场林地等农林业区域使用。</w:t>
            </w:r>
          </w:p>
        </w:tc>
      </w:tr>
      <w:tr w14:paraId="66914F4E">
        <w:tblPrEx>
          <w:tblCellMar>
            <w:top w:w="0" w:type="dxa"/>
            <w:left w:w="0" w:type="dxa"/>
            <w:bottom w:w="0" w:type="dxa"/>
            <w:right w:w="0" w:type="dxa"/>
          </w:tblCellMar>
        </w:tblPrEx>
        <w:trPr>
          <w:wBefore w:w="0" w:type="auto"/>
          <w:tblCellSpacing w:w="0" w:type="dxa"/>
        </w:trPr>
        <w:tc>
          <w:tcPr>
            <w:tcW w:w="0" w:type="auto"/>
            <w:noWrap w:val="0"/>
            <w:vAlign w:val="center"/>
          </w:tcPr>
          <w:p w14:paraId="42A222B1">
            <w:r>
              <w:rPr>
                <w:rStyle w:val="10"/>
                <w:rFonts w:hint="eastAsia"/>
              </w:rPr>
              <w:t>产品性能:</w:t>
            </w:r>
            <w:r>
              <w:rPr>
                <w:rFonts w:hint="eastAsia"/>
              </w:rPr>
              <w:br w:type="textWrapping"/>
            </w:r>
            <w:r>
              <w:rPr>
                <w:rStyle w:val="11"/>
                <w:rFonts w:hint="eastAsia"/>
              </w:rPr>
              <w:t>本品是由2甲4氯钠和草甘膦铵盐混配而成的灭生性除草剂，兼具选择性药剂和灭生性除草剂特点，内吸性强，能有效防除单子叶和双子叶、一年生和多年生杂草。</w:t>
            </w:r>
          </w:p>
        </w:tc>
      </w:tr>
      <w:tr w14:paraId="76D495D1">
        <w:tblPrEx>
          <w:tblCellMar>
            <w:top w:w="0" w:type="dxa"/>
            <w:left w:w="0" w:type="dxa"/>
            <w:bottom w:w="0" w:type="dxa"/>
            <w:right w:w="0" w:type="dxa"/>
          </w:tblCellMar>
        </w:tblPrEx>
        <w:trPr>
          <w:wBefore w:w="0" w:type="auto"/>
          <w:tblCellSpacing w:w="0" w:type="dxa"/>
        </w:trPr>
        <w:tc>
          <w:tcPr>
            <w:tcW w:w="0" w:type="auto"/>
            <w:noWrap w:val="0"/>
            <w:vAlign w:val="center"/>
          </w:tcPr>
          <w:p w14:paraId="1052C232">
            <w:r>
              <w:rPr>
                <w:rStyle w:val="10"/>
                <w:rFonts w:hint="eastAsia"/>
              </w:rPr>
              <w:t>注意事项：</w:t>
            </w:r>
            <w:r>
              <w:rPr>
                <w:rFonts w:hint="eastAsia"/>
              </w:rPr>
              <w:br w:type="textWrapping"/>
            </w:r>
            <w:r>
              <w:rPr>
                <w:rStyle w:val="11"/>
                <w:rFonts w:hint="eastAsia"/>
              </w:rPr>
              <w:t>1. 本品对眼睛有刺激性，使用时穿戴长衣、长裤、帽子、口罩、手套等防护措施。避免皮肤和眼睛接触到本品；施药期间不可吃东西和饮水，施药后应及时洗手和洗脸。2.施药后要彻底清洗喷药器械，洗涤后的废水不应污染河流等水源，未用完的药液应密封后妥善放置。用过的容器应妥善处理，不可做他用，也不可随意丢弃。3.喷雾时需定向均匀全面喷在杂草上，勿使药液漂移或接触到作物上，以免产生药害。4.药剂进入土壤后即失去活性，因此本品对后茬作物不会产生影响。5.施药后4小时内遇大雨，对药效有影响，应选择晴天施药，施药后3天内请勿割草、放牧和翻地。6.孕妇及哺乳期妇女应避免接触。7.远离水产养殖区施药，禁止在河塘等水体中清洗施药器具，蚕室及桑园附近、赤眼蜂等天敌放飞区域禁用。</w:t>
            </w:r>
          </w:p>
        </w:tc>
      </w:tr>
      <w:tr w14:paraId="11EAB6A2">
        <w:tblPrEx>
          <w:tblCellMar>
            <w:top w:w="0" w:type="dxa"/>
            <w:left w:w="0" w:type="dxa"/>
            <w:bottom w:w="0" w:type="dxa"/>
            <w:right w:w="0" w:type="dxa"/>
          </w:tblCellMar>
        </w:tblPrEx>
        <w:trPr>
          <w:wBefore w:w="0" w:type="auto"/>
          <w:tblCellSpacing w:w="0" w:type="dxa"/>
        </w:trPr>
        <w:tc>
          <w:tcPr>
            <w:tcW w:w="0" w:type="auto"/>
            <w:noWrap w:val="0"/>
            <w:vAlign w:val="center"/>
          </w:tcPr>
          <w:p w14:paraId="0637758A">
            <w:r>
              <w:rPr>
                <w:rStyle w:val="10"/>
                <w:rFonts w:hint="eastAsia"/>
              </w:rPr>
              <w:t>中毒急救措施：</w:t>
            </w:r>
            <w:r>
              <w:rPr>
                <w:rFonts w:hint="eastAsia"/>
              </w:rPr>
              <w:br w:type="textWrapping"/>
            </w:r>
            <w:r>
              <w:rPr>
                <w:rStyle w:val="11"/>
                <w:rFonts w:hint="eastAsia"/>
              </w:rPr>
              <w:t>对皮肤、眼睛有刺激作用，不慎吸入，应将病人移至空气清新处。如皮肤和眼睛接触药液时，要用大量清水冲洗，冲洗时间不小于15分钟，并请医生诊治；如有误服，应立即催吐，并携带标签及时送往医院对症治疗，本品无特殊解毒剂。</w:t>
            </w:r>
          </w:p>
        </w:tc>
      </w:tr>
      <w:tr w14:paraId="44D25015">
        <w:tblPrEx>
          <w:tblCellMar>
            <w:top w:w="0" w:type="dxa"/>
            <w:left w:w="0" w:type="dxa"/>
            <w:bottom w:w="0" w:type="dxa"/>
            <w:right w:w="0" w:type="dxa"/>
          </w:tblCellMar>
        </w:tblPrEx>
        <w:trPr>
          <w:wBefore w:w="0" w:type="auto"/>
          <w:tblCellSpacing w:w="0" w:type="dxa"/>
        </w:trPr>
        <w:tc>
          <w:tcPr>
            <w:tcW w:w="0" w:type="auto"/>
            <w:noWrap w:val="0"/>
            <w:vAlign w:val="center"/>
          </w:tcPr>
          <w:p w14:paraId="45249AC6">
            <w:r>
              <w:rPr>
                <w:rStyle w:val="10"/>
                <w:rFonts w:hint="eastAsia"/>
              </w:rPr>
              <w:t>储存和运输方法：</w:t>
            </w:r>
            <w:r>
              <w:rPr>
                <w:rFonts w:hint="eastAsia"/>
              </w:rPr>
              <w:br w:type="textWrapping"/>
            </w:r>
            <w:r>
              <w:rPr>
                <w:rStyle w:val="11"/>
                <w:rFonts w:hint="eastAsia"/>
              </w:rPr>
              <w:t>本品应贮存在干燥、阴凉、通风、防雨处，远离火源或热源。置于儿童触及无关人员触及不到之处，并加锁。勿与食品、饮料、粮食、饲料等其他商品同贮同运。</w:t>
            </w:r>
          </w:p>
        </w:tc>
      </w:tr>
      <w:tr w14:paraId="3EED86F8">
        <w:tblPrEx>
          <w:tblCellMar>
            <w:top w:w="0" w:type="dxa"/>
            <w:left w:w="0" w:type="dxa"/>
            <w:bottom w:w="0" w:type="dxa"/>
            <w:right w:w="0" w:type="dxa"/>
          </w:tblCellMar>
        </w:tblPrEx>
        <w:trPr>
          <w:wBefore w:w="0" w:type="auto"/>
          <w:tblCellSpacing w:w="0" w:type="dxa"/>
        </w:trPr>
        <w:tc>
          <w:tcPr>
            <w:tcW w:w="0" w:type="auto"/>
            <w:noWrap w:val="0"/>
            <w:vAlign w:val="center"/>
          </w:tcPr>
          <w:p w14:paraId="0A1F856B">
            <w:r>
              <w:rPr>
                <w:rStyle w:val="10"/>
                <w:rFonts w:hint="eastAsia"/>
              </w:rPr>
              <w:t>质量保证期：</w:t>
            </w:r>
            <w:r>
              <w:rPr>
                <w:rStyle w:val="11"/>
                <w:rFonts w:hint="eastAsia"/>
              </w:rPr>
              <w:t>2年</w:t>
            </w:r>
          </w:p>
        </w:tc>
      </w:tr>
      <w:tr w14:paraId="186B6BB8">
        <w:tblPrEx>
          <w:tblCellMar>
            <w:top w:w="0" w:type="dxa"/>
            <w:left w:w="0" w:type="dxa"/>
            <w:bottom w:w="0" w:type="dxa"/>
            <w:right w:w="0" w:type="dxa"/>
          </w:tblCellMar>
        </w:tblPrEx>
        <w:trPr>
          <w:wBefore w:w="0" w:type="auto"/>
          <w:tblCellSpacing w:w="0" w:type="dxa"/>
        </w:trPr>
        <w:tc>
          <w:tcPr>
            <w:tcW w:w="0" w:type="auto"/>
            <w:noWrap w:val="0"/>
            <w:vAlign w:val="center"/>
          </w:tcPr>
          <w:p w14:paraId="32652E84">
            <w:r>
              <w:rPr>
                <w:rStyle w:val="10"/>
                <w:rFonts w:hint="eastAsia"/>
              </w:rPr>
              <w:t>备注：</w:t>
            </w:r>
            <w:r>
              <w:rPr>
                <w:rFonts w:hint="eastAsia"/>
              </w:rPr>
              <w:br w:type="textWrapping"/>
            </w:r>
            <w:r>
              <w:rPr>
                <w:rStyle w:val="11"/>
                <w:rFonts w:hint="eastAsia"/>
              </w:rPr>
              <w:t>2甲4氯钠盐2.2%，草甘膦铵盐33%。</w:t>
            </w:r>
          </w:p>
        </w:tc>
      </w:tr>
    </w:tbl>
    <w:p w14:paraId="6B9F920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23D2FB0">
        <w:tblPrEx>
          <w:tblCellMar>
            <w:top w:w="0" w:type="dxa"/>
            <w:left w:w="0" w:type="dxa"/>
            <w:bottom w:w="0" w:type="dxa"/>
            <w:right w:w="0" w:type="dxa"/>
          </w:tblCellMar>
        </w:tblPrEx>
        <w:trPr>
          <w:wBefore w:w="0" w:type="auto"/>
          <w:tblCellSpacing w:w="0" w:type="dxa"/>
        </w:trPr>
        <w:tc>
          <w:tcPr>
            <w:tcW w:w="0" w:type="auto"/>
            <w:noWrap w:val="0"/>
            <w:vAlign w:val="center"/>
          </w:tcPr>
          <w:p w14:paraId="38E5BCC1">
            <w:r>
              <w:rPr>
                <w:rStyle w:val="10"/>
                <w:rFonts w:hint="eastAsia"/>
              </w:rPr>
              <w:t>登记证号：</w:t>
            </w:r>
            <w:r>
              <w:rPr>
                <w:rFonts w:hint="eastAsia"/>
              </w:rPr>
              <w:t>PD20212180</w:t>
            </w:r>
          </w:p>
        </w:tc>
      </w:tr>
      <w:tr w14:paraId="62C68651">
        <w:tblPrEx>
          <w:tblCellMar>
            <w:top w:w="0" w:type="dxa"/>
            <w:left w:w="0" w:type="dxa"/>
            <w:bottom w:w="0" w:type="dxa"/>
            <w:right w:w="0" w:type="dxa"/>
          </w:tblCellMar>
        </w:tblPrEx>
        <w:trPr>
          <w:wBefore w:w="0" w:type="auto"/>
          <w:tblCellSpacing w:w="0" w:type="dxa"/>
        </w:trPr>
        <w:tc>
          <w:tcPr>
            <w:tcW w:w="0" w:type="auto"/>
            <w:noWrap w:val="0"/>
            <w:vAlign w:val="center"/>
          </w:tcPr>
          <w:p w14:paraId="7F81334E">
            <w:r>
              <w:rPr>
                <w:rStyle w:val="10"/>
                <w:rFonts w:hint="eastAsia"/>
              </w:rPr>
              <w:t>登记证持有人：</w:t>
            </w:r>
            <w:r>
              <w:rPr>
                <w:rFonts w:hint="eastAsia"/>
              </w:rPr>
              <w:t>德州绿霸精细化工有限公司</w:t>
            </w:r>
          </w:p>
        </w:tc>
      </w:tr>
      <w:tr w14:paraId="06A5DB87">
        <w:tblPrEx>
          <w:tblCellMar>
            <w:top w:w="0" w:type="dxa"/>
            <w:left w:w="0" w:type="dxa"/>
            <w:bottom w:w="0" w:type="dxa"/>
            <w:right w:w="0" w:type="dxa"/>
          </w:tblCellMar>
        </w:tblPrEx>
        <w:trPr>
          <w:wBefore w:w="0" w:type="auto"/>
          <w:tblCellSpacing w:w="0" w:type="dxa"/>
        </w:trPr>
        <w:tc>
          <w:tcPr>
            <w:tcW w:w="0" w:type="auto"/>
            <w:noWrap w:val="0"/>
            <w:vAlign w:val="center"/>
          </w:tcPr>
          <w:p w14:paraId="6999E5F5">
            <w:r>
              <w:rPr>
                <w:rStyle w:val="10"/>
                <w:rFonts w:hint="eastAsia"/>
              </w:rPr>
              <w:t>农药名称：</w:t>
            </w:r>
            <w:r>
              <w:rPr>
                <w:rFonts w:hint="eastAsia"/>
              </w:rPr>
              <w:t>双氟·氯氟吡</w:t>
            </w:r>
          </w:p>
        </w:tc>
      </w:tr>
      <w:tr w14:paraId="41ADD68F">
        <w:tblPrEx>
          <w:tblCellMar>
            <w:top w:w="0" w:type="dxa"/>
            <w:left w:w="0" w:type="dxa"/>
            <w:bottom w:w="0" w:type="dxa"/>
            <w:right w:w="0" w:type="dxa"/>
          </w:tblCellMar>
        </w:tblPrEx>
        <w:trPr>
          <w:wBefore w:w="0" w:type="auto"/>
          <w:tblCellSpacing w:w="0" w:type="dxa"/>
        </w:trPr>
        <w:tc>
          <w:tcPr>
            <w:tcW w:w="0" w:type="auto"/>
            <w:noWrap w:val="0"/>
            <w:vAlign w:val="center"/>
          </w:tcPr>
          <w:p w14:paraId="0FCCF615">
            <w:r>
              <w:rPr>
                <w:rStyle w:val="10"/>
                <w:rFonts w:hint="eastAsia"/>
              </w:rPr>
              <w:t>剂型：</w:t>
            </w:r>
            <w:r>
              <w:rPr>
                <w:rFonts w:hint="eastAsia"/>
              </w:rPr>
              <w:t>悬乳剂</w:t>
            </w:r>
          </w:p>
        </w:tc>
      </w:tr>
      <w:tr w14:paraId="580A3390">
        <w:tblPrEx>
          <w:tblCellMar>
            <w:top w:w="0" w:type="dxa"/>
            <w:left w:w="0" w:type="dxa"/>
            <w:bottom w:w="0" w:type="dxa"/>
            <w:right w:w="0" w:type="dxa"/>
          </w:tblCellMar>
        </w:tblPrEx>
        <w:trPr>
          <w:wBefore w:w="0" w:type="auto"/>
          <w:tblCellSpacing w:w="0" w:type="dxa"/>
        </w:trPr>
        <w:tc>
          <w:tcPr>
            <w:tcW w:w="0" w:type="auto"/>
            <w:noWrap w:val="0"/>
            <w:vAlign w:val="center"/>
          </w:tcPr>
          <w:p w14:paraId="210C9513">
            <w:r>
              <w:rPr>
                <w:rStyle w:val="10"/>
                <w:rFonts w:hint="eastAsia"/>
              </w:rPr>
              <w:t>毒性及其标识：</w:t>
            </w:r>
            <w:r>
              <w:rPr>
                <w:rFonts w:hint="eastAsia"/>
              </w:rPr>
              <w:t xml:space="preserve"> </w:t>
            </w:r>
            <w:r>
              <w:rPr>
                <w:lang/>
              </w:rPr>
              <w:drawing>
                <wp:inline distT="0" distB="0" distL="114300" distR="114300">
                  <wp:extent cx="476250" cy="323850"/>
                  <wp:effectExtent l="0" t="0" r="0" b="0"/>
                  <wp:docPr id="270" name="图片 27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B6F1CB8">
        <w:tblPrEx>
          <w:tblCellMar>
            <w:top w:w="0" w:type="dxa"/>
            <w:left w:w="0" w:type="dxa"/>
            <w:bottom w:w="0" w:type="dxa"/>
            <w:right w:w="0" w:type="dxa"/>
          </w:tblCellMar>
        </w:tblPrEx>
        <w:trPr>
          <w:wBefore w:w="0" w:type="auto"/>
          <w:tblCellSpacing w:w="0" w:type="dxa"/>
        </w:trPr>
        <w:tc>
          <w:tcPr>
            <w:tcW w:w="0" w:type="auto"/>
            <w:noWrap w:val="0"/>
            <w:vAlign w:val="center"/>
          </w:tcPr>
          <w:p w14:paraId="4971192C">
            <w:r>
              <w:rPr>
                <w:rStyle w:val="10"/>
                <w:rFonts w:hint="eastAsia"/>
              </w:rPr>
              <w:t>总有效成分含量：</w:t>
            </w:r>
            <w:r>
              <w:rPr>
                <w:rFonts w:hint="eastAsia"/>
              </w:rPr>
              <w:t>22.6%</w:t>
            </w:r>
          </w:p>
        </w:tc>
      </w:tr>
      <w:tr w14:paraId="59DD86FB">
        <w:tblPrEx>
          <w:tblCellMar>
            <w:top w:w="0" w:type="dxa"/>
            <w:left w:w="0" w:type="dxa"/>
            <w:bottom w:w="0" w:type="dxa"/>
            <w:right w:w="0" w:type="dxa"/>
          </w:tblCellMar>
        </w:tblPrEx>
        <w:trPr>
          <w:wBefore w:w="0" w:type="auto"/>
          <w:tblCellSpacing w:w="0" w:type="dxa"/>
        </w:trPr>
        <w:tc>
          <w:tcPr>
            <w:tcW w:w="0" w:type="auto"/>
            <w:noWrap w:val="0"/>
            <w:vAlign w:val="center"/>
          </w:tcPr>
          <w:p w14:paraId="5C1D0B9A">
            <w:r>
              <w:rPr>
                <w:rFonts w:hint="eastAsia"/>
              </w:rPr>
              <w:t xml:space="preserve">有效成分及其含量： </w:t>
            </w:r>
          </w:p>
          <w:p w14:paraId="40F22352">
            <w:r>
              <w:rPr>
                <w:rFonts w:hint="eastAsia"/>
              </w:rPr>
              <w:t xml:space="preserve">    双氟磺草胺1%    氯氟吡氧乙酸异辛酯21.6%    </w:t>
            </w:r>
          </w:p>
        </w:tc>
      </w:tr>
      <w:tr w14:paraId="45BC1C1E">
        <w:tblPrEx>
          <w:tblCellMar>
            <w:top w:w="0" w:type="dxa"/>
            <w:left w:w="0" w:type="dxa"/>
            <w:bottom w:w="0" w:type="dxa"/>
            <w:right w:w="0" w:type="dxa"/>
          </w:tblCellMar>
        </w:tblPrEx>
        <w:trPr>
          <w:wBefore w:w="0" w:type="auto"/>
          <w:tblCellSpacing w:w="0" w:type="dxa"/>
        </w:trPr>
        <w:tc>
          <w:tcPr>
            <w:tcW w:w="0" w:type="auto"/>
            <w:noWrap w:val="0"/>
            <w:vAlign w:val="center"/>
          </w:tcPr>
          <w:p w14:paraId="6DE5E4B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D81F1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26BFF7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224CD4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3B5A1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63972CA">
                  <w:r>
                    <w:rPr>
                      <w:rStyle w:val="11"/>
                      <w:rFonts w:hint="eastAsia"/>
                    </w:rPr>
                    <w:t>施用方式</w:t>
                  </w:r>
                </w:p>
              </w:tc>
            </w:tr>
            <w:tr w14:paraId="62BEF2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499ED05">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079598">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7C2D5E">
                  <w:r>
                    <w:rPr>
                      <w:rStyle w:val="11"/>
                      <w:rFonts w:hint="eastAsia"/>
                    </w:rPr>
                    <w:t>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E537BA">
                  <w:r>
                    <w:rPr>
                      <w:rStyle w:val="11"/>
                      <w:rFonts w:hint="eastAsia"/>
                    </w:rPr>
                    <w:t>茎叶喷雾</w:t>
                  </w:r>
                </w:p>
              </w:tc>
            </w:tr>
          </w:tbl>
          <w:p w14:paraId="74B7F580">
            <w:pPr>
              <w:rPr>
                <w:rFonts w:ascii="Times New Roman" w:hAnsi="Times New Roman" w:cs="Times New Roman"/>
                <w:sz w:val="20"/>
                <w:szCs w:val="20"/>
              </w:rPr>
            </w:pPr>
          </w:p>
        </w:tc>
      </w:tr>
      <w:tr w14:paraId="2BA091C9">
        <w:tblPrEx>
          <w:tblCellMar>
            <w:top w:w="0" w:type="dxa"/>
            <w:left w:w="0" w:type="dxa"/>
            <w:bottom w:w="0" w:type="dxa"/>
            <w:right w:w="0" w:type="dxa"/>
          </w:tblCellMar>
        </w:tblPrEx>
        <w:trPr>
          <w:wBefore w:w="0" w:type="auto"/>
          <w:tblCellSpacing w:w="0" w:type="dxa"/>
        </w:trPr>
        <w:tc>
          <w:tcPr>
            <w:tcW w:w="0" w:type="auto"/>
            <w:noWrap w:val="0"/>
            <w:vAlign w:val="center"/>
          </w:tcPr>
          <w:p w14:paraId="7752F25F">
            <w:r>
              <w:rPr>
                <w:rStyle w:val="10"/>
                <w:rFonts w:hint="eastAsia"/>
              </w:rPr>
              <w:t>使用技术要求:</w:t>
            </w:r>
            <w:r>
              <w:rPr>
                <w:rFonts w:hint="eastAsia"/>
              </w:rPr>
              <w:br w:type="textWrapping"/>
            </w:r>
            <w:r>
              <w:rPr>
                <w:rStyle w:val="11"/>
                <w:rFonts w:hint="eastAsia"/>
              </w:rPr>
              <w:t>本品在小麦3-5叶期，阔叶杂草2-5叶期茎叶喷雾施药一次。用水量15-30公升/亩，茎叶均匀喷雾。每季施用1次。</w:t>
            </w:r>
          </w:p>
        </w:tc>
      </w:tr>
      <w:tr w14:paraId="50E53531">
        <w:tblPrEx>
          <w:tblCellMar>
            <w:top w:w="0" w:type="dxa"/>
            <w:left w:w="0" w:type="dxa"/>
            <w:bottom w:w="0" w:type="dxa"/>
            <w:right w:w="0" w:type="dxa"/>
          </w:tblCellMar>
        </w:tblPrEx>
        <w:trPr>
          <w:wBefore w:w="0" w:type="auto"/>
          <w:tblCellSpacing w:w="0" w:type="dxa"/>
        </w:trPr>
        <w:tc>
          <w:tcPr>
            <w:tcW w:w="0" w:type="auto"/>
            <w:noWrap w:val="0"/>
            <w:vAlign w:val="center"/>
          </w:tcPr>
          <w:p w14:paraId="3B9A4692">
            <w:r>
              <w:rPr>
                <w:rStyle w:val="10"/>
                <w:rFonts w:hint="eastAsia"/>
              </w:rPr>
              <w:t>产品性能:</w:t>
            </w:r>
            <w:r>
              <w:rPr>
                <w:rFonts w:hint="eastAsia"/>
              </w:rPr>
              <w:br w:type="textWrapping"/>
            </w:r>
            <w:r>
              <w:rPr>
                <w:rStyle w:val="11"/>
                <w:rFonts w:hint="eastAsia"/>
              </w:rPr>
              <w:t>本品为内吸传导型麦田苗后阔叶除草剂。杀草速度较快；杀草谱较广，可防除麦田猪殃殃、繁缕、荠菜、大巢菜、泽漆、田旋花、卷茎蓼等多种阔叶杂草；用药适期宽，冬前和早春均可使用；在低温下用药仍有较好防效；药剂在土壤中降解快，推荐剂量下对当茬和后茬作物安全。</w:t>
            </w:r>
          </w:p>
        </w:tc>
      </w:tr>
      <w:tr w14:paraId="612DDD53">
        <w:tblPrEx>
          <w:tblCellMar>
            <w:top w:w="0" w:type="dxa"/>
            <w:left w:w="0" w:type="dxa"/>
            <w:bottom w:w="0" w:type="dxa"/>
            <w:right w:w="0" w:type="dxa"/>
          </w:tblCellMar>
        </w:tblPrEx>
        <w:trPr>
          <w:wBefore w:w="0" w:type="auto"/>
          <w:tblCellSpacing w:w="0" w:type="dxa"/>
        </w:trPr>
        <w:tc>
          <w:tcPr>
            <w:tcW w:w="0" w:type="auto"/>
            <w:noWrap w:val="0"/>
            <w:vAlign w:val="center"/>
          </w:tcPr>
          <w:p w14:paraId="3A75F5BF">
            <w:r>
              <w:rPr>
                <w:rStyle w:val="10"/>
                <w:rFonts w:hint="eastAsia"/>
              </w:rPr>
              <w:t>注意事项：</w:t>
            </w:r>
            <w:r>
              <w:rPr>
                <w:rFonts w:hint="eastAsia"/>
              </w:rPr>
              <w:br w:type="textWrapping"/>
            </w:r>
            <w:r>
              <w:rPr>
                <w:rStyle w:val="11"/>
                <w:rFonts w:hint="eastAsia"/>
              </w:rPr>
              <w:t>1.本品不可与呈碱性的农药等物质混合使用。 2.使用本品时务必穿长衣、长裤和鞋，建议佩戴防护眼镜或防护面罩，施药期间不可吃东西和饮水，施药后应及时洗手和洗脸。 3.本品对蜜蜂、鱼类等水生生物、家蚕、鸟类有毒，施药期间应避免对周围蜂群的影响，蜜源作物花期、蚕室和桑园附近、鸟类保护区、赤眼蜂等天敌放飞区禁用。远离水产养殖区施药，禁止在河塘等水体中清洗施药器具。 4.孕妇和哺乳期妇女应避免接触本品。 5.用过的容器应妥善处理，不可做他用，也不可随意丢弃。</w:t>
            </w:r>
          </w:p>
        </w:tc>
      </w:tr>
      <w:tr w14:paraId="451ED849">
        <w:tblPrEx>
          <w:tblCellMar>
            <w:top w:w="0" w:type="dxa"/>
            <w:left w:w="0" w:type="dxa"/>
            <w:bottom w:w="0" w:type="dxa"/>
            <w:right w:w="0" w:type="dxa"/>
          </w:tblCellMar>
        </w:tblPrEx>
        <w:trPr>
          <w:wBefore w:w="0" w:type="auto"/>
          <w:tblCellSpacing w:w="0" w:type="dxa"/>
        </w:trPr>
        <w:tc>
          <w:tcPr>
            <w:tcW w:w="0" w:type="auto"/>
            <w:noWrap w:val="0"/>
            <w:vAlign w:val="center"/>
          </w:tcPr>
          <w:p w14:paraId="26F27267">
            <w:r>
              <w:rPr>
                <w:rStyle w:val="10"/>
                <w:rFonts w:hint="eastAsia"/>
              </w:rPr>
              <w:t>中毒急救措施：</w:t>
            </w:r>
            <w:r>
              <w:rPr>
                <w:rFonts w:hint="eastAsia"/>
              </w:rPr>
              <w:br w:type="textWrapping"/>
            </w:r>
            <w:r>
              <w:rPr>
                <w:rStyle w:val="11"/>
                <w:rFonts w:hint="eastAsia"/>
              </w:rPr>
              <w:t xml:space="preserve">该产品对眼睛、皮肤有刺激性，使用时避免药液接触眼睛、皮肤。 不慎吸入：应立即将病人移至空气流通处。 眼睛溅药：用大量清水清洗15分钟，如仍有刺激感，立即就医。 皮肤沾药：用肥皂水彻底清洗，如仍有刺激感，立即就医。 误服：立即携此标签就医，对症治疗。本品无特定解毒剂，请对症治疗。 </w:t>
            </w:r>
          </w:p>
        </w:tc>
      </w:tr>
      <w:tr w14:paraId="326CAB5A">
        <w:tblPrEx>
          <w:tblCellMar>
            <w:top w:w="0" w:type="dxa"/>
            <w:left w:w="0" w:type="dxa"/>
            <w:bottom w:w="0" w:type="dxa"/>
            <w:right w:w="0" w:type="dxa"/>
          </w:tblCellMar>
        </w:tblPrEx>
        <w:trPr>
          <w:wBefore w:w="0" w:type="auto"/>
          <w:tblCellSpacing w:w="0" w:type="dxa"/>
        </w:trPr>
        <w:tc>
          <w:tcPr>
            <w:tcW w:w="0" w:type="auto"/>
            <w:noWrap w:val="0"/>
            <w:vAlign w:val="center"/>
          </w:tcPr>
          <w:p w14:paraId="7A93F4CA">
            <w:r>
              <w:rPr>
                <w:rStyle w:val="10"/>
                <w:rFonts w:hint="eastAsia"/>
              </w:rPr>
              <w:t>储存和运输方法：</w:t>
            </w:r>
            <w:r>
              <w:rPr>
                <w:rFonts w:hint="eastAsia"/>
              </w:rPr>
              <w:br w:type="textWrapping"/>
            </w:r>
            <w:r>
              <w:rPr>
                <w:rStyle w:val="11"/>
                <w:rFonts w:hint="eastAsia"/>
              </w:rPr>
              <w:t>本品应贮存在阴凉、干燥、通风、防雨处。远离火源或热源。置于儿童、无关人员触及不到之处，并加锁。勿与食品、饮料、饲料、粮食等同贮同运。运输时轻拿轻放，严禁倒置。</w:t>
            </w:r>
          </w:p>
        </w:tc>
      </w:tr>
      <w:tr w14:paraId="3B727EA0">
        <w:tblPrEx>
          <w:tblCellMar>
            <w:top w:w="0" w:type="dxa"/>
            <w:left w:w="0" w:type="dxa"/>
            <w:bottom w:w="0" w:type="dxa"/>
            <w:right w:w="0" w:type="dxa"/>
          </w:tblCellMar>
        </w:tblPrEx>
        <w:trPr>
          <w:wBefore w:w="0" w:type="auto"/>
          <w:tblCellSpacing w:w="0" w:type="dxa"/>
        </w:trPr>
        <w:tc>
          <w:tcPr>
            <w:tcW w:w="0" w:type="auto"/>
            <w:noWrap w:val="0"/>
            <w:vAlign w:val="center"/>
          </w:tcPr>
          <w:p w14:paraId="1D274CB1">
            <w:r>
              <w:rPr>
                <w:rStyle w:val="10"/>
                <w:rFonts w:hint="eastAsia"/>
              </w:rPr>
              <w:t>质量保证期：</w:t>
            </w:r>
            <w:r>
              <w:rPr>
                <w:rStyle w:val="11"/>
                <w:rFonts w:hint="eastAsia"/>
              </w:rPr>
              <w:t>2年</w:t>
            </w:r>
          </w:p>
        </w:tc>
      </w:tr>
      <w:tr w14:paraId="38A009D6">
        <w:tblPrEx>
          <w:tblCellMar>
            <w:top w:w="0" w:type="dxa"/>
            <w:left w:w="0" w:type="dxa"/>
            <w:bottom w:w="0" w:type="dxa"/>
            <w:right w:w="0" w:type="dxa"/>
          </w:tblCellMar>
        </w:tblPrEx>
        <w:trPr>
          <w:wBefore w:w="0" w:type="auto"/>
          <w:tblCellSpacing w:w="0" w:type="dxa"/>
        </w:trPr>
        <w:tc>
          <w:tcPr>
            <w:tcW w:w="0" w:type="auto"/>
            <w:noWrap w:val="0"/>
            <w:vAlign w:val="center"/>
          </w:tcPr>
          <w:p w14:paraId="7A2CBE74">
            <w:r>
              <w:rPr>
                <w:rStyle w:val="10"/>
                <w:rFonts w:hint="eastAsia"/>
              </w:rPr>
              <w:t>备注：</w:t>
            </w:r>
          </w:p>
        </w:tc>
      </w:tr>
    </w:tbl>
    <w:p w14:paraId="621BAD2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68F6A34">
        <w:tblPrEx>
          <w:tblCellMar>
            <w:top w:w="0" w:type="dxa"/>
            <w:left w:w="0" w:type="dxa"/>
            <w:bottom w:w="0" w:type="dxa"/>
            <w:right w:w="0" w:type="dxa"/>
          </w:tblCellMar>
        </w:tblPrEx>
        <w:trPr>
          <w:wBefore w:w="0" w:type="auto"/>
          <w:tblCellSpacing w:w="0" w:type="dxa"/>
        </w:trPr>
        <w:tc>
          <w:tcPr>
            <w:tcW w:w="0" w:type="auto"/>
            <w:noWrap w:val="0"/>
            <w:vAlign w:val="center"/>
          </w:tcPr>
          <w:p w14:paraId="15167FA1">
            <w:r>
              <w:rPr>
                <w:rStyle w:val="10"/>
                <w:rFonts w:hint="eastAsia"/>
              </w:rPr>
              <w:t>登记证号：</w:t>
            </w:r>
            <w:r>
              <w:rPr>
                <w:rFonts w:hint="eastAsia"/>
              </w:rPr>
              <w:t>PD20212012</w:t>
            </w:r>
          </w:p>
        </w:tc>
      </w:tr>
      <w:tr w14:paraId="39DF1D68">
        <w:tblPrEx>
          <w:tblCellMar>
            <w:top w:w="0" w:type="dxa"/>
            <w:left w:w="0" w:type="dxa"/>
            <w:bottom w:w="0" w:type="dxa"/>
            <w:right w:w="0" w:type="dxa"/>
          </w:tblCellMar>
        </w:tblPrEx>
        <w:trPr>
          <w:wBefore w:w="0" w:type="auto"/>
          <w:tblCellSpacing w:w="0" w:type="dxa"/>
        </w:trPr>
        <w:tc>
          <w:tcPr>
            <w:tcW w:w="0" w:type="auto"/>
            <w:noWrap w:val="0"/>
            <w:vAlign w:val="center"/>
          </w:tcPr>
          <w:p w14:paraId="5082D28D">
            <w:r>
              <w:rPr>
                <w:rStyle w:val="10"/>
                <w:rFonts w:hint="eastAsia"/>
              </w:rPr>
              <w:t>登记证持有人：</w:t>
            </w:r>
            <w:r>
              <w:rPr>
                <w:rFonts w:hint="eastAsia"/>
              </w:rPr>
              <w:t>河南恒信农化有限公司</w:t>
            </w:r>
          </w:p>
        </w:tc>
      </w:tr>
      <w:tr w14:paraId="4501A92C">
        <w:tblPrEx>
          <w:tblCellMar>
            <w:top w:w="0" w:type="dxa"/>
            <w:left w:w="0" w:type="dxa"/>
            <w:bottom w:w="0" w:type="dxa"/>
            <w:right w:w="0" w:type="dxa"/>
          </w:tblCellMar>
        </w:tblPrEx>
        <w:trPr>
          <w:wBefore w:w="0" w:type="auto"/>
          <w:tblCellSpacing w:w="0" w:type="dxa"/>
        </w:trPr>
        <w:tc>
          <w:tcPr>
            <w:tcW w:w="0" w:type="auto"/>
            <w:noWrap w:val="0"/>
            <w:vAlign w:val="center"/>
          </w:tcPr>
          <w:p w14:paraId="61ADD5F0">
            <w:r>
              <w:rPr>
                <w:rStyle w:val="10"/>
                <w:rFonts w:hint="eastAsia"/>
              </w:rPr>
              <w:t>农药名称：</w:t>
            </w:r>
            <w:r>
              <w:rPr>
                <w:rFonts w:hint="eastAsia"/>
              </w:rPr>
              <w:t>寡糖·噻唑膦</w:t>
            </w:r>
          </w:p>
        </w:tc>
      </w:tr>
      <w:tr w14:paraId="0CBFD200">
        <w:tblPrEx>
          <w:tblCellMar>
            <w:top w:w="0" w:type="dxa"/>
            <w:left w:w="0" w:type="dxa"/>
            <w:bottom w:w="0" w:type="dxa"/>
            <w:right w:w="0" w:type="dxa"/>
          </w:tblCellMar>
        </w:tblPrEx>
        <w:trPr>
          <w:wBefore w:w="0" w:type="auto"/>
          <w:tblCellSpacing w:w="0" w:type="dxa"/>
        </w:trPr>
        <w:tc>
          <w:tcPr>
            <w:tcW w:w="0" w:type="auto"/>
            <w:noWrap w:val="0"/>
            <w:vAlign w:val="center"/>
          </w:tcPr>
          <w:p w14:paraId="4ED0A89D">
            <w:r>
              <w:rPr>
                <w:rStyle w:val="10"/>
                <w:rFonts w:hint="eastAsia"/>
              </w:rPr>
              <w:t>剂型：</w:t>
            </w:r>
            <w:r>
              <w:rPr>
                <w:rFonts w:hint="eastAsia"/>
              </w:rPr>
              <w:t>水乳剂</w:t>
            </w:r>
          </w:p>
        </w:tc>
      </w:tr>
      <w:tr w14:paraId="7AF71115">
        <w:tblPrEx>
          <w:tblCellMar>
            <w:top w:w="0" w:type="dxa"/>
            <w:left w:w="0" w:type="dxa"/>
            <w:bottom w:w="0" w:type="dxa"/>
            <w:right w:w="0" w:type="dxa"/>
          </w:tblCellMar>
        </w:tblPrEx>
        <w:trPr>
          <w:wBefore w:w="0" w:type="auto"/>
          <w:tblCellSpacing w:w="0" w:type="dxa"/>
        </w:trPr>
        <w:tc>
          <w:tcPr>
            <w:tcW w:w="0" w:type="auto"/>
            <w:noWrap w:val="0"/>
            <w:vAlign w:val="center"/>
          </w:tcPr>
          <w:p w14:paraId="1BF6D303">
            <w:r>
              <w:rPr>
                <w:rStyle w:val="10"/>
                <w:rFonts w:hint="eastAsia"/>
              </w:rPr>
              <w:t>毒性及其标识：</w:t>
            </w:r>
            <w:r>
              <w:rPr>
                <w:rFonts w:hint="eastAsia"/>
              </w:rPr>
              <w:t xml:space="preserve"> </w:t>
            </w:r>
            <w:r>
              <w:rPr>
                <w:lang/>
              </w:rPr>
              <w:drawing>
                <wp:inline distT="0" distB="0" distL="114300" distR="114300">
                  <wp:extent cx="476250" cy="323850"/>
                  <wp:effectExtent l="0" t="0" r="0" b="0"/>
                  <wp:docPr id="271" name="图片 27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97B2D74">
        <w:tblPrEx>
          <w:tblCellMar>
            <w:top w:w="0" w:type="dxa"/>
            <w:left w:w="0" w:type="dxa"/>
            <w:bottom w:w="0" w:type="dxa"/>
            <w:right w:w="0" w:type="dxa"/>
          </w:tblCellMar>
        </w:tblPrEx>
        <w:trPr>
          <w:wBefore w:w="0" w:type="auto"/>
          <w:tblCellSpacing w:w="0" w:type="dxa"/>
        </w:trPr>
        <w:tc>
          <w:tcPr>
            <w:tcW w:w="0" w:type="auto"/>
            <w:noWrap w:val="0"/>
            <w:vAlign w:val="center"/>
          </w:tcPr>
          <w:p w14:paraId="4824B847">
            <w:r>
              <w:rPr>
                <w:rStyle w:val="10"/>
                <w:rFonts w:hint="eastAsia"/>
              </w:rPr>
              <w:t>总有效成分含量：</w:t>
            </w:r>
            <w:r>
              <w:rPr>
                <w:rFonts w:hint="eastAsia"/>
              </w:rPr>
              <w:t>9%</w:t>
            </w:r>
          </w:p>
        </w:tc>
      </w:tr>
      <w:tr w14:paraId="466D183C">
        <w:tblPrEx>
          <w:tblCellMar>
            <w:top w:w="0" w:type="dxa"/>
            <w:left w:w="0" w:type="dxa"/>
            <w:bottom w:w="0" w:type="dxa"/>
            <w:right w:w="0" w:type="dxa"/>
          </w:tblCellMar>
        </w:tblPrEx>
        <w:trPr>
          <w:wBefore w:w="0" w:type="auto"/>
          <w:tblCellSpacing w:w="0" w:type="dxa"/>
        </w:trPr>
        <w:tc>
          <w:tcPr>
            <w:tcW w:w="0" w:type="auto"/>
            <w:noWrap w:val="0"/>
            <w:vAlign w:val="center"/>
          </w:tcPr>
          <w:p w14:paraId="6226CC06">
            <w:r>
              <w:rPr>
                <w:rFonts w:hint="eastAsia"/>
              </w:rPr>
              <w:t xml:space="preserve">有效成分及其含量： </w:t>
            </w:r>
          </w:p>
          <w:p w14:paraId="65AA78D3">
            <w:r>
              <w:rPr>
                <w:rFonts w:hint="eastAsia"/>
              </w:rPr>
              <w:t xml:space="preserve">    噻唑膦7.5%    氨基寡糖素1.5%    </w:t>
            </w:r>
          </w:p>
        </w:tc>
      </w:tr>
      <w:tr w14:paraId="51C639C3">
        <w:tblPrEx>
          <w:tblCellMar>
            <w:top w:w="0" w:type="dxa"/>
            <w:left w:w="0" w:type="dxa"/>
            <w:bottom w:w="0" w:type="dxa"/>
            <w:right w:w="0" w:type="dxa"/>
          </w:tblCellMar>
        </w:tblPrEx>
        <w:trPr>
          <w:wBefore w:w="0" w:type="auto"/>
          <w:tblCellSpacing w:w="0" w:type="dxa"/>
        </w:trPr>
        <w:tc>
          <w:tcPr>
            <w:tcW w:w="0" w:type="auto"/>
            <w:noWrap w:val="0"/>
            <w:vAlign w:val="center"/>
          </w:tcPr>
          <w:p w14:paraId="77A8571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D33F8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0975EE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CE48D3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D9196D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93877E6">
                  <w:r>
                    <w:rPr>
                      <w:rStyle w:val="11"/>
                      <w:rFonts w:hint="eastAsia"/>
                    </w:rPr>
                    <w:t>施用方式</w:t>
                  </w:r>
                </w:p>
              </w:tc>
            </w:tr>
            <w:tr w14:paraId="4A28F8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9368ACE">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77702B">
                  <w:r>
                    <w:rPr>
                      <w:rStyle w:val="11"/>
                      <w:rFonts w:hint="eastAsia"/>
                    </w:rPr>
                    <w:t>根结线虫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4880DA">
                  <w:r>
                    <w:rPr>
                      <w:rStyle w:val="11"/>
                      <w:rFonts w:hint="eastAsia"/>
                    </w:rPr>
                    <w:t>500-1000毫升/亩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04E103">
                  <w:r>
                    <w:rPr>
                      <w:rStyle w:val="11"/>
                      <w:rFonts w:hint="eastAsia"/>
                    </w:rPr>
                    <w:t>灌根</w:t>
                  </w:r>
                </w:p>
              </w:tc>
            </w:tr>
          </w:tbl>
          <w:p w14:paraId="7398EBF1">
            <w:pPr>
              <w:rPr>
                <w:rFonts w:ascii="Times New Roman" w:hAnsi="Times New Roman" w:cs="Times New Roman"/>
                <w:sz w:val="20"/>
                <w:szCs w:val="20"/>
              </w:rPr>
            </w:pPr>
          </w:p>
        </w:tc>
      </w:tr>
      <w:tr w14:paraId="28CE1710">
        <w:tblPrEx>
          <w:tblCellMar>
            <w:top w:w="0" w:type="dxa"/>
            <w:left w:w="0" w:type="dxa"/>
            <w:bottom w:w="0" w:type="dxa"/>
            <w:right w:w="0" w:type="dxa"/>
          </w:tblCellMar>
        </w:tblPrEx>
        <w:trPr>
          <w:wBefore w:w="0" w:type="auto"/>
          <w:tblCellSpacing w:w="0" w:type="dxa"/>
        </w:trPr>
        <w:tc>
          <w:tcPr>
            <w:tcW w:w="0" w:type="auto"/>
            <w:noWrap w:val="0"/>
            <w:vAlign w:val="center"/>
          </w:tcPr>
          <w:p w14:paraId="12299E0B">
            <w:r>
              <w:rPr>
                <w:rStyle w:val="10"/>
                <w:rFonts w:hint="eastAsia"/>
              </w:rPr>
              <w:t>使用技术要求:</w:t>
            </w:r>
            <w:r>
              <w:rPr>
                <w:rFonts w:hint="eastAsia"/>
              </w:rPr>
              <w:br w:type="textWrapping"/>
            </w:r>
            <w:r>
              <w:rPr>
                <w:rStyle w:val="11"/>
                <w:rFonts w:hint="eastAsia"/>
              </w:rPr>
              <w:t>1. 本品在黄瓜移栽成活后灌根使用。 2. 预计2小时内降雨请勿施药。 3. 每季作物最多使用1次。</w:t>
            </w:r>
          </w:p>
        </w:tc>
      </w:tr>
      <w:tr w14:paraId="091C9E67">
        <w:tblPrEx>
          <w:tblCellMar>
            <w:top w:w="0" w:type="dxa"/>
            <w:left w:w="0" w:type="dxa"/>
            <w:bottom w:w="0" w:type="dxa"/>
            <w:right w:w="0" w:type="dxa"/>
          </w:tblCellMar>
        </w:tblPrEx>
        <w:trPr>
          <w:wBefore w:w="0" w:type="auto"/>
          <w:tblCellSpacing w:w="0" w:type="dxa"/>
        </w:trPr>
        <w:tc>
          <w:tcPr>
            <w:tcW w:w="0" w:type="auto"/>
            <w:noWrap w:val="0"/>
            <w:vAlign w:val="center"/>
          </w:tcPr>
          <w:p w14:paraId="4D44975A">
            <w:r>
              <w:rPr>
                <w:rStyle w:val="10"/>
                <w:rFonts w:hint="eastAsia"/>
              </w:rPr>
              <w:t>产品性能:</w:t>
            </w:r>
            <w:r>
              <w:rPr>
                <w:rFonts w:hint="eastAsia"/>
              </w:rPr>
              <w:br w:type="textWrapping"/>
            </w:r>
            <w:r>
              <w:rPr>
                <w:rStyle w:val="11"/>
                <w:rFonts w:hint="eastAsia"/>
              </w:rPr>
              <w:t xml:space="preserve">氨基寡糖素为植物诱抗剂，在植物体内作为激发因子诱导植物对病害产生抗病性而起作用，施用后能提高作物自身的免疫力和防卫反应，促根壮苗，增强作物的抗逆性，促进植物生长发育，改善品质，提高产量。噻唑膦为触杀性和内吸传导型杀线虫剂，用低剂量就能阻碍线虫的活动，防止线虫对植物根部的侵入。 </w:t>
            </w:r>
          </w:p>
        </w:tc>
      </w:tr>
      <w:tr w14:paraId="1BDBF8BC">
        <w:tblPrEx>
          <w:tblCellMar>
            <w:top w:w="0" w:type="dxa"/>
            <w:left w:w="0" w:type="dxa"/>
            <w:bottom w:w="0" w:type="dxa"/>
            <w:right w:w="0" w:type="dxa"/>
          </w:tblCellMar>
        </w:tblPrEx>
        <w:trPr>
          <w:wBefore w:w="0" w:type="auto"/>
          <w:tblCellSpacing w:w="0" w:type="dxa"/>
        </w:trPr>
        <w:tc>
          <w:tcPr>
            <w:tcW w:w="0" w:type="auto"/>
            <w:noWrap w:val="0"/>
            <w:vAlign w:val="center"/>
          </w:tcPr>
          <w:p w14:paraId="3417B953">
            <w:r>
              <w:rPr>
                <w:rStyle w:val="10"/>
                <w:rFonts w:hint="eastAsia"/>
              </w:rPr>
              <w:t>注意事项：</w:t>
            </w:r>
            <w:r>
              <w:rPr>
                <w:rFonts w:hint="eastAsia"/>
              </w:rPr>
              <w:br w:type="textWrapping"/>
            </w:r>
            <w:r>
              <w:rPr>
                <w:rStyle w:val="11"/>
                <w:rFonts w:hint="eastAsia"/>
              </w:rPr>
              <w:t>1. 本品对蜜蜂、鱼类等水生生物、家蚕有毒，施药期间应避免对周围蜂群的影响、周围开花植物花期禁用，鸟类保护区附近禁用远离水产养殖区、河塘等水体附近施药，禁止在河塘等水体中清洗施药器具。2. 本品对眼睛有刺激性，使用时避免接触眼睛，穿戴长衣、长裤、帽子、口罩、手套等防护措施，避免皮肤接触及口鼻吸入。使用中不可吸烟、饮水及进食，使用后及时清洗手、脸等暴露部位皮肤并更换衣物。3. 施药后禁止在河塘等水体中清洗施药器具。用过的容器应妥善处理，不可作他用，也不可随意丢弃。4. 使用前请仔细阅读标签内容。使用方法不当，超量使用或土壤水份过多时容易引起药害，请按推荐剂量正确使用。5. 避免孕妇及哺乳期妇女接触。6.农药废弃物及时交回农药经营者。6. 避免与氧化剂接触。</w:t>
            </w:r>
          </w:p>
        </w:tc>
      </w:tr>
      <w:tr w14:paraId="2A93E785">
        <w:tblPrEx>
          <w:tblCellMar>
            <w:top w:w="0" w:type="dxa"/>
            <w:left w:w="0" w:type="dxa"/>
            <w:bottom w:w="0" w:type="dxa"/>
            <w:right w:w="0" w:type="dxa"/>
          </w:tblCellMar>
        </w:tblPrEx>
        <w:trPr>
          <w:wBefore w:w="0" w:type="auto"/>
          <w:tblCellSpacing w:w="0" w:type="dxa"/>
        </w:trPr>
        <w:tc>
          <w:tcPr>
            <w:tcW w:w="0" w:type="auto"/>
            <w:noWrap w:val="0"/>
            <w:vAlign w:val="center"/>
          </w:tcPr>
          <w:p w14:paraId="6EBDD942">
            <w:r>
              <w:rPr>
                <w:rStyle w:val="10"/>
                <w:rFonts w:hint="eastAsia"/>
              </w:rPr>
              <w:t>中毒急救措施：</w:t>
            </w:r>
            <w:r>
              <w:rPr>
                <w:rFonts w:hint="eastAsia"/>
              </w:rPr>
              <w:br w:type="textWrapping"/>
            </w:r>
            <w:r>
              <w:rPr>
                <w:rStyle w:val="11"/>
                <w:rFonts w:hint="eastAsia"/>
              </w:rPr>
              <w:t xml:space="preserve">中毒症状：本品对眼睛有刺激作用。 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用清水充分漱口后，立即携带标签到医院对症治疗。 </w:t>
            </w:r>
          </w:p>
        </w:tc>
      </w:tr>
      <w:tr w14:paraId="59EF76D0">
        <w:tblPrEx>
          <w:tblCellMar>
            <w:top w:w="0" w:type="dxa"/>
            <w:left w:w="0" w:type="dxa"/>
            <w:bottom w:w="0" w:type="dxa"/>
            <w:right w:w="0" w:type="dxa"/>
          </w:tblCellMar>
        </w:tblPrEx>
        <w:trPr>
          <w:wBefore w:w="0" w:type="auto"/>
          <w:tblCellSpacing w:w="0" w:type="dxa"/>
        </w:trPr>
        <w:tc>
          <w:tcPr>
            <w:tcW w:w="0" w:type="auto"/>
            <w:noWrap w:val="0"/>
            <w:vAlign w:val="center"/>
          </w:tcPr>
          <w:p w14:paraId="6742A079">
            <w:r>
              <w:rPr>
                <w:rStyle w:val="10"/>
                <w:rFonts w:hint="eastAsia"/>
              </w:rPr>
              <w:t>储存和运输方法：</w:t>
            </w:r>
            <w:r>
              <w:rPr>
                <w:rFonts w:hint="eastAsia"/>
              </w:rPr>
              <w:br w:type="textWrapping"/>
            </w:r>
            <w:r>
              <w:rPr>
                <w:rStyle w:val="11"/>
                <w:rFonts w:hint="eastAsia"/>
              </w:rPr>
              <w:t>本品应贮存在干燥、通风、阴凉、防雨处，远离火源或热源；本品应置于儿童、无关人员及动物接触不到的地方，并加锁保存；勿与食品、饮料、饲料、粮食等其他商品同贮同运；运输时应注意避光、防高温、雨淋。</w:t>
            </w:r>
          </w:p>
        </w:tc>
      </w:tr>
      <w:tr w14:paraId="76C1D556">
        <w:tblPrEx>
          <w:tblCellMar>
            <w:top w:w="0" w:type="dxa"/>
            <w:left w:w="0" w:type="dxa"/>
            <w:bottom w:w="0" w:type="dxa"/>
            <w:right w:w="0" w:type="dxa"/>
          </w:tblCellMar>
        </w:tblPrEx>
        <w:trPr>
          <w:wBefore w:w="0" w:type="auto"/>
          <w:tblCellSpacing w:w="0" w:type="dxa"/>
        </w:trPr>
        <w:tc>
          <w:tcPr>
            <w:tcW w:w="0" w:type="auto"/>
            <w:noWrap w:val="0"/>
            <w:vAlign w:val="center"/>
          </w:tcPr>
          <w:p w14:paraId="07C5DE4B">
            <w:r>
              <w:rPr>
                <w:rStyle w:val="10"/>
                <w:rFonts w:hint="eastAsia"/>
              </w:rPr>
              <w:t>质量保证期：</w:t>
            </w:r>
            <w:r>
              <w:rPr>
                <w:rStyle w:val="11"/>
                <w:rFonts w:hint="eastAsia"/>
              </w:rPr>
              <w:t>2年</w:t>
            </w:r>
          </w:p>
        </w:tc>
      </w:tr>
      <w:tr w14:paraId="7CDA08CE">
        <w:tblPrEx>
          <w:tblCellMar>
            <w:top w:w="0" w:type="dxa"/>
            <w:left w:w="0" w:type="dxa"/>
            <w:bottom w:w="0" w:type="dxa"/>
            <w:right w:w="0" w:type="dxa"/>
          </w:tblCellMar>
        </w:tblPrEx>
        <w:trPr>
          <w:wBefore w:w="0" w:type="auto"/>
          <w:tblCellSpacing w:w="0" w:type="dxa"/>
        </w:trPr>
        <w:tc>
          <w:tcPr>
            <w:tcW w:w="0" w:type="auto"/>
            <w:noWrap w:val="0"/>
            <w:vAlign w:val="center"/>
          </w:tcPr>
          <w:p w14:paraId="1B23D49A">
            <w:r>
              <w:rPr>
                <w:rStyle w:val="10"/>
                <w:rFonts w:hint="eastAsia"/>
              </w:rPr>
              <w:t>备注：</w:t>
            </w:r>
          </w:p>
        </w:tc>
      </w:tr>
    </w:tbl>
    <w:p w14:paraId="16F6B2D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FCA61C9">
        <w:tblPrEx>
          <w:tblCellMar>
            <w:top w:w="0" w:type="dxa"/>
            <w:left w:w="0" w:type="dxa"/>
            <w:bottom w:w="0" w:type="dxa"/>
            <w:right w:w="0" w:type="dxa"/>
          </w:tblCellMar>
        </w:tblPrEx>
        <w:trPr>
          <w:wBefore w:w="0" w:type="auto"/>
          <w:tblCellSpacing w:w="0" w:type="dxa"/>
        </w:trPr>
        <w:tc>
          <w:tcPr>
            <w:tcW w:w="0" w:type="auto"/>
            <w:noWrap w:val="0"/>
            <w:vAlign w:val="center"/>
          </w:tcPr>
          <w:p w14:paraId="11D7D15C">
            <w:r>
              <w:rPr>
                <w:rStyle w:val="10"/>
                <w:rFonts w:hint="eastAsia"/>
              </w:rPr>
              <w:t>登记证号：</w:t>
            </w:r>
            <w:r>
              <w:rPr>
                <w:rFonts w:hint="eastAsia"/>
              </w:rPr>
              <w:t>PD20211862</w:t>
            </w:r>
          </w:p>
        </w:tc>
      </w:tr>
      <w:tr w14:paraId="6A527A8A">
        <w:tblPrEx>
          <w:tblCellMar>
            <w:top w:w="0" w:type="dxa"/>
            <w:left w:w="0" w:type="dxa"/>
            <w:bottom w:w="0" w:type="dxa"/>
            <w:right w:w="0" w:type="dxa"/>
          </w:tblCellMar>
        </w:tblPrEx>
        <w:trPr>
          <w:wBefore w:w="0" w:type="auto"/>
          <w:tblCellSpacing w:w="0" w:type="dxa"/>
        </w:trPr>
        <w:tc>
          <w:tcPr>
            <w:tcW w:w="0" w:type="auto"/>
            <w:noWrap w:val="0"/>
            <w:vAlign w:val="center"/>
          </w:tcPr>
          <w:p w14:paraId="36F4DB31">
            <w:r>
              <w:rPr>
                <w:rStyle w:val="10"/>
                <w:rFonts w:hint="eastAsia"/>
              </w:rPr>
              <w:t>登记证持有人：</w:t>
            </w:r>
            <w:r>
              <w:rPr>
                <w:rFonts w:hint="eastAsia"/>
              </w:rPr>
              <w:t>陕西康禾立丰生物科技药业有限公司</w:t>
            </w:r>
          </w:p>
        </w:tc>
      </w:tr>
      <w:tr w14:paraId="60EFE328">
        <w:tblPrEx>
          <w:tblCellMar>
            <w:top w:w="0" w:type="dxa"/>
            <w:left w:w="0" w:type="dxa"/>
            <w:bottom w:w="0" w:type="dxa"/>
            <w:right w:w="0" w:type="dxa"/>
          </w:tblCellMar>
        </w:tblPrEx>
        <w:trPr>
          <w:wBefore w:w="0" w:type="auto"/>
          <w:tblCellSpacing w:w="0" w:type="dxa"/>
        </w:trPr>
        <w:tc>
          <w:tcPr>
            <w:tcW w:w="0" w:type="auto"/>
            <w:noWrap w:val="0"/>
            <w:vAlign w:val="center"/>
          </w:tcPr>
          <w:p w14:paraId="458876F1">
            <w:r>
              <w:rPr>
                <w:rStyle w:val="10"/>
                <w:rFonts w:hint="eastAsia"/>
              </w:rPr>
              <w:t>农药名称：</w:t>
            </w:r>
            <w:r>
              <w:rPr>
                <w:rFonts w:hint="eastAsia"/>
              </w:rPr>
              <w:t>除虫菊提取物</w:t>
            </w:r>
          </w:p>
        </w:tc>
      </w:tr>
      <w:tr w14:paraId="074FA7C8">
        <w:tblPrEx>
          <w:tblCellMar>
            <w:top w:w="0" w:type="dxa"/>
            <w:left w:w="0" w:type="dxa"/>
            <w:bottom w:w="0" w:type="dxa"/>
            <w:right w:w="0" w:type="dxa"/>
          </w:tblCellMar>
        </w:tblPrEx>
        <w:trPr>
          <w:wBefore w:w="0" w:type="auto"/>
          <w:tblCellSpacing w:w="0" w:type="dxa"/>
        </w:trPr>
        <w:tc>
          <w:tcPr>
            <w:tcW w:w="0" w:type="auto"/>
            <w:noWrap w:val="0"/>
            <w:vAlign w:val="center"/>
          </w:tcPr>
          <w:p w14:paraId="5278277F">
            <w:r>
              <w:rPr>
                <w:rStyle w:val="10"/>
                <w:rFonts w:hint="eastAsia"/>
              </w:rPr>
              <w:t>剂型：</w:t>
            </w:r>
            <w:r>
              <w:rPr>
                <w:rFonts w:hint="eastAsia"/>
              </w:rPr>
              <w:t>可溶液剂</w:t>
            </w:r>
          </w:p>
        </w:tc>
      </w:tr>
      <w:tr w14:paraId="7B14B7D9">
        <w:tblPrEx>
          <w:tblCellMar>
            <w:top w:w="0" w:type="dxa"/>
            <w:left w:w="0" w:type="dxa"/>
            <w:bottom w:w="0" w:type="dxa"/>
            <w:right w:w="0" w:type="dxa"/>
          </w:tblCellMar>
        </w:tblPrEx>
        <w:trPr>
          <w:wBefore w:w="0" w:type="auto"/>
          <w:tblCellSpacing w:w="0" w:type="dxa"/>
        </w:trPr>
        <w:tc>
          <w:tcPr>
            <w:tcW w:w="0" w:type="auto"/>
            <w:noWrap w:val="0"/>
            <w:vAlign w:val="center"/>
          </w:tcPr>
          <w:p w14:paraId="4804A596">
            <w:r>
              <w:rPr>
                <w:rStyle w:val="10"/>
                <w:rFonts w:hint="eastAsia"/>
              </w:rPr>
              <w:t>毒性及其标识：</w:t>
            </w:r>
            <w:r>
              <w:rPr>
                <w:rFonts w:hint="eastAsia"/>
              </w:rPr>
              <w:t xml:space="preserve"> </w:t>
            </w:r>
            <w:r>
              <w:rPr>
                <w:lang/>
              </w:rPr>
              <w:drawing>
                <wp:inline distT="0" distB="0" distL="114300" distR="114300">
                  <wp:extent cx="476250" cy="323850"/>
                  <wp:effectExtent l="0" t="0" r="0" b="0"/>
                  <wp:docPr id="272" name="图片 27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6A31400">
        <w:tblPrEx>
          <w:tblCellMar>
            <w:top w:w="0" w:type="dxa"/>
            <w:left w:w="0" w:type="dxa"/>
            <w:bottom w:w="0" w:type="dxa"/>
            <w:right w:w="0" w:type="dxa"/>
          </w:tblCellMar>
        </w:tblPrEx>
        <w:trPr>
          <w:wBefore w:w="0" w:type="auto"/>
          <w:tblCellSpacing w:w="0" w:type="dxa"/>
        </w:trPr>
        <w:tc>
          <w:tcPr>
            <w:tcW w:w="0" w:type="auto"/>
            <w:noWrap w:val="0"/>
            <w:vAlign w:val="center"/>
          </w:tcPr>
          <w:p w14:paraId="21E859EC">
            <w:r>
              <w:rPr>
                <w:rStyle w:val="10"/>
                <w:rFonts w:hint="eastAsia"/>
              </w:rPr>
              <w:t>总有效成分含量：</w:t>
            </w:r>
            <w:r>
              <w:rPr>
                <w:rFonts w:hint="eastAsia"/>
              </w:rPr>
              <w:t>0.5%</w:t>
            </w:r>
          </w:p>
        </w:tc>
      </w:tr>
      <w:tr w14:paraId="4FE99955">
        <w:tblPrEx>
          <w:tblCellMar>
            <w:top w:w="0" w:type="dxa"/>
            <w:left w:w="0" w:type="dxa"/>
            <w:bottom w:w="0" w:type="dxa"/>
            <w:right w:w="0" w:type="dxa"/>
          </w:tblCellMar>
        </w:tblPrEx>
        <w:trPr>
          <w:wBefore w:w="0" w:type="auto"/>
          <w:tblCellSpacing w:w="0" w:type="dxa"/>
        </w:trPr>
        <w:tc>
          <w:tcPr>
            <w:tcW w:w="0" w:type="auto"/>
            <w:noWrap w:val="0"/>
            <w:vAlign w:val="center"/>
          </w:tcPr>
          <w:p w14:paraId="707005F5">
            <w:r>
              <w:rPr>
                <w:rFonts w:hint="eastAsia"/>
              </w:rPr>
              <w:t xml:space="preserve">有效成分及其含量： </w:t>
            </w:r>
          </w:p>
          <w:p w14:paraId="23A9ECB3">
            <w:r>
              <w:rPr>
                <w:rFonts w:hint="eastAsia"/>
              </w:rPr>
              <w:t xml:space="preserve">    除虫菊素0.5%    </w:t>
            </w:r>
          </w:p>
        </w:tc>
      </w:tr>
      <w:tr w14:paraId="2EDA4AE9">
        <w:tblPrEx>
          <w:tblCellMar>
            <w:top w:w="0" w:type="dxa"/>
            <w:left w:w="0" w:type="dxa"/>
            <w:bottom w:w="0" w:type="dxa"/>
            <w:right w:w="0" w:type="dxa"/>
          </w:tblCellMar>
        </w:tblPrEx>
        <w:trPr>
          <w:wBefore w:w="0" w:type="auto"/>
          <w:tblCellSpacing w:w="0" w:type="dxa"/>
        </w:trPr>
        <w:tc>
          <w:tcPr>
            <w:tcW w:w="0" w:type="auto"/>
            <w:noWrap w:val="0"/>
            <w:vAlign w:val="center"/>
          </w:tcPr>
          <w:p w14:paraId="4150522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3133F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43C0AF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A6F46B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A9A6B7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35E6F87">
                  <w:r>
                    <w:rPr>
                      <w:rStyle w:val="11"/>
                      <w:rFonts w:hint="eastAsia"/>
                    </w:rPr>
                    <w:t>施用方式</w:t>
                  </w:r>
                </w:p>
              </w:tc>
            </w:tr>
            <w:tr w14:paraId="4DA024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48720E">
                  <w:r>
                    <w:rPr>
                      <w:rStyle w:val="11"/>
                      <w:rFonts w:hint="eastAsia"/>
                    </w:rPr>
                    <w:t>西瓜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3C8F8A">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6BA271">
                  <w:r>
                    <w:rPr>
                      <w:rStyle w:val="11"/>
                      <w:rFonts w:hint="eastAsia"/>
                    </w:rPr>
                    <w:t>240-480克/亩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643F90">
                  <w:r>
                    <w:rPr>
                      <w:rStyle w:val="11"/>
                      <w:rFonts w:hint="eastAsia"/>
                    </w:rPr>
                    <w:t>喷雾</w:t>
                  </w:r>
                </w:p>
              </w:tc>
            </w:tr>
          </w:tbl>
          <w:p w14:paraId="1F263057">
            <w:pPr>
              <w:rPr>
                <w:rFonts w:ascii="Times New Roman" w:hAnsi="Times New Roman" w:cs="Times New Roman"/>
                <w:sz w:val="20"/>
                <w:szCs w:val="20"/>
              </w:rPr>
            </w:pPr>
          </w:p>
        </w:tc>
      </w:tr>
      <w:tr w14:paraId="7547491C">
        <w:tblPrEx>
          <w:tblCellMar>
            <w:top w:w="0" w:type="dxa"/>
            <w:left w:w="0" w:type="dxa"/>
            <w:bottom w:w="0" w:type="dxa"/>
            <w:right w:w="0" w:type="dxa"/>
          </w:tblCellMar>
        </w:tblPrEx>
        <w:trPr>
          <w:wBefore w:w="0" w:type="auto"/>
          <w:tblCellSpacing w:w="0" w:type="dxa"/>
        </w:trPr>
        <w:tc>
          <w:tcPr>
            <w:tcW w:w="0" w:type="auto"/>
            <w:noWrap w:val="0"/>
            <w:vAlign w:val="center"/>
          </w:tcPr>
          <w:p w14:paraId="6799C307">
            <w:r>
              <w:rPr>
                <w:rStyle w:val="10"/>
                <w:rFonts w:hint="eastAsia"/>
              </w:rPr>
              <w:t>使用技术要求:</w:t>
            </w:r>
            <w:r>
              <w:rPr>
                <w:rFonts w:hint="eastAsia"/>
              </w:rPr>
              <w:br w:type="textWrapping"/>
            </w:r>
            <w:r>
              <w:rPr>
                <w:rStyle w:val="11"/>
                <w:rFonts w:hint="eastAsia"/>
              </w:rPr>
              <w:t>1. 在西瓜蚜虫发生初期时施药1次。施药时应均匀喷雾。 2. 大风天或预计1小时内降雨，请勿施药。施药后如遇雨水需补喷。</w:t>
            </w:r>
          </w:p>
        </w:tc>
      </w:tr>
      <w:tr w14:paraId="571EEC51">
        <w:tblPrEx>
          <w:tblCellMar>
            <w:top w:w="0" w:type="dxa"/>
            <w:left w:w="0" w:type="dxa"/>
            <w:bottom w:w="0" w:type="dxa"/>
            <w:right w:w="0" w:type="dxa"/>
          </w:tblCellMar>
        </w:tblPrEx>
        <w:trPr>
          <w:wBefore w:w="0" w:type="auto"/>
          <w:tblCellSpacing w:w="0" w:type="dxa"/>
        </w:trPr>
        <w:tc>
          <w:tcPr>
            <w:tcW w:w="0" w:type="auto"/>
            <w:noWrap w:val="0"/>
            <w:vAlign w:val="center"/>
          </w:tcPr>
          <w:p w14:paraId="19F37BCD">
            <w:r>
              <w:rPr>
                <w:rStyle w:val="10"/>
                <w:rFonts w:hint="eastAsia"/>
              </w:rPr>
              <w:t>产品性能:</w:t>
            </w:r>
            <w:r>
              <w:rPr>
                <w:rFonts w:hint="eastAsia"/>
              </w:rPr>
              <w:br w:type="textWrapping"/>
            </w:r>
            <w:r>
              <w:rPr>
                <w:rStyle w:val="11"/>
                <w:rFonts w:hint="eastAsia"/>
              </w:rPr>
              <w:t>本品为植物源农药。除虫菊素通过与细胞膜上的钠离子通道结合，阻断和干扰神经传导，引起害虫麻痹，从而快速击倒和杀死害虫。</w:t>
            </w:r>
          </w:p>
        </w:tc>
      </w:tr>
      <w:tr w14:paraId="51AC8657">
        <w:tblPrEx>
          <w:tblCellMar>
            <w:top w:w="0" w:type="dxa"/>
            <w:left w:w="0" w:type="dxa"/>
            <w:bottom w:w="0" w:type="dxa"/>
            <w:right w:w="0" w:type="dxa"/>
          </w:tblCellMar>
        </w:tblPrEx>
        <w:trPr>
          <w:wBefore w:w="0" w:type="auto"/>
          <w:tblCellSpacing w:w="0" w:type="dxa"/>
        </w:trPr>
        <w:tc>
          <w:tcPr>
            <w:tcW w:w="0" w:type="auto"/>
            <w:noWrap w:val="0"/>
            <w:vAlign w:val="center"/>
          </w:tcPr>
          <w:p w14:paraId="5EE131A2">
            <w:r>
              <w:rPr>
                <w:rStyle w:val="10"/>
                <w:rFonts w:hint="eastAsia"/>
              </w:rPr>
              <w:t>注意事项：</w:t>
            </w:r>
            <w:r>
              <w:rPr>
                <w:rFonts w:hint="eastAsia"/>
              </w:rPr>
              <w:br w:type="textWrapping"/>
            </w:r>
            <w:r>
              <w:rPr>
                <w:rStyle w:val="11"/>
                <w:rFonts w:hint="eastAsia"/>
              </w:rPr>
              <w:t>1. 本品对眼睛有刺激性，使用时避免接触眼睛。施药时应穿戴防护用具，如穿防护服、戴口罩、手套等。防止药液口鼻吸入，不得吸烟、进食、饮水，施药后应清洗手、脸及身体被污染部分。 2. 本品对鸟类、蜜蜂、家蚕、鱼类等水生生物有毒，施药期间应避免对周围蜂群的影响，（周围）开花作物花期、鸟类保护区、蚕室和桑园附近禁用。瓢虫等天敌放飞区域禁用。水产养殖区、河塘等水体附近禁用，禁止在河塘等水体中清洗施药器具，避免污染水体。 3. 禁止儿童、孕妇及哺乳期的妇女接触。过敏者禁用，使用中有任何不良反应请及时就医。 4. 用过的容器应妥善处理，不可做他用，也不可随意丢弃。</w:t>
            </w:r>
          </w:p>
        </w:tc>
      </w:tr>
      <w:tr w14:paraId="6AD2A4EC">
        <w:tblPrEx>
          <w:tblCellMar>
            <w:top w:w="0" w:type="dxa"/>
            <w:left w:w="0" w:type="dxa"/>
            <w:bottom w:w="0" w:type="dxa"/>
            <w:right w:w="0" w:type="dxa"/>
          </w:tblCellMar>
        </w:tblPrEx>
        <w:trPr>
          <w:wBefore w:w="0" w:type="auto"/>
          <w:tblCellSpacing w:w="0" w:type="dxa"/>
        </w:trPr>
        <w:tc>
          <w:tcPr>
            <w:tcW w:w="0" w:type="auto"/>
            <w:noWrap w:val="0"/>
            <w:vAlign w:val="center"/>
          </w:tcPr>
          <w:p w14:paraId="1AF7B587">
            <w:r>
              <w:rPr>
                <w:rStyle w:val="10"/>
                <w:rFonts w:hint="eastAsia"/>
              </w:rPr>
              <w:t>中毒急救措施：</w:t>
            </w:r>
            <w:r>
              <w:rPr>
                <w:rFonts w:hint="eastAsia"/>
              </w:rPr>
              <w:br w:type="textWrapping"/>
            </w:r>
            <w:r>
              <w:rPr>
                <w:rStyle w:val="11"/>
                <w:rFonts w:hint="eastAsia"/>
              </w:rPr>
              <w:t>中毒症状：接触部位皮肤感到刺痛，但无红斑，尤其在口、鼻周围。接触量大时也会引起头痛，头昏，恶心呕吐，双手颤抖，重者抽搐或惊厥、昏迷、休克。 急救措施：使用中或使用后如果感觉不适，应立即停止工作，采取急救措施，并携带标签送医院就诊。 皮肤接触：立即用大量清水和肥皂冲洗。 眼睛溅入：立即用流动清水冲洗不少于15分钟。 吸入：立即离开施药现场，转移到空气清新处。 误食：立即携带农药标签到医院就诊。无特效解毒剂，对症治疗。大量吞服时可使用医用活性炭洗胃，洗胃时应防止胃洗出物进入呼吸道，不能催吐。对昏迷病人，切勿经口喂入任何东西。</w:t>
            </w:r>
          </w:p>
        </w:tc>
      </w:tr>
      <w:tr w14:paraId="3DEEB0D5">
        <w:tblPrEx>
          <w:tblCellMar>
            <w:top w:w="0" w:type="dxa"/>
            <w:left w:w="0" w:type="dxa"/>
            <w:bottom w:w="0" w:type="dxa"/>
            <w:right w:w="0" w:type="dxa"/>
          </w:tblCellMar>
        </w:tblPrEx>
        <w:trPr>
          <w:wBefore w:w="0" w:type="auto"/>
          <w:tblCellSpacing w:w="0" w:type="dxa"/>
        </w:trPr>
        <w:tc>
          <w:tcPr>
            <w:tcW w:w="0" w:type="auto"/>
            <w:noWrap w:val="0"/>
            <w:vAlign w:val="center"/>
          </w:tcPr>
          <w:p w14:paraId="161DDF22">
            <w:r>
              <w:rPr>
                <w:rStyle w:val="10"/>
                <w:rFonts w:hint="eastAsia"/>
              </w:rPr>
              <w:t>储存和运输方法：</w:t>
            </w:r>
            <w:r>
              <w:rPr>
                <w:rFonts w:hint="eastAsia"/>
              </w:rPr>
              <w:br w:type="textWrapping"/>
            </w:r>
            <w:r>
              <w:rPr>
                <w:rStyle w:val="11"/>
                <w:rFonts w:hint="eastAsia"/>
              </w:rPr>
              <w:t>1. 本品应以原包装贮存于阴凉、干燥和通风处。本品属易燃液体，远离热源或者火源。 2. 置于儿童、无关人员触及不到之处，并加锁。勿与食品、饮料、饲料、粮食等同贮同运。 3. 运输时应注意防水防潮，避免雨淋；搬运时轻搬轻放，不可倒置。</w:t>
            </w:r>
          </w:p>
        </w:tc>
      </w:tr>
      <w:tr w14:paraId="0D1ED63C">
        <w:tblPrEx>
          <w:tblCellMar>
            <w:top w:w="0" w:type="dxa"/>
            <w:left w:w="0" w:type="dxa"/>
            <w:bottom w:w="0" w:type="dxa"/>
            <w:right w:w="0" w:type="dxa"/>
          </w:tblCellMar>
        </w:tblPrEx>
        <w:trPr>
          <w:wBefore w:w="0" w:type="auto"/>
          <w:tblCellSpacing w:w="0" w:type="dxa"/>
        </w:trPr>
        <w:tc>
          <w:tcPr>
            <w:tcW w:w="0" w:type="auto"/>
            <w:noWrap w:val="0"/>
            <w:vAlign w:val="center"/>
          </w:tcPr>
          <w:p w14:paraId="7C3BB276">
            <w:r>
              <w:rPr>
                <w:rStyle w:val="10"/>
                <w:rFonts w:hint="eastAsia"/>
              </w:rPr>
              <w:t>质量保证期：</w:t>
            </w:r>
            <w:r>
              <w:rPr>
                <w:rStyle w:val="11"/>
                <w:rFonts w:hint="eastAsia"/>
              </w:rPr>
              <w:t>2年</w:t>
            </w:r>
          </w:p>
        </w:tc>
      </w:tr>
      <w:tr w14:paraId="10D6760B">
        <w:tblPrEx>
          <w:tblCellMar>
            <w:top w:w="0" w:type="dxa"/>
            <w:left w:w="0" w:type="dxa"/>
            <w:bottom w:w="0" w:type="dxa"/>
            <w:right w:w="0" w:type="dxa"/>
          </w:tblCellMar>
        </w:tblPrEx>
        <w:trPr>
          <w:wBefore w:w="0" w:type="auto"/>
          <w:tblCellSpacing w:w="0" w:type="dxa"/>
        </w:trPr>
        <w:tc>
          <w:tcPr>
            <w:tcW w:w="0" w:type="auto"/>
            <w:noWrap w:val="0"/>
            <w:vAlign w:val="center"/>
          </w:tcPr>
          <w:p w14:paraId="3DF10309">
            <w:r>
              <w:rPr>
                <w:rStyle w:val="10"/>
                <w:rFonts w:hint="eastAsia"/>
              </w:rPr>
              <w:t>备注：</w:t>
            </w:r>
          </w:p>
        </w:tc>
      </w:tr>
    </w:tbl>
    <w:p w14:paraId="28E5219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563CA0">
        <w:tblPrEx>
          <w:tblCellMar>
            <w:top w:w="0" w:type="dxa"/>
            <w:left w:w="0" w:type="dxa"/>
            <w:bottom w:w="0" w:type="dxa"/>
            <w:right w:w="0" w:type="dxa"/>
          </w:tblCellMar>
        </w:tblPrEx>
        <w:trPr>
          <w:wBefore w:w="0" w:type="auto"/>
          <w:tblCellSpacing w:w="0" w:type="dxa"/>
        </w:trPr>
        <w:tc>
          <w:tcPr>
            <w:tcW w:w="0" w:type="auto"/>
            <w:noWrap w:val="0"/>
            <w:vAlign w:val="center"/>
          </w:tcPr>
          <w:p w14:paraId="540B48A6">
            <w:r>
              <w:rPr>
                <w:rStyle w:val="10"/>
                <w:rFonts w:hint="eastAsia"/>
              </w:rPr>
              <w:t>登记证号：</w:t>
            </w:r>
            <w:r>
              <w:rPr>
                <w:rFonts w:hint="eastAsia"/>
              </w:rPr>
              <w:t>PD20211937</w:t>
            </w:r>
          </w:p>
        </w:tc>
      </w:tr>
      <w:tr w14:paraId="4164DA06">
        <w:tblPrEx>
          <w:tblCellMar>
            <w:top w:w="0" w:type="dxa"/>
            <w:left w:w="0" w:type="dxa"/>
            <w:bottom w:w="0" w:type="dxa"/>
            <w:right w:w="0" w:type="dxa"/>
          </w:tblCellMar>
        </w:tblPrEx>
        <w:trPr>
          <w:wBefore w:w="0" w:type="auto"/>
          <w:tblCellSpacing w:w="0" w:type="dxa"/>
        </w:trPr>
        <w:tc>
          <w:tcPr>
            <w:tcW w:w="0" w:type="auto"/>
            <w:noWrap w:val="0"/>
            <w:vAlign w:val="center"/>
          </w:tcPr>
          <w:p w14:paraId="6612F88F">
            <w:r>
              <w:rPr>
                <w:rStyle w:val="10"/>
                <w:rFonts w:hint="eastAsia"/>
              </w:rPr>
              <w:t>登记证持有人：</w:t>
            </w:r>
            <w:r>
              <w:rPr>
                <w:rFonts w:hint="eastAsia"/>
              </w:rPr>
              <w:t>江苏建农植物保护有限公司</w:t>
            </w:r>
          </w:p>
        </w:tc>
      </w:tr>
      <w:tr w14:paraId="529C53F3">
        <w:tblPrEx>
          <w:tblCellMar>
            <w:top w:w="0" w:type="dxa"/>
            <w:left w:w="0" w:type="dxa"/>
            <w:bottom w:w="0" w:type="dxa"/>
            <w:right w:w="0" w:type="dxa"/>
          </w:tblCellMar>
        </w:tblPrEx>
        <w:trPr>
          <w:wBefore w:w="0" w:type="auto"/>
          <w:tblCellSpacing w:w="0" w:type="dxa"/>
        </w:trPr>
        <w:tc>
          <w:tcPr>
            <w:tcW w:w="0" w:type="auto"/>
            <w:noWrap w:val="0"/>
            <w:vAlign w:val="center"/>
          </w:tcPr>
          <w:p w14:paraId="28CE449C">
            <w:r>
              <w:rPr>
                <w:rStyle w:val="10"/>
                <w:rFonts w:hint="eastAsia"/>
              </w:rPr>
              <w:t>农药名称：</w:t>
            </w:r>
            <w:r>
              <w:rPr>
                <w:rFonts w:hint="eastAsia"/>
              </w:rPr>
              <w:t>肟菌·戊唑醇</w:t>
            </w:r>
          </w:p>
        </w:tc>
      </w:tr>
      <w:tr w14:paraId="6CCD973F">
        <w:tblPrEx>
          <w:tblCellMar>
            <w:top w:w="0" w:type="dxa"/>
            <w:left w:w="0" w:type="dxa"/>
            <w:bottom w:w="0" w:type="dxa"/>
            <w:right w:w="0" w:type="dxa"/>
          </w:tblCellMar>
        </w:tblPrEx>
        <w:trPr>
          <w:wBefore w:w="0" w:type="auto"/>
          <w:tblCellSpacing w:w="0" w:type="dxa"/>
        </w:trPr>
        <w:tc>
          <w:tcPr>
            <w:tcW w:w="0" w:type="auto"/>
            <w:noWrap w:val="0"/>
            <w:vAlign w:val="center"/>
          </w:tcPr>
          <w:p w14:paraId="609EBC52">
            <w:r>
              <w:rPr>
                <w:rStyle w:val="10"/>
                <w:rFonts w:hint="eastAsia"/>
              </w:rPr>
              <w:t>剂型：</w:t>
            </w:r>
            <w:r>
              <w:rPr>
                <w:rFonts w:hint="eastAsia"/>
              </w:rPr>
              <w:t>悬浮剂</w:t>
            </w:r>
          </w:p>
        </w:tc>
      </w:tr>
      <w:tr w14:paraId="740376CA">
        <w:tblPrEx>
          <w:tblCellMar>
            <w:top w:w="0" w:type="dxa"/>
            <w:left w:w="0" w:type="dxa"/>
            <w:bottom w:w="0" w:type="dxa"/>
            <w:right w:w="0" w:type="dxa"/>
          </w:tblCellMar>
        </w:tblPrEx>
        <w:trPr>
          <w:wBefore w:w="0" w:type="auto"/>
          <w:tblCellSpacing w:w="0" w:type="dxa"/>
        </w:trPr>
        <w:tc>
          <w:tcPr>
            <w:tcW w:w="0" w:type="auto"/>
            <w:noWrap w:val="0"/>
            <w:vAlign w:val="center"/>
          </w:tcPr>
          <w:p w14:paraId="13C9789A">
            <w:r>
              <w:rPr>
                <w:rStyle w:val="10"/>
                <w:rFonts w:hint="eastAsia"/>
              </w:rPr>
              <w:t>毒性及其标识：</w:t>
            </w:r>
            <w:r>
              <w:rPr>
                <w:rFonts w:hint="eastAsia"/>
              </w:rPr>
              <w:t xml:space="preserve"> </w:t>
            </w:r>
            <w:r>
              <w:rPr>
                <w:lang/>
              </w:rPr>
              <w:drawing>
                <wp:inline distT="0" distB="0" distL="114300" distR="114300">
                  <wp:extent cx="476250" cy="323850"/>
                  <wp:effectExtent l="0" t="0" r="0" b="0"/>
                  <wp:docPr id="273" name="图片 27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06424E6">
        <w:tblPrEx>
          <w:tblCellMar>
            <w:top w:w="0" w:type="dxa"/>
            <w:left w:w="0" w:type="dxa"/>
            <w:bottom w:w="0" w:type="dxa"/>
            <w:right w:w="0" w:type="dxa"/>
          </w:tblCellMar>
        </w:tblPrEx>
        <w:trPr>
          <w:wBefore w:w="0" w:type="auto"/>
          <w:tblCellSpacing w:w="0" w:type="dxa"/>
        </w:trPr>
        <w:tc>
          <w:tcPr>
            <w:tcW w:w="0" w:type="auto"/>
            <w:noWrap w:val="0"/>
            <w:vAlign w:val="center"/>
          </w:tcPr>
          <w:p w14:paraId="70E9C3F7">
            <w:r>
              <w:rPr>
                <w:rStyle w:val="10"/>
                <w:rFonts w:hint="eastAsia"/>
              </w:rPr>
              <w:t>总有效成分含量：</w:t>
            </w:r>
            <w:r>
              <w:rPr>
                <w:rFonts w:hint="eastAsia"/>
              </w:rPr>
              <w:t>30%</w:t>
            </w:r>
          </w:p>
        </w:tc>
      </w:tr>
      <w:tr w14:paraId="570003C6">
        <w:tblPrEx>
          <w:tblCellMar>
            <w:top w:w="0" w:type="dxa"/>
            <w:left w:w="0" w:type="dxa"/>
            <w:bottom w:w="0" w:type="dxa"/>
            <w:right w:w="0" w:type="dxa"/>
          </w:tblCellMar>
        </w:tblPrEx>
        <w:trPr>
          <w:wBefore w:w="0" w:type="auto"/>
          <w:tblCellSpacing w:w="0" w:type="dxa"/>
        </w:trPr>
        <w:tc>
          <w:tcPr>
            <w:tcW w:w="0" w:type="auto"/>
            <w:noWrap w:val="0"/>
            <w:vAlign w:val="center"/>
          </w:tcPr>
          <w:p w14:paraId="35E1FF75">
            <w:r>
              <w:rPr>
                <w:rFonts w:hint="eastAsia"/>
              </w:rPr>
              <w:t xml:space="preserve">有效成分及其含量： </w:t>
            </w:r>
          </w:p>
          <w:p w14:paraId="1C25D6CC">
            <w:r>
              <w:rPr>
                <w:rFonts w:hint="eastAsia"/>
              </w:rPr>
              <w:t xml:space="preserve">    戊唑醇20%    肟菌酯10%    </w:t>
            </w:r>
          </w:p>
        </w:tc>
      </w:tr>
      <w:tr w14:paraId="1BE65EDD">
        <w:tblPrEx>
          <w:tblCellMar>
            <w:top w:w="0" w:type="dxa"/>
            <w:left w:w="0" w:type="dxa"/>
            <w:bottom w:w="0" w:type="dxa"/>
            <w:right w:w="0" w:type="dxa"/>
          </w:tblCellMar>
        </w:tblPrEx>
        <w:trPr>
          <w:wBefore w:w="0" w:type="auto"/>
          <w:tblCellSpacing w:w="0" w:type="dxa"/>
        </w:trPr>
        <w:tc>
          <w:tcPr>
            <w:tcW w:w="0" w:type="auto"/>
            <w:noWrap w:val="0"/>
            <w:vAlign w:val="center"/>
          </w:tcPr>
          <w:p w14:paraId="38C240A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4092D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5BAF50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213FA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651FA3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A53ABB3">
                  <w:r>
                    <w:rPr>
                      <w:rStyle w:val="11"/>
                      <w:rFonts w:hint="eastAsia"/>
                    </w:rPr>
                    <w:t>施用方式</w:t>
                  </w:r>
                </w:p>
              </w:tc>
            </w:tr>
            <w:tr w14:paraId="209D04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A33DD53">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E74702">
                  <w:r>
                    <w:rPr>
                      <w:rStyle w:val="11"/>
                      <w:rFonts w:hint="eastAsia"/>
                    </w:rPr>
                    <w:t>稻曲病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B10AF3">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0438A2">
                  <w:r>
                    <w:rPr>
                      <w:rStyle w:val="11"/>
                      <w:rFonts w:hint="eastAsia"/>
                    </w:rPr>
                    <w:t>喷雾</w:t>
                  </w:r>
                </w:p>
              </w:tc>
            </w:tr>
          </w:tbl>
          <w:p w14:paraId="65B1BE38">
            <w:pPr>
              <w:rPr>
                <w:rFonts w:ascii="Times New Roman" w:hAnsi="Times New Roman" w:cs="Times New Roman"/>
                <w:sz w:val="20"/>
                <w:szCs w:val="20"/>
              </w:rPr>
            </w:pPr>
          </w:p>
        </w:tc>
      </w:tr>
      <w:tr w14:paraId="77B877BE">
        <w:tblPrEx>
          <w:tblCellMar>
            <w:top w:w="0" w:type="dxa"/>
            <w:left w:w="0" w:type="dxa"/>
            <w:bottom w:w="0" w:type="dxa"/>
            <w:right w:w="0" w:type="dxa"/>
          </w:tblCellMar>
        </w:tblPrEx>
        <w:trPr>
          <w:wBefore w:w="0" w:type="auto"/>
          <w:tblCellSpacing w:w="0" w:type="dxa"/>
        </w:trPr>
        <w:tc>
          <w:tcPr>
            <w:tcW w:w="0" w:type="auto"/>
            <w:noWrap w:val="0"/>
            <w:vAlign w:val="center"/>
          </w:tcPr>
          <w:p w14:paraId="61B5DD03">
            <w:r>
              <w:rPr>
                <w:rStyle w:val="10"/>
                <w:rFonts w:hint="eastAsia"/>
              </w:rPr>
              <w:t>使用技术要求:</w:t>
            </w:r>
            <w:r>
              <w:rPr>
                <w:rFonts w:hint="eastAsia"/>
              </w:rPr>
              <w:br w:type="textWrapping"/>
            </w:r>
            <w:r>
              <w:rPr>
                <w:rStyle w:val="11"/>
                <w:rFonts w:hint="eastAsia"/>
              </w:rPr>
              <w:t>1.在水稻稻曲病破口前5-7天施药，施药2次，间隔7-10天。2.配制药液时，应采用农药标准稀释方法两步稀释法，先在小水桶中将本品按推荐用量充分稀释，然后再倒入喷雾器中，加入足量水搅拌混匀。 3.根据植株大小，大田作物对水45升/亩左右进行叶面均匀喷雾处理， 4.大风天或1小时内降雨，请勿施药。 安全使用标准：每季最多使用2次，安全间隔期为35天。</w:t>
            </w:r>
          </w:p>
        </w:tc>
      </w:tr>
      <w:tr w14:paraId="66DA51DC">
        <w:tblPrEx>
          <w:tblCellMar>
            <w:top w:w="0" w:type="dxa"/>
            <w:left w:w="0" w:type="dxa"/>
            <w:bottom w:w="0" w:type="dxa"/>
            <w:right w:w="0" w:type="dxa"/>
          </w:tblCellMar>
        </w:tblPrEx>
        <w:trPr>
          <w:wBefore w:w="0" w:type="auto"/>
          <w:tblCellSpacing w:w="0" w:type="dxa"/>
        </w:trPr>
        <w:tc>
          <w:tcPr>
            <w:tcW w:w="0" w:type="auto"/>
            <w:noWrap w:val="0"/>
            <w:vAlign w:val="center"/>
          </w:tcPr>
          <w:p w14:paraId="087D316D">
            <w:r>
              <w:rPr>
                <w:rStyle w:val="10"/>
                <w:rFonts w:hint="eastAsia"/>
              </w:rPr>
              <w:t>产品性能:</w:t>
            </w:r>
            <w:r>
              <w:rPr>
                <w:rFonts w:hint="eastAsia"/>
              </w:rPr>
              <w:br w:type="textWrapping"/>
            </w:r>
            <w:r>
              <w:rPr>
                <w:rStyle w:val="11"/>
                <w:rFonts w:hint="eastAsia"/>
              </w:rPr>
              <w:t>本品由甲氧基丙烯酸酯类杀菌剂肟菌酯和三唑类杀菌剂戊唑醇复配而成，既具有保护作用又具有治疗作用。该产品杀菌活性较高、内吸性较强、持效期较长，可用于防治水稻稻曲病真菌病害。</w:t>
            </w:r>
          </w:p>
        </w:tc>
      </w:tr>
      <w:tr w14:paraId="4C2636AB">
        <w:tblPrEx>
          <w:tblCellMar>
            <w:top w:w="0" w:type="dxa"/>
            <w:left w:w="0" w:type="dxa"/>
            <w:bottom w:w="0" w:type="dxa"/>
            <w:right w:w="0" w:type="dxa"/>
          </w:tblCellMar>
        </w:tblPrEx>
        <w:trPr>
          <w:wBefore w:w="0" w:type="auto"/>
          <w:tblCellSpacing w:w="0" w:type="dxa"/>
        </w:trPr>
        <w:tc>
          <w:tcPr>
            <w:tcW w:w="0" w:type="auto"/>
            <w:noWrap w:val="0"/>
            <w:vAlign w:val="center"/>
          </w:tcPr>
          <w:p w14:paraId="13457D20">
            <w:r>
              <w:rPr>
                <w:rStyle w:val="10"/>
                <w:rFonts w:hint="eastAsia"/>
              </w:rPr>
              <w:t>注意事项：</w:t>
            </w:r>
            <w:r>
              <w:rPr>
                <w:rFonts w:hint="eastAsia"/>
              </w:rPr>
              <w:br w:type="textWrapping"/>
            </w:r>
            <w:r>
              <w:rPr>
                <w:rStyle w:val="11"/>
                <w:rFonts w:hint="eastAsia"/>
              </w:rPr>
              <w:t>1.本品对家蚕有毒，建议本产品在蚕室及桑园附近禁用，或采用最外围桑树作为隔离带，以降低对家蚕的风险。2.本品对水生生物有毒，水产养殖区、河塘等水体附近禁用，禁止在河塘等水体中清洗施药器具；鱼或虾蟹套养稻田禁用、施药后的田水不得直接排入水体。3. 本品对眼睛有刺激性，使用时避免接触眼睛，穿戴长衣、长裤、帽子、口罩、手套等防护措施。操作本品时禁止饮食、吸烟和饮水。4.配药时，用清水对盛有药剂的包装瓶至少冲洗3次，并将冲洗液倒入喷雾器中。用过的空包装应压烂或划破后妥善处理，切勿重复使用或他用。5. 施药后应及时用肥皂和足量清水冲洗手部、面部和其他身体裸露部位以及受药剂污染的衣物等。6.避免孕妇及哺乳期的妇女接触。7.避免与氧化剂接触。</w:t>
            </w:r>
          </w:p>
        </w:tc>
      </w:tr>
      <w:tr w14:paraId="691D1E7D">
        <w:tblPrEx>
          <w:tblCellMar>
            <w:top w:w="0" w:type="dxa"/>
            <w:left w:w="0" w:type="dxa"/>
            <w:bottom w:w="0" w:type="dxa"/>
            <w:right w:w="0" w:type="dxa"/>
          </w:tblCellMar>
        </w:tblPrEx>
        <w:trPr>
          <w:wBefore w:w="0" w:type="auto"/>
          <w:tblCellSpacing w:w="0" w:type="dxa"/>
        </w:trPr>
        <w:tc>
          <w:tcPr>
            <w:tcW w:w="0" w:type="auto"/>
            <w:noWrap w:val="0"/>
            <w:vAlign w:val="center"/>
          </w:tcPr>
          <w:p w14:paraId="14C2B291">
            <w:r>
              <w:rPr>
                <w:rStyle w:val="10"/>
                <w:rFonts w:hint="eastAsia"/>
              </w:rPr>
              <w:t>中毒急救措施：</w:t>
            </w:r>
            <w:r>
              <w:rPr>
                <w:rFonts w:hint="eastAsia"/>
              </w:rPr>
              <w:br w:type="textWrapping"/>
            </w:r>
            <w:r>
              <w:rPr>
                <w:rStyle w:val="11"/>
                <w:rFonts w:hint="eastAsia"/>
              </w:rPr>
              <w:t>1. 一般建议：将中毒者从危险区域转移，脱去受污染的衣物，并妥善处置，转移时须保持中毒者稳定的侧卧体位。2.如误吸入：将患者转移到空气新鲜处，使其保持温暖和休息，并寻求医疗救助或拨打中毒咨询电话。3. 如皮肤接触：立即脱去被污染的衣物，并用足量肥皂水冲洗；如有条件，先用聚乙二醇400清洗受污染部位，再用清水冲洗。4.如误入眼睛：立即用大量清水冲洗至少15分钟；如戴隐形眼镜，先冲洗5分钟，摘掉后再继续冲洗。如仍有不适，应立即就医。 5.如误食：禁止引吐，用水漱口，并立即携此标签就医。</w:t>
            </w:r>
          </w:p>
        </w:tc>
      </w:tr>
      <w:tr w14:paraId="7CA07BDC">
        <w:tblPrEx>
          <w:tblCellMar>
            <w:top w:w="0" w:type="dxa"/>
            <w:left w:w="0" w:type="dxa"/>
            <w:bottom w:w="0" w:type="dxa"/>
            <w:right w:w="0" w:type="dxa"/>
          </w:tblCellMar>
        </w:tblPrEx>
        <w:trPr>
          <w:wBefore w:w="0" w:type="auto"/>
          <w:tblCellSpacing w:w="0" w:type="dxa"/>
        </w:trPr>
        <w:tc>
          <w:tcPr>
            <w:tcW w:w="0" w:type="auto"/>
            <w:noWrap w:val="0"/>
            <w:vAlign w:val="center"/>
          </w:tcPr>
          <w:p w14:paraId="54A270A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本品应贮存在干燥、阴凉、通风、防雨处，远离火源或热源。置于儿童、无关人员触及不到之处，并加锁。勿与食品、饮料、饲料、粮食等同贮同运。</w:t>
            </w:r>
          </w:p>
        </w:tc>
      </w:tr>
      <w:tr w14:paraId="314CE9EB">
        <w:tblPrEx>
          <w:tblCellMar>
            <w:top w:w="0" w:type="dxa"/>
            <w:left w:w="0" w:type="dxa"/>
            <w:bottom w:w="0" w:type="dxa"/>
            <w:right w:w="0" w:type="dxa"/>
          </w:tblCellMar>
        </w:tblPrEx>
        <w:trPr>
          <w:wBefore w:w="0" w:type="auto"/>
          <w:tblCellSpacing w:w="0" w:type="dxa"/>
        </w:trPr>
        <w:tc>
          <w:tcPr>
            <w:tcW w:w="0" w:type="auto"/>
            <w:noWrap w:val="0"/>
            <w:vAlign w:val="center"/>
          </w:tcPr>
          <w:p w14:paraId="722697DF">
            <w:r>
              <w:rPr>
                <w:rStyle w:val="10"/>
                <w:rFonts w:hint="eastAsia"/>
              </w:rPr>
              <w:t>质量保证期：</w:t>
            </w:r>
            <w:r>
              <w:rPr>
                <w:rStyle w:val="11"/>
                <w:rFonts w:hint="eastAsia"/>
              </w:rPr>
              <w:t>2年</w:t>
            </w:r>
          </w:p>
        </w:tc>
      </w:tr>
      <w:tr w14:paraId="5485849D">
        <w:tblPrEx>
          <w:tblCellMar>
            <w:top w:w="0" w:type="dxa"/>
            <w:left w:w="0" w:type="dxa"/>
            <w:bottom w:w="0" w:type="dxa"/>
            <w:right w:w="0" w:type="dxa"/>
          </w:tblCellMar>
        </w:tblPrEx>
        <w:trPr>
          <w:wBefore w:w="0" w:type="auto"/>
          <w:tblCellSpacing w:w="0" w:type="dxa"/>
        </w:trPr>
        <w:tc>
          <w:tcPr>
            <w:tcW w:w="0" w:type="auto"/>
            <w:noWrap w:val="0"/>
            <w:vAlign w:val="center"/>
          </w:tcPr>
          <w:p w14:paraId="3BF1ED1D">
            <w:r>
              <w:rPr>
                <w:rStyle w:val="10"/>
                <w:rFonts w:hint="eastAsia"/>
              </w:rPr>
              <w:t>备注：</w:t>
            </w:r>
          </w:p>
        </w:tc>
      </w:tr>
    </w:tbl>
    <w:p w14:paraId="4FC6DA3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4F36E18">
        <w:tblPrEx>
          <w:tblCellMar>
            <w:top w:w="0" w:type="dxa"/>
            <w:left w:w="0" w:type="dxa"/>
            <w:bottom w:w="0" w:type="dxa"/>
            <w:right w:w="0" w:type="dxa"/>
          </w:tblCellMar>
        </w:tblPrEx>
        <w:trPr>
          <w:wBefore w:w="0" w:type="auto"/>
          <w:tblCellSpacing w:w="0" w:type="dxa"/>
        </w:trPr>
        <w:tc>
          <w:tcPr>
            <w:tcW w:w="0" w:type="auto"/>
            <w:noWrap w:val="0"/>
            <w:vAlign w:val="center"/>
          </w:tcPr>
          <w:p w14:paraId="1EF35B4E">
            <w:r>
              <w:rPr>
                <w:rStyle w:val="10"/>
                <w:rFonts w:hint="eastAsia"/>
              </w:rPr>
              <w:t>登记证号：</w:t>
            </w:r>
            <w:r>
              <w:rPr>
                <w:rFonts w:hint="eastAsia"/>
              </w:rPr>
              <w:t>PD20212280</w:t>
            </w:r>
          </w:p>
        </w:tc>
      </w:tr>
      <w:tr w14:paraId="017ABF75">
        <w:tblPrEx>
          <w:tblCellMar>
            <w:top w:w="0" w:type="dxa"/>
            <w:left w:w="0" w:type="dxa"/>
            <w:bottom w:w="0" w:type="dxa"/>
            <w:right w:w="0" w:type="dxa"/>
          </w:tblCellMar>
        </w:tblPrEx>
        <w:trPr>
          <w:wBefore w:w="0" w:type="auto"/>
          <w:tblCellSpacing w:w="0" w:type="dxa"/>
        </w:trPr>
        <w:tc>
          <w:tcPr>
            <w:tcW w:w="0" w:type="auto"/>
            <w:noWrap w:val="0"/>
            <w:vAlign w:val="center"/>
          </w:tcPr>
          <w:p w14:paraId="4BBA19AB">
            <w:r>
              <w:rPr>
                <w:rStyle w:val="10"/>
                <w:rFonts w:hint="eastAsia"/>
              </w:rPr>
              <w:t>登记证持有人：</w:t>
            </w:r>
            <w:r>
              <w:rPr>
                <w:rFonts w:hint="eastAsia"/>
              </w:rPr>
              <w:t>山东麒麟农化有限公司</w:t>
            </w:r>
          </w:p>
        </w:tc>
      </w:tr>
      <w:tr w14:paraId="7C4BA319">
        <w:tblPrEx>
          <w:tblCellMar>
            <w:top w:w="0" w:type="dxa"/>
            <w:left w:w="0" w:type="dxa"/>
            <w:bottom w:w="0" w:type="dxa"/>
            <w:right w:w="0" w:type="dxa"/>
          </w:tblCellMar>
        </w:tblPrEx>
        <w:trPr>
          <w:wBefore w:w="0" w:type="auto"/>
          <w:tblCellSpacing w:w="0" w:type="dxa"/>
        </w:trPr>
        <w:tc>
          <w:tcPr>
            <w:tcW w:w="0" w:type="auto"/>
            <w:noWrap w:val="0"/>
            <w:vAlign w:val="center"/>
          </w:tcPr>
          <w:p w14:paraId="1BBBE77B">
            <w:r>
              <w:rPr>
                <w:rStyle w:val="10"/>
                <w:rFonts w:hint="eastAsia"/>
              </w:rPr>
              <w:t>农药名称：</w:t>
            </w:r>
            <w:r>
              <w:rPr>
                <w:rFonts w:hint="eastAsia"/>
              </w:rPr>
              <w:t>五氟·丙草胺</w:t>
            </w:r>
          </w:p>
        </w:tc>
      </w:tr>
      <w:tr w14:paraId="0C7D1E42">
        <w:tblPrEx>
          <w:tblCellMar>
            <w:top w:w="0" w:type="dxa"/>
            <w:left w:w="0" w:type="dxa"/>
            <w:bottom w:w="0" w:type="dxa"/>
            <w:right w:w="0" w:type="dxa"/>
          </w:tblCellMar>
        </w:tblPrEx>
        <w:trPr>
          <w:wBefore w:w="0" w:type="auto"/>
          <w:tblCellSpacing w:w="0" w:type="dxa"/>
        </w:trPr>
        <w:tc>
          <w:tcPr>
            <w:tcW w:w="0" w:type="auto"/>
            <w:noWrap w:val="0"/>
            <w:vAlign w:val="center"/>
          </w:tcPr>
          <w:p w14:paraId="1555BFC6">
            <w:r>
              <w:rPr>
                <w:rStyle w:val="10"/>
                <w:rFonts w:hint="eastAsia"/>
              </w:rPr>
              <w:t>剂型：</w:t>
            </w:r>
            <w:r>
              <w:rPr>
                <w:rFonts w:hint="eastAsia"/>
              </w:rPr>
              <w:t>可分散油悬浮剂</w:t>
            </w:r>
          </w:p>
        </w:tc>
      </w:tr>
      <w:tr w14:paraId="64B5F42F">
        <w:tblPrEx>
          <w:tblCellMar>
            <w:top w:w="0" w:type="dxa"/>
            <w:left w:w="0" w:type="dxa"/>
            <w:bottom w:w="0" w:type="dxa"/>
            <w:right w:w="0" w:type="dxa"/>
          </w:tblCellMar>
        </w:tblPrEx>
        <w:trPr>
          <w:wBefore w:w="0" w:type="auto"/>
          <w:tblCellSpacing w:w="0" w:type="dxa"/>
        </w:trPr>
        <w:tc>
          <w:tcPr>
            <w:tcW w:w="0" w:type="auto"/>
            <w:noWrap w:val="0"/>
            <w:vAlign w:val="center"/>
          </w:tcPr>
          <w:p w14:paraId="4ACE670C">
            <w:r>
              <w:rPr>
                <w:rStyle w:val="10"/>
                <w:rFonts w:hint="eastAsia"/>
              </w:rPr>
              <w:t>毒性及其标识：</w:t>
            </w:r>
            <w:r>
              <w:rPr>
                <w:rFonts w:hint="eastAsia"/>
              </w:rPr>
              <w:t xml:space="preserve"> </w:t>
            </w:r>
            <w:r>
              <w:rPr>
                <w:lang/>
              </w:rPr>
              <w:drawing>
                <wp:inline distT="0" distB="0" distL="114300" distR="114300">
                  <wp:extent cx="476250" cy="323850"/>
                  <wp:effectExtent l="0" t="0" r="0" b="0"/>
                  <wp:docPr id="274" name="图片 27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6410644">
        <w:tblPrEx>
          <w:tblCellMar>
            <w:top w:w="0" w:type="dxa"/>
            <w:left w:w="0" w:type="dxa"/>
            <w:bottom w:w="0" w:type="dxa"/>
            <w:right w:w="0" w:type="dxa"/>
          </w:tblCellMar>
        </w:tblPrEx>
        <w:trPr>
          <w:wBefore w:w="0" w:type="auto"/>
          <w:tblCellSpacing w:w="0" w:type="dxa"/>
        </w:trPr>
        <w:tc>
          <w:tcPr>
            <w:tcW w:w="0" w:type="auto"/>
            <w:noWrap w:val="0"/>
            <w:vAlign w:val="center"/>
          </w:tcPr>
          <w:p w14:paraId="13B66C4A">
            <w:r>
              <w:rPr>
                <w:rStyle w:val="10"/>
                <w:rFonts w:hint="eastAsia"/>
              </w:rPr>
              <w:t>总有效成分含量：</w:t>
            </w:r>
            <w:r>
              <w:rPr>
                <w:rFonts w:hint="eastAsia"/>
              </w:rPr>
              <w:t>31%</w:t>
            </w:r>
          </w:p>
        </w:tc>
      </w:tr>
      <w:tr w14:paraId="3E983C9A">
        <w:tblPrEx>
          <w:tblCellMar>
            <w:top w:w="0" w:type="dxa"/>
            <w:left w:w="0" w:type="dxa"/>
            <w:bottom w:w="0" w:type="dxa"/>
            <w:right w:w="0" w:type="dxa"/>
          </w:tblCellMar>
        </w:tblPrEx>
        <w:trPr>
          <w:wBefore w:w="0" w:type="auto"/>
          <w:tblCellSpacing w:w="0" w:type="dxa"/>
        </w:trPr>
        <w:tc>
          <w:tcPr>
            <w:tcW w:w="0" w:type="auto"/>
            <w:noWrap w:val="0"/>
            <w:vAlign w:val="center"/>
          </w:tcPr>
          <w:p w14:paraId="1C8B40D6">
            <w:r>
              <w:rPr>
                <w:rFonts w:hint="eastAsia"/>
              </w:rPr>
              <w:t xml:space="preserve">有效成分及其含量： </w:t>
            </w:r>
          </w:p>
          <w:p w14:paraId="4D9547BB">
            <w:r>
              <w:rPr>
                <w:rFonts w:hint="eastAsia"/>
              </w:rPr>
              <w:t xml:space="preserve">    丙草胺30%    五氟磺草胺1%    </w:t>
            </w:r>
          </w:p>
        </w:tc>
      </w:tr>
      <w:tr w14:paraId="1D4E77F2">
        <w:tblPrEx>
          <w:tblCellMar>
            <w:top w:w="0" w:type="dxa"/>
            <w:left w:w="0" w:type="dxa"/>
            <w:bottom w:w="0" w:type="dxa"/>
            <w:right w:w="0" w:type="dxa"/>
          </w:tblCellMar>
        </w:tblPrEx>
        <w:trPr>
          <w:wBefore w:w="0" w:type="auto"/>
          <w:tblCellSpacing w:w="0" w:type="dxa"/>
        </w:trPr>
        <w:tc>
          <w:tcPr>
            <w:tcW w:w="0" w:type="auto"/>
            <w:noWrap w:val="0"/>
            <w:vAlign w:val="center"/>
          </w:tcPr>
          <w:p w14:paraId="093328E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E0504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6E87A7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2F9436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B3FB17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CFC15E9">
                  <w:r>
                    <w:rPr>
                      <w:rStyle w:val="11"/>
                      <w:rFonts w:hint="eastAsia"/>
                    </w:rPr>
                    <w:t>施用方式</w:t>
                  </w:r>
                </w:p>
              </w:tc>
            </w:tr>
            <w:tr w14:paraId="6C2F64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27F3C87">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9CA207">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2B893B">
                  <w:r>
                    <w:rPr>
                      <w:rStyle w:val="11"/>
                      <w:rFonts w:hint="eastAsia"/>
                    </w:rPr>
                    <w:t>80-140毫升/亩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DC362C">
                  <w:r>
                    <w:rPr>
                      <w:rStyle w:val="11"/>
                      <w:rFonts w:hint="eastAsia"/>
                    </w:rPr>
                    <w:t>茎叶喷雾</w:t>
                  </w:r>
                </w:p>
              </w:tc>
            </w:tr>
          </w:tbl>
          <w:p w14:paraId="608C64AA">
            <w:pPr>
              <w:rPr>
                <w:rFonts w:ascii="Times New Roman" w:hAnsi="Times New Roman" w:cs="Times New Roman"/>
                <w:sz w:val="20"/>
                <w:szCs w:val="20"/>
              </w:rPr>
            </w:pPr>
          </w:p>
        </w:tc>
      </w:tr>
      <w:tr w14:paraId="665BF31E">
        <w:tblPrEx>
          <w:tblCellMar>
            <w:top w:w="0" w:type="dxa"/>
            <w:left w:w="0" w:type="dxa"/>
            <w:bottom w:w="0" w:type="dxa"/>
            <w:right w:w="0" w:type="dxa"/>
          </w:tblCellMar>
        </w:tblPrEx>
        <w:trPr>
          <w:wBefore w:w="0" w:type="auto"/>
          <w:tblCellSpacing w:w="0" w:type="dxa"/>
        </w:trPr>
        <w:tc>
          <w:tcPr>
            <w:tcW w:w="0" w:type="auto"/>
            <w:noWrap w:val="0"/>
            <w:vAlign w:val="center"/>
          </w:tcPr>
          <w:p w14:paraId="31DC7852">
            <w:r>
              <w:rPr>
                <w:rStyle w:val="10"/>
                <w:rFonts w:hint="eastAsia"/>
              </w:rPr>
              <w:t>使用技术要求:</w:t>
            </w:r>
            <w:r>
              <w:rPr>
                <w:rFonts w:hint="eastAsia"/>
              </w:rPr>
              <w:br w:type="textWrapping"/>
            </w:r>
            <w:r>
              <w:rPr>
                <w:rStyle w:val="11"/>
                <w:rFonts w:hint="eastAsia"/>
              </w:rPr>
              <w:t>1、水稻直播出苗后，杂草萌发初期开始施药2、施药前排水，施药后1－3天灌水并保持3－5厘米水层5－7天，水层勿淹没水稻心叶避免药害。 3、施药时注意药量准确，做到均匀喷雾，避免雾滴飘移，危害周围作物。 4、大风天或预计1小时内有降雨，请勿使用。 5、每季作物最多使用1次。</w:t>
            </w:r>
          </w:p>
        </w:tc>
      </w:tr>
      <w:tr w14:paraId="025DC70C">
        <w:tblPrEx>
          <w:tblCellMar>
            <w:top w:w="0" w:type="dxa"/>
            <w:left w:w="0" w:type="dxa"/>
            <w:bottom w:w="0" w:type="dxa"/>
            <w:right w:w="0" w:type="dxa"/>
          </w:tblCellMar>
        </w:tblPrEx>
        <w:trPr>
          <w:wBefore w:w="0" w:type="auto"/>
          <w:tblCellSpacing w:w="0" w:type="dxa"/>
        </w:trPr>
        <w:tc>
          <w:tcPr>
            <w:tcW w:w="0" w:type="auto"/>
            <w:noWrap w:val="0"/>
            <w:vAlign w:val="center"/>
          </w:tcPr>
          <w:p w14:paraId="61742134">
            <w:r>
              <w:rPr>
                <w:rStyle w:val="10"/>
                <w:rFonts w:hint="eastAsia"/>
              </w:rPr>
              <w:t>产品性能:</w:t>
            </w:r>
            <w:r>
              <w:rPr>
                <w:rFonts w:hint="eastAsia"/>
              </w:rPr>
              <w:br w:type="textWrapping"/>
            </w:r>
            <w:r>
              <w:rPr>
                <w:rStyle w:val="11"/>
                <w:rFonts w:hint="eastAsia"/>
              </w:rPr>
              <w:t>本品是由五氟磺草胺与丙草胺混配而成，对水稻安全，杀草谱广。二者混配对水稻直播田一年生杂草有较好的防治效果。</w:t>
            </w:r>
          </w:p>
        </w:tc>
      </w:tr>
      <w:tr w14:paraId="32C1E6E8">
        <w:tblPrEx>
          <w:tblCellMar>
            <w:top w:w="0" w:type="dxa"/>
            <w:left w:w="0" w:type="dxa"/>
            <w:bottom w:w="0" w:type="dxa"/>
            <w:right w:w="0" w:type="dxa"/>
          </w:tblCellMar>
        </w:tblPrEx>
        <w:trPr>
          <w:wBefore w:w="0" w:type="auto"/>
          <w:tblCellSpacing w:w="0" w:type="dxa"/>
        </w:trPr>
        <w:tc>
          <w:tcPr>
            <w:tcW w:w="0" w:type="auto"/>
            <w:noWrap w:val="0"/>
            <w:vAlign w:val="center"/>
          </w:tcPr>
          <w:p w14:paraId="5E8FEE71">
            <w:r>
              <w:rPr>
                <w:rStyle w:val="10"/>
                <w:rFonts w:hint="eastAsia"/>
              </w:rPr>
              <w:t>注意事项：</w:t>
            </w:r>
            <w:r>
              <w:rPr>
                <w:rFonts w:hint="eastAsia"/>
              </w:rPr>
              <w:br w:type="textWrapping"/>
            </w:r>
            <w:r>
              <w:rPr>
                <w:rStyle w:val="11"/>
                <w:rFonts w:hint="eastAsia"/>
              </w:rPr>
              <w:t>1、施药时避免药液漂移至其他作物上，以防产生药害。2、远离水产养殖区、河塘等水体施药，禁止在河塘等水体中清洗施药器具，清洗器具的废水不能排入河流、池塘等水体。3、蚕室及桑园附近禁用。4、使用本品时应穿戴长衣长裤、帽子、口罩、手套、鞋等，戴护目镜，避免吸入药液。施药期间不可吃东西、喝水和吸烟。施药后应及时洗手和洗脸。 5、禁止儿童、孕妇及哺乳期的妇女接触。过敏者禁用，使用中有任何不良反应请及时就医。6、用过的容器应妥善处理，不可做他用，也不可随意丢弃。</w:t>
            </w:r>
          </w:p>
        </w:tc>
      </w:tr>
      <w:tr w14:paraId="5B73C9CC">
        <w:tblPrEx>
          <w:tblCellMar>
            <w:top w:w="0" w:type="dxa"/>
            <w:left w:w="0" w:type="dxa"/>
            <w:bottom w:w="0" w:type="dxa"/>
            <w:right w:w="0" w:type="dxa"/>
          </w:tblCellMar>
        </w:tblPrEx>
        <w:trPr>
          <w:wBefore w:w="0" w:type="auto"/>
          <w:tblCellSpacing w:w="0" w:type="dxa"/>
        </w:trPr>
        <w:tc>
          <w:tcPr>
            <w:tcW w:w="0" w:type="auto"/>
            <w:noWrap w:val="0"/>
            <w:vAlign w:val="center"/>
          </w:tcPr>
          <w:p w14:paraId="727E753E">
            <w:r>
              <w:rPr>
                <w:rStyle w:val="10"/>
                <w:rFonts w:hint="eastAsia"/>
              </w:rPr>
              <w:t>中毒急救措施：</w:t>
            </w:r>
            <w:r>
              <w:rPr>
                <w:rFonts w:hint="eastAsia"/>
              </w:rPr>
              <w:br w:type="textWrapping"/>
            </w:r>
            <w:r>
              <w:rPr>
                <w:rStyle w:val="11"/>
                <w:rFonts w:hint="eastAsia"/>
              </w:rPr>
              <w:t>对眼睛和皮肤有刺激性，避免药液接触眼睛和皮肤，皮肤接触应立即脱去污染的衣物，用肥皂及清水彻底冲洗。误入眼中应立即拉开眼睑，用流动的清水冲洗15分钟，就医。吸入应马上脱离现场至空气新鲜处。呼吸困难时给输氧。就医。误服中毒，立即送医院对症治疗。尚无特效解毒剂。</w:t>
            </w:r>
          </w:p>
        </w:tc>
      </w:tr>
      <w:tr w14:paraId="31B117AD">
        <w:tblPrEx>
          <w:tblCellMar>
            <w:top w:w="0" w:type="dxa"/>
            <w:left w:w="0" w:type="dxa"/>
            <w:bottom w:w="0" w:type="dxa"/>
            <w:right w:w="0" w:type="dxa"/>
          </w:tblCellMar>
        </w:tblPrEx>
        <w:trPr>
          <w:wBefore w:w="0" w:type="auto"/>
          <w:tblCellSpacing w:w="0" w:type="dxa"/>
        </w:trPr>
        <w:tc>
          <w:tcPr>
            <w:tcW w:w="0" w:type="auto"/>
            <w:noWrap w:val="0"/>
            <w:vAlign w:val="center"/>
          </w:tcPr>
          <w:p w14:paraId="1078BB3E">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本品应贮存在干燥、阴凉、通风、防雨处，远离火源或热源。置于儿童、无关人员触及不到之处，并加锁。勿与食品、饮料、粮食、饲料等物其他商品同贮同运。</w:t>
            </w:r>
          </w:p>
        </w:tc>
      </w:tr>
      <w:tr w14:paraId="0E9205CF">
        <w:tblPrEx>
          <w:tblCellMar>
            <w:top w:w="0" w:type="dxa"/>
            <w:left w:w="0" w:type="dxa"/>
            <w:bottom w:w="0" w:type="dxa"/>
            <w:right w:w="0" w:type="dxa"/>
          </w:tblCellMar>
        </w:tblPrEx>
        <w:trPr>
          <w:wBefore w:w="0" w:type="auto"/>
          <w:tblCellSpacing w:w="0" w:type="dxa"/>
        </w:trPr>
        <w:tc>
          <w:tcPr>
            <w:tcW w:w="0" w:type="auto"/>
            <w:noWrap w:val="0"/>
            <w:vAlign w:val="center"/>
          </w:tcPr>
          <w:p w14:paraId="0EF53DD7">
            <w:r>
              <w:rPr>
                <w:rStyle w:val="10"/>
                <w:rFonts w:hint="eastAsia"/>
              </w:rPr>
              <w:t>质量保证期：</w:t>
            </w:r>
            <w:r>
              <w:rPr>
                <w:rStyle w:val="11"/>
                <w:rFonts w:hint="eastAsia"/>
              </w:rPr>
              <w:t>2年</w:t>
            </w:r>
          </w:p>
        </w:tc>
      </w:tr>
      <w:tr w14:paraId="0D5A470B">
        <w:tblPrEx>
          <w:tblCellMar>
            <w:top w:w="0" w:type="dxa"/>
            <w:left w:w="0" w:type="dxa"/>
            <w:bottom w:w="0" w:type="dxa"/>
            <w:right w:w="0" w:type="dxa"/>
          </w:tblCellMar>
        </w:tblPrEx>
        <w:trPr>
          <w:wBefore w:w="0" w:type="auto"/>
          <w:tblCellSpacing w:w="0" w:type="dxa"/>
        </w:trPr>
        <w:tc>
          <w:tcPr>
            <w:tcW w:w="0" w:type="auto"/>
            <w:noWrap w:val="0"/>
            <w:vAlign w:val="center"/>
          </w:tcPr>
          <w:p w14:paraId="6EEFB92E">
            <w:r>
              <w:rPr>
                <w:rStyle w:val="10"/>
                <w:rFonts w:hint="eastAsia"/>
              </w:rPr>
              <w:t>备注：</w:t>
            </w:r>
          </w:p>
        </w:tc>
      </w:tr>
    </w:tbl>
    <w:p w14:paraId="20B6934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255BEBC">
        <w:tblPrEx>
          <w:tblCellMar>
            <w:top w:w="0" w:type="dxa"/>
            <w:left w:w="0" w:type="dxa"/>
            <w:bottom w:w="0" w:type="dxa"/>
            <w:right w:w="0" w:type="dxa"/>
          </w:tblCellMar>
        </w:tblPrEx>
        <w:trPr>
          <w:wBefore w:w="0" w:type="auto"/>
          <w:tblCellSpacing w:w="0" w:type="dxa"/>
        </w:trPr>
        <w:tc>
          <w:tcPr>
            <w:tcW w:w="0" w:type="auto"/>
            <w:noWrap w:val="0"/>
            <w:vAlign w:val="center"/>
          </w:tcPr>
          <w:p w14:paraId="4C9C7AD1">
            <w:r>
              <w:rPr>
                <w:rStyle w:val="10"/>
                <w:rFonts w:hint="eastAsia"/>
              </w:rPr>
              <w:t>登记证号：</w:t>
            </w:r>
            <w:r>
              <w:rPr>
                <w:rFonts w:hint="eastAsia"/>
              </w:rPr>
              <w:t>PD20212000</w:t>
            </w:r>
          </w:p>
        </w:tc>
      </w:tr>
      <w:tr w14:paraId="40858752">
        <w:tblPrEx>
          <w:tblCellMar>
            <w:top w:w="0" w:type="dxa"/>
            <w:left w:w="0" w:type="dxa"/>
            <w:bottom w:w="0" w:type="dxa"/>
            <w:right w:w="0" w:type="dxa"/>
          </w:tblCellMar>
        </w:tblPrEx>
        <w:trPr>
          <w:wBefore w:w="0" w:type="auto"/>
          <w:tblCellSpacing w:w="0" w:type="dxa"/>
        </w:trPr>
        <w:tc>
          <w:tcPr>
            <w:tcW w:w="0" w:type="auto"/>
            <w:noWrap w:val="0"/>
            <w:vAlign w:val="center"/>
          </w:tcPr>
          <w:p w14:paraId="0F7ED96A">
            <w:r>
              <w:rPr>
                <w:rStyle w:val="10"/>
                <w:rFonts w:hint="eastAsia"/>
              </w:rPr>
              <w:t>登记证持有人：</w:t>
            </w:r>
            <w:r>
              <w:rPr>
                <w:rFonts w:hint="eastAsia"/>
              </w:rPr>
              <w:t>鹤壁全丰生物科技有限公司</w:t>
            </w:r>
          </w:p>
        </w:tc>
      </w:tr>
      <w:tr w14:paraId="048E643B">
        <w:tblPrEx>
          <w:tblCellMar>
            <w:top w:w="0" w:type="dxa"/>
            <w:left w:w="0" w:type="dxa"/>
            <w:bottom w:w="0" w:type="dxa"/>
            <w:right w:w="0" w:type="dxa"/>
          </w:tblCellMar>
        </w:tblPrEx>
        <w:trPr>
          <w:wBefore w:w="0" w:type="auto"/>
          <w:tblCellSpacing w:w="0" w:type="dxa"/>
        </w:trPr>
        <w:tc>
          <w:tcPr>
            <w:tcW w:w="0" w:type="auto"/>
            <w:noWrap w:val="0"/>
            <w:vAlign w:val="center"/>
          </w:tcPr>
          <w:p w14:paraId="3CCCCB1B">
            <w:r>
              <w:rPr>
                <w:rStyle w:val="10"/>
                <w:rFonts w:hint="eastAsia"/>
              </w:rPr>
              <w:t>农药名称：</w:t>
            </w:r>
            <w:r>
              <w:rPr>
                <w:rFonts w:hint="eastAsia"/>
              </w:rPr>
              <w:t>啶酰菌胺</w:t>
            </w:r>
          </w:p>
        </w:tc>
      </w:tr>
      <w:tr w14:paraId="24C1988E">
        <w:tblPrEx>
          <w:tblCellMar>
            <w:top w:w="0" w:type="dxa"/>
            <w:left w:w="0" w:type="dxa"/>
            <w:bottom w:w="0" w:type="dxa"/>
            <w:right w:w="0" w:type="dxa"/>
          </w:tblCellMar>
        </w:tblPrEx>
        <w:trPr>
          <w:wBefore w:w="0" w:type="auto"/>
          <w:tblCellSpacing w:w="0" w:type="dxa"/>
        </w:trPr>
        <w:tc>
          <w:tcPr>
            <w:tcW w:w="0" w:type="auto"/>
            <w:noWrap w:val="0"/>
            <w:vAlign w:val="center"/>
          </w:tcPr>
          <w:p w14:paraId="668D4215">
            <w:r>
              <w:rPr>
                <w:rStyle w:val="10"/>
                <w:rFonts w:hint="eastAsia"/>
              </w:rPr>
              <w:t>剂型：</w:t>
            </w:r>
            <w:r>
              <w:rPr>
                <w:rFonts w:hint="eastAsia"/>
              </w:rPr>
              <w:t>水分散粒剂</w:t>
            </w:r>
          </w:p>
        </w:tc>
      </w:tr>
      <w:tr w14:paraId="354362A6">
        <w:tblPrEx>
          <w:tblCellMar>
            <w:top w:w="0" w:type="dxa"/>
            <w:left w:w="0" w:type="dxa"/>
            <w:bottom w:w="0" w:type="dxa"/>
            <w:right w:w="0" w:type="dxa"/>
          </w:tblCellMar>
        </w:tblPrEx>
        <w:trPr>
          <w:wBefore w:w="0" w:type="auto"/>
          <w:tblCellSpacing w:w="0" w:type="dxa"/>
        </w:trPr>
        <w:tc>
          <w:tcPr>
            <w:tcW w:w="0" w:type="auto"/>
            <w:noWrap w:val="0"/>
            <w:vAlign w:val="center"/>
          </w:tcPr>
          <w:p w14:paraId="20D5D0DD">
            <w:r>
              <w:rPr>
                <w:rStyle w:val="10"/>
                <w:rFonts w:hint="eastAsia"/>
              </w:rPr>
              <w:t>毒性及其标识：</w:t>
            </w:r>
            <w:r>
              <w:rPr>
                <w:rFonts w:hint="eastAsia"/>
              </w:rPr>
              <w:t xml:space="preserve"> </w:t>
            </w:r>
            <w:r>
              <w:rPr>
                <w:lang/>
              </w:rPr>
              <w:drawing>
                <wp:inline distT="0" distB="0" distL="114300" distR="114300">
                  <wp:extent cx="476250" cy="323850"/>
                  <wp:effectExtent l="0" t="0" r="0" b="0"/>
                  <wp:docPr id="275" name="图片 27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F5F6820">
        <w:tblPrEx>
          <w:tblCellMar>
            <w:top w:w="0" w:type="dxa"/>
            <w:left w:w="0" w:type="dxa"/>
            <w:bottom w:w="0" w:type="dxa"/>
            <w:right w:w="0" w:type="dxa"/>
          </w:tblCellMar>
        </w:tblPrEx>
        <w:trPr>
          <w:wBefore w:w="0" w:type="auto"/>
          <w:tblCellSpacing w:w="0" w:type="dxa"/>
        </w:trPr>
        <w:tc>
          <w:tcPr>
            <w:tcW w:w="0" w:type="auto"/>
            <w:noWrap w:val="0"/>
            <w:vAlign w:val="center"/>
          </w:tcPr>
          <w:p w14:paraId="600D2138">
            <w:r>
              <w:rPr>
                <w:rStyle w:val="10"/>
                <w:rFonts w:hint="eastAsia"/>
              </w:rPr>
              <w:t>总有效成分含量：</w:t>
            </w:r>
            <w:r>
              <w:rPr>
                <w:rFonts w:hint="eastAsia"/>
              </w:rPr>
              <w:t>50%</w:t>
            </w:r>
          </w:p>
        </w:tc>
      </w:tr>
      <w:tr w14:paraId="4082D655">
        <w:tblPrEx>
          <w:tblCellMar>
            <w:top w:w="0" w:type="dxa"/>
            <w:left w:w="0" w:type="dxa"/>
            <w:bottom w:w="0" w:type="dxa"/>
            <w:right w:w="0" w:type="dxa"/>
          </w:tblCellMar>
        </w:tblPrEx>
        <w:trPr>
          <w:wBefore w:w="0" w:type="auto"/>
          <w:tblCellSpacing w:w="0" w:type="dxa"/>
        </w:trPr>
        <w:tc>
          <w:tcPr>
            <w:tcW w:w="0" w:type="auto"/>
            <w:noWrap w:val="0"/>
            <w:vAlign w:val="center"/>
          </w:tcPr>
          <w:p w14:paraId="033CD200">
            <w:r>
              <w:rPr>
                <w:rFonts w:hint="eastAsia"/>
              </w:rPr>
              <w:t xml:space="preserve">有效成分及其含量： </w:t>
            </w:r>
          </w:p>
          <w:p w14:paraId="2C7D448B">
            <w:r>
              <w:rPr>
                <w:rFonts w:hint="eastAsia"/>
              </w:rPr>
              <w:t xml:space="preserve">    啶酰菌胺50%    </w:t>
            </w:r>
          </w:p>
        </w:tc>
      </w:tr>
      <w:tr w14:paraId="225DF235">
        <w:tblPrEx>
          <w:tblCellMar>
            <w:top w:w="0" w:type="dxa"/>
            <w:left w:w="0" w:type="dxa"/>
            <w:bottom w:w="0" w:type="dxa"/>
            <w:right w:w="0" w:type="dxa"/>
          </w:tblCellMar>
        </w:tblPrEx>
        <w:trPr>
          <w:wBefore w:w="0" w:type="auto"/>
          <w:tblCellSpacing w:w="0" w:type="dxa"/>
        </w:trPr>
        <w:tc>
          <w:tcPr>
            <w:tcW w:w="0" w:type="auto"/>
            <w:noWrap w:val="0"/>
            <w:vAlign w:val="center"/>
          </w:tcPr>
          <w:p w14:paraId="76A5469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AD3F5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B89144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272F4E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0F0B8A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665B87">
                  <w:r>
                    <w:rPr>
                      <w:rStyle w:val="11"/>
                      <w:rFonts w:hint="eastAsia"/>
                    </w:rPr>
                    <w:t>施用方式</w:t>
                  </w:r>
                </w:p>
              </w:tc>
            </w:tr>
            <w:tr w14:paraId="1040B9B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E2745D">
                  <w:r>
                    <w:rPr>
                      <w:rStyle w:val="11"/>
                      <w:rFonts w:hint="eastAsia"/>
                    </w:rPr>
                    <w:t>草莓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812F46">
                  <w:r>
                    <w:rPr>
                      <w:rStyle w:val="11"/>
                      <w:rFonts w:hint="eastAsia"/>
                    </w:rPr>
                    <w:t>灰霉病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BD50EF">
                  <w:r>
                    <w:rPr>
                      <w:rStyle w:val="11"/>
                      <w:rFonts w:hint="eastAsia"/>
                    </w:rPr>
                    <w:t>30-45克/亩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DF7027">
                  <w:r>
                    <w:rPr>
                      <w:rStyle w:val="11"/>
                      <w:rFonts w:hint="eastAsia"/>
                    </w:rPr>
                    <w:t>喷雾</w:t>
                  </w:r>
                </w:p>
              </w:tc>
            </w:tr>
          </w:tbl>
          <w:p w14:paraId="39797D6D">
            <w:pPr>
              <w:rPr>
                <w:rFonts w:ascii="Times New Roman" w:hAnsi="Times New Roman" w:cs="Times New Roman"/>
                <w:sz w:val="20"/>
                <w:szCs w:val="20"/>
              </w:rPr>
            </w:pPr>
          </w:p>
        </w:tc>
      </w:tr>
      <w:tr w14:paraId="472E11B6">
        <w:tblPrEx>
          <w:tblCellMar>
            <w:top w:w="0" w:type="dxa"/>
            <w:left w:w="0" w:type="dxa"/>
            <w:bottom w:w="0" w:type="dxa"/>
            <w:right w:w="0" w:type="dxa"/>
          </w:tblCellMar>
        </w:tblPrEx>
        <w:trPr>
          <w:wBefore w:w="0" w:type="auto"/>
          <w:tblCellSpacing w:w="0" w:type="dxa"/>
        </w:trPr>
        <w:tc>
          <w:tcPr>
            <w:tcW w:w="0" w:type="auto"/>
            <w:noWrap w:val="0"/>
            <w:vAlign w:val="center"/>
          </w:tcPr>
          <w:p w14:paraId="62DB689D">
            <w:r>
              <w:rPr>
                <w:rStyle w:val="10"/>
                <w:rFonts w:hint="eastAsia"/>
              </w:rPr>
              <w:t>使用技术要求:</w:t>
            </w:r>
            <w:r>
              <w:rPr>
                <w:rFonts w:hint="eastAsia"/>
              </w:rPr>
              <w:br w:type="textWrapping"/>
            </w:r>
            <w:r>
              <w:rPr>
                <w:rStyle w:val="11"/>
                <w:rFonts w:hint="eastAsia"/>
              </w:rPr>
              <w:t>1.在草莓灰霉病发病前或发病初期兑水均匀喷雾施药，施药2-3次，每次间隔7-10天。2.在草莓上使用的安全间隔期5天，每季最多使用3次。</w:t>
            </w:r>
          </w:p>
        </w:tc>
      </w:tr>
      <w:tr w14:paraId="0D6FB250">
        <w:tblPrEx>
          <w:tblCellMar>
            <w:top w:w="0" w:type="dxa"/>
            <w:left w:w="0" w:type="dxa"/>
            <w:bottom w:w="0" w:type="dxa"/>
            <w:right w:w="0" w:type="dxa"/>
          </w:tblCellMar>
        </w:tblPrEx>
        <w:trPr>
          <w:wBefore w:w="0" w:type="auto"/>
          <w:tblCellSpacing w:w="0" w:type="dxa"/>
        </w:trPr>
        <w:tc>
          <w:tcPr>
            <w:tcW w:w="0" w:type="auto"/>
            <w:noWrap w:val="0"/>
            <w:vAlign w:val="center"/>
          </w:tcPr>
          <w:p w14:paraId="28806641">
            <w:r>
              <w:rPr>
                <w:rStyle w:val="10"/>
                <w:rFonts w:hint="eastAsia"/>
              </w:rPr>
              <w:t>产品性能:</w:t>
            </w:r>
            <w:r>
              <w:rPr>
                <w:rFonts w:hint="eastAsia"/>
              </w:rPr>
              <w:br w:type="textWrapping"/>
            </w:r>
            <w:r>
              <w:rPr>
                <w:rStyle w:val="11"/>
                <w:rFonts w:hint="eastAsia"/>
              </w:rPr>
              <w:t>啶酰菌胺为线粒体电子传递链中的琥珀酸泛醌还原酶（复合体Ⅱ）抑制剂。抑制孢子萌发、芽管伸长等，在真菌生长各个阶段均有效。具有保护和治疗作用，在植物叶部具有层间传导和向顶传导作用。可用于防治草莓灰霉病。</w:t>
            </w:r>
          </w:p>
        </w:tc>
      </w:tr>
      <w:tr w14:paraId="6E55FD93">
        <w:tblPrEx>
          <w:tblCellMar>
            <w:top w:w="0" w:type="dxa"/>
            <w:left w:w="0" w:type="dxa"/>
            <w:bottom w:w="0" w:type="dxa"/>
            <w:right w:w="0" w:type="dxa"/>
          </w:tblCellMar>
        </w:tblPrEx>
        <w:trPr>
          <w:wBefore w:w="0" w:type="auto"/>
          <w:tblCellSpacing w:w="0" w:type="dxa"/>
        </w:trPr>
        <w:tc>
          <w:tcPr>
            <w:tcW w:w="0" w:type="auto"/>
            <w:noWrap w:val="0"/>
            <w:vAlign w:val="center"/>
          </w:tcPr>
          <w:p w14:paraId="17AC0ABB">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2.远离水产养殖区、河塘等水体施药，禁止在河塘等水体中清洗施药器具。蚕室及桑园附近禁用。3.建议与作用机制不同的杀菌剂轮换使用，以延缓抗性产生。4.用过的容器应妥善处理，不可做他用，也不可随意丢弃。5.禁止儿童、孕妇及哺乳期的妇女接触。过敏者禁用，使用中有任何不良反应请及时就医。</w:t>
            </w:r>
          </w:p>
        </w:tc>
      </w:tr>
      <w:tr w14:paraId="3E847A0B">
        <w:tblPrEx>
          <w:tblCellMar>
            <w:top w:w="0" w:type="dxa"/>
            <w:left w:w="0" w:type="dxa"/>
            <w:bottom w:w="0" w:type="dxa"/>
            <w:right w:w="0" w:type="dxa"/>
          </w:tblCellMar>
        </w:tblPrEx>
        <w:trPr>
          <w:wBefore w:w="0" w:type="auto"/>
          <w:tblCellSpacing w:w="0" w:type="dxa"/>
        </w:trPr>
        <w:tc>
          <w:tcPr>
            <w:tcW w:w="0" w:type="auto"/>
            <w:noWrap w:val="0"/>
            <w:vAlign w:val="center"/>
          </w:tcPr>
          <w:p w14:paraId="0EF30104">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 皮肤接触：脱去污染的衣物，用软布去除污染农药，立即用大量清水和肥皂冲洗。 眼睛接触：立即用流动清水冲洗至少15分钟。 吸入：立即离开施药现场，转移到空气清新处。 误服：立即停止服用，用清水充分漱口后立即携带农药标签到医院就诊。本品无特效解毒剂，对症治疗。 </w:t>
            </w:r>
          </w:p>
        </w:tc>
      </w:tr>
      <w:tr w14:paraId="112E1C7F">
        <w:tblPrEx>
          <w:tblCellMar>
            <w:top w:w="0" w:type="dxa"/>
            <w:left w:w="0" w:type="dxa"/>
            <w:bottom w:w="0" w:type="dxa"/>
            <w:right w:w="0" w:type="dxa"/>
          </w:tblCellMar>
        </w:tblPrEx>
        <w:trPr>
          <w:wBefore w:w="0" w:type="auto"/>
          <w:tblCellSpacing w:w="0" w:type="dxa"/>
        </w:trPr>
        <w:tc>
          <w:tcPr>
            <w:tcW w:w="0" w:type="auto"/>
            <w:noWrap w:val="0"/>
            <w:vAlign w:val="center"/>
          </w:tcPr>
          <w:p w14:paraId="5906DBA8">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本品应贮存在干燥、阴凉、通风、防雨处，远离火源或热源。置于儿童接触不到的地方，并加锁。不能与食品、饮料、粮食、饲料等混合储存。</w:t>
            </w:r>
          </w:p>
        </w:tc>
      </w:tr>
      <w:tr w14:paraId="21198EEA">
        <w:tblPrEx>
          <w:tblCellMar>
            <w:top w:w="0" w:type="dxa"/>
            <w:left w:w="0" w:type="dxa"/>
            <w:bottom w:w="0" w:type="dxa"/>
            <w:right w:w="0" w:type="dxa"/>
          </w:tblCellMar>
        </w:tblPrEx>
        <w:trPr>
          <w:wBefore w:w="0" w:type="auto"/>
          <w:tblCellSpacing w:w="0" w:type="dxa"/>
        </w:trPr>
        <w:tc>
          <w:tcPr>
            <w:tcW w:w="0" w:type="auto"/>
            <w:noWrap w:val="0"/>
            <w:vAlign w:val="center"/>
          </w:tcPr>
          <w:p w14:paraId="54C7C5F1">
            <w:r>
              <w:rPr>
                <w:rStyle w:val="10"/>
                <w:rFonts w:hint="eastAsia"/>
              </w:rPr>
              <w:t>质量保证期：</w:t>
            </w:r>
            <w:r>
              <w:rPr>
                <w:rStyle w:val="11"/>
                <w:rFonts w:hint="eastAsia"/>
              </w:rPr>
              <w:t>2年</w:t>
            </w:r>
          </w:p>
        </w:tc>
      </w:tr>
      <w:tr w14:paraId="07CDAE17">
        <w:tblPrEx>
          <w:tblCellMar>
            <w:top w:w="0" w:type="dxa"/>
            <w:left w:w="0" w:type="dxa"/>
            <w:bottom w:w="0" w:type="dxa"/>
            <w:right w:w="0" w:type="dxa"/>
          </w:tblCellMar>
        </w:tblPrEx>
        <w:trPr>
          <w:wBefore w:w="0" w:type="auto"/>
          <w:tblCellSpacing w:w="0" w:type="dxa"/>
        </w:trPr>
        <w:tc>
          <w:tcPr>
            <w:tcW w:w="0" w:type="auto"/>
            <w:noWrap w:val="0"/>
            <w:vAlign w:val="center"/>
          </w:tcPr>
          <w:p w14:paraId="119991C8">
            <w:r>
              <w:rPr>
                <w:rStyle w:val="10"/>
                <w:rFonts w:hint="eastAsia"/>
              </w:rPr>
              <w:t>备注：</w:t>
            </w:r>
          </w:p>
        </w:tc>
      </w:tr>
    </w:tbl>
    <w:p w14:paraId="2AC89B6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9A7CE6B">
        <w:tblPrEx>
          <w:tblCellMar>
            <w:top w:w="0" w:type="dxa"/>
            <w:left w:w="0" w:type="dxa"/>
            <w:bottom w:w="0" w:type="dxa"/>
            <w:right w:w="0" w:type="dxa"/>
          </w:tblCellMar>
        </w:tblPrEx>
        <w:trPr>
          <w:wBefore w:w="0" w:type="auto"/>
          <w:tblCellSpacing w:w="0" w:type="dxa"/>
        </w:trPr>
        <w:tc>
          <w:tcPr>
            <w:tcW w:w="0" w:type="auto"/>
            <w:noWrap w:val="0"/>
            <w:vAlign w:val="center"/>
          </w:tcPr>
          <w:p w14:paraId="768A9B2F">
            <w:r>
              <w:rPr>
                <w:rStyle w:val="10"/>
                <w:rFonts w:hint="eastAsia"/>
              </w:rPr>
              <w:t>登记证号：</w:t>
            </w:r>
            <w:r>
              <w:rPr>
                <w:rFonts w:hint="eastAsia"/>
              </w:rPr>
              <w:t>PD20211775</w:t>
            </w:r>
          </w:p>
        </w:tc>
      </w:tr>
      <w:tr w14:paraId="05DFFA71">
        <w:tblPrEx>
          <w:tblCellMar>
            <w:top w:w="0" w:type="dxa"/>
            <w:left w:w="0" w:type="dxa"/>
            <w:bottom w:w="0" w:type="dxa"/>
            <w:right w:w="0" w:type="dxa"/>
          </w:tblCellMar>
        </w:tblPrEx>
        <w:trPr>
          <w:wBefore w:w="0" w:type="auto"/>
          <w:tblCellSpacing w:w="0" w:type="dxa"/>
        </w:trPr>
        <w:tc>
          <w:tcPr>
            <w:tcW w:w="0" w:type="auto"/>
            <w:noWrap w:val="0"/>
            <w:vAlign w:val="center"/>
          </w:tcPr>
          <w:p w14:paraId="2C889A0B">
            <w:r>
              <w:rPr>
                <w:rStyle w:val="10"/>
                <w:rFonts w:hint="eastAsia"/>
              </w:rPr>
              <w:t>登记证持有人：</w:t>
            </w:r>
            <w:r>
              <w:rPr>
                <w:rFonts w:hint="eastAsia"/>
              </w:rPr>
              <w:t>江西大山科技有限公司</w:t>
            </w:r>
          </w:p>
        </w:tc>
      </w:tr>
      <w:tr w14:paraId="4C35EC28">
        <w:tblPrEx>
          <w:tblCellMar>
            <w:top w:w="0" w:type="dxa"/>
            <w:left w:w="0" w:type="dxa"/>
            <w:bottom w:w="0" w:type="dxa"/>
            <w:right w:w="0" w:type="dxa"/>
          </w:tblCellMar>
        </w:tblPrEx>
        <w:trPr>
          <w:wBefore w:w="0" w:type="auto"/>
          <w:tblCellSpacing w:w="0" w:type="dxa"/>
        </w:trPr>
        <w:tc>
          <w:tcPr>
            <w:tcW w:w="0" w:type="auto"/>
            <w:noWrap w:val="0"/>
            <w:vAlign w:val="center"/>
          </w:tcPr>
          <w:p w14:paraId="30063704">
            <w:r>
              <w:rPr>
                <w:rStyle w:val="10"/>
                <w:rFonts w:hint="eastAsia"/>
              </w:rPr>
              <w:t>农药名称：</w:t>
            </w:r>
            <w:r>
              <w:rPr>
                <w:rFonts w:hint="eastAsia"/>
              </w:rPr>
              <w:t>虫螨腈·虱螨脲</w:t>
            </w:r>
          </w:p>
        </w:tc>
      </w:tr>
      <w:tr w14:paraId="1F8CF040">
        <w:tblPrEx>
          <w:tblCellMar>
            <w:top w:w="0" w:type="dxa"/>
            <w:left w:w="0" w:type="dxa"/>
            <w:bottom w:w="0" w:type="dxa"/>
            <w:right w:w="0" w:type="dxa"/>
          </w:tblCellMar>
        </w:tblPrEx>
        <w:trPr>
          <w:wBefore w:w="0" w:type="auto"/>
          <w:tblCellSpacing w:w="0" w:type="dxa"/>
        </w:trPr>
        <w:tc>
          <w:tcPr>
            <w:tcW w:w="0" w:type="auto"/>
            <w:noWrap w:val="0"/>
            <w:vAlign w:val="center"/>
          </w:tcPr>
          <w:p w14:paraId="4F2976E4">
            <w:r>
              <w:rPr>
                <w:rStyle w:val="10"/>
                <w:rFonts w:hint="eastAsia"/>
              </w:rPr>
              <w:t>剂型：</w:t>
            </w:r>
            <w:r>
              <w:rPr>
                <w:rFonts w:hint="eastAsia"/>
              </w:rPr>
              <w:t>悬浮剂</w:t>
            </w:r>
          </w:p>
        </w:tc>
      </w:tr>
      <w:tr w14:paraId="72399214">
        <w:tblPrEx>
          <w:tblCellMar>
            <w:top w:w="0" w:type="dxa"/>
            <w:left w:w="0" w:type="dxa"/>
            <w:bottom w:w="0" w:type="dxa"/>
            <w:right w:w="0" w:type="dxa"/>
          </w:tblCellMar>
        </w:tblPrEx>
        <w:trPr>
          <w:wBefore w:w="0" w:type="auto"/>
          <w:tblCellSpacing w:w="0" w:type="dxa"/>
        </w:trPr>
        <w:tc>
          <w:tcPr>
            <w:tcW w:w="0" w:type="auto"/>
            <w:noWrap w:val="0"/>
            <w:vAlign w:val="center"/>
          </w:tcPr>
          <w:p w14:paraId="085051AE">
            <w:r>
              <w:rPr>
                <w:rStyle w:val="10"/>
                <w:rFonts w:hint="eastAsia"/>
              </w:rPr>
              <w:t>毒性及其标识：</w:t>
            </w:r>
            <w:r>
              <w:rPr>
                <w:rFonts w:hint="eastAsia"/>
              </w:rPr>
              <w:t xml:space="preserve"> 微毒 </w:t>
            </w:r>
          </w:p>
        </w:tc>
      </w:tr>
      <w:tr w14:paraId="1CB40796">
        <w:tblPrEx>
          <w:tblCellMar>
            <w:top w:w="0" w:type="dxa"/>
            <w:left w:w="0" w:type="dxa"/>
            <w:bottom w:w="0" w:type="dxa"/>
            <w:right w:w="0" w:type="dxa"/>
          </w:tblCellMar>
        </w:tblPrEx>
        <w:trPr>
          <w:wBefore w:w="0" w:type="auto"/>
          <w:tblCellSpacing w:w="0" w:type="dxa"/>
        </w:trPr>
        <w:tc>
          <w:tcPr>
            <w:tcW w:w="0" w:type="auto"/>
            <w:noWrap w:val="0"/>
            <w:vAlign w:val="center"/>
          </w:tcPr>
          <w:p w14:paraId="3212FFD7">
            <w:r>
              <w:rPr>
                <w:rStyle w:val="10"/>
                <w:rFonts w:hint="eastAsia"/>
              </w:rPr>
              <w:t>总有效成分含量：</w:t>
            </w:r>
            <w:r>
              <w:rPr>
                <w:rFonts w:hint="eastAsia"/>
              </w:rPr>
              <w:t>12%</w:t>
            </w:r>
          </w:p>
        </w:tc>
      </w:tr>
      <w:tr w14:paraId="742B307B">
        <w:tblPrEx>
          <w:tblCellMar>
            <w:top w:w="0" w:type="dxa"/>
            <w:left w:w="0" w:type="dxa"/>
            <w:bottom w:w="0" w:type="dxa"/>
            <w:right w:w="0" w:type="dxa"/>
          </w:tblCellMar>
        </w:tblPrEx>
        <w:trPr>
          <w:wBefore w:w="0" w:type="auto"/>
          <w:tblCellSpacing w:w="0" w:type="dxa"/>
        </w:trPr>
        <w:tc>
          <w:tcPr>
            <w:tcW w:w="0" w:type="auto"/>
            <w:noWrap w:val="0"/>
            <w:vAlign w:val="center"/>
          </w:tcPr>
          <w:p w14:paraId="3D55D6F9">
            <w:r>
              <w:rPr>
                <w:rFonts w:hint="eastAsia"/>
              </w:rPr>
              <w:t xml:space="preserve">有效成分及其含量： </w:t>
            </w:r>
          </w:p>
          <w:p w14:paraId="0437D661">
            <w:r>
              <w:rPr>
                <w:rFonts w:hint="eastAsia"/>
              </w:rPr>
              <w:t xml:space="preserve">    虫螨腈9.5%    虱螨脲2.5%    </w:t>
            </w:r>
          </w:p>
        </w:tc>
      </w:tr>
      <w:tr w14:paraId="3AF32F14">
        <w:tblPrEx>
          <w:tblCellMar>
            <w:top w:w="0" w:type="dxa"/>
            <w:left w:w="0" w:type="dxa"/>
            <w:bottom w:w="0" w:type="dxa"/>
            <w:right w:w="0" w:type="dxa"/>
          </w:tblCellMar>
        </w:tblPrEx>
        <w:trPr>
          <w:wBefore w:w="0" w:type="auto"/>
          <w:tblCellSpacing w:w="0" w:type="dxa"/>
        </w:trPr>
        <w:tc>
          <w:tcPr>
            <w:tcW w:w="0" w:type="auto"/>
            <w:noWrap w:val="0"/>
            <w:vAlign w:val="center"/>
          </w:tcPr>
          <w:p w14:paraId="2C13B4A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9F22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3522B2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A0A242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630072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1DB6C91">
                  <w:r>
                    <w:rPr>
                      <w:rStyle w:val="11"/>
                      <w:rFonts w:hint="eastAsia"/>
                    </w:rPr>
                    <w:t>施用方式</w:t>
                  </w:r>
                </w:p>
              </w:tc>
            </w:tr>
            <w:tr w14:paraId="3D10A8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267C2CC">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0A18E2">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911D95">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2CC2D3">
                  <w:r>
                    <w:rPr>
                      <w:rStyle w:val="11"/>
                      <w:rFonts w:hint="eastAsia"/>
                    </w:rPr>
                    <w:t>喷雾</w:t>
                  </w:r>
                </w:p>
              </w:tc>
            </w:tr>
          </w:tbl>
          <w:p w14:paraId="235A0269">
            <w:pPr>
              <w:rPr>
                <w:rFonts w:ascii="Times New Roman" w:hAnsi="Times New Roman" w:cs="Times New Roman"/>
                <w:sz w:val="20"/>
                <w:szCs w:val="20"/>
              </w:rPr>
            </w:pPr>
          </w:p>
        </w:tc>
      </w:tr>
      <w:tr w14:paraId="728D9CC9">
        <w:tblPrEx>
          <w:tblCellMar>
            <w:top w:w="0" w:type="dxa"/>
            <w:left w:w="0" w:type="dxa"/>
            <w:bottom w:w="0" w:type="dxa"/>
            <w:right w:w="0" w:type="dxa"/>
          </w:tblCellMar>
        </w:tblPrEx>
        <w:trPr>
          <w:wBefore w:w="0" w:type="auto"/>
          <w:tblCellSpacing w:w="0" w:type="dxa"/>
        </w:trPr>
        <w:tc>
          <w:tcPr>
            <w:tcW w:w="0" w:type="auto"/>
            <w:noWrap w:val="0"/>
            <w:vAlign w:val="center"/>
          </w:tcPr>
          <w:p w14:paraId="4A9851D8">
            <w:r>
              <w:rPr>
                <w:rStyle w:val="10"/>
                <w:rFonts w:hint="eastAsia"/>
              </w:rPr>
              <w:t>使用技术要求:</w:t>
            </w:r>
            <w:r>
              <w:rPr>
                <w:rFonts w:hint="eastAsia"/>
              </w:rPr>
              <w:br w:type="textWrapping"/>
            </w:r>
            <w:r>
              <w:rPr>
                <w:rStyle w:val="11"/>
                <w:rFonts w:hint="eastAsia"/>
              </w:rPr>
              <w:t>1. 于甘蓝甜菜夜蛾低龄幼虫始盛期喷雾施药1次，对甘蓝叶片正反两面均匀喷 雾。 2. 大风天或预计1小时内降雨，请勿施药。 3. 本品在甘蓝上的安全间隔期14天，每季最多使用1次。</w:t>
            </w:r>
          </w:p>
        </w:tc>
      </w:tr>
      <w:tr w14:paraId="01D5DFE7">
        <w:tblPrEx>
          <w:tblCellMar>
            <w:top w:w="0" w:type="dxa"/>
            <w:left w:w="0" w:type="dxa"/>
            <w:bottom w:w="0" w:type="dxa"/>
            <w:right w:w="0" w:type="dxa"/>
          </w:tblCellMar>
        </w:tblPrEx>
        <w:trPr>
          <w:wBefore w:w="0" w:type="auto"/>
          <w:tblCellSpacing w:w="0" w:type="dxa"/>
        </w:trPr>
        <w:tc>
          <w:tcPr>
            <w:tcW w:w="0" w:type="auto"/>
            <w:noWrap w:val="0"/>
            <w:vAlign w:val="center"/>
          </w:tcPr>
          <w:p w14:paraId="1428EA83">
            <w:r>
              <w:rPr>
                <w:rStyle w:val="10"/>
                <w:rFonts w:hint="eastAsia"/>
              </w:rPr>
              <w:t>产品性能:</w:t>
            </w:r>
            <w:r>
              <w:rPr>
                <w:rFonts w:hint="eastAsia"/>
              </w:rPr>
              <w:br w:type="textWrapping"/>
            </w:r>
            <w:r>
              <w:rPr>
                <w:rStyle w:val="11"/>
                <w:rFonts w:hint="eastAsia"/>
              </w:rPr>
              <w:t>本品是新型吡咯类化合物和取代脲类复配杀虫剂，具有胃毒、触杀和内吸 作用，在叶面渗透性强，对甘蓝甜菜夜蛾有较好的防治效果。</w:t>
            </w:r>
          </w:p>
        </w:tc>
      </w:tr>
      <w:tr w14:paraId="6273E340">
        <w:tblPrEx>
          <w:tblCellMar>
            <w:top w:w="0" w:type="dxa"/>
            <w:left w:w="0" w:type="dxa"/>
            <w:bottom w:w="0" w:type="dxa"/>
            <w:right w:w="0" w:type="dxa"/>
          </w:tblCellMar>
        </w:tblPrEx>
        <w:trPr>
          <w:wBefore w:w="0" w:type="auto"/>
          <w:tblCellSpacing w:w="0" w:type="dxa"/>
        </w:trPr>
        <w:tc>
          <w:tcPr>
            <w:tcW w:w="0" w:type="auto"/>
            <w:noWrap w:val="0"/>
            <w:vAlign w:val="center"/>
          </w:tcPr>
          <w:p w14:paraId="4886ED23">
            <w:r>
              <w:rPr>
                <w:rStyle w:val="10"/>
                <w:rFonts w:hint="eastAsia"/>
              </w:rPr>
              <w:t>注意事项：</w:t>
            </w:r>
            <w:r>
              <w:rPr>
                <w:rFonts w:hint="eastAsia"/>
              </w:rPr>
              <w:br w:type="textWrapping"/>
            </w:r>
            <w:r>
              <w:rPr>
                <w:rStyle w:val="11"/>
                <w:rFonts w:hint="eastAsia"/>
              </w:rPr>
              <w:t>1. 严格按照规定用药量和方法使用。使用时穿戴长衣、长裤、帽子、口罩、手套等安全防护措施。避免皮肤接触及口鼻吸入。使用中不可吸烟、 饮水及吃东西，使用后及时清洗手、脸等暴露部位皮肤并更换衣物。 2. 本品不宜与碱性农药混合使用，建议与其他不同作用机制的杀虫剂交 替使用，以延缓抗性的产生。 3. 本品对蜜蜂、鱼类等水生生物、家蚕、鸟类有毒。施药期间应避免 对周围蜂群的影响，（周围）开花植物花期、蚕室和桑园附近禁用。施药时远离 水产养殖区、河塘等水体，禁止在河塘等水域内清洗施药器具。鸟类保 护区和天敌赤眼蜂放飞区禁用。 4. 用药后包装物及用过的容器请妥善处理，不可用作他用，也不可随意 丢弃。 5. 孕妇和哺乳期妇女禁止接触本品。</w:t>
            </w:r>
          </w:p>
        </w:tc>
      </w:tr>
      <w:tr w14:paraId="4375DC45">
        <w:tblPrEx>
          <w:tblCellMar>
            <w:top w:w="0" w:type="dxa"/>
            <w:left w:w="0" w:type="dxa"/>
            <w:bottom w:w="0" w:type="dxa"/>
            <w:right w:w="0" w:type="dxa"/>
          </w:tblCellMar>
        </w:tblPrEx>
        <w:trPr>
          <w:wBefore w:w="0" w:type="auto"/>
          <w:tblCellSpacing w:w="0" w:type="dxa"/>
        </w:trPr>
        <w:tc>
          <w:tcPr>
            <w:tcW w:w="0" w:type="auto"/>
            <w:noWrap w:val="0"/>
            <w:vAlign w:val="center"/>
          </w:tcPr>
          <w:p w14:paraId="64056EA9">
            <w:r>
              <w:rPr>
                <w:rStyle w:val="10"/>
                <w:rFonts w:hint="eastAsia"/>
              </w:rPr>
              <w:t>中毒急救措施：</w:t>
            </w:r>
            <w:r>
              <w:rPr>
                <w:rFonts w:hint="eastAsia"/>
              </w:rPr>
              <w:br w:type="textWrapping"/>
            </w:r>
            <w:r>
              <w:rPr>
                <w:rStyle w:val="11"/>
                <w:rFonts w:hint="eastAsia"/>
              </w:rPr>
              <w:t>如皮肤接触，用肥皂和大量的清水冲洗并换洗衣物；如接触眼睛，用清 水冲洗眼睛至少15分钟，仍有不适应立即就医；若误服，立即停止服用， 用大量清水漱口后，立即携此标签送中毒者到医院对症治疗，不能引吐。</w:t>
            </w:r>
          </w:p>
        </w:tc>
      </w:tr>
      <w:tr w14:paraId="3627A07A">
        <w:tblPrEx>
          <w:tblCellMar>
            <w:top w:w="0" w:type="dxa"/>
            <w:left w:w="0" w:type="dxa"/>
            <w:bottom w:w="0" w:type="dxa"/>
            <w:right w:w="0" w:type="dxa"/>
          </w:tblCellMar>
        </w:tblPrEx>
        <w:trPr>
          <w:wBefore w:w="0" w:type="auto"/>
          <w:tblCellSpacing w:w="0" w:type="dxa"/>
        </w:trPr>
        <w:tc>
          <w:tcPr>
            <w:tcW w:w="0" w:type="auto"/>
            <w:noWrap w:val="0"/>
            <w:vAlign w:val="center"/>
          </w:tcPr>
          <w:p w14:paraId="4B654DBB">
            <w:r>
              <w:rPr>
                <w:rStyle w:val="10"/>
                <w:rFonts w:hint="eastAsia"/>
              </w:rPr>
              <w:t>储存和运输方法：</w:t>
            </w:r>
            <w:r>
              <w:rPr>
                <w:rFonts w:hint="eastAsia"/>
              </w:rPr>
              <w:br w:type="textWrapping"/>
            </w:r>
            <w:r>
              <w:rPr>
                <w:rStyle w:val="11"/>
                <w:rFonts w:hint="eastAsia"/>
              </w:rPr>
              <w:t>本品贮存应注意阴凉、干燥、通风，远离火源或热源，置于儿童、无关人员触及不到之处，并加锁。勿与食品、饮料、饲料、粮食等同贮同运。以免误服。 避免与皮肤、眼睛接触。装卸运输时注意检查包装是否密封完整，轻拿 轻放，不可倒置。</w:t>
            </w:r>
          </w:p>
        </w:tc>
      </w:tr>
      <w:tr w14:paraId="23F42512">
        <w:tblPrEx>
          <w:tblCellMar>
            <w:top w:w="0" w:type="dxa"/>
            <w:left w:w="0" w:type="dxa"/>
            <w:bottom w:w="0" w:type="dxa"/>
            <w:right w:w="0" w:type="dxa"/>
          </w:tblCellMar>
        </w:tblPrEx>
        <w:trPr>
          <w:wBefore w:w="0" w:type="auto"/>
          <w:tblCellSpacing w:w="0" w:type="dxa"/>
        </w:trPr>
        <w:tc>
          <w:tcPr>
            <w:tcW w:w="0" w:type="auto"/>
            <w:noWrap w:val="0"/>
            <w:vAlign w:val="center"/>
          </w:tcPr>
          <w:p w14:paraId="2B3AF354">
            <w:r>
              <w:rPr>
                <w:rStyle w:val="10"/>
                <w:rFonts w:hint="eastAsia"/>
              </w:rPr>
              <w:t>质量保证期：</w:t>
            </w:r>
            <w:r>
              <w:rPr>
                <w:rStyle w:val="11"/>
                <w:rFonts w:hint="eastAsia"/>
              </w:rPr>
              <w:t>2年</w:t>
            </w:r>
          </w:p>
        </w:tc>
      </w:tr>
      <w:tr w14:paraId="6E88E080">
        <w:tblPrEx>
          <w:tblCellMar>
            <w:top w:w="0" w:type="dxa"/>
            <w:left w:w="0" w:type="dxa"/>
            <w:bottom w:w="0" w:type="dxa"/>
            <w:right w:w="0" w:type="dxa"/>
          </w:tblCellMar>
        </w:tblPrEx>
        <w:trPr>
          <w:wBefore w:w="0" w:type="auto"/>
          <w:tblCellSpacing w:w="0" w:type="dxa"/>
        </w:trPr>
        <w:tc>
          <w:tcPr>
            <w:tcW w:w="0" w:type="auto"/>
            <w:noWrap w:val="0"/>
            <w:vAlign w:val="center"/>
          </w:tcPr>
          <w:p w14:paraId="790BB162">
            <w:r>
              <w:rPr>
                <w:rStyle w:val="10"/>
                <w:rFonts w:hint="eastAsia"/>
              </w:rPr>
              <w:t>备注：</w:t>
            </w:r>
          </w:p>
        </w:tc>
      </w:tr>
    </w:tbl>
    <w:p w14:paraId="7BCA545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E3FC13B">
        <w:tblPrEx>
          <w:tblCellMar>
            <w:top w:w="0" w:type="dxa"/>
            <w:left w:w="0" w:type="dxa"/>
            <w:bottom w:w="0" w:type="dxa"/>
            <w:right w:w="0" w:type="dxa"/>
          </w:tblCellMar>
        </w:tblPrEx>
        <w:trPr>
          <w:wBefore w:w="0" w:type="auto"/>
          <w:tblCellSpacing w:w="0" w:type="dxa"/>
        </w:trPr>
        <w:tc>
          <w:tcPr>
            <w:tcW w:w="0" w:type="auto"/>
            <w:noWrap w:val="0"/>
            <w:vAlign w:val="center"/>
          </w:tcPr>
          <w:p w14:paraId="65F238D6">
            <w:r>
              <w:rPr>
                <w:rStyle w:val="10"/>
                <w:rFonts w:hint="eastAsia"/>
              </w:rPr>
              <w:t>登记证号：</w:t>
            </w:r>
            <w:r>
              <w:rPr>
                <w:rFonts w:hint="eastAsia"/>
              </w:rPr>
              <w:t>PD20212231</w:t>
            </w:r>
          </w:p>
        </w:tc>
      </w:tr>
      <w:tr w14:paraId="462A08C6">
        <w:tblPrEx>
          <w:tblCellMar>
            <w:top w:w="0" w:type="dxa"/>
            <w:left w:w="0" w:type="dxa"/>
            <w:bottom w:w="0" w:type="dxa"/>
            <w:right w:w="0" w:type="dxa"/>
          </w:tblCellMar>
        </w:tblPrEx>
        <w:trPr>
          <w:wBefore w:w="0" w:type="auto"/>
          <w:tblCellSpacing w:w="0" w:type="dxa"/>
        </w:trPr>
        <w:tc>
          <w:tcPr>
            <w:tcW w:w="0" w:type="auto"/>
            <w:noWrap w:val="0"/>
            <w:vAlign w:val="center"/>
          </w:tcPr>
          <w:p w14:paraId="6752DF86">
            <w:r>
              <w:rPr>
                <w:rStyle w:val="10"/>
                <w:rFonts w:hint="eastAsia"/>
              </w:rPr>
              <w:t>登记证持有人：</w:t>
            </w:r>
            <w:r>
              <w:rPr>
                <w:rFonts w:hint="eastAsia"/>
              </w:rPr>
              <w:t>四川利尔生物科技有限公司</w:t>
            </w:r>
          </w:p>
        </w:tc>
      </w:tr>
      <w:tr w14:paraId="74DD624E">
        <w:tblPrEx>
          <w:tblCellMar>
            <w:top w:w="0" w:type="dxa"/>
            <w:left w:w="0" w:type="dxa"/>
            <w:bottom w:w="0" w:type="dxa"/>
            <w:right w:w="0" w:type="dxa"/>
          </w:tblCellMar>
        </w:tblPrEx>
        <w:trPr>
          <w:wBefore w:w="0" w:type="auto"/>
          <w:tblCellSpacing w:w="0" w:type="dxa"/>
        </w:trPr>
        <w:tc>
          <w:tcPr>
            <w:tcW w:w="0" w:type="auto"/>
            <w:noWrap w:val="0"/>
            <w:vAlign w:val="center"/>
          </w:tcPr>
          <w:p w14:paraId="07278A05">
            <w:r>
              <w:rPr>
                <w:rStyle w:val="10"/>
                <w:rFonts w:hint="eastAsia"/>
              </w:rPr>
              <w:t>农药名称：</w:t>
            </w:r>
            <w:r>
              <w:rPr>
                <w:rFonts w:hint="eastAsia"/>
              </w:rPr>
              <w:t>精草铵膦铵盐</w:t>
            </w:r>
          </w:p>
        </w:tc>
      </w:tr>
      <w:tr w14:paraId="76AD82BF">
        <w:tblPrEx>
          <w:tblCellMar>
            <w:top w:w="0" w:type="dxa"/>
            <w:left w:w="0" w:type="dxa"/>
            <w:bottom w:w="0" w:type="dxa"/>
            <w:right w:w="0" w:type="dxa"/>
          </w:tblCellMar>
        </w:tblPrEx>
        <w:trPr>
          <w:wBefore w:w="0" w:type="auto"/>
          <w:tblCellSpacing w:w="0" w:type="dxa"/>
        </w:trPr>
        <w:tc>
          <w:tcPr>
            <w:tcW w:w="0" w:type="auto"/>
            <w:noWrap w:val="0"/>
            <w:vAlign w:val="center"/>
          </w:tcPr>
          <w:p w14:paraId="7F0A63AA">
            <w:r>
              <w:rPr>
                <w:rStyle w:val="10"/>
                <w:rFonts w:hint="eastAsia"/>
              </w:rPr>
              <w:t>剂型：</w:t>
            </w:r>
            <w:r>
              <w:rPr>
                <w:rFonts w:hint="eastAsia"/>
              </w:rPr>
              <w:t>可溶液剂</w:t>
            </w:r>
          </w:p>
        </w:tc>
      </w:tr>
      <w:tr w14:paraId="1BBE97DC">
        <w:tblPrEx>
          <w:tblCellMar>
            <w:top w:w="0" w:type="dxa"/>
            <w:left w:w="0" w:type="dxa"/>
            <w:bottom w:w="0" w:type="dxa"/>
            <w:right w:w="0" w:type="dxa"/>
          </w:tblCellMar>
        </w:tblPrEx>
        <w:trPr>
          <w:wBefore w:w="0" w:type="auto"/>
          <w:tblCellSpacing w:w="0" w:type="dxa"/>
        </w:trPr>
        <w:tc>
          <w:tcPr>
            <w:tcW w:w="0" w:type="auto"/>
            <w:noWrap w:val="0"/>
            <w:vAlign w:val="center"/>
          </w:tcPr>
          <w:p w14:paraId="27FBC541">
            <w:r>
              <w:rPr>
                <w:rStyle w:val="10"/>
                <w:rFonts w:hint="eastAsia"/>
              </w:rPr>
              <w:t>毒性及其标识：</w:t>
            </w:r>
            <w:r>
              <w:rPr>
                <w:rFonts w:hint="eastAsia"/>
              </w:rPr>
              <w:t xml:space="preserve"> </w:t>
            </w:r>
            <w:r>
              <w:rPr>
                <w:lang/>
              </w:rPr>
              <w:drawing>
                <wp:inline distT="0" distB="0" distL="114300" distR="114300">
                  <wp:extent cx="476250" cy="323850"/>
                  <wp:effectExtent l="0" t="0" r="0" b="0"/>
                  <wp:docPr id="276" name="图片 27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F06467E">
        <w:tblPrEx>
          <w:tblCellMar>
            <w:top w:w="0" w:type="dxa"/>
            <w:left w:w="0" w:type="dxa"/>
            <w:bottom w:w="0" w:type="dxa"/>
            <w:right w:w="0" w:type="dxa"/>
          </w:tblCellMar>
        </w:tblPrEx>
        <w:trPr>
          <w:wBefore w:w="0" w:type="auto"/>
          <w:tblCellSpacing w:w="0" w:type="dxa"/>
        </w:trPr>
        <w:tc>
          <w:tcPr>
            <w:tcW w:w="0" w:type="auto"/>
            <w:noWrap w:val="0"/>
            <w:vAlign w:val="center"/>
          </w:tcPr>
          <w:p w14:paraId="16197499">
            <w:r>
              <w:rPr>
                <w:rStyle w:val="10"/>
                <w:rFonts w:hint="eastAsia"/>
              </w:rPr>
              <w:t>总有效成分含量：</w:t>
            </w:r>
            <w:r>
              <w:rPr>
                <w:rFonts w:hint="eastAsia"/>
              </w:rPr>
              <w:t>15%</w:t>
            </w:r>
          </w:p>
        </w:tc>
      </w:tr>
      <w:tr w14:paraId="6500768B">
        <w:tblPrEx>
          <w:tblCellMar>
            <w:top w:w="0" w:type="dxa"/>
            <w:left w:w="0" w:type="dxa"/>
            <w:bottom w:w="0" w:type="dxa"/>
            <w:right w:w="0" w:type="dxa"/>
          </w:tblCellMar>
        </w:tblPrEx>
        <w:trPr>
          <w:wBefore w:w="0" w:type="auto"/>
          <w:tblCellSpacing w:w="0" w:type="dxa"/>
        </w:trPr>
        <w:tc>
          <w:tcPr>
            <w:tcW w:w="0" w:type="auto"/>
            <w:noWrap w:val="0"/>
            <w:vAlign w:val="center"/>
          </w:tcPr>
          <w:p w14:paraId="4EDE2AE1">
            <w:r>
              <w:rPr>
                <w:rFonts w:hint="eastAsia"/>
              </w:rPr>
              <w:t xml:space="preserve">有效成分及其含量： </w:t>
            </w:r>
          </w:p>
          <w:p w14:paraId="45EC7B79">
            <w:r>
              <w:rPr>
                <w:rFonts w:hint="eastAsia"/>
              </w:rPr>
              <w:t xml:space="preserve">    精草铵膦15%    </w:t>
            </w:r>
          </w:p>
        </w:tc>
      </w:tr>
      <w:tr w14:paraId="2AC5DD9F">
        <w:tblPrEx>
          <w:tblCellMar>
            <w:top w:w="0" w:type="dxa"/>
            <w:left w:w="0" w:type="dxa"/>
            <w:bottom w:w="0" w:type="dxa"/>
            <w:right w:w="0" w:type="dxa"/>
          </w:tblCellMar>
        </w:tblPrEx>
        <w:trPr>
          <w:wBefore w:w="0" w:type="auto"/>
          <w:tblCellSpacing w:w="0" w:type="dxa"/>
        </w:trPr>
        <w:tc>
          <w:tcPr>
            <w:tcW w:w="0" w:type="auto"/>
            <w:noWrap w:val="0"/>
            <w:vAlign w:val="center"/>
          </w:tcPr>
          <w:p w14:paraId="3FB9132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BD198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7FB41F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F18238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A4D92E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6CD5253">
                  <w:r>
                    <w:rPr>
                      <w:rStyle w:val="11"/>
                      <w:rFonts w:hint="eastAsia"/>
                    </w:rPr>
                    <w:t>施用方式</w:t>
                  </w:r>
                </w:p>
              </w:tc>
            </w:tr>
            <w:tr w14:paraId="2A3A7C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2E620F">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6F6CA8">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E4C8E6">
                  <w:r>
                    <w:rPr>
                      <w:rStyle w:val="11"/>
                      <w:rFonts w:hint="eastAsia"/>
                    </w:rPr>
                    <w:t>135-200毫升/亩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674EF3">
                  <w:r>
                    <w:rPr>
                      <w:rStyle w:val="11"/>
                      <w:rFonts w:hint="eastAsia"/>
                    </w:rPr>
                    <w:t>茎叶喷雾</w:t>
                  </w:r>
                </w:p>
              </w:tc>
            </w:tr>
          </w:tbl>
          <w:p w14:paraId="6B3DDEB5">
            <w:pPr>
              <w:rPr>
                <w:rFonts w:ascii="Times New Roman" w:hAnsi="Times New Roman" w:cs="Times New Roman"/>
                <w:sz w:val="20"/>
                <w:szCs w:val="20"/>
              </w:rPr>
            </w:pPr>
          </w:p>
        </w:tc>
      </w:tr>
      <w:tr w14:paraId="1F0E2BEE">
        <w:tblPrEx>
          <w:tblCellMar>
            <w:top w:w="0" w:type="dxa"/>
            <w:left w:w="0" w:type="dxa"/>
            <w:bottom w:w="0" w:type="dxa"/>
            <w:right w:w="0" w:type="dxa"/>
          </w:tblCellMar>
        </w:tblPrEx>
        <w:trPr>
          <w:wBefore w:w="0" w:type="auto"/>
          <w:tblCellSpacing w:w="0" w:type="dxa"/>
        </w:trPr>
        <w:tc>
          <w:tcPr>
            <w:tcW w:w="0" w:type="auto"/>
            <w:noWrap w:val="0"/>
            <w:vAlign w:val="center"/>
          </w:tcPr>
          <w:p w14:paraId="1212D584">
            <w:r>
              <w:rPr>
                <w:rStyle w:val="10"/>
                <w:rFonts w:hint="eastAsia"/>
              </w:rPr>
              <w:t>使用技术要求:</w:t>
            </w:r>
            <w:r>
              <w:rPr>
                <w:rFonts w:hint="eastAsia"/>
              </w:rPr>
              <w:br w:type="textWrapping"/>
            </w:r>
            <w:r>
              <w:rPr>
                <w:rStyle w:val="11"/>
                <w:rFonts w:hint="eastAsia"/>
              </w:rPr>
              <w:t>在杂草生长旺盛期茎叶均匀喷雾，确保杂草喷湿喷透。禁止在田间道路、田埂、果树行间、休耕地、林场地等农林区域使用。</w:t>
            </w:r>
          </w:p>
        </w:tc>
      </w:tr>
      <w:tr w14:paraId="0FE6F045">
        <w:tblPrEx>
          <w:tblCellMar>
            <w:top w:w="0" w:type="dxa"/>
            <w:left w:w="0" w:type="dxa"/>
            <w:bottom w:w="0" w:type="dxa"/>
            <w:right w:w="0" w:type="dxa"/>
          </w:tblCellMar>
        </w:tblPrEx>
        <w:trPr>
          <w:wBefore w:w="0" w:type="auto"/>
          <w:tblCellSpacing w:w="0" w:type="dxa"/>
        </w:trPr>
        <w:tc>
          <w:tcPr>
            <w:tcW w:w="0" w:type="auto"/>
            <w:noWrap w:val="0"/>
            <w:vAlign w:val="center"/>
          </w:tcPr>
          <w:p w14:paraId="32194C77">
            <w:r>
              <w:rPr>
                <w:rStyle w:val="10"/>
                <w:rFonts w:hint="eastAsia"/>
              </w:rPr>
              <w:t>产品性能:</w:t>
            </w:r>
            <w:r>
              <w:rPr>
                <w:rFonts w:hint="eastAsia"/>
              </w:rPr>
              <w:br w:type="textWrapping"/>
            </w:r>
            <w:r>
              <w:rPr>
                <w:rStyle w:val="11"/>
                <w:rFonts w:hint="eastAsia"/>
              </w:rPr>
              <w:t>本品是一种非选择性触杀型除草剂。</w:t>
            </w:r>
          </w:p>
        </w:tc>
      </w:tr>
      <w:tr w14:paraId="1A635890">
        <w:tblPrEx>
          <w:tblCellMar>
            <w:top w:w="0" w:type="dxa"/>
            <w:left w:w="0" w:type="dxa"/>
            <w:bottom w:w="0" w:type="dxa"/>
            <w:right w:w="0" w:type="dxa"/>
          </w:tblCellMar>
        </w:tblPrEx>
        <w:trPr>
          <w:wBefore w:w="0" w:type="auto"/>
          <w:tblCellSpacing w:w="0" w:type="dxa"/>
        </w:trPr>
        <w:tc>
          <w:tcPr>
            <w:tcW w:w="0" w:type="auto"/>
            <w:noWrap w:val="0"/>
            <w:vAlign w:val="center"/>
          </w:tcPr>
          <w:p w14:paraId="5C93D2EC">
            <w:r>
              <w:rPr>
                <w:rStyle w:val="10"/>
                <w:rFonts w:hint="eastAsia"/>
              </w:rPr>
              <w:t>注意事项：</w:t>
            </w:r>
            <w:r>
              <w:rPr>
                <w:rFonts w:hint="eastAsia"/>
              </w:rPr>
              <w:br w:type="textWrapping"/>
            </w:r>
            <w:r>
              <w:rPr>
                <w:rStyle w:val="11"/>
                <w:rFonts w:hint="eastAsia"/>
              </w:rPr>
              <w:t>1. 本品为非选择性除草剂，施药过程中若遇大风、大雨、积水等影响喷雾效果的情形应停止施药，并防止雾滴飘移到其他地块。 2. 如需与其他助剂或药剂混用，请在当地农技人员指导下，先进行小面积试验确认有效性后，科学合理搭配使用。 3. 请在农技人员指导下，根据杂草发生基数、叶龄及种类、施药时天气条件、药械种类等因素科学合理的调整用药剂量、用水量。 4. 施用时尽量做好身体各部位科学合理的防护，采取正确的施药方式。注意个人防护，使用时穿戴长衣、长裤、帽子、口罩、手套等安全防护措施。施药时不能吸烟、饮水等；施药后清洗干净手脸等。 5. 蚕室、桑园附近禁用，禁止在河塘等水体中清洗施药器具。施药后及时、细致清洗施药器具，用过的容器要妥善处理，不能随意丢弃，也不能做他用。 6. 避免孕妇和哺乳期妇女接触本品。 7. 使用前请仔细阅读此标签，并严格按照标签说明使用。未尽使用情形，请结合当地实际情况，在农业技术人员指导下使用。</w:t>
            </w:r>
          </w:p>
        </w:tc>
      </w:tr>
      <w:tr w14:paraId="138061DD">
        <w:tblPrEx>
          <w:tblCellMar>
            <w:top w:w="0" w:type="dxa"/>
            <w:left w:w="0" w:type="dxa"/>
            <w:bottom w:w="0" w:type="dxa"/>
            <w:right w:w="0" w:type="dxa"/>
          </w:tblCellMar>
        </w:tblPrEx>
        <w:trPr>
          <w:wBefore w:w="0" w:type="auto"/>
          <w:tblCellSpacing w:w="0" w:type="dxa"/>
        </w:trPr>
        <w:tc>
          <w:tcPr>
            <w:tcW w:w="0" w:type="auto"/>
            <w:noWrap w:val="0"/>
            <w:vAlign w:val="center"/>
          </w:tcPr>
          <w:p w14:paraId="26AF88E9">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62402290">
        <w:tblPrEx>
          <w:tblCellMar>
            <w:top w:w="0" w:type="dxa"/>
            <w:left w:w="0" w:type="dxa"/>
            <w:bottom w:w="0" w:type="dxa"/>
            <w:right w:w="0" w:type="dxa"/>
          </w:tblCellMar>
        </w:tblPrEx>
        <w:trPr>
          <w:wBefore w:w="0" w:type="auto"/>
          <w:tblCellSpacing w:w="0" w:type="dxa"/>
        </w:trPr>
        <w:tc>
          <w:tcPr>
            <w:tcW w:w="0" w:type="auto"/>
            <w:noWrap w:val="0"/>
            <w:vAlign w:val="center"/>
          </w:tcPr>
          <w:p w14:paraId="494271C5">
            <w:r>
              <w:rPr>
                <w:rStyle w:val="10"/>
                <w:rFonts w:hint="eastAsia"/>
              </w:rPr>
              <w:t>储存和运输方法：</w:t>
            </w:r>
            <w:r>
              <w:rPr>
                <w:rFonts w:hint="eastAsia"/>
              </w:rPr>
              <w:br w:type="textWrapping"/>
            </w:r>
            <w:r>
              <w:rPr>
                <w:rStyle w:val="11"/>
                <w:rFonts w:hint="eastAsia"/>
              </w:rPr>
              <w:t>本品应贮存于干燥、阴凉、通风、防雨处，远离火源或热源。置于儿童、无关人员触及不到之处，并加锁。勿与食品、饮料、饲料、粮食等同贮同运。装卸时，注意轻拿轻放，禁止说笑打闹、吃、喝、抽烟；运输时要防潮防晒。</w:t>
            </w:r>
          </w:p>
        </w:tc>
      </w:tr>
      <w:tr w14:paraId="049C92A3">
        <w:tblPrEx>
          <w:tblCellMar>
            <w:top w:w="0" w:type="dxa"/>
            <w:left w:w="0" w:type="dxa"/>
            <w:bottom w:w="0" w:type="dxa"/>
            <w:right w:w="0" w:type="dxa"/>
          </w:tblCellMar>
        </w:tblPrEx>
        <w:trPr>
          <w:wBefore w:w="0" w:type="auto"/>
          <w:tblCellSpacing w:w="0" w:type="dxa"/>
        </w:trPr>
        <w:tc>
          <w:tcPr>
            <w:tcW w:w="0" w:type="auto"/>
            <w:noWrap w:val="0"/>
            <w:vAlign w:val="center"/>
          </w:tcPr>
          <w:p w14:paraId="1FED3B2F">
            <w:r>
              <w:rPr>
                <w:rStyle w:val="10"/>
                <w:rFonts w:hint="eastAsia"/>
              </w:rPr>
              <w:t>质量保证期：</w:t>
            </w:r>
            <w:r>
              <w:rPr>
                <w:rStyle w:val="11"/>
                <w:rFonts w:hint="eastAsia"/>
              </w:rPr>
              <w:t>2年</w:t>
            </w:r>
          </w:p>
        </w:tc>
      </w:tr>
      <w:tr w14:paraId="30FA04B2">
        <w:tblPrEx>
          <w:tblCellMar>
            <w:top w:w="0" w:type="dxa"/>
            <w:left w:w="0" w:type="dxa"/>
            <w:bottom w:w="0" w:type="dxa"/>
            <w:right w:w="0" w:type="dxa"/>
          </w:tblCellMar>
        </w:tblPrEx>
        <w:trPr>
          <w:wBefore w:w="0" w:type="auto"/>
          <w:tblCellSpacing w:w="0" w:type="dxa"/>
        </w:trPr>
        <w:tc>
          <w:tcPr>
            <w:tcW w:w="0" w:type="auto"/>
            <w:noWrap w:val="0"/>
            <w:vAlign w:val="center"/>
          </w:tcPr>
          <w:p w14:paraId="47C21F74">
            <w:r>
              <w:rPr>
                <w:rStyle w:val="10"/>
                <w:rFonts w:hint="eastAsia"/>
              </w:rPr>
              <w:t>备注：</w:t>
            </w:r>
            <w:r>
              <w:rPr>
                <w:rFonts w:hint="eastAsia"/>
              </w:rPr>
              <w:br w:type="textWrapping"/>
            </w:r>
            <w:r>
              <w:rPr>
                <w:rStyle w:val="11"/>
                <w:rFonts w:hint="eastAsia"/>
              </w:rPr>
              <w:t>精草铵膦铵盐16.4。</w:t>
            </w:r>
          </w:p>
        </w:tc>
      </w:tr>
    </w:tbl>
    <w:p w14:paraId="2E90A19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1217D84">
        <w:tblPrEx>
          <w:tblCellMar>
            <w:top w:w="0" w:type="dxa"/>
            <w:left w:w="0" w:type="dxa"/>
            <w:bottom w:w="0" w:type="dxa"/>
            <w:right w:w="0" w:type="dxa"/>
          </w:tblCellMar>
        </w:tblPrEx>
        <w:trPr>
          <w:wBefore w:w="0" w:type="auto"/>
          <w:tblCellSpacing w:w="0" w:type="dxa"/>
        </w:trPr>
        <w:tc>
          <w:tcPr>
            <w:tcW w:w="0" w:type="auto"/>
            <w:noWrap w:val="0"/>
            <w:vAlign w:val="center"/>
          </w:tcPr>
          <w:p w14:paraId="39EBDBFA">
            <w:r>
              <w:rPr>
                <w:rStyle w:val="10"/>
                <w:rFonts w:hint="eastAsia"/>
              </w:rPr>
              <w:t>登记证号：</w:t>
            </w:r>
            <w:r>
              <w:rPr>
                <w:rFonts w:hint="eastAsia"/>
              </w:rPr>
              <w:t>PD20211871</w:t>
            </w:r>
          </w:p>
        </w:tc>
      </w:tr>
      <w:tr w14:paraId="43FC836E">
        <w:tblPrEx>
          <w:tblCellMar>
            <w:top w:w="0" w:type="dxa"/>
            <w:left w:w="0" w:type="dxa"/>
            <w:bottom w:w="0" w:type="dxa"/>
            <w:right w:w="0" w:type="dxa"/>
          </w:tblCellMar>
        </w:tblPrEx>
        <w:trPr>
          <w:wBefore w:w="0" w:type="auto"/>
          <w:tblCellSpacing w:w="0" w:type="dxa"/>
        </w:trPr>
        <w:tc>
          <w:tcPr>
            <w:tcW w:w="0" w:type="auto"/>
            <w:noWrap w:val="0"/>
            <w:vAlign w:val="center"/>
          </w:tcPr>
          <w:p w14:paraId="75D226D6">
            <w:r>
              <w:rPr>
                <w:rStyle w:val="10"/>
                <w:rFonts w:hint="eastAsia"/>
              </w:rPr>
              <w:t>登记证持有人：</w:t>
            </w:r>
            <w:r>
              <w:rPr>
                <w:rFonts w:hint="eastAsia"/>
              </w:rPr>
              <w:t>山东省济南一农化工有限公司</w:t>
            </w:r>
          </w:p>
        </w:tc>
      </w:tr>
      <w:tr w14:paraId="1B8EF67B">
        <w:tblPrEx>
          <w:tblCellMar>
            <w:top w:w="0" w:type="dxa"/>
            <w:left w:w="0" w:type="dxa"/>
            <w:bottom w:w="0" w:type="dxa"/>
            <w:right w:w="0" w:type="dxa"/>
          </w:tblCellMar>
        </w:tblPrEx>
        <w:trPr>
          <w:wBefore w:w="0" w:type="auto"/>
          <w:tblCellSpacing w:w="0" w:type="dxa"/>
        </w:trPr>
        <w:tc>
          <w:tcPr>
            <w:tcW w:w="0" w:type="auto"/>
            <w:noWrap w:val="0"/>
            <w:vAlign w:val="center"/>
          </w:tcPr>
          <w:p w14:paraId="6EDF7AC3">
            <w:r>
              <w:rPr>
                <w:rStyle w:val="10"/>
                <w:rFonts w:hint="eastAsia"/>
              </w:rPr>
              <w:t>农药名称：</w:t>
            </w:r>
            <w:r>
              <w:rPr>
                <w:rFonts w:hint="eastAsia"/>
              </w:rPr>
              <w:t>联苯·噻虫嗪</w:t>
            </w:r>
          </w:p>
        </w:tc>
      </w:tr>
      <w:tr w14:paraId="72B6D320">
        <w:tblPrEx>
          <w:tblCellMar>
            <w:top w:w="0" w:type="dxa"/>
            <w:left w:w="0" w:type="dxa"/>
            <w:bottom w:w="0" w:type="dxa"/>
            <w:right w:w="0" w:type="dxa"/>
          </w:tblCellMar>
        </w:tblPrEx>
        <w:trPr>
          <w:wBefore w:w="0" w:type="auto"/>
          <w:tblCellSpacing w:w="0" w:type="dxa"/>
        </w:trPr>
        <w:tc>
          <w:tcPr>
            <w:tcW w:w="0" w:type="auto"/>
            <w:noWrap w:val="0"/>
            <w:vAlign w:val="center"/>
          </w:tcPr>
          <w:p w14:paraId="5EF63E69">
            <w:r>
              <w:rPr>
                <w:rStyle w:val="10"/>
                <w:rFonts w:hint="eastAsia"/>
              </w:rPr>
              <w:t>剂型：</w:t>
            </w:r>
            <w:r>
              <w:rPr>
                <w:rFonts w:hint="eastAsia"/>
              </w:rPr>
              <w:t>悬浮剂</w:t>
            </w:r>
          </w:p>
        </w:tc>
      </w:tr>
      <w:tr w14:paraId="6F8FE740">
        <w:tblPrEx>
          <w:tblCellMar>
            <w:top w:w="0" w:type="dxa"/>
            <w:left w:w="0" w:type="dxa"/>
            <w:bottom w:w="0" w:type="dxa"/>
            <w:right w:w="0" w:type="dxa"/>
          </w:tblCellMar>
        </w:tblPrEx>
        <w:trPr>
          <w:wBefore w:w="0" w:type="auto"/>
          <w:tblCellSpacing w:w="0" w:type="dxa"/>
        </w:trPr>
        <w:tc>
          <w:tcPr>
            <w:tcW w:w="0" w:type="auto"/>
            <w:noWrap w:val="0"/>
            <w:vAlign w:val="center"/>
          </w:tcPr>
          <w:p w14:paraId="5CCCAC0C">
            <w:r>
              <w:rPr>
                <w:rStyle w:val="10"/>
                <w:rFonts w:hint="eastAsia"/>
              </w:rPr>
              <w:t>毒性及其标识：</w:t>
            </w:r>
            <w:r>
              <w:rPr>
                <w:rFonts w:hint="eastAsia"/>
              </w:rPr>
              <w:t xml:space="preserve"> </w:t>
            </w:r>
            <w:r>
              <w:rPr>
                <w:lang/>
              </w:rPr>
              <w:drawing>
                <wp:inline distT="0" distB="0" distL="114300" distR="114300">
                  <wp:extent cx="476250" cy="323850"/>
                  <wp:effectExtent l="0" t="0" r="0" b="0"/>
                  <wp:docPr id="277" name="图片 27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AA65884">
        <w:tblPrEx>
          <w:tblCellMar>
            <w:top w:w="0" w:type="dxa"/>
            <w:left w:w="0" w:type="dxa"/>
            <w:bottom w:w="0" w:type="dxa"/>
            <w:right w:w="0" w:type="dxa"/>
          </w:tblCellMar>
        </w:tblPrEx>
        <w:trPr>
          <w:wBefore w:w="0" w:type="auto"/>
          <w:tblCellSpacing w:w="0" w:type="dxa"/>
        </w:trPr>
        <w:tc>
          <w:tcPr>
            <w:tcW w:w="0" w:type="auto"/>
            <w:noWrap w:val="0"/>
            <w:vAlign w:val="center"/>
          </w:tcPr>
          <w:p w14:paraId="780181D5">
            <w:r>
              <w:rPr>
                <w:rStyle w:val="10"/>
                <w:rFonts w:hint="eastAsia"/>
              </w:rPr>
              <w:t>总有效成分含量：</w:t>
            </w:r>
            <w:r>
              <w:rPr>
                <w:rFonts w:hint="eastAsia"/>
              </w:rPr>
              <w:t>10%</w:t>
            </w:r>
          </w:p>
        </w:tc>
      </w:tr>
      <w:tr w14:paraId="7107ED54">
        <w:tblPrEx>
          <w:tblCellMar>
            <w:top w:w="0" w:type="dxa"/>
            <w:left w:w="0" w:type="dxa"/>
            <w:bottom w:w="0" w:type="dxa"/>
            <w:right w:w="0" w:type="dxa"/>
          </w:tblCellMar>
        </w:tblPrEx>
        <w:trPr>
          <w:wBefore w:w="0" w:type="auto"/>
          <w:tblCellSpacing w:w="0" w:type="dxa"/>
        </w:trPr>
        <w:tc>
          <w:tcPr>
            <w:tcW w:w="0" w:type="auto"/>
            <w:noWrap w:val="0"/>
            <w:vAlign w:val="center"/>
          </w:tcPr>
          <w:p w14:paraId="4A6C5BCB">
            <w:r>
              <w:rPr>
                <w:rFonts w:hint="eastAsia"/>
              </w:rPr>
              <w:t xml:space="preserve">有效成分及其含量： </w:t>
            </w:r>
          </w:p>
          <w:p w14:paraId="3BD7C843">
            <w:r>
              <w:rPr>
                <w:rFonts w:hint="eastAsia"/>
              </w:rPr>
              <w:t xml:space="preserve">    联苯菊酯5%    噻虫嗪5%    </w:t>
            </w:r>
          </w:p>
        </w:tc>
      </w:tr>
      <w:tr w14:paraId="21959213">
        <w:tblPrEx>
          <w:tblCellMar>
            <w:top w:w="0" w:type="dxa"/>
            <w:left w:w="0" w:type="dxa"/>
            <w:bottom w:w="0" w:type="dxa"/>
            <w:right w:w="0" w:type="dxa"/>
          </w:tblCellMar>
        </w:tblPrEx>
        <w:trPr>
          <w:wBefore w:w="0" w:type="auto"/>
          <w:tblCellSpacing w:w="0" w:type="dxa"/>
        </w:trPr>
        <w:tc>
          <w:tcPr>
            <w:tcW w:w="0" w:type="auto"/>
            <w:noWrap w:val="0"/>
            <w:vAlign w:val="center"/>
          </w:tcPr>
          <w:p w14:paraId="21F90FF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8E1E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DF9B28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F8FD13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7C785F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BA5A177">
                  <w:r>
                    <w:rPr>
                      <w:rStyle w:val="11"/>
                      <w:rFonts w:hint="eastAsia"/>
                    </w:rPr>
                    <w:t>施用方式</w:t>
                  </w:r>
                </w:p>
              </w:tc>
            </w:tr>
            <w:tr w14:paraId="742178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91AE84">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8E0B80">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486C5C">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896F6B">
                  <w:r>
                    <w:rPr>
                      <w:rStyle w:val="11"/>
                      <w:rFonts w:hint="eastAsia"/>
                    </w:rPr>
                    <w:t>喷雾</w:t>
                  </w:r>
                </w:p>
              </w:tc>
            </w:tr>
          </w:tbl>
          <w:p w14:paraId="4CC33A7B">
            <w:pPr>
              <w:rPr>
                <w:rFonts w:ascii="Times New Roman" w:hAnsi="Times New Roman" w:cs="Times New Roman"/>
                <w:sz w:val="20"/>
                <w:szCs w:val="20"/>
              </w:rPr>
            </w:pPr>
          </w:p>
        </w:tc>
      </w:tr>
      <w:tr w14:paraId="3D269447">
        <w:tblPrEx>
          <w:tblCellMar>
            <w:top w:w="0" w:type="dxa"/>
            <w:left w:w="0" w:type="dxa"/>
            <w:bottom w:w="0" w:type="dxa"/>
            <w:right w:w="0" w:type="dxa"/>
          </w:tblCellMar>
        </w:tblPrEx>
        <w:trPr>
          <w:wBefore w:w="0" w:type="auto"/>
          <w:tblCellSpacing w:w="0" w:type="dxa"/>
        </w:trPr>
        <w:tc>
          <w:tcPr>
            <w:tcW w:w="0" w:type="auto"/>
            <w:noWrap w:val="0"/>
            <w:vAlign w:val="center"/>
          </w:tcPr>
          <w:p w14:paraId="4F920727">
            <w:r>
              <w:rPr>
                <w:rStyle w:val="10"/>
                <w:rFonts w:hint="eastAsia"/>
              </w:rPr>
              <w:t>使用技术要求:</w:t>
            </w:r>
            <w:r>
              <w:rPr>
                <w:rFonts w:hint="eastAsia"/>
              </w:rPr>
              <w:br w:type="textWrapping"/>
            </w:r>
            <w:r>
              <w:rPr>
                <w:rStyle w:val="11"/>
                <w:rFonts w:hint="eastAsia"/>
              </w:rPr>
              <w:t>1.本品于小麦蚜虫始盛期喷雾施药1次。2.注意喷雾均匀周到，大风天或预计1小时内降雨，请勿施药。4.本品在小麦上安全间隔期为14天，每季最多施药1次。</w:t>
            </w:r>
          </w:p>
        </w:tc>
      </w:tr>
      <w:tr w14:paraId="77EFAAEA">
        <w:tblPrEx>
          <w:tblCellMar>
            <w:top w:w="0" w:type="dxa"/>
            <w:left w:w="0" w:type="dxa"/>
            <w:bottom w:w="0" w:type="dxa"/>
            <w:right w:w="0" w:type="dxa"/>
          </w:tblCellMar>
        </w:tblPrEx>
        <w:trPr>
          <w:wBefore w:w="0" w:type="auto"/>
          <w:tblCellSpacing w:w="0" w:type="dxa"/>
        </w:trPr>
        <w:tc>
          <w:tcPr>
            <w:tcW w:w="0" w:type="auto"/>
            <w:noWrap w:val="0"/>
            <w:vAlign w:val="center"/>
          </w:tcPr>
          <w:p w14:paraId="5F269A56">
            <w:r>
              <w:rPr>
                <w:rStyle w:val="10"/>
                <w:rFonts w:hint="eastAsia"/>
              </w:rPr>
              <w:t>产品性能:</w:t>
            </w:r>
            <w:r>
              <w:rPr>
                <w:rFonts w:hint="eastAsia"/>
              </w:rPr>
              <w:br w:type="textWrapping"/>
            </w:r>
            <w:r>
              <w:rPr>
                <w:rStyle w:val="11"/>
                <w:rFonts w:hint="eastAsia"/>
              </w:rPr>
              <w:t xml:space="preserve">本品是一种新烟碱类农药和拟除虫菊酯类农药复配而成的杀虫剂，对害虫具有内吸、触杀和胃毒作用，击倒快，防效长。推荐剂量下，对小麦蚜虫有较好的防效。 </w:t>
            </w:r>
          </w:p>
        </w:tc>
      </w:tr>
      <w:tr w14:paraId="6BA77F0B">
        <w:tblPrEx>
          <w:tblCellMar>
            <w:top w:w="0" w:type="dxa"/>
            <w:left w:w="0" w:type="dxa"/>
            <w:bottom w:w="0" w:type="dxa"/>
            <w:right w:w="0" w:type="dxa"/>
          </w:tblCellMar>
        </w:tblPrEx>
        <w:trPr>
          <w:wBefore w:w="0" w:type="auto"/>
          <w:tblCellSpacing w:w="0" w:type="dxa"/>
        </w:trPr>
        <w:tc>
          <w:tcPr>
            <w:tcW w:w="0" w:type="auto"/>
            <w:noWrap w:val="0"/>
            <w:vAlign w:val="center"/>
          </w:tcPr>
          <w:p w14:paraId="318F87FD">
            <w:r>
              <w:rPr>
                <w:rStyle w:val="10"/>
                <w:rFonts w:hint="eastAsia"/>
              </w:rPr>
              <w:t>注意事项：</w:t>
            </w:r>
            <w:r>
              <w:rPr>
                <w:rFonts w:hint="eastAsia"/>
              </w:rPr>
              <w:br w:type="textWrapping"/>
            </w:r>
            <w:r>
              <w:rPr>
                <w:rStyle w:val="11"/>
                <w:rFonts w:hint="eastAsia"/>
              </w:rPr>
              <w:t>1）使用本品应采取相应的安全防护措施，配药和施药时，穿戴长衣、长裤、帽子、口罩、手套等防护措施，以避免污染皮肤和眼睛，施药完毕后及时换洗衣物，洗净手、脸和被污染的皮肤。 2）施药前、后要彻底清洗喷药器械，洗涤后的废水不应污染河流等水源，未用完的药液应密封后妥善放置。 3）用药后包装物及用过的容器应妥善处理，不可做他用，也不可随意丢弃。 4）使用时不得污染各类水域、土壤等环境。 5）本品对蜜蜂、家蚕毒性高，（周围）开花植物花期禁用，使用时应密切关注对附近蜂群的影响。施用农药3日前告知所在地及邻近300米以内的养蜂者。蚕室及桑园附近禁用。赤眼蜂等天敌放飞区禁用。水产养殖区、河塘等水体附近禁用，禁止在河塘等水域清洗施药器具。6）孕妇及哺乳期妇女禁止接触。7）为避免产生抗药性，建议与其它作用机理不同的杀虫剂轮换或交替使用。</w:t>
            </w:r>
          </w:p>
        </w:tc>
      </w:tr>
      <w:tr w14:paraId="2FC0386C">
        <w:tblPrEx>
          <w:tblCellMar>
            <w:top w:w="0" w:type="dxa"/>
            <w:left w:w="0" w:type="dxa"/>
            <w:bottom w:w="0" w:type="dxa"/>
            <w:right w:w="0" w:type="dxa"/>
          </w:tblCellMar>
        </w:tblPrEx>
        <w:trPr>
          <w:wBefore w:w="0" w:type="auto"/>
          <w:tblCellSpacing w:w="0" w:type="dxa"/>
        </w:trPr>
        <w:tc>
          <w:tcPr>
            <w:tcW w:w="0" w:type="auto"/>
            <w:noWrap w:val="0"/>
            <w:vAlign w:val="center"/>
          </w:tcPr>
          <w:p w14:paraId="1BA58E3C">
            <w:r>
              <w:rPr>
                <w:rStyle w:val="10"/>
                <w:rFonts w:hint="eastAsia"/>
              </w:rPr>
              <w:t>中毒急救措施：</w:t>
            </w:r>
            <w:r>
              <w:rPr>
                <w:rFonts w:hint="eastAsia"/>
              </w:rPr>
              <w:br w:type="textWrapping"/>
            </w:r>
            <w:r>
              <w:rPr>
                <w:rStyle w:val="11"/>
                <w:rFonts w:hint="eastAsia"/>
              </w:rPr>
              <w:t>该产品对眼睛有刺激性，使用时避免药液接触眼睛。 中毒症状表现为皮肤刺痛、头痛、头昏、恶心呕吐，双手颤抖、抽搐、惊厥、昏迷等。不慎吸入，应将病人移至空气流通处。不慎接触皮肤或溅入眼睛，立即脱掉被污染的衣物，用大量清水彻底冲洗受污染皮肤，应用大量清水冲洗至少15分钟。误服立即携带标签送医院就诊，可洗胃但不可催吐，对症治疗，特殊解毒剂。</w:t>
            </w:r>
          </w:p>
        </w:tc>
      </w:tr>
      <w:tr w14:paraId="4C845568">
        <w:tblPrEx>
          <w:tblCellMar>
            <w:top w:w="0" w:type="dxa"/>
            <w:left w:w="0" w:type="dxa"/>
            <w:bottom w:w="0" w:type="dxa"/>
            <w:right w:w="0" w:type="dxa"/>
          </w:tblCellMar>
        </w:tblPrEx>
        <w:trPr>
          <w:wBefore w:w="0" w:type="auto"/>
          <w:tblCellSpacing w:w="0" w:type="dxa"/>
        </w:trPr>
        <w:tc>
          <w:tcPr>
            <w:tcW w:w="0" w:type="auto"/>
            <w:noWrap w:val="0"/>
            <w:vAlign w:val="center"/>
          </w:tcPr>
          <w:p w14:paraId="288C30E1">
            <w:r>
              <w:rPr>
                <w:rStyle w:val="10"/>
                <w:rFonts w:hint="eastAsia"/>
              </w:rPr>
              <w:t>储存和运输方法：</w:t>
            </w:r>
            <w:r>
              <w:rPr>
                <w:rFonts w:hint="eastAsia"/>
              </w:rPr>
              <w:br w:type="textWrapping"/>
            </w:r>
            <w:r>
              <w:rPr>
                <w:rStyle w:val="11"/>
                <w:rFonts w:hint="eastAsia"/>
              </w:rPr>
              <w:t xml:space="preserve">本品应贮存在阴凉、干燥、通风、防雨处，远离火源和热源。置于儿童触及不到之处，并加锁保存。勿与食品、饮料、粮食、饲料等物品同贮同运。 </w:t>
            </w:r>
          </w:p>
        </w:tc>
      </w:tr>
      <w:tr w14:paraId="50BCC4B2">
        <w:tblPrEx>
          <w:tblCellMar>
            <w:top w:w="0" w:type="dxa"/>
            <w:left w:w="0" w:type="dxa"/>
            <w:bottom w:w="0" w:type="dxa"/>
            <w:right w:w="0" w:type="dxa"/>
          </w:tblCellMar>
        </w:tblPrEx>
        <w:trPr>
          <w:wBefore w:w="0" w:type="auto"/>
          <w:tblCellSpacing w:w="0" w:type="dxa"/>
        </w:trPr>
        <w:tc>
          <w:tcPr>
            <w:tcW w:w="0" w:type="auto"/>
            <w:noWrap w:val="0"/>
            <w:vAlign w:val="center"/>
          </w:tcPr>
          <w:p w14:paraId="25F68B2F">
            <w:r>
              <w:rPr>
                <w:rStyle w:val="10"/>
                <w:rFonts w:hint="eastAsia"/>
              </w:rPr>
              <w:t>质量保证期：</w:t>
            </w:r>
            <w:r>
              <w:rPr>
                <w:rStyle w:val="11"/>
                <w:rFonts w:hint="eastAsia"/>
              </w:rPr>
              <w:t>2年</w:t>
            </w:r>
          </w:p>
        </w:tc>
      </w:tr>
      <w:tr w14:paraId="2C52EBED">
        <w:tblPrEx>
          <w:tblCellMar>
            <w:top w:w="0" w:type="dxa"/>
            <w:left w:w="0" w:type="dxa"/>
            <w:bottom w:w="0" w:type="dxa"/>
            <w:right w:w="0" w:type="dxa"/>
          </w:tblCellMar>
        </w:tblPrEx>
        <w:trPr>
          <w:wBefore w:w="0" w:type="auto"/>
          <w:tblCellSpacing w:w="0" w:type="dxa"/>
        </w:trPr>
        <w:tc>
          <w:tcPr>
            <w:tcW w:w="0" w:type="auto"/>
            <w:noWrap w:val="0"/>
            <w:vAlign w:val="center"/>
          </w:tcPr>
          <w:p w14:paraId="7236B8C7">
            <w:r>
              <w:rPr>
                <w:rStyle w:val="10"/>
                <w:rFonts w:hint="eastAsia"/>
              </w:rPr>
              <w:t>备注：</w:t>
            </w:r>
          </w:p>
        </w:tc>
      </w:tr>
    </w:tbl>
    <w:p w14:paraId="2386036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58FDB71">
        <w:tblPrEx>
          <w:tblCellMar>
            <w:top w:w="0" w:type="dxa"/>
            <w:left w:w="0" w:type="dxa"/>
            <w:bottom w:w="0" w:type="dxa"/>
            <w:right w:w="0" w:type="dxa"/>
          </w:tblCellMar>
        </w:tblPrEx>
        <w:trPr>
          <w:wBefore w:w="0" w:type="auto"/>
          <w:tblCellSpacing w:w="0" w:type="dxa"/>
        </w:trPr>
        <w:tc>
          <w:tcPr>
            <w:tcW w:w="0" w:type="auto"/>
            <w:noWrap w:val="0"/>
            <w:vAlign w:val="center"/>
          </w:tcPr>
          <w:p w14:paraId="2B369B11">
            <w:r>
              <w:rPr>
                <w:rStyle w:val="10"/>
                <w:rFonts w:hint="eastAsia"/>
              </w:rPr>
              <w:t>登记证号：</w:t>
            </w:r>
            <w:r>
              <w:rPr>
                <w:rFonts w:hint="eastAsia"/>
              </w:rPr>
              <w:t>PD20212215</w:t>
            </w:r>
          </w:p>
        </w:tc>
      </w:tr>
      <w:tr w14:paraId="3B2566D9">
        <w:tblPrEx>
          <w:tblCellMar>
            <w:top w:w="0" w:type="dxa"/>
            <w:left w:w="0" w:type="dxa"/>
            <w:bottom w:w="0" w:type="dxa"/>
            <w:right w:w="0" w:type="dxa"/>
          </w:tblCellMar>
        </w:tblPrEx>
        <w:trPr>
          <w:wBefore w:w="0" w:type="auto"/>
          <w:tblCellSpacing w:w="0" w:type="dxa"/>
        </w:trPr>
        <w:tc>
          <w:tcPr>
            <w:tcW w:w="0" w:type="auto"/>
            <w:noWrap w:val="0"/>
            <w:vAlign w:val="center"/>
          </w:tcPr>
          <w:p w14:paraId="4BBCDAAA">
            <w:r>
              <w:rPr>
                <w:rStyle w:val="10"/>
                <w:rFonts w:hint="eastAsia"/>
              </w:rPr>
              <w:t>登记证持有人：</w:t>
            </w:r>
            <w:r>
              <w:rPr>
                <w:rFonts w:hint="eastAsia"/>
              </w:rPr>
              <w:t>广西上思县安格特生物科技厂</w:t>
            </w:r>
          </w:p>
        </w:tc>
      </w:tr>
      <w:tr w14:paraId="21ADC04B">
        <w:tblPrEx>
          <w:tblCellMar>
            <w:top w:w="0" w:type="dxa"/>
            <w:left w:w="0" w:type="dxa"/>
            <w:bottom w:w="0" w:type="dxa"/>
            <w:right w:w="0" w:type="dxa"/>
          </w:tblCellMar>
        </w:tblPrEx>
        <w:trPr>
          <w:wBefore w:w="0" w:type="auto"/>
          <w:tblCellSpacing w:w="0" w:type="dxa"/>
        </w:trPr>
        <w:tc>
          <w:tcPr>
            <w:tcW w:w="0" w:type="auto"/>
            <w:noWrap w:val="0"/>
            <w:vAlign w:val="center"/>
          </w:tcPr>
          <w:p w14:paraId="794DA8BF">
            <w:r>
              <w:rPr>
                <w:rStyle w:val="10"/>
                <w:rFonts w:hint="eastAsia"/>
              </w:rPr>
              <w:t>农药名称：</w:t>
            </w:r>
            <w:r>
              <w:rPr>
                <w:rFonts w:hint="eastAsia"/>
              </w:rPr>
              <w:t>氟草·草铵膦</w:t>
            </w:r>
          </w:p>
        </w:tc>
      </w:tr>
      <w:tr w14:paraId="71E56C68">
        <w:tblPrEx>
          <w:tblCellMar>
            <w:top w:w="0" w:type="dxa"/>
            <w:left w:w="0" w:type="dxa"/>
            <w:bottom w:w="0" w:type="dxa"/>
            <w:right w:w="0" w:type="dxa"/>
          </w:tblCellMar>
        </w:tblPrEx>
        <w:trPr>
          <w:wBefore w:w="0" w:type="auto"/>
          <w:tblCellSpacing w:w="0" w:type="dxa"/>
        </w:trPr>
        <w:tc>
          <w:tcPr>
            <w:tcW w:w="0" w:type="auto"/>
            <w:noWrap w:val="0"/>
            <w:vAlign w:val="center"/>
          </w:tcPr>
          <w:p w14:paraId="7C2DE841">
            <w:r>
              <w:rPr>
                <w:rStyle w:val="10"/>
                <w:rFonts w:hint="eastAsia"/>
              </w:rPr>
              <w:t>剂型：</w:t>
            </w:r>
            <w:r>
              <w:rPr>
                <w:rFonts w:hint="eastAsia"/>
              </w:rPr>
              <w:t>可湿性粉剂</w:t>
            </w:r>
          </w:p>
        </w:tc>
      </w:tr>
      <w:tr w14:paraId="216E7F35">
        <w:tblPrEx>
          <w:tblCellMar>
            <w:top w:w="0" w:type="dxa"/>
            <w:left w:w="0" w:type="dxa"/>
            <w:bottom w:w="0" w:type="dxa"/>
            <w:right w:w="0" w:type="dxa"/>
          </w:tblCellMar>
        </w:tblPrEx>
        <w:trPr>
          <w:wBefore w:w="0" w:type="auto"/>
          <w:tblCellSpacing w:w="0" w:type="dxa"/>
        </w:trPr>
        <w:tc>
          <w:tcPr>
            <w:tcW w:w="0" w:type="auto"/>
            <w:noWrap w:val="0"/>
            <w:vAlign w:val="center"/>
          </w:tcPr>
          <w:p w14:paraId="32450AA4">
            <w:r>
              <w:rPr>
                <w:rStyle w:val="10"/>
                <w:rFonts w:hint="eastAsia"/>
              </w:rPr>
              <w:t>毒性及其标识：</w:t>
            </w:r>
            <w:r>
              <w:rPr>
                <w:rFonts w:hint="eastAsia"/>
              </w:rPr>
              <w:t xml:space="preserve"> </w:t>
            </w:r>
            <w:r>
              <w:rPr>
                <w:lang/>
              </w:rPr>
              <w:drawing>
                <wp:inline distT="0" distB="0" distL="114300" distR="114300">
                  <wp:extent cx="476250" cy="323850"/>
                  <wp:effectExtent l="0" t="0" r="0" b="0"/>
                  <wp:docPr id="278" name="图片 27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4517F60">
        <w:tblPrEx>
          <w:tblCellMar>
            <w:top w:w="0" w:type="dxa"/>
            <w:left w:w="0" w:type="dxa"/>
            <w:bottom w:w="0" w:type="dxa"/>
            <w:right w:w="0" w:type="dxa"/>
          </w:tblCellMar>
        </w:tblPrEx>
        <w:trPr>
          <w:wBefore w:w="0" w:type="auto"/>
          <w:tblCellSpacing w:w="0" w:type="dxa"/>
        </w:trPr>
        <w:tc>
          <w:tcPr>
            <w:tcW w:w="0" w:type="auto"/>
            <w:noWrap w:val="0"/>
            <w:vAlign w:val="center"/>
          </w:tcPr>
          <w:p w14:paraId="7ACABA31">
            <w:r>
              <w:rPr>
                <w:rStyle w:val="10"/>
                <w:rFonts w:hint="eastAsia"/>
              </w:rPr>
              <w:t>总有效成分含量：</w:t>
            </w:r>
            <w:r>
              <w:rPr>
                <w:rFonts w:hint="eastAsia"/>
              </w:rPr>
              <w:t>66%</w:t>
            </w:r>
          </w:p>
        </w:tc>
      </w:tr>
      <w:tr w14:paraId="6AFFFBC6">
        <w:tblPrEx>
          <w:tblCellMar>
            <w:top w:w="0" w:type="dxa"/>
            <w:left w:w="0" w:type="dxa"/>
            <w:bottom w:w="0" w:type="dxa"/>
            <w:right w:w="0" w:type="dxa"/>
          </w:tblCellMar>
        </w:tblPrEx>
        <w:trPr>
          <w:wBefore w:w="0" w:type="auto"/>
          <w:tblCellSpacing w:w="0" w:type="dxa"/>
        </w:trPr>
        <w:tc>
          <w:tcPr>
            <w:tcW w:w="0" w:type="auto"/>
            <w:noWrap w:val="0"/>
            <w:vAlign w:val="center"/>
          </w:tcPr>
          <w:p w14:paraId="63001177">
            <w:r>
              <w:rPr>
                <w:rFonts w:hint="eastAsia"/>
              </w:rPr>
              <w:t xml:space="preserve">有效成分及其含量： </w:t>
            </w:r>
          </w:p>
          <w:p w14:paraId="410B8164">
            <w:r>
              <w:rPr>
                <w:rFonts w:hint="eastAsia"/>
              </w:rPr>
              <w:t xml:space="preserve">    丙炔氟草胺6%    草铵膦60%    </w:t>
            </w:r>
          </w:p>
        </w:tc>
      </w:tr>
      <w:tr w14:paraId="4D0C8731">
        <w:tblPrEx>
          <w:tblCellMar>
            <w:top w:w="0" w:type="dxa"/>
            <w:left w:w="0" w:type="dxa"/>
            <w:bottom w:w="0" w:type="dxa"/>
            <w:right w:w="0" w:type="dxa"/>
          </w:tblCellMar>
        </w:tblPrEx>
        <w:trPr>
          <w:wBefore w:w="0" w:type="auto"/>
          <w:tblCellSpacing w:w="0" w:type="dxa"/>
        </w:trPr>
        <w:tc>
          <w:tcPr>
            <w:tcW w:w="0" w:type="auto"/>
            <w:noWrap w:val="0"/>
            <w:vAlign w:val="center"/>
          </w:tcPr>
          <w:p w14:paraId="718B6CE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CEF0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1172D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4DB3F5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3D797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43B2CFB">
                  <w:r>
                    <w:rPr>
                      <w:rStyle w:val="11"/>
                      <w:rFonts w:hint="eastAsia"/>
                    </w:rPr>
                    <w:t>施用方式</w:t>
                  </w:r>
                </w:p>
              </w:tc>
            </w:tr>
            <w:tr w14:paraId="4A1234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65C82A9">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84BA77">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2CAF40">
                  <w:r>
                    <w:rPr>
                      <w:rStyle w:val="11"/>
                      <w:rFonts w:hint="eastAsia"/>
                    </w:rPr>
                    <w:t>85-125克/亩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FAED62">
                  <w:r>
                    <w:rPr>
                      <w:rStyle w:val="11"/>
                      <w:rFonts w:hint="eastAsia"/>
                    </w:rPr>
                    <w:t>茎叶喷雾</w:t>
                  </w:r>
                </w:p>
              </w:tc>
            </w:tr>
          </w:tbl>
          <w:p w14:paraId="633FAB00">
            <w:pPr>
              <w:rPr>
                <w:rFonts w:ascii="Times New Roman" w:hAnsi="Times New Roman" w:cs="Times New Roman"/>
                <w:sz w:val="20"/>
                <w:szCs w:val="20"/>
              </w:rPr>
            </w:pPr>
          </w:p>
        </w:tc>
      </w:tr>
      <w:tr w14:paraId="1CB030F3">
        <w:tblPrEx>
          <w:tblCellMar>
            <w:top w:w="0" w:type="dxa"/>
            <w:left w:w="0" w:type="dxa"/>
            <w:bottom w:w="0" w:type="dxa"/>
            <w:right w:w="0" w:type="dxa"/>
          </w:tblCellMar>
        </w:tblPrEx>
        <w:trPr>
          <w:wBefore w:w="0" w:type="auto"/>
          <w:tblCellSpacing w:w="0" w:type="dxa"/>
        </w:trPr>
        <w:tc>
          <w:tcPr>
            <w:tcW w:w="0" w:type="auto"/>
            <w:noWrap w:val="0"/>
            <w:vAlign w:val="center"/>
          </w:tcPr>
          <w:p w14:paraId="43C7F0BD">
            <w:r>
              <w:rPr>
                <w:rStyle w:val="10"/>
                <w:rFonts w:hint="eastAsia"/>
              </w:rPr>
              <w:t>使用技术要求:</w:t>
            </w:r>
            <w:r>
              <w:rPr>
                <w:rFonts w:hint="eastAsia"/>
              </w:rPr>
              <w:br w:type="textWrapping"/>
            </w:r>
            <w:r>
              <w:rPr>
                <w:rStyle w:val="11"/>
                <w:rFonts w:hint="eastAsia"/>
              </w:rPr>
              <w:t>1、本品于非耕地杂草生长旺盛期茎叶均匀喷雾.。 2、避免药液喷到作物绿色部位，避免漂移到邻近作物田，大风天或预计6小时内降雨，勿施药。</w:t>
            </w:r>
          </w:p>
        </w:tc>
      </w:tr>
      <w:tr w14:paraId="0B52A29B">
        <w:tblPrEx>
          <w:tblCellMar>
            <w:top w:w="0" w:type="dxa"/>
            <w:left w:w="0" w:type="dxa"/>
            <w:bottom w:w="0" w:type="dxa"/>
            <w:right w:w="0" w:type="dxa"/>
          </w:tblCellMar>
        </w:tblPrEx>
        <w:trPr>
          <w:wBefore w:w="0" w:type="auto"/>
          <w:tblCellSpacing w:w="0" w:type="dxa"/>
        </w:trPr>
        <w:tc>
          <w:tcPr>
            <w:tcW w:w="0" w:type="auto"/>
            <w:noWrap w:val="0"/>
            <w:vAlign w:val="center"/>
          </w:tcPr>
          <w:p w14:paraId="4A60F0DC">
            <w:r>
              <w:rPr>
                <w:rStyle w:val="10"/>
                <w:rFonts w:hint="eastAsia"/>
              </w:rPr>
              <w:t>产品性能:</w:t>
            </w:r>
            <w:r>
              <w:rPr>
                <w:rFonts w:hint="eastAsia"/>
              </w:rPr>
              <w:br w:type="textWrapping"/>
            </w:r>
            <w:r>
              <w:rPr>
                <w:rStyle w:val="11"/>
                <w:rFonts w:hint="eastAsia"/>
              </w:rPr>
              <w:t>本品是丙炔氟草胺和草铵膦复配的除草剂；该产品具有活性高、除草速度快、杀草谱广、持效期长的特点。二者混配可用于防除非耕地杂草。</w:t>
            </w:r>
          </w:p>
        </w:tc>
      </w:tr>
      <w:tr w14:paraId="073BB06E">
        <w:tblPrEx>
          <w:tblCellMar>
            <w:top w:w="0" w:type="dxa"/>
            <w:left w:w="0" w:type="dxa"/>
            <w:bottom w:w="0" w:type="dxa"/>
            <w:right w:w="0" w:type="dxa"/>
          </w:tblCellMar>
        </w:tblPrEx>
        <w:trPr>
          <w:wBefore w:w="0" w:type="auto"/>
          <w:tblCellSpacing w:w="0" w:type="dxa"/>
        </w:trPr>
        <w:tc>
          <w:tcPr>
            <w:tcW w:w="0" w:type="auto"/>
            <w:noWrap w:val="0"/>
            <w:vAlign w:val="center"/>
          </w:tcPr>
          <w:p w14:paraId="2EEDFC09">
            <w:r>
              <w:rPr>
                <w:rStyle w:val="10"/>
                <w:rFonts w:hint="eastAsia"/>
              </w:rPr>
              <w:t>注意事项：</w:t>
            </w:r>
            <w:r>
              <w:rPr>
                <w:rFonts w:hint="eastAsia"/>
              </w:rPr>
              <w:br w:type="textWrapping"/>
            </w:r>
            <w:r>
              <w:rPr>
                <w:rStyle w:val="11"/>
                <w:rFonts w:hint="eastAsia"/>
              </w:rPr>
              <w:t>1）使用前请仔细阅读此标签,并严格按照标签说明使用。喷药时应注意风向，防止飘移到邻近敏感作物上。2）施药前、后要彻底清洗喷药器械，洗涤后的废水不应污染河流等水源，未用完的药液应密封后妥善放置。3）用药后包装物及用过的容器应妥善处理，不可做他用，也不可随意丢弃。4）使用时不得污染各类水域、土壤等环境。5）本品对家蚕和非靶标生物有影响。应远离水产养殖区、河塘等水体施药，禁止在河塘等水域中清洗施药器具。蚕室和桑园附近禁用，天敌放飞区域禁用。6）孕妇及哺乳期妇女禁止接触。7）为避免产生抗药性，建议与其它作用机理不同的除草剂轮换或交替使用。</w:t>
            </w:r>
          </w:p>
        </w:tc>
      </w:tr>
      <w:tr w14:paraId="4C597490">
        <w:tblPrEx>
          <w:tblCellMar>
            <w:top w:w="0" w:type="dxa"/>
            <w:left w:w="0" w:type="dxa"/>
            <w:bottom w:w="0" w:type="dxa"/>
            <w:right w:w="0" w:type="dxa"/>
          </w:tblCellMar>
        </w:tblPrEx>
        <w:trPr>
          <w:wBefore w:w="0" w:type="auto"/>
          <w:tblCellSpacing w:w="0" w:type="dxa"/>
        </w:trPr>
        <w:tc>
          <w:tcPr>
            <w:tcW w:w="0" w:type="auto"/>
            <w:noWrap w:val="0"/>
            <w:vAlign w:val="center"/>
          </w:tcPr>
          <w:p w14:paraId="24C58B01">
            <w:r>
              <w:rPr>
                <w:rStyle w:val="10"/>
                <w:rFonts w:hint="eastAsia"/>
              </w:rPr>
              <w:t>中毒急救措施：</w:t>
            </w:r>
            <w:r>
              <w:rPr>
                <w:rFonts w:hint="eastAsia"/>
              </w:rPr>
              <w:br w:type="textWrapping"/>
            </w:r>
            <w:r>
              <w:rPr>
                <w:rStyle w:val="11"/>
                <w:rFonts w:hint="eastAsia"/>
              </w:rPr>
              <w:t>不慎吸入：应将病人移至空气流通处；不慎眼睛溅入或接触皮肤：用大量清水冲洗至少15分钟。不慎误服：用清水将嘴清洗干净，不要自行引吐，携此标签送医诊治。医生洗胃时，应注意保护气管和食管；本品无专用解毒剂。</w:t>
            </w:r>
          </w:p>
        </w:tc>
      </w:tr>
      <w:tr w14:paraId="090C6041">
        <w:tblPrEx>
          <w:tblCellMar>
            <w:top w:w="0" w:type="dxa"/>
            <w:left w:w="0" w:type="dxa"/>
            <w:bottom w:w="0" w:type="dxa"/>
            <w:right w:w="0" w:type="dxa"/>
          </w:tblCellMar>
        </w:tblPrEx>
        <w:trPr>
          <w:wBefore w:w="0" w:type="auto"/>
          <w:tblCellSpacing w:w="0" w:type="dxa"/>
        </w:trPr>
        <w:tc>
          <w:tcPr>
            <w:tcW w:w="0" w:type="auto"/>
            <w:noWrap w:val="0"/>
            <w:vAlign w:val="center"/>
          </w:tcPr>
          <w:p w14:paraId="48DACF37">
            <w:r>
              <w:rPr>
                <w:rStyle w:val="10"/>
                <w:rFonts w:hint="eastAsia"/>
              </w:rPr>
              <w:t>储存和运输方法：</w:t>
            </w:r>
            <w:r>
              <w:rPr>
                <w:rFonts w:hint="eastAsia"/>
              </w:rPr>
              <w:br w:type="textWrapping"/>
            </w:r>
            <w:r>
              <w:rPr>
                <w:rStyle w:val="11"/>
                <w:rFonts w:hint="eastAsia"/>
              </w:rPr>
              <w:t>本品应贮存在阴凉、干燥、通风、防雨处，远离火源和热源。置于儿童触及不到之处，并加锁保存。勿与食品、饮料、粮食、饲料等物品同贮同运。、</w:t>
            </w:r>
          </w:p>
        </w:tc>
      </w:tr>
      <w:tr w14:paraId="04421187">
        <w:tblPrEx>
          <w:tblCellMar>
            <w:top w:w="0" w:type="dxa"/>
            <w:left w:w="0" w:type="dxa"/>
            <w:bottom w:w="0" w:type="dxa"/>
            <w:right w:w="0" w:type="dxa"/>
          </w:tblCellMar>
        </w:tblPrEx>
        <w:trPr>
          <w:wBefore w:w="0" w:type="auto"/>
          <w:tblCellSpacing w:w="0" w:type="dxa"/>
        </w:trPr>
        <w:tc>
          <w:tcPr>
            <w:tcW w:w="0" w:type="auto"/>
            <w:noWrap w:val="0"/>
            <w:vAlign w:val="center"/>
          </w:tcPr>
          <w:p w14:paraId="1F6A2305">
            <w:r>
              <w:rPr>
                <w:rStyle w:val="10"/>
                <w:rFonts w:hint="eastAsia"/>
              </w:rPr>
              <w:t>质量保证期：</w:t>
            </w:r>
            <w:r>
              <w:rPr>
                <w:rStyle w:val="11"/>
                <w:rFonts w:hint="eastAsia"/>
              </w:rPr>
              <w:t>2年</w:t>
            </w:r>
          </w:p>
        </w:tc>
      </w:tr>
      <w:tr w14:paraId="4A8BEEB4">
        <w:tblPrEx>
          <w:tblCellMar>
            <w:top w:w="0" w:type="dxa"/>
            <w:left w:w="0" w:type="dxa"/>
            <w:bottom w:w="0" w:type="dxa"/>
            <w:right w:w="0" w:type="dxa"/>
          </w:tblCellMar>
        </w:tblPrEx>
        <w:trPr>
          <w:wBefore w:w="0" w:type="auto"/>
          <w:tblCellSpacing w:w="0" w:type="dxa"/>
        </w:trPr>
        <w:tc>
          <w:tcPr>
            <w:tcW w:w="0" w:type="auto"/>
            <w:noWrap w:val="0"/>
            <w:vAlign w:val="center"/>
          </w:tcPr>
          <w:p w14:paraId="66B4A838">
            <w:r>
              <w:rPr>
                <w:rStyle w:val="10"/>
                <w:rFonts w:hint="eastAsia"/>
              </w:rPr>
              <w:t>备注：</w:t>
            </w:r>
          </w:p>
        </w:tc>
      </w:tr>
    </w:tbl>
    <w:p w14:paraId="42A17AB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50D06F6">
        <w:tblPrEx>
          <w:tblCellMar>
            <w:top w:w="0" w:type="dxa"/>
            <w:left w:w="0" w:type="dxa"/>
            <w:bottom w:w="0" w:type="dxa"/>
            <w:right w:w="0" w:type="dxa"/>
          </w:tblCellMar>
        </w:tblPrEx>
        <w:trPr>
          <w:wBefore w:w="0" w:type="auto"/>
          <w:tblCellSpacing w:w="0" w:type="dxa"/>
        </w:trPr>
        <w:tc>
          <w:tcPr>
            <w:tcW w:w="0" w:type="auto"/>
            <w:noWrap w:val="0"/>
            <w:vAlign w:val="center"/>
          </w:tcPr>
          <w:p w14:paraId="76C0DE8A">
            <w:r>
              <w:rPr>
                <w:rStyle w:val="10"/>
                <w:rFonts w:hint="eastAsia"/>
              </w:rPr>
              <w:t>登记证号：</w:t>
            </w:r>
            <w:r>
              <w:rPr>
                <w:rFonts w:hint="eastAsia"/>
              </w:rPr>
              <w:t>PD20211749</w:t>
            </w:r>
          </w:p>
        </w:tc>
      </w:tr>
      <w:tr w14:paraId="365EBBEC">
        <w:tblPrEx>
          <w:tblCellMar>
            <w:top w:w="0" w:type="dxa"/>
            <w:left w:w="0" w:type="dxa"/>
            <w:bottom w:w="0" w:type="dxa"/>
            <w:right w:w="0" w:type="dxa"/>
          </w:tblCellMar>
        </w:tblPrEx>
        <w:trPr>
          <w:wBefore w:w="0" w:type="auto"/>
          <w:tblCellSpacing w:w="0" w:type="dxa"/>
        </w:trPr>
        <w:tc>
          <w:tcPr>
            <w:tcW w:w="0" w:type="auto"/>
            <w:noWrap w:val="0"/>
            <w:vAlign w:val="center"/>
          </w:tcPr>
          <w:p w14:paraId="13A6AE41">
            <w:r>
              <w:rPr>
                <w:rStyle w:val="10"/>
                <w:rFonts w:hint="eastAsia"/>
              </w:rPr>
              <w:t>登记证持有人：</w:t>
            </w:r>
            <w:r>
              <w:rPr>
                <w:rFonts w:hint="eastAsia"/>
              </w:rPr>
              <w:t>山东天道生物工程有限公司</w:t>
            </w:r>
          </w:p>
        </w:tc>
      </w:tr>
      <w:tr w14:paraId="59E6EC72">
        <w:tblPrEx>
          <w:tblCellMar>
            <w:top w:w="0" w:type="dxa"/>
            <w:left w:w="0" w:type="dxa"/>
            <w:bottom w:w="0" w:type="dxa"/>
            <w:right w:w="0" w:type="dxa"/>
          </w:tblCellMar>
        </w:tblPrEx>
        <w:trPr>
          <w:wBefore w:w="0" w:type="auto"/>
          <w:tblCellSpacing w:w="0" w:type="dxa"/>
        </w:trPr>
        <w:tc>
          <w:tcPr>
            <w:tcW w:w="0" w:type="auto"/>
            <w:noWrap w:val="0"/>
            <w:vAlign w:val="center"/>
          </w:tcPr>
          <w:p w14:paraId="1450031D">
            <w:r>
              <w:rPr>
                <w:rStyle w:val="10"/>
                <w:rFonts w:hint="eastAsia"/>
              </w:rPr>
              <w:t>农药名称：</w:t>
            </w:r>
            <w:r>
              <w:rPr>
                <w:rFonts w:hint="eastAsia"/>
              </w:rPr>
              <w:t>虫螨腈·唑虫酰胺</w:t>
            </w:r>
          </w:p>
        </w:tc>
      </w:tr>
      <w:tr w14:paraId="266B9BB1">
        <w:tblPrEx>
          <w:tblCellMar>
            <w:top w:w="0" w:type="dxa"/>
            <w:left w:w="0" w:type="dxa"/>
            <w:bottom w:w="0" w:type="dxa"/>
            <w:right w:w="0" w:type="dxa"/>
          </w:tblCellMar>
        </w:tblPrEx>
        <w:trPr>
          <w:wBefore w:w="0" w:type="auto"/>
          <w:tblCellSpacing w:w="0" w:type="dxa"/>
        </w:trPr>
        <w:tc>
          <w:tcPr>
            <w:tcW w:w="0" w:type="auto"/>
            <w:noWrap w:val="0"/>
            <w:vAlign w:val="center"/>
          </w:tcPr>
          <w:p w14:paraId="2DC968FA">
            <w:r>
              <w:rPr>
                <w:rStyle w:val="10"/>
                <w:rFonts w:hint="eastAsia"/>
              </w:rPr>
              <w:t>剂型：</w:t>
            </w:r>
            <w:r>
              <w:rPr>
                <w:rFonts w:hint="eastAsia"/>
              </w:rPr>
              <w:t>悬浮剂</w:t>
            </w:r>
          </w:p>
        </w:tc>
      </w:tr>
      <w:tr w14:paraId="01FAB358">
        <w:tblPrEx>
          <w:tblCellMar>
            <w:top w:w="0" w:type="dxa"/>
            <w:left w:w="0" w:type="dxa"/>
            <w:bottom w:w="0" w:type="dxa"/>
            <w:right w:w="0" w:type="dxa"/>
          </w:tblCellMar>
        </w:tblPrEx>
        <w:trPr>
          <w:wBefore w:w="0" w:type="auto"/>
          <w:tblCellSpacing w:w="0" w:type="dxa"/>
        </w:trPr>
        <w:tc>
          <w:tcPr>
            <w:tcW w:w="0" w:type="auto"/>
            <w:noWrap w:val="0"/>
            <w:vAlign w:val="center"/>
          </w:tcPr>
          <w:p w14:paraId="2BBDF6B6">
            <w:r>
              <w:rPr>
                <w:rStyle w:val="10"/>
                <w:rFonts w:hint="eastAsia"/>
              </w:rPr>
              <w:t>毒性及其标识：</w:t>
            </w:r>
            <w:r>
              <w:rPr>
                <w:rFonts w:hint="eastAsia"/>
              </w:rPr>
              <w:t xml:space="preserve"> </w:t>
            </w:r>
            <w:r>
              <w:rPr>
                <w:lang/>
              </w:rPr>
              <w:drawing>
                <wp:inline distT="0" distB="0" distL="114300" distR="114300">
                  <wp:extent cx="476250" cy="323850"/>
                  <wp:effectExtent l="0" t="0" r="0" b="0"/>
                  <wp:docPr id="279" name="图片 279"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147F0F9D">
        <w:tblPrEx>
          <w:tblCellMar>
            <w:top w:w="0" w:type="dxa"/>
            <w:left w:w="0" w:type="dxa"/>
            <w:bottom w:w="0" w:type="dxa"/>
            <w:right w:w="0" w:type="dxa"/>
          </w:tblCellMar>
        </w:tblPrEx>
        <w:trPr>
          <w:wBefore w:w="0" w:type="auto"/>
          <w:tblCellSpacing w:w="0" w:type="dxa"/>
        </w:trPr>
        <w:tc>
          <w:tcPr>
            <w:tcW w:w="0" w:type="auto"/>
            <w:noWrap w:val="0"/>
            <w:vAlign w:val="center"/>
          </w:tcPr>
          <w:p w14:paraId="6BFC3991">
            <w:r>
              <w:rPr>
                <w:rStyle w:val="10"/>
                <w:rFonts w:hint="eastAsia"/>
              </w:rPr>
              <w:t>总有效成分含量：</w:t>
            </w:r>
            <w:r>
              <w:rPr>
                <w:rFonts w:hint="eastAsia"/>
              </w:rPr>
              <w:t>20%</w:t>
            </w:r>
          </w:p>
        </w:tc>
      </w:tr>
      <w:tr w14:paraId="0C54AE15">
        <w:tblPrEx>
          <w:tblCellMar>
            <w:top w:w="0" w:type="dxa"/>
            <w:left w:w="0" w:type="dxa"/>
            <w:bottom w:w="0" w:type="dxa"/>
            <w:right w:w="0" w:type="dxa"/>
          </w:tblCellMar>
        </w:tblPrEx>
        <w:trPr>
          <w:wBefore w:w="0" w:type="auto"/>
          <w:tblCellSpacing w:w="0" w:type="dxa"/>
        </w:trPr>
        <w:tc>
          <w:tcPr>
            <w:tcW w:w="0" w:type="auto"/>
            <w:noWrap w:val="0"/>
            <w:vAlign w:val="center"/>
          </w:tcPr>
          <w:p w14:paraId="63C4FD67">
            <w:r>
              <w:rPr>
                <w:rFonts w:hint="eastAsia"/>
              </w:rPr>
              <w:t xml:space="preserve">有效成分及其含量： </w:t>
            </w:r>
          </w:p>
          <w:p w14:paraId="4917EA24">
            <w:r>
              <w:rPr>
                <w:rFonts w:hint="eastAsia"/>
              </w:rPr>
              <w:t xml:space="preserve">    虫螨腈10%    唑虫酰胺10%    </w:t>
            </w:r>
          </w:p>
        </w:tc>
      </w:tr>
      <w:tr w14:paraId="325AA75C">
        <w:tblPrEx>
          <w:tblCellMar>
            <w:top w:w="0" w:type="dxa"/>
            <w:left w:w="0" w:type="dxa"/>
            <w:bottom w:w="0" w:type="dxa"/>
            <w:right w:w="0" w:type="dxa"/>
          </w:tblCellMar>
        </w:tblPrEx>
        <w:trPr>
          <w:wBefore w:w="0" w:type="auto"/>
          <w:tblCellSpacing w:w="0" w:type="dxa"/>
        </w:trPr>
        <w:tc>
          <w:tcPr>
            <w:tcW w:w="0" w:type="auto"/>
            <w:noWrap w:val="0"/>
            <w:vAlign w:val="center"/>
          </w:tcPr>
          <w:p w14:paraId="042EC79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05FCF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140310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309BC3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47B1B6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B15411A">
                  <w:r>
                    <w:rPr>
                      <w:rStyle w:val="11"/>
                      <w:rFonts w:hint="eastAsia"/>
                    </w:rPr>
                    <w:t>施用方式</w:t>
                  </w:r>
                </w:p>
              </w:tc>
            </w:tr>
            <w:tr w14:paraId="19803B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C6182AD">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E5C2C9">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103C63">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906024">
                  <w:r>
                    <w:rPr>
                      <w:rStyle w:val="11"/>
                      <w:rFonts w:hint="eastAsia"/>
                    </w:rPr>
                    <w:t>喷雾</w:t>
                  </w:r>
                </w:p>
              </w:tc>
            </w:tr>
          </w:tbl>
          <w:p w14:paraId="06E0D96A">
            <w:pPr>
              <w:rPr>
                <w:rFonts w:ascii="Times New Roman" w:hAnsi="Times New Roman" w:cs="Times New Roman"/>
                <w:sz w:val="20"/>
                <w:szCs w:val="20"/>
              </w:rPr>
            </w:pPr>
          </w:p>
        </w:tc>
      </w:tr>
      <w:tr w14:paraId="4F55C942">
        <w:tblPrEx>
          <w:tblCellMar>
            <w:top w:w="0" w:type="dxa"/>
            <w:left w:w="0" w:type="dxa"/>
            <w:bottom w:w="0" w:type="dxa"/>
            <w:right w:w="0" w:type="dxa"/>
          </w:tblCellMar>
        </w:tblPrEx>
        <w:trPr>
          <w:wBefore w:w="0" w:type="auto"/>
          <w:tblCellSpacing w:w="0" w:type="dxa"/>
        </w:trPr>
        <w:tc>
          <w:tcPr>
            <w:tcW w:w="0" w:type="auto"/>
            <w:noWrap w:val="0"/>
            <w:vAlign w:val="center"/>
          </w:tcPr>
          <w:p w14:paraId="365AB616">
            <w:r>
              <w:rPr>
                <w:rStyle w:val="10"/>
                <w:rFonts w:hint="eastAsia"/>
              </w:rPr>
              <w:t>使用技术要求:</w:t>
            </w:r>
            <w:r>
              <w:rPr>
                <w:rFonts w:hint="eastAsia"/>
              </w:rPr>
              <w:br w:type="textWrapping"/>
            </w:r>
            <w:r>
              <w:rPr>
                <w:rStyle w:val="11"/>
                <w:rFonts w:hint="eastAsia"/>
              </w:rPr>
              <w:t>1、在小菜蛾卵孵盛期至低龄幼虫期施药。兑水整个植株均匀喷雾，注意叶片背面。2、每季作物最多使用1次，安全间隔期14天。3.大风天或预计1小时内降雨，请勿施药。傍晚施药更有利于药效充分发挥。</w:t>
            </w:r>
          </w:p>
        </w:tc>
      </w:tr>
      <w:tr w14:paraId="446C2004">
        <w:tblPrEx>
          <w:tblCellMar>
            <w:top w:w="0" w:type="dxa"/>
            <w:left w:w="0" w:type="dxa"/>
            <w:bottom w:w="0" w:type="dxa"/>
            <w:right w:w="0" w:type="dxa"/>
          </w:tblCellMar>
        </w:tblPrEx>
        <w:trPr>
          <w:wBefore w:w="0" w:type="auto"/>
          <w:tblCellSpacing w:w="0" w:type="dxa"/>
        </w:trPr>
        <w:tc>
          <w:tcPr>
            <w:tcW w:w="0" w:type="auto"/>
            <w:noWrap w:val="0"/>
            <w:vAlign w:val="center"/>
          </w:tcPr>
          <w:p w14:paraId="6CAD96EB">
            <w:r>
              <w:rPr>
                <w:rStyle w:val="10"/>
                <w:rFonts w:hint="eastAsia"/>
              </w:rPr>
              <w:t>产品性能:</w:t>
            </w:r>
            <w:r>
              <w:rPr>
                <w:rFonts w:hint="eastAsia"/>
              </w:rPr>
              <w:br w:type="textWrapping"/>
            </w:r>
            <w:r>
              <w:rPr>
                <w:rStyle w:val="11"/>
                <w:rFonts w:hint="eastAsia"/>
              </w:rPr>
              <w:t>虫螨腈是一种芳基取代吡咯化合物，在植物叶面渗透性较强；唑虫酰胺为新型吡唑杂环类杀剂，被称为线粒体电子传达复合体碍剂（METI）。二者结合具有抑食、抑制产卵和杀虫杀卵特性，可用于防治甘蓝小菜蛾。</w:t>
            </w:r>
          </w:p>
        </w:tc>
      </w:tr>
      <w:tr w14:paraId="66600A26">
        <w:tblPrEx>
          <w:tblCellMar>
            <w:top w:w="0" w:type="dxa"/>
            <w:left w:w="0" w:type="dxa"/>
            <w:bottom w:w="0" w:type="dxa"/>
            <w:right w:w="0" w:type="dxa"/>
          </w:tblCellMar>
        </w:tblPrEx>
        <w:trPr>
          <w:wBefore w:w="0" w:type="auto"/>
          <w:tblCellSpacing w:w="0" w:type="dxa"/>
        </w:trPr>
        <w:tc>
          <w:tcPr>
            <w:tcW w:w="0" w:type="auto"/>
            <w:noWrap w:val="0"/>
            <w:vAlign w:val="center"/>
          </w:tcPr>
          <w:p w14:paraId="222F896E">
            <w:r>
              <w:rPr>
                <w:rStyle w:val="10"/>
                <w:rFonts w:hint="eastAsia"/>
              </w:rPr>
              <w:t>注意事项：</w:t>
            </w:r>
            <w:r>
              <w:rPr>
                <w:rFonts w:hint="eastAsia"/>
              </w:rPr>
              <w:br w:type="textWrapping"/>
            </w:r>
            <w:r>
              <w:rPr>
                <w:rStyle w:val="11"/>
                <w:rFonts w:hint="eastAsia"/>
              </w:rPr>
              <w:t>1）使用本品应采取相应的安全防护措施，配药和施药时，穿防护服、穿胶鞋，戴口罩及手套，以避免污染皮肤和眼睛，施药完毕后及时换洗衣物，洗净手、脸和被污染的皮肤。2）施药前、后要彻底清洗喷药器械，洗涤后的废水不应污染河流等水源，未用完的药液应密封后妥善放置。3）用药后包装物及用过的容器应妥善处理，不可做他用，也不可随意丢弃。4）使用时不得污染各类水域、土壤等环境。5）本品对鸟类、蜜蜂、家蚕、非靶标生物有影响。应远离水产养殖区、河塘等水体施药，禁止在河塘等水域中清洗施药器具。在天敌放飞区域禁用，鸟类保护区禁用，在蚕室及桑园附近禁用，周围植物花期禁用。6）孕妇及哺乳期妇女禁止接触。7）为避免产生抗药性，建议与其它作用机理不同的杀虫剂轮换或交替使用。</w:t>
            </w:r>
          </w:p>
        </w:tc>
      </w:tr>
      <w:tr w14:paraId="02550F6F">
        <w:tblPrEx>
          <w:tblCellMar>
            <w:top w:w="0" w:type="dxa"/>
            <w:left w:w="0" w:type="dxa"/>
            <w:bottom w:w="0" w:type="dxa"/>
            <w:right w:w="0" w:type="dxa"/>
          </w:tblCellMar>
        </w:tblPrEx>
        <w:trPr>
          <w:wBefore w:w="0" w:type="auto"/>
          <w:tblCellSpacing w:w="0" w:type="dxa"/>
        </w:trPr>
        <w:tc>
          <w:tcPr>
            <w:tcW w:w="0" w:type="auto"/>
            <w:noWrap w:val="0"/>
            <w:vAlign w:val="center"/>
          </w:tcPr>
          <w:p w14:paraId="0975A05F">
            <w:r>
              <w:rPr>
                <w:rStyle w:val="10"/>
                <w:rFonts w:hint="eastAsia"/>
              </w:rPr>
              <w:t>中毒急救措施：</w:t>
            </w:r>
            <w:r>
              <w:rPr>
                <w:rFonts w:hint="eastAsia"/>
              </w:rPr>
              <w:br w:type="textWrapping"/>
            </w:r>
            <w:r>
              <w:rPr>
                <w:rStyle w:val="11"/>
                <w:rFonts w:hint="eastAsia"/>
              </w:rPr>
              <w:t>用药时如果感觉不适，立即停止工作，采取急救措施，并携此标签送医就诊。如接触皮肤，用肥皂和大量清水彻底清洗受污的皮肤；如溅及眼睛，用大量流动清水冲洗眼睛至少15分钟；严重者送医就诊；如不慎吸入，应将病人移至空气流通处，请医生诊治；如误服，不得催吐，立即携带标签，送医就诊，无专用解毒剂，对症治疗。</w:t>
            </w:r>
          </w:p>
        </w:tc>
      </w:tr>
      <w:tr w14:paraId="5C59644B">
        <w:tblPrEx>
          <w:tblCellMar>
            <w:top w:w="0" w:type="dxa"/>
            <w:left w:w="0" w:type="dxa"/>
            <w:bottom w:w="0" w:type="dxa"/>
            <w:right w:w="0" w:type="dxa"/>
          </w:tblCellMar>
        </w:tblPrEx>
        <w:trPr>
          <w:wBefore w:w="0" w:type="auto"/>
          <w:tblCellSpacing w:w="0" w:type="dxa"/>
        </w:trPr>
        <w:tc>
          <w:tcPr>
            <w:tcW w:w="0" w:type="auto"/>
            <w:noWrap w:val="0"/>
            <w:vAlign w:val="center"/>
          </w:tcPr>
          <w:p w14:paraId="2AF78A09">
            <w:r>
              <w:rPr>
                <w:rStyle w:val="10"/>
                <w:rFonts w:hint="eastAsia"/>
              </w:rPr>
              <w:t>储存和运输方法：</w:t>
            </w:r>
            <w:r>
              <w:rPr>
                <w:rFonts w:hint="eastAsia"/>
              </w:rPr>
              <w:br w:type="textWrapping"/>
            </w:r>
            <w:r>
              <w:rPr>
                <w:rStyle w:val="11"/>
                <w:rFonts w:hint="eastAsia"/>
              </w:rPr>
              <w:t>本品应贮存在阴凉、干燥、通风、防雨处，远离火源和热源。置于儿童触及不到之处，并加锁保存。勿与食品、饮料、粮食、饲料等物品同贮同运。、</w:t>
            </w:r>
          </w:p>
        </w:tc>
      </w:tr>
      <w:tr w14:paraId="7734C236">
        <w:tblPrEx>
          <w:tblCellMar>
            <w:top w:w="0" w:type="dxa"/>
            <w:left w:w="0" w:type="dxa"/>
            <w:bottom w:w="0" w:type="dxa"/>
            <w:right w:w="0" w:type="dxa"/>
          </w:tblCellMar>
        </w:tblPrEx>
        <w:trPr>
          <w:wBefore w:w="0" w:type="auto"/>
          <w:tblCellSpacing w:w="0" w:type="dxa"/>
        </w:trPr>
        <w:tc>
          <w:tcPr>
            <w:tcW w:w="0" w:type="auto"/>
            <w:noWrap w:val="0"/>
            <w:vAlign w:val="center"/>
          </w:tcPr>
          <w:p w14:paraId="0ABB2748">
            <w:r>
              <w:rPr>
                <w:rStyle w:val="10"/>
                <w:rFonts w:hint="eastAsia"/>
              </w:rPr>
              <w:t>质量保证期：</w:t>
            </w:r>
            <w:r>
              <w:rPr>
                <w:rStyle w:val="11"/>
                <w:rFonts w:hint="eastAsia"/>
              </w:rPr>
              <w:t>2年</w:t>
            </w:r>
          </w:p>
        </w:tc>
      </w:tr>
      <w:tr w14:paraId="65C13D13">
        <w:tblPrEx>
          <w:tblCellMar>
            <w:top w:w="0" w:type="dxa"/>
            <w:left w:w="0" w:type="dxa"/>
            <w:bottom w:w="0" w:type="dxa"/>
            <w:right w:w="0" w:type="dxa"/>
          </w:tblCellMar>
        </w:tblPrEx>
        <w:trPr>
          <w:wBefore w:w="0" w:type="auto"/>
          <w:tblCellSpacing w:w="0" w:type="dxa"/>
        </w:trPr>
        <w:tc>
          <w:tcPr>
            <w:tcW w:w="0" w:type="auto"/>
            <w:noWrap w:val="0"/>
            <w:vAlign w:val="center"/>
          </w:tcPr>
          <w:p w14:paraId="2A2ED7AD">
            <w:r>
              <w:rPr>
                <w:rStyle w:val="10"/>
                <w:rFonts w:hint="eastAsia"/>
              </w:rPr>
              <w:t>备注：</w:t>
            </w:r>
          </w:p>
        </w:tc>
      </w:tr>
    </w:tbl>
    <w:p w14:paraId="52537E4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88E6E9">
        <w:tblPrEx>
          <w:tblCellMar>
            <w:top w:w="0" w:type="dxa"/>
            <w:left w:w="0" w:type="dxa"/>
            <w:bottom w:w="0" w:type="dxa"/>
            <w:right w:w="0" w:type="dxa"/>
          </w:tblCellMar>
        </w:tblPrEx>
        <w:trPr>
          <w:wBefore w:w="0" w:type="auto"/>
          <w:tblCellSpacing w:w="0" w:type="dxa"/>
        </w:trPr>
        <w:tc>
          <w:tcPr>
            <w:tcW w:w="0" w:type="auto"/>
            <w:noWrap w:val="0"/>
            <w:vAlign w:val="center"/>
          </w:tcPr>
          <w:p w14:paraId="4611527B">
            <w:r>
              <w:rPr>
                <w:rStyle w:val="10"/>
                <w:rFonts w:hint="eastAsia"/>
              </w:rPr>
              <w:t>登记证号：</w:t>
            </w:r>
            <w:r>
              <w:rPr>
                <w:rFonts w:hint="eastAsia"/>
              </w:rPr>
              <w:t>PD20212054</w:t>
            </w:r>
          </w:p>
        </w:tc>
      </w:tr>
      <w:tr w14:paraId="1EDF94B8">
        <w:tblPrEx>
          <w:tblCellMar>
            <w:top w:w="0" w:type="dxa"/>
            <w:left w:w="0" w:type="dxa"/>
            <w:bottom w:w="0" w:type="dxa"/>
            <w:right w:w="0" w:type="dxa"/>
          </w:tblCellMar>
        </w:tblPrEx>
        <w:trPr>
          <w:wBefore w:w="0" w:type="auto"/>
          <w:tblCellSpacing w:w="0" w:type="dxa"/>
        </w:trPr>
        <w:tc>
          <w:tcPr>
            <w:tcW w:w="0" w:type="auto"/>
            <w:noWrap w:val="0"/>
            <w:vAlign w:val="center"/>
          </w:tcPr>
          <w:p w14:paraId="5EE537AD">
            <w:r>
              <w:rPr>
                <w:rStyle w:val="10"/>
                <w:rFonts w:hint="eastAsia"/>
              </w:rPr>
              <w:t>登记证持有人：</w:t>
            </w:r>
            <w:r>
              <w:rPr>
                <w:rFonts w:hint="eastAsia"/>
              </w:rPr>
              <w:t>山东天道生物工程有限公司</w:t>
            </w:r>
          </w:p>
        </w:tc>
      </w:tr>
      <w:tr w14:paraId="30DC05D5">
        <w:tblPrEx>
          <w:tblCellMar>
            <w:top w:w="0" w:type="dxa"/>
            <w:left w:w="0" w:type="dxa"/>
            <w:bottom w:w="0" w:type="dxa"/>
            <w:right w:w="0" w:type="dxa"/>
          </w:tblCellMar>
        </w:tblPrEx>
        <w:trPr>
          <w:wBefore w:w="0" w:type="auto"/>
          <w:tblCellSpacing w:w="0" w:type="dxa"/>
        </w:trPr>
        <w:tc>
          <w:tcPr>
            <w:tcW w:w="0" w:type="auto"/>
            <w:noWrap w:val="0"/>
            <w:vAlign w:val="center"/>
          </w:tcPr>
          <w:p w14:paraId="3B21993B">
            <w:r>
              <w:rPr>
                <w:rStyle w:val="10"/>
                <w:rFonts w:hint="eastAsia"/>
              </w:rPr>
              <w:t>农药名称：</w:t>
            </w:r>
            <w:r>
              <w:rPr>
                <w:rFonts w:hint="eastAsia"/>
              </w:rPr>
              <w:t>苄氨·赤霉酸</w:t>
            </w:r>
          </w:p>
        </w:tc>
      </w:tr>
      <w:tr w14:paraId="5839B3E4">
        <w:tblPrEx>
          <w:tblCellMar>
            <w:top w:w="0" w:type="dxa"/>
            <w:left w:w="0" w:type="dxa"/>
            <w:bottom w:w="0" w:type="dxa"/>
            <w:right w:w="0" w:type="dxa"/>
          </w:tblCellMar>
        </w:tblPrEx>
        <w:trPr>
          <w:wBefore w:w="0" w:type="auto"/>
          <w:tblCellSpacing w:w="0" w:type="dxa"/>
        </w:trPr>
        <w:tc>
          <w:tcPr>
            <w:tcW w:w="0" w:type="auto"/>
            <w:noWrap w:val="0"/>
            <w:vAlign w:val="center"/>
          </w:tcPr>
          <w:p w14:paraId="01ABF591">
            <w:r>
              <w:rPr>
                <w:rStyle w:val="10"/>
                <w:rFonts w:hint="eastAsia"/>
              </w:rPr>
              <w:t>剂型：</w:t>
            </w:r>
            <w:r>
              <w:rPr>
                <w:rFonts w:hint="eastAsia"/>
              </w:rPr>
              <w:t>微乳剂</w:t>
            </w:r>
          </w:p>
        </w:tc>
      </w:tr>
      <w:tr w14:paraId="62565279">
        <w:tblPrEx>
          <w:tblCellMar>
            <w:top w:w="0" w:type="dxa"/>
            <w:left w:w="0" w:type="dxa"/>
            <w:bottom w:w="0" w:type="dxa"/>
            <w:right w:w="0" w:type="dxa"/>
          </w:tblCellMar>
        </w:tblPrEx>
        <w:trPr>
          <w:wBefore w:w="0" w:type="auto"/>
          <w:tblCellSpacing w:w="0" w:type="dxa"/>
        </w:trPr>
        <w:tc>
          <w:tcPr>
            <w:tcW w:w="0" w:type="auto"/>
            <w:noWrap w:val="0"/>
            <w:vAlign w:val="center"/>
          </w:tcPr>
          <w:p w14:paraId="67EFFA0E">
            <w:r>
              <w:rPr>
                <w:rStyle w:val="10"/>
                <w:rFonts w:hint="eastAsia"/>
              </w:rPr>
              <w:t>毒性及其标识：</w:t>
            </w:r>
            <w:r>
              <w:rPr>
                <w:rFonts w:hint="eastAsia"/>
              </w:rPr>
              <w:t xml:space="preserve"> </w:t>
            </w:r>
            <w:r>
              <w:rPr>
                <w:lang/>
              </w:rPr>
              <w:drawing>
                <wp:inline distT="0" distB="0" distL="114300" distR="114300">
                  <wp:extent cx="476250" cy="323850"/>
                  <wp:effectExtent l="0" t="0" r="0" b="0"/>
                  <wp:docPr id="280" name="图片 28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A4EA806">
        <w:tblPrEx>
          <w:tblCellMar>
            <w:top w:w="0" w:type="dxa"/>
            <w:left w:w="0" w:type="dxa"/>
            <w:bottom w:w="0" w:type="dxa"/>
            <w:right w:w="0" w:type="dxa"/>
          </w:tblCellMar>
        </w:tblPrEx>
        <w:trPr>
          <w:wBefore w:w="0" w:type="auto"/>
          <w:tblCellSpacing w:w="0" w:type="dxa"/>
        </w:trPr>
        <w:tc>
          <w:tcPr>
            <w:tcW w:w="0" w:type="auto"/>
            <w:noWrap w:val="0"/>
            <w:vAlign w:val="center"/>
          </w:tcPr>
          <w:p w14:paraId="440CEEB3">
            <w:r>
              <w:rPr>
                <w:rStyle w:val="10"/>
                <w:rFonts w:hint="eastAsia"/>
              </w:rPr>
              <w:t>总有效成分含量：</w:t>
            </w:r>
            <w:r>
              <w:rPr>
                <w:rFonts w:hint="eastAsia"/>
              </w:rPr>
              <w:t>3.6%</w:t>
            </w:r>
          </w:p>
        </w:tc>
      </w:tr>
      <w:tr w14:paraId="6D77DD9E">
        <w:tblPrEx>
          <w:tblCellMar>
            <w:top w:w="0" w:type="dxa"/>
            <w:left w:w="0" w:type="dxa"/>
            <w:bottom w:w="0" w:type="dxa"/>
            <w:right w:w="0" w:type="dxa"/>
          </w:tblCellMar>
        </w:tblPrEx>
        <w:trPr>
          <w:wBefore w:w="0" w:type="auto"/>
          <w:tblCellSpacing w:w="0" w:type="dxa"/>
        </w:trPr>
        <w:tc>
          <w:tcPr>
            <w:tcW w:w="0" w:type="auto"/>
            <w:noWrap w:val="0"/>
            <w:vAlign w:val="center"/>
          </w:tcPr>
          <w:p w14:paraId="69D8A344">
            <w:r>
              <w:rPr>
                <w:rFonts w:hint="eastAsia"/>
              </w:rPr>
              <w:t xml:space="preserve">有效成分及其含量： </w:t>
            </w:r>
          </w:p>
          <w:p w14:paraId="710C3AE2">
            <w:r>
              <w:rPr>
                <w:rFonts w:hint="eastAsia"/>
              </w:rPr>
              <w:t xml:space="preserve">    苄氨基嘌呤1.8%    赤霉酸A4+A71.8%    </w:t>
            </w:r>
          </w:p>
        </w:tc>
      </w:tr>
      <w:tr w14:paraId="5947FE61">
        <w:tblPrEx>
          <w:tblCellMar>
            <w:top w:w="0" w:type="dxa"/>
            <w:left w:w="0" w:type="dxa"/>
            <w:bottom w:w="0" w:type="dxa"/>
            <w:right w:w="0" w:type="dxa"/>
          </w:tblCellMar>
        </w:tblPrEx>
        <w:trPr>
          <w:wBefore w:w="0" w:type="auto"/>
          <w:tblCellSpacing w:w="0" w:type="dxa"/>
        </w:trPr>
        <w:tc>
          <w:tcPr>
            <w:tcW w:w="0" w:type="auto"/>
            <w:noWrap w:val="0"/>
            <w:vAlign w:val="center"/>
          </w:tcPr>
          <w:p w14:paraId="2D92BFF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C0617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647EC3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1E9B8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8CD991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2EBF85F">
                  <w:r>
                    <w:rPr>
                      <w:rStyle w:val="11"/>
                      <w:rFonts w:hint="eastAsia"/>
                    </w:rPr>
                    <w:t>施用方式</w:t>
                  </w:r>
                </w:p>
              </w:tc>
            </w:tr>
            <w:tr w14:paraId="3FB4B5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52E5544">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3A2362">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59A7E9">
                  <w:r>
                    <w:rPr>
                      <w:rStyle w:val="11"/>
                      <w:rFonts w:hint="eastAsia"/>
                    </w:rPr>
                    <w:t>1500-2500倍液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31BB9C">
                  <w:r>
                    <w:rPr>
                      <w:rStyle w:val="11"/>
                      <w:rFonts w:hint="eastAsia"/>
                    </w:rPr>
                    <w:t>喷果穗</w:t>
                  </w:r>
                </w:p>
              </w:tc>
            </w:tr>
          </w:tbl>
          <w:p w14:paraId="4225E5FA">
            <w:pPr>
              <w:rPr>
                <w:rFonts w:ascii="Times New Roman" w:hAnsi="Times New Roman" w:cs="Times New Roman"/>
                <w:sz w:val="20"/>
                <w:szCs w:val="20"/>
              </w:rPr>
            </w:pPr>
          </w:p>
        </w:tc>
      </w:tr>
      <w:tr w14:paraId="0A9C140B">
        <w:tblPrEx>
          <w:tblCellMar>
            <w:top w:w="0" w:type="dxa"/>
            <w:left w:w="0" w:type="dxa"/>
            <w:bottom w:w="0" w:type="dxa"/>
            <w:right w:w="0" w:type="dxa"/>
          </w:tblCellMar>
        </w:tblPrEx>
        <w:trPr>
          <w:wBefore w:w="0" w:type="auto"/>
          <w:tblCellSpacing w:w="0" w:type="dxa"/>
        </w:trPr>
        <w:tc>
          <w:tcPr>
            <w:tcW w:w="0" w:type="auto"/>
            <w:noWrap w:val="0"/>
            <w:vAlign w:val="center"/>
          </w:tcPr>
          <w:p w14:paraId="7DE3481D">
            <w:r>
              <w:rPr>
                <w:rStyle w:val="10"/>
                <w:rFonts w:hint="eastAsia"/>
              </w:rPr>
              <w:t>使用技术要求:</w:t>
            </w:r>
            <w:r>
              <w:rPr>
                <w:rFonts w:hint="eastAsia"/>
              </w:rPr>
              <w:br w:type="textWrapping"/>
            </w:r>
            <w:r>
              <w:rPr>
                <w:rStyle w:val="11"/>
                <w:rFonts w:hint="eastAsia"/>
              </w:rPr>
              <w:t>1．在葡萄谢花后5-7天，以推荐剂量兑水均匀喷果穗一次。使用时注意喷雾均匀、周到。2．大风天或下雨前后，请勿施药。</w:t>
            </w:r>
          </w:p>
        </w:tc>
      </w:tr>
      <w:tr w14:paraId="40300E10">
        <w:tblPrEx>
          <w:tblCellMar>
            <w:top w:w="0" w:type="dxa"/>
            <w:left w:w="0" w:type="dxa"/>
            <w:bottom w:w="0" w:type="dxa"/>
            <w:right w:w="0" w:type="dxa"/>
          </w:tblCellMar>
        </w:tblPrEx>
        <w:trPr>
          <w:wBefore w:w="0" w:type="auto"/>
          <w:tblCellSpacing w:w="0" w:type="dxa"/>
        </w:trPr>
        <w:tc>
          <w:tcPr>
            <w:tcW w:w="0" w:type="auto"/>
            <w:noWrap w:val="0"/>
            <w:vAlign w:val="center"/>
          </w:tcPr>
          <w:p w14:paraId="228C521D">
            <w:r>
              <w:rPr>
                <w:rStyle w:val="10"/>
                <w:rFonts w:hint="eastAsia"/>
              </w:rPr>
              <w:t>产品性能:</w:t>
            </w:r>
            <w:r>
              <w:rPr>
                <w:rFonts w:hint="eastAsia"/>
              </w:rPr>
              <w:br w:type="textWrapping"/>
            </w:r>
            <w:r>
              <w:rPr>
                <w:rStyle w:val="11"/>
                <w:rFonts w:hint="eastAsia"/>
              </w:rPr>
              <w:t>本品是由植物生长调节剂苄氨基嘌呤和赤霉酸复配而成，可促进坐果和果实生长发育，提高单果重，提早成熟。按登记剂量使用时，对葡萄生长有较好的调节作用，且对供试葡萄安全。</w:t>
            </w:r>
          </w:p>
        </w:tc>
      </w:tr>
      <w:tr w14:paraId="617449EE">
        <w:tblPrEx>
          <w:tblCellMar>
            <w:top w:w="0" w:type="dxa"/>
            <w:left w:w="0" w:type="dxa"/>
            <w:bottom w:w="0" w:type="dxa"/>
            <w:right w:w="0" w:type="dxa"/>
          </w:tblCellMar>
        </w:tblPrEx>
        <w:trPr>
          <w:wBefore w:w="0" w:type="auto"/>
          <w:tblCellSpacing w:w="0" w:type="dxa"/>
        </w:trPr>
        <w:tc>
          <w:tcPr>
            <w:tcW w:w="0" w:type="auto"/>
            <w:noWrap w:val="0"/>
            <w:vAlign w:val="center"/>
          </w:tcPr>
          <w:p w14:paraId="263109D0">
            <w:r>
              <w:rPr>
                <w:rStyle w:val="10"/>
                <w:rFonts w:hint="eastAsia"/>
              </w:rPr>
              <w:t>注意事项：</w:t>
            </w:r>
            <w:r>
              <w:rPr>
                <w:rFonts w:hint="eastAsia"/>
              </w:rPr>
              <w:br w:type="textWrapping"/>
            </w:r>
            <w:r>
              <w:rPr>
                <w:rStyle w:val="11"/>
                <w:rFonts w:hint="eastAsia"/>
              </w:rPr>
              <w:t>1.严格按照规定用药量和方法使用。用于葡萄，不同品种、地区和温度情况，最适浓度有所不同，初次使用无用药经验的、不同的使用目的及新品种使用本品，务必在使用前咨询并小面积试用成功后再扩大使用。 2.不可与碱性农药等物质混用。避免与氧化剂接触。建议与其他作用机制不同的植物生长调节剂轮换使用，以延缓抗性产生。 3.禁止在河塘等水体中清洗施药器具。 4.使用本品时应穿防护服和戴手套，避免吸入药液。施药期间不可吃东西和饮水。施药后应及时洗手和洗脸。 5.使用时应穿长衣长裤、靴子，戴帽子、护目镜、口罩、手套等防护用具；施药期间不可吃东西、饮水、吸烟等；施药后应及时洗手、洗脸并洗涤施药时穿着的衣物。 6.孕妇及哺乳期妇女禁止接触本品。</w:t>
            </w:r>
          </w:p>
        </w:tc>
      </w:tr>
      <w:tr w14:paraId="653BE61C">
        <w:tblPrEx>
          <w:tblCellMar>
            <w:top w:w="0" w:type="dxa"/>
            <w:left w:w="0" w:type="dxa"/>
            <w:bottom w:w="0" w:type="dxa"/>
            <w:right w:w="0" w:type="dxa"/>
          </w:tblCellMar>
        </w:tblPrEx>
        <w:trPr>
          <w:wBefore w:w="0" w:type="auto"/>
          <w:tblCellSpacing w:w="0" w:type="dxa"/>
        </w:trPr>
        <w:tc>
          <w:tcPr>
            <w:tcW w:w="0" w:type="auto"/>
            <w:noWrap w:val="0"/>
            <w:vAlign w:val="center"/>
          </w:tcPr>
          <w:p w14:paraId="06A019F0">
            <w:r>
              <w:rPr>
                <w:rStyle w:val="10"/>
                <w:rFonts w:hint="eastAsia"/>
              </w:rPr>
              <w:t>中毒急救措施：</w:t>
            </w:r>
            <w:r>
              <w:rPr>
                <w:rFonts w:hint="eastAsia"/>
              </w:rPr>
              <w:br w:type="textWrapping"/>
            </w:r>
            <w:r>
              <w:rPr>
                <w:rStyle w:val="11"/>
                <w:rFonts w:hint="eastAsia"/>
              </w:rPr>
              <w:t>本品对眼睛、皮肤有刺激性。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28E48F66">
        <w:tblPrEx>
          <w:tblCellMar>
            <w:top w:w="0" w:type="dxa"/>
            <w:left w:w="0" w:type="dxa"/>
            <w:bottom w:w="0" w:type="dxa"/>
            <w:right w:w="0" w:type="dxa"/>
          </w:tblCellMar>
        </w:tblPrEx>
        <w:trPr>
          <w:wBefore w:w="0" w:type="auto"/>
          <w:tblCellSpacing w:w="0" w:type="dxa"/>
        </w:trPr>
        <w:tc>
          <w:tcPr>
            <w:tcW w:w="0" w:type="auto"/>
            <w:noWrap w:val="0"/>
            <w:vAlign w:val="center"/>
          </w:tcPr>
          <w:p w14:paraId="011BA60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本品应贮存在干燥、阴凉、通风、防雨处，远离火源或热源。置于儿童、无关人员及动物触及不到之处，并加锁。勿与食品、饮料、粮食、饲料等同贮同运。</w:t>
            </w:r>
          </w:p>
        </w:tc>
      </w:tr>
      <w:tr w14:paraId="1F0E9AC9">
        <w:tblPrEx>
          <w:tblCellMar>
            <w:top w:w="0" w:type="dxa"/>
            <w:left w:w="0" w:type="dxa"/>
            <w:bottom w:w="0" w:type="dxa"/>
            <w:right w:w="0" w:type="dxa"/>
          </w:tblCellMar>
        </w:tblPrEx>
        <w:trPr>
          <w:wBefore w:w="0" w:type="auto"/>
          <w:tblCellSpacing w:w="0" w:type="dxa"/>
        </w:trPr>
        <w:tc>
          <w:tcPr>
            <w:tcW w:w="0" w:type="auto"/>
            <w:noWrap w:val="0"/>
            <w:vAlign w:val="center"/>
          </w:tcPr>
          <w:p w14:paraId="7B91E46B">
            <w:r>
              <w:rPr>
                <w:rStyle w:val="10"/>
                <w:rFonts w:hint="eastAsia"/>
              </w:rPr>
              <w:t>质量保证期：</w:t>
            </w:r>
            <w:r>
              <w:rPr>
                <w:rStyle w:val="11"/>
                <w:rFonts w:hint="eastAsia"/>
              </w:rPr>
              <w:t>2年</w:t>
            </w:r>
          </w:p>
        </w:tc>
      </w:tr>
      <w:tr w14:paraId="5571E4C7">
        <w:tblPrEx>
          <w:tblCellMar>
            <w:top w:w="0" w:type="dxa"/>
            <w:left w:w="0" w:type="dxa"/>
            <w:bottom w:w="0" w:type="dxa"/>
            <w:right w:w="0" w:type="dxa"/>
          </w:tblCellMar>
        </w:tblPrEx>
        <w:trPr>
          <w:wBefore w:w="0" w:type="auto"/>
          <w:tblCellSpacing w:w="0" w:type="dxa"/>
        </w:trPr>
        <w:tc>
          <w:tcPr>
            <w:tcW w:w="0" w:type="auto"/>
            <w:noWrap w:val="0"/>
            <w:vAlign w:val="center"/>
          </w:tcPr>
          <w:p w14:paraId="568546D3">
            <w:r>
              <w:rPr>
                <w:rStyle w:val="10"/>
                <w:rFonts w:hint="eastAsia"/>
              </w:rPr>
              <w:t>备注：</w:t>
            </w:r>
          </w:p>
        </w:tc>
      </w:tr>
    </w:tbl>
    <w:p w14:paraId="52C2EF4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3FC5E62">
        <w:tblPrEx>
          <w:tblCellMar>
            <w:top w:w="0" w:type="dxa"/>
            <w:left w:w="0" w:type="dxa"/>
            <w:bottom w:w="0" w:type="dxa"/>
            <w:right w:w="0" w:type="dxa"/>
          </w:tblCellMar>
        </w:tblPrEx>
        <w:trPr>
          <w:wBefore w:w="0" w:type="auto"/>
          <w:tblCellSpacing w:w="0" w:type="dxa"/>
        </w:trPr>
        <w:tc>
          <w:tcPr>
            <w:tcW w:w="0" w:type="auto"/>
            <w:noWrap w:val="0"/>
            <w:vAlign w:val="center"/>
          </w:tcPr>
          <w:p w14:paraId="181DB1FB">
            <w:r>
              <w:rPr>
                <w:rStyle w:val="10"/>
                <w:rFonts w:hint="eastAsia"/>
              </w:rPr>
              <w:t>登记证号：</w:t>
            </w:r>
            <w:r>
              <w:rPr>
                <w:rFonts w:hint="eastAsia"/>
              </w:rPr>
              <w:t>PD20212017</w:t>
            </w:r>
          </w:p>
        </w:tc>
      </w:tr>
      <w:tr w14:paraId="5662223C">
        <w:tblPrEx>
          <w:tblCellMar>
            <w:top w:w="0" w:type="dxa"/>
            <w:left w:w="0" w:type="dxa"/>
            <w:bottom w:w="0" w:type="dxa"/>
            <w:right w:w="0" w:type="dxa"/>
          </w:tblCellMar>
        </w:tblPrEx>
        <w:trPr>
          <w:wBefore w:w="0" w:type="auto"/>
          <w:tblCellSpacing w:w="0" w:type="dxa"/>
        </w:trPr>
        <w:tc>
          <w:tcPr>
            <w:tcW w:w="0" w:type="auto"/>
            <w:noWrap w:val="0"/>
            <w:vAlign w:val="center"/>
          </w:tcPr>
          <w:p w14:paraId="6C985718">
            <w:r>
              <w:rPr>
                <w:rStyle w:val="10"/>
                <w:rFonts w:hint="eastAsia"/>
              </w:rPr>
              <w:t>登记证持有人：</w:t>
            </w:r>
            <w:r>
              <w:rPr>
                <w:rFonts w:hint="eastAsia"/>
              </w:rPr>
              <w:t>韩国(株)白光素材</w:t>
            </w:r>
          </w:p>
        </w:tc>
      </w:tr>
      <w:tr w14:paraId="4A949E6F">
        <w:tblPrEx>
          <w:tblCellMar>
            <w:top w:w="0" w:type="dxa"/>
            <w:left w:w="0" w:type="dxa"/>
            <w:bottom w:w="0" w:type="dxa"/>
            <w:right w:w="0" w:type="dxa"/>
          </w:tblCellMar>
        </w:tblPrEx>
        <w:trPr>
          <w:wBefore w:w="0" w:type="auto"/>
          <w:tblCellSpacing w:w="0" w:type="dxa"/>
        </w:trPr>
        <w:tc>
          <w:tcPr>
            <w:tcW w:w="0" w:type="auto"/>
            <w:noWrap w:val="0"/>
            <w:vAlign w:val="center"/>
          </w:tcPr>
          <w:p w14:paraId="70FCE58A">
            <w:r>
              <w:rPr>
                <w:rStyle w:val="10"/>
                <w:rFonts w:hint="eastAsia"/>
              </w:rPr>
              <w:t>农药名称：</w:t>
            </w:r>
            <w:r>
              <w:rPr>
                <w:rFonts w:hint="eastAsia"/>
              </w:rPr>
              <w:t>波尔多液</w:t>
            </w:r>
          </w:p>
        </w:tc>
      </w:tr>
      <w:tr w14:paraId="049B71B5">
        <w:tblPrEx>
          <w:tblCellMar>
            <w:top w:w="0" w:type="dxa"/>
            <w:left w:w="0" w:type="dxa"/>
            <w:bottom w:w="0" w:type="dxa"/>
            <w:right w:w="0" w:type="dxa"/>
          </w:tblCellMar>
        </w:tblPrEx>
        <w:trPr>
          <w:wBefore w:w="0" w:type="auto"/>
          <w:tblCellSpacing w:w="0" w:type="dxa"/>
        </w:trPr>
        <w:tc>
          <w:tcPr>
            <w:tcW w:w="0" w:type="auto"/>
            <w:noWrap w:val="0"/>
            <w:vAlign w:val="center"/>
          </w:tcPr>
          <w:p w14:paraId="1ED77362">
            <w:r>
              <w:rPr>
                <w:rStyle w:val="10"/>
                <w:rFonts w:hint="eastAsia"/>
              </w:rPr>
              <w:t>剂型：</w:t>
            </w:r>
            <w:r>
              <w:rPr>
                <w:rFonts w:hint="eastAsia"/>
              </w:rPr>
              <w:t>悬浮剂</w:t>
            </w:r>
          </w:p>
        </w:tc>
      </w:tr>
      <w:tr w14:paraId="50482A9A">
        <w:tblPrEx>
          <w:tblCellMar>
            <w:top w:w="0" w:type="dxa"/>
            <w:left w:w="0" w:type="dxa"/>
            <w:bottom w:w="0" w:type="dxa"/>
            <w:right w:w="0" w:type="dxa"/>
          </w:tblCellMar>
        </w:tblPrEx>
        <w:trPr>
          <w:wBefore w:w="0" w:type="auto"/>
          <w:tblCellSpacing w:w="0" w:type="dxa"/>
        </w:trPr>
        <w:tc>
          <w:tcPr>
            <w:tcW w:w="0" w:type="auto"/>
            <w:noWrap w:val="0"/>
            <w:vAlign w:val="center"/>
          </w:tcPr>
          <w:p w14:paraId="534B9A98">
            <w:r>
              <w:rPr>
                <w:rStyle w:val="10"/>
                <w:rFonts w:hint="eastAsia"/>
              </w:rPr>
              <w:t>毒性及其标识：</w:t>
            </w:r>
            <w:r>
              <w:rPr>
                <w:rFonts w:hint="eastAsia"/>
              </w:rPr>
              <w:t xml:space="preserve"> </w:t>
            </w:r>
            <w:r>
              <w:rPr>
                <w:lang/>
              </w:rPr>
              <w:drawing>
                <wp:inline distT="0" distB="0" distL="114300" distR="114300">
                  <wp:extent cx="476250" cy="323850"/>
                  <wp:effectExtent l="0" t="0" r="0" b="0"/>
                  <wp:docPr id="281" name="图片 28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60652FB">
        <w:tblPrEx>
          <w:tblCellMar>
            <w:top w:w="0" w:type="dxa"/>
            <w:left w:w="0" w:type="dxa"/>
            <w:bottom w:w="0" w:type="dxa"/>
            <w:right w:w="0" w:type="dxa"/>
          </w:tblCellMar>
        </w:tblPrEx>
        <w:trPr>
          <w:wBefore w:w="0" w:type="auto"/>
          <w:tblCellSpacing w:w="0" w:type="dxa"/>
        </w:trPr>
        <w:tc>
          <w:tcPr>
            <w:tcW w:w="0" w:type="auto"/>
            <w:noWrap w:val="0"/>
            <w:vAlign w:val="center"/>
          </w:tcPr>
          <w:p w14:paraId="25A917EB">
            <w:r>
              <w:rPr>
                <w:rStyle w:val="10"/>
                <w:rFonts w:hint="eastAsia"/>
              </w:rPr>
              <w:t>总有效成分含量：</w:t>
            </w:r>
            <w:r>
              <w:rPr>
                <w:rFonts w:hint="eastAsia"/>
              </w:rPr>
              <w:t>28%</w:t>
            </w:r>
          </w:p>
        </w:tc>
      </w:tr>
      <w:tr w14:paraId="0A51B321">
        <w:tblPrEx>
          <w:tblCellMar>
            <w:top w:w="0" w:type="dxa"/>
            <w:left w:w="0" w:type="dxa"/>
            <w:bottom w:w="0" w:type="dxa"/>
            <w:right w:w="0" w:type="dxa"/>
          </w:tblCellMar>
        </w:tblPrEx>
        <w:trPr>
          <w:wBefore w:w="0" w:type="auto"/>
          <w:tblCellSpacing w:w="0" w:type="dxa"/>
        </w:trPr>
        <w:tc>
          <w:tcPr>
            <w:tcW w:w="0" w:type="auto"/>
            <w:noWrap w:val="0"/>
            <w:vAlign w:val="center"/>
          </w:tcPr>
          <w:p w14:paraId="1EA02D71">
            <w:r>
              <w:rPr>
                <w:rFonts w:hint="eastAsia"/>
              </w:rPr>
              <w:t xml:space="preserve">有效成分及其含量： </w:t>
            </w:r>
          </w:p>
          <w:p w14:paraId="59D740EB">
            <w:r>
              <w:rPr>
                <w:rFonts w:hint="eastAsia"/>
              </w:rPr>
              <w:t xml:space="preserve">    波尔多液28%    </w:t>
            </w:r>
          </w:p>
        </w:tc>
      </w:tr>
      <w:tr w14:paraId="43CA2DD9">
        <w:tblPrEx>
          <w:tblCellMar>
            <w:top w:w="0" w:type="dxa"/>
            <w:left w:w="0" w:type="dxa"/>
            <w:bottom w:w="0" w:type="dxa"/>
            <w:right w:w="0" w:type="dxa"/>
          </w:tblCellMar>
        </w:tblPrEx>
        <w:trPr>
          <w:wBefore w:w="0" w:type="auto"/>
          <w:tblCellSpacing w:w="0" w:type="dxa"/>
        </w:trPr>
        <w:tc>
          <w:tcPr>
            <w:tcW w:w="0" w:type="auto"/>
            <w:noWrap w:val="0"/>
            <w:vAlign w:val="center"/>
          </w:tcPr>
          <w:p w14:paraId="008F567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8D867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724AC1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397B61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CFB48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9E7F450">
                  <w:r>
                    <w:rPr>
                      <w:rStyle w:val="11"/>
                      <w:rFonts w:hint="eastAsia"/>
                    </w:rPr>
                    <w:t>施用方式</w:t>
                  </w:r>
                </w:p>
              </w:tc>
            </w:tr>
            <w:tr w14:paraId="5F3F4F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B93770">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55E45E">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3FA820">
                  <w:r>
                    <w:rPr>
                      <w:rStyle w:val="11"/>
                      <w:rFonts w:hint="eastAsia"/>
                    </w:rPr>
                    <w:t>100-200倍液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8A96A9">
                  <w:r>
                    <w:rPr>
                      <w:rStyle w:val="11"/>
                      <w:rFonts w:hint="eastAsia"/>
                    </w:rPr>
                    <w:t>喷雾</w:t>
                  </w:r>
                </w:p>
              </w:tc>
            </w:tr>
          </w:tbl>
          <w:p w14:paraId="06140F06">
            <w:pPr>
              <w:rPr>
                <w:rFonts w:ascii="Times New Roman" w:hAnsi="Times New Roman" w:cs="Times New Roman"/>
                <w:sz w:val="20"/>
                <w:szCs w:val="20"/>
              </w:rPr>
            </w:pPr>
          </w:p>
        </w:tc>
      </w:tr>
      <w:tr w14:paraId="1AAC31CF">
        <w:tblPrEx>
          <w:tblCellMar>
            <w:top w:w="0" w:type="dxa"/>
            <w:left w:w="0" w:type="dxa"/>
            <w:bottom w:w="0" w:type="dxa"/>
            <w:right w:w="0" w:type="dxa"/>
          </w:tblCellMar>
        </w:tblPrEx>
        <w:trPr>
          <w:wBefore w:w="0" w:type="auto"/>
          <w:tblCellSpacing w:w="0" w:type="dxa"/>
        </w:trPr>
        <w:tc>
          <w:tcPr>
            <w:tcW w:w="0" w:type="auto"/>
            <w:noWrap w:val="0"/>
            <w:vAlign w:val="center"/>
          </w:tcPr>
          <w:p w14:paraId="32BB11BF">
            <w:r>
              <w:rPr>
                <w:rStyle w:val="10"/>
                <w:rFonts w:hint="eastAsia"/>
              </w:rPr>
              <w:t>使用技术要求:</w:t>
            </w:r>
            <w:r>
              <w:rPr>
                <w:rFonts w:hint="eastAsia"/>
              </w:rPr>
              <w:br w:type="textWrapping"/>
            </w:r>
            <w:r>
              <w:rPr>
                <w:rStyle w:val="11"/>
                <w:rFonts w:hint="eastAsia"/>
              </w:rPr>
              <w:t xml:space="preserve">防治适期：在柑橘树溃疡病发病前或发病初期，均匀喷雾使用。每次间隔10-15天左右，连续用药 2次。应在晴朗天气下用药，阴雨天、雾天、早晨露水未干时均不能使用，施药后遇到大雨应天晴后补喷。本品对李、桃、鸭梨、白菜、小麦、大豆、茄科、葫芦科、葡萄、西瓜敏感，使用时应注意药液的漂移，防止产生药害。大风天或预计1小时内降雨，请勿施药。 </w:t>
            </w:r>
          </w:p>
        </w:tc>
      </w:tr>
      <w:tr w14:paraId="079E2155">
        <w:tblPrEx>
          <w:tblCellMar>
            <w:top w:w="0" w:type="dxa"/>
            <w:left w:w="0" w:type="dxa"/>
            <w:bottom w:w="0" w:type="dxa"/>
            <w:right w:w="0" w:type="dxa"/>
          </w:tblCellMar>
        </w:tblPrEx>
        <w:trPr>
          <w:wBefore w:w="0" w:type="auto"/>
          <w:tblCellSpacing w:w="0" w:type="dxa"/>
        </w:trPr>
        <w:tc>
          <w:tcPr>
            <w:tcW w:w="0" w:type="auto"/>
            <w:noWrap w:val="0"/>
            <w:vAlign w:val="center"/>
          </w:tcPr>
          <w:p w14:paraId="0957CFAE">
            <w:r>
              <w:rPr>
                <w:rStyle w:val="10"/>
                <w:rFonts w:hint="eastAsia"/>
              </w:rPr>
              <w:t>产品性能:</w:t>
            </w:r>
            <w:r>
              <w:rPr>
                <w:rFonts w:hint="eastAsia"/>
              </w:rPr>
              <w:br w:type="textWrapping"/>
            </w:r>
            <w:r>
              <w:rPr>
                <w:rStyle w:val="11"/>
                <w:rFonts w:hint="eastAsia"/>
              </w:rPr>
              <w:t>本产品为无机铜素保护性杀菌剂，植物在新陈代谢过程中分泌出的酸性液体以及细菌入侵植物细胞时分泌的酸性物质，使波尔多液中少量的碱式硫酸铜转化为可溶的硫酸铜，从而产生少量铜离子，使病菌细胞中的蛋白质凝固。同时铜离子还能破坏其细胞中某种酶，使细菌体中代谢作用不能正常进行。具有较好的防治作用。</w:t>
            </w:r>
          </w:p>
        </w:tc>
      </w:tr>
      <w:tr w14:paraId="540B73B7">
        <w:tblPrEx>
          <w:tblCellMar>
            <w:top w:w="0" w:type="dxa"/>
            <w:left w:w="0" w:type="dxa"/>
            <w:bottom w:w="0" w:type="dxa"/>
            <w:right w:w="0" w:type="dxa"/>
          </w:tblCellMar>
        </w:tblPrEx>
        <w:trPr>
          <w:wBefore w:w="0" w:type="auto"/>
          <w:tblCellSpacing w:w="0" w:type="dxa"/>
        </w:trPr>
        <w:tc>
          <w:tcPr>
            <w:tcW w:w="0" w:type="auto"/>
            <w:noWrap w:val="0"/>
            <w:vAlign w:val="center"/>
          </w:tcPr>
          <w:p w14:paraId="1BF3D8AD">
            <w:r>
              <w:rPr>
                <w:rStyle w:val="10"/>
                <w:rFonts w:hint="eastAsia"/>
              </w:rPr>
              <w:t>注意事项：</w:t>
            </w:r>
            <w:r>
              <w:rPr>
                <w:rFonts w:hint="eastAsia"/>
              </w:rPr>
              <w:br w:type="textWrapping"/>
            </w:r>
            <w:r>
              <w:rPr>
                <w:rStyle w:val="11"/>
                <w:rFonts w:hint="eastAsia"/>
              </w:rPr>
              <w:t>1.本品不能与含有其他金属元素的药剂和微肥混合使用，也不宜与强酸、强碱性物质混用。建议与其他作用机制不同的杀菌剂轮换使用，以延缓抗性产生。2.本品对鱼类等水生生物有毒。避免本品流入鱼塘、水池等而污染水源，禁止在河塘等水体清洗施药工具。3.使用本品时应穿戴好防护用品，避免吸入药液，施药时不可吸烟、进食、饮水，施药后应洗手、脸等身体裸露部位。4.使用过的药械需清洗三遍，在洗涤药械和处理废弃物时不要污染水源。5.孕期及哺乳期妇女禁止接触本品。6.用过的容器应妥善处理，不可做他用，也不可随意丢弃。7.该产品与常用灭火剂磷酸二氢铵不具有化学相容性。</w:t>
            </w:r>
          </w:p>
        </w:tc>
      </w:tr>
      <w:tr w14:paraId="124763AA">
        <w:tblPrEx>
          <w:tblCellMar>
            <w:top w:w="0" w:type="dxa"/>
            <w:left w:w="0" w:type="dxa"/>
            <w:bottom w:w="0" w:type="dxa"/>
            <w:right w:w="0" w:type="dxa"/>
          </w:tblCellMar>
        </w:tblPrEx>
        <w:trPr>
          <w:wBefore w:w="0" w:type="auto"/>
          <w:tblCellSpacing w:w="0" w:type="dxa"/>
        </w:trPr>
        <w:tc>
          <w:tcPr>
            <w:tcW w:w="0" w:type="auto"/>
            <w:noWrap w:val="0"/>
            <w:vAlign w:val="center"/>
          </w:tcPr>
          <w:p w14:paraId="20F77A46">
            <w:r>
              <w:rPr>
                <w:rStyle w:val="10"/>
                <w:rFonts w:hint="eastAsia"/>
              </w:rPr>
              <w:t>中毒急救措施：</w:t>
            </w:r>
            <w:r>
              <w:rPr>
                <w:rFonts w:hint="eastAsia"/>
              </w:rPr>
              <w:br w:type="textWrapping"/>
            </w:r>
            <w:r>
              <w:rPr>
                <w:rStyle w:val="11"/>
                <w:rFonts w:hint="eastAsia"/>
              </w:rPr>
              <w:t>1.中毒症状：无典型中毒症状。一旦发生中毒，请立即送医院诊治。 2.吸入：应立即将病人移至通风处，注意保暖和休息，请医生诊治。 3.皮肤接触：立即脱掉被污染的衣服，用大量清水清洗。 4.眼睛溅入：应用大量的清水冲洗至少15分钟，请医生诊治。 5.误服：应立即催吐、洗胃和导泻，携带本标签，送医院就诊。</w:t>
            </w:r>
          </w:p>
        </w:tc>
      </w:tr>
      <w:tr w14:paraId="58F8ED11">
        <w:tblPrEx>
          <w:tblCellMar>
            <w:top w:w="0" w:type="dxa"/>
            <w:left w:w="0" w:type="dxa"/>
            <w:bottom w:w="0" w:type="dxa"/>
            <w:right w:w="0" w:type="dxa"/>
          </w:tblCellMar>
        </w:tblPrEx>
        <w:trPr>
          <w:wBefore w:w="0" w:type="auto"/>
          <w:tblCellSpacing w:w="0" w:type="dxa"/>
        </w:trPr>
        <w:tc>
          <w:tcPr>
            <w:tcW w:w="0" w:type="auto"/>
            <w:noWrap w:val="0"/>
            <w:vAlign w:val="center"/>
          </w:tcPr>
          <w:p w14:paraId="7CF0A642">
            <w:r>
              <w:rPr>
                <w:rStyle w:val="10"/>
                <w:rFonts w:hint="eastAsia"/>
              </w:rPr>
              <w:t>储存和运输方法：</w:t>
            </w:r>
            <w:r>
              <w:rPr>
                <w:rFonts w:hint="eastAsia"/>
              </w:rPr>
              <w:br w:type="textWrapping"/>
            </w:r>
            <w:r>
              <w:rPr>
                <w:rStyle w:val="11"/>
                <w:rFonts w:hint="eastAsia"/>
              </w:rPr>
              <w:t>1.本品应贮存在干燥、阴凉、通风、防雨处，远离火源或热源。 2.勿与食品、饮料、饲料及易燃易爆物等其他商品同贮同运。 3.置于儿童触及不到之处，并加锁。 4.运输前应检查包装容器是否完整、密封，运输过程中确保容器不泄漏、不倒塌、不坠落、不损坏，轻拿轻放。贮运过程中轻拿轻放，注意防雨防晒。</w:t>
            </w:r>
          </w:p>
        </w:tc>
      </w:tr>
      <w:tr w14:paraId="1546760A">
        <w:tblPrEx>
          <w:tblCellMar>
            <w:top w:w="0" w:type="dxa"/>
            <w:left w:w="0" w:type="dxa"/>
            <w:bottom w:w="0" w:type="dxa"/>
            <w:right w:w="0" w:type="dxa"/>
          </w:tblCellMar>
        </w:tblPrEx>
        <w:trPr>
          <w:wBefore w:w="0" w:type="auto"/>
          <w:tblCellSpacing w:w="0" w:type="dxa"/>
        </w:trPr>
        <w:tc>
          <w:tcPr>
            <w:tcW w:w="0" w:type="auto"/>
            <w:noWrap w:val="0"/>
            <w:vAlign w:val="center"/>
          </w:tcPr>
          <w:p w14:paraId="15BBCB16">
            <w:r>
              <w:rPr>
                <w:rStyle w:val="10"/>
                <w:rFonts w:hint="eastAsia"/>
              </w:rPr>
              <w:t>质量保证期：</w:t>
            </w:r>
            <w:r>
              <w:rPr>
                <w:rStyle w:val="11"/>
                <w:rFonts w:hint="eastAsia"/>
              </w:rPr>
              <w:t>2年</w:t>
            </w:r>
          </w:p>
        </w:tc>
      </w:tr>
      <w:tr w14:paraId="166550BD">
        <w:tblPrEx>
          <w:tblCellMar>
            <w:top w:w="0" w:type="dxa"/>
            <w:left w:w="0" w:type="dxa"/>
            <w:bottom w:w="0" w:type="dxa"/>
            <w:right w:w="0" w:type="dxa"/>
          </w:tblCellMar>
        </w:tblPrEx>
        <w:trPr>
          <w:wBefore w:w="0" w:type="auto"/>
          <w:tblCellSpacing w:w="0" w:type="dxa"/>
        </w:trPr>
        <w:tc>
          <w:tcPr>
            <w:tcW w:w="0" w:type="auto"/>
            <w:noWrap w:val="0"/>
            <w:vAlign w:val="center"/>
          </w:tcPr>
          <w:p w14:paraId="653CAE92">
            <w:r>
              <w:rPr>
                <w:rStyle w:val="10"/>
                <w:rFonts w:hint="eastAsia"/>
              </w:rPr>
              <w:t>备注：</w:t>
            </w:r>
          </w:p>
        </w:tc>
      </w:tr>
    </w:tbl>
    <w:p w14:paraId="3E4D4AE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67FD756">
        <w:tblPrEx>
          <w:tblCellMar>
            <w:top w:w="0" w:type="dxa"/>
            <w:left w:w="0" w:type="dxa"/>
            <w:bottom w:w="0" w:type="dxa"/>
            <w:right w:w="0" w:type="dxa"/>
          </w:tblCellMar>
        </w:tblPrEx>
        <w:trPr>
          <w:wBefore w:w="0" w:type="auto"/>
          <w:tblCellSpacing w:w="0" w:type="dxa"/>
        </w:trPr>
        <w:tc>
          <w:tcPr>
            <w:tcW w:w="0" w:type="auto"/>
            <w:noWrap w:val="0"/>
            <w:vAlign w:val="center"/>
          </w:tcPr>
          <w:p w14:paraId="59F5878C">
            <w:r>
              <w:rPr>
                <w:rStyle w:val="10"/>
                <w:rFonts w:hint="eastAsia"/>
              </w:rPr>
              <w:t>登记证号：</w:t>
            </w:r>
            <w:r>
              <w:rPr>
                <w:rFonts w:hint="eastAsia"/>
              </w:rPr>
              <w:t>PD20212047</w:t>
            </w:r>
          </w:p>
        </w:tc>
      </w:tr>
      <w:tr w14:paraId="3B4882E3">
        <w:tblPrEx>
          <w:tblCellMar>
            <w:top w:w="0" w:type="dxa"/>
            <w:left w:w="0" w:type="dxa"/>
            <w:bottom w:w="0" w:type="dxa"/>
            <w:right w:w="0" w:type="dxa"/>
          </w:tblCellMar>
        </w:tblPrEx>
        <w:trPr>
          <w:wBefore w:w="0" w:type="auto"/>
          <w:tblCellSpacing w:w="0" w:type="dxa"/>
        </w:trPr>
        <w:tc>
          <w:tcPr>
            <w:tcW w:w="0" w:type="auto"/>
            <w:noWrap w:val="0"/>
            <w:vAlign w:val="center"/>
          </w:tcPr>
          <w:p w14:paraId="65A9C049">
            <w:r>
              <w:rPr>
                <w:rStyle w:val="10"/>
                <w:rFonts w:hint="eastAsia"/>
              </w:rPr>
              <w:t>登记证持有人：</w:t>
            </w:r>
            <w:r>
              <w:rPr>
                <w:rFonts w:hint="eastAsia"/>
              </w:rPr>
              <w:t>陕西北农华绿色生物技术有限公司</w:t>
            </w:r>
          </w:p>
        </w:tc>
      </w:tr>
      <w:tr w14:paraId="775B9329">
        <w:tblPrEx>
          <w:tblCellMar>
            <w:top w:w="0" w:type="dxa"/>
            <w:left w:w="0" w:type="dxa"/>
            <w:bottom w:w="0" w:type="dxa"/>
            <w:right w:w="0" w:type="dxa"/>
          </w:tblCellMar>
        </w:tblPrEx>
        <w:trPr>
          <w:wBefore w:w="0" w:type="auto"/>
          <w:tblCellSpacing w:w="0" w:type="dxa"/>
        </w:trPr>
        <w:tc>
          <w:tcPr>
            <w:tcW w:w="0" w:type="auto"/>
            <w:noWrap w:val="0"/>
            <w:vAlign w:val="center"/>
          </w:tcPr>
          <w:p w14:paraId="0943C18B">
            <w:r>
              <w:rPr>
                <w:rStyle w:val="10"/>
                <w:rFonts w:hint="eastAsia"/>
              </w:rPr>
              <w:t>农药名称：</w:t>
            </w:r>
            <w:r>
              <w:rPr>
                <w:rFonts w:hint="eastAsia"/>
              </w:rPr>
              <w:t>赤霉酸·28-高芸苔素内酯</w:t>
            </w:r>
          </w:p>
        </w:tc>
      </w:tr>
      <w:tr w14:paraId="1BA14803">
        <w:tblPrEx>
          <w:tblCellMar>
            <w:top w:w="0" w:type="dxa"/>
            <w:left w:w="0" w:type="dxa"/>
            <w:bottom w:w="0" w:type="dxa"/>
            <w:right w:w="0" w:type="dxa"/>
          </w:tblCellMar>
        </w:tblPrEx>
        <w:trPr>
          <w:wBefore w:w="0" w:type="auto"/>
          <w:tblCellSpacing w:w="0" w:type="dxa"/>
        </w:trPr>
        <w:tc>
          <w:tcPr>
            <w:tcW w:w="0" w:type="auto"/>
            <w:noWrap w:val="0"/>
            <w:vAlign w:val="center"/>
          </w:tcPr>
          <w:p w14:paraId="1A3D4EE2">
            <w:r>
              <w:rPr>
                <w:rStyle w:val="10"/>
                <w:rFonts w:hint="eastAsia"/>
              </w:rPr>
              <w:t>剂型：</w:t>
            </w:r>
            <w:r>
              <w:rPr>
                <w:rFonts w:hint="eastAsia"/>
              </w:rPr>
              <w:t>可溶液剂</w:t>
            </w:r>
          </w:p>
        </w:tc>
      </w:tr>
      <w:tr w14:paraId="2166ECA6">
        <w:tblPrEx>
          <w:tblCellMar>
            <w:top w:w="0" w:type="dxa"/>
            <w:left w:w="0" w:type="dxa"/>
            <w:bottom w:w="0" w:type="dxa"/>
            <w:right w:w="0" w:type="dxa"/>
          </w:tblCellMar>
        </w:tblPrEx>
        <w:trPr>
          <w:wBefore w:w="0" w:type="auto"/>
          <w:tblCellSpacing w:w="0" w:type="dxa"/>
        </w:trPr>
        <w:tc>
          <w:tcPr>
            <w:tcW w:w="0" w:type="auto"/>
            <w:noWrap w:val="0"/>
            <w:vAlign w:val="center"/>
          </w:tcPr>
          <w:p w14:paraId="0775225E">
            <w:r>
              <w:rPr>
                <w:rStyle w:val="10"/>
                <w:rFonts w:hint="eastAsia"/>
              </w:rPr>
              <w:t>毒性及其标识：</w:t>
            </w:r>
            <w:r>
              <w:rPr>
                <w:rFonts w:hint="eastAsia"/>
              </w:rPr>
              <w:t xml:space="preserve"> </w:t>
            </w:r>
            <w:r>
              <w:rPr>
                <w:lang/>
              </w:rPr>
              <w:drawing>
                <wp:inline distT="0" distB="0" distL="114300" distR="114300">
                  <wp:extent cx="476250" cy="323850"/>
                  <wp:effectExtent l="0" t="0" r="0" b="0"/>
                  <wp:docPr id="282" name="图片 28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469AD05">
        <w:tblPrEx>
          <w:tblCellMar>
            <w:top w:w="0" w:type="dxa"/>
            <w:left w:w="0" w:type="dxa"/>
            <w:bottom w:w="0" w:type="dxa"/>
            <w:right w:w="0" w:type="dxa"/>
          </w:tblCellMar>
        </w:tblPrEx>
        <w:trPr>
          <w:wBefore w:w="0" w:type="auto"/>
          <w:tblCellSpacing w:w="0" w:type="dxa"/>
        </w:trPr>
        <w:tc>
          <w:tcPr>
            <w:tcW w:w="0" w:type="auto"/>
            <w:noWrap w:val="0"/>
            <w:vAlign w:val="center"/>
          </w:tcPr>
          <w:p w14:paraId="1A48C9AE">
            <w:r>
              <w:rPr>
                <w:rStyle w:val="10"/>
                <w:rFonts w:hint="eastAsia"/>
              </w:rPr>
              <w:t>总有效成分含量：</w:t>
            </w:r>
            <w:r>
              <w:rPr>
                <w:rFonts w:hint="eastAsia"/>
              </w:rPr>
              <w:t>2%</w:t>
            </w:r>
          </w:p>
        </w:tc>
      </w:tr>
      <w:tr w14:paraId="60A7E3C6">
        <w:tblPrEx>
          <w:tblCellMar>
            <w:top w:w="0" w:type="dxa"/>
            <w:left w:w="0" w:type="dxa"/>
            <w:bottom w:w="0" w:type="dxa"/>
            <w:right w:w="0" w:type="dxa"/>
          </w:tblCellMar>
        </w:tblPrEx>
        <w:trPr>
          <w:wBefore w:w="0" w:type="auto"/>
          <w:tblCellSpacing w:w="0" w:type="dxa"/>
        </w:trPr>
        <w:tc>
          <w:tcPr>
            <w:tcW w:w="0" w:type="auto"/>
            <w:noWrap w:val="0"/>
            <w:vAlign w:val="center"/>
          </w:tcPr>
          <w:p w14:paraId="164D70F8">
            <w:r>
              <w:rPr>
                <w:rFonts w:hint="eastAsia"/>
              </w:rPr>
              <w:t xml:space="preserve">有效成分及其含量： </w:t>
            </w:r>
          </w:p>
          <w:p w14:paraId="0C2CCB87">
            <w:r>
              <w:rPr>
                <w:rFonts w:hint="eastAsia"/>
              </w:rPr>
              <w:t xml:space="preserve">    赤霉酸1.998%    28-高芸苔素内酯0.002%    </w:t>
            </w:r>
          </w:p>
        </w:tc>
      </w:tr>
      <w:tr w14:paraId="4C87CA99">
        <w:tblPrEx>
          <w:tblCellMar>
            <w:top w:w="0" w:type="dxa"/>
            <w:left w:w="0" w:type="dxa"/>
            <w:bottom w:w="0" w:type="dxa"/>
            <w:right w:w="0" w:type="dxa"/>
          </w:tblCellMar>
        </w:tblPrEx>
        <w:trPr>
          <w:wBefore w:w="0" w:type="auto"/>
          <w:tblCellSpacing w:w="0" w:type="dxa"/>
        </w:trPr>
        <w:tc>
          <w:tcPr>
            <w:tcW w:w="0" w:type="auto"/>
            <w:noWrap w:val="0"/>
            <w:vAlign w:val="center"/>
          </w:tcPr>
          <w:p w14:paraId="0C23A9D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27F6F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04AC6C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7A14DA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861EE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532F58B">
                  <w:r>
                    <w:rPr>
                      <w:rStyle w:val="11"/>
                      <w:rFonts w:hint="eastAsia"/>
                    </w:rPr>
                    <w:t>施用方式</w:t>
                  </w:r>
                </w:p>
              </w:tc>
            </w:tr>
            <w:tr w14:paraId="79D798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E2B619">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7BD9BD">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DBA1E3">
                  <w:r>
                    <w:rPr>
                      <w:rStyle w:val="11"/>
                      <w:rFonts w:hint="eastAsia"/>
                    </w:rPr>
                    <w:t>1000-2000倍液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29717B">
                  <w:r>
                    <w:rPr>
                      <w:rStyle w:val="11"/>
                      <w:rFonts w:hint="eastAsia"/>
                    </w:rPr>
                    <w:t>浸果穗</w:t>
                  </w:r>
                </w:p>
              </w:tc>
            </w:tr>
          </w:tbl>
          <w:p w14:paraId="15679E25">
            <w:pPr>
              <w:rPr>
                <w:rFonts w:ascii="Times New Roman" w:hAnsi="Times New Roman" w:cs="Times New Roman"/>
                <w:sz w:val="20"/>
                <w:szCs w:val="20"/>
              </w:rPr>
            </w:pPr>
          </w:p>
        </w:tc>
      </w:tr>
      <w:tr w14:paraId="4525F810">
        <w:tblPrEx>
          <w:tblCellMar>
            <w:top w:w="0" w:type="dxa"/>
            <w:left w:w="0" w:type="dxa"/>
            <w:bottom w:w="0" w:type="dxa"/>
            <w:right w:w="0" w:type="dxa"/>
          </w:tblCellMar>
        </w:tblPrEx>
        <w:trPr>
          <w:wBefore w:w="0" w:type="auto"/>
          <w:tblCellSpacing w:w="0" w:type="dxa"/>
        </w:trPr>
        <w:tc>
          <w:tcPr>
            <w:tcW w:w="0" w:type="auto"/>
            <w:noWrap w:val="0"/>
            <w:vAlign w:val="center"/>
          </w:tcPr>
          <w:p w14:paraId="6217F207">
            <w:r>
              <w:rPr>
                <w:rStyle w:val="10"/>
                <w:rFonts w:hint="eastAsia"/>
              </w:rPr>
              <w:t>使用技术要求:</w:t>
            </w:r>
            <w:r>
              <w:rPr>
                <w:rFonts w:hint="eastAsia"/>
              </w:rPr>
              <w:br w:type="textWrapping"/>
            </w:r>
            <w:r>
              <w:rPr>
                <w:rStyle w:val="11"/>
                <w:rFonts w:hint="eastAsia"/>
              </w:rPr>
              <w:t>1.于葡萄幼果横茎10-12毫米时兑水浸果穗，施药一次。2.本品应在使用前现配现用，稀释用水宜用冷水，不可用热水，水温超过50℃会失去活性。3.施用时气温在18℃以上为好。大风天或预计1小时内降雨，请勿施药。</w:t>
            </w:r>
          </w:p>
        </w:tc>
      </w:tr>
      <w:tr w14:paraId="67A3BF9C">
        <w:tblPrEx>
          <w:tblCellMar>
            <w:top w:w="0" w:type="dxa"/>
            <w:left w:w="0" w:type="dxa"/>
            <w:bottom w:w="0" w:type="dxa"/>
            <w:right w:w="0" w:type="dxa"/>
          </w:tblCellMar>
        </w:tblPrEx>
        <w:trPr>
          <w:wBefore w:w="0" w:type="auto"/>
          <w:tblCellSpacing w:w="0" w:type="dxa"/>
        </w:trPr>
        <w:tc>
          <w:tcPr>
            <w:tcW w:w="0" w:type="auto"/>
            <w:noWrap w:val="0"/>
            <w:vAlign w:val="center"/>
          </w:tcPr>
          <w:p w14:paraId="3C59C361">
            <w:r>
              <w:rPr>
                <w:rStyle w:val="10"/>
                <w:rFonts w:hint="eastAsia"/>
              </w:rPr>
              <w:t>产品性能:</w:t>
            </w:r>
            <w:r>
              <w:rPr>
                <w:rFonts w:hint="eastAsia"/>
              </w:rPr>
              <w:br w:type="textWrapping"/>
            </w:r>
            <w:r>
              <w:rPr>
                <w:rStyle w:val="11"/>
                <w:rFonts w:hint="eastAsia"/>
              </w:rPr>
              <w:t>本品由28-高芸苔素内酯和赤霉酸A3复配而成，具有使植物细胞分裂和延长，促进茎伸长、果实生长，减少花果的脱落等作用。对葡萄生长有较好的调节作用。</w:t>
            </w:r>
          </w:p>
        </w:tc>
      </w:tr>
      <w:tr w14:paraId="2C8FA43C">
        <w:tblPrEx>
          <w:tblCellMar>
            <w:top w:w="0" w:type="dxa"/>
            <w:left w:w="0" w:type="dxa"/>
            <w:bottom w:w="0" w:type="dxa"/>
            <w:right w:w="0" w:type="dxa"/>
          </w:tblCellMar>
        </w:tblPrEx>
        <w:trPr>
          <w:wBefore w:w="0" w:type="auto"/>
          <w:tblCellSpacing w:w="0" w:type="dxa"/>
        </w:trPr>
        <w:tc>
          <w:tcPr>
            <w:tcW w:w="0" w:type="auto"/>
            <w:noWrap w:val="0"/>
            <w:vAlign w:val="center"/>
          </w:tcPr>
          <w:p w14:paraId="683FA097">
            <w:r>
              <w:rPr>
                <w:rStyle w:val="10"/>
                <w:rFonts w:hint="eastAsia"/>
              </w:rPr>
              <w:t>注意事项：</w:t>
            </w:r>
            <w:r>
              <w:rPr>
                <w:rFonts w:hint="eastAsia"/>
              </w:rPr>
              <w:br w:type="textWrapping"/>
            </w:r>
            <w:r>
              <w:rPr>
                <w:rStyle w:val="11"/>
                <w:rFonts w:hint="eastAsia"/>
              </w:rPr>
              <w:t>1.使用本品时应穿戴防护服和手套，避免吸入药液。施药期间不可吃东西和饮水。施药后应及时洗手和洗脸。 2.请严格按照农药标签推荐的剂量和方法施用。 3.（周围）开花植物花期禁用，使用时应密切关注对附近蜂群的影响；蚕室及桑园附近禁用；远离水产养殖区、河塘等水体施药；禁止在河塘等水体中清洗施药器具。 4.避免孕妇及哺乳期妇女接触。 5.用过的容器应妥善处理，不可做他用，也不可随意丢弃。6.儿童、孕妇及哺乳期妇女避免接触本品。</w:t>
            </w:r>
          </w:p>
        </w:tc>
      </w:tr>
      <w:tr w14:paraId="47A05FA3">
        <w:tblPrEx>
          <w:tblCellMar>
            <w:top w:w="0" w:type="dxa"/>
            <w:left w:w="0" w:type="dxa"/>
            <w:bottom w:w="0" w:type="dxa"/>
            <w:right w:w="0" w:type="dxa"/>
          </w:tblCellMar>
        </w:tblPrEx>
        <w:trPr>
          <w:wBefore w:w="0" w:type="auto"/>
          <w:tblCellSpacing w:w="0" w:type="dxa"/>
        </w:trPr>
        <w:tc>
          <w:tcPr>
            <w:tcW w:w="0" w:type="auto"/>
            <w:noWrap w:val="0"/>
            <w:vAlign w:val="center"/>
          </w:tcPr>
          <w:p w14:paraId="714DA07D">
            <w:r>
              <w:rPr>
                <w:rStyle w:val="10"/>
                <w:rFonts w:hint="eastAsia"/>
              </w:rPr>
              <w:t>中毒急救措施：</w:t>
            </w:r>
            <w:r>
              <w:rPr>
                <w:rFonts w:hint="eastAsia"/>
              </w:rPr>
              <w:br w:type="textWrapping"/>
            </w:r>
            <w:r>
              <w:rPr>
                <w:rStyle w:val="11"/>
                <w:rFonts w:hint="eastAsia"/>
              </w:rPr>
              <w:t>该产品对眼睛有刺激性，使用时避免接触眼睛。 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594E107E">
        <w:tblPrEx>
          <w:tblCellMar>
            <w:top w:w="0" w:type="dxa"/>
            <w:left w:w="0" w:type="dxa"/>
            <w:bottom w:w="0" w:type="dxa"/>
            <w:right w:w="0" w:type="dxa"/>
          </w:tblCellMar>
        </w:tblPrEx>
        <w:trPr>
          <w:wBefore w:w="0" w:type="auto"/>
          <w:tblCellSpacing w:w="0" w:type="dxa"/>
        </w:trPr>
        <w:tc>
          <w:tcPr>
            <w:tcW w:w="0" w:type="auto"/>
            <w:noWrap w:val="0"/>
            <w:vAlign w:val="center"/>
          </w:tcPr>
          <w:p w14:paraId="2A668D8B">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本品应储存在干燥、阴凉、通风、防雨处，远离火源或热源。置于儿童接触不到的地方，并加锁保存。不能与食品、饮料、粮食、饲料等同储同运。在装卸、运输时应轻拿轻放。</w:t>
            </w:r>
          </w:p>
        </w:tc>
      </w:tr>
      <w:tr w14:paraId="2E069565">
        <w:tblPrEx>
          <w:tblCellMar>
            <w:top w:w="0" w:type="dxa"/>
            <w:left w:w="0" w:type="dxa"/>
            <w:bottom w:w="0" w:type="dxa"/>
            <w:right w:w="0" w:type="dxa"/>
          </w:tblCellMar>
        </w:tblPrEx>
        <w:trPr>
          <w:wBefore w:w="0" w:type="auto"/>
          <w:tblCellSpacing w:w="0" w:type="dxa"/>
        </w:trPr>
        <w:tc>
          <w:tcPr>
            <w:tcW w:w="0" w:type="auto"/>
            <w:noWrap w:val="0"/>
            <w:vAlign w:val="center"/>
          </w:tcPr>
          <w:p w14:paraId="0C13BCDC">
            <w:r>
              <w:rPr>
                <w:rStyle w:val="10"/>
                <w:rFonts w:hint="eastAsia"/>
              </w:rPr>
              <w:t>质量保证期：</w:t>
            </w:r>
            <w:r>
              <w:rPr>
                <w:rStyle w:val="11"/>
                <w:rFonts w:hint="eastAsia"/>
              </w:rPr>
              <w:t>2年</w:t>
            </w:r>
          </w:p>
        </w:tc>
      </w:tr>
      <w:tr w14:paraId="2A5AE012">
        <w:tblPrEx>
          <w:tblCellMar>
            <w:top w:w="0" w:type="dxa"/>
            <w:left w:w="0" w:type="dxa"/>
            <w:bottom w:w="0" w:type="dxa"/>
            <w:right w:w="0" w:type="dxa"/>
          </w:tblCellMar>
        </w:tblPrEx>
        <w:trPr>
          <w:wBefore w:w="0" w:type="auto"/>
          <w:tblCellSpacing w:w="0" w:type="dxa"/>
        </w:trPr>
        <w:tc>
          <w:tcPr>
            <w:tcW w:w="0" w:type="auto"/>
            <w:noWrap w:val="0"/>
            <w:vAlign w:val="center"/>
          </w:tcPr>
          <w:p w14:paraId="18FDD9C8">
            <w:r>
              <w:rPr>
                <w:rStyle w:val="10"/>
                <w:rFonts w:hint="eastAsia"/>
              </w:rPr>
              <w:t>备注：</w:t>
            </w:r>
          </w:p>
        </w:tc>
      </w:tr>
    </w:tbl>
    <w:p w14:paraId="54606D0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9CB058A">
        <w:tblPrEx>
          <w:tblCellMar>
            <w:top w:w="0" w:type="dxa"/>
            <w:left w:w="0" w:type="dxa"/>
            <w:bottom w:w="0" w:type="dxa"/>
            <w:right w:w="0" w:type="dxa"/>
          </w:tblCellMar>
        </w:tblPrEx>
        <w:trPr>
          <w:wBefore w:w="0" w:type="auto"/>
          <w:tblCellSpacing w:w="0" w:type="dxa"/>
        </w:trPr>
        <w:tc>
          <w:tcPr>
            <w:tcW w:w="0" w:type="auto"/>
            <w:noWrap w:val="0"/>
            <w:vAlign w:val="center"/>
          </w:tcPr>
          <w:p w14:paraId="7A3967AB">
            <w:r>
              <w:rPr>
                <w:rStyle w:val="10"/>
                <w:rFonts w:hint="eastAsia"/>
              </w:rPr>
              <w:t>登记证号：</w:t>
            </w:r>
            <w:r>
              <w:rPr>
                <w:rFonts w:hint="eastAsia"/>
              </w:rPr>
              <w:t>PD20212277</w:t>
            </w:r>
          </w:p>
        </w:tc>
      </w:tr>
      <w:tr w14:paraId="526F881F">
        <w:tblPrEx>
          <w:tblCellMar>
            <w:top w:w="0" w:type="dxa"/>
            <w:left w:w="0" w:type="dxa"/>
            <w:bottom w:w="0" w:type="dxa"/>
            <w:right w:w="0" w:type="dxa"/>
          </w:tblCellMar>
        </w:tblPrEx>
        <w:trPr>
          <w:wBefore w:w="0" w:type="auto"/>
          <w:tblCellSpacing w:w="0" w:type="dxa"/>
        </w:trPr>
        <w:tc>
          <w:tcPr>
            <w:tcW w:w="0" w:type="auto"/>
            <w:noWrap w:val="0"/>
            <w:vAlign w:val="center"/>
          </w:tcPr>
          <w:p w14:paraId="716A9680">
            <w:r>
              <w:rPr>
                <w:rStyle w:val="10"/>
                <w:rFonts w:hint="eastAsia"/>
              </w:rPr>
              <w:t>登记证持有人：</w:t>
            </w:r>
            <w:r>
              <w:rPr>
                <w:rFonts w:hint="eastAsia"/>
              </w:rPr>
              <w:t>山东奥坤作物科学股份有限公司</w:t>
            </w:r>
          </w:p>
        </w:tc>
      </w:tr>
      <w:tr w14:paraId="3F9B6537">
        <w:tblPrEx>
          <w:tblCellMar>
            <w:top w:w="0" w:type="dxa"/>
            <w:left w:w="0" w:type="dxa"/>
            <w:bottom w:w="0" w:type="dxa"/>
            <w:right w:w="0" w:type="dxa"/>
          </w:tblCellMar>
        </w:tblPrEx>
        <w:trPr>
          <w:wBefore w:w="0" w:type="auto"/>
          <w:tblCellSpacing w:w="0" w:type="dxa"/>
        </w:trPr>
        <w:tc>
          <w:tcPr>
            <w:tcW w:w="0" w:type="auto"/>
            <w:noWrap w:val="0"/>
            <w:vAlign w:val="center"/>
          </w:tcPr>
          <w:p w14:paraId="6CD742FE">
            <w:r>
              <w:rPr>
                <w:rStyle w:val="10"/>
                <w:rFonts w:hint="eastAsia"/>
              </w:rPr>
              <w:t>农药名称：</w:t>
            </w:r>
            <w:r>
              <w:rPr>
                <w:rFonts w:hint="eastAsia"/>
              </w:rPr>
              <w:t>硝磺·五氟磺</w:t>
            </w:r>
          </w:p>
        </w:tc>
      </w:tr>
      <w:tr w14:paraId="7BC9D73D">
        <w:tblPrEx>
          <w:tblCellMar>
            <w:top w:w="0" w:type="dxa"/>
            <w:left w:w="0" w:type="dxa"/>
            <w:bottom w:w="0" w:type="dxa"/>
            <w:right w:w="0" w:type="dxa"/>
          </w:tblCellMar>
        </w:tblPrEx>
        <w:trPr>
          <w:wBefore w:w="0" w:type="auto"/>
          <w:tblCellSpacing w:w="0" w:type="dxa"/>
        </w:trPr>
        <w:tc>
          <w:tcPr>
            <w:tcW w:w="0" w:type="auto"/>
            <w:noWrap w:val="0"/>
            <w:vAlign w:val="center"/>
          </w:tcPr>
          <w:p w14:paraId="47975789">
            <w:r>
              <w:rPr>
                <w:rStyle w:val="10"/>
                <w:rFonts w:hint="eastAsia"/>
              </w:rPr>
              <w:t>剂型：</w:t>
            </w:r>
            <w:r>
              <w:rPr>
                <w:rFonts w:hint="eastAsia"/>
              </w:rPr>
              <w:t>可分散油悬浮剂</w:t>
            </w:r>
          </w:p>
        </w:tc>
      </w:tr>
      <w:tr w14:paraId="38EFEA37">
        <w:tblPrEx>
          <w:tblCellMar>
            <w:top w:w="0" w:type="dxa"/>
            <w:left w:w="0" w:type="dxa"/>
            <w:bottom w:w="0" w:type="dxa"/>
            <w:right w:w="0" w:type="dxa"/>
          </w:tblCellMar>
        </w:tblPrEx>
        <w:trPr>
          <w:wBefore w:w="0" w:type="auto"/>
          <w:tblCellSpacing w:w="0" w:type="dxa"/>
        </w:trPr>
        <w:tc>
          <w:tcPr>
            <w:tcW w:w="0" w:type="auto"/>
            <w:noWrap w:val="0"/>
            <w:vAlign w:val="center"/>
          </w:tcPr>
          <w:p w14:paraId="28E0D54E">
            <w:r>
              <w:rPr>
                <w:rStyle w:val="10"/>
                <w:rFonts w:hint="eastAsia"/>
              </w:rPr>
              <w:t>毒性及其标识：</w:t>
            </w:r>
            <w:r>
              <w:rPr>
                <w:rFonts w:hint="eastAsia"/>
              </w:rPr>
              <w:t xml:space="preserve"> 微毒 </w:t>
            </w:r>
          </w:p>
        </w:tc>
      </w:tr>
      <w:tr w14:paraId="2166EC96">
        <w:tblPrEx>
          <w:tblCellMar>
            <w:top w:w="0" w:type="dxa"/>
            <w:left w:w="0" w:type="dxa"/>
            <w:bottom w:w="0" w:type="dxa"/>
            <w:right w:w="0" w:type="dxa"/>
          </w:tblCellMar>
        </w:tblPrEx>
        <w:trPr>
          <w:wBefore w:w="0" w:type="auto"/>
          <w:tblCellSpacing w:w="0" w:type="dxa"/>
        </w:trPr>
        <w:tc>
          <w:tcPr>
            <w:tcW w:w="0" w:type="auto"/>
            <w:noWrap w:val="0"/>
            <w:vAlign w:val="center"/>
          </w:tcPr>
          <w:p w14:paraId="702AA3DC">
            <w:r>
              <w:rPr>
                <w:rStyle w:val="10"/>
                <w:rFonts w:hint="eastAsia"/>
              </w:rPr>
              <w:t>总有效成分含量：</w:t>
            </w:r>
            <w:r>
              <w:rPr>
                <w:rFonts w:hint="eastAsia"/>
              </w:rPr>
              <w:t>18%</w:t>
            </w:r>
          </w:p>
        </w:tc>
      </w:tr>
      <w:tr w14:paraId="2CC393AF">
        <w:tblPrEx>
          <w:tblCellMar>
            <w:top w:w="0" w:type="dxa"/>
            <w:left w:w="0" w:type="dxa"/>
            <w:bottom w:w="0" w:type="dxa"/>
            <w:right w:w="0" w:type="dxa"/>
          </w:tblCellMar>
        </w:tblPrEx>
        <w:trPr>
          <w:wBefore w:w="0" w:type="auto"/>
          <w:tblCellSpacing w:w="0" w:type="dxa"/>
        </w:trPr>
        <w:tc>
          <w:tcPr>
            <w:tcW w:w="0" w:type="auto"/>
            <w:noWrap w:val="0"/>
            <w:vAlign w:val="center"/>
          </w:tcPr>
          <w:p w14:paraId="700D325F">
            <w:r>
              <w:rPr>
                <w:rFonts w:hint="eastAsia"/>
              </w:rPr>
              <w:t xml:space="preserve">有效成分及其含量： </w:t>
            </w:r>
          </w:p>
          <w:p w14:paraId="4D5AC7B6">
            <w:r>
              <w:rPr>
                <w:rFonts w:hint="eastAsia"/>
              </w:rPr>
              <w:t xml:space="preserve">    五氟磺草胺6%    硝磺草酮12%    </w:t>
            </w:r>
          </w:p>
        </w:tc>
      </w:tr>
      <w:tr w14:paraId="63C43E63">
        <w:tblPrEx>
          <w:tblCellMar>
            <w:top w:w="0" w:type="dxa"/>
            <w:left w:w="0" w:type="dxa"/>
            <w:bottom w:w="0" w:type="dxa"/>
            <w:right w:w="0" w:type="dxa"/>
          </w:tblCellMar>
        </w:tblPrEx>
        <w:trPr>
          <w:wBefore w:w="0" w:type="auto"/>
          <w:tblCellSpacing w:w="0" w:type="dxa"/>
        </w:trPr>
        <w:tc>
          <w:tcPr>
            <w:tcW w:w="0" w:type="auto"/>
            <w:noWrap w:val="0"/>
            <w:vAlign w:val="center"/>
          </w:tcPr>
          <w:p w14:paraId="320269D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0D4ED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75F92B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472048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E5A74A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5E541B0">
                  <w:r>
                    <w:rPr>
                      <w:rStyle w:val="11"/>
                      <w:rFonts w:hint="eastAsia"/>
                    </w:rPr>
                    <w:t>施用方式</w:t>
                  </w:r>
                </w:p>
              </w:tc>
            </w:tr>
            <w:tr w14:paraId="2C022C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FDA6C8E">
                  <w:r>
                    <w:rPr>
                      <w:rStyle w:val="11"/>
                      <w:rFonts w:hint="eastAsia"/>
                    </w:rPr>
                    <w:t>移栽水稻田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59737C">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9CF633">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AF073A">
                  <w:r>
                    <w:rPr>
                      <w:rStyle w:val="11"/>
                      <w:rFonts w:hint="eastAsia"/>
                    </w:rPr>
                    <w:t>药土法</w:t>
                  </w:r>
                </w:p>
              </w:tc>
            </w:tr>
          </w:tbl>
          <w:p w14:paraId="3AC23B2C">
            <w:pPr>
              <w:rPr>
                <w:rFonts w:ascii="Times New Roman" w:hAnsi="Times New Roman" w:cs="Times New Roman"/>
                <w:sz w:val="20"/>
                <w:szCs w:val="20"/>
              </w:rPr>
            </w:pPr>
          </w:p>
        </w:tc>
      </w:tr>
      <w:tr w14:paraId="33EE308C">
        <w:tblPrEx>
          <w:tblCellMar>
            <w:top w:w="0" w:type="dxa"/>
            <w:left w:w="0" w:type="dxa"/>
            <w:bottom w:w="0" w:type="dxa"/>
            <w:right w:w="0" w:type="dxa"/>
          </w:tblCellMar>
        </w:tblPrEx>
        <w:trPr>
          <w:wBefore w:w="0" w:type="auto"/>
          <w:tblCellSpacing w:w="0" w:type="dxa"/>
        </w:trPr>
        <w:tc>
          <w:tcPr>
            <w:tcW w:w="0" w:type="auto"/>
            <w:noWrap w:val="0"/>
            <w:vAlign w:val="center"/>
          </w:tcPr>
          <w:p w14:paraId="75F79046">
            <w:r>
              <w:rPr>
                <w:rStyle w:val="10"/>
                <w:rFonts w:hint="eastAsia"/>
              </w:rPr>
              <w:t>使用技术要求:</w:t>
            </w:r>
            <w:r>
              <w:rPr>
                <w:rFonts w:hint="eastAsia"/>
              </w:rPr>
              <w:br w:type="textWrapping"/>
            </w:r>
            <w:r>
              <w:rPr>
                <w:rStyle w:val="11"/>
                <w:rFonts w:hint="eastAsia"/>
              </w:rPr>
              <w:t>1.本品应于水稻移栽后5-7天将本剂与适量土壤混合，均匀撒施。 2.用药后田间要求保持3-5厘米的水层5-7天，切记水层过深淹没稻心叶。 3.施药量按往年杂草发生量确定，发生量大按推荐高剂量用药。 4.每季最多使用1次。</w:t>
            </w:r>
          </w:p>
        </w:tc>
      </w:tr>
      <w:tr w14:paraId="115D8CE0">
        <w:tblPrEx>
          <w:tblCellMar>
            <w:top w:w="0" w:type="dxa"/>
            <w:left w:w="0" w:type="dxa"/>
            <w:bottom w:w="0" w:type="dxa"/>
            <w:right w:w="0" w:type="dxa"/>
          </w:tblCellMar>
        </w:tblPrEx>
        <w:trPr>
          <w:wBefore w:w="0" w:type="auto"/>
          <w:tblCellSpacing w:w="0" w:type="dxa"/>
        </w:trPr>
        <w:tc>
          <w:tcPr>
            <w:tcW w:w="0" w:type="auto"/>
            <w:noWrap w:val="0"/>
            <w:vAlign w:val="center"/>
          </w:tcPr>
          <w:p w14:paraId="34903396">
            <w:r>
              <w:rPr>
                <w:rStyle w:val="10"/>
                <w:rFonts w:hint="eastAsia"/>
              </w:rPr>
              <w:t>产品性能:</w:t>
            </w:r>
            <w:r>
              <w:rPr>
                <w:rFonts w:hint="eastAsia"/>
              </w:rPr>
              <w:br w:type="textWrapping"/>
            </w:r>
            <w:r>
              <w:rPr>
                <w:rStyle w:val="11"/>
                <w:rFonts w:hint="eastAsia"/>
              </w:rPr>
              <w:t>本品为五氟磺草胺和硝磺草酮的混配制剂，土壤封闭处理可以防除移栽粳稻田中的稗草（包括稻稗）、一年生阔叶草和 莎草等杂草。</w:t>
            </w:r>
          </w:p>
        </w:tc>
      </w:tr>
      <w:tr w14:paraId="594E8D23">
        <w:tblPrEx>
          <w:tblCellMar>
            <w:top w:w="0" w:type="dxa"/>
            <w:left w:w="0" w:type="dxa"/>
            <w:bottom w:w="0" w:type="dxa"/>
            <w:right w:w="0" w:type="dxa"/>
          </w:tblCellMar>
        </w:tblPrEx>
        <w:trPr>
          <w:wBefore w:w="0" w:type="auto"/>
          <w:tblCellSpacing w:w="0" w:type="dxa"/>
        </w:trPr>
        <w:tc>
          <w:tcPr>
            <w:tcW w:w="0" w:type="auto"/>
            <w:noWrap w:val="0"/>
            <w:vAlign w:val="center"/>
          </w:tcPr>
          <w:p w14:paraId="1E172915">
            <w:r>
              <w:rPr>
                <w:rStyle w:val="10"/>
                <w:rFonts w:hint="eastAsia"/>
              </w:rPr>
              <w:t>注意事项：</w:t>
            </w:r>
            <w:r>
              <w:rPr>
                <w:rFonts w:hint="eastAsia"/>
              </w:rPr>
              <w:br w:type="textWrapping"/>
            </w:r>
            <w:r>
              <w:rPr>
                <w:rStyle w:val="11"/>
                <w:rFonts w:hint="eastAsia"/>
              </w:rPr>
              <w:t>1.生产操作时应穿戴适当的防护服、戴防毒面具、手套等，避免吸入药液和药粉。禁止吸烟、饮水等。操作结束后应立即洗干净手脸等。2.避免孕妇及哺乳期的妇女接触本品。3.清洗器具的废水不能排入河流、池塘等水源，废弃物要妥善处理，不能随意丢弃，也不能做他用。4.本品对蜜蜂、家蚕、鸟类和鱼等水生生物有毒，避免药剂进入水体造成对水生生物的毒害。远离水产养殖区、河塘等水体施药；禁止在河塘等水体中清洗施药器具；鱼或虾蟹套养稻田禁用；施药后的田水不得直接排入水体。鸟类保护区禁用。水产养殖区、蚕室及桑园附近禁用。施药期间应密切注意对附近蜂群的影响。5.对非靶标作物如玉米、黄瓜、番茄有一定的影响，施药时应防止药液飘移到邻近作物田，以免产生药害。</w:t>
            </w:r>
          </w:p>
        </w:tc>
      </w:tr>
      <w:tr w14:paraId="5733E758">
        <w:tblPrEx>
          <w:tblCellMar>
            <w:top w:w="0" w:type="dxa"/>
            <w:left w:w="0" w:type="dxa"/>
            <w:bottom w:w="0" w:type="dxa"/>
            <w:right w:w="0" w:type="dxa"/>
          </w:tblCellMar>
        </w:tblPrEx>
        <w:trPr>
          <w:wBefore w:w="0" w:type="auto"/>
          <w:tblCellSpacing w:w="0" w:type="dxa"/>
        </w:trPr>
        <w:tc>
          <w:tcPr>
            <w:tcW w:w="0" w:type="auto"/>
            <w:noWrap w:val="0"/>
            <w:vAlign w:val="center"/>
          </w:tcPr>
          <w:p w14:paraId="5C20A971">
            <w:r>
              <w:rPr>
                <w:rStyle w:val="10"/>
                <w:rFonts w:hint="eastAsia"/>
              </w:rPr>
              <w:t>中毒急救措施：</w:t>
            </w:r>
            <w:r>
              <w:rPr>
                <w:rFonts w:hint="eastAsia"/>
              </w:rPr>
              <w:br w:type="textWrapping"/>
            </w:r>
            <w:r>
              <w:rPr>
                <w:rStyle w:val="11"/>
                <w:rFonts w:hint="eastAsia"/>
              </w:rPr>
              <w:t>1.对眼睛有轻度刺激作用。 2.眼睛溅入：清水彻底冲洗至少15分钟。如配戴隐形眼镜，冲洗1-2分钟后摘掉眼镜再冲洗至少15 分钟。如症状持续，请就医。 3.误食：基本不需急救处理。 4.皮肤沾附：立刻用大量清水冲洗皮肤。 5.误吸：转移至空气清新处。如症状持续，请就医。 6.给医护人员的提示：无特殊解毒药。对症治疗。</w:t>
            </w:r>
          </w:p>
        </w:tc>
      </w:tr>
      <w:tr w14:paraId="399F653F">
        <w:tblPrEx>
          <w:tblCellMar>
            <w:top w:w="0" w:type="dxa"/>
            <w:left w:w="0" w:type="dxa"/>
            <w:bottom w:w="0" w:type="dxa"/>
            <w:right w:w="0" w:type="dxa"/>
          </w:tblCellMar>
        </w:tblPrEx>
        <w:trPr>
          <w:wBefore w:w="0" w:type="auto"/>
          <w:tblCellSpacing w:w="0" w:type="dxa"/>
        </w:trPr>
        <w:tc>
          <w:tcPr>
            <w:tcW w:w="0" w:type="auto"/>
            <w:noWrap w:val="0"/>
            <w:vAlign w:val="center"/>
          </w:tcPr>
          <w:p w14:paraId="65FA50AA">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本品应贮存在干燥、阴凉、通风、防雨处，远离火源或热源。置于儿童及无关人员触及不到之处，并加锁保存。勿与食品、饮料、粮食、饲料等物其他商品同贮同运。</w:t>
            </w:r>
          </w:p>
        </w:tc>
      </w:tr>
      <w:tr w14:paraId="7C1853BC">
        <w:tblPrEx>
          <w:tblCellMar>
            <w:top w:w="0" w:type="dxa"/>
            <w:left w:w="0" w:type="dxa"/>
            <w:bottom w:w="0" w:type="dxa"/>
            <w:right w:w="0" w:type="dxa"/>
          </w:tblCellMar>
        </w:tblPrEx>
        <w:trPr>
          <w:wBefore w:w="0" w:type="auto"/>
          <w:tblCellSpacing w:w="0" w:type="dxa"/>
        </w:trPr>
        <w:tc>
          <w:tcPr>
            <w:tcW w:w="0" w:type="auto"/>
            <w:noWrap w:val="0"/>
            <w:vAlign w:val="center"/>
          </w:tcPr>
          <w:p w14:paraId="7B5F11E4">
            <w:r>
              <w:rPr>
                <w:rStyle w:val="10"/>
                <w:rFonts w:hint="eastAsia"/>
              </w:rPr>
              <w:t>质量保证期：</w:t>
            </w:r>
            <w:r>
              <w:rPr>
                <w:rStyle w:val="11"/>
                <w:rFonts w:hint="eastAsia"/>
              </w:rPr>
              <w:t>2年</w:t>
            </w:r>
          </w:p>
        </w:tc>
      </w:tr>
      <w:tr w14:paraId="1EF30392">
        <w:tblPrEx>
          <w:tblCellMar>
            <w:top w:w="0" w:type="dxa"/>
            <w:left w:w="0" w:type="dxa"/>
            <w:bottom w:w="0" w:type="dxa"/>
            <w:right w:w="0" w:type="dxa"/>
          </w:tblCellMar>
        </w:tblPrEx>
        <w:trPr>
          <w:wBefore w:w="0" w:type="auto"/>
          <w:tblCellSpacing w:w="0" w:type="dxa"/>
        </w:trPr>
        <w:tc>
          <w:tcPr>
            <w:tcW w:w="0" w:type="auto"/>
            <w:noWrap w:val="0"/>
            <w:vAlign w:val="center"/>
          </w:tcPr>
          <w:p w14:paraId="7A8CA08B">
            <w:r>
              <w:rPr>
                <w:rStyle w:val="10"/>
                <w:rFonts w:hint="eastAsia"/>
              </w:rPr>
              <w:t>备注：</w:t>
            </w:r>
          </w:p>
        </w:tc>
      </w:tr>
    </w:tbl>
    <w:p w14:paraId="4BFFB7F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2D5C417">
        <w:tblPrEx>
          <w:tblCellMar>
            <w:top w:w="0" w:type="dxa"/>
            <w:left w:w="0" w:type="dxa"/>
            <w:bottom w:w="0" w:type="dxa"/>
            <w:right w:w="0" w:type="dxa"/>
          </w:tblCellMar>
        </w:tblPrEx>
        <w:trPr>
          <w:wBefore w:w="0" w:type="auto"/>
          <w:tblCellSpacing w:w="0" w:type="dxa"/>
        </w:trPr>
        <w:tc>
          <w:tcPr>
            <w:tcW w:w="0" w:type="auto"/>
            <w:noWrap w:val="0"/>
            <w:vAlign w:val="center"/>
          </w:tcPr>
          <w:p w14:paraId="0C57B8D5">
            <w:r>
              <w:rPr>
                <w:rStyle w:val="10"/>
                <w:rFonts w:hint="eastAsia"/>
              </w:rPr>
              <w:t>登记证号：</w:t>
            </w:r>
            <w:r>
              <w:rPr>
                <w:rFonts w:hint="eastAsia"/>
              </w:rPr>
              <w:t>PD20212149</w:t>
            </w:r>
          </w:p>
        </w:tc>
      </w:tr>
      <w:tr w14:paraId="14855E37">
        <w:tblPrEx>
          <w:tblCellMar>
            <w:top w:w="0" w:type="dxa"/>
            <w:left w:w="0" w:type="dxa"/>
            <w:bottom w:w="0" w:type="dxa"/>
            <w:right w:w="0" w:type="dxa"/>
          </w:tblCellMar>
        </w:tblPrEx>
        <w:trPr>
          <w:wBefore w:w="0" w:type="auto"/>
          <w:tblCellSpacing w:w="0" w:type="dxa"/>
        </w:trPr>
        <w:tc>
          <w:tcPr>
            <w:tcW w:w="0" w:type="auto"/>
            <w:noWrap w:val="0"/>
            <w:vAlign w:val="center"/>
          </w:tcPr>
          <w:p w14:paraId="57CCF90D">
            <w:r>
              <w:rPr>
                <w:rStyle w:val="10"/>
                <w:rFonts w:hint="eastAsia"/>
              </w:rPr>
              <w:t>登记证持有人：</w:t>
            </w:r>
            <w:r>
              <w:rPr>
                <w:rFonts w:hint="eastAsia"/>
              </w:rPr>
              <w:t>利尔化学股份有限公司</w:t>
            </w:r>
          </w:p>
        </w:tc>
      </w:tr>
      <w:tr w14:paraId="7DE2D616">
        <w:tblPrEx>
          <w:tblCellMar>
            <w:top w:w="0" w:type="dxa"/>
            <w:left w:w="0" w:type="dxa"/>
            <w:bottom w:w="0" w:type="dxa"/>
            <w:right w:w="0" w:type="dxa"/>
          </w:tblCellMar>
        </w:tblPrEx>
        <w:trPr>
          <w:wBefore w:w="0" w:type="auto"/>
          <w:tblCellSpacing w:w="0" w:type="dxa"/>
        </w:trPr>
        <w:tc>
          <w:tcPr>
            <w:tcW w:w="0" w:type="auto"/>
            <w:noWrap w:val="0"/>
            <w:vAlign w:val="center"/>
          </w:tcPr>
          <w:p w14:paraId="62A33390">
            <w:r>
              <w:rPr>
                <w:rStyle w:val="10"/>
                <w:rFonts w:hint="eastAsia"/>
              </w:rPr>
              <w:t>农药名称：</w:t>
            </w:r>
            <w:r>
              <w:rPr>
                <w:rFonts w:hint="eastAsia"/>
              </w:rPr>
              <w:t>唑啉草酯</w:t>
            </w:r>
          </w:p>
        </w:tc>
      </w:tr>
      <w:tr w14:paraId="692146D5">
        <w:tblPrEx>
          <w:tblCellMar>
            <w:top w:w="0" w:type="dxa"/>
            <w:left w:w="0" w:type="dxa"/>
            <w:bottom w:w="0" w:type="dxa"/>
            <w:right w:w="0" w:type="dxa"/>
          </w:tblCellMar>
        </w:tblPrEx>
        <w:trPr>
          <w:wBefore w:w="0" w:type="auto"/>
          <w:tblCellSpacing w:w="0" w:type="dxa"/>
        </w:trPr>
        <w:tc>
          <w:tcPr>
            <w:tcW w:w="0" w:type="auto"/>
            <w:noWrap w:val="0"/>
            <w:vAlign w:val="center"/>
          </w:tcPr>
          <w:p w14:paraId="6B29D001">
            <w:r>
              <w:rPr>
                <w:rStyle w:val="10"/>
                <w:rFonts w:hint="eastAsia"/>
              </w:rPr>
              <w:t>剂型：</w:t>
            </w:r>
            <w:r>
              <w:rPr>
                <w:rFonts w:hint="eastAsia"/>
              </w:rPr>
              <w:t>乳油</w:t>
            </w:r>
          </w:p>
        </w:tc>
      </w:tr>
      <w:tr w14:paraId="74C9DB15">
        <w:tblPrEx>
          <w:tblCellMar>
            <w:top w:w="0" w:type="dxa"/>
            <w:left w:w="0" w:type="dxa"/>
            <w:bottom w:w="0" w:type="dxa"/>
            <w:right w:w="0" w:type="dxa"/>
          </w:tblCellMar>
        </w:tblPrEx>
        <w:trPr>
          <w:wBefore w:w="0" w:type="auto"/>
          <w:tblCellSpacing w:w="0" w:type="dxa"/>
        </w:trPr>
        <w:tc>
          <w:tcPr>
            <w:tcW w:w="0" w:type="auto"/>
            <w:noWrap w:val="0"/>
            <w:vAlign w:val="center"/>
          </w:tcPr>
          <w:p w14:paraId="1ED692A5">
            <w:r>
              <w:rPr>
                <w:rStyle w:val="10"/>
                <w:rFonts w:hint="eastAsia"/>
              </w:rPr>
              <w:t>毒性及其标识：</w:t>
            </w:r>
            <w:r>
              <w:rPr>
                <w:rFonts w:hint="eastAsia"/>
              </w:rPr>
              <w:t xml:space="preserve"> </w:t>
            </w:r>
            <w:r>
              <w:rPr>
                <w:lang/>
              </w:rPr>
              <w:drawing>
                <wp:inline distT="0" distB="0" distL="114300" distR="114300">
                  <wp:extent cx="476250" cy="323850"/>
                  <wp:effectExtent l="0" t="0" r="0" b="0"/>
                  <wp:docPr id="283" name="图片 28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DD79276">
        <w:tblPrEx>
          <w:tblCellMar>
            <w:top w:w="0" w:type="dxa"/>
            <w:left w:w="0" w:type="dxa"/>
            <w:bottom w:w="0" w:type="dxa"/>
            <w:right w:w="0" w:type="dxa"/>
          </w:tblCellMar>
        </w:tblPrEx>
        <w:trPr>
          <w:wBefore w:w="0" w:type="auto"/>
          <w:tblCellSpacing w:w="0" w:type="dxa"/>
        </w:trPr>
        <w:tc>
          <w:tcPr>
            <w:tcW w:w="0" w:type="auto"/>
            <w:noWrap w:val="0"/>
            <w:vAlign w:val="center"/>
          </w:tcPr>
          <w:p w14:paraId="463F6E27">
            <w:r>
              <w:rPr>
                <w:rStyle w:val="10"/>
                <w:rFonts w:hint="eastAsia"/>
              </w:rPr>
              <w:t>总有效成分含量：</w:t>
            </w:r>
            <w:r>
              <w:rPr>
                <w:rFonts w:hint="eastAsia"/>
              </w:rPr>
              <w:t>5%</w:t>
            </w:r>
          </w:p>
        </w:tc>
      </w:tr>
      <w:tr w14:paraId="368657E5">
        <w:tblPrEx>
          <w:tblCellMar>
            <w:top w:w="0" w:type="dxa"/>
            <w:left w:w="0" w:type="dxa"/>
            <w:bottom w:w="0" w:type="dxa"/>
            <w:right w:w="0" w:type="dxa"/>
          </w:tblCellMar>
        </w:tblPrEx>
        <w:trPr>
          <w:wBefore w:w="0" w:type="auto"/>
          <w:tblCellSpacing w:w="0" w:type="dxa"/>
        </w:trPr>
        <w:tc>
          <w:tcPr>
            <w:tcW w:w="0" w:type="auto"/>
            <w:noWrap w:val="0"/>
            <w:vAlign w:val="center"/>
          </w:tcPr>
          <w:p w14:paraId="02F668EB">
            <w:r>
              <w:rPr>
                <w:rFonts w:hint="eastAsia"/>
              </w:rPr>
              <w:t xml:space="preserve">有效成分及其含量： </w:t>
            </w:r>
          </w:p>
          <w:p w14:paraId="0B86806A">
            <w:r>
              <w:rPr>
                <w:rFonts w:hint="eastAsia"/>
              </w:rPr>
              <w:t xml:space="preserve">    唑啉草酯5%    </w:t>
            </w:r>
          </w:p>
        </w:tc>
      </w:tr>
      <w:tr w14:paraId="0593C702">
        <w:tblPrEx>
          <w:tblCellMar>
            <w:top w:w="0" w:type="dxa"/>
            <w:left w:w="0" w:type="dxa"/>
            <w:bottom w:w="0" w:type="dxa"/>
            <w:right w:w="0" w:type="dxa"/>
          </w:tblCellMar>
        </w:tblPrEx>
        <w:trPr>
          <w:wBefore w:w="0" w:type="auto"/>
          <w:tblCellSpacing w:w="0" w:type="dxa"/>
        </w:trPr>
        <w:tc>
          <w:tcPr>
            <w:tcW w:w="0" w:type="auto"/>
            <w:noWrap w:val="0"/>
            <w:vAlign w:val="center"/>
          </w:tcPr>
          <w:p w14:paraId="7C3DD59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B9C52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34BCC1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421AE5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945F9C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3F6A28D">
                  <w:r>
                    <w:rPr>
                      <w:rStyle w:val="11"/>
                      <w:rFonts w:hint="eastAsia"/>
                    </w:rPr>
                    <w:t>施用方式</w:t>
                  </w:r>
                </w:p>
              </w:tc>
            </w:tr>
            <w:tr w14:paraId="378B07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28DC3EC">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B7B16C">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9C517F">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B39268">
                  <w:r>
                    <w:rPr>
                      <w:rStyle w:val="11"/>
                      <w:rFonts w:hint="eastAsia"/>
                    </w:rPr>
                    <w:t>茎叶喷雾</w:t>
                  </w:r>
                </w:p>
              </w:tc>
            </w:tr>
          </w:tbl>
          <w:p w14:paraId="3449AEDA">
            <w:pPr>
              <w:rPr>
                <w:rFonts w:ascii="Times New Roman" w:hAnsi="Times New Roman" w:cs="Times New Roman"/>
                <w:sz w:val="20"/>
                <w:szCs w:val="20"/>
              </w:rPr>
            </w:pPr>
          </w:p>
        </w:tc>
      </w:tr>
      <w:tr w14:paraId="10CA8E8D">
        <w:tblPrEx>
          <w:tblCellMar>
            <w:top w:w="0" w:type="dxa"/>
            <w:left w:w="0" w:type="dxa"/>
            <w:bottom w:w="0" w:type="dxa"/>
            <w:right w:w="0" w:type="dxa"/>
          </w:tblCellMar>
        </w:tblPrEx>
        <w:trPr>
          <w:wBefore w:w="0" w:type="auto"/>
          <w:tblCellSpacing w:w="0" w:type="dxa"/>
        </w:trPr>
        <w:tc>
          <w:tcPr>
            <w:tcW w:w="0" w:type="auto"/>
            <w:noWrap w:val="0"/>
            <w:vAlign w:val="center"/>
          </w:tcPr>
          <w:p w14:paraId="54FBB907">
            <w:r>
              <w:rPr>
                <w:rStyle w:val="10"/>
                <w:rFonts w:hint="eastAsia"/>
              </w:rPr>
              <w:t>使用技术要求:</w:t>
            </w:r>
            <w:r>
              <w:rPr>
                <w:rFonts w:hint="eastAsia"/>
              </w:rPr>
              <w:br w:type="textWrapping"/>
            </w:r>
            <w:r>
              <w:rPr>
                <w:rStyle w:val="11"/>
                <w:rFonts w:hint="eastAsia"/>
              </w:rPr>
              <w:t>1. 于小麦田杂草3-5叶期施药，常规茎叶喷雾，施药一次，注意喷雾均匀周到，以免影响防效。 2. 每季最多使用1次。</w:t>
            </w:r>
          </w:p>
        </w:tc>
      </w:tr>
      <w:tr w14:paraId="2C9BD5C7">
        <w:tblPrEx>
          <w:tblCellMar>
            <w:top w:w="0" w:type="dxa"/>
            <w:left w:w="0" w:type="dxa"/>
            <w:bottom w:w="0" w:type="dxa"/>
            <w:right w:w="0" w:type="dxa"/>
          </w:tblCellMar>
        </w:tblPrEx>
        <w:trPr>
          <w:wBefore w:w="0" w:type="auto"/>
          <w:tblCellSpacing w:w="0" w:type="dxa"/>
        </w:trPr>
        <w:tc>
          <w:tcPr>
            <w:tcW w:w="0" w:type="auto"/>
            <w:noWrap w:val="0"/>
            <w:vAlign w:val="center"/>
          </w:tcPr>
          <w:p w14:paraId="2582B745">
            <w:r>
              <w:rPr>
                <w:rStyle w:val="10"/>
                <w:rFonts w:hint="eastAsia"/>
              </w:rPr>
              <w:t>产品性能:</w:t>
            </w:r>
            <w:r>
              <w:rPr>
                <w:rFonts w:hint="eastAsia"/>
              </w:rPr>
              <w:br w:type="textWrapping"/>
            </w:r>
            <w:r>
              <w:rPr>
                <w:rStyle w:val="11"/>
                <w:rFonts w:hint="eastAsia"/>
              </w:rPr>
              <w:t>本品是一种内吸选择性除草剂。</w:t>
            </w:r>
          </w:p>
        </w:tc>
      </w:tr>
      <w:tr w14:paraId="1F80869B">
        <w:tblPrEx>
          <w:tblCellMar>
            <w:top w:w="0" w:type="dxa"/>
            <w:left w:w="0" w:type="dxa"/>
            <w:bottom w:w="0" w:type="dxa"/>
            <w:right w:w="0" w:type="dxa"/>
          </w:tblCellMar>
        </w:tblPrEx>
        <w:trPr>
          <w:wBefore w:w="0" w:type="auto"/>
          <w:tblCellSpacing w:w="0" w:type="dxa"/>
        </w:trPr>
        <w:tc>
          <w:tcPr>
            <w:tcW w:w="0" w:type="auto"/>
            <w:noWrap w:val="0"/>
            <w:vAlign w:val="center"/>
          </w:tcPr>
          <w:p w14:paraId="463486EA">
            <w:r>
              <w:rPr>
                <w:rStyle w:val="10"/>
                <w:rFonts w:hint="eastAsia"/>
              </w:rPr>
              <w:t>注意事项：</w:t>
            </w:r>
            <w:r>
              <w:rPr>
                <w:rFonts w:hint="eastAsia"/>
              </w:rPr>
              <w:br w:type="textWrapping"/>
            </w:r>
            <w:r>
              <w:rPr>
                <w:rStyle w:val="11"/>
                <w:rFonts w:hint="eastAsia"/>
              </w:rPr>
              <w:t>1. 本品应进行二次稀释后现配现用。施药过程中若遇大风、下雨、降雪等影响喷雾效果的情形应停止施药。严禁重喷或漏喷，并防止雾滴飘移到其他田块。 2. 避免在极端气候如气温大幅度波动前后3天内，干旱、低温（霜冻期）、田间积水、小麦生长不良或遭受涝害、冻害、旱害、盐碱害、病害等胁迫条件下使用。 3. 如需与其他助剂或药剂混用，请在当地农技人员指导下，先进行小面积试验确认有效性后，科学合理搭配使用。 4. 请在农技人员指导下，根据杂草发生基数、叶龄及种类、小麦生长状况、施药时天气条件、药械种类等因素科学合理的调整用药剂量、用水量。 5. 严格按照推荐方法使用、操作和贮藏本品，配置药液时使用清水，禁止使用浑浊的河水或沟渠水配药。 6. 施用时尽量做好身体各部位科学合理的防护，采取正确的施药方式。注意个人防护，穿长衣长裤、戴手套、戴口罩等；施药时不能吸烟、饮水等；施药后清洗干净手脸等。 7. 桑园和蚕室附近禁用。远离水产养殖区、河塘等附近施药，禁止在河塘等水体中清洗施药器具。施药后及时、细致清洗施药器具，废弃物要妥善处理，不能随意丢弃，也不能做他用。 8. 避免孕妇及哺乳期的妇女接触本品。 9. 使用前请仔细阅读此标签，并严格按照标签说明使用。未尽使用情形，请结合当地实际情况，在农业技术人员指导下使用。</w:t>
            </w:r>
          </w:p>
        </w:tc>
      </w:tr>
      <w:tr w14:paraId="591C9BBD">
        <w:tblPrEx>
          <w:tblCellMar>
            <w:top w:w="0" w:type="dxa"/>
            <w:left w:w="0" w:type="dxa"/>
            <w:bottom w:w="0" w:type="dxa"/>
            <w:right w:w="0" w:type="dxa"/>
          </w:tblCellMar>
        </w:tblPrEx>
        <w:trPr>
          <w:wBefore w:w="0" w:type="auto"/>
          <w:tblCellSpacing w:w="0" w:type="dxa"/>
        </w:trPr>
        <w:tc>
          <w:tcPr>
            <w:tcW w:w="0" w:type="auto"/>
            <w:noWrap w:val="0"/>
            <w:vAlign w:val="center"/>
          </w:tcPr>
          <w:p w14:paraId="23064DF9">
            <w:r>
              <w:rPr>
                <w:rStyle w:val="10"/>
                <w:rFonts w:hint="eastAsia"/>
              </w:rPr>
              <w:t>中毒急救措施：</w:t>
            </w:r>
            <w:r>
              <w:rPr>
                <w:rFonts w:hint="eastAsia"/>
              </w:rPr>
              <w:br w:type="textWrapping"/>
            </w:r>
            <w:r>
              <w:rPr>
                <w:rStyle w:val="11"/>
                <w:rFonts w:hint="eastAsia"/>
              </w:rPr>
              <w:t>该产品对眼睛、皮肤有刺激性，使用时避免接触眼睛、皮肤。 不慎误服：用清水将嘴清洗干净，不要自行引吐，携此标签送医诊治。医生洗胃时，应注意保护气管和食管；不慎吸入，应将病人移至空气流通处；不慎眼睛溅入或接触皮肤，应用大量清水冲洗至少15分钟。</w:t>
            </w:r>
          </w:p>
        </w:tc>
      </w:tr>
      <w:tr w14:paraId="79788DE7">
        <w:tblPrEx>
          <w:tblCellMar>
            <w:top w:w="0" w:type="dxa"/>
            <w:left w:w="0" w:type="dxa"/>
            <w:bottom w:w="0" w:type="dxa"/>
            <w:right w:w="0" w:type="dxa"/>
          </w:tblCellMar>
        </w:tblPrEx>
        <w:trPr>
          <w:wBefore w:w="0" w:type="auto"/>
          <w:tblCellSpacing w:w="0" w:type="dxa"/>
        </w:trPr>
        <w:tc>
          <w:tcPr>
            <w:tcW w:w="0" w:type="auto"/>
            <w:noWrap w:val="0"/>
            <w:vAlign w:val="center"/>
          </w:tcPr>
          <w:p w14:paraId="162258A3">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物品同贮同运。装卸时，注意轻拿轻放，禁止说笑打闹、吃、喝、抽烟；运输时要防潮防晒。</w:t>
            </w:r>
          </w:p>
        </w:tc>
      </w:tr>
      <w:tr w14:paraId="3A7AB565">
        <w:tblPrEx>
          <w:tblCellMar>
            <w:top w:w="0" w:type="dxa"/>
            <w:left w:w="0" w:type="dxa"/>
            <w:bottom w:w="0" w:type="dxa"/>
            <w:right w:w="0" w:type="dxa"/>
          </w:tblCellMar>
        </w:tblPrEx>
        <w:trPr>
          <w:wBefore w:w="0" w:type="auto"/>
          <w:tblCellSpacing w:w="0" w:type="dxa"/>
        </w:trPr>
        <w:tc>
          <w:tcPr>
            <w:tcW w:w="0" w:type="auto"/>
            <w:noWrap w:val="0"/>
            <w:vAlign w:val="center"/>
          </w:tcPr>
          <w:p w14:paraId="42E141E7">
            <w:r>
              <w:rPr>
                <w:rStyle w:val="10"/>
                <w:rFonts w:hint="eastAsia"/>
              </w:rPr>
              <w:t>质量保证期：</w:t>
            </w:r>
            <w:r>
              <w:rPr>
                <w:rStyle w:val="11"/>
                <w:rFonts w:hint="eastAsia"/>
              </w:rPr>
              <w:t>2年</w:t>
            </w:r>
          </w:p>
        </w:tc>
      </w:tr>
      <w:tr w14:paraId="3071E9CB">
        <w:tblPrEx>
          <w:tblCellMar>
            <w:top w:w="0" w:type="dxa"/>
            <w:left w:w="0" w:type="dxa"/>
            <w:bottom w:w="0" w:type="dxa"/>
            <w:right w:w="0" w:type="dxa"/>
          </w:tblCellMar>
        </w:tblPrEx>
        <w:trPr>
          <w:wBefore w:w="0" w:type="auto"/>
          <w:tblCellSpacing w:w="0" w:type="dxa"/>
        </w:trPr>
        <w:tc>
          <w:tcPr>
            <w:tcW w:w="0" w:type="auto"/>
            <w:noWrap w:val="0"/>
            <w:vAlign w:val="center"/>
          </w:tcPr>
          <w:p w14:paraId="04C93C67">
            <w:r>
              <w:rPr>
                <w:rStyle w:val="10"/>
                <w:rFonts w:hint="eastAsia"/>
              </w:rPr>
              <w:t>备注：</w:t>
            </w:r>
            <w:r>
              <w:rPr>
                <w:rFonts w:hint="eastAsia"/>
              </w:rPr>
              <w:br w:type="textWrapping"/>
            </w:r>
            <w:r>
              <w:rPr>
                <w:rStyle w:val="11"/>
                <w:rFonts w:hint="eastAsia"/>
              </w:rPr>
              <w:t>唑啉草酯50克/升。</w:t>
            </w:r>
          </w:p>
        </w:tc>
      </w:tr>
    </w:tbl>
    <w:p w14:paraId="6D7E6C6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ABE2C30">
        <w:tblPrEx>
          <w:tblCellMar>
            <w:top w:w="0" w:type="dxa"/>
            <w:left w:w="0" w:type="dxa"/>
            <w:bottom w:w="0" w:type="dxa"/>
            <w:right w:w="0" w:type="dxa"/>
          </w:tblCellMar>
        </w:tblPrEx>
        <w:trPr>
          <w:wBefore w:w="0" w:type="auto"/>
          <w:tblCellSpacing w:w="0" w:type="dxa"/>
        </w:trPr>
        <w:tc>
          <w:tcPr>
            <w:tcW w:w="0" w:type="auto"/>
            <w:noWrap w:val="0"/>
            <w:vAlign w:val="center"/>
          </w:tcPr>
          <w:p w14:paraId="1B8F4561">
            <w:r>
              <w:rPr>
                <w:rStyle w:val="10"/>
                <w:rFonts w:hint="eastAsia"/>
              </w:rPr>
              <w:t>登记证号：</w:t>
            </w:r>
            <w:r>
              <w:rPr>
                <w:rFonts w:hint="eastAsia"/>
              </w:rPr>
              <w:t>PD20212042</w:t>
            </w:r>
          </w:p>
        </w:tc>
      </w:tr>
      <w:tr w14:paraId="6A8BED22">
        <w:tblPrEx>
          <w:tblCellMar>
            <w:top w:w="0" w:type="dxa"/>
            <w:left w:w="0" w:type="dxa"/>
            <w:bottom w:w="0" w:type="dxa"/>
            <w:right w:w="0" w:type="dxa"/>
          </w:tblCellMar>
        </w:tblPrEx>
        <w:trPr>
          <w:wBefore w:w="0" w:type="auto"/>
          <w:tblCellSpacing w:w="0" w:type="dxa"/>
        </w:trPr>
        <w:tc>
          <w:tcPr>
            <w:tcW w:w="0" w:type="auto"/>
            <w:noWrap w:val="0"/>
            <w:vAlign w:val="center"/>
          </w:tcPr>
          <w:p w14:paraId="5AA9E88B">
            <w:r>
              <w:rPr>
                <w:rStyle w:val="10"/>
                <w:rFonts w:hint="eastAsia"/>
              </w:rPr>
              <w:t>登记证持有人：</w:t>
            </w:r>
            <w:r>
              <w:rPr>
                <w:rFonts w:hint="eastAsia"/>
              </w:rPr>
              <w:t>陕西汤普森生物科技有限公司</w:t>
            </w:r>
          </w:p>
        </w:tc>
      </w:tr>
      <w:tr w14:paraId="21F5703C">
        <w:tblPrEx>
          <w:tblCellMar>
            <w:top w:w="0" w:type="dxa"/>
            <w:left w:w="0" w:type="dxa"/>
            <w:bottom w:w="0" w:type="dxa"/>
            <w:right w:w="0" w:type="dxa"/>
          </w:tblCellMar>
        </w:tblPrEx>
        <w:trPr>
          <w:wBefore w:w="0" w:type="auto"/>
          <w:tblCellSpacing w:w="0" w:type="dxa"/>
        </w:trPr>
        <w:tc>
          <w:tcPr>
            <w:tcW w:w="0" w:type="auto"/>
            <w:noWrap w:val="0"/>
            <w:vAlign w:val="center"/>
          </w:tcPr>
          <w:p w14:paraId="1DF30045">
            <w:r>
              <w:rPr>
                <w:rStyle w:val="10"/>
                <w:rFonts w:hint="eastAsia"/>
              </w:rPr>
              <w:t>农药名称：</w:t>
            </w:r>
            <w:r>
              <w:rPr>
                <w:rFonts w:hint="eastAsia"/>
              </w:rPr>
              <w:t>24-表芸·赤霉酸</w:t>
            </w:r>
          </w:p>
        </w:tc>
      </w:tr>
      <w:tr w14:paraId="6B53D9B5">
        <w:tblPrEx>
          <w:tblCellMar>
            <w:top w:w="0" w:type="dxa"/>
            <w:left w:w="0" w:type="dxa"/>
            <w:bottom w:w="0" w:type="dxa"/>
            <w:right w:w="0" w:type="dxa"/>
          </w:tblCellMar>
        </w:tblPrEx>
        <w:trPr>
          <w:wBefore w:w="0" w:type="auto"/>
          <w:tblCellSpacing w:w="0" w:type="dxa"/>
        </w:trPr>
        <w:tc>
          <w:tcPr>
            <w:tcW w:w="0" w:type="auto"/>
            <w:noWrap w:val="0"/>
            <w:vAlign w:val="center"/>
          </w:tcPr>
          <w:p w14:paraId="749E49C8">
            <w:r>
              <w:rPr>
                <w:rStyle w:val="10"/>
                <w:rFonts w:hint="eastAsia"/>
              </w:rPr>
              <w:t>剂型：</w:t>
            </w:r>
            <w:r>
              <w:rPr>
                <w:rFonts w:hint="eastAsia"/>
              </w:rPr>
              <w:t>水分散粒剂</w:t>
            </w:r>
          </w:p>
        </w:tc>
      </w:tr>
      <w:tr w14:paraId="666B766B">
        <w:tblPrEx>
          <w:tblCellMar>
            <w:top w:w="0" w:type="dxa"/>
            <w:left w:w="0" w:type="dxa"/>
            <w:bottom w:w="0" w:type="dxa"/>
            <w:right w:w="0" w:type="dxa"/>
          </w:tblCellMar>
        </w:tblPrEx>
        <w:trPr>
          <w:wBefore w:w="0" w:type="auto"/>
          <w:tblCellSpacing w:w="0" w:type="dxa"/>
        </w:trPr>
        <w:tc>
          <w:tcPr>
            <w:tcW w:w="0" w:type="auto"/>
            <w:noWrap w:val="0"/>
            <w:vAlign w:val="center"/>
          </w:tcPr>
          <w:p w14:paraId="75A823ED">
            <w:r>
              <w:rPr>
                <w:rStyle w:val="10"/>
                <w:rFonts w:hint="eastAsia"/>
              </w:rPr>
              <w:t>毒性及其标识：</w:t>
            </w:r>
            <w:r>
              <w:rPr>
                <w:rFonts w:hint="eastAsia"/>
              </w:rPr>
              <w:t xml:space="preserve"> </w:t>
            </w:r>
            <w:r>
              <w:rPr>
                <w:lang/>
              </w:rPr>
              <w:drawing>
                <wp:inline distT="0" distB="0" distL="114300" distR="114300">
                  <wp:extent cx="476250" cy="323850"/>
                  <wp:effectExtent l="0" t="0" r="0" b="0"/>
                  <wp:docPr id="284" name="图片 28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35D9540">
        <w:tblPrEx>
          <w:tblCellMar>
            <w:top w:w="0" w:type="dxa"/>
            <w:left w:w="0" w:type="dxa"/>
            <w:bottom w:w="0" w:type="dxa"/>
            <w:right w:w="0" w:type="dxa"/>
          </w:tblCellMar>
        </w:tblPrEx>
        <w:trPr>
          <w:wBefore w:w="0" w:type="auto"/>
          <w:tblCellSpacing w:w="0" w:type="dxa"/>
        </w:trPr>
        <w:tc>
          <w:tcPr>
            <w:tcW w:w="0" w:type="auto"/>
            <w:noWrap w:val="0"/>
            <w:vAlign w:val="center"/>
          </w:tcPr>
          <w:p w14:paraId="38A13C5E">
            <w:r>
              <w:rPr>
                <w:rStyle w:val="10"/>
                <w:rFonts w:hint="eastAsia"/>
              </w:rPr>
              <w:t>总有效成分含量：</w:t>
            </w:r>
            <w:r>
              <w:rPr>
                <w:rFonts w:hint="eastAsia"/>
              </w:rPr>
              <w:t>1.51%</w:t>
            </w:r>
          </w:p>
        </w:tc>
      </w:tr>
      <w:tr w14:paraId="4E331441">
        <w:tblPrEx>
          <w:tblCellMar>
            <w:top w:w="0" w:type="dxa"/>
            <w:left w:w="0" w:type="dxa"/>
            <w:bottom w:w="0" w:type="dxa"/>
            <w:right w:w="0" w:type="dxa"/>
          </w:tblCellMar>
        </w:tblPrEx>
        <w:trPr>
          <w:wBefore w:w="0" w:type="auto"/>
          <w:tblCellSpacing w:w="0" w:type="dxa"/>
        </w:trPr>
        <w:tc>
          <w:tcPr>
            <w:tcW w:w="0" w:type="auto"/>
            <w:noWrap w:val="0"/>
            <w:vAlign w:val="center"/>
          </w:tcPr>
          <w:p w14:paraId="3CC840D1">
            <w:r>
              <w:rPr>
                <w:rFonts w:hint="eastAsia"/>
              </w:rPr>
              <w:t xml:space="preserve">有效成分及其含量： </w:t>
            </w:r>
          </w:p>
          <w:p w14:paraId="2E20C161">
            <w:r>
              <w:rPr>
                <w:rFonts w:hint="eastAsia"/>
              </w:rPr>
              <w:t xml:space="preserve">    24-表芸苔素内酯0.01%    赤霉酸A4+A71.5%    </w:t>
            </w:r>
          </w:p>
        </w:tc>
      </w:tr>
      <w:tr w14:paraId="38ECD83C">
        <w:tblPrEx>
          <w:tblCellMar>
            <w:top w:w="0" w:type="dxa"/>
            <w:left w:w="0" w:type="dxa"/>
            <w:bottom w:w="0" w:type="dxa"/>
            <w:right w:w="0" w:type="dxa"/>
          </w:tblCellMar>
        </w:tblPrEx>
        <w:trPr>
          <w:wBefore w:w="0" w:type="auto"/>
          <w:tblCellSpacing w:w="0" w:type="dxa"/>
        </w:trPr>
        <w:tc>
          <w:tcPr>
            <w:tcW w:w="0" w:type="auto"/>
            <w:noWrap w:val="0"/>
            <w:vAlign w:val="center"/>
          </w:tcPr>
          <w:p w14:paraId="2802FA3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E1171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6EAA8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189084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5C890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F26EFA4">
                  <w:r>
                    <w:rPr>
                      <w:rStyle w:val="11"/>
                      <w:rFonts w:hint="eastAsia"/>
                    </w:rPr>
                    <w:t>施用方式</w:t>
                  </w:r>
                </w:p>
              </w:tc>
            </w:tr>
            <w:tr w14:paraId="6992BF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E423E7">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089962">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59740C">
                  <w:r>
                    <w:rPr>
                      <w:rStyle w:val="11"/>
                      <w:rFonts w:hint="eastAsia"/>
                    </w:rPr>
                    <w:t>5500-6500倍液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932422">
                  <w:r>
                    <w:rPr>
                      <w:rStyle w:val="11"/>
                      <w:rFonts w:hint="eastAsia"/>
                    </w:rPr>
                    <w:t>喷雾</w:t>
                  </w:r>
                </w:p>
              </w:tc>
            </w:tr>
          </w:tbl>
          <w:p w14:paraId="0E0F3439">
            <w:pPr>
              <w:rPr>
                <w:rFonts w:ascii="Times New Roman" w:hAnsi="Times New Roman" w:cs="Times New Roman"/>
                <w:sz w:val="20"/>
                <w:szCs w:val="20"/>
              </w:rPr>
            </w:pPr>
          </w:p>
        </w:tc>
      </w:tr>
      <w:tr w14:paraId="01039527">
        <w:tblPrEx>
          <w:tblCellMar>
            <w:top w:w="0" w:type="dxa"/>
            <w:left w:w="0" w:type="dxa"/>
            <w:bottom w:w="0" w:type="dxa"/>
            <w:right w:w="0" w:type="dxa"/>
          </w:tblCellMar>
        </w:tblPrEx>
        <w:trPr>
          <w:wBefore w:w="0" w:type="auto"/>
          <w:tblCellSpacing w:w="0" w:type="dxa"/>
        </w:trPr>
        <w:tc>
          <w:tcPr>
            <w:tcW w:w="0" w:type="auto"/>
            <w:noWrap w:val="0"/>
            <w:vAlign w:val="center"/>
          </w:tcPr>
          <w:p w14:paraId="055195C6">
            <w:r>
              <w:rPr>
                <w:rStyle w:val="10"/>
                <w:rFonts w:hint="eastAsia"/>
              </w:rPr>
              <w:t>使用技术要求:</w:t>
            </w:r>
            <w:r>
              <w:rPr>
                <w:rFonts w:hint="eastAsia"/>
              </w:rPr>
              <w:br w:type="textWrapping"/>
            </w:r>
            <w:r>
              <w:rPr>
                <w:rStyle w:val="11"/>
                <w:rFonts w:hint="eastAsia"/>
              </w:rPr>
              <w:t>1.于苹果树花期、幼果期、果实膨大期各施药1次，共施药3次，常规喷雾。注意事项：喷雾均匀周到，确保防效。2.大风天或预计1小时内降雨，请勿施药。3.本产品在苹果树上每季最多使用3次。；。</w:t>
            </w:r>
          </w:p>
        </w:tc>
      </w:tr>
      <w:tr w14:paraId="58F510EE">
        <w:tblPrEx>
          <w:tblCellMar>
            <w:top w:w="0" w:type="dxa"/>
            <w:left w:w="0" w:type="dxa"/>
            <w:bottom w:w="0" w:type="dxa"/>
            <w:right w:w="0" w:type="dxa"/>
          </w:tblCellMar>
        </w:tblPrEx>
        <w:trPr>
          <w:wBefore w:w="0" w:type="auto"/>
          <w:tblCellSpacing w:w="0" w:type="dxa"/>
        </w:trPr>
        <w:tc>
          <w:tcPr>
            <w:tcW w:w="0" w:type="auto"/>
            <w:noWrap w:val="0"/>
            <w:vAlign w:val="center"/>
          </w:tcPr>
          <w:p w14:paraId="5AD57C7A">
            <w:r>
              <w:rPr>
                <w:rStyle w:val="10"/>
                <w:rFonts w:hint="eastAsia"/>
              </w:rPr>
              <w:t>产品性能:</w:t>
            </w:r>
            <w:r>
              <w:rPr>
                <w:rFonts w:hint="eastAsia"/>
              </w:rPr>
              <w:br w:type="textWrapping"/>
            </w:r>
            <w:r>
              <w:rPr>
                <w:rStyle w:val="11"/>
                <w:rFonts w:hint="eastAsia"/>
              </w:rPr>
              <w:t>本品是一种由芸苔素内酯与赤霉酸A4+A7混配而成的植物生长调节剂，具有促进作物生长，增加营养体收获量；促进细胞、茎伸长，叶片扩大，果实生长，减少花果的脱落等作用。是农业生产中应用较广的植物生长调节剂，苹果上使用可以促进细胞伸长和扩大，具有一定的增产作用。</w:t>
            </w:r>
          </w:p>
        </w:tc>
      </w:tr>
      <w:tr w14:paraId="5E12B9D1">
        <w:tblPrEx>
          <w:tblCellMar>
            <w:top w:w="0" w:type="dxa"/>
            <w:left w:w="0" w:type="dxa"/>
            <w:bottom w:w="0" w:type="dxa"/>
            <w:right w:w="0" w:type="dxa"/>
          </w:tblCellMar>
        </w:tblPrEx>
        <w:trPr>
          <w:wBefore w:w="0" w:type="auto"/>
          <w:tblCellSpacing w:w="0" w:type="dxa"/>
        </w:trPr>
        <w:tc>
          <w:tcPr>
            <w:tcW w:w="0" w:type="auto"/>
            <w:noWrap w:val="0"/>
            <w:vAlign w:val="center"/>
          </w:tcPr>
          <w:p w14:paraId="2652C3ED">
            <w:r>
              <w:rPr>
                <w:rStyle w:val="10"/>
                <w:rFonts w:hint="eastAsia"/>
              </w:rPr>
              <w:t>注意事项：</w:t>
            </w:r>
            <w:r>
              <w:rPr>
                <w:rFonts w:hint="eastAsia"/>
              </w:rPr>
              <w:br w:type="textWrapping"/>
            </w:r>
            <w:r>
              <w:rPr>
                <w:rStyle w:val="11"/>
                <w:rFonts w:hint="eastAsia"/>
              </w:rPr>
              <w:t>（1）严格按规定用药量和方法使用。 （2）本品对鸟有毒，鸟类保护区附近禁用，禁止在河塘等水体中清洗施药器具。 （3）对眼睛有中度刺激性，使用时穿戴长衣长裤、帽子、口罩、手套、鞋等安全防护措施。施药期间不可吃东西、饮水、吸烟等；施药后应及时洗手、洗脸并洗涤施药时穿着的衣物。？ （4）用药后包装物及用过的容器应妥善处理，不可做他用，也不可随意丢弃。 （5）孕妇及哺乳期妇女禁止接触本品。</w:t>
            </w:r>
          </w:p>
        </w:tc>
      </w:tr>
      <w:tr w14:paraId="32530BDD">
        <w:tblPrEx>
          <w:tblCellMar>
            <w:top w:w="0" w:type="dxa"/>
            <w:left w:w="0" w:type="dxa"/>
            <w:bottom w:w="0" w:type="dxa"/>
            <w:right w:w="0" w:type="dxa"/>
          </w:tblCellMar>
        </w:tblPrEx>
        <w:trPr>
          <w:wBefore w:w="0" w:type="auto"/>
          <w:tblCellSpacing w:w="0" w:type="dxa"/>
        </w:trPr>
        <w:tc>
          <w:tcPr>
            <w:tcW w:w="0" w:type="auto"/>
            <w:noWrap w:val="0"/>
            <w:vAlign w:val="center"/>
          </w:tcPr>
          <w:p w14:paraId="33B46C4E">
            <w:r>
              <w:rPr>
                <w:rStyle w:val="10"/>
                <w:rFonts w:hint="eastAsia"/>
              </w:rPr>
              <w:t>中毒急救措施：</w:t>
            </w:r>
            <w:r>
              <w:rPr>
                <w:rFonts w:hint="eastAsia"/>
              </w:rPr>
              <w:br w:type="textWrapping"/>
            </w:r>
            <w:r>
              <w:rPr>
                <w:rStyle w:val="11"/>
                <w:rFonts w:hint="eastAsia"/>
              </w:rPr>
              <w:t>该产品对眼睛有刺激性，使用时避免接触眼睛。 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39797F93">
        <w:tblPrEx>
          <w:tblCellMar>
            <w:top w:w="0" w:type="dxa"/>
            <w:left w:w="0" w:type="dxa"/>
            <w:bottom w:w="0" w:type="dxa"/>
            <w:right w:w="0" w:type="dxa"/>
          </w:tblCellMar>
        </w:tblPrEx>
        <w:trPr>
          <w:wBefore w:w="0" w:type="auto"/>
          <w:tblCellSpacing w:w="0" w:type="dxa"/>
        </w:trPr>
        <w:tc>
          <w:tcPr>
            <w:tcW w:w="0" w:type="auto"/>
            <w:noWrap w:val="0"/>
            <w:vAlign w:val="center"/>
          </w:tcPr>
          <w:p w14:paraId="40A61937">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52034594">
        <w:tblPrEx>
          <w:tblCellMar>
            <w:top w:w="0" w:type="dxa"/>
            <w:left w:w="0" w:type="dxa"/>
            <w:bottom w:w="0" w:type="dxa"/>
            <w:right w:w="0" w:type="dxa"/>
          </w:tblCellMar>
        </w:tblPrEx>
        <w:trPr>
          <w:wBefore w:w="0" w:type="auto"/>
          <w:tblCellSpacing w:w="0" w:type="dxa"/>
        </w:trPr>
        <w:tc>
          <w:tcPr>
            <w:tcW w:w="0" w:type="auto"/>
            <w:noWrap w:val="0"/>
            <w:vAlign w:val="center"/>
          </w:tcPr>
          <w:p w14:paraId="185A68BF">
            <w:r>
              <w:rPr>
                <w:rStyle w:val="10"/>
                <w:rFonts w:hint="eastAsia"/>
              </w:rPr>
              <w:t>质量保证期：</w:t>
            </w:r>
            <w:r>
              <w:rPr>
                <w:rStyle w:val="11"/>
                <w:rFonts w:hint="eastAsia"/>
              </w:rPr>
              <w:t>2年</w:t>
            </w:r>
          </w:p>
        </w:tc>
      </w:tr>
      <w:tr w14:paraId="5483EBA7">
        <w:tblPrEx>
          <w:tblCellMar>
            <w:top w:w="0" w:type="dxa"/>
            <w:left w:w="0" w:type="dxa"/>
            <w:bottom w:w="0" w:type="dxa"/>
            <w:right w:w="0" w:type="dxa"/>
          </w:tblCellMar>
        </w:tblPrEx>
        <w:trPr>
          <w:wBefore w:w="0" w:type="auto"/>
          <w:tblCellSpacing w:w="0" w:type="dxa"/>
        </w:trPr>
        <w:tc>
          <w:tcPr>
            <w:tcW w:w="0" w:type="auto"/>
            <w:noWrap w:val="0"/>
            <w:vAlign w:val="center"/>
          </w:tcPr>
          <w:p w14:paraId="0F696922">
            <w:r>
              <w:rPr>
                <w:rStyle w:val="10"/>
                <w:rFonts w:hint="eastAsia"/>
              </w:rPr>
              <w:t>备注：</w:t>
            </w:r>
          </w:p>
        </w:tc>
      </w:tr>
    </w:tbl>
    <w:p w14:paraId="319F9A0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10276E">
        <w:tblPrEx>
          <w:tblCellMar>
            <w:top w:w="0" w:type="dxa"/>
            <w:left w:w="0" w:type="dxa"/>
            <w:bottom w:w="0" w:type="dxa"/>
            <w:right w:w="0" w:type="dxa"/>
          </w:tblCellMar>
        </w:tblPrEx>
        <w:trPr>
          <w:wBefore w:w="0" w:type="auto"/>
          <w:tblCellSpacing w:w="0" w:type="dxa"/>
        </w:trPr>
        <w:tc>
          <w:tcPr>
            <w:tcW w:w="0" w:type="auto"/>
            <w:noWrap w:val="0"/>
            <w:vAlign w:val="center"/>
          </w:tcPr>
          <w:p w14:paraId="4BE54E8F">
            <w:r>
              <w:rPr>
                <w:rStyle w:val="10"/>
                <w:rFonts w:hint="eastAsia"/>
              </w:rPr>
              <w:t>登记证号：</w:t>
            </w:r>
            <w:r>
              <w:rPr>
                <w:rFonts w:hint="eastAsia"/>
              </w:rPr>
              <w:t>PD20212274</w:t>
            </w:r>
          </w:p>
        </w:tc>
      </w:tr>
      <w:tr w14:paraId="78BDF440">
        <w:tblPrEx>
          <w:tblCellMar>
            <w:top w:w="0" w:type="dxa"/>
            <w:left w:w="0" w:type="dxa"/>
            <w:bottom w:w="0" w:type="dxa"/>
            <w:right w:w="0" w:type="dxa"/>
          </w:tblCellMar>
        </w:tblPrEx>
        <w:trPr>
          <w:wBefore w:w="0" w:type="auto"/>
          <w:tblCellSpacing w:w="0" w:type="dxa"/>
        </w:trPr>
        <w:tc>
          <w:tcPr>
            <w:tcW w:w="0" w:type="auto"/>
            <w:noWrap w:val="0"/>
            <w:vAlign w:val="center"/>
          </w:tcPr>
          <w:p w14:paraId="40C05E6B">
            <w:r>
              <w:rPr>
                <w:rStyle w:val="10"/>
                <w:rFonts w:hint="eastAsia"/>
              </w:rPr>
              <w:t>登记证持有人：</w:t>
            </w:r>
            <w:r>
              <w:rPr>
                <w:rFonts w:hint="eastAsia"/>
              </w:rPr>
              <w:t>四川沃野农化有限公司</w:t>
            </w:r>
          </w:p>
        </w:tc>
      </w:tr>
      <w:tr w14:paraId="3F04690C">
        <w:tblPrEx>
          <w:tblCellMar>
            <w:top w:w="0" w:type="dxa"/>
            <w:left w:w="0" w:type="dxa"/>
            <w:bottom w:w="0" w:type="dxa"/>
            <w:right w:w="0" w:type="dxa"/>
          </w:tblCellMar>
        </w:tblPrEx>
        <w:trPr>
          <w:wBefore w:w="0" w:type="auto"/>
          <w:tblCellSpacing w:w="0" w:type="dxa"/>
        </w:trPr>
        <w:tc>
          <w:tcPr>
            <w:tcW w:w="0" w:type="auto"/>
            <w:noWrap w:val="0"/>
            <w:vAlign w:val="center"/>
          </w:tcPr>
          <w:p w14:paraId="7FA01187">
            <w:r>
              <w:rPr>
                <w:rStyle w:val="10"/>
                <w:rFonts w:hint="eastAsia"/>
              </w:rPr>
              <w:t>农药名称：</w:t>
            </w:r>
            <w:r>
              <w:rPr>
                <w:rFonts w:hint="eastAsia"/>
              </w:rPr>
              <w:t>噁唑酰草胺</w:t>
            </w:r>
          </w:p>
        </w:tc>
      </w:tr>
      <w:tr w14:paraId="2F0F82AF">
        <w:tblPrEx>
          <w:tblCellMar>
            <w:top w:w="0" w:type="dxa"/>
            <w:left w:w="0" w:type="dxa"/>
            <w:bottom w:w="0" w:type="dxa"/>
            <w:right w:w="0" w:type="dxa"/>
          </w:tblCellMar>
        </w:tblPrEx>
        <w:trPr>
          <w:wBefore w:w="0" w:type="auto"/>
          <w:tblCellSpacing w:w="0" w:type="dxa"/>
        </w:trPr>
        <w:tc>
          <w:tcPr>
            <w:tcW w:w="0" w:type="auto"/>
            <w:noWrap w:val="0"/>
            <w:vAlign w:val="center"/>
          </w:tcPr>
          <w:p w14:paraId="79E83389">
            <w:r>
              <w:rPr>
                <w:rStyle w:val="10"/>
                <w:rFonts w:hint="eastAsia"/>
              </w:rPr>
              <w:t>剂型：</w:t>
            </w:r>
            <w:r>
              <w:rPr>
                <w:rFonts w:hint="eastAsia"/>
              </w:rPr>
              <w:t>乳油</w:t>
            </w:r>
          </w:p>
        </w:tc>
      </w:tr>
      <w:tr w14:paraId="2F7D39E3">
        <w:tblPrEx>
          <w:tblCellMar>
            <w:top w:w="0" w:type="dxa"/>
            <w:left w:w="0" w:type="dxa"/>
            <w:bottom w:w="0" w:type="dxa"/>
            <w:right w:w="0" w:type="dxa"/>
          </w:tblCellMar>
        </w:tblPrEx>
        <w:trPr>
          <w:wBefore w:w="0" w:type="auto"/>
          <w:tblCellSpacing w:w="0" w:type="dxa"/>
        </w:trPr>
        <w:tc>
          <w:tcPr>
            <w:tcW w:w="0" w:type="auto"/>
            <w:noWrap w:val="0"/>
            <w:vAlign w:val="center"/>
          </w:tcPr>
          <w:p w14:paraId="2E628176">
            <w:r>
              <w:rPr>
                <w:rStyle w:val="10"/>
                <w:rFonts w:hint="eastAsia"/>
              </w:rPr>
              <w:t>毒性及其标识：</w:t>
            </w:r>
            <w:r>
              <w:rPr>
                <w:rFonts w:hint="eastAsia"/>
              </w:rPr>
              <w:t xml:space="preserve"> </w:t>
            </w:r>
            <w:r>
              <w:rPr>
                <w:lang/>
              </w:rPr>
              <w:drawing>
                <wp:inline distT="0" distB="0" distL="114300" distR="114300">
                  <wp:extent cx="476250" cy="323850"/>
                  <wp:effectExtent l="0" t="0" r="0" b="0"/>
                  <wp:docPr id="285" name="图片 28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188F643">
        <w:tblPrEx>
          <w:tblCellMar>
            <w:top w:w="0" w:type="dxa"/>
            <w:left w:w="0" w:type="dxa"/>
            <w:bottom w:w="0" w:type="dxa"/>
            <w:right w:w="0" w:type="dxa"/>
          </w:tblCellMar>
        </w:tblPrEx>
        <w:trPr>
          <w:wBefore w:w="0" w:type="auto"/>
          <w:tblCellSpacing w:w="0" w:type="dxa"/>
        </w:trPr>
        <w:tc>
          <w:tcPr>
            <w:tcW w:w="0" w:type="auto"/>
            <w:noWrap w:val="0"/>
            <w:vAlign w:val="center"/>
          </w:tcPr>
          <w:p w14:paraId="5D75AD21">
            <w:r>
              <w:rPr>
                <w:rStyle w:val="10"/>
                <w:rFonts w:hint="eastAsia"/>
              </w:rPr>
              <w:t>总有效成分含量：</w:t>
            </w:r>
            <w:r>
              <w:rPr>
                <w:rFonts w:hint="eastAsia"/>
              </w:rPr>
              <w:t>20%</w:t>
            </w:r>
          </w:p>
        </w:tc>
      </w:tr>
      <w:tr w14:paraId="28A8651F">
        <w:tblPrEx>
          <w:tblCellMar>
            <w:top w:w="0" w:type="dxa"/>
            <w:left w:w="0" w:type="dxa"/>
            <w:bottom w:w="0" w:type="dxa"/>
            <w:right w:w="0" w:type="dxa"/>
          </w:tblCellMar>
        </w:tblPrEx>
        <w:trPr>
          <w:wBefore w:w="0" w:type="auto"/>
          <w:tblCellSpacing w:w="0" w:type="dxa"/>
        </w:trPr>
        <w:tc>
          <w:tcPr>
            <w:tcW w:w="0" w:type="auto"/>
            <w:noWrap w:val="0"/>
            <w:vAlign w:val="center"/>
          </w:tcPr>
          <w:p w14:paraId="6702EFA1">
            <w:r>
              <w:rPr>
                <w:rFonts w:hint="eastAsia"/>
              </w:rPr>
              <w:t xml:space="preserve">有效成分及其含量： </w:t>
            </w:r>
          </w:p>
          <w:p w14:paraId="765F1977">
            <w:r>
              <w:rPr>
                <w:rFonts w:hint="eastAsia"/>
              </w:rPr>
              <w:t xml:space="preserve">    噁唑酰草胺20%    </w:t>
            </w:r>
          </w:p>
        </w:tc>
      </w:tr>
      <w:tr w14:paraId="58F19574">
        <w:tblPrEx>
          <w:tblCellMar>
            <w:top w:w="0" w:type="dxa"/>
            <w:left w:w="0" w:type="dxa"/>
            <w:bottom w:w="0" w:type="dxa"/>
            <w:right w:w="0" w:type="dxa"/>
          </w:tblCellMar>
        </w:tblPrEx>
        <w:trPr>
          <w:wBefore w:w="0" w:type="auto"/>
          <w:tblCellSpacing w:w="0" w:type="dxa"/>
        </w:trPr>
        <w:tc>
          <w:tcPr>
            <w:tcW w:w="0" w:type="auto"/>
            <w:noWrap w:val="0"/>
            <w:vAlign w:val="center"/>
          </w:tcPr>
          <w:p w14:paraId="61AD5B5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2D783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C12122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132C7B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51EE90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540FD91">
                  <w:r>
                    <w:rPr>
                      <w:rStyle w:val="11"/>
                      <w:rFonts w:hint="eastAsia"/>
                    </w:rPr>
                    <w:t>施用方式</w:t>
                  </w:r>
                </w:p>
              </w:tc>
            </w:tr>
            <w:tr w14:paraId="1CCC31D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7B1E398">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8E58E1">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20CA8B">
                  <w:r>
                    <w:rPr>
                      <w:rStyle w:val="11"/>
                      <w:rFonts w:hint="eastAsia"/>
                    </w:rPr>
                    <w:t>30-45毫升/亩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82EB5F">
                  <w:r>
                    <w:rPr>
                      <w:rStyle w:val="11"/>
                      <w:rFonts w:hint="eastAsia"/>
                    </w:rPr>
                    <w:t>茎叶喷雾</w:t>
                  </w:r>
                </w:p>
              </w:tc>
            </w:tr>
          </w:tbl>
          <w:p w14:paraId="379F0D7E">
            <w:pPr>
              <w:rPr>
                <w:rFonts w:ascii="Times New Roman" w:hAnsi="Times New Roman" w:cs="Times New Roman"/>
                <w:sz w:val="20"/>
                <w:szCs w:val="20"/>
              </w:rPr>
            </w:pPr>
          </w:p>
        </w:tc>
      </w:tr>
      <w:tr w14:paraId="31BCF9B1">
        <w:tblPrEx>
          <w:tblCellMar>
            <w:top w:w="0" w:type="dxa"/>
            <w:left w:w="0" w:type="dxa"/>
            <w:bottom w:w="0" w:type="dxa"/>
            <w:right w:w="0" w:type="dxa"/>
          </w:tblCellMar>
        </w:tblPrEx>
        <w:trPr>
          <w:wBefore w:w="0" w:type="auto"/>
          <w:tblCellSpacing w:w="0" w:type="dxa"/>
        </w:trPr>
        <w:tc>
          <w:tcPr>
            <w:tcW w:w="0" w:type="auto"/>
            <w:noWrap w:val="0"/>
            <w:vAlign w:val="center"/>
          </w:tcPr>
          <w:p w14:paraId="4D390F99">
            <w:r>
              <w:rPr>
                <w:rStyle w:val="10"/>
                <w:rFonts w:hint="eastAsia"/>
              </w:rPr>
              <w:t>使用技术要求:</w:t>
            </w:r>
            <w:r>
              <w:rPr>
                <w:rFonts w:hint="eastAsia"/>
              </w:rPr>
              <w:br w:type="textWrapping"/>
            </w:r>
            <w:r>
              <w:rPr>
                <w:rStyle w:val="11"/>
                <w:rFonts w:hint="eastAsia"/>
              </w:rPr>
              <w:t>1、在直播稻田杂草2-5叶期，施药前排田水，以推荐剂量兑水均匀茎叶喷雾施药一次，药后1-2天灌水回田，保浅水层5-7天，水层勿淹没水稻心叶。2、大风天或预计1小时内有雨，请勿施药。 3、安全间隔期为收获期，每季作物最多施药1次。</w:t>
            </w:r>
          </w:p>
        </w:tc>
      </w:tr>
      <w:tr w14:paraId="557298A6">
        <w:tblPrEx>
          <w:tblCellMar>
            <w:top w:w="0" w:type="dxa"/>
            <w:left w:w="0" w:type="dxa"/>
            <w:bottom w:w="0" w:type="dxa"/>
            <w:right w:w="0" w:type="dxa"/>
          </w:tblCellMar>
        </w:tblPrEx>
        <w:trPr>
          <w:wBefore w:w="0" w:type="auto"/>
          <w:tblCellSpacing w:w="0" w:type="dxa"/>
        </w:trPr>
        <w:tc>
          <w:tcPr>
            <w:tcW w:w="0" w:type="auto"/>
            <w:noWrap w:val="0"/>
            <w:vAlign w:val="center"/>
          </w:tcPr>
          <w:p w14:paraId="2A359346">
            <w:r>
              <w:rPr>
                <w:rStyle w:val="10"/>
                <w:rFonts w:hint="eastAsia"/>
              </w:rPr>
              <w:t>产品性能:</w:t>
            </w:r>
            <w:r>
              <w:rPr>
                <w:rFonts w:hint="eastAsia"/>
              </w:rPr>
              <w:br w:type="textWrapping"/>
            </w:r>
            <w:r>
              <w:rPr>
                <w:rStyle w:val="11"/>
                <w:rFonts w:hint="eastAsia"/>
              </w:rPr>
              <w:t>本品是芳氧苯氧丙酸类内吸传导型除草剂，其作用机制为乙酰辅酶A羧化酶（ACCase）抑制剂，能抑制植物脂肪酸的合成。本品经茎叶吸收，通过维管束传导至生长点，达到除草效果。用于水稻田茎叶处理防除稗草、千金子等多种禾本科杂草。</w:t>
            </w:r>
          </w:p>
        </w:tc>
      </w:tr>
      <w:tr w14:paraId="0C2C3681">
        <w:tblPrEx>
          <w:tblCellMar>
            <w:top w:w="0" w:type="dxa"/>
            <w:left w:w="0" w:type="dxa"/>
            <w:bottom w:w="0" w:type="dxa"/>
            <w:right w:w="0" w:type="dxa"/>
          </w:tblCellMar>
        </w:tblPrEx>
        <w:trPr>
          <w:wBefore w:w="0" w:type="auto"/>
          <w:tblCellSpacing w:w="0" w:type="dxa"/>
        </w:trPr>
        <w:tc>
          <w:tcPr>
            <w:tcW w:w="0" w:type="auto"/>
            <w:noWrap w:val="0"/>
            <w:vAlign w:val="center"/>
          </w:tcPr>
          <w:p w14:paraId="5C1D32BF">
            <w:r>
              <w:rPr>
                <w:rStyle w:val="10"/>
                <w:rFonts w:hint="eastAsia"/>
              </w:rPr>
              <w:t>注意事项：</w:t>
            </w:r>
            <w:r>
              <w:rPr>
                <w:rFonts w:hint="eastAsia"/>
              </w:rPr>
              <w:br w:type="textWrapping"/>
            </w:r>
            <w:r>
              <w:rPr>
                <w:rStyle w:val="11"/>
                <w:rFonts w:hint="eastAsia"/>
              </w:rPr>
              <w:t>1、使用时应穿（戴）长衣、长裤、帽子、口罩、手套、鞋子等安全防护措施，避免吸入药液；施药期间不可吃东西、饮水、吸烟等；施药后应及时洗手、洗脸并洗涤施药时穿着的衣物。2、水产养殖区、河塘等水体附近禁用，禁止在河塘等水域清洗施药器具；鱼或虾蟹套养稻田禁用，施药后的田水不得直接排入水体。3、勿淹没水稻心叶，避免药害。4、施药时防止药液飘移到邻近作物，以免产生药害。5、用过的容器要妥善处理，不可作他用，也不可随意丢弃。 6、孕妇及哺乳期妇女禁止接触本品。</w:t>
            </w:r>
          </w:p>
        </w:tc>
      </w:tr>
      <w:tr w14:paraId="41584848">
        <w:tblPrEx>
          <w:tblCellMar>
            <w:top w:w="0" w:type="dxa"/>
            <w:left w:w="0" w:type="dxa"/>
            <w:bottom w:w="0" w:type="dxa"/>
            <w:right w:w="0" w:type="dxa"/>
          </w:tblCellMar>
        </w:tblPrEx>
        <w:trPr>
          <w:wBefore w:w="0" w:type="auto"/>
          <w:tblCellSpacing w:w="0" w:type="dxa"/>
        </w:trPr>
        <w:tc>
          <w:tcPr>
            <w:tcW w:w="0" w:type="auto"/>
            <w:noWrap w:val="0"/>
            <w:vAlign w:val="center"/>
          </w:tcPr>
          <w:p w14:paraId="3738D1C0">
            <w:r>
              <w:rPr>
                <w:rStyle w:val="10"/>
                <w:rFonts w:hint="eastAsia"/>
              </w:rPr>
              <w:t>中毒急救措施：</w:t>
            </w:r>
            <w:r>
              <w:rPr>
                <w:rFonts w:hint="eastAsia"/>
              </w:rPr>
              <w:br w:type="textWrapping"/>
            </w:r>
            <w:r>
              <w:rPr>
                <w:rStyle w:val="11"/>
                <w:rFonts w:hint="eastAsia"/>
              </w:rPr>
              <w:t>使用中或使用后若感觉不适，应立即停止工作，采取急救措施。本品对眼睛和皮肤有刺激性，如不慎接触皮肤或溅入眼内，立即用大量清水冲洗至少15分钟。不慎吸入将病人移至空气清新处，误食应立即携带此标签送医院对症治疗。</w:t>
            </w:r>
          </w:p>
        </w:tc>
      </w:tr>
      <w:tr w14:paraId="661E5E41">
        <w:tblPrEx>
          <w:tblCellMar>
            <w:top w:w="0" w:type="dxa"/>
            <w:left w:w="0" w:type="dxa"/>
            <w:bottom w:w="0" w:type="dxa"/>
            <w:right w:w="0" w:type="dxa"/>
          </w:tblCellMar>
        </w:tblPrEx>
        <w:trPr>
          <w:wBefore w:w="0" w:type="auto"/>
          <w:tblCellSpacing w:w="0" w:type="dxa"/>
        </w:trPr>
        <w:tc>
          <w:tcPr>
            <w:tcW w:w="0" w:type="auto"/>
            <w:noWrap w:val="0"/>
            <w:vAlign w:val="center"/>
          </w:tcPr>
          <w:p w14:paraId="0BD70BC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本品应贮存在干燥、阴凉、通风、防雨处，远离火源或热源。置于儿童、无关人员接触不到的地方，并加锁。不能与食品、饮料、粮食、饲料等同储同运。</w:t>
            </w:r>
          </w:p>
        </w:tc>
      </w:tr>
      <w:tr w14:paraId="4D69F9D1">
        <w:tblPrEx>
          <w:tblCellMar>
            <w:top w:w="0" w:type="dxa"/>
            <w:left w:w="0" w:type="dxa"/>
            <w:bottom w:w="0" w:type="dxa"/>
            <w:right w:w="0" w:type="dxa"/>
          </w:tblCellMar>
        </w:tblPrEx>
        <w:trPr>
          <w:wBefore w:w="0" w:type="auto"/>
          <w:tblCellSpacing w:w="0" w:type="dxa"/>
        </w:trPr>
        <w:tc>
          <w:tcPr>
            <w:tcW w:w="0" w:type="auto"/>
            <w:noWrap w:val="0"/>
            <w:vAlign w:val="center"/>
          </w:tcPr>
          <w:p w14:paraId="020A6549">
            <w:r>
              <w:rPr>
                <w:rStyle w:val="10"/>
                <w:rFonts w:hint="eastAsia"/>
              </w:rPr>
              <w:t>质量保证期：</w:t>
            </w:r>
            <w:r>
              <w:rPr>
                <w:rStyle w:val="11"/>
                <w:rFonts w:hint="eastAsia"/>
              </w:rPr>
              <w:t>2年</w:t>
            </w:r>
          </w:p>
        </w:tc>
      </w:tr>
      <w:tr w14:paraId="1817ACDC">
        <w:tblPrEx>
          <w:tblCellMar>
            <w:top w:w="0" w:type="dxa"/>
            <w:left w:w="0" w:type="dxa"/>
            <w:bottom w:w="0" w:type="dxa"/>
            <w:right w:w="0" w:type="dxa"/>
          </w:tblCellMar>
        </w:tblPrEx>
        <w:trPr>
          <w:wBefore w:w="0" w:type="auto"/>
          <w:tblCellSpacing w:w="0" w:type="dxa"/>
        </w:trPr>
        <w:tc>
          <w:tcPr>
            <w:tcW w:w="0" w:type="auto"/>
            <w:noWrap w:val="0"/>
            <w:vAlign w:val="center"/>
          </w:tcPr>
          <w:p w14:paraId="1E561C71">
            <w:r>
              <w:rPr>
                <w:rStyle w:val="10"/>
                <w:rFonts w:hint="eastAsia"/>
              </w:rPr>
              <w:t>备注：</w:t>
            </w:r>
          </w:p>
        </w:tc>
      </w:tr>
    </w:tbl>
    <w:p w14:paraId="5C0A317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63399C5">
        <w:tblPrEx>
          <w:tblCellMar>
            <w:top w:w="0" w:type="dxa"/>
            <w:left w:w="0" w:type="dxa"/>
            <w:bottom w:w="0" w:type="dxa"/>
            <w:right w:w="0" w:type="dxa"/>
          </w:tblCellMar>
        </w:tblPrEx>
        <w:trPr>
          <w:wBefore w:w="0" w:type="auto"/>
          <w:tblCellSpacing w:w="0" w:type="dxa"/>
        </w:trPr>
        <w:tc>
          <w:tcPr>
            <w:tcW w:w="0" w:type="auto"/>
            <w:noWrap w:val="0"/>
            <w:vAlign w:val="center"/>
          </w:tcPr>
          <w:p w14:paraId="54C1998C">
            <w:r>
              <w:rPr>
                <w:rStyle w:val="10"/>
                <w:rFonts w:hint="eastAsia"/>
              </w:rPr>
              <w:t>登记证号：</w:t>
            </w:r>
            <w:r>
              <w:rPr>
                <w:rFonts w:hint="eastAsia"/>
              </w:rPr>
              <w:t>WP20210266</w:t>
            </w:r>
          </w:p>
        </w:tc>
      </w:tr>
      <w:tr w14:paraId="265CB419">
        <w:tblPrEx>
          <w:tblCellMar>
            <w:top w:w="0" w:type="dxa"/>
            <w:left w:w="0" w:type="dxa"/>
            <w:bottom w:w="0" w:type="dxa"/>
            <w:right w:w="0" w:type="dxa"/>
          </w:tblCellMar>
        </w:tblPrEx>
        <w:trPr>
          <w:wBefore w:w="0" w:type="auto"/>
          <w:tblCellSpacing w:w="0" w:type="dxa"/>
        </w:trPr>
        <w:tc>
          <w:tcPr>
            <w:tcW w:w="0" w:type="auto"/>
            <w:noWrap w:val="0"/>
            <w:vAlign w:val="center"/>
          </w:tcPr>
          <w:p w14:paraId="19080CE7">
            <w:r>
              <w:rPr>
                <w:rStyle w:val="10"/>
                <w:rFonts w:hint="eastAsia"/>
              </w:rPr>
              <w:t>登记证持有人：</w:t>
            </w:r>
            <w:r>
              <w:rPr>
                <w:rFonts w:hint="eastAsia"/>
              </w:rPr>
              <w:t>南通罗森化工有限公司</w:t>
            </w:r>
          </w:p>
        </w:tc>
      </w:tr>
      <w:tr w14:paraId="4DC1A81F">
        <w:tblPrEx>
          <w:tblCellMar>
            <w:top w:w="0" w:type="dxa"/>
            <w:left w:w="0" w:type="dxa"/>
            <w:bottom w:w="0" w:type="dxa"/>
            <w:right w:w="0" w:type="dxa"/>
          </w:tblCellMar>
        </w:tblPrEx>
        <w:trPr>
          <w:wBefore w:w="0" w:type="auto"/>
          <w:tblCellSpacing w:w="0" w:type="dxa"/>
        </w:trPr>
        <w:tc>
          <w:tcPr>
            <w:tcW w:w="0" w:type="auto"/>
            <w:noWrap w:val="0"/>
            <w:vAlign w:val="center"/>
          </w:tcPr>
          <w:p w14:paraId="7BDFC59E">
            <w:r>
              <w:rPr>
                <w:rStyle w:val="10"/>
                <w:rFonts w:hint="eastAsia"/>
              </w:rPr>
              <w:t>农药名称：</w:t>
            </w:r>
            <w:r>
              <w:rPr>
                <w:rFonts w:hint="eastAsia"/>
              </w:rPr>
              <w:t>四聚·杀螺胺</w:t>
            </w:r>
          </w:p>
        </w:tc>
      </w:tr>
      <w:tr w14:paraId="7446D476">
        <w:tblPrEx>
          <w:tblCellMar>
            <w:top w:w="0" w:type="dxa"/>
            <w:left w:w="0" w:type="dxa"/>
            <w:bottom w:w="0" w:type="dxa"/>
            <w:right w:w="0" w:type="dxa"/>
          </w:tblCellMar>
        </w:tblPrEx>
        <w:trPr>
          <w:wBefore w:w="0" w:type="auto"/>
          <w:tblCellSpacing w:w="0" w:type="dxa"/>
        </w:trPr>
        <w:tc>
          <w:tcPr>
            <w:tcW w:w="0" w:type="auto"/>
            <w:noWrap w:val="0"/>
            <w:vAlign w:val="center"/>
          </w:tcPr>
          <w:p w14:paraId="4197051F">
            <w:r>
              <w:rPr>
                <w:rStyle w:val="10"/>
                <w:rFonts w:hint="eastAsia"/>
              </w:rPr>
              <w:t>剂型：</w:t>
            </w:r>
            <w:r>
              <w:rPr>
                <w:rFonts w:hint="eastAsia"/>
              </w:rPr>
              <w:t>悬浮剂</w:t>
            </w:r>
          </w:p>
        </w:tc>
      </w:tr>
      <w:tr w14:paraId="161A66FF">
        <w:tblPrEx>
          <w:tblCellMar>
            <w:top w:w="0" w:type="dxa"/>
            <w:left w:w="0" w:type="dxa"/>
            <w:bottom w:w="0" w:type="dxa"/>
            <w:right w:w="0" w:type="dxa"/>
          </w:tblCellMar>
        </w:tblPrEx>
        <w:trPr>
          <w:wBefore w:w="0" w:type="auto"/>
          <w:tblCellSpacing w:w="0" w:type="dxa"/>
        </w:trPr>
        <w:tc>
          <w:tcPr>
            <w:tcW w:w="0" w:type="auto"/>
            <w:noWrap w:val="0"/>
            <w:vAlign w:val="center"/>
          </w:tcPr>
          <w:p w14:paraId="44A12505">
            <w:r>
              <w:rPr>
                <w:rStyle w:val="10"/>
                <w:rFonts w:hint="eastAsia"/>
              </w:rPr>
              <w:t>毒性及其标识：</w:t>
            </w:r>
            <w:r>
              <w:rPr>
                <w:rFonts w:hint="eastAsia"/>
              </w:rPr>
              <w:t xml:space="preserve"> </w:t>
            </w:r>
            <w:r>
              <w:rPr>
                <w:lang/>
              </w:rPr>
              <w:drawing>
                <wp:inline distT="0" distB="0" distL="114300" distR="114300">
                  <wp:extent cx="476250" cy="323850"/>
                  <wp:effectExtent l="0" t="0" r="0" b="0"/>
                  <wp:docPr id="286" name="图片 28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8CAB89C">
        <w:tblPrEx>
          <w:tblCellMar>
            <w:top w:w="0" w:type="dxa"/>
            <w:left w:w="0" w:type="dxa"/>
            <w:bottom w:w="0" w:type="dxa"/>
            <w:right w:w="0" w:type="dxa"/>
          </w:tblCellMar>
        </w:tblPrEx>
        <w:trPr>
          <w:wBefore w:w="0" w:type="auto"/>
          <w:tblCellSpacing w:w="0" w:type="dxa"/>
        </w:trPr>
        <w:tc>
          <w:tcPr>
            <w:tcW w:w="0" w:type="auto"/>
            <w:noWrap w:val="0"/>
            <w:vAlign w:val="center"/>
          </w:tcPr>
          <w:p w14:paraId="09A605C1">
            <w:r>
              <w:rPr>
                <w:rStyle w:val="10"/>
                <w:rFonts w:hint="eastAsia"/>
              </w:rPr>
              <w:t>总有效成分含量：</w:t>
            </w:r>
            <w:r>
              <w:rPr>
                <w:rFonts w:hint="eastAsia"/>
              </w:rPr>
              <w:t>44%</w:t>
            </w:r>
          </w:p>
        </w:tc>
      </w:tr>
      <w:tr w14:paraId="2CAAE063">
        <w:tblPrEx>
          <w:tblCellMar>
            <w:top w:w="0" w:type="dxa"/>
            <w:left w:w="0" w:type="dxa"/>
            <w:bottom w:w="0" w:type="dxa"/>
            <w:right w:w="0" w:type="dxa"/>
          </w:tblCellMar>
        </w:tblPrEx>
        <w:trPr>
          <w:wBefore w:w="0" w:type="auto"/>
          <w:tblCellSpacing w:w="0" w:type="dxa"/>
        </w:trPr>
        <w:tc>
          <w:tcPr>
            <w:tcW w:w="0" w:type="auto"/>
            <w:noWrap w:val="0"/>
            <w:vAlign w:val="center"/>
          </w:tcPr>
          <w:p w14:paraId="08B70246">
            <w:r>
              <w:rPr>
                <w:rFonts w:hint="eastAsia"/>
              </w:rPr>
              <w:t xml:space="preserve">有效成分及其含量： </w:t>
            </w:r>
          </w:p>
          <w:p w14:paraId="318A7872">
            <w:r>
              <w:rPr>
                <w:rFonts w:hint="eastAsia"/>
              </w:rPr>
              <w:t xml:space="preserve">    四聚乙醛2%    杀螺胺42%    </w:t>
            </w:r>
          </w:p>
        </w:tc>
      </w:tr>
      <w:tr w14:paraId="75B4C620">
        <w:tblPrEx>
          <w:tblCellMar>
            <w:top w:w="0" w:type="dxa"/>
            <w:left w:w="0" w:type="dxa"/>
            <w:bottom w:w="0" w:type="dxa"/>
            <w:right w:w="0" w:type="dxa"/>
          </w:tblCellMar>
        </w:tblPrEx>
        <w:trPr>
          <w:wBefore w:w="0" w:type="auto"/>
          <w:tblCellSpacing w:w="0" w:type="dxa"/>
        </w:trPr>
        <w:tc>
          <w:tcPr>
            <w:tcW w:w="0" w:type="auto"/>
            <w:noWrap w:val="0"/>
            <w:vAlign w:val="center"/>
          </w:tcPr>
          <w:p w14:paraId="4ECC075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33A86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DA2EAE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AF5B1A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5141E0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FEAB2B3">
                  <w:r>
                    <w:rPr>
                      <w:rStyle w:val="11"/>
                      <w:rFonts w:hint="eastAsia"/>
                    </w:rPr>
                    <w:t>施用方式</w:t>
                  </w:r>
                </w:p>
              </w:tc>
            </w:tr>
            <w:tr w14:paraId="369E45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ADF95FE">
                  <w:r>
                    <w:rPr>
                      <w:rStyle w:val="11"/>
                      <w:rFonts w:hint="eastAsia"/>
                    </w:rPr>
                    <w:t>沟渠</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4B13EE">
                  <w:r>
                    <w:rPr>
                      <w:rStyle w:val="11"/>
                      <w:rFonts w:hint="eastAsia"/>
                    </w:rPr>
                    <w:t>钉螺</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9801FC">
                  <w:r>
                    <w:rPr>
                      <w:rStyle w:val="11"/>
                      <w:rFonts w:hint="eastAsia"/>
                    </w:rPr>
                    <w:t>1-2毫升/立方米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93FAC4">
                  <w:r>
                    <w:rPr>
                      <w:rStyle w:val="11"/>
                      <w:rFonts w:hint="eastAsia"/>
                    </w:rPr>
                    <w:t>浸杀</w:t>
                  </w:r>
                </w:p>
              </w:tc>
            </w:tr>
            <w:tr w14:paraId="35B08D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F8E3D41">
                  <w:r>
                    <w:rPr>
                      <w:rStyle w:val="11"/>
                      <w:rFonts w:hint="eastAsia"/>
                    </w:rPr>
                    <w:t>滩涂</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8C4AD6">
                  <w:r>
                    <w:rPr>
                      <w:rStyle w:val="11"/>
                      <w:rFonts w:hint="eastAsia"/>
                    </w:rPr>
                    <w:t>钉螺</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49EA16">
                  <w:r>
                    <w:rPr>
                      <w:rStyle w:val="11"/>
                      <w:rFonts w:hint="eastAsia"/>
                    </w:rPr>
                    <w:t>1-2毫升/平方米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B420AD">
                  <w:r>
                    <w:rPr>
                      <w:rStyle w:val="11"/>
                      <w:rFonts w:hint="eastAsia"/>
                    </w:rPr>
                    <w:t>喷洒</w:t>
                  </w:r>
                </w:p>
              </w:tc>
            </w:tr>
          </w:tbl>
          <w:p w14:paraId="0DA1D63F">
            <w:pPr>
              <w:rPr>
                <w:rFonts w:ascii="Times New Roman" w:hAnsi="Times New Roman" w:cs="Times New Roman"/>
                <w:sz w:val="20"/>
                <w:szCs w:val="20"/>
              </w:rPr>
            </w:pPr>
          </w:p>
        </w:tc>
      </w:tr>
      <w:tr w14:paraId="785CCFAD">
        <w:tblPrEx>
          <w:tblCellMar>
            <w:top w:w="0" w:type="dxa"/>
            <w:left w:w="0" w:type="dxa"/>
            <w:bottom w:w="0" w:type="dxa"/>
            <w:right w:w="0" w:type="dxa"/>
          </w:tblCellMar>
        </w:tblPrEx>
        <w:trPr>
          <w:wBefore w:w="0" w:type="auto"/>
          <w:tblCellSpacing w:w="0" w:type="dxa"/>
        </w:trPr>
        <w:tc>
          <w:tcPr>
            <w:tcW w:w="0" w:type="auto"/>
            <w:noWrap w:val="0"/>
            <w:vAlign w:val="center"/>
          </w:tcPr>
          <w:p w14:paraId="05DD75B3">
            <w:r>
              <w:rPr>
                <w:rStyle w:val="10"/>
                <w:rFonts w:hint="eastAsia"/>
              </w:rPr>
              <w:t>使用技术要求:</w:t>
            </w:r>
            <w:r>
              <w:rPr>
                <w:rFonts w:hint="eastAsia"/>
              </w:rPr>
              <w:br w:type="textWrapping"/>
            </w:r>
            <w:r>
              <w:rPr>
                <w:rStyle w:val="11"/>
                <w:rFonts w:hint="eastAsia"/>
              </w:rPr>
              <w:t>1.于钉螺繁殖初期至发生或危害高峰前期使用。 2.灭螺时气温最好在20℃以上，大风天或暴雨前不宜施药，以免药液流失。3.可连续施药1-2次，提高钉螺死亡率。 安全使用标准：连续施药1-2次。</w:t>
            </w:r>
          </w:p>
        </w:tc>
      </w:tr>
      <w:tr w14:paraId="22FFA908">
        <w:tblPrEx>
          <w:tblCellMar>
            <w:top w:w="0" w:type="dxa"/>
            <w:left w:w="0" w:type="dxa"/>
            <w:bottom w:w="0" w:type="dxa"/>
            <w:right w:w="0" w:type="dxa"/>
          </w:tblCellMar>
        </w:tblPrEx>
        <w:trPr>
          <w:wBefore w:w="0" w:type="auto"/>
          <w:tblCellSpacing w:w="0" w:type="dxa"/>
        </w:trPr>
        <w:tc>
          <w:tcPr>
            <w:tcW w:w="0" w:type="auto"/>
            <w:noWrap w:val="0"/>
            <w:vAlign w:val="center"/>
          </w:tcPr>
          <w:p w14:paraId="13DE8D17">
            <w:r>
              <w:rPr>
                <w:rStyle w:val="10"/>
                <w:rFonts w:hint="eastAsia"/>
              </w:rPr>
              <w:t>产品性能:</w:t>
            </w:r>
            <w:r>
              <w:rPr>
                <w:rFonts w:hint="eastAsia"/>
              </w:rPr>
              <w:br w:type="textWrapping"/>
            </w:r>
            <w:r>
              <w:rPr>
                <w:rStyle w:val="11"/>
                <w:rFonts w:hint="eastAsia"/>
              </w:rPr>
              <w:t>杀螺胺乙醇胺盐是一种具有胃毒作用的杀螺剂，对螺卵有较强的杀灭作用。四聚乙醛是一种具有胃毒作用的杀螺剂，当螺取食或接触到药剂后，螺体内乙酰胆碱酶大量释放，神经麻痹，并分泌黏液，由于大量体液的流失和细胞被破坏，导致螺体在短时间内中毒死亡。两者混配对沟渠钉螺和滩涂钉螺有较好的防效。</w:t>
            </w:r>
          </w:p>
        </w:tc>
      </w:tr>
      <w:tr w14:paraId="4966B9D3">
        <w:tblPrEx>
          <w:tblCellMar>
            <w:top w:w="0" w:type="dxa"/>
            <w:left w:w="0" w:type="dxa"/>
            <w:bottom w:w="0" w:type="dxa"/>
            <w:right w:w="0" w:type="dxa"/>
          </w:tblCellMar>
        </w:tblPrEx>
        <w:trPr>
          <w:wBefore w:w="0" w:type="auto"/>
          <w:tblCellSpacing w:w="0" w:type="dxa"/>
        </w:trPr>
        <w:tc>
          <w:tcPr>
            <w:tcW w:w="0" w:type="auto"/>
            <w:noWrap w:val="0"/>
            <w:vAlign w:val="center"/>
          </w:tcPr>
          <w:p w14:paraId="6F2FC96E">
            <w:r>
              <w:rPr>
                <w:rStyle w:val="10"/>
                <w:rFonts w:hint="eastAsia"/>
              </w:rPr>
              <w:t>注意事项：</w:t>
            </w:r>
            <w:r>
              <w:rPr>
                <w:rFonts w:hint="eastAsia"/>
              </w:rPr>
              <w:br w:type="textWrapping"/>
            </w:r>
            <w:r>
              <w:rPr>
                <w:rStyle w:val="11"/>
                <w:rFonts w:hint="eastAsia"/>
              </w:rPr>
              <w:t>1.使用本品应穿戴长衣长裤、帽子、口罩、手套、鞋等安全防护措施。避免皮肤接触及口鼻吸入。使用中不可吸烟、饮水及吃东西，使用后及时清洗手、脸等暴露部位皮肤并更换衣物。2.本品对水生生物有毒，水产养殖区、河塘等水体附近禁用，禁止在河塘等水体中清洗施药器具，以免污染水源。3.鸟类保护区附近禁用；（周围）开花植物花期禁用，使用时应密切关注对附近蜂群的影响；蚕室及桑园附近禁用。4. 因滩涂地面可能有草、土、瓦砾等遮蔽钉螺而影响杀灭效果，可连续l～2次使用以提高钉螺死亡率。5.用过的容器应妥善处理，不可做他用，不可随意丢弃。6.灭螺2周内，禁止在灭螺区域内放牧。7.禁止儿童、孕妇和哺乳期妇女接触。8.本产品应避免与氧化剂接触。</w:t>
            </w:r>
          </w:p>
        </w:tc>
      </w:tr>
      <w:tr w14:paraId="77B59DB7">
        <w:tblPrEx>
          <w:tblCellMar>
            <w:top w:w="0" w:type="dxa"/>
            <w:left w:w="0" w:type="dxa"/>
            <w:bottom w:w="0" w:type="dxa"/>
            <w:right w:w="0" w:type="dxa"/>
          </w:tblCellMar>
        </w:tblPrEx>
        <w:trPr>
          <w:wBefore w:w="0" w:type="auto"/>
          <w:tblCellSpacing w:w="0" w:type="dxa"/>
        </w:trPr>
        <w:tc>
          <w:tcPr>
            <w:tcW w:w="0" w:type="auto"/>
            <w:noWrap w:val="0"/>
            <w:vAlign w:val="center"/>
          </w:tcPr>
          <w:p w14:paraId="095B5FAA">
            <w:r>
              <w:rPr>
                <w:rStyle w:val="10"/>
                <w:rFonts w:hint="eastAsia"/>
              </w:rPr>
              <w:t>中毒急救措施：</w:t>
            </w:r>
            <w:r>
              <w:rPr>
                <w:rFonts w:hint="eastAsia"/>
              </w:rPr>
              <w:br w:type="textWrapping"/>
            </w:r>
            <w:r>
              <w:rPr>
                <w:rStyle w:val="11"/>
                <w:rFonts w:hint="eastAsia"/>
              </w:rPr>
              <w:t>中毒症状：恶心、流涎、呕吐、并随后会有腹痛及腹泻。 皮肤接触：立即脱掉被污染的衣物，大量清水和肥皂冲洗。眼睛接触：用大量清水冲洗至少15分钟，及时就医。吸入：立即离开施药现场，转移至空气流通处。误服：不慎误食，携带产品标签立即就医，无特效解毒剂，中毒后立即灌洗清胃和导泻，用抗痉挛作用的镇静药。输葡萄糖液保护肝脏、帮助解毒和促进代谢。如伴随发生肾衰竭，则应仔细监测液体平衡状态和电解质以免发生液体超负荷。</w:t>
            </w:r>
          </w:p>
        </w:tc>
      </w:tr>
      <w:tr w14:paraId="0DFB6914">
        <w:tblPrEx>
          <w:tblCellMar>
            <w:top w:w="0" w:type="dxa"/>
            <w:left w:w="0" w:type="dxa"/>
            <w:bottom w:w="0" w:type="dxa"/>
            <w:right w:w="0" w:type="dxa"/>
          </w:tblCellMar>
        </w:tblPrEx>
        <w:trPr>
          <w:wBefore w:w="0" w:type="auto"/>
          <w:tblCellSpacing w:w="0" w:type="dxa"/>
        </w:trPr>
        <w:tc>
          <w:tcPr>
            <w:tcW w:w="0" w:type="auto"/>
            <w:noWrap w:val="0"/>
            <w:vAlign w:val="center"/>
          </w:tcPr>
          <w:p w14:paraId="7C80B27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本品应贮存在干燥、阴凉、通风、防雨处，远离火源或热源。置于儿童、无关人员及动物接触不到的地方，并加锁保存。勿与食品、饮料、粮食、饲料等同贮同运。</w:t>
            </w:r>
          </w:p>
        </w:tc>
      </w:tr>
      <w:tr w14:paraId="03A5AD8A">
        <w:tblPrEx>
          <w:tblCellMar>
            <w:top w:w="0" w:type="dxa"/>
            <w:left w:w="0" w:type="dxa"/>
            <w:bottom w:w="0" w:type="dxa"/>
            <w:right w:w="0" w:type="dxa"/>
          </w:tblCellMar>
        </w:tblPrEx>
        <w:trPr>
          <w:wBefore w:w="0" w:type="auto"/>
          <w:tblCellSpacing w:w="0" w:type="dxa"/>
        </w:trPr>
        <w:tc>
          <w:tcPr>
            <w:tcW w:w="0" w:type="auto"/>
            <w:noWrap w:val="0"/>
            <w:vAlign w:val="center"/>
          </w:tcPr>
          <w:p w14:paraId="16B94E0A">
            <w:r>
              <w:rPr>
                <w:rStyle w:val="10"/>
                <w:rFonts w:hint="eastAsia"/>
              </w:rPr>
              <w:t>质量保证期：</w:t>
            </w:r>
            <w:r>
              <w:rPr>
                <w:rStyle w:val="11"/>
                <w:rFonts w:hint="eastAsia"/>
              </w:rPr>
              <w:t>2年</w:t>
            </w:r>
          </w:p>
        </w:tc>
      </w:tr>
      <w:tr w14:paraId="748EC6F1">
        <w:tblPrEx>
          <w:tblCellMar>
            <w:top w:w="0" w:type="dxa"/>
            <w:left w:w="0" w:type="dxa"/>
            <w:bottom w:w="0" w:type="dxa"/>
            <w:right w:w="0" w:type="dxa"/>
          </w:tblCellMar>
        </w:tblPrEx>
        <w:trPr>
          <w:wBefore w:w="0" w:type="auto"/>
          <w:tblCellSpacing w:w="0" w:type="dxa"/>
        </w:trPr>
        <w:tc>
          <w:tcPr>
            <w:tcW w:w="0" w:type="auto"/>
            <w:noWrap w:val="0"/>
            <w:vAlign w:val="center"/>
          </w:tcPr>
          <w:p w14:paraId="7EE9B85A">
            <w:r>
              <w:rPr>
                <w:rStyle w:val="10"/>
                <w:rFonts w:hint="eastAsia"/>
              </w:rPr>
              <w:t>备注：</w:t>
            </w:r>
            <w:r>
              <w:rPr>
                <w:rFonts w:hint="eastAsia"/>
              </w:rPr>
              <w:br w:type="textWrapping"/>
            </w:r>
            <w:r>
              <w:rPr>
                <w:rStyle w:val="11"/>
                <w:rFonts w:hint="eastAsia"/>
              </w:rPr>
              <w:t>杀螺胺乙醇胺盐含量：50%</w:t>
            </w:r>
          </w:p>
        </w:tc>
      </w:tr>
    </w:tbl>
    <w:p w14:paraId="28B03B3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3C63D72">
        <w:tblPrEx>
          <w:tblCellMar>
            <w:top w:w="0" w:type="dxa"/>
            <w:left w:w="0" w:type="dxa"/>
            <w:bottom w:w="0" w:type="dxa"/>
            <w:right w:w="0" w:type="dxa"/>
          </w:tblCellMar>
        </w:tblPrEx>
        <w:trPr>
          <w:wBefore w:w="0" w:type="auto"/>
          <w:tblCellSpacing w:w="0" w:type="dxa"/>
        </w:trPr>
        <w:tc>
          <w:tcPr>
            <w:tcW w:w="0" w:type="auto"/>
            <w:noWrap w:val="0"/>
            <w:vAlign w:val="center"/>
          </w:tcPr>
          <w:p w14:paraId="20288F45">
            <w:r>
              <w:rPr>
                <w:rStyle w:val="10"/>
                <w:rFonts w:hint="eastAsia"/>
              </w:rPr>
              <w:t>登记证号：</w:t>
            </w:r>
            <w:r>
              <w:rPr>
                <w:rFonts w:hint="eastAsia"/>
              </w:rPr>
              <w:t>PD20211815</w:t>
            </w:r>
          </w:p>
        </w:tc>
      </w:tr>
      <w:tr w14:paraId="6365E1F4">
        <w:tblPrEx>
          <w:tblCellMar>
            <w:top w:w="0" w:type="dxa"/>
            <w:left w:w="0" w:type="dxa"/>
            <w:bottom w:w="0" w:type="dxa"/>
            <w:right w:w="0" w:type="dxa"/>
          </w:tblCellMar>
        </w:tblPrEx>
        <w:trPr>
          <w:wBefore w:w="0" w:type="auto"/>
          <w:tblCellSpacing w:w="0" w:type="dxa"/>
        </w:trPr>
        <w:tc>
          <w:tcPr>
            <w:tcW w:w="0" w:type="auto"/>
            <w:noWrap w:val="0"/>
            <w:vAlign w:val="center"/>
          </w:tcPr>
          <w:p w14:paraId="19D4920D">
            <w:r>
              <w:rPr>
                <w:rStyle w:val="10"/>
                <w:rFonts w:hint="eastAsia"/>
              </w:rPr>
              <w:t>登记证持有人：</w:t>
            </w:r>
            <w:r>
              <w:rPr>
                <w:rFonts w:hint="eastAsia"/>
              </w:rPr>
              <w:t>河南省博爱惠丰生化农药有限公司</w:t>
            </w:r>
          </w:p>
        </w:tc>
      </w:tr>
      <w:tr w14:paraId="78692A1C">
        <w:tblPrEx>
          <w:tblCellMar>
            <w:top w:w="0" w:type="dxa"/>
            <w:left w:w="0" w:type="dxa"/>
            <w:bottom w:w="0" w:type="dxa"/>
            <w:right w:w="0" w:type="dxa"/>
          </w:tblCellMar>
        </w:tblPrEx>
        <w:trPr>
          <w:wBefore w:w="0" w:type="auto"/>
          <w:tblCellSpacing w:w="0" w:type="dxa"/>
        </w:trPr>
        <w:tc>
          <w:tcPr>
            <w:tcW w:w="0" w:type="auto"/>
            <w:noWrap w:val="0"/>
            <w:vAlign w:val="center"/>
          </w:tcPr>
          <w:p w14:paraId="37A9CAA7">
            <w:r>
              <w:rPr>
                <w:rStyle w:val="10"/>
                <w:rFonts w:hint="eastAsia"/>
              </w:rPr>
              <w:t>农药名称：</w:t>
            </w:r>
            <w:r>
              <w:rPr>
                <w:rFonts w:hint="eastAsia"/>
              </w:rPr>
              <w:t>联苯·呋虫胺</w:t>
            </w:r>
          </w:p>
        </w:tc>
      </w:tr>
      <w:tr w14:paraId="17137AEE">
        <w:tblPrEx>
          <w:tblCellMar>
            <w:top w:w="0" w:type="dxa"/>
            <w:left w:w="0" w:type="dxa"/>
            <w:bottom w:w="0" w:type="dxa"/>
            <w:right w:w="0" w:type="dxa"/>
          </w:tblCellMar>
        </w:tblPrEx>
        <w:trPr>
          <w:wBefore w:w="0" w:type="auto"/>
          <w:tblCellSpacing w:w="0" w:type="dxa"/>
        </w:trPr>
        <w:tc>
          <w:tcPr>
            <w:tcW w:w="0" w:type="auto"/>
            <w:noWrap w:val="0"/>
            <w:vAlign w:val="center"/>
          </w:tcPr>
          <w:p w14:paraId="73E7A7C3">
            <w:r>
              <w:rPr>
                <w:rStyle w:val="10"/>
                <w:rFonts w:hint="eastAsia"/>
              </w:rPr>
              <w:t>剂型：</w:t>
            </w:r>
            <w:r>
              <w:rPr>
                <w:rFonts w:hint="eastAsia"/>
              </w:rPr>
              <w:t>悬浮剂</w:t>
            </w:r>
          </w:p>
        </w:tc>
      </w:tr>
      <w:tr w14:paraId="17E00E9B">
        <w:tblPrEx>
          <w:tblCellMar>
            <w:top w:w="0" w:type="dxa"/>
            <w:left w:w="0" w:type="dxa"/>
            <w:bottom w:w="0" w:type="dxa"/>
            <w:right w:w="0" w:type="dxa"/>
          </w:tblCellMar>
        </w:tblPrEx>
        <w:trPr>
          <w:wBefore w:w="0" w:type="auto"/>
          <w:tblCellSpacing w:w="0" w:type="dxa"/>
        </w:trPr>
        <w:tc>
          <w:tcPr>
            <w:tcW w:w="0" w:type="auto"/>
            <w:noWrap w:val="0"/>
            <w:vAlign w:val="center"/>
          </w:tcPr>
          <w:p w14:paraId="0CB2D10D">
            <w:r>
              <w:rPr>
                <w:rStyle w:val="10"/>
                <w:rFonts w:hint="eastAsia"/>
              </w:rPr>
              <w:t>毒性及其标识：</w:t>
            </w:r>
            <w:r>
              <w:rPr>
                <w:rFonts w:hint="eastAsia"/>
              </w:rPr>
              <w:t xml:space="preserve"> </w:t>
            </w:r>
            <w:r>
              <w:rPr>
                <w:lang/>
              </w:rPr>
              <w:drawing>
                <wp:inline distT="0" distB="0" distL="114300" distR="114300">
                  <wp:extent cx="476250" cy="323850"/>
                  <wp:effectExtent l="0" t="0" r="0" b="0"/>
                  <wp:docPr id="287" name="图片 28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DD3BDB8">
        <w:tblPrEx>
          <w:tblCellMar>
            <w:top w:w="0" w:type="dxa"/>
            <w:left w:w="0" w:type="dxa"/>
            <w:bottom w:w="0" w:type="dxa"/>
            <w:right w:w="0" w:type="dxa"/>
          </w:tblCellMar>
        </w:tblPrEx>
        <w:trPr>
          <w:wBefore w:w="0" w:type="auto"/>
          <w:tblCellSpacing w:w="0" w:type="dxa"/>
        </w:trPr>
        <w:tc>
          <w:tcPr>
            <w:tcW w:w="0" w:type="auto"/>
            <w:noWrap w:val="0"/>
            <w:vAlign w:val="center"/>
          </w:tcPr>
          <w:p w14:paraId="36B07DD2">
            <w:r>
              <w:rPr>
                <w:rStyle w:val="10"/>
                <w:rFonts w:hint="eastAsia"/>
              </w:rPr>
              <w:t>总有效成分含量：</w:t>
            </w:r>
            <w:r>
              <w:rPr>
                <w:rFonts w:hint="eastAsia"/>
              </w:rPr>
              <w:t>30%</w:t>
            </w:r>
          </w:p>
        </w:tc>
      </w:tr>
      <w:tr w14:paraId="3F2BF3DD">
        <w:tblPrEx>
          <w:tblCellMar>
            <w:top w:w="0" w:type="dxa"/>
            <w:left w:w="0" w:type="dxa"/>
            <w:bottom w:w="0" w:type="dxa"/>
            <w:right w:w="0" w:type="dxa"/>
          </w:tblCellMar>
        </w:tblPrEx>
        <w:trPr>
          <w:wBefore w:w="0" w:type="auto"/>
          <w:tblCellSpacing w:w="0" w:type="dxa"/>
        </w:trPr>
        <w:tc>
          <w:tcPr>
            <w:tcW w:w="0" w:type="auto"/>
            <w:noWrap w:val="0"/>
            <w:vAlign w:val="center"/>
          </w:tcPr>
          <w:p w14:paraId="34AE930A">
            <w:r>
              <w:rPr>
                <w:rFonts w:hint="eastAsia"/>
              </w:rPr>
              <w:t xml:space="preserve">有效成分及其含量： </w:t>
            </w:r>
          </w:p>
          <w:p w14:paraId="7CFA532E">
            <w:r>
              <w:rPr>
                <w:rFonts w:hint="eastAsia"/>
              </w:rPr>
              <w:t xml:space="preserve">    联苯菊酯10%    呋虫胺20%    </w:t>
            </w:r>
          </w:p>
        </w:tc>
      </w:tr>
      <w:tr w14:paraId="4CFA271F">
        <w:tblPrEx>
          <w:tblCellMar>
            <w:top w:w="0" w:type="dxa"/>
            <w:left w:w="0" w:type="dxa"/>
            <w:bottom w:w="0" w:type="dxa"/>
            <w:right w:w="0" w:type="dxa"/>
          </w:tblCellMar>
        </w:tblPrEx>
        <w:trPr>
          <w:wBefore w:w="0" w:type="auto"/>
          <w:tblCellSpacing w:w="0" w:type="dxa"/>
        </w:trPr>
        <w:tc>
          <w:tcPr>
            <w:tcW w:w="0" w:type="auto"/>
            <w:noWrap w:val="0"/>
            <w:vAlign w:val="center"/>
          </w:tcPr>
          <w:p w14:paraId="618F6DF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A1722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E39AE7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AFF56E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6A38B7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0D4C462">
                  <w:r>
                    <w:rPr>
                      <w:rStyle w:val="11"/>
                      <w:rFonts w:hint="eastAsia"/>
                    </w:rPr>
                    <w:t>施用方式</w:t>
                  </w:r>
                </w:p>
              </w:tc>
            </w:tr>
            <w:tr w14:paraId="58FBF8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27BA6F4">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46118A">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9294DA">
                  <w:r>
                    <w:rPr>
                      <w:rStyle w:val="11"/>
                      <w:rFonts w:hint="eastAsia"/>
                    </w:rPr>
                    <w:t>10-20毫升/亩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8AA706">
                  <w:r>
                    <w:rPr>
                      <w:rStyle w:val="11"/>
                      <w:rFonts w:hint="eastAsia"/>
                    </w:rPr>
                    <w:t>喷雾</w:t>
                  </w:r>
                </w:p>
              </w:tc>
            </w:tr>
          </w:tbl>
          <w:p w14:paraId="55F0C53F">
            <w:pPr>
              <w:rPr>
                <w:rFonts w:ascii="Times New Roman" w:hAnsi="Times New Roman" w:cs="Times New Roman"/>
                <w:sz w:val="20"/>
                <w:szCs w:val="20"/>
              </w:rPr>
            </w:pPr>
          </w:p>
        </w:tc>
      </w:tr>
      <w:tr w14:paraId="6ECC304A">
        <w:tblPrEx>
          <w:tblCellMar>
            <w:top w:w="0" w:type="dxa"/>
            <w:left w:w="0" w:type="dxa"/>
            <w:bottom w:w="0" w:type="dxa"/>
            <w:right w:w="0" w:type="dxa"/>
          </w:tblCellMar>
        </w:tblPrEx>
        <w:trPr>
          <w:wBefore w:w="0" w:type="auto"/>
          <w:tblCellSpacing w:w="0" w:type="dxa"/>
        </w:trPr>
        <w:tc>
          <w:tcPr>
            <w:tcW w:w="0" w:type="auto"/>
            <w:noWrap w:val="0"/>
            <w:vAlign w:val="center"/>
          </w:tcPr>
          <w:p w14:paraId="7C0BF811">
            <w:r>
              <w:rPr>
                <w:rStyle w:val="10"/>
                <w:rFonts w:hint="eastAsia"/>
              </w:rPr>
              <w:t>使用技术要求:</w:t>
            </w:r>
            <w:r>
              <w:rPr>
                <w:rFonts w:hint="eastAsia"/>
              </w:rPr>
              <w:br w:type="textWrapping"/>
            </w:r>
            <w:r>
              <w:rPr>
                <w:rStyle w:val="11"/>
                <w:rFonts w:hint="eastAsia"/>
              </w:rPr>
              <w:t>1. 于茶小绿叶蝉若虫发生盛期，以推荐剂量兑水均匀喷雾施药一次，每亩兑水45-50公斤。 2. 大风天或预计1小时内降雨，请勿施药。 3. 本品在茶树上使用的安全间隔期为21天，每季作物最多使用1次。</w:t>
            </w:r>
          </w:p>
        </w:tc>
      </w:tr>
      <w:tr w14:paraId="179582B9">
        <w:tblPrEx>
          <w:tblCellMar>
            <w:top w:w="0" w:type="dxa"/>
            <w:left w:w="0" w:type="dxa"/>
            <w:bottom w:w="0" w:type="dxa"/>
            <w:right w:w="0" w:type="dxa"/>
          </w:tblCellMar>
        </w:tblPrEx>
        <w:trPr>
          <w:wBefore w:w="0" w:type="auto"/>
          <w:tblCellSpacing w:w="0" w:type="dxa"/>
        </w:trPr>
        <w:tc>
          <w:tcPr>
            <w:tcW w:w="0" w:type="auto"/>
            <w:noWrap w:val="0"/>
            <w:vAlign w:val="center"/>
          </w:tcPr>
          <w:p w14:paraId="1BF4A9FB">
            <w:r>
              <w:rPr>
                <w:rStyle w:val="10"/>
                <w:rFonts w:hint="eastAsia"/>
              </w:rPr>
              <w:t>产品性能:</w:t>
            </w:r>
            <w:r>
              <w:rPr>
                <w:rFonts w:hint="eastAsia"/>
              </w:rPr>
              <w:br w:type="textWrapping"/>
            </w:r>
            <w:r>
              <w:rPr>
                <w:rStyle w:val="11"/>
                <w:rFonts w:hint="eastAsia"/>
              </w:rPr>
              <w:t>本品联苯菊酯具有较高活性拟除虫菊酯类杀虫剂，呋虫胺为烟碱乙酰胆碱受体的兴奋剂，影响昆虫中枢神经系统的突触。具有较强的内吸活性具有触杀、胃毒作用。可用于防治茶树茶小绿叶蝉。</w:t>
            </w:r>
          </w:p>
        </w:tc>
      </w:tr>
      <w:tr w14:paraId="3D47916A">
        <w:tblPrEx>
          <w:tblCellMar>
            <w:top w:w="0" w:type="dxa"/>
            <w:left w:w="0" w:type="dxa"/>
            <w:bottom w:w="0" w:type="dxa"/>
            <w:right w:w="0" w:type="dxa"/>
          </w:tblCellMar>
        </w:tblPrEx>
        <w:trPr>
          <w:wBefore w:w="0" w:type="auto"/>
          <w:tblCellSpacing w:w="0" w:type="dxa"/>
        </w:trPr>
        <w:tc>
          <w:tcPr>
            <w:tcW w:w="0" w:type="auto"/>
            <w:noWrap w:val="0"/>
            <w:vAlign w:val="center"/>
          </w:tcPr>
          <w:p w14:paraId="5987F292">
            <w:r>
              <w:rPr>
                <w:rStyle w:val="10"/>
                <w:rFonts w:hint="eastAsia"/>
              </w:rPr>
              <w:t>注意事项：</w:t>
            </w:r>
            <w:r>
              <w:rPr>
                <w:rFonts w:hint="eastAsia"/>
              </w:rPr>
              <w:br w:type="textWrapping"/>
            </w:r>
            <w:r>
              <w:rPr>
                <w:rStyle w:val="11"/>
                <w:rFonts w:hint="eastAsia"/>
              </w:rPr>
              <w:t>1. 本品对鸟类、蜜蜂、家蚕有毒，施药期间应密切关注对附近蜂群的影响；鸟类保护区附近禁用；（周围）开花植物花期禁用；桑园及蚕室附近禁用；赤眼蜂等天敌放飞区域禁用。远离水产养殖区、河塘等水体施药，禁止在河塘等水域内清洗施药器具； 2. 本品对眼睛有刺激性，使用时避免接触眼睛，穿戴长衣、长裤、帽子、口罩、手套等防护措施。避免皮肤接触及口鼻吸入。使用中不可吸烟、饮水及吃东西，使用后及时清洗手、脸等暴露部位皮肤并更换衣物。3. 建议与其他作用机制不同的杀虫剂轮换使用，以延缓抗药性。4. 用过的容器应妥善处理，不可做他用，也不可随意丢弃。5. 孕妇及哺乳期妇女禁止接触本品。</w:t>
            </w:r>
          </w:p>
        </w:tc>
      </w:tr>
      <w:tr w14:paraId="79116793">
        <w:tblPrEx>
          <w:tblCellMar>
            <w:top w:w="0" w:type="dxa"/>
            <w:left w:w="0" w:type="dxa"/>
            <w:bottom w:w="0" w:type="dxa"/>
            <w:right w:w="0" w:type="dxa"/>
          </w:tblCellMar>
        </w:tblPrEx>
        <w:trPr>
          <w:wBefore w:w="0" w:type="auto"/>
          <w:tblCellSpacing w:w="0" w:type="dxa"/>
        </w:trPr>
        <w:tc>
          <w:tcPr>
            <w:tcW w:w="0" w:type="auto"/>
            <w:noWrap w:val="0"/>
            <w:vAlign w:val="center"/>
          </w:tcPr>
          <w:p w14:paraId="4E242F7C">
            <w:r>
              <w:rPr>
                <w:rStyle w:val="10"/>
                <w:rFonts w:hint="eastAsia"/>
              </w:rPr>
              <w:t>中毒急救措施：</w:t>
            </w:r>
            <w:r>
              <w:rPr>
                <w:rFonts w:hint="eastAsia"/>
              </w:rPr>
              <w:br w:type="textWrapping"/>
            </w:r>
            <w:r>
              <w:rPr>
                <w:rStyle w:val="11"/>
                <w:rFonts w:hint="eastAsia"/>
              </w:rPr>
              <w:t>中毒症状：本品对眼睛有刺激作用。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用清水充分漱口后，立即携带标签到医院对症治疗。</w:t>
            </w:r>
          </w:p>
        </w:tc>
      </w:tr>
      <w:tr w14:paraId="0901CEC9">
        <w:tblPrEx>
          <w:tblCellMar>
            <w:top w:w="0" w:type="dxa"/>
            <w:left w:w="0" w:type="dxa"/>
            <w:bottom w:w="0" w:type="dxa"/>
            <w:right w:w="0" w:type="dxa"/>
          </w:tblCellMar>
        </w:tblPrEx>
        <w:trPr>
          <w:wBefore w:w="0" w:type="auto"/>
          <w:tblCellSpacing w:w="0" w:type="dxa"/>
        </w:trPr>
        <w:tc>
          <w:tcPr>
            <w:tcW w:w="0" w:type="auto"/>
            <w:noWrap w:val="0"/>
            <w:vAlign w:val="center"/>
          </w:tcPr>
          <w:p w14:paraId="21A48621">
            <w:r>
              <w:rPr>
                <w:rStyle w:val="10"/>
                <w:rFonts w:hint="eastAsia"/>
              </w:rPr>
              <w:t>储存和运输方法：</w:t>
            </w:r>
            <w:r>
              <w:rPr>
                <w:rFonts w:hint="eastAsia"/>
              </w:rPr>
              <w:br w:type="textWrapping"/>
            </w:r>
            <w:r>
              <w:rPr>
                <w:rStyle w:val="11"/>
                <w:rFonts w:hint="eastAsia"/>
              </w:rPr>
              <w:t>本品应贮存在干燥、阴凉、通风、防雨处，远离火源和热源，置于儿童触及不到之处，并加锁；不能与食品、饮料、粮食、饲料等物品同贮同运。装卸运输时注意检查包装是否密封完整，轻拿轻放，不可倒置。</w:t>
            </w:r>
          </w:p>
        </w:tc>
      </w:tr>
      <w:tr w14:paraId="2F208184">
        <w:tblPrEx>
          <w:tblCellMar>
            <w:top w:w="0" w:type="dxa"/>
            <w:left w:w="0" w:type="dxa"/>
            <w:bottom w:w="0" w:type="dxa"/>
            <w:right w:w="0" w:type="dxa"/>
          </w:tblCellMar>
        </w:tblPrEx>
        <w:trPr>
          <w:wBefore w:w="0" w:type="auto"/>
          <w:tblCellSpacing w:w="0" w:type="dxa"/>
        </w:trPr>
        <w:tc>
          <w:tcPr>
            <w:tcW w:w="0" w:type="auto"/>
            <w:noWrap w:val="0"/>
            <w:vAlign w:val="center"/>
          </w:tcPr>
          <w:p w14:paraId="50FA354B">
            <w:r>
              <w:rPr>
                <w:rStyle w:val="10"/>
                <w:rFonts w:hint="eastAsia"/>
              </w:rPr>
              <w:t>质量保证期：</w:t>
            </w:r>
            <w:r>
              <w:rPr>
                <w:rStyle w:val="11"/>
                <w:rFonts w:hint="eastAsia"/>
              </w:rPr>
              <w:t>2年</w:t>
            </w:r>
          </w:p>
        </w:tc>
      </w:tr>
      <w:tr w14:paraId="26C049A9">
        <w:tblPrEx>
          <w:tblCellMar>
            <w:top w:w="0" w:type="dxa"/>
            <w:left w:w="0" w:type="dxa"/>
            <w:bottom w:w="0" w:type="dxa"/>
            <w:right w:w="0" w:type="dxa"/>
          </w:tblCellMar>
        </w:tblPrEx>
        <w:trPr>
          <w:wBefore w:w="0" w:type="auto"/>
          <w:tblCellSpacing w:w="0" w:type="dxa"/>
        </w:trPr>
        <w:tc>
          <w:tcPr>
            <w:tcW w:w="0" w:type="auto"/>
            <w:noWrap w:val="0"/>
            <w:vAlign w:val="center"/>
          </w:tcPr>
          <w:p w14:paraId="10007568">
            <w:r>
              <w:rPr>
                <w:rStyle w:val="10"/>
                <w:rFonts w:hint="eastAsia"/>
              </w:rPr>
              <w:t>备注：</w:t>
            </w:r>
          </w:p>
        </w:tc>
      </w:tr>
    </w:tbl>
    <w:p w14:paraId="7C5875C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DFD1D2A">
        <w:tblPrEx>
          <w:tblCellMar>
            <w:top w:w="0" w:type="dxa"/>
            <w:left w:w="0" w:type="dxa"/>
            <w:bottom w:w="0" w:type="dxa"/>
            <w:right w:w="0" w:type="dxa"/>
          </w:tblCellMar>
        </w:tblPrEx>
        <w:trPr>
          <w:wBefore w:w="0" w:type="auto"/>
          <w:tblCellSpacing w:w="0" w:type="dxa"/>
        </w:trPr>
        <w:tc>
          <w:tcPr>
            <w:tcW w:w="0" w:type="auto"/>
            <w:noWrap w:val="0"/>
            <w:vAlign w:val="center"/>
          </w:tcPr>
          <w:p w14:paraId="7E40D1CD">
            <w:r>
              <w:rPr>
                <w:rStyle w:val="10"/>
                <w:rFonts w:hint="eastAsia"/>
              </w:rPr>
              <w:t>登记证号：</w:t>
            </w:r>
            <w:r>
              <w:rPr>
                <w:rFonts w:hint="eastAsia"/>
              </w:rPr>
              <w:t>PD20212156</w:t>
            </w:r>
          </w:p>
        </w:tc>
      </w:tr>
      <w:tr w14:paraId="2F5289BD">
        <w:tblPrEx>
          <w:tblCellMar>
            <w:top w:w="0" w:type="dxa"/>
            <w:left w:w="0" w:type="dxa"/>
            <w:bottom w:w="0" w:type="dxa"/>
            <w:right w:w="0" w:type="dxa"/>
          </w:tblCellMar>
        </w:tblPrEx>
        <w:trPr>
          <w:wBefore w:w="0" w:type="auto"/>
          <w:tblCellSpacing w:w="0" w:type="dxa"/>
        </w:trPr>
        <w:tc>
          <w:tcPr>
            <w:tcW w:w="0" w:type="auto"/>
            <w:noWrap w:val="0"/>
            <w:vAlign w:val="center"/>
          </w:tcPr>
          <w:p w14:paraId="75BF87AA">
            <w:r>
              <w:rPr>
                <w:rStyle w:val="10"/>
                <w:rFonts w:hint="eastAsia"/>
              </w:rPr>
              <w:t>登记证持有人：</w:t>
            </w:r>
            <w:r>
              <w:rPr>
                <w:rFonts w:hint="eastAsia"/>
              </w:rPr>
              <w:t>黑龙江绿丰源生物科技有限公司</w:t>
            </w:r>
          </w:p>
        </w:tc>
      </w:tr>
      <w:tr w14:paraId="777BF2DA">
        <w:tblPrEx>
          <w:tblCellMar>
            <w:top w:w="0" w:type="dxa"/>
            <w:left w:w="0" w:type="dxa"/>
            <w:bottom w:w="0" w:type="dxa"/>
            <w:right w:w="0" w:type="dxa"/>
          </w:tblCellMar>
        </w:tblPrEx>
        <w:trPr>
          <w:wBefore w:w="0" w:type="auto"/>
          <w:tblCellSpacing w:w="0" w:type="dxa"/>
        </w:trPr>
        <w:tc>
          <w:tcPr>
            <w:tcW w:w="0" w:type="auto"/>
            <w:noWrap w:val="0"/>
            <w:vAlign w:val="center"/>
          </w:tcPr>
          <w:p w14:paraId="668552DB">
            <w:r>
              <w:rPr>
                <w:rStyle w:val="10"/>
                <w:rFonts w:hint="eastAsia"/>
              </w:rPr>
              <w:t>农药名称：</w:t>
            </w:r>
            <w:r>
              <w:rPr>
                <w:rFonts w:hint="eastAsia"/>
              </w:rPr>
              <w:t>灭草松钠盐</w:t>
            </w:r>
          </w:p>
        </w:tc>
      </w:tr>
      <w:tr w14:paraId="5EFA8A77">
        <w:tblPrEx>
          <w:tblCellMar>
            <w:top w:w="0" w:type="dxa"/>
            <w:left w:w="0" w:type="dxa"/>
            <w:bottom w:w="0" w:type="dxa"/>
            <w:right w:w="0" w:type="dxa"/>
          </w:tblCellMar>
        </w:tblPrEx>
        <w:trPr>
          <w:wBefore w:w="0" w:type="auto"/>
          <w:tblCellSpacing w:w="0" w:type="dxa"/>
        </w:trPr>
        <w:tc>
          <w:tcPr>
            <w:tcW w:w="0" w:type="auto"/>
            <w:noWrap w:val="0"/>
            <w:vAlign w:val="center"/>
          </w:tcPr>
          <w:p w14:paraId="4E80EBA8">
            <w:r>
              <w:rPr>
                <w:rStyle w:val="10"/>
                <w:rFonts w:hint="eastAsia"/>
              </w:rPr>
              <w:t>剂型：</w:t>
            </w:r>
            <w:r>
              <w:rPr>
                <w:rFonts w:hint="eastAsia"/>
              </w:rPr>
              <w:t>可溶液剂</w:t>
            </w:r>
          </w:p>
        </w:tc>
      </w:tr>
      <w:tr w14:paraId="5E62E24C">
        <w:tblPrEx>
          <w:tblCellMar>
            <w:top w:w="0" w:type="dxa"/>
            <w:left w:w="0" w:type="dxa"/>
            <w:bottom w:w="0" w:type="dxa"/>
            <w:right w:w="0" w:type="dxa"/>
          </w:tblCellMar>
        </w:tblPrEx>
        <w:trPr>
          <w:wBefore w:w="0" w:type="auto"/>
          <w:tblCellSpacing w:w="0" w:type="dxa"/>
        </w:trPr>
        <w:tc>
          <w:tcPr>
            <w:tcW w:w="0" w:type="auto"/>
            <w:noWrap w:val="0"/>
            <w:vAlign w:val="center"/>
          </w:tcPr>
          <w:p w14:paraId="18532F01">
            <w:r>
              <w:rPr>
                <w:rStyle w:val="10"/>
                <w:rFonts w:hint="eastAsia"/>
              </w:rPr>
              <w:t>毒性及其标识：</w:t>
            </w:r>
            <w:r>
              <w:rPr>
                <w:rFonts w:hint="eastAsia"/>
              </w:rPr>
              <w:t xml:space="preserve"> </w:t>
            </w:r>
            <w:r>
              <w:rPr>
                <w:lang/>
              </w:rPr>
              <w:drawing>
                <wp:inline distT="0" distB="0" distL="114300" distR="114300">
                  <wp:extent cx="476250" cy="323850"/>
                  <wp:effectExtent l="0" t="0" r="0" b="0"/>
                  <wp:docPr id="288" name="图片 28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53DF857">
        <w:tblPrEx>
          <w:tblCellMar>
            <w:top w:w="0" w:type="dxa"/>
            <w:left w:w="0" w:type="dxa"/>
            <w:bottom w:w="0" w:type="dxa"/>
            <w:right w:w="0" w:type="dxa"/>
          </w:tblCellMar>
        </w:tblPrEx>
        <w:trPr>
          <w:wBefore w:w="0" w:type="auto"/>
          <w:tblCellSpacing w:w="0" w:type="dxa"/>
        </w:trPr>
        <w:tc>
          <w:tcPr>
            <w:tcW w:w="0" w:type="auto"/>
            <w:noWrap w:val="0"/>
            <w:vAlign w:val="center"/>
          </w:tcPr>
          <w:p w14:paraId="04B00E63">
            <w:r>
              <w:rPr>
                <w:rStyle w:val="10"/>
                <w:rFonts w:hint="eastAsia"/>
              </w:rPr>
              <w:t>总有效成分含量：</w:t>
            </w:r>
            <w:r>
              <w:rPr>
                <w:rFonts w:hint="eastAsia"/>
              </w:rPr>
              <w:t>480克/升</w:t>
            </w:r>
          </w:p>
        </w:tc>
      </w:tr>
      <w:tr w14:paraId="61A5A5DD">
        <w:tblPrEx>
          <w:tblCellMar>
            <w:top w:w="0" w:type="dxa"/>
            <w:left w:w="0" w:type="dxa"/>
            <w:bottom w:w="0" w:type="dxa"/>
            <w:right w:w="0" w:type="dxa"/>
          </w:tblCellMar>
        </w:tblPrEx>
        <w:trPr>
          <w:wBefore w:w="0" w:type="auto"/>
          <w:tblCellSpacing w:w="0" w:type="dxa"/>
        </w:trPr>
        <w:tc>
          <w:tcPr>
            <w:tcW w:w="0" w:type="auto"/>
            <w:noWrap w:val="0"/>
            <w:vAlign w:val="center"/>
          </w:tcPr>
          <w:p w14:paraId="0268136D">
            <w:r>
              <w:rPr>
                <w:rFonts w:hint="eastAsia"/>
              </w:rPr>
              <w:t xml:space="preserve">有效成分及其含量： </w:t>
            </w:r>
          </w:p>
          <w:p w14:paraId="200665EF">
            <w:r>
              <w:rPr>
                <w:rFonts w:hint="eastAsia"/>
              </w:rPr>
              <w:t xml:space="preserve">    灭草松480克/升    </w:t>
            </w:r>
          </w:p>
        </w:tc>
      </w:tr>
      <w:tr w14:paraId="2D8A00BE">
        <w:tblPrEx>
          <w:tblCellMar>
            <w:top w:w="0" w:type="dxa"/>
            <w:left w:w="0" w:type="dxa"/>
            <w:bottom w:w="0" w:type="dxa"/>
            <w:right w:w="0" w:type="dxa"/>
          </w:tblCellMar>
        </w:tblPrEx>
        <w:trPr>
          <w:wBefore w:w="0" w:type="auto"/>
          <w:tblCellSpacing w:w="0" w:type="dxa"/>
        </w:trPr>
        <w:tc>
          <w:tcPr>
            <w:tcW w:w="0" w:type="auto"/>
            <w:noWrap w:val="0"/>
            <w:vAlign w:val="center"/>
          </w:tcPr>
          <w:p w14:paraId="3FFE256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25A4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E2F29F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2A1AF4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96541A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5E2FB27">
                  <w:r>
                    <w:rPr>
                      <w:rStyle w:val="11"/>
                      <w:rFonts w:hint="eastAsia"/>
                    </w:rPr>
                    <w:t>施用方式</w:t>
                  </w:r>
                </w:p>
              </w:tc>
            </w:tr>
            <w:tr w14:paraId="4FE6BA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D129B9">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94C39F">
                  <w:r>
                    <w:rPr>
                      <w:rStyle w:val="11"/>
                      <w:rFonts w:hint="eastAsia"/>
                    </w:rPr>
                    <w:t>一年生阔叶杂草及莎草科杂草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FAE20B">
                  <w:r>
                    <w:rPr>
                      <w:rStyle w:val="11"/>
                      <w:rFonts w:hint="eastAsia"/>
                    </w:rPr>
                    <w:t>160-200毫升/亩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CF0D44">
                  <w:r>
                    <w:rPr>
                      <w:rStyle w:val="11"/>
                      <w:rFonts w:hint="eastAsia"/>
                    </w:rPr>
                    <w:t>茎叶喷雾</w:t>
                  </w:r>
                </w:p>
              </w:tc>
            </w:tr>
            <w:tr w14:paraId="3223C2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8BC2CBD">
                  <w:r>
                    <w:rPr>
                      <w:rStyle w:val="11"/>
                      <w:rFonts w:hint="eastAsia"/>
                    </w:rPr>
                    <w:t>春大豆田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05131C">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06CA24">
                  <w:r>
                    <w:rPr>
                      <w:rStyle w:val="11"/>
                      <w:rFonts w:hint="eastAsia"/>
                    </w:rPr>
                    <w:t>160-200毫升/亩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8A2CD3">
                  <w:r>
                    <w:rPr>
                      <w:rStyle w:val="11"/>
                      <w:rFonts w:hint="eastAsia"/>
                    </w:rPr>
                    <w:t>茎叶喷雾</w:t>
                  </w:r>
                </w:p>
              </w:tc>
            </w:tr>
          </w:tbl>
          <w:p w14:paraId="1F7FD88C">
            <w:pPr>
              <w:rPr>
                <w:rFonts w:ascii="Times New Roman" w:hAnsi="Times New Roman" w:cs="Times New Roman"/>
                <w:sz w:val="20"/>
                <w:szCs w:val="20"/>
              </w:rPr>
            </w:pPr>
          </w:p>
        </w:tc>
      </w:tr>
      <w:tr w14:paraId="0AFEA0EC">
        <w:tblPrEx>
          <w:tblCellMar>
            <w:top w:w="0" w:type="dxa"/>
            <w:left w:w="0" w:type="dxa"/>
            <w:bottom w:w="0" w:type="dxa"/>
            <w:right w:w="0" w:type="dxa"/>
          </w:tblCellMar>
        </w:tblPrEx>
        <w:trPr>
          <w:wBefore w:w="0" w:type="auto"/>
          <w:tblCellSpacing w:w="0" w:type="dxa"/>
        </w:trPr>
        <w:tc>
          <w:tcPr>
            <w:tcW w:w="0" w:type="auto"/>
            <w:noWrap w:val="0"/>
            <w:vAlign w:val="center"/>
          </w:tcPr>
          <w:p w14:paraId="397AFE3D">
            <w:r>
              <w:rPr>
                <w:rStyle w:val="10"/>
                <w:rFonts w:hint="eastAsia"/>
              </w:rPr>
              <w:t>使用技术要求:</w:t>
            </w:r>
            <w:r>
              <w:rPr>
                <w:rFonts w:hint="eastAsia"/>
              </w:rPr>
              <w:br w:type="textWrapping"/>
            </w:r>
            <w:r>
              <w:rPr>
                <w:rStyle w:val="11"/>
                <w:rFonts w:hint="eastAsia"/>
              </w:rPr>
              <w:t>在春大豆田阔叶杂草2-5叶期茎叶喷雾施药一次；在水稻分蘖后期，杂草2-5叶期茎叶喷雾施药一次。水稻移栽田施药前一天排干田水，施药后1～2天灌水回田，保3～5厘米水层5～7天，以后恢复正常管理。施药时注意防止药雾飘移到非目标植物上造成药害。大风天或预计6小时内降雨，请勿施药。每季最多使用一次。</w:t>
            </w:r>
          </w:p>
        </w:tc>
      </w:tr>
      <w:tr w14:paraId="227A404B">
        <w:tblPrEx>
          <w:tblCellMar>
            <w:top w:w="0" w:type="dxa"/>
            <w:left w:w="0" w:type="dxa"/>
            <w:bottom w:w="0" w:type="dxa"/>
            <w:right w:w="0" w:type="dxa"/>
          </w:tblCellMar>
        </w:tblPrEx>
        <w:trPr>
          <w:wBefore w:w="0" w:type="auto"/>
          <w:tblCellSpacing w:w="0" w:type="dxa"/>
        </w:trPr>
        <w:tc>
          <w:tcPr>
            <w:tcW w:w="0" w:type="auto"/>
            <w:noWrap w:val="0"/>
            <w:vAlign w:val="center"/>
          </w:tcPr>
          <w:p w14:paraId="7BABD444">
            <w:r>
              <w:rPr>
                <w:rStyle w:val="10"/>
                <w:rFonts w:hint="eastAsia"/>
              </w:rPr>
              <w:t>产品性能:</w:t>
            </w:r>
            <w:r>
              <w:rPr>
                <w:rFonts w:hint="eastAsia"/>
              </w:rPr>
              <w:br w:type="textWrapping"/>
            </w:r>
            <w:r>
              <w:rPr>
                <w:rStyle w:val="11"/>
                <w:rFonts w:hint="eastAsia"/>
              </w:rPr>
              <w:t>本品是触杀型具选择性的苗后除草剂，通过叶片接触而起作用。旱田使用，先通过叶面渗透传导到叶绿体内抑制光合作用。水田使用既能通过叶面渗透又能通过根部吸收，传导到茎叶，强烈阻碍杂草光合作用和水分代谢，造成营养饥饿，使生理机能失调而致死。</w:t>
            </w:r>
          </w:p>
        </w:tc>
      </w:tr>
      <w:tr w14:paraId="6125D089">
        <w:tblPrEx>
          <w:tblCellMar>
            <w:top w:w="0" w:type="dxa"/>
            <w:left w:w="0" w:type="dxa"/>
            <w:bottom w:w="0" w:type="dxa"/>
            <w:right w:w="0" w:type="dxa"/>
          </w:tblCellMar>
        </w:tblPrEx>
        <w:trPr>
          <w:wBefore w:w="0" w:type="auto"/>
          <w:tblCellSpacing w:w="0" w:type="dxa"/>
        </w:trPr>
        <w:tc>
          <w:tcPr>
            <w:tcW w:w="0" w:type="auto"/>
            <w:noWrap w:val="0"/>
            <w:vAlign w:val="center"/>
          </w:tcPr>
          <w:p w14:paraId="14EFA137">
            <w:r>
              <w:rPr>
                <w:rStyle w:val="10"/>
                <w:rFonts w:hint="eastAsia"/>
              </w:rPr>
              <w:t>注意事项：</w:t>
            </w:r>
            <w:r>
              <w:rPr>
                <w:rFonts w:hint="eastAsia"/>
              </w:rPr>
              <w:br w:type="textWrapping"/>
            </w:r>
            <w:r>
              <w:rPr>
                <w:rStyle w:val="11"/>
                <w:rFonts w:hint="eastAsia"/>
              </w:rPr>
              <w:t>1、严格按照说明使用，不可扩大使用范围或随意加大用药量，以免造成药害。2、灭草松在高温晴天活性较高，除草效果较好，施药后8小时内应无雨。在极其干旱或水涝的田间不宜使用，以防发生要害，大风时不要施药，以免飘移伤及邻近敏感作物。3、使用时避免接触眼睛，穿戴长衣、长裤、帽子、口罩、手套等安全防护措施。在操作时禁止吸烟、喝水、吃东西等。工作后要用肥皂彻底清洗手、脸和漱口。4、孕妇和哺乳期妇女避免接触此药。5、清洗器具的废水不能排入河流，池塘等，废弃物要妥善处理，不能随意丢弃，也不能做他用。6、禁止在河塘等水体中清洗施药器具；赤眼蜂等天敌放飞区域禁用。7、水层勿淹没水稻心叶以避免药害。8、鱼或虾蟹套养稻田禁用、施药后的田水不得直接排入水体。</w:t>
            </w:r>
          </w:p>
        </w:tc>
      </w:tr>
      <w:tr w14:paraId="125B3E73">
        <w:tblPrEx>
          <w:tblCellMar>
            <w:top w:w="0" w:type="dxa"/>
            <w:left w:w="0" w:type="dxa"/>
            <w:bottom w:w="0" w:type="dxa"/>
            <w:right w:w="0" w:type="dxa"/>
          </w:tblCellMar>
        </w:tblPrEx>
        <w:trPr>
          <w:wBefore w:w="0" w:type="auto"/>
          <w:tblCellSpacing w:w="0" w:type="dxa"/>
        </w:trPr>
        <w:tc>
          <w:tcPr>
            <w:tcW w:w="0" w:type="auto"/>
            <w:noWrap w:val="0"/>
            <w:vAlign w:val="center"/>
          </w:tcPr>
          <w:p w14:paraId="59D05C87">
            <w:r>
              <w:rPr>
                <w:rStyle w:val="10"/>
                <w:rFonts w:hint="eastAsia"/>
              </w:rPr>
              <w:t>中毒急救措施：</w:t>
            </w:r>
            <w:r>
              <w:rPr>
                <w:rFonts w:hint="eastAsia"/>
              </w:rPr>
              <w:br w:type="textWrapping"/>
            </w:r>
            <w:r>
              <w:rPr>
                <w:rStyle w:val="11"/>
                <w:rFonts w:hint="eastAsia"/>
              </w:rPr>
              <w:t>本品对眼睛和皮肤有刺激作用。 急救措施：使用中或使用后如果感觉不适，应立即停止工作，采取急救措施，并携带标签送医院就诊。 1．皮肤接触：脱去污染的衣物，用软布去除沾染农药，立即用大量清水和肥皂冲洗。 2．眼睛溅入：立即用流动清水冲洗不少于15分钟。 3．吸入：立即离开施药现场，转移到空气清新处。 4．误食：立即停止服用，用清水充分漱口后，立即携带农药标签到医院就诊。 5．尚无特效解毒剂。</w:t>
            </w:r>
          </w:p>
        </w:tc>
      </w:tr>
      <w:tr w14:paraId="27E4E75F">
        <w:tblPrEx>
          <w:tblCellMar>
            <w:top w:w="0" w:type="dxa"/>
            <w:left w:w="0" w:type="dxa"/>
            <w:bottom w:w="0" w:type="dxa"/>
            <w:right w:w="0" w:type="dxa"/>
          </w:tblCellMar>
        </w:tblPrEx>
        <w:trPr>
          <w:wBefore w:w="0" w:type="auto"/>
          <w:tblCellSpacing w:w="0" w:type="dxa"/>
        </w:trPr>
        <w:tc>
          <w:tcPr>
            <w:tcW w:w="0" w:type="auto"/>
            <w:noWrap w:val="0"/>
            <w:vAlign w:val="center"/>
          </w:tcPr>
          <w:p w14:paraId="7BEB20D3">
            <w:r>
              <w:rPr>
                <w:rStyle w:val="10"/>
                <w:rFonts w:hint="eastAsia"/>
              </w:rPr>
              <w:t>储存和运输方法：</w:t>
            </w:r>
            <w:r>
              <w:rPr>
                <w:rFonts w:hint="eastAsia"/>
              </w:rPr>
              <w:br w:type="textWrapping"/>
            </w:r>
            <w:r>
              <w:rPr>
                <w:rStyle w:val="11"/>
                <w:rFonts w:hint="eastAsia"/>
              </w:rPr>
              <w:t>１.产品密封后存放在阴凉、干燥、通风处，不要直接置于阳光下,或过热,或低于0℃的地方。2.远离家禽,不能与粮食、食品、饲料和种子混合贮存运输。3.远离儿童，贮存于儿童触及不到的地方，并加锁。</w:t>
            </w:r>
          </w:p>
        </w:tc>
      </w:tr>
      <w:tr w14:paraId="1DA73560">
        <w:tblPrEx>
          <w:tblCellMar>
            <w:top w:w="0" w:type="dxa"/>
            <w:left w:w="0" w:type="dxa"/>
            <w:bottom w:w="0" w:type="dxa"/>
            <w:right w:w="0" w:type="dxa"/>
          </w:tblCellMar>
        </w:tblPrEx>
        <w:trPr>
          <w:wBefore w:w="0" w:type="auto"/>
          <w:tblCellSpacing w:w="0" w:type="dxa"/>
        </w:trPr>
        <w:tc>
          <w:tcPr>
            <w:tcW w:w="0" w:type="auto"/>
            <w:noWrap w:val="0"/>
            <w:vAlign w:val="center"/>
          </w:tcPr>
          <w:p w14:paraId="66215E6B">
            <w:r>
              <w:rPr>
                <w:rStyle w:val="10"/>
                <w:rFonts w:hint="eastAsia"/>
              </w:rPr>
              <w:t>质量保证期：</w:t>
            </w:r>
            <w:r>
              <w:rPr>
                <w:rStyle w:val="11"/>
                <w:rFonts w:hint="eastAsia"/>
              </w:rPr>
              <w:t>2年</w:t>
            </w:r>
          </w:p>
        </w:tc>
      </w:tr>
      <w:tr w14:paraId="014AA465">
        <w:tblPrEx>
          <w:tblCellMar>
            <w:top w:w="0" w:type="dxa"/>
            <w:left w:w="0" w:type="dxa"/>
            <w:bottom w:w="0" w:type="dxa"/>
            <w:right w:w="0" w:type="dxa"/>
          </w:tblCellMar>
        </w:tblPrEx>
        <w:trPr>
          <w:wBefore w:w="0" w:type="auto"/>
          <w:tblCellSpacing w:w="0" w:type="dxa"/>
        </w:trPr>
        <w:tc>
          <w:tcPr>
            <w:tcW w:w="0" w:type="auto"/>
            <w:noWrap w:val="0"/>
            <w:vAlign w:val="center"/>
          </w:tcPr>
          <w:p w14:paraId="5F396316">
            <w:r>
              <w:rPr>
                <w:rStyle w:val="10"/>
                <w:rFonts w:hint="eastAsia"/>
              </w:rPr>
              <w:t>备注：</w:t>
            </w:r>
            <w:r>
              <w:rPr>
                <w:rFonts w:hint="eastAsia"/>
              </w:rPr>
              <w:br w:type="textWrapping"/>
            </w:r>
            <w:r>
              <w:rPr>
                <w:rStyle w:val="11"/>
                <w:rFonts w:hint="eastAsia"/>
              </w:rPr>
              <w:t>灭草松质量分数40%；灭草松钠盐质量分数43.6%；灭草松钠盐质量浓度524克/升。</w:t>
            </w:r>
          </w:p>
        </w:tc>
      </w:tr>
    </w:tbl>
    <w:p w14:paraId="036656F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B9DA053">
        <w:tblPrEx>
          <w:tblCellMar>
            <w:top w:w="0" w:type="dxa"/>
            <w:left w:w="0" w:type="dxa"/>
            <w:bottom w:w="0" w:type="dxa"/>
            <w:right w:w="0" w:type="dxa"/>
          </w:tblCellMar>
        </w:tblPrEx>
        <w:trPr>
          <w:wBefore w:w="0" w:type="auto"/>
          <w:tblCellSpacing w:w="0" w:type="dxa"/>
        </w:trPr>
        <w:tc>
          <w:tcPr>
            <w:tcW w:w="0" w:type="auto"/>
            <w:noWrap w:val="0"/>
            <w:vAlign w:val="center"/>
          </w:tcPr>
          <w:p w14:paraId="7E527687">
            <w:r>
              <w:rPr>
                <w:rStyle w:val="10"/>
                <w:rFonts w:hint="eastAsia"/>
              </w:rPr>
              <w:t>登记证号：</w:t>
            </w:r>
            <w:r>
              <w:rPr>
                <w:rFonts w:hint="eastAsia"/>
              </w:rPr>
              <w:t>PD20212247</w:t>
            </w:r>
          </w:p>
        </w:tc>
      </w:tr>
      <w:tr w14:paraId="70AA7BA8">
        <w:tblPrEx>
          <w:tblCellMar>
            <w:top w:w="0" w:type="dxa"/>
            <w:left w:w="0" w:type="dxa"/>
            <w:bottom w:w="0" w:type="dxa"/>
            <w:right w:w="0" w:type="dxa"/>
          </w:tblCellMar>
        </w:tblPrEx>
        <w:trPr>
          <w:wBefore w:w="0" w:type="auto"/>
          <w:tblCellSpacing w:w="0" w:type="dxa"/>
        </w:trPr>
        <w:tc>
          <w:tcPr>
            <w:tcW w:w="0" w:type="auto"/>
            <w:noWrap w:val="0"/>
            <w:vAlign w:val="center"/>
          </w:tcPr>
          <w:p w14:paraId="1383C44F">
            <w:r>
              <w:rPr>
                <w:rStyle w:val="10"/>
                <w:rFonts w:hint="eastAsia"/>
              </w:rPr>
              <w:t>登记证持有人：</w:t>
            </w:r>
            <w:r>
              <w:rPr>
                <w:rFonts w:hint="eastAsia"/>
              </w:rPr>
              <w:t>东莞市瑞德丰生物科技有限公司</w:t>
            </w:r>
          </w:p>
        </w:tc>
      </w:tr>
      <w:tr w14:paraId="46B3D278">
        <w:tblPrEx>
          <w:tblCellMar>
            <w:top w:w="0" w:type="dxa"/>
            <w:left w:w="0" w:type="dxa"/>
            <w:bottom w:w="0" w:type="dxa"/>
            <w:right w:w="0" w:type="dxa"/>
          </w:tblCellMar>
        </w:tblPrEx>
        <w:trPr>
          <w:wBefore w:w="0" w:type="auto"/>
          <w:tblCellSpacing w:w="0" w:type="dxa"/>
        </w:trPr>
        <w:tc>
          <w:tcPr>
            <w:tcW w:w="0" w:type="auto"/>
            <w:noWrap w:val="0"/>
            <w:vAlign w:val="center"/>
          </w:tcPr>
          <w:p w14:paraId="4C690175">
            <w:r>
              <w:rPr>
                <w:rStyle w:val="10"/>
                <w:rFonts w:hint="eastAsia"/>
              </w:rPr>
              <w:t>农药名称：</w:t>
            </w:r>
            <w:r>
              <w:rPr>
                <w:rFonts w:hint="eastAsia"/>
              </w:rPr>
              <w:t>苯唑·莠去津</w:t>
            </w:r>
          </w:p>
        </w:tc>
      </w:tr>
      <w:tr w14:paraId="5AF98B13">
        <w:tblPrEx>
          <w:tblCellMar>
            <w:top w:w="0" w:type="dxa"/>
            <w:left w:w="0" w:type="dxa"/>
            <w:bottom w:w="0" w:type="dxa"/>
            <w:right w:w="0" w:type="dxa"/>
          </w:tblCellMar>
        </w:tblPrEx>
        <w:trPr>
          <w:wBefore w:w="0" w:type="auto"/>
          <w:tblCellSpacing w:w="0" w:type="dxa"/>
        </w:trPr>
        <w:tc>
          <w:tcPr>
            <w:tcW w:w="0" w:type="auto"/>
            <w:noWrap w:val="0"/>
            <w:vAlign w:val="center"/>
          </w:tcPr>
          <w:p w14:paraId="05492B11">
            <w:r>
              <w:rPr>
                <w:rStyle w:val="10"/>
                <w:rFonts w:hint="eastAsia"/>
              </w:rPr>
              <w:t>剂型：</w:t>
            </w:r>
            <w:r>
              <w:rPr>
                <w:rFonts w:hint="eastAsia"/>
              </w:rPr>
              <w:t>悬浮剂</w:t>
            </w:r>
          </w:p>
        </w:tc>
      </w:tr>
      <w:tr w14:paraId="6B663034">
        <w:tblPrEx>
          <w:tblCellMar>
            <w:top w:w="0" w:type="dxa"/>
            <w:left w:w="0" w:type="dxa"/>
            <w:bottom w:w="0" w:type="dxa"/>
            <w:right w:w="0" w:type="dxa"/>
          </w:tblCellMar>
        </w:tblPrEx>
        <w:trPr>
          <w:wBefore w:w="0" w:type="auto"/>
          <w:tblCellSpacing w:w="0" w:type="dxa"/>
        </w:trPr>
        <w:tc>
          <w:tcPr>
            <w:tcW w:w="0" w:type="auto"/>
            <w:noWrap w:val="0"/>
            <w:vAlign w:val="center"/>
          </w:tcPr>
          <w:p w14:paraId="565844C8">
            <w:r>
              <w:rPr>
                <w:rStyle w:val="10"/>
                <w:rFonts w:hint="eastAsia"/>
              </w:rPr>
              <w:t>毒性及其标识：</w:t>
            </w:r>
            <w:r>
              <w:rPr>
                <w:rFonts w:hint="eastAsia"/>
              </w:rPr>
              <w:t xml:space="preserve"> </w:t>
            </w:r>
            <w:r>
              <w:rPr>
                <w:lang/>
              </w:rPr>
              <w:drawing>
                <wp:inline distT="0" distB="0" distL="114300" distR="114300">
                  <wp:extent cx="476250" cy="323850"/>
                  <wp:effectExtent l="0" t="0" r="0" b="0"/>
                  <wp:docPr id="289" name="图片 28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5AE6797">
        <w:tblPrEx>
          <w:tblCellMar>
            <w:top w:w="0" w:type="dxa"/>
            <w:left w:w="0" w:type="dxa"/>
            <w:bottom w:w="0" w:type="dxa"/>
            <w:right w:w="0" w:type="dxa"/>
          </w:tblCellMar>
        </w:tblPrEx>
        <w:trPr>
          <w:wBefore w:w="0" w:type="auto"/>
          <w:tblCellSpacing w:w="0" w:type="dxa"/>
        </w:trPr>
        <w:tc>
          <w:tcPr>
            <w:tcW w:w="0" w:type="auto"/>
            <w:noWrap w:val="0"/>
            <w:vAlign w:val="center"/>
          </w:tcPr>
          <w:p w14:paraId="1251C899">
            <w:r>
              <w:rPr>
                <w:rStyle w:val="10"/>
                <w:rFonts w:hint="eastAsia"/>
              </w:rPr>
              <w:t>总有效成分含量：</w:t>
            </w:r>
            <w:r>
              <w:rPr>
                <w:rFonts w:hint="eastAsia"/>
              </w:rPr>
              <w:t>310克/升</w:t>
            </w:r>
          </w:p>
        </w:tc>
      </w:tr>
      <w:tr w14:paraId="03C87899">
        <w:tblPrEx>
          <w:tblCellMar>
            <w:top w:w="0" w:type="dxa"/>
            <w:left w:w="0" w:type="dxa"/>
            <w:bottom w:w="0" w:type="dxa"/>
            <w:right w:w="0" w:type="dxa"/>
          </w:tblCellMar>
        </w:tblPrEx>
        <w:trPr>
          <w:wBefore w:w="0" w:type="auto"/>
          <w:tblCellSpacing w:w="0" w:type="dxa"/>
        </w:trPr>
        <w:tc>
          <w:tcPr>
            <w:tcW w:w="0" w:type="auto"/>
            <w:noWrap w:val="0"/>
            <w:vAlign w:val="center"/>
          </w:tcPr>
          <w:p w14:paraId="7DE02710">
            <w:r>
              <w:rPr>
                <w:rFonts w:hint="eastAsia"/>
              </w:rPr>
              <w:t xml:space="preserve">有效成分及其含量： </w:t>
            </w:r>
          </w:p>
          <w:p w14:paraId="30115AB6">
            <w:r>
              <w:rPr>
                <w:rFonts w:hint="eastAsia"/>
              </w:rPr>
              <w:t xml:space="preserve">    苯唑草酮10克/升    莠去津300克/升    </w:t>
            </w:r>
          </w:p>
        </w:tc>
      </w:tr>
      <w:tr w14:paraId="5364BC95">
        <w:tblPrEx>
          <w:tblCellMar>
            <w:top w:w="0" w:type="dxa"/>
            <w:left w:w="0" w:type="dxa"/>
            <w:bottom w:w="0" w:type="dxa"/>
            <w:right w:w="0" w:type="dxa"/>
          </w:tblCellMar>
        </w:tblPrEx>
        <w:trPr>
          <w:wBefore w:w="0" w:type="auto"/>
          <w:tblCellSpacing w:w="0" w:type="dxa"/>
        </w:trPr>
        <w:tc>
          <w:tcPr>
            <w:tcW w:w="0" w:type="auto"/>
            <w:noWrap w:val="0"/>
            <w:vAlign w:val="center"/>
          </w:tcPr>
          <w:p w14:paraId="735FE60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E6383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253C71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F4ADC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81A6D4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CCECD45">
                  <w:r>
                    <w:rPr>
                      <w:rStyle w:val="11"/>
                      <w:rFonts w:hint="eastAsia"/>
                    </w:rPr>
                    <w:t>施用方式</w:t>
                  </w:r>
                </w:p>
              </w:tc>
            </w:tr>
            <w:tr w14:paraId="66D1B3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ABD40DB">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0A15F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0687C8">
                  <w:r>
                    <w:rPr>
                      <w:rStyle w:val="11"/>
                      <w:rFonts w:hint="eastAsia"/>
                    </w:rPr>
                    <w:t>120-140毫升/亩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971C53">
                  <w:r>
                    <w:rPr>
                      <w:rStyle w:val="11"/>
                      <w:rFonts w:hint="eastAsia"/>
                    </w:rPr>
                    <w:t>茎叶喷雾</w:t>
                  </w:r>
                </w:p>
              </w:tc>
            </w:tr>
          </w:tbl>
          <w:p w14:paraId="3FEAB783">
            <w:pPr>
              <w:rPr>
                <w:rFonts w:ascii="Times New Roman" w:hAnsi="Times New Roman" w:cs="Times New Roman"/>
                <w:sz w:val="20"/>
                <w:szCs w:val="20"/>
              </w:rPr>
            </w:pPr>
          </w:p>
        </w:tc>
      </w:tr>
      <w:tr w14:paraId="2EA2C215">
        <w:tblPrEx>
          <w:tblCellMar>
            <w:top w:w="0" w:type="dxa"/>
            <w:left w:w="0" w:type="dxa"/>
            <w:bottom w:w="0" w:type="dxa"/>
            <w:right w:w="0" w:type="dxa"/>
          </w:tblCellMar>
        </w:tblPrEx>
        <w:trPr>
          <w:wBefore w:w="0" w:type="auto"/>
          <w:tblCellSpacing w:w="0" w:type="dxa"/>
        </w:trPr>
        <w:tc>
          <w:tcPr>
            <w:tcW w:w="0" w:type="auto"/>
            <w:noWrap w:val="0"/>
            <w:vAlign w:val="center"/>
          </w:tcPr>
          <w:p w14:paraId="3D72E0FF">
            <w:r>
              <w:rPr>
                <w:rStyle w:val="10"/>
                <w:rFonts w:hint="eastAsia"/>
              </w:rPr>
              <w:t>使用技术要求:</w:t>
            </w:r>
            <w:r>
              <w:rPr>
                <w:rFonts w:hint="eastAsia"/>
              </w:rPr>
              <w:br w:type="textWrapping"/>
            </w:r>
            <w:r>
              <w:rPr>
                <w:rStyle w:val="11"/>
                <w:rFonts w:hint="eastAsia"/>
              </w:rPr>
              <w:t>1、建议在玉米3-5叶期，杂草2-4叶期进行茎叶喷雾处理；2、间套或混种有其他作物的玉米田，不能使用本品；3、低温和干旱的天气，杂草死亡的时间会变长；4、施药应选择在晴朗无风或微风天气下进行，以免因药液漂移对周边作物造成影响；5、在玉米上每季最多使用1次，至收获期安全。</w:t>
            </w:r>
          </w:p>
        </w:tc>
      </w:tr>
      <w:tr w14:paraId="4160BCD5">
        <w:tblPrEx>
          <w:tblCellMar>
            <w:top w:w="0" w:type="dxa"/>
            <w:left w:w="0" w:type="dxa"/>
            <w:bottom w:w="0" w:type="dxa"/>
            <w:right w:w="0" w:type="dxa"/>
          </w:tblCellMar>
        </w:tblPrEx>
        <w:trPr>
          <w:wBefore w:w="0" w:type="auto"/>
          <w:tblCellSpacing w:w="0" w:type="dxa"/>
        </w:trPr>
        <w:tc>
          <w:tcPr>
            <w:tcW w:w="0" w:type="auto"/>
            <w:noWrap w:val="0"/>
            <w:vAlign w:val="center"/>
          </w:tcPr>
          <w:p w14:paraId="14CE1C50">
            <w:r>
              <w:rPr>
                <w:rStyle w:val="10"/>
                <w:rFonts w:hint="eastAsia"/>
              </w:rPr>
              <w:t>产品性能:</w:t>
            </w:r>
            <w:r>
              <w:rPr>
                <w:rFonts w:hint="eastAsia"/>
              </w:rPr>
              <w:br w:type="textWrapping"/>
            </w:r>
            <w:r>
              <w:rPr>
                <w:rStyle w:val="11"/>
                <w:rFonts w:hint="eastAsia"/>
              </w:rPr>
              <w:t>本品由苯甲酰吡唑啉酮类苗后茎叶处理除草剂和三嗪类苗前苗后除草剂混配而成，通过抑制HPPD的活性和抑制杂草的光合作用而使杂草死亡。具有较好的内吸传导性，可以被植物的叶、根和茎吸收。本品杀草谱广、作用速度快、持效期较长，正常使用情况下对作物安全，能够有效防除玉米田一年生杂草。</w:t>
            </w:r>
          </w:p>
        </w:tc>
      </w:tr>
      <w:tr w14:paraId="77A8FA5E">
        <w:tblPrEx>
          <w:tblCellMar>
            <w:top w:w="0" w:type="dxa"/>
            <w:left w:w="0" w:type="dxa"/>
            <w:bottom w:w="0" w:type="dxa"/>
            <w:right w:w="0" w:type="dxa"/>
          </w:tblCellMar>
        </w:tblPrEx>
        <w:trPr>
          <w:wBefore w:w="0" w:type="auto"/>
          <w:tblCellSpacing w:w="0" w:type="dxa"/>
        </w:trPr>
        <w:tc>
          <w:tcPr>
            <w:tcW w:w="0" w:type="auto"/>
            <w:noWrap w:val="0"/>
            <w:vAlign w:val="center"/>
          </w:tcPr>
          <w:p w14:paraId="61CFB8F6">
            <w:r>
              <w:rPr>
                <w:rStyle w:val="10"/>
                <w:rFonts w:hint="eastAsia"/>
              </w:rPr>
              <w:t>注意事项：</w:t>
            </w:r>
            <w:r>
              <w:rPr>
                <w:rFonts w:hint="eastAsia"/>
              </w:rPr>
              <w:br w:type="textWrapping"/>
            </w:r>
            <w:r>
              <w:rPr>
                <w:rStyle w:val="11"/>
                <w:rFonts w:hint="eastAsia"/>
              </w:rPr>
              <w:t>[1]配药和施药时，应穿防护服，戴口罩或防毒面具以及胶皮手套，以避免污染皮肤和眼睛，施药完毕后应及时换洗衣物，洗净手、脸和被污染的皮肤； [2]施药前、后要彻底清洗喷药器械，洗涤后的废水不应污染河流等水源，未用完的药液应密封后妥善放置；[3]开启封口应小心药液溅出，废弃包装瓶子应冲洗后按照当地有关规定进行回收处理； [4]后茬种植苜蓿、棉花、花生、马铃薯、高粱、大豆、向日葵、菜豆、豌豆、甜菜、油菜等作物需先进行小面积试验，确认安全后再种植； [5]孕妇及哺乳期妇女禁止接触本品； [6]远离水产养殖区施药，禁止在河塘等水域中清洗施药器具，蚕室及桑园附近禁用。</w:t>
            </w:r>
          </w:p>
        </w:tc>
      </w:tr>
      <w:tr w14:paraId="7C1B6C99">
        <w:tblPrEx>
          <w:tblCellMar>
            <w:top w:w="0" w:type="dxa"/>
            <w:left w:w="0" w:type="dxa"/>
            <w:bottom w:w="0" w:type="dxa"/>
            <w:right w:w="0" w:type="dxa"/>
          </w:tblCellMar>
        </w:tblPrEx>
        <w:trPr>
          <w:wBefore w:w="0" w:type="auto"/>
          <w:tblCellSpacing w:w="0" w:type="dxa"/>
        </w:trPr>
        <w:tc>
          <w:tcPr>
            <w:tcW w:w="0" w:type="auto"/>
            <w:noWrap w:val="0"/>
            <w:vAlign w:val="center"/>
          </w:tcPr>
          <w:p w14:paraId="73343A5F">
            <w:r>
              <w:rPr>
                <w:rStyle w:val="10"/>
                <w:rFonts w:hint="eastAsia"/>
              </w:rPr>
              <w:t>中毒急救措施：</w:t>
            </w:r>
            <w:r>
              <w:rPr>
                <w:rFonts w:hint="eastAsia"/>
              </w:rPr>
              <w:br w:type="textWrapping"/>
            </w:r>
            <w:r>
              <w:rPr>
                <w:rStyle w:val="11"/>
                <w:rFonts w:hint="eastAsia"/>
              </w:rPr>
              <w:t>本品对眼睛有刺激性。不慎吸入，应将病人移至空气流通处，保持呼吸道畅通；不慎接触皮肤或溅入眼睛，应用大量清水冲洗至少15分钟；误服，立即携带标签送医院就诊。无特效解毒药，对症治疗。</w:t>
            </w:r>
          </w:p>
        </w:tc>
      </w:tr>
      <w:tr w14:paraId="3F4F3DA1">
        <w:tblPrEx>
          <w:tblCellMar>
            <w:top w:w="0" w:type="dxa"/>
            <w:left w:w="0" w:type="dxa"/>
            <w:bottom w:w="0" w:type="dxa"/>
            <w:right w:w="0" w:type="dxa"/>
          </w:tblCellMar>
        </w:tblPrEx>
        <w:trPr>
          <w:wBefore w:w="0" w:type="auto"/>
          <w:tblCellSpacing w:w="0" w:type="dxa"/>
        </w:trPr>
        <w:tc>
          <w:tcPr>
            <w:tcW w:w="0" w:type="auto"/>
            <w:noWrap w:val="0"/>
            <w:vAlign w:val="center"/>
          </w:tcPr>
          <w:p w14:paraId="1E51C6C2">
            <w:r>
              <w:rPr>
                <w:rStyle w:val="10"/>
                <w:rFonts w:hint="eastAsia"/>
              </w:rPr>
              <w:t>储存和运输方法：</w:t>
            </w:r>
            <w:r>
              <w:rPr>
                <w:rFonts w:hint="eastAsia"/>
              </w:rPr>
              <w:br w:type="textWrapping"/>
            </w:r>
            <w:r>
              <w:rPr>
                <w:rStyle w:val="11"/>
                <w:rFonts w:hint="eastAsia"/>
              </w:rPr>
              <w:t>1、本品应贮存于阴凉、干燥、通风、防雨处，远离火源或热源；2、置于儿童、无关人员触及不到之处，并加锁，勿与食品、饮料、粮食、饲料等其他物品同贮同运；3、搬运及运输过程中，轻拿轻放，防止倒置，注意防雨防潮。</w:t>
            </w:r>
          </w:p>
        </w:tc>
      </w:tr>
      <w:tr w14:paraId="20C61B69">
        <w:tblPrEx>
          <w:tblCellMar>
            <w:top w:w="0" w:type="dxa"/>
            <w:left w:w="0" w:type="dxa"/>
            <w:bottom w:w="0" w:type="dxa"/>
            <w:right w:w="0" w:type="dxa"/>
          </w:tblCellMar>
        </w:tblPrEx>
        <w:trPr>
          <w:wBefore w:w="0" w:type="auto"/>
          <w:tblCellSpacing w:w="0" w:type="dxa"/>
        </w:trPr>
        <w:tc>
          <w:tcPr>
            <w:tcW w:w="0" w:type="auto"/>
            <w:noWrap w:val="0"/>
            <w:vAlign w:val="center"/>
          </w:tcPr>
          <w:p w14:paraId="08AD65E9">
            <w:r>
              <w:rPr>
                <w:rStyle w:val="10"/>
                <w:rFonts w:hint="eastAsia"/>
              </w:rPr>
              <w:t>质量保证期：</w:t>
            </w:r>
            <w:r>
              <w:rPr>
                <w:rStyle w:val="11"/>
                <w:rFonts w:hint="eastAsia"/>
              </w:rPr>
              <w:t>2年</w:t>
            </w:r>
          </w:p>
        </w:tc>
      </w:tr>
      <w:tr w14:paraId="4345955C">
        <w:tblPrEx>
          <w:tblCellMar>
            <w:top w:w="0" w:type="dxa"/>
            <w:left w:w="0" w:type="dxa"/>
            <w:bottom w:w="0" w:type="dxa"/>
            <w:right w:w="0" w:type="dxa"/>
          </w:tblCellMar>
        </w:tblPrEx>
        <w:trPr>
          <w:wBefore w:w="0" w:type="auto"/>
          <w:tblCellSpacing w:w="0" w:type="dxa"/>
        </w:trPr>
        <w:tc>
          <w:tcPr>
            <w:tcW w:w="0" w:type="auto"/>
            <w:noWrap w:val="0"/>
            <w:vAlign w:val="center"/>
          </w:tcPr>
          <w:p w14:paraId="35CEABB2">
            <w:r>
              <w:rPr>
                <w:rStyle w:val="10"/>
                <w:rFonts w:hint="eastAsia"/>
              </w:rPr>
              <w:t>备注：</w:t>
            </w:r>
            <w:r>
              <w:rPr>
                <w:rFonts w:hint="eastAsia"/>
              </w:rPr>
              <w:br w:type="textWrapping"/>
            </w:r>
            <w:r>
              <w:rPr>
                <w:rStyle w:val="11"/>
                <w:rFonts w:hint="eastAsia"/>
              </w:rPr>
              <w:t>质量分数29%（苯唑草酮0.94%，莠去津28.06%）。</w:t>
            </w:r>
          </w:p>
        </w:tc>
      </w:tr>
    </w:tbl>
    <w:p w14:paraId="21ACCB6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1BB0DF8">
        <w:tblPrEx>
          <w:tblCellMar>
            <w:top w:w="0" w:type="dxa"/>
            <w:left w:w="0" w:type="dxa"/>
            <w:bottom w:w="0" w:type="dxa"/>
            <w:right w:w="0" w:type="dxa"/>
          </w:tblCellMar>
        </w:tblPrEx>
        <w:trPr>
          <w:wBefore w:w="0" w:type="auto"/>
          <w:tblCellSpacing w:w="0" w:type="dxa"/>
        </w:trPr>
        <w:tc>
          <w:tcPr>
            <w:tcW w:w="0" w:type="auto"/>
            <w:noWrap w:val="0"/>
            <w:vAlign w:val="center"/>
          </w:tcPr>
          <w:p w14:paraId="71A6DE2A">
            <w:r>
              <w:rPr>
                <w:rStyle w:val="10"/>
                <w:rFonts w:hint="eastAsia"/>
              </w:rPr>
              <w:t>登记证号：</w:t>
            </w:r>
            <w:r>
              <w:rPr>
                <w:rFonts w:hint="eastAsia"/>
              </w:rPr>
              <w:t>WP20210261</w:t>
            </w:r>
          </w:p>
        </w:tc>
      </w:tr>
      <w:tr w14:paraId="58DB1A76">
        <w:tblPrEx>
          <w:tblCellMar>
            <w:top w:w="0" w:type="dxa"/>
            <w:left w:w="0" w:type="dxa"/>
            <w:bottom w:w="0" w:type="dxa"/>
            <w:right w:w="0" w:type="dxa"/>
          </w:tblCellMar>
        </w:tblPrEx>
        <w:trPr>
          <w:wBefore w:w="0" w:type="auto"/>
          <w:tblCellSpacing w:w="0" w:type="dxa"/>
        </w:trPr>
        <w:tc>
          <w:tcPr>
            <w:tcW w:w="0" w:type="auto"/>
            <w:noWrap w:val="0"/>
            <w:vAlign w:val="center"/>
          </w:tcPr>
          <w:p w14:paraId="083C6203">
            <w:r>
              <w:rPr>
                <w:rStyle w:val="10"/>
                <w:rFonts w:hint="eastAsia"/>
              </w:rPr>
              <w:t>登记证持有人：</w:t>
            </w:r>
            <w:r>
              <w:rPr>
                <w:rFonts w:hint="eastAsia"/>
              </w:rPr>
              <w:t>中山榄菊日化实业有限公司</w:t>
            </w:r>
          </w:p>
        </w:tc>
      </w:tr>
      <w:tr w14:paraId="499206B4">
        <w:tblPrEx>
          <w:tblCellMar>
            <w:top w:w="0" w:type="dxa"/>
            <w:left w:w="0" w:type="dxa"/>
            <w:bottom w:w="0" w:type="dxa"/>
            <w:right w:w="0" w:type="dxa"/>
          </w:tblCellMar>
        </w:tblPrEx>
        <w:trPr>
          <w:wBefore w:w="0" w:type="auto"/>
          <w:tblCellSpacing w:w="0" w:type="dxa"/>
        </w:trPr>
        <w:tc>
          <w:tcPr>
            <w:tcW w:w="0" w:type="auto"/>
            <w:noWrap w:val="0"/>
            <w:vAlign w:val="center"/>
          </w:tcPr>
          <w:p w14:paraId="4BF56490">
            <w:r>
              <w:rPr>
                <w:rStyle w:val="10"/>
                <w:rFonts w:hint="eastAsia"/>
              </w:rPr>
              <w:t>农药名称：</w:t>
            </w:r>
            <w:r>
              <w:rPr>
                <w:rFonts w:hint="eastAsia"/>
              </w:rPr>
              <w:t>氟氯·吡虫啉</w:t>
            </w:r>
          </w:p>
        </w:tc>
      </w:tr>
      <w:tr w14:paraId="50D33C42">
        <w:tblPrEx>
          <w:tblCellMar>
            <w:top w:w="0" w:type="dxa"/>
            <w:left w:w="0" w:type="dxa"/>
            <w:bottom w:w="0" w:type="dxa"/>
            <w:right w:w="0" w:type="dxa"/>
          </w:tblCellMar>
        </w:tblPrEx>
        <w:trPr>
          <w:wBefore w:w="0" w:type="auto"/>
          <w:tblCellSpacing w:w="0" w:type="dxa"/>
        </w:trPr>
        <w:tc>
          <w:tcPr>
            <w:tcW w:w="0" w:type="auto"/>
            <w:noWrap w:val="0"/>
            <w:vAlign w:val="center"/>
          </w:tcPr>
          <w:p w14:paraId="7550361B">
            <w:r>
              <w:rPr>
                <w:rStyle w:val="10"/>
                <w:rFonts w:hint="eastAsia"/>
              </w:rPr>
              <w:t>剂型：</w:t>
            </w:r>
            <w:r>
              <w:rPr>
                <w:rFonts w:hint="eastAsia"/>
              </w:rPr>
              <w:t>悬浮剂</w:t>
            </w:r>
          </w:p>
        </w:tc>
      </w:tr>
      <w:tr w14:paraId="35D85DC6">
        <w:tblPrEx>
          <w:tblCellMar>
            <w:top w:w="0" w:type="dxa"/>
            <w:left w:w="0" w:type="dxa"/>
            <w:bottom w:w="0" w:type="dxa"/>
            <w:right w:w="0" w:type="dxa"/>
          </w:tblCellMar>
        </w:tblPrEx>
        <w:trPr>
          <w:wBefore w:w="0" w:type="auto"/>
          <w:tblCellSpacing w:w="0" w:type="dxa"/>
        </w:trPr>
        <w:tc>
          <w:tcPr>
            <w:tcW w:w="0" w:type="auto"/>
            <w:noWrap w:val="0"/>
            <w:vAlign w:val="center"/>
          </w:tcPr>
          <w:p w14:paraId="6B9C2424">
            <w:r>
              <w:rPr>
                <w:rStyle w:val="10"/>
                <w:rFonts w:hint="eastAsia"/>
              </w:rPr>
              <w:t>毒性及其标识：</w:t>
            </w:r>
            <w:r>
              <w:rPr>
                <w:rFonts w:hint="eastAsia"/>
              </w:rPr>
              <w:t xml:space="preserve"> </w:t>
            </w:r>
            <w:r>
              <w:rPr>
                <w:lang/>
              </w:rPr>
              <w:drawing>
                <wp:inline distT="0" distB="0" distL="114300" distR="114300">
                  <wp:extent cx="476250" cy="323850"/>
                  <wp:effectExtent l="0" t="0" r="0" b="0"/>
                  <wp:docPr id="290" name="图片 29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B11A995">
        <w:tblPrEx>
          <w:tblCellMar>
            <w:top w:w="0" w:type="dxa"/>
            <w:left w:w="0" w:type="dxa"/>
            <w:bottom w:w="0" w:type="dxa"/>
            <w:right w:w="0" w:type="dxa"/>
          </w:tblCellMar>
        </w:tblPrEx>
        <w:trPr>
          <w:wBefore w:w="0" w:type="auto"/>
          <w:tblCellSpacing w:w="0" w:type="dxa"/>
        </w:trPr>
        <w:tc>
          <w:tcPr>
            <w:tcW w:w="0" w:type="auto"/>
            <w:noWrap w:val="0"/>
            <w:vAlign w:val="center"/>
          </w:tcPr>
          <w:p w14:paraId="1767D8EB">
            <w:r>
              <w:rPr>
                <w:rStyle w:val="10"/>
                <w:rFonts w:hint="eastAsia"/>
              </w:rPr>
              <w:t>总有效成分含量：</w:t>
            </w:r>
            <w:r>
              <w:rPr>
                <w:rFonts w:hint="eastAsia"/>
              </w:rPr>
              <w:t>31%</w:t>
            </w:r>
          </w:p>
        </w:tc>
      </w:tr>
      <w:tr w14:paraId="22D54237">
        <w:tblPrEx>
          <w:tblCellMar>
            <w:top w:w="0" w:type="dxa"/>
            <w:left w:w="0" w:type="dxa"/>
            <w:bottom w:w="0" w:type="dxa"/>
            <w:right w:w="0" w:type="dxa"/>
          </w:tblCellMar>
        </w:tblPrEx>
        <w:trPr>
          <w:wBefore w:w="0" w:type="auto"/>
          <w:tblCellSpacing w:w="0" w:type="dxa"/>
        </w:trPr>
        <w:tc>
          <w:tcPr>
            <w:tcW w:w="0" w:type="auto"/>
            <w:noWrap w:val="0"/>
            <w:vAlign w:val="center"/>
          </w:tcPr>
          <w:p w14:paraId="5786898B">
            <w:r>
              <w:rPr>
                <w:rFonts w:hint="eastAsia"/>
              </w:rPr>
              <w:t xml:space="preserve">有效成分及其含量： </w:t>
            </w:r>
          </w:p>
          <w:p w14:paraId="4C71A8F6">
            <w:r>
              <w:rPr>
                <w:rFonts w:hint="eastAsia"/>
              </w:rPr>
              <w:t xml:space="preserve">    高效氟氯氰菊酯10%    吡虫啉21%    </w:t>
            </w:r>
          </w:p>
        </w:tc>
      </w:tr>
      <w:tr w14:paraId="33290ABE">
        <w:tblPrEx>
          <w:tblCellMar>
            <w:top w:w="0" w:type="dxa"/>
            <w:left w:w="0" w:type="dxa"/>
            <w:bottom w:w="0" w:type="dxa"/>
            <w:right w:w="0" w:type="dxa"/>
          </w:tblCellMar>
        </w:tblPrEx>
        <w:trPr>
          <w:wBefore w:w="0" w:type="auto"/>
          <w:tblCellSpacing w:w="0" w:type="dxa"/>
        </w:trPr>
        <w:tc>
          <w:tcPr>
            <w:tcW w:w="0" w:type="auto"/>
            <w:noWrap w:val="0"/>
            <w:vAlign w:val="center"/>
          </w:tcPr>
          <w:p w14:paraId="32DD0BB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CAF50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ABB5F9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DF943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BADB5C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7AC068">
                  <w:r>
                    <w:rPr>
                      <w:rStyle w:val="11"/>
                      <w:rFonts w:hint="eastAsia"/>
                    </w:rPr>
                    <w:t>施用方式</w:t>
                  </w:r>
                </w:p>
              </w:tc>
            </w:tr>
            <w:tr w14:paraId="08DEF5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C16609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DB3DD9">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2ED252">
                  <w:r>
                    <w:rPr>
                      <w:rStyle w:val="11"/>
                      <w:rFonts w:hint="eastAsia"/>
                    </w:rPr>
                    <w:t>0.2毫升/平方米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DC97A3">
                  <w:r>
                    <w:rPr>
                      <w:rStyle w:val="11"/>
                      <w:rFonts w:hint="eastAsia"/>
                    </w:rPr>
                    <w:t>滞留喷洒</w:t>
                  </w:r>
                </w:p>
              </w:tc>
            </w:tr>
            <w:tr w14:paraId="5C2A52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F1A5D0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B3C91C">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980BE4">
                  <w:r>
                    <w:rPr>
                      <w:rStyle w:val="11"/>
                      <w:rFonts w:hint="eastAsia"/>
                    </w:rPr>
                    <w:t>0.2毫升/平方米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A9A955">
                  <w:r>
                    <w:rPr>
                      <w:rStyle w:val="11"/>
                      <w:rFonts w:hint="eastAsia"/>
                    </w:rPr>
                    <w:t>滞留喷洒</w:t>
                  </w:r>
                </w:p>
              </w:tc>
            </w:tr>
          </w:tbl>
          <w:p w14:paraId="0AE24CCB">
            <w:pPr>
              <w:rPr>
                <w:rFonts w:ascii="Times New Roman" w:hAnsi="Times New Roman" w:cs="Times New Roman"/>
                <w:sz w:val="20"/>
                <w:szCs w:val="20"/>
              </w:rPr>
            </w:pPr>
          </w:p>
        </w:tc>
      </w:tr>
      <w:tr w14:paraId="508028DA">
        <w:tblPrEx>
          <w:tblCellMar>
            <w:top w:w="0" w:type="dxa"/>
            <w:left w:w="0" w:type="dxa"/>
            <w:bottom w:w="0" w:type="dxa"/>
            <w:right w:w="0" w:type="dxa"/>
          </w:tblCellMar>
        </w:tblPrEx>
        <w:trPr>
          <w:wBefore w:w="0" w:type="auto"/>
          <w:tblCellSpacing w:w="0" w:type="dxa"/>
        </w:trPr>
        <w:tc>
          <w:tcPr>
            <w:tcW w:w="0" w:type="auto"/>
            <w:noWrap w:val="0"/>
            <w:vAlign w:val="center"/>
          </w:tcPr>
          <w:p w14:paraId="47A08F2C">
            <w:r>
              <w:rPr>
                <w:rStyle w:val="10"/>
                <w:rFonts w:hint="eastAsia"/>
              </w:rPr>
              <w:t>使用技术要求:</w:t>
            </w:r>
            <w:r>
              <w:rPr>
                <w:rFonts w:hint="eastAsia"/>
              </w:rPr>
              <w:br w:type="textWrapping"/>
            </w:r>
            <w:r>
              <w:rPr>
                <w:rStyle w:val="11"/>
                <w:rFonts w:hint="eastAsia"/>
              </w:rPr>
              <w:t>1.仅用于室内。本产品应现配现用，配制后的药液不宜长时间存放。2.本品可配合手提式或背负式常量喷雾器或其他喷洒工具使用，使用时将本品用水稀释250-500倍并摇匀后，全面喷洒于墙面、地面、门窗、厨背、房梁等害虫易停留的物体表面。4.喷液量以将物体表面喷透并有少量药液流出为宜，确保均匀覆盖。4.施药后请保持通风。</w:t>
            </w:r>
          </w:p>
        </w:tc>
      </w:tr>
      <w:tr w14:paraId="706C8645">
        <w:tblPrEx>
          <w:tblCellMar>
            <w:top w:w="0" w:type="dxa"/>
            <w:left w:w="0" w:type="dxa"/>
            <w:bottom w:w="0" w:type="dxa"/>
            <w:right w:w="0" w:type="dxa"/>
          </w:tblCellMar>
        </w:tblPrEx>
        <w:trPr>
          <w:wBefore w:w="0" w:type="auto"/>
          <w:tblCellSpacing w:w="0" w:type="dxa"/>
        </w:trPr>
        <w:tc>
          <w:tcPr>
            <w:tcW w:w="0" w:type="auto"/>
            <w:noWrap w:val="0"/>
            <w:vAlign w:val="center"/>
          </w:tcPr>
          <w:p w14:paraId="4FA17650">
            <w:r>
              <w:rPr>
                <w:rStyle w:val="10"/>
                <w:rFonts w:hint="eastAsia"/>
              </w:rPr>
              <w:t>产品性能:</w:t>
            </w:r>
            <w:r>
              <w:rPr>
                <w:rFonts w:hint="eastAsia"/>
              </w:rPr>
              <w:br w:type="textWrapping"/>
            </w:r>
            <w:r>
              <w:rPr>
                <w:rStyle w:val="11"/>
                <w:rFonts w:hint="eastAsia"/>
              </w:rPr>
              <w:t>1.本产品采用新烟碱类与拟除虫菊酯类两种不同杀虫机制的成分精制而成，具有胃毒与触杀双重作用，可快速杀灭蚊、蝇和蟑螂。2.采用滞留喷洒的杀虫方式，效果持久，30天内保持有效除虫的效果。3.适用于酒店、写字楼、医院、学校、食品厂、养殖厂、餐馆等室内环境使用。</w:t>
            </w:r>
          </w:p>
        </w:tc>
      </w:tr>
      <w:tr w14:paraId="04C737D6">
        <w:tblPrEx>
          <w:tblCellMar>
            <w:top w:w="0" w:type="dxa"/>
            <w:left w:w="0" w:type="dxa"/>
            <w:bottom w:w="0" w:type="dxa"/>
            <w:right w:w="0" w:type="dxa"/>
          </w:tblCellMar>
        </w:tblPrEx>
        <w:trPr>
          <w:wBefore w:w="0" w:type="auto"/>
          <w:tblCellSpacing w:w="0" w:type="dxa"/>
        </w:trPr>
        <w:tc>
          <w:tcPr>
            <w:tcW w:w="0" w:type="auto"/>
            <w:noWrap w:val="0"/>
            <w:vAlign w:val="center"/>
          </w:tcPr>
          <w:p w14:paraId="161B1DBD">
            <w:r>
              <w:rPr>
                <w:rStyle w:val="10"/>
                <w:rFonts w:hint="eastAsia"/>
              </w:rPr>
              <w:t>注意事项：</w:t>
            </w:r>
            <w:r>
              <w:rPr>
                <w:rFonts w:hint="eastAsia"/>
              </w:rPr>
              <w:br w:type="textWrapping"/>
            </w:r>
            <w:r>
              <w:rPr>
                <w:rStyle w:val="11"/>
                <w:rFonts w:hint="eastAsia"/>
              </w:rPr>
              <w:t>1.在施药前请封存食物及餐具以免污染。2.使用本产品应采取相应的安全防护措施，如穿戴防护服、防护镜、防护手套、口罩等，请避免皮肤直接接触及口鼻吸入。在施药过程中不可进行饮食相关的行为，施药后需及时清洗手、脸等暴露部位皮肤并更换衣物。3.在施药过程中，请无关人员及宠物远离施药区域 。4.本产品对家蚕、蜜蜂、鱼类及水生生物有毒，请勿在蚕室、鱼塘及其附近使用，禁止在水产养殖区附近水域清洗施药器具。5.过敏者禁用，请避免孕妇及哺乳期妇女接触。使用过程中有任何不良反应请及时就医。</w:t>
            </w:r>
            <w:r>
              <w:rPr>
                <w:rStyle w:val="11"/>
                <w:rFonts w:hint="eastAsia"/>
              </w:rPr>
              <w:t> </w:t>
            </w:r>
            <w:r>
              <w:rPr>
                <w:rStyle w:val="11"/>
                <w:rFonts w:hint="eastAsia"/>
              </w:rPr>
              <w:t>6.本产品不宜与碱性物质混用。7.本产品使用后的容器应妥善处理，不可做其他用途。</w:t>
            </w:r>
          </w:p>
        </w:tc>
      </w:tr>
      <w:tr w14:paraId="5BAA1081">
        <w:tblPrEx>
          <w:tblCellMar>
            <w:top w:w="0" w:type="dxa"/>
            <w:left w:w="0" w:type="dxa"/>
            <w:bottom w:w="0" w:type="dxa"/>
            <w:right w:w="0" w:type="dxa"/>
          </w:tblCellMar>
        </w:tblPrEx>
        <w:trPr>
          <w:wBefore w:w="0" w:type="auto"/>
          <w:tblCellSpacing w:w="0" w:type="dxa"/>
        </w:trPr>
        <w:tc>
          <w:tcPr>
            <w:tcW w:w="0" w:type="auto"/>
            <w:noWrap w:val="0"/>
            <w:vAlign w:val="center"/>
          </w:tcPr>
          <w:p w14:paraId="2A72C982">
            <w:r>
              <w:rPr>
                <w:rStyle w:val="10"/>
                <w:rFonts w:hint="eastAsia"/>
              </w:rPr>
              <w:t>中毒急救措施：</w:t>
            </w:r>
            <w:r>
              <w:rPr>
                <w:rFonts w:hint="eastAsia"/>
              </w:rPr>
              <w:br w:type="textWrapping"/>
            </w:r>
            <w:r>
              <w:rPr>
                <w:rStyle w:val="11"/>
                <w:rFonts w:hint="eastAsia"/>
              </w:rPr>
              <w:t>1.若不慎与皮肤接触，立即用软布去除沾染药液，并用大量肥皂水冲洗。2.若不慎与眼睛接触：请立即用流动清水冲洗眼部接触处15分钟。 3.若不慎吸入，请立即离开施药现场，转移到空气流通处。4.若不慎误食，不能催吐，请携带本产品标签到医院及时就诊。</w:t>
            </w:r>
          </w:p>
        </w:tc>
      </w:tr>
      <w:tr w14:paraId="2183E64A">
        <w:tblPrEx>
          <w:tblCellMar>
            <w:top w:w="0" w:type="dxa"/>
            <w:left w:w="0" w:type="dxa"/>
            <w:bottom w:w="0" w:type="dxa"/>
            <w:right w:w="0" w:type="dxa"/>
          </w:tblCellMar>
        </w:tblPrEx>
        <w:trPr>
          <w:wBefore w:w="0" w:type="auto"/>
          <w:tblCellSpacing w:w="0" w:type="dxa"/>
        </w:trPr>
        <w:tc>
          <w:tcPr>
            <w:tcW w:w="0" w:type="auto"/>
            <w:noWrap w:val="0"/>
            <w:vAlign w:val="center"/>
          </w:tcPr>
          <w:p w14:paraId="0CB0F05F">
            <w:r>
              <w:rPr>
                <w:rStyle w:val="10"/>
                <w:rFonts w:hint="eastAsia"/>
              </w:rPr>
              <w:t>储存和运输方法：</w:t>
            </w:r>
            <w:r>
              <w:rPr>
                <w:rFonts w:hint="eastAsia"/>
              </w:rPr>
              <w:br w:type="textWrapping"/>
            </w:r>
            <w:r>
              <w:rPr>
                <w:rStyle w:val="11"/>
                <w:rFonts w:hint="eastAsia"/>
              </w:rPr>
              <w:t>1本品贮存于阴凉、干燥、通风、避光处，并远离火源和热源。 2.应置于儿童及宠物触及不到之处，并加锁。 3.请勿与食品、饮料、种子、饲料、粮食等其他商品同贮同运。</w:t>
            </w:r>
          </w:p>
        </w:tc>
      </w:tr>
      <w:tr w14:paraId="59EB1C1A">
        <w:tblPrEx>
          <w:tblCellMar>
            <w:top w:w="0" w:type="dxa"/>
            <w:left w:w="0" w:type="dxa"/>
            <w:bottom w:w="0" w:type="dxa"/>
            <w:right w:w="0" w:type="dxa"/>
          </w:tblCellMar>
        </w:tblPrEx>
        <w:trPr>
          <w:wBefore w:w="0" w:type="auto"/>
          <w:tblCellSpacing w:w="0" w:type="dxa"/>
        </w:trPr>
        <w:tc>
          <w:tcPr>
            <w:tcW w:w="0" w:type="auto"/>
            <w:noWrap w:val="0"/>
            <w:vAlign w:val="center"/>
          </w:tcPr>
          <w:p w14:paraId="42E6721E">
            <w:r>
              <w:rPr>
                <w:rStyle w:val="10"/>
                <w:rFonts w:hint="eastAsia"/>
              </w:rPr>
              <w:t>质量保证期：</w:t>
            </w:r>
            <w:r>
              <w:rPr>
                <w:rStyle w:val="11"/>
                <w:rFonts w:hint="eastAsia"/>
              </w:rPr>
              <w:t>2年</w:t>
            </w:r>
          </w:p>
        </w:tc>
      </w:tr>
      <w:tr w14:paraId="2EC95756">
        <w:tblPrEx>
          <w:tblCellMar>
            <w:top w:w="0" w:type="dxa"/>
            <w:left w:w="0" w:type="dxa"/>
            <w:bottom w:w="0" w:type="dxa"/>
            <w:right w:w="0" w:type="dxa"/>
          </w:tblCellMar>
        </w:tblPrEx>
        <w:trPr>
          <w:wBefore w:w="0" w:type="auto"/>
          <w:tblCellSpacing w:w="0" w:type="dxa"/>
        </w:trPr>
        <w:tc>
          <w:tcPr>
            <w:tcW w:w="0" w:type="auto"/>
            <w:noWrap w:val="0"/>
            <w:vAlign w:val="center"/>
          </w:tcPr>
          <w:p w14:paraId="06EBFCCE">
            <w:r>
              <w:rPr>
                <w:rStyle w:val="10"/>
                <w:rFonts w:hint="eastAsia"/>
              </w:rPr>
              <w:t>备注：</w:t>
            </w:r>
          </w:p>
        </w:tc>
      </w:tr>
    </w:tbl>
    <w:p w14:paraId="1C7511F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E3BEFA">
        <w:tblPrEx>
          <w:tblCellMar>
            <w:top w:w="0" w:type="dxa"/>
            <w:left w:w="0" w:type="dxa"/>
            <w:bottom w:w="0" w:type="dxa"/>
            <w:right w:w="0" w:type="dxa"/>
          </w:tblCellMar>
        </w:tblPrEx>
        <w:trPr>
          <w:wBefore w:w="0" w:type="auto"/>
          <w:tblCellSpacing w:w="0" w:type="dxa"/>
        </w:trPr>
        <w:tc>
          <w:tcPr>
            <w:tcW w:w="0" w:type="auto"/>
            <w:noWrap w:val="0"/>
            <w:vAlign w:val="center"/>
          </w:tcPr>
          <w:p w14:paraId="7CA77A60">
            <w:r>
              <w:rPr>
                <w:rStyle w:val="10"/>
                <w:rFonts w:hint="eastAsia"/>
              </w:rPr>
              <w:t>登记证号：</w:t>
            </w:r>
            <w:r>
              <w:rPr>
                <w:rFonts w:hint="eastAsia"/>
              </w:rPr>
              <w:t>PD20212227</w:t>
            </w:r>
          </w:p>
        </w:tc>
      </w:tr>
      <w:tr w14:paraId="12C31D06">
        <w:tblPrEx>
          <w:tblCellMar>
            <w:top w:w="0" w:type="dxa"/>
            <w:left w:w="0" w:type="dxa"/>
            <w:bottom w:w="0" w:type="dxa"/>
            <w:right w:w="0" w:type="dxa"/>
          </w:tblCellMar>
        </w:tblPrEx>
        <w:trPr>
          <w:wBefore w:w="0" w:type="auto"/>
          <w:tblCellSpacing w:w="0" w:type="dxa"/>
        </w:trPr>
        <w:tc>
          <w:tcPr>
            <w:tcW w:w="0" w:type="auto"/>
            <w:noWrap w:val="0"/>
            <w:vAlign w:val="center"/>
          </w:tcPr>
          <w:p w14:paraId="729F4D2C">
            <w:r>
              <w:rPr>
                <w:rStyle w:val="10"/>
                <w:rFonts w:hint="eastAsia"/>
              </w:rPr>
              <w:t>登记证持有人：</w:t>
            </w:r>
            <w:r>
              <w:rPr>
                <w:rFonts w:hint="eastAsia"/>
              </w:rPr>
              <w:t>天津博克百胜科技有限公司</w:t>
            </w:r>
          </w:p>
        </w:tc>
      </w:tr>
      <w:tr w14:paraId="797C9040">
        <w:tblPrEx>
          <w:tblCellMar>
            <w:top w:w="0" w:type="dxa"/>
            <w:left w:w="0" w:type="dxa"/>
            <w:bottom w:w="0" w:type="dxa"/>
            <w:right w:w="0" w:type="dxa"/>
          </w:tblCellMar>
        </w:tblPrEx>
        <w:trPr>
          <w:wBefore w:w="0" w:type="auto"/>
          <w:tblCellSpacing w:w="0" w:type="dxa"/>
        </w:trPr>
        <w:tc>
          <w:tcPr>
            <w:tcW w:w="0" w:type="auto"/>
            <w:noWrap w:val="0"/>
            <w:vAlign w:val="center"/>
          </w:tcPr>
          <w:p w14:paraId="317FD6AA">
            <w:r>
              <w:rPr>
                <w:rStyle w:val="10"/>
                <w:rFonts w:hint="eastAsia"/>
              </w:rPr>
              <w:t>农药名称：</w:t>
            </w:r>
            <w:r>
              <w:rPr>
                <w:rFonts w:hint="eastAsia"/>
              </w:rPr>
              <w:t>2甲·草甘膦</w:t>
            </w:r>
          </w:p>
        </w:tc>
      </w:tr>
      <w:tr w14:paraId="6B0FA982">
        <w:tblPrEx>
          <w:tblCellMar>
            <w:top w:w="0" w:type="dxa"/>
            <w:left w:w="0" w:type="dxa"/>
            <w:bottom w:w="0" w:type="dxa"/>
            <w:right w:w="0" w:type="dxa"/>
          </w:tblCellMar>
        </w:tblPrEx>
        <w:trPr>
          <w:wBefore w:w="0" w:type="auto"/>
          <w:tblCellSpacing w:w="0" w:type="dxa"/>
        </w:trPr>
        <w:tc>
          <w:tcPr>
            <w:tcW w:w="0" w:type="auto"/>
            <w:noWrap w:val="0"/>
            <w:vAlign w:val="center"/>
          </w:tcPr>
          <w:p w14:paraId="4A9A817D">
            <w:r>
              <w:rPr>
                <w:rStyle w:val="10"/>
                <w:rFonts w:hint="eastAsia"/>
              </w:rPr>
              <w:t>剂型：</w:t>
            </w:r>
            <w:r>
              <w:rPr>
                <w:rFonts w:hint="eastAsia"/>
              </w:rPr>
              <w:t>可溶液剂</w:t>
            </w:r>
          </w:p>
        </w:tc>
      </w:tr>
      <w:tr w14:paraId="28C090B8">
        <w:tblPrEx>
          <w:tblCellMar>
            <w:top w:w="0" w:type="dxa"/>
            <w:left w:w="0" w:type="dxa"/>
            <w:bottom w:w="0" w:type="dxa"/>
            <w:right w:w="0" w:type="dxa"/>
          </w:tblCellMar>
        </w:tblPrEx>
        <w:trPr>
          <w:wBefore w:w="0" w:type="auto"/>
          <w:tblCellSpacing w:w="0" w:type="dxa"/>
        </w:trPr>
        <w:tc>
          <w:tcPr>
            <w:tcW w:w="0" w:type="auto"/>
            <w:noWrap w:val="0"/>
            <w:vAlign w:val="center"/>
          </w:tcPr>
          <w:p w14:paraId="58A7668A">
            <w:r>
              <w:rPr>
                <w:rStyle w:val="10"/>
                <w:rFonts w:hint="eastAsia"/>
              </w:rPr>
              <w:t>毒性及其标识：</w:t>
            </w:r>
            <w:r>
              <w:rPr>
                <w:rFonts w:hint="eastAsia"/>
              </w:rPr>
              <w:t xml:space="preserve"> </w:t>
            </w:r>
            <w:r>
              <w:rPr>
                <w:lang/>
              </w:rPr>
              <w:drawing>
                <wp:inline distT="0" distB="0" distL="114300" distR="114300">
                  <wp:extent cx="476250" cy="323850"/>
                  <wp:effectExtent l="0" t="0" r="0" b="0"/>
                  <wp:docPr id="291" name="图片 29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631ABB">
        <w:tblPrEx>
          <w:tblCellMar>
            <w:top w:w="0" w:type="dxa"/>
            <w:left w:w="0" w:type="dxa"/>
            <w:bottom w:w="0" w:type="dxa"/>
            <w:right w:w="0" w:type="dxa"/>
          </w:tblCellMar>
        </w:tblPrEx>
        <w:trPr>
          <w:wBefore w:w="0" w:type="auto"/>
          <w:tblCellSpacing w:w="0" w:type="dxa"/>
        </w:trPr>
        <w:tc>
          <w:tcPr>
            <w:tcW w:w="0" w:type="auto"/>
            <w:noWrap w:val="0"/>
            <w:vAlign w:val="center"/>
          </w:tcPr>
          <w:p w14:paraId="68A8B949">
            <w:r>
              <w:rPr>
                <w:rStyle w:val="10"/>
                <w:rFonts w:hint="eastAsia"/>
              </w:rPr>
              <w:t>总有效成分含量：</w:t>
            </w:r>
            <w:r>
              <w:rPr>
                <w:rFonts w:hint="eastAsia"/>
              </w:rPr>
              <w:t>33%</w:t>
            </w:r>
          </w:p>
        </w:tc>
      </w:tr>
      <w:tr w14:paraId="26D03E1A">
        <w:tblPrEx>
          <w:tblCellMar>
            <w:top w:w="0" w:type="dxa"/>
            <w:left w:w="0" w:type="dxa"/>
            <w:bottom w:w="0" w:type="dxa"/>
            <w:right w:w="0" w:type="dxa"/>
          </w:tblCellMar>
        </w:tblPrEx>
        <w:trPr>
          <w:wBefore w:w="0" w:type="auto"/>
          <w:tblCellSpacing w:w="0" w:type="dxa"/>
        </w:trPr>
        <w:tc>
          <w:tcPr>
            <w:tcW w:w="0" w:type="auto"/>
            <w:noWrap w:val="0"/>
            <w:vAlign w:val="center"/>
          </w:tcPr>
          <w:p w14:paraId="333A8863">
            <w:r>
              <w:rPr>
                <w:rFonts w:hint="eastAsia"/>
              </w:rPr>
              <w:t xml:space="preserve">有效成分及其含量： </w:t>
            </w:r>
          </w:p>
          <w:p w14:paraId="703296E1">
            <w:r>
              <w:rPr>
                <w:rFonts w:hint="eastAsia"/>
              </w:rPr>
              <w:t xml:space="preserve">    2甲4氯钠3%    草甘膦30%    </w:t>
            </w:r>
          </w:p>
        </w:tc>
      </w:tr>
      <w:tr w14:paraId="040A1CA4">
        <w:tblPrEx>
          <w:tblCellMar>
            <w:top w:w="0" w:type="dxa"/>
            <w:left w:w="0" w:type="dxa"/>
            <w:bottom w:w="0" w:type="dxa"/>
            <w:right w:w="0" w:type="dxa"/>
          </w:tblCellMar>
        </w:tblPrEx>
        <w:trPr>
          <w:wBefore w:w="0" w:type="auto"/>
          <w:tblCellSpacing w:w="0" w:type="dxa"/>
        </w:trPr>
        <w:tc>
          <w:tcPr>
            <w:tcW w:w="0" w:type="auto"/>
            <w:noWrap w:val="0"/>
            <w:vAlign w:val="center"/>
          </w:tcPr>
          <w:p w14:paraId="6C3F4B3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2ACEC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893B3D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BBD056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A2B57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8A0A926">
                  <w:r>
                    <w:rPr>
                      <w:rStyle w:val="11"/>
                      <w:rFonts w:hint="eastAsia"/>
                    </w:rPr>
                    <w:t>施用方式</w:t>
                  </w:r>
                </w:p>
              </w:tc>
            </w:tr>
            <w:tr w14:paraId="725D12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B180911">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F8F0FB">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6FC54C">
                  <w:r>
                    <w:rPr>
                      <w:rStyle w:val="11"/>
                      <w:rFonts w:hint="eastAsia"/>
                    </w:rPr>
                    <w:t>300-400毫升/亩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3B6343">
                  <w:r>
                    <w:rPr>
                      <w:rStyle w:val="11"/>
                      <w:rFonts w:hint="eastAsia"/>
                    </w:rPr>
                    <w:t>茎叶喷雾</w:t>
                  </w:r>
                </w:p>
              </w:tc>
            </w:tr>
          </w:tbl>
          <w:p w14:paraId="53BDF82B">
            <w:pPr>
              <w:rPr>
                <w:rFonts w:ascii="Times New Roman" w:hAnsi="Times New Roman" w:cs="Times New Roman"/>
                <w:sz w:val="20"/>
                <w:szCs w:val="20"/>
              </w:rPr>
            </w:pPr>
          </w:p>
        </w:tc>
      </w:tr>
      <w:tr w14:paraId="74DE64ED">
        <w:tblPrEx>
          <w:tblCellMar>
            <w:top w:w="0" w:type="dxa"/>
            <w:left w:w="0" w:type="dxa"/>
            <w:bottom w:w="0" w:type="dxa"/>
            <w:right w:w="0" w:type="dxa"/>
          </w:tblCellMar>
        </w:tblPrEx>
        <w:trPr>
          <w:wBefore w:w="0" w:type="auto"/>
          <w:tblCellSpacing w:w="0" w:type="dxa"/>
        </w:trPr>
        <w:tc>
          <w:tcPr>
            <w:tcW w:w="0" w:type="auto"/>
            <w:noWrap w:val="0"/>
            <w:vAlign w:val="center"/>
          </w:tcPr>
          <w:p w14:paraId="0BFAD6EB">
            <w:r>
              <w:rPr>
                <w:rStyle w:val="10"/>
                <w:rFonts w:hint="eastAsia"/>
              </w:rPr>
              <w:t>使用技术要求:</w:t>
            </w:r>
            <w:r>
              <w:rPr>
                <w:rFonts w:hint="eastAsia"/>
              </w:rPr>
              <w:br w:type="textWrapping"/>
            </w:r>
            <w:r>
              <w:rPr>
                <w:rStyle w:val="11"/>
                <w:rFonts w:hint="eastAsia"/>
              </w:rPr>
              <w:t>1. 本品于杂草生长旺盛期均匀茎叶喷雾，每亩兑水量30-40公斤，应避免高温时施药。用清水稀释药剂，否则会降低防效。2、施药时，草龄较大或持续干旱，请酌情增加喷液量。 3、大风天或预计6小时内降雨，请勿施药。4、避免飘移药害。5、禁止在田间道路、田埂、果树行间、休耕地、林场林地等农林业区域使用</w:t>
            </w:r>
          </w:p>
        </w:tc>
      </w:tr>
      <w:tr w14:paraId="7BCB0658">
        <w:tblPrEx>
          <w:tblCellMar>
            <w:top w:w="0" w:type="dxa"/>
            <w:left w:w="0" w:type="dxa"/>
            <w:bottom w:w="0" w:type="dxa"/>
            <w:right w:w="0" w:type="dxa"/>
          </w:tblCellMar>
        </w:tblPrEx>
        <w:trPr>
          <w:wBefore w:w="0" w:type="auto"/>
          <w:tblCellSpacing w:w="0" w:type="dxa"/>
        </w:trPr>
        <w:tc>
          <w:tcPr>
            <w:tcW w:w="0" w:type="auto"/>
            <w:noWrap w:val="0"/>
            <w:vAlign w:val="center"/>
          </w:tcPr>
          <w:p w14:paraId="556A53DB">
            <w:r>
              <w:rPr>
                <w:rStyle w:val="10"/>
                <w:rFonts w:hint="eastAsia"/>
              </w:rPr>
              <w:t>产品性能:</w:t>
            </w:r>
            <w:r>
              <w:rPr>
                <w:rFonts w:hint="eastAsia"/>
              </w:rPr>
              <w:br w:type="textWrapping"/>
            </w:r>
            <w:r>
              <w:rPr>
                <w:rStyle w:val="11"/>
                <w:rFonts w:hint="eastAsia"/>
              </w:rPr>
              <w:t>本品是由2甲4氯钠和草甘膦复配而成的灭生性除草剂，对非耕地杂草有较好的防除效果。</w:t>
            </w:r>
          </w:p>
        </w:tc>
      </w:tr>
      <w:tr w14:paraId="595C9216">
        <w:tblPrEx>
          <w:tblCellMar>
            <w:top w:w="0" w:type="dxa"/>
            <w:left w:w="0" w:type="dxa"/>
            <w:bottom w:w="0" w:type="dxa"/>
            <w:right w:w="0" w:type="dxa"/>
          </w:tblCellMar>
        </w:tblPrEx>
        <w:trPr>
          <w:wBefore w:w="0" w:type="auto"/>
          <w:tblCellSpacing w:w="0" w:type="dxa"/>
        </w:trPr>
        <w:tc>
          <w:tcPr>
            <w:tcW w:w="0" w:type="auto"/>
            <w:noWrap w:val="0"/>
            <w:vAlign w:val="center"/>
          </w:tcPr>
          <w:p w14:paraId="72020AEB">
            <w:r>
              <w:rPr>
                <w:rStyle w:val="10"/>
                <w:rFonts w:hint="eastAsia"/>
              </w:rPr>
              <w:t>注意事项：</w:t>
            </w:r>
            <w:r>
              <w:rPr>
                <w:rFonts w:hint="eastAsia"/>
              </w:rPr>
              <w:br w:type="textWrapping"/>
            </w:r>
            <w:r>
              <w:rPr>
                <w:rStyle w:val="11"/>
                <w:rFonts w:hint="eastAsia"/>
              </w:rPr>
              <w:t>1.施药后5天内请勿割草、放牧、翻地等。施药后4小时内下雨应重喷。 2.不可与强酸强碱性物质混用。 3.使用本品时应穿戴防护服、手套等，避免吸入药液，施药期间不可吃东西、饮水等。施药后应及时洗手、洗脸等。 4.清洗器具的废水，不能排入河流、池塘等水源。用过的器具应妥善处理，不可做他用，也不可随意丢弃，赤眼蜂等天敌放飞区域禁用，禁止在河塘等水域清洗施药器具。 5.避免孕妇及哺乳期的妇女接触本品。 6.避免飘移对邻近作物药害。</w:t>
            </w:r>
          </w:p>
        </w:tc>
      </w:tr>
      <w:tr w14:paraId="6B35A46B">
        <w:tblPrEx>
          <w:tblCellMar>
            <w:top w:w="0" w:type="dxa"/>
            <w:left w:w="0" w:type="dxa"/>
            <w:bottom w:w="0" w:type="dxa"/>
            <w:right w:w="0" w:type="dxa"/>
          </w:tblCellMar>
        </w:tblPrEx>
        <w:trPr>
          <w:wBefore w:w="0" w:type="auto"/>
          <w:tblCellSpacing w:w="0" w:type="dxa"/>
        </w:trPr>
        <w:tc>
          <w:tcPr>
            <w:tcW w:w="0" w:type="auto"/>
            <w:noWrap w:val="0"/>
            <w:vAlign w:val="center"/>
          </w:tcPr>
          <w:p w14:paraId="1A01FC2F">
            <w:r>
              <w:rPr>
                <w:rStyle w:val="10"/>
                <w:rFonts w:hint="eastAsia"/>
              </w:rPr>
              <w:t>中毒急救措施：</w:t>
            </w:r>
            <w:r>
              <w:rPr>
                <w:rFonts w:hint="eastAsia"/>
              </w:rPr>
              <w:br w:type="textWrapping"/>
            </w:r>
            <w:r>
              <w:rPr>
                <w:rStyle w:val="11"/>
                <w:rFonts w:hint="eastAsia"/>
              </w:rPr>
              <w:t>对皮肤、眼睛有刺激作用，不慎吸入，应将病人移至空气流通处。溅入眼睛中，立即用大量流动清水冲洗至少15分钟，严重时，就医。皮肤接触时，用清水及肥皂洗干净。若误服，应立即携带此标签将病人送往医院诊治。如果医生判断为草甘膦中毒，可用吐根糖浆诱吐。无特殊解毒剂，对症治疗。</w:t>
            </w:r>
          </w:p>
        </w:tc>
      </w:tr>
      <w:tr w14:paraId="12D792D7">
        <w:tblPrEx>
          <w:tblCellMar>
            <w:top w:w="0" w:type="dxa"/>
            <w:left w:w="0" w:type="dxa"/>
            <w:bottom w:w="0" w:type="dxa"/>
            <w:right w:w="0" w:type="dxa"/>
          </w:tblCellMar>
        </w:tblPrEx>
        <w:trPr>
          <w:wBefore w:w="0" w:type="auto"/>
          <w:tblCellSpacing w:w="0" w:type="dxa"/>
        </w:trPr>
        <w:tc>
          <w:tcPr>
            <w:tcW w:w="0" w:type="auto"/>
            <w:noWrap w:val="0"/>
            <w:vAlign w:val="center"/>
          </w:tcPr>
          <w:p w14:paraId="43296D69">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本品应贮存在干燥、阴凉、通风、防雨处，远离火源或热源。置于儿童触及不到之处，并加锁。勿与食品、饮料、粮食、饲料等其他商品同贮同运。</w:t>
            </w:r>
          </w:p>
        </w:tc>
      </w:tr>
      <w:tr w14:paraId="05113CF3">
        <w:tblPrEx>
          <w:tblCellMar>
            <w:top w:w="0" w:type="dxa"/>
            <w:left w:w="0" w:type="dxa"/>
            <w:bottom w:w="0" w:type="dxa"/>
            <w:right w:w="0" w:type="dxa"/>
          </w:tblCellMar>
        </w:tblPrEx>
        <w:trPr>
          <w:wBefore w:w="0" w:type="auto"/>
          <w:tblCellSpacing w:w="0" w:type="dxa"/>
        </w:trPr>
        <w:tc>
          <w:tcPr>
            <w:tcW w:w="0" w:type="auto"/>
            <w:noWrap w:val="0"/>
            <w:vAlign w:val="center"/>
          </w:tcPr>
          <w:p w14:paraId="35ED6BDF">
            <w:r>
              <w:rPr>
                <w:rStyle w:val="10"/>
                <w:rFonts w:hint="eastAsia"/>
              </w:rPr>
              <w:t>质量保证期：</w:t>
            </w:r>
            <w:r>
              <w:rPr>
                <w:rStyle w:val="11"/>
                <w:rFonts w:hint="eastAsia"/>
              </w:rPr>
              <w:t>2年</w:t>
            </w:r>
          </w:p>
        </w:tc>
      </w:tr>
      <w:tr w14:paraId="31F6222B">
        <w:tblPrEx>
          <w:tblCellMar>
            <w:top w:w="0" w:type="dxa"/>
            <w:left w:w="0" w:type="dxa"/>
            <w:bottom w:w="0" w:type="dxa"/>
            <w:right w:w="0" w:type="dxa"/>
          </w:tblCellMar>
        </w:tblPrEx>
        <w:trPr>
          <w:wBefore w:w="0" w:type="auto"/>
          <w:tblCellSpacing w:w="0" w:type="dxa"/>
        </w:trPr>
        <w:tc>
          <w:tcPr>
            <w:tcW w:w="0" w:type="auto"/>
            <w:noWrap w:val="0"/>
            <w:vAlign w:val="center"/>
          </w:tcPr>
          <w:p w14:paraId="339DC99E">
            <w:r>
              <w:rPr>
                <w:rStyle w:val="10"/>
                <w:rFonts w:hint="eastAsia"/>
              </w:rPr>
              <w:t>备注：</w:t>
            </w:r>
          </w:p>
        </w:tc>
      </w:tr>
    </w:tbl>
    <w:p w14:paraId="0A9F60F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1CA0F3A">
        <w:tblPrEx>
          <w:tblCellMar>
            <w:top w:w="0" w:type="dxa"/>
            <w:left w:w="0" w:type="dxa"/>
            <w:bottom w:w="0" w:type="dxa"/>
            <w:right w:w="0" w:type="dxa"/>
          </w:tblCellMar>
        </w:tblPrEx>
        <w:trPr>
          <w:wBefore w:w="0" w:type="auto"/>
          <w:tblCellSpacing w:w="0" w:type="dxa"/>
        </w:trPr>
        <w:tc>
          <w:tcPr>
            <w:tcW w:w="0" w:type="auto"/>
            <w:noWrap w:val="0"/>
            <w:vAlign w:val="center"/>
          </w:tcPr>
          <w:p w14:paraId="7D89EAA0">
            <w:r>
              <w:rPr>
                <w:rStyle w:val="10"/>
                <w:rFonts w:hint="eastAsia"/>
              </w:rPr>
              <w:t>登记证号：</w:t>
            </w:r>
            <w:r>
              <w:rPr>
                <w:rFonts w:hint="eastAsia"/>
              </w:rPr>
              <w:t>PD20211716</w:t>
            </w:r>
          </w:p>
        </w:tc>
      </w:tr>
      <w:tr w14:paraId="4601818B">
        <w:tblPrEx>
          <w:tblCellMar>
            <w:top w:w="0" w:type="dxa"/>
            <w:left w:w="0" w:type="dxa"/>
            <w:bottom w:w="0" w:type="dxa"/>
            <w:right w:w="0" w:type="dxa"/>
          </w:tblCellMar>
        </w:tblPrEx>
        <w:trPr>
          <w:wBefore w:w="0" w:type="auto"/>
          <w:tblCellSpacing w:w="0" w:type="dxa"/>
        </w:trPr>
        <w:tc>
          <w:tcPr>
            <w:tcW w:w="0" w:type="auto"/>
            <w:noWrap w:val="0"/>
            <w:vAlign w:val="center"/>
          </w:tcPr>
          <w:p w14:paraId="04E40A90">
            <w:r>
              <w:rPr>
                <w:rStyle w:val="10"/>
                <w:rFonts w:hint="eastAsia"/>
              </w:rPr>
              <w:t>登记证持有人：</w:t>
            </w:r>
            <w:r>
              <w:rPr>
                <w:rFonts w:hint="eastAsia"/>
              </w:rPr>
              <w:t>江苏省盐城利民农化有限公司</w:t>
            </w:r>
          </w:p>
        </w:tc>
      </w:tr>
      <w:tr w14:paraId="1F5F8BC4">
        <w:tblPrEx>
          <w:tblCellMar>
            <w:top w:w="0" w:type="dxa"/>
            <w:left w:w="0" w:type="dxa"/>
            <w:bottom w:w="0" w:type="dxa"/>
            <w:right w:w="0" w:type="dxa"/>
          </w:tblCellMar>
        </w:tblPrEx>
        <w:trPr>
          <w:wBefore w:w="0" w:type="auto"/>
          <w:tblCellSpacing w:w="0" w:type="dxa"/>
        </w:trPr>
        <w:tc>
          <w:tcPr>
            <w:tcW w:w="0" w:type="auto"/>
            <w:noWrap w:val="0"/>
            <w:vAlign w:val="center"/>
          </w:tcPr>
          <w:p w14:paraId="17078F1C">
            <w:r>
              <w:rPr>
                <w:rStyle w:val="10"/>
                <w:rFonts w:hint="eastAsia"/>
              </w:rPr>
              <w:t>农药名称：</w:t>
            </w:r>
            <w:r>
              <w:rPr>
                <w:rFonts w:hint="eastAsia"/>
              </w:rPr>
              <w:t>氟啶虫酰胺·噻虫啉</w:t>
            </w:r>
          </w:p>
        </w:tc>
      </w:tr>
      <w:tr w14:paraId="2BD9C39A">
        <w:tblPrEx>
          <w:tblCellMar>
            <w:top w:w="0" w:type="dxa"/>
            <w:left w:w="0" w:type="dxa"/>
            <w:bottom w:w="0" w:type="dxa"/>
            <w:right w:w="0" w:type="dxa"/>
          </w:tblCellMar>
        </w:tblPrEx>
        <w:trPr>
          <w:wBefore w:w="0" w:type="auto"/>
          <w:tblCellSpacing w:w="0" w:type="dxa"/>
        </w:trPr>
        <w:tc>
          <w:tcPr>
            <w:tcW w:w="0" w:type="auto"/>
            <w:noWrap w:val="0"/>
            <w:vAlign w:val="center"/>
          </w:tcPr>
          <w:p w14:paraId="6C2CF402">
            <w:r>
              <w:rPr>
                <w:rStyle w:val="10"/>
                <w:rFonts w:hint="eastAsia"/>
              </w:rPr>
              <w:t>剂型：</w:t>
            </w:r>
            <w:r>
              <w:rPr>
                <w:rFonts w:hint="eastAsia"/>
              </w:rPr>
              <w:t>悬浮剂</w:t>
            </w:r>
          </w:p>
        </w:tc>
      </w:tr>
      <w:tr w14:paraId="3E745C65">
        <w:tblPrEx>
          <w:tblCellMar>
            <w:top w:w="0" w:type="dxa"/>
            <w:left w:w="0" w:type="dxa"/>
            <w:bottom w:w="0" w:type="dxa"/>
            <w:right w:w="0" w:type="dxa"/>
          </w:tblCellMar>
        </w:tblPrEx>
        <w:trPr>
          <w:wBefore w:w="0" w:type="auto"/>
          <w:tblCellSpacing w:w="0" w:type="dxa"/>
        </w:trPr>
        <w:tc>
          <w:tcPr>
            <w:tcW w:w="0" w:type="auto"/>
            <w:noWrap w:val="0"/>
            <w:vAlign w:val="center"/>
          </w:tcPr>
          <w:p w14:paraId="7E0E00E7">
            <w:r>
              <w:rPr>
                <w:rStyle w:val="10"/>
                <w:rFonts w:hint="eastAsia"/>
              </w:rPr>
              <w:t>毒性及其标识：</w:t>
            </w:r>
            <w:r>
              <w:rPr>
                <w:rFonts w:hint="eastAsia"/>
              </w:rPr>
              <w:t xml:space="preserve"> </w:t>
            </w:r>
            <w:r>
              <w:rPr>
                <w:lang/>
              </w:rPr>
              <w:drawing>
                <wp:inline distT="0" distB="0" distL="114300" distR="114300">
                  <wp:extent cx="476250" cy="323850"/>
                  <wp:effectExtent l="0" t="0" r="0" b="0"/>
                  <wp:docPr id="292" name="图片 29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984167B">
        <w:tblPrEx>
          <w:tblCellMar>
            <w:top w:w="0" w:type="dxa"/>
            <w:left w:w="0" w:type="dxa"/>
            <w:bottom w:w="0" w:type="dxa"/>
            <w:right w:w="0" w:type="dxa"/>
          </w:tblCellMar>
        </w:tblPrEx>
        <w:trPr>
          <w:wBefore w:w="0" w:type="auto"/>
          <w:tblCellSpacing w:w="0" w:type="dxa"/>
        </w:trPr>
        <w:tc>
          <w:tcPr>
            <w:tcW w:w="0" w:type="auto"/>
            <w:noWrap w:val="0"/>
            <w:vAlign w:val="center"/>
          </w:tcPr>
          <w:p w14:paraId="277CC8E1">
            <w:r>
              <w:rPr>
                <w:rStyle w:val="10"/>
                <w:rFonts w:hint="eastAsia"/>
              </w:rPr>
              <w:t>总有效成分含量：</w:t>
            </w:r>
            <w:r>
              <w:rPr>
                <w:rFonts w:hint="eastAsia"/>
              </w:rPr>
              <w:t>30%</w:t>
            </w:r>
          </w:p>
        </w:tc>
      </w:tr>
      <w:tr w14:paraId="2D9A1150">
        <w:tblPrEx>
          <w:tblCellMar>
            <w:top w:w="0" w:type="dxa"/>
            <w:left w:w="0" w:type="dxa"/>
            <w:bottom w:w="0" w:type="dxa"/>
            <w:right w:w="0" w:type="dxa"/>
          </w:tblCellMar>
        </w:tblPrEx>
        <w:trPr>
          <w:wBefore w:w="0" w:type="auto"/>
          <w:tblCellSpacing w:w="0" w:type="dxa"/>
        </w:trPr>
        <w:tc>
          <w:tcPr>
            <w:tcW w:w="0" w:type="auto"/>
            <w:noWrap w:val="0"/>
            <w:vAlign w:val="center"/>
          </w:tcPr>
          <w:p w14:paraId="47D39593">
            <w:r>
              <w:rPr>
                <w:rFonts w:hint="eastAsia"/>
              </w:rPr>
              <w:t xml:space="preserve">有效成分及其含量： </w:t>
            </w:r>
          </w:p>
          <w:p w14:paraId="021A3358">
            <w:r>
              <w:rPr>
                <w:rFonts w:hint="eastAsia"/>
              </w:rPr>
              <w:t xml:space="preserve">    氟啶虫酰胺10%    噻虫啉20%    </w:t>
            </w:r>
          </w:p>
        </w:tc>
      </w:tr>
      <w:tr w14:paraId="275280AD">
        <w:tblPrEx>
          <w:tblCellMar>
            <w:top w:w="0" w:type="dxa"/>
            <w:left w:w="0" w:type="dxa"/>
            <w:bottom w:w="0" w:type="dxa"/>
            <w:right w:w="0" w:type="dxa"/>
          </w:tblCellMar>
        </w:tblPrEx>
        <w:trPr>
          <w:wBefore w:w="0" w:type="auto"/>
          <w:tblCellSpacing w:w="0" w:type="dxa"/>
        </w:trPr>
        <w:tc>
          <w:tcPr>
            <w:tcW w:w="0" w:type="auto"/>
            <w:noWrap w:val="0"/>
            <w:vAlign w:val="center"/>
          </w:tcPr>
          <w:p w14:paraId="18EF772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ADF4E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2D0E76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DDC93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4A68D0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9EFD88">
                  <w:r>
                    <w:rPr>
                      <w:rStyle w:val="11"/>
                      <w:rFonts w:hint="eastAsia"/>
                    </w:rPr>
                    <w:t>施用方式</w:t>
                  </w:r>
                </w:p>
              </w:tc>
            </w:tr>
            <w:tr w14:paraId="040E2F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DED3D2">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FDD6C8">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CAB0BC">
                  <w:r>
                    <w:rPr>
                      <w:rStyle w:val="11"/>
                      <w:rFonts w:hint="eastAsia"/>
                    </w:rPr>
                    <w:t>20-30 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7355E4">
                  <w:r>
                    <w:rPr>
                      <w:rStyle w:val="11"/>
                      <w:rFonts w:hint="eastAsia"/>
                    </w:rPr>
                    <w:t>喷雾</w:t>
                  </w:r>
                </w:p>
              </w:tc>
            </w:tr>
          </w:tbl>
          <w:p w14:paraId="6068D2E7">
            <w:pPr>
              <w:rPr>
                <w:rFonts w:ascii="Times New Roman" w:hAnsi="Times New Roman" w:cs="Times New Roman"/>
                <w:sz w:val="20"/>
                <w:szCs w:val="20"/>
              </w:rPr>
            </w:pPr>
          </w:p>
        </w:tc>
      </w:tr>
      <w:tr w14:paraId="6F94F4AF">
        <w:tblPrEx>
          <w:tblCellMar>
            <w:top w:w="0" w:type="dxa"/>
            <w:left w:w="0" w:type="dxa"/>
            <w:bottom w:w="0" w:type="dxa"/>
            <w:right w:w="0" w:type="dxa"/>
          </w:tblCellMar>
        </w:tblPrEx>
        <w:trPr>
          <w:wBefore w:w="0" w:type="auto"/>
          <w:tblCellSpacing w:w="0" w:type="dxa"/>
        </w:trPr>
        <w:tc>
          <w:tcPr>
            <w:tcW w:w="0" w:type="auto"/>
            <w:noWrap w:val="0"/>
            <w:vAlign w:val="center"/>
          </w:tcPr>
          <w:p w14:paraId="42BA87E1">
            <w:r>
              <w:rPr>
                <w:rStyle w:val="10"/>
                <w:rFonts w:hint="eastAsia"/>
              </w:rPr>
              <w:t>使用技术要求:</w:t>
            </w:r>
            <w:r>
              <w:rPr>
                <w:rFonts w:hint="eastAsia"/>
              </w:rPr>
              <w:br w:type="textWrapping"/>
            </w:r>
            <w:r>
              <w:rPr>
                <w:rStyle w:val="11"/>
                <w:rFonts w:hint="eastAsia"/>
              </w:rPr>
              <w:t>1.于黄瓜蚜虫发生初期兑水均匀喷雾。 2.大风天或预计1小时内降雨，请勿施药。 3.在黄瓜上的安全间隔期为3天，每季最多使用1次。</w:t>
            </w:r>
          </w:p>
        </w:tc>
      </w:tr>
      <w:tr w14:paraId="2BE477F0">
        <w:tblPrEx>
          <w:tblCellMar>
            <w:top w:w="0" w:type="dxa"/>
            <w:left w:w="0" w:type="dxa"/>
            <w:bottom w:w="0" w:type="dxa"/>
            <w:right w:w="0" w:type="dxa"/>
          </w:tblCellMar>
        </w:tblPrEx>
        <w:trPr>
          <w:wBefore w:w="0" w:type="auto"/>
          <w:tblCellSpacing w:w="0" w:type="dxa"/>
        </w:trPr>
        <w:tc>
          <w:tcPr>
            <w:tcW w:w="0" w:type="auto"/>
            <w:noWrap w:val="0"/>
            <w:vAlign w:val="center"/>
          </w:tcPr>
          <w:p w14:paraId="1B64FD3A">
            <w:r>
              <w:rPr>
                <w:rStyle w:val="10"/>
                <w:rFonts w:hint="eastAsia"/>
              </w:rPr>
              <w:t>产品性能:</w:t>
            </w:r>
            <w:r>
              <w:rPr>
                <w:rFonts w:hint="eastAsia"/>
              </w:rPr>
              <w:br w:type="textWrapping"/>
            </w:r>
            <w:r>
              <w:rPr>
                <w:rStyle w:val="11"/>
                <w:rFonts w:hint="eastAsia"/>
              </w:rPr>
              <w:t>本品由氟啶虫酰胺和噻虫啉复配而成。氟啶虫酰胺是一种新型吡啶酰胺类昆虫生长调节剂类杀虫剂，除具有触杀和胃毒作用，还具有较好的神经毒剂和快速拒食作用，并具有良好的渗透作用。害虫摄入药剂后很快停止吮吸，最后饥饿而死。噻虫啉为内吸性新氯代烟碱类化学农药杀虫剂，主要作用于昆虫神经接合后膜，通过与烟碱乙酰胆碱受体结合，干扰昆虫神经系统正常传导，引起神经通道的阻塞，造成乙酰胆碱的大量积累，从而使昆虫异常兴奋，全身痉挛、麻痹而死，具有较强的内吸、触杀和胃毒作用。二者复配后具有增效作用，对防治黄瓜蚜虫具有较好的防治效果。</w:t>
            </w:r>
          </w:p>
        </w:tc>
      </w:tr>
      <w:tr w14:paraId="21B15287">
        <w:tblPrEx>
          <w:tblCellMar>
            <w:top w:w="0" w:type="dxa"/>
            <w:left w:w="0" w:type="dxa"/>
            <w:bottom w:w="0" w:type="dxa"/>
            <w:right w:w="0" w:type="dxa"/>
          </w:tblCellMar>
        </w:tblPrEx>
        <w:trPr>
          <w:wBefore w:w="0" w:type="auto"/>
          <w:tblCellSpacing w:w="0" w:type="dxa"/>
        </w:trPr>
        <w:tc>
          <w:tcPr>
            <w:tcW w:w="0" w:type="auto"/>
            <w:noWrap w:val="0"/>
            <w:vAlign w:val="center"/>
          </w:tcPr>
          <w:p w14:paraId="043BD148">
            <w:r>
              <w:rPr>
                <w:rStyle w:val="10"/>
                <w:rFonts w:hint="eastAsia"/>
              </w:rPr>
              <w:t>注意事项：</w:t>
            </w:r>
            <w:r>
              <w:rPr>
                <w:rFonts w:hint="eastAsia"/>
              </w:rPr>
              <w:br w:type="textWrapping"/>
            </w:r>
            <w:r>
              <w:rPr>
                <w:rStyle w:val="11"/>
                <w:rFonts w:hint="eastAsia"/>
              </w:rPr>
              <w:t>1.严格按照农药安全使用规则使用本品，做好安全防护。 2.本品应避免与氧化剂接触。不可与呈强碱性的农药等物质混合使用。 3.使用本品时应穿戴防护服、手套、口罩和护目镜。施药期间不可吃东西和饮水。施药后应及时洗手和洗脸。 4.本品对蜜蜂、鱼类等水生生物、家蚕有毒，施药期间应避免对周围蜂群的影响，蜜源作物花期禁用、蚕室及桑园附近禁用。赤眼蜂等天敌放飞区禁用，鸟类保护区禁用。远离水产养殖区施药，禁止在河塘等水体中清洗施药器具。 5.建议与其他作用机制不同的杀虫剂轮换使用，以延缓抗性产生。 6.用过的容器应妥善处理，不可做他用，也不可随意丢弃。7.孕妇及哺乳期妇女禁止接触本品。</w:t>
            </w:r>
          </w:p>
        </w:tc>
      </w:tr>
      <w:tr w14:paraId="7A8E6F1E">
        <w:tblPrEx>
          <w:tblCellMar>
            <w:top w:w="0" w:type="dxa"/>
            <w:left w:w="0" w:type="dxa"/>
            <w:bottom w:w="0" w:type="dxa"/>
            <w:right w:w="0" w:type="dxa"/>
          </w:tblCellMar>
        </w:tblPrEx>
        <w:trPr>
          <w:wBefore w:w="0" w:type="auto"/>
          <w:tblCellSpacing w:w="0" w:type="dxa"/>
        </w:trPr>
        <w:tc>
          <w:tcPr>
            <w:tcW w:w="0" w:type="auto"/>
            <w:noWrap w:val="0"/>
            <w:vAlign w:val="center"/>
          </w:tcPr>
          <w:p w14:paraId="04E64D84">
            <w:r>
              <w:rPr>
                <w:rStyle w:val="10"/>
                <w:rFonts w:hint="eastAsia"/>
              </w:rPr>
              <w:t>中毒急救措施：</w:t>
            </w:r>
            <w:r>
              <w:rPr>
                <w:rFonts w:hint="eastAsia"/>
              </w:rPr>
              <w:br w:type="textWrapping"/>
            </w:r>
            <w:r>
              <w:rPr>
                <w:rStyle w:val="11"/>
                <w:rFonts w:hint="eastAsia"/>
              </w:rPr>
              <w:t>本品对眼睛有刺激性。不慎吸入，应将病人移至空气流通处。不慎接触皮肤或溅入眼睛，应用大量清水冲洗至少15分钟。如误服，应立即催吐并携标签将患者送医院，对症治疗。</w:t>
            </w:r>
          </w:p>
        </w:tc>
      </w:tr>
      <w:tr w14:paraId="63B27992">
        <w:tblPrEx>
          <w:tblCellMar>
            <w:top w:w="0" w:type="dxa"/>
            <w:left w:w="0" w:type="dxa"/>
            <w:bottom w:w="0" w:type="dxa"/>
            <w:right w:w="0" w:type="dxa"/>
          </w:tblCellMar>
        </w:tblPrEx>
        <w:trPr>
          <w:wBefore w:w="0" w:type="auto"/>
          <w:tblCellSpacing w:w="0" w:type="dxa"/>
        </w:trPr>
        <w:tc>
          <w:tcPr>
            <w:tcW w:w="0" w:type="auto"/>
            <w:noWrap w:val="0"/>
            <w:vAlign w:val="center"/>
          </w:tcPr>
          <w:p w14:paraId="4F75F03A">
            <w:r>
              <w:rPr>
                <w:rStyle w:val="10"/>
                <w:rFonts w:hint="eastAsia"/>
              </w:rPr>
              <w:t>储存和运输方法：</w:t>
            </w:r>
            <w:r>
              <w:rPr>
                <w:rFonts w:hint="eastAsia"/>
              </w:rPr>
              <w:br w:type="textWrapping"/>
            </w:r>
            <w:r>
              <w:rPr>
                <w:rStyle w:val="11"/>
                <w:rFonts w:hint="eastAsia"/>
              </w:rPr>
              <w:t>本品应贮存在阴凉、干燥、通风、防雨处，远离火源或热源。置于儿童、无关人员触及不到之处，并加锁。勿与食品、饮料、粮食、饲料等同贮同运。</w:t>
            </w:r>
          </w:p>
        </w:tc>
      </w:tr>
      <w:tr w14:paraId="676DBB07">
        <w:tblPrEx>
          <w:tblCellMar>
            <w:top w:w="0" w:type="dxa"/>
            <w:left w:w="0" w:type="dxa"/>
            <w:bottom w:w="0" w:type="dxa"/>
            <w:right w:w="0" w:type="dxa"/>
          </w:tblCellMar>
        </w:tblPrEx>
        <w:trPr>
          <w:wBefore w:w="0" w:type="auto"/>
          <w:tblCellSpacing w:w="0" w:type="dxa"/>
        </w:trPr>
        <w:tc>
          <w:tcPr>
            <w:tcW w:w="0" w:type="auto"/>
            <w:noWrap w:val="0"/>
            <w:vAlign w:val="center"/>
          </w:tcPr>
          <w:p w14:paraId="0D0B8D0D">
            <w:r>
              <w:rPr>
                <w:rStyle w:val="10"/>
                <w:rFonts w:hint="eastAsia"/>
              </w:rPr>
              <w:t>质量保证期：</w:t>
            </w:r>
            <w:r>
              <w:rPr>
                <w:rStyle w:val="11"/>
                <w:rFonts w:hint="eastAsia"/>
              </w:rPr>
              <w:t>2年</w:t>
            </w:r>
          </w:p>
        </w:tc>
      </w:tr>
      <w:tr w14:paraId="44BE38B2">
        <w:tblPrEx>
          <w:tblCellMar>
            <w:top w:w="0" w:type="dxa"/>
            <w:left w:w="0" w:type="dxa"/>
            <w:bottom w:w="0" w:type="dxa"/>
            <w:right w:w="0" w:type="dxa"/>
          </w:tblCellMar>
        </w:tblPrEx>
        <w:trPr>
          <w:wBefore w:w="0" w:type="auto"/>
          <w:tblCellSpacing w:w="0" w:type="dxa"/>
        </w:trPr>
        <w:tc>
          <w:tcPr>
            <w:tcW w:w="0" w:type="auto"/>
            <w:noWrap w:val="0"/>
            <w:vAlign w:val="center"/>
          </w:tcPr>
          <w:p w14:paraId="105499CC">
            <w:r>
              <w:rPr>
                <w:rStyle w:val="10"/>
                <w:rFonts w:hint="eastAsia"/>
              </w:rPr>
              <w:t>备注：</w:t>
            </w:r>
          </w:p>
        </w:tc>
      </w:tr>
    </w:tbl>
    <w:p w14:paraId="5A11B84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B5E4A73">
        <w:tblPrEx>
          <w:tblCellMar>
            <w:top w:w="0" w:type="dxa"/>
            <w:left w:w="0" w:type="dxa"/>
            <w:bottom w:w="0" w:type="dxa"/>
            <w:right w:w="0" w:type="dxa"/>
          </w:tblCellMar>
        </w:tblPrEx>
        <w:trPr>
          <w:wBefore w:w="0" w:type="auto"/>
          <w:tblCellSpacing w:w="0" w:type="dxa"/>
        </w:trPr>
        <w:tc>
          <w:tcPr>
            <w:tcW w:w="0" w:type="auto"/>
            <w:noWrap w:val="0"/>
            <w:vAlign w:val="center"/>
          </w:tcPr>
          <w:p w14:paraId="36A40B29">
            <w:r>
              <w:rPr>
                <w:rStyle w:val="10"/>
                <w:rFonts w:hint="eastAsia"/>
              </w:rPr>
              <w:t>登记证号：</w:t>
            </w:r>
            <w:r>
              <w:rPr>
                <w:rFonts w:hint="eastAsia"/>
              </w:rPr>
              <w:t>WP20210212</w:t>
            </w:r>
          </w:p>
        </w:tc>
      </w:tr>
      <w:tr w14:paraId="15DCAB56">
        <w:tblPrEx>
          <w:tblCellMar>
            <w:top w:w="0" w:type="dxa"/>
            <w:left w:w="0" w:type="dxa"/>
            <w:bottom w:w="0" w:type="dxa"/>
            <w:right w:w="0" w:type="dxa"/>
          </w:tblCellMar>
        </w:tblPrEx>
        <w:trPr>
          <w:wBefore w:w="0" w:type="auto"/>
          <w:tblCellSpacing w:w="0" w:type="dxa"/>
        </w:trPr>
        <w:tc>
          <w:tcPr>
            <w:tcW w:w="0" w:type="auto"/>
            <w:noWrap w:val="0"/>
            <w:vAlign w:val="center"/>
          </w:tcPr>
          <w:p w14:paraId="699DDCFD">
            <w:r>
              <w:rPr>
                <w:rStyle w:val="10"/>
                <w:rFonts w:hint="eastAsia"/>
              </w:rPr>
              <w:t>登记证持有人：</w:t>
            </w:r>
            <w:r>
              <w:rPr>
                <w:rFonts w:hint="eastAsia"/>
              </w:rPr>
              <w:t>浙江李字日化有限责任公司</w:t>
            </w:r>
          </w:p>
        </w:tc>
      </w:tr>
      <w:tr w14:paraId="70767D7F">
        <w:tblPrEx>
          <w:tblCellMar>
            <w:top w:w="0" w:type="dxa"/>
            <w:left w:w="0" w:type="dxa"/>
            <w:bottom w:w="0" w:type="dxa"/>
            <w:right w:w="0" w:type="dxa"/>
          </w:tblCellMar>
        </w:tblPrEx>
        <w:trPr>
          <w:wBefore w:w="0" w:type="auto"/>
          <w:tblCellSpacing w:w="0" w:type="dxa"/>
        </w:trPr>
        <w:tc>
          <w:tcPr>
            <w:tcW w:w="0" w:type="auto"/>
            <w:noWrap w:val="0"/>
            <w:vAlign w:val="center"/>
          </w:tcPr>
          <w:p w14:paraId="59F262A6">
            <w:r>
              <w:rPr>
                <w:rStyle w:val="10"/>
                <w:rFonts w:hint="eastAsia"/>
              </w:rPr>
              <w:t>农药名称：</w:t>
            </w:r>
            <w:r>
              <w:rPr>
                <w:rFonts w:hint="eastAsia"/>
              </w:rPr>
              <w:t>氯氟醚菊酯</w:t>
            </w:r>
          </w:p>
        </w:tc>
      </w:tr>
      <w:tr w14:paraId="6BAAD611">
        <w:tblPrEx>
          <w:tblCellMar>
            <w:top w:w="0" w:type="dxa"/>
            <w:left w:w="0" w:type="dxa"/>
            <w:bottom w:w="0" w:type="dxa"/>
            <w:right w:w="0" w:type="dxa"/>
          </w:tblCellMar>
        </w:tblPrEx>
        <w:trPr>
          <w:wBefore w:w="0" w:type="auto"/>
          <w:tblCellSpacing w:w="0" w:type="dxa"/>
        </w:trPr>
        <w:tc>
          <w:tcPr>
            <w:tcW w:w="0" w:type="auto"/>
            <w:noWrap w:val="0"/>
            <w:vAlign w:val="center"/>
          </w:tcPr>
          <w:p w14:paraId="58146DE3">
            <w:r>
              <w:rPr>
                <w:rStyle w:val="10"/>
                <w:rFonts w:hint="eastAsia"/>
              </w:rPr>
              <w:t>剂型：</w:t>
            </w:r>
            <w:r>
              <w:rPr>
                <w:rFonts w:hint="eastAsia"/>
              </w:rPr>
              <w:t>蚊香</w:t>
            </w:r>
          </w:p>
        </w:tc>
      </w:tr>
      <w:tr w14:paraId="692349CF">
        <w:tblPrEx>
          <w:tblCellMar>
            <w:top w:w="0" w:type="dxa"/>
            <w:left w:w="0" w:type="dxa"/>
            <w:bottom w:w="0" w:type="dxa"/>
            <w:right w:w="0" w:type="dxa"/>
          </w:tblCellMar>
        </w:tblPrEx>
        <w:trPr>
          <w:wBefore w:w="0" w:type="auto"/>
          <w:tblCellSpacing w:w="0" w:type="dxa"/>
        </w:trPr>
        <w:tc>
          <w:tcPr>
            <w:tcW w:w="0" w:type="auto"/>
            <w:noWrap w:val="0"/>
            <w:vAlign w:val="center"/>
          </w:tcPr>
          <w:p w14:paraId="77705771">
            <w:r>
              <w:rPr>
                <w:rStyle w:val="10"/>
                <w:rFonts w:hint="eastAsia"/>
              </w:rPr>
              <w:t>毒性及其标识：</w:t>
            </w:r>
            <w:r>
              <w:rPr>
                <w:rFonts w:hint="eastAsia"/>
              </w:rPr>
              <w:t xml:space="preserve"> 微毒 </w:t>
            </w:r>
          </w:p>
        </w:tc>
      </w:tr>
      <w:tr w14:paraId="618DC681">
        <w:tblPrEx>
          <w:tblCellMar>
            <w:top w:w="0" w:type="dxa"/>
            <w:left w:w="0" w:type="dxa"/>
            <w:bottom w:w="0" w:type="dxa"/>
            <w:right w:w="0" w:type="dxa"/>
          </w:tblCellMar>
        </w:tblPrEx>
        <w:trPr>
          <w:wBefore w:w="0" w:type="auto"/>
          <w:tblCellSpacing w:w="0" w:type="dxa"/>
        </w:trPr>
        <w:tc>
          <w:tcPr>
            <w:tcW w:w="0" w:type="auto"/>
            <w:noWrap w:val="0"/>
            <w:vAlign w:val="center"/>
          </w:tcPr>
          <w:p w14:paraId="2B1F67F7">
            <w:r>
              <w:rPr>
                <w:rStyle w:val="10"/>
                <w:rFonts w:hint="eastAsia"/>
              </w:rPr>
              <w:t>总有效成分含量：</w:t>
            </w:r>
            <w:r>
              <w:rPr>
                <w:rFonts w:hint="eastAsia"/>
              </w:rPr>
              <w:t>0.08%</w:t>
            </w:r>
          </w:p>
        </w:tc>
      </w:tr>
      <w:tr w14:paraId="70C98E69">
        <w:tblPrEx>
          <w:tblCellMar>
            <w:top w:w="0" w:type="dxa"/>
            <w:left w:w="0" w:type="dxa"/>
            <w:bottom w:w="0" w:type="dxa"/>
            <w:right w:w="0" w:type="dxa"/>
          </w:tblCellMar>
        </w:tblPrEx>
        <w:trPr>
          <w:wBefore w:w="0" w:type="auto"/>
          <w:tblCellSpacing w:w="0" w:type="dxa"/>
        </w:trPr>
        <w:tc>
          <w:tcPr>
            <w:tcW w:w="0" w:type="auto"/>
            <w:noWrap w:val="0"/>
            <w:vAlign w:val="center"/>
          </w:tcPr>
          <w:p w14:paraId="652DC921">
            <w:r>
              <w:rPr>
                <w:rFonts w:hint="eastAsia"/>
              </w:rPr>
              <w:t xml:space="preserve">有效成分及其含量： </w:t>
            </w:r>
          </w:p>
          <w:p w14:paraId="6B029E77">
            <w:r>
              <w:rPr>
                <w:rFonts w:hint="eastAsia"/>
              </w:rPr>
              <w:t xml:space="preserve">    氯氟醚菊酯0.08%    </w:t>
            </w:r>
          </w:p>
        </w:tc>
      </w:tr>
      <w:tr w14:paraId="2DF89D44">
        <w:tblPrEx>
          <w:tblCellMar>
            <w:top w:w="0" w:type="dxa"/>
            <w:left w:w="0" w:type="dxa"/>
            <w:bottom w:w="0" w:type="dxa"/>
            <w:right w:w="0" w:type="dxa"/>
          </w:tblCellMar>
        </w:tblPrEx>
        <w:trPr>
          <w:wBefore w:w="0" w:type="auto"/>
          <w:tblCellSpacing w:w="0" w:type="dxa"/>
        </w:trPr>
        <w:tc>
          <w:tcPr>
            <w:tcW w:w="0" w:type="auto"/>
            <w:noWrap w:val="0"/>
            <w:vAlign w:val="center"/>
          </w:tcPr>
          <w:p w14:paraId="1ED94E0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3537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FE7040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8FAD48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BC1B68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C8E60C7">
                  <w:r>
                    <w:rPr>
                      <w:rStyle w:val="11"/>
                      <w:rFonts w:hint="eastAsia"/>
                    </w:rPr>
                    <w:t>施用方式</w:t>
                  </w:r>
                </w:p>
              </w:tc>
            </w:tr>
            <w:tr w14:paraId="19D7C6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B9946B7">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53C83A">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6DFF21">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B671DB">
                  <w:r>
                    <w:rPr>
                      <w:rStyle w:val="11"/>
                      <w:rFonts w:hint="eastAsia"/>
                    </w:rPr>
                    <w:t>点燃</w:t>
                  </w:r>
                </w:p>
              </w:tc>
            </w:tr>
          </w:tbl>
          <w:p w14:paraId="40642177">
            <w:pPr>
              <w:rPr>
                <w:rFonts w:ascii="Times New Roman" w:hAnsi="Times New Roman" w:cs="Times New Roman"/>
                <w:sz w:val="20"/>
                <w:szCs w:val="20"/>
              </w:rPr>
            </w:pPr>
          </w:p>
        </w:tc>
      </w:tr>
      <w:tr w14:paraId="44738BBF">
        <w:tblPrEx>
          <w:tblCellMar>
            <w:top w:w="0" w:type="dxa"/>
            <w:left w:w="0" w:type="dxa"/>
            <w:bottom w:w="0" w:type="dxa"/>
            <w:right w:w="0" w:type="dxa"/>
          </w:tblCellMar>
        </w:tblPrEx>
        <w:trPr>
          <w:wBefore w:w="0" w:type="auto"/>
          <w:tblCellSpacing w:w="0" w:type="dxa"/>
        </w:trPr>
        <w:tc>
          <w:tcPr>
            <w:tcW w:w="0" w:type="auto"/>
            <w:noWrap w:val="0"/>
            <w:vAlign w:val="center"/>
          </w:tcPr>
          <w:p w14:paraId="3E22270D">
            <w:r>
              <w:rPr>
                <w:rStyle w:val="10"/>
                <w:rFonts w:hint="eastAsia"/>
              </w:rPr>
              <w:t>使用技术要求:</w:t>
            </w:r>
            <w:r>
              <w:rPr>
                <w:rFonts w:hint="eastAsia"/>
              </w:rPr>
              <w:br w:type="textWrapping"/>
            </w:r>
            <w:r>
              <w:rPr>
                <w:rStyle w:val="11"/>
                <w:rFonts w:hint="eastAsia"/>
              </w:rPr>
              <w:t>将蚊香脱开成两单圈，将铁架垂直折起，然后点燃香圈末端，将蚊香中心插在铁架的尖端。</w:t>
            </w:r>
          </w:p>
        </w:tc>
      </w:tr>
      <w:tr w14:paraId="58AF13E9">
        <w:tblPrEx>
          <w:tblCellMar>
            <w:top w:w="0" w:type="dxa"/>
            <w:left w:w="0" w:type="dxa"/>
            <w:bottom w:w="0" w:type="dxa"/>
            <w:right w:w="0" w:type="dxa"/>
          </w:tblCellMar>
        </w:tblPrEx>
        <w:trPr>
          <w:wBefore w:w="0" w:type="auto"/>
          <w:tblCellSpacing w:w="0" w:type="dxa"/>
        </w:trPr>
        <w:tc>
          <w:tcPr>
            <w:tcW w:w="0" w:type="auto"/>
            <w:noWrap w:val="0"/>
            <w:vAlign w:val="center"/>
          </w:tcPr>
          <w:p w14:paraId="5D9F52CF">
            <w:r>
              <w:rPr>
                <w:rStyle w:val="10"/>
                <w:rFonts w:hint="eastAsia"/>
              </w:rPr>
              <w:t>产品性能:</w:t>
            </w:r>
            <w:r>
              <w:rPr>
                <w:rFonts w:hint="eastAsia"/>
              </w:rPr>
              <w:br w:type="textWrapping"/>
            </w:r>
            <w:r>
              <w:rPr>
                <w:rStyle w:val="11"/>
                <w:rFonts w:hint="eastAsia"/>
              </w:rPr>
              <w:t>本产品含拟除虫菊酯，能有效驱杀蚊子，适用于家庭、宾馆、办公室、饭店等室内场所。</w:t>
            </w:r>
          </w:p>
        </w:tc>
      </w:tr>
      <w:tr w14:paraId="1B15140D">
        <w:tblPrEx>
          <w:tblCellMar>
            <w:top w:w="0" w:type="dxa"/>
            <w:left w:w="0" w:type="dxa"/>
            <w:bottom w:w="0" w:type="dxa"/>
            <w:right w:w="0" w:type="dxa"/>
          </w:tblCellMar>
        </w:tblPrEx>
        <w:trPr>
          <w:wBefore w:w="0" w:type="auto"/>
          <w:tblCellSpacing w:w="0" w:type="dxa"/>
        </w:trPr>
        <w:tc>
          <w:tcPr>
            <w:tcW w:w="0" w:type="auto"/>
            <w:noWrap w:val="0"/>
            <w:vAlign w:val="center"/>
          </w:tcPr>
          <w:p w14:paraId="1E96AAB8">
            <w:r>
              <w:rPr>
                <w:rStyle w:val="10"/>
                <w:rFonts w:hint="eastAsia"/>
              </w:rPr>
              <w:t>注意事项：</w:t>
            </w:r>
            <w:r>
              <w:rPr>
                <w:rFonts w:hint="eastAsia"/>
              </w:rPr>
              <w:br w:type="textWrapping"/>
            </w:r>
            <w:r>
              <w:rPr>
                <w:rStyle w:val="11"/>
                <w:rFonts w:hint="eastAsia"/>
              </w:rPr>
              <w:t>1、仅限室内使用。 2、如不慎受潮，可在通风口吹干后使用，效果不变。 3、使用时应远离火源和易燃品，勿用易燃品做接灰盘，注意防火安全，注意通风。 4、勿在电风扇或大风处使用，以免影响效果。 5、对鱼、蚕有毒，蚕室及其附近禁用，用后洗手。 6、孕妇及哺乳期妇女避免接触本产品。</w:t>
            </w:r>
          </w:p>
        </w:tc>
      </w:tr>
      <w:tr w14:paraId="5605BD24">
        <w:tblPrEx>
          <w:tblCellMar>
            <w:top w:w="0" w:type="dxa"/>
            <w:left w:w="0" w:type="dxa"/>
            <w:bottom w:w="0" w:type="dxa"/>
            <w:right w:w="0" w:type="dxa"/>
          </w:tblCellMar>
        </w:tblPrEx>
        <w:trPr>
          <w:wBefore w:w="0" w:type="auto"/>
          <w:tblCellSpacing w:w="0" w:type="dxa"/>
        </w:trPr>
        <w:tc>
          <w:tcPr>
            <w:tcW w:w="0" w:type="auto"/>
            <w:noWrap w:val="0"/>
            <w:vAlign w:val="center"/>
          </w:tcPr>
          <w:p w14:paraId="622494E5">
            <w:r>
              <w:rPr>
                <w:rStyle w:val="10"/>
                <w:rFonts w:hint="eastAsia"/>
              </w:rPr>
              <w:t>中毒急救措施：</w:t>
            </w:r>
            <w:r>
              <w:rPr>
                <w:rFonts w:hint="eastAsia"/>
              </w:rPr>
              <w:br w:type="textWrapping"/>
            </w:r>
            <w:r>
              <w:rPr>
                <w:rStyle w:val="11"/>
                <w:rFonts w:hint="eastAsia"/>
              </w:rPr>
              <w:t>过敏者禁用，使用中有任何不良反应请及时就医。若有误服，应立即携带标签将病人送医院诊治，不慎吸入，应将病人移至空气流通处，并及时送医院治疗。</w:t>
            </w:r>
          </w:p>
        </w:tc>
      </w:tr>
      <w:tr w14:paraId="7F8B4BDE">
        <w:tblPrEx>
          <w:tblCellMar>
            <w:top w:w="0" w:type="dxa"/>
            <w:left w:w="0" w:type="dxa"/>
            <w:bottom w:w="0" w:type="dxa"/>
            <w:right w:w="0" w:type="dxa"/>
          </w:tblCellMar>
        </w:tblPrEx>
        <w:trPr>
          <w:wBefore w:w="0" w:type="auto"/>
          <w:tblCellSpacing w:w="0" w:type="dxa"/>
        </w:trPr>
        <w:tc>
          <w:tcPr>
            <w:tcW w:w="0" w:type="auto"/>
            <w:noWrap w:val="0"/>
            <w:vAlign w:val="center"/>
          </w:tcPr>
          <w:p w14:paraId="5742AAA9">
            <w:r>
              <w:rPr>
                <w:rStyle w:val="10"/>
                <w:rFonts w:hint="eastAsia"/>
              </w:rPr>
              <w:t>储存和运输方法：</w:t>
            </w:r>
            <w:r>
              <w:rPr>
                <w:rFonts w:hint="eastAsia"/>
              </w:rPr>
              <w:br w:type="textWrapping"/>
            </w:r>
            <w:r>
              <w:rPr>
                <w:rStyle w:val="11"/>
                <w:rFonts w:hint="eastAsia"/>
              </w:rPr>
              <w:t>本品易应贮存在干燥、阴凉、通风、防雨处，远离火源或热源。置于儿童触及不到之处，并加锁。勿与食品、饮料、饲料、粮食等其他商品同贮同运。</w:t>
            </w:r>
          </w:p>
        </w:tc>
      </w:tr>
      <w:tr w14:paraId="0484BFDE">
        <w:tblPrEx>
          <w:tblCellMar>
            <w:top w:w="0" w:type="dxa"/>
            <w:left w:w="0" w:type="dxa"/>
            <w:bottom w:w="0" w:type="dxa"/>
            <w:right w:w="0" w:type="dxa"/>
          </w:tblCellMar>
        </w:tblPrEx>
        <w:trPr>
          <w:wBefore w:w="0" w:type="auto"/>
          <w:tblCellSpacing w:w="0" w:type="dxa"/>
        </w:trPr>
        <w:tc>
          <w:tcPr>
            <w:tcW w:w="0" w:type="auto"/>
            <w:noWrap w:val="0"/>
            <w:vAlign w:val="center"/>
          </w:tcPr>
          <w:p w14:paraId="08B981B2">
            <w:r>
              <w:rPr>
                <w:rStyle w:val="10"/>
                <w:rFonts w:hint="eastAsia"/>
              </w:rPr>
              <w:t>质量保证期：</w:t>
            </w:r>
            <w:r>
              <w:rPr>
                <w:rStyle w:val="11"/>
                <w:rFonts w:hint="eastAsia"/>
              </w:rPr>
              <w:t>3年</w:t>
            </w:r>
          </w:p>
        </w:tc>
      </w:tr>
      <w:tr w14:paraId="79CB7AE5">
        <w:tblPrEx>
          <w:tblCellMar>
            <w:top w:w="0" w:type="dxa"/>
            <w:left w:w="0" w:type="dxa"/>
            <w:bottom w:w="0" w:type="dxa"/>
            <w:right w:w="0" w:type="dxa"/>
          </w:tblCellMar>
        </w:tblPrEx>
        <w:trPr>
          <w:wBefore w:w="0" w:type="auto"/>
          <w:tblCellSpacing w:w="0" w:type="dxa"/>
        </w:trPr>
        <w:tc>
          <w:tcPr>
            <w:tcW w:w="0" w:type="auto"/>
            <w:noWrap w:val="0"/>
            <w:vAlign w:val="center"/>
          </w:tcPr>
          <w:p w14:paraId="1F2DFADA">
            <w:r>
              <w:rPr>
                <w:rStyle w:val="10"/>
                <w:rFonts w:hint="eastAsia"/>
              </w:rPr>
              <w:t>备注：</w:t>
            </w:r>
          </w:p>
        </w:tc>
      </w:tr>
    </w:tbl>
    <w:p w14:paraId="646547E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3B310D4">
        <w:tblPrEx>
          <w:tblCellMar>
            <w:top w:w="0" w:type="dxa"/>
            <w:left w:w="0" w:type="dxa"/>
            <w:bottom w:w="0" w:type="dxa"/>
            <w:right w:w="0" w:type="dxa"/>
          </w:tblCellMar>
        </w:tblPrEx>
        <w:trPr>
          <w:wBefore w:w="0" w:type="auto"/>
          <w:tblCellSpacing w:w="0" w:type="dxa"/>
        </w:trPr>
        <w:tc>
          <w:tcPr>
            <w:tcW w:w="0" w:type="auto"/>
            <w:noWrap w:val="0"/>
            <w:vAlign w:val="center"/>
          </w:tcPr>
          <w:p w14:paraId="77446942">
            <w:r>
              <w:rPr>
                <w:rStyle w:val="10"/>
                <w:rFonts w:hint="eastAsia"/>
              </w:rPr>
              <w:t>登记证号：</w:t>
            </w:r>
            <w:r>
              <w:rPr>
                <w:rFonts w:hint="eastAsia"/>
              </w:rPr>
              <w:t>PD20212080</w:t>
            </w:r>
          </w:p>
        </w:tc>
      </w:tr>
      <w:tr w14:paraId="650D89CD">
        <w:tblPrEx>
          <w:tblCellMar>
            <w:top w:w="0" w:type="dxa"/>
            <w:left w:w="0" w:type="dxa"/>
            <w:bottom w:w="0" w:type="dxa"/>
            <w:right w:w="0" w:type="dxa"/>
          </w:tblCellMar>
        </w:tblPrEx>
        <w:trPr>
          <w:wBefore w:w="0" w:type="auto"/>
          <w:tblCellSpacing w:w="0" w:type="dxa"/>
        </w:trPr>
        <w:tc>
          <w:tcPr>
            <w:tcW w:w="0" w:type="auto"/>
            <w:noWrap w:val="0"/>
            <w:vAlign w:val="center"/>
          </w:tcPr>
          <w:p w14:paraId="55CF69A8">
            <w:r>
              <w:rPr>
                <w:rStyle w:val="10"/>
                <w:rFonts w:hint="eastAsia"/>
              </w:rPr>
              <w:t>登记证持有人：</w:t>
            </w:r>
            <w:r>
              <w:rPr>
                <w:rFonts w:hint="eastAsia"/>
              </w:rPr>
              <w:t>河南欣农化工有限公司</w:t>
            </w:r>
          </w:p>
        </w:tc>
      </w:tr>
      <w:tr w14:paraId="35A0D7DF">
        <w:tblPrEx>
          <w:tblCellMar>
            <w:top w:w="0" w:type="dxa"/>
            <w:left w:w="0" w:type="dxa"/>
            <w:bottom w:w="0" w:type="dxa"/>
            <w:right w:w="0" w:type="dxa"/>
          </w:tblCellMar>
        </w:tblPrEx>
        <w:trPr>
          <w:wBefore w:w="0" w:type="auto"/>
          <w:tblCellSpacing w:w="0" w:type="dxa"/>
        </w:trPr>
        <w:tc>
          <w:tcPr>
            <w:tcW w:w="0" w:type="auto"/>
            <w:noWrap w:val="0"/>
            <w:vAlign w:val="center"/>
          </w:tcPr>
          <w:p w14:paraId="64DE5E87">
            <w:r>
              <w:rPr>
                <w:rStyle w:val="10"/>
                <w:rFonts w:hint="eastAsia"/>
              </w:rPr>
              <w:t>农药名称：</w:t>
            </w:r>
            <w:r>
              <w:rPr>
                <w:rFonts w:hint="eastAsia"/>
              </w:rPr>
              <w:t>丙炔氟草胺·二甲戊灵</w:t>
            </w:r>
          </w:p>
        </w:tc>
      </w:tr>
      <w:tr w14:paraId="0F6775AC">
        <w:tblPrEx>
          <w:tblCellMar>
            <w:top w:w="0" w:type="dxa"/>
            <w:left w:w="0" w:type="dxa"/>
            <w:bottom w:w="0" w:type="dxa"/>
            <w:right w:w="0" w:type="dxa"/>
          </w:tblCellMar>
        </w:tblPrEx>
        <w:trPr>
          <w:wBefore w:w="0" w:type="auto"/>
          <w:tblCellSpacing w:w="0" w:type="dxa"/>
        </w:trPr>
        <w:tc>
          <w:tcPr>
            <w:tcW w:w="0" w:type="auto"/>
            <w:noWrap w:val="0"/>
            <w:vAlign w:val="center"/>
          </w:tcPr>
          <w:p w14:paraId="5F459EF7">
            <w:r>
              <w:rPr>
                <w:rStyle w:val="10"/>
                <w:rFonts w:hint="eastAsia"/>
              </w:rPr>
              <w:t>剂型：</w:t>
            </w:r>
            <w:r>
              <w:rPr>
                <w:rFonts w:hint="eastAsia"/>
              </w:rPr>
              <w:t>乳油</w:t>
            </w:r>
          </w:p>
        </w:tc>
      </w:tr>
      <w:tr w14:paraId="4ED3019C">
        <w:tblPrEx>
          <w:tblCellMar>
            <w:top w:w="0" w:type="dxa"/>
            <w:left w:w="0" w:type="dxa"/>
            <w:bottom w:w="0" w:type="dxa"/>
            <w:right w:w="0" w:type="dxa"/>
          </w:tblCellMar>
        </w:tblPrEx>
        <w:trPr>
          <w:wBefore w:w="0" w:type="auto"/>
          <w:tblCellSpacing w:w="0" w:type="dxa"/>
        </w:trPr>
        <w:tc>
          <w:tcPr>
            <w:tcW w:w="0" w:type="auto"/>
            <w:noWrap w:val="0"/>
            <w:vAlign w:val="center"/>
          </w:tcPr>
          <w:p w14:paraId="3E56B07B">
            <w:r>
              <w:rPr>
                <w:rStyle w:val="10"/>
                <w:rFonts w:hint="eastAsia"/>
              </w:rPr>
              <w:t>毒性及其标识：</w:t>
            </w:r>
            <w:r>
              <w:rPr>
                <w:rFonts w:hint="eastAsia"/>
              </w:rPr>
              <w:t xml:space="preserve"> </w:t>
            </w:r>
            <w:r>
              <w:rPr>
                <w:lang/>
              </w:rPr>
              <w:drawing>
                <wp:inline distT="0" distB="0" distL="114300" distR="114300">
                  <wp:extent cx="476250" cy="323850"/>
                  <wp:effectExtent l="0" t="0" r="0" b="0"/>
                  <wp:docPr id="293" name="图片 29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03B7C9F">
        <w:tblPrEx>
          <w:tblCellMar>
            <w:top w:w="0" w:type="dxa"/>
            <w:left w:w="0" w:type="dxa"/>
            <w:bottom w:w="0" w:type="dxa"/>
            <w:right w:w="0" w:type="dxa"/>
          </w:tblCellMar>
        </w:tblPrEx>
        <w:trPr>
          <w:wBefore w:w="0" w:type="auto"/>
          <w:tblCellSpacing w:w="0" w:type="dxa"/>
        </w:trPr>
        <w:tc>
          <w:tcPr>
            <w:tcW w:w="0" w:type="auto"/>
            <w:noWrap w:val="0"/>
            <w:vAlign w:val="center"/>
          </w:tcPr>
          <w:p w14:paraId="0D966C17">
            <w:r>
              <w:rPr>
                <w:rStyle w:val="10"/>
                <w:rFonts w:hint="eastAsia"/>
              </w:rPr>
              <w:t>总有效成分含量：</w:t>
            </w:r>
            <w:r>
              <w:rPr>
                <w:rFonts w:hint="eastAsia"/>
              </w:rPr>
              <w:t>34%</w:t>
            </w:r>
          </w:p>
        </w:tc>
      </w:tr>
      <w:tr w14:paraId="706E5A60">
        <w:tblPrEx>
          <w:tblCellMar>
            <w:top w:w="0" w:type="dxa"/>
            <w:left w:w="0" w:type="dxa"/>
            <w:bottom w:w="0" w:type="dxa"/>
            <w:right w:w="0" w:type="dxa"/>
          </w:tblCellMar>
        </w:tblPrEx>
        <w:trPr>
          <w:wBefore w:w="0" w:type="auto"/>
          <w:tblCellSpacing w:w="0" w:type="dxa"/>
        </w:trPr>
        <w:tc>
          <w:tcPr>
            <w:tcW w:w="0" w:type="auto"/>
            <w:noWrap w:val="0"/>
            <w:vAlign w:val="center"/>
          </w:tcPr>
          <w:p w14:paraId="6776E34B">
            <w:r>
              <w:rPr>
                <w:rFonts w:hint="eastAsia"/>
              </w:rPr>
              <w:t xml:space="preserve">有效成分及其含量： </w:t>
            </w:r>
          </w:p>
          <w:p w14:paraId="1D430608">
            <w:r>
              <w:rPr>
                <w:rFonts w:hint="eastAsia"/>
              </w:rPr>
              <w:t xml:space="preserve">    丙炔氟草胺3%    二甲戊灵31%    </w:t>
            </w:r>
          </w:p>
        </w:tc>
      </w:tr>
      <w:tr w14:paraId="2B0B951B">
        <w:tblPrEx>
          <w:tblCellMar>
            <w:top w:w="0" w:type="dxa"/>
            <w:left w:w="0" w:type="dxa"/>
            <w:bottom w:w="0" w:type="dxa"/>
            <w:right w:w="0" w:type="dxa"/>
          </w:tblCellMar>
        </w:tblPrEx>
        <w:trPr>
          <w:wBefore w:w="0" w:type="auto"/>
          <w:tblCellSpacing w:w="0" w:type="dxa"/>
        </w:trPr>
        <w:tc>
          <w:tcPr>
            <w:tcW w:w="0" w:type="auto"/>
            <w:noWrap w:val="0"/>
            <w:vAlign w:val="center"/>
          </w:tcPr>
          <w:p w14:paraId="44525DB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660C9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E83804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9ABFF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69897A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61A3C21">
                  <w:r>
                    <w:rPr>
                      <w:rStyle w:val="11"/>
                      <w:rFonts w:hint="eastAsia"/>
                    </w:rPr>
                    <w:t>施用方式</w:t>
                  </w:r>
                </w:p>
              </w:tc>
            </w:tr>
            <w:tr w14:paraId="5DB42C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8CF157">
                  <w:r>
                    <w:rPr>
                      <w:rStyle w:val="11"/>
                      <w:rFonts w:hint="eastAsia"/>
                    </w:rPr>
                    <w:t>棉花田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D3F144">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DC9AA7">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5415BD">
                  <w:r>
                    <w:rPr>
                      <w:rStyle w:val="11"/>
                      <w:rFonts w:hint="eastAsia"/>
                    </w:rPr>
                    <w:t>土壤喷雾</w:t>
                  </w:r>
                </w:p>
              </w:tc>
            </w:tr>
          </w:tbl>
          <w:p w14:paraId="1CC8F475">
            <w:pPr>
              <w:rPr>
                <w:rFonts w:ascii="Times New Roman" w:hAnsi="Times New Roman" w:cs="Times New Roman"/>
                <w:sz w:val="20"/>
                <w:szCs w:val="20"/>
              </w:rPr>
            </w:pPr>
          </w:p>
        </w:tc>
      </w:tr>
      <w:tr w14:paraId="73F585F6">
        <w:tblPrEx>
          <w:tblCellMar>
            <w:top w:w="0" w:type="dxa"/>
            <w:left w:w="0" w:type="dxa"/>
            <w:bottom w:w="0" w:type="dxa"/>
            <w:right w:w="0" w:type="dxa"/>
          </w:tblCellMar>
        </w:tblPrEx>
        <w:trPr>
          <w:wBefore w:w="0" w:type="auto"/>
          <w:tblCellSpacing w:w="0" w:type="dxa"/>
        </w:trPr>
        <w:tc>
          <w:tcPr>
            <w:tcW w:w="0" w:type="auto"/>
            <w:noWrap w:val="0"/>
            <w:vAlign w:val="center"/>
          </w:tcPr>
          <w:p w14:paraId="4C7636CB">
            <w:r>
              <w:rPr>
                <w:rStyle w:val="10"/>
                <w:rFonts w:hint="eastAsia"/>
              </w:rPr>
              <w:t>使用技术要求:</w:t>
            </w:r>
            <w:r>
              <w:rPr>
                <w:rFonts w:hint="eastAsia"/>
              </w:rPr>
              <w:br w:type="textWrapping"/>
            </w:r>
            <w:r>
              <w:rPr>
                <w:rStyle w:val="11"/>
                <w:rFonts w:hint="eastAsia"/>
              </w:rPr>
              <w:t>于棉花播种前土壤喷雾，随即混土，再播种覆膜，施药一次。注意事项：施药前要平整地块，避免有大土块或残膜等杂物。避免有大土块和残膜等杂物，喷雾要均匀，勿重喷或漏喷。每季最多使用1次。</w:t>
            </w:r>
          </w:p>
        </w:tc>
      </w:tr>
      <w:tr w14:paraId="1D509036">
        <w:tblPrEx>
          <w:tblCellMar>
            <w:top w:w="0" w:type="dxa"/>
            <w:left w:w="0" w:type="dxa"/>
            <w:bottom w:w="0" w:type="dxa"/>
            <w:right w:w="0" w:type="dxa"/>
          </w:tblCellMar>
        </w:tblPrEx>
        <w:trPr>
          <w:wBefore w:w="0" w:type="auto"/>
          <w:tblCellSpacing w:w="0" w:type="dxa"/>
        </w:trPr>
        <w:tc>
          <w:tcPr>
            <w:tcW w:w="0" w:type="auto"/>
            <w:noWrap w:val="0"/>
            <w:vAlign w:val="center"/>
          </w:tcPr>
          <w:p w14:paraId="3CE891D2">
            <w:r>
              <w:rPr>
                <w:rStyle w:val="10"/>
                <w:rFonts w:hint="eastAsia"/>
              </w:rPr>
              <w:t>产品性能:</w:t>
            </w:r>
            <w:r>
              <w:rPr>
                <w:rFonts w:hint="eastAsia"/>
              </w:rPr>
              <w:br w:type="textWrapping"/>
            </w:r>
            <w:r>
              <w:rPr>
                <w:rStyle w:val="11"/>
                <w:rFonts w:hint="eastAsia"/>
              </w:rPr>
              <w:t xml:space="preserve">本品是由二硝基苯胺类的二甲戊灵和丙炔氟草胺复配的土壤处理除草剂，可有效防除棉花田一年生禾本科杂草和阔叶杂草。 </w:t>
            </w:r>
          </w:p>
        </w:tc>
      </w:tr>
      <w:tr w14:paraId="4640B540">
        <w:tblPrEx>
          <w:tblCellMar>
            <w:top w:w="0" w:type="dxa"/>
            <w:left w:w="0" w:type="dxa"/>
            <w:bottom w:w="0" w:type="dxa"/>
            <w:right w:w="0" w:type="dxa"/>
          </w:tblCellMar>
        </w:tblPrEx>
        <w:trPr>
          <w:wBefore w:w="0" w:type="auto"/>
          <w:tblCellSpacing w:w="0" w:type="dxa"/>
        </w:trPr>
        <w:tc>
          <w:tcPr>
            <w:tcW w:w="0" w:type="auto"/>
            <w:noWrap w:val="0"/>
            <w:vAlign w:val="center"/>
          </w:tcPr>
          <w:p w14:paraId="733A288F">
            <w:r>
              <w:rPr>
                <w:rStyle w:val="10"/>
                <w:rFonts w:hint="eastAsia"/>
              </w:rPr>
              <w:t>注意事项：</w:t>
            </w:r>
            <w:r>
              <w:rPr>
                <w:rFonts w:hint="eastAsia"/>
              </w:rPr>
              <w:br w:type="textWrapping"/>
            </w:r>
            <w:r>
              <w:rPr>
                <w:rStyle w:val="11"/>
                <w:rFonts w:hint="eastAsia"/>
              </w:rPr>
              <w:t>1、本品为棉花田专用除草剂，仅限棉花田苗前土壤封闭使用，其他作物严禁使用。2、使用本品后不可再使用扑草净等土壤封闭类除草剂，也不可同此类除草剂混合使用。3、使用时严格按照推荐剂量施药，严禁随意加大使用剂量，喷雾要均匀、严禁重喷漏喷。4、施药后浇水及降雨可能会使作物产生轻微药害或影响药效。5、春季低温多雨天气，部分棉苗可能出现短暂蹲苗现象，待气温回升后棉苗可自行恢复生长，也可喷施芸苔素内酯等药物促使棉苗迅速恢复生长最佳施药温度，最佳施药温度13-25度。6、鸟类保护区域附近禁用，施药后应立即覆土。7、远离蚕桑养殖区域，将最外围桑树作为隔离带。8、本品对鱼类、溞类等水生生物有毒，应远离水产养殖区、河塘等水体附近施药。9、本品对眼睛有刺激性，使用时避免接触眼睛，穿戴长衣、长裤、帽子、口罩、手套等防护措施。10、清洗器具的废水不能排入河流、池塘等水源。7、用过的容器应妥善处理，不可做他用，也不可随意丢弃。11、避免孕妇及哺乳期的妇女接触。</w:t>
            </w:r>
          </w:p>
        </w:tc>
      </w:tr>
      <w:tr w14:paraId="1893A57C">
        <w:tblPrEx>
          <w:tblCellMar>
            <w:top w:w="0" w:type="dxa"/>
            <w:left w:w="0" w:type="dxa"/>
            <w:bottom w:w="0" w:type="dxa"/>
            <w:right w:w="0" w:type="dxa"/>
          </w:tblCellMar>
        </w:tblPrEx>
        <w:trPr>
          <w:wBefore w:w="0" w:type="auto"/>
          <w:tblCellSpacing w:w="0" w:type="dxa"/>
        </w:trPr>
        <w:tc>
          <w:tcPr>
            <w:tcW w:w="0" w:type="auto"/>
            <w:noWrap w:val="0"/>
            <w:vAlign w:val="center"/>
          </w:tcPr>
          <w:p w14:paraId="30B0E5C4">
            <w:r>
              <w:rPr>
                <w:rStyle w:val="10"/>
                <w:rFonts w:hint="eastAsia"/>
              </w:rPr>
              <w:t>中毒急救措施：</w:t>
            </w:r>
            <w:r>
              <w:rPr>
                <w:rFonts w:hint="eastAsia"/>
              </w:rPr>
              <w:br w:type="textWrapping"/>
            </w:r>
            <w:r>
              <w:rPr>
                <w:rStyle w:val="11"/>
                <w:rFonts w:hint="eastAsia"/>
              </w:rPr>
              <w:t>中毒症状：表现为头痛、头晕、无力、恶心、呕吐，对皮肤及眼睛有刺激作用等。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应立即用清水漱口，严禁引吐，避免呕吐物吸入肺部，立即携带标签到医院对症治疗。</w:t>
            </w:r>
          </w:p>
        </w:tc>
      </w:tr>
      <w:tr w14:paraId="52B14427">
        <w:tblPrEx>
          <w:tblCellMar>
            <w:top w:w="0" w:type="dxa"/>
            <w:left w:w="0" w:type="dxa"/>
            <w:bottom w:w="0" w:type="dxa"/>
            <w:right w:w="0" w:type="dxa"/>
          </w:tblCellMar>
        </w:tblPrEx>
        <w:trPr>
          <w:wBefore w:w="0" w:type="auto"/>
          <w:tblCellSpacing w:w="0" w:type="dxa"/>
        </w:trPr>
        <w:tc>
          <w:tcPr>
            <w:tcW w:w="0" w:type="auto"/>
            <w:noWrap w:val="0"/>
            <w:vAlign w:val="center"/>
          </w:tcPr>
          <w:p w14:paraId="41FCE8E4">
            <w:r>
              <w:rPr>
                <w:rStyle w:val="10"/>
                <w:rFonts w:hint="eastAsia"/>
              </w:rPr>
              <w:t>储存和运输方法：</w:t>
            </w:r>
            <w:r>
              <w:rPr>
                <w:rFonts w:hint="eastAsia"/>
              </w:rPr>
              <w:br w:type="textWrapping"/>
            </w:r>
            <w:r>
              <w:rPr>
                <w:rStyle w:val="11"/>
                <w:rFonts w:hint="eastAsia"/>
              </w:rPr>
              <w:t>1. 置于儿童、无关人员触及不到之处，并加锁。勿与食品、饮料、饲料、粮食等同贮同运。 2. 本品属可燃液体，应贮藏在常温、避光、干燥、通风处。 3. 贮藏时应注意防火。 4. 运输时应注意避光、防高温、雨淋。</w:t>
            </w:r>
          </w:p>
        </w:tc>
      </w:tr>
      <w:tr w14:paraId="0092C4AC">
        <w:tblPrEx>
          <w:tblCellMar>
            <w:top w:w="0" w:type="dxa"/>
            <w:left w:w="0" w:type="dxa"/>
            <w:bottom w:w="0" w:type="dxa"/>
            <w:right w:w="0" w:type="dxa"/>
          </w:tblCellMar>
        </w:tblPrEx>
        <w:trPr>
          <w:wBefore w:w="0" w:type="auto"/>
          <w:tblCellSpacing w:w="0" w:type="dxa"/>
        </w:trPr>
        <w:tc>
          <w:tcPr>
            <w:tcW w:w="0" w:type="auto"/>
            <w:noWrap w:val="0"/>
            <w:vAlign w:val="center"/>
          </w:tcPr>
          <w:p w14:paraId="1FFE552A">
            <w:r>
              <w:rPr>
                <w:rStyle w:val="10"/>
                <w:rFonts w:hint="eastAsia"/>
              </w:rPr>
              <w:t>质量保证期：</w:t>
            </w:r>
            <w:r>
              <w:rPr>
                <w:rStyle w:val="11"/>
                <w:rFonts w:hint="eastAsia"/>
              </w:rPr>
              <w:t>2年</w:t>
            </w:r>
          </w:p>
        </w:tc>
      </w:tr>
      <w:tr w14:paraId="6DA2E107">
        <w:tblPrEx>
          <w:tblCellMar>
            <w:top w:w="0" w:type="dxa"/>
            <w:left w:w="0" w:type="dxa"/>
            <w:bottom w:w="0" w:type="dxa"/>
            <w:right w:w="0" w:type="dxa"/>
          </w:tblCellMar>
        </w:tblPrEx>
        <w:trPr>
          <w:wBefore w:w="0" w:type="auto"/>
          <w:tblCellSpacing w:w="0" w:type="dxa"/>
        </w:trPr>
        <w:tc>
          <w:tcPr>
            <w:tcW w:w="0" w:type="auto"/>
            <w:noWrap w:val="0"/>
            <w:vAlign w:val="center"/>
          </w:tcPr>
          <w:p w14:paraId="25B6451A">
            <w:r>
              <w:rPr>
                <w:rStyle w:val="10"/>
                <w:rFonts w:hint="eastAsia"/>
              </w:rPr>
              <w:t>备注：</w:t>
            </w:r>
          </w:p>
        </w:tc>
      </w:tr>
    </w:tbl>
    <w:p w14:paraId="4A3C693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05FD1BF">
        <w:tblPrEx>
          <w:tblCellMar>
            <w:top w:w="0" w:type="dxa"/>
            <w:left w:w="0" w:type="dxa"/>
            <w:bottom w:w="0" w:type="dxa"/>
            <w:right w:w="0" w:type="dxa"/>
          </w:tblCellMar>
        </w:tblPrEx>
        <w:trPr>
          <w:wBefore w:w="0" w:type="auto"/>
          <w:tblCellSpacing w:w="0" w:type="dxa"/>
        </w:trPr>
        <w:tc>
          <w:tcPr>
            <w:tcW w:w="0" w:type="auto"/>
            <w:noWrap w:val="0"/>
            <w:vAlign w:val="center"/>
          </w:tcPr>
          <w:p w14:paraId="7CEA7BAC">
            <w:r>
              <w:rPr>
                <w:rStyle w:val="10"/>
                <w:rFonts w:hint="eastAsia"/>
              </w:rPr>
              <w:t>登记证号：</w:t>
            </w:r>
            <w:r>
              <w:rPr>
                <w:rFonts w:hint="eastAsia"/>
              </w:rPr>
              <w:t>PD20211892</w:t>
            </w:r>
          </w:p>
        </w:tc>
      </w:tr>
      <w:tr w14:paraId="36CC678F">
        <w:tblPrEx>
          <w:tblCellMar>
            <w:top w:w="0" w:type="dxa"/>
            <w:left w:w="0" w:type="dxa"/>
            <w:bottom w:w="0" w:type="dxa"/>
            <w:right w:w="0" w:type="dxa"/>
          </w:tblCellMar>
        </w:tblPrEx>
        <w:trPr>
          <w:wBefore w:w="0" w:type="auto"/>
          <w:tblCellSpacing w:w="0" w:type="dxa"/>
        </w:trPr>
        <w:tc>
          <w:tcPr>
            <w:tcW w:w="0" w:type="auto"/>
            <w:noWrap w:val="0"/>
            <w:vAlign w:val="center"/>
          </w:tcPr>
          <w:p w14:paraId="7292C157">
            <w:r>
              <w:rPr>
                <w:rStyle w:val="10"/>
                <w:rFonts w:hint="eastAsia"/>
              </w:rPr>
              <w:t>登记证持有人：</w:t>
            </w:r>
            <w:r>
              <w:rPr>
                <w:rFonts w:hint="eastAsia"/>
              </w:rPr>
              <w:t>黑龙江绿丰源生物科技有限公司</w:t>
            </w:r>
          </w:p>
        </w:tc>
      </w:tr>
      <w:tr w14:paraId="69ADC2B5">
        <w:tblPrEx>
          <w:tblCellMar>
            <w:top w:w="0" w:type="dxa"/>
            <w:left w:w="0" w:type="dxa"/>
            <w:bottom w:w="0" w:type="dxa"/>
            <w:right w:w="0" w:type="dxa"/>
          </w:tblCellMar>
        </w:tblPrEx>
        <w:trPr>
          <w:wBefore w:w="0" w:type="auto"/>
          <w:tblCellSpacing w:w="0" w:type="dxa"/>
        </w:trPr>
        <w:tc>
          <w:tcPr>
            <w:tcW w:w="0" w:type="auto"/>
            <w:noWrap w:val="0"/>
            <w:vAlign w:val="center"/>
          </w:tcPr>
          <w:p w14:paraId="27B5E568">
            <w:r>
              <w:rPr>
                <w:rStyle w:val="10"/>
                <w:rFonts w:hint="eastAsia"/>
              </w:rPr>
              <w:t>农药名称：</w:t>
            </w:r>
            <w:r>
              <w:rPr>
                <w:rFonts w:hint="eastAsia"/>
              </w:rPr>
              <w:t>噻虫·咯·霜灵</w:t>
            </w:r>
          </w:p>
        </w:tc>
      </w:tr>
      <w:tr w14:paraId="16505DD5">
        <w:tblPrEx>
          <w:tblCellMar>
            <w:top w:w="0" w:type="dxa"/>
            <w:left w:w="0" w:type="dxa"/>
            <w:bottom w:w="0" w:type="dxa"/>
            <w:right w:w="0" w:type="dxa"/>
          </w:tblCellMar>
        </w:tblPrEx>
        <w:trPr>
          <w:wBefore w:w="0" w:type="auto"/>
          <w:tblCellSpacing w:w="0" w:type="dxa"/>
        </w:trPr>
        <w:tc>
          <w:tcPr>
            <w:tcW w:w="0" w:type="auto"/>
            <w:noWrap w:val="0"/>
            <w:vAlign w:val="center"/>
          </w:tcPr>
          <w:p w14:paraId="1E36A35B">
            <w:r>
              <w:rPr>
                <w:rStyle w:val="10"/>
                <w:rFonts w:hint="eastAsia"/>
              </w:rPr>
              <w:t>剂型：</w:t>
            </w:r>
            <w:r>
              <w:rPr>
                <w:rFonts w:hint="eastAsia"/>
              </w:rPr>
              <w:t>种子处理悬浮剂</w:t>
            </w:r>
          </w:p>
        </w:tc>
      </w:tr>
      <w:tr w14:paraId="56ED1F95">
        <w:tblPrEx>
          <w:tblCellMar>
            <w:top w:w="0" w:type="dxa"/>
            <w:left w:w="0" w:type="dxa"/>
            <w:bottom w:w="0" w:type="dxa"/>
            <w:right w:w="0" w:type="dxa"/>
          </w:tblCellMar>
        </w:tblPrEx>
        <w:trPr>
          <w:wBefore w:w="0" w:type="auto"/>
          <w:tblCellSpacing w:w="0" w:type="dxa"/>
        </w:trPr>
        <w:tc>
          <w:tcPr>
            <w:tcW w:w="0" w:type="auto"/>
            <w:noWrap w:val="0"/>
            <w:vAlign w:val="center"/>
          </w:tcPr>
          <w:p w14:paraId="3CCB05EB">
            <w:r>
              <w:rPr>
                <w:rStyle w:val="10"/>
                <w:rFonts w:hint="eastAsia"/>
              </w:rPr>
              <w:t>毒性及其标识：</w:t>
            </w:r>
            <w:r>
              <w:rPr>
                <w:rFonts w:hint="eastAsia"/>
              </w:rPr>
              <w:t xml:space="preserve"> </w:t>
            </w:r>
            <w:r>
              <w:rPr>
                <w:lang/>
              </w:rPr>
              <w:drawing>
                <wp:inline distT="0" distB="0" distL="114300" distR="114300">
                  <wp:extent cx="476250" cy="323850"/>
                  <wp:effectExtent l="0" t="0" r="0" b="0"/>
                  <wp:docPr id="294" name="图片 29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F02800">
        <w:tblPrEx>
          <w:tblCellMar>
            <w:top w:w="0" w:type="dxa"/>
            <w:left w:w="0" w:type="dxa"/>
            <w:bottom w:w="0" w:type="dxa"/>
            <w:right w:w="0" w:type="dxa"/>
          </w:tblCellMar>
        </w:tblPrEx>
        <w:trPr>
          <w:wBefore w:w="0" w:type="auto"/>
          <w:tblCellSpacing w:w="0" w:type="dxa"/>
        </w:trPr>
        <w:tc>
          <w:tcPr>
            <w:tcW w:w="0" w:type="auto"/>
            <w:noWrap w:val="0"/>
            <w:vAlign w:val="center"/>
          </w:tcPr>
          <w:p w14:paraId="25E6F66B">
            <w:r>
              <w:rPr>
                <w:rStyle w:val="10"/>
                <w:rFonts w:hint="eastAsia"/>
              </w:rPr>
              <w:t>总有效成分含量：</w:t>
            </w:r>
            <w:r>
              <w:rPr>
                <w:rFonts w:hint="eastAsia"/>
              </w:rPr>
              <w:t>25%</w:t>
            </w:r>
          </w:p>
        </w:tc>
      </w:tr>
      <w:tr w14:paraId="39849FB5">
        <w:tblPrEx>
          <w:tblCellMar>
            <w:top w:w="0" w:type="dxa"/>
            <w:left w:w="0" w:type="dxa"/>
            <w:bottom w:w="0" w:type="dxa"/>
            <w:right w:w="0" w:type="dxa"/>
          </w:tblCellMar>
        </w:tblPrEx>
        <w:trPr>
          <w:wBefore w:w="0" w:type="auto"/>
          <w:tblCellSpacing w:w="0" w:type="dxa"/>
        </w:trPr>
        <w:tc>
          <w:tcPr>
            <w:tcW w:w="0" w:type="auto"/>
            <w:noWrap w:val="0"/>
            <w:vAlign w:val="center"/>
          </w:tcPr>
          <w:p w14:paraId="0208F327">
            <w:r>
              <w:rPr>
                <w:rFonts w:hint="eastAsia"/>
              </w:rPr>
              <w:t xml:space="preserve">有效成分及其含量： </w:t>
            </w:r>
          </w:p>
          <w:p w14:paraId="17FE8D22">
            <w:r>
              <w:rPr>
                <w:rFonts w:hint="eastAsia"/>
              </w:rPr>
              <w:t xml:space="preserve">    咯菌腈1.1%    噻虫嗪22.2%    精甲霜灵1.7%    </w:t>
            </w:r>
          </w:p>
        </w:tc>
      </w:tr>
      <w:tr w14:paraId="77D2F8CD">
        <w:tblPrEx>
          <w:tblCellMar>
            <w:top w:w="0" w:type="dxa"/>
            <w:left w:w="0" w:type="dxa"/>
            <w:bottom w:w="0" w:type="dxa"/>
            <w:right w:w="0" w:type="dxa"/>
          </w:tblCellMar>
        </w:tblPrEx>
        <w:trPr>
          <w:wBefore w:w="0" w:type="auto"/>
          <w:tblCellSpacing w:w="0" w:type="dxa"/>
        </w:trPr>
        <w:tc>
          <w:tcPr>
            <w:tcW w:w="0" w:type="auto"/>
            <w:noWrap w:val="0"/>
            <w:vAlign w:val="center"/>
          </w:tcPr>
          <w:p w14:paraId="4F5DA5E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43F5F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29CDE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C42B76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B44655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45BA64B">
                  <w:r>
                    <w:rPr>
                      <w:rStyle w:val="11"/>
                      <w:rFonts w:hint="eastAsia"/>
                    </w:rPr>
                    <w:t>施用方式</w:t>
                  </w:r>
                </w:p>
              </w:tc>
            </w:tr>
            <w:tr w14:paraId="0BC7301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019AD44">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414F49">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A6C5D0">
                  <w:r>
                    <w:rPr>
                      <w:rStyle w:val="11"/>
                      <w:rFonts w:hint="eastAsia"/>
                    </w:rPr>
                    <w:t>400-500毫升/100千克种子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33C134">
                  <w:r>
                    <w:rPr>
                      <w:rStyle w:val="11"/>
                      <w:rFonts w:hint="eastAsia"/>
                    </w:rPr>
                    <w:t>种子包衣</w:t>
                  </w:r>
                </w:p>
              </w:tc>
            </w:tr>
            <w:tr w14:paraId="4F9C3B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98D4F13">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1B5845">
                  <w:r>
                    <w:rPr>
                      <w:rStyle w:val="11"/>
                      <w:rFonts w:hint="eastAsia"/>
                    </w:rPr>
                    <w:t>恶苗病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C532E0">
                  <w:r>
                    <w:rPr>
                      <w:rStyle w:val="11"/>
                      <w:rFonts w:hint="eastAsia"/>
                    </w:rPr>
                    <w:t>400-500毫升/100千克种子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AE4E4F">
                  <w:r>
                    <w:rPr>
                      <w:rStyle w:val="11"/>
                      <w:rFonts w:hint="eastAsia"/>
                    </w:rPr>
                    <w:t>种子包衣</w:t>
                  </w:r>
                </w:p>
              </w:tc>
            </w:tr>
            <w:tr w14:paraId="239CF2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EB9AC34">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EA5740">
                  <w:r>
                    <w:rPr>
                      <w:rStyle w:val="11"/>
                      <w:rFonts w:hint="eastAsia"/>
                    </w:rPr>
                    <w:t>烂秧病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703C75">
                  <w:r>
                    <w:rPr>
                      <w:rStyle w:val="11"/>
                      <w:rFonts w:hint="eastAsia"/>
                    </w:rPr>
                    <w:t>400-500毫升/100千克种子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8CF206">
                  <w:r>
                    <w:rPr>
                      <w:rStyle w:val="11"/>
                      <w:rFonts w:hint="eastAsia"/>
                    </w:rPr>
                    <w:t>种子包衣</w:t>
                  </w:r>
                </w:p>
              </w:tc>
            </w:tr>
          </w:tbl>
          <w:p w14:paraId="56E66538">
            <w:pPr>
              <w:rPr>
                <w:rFonts w:ascii="Times New Roman" w:hAnsi="Times New Roman" w:cs="Times New Roman"/>
                <w:sz w:val="20"/>
                <w:szCs w:val="20"/>
              </w:rPr>
            </w:pPr>
          </w:p>
        </w:tc>
      </w:tr>
      <w:tr w14:paraId="599AD114">
        <w:tblPrEx>
          <w:tblCellMar>
            <w:top w:w="0" w:type="dxa"/>
            <w:left w:w="0" w:type="dxa"/>
            <w:bottom w:w="0" w:type="dxa"/>
            <w:right w:w="0" w:type="dxa"/>
          </w:tblCellMar>
        </w:tblPrEx>
        <w:trPr>
          <w:wBefore w:w="0" w:type="auto"/>
          <w:tblCellSpacing w:w="0" w:type="dxa"/>
        </w:trPr>
        <w:tc>
          <w:tcPr>
            <w:tcW w:w="0" w:type="auto"/>
            <w:noWrap w:val="0"/>
            <w:vAlign w:val="center"/>
          </w:tcPr>
          <w:p w14:paraId="7726DF23">
            <w:r>
              <w:rPr>
                <w:rStyle w:val="10"/>
                <w:rFonts w:hint="eastAsia"/>
              </w:rPr>
              <w:t>使用技术要求:</w:t>
            </w:r>
            <w:r>
              <w:rPr>
                <w:rFonts w:hint="eastAsia"/>
              </w:rPr>
              <w:br w:type="textWrapping"/>
            </w:r>
            <w:r>
              <w:rPr>
                <w:rStyle w:val="11"/>
                <w:rFonts w:hint="eastAsia"/>
              </w:rPr>
              <w:t>种子包衣。按照播种量，量取推荐用量的药剂，使用前请摇匀，加入适量水稀释并搅拌均匀为药浆（药浆与种子比为1：50-100，即100公斤种子对应的药浆为1-2升），将种子倒入，充分搅拌均匀，晾干后即可播种。用于处理的种子应达到国家良种标准配制好的药液应在24小时内使用。包衣后的种子应及时催芽播种。</w:t>
            </w:r>
          </w:p>
        </w:tc>
      </w:tr>
      <w:tr w14:paraId="2E1670E4">
        <w:tblPrEx>
          <w:tblCellMar>
            <w:top w:w="0" w:type="dxa"/>
            <w:left w:w="0" w:type="dxa"/>
            <w:bottom w:w="0" w:type="dxa"/>
            <w:right w:w="0" w:type="dxa"/>
          </w:tblCellMar>
        </w:tblPrEx>
        <w:trPr>
          <w:wBefore w:w="0" w:type="auto"/>
          <w:tblCellSpacing w:w="0" w:type="dxa"/>
        </w:trPr>
        <w:tc>
          <w:tcPr>
            <w:tcW w:w="0" w:type="auto"/>
            <w:noWrap w:val="0"/>
            <w:vAlign w:val="center"/>
          </w:tcPr>
          <w:p w14:paraId="19320B73">
            <w:r>
              <w:rPr>
                <w:rStyle w:val="10"/>
                <w:rFonts w:hint="eastAsia"/>
              </w:rPr>
              <w:t>产品性能:</w:t>
            </w:r>
            <w:r>
              <w:rPr>
                <w:rFonts w:hint="eastAsia"/>
              </w:rPr>
              <w:br w:type="textWrapping"/>
            </w:r>
            <w:r>
              <w:rPr>
                <w:rStyle w:val="11"/>
                <w:rFonts w:hint="eastAsia"/>
              </w:rPr>
              <w:t>三元复配杀虫杀菌剂。其中的噻虫嗪是一种结构全新的烟碱类杀虫剂。用于种子处理，可被作物根迅速内吸，并传导到植株各部位。精甲霜灵为内吸性苯胺类化合物，对卵菌纲真菌如腐霉、绵霉等低等真菌引起的多种种传和土传病害有非常好的防效。咯菌腈为非内吸苯吡咯类化合物，对子囊菌、担子菌、半知菌等病原菌引起的种传和土传病害有非常好的防效。</w:t>
            </w:r>
          </w:p>
        </w:tc>
      </w:tr>
      <w:tr w14:paraId="50A8614F">
        <w:tblPrEx>
          <w:tblCellMar>
            <w:top w:w="0" w:type="dxa"/>
            <w:left w:w="0" w:type="dxa"/>
            <w:bottom w:w="0" w:type="dxa"/>
            <w:right w:w="0" w:type="dxa"/>
          </w:tblCellMar>
        </w:tblPrEx>
        <w:trPr>
          <w:wBefore w:w="0" w:type="auto"/>
          <w:tblCellSpacing w:w="0" w:type="dxa"/>
        </w:trPr>
        <w:tc>
          <w:tcPr>
            <w:tcW w:w="0" w:type="auto"/>
            <w:noWrap w:val="0"/>
            <w:vAlign w:val="center"/>
          </w:tcPr>
          <w:p w14:paraId="6D44171D">
            <w:r>
              <w:rPr>
                <w:rStyle w:val="10"/>
                <w:rFonts w:hint="eastAsia"/>
              </w:rPr>
              <w:t>注意事项：</w:t>
            </w:r>
            <w:r>
              <w:rPr>
                <w:rFonts w:hint="eastAsia"/>
              </w:rPr>
              <w:br w:type="textWrapping"/>
            </w:r>
            <w:r>
              <w:rPr>
                <w:rStyle w:val="11"/>
                <w:rFonts w:hint="eastAsia"/>
              </w:rPr>
              <w:t>1.请按照农药安全使用准则使用本品。药液及其废液不得污染各类水域，土壤等环境。在种子处理过程中，避免药液接触皮肤、眼睛和污染衣物，避免吸入药液。 2.配药和种子处理应在通风处进行，操作人员应戴防渗手套、口罩、穿长袖衣、长裤、靴子等。 此时不可饮食、吸烟等。种子处理结束后，彻底清洗防护用具，洗澡，并更换和清洗工作服。 3.鸟类保护区附近禁用，施药后立即覆土。4.所有施药器具所有施药器具，用后应立即用清水或适当的洗涤剂清洗。禁止在河塘等水域清洗施药器具。5.（周围）开花植物花期禁用，使用时应密切关注对附近蜂群的影响；勿将本品及其废液弃于池塘、河溪、湖泊等，以免污染水源。 6.孕妇及哺乳期的妇女避免接触本品。</w:t>
            </w:r>
          </w:p>
        </w:tc>
      </w:tr>
      <w:tr w14:paraId="202D590B">
        <w:tblPrEx>
          <w:tblCellMar>
            <w:top w:w="0" w:type="dxa"/>
            <w:left w:w="0" w:type="dxa"/>
            <w:bottom w:w="0" w:type="dxa"/>
            <w:right w:w="0" w:type="dxa"/>
          </w:tblCellMar>
        </w:tblPrEx>
        <w:trPr>
          <w:wBefore w:w="0" w:type="auto"/>
          <w:tblCellSpacing w:w="0" w:type="dxa"/>
        </w:trPr>
        <w:tc>
          <w:tcPr>
            <w:tcW w:w="0" w:type="auto"/>
            <w:noWrap w:val="0"/>
            <w:vAlign w:val="center"/>
          </w:tcPr>
          <w:p w14:paraId="75C426C8">
            <w:r>
              <w:rPr>
                <w:rStyle w:val="10"/>
                <w:rFonts w:hint="eastAsia"/>
              </w:rPr>
              <w:t>中毒急救措施：</w:t>
            </w:r>
            <w:r>
              <w:rPr>
                <w:rFonts w:hint="eastAsia"/>
              </w:rPr>
              <w:br w:type="textWrapping"/>
            </w:r>
            <w:r>
              <w:rPr>
                <w:rStyle w:val="11"/>
                <w:rFonts w:hint="eastAsia"/>
              </w:rPr>
              <w:t>用药时或用药后如果感觉不适，立即停止工作，采取急救措施，并携此标签送医就诊。皮肤接触：脱去污染的衣着，应立即用肥皂和大量清水彻底冲洗。 眼睛溅入：立即将眼睑翻开，用大量清水冲洗，再请医生诊治。吸入：迅速脱离现场至空气新鲜处。保持呼吸通畅。注意保暖和休息，请医生诊治。误服：如误服,切勿引吐，立即携带标签，送医就诊。 紧急医疗措施：使用医用活性炭洗胃，洗胃时注意防止胃容物进入呼吸道。对昏迷病人，切勿经口喂入任何东西或引吐。无特效解毒剂，对症治疗。</w:t>
            </w:r>
          </w:p>
        </w:tc>
      </w:tr>
      <w:tr w14:paraId="78B279AE">
        <w:tblPrEx>
          <w:tblCellMar>
            <w:top w:w="0" w:type="dxa"/>
            <w:left w:w="0" w:type="dxa"/>
            <w:bottom w:w="0" w:type="dxa"/>
            <w:right w:w="0" w:type="dxa"/>
          </w:tblCellMar>
        </w:tblPrEx>
        <w:trPr>
          <w:wBefore w:w="0" w:type="auto"/>
          <w:tblCellSpacing w:w="0" w:type="dxa"/>
        </w:trPr>
        <w:tc>
          <w:tcPr>
            <w:tcW w:w="0" w:type="auto"/>
            <w:noWrap w:val="0"/>
            <w:vAlign w:val="center"/>
          </w:tcPr>
          <w:p w14:paraId="50EF1E5B">
            <w:r>
              <w:rPr>
                <w:rStyle w:val="10"/>
                <w:rFonts w:hint="eastAsia"/>
              </w:rPr>
              <w:t>储存和运输方法：</w:t>
            </w:r>
            <w:r>
              <w:rPr>
                <w:rFonts w:hint="eastAsia"/>
              </w:rPr>
              <w:br w:type="textWrapping"/>
            </w:r>
            <w:r>
              <w:rPr>
                <w:rStyle w:val="11"/>
                <w:rFonts w:hint="eastAsia"/>
              </w:rPr>
              <w:t>本品应贮存在通风、干燥的库房内。贮运时，严防潮湿和日晒，不得与食物、种子、饲料混放，避免与皮肤、眼睛接触，防止由口鼻吸入。</w:t>
            </w:r>
          </w:p>
        </w:tc>
      </w:tr>
      <w:tr w14:paraId="12D532E1">
        <w:tblPrEx>
          <w:tblCellMar>
            <w:top w:w="0" w:type="dxa"/>
            <w:left w:w="0" w:type="dxa"/>
            <w:bottom w:w="0" w:type="dxa"/>
            <w:right w:w="0" w:type="dxa"/>
          </w:tblCellMar>
        </w:tblPrEx>
        <w:trPr>
          <w:wBefore w:w="0" w:type="auto"/>
          <w:tblCellSpacing w:w="0" w:type="dxa"/>
        </w:trPr>
        <w:tc>
          <w:tcPr>
            <w:tcW w:w="0" w:type="auto"/>
            <w:noWrap w:val="0"/>
            <w:vAlign w:val="center"/>
          </w:tcPr>
          <w:p w14:paraId="01E25D33">
            <w:r>
              <w:rPr>
                <w:rStyle w:val="10"/>
                <w:rFonts w:hint="eastAsia"/>
              </w:rPr>
              <w:t>质量保证期：</w:t>
            </w:r>
            <w:r>
              <w:rPr>
                <w:rStyle w:val="11"/>
                <w:rFonts w:hint="eastAsia"/>
              </w:rPr>
              <w:t>2年</w:t>
            </w:r>
          </w:p>
        </w:tc>
      </w:tr>
      <w:tr w14:paraId="24781DB8">
        <w:tblPrEx>
          <w:tblCellMar>
            <w:top w:w="0" w:type="dxa"/>
            <w:left w:w="0" w:type="dxa"/>
            <w:bottom w:w="0" w:type="dxa"/>
            <w:right w:w="0" w:type="dxa"/>
          </w:tblCellMar>
        </w:tblPrEx>
        <w:trPr>
          <w:wBefore w:w="0" w:type="auto"/>
          <w:tblCellSpacing w:w="0" w:type="dxa"/>
        </w:trPr>
        <w:tc>
          <w:tcPr>
            <w:tcW w:w="0" w:type="auto"/>
            <w:noWrap w:val="0"/>
            <w:vAlign w:val="center"/>
          </w:tcPr>
          <w:p w14:paraId="6E446F6F">
            <w:r>
              <w:rPr>
                <w:rStyle w:val="10"/>
                <w:rFonts w:hint="eastAsia"/>
              </w:rPr>
              <w:t>备注：</w:t>
            </w:r>
          </w:p>
        </w:tc>
      </w:tr>
    </w:tbl>
    <w:p w14:paraId="0FC6BF6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3143001">
        <w:tblPrEx>
          <w:tblCellMar>
            <w:top w:w="0" w:type="dxa"/>
            <w:left w:w="0" w:type="dxa"/>
            <w:bottom w:w="0" w:type="dxa"/>
            <w:right w:w="0" w:type="dxa"/>
          </w:tblCellMar>
        </w:tblPrEx>
        <w:trPr>
          <w:wBefore w:w="0" w:type="auto"/>
          <w:tblCellSpacing w:w="0" w:type="dxa"/>
        </w:trPr>
        <w:tc>
          <w:tcPr>
            <w:tcW w:w="0" w:type="auto"/>
            <w:noWrap w:val="0"/>
            <w:vAlign w:val="center"/>
          </w:tcPr>
          <w:p w14:paraId="3EA39D7F">
            <w:r>
              <w:rPr>
                <w:rStyle w:val="10"/>
                <w:rFonts w:hint="eastAsia"/>
              </w:rPr>
              <w:t>登记证号：</w:t>
            </w:r>
            <w:r>
              <w:rPr>
                <w:rFonts w:hint="eastAsia"/>
              </w:rPr>
              <w:t>PD20211884</w:t>
            </w:r>
          </w:p>
        </w:tc>
      </w:tr>
      <w:tr w14:paraId="37A87F72">
        <w:tblPrEx>
          <w:tblCellMar>
            <w:top w:w="0" w:type="dxa"/>
            <w:left w:w="0" w:type="dxa"/>
            <w:bottom w:w="0" w:type="dxa"/>
            <w:right w:w="0" w:type="dxa"/>
          </w:tblCellMar>
        </w:tblPrEx>
        <w:trPr>
          <w:wBefore w:w="0" w:type="auto"/>
          <w:tblCellSpacing w:w="0" w:type="dxa"/>
        </w:trPr>
        <w:tc>
          <w:tcPr>
            <w:tcW w:w="0" w:type="auto"/>
            <w:noWrap w:val="0"/>
            <w:vAlign w:val="center"/>
          </w:tcPr>
          <w:p w14:paraId="3653C458">
            <w:r>
              <w:rPr>
                <w:rStyle w:val="10"/>
                <w:rFonts w:hint="eastAsia"/>
              </w:rPr>
              <w:t>登记证持有人：</w:t>
            </w:r>
            <w:r>
              <w:rPr>
                <w:rFonts w:hint="eastAsia"/>
              </w:rPr>
              <w:t>南阳市新丰达生物有限公司</w:t>
            </w:r>
          </w:p>
        </w:tc>
      </w:tr>
      <w:tr w14:paraId="488EA31F">
        <w:tblPrEx>
          <w:tblCellMar>
            <w:top w:w="0" w:type="dxa"/>
            <w:left w:w="0" w:type="dxa"/>
            <w:bottom w:w="0" w:type="dxa"/>
            <w:right w:w="0" w:type="dxa"/>
          </w:tblCellMar>
        </w:tblPrEx>
        <w:trPr>
          <w:wBefore w:w="0" w:type="auto"/>
          <w:tblCellSpacing w:w="0" w:type="dxa"/>
        </w:trPr>
        <w:tc>
          <w:tcPr>
            <w:tcW w:w="0" w:type="auto"/>
            <w:noWrap w:val="0"/>
            <w:vAlign w:val="center"/>
          </w:tcPr>
          <w:p w14:paraId="15C6C8D7">
            <w:r>
              <w:rPr>
                <w:rStyle w:val="10"/>
                <w:rFonts w:hint="eastAsia"/>
              </w:rPr>
              <w:t>农药名称：</w:t>
            </w:r>
            <w:r>
              <w:rPr>
                <w:rFonts w:hint="eastAsia"/>
              </w:rPr>
              <w:t>烯丙·氯菊</w:t>
            </w:r>
          </w:p>
        </w:tc>
      </w:tr>
      <w:tr w14:paraId="4D287DC5">
        <w:tblPrEx>
          <w:tblCellMar>
            <w:top w:w="0" w:type="dxa"/>
            <w:left w:w="0" w:type="dxa"/>
            <w:bottom w:w="0" w:type="dxa"/>
            <w:right w:w="0" w:type="dxa"/>
          </w:tblCellMar>
        </w:tblPrEx>
        <w:trPr>
          <w:wBefore w:w="0" w:type="auto"/>
          <w:tblCellSpacing w:w="0" w:type="dxa"/>
        </w:trPr>
        <w:tc>
          <w:tcPr>
            <w:tcW w:w="0" w:type="auto"/>
            <w:noWrap w:val="0"/>
            <w:vAlign w:val="center"/>
          </w:tcPr>
          <w:p w14:paraId="56A35608">
            <w:r>
              <w:rPr>
                <w:rStyle w:val="10"/>
                <w:rFonts w:hint="eastAsia"/>
              </w:rPr>
              <w:t>剂型：</w:t>
            </w:r>
            <w:r>
              <w:rPr>
                <w:rFonts w:hint="eastAsia"/>
              </w:rPr>
              <w:t>微乳剂</w:t>
            </w:r>
          </w:p>
        </w:tc>
      </w:tr>
      <w:tr w14:paraId="749A4592">
        <w:tblPrEx>
          <w:tblCellMar>
            <w:top w:w="0" w:type="dxa"/>
            <w:left w:w="0" w:type="dxa"/>
            <w:bottom w:w="0" w:type="dxa"/>
            <w:right w:w="0" w:type="dxa"/>
          </w:tblCellMar>
        </w:tblPrEx>
        <w:trPr>
          <w:wBefore w:w="0" w:type="auto"/>
          <w:tblCellSpacing w:w="0" w:type="dxa"/>
        </w:trPr>
        <w:tc>
          <w:tcPr>
            <w:tcW w:w="0" w:type="auto"/>
            <w:noWrap w:val="0"/>
            <w:vAlign w:val="center"/>
          </w:tcPr>
          <w:p w14:paraId="6F7CAED5">
            <w:r>
              <w:rPr>
                <w:rStyle w:val="10"/>
                <w:rFonts w:hint="eastAsia"/>
              </w:rPr>
              <w:t>毒性及其标识：</w:t>
            </w:r>
            <w:r>
              <w:rPr>
                <w:rFonts w:hint="eastAsia"/>
              </w:rPr>
              <w:t xml:space="preserve"> 微毒 </w:t>
            </w:r>
          </w:p>
        </w:tc>
      </w:tr>
      <w:tr w14:paraId="603035D2">
        <w:tblPrEx>
          <w:tblCellMar>
            <w:top w:w="0" w:type="dxa"/>
            <w:left w:w="0" w:type="dxa"/>
            <w:bottom w:w="0" w:type="dxa"/>
            <w:right w:w="0" w:type="dxa"/>
          </w:tblCellMar>
        </w:tblPrEx>
        <w:trPr>
          <w:wBefore w:w="0" w:type="auto"/>
          <w:tblCellSpacing w:w="0" w:type="dxa"/>
        </w:trPr>
        <w:tc>
          <w:tcPr>
            <w:tcW w:w="0" w:type="auto"/>
            <w:noWrap w:val="0"/>
            <w:vAlign w:val="center"/>
          </w:tcPr>
          <w:p w14:paraId="3B68C31C">
            <w:r>
              <w:rPr>
                <w:rStyle w:val="10"/>
                <w:rFonts w:hint="eastAsia"/>
              </w:rPr>
              <w:t>总有效成分含量：</w:t>
            </w:r>
            <w:r>
              <w:rPr>
                <w:rFonts w:hint="eastAsia"/>
              </w:rPr>
              <w:t>10.5%</w:t>
            </w:r>
          </w:p>
        </w:tc>
      </w:tr>
      <w:tr w14:paraId="09CA08C7">
        <w:tblPrEx>
          <w:tblCellMar>
            <w:top w:w="0" w:type="dxa"/>
            <w:left w:w="0" w:type="dxa"/>
            <w:bottom w:w="0" w:type="dxa"/>
            <w:right w:w="0" w:type="dxa"/>
          </w:tblCellMar>
        </w:tblPrEx>
        <w:trPr>
          <w:wBefore w:w="0" w:type="auto"/>
          <w:tblCellSpacing w:w="0" w:type="dxa"/>
        </w:trPr>
        <w:tc>
          <w:tcPr>
            <w:tcW w:w="0" w:type="auto"/>
            <w:noWrap w:val="0"/>
            <w:vAlign w:val="center"/>
          </w:tcPr>
          <w:p w14:paraId="547ACD21">
            <w:r>
              <w:rPr>
                <w:rFonts w:hint="eastAsia"/>
              </w:rPr>
              <w:t xml:space="preserve">有效成分及其含量： </w:t>
            </w:r>
          </w:p>
          <w:p w14:paraId="5F9ACBEA">
            <w:r>
              <w:rPr>
                <w:rFonts w:hint="eastAsia"/>
              </w:rPr>
              <w:t xml:space="preserve">    Es-生物烯丙菊酯0.5%    氯菊酯10%    </w:t>
            </w:r>
          </w:p>
        </w:tc>
      </w:tr>
      <w:tr w14:paraId="21B39710">
        <w:tblPrEx>
          <w:tblCellMar>
            <w:top w:w="0" w:type="dxa"/>
            <w:left w:w="0" w:type="dxa"/>
            <w:bottom w:w="0" w:type="dxa"/>
            <w:right w:w="0" w:type="dxa"/>
          </w:tblCellMar>
        </w:tblPrEx>
        <w:trPr>
          <w:wBefore w:w="0" w:type="auto"/>
          <w:tblCellSpacing w:w="0" w:type="dxa"/>
        </w:trPr>
        <w:tc>
          <w:tcPr>
            <w:tcW w:w="0" w:type="auto"/>
            <w:noWrap w:val="0"/>
            <w:vAlign w:val="center"/>
          </w:tcPr>
          <w:p w14:paraId="5001581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B330D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AEC258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16A5F4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C7D476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755D301">
                  <w:r>
                    <w:rPr>
                      <w:rStyle w:val="11"/>
                      <w:rFonts w:hint="eastAsia"/>
                    </w:rPr>
                    <w:t>施用方式</w:t>
                  </w:r>
                </w:p>
              </w:tc>
            </w:tr>
            <w:tr w14:paraId="08684A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365DC89">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E660FE">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93D3EC">
                  <w:r>
                    <w:rPr>
                      <w:rStyle w:val="11"/>
                      <w:rFonts w:hint="eastAsia"/>
                    </w:rPr>
                    <w:t>0.75毫升/平方米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500E0B">
                  <w:r>
                    <w:rPr>
                      <w:rStyle w:val="11"/>
                      <w:rFonts w:hint="eastAsia"/>
                    </w:rPr>
                    <w:t>喷雾</w:t>
                  </w:r>
                </w:p>
              </w:tc>
            </w:tr>
          </w:tbl>
          <w:p w14:paraId="7BF217F9">
            <w:pPr>
              <w:rPr>
                <w:rFonts w:ascii="Times New Roman" w:hAnsi="Times New Roman" w:cs="Times New Roman"/>
                <w:sz w:val="20"/>
                <w:szCs w:val="20"/>
              </w:rPr>
            </w:pPr>
          </w:p>
        </w:tc>
      </w:tr>
      <w:tr w14:paraId="158EA169">
        <w:tblPrEx>
          <w:tblCellMar>
            <w:top w:w="0" w:type="dxa"/>
            <w:left w:w="0" w:type="dxa"/>
            <w:bottom w:w="0" w:type="dxa"/>
            <w:right w:w="0" w:type="dxa"/>
          </w:tblCellMar>
        </w:tblPrEx>
        <w:trPr>
          <w:wBefore w:w="0" w:type="auto"/>
          <w:tblCellSpacing w:w="0" w:type="dxa"/>
        </w:trPr>
        <w:tc>
          <w:tcPr>
            <w:tcW w:w="0" w:type="auto"/>
            <w:noWrap w:val="0"/>
            <w:vAlign w:val="center"/>
          </w:tcPr>
          <w:p w14:paraId="19A4B1D4">
            <w:r>
              <w:rPr>
                <w:rStyle w:val="10"/>
                <w:rFonts w:hint="eastAsia"/>
              </w:rPr>
              <w:t>使用技术要求:</w:t>
            </w:r>
            <w:r>
              <w:rPr>
                <w:rFonts w:hint="eastAsia"/>
              </w:rPr>
              <w:br w:type="textWrapping"/>
            </w:r>
            <w:r>
              <w:rPr>
                <w:rStyle w:val="11"/>
                <w:rFonts w:hint="eastAsia"/>
              </w:rPr>
              <w:t>1、本品用水稀释50-100倍后，摇匀，均匀喷洒。 2、施药时，关闭门窗，在距离物体及墙壁约1米外处，均匀喷洒；施药后人畜应立即退出并密闭房间20分钟后打开门窗充分通风后方可再次进入房间。 3、药宜施在角落、缝隙等人畜不易接触、擦抹的位置。</w:t>
            </w:r>
          </w:p>
        </w:tc>
      </w:tr>
      <w:tr w14:paraId="706A8412">
        <w:tblPrEx>
          <w:tblCellMar>
            <w:top w:w="0" w:type="dxa"/>
            <w:left w:w="0" w:type="dxa"/>
            <w:bottom w:w="0" w:type="dxa"/>
            <w:right w:w="0" w:type="dxa"/>
          </w:tblCellMar>
        </w:tblPrEx>
        <w:trPr>
          <w:wBefore w:w="0" w:type="auto"/>
          <w:tblCellSpacing w:w="0" w:type="dxa"/>
        </w:trPr>
        <w:tc>
          <w:tcPr>
            <w:tcW w:w="0" w:type="auto"/>
            <w:noWrap w:val="0"/>
            <w:vAlign w:val="center"/>
          </w:tcPr>
          <w:p w14:paraId="317B5251">
            <w:r>
              <w:rPr>
                <w:rStyle w:val="10"/>
                <w:rFonts w:hint="eastAsia"/>
              </w:rPr>
              <w:t>产品性能:</w:t>
            </w:r>
            <w:r>
              <w:rPr>
                <w:rFonts w:hint="eastAsia"/>
              </w:rPr>
              <w:br w:type="textWrapping"/>
            </w:r>
            <w:r>
              <w:rPr>
                <w:rStyle w:val="11"/>
                <w:rFonts w:hint="eastAsia"/>
              </w:rPr>
              <w:t>本品为拟除虫菊酯类卫生杀虫剂，能有效防治蜚蠊等卫生害虫。适用于酒店、写字楼、医院、学校、食品厂、养殖厂、餐馆等室内环境公共场所使用。</w:t>
            </w:r>
          </w:p>
        </w:tc>
      </w:tr>
      <w:tr w14:paraId="4ACBAC8F">
        <w:tblPrEx>
          <w:tblCellMar>
            <w:top w:w="0" w:type="dxa"/>
            <w:left w:w="0" w:type="dxa"/>
            <w:bottom w:w="0" w:type="dxa"/>
            <w:right w:w="0" w:type="dxa"/>
          </w:tblCellMar>
        </w:tblPrEx>
        <w:trPr>
          <w:wBefore w:w="0" w:type="auto"/>
          <w:tblCellSpacing w:w="0" w:type="dxa"/>
        </w:trPr>
        <w:tc>
          <w:tcPr>
            <w:tcW w:w="0" w:type="auto"/>
            <w:noWrap w:val="0"/>
            <w:vAlign w:val="center"/>
          </w:tcPr>
          <w:p w14:paraId="190BBDF6">
            <w:r>
              <w:rPr>
                <w:rStyle w:val="10"/>
                <w:rFonts w:hint="eastAsia"/>
              </w:rPr>
              <w:t>注意事项：</w:t>
            </w:r>
            <w:r>
              <w:rPr>
                <w:rFonts w:hint="eastAsia"/>
              </w:rPr>
              <w:br w:type="textWrapping"/>
            </w:r>
            <w:r>
              <w:rPr>
                <w:rStyle w:val="11"/>
                <w:rFonts w:hint="eastAsia"/>
              </w:rPr>
              <w:t>1）仅用于室内。使用本品时应采取安全防护措施，穿防护服、胶鞋和戴口罩、手套等，避免药雾吸入。施药期间不可吃东西和饮水。喷药后及时脱下衣服，用肥皂水冲洗裸露部位皮肤。 2）本品对鱼类、家蚕有毒，在蚕室、桑园及其附近禁用。禁止在河塘等水体中清洗施药器具。 3）切勿向人体、食物喷洒。 4）本品不宜与碱性物质混用，以防分解。 5）用过的包装物、废弃物应妥善处理，不可做它用，也不可随意丢弃。 6）敏感体质人士、孕妇及哺乳期妇女请远离本品。过敏者禁用。使用中有任何不良反应，请及时就医。</w:t>
            </w:r>
          </w:p>
        </w:tc>
      </w:tr>
      <w:tr w14:paraId="426FB66D">
        <w:tblPrEx>
          <w:tblCellMar>
            <w:top w:w="0" w:type="dxa"/>
            <w:left w:w="0" w:type="dxa"/>
            <w:bottom w:w="0" w:type="dxa"/>
            <w:right w:w="0" w:type="dxa"/>
          </w:tblCellMar>
        </w:tblPrEx>
        <w:trPr>
          <w:wBefore w:w="0" w:type="auto"/>
          <w:tblCellSpacing w:w="0" w:type="dxa"/>
        </w:trPr>
        <w:tc>
          <w:tcPr>
            <w:tcW w:w="0" w:type="auto"/>
            <w:noWrap w:val="0"/>
            <w:vAlign w:val="center"/>
          </w:tcPr>
          <w:p w14:paraId="0E6C4ECF">
            <w:r>
              <w:rPr>
                <w:rStyle w:val="10"/>
                <w:rFonts w:hint="eastAsia"/>
              </w:rPr>
              <w:t>中毒急救措施：</w:t>
            </w:r>
            <w:r>
              <w:rPr>
                <w:rFonts w:hint="eastAsia"/>
              </w:rPr>
              <w:br w:type="textWrapping"/>
            </w:r>
            <w:r>
              <w:rPr>
                <w:rStyle w:val="11"/>
                <w:rFonts w:hint="eastAsia"/>
              </w:rPr>
              <w:t>中毒症状：本品神经毒剂，接触部位皮肤感到刺痛，尤其在口、鼻周围，但无红斑。接触量大时会引起头痛、头昏、恶心、呕吐、双手颤抖，全身抽搐或惊厥、昏迷、休克。 急救措施：皮肤接触：立即脱去污染的衣着，用肥皂水及流动清水彻底冲洗污染的皮肤、头发、指甲等，并就医。眼睛接触：提起眼睑，用流动清水或生理盐水冲洗，并就医。吸入：脱离现场至空气新鲜处。如呼吸困难，给输氧，并就医。误食：不慎误食，立即就医，无特殊解毒剂，对症治疗，大量吞服时可洗胃，不能催吐。</w:t>
            </w:r>
          </w:p>
        </w:tc>
      </w:tr>
      <w:tr w14:paraId="6DFBBA56">
        <w:tblPrEx>
          <w:tblCellMar>
            <w:top w:w="0" w:type="dxa"/>
            <w:left w:w="0" w:type="dxa"/>
            <w:bottom w:w="0" w:type="dxa"/>
            <w:right w:w="0" w:type="dxa"/>
          </w:tblCellMar>
        </w:tblPrEx>
        <w:trPr>
          <w:wBefore w:w="0" w:type="auto"/>
          <w:tblCellSpacing w:w="0" w:type="dxa"/>
        </w:trPr>
        <w:tc>
          <w:tcPr>
            <w:tcW w:w="0" w:type="auto"/>
            <w:noWrap w:val="0"/>
            <w:vAlign w:val="center"/>
          </w:tcPr>
          <w:p w14:paraId="70E7F487">
            <w:r>
              <w:rPr>
                <w:rStyle w:val="10"/>
                <w:rFonts w:hint="eastAsia"/>
              </w:rPr>
              <w:t>储存和运输方法：</w:t>
            </w:r>
            <w:r>
              <w:rPr>
                <w:rFonts w:hint="eastAsia"/>
              </w:rPr>
              <w:br w:type="textWrapping"/>
            </w:r>
            <w:r>
              <w:rPr>
                <w:rStyle w:val="11"/>
                <w:rFonts w:hint="eastAsia"/>
              </w:rPr>
              <w:t>本品应贮存于阴凉、干燥、通风、避光处，并远离火源和热源。 应置于儿童及宠物触及不到之处，并加锁。运输时，请防雨淋、高温，注意轻拿轻放，不得损坏包装。请勿与食品、饮料、饲料、粮食等其它商品同贮同运。</w:t>
            </w:r>
          </w:p>
        </w:tc>
      </w:tr>
      <w:tr w14:paraId="0F054046">
        <w:tblPrEx>
          <w:tblCellMar>
            <w:top w:w="0" w:type="dxa"/>
            <w:left w:w="0" w:type="dxa"/>
            <w:bottom w:w="0" w:type="dxa"/>
            <w:right w:w="0" w:type="dxa"/>
          </w:tblCellMar>
        </w:tblPrEx>
        <w:trPr>
          <w:wBefore w:w="0" w:type="auto"/>
          <w:tblCellSpacing w:w="0" w:type="dxa"/>
        </w:trPr>
        <w:tc>
          <w:tcPr>
            <w:tcW w:w="0" w:type="auto"/>
            <w:noWrap w:val="0"/>
            <w:vAlign w:val="center"/>
          </w:tcPr>
          <w:p w14:paraId="5185B6A3">
            <w:r>
              <w:rPr>
                <w:rStyle w:val="10"/>
                <w:rFonts w:hint="eastAsia"/>
              </w:rPr>
              <w:t>质量保证期：</w:t>
            </w:r>
            <w:r>
              <w:rPr>
                <w:rStyle w:val="11"/>
                <w:rFonts w:hint="eastAsia"/>
              </w:rPr>
              <w:t>2年</w:t>
            </w:r>
          </w:p>
        </w:tc>
      </w:tr>
      <w:tr w14:paraId="7BA5664E">
        <w:tblPrEx>
          <w:tblCellMar>
            <w:top w:w="0" w:type="dxa"/>
            <w:left w:w="0" w:type="dxa"/>
            <w:bottom w:w="0" w:type="dxa"/>
            <w:right w:w="0" w:type="dxa"/>
          </w:tblCellMar>
        </w:tblPrEx>
        <w:trPr>
          <w:wBefore w:w="0" w:type="auto"/>
          <w:tblCellSpacing w:w="0" w:type="dxa"/>
        </w:trPr>
        <w:tc>
          <w:tcPr>
            <w:tcW w:w="0" w:type="auto"/>
            <w:noWrap w:val="0"/>
            <w:vAlign w:val="center"/>
          </w:tcPr>
          <w:p w14:paraId="3A32DFD9">
            <w:r>
              <w:rPr>
                <w:rStyle w:val="10"/>
                <w:rFonts w:hint="eastAsia"/>
              </w:rPr>
              <w:t>备注：</w:t>
            </w:r>
          </w:p>
        </w:tc>
      </w:tr>
    </w:tbl>
    <w:p w14:paraId="39C2AF8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5F2FA81">
        <w:tblPrEx>
          <w:tblCellMar>
            <w:top w:w="0" w:type="dxa"/>
            <w:left w:w="0" w:type="dxa"/>
            <w:bottom w:w="0" w:type="dxa"/>
            <w:right w:w="0" w:type="dxa"/>
          </w:tblCellMar>
        </w:tblPrEx>
        <w:trPr>
          <w:wBefore w:w="0" w:type="auto"/>
          <w:tblCellSpacing w:w="0" w:type="dxa"/>
        </w:trPr>
        <w:tc>
          <w:tcPr>
            <w:tcW w:w="0" w:type="auto"/>
            <w:noWrap w:val="0"/>
            <w:vAlign w:val="center"/>
          </w:tcPr>
          <w:p w14:paraId="2B9A0BBB">
            <w:r>
              <w:rPr>
                <w:rStyle w:val="10"/>
                <w:rFonts w:hint="eastAsia"/>
              </w:rPr>
              <w:t>登记证号：</w:t>
            </w:r>
            <w:r>
              <w:rPr>
                <w:rFonts w:hint="eastAsia"/>
              </w:rPr>
              <w:t>PD20211895</w:t>
            </w:r>
          </w:p>
        </w:tc>
      </w:tr>
      <w:tr w14:paraId="1E65F293">
        <w:tblPrEx>
          <w:tblCellMar>
            <w:top w:w="0" w:type="dxa"/>
            <w:left w:w="0" w:type="dxa"/>
            <w:bottom w:w="0" w:type="dxa"/>
            <w:right w:w="0" w:type="dxa"/>
          </w:tblCellMar>
        </w:tblPrEx>
        <w:trPr>
          <w:wBefore w:w="0" w:type="auto"/>
          <w:tblCellSpacing w:w="0" w:type="dxa"/>
        </w:trPr>
        <w:tc>
          <w:tcPr>
            <w:tcW w:w="0" w:type="auto"/>
            <w:noWrap w:val="0"/>
            <w:vAlign w:val="center"/>
          </w:tcPr>
          <w:p w14:paraId="273BE97C">
            <w:r>
              <w:rPr>
                <w:rStyle w:val="10"/>
                <w:rFonts w:hint="eastAsia"/>
              </w:rPr>
              <w:t>登记证持有人：</w:t>
            </w:r>
            <w:r>
              <w:rPr>
                <w:rFonts w:hint="eastAsia"/>
              </w:rPr>
              <w:t>广东省佛山市盈辉作物科学有限公司</w:t>
            </w:r>
          </w:p>
        </w:tc>
      </w:tr>
      <w:tr w14:paraId="38F7AEE2">
        <w:tblPrEx>
          <w:tblCellMar>
            <w:top w:w="0" w:type="dxa"/>
            <w:left w:w="0" w:type="dxa"/>
            <w:bottom w:w="0" w:type="dxa"/>
            <w:right w:w="0" w:type="dxa"/>
          </w:tblCellMar>
        </w:tblPrEx>
        <w:trPr>
          <w:wBefore w:w="0" w:type="auto"/>
          <w:tblCellSpacing w:w="0" w:type="dxa"/>
        </w:trPr>
        <w:tc>
          <w:tcPr>
            <w:tcW w:w="0" w:type="auto"/>
            <w:noWrap w:val="0"/>
            <w:vAlign w:val="center"/>
          </w:tcPr>
          <w:p w14:paraId="65C62A8F">
            <w:r>
              <w:rPr>
                <w:rStyle w:val="10"/>
                <w:rFonts w:hint="eastAsia"/>
              </w:rPr>
              <w:t>农药名称：</w:t>
            </w:r>
            <w:r>
              <w:rPr>
                <w:rFonts w:hint="eastAsia"/>
              </w:rPr>
              <w:t>吡唑醚菌酯·噁霉灵</w:t>
            </w:r>
          </w:p>
        </w:tc>
      </w:tr>
      <w:tr w14:paraId="6C65DB24">
        <w:tblPrEx>
          <w:tblCellMar>
            <w:top w:w="0" w:type="dxa"/>
            <w:left w:w="0" w:type="dxa"/>
            <w:bottom w:w="0" w:type="dxa"/>
            <w:right w:w="0" w:type="dxa"/>
          </w:tblCellMar>
        </w:tblPrEx>
        <w:trPr>
          <w:wBefore w:w="0" w:type="auto"/>
          <w:tblCellSpacing w:w="0" w:type="dxa"/>
        </w:trPr>
        <w:tc>
          <w:tcPr>
            <w:tcW w:w="0" w:type="auto"/>
            <w:noWrap w:val="0"/>
            <w:vAlign w:val="center"/>
          </w:tcPr>
          <w:p w14:paraId="27E9E9E5">
            <w:r>
              <w:rPr>
                <w:rStyle w:val="10"/>
                <w:rFonts w:hint="eastAsia"/>
              </w:rPr>
              <w:t>剂型：</w:t>
            </w:r>
            <w:r>
              <w:rPr>
                <w:rFonts w:hint="eastAsia"/>
              </w:rPr>
              <w:t>颗粒剂</w:t>
            </w:r>
          </w:p>
        </w:tc>
      </w:tr>
      <w:tr w14:paraId="01C66A54">
        <w:tblPrEx>
          <w:tblCellMar>
            <w:top w:w="0" w:type="dxa"/>
            <w:left w:w="0" w:type="dxa"/>
            <w:bottom w:w="0" w:type="dxa"/>
            <w:right w:w="0" w:type="dxa"/>
          </w:tblCellMar>
        </w:tblPrEx>
        <w:trPr>
          <w:wBefore w:w="0" w:type="auto"/>
          <w:tblCellSpacing w:w="0" w:type="dxa"/>
        </w:trPr>
        <w:tc>
          <w:tcPr>
            <w:tcW w:w="0" w:type="auto"/>
            <w:noWrap w:val="0"/>
            <w:vAlign w:val="center"/>
          </w:tcPr>
          <w:p w14:paraId="4A07FFFE">
            <w:r>
              <w:rPr>
                <w:rStyle w:val="10"/>
                <w:rFonts w:hint="eastAsia"/>
              </w:rPr>
              <w:t>毒性及其标识：</w:t>
            </w:r>
            <w:r>
              <w:rPr>
                <w:rFonts w:hint="eastAsia"/>
              </w:rPr>
              <w:t xml:space="preserve"> </w:t>
            </w:r>
            <w:r>
              <w:rPr>
                <w:lang/>
              </w:rPr>
              <w:drawing>
                <wp:inline distT="0" distB="0" distL="114300" distR="114300">
                  <wp:extent cx="476250" cy="323850"/>
                  <wp:effectExtent l="0" t="0" r="0" b="0"/>
                  <wp:docPr id="295" name="图片 29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0049CC5">
        <w:tblPrEx>
          <w:tblCellMar>
            <w:top w:w="0" w:type="dxa"/>
            <w:left w:w="0" w:type="dxa"/>
            <w:bottom w:w="0" w:type="dxa"/>
            <w:right w:w="0" w:type="dxa"/>
          </w:tblCellMar>
        </w:tblPrEx>
        <w:trPr>
          <w:wBefore w:w="0" w:type="auto"/>
          <w:tblCellSpacing w:w="0" w:type="dxa"/>
        </w:trPr>
        <w:tc>
          <w:tcPr>
            <w:tcW w:w="0" w:type="auto"/>
            <w:noWrap w:val="0"/>
            <w:vAlign w:val="center"/>
          </w:tcPr>
          <w:p w14:paraId="7EBAAFE3">
            <w:r>
              <w:rPr>
                <w:rStyle w:val="10"/>
                <w:rFonts w:hint="eastAsia"/>
              </w:rPr>
              <w:t>总有效成分含量：</w:t>
            </w:r>
            <w:r>
              <w:rPr>
                <w:rFonts w:hint="eastAsia"/>
              </w:rPr>
              <w:t>3%</w:t>
            </w:r>
          </w:p>
        </w:tc>
      </w:tr>
      <w:tr w14:paraId="0F218C02">
        <w:tblPrEx>
          <w:tblCellMar>
            <w:top w:w="0" w:type="dxa"/>
            <w:left w:w="0" w:type="dxa"/>
            <w:bottom w:w="0" w:type="dxa"/>
            <w:right w:w="0" w:type="dxa"/>
          </w:tblCellMar>
        </w:tblPrEx>
        <w:trPr>
          <w:wBefore w:w="0" w:type="auto"/>
          <w:tblCellSpacing w:w="0" w:type="dxa"/>
        </w:trPr>
        <w:tc>
          <w:tcPr>
            <w:tcW w:w="0" w:type="auto"/>
            <w:noWrap w:val="0"/>
            <w:vAlign w:val="center"/>
          </w:tcPr>
          <w:p w14:paraId="48370AEC">
            <w:r>
              <w:rPr>
                <w:rFonts w:hint="eastAsia"/>
              </w:rPr>
              <w:t xml:space="preserve">有效成分及其含量： </w:t>
            </w:r>
          </w:p>
          <w:p w14:paraId="455D3024">
            <w:r>
              <w:rPr>
                <w:rFonts w:hint="eastAsia"/>
              </w:rPr>
              <w:t xml:space="preserve">    吡唑醚菌酯1%    噁霉灵2%    </w:t>
            </w:r>
          </w:p>
        </w:tc>
      </w:tr>
      <w:tr w14:paraId="7DF600F7">
        <w:tblPrEx>
          <w:tblCellMar>
            <w:top w:w="0" w:type="dxa"/>
            <w:left w:w="0" w:type="dxa"/>
            <w:bottom w:w="0" w:type="dxa"/>
            <w:right w:w="0" w:type="dxa"/>
          </w:tblCellMar>
        </w:tblPrEx>
        <w:trPr>
          <w:wBefore w:w="0" w:type="auto"/>
          <w:tblCellSpacing w:w="0" w:type="dxa"/>
        </w:trPr>
        <w:tc>
          <w:tcPr>
            <w:tcW w:w="0" w:type="auto"/>
            <w:noWrap w:val="0"/>
            <w:vAlign w:val="center"/>
          </w:tcPr>
          <w:p w14:paraId="04C030E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D8C30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632948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A672C9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B6756A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7B060F8">
                  <w:r>
                    <w:rPr>
                      <w:rStyle w:val="11"/>
                      <w:rFonts w:hint="eastAsia"/>
                    </w:rPr>
                    <w:t>施用方式</w:t>
                  </w:r>
                </w:p>
              </w:tc>
            </w:tr>
            <w:tr w14:paraId="34BA32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729C46">
                  <w:r>
                    <w:rPr>
                      <w:rStyle w:val="11"/>
                      <w:rFonts w:hint="eastAsia"/>
                    </w:rPr>
                    <w:t>西瓜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918341">
                  <w:r>
                    <w:rPr>
                      <w:rStyle w:val="11"/>
                      <w:rFonts w:hint="eastAsia"/>
                    </w:rPr>
                    <w:t>枯萎病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D7BC13">
                  <w:r>
                    <w:rPr>
                      <w:rStyle w:val="11"/>
                      <w:rFonts w:hint="eastAsia"/>
                    </w:rPr>
                    <w:t>1750-2000克/亩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6EEAF8">
                  <w:r>
                    <w:rPr>
                      <w:rStyle w:val="11"/>
                      <w:rFonts w:hint="eastAsia"/>
                    </w:rPr>
                    <w:t>撒施</w:t>
                  </w:r>
                </w:p>
              </w:tc>
            </w:tr>
          </w:tbl>
          <w:p w14:paraId="75934700">
            <w:pPr>
              <w:rPr>
                <w:rFonts w:ascii="Times New Roman" w:hAnsi="Times New Roman" w:cs="Times New Roman"/>
                <w:sz w:val="20"/>
                <w:szCs w:val="20"/>
              </w:rPr>
            </w:pPr>
          </w:p>
        </w:tc>
      </w:tr>
      <w:tr w14:paraId="3A2DB9AC">
        <w:tblPrEx>
          <w:tblCellMar>
            <w:top w:w="0" w:type="dxa"/>
            <w:left w:w="0" w:type="dxa"/>
            <w:bottom w:w="0" w:type="dxa"/>
            <w:right w:w="0" w:type="dxa"/>
          </w:tblCellMar>
        </w:tblPrEx>
        <w:trPr>
          <w:wBefore w:w="0" w:type="auto"/>
          <w:tblCellSpacing w:w="0" w:type="dxa"/>
        </w:trPr>
        <w:tc>
          <w:tcPr>
            <w:tcW w:w="0" w:type="auto"/>
            <w:noWrap w:val="0"/>
            <w:vAlign w:val="center"/>
          </w:tcPr>
          <w:p w14:paraId="59FF5972">
            <w:r>
              <w:rPr>
                <w:rStyle w:val="10"/>
                <w:rFonts w:hint="eastAsia"/>
              </w:rPr>
              <w:t>使用技术要求:</w:t>
            </w:r>
            <w:r>
              <w:rPr>
                <w:rFonts w:hint="eastAsia"/>
              </w:rPr>
              <w:br w:type="textWrapping"/>
            </w:r>
            <w:r>
              <w:rPr>
                <w:rStyle w:val="11"/>
                <w:rFonts w:hint="eastAsia"/>
              </w:rPr>
              <w:t>1. 西瓜移栽前施药1次，拌细土或细沙均匀撒施沟内，或撒于畦面与表土混匀。2. 每季最多使用1次。</w:t>
            </w:r>
          </w:p>
        </w:tc>
      </w:tr>
      <w:tr w14:paraId="12388BF4">
        <w:tblPrEx>
          <w:tblCellMar>
            <w:top w:w="0" w:type="dxa"/>
            <w:left w:w="0" w:type="dxa"/>
            <w:bottom w:w="0" w:type="dxa"/>
            <w:right w:w="0" w:type="dxa"/>
          </w:tblCellMar>
        </w:tblPrEx>
        <w:trPr>
          <w:wBefore w:w="0" w:type="auto"/>
          <w:tblCellSpacing w:w="0" w:type="dxa"/>
        </w:trPr>
        <w:tc>
          <w:tcPr>
            <w:tcW w:w="0" w:type="auto"/>
            <w:noWrap w:val="0"/>
            <w:vAlign w:val="center"/>
          </w:tcPr>
          <w:p w14:paraId="5B8A9566">
            <w:r>
              <w:rPr>
                <w:rStyle w:val="10"/>
                <w:rFonts w:hint="eastAsia"/>
              </w:rPr>
              <w:t>产品性能:</w:t>
            </w:r>
            <w:r>
              <w:rPr>
                <w:rFonts w:hint="eastAsia"/>
              </w:rPr>
              <w:br w:type="textWrapping"/>
            </w:r>
            <w:r>
              <w:rPr>
                <w:rStyle w:val="11"/>
                <w:rFonts w:hint="eastAsia"/>
              </w:rPr>
              <w:t>本品由吡唑醚菌酯和恶霉灵两种广谱杀菌剂复配而成，具有保护作用、治疗作用、内吸传导性、施药后可被植物根部迅速吸收，在植物体内快速移动，同时又能调节植物生长，促进根系生长，诱导植物产生抵抗蛋白等，对防治西瓜枯萎病具有较好的效果</w:t>
            </w:r>
          </w:p>
        </w:tc>
      </w:tr>
      <w:tr w14:paraId="1522F415">
        <w:tblPrEx>
          <w:tblCellMar>
            <w:top w:w="0" w:type="dxa"/>
            <w:left w:w="0" w:type="dxa"/>
            <w:bottom w:w="0" w:type="dxa"/>
            <w:right w:w="0" w:type="dxa"/>
          </w:tblCellMar>
        </w:tblPrEx>
        <w:trPr>
          <w:wBefore w:w="0" w:type="auto"/>
          <w:tblCellSpacing w:w="0" w:type="dxa"/>
        </w:trPr>
        <w:tc>
          <w:tcPr>
            <w:tcW w:w="0" w:type="auto"/>
            <w:noWrap w:val="0"/>
            <w:vAlign w:val="center"/>
          </w:tcPr>
          <w:p w14:paraId="2BBC61D6">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本品对眼睛有刺激性，使用时避免接触眼睛，穿戴长衣、长裤、帽子、口罩、手套等防护措施，避免吸入药液；施药期间不可吃东西、饮水等；施药后应及时洗手、洗脸等。2. 本品对蜜蜂、鱼类等水生生物、家蚕有毒，蜜源植物花期和桑园、蚕室附近禁用。赤眼蜂等天敌放飞区域禁用。鸟类保护区附近禁用。3. 本品在施药期间应远离水产养殖区、河塘等水域施药，禁止河塘等水体清洗施药器械，清洗施药器具的废水不能排入河流、池塘等水源；鸟类活动区附近禁用。4.用过的容器应妥善处理，不可做他用，也不可随意丢弃。5. 孕妇及哺乳期妇女应避免接触本品。</w:t>
            </w:r>
          </w:p>
        </w:tc>
      </w:tr>
      <w:tr w14:paraId="6EFEA847">
        <w:tblPrEx>
          <w:tblCellMar>
            <w:top w:w="0" w:type="dxa"/>
            <w:left w:w="0" w:type="dxa"/>
            <w:bottom w:w="0" w:type="dxa"/>
            <w:right w:w="0" w:type="dxa"/>
          </w:tblCellMar>
        </w:tblPrEx>
        <w:trPr>
          <w:wBefore w:w="0" w:type="auto"/>
          <w:tblCellSpacing w:w="0" w:type="dxa"/>
        </w:trPr>
        <w:tc>
          <w:tcPr>
            <w:tcW w:w="0" w:type="auto"/>
            <w:noWrap w:val="0"/>
            <w:vAlign w:val="center"/>
          </w:tcPr>
          <w:p w14:paraId="0EA5E529">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应立即用清水漱口，严禁引吐，避免呕吐物吸入肺部，立即携带标签到医院对症治疗</w:t>
            </w:r>
          </w:p>
        </w:tc>
      </w:tr>
      <w:tr w14:paraId="60A5771A">
        <w:tblPrEx>
          <w:tblCellMar>
            <w:top w:w="0" w:type="dxa"/>
            <w:left w:w="0" w:type="dxa"/>
            <w:bottom w:w="0" w:type="dxa"/>
            <w:right w:w="0" w:type="dxa"/>
          </w:tblCellMar>
        </w:tblPrEx>
        <w:trPr>
          <w:wBefore w:w="0" w:type="auto"/>
          <w:tblCellSpacing w:w="0" w:type="dxa"/>
        </w:trPr>
        <w:tc>
          <w:tcPr>
            <w:tcW w:w="0" w:type="auto"/>
            <w:noWrap w:val="0"/>
            <w:vAlign w:val="center"/>
          </w:tcPr>
          <w:p w14:paraId="62B56845">
            <w:r>
              <w:rPr>
                <w:rStyle w:val="10"/>
                <w:rFonts w:hint="eastAsia"/>
              </w:rPr>
              <w:t>储存和运输方法：</w:t>
            </w:r>
            <w:r>
              <w:rPr>
                <w:rFonts w:hint="eastAsia"/>
              </w:rPr>
              <w:br w:type="textWrapping"/>
            </w:r>
            <w:r>
              <w:rPr>
                <w:rStyle w:val="11"/>
                <w:rFonts w:hint="eastAsia"/>
              </w:rPr>
              <w:t>贮运时应严防潮湿和日晒，保持良好通风，置于儿童、无关人员及动物接触不到的地方，并加锁保存；避免与食物、种子、粮食、饮料、饲料混放混运。</w:t>
            </w:r>
          </w:p>
        </w:tc>
      </w:tr>
      <w:tr w14:paraId="3E16774F">
        <w:tblPrEx>
          <w:tblCellMar>
            <w:top w:w="0" w:type="dxa"/>
            <w:left w:w="0" w:type="dxa"/>
            <w:bottom w:w="0" w:type="dxa"/>
            <w:right w:w="0" w:type="dxa"/>
          </w:tblCellMar>
        </w:tblPrEx>
        <w:trPr>
          <w:wBefore w:w="0" w:type="auto"/>
          <w:tblCellSpacing w:w="0" w:type="dxa"/>
        </w:trPr>
        <w:tc>
          <w:tcPr>
            <w:tcW w:w="0" w:type="auto"/>
            <w:noWrap w:val="0"/>
            <w:vAlign w:val="center"/>
          </w:tcPr>
          <w:p w14:paraId="5B8974CB">
            <w:r>
              <w:rPr>
                <w:rStyle w:val="10"/>
                <w:rFonts w:hint="eastAsia"/>
              </w:rPr>
              <w:t>质量保证期：</w:t>
            </w:r>
            <w:r>
              <w:rPr>
                <w:rStyle w:val="11"/>
                <w:rFonts w:hint="eastAsia"/>
              </w:rPr>
              <w:t>2年</w:t>
            </w:r>
          </w:p>
        </w:tc>
      </w:tr>
      <w:tr w14:paraId="00F2F2F6">
        <w:tblPrEx>
          <w:tblCellMar>
            <w:top w:w="0" w:type="dxa"/>
            <w:left w:w="0" w:type="dxa"/>
            <w:bottom w:w="0" w:type="dxa"/>
            <w:right w:w="0" w:type="dxa"/>
          </w:tblCellMar>
        </w:tblPrEx>
        <w:trPr>
          <w:wBefore w:w="0" w:type="auto"/>
          <w:tblCellSpacing w:w="0" w:type="dxa"/>
        </w:trPr>
        <w:tc>
          <w:tcPr>
            <w:tcW w:w="0" w:type="auto"/>
            <w:noWrap w:val="0"/>
            <w:vAlign w:val="center"/>
          </w:tcPr>
          <w:p w14:paraId="34FA6A08">
            <w:r>
              <w:rPr>
                <w:rStyle w:val="10"/>
                <w:rFonts w:hint="eastAsia"/>
              </w:rPr>
              <w:t>备注：</w:t>
            </w:r>
          </w:p>
        </w:tc>
      </w:tr>
    </w:tbl>
    <w:p w14:paraId="2701E0D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22B6D12">
        <w:tblPrEx>
          <w:tblCellMar>
            <w:top w:w="0" w:type="dxa"/>
            <w:left w:w="0" w:type="dxa"/>
            <w:bottom w:w="0" w:type="dxa"/>
            <w:right w:w="0" w:type="dxa"/>
          </w:tblCellMar>
        </w:tblPrEx>
        <w:trPr>
          <w:wBefore w:w="0" w:type="auto"/>
          <w:tblCellSpacing w:w="0" w:type="dxa"/>
        </w:trPr>
        <w:tc>
          <w:tcPr>
            <w:tcW w:w="0" w:type="auto"/>
            <w:noWrap w:val="0"/>
            <w:vAlign w:val="center"/>
          </w:tcPr>
          <w:p w14:paraId="1AFB32D3">
            <w:r>
              <w:rPr>
                <w:rStyle w:val="10"/>
                <w:rFonts w:hint="eastAsia"/>
              </w:rPr>
              <w:t>登记证号：</w:t>
            </w:r>
            <w:r>
              <w:rPr>
                <w:rFonts w:hint="eastAsia"/>
              </w:rPr>
              <w:t>PD20212004</w:t>
            </w:r>
          </w:p>
        </w:tc>
      </w:tr>
      <w:tr w14:paraId="0438EC06">
        <w:tblPrEx>
          <w:tblCellMar>
            <w:top w:w="0" w:type="dxa"/>
            <w:left w:w="0" w:type="dxa"/>
            <w:bottom w:w="0" w:type="dxa"/>
            <w:right w:w="0" w:type="dxa"/>
          </w:tblCellMar>
        </w:tblPrEx>
        <w:trPr>
          <w:wBefore w:w="0" w:type="auto"/>
          <w:tblCellSpacing w:w="0" w:type="dxa"/>
        </w:trPr>
        <w:tc>
          <w:tcPr>
            <w:tcW w:w="0" w:type="auto"/>
            <w:noWrap w:val="0"/>
            <w:vAlign w:val="center"/>
          </w:tcPr>
          <w:p w14:paraId="68F6F767">
            <w:r>
              <w:rPr>
                <w:rStyle w:val="10"/>
                <w:rFonts w:hint="eastAsia"/>
              </w:rPr>
              <w:t>登记证持有人：</w:t>
            </w:r>
            <w:r>
              <w:rPr>
                <w:rFonts w:hint="eastAsia"/>
              </w:rPr>
              <w:t>陕西康禾立丰生物科技药业有限公司</w:t>
            </w:r>
          </w:p>
        </w:tc>
      </w:tr>
      <w:tr w14:paraId="347490FC">
        <w:tblPrEx>
          <w:tblCellMar>
            <w:top w:w="0" w:type="dxa"/>
            <w:left w:w="0" w:type="dxa"/>
            <w:bottom w:w="0" w:type="dxa"/>
            <w:right w:w="0" w:type="dxa"/>
          </w:tblCellMar>
        </w:tblPrEx>
        <w:trPr>
          <w:wBefore w:w="0" w:type="auto"/>
          <w:tblCellSpacing w:w="0" w:type="dxa"/>
        </w:trPr>
        <w:tc>
          <w:tcPr>
            <w:tcW w:w="0" w:type="auto"/>
            <w:noWrap w:val="0"/>
            <w:vAlign w:val="center"/>
          </w:tcPr>
          <w:p w14:paraId="69CA518F">
            <w:r>
              <w:rPr>
                <w:rStyle w:val="10"/>
                <w:rFonts w:hint="eastAsia"/>
              </w:rPr>
              <w:t>农药名称：</w:t>
            </w:r>
            <w:r>
              <w:rPr>
                <w:rFonts w:hint="eastAsia"/>
              </w:rPr>
              <w:t>春雷·溴菌腈</w:t>
            </w:r>
          </w:p>
        </w:tc>
      </w:tr>
      <w:tr w14:paraId="4EDB00F0">
        <w:tblPrEx>
          <w:tblCellMar>
            <w:top w:w="0" w:type="dxa"/>
            <w:left w:w="0" w:type="dxa"/>
            <w:bottom w:w="0" w:type="dxa"/>
            <w:right w:w="0" w:type="dxa"/>
          </w:tblCellMar>
        </w:tblPrEx>
        <w:trPr>
          <w:wBefore w:w="0" w:type="auto"/>
          <w:tblCellSpacing w:w="0" w:type="dxa"/>
        </w:trPr>
        <w:tc>
          <w:tcPr>
            <w:tcW w:w="0" w:type="auto"/>
            <w:noWrap w:val="0"/>
            <w:vAlign w:val="center"/>
          </w:tcPr>
          <w:p w14:paraId="6BCE5D42">
            <w:r>
              <w:rPr>
                <w:rStyle w:val="10"/>
                <w:rFonts w:hint="eastAsia"/>
              </w:rPr>
              <w:t>剂型：</w:t>
            </w:r>
            <w:r>
              <w:rPr>
                <w:rFonts w:hint="eastAsia"/>
              </w:rPr>
              <w:t>可湿性粉剂</w:t>
            </w:r>
          </w:p>
        </w:tc>
      </w:tr>
      <w:tr w14:paraId="691CD02E">
        <w:tblPrEx>
          <w:tblCellMar>
            <w:top w:w="0" w:type="dxa"/>
            <w:left w:w="0" w:type="dxa"/>
            <w:bottom w:w="0" w:type="dxa"/>
            <w:right w:w="0" w:type="dxa"/>
          </w:tblCellMar>
        </w:tblPrEx>
        <w:trPr>
          <w:wBefore w:w="0" w:type="auto"/>
          <w:tblCellSpacing w:w="0" w:type="dxa"/>
        </w:trPr>
        <w:tc>
          <w:tcPr>
            <w:tcW w:w="0" w:type="auto"/>
            <w:noWrap w:val="0"/>
            <w:vAlign w:val="center"/>
          </w:tcPr>
          <w:p w14:paraId="25002068">
            <w:r>
              <w:rPr>
                <w:rStyle w:val="10"/>
                <w:rFonts w:hint="eastAsia"/>
              </w:rPr>
              <w:t>毒性及其标识：</w:t>
            </w:r>
            <w:r>
              <w:rPr>
                <w:rFonts w:hint="eastAsia"/>
              </w:rPr>
              <w:t xml:space="preserve"> </w:t>
            </w:r>
            <w:r>
              <w:rPr>
                <w:lang/>
              </w:rPr>
              <w:drawing>
                <wp:inline distT="0" distB="0" distL="114300" distR="114300">
                  <wp:extent cx="476250" cy="323850"/>
                  <wp:effectExtent l="0" t="0" r="0" b="0"/>
                  <wp:docPr id="296" name="图片 29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CF88135">
        <w:tblPrEx>
          <w:tblCellMar>
            <w:top w:w="0" w:type="dxa"/>
            <w:left w:w="0" w:type="dxa"/>
            <w:bottom w:w="0" w:type="dxa"/>
            <w:right w:w="0" w:type="dxa"/>
          </w:tblCellMar>
        </w:tblPrEx>
        <w:trPr>
          <w:wBefore w:w="0" w:type="auto"/>
          <w:tblCellSpacing w:w="0" w:type="dxa"/>
        </w:trPr>
        <w:tc>
          <w:tcPr>
            <w:tcW w:w="0" w:type="auto"/>
            <w:noWrap w:val="0"/>
            <w:vAlign w:val="center"/>
          </w:tcPr>
          <w:p w14:paraId="7C70C585">
            <w:r>
              <w:rPr>
                <w:rStyle w:val="10"/>
                <w:rFonts w:hint="eastAsia"/>
              </w:rPr>
              <w:t>总有效成分含量：</w:t>
            </w:r>
            <w:r>
              <w:rPr>
                <w:rFonts w:hint="eastAsia"/>
              </w:rPr>
              <w:t>32%</w:t>
            </w:r>
          </w:p>
        </w:tc>
      </w:tr>
      <w:tr w14:paraId="41B4DDD0">
        <w:tblPrEx>
          <w:tblCellMar>
            <w:top w:w="0" w:type="dxa"/>
            <w:left w:w="0" w:type="dxa"/>
            <w:bottom w:w="0" w:type="dxa"/>
            <w:right w:w="0" w:type="dxa"/>
          </w:tblCellMar>
        </w:tblPrEx>
        <w:trPr>
          <w:wBefore w:w="0" w:type="auto"/>
          <w:tblCellSpacing w:w="0" w:type="dxa"/>
        </w:trPr>
        <w:tc>
          <w:tcPr>
            <w:tcW w:w="0" w:type="auto"/>
            <w:noWrap w:val="0"/>
            <w:vAlign w:val="center"/>
          </w:tcPr>
          <w:p w14:paraId="72211D13">
            <w:r>
              <w:rPr>
                <w:rFonts w:hint="eastAsia"/>
              </w:rPr>
              <w:t xml:space="preserve">有效成分及其含量： </w:t>
            </w:r>
          </w:p>
          <w:p w14:paraId="410E90B2">
            <w:r>
              <w:rPr>
                <w:rFonts w:hint="eastAsia"/>
              </w:rPr>
              <w:t xml:space="preserve">    溴菌腈25%    春雷霉素7%    </w:t>
            </w:r>
          </w:p>
        </w:tc>
      </w:tr>
      <w:tr w14:paraId="3E9506B9">
        <w:tblPrEx>
          <w:tblCellMar>
            <w:top w:w="0" w:type="dxa"/>
            <w:left w:w="0" w:type="dxa"/>
            <w:bottom w:w="0" w:type="dxa"/>
            <w:right w:w="0" w:type="dxa"/>
          </w:tblCellMar>
        </w:tblPrEx>
        <w:trPr>
          <w:wBefore w:w="0" w:type="auto"/>
          <w:tblCellSpacing w:w="0" w:type="dxa"/>
        </w:trPr>
        <w:tc>
          <w:tcPr>
            <w:tcW w:w="0" w:type="auto"/>
            <w:noWrap w:val="0"/>
            <w:vAlign w:val="center"/>
          </w:tcPr>
          <w:p w14:paraId="1951FDB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911D7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F9D6AB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9CC180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885753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985672D">
                  <w:r>
                    <w:rPr>
                      <w:rStyle w:val="11"/>
                      <w:rFonts w:hint="eastAsia"/>
                    </w:rPr>
                    <w:t>施用方式</w:t>
                  </w:r>
                </w:p>
              </w:tc>
            </w:tr>
            <w:tr w14:paraId="0AB15E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0D12466">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65600F">
                  <w:r>
                    <w:rPr>
                      <w:rStyle w:val="11"/>
                      <w:rFonts w:hint="eastAsia"/>
                    </w:rPr>
                    <w:t>稻瘟病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951EF3">
                  <w:r>
                    <w:rPr>
                      <w:rStyle w:val="11"/>
                      <w:rFonts w:hint="eastAsia"/>
                    </w:rPr>
                    <w:t>12-15克/亩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8331BF">
                  <w:r>
                    <w:rPr>
                      <w:rStyle w:val="11"/>
                      <w:rFonts w:hint="eastAsia"/>
                    </w:rPr>
                    <w:t>喷雾</w:t>
                  </w:r>
                </w:p>
              </w:tc>
            </w:tr>
          </w:tbl>
          <w:p w14:paraId="611AA205">
            <w:pPr>
              <w:rPr>
                <w:rFonts w:ascii="Times New Roman" w:hAnsi="Times New Roman" w:cs="Times New Roman"/>
                <w:sz w:val="20"/>
                <w:szCs w:val="20"/>
              </w:rPr>
            </w:pPr>
          </w:p>
        </w:tc>
      </w:tr>
      <w:tr w14:paraId="6A67DD2D">
        <w:tblPrEx>
          <w:tblCellMar>
            <w:top w:w="0" w:type="dxa"/>
            <w:left w:w="0" w:type="dxa"/>
            <w:bottom w:w="0" w:type="dxa"/>
            <w:right w:w="0" w:type="dxa"/>
          </w:tblCellMar>
        </w:tblPrEx>
        <w:trPr>
          <w:wBefore w:w="0" w:type="auto"/>
          <w:tblCellSpacing w:w="0" w:type="dxa"/>
        </w:trPr>
        <w:tc>
          <w:tcPr>
            <w:tcW w:w="0" w:type="auto"/>
            <w:noWrap w:val="0"/>
            <w:vAlign w:val="center"/>
          </w:tcPr>
          <w:p w14:paraId="5073412A">
            <w:r>
              <w:rPr>
                <w:rStyle w:val="10"/>
                <w:rFonts w:hint="eastAsia"/>
              </w:rPr>
              <w:t>使用技术要求:</w:t>
            </w:r>
            <w:r>
              <w:rPr>
                <w:rFonts w:hint="eastAsia"/>
              </w:rPr>
              <w:br w:type="textWrapping"/>
            </w:r>
            <w:r>
              <w:rPr>
                <w:rStyle w:val="11"/>
                <w:rFonts w:hint="eastAsia"/>
              </w:rPr>
              <w:t>1. 防治水稻穗颈瘟在水稻破口前开始施药，防治水稻叶瘟病在病害发生初期施药，连续施药2次，间隔7-10天。施药时应均匀喷雾。2. 本品在水稻上安全间隔期21天，每季最多使用2次。 3. 大风天或预计 1 小时内降雨，请勿施药。4、与不同作用机制的杀菌剂轮换使用。</w:t>
            </w:r>
          </w:p>
        </w:tc>
      </w:tr>
      <w:tr w14:paraId="6235D849">
        <w:tblPrEx>
          <w:tblCellMar>
            <w:top w:w="0" w:type="dxa"/>
            <w:left w:w="0" w:type="dxa"/>
            <w:bottom w:w="0" w:type="dxa"/>
            <w:right w:w="0" w:type="dxa"/>
          </w:tblCellMar>
        </w:tblPrEx>
        <w:trPr>
          <w:wBefore w:w="0" w:type="auto"/>
          <w:tblCellSpacing w:w="0" w:type="dxa"/>
        </w:trPr>
        <w:tc>
          <w:tcPr>
            <w:tcW w:w="0" w:type="auto"/>
            <w:noWrap w:val="0"/>
            <w:vAlign w:val="center"/>
          </w:tcPr>
          <w:p w14:paraId="6FB3CE3A">
            <w:r>
              <w:rPr>
                <w:rStyle w:val="10"/>
                <w:rFonts w:hint="eastAsia"/>
              </w:rPr>
              <w:t>产品性能:</w:t>
            </w:r>
            <w:r>
              <w:rPr>
                <w:rFonts w:hint="eastAsia"/>
              </w:rPr>
              <w:br w:type="textWrapping"/>
            </w:r>
            <w:r>
              <w:rPr>
                <w:rStyle w:val="11"/>
                <w:rFonts w:hint="eastAsia"/>
              </w:rPr>
              <w:t>本品是由春雷霉素和溴菌腈混配而成的杀菌剂，能够迅速被菌体细胞吸收，干扰氨基酸代谢的酯酶系统，并在菌体细胞内传导，影响蛋白质的合成，干扰菌体细胞的正常发育，抑制菌丝伸长和造成细胞颗粒化，从而达到抑菌、杀菌作用，并能刺激作物体内多种酶的活性，增加光合作用，使叶色浓绿，植株健壮，从而提高作物产量。按登记剂量使用时，对水稻稻瘟病具有较好的防治效果。</w:t>
            </w:r>
          </w:p>
        </w:tc>
      </w:tr>
      <w:tr w14:paraId="38FF2504">
        <w:tblPrEx>
          <w:tblCellMar>
            <w:top w:w="0" w:type="dxa"/>
            <w:left w:w="0" w:type="dxa"/>
            <w:bottom w:w="0" w:type="dxa"/>
            <w:right w:w="0" w:type="dxa"/>
          </w:tblCellMar>
        </w:tblPrEx>
        <w:trPr>
          <w:wBefore w:w="0" w:type="auto"/>
          <w:tblCellSpacing w:w="0" w:type="dxa"/>
        </w:trPr>
        <w:tc>
          <w:tcPr>
            <w:tcW w:w="0" w:type="auto"/>
            <w:noWrap w:val="0"/>
            <w:vAlign w:val="center"/>
          </w:tcPr>
          <w:p w14:paraId="3F868D29">
            <w:r>
              <w:rPr>
                <w:rStyle w:val="10"/>
                <w:rFonts w:hint="eastAsia"/>
              </w:rPr>
              <w:t>注意事项：</w:t>
            </w:r>
            <w:r>
              <w:rPr>
                <w:rFonts w:hint="eastAsia"/>
              </w:rPr>
              <w:br w:type="textWrapping"/>
            </w:r>
            <w:r>
              <w:rPr>
                <w:rStyle w:val="11"/>
                <w:rFonts w:hint="eastAsia"/>
              </w:rPr>
              <w:t>1. 严格按照规定用药量和方法使用。 2. 本品不可与碱性农药等物质混用。 3. 远离水产养殖区、河塘等水体施药；禁止在河塘等水体中清洗施药器具；（周围）开花植物花期禁用，施药期间应密切关注对附近蜂群的影响；桑园及蚕室附近禁用。 4. 本品对眼睛有刺激性，使用时避免接触眼睛，穿戴长衣、长裤、帽子、口罩、手套等防护措施。避免吸入药液。施药期间不可吃东西和饮水，施药后应及时洗手和洗脸。 5. 用药后包装物及用过的容器应妥善处理，不可做他用，也不可随意丢弃。 6. 孕妇及哺乳期妇女禁止接触本品。7.注意与不同作用机制的杀菌剂轮换使用。</w:t>
            </w:r>
          </w:p>
        </w:tc>
      </w:tr>
      <w:tr w14:paraId="55D2035D">
        <w:tblPrEx>
          <w:tblCellMar>
            <w:top w:w="0" w:type="dxa"/>
            <w:left w:w="0" w:type="dxa"/>
            <w:bottom w:w="0" w:type="dxa"/>
            <w:right w:w="0" w:type="dxa"/>
          </w:tblCellMar>
        </w:tblPrEx>
        <w:trPr>
          <w:wBefore w:w="0" w:type="auto"/>
          <w:tblCellSpacing w:w="0" w:type="dxa"/>
        </w:trPr>
        <w:tc>
          <w:tcPr>
            <w:tcW w:w="0" w:type="auto"/>
            <w:noWrap w:val="0"/>
            <w:vAlign w:val="center"/>
          </w:tcPr>
          <w:p w14:paraId="57E754B7">
            <w:r>
              <w:rPr>
                <w:rStyle w:val="10"/>
                <w:rFonts w:hint="eastAsia"/>
              </w:rPr>
              <w:t>中毒急救措施：</w:t>
            </w:r>
            <w:r>
              <w:rPr>
                <w:rFonts w:hint="eastAsia"/>
              </w:rPr>
              <w:br w:type="textWrapping"/>
            </w:r>
            <w:r>
              <w:rPr>
                <w:rStyle w:val="11"/>
                <w:rFonts w:hint="eastAsia"/>
              </w:rPr>
              <w:t>1. 使用中或使用后如果感觉不适，应立即停止工作，采取急救措施，并携带标签送医院就诊。 2. 皮肤接触：脱去污染的衣物，用软布去除沾染农药，立即用大量清水和肥皂冲洗。 3. 眼睛溅入：立即用流动清水冲洗不少于15分钟。 4. 吸入：立即离开施药现场，转移到空气清新处。 5. 误食：立即停止服用，用清水充分漱口后，立即携带农药标签到医院就诊。</w:t>
            </w:r>
          </w:p>
        </w:tc>
      </w:tr>
      <w:tr w14:paraId="69D48F5A">
        <w:tblPrEx>
          <w:tblCellMar>
            <w:top w:w="0" w:type="dxa"/>
            <w:left w:w="0" w:type="dxa"/>
            <w:bottom w:w="0" w:type="dxa"/>
            <w:right w:w="0" w:type="dxa"/>
          </w:tblCellMar>
        </w:tblPrEx>
        <w:trPr>
          <w:wBefore w:w="0" w:type="auto"/>
          <w:tblCellSpacing w:w="0" w:type="dxa"/>
        </w:trPr>
        <w:tc>
          <w:tcPr>
            <w:tcW w:w="0" w:type="auto"/>
            <w:noWrap w:val="0"/>
            <w:vAlign w:val="center"/>
          </w:tcPr>
          <w:p w14:paraId="230F70C0">
            <w:r>
              <w:rPr>
                <w:rStyle w:val="10"/>
                <w:rFonts w:hint="eastAsia"/>
              </w:rPr>
              <w:t>储存和运输方法：</w:t>
            </w:r>
            <w:r>
              <w:rPr>
                <w:rFonts w:hint="eastAsia"/>
              </w:rPr>
              <w:br w:type="textWrapping"/>
            </w:r>
            <w:r>
              <w:rPr>
                <w:rStyle w:val="11"/>
                <w:rFonts w:hint="eastAsia"/>
              </w:rPr>
              <w:t>1. 本品应以原包装贮存于阴凉、干燥和通风处。 远离热源或者火源。 2. 本品勿与食物、饲料、饮料和种子等其他物品同贮同运，并放置于儿童接触不到的地方，加锁保管。 3. 运输时应注意防水防潮，避免雨淋；搬运时轻搬轻放，不可倒置。</w:t>
            </w:r>
          </w:p>
        </w:tc>
      </w:tr>
      <w:tr w14:paraId="4A696BDA">
        <w:tblPrEx>
          <w:tblCellMar>
            <w:top w:w="0" w:type="dxa"/>
            <w:left w:w="0" w:type="dxa"/>
            <w:bottom w:w="0" w:type="dxa"/>
            <w:right w:w="0" w:type="dxa"/>
          </w:tblCellMar>
        </w:tblPrEx>
        <w:trPr>
          <w:wBefore w:w="0" w:type="auto"/>
          <w:tblCellSpacing w:w="0" w:type="dxa"/>
        </w:trPr>
        <w:tc>
          <w:tcPr>
            <w:tcW w:w="0" w:type="auto"/>
            <w:noWrap w:val="0"/>
            <w:vAlign w:val="center"/>
          </w:tcPr>
          <w:p w14:paraId="36B85EB1">
            <w:r>
              <w:rPr>
                <w:rStyle w:val="10"/>
                <w:rFonts w:hint="eastAsia"/>
              </w:rPr>
              <w:t>质量保证期：</w:t>
            </w:r>
            <w:r>
              <w:rPr>
                <w:rStyle w:val="11"/>
                <w:rFonts w:hint="eastAsia"/>
              </w:rPr>
              <w:t>2年</w:t>
            </w:r>
          </w:p>
        </w:tc>
      </w:tr>
      <w:tr w14:paraId="1CB3FF55">
        <w:tblPrEx>
          <w:tblCellMar>
            <w:top w:w="0" w:type="dxa"/>
            <w:left w:w="0" w:type="dxa"/>
            <w:bottom w:w="0" w:type="dxa"/>
            <w:right w:w="0" w:type="dxa"/>
          </w:tblCellMar>
        </w:tblPrEx>
        <w:trPr>
          <w:wBefore w:w="0" w:type="auto"/>
          <w:tblCellSpacing w:w="0" w:type="dxa"/>
        </w:trPr>
        <w:tc>
          <w:tcPr>
            <w:tcW w:w="0" w:type="auto"/>
            <w:noWrap w:val="0"/>
            <w:vAlign w:val="center"/>
          </w:tcPr>
          <w:p w14:paraId="73E9C1C6">
            <w:r>
              <w:rPr>
                <w:rStyle w:val="10"/>
                <w:rFonts w:hint="eastAsia"/>
              </w:rPr>
              <w:t>备注：</w:t>
            </w:r>
            <w:r>
              <w:rPr>
                <w:rFonts w:hint="eastAsia"/>
              </w:rPr>
              <w:br w:type="textWrapping"/>
            </w:r>
            <w:r>
              <w:rPr>
                <w:rStyle w:val="11"/>
                <w:rFonts w:hint="eastAsia"/>
              </w:rPr>
              <w:t>春雷霉素盐酸盐7.7%。</w:t>
            </w:r>
          </w:p>
        </w:tc>
      </w:tr>
    </w:tbl>
    <w:p w14:paraId="4A2A5B3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85FF2A2">
        <w:tblPrEx>
          <w:tblCellMar>
            <w:top w:w="0" w:type="dxa"/>
            <w:left w:w="0" w:type="dxa"/>
            <w:bottom w:w="0" w:type="dxa"/>
            <w:right w:w="0" w:type="dxa"/>
          </w:tblCellMar>
        </w:tblPrEx>
        <w:trPr>
          <w:wBefore w:w="0" w:type="auto"/>
          <w:tblCellSpacing w:w="0" w:type="dxa"/>
        </w:trPr>
        <w:tc>
          <w:tcPr>
            <w:tcW w:w="0" w:type="auto"/>
            <w:noWrap w:val="0"/>
            <w:vAlign w:val="center"/>
          </w:tcPr>
          <w:p w14:paraId="3A11A92D">
            <w:r>
              <w:rPr>
                <w:rStyle w:val="10"/>
                <w:rFonts w:hint="eastAsia"/>
              </w:rPr>
              <w:t>登记证号：</w:t>
            </w:r>
            <w:r>
              <w:rPr>
                <w:rFonts w:hint="eastAsia"/>
              </w:rPr>
              <w:t>PD20212044</w:t>
            </w:r>
          </w:p>
        </w:tc>
      </w:tr>
      <w:tr w14:paraId="730AA505">
        <w:tblPrEx>
          <w:tblCellMar>
            <w:top w:w="0" w:type="dxa"/>
            <w:left w:w="0" w:type="dxa"/>
            <w:bottom w:w="0" w:type="dxa"/>
            <w:right w:w="0" w:type="dxa"/>
          </w:tblCellMar>
        </w:tblPrEx>
        <w:trPr>
          <w:wBefore w:w="0" w:type="auto"/>
          <w:tblCellSpacing w:w="0" w:type="dxa"/>
        </w:trPr>
        <w:tc>
          <w:tcPr>
            <w:tcW w:w="0" w:type="auto"/>
            <w:noWrap w:val="0"/>
            <w:vAlign w:val="center"/>
          </w:tcPr>
          <w:p w14:paraId="7E65999B">
            <w:r>
              <w:rPr>
                <w:rStyle w:val="10"/>
                <w:rFonts w:hint="eastAsia"/>
              </w:rPr>
              <w:t>登记证持有人：</w:t>
            </w:r>
            <w:r>
              <w:rPr>
                <w:rFonts w:hint="eastAsia"/>
              </w:rPr>
              <w:t>山东曹达化工有限公司</w:t>
            </w:r>
          </w:p>
        </w:tc>
      </w:tr>
      <w:tr w14:paraId="7E034C18">
        <w:tblPrEx>
          <w:tblCellMar>
            <w:top w:w="0" w:type="dxa"/>
            <w:left w:w="0" w:type="dxa"/>
            <w:bottom w:w="0" w:type="dxa"/>
            <w:right w:w="0" w:type="dxa"/>
          </w:tblCellMar>
        </w:tblPrEx>
        <w:trPr>
          <w:wBefore w:w="0" w:type="auto"/>
          <w:tblCellSpacing w:w="0" w:type="dxa"/>
        </w:trPr>
        <w:tc>
          <w:tcPr>
            <w:tcW w:w="0" w:type="auto"/>
            <w:noWrap w:val="0"/>
            <w:vAlign w:val="center"/>
          </w:tcPr>
          <w:p w14:paraId="6EA72F68">
            <w:r>
              <w:rPr>
                <w:rStyle w:val="10"/>
                <w:rFonts w:hint="eastAsia"/>
              </w:rPr>
              <w:t>农药名称：</w:t>
            </w:r>
            <w:r>
              <w:rPr>
                <w:rFonts w:hint="eastAsia"/>
              </w:rPr>
              <w:t>28-表高芸苔素内酯</w:t>
            </w:r>
          </w:p>
        </w:tc>
      </w:tr>
      <w:tr w14:paraId="29FB17B4">
        <w:tblPrEx>
          <w:tblCellMar>
            <w:top w:w="0" w:type="dxa"/>
            <w:left w:w="0" w:type="dxa"/>
            <w:bottom w:w="0" w:type="dxa"/>
            <w:right w:w="0" w:type="dxa"/>
          </w:tblCellMar>
        </w:tblPrEx>
        <w:trPr>
          <w:wBefore w:w="0" w:type="auto"/>
          <w:tblCellSpacing w:w="0" w:type="dxa"/>
        </w:trPr>
        <w:tc>
          <w:tcPr>
            <w:tcW w:w="0" w:type="auto"/>
            <w:noWrap w:val="0"/>
            <w:vAlign w:val="center"/>
          </w:tcPr>
          <w:p w14:paraId="3CFA57CC">
            <w:r>
              <w:rPr>
                <w:rStyle w:val="10"/>
                <w:rFonts w:hint="eastAsia"/>
              </w:rPr>
              <w:t>剂型：</w:t>
            </w:r>
            <w:r>
              <w:rPr>
                <w:rFonts w:hint="eastAsia"/>
              </w:rPr>
              <w:t>可溶液剂</w:t>
            </w:r>
          </w:p>
        </w:tc>
      </w:tr>
      <w:tr w14:paraId="3A805B72">
        <w:tblPrEx>
          <w:tblCellMar>
            <w:top w:w="0" w:type="dxa"/>
            <w:left w:w="0" w:type="dxa"/>
            <w:bottom w:w="0" w:type="dxa"/>
            <w:right w:w="0" w:type="dxa"/>
          </w:tblCellMar>
        </w:tblPrEx>
        <w:trPr>
          <w:wBefore w:w="0" w:type="auto"/>
          <w:tblCellSpacing w:w="0" w:type="dxa"/>
        </w:trPr>
        <w:tc>
          <w:tcPr>
            <w:tcW w:w="0" w:type="auto"/>
            <w:noWrap w:val="0"/>
            <w:vAlign w:val="center"/>
          </w:tcPr>
          <w:p w14:paraId="2F83F0B6">
            <w:r>
              <w:rPr>
                <w:rStyle w:val="10"/>
                <w:rFonts w:hint="eastAsia"/>
              </w:rPr>
              <w:t>毒性及其标识：</w:t>
            </w:r>
            <w:r>
              <w:rPr>
                <w:rFonts w:hint="eastAsia"/>
              </w:rPr>
              <w:t xml:space="preserve"> 微毒 </w:t>
            </w:r>
          </w:p>
        </w:tc>
      </w:tr>
      <w:tr w14:paraId="245DB55C">
        <w:tblPrEx>
          <w:tblCellMar>
            <w:top w:w="0" w:type="dxa"/>
            <w:left w:w="0" w:type="dxa"/>
            <w:bottom w:w="0" w:type="dxa"/>
            <w:right w:w="0" w:type="dxa"/>
          </w:tblCellMar>
        </w:tblPrEx>
        <w:trPr>
          <w:wBefore w:w="0" w:type="auto"/>
          <w:tblCellSpacing w:w="0" w:type="dxa"/>
        </w:trPr>
        <w:tc>
          <w:tcPr>
            <w:tcW w:w="0" w:type="auto"/>
            <w:noWrap w:val="0"/>
            <w:vAlign w:val="center"/>
          </w:tcPr>
          <w:p w14:paraId="69777EFF">
            <w:r>
              <w:rPr>
                <w:rStyle w:val="10"/>
                <w:rFonts w:hint="eastAsia"/>
              </w:rPr>
              <w:t>总有效成分含量：</w:t>
            </w:r>
            <w:r>
              <w:rPr>
                <w:rFonts w:hint="eastAsia"/>
              </w:rPr>
              <w:t>0.004%</w:t>
            </w:r>
          </w:p>
        </w:tc>
      </w:tr>
      <w:tr w14:paraId="1981F834">
        <w:tblPrEx>
          <w:tblCellMar>
            <w:top w:w="0" w:type="dxa"/>
            <w:left w:w="0" w:type="dxa"/>
            <w:bottom w:w="0" w:type="dxa"/>
            <w:right w:w="0" w:type="dxa"/>
          </w:tblCellMar>
        </w:tblPrEx>
        <w:trPr>
          <w:wBefore w:w="0" w:type="auto"/>
          <w:tblCellSpacing w:w="0" w:type="dxa"/>
        </w:trPr>
        <w:tc>
          <w:tcPr>
            <w:tcW w:w="0" w:type="auto"/>
            <w:noWrap w:val="0"/>
            <w:vAlign w:val="center"/>
          </w:tcPr>
          <w:p w14:paraId="5A824552">
            <w:r>
              <w:rPr>
                <w:rFonts w:hint="eastAsia"/>
              </w:rPr>
              <w:t xml:space="preserve">有效成分及其含量： </w:t>
            </w:r>
          </w:p>
          <w:p w14:paraId="2C8FD455">
            <w:r>
              <w:rPr>
                <w:rFonts w:hint="eastAsia"/>
              </w:rPr>
              <w:t xml:space="preserve">    28-表高芸苔素内酯0.004%    </w:t>
            </w:r>
          </w:p>
        </w:tc>
      </w:tr>
      <w:tr w14:paraId="4103D932">
        <w:tblPrEx>
          <w:tblCellMar>
            <w:top w:w="0" w:type="dxa"/>
            <w:left w:w="0" w:type="dxa"/>
            <w:bottom w:w="0" w:type="dxa"/>
            <w:right w:w="0" w:type="dxa"/>
          </w:tblCellMar>
        </w:tblPrEx>
        <w:trPr>
          <w:wBefore w:w="0" w:type="auto"/>
          <w:tblCellSpacing w:w="0" w:type="dxa"/>
        </w:trPr>
        <w:tc>
          <w:tcPr>
            <w:tcW w:w="0" w:type="auto"/>
            <w:noWrap w:val="0"/>
            <w:vAlign w:val="center"/>
          </w:tcPr>
          <w:p w14:paraId="7426CE3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DAD8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AAD51A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5C5A88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1C101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40EE0D3">
                  <w:r>
                    <w:rPr>
                      <w:rStyle w:val="11"/>
                      <w:rFonts w:hint="eastAsia"/>
                    </w:rPr>
                    <w:t>施用方式</w:t>
                  </w:r>
                </w:p>
              </w:tc>
            </w:tr>
            <w:tr w14:paraId="4EB224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E7C3399">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B88371">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1B2AFC">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E06C60">
                  <w:r>
                    <w:rPr>
                      <w:rStyle w:val="11"/>
                      <w:rFonts w:hint="eastAsia"/>
                    </w:rPr>
                    <w:t>喷雾</w:t>
                  </w:r>
                </w:p>
              </w:tc>
            </w:tr>
          </w:tbl>
          <w:p w14:paraId="73FE60BD">
            <w:pPr>
              <w:rPr>
                <w:rFonts w:ascii="Times New Roman" w:hAnsi="Times New Roman" w:cs="Times New Roman"/>
                <w:sz w:val="20"/>
                <w:szCs w:val="20"/>
              </w:rPr>
            </w:pPr>
          </w:p>
        </w:tc>
      </w:tr>
      <w:tr w14:paraId="14B9CD27">
        <w:tblPrEx>
          <w:tblCellMar>
            <w:top w:w="0" w:type="dxa"/>
            <w:left w:w="0" w:type="dxa"/>
            <w:bottom w:w="0" w:type="dxa"/>
            <w:right w:w="0" w:type="dxa"/>
          </w:tblCellMar>
        </w:tblPrEx>
        <w:trPr>
          <w:wBefore w:w="0" w:type="auto"/>
          <w:tblCellSpacing w:w="0" w:type="dxa"/>
        </w:trPr>
        <w:tc>
          <w:tcPr>
            <w:tcW w:w="0" w:type="auto"/>
            <w:noWrap w:val="0"/>
            <w:vAlign w:val="center"/>
          </w:tcPr>
          <w:p w14:paraId="22FEA725">
            <w:r>
              <w:rPr>
                <w:rStyle w:val="10"/>
                <w:rFonts w:hint="eastAsia"/>
              </w:rPr>
              <w:t>使用技术要求:</w:t>
            </w:r>
            <w:r>
              <w:rPr>
                <w:rFonts w:hint="eastAsia"/>
              </w:rPr>
              <w:br w:type="textWrapping"/>
            </w:r>
            <w:r>
              <w:rPr>
                <w:rStyle w:val="11"/>
                <w:rFonts w:hint="eastAsia"/>
              </w:rPr>
              <w:t>1. 应于黄瓜苗期、花蕾期、幼果期各施药1次，本品宜在上午或傍晚喷施，喷后6小时内遇雨要补喷。大风天或预计1小时内降雨，请勿施药。</w:t>
            </w:r>
          </w:p>
        </w:tc>
      </w:tr>
      <w:tr w14:paraId="459C8706">
        <w:tblPrEx>
          <w:tblCellMar>
            <w:top w:w="0" w:type="dxa"/>
            <w:left w:w="0" w:type="dxa"/>
            <w:bottom w:w="0" w:type="dxa"/>
            <w:right w:w="0" w:type="dxa"/>
          </w:tblCellMar>
        </w:tblPrEx>
        <w:trPr>
          <w:wBefore w:w="0" w:type="auto"/>
          <w:tblCellSpacing w:w="0" w:type="dxa"/>
        </w:trPr>
        <w:tc>
          <w:tcPr>
            <w:tcW w:w="0" w:type="auto"/>
            <w:noWrap w:val="0"/>
            <w:vAlign w:val="center"/>
          </w:tcPr>
          <w:p w14:paraId="2CE3A372">
            <w:r>
              <w:rPr>
                <w:rStyle w:val="10"/>
                <w:rFonts w:hint="eastAsia"/>
              </w:rPr>
              <w:t>产品性能:</w:t>
            </w:r>
            <w:r>
              <w:rPr>
                <w:rFonts w:hint="eastAsia"/>
              </w:rPr>
              <w:br w:type="textWrapping"/>
            </w:r>
            <w:r>
              <w:rPr>
                <w:rStyle w:val="11"/>
                <w:rFonts w:hint="eastAsia"/>
              </w:rPr>
              <w:t>本品是一种植物生长调节剂，具有使植物细胞分裂和延长的双重作用，促进根系发达，增强光合作用。</w:t>
            </w:r>
          </w:p>
        </w:tc>
      </w:tr>
      <w:tr w14:paraId="2665F878">
        <w:tblPrEx>
          <w:tblCellMar>
            <w:top w:w="0" w:type="dxa"/>
            <w:left w:w="0" w:type="dxa"/>
            <w:bottom w:w="0" w:type="dxa"/>
            <w:right w:w="0" w:type="dxa"/>
          </w:tblCellMar>
        </w:tblPrEx>
        <w:trPr>
          <w:wBefore w:w="0" w:type="auto"/>
          <w:tblCellSpacing w:w="0" w:type="dxa"/>
        </w:trPr>
        <w:tc>
          <w:tcPr>
            <w:tcW w:w="0" w:type="auto"/>
            <w:noWrap w:val="0"/>
            <w:vAlign w:val="center"/>
          </w:tcPr>
          <w:p w14:paraId="31A4B94B">
            <w:r>
              <w:rPr>
                <w:rStyle w:val="10"/>
                <w:rFonts w:hint="eastAsia"/>
              </w:rPr>
              <w:t>注意事项：</w:t>
            </w:r>
            <w:r>
              <w:rPr>
                <w:rFonts w:hint="eastAsia"/>
              </w:rPr>
              <w:br w:type="textWrapping"/>
            </w:r>
            <w:r>
              <w:rPr>
                <w:rStyle w:val="11"/>
                <w:rFonts w:hint="eastAsia"/>
              </w:rPr>
              <w:t>1. 使用本品时应穿戴防护服和手套，避免吸入药液。施药期间不可吃东西和饮水。施药后应及时洗手和洗脸。2. 请按推荐时期及剂量施用，同时加强肥水管理。3. 禁止在河塘等水体中清洗施药器具。4. 用过的容器要妥善处理，不能乱丢乱放，也不能做它用。5. 孕妇及哺乳期妇女禁止接触本品。</w:t>
            </w:r>
          </w:p>
        </w:tc>
      </w:tr>
      <w:tr w14:paraId="12F703C4">
        <w:tblPrEx>
          <w:tblCellMar>
            <w:top w:w="0" w:type="dxa"/>
            <w:left w:w="0" w:type="dxa"/>
            <w:bottom w:w="0" w:type="dxa"/>
            <w:right w:w="0" w:type="dxa"/>
          </w:tblCellMar>
        </w:tblPrEx>
        <w:trPr>
          <w:wBefore w:w="0" w:type="auto"/>
          <w:tblCellSpacing w:w="0" w:type="dxa"/>
        </w:trPr>
        <w:tc>
          <w:tcPr>
            <w:tcW w:w="0" w:type="auto"/>
            <w:noWrap w:val="0"/>
            <w:vAlign w:val="center"/>
          </w:tcPr>
          <w:p w14:paraId="788C545B">
            <w:r>
              <w:rPr>
                <w:rStyle w:val="10"/>
                <w:rFonts w:hint="eastAsia"/>
              </w:rPr>
              <w:t>中毒急救措施：</w:t>
            </w:r>
            <w:r>
              <w:rPr>
                <w:rFonts w:hint="eastAsia"/>
              </w:rPr>
              <w:br w:type="textWrapping"/>
            </w:r>
            <w:r>
              <w:rPr>
                <w:rStyle w:val="11"/>
                <w:rFonts w:hint="eastAsia"/>
              </w:rPr>
              <w:t>不慎接触皮肤或溅入眼睛，应用大量清水冲洗；若误服请立即携此标签到医院诊治</w:t>
            </w:r>
          </w:p>
        </w:tc>
      </w:tr>
      <w:tr w14:paraId="6C5C0188">
        <w:tblPrEx>
          <w:tblCellMar>
            <w:top w:w="0" w:type="dxa"/>
            <w:left w:w="0" w:type="dxa"/>
            <w:bottom w:w="0" w:type="dxa"/>
            <w:right w:w="0" w:type="dxa"/>
          </w:tblCellMar>
        </w:tblPrEx>
        <w:trPr>
          <w:wBefore w:w="0" w:type="auto"/>
          <w:tblCellSpacing w:w="0" w:type="dxa"/>
        </w:trPr>
        <w:tc>
          <w:tcPr>
            <w:tcW w:w="0" w:type="auto"/>
            <w:noWrap w:val="0"/>
            <w:vAlign w:val="center"/>
          </w:tcPr>
          <w:p w14:paraId="0678654F">
            <w:r>
              <w:rPr>
                <w:rStyle w:val="10"/>
                <w:rFonts w:hint="eastAsia"/>
              </w:rPr>
              <w:t>储存和运输方法：</w:t>
            </w:r>
            <w:r>
              <w:rPr>
                <w:rFonts w:hint="eastAsia"/>
              </w:rPr>
              <w:br w:type="textWrapping"/>
            </w:r>
            <w:r>
              <w:rPr>
                <w:rStyle w:val="11"/>
                <w:rFonts w:hint="eastAsia"/>
              </w:rPr>
              <w:t>本品属易燃液体，应贮存在干燥、阴凉、通风、防雨处，远离火源或热源。置于儿童、无关人员触及不到之处，并加锁。勿与食品、饮料、饲料、粮食等同贮同运。</w:t>
            </w:r>
          </w:p>
        </w:tc>
      </w:tr>
      <w:tr w14:paraId="5724F121">
        <w:tblPrEx>
          <w:tblCellMar>
            <w:top w:w="0" w:type="dxa"/>
            <w:left w:w="0" w:type="dxa"/>
            <w:bottom w:w="0" w:type="dxa"/>
            <w:right w:w="0" w:type="dxa"/>
          </w:tblCellMar>
        </w:tblPrEx>
        <w:trPr>
          <w:wBefore w:w="0" w:type="auto"/>
          <w:tblCellSpacing w:w="0" w:type="dxa"/>
        </w:trPr>
        <w:tc>
          <w:tcPr>
            <w:tcW w:w="0" w:type="auto"/>
            <w:noWrap w:val="0"/>
            <w:vAlign w:val="center"/>
          </w:tcPr>
          <w:p w14:paraId="6576A342">
            <w:r>
              <w:rPr>
                <w:rStyle w:val="10"/>
                <w:rFonts w:hint="eastAsia"/>
              </w:rPr>
              <w:t>质量保证期：</w:t>
            </w:r>
            <w:r>
              <w:rPr>
                <w:rStyle w:val="11"/>
                <w:rFonts w:hint="eastAsia"/>
              </w:rPr>
              <w:t>2年</w:t>
            </w:r>
          </w:p>
        </w:tc>
      </w:tr>
      <w:tr w14:paraId="47B403BD">
        <w:tblPrEx>
          <w:tblCellMar>
            <w:top w:w="0" w:type="dxa"/>
            <w:left w:w="0" w:type="dxa"/>
            <w:bottom w:w="0" w:type="dxa"/>
            <w:right w:w="0" w:type="dxa"/>
          </w:tblCellMar>
        </w:tblPrEx>
        <w:trPr>
          <w:wBefore w:w="0" w:type="auto"/>
          <w:tblCellSpacing w:w="0" w:type="dxa"/>
        </w:trPr>
        <w:tc>
          <w:tcPr>
            <w:tcW w:w="0" w:type="auto"/>
            <w:noWrap w:val="0"/>
            <w:vAlign w:val="center"/>
          </w:tcPr>
          <w:p w14:paraId="3D0CBECC">
            <w:r>
              <w:rPr>
                <w:rStyle w:val="10"/>
                <w:rFonts w:hint="eastAsia"/>
              </w:rPr>
              <w:t>备注：</w:t>
            </w:r>
          </w:p>
        </w:tc>
      </w:tr>
    </w:tbl>
    <w:p w14:paraId="2B6FACA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84AC4F9">
        <w:tblPrEx>
          <w:tblCellMar>
            <w:top w:w="0" w:type="dxa"/>
            <w:left w:w="0" w:type="dxa"/>
            <w:bottom w:w="0" w:type="dxa"/>
            <w:right w:w="0" w:type="dxa"/>
          </w:tblCellMar>
        </w:tblPrEx>
        <w:trPr>
          <w:wBefore w:w="0" w:type="auto"/>
          <w:tblCellSpacing w:w="0" w:type="dxa"/>
        </w:trPr>
        <w:tc>
          <w:tcPr>
            <w:tcW w:w="0" w:type="auto"/>
            <w:noWrap w:val="0"/>
            <w:vAlign w:val="center"/>
          </w:tcPr>
          <w:p w14:paraId="224E44DD">
            <w:r>
              <w:rPr>
                <w:rStyle w:val="10"/>
                <w:rFonts w:hint="eastAsia"/>
              </w:rPr>
              <w:t>登记证号：</w:t>
            </w:r>
            <w:r>
              <w:rPr>
                <w:rFonts w:hint="eastAsia"/>
              </w:rPr>
              <w:t>PD20212239</w:t>
            </w:r>
          </w:p>
        </w:tc>
      </w:tr>
      <w:tr w14:paraId="3F7BFF16">
        <w:tblPrEx>
          <w:tblCellMar>
            <w:top w:w="0" w:type="dxa"/>
            <w:left w:w="0" w:type="dxa"/>
            <w:bottom w:w="0" w:type="dxa"/>
            <w:right w:w="0" w:type="dxa"/>
          </w:tblCellMar>
        </w:tblPrEx>
        <w:trPr>
          <w:wBefore w:w="0" w:type="auto"/>
          <w:tblCellSpacing w:w="0" w:type="dxa"/>
        </w:trPr>
        <w:tc>
          <w:tcPr>
            <w:tcW w:w="0" w:type="auto"/>
            <w:noWrap w:val="0"/>
            <w:vAlign w:val="center"/>
          </w:tcPr>
          <w:p w14:paraId="3BA46991">
            <w:r>
              <w:rPr>
                <w:rStyle w:val="10"/>
                <w:rFonts w:hint="eastAsia"/>
              </w:rPr>
              <w:t>登记证持有人：</w:t>
            </w:r>
            <w:r>
              <w:rPr>
                <w:rFonts w:hint="eastAsia"/>
              </w:rPr>
              <w:t>黑龙江省卫星生物科技有限公司</w:t>
            </w:r>
          </w:p>
        </w:tc>
      </w:tr>
      <w:tr w14:paraId="4580D27F">
        <w:tblPrEx>
          <w:tblCellMar>
            <w:top w:w="0" w:type="dxa"/>
            <w:left w:w="0" w:type="dxa"/>
            <w:bottom w:w="0" w:type="dxa"/>
            <w:right w:w="0" w:type="dxa"/>
          </w:tblCellMar>
        </w:tblPrEx>
        <w:trPr>
          <w:wBefore w:w="0" w:type="auto"/>
          <w:tblCellSpacing w:w="0" w:type="dxa"/>
        </w:trPr>
        <w:tc>
          <w:tcPr>
            <w:tcW w:w="0" w:type="auto"/>
            <w:noWrap w:val="0"/>
            <w:vAlign w:val="center"/>
          </w:tcPr>
          <w:p w14:paraId="44684C69">
            <w:r>
              <w:rPr>
                <w:rStyle w:val="10"/>
                <w:rFonts w:hint="eastAsia"/>
              </w:rPr>
              <w:t>农药名称：</w:t>
            </w:r>
            <w:r>
              <w:rPr>
                <w:rFonts w:hint="eastAsia"/>
              </w:rPr>
              <w:t>烟·硝·莠去津</w:t>
            </w:r>
          </w:p>
        </w:tc>
      </w:tr>
      <w:tr w14:paraId="41E3E061">
        <w:tblPrEx>
          <w:tblCellMar>
            <w:top w:w="0" w:type="dxa"/>
            <w:left w:w="0" w:type="dxa"/>
            <w:bottom w:w="0" w:type="dxa"/>
            <w:right w:w="0" w:type="dxa"/>
          </w:tblCellMar>
        </w:tblPrEx>
        <w:trPr>
          <w:wBefore w:w="0" w:type="auto"/>
          <w:tblCellSpacing w:w="0" w:type="dxa"/>
        </w:trPr>
        <w:tc>
          <w:tcPr>
            <w:tcW w:w="0" w:type="auto"/>
            <w:noWrap w:val="0"/>
            <w:vAlign w:val="center"/>
          </w:tcPr>
          <w:p w14:paraId="009E6298">
            <w:r>
              <w:rPr>
                <w:rStyle w:val="10"/>
                <w:rFonts w:hint="eastAsia"/>
              </w:rPr>
              <w:t>剂型：</w:t>
            </w:r>
            <w:r>
              <w:rPr>
                <w:rFonts w:hint="eastAsia"/>
              </w:rPr>
              <w:t>可分散油悬浮剂</w:t>
            </w:r>
          </w:p>
        </w:tc>
      </w:tr>
      <w:tr w14:paraId="3D9B8070">
        <w:tblPrEx>
          <w:tblCellMar>
            <w:top w:w="0" w:type="dxa"/>
            <w:left w:w="0" w:type="dxa"/>
            <w:bottom w:w="0" w:type="dxa"/>
            <w:right w:w="0" w:type="dxa"/>
          </w:tblCellMar>
        </w:tblPrEx>
        <w:trPr>
          <w:wBefore w:w="0" w:type="auto"/>
          <w:tblCellSpacing w:w="0" w:type="dxa"/>
        </w:trPr>
        <w:tc>
          <w:tcPr>
            <w:tcW w:w="0" w:type="auto"/>
            <w:noWrap w:val="0"/>
            <w:vAlign w:val="center"/>
          </w:tcPr>
          <w:p w14:paraId="7E867920">
            <w:r>
              <w:rPr>
                <w:rStyle w:val="10"/>
                <w:rFonts w:hint="eastAsia"/>
              </w:rPr>
              <w:t>毒性及其标识：</w:t>
            </w:r>
            <w:r>
              <w:rPr>
                <w:rFonts w:hint="eastAsia"/>
              </w:rPr>
              <w:t xml:space="preserve"> </w:t>
            </w:r>
            <w:r>
              <w:rPr>
                <w:lang/>
              </w:rPr>
              <w:drawing>
                <wp:inline distT="0" distB="0" distL="114300" distR="114300">
                  <wp:extent cx="476250" cy="323850"/>
                  <wp:effectExtent l="0" t="0" r="0" b="0"/>
                  <wp:docPr id="297" name="图片 29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8C26F00">
        <w:tblPrEx>
          <w:tblCellMar>
            <w:top w:w="0" w:type="dxa"/>
            <w:left w:w="0" w:type="dxa"/>
            <w:bottom w:w="0" w:type="dxa"/>
            <w:right w:w="0" w:type="dxa"/>
          </w:tblCellMar>
        </w:tblPrEx>
        <w:trPr>
          <w:wBefore w:w="0" w:type="auto"/>
          <w:tblCellSpacing w:w="0" w:type="dxa"/>
        </w:trPr>
        <w:tc>
          <w:tcPr>
            <w:tcW w:w="0" w:type="auto"/>
            <w:noWrap w:val="0"/>
            <w:vAlign w:val="center"/>
          </w:tcPr>
          <w:p w14:paraId="3A8EEF79">
            <w:r>
              <w:rPr>
                <w:rStyle w:val="10"/>
                <w:rFonts w:hint="eastAsia"/>
              </w:rPr>
              <w:t>总有效成分含量：</w:t>
            </w:r>
            <w:r>
              <w:rPr>
                <w:rFonts w:hint="eastAsia"/>
              </w:rPr>
              <w:t>32%</w:t>
            </w:r>
          </w:p>
        </w:tc>
      </w:tr>
      <w:tr w14:paraId="28249CAD">
        <w:tblPrEx>
          <w:tblCellMar>
            <w:top w:w="0" w:type="dxa"/>
            <w:left w:w="0" w:type="dxa"/>
            <w:bottom w:w="0" w:type="dxa"/>
            <w:right w:w="0" w:type="dxa"/>
          </w:tblCellMar>
        </w:tblPrEx>
        <w:trPr>
          <w:wBefore w:w="0" w:type="auto"/>
          <w:tblCellSpacing w:w="0" w:type="dxa"/>
        </w:trPr>
        <w:tc>
          <w:tcPr>
            <w:tcW w:w="0" w:type="auto"/>
            <w:noWrap w:val="0"/>
            <w:vAlign w:val="center"/>
          </w:tcPr>
          <w:p w14:paraId="75289A25">
            <w:r>
              <w:rPr>
                <w:rFonts w:hint="eastAsia"/>
              </w:rPr>
              <w:t xml:space="preserve">有效成分及其含量： </w:t>
            </w:r>
          </w:p>
          <w:p w14:paraId="231B61B2">
            <w:r>
              <w:rPr>
                <w:rFonts w:hint="eastAsia"/>
              </w:rPr>
              <w:t xml:space="preserve">    烟嘧磺隆4%    硝磺草酮8%    莠去津20%    </w:t>
            </w:r>
          </w:p>
        </w:tc>
      </w:tr>
      <w:tr w14:paraId="0FF87D65">
        <w:tblPrEx>
          <w:tblCellMar>
            <w:top w:w="0" w:type="dxa"/>
            <w:left w:w="0" w:type="dxa"/>
            <w:bottom w:w="0" w:type="dxa"/>
            <w:right w:w="0" w:type="dxa"/>
          </w:tblCellMar>
        </w:tblPrEx>
        <w:trPr>
          <w:wBefore w:w="0" w:type="auto"/>
          <w:tblCellSpacing w:w="0" w:type="dxa"/>
        </w:trPr>
        <w:tc>
          <w:tcPr>
            <w:tcW w:w="0" w:type="auto"/>
            <w:noWrap w:val="0"/>
            <w:vAlign w:val="center"/>
          </w:tcPr>
          <w:p w14:paraId="719BE8A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A4C7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AB880D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BBC4BF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D06C7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F830EFF">
                  <w:r>
                    <w:rPr>
                      <w:rStyle w:val="11"/>
                      <w:rFonts w:hint="eastAsia"/>
                    </w:rPr>
                    <w:t>施用方式</w:t>
                  </w:r>
                </w:p>
              </w:tc>
            </w:tr>
            <w:tr w14:paraId="288483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85F4D1">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7EFE5A">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8B35E3">
                  <w:r>
                    <w:rPr>
                      <w:rStyle w:val="11"/>
                      <w:rFonts w:hint="eastAsia"/>
                    </w:rPr>
                    <w:t>80-100克/亩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CCC85A">
                  <w:r>
                    <w:rPr>
                      <w:rStyle w:val="11"/>
                      <w:rFonts w:hint="eastAsia"/>
                    </w:rPr>
                    <w:t>茎叶喷雾</w:t>
                  </w:r>
                </w:p>
              </w:tc>
            </w:tr>
          </w:tbl>
          <w:p w14:paraId="3D2786E3">
            <w:pPr>
              <w:rPr>
                <w:rFonts w:ascii="Times New Roman" w:hAnsi="Times New Roman" w:cs="Times New Roman"/>
                <w:sz w:val="20"/>
                <w:szCs w:val="20"/>
              </w:rPr>
            </w:pPr>
          </w:p>
        </w:tc>
      </w:tr>
      <w:tr w14:paraId="52F506CE">
        <w:tblPrEx>
          <w:tblCellMar>
            <w:top w:w="0" w:type="dxa"/>
            <w:left w:w="0" w:type="dxa"/>
            <w:bottom w:w="0" w:type="dxa"/>
            <w:right w:w="0" w:type="dxa"/>
          </w:tblCellMar>
        </w:tblPrEx>
        <w:trPr>
          <w:wBefore w:w="0" w:type="auto"/>
          <w:tblCellSpacing w:w="0" w:type="dxa"/>
        </w:trPr>
        <w:tc>
          <w:tcPr>
            <w:tcW w:w="0" w:type="auto"/>
            <w:noWrap w:val="0"/>
            <w:vAlign w:val="center"/>
          </w:tcPr>
          <w:p w14:paraId="08506543">
            <w:r>
              <w:rPr>
                <w:rStyle w:val="10"/>
                <w:rFonts w:hint="eastAsia"/>
              </w:rPr>
              <w:t>使用技术要求:</w:t>
            </w:r>
            <w:r>
              <w:rPr>
                <w:rFonts w:hint="eastAsia"/>
              </w:rPr>
              <w:br w:type="textWrapping"/>
            </w:r>
            <w:r>
              <w:rPr>
                <w:rStyle w:val="11"/>
                <w:rFonts w:hint="eastAsia"/>
              </w:rPr>
              <w:t>1应于玉米3-5叶期、杂草2-5叶期茎叶喷雾施药一次 2大风天或预计1小时内降雨，请勿施药。 3每季最多使用1次。</w:t>
            </w:r>
          </w:p>
        </w:tc>
      </w:tr>
      <w:tr w14:paraId="627E3104">
        <w:tblPrEx>
          <w:tblCellMar>
            <w:top w:w="0" w:type="dxa"/>
            <w:left w:w="0" w:type="dxa"/>
            <w:bottom w:w="0" w:type="dxa"/>
            <w:right w:w="0" w:type="dxa"/>
          </w:tblCellMar>
        </w:tblPrEx>
        <w:trPr>
          <w:wBefore w:w="0" w:type="auto"/>
          <w:tblCellSpacing w:w="0" w:type="dxa"/>
        </w:trPr>
        <w:tc>
          <w:tcPr>
            <w:tcW w:w="0" w:type="auto"/>
            <w:noWrap w:val="0"/>
            <w:vAlign w:val="center"/>
          </w:tcPr>
          <w:p w14:paraId="3DBC2AEB">
            <w:r>
              <w:rPr>
                <w:rStyle w:val="10"/>
                <w:rFonts w:hint="eastAsia"/>
              </w:rPr>
              <w:t>产品性能:</w:t>
            </w:r>
            <w:r>
              <w:rPr>
                <w:rFonts w:hint="eastAsia"/>
              </w:rPr>
              <w:br w:type="textWrapping"/>
            </w:r>
            <w:r>
              <w:rPr>
                <w:rStyle w:val="11"/>
                <w:rFonts w:hint="eastAsia"/>
              </w:rPr>
              <w:t>烟嘧磺隆为支链氨基酸合成抑制剂，抑制必需氨基酸缬氨酸、异亮氨酸的合成，使细胞分裂和植物生长受阻。硝磺草酮为选择性除草剂，p-羟苯基丙酮酸双氧酶抑制剂，最终抑制类胡萝卜素合成。莠去津属光合作用电子传递抑制剂，作用于光合作用系统Ⅱ位受体位点。两者混配后可用于防除玉米田一年生杂草。</w:t>
            </w:r>
          </w:p>
        </w:tc>
      </w:tr>
      <w:tr w14:paraId="207D4FDA">
        <w:tblPrEx>
          <w:tblCellMar>
            <w:top w:w="0" w:type="dxa"/>
            <w:left w:w="0" w:type="dxa"/>
            <w:bottom w:w="0" w:type="dxa"/>
            <w:right w:w="0" w:type="dxa"/>
          </w:tblCellMar>
        </w:tblPrEx>
        <w:trPr>
          <w:wBefore w:w="0" w:type="auto"/>
          <w:tblCellSpacing w:w="0" w:type="dxa"/>
        </w:trPr>
        <w:tc>
          <w:tcPr>
            <w:tcW w:w="0" w:type="auto"/>
            <w:noWrap w:val="0"/>
            <w:vAlign w:val="center"/>
          </w:tcPr>
          <w:p w14:paraId="135F578D">
            <w:r>
              <w:rPr>
                <w:rStyle w:val="10"/>
                <w:rFonts w:hint="eastAsia"/>
              </w:rPr>
              <w:t>注意事项：</w:t>
            </w:r>
            <w:r>
              <w:rPr>
                <w:rFonts w:hint="eastAsia"/>
              </w:rPr>
              <w:br w:type="textWrapping"/>
            </w:r>
            <w:r>
              <w:rPr>
                <w:rStyle w:val="11"/>
                <w:rFonts w:hint="eastAsia"/>
              </w:rPr>
              <w:t>1）使用本品时避免皮肤接触及口鼻吸入，对眼睛和皮肤有刺激性，使用时避免接触眼睛和皮肤，穿戴长衣、长裤、帽子、口罩、手套等安全防护措施。；使用中不可吸烟、饮水及吃东西，使用后及时用大量清水和肥皂清洗手、脸等暴露部位皮肤并更换衣物。2）对水生生物有毒，远离水产养殖区、河塘等水体施药，禁止在河塘等水体中清洗施药器具；清洗施药器具的废水不能排入河流、池塘等水源；地下水、饮用水水源地禁用。3）蚕室及桑园附近禁用。4）用过的容器应妥善处理，不可作他用，也不可随意丢弃。5）禁止儿童、孕妇及哺乳期妇女接触。过敏者禁用，使用中有任何不良反应请及时就医。</w:t>
            </w:r>
          </w:p>
        </w:tc>
      </w:tr>
      <w:tr w14:paraId="435FEE36">
        <w:tblPrEx>
          <w:tblCellMar>
            <w:top w:w="0" w:type="dxa"/>
            <w:left w:w="0" w:type="dxa"/>
            <w:bottom w:w="0" w:type="dxa"/>
            <w:right w:w="0" w:type="dxa"/>
          </w:tblCellMar>
        </w:tblPrEx>
        <w:trPr>
          <w:wBefore w:w="0" w:type="auto"/>
          <w:tblCellSpacing w:w="0" w:type="dxa"/>
        </w:trPr>
        <w:tc>
          <w:tcPr>
            <w:tcW w:w="0" w:type="auto"/>
            <w:noWrap w:val="0"/>
            <w:vAlign w:val="center"/>
          </w:tcPr>
          <w:p w14:paraId="7D8B7516">
            <w:r>
              <w:rPr>
                <w:rStyle w:val="10"/>
                <w:rFonts w:hint="eastAsia"/>
              </w:rPr>
              <w:t>中毒急救措施：</w:t>
            </w:r>
            <w:r>
              <w:rPr>
                <w:rFonts w:hint="eastAsia"/>
              </w:rPr>
              <w:br w:type="textWrapping"/>
            </w:r>
            <w:r>
              <w:rPr>
                <w:rStyle w:val="11"/>
                <w:rFonts w:hint="eastAsia"/>
              </w:rPr>
              <w:t xml:space="preserve">中毒症状：对眼睛有刺激性。 急救措施：使用中或使用后如果感觉不适，应立即停止工作，采取急救措施，并携带标签送医院就诊。 皮肤接触：立即脱去污染的衣物，用软布去除沾染农药，用大量清水和肥皂冲洗。 眼睛溅入：立即用流动清水冲洗不少于15分钟。 吸入：立即离开施药现场，转移到空气清新处。 误食：立即停止服用，用清水充分漱口后，携带农药标签到医院就诊。无特效解毒剂，对症治疗。 </w:t>
            </w:r>
          </w:p>
        </w:tc>
      </w:tr>
      <w:tr w14:paraId="1BF76E32">
        <w:tblPrEx>
          <w:tblCellMar>
            <w:top w:w="0" w:type="dxa"/>
            <w:left w:w="0" w:type="dxa"/>
            <w:bottom w:w="0" w:type="dxa"/>
            <w:right w:w="0" w:type="dxa"/>
          </w:tblCellMar>
        </w:tblPrEx>
        <w:trPr>
          <w:wBefore w:w="0" w:type="auto"/>
          <w:tblCellSpacing w:w="0" w:type="dxa"/>
        </w:trPr>
        <w:tc>
          <w:tcPr>
            <w:tcW w:w="0" w:type="auto"/>
            <w:noWrap w:val="0"/>
            <w:vAlign w:val="center"/>
          </w:tcPr>
          <w:p w14:paraId="3BE39EF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本品应贮存在干燥、阴凉、通风、防雨处，远离火源或热源。置于儿童、无关人员及动物接触不到的地方，并加锁。勿与食品、种子、粮食、饲料等同贮同运。</w:t>
            </w:r>
          </w:p>
        </w:tc>
      </w:tr>
      <w:tr w14:paraId="72863742">
        <w:tblPrEx>
          <w:tblCellMar>
            <w:top w:w="0" w:type="dxa"/>
            <w:left w:w="0" w:type="dxa"/>
            <w:bottom w:w="0" w:type="dxa"/>
            <w:right w:w="0" w:type="dxa"/>
          </w:tblCellMar>
        </w:tblPrEx>
        <w:trPr>
          <w:wBefore w:w="0" w:type="auto"/>
          <w:tblCellSpacing w:w="0" w:type="dxa"/>
        </w:trPr>
        <w:tc>
          <w:tcPr>
            <w:tcW w:w="0" w:type="auto"/>
            <w:noWrap w:val="0"/>
            <w:vAlign w:val="center"/>
          </w:tcPr>
          <w:p w14:paraId="7A7B3006">
            <w:r>
              <w:rPr>
                <w:rStyle w:val="10"/>
                <w:rFonts w:hint="eastAsia"/>
              </w:rPr>
              <w:t>质量保证期：</w:t>
            </w:r>
            <w:r>
              <w:rPr>
                <w:rStyle w:val="11"/>
                <w:rFonts w:hint="eastAsia"/>
              </w:rPr>
              <w:t>2年</w:t>
            </w:r>
          </w:p>
        </w:tc>
      </w:tr>
      <w:tr w14:paraId="31D4BCF9">
        <w:tblPrEx>
          <w:tblCellMar>
            <w:top w:w="0" w:type="dxa"/>
            <w:left w:w="0" w:type="dxa"/>
            <w:bottom w:w="0" w:type="dxa"/>
            <w:right w:w="0" w:type="dxa"/>
          </w:tblCellMar>
        </w:tblPrEx>
        <w:trPr>
          <w:wBefore w:w="0" w:type="auto"/>
          <w:tblCellSpacing w:w="0" w:type="dxa"/>
        </w:trPr>
        <w:tc>
          <w:tcPr>
            <w:tcW w:w="0" w:type="auto"/>
            <w:noWrap w:val="0"/>
            <w:vAlign w:val="center"/>
          </w:tcPr>
          <w:p w14:paraId="24E5CD11">
            <w:r>
              <w:rPr>
                <w:rStyle w:val="10"/>
                <w:rFonts w:hint="eastAsia"/>
              </w:rPr>
              <w:t>备注：</w:t>
            </w:r>
          </w:p>
        </w:tc>
      </w:tr>
    </w:tbl>
    <w:p w14:paraId="797D3A3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5CD8354">
        <w:tblPrEx>
          <w:tblCellMar>
            <w:top w:w="0" w:type="dxa"/>
            <w:left w:w="0" w:type="dxa"/>
            <w:bottom w:w="0" w:type="dxa"/>
            <w:right w:w="0" w:type="dxa"/>
          </w:tblCellMar>
        </w:tblPrEx>
        <w:trPr>
          <w:wBefore w:w="0" w:type="auto"/>
          <w:tblCellSpacing w:w="0" w:type="dxa"/>
        </w:trPr>
        <w:tc>
          <w:tcPr>
            <w:tcW w:w="0" w:type="auto"/>
            <w:noWrap w:val="0"/>
            <w:vAlign w:val="center"/>
          </w:tcPr>
          <w:p w14:paraId="6734CB57">
            <w:r>
              <w:rPr>
                <w:rStyle w:val="10"/>
                <w:rFonts w:hint="eastAsia"/>
              </w:rPr>
              <w:t>登记证号：</w:t>
            </w:r>
            <w:r>
              <w:rPr>
                <w:rFonts w:hint="eastAsia"/>
              </w:rPr>
              <w:t>WP20210258</w:t>
            </w:r>
          </w:p>
        </w:tc>
      </w:tr>
      <w:tr w14:paraId="0293C8D3">
        <w:tblPrEx>
          <w:tblCellMar>
            <w:top w:w="0" w:type="dxa"/>
            <w:left w:w="0" w:type="dxa"/>
            <w:bottom w:w="0" w:type="dxa"/>
            <w:right w:w="0" w:type="dxa"/>
          </w:tblCellMar>
        </w:tblPrEx>
        <w:trPr>
          <w:wBefore w:w="0" w:type="auto"/>
          <w:tblCellSpacing w:w="0" w:type="dxa"/>
        </w:trPr>
        <w:tc>
          <w:tcPr>
            <w:tcW w:w="0" w:type="auto"/>
            <w:noWrap w:val="0"/>
            <w:vAlign w:val="center"/>
          </w:tcPr>
          <w:p w14:paraId="35BF3315">
            <w:r>
              <w:rPr>
                <w:rStyle w:val="10"/>
                <w:rFonts w:hint="eastAsia"/>
              </w:rPr>
              <w:t>登记证持有人：</w:t>
            </w:r>
            <w:r>
              <w:rPr>
                <w:rFonts w:hint="eastAsia"/>
              </w:rPr>
              <w:t>江苏艾津作物科技集团有限公司</w:t>
            </w:r>
          </w:p>
        </w:tc>
      </w:tr>
      <w:tr w14:paraId="72E5759E">
        <w:tblPrEx>
          <w:tblCellMar>
            <w:top w:w="0" w:type="dxa"/>
            <w:left w:w="0" w:type="dxa"/>
            <w:bottom w:w="0" w:type="dxa"/>
            <w:right w:w="0" w:type="dxa"/>
          </w:tblCellMar>
        </w:tblPrEx>
        <w:trPr>
          <w:wBefore w:w="0" w:type="auto"/>
          <w:tblCellSpacing w:w="0" w:type="dxa"/>
        </w:trPr>
        <w:tc>
          <w:tcPr>
            <w:tcW w:w="0" w:type="auto"/>
            <w:noWrap w:val="0"/>
            <w:vAlign w:val="center"/>
          </w:tcPr>
          <w:p w14:paraId="53F2E458">
            <w:r>
              <w:rPr>
                <w:rStyle w:val="10"/>
                <w:rFonts w:hint="eastAsia"/>
              </w:rPr>
              <w:t>农药名称：</w:t>
            </w:r>
            <w:r>
              <w:rPr>
                <w:rFonts w:hint="eastAsia"/>
              </w:rPr>
              <w:t>氯菊·四氟醚</w:t>
            </w:r>
          </w:p>
        </w:tc>
      </w:tr>
      <w:tr w14:paraId="5074329E">
        <w:tblPrEx>
          <w:tblCellMar>
            <w:top w:w="0" w:type="dxa"/>
            <w:left w:w="0" w:type="dxa"/>
            <w:bottom w:w="0" w:type="dxa"/>
            <w:right w:w="0" w:type="dxa"/>
          </w:tblCellMar>
        </w:tblPrEx>
        <w:trPr>
          <w:wBefore w:w="0" w:type="auto"/>
          <w:tblCellSpacing w:w="0" w:type="dxa"/>
        </w:trPr>
        <w:tc>
          <w:tcPr>
            <w:tcW w:w="0" w:type="auto"/>
            <w:noWrap w:val="0"/>
            <w:vAlign w:val="center"/>
          </w:tcPr>
          <w:p w14:paraId="09745895">
            <w:r>
              <w:rPr>
                <w:rStyle w:val="10"/>
                <w:rFonts w:hint="eastAsia"/>
              </w:rPr>
              <w:t>剂型：</w:t>
            </w:r>
            <w:r>
              <w:rPr>
                <w:rFonts w:hint="eastAsia"/>
              </w:rPr>
              <w:t>水乳剂</w:t>
            </w:r>
          </w:p>
        </w:tc>
      </w:tr>
      <w:tr w14:paraId="4AC79AD7">
        <w:tblPrEx>
          <w:tblCellMar>
            <w:top w:w="0" w:type="dxa"/>
            <w:left w:w="0" w:type="dxa"/>
            <w:bottom w:w="0" w:type="dxa"/>
            <w:right w:w="0" w:type="dxa"/>
          </w:tblCellMar>
        </w:tblPrEx>
        <w:trPr>
          <w:wBefore w:w="0" w:type="auto"/>
          <w:tblCellSpacing w:w="0" w:type="dxa"/>
        </w:trPr>
        <w:tc>
          <w:tcPr>
            <w:tcW w:w="0" w:type="auto"/>
            <w:noWrap w:val="0"/>
            <w:vAlign w:val="center"/>
          </w:tcPr>
          <w:p w14:paraId="5634F02E">
            <w:r>
              <w:rPr>
                <w:rStyle w:val="10"/>
                <w:rFonts w:hint="eastAsia"/>
              </w:rPr>
              <w:t>毒性及其标识：</w:t>
            </w:r>
            <w:r>
              <w:rPr>
                <w:rFonts w:hint="eastAsia"/>
              </w:rPr>
              <w:t xml:space="preserve"> </w:t>
            </w:r>
            <w:r>
              <w:rPr>
                <w:lang/>
              </w:rPr>
              <w:drawing>
                <wp:inline distT="0" distB="0" distL="114300" distR="114300">
                  <wp:extent cx="476250" cy="323850"/>
                  <wp:effectExtent l="0" t="0" r="0" b="0"/>
                  <wp:docPr id="298" name="图片 29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FEDF436">
        <w:tblPrEx>
          <w:tblCellMar>
            <w:top w:w="0" w:type="dxa"/>
            <w:left w:w="0" w:type="dxa"/>
            <w:bottom w:w="0" w:type="dxa"/>
            <w:right w:w="0" w:type="dxa"/>
          </w:tblCellMar>
        </w:tblPrEx>
        <w:trPr>
          <w:wBefore w:w="0" w:type="auto"/>
          <w:tblCellSpacing w:w="0" w:type="dxa"/>
        </w:trPr>
        <w:tc>
          <w:tcPr>
            <w:tcW w:w="0" w:type="auto"/>
            <w:noWrap w:val="0"/>
            <w:vAlign w:val="center"/>
          </w:tcPr>
          <w:p w14:paraId="50B2BA69">
            <w:r>
              <w:rPr>
                <w:rStyle w:val="10"/>
                <w:rFonts w:hint="eastAsia"/>
              </w:rPr>
              <w:t>总有效成分含量：</w:t>
            </w:r>
            <w:r>
              <w:rPr>
                <w:rFonts w:hint="eastAsia"/>
              </w:rPr>
              <w:t>5%</w:t>
            </w:r>
          </w:p>
        </w:tc>
      </w:tr>
      <w:tr w14:paraId="0BBEBED1">
        <w:tblPrEx>
          <w:tblCellMar>
            <w:top w:w="0" w:type="dxa"/>
            <w:left w:w="0" w:type="dxa"/>
            <w:bottom w:w="0" w:type="dxa"/>
            <w:right w:w="0" w:type="dxa"/>
          </w:tblCellMar>
        </w:tblPrEx>
        <w:trPr>
          <w:wBefore w:w="0" w:type="auto"/>
          <w:tblCellSpacing w:w="0" w:type="dxa"/>
        </w:trPr>
        <w:tc>
          <w:tcPr>
            <w:tcW w:w="0" w:type="auto"/>
            <w:noWrap w:val="0"/>
            <w:vAlign w:val="center"/>
          </w:tcPr>
          <w:p w14:paraId="1CE74460">
            <w:r>
              <w:rPr>
                <w:rFonts w:hint="eastAsia"/>
              </w:rPr>
              <w:t xml:space="preserve">有效成分及其含量： </w:t>
            </w:r>
          </w:p>
          <w:p w14:paraId="1B7CD3F5">
            <w:r>
              <w:rPr>
                <w:rFonts w:hint="eastAsia"/>
              </w:rPr>
              <w:t xml:space="preserve">    氯菊酯4%    四氟醚菊酯1%    </w:t>
            </w:r>
          </w:p>
        </w:tc>
      </w:tr>
      <w:tr w14:paraId="2FAD64AE">
        <w:tblPrEx>
          <w:tblCellMar>
            <w:top w:w="0" w:type="dxa"/>
            <w:left w:w="0" w:type="dxa"/>
            <w:bottom w:w="0" w:type="dxa"/>
            <w:right w:w="0" w:type="dxa"/>
          </w:tblCellMar>
        </w:tblPrEx>
        <w:trPr>
          <w:wBefore w:w="0" w:type="auto"/>
          <w:tblCellSpacing w:w="0" w:type="dxa"/>
        </w:trPr>
        <w:tc>
          <w:tcPr>
            <w:tcW w:w="0" w:type="auto"/>
            <w:noWrap w:val="0"/>
            <w:vAlign w:val="center"/>
          </w:tcPr>
          <w:p w14:paraId="5D6615B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3FBC8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1338F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6E1DF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954910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B72BA3A">
                  <w:r>
                    <w:rPr>
                      <w:rStyle w:val="11"/>
                      <w:rFonts w:hint="eastAsia"/>
                    </w:rPr>
                    <w:t>施用方式</w:t>
                  </w:r>
                </w:p>
              </w:tc>
            </w:tr>
            <w:tr w14:paraId="6C7A02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D6D9820">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095E55">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A14AC5">
                  <w:r>
                    <w:rPr>
                      <w:rStyle w:val="11"/>
                      <w:rFonts w:hint="eastAsia"/>
                    </w:rPr>
                    <w:t>0.1毫升/平方米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B8EA6F">
                  <w:r>
                    <w:rPr>
                      <w:rStyle w:val="11"/>
                      <w:rFonts w:hint="eastAsia"/>
                    </w:rPr>
                    <w:t>超低容量喷雾</w:t>
                  </w:r>
                </w:p>
              </w:tc>
            </w:tr>
            <w:tr w14:paraId="6825D7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6EB269E">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3E077D">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DF4CEB">
                  <w:r>
                    <w:rPr>
                      <w:rStyle w:val="11"/>
                      <w:rFonts w:hint="eastAsia"/>
                    </w:rPr>
                    <w:t>0.1毫升/平方米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371181">
                  <w:r>
                    <w:rPr>
                      <w:rStyle w:val="11"/>
                      <w:rFonts w:hint="eastAsia"/>
                    </w:rPr>
                    <w:t>超低容量喷雾</w:t>
                  </w:r>
                </w:p>
              </w:tc>
            </w:tr>
          </w:tbl>
          <w:p w14:paraId="7530A7EA">
            <w:pPr>
              <w:rPr>
                <w:rFonts w:ascii="Times New Roman" w:hAnsi="Times New Roman" w:cs="Times New Roman"/>
                <w:sz w:val="20"/>
                <w:szCs w:val="20"/>
              </w:rPr>
            </w:pPr>
          </w:p>
        </w:tc>
      </w:tr>
      <w:tr w14:paraId="047348FD">
        <w:tblPrEx>
          <w:tblCellMar>
            <w:top w:w="0" w:type="dxa"/>
            <w:left w:w="0" w:type="dxa"/>
            <w:bottom w:w="0" w:type="dxa"/>
            <w:right w:w="0" w:type="dxa"/>
          </w:tblCellMar>
        </w:tblPrEx>
        <w:trPr>
          <w:wBefore w:w="0" w:type="auto"/>
          <w:tblCellSpacing w:w="0" w:type="dxa"/>
        </w:trPr>
        <w:tc>
          <w:tcPr>
            <w:tcW w:w="0" w:type="auto"/>
            <w:noWrap w:val="0"/>
            <w:vAlign w:val="center"/>
          </w:tcPr>
          <w:p w14:paraId="02E92EC9">
            <w:r>
              <w:rPr>
                <w:rStyle w:val="10"/>
                <w:rFonts w:hint="eastAsia"/>
              </w:rPr>
              <w:t>使用技术要求:</w:t>
            </w:r>
            <w:r>
              <w:rPr>
                <w:rFonts w:hint="eastAsia"/>
              </w:rPr>
              <w:br w:type="textWrapping"/>
            </w:r>
            <w:r>
              <w:rPr>
                <w:rStyle w:val="11"/>
                <w:rFonts w:hint="eastAsia"/>
              </w:rPr>
              <w:t>本品兑水稀释100倍进行超低量喷雾。</w:t>
            </w:r>
          </w:p>
        </w:tc>
      </w:tr>
      <w:tr w14:paraId="3F5A8288">
        <w:tblPrEx>
          <w:tblCellMar>
            <w:top w:w="0" w:type="dxa"/>
            <w:left w:w="0" w:type="dxa"/>
            <w:bottom w:w="0" w:type="dxa"/>
            <w:right w:w="0" w:type="dxa"/>
          </w:tblCellMar>
        </w:tblPrEx>
        <w:trPr>
          <w:wBefore w:w="0" w:type="auto"/>
          <w:tblCellSpacing w:w="0" w:type="dxa"/>
        </w:trPr>
        <w:tc>
          <w:tcPr>
            <w:tcW w:w="0" w:type="auto"/>
            <w:noWrap w:val="0"/>
            <w:vAlign w:val="center"/>
          </w:tcPr>
          <w:p w14:paraId="1A380A1D">
            <w:r>
              <w:rPr>
                <w:rStyle w:val="10"/>
                <w:rFonts w:hint="eastAsia"/>
              </w:rPr>
              <w:t>产品性能:</w:t>
            </w:r>
            <w:r>
              <w:rPr>
                <w:rFonts w:hint="eastAsia"/>
              </w:rPr>
              <w:br w:type="textWrapping"/>
            </w:r>
            <w:r>
              <w:rPr>
                <w:rStyle w:val="11"/>
                <w:rFonts w:hint="eastAsia"/>
              </w:rPr>
              <w:t>本品是一种拟除虫菊酯类卫生杀虫剂，用于室外环境的超低量喷雾，能有效防治蚊、蝇害虫。</w:t>
            </w:r>
          </w:p>
        </w:tc>
      </w:tr>
      <w:tr w14:paraId="2A02B871">
        <w:tblPrEx>
          <w:tblCellMar>
            <w:top w:w="0" w:type="dxa"/>
            <w:left w:w="0" w:type="dxa"/>
            <w:bottom w:w="0" w:type="dxa"/>
            <w:right w:w="0" w:type="dxa"/>
          </w:tblCellMar>
        </w:tblPrEx>
        <w:trPr>
          <w:wBefore w:w="0" w:type="auto"/>
          <w:tblCellSpacing w:w="0" w:type="dxa"/>
        </w:trPr>
        <w:tc>
          <w:tcPr>
            <w:tcW w:w="0" w:type="auto"/>
            <w:noWrap w:val="0"/>
            <w:vAlign w:val="center"/>
          </w:tcPr>
          <w:p w14:paraId="1839A181">
            <w:r>
              <w:rPr>
                <w:rStyle w:val="10"/>
                <w:rFonts w:hint="eastAsia"/>
              </w:rPr>
              <w:t>注意事项：</w:t>
            </w:r>
            <w:r>
              <w:rPr>
                <w:rFonts w:hint="eastAsia"/>
              </w:rPr>
              <w:br w:type="textWrapping"/>
            </w:r>
            <w:r>
              <w:rPr>
                <w:rStyle w:val="11"/>
                <w:rFonts w:hint="eastAsia"/>
              </w:rPr>
              <w:t>1. 使用时穿戴长衣、长裤、帽子、口罩、手套等安全防护措施。避免药雾吸入。施药期间不可吃东西和饮水。喷药后及时脱下衣服，用肥皂水冲洗裸露部位皮肤。 2.本品对蜜蜂、鱼类等水生生物、家蚕有毒，施药期间应密切关注对周围蜂群的影响，（周围）开花植物花期、蚕室和桑园附近禁用。远离水产养殖区、河塘等水体附近施药，禁止在河塘等水体中清洗施药器具。鸟类保护区禁用。 3.不要与碱性物质混用。切勿向人体、食物使用。 4.置于儿童接触不到的地方，过敏者禁用，使用中有任何不良反应请及时就医。 5.孕妇及哺乳期妇女避免接触本品。</w:t>
            </w:r>
          </w:p>
        </w:tc>
      </w:tr>
      <w:tr w14:paraId="2E10BCA2">
        <w:tblPrEx>
          <w:tblCellMar>
            <w:top w:w="0" w:type="dxa"/>
            <w:left w:w="0" w:type="dxa"/>
            <w:bottom w:w="0" w:type="dxa"/>
            <w:right w:w="0" w:type="dxa"/>
          </w:tblCellMar>
        </w:tblPrEx>
        <w:trPr>
          <w:wBefore w:w="0" w:type="auto"/>
          <w:tblCellSpacing w:w="0" w:type="dxa"/>
        </w:trPr>
        <w:tc>
          <w:tcPr>
            <w:tcW w:w="0" w:type="auto"/>
            <w:noWrap w:val="0"/>
            <w:vAlign w:val="center"/>
          </w:tcPr>
          <w:p w14:paraId="7A0396FD">
            <w:r>
              <w:rPr>
                <w:rStyle w:val="10"/>
                <w:rFonts w:hint="eastAsia"/>
              </w:rPr>
              <w:t>中毒急救措施：</w:t>
            </w:r>
            <w:r>
              <w:rPr>
                <w:rFonts w:hint="eastAsia"/>
              </w:rPr>
              <w:br w:type="textWrapping"/>
            </w:r>
            <w:r>
              <w:rPr>
                <w:rStyle w:val="11"/>
                <w:rFonts w:hint="eastAsia"/>
              </w:rPr>
              <w:t>中毒症状表现为头痛、头昏、恶心、呕吐。不慎接触皮肤，用肥皂和大量清水冲洗；接触眼睛，应用清水冲洗至少15分钟；不慎吸入，将患者立即转移至清新空气处。本品无专用解毒药，若误服、中毒或使用中有任何不良反应，应及时携此标签就医诊治。</w:t>
            </w:r>
          </w:p>
        </w:tc>
      </w:tr>
      <w:tr w14:paraId="651C3F17">
        <w:tblPrEx>
          <w:tblCellMar>
            <w:top w:w="0" w:type="dxa"/>
            <w:left w:w="0" w:type="dxa"/>
            <w:bottom w:w="0" w:type="dxa"/>
            <w:right w:w="0" w:type="dxa"/>
          </w:tblCellMar>
        </w:tblPrEx>
        <w:trPr>
          <w:wBefore w:w="0" w:type="auto"/>
          <w:tblCellSpacing w:w="0" w:type="dxa"/>
        </w:trPr>
        <w:tc>
          <w:tcPr>
            <w:tcW w:w="0" w:type="auto"/>
            <w:noWrap w:val="0"/>
            <w:vAlign w:val="center"/>
          </w:tcPr>
          <w:p w14:paraId="203BA262">
            <w:r>
              <w:rPr>
                <w:rStyle w:val="10"/>
                <w:rFonts w:hint="eastAsia"/>
              </w:rPr>
              <w:t>储存和运输方法：</w:t>
            </w:r>
            <w:r>
              <w:rPr>
                <w:rFonts w:hint="eastAsia"/>
              </w:rPr>
              <w:br w:type="textWrapping"/>
            </w:r>
            <w:r>
              <w:rPr>
                <w:rStyle w:val="11"/>
                <w:rFonts w:hint="eastAsia"/>
              </w:rPr>
              <w:t>1.本品应贮存在干燥、阴凉、通风、防雨处，远离火源和热源。 2.贮存时不得与食品、饮料、粮食、种子、饲料等混放。置于儿童接触不到之处，并加锁。 3.运输过程确保包装不泄漏、不倒塌、不损坏，防高温曝晒、防雨淋。</w:t>
            </w:r>
          </w:p>
        </w:tc>
      </w:tr>
      <w:tr w14:paraId="7B2C52B1">
        <w:tblPrEx>
          <w:tblCellMar>
            <w:top w:w="0" w:type="dxa"/>
            <w:left w:w="0" w:type="dxa"/>
            <w:bottom w:w="0" w:type="dxa"/>
            <w:right w:w="0" w:type="dxa"/>
          </w:tblCellMar>
        </w:tblPrEx>
        <w:trPr>
          <w:wBefore w:w="0" w:type="auto"/>
          <w:tblCellSpacing w:w="0" w:type="dxa"/>
        </w:trPr>
        <w:tc>
          <w:tcPr>
            <w:tcW w:w="0" w:type="auto"/>
            <w:noWrap w:val="0"/>
            <w:vAlign w:val="center"/>
          </w:tcPr>
          <w:p w14:paraId="65B5AA24">
            <w:r>
              <w:rPr>
                <w:rStyle w:val="10"/>
                <w:rFonts w:hint="eastAsia"/>
              </w:rPr>
              <w:t>质量保证期：</w:t>
            </w:r>
            <w:r>
              <w:rPr>
                <w:rStyle w:val="11"/>
                <w:rFonts w:hint="eastAsia"/>
              </w:rPr>
              <w:t>2年</w:t>
            </w:r>
          </w:p>
        </w:tc>
      </w:tr>
      <w:tr w14:paraId="69D10AD3">
        <w:tblPrEx>
          <w:tblCellMar>
            <w:top w:w="0" w:type="dxa"/>
            <w:left w:w="0" w:type="dxa"/>
            <w:bottom w:w="0" w:type="dxa"/>
            <w:right w:w="0" w:type="dxa"/>
          </w:tblCellMar>
        </w:tblPrEx>
        <w:trPr>
          <w:wBefore w:w="0" w:type="auto"/>
          <w:tblCellSpacing w:w="0" w:type="dxa"/>
        </w:trPr>
        <w:tc>
          <w:tcPr>
            <w:tcW w:w="0" w:type="auto"/>
            <w:noWrap w:val="0"/>
            <w:vAlign w:val="center"/>
          </w:tcPr>
          <w:p w14:paraId="13B73A93">
            <w:r>
              <w:rPr>
                <w:rStyle w:val="10"/>
                <w:rFonts w:hint="eastAsia"/>
              </w:rPr>
              <w:t>备注：</w:t>
            </w:r>
          </w:p>
        </w:tc>
      </w:tr>
    </w:tbl>
    <w:p w14:paraId="213130E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9262C08">
        <w:tblPrEx>
          <w:tblCellMar>
            <w:top w:w="0" w:type="dxa"/>
            <w:left w:w="0" w:type="dxa"/>
            <w:bottom w:w="0" w:type="dxa"/>
            <w:right w:w="0" w:type="dxa"/>
          </w:tblCellMar>
        </w:tblPrEx>
        <w:trPr>
          <w:wBefore w:w="0" w:type="auto"/>
          <w:tblCellSpacing w:w="0" w:type="dxa"/>
        </w:trPr>
        <w:tc>
          <w:tcPr>
            <w:tcW w:w="0" w:type="auto"/>
            <w:noWrap w:val="0"/>
            <w:vAlign w:val="center"/>
          </w:tcPr>
          <w:p w14:paraId="69D68EB0">
            <w:r>
              <w:rPr>
                <w:rStyle w:val="10"/>
                <w:rFonts w:hint="eastAsia"/>
              </w:rPr>
              <w:t>登记证号：</w:t>
            </w:r>
            <w:r>
              <w:rPr>
                <w:rFonts w:hint="eastAsia"/>
              </w:rPr>
              <w:t>PD20211833</w:t>
            </w:r>
          </w:p>
        </w:tc>
      </w:tr>
      <w:tr w14:paraId="1F19E29C">
        <w:tblPrEx>
          <w:tblCellMar>
            <w:top w:w="0" w:type="dxa"/>
            <w:left w:w="0" w:type="dxa"/>
            <w:bottom w:w="0" w:type="dxa"/>
            <w:right w:w="0" w:type="dxa"/>
          </w:tblCellMar>
        </w:tblPrEx>
        <w:trPr>
          <w:wBefore w:w="0" w:type="auto"/>
          <w:tblCellSpacing w:w="0" w:type="dxa"/>
        </w:trPr>
        <w:tc>
          <w:tcPr>
            <w:tcW w:w="0" w:type="auto"/>
            <w:noWrap w:val="0"/>
            <w:vAlign w:val="center"/>
          </w:tcPr>
          <w:p w14:paraId="3A2083EB">
            <w:r>
              <w:rPr>
                <w:rStyle w:val="10"/>
                <w:rFonts w:hint="eastAsia"/>
              </w:rPr>
              <w:t>登记证持有人：</w:t>
            </w:r>
            <w:r>
              <w:rPr>
                <w:rFonts w:hint="eastAsia"/>
              </w:rPr>
              <w:t>天津市汉邦植物保护剂有限责任公司</w:t>
            </w:r>
          </w:p>
        </w:tc>
      </w:tr>
      <w:tr w14:paraId="34D582E7">
        <w:tblPrEx>
          <w:tblCellMar>
            <w:top w:w="0" w:type="dxa"/>
            <w:left w:w="0" w:type="dxa"/>
            <w:bottom w:w="0" w:type="dxa"/>
            <w:right w:w="0" w:type="dxa"/>
          </w:tblCellMar>
        </w:tblPrEx>
        <w:trPr>
          <w:wBefore w:w="0" w:type="auto"/>
          <w:tblCellSpacing w:w="0" w:type="dxa"/>
        </w:trPr>
        <w:tc>
          <w:tcPr>
            <w:tcW w:w="0" w:type="auto"/>
            <w:noWrap w:val="0"/>
            <w:vAlign w:val="center"/>
          </w:tcPr>
          <w:p w14:paraId="32877EB6">
            <w:r>
              <w:rPr>
                <w:rStyle w:val="10"/>
                <w:rFonts w:hint="eastAsia"/>
              </w:rPr>
              <w:t>农药名称：</w:t>
            </w:r>
            <w:r>
              <w:rPr>
                <w:rFonts w:hint="eastAsia"/>
              </w:rPr>
              <w:t>氯虫苯甲酰胺</w:t>
            </w:r>
          </w:p>
        </w:tc>
      </w:tr>
      <w:tr w14:paraId="460B5AAF">
        <w:tblPrEx>
          <w:tblCellMar>
            <w:top w:w="0" w:type="dxa"/>
            <w:left w:w="0" w:type="dxa"/>
            <w:bottom w:w="0" w:type="dxa"/>
            <w:right w:w="0" w:type="dxa"/>
          </w:tblCellMar>
        </w:tblPrEx>
        <w:trPr>
          <w:wBefore w:w="0" w:type="auto"/>
          <w:tblCellSpacing w:w="0" w:type="dxa"/>
        </w:trPr>
        <w:tc>
          <w:tcPr>
            <w:tcW w:w="0" w:type="auto"/>
            <w:noWrap w:val="0"/>
            <w:vAlign w:val="center"/>
          </w:tcPr>
          <w:p w14:paraId="2FCB5A1D">
            <w:r>
              <w:rPr>
                <w:rStyle w:val="10"/>
                <w:rFonts w:hint="eastAsia"/>
              </w:rPr>
              <w:t>剂型：</w:t>
            </w:r>
            <w:r>
              <w:rPr>
                <w:rFonts w:hint="eastAsia"/>
              </w:rPr>
              <w:t>颗粒剂</w:t>
            </w:r>
          </w:p>
        </w:tc>
      </w:tr>
      <w:tr w14:paraId="6D7BCCAD">
        <w:tblPrEx>
          <w:tblCellMar>
            <w:top w:w="0" w:type="dxa"/>
            <w:left w:w="0" w:type="dxa"/>
            <w:bottom w:w="0" w:type="dxa"/>
            <w:right w:w="0" w:type="dxa"/>
          </w:tblCellMar>
        </w:tblPrEx>
        <w:trPr>
          <w:wBefore w:w="0" w:type="auto"/>
          <w:tblCellSpacing w:w="0" w:type="dxa"/>
        </w:trPr>
        <w:tc>
          <w:tcPr>
            <w:tcW w:w="0" w:type="auto"/>
            <w:noWrap w:val="0"/>
            <w:vAlign w:val="center"/>
          </w:tcPr>
          <w:p w14:paraId="500898D4">
            <w:r>
              <w:rPr>
                <w:rStyle w:val="10"/>
                <w:rFonts w:hint="eastAsia"/>
              </w:rPr>
              <w:t>毒性及其标识：</w:t>
            </w:r>
            <w:r>
              <w:rPr>
                <w:rFonts w:hint="eastAsia"/>
              </w:rPr>
              <w:t xml:space="preserve"> </w:t>
            </w:r>
            <w:r>
              <w:rPr>
                <w:lang/>
              </w:rPr>
              <w:drawing>
                <wp:inline distT="0" distB="0" distL="114300" distR="114300">
                  <wp:extent cx="476250" cy="323850"/>
                  <wp:effectExtent l="0" t="0" r="0" b="0"/>
                  <wp:docPr id="299" name="图片 29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3D764A4">
        <w:tblPrEx>
          <w:tblCellMar>
            <w:top w:w="0" w:type="dxa"/>
            <w:left w:w="0" w:type="dxa"/>
            <w:bottom w:w="0" w:type="dxa"/>
            <w:right w:w="0" w:type="dxa"/>
          </w:tblCellMar>
        </w:tblPrEx>
        <w:trPr>
          <w:wBefore w:w="0" w:type="auto"/>
          <w:tblCellSpacing w:w="0" w:type="dxa"/>
        </w:trPr>
        <w:tc>
          <w:tcPr>
            <w:tcW w:w="0" w:type="auto"/>
            <w:noWrap w:val="0"/>
            <w:vAlign w:val="center"/>
          </w:tcPr>
          <w:p w14:paraId="25B4FC8B">
            <w:r>
              <w:rPr>
                <w:rStyle w:val="10"/>
                <w:rFonts w:hint="eastAsia"/>
              </w:rPr>
              <w:t>总有效成分含量：</w:t>
            </w:r>
            <w:r>
              <w:rPr>
                <w:rFonts w:hint="eastAsia"/>
              </w:rPr>
              <w:t>1%</w:t>
            </w:r>
          </w:p>
        </w:tc>
      </w:tr>
      <w:tr w14:paraId="22AEC642">
        <w:tblPrEx>
          <w:tblCellMar>
            <w:top w:w="0" w:type="dxa"/>
            <w:left w:w="0" w:type="dxa"/>
            <w:bottom w:w="0" w:type="dxa"/>
            <w:right w:w="0" w:type="dxa"/>
          </w:tblCellMar>
        </w:tblPrEx>
        <w:trPr>
          <w:wBefore w:w="0" w:type="auto"/>
          <w:tblCellSpacing w:w="0" w:type="dxa"/>
        </w:trPr>
        <w:tc>
          <w:tcPr>
            <w:tcW w:w="0" w:type="auto"/>
            <w:noWrap w:val="0"/>
            <w:vAlign w:val="center"/>
          </w:tcPr>
          <w:p w14:paraId="243F6A7A">
            <w:r>
              <w:rPr>
                <w:rFonts w:hint="eastAsia"/>
              </w:rPr>
              <w:t xml:space="preserve">有效成分及其含量： </w:t>
            </w:r>
          </w:p>
          <w:p w14:paraId="40FDB304">
            <w:r>
              <w:rPr>
                <w:rFonts w:hint="eastAsia"/>
              </w:rPr>
              <w:t xml:space="preserve">    氯虫苯甲酰胺1%    </w:t>
            </w:r>
          </w:p>
        </w:tc>
      </w:tr>
      <w:tr w14:paraId="6680BAE0">
        <w:tblPrEx>
          <w:tblCellMar>
            <w:top w:w="0" w:type="dxa"/>
            <w:left w:w="0" w:type="dxa"/>
            <w:bottom w:w="0" w:type="dxa"/>
            <w:right w:w="0" w:type="dxa"/>
          </w:tblCellMar>
        </w:tblPrEx>
        <w:trPr>
          <w:wBefore w:w="0" w:type="auto"/>
          <w:tblCellSpacing w:w="0" w:type="dxa"/>
        </w:trPr>
        <w:tc>
          <w:tcPr>
            <w:tcW w:w="0" w:type="auto"/>
            <w:noWrap w:val="0"/>
            <w:vAlign w:val="center"/>
          </w:tcPr>
          <w:p w14:paraId="2B4EDDD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F3EFB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30B249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7C02C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798ADA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FBFDD26">
                  <w:r>
                    <w:rPr>
                      <w:rStyle w:val="11"/>
                      <w:rFonts w:hint="eastAsia"/>
                    </w:rPr>
                    <w:t>施用方式</w:t>
                  </w:r>
                </w:p>
              </w:tc>
            </w:tr>
            <w:tr w14:paraId="273C64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3F9127F">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F2F3B8">
                  <w:r>
                    <w:rPr>
                      <w:rStyle w:val="11"/>
                      <w:rFonts w:hint="eastAsia"/>
                    </w:rPr>
                    <w:t>蔗螟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0ED344">
                  <w:r>
                    <w:rPr>
                      <w:rStyle w:val="11"/>
                      <w:rFonts w:hint="eastAsia"/>
                    </w:rPr>
                    <w:t>400-800克/亩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6369A0">
                  <w:r>
                    <w:rPr>
                      <w:rStyle w:val="11"/>
                      <w:rFonts w:hint="eastAsia"/>
                    </w:rPr>
                    <w:t>撒施</w:t>
                  </w:r>
                </w:p>
              </w:tc>
            </w:tr>
          </w:tbl>
          <w:p w14:paraId="574FD41E">
            <w:pPr>
              <w:rPr>
                <w:rFonts w:ascii="Times New Roman" w:hAnsi="Times New Roman" w:cs="Times New Roman"/>
                <w:sz w:val="20"/>
                <w:szCs w:val="20"/>
              </w:rPr>
            </w:pPr>
          </w:p>
        </w:tc>
      </w:tr>
      <w:tr w14:paraId="4647686B">
        <w:tblPrEx>
          <w:tblCellMar>
            <w:top w:w="0" w:type="dxa"/>
            <w:left w:w="0" w:type="dxa"/>
            <w:bottom w:w="0" w:type="dxa"/>
            <w:right w:w="0" w:type="dxa"/>
          </w:tblCellMar>
        </w:tblPrEx>
        <w:trPr>
          <w:wBefore w:w="0" w:type="auto"/>
          <w:tblCellSpacing w:w="0" w:type="dxa"/>
        </w:trPr>
        <w:tc>
          <w:tcPr>
            <w:tcW w:w="0" w:type="auto"/>
            <w:noWrap w:val="0"/>
            <w:vAlign w:val="center"/>
          </w:tcPr>
          <w:p w14:paraId="392B20D6">
            <w:r>
              <w:rPr>
                <w:rStyle w:val="10"/>
                <w:rFonts w:hint="eastAsia"/>
              </w:rPr>
              <w:t>使用技术要求:</w:t>
            </w:r>
            <w:r>
              <w:rPr>
                <w:rFonts w:hint="eastAsia"/>
              </w:rPr>
              <w:br w:type="textWrapping"/>
            </w:r>
            <w:r>
              <w:rPr>
                <w:rStyle w:val="11"/>
                <w:rFonts w:hint="eastAsia"/>
              </w:rPr>
              <w:t>施药时期：1、在甘蔗种植时施药，或蔗螟卵孵化前10天培土施药，施药后立即覆土。2、甘蔗种植时，把药剂拌细沙土撒施于种植穴或种植沟内，用土层完全覆盖。甘蔗培土时，甘蔗基部周围掏小沟，把药剂拌细沙土均匀撒施于沟内，用土层完全覆盖。3、大风天或预计1小时内降雨，请勿施药。</w:t>
            </w:r>
          </w:p>
        </w:tc>
      </w:tr>
      <w:tr w14:paraId="750BA03D">
        <w:tblPrEx>
          <w:tblCellMar>
            <w:top w:w="0" w:type="dxa"/>
            <w:left w:w="0" w:type="dxa"/>
            <w:bottom w:w="0" w:type="dxa"/>
            <w:right w:w="0" w:type="dxa"/>
          </w:tblCellMar>
        </w:tblPrEx>
        <w:trPr>
          <w:wBefore w:w="0" w:type="auto"/>
          <w:tblCellSpacing w:w="0" w:type="dxa"/>
        </w:trPr>
        <w:tc>
          <w:tcPr>
            <w:tcW w:w="0" w:type="auto"/>
            <w:noWrap w:val="0"/>
            <w:vAlign w:val="center"/>
          </w:tcPr>
          <w:p w14:paraId="63006FE0">
            <w:r>
              <w:rPr>
                <w:rStyle w:val="10"/>
                <w:rFonts w:hint="eastAsia"/>
              </w:rPr>
              <w:t>产品性能:</w:t>
            </w:r>
            <w:r>
              <w:rPr>
                <w:rFonts w:hint="eastAsia"/>
              </w:rPr>
              <w:br w:type="textWrapping"/>
            </w:r>
            <w:r>
              <w:rPr>
                <w:rStyle w:val="11"/>
                <w:rFonts w:hint="eastAsia"/>
              </w:rPr>
              <w:t>本品为酰胺类新型内吸杀虫剂，其作用机理是激活害虫的鱼尼丁受体，释放细胞内贮存的钙离子，引起肌肉调节衰弱、麻痹直至最后害虫死亡。胃毒为主，兼具触杀效果，可有效防治甘蔗蔗螟。</w:t>
            </w:r>
          </w:p>
        </w:tc>
      </w:tr>
      <w:tr w14:paraId="61EB988D">
        <w:tblPrEx>
          <w:tblCellMar>
            <w:top w:w="0" w:type="dxa"/>
            <w:left w:w="0" w:type="dxa"/>
            <w:bottom w:w="0" w:type="dxa"/>
            <w:right w:w="0" w:type="dxa"/>
          </w:tblCellMar>
        </w:tblPrEx>
        <w:trPr>
          <w:wBefore w:w="0" w:type="auto"/>
          <w:tblCellSpacing w:w="0" w:type="dxa"/>
        </w:trPr>
        <w:tc>
          <w:tcPr>
            <w:tcW w:w="0" w:type="auto"/>
            <w:noWrap w:val="0"/>
            <w:vAlign w:val="center"/>
          </w:tcPr>
          <w:p w14:paraId="032BF8B0">
            <w:r>
              <w:rPr>
                <w:rStyle w:val="10"/>
                <w:rFonts w:hint="eastAsia"/>
              </w:rPr>
              <w:t>注意事项：</w:t>
            </w:r>
            <w:r>
              <w:rPr>
                <w:rFonts w:hint="eastAsia"/>
              </w:rPr>
              <w:br w:type="textWrapping"/>
            </w:r>
            <w:r>
              <w:rPr>
                <w:rStyle w:val="11"/>
                <w:rFonts w:hint="eastAsia"/>
              </w:rPr>
              <w:t>1.在配制和使用本品时，应穿防护服，戴手套、口罩，避免皮肤接触及口鼻吸入，严禁吸烟和饮食。2.水产养殖区、河塘等水体附近禁用，禁止在河塘等水域清洗施药器具。3. 鸟类保护区附近禁用。4.用过的容器应妥善处理，不可做他用，也不可随意丢弃。5.使用后应用肥皂和足量清水冲洗手部、面部和其它裸露的身体部位以及药剂污染的衣物等。6.建议与其他作用机制不同的杀虫剂轮换使用，以延缓抗性产生。7.避免孕妇及哺乳期妇女接触。</w:t>
            </w:r>
          </w:p>
        </w:tc>
      </w:tr>
      <w:tr w14:paraId="6FA1A6F0">
        <w:tblPrEx>
          <w:tblCellMar>
            <w:top w:w="0" w:type="dxa"/>
            <w:left w:w="0" w:type="dxa"/>
            <w:bottom w:w="0" w:type="dxa"/>
            <w:right w:w="0" w:type="dxa"/>
          </w:tblCellMar>
        </w:tblPrEx>
        <w:trPr>
          <w:wBefore w:w="0" w:type="auto"/>
          <w:tblCellSpacing w:w="0" w:type="dxa"/>
        </w:trPr>
        <w:tc>
          <w:tcPr>
            <w:tcW w:w="0" w:type="auto"/>
            <w:noWrap w:val="0"/>
            <w:vAlign w:val="center"/>
          </w:tcPr>
          <w:p w14:paraId="00898ACC">
            <w:r>
              <w:rPr>
                <w:rStyle w:val="10"/>
                <w:rFonts w:hint="eastAsia"/>
              </w:rPr>
              <w:t>中毒急救措施：</w:t>
            </w:r>
            <w:r>
              <w:rPr>
                <w:rFonts w:hint="eastAsia"/>
              </w:rPr>
              <w:br w:type="textWrapping"/>
            </w:r>
            <w:r>
              <w:rPr>
                <w:rStyle w:val="11"/>
                <w:rFonts w:hint="eastAsia"/>
              </w:rPr>
              <w:t>不慎吸入，应将病人移至空气流通处。溅入眼睛，立即用清水冲洗至少15分钟，仍有不适时，就医。皮肤接触时，用清水及肥皂洗干净。误服则应立即携此标签将病人送医院对症治疗。无特效解毒剂。</w:t>
            </w:r>
          </w:p>
        </w:tc>
      </w:tr>
      <w:tr w14:paraId="4FC25C6A">
        <w:tblPrEx>
          <w:tblCellMar>
            <w:top w:w="0" w:type="dxa"/>
            <w:left w:w="0" w:type="dxa"/>
            <w:bottom w:w="0" w:type="dxa"/>
            <w:right w:w="0" w:type="dxa"/>
          </w:tblCellMar>
        </w:tblPrEx>
        <w:trPr>
          <w:wBefore w:w="0" w:type="auto"/>
          <w:tblCellSpacing w:w="0" w:type="dxa"/>
        </w:trPr>
        <w:tc>
          <w:tcPr>
            <w:tcW w:w="0" w:type="auto"/>
            <w:noWrap w:val="0"/>
            <w:vAlign w:val="center"/>
          </w:tcPr>
          <w:p w14:paraId="4391721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本品应贮存在干燥、阴凉、通风、防雨处，远离火源或热源。置于儿童、无关人员触及不到之处，并加锁保存。勿与粮食、食品、饮料、饲料等其他商品同贮同运。</w:t>
            </w:r>
          </w:p>
        </w:tc>
      </w:tr>
      <w:tr w14:paraId="5A12301F">
        <w:tblPrEx>
          <w:tblCellMar>
            <w:top w:w="0" w:type="dxa"/>
            <w:left w:w="0" w:type="dxa"/>
            <w:bottom w:w="0" w:type="dxa"/>
            <w:right w:w="0" w:type="dxa"/>
          </w:tblCellMar>
        </w:tblPrEx>
        <w:trPr>
          <w:wBefore w:w="0" w:type="auto"/>
          <w:tblCellSpacing w:w="0" w:type="dxa"/>
        </w:trPr>
        <w:tc>
          <w:tcPr>
            <w:tcW w:w="0" w:type="auto"/>
            <w:noWrap w:val="0"/>
            <w:vAlign w:val="center"/>
          </w:tcPr>
          <w:p w14:paraId="6B5A1245">
            <w:r>
              <w:rPr>
                <w:rStyle w:val="10"/>
                <w:rFonts w:hint="eastAsia"/>
              </w:rPr>
              <w:t>质量保证期：</w:t>
            </w:r>
            <w:r>
              <w:rPr>
                <w:rStyle w:val="11"/>
                <w:rFonts w:hint="eastAsia"/>
              </w:rPr>
              <w:t>2年</w:t>
            </w:r>
          </w:p>
        </w:tc>
      </w:tr>
      <w:tr w14:paraId="0FC1CAD0">
        <w:tblPrEx>
          <w:tblCellMar>
            <w:top w:w="0" w:type="dxa"/>
            <w:left w:w="0" w:type="dxa"/>
            <w:bottom w:w="0" w:type="dxa"/>
            <w:right w:w="0" w:type="dxa"/>
          </w:tblCellMar>
        </w:tblPrEx>
        <w:trPr>
          <w:wBefore w:w="0" w:type="auto"/>
          <w:tblCellSpacing w:w="0" w:type="dxa"/>
        </w:trPr>
        <w:tc>
          <w:tcPr>
            <w:tcW w:w="0" w:type="auto"/>
            <w:noWrap w:val="0"/>
            <w:vAlign w:val="center"/>
          </w:tcPr>
          <w:p w14:paraId="431F42B8">
            <w:r>
              <w:rPr>
                <w:rStyle w:val="10"/>
                <w:rFonts w:hint="eastAsia"/>
              </w:rPr>
              <w:t>备注：</w:t>
            </w:r>
          </w:p>
        </w:tc>
      </w:tr>
    </w:tbl>
    <w:p w14:paraId="43E99A0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26B0A33">
        <w:tblPrEx>
          <w:tblCellMar>
            <w:top w:w="0" w:type="dxa"/>
            <w:left w:w="0" w:type="dxa"/>
            <w:bottom w:w="0" w:type="dxa"/>
            <w:right w:w="0" w:type="dxa"/>
          </w:tblCellMar>
        </w:tblPrEx>
        <w:trPr>
          <w:wBefore w:w="0" w:type="auto"/>
          <w:tblCellSpacing w:w="0" w:type="dxa"/>
        </w:trPr>
        <w:tc>
          <w:tcPr>
            <w:tcW w:w="0" w:type="auto"/>
            <w:noWrap w:val="0"/>
            <w:vAlign w:val="center"/>
          </w:tcPr>
          <w:p w14:paraId="23ECF0BB">
            <w:r>
              <w:rPr>
                <w:rStyle w:val="10"/>
                <w:rFonts w:hint="eastAsia"/>
              </w:rPr>
              <w:t>登记证号：</w:t>
            </w:r>
            <w:r>
              <w:rPr>
                <w:rFonts w:hint="eastAsia"/>
              </w:rPr>
              <w:t>PD20211954</w:t>
            </w:r>
          </w:p>
        </w:tc>
      </w:tr>
      <w:tr w14:paraId="7DFBA854">
        <w:tblPrEx>
          <w:tblCellMar>
            <w:top w:w="0" w:type="dxa"/>
            <w:left w:w="0" w:type="dxa"/>
            <w:bottom w:w="0" w:type="dxa"/>
            <w:right w:w="0" w:type="dxa"/>
          </w:tblCellMar>
        </w:tblPrEx>
        <w:trPr>
          <w:wBefore w:w="0" w:type="auto"/>
          <w:tblCellSpacing w:w="0" w:type="dxa"/>
        </w:trPr>
        <w:tc>
          <w:tcPr>
            <w:tcW w:w="0" w:type="auto"/>
            <w:noWrap w:val="0"/>
            <w:vAlign w:val="center"/>
          </w:tcPr>
          <w:p w14:paraId="44736B37">
            <w:r>
              <w:rPr>
                <w:rStyle w:val="10"/>
                <w:rFonts w:hint="eastAsia"/>
              </w:rPr>
              <w:t>登记证持有人：</w:t>
            </w:r>
            <w:r>
              <w:rPr>
                <w:rFonts w:hint="eastAsia"/>
              </w:rPr>
              <w:t>陕西康禾立丰生物科技药业有限公司</w:t>
            </w:r>
          </w:p>
        </w:tc>
      </w:tr>
      <w:tr w14:paraId="1D27104F">
        <w:tblPrEx>
          <w:tblCellMar>
            <w:top w:w="0" w:type="dxa"/>
            <w:left w:w="0" w:type="dxa"/>
            <w:bottom w:w="0" w:type="dxa"/>
            <w:right w:w="0" w:type="dxa"/>
          </w:tblCellMar>
        </w:tblPrEx>
        <w:trPr>
          <w:wBefore w:w="0" w:type="auto"/>
          <w:tblCellSpacing w:w="0" w:type="dxa"/>
        </w:trPr>
        <w:tc>
          <w:tcPr>
            <w:tcW w:w="0" w:type="auto"/>
            <w:noWrap w:val="0"/>
            <w:vAlign w:val="center"/>
          </w:tcPr>
          <w:p w14:paraId="43B60606">
            <w:r>
              <w:rPr>
                <w:rStyle w:val="10"/>
                <w:rFonts w:hint="eastAsia"/>
              </w:rPr>
              <w:t>农药名称：</w:t>
            </w:r>
            <w:r>
              <w:rPr>
                <w:rFonts w:hint="eastAsia"/>
              </w:rPr>
              <w:t>春雷·寡糖素</w:t>
            </w:r>
          </w:p>
        </w:tc>
      </w:tr>
      <w:tr w14:paraId="5AFDDB91">
        <w:tblPrEx>
          <w:tblCellMar>
            <w:top w:w="0" w:type="dxa"/>
            <w:left w:w="0" w:type="dxa"/>
            <w:bottom w:w="0" w:type="dxa"/>
            <w:right w:w="0" w:type="dxa"/>
          </w:tblCellMar>
        </w:tblPrEx>
        <w:trPr>
          <w:wBefore w:w="0" w:type="auto"/>
          <w:tblCellSpacing w:w="0" w:type="dxa"/>
        </w:trPr>
        <w:tc>
          <w:tcPr>
            <w:tcW w:w="0" w:type="auto"/>
            <w:noWrap w:val="0"/>
            <w:vAlign w:val="center"/>
          </w:tcPr>
          <w:p w14:paraId="74204E6B">
            <w:r>
              <w:rPr>
                <w:rStyle w:val="10"/>
                <w:rFonts w:hint="eastAsia"/>
              </w:rPr>
              <w:t>剂型：</w:t>
            </w:r>
            <w:r>
              <w:rPr>
                <w:rFonts w:hint="eastAsia"/>
              </w:rPr>
              <w:t>可溶液剂</w:t>
            </w:r>
          </w:p>
        </w:tc>
      </w:tr>
      <w:tr w14:paraId="209E97D8">
        <w:tblPrEx>
          <w:tblCellMar>
            <w:top w:w="0" w:type="dxa"/>
            <w:left w:w="0" w:type="dxa"/>
            <w:bottom w:w="0" w:type="dxa"/>
            <w:right w:w="0" w:type="dxa"/>
          </w:tblCellMar>
        </w:tblPrEx>
        <w:trPr>
          <w:wBefore w:w="0" w:type="auto"/>
          <w:tblCellSpacing w:w="0" w:type="dxa"/>
        </w:trPr>
        <w:tc>
          <w:tcPr>
            <w:tcW w:w="0" w:type="auto"/>
            <w:noWrap w:val="0"/>
            <w:vAlign w:val="center"/>
          </w:tcPr>
          <w:p w14:paraId="479FA236">
            <w:r>
              <w:rPr>
                <w:rStyle w:val="10"/>
                <w:rFonts w:hint="eastAsia"/>
              </w:rPr>
              <w:t>毒性及其标识：</w:t>
            </w:r>
            <w:r>
              <w:rPr>
                <w:rFonts w:hint="eastAsia"/>
              </w:rPr>
              <w:t xml:space="preserve"> </w:t>
            </w:r>
            <w:r>
              <w:rPr>
                <w:lang/>
              </w:rPr>
              <w:drawing>
                <wp:inline distT="0" distB="0" distL="114300" distR="114300">
                  <wp:extent cx="476250" cy="323850"/>
                  <wp:effectExtent l="0" t="0" r="0" b="0"/>
                  <wp:docPr id="300" name="图片 30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6D6E68">
        <w:tblPrEx>
          <w:tblCellMar>
            <w:top w:w="0" w:type="dxa"/>
            <w:left w:w="0" w:type="dxa"/>
            <w:bottom w:w="0" w:type="dxa"/>
            <w:right w:w="0" w:type="dxa"/>
          </w:tblCellMar>
        </w:tblPrEx>
        <w:trPr>
          <w:wBefore w:w="0" w:type="auto"/>
          <w:tblCellSpacing w:w="0" w:type="dxa"/>
        </w:trPr>
        <w:tc>
          <w:tcPr>
            <w:tcW w:w="0" w:type="auto"/>
            <w:noWrap w:val="0"/>
            <w:vAlign w:val="center"/>
          </w:tcPr>
          <w:p w14:paraId="184B3A7C">
            <w:r>
              <w:rPr>
                <w:rStyle w:val="10"/>
                <w:rFonts w:hint="eastAsia"/>
              </w:rPr>
              <w:t>总有效成分含量：</w:t>
            </w:r>
            <w:r>
              <w:rPr>
                <w:rFonts w:hint="eastAsia"/>
              </w:rPr>
              <w:t>10%</w:t>
            </w:r>
          </w:p>
        </w:tc>
      </w:tr>
      <w:tr w14:paraId="272C9C9B">
        <w:tblPrEx>
          <w:tblCellMar>
            <w:top w:w="0" w:type="dxa"/>
            <w:left w:w="0" w:type="dxa"/>
            <w:bottom w:w="0" w:type="dxa"/>
            <w:right w:w="0" w:type="dxa"/>
          </w:tblCellMar>
        </w:tblPrEx>
        <w:trPr>
          <w:wBefore w:w="0" w:type="auto"/>
          <w:tblCellSpacing w:w="0" w:type="dxa"/>
        </w:trPr>
        <w:tc>
          <w:tcPr>
            <w:tcW w:w="0" w:type="auto"/>
            <w:noWrap w:val="0"/>
            <w:vAlign w:val="center"/>
          </w:tcPr>
          <w:p w14:paraId="229BB1F3">
            <w:r>
              <w:rPr>
                <w:rFonts w:hint="eastAsia"/>
              </w:rPr>
              <w:t xml:space="preserve">有效成分及其含量： </w:t>
            </w:r>
          </w:p>
          <w:p w14:paraId="3C8F2E19">
            <w:r>
              <w:rPr>
                <w:rFonts w:hint="eastAsia"/>
              </w:rPr>
              <w:t xml:space="preserve">    春雷霉素7%    氨基寡糖素3%    </w:t>
            </w:r>
          </w:p>
        </w:tc>
      </w:tr>
      <w:tr w14:paraId="796D7B45">
        <w:tblPrEx>
          <w:tblCellMar>
            <w:top w:w="0" w:type="dxa"/>
            <w:left w:w="0" w:type="dxa"/>
            <w:bottom w:w="0" w:type="dxa"/>
            <w:right w:w="0" w:type="dxa"/>
          </w:tblCellMar>
        </w:tblPrEx>
        <w:trPr>
          <w:wBefore w:w="0" w:type="auto"/>
          <w:tblCellSpacing w:w="0" w:type="dxa"/>
        </w:trPr>
        <w:tc>
          <w:tcPr>
            <w:tcW w:w="0" w:type="auto"/>
            <w:noWrap w:val="0"/>
            <w:vAlign w:val="center"/>
          </w:tcPr>
          <w:p w14:paraId="4882D0C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61B17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6B1C53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DD5131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E7BA22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0030698">
                  <w:r>
                    <w:rPr>
                      <w:rStyle w:val="11"/>
                      <w:rFonts w:hint="eastAsia"/>
                    </w:rPr>
                    <w:t>施用方式</w:t>
                  </w:r>
                </w:p>
              </w:tc>
            </w:tr>
            <w:tr w14:paraId="01F443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D904FF3">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635807">
                  <w:r>
                    <w:rPr>
                      <w:rStyle w:val="11"/>
                      <w:rFonts w:hint="eastAsia"/>
                    </w:rPr>
                    <w:t>细菌性角斑病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21B49A">
                  <w:r>
                    <w:rPr>
                      <w:rStyle w:val="11"/>
                      <w:rFonts w:hint="eastAsia"/>
                    </w:rPr>
                    <w:t>30-35毫升/亩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862BC4">
                  <w:r>
                    <w:rPr>
                      <w:rStyle w:val="11"/>
                      <w:rFonts w:hint="eastAsia"/>
                    </w:rPr>
                    <w:t>喷雾</w:t>
                  </w:r>
                </w:p>
              </w:tc>
            </w:tr>
          </w:tbl>
          <w:p w14:paraId="44C32033">
            <w:pPr>
              <w:rPr>
                <w:rFonts w:ascii="Times New Roman" w:hAnsi="Times New Roman" w:cs="Times New Roman"/>
                <w:sz w:val="20"/>
                <w:szCs w:val="20"/>
              </w:rPr>
            </w:pPr>
          </w:p>
        </w:tc>
      </w:tr>
      <w:tr w14:paraId="34215C91">
        <w:tblPrEx>
          <w:tblCellMar>
            <w:top w:w="0" w:type="dxa"/>
            <w:left w:w="0" w:type="dxa"/>
            <w:bottom w:w="0" w:type="dxa"/>
            <w:right w:w="0" w:type="dxa"/>
          </w:tblCellMar>
        </w:tblPrEx>
        <w:trPr>
          <w:wBefore w:w="0" w:type="auto"/>
          <w:tblCellSpacing w:w="0" w:type="dxa"/>
        </w:trPr>
        <w:tc>
          <w:tcPr>
            <w:tcW w:w="0" w:type="auto"/>
            <w:noWrap w:val="0"/>
            <w:vAlign w:val="center"/>
          </w:tcPr>
          <w:p w14:paraId="3770DB1C">
            <w:r>
              <w:rPr>
                <w:rStyle w:val="10"/>
                <w:rFonts w:hint="eastAsia"/>
              </w:rPr>
              <w:t>使用技术要求:</w:t>
            </w:r>
            <w:r>
              <w:rPr>
                <w:rFonts w:hint="eastAsia"/>
              </w:rPr>
              <w:br w:type="textWrapping"/>
            </w:r>
            <w:r>
              <w:rPr>
                <w:rStyle w:val="11"/>
                <w:rFonts w:hint="eastAsia"/>
              </w:rPr>
              <w:t>1、每季作物最多使用3次，在黄瓜上的安全间隔期为3天。 2、在细菌性角斑病发生初期时施药。施药时应均匀喷雾。 3、大风天或预计 1小时内降雨，请勿施药。</w:t>
            </w:r>
          </w:p>
        </w:tc>
      </w:tr>
      <w:tr w14:paraId="087203D0">
        <w:tblPrEx>
          <w:tblCellMar>
            <w:top w:w="0" w:type="dxa"/>
            <w:left w:w="0" w:type="dxa"/>
            <w:bottom w:w="0" w:type="dxa"/>
            <w:right w:w="0" w:type="dxa"/>
          </w:tblCellMar>
        </w:tblPrEx>
        <w:trPr>
          <w:wBefore w:w="0" w:type="auto"/>
          <w:tblCellSpacing w:w="0" w:type="dxa"/>
        </w:trPr>
        <w:tc>
          <w:tcPr>
            <w:tcW w:w="0" w:type="auto"/>
            <w:noWrap w:val="0"/>
            <w:vAlign w:val="center"/>
          </w:tcPr>
          <w:p w14:paraId="54595B96">
            <w:r>
              <w:rPr>
                <w:rStyle w:val="10"/>
                <w:rFonts w:hint="eastAsia"/>
              </w:rPr>
              <w:t>产品性能:</w:t>
            </w:r>
            <w:r>
              <w:rPr>
                <w:rFonts w:hint="eastAsia"/>
              </w:rPr>
              <w:br w:type="textWrapping"/>
            </w:r>
            <w:r>
              <w:rPr>
                <w:rStyle w:val="11"/>
                <w:rFonts w:hint="eastAsia"/>
              </w:rPr>
              <w:t>本品属农用抗菌素与低聚糖复配低毒杀菌剂，具有较强的内吸渗透性，同时具有预防作用。氨基寡糖素能对一些病菌的生长产生抑制作用，影响真菌孢子萌发，诱发菌丝形态发生变异。春雷霉素作用机理主要是干扰菌体酯酶系统的氨基酸的代谢，影响蛋白质的合成，抑制菌丝的生长和造成细胞颗粒化，使病原菌失去繁殖和侵染能力，从而达到杀死病原菌防治病害的目的。本品具有杀毒、杀细菌、杀真菌作用。不仅对真菌、细菌、病毒具有极强的铲除作用，而且还具有营养、调节、解毒、抗菌的功效。</w:t>
            </w:r>
          </w:p>
        </w:tc>
      </w:tr>
      <w:tr w14:paraId="0F7CA10B">
        <w:tblPrEx>
          <w:tblCellMar>
            <w:top w:w="0" w:type="dxa"/>
            <w:left w:w="0" w:type="dxa"/>
            <w:bottom w:w="0" w:type="dxa"/>
            <w:right w:w="0" w:type="dxa"/>
          </w:tblCellMar>
        </w:tblPrEx>
        <w:trPr>
          <w:wBefore w:w="0" w:type="auto"/>
          <w:tblCellSpacing w:w="0" w:type="dxa"/>
        </w:trPr>
        <w:tc>
          <w:tcPr>
            <w:tcW w:w="0" w:type="auto"/>
            <w:noWrap w:val="0"/>
            <w:vAlign w:val="center"/>
          </w:tcPr>
          <w:p w14:paraId="0D62D355">
            <w:r>
              <w:rPr>
                <w:rStyle w:val="10"/>
                <w:rFonts w:hint="eastAsia"/>
              </w:rPr>
              <w:t>注意事项：</w:t>
            </w:r>
            <w:r>
              <w:rPr>
                <w:rFonts w:hint="eastAsia"/>
              </w:rPr>
              <w:br w:type="textWrapping"/>
            </w:r>
            <w:r>
              <w:rPr>
                <w:rStyle w:val="11"/>
                <w:rFonts w:hint="eastAsia"/>
              </w:rPr>
              <w:t>1、为保证施药效果，最好使用加压喷雾器喷药。 2、本品不可与呈碱性的农药等物质混合使用。 3、施药2～3小时后遇雨对药效无影响。 4、作业时，需要加强施药人员的健康防护，需穿戴帽子、口罩、长衣、长裤、手套、鞋，同时进行低方向的喷雾。 5、使用后的空容器要废弃在安全的地点。避免药液污染水源地。 6、建议与其他作用机制不同的杀菌剂轮换使用，以延缓抗性产生。 7、用过的容器应妥善处理，不可做他用，也不可随意丢弃。</w:t>
            </w:r>
          </w:p>
        </w:tc>
      </w:tr>
      <w:tr w14:paraId="3165BCF8">
        <w:tblPrEx>
          <w:tblCellMar>
            <w:top w:w="0" w:type="dxa"/>
            <w:left w:w="0" w:type="dxa"/>
            <w:bottom w:w="0" w:type="dxa"/>
            <w:right w:w="0" w:type="dxa"/>
          </w:tblCellMar>
        </w:tblPrEx>
        <w:trPr>
          <w:wBefore w:w="0" w:type="auto"/>
          <w:tblCellSpacing w:w="0" w:type="dxa"/>
        </w:trPr>
        <w:tc>
          <w:tcPr>
            <w:tcW w:w="0" w:type="auto"/>
            <w:noWrap w:val="0"/>
            <w:vAlign w:val="center"/>
          </w:tcPr>
          <w:p w14:paraId="372AD932">
            <w:r>
              <w:rPr>
                <w:rStyle w:val="10"/>
                <w:rFonts w:hint="eastAsia"/>
              </w:rPr>
              <w:t>中毒急救措施：</w:t>
            </w:r>
            <w:r>
              <w:rPr>
                <w:rFonts w:hint="eastAsia"/>
              </w:rPr>
              <w:br w:type="textWrapping"/>
            </w:r>
            <w:r>
              <w:rPr>
                <w:rStyle w:val="11"/>
                <w:rFonts w:hint="eastAsia"/>
              </w:rPr>
              <w:t>1、如染及皮肤，用肥皂和大量水清洗。 2、如溅入眼睛，用清水洗净，如情况严重应就医诊治。 3、本品低毒，很少出现中毒现象，万一误服，用大量食盐水催吐。</w:t>
            </w:r>
          </w:p>
        </w:tc>
      </w:tr>
      <w:tr w14:paraId="14B55FFB">
        <w:tblPrEx>
          <w:tblCellMar>
            <w:top w:w="0" w:type="dxa"/>
            <w:left w:w="0" w:type="dxa"/>
            <w:bottom w:w="0" w:type="dxa"/>
            <w:right w:w="0" w:type="dxa"/>
          </w:tblCellMar>
        </w:tblPrEx>
        <w:trPr>
          <w:wBefore w:w="0" w:type="auto"/>
          <w:tblCellSpacing w:w="0" w:type="dxa"/>
        </w:trPr>
        <w:tc>
          <w:tcPr>
            <w:tcW w:w="0" w:type="auto"/>
            <w:noWrap w:val="0"/>
            <w:vAlign w:val="center"/>
          </w:tcPr>
          <w:p w14:paraId="4C19B28F">
            <w:r>
              <w:rPr>
                <w:rStyle w:val="10"/>
                <w:rFonts w:hint="eastAsia"/>
              </w:rPr>
              <w:t>储存和运输方法：</w:t>
            </w:r>
            <w:r>
              <w:rPr>
                <w:rFonts w:hint="eastAsia"/>
              </w:rPr>
              <w:br w:type="textWrapping"/>
            </w:r>
            <w:r>
              <w:rPr>
                <w:rStyle w:val="11"/>
                <w:rFonts w:hint="eastAsia"/>
              </w:rPr>
              <w:t>1、本品应以原包装贮存于阴凉、干燥和通风处。 远离热源或者火源。 2、本品勿与食物、饲料、饮料和种子等其他物品同贮同运，并放置于儿童接触不到的地方， 加锁保管。 3、运输时应注意防水防潮，避免雨淋；搬运时轻搬轻放，不可倒置。</w:t>
            </w:r>
          </w:p>
        </w:tc>
      </w:tr>
      <w:tr w14:paraId="026D69FD">
        <w:tblPrEx>
          <w:tblCellMar>
            <w:top w:w="0" w:type="dxa"/>
            <w:left w:w="0" w:type="dxa"/>
            <w:bottom w:w="0" w:type="dxa"/>
            <w:right w:w="0" w:type="dxa"/>
          </w:tblCellMar>
        </w:tblPrEx>
        <w:trPr>
          <w:wBefore w:w="0" w:type="auto"/>
          <w:tblCellSpacing w:w="0" w:type="dxa"/>
        </w:trPr>
        <w:tc>
          <w:tcPr>
            <w:tcW w:w="0" w:type="auto"/>
            <w:noWrap w:val="0"/>
            <w:vAlign w:val="center"/>
          </w:tcPr>
          <w:p w14:paraId="6692AC22">
            <w:r>
              <w:rPr>
                <w:rStyle w:val="10"/>
                <w:rFonts w:hint="eastAsia"/>
              </w:rPr>
              <w:t>质量保证期：</w:t>
            </w:r>
            <w:r>
              <w:rPr>
                <w:rStyle w:val="11"/>
                <w:rFonts w:hint="eastAsia"/>
              </w:rPr>
              <w:t>2年</w:t>
            </w:r>
          </w:p>
        </w:tc>
      </w:tr>
      <w:tr w14:paraId="458AD1A3">
        <w:tblPrEx>
          <w:tblCellMar>
            <w:top w:w="0" w:type="dxa"/>
            <w:left w:w="0" w:type="dxa"/>
            <w:bottom w:w="0" w:type="dxa"/>
            <w:right w:w="0" w:type="dxa"/>
          </w:tblCellMar>
        </w:tblPrEx>
        <w:trPr>
          <w:wBefore w:w="0" w:type="auto"/>
          <w:tblCellSpacing w:w="0" w:type="dxa"/>
        </w:trPr>
        <w:tc>
          <w:tcPr>
            <w:tcW w:w="0" w:type="auto"/>
            <w:noWrap w:val="0"/>
            <w:vAlign w:val="center"/>
          </w:tcPr>
          <w:p w14:paraId="68585F7F">
            <w:r>
              <w:rPr>
                <w:rStyle w:val="10"/>
                <w:rFonts w:hint="eastAsia"/>
              </w:rPr>
              <w:t>备注：</w:t>
            </w:r>
          </w:p>
        </w:tc>
      </w:tr>
    </w:tbl>
    <w:p w14:paraId="0FF19D0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F4BDD0C">
        <w:tblPrEx>
          <w:tblCellMar>
            <w:top w:w="0" w:type="dxa"/>
            <w:left w:w="0" w:type="dxa"/>
            <w:bottom w:w="0" w:type="dxa"/>
            <w:right w:w="0" w:type="dxa"/>
          </w:tblCellMar>
        </w:tblPrEx>
        <w:trPr>
          <w:wBefore w:w="0" w:type="auto"/>
          <w:tblCellSpacing w:w="0" w:type="dxa"/>
        </w:trPr>
        <w:tc>
          <w:tcPr>
            <w:tcW w:w="0" w:type="auto"/>
            <w:noWrap w:val="0"/>
            <w:vAlign w:val="center"/>
          </w:tcPr>
          <w:p w14:paraId="55615FEF">
            <w:r>
              <w:rPr>
                <w:rStyle w:val="10"/>
                <w:rFonts w:hint="eastAsia"/>
              </w:rPr>
              <w:t>登记证号：</w:t>
            </w:r>
            <w:r>
              <w:rPr>
                <w:rFonts w:hint="eastAsia"/>
              </w:rPr>
              <w:t>PD20212055</w:t>
            </w:r>
          </w:p>
        </w:tc>
      </w:tr>
      <w:tr w14:paraId="580233F2">
        <w:tblPrEx>
          <w:tblCellMar>
            <w:top w:w="0" w:type="dxa"/>
            <w:left w:w="0" w:type="dxa"/>
            <w:bottom w:w="0" w:type="dxa"/>
            <w:right w:w="0" w:type="dxa"/>
          </w:tblCellMar>
        </w:tblPrEx>
        <w:trPr>
          <w:wBefore w:w="0" w:type="auto"/>
          <w:tblCellSpacing w:w="0" w:type="dxa"/>
        </w:trPr>
        <w:tc>
          <w:tcPr>
            <w:tcW w:w="0" w:type="auto"/>
            <w:noWrap w:val="0"/>
            <w:vAlign w:val="center"/>
          </w:tcPr>
          <w:p w14:paraId="6A185F35">
            <w:r>
              <w:rPr>
                <w:rStyle w:val="10"/>
                <w:rFonts w:hint="eastAsia"/>
              </w:rPr>
              <w:t>登记证持有人：</w:t>
            </w:r>
            <w:r>
              <w:rPr>
                <w:rFonts w:hint="eastAsia"/>
              </w:rPr>
              <w:t>六夫丁作物保护有限公司</w:t>
            </w:r>
          </w:p>
        </w:tc>
      </w:tr>
      <w:tr w14:paraId="4E8A7451">
        <w:tblPrEx>
          <w:tblCellMar>
            <w:top w:w="0" w:type="dxa"/>
            <w:left w:w="0" w:type="dxa"/>
            <w:bottom w:w="0" w:type="dxa"/>
            <w:right w:w="0" w:type="dxa"/>
          </w:tblCellMar>
        </w:tblPrEx>
        <w:trPr>
          <w:wBefore w:w="0" w:type="auto"/>
          <w:tblCellSpacing w:w="0" w:type="dxa"/>
        </w:trPr>
        <w:tc>
          <w:tcPr>
            <w:tcW w:w="0" w:type="auto"/>
            <w:noWrap w:val="0"/>
            <w:vAlign w:val="center"/>
          </w:tcPr>
          <w:p w14:paraId="6C0168EC">
            <w:r>
              <w:rPr>
                <w:rStyle w:val="10"/>
                <w:rFonts w:hint="eastAsia"/>
              </w:rPr>
              <w:t>农药名称：</w:t>
            </w:r>
            <w:r>
              <w:rPr>
                <w:rFonts w:hint="eastAsia"/>
              </w:rPr>
              <w:t>苄氨·赤霉酸</w:t>
            </w:r>
          </w:p>
        </w:tc>
      </w:tr>
      <w:tr w14:paraId="486485C7">
        <w:tblPrEx>
          <w:tblCellMar>
            <w:top w:w="0" w:type="dxa"/>
            <w:left w:w="0" w:type="dxa"/>
            <w:bottom w:w="0" w:type="dxa"/>
            <w:right w:w="0" w:type="dxa"/>
          </w:tblCellMar>
        </w:tblPrEx>
        <w:trPr>
          <w:wBefore w:w="0" w:type="auto"/>
          <w:tblCellSpacing w:w="0" w:type="dxa"/>
        </w:trPr>
        <w:tc>
          <w:tcPr>
            <w:tcW w:w="0" w:type="auto"/>
            <w:noWrap w:val="0"/>
            <w:vAlign w:val="center"/>
          </w:tcPr>
          <w:p w14:paraId="1CD8A0FA">
            <w:r>
              <w:rPr>
                <w:rStyle w:val="10"/>
                <w:rFonts w:hint="eastAsia"/>
              </w:rPr>
              <w:t>剂型：</w:t>
            </w:r>
            <w:r>
              <w:rPr>
                <w:rFonts w:hint="eastAsia"/>
              </w:rPr>
              <w:t>可溶液剂</w:t>
            </w:r>
          </w:p>
        </w:tc>
      </w:tr>
      <w:tr w14:paraId="465FC7DE">
        <w:tblPrEx>
          <w:tblCellMar>
            <w:top w:w="0" w:type="dxa"/>
            <w:left w:w="0" w:type="dxa"/>
            <w:bottom w:w="0" w:type="dxa"/>
            <w:right w:w="0" w:type="dxa"/>
          </w:tblCellMar>
        </w:tblPrEx>
        <w:trPr>
          <w:wBefore w:w="0" w:type="auto"/>
          <w:tblCellSpacing w:w="0" w:type="dxa"/>
        </w:trPr>
        <w:tc>
          <w:tcPr>
            <w:tcW w:w="0" w:type="auto"/>
            <w:noWrap w:val="0"/>
            <w:vAlign w:val="center"/>
          </w:tcPr>
          <w:p w14:paraId="0DFF3D4C">
            <w:r>
              <w:rPr>
                <w:rStyle w:val="10"/>
                <w:rFonts w:hint="eastAsia"/>
              </w:rPr>
              <w:t>毒性及其标识：</w:t>
            </w:r>
            <w:r>
              <w:rPr>
                <w:rFonts w:hint="eastAsia"/>
              </w:rPr>
              <w:t xml:space="preserve"> </w:t>
            </w:r>
            <w:r>
              <w:rPr>
                <w:lang/>
              </w:rPr>
              <w:drawing>
                <wp:inline distT="0" distB="0" distL="114300" distR="114300">
                  <wp:extent cx="476250" cy="323850"/>
                  <wp:effectExtent l="0" t="0" r="0" b="0"/>
                  <wp:docPr id="301" name="图片 30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F7087B2">
        <w:tblPrEx>
          <w:tblCellMar>
            <w:top w:w="0" w:type="dxa"/>
            <w:left w:w="0" w:type="dxa"/>
            <w:bottom w:w="0" w:type="dxa"/>
            <w:right w:w="0" w:type="dxa"/>
          </w:tblCellMar>
        </w:tblPrEx>
        <w:trPr>
          <w:wBefore w:w="0" w:type="auto"/>
          <w:tblCellSpacing w:w="0" w:type="dxa"/>
        </w:trPr>
        <w:tc>
          <w:tcPr>
            <w:tcW w:w="0" w:type="auto"/>
            <w:noWrap w:val="0"/>
            <w:vAlign w:val="center"/>
          </w:tcPr>
          <w:p w14:paraId="0061023C">
            <w:r>
              <w:rPr>
                <w:rStyle w:val="10"/>
                <w:rFonts w:hint="eastAsia"/>
              </w:rPr>
              <w:t>总有效成分含量：</w:t>
            </w:r>
            <w:r>
              <w:rPr>
                <w:rFonts w:hint="eastAsia"/>
              </w:rPr>
              <w:t>3.6%</w:t>
            </w:r>
          </w:p>
        </w:tc>
      </w:tr>
      <w:tr w14:paraId="4AAE10C2">
        <w:tblPrEx>
          <w:tblCellMar>
            <w:top w:w="0" w:type="dxa"/>
            <w:left w:w="0" w:type="dxa"/>
            <w:bottom w:w="0" w:type="dxa"/>
            <w:right w:w="0" w:type="dxa"/>
          </w:tblCellMar>
        </w:tblPrEx>
        <w:trPr>
          <w:wBefore w:w="0" w:type="auto"/>
          <w:tblCellSpacing w:w="0" w:type="dxa"/>
        </w:trPr>
        <w:tc>
          <w:tcPr>
            <w:tcW w:w="0" w:type="auto"/>
            <w:noWrap w:val="0"/>
            <w:vAlign w:val="center"/>
          </w:tcPr>
          <w:p w14:paraId="00170FB7">
            <w:r>
              <w:rPr>
                <w:rFonts w:hint="eastAsia"/>
              </w:rPr>
              <w:t xml:space="preserve">有效成分及其含量： </w:t>
            </w:r>
          </w:p>
          <w:p w14:paraId="68B96E4C">
            <w:r>
              <w:rPr>
                <w:rFonts w:hint="eastAsia"/>
              </w:rPr>
              <w:t xml:space="preserve">    赤霉酸A4+A71.8%    苄氨基嘌呤1.8%    </w:t>
            </w:r>
          </w:p>
        </w:tc>
      </w:tr>
      <w:tr w14:paraId="717D9CEE">
        <w:tblPrEx>
          <w:tblCellMar>
            <w:top w:w="0" w:type="dxa"/>
            <w:left w:w="0" w:type="dxa"/>
            <w:bottom w:w="0" w:type="dxa"/>
            <w:right w:w="0" w:type="dxa"/>
          </w:tblCellMar>
        </w:tblPrEx>
        <w:trPr>
          <w:wBefore w:w="0" w:type="auto"/>
          <w:tblCellSpacing w:w="0" w:type="dxa"/>
        </w:trPr>
        <w:tc>
          <w:tcPr>
            <w:tcW w:w="0" w:type="auto"/>
            <w:noWrap w:val="0"/>
            <w:vAlign w:val="center"/>
          </w:tcPr>
          <w:p w14:paraId="4ABF5EA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35BC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AC4754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272F0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4B540D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67796F">
                  <w:r>
                    <w:rPr>
                      <w:rStyle w:val="11"/>
                      <w:rFonts w:hint="eastAsia"/>
                    </w:rPr>
                    <w:t>施用方式</w:t>
                  </w:r>
                </w:p>
              </w:tc>
            </w:tr>
            <w:tr w14:paraId="24B53D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8B72D0">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5CF466">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FDB1E0">
                  <w:r>
                    <w:rPr>
                      <w:rStyle w:val="11"/>
                      <w:rFonts w:hint="eastAsia"/>
                    </w:rPr>
                    <w:t>600-800倍液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A2D425">
                  <w:r>
                    <w:rPr>
                      <w:rStyle w:val="11"/>
                      <w:rFonts w:hint="eastAsia"/>
                    </w:rPr>
                    <w:t>喷雾</w:t>
                  </w:r>
                </w:p>
              </w:tc>
            </w:tr>
          </w:tbl>
          <w:p w14:paraId="268814BE">
            <w:pPr>
              <w:rPr>
                <w:rFonts w:ascii="Times New Roman" w:hAnsi="Times New Roman" w:cs="Times New Roman"/>
                <w:sz w:val="20"/>
                <w:szCs w:val="20"/>
              </w:rPr>
            </w:pPr>
          </w:p>
        </w:tc>
      </w:tr>
      <w:tr w14:paraId="150C4684">
        <w:tblPrEx>
          <w:tblCellMar>
            <w:top w:w="0" w:type="dxa"/>
            <w:left w:w="0" w:type="dxa"/>
            <w:bottom w:w="0" w:type="dxa"/>
            <w:right w:w="0" w:type="dxa"/>
          </w:tblCellMar>
        </w:tblPrEx>
        <w:trPr>
          <w:wBefore w:w="0" w:type="auto"/>
          <w:tblCellSpacing w:w="0" w:type="dxa"/>
        </w:trPr>
        <w:tc>
          <w:tcPr>
            <w:tcW w:w="0" w:type="auto"/>
            <w:noWrap w:val="0"/>
            <w:vAlign w:val="center"/>
          </w:tcPr>
          <w:p w14:paraId="7E996D2E">
            <w:r>
              <w:rPr>
                <w:rStyle w:val="10"/>
                <w:rFonts w:hint="eastAsia"/>
              </w:rPr>
              <w:t>使用技术要求:</w:t>
            </w:r>
            <w:r>
              <w:rPr>
                <w:rFonts w:hint="eastAsia"/>
              </w:rPr>
              <w:br w:type="textWrapping"/>
            </w:r>
            <w:r>
              <w:rPr>
                <w:rStyle w:val="11"/>
                <w:rFonts w:hint="eastAsia"/>
              </w:rPr>
              <w:t>1. 在苹果树盛花期以及谢花后幼果期各喷雾一次。全株均匀喷雾； 2. 以喷湿不滴水为度，力求均匀周到，勿重复喷施； 3. 一般在早晨或傍晚施药，避免在高温烈日下使用。风天或预计1小时内降雨，请勿施药。</w:t>
            </w:r>
          </w:p>
        </w:tc>
      </w:tr>
      <w:tr w14:paraId="1C2B012C">
        <w:tblPrEx>
          <w:tblCellMar>
            <w:top w:w="0" w:type="dxa"/>
            <w:left w:w="0" w:type="dxa"/>
            <w:bottom w:w="0" w:type="dxa"/>
            <w:right w:w="0" w:type="dxa"/>
          </w:tblCellMar>
        </w:tblPrEx>
        <w:trPr>
          <w:wBefore w:w="0" w:type="auto"/>
          <w:tblCellSpacing w:w="0" w:type="dxa"/>
        </w:trPr>
        <w:tc>
          <w:tcPr>
            <w:tcW w:w="0" w:type="auto"/>
            <w:noWrap w:val="0"/>
            <w:vAlign w:val="center"/>
          </w:tcPr>
          <w:p w14:paraId="7C9E2CD6">
            <w:r>
              <w:rPr>
                <w:rStyle w:val="10"/>
                <w:rFonts w:hint="eastAsia"/>
              </w:rPr>
              <w:t>产品性能:</w:t>
            </w:r>
            <w:r>
              <w:rPr>
                <w:rFonts w:hint="eastAsia"/>
              </w:rPr>
              <w:br w:type="textWrapping"/>
            </w:r>
            <w:r>
              <w:rPr>
                <w:rStyle w:val="11"/>
                <w:rFonts w:hint="eastAsia"/>
              </w:rPr>
              <w:t xml:space="preserve">本品是由赤霉酸和苄氨基嘌呤复配而成，可促进作物花芽分化，催花促花，花茎伸长，促进幼果细胞分裂，细胞膨大，促进单性结实和果实生长，而达到提高座果率，保花保果的效果；本品还可激活细胞活力、增大叶片、促进作物生长、缓解逆境障碍等。 </w:t>
            </w:r>
          </w:p>
        </w:tc>
      </w:tr>
      <w:tr w14:paraId="0D0D0959">
        <w:tblPrEx>
          <w:tblCellMar>
            <w:top w:w="0" w:type="dxa"/>
            <w:left w:w="0" w:type="dxa"/>
            <w:bottom w:w="0" w:type="dxa"/>
            <w:right w:w="0" w:type="dxa"/>
          </w:tblCellMar>
        </w:tblPrEx>
        <w:trPr>
          <w:wBefore w:w="0" w:type="auto"/>
          <w:tblCellSpacing w:w="0" w:type="dxa"/>
        </w:trPr>
        <w:tc>
          <w:tcPr>
            <w:tcW w:w="0" w:type="auto"/>
            <w:noWrap w:val="0"/>
            <w:vAlign w:val="center"/>
          </w:tcPr>
          <w:p w14:paraId="26BCC244">
            <w:r>
              <w:rPr>
                <w:rStyle w:val="10"/>
                <w:rFonts w:hint="eastAsia"/>
              </w:rPr>
              <w:t>注意事项：</w:t>
            </w:r>
            <w:r>
              <w:rPr>
                <w:rFonts w:hint="eastAsia"/>
              </w:rPr>
              <w:br w:type="textWrapping"/>
            </w:r>
            <w:r>
              <w:rPr>
                <w:rStyle w:val="11"/>
                <w:rFonts w:hint="eastAsia"/>
              </w:rPr>
              <w:t>1. 本品系接触型植物生长调节剂，用水量需足以喷湿全株叶片，花瓣及幼果。喷出液需成细雾状，水质以微酸性为宜。2. 切勿与铜制剂、碱性肥药混用。3. 用清洁的水配制药液，随配随用切勿久置。4. 喷药的果树应加强肥水管理。5. 禁止在河塘等水体清洗施药器具，清洗器具的废水不能排入河流、池塘等水源。鸟类保护区附近禁用。6. 本品对眼睛有刺激性，使用时避免药液接触眼睛，穿戴长衣、长裤、帽子、口罩、眼镜、手套等防护措施。 7. 废弃物要妥善处理，不能随意丢弃，也不能做他用。8. 避免孕妇及哺乳期的妇女接触。</w:t>
            </w:r>
          </w:p>
        </w:tc>
      </w:tr>
      <w:tr w14:paraId="160DBDD6">
        <w:tblPrEx>
          <w:tblCellMar>
            <w:top w:w="0" w:type="dxa"/>
            <w:left w:w="0" w:type="dxa"/>
            <w:bottom w:w="0" w:type="dxa"/>
            <w:right w:w="0" w:type="dxa"/>
          </w:tblCellMar>
        </w:tblPrEx>
        <w:trPr>
          <w:wBefore w:w="0" w:type="auto"/>
          <w:tblCellSpacing w:w="0" w:type="dxa"/>
        </w:trPr>
        <w:tc>
          <w:tcPr>
            <w:tcW w:w="0" w:type="auto"/>
            <w:noWrap w:val="0"/>
            <w:vAlign w:val="center"/>
          </w:tcPr>
          <w:p w14:paraId="0EFD22D8">
            <w:r>
              <w:rPr>
                <w:rStyle w:val="10"/>
                <w:rFonts w:hint="eastAsia"/>
              </w:rPr>
              <w:t>中毒急救措施：</w:t>
            </w:r>
            <w:r>
              <w:rPr>
                <w:rFonts w:hint="eastAsia"/>
              </w:rPr>
              <w:br w:type="textWrapping"/>
            </w:r>
            <w:r>
              <w:rPr>
                <w:rStyle w:val="11"/>
                <w:rFonts w:hint="eastAsia"/>
              </w:rPr>
              <w:t xml:space="preserve">中毒症状：对眼睛和皮肤有刺激作用。 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用清水充分漱口后，立即携带标签到医院对症治疗。 </w:t>
            </w:r>
          </w:p>
        </w:tc>
      </w:tr>
      <w:tr w14:paraId="0262F4AF">
        <w:tblPrEx>
          <w:tblCellMar>
            <w:top w:w="0" w:type="dxa"/>
            <w:left w:w="0" w:type="dxa"/>
            <w:bottom w:w="0" w:type="dxa"/>
            <w:right w:w="0" w:type="dxa"/>
          </w:tblCellMar>
        </w:tblPrEx>
        <w:trPr>
          <w:wBefore w:w="0" w:type="auto"/>
          <w:tblCellSpacing w:w="0" w:type="dxa"/>
        </w:trPr>
        <w:tc>
          <w:tcPr>
            <w:tcW w:w="0" w:type="auto"/>
            <w:noWrap w:val="0"/>
            <w:vAlign w:val="center"/>
          </w:tcPr>
          <w:p w14:paraId="1B533E04">
            <w:r>
              <w:rPr>
                <w:rStyle w:val="10"/>
                <w:rFonts w:hint="eastAsia"/>
              </w:rPr>
              <w:t>储存和运输方法：</w:t>
            </w:r>
            <w:r>
              <w:rPr>
                <w:rFonts w:hint="eastAsia"/>
              </w:rPr>
              <w:br w:type="textWrapping"/>
            </w:r>
            <w:r>
              <w:rPr>
                <w:rStyle w:val="11"/>
                <w:rFonts w:hint="eastAsia"/>
              </w:rPr>
              <w:t xml:space="preserve">本品应贮存在干燥、通风、阴凉、防雨处，远离火源或热源；本品应置于儿童、无关人员及动物接触不到的地方，并加锁保存；勿与食品、饮料、饲料、粮食等其他商品同贮同运；运输时应注意避光、防高温、雨淋。 </w:t>
            </w:r>
          </w:p>
        </w:tc>
      </w:tr>
      <w:tr w14:paraId="2CD12259">
        <w:tblPrEx>
          <w:tblCellMar>
            <w:top w:w="0" w:type="dxa"/>
            <w:left w:w="0" w:type="dxa"/>
            <w:bottom w:w="0" w:type="dxa"/>
            <w:right w:w="0" w:type="dxa"/>
          </w:tblCellMar>
        </w:tblPrEx>
        <w:trPr>
          <w:wBefore w:w="0" w:type="auto"/>
          <w:tblCellSpacing w:w="0" w:type="dxa"/>
        </w:trPr>
        <w:tc>
          <w:tcPr>
            <w:tcW w:w="0" w:type="auto"/>
            <w:noWrap w:val="0"/>
            <w:vAlign w:val="center"/>
          </w:tcPr>
          <w:p w14:paraId="1826489C">
            <w:r>
              <w:rPr>
                <w:rStyle w:val="10"/>
                <w:rFonts w:hint="eastAsia"/>
              </w:rPr>
              <w:t>质量保证期：</w:t>
            </w:r>
            <w:r>
              <w:rPr>
                <w:rStyle w:val="11"/>
                <w:rFonts w:hint="eastAsia"/>
              </w:rPr>
              <w:t>2年</w:t>
            </w:r>
          </w:p>
        </w:tc>
      </w:tr>
      <w:tr w14:paraId="12A6D215">
        <w:tblPrEx>
          <w:tblCellMar>
            <w:top w:w="0" w:type="dxa"/>
            <w:left w:w="0" w:type="dxa"/>
            <w:bottom w:w="0" w:type="dxa"/>
            <w:right w:w="0" w:type="dxa"/>
          </w:tblCellMar>
        </w:tblPrEx>
        <w:trPr>
          <w:wBefore w:w="0" w:type="auto"/>
          <w:tblCellSpacing w:w="0" w:type="dxa"/>
        </w:trPr>
        <w:tc>
          <w:tcPr>
            <w:tcW w:w="0" w:type="auto"/>
            <w:noWrap w:val="0"/>
            <w:vAlign w:val="center"/>
          </w:tcPr>
          <w:p w14:paraId="32AC213C">
            <w:r>
              <w:rPr>
                <w:rStyle w:val="10"/>
                <w:rFonts w:hint="eastAsia"/>
              </w:rPr>
              <w:t>备注：</w:t>
            </w:r>
          </w:p>
        </w:tc>
      </w:tr>
    </w:tbl>
    <w:p w14:paraId="5532342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8928E8C">
        <w:tblPrEx>
          <w:tblCellMar>
            <w:top w:w="0" w:type="dxa"/>
            <w:left w:w="0" w:type="dxa"/>
            <w:bottom w:w="0" w:type="dxa"/>
            <w:right w:w="0" w:type="dxa"/>
          </w:tblCellMar>
        </w:tblPrEx>
        <w:trPr>
          <w:wBefore w:w="0" w:type="auto"/>
          <w:tblCellSpacing w:w="0" w:type="dxa"/>
        </w:trPr>
        <w:tc>
          <w:tcPr>
            <w:tcW w:w="0" w:type="auto"/>
            <w:noWrap w:val="0"/>
            <w:vAlign w:val="center"/>
          </w:tcPr>
          <w:p w14:paraId="67CC5E33">
            <w:r>
              <w:rPr>
                <w:rStyle w:val="10"/>
                <w:rFonts w:hint="eastAsia"/>
              </w:rPr>
              <w:t>登记证号：</w:t>
            </w:r>
            <w:r>
              <w:rPr>
                <w:rFonts w:hint="eastAsia"/>
              </w:rPr>
              <w:t>PD20211912</w:t>
            </w:r>
          </w:p>
        </w:tc>
      </w:tr>
      <w:tr w14:paraId="12365799">
        <w:tblPrEx>
          <w:tblCellMar>
            <w:top w:w="0" w:type="dxa"/>
            <w:left w:w="0" w:type="dxa"/>
            <w:bottom w:w="0" w:type="dxa"/>
            <w:right w:w="0" w:type="dxa"/>
          </w:tblCellMar>
        </w:tblPrEx>
        <w:trPr>
          <w:wBefore w:w="0" w:type="auto"/>
          <w:tblCellSpacing w:w="0" w:type="dxa"/>
        </w:trPr>
        <w:tc>
          <w:tcPr>
            <w:tcW w:w="0" w:type="auto"/>
            <w:noWrap w:val="0"/>
            <w:vAlign w:val="center"/>
          </w:tcPr>
          <w:p w14:paraId="552042A3">
            <w:r>
              <w:rPr>
                <w:rStyle w:val="10"/>
                <w:rFonts w:hint="eastAsia"/>
              </w:rPr>
              <w:t>登记证持有人：</w:t>
            </w:r>
            <w:r>
              <w:rPr>
                <w:rFonts w:hint="eastAsia"/>
              </w:rPr>
              <w:t>黑龙江省苗必壮农业科技有限公司</w:t>
            </w:r>
          </w:p>
        </w:tc>
      </w:tr>
      <w:tr w14:paraId="6A43105E">
        <w:tblPrEx>
          <w:tblCellMar>
            <w:top w:w="0" w:type="dxa"/>
            <w:left w:w="0" w:type="dxa"/>
            <w:bottom w:w="0" w:type="dxa"/>
            <w:right w:w="0" w:type="dxa"/>
          </w:tblCellMar>
        </w:tblPrEx>
        <w:trPr>
          <w:wBefore w:w="0" w:type="auto"/>
          <w:tblCellSpacing w:w="0" w:type="dxa"/>
        </w:trPr>
        <w:tc>
          <w:tcPr>
            <w:tcW w:w="0" w:type="auto"/>
            <w:noWrap w:val="0"/>
            <w:vAlign w:val="center"/>
          </w:tcPr>
          <w:p w14:paraId="48203AF6">
            <w:r>
              <w:rPr>
                <w:rStyle w:val="10"/>
                <w:rFonts w:hint="eastAsia"/>
              </w:rPr>
              <w:t>农药名称：</w:t>
            </w:r>
            <w:r>
              <w:rPr>
                <w:rFonts w:hint="eastAsia"/>
              </w:rPr>
              <w:t>稻瘟·己唑醇</w:t>
            </w:r>
          </w:p>
        </w:tc>
      </w:tr>
      <w:tr w14:paraId="18CA1CF1">
        <w:tblPrEx>
          <w:tblCellMar>
            <w:top w:w="0" w:type="dxa"/>
            <w:left w:w="0" w:type="dxa"/>
            <w:bottom w:w="0" w:type="dxa"/>
            <w:right w:w="0" w:type="dxa"/>
          </w:tblCellMar>
        </w:tblPrEx>
        <w:trPr>
          <w:wBefore w:w="0" w:type="auto"/>
          <w:tblCellSpacing w:w="0" w:type="dxa"/>
        </w:trPr>
        <w:tc>
          <w:tcPr>
            <w:tcW w:w="0" w:type="auto"/>
            <w:noWrap w:val="0"/>
            <w:vAlign w:val="center"/>
          </w:tcPr>
          <w:p w14:paraId="38985EE3">
            <w:r>
              <w:rPr>
                <w:rStyle w:val="10"/>
                <w:rFonts w:hint="eastAsia"/>
              </w:rPr>
              <w:t>剂型：</w:t>
            </w:r>
            <w:r>
              <w:rPr>
                <w:rFonts w:hint="eastAsia"/>
              </w:rPr>
              <w:t>悬浮剂</w:t>
            </w:r>
          </w:p>
        </w:tc>
      </w:tr>
      <w:tr w14:paraId="6CD98A8A">
        <w:tblPrEx>
          <w:tblCellMar>
            <w:top w:w="0" w:type="dxa"/>
            <w:left w:w="0" w:type="dxa"/>
            <w:bottom w:w="0" w:type="dxa"/>
            <w:right w:w="0" w:type="dxa"/>
          </w:tblCellMar>
        </w:tblPrEx>
        <w:trPr>
          <w:wBefore w:w="0" w:type="auto"/>
          <w:tblCellSpacing w:w="0" w:type="dxa"/>
        </w:trPr>
        <w:tc>
          <w:tcPr>
            <w:tcW w:w="0" w:type="auto"/>
            <w:noWrap w:val="0"/>
            <w:vAlign w:val="center"/>
          </w:tcPr>
          <w:p w14:paraId="126303BF">
            <w:r>
              <w:rPr>
                <w:rStyle w:val="10"/>
                <w:rFonts w:hint="eastAsia"/>
              </w:rPr>
              <w:t>毒性及其标识：</w:t>
            </w:r>
            <w:r>
              <w:rPr>
                <w:rFonts w:hint="eastAsia"/>
              </w:rPr>
              <w:t xml:space="preserve"> </w:t>
            </w:r>
            <w:r>
              <w:rPr>
                <w:lang/>
              </w:rPr>
              <w:drawing>
                <wp:inline distT="0" distB="0" distL="114300" distR="114300">
                  <wp:extent cx="476250" cy="323850"/>
                  <wp:effectExtent l="0" t="0" r="0" b="0"/>
                  <wp:docPr id="302" name="图片 30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379732F">
        <w:tblPrEx>
          <w:tblCellMar>
            <w:top w:w="0" w:type="dxa"/>
            <w:left w:w="0" w:type="dxa"/>
            <w:bottom w:w="0" w:type="dxa"/>
            <w:right w:w="0" w:type="dxa"/>
          </w:tblCellMar>
        </w:tblPrEx>
        <w:trPr>
          <w:wBefore w:w="0" w:type="auto"/>
          <w:tblCellSpacing w:w="0" w:type="dxa"/>
        </w:trPr>
        <w:tc>
          <w:tcPr>
            <w:tcW w:w="0" w:type="auto"/>
            <w:noWrap w:val="0"/>
            <w:vAlign w:val="center"/>
          </w:tcPr>
          <w:p w14:paraId="10A41F2F">
            <w:r>
              <w:rPr>
                <w:rStyle w:val="10"/>
                <w:rFonts w:hint="eastAsia"/>
              </w:rPr>
              <w:t>总有效成分含量：</w:t>
            </w:r>
            <w:r>
              <w:rPr>
                <w:rFonts w:hint="eastAsia"/>
              </w:rPr>
              <w:t>25%</w:t>
            </w:r>
          </w:p>
        </w:tc>
      </w:tr>
      <w:tr w14:paraId="20BA461A">
        <w:tblPrEx>
          <w:tblCellMar>
            <w:top w:w="0" w:type="dxa"/>
            <w:left w:w="0" w:type="dxa"/>
            <w:bottom w:w="0" w:type="dxa"/>
            <w:right w:w="0" w:type="dxa"/>
          </w:tblCellMar>
        </w:tblPrEx>
        <w:trPr>
          <w:wBefore w:w="0" w:type="auto"/>
          <w:tblCellSpacing w:w="0" w:type="dxa"/>
        </w:trPr>
        <w:tc>
          <w:tcPr>
            <w:tcW w:w="0" w:type="auto"/>
            <w:noWrap w:val="0"/>
            <w:vAlign w:val="center"/>
          </w:tcPr>
          <w:p w14:paraId="572BDEC6">
            <w:r>
              <w:rPr>
                <w:rFonts w:hint="eastAsia"/>
              </w:rPr>
              <w:t xml:space="preserve">有效成分及其含量： </w:t>
            </w:r>
          </w:p>
          <w:p w14:paraId="27A81DB5">
            <w:r>
              <w:rPr>
                <w:rFonts w:hint="eastAsia"/>
              </w:rPr>
              <w:t xml:space="preserve">    己唑醇5%    稻瘟酰胺20%    </w:t>
            </w:r>
          </w:p>
        </w:tc>
      </w:tr>
      <w:tr w14:paraId="2A8BF849">
        <w:tblPrEx>
          <w:tblCellMar>
            <w:top w:w="0" w:type="dxa"/>
            <w:left w:w="0" w:type="dxa"/>
            <w:bottom w:w="0" w:type="dxa"/>
            <w:right w:w="0" w:type="dxa"/>
          </w:tblCellMar>
        </w:tblPrEx>
        <w:trPr>
          <w:wBefore w:w="0" w:type="auto"/>
          <w:tblCellSpacing w:w="0" w:type="dxa"/>
        </w:trPr>
        <w:tc>
          <w:tcPr>
            <w:tcW w:w="0" w:type="auto"/>
            <w:noWrap w:val="0"/>
            <w:vAlign w:val="center"/>
          </w:tcPr>
          <w:p w14:paraId="5A4F01C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FCADB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7EF567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FAB2A1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F8B092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D5CA66F">
                  <w:r>
                    <w:rPr>
                      <w:rStyle w:val="11"/>
                      <w:rFonts w:hint="eastAsia"/>
                    </w:rPr>
                    <w:t>施用方式</w:t>
                  </w:r>
                </w:p>
              </w:tc>
            </w:tr>
            <w:tr w14:paraId="1ED381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FCFD540">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24CE0D">
                  <w:r>
                    <w:rPr>
                      <w:rStyle w:val="11"/>
                      <w:rFonts w:hint="eastAsia"/>
                    </w:rPr>
                    <w:t>稻瘟病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942616">
                  <w:r>
                    <w:rPr>
                      <w:rStyle w:val="11"/>
                      <w:rFonts w:hint="eastAsia"/>
                    </w:rPr>
                    <w:t>50-60毫升/亩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42C99D">
                  <w:r>
                    <w:rPr>
                      <w:rStyle w:val="11"/>
                      <w:rFonts w:hint="eastAsia"/>
                    </w:rPr>
                    <w:t>喷雾</w:t>
                  </w:r>
                </w:p>
              </w:tc>
            </w:tr>
          </w:tbl>
          <w:p w14:paraId="5F276590">
            <w:pPr>
              <w:rPr>
                <w:rFonts w:ascii="Times New Roman" w:hAnsi="Times New Roman" w:cs="Times New Roman"/>
                <w:sz w:val="20"/>
                <w:szCs w:val="20"/>
              </w:rPr>
            </w:pPr>
          </w:p>
        </w:tc>
      </w:tr>
      <w:tr w14:paraId="509EF99A">
        <w:tblPrEx>
          <w:tblCellMar>
            <w:top w:w="0" w:type="dxa"/>
            <w:left w:w="0" w:type="dxa"/>
            <w:bottom w:w="0" w:type="dxa"/>
            <w:right w:w="0" w:type="dxa"/>
          </w:tblCellMar>
        </w:tblPrEx>
        <w:trPr>
          <w:wBefore w:w="0" w:type="auto"/>
          <w:tblCellSpacing w:w="0" w:type="dxa"/>
        </w:trPr>
        <w:tc>
          <w:tcPr>
            <w:tcW w:w="0" w:type="auto"/>
            <w:noWrap w:val="0"/>
            <w:vAlign w:val="center"/>
          </w:tcPr>
          <w:p w14:paraId="3A51B2FF">
            <w:r>
              <w:rPr>
                <w:rStyle w:val="10"/>
                <w:rFonts w:hint="eastAsia"/>
              </w:rPr>
              <w:t>使用技术要求:</w:t>
            </w:r>
            <w:r>
              <w:rPr>
                <w:rFonts w:hint="eastAsia"/>
              </w:rPr>
              <w:br w:type="textWrapping"/>
            </w:r>
            <w:r>
              <w:rPr>
                <w:rStyle w:val="11"/>
                <w:rFonts w:hint="eastAsia"/>
              </w:rPr>
              <w:t>1．应于发病前或发病初期开始喷雾施药，可连续用药2次，每次间隔7天左右。 2．大风天或预计1小时内降雨，请勿施药。安全使用标准：本品在水稻上使用的安全间隔期为20天，每季作物最多使用2次。</w:t>
            </w:r>
          </w:p>
        </w:tc>
      </w:tr>
      <w:tr w14:paraId="2C904D9C">
        <w:tblPrEx>
          <w:tblCellMar>
            <w:top w:w="0" w:type="dxa"/>
            <w:left w:w="0" w:type="dxa"/>
            <w:bottom w:w="0" w:type="dxa"/>
            <w:right w:w="0" w:type="dxa"/>
          </w:tblCellMar>
        </w:tblPrEx>
        <w:trPr>
          <w:wBefore w:w="0" w:type="auto"/>
          <w:tblCellSpacing w:w="0" w:type="dxa"/>
        </w:trPr>
        <w:tc>
          <w:tcPr>
            <w:tcW w:w="0" w:type="auto"/>
            <w:noWrap w:val="0"/>
            <w:vAlign w:val="center"/>
          </w:tcPr>
          <w:p w14:paraId="717137E3">
            <w:r>
              <w:rPr>
                <w:rStyle w:val="10"/>
                <w:rFonts w:hint="eastAsia"/>
              </w:rPr>
              <w:t>产品性能:</w:t>
            </w:r>
            <w:r>
              <w:rPr>
                <w:rFonts w:hint="eastAsia"/>
              </w:rPr>
              <w:br w:type="textWrapping"/>
            </w:r>
            <w:r>
              <w:rPr>
                <w:rStyle w:val="11"/>
                <w:rFonts w:hint="eastAsia"/>
              </w:rPr>
              <w:t>本品是由稻瘟酰胺与己唑醇复配而成的杀菌剂，可通过抑制从附着胞的穿透来防止稻瘟病的感染，同时是破坏和阻止病菌的细胞膜重要组成成分麦角甾醇的生物合成，导致细胞膜不能形成，使病菌死亡。对水稻稻瘟病具有较好的防治效果。</w:t>
            </w:r>
          </w:p>
        </w:tc>
      </w:tr>
      <w:tr w14:paraId="3CCC17F0">
        <w:tblPrEx>
          <w:tblCellMar>
            <w:top w:w="0" w:type="dxa"/>
            <w:left w:w="0" w:type="dxa"/>
            <w:bottom w:w="0" w:type="dxa"/>
            <w:right w:w="0" w:type="dxa"/>
          </w:tblCellMar>
        </w:tblPrEx>
        <w:trPr>
          <w:wBefore w:w="0" w:type="auto"/>
          <w:tblCellSpacing w:w="0" w:type="dxa"/>
        </w:trPr>
        <w:tc>
          <w:tcPr>
            <w:tcW w:w="0" w:type="auto"/>
            <w:noWrap w:val="0"/>
            <w:vAlign w:val="center"/>
          </w:tcPr>
          <w:p w14:paraId="10F5422A">
            <w:r>
              <w:rPr>
                <w:rStyle w:val="10"/>
                <w:rFonts w:hint="eastAsia"/>
              </w:rPr>
              <w:t>注意事项：</w:t>
            </w:r>
            <w:r>
              <w:rPr>
                <w:rFonts w:hint="eastAsia"/>
              </w:rPr>
              <w:br w:type="textWrapping"/>
            </w:r>
            <w:r>
              <w:rPr>
                <w:rStyle w:val="11"/>
                <w:rFonts w:hint="eastAsia"/>
              </w:rPr>
              <w:t>1．在专业植保人员的指导下施药，不能随意增加施药量、施药次数或缩短施药间隔。2．施用时若周围有桑园，最外围桑树为隔离带，不能用于饲养家蚕。3．每次施药时间最好控制在 4 h 以内。施用人员定期检查、维护和保养施药器械，避免施药器械的故障或药液箱漏液。4. 施药时远离水产养殖区、河塘等水体。禁止在河塘等水体内清洗施药器具或将清洗施药器具的废水倒入河流、池塘等水体。5．使用本品时要注意防护，须戴护目镜、防毒面具和双层防护手套，穿专业防护服、长筒靴等安全性护具。避免吸入药液。施药期间不可吃东西、喝水和吸烟。施药后应及时用肥皂洗手、洗脸和清洗防护用具。 6．用过的容器应妥善处理，不可做他用，也不可随意丢弃。 7．孕妇及哺乳期妇女禁止接触本品。</w:t>
            </w:r>
          </w:p>
        </w:tc>
      </w:tr>
      <w:tr w14:paraId="0724135C">
        <w:tblPrEx>
          <w:tblCellMar>
            <w:top w:w="0" w:type="dxa"/>
            <w:left w:w="0" w:type="dxa"/>
            <w:bottom w:w="0" w:type="dxa"/>
            <w:right w:w="0" w:type="dxa"/>
          </w:tblCellMar>
        </w:tblPrEx>
        <w:trPr>
          <w:wBefore w:w="0" w:type="auto"/>
          <w:tblCellSpacing w:w="0" w:type="dxa"/>
        </w:trPr>
        <w:tc>
          <w:tcPr>
            <w:tcW w:w="0" w:type="auto"/>
            <w:noWrap w:val="0"/>
            <w:vAlign w:val="center"/>
          </w:tcPr>
          <w:p w14:paraId="291CB876">
            <w:r>
              <w:rPr>
                <w:rStyle w:val="10"/>
                <w:rFonts w:hint="eastAsia"/>
              </w:rPr>
              <w:t>中毒急救措施：</w:t>
            </w:r>
            <w:r>
              <w:rPr>
                <w:rFonts w:hint="eastAsia"/>
              </w:rPr>
              <w:br w:type="textWrapping"/>
            </w:r>
            <w:r>
              <w:rPr>
                <w:rStyle w:val="11"/>
                <w:rFonts w:hint="eastAsia"/>
              </w:rPr>
              <w:t>中毒症状：皮肤接触可引起刺激症状，出现红色丘疹。急性中毒时，轻者有头痛、头晕、恶心、呕吐、食欲不振、乏力，重者还可出现肌束颤动和抽搐。 1.皮肤接触，脱去污染的衣物，立即用软布去除沾染农药，用大量清水和肥皂冲洗； 2.不慎溅入眼睛，应用大量清水冲洗至少15分钟,如还有不适，请就医治疗。 3.吸入，立即离开施药现场，转移到空气清新处；误服则应立即携标签将患者送医院对症治疗。</w:t>
            </w:r>
          </w:p>
        </w:tc>
      </w:tr>
      <w:tr w14:paraId="4DA53113">
        <w:tblPrEx>
          <w:tblCellMar>
            <w:top w:w="0" w:type="dxa"/>
            <w:left w:w="0" w:type="dxa"/>
            <w:bottom w:w="0" w:type="dxa"/>
            <w:right w:w="0" w:type="dxa"/>
          </w:tblCellMar>
        </w:tblPrEx>
        <w:trPr>
          <w:wBefore w:w="0" w:type="auto"/>
          <w:tblCellSpacing w:w="0" w:type="dxa"/>
        </w:trPr>
        <w:tc>
          <w:tcPr>
            <w:tcW w:w="0" w:type="auto"/>
            <w:noWrap w:val="0"/>
            <w:vAlign w:val="center"/>
          </w:tcPr>
          <w:p w14:paraId="541E04DB">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本品应贮存在干燥、阴凉、通风、防雨处，远离火源或热源。置于儿童及无关人员触及不到之处，并加锁。不能与食品、饮料、粮食、饲料等物品同贮同运</w:t>
            </w:r>
          </w:p>
        </w:tc>
      </w:tr>
      <w:tr w14:paraId="3CF36DC7">
        <w:tblPrEx>
          <w:tblCellMar>
            <w:top w:w="0" w:type="dxa"/>
            <w:left w:w="0" w:type="dxa"/>
            <w:bottom w:w="0" w:type="dxa"/>
            <w:right w:w="0" w:type="dxa"/>
          </w:tblCellMar>
        </w:tblPrEx>
        <w:trPr>
          <w:wBefore w:w="0" w:type="auto"/>
          <w:tblCellSpacing w:w="0" w:type="dxa"/>
        </w:trPr>
        <w:tc>
          <w:tcPr>
            <w:tcW w:w="0" w:type="auto"/>
            <w:noWrap w:val="0"/>
            <w:vAlign w:val="center"/>
          </w:tcPr>
          <w:p w14:paraId="21700732">
            <w:r>
              <w:rPr>
                <w:rStyle w:val="10"/>
                <w:rFonts w:hint="eastAsia"/>
              </w:rPr>
              <w:t>质量保证期：</w:t>
            </w:r>
            <w:r>
              <w:rPr>
                <w:rStyle w:val="11"/>
                <w:rFonts w:hint="eastAsia"/>
              </w:rPr>
              <w:t>2年</w:t>
            </w:r>
          </w:p>
        </w:tc>
      </w:tr>
      <w:tr w14:paraId="4D249B81">
        <w:tblPrEx>
          <w:tblCellMar>
            <w:top w:w="0" w:type="dxa"/>
            <w:left w:w="0" w:type="dxa"/>
            <w:bottom w:w="0" w:type="dxa"/>
            <w:right w:w="0" w:type="dxa"/>
          </w:tblCellMar>
        </w:tblPrEx>
        <w:trPr>
          <w:wBefore w:w="0" w:type="auto"/>
          <w:tblCellSpacing w:w="0" w:type="dxa"/>
        </w:trPr>
        <w:tc>
          <w:tcPr>
            <w:tcW w:w="0" w:type="auto"/>
            <w:noWrap w:val="0"/>
            <w:vAlign w:val="center"/>
          </w:tcPr>
          <w:p w14:paraId="00CBD8C9">
            <w:r>
              <w:rPr>
                <w:rStyle w:val="10"/>
                <w:rFonts w:hint="eastAsia"/>
              </w:rPr>
              <w:t>备注：</w:t>
            </w:r>
          </w:p>
        </w:tc>
      </w:tr>
    </w:tbl>
    <w:p w14:paraId="06436A7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08022E5">
        <w:tblPrEx>
          <w:tblCellMar>
            <w:top w:w="0" w:type="dxa"/>
            <w:left w:w="0" w:type="dxa"/>
            <w:bottom w:w="0" w:type="dxa"/>
            <w:right w:w="0" w:type="dxa"/>
          </w:tblCellMar>
        </w:tblPrEx>
        <w:trPr>
          <w:wBefore w:w="0" w:type="auto"/>
          <w:tblCellSpacing w:w="0" w:type="dxa"/>
        </w:trPr>
        <w:tc>
          <w:tcPr>
            <w:tcW w:w="0" w:type="auto"/>
            <w:noWrap w:val="0"/>
            <w:vAlign w:val="center"/>
          </w:tcPr>
          <w:p w14:paraId="7FCB70A1">
            <w:r>
              <w:rPr>
                <w:rStyle w:val="10"/>
                <w:rFonts w:hint="eastAsia"/>
              </w:rPr>
              <w:t>登记证号：</w:t>
            </w:r>
            <w:r>
              <w:rPr>
                <w:rFonts w:hint="eastAsia"/>
              </w:rPr>
              <w:t>PD20211750</w:t>
            </w:r>
          </w:p>
        </w:tc>
      </w:tr>
      <w:tr w14:paraId="2D389EB4">
        <w:tblPrEx>
          <w:tblCellMar>
            <w:top w:w="0" w:type="dxa"/>
            <w:left w:w="0" w:type="dxa"/>
            <w:bottom w:w="0" w:type="dxa"/>
            <w:right w:w="0" w:type="dxa"/>
          </w:tblCellMar>
        </w:tblPrEx>
        <w:trPr>
          <w:wBefore w:w="0" w:type="auto"/>
          <w:tblCellSpacing w:w="0" w:type="dxa"/>
        </w:trPr>
        <w:tc>
          <w:tcPr>
            <w:tcW w:w="0" w:type="auto"/>
            <w:noWrap w:val="0"/>
            <w:vAlign w:val="center"/>
          </w:tcPr>
          <w:p w14:paraId="0A8EAED7">
            <w:r>
              <w:rPr>
                <w:rStyle w:val="10"/>
                <w:rFonts w:hint="eastAsia"/>
              </w:rPr>
              <w:t>登记证持有人：</w:t>
            </w:r>
            <w:r>
              <w:rPr>
                <w:rFonts w:hint="eastAsia"/>
              </w:rPr>
              <w:t>安徽丰乐农化有限责任公司</w:t>
            </w:r>
          </w:p>
        </w:tc>
      </w:tr>
      <w:tr w14:paraId="37B20E5B">
        <w:tblPrEx>
          <w:tblCellMar>
            <w:top w:w="0" w:type="dxa"/>
            <w:left w:w="0" w:type="dxa"/>
            <w:bottom w:w="0" w:type="dxa"/>
            <w:right w:w="0" w:type="dxa"/>
          </w:tblCellMar>
        </w:tblPrEx>
        <w:trPr>
          <w:wBefore w:w="0" w:type="auto"/>
          <w:tblCellSpacing w:w="0" w:type="dxa"/>
        </w:trPr>
        <w:tc>
          <w:tcPr>
            <w:tcW w:w="0" w:type="auto"/>
            <w:noWrap w:val="0"/>
            <w:vAlign w:val="center"/>
          </w:tcPr>
          <w:p w14:paraId="5D7E7FB3">
            <w:r>
              <w:rPr>
                <w:rStyle w:val="10"/>
                <w:rFonts w:hint="eastAsia"/>
              </w:rPr>
              <w:t>农药名称：</w:t>
            </w:r>
            <w:r>
              <w:rPr>
                <w:rFonts w:hint="eastAsia"/>
              </w:rPr>
              <w:t>噻虫·氟氯氰</w:t>
            </w:r>
          </w:p>
        </w:tc>
      </w:tr>
      <w:tr w14:paraId="0C96723A">
        <w:tblPrEx>
          <w:tblCellMar>
            <w:top w:w="0" w:type="dxa"/>
            <w:left w:w="0" w:type="dxa"/>
            <w:bottom w:w="0" w:type="dxa"/>
            <w:right w:w="0" w:type="dxa"/>
          </w:tblCellMar>
        </w:tblPrEx>
        <w:trPr>
          <w:wBefore w:w="0" w:type="auto"/>
          <w:tblCellSpacing w:w="0" w:type="dxa"/>
        </w:trPr>
        <w:tc>
          <w:tcPr>
            <w:tcW w:w="0" w:type="auto"/>
            <w:noWrap w:val="0"/>
            <w:vAlign w:val="center"/>
          </w:tcPr>
          <w:p w14:paraId="52B67C59">
            <w:r>
              <w:rPr>
                <w:rStyle w:val="10"/>
                <w:rFonts w:hint="eastAsia"/>
              </w:rPr>
              <w:t>剂型：</w:t>
            </w:r>
            <w:r>
              <w:rPr>
                <w:rFonts w:hint="eastAsia"/>
              </w:rPr>
              <w:t>颗粒剂</w:t>
            </w:r>
          </w:p>
        </w:tc>
      </w:tr>
      <w:tr w14:paraId="3280BA02">
        <w:tblPrEx>
          <w:tblCellMar>
            <w:top w:w="0" w:type="dxa"/>
            <w:left w:w="0" w:type="dxa"/>
            <w:bottom w:w="0" w:type="dxa"/>
            <w:right w:w="0" w:type="dxa"/>
          </w:tblCellMar>
        </w:tblPrEx>
        <w:trPr>
          <w:wBefore w:w="0" w:type="auto"/>
          <w:tblCellSpacing w:w="0" w:type="dxa"/>
        </w:trPr>
        <w:tc>
          <w:tcPr>
            <w:tcW w:w="0" w:type="auto"/>
            <w:noWrap w:val="0"/>
            <w:vAlign w:val="center"/>
          </w:tcPr>
          <w:p w14:paraId="2CE0DAA8">
            <w:r>
              <w:rPr>
                <w:rStyle w:val="10"/>
                <w:rFonts w:hint="eastAsia"/>
              </w:rPr>
              <w:t>毒性及其标识：</w:t>
            </w:r>
            <w:r>
              <w:rPr>
                <w:rFonts w:hint="eastAsia"/>
              </w:rPr>
              <w:t xml:space="preserve"> 微毒 </w:t>
            </w:r>
          </w:p>
        </w:tc>
      </w:tr>
      <w:tr w14:paraId="672F8A3B">
        <w:tblPrEx>
          <w:tblCellMar>
            <w:top w:w="0" w:type="dxa"/>
            <w:left w:w="0" w:type="dxa"/>
            <w:bottom w:w="0" w:type="dxa"/>
            <w:right w:w="0" w:type="dxa"/>
          </w:tblCellMar>
        </w:tblPrEx>
        <w:trPr>
          <w:wBefore w:w="0" w:type="auto"/>
          <w:tblCellSpacing w:w="0" w:type="dxa"/>
        </w:trPr>
        <w:tc>
          <w:tcPr>
            <w:tcW w:w="0" w:type="auto"/>
            <w:noWrap w:val="0"/>
            <w:vAlign w:val="center"/>
          </w:tcPr>
          <w:p w14:paraId="2BAFA19F">
            <w:r>
              <w:rPr>
                <w:rStyle w:val="10"/>
                <w:rFonts w:hint="eastAsia"/>
              </w:rPr>
              <w:t>总有效成分含量：</w:t>
            </w:r>
            <w:r>
              <w:rPr>
                <w:rFonts w:hint="eastAsia"/>
              </w:rPr>
              <w:t>2%</w:t>
            </w:r>
          </w:p>
        </w:tc>
      </w:tr>
      <w:tr w14:paraId="41815F33">
        <w:tblPrEx>
          <w:tblCellMar>
            <w:top w:w="0" w:type="dxa"/>
            <w:left w:w="0" w:type="dxa"/>
            <w:bottom w:w="0" w:type="dxa"/>
            <w:right w:w="0" w:type="dxa"/>
          </w:tblCellMar>
        </w:tblPrEx>
        <w:trPr>
          <w:wBefore w:w="0" w:type="auto"/>
          <w:tblCellSpacing w:w="0" w:type="dxa"/>
        </w:trPr>
        <w:tc>
          <w:tcPr>
            <w:tcW w:w="0" w:type="auto"/>
            <w:noWrap w:val="0"/>
            <w:vAlign w:val="center"/>
          </w:tcPr>
          <w:p w14:paraId="1882427C">
            <w:r>
              <w:rPr>
                <w:rFonts w:hint="eastAsia"/>
              </w:rPr>
              <w:t xml:space="preserve">有效成分及其含量： </w:t>
            </w:r>
          </w:p>
          <w:p w14:paraId="47741483">
            <w:r>
              <w:rPr>
                <w:rFonts w:hint="eastAsia"/>
              </w:rPr>
              <w:t xml:space="preserve">    噻虫胺1.5%    氟氯氰菊酯0.5%    </w:t>
            </w:r>
          </w:p>
        </w:tc>
      </w:tr>
      <w:tr w14:paraId="06822CFD">
        <w:tblPrEx>
          <w:tblCellMar>
            <w:top w:w="0" w:type="dxa"/>
            <w:left w:w="0" w:type="dxa"/>
            <w:bottom w:w="0" w:type="dxa"/>
            <w:right w:w="0" w:type="dxa"/>
          </w:tblCellMar>
        </w:tblPrEx>
        <w:trPr>
          <w:wBefore w:w="0" w:type="auto"/>
          <w:tblCellSpacing w:w="0" w:type="dxa"/>
        </w:trPr>
        <w:tc>
          <w:tcPr>
            <w:tcW w:w="0" w:type="auto"/>
            <w:noWrap w:val="0"/>
            <w:vAlign w:val="center"/>
          </w:tcPr>
          <w:p w14:paraId="246EDD7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C6004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F6B17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42DA43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F7BC4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461067D">
                  <w:r>
                    <w:rPr>
                      <w:rStyle w:val="11"/>
                      <w:rFonts w:hint="eastAsia"/>
                    </w:rPr>
                    <w:t>施用方式</w:t>
                  </w:r>
                </w:p>
              </w:tc>
            </w:tr>
            <w:tr w14:paraId="5BCC1A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6717ABF">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FE0D9A">
                  <w:r>
                    <w:rPr>
                      <w:rStyle w:val="11"/>
                      <w:rFonts w:hint="eastAsia"/>
                    </w:rPr>
                    <w:t>蔗龟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889BEF">
                  <w:r>
                    <w:rPr>
                      <w:rStyle w:val="11"/>
                      <w:rFonts w:hint="eastAsia"/>
                    </w:rPr>
                    <w:t>1000-1250克/亩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E5CA21">
                  <w:r>
                    <w:rPr>
                      <w:rStyle w:val="11"/>
                      <w:rFonts w:hint="eastAsia"/>
                    </w:rPr>
                    <w:t>撒施</w:t>
                  </w:r>
                </w:p>
              </w:tc>
            </w:tr>
          </w:tbl>
          <w:p w14:paraId="6EA892EB">
            <w:pPr>
              <w:rPr>
                <w:rFonts w:ascii="Times New Roman" w:hAnsi="Times New Roman" w:cs="Times New Roman"/>
                <w:sz w:val="20"/>
                <w:szCs w:val="20"/>
              </w:rPr>
            </w:pPr>
          </w:p>
        </w:tc>
      </w:tr>
      <w:tr w14:paraId="385F7B8C">
        <w:tblPrEx>
          <w:tblCellMar>
            <w:top w:w="0" w:type="dxa"/>
            <w:left w:w="0" w:type="dxa"/>
            <w:bottom w:w="0" w:type="dxa"/>
            <w:right w:w="0" w:type="dxa"/>
          </w:tblCellMar>
        </w:tblPrEx>
        <w:trPr>
          <w:wBefore w:w="0" w:type="auto"/>
          <w:tblCellSpacing w:w="0" w:type="dxa"/>
        </w:trPr>
        <w:tc>
          <w:tcPr>
            <w:tcW w:w="0" w:type="auto"/>
            <w:noWrap w:val="0"/>
            <w:vAlign w:val="center"/>
          </w:tcPr>
          <w:p w14:paraId="7B1947CD">
            <w:r>
              <w:rPr>
                <w:rStyle w:val="10"/>
                <w:rFonts w:hint="eastAsia"/>
              </w:rPr>
              <w:t>使用技术要求:</w:t>
            </w:r>
            <w:r>
              <w:rPr>
                <w:rFonts w:hint="eastAsia"/>
              </w:rPr>
              <w:br w:type="textWrapping"/>
            </w:r>
            <w:r>
              <w:rPr>
                <w:rStyle w:val="11"/>
                <w:rFonts w:hint="eastAsia"/>
              </w:rPr>
              <w:t>1.将药剂拌土，在甘蔗下种时或甘蔗培土时均匀撒施，然后覆土。 2.施药后须保持一定的土壤湿润以利于有效成分的释放和均匀分布。 3.大风天或预计1小时有大雨，请勿施药。 安全使用标准：每季作物用药1次。</w:t>
            </w:r>
          </w:p>
        </w:tc>
      </w:tr>
      <w:tr w14:paraId="749FBB6F">
        <w:tblPrEx>
          <w:tblCellMar>
            <w:top w:w="0" w:type="dxa"/>
            <w:left w:w="0" w:type="dxa"/>
            <w:bottom w:w="0" w:type="dxa"/>
            <w:right w:w="0" w:type="dxa"/>
          </w:tblCellMar>
        </w:tblPrEx>
        <w:trPr>
          <w:wBefore w:w="0" w:type="auto"/>
          <w:tblCellSpacing w:w="0" w:type="dxa"/>
        </w:trPr>
        <w:tc>
          <w:tcPr>
            <w:tcW w:w="0" w:type="auto"/>
            <w:noWrap w:val="0"/>
            <w:vAlign w:val="center"/>
          </w:tcPr>
          <w:p w14:paraId="1FB7F155">
            <w:r>
              <w:rPr>
                <w:rStyle w:val="10"/>
                <w:rFonts w:hint="eastAsia"/>
              </w:rPr>
              <w:t>产品性能:</w:t>
            </w:r>
            <w:r>
              <w:rPr>
                <w:rFonts w:hint="eastAsia"/>
              </w:rPr>
              <w:br w:type="textWrapping"/>
            </w:r>
            <w:r>
              <w:rPr>
                <w:rStyle w:val="11"/>
                <w:rFonts w:hint="eastAsia"/>
              </w:rPr>
              <w:t>本品是一种新烟碱类农药和拟除虫菊酯类农药杀虫混剂，对害虫具有内吸、触杀和胃毒作用，击倒快，防效长。推荐剂量下，本品对甘蔗蔗龟有很好的防效。</w:t>
            </w:r>
          </w:p>
        </w:tc>
      </w:tr>
      <w:tr w14:paraId="4DB351F5">
        <w:tblPrEx>
          <w:tblCellMar>
            <w:top w:w="0" w:type="dxa"/>
            <w:left w:w="0" w:type="dxa"/>
            <w:bottom w:w="0" w:type="dxa"/>
            <w:right w:w="0" w:type="dxa"/>
          </w:tblCellMar>
        </w:tblPrEx>
        <w:trPr>
          <w:wBefore w:w="0" w:type="auto"/>
          <w:tblCellSpacing w:w="0" w:type="dxa"/>
        </w:trPr>
        <w:tc>
          <w:tcPr>
            <w:tcW w:w="0" w:type="auto"/>
            <w:noWrap w:val="0"/>
            <w:vAlign w:val="center"/>
          </w:tcPr>
          <w:p w14:paraId="4EBF2605">
            <w:r>
              <w:rPr>
                <w:rStyle w:val="10"/>
                <w:rFonts w:hint="eastAsia"/>
              </w:rPr>
              <w:t>注意事项：</w:t>
            </w:r>
            <w:r>
              <w:rPr>
                <w:rFonts w:hint="eastAsia"/>
              </w:rPr>
              <w:br w:type="textWrapping"/>
            </w:r>
            <w:r>
              <w:rPr>
                <w:rStyle w:val="11"/>
                <w:rFonts w:hint="eastAsia"/>
              </w:rPr>
              <w:t>1.本品为新烟碱类和拟除虫菊酯类杀虫混剂，建议与其他作用机制不同的杀虫剂轮换使用。 2.在开花期和蜜蜂放飞区禁用，使用时应密切关注对附近蜂群的影响。3. 本品对水生生物有影响，在水产养殖区、河塘等水体附近禁用。禁止在河塘等水域清洗施药器具。 4.施用时应穿戴长衣长裤、帽子、口罩、手套、鞋等。施药中禁止饮食、吸烟、饮水等；施药后应用肥皂和清水彻底清洗暴露在外的皮肤。 5.丢弃的包装物等废弃物应避免污染水体,建议用控制焚烧法或安全掩埋法处置包装物或废弃物。 6.孕妇、哺乳期的妇女、过敏体质者、感冒和皮肤病患者禁止接触本产品。</w:t>
            </w:r>
          </w:p>
        </w:tc>
      </w:tr>
      <w:tr w14:paraId="56D1BC52">
        <w:tblPrEx>
          <w:tblCellMar>
            <w:top w:w="0" w:type="dxa"/>
            <w:left w:w="0" w:type="dxa"/>
            <w:bottom w:w="0" w:type="dxa"/>
            <w:right w:w="0" w:type="dxa"/>
          </w:tblCellMar>
        </w:tblPrEx>
        <w:trPr>
          <w:wBefore w:w="0" w:type="auto"/>
          <w:tblCellSpacing w:w="0" w:type="dxa"/>
        </w:trPr>
        <w:tc>
          <w:tcPr>
            <w:tcW w:w="0" w:type="auto"/>
            <w:noWrap w:val="0"/>
            <w:vAlign w:val="center"/>
          </w:tcPr>
          <w:p w14:paraId="035E6595">
            <w:r>
              <w:rPr>
                <w:rStyle w:val="10"/>
                <w:rFonts w:hint="eastAsia"/>
              </w:rPr>
              <w:t>中毒急救措施：</w:t>
            </w:r>
            <w:r>
              <w:rPr>
                <w:rFonts w:hint="eastAsia"/>
              </w:rPr>
              <w:br w:type="textWrapping"/>
            </w:r>
            <w:r>
              <w:rPr>
                <w:rStyle w:val="11"/>
                <w:rFonts w:hint="eastAsia"/>
              </w:rPr>
              <w:t>中毒症状表现为皮肤刺痛、头痛、头昏、恶心呕吐，双手颤抖、抽搐、惊厥、昏迷等。 眼睛接触：提起眼睑，用流动清水或生理盐水冲洗。就医。 吸 入：迅速脱离现场至空气新鲜处。保持呼吸道通畅。如呼吸困难，给输氧。如呼吸停止，立即进行人工呼吸。就医。 食 入：用水漱口，并饮1-2杯水，对神志不清者切勿催吐，携此标签送医院诊治。</w:t>
            </w:r>
          </w:p>
        </w:tc>
      </w:tr>
      <w:tr w14:paraId="37E0E33A">
        <w:tblPrEx>
          <w:tblCellMar>
            <w:top w:w="0" w:type="dxa"/>
            <w:left w:w="0" w:type="dxa"/>
            <w:bottom w:w="0" w:type="dxa"/>
            <w:right w:w="0" w:type="dxa"/>
          </w:tblCellMar>
        </w:tblPrEx>
        <w:trPr>
          <w:wBefore w:w="0" w:type="auto"/>
          <w:tblCellSpacing w:w="0" w:type="dxa"/>
        </w:trPr>
        <w:tc>
          <w:tcPr>
            <w:tcW w:w="0" w:type="auto"/>
            <w:noWrap w:val="0"/>
            <w:vAlign w:val="center"/>
          </w:tcPr>
          <w:p w14:paraId="32CC7777">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本品应贮存在干燥、阴凉、通风、防雨处，远离火源或热源。置于儿童触及不到之处，并加锁。勿与食品、饮料、饲料等其他商品同贮同运。</w:t>
            </w:r>
          </w:p>
        </w:tc>
      </w:tr>
      <w:tr w14:paraId="26A2C4AE">
        <w:tblPrEx>
          <w:tblCellMar>
            <w:top w:w="0" w:type="dxa"/>
            <w:left w:w="0" w:type="dxa"/>
            <w:bottom w:w="0" w:type="dxa"/>
            <w:right w:w="0" w:type="dxa"/>
          </w:tblCellMar>
        </w:tblPrEx>
        <w:trPr>
          <w:wBefore w:w="0" w:type="auto"/>
          <w:tblCellSpacing w:w="0" w:type="dxa"/>
        </w:trPr>
        <w:tc>
          <w:tcPr>
            <w:tcW w:w="0" w:type="auto"/>
            <w:noWrap w:val="0"/>
            <w:vAlign w:val="center"/>
          </w:tcPr>
          <w:p w14:paraId="5CDF9444">
            <w:r>
              <w:rPr>
                <w:rStyle w:val="10"/>
                <w:rFonts w:hint="eastAsia"/>
              </w:rPr>
              <w:t>质量保证期：</w:t>
            </w:r>
            <w:r>
              <w:rPr>
                <w:rStyle w:val="11"/>
                <w:rFonts w:hint="eastAsia"/>
              </w:rPr>
              <w:t>2年</w:t>
            </w:r>
          </w:p>
        </w:tc>
      </w:tr>
      <w:tr w14:paraId="7B3A64FB">
        <w:tblPrEx>
          <w:tblCellMar>
            <w:top w:w="0" w:type="dxa"/>
            <w:left w:w="0" w:type="dxa"/>
            <w:bottom w:w="0" w:type="dxa"/>
            <w:right w:w="0" w:type="dxa"/>
          </w:tblCellMar>
        </w:tblPrEx>
        <w:trPr>
          <w:wBefore w:w="0" w:type="auto"/>
          <w:tblCellSpacing w:w="0" w:type="dxa"/>
        </w:trPr>
        <w:tc>
          <w:tcPr>
            <w:tcW w:w="0" w:type="auto"/>
            <w:noWrap w:val="0"/>
            <w:vAlign w:val="center"/>
          </w:tcPr>
          <w:p w14:paraId="07362BFB">
            <w:r>
              <w:rPr>
                <w:rStyle w:val="10"/>
                <w:rFonts w:hint="eastAsia"/>
              </w:rPr>
              <w:t>备注：</w:t>
            </w:r>
          </w:p>
        </w:tc>
      </w:tr>
    </w:tbl>
    <w:p w14:paraId="0FDBDB5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B9ABBC1">
        <w:tblPrEx>
          <w:tblCellMar>
            <w:top w:w="0" w:type="dxa"/>
            <w:left w:w="0" w:type="dxa"/>
            <w:bottom w:w="0" w:type="dxa"/>
            <w:right w:w="0" w:type="dxa"/>
          </w:tblCellMar>
        </w:tblPrEx>
        <w:trPr>
          <w:wBefore w:w="0" w:type="auto"/>
          <w:tblCellSpacing w:w="0" w:type="dxa"/>
        </w:trPr>
        <w:tc>
          <w:tcPr>
            <w:tcW w:w="0" w:type="auto"/>
            <w:noWrap w:val="0"/>
            <w:vAlign w:val="center"/>
          </w:tcPr>
          <w:p w14:paraId="71680AFD">
            <w:r>
              <w:rPr>
                <w:rStyle w:val="10"/>
                <w:rFonts w:hint="eastAsia"/>
              </w:rPr>
              <w:t>登记证号：</w:t>
            </w:r>
            <w:r>
              <w:rPr>
                <w:rFonts w:hint="eastAsia"/>
              </w:rPr>
              <w:t>EX20210103</w:t>
            </w:r>
          </w:p>
        </w:tc>
      </w:tr>
      <w:tr w14:paraId="1D993AAB">
        <w:tblPrEx>
          <w:tblCellMar>
            <w:top w:w="0" w:type="dxa"/>
            <w:left w:w="0" w:type="dxa"/>
            <w:bottom w:w="0" w:type="dxa"/>
            <w:right w:w="0" w:type="dxa"/>
          </w:tblCellMar>
        </w:tblPrEx>
        <w:trPr>
          <w:wBefore w:w="0" w:type="auto"/>
          <w:tblCellSpacing w:w="0" w:type="dxa"/>
        </w:trPr>
        <w:tc>
          <w:tcPr>
            <w:tcW w:w="0" w:type="auto"/>
            <w:noWrap w:val="0"/>
            <w:vAlign w:val="center"/>
          </w:tcPr>
          <w:p w14:paraId="300508AE">
            <w:r>
              <w:rPr>
                <w:rStyle w:val="10"/>
                <w:rFonts w:hint="eastAsia"/>
              </w:rPr>
              <w:t>登记证持有人：</w:t>
            </w:r>
            <w:r>
              <w:rPr>
                <w:rFonts w:hint="eastAsia"/>
              </w:rPr>
              <w:t>江阴苏利化学股份有限公司</w:t>
            </w:r>
          </w:p>
        </w:tc>
      </w:tr>
      <w:tr w14:paraId="413254C7">
        <w:tblPrEx>
          <w:tblCellMar>
            <w:top w:w="0" w:type="dxa"/>
            <w:left w:w="0" w:type="dxa"/>
            <w:bottom w:w="0" w:type="dxa"/>
            <w:right w:w="0" w:type="dxa"/>
          </w:tblCellMar>
        </w:tblPrEx>
        <w:trPr>
          <w:wBefore w:w="0" w:type="auto"/>
          <w:tblCellSpacing w:w="0" w:type="dxa"/>
        </w:trPr>
        <w:tc>
          <w:tcPr>
            <w:tcW w:w="0" w:type="auto"/>
            <w:noWrap w:val="0"/>
            <w:vAlign w:val="center"/>
          </w:tcPr>
          <w:p w14:paraId="53056069">
            <w:r>
              <w:rPr>
                <w:rStyle w:val="10"/>
                <w:rFonts w:hint="eastAsia"/>
              </w:rPr>
              <w:t>农药名称：</w:t>
            </w:r>
            <w:r>
              <w:rPr>
                <w:rFonts w:hint="eastAsia"/>
              </w:rPr>
              <w:t>百菌清</w:t>
            </w:r>
          </w:p>
        </w:tc>
      </w:tr>
      <w:tr w14:paraId="00087DD5">
        <w:tblPrEx>
          <w:tblCellMar>
            <w:top w:w="0" w:type="dxa"/>
            <w:left w:w="0" w:type="dxa"/>
            <w:bottom w:w="0" w:type="dxa"/>
            <w:right w:w="0" w:type="dxa"/>
          </w:tblCellMar>
        </w:tblPrEx>
        <w:trPr>
          <w:wBefore w:w="0" w:type="auto"/>
          <w:tblCellSpacing w:w="0" w:type="dxa"/>
        </w:trPr>
        <w:tc>
          <w:tcPr>
            <w:tcW w:w="0" w:type="auto"/>
            <w:noWrap w:val="0"/>
            <w:vAlign w:val="center"/>
          </w:tcPr>
          <w:p w14:paraId="0663378D">
            <w:r>
              <w:rPr>
                <w:rStyle w:val="10"/>
                <w:rFonts w:hint="eastAsia"/>
              </w:rPr>
              <w:t>剂型：</w:t>
            </w:r>
            <w:r>
              <w:rPr>
                <w:rFonts w:hint="eastAsia"/>
              </w:rPr>
              <w:t>水分散粒剂</w:t>
            </w:r>
          </w:p>
        </w:tc>
      </w:tr>
      <w:tr w14:paraId="3866FEAA">
        <w:tblPrEx>
          <w:tblCellMar>
            <w:top w:w="0" w:type="dxa"/>
            <w:left w:w="0" w:type="dxa"/>
            <w:bottom w:w="0" w:type="dxa"/>
            <w:right w:w="0" w:type="dxa"/>
          </w:tblCellMar>
        </w:tblPrEx>
        <w:trPr>
          <w:wBefore w:w="0" w:type="auto"/>
          <w:tblCellSpacing w:w="0" w:type="dxa"/>
        </w:trPr>
        <w:tc>
          <w:tcPr>
            <w:tcW w:w="0" w:type="auto"/>
            <w:noWrap w:val="0"/>
            <w:vAlign w:val="center"/>
          </w:tcPr>
          <w:p w14:paraId="63FA3400">
            <w:r>
              <w:rPr>
                <w:rStyle w:val="10"/>
                <w:rFonts w:hint="eastAsia"/>
              </w:rPr>
              <w:t>毒性及其标识：</w:t>
            </w:r>
            <w:r>
              <w:rPr>
                <w:rFonts w:hint="eastAsia"/>
              </w:rPr>
              <w:t xml:space="preserve"> </w:t>
            </w:r>
            <w:r>
              <w:rPr>
                <w:lang/>
              </w:rPr>
              <w:drawing>
                <wp:inline distT="0" distB="0" distL="114300" distR="114300">
                  <wp:extent cx="476250" cy="323850"/>
                  <wp:effectExtent l="0" t="0" r="0" b="0"/>
                  <wp:docPr id="303" name="图片 303"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05E52DDE">
        <w:tblPrEx>
          <w:tblCellMar>
            <w:top w:w="0" w:type="dxa"/>
            <w:left w:w="0" w:type="dxa"/>
            <w:bottom w:w="0" w:type="dxa"/>
            <w:right w:w="0" w:type="dxa"/>
          </w:tblCellMar>
        </w:tblPrEx>
        <w:trPr>
          <w:wBefore w:w="0" w:type="auto"/>
          <w:tblCellSpacing w:w="0" w:type="dxa"/>
        </w:trPr>
        <w:tc>
          <w:tcPr>
            <w:tcW w:w="0" w:type="auto"/>
            <w:noWrap w:val="0"/>
            <w:vAlign w:val="center"/>
          </w:tcPr>
          <w:p w14:paraId="0018D00F">
            <w:r>
              <w:rPr>
                <w:rStyle w:val="10"/>
                <w:rFonts w:hint="eastAsia"/>
              </w:rPr>
              <w:t>总有效成分含量：</w:t>
            </w:r>
            <w:r>
              <w:rPr>
                <w:rFonts w:hint="eastAsia"/>
              </w:rPr>
              <w:t>90%</w:t>
            </w:r>
          </w:p>
        </w:tc>
      </w:tr>
      <w:tr w14:paraId="20AF4FC3">
        <w:tblPrEx>
          <w:tblCellMar>
            <w:top w:w="0" w:type="dxa"/>
            <w:left w:w="0" w:type="dxa"/>
            <w:bottom w:w="0" w:type="dxa"/>
            <w:right w:w="0" w:type="dxa"/>
          </w:tblCellMar>
        </w:tblPrEx>
        <w:trPr>
          <w:wBefore w:w="0" w:type="auto"/>
          <w:tblCellSpacing w:w="0" w:type="dxa"/>
        </w:trPr>
        <w:tc>
          <w:tcPr>
            <w:tcW w:w="0" w:type="auto"/>
            <w:noWrap w:val="0"/>
            <w:vAlign w:val="center"/>
          </w:tcPr>
          <w:p w14:paraId="0F4BEBCE">
            <w:r>
              <w:rPr>
                <w:rFonts w:hint="eastAsia"/>
              </w:rPr>
              <w:t xml:space="preserve">有效成分及其含量： </w:t>
            </w:r>
          </w:p>
          <w:p w14:paraId="1F46D070">
            <w:r>
              <w:rPr>
                <w:rFonts w:hint="eastAsia"/>
              </w:rPr>
              <w:t xml:space="preserve">    </w:t>
            </w:r>
          </w:p>
        </w:tc>
      </w:tr>
      <w:tr w14:paraId="257F76CD">
        <w:tblPrEx>
          <w:tblCellMar>
            <w:top w:w="0" w:type="dxa"/>
            <w:left w:w="0" w:type="dxa"/>
            <w:bottom w:w="0" w:type="dxa"/>
            <w:right w:w="0" w:type="dxa"/>
          </w:tblCellMar>
        </w:tblPrEx>
        <w:trPr>
          <w:wBefore w:w="0" w:type="auto"/>
          <w:tblCellSpacing w:w="0" w:type="dxa"/>
        </w:trPr>
        <w:tc>
          <w:tcPr>
            <w:tcW w:w="0" w:type="auto"/>
            <w:noWrap w:val="0"/>
            <w:vAlign w:val="center"/>
          </w:tcPr>
          <w:p w14:paraId="337EE14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094B6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368462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694782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CD0395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431B6E">
                  <w:r>
                    <w:rPr>
                      <w:rStyle w:val="11"/>
                      <w:rFonts w:hint="eastAsia"/>
                    </w:rPr>
                    <w:t>施用方式</w:t>
                  </w:r>
                </w:p>
              </w:tc>
            </w:tr>
          </w:tbl>
          <w:p w14:paraId="25223339">
            <w:pPr>
              <w:rPr>
                <w:rFonts w:ascii="Times New Roman" w:hAnsi="Times New Roman" w:cs="Times New Roman"/>
                <w:sz w:val="20"/>
                <w:szCs w:val="20"/>
              </w:rPr>
            </w:pPr>
          </w:p>
        </w:tc>
      </w:tr>
      <w:tr w14:paraId="3B24AB96">
        <w:tblPrEx>
          <w:tblCellMar>
            <w:top w:w="0" w:type="dxa"/>
            <w:left w:w="0" w:type="dxa"/>
            <w:bottom w:w="0" w:type="dxa"/>
            <w:right w:w="0" w:type="dxa"/>
          </w:tblCellMar>
        </w:tblPrEx>
        <w:trPr>
          <w:wBefore w:w="0" w:type="auto"/>
          <w:tblCellSpacing w:w="0" w:type="dxa"/>
        </w:trPr>
        <w:tc>
          <w:tcPr>
            <w:tcW w:w="0" w:type="auto"/>
            <w:noWrap w:val="0"/>
            <w:vAlign w:val="center"/>
          </w:tcPr>
          <w:p w14:paraId="408C3635">
            <w:r>
              <w:rPr>
                <w:rStyle w:val="10"/>
                <w:rFonts w:hint="eastAsia"/>
              </w:rPr>
              <w:t>使用技术要求:</w:t>
            </w:r>
            <w:r>
              <w:rPr>
                <w:rFonts w:hint="eastAsia"/>
              </w:rPr>
              <w:br w:type="textWrapping"/>
            </w:r>
          </w:p>
        </w:tc>
      </w:tr>
      <w:tr w14:paraId="1A02AE66">
        <w:tblPrEx>
          <w:tblCellMar>
            <w:top w:w="0" w:type="dxa"/>
            <w:left w:w="0" w:type="dxa"/>
            <w:bottom w:w="0" w:type="dxa"/>
            <w:right w:w="0" w:type="dxa"/>
          </w:tblCellMar>
        </w:tblPrEx>
        <w:trPr>
          <w:wBefore w:w="0" w:type="auto"/>
          <w:tblCellSpacing w:w="0" w:type="dxa"/>
        </w:trPr>
        <w:tc>
          <w:tcPr>
            <w:tcW w:w="0" w:type="auto"/>
            <w:noWrap w:val="0"/>
            <w:vAlign w:val="center"/>
          </w:tcPr>
          <w:p w14:paraId="60991691">
            <w:r>
              <w:rPr>
                <w:rStyle w:val="10"/>
                <w:rFonts w:hint="eastAsia"/>
              </w:rPr>
              <w:t>产品性能:</w:t>
            </w:r>
          </w:p>
        </w:tc>
      </w:tr>
      <w:tr w14:paraId="610A5574">
        <w:tblPrEx>
          <w:tblCellMar>
            <w:top w:w="0" w:type="dxa"/>
            <w:left w:w="0" w:type="dxa"/>
            <w:bottom w:w="0" w:type="dxa"/>
            <w:right w:w="0" w:type="dxa"/>
          </w:tblCellMar>
        </w:tblPrEx>
        <w:trPr>
          <w:wBefore w:w="0" w:type="auto"/>
          <w:tblCellSpacing w:w="0" w:type="dxa"/>
        </w:trPr>
        <w:tc>
          <w:tcPr>
            <w:tcW w:w="0" w:type="auto"/>
            <w:noWrap w:val="0"/>
            <w:vAlign w:val="center"/>
          </w:tcPr>
          <w:p w14:paraId="32CE7779">
            <w:r>
              <w:rPr>
                <w:rStyle w:val="10"/>
                <w:rFonts w:hint="eastAsia"/>
              </w:rPr>
              <w:t>注意事项：</w:t>
            </w:r>
          </w:p>
        </w:tc>
      </w:tr>
      <w:tr w14:paraId="58685412">
        <w:tblPrEx>
          <w:tblCellMar>
            <w:top w:w="0" w:type="dxa"/>
            <w:left w:w="0" w:type="dxa"/>
            <w:bottom w:w="0" w:type="dxa"/>
            <w:right w:w="0" w:type="dxa"/>
          </w:tblCellMar>
        </w:tblPrEx>
        <w:trPr>
          <w:wBefore w:w="0" w:type="auto"/>
          <w:tblCellSpacing w:w="0" w:type="dxa"/>
        </w:trPr>
        <w:tc>
          <w:tcPr>
            <w:tcW w:w="0" w:type="auto"/>
            <w:noWrap w:val="0"/>
            <w:vAlign w:val="center"/>
          </w:tcPr>
          <w:p w14:paraId="211D01DC">
            <w:r>
              <w:rPr>
                <w:rStyle w:val="10"/>
                <w:rFonts w:hint="eastAsia"/>
              </w:rPr>
              <w:t>中毒急救措施：</w:t>
            </w:r>
          </w:p>
        </w:tc>
      </w:tr>
      <w:tr w14:paraId="32ADDDFA">
        <w:tblPrEx>
          <w:tblCellMar>
            <w:top w:w="0" w:type="dxa"/>
            <w:left w:w="0" w:type="dxa"/>
            <w:bottom w:w="0" w:type="dxa"/>
            <w:right w:w="0" w:type="dxa"/>
          </w:tblCellMar>
        </w:tblPrEx>
        <w:trPr>
          <w:wBefore w:w="0" w:type="auto"/>
          <w:tblCellSpacing w:w="0" w:type="dxa"/>
        </w:trPr>
        <w:tc>
          <w:tcPr>
            <w:tcW w:w="0" w:type="auto"/>
            <w:noWrap w:val="0"/>
            <w:vAlign w:val="center"/>
          </w:tcPr>
          <w:p w14:paraId="7B32B053">
            <w:r>
              <w:rPr>
                <w:rStyle w:val="10"/>
                <w:rFonts w:hint="eastAsia"/>
              </w:rPr>
              <w:t>储存和运输方法：</w:t>
            </w:r>
          </w:p>
        </w:tc>
      </w:tr>
      <w:tr w14:paraId="3F019726">
        <w:tblPrEx>
          <w:tblCellMar>
            <w:top w:w="0" w:type="dxa"/>
            <w:left w:w="0" w:type="dxa"/>
            <w:bottom w:w="0" w:type="dxa"/>
            <w:right w:w="0" w:type="dxa"/>
          </w:tblCellMar>
        </w:tblPrEx>
        <w:trPr>
          <w:wBefore w:w="0" w:type="auto"/>
          <w:tblCellSpacing w:w="0" w:type="dxa"/>
        </w:trPr>
        <w:tc>
          <w:tcPr>
            <w:tcW w:w="0" w:type="auto"/>
            <w:noWrap w:val="0"/>
            <w:vAlign w:val="center"/>
          </w:tcPr>
          <w:p w14:paraId="44684949">
            <w:r>
              <w:rPr>
                <w:rStyle w:val="10"/>
                <w:rFonts w:hint="eastAsia"/>
              </w:rPr>
              <w:t>质量保证期：</w:t>
            </w:r>
          </w:p>
        </w:tc>
      </w:tr>
      <w:tr w14:paraId="649FE5D9">
        <w:tblPrEx>
          <w:tblCellMar>
            <w:top w:w="0" w:type="dxa"/>
            <w:left w:w="0" w:type="dxa"/>
            <w:bottom w:w="0" w:type="dxa"/>
            <w:right w:w="0" w:type="dxa"/>
          </w:tblCellMar>
        </w:tblPrEx>
        <w:trPr>
          <w:wBefore w:w="0" w:type="auto"/>
          <w:tblCellSpacing w:w="0" w:type="dxa"/>
        </w:trPr>
        <w:tc>
          <w:tcPr>
            <w:tcW w:w="0" w:type="auto"/>
            <w:noWrap w:val="0"/>
            <w:vAlign w:val="center"/>
          </w:tcPr>
          <w:p w14:paraId="3F612D59">
            <w:r>
              <w:rPr>
                <w:rStyle w:val="10"/>
                <w:rFonts w:hint="eastAsia"/>
              </w:rPr>
              <w:t>备注：</w:t>
            </w:r>
          </w:p>
        </w:tc>
      </w:tr>
    </w:tbl>
    <w:p w14:paraId="13FEC79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C49493">
        <w:tblPrEx>
          <w:tblCellMar>
            <w:top w:w="0" w:type="dxa"/>
            <w:left w:w="0" w:type="dxa"/>
            <w:bottom w:w="0" w:type="dxa"/>
            <w:right w:w="0" w:type="dxa"/>
          </w:tblCellMar>
        </w:tblPrEx>
        <w:trPr>
          <w:wBefore w:w="0" w:type="auto"/>
          <w:tblCellSpacing w:w="0" w:type="dxa"/>
        </w:trPr>
        <w:tc>
          <w:tcPr>
            <w:tcW w:w="0" w:type="auto"/>
            <w:noWrap w:val="0"/>
            <w:vAlign w:val="center"/>
          </w:tcPr>
          <w:p w14:paraId="3E1D745E">
            <w:r>
              <w:rPr>
                <w:rStyle w:val="10"/>
                <w:rFonts w:hint="eastAsia"/>
              </w:rPr>
              <w:t>登记证号：</w:t>
            </w:r>
            <w:r>
              <w:rPr>
                <w:rFonts w:hint="eastAsia"/>
              </w:rPr>
              <w:t>PD20212067</w:t>
            </w:r>
          </w:p>
        </w:tc>
      </w:tr>
      <w:tr w14:paraId="5A5E6D41">
        <w:tblPrEx>
          <w:tblCellMar>
            <w:top w:w="0" w:type="dxa"/>
            <w:left w:w="0" w:type="dxa"/>
            <w:bottom w:w="0" w:type="dxa"/>
            <w:right w:w="0" w:type="dxa"/>
          </w:tblCellMar>
        </w:tblPrEx>
        <w:trPr>
          <w:wBefore w:w="0" w:type="auto"/>
          <w:tblCellSpacing w:w="0" w:type="dxa"/>
        </w:trPr>
        <w:tc>
          <w:tcPr>
            <w:tcW w:w="0" w:type="auto"/>
            <w:noWrap w:val="0"/>
            <w:vAlign w:val="center"/>
          </w:tcPr>
          <w:p w14:paraId="6513DBA1">
            <w:r>
              <w:rPr>
                <w:rStyle w:val="10"/>
                <w:rFonts w:hint="eastAsia"/>
              </w:rPr>
              <w:t>登记证持有人：</w:t>
            </w:r>
            <w:r>
              <w:rPr>
                <w:rFonts w:hint="eastAsia"/>
              </w:rPr>
              <w:t>江苏省南通施壮化工有限公司</w:t>
            </w:r>
          </w:p>
        </w:tc>
      </w:tr>
      <w:tr w14:paraId="5CB350CD">
        <w:tblPrEx>
          <w:tblCellMar>
            <w:top w:w="0" w:type="dxa"/>
            <w:left w:w="0" w:type="dxa"/>
            <w:bottom w:w="0" w:type="dxa"/>
            <w:right w:w="0" w:type="dxa"/>
          </w:tblCellMar>
        </w:tblPrEx>
        <w:trPr>
          <w:wBefore w:w="0" w:type="auto"/>
          <w:tblCellSpacing w:w="0" w:type="dxa"/>
        </w:trPr>
        <w:tc>
          <w:tcPr>
            <w:tcW w:w="0" w:type="auto"/>
            <w:noWrap w:val="0"/>
            <w:vAlign w:val="center"/>
          </w:tcPr>
          <w:p w14:paraId="6B17F937">
            <w:r>
              <w:rPr>
                <w:rStyle w:val="10"/>
                <w:rFonts w:hint="eastAsia"/>
              </w:rPr>
              <w:t>农药名称：</w:t>
            </w:r>
            <w:r>
              <w:rPr>
                <w:rFonts w:hint="eastAsia"/>
              </w:rPr>
              <w:t>单氰胺</w:t>
            </w:r>
          </w:p>
        </w:tc>
      </w:tr>
      <w:tr w14:paraId="702BE90A">
        <w:tblPrEx>
          <w:tblCellMar>
            <w:top w:w="0" w:type="dxa"/>
            <w:left w:w="0" w:type="dxa"/>
            <w:bottom w:w="0" w:type="dxa"/>
            <w:right w:w="0" w:type="dxa"/>
          </w:tblCellMar>
        </w:tblPrEx>
        <w:trPr>
          <w:wBefore w:w="0" w:type="auto"/>
          <w:tblCellSpacing w:w="0" w:type="dxa"/>
        </w:trPr>
        <w:tc>
          <w:tcPr>
            <w:tcW w:w="0" w:type="auto"/>
            <w:noWrap w:val="0"/>
            <w:vAlign w:val="center"/>
          </w:tcPr>
          <w:p w14:paraId="6A738DD0">
            <w:r>
              <w:rPr>
                <w:rStyle w:val="10"/>
                <w:rFonts w:hint="eastAsia"/>
              </w:rPr>
              <w:t>剂型：</w:t>
            </w:r>
            <w:r>
              <w:rPr>
                <w:rFonts w:hint="eastAsia"/>
              </w:rPr>
              <w:t>可溶液剂</w:t>
            </w:r>
          </w:p>
        </w:tc>
      </w:tr>
      <w:tr w14:paraId="1D21AACC">
        <w:tblPrEx>
          <w:tblCellMar>
            <w:top w:w="0" w:type="dxa"/>
            <w:left w:w="0" w:type="dxa"/>
            <w:bottom w:w="0" w:type="dxa"/>
            <w:right w:w="0" w:type="dxa"/>
          </w:tblCellMar>
        </w:tblPrEx>
        <w:trPr>
          <w:wBefore w:w="0" w:type="auto"/>
          <w:tblCellSpacing w:w="0" w:type="dxa"/>
        </w:trPr>
        <w:tc>
          <w:tcPr>
            <w:tcW w:w="0" w:type="auto"/>
            <w:noWrap w:val="0"/>
            <w:vAlign w:val="center"/>
          </w:tcPr>
          <w:p w14:paraId="6A603914">
            <w:r>
              <w:rPr>
                <w:rStyle w:val="10"/>
                <w:rFonts w:hint="eastAsia"/>
              </w:rPr>
              <w:t>毒性及其标识：</w:t>
            </w:r>
            <w:r>
              <w:rPr>
                <w:rFonts w:hint="eastAsia"/>
              </w:rPr>
              <w:t xml:space="preserve"> </w:t>
            </w:r>
            <w:r>
              <w:rPr>
                <w:lang/>
              </w:rPr>
              <w:drawing>
                <wp:inline distT="0" distB="0" distL="114300" distR="114300">
                  <wp:extent cx="476250" cy="323850"/>
                  <wp:effectExtent l="0" t="0" r="0" b="0"/>
                  <wp:docPr id="304" name="图片 304"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063BF782">
        <w:tblPrEx>
          <w:tblCellMar>
            <w:top w:w="0" w:type="dxa"/>
            <w:left w:w="0" w:type="dxa"/>
            <w:bottom w:w="0" w:type="dxa"/>
            <w:right w:w="0" w:type="dxa"/>
          </w:tblCellMar>
        </w:tblPrEx>
        <w:trPr>
          <w:wBefore w:w="0" w:type="auto"/>
          <w:tblCellSpacing w:w="0" w:type="dxa"/>
        </w:trPr>
        <w:tc>
          <w:tcPr>
            <w:tcW w:w="0" w:type="auto"/>
            <w:noWrap w:val="0"/>
            <w:vAlign w:val="center"/>
          </w:tcPr>
          <w:p w14:paraId="2B40C60E">
            <w:r>
              <w:rPr>
                <w:rStyle w:val="10"/>
                <w:rFonts w:hint="eastAsia"/>
              </w:rPr>
              <w:t>总有效成分含量：</w:t>
            </w:r>
            <w:r>
              <w:rPr>
                <w:rFonts w:hint="eastAsia"/>
              </w:rPr>
              <w:t>50%</w:t>
            </w:r>
          </w:p>
        </w:tc>
      </w:tr>
      <w:tr w14:paraId="679DBCE6">
        <w:tblPrEx>
          <w:tblCellMar>
            <w:top w:w="0" w:type="dxa"/>
            <w:left w:w="0" w:type="dxa"/>
            <w:bottom w:w="0" w:type="dxa"/>
            <w:right w:w="0" w:type="dxa"/>
          </w:tblCellMar>
        </w:tblPrEx>
        <w:trPr>
          <w:wBefore w:w="0" w:type="auto"/>
          <w:tblCellSpacing w:w="0" w:type="dxa"/>
        </w:trPr>
        <w:tc>
          <w:tcPr>
            <w:tcW w:w="0" w:type="auto"/>
            <w:noWrap w:val="0"/>
            <w:vAlign w:val="center"/>
          </w:tcPr>
          <w:p w14:paraId="57CE3125">
            <w:r>
              <w:rPr>
                <w:rFonts w:hint="eastAsia"/>
              </w:rPr>
              <w:t xml:space="preserve">有效成分及其含量： </w:t>
            </w:r>
          </w:p>
          <w:p w14:paraId="40F60B4E">
            <w:r>
              <w:rPr>
                <w:rFonts w:hint="eastAsia"/>
              </w:rPr>
              <w:t xml:space="preserve">    单氰胺50%    </w:t>
            </w:r>
          </w:p>
        </w:tc>
      </w:tr>
      <w:tr w14:paraId="6712648D">
        <w:tblPrEx>
          <w:tblCellMar>
            <w:top w:w="0" w:type="dxa"/>
            <w:left w:w="0" w:type="dxa"/>
            <w:bottom w:w="0" w:type="dxa"/>
            <w:right w:w="0" w:type="dxa"/>
          </w:tblCellMar>
        </w:tblPrEx>
        <w:trPr>
          <w:wBefore w:w="0" w:type="auto"/>
          <w:tblCellSpacing w:w="0" w:type="dxa"/>
        </w:trPr>
        <w:tc>
          <w:tcPr>
            <w:tcW w:w="0" w:type="auto"/>
            <w:noWrap w:val="0"/>
            <w:vAlign w:val="center"/>
          </w:tcPr>
          <w:p w14:paraId="7D4CFDA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40871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4C9BE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2925D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F9B309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516ED5F">
                  <w:r>
                    <w:rPr>
                      <w:rStyle w:val="11"/>
                      <w:rFonts w:hint="eastAsia"/>
                    </w:rPr>
                    <w:t>施用方式</w:t>
                  </w:r>
                </w:p>
              </w:tc>
            </w:tr>
            <w:tr w14:paraId="23D988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47AF839">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1B5E46">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8E6D38">
                  <w:r>
                    <w:rPr>
                      <w:rStyle w:val="11"/>
                      <w:rFonts w:hint="eastAsia"/>
                    </w:rPr>
                    <w:t>20-40倍液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21072F">
                  <w:r>
                    <w:rPr>
                      <w:rStyle w:val="11"/>
                      <w:rFonts w:hint="eastAsia"/>
                    </w:rPr>
                    <w:t>喷雾</w:t>
                  </w:r>
                </w:p>
              </w:tc>
            </w:tr>
          </w:tbl>
          <w:p w14:paraId="71DA72A0">
            <w:pPr>
              <w:rPr>
                <w:rFonts w:ascii="Times New Roman" w:hAnsi="Times New Roman" w:cs="Times New Roman"/>
                <w:sz w:val="20"/>
                <w:szCs w:val="20"/>
              </w:rPr>
            </w:pPr>
          </w:p>
        </w:tc>
      </w:tr>
      <w:tr w14:paraId="1097A09E">
        <w:tblPrEx>
          <w:tblCellMar>
            <w:top w:w="0" w:type="dxa"/>
            <w:left w:w="0" w:type="dxa"/>
            <w:bottom w:w="0" w:type="dxa"/>
            <w:right w:w="0" w:type="dxa"/>
          </w:tblCellMar>
        </w:tblPrEx>
        <w:trPr>
          <w:wBefore w:w="0" w:type="auto"/>
          <w:tblCellSpacing w:w="0" w:type="dxa"/>
        </w:trPr>
        <w:tc>
          <w:tcPr>
            <w:tcW w:w="0" w:type="auto"/>
            <w:noWrap w:val="0"/>
            <w:vAlign w:val="center"/>
          </w:tcPr>
          <w:p w14:paraId="649A9A30">
            <w:r>
              <w:rPr>
                <w:rStyle w:val="10"/>
                <w:rFonts w:hint="eastAsia"/>
              </w:rPr>
              <w:t>使用技术要求:</w:t>
            </w:r>
            <w:r>
              <w:rPr>
                <w:rFonts w:hint="eastAsia"/>
              </w:rPr>
              <w:br w:type="textWrapping"/>
            </w:r>
            <w:r>
              <w:rPr>
                <w:rStyle w:val="11"/>
                <w:rFonts w:hint="eastAsia"/>
              </w:rPr>
              <w:t>1.于葡萄萌芽前4周左右施药，常规喷雾施药一次，注意喷雾均匀周到。 2.在有晚霜的地区，使用时注意避免晚霜。3.严格按照规定用药量使用。4.本品在葡萄上每季最多使用1次。</w:t>
            </w:r>
          </w:p>
        </w:tc>
      </w:tr>
      <w:tr w14:paraId="3BB70905">
        <w:tblPrEx>
          <w:tblCellMar>
            <w:top w:w="0" w:type="dxa"/>
            <w:left w:w="0" w:type="dxa"/>
            <w:bottom w:w="0" w:type="dxa"/>
            <w:right w:w="0" w:type="dxa"/>
          </w:tblCellMar>
        </w:tblPrEx>
        <w:trPr>
          <w:wBefore w:w="0" w:type="auto"/>
          <w:tblCellSpacing w:w="0" w:type="dxa"/>
        </w:trPr>
        <w:tc>
          <w:tcPr>
            <w:tcW w:w="0" w:type="auto"/>
            <w:noWrap w:val="0"/>
            <w:vAlign w:val="center"/>
          </w:tcPr>
          <w:p w14:paraId="2DD6CFAE">
            <w:r>
              <w:rPr>
                <w:rStyle w:val="10"/>
                <w:rFonts w:hint="eastAsia"/>
              </w:rPr>
              <w:t>产品性能:</w:t>
            </w:r>
            <w:r>
              <w:rPr>
                <w:rFonts w:hint="eastAsia"/>
              </w:rPr>
              <w:br w:type="textWrapping"/>
            </w:r>
            <w:r>
              <w:rPr>
                <w:rStyle w:val="11"/>
                <w:rFonts w:hint="eastAsia"/>
              </w:rPr>
              <w:t>本品可刺激葡萄的活性物质，致使新陈代谢所需的核苷酸合成减少，起到打破休眠、促进萌芽、提前成熟等生长调节作用，可促使作物萌动初期芽齐、芽壮，还可增加作物单产，改善品质。可用于葡萄调节生长、增产。</w:t>
            </w:r>
          </w:p>
        </w:tc>
      </w:tr>
      <w:tr w14:paraId="75281733">
        <w:tblPrEx>
          <w:tblCellMar>
            <w:top w:w="0" w:type="dxa"/>
            <w:left w:w="0" w:type="dxa"/>
            <w:bottom w:w="0" w:type="dxa"/>
            <w:right w:w="0" w:type="dxa"/>
          </w:tblCellMar>
        </w:tblPrEx>
        <w:trPr>
          <w:wBefore w:w="0" w:type="auto"/>
          <w:tblCellSpacing w:w="0" w:type="dxa"/>
        </w:trPr>
        <w:tc>
          <w:tcPr>
            <w:tcW w:w="0" w:type="auto"/>
            <w:noWrap w:val="0"/>
            <w:vAlign w:val="center"/>
          </w:tcPr>
          <w:p w14:paraId="2B89CC01">
            <w:r>
              <w:rPr>
                <w:rStyle w:val="10"/>
                <w:rFonts w:hint="eastAsia"/>
              </w:rPr>
              <w:t>注意事项：</w:t>
            </w:r>
            <w:r>
              <w:rPr>
                <w:rFonts w:hint="eastAsia"/>
              </w:rPr>
              <w:br w:type="textWrapping"/>
            </w:r>
            <w:r>
              <w:rPr>
                <w:rStyle w:val="11"/>
                <w:rFonts w:hint="eastAsia"/>
              </w:rPr>
              <w:t>1.使用本品应穿戴长衣、长裤、帽子、手套、口罩等安全防护措施，避免皮肤接触及口鼻吸入；使用中不可吸烟、饮水及吃东西；使用后及时用大量清水和肥皂清洗手、脸等暴露部位皮肤并更换衣物。2.酒精饮料可与单氰胺发生交互作用，可能出现潮红症状（呼吸困难、脸色紫红）。操作本品前后避免接触酒精和饮酒。3.本品现配现用，兑好的药液切忌久放，不用金属容器盛装药液；不能与其它物质混合使用。4.对蜜蜂有毒，（周围）开花植物花期禁用，施用该产品时提前3日告知所在地及邻近3000米以内的养蜂者；本品对水生生物和鱼类有毒，药液残渣及清洗施药器具的水禁止倒入河流、池塘等水域；水产养殖区、河塘等水体附近禁用，禁止在河塘等水域清洗施药器械。5.本品鸟类和家蚕有风险，鸟类保护区、蚕室及桑园附近禁用。6.用过的容器应妥善处理，不可作他用，也不可随意丢弃。7.产品使用时注意对土壤生物的风险。8.禁止儿童、孕妇及哺乳期的妇女接触。</w:t>
            </w:r>
          </w:p>
        </w:tc>
      </w:tr>
      <w:tr w14:paraId="5F5781D5">
        <w:tblPrEx>
          <w:tblCellMar>
            <w:top w:w="0" w:type="dxa"/>
            <w:left w:w="0" w:type="dxa"/>
            <w:bottom w:w="0" w:type="dxa"/>
            <w:right w:w="0" w:type="dxa"/>
          </w:tblCellMar>
        </w:tblPrEx>
        <w:trPr>
          <w:wBefore w:w="0" w:type="auto"/>
          <w:tblCellSpacing w:w="0" w:type="dxa"/>
        </w:trPr>
        <w:tc>
          <w:tcPr>
            <w:tcW w:w="0" w:type="auto"/>
            <w:noWrap w:val="0"/>
            <w:vAlign w:val="center"/>
          </w:tcPr>
          <w:p w14:paraId="1369FEB7">
            <w:r>
              <w:rPr>
                <w:rStyle w:val="10"/>
                <w:rFonts w:hint="eastAsia"/>
              </w:rPr>
              <w:t>中毒急救措施：</w:t>
            </w:r>
            <w:r>
              <w:rPr>
                <w:rFonts w:hint="eastAsia"/>
              </w:rPr>
              <w:br w:type="textWrapping"/>
            </w:r>
            <w:r>
              <w:rPr>
                <w:rStyle w:val="11"/>
                <w:rFonts w:hint="eastAsia"/>
              </w:rPr>
              <w:t>1.中毒症状：出现红斑、血压下降、脉率加快、作呕、有灼烧感、头痛、皮肤和粘膜刺激。2.急救措施：使用时如感不适，应立即停止工作，采取急救措施，并携此标签送医就诊。本品无专用解毒剂，可对症治疗。皮肤或眼睛接触：应立即用大量清水彻底冲洗至少15分钟，并请医生诊治。吸入：将病人移至空气清新处，如果需要可吸氧，大量接触需请医生诊治。摄入：漱口。饮1～2杯水，请勿催吐，立即请医生诊治。如果病人清醒但不能立即进行医务救治，可催吐。对意识不清楚的病人请勿喂食任何物质。</w:t>
            </w:r>
          </w:p>
        </w:tc>
      </w:tr>
      <w:tr w14:paraId="169E50B2">
        <w:tblPrEx>
          <w:tblCellMar>
            <w:top w:w="0" w:type="dxa"/>
            <w:left w:w="0" w:type="dxa"/>
            <w:bottom w:w="0" w:type="dxa"/>
            <w:right w:w="0" w:type="dxa"/>
          </w:tblCellMar>
        </w:tblPrEx>
        <w:trPr>
          <w:wBefore w:w="0" w:type="auto"/>
          <w:tblCellSpacing w:w="0" w:type="dxa"/>
        </w:trPr>
        <w:tc>
          <w:tcPr>
            <w:tcW w:w="0" w:type="auto"/>
            <w:noWrap w:val="0"/>
            <w:vAlign w:val="center"/>
          </w:tcPr>
          <w:p w14:paraId="5C304F07">
            <w:r>
              <w:rPr>
                <w:rStyle w:val="10"/>
                <w:rFonts w:hint="eastAsia"/>
              </w:rPr>
              <w:t>储存和运输方法：</w:t>
            </w:r>
            <w:r>
              <w:rPr>
                <w:rFonts w:hint="eastAsia"/>
              </w:rPr>
              <w:br w:type="textWrapping"/>
            </w:r>
            <w:r>
              <w:rPr>
                <w:rStyle w:val="11"/>
                <w:rFonts w:hint="eastAsia"/>
              </w:rPr>
              <w:t xml:space="preserve">本品应在阴凉、低温条件（不超过20℃）下储存，禁止直接暴露在太阳下。置于儿童接触不到的地方，并加锁。远离热源或火源。在储存和运输过程中禁止污染水源、食物和饲料。勿与食品、饮料、粮食、饲料等其他商品同储同运。 </w:t>
            </w:r>
          </w:p>
        </w:tc>
      </w:tr>
      <w:tr w14:paraId="4EDBB626">
        <w:tblPrEx>
          <w:tblCellMar>
            <w:top w:w="0" w:type="dxa"/>
            <w:left w:w="0" w:type="dxa"/>
            <w:bottom w:w="0" w:type="dxa"/>
            <w:right w:w="0" w:type="dxa"/>
          </w:tblCellMar>
        </w:tblPrEx>
        <w:trPr>
          <w:wBefore w:w="0" w:type="auto"/>
          <w:tblCellSpacing w:w="0" w:type="dxa"/>
        </w:trPr>
        <w:tc>
          <w:tcPr>
            <w:tcW w:w="0" w:type="auto"/>
            <w:noWrap w:val="0"/>
            <w:vAlign w:val="center"/>
          </w:tcPr>
          <w:p w14:paraId="41F33D55">
            <w:r>
              <w:rPr>
                <w:rStyle w:val="10"/>
                <w:rFonts w:hint="eastAsia"/>
              </w:rPr>
              <w:t>质量保证期：</w:t>
            </w:r>
            <w:r>
              <w:rPr>
                <w:rStyle w:val="11"/>
                <w:rFonts w:hint="eastAsia"/>
              </w:rPr>
              <w:t>2年</w:t>
            </w:r>
          </w:p>
        </w:tc>
      </w:tr>
      <w:tr w14:paraId="484B30D1">
        <w:tblPrEx>
          <w:tblCellMar>
            <w:top w:w="0" w:type="dxa"/>
            <w:left w:w="0" w:type="dxa"/>
            <w:bottom w:w="0" w:type="dxa"/>
            <w:right w:w="0" w:type="dxa"/>
          </w:tblCellMar>
        </w:tblPrEx>
        <w:trPr>
          <w:wBefore w:w="0" w:type="auto"/>
          <w:tblCellSpacing w:w="0" w:type="dxa"/>
        </w:trPr>
        <w:tc>
          <w:tcPr>
            <w:tcW w:w="0" w:type="auto"/>
            <w:noWrap w:val="0"/>
            <w:vAlign w:val="center"/>
          </w:tcPr>
          <w:p w14:paraId="19C523D6">
            <w:r>
              <w:rPr>
                <w:rStyle w:val="10"/>
                <w:rFonts w:hint="eastAsia"/>
              </w:rPr>
              <w:t>备注：</w:t>
            </w:r>
          </w:p>
        </w:tc>
      </w:tr>
    </w:tbl>
    <w:p w14:paraId="1037CA6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CE25A31">
        <w:tblPrEx>
          <w:tblCellMar>
            <w:top w:w="0" w:type="dxa"/>
            <w:left w:w="0" w:type="dxa"/>
            <w:bottom w:w="0" w:type="dxa"/>
            <w:right w:w="0" w:type="dxa"/>
          </w:tblCellMar>
        </w:tblPrEx>
        <w:trPr>
          <w:wBefore w:w="0" w:type="auto"/>
          <w:tblCellSpacing w:w="0" w:type="dxa"/>
        </w:trPr>
        <w:tc>
          <w:tcPr>
            <w:tcW w:w="0" w:type="auto"/>
            <w:noWrap w:val="0"/>
            <w:vAlign w:val="center"/>
          </w:tcPr>
          <w:p w14:paraId="040B3D25">
            <w:r>
              <w:rPr>
                <w:rStyle w:val="10"/>
                <w:rFonts w:hint="eastAsia"/>
              </w:rPr>
              <w:t>登记证号：</w:t>
            </w:r>
            <w:r>
              <w:rPr>
                <w:rFonts w:hint="eastAsia"/>
              </w:rPr>
              <w:t>PD20212135</w:t>
            </w:r>
          </w:p>
        </w:tc>
      </w:tr>
      <w:tr w14:paraId="3D47F215">
        <w:tblPrEx>
          <w:tblCellMar>
            <w:top w:w="0" w:type="dxa"/>
            <w:left w:w="0" w:type="dxa"/>
            <w:bottom w:w="0" w:type="dxa"/>
            <w:right w:w="0" w:type="dxa"/>
          </w:tblCellMar>
        </w:tblPrEx>
        <w:trPr>
          <w:wBefore w:w="0" w:type="auto"/>
          <w:tblCellSpacing w:w="0" w:type="dxa"/>
        </w:trPr>
        <w:tc>
          <w:tcPr>
            <w:tcW w:w="0" w:type="auto"/>
            <w:noWrap w:val="0"/>
            <w:vAlign w:val="center"/>
          </w:tcPr>
          <w:p w14:paraId="7558311D">
            <w:r>
              <w:rPr>
                <w:rStyle w:val="10"/>
                <w:rFonts w:hint="eastAsia"/>
              </w:rPr>
              <w:t>登记证持有人：</w:t>
            </w:r>
            <w:r>
              <w:rPr>
                <w:rFonts w:hint="eastAsia"/>
              </w:rPr>
              <w:t>哈尔滨汇丰生物农化有限公司</w:t>
            </w:r>
          </w:p>
        </w:tc>
      </w:tr>
      <w:tr w14:paraId="2F28708E">
        <w:tblPrEx>
          <w:tblCellMar>
            <w:top w:w="0" w:type="dxa"/>
            <w:left w:w="0" w:type="dxa"/>
            <w:bottom w:w="0" w:type="dxa"/>
            <w:right w:w="0" w:type="dxa"/>
          </w:tblCellMar>
        </w:tblPrEx>
        <w:trPr>
          <w:wBefore w:w="0" w:type="auto"/>
          <w:tblCellSpacing w:w="0" w:type="dxa"/>
        </w:trPr>
        <w:tc>
          <w:tcPr>
            <w:tcW w:w="0" w:type="auto"/>
            <w:noWrap w:val="0"/>
            <w:vAlign w:val="center"/>
          </w:tcPr>
          <w:p w14:paraId="50DD145E">
            <w:r>
              <w:rPr>
                <w:rStyle w:val="10"/>
                <w:rFonts w:hint="eastAsia"/>
              </w:rPr>
              <w:t>农药名称：</w:t>
            </w:r>
            <w:r>
              <w:rPr>
                <w:rFonts w:hint="eastAsia"/>
              </w:rPr>
              <w:t>硝·烟·莠去津</w:t>
            </w:r>
          </w:p>
        </w:tc>
      </w:tr>
      <w:tr w14:paraId="02D63938">
        <w:tblPrEx>
          <w:tblCellMar>
            <w:top w:w="0" w:type="dxa"/>
            <w:left w:w="0" w:type="dxa"/>
            <w:bottom w:w="0" w:type="dxa"/>
            <w:right w:w="0" w:type="dxa"/>
          </w:tblCellMar>
        </w:tblPrEx>
        <w:trPr>
          <w:wBefore w:w="0" w:type="auto"/>
          <w:tblCellSpacing w:w="0" w:type="dxa"/>
        </w:trPr>
        <w:tc>
          <w:tcPr>
            <w:tcW w:w="0" w:type="auto"/>
            <w:noWrap w:val="0"/>
            <w:vAlign w:val="center"/>
          </w:tcPr>
          <w:p w14:paraId="13BD1257">
            <w:r>
              <w:rPr>
                <w:rStyle w:val="10"/>
                <w:rFonts w:hint="eastAsia"/>
              </w:rPr>
              <w:t>剂型：</w:t>
            </w:r>
            <w:r>
              <w:rPr>
                <w:rFonts w:hint="eastAsia"/>
              </w:rPr>
              <w:t>可分散油悬浮剂</w:t>
            </w:r>
          </w:p>
        </w:tc>
      </w:tr>
      <w:tr w14:paraId="1A90B2C6">
        <w:tblPrEx>
          <w:tblCellMar>
            <w:top w:w="0" w:type="dxa"/>
            <w:left w:w="0" w:type="dxa"/>
            <w:bottom w:w="0" w:type="dxa"/>
            <w:right w:w="0" w:type="dxa"/>
          </w:tblCellMar>
        </w:tblPrEx>
        <w:trPr>
          <w:wBefore w:w="0" w:type="auto"/>
          <w:tblCellSpacing w:w="0" w:type="dxa"/>
        </w:trPr>
        <w:tc>
          <w:tcPr>
            <w:tcW w:w="0" w:type="auto"/>
            <w:noWrap w:val="0"/>
            <w:vAlign w:val="center"/>
          </w:tcPr>
          <w:p w14:paraId="5200C788">
            <w:r>
              <w:rPr>
                <w:rStyle w:val="10"/>
                <w:rFonts w:hint="eastAsia"/>
              </w:rPr>
              <w:t>毒性及其标识：</w:t>
            </w:r>
            <w:r>
              <w:rPr>
                <w:rFonts w:hint="eastAsia"/>
              </w:rPr>
              <w:t xml:space="preserve"> </w:t>
            </w:r>
            <w:r>
              <w:rPr>
                <w:lang/>
              </w:rPr>
              <w:drawing>
                <wp:inline distT="0" distB="0" distL="114300" distR="114300">
                  <wp:extent cx="476250" cy="323850"/>
                  <wp:effectExtent l="0" t="0" r="0" b="0"/>
                  <wp:docPr id="305" name="图片 30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C9F7B21">
        <w:tblPrEx>
          <w:tblCellMar>
            <w:top w:w="0" w:type="dxa"/>
            <w:left w:w="0" w:type="dxa"/>
            <w:bottom w:w="0" w:type="dxa"/>
            <w:right w:w="0" w:type="dxa"/>
          </w:tblCellMar>
        </w:tblPrEx>
        <w:trPr>
          <w:wBefore w:w="0" w:type="auto"/>
          <w:tblCellSpacing w:w="0" w:type="dxa"/>
        </w:trPr>
        <w:tc>
          <w:tcPr>
            <w:tcW w:w="0" w:type="auto"/>
            <w:noWrap w:val="0"/>
            <w:vAlign w:val="center"/>
          </w:tcPr>
          <w:p w14:paraId="446BE450">
            <w:r>
              <w:rPr>
                <w:rStyle w:val="10"/>
                <w:rFonts w:hint="eastAsia"/>
              </w:rPr>
              <w:t>总有效成分含量：</w:t>
            </w:r>
            <w:r>
              <w:rPr>
                <w:rFonts w:hint="eastAsia"/>
              </w:rPr>
              <w:t>36%</w:t>
            </w:r>
          </w:p>
        </w:tc>
      </w:tr>
      <w:tr w14:paraId="6285818D">
        <w:tblPrEx>
          <w:tblCellMar>
            <w:top w:w="0" w:type="dxa"/>
            <w:left w:w="0" w:type="dxa"/>
            <w:bottom w:w="0" w:type="dxa"/>
            <w:right w:w="0" w:type="dxa"/>
          </w:tblCellMar>
        </w:tblPrEx>
        <w:trPr>
          <w:wBefore w:w="0" w:type="auto"/>
          <w:tblCellSpacing w:w="0" w:type="dxa"/>
        </w:trPr>
        <w:tc>
          <w:tcPr>
            <w:tcW w:w="0" w:type="auto"/>
            <w:noWrap w:val="0"/>
            <w:vAlign w:val="center"/>
          </w:tcPr>
          <w:p w14:paraId="703B558D">
            <w:r>
              <w:rPr>
                <w:rFonts w:hint="eastAsia"/>
              </w:rPr>
              <w:t xml:space="preserve">有效成分及其含量： </w:t>
            </w:r>
          </w:p>
          <w:p w14:paraId="75BC5D6A">
            <w:r>
              <w:rPr>
                <w:rFonts w:hint="eastAsia"/>
              </w:rPr>
              <w:t xml:space="preserve">    硝磺草酮6%    烟嘧磺隆4%    莠去津26%    </w:t>
            </w:r>
          </w:p>
        </w:tc>
      </w:tr>
      <w:tr w14:paraId="73025DCE">
        <w:tblPrEx>
          <w:tblCellMar>
            <w:top w:w="0" w:type="dxa"/>
            <w:left w:w="0" w:type="dxa"/>
            <w:bottom w:w="0" w:type="dxa"/>
            <w:right w:w="0" w:type="dxa"/>
          </w:tblCellMar>
        </w:tblPrEx>
        <w:trPr>
          <w:wBefore w:w="0" w:type="auto"/>
          <w:tblCellSpacing w:w="0" w:type="dxa"/>
        </w:trPr>
        <w:tc>
          <w:tcPr>
            <w:tcW w:w="0" w:type="auto"/>
            <w:noWrap w:val="0"/>
            <w:vAlign w:val="center"/>
          </w:tcPr>
          <w:p w14:paraId="18BADE3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95566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9AE5B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FAC037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F76947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68330BD">
                  <w:r>
                    <w:rPr>
                      <w:rStyle w:val="11"/>
                      <w:rFonts w:hint="eastAsia"/>
                    </w:rPr>
                    <w:t>施用方式</w:t>
                  </w:r>
                </w:p>
              </w:tc>
            </w:tr>
            <w:tr w14:paraId="136E88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1F3444">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964CBB">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9BBBA6">
                  <w:r>
                    <w:rPr>
                      <w:rStyle w:val="11"/>
                      <w:rFonts w:hint="eastAsia"/>
                    </w:rPr>
                    <w:t>70-100毫升/亩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EF1602">
                  <w:r>
                    <w:rPr>
                      <w:rStyle w:val="11"/>
                      <w:rFonts w:hint="eastAsia"/>
                    </w:rPr>
                    <w:t>茎叶喷雾</w:t>
                  </w:r>
                </w:p>
              </w:tc>
            </w:tr>
          </w:tbl>
          <w:p w14:paraId="17591F3A">
            <w:pPr>
              <w:rPr>
                <w:rFonts w:ascii="Times New Roman" w:hAnsi="Times New Roman" w:cs="Times New Roman"/>
                <w:sz w:val="20"/>
                <w:szCs w:val="20"/>
              </w:rPr>
            </w:pPr>
          </w:p>
        </w:tc>
      </w:tr>
      <w:tr w14:paraId="3A19EFF3">
        <w:tblPrEx>
          <w:tblCellMar>
            <w:top w:w="0" w:type="dxa"/>
            <w:left w:w="0" w:type="dxa"/>
            <w:bottom w:w="0" w:type="dxa"/>
            <w:right w:w="0" w:type="dxa"/>
          </w:tblCellMar>
        </w:tblPrEx>
        <w:trPr>
          <w:wBefore w:w="0" w:type="auto"/>
          <w:tblCellSpacing w:w="0" w:type="dxa"/>
        </w:trPr>
        <w:tc>
          <w:tcPr>
            <w:tcW w:w="0" w:type="auto"/>
            <w:noWrap w:val="0"/>
            <w:vAlign w:val="center"/>
          </w:tcPr>
          <w:p w14:paraId="3F98D502">
            <w:r>
              <w:rPr>
                <w:rStyle w:val="10"/>
                <w:rFonts w:hint="eastAsia"/>
              </w:rPr>
              <w:t>使用技术要求:</w:t>
            </w:r>
            <w:r>
              <w:rPr>
                <w:rFonts w:hint="eastAsia"/>
              </w:rPr>
              <w:br w:type="textWrapping"/>
            </w:r>
            <w:r>
              <w:rPr>
                <w:rStyle w:val="11"/>
                <w:rFonts w:hint="eastAsia"/>
              </w:rPr>
              <w:t>1、最佳施药时期：在春玉米3-5叶期、杂草2-5叶期茎叶喷雾施药一次。2、每亩兑水40升左右。3、大风天或预计1小时内降雨请勿施药，根据草相在登记范围选用高或低量，勿超量使用，喷雾均匀勿重喷，漏喷。4、每季最多使用次数1次。</w:t>
            </w:r>
          </w:p>
        </w:tc>
      </w:tr>
      <w:tr w14:paraId="7D0F4BE5">
        <w:tblPrEx>
          <w:tblCellMar>
            <w:top w:w="0" w:type="dxa"/>
            <w:left w:w="0" w:type="dxa"/>
            <w:bottom w:w="0" w:type="dxa"/>
            <w:right w:w="0" w:type="dxa"/>
          </w:tblCellMar>
        </w:tblPrEx>
        <w:trPr>
          <w:wBefore w:w="0" w:type="auto"/>
          <w:tblCellSpacing w:w="0" w:type="dxa"/>
        </w:trPr>
        <w:tc>
          <w:tcPr>
            <w:tcW w:w="0" w:type="auto"/>
            <w:noWrap w:val="0"/>
            <w:vAlign w:val="center"/>
          </w:tcPr>
          <w:p w14:paraId="5B67887E">
            <w:r>
              <w:rPr>
                <w:rStyle w:val="10"/>
                <w:rFonts w:hint="eastAsia"/>
              </w:rPr>
              <w:t>产品性能:</w:t>
            </w:r>
            <w:r>
              <w:rPr>
                <w:rFonts w:hint="eastAsia"/>
              </w:rPr>
              <w:br w:type="textWrapping"/>
            </w:r>
            <w:r>
              <w:rPr>
                <w:rStyle w:val="11"/>
                <w:rFonts w:hint="eastAsia"/>
              </w:rPr>
              <w:t>本本品为土黄色悬浮液体，无刺激性气味。本品为玉米田专用茎叶除草剂，具有杀草谱广、持效期长、杀草速度快等特点。能有效防除玉米田一年生及多年生禾本科和阔叶杂草。在推荐剂量下对下茬作物安全。</w:t>
            </w:r>
          </w:p>
        </w:tc>
      </w:tr>
      <w:tr w14:paraId="448BF8B2">
        <w:tblPrEx>
          <w:tblCellMar>
            <w:top w:w="0" w:type="dxa"/>
            <w:left w:w="0" w:type="dxa"/>
            <w:bottom w:w="0" w:type="dxa"/>
            <w:right w:w="0" w:type="dxa"/>
          </w:tblCellMar>
        </w:tblPrEx>
        <w:trPr>
          <w:wBefore w:w="0" w:type="auto"/>
          <w:tblCellSpacing w:w="0" w:type="dxa"/>
        </w:trPr>
        <w:tc>
          <w:tcPr>
            <w:tcW w:w="0" w:type="auto"/>
            <w:noWrap w:val="0"/>
            <w:vAlign w:val="center"/>
          </w:tcPr>
          <w:p w14:paraId="07E088E1">
            <w:r>
              <w:rPr>
                <w:rStyle w:val="10"/>
                <w:rFonts w:hint="eastAsia"/>
              </w:rPr>
              <w:t>注意事项：</w:t>
            </w:r>
            <w:r>
              <w:rPr>
                <w:rFonts w:hint="eastAsia"/>
              </w:rPr>
              <w:br w:type="textWrapping"/>
            </w:r>
            <w:r>
              <w:rPr>
                <w:rStyle w:val="11"/>
                <w:rFonts w:hint="eastAsia"/>
              </w:rPr>
              <w:t>1、使用前，请详细阅读本标签并按推荐方法和剂量使用。 2、本剂不能与有机磷类农药混用：如使用有机磷类农药，间隔期必须在7天以上。 3、施药后，玉米个别品种或个别叶片出现白化条纹，属于正常药性反应，对玉米生长无不良影响。 4、本剂不能用弥雾机施药，以免产生药害。 5、甜玉米、糯玉米、爆裂玉米、自交系玉米及制种玉米田不宜使用。个别玉米新品种对烟嘧磺隆敏感，使用时应注意对玉米的安全性。 6、用药前要充分摇匀，药液量过少喷不均匀或过多落入地面都影响药效。 7、异常的高温高湿天气不宜用药。 8、因本品含莠去津，对豆类、水稻、瓜类、杨树、桃树敏感，防止药液飘移。 9、本品对蜜蜂、鱼类等水生生物、家蚕有毒，施药期间应避免对周围蜂群的影响。禁止在蚕室和桑园附近使用；地下水、饮用水水源地禁用；远离水产养殖区、河塘等水域施药；禁止在河塘等水体中清洗施药器具。 10、本品对眼、皮肤有刺激作用，避免眼睛和皮肤接触。使用时应穿（戴）长衣、长裤、帽子、口罩、手套、鞋子等，避免吸入药液；施药期间不可吃东西和饮水，施药后应及时洗手和洗脸等暴露皮肤。11、孕妇及哺乳期妇女应避免接触.12、用过的容器应妥善处理，不可做他用，也不可随意丢弃。</w:t>
            </w:r>
          </w:p>
        </w:tc>
      </w:tr>
      <w:tr w14:paraId="2C736081">
        <w:tblPrEx>
          <w:tblCellMar>
            <w:top w:w="0" w:type="dxa"/>
            <w:left w:w="0" w:type="dxa"/>
            <w:bottom w:w="0" w:type="dxa"/>
            <w:right w:w="0" w:type="dxa"/>
          </w:tblCellMar>
        </w:tblPrEx>
        <w:trPr>
          <w:wBefore w:w="0" w:type="auto"/>
          <w:tblCellSpacing w:w="0" w:type="dxa"/>
        </w:trPr>
        <w:tc>
          <w:tcPr>
            <w:tcW w:w="0" w:type="auto"/>
            <w:noWrap w:val="0"/>
            <w:vAlign w:val="center"/>
          </w:tcPr>
          <w:p w14:paraId="069DC380">
            <w:r>
              <w:rPr>
                <w:rStyle w:val="10"/>
                <w:rFonts w:hint="eastAsia"/>
              </w:rPr>
              <w:t>中毒急救措施：</w:t>
            </w:r>
            <w:r>
              <w:rPr>
                <w:rFonts w:hint="eastAsia"/>
              </w:rPr>
              <w:br w:type="textWrapping"/>
            </w:r>
            <w:r>
              <w:rPr>
                <w:rStyle w:val="11"/>
                <w:rFonts w:hint="eastAsia"/>
              </w:rPr>
              <w:t>本品对皮肤有刺激性，使用时应避免药液接触皮肤，黏膜和伤口等。 1、中毒症状：对眼、皮肤及呼吸道有刺激作用，一般不会产生全身中毒。 2、皮肤接触：立即脱掉被污染的衣物，用肥皂和大量清水彻底清洗受污染的皮肤。 3、眼睛溅药：立即将眼睑翻开，用清水冲洗至少10-15分钟，再请医生诊治。 4、不慎吸入：立即将吸入者转移到空气新鲜处，请医生诊治。 5、如误服，应立即携带此标签去医院诊治。无解毒剂，对症治疗。</w:t>
            </w:r>
          </w:p>
        </w:tc>
      </w:tr>
      <w:tr w14:paraId="29BE94DE">
        <w:tblPrEx>
          <w:tblCellMar>
            <w:top w:w="0" w:type="dxa"/>
            <w:left w:w="0" w:type="dxa"/>
            <w:bottom w:w="0" w:type="dxa"/>
            <w:right w:w="0" w:type="dxa"/>
          </w:tblCellMar>
        </w:tblPrEx>
        <w:trPr>
          <w:wBefore w:w="0" w:type="auto"/>
          <w:tblCellSpacing w:w="0" w:type="dxa"/>
        </w:trPr>
        <w:tc>
          <w:tcPr>
            <w:tcW w:w="0" w:type="auto"/>
            <w:noWrap w:val="0"/>
            <w:vAlign w:val="center"/>
          </w:tcPr>
          <w:p w14:paraId="5BA09419">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本品应贮存在干燥、阴凉、通风、防雨处，远离火源或热源；置于儿童、无关人员触及不到之处，并加锁。不能与食品、饮料、粮食、饲料等物品同贮同运。</w:t>
            </w:r>
          </w:p>
        </w:tc>
      </w:tr>
      <w:tr w14:paraId="521E319F">
        <w:tblPrEx>
          <w:tblCellMar>
            <w:top w:w="0" w:type="dxa"/>
            <w:left w:w="0" w:type="dxa"/>
            <w:bottom w:w="0" w:type="dxa"/>
            <w:right w:w="0" w:type="dxa"/>
          </w:tblCellMar>
        </w:tblPrEx>
        <w:trPr>
          <w:wBefore w:w="0" w:type="auto"/>
          <w:tblCellSpacing w:w="0" w:type="dxa"/>
        </w:trPr>
        <w:tc>
          <w:tcPr>
            <w:tcW w:w="0" w:type="auto"/>
            <w:noWrap w:val="0"/>
            <w:vAlign w:val="center"/>
          </w:tcPr>
          <w:p w14:paraId="686FC8DB">
            <w:r>
              <w:rPr>
                <w:rStyle w:val="10"/>
                <w:rFonts w:hint="eastAsia"/>
              </w:rPr>
              <w:t>质量保证期：</w:t>
            </w:r>
            <w:r>
              <w:rPr>
                <w:rStyle w:val="11"/>
                <w:rFonts w:hint="eastAsia"/>
              </w:rPr>
              <w:t>2年</w:t>
            </w:r>
          </w:p>
        </w:tc>
      </w:tr>
      <w:tr w14:paraId="0D81E31C">
        <w:tblPrEx>
          <w:tblCellMar>
            <w:top w:w="0" w:type="dxa"/>
            <w:left w:w="0" w:type="dxa"/>
            <w:bottom w:w="0" w:type="dxa"/>
            <w:right w:w="0" w:type="dxa"/>
          </w:tblCellMar>
        </w:tblPrEx>
        <w:trPr>
          <w:wBefore w:w="0" w:type="auto"/>
          <w:tblCellSpacing w:w="0" w:type="dxa"/>
        </w:trPr>
        <w:tc>
          <w:tcPr>
            <w:tcW w:w="0" w:type="auto"/>
            <w:noWrap w:val="0"/>
            <w:vAlign w:val="center"/>
          </w:tcPr>
          <w:p w14:paraId="1362A7F2">
            <w:r>
              <w:rPr>
                <w:rStyle w:val="10"/>
                <w:rFonts w:hint="eastAsia"/>
              </w:rPr>
              <w:t>备注：</w:t>
            </w:r>
          </w:p>
        </w:tc>
      </w:tr>
    </w:tbl>
    <w:p w14:paraId="3469023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99755BF">
        <w:tblPrEx>
          <w:tblCellMar>
            <w:top w:w="0" w:type="dxa"/>
            <w:left w:w="0" w:type="dxa"/>
            <w:bottom w:w="0" w:type="dxa"/>
            <w:right w:w="0" w:type="dxa"/>
          </w:tblCellMar>
        </w:tblPrEx>
        <w:trPr>
          <w:wBefore w:w="0" w:type="auto"/>
          <w:tblCellSpacing w:w="0" w:type="dxa"/>
        </w:trPr>
        <w:tc>
          <w:tcPr>
            <w:tcW w:w="0" w:type="auto"/>
            <w:noWrap w:val="0"/>
            <w:vAlign w:val="center"/>
          </w:tcPr>
          <w:p w14:paraId="7A3B4753">
            <w:r>
              <w:rPr>
                <w:rStyle w:val="10"/>
                <w:rFonts w:hint="eastAsia"/>
              </w:rPr>
              <w:t>登记证号：</w:t>
            </w:r>
            <w:r>
              <w:rPr>
                <w:rFonts w:hint="eastAsia"/>
              </w:rPr>
              <w:t>PD20212168</w:t>
            </w:r>
          </w:p>
        </w:tc>
      </w:tr>
      <w:tr w14:paraId="70855839">
        <w:tblPrEx>
          <w:tblCellMar>
            <w:top w:w="0" w:type="dxa"/>
            <w:left w:w="0" w:type="dxa"/>
            <w:bottom w:w="0" w:type="dxa"/>
            <w:right w:w="0" w:type="dxa"/>
          </w:tblCellMar>
        </w:tblPrEx>
        <w:trPr>
          <w:wBefore w:w="0" w:type="auto"/>
          <w:tblCellSpacing w:w="0" w:type="dxa"/>
        </w:trPr>
        <w:tc>
          <w:tcPr>
            <w:tcW w:w="0" w:type="auto"/>
            <w:noWrap w:val="0"/>
            <w:vAlign w:val="center"/>
          </w:tcPr>
          <w:p w14:paraId="1920789C">
            <w:r>
              <w:rPr>
                <w:rStyle w:val="10"/>
                <w:rFonts w:hint="eastAsia"/>
              </w:rPr>
              <w:t>登记证持有人：</w:t>
            </w:r>
            <w:r>
              <w:rPr>
                <w:rFonts w:hint="eastAsia"/>
              </w:rPr>
              <w:t>湖南田野生物科技有限责任公司</w:t>
            </w:r>
          </w:p>
        </w:tc>
      </w:tr>
      <w:tr w14:paraId="0181878D">
        <w:tblPrEx>
          <w:tblCellMar>
            <w:top w:w="0" w:type="dxa"/>
            <w:left w:w="0" w:type="dxa"/>
            <w:bottom w:w="0" w:type="dxa"/>
            <w:right w:w="0" w:type="dxa"/>
          </w:tblCellMar>
        </w:tblPrEx>
        <w:trPr>
          <w:wBefore w:w="0" w:type="auto"/>
          <w:tblCellSpacing w:w="0" w:type="dxa"/>
        </w:trPr>
        <w:tc>
          <w:tcPr>
            <w:tcW w:w="0" w:type="auto"/>
            <w:noWrap w:val="0"/>
            <w:vAlign w:val="center"/>
          </w:tcPr>
          <w:p w14:paraId="1FE4CF9A">
            <w:r>
              <w:rPr>
                <w:rStyle w:val="10"/>
                <w:rFonts w:hint="eastAsia"/>
              </w:rPr>
              <w:t>农药名称：</w:t>
            </w:r>
            <w:r>
              <w:rPr>
                <w:rFonts w:hint="eastAsia"/>
              </w:rPr>
              <w:t>苄嘧·丙草胺</w:t>
            </w:r>
          </w:p>
        </w:tc>
      </w:tr>
      <w:tr w14:paraId="134B95D5">
        <w:tblPrEx>
          <w:tblCellMar>
            <w:top w:w="0" w:type="dxa"/>
            <w:left w:w="0" w:type="dxa"/>
            <w:bottom w:w="0" w:type="dxa"/>
            <w:right w:w="0" w:type="dxa"/>
          </w:tblCellMar>
        </w:tblPrEx>
        <w:trPr>
          <w:wBefore w:w="0" w:type="auto"/>
          <w:tblCellSpacing w:w="0" w:type="dxa"/>
        </w:trPr>
        <w:tc>
          <w:tcPr>
            <w:tcW w:w="0" w:type="auto"/>
            <w:noWrap w:val="0"/>
            <w:vAlign w:val="center"/>
          </w:tcPr>
          <w:p w14:paraId="1B556412">
            <w:r>
              <w:rPr>
                <w:rStyle w:val="10"/>
                <w:rFonts w:hint="eastAsia"/>
              </w:rPr>
              <w:t>剂型：</w:t>
            </w:r>
            <w:r>
              <w:rPr>
                <w:rFonts w:hint="eastAsia"/>
              </w:rPr>
              <w:t>可分散油悬浮剂</w:t>
            </w:r>
          </w:p>
        </w:tc>
      </w:tr>
      <w:tr w14:paraId="1BE30657">
        <w:tblPrEx>
          <w:tblCellMar>
            <w:top w:w="0" w:type="dxa"/>
            <w:left w:w="0" w:type="dxa"/>
            <w:bottom w:w="0" w:type="dxa"/>
            <w:right w:w="0" w:type="dxa"/>
          </w:tblCellMar>
        </w:tblPrEx>
        <w:trPr>
          <w:wBefore w:w="0" w:type="auto"/>
          <w:tblCellSpacing w:w="0" w:type="dxa"/>
        </w:trPr>
        <w:tc>
          <w:tcPr>
            <w:tcW w:w="0" w:type="auto"/>
            <w:noWrap w:val="0"/>
            <w:vAlign w:val="center"/>
          </w:tcPr>
          <w:p w14:paraId="184EE14E">
            <w:r>
              <w:rPr>
                <w:rStyle w:val="10"/>
                <w:rFonts w:hint="eastAsia"/>
              </w:rPr>
              <w:t>毒性及其标识：</w:t>
            </w:r>
            <w:r>
              <w:rPr>
                <w:rFonts w:hint="eastAsia"/>
              </w:rPr>
              <w:t xml:space="preserve"> </w:t>
            </w:r>
            <w:r>
              <w:rPr>
                <w:lang/>
              </w:rPr>
              <w:drawing>
                <wp:inline distT="0" distB="0" distL="114300" distR="114300">
                  <wp:extent cx="476250" cy="323850"/>
                  <wp:effectExtent l="0" t="0" r="0" b="0"/>
                  <wp:docPr id="306" name="图片 30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72487F0">
        <w:tblPrEx>
          <w:tblCellMar>
            <w:top w:w="0" w:type="dxa"/>
            <w:left w:w="0" w:type="dxa"/>
            <w:bottom w:w="0" w:type="dxa"/>
            <w:right w:w="0" w:type="dxa"/>
          </w:tblCellMar>
        </w:tblPrEx>
        <w:trPr>
          <w:wBefore w:w="0" w:type="auto"/>
          <w:tblCellSpacing w:w="0" w:type="dxa"/>
        </w:trPr>
        <w:tc>
          <w:tcPr>
            <w:tcW w:w="0" w:type="auto"/>
            <w:noWrap w:val="0"/>
            <w:vAlign w:val="center"/>
          </w:tcPr>
          <w:p w14:paraId="48DF2888">
            <w:r>
              <w:rPr>
                <w:rStyle w:val="10"/>
                <w:rFonts w:hint="eastAsia"/>
              </w:rPr>
              <w:t>总有效成分含量：</w:t>
            </w:r>
            <w:r>
              <w:rPr>
                <w:rFonts w:hint="eastAsia"/>
              </w:rPr>
              <w:t>40%</w:t>
            </w:r>
          </w:p>
        </w:tc>
      </w:tr>
      <w:tr w14:paraId="7BD7C5A3">
        <w:tblPrEx>
          <w:tblCellMar>
            <w:top w:w="0" w:type="dxa"/>
            <w:left w:w="0" w:type="dxa"/>
            <w:bottom w:w="0" w:type="dxa"/>
            <w:right w:w="0" w:type="dxa"/>
          </w:tblCellMar>
        </w:tblPrEx>
        <w:trPr>
          <w:wBefore w:w="0" w:type="auto"/>
          <w:tblCellSpacing w:w="0" w:type="dxa"/>
        </w:trPr>
        <w:tc>
          <w:tcPr>
            <w:tcW w:w="0" w:type="auto"/>
            <w:noWrap w:val="0"/>
            <w:vAlign w:val="center"/>
          </w:tcPr>
          <w:p w14:paraId="02610927">
            <w:r>
              <w:rPr>
                <w:rFonts w:hint="eastAsia"/>
              </w:rPr>
              <w:t xml:space="preserve">有效成分及其含量： </w:t>
            </w:r>
          </w:p>
          <w:p w14:paraId="3181F1CC">
            <w:r>
              <w:rPr>
                <w:rFonts w:hint="eastAsia"/>
              </w:rPr>
              <w:t xml:space="preserve">    苄嘧磺隆4%    丙草胺36%    </w:t>
            </w:r>
          </w:p>
        </w:tc>
      </w:tr>
      <w:tr w14:paraId="557E5F48">
        <w:tblPrEx>
          <w:tblCellMar>
            <w:top w:w="0" w:type="dxa"/>
            <w:left w:w="0" w:type="dxa"/>
            <w:bottom w:w="0" w:type="dxa"/>
            <w:right w:w="0" w:type="dxa"/>
          </w:tblCellMar>
        </w:tblPrEx>
        <w:trPr>
          <w:wBefore w:w="0" w:type="auto"/>
          <w:tblCellSpacing w:w="0" w:type="dxa"/>
        </w:trPr>
        <w:tc>
          <w:tcPr>
            <w:tcW w:w="0" w:type="auto"/>
            <w:noWrap w:val="0"/>
            <w:vAlign w:val="center"/>
          </w:tcPr>
          <w:p w14:paraId="393E040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3FA7C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B5A438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3A270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BA9CB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75F8548">
                  <w:r>
                    <w:rPr>
                      <w:rStyle w:val="11"/>
                      <w:rFonts w:hint="eastAsia"/>
                    </w:rPr>
                    <w:t>施用方式</w:t>
                  </w:r>
                </w:p>
              </w:tc>
            </w:tr>
            <w:tr w14:paraId="0CB5B4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0E9FBA">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BC98F5">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AEEC88">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755B19">
                  <w:r>
                    <w:rPr>
                      <w:rStyle w:val="11"/>
                      <w:rFonts w:hint="eastAsia"/>
                    </w:rPr>
                    <w:t>土壤喷雾</w:t>
                  </w:r>
                </w:p>
              </w:tc>
            </w:tr>
          </w:tbl>
          <w:p w14:paraId="4AA6A62B">
            <w:pPr>
              <w:rPr>
                <w:rFonts w:ascii="Times New Roman" w:hAnsi="Times New Roman" w:cs="Times New Roman"/>
                <w:sz w:val="20"/>
                <w:szCs w:val="20"/>
              </w:rPr>
            </w:pPr>
          </w:p>
        </w:tc>
      </w:tr>
      <w:tr w14:paraId="03C515ED">
        <w:tblPrEx>
          <w:tblCellMar>
            <w:top w:w="0" w:type="dxa"/>
            <w:left w:w="0" w:type="dxa"/>
            <w:bottom w:w="0" w:type="dxa"/>
            <w:right w:w="0" w:type="dxa"/>
          </w:tblCellMar>
        </w:tblPrEx>
        <w:trPr>
          <w:wBefore w:w="0" w:type="auto"/>
          <w:tblCellSpacing w:w="0" w:type="dxa"/>
        </w:trPr>
        <w:tc>
          <w:tcPr>
            <w:tcW w:w="0" w:type="auto"/>
            <w:noWrap w:val="0"/>
            <w:vAlign w:val="center"/>
          </w:tcPr>
          <w:p w14:paraId="52E1E2CB">
            <w:r>
              <w:rPr>
                <w:rStyle w:val="10"/>
                <w:rFonts w:hint="eastAsia"/>
              </w:rPr>
              <w:t>使用技术要求:</w:t>
            </w:r>
            <w:r>
              <w:rPr>
                <w:rFonts w:hint="eastAsia"/>
              </w:rPr>
              <w:br w:type="textWrapping"/>
            </w:r>
            <w:r>
              <w:rPr>
                <w:rStyle w:val="11"/>
                <w:rFonts w:hint="eastAsia"/>
              </w:rPr>
              <w:t>1. 在直播稻播种后2-5天，以推荐剂量兑水均匀土壤喷雾施药一次。施药时防止药液飘移到邻近作物，以免产生药害。施药时田间勿积水，以免产生药害。 2、大风天或预计1小时内降雨，请勿施药。 3、每季作物最多使用1次。</w:t>
            </w:r>
          </w:p>
        </w:tc>
      </w:tr>
      <w:tr w14:paraId="62D00619">
        <w:tblPrEx>
          <w:tblCellMar>
            <w:top w:w="0" w:type="dxa"/>
            <w:left w:w="0" w:type="dxa"/>
            <w:bottom w:w="0" w:type="dxa"/>
            <w:right w:w="0" w:type="dxa"/>
          </w:tblCellMar>
        </w:tblPrEx>
        <w:trPr>
          <w:wBefore w:w="0" w:type="auto"/>
          <w:tblCellSpacing w:w="0" w:type="dxa"/>
        </w:trPr>
        <w:tc>
          <w:tcPr>
            <w:tcW w:w="0" w:type="auto"/>
            <w:noWrap w:val="0"/>
            <w:vAlign w:val="center"/>
          </w:tcPr>
          <w:p w14:paraId="0AA8671C">
            <w:r>
              <w:rPr>
                <w:rStyle w:val="10"/>
                <w:rFonts w:hint="eastAsia"/>
              </w:rPr>
              <w:t>产品性能:</w:t>
            </w:r>
            <w:r>
              <w:rPr>
                <w:rFonts w:hint="eastAsia"/>
              </w:rPr>
              <w:br w:type="textWrapping"/>
            </w:r>
            <w:r>
              <w:rPr>
                <w:rStyle w:val="11"/>
                <w:rFonts w:hint="eastAsia"/>
              </w:rPr>
              <w:t>本品是选择性芽前处理剂，含安全剂解草啶，杂草可通过植物下胚轴，中胚轴和胚芽吸收，直接干扰杂草体内蛋白质合成，并对光合及呼吸作用有间接影响。受害杂草幼苗扭曲，初生叶难伸出，叶色变深绿，生长停止，直至死亡。可用于防除直播水稻田一年生杂草。</w:t>
            </w:r>
          </w:p>
        </w:tc>
      </w:tr>
      <w:tr w14:paraId="58167EE3">
        <w:tblPrEx>
          <w:tblCellMar>
            <w:top w:w="0" w:type="dxa"/>
            <w:left w:w="0" w:type="dxa"/>
            <w:bottom w:w="0" w:type="dxa"/>
            <w:right w:w="0" w:type="dxa"/>
          </w:tblCellMar>
        </w:tblPrEx>
        <w:trPr>
          <w:wBefore w:w="0" w:type="auto"/>
          <w:tblCellSpacing w:w="0" w:type="dxa"/>
        </w:trPr>
        <w:tc>
          <w:tcPr>
            <w:tcW w:w="0" w:type="auto"/>
            <w:noWrap w:val="0"/>
            <w:vAlign w:val="center"/>
          </w:tcPr>
          <w:p w14:paraId="1EB16AF1">
            <w:r>
              <w:rPr>
                <w:rStyle w:val="10"/>
                <w:rFonts w:hint="eastAsia"/>
              </w:rPr>
              <w:t>注意事项：</w:t>
            </w:r>
            <w:r>
              <w:rPr>
                <w:rFonts w:hint="eastAsia"/>
              </w:rPr>
              <w:br w:type="textWrapping"/>
            </w:r>
            <w:r>
              <w:rPr>
                <w:rStyle w:val="11"/>
                <w:rFonts w:hint="eastAsia"/>
              </w:rPr>
              <w:t>1. 本品对眼睛有刺激性，施用应注意安全防护，施用时穿戴帽子、口罩、长衣、长裤、手套、鞋。避免吸入药液。施药期间不可吃东西和饮水，施药后应及时洗手和洗脸。2. 对水生生态系统、家蚕有毒，蚕室及桑园附近禁用，水产养殖区、河塘等水体附近禁用，禁止在河塘等水域清洗施药器具。3. 鱼或虾蟹套养稻田禁用，施药后的田水不得直接排入水体。4. 孕妇及哺乳期妇女避免接触。5. 用过的容器应妥善处理，不可做他用，也不可随意丢弃。。</w:t>
            </w:r>
          </w:p>
        </w:tc>
      </w:tr>
      <w:tr w14:paraId="2CF43099">
        <w:tblPrEx>
          <w:tblCellMar>
            <w:top w:w="0" w:type="dxa"/>
            <w:left w:w="0" w:type="dxa"/>
            <w:bottom w:w="0" w:type="dxa"/>
            <w:right w:w="0" w:type="dxa"/>
          </w:tblCellMar>
        </w:tblPrEx>
        <w:trPr>
          <w:wBefore w:w="0" w:type="auto"/>
          <w:tblCellSpacing w:w="0" w:type="dxa"/>
        </w:trPr>
        <w:tc>
          <w:tcPr>
            <w:tcW w:w="0" w:type="auto"/>
            <w:noWrap w:val="0"/>
            <w:vAlign w:val="center"/>
          </w:tcPr>
          <w:p w14:paraId="6234AC72">
            <w:r>
              <w:rPr>
                <w:rStyle w:val="10"/>
                <w:rFonts w:hint="eastAsia"/>
              </w:rPr>
              <w:t>中毒急救措施：</w:t>
            </w:r>
            <w:r>
              <w:rPr>
                <w:rFonts w:hint="eastAsia"/>
              </w:rPr>
              <w:br w:type="textWrapping"/>
            </w:r>
            <w:r>
              <w:rPr>
                <w:rStyle w:val="11"/>
                <w:rFonts w:hint="eastAsia"/>
              </w:rPr>
              <w:t>中毒症状：用药时如果感觉不适，立即停止工作，并携此标签送医就诊。 急救治疗：不慎吸入应立即离开施药现场，转移到空气新鲜处。皮肤接触：立即脱掉污染衣物，用大量清水冲洗被污染的皮肤，如皮肤刺激感持续，请医生诊治。溅入眼睛：立即翻开眼睑，用流动清水冲洗至少15分钟，请医生诊治。误服：立即携带标签，送医就诊，没有专门的解毒药，根据中毒症状进行治疗。</w:t>
            </w:r>
          </w:p>
        </w:tc>
      </w:tr>
      <w:tr w14:paraId="7ACF0834">
        <w:tblPrEx>
          <w:tblCellMar>
            <w:top w:w="0" w:type="dxa"/>
            <w:left w:w="0" w:type="dxa"/>
            <w:bottom w:w="0" w:type="dxa"/>
            <w:right w:w="0" w:type="dxa"/>
          </w:tblCellMar>
        </w:tblPrEx>
        <w:trPr>
          <w:wBefore w:w="0" w:type="auto"/>
          <w:tblCellSpacing w:w="0" w:type="dxa"/>
        </w:trPr>
        <w:tc>
          <w:tcPr>
            <w:tcW w:w="0" w:type="auto"/>
            <w:noWrap w:val="0"/>
            <w:vAlign w:val="center"/>
          </w:tcPr>
          <w:p w14:paraId="4856630A">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本品应贮存在干燥、阴凉、通风、防雨处，远离火源或热源。置于儿童、无关人员触及不到之处，并加锁。勿与食品、饮料、饲料、粮食等同贮同运。</w:t>
            </w:r>
          </w:p>
        </w:tc>
      </w:tr>
      <w:tr w14:paraId="34A0A883">
        <w:tblPrEx>
          <w:tblCellMar>
            <w:top w:w="0" w:type="dxa"/>
            <w:left w:w="0" w:type="dxa"/>
            <w:bottom w:w="0" w:type="dxa"/>
            <w:right w:w="0" w:type="dxa"/>
          </w:tblCellMar>
        </w:tblPrEx>
        <w:trPr>
          <w:wBefore w:w="0" w:type="auto"/>
          <w:tblCellSpacing w:w="0" w:type="dxa"/>
        </w:trPr>
        <w:tc>
          <w:tcPr>
            <w:tcW w:w="0" w:type="auto"/>
            <w:noWrap w:val="0"/>
            <w:vAlign w:val="center"/>
          </w:tcPr>
          <w:p w14:paraId="175DA062">
            <w:r>
              <w:rPr>
                <w:rStyle w:val="10"/>
                <w:rFonts w:hint="eastAsia"/>
              </w:rPr>
              <w:t>质量保证期：</w:t>
            </w:r>
            <w:r>
              <w:rPr>
                <w:rStyle w:val="11"/>
                <w:rFonts w:hint="eastAsia"/>
              </w:rPr>
              <w:t>2年</w:t>
            </w:r>
          </w:p>
        </w:tc>
      </w:tr>
      <w:tr w14:paraId="64900CC8">
        <w:tblPrEx>
          <w:tblCellMar>
            <w:top w:w="0" w:type="dxa"/>
            <w:left w:w="0" w:type="dxa"/>
            <w:bottom w:w="0" w:type="dxa"/>
            <w:right w:w="0" w:type="dxa"/>
          </w:tblCellMar>
        </w:tblPrEx>
        <w:trPr>
          <w:wBefore w:w="0" w:type="auto"/>
          <w:tblCellSpacing w:w="0" w:type="dxa"/>
        </w:trPr>
        <w:tc>
          <w:tcPr>
            <w:tcW w:w="0" w:type="auto"/>
            <w:noWrap w:val="0"/>
            <w:vAlign w:val="center"/>
          </w:tcPr>
          <w:p w14:paraId="0528B055">
            <w:r>
              <w:rPr>
                <w:rStyle w:val="10"/>
                <w:rFonts w:hint="eastAsia"/>
              </w:rPr>
              <w:t>备注：</w:t>
            </w:r>
          </w:p>
        </w:tc>
      </w:tr>
    </w:tbl>
    <w:p w14:paraId="0296D40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49E3BA">
        <w:tblPrEx>
          <w:tblCellMar>
            <w:top w:w="0" w:type="dxa"/>
            <w:left w:w="0" w:type="dxa"/>
            <w:bottom w:w="0" w:type="dxa"/>
            <w:right w:w="0" w:type="dxa"/>
          </w:tblCellMar>
        </w:tblPrEx>
        <w:trPr>
          <w:wBefore w:w="0" w:type="auto"/>
          <w:tblCellSpacing w:w="0" w:type="dxa"/>
        </w:trPr>
        <w:tc>
          <w:tcPr>
            <w:tcW w:w="0" w:type="auto"/>
            <w:noWrap w:val="0"/>
            <w:vAlign w:val="center"/>
          </w:tcPr>
          <w:p w14:paraId="78C1546E">
            <w:r>
              <w:rPr>
                <w:rStyle w:val="10"/>
                <w:rFonts w:hint="eastAsia"/>
              </w:rPr>
              <w:t>登记证号：</w:t>
            </w:r>
            <w:r>
              <w:rPr>
                <w:rFonts w:hint="eastAsia"/>
              </w:rPr>
              <w:t>PD20211800</w:t>
            </w:r>
          </w:p>
        </w:tc>
      </w:tr>
      <w:tr w14:paraId="23B4DA9A">
        <w:tblPrEx>
          <w:tblCellMar>
            <w:top w:w="0" w:type="dxa"/>
            <w:left w:w="0" w:type="dxa"/>
            <w:bottom w:w="0" w:type="dxa"/>
            <w:right w:w="0" w:type="dxa"/>
          </w:tblCellMar>
        </w:tblPrEx>
        <w:trPr>
          <w:wBefore w:w="0" w:type="auto"/>
          <w:tblCellSpacing w:w="0" w:type="dxa"/>
        </w:trPr>
        <w:tc>
          <w:tcPr>
            <w:tcW w:w="0" w:type="auto"/>
            <w:noWrap w:val="0"/>
            <w:vAlign w:val="center"/>
          </w:tcPr>
          <w:p w14:paraId="27287C72">
            <w:r>
              <w:rPr>
                <w:rStyle w:val="10"/>
                <w:rFonts w:hint="eastAsia"/>
              </w:rPr>
              <w:t>登记证持有人：</w:t>
            </w:r>
            <w:r>
              <w:rPr>
                <w:rFonts w:hint="eastAsia"/>
              </w:rPr>
              <w:t>陕西美邦药业集团股份有限公司</w:t>
            </w:r>
          </w:p>
        </w:tc>
      </w:tr>
      <w:tr w14:paraId="48981C9C">
        <w:tblPrEx>
          <w:tblCellMar>
            <w:top w:w="0" w:type="dxa"/>
            <w:left w:w="0" w:type="dxa"/>
            <w:bottom w:w="0" w:type="dxa"/>
            <w:right w:w="0" w:type="dxa"/>
          </w:tblCellMar>
        </w:tblPrEx>
        <w:trPr>
          <w:wBefore w:w="0" w:type="auto"/>
          <w:tblCellSpacing w:w="0" w:type="dxa"/>
        </w:trPr>
        <w:tc>
          <w:tcPr>
            <w:tcW w:w="0" w:type="auto"/>
            <w:noWrap w:val="0"/>
            <w:vAlign w:val="center"/>
          </w:tcPr>
          <w:p w14:paraId="310E9224">
            <w:r>
              <w:rPr>
                <w:rStyle w:val="10"/>
                <w:rFonts w:hint="eastAsia"/>
              </w:rPr>
              <w:t>农药名称：</w:t>
            </w:r>
            <w:r>
              <w:rPr>
                <w:rFonts w:hint="eastAsia"/>
              </w:rPr>
              <w:t>丁醚脲·呋虫胺</w:t>
            </w:r>
          </w:p>
        </w:tc>
      </w:tr>
      <w:tr w14:paraId="625E78FB">
        <w:tblPrEx>
          <w:tblCellMar>
            <w:top w:w="0" w:type="dxa"/>
            <w:left w:w="0" w:type="dxa"/>
            <w:bottom w:w="0" w:type="dxa"/>
            <w:right w:w="0" w:type="dxa"/>
          </w:tblCellMar>
        </w:tblPrEx>
        <w:trPr>
          <w:wBefore w:w="0" w:type="auto"/>
          <w:tblCellSpacing w:w="0" w:type="dxa"/>
        </w:trPr>
        <w:tc>
          <w:tcPr>
            <w:tcW w:w="0" w:type="auto"/>
            <w:noWrap w:val="0"/>
            <w:vAlign w:val="center"/>
          </w:tcPr>
          <w:p w14:paraId="43EF667B">
            <w:r>
              <w:rPr>
                <w:rStyle w:val="10"/>
                <w:rFonts w:hint="eastAsia"/>
              </w:rPr>
              <w:t>剂型：</w:t>
            </w:r>
            <w:r>
              <w:rPr>
                <w:rFonts w:hint="eastAsia"/>
              </w:rPr>
              <w:t>悬浮剂</w:t>
            </w:r>
          </w:p>
        </w:tc>
      </w:tr>
      <w:tr w14:paraId="73D71065">
        <w:tblPrEx>
          <w:tblCellMar>
            <w:top w:w="0" w:type="dxa"/>
            <w:left w:w="0" w:type="dxa"/>
            <w:bottom w:w="0" w:type="dxa"/>
            <w:right w:w="0" w:type="dxa"/>
          </w:tblCellMar>
        </w:tblPrEx>
        <w:trPr>
          <w:wBefore w:w="0" w:type="auto"/>
          <w:tblCellSpacing w:w="0" w:type="dxa"/>
        </w:trPr>
        <w:tc>
          <w:tcPr>
            <w:tcW w:w="0" w:type="auto"/>
            <w:noWrap w:val="0"/>
            <w:vAlign w:val="center"/>
          </w:tcPr>
          <w:p w14:paraId="6400EB46">
            <w:r>
              <w:rPr>
                <w:rStyle w:val="10"/>
                <w:rFonts w:hint="eastAsia"/>
              </w:rPr>
              <w:t>毒性及其标识：</w:t>
            </w:r>
            <w:r>
              <w:rPr>
                <w:rFonts w:hint="eastAsia"/>
              </w:rPr>
              <w:t xml:space="preserve"> </w:t>
            </w:r>
            <w:r>
              <w:rPr>
                <w:lang/>
              </w:rPr>
              <w:drawing>
                <wp:inline distT="0" distB="0" distL="114300" distR="114300">
                  <wp:extent cx="476250" cy="323850"/>
                  <wp:effectExtent l="0" t="0" r="0" b="0"/>
                  <wp:docPr id="307" name="图片 30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6FA9FD6">
        <w:tblPrEx>
          <w:tblCellMar>
            <w:top w:w="0" w:type="dxa"/>
            <w:left w:w="0" w:type="dxa"/>
            <w:bottom w:w="0" w:type="dxa"/>
            <w:right w:w="0" w:type="dxa"/>
          </w:tblCellMar>
        </w:tblPrEx>
        <w:trPr>
          <w:wBefore w:w="0" w:type="auto"/>
          <w:tblCellSpacing w:w="0" w:type="dxa"/>
        </w:trPr>
        <w:tc>
          <w:tcPr>
            <w:tcW w:w="0" w:type="auto"/>
            <w:noWrap w:val="0"/>
            <w:vAlign w:val="center"/>
          </w:tcPr>
          <w:p w14:paraId="6F540442">
            <w:r>
              <w:rPr>
                <w:rStyle w:val="10"/>
                <w:rFonts w:hint="eastAsia"/>
              </w:rPr>
              <w:t>总有效成分含量：</w:t>
            </w:r>
            <w:r>
              <w:rPr>
                <w:rFonts w:hint="eastAsia"/>
              </w:rPr>
              <w:t>40%</w:t>
            </w:r>
          </w:p>
        </w:tc>
      </w:tr>
      <w:tr w14:paraId="286601DB">
        <w:tblPrEx>
          <w:tblCellMar>
            <w:top w:w="0" w:type="dxa"/>
            <w:left w:w="0" w:type="dxa"/>
            <w:bottom w:w="0" w:type="dxa"/>
            <w:right w:w="0" w:type="dxa"/>
          </w:tblCellMar>
        </w:tblPrEx>
        <w:trPr>
          <w:wBefore w:w="0" w:type="auto"/>
          <w:tblCellSpacing w:w="0" w:type="dxa"/>
        </w:trPr>
        <w:tc>
          <w:tcPr>
            <w:tcW w:w="0" w:type="auto"/>
            <w:noWrap w:val="0"/>
            <w:vAlign w:val="center"/>
          </w:tcPr>
          <w:p w14:paraId="0E6D655D">
            <w:r>
              <w:rPr>
                <w:rFonts w:hint="eastAsia"/>
              </w:rPr>
              <w:t xml:space="preserve">有效成分及其含量： </w:t>
            </w:r>
          </w:p>
          <w:p w14:paraId="199A90F9">
            <w:r>
              <w:rPr>
                <w:rFonts w:hint="eastAsia"/>
              </w:rPr>
              <w:t xml:space="preserve">    丁醚脲35%    呋虫胺5%    </w:t>
            </w:r>
          </w:p>
        </w:tc>
      </w:tr>
      <w:tr w14:paraId="3A5FA195">
        <w:tblPrEx>
          <w:tblCellMar>
            <w:top w:w="0" w:type="dxa"/>
            <w:left w:w="0" w:type="dxa"/>
            <w:bottom w:w="0" w:type="dxa"/>
            <w:right w:w="0" w:type="dxa"/>
          </w:tblCellMar>
        </w:tblPrEx>
        <w:trPr>
          <w:wBefore w:w="0" w:type="auto"/>
          <w:tblCellSpacing w:w="0" w:type="dxa"/>
        </w:trPr>
        <w:tc>
          <w:tcPr>
            <w:tcW w:w="0" w:type="auto"/>
            <w:noWrap w:val="0"/>
            <w:vAlign w:val="center"/>
          </w:tcPr>
          <w:p w14:paraId="4F5BF34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1B624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C7DE01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7374E1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2B01C7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7054C5C">
                  <w:r>
                    <w:rPr>
                      <w:rStyle w:val="11"/>
                      <w:rFonts w:hint="eastAsia"/>
                    </w:rPr>
                    <w:t>施用方式</w:t>
                  </w:r>
                </w:p>
              </w:tc>
            </w:tr>
            <w:tr w14:paraId="4514CE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B0A6DC0">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C3D31E">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A4E5F2">
                  <w:r>
                    <w:rPr>
                      <w:rStyle w:val="11"/>
                      <w:rFonts w:hint="eastAsia"/>
                    </w:rPr>
                    <w:t>60-100毫升/亩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FFC58E">
                  <w:r>
                    <w:rPr>
                      <w:rStyle w:val="11"/>
                      <w:rFonts w:hint="eastAsia"/>
                    </w:rPr>
                    <w:t>喷雾</w:t>
                  </w:r>
                </w:p>
              </w:tc>
            </w:tr>
          </w:tbl>
          <w:p w14:paraId="78A9509A">
            <w:pPr>
              <w:rPr>
                <w:rFonts w:ascii="Times New Roman" w:hAnsi="Times New Roman" w:cs="Times New Roman"/>
                <w:sz w:val="20"/>
                <w:szCs w:val="20"/>
              </w:rPr>
            </w:pPr>
          </w:p>
        </w:tc>
      </w:tr>
      <w:tr w14:paraId="274B1330">
        <w:tblPrEx>
          <w:tblCellMar>
            <w:top w:w="0" w:type="dxa"/>
            <w:left w:w="0" w:type="dxa"/>
            <w:bottom w:w="0" w:type="dxa"/>
            <w:right w:w="0" w:type="dxa"/>
          </w:tblCellMar>
        </w:tblPrEx>
        <w:trPr>
          <w:wBefore w:w="0" w:type="auto"/>
          <w:tblCellSpacing w:w="0" w:type="dxa"/>
        </w:trPr>
        <w:tc>
          <w:tcPr>
            <w:tcW w:w="0" w:type="auto"/>
            <w:noWrap w:val="0"/>
            <w:vAlign w:val="center"/>
          </w:tcPr>
          <w:p w14:paraId="5A1EC676">
            <w:r>
              <w:rPr>
                <w:rStyle w:val="10"/>
                <w:rFonts w:hint="eastAsia"/>
              </w:rPr>
              <w:t>使用技术要求:</w:t>
            </w:r>
            <w:r>
              <w:rPr>
                <w:rFonts w:hint="eastAsia"/>
              </w:rPr>
              <w:br w:type="textWrapping"/>
            </w:r>
            <w:r>
              <w:rPr>
                <w:rStyle w:val="11"/>
                <w:rFonts w:hint="eastAsia"/>
              </w:rPr>
              <w:t>1.本品于茶树茶小绿叶蝉发生始盛期喷雾施药1次，喷雾时应注意均匀、周到。2.大风天或预计1小时内有雨，请勿施药。3.在茶树上使用的安全间隔期为10天，每季作物最多使用1次。</w:t>
            </w:r>
          </w:p>
        </w:tc>
      </w:tr>
      <w:tr w14:paraId="2811734C">
        <w:tblPrEx>
          <w:tblCellMar>
            <w:top w:w="0" w:type="dxa"/>
            <w:left w:w="0" w:type="dxa"/>
            <w:bottom w:w="0" w:type="dxa"/>
            <w:right w:w="0" w:type="dxa"/>
          </w:tblCellMar>
        </w:tblPrEx>
        <w:trPr>
          <w:wBefore w:w="0" w:type="auto"/>
          <w:tblCellSpacing w:w="0" w:type="dxa"/>
        </w:trPr>
        <w:tc>
          <w:tcPr>
            <w:tcW w:w="0" w:type="auto"/>
            <w:noWrap w:val="0"/>
            <w:vAlign w:val="center"/>
          </w:tcPr>
          <w:p w14:paraId="4AEA4452">
            <w:r>
              <w:rPr>
                <w:rStyle w:val="10"/>
                <w:rFonts w:hint="eastAsia"/>
              </w:rPr>
              <w:t>产品性能:</w:t>
            </w:r>
            <w:r>
              <w:rPr>
                <w:rFonts w:hint="eastAsia"/>
              </w:rPr>
              <w:br w:type="textWrapping"/>
            </w:r>
            <w:r>
              <w:rPr>
                <w:rStyle w:val="11"/>
                <w:rFonts w:hint="eastAsia"/>
              </w:rPr>
              <w:t>本品是由硫脲类杀虫剂丁醚脲和烟碱类杀虫剂呋虫胺混配而成，具有触杀、胃毒、内吸和熏蒸作用，能有效防治茶树茶小绿叶蝉。</w:t>
            </w:r>
          </w:p>
        </w:tc>
      </w:tr>
      <w:tr w14:paraId="14CE7689">
        <w:tblPrEx>
          <w:tblCellMar>
            <w:top w:w="0" w:type="dxa"/>
            <w:left w:w="0" w:type="dxa"/>
            <w:bottom w:w="0" w:type="dxa"/>
            <w:right w:w="0" w:type="dxa"/>
          </w:tblCellMar>
        </w:tblPrEx>
        <w:trPr>
          <w:wBefore w:w="0" w:type="auto"/>
          <w:tblCellSpacing w:w="0" w:type="dxa"/>
        </w:trPr>
        <w:tc>
          <w:tcPr>
            <w:tcW w:w="0" w:type="auto"/>
            <w:noWrap w:val="0"/>
            <w:vAlign w:val="center"/>
          </w:tcPr>
          <w:p w14:paraId="7CA6E28D">
            <w:r>
              <w:rPr>
                <w:rStyle w:val="10"/>
                <w:rFonts w:hint="eastAsia"/>
              </w:rPr>
              <w:t>注意事项：</w:t>
            </w:r>
            <w:r>
              <w:rPr>
                <w:rFonts w:hint="eastAsia"/>
              </w:rPr>
              <w:br w:type="textWrapping"/>
            </w:r>
            <w:r>
              <w:rPr>
                <w:rStyle w:val="11"/>
                <w:rFonts w:hint="eastAsia"/>
              </w:rPr>
              <w:t>1.严格按规定用药量和方法使用。2.建议与其他作用机制不同的杀虫剂轮换使用，以延缓抗性产生。3.本品对蜜蜂和鱼、虾等水生生物有毒。施药期间应避免对周围蜂群的影响，开花植物花期及花期前7天禁用。远离水产养殖区、河塘等水体附近施药，禁止在河塘等水体中清洗施药器具。赤眼蜂等天敌放飞区禁用。4.使用本品时应穿戴长衣长裤、帽子、口罩、护目镜、手套、鞋等安全防护措施。施药期间不可吃东西、饮水、吸烟等；施药后应及时洗手、洗脸并洗涤施药时穿着的衣物。 5.用药后包装物及用过的容器应妥善处理，不可做他用，也不可随意丢弃。6.孕妇及哺乳期妇女禁止接触本品。</w:t>
            </w:r>
          </w:p>
        </w:tc>
      </w:tr>
      <w:tr w14:paraId="1F974F60">
        <w:tblPrEx>
          <w:tblCellMar>
            <w:top w:w="0" w:type="dxa"/>
            <w:left w:w="0" w:type="dxa"/>
            <w:bottom w:w="0" w:type="dxa"/>
            <w:right w:w="0" w:type="dxa"/>
          </w:tblCellMar>
        </w:tblPrEx>
        <w:trPr>
          <w:wBefore w:w="0" w:type="auto"/>
          <w:tblCellSpacing w:w="0" w:type="dxa"/>
        </w:trPr>
        <w:tc>
          <w:tcPr>
            <w:tcW w:w="0" w:type="auto"/>
            <w:noWrap w:val="0"/>
            <w:vAlign w:val="center"/>
          </w:tcPr>
          <w:p w14:paraId="427950F4">
            <w:r>
              <w:rPr>
                <w:rStyle w:val="10"/>
                <w:rFonts w:hint="eastAsia"/>
              </w:rPr>
              <w:t>中毒急救措施：</w:t>
            </w:r>
            <w:r>
              <w:rPr>
                <w:rFonts w:hint="eastAsia"/>
              </w:rPr>
              <w:br w:type="textWrapping"/>
            </w:r>
            <w:r>
              <w:rPr>
                <w:rStyle w:val="11"/>
                <w:rFonts w:hint="eastAsia"/>
              </w:rPr>
              <w:t>本品对眼睛中度刺激性。 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2066B12D">
        <w:tblPrEx>
          <w:tblCellMar>
            <w:top w:w="0" w:type="dxa"/>
            <w:left w:w="0" w:type="dxa"/>
            <w:bottom w:w="0" w:type="dxa"/>
            <w:right w:w="0" w:type="dxa"/>
          </w:tblCellMar>
        </w:tblPrEx>
        <w:trPr>
          <w:wBefore w:w="0" w:type="auto"/>
          <w:tblCellSpacing w:w="0" w:type="dxa"/>
        </w:trPr>
        <w:tc>
          <w:tcPr>
            <w:tcW w:w="0" w:type="auto"/>
            <w:noWrap w:val="0"/>
            <w:vAlign w:val="center"/>
          </w:tcPr>
          <w:p w14:paraId="51CAE1C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本品应贮存在干燥、阴凉、通风、防雨处，远离火源或热源。置于儿童、无关人员及动物触及不到之处，并加锁保存。勿与食品、饮料、粮食、饲料、种子等同贮同运。</w:t>
            </w:r>
          </w:p>
        </w:tc>
      </w:tr>
      <w:tr w14:paraId="334666C4">
        <w:tblPrEx>
          <w:tblCellMar>
            <w:top w:w="0" w:type="dxa"/>
            <w:left w:w="0" w:type="dxa"/>
            <w:bottom w:w="0" w:type="dxa"/>
            <w:right w:w="0" w:type="dxa"/>
          </w:tblCellMar>
        </w:tblPrEx>
        <w:trPr>
          <w:wBefore w:w="0" w:type="auto"/>
          <w:tblCellSpacing w:w="0" w:type="dxa"/>
        </w:trPr>
        <w:tc>
          <w:tcPr>
            <w:tcW w:w="0" w:type="auto"/>
            <w:noWrap w:val="0"/>
            <w:vAlign w:val="center"/>
          </w:tcPr>
          <w:p w14:paraId="7C084F6A">
            <w:r>
              <w:rPr>
                <w:rStyle w:val="10"/>
                <w:rFonts w:hint="eastAsia"/>
              </w:rPr>
              <w:t>质量保证期：</w:t>
            </w:r>
            <w:r>
              <w:rPr>
                <w:rStyle w:val="11"/>
                <w:rFonts w:hint="eastAsia"/>
              </w:rPr>
              <w:t>2年</w:t>
            </w:r>
          </w:p>
        </w:tc>
      </w:tr>
      <w:tr w14:paraId="65BDDF5B">
        <w:tblPrEx>
          <w:tblCellMar>
            <w:top w:w="0" w:type="dxa"/>
            <w:left w:w="0" w:type="dxa"/>
            <w:bottom w:w="0" w:type="dxa"/>
            <w:right w:w="0" w:type="dxa"/>
          </w:tblCellMar>
        </w:tblPrEx>
        <w:trPr>
          <w:wBefore w:w="0" w:type="auto"/>
          <w:tblCellSpacing w:w="0" w:type="dxa"/>
        </w:trPr>
        <w:tc>
          <w:tcPr>
            <w:tcW w:w="0" w:type="auto"/>
            <w:noWrap w:val="0"/>
            <w:vAlign w:val="center"/>
          </w:tcPr>
          <w:p w14:paraId="6D80B38B">
            <w:r>
              <w:rPr>
                <w:rStyle w:val="10"/>
                <w:rFonts w:hint="eastAsia"/>
              </w:rPr>
              <w:t>备注：</w:t>
            </w:r>
          </w:p>
        </w:tc>
      </w:tr>
    </w:tbl>
    <w:p w14:paraId="2628B77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CCADF5">
        <w:tblPrEx>
          <w:tblCellMar>
            <w:top w:w="0" w:type="dxa"/>
            <w:left w:w="0" w:type="dxa"/>
            <w:bottom w:w="0" w:type="dxa"/>
            <w:right w:w="0" w:type="dxa"/>
          </w:tblCellMar>
        </w:tblPrEx>
        <w:trPr>
          <w:wBefore w:w="0" w:type="auto"/>
          <w:tblCellSpacing w:w="0" w:type="dxa"/>
        </w:trPr>
        <w:tc>
          <w:tcPr>
            <w:tcW w:w="0" w:type="auto"/>
            <w:noWrap w:val="0"/>
            <w:vAlign w:val="center"/>
          </w:tcPr>
          <w:p w14:paraId="5DF04087">
            <w:r>
              <w:rPr>
                <w:rStyle w:val="10"/>
                <w:rFonts w:hint="eastAsia"/>
              </w:rPr>
              <w:t>登记证号：</w:t>
            </w:r>
            <w:r>
              <w:rPr>
                <w:rFonts w:hint="eastAsia"/>
              </w:rPr>
              <w:t>PD20211903</w:t>
            </w:r>
          </w:p>
        </w:tc>
      </w:tr>
      <w:tr w14:paraId="2E3E2D36">
        <w:tblPrEx>
          <w:tblCellMar>
            <w:top w:w="0" w:type="dxa"/>
            <w:left w:w="0" w:type="dxa"/>
            <w:bottom w:w="0" w:type="dxa"/>
            <w:right w:w="0" w:type="dxa"/>
          </w:tblCellMar>
        </w:tblPrEx>
        <w:trPr>
          <w:wBefore w:w="0" w:type="auto"/>
          <w:tblCellSpacing w:w="0" w:type="dxa"/>
        </w:trPr>
        <w:tc>
          <w:tcPr>
            <w:tcW w:w="0" w:type="auto"/>
            <w:noWrap w:val="0"/>
            <w:vAlign w:val="center"/>
          </w:tcPr>
          <w:p w14:paraId="3350746B">
            <w:r>
              <w:rPr>
                <w:rStyle w:val="10"/>
                <w:rFonts w:hint="eastAsia"/>
              </w:rPr>
              <w:t>登记证持有人：</w:t>
            </w:r>
            <w:r>
              <w:rPr>
                <w:rFonts w:hint="eastAsia"/>
              </w:rPr>
              <w:t>四川润尔科技有限公司</w:t>
            </w:r>
          </w:p>
        </w:tc>
      </w:tr>
      <w:tr w14:paraId="10B581FA">
        <w:tblPrEx>
          <w:tblCellMar>
            <w:top w:w="0" w:type="dxa"/>
            <w:left w:w="0" w:type="dxa"/>
            <w:bottom w:w="0" w:type="dxa"/>
            <w:right w:w="0" w:type="dxa"/>
          </w:tblCellMar>
        </w:tblPrEx>
        <w:trPr>
          <w:wBefore w:w="0" w:type="auto"/>
          <w:tblCellSpacing w:w="0" w:type="dxa"/>
        </w:trPr>
        <w:tc>
          <w:tcPr>
            <w:tcW w:w="0" w:type="auto"/>
            <w:noWrap w:val="0"/>
            <w:vAlign w:val="center"/>
          </w:tcPr>
          <w:p w14:paraId="54D93436">
            <w:r>
              <w:rPr>
                <w:rStyle w:val="10"/>
                <w:rFonts w:hint="eastAsia"/>
              </w:rPr>
              <w:t>农药名称：</w:t>
            </w:r>
            <w:r>
              <w:rPr>
                <w:rFonts w:hint="eastAsia"/>
              </w:rPr>
              <w:t>氨基寡糖素</w:t>
            </w:r>
          </w:p>
        </w:tc>
      </w:tr>
      <w:tr w14:paraId="0401DE5C">
        <w:tblPrEx>
          <w:tblCellMar>
            <w:top w:w="0" w:type="dxa"/>
            <w:left w:w="0" w:type="dxa"/>
            <w:bottom w:w="0" w:type="dxa"/>
            <w:right w:w="0" w:type="dxa"/>
          </w:tblCellMar>
        </w:tblPrEx>
        <w:trPr>
          <w:wBefore w:w="0" w:type="auto"/>
          <w:tblCellSpacing w:w="0" w:type="dxa"/>
        </w:trPr>
        <w:tc>
          <w:tcPr>
            <w:tcW w:w="0" w:type="auto"/>
            <w:noWrap w:val="0"/>
            <w:vAlign w:val="center"/>
          </w:tcPr>
          <w:p w14:paraId="7911D9ED">
            <w:r>
              <w:rPr>
                <w:rStyle w:val="10"/>
                <w:rFonts w:hint="eastAsia"/>
              </w:rPr>
              <w:t>剂型：</w:t>
            </w:r>
            <w:r>
              <w:rPr>
                <w:rFonts w:hint="eastAsia"/>
              </w:rPr>
              <w:t>可溶液剂</w:t>
            </w:r>
          </w:p>
        </w:tc>
      </w:tr>
      <w:tr w14:paraId="70B090D5">
        <w:tblPrEx>
          <w:tblCellMar>
            <w:top w:w="0" w:type="dxa"/>
            <w:left w:w="0" w:type="dxa"/>
            <w:bottom w:w="0" w:type="dxa"/>
            <w:right w:w="0" w:type="dxa"/>
          </w:tblCellMar>
        </w:tblPrEx>
        <w:trPr>
          <w:wBefore w:w="0" w:type="auto"/>
          <w:tblCellSpacing w:w="0" w:type="dxa"/>
        </w:trPr>
        <w:tc>
          <w:tcPr>
            <w:tcW w:w="0" w:type="auto"/>
            <w:noWrap w:val="0"/>
            <w:vAlign w:val="center"/>
          </w:tcPr>
          <w:p w14:paraId="3E4E7F47">
            <w:r>
              <w:rPr>
                <w:rStyle w:val="10"/>
                <w:rFonts w:hint="eastAsia"/>
              </w:rPr>
              <w:t>毒性及其标识：</w:t>
            </w:r>
            <w:r>
              <w:rPr>
                <w:rFonts w:hint="eastAsia"/>
              </w:rPr>
              <w:t xml:space="preserve"> 微毒 </w:t>
            </w:r>
          </w:p>
        </w:tc>
      </w:tr>
      <w:tr w14:paraId="4907A462">
        <w:tblPrEx>
          <w:tblCellMar>
            <w:top w:w="0" w:type="dxa"/>
            <w:left w:w="0" w:type="dxa"/>
            <w:bottom w:w="0" w:type="dxa"/>
            <w:right w:w="0" w:type="dxa"/>
          </w:tblCellMar>
        </w:tblPrEx>
        <w:trPr>
          <w:wBefore w:w="0" w:type="auto"/>
          <w:tblCellSpacing w:w="0" w:type="dxa"/>
        </w:trPr>
        <w:tc>
          <w:tcPr>
            <w:tcW w:w="0" w:type="auto"/>
            <w:noWrap w:val="0"/>
            <w:vAlign w:val="center"/>
          </w:tcPr>
          <w:p w14:paraId="01ABFB21">
            <w:r>
              <w:rPr>
                <w:rStyle w:val="10"/>
                <w:rFonts w:hint="eastAsia"/>
              </w:rPr>
              <w:t>总有效成分含量：</w:t>
            </w:r>
            <w:r>
              <w:rPr>
                <w:rFonts w:hint="eastAsia"/>
              </w:rPr>
              <w:t>2%</w:t>
            </w:r>
          </w:p>
        </w:tc>
      </w:tr>
      <w:tr w14:paraId="7C4DB019">
        <w:tblPrEx>
          <w:tblCellMar>
            <w:top w:w="0" w:type="dxa"/>
            <w:left w:w="0" w:type="dxa"/>
            <w:bottom w:w="0" w:type="dxa"/>
            <w:right w:w="0" w:type="dxa"/>
          </w:tblCellMar>
        </w:tblPrEx>
        <w:trPr>
          <w:wBefore w:w="0" w:type="auto"/>
          <w:tblCellSpacing w:w="0" w:type="dxa"/>
        </w:trPr>
        <w:tc>
          <w:tcPr>
            <w:tcW w:w="0" w:type="auto"/>
            <w:noWrap w:val="0"/>
            <w:vAlign w:val="center"/>
          </w:tcPr>
          <w:p w14:paraId="55F24883">
            <w:r>
              <w:rPr>
                <w:rFonts w:hint="eastAsia"/>
              </w:rPr>
              <w:t xml:space="preserve">有效成分及其含量： </w:t>
            </w:r>
          </w:p>
          <w:p w14:paraId="715F0FF5">
            <w:r>
              <w:rPr>
                <w:rFonts w:hint="eastAsia"/>
              </w:rPr>
              <w:t xml:space="preserve">    氨基寡糖素2%    </w:t>
            </w:r>
          </w:p>
        </w:tc>
      </w:tr>
      <w:tr w14:paraId="58DFDDD4">
        <w:tblPrEx>
          <w:tblCellMar>
            <w:top w:w="0" w:type="dxa"/>
            <w:left w:w="0" w:type="dxa"/>
            <w:bottom w:w="0" w:type="dxa"/>
            <w:right w:w="0" w:type="dxa"/>
          </w:tblCellMar>
        </w:tblPrEx>
        <w:trPr>
          <w:wBefore w:w="0" w:type="auto"/>
          <w:tblCellSpacing w:w="0" w:type="dxa"/>
        </w:trPr>
        <w:tc>
          <w:tcPr>
            <w:tcW w:w="0" w:type="auto"/>
            <w:noWrap w:val="0"/>
            <w:vAlign w:val="center"/>
          </w:tcPr>
          <w:p w14:paraId="0AC14B8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B50F8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A23687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E8028E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0C2B6B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7B687B0">
                  <w:r>
                    <w:rPr>
                      <w:rStyle w:val="11"/>
                      <w:rFonts w:hint="eastAsia"/>
                    </w:rPr>
                    <w:t>施用方式</w:t>
                  </w:r>
                </w:p>
              </w:tc>
            </w:tr>
            <w:tr w14:paraId="4AFC93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29EC276">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6B6432">
                  <w:r>
                    <w:rPr>
                      <w:rStyle w:val="11"/>
                      <w:rFonts w:hint="eastAsia"/>
                    </w:rPr>
                    <w:t>病毒病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E38555">
                  <w:r>
                    <w:rPr>
                      <w:rStyle w:val="11"/>
                      <w:rFonts w:hint="eastAsia"/>
                    </w:rPr>
                    <w:t>170-200毫升/亩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272A0A">
                  <w:r>
                    <w:rPr>
                      <w:rStyle w:val="11"/>
                      <w:rFonts w:hint="eastAsia"/>
                    </w:rPr>
                    <w:t>喷雾</w:t>
                  </w:r>
                </w:p>
              </w:tc>
            </w:tr>
          </w:tbl>
          <w:p w14:paraId="6D16DAF7">
            <w:pPr>
              <w:rPr>
                <w:rFonts w:ascii="Times New Roman" w:hAnsi="Times New Roman" w:cs="Times New Roman"/>
                <w:sz w:val="20"/>
                <w:szCs w:val="20"/>
              </w:rPr>
            </w:pPr>
          </w:p>
        </w:tc>
      </w:tr>
      <w:tr w14:paraId="4A036AB7">
        <w:tblPrEx>
          <w:tblCellMar>
            <w:top w:w="0" w:type="dxa"/>
            <w:left w:w="0" w:type="dxa"/>
            <w:bottom w:w="0" w:type="dxa"/>
            <w:right w:w="0" w:type="dxa"/>
          </w:tblCellMar>
        </w:tblPrEx>
        <w:trPr>
          <w:wBefore w:w="0" w:type="auto"/>
          <w:tblCellSpacing w:w="0" w:type="dxa"/>
        </w:trPr>
        <w:tc>
          <w:tcPr>
            <w:tcW w:w="0" w:type="auto"/>
            <w:noWrap w:val="0"/>
            <w:vAlign w:val="center"/>
          </w:tcPr>
          <w:p w14:paraId="6C5D04A1">
            <w:r>
              <w:rPr>
                <w:rStyle w:val="10"/>
                <w:rFonts w:hint="eastAsia"/>
              </w:rPr>
              <w:t>使用技术要求:</w:t>
            </w:r>
            <w:r>
              <w:rPr>
                <w:rFonts w:hint="eastAsia"/>
              </w:rPr>
              <w:br w:type="textWrapping"/>
            </w:r>
            <w:r>
              <w:rPr>
                <w:rStyle w:val="11"/>
                <w:rFonts w:hint="eastAsia"/>
              </w:rPr>
              <w:t>1. 烟草病毒病发病前或发病初期施药，施药3-4次，间隔7-10天。2. 大风或预计1小时内降雨，请勿施药。</w:t>
            </w:r>
          </w:p>
        </w:tc>
      </w:tr>
      <w:tr w14:paraId="728760BF">
        <w:tblPrEx>
          <w:tblCellMar>
            <w:top w:w="0" w:type="dxa"/>
            <w:left w:w="0" w:type="dxa"/>
            <w:bottom w:w="0" w:type="dxa"/>
            <w:right w:w="0" w:type="dxa"/>
          </w:tblCellMar>
        </w:tblPrEx>
        <w:trPr>
          <w:wBefore w:w="0" w:type="auto"/>
          <w:tblCellSpacing w:w="0" w:type="dxa"/>
        </w:trPr>
        <w:tc>
          <w:tcPr>
            <w:tcW w:w="0" w:type="auto"/>
            <w:noWrap w:val="0"/>
            <w:vAlign w:val="center"/>
          </w:tcPr>
          <w:p w14:paraId="348CFC31">
            <w:r>
              <w:rPr>
                <w:rStyle w:val="10"/>
                <w:rFonts w:hint="eastAsia"/>
              </w:rPr>
              <w:t>产品性能:</w:t>
            </w:r>
            <w:r>
              <w:rPr>
                <w:rFonts w:hint="eastAsia"/>
              </w:rPr>
              <w:br w:type="textWrapping"/>
            </w:r>
            <w:r>
              <w:rPr>
                <w:rStyle w:val="11"/>
                <w:rFonts w:hint="eastAsia"/>
              </w:rPr>
              <w:t>本品为植物诱抗剂，具有预防、保护作用。在植物体内是作为激发因子诱导植物对病害产生抗病性而起作用的，能提高作物自身的免疫力和防卫反应，预防和减轻病害的发生。</w:t>
            </w:r>
          </w:p>
        </w:tc>
      </w:tr>
      <w:tr w14:paraId="65FE12E3">
        <w:tblPrEx>
          <w:tblCellMar>
            <w:top w:w="0" w:type="dxa"/>
            <w:left w:w="0" w:type="dxa"/>
            <w:bottom w:w="0" w:type="dxa"/>
            <w:right w:w="0" w:type="dxa"/>
          </w:tblCellMar>
        </w:tblPrEx>
        <w:trPr>
          <w:wBefore w:w="0" w:type="auto"/>
          <w:tblCellSpacing w:w="0" w:type="dxa"/>
        </w:trPr>
        <w:tc>
          <w:tcPr>
            <w:tcW w:w="0" w:type="auto"/>
            <w:noWrap w:val="0"/>
            <w:vAlign w:val="center"/>
          </w:tcPr>
          <w:p w14:paraId="1ED11049">
            <w:r>
              <w:rPr>
                <w:rStyle w:val="10"/>
                <w:rFonts w:hint="eastAsia"/>
              </w:rPr>
              <w:t>注意事项：</w:t>
            </w:r>
            <w:r>
              <w:rPr>
                <w:rFonts w:hint="eastAsia"/>
              </w:rPr>
              <w:br w:type="textWrapping"/>
            </w:r>
            <w:r>
              <w:rPr>
                <w:rStyle w:val="11"/>
                <w:rFonts w:hint="eastAsia"/>
              </w:rPr>
              <w:t>1. 本品不可与强酸、强碱性物质混用。避免与氧化剂接触。2. 施药时要穿戴防护服、口罩、手套等，严禁吸烟和饮食，避免药物与皮肤和眼睛直接接触，施药后要及时洗手洗脸。3. 禁止在河塘等各类水体清洗施药器具，药液及其废液不得污染各类水域。4. 本品对蜜蜂、鱼类等水生生物有毒，施药期间应避免对周围蜂群的影响，禁止在开花植物花期使用，远离水产养殖区、河塘等水域施药。5. 用过的包装物及未用完的药液不能随意丢弃，也不能做他用，应交当地农业部门或环保部门指定的单位进行回收处理。6. 孕妇及哺乳期妇女应避免接触本品。7. 建议与作用机制不同的杀菌剂轮换使用，以延缓抗性产生。8. 若不按照推荐使用技术和使用方法施用，均可能会对作物产生药害。9. 本品能否与其他农药、肥料等产品混用请咨询当地农业技术推广部门，以免混用不当产生药害。</w:t>
            </w:r>
          </w:p>
        </w:tc>
      </w:tr>
      <w:tr w14:paraId="76926C0E">
        <w:tblPrEx>
          <w:tblCellMar>
            <w:top w:w="0" w:type="dxa"/>
            <w:left w:w="0" w:type="dxa"/>
            <w:bottom w:w="0" w:type="dxa"/>
            <w:right w:w="0" w:type="dxa"/>
          </w:tblCellMar>
        </w:tblPrEx>
        <w:trPr>
          <w:wBefore w:w="0" w:type="auto"/>
          <w:tblCellSpacing w:w="0" w:type="dxa"/>
        </w:trPr>
        <w:tc>
          <w:tcPr>
            <w:tcW w:w="0" w:type="auto"/>
            <w:noWrap w:val="0"/>
            <w:vAlign w:val="center"/>
          </w:tcPr>
          <w:p w14:paraId="31DBE6B2">
            <w:r>
              <w:rPr>
                <w:rStyle w:val="10"/>
                <w:rFonts w:hint="eastAsia"/>
              </w:rPr>
              <w:t>中毒急救措施：</w:t>
            </w:r>
            <w:r>
              <w:rPr>
                <w:rFonts w:hint="eastAsia"/>
              </w:rPr>
              <w:br w:type="textWrapping"/>
            </w:r>
            <w:r>
              <w:rPr>
                <w:rStyle w:val="11"/>
                <w:rFonts w:hint="eastAsia"/>
              </w:rPr>
              <w:t>若溅入眼睛，应用大量清水冲洗；若皮肤沾染，应立即用肥皂水或清水冲洗；若不慎吸入，应将患者移至空气流通处；如误服中毒，立即携此标签送医院，对症治疗。中毒急救电话：中国预防医学科学院中毒控制中心24小时服务电话:010-83132345。</w:t>
            </w:r>
          </w:p>
        </w:tc>
      </w:tr>
      <w:tr w14:paraId="1E42E9CD">
        <w:tblPrEx>
          <w:tblCellMar>
            <w:top w:w="0" w:type="dxa"/>
            <w:left w:w="0" w:type="dxa"/>
            <w:bottom w:w="0" w:type="dxa"/>
            <w:right w:w="0" w:type="dxa"/>
          </w:tblCellMar>
        </w:tblPrEx>
        <w:trPr>
          <w:wBefore w:w="0" w:type="auto"/>
          <w:tblCellSpacing w:w="0" w:type="dxa"/>
        </w:trPr>
        <w:tc>
          <w:tcPr>
            <w:tcW w:w="0" w:type="auto"/>
            <w:noWrap w:val="0"/>
            <w:vAlign w:val="center"/>
          </w:tcPr>
          <w:p w14:paraId="162918E2">
            <w:r>
              <w:rPr>
                <w:rStyle w:val="10"/>
                <w:rFonts w:hint="eastAsia"/>
              </w:rPr>
              <w:t>储存和运输方法：</w:t>
            </w:r>
            <w:r>
              <w:rPr>
                <w:rFonts w:hint="eastAsia"/>
              </w:rPr>
              <w:br w:type="textWrapping"/>
            </w:r>
            <w:r>
              <w:rPr>
                <w:rStyle w:val="11"/>
                <w:rFonts w:hint="eastAsia"/>
              </w:rPr>
              <w:t>本品应贮存在干燥、阴凉、通风、避雨处，远离火源或热源。 置于儿童、无关人员触及不到之处，并加锁。勿与食品、饮料、饲料、粮食等同贮同运。</w:t>
            </w:r>
          </w:p>
        </w:tc>
      </w:tr>
      <w:tr w14:paraId="44C77EBD">
        <w:tblPrEx>
          <w:tblCellMar>
            <w:top w:w="0" w:type="dxa"/>
            <w:left w:w="0" w:type="dxa"/>
            <w:bottom w:w="0" w:type="dxa"/>
            <w:right w:w="0" w:type="dxa"/>
          </w:tblCellMar>
        </w:tblPrEx>
        <w:trPr>
          <w:wBefore w:w="0" w:type="auto"/>
          <w:tblCellSpacing w:w="0" w:type="dxa"/>
        </w:trPr>
        <w:tc>
          <w:tcPr>
            <w:tcW w:w="0" w:type="auto"/>
            <w:noWrap w:val="0"/>
            <w:vAlign w:val="center"/>
          </w:tcPr>
          <w:p w14:paraId="12BA4582">
            <w:r>
              <w:rPr>
                <w:rStyle w:val="10"/>
                <w:rFonts w:hint="eastAsia"/>
              </w:rPr>
              <w:t>质量保证期：</w:t>
            </w:r>
            <w:r>
              <w:rPr>
                <w:rStyle w:val="11"/>
                <w:rFonts w:hint="eastAsia"/>
              </w:rPr>
              <w:t>2年</w:t>
            </w:r>
          </w:p>
        </w:tc>
      </w:tr>
      <w:tr w14:paraId="1EB38B28">
        <w:tblPrEx>
          <w:tblCellMar>
            <w:top w:w="0" w:type="dxa"/>
            <w:left w:w="0" w:type="dxa"/>
            <w:bottom w:w="0" w:type="dxa"/>
            <w:right w:w="0" w:type="dxa"/>
          </w:tblCellMar>
        </w:tblPrEx>
        <w:trPr>
          <w:wBefore w:w="0" w:type="auto"/>
          <w:tblCellSpacing w:w="0" w:type="dxa"/>
        </w:trPr>
        <w:tc>
          <w:tcPr>
            <w:tcW w:w="0" w:type="auto"/>
            <w:noWrap w:val="0"/>
            <w:vAlign w:val="center"/>
          </w:tcPr>
          <w:p w14:paraId="0CA6BC0E">
            <w:r>
              <w:rPr>
                <w:rStyle w:val="10"/>
                <w:rFonts w:hint="eastAsia"/>
              </w:rPr>
              <w:t>备注：</w:t>
            </w:r>
          </w:p>
        </w:tc>
      </w:tr>
    </w:tbl>
    <w:p w14:paraId="6A6E785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26B485D">
        <w:tblPrEx>
          <w:tblCellMar>
            <w:top w:w="0" w:type="dxa"/>
            <w:left w:w="0" w:type="dxa"/>
            <w:bottom w:w="0" w:type="dxa"/>
            <w:right w:w="0" w:type="dxa"/>
          </w:tblCellMar>
        </w:tblPrEx>
        <w:trPr>
          <w:wBefore w:w="0" w:type="auto"/>
          <w:tblCellSpacing w:w="0" w:type="dxa"/>
        </w:trPr>
        <w:tc>
          <w:tcPr>
            <w:tcW w:w="0" w:type="auto"/>
            <w:noWrap w:val="0"/>
            <w:vAlign w:val="center"/>
          </w:tcPr>
          <w:p w14:paraId="2DC1407D">
            <w:r>
              <w:rPr>
                <w:rStyle w:val="10"/>
                <w:rFonts w:hint="eastAsia"/>
              </w:rPr>
              <w:t>登记证号：</w:t>
            </w:r>
            <w:r>
              <w:rPr>
                <w:rFonts w:hint="eastAsia"/>
              </w:rPr>
              <w:t>PD20211745</w:t>
            </w:r>
          </w:p>
        </w:tc>
      </w:tr>
      <w:tr w14:paraId="5E3F0BCC">
        <w:tblPrEx>
          <w:tblCellMar>
            <w:top w:w="0" w:type="dxa"/>
            <w:left w:w="0" w:type="dxa"/>
            <w:bottom w:w="0" w:type="dxa"/>
            <w:right w:w="0" w:type="dxa"/>
          </w:tblCellMar>
        </w:tblPrEx>
        <w:trPr>
          <w:wBefore w:w="0" w:type="auto"/>
          <w:tblCellSpacing w:w="0" w:type="dxa"/>
        </w:trPr>
        <w:tc>
          <w:tcPr>
            <w:tcW w:w="0" w:type="auto"/>
            <w:noWrap w:val="0"/>
            <w:vAlign w:val="center"/>
          </w:tcPr>
          <w:p w14:paraId="199462DE">
            <w:r>
              <w:rPr>
                <w:rStyle w:val="10"/>
                <w:rFonts w:hint="eastAsia"/>
              </w:rPr>
              <w:t>登记证持有人：</w:t>
            </w:r>
            <w:r>
              <w:rPr>
                <w:rFonts w:hint="eastAsia"/>
              </w:rPr>
              <w:t>兴农药业(中国)有限公司</w:t>
            </w:r>
          </w:p>
        </w:tc>
      </w:tr>
      <w:tr w14:paraId="5AE57A1A">
        <w:tblPrEx>
          <w:tblCellMar>
            <w:top w:w="0" w:type="dxa"/>
            <w:left w:w="0" w:type="dxa"/>
            <w:bottom w:w="0" w:type="dxa"/>
            <w:right w:w="0" w:type="dxa"/>
          </w:tblCellMar>
        </w:tblPrEx>
        <w:trPr>
          <w:wBefore w:w="0" w:type="auto"/>
          <w:tblCellSpacing w:w="0" w:type="dxa"/>
        </w:trPr>
        <w:tc>
          <w:tcPr>
            <w:tcW w:w="0" w:type="auto"/>
            <w:noWrap w:val="0"/>
            <w:vAlign w:val="center"/>
          </w:tcPr>
          <w:p w14:paraId="7FA4AF0F">
            <w:r>
              <w:rPr>
                <w:rStyle w:val="10"/>
                <w:rFonts w:hint="eastAsia"/>
              </w:rPr>
              <w:t>农药名称：</w:t>
            </w:r>
            <w:r>
              <w:rPr>
                <w:rFonts w:hint="eastAsia"/>
              </w:rPr>
              <w:t>甲维·虱螨脲</w:t>
            </w:r>
          </w:p>
        </w:tc>
      </w:tr>
      <w:tr w14:paraId="0161CDCC">
        <w:tblPrEx>
          <w:tblCellMar>
            <w:top w:w="0" w:type="dxa"/>
            <w:left w:w="0" w:type="dxa"/>
            <w:bottom w:w="0" w:type="dxa"/>
            <w:right w:w="0" w:type="dxa"/>
          </w:tblCellMar>
        </w:tblPrEx>
        <w:trPr>
          <w:wBefore w:w="0" w:type="auto"/>
          <w:tblCellSpacing w:w="0" w:type="dxa"/>
        </w:trPr>
        <w:tc>
          <w:tcPr>
            <w:tcW w:w="0" w:type="auto"/>
            <w:noWrap w:val="0"/>
            <w:vAlign w:val="center"/>
          </w:tcPr>
          <w:p w14:paraId="2CEA03EF">
            <w:r>
              <w:rPr>
                <w:rStyle w:val="10"/>
                <w:rFonts w:hint="eastAsia"/>
              </w:rPr>
              <w:t>剂型：</w:t>
            </w:r>
            <w:r>
              <w:rPr>
                <w:rFonts w:hint="eastAsia"/>
              </w:rPr>
              <w:t>悬浮剂</w:t>
            </w:r>
          </w:p>
        </w:tc>
      </w:tr>
      <w:tr w14:paraId="05C6B0B5">
        <w:tblPrEx>
          <w:tblCellMar>
            <w:top w:w="0" w:type="dxa"/>
            <w:left w:w="0" w:type="dxa"/>
            <w:bottom w:w="0" w:type="dxa"/>
            <w:right w:w="0" w:type="dxa"/>
          </w:tblCellMar>
        </w:tblPrEx>
        <w:trPr>
          <w:wBefore w:w="0" w:type="auto"/>
          <w:tblCellSpacing w:w="0" w:type="dxa"/>
        </w:trPr>
        <w:tc>
          <w:tcPr>
            <w:tcW w:w="0" w:type="auto"/>
            <w:noWrap w:val="0"/>
            <w:vAlign w:val="center"/>
          </w:tcPr>
          <w:p w14:paraId="6942D478">
            <w:r>
              <w:rPr>
                <w:rStyle w:val="10"/>
                <w:rFonts w:hint="eastAsia"/>
              </w:rPr>
              <w:t>毒性及其标识：</w:t>
            </w:r>
            <w:r>
              <w:rPr>
                <w:rFonts w:hint="eastAsia"/>
              </w:rPr>
              <w:t xml:space="preserve"> </w:t>
            </w:r>
            <w:r>
              <w:rPr>
                <w:lang/>
              </w:rPr>
              <w:drawing>
                <wp:inline distT="0" distB="0" distL="114300" distR="114300">
                  <wp:extent cx="476250" cy="323850"/>
                  <wp:effectExtent l="0" t="0" r="0" b="0"/>
                  <wp:docPr id="308" name="图片 30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7C88137">
        <w:tblPrEx>
          <w:tblCellMar>
            <w:top w:w="0" w:type="dxa"/>
            <w:left w:w="0" w:type="dxa"/>
            <w:bottom w:w="0" w:type="dxa"/>
            <w:right w:w="0" w:type="dxa"/>
          </w:tblCellMar>
        </w:tblPrEx>
        <w:trPr>
          <w:wBefore w:w="0" w:type="auto"/>
          <w:tblCellSpacing w:w="0" w:type="dxa"/>
        </w:trPr>
        <w:tc>
          <w:tcPr>
            <w:tcW w:w="0" w:type="auto"/>
            <w:noWrap w:val="0"/>
            <w:vAlign w:val="center"/>
          </w:tcPr>
          <w:p w14:paraId="6DACE8A4">
            <w:r>
              <w:rPr>
                <w:rStyle w:val="10"/>
                <w:rFonts w:hint="eastAsia"/>
              </w:rPr>
              <w:t>总有效成分含量：</w:t>
            </w:r>
            <w:r>
              <w:rPr>
                <w:rFonts w:hint="eastAsia"/>
              </w:rPr>
              <w:t>25%</w:t>
            </w:r>
          </w:p>
        </w:tc>
      </w:tr>
      <w:tr w14:paraId="22CA77D5">
        <w:tblPrEx>
          <w:tblCellMar>
            <w:top w:w="0" w:type="dxa"/>
            <w:left w:w="0" w:type="dxa"/>
            <w:bottom w:w="0" w:type="dxa"/>
            <w:right w:w="0" w:type="dxa"/>
          </w:tblCellMar>
        </w:tblPrEx>
        <w:trPr>
          <w:wBefore w:w="0" w:type="auto"/>
          <w:tblCellSpacing w:w="0" w:type="dxa"/>
        </w:trPr>
        <w:tc>
          <w:tcPr>
            <w:tcW w:w="0" w:type="auto"/>
            <w:noWrap w:val="0"/>
            <w:vAlign w:val="center"/>
          </w:tcPr>
          <w:p w14:paraId="51ED8CDF">
            <w:r>
              <w:rPr>
                <w:rFonts w:hint="eastAsia"/>
              </w:rPr>
              <w:t xml:space="preserve">有效成分及其含量： </w:t>
            </w:r>
          </w:p>
          <w:p w14:paraId="32C04470">
            <w:r>
              <w:rPr>
                <w:rFonts w:hint="eastAsia"/>
              </w:rPr>
              <w:t xml:space="preserve">    虱螨脲20%    甲氨基阿维菌素5%    </w:t>
            </w:r>
          </w:p>
        </w:tc>
      </w:tr>
      <w:tr w14:paraId="6512229C">
        <w:tblPrEx>
          <w:tblCellMar>
            <w:top w:w="0" w:type="dxa"/>
            <w:left w:w="0" w:type="dxa"/>
            <w:bottom w:w="0" w:type="dxa"/>
            <w:right w:w="0" w:type="dxa"/>
          </w:tblCellMar>
        </w:tblPrEx>
        <w:trPr>
          <w:wBefore w:w="0" w:type="auto"/>
          <w:tblCellSpacing w:w="0" w:type="dxa"/>
        </w:trPr>
        <w:tc>
          <w:tcPr>
            <w:tcW w:w="0" w:type="auto"/>
            <w:noWrap w:val="0"/>
            <w:vAlign w:val="center"/>
          </w:tcPr>
          <w:p w14:paraId="0E4BB20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F49E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D27420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E61A6D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3DD670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B0BB19">
                  <w:r>
                    <w:rPr>
                      <w:rStyle w:val="11"/>
                      <w:rFonts w:hint="eastAsia"/>
                    </w:rPr>
                    <w:t>施用方式</w:t>
                  </w:r>
                </w:p>
              </w:tc>
            </w:tr>
            <w:tr w14:paraId="064E53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6052BB0">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6FA2C5">
                  <w:r>
                    <w:rPr>
                      <w:rStyle w:val="11"/>
                      <w:rFonts w:hint="eastAsia"/>
                    </w:rPr>
                    <w:t>锈壁虱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9EB7FA">
                  <w:r>
                    <w:rPr>
                      <w:rStyle w:val="11"/>
                      <w:rFonts w:hint="eastAsia"/>
                    </w:rPr>
                    <w:t>8000-10000倍液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DAB384">
                  <w:r>
                    <w:rPr>
                      <w:rStyle w:val="11"/>
                      <w:rFonts w:hint="eastAsia"/>
                    </w:rPr>
                    <w:t>喷雾法</w:t>
                  </w:r>
                </w:p>
              </w:tc>
            </w:tr>
            <w:tr w14:paraId="7CA21C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FB9D065">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E5306D">
                  <w:r>
                    <w:rPr>
                      <w:rStyle w:val="11"/>
                      <w:rFonts w:hint="eastAsia"/>
                    </w:rPr>
                    <w:t>潜叶蛾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ACC3F4">
                  <w:r>
                    <w:rPr>
                      <w:rStyle w:val="11"/>
                      <w:rFonts w:hint="eastAsia"/>
                    </w:rPr>
                    <w:t>8000-10000倍液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102077">
                  <w:r>
                    <w:rPr>
                      <w:rStyle w:val="11"/>
                      <w:rFonts w:hint="eastAsia"/>
                    </w:rPr>
                    <w:t>喷雾法</w:t>
                  </w:r>
                </w:p>
              </w:tc>
            </w:tr>
          </w:tbl>
          <w:p w14:paraId="2F04F16B">
            <w:pPr>
              <w:rPr>
                <w:rFonts w:ascii="Times New Roman" w:hAnsi="Times New Roman" w:cs="Times New Roman"/>
                <w:sz w:val="20"/>
                <w:szCs w:val="20"/>
              </w:rPr>
            </w:pPr>
          </w:p>
        </w:tc>
      </w:tr>
      <w:tr w14:paraId="5FA88E76">
        <w:tblPrEx>
          <w:tblCellMar>
            <w:top w:w="0" w:type="dxa"/>
            <w:left w:w="0" w:type="dxa"/>
            <w:bottom w:w="0" w:type="dxa"/>
            <w:right w:w="0" w:type="dxa"/>
          </w:tblCellMar>
        </w:tblPrEx>
        <w:trPr>
          <w:wBefore w:w="0" w:type="auto"/>
          <w:tblCellSpacing w:w="0" w:type="dxa"/>
        </w:trPr>
        <w:tc>
          <w:tcPr>
            <w:tcW w:w="0" w:type="auto"/>
            <w:noWrap w:val="0"/>
            <w:vAlign w:val="center"/>
          </w:tcPr>
          <w:p w14:paraId="39917C0C">
            <w:r>
              <w:rPr>
                <w:rStyle w:val="10"/>
                <w:rFonts w:hint="eastAsia"/>
              </w:rPr>
              <w:t>使用技术要求:</w:t>
            </w:r>
            <w:r>
              <w:rPr>
                <w:rFonts w:hint="eastAsia"/>
              </w:rPr>
              <w:br w:type="textWrapping"/>
            </w:r>
            <w:r>
              <w:rPr>
                <w:rStyle w:val="11"/>
                <w:rFonts w:hint="eastAsia"/>
              </w:rPr>
              <w:t>1. 防治柑橘潜叶蛾，在夏梢整齐抽发平均长度在5cm以下，同时幼虫虫口基数在有虫卵叶率50%以下或在柑橘潜叶蛾卵孵化及低龄幼虫期施药开始施药，每季使用1-2次，最多不超过2次，施药间隔7-10天。2. 防治柑橘树锈壁虱在卵孵盛期至若螨发生始盛期施药1次。每季使最多不超过1次，安全间隔期28天。</w:t>
            </w:r>
          </w:p>
        </w:tc>
      </w:tr>
      <w:tr w14:paraId="79D3BD3B">
        <w:tblPrEx>
          <w:tblCellMar>
            <w:top w:w="0" w:type="dxa"/>
            <w:left w:w="0" w:type="dxa"/>
            <w:bottom w:w="0" w:type="dxa"/>
            <w:right w:w="0" w:type="dxa"/>
          </w:tblCellMar>
        </w:tblPrEx>
        <w:trPr>
          <w:wBefore w:w="0" w:type="auto"/>
          <w:tblCellSpacing w:w="0" w:type="dxa"/>
        </w:trPr>
        <w:tc>
          <w:tcPr>
            <w:tcW w:w="0" w:type="auto"/>
            <w:noWrap w:val="0"/>
            <w:vAlign w:val="center"/>
          </w:tcPr>
          <w:p w14:paraId="7A0075E8">
            <w:r>
              <w:rPr>
                <w:rStyle w:val="10"/>
                <w:rFonts w:hint="eastAsia"/>
              </w:rPr>
              <w:t>产品性能:</w:t>
            </w:r>
            <w:r>
              <w:rPr>
                <w:rFonts w:hint="eastAsia"/>
              </w:rPr>
              <w:br w:type="textWrapping"/>
            </w:r>
            <w:r>
              <w:rPr>
                <w:rStyle w:val="11"/>
                <w:rFonts w:hint="eastAsia"/>
              </w:rPr>
              <w:t>本品是由甲氨基阿维菌素苯甲酸盐和虱螨脲复配而成的杀虫剂，通过影响昆虫表皮的形成而达到杀虫作用，能迅速阻断害虫神经冲动传递，导致靶标害虫运动失调、麻痹、拒食、最终死亡，对作物无内吸性能，但能渗入施用作物表皮组织，因而具有较长残效期。对柑橘潜叶蛾和锈壁虱具有较好防治效果。</w:t>
            </w:r>
          </w:p>
        </w:tc>
      </w:tr>
      <w:tr w14:paraId="5F7CC862">
        <w:tblPrEx>
          <w:tblCellMar>
            <w:top w:w="0" w:type="dxa"/>
            <w:left w:w="0" w:type="dxa"/>
            <w:bottom w:w="0" w:type="dxa"/>
            <w:right w:w="0" w:type="dxa"/>
          </w:tblCellMar>
        </w:tblPrEx>
        <w:trPr>
          <w:wBefore w:w="0" w:type="auto"/>
          <w:tblCellSpacing w:w="0" w:type="dxa"/>
        </w:trPr>
        <w:tc>
          <w:tcPr>
            <w:tcW w:w="0" w:type="auto"/>
            <w:noWrap w:val="0"/>
            <w:vAlign w:val="center"/>
          </w:tcPr>
          <w:p w14:paraId="354D11F5">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本品对眼睛有刺激性，使用时避免接触眼睛，穿戴长衣、长裤、帽子、口罩、手套等防护措施。请勿吸烟及饮食；施用后及时清洗外露的皮肤、用过的器具和污染的衣物。2. 本品对水生生物有毒，在水产养殖区，河塘等水体附近禁用，禁止在河塘等水体中清洗施药器具，避免药液流入湖泊，河流或鱼塘中污染水源。3. （周围）开花植物花期禁用；赤眼蜂等天敌放飞区域禁用；桑园及蚕室附近禁用。4. 孕妇及哺乳期妇女禁止接触。5. 用过的容器应妥善处理，不可做他用，也不可随意丢弃。6. 避免与氧化剂接触。</w:t>
            </w:r>
          </w:p>
        </w:tc>
      </w:tr>
      <w:tr w14:paraId="21022527">
        <w:tblPrEx>
          <w:tblCellMar>
            <w:top w:w="0" w:type="dxa"/>
            <w:left w:w="0" w:type="dxa"/>
            <w:bottom w:w="0" w:type="dxa"/>
            <w:right w:w="0" w:type="dxa"/>
          </w:tblCellMar>
        </w:tblPrEx>
        <w:trPr>
          <w:wBefore w:w="0" w:type="auto"/>
          <w:tblCellSpacing w:w="0" w:type="dxa"/>
        </w:trPr>
        <w:tc>
          <w:tcPr>
            <w:tcW w:w="0" w:type="auto"/>
            <w:noWrap w:val="0"/>
            <w:vAlign w:val="center"/>
          </w:tcPr>
          <w:p w14:paraId="7BDDB6B7">
            <w:r>
              <w:rPr>
                <w:rStyle w:val="10"/>
                <w:rFonts w:hint="eastAsia"/>
              </w:rPr>
              <w:t>中毒急救措施：</w:t>
            </w:r>
            <w:r>
              <w:rPr>
                <w:rFonts w:hint="eastAsia"/>
              </w:rPr>
              <w:br w:type="textWrapping"/>
            </w:r>
            <w:r>
              <w:rPr>
                <w:rStyle w:val="11"/>
                <w:rFonts w:hint="eastAsia"/>
              </w:rPr>
              <w:t>1. 对眼睛有刺激性，应注意对眼睛的防护。2. 如有药液溅到皮肤或眼睛上，应立即用流动清水冲洗至少15分钟，严重者请及时就医。若误服，请勿引吐，立即携标签请医生诊治。不慎吸入，立即将吸入者转移到空气流通处，严重者携标签就医。3. 本品无特殊解毒剂，对症治疗。</w:t>
            </w:r>
          </w:p>
        </w:tc>
      </w:tr>
      <w:tr w14:paraId="201DBD49">
        <w:tblPrEx>
          <w:tblCellMar>
            <w:top w:w="0" w:type="dxa"/>
            <w:left w:w="0" w:type="dxa"/>
            <w:bottom w:w="0" w:type="dxa"/>
            <w:right w:w="0" w:type="dxa"/>
          </w:tblCellMar>
        </w:tblPrEx>
        <w:trPr>
          <w:wBefore w:w="0" w:type="auto"/>
          <w:tblCellSpacing w:w="0" w:type="dxa"/>
        </w:trPr>
        <w:tc>
          <w:tcPr>
            <w:tcW w:w="0" w:type="auto"/>
            <w:noWrap w:val="0"/>
            <w:vAlign w:val="center"/>
          </w:tcPr>
          <w:p w14:paraId="6C66FBDC">
            <w:r>
              <w:rPr>
                <w:rStyle w:val="10"/>
                <w:rFonts w:hint="eastAsia"/>
              </w:rPr>
              <w:t>储存和运输方法：</w:t>
            </w:r>
            <w:r>
              <w:rPr>
                <w:rFonts w:hint="eastAsia"/>
              </w:rPr>
              <w:br w:type="textWrapping"/>
            </w:r>
            <w:r>
              <w:rPr>
                <w:rStyle w:val="11"/>
                <w:rFonts w:hint="eastAsia"/>
              </w:rPr>
              <w:t>1. 本剂应贮藏于阴凉干燥、通风及儿童、无关人员不易接触之处，并加锁。远离热源和火源。 2. 勿与食品、饮料、饲料、粮食等同贮同运。</w:t>
            </w:r>
          </w:p>
        </w:tc>
      </w:tr>
      <w:tr w14:paraId="75DBE6EC">
        <w:tblPrEx>
          <w:tblCellMar>
            <w:top w:w="0" w:type="dxa"/>
            <w:left w:w="0" w:type="dxa"/>
            <w:bottom w:w="0" w:type="dxa"/>
            <w:right w:w="0" w:type="dxa"/>
          </w:tblCellMar>
        </w:tblPrEx>
        <w:trPr>
          <w:wBefore w:w="0" w:type="auto"/>
          <w:tblCellSpacing w:w="0" w:type="dxa"/>
        </w:trPr>
        <w:tc>
          <w:tcPr>
            <w:tcW w:w="0" w:type="auto"/>
            <w:noWrap w:val="0"/>
            <w:vAlign w:val="center"/>
          </w:tcPr>
          <w:p w14:paraId="0C4C909E">
            <w:r>
              <w:rPr>
                <w:rStyle w:val="10"/>
                <w:rFonts w:hint="eastAsia"/>
              </w:rPr>
              <w:t>质量保证期：</w:t>
            </w:r>
            <w:r>
              <w:rPr>
                <w:rStyle w:val="11"/>
                <w:rFonts w:hint="eastAsia"/>
              </w:rPr>
              <w:t>2年</w:t>
            </w:r>
          </w:p>
        </w:tc>
      </w:tr>
      <w:tr w14:paraId="72BB6A0B">
        <w:tblPrEx>
          <w:tblCellMar>
            <w:top w:w="0" w:type="dxa"/>
            <w:left w:w="0" w:type="dxa"/>
            <w:bottom w:w="0" w:type="dxa"/>
            <w:right w:w="0" w:type="dxa"/>
          </w:tblCellMar>
        </w:tblPrEx>
        <w:trPr>
          <w:wBefore w:w="0" w:type="auto"/>
          <w:tblCellSpacing w:w="0" w:type="dxa"/>
        </w:trPr>
        <w:tc>
          <w:tcPr>
            <w:tcW w:w="0" w:type="auto"/>
            <w:noWrap w:val="0"/>
            <w:vAlign w:val="center"/>
          </w:tcPr>
          <w:p w14:paraId="4FA9EE27">
            <w:r>
              <w:rPr>
                <w:rStyle w:val="10"/>
                <w:rFonts w:hint="eastAsia"/>
              </w:rPr>
              <w:t>备注：</w:t>
            </w:r>
            <w:r>
              <w:rPr>
                <w:rFonts w:hint="eastAsia"/>
              </w:rPr>
              <w:br w:type="textWrapping"/>
            </w:r>
            <w:r>
              <w:rPr>
                <w:rStyle w:val="11"/>
                <w:rFonts w:hint="eastAsia"/>
              </w:rPr>
              <w:t>甲氨基阿维菌素苯甲酸盐5.7%。</w:t>
            </w:r>
          </w:p>
        </w:tc>
      </w:tr>
    </w:tbl>
    <w:p w14:paraId="753E5EE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BDFA022">
        <w:tblPrEx>
          <w:tblCellMar>
            <w:top w:w="0" w:type="dxa"/>
            <w:left w:w="0" w:type="dxa"/>
            <w:bottom w:w="0" w:type="dxa"/>
            <w:right w:w="0" w:type="dxa"/>
          </w:tblCellMar>
        </w:tblPrEx>
        <w:trPr>
          <w:wBefore w:w="0" w:type="auto"/>
          <w:tblCellSpacing w:w="0" w:type="dxa"/>
        </w:trPr>
        <w:tc>
          <w:tcPr>
            <w:tcW w:w="0" w:type="auto"/>
            <w:noWrap w:val="0"/>
            <w:vAlign w:val="center"/>
          </w:tcPr>
          <w:p w14:paraId="486667E6">
            <w:r>
              <w:rPr>
                <w:rStyle w:val="10"/>
                <w:rFonts w:hint="eastAsia"/>
              </w:rPr>
              <w:t>登记证号：</w:t>
            </w:r>
            <w:r>
              <w:rPr>
                <w:rFonts w:hint="eastAsia"/>
              </w:rPr>
              <w:t>PD20211958</w:t>
            </w:r>
          </w:p>
        </w:tc>
      </w:tr>
      <w:tr w14:paraId="3663BE38">
        <w:tblPrEx>
          <w:tblCellMar>
            <w:top w:w="0" w:type="dxa"/>
            <w:left w:w="0" w:type="dxa"/>
            <w:bottom w:w="0" w:type="dxa"/>
            <w:right w:w="0" w:type="dxa"/>
          </w:tblCellMar>
        </w:tblPrEx>
        <w:trPr>
          <w:wBefore w:w="0" w:type="auto"/>
          <w:tblCellSpacing w:w="0" w:type="dxa"/>
        </w:trPr>
        <w:tc>
          <w:tcPr>
            <w:tcW w:w="0" w:type="auto"/>
            <w:noWrap w:val="0"/>
            <w:vAlign w:val="center"/>
          </w:tcPr>
          <w:p w14:paraId="33A26E59">
            <w:r>
              <w:rPr>
                <w:rStyle w:val="10"/>
                <w:rFonts w:hint="eastAsia"/>
              </w:rPr>
              <w:t>登记证持有人：</w:t>
            </w:r>
            <w:r>
              <w:rPr>
                <w:rFonts w:hint="eastAsia"/>
              </w:rPr>
              <w:t>江苏龙灯化学有限公司</w:t>
            </w:r>
          </w:p>
        </w:tc>
      </w:tr>
      <w:tr w14:paraId="5B942342">
        <w:tblPrEx>
          <w:tblCellMar>
            <w:top w:w="0" w:type="dxa"/>
            <w:left w:w="0" w:type="dxa"/>
            <w:bottom w:w="0" w:type="dxa"/>
            <w:right w:w="0" w:type="dxa"/>
          </w:tblCellMar>
        </w:tblPrEx>
        <w:trPr>
          <w:wBefore w:w="0" w:type="auto"/>
          <w:tblCellSpacing w:w="0" w:type="dxa"/>
        </w:trPr>
        <w:tc>
          <w:tcPr>
            <w:tcW w:w="0" w:type="auto"/>
            <w:noWrap w:val="0"/>
            <w:vAlign w:val="center"/>
          </w:tcPr>
          <w:p w14:paraId="5D03EACB">
            <w:r>
              <w:rPr>
                <w:rStyle w:val="10"/>
                <w:rFonts w:hint="eastAsia"/>
              </w:rPr>
              <w:t>农药名称：</w:t>
            </w:r>
            <w:r>
              <w:rPr>
                <w:rFonts w:hint="eastAsia"/>
              </w:rPr>
              <w:t>硫酸铜钙</w:t>
            </w:r>
          </w:p>
        </w:tc>
      </w:tr>
      <w:tr w14:paraId="1A5CD75D">
        <w:tblPrEx>
          <w:tblCellMar>
            <w:top w:w="0" w:type="dxa"/>
            <w:left w:w="0" w:type="dxa"/>
            <w:bottom w:w="0" w:type="dxa"/>
            <w:right w:w="0" w:type="dxa"/>
          </w:tblCellMar>
        </w:tblPrEx>
        <w:trPr>
          <w:wBefore w:w="0" w:type="auto"/>
          <w:tblCellSpacing w:w="0" w:type="dxa"/>
        </w:trPr>
        <w:tc>
          <w:tcPr>
            <w:tcW w:w="0" w:type="auto"/>
            <w:noWrap w:val="0"/>
            <w:vAlign w:val="center"/>
          </w:tcPr>
          <w:p w14:paraId="062FE9DE">
            <w:r>
              <w:rPr>
                <w:rStyle w:val="10"/>
                <w:rFonts w:hint="eastAsia"/>
              </w:rPr>
              <w:t>剂型：</w:t>
            </w:r>
            <w:r>
              <w:rPr>
                <w:rFonts w:hint="eastAsia"/>
              </w:rPr>
              <w:t>悬浮剂</w:t>
            </w:r>
          </w:p>
        </w:tc>
      </w:tr>
      <w:tr w14:paraId="33B9BB53">
        <w:tblPrEx>
          <w:tblCellMar>
            <w:top w:w="0" w:type="dxa"/>
            <w:left w:w="0" w:type="dxa"/>
            <w:bottom w:w="0" w:type="dxa"/>
            <w:right w:w="0" w:type="dxa"/>
          </w:tblCellMar>
        </w:tblPrEx>
        <w:trPr>
          <w:wBefore w:w="0" w:type="auto"/>
          <w:tblCellSpacing w:w="0" w:type="dxa"/>
        </w:trPr>
        <w:tc>
          <w:tcPr>
            <w:tcW w:w="0" w:type="auto"/>
            <w:noWrap w:val="0"/>
            <w:vAlign w:val="center"/>
          </w:tcPr>
          <w:p w14:paraId="70BE6ADF">
            <w:r>
              <w:rPr>
                <w:rStyle w:val="10"/>
                <w:rFonts w:hint="eastAsia"/>
              </w:rPr>
              <w:t>毒性及其标识：</w:t>
            </w:r>
            <w:r>
              <w:rPr>
                <w:rFonts w:hint="eastAsia"/>
              </w:rPr>
              <w:t xml:space="preserve"> </w:t>
            </w:r>
            <w:r>
              <w:rPr>
                <w:lang/>
              </w:rPr>
              <w:drawing>
                <wp:inline distT="0" distB="0" distL="114300" distR="114300">
                  <wp:extent cx="476250" cy="323850"/>
                  <wp:effectExtent l="0" t="0" r="0" b="0"/>
                  <wp:docPr id="309" name="图片 30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07B087F">
        <w:tblPrEx>
          <w:tblCellMar>
            <w:top w:w="0" w:type="dxa"/>
            <w:left w:w="0" w:type="dxa"/>
            <w:bottom w:w="0" w:type="dxa"/>
            <w:right w:w="0" w:type="dxa"/>
          </w:tblCellMar>
        </w:tblPrEx>
        <w:trPr>
          <w:wBefore w:w="0" w:type="auto"/>
          <w:tblCellSpacing w:w="0" w:type="dxa"/>
        </w:trPr>
        <w:tc>
          <w:tcPr>
            <w:tcW w:w="0" w:type="auto"/>
            <w:noWrap w:val="0"/>
            <w:vAlign w:val="center"/>
          </w:tcPr>
          <w:p w14:paraId="3D0B5AC7">
            <w:r>
              <w:rPr>
                <w:rStyle w:val="10"/>
                <w:rFonts w:hint="eastAsia"/>
              </w:rPr>
              <w:t>总有效成分含量：</w:t>
            </w:r>
            <w:r>
              <w:rPr>
                <w:rFonts w:hint="eastAsia"/>
              </w:rPr>
              <w:t>660克/升</w:t>
            </w:r>
          </w:p>
        </w:tc>
      </w:tr>
      <w:tr w14:paraId="69CDC1CF">
        <w:tblPrEx>
          <w:tblCellMar>
            <w:top w:w="0" w:type="dxa"/>
            <w:left w:w="0" w:type="dxa"/>
            <w:bottom w:w="0" w:type="dxa"/>
            <w:right w:w="0" w:type="dxa"/>
          </w:tblCellMar>
        </w:tblPrEx>
        <w:trPr>
          <w:wBefore w:w="0" w:type="auto"/>
          <w:tblCellSpacing w:w="0" w:type="dxa"/>
        </w:trPr>
        <w:tc>
          <w:tcPr>
            <w:tcW w:w="0" w:type="auto"/>
            <w:noWrap w:val="0"/>
            <w:vAlign w:val="center"/>
          </w:tcPr>
          <w:p w14:paraId="6EA5275B">
            <w:r>
              <w:rPr>
                <w:rFonts w:hint="eastAsia"/>
              </w:rPr>
              <w:t xml:space="preserve">有效成分及其含量： </w:t>
            </w:r>
          </w:p>
          <w:p w14:paraId="2B223F48">
            <w:r>
              <w:rPr>
                <w:rFonts w:hint="eastAsia"/>
              </w:rPr>
              <w:t xml:space="preserve">    硫酸铜钙660克/升    </w:t>
            </w:r>
          </w:p>
        </w:tc>
      </w:tr>
      <w:tr w14:paraId="24D6220C">
        <w:tblPrEx>
          <w:tblCellMar>
            <w:top w:w="0" w:type="dxa"/>
            <w:left w:w="0" w:type="dxa"/>
            <w:bottom w:w="0" w:type="dxa"/>
            <w:right w:w="0" w:type="dxa"/>
          </w:tblCellMar>
        </w:tblPrEx>
        <w:trPr>
          <w:wBefore w:w="0" w:type="auto"/>
          <w:tblCellSpacing w:w="0" w:type="dxa"/>
        </w:trPr>
        <w:tc>
          <w:tcPr>
            <w:tcW w:w="0" w:type="auto"/>
            <w:noWrap w:val="0"/>
            <w:vAlign w:val="center"/>
          </w:tcPr>
          <w:p w14:paraId="6DCAE43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BFBAC4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B89BE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7F7006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86FB52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8243B4">
                  <w:r>
                    <w:rPr>
                      <w:rStyle w:val="11"/>
                      <w:rFonts w:hint="eastAsia"/>
                    </w:rPr>
                    <w:t>施用方式</w:t>
                  </w:r>
                </w:p>
              </w:tc>
            </w:tr>
            <w:tr w14:paraId="0014B5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EE87FFD">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07670D">
                  <w:r>
                    <w:rPr>
                      <w:rStyle w:val="11"/>
                      <w:rFonts w:hint="eastAsia"/>
                    </w:rPr>
                    <w:t>褐斑病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F4AD00">
                  <w:r>
                    <w:rPr>
                      <w:rStyle w:val="11"/>
                      <w:rFonts w:hint="eastAsia"/>
                    </w:rPr>
                    <w:t>400-600倍液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7820BA">
                  <w:r>
                    <w:rPr>
                      <w:rStyle w:val="11"/>
                      <w:rFonts w:hint="eastAsia"/>
                    </w:rPr>
                    <w:t>喷雾</w:t>
                  </w:r>
                </w:p>
              </w:tc>
            </w:tr>
          </w:tbl>
          <w:p w14:paraId="4D4E082D">
            <w:pPr>
              <w:rPr>
                <w:rFonts w:ascii="Times New Roman" w:hAnsi="Times New Roman" w:cs="Times New Roman"/>
                <w:sz w:val="20"/>
                <w:szCs w:val="20"/>
              </w:rPr>
            </w:pPr>
          </w:p>
        </w:tc>
      </w:tr>
      <w:tr w14:paraId="6D240EAE">
        <w:tblPrEx>
          <w:tblCellMar>
            <w:top w:w="0" w:type="dxa"/>
            <w:left w:w="0" w:type="dxa"/>
            <w:bottom w:w="0" w:type="dxa"/>
            <w:right w:w="0" w:type="dxa"/>
          </w:tblCellMar>
        </w:tblPrEx>
        <w:trPr>
          <w:wBefore w:w="0" w:type="auto"/>
          <w:tblCellSpacing w:w="0" w:type="dxa"/>
        </w:trPr>
        <w:tc>
          <w:tcPr>
            <w:tcW w:w="0" w:type="auto"/>
            <w:noWrap w:val="0"/>
            <w:vAlign w:val="center"/>
          </w:tcPr>
          <w:p w14:paraId="5EE26909">
            <w:r>
              <w:rPr>
                <w:rStyle w:val="10"/>
                <w:rFonts w:hint="eastAsia"/>
              </w:rPr>
              <w:t>使用技术要求:</w:t>
            </w:r>
            <w:r>
              <w:rPr>
                <w:rFonts w:hint="eastAsia"/>
              </w:rPr>
              <w:br w:type="textWrapping"/>
            </w:r>
            <w:r>
              <w:rPr>
                <w:rStyle w:val="11"/>
                <w:rFonts w:hint="eastAsia"/>
              </w:rPr>
              <w:t>1）于苹果树褐斑病发病前期，施第1次药，间隔15天-25天施第2次药。2）喷雾要均匀、周到、以确保防效。3）配药时，采用二次稀释法，将药剂均匀分散到水中。4）避免在阴湿天气和露水未干前喷药。5）本品在苹果树上的安全间隔期为28天，每季最多使用3次。</w:t>
            </w:r>
          </w:p>
        </w:tc>
      </w:tr>
      <w:tr w14:paraId="0ADC958D">
        <w:tblPrEx>
          <w:tblCellMar>
            <w:top w:w="0" w:type="dxa"/>
            <w:left w:w="0" w:type="dxa"/>
            <w:bottom w:w="0" w:type="dxa"/>
            <w:right w:w="0" w:type="dxa"/>
          </w:tblCellMar>
        </w:tblPrEx>
        <w:trPr>
          <w:wBefore w:w="0" w:type="auto"/>
          <w:tblCellSpacing w:w="0" w:type="dxa"/>
        </w:trPr>
        <w:tc>
          <w:tcPr>
            <w:tcW w:w="0" w:type="auto"/>
            <w:noWrap w:val="0"/>
            <w:vAlign w:val="center"/>
          </w:tcPr>
          <w:p w14:paraId="1E95FC64">
            <w:r>
              <w:rPr>
                <w:rStyle w:val="10"/>
                <w:rFonts w:hint="eastAsia"/>
              </w:rPr>
              <w:t>产品性能:</w:t>
            </w:r>
            <w:r>
              <w:rPr>
                <w:rFonts w:hint="eastAsia"/>
              </w:rPr>
              <w:br w:type="textWrapping"/>
            </w:r>
            <w:r>
              <w:rPr>
                <w:rStyle w:val="11"/>
                <w:rFonts w:hint="eastAsia"/>
              </w:rPr>
              <w:t>本品为广谱保护性杀菌剂，络合态硫酸铜钙，其独特的铜离子和钙离子大分子络合物，确保铜离子缓慢、持久释放。本品作用方式独特、作用位点多。附着在作物表面的药剂，在雨露、空气、碳酸气体以及细菌分泌物的有机酸等的作用下逐渐释放出铜离子，当接触到病原菌后发生持续性的杀菌作用。颗粒细，悬浮率高，喷雾过程中不易堵塞喷头，相对于同类铜制制剂，可减量增效；使用中不易产生药斑。耐雨水冲刷，持效期长达15天左右。</w:t>
            </w:r>
          </w:p>
        </w:tc>
      </w:tr>
      <w:tr w14:paraId="1A5447ED">
        <w:tblPrEx>
          <w:tblCellMar>
            <w:top w:w="0" w:type="dxa"/>
            <w:left w:w="0" w:type="dxa"/>
            <w:bottom w:w="0" w:type="dxa"/>
            <w:right w:w="0" w:type="dxa"/>
          </w:tblCellMar>
        </w:tblPrEx>
        <w:trPr>
          <w:wBefore w:w="0" w:type="auto"/>
          <w:tblCellSpacing w:w="0" w:type="dxa"/>
        </w:trPr>
        <w:tc>
          <w:tcPr>
            <w:tcW w:w="0" w:type="auto"/>
            <w:noWrap w:val="0"/>
            <w:vAlign w:val="center"/>
          </w:tcPr>
          <w:p w14:paraId="2C35849C">
            <w:r>
              <w:rPr>
                <w:rStyle w:val="10"/>
                <w:rFonts w:hint="eastAsia"/>
              </w:rPr>
              <w:t>注意事项：</w:t>
            </w:r>
            <w:r>
              <w:rPr>
                <w:rFonts w:hint="eastAsia"/>
              </w:rPr>
              <w:br w:type="textWrapping"/>
            </w:r>
            <w:r>
              <w:rPr>
                <w:rStyle w:val="11"/>
                <w:rFonts w:hint="eastAsia"/>
              </w:rPr>
              <w:t>1、鸟类保护区附近禁止使用。（周围）开花植物花期禁用。蚕室和桑园附近禁用。2、不可与强酸强碱性物质混用。3、不可与氧化剂接触，以免产生不良反应。4、不能与含有其他金属元素的药剂和微肥混合使用，以免降低药效或造成药害。5、桃、李、梅、杏、柿子、大白菜、菜豆、莴苣、荸荠等对本品敏感，生长期不宜喷施；苹果、梨树的花期、幼果期对铜离子敏感，施药时避免药液飘移到上述作物上。6、使用该产品时，穿戴长衣、长裤、帽子、口罩、手套等防护措施。7、使用过的药械需清洗三遍，在洗涤药械和处理废弃物时不要污染水源。禁止在河塘等水体中清洗施药器具。8、使用过的空包装不可做他用，应按废弃包装物处理方法，妥善处理。9、建议与其他作用机制的杀菌剂轮换使用。10、孕妇及哺乳期妇女避免接触。</w:t>
            </w:r>
          </w:p>
        </w:tc>
      </w:tr>
      <w:tr w14:paraId="50FA4C2E">
        <w:tblPrEx>
          <w:tblCellMar>
            <w:top w:w="0" w:type="dxa"/>
            <w:left w:w="0" w:type="dxa"/>
            <w:bottom w:w="0" w:type="dxa"/>
            <w:right w:w="0" w:type="dxa"/>
          </w:tblCellMar>
        </w:tblPrEx>
        <w:trPr>
          <w:wBefore w:w="0" w:type="auto"/>
          <w:tblCellSpacing w:w="0" w:type="dxa"/>
        </w:trPr>
        <w:tc>
          <w:tcPr>
            <w:tcW w:w="0" w:type="auto"/>
            <w:noWrap w:val="0"/>
            <w:vAlign w:val="center"/>
          </w:tcPr>
          <w:p w14:paraId="3E829938">
            <w:r>
              <w:rPr>
                <w:rStyle w:val="10"/>
                <w:rFonts w:hint="eastAsia"/>
              </w:rPr>
              <w:t>中毒急救措施：</w:t>
            </w:r>
            <w:r>
              <w:rPr>
                <w:rFonts w:hint="eastAsia"/>
              </w:rPr>
              <w:br w:type="textWrapping"/>
            </w:r>
            <w:r>
              <w:rPr>
                <w:rStyle w:val="11"/>
                <w:rFonts w:hint="eastAsia"/>
              </w:rPr>
              <w:t>1、不慎药液接触皮肤，尽快用大量清水冲洗皮肤表面。2、不慎药液接触眼睛，尽快用清水冲洗眼睛至少15分钟。3、吸入中毒者，立即将其移到空气新鲜处。4、不慎吞服药液，误食者先饮一杯加入活性炭的水或蛋清、牛奶，然后携标签将病人送往医院。解毒药剂为EDTA、BAL和青霉素。</w:t>
            </w:r>
          </w:p>
        </w:tc>
      </w:tr>
      <w:tr w14:paraId="3A3F15A0">
        <w:tblPrEx>
          <w:tblCellMar>
            <w:top w:w="0" w:type="dxa"/>
            <w:left w:w="0" w:type="dxa"/>
            <w:bottom w:w="0" w:type="dxa"/>
            <w:right w:w="0" w:type="dxa"/>
          </w:tblCellMar>
        </w:tblPrEx>
        <w:trPr>
          <w:wBefore w:w="0" w:type="auto"/>
          <w:tblCellSpacing w:w="0" w:type="dxa"/>
        </w:trPr>
        <w:tc>
          <w:tcPr>
            <w:tcW w:w="0" w:type="auto"/>
            <w:noWrap w:val="0"/>
            <w:vAlign w:val="center"/>
          </w:tcPr>
          <w:p w14:paraId="1AE4F313">
            <w:r>
              <w:rPr>
                <w:rStyle w:val="10"/>
                <w:rFonts w:hint="eastAsia"/>
              </w:rPr>
              <w:t>储存和运输方法：</w:t>
            </w:r>
            <w:r>
              <w:rPr>
                <w:rFonts w:hint="eastAsia"/>
              </w:rPr>
              <w:br w:type="textWrapping"/>
            </w:r>
            <w:r>
              <w:rPr>
                <w:rStyle w:val="11"/>
                <w:rFonts w:hint="eastAsia"/>
              </w:rPr>
              <w:t>1、产品密封后存放在阴凉、干燥、通风处，不要直接置于阳光下，或过热的地方。2、远离家禽，不能与食品、饲料、饮料、粮食和种子混合贮运。3、远离儿童，贮存于儿童触及不到的地方并加锁。4、装卸及运输过程中，轻拿轻放，不得倒置。</w:t>
            </w:r>
          </w:p>
        </w:tc>
      </w:tr>
      <w:tr w14:paraId="2AA72546">
        <w:tblPrEx>
          <w:tblCellMar>
            <w:top w:w="0" w:type="dxa"/>
            <w:left w:w="0" w:type="dxa"/>
            <w:bottom w:w="0" w:type="dxa"/>
            <w:right w:w="0" w:type="dxa"/>
          </w:tblCellMar>
        </w:tblPrEx>
        <w:trPr>
          <w:wBefore w:w="0" w:type="auto"/>
          <w:tblCellSpacing w:w="0" w:type="dxa"/>
        </w:trPr>
        <w:tc>
          <w:tcPr>
            <w:tcW w:w="0" w:type="auto"/>
            <w:noWrap w:val="0"/>
            <w:vAlign w:val="center"/>
          </w:tcPr>
          <w:p w14:paraId="5D0FC76B">
            <w:r>
              <w:rPr>
                <w:rStyle w:val="10"/>
                <w:rFonts w:hint="eastAsia"/>
              </w:rPr>
              <w:t>质量保证期：</w:t>
            </w:r>
            <w:r>
              <w:rPr>
                <w:rStyle w:val="11"/>
                <w:rFonts w:hint="eastAsia"/>
              </w:rPr>
              <w:t>2年</w:t>
            </w:r>
          </w:p>
        </w:tc>
      </w:tr>
      <w:tr w14:paraId="67FB8E58">
        <w:tblPrEx>
          <w:tblCellMar>
            <w:top w:w="0" w:type="dxa"/>
            <w:left w:w="0" w:type="dxa"/>
            <w:bottom w:w="0" w:type="dxa"/>
            <w:right w:w="0" w:type="dxa"/>
          </w:tblCellMar>
        </w:tblPrEx>
        <w:trPr>
          <w:wBefore w:w="0" w:type="auto"/>
          <w:tblCellSpacing w:w="0" w:type="dxa"/>
        </w:trPr>
        <w:tc>
          <w:tcPr>
            <w:tcW w:w="0" w:type="auto"/>
            <w:noWrap w:val="0"/>
            <w:vAlign w:val="center"/>
          </w:tcPr>
          <w:p w14:paraId="3F0FA9D3">
            <w:r>
              <w:rPr>
                <w:rStyle w:val="10"/>
                <w:rFonts w:hint="eastAsia"/>
              </w:rPr>
              <w:t>备注：</w:t>
            </w:r>
            <w:r>
              <w:rPr>
                <w:rFonts w:hint="eastAsia"/>
              </w:rPr>
              <w:br w:type="textWrapping"/>
            </w:r>
            <w:r>
              <w:rPr>
                <w:rStyle w:val="11"/>
                <w:rFonts w:hint="eastAsia"/>
              </w:rPr>
              <w:t>质量分数46%。</w:t>
            </w:r>
          </w:p>
        </w:tc>
      </w:tr>
    </w:tbl>
    <w:p w14:paraId="6B750BC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6FB046">
        <w:tblPrEx>
          <w:tblCellMar>
            <w:top w:w="0" w:type="dxa"/>
            <w:left w:w="0" w:type="dxa"/>
            <w:bottom w:w="0" w:type="dxa"/>
            <w:right w:w="0" w:type="dxa"/>
          </w:tblCellMar>
        </w:tblPrEx>
        <w:trPr>
          <w:wBefore w:w="0" w:type="auto"/>
          <w:tblCellSpacing w:w="0" w:type="dxa"/>
        </w:trPr>
        <w:tc>
          <w:tcPr>
            <w:tcW w:w="0" w:type="auto"/>
            <w:noWrap w:val="0"/>
            <w:vAlign w:val="center"/>
          </w:tcPr>
          <w:p w14:paraId="6D1487CC">
            <w:r>
              <w:rPr>
                <w:rStyle w:val="10"/>
                <w:rFonts w:hint="eastAsia"/>
              </w:rPr>
              <w:t>登记证号：</w:t>
            </w:r>
            <w:r>
              <w:rPr>
                <w:rFonts w:hint="eastAsia"/>
              </w:rPr>
              <w:t>PD20211843</w:t>
            </w:r>
          </w:p>
        </w:tc>
      </w:tr>
      <w:tr w14:paraId="3C7C4F65">
        <w:tblPrEx>
          <w:tblCellMar>
            <w:top w:w="0" w:type="dxa"/>
            <w:left w:w="0" w:type="dxa"/>
            <w:bottom w:w="0" w:type="dxa"/>
            <w:right w:w="0" w:type="dxa"/>
          </w:tblCellMar>
        </w:tblPrEx>
        <w:trPr>
          <w:wBefore w:w="0" w:type="auto"/>
          <w:tblCellSpacing w:w="0" w:type="dxa"/>
        </w:trPr>
        <w:tc>
          <w:tcPr>
            <w:tcW w:w="0" w:type="auto"/>
            <w:noWrap w:val="0"/>
            <w:vAlign w:val="center"/>
          </w:tcPr>
          <w:p w14:paraId="2AB9F87C">
            <w:r>
              <w:rPr>
                <w:rStyle w:val="10"/>
                <w:rFonts w:hint="eastAsia"/>
              </w:rPr>
              <w:t>登记证持有人：</w:t>
            </w:r>
            <w:r>
              <w:rPr>
                <w:rFonts w:hint="eastAsia"/>
              </w:rPr>
              <w:t>上海悦联生物科技有限公司</w:t>
            </w:r>
          </w:p>
        </w:tc>
      </w:tr>
      <w:tr w14:paraId="594F919F">
        <w:tblPrEx>
          <w:tblCellMar>
            <w:top w:w="0" w:type="dxa"/>
            <w:left w:w="0" w:type="dxa"/>
            <w:bottom w:w="0" w:type="dxa"/>
            <w:right w:w="0" w:type="dxa"/>
          </w:tblCellMar>
        </w:tblPrEx>
        <w:trPr>
          <w:wBefore w:w="0" w:type="auto"/>
          <w:tblCellSpacing w:w="0" w:type="dxa"/>
        </w:trPr>
        <w:tc>
          <w:tcPr>
            <w:tcW w:w="0" w:type="auto"/>
            <w:noWrap w:val="0"/>
            <w:vAlign w:val="center"/>
          </w:tcPr>
          <w:p w14:paraId="083F641F">
            <w:r>
              <w:rPr>
                <w:rStyle w:val="10"/>
                <w:rFonts w:hint="eastAsia"/>
              </w:rPr>
              <w:t>农药名称：</w:t>
            </w:r>
            <w:r>
              <w:rPr>
                <w:rFonts w:hint="eastAsia"/>
              </w:rPr>
              <w:t>螺虫·噻嗪酮</w:t>
            </w:r>
          </w:p>
        </w:tc>
      </w:tr>
      <w:tr w14:paraId="74AEA01C">
        <w:tblPrEx>
          <w:tblCellMar>
            <w:top w:w="0" w:type="dxa"/>
            <w:left w:w="0" w:type="dxa"/>
            <w:bottom w:w="0" w:type="dxa"/>
            <w:right w:w="0" w:type="dxa"/>
          </w:tblCellMar>
        </w:tblPrEx>
        <w:trPr>
          <w:wBefore w:w="0" w:type="auto"/>
          <w:tblCellSpacing w:w="0" w:type="dxa"/>
        </w:trPr>
        <w:tc>
          <w:tcPr>
            <w:tcW w:w="0" w:type="auto"/>
            <w:noWrap w:val="0"/>
            <w:vAlign w:val="center"/>
          </w:tcPr>
          <w:p w14:paraId="6F3E59D8">
            <w:r>
              <w:rPr>
                <w:rStyle w:val="10"/>
                <w:rFonts w:hint="eastAsia"/>
              </w:rPr>
              <w:t>剂型：</w:t>
            </w:r>
            <w:r>
              <w:rPr>
                <w:rFonts w:hint="eastAsia"/>
              </w:rPr>
              <w:t>悬浮剂</w:t>
            </w:r>
          </w:p>
        </w:tc>
      </w:tr>
      <w:tr w14:paraId="334916E8">
        <w:tblPrEx>
          <w:tblCellMar>
            <w:top w:w="0" w:type="dxa"/>
            <w:left w:w="0" w:type="dxa"/>
            <w:bottom w:w="0" w:type="dxa"/>
            <w:right w:w="0" w:type="dxa"/>
          </w:tblCellMar>
        </w:tblPrEx>
        <w:trPr>
          <w:wBefore w:w="0" w:type="auto"/>
          <w:tblCellSpacing w:w="0" w:type="dxa"/>
        </w:trPr>
        <w:tc>
          <w:tcPr>
            <w:tcW w:w="0" w:type="auto"/>
            <w:noWrap w:val="0"/>
            <w:vAlign w:val="center"/>
          </w:tcPr>
          <w:p w14:paraId="238A4F18">
            <w:r>
              <w:rPr>
                <w:rStyle w:val="10"/>
                <w:rFonts w:hint="eastAsia"/>
              </w:rPr>
              <w:t>毒性及其标识：</w:t>
            </w:r>
            <w:r>
              <w:rPr>
                <w:rFonts w:hint="eastAsia"/>
              </w:rPr>
              <w:t xml:space="preserve"> 微毒 </w:t>
            </w:r>
          </w:p>
        </w:tc>
      </w:tr>
      <w:tr w14:paraId="6BCAB727">
        <w:tblPrEx>
          <w:tblCellMar>
            <w:top w:w="0" w:type="dxa"/>
            <w:left w:w="0" w:type="dxa"/>
            <w:bottom w:w="0" w:type="dxa"/>
            <w:right w:w="0" w:type="dxa"/>
          </w:tblCellMar>
        </w:tblPrEx>
        <w:trPr>
          <w:wBefore w:w="0" w:type="auto"/>
          <w:tblCellSpacing w:w="0" w:type="dxa"/>
        </w:trPr>
        <w:tc>
          <w:tcPr>
            <w:tcW w:w="0" w:type="auto"/>
            <w:noWrap w:val="0"/>
            <w:vAlign w:val="center"/>
          </w:tcPr>
          <w:p w14:paraId="5D5A6AAD">
            <w:r>
              <w:rPr>
                <w:rStyle w:val="10"/>
                <w:rFonts w:hint="eastAsia"/>
              </w:rPr>
              <w:t>总有效成分含量：</w:t>
            </w:r>
            <w:r>
              <w:rPr>
                <w:rFonts w:hint="eastAsia"/>
              </w:rPr>
              <w:t>39%</w:t>
            </w:r>
          </w:p>
        </w:tc>
      </w:tr>
      <w:tr w14:paraId="0EC68E50">
        <w:tblPrEx>
          <w:tblCellMar>
            <w:top w:w="0" w:type="dxa"/>
            <w:left w:w="0" w:type="dxa"/>
            <w:bottom w:w="0" w:type="dxa"/>
            <w:right w:w="0" w:type="dxa"/>
          </w:tblCellMar>
        </w:tblPrEx>
        <w:trPr>
          <w:wBefore w:w="0" w:type="auto"/>
          <w:tblCellSpacing w:w="0" w:type="dxa"/>
        </w:trPr>
        <w:tc>
          <w:tcPr>
            <w:tcW w:w="0" w:type="auto"/>
            <w:noWrap w:val="0"/>
            <w:vAlign w:val="center"/>
          </w:tcPr>
          <w:p w14:paraId="142C7004">
            <w:r>
              <w:rPr>
                <w:rFonts w:hint="eastAsia"/>
              </w:rPr>
              <w:t xml:space="preserve">有效成分及其含量： </w:t>
            </w:r>
          </w:p>
          <w:p w14:paraId="45933B97">
            <w:r>
              <w:rPr>
                <w:rFonts w:hint="eastAsia"/>
              </w:rPr>
              <w:t xml:space="preserve">    螺虫乙酯13%    噻嗪酮26%    </w:t>
            </w:r>
          </w:p>
        </w:tc>
      </w:tr>
      <w:tr w14:paraId="4D1A2792">
        <w:tblPrEx>
          <w:tblCellMar>
            <w:top w:w="0" w:type="dxa"/>
            <w:left w:w="0" w:type="dxa"/>
            <w:bottom w:w="0" w:type="dxa"/>
            <w:right w:w="0" w:type="dxa"/>
          </w:tblCellMar>
        </w:tblPrEx>
        <w:trPr>
          <w:wBefore w:w="0" w:type="auto"/>
          <w:tblCellSpacing w:w="0" w:type="dxa"/>
        </w:trPr>
        <w:tc>
          <w:tcPr>
            <w:tcW w:w="0" w:type="auto"/>
            <w:noWrap w:val="0"/>
            <w:vAlign w:val="center"/>
          </w:tcPr>
          <w:p w14:paraId="716D480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DC43D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D9ABE6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474474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C06321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D49C76A">
                  <w:r>
                    <w:rPr>
                      <w:rStyle w:val="11"/>
                      <w:rFonts w:hint="eastAsia"/>
                    </w:rPr>
                    <w:t>施用方式</w:t>
                  </w:r>
                </w:p>
              </w:tc>
            </w:tr>
            <w:tr w14:paraId="7975A2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2492F93">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D48C12">
                  <w:r>
                    <w:rPr>
                      <w:rStyle w:val="11"/>
                      <w:rFonts w:hint="eastAsia"/>
                    </w:rPr>
                    <w:t>介壳虫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C0D063">
                  <w:r>
                    <w:rPr>
                      <w:rStyle w:val="11"/>
                      <w:rFonts w:hint="eastAsia"/>
                    </w:rPr>
                    <w:t>2500-4500倍液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9F020D">
                  <w:r>
                    <w:rPr>
                      <w:rStyle w:val="11"/>
                      <w:rFonts w:hint="eastAsia"/>
                    </w:rPr>
                    <w:t>喷雾</w:t>
                  </w:r>
                </w:p>
              </w:tc>
            </w:tr>
          </w:tbl>
          <w:p w14:paraId="45C6EE77">
            <w:pPr>
              <w:rPr>
                <w:rFonts w:ascii="Times New Roman" w:hAnsi="Times New Roman" w:cs="Times New Roman"/>
                <w:sz w:val="20"/>
                <w:szCs w:val="20"/>
              </w:rPr>
            </w:pPr>
          </w:p>
        </w:tc>
      </w:tr>
      <w:tr w14:paraId="6CF2AE5F">
        <w:tblPrEx>
          <w:tblCellMar>
            <w:top w:w="0" w:type="dxa"/>
            <w:left w:w="0" w:type="dxa"/>
            <w:bottom w:w="0" w:type="dxa"/>
            <w:right w:w="0" w:type="dxa"/>
          </w:tblCellMar>
        </w:tblPrEx>
        <w:trPr>
          <w:wBefore w:w="0" w:type="auto"/>
          <w:tblCellSpacing w:w="0" w:type="dxa"/>
        </w:trPr>
        <w:tc>
          <w:tcPr>
            <w:tcW w:w="0" w:type="auto"/>
            <w:noWrap w:val="0"/>
            <w:vAlign w:val="center"/>
          </w:tcPr>
          <w:p w14:paraId="2E391E6A">
            <w:r>
              <w:rPr>
                <w:rStyle w:val="10"/>
                <w:rFonts w:hint="eastAsia"/>
              </w:rPr>
              <w:t>使用技术要求:</w:t>
            </w:r>
            <w:r>
              <w:rPr>
                <w:rFonts w:hint="eastAsia"/>
              </w:rPr>
              <w:br w:type="textWrapping"/>
            </w:r>
            <w:r>
              <w:rPr>
                <w:rStyle w:val="11"/>
                <w:rFonts w:hint="eastAsia"/>
              </w:rPr>
              <w:t>1.于柑橘树介壳虫若虫始盛期喷雾施药1次，均匀、周到喷雾。2. 大风天或预计4小时内有雨请勿施药。3. 在柑橘树上使用的安全间隔期为35天，每个作物周期最多使用1次。</w:t>
            </w:r>
          </w:p>
        </w:tc>
      </w:tr>
      <w:tr w14:paraId="76E86F10">
        <w:tblPrEx>
          <w:tblCellMar>
            <w:top w:w="0" w:type="dxa"/>
            <w:left w:w="0" w:type="dxa"/>
            <w:bottom w:w="0" w:type="dxa"/>
            <w:right w:w="0" w:type="dxa"/>
          </w:tblCellMar>
        </w:tblPrEx>
        <w:trPr>
          <w:wBefore w:w="0" w:type="auto"/>
          <w:tblCellSpacing w:w="0" w:type="dxa"/>
        </w:trPr>
        <w:tc>
          <w:tcPr>
            <w:tcW w:w="0" w:type="auto"/>
            <w:noWrap w:val="0"/>
            <w:vAlign w:val="center"/>
          </w:tcPr>
          <w:p w14:paraId="15CCC8F8">
            <w:r>
              <w:rPr>
                <w:rStyle w:val="10"/>
                <w:rFonts w:hint="eastAsia"/>
              </w:rPr>
              <w:t>产品性能:</w:t>
            </w:r>
            <w:r>
              <w:rPr>
                <w:rFonts w:hint="eastAsia"/>
              </w:rPr>
              <w:br w:type="textWrapping"/>
            </w:r>
            <w:r>
              <w:rPr>
                <w:rStyle w:val="11"/>
                <w:rFonts w:hint="eastAsia"/>
              </w:rPr>
              <w:t>本品由螺虫乙酯与噻嗪酮混配而成。螺虫乙酯是季酮酸类化合物，其作用机制为干扰害虫脂肪合成、阻断能量代谢，其内吸性较强，可在植株体内上下传导，且持效期较长。噻嗪酮属昆虫生长调节剂类杀虫剂，通过抑制壳多糖合成和干扰新陈代谢，使害虫不能正常蜕皮和变态而逐渐死亡。具有较强的触杀和胃毒作用，对成虫的繁殖能力及卵的孵化有明显的抑制作用，持效期长。在推荐施用剂量下，对柑橘树介壳虫有较好的防治效果。</w:t>
            </w:r>
          </w:p>
        </w:tc>
      </w:tr>
      <w:tr w14:paraId="6242E7B8">
        <w:tblPrEx>
          <w:tblCellMar>
            <w:top w:w="0" w:type="dxa"/>
            <w:left w:w="0" w:type="dxa"/>
            <w:bottom w:w="0" w:type="dxa"/>
            <w:right w:w="0" w:type="dxa"/>
          </w:tblCellMar>
        </w:tblPrEx>
        <w:trPr>
          <w:wBefore w:w="0" w:type="auto"/>
          <w:tblCellSpacing w:w="0" w:type="dxa"/>
        </w:trPr>
        <w:tc>
          <w:tcPr>
            <w:tcW w:w="0" w:type="auto"/>
            <w:noWrap w:val="0"/>
            <w:vAlign w:val="center"/>
          </w:tcPr>
          <w:p w14:paraId="1ADE0F6B">
            <w:r>
              <w:rPr>
                <w:rStyle w:val="10"/>
                <w:rFonts w:hint="eastAsia"/>
              </w:rPr>
              <w:t>注意事项：</w:t>
            </w:r>
            <w:r>
              <w:rPr>
                <w:rFonts w:hint="eastAsia"/>
              </w:rPr>
              <w:br w:type="textWrapping"/>
            </w:r>
            <w:r>
              <w:rPr>
                <w:rStyle w:val="11"/>
                <w:rFonts w:hint="eastAsia"/>
              </w:rPr>
              <w:t>1. 本品对蜜蜂、鱼类等水生生物、家蚕有毒，开花作物花期、蚕室及桑园附近禁用；远离水产养殖区、河塘等水体施药，禁止在河塘等水域内清洗施药器具。使用时注意对鸟类的影响,鸟类保护区附近禁用。瓢虫、赤眼蜂等天敌放飞区域禁用。2. 本品对眼睛有刺激性，使用时避免接触眼睛，穿戴长衣、长裤、帽子、口罩、手套等防护措施。避免皮肤接触及口鼻吸入。使用中不可吸烟、饮水及吃东西，使用后及时清洗手、脸等暴露部位皮肤并更换衣物。3. 建议与其他作用机制不同的杀虫剂轮换使用，以延缓抗药性。4. 本品不可与石硫合剂和波尔多液等碱性物质混用。5. 用过的容器应妥善处理，不可作他用，也不可随意丢弃。6. 避免孕妇及哺乳期妇女接触。7. 避免与氧化剂接触。</w:t>
            </w:r>
          </w:p>
        </w:tc>
      </w:tr>
      <w:tr w14:paraId="0E200145">
        <w:tblPrEx>
          <w:tblCellMar>
            <w:top w:w="0" w:type="dxa"/>
            <w:left w:w="0" w:type="dxa"/>
            <w:bottom w:w="0" w:type="dxa"/>
            <w:right w:w="0" w:type="dxa"/>
          </w:tblCellMar>
        </w:tblPrEx>
        <w:trPr>
          <w:wBefore w:w="0" w:type="auto"/>
          <w:tblCellSpacing w:w="0" w:type="dxa"/>
        </w:trPr>
        <w:tc>
          <w:tcPr>
            <w:tcW w:w="0" w:type="auto"/>
            <w:noWrap w:val="0"/>
            <w:vAlign w:val="center"/>
          </w:tcPr>
          <w:p w14:paraId="0B5BCF12">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1.皮肤接触：脱去污染的衣物，用软布去除沾染农药，立即用大量清水和肥皂冲洗。2.眼睛溅入：立即用流动清水冲洗不少于15分钟。3.吸入：立即离开施药现场，转移到空气清新处。4.误食：立即停止服用，用清水充分漱口后，立即携带农药标签到医院就诊。</w:t>
            </w:r>
          </w:p>
        </w:tc>
      </w:tr>
      <w:tr w14:paraId="037A4FAA">
        <w:tblPrEx>
          <w:tblCellMar>
            <w:top w:w="0" w:type="dxa"/>
            <w:left w:w="0" w:type="dxa"/>
            <w:bottom w:w="0" w:type="dxa"/>
            <w:right w:w="0" w:type="dxa"/>
          </w:tblCellMar>
        </w:tblPrEx>
        <w:trPr>
          <w:wBefore w:w="0" w:type="auto"/>
          <w:tblCellSpacing w:w="0" w:type="dxa"/>
        </w:trPr>
        <w:tc>
          <w:tcPr>
            <w:tcW w:w="0" w:type="auto"/>
            <w:noWrap w:val="0"/>
            <w:vAlign w:val="center"/>
          </w:tcPr>
          <w:p w14:paraId="5E7EBEAE">
            <w:r>
              <w:rPr>
                <w:rStyle w:val="10"/>
                <w:rFonts w:hint="eastAsia"/>
              </w:rPr>
              <w:t>储存和运输方法：</w:t>
            </w:r>
            <w:r>
              <w:rPr>
                <w:rFonts w:hint="eastAsia"/>
              </w:rPr>
              <w:br w:type="textWrapping"/>
            </w:r>
            <w:r>
              <w:rPr>
                <w:rStyle w:val="11"/>
                <w:rFonts w:hint="eastAsia"/>
              </w:rPr>
              <w:t>本品应贮存在避光、通风、干燥防风雨处，远离火源和热源。置于儿童、无关人员及动物接触不到的地方，并加锁保存。勿与食物、饮料、种子、粮食和饲料同贮同运。</w:t>
            </w:r>
          </w:p>
        </w:tc>
      </w:tr>
      <w:tr w14:paraId="079542FE">
        <w:tblPrEx>
          <w:tblCellMar>
            <w:top w:w="0" w:type="dxa"/>
            <w:left w:w="0" w:type="dxa"/>
            <w:bottom w:w="0" w:type="dxa"/>
            <w:right w:w="0" w:type="dxa"/>
          </w:tblCellMar>
        </w:tblPrEx>
        <w:trPr>
          <w:wBefore w:w="0" w:type="auto"/>
          <w:tblCellSpacing w:w="0" w:type="dxa"/>
        </w:trPr>
        <w:tc>
          <w:tcPr>
            <w:tcW w:w="0" w:type="auto"/>
            <w:noWrap w:val="0"/>
            <w:vAlign w:val="center"/>
          </w:tcPr>
          <w:p w14:paraId="204F2F23">
            <w:r>
              <w:rPr>
                <w:rStyle w:val="10"/>
                <w:rFonts w:hint="eastAsia"/>
              </w:rPr>
              <w:t>质量保证期：</w:t>
            </w:r>
            <w:r>
              <w:rPr>
                <w:rStyle w:val="11"/>
                <w:rFonts w:hint="eastAsia"/>
              </w:rPr>
              <w:t>2年</w:t>
            </w:r>
          </w:p>
        </w:tc>
      </w:tr>
      <w:tr w14:paraId="2558DBA5">
        <w:tblPrEx>
          <w:tblCellMar>
            <w:top w:w="0" w:type="dxa"/>
            <w:left w:w="0" w:type="dxa"/>
            <w:bottom w:w="0" w:type="dxa"/>
            <w:right w:w="0" w:type="dxa"/>
          </w:tblCellMar>
        </w:tblPrEx>
        <w:trPr>
          <w:wBefore w:w="0" w:type="auto"/>
          <w:tblCellSpacing w:w="0" w:type="dxa"/>
        </w:trPr>
        <w:tc>
          <w:tcPr>
            <w:tcW w:w="0" w:type="auto"/>
            <w:noWrap w:val="0"/>
            <w:vAlign w:val="center"/>
          </w:tcPr>
          <w:p w14:paraId="39EB57AE">
            <w:r>
              <w:rPr>
                <w:rStyle w:val="10"/>
                <w:rFonts w:hint="eastAsia"/>
              </w:rPr>
              <w:t>备注：</w:t>
            </w:r>
          </w:p>
        </w:tc>
      </w:tr>
    </w:tbl>
    <w:p w14:paraId="232E1B0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D60F64D">
        <w:tblPrEx>
          <w:tblCellMar>
            <w:top w:w="0" w:type="dxa"/>
            <w:left w:w="0" w:type="dxa"/>
            <w:bottom w:w="0" w:type="dxa"/>
            <w:right w:w="0" w:type="dxa"/>
          </w:tblCellMar>
        </w:tblPrEx>
        <w:trPr>
          <w:wBefore w:w="0" w:type="auto"/>
          <w:tblCellSpacing w:w="0" w:type="dxa"/>
        </w:trPr>
        <w:tc>
          <w:tcPr>
            <w:tcW w:w="0" w:type="auto"/>
            <w:noWrap w:val="0"/>
            <w:vAlign w:val="center"/>
          </w:tcPr>
          <w:p w14:paraId="4D82E6CC">
            <w:r>
              <w:rPr>
                <w:rStyle w:val="10"/>
                <w:rFonts w:hint="eastAsia"/>
              </w:rPr>
              <w:t>登记证号：</w:t>
            </w:r>
            <w:r>
              <w:rPr>
                <w:rFonts w:hint="eastAsia"/>
              </w:rPr>
              <w:t>PD20212204</w:t>
            </w:r>
          </w:p>
        </w:tc>
      </w:tr>
      <w:tr w14:paraId="64BDC407">
        <w:tblPrEx>
          <w:tblCellMar>
            <w:top w:w="0" w:type="dxa"/>
            <w:left w:w="0" w:type="dxa"/>
            <w:bottom w:w="0" w:type="dxa"/>
            <w:right w:w="0" w:type="dxa"/>
          </w:tblCellMar>
        </w:tblPrEx>
        <w:trPr>
          <w:wBefore w:w="0" w:type="auto"/>
          <w:tblCellSpacing w:w="0" w:type="dxa"/>
        </w:trPr>
        <w:tc>
          <w:tcPr>
            <w:tcW w:w="0" w:type="auto"/>
            <w:noWrap w:val="0"/>
            <w:vAlign w:val="center"/>
          </w:tcPr>
          <w:p w14:paraId="22FCEBDA">
            <w:r>
              <w:rPr>
                <w:rStyle w:val="10"/>
                <w:rFonts w:hint="eastAsia"/>
              </w:rPr>
              <w:t>登记证持有人：</w:t>
            </w:r>
            <w:r>
              <w:rPr>
                <w:rFonts w:hint="eastAsia"/>
              </w:rPr>
              <w:t>湖南新长山农业发展股份有限公司</w:t>
            </w:r>
          </w:p>
        </w:tc>
      </w:tr>
      <w:tr w14:paraId="0575B53E">
        <w:tblPrEx>
          <w:tblCellMar>
            <w:top w:w="0" w:type="dxa"/>
            <w:left w:w="0" w:type="dxa"/>
            <w:bottom w:w="0" w:type="dxa"/>
            <w:right w:w="0" w:type="dxa"/>
          </w:tblCellMar>
        </w:tblPrEx>
        <w:trPr>
          <w:wBefore w:w="0" w:type="auto"/>
          <w:tblCellSpacing w:w="0" w:type="dxa"/>
        </w:trPr>
        <w:tc>
          <w:tcPr>
            <w:tcW w:w="0" w:type="auto"/>
            <w:noWrap w:val="0"/>
            <w:vAlign w:val="center"/>
          </w:tcPr>
          <w:p w14:paraId="64F6494B">
            <w:r>
              <w:rPr>
                <w:rStyle w:val="10"/>
                <w:rFonts w:hint="eastAsia"/>
              </w:rPr>
              <w:t>农药名称：</w:t>
            </w:r>
            <w:r>
              <w:rPr>
                <w:rFonts w:hint="eastAsia"/>
              </w:rPr>
              <w:t>草甘·三氯吡</w:t>
            </w:r>
          </w:p>
        </w:tc>
      </w:tr>
      <w:tr w14:paraId="075BC142">
        <w:tblPrEx>
          <w:tblCellMar>
            <w:top w:w="0" w:type="dxa"/>
            <w:left w:w="0" w:type="dxa"/>
            <w:bottom w:w="0" w:type="dxa"/>
            <w:right w:w="0" w:type="dxa"/>
          </w:tblCellMar>
        </w:tblPrEx>
        <w:trPr>
          <w:wBefore w:w="0" w:type="auto"/>
          <w:tblCellSpacing w:w="0" w:type="dxa"/>
        </w:trPr>
        <w:tc>
          <w:tcPr>
            <w:tcW w:w="0" w:type="auto"/>
            <w:noWrap w:val="0"/>
            <w:vAlign w:val="center"/>
          </w:tcPr>
          <w:p w14:paraId="51F6A6FE">
            <w:r>
              <w:rPr>
                <w:rStyle w:val="10"/>
                <w:rFonts w:hint="eastAsia"/>
              </w:rPr>
              <w:t>剂型：</w:t>
            </w:r>
            <w:r>
              <w:rPr>
                <w:rFonts w:hint="eastAsia"/>
              </w:rPr>
              <w:t>可溶液剂</w:t>
            </w:r>
          </w:p>
        </w:tc>
      </w:tr>
      <w:tr w14:paraId="5CC75A71">
        <w:tblPrEx>
          <w:tblCellMar>
            <w:top w:w="0" w:type="dxa"/>
            <w:left w:w="0" w:type="dxa"/>
            <w:bottom w:w="0" w:type="dxa"/>
            <w:right w:w="0" w:type="dxa"/>
          </w:tblCellMar>
        </w:tblPrEx>
        <w:trPr>
          <w:wBefore w:w="0" w:type="auto"/>
          <w:tblCellSpacing w:w="0" w:type="dxa"/>
        </w:trPr>
        <w:tc>
          <w:tcPr>
            <w:tcW w:w="0" w:type="auto"/>
            <w:noWrap w:val="0"/>
            <w:vAlign w:val="center"/>
          </w:tcPr>
          <w:p w14:paraId="23750954">
            <w:r>
              <w:rPr>
                <w:rStyle w:val="10"/>
                <w:rFonts w:hint="eastAsia"/>
              </w:rPr>
              <w:t>毒性及其标识：</w:t>
            </w:r>
            <w:r>
              <w:rPr>
                <w:rFonts w:hint="eastAsia"/>
              </w:rPr>
              <w:t xml:space="preserve"> </w:t>
            </w:r>
            <w:r>
              <w:rPr>
                <w:lang/>
              </w:rPr>
              <w:drawing>
                <wp:inline distT="0" distB="0" distL="114300" distR="114300">
                  <wp:extent cx="476250" cy="323850"/>
                  <wp:effectExtent l="0" t="0" r="0" b="0"/>
                  <wp:docPr id="310" name="图片 31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F76BA39">
        <w:tblPrEx>
          <w:tblCellMar>
            <w:top w:w="0" w:type="dxa"/>
            <w:left w:w="0" w:type="dxa"/>
            <w:bottom w:w="0" w:type="dxa"/>
            <w:right w:w="0" w:type="dxa"/>
          </w:tblCellMar>
        </w:tblPrEx>
        <w:trPr>
          <w:wBefore w:w="0" w:type="auto"/>
          <w:tblCellSpacing w:w="0" w:type="dxa"/>
        </w:trPr>
        <w:tc>
          <w:tcPr>
            <w:tcW w:w="0" w:type="auto"/>
            <w:noWrap w:val="0"/>
            <w:vAlign w:val="center"/>
          </w:tcPr>
          <w:p w14:paraId="07B9601A">
            <w:r>
              <w:rPr>
                <w:rStyle w:val="10"/>
                <w:rFonts w:hint="eastAsia"/>
              </w:rPr>
              <w:t>总有效成分含量：</w:t>
            </w:r>
            <w:r>
              <w:rPr>
                <w:rFonts w:hint="eastAsia"/>
              </w:rPr>
              <w:t>37%</w:t>
            </w:r>
          </w:p>
        </w:tc>
      </w:tr>
      <w:tr w14:paraId="6DD8D258">
        <w:tblPrEx>
          <w:tblCellMar>
            <w:top w:w="0" w:type="dxa"/>
            <w:left w:w="0" w:type="dxa"/>
            <w:bottom w:w="0" w:type="dxa"/>
            <w:right w:w="0" w:type="dxa"/>
          </w:tblCellMar>
        </w:tblPrEx>
        <w:trPr>
          <w:wBefore w:w="0" w:type="auto"/>
          <w:tblCellSpacing w:w="0" w:type="dxa"/>
        </w:trPr>
        <w:tc>
          <w:tcPr>
            <w:tcW w:w="0" w:type="auto"/>
            <w:noWrap w:val="0"/>
            <w:vAlign w:val="center"/>
          </w:tcPr>
          <w:p w14:paraId="46704D2F">
            <w:r>
              <w:rPr>
                <w:rFonts w:hint="eastAsia"/>
              </w:rPr>
              <w:t xml:space="preserve">有效成分及其含量： </w:t>
            </w:r>
          </w:p>
          <w:p w14:paraId="1E5A48AF">
            <w:r>
              <w:rPr>
                <w:rFonts w:hint="eastAsia"/>
              </w:rPr>
              <w:t xml:space="preserve">    草甘膦30%    三氯吡氧乙酸7%    </w:t>
            </w:r>
          </w:p>
        </w:tc>
      </w:tr>
      <w:tr w14:paraId="382F529A">
        <w:tblPrEx>
          <w:tblCellMar>
            <w:top w:w="0" w:type="dxa"/>
            <w:left w:w="0" w:type="dxa"/>
            <w:bottom w:w="0" w:type="dxa"/>
            <w:right w:w="0" w:type="dxa"/>
          </w:tblCellMar>
        </w:tblPrEx>
        <w:trPr>
          <w:wBefore w:w="0" w:type="auto"/>
          <w:tblCellSpacing w:w="0" w:type="dxa"/>
        </w:trPr>
        <w:tc>
          <w:tcPr>
            <w:tcW w:w="0" w:type="auto"/>
            <w:noWrap w:val="0"/>
            <w:vAlign w:val="center"/>
          </w:tcPr>
          <w:p w14:paraId="33E5A7D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B2D4C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DC2077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D6067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CC2D1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D3FF751">
                  <w:r>
                    <w:rPr>
                      <w:rStyle w:val="11"/>
                      <w:rFonts w:hint="eastAsia"/>
                    </w:rPr>
                    <w:t>施用方式</w:t>
                  </w:r>
                </w:p>
              </w:tc>
            </w:tr>
            <w:tr w14:paraId="25E6CBE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69559F9">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180C03">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43676E">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532662">
                  <w:r>
                    <w:rPr>
                      <w:rStyle w:val="11"/>
                      <w:rFonts w:hint="eastAsia"/>
                    </w:rPr>
                    <w:t>茎叶喷雾</w:t>
                  </w:r>
                </w:p>
              </w:tc>
            </w:tr>
          </w:tbl>
          <w:p w14:paraId="09698879">
            <w:pPr>
              <w:rPr>
                <w:rFonts w:ascii="Times New Roman" w:hAnsi="Times New Roman" w:cs="Times New Roman"/>
                <w:sz w:val="20"/>
                <w:szCs w:val="20"/>
              </w:rPr>
            </w:pPr>
          </w:p>
        </w:tc>
      </w:tr>
      <w:tr w14:paraId="14DE4E80">
        <w:tblPrEx>
          <w:tblCellMar>
            <w:top w:w="0" w:type="dxa"/>
            <w:left w:w="0" w:type="dxa"/>
            <w:bottom w:w="0" w:type="dxa"/>
            <w:right w:w="0" w:type="dxa"/>
          </w:tblCellMar>
        </w:tblPrEx>
        <w:trPr>
          <w:wBefore w:w="0" w:type="auto"/>
          <w:tblCellSpacing w:w="0" w:type="dxa"/>
        </w:trPr>
        <w:tc>
          <w:tcPr>
            <w:tcW w:w="0" w:type="auto"/>
            <w:noWrap w:val="0"/>
            <w:vAlign w:val="center"/>
          </w:tcPr>
          <w:p w14:paraId="26D5026F">
            <w:r>
              <w:rPr>
                <w:rStyle w:val="10"/>
                <w:rFonts w:hint="eastAsia"/>
              </w:rPr>
              <w:t>使用技术要求:</w:t>
            </w:r>
            <w:r>
              <w:rPr>
                <w:rFonts w:hint="eastAsia"/>
              </w:rPr>
              <w:br w:type="textWrapping"/>
            </w:r>
            <w:r>
              <w:rPr>
                <w:rStyle w:val="11"/>
                <w:rFonts w:hint="eastAsia"/>
              </w:rPr>
              <w:t>1、本品应于非耕地杂草生长旺盛期茎叶喷雾使用； 2、大风天或预计4小时内降雨，请勿施药。</w:t>
            </w:r>
          </w:p>
        </w:tc>
      </w:tr>
      <w:tr w14:paraId="282A60FB">
        <w:tblPrEx>
          <w:tblCellMar>
            <w:top w:w="0" w:type="dxa"/>
            <w:left w:w="0" w:type="dxa"/>
            <w:bottom w:w="0" w:type="dxa"/>
            <w:right w:w="0" w:type="dxa"/>
          </w:tblCellMar>
        </w:tblPrEx>
        <w:trPr>
          <w:wBefore w:w="0" w:type="auto"/>
          <w:tblCellSpacing w:w="0" w:type="dxa"/>
        </w:trPr>
        <w:tc>
          <w:tcPr>
            <w:tcW w:w="0" w:type="auto"/>
            <w:noWrap w:val="0"/>
            <w:vAlign w:val="center"/>
          </w:tcPr>
          <w:p w14:paraId="25CE03CE">
            <w:r>
              <w:rPr>
                <w:rStyle w:val="10"/>
                <w:rFonts w:hint="eastAsia"/>
              </w:rPr>
              <w:t>产品性能:</w:t>
            </w:r>
            <w:r>
              <w:rPr>
                <w:rFonts w:hint="eastAsia"/>
              </w:rPr>
              <w:br w:type="textWrapping"/>
            </w:r>
            <w:r>
              <w:rPr>
                <w:rStyle w:val="11"/>
                <w:rFonts w:hint="eastAsia"/>
              </w:rPr>
              <w:t>本品是内吸灭生性除草剂，对非耕地杂草均有较好防效。</w:t>
            </w:r>
          </w:p>
        </w:tc>
      </w:tr>
      <w:tr w14:paraId="230A7BCC">
        <w:tblPrEx>
          <w:tblCellMar>
            <w:top w:w="0" w:type="dxa"/>
            <w:left w:w="0" w:type="dxa"/>
            <w:bottom w:w="0" w:type="dxa"/>
            <w:right w:w="0" w:type="dxa"/>
          </w:tblCellMar>
        </w:tblPrEx>
        <w:trPr>
          <w:wBefore w:w="0" w:type="auto"/>
          <w:tblCellSpacing w:w="0" w:type="dxa"/>
        </w:trPr>
        <w:tc>
          <w:tcPr>
            <w:tcW w:w="0" w:type="auto"/>
            <w:noWrap w:val="0"/>
            <w:vAlign w:val="center"/>
          </w:tcPr>
          <w:p w14:paraId="26D5BB6E">
            <w:r>
              <w:rPr>
                <w:rStyle w:val="10"/>
                <w:rFonts w:hint="eastAsia"/>
              </w:rPr>
              <w:t>注意事项：</w:t>
            </w:r>
            <w:r>
              <w:rPr>
                <w:rFonts w:hint="eastAsia"/>
              </w:rPr>
              <w:br w:type="textWrapping"/>
            </w:r>
            <w:r>
              <w:rPr>
                <w:rStyle w:val="11"/>
                <w:rFonts w:hint="eastAsia"/>
              </w:rPr>
              <w:t>1、本品为灭生性除草剂，施药时应严防雾滴飘移到果木和邻近作物田。施药后5天内勿割草、放牧、翻地等。2、配药和施药时，应穿好防护报、戴防护手套和面罩或眼镜；施药期间，不可进食和饮水；施药后，及时清洗手、脸等暴露部位，并更换衣物。同时尽量避免药液接触皮肤、眼睛和污染衣物，避免吸入雾滴。3、药液用清水稀释，不得使用污水、混浊水，以免影响药效。4、远离水产养殖区施药，禁止在河塘等水体中清洗施药器具。用过的容器应妥善处理，不可做他用，也不可随意丢弃。5、本品对水生生物有毒，远离水产养殖区、河塘等水域施药，严禁在水产养殖区使用，禁止在河塘等水体中清洗施药器具。6、避免孕妇或哺乳期妇女接触本品。7.该产品为易燃液体，且与中等氧化剂高锰酸钾具有化学不相容性。</w:t>
            </w:r>
          </w:p>
        </w:tc>
      </w:tr>
      <w:tr w14:paraId="036A5F15">
        <w:tblPrEx>
          <w:tblCellMar>
            <w:top w:w="0" w:type="dxa"/>
            <w:left w:w="0" w:type="dxa"/>
            <w:bottom w:w="0" w:type="dxa"/>
            <w:right w:w="0" w:type="dxa"/>
          </w:tblCellMar>
        </w:tblPrEx>
        <w:trPr>
          <w:wBefore w:w="0" w:type="auto"/>
          <w:tblCellSpacing w:w="0" w:type="dxa"/>
        </w:trPr>
        <w:tc>
          <w:tcPr>
            <w:tcW w:w="0" w:type="auto"/>
            <w:noWrap w:val="0"/>
            <w:vAlign w:val="center"/>
          </w:tcPr>
          <w:p w14:paraId="2DE1EDE5">
            <w:r>
              <w:rPr>
                <w:rStyle w:val="10"/>
                <w:rFonts w:hint="eastAsia"/>
              </w:rPr>
              <w:t>中毒急救措施：</w:t>
            </w:r>
            <w:r>
              <w:rPr>
                <w:rFonts w:hint="eastAsia"/>
              </w:rPr>
              <w:br w:type="textWrapping"/>
            </w:r>
            <w:r>
              <w:rPr>
                <w:rStyle w:val="11"/>
                <w:rFonts w:hint="eastAsia"/>
              </w:rPr>
              <w:t>中毒症状：本品对眼睛和皮肤有刺激作用。不慎误服：用清水将嘴清洗干净，不要自行引吐，携此标签送医诊治。医生洗胃时，应注意保护气管和食管；不慎吸入：应将病人移至空气流通处；不慎眼睛溅入或接触皮肤：用大量清水冲洗至少15分钟。</w:t>
            </w:r>
          </w:p>
        </w:tc>
      </w:tr>
      <w:tr w14:paraId="460C981E">
        <w:tblPrEx>
          <w:tblCellMar>
            <w:top w:w="0" w:type="dxa"/>
            <w:left w:w="0" w:type="dxa"/>
            <w:bottom w:w="0" w:type="dxa"/>
            <w:right w:w="0" w:type="dxa"/>
          </w:tblCellMar>
        </w:tblPrEx>
        <w:trPr>
          <w:wBefore w:w="0" w:type="auto"/>
          <w:tblCellSpacing w:w="0" w:type="dxa"/>
        </w:trPr>
        <w:tc>
          <w:tcPr>
            <w:tcW w:w="0" w:type="auto"/>
            <w:noWrap w:val="0"/>
            <w:vAlign w:val="center"/>
          </w:tcPr>
          <w:p w14:paraId="7C0E6CE8">
            <w:r>
              <w:rPr>
                <w:rStyle w:val="10"/>
                <w:rFonts w:hint="eastAsia"/>
              </w:rPr>
              <w:t>储存和运输方法：</w:t>
            </w:r>
            <w:r>
              <w:rPr>
                <w:rFonts w:hint="eastAsia"/>
              </w:rPr>
              <w:br w:type="textWrapping"/>
            </w:r>
            <w:r>
              <w:rPr>
                <w:rStyle w:val="11"/>
                <w:rFonts w:hint="eastAsia"/>
              </w:rPr>
              <w:t>1、本品应加锁保存，勿让儿童、无关人员和动物接触。勿与食物、饮料、动物饲料等放在一起。贮存和运输。 2、本品应贮藏在避光、干燥、通风处。远离火源或热源。3、运输时应注意避光，防高温和雨淋。</w:t>
            </w:r>
          </w:p>
        </w:tc>
      </w:tr>
      <w:tr w14:paraId="29ACD429">
        <w:tblPrEx>
          <w:tblCellMar>
            <w:top w:w="0" w:type="dxa"/>
            <w:left w:w="0" w:type="dxa"/>
            <w:bottom w:w="0" w:type="dxa"/>
            <w:right w:w="0" w:type="dxa"/>
          </w:tblCellMar>
        </w:tblPrEx>
        <w:trPr>
          <w:wBefore w:w="0" w:type="auto"/>
          <w:tblCellSpacing w:w="0" w:type="dxa"/>
        </w:trPr>
        <w:tc>
          <w:tcPr>
            <w:tcW w:w="0" w:type="auto"/>
            <w:noWrap w:val="0"/>
            <w:vAlign w:val="center"/>
          </w:tcPr>
          <w:p w14:paraId="7D0B6A92">
            <w:r>
              <w:rPr>
                <w:rStyle w:val="10"/>
                <w:rFonts w:hint="eastAsia"/>
              </w:rPr>
              <w:t>质量保证期：</w:t>
            </w:r>
            <w:r>
              <w:rPr>
                <w:rStyle w:val="11"/>
                <w:rFonts w:hint="eastAsia"/>
              </w:rPr>
              <w:t>2年</w:t>
            </w:r>
          </w:p>
        </w:tc>
      </w:tr>
      <w:tr w14:paraId="7FD8E99D">
        <w:tblPrEx>
          <w:tblCellMar>
            <w:top w:w="0" w:type="dxa"/>
            <w:left w:w="0" w:type="dxa"/>
            <w:bottom w:w="0" w:type="dxa"/>
            <w:right w:w="0" w:type="dxa"/>
          </w:tblCellMar>
        </w:tblPrEx>
        <w:trPr>
          <w:wBefore w:w="0" w:type="auto"/>
          <w:tblCellSpacing w:w="0" w:type="dxa"/>
        </w:trPr>
        <w:tc>
          <w:tcPr>
            <w:tcW w:w="0" w:type="auto"/>
            <w:noWrap w:val="0"/>
            <w:vAlign w:val="center"/>
          </w:tcPr>
          <w:p w14:paraId="1D92EDFF">
            <w:r>
              <w:rPr>
                <w:rStyle w:val="10"/>
                <w:rFonts w:hint="eastAsia"/>
              </w:rPr>
              <w:t>备注：</w:t>
            </w:r>
            <w:r>
              <w:rPr>
                <w:rFonts w:hint="eastAsia"/>
              </w:rPr>
              <w:br w:type="textWrapping"/>
            </w:r>
            <w:r>
              <w:rPr>
                <w:rStyle w:val="11"/>
                <w:rFonts w:hint="eastAsia"/>
              </w:rPr>
              <w:t>草甘膦三乙铵盐48%，三氯吡氧乙酸三乙胺盐9.8%。</w:t>
            </w:r>
          </w:p>
        </w:tc>
      </w:tr>
    </w:tbl>
    <w:p w14:paraId="4AB0E0C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466421">
        <w:tblPrEx>
          <w:tblCellMar>
            <w:top w:w="0" w:type="dxa"/>
            <w:left w:w="0" w:type="dxa"/>
            <w:bottom w:w="0" w:type="dxa"/>
            <w:right w:w="0" w:type="dxa"/>
          </w:tblCellMar>
        </w:tblPrEx>
        <w:trPr>
          <w:wBefore w:w="0" w:type="auto"/>
          <w:tblCellSpacing w:w="0" w:type="dxa"/>
        </w:trPr>
        <w:tc>
          <w:tcPr>
            <w:tcW w:w="0" w:type="auto"/>
            <w:noWrap w:val="0"/>
            <w:vAlign w:val="center"/>
          </w:tcPr>
          <w:p w14:paraId="4C5D3A5E">
            <w:r>
              <w:rPr>
                <w:rStyle w:val="10"/>
                <w:rFonts w:hint="eastAsia"/>
              </w:rPr>
              <w:t>登记证号：</w:t>
            </w:r>
            <w:r>
              <w:rPr>
                <w:rFonts w:hint="eastAsia"/>
              </w:rPr>
              <w:t>PD20211966</w:t>
            </w:r>
          </w:p>
        </w:tc>
      </w:tr>
      <w:tr w14:paraId="09B7E539">
        <w:tblPrEx>
          <w:tblCellMar>
            <w:top w:w="0" w:type="dxa"/>
            <w:left w:w="0" w:type="dxa"/>
            <w:bottom w:w="0" w:type="dxa"/>
            <w:right w:w="0" w:type="dxa"/>
          </w:tblCellMar>
        </w:tblPrEx>
        <w:trPr>
          <w:wBefore w:w="0" w:type="auto"/>
          <w:tblCellSpacing w:w="0" w:type="dxa"/>
        </w:trPr>
        <w:tc>
          <w:tcPr>
            <w:tcW w:w="0" w:type="auto"/>
            <w:noWrap w:val="0"/>
            <w:vAlign w:val="center"/>
          </w:tcPr>
          <w:p w14:paraId="30799339">
            <w:r>
              <w:rPr>
                <w:rStyle w:val="10"/>
                <w:rFonts w:hint="eastAsia"/>
              </w:rPr>
              <w:t>登记证持有人：</w:t>
            </w:r>
            <w:r>
              <w:rPr>
                <w:rFonts w:hint="eastAsia"/>
              </w:rPr>
              <w:t>青岛恒丰作物科学有限公司</w:t>
            </w:r>
          </w:p>
        </w:tc>
      </w:tr>
      <w:tr w14:paraId="1B916601">
        <w:tblPrEx>
          <w:tblCellMar>
            <w:top w:w="0" w:type="dxa"/>
            <w:left w:w="0" w:type="dxa"/>
            <w:bottom w:w="0" w:type="dxa"/>
            <w:right w:w="0" w:type="dxa"/>
          </w:tblCellMar>
        </w:tblPrEx>
        <w:trPr>
          <w:wBefore w:w="0" w:type="auto"/>
          <w:tblCellSpacing w:w="0" w:type="dxa"/>
        </w:trPr>
        <w:tc>
          <w:tcPr>
            <w:tcW w:w="0" w:type="auto"/>
            <w:noWrap w:val="0"/>
            <w:vAlign w:val="center"/>
          </w:tcPr>
          <w:p w14:paraId="05696480">
            <w:r>
              <w:rPr>
                <w:rStyle w:val="10"/>
                <w:rFonts w:hint="eastAsia"/>
              </w:rPr>
              <w:t>农药名称：</w:t>
            </w:r>
            <w:r>
              <w:rPr>
                <w:rFonts w:hint="eastAsia"/>
              </w:rPr>
              <w:t>王铜</w:t>
            </w:r>
          </w:p>
        </w:tc>
      </w:tr>
      <w:tr w14:paraId="59975A04">
        <w:tblPrEx>
          <w:tblCellMar>
            <w:top w:w="0" w:type="dxa"/>
            <w:left w:w="0" w:type="dxa"/>
            <w:bottom w:w="0" w:type="dxa"/>
            <w:right w:w="0" w:type="dxa"/>
          </w:tblCellMar>
        </w:tblPrEx>
        <w:trPr>
          <w:wBefore w:w="0" w:type="auto"/>
          <w:tblCellSpacing w:w="0" w:type="dxa"/>
        </w:trPr>
        <w:tc>
          <w:tcPr>
            <w:tcW w:w="0" w:type="auto"/>
            <w:noWrap w:val="0"/>
            <w:vAlign w:val="center"/>
          </w:tcPr>
          <w:p w14:paraId="69174DB8">
            <w:r>
              <w:rPr>
                <w:rStyle w:val="10"/>
                <w:rFonts w:hint="eastAsia"/>
              </w:rPr>
              <w:t>剂型：</w:t>
            </w:r>
            <w:r>
              <w:rPr>
                <w:rFonts w:hint="eastAsia"/>
              </w:rPr>
              <w:t>悬浮剂</w:t>
            </w:r>
          </w:p>
        </w:tc>
      </w:tr>
      <w:tr w14:paraId="78D12B88">
        <w:tblPrEx>
          <w:tblCellMar>
            <w:top w:w="0" w:type="dxa"/>
            <w:left w:w="0" w:type="dxa"/>
            <w:bottom w:w="0" w:type="dxa"/>
            <w:right w:w="0" w:type="dxa"/>
          </w:tblCellMar>
        </w:tblPrEx>
        <w:trPr>
          <w:wBefore w:w="0" w:type="auto"/>
          <w:tblCellSpacing w:w="0" w:type="dxa"/>
        </w:trPr>
        <w:tc>
          <w:tcPr>
            <w:tcW w:w="0" w:type="auto"/>
            <w:noWrap w:val="0"/>
            <w:vAlign w:val="center"/>
          </w:tcPr>
          <w:p w14:paraId="27039939">
            <w:r>
              <w:rPr>
                <w:rStyle w:val="10"/>
                <w:rFonts w:hint="eastAsia"/>
              </w:rPr>
              <w:t>毒性及其标识：</w:t>
            </w:r>
            <w:r>
              <w:rPr>
                <w:rFonts w:hint="eastAsia"/>
              </w:rPr>
              <w:t xml:space="preserve"> </w:t>
            </w:r>
            <w:r>
              <w:rPr>
                <w:lang/>
              </w:rPr>
              <w:drawing>
                <wp:inline distT="0" distB="0" distL="114300" distR="114300">
                  <wp:extent cx="476250" cy="323850"/>
                  <wp:effectExtent l="0" t="0" r="0" b="0"/>
                  <wp:docPr id="311" name="图片 31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962F79">
        <w:tblPrEx>
          <w:tblCellMar>
            <w:top w:w="0" w:type="dxa"/>
            <w:left w:w="0" w:type="dxa"/>
            <w:bottom w:w="0" w:type="dxa"/>
            <w:right w:w="0" w:type="dxa"/>
          </w:tblCellMar>
        </w:tblPrEx>
        <w:trPr>
          <w:wBefore w:w="0" w:type="auto"/>
          <w:tblCellSpacing w:w="0" w:type="dxa"/>
        </w:trPr>
        <w:tc>
          <w:tcPr>
            <w:tcW w:w="0" w:type="auto"/>
            <w:noWrap w:val="0"/>
            <w:vAlign w:val="center"/>
          </w:tcPr>
          <w:p w14:paraId="5EBCCF96">
            <w:r>
              <w:rPr>
                <w:rStyle w:val="10"/>
                <w:rFonts w:hint="eastAsia"/>
              </w:rPr>
              <w:t>总有效成分含量：</w:t>
            </w:r>
            <w:r>
              <w:rPr>
                <w:rFonts w:hint="eastAsia"/>
              </w:rPr>
              <w:t>700克/升</w:t>
            </w:r>
          </w:p>
        </w:tc>
      </w:tr>
      <w:tr w14:paraId="7A545C19">
        <w:tblPrEx>
          <w:tblCellMar>
            <w:top w:w="0" w:type="dxa"/>
            <w:left w:w="0" w:type="dxa"/>
            <w:bottom w:w="0" w:type="dxa"/>
            <w:right w:w="0" w:type="dxa"/>
          </w:tblCellMar>
        </w:tblPrEx>
        <w:trPr>
          <w:wBefore w:w="0" w:type="auto"/>
          <w:tblCellSpacing w:w="0" w:type="dxa"/>
        </w:trPr>
        <w:tc>
          <w:tcPr>
            <w:tcW w:w="0" w:type="auto"/>
            <w:noWrap w:val="0"/>
            <w:vAlign w:val="center"/>
          </w:tcPr>
          <w:p w14:paraId="3BCC9D19">
            <w:r>
              <w:rPr>
                <w:rFonts w:hint="eastAsia"/>
              </w:rPr>
              <w:t xml:space="preserve">有效成分及其含量： </w:t>
            </w:r>
          </w:p>
          <w:p w14:paraId="6EA48C72">
            <w:r>
              <w:rPr>
                <w:rFonts w:hint="eastAsia"/>
              </w:rPr>
              <w:t xml:space="preserve">    王铜700克/升    </w:t>
            </w:r>
          </w:p>
        </w:tc>
      </w:tr>
      <w:tr w14:paraId="77630FC4">
        <w:tblPrEx>
          <w:tblCellMar>
            <w:top w:w="0" w:type="dxa"/>
            <w:left w:w="0" w:type="dxa"/>
            <w:bottom w:w="0" w:type="dxa"/>
            <w:right w:w="0" w:type="dxa"/>
          </w:tblCellMar>
        </w:tblPrEx>
        <w:trPr>
          <w:wBefore w:w="0" w:type="auto"/>
          <w:tblCellSpacing w:w="0" w:type="dxa"/>
        </w:trPr>
        <w:tc>
          <w:tcPr>
            <w:tcW w:w="0" w:type="auto"/>
            <w:noWrap w:val="0"/>
            <w:vAlign w:val="center"/>
          </w:tcPr>
          <w:p w14:paraId="4A6BA90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0D04B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577707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0C2A25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884311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0B6C292">
                  <w:r>
                    <w:rPr>
                      <w:rStyle w:val="11"/>
                      <w:rFonts w:hint="eastAsia"/>
                    </w:rPr>
                    <w:t>施用方式</w:t>
                  </w:r>
                </w:p>
              </w:tc>
            </w:tr>
            <w:tr w14:paraId="19F3B1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9847D70">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95BBD3">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51A71E">
                  <w:r>
                    <w:rPr>
                      <w:rStyle w:val="11"/>
                      <w:rFonts w:hint="eastAsia"/>
                    </w:rPr>
                    <w:t>900-1200倍液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F0E3AA">
                  <w:r>
                    <w:rPr>
                      <w:rStyle w:val="11"/>
                      <w:rFonts w:hint="eastAsia"/>
                    </w:rPr>
                    <w:t>喷雾</w:t>
                  </w:r>
                </w:p>
              </w:tc>
            </w:tr>
          </w:tbl>
          <w:p w14:paraId="6FC97166">
            <w:pPr>
              <w:rPr>
                <w:rFonts w:ascii="Times New Roman" w:hAnsi="Times New Roman" w:cs="Times New Roman"/>
                <w:sz w:val="20"/>
                <w:szCs w:val="20"/>
              </w:rPr>
            </w:pPr>
          </w:p>
        </w:tc>
      </w:tr>
      <w:tr w14:paraId="71E24FA1">
        <w:tblPrEx>
          <w:tblCellMar>
            <w:top w:w="0" w:type="dxa"/>
            <w:left w:w="0" w:type="dxa"/>
            <w:bottom w:w="0" w:type="dxa"/>
            <w:right w:w="0" w:type="dxa"/>
          </w:tblCellMar>
        </w:tblPrEx>
        <w:trPr>
          <w:wBefore w:w="0" w:type="auto"/>
          <w:tblCellSpacing w:w="0" w:type="dxa"/>
        </w:trPr>
        <w:tc>
          <w:tcPr>
            <w:tcW w:w="0" w:type="auto"/>
            <w:noWrap w:val="0"/>
            <w:vAlign w:val="center"/>
          </w:tcPr>
          <w:p w14:paraId="0B4B8B46">
            <w:r>
              <w:rPr>
                <w:rStyle w:val="10"/>
                <w:rFonts w:hint="eastAsia"/>
              </w:rPr>
              <w:t>使用技术要求:</w:t>
            </w:r>
            <w:r>
              <w:rPr>
                <w:rFonts w:hint="eastAsia"/>
              </w:rPr>
              <w:br w:type="textWrapping"/>
            </w:r>
            <w:r>
              <w:rPr>
                <w:rStyle w:val="11"/>
                <w:rFonts w:hint="eastAsia"/>
              </w:rPr>
              <w:t>1. 于柑橘溃疡病发病前或发病初期开始喷雾施药，视病情发展情况，间隔7-10天再次施药，连续3次。均匀喷雾。 2. 喷药时注意叶片正、反面及果实喷洒均匀，避免漏喷。 3. 避免在暑天中午高温烈日下操作，喷药后24小时内遇大雨需补喷。 4. 大风天或预计1小时几降雨，请勿施药。 5. 不能在高温条件下或叶片有水珠条件下施用，否则易出现药害。</w:t>
            </w:r>
          </w:p>
        </w:tc>
      </w:tr>
      <w:tr w14:paraId="2BA81BB2">
        <w:tblPrEx>
          <w:tblCellMar>
            <w:top w:w="0" w:type="dxa"/>
            <w:left w:w="0" w:type="dxa"/>
            <w:bottom w:w="0" w:type="dxa"/>
            <w:right w:w="0" w:type="dxa"/>
          </w:tblCellMar>
        </w:tblPrEx>
        <w:trPr>
          <w:wBefore w:w="0" w:type="auto"/>
          <w:tblCellSpacing w:w="0" w:type="dxa"/>
        </w:trPr>
        <w:tc>
          <w:tcPr>
            <w:tcW w:w="0" w:type="auto"/>
            <w:noWrap w:val="0"/>
            <w:vAlign w:val="center"/>
          </w:tcPr>
          <w:p w14:paraId="480FF460">
            <w:r>
              <w:rPr>
                <w:rStyle w:val="10"/>
                <w:rFonts w:hint="eastAsia"/>
              </w:rPr>
              <w:t>产品性能:</w:t>
            </w:r>
            <w:r>
              <w:rPr>
                <w:rFonts w:hint="eastAsia"/>
              </w:rPr>
              <w:br w:type="textWrapping"/>
            </w:r>
            <w:r>
              <w:rPr>
                <w:rStyle w:val="11"/>
                <w:rFonts w:hint="eastAsia"/>
              </w:rPr>
              <w:t>本品为无机铜类保护性杀菌剂，喷雾在作物上能粘复在作物表面形成一层保护膜，能有效防止病原细菌和真菌侵入，起到防病作用。 用于防治柑橘溃疡病菌有较好的防治效果。</w:t>
            </w:r>
          </w:p>
        </w:tc>
      </w:tr>
      <w:tr w14:paraId="085E5A25">
        <w:tblPrEx>
          <w:tblCellMar>
            <w:top w:w="0" w:type="dxa"/>
            <w:left w:w="0" w:type="dxa"/>
            <w:bottom w:w="0" w:type="dxa"/>
            <w:right w:w="0" w:type="dxa"/>
          </w:tblCellMar>
        </w:tblPrEx>
        <w:trPr>
          <w:wBefore w:w="0" w:type="auto"/>
          <w:tblCellSpacing w:w="0" w:type="dxa"/>
        </w:trPr>
        <w:tc>
          <w:tcPr>
            <w:tcW w:w="0" w:type="auto"/>
            <w:noWrap w:val="0"/>
            <w:vAlign w:val="center"/>
          </w:tcPr>
          <w:p w14:paraId="4BA5673C">
            <w:r>
              <w:rPr>
                <w:rStyle w:val="10"/>
                <w:rFonts w:hint="eastAsia"/>
              </w:rPr>
              <w:t>注意事项：</w:t>
            </w:r>
            <w:r>
              <w:rPr>
                <w:rFonts w:hint="eastAsia"/>
              </w:rPr>
              <w:br w:type="textWrapping"/>
            </w:r>
            <w:r>
              <w:rPr>
                <w:rStyle w:val="11"/>
                <w:rFonts w:hint="eastAsia"/>
              </w:rPr>
              <w:t>1.须按照规定的使用量进行施药，不可任意提高使用量。 2. 该产品对眼睛和皮肤有强烈刺激性，需加强对眼睛和皮肤的保护。 使用时避免接触眼睛，穿戴长衣、长裤、帽子、口罩、手套等防护措施。使用中不可吸烟、饮水及吃东西；使用后及时清洗手、脸等暴露部位皮肤并更换衣物。 3. 禁止在河塘等水体中清洗施药器具；远离水产养殖区、河塘等水体施药；（周围）开花植物花期禁用，使用时应密切关注对附近蜂群的影响；蚕室及桑园附近禁用；鸟类保护区禁用。4. 避免与氧化剂接触。 5.放置时间较长，可能出现沉淀，但不会失效，经手摇动，即恢复原状。建议与其它作用机制不同的杀菌剂轮换使用。 6.用过容器要妥善处理，不可做他用，也不可随意丢弃。7.孕妇及哺乳期妇女禁止接触。</w:t>
            </w:r>
          </w:p>
        </w:tc>
      </w:tr>
      <w:tr w14:paraId="18844B3A">
        <w:tblPrEx>
          <w:tblCellMar>
            <w:top w:w="0" w:type="dxa"/>
            <w:left w:w="0" w:type="dxa"/>
            <w:bottom w:w="0" w:type="dxa"/>
            <w:right w:w="0" w:type="dxa"/>
          </w:tblCellMar>
        </w:tblPrEx>
        <w:trPr>
          <w:wBefore w:w="0" w:type="auto"/>
          <w:tblCellSpacing w:w="0" w:type="dxa"/>
        </w:trPr>
        <w:tc>
          <w:tcPr>
            <w:tcW w:w="0" w:type="auto"/>
            <w:noWrap w:val="0"/>
            <w:vAlign w:val="center"/>
          </w:tcPr>
          <w:p w14:paraId="3E667D6B">
            <w:r>
              <w:rPr>
                <w:rStyle w:val="10"/>
                <w:rFonts w:hint="eastAsia"/>
              </w:rPr>
              <w:t>中毒急救措施：</w:t>
            </w:r>
            <w:r>
              <w:rPr>
                <w:rFonts w:hint="eastAsia"/>
              </w:rPr>
              <w:br w:type="textWrapping"/>
            </w:r>
            <w:r>
              <w:rPr>
                <w:rStyle w:val="11"/>
                <w:rFonts w:hint="eastAsia"/>
              </w:rPr>
              <w:t>1.中毒症状表现为误食引起急性中毒，表现为头痛、头晕、乏力、口腔粘膜呈蓝色，口内有金属味，齿龈出血，舌发青，腹泻，腹绞痛，黑大便，重者昏迷、痉挛，血压 下降等。2.经口中毒，立即催吐、洗胃。不慎溅入眼睛中立即用大量清水冲洗，至少15分钟，并就医。 3.解毒剂为依地酸二钠钙，并配合对症治疗。</w:t>
            </w:r>
          </w:p>
        </w:tc>
      </w:tr>
      <w:tr w14:paraId="19F9C826">
        <w:tblPrEx>
          <w:tblCellMar>
            <w:top w:w="0" w:type="dxa"/>
            <w:left w:w="0" w:type="dxa"/>
            <w:bottom w:w="0" w:type="dxa"/>
            <w:right w:w="0" w:type="dxa"/>
          </w:tblCellMar>
        </w:tblPrEx>
        <w:trPr>
          <w:wBefore w:w="0" w:type="auto"/>
          <w:tblCellSpacing w:w="0" w:type="dxa"/>
        </w:trPr>
        <w:tc>
          <w:tcPr>
            <w:tcW w:w="0" w:type="auto"/>
            <w:noWrap w:val="0"/>
            <w:vAlign w:val="center"/>
          </w:tcPr>
          <w:p w14:paraId="2BBFD673">
            <w:r>
              <w:rPr>
                <w:rStyle w:val="10"/>
                <w:rFonts w:hint="eastAsia"/>
              </w:rPr>
              <w:t>储存和运输方法：</w:t>
            </w:r>
            <w:r>
              <w:rPr>
                <w:rFonts w:hint="eastAsia"/>
              </w:rPr>
              <w:br w:type="textWrapping"/>
            </w:r>
            <w:r>
              <w:rPr>
                <w:rStyle w:val="11"/>
                <w:rFonts w:hint="eastAsia"/>
              </w:rPr>
              <w:t>本品应贮存于干燥、阴凉、通风、防雨处。置于儿童、无关人员触及不到之处，并加锁。勿与食品、饮料、饲料、粮食等同贮同运。</w:t>
            </w:r>
          </w:p>
        </w:tc>
      </w:tr>
      <w:tr w14:paraId="56109B4D">
        <w:tblPrEx>
          <w:tblCellMar>
            <w:top w:w="0" w:type="dxa"/>
            <w:left w:w="0" w:type="dxa"/>
            <w:bottom w:w="0" w:type="dxa"/>
            <w:right w:w="0" w:type="dxa"/>
          </w:tblCellMar>
        </w:tblPrEx>
        <w:trPr>
          <w:wBefore w:w="0" w:type="auto"/>
          <w:tblCellSpacing w:w="0" w:type="dxa"/>
        </w:trPr>
        <w:tc>
          <w:tcPr>
            <w:tcW w:w="0" w:type="auto"/>
            <w:noWrap w:val="0"/>
            <w:vAlign w:val="center"/>
          </w:tcPr>
          <w:p w14:paraId="7C50CE6D">
            <w:r>
              <w:rPr>
                <w:rStyle w:val="10"/>
                <w:rFonts w:hint="eastAsia"/>
              </w:rPr>
              <w:t>质量保证期：</w:t>
            </w:r>
            <w:r>
              <w:rPr>
                <w:rStyle w:val="11"/>
                <w:rFonts w:hint="eastAsia"/>
              </w:rPr>
              <w:t>2年</w:t>
            </w:r>
          </w:p>
        </w:tc>
      </w:tr>
      <w:tr w14:paraId="435DA17D">
        <w:tblPrEx>
          <w:tblCellMar>
            <w:top w:w="0" w:type="dxa"/>
            <w:left w:w="0" w:type="dxa"/>
            <w:bottom w:w="0" w:type="dxa"/>
            <w:right w:w="0" w:type="dxa"/>
          </w:tblCellMar>
        </w:tblPrEx>
        <w:trPr>
          <w:wBefore w:w="0" w:type="auto"/>
          <w:tblCellSpacing w:w="0" w:type="dxa"/>
        </w:trPr>
        <w:tc>
          <w:tcPr>
            <w:tcW w:w="0" w:type="auto"/>
            <w:noWrap w:val="0"/>
            <w:vAlign w:val="center"/>
          </w:tcPr>
          <w:p w14:paraId="58D5FAB4">
            <w:r>
              <w:rPr>
                <w:rStyle w:val="10"/>
                <w:rFonts w:hint="eastAsia"/>
              </w:rPr>
              <w:t>备注：</w:t>
            </w:r>
            <w:r>
              <w:rPr>
                <w:rFonts w:hint="eastAsia"/>
              </w:rPr>
              <w:br w:type="textWrapping"/>
            </w:r>
            <w:r>
              <w:rPr>
                <w:rStyle w:val="11"/>
                <w:rFonts w:hint="eastAsia"/>
              </w:rPr>
              <w:t>王铜46%。</w:t>
            </w:r>
          </w:p>
        </w:tc>
      </w:tr>
    </w:tbl>
    <w:p w14:paraId="0EDAC26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579280">
        <w:tblPrEx>
          <w:tblCellMar>
            <w:top w:w="0" w:type="dxa"/>
            <w:left w:w="0" w:type="dxa"/>
            <w:bottom w:w="0" w:type="dxa"/>
            <w:right w:w="0" w:type="dxa"/>
          </w:tblCellMar>
        </w:tblPrEx>
        <w:trPr>
          <w:wBefore w:w="0" w:type="auto"/>
          <w:tblCellSpacing w:w="0" w:type="dxa"/>
        </w:trPr>
        <w:tc>
          <w:tcPr>
            <w:tcW w:w="0" w:type="auto"/>
            <w:noWrap w:val="0"/>
            <w:vAlign w:val="center"/>
          </w:tcPr>
          <w:p w14:paraId="428468BC">
            <w:r>
              <w:rPr>
                <w:rStyle w:val="10"/>
                <w:rFonts w:hint="eastAsia"/>
              </w:rPr>
              <w:t>登记证号：</w:t>
            </w:r>
            <w:r>
              <w:rPr>
                <w:rFonts w:hint="eastAsia"/>
              </w:rPr>
              <w:t>PD20212264</w:t>
            </w:r>
          </w:p>
        </w:tc>
      </w:tr>
      <w:tr w14:paraId="2FA180D5">
        <w:tblPrEx>
          <w:tblCellMar>
            <w:top w:w="0" w:type="dxa"/>
            <w:left w:w="0" w:type="dxa"/>
            <w:bottom w:w="0" w:type="dxa"/>
            <w:right w:w="0" w:type="dxa"/>
          </w:tblCellMar>
        </w:tblPrEx>
        <w:trPr>
          <w:wBefore w:w="0" w:type="auto"/>
          <w:tblCellSpacing w:w="0" w:type="dxa"/>
        </w:trPr>
        <w:tc>
          <w:tcPr>
            <w:tcW w:w="0" w:type="auto"/>
            <w:noWrap w:val="0"/>
            <w:vAlign w:val="center"/>
          </w:tcPr>
          <w:p w14:paraId="7D90CAC6">
            <w:r>
              <w:rPr>
                <w:rStyle w:val="10"/>
                <w:rFonts w:hint="eastAsia"/>
              </w:rPr>
              <w:t>登记证持有人：</w:t>
            </w:r>
            <w:r>
              <w:rPr>
                <w:rFonts w:hint="eastAsia"/>
              </w:rPr>
              <w:t>湖南新长山农业发展股份有限公司</w:t>
            </w:r>
          </w:p>
        </w:tc>
      </w:tr>
      <w:tr w14:paraId="3C0987E3">
        <w:tblPrEx>
          <w:tblCellMar>
            <w:top w:w="0" w:type="dxa"/>
            <w:left w:w="0" w:type="dxa"/>
            <w:bottom w:w="0" w:type="dxa"/>
            <w:right w:w="0" w:type="dxa"/>
          </w:tblCellMar>
        </w:tblPrEx>
        <w:trPr>
          <w:wBefore w:w="0" w:type="auto"/>
          <w:tblCellSpacing w:w="0" w:type="dxa"/>
        </w:trPr>
        <w:tc>
          <w:tcPr>
            <w:tcW w:w="0" w:type="auto"/>
            <w:noWrap w:val="0"/>
            <w:vAlign w:val="center"/>
          </w:tcPr>
          <w:p w14:paraId="18032715">
            <w:r>
              <w:rPr>
                <w:rStyle w:val="10"/>
                <w:rFonts w:hint="eastAsia"/>
              </w:rPr>
              <w:t>农药名称：</w:t>
            </w:r>
            <w:r>
              <w:rPr>
                <w:rFonts w:hint="eastAsia"/>
              </w:rPr>
              <w:t>唑啉草酯</w:t>
            </w:r>
          </w:p>
        </w:tc>
      </w:tr>
      <w:tr w14:paraId="1AC1D368">
        <w:tblPrEx>
          <w:tblCellMar>
            <w:top w:w="0" w:type="dxa"/>
            <w:left w:w="0" w:type="dxa"/>
            <w:bottom w:w="0" w:type="dxa"/>
            <w:right w:w="0" w:type="dxa"/>
          </w:tblCellMar>
        </w:tblPrEx>
        <w:trPr>
          <w:wBefore w:w="0" w:type="auto"/>
          <w:tblCellSpacing w:w="0" w:type="dxa"/>
        </w:trPr>
        <w:tc>
          <w:tcPr>
            <w:tcW w:w="0" w:type="auto"/>
            <w:noWrap w:val="0"/>
            <w:vAlign w:val="center"/>
          </w:tcPr>
          <w:p w14:paraId="59C8DB19">
            <w:r>
              <w:rPr>
                <w:rStyle w:val="10"/>
                <w:rFonts w:hint="eastAsia"/>
              </w:rPr>
              <w:t>剂型：</w:t>
            </w:r>
            <w:r>
              <w:rPr>
                <w:rFonts w:hint="eastAsia"/>
              </w:rPr>
              <w:t>乳油</w:t>
            </w:r>
          </w:p>
        </w:tc>
      </w:tr>
      <w:tr w14:paraId="225C6244">
        <w:tblPrEx>
          <w:tblCellMar>
            <w:top w:w="0" w:type="dxa"/>
            <w:left w:w="0" w:type="dxa"/>
            <w:bottom w:w="0" w:type="dxa"/>
            <w:right w:w="0" w:type="dxa"/>
          </w:tblCellMar>
        </w:tblPrEx>
        <w:trPr>
          <w:wBefore w:w="0" w:type="auto"/>
          <w:tblCellSpacing w:w="0" w:type="dxa"/>
        </w:trPr>
        <w:tc>
          <w:tcPr>
            <w:tcW w:w="0" w:type="auto"/>
            <w:noWrap w:val="0"/>
            <w:vAlign w:val="center"/>
          </w:tcPr>
          <w:p w14:paraId="6FCCA6BF">
            <w:r>
              <w:rPr>
                <w:rStyle w:val="10"/>
                <w:rFonts w:hint="eastAsia"/>
              </w:rPr>
              <w:t>毒性及其标识：</w:t>
            </w:r>
            <w:r>
              <w:rPr>
                <w:rFonts w:hint="eastAsia"/>
              </w:rPr>
              <w:t xml:space="preserve"> </w:t>
            </w:r>
            <w:r>
              <w:rPr>
                <w:lang/>
              </w:rPr>
              <w:drawing>
                <wp:inline distT="0" distB="0" distL="114300" distR="114300">
                  <wp:extent cx="476250" cy="323850"/>
                  <wp:effectExtent l="0" t="0" r="0" b="0"/>
                  <wp:docPr id="312" name="图片 31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5EAA6D1">
        <w:tblPrEx>
          <w:tblCellMar>
            <w:top w:w="0" w:type="dxa"/>
            <w:left w:w="0" w:type="dxa"/>
            <w:bottom w:w="0" w:type="dxa"/>
            <w:right w:w="0" w:type="dxa"/>
          </w:tblCellMar>
        </w:tblPrEx>
        <w:trPr>
          <w:wBefore w:w="0" w:type="auto"/>
          <w:tblCellSpacing w:w="0" w:type="dxa"/>
        </w:trPr>
        <w:tc>
          <w:tcPr>
            <w:tcW w:w="0" w:type="auto"/>
            <w:noWrap w:val="0"/>
            <w:vAlign w:val="center"/>
          </w:tcPr>
          <w:p w14:paraId="7F362233">
            <w:r>
              <w:rPr>
                <w:rStyle w:val="10"/>
                <w:rFonts w:hint="eastAsia"/>
              </w:rPr>
              <w:t>总有效成分含量：</w:t>
            </w:r>
            <w:r>
              <w:rPr>
                <w:rFonts w:hint="eastAsia"/>
              </w:rPr>
              <w:t>5%</w:t>
            </w:r>
          </w:p>
        </w:tc>
      </w:tr>
      <w:tr w14:paraId="0A2517D2">
        <w:tblPrEx>
          <w:tblCellMar>
            <w:top w:w="0" w:type="dxa"/>
            <w:left w:w="0" w:type="dxa"/>
            <w:bottom w:w="0" w:type="dxa"/>
            <w:right w:w="0" w:type="dxa"/>
          </w:tblCellMar>
        </w:tblPrEx>
        <w:trPr>
          <w:wBefore w:w="0" w:type="auto"/>
          <w:tblCellSpacing w:w="0" w:type="dxa"/>
        </w:trPr>
        <w:tc>
          <w:tcPr>
            <w:tcW w:w="0" w:type="auto"/>
            <w:noWrap w:val="0"/>
            <w:vAlign w:val="center"/>
          </w:tcPr>
          <w:p w14:paraId="53EEAFF0">
            <w:r>
              <w:rPr>
                <w:rFonts w:hint="eastAsia"/>
              </w:rPr>
              <w:t xml:space="preserve">有效成分及其含量： </w:t>
            </w:r>
          </w:p>
          <w:p w14:paraId="491F0AF7">
            <w:r>
              <w:rPr>
                <w:rFonts w:hint="eastAsia"/>
              </w:rPr>
              <w:t xml:space="preserve">    唑啉草酯5%    </w:t>
            </w:r>
          </w:p>
        </w:tc>
      </w:tr>
      <w:tr w14:paraId="1BE2F889">
        <w:tblPrEx>
          <w:tblCellMar>
            <w:top w:w="0" w:type="dxa"/>
            <w:left w:w="0" w:type="dxa"/>
            <w:bottom w:w="0" w:type="dxa"/>
            <w:right w:w="0" w:type="dxa"/>
          </w:tblCellMar>
        </w:tblPrEx>
        <w:trPr>
          <w:wBefore w:w="0" w:type="auto"/>
          <w:tblCellSpacing w:w="0" w:type="dxa"/>
        </w:trPr>
        <w:tc>
          <w:tcPr>
            <w:tcW w:w="0" w:type="auto"/>
            <w:noWrap w:val="0"/>
            <w:vAlign w:val="center"/>
          </w:tcPr>
          <w:p w14:paraId="444DD3C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3A61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9FD836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24AA8D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EAA5D5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633F695">
                  <w:r>
                    <w:rPr>
                      <w:rStyle w:val="11"/>
                      <w:rFonts w:hint="eastAsia"/>
                    </w:rPr>
                    <w:t>施用方式</w:t>
                  </w:r>
                </w:p>
              </w:tc>
            </w:tr>
            <w:tr w14:paraId="39F4CE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C2C9DF5">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32B53C">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99DC0B">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30DB93">
                  <w:r>
                    <w:rPr>
                      <w:rStyle w:val="11"/>
                      <w:rFonts w:hint="eastAsia"/>
                    </w:rPr>
                    <w:t>茎叶喷雾</w:t>
                  </w:r>
                </w:p>
              </w:tc>
            </w:tr>
          </w:tbl>
          <w:p w14:paraId="6654E3FD">
            <w:pPr>
              <w:rPr>
                <w:rFonts w:ascii="Times New Roman" w:hAnsi="Times New Roman" w:cs="Times New Roman"/>
                <w:sz w:val="20"/>
                <w:szCs w:val="20"/>
              </w:rPr>
            </w:pPr>
          </w:p>
        </w:tc>
      </w:tr>
      <w:tr w14:paraId="0ABFC1ED">
        <w:tblPrEx>
          <w:tblCellMar>
            <w:top w:w="0" w:type="dxa"/>
            <w:left w:w="0" w:type="dxa"/>
            <w:bottom w:w="0" w:type="dxa"/>
            <w:right w:w="0" w:type="dxa"/>
          </w:tblCellMar>
        </w:tblPrEx>
        <w:trPr>
          <w:wBefore w:w="0" w:type="auto"/>
          <w:tblCellSpacing w:w="0" w:type="dxa"/>
        </w:trPr>
        <w:tc>
          <w:tcPr>
            <w:tcW w:w="0" w:type="auto"/>
            <w:noWrap w:val="0"/>
            <w:vAlign w:val="center"/>
          </w:tcPr>
          <w:p w14:paraId="66A370BB">
            <w:r>
              <w:rPr>
                <w:rStyle w:val="10"/>
                <w:rFonts w:hint="eastAsia"/>
              </w:rPr>
              <w:t>使用技术要求:</w:t>
            </w:r>
            <w:r>
              <w:rPr>
                <w:rFonts w:hint="eastAsia"/>
              </w:rPr>
              <w:br w:type="textWrapping"/>
            </w:r>
            <w:r>
              <w:rPr>
                <w:rStyle w:val="11"/>
                <w:rFonts w:hint="eastAsia"/>
              </w:rPr>
              <w:t>1.于一年生禾本科杂草3-5叶期施药（冬小麦返青期到拔节前或春小麦3-5叶期），均匀喷施于杂草茎叶上；2.避免在极端气候如气温大幅度波动前后3天内，干旱，低温（霜冻期），高温，日最高温度低于10℃，田间积水，小麦生长不良或遭受涝害、冻害、旱害、盐碱害、病害等胁迫条件下使用，否则可能影响药效或导致作物药害；3.不推荐与激素类除草剂混用，与其他除草剂、农药、肥料混用建议先进行测试；4.避免药液漂移到邻近作物田，施药后仔细清洗喷雾器，避免药物残留造成高粱、玉米及其他敏感作物药害；5.勿在冬前使用，避免因特殊气候的影响下，在农业生产中造成大面积药害；6.本品每季最多使用1次。</w:t>
            </w:r>
          </w:p>
        </w:tc>
      </w:tr>
      <w:tr w14:paraId="545B71A3">
        <w:tblPrEx>
          <w:tblCellMar>
            <w:top w:w="0" w:type="dxa"/>
            <w:left w:w="0" w:type="dxa"/>
            <w:bottom w:w="0" w:type="dxa"/>
            <w:right w:w="0" w:type="dxa"/>
          </w:tblCellMar>
        </w:tblPrEx>
        <w:trPr>
          <w:wBefore w:w="0" w:type="auto"/>
          <w:tblCellSpacing w:w="0" w:type="dxa"/>
        </w:trPr>
        <w:tc>
          <w:tcPr>
            <w:tcW w:w="0" w:type="auto"/>
            <w:noWrap w:val="0"/>
            <w:vAlign w:val="center"/>
          </w:tcPr>
          <w:p w14:paraId="6D49E92F">
            <w:r>
              <w:rPr>
                <w:rStyle w:val="10"/>
                <w:rFonts w:hint="eastAsia"/>
              </w:rPr>
              <w:t>产品性能:</w:t>
            </w:r>
            <w:r>
              <w:rPr>
                <w:rFonts w:hint="eastAsia"/>
              </w:rPr>
              <w:br w:type="textWrapping"/>
            </w:r>
            <w:r>
              <w:rPr>
                <w:rStyle w:val="11"/>
                <w:rFonts w:hint="eastAsia"/>
              </w:rPr>
              <w:t>唑啉草酯为内吸传导型，用于小麦田苗后茎叶处理，可防除野燕麦、黑麦草、狗尾草、看麦娘、硬草、菵草和棒头草等大多数一年生禾本科杂草。</w:t>
            </w:r>
          </w:p>
        </w:tc>
      </w:tr>
      <w:tr w14:paraId="67682FC7">
        <w:tblPrEx>
          <w:tblCellMar>
            <w:top w:w="0" w:type="dxa"/>
            <w:left w:w="0" w:type="dxa"/>
            <w:bottom w:w="0" w:type="dxa"/>
            <w:right w:w="0" w:type="dxa"/>
          </w:tblCellMar>
        </w:tblPrEx>
        <w:trPr>
          <w:wBefore w:w="0" w:type="auto"/>
          <w:tblCellSpacing w:w="0" w:type="dxa"/>
        </w:trPr>
        <w:tc>
          <w:tcPr>
            <w:tcW w:w="0" w:type="auto"/>
            <w:noWrap w:val="0"/>
            <w:vAlign w:val="center"/>
          </w:tcPr>
          <w:p w14:paraId="622CEF7C">
            <w:r>
              <w:rPr>
                <w:rStyle w:val="10"/>
                <w:rFonts w:hint="eastAsia"/>
              </w:rPr>
              <w:t>注意事项：</w:t>
            </w:r>
            <w:r>
              <w:rPr>
                <w:rFonts w:hint="eastAsia"/>
              </w:rPr>
              <w:br w:type="textWrapping"/>
            </w:r>
            <w:r>
              <w:rPr>
                <w:rStyle w:val="11"/>
                <w:rFonts w:hint="eastAsia"/>
              </w:rPr>
              <w:t>1. 请规范使用本品。本品对皮肤和眼睛有一定刺激性，避免药液接触皮肤、眼睛和污染衣物，避免吸入雾滴。2. 使用时穿戴长衣、长裤、帽子、口罩、手套等防护措施。不能吃东西、喝水、吸烟等；施药完毕请立即用肥皂水清洗手和脸。3. 施药后，彻底清洗防护用具，洗澡，并更换和清洗工作服。4. 应依照当地法律法规妥善处理农药空包装。使用过的空包装，请用清水冲洗三次后，带离田间，妥善处理；切勿重复使用或改作其它用途。所有施药器具，用后应立即用清水或适当的洗涤剂清洗。5. 未用完的制剂应放在原包装内密封保存，切勿将本品置于饮、食容器内。6. 本品在天敌放飞区域禁止使用，鸟类保护区附近禁用。蚕室及桑园附近禁用。7. 水产养殖区、河塘等水体附近禁用，禁止在河塘等水域清洗施药器具；刚施药后的区域防止人畜进入，禁止在河塘等水体中清洗施药器具。禁止药品及其废品接触水源、土壤等环境。器具用肥皂或洗涤剂刷洗，清洗器具的废水不能排入河流、池塘等水源。8. 孕妇及哺乳期妇女禁止接触。9. 避免与氧化剂接触。</w:t>
            </w:r>
          </w:p>
        </w:tc>
      </w:tr>
      <w:tr w14:paraId="09970E3B">
        <w:tblPrEx>
          <w:tblCellMar>
            <w:top w:w="0" w:type="dxa"/>
            <w:left w:w="0" w:type="dxa"/>
            <w:bottom w:w="0" w:type="dxa"/>
            <w:right w:w="0" w:type="dxa"/>
          </w:tblCellMar>
        </w:tblPrEx>
        <w:trPr>
          <w:wBefore w:w="0" w:type="auto"/>
          <w:tblCellSpacing w:w="0" w:type="dxa"/>
        </w:trPr>
        <w:tc>
          <w:tcPr>
            <w:tcW w:w="0" w:type="auto"/>
            <w:noWrap w:val="0"/>
            <w:vAlign w:val="center"/>
          </w:tcPr>
          <w:p w14:paraId="4785AD4A">
            <w:r>
              <w:rPr>
                <w:rStyle w:val="10"/>
                <w:rFonts w:hint="eastAsia"/>
              </w:rPr>
              <w:t>中毒急救措施：</w:t>
            </w:r>
            <w:r>
              <w:rPr>
                <w:rFonts w:hint="eastAsia"/>
              </w:rPr>
              <w:br w:type="textWrapping"/>
            </w:r>
            <w:r>
              <w:rPr>
                <w:rStyle w:val="11"/>
                <w:rFonts w:hint="eastAsia"/>
              </w:rPr>
              <w:t>中毒症状：一旦发生中毒，请对症治疗。中毒急救：1.用药时如果感觉不适，立即停止工作，采取急救措施，并携此标签送医就诊。2.皮肤接触：立即脱掉被污染的衣物，用大量清水冲洗被污染的皮肤,如皮肤刺激感持续，请医生诊治。再次使用前需清洗被污染的衣物。3.眼睛溅药：立即将眼睑翻开，用大量清水冲洗至少15分钟。取下隐形眼镜。需要立即就医。4.发生吸入：将患者转移到空气新鲜处。如果呼吸不正常或停止，实施人工呼吸。注意患者保暖和休息。立即呼叫医生或毒物控制中心。5.误服：如果误服，立即联系医生，并出示此容器或标签。请勿引吐。6.解毒剂：无特效解毒剂，对症治疗。 中毒时，请拨打中国疾控中心中毒控制中心咨询热线：400-650-5726</w:t>
            </w:r>
          </w:p>
        </w:tc>
      </w:tr>
      <w:tr w14:paraId="561CC060">
        <w:tblPrEx>
          <w:tblCellMar>
            <w:top w:w="0" w:type="dxa"/>
            <w:left w:w="0" w:type="dxa"/>
            <w:bottom w:w="0" w:type="dxa"/>
            <w:right w:w="0" w:type="dxa"/>
          </w:tblCellMar>
        </w:tblPrEx>
        <w:trPr>
          <w:wBefore w:w="0" w:type="auto"/>
          <w:tblCellSpacing w:w="0" w:type="dxa"/>
        </w:trPr>
        <w:tc>
          <w:tcPr>
            <w:tcW w:w="0" w:type="auto"/>
            <w:noWrap w:val="0"/>
            <w:vAlign w:val="center"/>
          </w:tcPr>
          <w:p w14:paraId="4ABCC1F3">
            <w:r>
              <w:rPr>
                <w:rStyle w:val="10"/>
                <w:rFonts w:hint="eastAsia"/>
              </w:rPr>
              <w:t>储存和运输方法：</w:t>
            </w:r>
            <w:r>
              <w:rPr>
                <w:rFonts w:hint="eastAsia"/>
              </w:rPr>
              <w:br w:type="textWrapping"/>
            </w:r>
            <w:r>
              <w:rPr>
                <w:rStyle w:val="11"/>
                <w:rFonts w:hint="eastAsia"/>
              </w:rPr>
              <w:t>1. 不能与食品、饮料、粮食、饲料等混合储存和运输；装卸时，注意轻拿轻放，禁止说笑打闹、吃、喝、抽烟。2. 储存时防止潮湿和日光直晒，远离火源或热源。3. 置于儿童、无关人员触及不到之处，并加锁。4. 码放高度不宜超过2米，以免损坏包装。</w:t>
            </w:r>
          </w:p>
        </w:tc>
      </w:tr>
      <w:tr w14:paraId="781E4834">
        <w:tblPrEx>
          <w:tblCellMar>
            <w:top w:w="0" w:type="dxa"/>
            <w:left w:w="0" w:type="dxa"/>
            <w:bottom w:w="0" w:type="dxa"/>
            <w:right w:w="0" w:type="dxa"/>
          </w:tblCellMar>
        </w:tblPrEx>
        <w:trPr>
          <w:wBefore w:w="0" w:type="auto"/>
          <w:tblCellSpacing w:w="0" w:type="dxa"/>
        </w:trPr>
        <w:tc>
          <w:tcPr>
            <w:tcW w:w="0" w:type="auto"/>
            <w:noWrap w:val="0"/>
            <w:vAlign w:val="center"/>
          </w:tcPr>
          <w:p w14:paraId="415B6D50">
            <w:r>
              <w:rPr>
                <w:rStyle w:val="10"/>
                <w:rFonts w:hint="eastAsia"/>
              </w:rPr>
              <w:t>质量保证期：</w:t>
            </w:r>
            <w:r>
              <w:rPr>
                <w:rStyle w:val="11"/>
                <w:rFonts w:hint="eastAsia"/>
              </w:rPr>
              <w:t>2年</w:t>
            </w:r>
          </w:p>
        </w:tc>
      </w:tr>
      <w:tr w14:paraId="2AE7E4C0">
        <w:tblPrEx>
          <w:tblCellMar>
            <w:top w:w="0" w:type="dxa"/>
            <w:left w:w="0" w:type="dxa"/>
            <w:bottom w:w="0" w:type="dxa"/>
            <w:right w:w="0" w:type="dxa"/>
          </w:tblCellMar>
        </w:tblPrEx>
        <w:trPr>
          <w:wBefore w:w="0" w:type="auto"/>
          <w:tblCellSpacing w:w="0" w:type="dxa"/>
        </w:trPr>
        <w:tc>
          <w:tcPr>
            <w:tcW w:w="0" w:type="auto"/>
            <w:noWrap w:val="0"/>
            <w:vAlign w:val="center"/>
          </w:tcPr>
          <w:p w14:paraId="235232C9">
            <w:r>
              <w:rPr>
                <w:rStyle w:val="10"/>
                <w:rFonts w:hint="eastAsia"/>
              </w:rPr>
              <w:t>备注：</w:t>
            </w:r>
            <w:r>
              <w:rPr>
                <w:rFonts w:hint="eastAsia"/>
              </w:rPr>
              <w:br w:type="textWrapping"/>
            </w:r>
            <w:r>
              <w:rPr>
                <w:rStyle w:val="11"/>
                <w:rFonts w:hint="eastAsia"/>
              </w:rPr>
              <w:t>/</w:t>
            </w:r>
          </w:p>
        </w:tc>
      </w:tr>
    </w:tbl>
    <w:p w14:paraId="6A8C8E8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D703F8">
        <w:tblPrEx>
          <w:tblCellMar>
            <w:top w:w="0" w:type="dxa"/>
            <w:left w:w="0" w:type="dxa"/>
            <w:bottom w:w="0" w:type="dxa"/>
            <w:right w:w="0" w:type="dxa"/>
          </w:tblCellMar>
        </w:tblPrEx>
        <w:trPr>
          <w:wBefore w:w="0" w:type="auto"/>
          <w:tblCellSpacing w:w="0" w:type="dxa"/>
        </w:trPr>
        <w:tc>
          <w:tcPr>
            <w:tcW w:w="0" w:type="auto"/>
            <w:noWrap w:val="0"/>
            <w:vAlign w:val="center"/>
          </w:tcPr>
          <w:p w14:paraId="2DC8BF66">
            <w:r>
              <w:rPr>
                <w:rStyle w:val="10"/>
                <w:rFonts w:hint="eastAsia"/>
              </w:rPr>
              <w:t>登记证号：</w:t>
            </w:r>
            <w:r>
              <w:rPr>
                <w:rFonts w:hint="eastAsia"/>
              </w:rPr>
              <w:t>PD20211822</w:t>
            </w:r>
          </w:p>
        </w:tc>
      </w:tr>
      <w:tr w14:paraId="72D9C503">
        <w:tblPrEx>
          <w:tblCellMar>
            <w:top w:w="0" w:type="dxa"/>
            <w:left w:w="0" w:type="dxa"/>
            <w:bottom w:w="0" w:type="dxa"/>
            <w:right w:w="0" w:type="dxa"/>
          </w:tblCellMar>
        </w:tblPrEx>
        <w:trPr>
          <w:wBefore w:w="0" w:type="auto"/>
          <w:tblCellSpacing w:w="0" w:type="dxa"/>
        </w:trPr>
        <w:tc>
          <w:tcPr>
            <w:tcW w:w="0" w:type="auto"/>
            <w:noWrap w:val="0"/>
            <w:vAlign w:val="center"/>
          </w:tcPr>
          <w:p w14:paraId="26020603">
            <w:r>
              <w:rPr>
                <w:rStyle w:val="10"/>
                <w:rFonts w:hint="eastAsia"/>
              </w:rPr>
              <w:t>登记证持有人：</w:t>
            </w:r>
            <w:r>
              <w:rPr>
                <w:rFonts w:hint="eastAsia"/>
              </w:rPr>
              <w:t>山东海而三利生物化工有限公司</w:t>
            </w:r>
          </w:p>
        </w:tc>
      </w:tr>
      <w:tr w14:paraId="4B88425B">
        <w:tblPrEx>
          <w:tblCellMar>
            <w:top w:w="0" w:type="dxa"/>
            <w:left w:w="0" w:type="dxa"/>
            <w:bottom w:w="0" w:type="dxa"/>
            <w:right w:w="0" w:type="dxa"/>
          </w:tblCellMar>
        </w:tblPrEx>
        <w:trPr>
          <w:wBefore w:w="0" w:type="auto"/>
          <w:tblCellSpacing w:w="0" w:type="dxa"/>
        </w:trPr>
        <w:tc>
          <w:tcPr>
            <w:tcW w:w="0" w:type="auto"/>
            <w:noWrap w:val="0"/>
            <w:vAlign w:val="center"/>
          </w:tcPr>
          <w:p w14:paraId="65155434">
            <w:r>
              <w:rPr>
                <w:rStyle w:val="10"/>
                <w:rFonts w:hint="eastAsia"/>
              </w:rPr>
              <w:t>农药名称：</w:t>
            </w:r>
            <w:r>
              <w:rPr>
                <w:rFonts w:hint="eastAsia"/>
              </w:rPr>
              <w:t>噻虫胺</w:t>
            </w:r>
          </w:p>
        </w:tc>
      </w:tr>
      <w:tr w14:paraId="16EEA3C4">
        <w:tblPrEx>
          <w:tblCellMar>
            <w:top w:w="0" w:type="dxa"/>
            <w:left w:w="0" w:type="dxa"/>
            <w:bottom w:w="0" w:type="dxa"/>
            <w:right w:w="0" w:type="dxa"/>
          </w:tblCellMar>
        </w:tblPrEx>
        <w:trPr>
          <w:wBefore w:w="0" w:type="auto"/>
          <w:tblCellSpacing w:w="0" w:type="dxa"/>
        </w:trPr>
        <w:tc>
          <w:tcPr>
            <w:tcW w:w="0" w:type="auto"/>
            <w:noWrap w:val="0"/>
            <w:vAlign w:val="center"/>
          </w:tcPr>
          <w:p w14:paraId="5A2F75F0">
            <w:r>
              <w:rPr>
                <w:rStyle w:val="10"/>
                <w:rFonts w:hint="eastAsia"/>
              </w:rPr>
              <w:t>剂型：</w:t>
            </w:r>
            <w:r>
              <w:rPr>
                <w:rFonts w:hint="eastAsia"/>
              </w:rPr>
              <w:t>种子处理悬浮剂</w:t>
            </w:r>
          </w:p>
        </w:tc>
      </w:tr>
      <w:tr w14:paraId="3BC463C5">
        <w:tblPrEx>
          <w:tblCellMar>
            <w:top w:w="0" w:type="dxa"/>
            <w:left w:w="0" w:type="dxa"/>
            <w:bottom w:w="0" w:type="dxa"/>
            <w:right w:w="0" w:type="dxa"/>
          </w:tblCellMar>
        </w:tblPrEx>
        <w:trPr>
          <w:wBefore w:w="0" w:type="auto"/>
          <w:tblCellSpacing w:w="0" w:type="dxa"/>
        </w:trPr>
        <w:tc>
          <w:tcPr>
            <w:tcW w:w="0" w:type="auto"/>
            <w:noWrap w:val="0"/>
            <w:vAlign w:val="center"/>
          </w:tcPr>
          <w:p w14:paraId="09EE977C">
            <w:r>
              <w:rPr>
                <w:rStyle w:val="10"/>
                <w:rFonts w:hint="eastAsia"/>
              </w:rPr>
              <w:t>毒性及其标识：</w:t>
            </w:r>
            <w:r>
              <w:rPr>
                <w:rFonts w:hint="eastAsia"/>
              </w:rPr>
              <w:t xml:space="preserve"> </w:t>
            </w:r>
            <w:r>
              <w:rPr>
                <w:lang/>
              </w:rPr>
              <w:drawing>
                <wp:inline distT="0" distB="0" distL="114300" distR="114300">
                  <wp:extent cx="476250" cy="323850"/>
                  <wp:effectExtent l="0" t="0" r="0" b="0"/>
                  <wp:docPr id="313" name="图片 31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07FD6B1">
        <w:tblPrEx>
          <w:tblCellMar>
            <w:top w:w="0" w:type="dxa"/>
            <w:left w:w="0" w:type="dxa"/>
            <w:bottom w:w="0" w:type="dxa"/>
            <w:right w:w="0" w:type="dxa"/>
          </w:tblCellMar>
        </w:tblPrEx>
        <w:trPr>
          <w:wBefore w:w="0" w:type="auto"/>
          <w:tblCellSpacing w:w="0" w:type="dxa"/>
        </w:trPr>
        <w:tc>
          <w:tcPr>
            <w:tcW w:w="0" w:type="auto"/>
            <w:noWrap w:val="0"/>
            <w:vAlign w:val="center"/>
          </w:tcPr>
          <w:p w14:paraId="67771829">
            <w:r>
              <w:rPr>
                <w:rStyle w:val="10"/>
                <w:rFonts w:hint="eastAsia"/>
              </w:rPr>
              <w:t>总有效成分含量：</w:t>
            </w:r>
            <w:r>
              <w:rPr>
                <w:rFonts w:hint="eastAsia"/>
              </w:rPr>
              <w:t>10%</w:t>
            </w:r>
          </w:p>
        </w:tc>
      </w:tr>
      <w:tr w14:paraId="00240F25">
        <w:tblPrEx>
          <w:tblCellMar>
            <w:top w:w="0" w:type="dxa"/>
            <w:left w:w="0" w:type="dxa"/>
            <w:bottom w:w="0" w:type="dxa"/>
            <w:right w:w="0" w:type="dxa"/>
          </w:tblCellMar>
        </w:tblPrEx>
        <w:trPr>
          <w:wBefore w:w="0" w:type="auto"/>
          <w:tblCellSpacing w:w="0" w:type="dxa"/>
        </w:trPr>
        <w:tc>
          <w:tcPr>
            <w:tcW w:w="0" w:type="auto"/>
            <w:noWrap w:val="0"/>
            <w:vAlign w:val="center"/>
          </w:tcPr>
          <w:p w14:paraId="348B7508">
            <w:r>
              <w:rPr>
                <w:rFonts w:hint="eastAsia"/>
              </w:rPr>
              <w:t xml:space="preserve">有效成分及其含量： </w:t>
            </w:r>
          </w:p>
          <w:p w14:paraId="0F870464">
            <w:r>
              <w:rPr>
                <w:rFonts w:hint="eastAsia"/>
              </w:rPr>
              <w:t xml:space="preserve">    噻虫胺10%    </w:t>
            </w:r>
          </w:p>
        </w:tc>
      </w:tr>
      <w:tr w14:paraId="5962C346">
        <w:tblPrEx>
          <w:tblCellMar>
            <w:top w:w="0" w:type="dxa"/>
            <w:left w:w="0" w:type="dxa"/>
            <w:bottom w:w="0" w:type="dxa"/>
            <w:right w:w="0" w:type="dxa"/>
          </w:tblCellMar>
        </w:tblPrEx>
        <w:trPr>
          <w:wBefore w:w="0" w:type="auto"/>
          <w:tblCellSpacing w:w="0" w:type="dxa"/>
        </w:trPr>
        <w:tc>
          <w:tcPr>
            <w:tcW w:w="0" w:type="auto"/>
            <w:noWrap w:val="0"/>
            <w:vAlign w:val="center"/>
          </w:tcPr>
          <w:p w14:paraId="6C8D6D1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91AB4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4EB1D2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3F5EED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5099D8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79ACDCD">
                  <w:r>
                    <w:rPr>
                      <w:rStyle w:val="11"/>
                      <w:rFonts w:hint="eastAsia"/>
                    </w:rPr>
                    <w:t>施用方式</w:t>
                  </w:r>
                </w:p>
              </w:tc>
            </w:tr>
            <w:tr w14:paraId="57E8B6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8E47CC1">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BA18DC">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F316FF">
                  <w:r>
                    <w:rPr>
                      <w:rStyle w:val="11"/>
                      <w:rFonts w:hint="eastAsia"/>
                    </w:rPr>
                    <w:t>1250-1500毫升/100千克种子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84C2F3">
                  <w:r>
                    <w:rPr>
                      <w:rStyle w:val="11"/>
                      <w:rFonts w:hint="eastAsia"/>
                    </w:rPr>
                    <w:t>种子包衣</w:t>
                  </w:r>
                </w:p>
              </w:tc>
            </w:tr>
          </w:tbl>
          <w:p w14:paraId="37A11D49">
            <w:pPr>
              <w:rPr>
                <w:rFonts w:ascii="Times New Roman" w:hAnsi="Times New Roman" w:cs="Times New Roman"/>
                <w:sz w:val="20"/>
                <w:szCs w:val="20"/>
              </w:rPr>
            </w:pPr>
          </w:p>
        </w:tc>
      </w:tr>
      <w:tr w14:paraId="4F4B1A98">
        <w:tblPrEx>
          <w:tblCellMar>
            <w:top w:w="0" w:type="dxa"/>
            <w:left w:w="0" w:type="dxa"/>
            <w:bottom w:w="0" w:type="dxa"/>
            <w:right w:w="0" w:type="dxa"/>
          </w:tblCellMar>
        </w:tblPrEx>
        <w:trPr>
          <w:wBefore w:w="0" w:type="auto"/>
          <w:tblCellSpacing w:w="0" w:type="dxa"/>
        </w:trPr>
        <w:tc>
          <w:tcPr>
            <w:tcW w:w="0" w:type="auto"/>
            <w:noWrap w:val="0"/>
            <w:vAlign w:val="center"/>
          </w:tcPr>
          <w:p w14:paraId="2AF33845">
            <w:r>
              <w:rPr>
                <w:rStyle w:val="10"/>
                <w:rFonts w:hint="eastAsia"/>
              </w:rPr>
              <w:t>使用技术要求:</w:t>
            </w:r>
            <w:r>
              <w:rPr>
                <w:rFonts w:hint="eastAsia"/>
              </w:rPr>
              <w:br w:type="textWrapping"/>
            </w:r>
            <w:r>
              <w:rPr>
                <w:rStyle w:val="11"/>
                <w:rFonts w:hint="eastAsia"/>
              </w:rPr>
              <w:t>1、根据种子量确定制剂用药量，加入适量清水（每100千克干种子加水约1.0～2.0升）混合均匀，与种子充分搅拌，直到药液均匀分布到种子表面，晾干后即 可播种。2.播种时需考虑低温、大雨等不良环境影响，适时播种。</w:t>
            </w:r>
          </w:p>
        </w:tc>
      </w:tr>
      <w:tr w14:paraId="334D8EDD">
        <w:tblPrEx>
          <w:tblCellMar>
            <w:top w:w="0" w:type="dxa"/>
            <w:left w:w="0" w:type="dxa"/>
            <w:bottom w:w="0" w:type="dxa"/>
            <w:right w:w="0" w:type="dxa"/>
          </w:tblCellMar>
        </w:tblPrEx>
        <w:trPr>
          <w:wBefore w:w="0" w:type="auto"/>
          <w:tblCellSpacing w:w="0" w:type="dxa"/>
        </w:trPr>
        <w:tc>
          <w:tcPr>
            <w:tcW w:w="0" w:type="auto"/>
            <w:noWrap w:val="0"/>
            <w:vAlign w:val="center"/>
          </w:tcPr>
          <w:p w14:paraId="1A2C0F19">
            <w:r>
              <w:rPr>
                <w:rStyle w:val="10"/>
                <w:rFonts w:hint="eastAsia"/>
              </w:rPr>
              <w:t>产品性能:</w:t>
            </w:r>
            <w:r>
              <w:rPr>
                <w:rFonts w:hint="eastAsia"/>
              </w:rPr>
              <w:br w:type="textWrapping"/>
            </w:r>
            <w:r>
              <w:rPr>
                <w:rStyle w:val="11"/>
                <w:rFonts w:hint="eastAsia"/>
              </w:rPr>
              <w:t>噻虫胺主要作用方式是刺激烟碱乙酰胆碱受体，影响昆虫中枢神经系统中的神经突触。具有内吸性，根吸收并传导。主要用于防治吸允性昆虫和咀嚼性害虫。本品对花生蛴螬有较好的防治效果。</w:t>
            </w:r>
          </w:p>
        </w:tc>
      </w:tr>
      <w:tr w14:paraId="09432C4F">
        <w:tblPrEx>
          <w:tblCellMar>
            <w:top w:w="0" w:type="dxa"/>
            <w:left w:w="0" w:type="dxa"/>
            <w:bottom w:w="0" w:type="dxa"/>
            <w:right w:w="0" w:type="dxa"/>
          </w:tblCellMar>
        </w:tblPrEx>
        <w:trPr>
          <w:wBefore w:w="0" w:type="auto"/>
          <w:tblCellSpacing w:w="0" w:type="dxa"/>
        </w:trPr>
        <w:tc>
          <w:tcPr>
            <w:tcW w:w="0" w:type="auto"/>
            <w:noWrap w:val="0"/>
            <w:vAlign w:val="center"/>
          </w:tcPr>
          <w:p w14:paraId="60D9829F">
            <w:r>
              <w:rPr>
                <w:rStyle w:val="10"/>
                <w:rFonts w:hint="eastAsia"/>
              </w:rPr>
              <w:t>注意事项：</w:t>
            </w:r>
            <w:r>
              <w:rPr>
                <w:rFonts w:hint="eastAsia"/>
              </w:rPr>
              <w:br w:type="textWrapping"/>
            </w:r>
            <w:r>
              <w:rPr>
                <w:rStyle w:val="11"/>
                <w:rFonts w:hint="eastAsia"/>
              </w:rPr>
              <w:t>1.严格按农药安全使用规则正确使用，未用完的液体就保存在原包装内，盖紧瓶盖，并远离儿童、饮料和食物。2.配药和种子处理应在通风处进行，操作人 员应戴防渗手套、口罩、穿长袖衣、长裤、靴子等，不可饮食、吸烟等。避免药液接触皮肤、眼睛和污染衣物，避免吸收药液。种子处理结束后，彻底清洗防护用具，洗澡，并更换和清洗工作服。3.处理过的种子必须放置在有明显标签的容器内。勿与食物、饲料放在一起，不得饲喂禽兽，更不得用来加工饲料或食品。 4.对鸟类、蜜蜂有毒，播种后必须覆土，严禁兽禽进入；鸟类保护区附近禁用，播种后单立即覆土。5.对鱼等水生生物有毒，禁止在河塘等水体中清洗施药器具。6.所有施药器具，用后应立即清洗， 洗涤后的废水不应污染河流等水源，未用完的药液应密封后妥善放置。7.用过的容器应妥善处理，不可做他用，也不可随意丢弃。8.孕妇及哺乳期妇女禁止接触此药。</w:t>
            </w:r>
          </w:p>
        </w:tc>
      </w:tr>
      <w:tr w14:paraId="68B66229">
        <w:tblPrEx>
          <w:tblCellMar>
            <w:top w:w="0" w:type="dxa"/>
            <w:left w:w="0" w:type="dxa"/>
            <w:bottom w:w="0" w:type="dxa"/>
            <w:right w:w="0" w:type="dxa"/>
          </w:tblCellMar>
        </w:tblPrEx>
        <w:trPr>
          <w:wBefore w:w="0" w:type="auto"/>
          <w:tblCellSpacing w:w="0" w:type="dxa"/>
        </w:trPr>
        <w:tc>
          <w:tcPr>
            <w:tcW w:w="0" w:type="auto"/>
            <w:noWrap w:val="0"/>
            <w:vAlign w:val="center"/>
          </w:tcPr>
          <w:p w14:paraId="46F3CBBB">
            <w:r>
              <w:rPr>
                <w:rStyle w:val="10"/>
                <w:rFonts w:hint="eastAsia"/>
              </w:rPr>
              <w:t>中毒急救措施：</w:t>
            </w:r>
            <w:r>
              <w:rPr>
                <w:rFonts w:hint="eastAsia"/>
              </w:rPr>
              <w:br w:type="textWrapping"/>
            </w:r>
            <w:r>
              <w:rPr>
                <w:rStyle w:val="11"/>
                <w:rFonts w:hint="eastAsia"/>
              </w:rPr>
              <w:t>该产品对皮肤有刺激性，使用时避免接触皮肤。中毒症状：按照标签推荐方法使用，无典型中毒症状。皮肤接触：立即脱去被污染的衣物，用肥皂和大量清水冲洗皮肤暴露部位。如皮肤刺激感持续，请医生诊治。眼睛溅入：立即提起眼睑，用大量流动清水或生理盐水彻底冲洗至少15分钟，就医。吸入：迅速脱离现场至空气新鲜处，保持呼吸道通畅。如呼吸困难，给输氧；如呼吸停止，立即进行人工呼吸，就医。误服: 饮足量温水，催吐，洗胃，导泄，携带产品标签送医就诊，对症治疗。</w:t>
            </w:r>
          </w:p>
        </w:tc>
      </w:tr>
      <w:tr w14:paraId="761249FE">
        <w:tblPrEx>
          <w:tblCellMar>
            <w:top w:w="0" w:type="dxa"/>
            <w:left w:w="0" w:type="dxa"/>
            <w:bottom w:w="0" w:type="dxa"/>
            <w:right w:w="0" w:type="dxa"/>
          </w:tblCellMar>
        </w:tblPrEx>
        <w:trPr>
          <w:wBefore w:w="0" w:type="auto"/>
          <w:tblCellSpacing w:w="0" w:type="dxa"/>
        </w:trPr>
        <w:tc>
          <w:tcPr>
            <w:tcW w:w="0" w:type="auto"/>
            <w:noWrap w:val="0"/>
            <w:vAlign w:val="center"/>
          </w:tcPr>
          <w:p w14:paraId="6A08599B">
            <w:r>
              <w:rPr>
                <w:rStyle w:val="10"/>
                <w:rFonts w:hint="eastAsia"/>
              </w:rPr>
              <w:t>储存和运输方法：</w:t>
            </w:r>
            <w:r>
              <w:rPr>
                <w:rFonts w:hint="eastAsia"/>
              </w:rPr>
              <w:br w:type="textWrapping"/>
            </w:r>
            <w:r>
              <w:rPr>
                <w:rStyle w:val="11"/>
                <w:rFonts w:hint="eastAsia"/>
              </w:rPr>
              <w:t>本品应远离火源、热源，贮存于阴凉、通风、干燥防雨处，放置于小孩接触不到的地方，并加锁保存，不能与食品、粮食、饮料、饲料等混合储存。</w:t>
            </w:r>
          </w:p>
        </w:tc>
      </w:tr>
      <w:tr w14:paraId="09E7C599">
        <w:tblPrEx>
          <w:tblCellMar>
            <w:top w:w="0" w:type="dxa"/>
            <w:left w:w="0" w:type="dxa"/>
            <w:bottom w:w="0" w:type="dxa"/>
            <w:right w:w="0" w:type="dxa"/>
          </w:tblCellMar>
        </w:tblPrEx>
        <w:trPr>
          <w:wBefore w:w="0" w:type="auto"/>
          <w:tblCellSpacing w:w="0" w:type="dxa"/>
        </w:trPr>
        <w:tc>
          <w:tcPr>
            <w:tcW w:w="0" w:type="auto"/>
            <w:noWrap w:val="0"/>
            <w:vAlign w:val="center"/>
          </w:tcPr>
          <w:p w14:paraId="3C4D6FEB">
            <w:r>
              <w:rPr>
                <w:rStyle w:val="10"/>
                <w:rFonts w:hint="eastAsia"/>
              </w:rPr>
              <w:t>质量保证期：</w:t>
            </w:r>
            <w:r>
              <w:rPr>
                <w:rStyle w:val="11"/>
                <w:rFonts w:hint="eastAsia"/>
              </w:rPr>
              <w:t>2年</w:t>
            </w:r>
          </w:p>
        </w:tc>
      </w:tr>
      <w:tr w14:paraId="573F95B9">
        <w:tblPrEx>
          <w:tblCellMar>
            <w:top w:w="0" w:type="dxa"/>
            <w:left w:w="0" w:type="dxa"/>
            <w:bottom w:w="0" w:type="dxa"/>
            <w:right w:w="0" w:type="dxa"/>
          </w:tblCellMar>
        </w:tblPrEx>
        <w:trPr>
          <w:wBefore w:w="0" w:type="auto"/>
          <w:tblCellSpacing w:w="0" w:type="dxa"/>
        </w:trPr>
        <w:tc>
          <w:tcPr>
            <w:tcW w:w="0" w:type="auto"/>
            <w:noWrap w:val="0"/>
            <w:vAlign w:val="center"/>
          </w:tcPr>
          <w:p w14:paraId="3DF85F79">
            <w:r>
              <w:rPr>
                <w:rStyle w:val="10"/>
                <w:rFonts w:hint="eastAsia"/>
              </w:rPr>
              <w:t>备注：</w:t>
            </w:r>
          </w:p>
        </w:tc>
      </w:tr>
    </w:tbl>
    <w:p w14:paraId="6C0EFB5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E51221">
        <w:tblPrEx>
          <w:tblCellMar>
            <w:top w:w="0" w:type="dxa"/>
            <w:left w:w="0" w:type="dxa"/>
            <w:bottom w:w="0" w:type="dxa"/>
            <w:right w:w="0" w:type="dxa"/>
          </w:tblCellMar>
        </w:tblPrEx>
        <w:trPr>
          <w:wBefore w:w="0" w:type="auto"/>
          <w:tblCellSpacing w:w="0" w:type="dxa"/>
        </w:trPr>
        <w:tc>
          <w:tcPr>
            <w:tcW w:w="0" w:type="auto"/>
            <w:noWrap w:val="0"/>
            <w:vAlign w:val="center"/>
          </w:tcPr>
          <w:p w14:paraId="535D86E5">
            <w:r>
              <w:rPr>
                <w:rStyle w:val="10"/>
                <w:rFonts w:hint="eastAsia"/>
              </w:rPr>
              <w:t>登记证号：</w:t>
            </w:r>
            <w:r>
              <w:rPr>
                <w:rFonts w:hint="eastAsia"/>
              </w:rPr>
              <w:t>PD20211693</w:t>
            </w:r>
          </w:p>
        </w:tc>
      </w:tr>
      <w:tr w14:paraId="1962027F">
        <w:tblPrEx>
          <w:tblCellMar>
            <w:top w:w="0" w:type="dxa"/>
            <w:left w:w="0" w:type="dxa"/>
            <w:bottom w:w="0" w:type="dxa"/>
            <w:right w:w="0" w:type="dxa"/>
          </w:tblCellMar>
        </w:tblPrEx>
        <w:trPr>
          <w:wBefore w:w="0" w:type="auto"/>
          <w:tblCellSpacing w:w="0" w:type="dxa"/>
        </w:trPr>
        <w:tc>
          <w:tcPr>
            <w:tcW w:w="0" w:type="auto"/>
            <w:noWrap w:val="0"/>
            <w:vAlign w:val="center"/>
          </w:tcPr>
          <w:p w14:paraId="0C100654">
            <w:r>
              <w:rPr>
                <w:rStyle w:val="10"/>
                <w:rFonts w:hint="eastAsia"/>
              </w:rPr>
              <w:t>登记证持有人：</w:t>
            </w:r>
            <w:r>
              <w:rPr>
                <w:rFonts w:hint="eastAsia"/>
              </w:rPr>
              <w:t>汝阳自强生物科技有限公司</w:t>
            </w:r>
          </w:p>
        </w:tc>
      </w:tr>
      <w:tr w14:paraId="10963C81">
        <w:tblPrEx>
          <w:tblCellMar>
            <w:top w:w="0" w:type="dxa"/>
            <w:left w:w="0" w:type="dxa"/>
            <w:bottom w:w="0" w:type="dxa"/>
            <w:right w:w="0" w:type="dxa"/>
          </w:tblCellMar>
        </w:tblPrEx>
        <w:trPr>
          <w:wBefore w:w="0" w:type="auto"/>
          <w:tblCellSpacing w:w="0" w:type="dxa"/>
        </w:trPr>
        <w:tc>
          <w:tcPr>
            <w:tcW w:w="0" w:type="auto"/>
            <w:noWrap w:val="0"/>
            <w:vAlign w:val="center"/>
          </w:tcPr>
          <w:p w14:paraId="10F66C3A">
            <w:r>
              <w:rPr>
                <w:rStyle w:val="10"/>
                <w:rFonts w:hint="eastAsia"/>
              </w:rPr>
              <w:t>农药名称：</w:t>
            </w:r>
            <w:r>
              <w:rPr>
                <w:rFonts w:hint="eastAsia"/>
              </w:rPr>
              <w:t>二嗪·噻唑膦</w:t>
            </w:r>
          </w:p>
        </w:tc>
      </w:tr>
      <w:tr w14:paraId="77755BBC">
        <w:tblPrEx>
          <w:tblCellMar>
            <w:top w:w="0" w:type="dxa"/>
            <w:left w:w="0" w:type="dxa"/>
            <w:bottom w:w="0" w:type="dxa"/>
            <w:right w:w="0" w:type="dxa"/>
          </w:tblCellMar>
        </w:tblPrEx>
        <w:trPr>
          <w:wBefore w:w="0" w:type="auto"/>
          <w:tblCellSpacing w:w="0" w:type="dxa"/>
        </w:trPr>
        <w:tc>
          <w:tcPr>
            <w:tcW w:w="0" w:type="auto"/>
            <w:noWrap w:val="0"/>
            <w:vAlign w:val="center"/>
          </w:tcPr>
          <w:p w14:paraId="6A475ADC">
            <w:r>
              <w:rPr>
                <w:rStyle w:val="10"/>
                <w:rFonts w:hint="eastAsia"/>
              </w:rPr>
              <w:t>剂型：</w:t>
            </w:r>
            <w:r>
              <w:rPr>
                <w:rFonts w:hint="eastAsia"/>
              </w:rPr>
              <w:t>颗粒剂</w:t>
            </w:r>
          </w:p>
        </w:tc>
      </w:tr>
      <w:tr w14:paraId="5E9688C4">
        <w:tblPrEx>
          <w:tblCellMar>
            <w:top w:w="0" w:type="dxa"/>
            <w:left w:w="0" w:type="dxa"/>
            <w:bottom w:w="0" w:type="dxa"/>
            <w:right w:w="0" w:type="dxa"/>
          </w:tblCellMar>
        </w:tblPrEx>
        <w:trPr>
          <w:wBefore w:w="0" w:type="auto"/>
          <w:tblCellSpacing w:w="0" w:type="dxa"/>
        </w:trPr>
        <w:tc>
          <w:tcPr>
            <w:tcW w:w="0" w:type="auto"/>
            <w:noWrap w:val="0"/>
            <w:vAlign w:val="center"/>
          </w:tcPr>
          <w:p w14:paraId="1746CD25">
            <w:r>
              <w:rPr>
                <w:rStyle w:val="10"/>
                <w:rFonts w:hint="eastAsia"/>
              </w:rPr>
              <w:t>毒性及其标识：</w:t>
            </w:r>
            <w:r>
              <w:rPr>
                <w:rFonts w:hint="eastAsia"/>
              </w:rPr>
              <w:t xml:space="preserve"> </w:t>
            </w:r>
            <w:r>
              <w:rPr>
                <w:lang/>
              </w:rPr>
              <w:drawing>
                <wp:inline distT="0" distB="0" distL="114300" distR="114300">
                  <wp:extent cx="476250" cy="323850"/>
                  <wp:effectExtent l="0" t="0" r="0" b="0"/>
                  <wp:docPr id="314" name="图片 31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E164499">
        <w:tblPrEx>
          <w:tblCellMar>
            <w:top w:w="0" w:type="dxa"/>
            <w:left w:w="0" w:type="dxa"/>
            <w:bottom w:w="0" w:type="dxa"/>
            <w:right w:w="0" w:type="dxa"/>
          </w:tblCellMar>
        </w:tblPrEx>
        <w:trPr>
          <w:wBefore w:w="0" w:type="auto"/>
          <w:tblCellSpacing w:w="0" w:type="dxa"/>
        </w:trPr>
        <w:tc>
          <w:tcPr>
            <w:tcW w:w="0" w:type="auto"/>
            <w:noWrap w:val="0"/>
            <w:vAlign w:val="center"/>
          </w:tcPr>
          <w:p w14:paraId="1A6C4520">
            <w:r>
              <w:rPr>
                <w:rStyle w:val="10"/>
                <w:rFonts w:hint="eastAsia"/>
              </w:rPr>
              <w:t>总有效成分含量：</w:t>
            </w:r>
            <w:r>
              <w:rPr>
                <w:rFonts w:hint="eastAsia"/>
              </w:rPr>
              <w:t>5.2%</w:t>
            </w:r>
          </w:p>
        </w:tc>
      </w:tr>
      <w:tr w14:paraId="621BD2EB">
        <w:tblPrEx>
          <w:tblCellMar>
            <w:top w:w="0" w:type="dxa"/>
            <w:left w:w="0" w:type="dxa"/>
            <w:bottom w:w="0" w:type="dxa"/>
            <w:right w:w="0" w:type="dxa"/>
          </w:tblCellMar>
        </w:tblPrEx>
        <w:trPr>
          <w:wBefore w:w="0" w:type="auto"/>
          <w:tblCellSpacing w:w="0" w:type="dxa"/>
        </w:trPr>
        <w:tc>
          <w:tcPr>
            <w:tcW w:w="0" w:type="auto"/>
            <w:noWrap w:val="0"/>
            <w:vAlign w:val="center"/>
          </w:tcPr>
          <w:p w14:paraId="4EBFAC05">
            <w:r>
              <w:rPr>
                <w:rFonts w:hint="eastAsia"/>
              </w:rPr>
              <w:t xml:space="preserve">有效成分及其含量： </w:t>
            </w:r>
          </w:p>
          <w:p w14:paraId="34E0B67D">
            <w:r>
              <w:rPr>
                <w:rFonts w:hint="eastAsia"/>
              </w:rPr>
              <w:t xml:space="preserve">    噻唑膦4.2%    二嗪磷1%    </w:t>
            </w:r>
          </w:p>
        </w:tc>
      </w:tr>
      <w:tr w14:paraId="47BFDC65">
        <w:tblPrEx>
          <w:tblCellMar>
            <w:top w:w="0" w:type="dxa"/>
            <w:left w:w="0" w:type="dxa"/>
            <w:bottom w:w="0" w:type="dxa"/>
            <w:right w:w="0" w:type="dxa"/>
          </w:tblCellMar>
        </w:tblPrEx>
        <w:trPr>
          <w:wBefore w:w="0" w:type="auto"/>
          <w:tblCellSpacing w:w="0" w:type="dxa"/>
        </w:trPr>
        <w:tc>
          <w:tcPr>
            <w:tcW w:w="0" w:type="auto"/>
            <w:noWrap w:val="0"/>
            <w:vAlign w:val="center"/>
          </w:tcPr>
          <w:p w14:paraId="6FF01FD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F6B98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DFD01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2FC7BC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F62E60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EB14E37">
                  <w:r>
                    <w:rPr>
                      <w:rStyle w:val="11"/>
                      <w:rFonts w:hint="eastAsia"/>
                    </w:rPr>
                    <w:t>施用方式</w:t>
                  </w:r>
                </w:p>
              </w:tc>
            </w:tr>
            <w:tr w14:paraId="70A90F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52031A">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50D94D">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2F242A">
                  <w:r>
                    <w:rPr>
                      <w:rStyle w:val="11"/>
                      <w:rFonts w:hint="eastAsia"/>
                    </w:rPr>
                    <w:t>5000-6000克//亩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4C6BAE">
                  <w:r>
                    <w:rPr>
                      <w:rStyle w:val="11"/>
                      <w:rFonts w:hint="eastAsia"/>
                    </w:rPr>
                    <w:t>撒施</w:t>
                  </w:r>
                </w:p>
              </w:tc>
            </w:tr>
            <w:tr w14:paraId="75EDE6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E2C9D2">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20343B">
                  <w:r>
                    <w:rPr>
                      <w:rStyle w:val="11"/>
                      <w:rFonts w:hint="eastAsia"/>
                    </w:rPr>
                    <w:t>根结线虫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2B0ADF">
                  <w:r>
                    <w:rPr>
                      <w:rStyle w:val="11"/>
                      <w:rFonts w:hint="eastAsia"/>
                    </w:rPr>
                    <w:t>5000-6000克//亩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C33DFB">
                  <w:r>
                    <w:rPr>
                      <w:rStyle w:val="11"/>
                      <w:rFonts w:hint="eastAsia"/>
                    </w:rPr>
                    <w:t>撒施</w:t>
                  </w:r>
                </w:p>
              </w:tc>
            </w:tr>
          </w:tbl>
          <w:p w14:paraId="69D66BF2">
            <w:pPr>
              <w:rPr>
                <w:rFonts w:ascii="Times New Roman" w:hAnsi="Times New Roman" w:cs="Times New Roman"/>
                <w:sz w:val="20"/>
                <w:szCs w:val="20"/>
              </w:rPr>
            </w:pPr>
          </w:p>
        </w:tc>
      </w:tr>
      <w:tr w14:paraId="274EDC28">
        <w:tblPrEx>
          <w:tblCellMar>
            <w:top w:w="0" w:type="dxa"/>
            <w:left w:w="0" w:type="dxa"/>
            <w:bottom w:w="0" w:type="dxa"/>
            <w:right w:w="0" w:type="dxa"/>
          </w:tblCellMar>
        </w:tblPrEx>
        <w:trPr>
          <w:wBefore w:w="0" w:type="auto"/>
          <w:tblCellSpacing w:w="0" w:type="dxa"/>
        </w:trPr>
        <w:tc>
          <w:tcPr>
            <w:tcW w:w="0" w:type="auto"/>
            <w:noWrap w:val="0"/>
            <w:vAlign w:val="center"/>
          </w:tcPr>
          <w:p w14:paraId="3596D71D">
            <w:r>
              <w:rPr>
                <w:rStyle w:val="10"/>
                <w:rFonts w:hint="eastAsia"/>
              </w:rPr>
              <w:t>使用技术要求:</w:t>
            </w:r>
            <w:r>
              <w:rPr>
                <w:rFonts w:hint="eastAsia"/>
              </w:rPr>
              <w:br w:type="textWrapping"/>
            </w:r>
            <w:r>
              <w:rPr>
                <w:rStyle w:val="11"/>
                <w:rFonts w:hint="eastAsia"/>
              </w:rPr>
              <w:t>1. 本品密封储存于干燥、阴凉、通风、防雨处，远离火源或热源；2.避免阳光直接照射；3.置于儿童、无关人员及动物接触不到的地方，并加锁；4.不得与食物、饮料、种子、饲料、粮食等物品同贮同运。搬运及运输过程中，轻拿轻放。</w:t>
            </w:r>
          </w:p>
        </w:tc>
      </w:tr>
      <w:tr w14:paraId="6F420D09">
        <w:tblPrEx>
          <w:tblCellMar>
            <w:top w:w="0" w:type="dxa"/>
            <w:left w:w="0" w:type="dxa"/>
            <w:bottom w:w="0" w:type="dxa"/>
            <w:right w:w="0" w:type="dxa"/>
          </w:tblCellMar>
        </w:tblPrEx>
        <w:trPr>
          <w:wBefore w:w="0" w:type="auto"/>
          <w:tblCellSpacing w:w="0" w:type="dxa"/>
        </w:trPr>
        <w:tc>
          <w:tcPr>
            <w:tcW w:w="0" w:type="auto"/>
            <w:noWrap w:val="0"/>
            <w:vAlign w:val="center"/>
          </w:tcPr>
          <w:p w14:paraId="120752AA">
            <w:r>
              <w:rPr>
                <w:rStyle w:val="10"/>
                <w:rFonts w:hint="eastAsia"/>
              </w:rPr>
              <w:t>产品性能:</w:t>
            </w:r>
            <w:r>
              <w:rPr>
                <w:rFonts w:hint="eastAsia"/>
              </w:rPr>
              <w:br w:type="textWrapping"/>
            </w:r>
            <w:r>
              <w:rPr>
                <w:rStyle w:val="11"/>
                <w:rFonts w:hint="eastAsia"/>
              </w:rPr>
              <w:t>本剂为触杀性和内吸传导型产品，用低剂量就能阻碍线虫的活动，防止线虫对植物根部的侵入。施药方法简单，无需换气，药剂处理后能直接定植。杀线虫效果不受土壤条件如湿度、酸碱度、温度的影响。在土壤中分解快。正常使用技术条件下，对作物 、环境安全。本品能防治根结线虫和地下害虫蛴螬。</w:t>
            </w:r>
          </w:p>
        </w:tc>
      </w:tr>
      <w:tr w14:paraId="48AFF60C">
        <w:tblPrEx>
          <w:tblCellMar>
            <w:top w:w="0" w:type="dxa"/>
            <w:left w:w="0" w:type="dxa"/>
            <w:bottom w:w="0" w:type="dxa"/>
            <w:right w:w="0" w:type="dxa"/>
          </w:tblCellMar>
        </w:tblPrEx>
        <w:trPr>
          <w:wBefore w:w="0" w:type="auto"/>
          <w:tblCellSpacing w:w="0" w:type="dxa"/>
        </w:trPr>
        <w:tc>
          <w:tcPr>
            <w:tcW w:w="0" w:type="auto"/>
            <w:noWrap w:val="0"/>
            <w:vAlign w:val="center"/>
          </w:tcPr>
          <w:p w14:paraId="16A4D427">
            <w:r>
              <w:rPr>
                <w:rStyle w:val="10"/>
                <w:rFonts w:hint="eastAsia"/>
              </w:rPr>
              <w:t>注意事项：</w:t>
            </w:r>
            <w:r>
              <w:rPr>
                <w:rFonts w:hint="eastAsia"/>
              </w:rPr>
              <w:br w:type="textWrapping"/>
            </w:r>
            <w:r>
              <w:rPr>
                <w:rStyle w:val="11"/>
                <w:rFonts w:hint="eastAsia"/>
              </w:rPr>
              <w:t>1. 施药前应将大块土壤打碎以保证药效。2. 使用方法不当，超量使用或土壤水份过多时容易引起药害，请按推荐剂量正确使用。3. 对蚕有毒性，桑园蚕室附近禁用。4. 对溞类有毒，水产养殖区、河塘等水体附近禁用。禁止在河塘等水体中清洗施药器具；避免药液污染水源地。5. 赤眼蜂等天敌放飞区禁用。6. 鸟类保护区附近禁用，施药后立即覆土。7. 本品对眼睛有刺激性，使用时避免接触眼睛，穿戴长衣、长裤、帽子、口罩、手套等防护措施。避免吸入药液；施药期间不可吃东西和饮水；施药后应及时洗手和洗脸。8. 使用前请仔细阅读标签内容。9. 用过的容器应妥善处理，不可做他用，也不可随意丢弃。10. 避免孕妇及哺乳期的妇女接触。</w:t>
            </w:r>
          </w:p>
        </w:tc>
      </w:tr>
      <w:tr w14:paraId="61A360D6">
        <w:tblPrEx>
          <w:tblCellMar>
            <w:top w:w="0" w:type="dxa"/>
            <w:left w:w="0" w:type="dxa"/>
            <w:bottom w:w="0" w:type="dxa"/>
            <w:right w:w="0" w:type="dxa"/>
          </w:tblCellMar>
        </w:tblPrEx>
        <w:trPr>
          <w:wBefore w:w="0" w:type="auto"/>
          <w:tblCellSpacing w:w="0" w:type="dxa"/>
        </w:trPr>
        <w:tc>
          <w:tcPr>
            <w:tcW w:w="0" w:type="auto"/>
            <w:noWrap w:val="0"/>
            <w:vAlign w:val="center"/>
          </w:tcPr>
          <w:p w14:paraId="4D40FA7D">
            <w:r>
              <w:rPr>
                <w:rStyle w:val="10"/>
                <w:rFonts w:hint="eastAsia"/>
              </w:rPr>
              <w:t>中毒急救措施：</w:t>
            </w:r>
            <w:r>
              <w:rPr>
                <w:rFonts w:hint="eastAsia"/>
              </w:rPr>
              <w:br w:type="textWrapping"/>
            </w:r>
            <w:r>
              <w:rPr>
                <w:rStyle w:val="11"/>
                <w:rFonts w:hint="eastAsia"/>
              </w:rPr>
              <w:t>中毒症状：头晕、头痛、恶心、呕吐等。急救措施：如果药剂溅入眼睛，请用清水直接洗眼；如果接触皮肤，请用水和肥皂清洗；如误吸，应立即到空气新鲜、通风良好的安全场所，使呼吸畅通，并用干净水漱口。如误服引起中毒，饮水催吐后，立即送医院就诊，解毒剂为阿托品。</w:t>
            </w:r>
          </w:p>
        </w:tc>
      </w:tr>
      <w:tr w14:paraId="49A76F55">
        <w:tblPrEx>
          <w:tblCellMar>
            <w:top w:w="0" w:type="dxa"/>
            <w:left w:w="0" w:type="dxa"/>
            <w:bottom w:w="0" w:type="dxa"/>
            <w:right w:w="0" w:type="dxa"/>
          </w:tblCellMar>
        </w:tblPrEx>
        <w:trPr>
          <w:wBefore w:w="0" w:type="auto"/>
          <w:tblCellSpacing w:w="0" w:type="dxa"/>
        </w:trPr>
        <w:tc>
          <w:tcPr>
            <w:tcW w:w="0" w:type="auto"/>
            <w:noWrap w:val="0"/>
            <w:vAlign w:val="center"/>
          </w:tcPr>
          <w:p w14:paraId="1ECB4FA8">
            <w:r>
              <w:rPr>
                <w:rStyle w:val="10"/>
                <w:rFonts w:hint="eastAsia"/>
              </w:rPr>
              <w:t>储存和运输方法：</w:t>
            </w:r>
            <w:r>
              <w:rPr>
                <w:rFonts w:hint="eastAsia"/>
              </w:rPr>
              <w:br w:type="textWrapping"/>
            </w:r>
            <w:r>
              <w:rPr>
                <w:rStyle w:val="11"/>
                <w:rFonts w:hint="eastAsia"/>
              </w:rPr>
              <w:t>1. 本品密封储存于干燥、阴凉、通风、防雨处，远离火源或热源；2. 避免阳光直接照射；3. 置于儿童、无关人员及动物接触不到的地方，并加锁；4. 不得与食物、饮料、种子、饲料、粮食等物品同贮同运。搬运及运输过程中，轻拿轻放。</w:t>
            </w:r>
          </w:p>
        </w:tc>
      </w:tr>
      <w:tr w14:paraId="3E184E76">
        <w:tblPrEx>
          <w:tblCellMar>
            <w:top w:w="0" w:type="dxa"/>
            <w:left w:w="0" w:type="dxa"/>
            <w:bottom w:w="0" w:type="dxa"/>
            <w:right w:w="0" w:type="dxa"/>
          </w:tblCellMar>
        </w:tblPrEx>
        <w:trPr>
          <w:wBefore w:w="0" w:type="auto"/>
          <w:tblCellSpacing w:w="0" w:type="dxa"/>
        </w:trPr>
        <w:tc>
          <w:tcPr>
            <w:tcW w:w="0" w:type="auto"/>
            <w:noWrap w:val="0"/>
            <w:vAlign w:val="center"/>
          </w:tcPr>
          <w:p w14:paraId="1E6FAE62">
            <w:r>
              <w:rPr>
                <w:rStyle w:val="10"/>
                <w:rFonts w:hint="eastAsia"/>
              </w:rPr>
              <w:t>质量保证期：</w:t>
            </w:r>
            <w:r>
              <w:rPr>
                <w:rStyle w:val="11"/>
                <w:rFonts w:hint="eastAsia"/>
              </w:rPr>
              <w:t>2年</w:t>
            </w:r>
          </w:p>
        </w:tc>
      </w:tr>
      <w:tr w14:paraId="43696591">
        <w:tblPrEx>
          <w:tblCellMar>
            <w:top w:w="0" w:type="dxa"/>
            <w:left w:w="0" w:type="dxa"/>
            <w:bottom w:w="0" w:type="dxa"/>
            <w:right w:w="0" w:type="dxa"/>
          </w:tblCellMar>
        </w:tblPrEx>
        <w:trPr>
          <w:wBefore w:w="0" w:type="auto"/>
          <w:tblCellSpacing w:w="0" w:type="dxa"/>
        </w:trPr>
        <w:tc>
          <w:tcPr>
            <w:tcW w:w="0" w:type="auto"/>
            <w:noWrap w:val="0"/>
            <w:vAlign w:val="center"/>
          </w:tcPr>
          <w:p w14:paraId="22A71FCA">
            <w:r>
              <w:rPr>
                <w:rStyle w:val="10"/>
                <w:rFonts w:hint="eastAsia"/>
              </w:rPr>
              <w:t>备注：</w:t>
            </w:r>
          </w:p>
        </w:tc>
      </w:tr>
    </w:tbl>
    <w:p w14:paraId="6B3F648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68A7776">
        <w:tblPrEx>
          <w:tblCellMar>
            <w:top w:w="0" w:type="dxa"/>
            <w:left w:w="0" w:type="dxa"/>
            <w:bottom w:w="0" w:type="dxa"/>
            <w:right w:w="0" w:type="dxa"/>
          </w:tblCellMar>
        </w:tblPrEx>
        <w:trPr>
          <w:wBefore w:w="0" w:type="auto"/>
          <w:tblCellSpacing w:w="0" w:type="dxa"/>
        </w:trPr>
        <w:tc>
          <w:tcPr>
            <w:tcW w:w="0" w:type="auto"/>
            <w:noWrap w:val="0"/>
            <w:vAlign w:val="center"/>
          </w:tcPr>
          <w:p w14:paraId="5011DC57">
            <w:r>
              <w:rPr>
                <w:rStyle w:val="10"/>
                <w:rFonts w:hint="eastAsia"/>
              </w:rPr>
              <w:t>登记证号：</w:t>
            </w:r>
            <w:r>
              <w:rPr>
                <w:rFonts w:hint="eastAsia"/>
              </w:rPr>
              <w:t>PD20212030</w:t>
            </w:r>
          </w:p>
        </w:tc>
      </w:tr>
      <w:tr w14:paraId="1FDD2336">
        <w:tblPrEx>
          <w:tblCellMar>
            <w:top w:w="0" w:type="dxa"/>
            <w:left w:w="0" w:type="dxa"/>
            <w:bottom w:w="0" w:type="dxa"/>
            <w:right w:w="0" w:type="dxa"/>
          </w:tblCellMar>
        </w:tblPrEx>
        <w:trPr>
          <w:wBefore w:w="0" w:type="auto"/>
          <w:tblCellSpacing w:w="0" w:type="dxa"/>
        </w:trPr>
        <w:tc>
          <w:tcPr>
            <w:tcW w:w="0" w:type="auto"/>
            <w:noWrap w:val="0"/>
            <w:vAlign w:val="center"/>
          </w:tcPr>
          <w:p w14:paraId="6EFEE459">
            <w:r>
              <w:rPr>
                <w:rStyle w:val="10"/>
                <w:rFonts w:hint="eastAsia"/>
              </w:rPr>
              <w:t>登记证持有人：</w:t>
            </w:r>
            <w:r>
              <w:rPr>
                <w:rFonts w:hint="eastAsia"/>
              </w:rPr>
              <w:t>陕西汤普森生物科技有限公司</w:t>
            </w:r>
          </w:p>
        </w:tc>
      </w:tr>
      <w:tr w14:paraId="681730FA">
        <w:tblPrEx>
          <w:tblCellMar>
            <w:top w:w="0" w:type="dxa"/>
            <w:left w:w="0" w:type="dxa"/>
            <w:bottom w:w="0" w:type="dxa"/>
            <w:right w:w="0" w:type="dxa"/>
          </w:tblCellMar>
        </w:tblPrEx>
        <w:trPr>
          <w:wBefore w:w="0" w:type="auto"/>
          <w:tblCellSpacing w:w="0" w:type="dxa"/>
        </w:trPr>
        <w:tc>
          <w:tcPr>
            <w:tcW w:w="0" w:type="auto"/>
            <w:noWrap w:val="0"/>
            <w:vAlign w:val="center"/>
          </w:tcPr>
          <w:p w14:paraId="4BE05839">
            <w:r>
              <w:rPr>
                <w:rStyle w:val="10"/>
                <w:rFonts w:hint="eastAsia"/>
              </w:rPr>
              <w:t>农药名称：</w:t>
            </w:r>
            <w:r>
              <w:rPr>
                <w:rFonts w:hint="eastAsia"/>
              </w:rPr>
              <w:t>抑芽丹</w:t>
            </w:r>
          </w:p>
        </w:tc>
      </w:tr>
      <w:tr w14:paraId="52C031FB">
        <w:tblPrEx>
          <w:tblCellMar>
            <w:top w:w="0" w:type="dxa"/>
            <w:left w:w="0" w:type="dxa"/>
            <w:bottom w:w="0" w:type="dxa"/>
            <w:right w:w="0" w:type="dxa"/>
          </w:tblCellMar>
        </w:tblPrEx>
        <w:trPr>
          <w:wBefore w:w="0" w:type="auto"/>
          <w:tblCellSpacing w:w="0" w:type="dxa"/>
        </w:trPr>
        <w:tc>
          <w:tcPr>
            <w:tcW w:w="0" w:type="auto"/>
            <w:noWrap w:val="0"/>
            <w:vAlign w:val="center"/>
          </w:tcPr>
          <w:p w14:paraId="6D493CFE">
            <w:r>
              <w:rPr>
                <w:rStyle w:val="10"/>
                <w:rFonts w:hint="eastAsia"/>
              </w:rPr>
              <w:t>剂型：</w:t>
            </w:r>
            <w:r>
              <w:rPr>
                <w:rFonts w:hint="eastAsia"/>
              </w:rPr>
              <w:t>可溶液剂</w:t>
            </w:r>
          </w:p>
        </w:tc>
      </w:tr>
      <w:tr w14:paraId="03F75FFD">
        <w:tblPrEx>
          <w:tblCellMar>
            <w:top w:w="0" w:type="dxa"/>
            <w:left w:w="0" w:type="dxa"/>
            <w:bottom w:w="0" w:type="dxa"/>
            <w:right w:w="0" w:type="dxa"/>
          </w:tblCellMar>
        </w:tblPrEx>
        <w:trPr>
          <w:wBefore w:w="0" w:type="auto"/>
          <w:tblCellSpacing w:w="0" w:type="dxa"/>
        </w:trPr>
        <w:tc>
          <w:tcPr>
            <w:tcW w:w="0" w:type="auto"/>
            <w:noWrap w:val="0"/>
            <w:vAlign w:val="center"/>
          </w:tcPr>
          <w:p w14:paraId="380795A4">
            <w:r>
              <w:rPr>
                <w:rStyle w:val="10"/>
                <w:rFonts w:hint="eastAsia"/>
              </w:rPr>
              <w:t>毒性及其标识：</w:t>
            </w:r>
            <w:r>
              <w:rPr>
                <w:rFonts w:hint="eastAsia"/>
              </w:rPr>
              <w:t xml:space="preserve"> </w:t>
            </w:r>
            <w:r>
              <w:rPr>
                <w:lang/>
              </w:rPr>
              <w:drawing>
                <wp:inline distT="0" distB="0" distL="114300" distR="114300">
                  <wp:extent cx="476250" cy="323850"/>
                  <wp:effectExtent l="0" t="0" r="0" b="0"/>
                  <wp:docPr id="315" name="图片 31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F02540E">
        <w:tblPrEx>
          <w:tblCellMar>
            <w:top w:w="0" w:type="dxa"/>
            <w:left w:w="0" w:type="dxa"/>
            <w:bottom w:w="0" w:type="dxa"/>
            <w:right w:w="0" w:type="dxa"/>
          </w:tblCellMar>
        </w:tblPrEx>
        <w:trPr>
          <w:wBefore w:w="0" w:type="auto"/>
          <w:tblCellSpacing w:w="0" w:type="dxa"/>
        </w:trPr>
        <w:tc>
          <w:tcPr>
            <w:tcW w:w="0" w:type="auto"/>
            <w:noWrap w:val="0"/>
            <w:vAlign w:val="center"/>
          </w:tcPr>
          <w:p w14:paraId="0BBDE7A9">
            <w:r>
              <w:rPr>
                <w:rStyle w:val="10"/>
                <w:rFonts w:hint="eastAsia"/>
              </w:rPr>
              <w:t>总有效成分含量：</w:t>
            </w:r>
            <w:r>
              <w:rPr>
                <w:rFonts w:hint="eastAsia"/>
              </w:rPr>
              <w:t>40%</w:t>
            </w:r>
          </w:p>
        </w:tc>
      </w:tr>
      <w:tr w14:paraId="5DE1D27F">
        <w:tblPrEx>
          <w:tblCellMar>
            <w:top w:w="0" w:type="dxa"/>
            <w:left w:w="0" w:type="dxa"/>
            <w:bottom w:w="0" w:type="dxa"/>
            <w:right w:w="0" w:type="dxa"/>
          </w:tblCellMar>
        </w:tblPrEx>
        <w:trPr>
          <w:wBefore w:w="0" w:type="auto"/>
          <w:tblCellSpacing w:w="0" w:type="dxa"/>
        </w:trPr>
        <w:tc>
          <w:tcPr>
            <w:tcW w:w="0" w:type="auto"/>
            <w:noWrap w:val="0"/>
            <w:vAlign w:val="center"/>
          </w:tcPr>
          <w:p w14:paraId="2473DDC1">
            <w:r>
              <w:rPr>
                <w:rFonts w:hint="eastAsia"/>
              </w:rPr>
              <w:t xml:space="preserve">有效成分及其含量： </w:t>
            </w:r>
          </w:p>
          <w:p w14:paraId="7A84EA10">
            <w:r>
              <w:rPr>
                <w:rFonts w:hint="eastAsia"/>
              </w:rPr>
              <w:t xml:space="preserve">    抑芽丹40%    </w:t>
            </w:r>
          </w:p>
        </w:tc>
      </w:tr>
      <w:tr w14:paraId="74D9A310">
        <w:tblPrEx>
          <w:tblCellMar>
            <w:top w:w="0" w:type="dxa"/>
            <w:left w:w="0" w:type="dxa"/>
            <w:bottom w:w="0" w:type="dxa"/>
            <w:right w:w="0" w:type="dxa"/>
          </w:tblCellMar>
        </w:tblPrEx>
        <w:trPr>
          <w:wBefore w:w="0" w:type="auto"/>
          <w:tblCellSpacing w:w="0" w:type="dxa"/>
        </w:trPr>
        <w:tc>
          <w:tcPr>
            <w:tcW w:w="0" w:type="auto"/>
            <w:noWrap w:val="0"/>
            <w:vAlign w:val="center"/>
          </w:tcPr>
          <w:p w14:paraId="24759E2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B867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8AE2E1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333662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3C7A0D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6AFD023">
                  <w:r>
                    <w:rPr>
                      <w:rStyle w:val="11"/>
                      <w:rFonts w:hint="eastAsia"/>
                    </w:rPr>
                    <w:t>施用方式</w:t>
                  </w:r>
                </w:p>
              </w:tc>
            </w:tr>
            <w:tr w14:paraId="6A6C1C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979BE18">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84212E">
                  <w:r>
                    <w:rPr>
                      <w:rStyle w:val="11"/>
                      <w:rFonts w:hint="eastAsia"/>
                    </w:rPr>
                    <w:t>抑制腋芽生长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210695">
                  <w:r>
                    <w:rPr>
                      <w:rStyle w:val="11"/>
                      <w:rFonts w:hint="eastAsia"/>
                    </w:rPr>
                    <w:t>250-300毫升/亩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87CC74">
                  <w:r>
                    <w:rPr>
                      <w:rStyle w:val="11"/>
                      <w:rFonts w:hint="eastAsia"/>
                    </w:rPr>
                    <w:t>喷雾</w:t>
                  </w:r>
                </w:p>
              </w:tc>
            </w:tr>
          </w:tbl>
          <w:p w14:paraId="172F463C">
            <w:pPr>
              <w:rPr>
                <w:rFonts w:ascii="Times New Roman" w:hAnsi="Times New Roman" w:cs="Times New Roman"/>
                <w:sz w:val="20"/>
                <w:szCs w:val="20"/>
              </w:rPr>
            </w:pPr>
          </w:p>
        </w:tc>
      </w:tr>
      <w:tr w14:paraId="4F804067">
        <w:tblPrEx>
          <w:tblCellMar>
            <w:top w:w="0" w:type="dxa"/>
            <w:left w:w="0" w:type="dxa"/>
            <w:bottom w:w="0" w:type="dxa"/>
            <w:right w:w="0" w:type="dxa"/>
          </w:tblCellMar>
        </w:tblPrEx>
        <w:trPr>
          <w:wBefore w:w="0" w:type="auto"/>
          <w:tblCellSpacing w:w="0" w:type="dxa"/>
        </w:trPr>
        <w:tc>
          <w:tcPr>
            <w:tcW w:w="0" w:type="auto"/>
            <w:noWrap w:val="0"/>
            <w:vAlign w:val="center"/>
          </w:tcPr>
          <w:p w14:paraId="5FA19944">
            <w:r>
              <w:rPr>
                <w:rStyle w:val="10"/>
                <w:rFonts w:hint="eastAsia"/>
              </w:rPr>
              <w:t>使用技术要求:</w:t>
            </w:r>
            <w:r>
              <w:rPr>
                <w:rFonts w:hint="eastAsia"/>
              </w:rPr>
              <w:br w:type="textWrapping"/>
            </w:r>
            <w:r>
              <w:rPr>
                <w:rStyle w:val="11"/>
                <w:rFonts w:hint="eastAsia"/>
              </w:rPr>
              <w:t>1.于烟田多数烟株第一朵中心花开放，顶叶大于20厘米时，打顶并将大于2厘米的腋芽打掉，针对烟株中部及以上叶面正面均匀喷雾施药处理，注意喷雾均匀、周到，以确保药效。2.大风天或预计1小时内降雨，请勿施药。3.本品在烟草上每季作物最多使用1次。</w:t>
            </w:r>
          </w:p>
        </w:tc>
      </w:tr>
      <w:tr w14:paraId="0C7EF2E3">
        <w:tblPrEx>
          <w:tblCellMar>
            <w:top w:w="0" w:type="dxa"/>
            <w:left w:w="0" w:type="dxa"/>
            <w:bottom w:w="0" w:type="dxa"/>
            <w:right w:w="0" w:type="dxa"/>
          </w:tblCellMar>
        </w:tblPrEx>
        <w:trPr>
          <w:wBefore w:w="0" w:type="auto"/>
          <w:tblCellSpacing w:w="0" w:type="dxa"/>
        </w:trPr>
        <w:tc>
          <w:tcPr>
            <w:tcW w:w="0" w:type="auto"/>
            <w:noWrap w:val="0"/>
            <w:vAlign w:val="center"/>
          </w:tcPr>
          <w:p w14:paraId="025E8782">
            <w:r>
              <w:rPr>
                <w:rStyle w:val="10"/>
                <w:rFonts w:hint="eastAsia"/>
              </w:rPr>
              <w:t>产品性能:</w:t>
            </w:r>
            <w:r>
              <w:rPr>
                <w:rFonts w:hint="eastAsia"/>
              </w:rPr>
              <w:br w:type="textWrapping"/>
            </w:r>
            <w:r>
              <w:rPr>
                <w:rStyle w:val="11"/>
                <w:rFonts w:hint="eastAsia"/>
              </w:rPr>
              <w:t>抑芽丹是内吸性抑芽剂。从植物的叶面或根部吸入，由木质部和韧皮部传导至植株体内，通过阻止细胞分裂，从而抑制植物生长。按推荐剂量使用对抑制烟草腋芽生长效果较好。</w:t>
            </w:r>
          </w:p>
        </w:tc>
      </w:tr>
      <w:tr w14:paraId="10BD2D06">
        <w:tblPrEx>
          <w:tblCellMar>
            <w:top w:w="0" w:type="dxa"/>
            <w:left w:w="0" w:type="dxa"/>
            <w:bottom w:w="0" w:type="dxa"/>
            <w:right w:w="0" w:type="dxa"/>
          </w:tblCellMar>
        </w:tblPrEx>
        <w:trPr>
          <w:wBefore w:w="0" w:type="auto"/>
          <w:tblCellSpacing w:w="0" w:type="dxa"/>
        </w:trPr>
        <w:tc>
          <w:tcPr>
            <w:tcW w:w="0" w:type="auto"/>
            <w:noWrap w:val="0"/>
            <w:vAlign w:val="center"/>
          </w:tcPr>
          <w:p w14:paraId="1B29F178">
            <w:r>
              <w:rPr>
                <w:rStyle w:val="10"/>
                <w:rFonts w:hint="eastAsia"/>
              </w:rPr>
              <w:t>注意事项：</w:t>
            </w:r>
            <w:r>
              <w:rPr>
                <w:rFonts w:hint="eastAsia"/>
              </w:rPr>
              <w:br w:type="textWrapping"/>
            </w:r>
            <w:r>
              <w:rPr>
                <w:rStyle w:val="11"/>
                <w:rFonts w:hint="eastAsia"/>
              </w:rPr>
              <w:t>（1）严格按规定用药量和方法使用。 （2）不可使用最外围桑树上的叶片饲喂家蚕，禁止在河塘等水体中清洗施药器具。 （3）使用时穿戴长衣、长裤、帽子、口罩、手套等安全防护措施，避免吸入药液。施药期间不可吃东西和饮水。施药后应及时洗手和洗脸。 （4）用药后包装物及用过的容器应妥善处理，不可做他用，也不可随意丢弃。 （5）孕妇及哺乳期妇女禁止接触本品。</w:t>
            </w:r>
          </w:p>
        </w:tc>
      </w:tr>
      <w:tr w14:paraId="0B45282F">
        <w:tblPrEx>
          <w:tblCellMar>
            <w:top w:w="0" w:type="dxa"/>
            <w:left w:w="0" w:type="dxa"/>
            <w:bottom w:w="0" w:type="dxa"/>
            <w:right w:w="0" w:type="dxa"/>
          </w:tblCellMar>
        </w:tblPrEx>
        <w:trPr>
          <w:wBefore w:w="0" w:type="auto"/>
          <w:tblCellSpacing w:w="0" w:type="dxa"/>
        </w:trPr>
        <w:tc>
          <w:tcPr>
            <w:tcW w:w="0" w:type="auto"/>
            <w:noWrap w:val="0"/>
            <w:vAlign w:val="center"/>
          </w:tcPr>
          <w:p w14:paraId="4B8A6C32">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140D2141">
        <w:tblPrEx>
          <w:tblCellMar>
            <w:top w:w="0" w:type="dxa"/>
            <w:left w:w="0" w:type="dxa"/>
            <w:bottom w:w="0" w:type="dxa"/>
            <w:right w:w="0" w:type="dxa"/>
          </w:tblCellMar>
        </w:tblPrEx>
        <w:trPr>
          <w:wBefore w:w="0" w:type="auto"/>
          <w:tblCellSpacing w:w="0" w:type="dxa"/>
        </w:trPr>
        <w:tc>
          <w:tcPr>
            <w:tcW w:w="0" w:type="auto"/>
            <w:noWrap w:val="0"/>
            <w:vAlign w:val="center"/>
          </w:tcPr>
          <w:p w14:paraId="7116179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本品应贮存在干燥、阴凉、通风、防雨处，远离火源或热源。置于儿童、无关人员及动物接触不到的地方，并加锁保存。勿与食品、饮料、饲料和粮食等其他商品同贮同运。</w:t>
            </w:r>
          </w:p>
        </w:tc>
      </w:tr>
      <w:tr w14:paraId="7DDAB36D">
        <w:tblPrEx>
          <w:tblCellMar>
            <w:top w:w="0" w:type="dxa"/>
            <w:left w:w="0" w:type="dxa"/>
            <w:bottom w:w="0" w:type="dxa"/>
            <w:right w:w="0" w:type="dxa"/>
          </w:tblCellMar>
        </w:tblPrEx>
        <w:trPr>
          <w:wBefore w:w="0" w:type="auto"/>
          <w:tblCellSpacing w:w="0" w:type="dxa"/>
        </w:trPr>
        <w:tc>
          <w:tcPr>
            <w:tcW w:w="0" w:type="auto"/>
            <w:noWrap w:val="0"/>
            <w:vAlign w:val="center"/>
          </w:tcPr>
          <w:p w14:paraId="51237554">
            <w:r>
              <w:rPr>
                <w:rStyle w:val="10"/>
                <w:rFonts w:hint="eastAsia"/>
              </w:rPr>
              <w:t>质量保证期：</w:t>
            </w:r>
            <w:r>
              <w:rPr>
                <w:rStyle w:val="11"/>
                <w:rFonts w:hint="eastAsia"/>
              </w:rPr>
              <w:t>2年</w:t>
            </w:r>
          </w:p>
        </w:tc>
      </w:tr>
      <w:tr w14:paraId="247B95A1">
        <w:tblPrEx>
          <w:tblCellMar>
            <w:top w:w="0" w:type="dxa"/>
            <w:left w:w="0" w:type="dxa"/>
            <w:bottom w:w="0" w:type="dxa"/>
            <w:right w:w="0" w:type="dxa"/>
          </w:tblCellMar>
        </w:tblPrEx>
        <w:trPr>
          <w:wBefore w:w="0" w:type="auto"/>
          <w:tblCellSpacing w:w="0" w:type="dxa"/>
        </w:trPr>
        <w:tc>
          <w:tcPr>
            <w:tcW w:w="0" w:type="auto"/>
            <w:noWrap w:val="0"/>
            <w:vAlign w:val="center"/>
          </w:tcPr>
          <w:p w14:paraId="63352D96">
            <w:r>
              <w:rPr>
                <w:rStyle w:val="10"/>
                <w:rFonts w:hint="eastAsia"/>
              </w:rPr>
              <w:t>备注：</w:t>
            </w:r>
          </w:p>
        </w:tc>
      </w:tr>
    </w:tbl>
    <w:p w14:paraId="1ABA50D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965CA41">
        <w:tblPrEx>
          <w:tblCellMar>
            <w:top w:w="0" w:type="dxa"/>
            <w:left w:w="0" w:type="dxa"/>
            <w:bottom w:w="0" w:type="dxa"/>
            <w:right w:w="0" w:type="dxa"/>
          </w:tblCellMar>
        </w:tblPrEx>
        <w:trPr>
          <w:wBefore w:w="0" w:type="auto"/>
          <w:tblCellSpacing w:w="0" w:type="dxa"/>
        </w:trPr>
        <w:tc>
          <w:tcPr>
            <w:tcW w:w="0" w:type="auto"/>
            <w:noWrap w:val="0"/>
            <w:vAlign w:val="center"/>
          </w:tcPr>
          <w:p w14:paraId="00C42644">
            <w:r>
              <w:rPr>
                <w:rStyle w:val="10"/>
                <w:rFonts w:hint="eastAsia"/>
              </w:rPr>
              <w:t>登记证号：</w:t>
            </w:r>
            <w:r>
              <w:rPr>
                <w:rFonts w:hint="eastAsia"/>
              </w:rPr>
              <w:t>WP20210262</w:t>
            </w:r>
          </w:p>
        </w:tc>
      </w:tr>
      <w:tr w14:paraId="5B04EA1E">
        <w:tblPrEx>
          <w:tblCellMar>
            <w:top w:w="0" w:type="dxa"/>
            <w:left w:w="0" w:type="dxa"/>
            <w:bottom w:w="0" w:type="dxa"/>
            <w:right w:w="0" w:type="dxa"/>
          </w:tblCellMar>
        </w:tblPrEx>
        <w:trPr>
          <w:wBefore w:w="0" w:type="auto"/>
          <w:tblCellSpacing w:w="0" w:type="dxa"/>
        </w:trPr>
        <w:tc>
          <w:tcPr>
            <w:tcW w:w="0" w:type="auto"/>
            <w:noWrap w:val="0"/>
            <w:vAlign w:val="center"/>
          </w:tcPr>
          <w:p w14:paraId="58953241">
            <w:r>
              <w:rPr>
                <w:rStyle w:val="10"/>
                <w:rFonts w:hint="eastAsia"/>
              </w:rPr>
              <w:t>登记证持有人：</w:t>
            </w:r>
            <w:r>
              <w:rPr>
                <w:rFonts w:hint="eastAsia"/>
              </w:rPr>
              <w:t>浙江迪乐化学品有限公司</w:t>
            </w:r>
          </w:p>
        </w:tc>
      </w:tr>
      <w:tr w14:paraId="69E344DB">
        <w:tblPrEx>
          <w:tblCellMar>
            <w:top w:w="0" w:type="dxa"/>
            <w:left w:w="0" w:type="dxa"/>
            <w:bottom w:w="0" w:type="dxa"/>
            <w:right w:w="0" w:type="dxa"/>
          </w:tblCellMar>
        </w:tblPrEx>
        <w:trPr>
          <w:wBefore w:w="0" w:type="auto"/>
          <w:tblCellSpacing w:w="0" w:type="dxa"/>
        </w:trPr>
        <w:tc>
          <w:tcPr>
            <w:tcW w:w="0" w:type="auto"/>
            <w:noWrap w:val="0"/>
            <w:vAlign w:val="center"/>
          </w:tcPr>
          <w:p w14:paraId="699EB17E">
            <w:r>
              <w:rPr>
                <w:rStyle w:val="10"/>
                <w:rFonts w:hint="eastAsia"/>
              </w:rPr>
              <w:t>农药名称：</w:t>
            </w:r>
            <w:r>
              <w:rPr>
                <w:rFonts w:hint="eastAsia"/>
              </w:rPr>
              <w:t>杀蝇饵剂</w:t>
            </w:r>
          </w:p>
        </w:tc>
      </w:tr>
      <w:tr w14:paraId="0E41E61F">
        <w:tblPrEx>
          <w:tblCellMar>
            <w:top w:w="0" w:type="dxa"/>
            <w:left w:w="0" w:type="dxa"/>
            <w:bottom w:w="0" w:type="dxa"/>
            <w:right w:w="0" w:type="dxa"/>
          </w:tblCellMar>
        </w:tblPrEx>
        <w:trPr>
          <w:wBefore w:w="0" w:type="auto"/>
          <w:tblCellSpacing w:w="0" w:type="dxa"/>
        </w:trPr>
        <w:tc>
          <w:tcPr>
            <w:tcW w:w="0" w:type="auto"/>
            <w:noWrap w:val="0"/>
            <w:vAlign w:val="center"/>
          </w:tcPr>
          <w:p w14:paraId="531AA066">
            <w:r>
              <w:rPr>
                <w:rStyle w:val="10"/>
                <w:rFonts w:hint="eastAsia"/>
              </w:rPr>
              <w:t>剂型：</w:t>
            </w:r>
            <w:r>
              <w:rPr>
                <w:rFonts w:hint="eastAsia"/>
              </w:rPr>
              <w:t>饵剂</w:t>
            </w:r>
          </w:p>
        </w:tc>
      </w:tr>
      <w:tr w14:paraId="4F853100">
        <w:tblPrEx>
          <w:tblCellMar>
            <w:top w:w="0" w:type="dxa"/>
            <w:left w:w="0" w:type="dxa"/>
            <w:bottom w:w="0" w:type="dxa"/>
            <w:right w:w="0" w:type="dxa"/>
          </w:tblCellMar>
        </w:tblPrEx>
        <w:trPr>
          <w:wBefore w:w="0" w:type="auto"/>
          <w:tblCellSpacing w:w="0" w:type="dxa"/>
        </w:trPr>
        <w:tc>
          <w:tcPr>
            <w:tcW w:w="0" w:type="auto"/>
            <w:noWrap w:val="0"/>
            <w:vAlign w:val="center"/>
          </w:tcPr>
          <w:p w14:paraId="6DCAA05C">
            <w:r>
              <w:rPr>
                <w:rStyle w:val="10"/>
                <w:rFonts w:hint="eastAsia"/>
              </w:rPr>
              <w:t>毒性及其标识：</w:t>
            </w:r>
            <w:r>
              <w:rPr>
                <w:rFonts w:hint="eastAsia"/>
              </w:rPr>
              <w:t xml:space="preserve"> </w:t>
            </w:r>
            <w:r>
              <w:rPr>
                <w:lang/>
              </w:rPr>
              <w:drawing>
                <wp:inline distT="0" distB="0" distL="114300" distR="114300">
                  <wp:extent cx="476250" cy="323850"/>
                  <wp:effectExtent l="0" t="0" r="0" b="0"/>
                  <wp:docPr id="316" name="图片 31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6A2ECE5">
        <w:tblPrEx>
          <w:tblCellMar>
            <w:top w:w="0" w:type="dxa"/>
            <w:left w:w="0" w:type="dxa"/>
            <w:bottom w:w="0" w:type="dxa"/>
            <w:right w:w="0" w:type="dxa"/>
          </w:tblCellMar>
        </w:tblPrEx>
        <w:trPr>
          <w:wBefore w:w="0" w:type="auto"/>
          <w:tblCellSpacing w:w="0" w:type="dxa"/>
        </w:trPr>
        <w:tc>
          <w:tcPr>
            <w:tcW w:w="0" w:type="auto"/>
            <w:noWrap w:val="0"/>
            <w:vAlign w:val="center"/>
          </w:tcPr>
          <w:p w14:paraId="3ED1DFA5">
            <w:r>
              <w:rPr>
                <w:rStyle w:val="10"/>
                <w:rFonts w:hint="eastAsia"/>
              </w:rPr>
              <w:t>总有效成分含量：</w:t>
            </w:r>
            <w:r>
              <w:rPr>
                <w:rFonts w:hint="eastAsia"/>
              </w:rPr>
              <w:t>1%</w:t>
            </w:r>
          </w:p>
        </w:tc>
      </w:tr>
      <w:tr w14:paraId="23D211A3">
        <w:tblPrEx>
          <w:tblCellMar>
            <w:top w:w="0" w:type="dxa"/>
            <w:left w:w="0" w:type="dxa"/>
            <w:bottom w:w="0" w:type="dxa"/>
            <w:right w:w="0" w:type="dxa"/>
          </w:tblCellMar>
        </w:tblPrEx>
        <w:trPr>
          <w:wBefore w:w="0" w:type="auto"/>
          <w:tblCellSpacing w:w="0" w:type="dxa"/>
        </w:trPr>
        <w:tc>
          <w:tcPr>
            <w:tcW w:w="0" w:type="auto"/>
            <w:noWrap w:val="0"/>
            <w:vAlign w:val="center"/>
          </w:tcPr>
          <w:p w14:paraId="5B01E727">
            <w:r>
              <w:rPr>
                <w:rFonts w:hint="eastAsia"/>
              </w:rPr>
              <w:t xml:space="preserve">有效成分及其含量： </w:t>
            </w:r>
          </w:p>
          <w:p w14:paraId="2C1AF783">
            <w:r>
              <w:rPr>
                <w:rFonts w:hint="eastAsia"/>
              </w:rPr>
              <w:t xml:space="preserve">    甲基吡噁磷1%    </w:t>
            </w:r>
          </w:p>
        </w:tc>
      </w:tr>
      <w:tr w14:paraId="3AB34FDB">
        <w:tblPrEx>
          <w:tblCellMar>
            <w:top w:w="0" w:type="dxa"/>
            <w:left w:w="0" w:type="dxa"/>
            <w:bottom w:w="0" w:type="dxa"/>
            <w:right w:w="0" w:type="dxa"/>
          </w:tblCellMar>
        </w:tblPrEx>
        <w:trPr>
          <w:wBefore w:w="0" w:type="auto"/>
          <w:tblCellSpacing w:w="0" w:type="dxa"/>
        </w:trPr>
        <w:tc>
          <w:tcPr>
            <w:tcW w:w="0" w:type="auto"/>
            <w:noWrap w:val="0"/>
            <w:vAlign w:val="center"/>
          </w:tcPr>
          <w:p w14:paraId="0DEC593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DFB16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B20381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C2762B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905DF4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7AEFEC7">
                  <w:r>
                    <w:rPr>
                      <w:rStyle w:val="11"/>
                      <w:rFonts w:hint="eastAsia"/>
                    </w:rPr>
                    <w:t>施用方式</w:t>
                  </w:r>
                </w:p>
              </w:tc>
            </w:tr>
            <w:tr w14:paraId="5B9A54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7A9466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8B7CC5">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F0AD3B">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2FECC4">
                  <w:r>
                    <w:rPr>
                      <w:rStyle w:val="11"/>
                      <w:rFonts w:hint="eastAsia"/>
                    </w:rPr>
                    <w:t>投放</w:t>
                  </w:r>
                </w:p>
              </w:tc>
            </w:tr>
          </w:tbl>
          <w:p w14:paraId="6934FD06">
            <w:pPr>
              <w:rPr>
                <w:rFonts w:ascii="Times New Roman" w:hAnsi="Times New Roman" w:cs="Times New Roman"/>
                <w:sz w:val="20"/>
                <w:szCs w:val="20"/>
              </w:rPr>
            </w:pPr>
          </w:p>
        </w:tc>
      </w:tr>
      <w:tr w14:paraId="3DA8D85C">
        <w:tblPrEx>
          <w:tblCellMar>
            <w:top w:w="0" w:type="dxa"/>
            <w:left w:w="0" w:type="dxa"/>
            <w:bottom w:w="0" w:type="dxa"/>
            <w:right w:w="0" w:type="dxa"/>
          </w:tblCellMar>
        </w:tblPrEx>
        <w:trPr>
          <w:wBefore w:w="0" w:type="auto"/>
          <w:tblCellSpacing w:w="0" w:type="dxa"/>
        </w:trPr>
        <w:tc>
          <w:tcPr>
            <w:tcW w:w="0" w:type="auto"/>
            <w:noWrap w:val="0"/>
            <w:vAlign w:val="center"/>
          </w:tcPr>
          <w:p w14:paraId="7F093AE4">
            <w:r>
              <w:rPr>
                <w:rStyle w:val="10"/>
                <w:rFonts w:hint="eastAsia"/>
              </w:rPr>
              <w:t>使用技术要求:</w:t>
            </w:r>
            <w:r>
              <w:rPr>
                <w:rFonts w:hint="eastAsia"/>
              </w:rPr>
              <w:br w:type="textWrapping"/>
            </w:r>
            <w:r>
              <w:rPr>
                <w:rStyle w:val="11"/>
                <w:rFonts w:hint="eastAsia"/>
              </w:rPr>
              <w:t>1、本品具有经济、方便等特点，适用于有苍蝇滋扰的地方。 2、仅限于室内使用，将本品均匀地投撒于纸盒、报纸、纸张和小盘上，并平放于苍蝇聚集地，如窗台、走廊等位置。</w:t>
            </w:r>
          </w:p>
        </w:tc>
      </w:tr>
      <w:tr w14:paraId="687F4A1E">
        <w:tblPrEx>
          <w:tblCellMar>
            <w:top w:w="0" w:type="dxa"/>
            <w:left w:w="0" w:type="dxa"/>
            <w:bottom w:w="0" w:type="dxa"/>
            <w:right w:w="0" w:type="dxa"/>
          </w:tblCellMar>
        </w:tblPrEx>
        <w:trPr>
          <w:wBefore w:w="0" w:type="auto"/>
          <w:tblCellSpacing w:w="0" w:type="dxa"/>
        </w:trPr>
        <w:tc>
          <w:tcPr>
            <w:tcW w:w="0" w:type="auto"/>
            <w:noWrap w:val="0"/>
            <w:vAlign w:val="center"/>
          </w:tcPr>
          <w:p w14:paraId="3EF75386">
            <w:r>
              <w:rPr>
                <w:rStyle w:val="10"/>
                <w:rFonts w:hint="eastAsia"/>
              </w:rPr>
              <w:t>产品性能:</w:t>
            </w:r>
            <w:r>
              <w:rPr>
                <w:rFonts w:hint="eastAsia"/>
              </w:rPr>
              <w:br w:type="textWrapping"/>
            </w:r>
            <w:r>
              <w:rPr>
                <w:rStyle w:val="11"/>
                <w:rFonts w:hint="eastAsia"/>
              </w:rPr>
              <w:t>甲基吡噁磷为胆碱酯酶抑制剂，具有触杀、胃毒和快速击倒作用，可用于防治室内蝇，适用于家庭、宾馆等室内场所使用。</w:t>
            </w:r>
          </w:p>
        </w:tc>
      </w:tr>
      <w:tr w14:paraId="01B5C40A">
        <w:tblPrEx>
          <w:tblCellMar>
            <w:top w:w="0" w:type="dxa"/>
            <w:left w:w="0" w:type="dxa"/>
            <w:bottom w:w="0" w:type="dxa"/>
            <w:right w:w="0" w:type="dxa"/>
          </w:tblCellMar>
        </w:tblPrEx>
        <w:trPr>
          <w:wBefore w:w="0" w:type="auto"/>
          <w:tblCellSpacing w:w="0" w:type="dxa"/>
        </w:trPr>
        <w:tc>
          <w:tcPr>
            <w:tcW w:w="0" w:type="auto"/>
            <w:noWrap w:val="0"/>
            <w:vAlign w:val="center"/>
          </w:tcPr>
          <w:p w14:paraId="1FD0FBDA">
            <w:r>
              <w:rPr>
                <w:rStyle w:val="10"/>
                <w:rFonts w:hint="eastAsia"/>
              </w:rPr>
              <w:t>注意事项：</w:t>
            </w:r>
            <w:r>
              <w:rPr>
                <w:rFonts w:hint="eastAsia"/>
              </w:rPr>
              <w:br w:type="textWrapping"/>
            </w:r>
            <w:r>
              <w:rPr>
                <w:rStyle w:val="11"/>
                <w:rFonts w:hint="eastAsia"/>
              </w:rPr>
              <w:t>1）本品仅用于室内，使用时切勿污染食品及饮用水。 2）避免误食，置于儿童、宠物接触不到的地方。 3）本品对鱼等水生生物、蜜蜂、家蚕有毒，注意不可污染鱼塘等水域及饲养蜂、家蚕场地，养蚕室及其附近禁用。 4）禁止儿童、孕妇及哺乳期妇女接触。 5）过敏者禁用，使用中有任何不良反应请及时就医。 6）用过的容器应妥善处理，不可做它用，不可随意丢弃。 7）本品对皮肤有刺激性。</w:t>
            </w:r>
          </w:p>
        </w:tc>
      </w:tr>
      <w:tr w14:paraId="7C2175C7">
        <w:tblPrEx>
          <w:tblCellMar>
            <w:top w:w="0" w:type="dxa"/>
            <w:left w:w="0" w:type="dxa"/>
            <w:bottom w:w="0" w:type="dxa"/>
            <w:right w:w="0" w:type="dxa"/>
          </w:tblCellMar>
        </w:tblPrEx>
        <w:trPr>
          <w:wBefore w:w="0" w:type="auto"/>
          <w:tblCellSpacing w:w="0" w:type="dxa"/>
        </w:trPr>
        <w:tc>
          <w:tcPr>
            <w:tcW w:w="0" w:type="auto"/>
            <w:noWrap w:val="0"/>
            <w:vAlign w:val="center"/>
          </w:tcPr>
          <w:p w14:paraId="0212C380">
            <w:r>
              <w:rPr>
                <w:rStyle w:val="10"/>
                <w:rFonts w:hint="eastAsia"/>
              </w:rPr>
              <w:t>中毒急救措施：</w:t>
            </w:r>
            <w:r>
              <w:rPr>
                <w:rFonts w:hint="eastAsia"/>
              </w:rPr>
              <w:br w:type="textWrapping"/>
            </w:r>
            <w:r>
              <w:rPr>
                <w:rStyle w:val="11"/>
                <w:rFonts w:hint="eastAsia"/>
              </w:rPr>
              <w:t xml:space="preserve">中毒症状：主要表现为恶心、呕吐、激动、眩晕等，误服应立即携带标签送医院诊治。使用中出现任何不良反应，请及时就医。 皮肤接触：立即脱去污染的衣物，用软布去除沾染农药，用大量清水和肥皂冲洗。 眼睛溅入：立即用流动清水冲洗不少于15分钟。 吸入：立即离开施药现场，转移到空气清新处。 误食：立即停止服用，用清水充分漱口后，携带农药标签到医院就诊。 </w:t>
            </w:r>
          </w:p>
        </w:tc>
      </w:tr>
      <w:tr w14:paraId="178BA552">
        <w:tblPrEx>
          <w:tblCellMar>
            <w:top w:w="0" w:type="dxa"/>
            <w:left w:w="0" w:type="dxa"/>
            <w:bottom w:w="0" w:type="dxa"/>
            <w:right w:w="0" w:type="dxa"/>
          </w:tblCellMar>
        </w:tblPrEx>
        <w:trPr>
          <w:wBefore w:w="0" w:type="auto"/>
          <w:tblCellSpacing w:w="0" w:type="dxa"/>
        </w:trPr>
        <w:tc>
          <w:tcPr>
            <w:tcW w:w="0" w:type="auto"/>
            <w:noWrap w:val="0"/>
            <w:vAlign w:val="center"/>
          </w:tcPr>
          <w:p w14:paraId="24061C79">
            <w:r>
              <w:rPr>
                <w:rStyle w:val="10"/>
                <w:rFonts w:hint="eastAsia"/>
              </w:rPr>
              <w:t>储存和运输方法：</w:t>
            </w:r>
            <w:r>
              <w:rPr>
                <w:rFonts w:hint="eastAsia"/>
              </w:rPr>
              <w:br w:type="textWrapping"/>
            </w:r>
            <w:r>
              <w:rPr>
                <w:rStyle w:val="11"/>
                <w:rFonts w:hint="eastAsia"/>
              </w:rPr>
              <w:t>本品应贮存在干燥、阴凉、通风、防雨处，严防潮湿和日晒。置于儿童、无关人员及动物接触不到的地方，并加锁保存。不能与食品、饮料、粮食、饲料等混合储存。</w:t>
            </w:r>
          </w:p>
        </w:tc>
      </w:tr>
      <w:tr w14:paraId="609103A9">
        <w:tblPrEx>
          <w:tblCellMar>
            <w:top w:w="0" w:type="dxa"/>
            <w:left w:w="0" w:type="dxa"/>
            <w:bottom w:w="0" w:type="dxa"/>
            <w:right w:w="0" w:type="dxa"/>
          </w:tblCellMar>
        </w:tblPrEx>
        <w:trPr>
          <w:wBefore w:w="0" w:type="auto"/>
          <w:tblCellSpacing w:w="0" w:type="dxa"/>
        </w:trPr>
        <w:tc>
          <w:tcPr>
            <w:tcW w:w="0" w:type="auto"/>
            <w:noWrap w:val="0"/>
            <w:vAlign w:val="center"/>
          </w:tcPr>
          <w:p w14:paraId="54BFA98B">
            <w:r>
              <w:rPr>
                <w:rStyle w:val="10"/>
                <w:rFonts w:hint="eastAsia"/>
              </w:rPr>
              <w:t>质量保证期：</w:t>
            </w:r>
            <w:r>
              <w:rPr>
                <w:rStyle w:val="11"/>
                <w:rFonts w:hint="eastAsia"/>
              </w:rPr>
              <w:t>2年</w:t>
            </w:r>
          </w:p>
        </w:tc>
      </w:tr>
      <w:tr w14:paraId="1F2A013C">
        <w:tblPrEx>
          <w:tblCellMar>
            <w:top w:w="0" w:type="dxa"/>
            <w:left w:w="0" w:type="dxa"/>
            <w:bottom w:w="0" w:type="dxa"/>
            <w:right w:w="0" w:type="dxa"/>
          </w:tblCellMar>
        </w:tblPrEx>
        <w:trPr>
          <w:wBefore w:w="0" w:type="auto"/>
          <w:tblCellSpacing w:w="0" w:type="dxa"/>
        </w:trPr>
        <w:tc>
          <w:tcPr>
            <w:tcW w:w="0" w:type="auto"/>
            <w:noWrap w:val="0"/>
            <w:vAlign w:val="center"/>
          </w:tcPr>
          <w:p w14:paraId="69A25B5F">
            <w:r>
              <w:rPr>
                <w:rStyle w:val="10"/>
                <w:rFonts w:hint="eastAsia"/>
              </w:rPr>
              <w:t>备注：</w:t>
            </w:r>
          </w:p>
        </w:tc>
      </w:tr>
    </w:tbl>
    <w:p w14:paraId="64A5FDF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F51C38">
        <w:tblPrEx>
          <w:tblCellMar>
            <w:top w:w="0" w:type="dxa"/>
            <w:left w:w="0" w:type="dxa"/>
            <w:bottom w:w="0" w:type="dxa"/>
            <w:right w:w="0" w:type="dxa"/>
          </w:tblCellMar>
        </w:tblPrEx>
        <w:trPr>
          <w:wBefore w:w="0" w:type="auto"/>
          <w:tblCellSpacing w:w="0" w:type="dxa"/>
        </w:trPr>
        <w:tc>
          <w:tcPr>
            <w:tcW w:w="0" w:type="auto"/>
            <w:noWrap w:val="0"/>
            <w:vAlign w:val="center"/>
          </w:tcPr>
          <w:p w14:paraId="3F2254B8">
            <w:r>
              <w:rPr>
                <w:rStyle w:val="10"/>
                <w:rFonts w:hint="eastAsia"/>
              </w:rPr>
              <w:t>登记证号：</w:t>
            </w:r>
            <w:r>
              <w:rPr>
                <w:rFonts w:hint="eastAsia"/>
              </w:rPr>
              <w:t>PD20211760</w:t>
            </w:r>
          </w:p>
        </w:tc>
      </w:tr>
      <w:tr w14:paraId="6253C67B">
        <w:tblPrEx>
          <w:tblCellMar>
            <w:top w:w="0" w:type="dxa"/>
            <w:left w:w="0" w:type="dxa"/>
            <w:bottom w:w="0" w:type="dxa"/>
            <w:right w:w="0" w:type="dxa"/>
          </w:tblCellMar>
        </w:tblPrEx>
        <w:trPr>
          <w:wBefore w:w="0" w:type="auto"/>
          <w:tblCellSpacing w:w="0" w:type="dxa"/>
        </w:trPr>
        <w:tc>
          <w:tcPr>
            <w:tcW w:w="0" w:type="auto"/>
            <w:noWrap w:val="0"/>
            <w:vAlign w:val="center"/>
          </w:tcPr>
          <w:p w14:paraId="38174192">
            <w:r>
              <w:rPr>
                <w:rStyle w:val="10"/>
                <w:rFonts w:hint="eastAsia"/>
              </w:rPr>
              <w:t>登记证持有人：</w:t>
            </w:r>
            <w:r>
              <w:rPr>
                <w:rFonts w:hint="eastAsia"/>
              </w:rPr>
              <w:t>广东新景象生物工程有限公司</w:t>
            </w:r>
          </w:p>
        </w:tc>
      </w:tr>
      <w:tr w14:paraId="5F35B25C">
        <w:tblPrEx>
          <w:tblCellMar>
            <w:top w:w="0" w:type="dxa"/>
            <w:left w:w="0" w:type="dxa"/>
            <w:bottom w:w="0" w:type="dxa"/>
            <w:right w:w="0" w:type="dxa"/>
          </w:tblCellMar>
        </w:tblPrEx>
        <w:trPr>
          <w:wBefore w:w="0" w:type="auto"/>
          <w:tblCellSpacing w:w="0" w:type="dxa"/>
        </w:trPr>
        <w:tc>
          <w:tcPr>
            <w:tcW w:w="0" w:type="auto"/>
            <w:noWrap w:val="0"/>
            <w:vAlign w:val="center"/>
          </w:tcPr>
          <w:p w14:paraId="297803EE">
            <w:r>
              <w:rPr>
                <w:rStyle w:val="10"/>
                <w:rFonts w:hint="eastAsia"/>
              </w:rPr>
              <w:t>农药名称：</w:t>
            </w:r>
            <w:r>
              <w:rPr>
                <w:rFonts w:hint="eastAsia"/>
              </w:rPr>
              <w:t>甲氨基阿维菌素苯甲酸盐</w:t>
            </w:r>
          </w:p>
        </w:tc>
      </w:tr>
      <w:tr w14:paraId="40624FCE">
        <w:tblPrEx>
          <w:tblCellMar>
            <w:top w:w="0" w:type="dxa"/>
            <w:left w:w="0" w:type="dxa"/>
            <w:bottom w:w="0" w:type="dxa"/>
            <w:right w:w="0" w:type="dxa"/>
          </w:tblCellMar>
        </w:tblPrEx>
        <w:trPr>
          <w:wBefore w:w="0" w:type="auto"/>
          <w:tblCellSpacing w:w="0" w:type="dxa"/>
        </w:trPr>
        <w:tc>
          <w:tcPr>
            <w:tcW w:w="0" w:type="auto"/>
            <w:noWrap w:val="0"/>
            <w:vAlign w:val="center"/>
          </w:tcPr>
          <w:p w14:paraId="08FA9986">
            <w:r>
              <w:rPr>
                <w:rStyle w:val="10"/>
                <w:rFonts w:hint="eastAsia"/>
              </w:rPr>
              <w:t>剂型：</w:t>
            </w:r>
            <w:r>
              <w:rPr>
                <w:rFonts w:hint="eastAsia"/>
              </w:rPr>
              <w:t>微乳剂</w:t>
            </w:r>
          </w:p>
        </w:tc>
      </w:tr>
      <w:tr w14:paraId="3E236619">
        <w:tblPrEx>
          <w:tblCellMar>
            <w:top w:w="0" w:type="dxa"/>
            <w:left w:w="0" w:type="dxa"/>
            <w:bottom w:w="0" w:type="dxa"/>
            <w:right w:w="0" w:type="dxa"/>
          </w:tblCellMar>
        </w:tblPrEx>
        <w:trPr>
          <w:wBefore w:w="0" w:type="auto"/>
          <w:tblCellSpacing w:w="0" w:type="dxa"/>
        </w:trPr>
        <w:tc>
          <w:tcPr>
            <w:tcW w:w="0" w:type="auto"/>
            <w:noWrap w:val="0"/>
            <w:vAlign w:val="center"/>
          </w:tcPr>
          <w:p w14:paraId="2A13FF9D">
            <w:r>
              <w:rPr>
                <w:rStyle w:val="10"/>
                <w:rFonts w:hint="eastAsia"/>
              </w:rPr>
              <w:t>毒性及其标识：</w:t>
            </w:r>
            <w:r>
              <w:rPr>
                <w:rFonts w:hint="eastAsia"/>
              </w:rPr>
              <w:t xml:space="preserve"> </w:t>
            </w:r>
            <w:r>
              <w:rPr>
                <w:lang/>
              </w:rPr>
              <w:drawing>
                <wp:inline distT="0" distB="0" distL="114300" distR="114300">
                  <wp:extent cx="476250" cy="323850"/>
                  <wp:effectExtent l="0" t="0" r="0" b="0"/>
                  <wp:docPr id="317" name="图片 31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5BA1939">
        <w:tblPrEx>
          <w:tblCellMar>
            <w:top w:w="0" w:type="dxa"/>
            <w:left w:w="0" w:type="dxa"/>
            <w:bottom w:w="0" w:type="dxa"/>
            <w:right w:w="0" w:type="dxa"/>
          </w:tblCellMar>
        </w:tblPrEx>
        <w:trPr>
          <w:wBefore w:w="0" w:type="auto"/>
          <w:tblCellSpacing w:w="0" w:type="dxa"/>
        </w:trPr>
        <w:tc>
          <w:tcPr>
            <w:tcW w:w="0" w:type="auto"/>
            <w:noWrap w:val="0"/>
            <w:vAlign w:val="center"/>
          </w:tcPr>
          <w:p w14:paraId="3810EF45">
            <w:r>
              <w:rPr>
                <w:rStyle w:val="10"/>
                <w:rFonts w:hint="eastAsia"/>
              </w:rPr>
              <w:t>总有效成分含量：</w:t>
            </w:r>
            <w:r>
              <w:rPr>
                <w:rFonts w:hint="eastAsia"/>
              </w:rPr>
              <w:t>5%</w:t>
            </w:r>
          </w:p>
        </w:tc>
      </w:tr>
      <w:tr w14:paraId="4DA66D1A">
        <w:tblPrEx>
          <w:tblCellMar>
            <w:top w:w="0" w:type="dxa"/>
            <w:left w:w="0" w:type="dxa"/>
            <w:bottom w:w="0" w:type="dxa"/>
            <w:right w:w="0" w:type="dxa"/>
          </w:tblCellMar>
        </w:tblPrEx>
        <w:trPr>
          <w:wBefore w:w="0" w:type="auto"/>
          <w:tblCellSpacing w:w="0" w:type="dxa"/>
        </w:trPr>
        <w:tc>
          <w:tcPr>
            <w:tcW w:w="0" w:type="auto"/>
            <w:noWrap w:val="0"/>
            <w:vAlign w:val="center"/>
          </w:tcPr>
          <w:p w14:paraId="3BB50781">
            <w:r>
              <w:rPr>
                <w:rFonts w:hint="eastAsia"/>
              </w:rPr>
              <w:t xml:space="preserve">有效成分及其含量： </w:t>
            </w:r>
          </w:p>
          <w:p w14:paraId="22D09127">
            <w:r>
              <w:rPr>
                <w:rFonts w:hint="eastAsia"/>
              </w:rPr>
              <w:t xml:space="preserve">    甲氨基阿维菌素5%    </w:t>
            </w:r>
          </w:p>
        </w:tc>
      </w:tr>
      <w:tr w14:paraId="3C0F2D0E">
        <w:tblPrEx>
          <w:tblCellMar>
            <w:top w:w="0" w:type="dxa"/>
            <w:left w:w="0" w:type="dxa"/>
            <w:bottom w:w="0" w:type="dxa"/>
            <w:right w:w="0" w:type="dxa"/>
          </w:tblCellMar>
        </w:tblPrEx>
        <w:trPr>
          <w:wBefore w:w="0" w:type="auto"/>
          <w:tblCellSpacing w:w="0" w:type="dxa"/>
        </w:trPr>
        <w:tc>
          <w:tcPr>
            <w:tcW w:w="0" w:type="auto"/>
            <w:noWrap w:val="0"/>
            <w:vAlign w:val="center"/>
          </w:tcPr>
          <w:p w14:paraId="57B8F4C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BB21D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8C6239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017ADD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C3D1A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7D8380F">
                  <w:r>
                    <w:rPr>
                      <w:rStyle w:val="11"/>
                      <w:rFonts w:hint="eastAsia"/>
                    </w:rPr>
                    <w:t>施用方式</w:t>
                  </w:r>
                </w:p>
              </w:tc>
            </w:tr>
            <w:tr w14:paraId="46F124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0E011B6">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9DA833">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BD7599">
                  <w:r>
                    <w:rPr>
                      <w:rStyle w:val="11"/>
                      <w:rFonts w:hint="eastAsia"/>
                    </w:rPr>
                    <w:t>3-4毫升/亩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BD3282">
                  <w:r>
                    <w:rPr>
                      <w:rStyle w:val="11"/>
                      <w:rFonts w:hint="eastAsia"/>
                    </w:rPr>
                    <w:t>喷雾</w:t>
                  </w:r>
                </w:p>
              </w:tc>
            </w:tr>
          </w:tbl>
          <w:p w14:paraId="6AE8319E">
            <w:pPr>
              <w:rPr>
                <w:rFonts w:ascii="Times New Roman" w:hAnsi="Times New Roman" w:cs="Times New Roman"/>
                <w:sz w:val="20"/>
                <w:szCs w:val="20"/>
              </w:rPr>
            </w:pPr>
          </w:p>
        </w:tc>
      </w:tr>
      <w:tr w14:paraId="757B1609">
        <w:tblPrEx>
          <w:tblCellMar>
            <w:top w:w="0" w:type="dxa"/>
            <w:left w:w="0" w:type="dxa"/>
            <w:bottom w:w="0" w:type="dxa"/>
            <w:right w:w="0" w:type="dxa"/>
          </w:tblCellMar>
        </w:tblPrEx>
        <w:trPr>
          <w:wBefore w:w="0" w:type="auto"/>
          <w:tblCellSpacing w:w="0" w:type="dxa"/>
        </w:trPr>
        <w:tc>
          <w:tcPr>
            <w:tcW w:w="0" w:type="auto"/>
            <w:noWrap w:val="0"/>
            <w:vAlign w:val="center"/>
          </w:tcPr>
          <w:p w14:paraId="41513A67">
            <w:r>
              <w:rPr>
                <w:rStyle w:val="10"/>
                <w:rFonts w:hint="eastAsia"/>
              </w:rPr>
              <w:t>使用技术要求:</w:t>
            </w:r>
            <w:r>
              <w:rPr>
                <w:rFonts w:hint="eastAsia"/>
              </w:rPr>
              <w:br w:type="textWrapping"/>
            </w:r>
            <w:r>
              <w:rPr>
                <w:rStyle w:val="11"/>
                <w:rFonts w:hint="eastAsia"/>
              </w:rPr>
              <w:t>1.本品应于甜菜夜蛾卵孵化盛期至低龄幼虫高峰期兑水喷雾使用。使用本品后的甘蓝至少应间隔3天才能收获，每季最多使用1次。 2.大风天或1小时内降雨，请勿施药。</w:t>
            </w:r>
          </w:p>
        </w:tc>
      </w:tr>
      <w:tr w14:paraId="64AD8757">
        <w:tblPrEx>
          <w:tblCellMar>
            <w:top w:w="0" w:type="dxa"/>
            <w:left w:w="0" w:type="dxa"/>
            <w:bottom w:w="0" w:type="dxa"/>
            <w:right w:w="0" w:type="dxa"/>
          </w:tblCellMar>
        </w:tblPrEx>
        <w:trPr>
          <w:wBefore w:w="0" w:type="auto"/>
          <w:tblCellSpacing w:w="0" w:type="dxa"/>
        </w:trPr>
        <w:tc>
          <w:tcPr>
            <w:tcW w:w="0" w:type="auto"/>
            <w:noWrap w:val="0"/>
            <w:vAlign w:val="center"/>
          </w:tcPr>
          <w:p w14:paraId="27F880A7">
            <w:r>
              <w:rPr>
                <w:rStyle w:val="10"/>
                <w:rFonts w:hint="eastAsia"/>
              </w:rPr>
              <w:t>产品性能:</w:t>
            </w:r>
            <w:r>
              <w:rPr>
                <w:rFonts w:hint="eastAsia"/>
              </w:rPr>
              <w:br w:type="textWrapping"/>
            </w:r>
            <w:r>
              <w:rPr>
                <w:rStyle w:val="11"/>
                <w:rFonts w:hint="eastAsia"/>
              </w:rPr>
              <w:t>本品以胃毒作用为主，兼具触杀作用，无内吸性，但能有效渗入叶片组织，因而具有较强的渗透作用，可杀死植物表皮下的害虫。可用于防治甘蓝甜菜夜蛾。</w:t>
            </w:r>
          </w:p>
        </w:tc>
      </w:tr>
      <w:tr w14:paraId="6FB436A3">
        <w:tblPrEx>
          <w:tblCellMar>
            <w:top w:w="0" w:type="dxa"/>
            <w:left w:w="0" w:type="dxa"/>
            <w:bottom w:w="0" w:type="dxa"/>
            <w:right w:w="0" w:type="dxa"/>
          </w:tblCellMar>
        </w:tblPrEx>
        <w:trPr>
          <w:wBefore w:w="0" w:type="auto"/>
          <w:tblCellSpacing w:w="0" w:type="dxa"/>
        </w:trPr>
        <w:tc>
          <w:tcPr>
            <w:tcW w:w="0" w:type="auto"/>
            <w:noWrap w:val="0"/>
            <w:vAlign w:val="center"/>
          </w:tcPr>
          <w:p w14:paraId="71C3C95C">
            <w:r>
              <w:rPr>
                <w:rStyle w:val="10"/>
                <w:rFonts w:hint="eastAsia"/>
              </w:rPr>
              <w:t>注意事项：</w:t>
            </w:r>
            <w:r>
              <w:rPr>
                <w:rFonts w:hint="eastAsia"/>
              </w:rPr>
              <w:br w:type="textWrapping"/>
            </w:r>
            <w:r>
              <w:rPr>
                <w:rStyle w:val="11"/>
                <w:rFonts w:hint="eastAsia"/>
              </w:rPr>
              <w:t>1.本品对蜜蜂、家蚕、鱼类等水生生物有毒，对天敌生物有风险；本品对蜜蜂有毒，施药期间应避免对周围蜂群的影响、周围开花植物、蜜源作物花期禁用；蚕室及桑园附近禁用；远离水产养殖区、河塘等水体施药，禁止药物及清洗药具的废水直接排入鱼塘等水源。2、施药人员需要做个人好防护措施，施药时不可饮水、吸烟，施药后及时清洗皮肤和裸露部位，减少口鼻吸入及皮肤接触。3、用过的容器应妥善处理，不可做他用，也不可随意丢弃。4、建议与作用机制不同的杀虫剂轮换使用，以延缓抗性产生。5、禁止儿童、孕妇和哺乳期妇女接触。6、过敏者禁用，使用中有任何不良反应请及时就医。7.本品易燃。8.避免与氧化剂接触。</w:t>
            </w:r>
          </w:p>
        </w:tc>
      </w:tr>
      <w:tr w14:paraId="00756A84">
        <w:tblPrEx>
          <w:tblCellMar>
            <w:top w:w="0" w:type="dxa"/>
            <w:left w:w="0" w:type="dxa"/>
            <w:bottom w:w="0" w:type="dxa"/>
            <w:right w:w="0" w:type="dxa"/>
          </w:tblCellMar>
        </w:tblPrEx>
        <w:trPr>
          <w:wBefore w:w="0" w:type="auto"/>
          <w:tblCellSpacing w:w="0" w:type="dxa"/>
        </w:trPr>
        <w:tc>
          <w:tcPr>
            <w:tcW w:w="0" w:type="auto"/>
            <w:noWrap w:val="0"/>
            <w:vAlign w:val="center"/>
          </w:tcPr>
          <w:p w14:paraId="035F17F3">
            <w:r>
              <w:rPr>
                <w:rStyle w:val="10"/>
                <w:rFonts w:hint="eastAsia"/>
              </w:rPr>
              <w:t>中毒急救措施：</w:t>
            </w:r>
            <w:r>
              <w:rPr>
                <w:rFonts w:hint="eastAsia"/>
              </w:rPr>
              <w:br w:type="textWrapping"/>
            </w:r>
            <w:r>
              <w:rPr>
                <w:rStyle w:val="11"/>
                <w:rFonts w:hint="eastAsia"/>
              </w:rPr>
              <w:t>中毒急救：使用中或使用后如果感觉不适，应立即停止工作，采取急救措施，并携带标签送医院就诊。 皮肤接触：立即退去被污染的衣物，用肥皂与大量清水至少冲洗15分钟，送医就诊。眼睛溅入：立即翻开眼睑，用流动的清水至少冲洗15分钟，送医就诊。吸入：不慎吸入:立即转移至空气清新处，送医就诊。误食：不慎误食，马上停止食用，携带标签送医就诊，立即引吐并给患者服用吐根糖浆或麻黄素，但勿给昏迷患者催吐或者灌任何东西。抢救时避免给患者使用增强Υ-氨基丁酸活性的药物，如巴比妥、丙戊酸。</w:t>
            </w:r>
          </w:p>
        </w:tc>
      </w:tr>
      <w:tr w14:paraId="2BF42575">
        <w:tblPrEx>
          <w:tblCellMar>
            <w:top w:w="0" w:type="dxa"/>
            <w:left w:w="0" w:type="dxa"/>
            <w:bottom w:w="0" w:type="dxa"/>
            <w:right w:w="0" w:type="dxa"/>
          </w:tblCellMar>
        </w:tblPrEx>
        <w:trPr>
          <w:wBefore w:w="0" w:type="auto"/>
          <w:tblCellSpacing w:w="0" w:type="dxa"/>
        </w:trPr>
        <w:tc>
          <w:tcPr>
            <w:tcW w:w="0" w:type="auto"/>
            <w:noWrap w:val="0"/>
            <w:vAlign w:val="center"/>
          </w:tcPr>
          <w:p w14:paraId="25F9C7B8">
            <w:r>
              <w:rPr>
                <w:rStyle w:val="10"/>
                <w:rFonts w:hint="eastAsia"/>
              </w:rPr>
              <w:t>储存和运输方法：</w:t>
            </w:r>
            <w:r>
              <w:rPr>
                <w:rFonts w:hint="eastAsia"/>
              </w:rPr>
              <w:br w:type="textWrapping"/>
            </w:r>
            <w:r>
              <w:rPr>
                <w:rStyle w:val="11"/>
                <w:rFonts w:hint="eastAsia"/>
              </w:rPr>
              <w:t>本品应贮存在干燥、阴凉、通风、防雨处。置于儿童触及不到之处，并加锁。勿与食品、饮料、饲料等其他商品同贮同运。</w:t>
            </w:r>
          </w:p>
        </w:tc>
      </w:tr>
      <w:tr w14:paraId="30BEBDAC">
        <w:tblPrEx>
          <w:tblCellMar>
            <w:top w:w="0" w:type="dxa"/>
            <w:left w:w="0" w:type="dxa"/>
            <w:bottom w:w="0" w:type="dxa"/>
            <w:right w:w="0" w:type="dxa"/>
          </w:tblCellMar>
        </w:tblPrEx>
        <w:trPr>
          <w:wBefore w:w="0" w:type="auto"/>
          <w:tblCellSpacing w:w="0" w:type="dxa"/>
        </w:trPr>
        <w:tc>
          <w:tcPr>
            <w:tcW w:w="0" w:type="auto"/>
            <w:noWrap w:val="0"/>
            <w:vAlign w:val="center"/>
          </w:tcPr>
          <w:p w14:paraId="66B0382D">
            <w:r>
              <w:rPr>
                <w:rStyle w:val="10"/>
                <w:rFonts w:hint="eastAsia"/>
              </w:rPr>
              <w:t>质量保证期：</w:t>
            </w:r>
            <w:r>
              <w:rPr>
                <w:rStyle w:val="11"/>
                <w:rFonts w:hint="eastAsia"/>
              </w:rPr>
              <w:t>2年</w:t>
            </w:r>
          </w:p>
        </w:tc>
      </w:tr>
      <w:tr w14:paraId="4AA8303B">
        <w:tblPrEx>
          <w:tblCellMar>
            <w:top w:w="0" w:type="dxa"/>
            <w:left w:w="0" w:type="dxa"/>
            <w:bottom w:w="0" w:type="dxa"/>
            <w:right w:w="0" w:type="dxa"/>
          </w:tblCellMar>
        </w:tblPrEx>
        <w:trPr>
          <w:wBefore w:w="0" w:type="auto"/>
          <w:tblCellSpacing w:w="0" w:type="dxa"/>
        </w:trPr>
        <w:tc>
          <w:tcPr>
            <w:tcW w:w="0" w:type="auto"/>
            <w:noWrap w:val="0"/>
            <w:vAlign w:val="center"/>
          </w:tcPr>
          <w:p w14:paraId="295A0D3C">
            <w:r>
              <w:rPr>
                <w:rStyle w:val="10"/>
                <w:rFonts w:hint="eastAsia"/>
              </w:rPr>
              <w:t>备注：</w:t>
            </w:r>
            <w:r>
              <w:rPr>
                <w:rFonts w:hint="eastAsia"/>
              </w:rPr>
              <w:br w:type="textWrapping"/>
            </w:r>
            <w:r>
              <w:rPr>
                <w:rStyle w:val="11"/>
                <w:rFonts w:hint="eastAsia"/>
              </w:rPr>
              <w:t>甲氨基阿维菌素苯甲酸盐5.7%。</w:t>
            </w:r>
          </w:p>
        </w:tc>
      </w:tr>
    </w:tbl>
    <w:p w14:paraId="551261E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B06B54">
        <w:tblPrEx>
          <w:tblCellMar>
            <w:top w:w="0" w:type="dxa"/>
            <w:left w:w="0" w:type="dxa"/>
            <w:bottom w:w="0" w:type="dxa"/>
            <w:right w:w="0" w:type="dxa"/>
          </w:tblCellMar>
        </w:tblPrEx>
        <w:trPr>
          <w:wBefore w:w="0" w:type="auto"/>
          <w:tblCellSpacing w:w="0" w:type="dxa"/>
        </w:trPr>
        <w:tc>
          <w:tcPr>
            <w:tcW w:w="0" w:type="auto"/>
            <w:noWrap w:val="0"/>
            <w:vAlign w:val="center"/>
          </w:tcPr>
          <w:p w14:paraId="0B456875">
            <w:r>
              <w:rPr>
                <w:rStyle w:val="10"/>
                <w:rFonts w:hint="eastAsia"/>
              </w:rPr>
              <w:t>登记证号：</w:t>
            </w:r>
            <w:r>
              <w:rPr>
                <w:rFonts w:hint="eastAsia"/>
              </w:rPr>
              <w:t>PD20212020</w:t>
            </w:r>
          </w:p>
        </w:tc>
      </w:tr>
      <w:tr w14:paraId="762B41F0">
        <w:tblPrEx>
          <w:tblCellMar>
            <w:top w:w="0" w:type="dxa"/>
            <w:left w:w="0" w:type="dxa"/>
            <w:bottom w:w="0" w:type="dxa"/>
            <w:right w:w="0" w:type="dxa"/>
          </w:tblCellMar>
        </w:tblPrEx>
        <w:trPr>
          <w:wBefore w:w="0" w:type="auto"/>
          <w:tblCellSpacing w:w="0" w:type="dxa"/>
        </w:trPr>
        <w:tc>
          <w:tcPr>
            <w:tcW w:w="0" w:type="auto"/>
            <w:noWrap w:val="0"/>
            <w:vAlign w:val="center"/>
          </w:tcPr>
          <w:p w14:paraId="12873F0C">
            <w:r>
              <w:rPr>
                <w:rStyle w:val="10"/>
                <w:rFonts w:hint="eastAsia"/>
              </w:rPr>
              <w:t>登记证持有人：</w:t>
            </w:r>
            <w:r>
              <w:rPr>
                <w:rFonts w:hint="eastAsia"/>
              </w:rPr>
              <w:t>河南三浦百草生物工程有限公司</w:t>
            </w:r>
          </w:p>
        </w:tc>
      </w:tr>
      <w:tr w14:paraId="08807880">
        <w:tblPrEx>
          <w:tblCellMar>
            <w:top w:w="0" w:type="dxa"/>
            <w:left w:w="0" w:type="dxa"/>
            <w:bottom w:w="0" w:type="dxa"/>
            <w:right w:w="0" w:type="dxa"/>
          </w:tblCellMar>
        </w:tblPrEx>
        <w:trPr>
          <w:wBefore w:w="0" w:type="auto"/>
          <w:tblCellSpacing w:w="0" w:type="dxa"/>
        </w:trPr>
        <w:tc>
          <w:tcPr>
            <w:tcW w:w="0" w:type="auto"/>
            <w:noWrap w:val="0"/>
            <w:vAlign w:val="center"/>
          </w:tcPr>
          <w:p w14:paraId="78684502">
            <w:r>
              <w:rPr>
                <w:rStyle w:val="10"/>
                <w:rFonts w:hint="eastAsia"/>
              </w:rPr>
              <w:t>农药名称：</w:t>
            </w:r>
            <w:r>
              <w:rPr>
                <w:rFonts w:hint="eastAsia"/>
              </w:rPr>
              <w:t>赤霉酸</w:t>
            </w:r>
          </w:p>
        </w:tc>
      </w:tr>
      <w:tr w14:paraId="0203B234">
        <w:tblPrEx>
          <w:tblCellMar>
            <w:top w:w="0" w:type="dxa"/>
            <w:left w:w="0" w:type="dxa"/>
            <w:bottom w:w="0" w:type="dxa"/>
            <w:right w:w="0" w:type="dxa"/>
          </w:tblCellMar>
        </w:tblPrEx>
        <w:trPr>
          <w:wBefore w:w="0" w:type="auto"/>
          <w:tblCellSpacing w:w="0" w:type="dxa"/>
        </w:trPr>
        <w:tc>
          <w:tcPr>
            <w:tcW w:w="0" w:type="auto"/>
            <w:noWrap w:val="0"/>
            <w:vAlign w:val="center"/>
          </w:tcPr>
          <w:p w14:paraId="7193F4ED">
            <w:r>
              <w:rPr>
                <w:rStyle w:val="10"/>
                <w:rFonts w:hint="eastAsia"/>
              </w:rPr>
              <w:t>剂型：</w:t>
            </w:r>
            <w:r>
              <w:rPr>
                <w:rFonts w:hint="eastAsia"/>
              </w:rPr>
              <w:t>可溶粉剂</w:t>
            </w:r>
          </w:p>
        </w:tc>
      </w:tr>
      <w:tr w14:paraId="08AB153B">
        <w:tblPrEx>
          <w:tblCellMar>
            <w:top w:w="0" w:type="dxa"/>
            <w:left w:w="0" w:type="dxa"/>
            <w:bottom w:w="0" w:type="dxa"/>
            <w:right w:w="0" w:type="dxa"/>
          </w:tblCellMar>
        </w:tblPrEx>
        <w:trPr>
          <w:wBefore w:w="0" w:type="auto"/>
          <w:tblCellSpacing w:w="0" w:type="dxa"/>
        </w:trPr>
        <w:tc>
          <w:tcPr>
            <w:tcW w:w="0" w:type="auto"/>
            <w:noWrap w:val="0"/>
            <w:vAlign w:val="center"/>
          </w:tcPr>
          <w:p w14:paraId="41F649A7">
            <w:r>
              <w:rPr>
                <w:rStyle w:val="10"/>
                <w:rFonts w:hint="eastAsia"/>
              </w:rPr>
              <w:t>毒性及其标识：</w:t>
            </w:r>
            <w:r>
              <w:rPr>
                <w:rFonts w:hint="eastAsia"/>
              </w:rPr>
              <w:t xml:space="preserve"> </w:t>
            </w:r>
            <w:r>
              <w:rPr>
                <w:lang/>
              </w:rPr>
              <w:drawing>
                <wp:inline distT="0" distB="0" distL="114300" distR="114300">
                  <wp:extent cx="476250" cy="323850"/>
                  <wp:effectExtent l="0" t="0" r="0" b="0"/>
                  <wp:docPr id="318" name="图片 31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6D69B8E">
        <w:tblPrEx>
          <w:tblCellMar>
            <w:top w:w="0" w:type="dxa"/>
            <w:left w:w="0" w:type="dxa"/>
            <w:bottom w:w="0" w:type="dxa"/>
            <w:right w:w="0" w:type="dxa"/>
          </w:tblCellMar>
        </w:tblPrEx>
        <w:trPr>
          <w:wBefore w:w="0" w:type="auto"/>
          <w:tblCellSpacing w:w="0" w:type="dxa"/>
        </w:trPr>
        <w:tc>
          <w:tcPr>
            <w:tcW w:w="0" w:type="auto"/>
            <w:noWrap w:val="0"/>
            <w:vAlign w:val="center"/>
          </w:tcPr>
          <w:p w14:paraId="3A4C31D5">
            <w:r>
              <w:rPr>
                <w:rStyle w:val="10"/>
                <w:rFonts w:hint="eastAsia"/>
              </w:rPr>
              <w:t>总有效成分含量：</w:t>
            </w:r>
            <w:r>
              <w:rPr>
                <w:rFonts w:hint="eastAsia"/>
              </w:rPr>
              <w:t>40%</w:t>
            </w:r>
          </w:p>
        </w:tc>
      </w:tr>
      <w:tr w14:paraId="0D4B657D">
        <w:tblPrEx>
          <w:tblCellMar>
            <w:top w:w="0" w:type="dxa"/>
            <w:left w:w="0" w:type="dxa"/>
            <w:bottom w:w="0" w:type="dxa"/>
            <w:right w:w="0" w:type="dxa"/>
          </w:tblCellMar>
        </w:tblPrEx>
        <w:trPr>
          <w:wBefore w:w="0" w:type="auto"/>
          <w:tblCellSpacing w:w="0" w:type="dxa"/>
        </w:trPr>
        <w:tc>
          <w:tcPr>
            <w:tcW w:w="0" w:type="auto"/>
            <w:noWrap w:val="0"/>
            <w:vAlign w:val="center"/>
          </w:tcPr>
          <w:p w14:paraId="165D5539">
            <w:r>
              <w:rPr>
                <w:rFonts w:hint="eastAsia"/>
              </w:rPr>
              <w:t xml:space="preserve">有效成分及其含量： </w:t>
            </w:r>
          </w:p>
          <w:p w14:paraId="2BE7CBD5">
            <w:r>
              <w:rPr>
                <w:rFonts w:hint="eastAsia"/>
              </w:rPr>
              <w:t xml:space="preserve">    赤霉酸40%    </w:t>
            </w:r>
          </w:p>
        </w:tc>
      </w:tr>
      <w:tr w14:paraId="79C16C3A">
        <w:tblPrEx>
          <w:tblCellMar>
            <w:top w:w="0" w:type="dxa"/>
            <w:left w:w="0" w:type="dxa"/>
            <w:bottom w:w="0" w:type="dxa"/>
            <w:right w:w="0" w:type="dxa"/>
          </w:tblCellMar>
        </w:tblPrEx>
        <w:trPr>
          <w:wBefore w:w="0" w:type="auto"/>
          <w:tblCellSpacing w:w="0" w:type="dxa"/>
        </w:trPr>
        <w:tc>
          <w:tcPr>
            <w:tcW w:w="0" w:type="auto"/>
            <w:noWrap w:val="0"/>
            <w:vAlign w:val="center"/>
          </w:tcPr>
          <w:p w14:paraId="3AA6C90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3DE8B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5D5C50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3410F0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949F5D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3B15DCE">
                  <w:r>
                    <w:rPr>
                      <w:rStyle w:val="11"/>
                      <w:rFonts w:hint="eastAsia"/>
                    </w:rPr>
                    <w:t>施用方式</w:t>
                  </w:r>
                </w:p>
              </w:tc>
            </w:tr>
            <w:tr w14:paraId="12E654B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4AE976F">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8A1ED4">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5CFEC3">
                  <w:r>
                    <w:rPr>
                      <w:rStyle w:val="11"/>
                      <w:rFonts w:hint="eastAsia"/>
                    </w:rPr>
                    <w:t>13000-20000倍液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562066">
                  <w:r>
                    <w:rPr>
                      <w:rStyle w:val="11"/>
                      <w:rFonts w:hint="eastAsia"/>
                    </w:rPr>
                    <w:t>喷雾</w:t>
                  </w:r>
                </w:p>
              </w:tc>
            </w:tr>
          </w:tbl>
          <w:p w14:paraId="543D4478">
            <w:pPr>
              <w:rPr>
                <w:rFonts w:ascii="Times New Roman" w:hAnsi="Times New Roman" w:cs="Times New Roman"/>
                <w:sz w:val="20"/>
                <w:szCs w:val="20"/>
              </w:rPr>
            </w:pPr>
          </w:p>
        </w:tc>
      </w:tr>
      <w:tr w14:paraId="133A49D3">
        <w:tblPrEx>
          <w:tblCellMar>
            <w:top w:w="0" w:type="dxa"/>
            <w:left w:w="0" w:type="dxa"/>
            <w:bottom w:w="0" w:type="dxa"/>
            <w:right w:w="0" w:type="dxa"/>
          </w:tblCellMar>
        </w:tblPrEx>
        <w:trPr>
          <w:wBefore w:w="0" w:type="auto"/>
          <w:tblCellSpacing w:w="0" w:type="dxa"/>
        </w:trPr>
        <w:tc>
          <w:tcPr>
            <w:tcW w:w="0" w:type="auto"/>
            <w:noWrap w:val="0"/>
            <w:vAlign w:val="center"/>
          </w:tcPr>
          <w:p w14:paraId="69D2BC08">
            <w:r>
              <w:rPr>
                <w:rStyle w:val="10"/>
                <w:rFonts w:hint="eastAsia"/>
              </w:rPr>
              <w:t>使用技术要求:</w:t>
            </w:r>
            <w:r>
              <w:rPr>
                <w:rFonts w:hint="eastAsia"/>
              </w:rPr>
              <w:br w:type="textWrapping"/>
            </w:r>
            <w:r>
              <w:rPr>
                <w:rStyle w:val="11"/>
                <w:rFonts w:hint="eastAsia"/>
              </w:rPr>
              <w:t>1.在柑橘树谢花2/3时喷雾施药一次，间隔10-15天再喷施一次 2、大风天或预计1小时内降雨，请勿施药。</w:t>
            </w:r>
          </w:p>
        </w:tc>
      </w:tr>
      <w:tr w14:paraId="6A7CB6F9">
        <w:tblPrEx>
          <w:tblCellMar>
            <w:top w:w="0" w:type="dxa"/>
            <w:left w:w="0" w:type="dxa"/>
            <w:bottom w:w="0" w:type="dxa"/>
            <w:right w:w="0" w:type="dxa"/>
          </w:tblCellMar>
        </w:tblPrEx>
        <w:trPr>
          <w:wBefore w:w="0" w:type="auto"/>
          <w:tblCellSpacing w:w="0" w:type="dxa"/>
        </w:trPr>
        <w:tc>
          <w:tcPr>
            <w:tcW w:w="0" w:type="auto"/>
            <w:noWrap w:val="0"/>
            <w:vAlign w:val="center"/>
          </w:tcPr>
          <w:p w14:paraId="0EBF7642">
            <w:r>
              <w:rPr>
                <w:rStyle w:val="10"/>
                <w:rFonts w:hint="eastAsia"/>
              </w:rPr>
              <w:t>产品性能:</w:t>
            </w:r>
            <w:r>
              <w:rPr>
                <w:rFonts w:hint="eastAsia"/>
              </w:rPr>
              <w:br w:type="textWrapping"/>
            </w:r>
            <w:r>
              <w:rPr>
                <w:rStyle w:val="11"/>
                <w:rFonts w:hint="eastAsia"/>
              </w:rPr>
              <w:t>本品是生物化学农药，是一种植物生长调节剂，能促进作物细胞分裂与生长，促使植物生长发育，能刺激植物细胞伸长，使植株高、果实增大。</w:t>
            </w:r>
          </w:p>
        </w:tc>
      </w:tr>
      <w:tr w14:paraId="3717F8C8">
        <w:tblPrEx>
          <w:tblCellMar>
            <w:top w:w="0" w:type="dxa"/>
            <w:left w:w="0" w:type="dxa"/>
            <w:bottom w:w="0" w:type="dxa"/>
            <w:right w:w="0" w:type="dxa"/>
          </w:tblCellMar>
        </w:tblPrEx>
        <w:trPr>
          <w:wBefore w:w="0" w:type="auto"/>
          <w:tblCellSpacing w:w="0" w:type="dxa"/>
        </w:trPr>
        <w:tc>
          <w:tcPr>
            <w:tcW w:w="0" w:type="auto"/>
            <w:noWrap w:val="0"/>
            <w:vAlign w:val="center"/>
          </w:tcPr>
          <w:p w14:paraId="5AE06E14">
            <w:r>
              <w:rPr>
                <w:rStyle w:val="10"/>
                <w:rFonts w:hint="eastAsia"/>
              </w:rPr>
              <w:t>注意事项：</w:t>
            </w:r>
            <w:r>
              <w:rPr>
                <w:rFonts w:hint="eastAsia"/>
              </w:rPr>
              <w:br w:type="textWrapping"/>
            </w:r>
            <w:r>
              <w:rPr>
                <w:rStyle w:val="11"/>
                <w:rFonts w:hint="eastAsia"/>
              </w:rPr>
              <w:t>1. 本品不宜与碱性农药等物质混合使用。 2. 禁止在河塘等水体中清洗施药器具。 3. 孕妇及哺乳期妇女应避免接触。 4. 使用本品时应穿戴防护服和手套，避免吸入药液。施药期间不可吃东西和饮水。施药后应及时洗手和洗脸。 5. 用过的容器应妥善处理，不可做他用，也不可随意丢弃。6.大风天或预计1小时内降雨，请勿施药。</w:t>
            </w:r>
          </w:p>
        </w:tc>
      </w:tr>
      <w:tr w14:paraId="2F266C94">
        <w:tblPrEx>
          <w:tblCellMar>
            <w:top w:w="0" w:type="dxa"/>
            <w:left w:w="0" w:type="dxa"/>
            <w:bottom w:w="0" w:type="dxa"/>
            <w:right w:w="0" w:type="dxa"/>
          </w:tblCellMar>
        </w:tblPrEx>
        <w:trPr>
          <w:wBefore w:w="0" w:type="auto"/>
          <w:tblCellSpacing w:w="0" w:type="dxa"/>
        </w:trPr>
        <w:tc>
          <w:tcPr>
            <w:tcW w:w="0" w:type="auto"/>
            <w:noWrap w:val="0"/>
            <w:vAlign w:val="center"/>
          </w:tcPr>
          <w:p w14:paraId="7D67AFFF">
            <w:r>
              <w:rPr>
                <w:rStyle w:val="10"/>
                <w:rFonts w:hint="eastAsia"/>
              </w:rPr>
              <w:t>中毒急救措施：</w:t>
            </w:r>
            <w:r>
              <w:rPr>
                <w:rFonts w:hint="eastAsia"/>
              </w:rPr>
              <w:br w:type="textWrapping"/>
            </w:r>
            <w:r>
              <w:rPr>
                <w:rStyle w:val="11"/>
                <w:rFonts w:hint="eastAsia"/>
              </w:rPr>
              <w:t>接触皮肤，用肥皂和清水彻底清洗受污的皮肤，如溅入眼睛，用清水冲洗眼睛至少10分钟。无人体中毒报道。如果误服，立即送医治疗。如果误吸，迅速脱离现场至空气新鲜处。保持呼吸道通畅。若呼吸困难时，给输氧。就医。</w:t>
            </w:r>
          </w:p>
        </w:tc>
      </w:tr>
      <w:tr w14:paraId="27A88383">
        <w:tblPrEx>
          <w:tblCellMar>
            <w:top w:w="0" w:type="dxa"/>
            <w:left w:w="0" w:type="dxa"/>
            <w:bottom w:w="0" w:type="dxa"/>
            <w:right w:w="0" w:type="dxa"/>
          </w:tblCellMar>
        </w:tblPrEx>
        <w:trPr>
          <w:wBefore w:w="0" w:type="auto"/>
          <w:tblCellSpacing w:w="0" w:type="dxa"/>
        </w:trPr>
        <w:tc>
          <w:tcPr>
            <w:tcW w:w="0" w:type="auto"/>
            <w:noWrap w:val="0"/>
            <w:vAlign w:val="center"/>
          </w:tcPr>
          <w:p w14:paraId="5C3EA0C0">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本品应贮存在干燥、阴凉、通风、防雨处，远离火源或热源。置于儿童触及不到之处，并加锁。勿与食品、饮料、饲料和粮食等同贮同运。</w:t>
            </w:r>
          </w:p>
        </w:tc>
      </w:tr>
      <w:tr w14:paraId="4CBDD45D">
        <w:tblPrEx>
          <w:tblCellMar>
            <w:top w:w="0" w:type="dxa"/>
            <w:left w:w="0" w:type="dxa"/>
            <w:bottom w:w="0" w:type="dxa"/>
            <w:right w:w="0" w:type="dxa"/>
          </w:tblCellMar>
        </w:tblPrEx>
        <w:trPr>
          <w:wBefore w:w="0" w:type="auto"/>
          <w:tblCellSpacing w:w="0" w:type="dxa"/>
        </w:trPr>
        <w:tc>
          <w:tcPr>
            <w:tcW w:w="0" w:type="auto"/>
            <w:noWrap w:val="0"/>
            <w:vAlign w:val="center"/>
          </w:tcPr>
          <w:p w14:paraId="49091707">
            <w:r>
              <w:rPr>
                <w:rStyle w:val="10"/>
                <w:rFonts w:hint="eastAsia"/>
              </w:rPr>
              <w:t>质量保证期：</w:t>
            </w:r>
            <w:r>
              <w:rPr>
                <w:rStyle w:val="11"/>
                <w:rFonts w:hint="eastAsia"/>
              </w:rPr>
              <w:t>2年</w:t>
            </w:r>
          </w:p>
        </w:tc>
      </w:tr>
      <w:tr w14:paraId="22F6CDCA">
        <w:tblPrEx>
          <w:tblCellMar>
            <w:top w:w="0" w:type="dxa"/>
            <w:left w:w="0" w:type="dxa"/>
            <w:bottom w:w="0" w:type="dxa"/>
            <w:right w:w="0" w:type="dxa"/>
          </w:tblCellMar>
        </w:tblPrEx>
        <w:trPr>
          <w:wBefore w:w="0" w:type="auto"/>
          <w:tblCellSpacing w:w="0" w:type="dxa"/>
        </w:trPr>
        <w:tc>
          <w:tcPr>
            <w:tcW w:w="0" w:type="auto"/>
            <w:noWrap w:val="0"/>
            <w:vAlign w:val="center"/>
          </w:tcPr>
          <w:p w14:paraId="348DFBC2">
            <w:r>
              <w:rPr>
                <w:rStyle w:val="10"/>
                <w:rFonts w:hint="eastAsia"/>
              </w:rPr>
              <w:t>备注：</w:t>
            </w:r>
          </w:p>
        </w:tc>
      </w:tr>
    </w:tbl>
    <w:p w14:paraId="6F0420D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C5516FD">
        <w:tblPrEx>
          <w:tblCellMar>
            <w:top w:w="0" w:type="dxa"/>
            <w:left w:w="0" w:type="dxa"/>
            <w:bottom w:w="0" w:type="dxa"/>
            <w:right w:w="0" w:type="dxa"/>
          </w:tblCellMar>
        </w:tblPrEx>
        <w:trPr>
          <w:wBefore w:w="0" w:type="auto"/>
          <w:tblCellSpacing w:w="0" w:type="dxa"/>
        </w:trPr>
        <w:tc>
          <w:tcPr>
            <w:tcW w:w="0" w:type="auto"/>
            <w:noWrap w:val="0"/>
            <w:vAlign w:val="center"/>
          </w:tcPr>
          <w:p w14:paraId="7A3ED42C">
            <w:r>
              <w:rPr>
                <w:rStyle w:val="10"/>
                <w:rFonts w:hint="eastAsia"/>
              </w:rPr>
              <w:t>登记证号：</w:t>
            </w:r>
            <w:r>
              <w:rPr>
                <w:rFonts w:hint="eastAsia"/>
              </w:rPr>
              <w:t>PD20211929</w:t>
            </w:r>
          </w:p>
        </w:tc>
      </w:tr>
      <w:tr w14:paraId="094A9A3E">
        <w:tblPrEx>
          <w:tblCellMar>
            <w:top w:w="0" w:type="dxa"/>
            <w:left w:w="0" w:type="dxa"/>
            <w:bottom w:w="0" w:type="dxa"/>
            <w:right w:w="0" w:type="dxa"/>
          </w:tblCellMar>
        </w:tblPrEx>
        <w:trPr>
          <w:wBefore w:w="0" w:type="auto"/>
          <w:tblCellSpacing w:w="0" w:type="dxa"/>
        </w:trPr>
        <w:tc>
          <w:tcPr>
            <w:tcW w:w="0" w:type="auto"/>
            <w:noWrap w:val="0"/>
            <w:vAlign w:val="center"/>
          </w:tcPr>
          <w:p w14:paraId="003BEB3C">
            <w:r>
              <w:rPr>
                <w:rStyle w:val="10"/>
                <w:rFonts w:hint="eastAsia"/>
              </w:rPr>
              <w:t>登记证持有人：</w:t>
            </w:r>
            <w:r>
              <w:rPr>
                <w:rFonts w:hint="eastAsia"/>
              </w:rPr>
              <w:t>山东省绿士农药有限公司</w:t>
            </w:r>
          </w:p>
        </w:tc>
      </w:tr>
      <w:tr w14:paraId="3B68A47D">
        <w:tblPrEx>
          <w:tblCellMar>
            <w:top w:w="0" w:type="dxa"/>
            <w:left w:w="0" w:type="dxa"/>
            <w:bottom w:w="0" w:type="dxa"/>
            <w:right w:w="0" w:type="dxa"/>
          </w:tblCellMar>
        </w:tblPrEx>
        <w:trPr>
          <w:wBefore w:w="0" w:type="auto"/>
          <w:tblCellSpacing w:w="0" w:type="dxa"/>
        </w:trPr>
        <w:tc>
          <w:tcPr>
            <w:tcW w:w="0" w:type="auto"/>
            <w:noWrap w:val="0"/>
            <w:vAlign w:val="center"/>
          </w:tcPr>
          <w:p w14:paraId="442945AA">
            <w:r>
              <w:rPr>
                <w:rStyle w:val="10"/>
                <w:rFonts w:hint="eastAsia"/>
              </w:rPr>
              <w:t>农药名称：</w:t>
            </w:r>
            <w:r>
              <w:rPr>
                <w:rFonts w:hint="eastAsia"/>
              </w:rPr>
              <w:t>乙嘧酚磺酸酯</w:t>
            </w:r>
          </w:p>
        </w:tc>
      </w:tr>
      <w:tr w14:paraId="48014AD2">
        <w:tblPrEx>
          <w:tblCellMar>
            <w:top w:w="0" w:type="dxa"/>
            <w:left w:w="0" w:type="dxa"/>
            <w:bottom w:w="0" w:type="dxa"/>
            <w:right w:w="0" w:type="dxa"/>
          </w:tblCellMar>
        </w:tblPrEx>
        <w:trPr>
          <w:wBefore w:w="0" w:type="auto"/>
          <w:tblCellSpacing w:w="0" w:type="dxa"/>
        </w:trPr>
        <w:tc>
          <w:tcPr>
            <w:tcW w:w="0" w:type="auto"/>
            <w:noWrap w:val="0"/>
            <w:vAlign w:val="center"/>
          </w:tcPr>
          <w:p w14:paraId="7D48438C">
            <w:r>
              <w:rPr>
                <w:rStyle w:val="10"/>
                <w:rFonts w:hint="eastAsia"/>
              </w:rPr>
              <w:t>剂型：</w:t>
            </w:r>
            <w:r>
              <w:rPr>
                <w:rFonts w:hint="eastAsia"/>
              </w:rPr>
              <w:t>微乳剂</w:t>
            </w:r>
          </w:p>
        </w:tc>
      </w:tr>
      <w:tr w14:paraId="19C9C45E">
        <w:tblPrEx>
          <w:tblCellMar>
            <w:top w:w="0" w:type="dxa"/>
            <w:left w:w="0" w:type="dxa"/>
            <w:bottom w:w="0" w:type="dxa"/>
            <w:right w:w="0" w:type="dxa"/>
          </w:tblCellMar>
        </w:tblPrEx>
        <w:trPr>
          <w:wBefore w:w="0" w:type="auto"/>
          <w:tblCellSpacing w:w="0" w:type="dxa"/>
        </w:trPr>
        <w:tc>
          <w:tcPr>
            <w:tcW w:w="0" w:type="auto"/>
            <w:noWrap w:val="0"/>
            <w:vAlign w:val="center"/>
          </w:tcPr>
          <w:p w14:paraId="32D89674">
            <w:r>
              <w:rPr>
                <w:rStyle w:val="10"/>
                <w:rFonts w:hint="eastAsia"/>
              </w:rPr>
              <w:t>毒性及其标识：</w:t>
            </w:r>
            <w:r>
              <w:rPr>
                <w:rFonts w:hint="eastAsia"/>
              </w:rPr>
              <w:t xml:space="preserve"> </w:t>
            </w:r>
            <w:r>
              <w:rPr>
                <w:lang/>
              </w:rPr>
              <w:drawing>
                <wp:inline distT="0" distB="0" distL="114300" distR="114300">
                  <wp:extent cx="476250" cy="323850"/>
                  <wp:effectExtent l="0" t="0" r="0" b="0"/>
                  <wp:docPr id="319" name="图片 31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B602633">
        <w:tblPrEx>
          <w:tblCellMar>
            <w:top w:w="0" w:type="dxa"/>
            <w:left w:w="0" w:type="dxa"/>
            <w:bottom w:w="0" w:type="dxa"/>
            <w:right w:w="0" w:type="dxa"/>
          </w:tblCellMar>
        </w:tblPrEx>
        <w:trPr>
          <w:wBefore w:w="0" w:type="auto"/>
          <w:tblCellSpacing w:w="0" w:type="dxa"/>
        </w:trPr>
        <w:tc>
          <w:tcPr>
            <w:tcW w:w="0" w:type="auto"/>
            <w:noWrap w:val="0"/>
            <w:vAlign w:val="center"/>
          </w:tcPr>
          <w:p w14:paraId="56381F15">
            <w:r>
              <w:rPr>
                <w:rStyle w:val="10"/>
                <w:rFonts w:hint="eastAsia"/>
              </w:rPr>
              <w:t>总有效成分含量：</w:t>
            </w:r>
            <w:r>
              <w:rPr>
                <w:rFonts w:hint="eastAsia"/>
              </w:rPr>
              <w:t>25%</w:t>
            </w:r>
          </w:p>
        </w:tc>
      </w:tr>
      <w:tr w14:paraId="5CB505CA">
        <w:tblPrEx>
          <w:tblCellMar>
            <w:top w:w="0" w:type="dxa"/>
            <w:left w:w="0" w:type="dxa"/>
            <w:bottom w:w="0" w:type="dxa"/>
            <w:right w:w="0" w:type="dxa"/>
          </w:tblCellMar>
        </w:tblPrEx>
        <w:trPr>
          <w:wBefore w:w="0" w:type="auto"/>
          <w:tblCellSpacing w:w="0" w:type="dxa"/>
        </w:trPr>
        <w:tc>
          <w:tcPr>
            <w:tcW w:w="0" w:type="auto"/>
            <w:noWrap w:val="0"/>
            <w:vAlign w:val="center"/>
          </w:tcPr>
          <w:p w14:paraId="0291B2C9">
            <w:r>
              <w:rPr>
                <w:rFonts w:hint="eastAsia"/>
              </w:rPr>
              <w:t xml:space="preserve">有效成分及其含量： </w:t>
            </w:r>
          </w:p>
          <w:p w14:paraId="355D5810">
            <w:r>
              <w:rPr>
                <w:rFonts w:hint="eastAsia"/>
              </w:rPr>
              <w:t xml:space="preserve">    乙嘧酚磺酸酯25%    </w:t>
            </w:r>
          </w:p>
        </w:tc>
      </w:tr>
      <w:tr w14:paraId="75A0A13E">
        <w:tblPrEx>
          <w:tblCellMar>
            <w:top w:w="0" w:type="dxa"/>
            <w:left w:w="0" w:type="dxa"/>
            <w:bottom w:w="0" w:type="dxa"/>
            <w:right w:w="0" w:type="dxa"/>
          </w:tblCellMar>
        </w:tblPrEx>
        <w:trPr>
          <w:wBefore w:w="0" w:type="auto"/>
          <w:tblCellSpacing w:w="0" w:type="dxa"/>
        </w:trPr>
        <w:tc>
          <w:tcPr>
            <w:tcW w:w="0" w:type="auto"/>
            <w:noWrap w:val="0"/>
            <w:vAlign w:val="center"/>
          </w:tcPr>
          <w:p w14:paraId="1C03AA9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47AC3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FAFD69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E099A2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72327F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C59057D">
                  <w:r>
                    <w:rPr>
                      <w:rStyle w:val="11"/>
                      <w:rFonts w:hint="eastAsia"/>
                    </w:rPr>
                    <w:t>施用方式</w:t>
                  </w:r>
                </w:p>
              </w:tc>
            </w:tr>
            <w:tr w14:paraId="626D57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483E594">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6F62C0">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6706BE">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15A0C6">
                  <w:r>
                    <w:rPr>
                      <w:rStyle w:val="11"/>
                      <w:rFonts w:hint="eastAsia"/>
                    </w:rPr>
                    <w:t>喷雾</w:t>
                  </w:r>
                </w:p>
              </w:tc>
            </w:tr>
          </w:tbl>
          <w:p w14:paraId="78202E9C">
            <w:pPr>
              <w:rPr>
                <w:rFonts w:ascii="Times New Roman" w:hAnsi="Times New Roman" w:cs="Times New Roman"/>
                <w:sz w:val="20"/>
                <w:szCs w:val="20"/>
              </w:rPr>
            </w:pPr>
          </w:p>
        </w:tc>
      </w:tr>
      <w:tr w14:paraId="173A3326">
        <w:tblPrEx>
          <w:tblCellMar>
            <w:top w:w="0" w:type="dxa"/>
            <w:left w:w="0" w:type="dxa"/>
            <w:bottom w:w="0" w:type="dxa"/>
            <w:right w:w="0" w:type="dxa"/>
          </w:tblCellMar>
        </w:tblPrEx>
        <w:trPr>
          <w:wBefore w:w="0" w:type="auto"/>
          <w:tblCellSpacing w:w="0" w:type="dxa"/>
        </w:trPr>
        <w:tc>
          <w:tcPr>
            <w:tcW w:w="0" w:type="auto"/>
            <w:noWrap w:val="0"/>
            <w:vAlign w:val="center"/>
          </w:tcPr>
          <w:p w14:paraId="67593FE5">
            <w:r>
              <w:rPr>
                <w:rStyle w:val="10"/>
                <w:rFonts w:hint="eastAsia"/>
              </w:rPr>
              <w:t>使用技术要求:</w:t>
            </w:r>
            <w:r>
              <w:rPr>
                <w:rFonts w:hint="eastAsia"/>
              </w:rPr>
              <w:br w:type="textWrapping"/>
            </w:r>
            <w:r>
              <w:rPr>
                <w:rStyle w:val="11"/>
                <w:rFonts w:hint="eastAsia"/>
              </w:rPr>
              <w:t>1. 于白粉病发病前或初期开始喷雾施药，视病害发生情况可施药2-3次，间隔7天左右一次。 2. 掌握适量施药，不可擅自加大使用浓度；施药时，注意整株喷洒均匀，避免漏喷。 3. 在黄瓜上最多施药3次，安全间隔期为3天。</w:t>
            </w:r>
          </w:p>
        </w:tc>
      </w:tr>
      <w:tr w14:paraId="782DA02F">
        <w:tblPrEx>
          <w:tblCellMar>
            <w:top w:w="0" w:type="dxa"/>
            <w:left w:w="0" w:type="dxa"/>
            <w:bottom w:w="0" w:type="dxa"/>
            <w:right w:w="0" w:type="dxa"/>
          </w:tblCellMar>
        </w:tblPrEx>
        <w:trPr>
          <w:wBefore w:w="0" w:type="auto"/>
          <w:tblCellSpacing w:w="0" w:type="dxa"/>
        </w:trPr>
        <w:tc>
          <w:tcPr>
            <w:tcW w:w="0" w:type="auto"/>
            <w:noWrap w:val="0"/>
            <w:vAlign w:val="center"/>
          </w:tcPr>
          <w:p w14:paraId="7F340B63">
            <w:r>
              <w:rPr>
                <w:rStyle w:val="10"/>
                <w:rFonts w:hint="eastAsia"/>
              </w:rPr>
              <w:t>产品性能:</w:t>
            </w:r>
            <w:r>
              <w:rPr>
                <w:rFonts w:hint="eastAsia"/>
              </w:rPr>
              <w:br w:type="textWrapping"/>
            </w:r>
            <w:r>
              <w:rPr>
                <w:rStyle w:val="11"/>
                <w:rFonts w:hint="eastAsia"/>
              </w:rPr>
              <w:t>本品是由乙嘧酚磺酸酯原药、适宜助剂和辅料加工而成，为内吸性杀菌剂，作物吸收后能向新叶传导，能有效防治黄瓜白粉病</w:t>
            </w:r>
          </w:p>
        </w:tc>
      </w:tr>
      <w:tr w14:paraId="18CC4439">
        <w:tblPrEx>
          <w:tblCellMar>
            <w:top w:w="0" w:type="dxa"/>
            <w:left w:w="0" w:type="dxa"/>
            <w:bottom w:w="0" w:type="dxa"/>
            <w:right w:w="0" w:type="dxa"/>
          </w:tblCellMar>
        </w:tblPrEx>
        <w:trPr>
          <w:wBefore w:w="0" w:type="auto"/>
          <w:tblCellSpacing w:w="0" w:type="dxa"/>
        </w:trPr>
        <w:tc>
          <w:tcPr>
            <w:tcW w:w="0" w:type="auto"/>
            <w:noWrap w:val="0"/>
            <w:vAlign w:val="center"/>
          </w:tcPr>
          <w:p w14:paraId="132E5F98">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本品对眼睛有刺激性，使用时避免接触眼睛，穿戴长衣、长裤、帽子、口罩、手套等防护措施。注意施药安全。严禁吸烟和饮食，避免药物与皮肤和眼睛直接接触，防止由口鼻吸入。2. 本品对鱼、水蚤、藻类有毒，药液及废液不得污染水域、土壤等环境，禁止在河塘等水体中清洗施药器具。蚕室和桑园以及赤眼蜂等天敌活动区域附近禁用。3. 预防抗性措施：(1)选用抗病品种等植保措施；(2)注意轮换交替用药，应选用防治对象相同，作用机制不同的杀菌剂施药。(3)按标签上规定的适期防治，提高防治效果。4. 孕妇及哺乳期妇女禁止接触本品。5. 可与大多数农药混用，不宜与酸性农药混用。6. 废弃物、用过的容器应妥善处理，不能乱丢乱放，也不能做他用。</w:t>
            </w:r>
          </w:p>
        </w:tc>
      </w:tr>
      <w:tr w14:paraId="7BF0F1E8">
        <w:tblPrEx>
          <w:tblCellMar>
            <w:top w:w="0" w:type="dxa"/>
            <w:left w:w="0" w:type="dxa"/>
            <w:bottom w:w="0" w:type="dxa"/>
            <w:right w:w="0" w:type="dxa"/>
          </w:tblCellMar>
        </w:tblPrEx>
        <w:trPr>
          <w:wBefore w:w="0" w:type="auto"/>
          <w:tblCellSpacing w:w="0" w:type="dxa"/>
        </w:trPr>
        <w:tc>
          <w:tcPr>
            <w:tcW w:w="0" w:type="auto"/>
            <w:noWrap w:val="0"/>
            <w:vAlign w:val="center"/>
          </w:tcPr>
          <w:p w14:paraId="64123433">
            <w:r>
              <w:rPr>
                <w:rStyle w:val="10"/>
                <w:rFonts w:hint="eastAsia"/>
              </w:rPr>
              <w:t>中毒急救措施：</w:t>
            </w:r>
            <w:r>
              <w:rPr>
                <w:rFonts w:hint="eastAsia"/>
              </w:rPr>
              <w:br w:type="textWrapping"/>
            </w:r>
            <w:r>
              <w:rPr>
                <w:rStyle w:val="11"/>
                <w:rFonts w:hint="eastAsia"/>
              </w:rPr>
              <w:t>中毒症状：对眼睛、皮肤有刺激性，使用中或使用后如果感觉不适，应立即停止工作，采取急救措施。1、经口中毒者，立即进行催吐和洗胃；洗胃是口服中毒病人的重要抢救措施，用手指或筷子搅触咽喉后壁引吐。2、对皮肤接触者，立即脱去污染毒物的衣服，用肥皂水或清水冲洗皮肤。3、眼球沾染毒物。可用大量清水或生理盐水多次冲洗。4、危重病人呼吸不好者，必须立即进行人工呼吸病及时送医院抢救。</w:t>
            </w:r>
          </w:p>
        </w:tc>
      </w:tr>
      <w:tr w14:paraId="687C2BB9">
        <w:tblPrEx>
          <w:tblCellMar>
            <w:top w:w="0" w:type="dxa"/>
            <w:left w:w="0" w:type="dxa"/>
            <w:bottom w:w="0" w:type="dxa"/>
            <w:right w:w="0" w:type="dxa"/>
          </w:tblCellMar>
        </w:tblPrEx>
        <w:trPr>
          <w:wBefore w:w="0" w:type="auto"/>
          <w:tblCellSpacing w:w="0" w:type="dxa"/>
        </w:trPr>
        <w:tc>
          <w:tcPr>
            <w:tcW w:w="0" w:type="auto"/>
            <w:noWrap w:val="0"/>
            <w:vAlign w:val="center"/>
          </w:tcPr>
          <w:p w14:paraId="53B46C40">
            <w:r>
              <w:rPr>
                <w:rStyle w:val="10"/>
                <w:rFonts w:hint="eastAsia"/>
              </w:rPr>
              <w:t>储存和运输方法：</w:t>
            </w:r>
            <w:r>
              <w:rPr>
                <w:rFonts w:hint="eastAsia"/>
              </w:rPr>
              <w:br w:type="textWrapping"/>
            </w:r>
            <w:r>
              <w:rPr>
                <w:rStyle w:val="11"/>
                <w:rFonts w:hint="eastAsia"/>
              </w:rPr>
              <w:t>1. 本品为易燃液体，应贮存于阴凉干燥处、避光、密封保存，应放置在儿童接触不到的地方，并加锁。2. 不能与食品、饲料、粮食、饮料及日用品一起贮存或运输。3. 搬运时要轻装轻放，防止包装及容器损坏。4.采用专用集装箱运输。分装和运输作业要注意个人防护。</w:t>
            </w:r>
          </w:p>
        </w:tc>
      </w:tr>
      <w:tr w14:paraId="1FD45B08">
        <w:tblPrEx>
          <w:tblCellMar>
            <w:top w:w="0" w:type="dxa"/>
            <w:left w:w="0" w:type="dxa"/>
            <w:bottom w:w="0" w:type="dxa"/>
            <w:right w:w="0" w:type="dxa"/>
          </w:tblCellMar>
        </w:tblPrEx>
        <w:trPr>
          <w:wBefore w:w="0" w:type="auto"/>
          <w:tblCellSpacing w:w="0" w:type="dxa"/>
        </w:trPr>
        <w:tc>
          <w:tcPr>
            <w:tcW w:w="0" w:type="auto"/>
            <w:noWrap w:val="0"/>
            <w:vAlign w:val="center"/>
          </w:tcPr>
          <w:p w14:paraId="4DA5AC51">
            <w:r>
              <w:rPr>
                <w:rStyle w:val="10"/>
                <w:rFonts w:hint="eastAsia"/>
              </w:rPr>
              <w:t>质量保证期：</w:t>
            </w:r>
            <w:r>
              <w:rPr>
                <w:rStyle w:val="11"/>
                <w:rFonts w:hint="eastAsia"/>
              </w:rPr>
              <w:t>2年</w:t>
            </w:r>
          </w:p>
        </w:tc>
      </w:tr>
      <w:tr w14:paraId="2AFE2B2B">
        <w:tblPrEx>
          <w:tblCellMar>
            <w:top w:w="0" w:type="dxa"/>
            <w:left w:w="0" w:type="dxa"/>
            <w:bottom w:w="0" w:type="dxa"/>
            <w:right w:w="0" w:type="dxa"/>
          </w:tblCellMar>
        </w:tblPrEx>
        <w:trPr>
          <w:wBefore w:w="0" w:type="auto"/>
          <w:tblCellSpacing w:w="0" w:type="dxa"/>
        </w:trPr>
        <w:tc>
          <w:tcPr>
            <w:tcW w:w="0" w:type="auto"/>
            <w:noWrap w:val="0"/>
            <w:vAlign w:val="center"/>
          </w:tcPr>
          <w:p w14:paraId="6727EF14">
            <w:r>
              <w:rPr>
                <w:rStyle w:val="10"/>
                <w:rFonts w:hint="eastAsia"/>
              </w:rPr>
              <w:t>备注：</w:t>
            </w:r>
          </w:p>
        </w:tc>
      </w:tr>
    </w:tbl>
    <w:p w14:paraId="695896D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A471FC5">
        <w:tblPrEx>
          <w:tblCellMar>
            <w:top w:w="0" w:type="dxa"/>
            <w:left w:w="0" w:type="dxa"/>
            <w:bottom w:w="0" w:type="dxa"/>
            <w:right w:w="0" w:type="dxa"/>
          </w:tblCellMar>
        </w:tblPrEx>
        <w:trPr>
          <w:wBefore w:w="0" w:type="auto"/>
          <w:tblCellSpacing w:w="0" w:type="dxa"/>
        </w:trPr>
        <w:tc>
          <w:tcPr>
            <w:tcW w:w="0" w:type="auto"/>
            <w:noWrap w:val="0"/>
            <w:vAlign w:val="center"/>
          </w:tcPr>
          <w:p w14:paraId="07FC0707">
            <w:r>
              <w:rPr>
                <w:rStyle w:val="10"/>
                <w:rFonts w:hint="eastAsia"/>
              </w:rPr>
              <w:t>登记证号：</w:t>
            </w:r>
            <w:r>
              <w:rPr>
                <w:rFonts w:hint="eastAsia"/>
              </w:rPr>
              <w:t>PD20211882</w:t>
            </w:r>
          </w:p>
        </w:tc>
      </w:tr>
      <w:tr w14:paraId="2E99C33F">
        <w:tblPrEx>
          <w:tblCellMar>
            <w:top w:w="0" w:type="dxa"/>
            <w:left w:w="0" w:type="dxa"/>
            <w:bottom w:w="0" w:type="dxa"/>
            <w:right w:w="0" w:type="dxa"/>
          </w:tblCellMar>
        </w:tblPrEx>
        <w:trPr>
          <w:wBefore w:w="0" w:type="auto"/>
          <w:tblCellSpacing w:w="0" w:type="dxa"/>
        </w:trPr>
        <w:tc>
          <w:tcPr>
            <w:tcW w:w="0" w:type="auto"/>
            <w:noWrap w:val="0"/>
            <w:vAlign w:val="center"/>
          </w:tcPr>
          <w:p w14:paraId="20D97CDA">
            <w:r>
              <w:rPr>
                <w:rStyle w:val="10"/>
                <w:rFonts w:hint="eastAsia"/>
              </w:rPr>
              <w:t>登记证持有人：</w:t>
            </w:r>
            <w:r>
              <w:rPr>
                <w:rFonts w:hint="eastAsia"/>
              </w:rPr>
              <w:t>济南泰禾化工有限公司</w:t>
            </w:r>
          </w:p>
        </w:tc>
      </w:tr>
      <w:tr w14:paraId="0435D63F">
        <w:tblPrEx>
          <w:tblCellMar>
            <w:top w:w="0" w:type="dxa"/>
            <w:left w:w="0" w:type="dxa"/>
            <w:bottom w:w="0" w:type="dxa"/>
            <w:right w:w="0" w:type="dxa"/>
          </w:tblCellMar>
        </w:tblPrEx>
        <w:trPr>
          <w:wBefore w:w="0" w:type="auto"/>
          <w:tblCellSpacing w:w="0" w:type="dxa"/>
        </w:trPr>
        <w:tc>
          <w:tcPr>
            <w:tcW w:w="0" w:type="auto"/>
            <w:noWrap w:val="0"/>
            <w:vAlign w:val="center"/>
          </w:tcPr>
          <w:p w14:paraId="3BEA471B">
            <w:r>
              <w:rPr>
                <w:rStyle w:val="10"/>
                <w:rFonts w:hint="eastAsia"/>
              </w:rPr>
              <w:t>农药名称：</w:t>
            </w:r>
            <w:r>
              <w:rPr>
                <w:rFonts w:hint="eastAsia"/>
              </w:rPr>
              <w:t>噻虫嗪</w:t>
            </w:r>
          </w:p>
        </w:tc>
      </w:tr>
      <w:tr w14:paraId="0FD3F0DB">
        <w:tblPrEx>
          <w:tblCellMar>
            <w:top w:w="0" w:type="dxa"/>
            <w:left w:w="0" w:type="dxa"/>
            <w:bottom w:w="0" w:type="dxa"/>
            <w:right w:w="0" w:type="dxa"/>
          </w:tblCellMar>
        </w:tblPrEx>
        <w:trPr>
          <w:wBefore w:w="0" w:type="auto"/>
          <w:tblCellSpacing w:w="0" w:type="dxa"/>
        </w:trPr>
        <w:tc>
          <w:tcPr>
            <w:tcW w:w="0" w:type="auto"/>
            <w:noWrap w:val="0"/>
            <w:vAlign w:val="center"/>
          </w:tcPr>
          <w:p w14:paraId="7D9C9883">
            <w:r>
              <w:rPr>
                <w:rStyle w:val="10"/>
                <w:rFonts w:hint="eastAsia"/>
              </w:rPr>
              <w:t>剂型：</w:t>
            </w:r>
            <w:r>
              <w:rPr>
                <w:rFonts w:hint="eastAsia"/>
              </w:rPr>
              <w:t>颗粒剂</w:t>
            </w:r>
          </w:p>
        </w:tc>
      </w:tr>
      <w:tr w14:paraId="03CACF2A">
        <w:tblPrEx>
          <w:tblCellMar>
            <w:top w:w="0" w:type="dxa"/>
            <w:left w:w="0" w:type="dxa"/>
            <w:bottom w:w="0" w:type="dxa"/>
            <w:right w:w="0" w:type="dxa"/>
          </w:tblCellMar>
        </w:tblPrEx>
        <w:trPr>
          <w:wBefore w:w="0" w:type="auto"/>
          <w:tblCellSpacing w:w="0" w:type="dxa"/>
        </w:trPr>
        <w:tc>
          <w:tcPr>
            <w:tcW w:w="0" w:type="auto"/>
            <w:noWrap w:val="0"/>
            <w:vAlign w:val="center"/>
          </w:tcPr>
          <w:p w14:paraId="7328C463">
            <w:r>
              <w:rPr>
                <w:rStyle w:val="10"/>
                <w:rFonts w:hint="eastAsia"/>
              </w:rPr>
              <w:t>毒性及其标识：</w:t>
            </w:r>
            <w:r>
              <w:rPr>
                <w:rFonts w:hint="eastAsia"/>
              </w:rPr>
              <w:t xml:space="preserve"> </w:t>
            </w:r>
            <w:r>
              <w:rPr>
                <w:lang/>
              </w:rPr>
              <w:drawing>
                <wp:inline distT="0" distB="0" distL="114300" distR="114300">
                  <wp:extent cx="476250" cy="323850"/>
                  <wp:effectExtent l="0" t="0" r="0" b="0"/>
                  <wp:docPr id="320" name="图片 32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A3CABF7">
        <w:tblPrEx>
          <w:tblCellMar>
            <w:top w:w="0" w:type="dxa"/>
            <w:left w:w="0" w:type="dxa"/>
            <w:bottom w:w="0" w:type="dxa"/>
            <w:right w:w="0" w:type="dxa"/>
          </w:tblCellMar>
        </w:tblPrEx>
        <w:trPr>
          <w:wBefore w:w="0" w:type="auto"/>
          <w:tblCellSpacing w:w="0" w:type="dxa"/>
        </w:trPr>
        <w:tc>
          <w:tcPr>
            <w:tcW w:w="0" w:type="auto"/>
            <w:noWrap w:val="0"/>
            <w:vAlign w:val="center"/>
          </w:tcPr>
          <w:p w14:paraId="0CDB69D3">
            <w:r>
              <w:rPr>
                <w:rStyle w:val="10"/>
                <w:rFonts w:hint="eastAsia"/>
              </w:rPr>
              <w:t>总有效成分含量：</w:t>
            </w:r>
            <w:r>
              <w:rPr>
                <w:rFonts w:hint="eastAsia"/>
              </w:rPr>
              <w:t>2%</w:t>
            </w:r>
          </w:p>
        </w:tc>
      </w:tr>
      <w:tr w14:paraId="629552C9">
        <w:tblPrEx>
          <w:tblCellMar>
            <w:top w:w="0" w:type="dxa"/>
            <w:left w:w="0" w:type="dxa"/>
            <w:bottom w:w="0" w:type="dxa"/>
            <w:right w:w="0" w:type="dxa"/>
          </w:tblCellMar>
        </w:tblPrEx>
        <w:trPr>
          <w:wBefore w:w="0" w:type="auto"/>
          <w:tblCellSpacing w:w="0" w:type="dxa"/>
        </w:trPr>
        <w:tc>
          <w:tcPr>
            <w:tcW w:w="0" w:type="auto"/>
            <w:noWrap w:val="0"/>
            <w:vAlign w:val="center"/>
          </w:tcPr>
          <w:p w14:paraId="5827A368">
            <w:r>
              <w:rPr>
                <w:rFonts w:hint="eastAsia"/>
              </w:rPr>
              <w:t xml:space="preserve">有效成分及其含量： </w:t>
            </w:r>
          </w:p>
          <w:p w14:paraId="6DC1F728">
            <w:r>
              <w:rPr>
                <w:rFonts w:hint="eastAsia"/>
              </w:rPr>
              <w:t xml:space="preserve">    噻虫嗪2%    </w:t>
            </w:r>
          </w:p>
        </w:tc>
      </w:tr>
      <w:tr w14:paraId="7DE7BDD1">
        <w:tblPrEx>
          <w:tblCellMar>
            <w:top w:w="0" w:type="dxa"/>
            <w:left w:w="0" w:type="dxa"/>
            <w:bottom w:w="0" w:type="dxa"/>
            <w:right w:w="0" w:type="dxa"/>
          </w:tblCellMar>
        </w:tblPrEx>
        <w:trPr>
          <w:wBefore w:w="0" w:type="auto"/>
          <w:tblCellSpacing w:w="0" w:type="dxa"/>
        </w:trPr>
        <w:tc>
          <w:tcPr>
            <w:tcW w:w="0" w:type="auto"/>
            <w:noWrap w:val="0"/>
            <w:vAlign w:val="center"/>
          </w:tcPr>
          <w:p w14:paraId="35EE7AF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563C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34A877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579FDC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4B10FB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C207AE">
                  <w:r>
                    <w:rPr>
                      <w:rStyle w:val="11"/>
                      <w:rFonts w:hint="eastAsia"/>
                    </w:rPr>
                    <w:t>施用方式</w:t>
                  </w:r>
                </w:p>
              </w:tc>
            </w:tr>
            <w:tr w14:paraId="3A6AB4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7FCD49">
                  <w:r>
                    <w:rPr>
                      <w:rStyle w:val="11"/>
                      <w:rFonts w:hint="eastAsia"/>
                    </w:rPr>
                    <w:t>大葱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6F3212">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FC8111">
                  <w:r>
                    <w:rPr>
                      <w:rStyle w:val="11"/>
                      <w:rFonts w:hint="eastAsia"/>
                    </w:rPr>
                    <w:t>1200-1800克/亩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6DC0C2">
                  <w:r>
                    <w:rPr>
                      <w:rStyle w:val="11"/>
                      <w:rFonts w:hint="eastAsia"/>
                    </w:rPr>
                    <w:t>沟施</w:t>
                  </w:r>
                </w:p>
              </w:tc>
            </w:tr>
          </w:tbl>
          <w:p w14:paraId="291EE941">
            <w:pPr>
              <w:rPr>
                <w:rFonts w:ascii="Times New Roman" w:hAnsi="Times New Roman" w:cs="Times New Roman"/>
                <w:sz w:val="20"/>
                <w:szCs w:val="20"/>
              </w:rPr>
            </w:pPr>
          </w:p>
        </w:tc>
      </w:tr>
      <w:tr w14:paraId="12D5B522">
        <w:tblPrEx>
          <w:tblCellMar>
            <w:top w:w="0" w:type="dxa"/>
            <w:left w:w="0" w:type="dxa"/>
            <w:bottom w:w="0" w:type="dxa"/>
            <w:right w:w="0" w:type="dxa"/>
          </w:tblCellMar>
        </w:tblPrEx>
        <w:trPr>
          <w:wBefore w:w="0" w:type="auto"/>
          <w:tblCellSpacing w:w="0" w:type="dxa"/>
        </w:trPr>
        <w:tc>
          <w:tcPr>
            <w:tcW w:w="0" w:type="auto"/>
            <w:noWrap w:val="0"/>
            <w:vAlign w:val="center"/>
          </w:tcPr>
          <w:p w14:paraId="7E071A35">
            <w:r>
              <w:rPr>
                <w:rStyle w:val="10"/>
                <w:rFonts w:hint="eastAsia"/>
              </w:rPr>
              <w:t>使用技术要求:</w:t>
            </w:r>
            <w:r>
              <w:rPr>
                <w:rFonts w:hint="eastAsia"/>
              </w:rPr>
              <w:br w:type="textWrapping"/>
            </w:r>
            <w:r>
              <w:rPr>
                <w:rStyle w:val="11"/>
                <w:rFonts w:hint="eastAsia"/>
              </w:rPr>
              <w:t>1.于大葱移栽时沟施施药1次。 2.每季最多使用1次，安全间隔期70天。3.大风天或预计1小时内降雨，请勿施药。</w:t>
            </w:r>
          </w:p>
        </w:tc>
      </w:tr>
      <w:tr w14:paraId="0C598B70">
        <w:tblPrEx>
          <w:tblCellMar>
            <w:top w:w="0" w:type="dxa"/>
            <w:left w:w="0" w:type="dxa"/>
            <w:bottom w:w="0" w:type="dxa"/>
            <w:right w:w="0" w:type="dxa"/>
          </w:tblCellMar>
        </w:tblPrEx>
        <w:trPr>
          <w:wBefore w:w="0" w:type="auto"/>
          <w:tblCellSpacing w:w="0" w:type="dxa"/>
        </w:trPr>
        <w:tc>
          <w:tcPr>
            <w:tcW w:w="0" w:type="auto"/>
            <w:noWrap w:val="0"/>
            <w:vAlign w:val="center"/>
          </w:tcPr>
          <w:p w14:paraId="569CED50">
            <w:r>
              <w:rPr>
                <w:rStyle w:val="10"/>
                <w:rFonts w:hint="eastAsia"/>
              </w:rPr>
              <w:t>产品性能:</w:t>
            </w:r>
            <w:r>
              <w:rPr>
                <w:rFonts w:hint="eastAsia"/>
              </w:rPr>
              <w:br w:type="textWrapping"/>
            </w:r>
            <w:r>
              <w:rPr>
                <w:rStyle w:val="11"/>
                <w:rFonts w:hint="eastAsia"/>
              </w:rPr>
              <w:t>本品为新烟碱类杀虫剂，具有较强的触杀、胃毒和内吸作用，对害虫具有较高的活性。其作用机理是阻断昆虫中枢神经系统的正常传导，造成害虫出现麻痹而死亡。其作用速度快，持效期长，对大葱蓟马防效较好。</w:t>
            </w:r>
          </w:p>
        </w:tc>
      </w:tr>
      <w:tr w14:paraId="630BAFA7">
        <w:tblPrEx>
          <w:tblCellMar>
            <w:top w:w="0" w:type="dxa"/>
            <w:left w:w="0" w:type="dxa"/>
            <w:bottom w:w="0" w:type="dxa"/>
            <w:right w:w="0" w:type="dxa"/>
          </w:tblCellMar>
        </w:tblPrEx>
        <w:trPr>
          <w:wBefore w:w="0" w:type="auto"/>
          <w:tblCellSpacing w:w="0" w:type="dxa"/>
        </w:trPr>
        <w:tc>
          <w:tcPr>
            <w:tcW w:w="0" w:type="auto"/>
            <w:noWrap w:val="0"/>
            <w:vAlign w:val="center"/>
          </w:tcPr>
          <w:p w14:paraId="39273269">
            <w:r>
              <w:rPr>
                <w:rStyle w:val="10"/>
                <w:rFonts w:hint="eastAsia"/>
              </w:rPr>
              <w:t>注意事项：</w:t>
            </w:r>
            <w:r>
              <w:rPr>
                <w:rFonts w:hint="eastAsia"/>
              </w:rPr>
              <w:br w:type="textWrapping"/>
            </w:r>
            <w:r>
              <w:rPr>
                <w:rStyle w:val="11"/>
                <w:rFonts w:hint="eastAsia"/>
              </w:rPr>
              <w:t>1. 本品不可与碱性农药等物质混合使用。2. 本品对蜜蜂、鸟类和家蚕有毒，在鸟类保护区、桑园及蚕室附近、（周围）开花作物花期和天敌赤眼蜂放飞区禁用。使用时应密切关注对附近蜂群的影响。禁止在河塘等水体中清洗施药器具，药液及其废液不得污染各类水域、土壤等环境。3. 本品对眼睛有刺激性，使用时避免接触眼睛，穿戴长衣、长裤、帽子、口罩、手套等防护措施，避免吸入药液。施药期间不可吃东西和饮水，施药后应及时洗手和洗脸。4. 建议与其他作用机制不同的杀虫剂轮换使用，以延缓抗性产生。5. 用药后包装物及用过的容器应妥善处理，不可做他用，也不可随意丢弃。6. 孕妇及哺乳期妇女禁止接触本品。</w:t>
            </w:r>
          </w:p>
        </w:tc>
      </w:tr>
      <w:tr w14:paraId="22B51BBA">
        <w:tblPrEx>
          <w:tblCellMar>
            <w:top w:w="0" w:type="dxa"/>
            <w:left w:w="0" w:type="dxa"/>
            <w:bottom w:w="0" w:type="dxa"/>
            <w:right w:w="0" w:type="dxa"/>
          </w:tblCellMar>
        </w:tblPrEx>
        <w:trPr>
          <w:wBefore w:w="0" w:type="auto"/>
          <w:tblCellSpacing w:w="0" w:type="dxa"/>
        </w:trPr>
        <w:tc>
          <w:tcPr>
            <w:tcW w:w="0" w:type="auto"/>
            <w:noWrap w:val="0"/>
            <w:vAlign w:val="center"/>
          </w:tcPr>
          <w:p w14:paraId="3D2E2B08">
            <w:r>
              <w:rPr>
                <w:rStyle w:val="10"/>
                <w:rFonts w:hint="eastAsia"/>
              </w:rPr>
              <w:t>中毒急救措施：</w:t>
            </w:r>
            <w:r>
              <w:rPr>
                <w:rFonts w:hint="eastAsia"/>
              </w:rPr>
              <w:br w:type="textWrapping"/>
            </w:r>
            <w:r>
              <w:rPr>
                <w:rStyle w:val="11"/>
                <w:rFonts w:hint="eastAsia"/>
              </w:rPr>
              <w:t>皮肤接触：用大量清水和肥皂彻底清洗至少15分钟。不慎吸入：立即将吸入者转移到空气流动处。如误食，本品无特殊解毒剂，应立即携标签送医院对症治疗。</w:t>
            </w:r>
          </w:p>
        </w:tc>
      </w:tr>
      <w:tr w14:paraId="67AB2DA2">
        <w:tblPrEx>
          <w:tblCellMar>
            <w:top w:w="0" w:type="dxa"/>
            <w:left w:w="0" w:type="dxa"/>
            <w:bottom w:w="0" w:type="dxa"/>
            <w:right w:w="0" w:type="dxa"/>
          </w:tblCellMar>
        </w:tblPrEx>
        <w:trPr>
          <w:wBefore w:w="0" w:type="auto"/>
          <w:tblCellSpacing w:w="0" w:type="dxa"/>
        </w:trPr>
        <w:tc>
          <w:tcPr>
            <w:tcW w:w="0" w:type="auto"/>
            <w:noWrap w:val="0"/>
            <w:vAlign w:val="center"/>
          </w:tcPr>
          <w:p w14:paraId="421B6844">
            <w:r>
              <w:rPr>
                <w:rStyle w:val="10"/>
                <w:rFonts w:hint="eastAsia"/>
              </w:rPr>
              <w:t>储存和运输方法：</w:t>
            </w:r>
            <w:r>
              <w:rPr>
                <w:rFonts w:hint="eastAsia"/>
              </w:rPr>
              <w:br w:type="textWrapping"/>
            </w:r>
            <w:r>
              <w:rPr>
                <w:rStyle w:val="11"/>
                <w:rFonts w:hint="eastAsia"/>
              </w:rPr>
              <w:t>本品应贮存在干燥、阴凉、通风、防雨处，远离火源和热源，置于儿童、无关人员触及不到之处并加锁。不能与食品、饮料、粮食、饲料等混合储存。</w:t>
            </w:r>
          </w:p>
        </w:tc>
      </w:tr>
      <w:tr w14:paraId="6CB7B855">
        <w:tblPrEx>
          <w:tblCellMar>
            <w:top w:w="0" w:type="dxa"/>
            <w:left w:w="0" w:type="dxa"/>
            <w:bottom w:w="0" w:type="dxa"/>
            <w:right w:w="0" w:type="dxa"/>
          </w:tblCellMar>
        </w:tblPrEx>
        <w:trPr>
          <w:wBefore w:w="0" w:type="auto"/>
          <w:tblCellSpacing w:w="0" w:type="dxa"/>
        </w:trPr>
        <w:tc>
          <w:tcPr>
            <w:tcW w:w="0" w:type="auto"/>
            <w:noWrap w:val="0"/>
            <w:vAlign w:val="center"/>
          </w:tcPr>
          <w:p w14:paraId="79092924">
            <w:r>
              <w:rPr>
                <w:rStyle w:val="10"/>
                <w:rFonts w:hint="eastAsia"/>
              </w:rPr>
              <w:t>质量保证期：</w:t>
            </w:r>
            <w:r>
              <w:rPr>
                <w:rStyle w:val="11"/>
                <w:rFonts w:hint="eastAsia"/>
              </w:rPr>
              <w:t>2年</w:t>
            </w:r>
          </w:p>
        </w:tc>
      </w:tr>
      <w:tr w14:paraId="0AB0A6F8">
        <w:tblPrEx>
          <w:tblCellMar>
            <w:top w:w="0" w:type="dxa"/>
            <w:left w:w="0" w:type="dxa"/>
            <w:bottom w:w="0" w:type="dxa"/>
            <w:right w:w="0" w:type="dxa"/>
          </w:tblCellMar>
        </w:tblPrEx>
        <w:trPr>
          <w:wBefore w:w="0" w:type="auto"/>
          <w:tblCellSpacing w:w="0" w:type="dxa"/>
        </w:trPr>
        <w:tc>
          <w:tcPr>
            <w:tcW w:w="0" w:type="auto"/>
            <w:noWrap w:val="0"/>
            <w:vAlign w:val="center"/>
          </w:tcPr>
          <w:p w14:paraId="04D2BF68">
            <w:r>
              <w:rPr>
                <w:rStyle w:val="10"/>
                <w:rFonts w:hint="eastAsia"/>
              </w:rPr>
              <w:t>备注：</w:t>
            </w:r>
          </w:p>
        </w:tc>
      </w:tr>
    </w:tbl>
    <w:p w14:paraId="437DB54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0F7186">
        <w:tblPrEx>
          <w:tblCellMar>
            <w:top w:w="0" w:type="dxa"/>
            <w:left w:w="0" w:type="dxa"/>
            <w:bottom w:w="0" w:type="dxa"/>
            <w:right w:w="0" w:type="dxa"/>
          </w:tblCellMar>
        </w:tblPrEx>
        <w:trPr>
          <w:wBefore w:w="0" w:type="auto"/>
          <w:tblCellSpacing w:w="0" w:type="dxa"/>
        </w:trPr>
        <w:tc>
          <w:tcPr>
            <w:tcW w:w="0" w:type="auto"/>
            <w:noWrap w:val="0"/>
            <w:vAlign w:val="center"/>
          </w:tcPr>
          <w:p w14:paraId="2C2E2E69">
            <w:r>
              <w:rPr>
                <w:rStyle w:val="10"/>
                <w:rFonts w:hint="eastAsia"/>
              </w:rPr>
              <w:t>登记证号：</w:t>
            </w:r>
            <w:r>
              <w:rPr>
                <w:rFonts w:hint="eastAsia"/>
              </w:rPr>
              <w:t>PD20212061</w:t>
            </w:r>
          </w:p>
        </w:tc>
      </w:tr>
      <w:tr w14:paraId="0AB7A916">
        <w:tblPrEx>
          <w:tblCellMar>
            <w:top w:w="0" w:type="dxa"/>
            <w:left w:w="0" w:type="dxa"/>
            <w:bottom w:w="0" w:type="dxa"/>
            <w:right w:w="0" w:type="dxa"/>
          </w:tblCellMar>
        </w:tblPrEx>
        <w:trPr>
          <w:wBefore w:w="0" w:type="auto"/>
          <w:tblCellSpacing w:w="0" w:type="dxa"/>
        </w:trPr>
        <w:tc>
          <w:tcPr>
            <w:tcW w:w="0" w:type="auto"/>
            <w:noWrap w:val="0"/>
            <w:vAlign w:val="center"/>
          </w:tcPr>
          <w:p w14:paraId="33AA86C4">
            <w:r>
              <w:rPr>
                <w:rStyle w:val="10"/>
                <w:rFonts w:hint="eastAsia"/>
              </w:rPr>
              <w:t>登记证持有人：</w:t>
            </w:r>
            <w:r>
              <w:rPr>
                <w:rFonts w:hint="eastAsia"/>
              </w:rPr>
              <w:t>开封一田生物科技有限公司</w:t>
            </w:r>
          </w:p>
        </w:tc>
      </w:tr>
      <w:tr w14:paraId="54410CA6">
        <w:tblPrEx>
          <w:tblCellMar>
            <w:top w:w="0" w:type="dxa"/>
            <w:left w:w="0" w:type="dxa"/>
            <w:bottom w:w="0" w:type="dxa"/>
            <w:right w:w="0" w:type="dxa"/>
          </w:tblCellMar>
        </w:tblPrEx>
        <w:trPr>
          <w:wBefore w:w="0" w:type="auto"/>
          <w:tblCellSpacing w:w="0" w:type="dxa"/>
        </w:trPr>
        <w:tc>
          <w:tcPr>
            <w:tcW w:w="0" w:type="auto"/>
            <w:noWrap w:val="0"/>
            <w:vAlign w:val="center"/>
          </w:tcPr>
          <w:p w14:paraId="4C9B1F2C">
            <w:r>
              <w:rPr>
                <w:rStyle w:val="10"/>
                <w:rFonts w:hint="eastAsia"/>
              </w:rPr>
              <w:t>农药名称：</w:t>
            </w:r>
            <w:r>
              <w:rPr>
                <w:rFonts w:hint="eastAsia"/>
              </w:rPr>
              <w:t>S-诱抗素</w:t>
            </w:r>
          </w:p>
        </w:tc>
      </w:tr>
      <w:tr w14:paraId="39ED2E65">
        <w:tblPrEx>
          <w:tblCellMar>
            <w:top w:w="0" w:type="dxa"/>
            <w:left w:w="0" w:type="dxa"/>
            <w:bottom w:w="0" w:type="dxa"/>
            <w:right w:w="0" w:type="dxa"/>
          </w:tblCellMar>
        </w:tblPrEx>
        <w:trPr>
          <w:wBefore w:w="0" w:type="auto"/>
          <w:tblCellSpacing w:w="0" w:type="dxa"/>
        </w:trPr>
        <w:tc>
          <w:tcPr>
            <w:tcW w:w="0" w:type="auto"/>
            <w:noWrap w:val="0"/>
            <w:vAlign w:val="center"/>
          </w:tcPr>
          <w:p w14:paraId="4B92BF7B">
            <w:r>
              <w:rPr>
                <w:rStyle w:val="10"/>
                <w:rFonts w:hint="eastAsia"/>
              </w:rPr>
              <w:t>剂型：</w:t>
            </w:r>
            <w:r>
              <w:rPr>
                <w:rFonts w:hint="eastAsia"/>
              </w:rPr>
              <w:t>可溶液剂</w:t>
            </w:r>
          </w:p>
        </w:tc>
      </w:tr>
      <w:tr w14:paraId="43BD19EB">
        <w:tblPrEx>
          <w:tblCellMar>
            <w:top w:w="0" w:type="dxa"/>
            <w:left w:w="0" w:type="dxa"/>
            <w:bottom w:w="0" w:type="dxa"/>
            <w:right w:w="0" w:type="dxa"/>
          </w:tblCellMar>
        </w:tblPrEx>
        <w:trPr>
          <w:wBefore w:w="0" w:type="auto"/>
          <w:tblCellSpacing w:w="0" w:type="dxa"/>
        </w:trPr>
        <w:tc>
          <w:tcPr>
            <w:tcW w:w="0" w:type="auto"/>
            <w:noWrap w:val="0"/>
            <w:vAlign w:val="center"/>
          </w:tcPr>
          <w:p w14:paraId="10BF89B7">
            <w:r>
              <w:rPr>
                <w:rStyle w:val="10"/>
                <w:rFonts w:hint="eastAsia"/>
              </w:rPr>
              <w:t>毒性及其标识：</w:t>
            </w:r>
            <w:r>
              <w:rPr>
                <w:rFonts w:hint="eastAsia"/>
              </w:rPr>
              <w:t xml:space="preserve"> </w:t>
            </w:r>
            <w:r>
              <w:rPr>
                <w:lang/>
              </w:rPr>
              <w:drawing>
                <wp:inline distT="0" distB="0" distL="114300" distR="114300">
                  <wp:extent cx="476250" cy="323850"/>
                  <wp:effectExtent l="0" t="0" r="0" b="0"/>
                  <wp:docPr id="321" name="图片 32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045C408">
        <w:tblPrEx>
          <w:tblCellMar>
            <w:top w:w="0" w:type="dxa"/>
            <w:left w:w="0" w:type="dxa"/>
            <w:bottom w:w="0" w:type="dxa"/>
            <w:right w:w="0" w:type="dxa"/>
          </w:tblCellMar>
        </w:tblPrEx>
        <w:trPr>
          <w:wBefore w:w="0" w:type="auto"/>
          <w:tblCellSpacing w:w="0" w:type="dxa"/>
        </w:trPr>
        <w:tc>
          <w:tcPr>
            <w:tcW w:w="0" w:type="auto"/>
            <w:noWrap w:val="0"/>
            <w:vAlign w:val="center"/>
          </w:tcPr>
          <w:p w14:paraId="73FF8262">
            <w:r>
              <w:rPr>
                <w:rStyle w:val="10"/>
                <w:rFonts w:hint="eastAsia"/>
              </w:rPr>
              <w:t>总有效成分含量：</w:t>
            </w:r>
            <w:r>
              <w:rPr>
                <w:rFonts w:hint="eastAsia"/>
              </w:rPr>
              <w:t>0.1%</w:t>
            </w:r>
          </w:p>
        </w:tc>
      </w:tr>
      <w:tr w14:paraId="7F2D7AA1">
        <w:tblPrEx>
          <w:tblCellMar>
            <w:top w:w="0" w:type="dxa"/>
            <w:left w:w="0" w:type="dxa"/>
            <w:bottom w:w="0" w:type="dxa"/>
            <w:right w:w="0" w:type="dxa"/>
          </w:tblCellMar>
        </w:tblPrEx>
        <w:trPr>
          <w:wBefore w:w="0" w:type="auto"/>
          <w:tblCellSpacing w:w="0" w:type="dxa"/>
        </w:trPr>
        <w:tc>
          <w:tcPr>
            <w:tcW w:w="0" w:type="auto"/>
            <w:noWrap w:val="0"/>
            <w:vAlign w:val="center"/>
          </w:tcPr>
          <w:p w14:paraId="6E6F7298">
            <w:r>
              <w:rPr>
                <w:rFonts w:hint="eastAsia"/>
              </w:rPr>
              <w:t xml:space="preserve">有效成分及其含量： </w:t>
            </w:r>
          </w:p>
          <w:p w14:paraId="6889DDA8">
            <w:r>
              <w:rPr>
                <w:rFonts w:hint="eastAsia"/>
              </w:rPr>
              <w:t xml:space="preserve">    S-诱抗素0.1%    </w:t>
            </w:r>
          </w:p>
        </w:tc>
      </w:tr>
      <w:tr w14:paraId="4C513C0C">
        <w:tblPrEx>
          <w:tblCellMar>
            <w:top w:w="0" w:type="dxa"/>
            <w:left w:w="0" w:type="dxa"/>
            <w:bottom w:w="0" w:type="dxa"/>
            <w:right w:w="0" w:type="dxa"/>
          </w:tblCellMar>
        </w:tblPrEx>
        <w:trPr>
          <w:wBefore w:w="0" w:type="auto"/>
          <w:tblCellSpacing w:w="0" w:type="dxa"/>
        </w:trPr>
        <w:tc>
          <w:tcPr>
            <w:tcW w:w="0" w:type="auto"/>
            <w:noWrap w:val="0"/>
            <w:vAlign w:val="center"/>
          </w:tcPr>
          <w:p w14:paraId="4B21835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11965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0F41BF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0F5C4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72B506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191B16E">
                  <w:r>
                    <w:rPr>
                      <w:rStyle w:val="11"/>
                      <w:rFonts w:hint="eastAsia"/>
                    </w:rPr>
                    <w:t>施用方式</w:t>
                  </w:r>
                </w:p>
              </w:tc>
            </w:tr>
            <w:tr w14:paraId="130117E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4F76056">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AD7050">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0AFB23">
                  <w:r>
                    <w:rPr>
                      <w:rStyle w:val="11"/>
                      <w:rFonts w:hint="eastAsia"/>
                    </w:rPr>
                    <w:t>200-400倍液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4F58DB">
                  <w:r>
                    <w:rPr>
                      <w:rStyle w:val="11"/>
                      <w:rFonts w:hint="eastAsia"/>
                    </w:rPr>
                    <w:t>喷雾</w:t>
                  </w:r>
                </w:p>
              </w:tc>
            </w:tr>
          </w:tbl>
          <w:p w14:paraId="0837D804">
            <w:pPr>
              <w:rPr>
                <w:rFonts w:ascii="Times New Roman" w:hAnsi="Times New Roman" w:cs="Times New Roman"/>
                <w:sz w:val="20"/>
                <w:szCs w:val="20"/>
              </w:rPr>
            </w:pPr>
          </w:p>
        </w:tc>
      </w:tr>
      <w:tr w14:paraId="4C73C73C">
        <w:tblPrEx>
          <w:tblCellMar>
            <w:top w:w="0" w:type="dxa"/>
            <w:left w:w="0" w:type="dxa"/>
            <w:bottom w:w="0" w:type="dxa"/>
            <w:right w:w="0" w:type="dxa"/>
          </w:tblCellMar>
        </w:tblPrEx>
        <w:trPr>
          <w:wBefore w:w="0" w:type="auto"/>
          <w:tblCellSpacing w:w="0" w:type="dxa"/>
        </w:trPr>
        <w:tc>
          <w:tcPr>
            <w:tcW w:w="0" w:type="auto"/>
            <w:noWrap w:val="0"/>
            <w:vAlign w:val="center"/>
          </w:tcPr>
          <w:p w14:paraId="5EB9D469">
            <w:r>
              <w:rPr>
                <w:rStyle w:val="10"/>
                <w:rFonts w:hint="eastAsia"/>
              </w:rPr>
              <w:t>使用技术要求:</w:t>
            </w:r>
            <w:r>
              <w:rPr>
                <w:rFonts w:hint="eastAsia"/>
              </w:rPr>
              <w:br w:type="textWrapping"/>
            </w:r>
            <w:r>
              <w:rPr>
                <w:rStyle w:val="11"/>
                <w:rFonts w:hint="eastAsia"/>
              </w:rPr>
              <w:t>1. 于番茄移栽后7-20天喷雾施药一次，间隔7天后在施药1次。施药时应注意均匀、周到。 2. 大风天或预计1小时内降雨，请勿施药。</w:t>
            </w:r>
          </w:p>
        </w:tc>
      </w:tr>
      <w:tr w14:paraId="2A6AF7D7">
        <w:tblPrEx>
          <w:tblCellMar>
            <w:top w:w="0" w:type="dxa"/>
            <w:left w:w="0" w:type="dxa"/>
            <w:bottom w:w="0" w:type="dxa"/>
            <w:right w:w="0" w:type="dxa"/>
          </w:tblCellMar>
        </w:tblPrEx>
        <w:trPr>
          <w:wBefore w:w="0" w:type="auto"/>
          <w:tblCellSpacing w:w="0" w:type="dxa"/>
        </w:trPr>
        <w:tc>
          <w:tcPr>
            <w:tcW w:w="0" w:type="auto"/>
            <w:noWrap w:val="0"/>
            <w:vAlign w:val="center"/>
          </w:tcPr>
          <w:p w14:paraId="03196B64">
            <w:r>
              <w:rPr>
                <w:rStyle w:val="10"/>
                <w:rFonts w:hint="eastAsia"/>
              </w:rPr>
              <w:t>产品性能:</w:t>
            </w:r>
            <w:r>
              <w:rPr>
                <w:rFonts w:hint="eastAsia"/>
              </w:rPr>
              <w:br w:type="textWrapping"/>
            </w:r>
            <w:r>
              <w:rPr>
                <w:rStyle w:val="11"/>
                <w:rFonts w:hint="eastAsia"/>
              </w:rPr>
              <w:t>S-诱抗素是一种天然植物生长调节剂，具有促进植物平衡吸收水、肥和协调体内代谢的能力，能有效增强植物的抗逆性。在推荐使用剂量范围内，对番茄调节生长有良好的效果。</w:t>
            </w:r>
          </w:p>
        </w:tc>
      </w:tr>
      <w:tr w14:paraId="0F75E163">
        <w:tblPrEx>
          <w:tblCellMar>
            <w:top w:w="0" w:type="dxa"/>
            <w:left w:w="0" w:type="dxa"/>
            <w:bottom w:w="0" w:type="dxa"/>
            <w:right w:w="0" w:type="dxa"/>
          </w:tblCellMar>
        </w:tblPrEx>
        <w:trPr>
          <w:wBefore w:w="0" w:type="auto"/>
          <w:tblCellSpacing w:w="0" w:type="dxa"/>
        </w:trPr>
        <w:tc>
          <w:tcPr>
            <w:tcW w:w="0" w:type="auto"/>
            <w:noWrap w:val="0"/>
            <w:vAlign w:val="center"/>
          </w:tcPr>
          <w:p w14:paraId="382D996E">
            <w:r>
              <w:rPr>
                <w:rStyle w:val="10"/>
                <w:rFonts w:hint="eastAsia"/>
              </w:rPr>
              <w:t>注意事项：</w:t>
            </w:r>
            <w:r>
              <w:rPr>
                <w:rFonts w:hint="eastAsia"/>
              </w:rPr>
              <w:br w:type="textWrapping"/>
            </w:r>
            <w:r>
              <w:rPr>
                <w:rStyle w:val="11"/>
                <w:rFonts w:hint="eastAsia"/>
              </w:rPr>
              <w:t>1. 本品不可与碱性物质混用。 2. 注意避光保存，开启包装后最好一次性用完，配制好的水溶液不易久存，现配现用，不可用热水，水温超过50℃会失去活性。 3. 使用本品时应穿长衣长裤、戴手套、眼镜、口罩等，此时不可吃东西、喝水和吸烟；施药后应及时清洗干净手脸等。 4. 禁止在河塘等水域内清洗施药器具或将清洗施药器具的废水倒入河流、池塘等水源。 5. 孕妇及哺乳期女禁止接触本品。6. 正确开启包装袋，用过的容器应妥善处理，不可做他用，也不可随意丢弃。</w:t>
            </w:r>
          </w:p>
        </w:tc>
      </w:tr>
      <w:tr w14:paraId="37ED02E5">
        <w:tblPrEx>
          <w:tblCellMar>
            <w:top w:w="0" w:type="dxa"/>
            <w:left w:w="0" w:type="dxa"/>
            <w:bottom w:w="0" w:type="dxa"/>
            <w:right w:w="0" w:type="dxa"/>
          </w:tblCellMar>
        </w:tblPrEx>
        <w:trPr>
          <w:wBefore w:w="0" w:type="auto"/>
          <w:tblCellSpacing w:w="0" w:type="dxa"/>
        </w:trPr>
        <w:tc>
          <w:tcPr>
            <w:tcW w:w="0" w:type="auto"/>
            <w:noWrap w:val="0"/>
            <w:vAlign w:val="center"/>
          </w:tcPr>
          <w:p w14:paraId="69084464">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皮肤接触：脱去污染的衣物，立即用软布去除沾染农药，用大量清水和肥皂冲洗。眼睛溅入：立即用流动清水冲洗干净，仍有不适应就医。吸入：立即将吸入者已到空气清新处。误服：立即停止服用，用清水充分漱口后，携带农药标签到医院就诊。 </w:t>
            </w:r>
          </w:p>
        </w:tc>
      </w:tr>
      <w:tr w14:paraId="751BA28C">
        <w:tblPrEx>
          <w:tblCellMar>
            <w:top w:w="0" w:type="dxa"/>
            <w:left w:w="0" w:type="dxa"/>
            <w:bottom w:w="0" w:type="dxa"/>
            <w:right w:w="0" w:type="dxa"/>
          </w:tblCellMar>
        </w:tblPrEx>
        <w:trPr>
          <w:wBefore w:w="0" w:type="auto"/>
          <w:tblCellSpacing w:w="0" w:type="dxa"/>
        </w:trPr>
        <w:tc>
          <w:tcPr>
            <w:tcW w:w="0" w:type="auto"/>
            <w:noWrap w:val="0"/>
            <w:vAlign w:val="center"/>
          </w:tcPr>
          <w:p w14:paraId="0B4C7C4D">
            <w:r>
              <w:rPr>
                <w:rStyle w:val="10"/>
                <w:rFonts w:hint="eastAsia"/>
              </w:rPr>
              <w:t>储存和运输方法：</w:t>
            </w:r>
            <w:r>
              <w:rPr>
                <w:rFonts w:hint="eastAsia"/>
              </w:rPr>
              <w:br w:type="textWrapping"/>
            </w:r>
            <w:r>
              <w:rPr>
                <w:rStyle w:val="11"/>
                <w:rFonts w:hint="eastAsia"/>
              </w:rPr>
              <w:t xml:space="preserve">本品为易燃液体，应贮存在干燥、阴凉、避光、通风、防雨处，远离火源和热源。置于儿童触及不到之处，并加锁。不能与食品、饮料、粮食、饲料等混合储运。用过的包装应妥善处理，不可做他用，也不可随意丢弃。 </w:t>
            </w:r>
          </w:p>
        </w:tc>
      </w:tr>
      <w:tr w14:paraId="36841A12">
        <w:tblPrEx>
          <w:tblCellMar>
            <w:top w:w="0" w:type="dxa"/>
            <w:left w:w="0" w:type="dxa"/>
            <w:bottom w:w="0" w:type="dxa"/>
            <w:right w:w="0" w:type="dxa"/>
          </w:tblCellMar>
        </w:tblPrEx>
        <w:trPr>
          <w:wBefore w:w="0" w:type="auto"/>
          <w:tblCellSpacing w:w="0" w:type="dxa"/>
        </w:trPr>
        <w:tc>
          <w:tcPr>
            <w:tcW w:w="0" w:type="auto"/>
            <w:noWrap w:val="0"/>
            <w:vAlign w:val="center"/>
          </w:tcPr>
          <w:p w14:paraId="1D2992AA">
            <w:r>
              <w:rPr>
                <w:rStyle w:val="10"/>
                <w:rFonts w:hint="eastAsia"/>
              </w:rPr>
              <w:t>质量保证期：</w:t>
            </w:r>
            <w:r>
              <w:rPr>
                <w:rStyle w:val="11"/>
                <w:rFonts w:hint="eastAsia"/>
              </w:rPr>
              <w:t>2年</w:t>
            </w:r>
          </w:p>
        </w:tc>
      </w:tr>
      <w:tr w14:paraId="20B8363B">
        <w:tblPrEx>
          <w:tblCellMar>
            <w:top w:w="0" w:type="dxa"/>
            <w:left w:w="0" w:type="dxa"/>
            <w:bottom w:w="0" w:type="dxa"/>
            <w:right w:w="0" w:type="dxa"/>
          </w:tblCellMar>
        </w:tblPrEx>
        <w:trPr>
          <w:wBefore w:w="0" w:type="auto"/>
          <w:tblCellSpacing w:w="0" w:type="dxa"/>
        </w:trPr>
        <w:tc>
          <w:tcPr>
            <w:tcW w:w="0" w:type="auto"/>
            <w:noWrap w:val="0"/>
            <w:vAlign w:val="center"/>
          </w:tcPr>
          <w:p w14:paraId="65E99186">
            <w:r>
              <w:rPr>
                <w:rStyle w:val="10"/>
                <w:rFonts w:hint="eastAsia"/>
              </w:rPr>
              <w:t>备注：</w:t>
            </w:r>
          </w:p>
        </w:tc>
      </w:tr>
    </w:tbl>
    <w:p w14:paraId="3D6702D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38ED35">
        <w:tblPrEx>
          <w:tblCellMar>
            <w:top w:w="0" w:type="dxa"/>
            <w:left w:w="0" w:type="dxa"/>
            <w:bottom w:w="0" w:type="dxa"/>
            <w:right w:w="0" w:type="dxa"/>
          </w:tblCellMar>
        </w:tblPrEx>
        <w:trPr>
          <w:wBefore w:w="0" w:type="auto"/>
          <w:tblCellSpacing w:w="0" w:type="dxa"/>
        </w:trPr>
        <w:tc>
          <w:tcPr>
            <w:tcW w:w="0" w:type="auto"/>
            <w:noWrap w:val="0"/>
            <w:vAlign w:val="center"/>
          </w:tcPr>
          <w:p w14:paraId="5C77EE71">
            <w:r>
              <w:rPr>
                <w:rStyle w:val="10"/>
                <w:rFonts w:hint="eastAsia"/>
              </w:rPr>
              <w:t>登记证号：</w:t>
            </w:r>
            <w:r>
              <w:rPr>
                <w:rFonts w:hint="eastAsia"/>
              </w:rPr>
              <w:t>WP20210211</w:t>
            </w:r>
          </w:p>
        </w:tc>
      </w:tr>
      <w:tr w14:paraId="7E3890DD">
        <w:tblPrEx>
          <w:tblCellMar>
            <w:top w:w="0" w:type="dxa"/>
            <w:left w:w="0" w:type="dxa"/>
            <w:bottom w:w="0" w:type="dxa"/>
            <w:right w:w="0" w:type="dxa"/>
          </w:tblCellMar>
        </w:tblPrEx>
        <w:trPr>
          <w:wBefore w:w="0" w:type="auto"/>
          <w:tblCellSpacing w:w="0" w:type="dxa"/>
        </w:trPr>
        <w:tc>
          <w:tcPr>
            <w:tcW w:w="0" w:type="auto"/>
            <w:noWrap w:val="0"/>
            <w:vAlign w:val="center"/>
          </w:tcPr>
          <w:p w14:paraId="773F38A5">
            <w:r>
              <w:rPr>
                <w:rStyle w:val="10"/>
                <w:rFonts w:hint="eastAsia"/>
              </w:rPr>
              <w:t>登记证持有人：</w:t>
            </w:r>
            <w:r>
              <w:rPr>
                <w:rFonts w:hint="eastAsia"/>
              </w:rPr>
              <w:t>重庆家鑫日用品有限公司</w:t>
            </w:r>
          </w:p>
        </w:tc>
      </w:tr>
      <w:tr w14:paraId="44F80BD4">
        <w:tblPrEx>
          <w:tblCellMar>
            <w:top w:w="0" w:type="dxa"/>
            <w:left w:w="0" w:type="dxa"/>
            <w:bottom w:w="0" w:type="dxa"/>
            <w:right w:w="0" w:type="dxa"/>
          </w:tblCellMar>
        </w:tblPrEx>
        <w:trPr>
          <w:wBefore w:w="0" w:type="auto"/>
          <w:tblCellSpacing w:w="0" w:type="dxa"/>
        </w:trPr>
        <w:tc>
          <w:tcPr>
            <w:tcW w:w="0" w:type="auto"/>
            <w:noWrap w:val="0"/>
            <w:vAlign w:val="center"/>
          </w:tcPr>
          <w:p w14:paraId="180AE7A4">
            <w:r>
              <w:rPr>
                <w:rStyle w:val="10"/>
                <w:rFonts w:hint="eastAsia"/>
              </w:rPr>
              <w:t>农药名称：</w:t>
            </w:r>
            <w:r>
              <w:rPr>
                <w:rFonts w:hint="eastAsia"/>
              </w:rPr>
              <w:t>防蛀防霉片剂</w:t>
            </w:r>
          </w:p>
        </w:tc>
      </w:tr>
      <w:tr w14:paraId="6E74DE59">
        <w:tblPrEx>
          <w:tblCellMar>
            <w:top w:w="0" w:type="dxa"/>
            <w:left w:w="0" w:type="dxa"/>
            <w:bottom w:w="0" w:type="dxa"/>
            <w:right w:w="0" w:type="dxa"/>
          </w:tblCellMar>
        </w:tblPrEx>
        <w:trPr>
          <w:wBefore w:w="0" w:type="auto"/>
          <w:tblCellSpacing w:w="0" w:type="dxa"/>
        </w:trPr>
        <w:tc>
          <w:tcPr>
            <w:tcW w:w="0" w:type="auto"/>
            <w:noWrap w:val="0"/>
            <w:vAlign w:val="center"/>
          </w:tcPr>
          <w:p w14:paraId="39594B60">
            <w:r>
              <w:rPr>
                <w:rStyle w:val="10"/>
                <w:rFonts w:hint="eastAsia"/>
              </w:rPr>
              <w:t>剂型：</w:t>
            </w:r>
            <w:r>
              <w:rPr>
                <w:rFonts w:hint="eastAsia"/>
              </w:rPr>
              <w:t>片剂</w:t>
            </w:r>
          </w:p>
        </w:tc>
      </w:tr>
      <w:tr w14:paraId="6C0DB381">
        <w:tblPrEx>
          <w:tblCellMar>
            <w:top w:w="0" w:type="dxa"/>
            <w:left w:w="0" w:type="dxa"/>
            <w:bottom w:w="0" w:type="dxa"/>
            <w:right w:w="0" w:type="dxa"/>
          </w:tblCellMar>
        </w:tblPrEx>
        <w:trPr>
          <w:wBefore w:w="0" w:type="auto"/>
          <w:tblCellSpacing w:w="0" w:type="dxa"/>
        </w:trPr>
        <w:tc>
          <w:tcPr>
            <w:tcW w:w="0" w:type="auto"/>
            <w:noWrap w:val="0"/>
            <w:vAlign w:val="center"/>
          </w:tcPr>
          <w:p w14:paraId="011A73C9">
            <w:r>
              <w:rPr>
                <w:rStyle w:val="10"/>
                <w:rFonts w:hint="eastAsia"/>
              </w:rPr>
              <w:t>毒性及其标识：</w:t>
            </w:r>
            <w:r>
              <w:rPr>
                <w:rFonts w:hint="eastAsia"/>
              </w:rPr>
              <w:t xml:space="preserve"> </w:t>
            </w:r>
            <w:r>
              <w:rPr>
                <w:lang/>
              </w:rPr>
              <w:drawing>
                <wp:inline distT="0" distB="0" distL="114300" distR="114300">
                  <wp:extent cx="476250" cy="323850"/>
                  <wp:effectExtent l="0" t="0" r="0" b="0"/>
                  <wp:docPr id="322" name="图片 32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148B3F3">
        <w:tblPrEx>
          <w:tblCellMar>
            <w:top w:w="0" w:type="dxa"/>
            <w:left w:w="0" w:type="dxa"/>
            <w:bottom w:w="0" w:type="dxa"/>
            <w:right w:w="0" w:type="dxa"/>
          </w:tblCellMar>
        </w:tblPrEx>
        <w:trPr>
          <w:wBefore w:w="0" w:type="auto"/>
          <w:tblCellSpacing w:w="0" w:type="dxa"/>
        </w:trPr>
        <w:tc>
          <w:tcPr>
            <w:tcW w:w="0" w:type="auto"/>
            <w:noWrap w:val="0"/>
            <w:vAlign w:val="center"/>
          </w:tcPr>
          <w:p w14:paraId="0B579D6B">
            <w:r>
              <w:rPr>
                <w:rStyle w:val="10"/>
                <w:rFonts w:hint="eastAsia"/>
              </w:rPr>
              <w:t>总有效成分含量：</w:t>
            </w:r>
            <w:r>
              <w:rPr>
                <w:rFonts w:hint="eastAsia"/>
              </w:rPr>
              <w:t>99%</w:t>
            </w:r>
          </w:p>
        </w:tc>
      </w:tr>
      <w:tr w14:paraId="12380548">
        <w:tblPrEx>
          <w:tblCellMar>
            <w:top w:w="0" w:type="dxa"/>
            <w:left w:w="0" w:type="dxa"/>
            <w:bottom w:w="0" w:type="dxa"/>
            <w:right w:w="0" w:type="dxa"/>
          </w:tblCellMar>
        </w:tblPrEx>
        <w:trPr>
          <w:wBefore w:w="0" w:type="auto"/>
          <w:tblCellSpacing w:w="0" w:type="dxa"/>
        </w:trPr>
        <w:tc>
          <w:tcPr>
            <w:tcW w:w="0" w:type="auto"/>
            <w:noWrap w:val="0"/>
            <w:vAlign w:val="center"/>
          </w:tcPr>
          <w:p w14:paraId="733EC9EA">
            <w:r>
              <w:rPr>
                <w:rFonts w:hint="eastAsia"/>
              </w:rPr>
              <w:t xml:space="preserve">有效成分及其含量： </w:t>
            </w:r>
          </w:p>
          <w:p w14:paraId="0BCEF5AB">
            <w:r>
              <w:rPr>
                <w:rFonts w:hint="eastAsia"/>
              </w:rPr>
              <w:t xml:space="preserve">    对二氯苯99%    </w:t>
            </w:r>
          </w:p>
        </w:tc>
      </w:tr>
      <w:tr w14:paraId="7F41239F">
        <w:tblPrEx>
          <w:tblCellMar>
            <w:top w:w="0" w:type="dxa"/>
            <w:left w:w="0" w:type="dxa"/>
            <w:bottom w:w="0" w:type="dxa"/>
            <w:right w:w="0" w:type="dxa"/>
          </w:tblCellMar>
        </w:tblPrEx>
        <w:trPr>
          <w:wBefore w:w="0" w:type="auto"/>
          <w:tblCellSpacing w:w="0" w:type="dxa"/>
        </w:trPr>
        <w:tc>
          <w:tcPr>
            <w:tcW w:w="0" w:type="auto"/>
            <w:noWrap w:val="0"/>
            <w:vAlign w:val="center"/>
          </w:tcPr>
          <w:p w14:paraId="05F5B49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3F35F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CF9F4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AF23AA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8CACA6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D56B60A">
                  <w:r>
                    <w:rPr>
                      <w:rStyle w:val="11"/>
                      <w:rFonts w:hint="eastAsia"/>
                    </w:rPr>
                    <w:t>施用方式</w:t>
                  </w:r>
                </w:p>
              </w:tc>
            </w:tr>
            <w:tr w14:paraId="7AD28B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C927506">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CD0CA0">
                  <w:r>
                    <w:rPr>
                      <w:rStyle w:val="11"/>
                      <w:rFonts w:hint="eastAsia"/>
                    </w:rPr>
                    <w:t>霉菌</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A0AC60">
                  <w:r>
                    <w:rPr>
                      <w:rStyle w:val="11"/>
                      <w:rFonts w:hint="eastAsia"/>
                    </w:rPr>
                    <w:t>60克/立方米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D9F3FE">
                  <w:r>
                    <w:rPr>
                      <w:rStyle w:val="11"/>
                      <w:rFonts w:hint="eastAsia"/>
                    </w:rPr>
                    <w:t>投放</w:t>
                  </w:r>
                </w:p>
              </w:tc>
            </w:tr>
            <w:tr w14:paraId="58158E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441B47">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59A042">
                  <w:r>
                    <w:rPr>
                      <w:rStyle w:val="11"/>
                      <w:rFonts w:hint="eastAsia"/>
                    </w:rPr>
                    <w:t>黑皮蠹</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B4F78E">
                  <w:r>
                    <w:rPr>
                      <w:rStyle w:val="11"/>
                      <w:rFonts w:hint="eastAsia"/>
                    </w:rPr>
                    <w:t>60克/立方米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9C6A51">
                  <w:r>
                    <w:rPr>
                      <w:rStyle w:val="11"/>
                      <w:rFonts w:hint="eastAsia"/>
                    </w:rPr>
                    <w:t>投放</w:t>
                  </w:r>
                </w:p>
              </w:tc>
            </w:tr>
          </w:tbl>
          <w:p w14:paraId="218ED4D9">
            <w:pPr>
              <w:rPr>
                <w:rFonts w:ascii="Times New Roman" w:hAnsi="Times New Roman" w:cs="Times New Roman"/>
                <w:sz w:val="20"/>
                <w:szCs w:val="20"/>
              </w:rPr>
            </w:pPr>
          </w:p>
        </w:tc>
      </w:tr>
      <w:tr w14:paraId="26A1E454">
        <w:tblPrEx>
          <w:tblCellMar>
            <w:top w:w="0" w:type="dxa"/>
            <w:left w:w="0" w:type="dxa"/>
            <w:bottom w:w="0" w:type="dxa"/>
            <w:right w:w="0" w:type="dxa"/>
          </w:tblCellMar>
        </w:tblPrEx>
        <w:trPr>
          <w:wBefore w:w="0" w:type="auto"/>
          <w:tblCellSpacing w:w="0" w:type="dxa"/>
        </w:trPr>
        <w:tc>
          <w:tcPr>
            <w:tcW w:w="0" w:type="auto"/>
            <w:noWrap w:val="0"/>
            <w:vAlign w:val="center"/>
          </w:tcPr>
          <w:p w14:paraId="2A63D587">
            <w:r>
              <w:rPr>
                <w:rStyle w:val="10"/>
                <w:rFonts w:hint="eastAsia"/>
              </w:rPr>
              <w:t>使用技术要求:</w:t>
            </w:r>
            <w:r>
              <w:rPr>
                <w:rFonts w:hint="eastAsia"/>
              </w:rPr>
              <w:br w:type="textWrapping"/>
            </w:r>
            <w:r>
              <w:rPr>
                <w:rStyle w:val="11"/>
                <w:rFonts w:hint="eastAsia"/>
              </w:rPr>
              <w:t>1. 本品直接放置于抽屉、衣橱、箱角或衣物上。 2. 本品直接放入鞋内鞋类存放前请保持鞋类清洁干爽。 3. 放置好本品后请紧闭柜门、抽屉，以持久保持本品效果。</w:t>
            </w:r>
          </w:p>
        </w:tc>
      </w:tr>
      <w:tr w14:paraId="23496522">
        <w:tblPrEx>
          <w:tblCellMar>
            <w:top w:w="0" w:type="dxa"/>
            <w:left w:w="0" w:type="dxa"/>
            <w:bottom w:w="0" w:type="dxa"/>
            <w:right w:w="0" w:type="dxa"/>
          </w:tblCellMar>
        </w:tblPrEx>
        <w:trPr>
          <w:wBefore w:w="0" w:type="auto"/>
          <w:tblCellSpacing w:w="0" w:type="dxa"/>
        </w:trPr>
        <w:tc>
          <w:tcPr>
            <w:tcW w:w="0" w:type="auto"/>
            <w:noWrap w:val="0"/>
            <w:vAlign w:val="center"/>
          </w:tcPr>
          <w:p w14:paraId="10DD290F">
            <w:r>
              <w:rPr>
                <w:rStyle w:val="10"/>
                <w:rFonts w:hint="eastAsia"/>
              </w:rPr>
              <w:t>产品性能:</w:t>
            </w:r>
            <w:r>
              <w:rPr>
                <w:rFonts w:hint="eastAsia"/>
              </w:rPr>
              <w:br w:type="textWrapping"/>
            </w:r>
            <w:r>
              <w:rPr>
                <w:rStyle w:val="11"/>
                <w:rFonts w:hint="eastAsia"/>
              </w:rPr>
              <w:t>本产品可防治黑皮蠹、霉菌，对毛、棉、化纤、混纺织物等起到防霉、防蛀作用。可用于衣柜、抽屉、档案柜、资料柜、鞋柜、卫生间、木地板等密闭空间。</w:t>
            </w:r>
          </w:p>
        </w:tc>
      </w:tr>
      <w:tr w14:paraId="79A56FE4">
        <w:tblPrEx>
          <w:tblCellMar>
            <w:top w:w="0" w:type="dxa"/>
            <w:left w:w="0" w:type="dxa"/>
            <w:bottom w:w="0" w:type="dxa"/>
            <w:right w:w="0" w:type="dxa"/>
          </w:tblCellMar>
        </w:tblPrEx>
        <w:trPr>
          <w:wBefore w:w="0" w:type="auto"/>
          <w:tblCellSpacing w:w="0" w:type="dxa"/>
        </w:trPr>
        <w:tc>
          <w:tcPr>
            <w:tcW w:w="0" w:type="auto"/>
            <w:noWrap w:val="0"/>
            <w:vAlign w:val="center"/>
          </w:tcPr>
          <w:p w14:paraId="62F3AEA7">
            <w:r>
              <w:rPr>
                <w:rStyle w:val="10"/>
                <w:rFonts w:hint="eastAsia"/>
              </w:rPr>
              <w:t>注意事项：</w:t>
            </w:r>
            <w:r>
              <w:rPr>
                <w:rFonts w:hint="eastAsia"/>
              </w:rPr>
              <w:br w:type="textWrapping"/>
            </w:r>
            <w:r>
              <w:rPr>
                <w:rStyle w:val="11"/>
                <w:rFonts w:hint="eastAsia"/>
              </w:rPr>
              <w:t>1. 本品不可与樟脑、萘丸及其它非相同成分的产品一并使用，以免污染衣物。 2. 内包装为透气淋膜纸或PE塑料纸，使用时请勿撕开，用后洗手。 3. 使用本品时，不得与食物、种子和饲料混合，避免与皮肤、眼睛接触，防止由口鼻吸入。 4. 本品对鱼类、家蚕有毒。蚕室内及其附近禁用。 5. 本品要远离食物，以免误食；本品要远离儿童、勿让儿童玩用。 6. 过敏者禁用，孕妇及哺乳期妇女避免接触。使用中有任何不良反应请及时就医。 7. 远离火源。避免与强酸、强碱或强氧化性物质接触。 8. 请勿与皮革及有机玻璃制品直接接触。9.仅限室内使用。</w:t>
            </w:r>
          </w:p>
        </w:tc>
      </w:tr>
      <w:tr w14:paraId="1E3E8E61">
        <w:tblPrEx>
          <w:tblCellMar>
            <w:top w:w="0" w:type="dxa"/>
            <w:left w:w="0" w:type="dxa"/>
            <w:bottom w:w="0" w:type="dxa"/>
            <w:right w:w="0" w:type="dxa"/>
          </w:tblCellMar>
        </w:tblPrEx>
        <w:trPr>
          <w:wBefore w:w="0" w:type="auto"/>
          <w:tblCellSpacing w:w="0" w:type="dxa"/>
        </w:trPr>
        <w:tc>
          <w:tcPr>
            <w:tcW w:w="0" w:type="auto"/>
            <w:noWrap w:val="0"/>
            <w:vAlign w:val="center"/>
          </w:tcPr>
          <w:p w14:paraId="49D57474">
            <w:r>
              <w:rPr>
                <w:rStyle w:val="10"/>
                <w:rFonts w:hint="eastAsia"/>
              </w:rPr>
              <w:t>中毒急救措施：</w:t>
            </w:r>
            <w:r>
              <w:rPr>
                <w:rFonts w:hint="eastAsia"/>
              </w:rPr>
              <w:br w:type="textWrapping"/>
            </w:r>
            <w:r>
              <w:rPr>
                <w:rStyle w:val="11"/>
                <w:rFonts w:hint="eastAsia"/>
              </w:rPr>
              <w:t>该产品对眼睛有刺激性，使用时避免接触眼睛。1. 眼睛接触：提起眼睑，用流动清水冲洗15-20分钟；若佩戴隐形眼镜，在最初5分钟摘除，然后用清水冲洗，就医。 2. 误食：呼叫救护车并就医，如病人可以吞咽，可饮一杯水，除非医生告知否则不要进行催吐，不要用嘴给无意识的病人喂任何东西。 3. 皮肤或衣物接触：脱去污染的衣着，立即用清水彻底冲洗皮肤15-20分钟，就医。 4. 误吸：迅速脱离现场至空气新鲜处。保持呼吸道通畅。如呼吸停止，立即呼叫救护车，进行人工呼吸。就医。</w:t>
            </w:r>
          </w:p>
        </w:tc>
      </w:tr>
      <w:tr w14:paraId="2527F080">
        <w:tblPrEx>
          <w:tblCellMar>
            <w:top w:w="0" w:type="dxa"/>
            <w:left w:w="0" w:type="dxa"/>
            <w:bottom w:w="0" w:type="dxa"/>
            <w:right w:w="0" w:type="dxa"/>
          </w:tblCellMar>
        </w:tblPrEx>
        <w:trPr>
          <w:wBefore w:w="0" w:type="auto"/>
          <w:tblCellSpacing w:w="0" w:type="dxa"/>
        </w:trPr>
        <w:tc>
          <w:tcPr>
            <w:tcW w:w="0" w:type="auto"/>
            <w:noWrap w:val="0"/>
            <w:vAlign w:val="center"/>
          </w:tcPr>
          <w:p w14:paraId="0899117A">
            <w:r>
              <w:rPr>
                <w:rStyle w:val="10"/>
                <w:rFonts w:hint="eastAsia"/>
              </w:rPr>
              <w:t>储存和运输方法：</w:t>
            </w:r>
            <w:r>
              <w:rPr>
                <w:rFonts w:hint="eastAsia"/>
              </w:rPr>
              <w:br w:type="textWrapping"/>
            </w:r>
            <w:r>
              <w:rPr>
                <w:rStyle w:val="11"/>
                <w:rFonts w:hint="eastAsia"/>
              </w:rPr>
              <w:t>本品应存放在阴凉干燥通风避雨处，远离火源与热源。运输中防止日晒雨淋。勿与食品、饮料、粮食、种子和饲料等其他商品同贮同运。置于儿童触及不到之处。</w:t>
            </w:r>
          </w:p>
        </w:tc>
      </w:tr>
      <w:tr w14:paraId="657B50C8">
        <w:tblPrEx>
          <w:tblCellMar>
            <w:top w:w="0" w:type="dxa"/>
            <w:left w:w="0" w:type="dxa"/>
            <w:bottom w:w="0" w:type="dxa"/>
            <w:right w:w="0" w:type="dxa"/>
          </w:tblCellMar>
        </w:tblPrEx>
        <w:trPr>
          <w:wBefore w:w="0" w:type="auto"/>
          <w:tblCellSpacing w:w="0" w:type="dxa"/>
        </w:trPr>
        <w:tc>
          <w:tcPr>
            <w:tcW w:w="0" w:type="auto"/>
            <w:noWrap w:val="0"/>
            <w:vAlign w:val="center"/>
          </w:tcPr>
          <w:p w14:paraId="6E8283BA">
            <w:r>
              <w:rPr>
                <w:rStyle w:val="10"/>
                <w:rFonts w:hint="eastAsia"/>
              </w:rPr>
              <w:t>质量保证期：</w:t>
            </w:r>
            <w:r>
              <w:rPr>
                <w:rStyle w:val="11"/>
                <w:rFonts w:hint="eastAsia"/>
              </w:rPr>
              <w:t>2年</w:t>
            </w:r>
          </w:p>
        </w:tc>
      </w:tr>
      <w:tr w14:paraId="0EB3708E">
        <w:tblPrEx>
          <w:tblCellMar>
            <w:top w:w="0" w:type="dxa"/>
            <w:left w:w="0" w:type="dxa"/>
            <w:bottom w:w="0" w:type="dxa"/>
            <w:right w:w="0" w:type="dxa"/>
          </w:tblCellMar>
        </w:tblPrEx>
        <w:trPr>
          <w:wBefore w:w="0" w:type="auto"/>
          <w:tblCellSpacing w:w="0" w:type="dxa"/>
        </w:trPr>
        <w:tc>
          <w:tcPr>
            <w:tcW w:w="0" w:type="auto"/>
            <w:noWrap w:val="0"/>
            <w:vAlign w:val="center"/>
          </w:tcPr>
          <w:p w14:paraId="3E88A36D">
            <w:r>
              <w:rPr>
                <w:rStyle w:val="10"/>
                <w:rFonts w:hint="eastAsia"/>
              </w:rPr>
              <w:t>备注：</w:t>
            </w:r>
          </w:p>
        </w:tc>
      </w:tr>
    </w:tbl>
    <w:p w14:paraId="7C67CC7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3E2569">
        <w:tblPrEx>
          <w:tblCellMar>
            <w:top w:w="0" w:type="dxa"/>
            <w:left w:w="0" w:type="dxa"/>
            <w:bottom w:w="0" w:type="dxa"/>
            <w:right w:w="0" w:type="dxa"/>
          </w:tblCellMar>
        </w:tblPrEx>
        <w:trPr>
          <w:wBefore w:w="0" w:type="auto"/>
          <w:tblCellSpacing w:w="0" w:type="dxa"/>
        </w:trPr>
        <w:tc>
          <w:tcPr>
            <w:tcW w:w="0" w:type="auto"/>
            <w:noWrap w:val="0"/>
            <w:vAlign w:val="center"/>
          </w:tcPr>
          <w:p w14:paraId="5CFFD84E">
            <w:r>
              <w:rPr>
                <w:rStyle w:val="10"/>
                <w:rFonts w:hint="eastAsia"/>
              </w:rPr>
              <w:t>登记证号：</w:t>
            </w:r>
            <w:r>
              <w:rPr>
                <w:rFonts w:hint="eastAsia"/>
              </w:rPr>
              <w:t>PD20212114</w:t>
            </w:r>
          </w:p>
        </w:tc>
      </w:tr>
      <w:tr w14:paraId="750ED974">
        <w:tblPrEx>
          <w:tblCellMar>
            <w:top w:w="0" w:type="dxa"/>
            <w:left w:w="0" w:type="dxa"/>
            <w:bottom w:w="0" w:type="dxa"/>
            <w:right w:w="0" w:type="dxa"/>
          </w:tblCellMar>
        </w:tblPrEx>
        <w:trPr>
          <w:wBefore w:w="0" w:type="auto"/>
          <w:tblCellSpacing w:w="0" w:type="dxa"/>
        </w:trPr>
        <w:tc>
          <w:tcPr>
            <w:tcW w:w="0" w:type="auto"/>
            <w:noWrap w:val="0"/>
            <w:vAlign w:val="center"/>
          </w:tcPr>
          <w:p w14:paraId="20C2DE25">
            <w:r>
              <w:rPr>
                <w:rStyle w:val="10"/>
                <w:rFonts w:hint="eastAsia"/>
              </w:rPr>
              <w:t>登记证持有人：</w:t>
            </w:r>
            <w:r>
              <w:rPr>
                <w:rFonts w:hint="eastAsia"/>
              </w:rPr>
              <w:t>天津博克百胜科技有限公司</w:t>
            </w:r>
          </w:p>
        </w:tc>
      </w:tr>
      <w:tr w14:paraId="4CBB166A">
        <w:tblPrEx>
          <w:tblCellMar>
            <w:top w:w="0" w:type="dxa"/>
            <w:left w:w="0" w:type="dxa"/>
            <w:bottom w:w="0" w:type="dxa"/>
            <w:right w:w="0" w:type="dxa"/>
          </w:tblCellMar>
        </w:tblPrEx>
        <w:trPr>
          <w:wBefore w:w="0" w:type="auto"/>
          <w:tblCellSpacing w:w="0" w:type="dxa"/>
        </w:trPr>
        <w:tc>
          <w:tcPr>
            <w:tcW w:w="0" w:type="auto"/>
            <w:noWrap w:val="0"/>
            <w:vAlign w:val="center"/>
          </w:tcPr>
          <w:p w14:paraId="13ECF4CB">
            <w:r>
              <w:rPr>
                <w:rStyle w:val="10"/>
                <w:rFonts w:hint="eastAsia"/>
              </w:rPr>
              <w:t>农药名称：</w:t>
            </w:r>
            <w:r>
              <w:rPr>
                <w:rFonts w:hint="eastAsia"/>
              </w:rPr>
              <w:t>丙·氧·噁草酮</w:t>
            </w:r>
          </w:p>
        </w:tc>
      </w:tr>
      <w:tr w14:paraId="09A7A688">
        <w:tblPrEx>
          <w:tblCellMar>
            <w:top w:w="0" w:type="dxa"/>
            <w:left w:w="0" w:type="dxa"/>
            <w:bottom w:w="0" w:type="dxa"/>
            <w:right w:w="0" w:type="dxa"/>
          </w:tblCellMar>
        </w:tblPrEx>
        <w:trPr>
          <w:wBefore w:w="0" w:type="auto"/>
          <w:tblCellSpacing w:w="0" w:type="dxa"/>
        </w:trPr>
        <w:tc>
          <w:tcPr>
            <w:tcW w:w="0" w:type="auto"/>
            <w:noWrap w:val="0"/>
            <w:vAlign w:val="center"/>
          </w:tcPr>
          <w:p w14:paraId="43EB011B">
            <w:r>
              <w:rPr>
                <w:rStyle w:val="10"/>
                <w:rFonts w:hint="eastAsia"/>
              </w:rPr>
              <w:t>剂型：</w:t>
            </w:r>
            <w:r>
              <w:rPr>
                <w:rFonts w:hint="eastAsia"/>
              </w:rPr>
              <w:t>乳油</w:t>
            </w:r>
          </w:p>
        </w:tc>
      </w:tr>
      <w:tr w14:paraId="0773B4DC">
        <w:tblPrEx>
          <w:tblCellMar>
            <w:top w:w="0" w:type="dxa"/>
            <w:left w:w="0" w:type="dxa"/>
            <w:bottom w:w="0" w:type="dxa"/>
            <w:right w:w="0" w:type="dxa"/>
          </w:tblCellMar>
        </w:tblPrEx>
        <w:trPr>
          <w:wBefore w:w="0" w:type="auto"/>
          <w:tblCellSpacing w:w="0" w:type="dxa"/>
        </w:trPr>
        <w:tc>
          <w:tcPr>
            <w:tcW w:w="0" w:type="auto"/>
            <w:noWrap w:val="0"/>
            <w:vAlign w:val="center"/>
          </w:tcPr>
          <w:p w14:paraId="4FBD643E">
            <w:r>
              <w:rPr>
                <w:rStyle w:val="10"/>
                <w:rFonts w:hint="eastAsia"/>
              </w:rPr>
              <w:t>毒性及其标识：</w:t>
            </w:r>
            <w:r>
              <w:rPr>
                <w:rFonts w:hint="eastAsia"/>
              </w:rPr>
              <w:t xml:space="preserve"> </w:t>
            </w:r>
            <w:r>
              <w:rPr>
                <w:lang/>
              </w:rPr>
              <w:drawing>
                <wp:inline distT="0" distB="0" distL="114300" distR="114300">
                  <wp:extent cx="476250" cy="323850"/>
                  <wp:effectExtent l="0" t="0" r="0" b="0"/>
                  <wp:docPr id="323" name="图片 32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1EED517">
        <w:tblPrEx>
          <w:tblCellMar>
            <w:top w:w="0" w:type="dxa"/>
            <w:left w:w="0" w:type="dxa"/>
            <w:bottom w:w="0" w:type="dxa"/>
            <w:right w:w="0" w:type="dxa"/>
          </w:tblCellMar>
        </w:tblPrEx>
        <w:trPr>
          <w:wBefore w:w="0" w:type="auto"/>
          <w:tblCellSpacing w:w="0" w:type="dxa"/>
        </w:trPr>
        <w:tc>
          <w:tcPr>
            <w:tcW w:w="0" w:type="auto"/>
            <w:noWrap w:val="0"/>
            <w:vAlign w:val="center"/>
          </w:tcPr>
          <w:p w14:paraId="1BE978A1">
            <w:r>
              <w:rPr>
                <w:rStyle w:val="10"/>
                <w:rFonts w:hint="eastAsia"/>
              </w:rPr>
              <w:t>总有效成分含量：</w:t>
            </w:r>
            <w:r>
              <w:rPr>
                <w:rFonts w:hint="eastAsia"/>
              </w:rPr>
              <w:t>55%</w:t>
            </w:r>
          </w:p>
        </w:tc>
      </w:tr>
      <w:tr w14:paraId="496B287F">
        <w:tblPrEx>
          <w:tblCellMar>
            <w:top w:w="0" w:type="dxa"/>
            <w:left w:w="0" w:type="dxa"/>
            <w:bottom w:w="0" w:type="dxa"/>
            <w:right w:w="0" w:type="dxa"/>
          </w:tblCellMar>
        </w:tblPrEx>
        <w:trPr>
          <w:wBefore w:w="0" w:type="auto"/>
          <w:tblCellSpacing w:w="0" w:type="dxa"/>
        </w:trPr>
        <w:tc>
          <w:tcPr>
            <w:tcW w:w="0" w:type="auto"/>
            <w:noWrap w:val="0"/>
            <w:vAlign w:val="center"/>
          </w:tcPr>
          <w:p w14:paraId="1FCA61C1">
            <w:r>
              <w:rPr>
                <w:rFonts w:hint="eastAsia"/>
              </w:rPr>
              <w:t xml:space="preserve">有效成分及其含量： </w:t>
            </w:r>
          </w:p>
          <w:p w14:paraId="05D839F6">
            <w:r>
              <w:rPr>
                <w:rFonts w:hint="eastAsia"/>
              </w:rPr>
              <w:t xml:space="preserve">    乙氧氟草醚12%    丙草胺31%    噁草酮12%    </w:t>
            </w:r>
          </w:p>
        </w:tc>
      </w:tr>
      <w:tr w14:paraId="3D840FCF">
        <w:tblPrEx>
          <w:tblCellMar>
            <w:top w:w="0" w:type="dxa"/>
            <w:left w:w="0" w:type="dxa"/>
            <w:bottom w:w="0" w:type="dxa"/>
            <w:right w:w="0" w:type="dxa"/>
          </w:tblCellMar>
        </w:tblPrEx>
        <w:trPr>
          <w:wBefore w:w="0" w:type="auto"/>
          <w:tblCellSpacing w:w="0" w:type="dxa"/>
        </w:trPr>
        <w:tc>
          <w:tcPr>
            <w:tcW w:w="0" w:type="auto"/>
            <w:noWrap w:val="0"/>
            <w:vAlign w:val="center"/>
          </w:tcPr>
          <w:p w14:paraId="19C0592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FD001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9321F4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E1560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10B30F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8FD4BF2">
                  <w:r>
                    <w:rPr>
                      <w:rStyle w:val="11"/>
                      <w:rFonts w:hint="eastAsia"/>
                    </w:rPr>
                    <w:t>施用方式</w:t>
                  </w:r>
                </w:p>
              </w:tc>
            </w:tr>
            <w:tr w14:paraId="71B9C6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2DBC42">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2D89D4">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F9DB3C">
                  <w:r>
                    <w:rPr>
                      <w:rStyle w:val="11"/>
                      <w:rFonts w:hint="eastAsia"/>
                    </w:rPr>
                    <w:t>50-60毫升/亩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849624">
                  <w:r>
                    <w:rPr>
                      <w:rStyle w:val="11"/>
                      <w:rFonts w:hint="eastAsia"/>
                    </w:rPr>
                    <w:t>药土法</w:t>
                  </w:r>
                </w:p>
              </w:tc>
            </w:tr>
          </w:tbl>
          <w:p w14:paraId="7A6D6304">
            <w:pPr>
              <w:rPr>
                <w:rFonts w:ascii="Times New Roman" w:hAnsi="Times New Roman" w:cs="Times New Roman"/>
                <w:sz w:val="20"/>
                <w:szCs w:val="20"/>
              </w:rPr>
            </w:pPr>
          </w:p>
        </w:tc>
      </w:tr>
      <w:tr w14:paraId="56746711">
        <w:tblPrEx>
          <w:tblCellMar>
            <w:top w:w="0" w:type="dxa"/>
            <w:left w:w="0" w:type="dxa"/>
            <w:bottom w:w="0" w:type="dxa"/>
            <w:right w:w="0" w:type="dxa"/>
          </w:tblCellMar>
        </w:tblPrEx>
        <w:trPr>
          <w:wBefore w:w="0" w:type="auto"/>
          <w:tblCellSpacing w:w="0" w:type="dxa"/>
        </w:trPr>
        <w:tc>
          <w:tcPr>
            <w:tcW w:w="0" w:type="auto"/>
            <w:noWrap w:val="0"/>
            <w:vAlign w:val="center"/>
          </w:tcPr>
          <w:p w14:paraId="4C29457F">
            <w:r>
              <w:rPr>
                <w:rStyle w:val="10"/>
                <w:rFonts w:hint="eastAsia"/>
              </w:rPr>
              <w:t>使用技术要求:</w:t>
            </w:r>
            <w:r>
              <w:rPr>
                <w:rFonts w:hint="eastAsia"/>
              </w:rPr>
              <w:br w:type="textWrapping"/>
            </w:r>
            <w:r>
              <w:rPr>
                <w:rStyle w:val="11"/>
                <w:rFonts w:hint="eastAsia"/>
              </w:rPr>
              <w:t>1、在水稻移栽前灌水整地后药土撒施一次。注意勿超剂量使用，插秧后水层勿淹没水稻心叶避免药害。按每亩兑水40公斤左右均匀喷施于土表。施药后保持田内3～5厘米水层，保水5-7天，只灌不排。2、插秧时或插秧后，水层勿淹没水稻心叶，以防产生药害。3、每季最多使用1次。</w:t>
            </w:r>
          </w:p>
        </w:tc>
      </w:tr>
      <w:tr w14:paraId="1D423C60">
        <w:tblPrEx>
          <w:tblCellMar>
            <w:top w:w="0" w:type="dxa"/>
            <w:left w:w="0" w:type="dxa"/>
            <w:bottom w:w="0" w:type="dxa"/>
            <w:right w:w="0" w:type="dxa"/>
          </w:tblCellMar>
        </w:tblPrEx>
        <w:trPr>
          <w:wBefore w:w="0" w:type="auto"/>
          <w:tblCellSpacing w:w="0" w:type="dxa"/>
        </w:trPr>
        <w:tc>
          <w:tcPr>
            <w:tcW w:w="0" w:type="auto"/>
            <w:noWrap w:val="0"/>
            <w:vAlign w:val="center"/>
          </w:tcPr>
          <w:p w14:paraId="05975219">
            <w:r>
              <w:rPr>
                <w:rStyle w:val="10"/>
                <w:rFonts w:hint="eastAsia"/>
              </w:rPr>
              <w:t>产品性能:</w:t>
            </w:r>
            <w:r>
              <w:rPr>
                <w:rFonts w:hint="eastAsia"/>
              </w:rPr>
              <w:br w:type="textWrapping"/>
            </w:r>
            <w:r>
              <w:rPr>
                <w:rStyle w:val="11"/>
                <w:rFonts w:hint="eastAsia"/>
              </w:rPr>
              <w:t>本品为选择性触杀兼内吸传导型除草剂，作用机理主要通过杂草胚芽鞘、幼芽、幼苗或根部吸收药液，可用于水稻移栽田，按推荐用量使用，可有效防除稗草、千金子、泽泻、野慈菇、鸭舌草、萤蔺、眼子菜、蟋蟀草、雨久花、节节菜、牛毛毡、鲤肠等一年生杂草。</w:t>
            </w:r>
          </w:p>
        </w:tc>
      </w:tr>
      <w:tr w14:paraId="4D78130C">
        <w:tblPrEx>
          <w:tblCellMar>
            <w:top w:w="0" w:type="dxa"/>
            <w:left w:w="0" w:type="dxa"/>
            <w:bottom w:w="0" w:type="dxa"/>
            <w:right w:w="0" w:type="dxa"/>
          </w:tblCellMar>
        </w:tblPrEx>
        <w:trPr>
          <w:wBefore w:w="0" w:type="auto"/>
          <w:tblCellSpacing w:w="0" w:type="dxa"/>
        </w:trPr>
        <w:tc>
          <w:tcPr>
            <w:tcW w:w="0" w:type="auto"/>
            <w:noWrap w:val="0"/>
            <w:vAlign w:val="center"/>
          </w:tcPr>
          <w:p w14:paraId="7EB96A64">
            <w:r>
              <w:rPr>
                <w:rStyle w:val="10"/>
                <w:rFonts w:hint="eastAsia"/>
              </w:rPr>
              <w:t>注意事项：</w:t>
            </w:r>
            <w:r>
              <w:rPr>
                <w:rFonts w:hint="eastAsia"/>
              </w:rPr>
              <w:br w:type="textWrapping"/>
            </w:r>
            <w:r>
              <w:rPr>
                <w:rStyle w:val="11"/>
                <w:rFonts w:hint="eastAsia"/>
              </w:rPr>
              <w:t>1、本品不可与呈碱性的农药等物质混用。 2、施药时均匀周到，精细整地，施药后不宜破坏药层，影响封闭效果。 3、虾蟹鱼套养稻田禁用，施药后的田水不得直接排入水体。远离水产养殖区、河塘等水体施药。 4、赤眼蜂等天敌昆虫放飞区域禁用。 5、使用本品时应穿戴长衣、长裤、帽子、口罩、手套等防护措施，避免吸入药液。施药期间不可吃东西、喝水和吸烟。施药后应及时洗手和洗脸。 6、禁止在河塘等水体内清洗施药器具或将清洗施药器具的废水倒入河流、池塘等水体。 7、用过的容器或包装物应妥善处理，不可做他用，也不可随意丢弃。 8、孕妇及哺乳期妇女避免接触此药。</w:t>
            </w:r>
          </w:p>
        </w:tc>
      </w:tr>
      <w:tr w14:paraId="32445D5E">
        <w:tblPrEx>
          <w:tblCellMar>
            <w:top w:w="0" w:type="dxa"/>
            <w:left w:w="0" w:type="dxa"/>
            <w:bottom w:w="0" w:type="dxa"/>
            <w:right w:w="0" w:type="dxa"/>
          </w:tblCellMar>
        </w:tblPrEx>
        <w:trPr>
          <w:wBefore w:w="0" w:type="auto"/>
          <w:tblCellSpacing w:w="0" w:type="dxa"/>
        </w:trPr>
        <w:tc>
          <w:tcPr>
            <w:tcW w:w="0" w:type="auto"/>
            <w:noWrap w:val="0"/>
            <w:vAlign w:val="center"/>
          </w:tcPr>
          <w:p w14:paraId="40DA4B45">
            <w:r>
              <w:rPr>
                <w:rStyle w:val="10"/>
                <w:rFonts w:hint="eastAsia"/>
              </w:rPr>
              <w:t>中毒急救措施：</w:t>
            </w:r>
            <w:r>
              <w:rPr>
                <w:rFonts w:hint="eastAsia"/>
              </w:rPr>
              <w:br w:type="textWrapping"/>
            </w:r>
            <w:r>
              <w:rPr>
                <w:rStyle w:val="11"/>
                <w:rFonts w:hint="eastAsia"/>
              </w:rPr>
              <w:t>该产品对眼睛有刺激性，使用时避免药液接触眼睛。 1、中毒症状：对皮肤、眼、呼吸道有刺激作用。 2、皮肤接触： 不慎接触皮肤，应用肥皂及清水冲洗干净。3、溅入眼睛：应用流动清水冲洗至少15分钟。仍有不适时，就医。 4、不慎吸入：立即将吸入者转移到空气新鲜处，请医生诊治。 5、如误服，立即携此标签到医院就诊。可使用医用活性炭洗胃，防止胃容物进入呼吸道。 对昏迷病人，切勿经口喂入任何东西或引吐。 无特殊解毒剂，请对症治疗。</w:t>
            </w:r>
          </w:p>
        </w:tc>
      </w:tr>
      <w:tr w14:paraId="204B3532">
        <w:tblPrEx>
          <w:tblCellMar>
            <w:top w:w="0" w:type="dxa"/>
            <w:left w:w="0" w:type="dxa"/>
            <w:bottom w:w="0" w:type="dxa"/>
            <w:right w:w="0" w:type="dxa"/>
          </w:tblCellMar>
        </w:tblPrEx>
        <w:trPr>
          <w:wBefore w:w="0" w:type="auto"/>
          <w:tblCellSpacing w:w="0" w:type="dxa"/>
        </w:trPr>
        <w:tc>
          <w:tcPr>
            <w:tcW w:w="0" w:type="auto"/>
            <w:noWrap w:val="0"/>
            <w:vAlign w:val="center"/>
          </w:tcPr>
          <w:p w14:paraId="215C01FC">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本品应贮存在干燥、阴凉、通风、防雨处，远离火源或热源。置于儿童触及不到之处，并加锁。不能与食品、饮料、粮食、饲料等物品同贮同运。</w:t>
            </w:r>
          </w:p>
        </w:tc>
      </w:tr>
      <w:tr w14:paraId="37389F34">
        <w:tblPrEx>
          <w:tblCellMar>
            <w:top w:w="0" w:type="dxa"/>
            <w:left w:w="0" w:type="dxa"/>
            <w:bottom w:w="0" w:type="dxa"/>
            <w:right w:w="0" w:type="dxa"/>
          </w:tblCellMar>
        </w:tblPrEx>
        <w:trPr>
          <w:wBefore w:w="0" w:type="auto"/>
          <w:tblCellSpacing w:w="0" w:type="dxa"/>
        </w:trPr>
        <w:tc>
          <w:tcPr>
            <w:tcW w:w="0" w:type="auto"/>
            <w:noWrap w:val="0"/>
            <w:vAlign w:val="center"/>
          </w:tcPr>
          <w:p w14:paraId="3EC79254">
            <w:r>
              <w:rPr>
                <w:rStyle w:val="10"/>
                <w:rFonts w:hint="eastAsia"/>
              </w:rPr>
              <w:t>质量保证期：</w:t>
            </w:r>
            <w:r>
              <w:rPr>
                <w:rStyle w:val="11"/>
                <w:rFonts w:hint="eastAsia"/>
              </w:rPr>
              <w:t>2年</w:t>
            </w:r>
          </w:p>
        </w:tc>
      </w:tr>
      <w:tr w14:paraId="2AA1D96C">
        <w:tblPrEx>
          <w:tblCellMar>
            <w:top w:w="0" w:type="dxa"/>
            <w:left w:w="0" w:type="dxa"/>
            <w:bottom w:w="0" w:type="dxa"/>
            <w:right w:w="0" w:type="dxa"/>
          </w:tblCellMar>
        </w:tblPrEx>
        <w:trPr>
          <w:wBefore w:w="0" w:type="auto"/>
          <w:tblCellSpacing w:w="0" w:type="dxa"/>
        </w:trPr>
        <w:tc>
          <w:tcPr>
            <w:tcW w:w="0" w:type="auto"/>
            <w:noWrap w:val="0"/>
            <w:vAlign w:val="center"/>
          </w:tcPr>
          <w:p w14:paraId="7661C98E">
            <w:r>
              <w:rPr>
                <w:rStyle w:val="10"/>
                <w:rFonts w:hint="eastAsia"/>
              </w:rPr>
              <w:t>备注：</w:t>
            </w:r>
          </w:p>
        </w:tc>
      </w:tr>
    </w:tbl>
    <w:p w14:paraId="335DCE8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62A6ABD">
        <w:tblPrEx>
          <w:tblCellMar>
            <w:top w:w="0" w:type="dxa"/>
            <w:left w:w="0" w:type="dxa"/>
            <w:bottom w:w="0" w:type="dxa"/>
            <w:right w:w="0" w:type="dxa"/>
          </w:tblCellMar>
        </w:tblPrEx>
        <w:trPr>
          <w:wBefore w:w="0" w:type="auto"/>
          <w:tblCellSpacing w:w="0" w:type="dxa"/>
        </w:trPr>
        <w:tc>
          <w:tcPr>
            <w:tcW w:w="0" w:type="auto"/>
            <w:noWrap w:val="0"/>
            <w:vAlign w:val="center"/>
          </w:tcPr>
          <w:p w14:paraId="519643DB">
            <w:r>
              <w:rPr>
                <w:rStyle w:val="10"/>
                <w:rFonts w:hint="eastAsia"/>
              </w:rPr>
              <w:t>登记证号：</w:t>
            </w:r>
            <w:r>
              <w:rPr>
                <w:rFonts w:hint="eastAsia"/>
              </w:rPr>
              <w:t>PD20211744</w:t>
            </w:r>
          </w:p>
        </w:tc>
      </w:tr>
      <w:tr w14:paraId="2D038EF5">
        <w:tblPrEx>
          <w:tblCellMar>
            <w:top w:w="0" w:type="dxa"/>
            <w:left w:w="0" w:type="dxa"/>
            <w:bottom w:w="0" w:type="dxa"/>
            <w:right w:w="0" w:type="dxa"/>
          </w:tblCellMar>
        </w:tblPrEx>
        <w:trPr>
          <w:wBefore w:w="0" w:type="auto"/>
          <w:tblCellSpacing w:w="0" w:type="dxa"/>
        </w:trPr>
        <w:tc>
          <w:tcPr>
            <w:tcW w:w="0" w:type="auto"/>
            <w:noWrap w:val="0"/>
            <w:vAlign w:val="center"/>
          </w:tcPr>
          <w:p w14:paraId="7FB24933">
            <w:r>
              <w:rPr>
                <w:rStyle w:val="10"/>
                <w:rFonts w:hint="eastAsia"/>
              </w:rPr>
              <w:t>登记证持有人：</w:t>
            </w:r>
            <w:r>
              <w:rPr>
                <w:rFonts w:hint="eastAsia"/>
              </w:rPr>
              <w:t>湖北犇星农化有限责任公司</w:t>
            </w:r>
          </w:p>
        </w:tc>
      </w:tr>
      <w:tr w14:paraId="209B5E39">
        <w:tblPrEx>
          <w:tblCellMar>
            <w:top w:w="0" w:type="dxa"/>
            <w:left w:w="0" w:type="dxa"/>
            <w:bottom w:w="0" w:type="dxa"/>
            <w:right w:w="0" w:type="dxa"/>
          </w:tblCellMar>
        </w:tblPrEx>
        <w:trPr>
          <w:wBefore w:w="0" w:type="auto"/>
          <w:tblCellSpacing w:w="0" w:type="dxa"/>
        </w:trPr>
        <w:tc>
          <w:tcPr>
            <w:tcW w:w="0" w:type="auto"/>
            <w:noWrap w:val="0"/>
            <w:vAlign w:val="center"/>
          </w:tcPr>
          <w:p w14:paraId="3550A130">
            <w:r>
              <w:rPr>
                <w:rStyle w:val="10"/>
                <w:rFonts w:hint="eastAsia"/>
              </w:rPr>
              <w:t>农药名称：</w:t>
            </w:r>
            <w:r>
              <w:rPr>
                <w:rFonts w:hint="eastAsia"/>
              </w:rPr>
              <w:t>噻虫嗪</w:t>
            </w:r>
          </w:p>
        </w:tc>
      </w:tr>
      <w:tr w14:paraId="080F671B">
        <w:tblPrEx>
          <w:tblCellMar>
            <w:top w:w="0" w:type="dxa"/>
            <w:left w:w="0" w:type="dxa"/>
            <w:bottom w:w="0" w:type="dxa"/>
            <w:right w:w="0" w:type="dxa"/>
          </w:tblCellMar>
        </w:tblPrEx>
        <w:trPr>
          <w:wBefore w:w="0" w:type="auto"/>
          <w:tblCellSpacing w:w="0" w:type="dxa"/>
        </w:trPr>
        <w:tc>
          <w:tcPr>
            <w:tcW w:w="0" w:type="auto"/>
            <w:noWrap w:val="0"/>
            <w:vAlign w:val="center"/>
          </w:tcPr>
          <w:p w14:paraId="1E450080">
            <w:r>
              <w:rPr>
                <w:rStyle w:val="10"/>
                <w:rFonts w:hint="eastAsia"/>
              </w:rPr>
              <w:t>剂型：</w:t>
            </w:r>
            <w:r>
              <w:rPr>
                <w:rFonts w:hint="eastAsia"/>
              </w:rPr>
              <w:t>颗粒剂</w:t>
            </w:r>
          </w:p>
        </w:tc>
      </w:tr>
      <w:tr w14:paraId="23DDD027">
        <w:tblPrEx>
          <w:tblCellMar>
            <w:top w:w="0" w:type="dxa"/>
            <w:left w:w="0" w:type="dxa"/>
            <w:bottom w:w="0" w:type="dxa"/>
            <w:right w:w="0" w:type="dxa"/>
          </w:tblCellMar>
        </w:tblPrEx>
        <w:trPr>
          <w:wBefore w:w="0" w:type="auto"/>
          <w:tblCellSpacing w:w="0" w:type="dxa"/>
        </w:trPr>
        <w:tc>
          <w:tcPr>
            <w:tcW w:w="0" w:type="auto"/>
            <w:noWrap w:val="0"/>
            <w:vAlign w:val="center"/>
          </w:tcPr>
          <w:p w14:paraId="225CCBCB">
            <w:r>
              <w:rPr>
                <w:rStyle w:val="10"/>
                <w:rFonts w:hint="eastAsia"/>
              </w:rPr>
              <w:t>毒性及其标识：</w:t>
            </w:r>
            <w:r>
              <w:rPr>
                <w:rFonts w:hint="eastAsia"/>
              </w:rPr>
              <w:t xml:space="preserve"> 微毒 </w:t>
            </w:r>
          </w:p>
        </w:tc>
      </w:tr>
      <w:tr w14:paraId="647AA995">
        <w:tblPrEx>
          <w:tblCellMar>
            <w:top w:w="0" w:type="dxa"/>
            <w:left w:w="0" w:type="dxa"/>
            <w:bottom w:w="0" w:type="dxa"/>
            <w:right w:w="0" w:type="dxa"/>
          </w:tblCellMar>
        </w:tblPrEx>
        <w:trPr>
          <w:wBefore w:w="0" w:type="auto"/>
          <w:tblCellSpacing w:w="0" w:type="dxa"/>
        </w:trPr>
        <w:tc>
          <w:tcPr>
            <w:tcW w:w="0" w:type="auto"/>
            <w:noWrap w:val="0"/>
            <w:vAlign w:val="center"/>
          </w:tcPr>
          <w:p w14:paraId="67F327BE">
            <w:r>
              <w:rPr>
                <w:rStyle w:val="10"/>
                <w:rFonts w:hint="eastAsia"/>
              </w:rPr>
              <w:t>总有效成分含量：</w:t>
            </w:r>
            <w:r>
              <w:rPr>
                <w:rFonts w:hint="eastAsia"/>
              </w:rPr>
              <w:t>0.12%</w:t>
            </w:r>
          </w:p>
        </w:tc>
      </w:tr>
      <w:tr w14:paraId="2FDEC1B7">
        <w:tblPrEx>
          <w:tblCellMar>
            <w:top w:w="0" w:type="dxa"/>
            <w:left w:w="0" w:type="dxa"/>
            <w:bottom w:w="0" w:type="dxa"/>
            <w:right w:w="0" w:type="dxa"/>
          </w:tblCellMar>
        </w:tblPrEx>
        <w:trPr>
          <w:wBefore w:w="0" w:type="auto"/>
          <w:tblCellSpacing w:w="0" w:type="dxa"/>
        </w:trPr>
        <w:tc>
          <w:tcPr>
            <w:tcW w:w="0" w:type="auto"/>
            <w:noWrap w:val="0"/>
            <w:vAlign w:val="center"/>
          </w:tcPr>
          <w:p w14:paraId="685365A1">
            <w:r>
              <w:rPr>
                <w:rFonts w:hint="eastAsia"/>
              </w:rPr>
              <w:t xml:space="preserve">有效成分及其含量： </w:t>
            </w:r>
          </w:p>
          <w:p w14:paraId="75286EB6">
            <w:r>
              <w:rPr>
                <w:rFonts w:hint="eastAsia"/>
              </w:rPr>
              <w:t xml:space="preserve">    噻虫嗪0.12%    </w:t>
            </w:r>
          </w:p>
        </w:tc>
      </w:tr>
      <w:tr w14:paraId="6B5DAF97">
        <w:tblPrEx>
          <w:tblCellMar>
            <w:top w:w="0" w:type="dxa"/>
            <w:left w:w="0" w:type="dxa"/>
            <w:bottom w:w="0" w:type="dxa"/>
            <w:right w:w="0" w:type="dxa"/>
          </w:tblCellMar>
        </w:tblPrEx>
        <w:trPr>
          <w:wBefore w:w="0" w:type="auto"/>
          <w:tblCellSpacing w:w="0" w:type="dxa"/>
        </w:trPr>
        <w:tc>
          <w:tcPr>
            <w:tcW w:w="0" w:type="auto"/>
            <w:noWrap w:val="0"/>
            <w:vAlign w:val="center"/>
          </w:tcPr>
          <w:p w14:paraId="6BE59CB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3EB79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C0F8E6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182C26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06D143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E806DA1">
                  <w:r>
                    <w:rPr>
                      <w:rStyle w:val="11"/>
                      <w:rFonts w:hint="eastAsia"/>
                    </w:rPr>
                    <w:t>施用方式</w:t>
                  </w:r>
                </w:p>
              </w:tc>
            </w:tr>
            <w:tr w14:paraId="567673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6B7EFB3">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E94DFA">
                  <w:r>
                    <w:rPr>
                      <w:rStyle w:val="11"/>
                      <w:rFonts w:hint="eastAsia"/>
                    </w:rPr>
                    <w:t>蔗螟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8F9C3B">
                  <w:r>
                    <w:rPr>
                      <w:rStyle w:val="11"/>
                      <w:rFonts w:hint="eastAsia"/>
                    </w:rPr>
                    <w:t>16-20千克/亩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424218">
                  <w:r>
                    <w:rPr>
                      <w:rStyle w:val="11"/>
                      <w:rFonts w:hint="eastAsia"/>
                    </w:rPr>
                    <w:t>撒施</w:t>
                  </w:r>
                </w:p>
              </w:tc>
            </w:tr>
          </w:tbl>
          <w:p w14:paraId="252F3AB2">
            <w:pPr>
              <w:rPr>
                <w:rFonts w:ascii="Times New Roman" w:hAnsi="Times New Roman" w:cs="Times New Roman"/>
                <w:sz w:val="20"/>
                <w:szCs w:val="20"/>
              </w:rPr>
            </w:pPr>
          </w:p>
        </w:tc>
      </w:tr>
      <w:tr w14:paraId="00A54119">
        <w:tblPrEx>
          <w:tblCellMar>
            <w:top w:w="0" w:type="dxa"/>
            <w:left w:w="0" w:type="dxa"/>
            <w:bottom w:w="0" w:type="dxa"/>
            <w:right w:w="0" w:type="dxa"/>
          </w:tblCellMar>
        </w:tblPrEx>
        <w:trPr>
          <w:wBefore w:w="0" w:type="auto"/>
          <w:tblCellSpacing w:w="0" w:type="dxa"/>
        </w:trPr>
        <w:tc>
          <w:tcPr>
            <w:tcW w:w="0" w:type="auto"/>
            <w:noWrap w:val="0"/>
            <w:vAlign w:val="center"/>
          </w:tcPr>
          <w:p w14:paraId="36B795A7">
            <w:r>
              <w:rPr>
                <w:rStyle w:val="10"/>
                <w:rFonts w:hint="eastAsia"/>
              </w:rPr>
              <w:t>使用技术要求:</w:t>
            </w:r>
            <w:r>
              <w:rPr>
                <w:rFonts w:hint="eastAsia"/>
              </w:rPr>
              <w:br w:type="textWrapping"/>
            </w:r>
            <w:r>
              <w:rPr>
                <w:rStyle w:val="11"/>
                <w:rFonts w:hint="eastAsia"/>
              </w:rPr>
              <w:t>1. 于甘蔗播种或培土时施药1次，将药剂撒施于种植沟内蔗种附近，然后覆土；培土时，在甘蔗植株附近掏小沟撒施于甘蔗附近，施药后覆土。2. 本品每季最多使用1次。</w:t>
            </w:r>
          </w:p>
        </w:tc>
      </w:tr>
      <w:tr w14:paraId="6A68F86D">
        <w:tblPrEx>
          <w:tblCellMar>
            <w:top w:w="0" w:type="dxa"/>
            <w:left w:w="0" w:type="dxa"/>
            <w:bottom w:w="0" w:type="dxa"/>
            <w:right w:w="0" w:type="dxa"/>
          </w:tblCellMar>
        </w:tblPrEx>
        <w:trPr>
          <w:wBefore w:w="0" w:type="auto"/>
          <w:tblCellSpacing w:w="0" w:type="dxa"/>
        </w:trPr>
        <w:tc>
          <w:tcPr>
            <w:tcW w:w="0" w:type="auto"/>
            <w:noWrap w:val="0"/>
            <w:vAlign w:val="center"/>
          </w:tcPr>
          <w:p w14:paraId="1FC4DD04">
            <w:r>
              <w:rPr>
                <w:rStyle w:val="10"/>
                <w:rFonts w:hint="eastAsia"/>
              </w:rPr>
              <w:t>产品性能:</w:t>
            </w:r>
            <w:r>
              <w:rPr>
                <w:rFonts w:hint="eastAsia"/>
              </w:rPr>
              <w:br w:type="textWrapping"/>
            </w:r>
            <w:r>
              <w:rPr>
                <w:rStyle w:val="11"/>
                <w:rFonts w:hint="eastAsia"/>
              </w:rPr>
              <w:t>噻虫嗪为新烟碱类杀虫剂，可选择性抑制昆虫中枢神经系统烟酸乙酰胆碱酯酶受体，具有触杀、胃毒、内吸作用；易被作物根系快速吸收，并传导到植物各部位，对作物安全，持效期长。可用于防治甘蔗蔗螟。</w:t>
            </w:r>
          </w:p>
        </w:tc>
      </w:tr>
      <w:tr w14:paraId="5D259927">
        <w:tblPrEx>
          <w:tblCellMar>
            <w:top w:w="0" w:type="dxa"/>
            <w:left w:w="0" w:type="dxa"/>
            <w:bottom w:w="0" w:type="dxa"/>
            <w:right w:w="0" w:type="dxa"/>
          </w:tblCellMar>
        </w:tblPrEx>
        <w:trPr>
          <w:wBefore w:w="0" w:type="auto"/>
          <w:tblCellSpacing w:w="0" w:type="dxa"/>
        </w:trPr>
        <w:tc>
          <w:tcPr>
            <w:tcW w:w="0" w:type="auto"/>
            <w:noWrap w:val="0"/>
            <w:vAlign w:val="center"/>
          </w:tcPr>
          <w:p w14:paraId="6DF0C7DC">
            <w:r>
              <w:rPr>
                <w:rStyle w:val="10"/>
                <w:rFonts w:hint="eastAsia"/>
              </w:rPr>
              <w:t>注意事项：</w:t>
            </w:r>
            <w:r>
              <w:rPr>
                <w:rFonts w:hint="eastAsia"/>
              </w:rPr>
              <w:br w:type="textWrapping"/>
            </w:r>
            <w:r>
              <w:rPr>
                <w:rStyle w:val="11"/>
                <w:rFonts w:hint="eastAsia"/>
              </w:rPr>
              <w:t>1）本品对鸟类和蜜蜂有较高风险；鸟类保护区附近禁用，施药后立即覆土；（周围）开花植物花期禁用，使用时应密切关注对附近蜂群的影响；远离水产养殖区施药，禁止在河塘等水体中清洗施药器具，清洗施药器具的水也不能排入河塘等水体。2）使用过本品的田块改种桑树时，须先小面积试种，确定对桑蚕无害后再大面积种植。3）本品对眼睛有刺激性，使用时避免接触眼睛，穿戴长衣、长裤、帽子、口罩、手套等安全防护措施。避免皮肤接触及口鼻吸入。使用中不可吸烟、饮水及吃东西，使用后及时清洗手、脸等暴露部位皮肤并更换衣物。4）用过的包装与容器应妥善处理，不可做他用，也不可随意丢弃。5）本品不可与强碱性和强酸性物质混合使用。6）建议与其它作用机制不同的杀虫剂轮换使用，以延缓抗性产生。7）禁止儿童、孕妇和哺乳期妇女接触。8）过敏者禁用，使用中有任何不良反应请及时就医。</w:t>
            </w:r>
          </w:p>
        </w:tc>
      </w:tr>
      <w:tr w14:paraId="1F9F2EEF">
        <w:tblPrEx>
          <w:tblCellMar>
            <w:top w:w="0" w:type="dxa"/>
            <w:left w:w="0" w:type="dxa"/>
            <w:bottom w:w="0" w:type="dxa"/>
            <w:right w:w="0" w:type="dxa"/>
          </w:tblCellMar>
        </w:tblPrEx>
        <w:trPr>
          <w:wBefore w:w="0" w:type="auto"/>
          <w:tblCellSpacing w:w="0" w:type="dxa"/>
        </w:trPr>
        <w:tc>
          <w:tcPr>
            <w:tcW w:w="0" w:type="auto"/>
            <w:noWrap w:val="0"/>
            <w:vAlign w:val="center"/>
          </w:tcPr>
          <w:p w14:paraId="4605A58F">
            <w:r>
              <w:rPr>
                <w:rStyle w:val="10"/>
                <w:rFonts w:hint="eastAsia"/>
              </w:rPr>
              <w:t>中毒急救措施：</w:t>
            </w:r>
            <w:r>
              <w:rPr>
                <w:rFonts w:hint="eastAsia"/>
              </w:rPr>
              <w:br w:type="textWrapping"/>
            </w:r>
            <w:r>
              <w:rPr>
                <w:rStyle w:val="11"/>
                <w:rFonts w:hint="eastAsia"/>
              </w:rPr>
              <w:t xml:space="preserve">中毒症状：按标签推荐方法使用，无典型中毒症状。 皮肤接触：立即脱去被污染的衣物，用肥皂和清水彻底冲洗皮肤接触部位。如皮肤刺激感持续，请医生诊治。 眼睛溅入：立即翻开眼睑，用清水冲洗至少15分钟，再请医生诊治。 吸入：立即将吸入者转移到空气清新处，若吸入者停止呼吸，需要进行人工呼吸。注意保暖和休息，请医生诊治。 误食：请勿引吐，如病人可吞咽，可适量饮水。立即携带标签到医院就诊，无特效解毒剂，请对症治疗。注意：对昏迷病人，切勿经口喂入任何东西。 </w:t>
            </w:r>
          </w:p>
        </w:tc>
      </w:tr>
      <w:tr w14:paraId="3A5FF621">
        <w:tblPrEx>
          <w:tblCellMar>
            <w:top w:w="0" w:type="dxa"/>
            <w:left w:w="0" w:type="dxa"/>
            <w:bottom w:w="0" w:type="dxa"/>
            <w:right w:w="0" w:type="dxa"/>
          </w:tblCellMar>
        </w:tblPrEx>
        <w:trPr>
          <w:wBefore w:w="0" w:type="auto"/>
          <w:tblCellSpacing w:w="0" w:type="dxa"/>
        </w:trPr>
        <w:tc>
          <w:tcPr>
            <w:tcW w:w="0" w:type="auto"/>
            <w:noWrap w:val="0"/>
            <w:vAlign w:val="center"/>
          </w:tcPr>
          <w:p w14:paraId="5269E861">
            <w:r>
              <w:rPr>
                <w:rStyle w:val="10"/>
                <w:rFonts w:hint="eastAsia"/>
              </w:rPr>
              <w:t>储存和运输方法：</w:t>
            </w:r>
            <w:r>
              <w:rPr>
                <w:rFonts w:hint="eastAsia"/>
              </w:rPr>
              <w:br w:type="textWrapping"/>
            </w:r>
            <w:r>
              <w:rPr>
                <w:rStyle w:val="11"/>
                <w:rFonts w:hint="eastAsia"/>
              </w:rPr>
              <w:t>本品应贮存在通风、干燥的库房中。贮运时，严防潮湿和日晒，远离火源或热源。置于儿童、无关人员触及不到之处，并加锁。勿与食品、饮料、饲料、粮食等同贮同运。</w:t>
            </w:r>
          </w:p>
        </w:tc>
      </w:tr>
      <w:tr w14:paraId="544B5F5A">
        <w:tblPrEx>
          <w:tblCellMar>
            <w:top w:w="0" w:type="dxa"/>
            <w:left w:w="0" w:type="dxa"/>
            <w:bottom w:w="0" w:type="dxa"/>
            <w:right w:w="0" w:type="dxa"/>
          </w:tblCellMar>
        </w:tblPrEx>
        <w:trPr>
          <w:wBefore w:w="0" w:type="auto"/>
          <w:tblCellSpacing w:w="0" w:type="dxa"/>
        </w:trPr>
        <w:tc>
          <w:tcPr>
            <w:tcW w:w="0" w:type="auto"/>
            <w:noWrap w:val="0"/>
            <w:vAlign w:val="center"/>
          </w:tcPr>
          <w:p w14:paraId="15C781FD">
            <w:r>
              <w:rPr>
                <w:rStyle w:val="10"/>
                <w:rFonts w:hint="eastAsia"/>
              </w:rPr>
              <w:t>质量保证期：</w:t>
            </w:r>
            <w:r>
              <w:rPr>
                <w:rStyle w:val="11"/>
                <w:rFonts w:hint="eastAsia"/>
              </w:rPr>
              <w:t>2年</w:t>
            </w:r>
          </w:p>
        </w:tc>
      </w:tr>
      <w:tr w14:paraId="5003C53B">
        <w:tblPrEx>
          <w:tblCellMar>
            <w:top w:w="0" w:type="dxa"/>
            <w:left w:w="0" w:type="dxa"/>
            <w:bottom w:w="0" w:type="dxa"/>
            <w:right w:w="0" w:type="dxa"/>
          </w:tblCellMar>
        </w:tblPrEx>
        <w:trPr>
          <w:wBefore w:w="0" w:type="auto"/>
          <w:tblCellSpacing w:w="0" w:type="dxa"/>
        </w:trPr>
        <w:tc>
          <w:tcPr>
            <w:tcW w:w="0" w:type="auto"/>
            <w:noWrap w:val="0"/>
            <w:vAlign w:val="center"/>
          </w:tcPr>
          <w:p w14:paraId="7C7AD7AB">
            <w:r>
              <w:rPr>
                <w:rStyle w:val="10"/>
                <w:rFonts w:hint="eastAsia"/>
              </w:rPr>
              <w:t>备注：</w:t>
            </w:r>
          </w:p>
        </w:tc>
      </w:tr>
    </w:tbl>
    <w:p w14:paraId="59AB8E0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EB63400">
        <w:trPr>
          <w:wBefore w:w="0" w:type="auto"/>
          <w:tblCellSpacing w:w="0" w:type="dxa"/>
        </w:trPr>
        <w:tc>
          <w:tcPr>
            <w:tcW w:w="0" w:type="auto"/>
            <w:noWrap w:val="0"/>
            <w:vAlign w:val="center"/>
          </w:tcPr>
          <w:p w14:paraId="145B341D">
            <w:r>
              <w:rPr>
                <w:rStyle w:val="10"/>
                <w:rFonts w:hint="eastAsia"/>
              </w:rPr>
              <w:t>登记证号：</w:t>
            </w:r>
            <w:r>
              <w:rPr>
                <w:rFonts w:hint="eastAsia"/>
              </w:rPr>
              <w:t>PD20212048</w:t>
            </w:r>
          </w:p>
        </w:tc>
      </w:tr>
      <w:tr w14:paraId="2CC8FE21">
        <w:tblPrEx>
          <w:tblCellMar>
            <w:top w:w="0" w:type="dxa"/>
            <w:left w:w="0" w:type="dxa"/>
            <w:bottom w:w="0" w:type="dxa"/>
            <w:right w:w="0" w:type="dxa"/>
          </w:tblCellMar>
        </w:tblPrEx>
        <w:trPr>
          <w:wBefore w:w="0" w:type="auto"/>
          <w:tblCellSpacing w:w="0" w:type="dxa"/>
        </w:trPr>
        <w:tc>
          <w:tcPr>
            <w:tcW w:w="0" w:type="auto"/>
            <w:noWrap w:val="0"/>
            <w:vAlign w:val="center"/>
          </w:tcPr>
          <w:p w14:paraId="3E2FFCA2">
            <w:r>
              <w:rPr>
                <w:rStyle w:val="10"/>
                <w:rFonts w:hint="eastAsia"/>
              </w:rPr>
              <w:t>登记证持有人：</w:t>
            </w:r>
            <w:r>
              <w:rPr>
                <w:rFonts w:hint="eastAsia"/>
              </w:rPr>
              <w:t>黑龙江省绥化农垦晨环生物制剂有限责任公司</w:t>
            </w:r>
          </w:p>
        </w:tc>
      </w:tr>
      <w:tr w14:paraId="619BAF44">
        <w:tblPrEx>
          <w:tblCellMar>
            <w:top w:w="0" w:type="dxa"/>
            <w:left w:w="0" w:type="dxa"/>
            <w:bottom w:w="0" w:type="dxa"/>
            <w:right w:w="0" w:type="dxa"/>
          </w:tblCellMar>
        </w:tblPrEx>
        <w:trPr>
          <w:wBefore w:w="0" w:type="auto"/>
          <w:tblCellSpacing w:w="0" w:type="dxa"/>
        </w:trPr>
        <w:tc>
          <w:tcPr>
            <w:tcW w:w="0" w:type="auto"/>
            <w:noWrap w:val="0"/>
            <w:vAlign w:val="center"/>
          </w:tcPr>
          <w:p w14:paraId="2A6FA917">
            <w:r>
              <w:rPr>
                <w:rStyle w:val="10"/>
                <w:rFonts w:hint="eastAsia"/>
              </w:rPr>
              <w:t>农药名称：</w:t>
            </w:r>
            <w:r>
              <w:rPr>
                <w:rFonts w:hint="eastAsia"/>
              </w:rPr>
              <w:t>24-表芸·赤霉酸</w:t>
            </w:r>
          </w:p>
        </w:tc>
      </w:tr>
      <w:tr w14:paraId="05C2D80D">
        <w:tblPrEx>
          <w:tblCellMar>
            <w:top w:w="0" w:type="dxa"/>
            <w:left w:w="0" w:type="dxa"/>
            <w:bottom w:w="0" w:type="dxa"/>
            <w:right w:w="0" w:type="dxa"/>
          </w:tblCellMar>
        </w:tblPrEx>
        <w:trPr>
          <w:wBefore w:w="0" w:type="auto"/>
          <w:tblCellSpacing w:w="0" w:type="dxa"/>
        </w:trPr>
        <w:tc>
          <w:tcPr>
            <w:tcW w:w="0" w:type="auto"/>
            <w:noWrap w:val="0"/>
            <w:vAlign w:val="center"/>
          </w:tcPr>
          <w:p w14:paraId="645ADB23">
            <w:r>
              <w:rPr>
                <w:rStyle w:val="10"/>
                <w:rFonts w:hint="eastAsia"/>
              </w:rPr>
              <w:t>剂型：</w:t>
            </w:r>
            <w:r>
              <w:rPr>
                <w:rFonts w:hint="eastAsia"/>
              </w:rPr>
              <w:t>可溶液剂</w:t>
            </w:r>
          </w:p>
        </w:tc>
      </w:tr>
      <w:tr w14:paraId="4A218471">
        <w:tblPrEx>
          <w:tblCellMar>
            <w:top w:w="0" w:type="dxa"/>
            <w:left w:w="0" w:type="dxa"/>
            <w:bottom w:w="0" w:type="dxa"/>
            <w:right w:w="0" w:type="dxa"/>
          </w:tblCellMar>
        </w:tblPrEx>
        <w:trPr>
          <w:wBefore w:w="0" w:type="auto"/>
          <w:tblCellSpacing w:w="0" w:type="dxa"/>
        </w:trPr>
        <w:tc>
          <w:tcPr>
            <w:tcW w:w="0" w:type="auto"/>
            <w:noWrap w:val="0"/>
            <w:vAlign w:val="center"/>
          </w:tcPr>
          <w:p w14:paraId="6F79506A">
            <w:r>
              <w:rPr>
                <w:rStyle w:val="10"/>
                <w:rFonts w:hint="eastAsia"/>
              </w:rPr>
              <w:t>毒性及其标识：</w:t>
            </w:r>
            <w:r>
              <w:rPr>
                <w:rFonts w:hint="eastAsia"/>
              </w:rPr>
              <w:t xml:space="preserve"> </w:t>
            </w:r>
            <w:r>
              <w:rPr>
                <w:lang/>
              </w:rPr>
              <w:drawing>
                <wp:inline distT="0" distB="0" distL="114300" distR="114300">
                  <wp:extent cx="476250" cy="323850"/>
                  <wp:effectExtent l="0" t="0" r="0" b="0"/>
                  <wp:docPr id="324" name="图片 32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4D426A2">
        <w:tblPrEx>
          <w:tblCellMar>
            <w:top w:w="0" w:type="dxa"/>
            <w:left w:w="0" w:type="dxa"/>
            <w:bottom w:w="0" w:type="dxa"/>
            <w:right w:w="0" w:type="dxa"/>
          </w:tblCellMar>
        </w:tblPrEx>
        <w:trPr>
          <w:wBefore w:w="0" w:type="auto"/>
          <w:tblCellSpacing w:w="0" w:type="dxa"/>
        </w:trPr>
        <w:tc>
          <w:tcPr>
            <w:tcW w:w="0" w:type="auto"/>
            <w:noWrap w:val="0"/>
            <w:vAlign w:val="center"/>
          </w:tcPr>
          <w:p w14:paraId="434848CD">
            <w:r>
              <w:rPr>
                <w:rStyle w:val="10"/>
                <w:rFonts w:hint="eastAsia"/>
              </w:rPr>
              <w:t>总有效成分含量：</w:t>
            </w:r>
            <w:r>
              <w:rPr>
                <w:rFonts w:hint="eastAsia"/>
              </w:rPr>
              <w:t>0.4%</w:t>
            </w:r>
          </w:p>
        </w:tc>
      </w:tr>
      <w:tr w14:paraId="5F7E50EF">
        <w:tblPrEx>
          <w:tblCellMar>
            <w:top w:w="0" w:type="dxa"/>
            <w:left w:w="0" w:type="dxa"/>
            <w:bottom w:w="0" w:type="dxa"/>
            <w:right w:w="0" w:type="dxa"/>
          </w:tblCellMar>
        </w:tblPrEx>
        <w:trPr>
          <w:wBefore w:w="0" w:type="auto"/>
          <w:tblCellSpacing w:w="0" w:type="dxa"/>
        </w:trPr>
        <w:tc>
          <w:tcPr>
            <w:tcW w:w="0" w:type="auto"/>
            <w:noWrap w:val="0"/>
            <w:vAlign w:val="center"/>
          </w:tcPr>
          <w:p w14:paraId="79B556CF">
            <w:r>
              <w:rPr>
                <w:rFonts w:hint="eastAsia"/>
              </w:rPr>
              <w:t xml:space="preserve">有效成分及其含量： </w:t>
            </w:r>
          </w:p>
          <w:p w14:paraId="5F200BF3">
            <w:r>
              <w:rPr>
                <w:rFonts w:hint="eastAsia"/>
              </w:rPr>
              <w:t xml:space="preserve">    24-表芸苔素内酯0.002%    赤霉酸A30.398%    </w:t>
            </w:r>
          </w:p>
        </w:tc>
      </w:tr>
      <w:tr w14:paraId="4BE85C76">
        <w:tblPrEx>
          <w:tblCellMar>
            <w:top w:w="0" w:type="dxa"/>
            <w:left w:w="0" w:type="dxa"/>
            <w:bottom w:w="0" w:type="dxa"/>
            <w:right w:w="0" w:type="dxa"/>
          </w:tblCellMar>
        </w:tblPrEx>
        <w:trPr>
          <w:wBefore w:w="0" w:type="auto"/>
          <w:tblCellSpacing w:w="0" w:type="dxa"/>
        </w:trPr>
        <w:tc>
          <w:tcPr>
            <w:tcW w:w="0" w:type="auto"/>
            <w:noWrap w:val="0"/>
            <w:vAlign w:val="center"/>
          </w:tcPr>
          <w:p w14:paraId="672AF73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65F9D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B28316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CA4172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9F48E8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A725FBB">
                  <w:r>
                    <w:rPr>
                      <w:rStyle w:val="11"/>
                      <w:rFonts w:hint="eastAsia"/>
                    </w:rPr>
                    <w:t>施用方式</w:t>
                  </w:r>
                </w:p>
              </w:tc>
            </w:tr>
            <w:tr w14:paraId="0968AA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87A50DC">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FE5C4E">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CE5128">
                  <w:r>
                    <w:rPr>
                      <w:rStyle w:val="11"/>
                      <w:rFonts w:hint="eastAsia"/>
                    </w:rPr>
                    <w:t>800-1600倍液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93842F">
                  <w:r>
                    <w:rPr>
                      <w:rStyle w:val="11"/>
                      <w:rFonts w:hint="eastAsia"/>
                    </w:rPr>
                    <w:t>喷雾</w:t>
                  </w:r>
                </w:p>
              </w:tc>
            </w:tr>
          </w:tbl>
          <w:p w14:paraId="5528B4E4">
            <w:pPr>
              <w:rPr>
                <w:rFonts w:ascii="Times New Roman" w:hAnsi="Times New Roman" w:cs="Times New Roman"/>
                <w:sz w:val="20"/>
                <w:szCs w:val="20"/>
              </w:rPr>
            </w:pPr>
          </w:p>
        </w:tc>
      </w:tr>
      <w:tr w14:paraId="634C8118">
        <w:tblPrEx>
          <w:tblCellMar>
            <w:top w:w="0" w:type="dxa"/>
            <w:left w:w="0" w:type="dxa"/>
            <w:bottom w:w="0" w:type="dxa"/>
            <w:right w:w="0" w:type="dxa"/>
          </w:tblCellMar>
        </w:tblPrEx>
        <w:trPr>
          <w:wBefore w:w="0" w:type="auto"/>
          <w:tblCellSpacing w:w="0" w:type="dxa"/>
        </w:trPr>
        <w:tc>
          <w:tcPr>
            <w:tcW w:w="0" w:type="auto"/>
            <w:noWrap w:val="0"/>
            <w:vAlign w:val="center"/>
          </w:tcPr>
          <w:p w14:paraId="31C7E3F4">
            <w:r>
              <w:rPr>
                <w:rStyle w:val="10"/>
                <w:rFonts w:hint="eastAsia"/>
              </w:rPr>
              <w:t>使用技术要求:</w:t>
            </w:r>
            <w:r>
              <w:rPr>
                <w:rFonts w:hint="eastAsia"/>
              </w:rPr>
              <w:br w:type="textWrapping"/>
            </w:r>
            <w:r>
              <w:rPr>
                <w:rStyle w:val="11"/>
                <w:rFonts w:hint="eastAsia"/>
              </w:rPr>
              <w:t>1、于水稻孕穗期、齐穗期各施药1次，共施药2次，兑水均匀喷雾，注意喷雾均匀周到。2、大风天或下雨前后，请勿施药。</w:t>
            </w:r>
          </w:p>
        </w:tc>
      </w:tr>
      <w:tr w14:paraId="2C571D32">
        <w:tblPrEx>
          <w:tblCellMar>
            <w:top w:w="0" w:type="dxa"/>
            <w:left w:w="0" w:type="dxa"/>
            <w:bottom w:w="0" w:type="dxa"/>
            <w:right w:w="0" w:type="dxa"/>
          </w:tblCellMar>
        </w:tblPrEx>
        <w:trPr>
          <w:wBefore w:w="0" w:type="auto"/>
          <w:tblCellSpacing w:w="0" w:type="dxa"/>
        </w:trPr>
        <w:tc>
          <w:tcPr>
            <w:tcW w:w="0" w:type="auto"/>
            <w:noWrap w:val="0"/>
            <w:vAlign w:val="center"/>
          </w:tcPr>
          <w:p w14:paraId="51520BBF">
            <w:r>
              <w:rPr>
                <w:rStyle w:val="10"/>
                <w:rFonts w:hint="eastAsia"/>
              </w:rPr>
              <w:t>产品性能:</w:t>
            </w:r>
            <w:r>
              <w:rPr>
                <w:rFonts w:hint="eastAsia"/>
              </w:rPr>
              <w:br w:type="textWrapping"/>
            </w:r>
            <w:r>
              <w:rPr>
                <w:rStyle w:val="11"/>
                <w:rFonts w:hint="eastAsia"/>
              </w:rPr>
              <w:t>本品由24-表芸苔素内酯和赤霉酸复配而成，外观为无色透明液体，无刺激性气味。本品具有使植物细胞分裂和延长的双重作用，促进根系发达，增强光合作用，提高作物叶绿素含量，促进作物对肥料的有效吸收；同时能使植物提早成熟、改进品质，还能迅速打破植物种子、块茎和鳞茎等器官的休眠，促进发芽、分蘖、抽苔、提高结果率等。按登记剂量使用时，对水稻生长有较好的调节作用，且对供试水稻安全。</w:t>
            </w:r>
          </w:p>
        </w:tc>
      </w:tr>
      <w:tr w14:paraId="34C7B185">
        <w:tblPrEx>
          <w:tblCellMar>
            <w:top w:w="0" w:type="dxa"/>
            <w:left w:w="0" w:type="dxa"/>
            <w:bottom w:w="0" w:type="dxa"/>
            <w:right w:w="0" w:type="dxa"/>
          </w:tblCellMar>
        </w:tblPrEx>
        <w:trPr>
          <w:wBefore w:w="0" w:type="auto"/>
          <w:tblCellSpacing w:w="0" w:type="dxa"/>
        </w:trPr>
        <w:tc>
          <w:tcPr>
            <w:tcW w:w="0" w:type="auto"/>
            <w:noWrap w:val="0"/>
            <w:vAlign w:val="center"/>
          </w:tcPr>
          <w:p w14:paraId="24E4D438">
            <w:r>
              <w:rPr>
                <w:rStyle w:val="10"/>
                <w:rFonts w:hint="eastAsia"/>
              </w:rPr>
              <w:t>注意事项：</w:t>
            </w:r>
            <w:r>
              <w:rPr>
                <w:rFonts w:hint="eastAsia"/>
              </w:rPr>
              <w:br w:type="textWrapping"/>
            </w:r>
            <w:r>
              <w:rPr>
                <w:rStyle w:val="11"/>
                <w:rFonts w:hint="eastAsia"/>
              </w:rPr>
              <w:t>1、本品不可与碱性物质混用。2、施药时远离水产养殖区、河塘等水体附近施药，禁止在河塘等水体中清洗施药器具，避免药液流入河塘等水体中污染水源。3、施药期间（周围）开花植物花期禁用，使用时密切关注对附近蜂群的影响；鸟类保护区附近禁用。4、施药时应穿长衣、长裤，佩戴口罩、护目镜、手套等防护用品，切勿在施药时抽烟或饮食等，施药后应及时清洗皮肤并更换衣服。5、用过的容器应妥善处理，不可做他用，也不可随意丢弃。6、儿童、孕妇及哺乳期妇女禁止接触本品。</w:t>
            </w:r>
          </w:p>
        </w:tc>
      </w:tr>
      <w:tr w14:paraId="3BFB4A38">
        <w:tblPrEx>
          <w:tblCellMar>
            <w:top w:w="0" w:type="dxa"/>
            <w:left w:w="0" w:type="dxa"/>
            <w:bottom w:w="0" w:type="dxa"/>
            <w:right w:w="0" w:type="dxa"/>
          </w:tblCellMar>
        </w:tblPrEx>
        <w:trPr>
          <w:wBefore w:w="0" w:type="auto"/>
          <w:tblCellSpacing w:w="0" w:type="dxa"/>
        </w:trPr>
        <w:tc>
          <w:tcPr>
            <w:tcW w:w="0" w:type="auto"/>
            <w:noWrap w:val="0"/>
            <w:vAlign w:val="center"/>
          </w:tcPr>
          <w:p w14:paraId="4E20B5C4">
            <w:r>
              <w:rPr>
                <w:rStyle w:val="10"/>
                <w:rFonts w:hint="eastAsia"/>
              </w:rPr>
              <w:t>中毒急救措施：</w:t>
            </w:r>
            <w:r>
              <w:rPr>
                <w:rFonts w:hint="eastAsia"/>
              </w:rPr>
              <w:br w:type="textWrapping"/>
            </w:r>
            <w:r>
              <w:rPr>
                <w:rStyle w:val="11"/>
                <w:rFonts w:hint="eastAsia"/>
              </w:rPr>
              <w:t>急救措施：使用中或使用后如果感觉不适，立即停止工作，采取急救措施，并携此标签送医就诊。皮肤接触：立即脱掉被污染的衣物，用大量清水和肥皂彻底冲洗受污染皮肤。眼睛溅入：立即将眼睑翻开，用清水冲洗至少15分钟。仍有不适时，就医。不慎吸入：立即转移至空气清新处，保持呼吸畅通。误服：立即停止服用，用清水充分漱口后，携带农药标签到医院就诊。</w:t>
            </w:r>
          </w:p>
        </w:tc>
      </w:tr>
      <w:tr w14:paraId="3827AC4C">
        <w:tblPrEx>
          <w:tblCellMar>
            <w:top w:w="0" w:type="dxa"/>
            <w:left w:w="0" w:type="dxa"/>
            <w:bottom w:w="0" w:type="dxa"/>
            <w:right w:w="0" w:type="dxa"/>
          </w:tblCellMar>
        </w:tblPrEx>
        <w:trPr>
          <w:wBefore w:w="0" w:type="auto"/>
          <w:tblCellSpacing w:w="0" w:type="dxa"/>
        </w:trPr>
        <w:tc>
          <w:tcPr>
            <w:tcW w:w="0" w:type="auto"/>
            <w:noWrap w:val="0"/>
            <w:vAlign w:val="center"/>
          </w:tcPr>
          <w:p w14:paraId="47381B78">
            <w:r>
              <w:rPr>
                <w:rStyle w:val="10"/>
                <w:rFonts w:hint="eastAsia"/>
              </w:rPr>
              <w:t>储存和运输方法：</w:t>
            </w:r>
            <w:r>
              <w:rPr>
                <w:rFonts w:hint="eastAsia"/>
              </w:rPr>
              <w:br w:type="textWrapping"/>
            </w:r>
            <w:r>
              <w:rPr>
                <w:rStyle w:val="11"/>
                <w:rFonts w:hint="eastAsia"/>
              </w:rPr>
              <w:t>本品应贮存在通风、干燥的库房内。贮运时，严防潮湿和日晒，不得与食物、种子、饲料混放，避免与皮肤、眼睛接触，防止由口鼻吸入。</w:t>
            </w:r>
          </w:p>
        </w:tc>
      </w:tr>
      <w:tr w14:paraId="6CC1A91E">
        <w:tblPrEx>
          <w:tblCellMar>
            <w:top w:w="0" w:type="dxa"/>
            <w:left w:w="0" w:type="dxa"/>
            <w:bottom w:w="0" w:type="dxa"/>
            <w:right w:w="0" w:type="dxa"/>
          </w:tblCellMar>
        </w:tblPrEx>
        <w:trPr>
          <w:wBefore w:w="0" w:type="auto"/>
          <w:tblCellSpacing w:w="0" w:type="dxa"/>
        </w:trPr>
        <w:tc>
          <w:tcPr>
            <w:tcW w:w="0" w:type="auto"/>
            <w:noWrap w:val="0"/>
            <w:vAlign w:val="center"/>
          </w:tcPr>
          <w:p w14:paraId="5A545EBE">
            <w:r>
              <w:rPr>
                <w:rStyle w:val="10"/>
                <w:rFonts w:hint="eastAsia"/>
              </w:rPr>
              <w:t>质量保证期：</w:t>
            </w:r>
            <w:r>
              <w:rPr>
                <w:rStyle w:val="11"/>
                <w:rFonts w:hint="eastAsia"/>
              </w:rPr>
              <w:t>2年</w:t>
            </w:r>
          </w:p>
        </w:tc>
      </w:tr>
      <w:tr w14:paraId="3B2773DE">
        <w:tblPrEx>
          <w:tblCellMar>
            <w:top w:w="0" w:type="dxa"/>
            <w:left w:w="0" w:type="dxa"/>
            <w:bottom w:w="0" w:type="dxa"/>
            <w:right w:w="0" w:type="dxa"/>
          </w:tblCellMar>
        </w:tblPrEx>
        <w:trPr>
          <w:wBefore w:w="0" w:type="auto"/>
          <w:tblCellSpacing w:w="0" w:type="dxa"/>
        </w:trPr>
        <w:tc>
          <w:tcPr>
            <w:tcW w:w="0" w:type="auto"/>
            <w:noWrap w:val="0"/>
            <w:vAlign w:val="center"/>
          </w:tcPr>
          <w:p w14:paraId="0A58633C">
            <w:r>
              <w:rPr>
                <w:rStyle w:val="10"/>
                <w:rFonts w:hint="eastAsia"/>
              </w:rPr>
              <w:t>备注：</w:t>
            </w:r>
          </w:p>
        </w:tc>
      </w:tr>
    </w:tbl>
    <w:p w14:paraId="14E0A0C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DF4FDA">
        <w:tblPrEx>
          <w:tblCellMar>
            <w:top w:w="0" w:type="dxa"/>
            <w:left w:w="0" w:type="dxa"/>
            <w:bottom w:w="0" w:type="dxa"/>
            <w:right w:w="0" w:type="dxa"/>
          </w:tblCellMar>
        </w:tblPrEx>
        <w:trPr>
          <w:wBefore w:w="0" w:type="auto"/>
          <w:tblCellSpacing w:w="0" w:type="dxa"/>
        </w:trPr>
        <w:tc>
          <w:tcPr>
            <w:tcW w:w="0" w:type="auto"/>
            <w:noWrap w:val="0"/>
            <w:vAlign w:val="center"/>
          </w:tcPr>
          <w:p w14:paraId="611F733D">
            <w:r>
              <w:rPr>
                <w:rStyle w:val="10"/>
                <w:rFonts w:hint="eastAsia"/>
              </w:rPr>
              <w:t>登记证号：</w:t>
            </w:r>
            <w:r>
              <w:rPr>
                <w:rFonts w:hint="eastAsia"/>
              </w:rPr>
              <w:t>PD20211868</w:t>
            </w:r>
          </w:p>
        </w:tc>
      </w:tr>
      <w:tr w14:paraId="6FF059B0">
        <w:tblPrEx>
          <w:tblCellMar>
            <w:top w:w="0" w:type="dxa"/>
            <w:left w:w="0" w:type="dxa"/>
            <w:bottom w:w="0" w:type="dxa"/>
            <w:right w:w="0" w:type="dxa"/>
          </w:tblCellMar>
        </w:tblPrEx>
        <w:trPr>
          <w:wBefore w:w="0" w:type="auto"/>
          <w:tblCellSpacing w:w="0" w:type="dxa"/>
        </w:trPr>
        <w:tc>
          <w:tcPr>
            <w:tcW w:w="0" w:type="auto"/>
            <w:noWrap w:val="0"/>
            <w:vAlign w:val="center"/>
          </w:tcPr>
          <w:p w14:paraId="6C69003B">
            <w:r>
              <w:rPr>
                <w:rStyle w:val="10"/>
                <w:rFonts w:hint="eastAsia"/>
              </w:rPr>
              <w:t>登记证持有人：</w:t>
            </w:r>
            <w:r>
              <w:rPr>
                <w:rFonts w:hint="eastAsia"/>
              </w:rPr>
              <w:t>安徽美兰农业发展股份有限公司</w:t>
            </w:r>
          </w:p>
        </w:tc>
      </w:tr>
      <w:tr w14:paraId="7EA72B14">
        <w:tblPrEx>
          <w:tblCellMar>
            <w:top w:w="0" w:type="dxa"/>
            <w:left w:w="0" w:type="dxa"/>
            <w:bottom w:w="0" w:type="dxa"/>
            <w:right w:w="0" w:type="dxa"/>
          </w:tblCellMar>
        </w:tblPrEx>
        <w:trPr>
          <w:wBefore w:w="0" w:type="auto"/>
          <w:tblCellSpacing w:w="0" w:type="dxa"/>
        </w:trPr>
        <w:tc>
          <w:tcPr>
            <w:tcW w:w="0" w:type="auto"/>
            <w:noWrap w:val="0"/>
            <w:vAlign w:val="center"/>
          </w:tcPr>
          <w:p w14:paraId="4FC63768">
            <w:r>
              <w:rPr>
                <w:rStyle w:val="10"/>
                <w:rFonts w:hint="eastAsia"/>
              </w:rPr>
              <w:t>农药名称：</w:t>
            </w:r>
            <w:r>
              <w:rPr>
                <w:rFonts w:hint="eastAsia"/>
              </w:rPr>
              <w:t>噻虫·高氯氟</w:t>
            </w:r>
          </w:p>
        </w:tc>
      </w:tr>
      <w:tr w14:paraId="62635601">
        <w:tblPrEx>
          <w:tblCellMar>
            <w:top w:w="0" w:type="dxa"/>
            <w:left w:w="0" w:type="dxa"/>
            <w:bottom w:w="0" w:type="dxa"/>
            <w:right w:w="0" w:type="dxa"/>
          </w:tblCellMar>
        </w:tblPrEx>
        <w:trPr>
          <w:wBefore w:w="0" w:type="auto"/>
          <w:tblCellSpacing w:w="0" w:type="dxa"/>
        </w:trPr>
        <w:tc>
          <w:tcPr>
            <w:tcW w:w="0" w:type="auto"/>
            <w:noWrap w:val="0"/>
            <w:vAlign w:val="center"/>
          </w:tcPr>
          <w:p w14:paraId="27F9F9E4">
            <w:r>
              <w:rPr>
                <w:rStyle w:val="10"/>
                <w:rFonts w:hint="eastAsia"/>
              </w:rPr>
              <w:t>剂型：</w:t>
            </w:r>
            <w:r>
              <w:rPr>
                <w:rFonts w:hint="eastAsia"/>
              </w:rPr>
              <w:t>悬浮剂</w:t>
            </w:r>
          </w:p>
        </w:tc>
      </w:tr>
      <w:tr w14:paraId="3AA47271">
        <w:tblPrEx>
          <w:tblCellMar>
            <w:top w:w="0" w:type="dxa"/>
            <w:left w:w="0" w:type="dxa"/>
            <w:bottom w:w="0" w:type="dxa"/>
            <w:right w:w="0" w:type="dxa"/>
          </w:tblCellMar>
        </w:tblPrEx>
        <w:trPr>
          <w:wBefore w:w="0" w:type="auto"/>
          <w:tblCellSpacing w:w="0" w:type="dxa"/>
        </w:trPr>
        <w:tc>
          <w:tcPr>
            <w:tcW w:w="0" w:type="auto"/>
            <w:noWrap w:val="0"/>
            <w:vAlign w:val="center"/>
          </w:tcPr>
          <w:p w14:paraId="66032C30">
            <w:r>
              <w:rPr>
                <w:rStyle w:val="10"/>
                <w:rFonts w:hint="eastAsia"/>
              </w:rPr>
              <w:t>毒性及其标识：</w:t>
            </w:r>
            <w:r>
              <w:rPr>
                <w:rFonts w:hint="eastAsia"/>
              </w:rPr>
              <w:t xml:space="preserve"> </w:t>
            </w:r>
            <w:r>
              <w:rPr>
                <w:lang/>
              </w:rPr>
              <w:drawing>
                <wp:inline distT="0" distB="0" distL="114300" distR="114300">
                  <wp:extent cx="476250" cy="323850"/>
                  <wp:effectExtent l="0" t="0" r="0" b="0"/>
                  <wp:docPr id="325" name="图片 32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EB0A60E">
        <w:tblPrEx>
          <w:tblCellMar>
            <w:top w:w="0" w:type="dxa"/>
            <w:left w:w="0" w:type="dxa"/>
            <w:bottom w:w="0" w:type="dxa"/>
            <w:right w:w="0" w:type="dxa"/>
          </w:tblCellMar>
        </w:tblPrEx>
        <w:trPr>
          <w:wBefore w:w="0" w:type="auto"/>
          <w:tblCellSpacing w:w="0" w:type="dxa"/>
        </w:trPr>
        <w:tc>
          <w:tcPr>
            <w:tcW w:w="0" w:type="auto"/>
            <w:noWrap w:val="0"/>
            <w:vAlign w:val="center"/>
          </w:tcPr>
          <w:p w14:paraId="0CCA950E">
            <w:r>
              <w:rPr>
                <w:rStyle w:val="10"/>
                <w:rFonts w:hint="eastAsia"/>
              </w:rPr>
              <w:t>总有效成分含量：</w:t>
            </w:r>
            <w:r>
              <w:rPr>
                <w:rFonts w:hint="eastAsia"/>
              </w:rPr>
              <w:t>25%</w:t>
            </w:r>
          </w:p>
        </w:tc>
      </w:tr>
      <w:tr w14:paraId="3CCACB8A">
        <w:tblPrEx>
          <w:tblCellMar>
            <w:top w:w="0" w:type="dxa"/>
            <w:left w:w="0" w:type="dxa"/>
            <w:bottom w:w="0" w:type="dxa"/>
            <w:right w:w="0" w:type="dxa"/>
          </w:tblCellMar>
        </w:tblPrEx>
        <w:trPr>
          <w:wBefore w:w="0" w:type="auto"/>
          <w:tblCellSpacing w:w="0" w:type="dxa"/>
        </w:trPr>
        <w:tc>
          <w:tcPr>
            <w:tcW w:w="0" w:type="auto"/>
            <w:noWrap w:val="0"/>
            <w:vAlign w:val="center"/>
          </w:tcPr>
          <w:p w14:paraId="50029D33">
            <w:r>
              <w:rPr>
                <w:rFonts w:hint="eastAsia"/>
              </w:rPr>
              <w:t xml:space="preserve">有效成分及其含量： </w:t>
            </w:r>
          </w:p>
          <w:p w14:paraId="56BB82E2">
            <w:r>
              <w:rPr>
                <w:rFonts w:hint="eastAsia"/>
              </w:rPr>
              <w:t xml:space="preserve">    高效氯氟氰菊酯5%    噻虫嗪20%    </w:t>
            </w:r>
          </w:p>
        </w:tc>
      </w:tr>
      <w:tr w14:paraId="60F98D6A">
        <w:tblPrEx>
          <w:tblCellMar>
            <w:top w:w="0" w:type="dxa"/>
            <w:left w:w="0" w:type="dxa"/>
            <w:bottom w:w="0" w:type="dxa"/>
            <w:right w:w="0" w:type="dxa"/>
          </w:tblCellMar>
        </w:tblPrEx>
        <w:trPr>
          <w:wBefore w:w="0" w:type="auto"/>
          <w:tblCellSpacing w:w="0" w:type="dxa"/>
        </w:trPr>
        <w:tc>
          <w:tcPr>
            <w:tcW w:w="0" w:type="auto"/>
            <w:noWrap w:val="0"/>
            <w:vAlign w:val="center"/>
          </w:tcPr>
          <w:p w14:paraId="479466E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2895A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1A43C1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CD51C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BA036C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3BB683">
                  <w:r>
                    <w:rPr>
                      <w:rStyle w:val="11"/>
                      <w:rFonts w:hint="eastAsia"/>
                    </w:rPr>
                    <w:t>施用方式</w:t>
                  </w:r>
                </w:p>
              </w:tc>
            </w:tr>
            <w:tr w14:paraId="4F37A9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155EAA">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556B61">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66D0EA">
                  <w:r>
                    <w:rPr>
                      <w:rStyle w:val="11"/>
                      <w:rFonts w:hint="eastAsia"/>
                    </w:rPr>
                    <w:t>5-10毫升/亩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4A1BF8">
                  <w:r>
                    <w:rPr>
                      <w:rStyle w:val="11"/>
                      <w:rFonts w:hint="eastAsia"/>
                    </w:rPr>
                    <w:t>喷雾</w:t>
                  </w:r>
                </w:p>
              </w:tc>
            </w:tr>
          </w:tbl>
          <w:p w14:paraId="2218E80D">
            <w:pPr>
              <w:rPr>
                <w:rFonts w:ascii="Times New Roman" w:hAnsi="Times New Roman" w:cs="Times New Roman"/>
                <w:sz w:val="20"/>
                <w:szCs w:val="20"/>
              </w:rPr>
            </w:pPr>
          </w:p>
        </w:tc>
      </w:tr>
      <w:tr w14:paraId="40820750">
        <w:tblPrEx>
          <w:tblCellMar>
            <w:top w:w="0" w:type="dxa"/>
            <w:left w:w="0" w:type="dxa"/>
            <w:bottom w:w="0" w:type="dxa"/>
            <w:right w:w="0" w:type="dxa"/>
          </w:tblCellMar>
        </w:tblPrEx>
        <w:trPr>
          <w:wBefore w:w="0" w:type="auto"/>
          <w:tblCellSpacing w:w="0" w:type="dxa"/>
        </w:trPr>
        <w:tc>
          <w:tcPr>
            <w:tcW w:w="0" w:type="auto"/>
            <w:noWrap w:val="0"/>
            <w:vAlign w:val="center"/>
          </w:tcPr>
          <w:p w14:paraId="7C1AC50D">
            <w:r>
              <w:rPr>
                <w:rStyle w:val="10"/>
                <w:rFonts w:hint="eastAsia"/>
              </w:rPr>
              <w:t>使用技术要求:</w:t>
            </w:r>
            <w:r>
              <w:rPr>
                <w:rFonts w:hint="eastAsia"/>
              </w:rPr>
              <w:br w:type="textWrapping"/>
            </w:r>
            <w:r>
              <w:rPr>
                <w:rStyle w:val="11"/>
                <w:rFonts w:hint="eastAsia"/>
              </w:rPr>
              <w:t>1.于小麦蚜虫始盛期施药，注意喷雾均匀、周到。2.大风天或预计1小时内降雨，请勿施药。3.本品在小麦上使用的安全间隔期为21天，每季最多使用1次。</w:t>
            </w:r>
          </w:p>
        </w:tc>
      </w:tr>
      <w:tr w14:paraId="504C5F7A">
        <w:tblPrEx>
          <w:tblCellMar>
            <w:top w:w="0" w:type="dxa"/>
            <w:left w:w="0" w:type="dxa"/>
            <w:bottom w:w="0" w:type="dxa"/>
            <w:right w:w="0" w:type="dxa"/>
          </w:tblCellMar>
        </w:tblPrEx>
        <w:trPr>
          <w:wBefore w:w="0" w:type="auto"/>
          <w:tblCellSpacing w:w="0" w:type="dxa"/>
        </w:trPr>
        <w:tc>
          <w:tcPr>
            <w:tcW w:w="0" w:type="auto"/>
            <w:noWrap w:val="0"/>
            <w:vAlign w:val="center"/>
          </w:tcPr>
          <w:p w14:paraId="21D7667A">
            <w:r>
              <w:rPr>
                <w:rStyle w:val="10"/>
                <w:rFonts w:hint="eastAsia"/>
              </w:rPr>
              <w:t>产品性能:</w:t>
            </w:r>
            <w:r>
              <w:rPr>
                <w:rFonts w:hint="eastAsia"/>
              </w:rPr>
              <w:br w:type="textWrapping"/>
            </w:r>
            <w:r>
              <w:rPr>
                <w:rStyle w:val="11"/>
                <w:rFonts w:hint="eastAsia"/>
              </w:rPr>
              <w:t>本品是由噻虫嗪和高效氯氟氰菊酯复配而成的杀虫剂，以触杀和胃毒作用为主，抑制昆虫中枢神经系统盐酸乙酰胆碱酶受体，进而阻断昆虫中枢神经系统的正常传导，扰乱昆虫神经的正常生理，使之由兴奋、痉挛到麻痹而死亡。对小麦蚜虫有较好的防治效果。</w:t>
            </w:r>
          </w:p>
        </w:tc>
      </w:tr>
      <w:tr w14:paraId="0F3AE0C8">
        <w:tblPrEx>
          <w:tblCellMar>
            <w:top w:w="0" w:type="dxa"/>
            <w:left w:w="0" w:type="dxa"/>
            <w:bottom w:w="0" w:type="dxa"/>
            <w:right w:w="0" w:type="dxa"/>
          </w:tblCellMar>
        </w:tblPrEx>
        <w:trPr>
          <w:wBefore w:w="0" w:type="auto"/>
          <w:tblCellSpacing w:w="0" w:type="dxa"/>
        </w:trPr>
        <w:tc>
          <w:tcPr>
            <w:tcW w:w="0" w:type="auto"/>
            <w:noWrap w:val="0"/>
            <w:vAlign w:val="center"/>
          </w:tcPr>
          <w:p w14:paraId="6B86CB1C">
            <w:r>
              <w:rPr>
                <w:rStyle w:val="10"/>
                <w:rFonts w:hint="eastAsia"/>
              </w:rPr>
              <w:t>注意事项：</w:t>
            </w:r>
            <w:r>
              <w:rPr>
                <w:rFonts w:hint="eastAsia"/>
              </w:rPr>
              <w:br w:type="textWrapping"/>
            </w:r>
            <w:r>
              <w:rPr>
                <w:rStyle w:val="11"/>
                <w:rFonts w:hint="eastAsia"/>
              </w:rPr>
              <w:t>1. 本品对蜜蜂、鸟、水生生物毒性较高，鸟类保护区附近禁用，（周围）开花植物花期禁用，蚕室及桑园附近禁用，赤眼蜂、瓢虫等天敌放飞区域禁用，使用时应密切关注对附近蜂群的影响。2. 远离水产养殖区、河塘等水体施药，禁止在河塘等水体中清洗施药器具。3. 使用本品应采取相应的安全防护措施，使用时穿戴长衣、长裤、帽子、口罩、手套等安全防护措施，避免皮肤接触及口鼻吸入。使用中不可吸烟、饮水及吃东西，使用后及时清洗手、脸等暴露部位皮肤并更换衣物。4. 建议与其他作用机制不同的杀虫剂轮换使用，以延缓抗性产生。5. 用过的容器应妥善处理，不可作他用，也不可随意丢弃。6. 孕妇及哺乳期妇女禁止接触。</w:t>
            </w:r>
          </w:p>
        </w:tc>
      </w:tr>
      <w:tr w14:paraId="4D31E9AD">
        <w:tblPrEx>
          <w:tblCellMar>
            <w:top w:w="0" w:type="dxa"/>
            <w:left w:w="0" w:type="dxa"/>
            <w:bottom w:w="0" w:type="dxa"/>
            <w:right w:w="0" w:type="dxa"/>
          </w:tblCellMar>
        </w:tblPrEx>
        <w:trPr>
          <w:wBefore w:w="0" w:type="auto"/>
          <w:tblCellSpacing w:w="0" w:type="dxa"/>
        </w:trPr>
        <w:tc>
          <w:tcPr>
            <w:tcW w:w="0" w:type="auto"/>
            <w:noWrap w:val="0"/>
            <w:vAlign w:val="center"/>
          </w:tcPr>
          <w:p w14:paraId="5DEF544B">
            <w:r>
              <w:rPr>
                <w:rStyle w:val="10"/>
                <w:rFonts w:hint="eastAsia"/>
              </w:rPr>
              <w:t>中毒急救措施：</w:t>
            </w:r>
            <w:r>
              <w:rPr>
                <w:rFonts w:hint="eastAsia"/>
              </w:rPr>
              <w:br w:type="textWrapping"/>
            </w:r>
            <w:r>
              <w:rPr>
                <w:rStyle w:val="11"/>
                <w:rFonts w:hint="eastAsia"/>
              </w:rPr>
              <w:t>1.皮肤接触：立即脱掉被污染的衣物，用大量清水和肥皂冲洗皮肤。2.眼睛溅入：立即用流动清水冲洗不少于15分钟。如症状持续，携此标签去医院诊治。3.不慎吸入：立即将吸入者移至空气流通处，请医生诊治。4.误食：勿引吐，立即携此标签送医就诊，对症治疗，无特效解毒药。</w:t>
            </w:r>
          </w:p>
        </w:tc>
      </w:tr>
      <w:tr w14:paraId="1F6A4F2C">
        <w:tblPrEx>
          <w:tblCellMar>
            <w:top w:w="0" w:type="dxa"/>
            <w:left w:w="0" w:type="dxa"/>
            <w:bottom w:w="0" w:type="dxa"/>
            <w:right w:w="0" w:type="dxa"/>
          </w:tblCellMar>
        </w:tblPrEx>
        <w:trPr>
          <w:wBefore w:w="0" w:type="auto"/>
          <w:tblCellSpacing w:w="0" w:type="dxa"/>
        </w:trPr>
        <w:tc>
          <w:tcPr>
            <w:tcW w:w="0" w:type="auto"/>
            <w:noWrap w:val="0"/>
            <w:vAlign w:val="center"/>
          </w:tcPr>
          <w:p w14:paraId="6C89DD2E">
            <w:r>
              <w:rPr>
                <w:rStyle w:val="10"/>
                <w:rFonts w:hint="eastAsia"/>
              </w:rPr>
              <w:t>储存和运输方法：</w:t>
            </w:r>
            <w:r>
              <w:rPr>
                <w:rFonts w:hint="eastAsia"/>
              </w:rPr>
              <w:br w:type="textWrapping"/>
            </w:r>
            <w:r>
              <w:rPr>
                <w:rStyle w:val="11"/>
                <w:rFonts w:hint="eastAsia"/>
              </w:rPr>
              <w:t>本品应贮存在干燥、阴凉、通风处，远离火源或热源。置于儿童、无关人员触及不到之处，并加锁。勿与食品、饮料、饲料、粮食等同贮同运。</w:t>
            </w:r>
          </w:p>
        </w:tc>
      </w:tr>
      <w:tr w14:paraId="54AAF0E5">
        <w:tblPrEx>
          <w:tblCellMar>
            <w:top w:w="0" w:type="dxa"/>
            <w:left w:w="0" w:type="dxa"/>
            <w:bottom w:w="0" w:type="dxa"/>
            <w:right w:w="0" w:type="dxa"/>
          </w:tblCellMar>
        </w:tblPrEx>
        <w:trPr>
          <w:wBefore w:w="0" w:type="auto"/>
          <w:tblCellSpacing w:w="0" w:type="dxa"/>
        </w:trPr>
        <w:tc>
          <w:tcPr>
            <w:tcW w:w="0" w:type="auto"/>
            <w:noWrap w:val="0"/>
            <w:vAlign w:val="center"/>
          </w:tcPr>
          <w:p w14:paraId="06A3E2E2">
            <w:r>
              <w:rPr>
                <w:rStyle w:val="10"/>
                <w:rFonts w:hint="eastAsia"/>
              </w:rPr>
              <w:t>质量保证期：</w:t>
            </w:r>
            <w:r>
              <w:rPr>
                <w:rStyle w:val="11"/>
                <w:rFonts w:hint="eastAsia"/>
              </w:rPr>
              <w:t>2年</w:t>
            </w:r>
          </w:p>
        </w:tc>
      </w:tr>
      <w:tr w14:paraId="6725BF8F">
        <w:tblPrEx>
          <w:tblCellMar>
            <w:top w:w="0" w:type="dxa"/>
            <w:left w:w="0" w:type="dxa"/>
            <w:bottom w:w="0" w:type="dxa"/>
            <w:right w:w="0" w:type="dxa"/>
          </w:tblCellMar>
        </w:tblPrEx>
        <w:trPr>
          <w:wBefore w:w="0" w:type="auto"/>
          <w:tblCellSpacing w:w="0" w:type="dxa"/>
        </w:trPr>
        <w:tc>
          <w:tcPr>
            <w:tcW w:w="0" w:type="auto"/>
            <w:noWrap w:val="0"/>
            <w:vAlign w:val="center"/>
          </w:tcPr>
          <w:p w14:paraId="5E134F5F">
            <w:r>
              <w:rPr>
                <w:rStyle w:val="10"/>
                <w:rFonts w:hint="eastAsia"/>
              </w:rPr>
              <w:t>备注：</w:t>
            </w:r>
          </w:p>
        </w:tc>
      </w:tr>
    </w:tbl>
    <w:p w14:paraId="61EB795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78C4C63">
        <w:tblPrEx>
          <w:tblCellMar>
            <w:top w:w="0" w:type="dxa"/>
            <w:left w:w="0" w:type="dxa"/>
            <w:bottom w:w="0" w:type="dxa"/>
            <w:right w:w="0" w:type="dxa"/>
          </w:tblCellMar>
        </w:tblPrEx>
        <w:trPr>
          <w:wBefore w:w="0" w:type="auto"/>
          <w:tblCellSpacing w:w="0" w:type="dxa"/>
        </w:trPr>
        <w:tc>
          <w:tcPr>
            <w:tcW w:w="0" w:type="auto"/>
            <w:noWrap w:val="0"/>
            <w:vAlign w:val="center"/>
          </w:tcPr>
          <w:p w14:paraId="37A36A22">
            <w:r>
              <w:rPr>
                <w:rStyle w:val="10"/>
                <w:rFonts w:hint="eastAsia"/>
              </w:rPr>
              <w:t>登记证号：</w:t>
            </w:r>
            <w:r>
              <w:rPr>
                <w:rFonts w:hint="eastAsia"/>
              </w:rPr>
              <w:t>PD20211801</w:t>
            </w:r>
          </w:p>
        </w:tc>
      </w:tr>
      <w:tr w14:paraId="71FDEC09">
        <w:tblPrEx>
          <w:tblCellMar>
            <w:top w:w="0" w:type="dxa"/>
            <w:left w:w="0" w:type="dxa"/>
            <w:bottom w:w="0" w:type="dxa"/>
            <w:right w:w="0" w:type="dxa"/>
          </w:tblCellMar>
        </w:tblPrEx>
        <w:trPr>
          <w:wBefore w:w="0" w:type="auto"/>
          <w:tblCellSpacing w:w="0" w:type="dxa"/>
        </w:trPr>
        <w:tc>
          <w:tcPr>
            <w:tcW w:w="0" w:type="auto"/>
            <w:noWrap w:val="0"/>
            <w:vAlign w:val="center"/>
          </w:tcPr>
          <w:p w14:paraId="5587F875">
            <w:r>
              <w:rPr>
                <w:rStyle w:val="10"/>
                <w:rFonts w:hint="eastAsia"/>
              </w:rPr>
              <w:t>登记证持有人：</w:t>
            </w:r>
            <w:r>
              <w:rPr>
                <w:rFonts w:hint="eastAsia"/>
              </w:rPr>
              <w:t>陕西美邦药业集团股份有限公司</w:t>
            </w:r>
          </w:p>
        </w:tc>
      </w:tr>
      <w:tr w14:paraId="79A96252">
        <w:tblPrEx>
          <w:tblCellMar>
            <w:top w:w="0" w:type="dxa"/>
            <w:left w:w="0" w:type="dxa"/>
            <w:bottom w:w="0" w:type="dxa"/>
            <w:right w:w="0" w:type="dxa"/>
          </w:tblCellMar>
        </w:tblPrEx>
        <w:trPr>
          <w:wBefore w:w="0" w:type="auto"/>
          <w:tblCellSpacing w:w="0" w:type="dxa"/>
        </w:trPr>
        <w:tc>
          <w:tcPr>
            <w:tcW w:w="0" w:type="auto"/>
            <w:noWrap w:val="0"/>
            <w:vAlign w:val="center"/>
          </w:tcPr>
          <w:p w14:paraId="52623C8C">
            <w:r>
              <w:rPr>
                <w:rStyle w:val="10"/>
                <w:rFonts w:hint="eastAsia"/>
              </w:rPr>
              <w:t>农药名称：</w:t>
            </w:r>
            <w:r>
              <w:rPr>
                <w:rFonts w:hint="eastAsia"/>
              </w:rPr>
              <w:t>呋虫胺·氟啶虫酰胺</w:t>
            </w:r>
          </w:p>
        </w:tc>
      </w:tr>
      <w:tr w14:paraId="0871BD61">
        <w:tblPrEx>
          <w:tblCellMar>
            <w:top w:w="0" w:type="dxa"/>
            <w:left w:w="0" w:type="dxa"/>
            <w:bottom w:w="0" w:type="dxa"/>
            <w:right w:w="0" w:type="dxa"/>
          </w:tblCellMar>
        </w:tblPrEx>
        <w:trPr>
          <w:wBefore w:w="0" w:type="auto"/>
          <w:tblCellSpacing w:w="0" w:type="dxa"/>
        </w:trPr>
        <w:tc>
          <w:tcPr>
            <w:tcW w:w="0" w:type="auto"/>
            <w:noWrap w:val="0"/>
            <w:vAlign w:val="center"/>
          </w:tcPr>
          <w:p w14:paraId="663AA76C">
            <w:r>
              <w:rPr>
                <w:rStyle w:val="10"/>
                <w:rFonts w:hint="eastAsia"/>
              </w:rPr>
              <w:t>剂型：</w:t>
            </w:r>
            <w:r>
              <w:rPr>
                <w:rFonts w:hint="eastAsia"/>
              </w:rPr>
              <w:t>水分散粒剂</w:t>
            </w:r>
          </w:p>
        </w:tc>
      </w:tr>
      <w:tr w14:paraId="32CDA76C">
        <w:tblPrEx>
          <w:tblCellMar>
            <w:top w:w="0" w:type="dxa"/>
            <w:left w:w="0" w:type="dxa"/>
            <w:bottom w:w="0" w:type="dxa"/>
            <w:right w:w="0" w:type="dxa"/>
          </w:tblCellMar>
        </w:tblPrEx>
        <w:trPr>
          <w:wBefore w:w="0" w:type="auto"/>
          <w:tblCellSpacing w:w="0" w:type="dxa"/>
        </w:trPr>
        <w:tc>
          <w:tcPr>
            <w:tcW w:w="0" w:type="auto"/>
            <w:noWrap w:val="0"/>
            <w:vAlign w:val="center"/>
          </w:tcPr>
          <w:p w14:paraId="3194BF43">
            <w:r>
              <w:rPr>
                <w:rStyle w:val="10"/>
                <w:rFonts w:hint="eastAsia"/>
              </w:rPr>
              <w:t>毒性及其标识：</w:t>
            </w:r>
            <w:r>
              <w:rPr>
                <w:rFonts w:hint="eastAsia"/>
              </w:rPr>
              <w:t xml:space="preserve"> </w:t>
            </w:r>
            <w:r>
              <w:rPr>
                <w:lang/>
              </w:rPr>
              <w:drawing>
                <wp:inline distT="0" distB="0" distL="114300" distR="114300">
                  <wp:extent cx="476250" cy="323850"/>
                  <wp:effectExtent l="0" t="0" r="0" b="0"/>
                  <wp:docPr id="326" name="图片 32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A5538A2">
        <w:tblPrEx>
          <w:tblCellMar>
            <w:top w:w="0" w:type="dxa"/>
            <w:left w:w="0" w:type="dxa"/>
            <w:bottom w:w="0" w:type="dxa"/>
            <w:right w:w="0" w:type="dxa"/>
          </w:tblCellMar>
        </w:tblPrEx>
        <w:trPr>
          <w:wBefore w:w="0" w:type="auto"/>
          <w:tblCellSpacing w:w="0" w:type="dxa"/>
        </w:trPr>
        <w:tc>
          <w:tcPr>
            <w:tcW w:w="0" w:type="auto"/>
            <w:noWrap w:val="0"/>
            <w:vAlign w:val="center"/>
          </w:tcPr>
          <w:p w14:paraId="7F58D08C">
            <w:r>
              <w:rPr>
                <w:rStyle w:val="10"/>
                <w:rFonts w:hint="eastAsia"/>
              </w:rPr>
              <w:t>总有效成分含量：</w:t>
            </w:r>
            <w:r>
              <w:rPr>
                <w:rFonts w:hint="eastAsia"/>
              </w:rPr>
              <w:t>60%</w:t>
            </w:r>
          </w:p>
        </w:tc>
      </w:tr>
      <w:tr w14:paraId="6618E4DD">
        <w:tblPrEx>
          <w:tblCellMar>
            <w:top w:w="0" w:type="dxa"/>
            <w:left w:w="0" w:type="dxa"/>
            <w:bottom w:w="0" w:type="dxa"/>
            <w:right w:w="0" w:type="dxa"/>
          </w:tblCellMar>
        </w:tblPrEx>
        <w:trPr>
          <w:wBefore w:w="0" w:type="auto"/>
          <w:tblCellSpacing w:w="0" w:type="dxa"/>
        </w:trPr>
        <w:tc>
          <w:tcPr>
            <w:tcW w:w="0" w:type="auto"/>
            <w:noWrap w:val="0"/>
            <w:vAlign w:val="center"/>
          </w:tcPr>
          <w:p w14:paraId="55153AC8">
            <w:r>
              <w:rPr>
                <w:rFonts w:hint="eastAsia"/>
              </w:rPr>
              <w:t xml:space="preserve">有效成分及其含量： </w:t>
            </w:r>
          </w:p>
          <w:p w14:paraId="2A29140D">
            <w:r>
              <w:rPr>
                <w:rFonts w:hint="eastAsia"/>
              </w:rPr>
              <w:t xml:space="preserve">    呋虫胺40%    氟啶虫酰胺20%    </w:t>
            </w:r>
          </w:p>
        </w:tc>
      </w:tr>
      <w:tr w14:paraId="0551A55E">
        <w:tblPrEx>
          <w:tblCellMar>
            <w:top w:w="0" w:type="dxa"/>
            <w:left w:w="0" w:type="dxa"/>
            <w:bottom w:w="0" w:type="dxa"/>
            <w:right w:w="0" w:type="dxa"/>
          </w:tblCellMar>
        </w:tblPrEx>
        <w:trPr>
          <w:wBefore w:w="0" w:type="auto"/>
          <w:tblCellSpacing w:w="0" w:type="dxa"/>
        </w:trPr>
        <w:tc>
          <w:tcPr>
            <w:tcW w:w="0" w:type="auto"/>
            <w:noWrap w:val="0"/>
            <w:vAlign w:val="center"/>
          </w:tcPr>
          <w:p w14:paraId="4CD0F1A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8FE5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1C4DBD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2F4FDD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217A3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FE16EEA">
                  <w:r>
                    <w:rPr>
                      <w:rStyle w:val="11"/>
                      <w:rFonts w:hint="eastAsia"/>
                    </w:rPr>
                    <w:t>施用方式</w:t>
                  </w:r>
                </w:p>
              </w:tc>
            </w:tr>
            <w:tr w14:paraId="26302DA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657381C">
                  <w:r>
                    <w:rPr>
                      <w:rStyle w:val="11"/>
                      <w:rFonts w:hint="eastAsia"/>
                    </w:rPr>
                    <w:t>大葱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3B1D79">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6333A6">
                  <w:r>
                    <w:rPr>
                      <w:rStyle w:val="11"/>
                      <w:rFonts w:hint="eastAsia"/>
                    </w:rPr>
                    <w:t>5-15毫升/亩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9766D0">
                  <w:r>
                    <w:rPr>
                      <w:rStyle w:val="11"/>
                      <w:rFonts w:hint="eastAsia"/>
                    </w:rPr>
                    <w:t>喷雾</w:t>
                  </w:r>
                </w:p>
              </w:tc>
            </w:tr>
          </w:tbl>
          <w:p w14:paraId="5A3CBD91">
            <w:pPr>
              <w:rPr>
                <w:rFonts w:ascii="Times New Roman" w:hAnsi="Times New Roman" w:cs="Times New Roman"/>
                <w:sz w:val="20"/>
                <w:szCs w:val="20"/>
              </w:rPr>
            </w:pPr>
          </w:p>
        </w:tc>
      </w:tr>
      <w:tr w14:paraId="3CF56C41">
        <w:tblPrEx>
          <w:tblCellMar>
            <w:top w:w="0" w:type="dxa"/>
            <w:left w:w="0" w:type="dxa"/>
            <w:bottom w:w="0" w:type="dxa"/>
            <w:right w:w="0" w:type="dxa"/>
          </w:tblCellMar>
        </w:tblPrEx>
        <w:trPr>
          <w:wBefore w:w="0" w:type="auto"/>
          <w:tblCellSpacing w:w="0" w:type="dxa"/>
        </w:trPr>
        <w:tc>
          <w:tcPr>
            <w:tcW w:w="0" w:type="auto"/>
            <w:noWrap w:val="0"/>
            <w:vAlign w:val="center"/>
          </w:tcPr>
          <w:p w14:paraId="7D149FA3">
            <w:r>
              <w:rPr>
                <w:rStyle w:val="10"/>
                <w:rFonts w:hint="eastAsia"/>
              </w:rPr>
              <w:t>使用技术要求:</w:t>
            </w:r>
            <w:r>
              <w:rPr>
                <w:rFonts w:hint="eastAsia"/>
              </w:rPr>
              <w:br w:type="textWrapping"/>
            </w:r>
            <w:r>
              <w:rPr>
                <w:rStyle w:val="11"/>
                <w:rFonts w:hint="eastAsia"/>
              </w:rPr>
              <w:t>1.于大葱蓟马若虫发生始盛期施药1次。注意喷雾均匀、周到，以确保药效。2.大风天或预计1小时内降雨，请勿施药。3.在大葱使用时的安全间隔期为5天，每季作物最多使用1次。</w:t>
            </w:r>
          </w:p>
        </w:tc>
      </w:tr>
      <w:tr w14:paraId="79BA4D21">
        <w:tblPrEx>
          <w:tblCellMar>
            <w:top w:w="0" w:type="dxa"/>
            <w:left w:w="0" w:type="dxa"/>
            <w:bottom w:w="0" w:type="dxa"/>
            <w:right w:w="0" w:type="dxa"/>
          </w:tblCellMar>
        </w:tblPrEx>
        <w:trPr>
          <w:wBefore w:w="0" w:type="auto"/>
          <w:tblCellSpacing w:w="0" w:type="dxa"/>
        </w:trPr>
        <w:tc>
          <w:tcPr>
            <w:tcW w:w="0" w:type="auto"/>
            <w:noWrap w:val="0"/>
            <w:vAlign w:val="center"/>
          </w:tcPr>
          <w:p w14:paraId="58411AD9">
            <w:r>
              <w:rPr>
                <w:rStyle w:val="10"/>
                <w:rFonts w:hint="eastAsia"/>
              </w:rPr>
              <w:t>产品性能:</w:t>
            </w:r>
            <w:r>
              <w:rPr>
                <w:rFonts w:hint="eastAsia"/>
              </w:rPr>
              <w:br w:type="textWrapping"/>
            </w:r>
            <w:r>
              <w:rPr>
                <w:rStyle w:val="11"/>
                <w:rFonts w:hint="eastAsia"/>
              </w:rPr>
              <w:t>本品是由呋虫胺与氟啶虫酰胺复配而成的杀虫剂。呋虫胺是通过作用于昆虫神经传递系统，引起昆虫麻痹从而发挥杀虫作用。呋虫胺具有内吸、触杀、胃毒作用，可以快速被植物吸收并广泛分布于作物体内，具有低毒、杀虫谱广、持效期长等优点；氟啶虫酰胺通过阻碍害虫吮吸作用，使害虫摄入药剂后很快停止吮吸，最后饥饿而死，具有触杀和胃毒作用。两者混配，优势互补，用于大葱蓟马有较好的防治效果。</w:t>
            </w:r>
          </w:p>
        </w:tc>
      </w:tr>
      <w:tr w14:paraId="41D236A6">
        <w:tblPrEx>
          <w:tblCellMar>
            <w:top w:w="0" w:type="dxa"/>
            <w:left w:w="0" w:type="dxa"/>
            <w:bottom w:w="0" w:type="dxa"/>
            <w:right w:w="0" w:type="dxa"/>
          </w:tblCellMar>
        </w:tblPrEx>
        <w:trPr>
          <w:wBefore w:w="0" w:type="auto"/>
          <w:tblCellSpacing w:w="0" w:type="dxa"/>
        </w:trPr>
        <w:tc>
          <w:tcPr>
            <w:tcW w:w="0" w:type="auto"/>
            <w:noWrap w:val="0"/>
            <w:vAlign w:val="center"/>
          </w:tcPr>
          <w:p w14:paraId="5EE0D938">
            <w:r>
              <w:rPr>
                <w:rStyle w:val="10"/>
                <w:rFonts w:hint="eastAsia"/>
              </w:rPr>
              <w:t>注意事项：</w:t>
            </w:r>
            <w:r>
              <w:rPr>
                <w:rFonts w:hint="eastAsia"/>
              </w:rPr>
              <w:br w:type="textWrapping"/>
            </w:r>
            <w:r>
              <w:rPr>
                <w:rStyle w:val="11"/>
                <w:rFonts w:hint="eastAsia"/>
              </w:rPr>
              <w:t>1.、严格按规定用药量和方法使用。2.建议与其他作用机制不同的杀虫剂轮换使用，以延缓抗性产生。3.禁止在河塘等水域清洗施药器具；</w:t>
            </w:r>
            <w:r>
              <w:rPr>
                <w:rStyle w:val="11"/>
                <w:rFonts w:hint="eastAsia"/>
              </w:rPr>
              <w:t> </w:t>
            </w:r>
            <w:r>
              <w:rPr>
                <w:rStyle w:val="11"/>
                <w:rFonts w:hint="eastAsia"/>
              </w:rPr>
              <w:t>(周围)开花植物花期禁用；</w:t>
            </w:r>
            <w:r>
              <w:rPr>
                <w:rStyle w:val="11"/>
                <w:rFonts w:hint="eastAsia"/>
              </w:rPr>
              <w:t> </w:t>
            </w:r>
            <w:r>
              <w:rPr>
                <w:rStyle w:val="11"/>
                <w:rFonts w:hint="eastAsia"/>
              </w:rPr>
              <w:t>蚕室及桑园附近禁用。4.本品对眼睛有中度刺激性，使用时穿戴长衣长裤、帽子、口罩、手套、鞋等安全防护措施。施药期间不可吃东西、饮水、吸烟等；施药后应及时洗手、洗脸并洗涤施药时穿着的衣物。5.用药后包装物及用过的容器应妥善处理，不可做他用，也不可随意丢弃。6.孕妇及哺乳期妇女禁止接触本品。</w:t>
            </w:r>
          </w:p>
        </w:tc>
      </w:tr>
      <w:tr w14:paraId="4E16EF69">
        <w:tblPrEx>
          <w:tblCellMar>
            <w:top w:w="0" w:type="dxa"/>
            <w:left w:w="0" w:type="dxa"/>
            <w:bottom w:w="0" w:type="dxa"/>
            <w:right w:w="0" w:type="dxa"/>
          </w:tblCellMar>
        </w:tblPrEx>
        <w:trPr>
          <w:wBefore w:w="0" w:type="auto"/>
          <w:tblCellSpacing w:w="0" w:type="dxa"/>
        </w:trPr>
        <w:tc>
          <w:tcPr>
            <w:tcW w:w="0" w:type="auto"/>
            <w:noWrap w:val="0"/>
            <w:vAlign w:val="center"/>
          </w:tcPr>
          <w:p w14:paraId="3AC4A277">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54307BB9">
        <w:tblPrEx>
          <w:tblCellMar>
            <w:top w:w="0" w:type="dxa"/>
            <w:left w:w="0" w:type="dxa"/>
            <w:bottom w:w="0" w:type="dxa"/>
            <w:right w:w="0" w:type="dxa"/>
          </w:tblCellMar>
        </w:tblPrEx>
        <w:trPr>
          <w:wBefore w:w="0" w:type="auto"/>
          <w:tblCellSpacing w:w="0" w:type="dxa"/>
        </w:trPr>
        <w:tc>
          <w:tcPr>
            <w:tcW w:w="0" w:type="auto"/>
            <w:noWrap w:val="0"/>
            <w:vAlign w:val="center"/>
          </w:tcPr>
          <w:p w14:paraId="25157458">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本品应贮存在干燥、阴凉、通风、防雨处，远离火源或热源。置于儿童、无关人员及动物触及不到之处，并加锁保存。勿与食品、饮料、粮食、饲料、种子等同贮同运。</w:t>
            </w:r>
          </w:p>
        </w:tc>
      </w:tr>
      <w:tr w14:paraId="1FDD8EFD">
        <w:tblPrEx>
          <w:tblCellMar>
            <w:top w:w="0" w:type="dxa"/>
            <w:left w:w="0" w:type="dxa"/>
            <w:bottom w:w="0" w:type="dxa"/>
            <w:right w:w="0" w:type="dxa"/>
          </w:tblCellMar>
        </w:tblPrEx>
        <w:trPr>
          <w:wBefore w:w="0" w:type="auto"/>
          <w:tblCellSpacing w:w="0" w:type="dxa"/>
        </w:trPr>
        <w:tc>
          <w:tcPr>
            <w:tcW w:w="0" w:type="auto"/>
            <w:noWrap w:val="0"/>
            <w:vAlign w:val="center"/>
          </w:tcPr>
          <w:p w14:paraId="76326531">
            <w:r>
              <w:rPr>
                <w:rStyle w:val="10"/>
                <w:rFonts w:hint="eastAsia"/>
              </w:rPr>
              <w:t>质量保证期：</w:t>
            </w:r>
            <w:r>
              <w:rPr>
                <w:rStyle w:val="11"/>
                <w:rFonts w:hint="eastAsia"/>
              </w:rPr>
              <w:t>2年</w:t>
            </w:r>
          </w:p>
        </w:tc>
      </w:tr>
      <w:tr w14:paraId="2A5B9C32">
        <w:tblPrEx>
          <w:tblCellMar>
            <w:top w:w="0" w:type="dxa"/>
            <w:left w:w="0" w:type="dxa"/>
            <w:bottom w:w="0" w:type="dxa"/>
            <w:right w:w="0" w:type="dxa"/>
          </w:tblCellMar>
        </w:tblPrEx>
        <w:trPr>
          <w:wBefore w:w="0" w:type="auto"/>
          <w:tblCellSpacing w:w="0" w:type="dxa"/>
        </w:trPr>
        <w:tc>
          <w:tcPr>
            <w:tcW w:w="0" w:type="auto"/>
            <w:noWrap w:val="0"/>
            <w:vAlign w:val="center"/>
          </w:tcPr>
          <w:p w14:paraId="0FA90216">
            <w:r>
              <w:rPr>
                <w:rStyle w:val="10"/>
                <w:rFonts w:hint="eastAsia"/>
              </w:rPr>
              <w:t>备注：</w:t>
            </w:r>
          </w:p>
        </w:tc>
      </w:tr>
    </w:tbl>
    <w:p w14:paraId="1D994D8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58FC84E">
        <w:tblPrEx>
          <w:tblCellMar>
            <w:top w:w="0" w:type="dxa"/>
            <w:left w:w="0" w:type="dxa"/>
            <w:bottom w:w="0" w:type="dxa"/>
            <w:right w:w="0" w:type="dxa"/>
          </w:tblCellMar>
        </w:tblPrEx>
        <w:trPr>
          <w:wBefore w:w="0" w:type="auto"/>
          <w:tblCellSpacing w:w="0" w:type="dxa"/>
        </w:trPr>
        <w:tc>
          <w:tcPr>
            <w:tcW w:w="0" w:type="auto"/>
            <w:noWrap w:val="0"/>
            <w:vAlign w:val="center"/>
          </w:tcPr>
          <w:p w14:paraId="1D11970B">
            <w:r>
              <w:rPr>
                <w:rStyle w:val="10"/>
                <w:rFonts w:hint="eastAsia"/>
              </w:rPr>
              <w:t>登记证号：</w:t>
            </w:r>
            <w:r>
              <w:rPr>
                <w:rFonts w:hint="eastAsia"/>
              </w:rPr>
              <w:t>WP20210240</w:t>
            </w:r>
          </w:p>
        </w:tc>
      </w:tr>
      <w:tr w14:paraId="37326F33">
        <w:tblPrEx>
          <w:tblCellMar>
            <w:top w:w="0" w:type="dxa"/>
            <w:left w:w="0" w:type="dxa"/>
            <w:bottom w:w="0" w:type="dxa"/>
            <w:right w:w="0" w:type="dxa"/>
          </w:tblCellMar>
        </w:tblPrEx>
        <w:trPr>
          <w:wBefore w:w="0" w:type="auto"/>
          <w:tblCellSpacing w:w="0" w:type="dxa"/>
        </w:trPr>
        <w:tc>
          <w:tcPr>
            <w:tcW w:w="0" w:type="auto"/>
            <w:noWrap w:val="0"/>
            <w:vAlign w:val="center"/>
          </w:tcPr>
          <w:p w14:paraId="60C8AE90">
            <w:r>
              <w:rPr>
                <w:rStyle w:val="10"/>
                <w:rFonts w:hint="eastAsia"/>
              </w:rPr>
              <w:t>登记证持有人：</w:t>
            </w:r>
            <w:r>
              <w:rPr>
                <w:rFonts w:hint="eastAsia"/>
              </w:rPr>
              <w:t>湖北省天门斯普林植物保护有限公司</w:t>
            </w:r>
          </w:p>
        </w:tc>
      </w:tr>
      <w:tr w14:paraId="2ECAE44A">
        <w:tblPrEx>
          <w:tblCellMar>
            <w:top w:w="0" w:type="dxa"/>
            <w:left w:w="0" w:type="dxa"/>
            <w:bottom w:w="0" w:type="dxa"/>
            <w:right w:w="0" w:type="dxa"/>
          </w:tblCellMar>
        </w:tblPrEx>
        <w:trPr>
          <w:wBefore w:w="0" w:type="auto"/>
          <w:tblCellSpacing w:w="0" w:type="dxa"/>
        </w:trPr>
        <w:tc>
          <w:tcPr>
            <w:tcW w:w="0" w:type="auto"/>
            <w:noWrap w:val="0"/>
            <w:vAlign w:val="center"/>
          </w:tcPr>
          <w:p w14:paraId="4140B974">
            <w:r>
              <w:rPr>
                <w:rStyle w:val="10"/>
                <w:rFonts w:hint="eastAsia"/>
              </w:rPr>
              <w:t>农药名称：</w:t>
            </w:r>
            <w:r>
              <w:rPr>
                <w:rFonts w:hint="eastAsia"/>
              </w:rPr>
              <w:t>甲基嘧啶磷</w:t>
            </w:r>
          </w:p>
        </w:tc>
      </w:tr>
      <w:tr w14:paraId="40115EAE">
        <w:tblPrEx>
          <w:tblCellMar>
            <w:top w:w="0" w:type="dxa"/>
            <w:left w:w="0" w:type="dxa"/>
            <w:bottom w:w="0" w:type="dxa"/>
            <w:right w:w="0" w:type="dxa"/>
          </w:tblCellMar>
        </w:tblPrEx>
        <w:trPr>
          <w:wBefore w:w="0" w:type="auto"/>
          <w:tblCellSpacing w:w="0" w:type="dxa"/>
        </w:trPr>
        <w:tc>
          <w:tcPr>
            <w:tcW w:w="0" w:type="auto"/>
            <w:noWrap w:val="0"/>
            <w:vAlign w:val="center"/>
          </w:tcPr>
          <w:p w14:paraId="4FBFAA16">
            <w:r>
              <w:rPr>
                <w:rStyle w:val="10"/>
                <w:rFonts w:hint="eastAsia"/>
              </w:rPr>
              <w:t>剂型：</w:t>
            </w:r>
            <w:r>
              <w:rPr>
                <w:rFonts w:hint="eastAsia"/>
              </w:rPr>
              <w:t>颗粒剂</w:t>
            </w:r>
          </w:p>
        </w:tc>
      </w:tr>
      <w:tr w14:paraId="54386E47">
        <w:tblPrEx>
          <w:tblCellMar>
            <w:top w:w="0" w:type="dxa"/>
            <w:left w:w="0" w:type="dxa"/>
            <w:bottom w:w="0" w:type="dxa"/>
            <w:right w:w="0" w:type="dxa"/>
          </w:tblCellMar>
        </w:tblPrEx>
        <w:trPr>
          <w:wBefore w:w="0" w:type="auto"/>
          <w:tblCellSpacing w:w="0" w:type="dxa"/>
        </w:trPr>
        <w:tc>
          <w:tcPr>
            <w:tcW w:w="0" w:type="auto"/>
            <w:noWrap w:val="0"/>
            <w:vAlign w:val="center"/>
          </w:tcPr>
          <w:p w14:paraId="5B7398AC">
            <w:r>
              <w:rPr>
                <w:rStyle w:val="10"/>
                <w:rFonts w:hint="eastAsia"/>
              </w:rPr>
              <w:t>毒性及其标识：</w:t>
            </w:r>
            <w:r>
              <w:rPr>
                <w:rFonts w:hint="eastAsia"/>
              </w:rPr>
              <w:t xml:space="preserve"> </w:t>
            </w:r>
            <w:r>
              <w:rPr>
                <w:lang/>
              </w:rPr>
              <w:drawing>
                <wp:inline distT="0" distB="0" distL="114300" distR="114300">
                  <wp:extent cx="476250" cy="323850"/>
                  <wp:effectExtent l="0" t="0" r="0" b="0"/>
                  <wp:docPr id="327" name="图片 32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06BF865">
        <w:tblPrEx>
          <w:tblCellMar>
            <w:top w:w="0" w:type="dxa"/>
            <w:left w:w="0" w:type="dxa"/>
            <w:bottom w:w="0" w:type="dxa"/>
            <w:right w:w="0" w:type="dxa"/>
          </w:tblCellMar>
        </w:tblPrEx>
        <w:trPr>
          <w:wBefore w:w="0" w:type="auto"/>
          <w:tblCellSpacing w:w="0" w:type="dxa"/>
        </w:trPr>
        <w:tc>
          <w:tcPr>
            <w:tcW w:w="0" w:type="auto"/>
            <w:noWrap w:val="0"/>
            <w:vAlign w:val="center"/>
          </w:tcPr>
          <w:p w14:paraId="0A0A2718">
            <w:r>
              <w:rPr>
                <w:rStyle w:val="10"/>
                <w:rFonts w:hint="eastAsia"/>
              </w:rPr>
              <w:t>总有效成分含量：</w:t>
            </w:r>
            <w:r>
              <w:rPr>
                <w:rFonts w:hint="eastAsia"/>
              </w:rPr>
              <w:t>0.5%</w:t>
            </w:r>
          </w:p>
        </w:tc>
      </w:tr>
      <w:tr w14:paraId="6E50B910">
        <w:tblPrEx>
          <w:tblCellMar>
            <w:top w:w="0" w:type="dxa"/>
            <w:left w:w="0" w:type="dxa"/>
            <w:bottom w:w="0" w:type="dxa"/>
            <w:right w:w="0" w:type="dxa"/>
          </w:tblCellMar>
        </w:tblPrEx>
        <w:trPr>
          <w:wBefore w:w="0" w:type="auto"/>
          <w:tblCellSpacing w:w="0" w:type="dxa"/>
        </w:trPr>
        <w:tc>
          <w:tcPr>
            <w:tcW w:w="0" w:type="auto"/>
            <w:noWrap w:val="0"/>
            <w:vAlign w:val="center"/>
          </w:tcPr>
          <w:p w14:paraId="74BC885A">
            <w:r>
              <w:rPr>
                <w:rFonts w:hint="eastAsia"/>
              </w:rPr>
              <w:t xml:space="preserve">有效成分及其含量： </w:t>
            </w:r>
          </w:p>
          <w:p w14:paraId="3321779E">
            <w:r>
              <w:rPr>
                <w:rFonts w:hint="eastAsia"/>
              </w:rPr>
              <w:t xml:space="preserve">    甲基嘧啶磷0.5%    </w:t>
            </w:r>
          </w:p>
        </w:tc>
      </w:tr>
      <w:tr w14:paraId="2839F155">
        <w:tblPrEx>
          <w:tblCellMar>
            <w:top w:w="0" w:type="dxa"/>
            <w:left w:w="0" w:type="dxa"/>
            <w:bottom w:w="0" w:type="dxa"/>
            <w:right w:w="0" w:type="dxa"/>
          </w:tblCellMar>
        </w:tblPrEx>
        <w:trPr>
          <w:wBefore w:w="0" w:type="auto"/>
          <w:tblCellSpacing w:w="0" w:type="dxa"/>
        </w:trPr>
        <w:tc>
          <w:tcPr>
            <w:tcW w:w="0" w:type="auto"/>
            <w:noWrap w:val="0"/>
            <w:vAlign w:val="center"/>
          </w:tcPr>
          <w:p w14:paraId="6FA0A37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63E3E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8E5B1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3B53AE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E9F6E5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89C756">
                  <w:r>
                    <w:rPr>
                      <w:rStyle w:val="11"/>
                      <w:rFonts w:hint="eastAsia"/>
                    </w:rPr>
                    <w:t>施用方式</w:t>
                  </w:r>
                </w:p>
              </w:tc>
            </w:tr>
            <w:tr w14:paraId="296815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DE1A4FA">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2A38E1">
                  <w:r>
                    <w:rPr>
                      <w:rStyle w:val="11"/>
                      <w:rFonts w:hint="eastAsia"/>
                    </w:rPr>
                    <w:t>蚊(幼虫)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062015">
                  <w:r>
                    <w:rPr>
                      <w:rStyle w:val="11"/>
                      <w:rFonts w:hint="eastAsia"/>
                    </w:rPr>
                    <w:t>10克/平方米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646CF3">
                  <w:r>
                    <w:rPr>
                      <w:rStyle w:val="11"/>
                      <w:rFonts w:hint="eastAsia"/>
                    </w:rPr>
                    <w:t>撒施</w:t>
                  </w:r>
                </w:p>
              </w:tc>
            </w:tr>
          </w:tbl>
          <w:p w14:paraId="14741C42">
            <w:pPr>
              <w:rPr>
                <w:rFonts w:ascii="Times New Roman" w:hAnsi="Times New Roman" w:cs="Times New Roman"/>
                <w:sz w:val="20"/>
                <w:szCs w:val="20"/>
              </w:rPr>
            </w:pPr>
          </w:p>
        </w:tc>
      </w:tr>
      <w:tr w14:paraId="23894043">
        <w:tblPrEx>
          <w:tblCellMar>
            <w:top w:w="0" w:type="dxa"/>
            <w:left w:w="0" w:type="dxa"/>
            <w:bottom w:w="0" w:type="dxa"/>
            <w:right w:w="0" w:type="dxa"/>
          </w:tblCellMar>
        </w:tblPrEx>
        <w:trPr>
          <w:wBefore w:w="0" w:type="auto"/>
          <w:tblCellSpacing w:w="0" w:type="dxa"/>
        </w:trPr>
        <w:tc>
          <w:tcPr>
            <w:tcW w:w="0" w:type="auto"/>
            <w:noWrap w:val="0"/>
            <w:vAlign w:val="center"/>
          </w:tcPr>
          <w:p w14:paraId="62247E8A">
            <w:r>
              <w:rPr>
                <w:rStyle w:val="10"/>
                <w:rFonts w:hint="eastAsia"/>
              </w:rPr>
              <w:t>使用技术要求:</w:t>
            </w:r>
            <w:r>
              <w:rPr>
                <w:rFonts w:hint="eastAsia"/>
              </w:rPr>
              <w:br w:type="textWrapping"/>
            </w:r>
            <w:r>
              <w:rPr>
                <w:rStyle w:val="11"/>
                <w:rFonts w:hint="eastAsia"/>
              </w:rPr>
              <w:t>使用时，将药剂撒施于蚊幼孳生地水体。</w:t>
            </w:r>
          </w:p>
        </w:tc>
      </w:tr>
      <w:tr w14:paraId="40ABBD05">
        <w:tblPrEx>
          <w:tblCellMar>
            <w:top w:w="0" w:type="dxa"/>
            <w:left w:w="0" w:type="dxa"/>
            <w:bottom w:w="0" w:type="dxa"/>
            <w:right w:w="0" w:type="dxa"/>
          </w:tblCellMar>
        </w:tblPrEx>
        <w:trPr>
          <w:wBefore w:w="0" w:type="auto"/>
          <w:tblCellSpacing w:w="0" w:type="dxa"/>
        </w:trPr>
        <w:tc>
          <w:tcPr>
            <w:tcW w:w="0" w:type="auto"/>
            <w:noWrap w:val="0"/>
            <w:vAlign w:val="center"/>
          </w:tcPr>
          <w:p w14:paraId="07BE2628">
            <w:r>
              <w:rPr>
                <w:rStyle w:val="10"/>
                <w:rFonts w:hint="eastAsia"/>
              </w:rPr>
              <w:t>产品性能:</w:t>
            </w:r>
            <w:r>
              <w:rPr>
                <w:rFonts w:hint="eastAsia"/>
              </w:rPr>
              <w:br w:type="textWrapping"/>
            </w:r>
            <w:r>
              <w:rPr>
                <w:rStyle w:val="11"/>
                <w:rFonts w:hint="eastAsia"/>
              </w:rPr>
              <w:t>本产品具有触杀、胃毒和熏蒸作用。可用于防治孑孓（蚊幼虫），适用于各种蚊幼虫孳生地。</w:t>
            </w:r>
          </w:p>
        </w:tc>
      </w:tr>
      <w:tr w14:paraId="26CF66D0">
        <w:tblPrEx>
          <w:tblCellMar>
            <w:top w:w="0" w:type="dxa"/>
            <w:left w:w="0" w:type="dxa"/>
            <w:bottom w:w="0" w:type="dxa"/>
            <w:right w:w="0" w:type="dxa"/>
          </w:tblCellMar>
        </w:tblPrEx>
        <w:trPr>
          <w:wBefore w:w="0" w:type="auto"/>
          <w:tblCellSpacing w:w="0" w:type="dxa"/>
        </w:trPr>
        <w:tc>
          <w:tcPr>
            <w:tcW w:w="0" w:type="auto"/>
            <w:noWrap w:val="0"/>
            <w:vAlign w:val="center"/>
          </w:tcPr>
          <w:p w14:paraId="7AE1C0B9">
            <w:r>
              <w:rPr>
                <w:rStyle w:val="10"/>
                <w:rFonts w:hint="eastAsia"/>
              </w:rPr>
              <w:t>注意事项：</w:t>
            </w:r>
            <w:r>
              <w:rPr>
                <w:rFonts w:hint="eastAsia"/>
              </w:rPr>
              <w:br w:type="textWrapping"/>
            </w:r>
            <w:r>
              <w:rPr>
                <w:rStyle w:val="11"/>
                <w:rFonts w:hint="eastAsia"/>
              </w:rPr>
              <w:t>1.本品使用时注意不可污染鱼塘等水域，禁止在河塘等水体清洗施药器具，远离水产养殖区、河塘等水体施药。 （周围）开花植物花期禁用。 2.使用时应穿长衣长裤、靴子，戴帽子、护目镜、口罩、手套等防护用具；施药期间不可吃东西、饮水、吸烟等；施药后应及时洗手、洗脸并洗涤施药时穿着的衣物。 3.用药后包装物及用过的容器应妥善处理，不可做他用，也不可随意丢弃。 4.孕妇及哺乳期妇女、过敏者禁用；使用中有任何不良反应请及时就医。</w:t>
            </w:r>
          </w:p>
        </w:tc>
      </w:tr>
      <w:tr w14:paraId="07A14FDC">
        <w:tblPrEx>
          <w:tblCellMar>
            <w:top w:w="0" w:type="dxa"/>
            <w:left w:w="0" w:type="dxa"/>
            <w:bottom w:w="0" w:type="dxa"/>
            <w:right w:w="0" w:type="dxa"/>
          </w:tblCellMar>
        </w:tblPrEx>
        <w:trPr>
          <w:wBefore w:w="0" w:type="auto"/>
          <w:tblCellSpacing w:w="0" w:type="dxa"/>
        </w:trPr>
        <w:tc>
          <w:tcPr>
            <w:tcW w:w="0" w:type="auto"/>
            <w:noWrap w:val="0"/>
            <w:vAlign w:val="center"/>
          </w:tcPr>
          <w:p w14:paraId="427A5126">
            <w:r>
              <w:rPr>
                <w:rStyle w:val="10"/>
                <w:rFonts w:hint="eastAsia"/>
              </w:rPr>
              <w:t>中毒急救措施：</w:t>
            </w:r>
            <w:r>
              <w:rPr>
                <w:rFonts w:hint="eastAsia"/>
              </w:rPr>
              <w:br w:type="textWrapping"/>
            </w:r>
            <w:r>
              <w:rPr>
                <w:rStyle w:val="11"/>
                <w:rFonts w:hint="eastAsia"/>
              </w:rPr>
              <w:t>本品对眼睛有刺激性。使用中或使用后如果感觉不适，应立即停止工作，采取急救措施，并携带标签送医院就诊。本品如接触皮肤，用肥皂和清水彻底清洗受污的皮肤；如溅及眼睛，用清水冲洗眼睛至少10分钟；送医就诊；如误服，反复使用医用炭和大量水，并即携带标签，送医就诊。</w:t>
            </w:r>
          </w:p>
        </w:tc>
      </w:tr>
      <w:tr w14:paraId="67B805F3">
        <w:tblPrEx>
          <w:tblCellMar>
            <w:top w:w="0" w:type="dxa"/>
            <w:left w:w="0" w:type="dxa"/>
            <w:bottom w:w="0" w:type="dxa"/>
            <w:right w:w="0" w:type="dxa"/>
          </w:tblCellMar>
        </w:tblPrEx>
        <w:trPr>
          <w:wBefore w:w="0" w:type="auto"/>
          <w:tblCellSpacing w:w="0" w:type="dxa"/>
        </w:trPr>
        <w:tc>
          <w:tcPr>
            <w:tcW w:w="0" w:type="auto"/>
            <w:noWrap w:val="0"/>
            <w:vAlign w:val="center"/>
          </w:tcPr>
          <w:p w14:paraId="3E5632BB">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同贮同运。贮存或运输时堆层不得超过规定，注意轻拿轻放，以免损坏包装，导致产品泄露。</w:t>
            </w:r>
          </w:p>
        </w:tc>
      </w:tr>
      <w:tr w14:paraId="3B391E6B">
        <w:tblPrEx>
          <w:tblCellMar>
            <w:top w:w="0" w:type="dxa"/>
            <w:left w:w="0" w:type="dxa"/>
            <w:bottom w:w="0" w:type="dxa"/>
            <w:right w:w="0" w:type="dxa"/>
          </w:tblCellMar>
        </w:tblPrEx>
        <w:trPr>
          <w:wBefore w:w="0" w:type="auto"/>
          <w:tblCellSpacing w:w="0" w:type="dxa"/>
        </w:trPr>
        <w:tc>
          <w:tcPr>
            <w:tcW w:w="0" w:type="auto"/>
            <w:noWrap w:val="0"/>
            <w:vAlign w:val="center"/>
          </w:tcPr>
          <w:p w14:paraId="7F93FC84">
            <w:r>
              <w:rPr>
                <w:rStyle w:val="10"/>
                <w:rFonts w:hint="eastAsia"/>
              </w:rPr>
              <w:t>质量保证期：</w:t>
            </w:r>
            <w:r>
              <w:rPr>
                <w:rStyle w:val="11"/>
                <w:rFonts w:hint="eastAsia"/>
              </w:rPr>
              <w:t>2年</w:t>
            </w:r>
          </w:p>
        </w:tc>
      </w:tr>
      <w:tr w14:paraId="255120DC">
        <w:tblPrEx>
          <w:tblCellMar>
            <w:top w:w="0" w:type="dxa"/>
            <w:left w:w="0" w:type="dxa"/>
            <w:bottom w:w="0" w:type="dxa"/>
            <w:right w:w="0" w:type="dxa"/>
          </w:tblCellMar>
        </w:tblPrEx>
        <w:trPr>
          <w:wBefore w:w="0" w:type="auto"/>
          <w:tblCellSpacing w:w="0" w:type="dxa"/>
        </w:trPr>
        <w:tc>
          <w:tcPr>
            <w:tcW w:w="0" w:type="auto"/>
            <w:noWrap w:val="0"/>
            <w:vAlign w:val="center"/>
          </w:tcPr>
          <w:p w14:paraId="25B18853">
            <w:r>
              <w:rPr>
                <w:rStyle w:val="10"/>
                <w:rFonts w:hint="eastAsia"/>
              </w:rPr>
              <w:t>备注：</w:t>
            </w:r>
          </w:p>
        </w:tc>
      </w:tr>
    </w:tbl>
    <w:p w14:paraId="4564125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C0D6CE">
        <w:tblPrEx>
          <w:tblCellMar>
            <w:top w:w="0" w:type="dxa"/>
            <w:left w:w="0" w:type="dxa"/>
            <w:bottom w:w="0" w:type="dxa"/>
            <w:right w:w="0" w:type="dxa"/>
          </w:tblCellMar>
        </w:tblPrEx>
        <w:trPr>
          <w:wBefore w:w="0" w:type="auto"/>
          <w:tblCellSpacing w:w="0" w:type="dxa"/>
        </w:trPr>
        <w:tc>
          <w:tcPr>
            <w:tcW w:w="0" w:type="auto"/>
            <w:noWrap w:val="0"/>
            <w:vAlign w:val="center"/>
          </w:tcPr>
          <w:p w14:paraId="2A8241C5">
            <w:r>
              <w:rPr>
                <w:rStyle w:val="10"/>
                <w:rFonts w:hint="eastAsia"/>
              </w:rPr>
              <w:t>登记证号：</w:t>
            </w:r>
            <w:r>
              <w:rPr>
                <w:rFonts w:hint="eastAsia"/>
              </w:rPr>
              <w:t>PD20211823</w:t>
            </w:r>
          </w:p>
        </w:tc>
      </w:tr>
      <w:tr w14:paraId="4C0790DC">
        <w:tblPrEx>
          <w:tblCellMar>
            <w:top w:w="0" w:type="dxa"/>
            <w:left w:w="0" w:type="dxa"/>
            <w:bottom w:w="0" w:type="dxa"/>
            <w:right w:w="0" w:type="dxa"/>
          </w:tblCellMar>
        </w:tblPrEx>
        <w:trPr>
          <w:wBefore w:w="0" w:type="auto"/>
          <w:tblCellSpacing w:w="0" w:type="dxa"/>
        </w:trPr>
        <w:tc>
          <w:tcPr>
            <w:tcW w:w="0" w:type="auto"/>
            <w:noWrap w:val="0"/>
            <w:vAlign w:val="center"/>
          </w:tcPr>
          <w:p w14:paraId="3F004187">
            <w:r>
              <w:rPr>
                <w:rStyle w:val="10"/>
                <w:rFonts w:hint="eastAsia"/>
              </w:rPr>
              <w:t>登记证持有人：</w:t>
            </w:r>
            <w:r>
              <w:rPr>
                <w:rFonts w:hint="eastAsia"/>
              </w:rPr>
              <w:t>河南勇冠乔迪农业科技有限公司</w:t>
            </w:r>
          </w:p>
        </w:tc>
      </w:tr>
      <w:tr w14:paraId="1AB4D431">
        <w:tblPrEx>
          <w:tblCellMar>
            <w:top w:w="0" w:type="dxa"/>
            <w:left w:w="0" w:type="dxa"/>
            <w:bottom w:w="0" w:type="dxa"/>
            <w:right w:w="0" w:type="dxa"/>
          </w:tblCellMar>
        </w:tblPrEx>
        <w:trPr>
          <w:wBefore w:w="0" w:type="auto"/>
          <w:tblCellSpacing w:w="0" w:type="dxa"/>
        </w:trPr>
        <w:tc>
          <w:tcPr>
            <w:tcW w:w="0" w:type="auto"/>
            <w:noWrap w:val="0"/>
            <w:vAlign w:val="center"/>
          </w:tcPr>
          <w:p w14:paraId="22554DE8">
            <w:r>
              <w:rPr>
                <w:rStyle w:val="10"/>
                <w:rFonts w:hint="eastAsia"/>
              </w:rPr>
              <w:t>农药名称：</w:t>
            </w:r>
            <w:r>
              <w:rPr>
                <w:rFonts w:hint="eastAsia"/>
              </w:rPr>
              <w:t>呋虫胺·顺式氯氰菊酯</w:t>
            </w:r>
          </w:p>
        </w:tc>
      </w:tr>
      <w:tr w14:paraId="68C94A67">
        <w:tblPrEx>
          <w:tblCellMar>
            <w:top w:w="0" w:type="dxa"/>
            <w:left w:w="0" w:type="dxa"/>
            <w:bottom w:w="0" w:type="dxa"/>
            <w:right w:w="0" w:type="dxa"/>
          </w:tblCellMar>
        </w:tblPrEx>
        <w:trPr>
          <w:wBefore w:w="0" w:type="auto"/>
          <w:tblCellSpacing w:w="0" w:type="dxa"/>
        </w:trPr>
        <w:tc>
          <w:tcPr>
            <w:tcW w:w="0" w:type="auto"/>
            <w:noWrap w:val="0"/>
            <w:vAlign w:val="center"/>
          </w:tcPr>
          <w:p w14:paraId="4702D065">
            <w:r>
              <w:rPr>
                <w:rStyle w:val="10"/>
                <w:rFonts w:hint="eastAsia"/>
              </w:rPr>
              <w:t>剂型：</w:t>
            </w:r>
            <w:r>
              <w:rPr>
                <w:rFonts w:hint="eastAsia"/>
              </w:rPr>
              <w:t>水乳剂</w:t>
            </w:r>
          </w:p>
        </w:tc>
      </w:tr>
      <w:tr w14:paraId="353716CE">
        <w:tblPrEx>
          <w:tblCellMar>
            <w:top w:w="0" w:type="dxa"/>
            <w:left w:w="0" w:type="dxa"/>
            <w:bottom w:w="0" w:type="dxa"/>
            <w:right w:w="0" w:type="dxa"/>
          </w:tblCellMar>
        </w:tblPrEx>
        <w:trPr>
          <w:wBefore w:w="0" w:type="auto"/>
          <w:tblCellSpacing w:w="0" w:type="dxa"/>
        </w:trPr>
        <w:tc>
          <w:tcPr>
            <w:tcW w:w="0" w:type="auto"/>
            <w:noWrap w:val="0"/>
            <w:vAlign w:val="center"/>
          </w:tcPr>
          <w:p w14:paraId="4EA2AD17">
            <w:r>
              <w:rPr>
                <w:rStyle w:val="10"/>
                <w:rFonts w:hint="eastAsia"/>
              </w:rPr>
              <w:t>毒性及其标识：</w:t>
            </w:r>
            <w:r>
              <w:rPr>
                <w:rFonts w:hint="eastAsia"/>
              </w:rPr>
              <w:t xml:space="preserve"> </w:t>
            </w:r>
            <w:r>
              <w:rPr>
                <w:lang/>
              </w:rPr>
              <w:drawing>
                <wp:inline distT="0" distB="0" distL="114300" distR="114300">
                  <wp:extent cx="476250" cy="323850"/>
                  <wp:effectExtent l="0" t="0" r="0" b="0"/>
                  <wp:docPr id="328" name="图片 32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4E35B40">
        <w:tblPrEx>
          <w:tblCellMar>
            <w:top w:w="0" w:type="dxa"/>
            <w:left w:w="0" w:type="dxa"/>
            <w:bottom w:w="0" w:type="dxa"/>
            <w:right w:w="0" w:type="dxa"/>
          </w:tblCellMar>
        </w:tblPrEx>
        <w:trPr>
          <w:wBefore w:w="0" w:type="auto"/>
          <w:tblCellSpacing w:w="0" w:type="dxa"/>
        </w:trPr>
        <w:tc>
          <w:tcPr>
            <w:tcW w:w="0" w:type="auto"/>
            <w:noWrap w:val="0"/>
            <w:vAlign w:val="center"/>
          </w:tcPr>
          <w:p w14:paraId="4ABC93E7">
            <w:r>
              <w:rPr>
                <w:rStyle w:val="10"/>
                <w:rFonts w:hint="eastAsia"/>
              </w:rPr>
              <w:t>总有效成分含量：</w:t>
            </w:r>
            <w:r>
              <w:rPr>
                <w:rFonts w:hint="eastAsia"/>
              </w:rPr>
              <w:t>4%</w:t>
            </w:r>
          </w:p>
        </w:tc>
      </w:tr>
      <w:tr w14:paraId="599A8719">
        <w:tblPrEx>
          <w:tblCellMar>
            <w:top w:w="0" w:type="dxa"/>
            <w:left w:w="0" w:type="dxa"/>
            <w:bottom w:w="0" w:type="dxa"/>
            <w:right w:w="0" w:type="dxa"/>
          </w:tblCellMar>
        </w:tblPrEx>
        <w:trPr>
          <w:wBefore w:w="0" w:type="auto"/>
          <w:tblCellSpacing w:w="0" w:type="dxa"/>
        </w:trPr>
        <w:tc>
          <w:tcPr>
            <w:tcW w:w="0" w:type="auto"/>
            <w:noWrap w:val="0"/>
            <w:vAlign w:val="center"/>
          </w:tcPr>
          <w:p w14:paraId="3F3E8779">
            <w:r>
              <w:rPr>
                <w:rFonts w:hint="eastAsia"/>
              </w:rPr>
              <w:t xml:space="preserve">有效成分及其含量： </w:t>
            </w:r>
          </w:p>
          <w:p w14:paraId="2CE19020">
            <w:r>
              <w:rPr>
                <w:rFonts w:hint="eastAsia"/>
              </w:rPr>
              <w:t xml:space="preserve">    呋虫胺3%    顺式氯氰菊酯1%    </w:t>
            </w:r>
          </w:p>
        </w:tc>
      </w:tr>
      <w:tr w14:paraId="292B63F6">
        <w:tblPrEx>
          <w:tblCellMar>
            <w:top w:w="0" w:type="dxa"/>
            <w:left w:w="0" w:type="dxa"/>
            <w:bottom w:w="0" w:type="dxa"/>
            <w:right w:w="0" w:type="dxa"/>
          </w:tblCellMar>
        </w:tblPrEx>
        <w:trPr>
          <w:wBefore w:w="0" w:type="auto"/>
          <w:tblCellSpacing w:w="0" w:type="dxa"/>
        </w:trPr>
        <w:tc>
          <w:tcPr>
            <w:tcW w:w="0" w:type="auto"/>
            <w:noWrap w:val="0"/>
            <w:vAlign w:val="center"/>
          </w:tcPr>
          <w:p w14:paraId="5078EF4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B324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0E88A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4BD19F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5E4716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CD3165C">
                  <w:r>
                    <w:rPr>
                      <w:rStyle w:val="11"/>
                      <w:rFonts w:hint="eastAsia"/>
                    </w:rPr>
                    <w:t>施用方式</w:t>
                  </w:r>
                </w:p>
              </w:tc>
            </w:tr>
            <w:tr w14:paraId="1605B4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79DDC6D">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8B16B7">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609344">
                  <w:r>
                    <w:rPr>
                      <w:rStyle w:val="11"/>
                      <w:rFonts w:hint="eastAsia"/>
                    </w:rPr>
                    <w:t>1毫升/平方米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88C189">
                  <w:r>
                    <w:rPr>
                      <w:rStyle w:val="11"/>
                      <w:rFonts w:hint="eastAsia"/>
                    </w:rPr>
                    <w:t>喷雾</w:t>
                  </w:r>
                </w:p>
              </w:tc>
            </w:tr>
          </w:tbl>
          <w:p w14:paraId="4F4D6C26">
            <w:pPr>
              <w:rPr>
                <w:rFonts w:ascii="Times New Roman" w:hAnsi="Times New Roman" w:cs="Times New Roman"/>
                <w:sz w:val="20"/>
                <w:szCs w:val="20"/>
              </w:rPr>
            </w:pPr>
          </w:p>
        </w:tc>
      </w:tr>
      <w:tr w14:paraId="099387FC">
        <w:tblPrEx>
          <w:tblCellMar>
            <w:top w:w="0" w:type="dxa"/>
            <w:left w:w="0" w:type="dxa"/>
            <w:bottom w:w="0" w:type="dxa"/>
            <w:right w:w="0" w:type="dxa"/>
          </w:tblCellMar>
        </w:tblPrEx>
        <w:trPr>
          <w:wBefore w:w="0" w:type="auto"/>
          <w:tblCellSpacing w:w="0" w:type="dxa"/>
        </w:trPr>
        <w:tc>
          <w:tcPr>
            <w:tcW w:w="0" w:type="auto"/>
            <w:noWrap w:val="0"/>
            <w:vAlign w:val="center"/>
          </w:tcPr>
          <w:p w14:paraId="74C52493">
            <w:r>
              <w:rPr>
                <w:rStyle w:val="10"/>
                <w:rFonts w:hint="eastAsia"/>
              </w:rPr>
              <w:t>使用技术要求:</w:t>
            </w:r>
            <w:r>
              <w:rPr>
                <w:rFonts w:hint="eastAsia"/>
              </w:rPr>
              <w:br w:type="textWrapping"/>
            </w:r>
            <w:r>
              <w:rPr>
                <w:rStyle w:val="11"/>
                <w:rFonts w:hint="eastAsia"/>
              </w:rPr>
              <w:t>将药剂兑水稀释15倍，按照15毫升/平方米稀释液喷雾使用。使用后30分钟后打开门窗，经充分通风后再进入房间。</w:t>
            </w:r>
          </w:p>
        </w:tc>
      </w:tr>
      <w:tr w14:paraId="0F4A2D9B">
        <w:tblPrEx>
          <w:tblCellMar>
            <w:top w:w="0" w:type="dxa"/>
            <w:left w:w="0" w:type="dxa"/>
            <w:bottom w:w="0" w:type="dxa"/>
            <w:right w:w="0" w:type="dxa"/>
          </w:tblCellMar>
        </w:tblPrEx>
        <w:trPr>
          <w:wBefore w:w="0" w:type="auto"/>
          <w:tblCellSpacing w:w="0" w:type="dxa"/>
        </w:trPr>
        <w:tc>
          <w:tcPr>
            <w:tcW w:w="0" w:type="auto"/>
            <w:noWrap w:val="0"/>
            <w:vAlign w:val="center"/>
          </w:tcPr>
          <w:p w14:paraId="30E05123">
            <w:r>
              <w:rPr>
                <w:rStyle w:val="10"/>
                <w:rFonts w:hint="eastAsia"/>
              </w:rPr>
              <w:t>产品性能:</w:t>
            </w:r>
            <w:r>
              <w:rPr>
                <w:rFonts w:hint="eastAsia"/>
              </w:rPr>
              <w:br w:type="textWrapping"/>
            </w:r>
            <w:r>
              <w:rPr>
                <w:rStyle w:val="11"/>
                <w:rFonts w:hint="eastAsia"/>
              </w:rPr>
              <w:t>本品以呋虫胺、顺式氯氰菊酯为有效成分，气味温和，能有效杀灭蜚蠊，适用于酒店、写字楼、医院、学校、食品厂、餐馆等室内场所使用。</w:t>
            </w:r>
          </w:p>
        </w:tc>
      </w:tr>
      <w:tr w14:paraId="06160B63">
        <w:tblPrEx>
          <w:tblCellMar>
            <w:top w:w="0" w:type="dxa"/>
            <w:left w:w="0" w:type="dxa"/>
            <w:bottom w:w="0" w:type="dxa"/>
            <w:right w:w="0" w:type="dxa"/>
          </w:tblCellMar>
        </w:tblPrEx>
        <w:trPr>
          <w:wBefore w:w="0" w:type="auto"/>
          <w:tblCellSpacing w:w="0" w:type="dxa"/>
        </w:trPr>
        <w:tc>
          <w:tcPr>
            <w:tcW w:w="0" w:type="auto"/>
            <w:noWrap w:val="0"/>
            <w:vAlign w:val="center"/>
          </w:tcPr>
          <w:p w14:paraId="36A83C95">
            <w:r>
              <w:rPr>
                <w:rStyle w:val="10"/>
                <w:rFonts w:hint="eastAsia"/>
              </w:rPr>
              <w:t>注意事项：</w:t>
            </w:r>
            <w:r>
              <w:rPr>
                <w:rFonts w:hint="eastAsia"/>
              </w:rPr>
              <w:br w:type="textWrapping"/>
            </w:r>
            <w:r>
              <w:rPr>
                <w:rStyle w:val="11"/>
                <w:rFonts w:hint="eastAsia"/>
              </w:rPr>
              <w:t>1. 仅限室内使用，使用前请将暴露在施药区域的食物、餐具等物品移走或覆盖。 2. 本品对眼睛有刺激性，使用时避免接触眼睛，穿戴长衣、长裤、帽子、口罩、手套等安全防护措施。3. 施药期间不可吃东西和饮水。施药后及时洗手和脸等暴露部位。 4. 本品对蜜蜂、鱼类和家蚕有毒，养蚕室、养蜂室、水产养殖区及其附近禁用。 5. 用过的容器应妥善处理，不可他用，也不可随意丢弃。 6. 避免儿童、孕妇及哺乳期妇女接触本品。 7. 过敏者禁用。使用中任何不良反应请及时就医。</w:t>
            </w:r>
          </w:p>
        </w:tc>
      </w:tr>
      <w:tr w14:paraId="396DE5BB">
        <w:tblPrEx>
          <w:tblCellMar>
            <w:top w:w="0" w:type="dxa"/>
            <w:left w:w="0" w:type="dxa"/>
            <w:bottom w:w="0" w:type="dxa"/>
            <w:right w:w="0" w:type="dxa"/>
          </w:tblCellMar>
        </w:tblPrEx>
        <w:trPr>
          <w:wBefore w:w="0" w:type="auto"/>
          <w:tblCellSpacing w:w="0" w:type="dxa"/>
        </w:trPr>
        <w:tc>
          <w:tcPr>
            <w:tcW w:w="0" w:type="auto"/>
            <w:noWrap w:val="0"/>
            <w:vAlign w:val="center"/>
          </w:tcPr>
          <w:p w14:paraId="080ABC60">
            <w:r>
              <w:rPr>
                <w:rStyle w:val="10"/>
                <w:rFonts w:hint="eastAsia"/>
              </w:rPr>
              <w:t>中毒急救措施：</w:t>
            </w:r>
            <w:r>
              <w:rPr>
                <w:rFonts w:hint="eastAsia"/>
              </w:rPr>
              <w:br w:type="textWrapping"/>
            </w:r>
            <w:r>
              <w:rPr>
                <w:rStyle w:val="11"/>
                <w:rFonts w:hint="eastAsia"/>
              </w:rPr>
              <w:t>1. 如接触皮肤，立即用肥皂和大量的清水冲洗。 2. 如接触眼睛，请即用大量清水冲洗至少15分钟。 3. 若不慎吸入，请立即转移至空气清新处。 4. 如误服、中毒，立即携标签送医院，对症治疗。中毒时，请拨打中国疾病中心中毒控制中心咨询热线：400-650-5726。</w:t>
            </w:r>
          </w:p>
        </w:tc>
      </w:tr>
      <w:tr w14:paraId="427FC776">
        <w:tblPrEx>
          <w:tblCellMar>
            <w:top w:w="0" w:type="dxa"/>
            <w:left w:w="0" w:type="dxa"/>
            <w:bottom w:w="0" w:type="dxa"/>
            <w:right w:w="0" w:type="dxa"/>
          </w:tblCellMar>
        </w:tblPrEx>
        <w:trPr>
          <w:wBefore w:w="0" w:type="auto"/>
          <w:tblCellSpacing w:w="0" w:type="dxa"/>
        </w:trPr>
        <w:tc>
          <w:tcPr>
            <w:tcW w:w="0" w:type="auto"/>
            <w:noWrap w:val="0"/>
            <w:vAlign w:val="center"/>
          </w:tcPr>
          <w:p w14:paraId="17E0361C">
            <w:r>
              <w:rPr>
                <w:rStyle w:val="10"/>
                <w:rFonts w:hint="eastAsia"/>
              </w:rPr>
              <w:t>储存和运输方法：</w:t>
            </w:r>
            <w:r>
              <w:rPr>
                <w:rFonts w:hint="eastAsia"/>
              </w:rPr>
              <w:br w:type="textWrapping"/>
            </w:r>
            <w:r>
              <w:rPr>
                <w:rStyle w:val="11"/>
                <w:rFonts w:hint="eastAsia"/>
              </w:rPr>
              <w:t>1. 本品为易燃液体，存放于通风、干燥处，远离火源，明火及高温处。 2. 置于儿童、无关人员触及不到之处，并加锁。 勿与食品、饮料、饲料、粮食等同贮同运。</w:t>
            </w:r>
          </w:p>
        </w:tc>
      </w:tr>
      <w:tr w14:paraId="24DA74BE">
        <w:tblPrEx>
          <w:tblCellMar>
            <w:top w:w="0" w:type="dxa"/>
            <w:left w:w="0" w:type="dxa"/>
            <w:bottom w:w="0" w:type="dxa"/>
            <w:right w:w="0" w:type="dxa"/>
          </w:tblCellMar>
        </w:tblPrEx>
        <w:trPr>
          <w:wBefore w:w="0" w:type="auto"/>
          <w:tblCellSpacing w:w="0" w:type="dxa"/>
        </w:trPr>
        <w:tc>
          <w:tcPr>
            <w:tcW w:w="0" w:type="auto"/>
            <w:noWrap w:val="0"/>
            <w:vAlign w:val="center"/>
          </w:tcPr>
          <w:p w14:paraId="5F9D29CD">
            <w:r>
              <w:rPr>
                <w:rStyle w:val="10"/>
                <w:rFonts w:hint="eastAsia"/>
              </w:rPr>
              <w:t>质量保证期：</w:t>
            </w:r>
            <w:r>
              <w:rPr>
                <w:rStyle w:val="11"/>
                <w:rFonts w:hint="eastAsia"/>
              </w:rPr>
              <w:t>2年</w:t>
            </w:r>
          </w:p>
        </w:tc>
      </w:tr>
      <w:tr w14:paraId="158FAED1">
        <w:tblPrEx>
          <w:tblCellMar>
            <w:top w:w="0" w:type="dxa"/>
            <w:left w:w="0" w:type="dxa"/>
            <w:bottom w:w="0" w:type="dxa"/>
            <w:right w:w="0" w:type="dxa"/>
          </w:tblCellMar>
        </w:tblPrEx>
        <w:trPr>
          <w:wBefore w:w="0" w:type="auto"/>
          <w:tblCellSpacing w:w="0" w:type="dxa"/>
        </w:trPr>
        <w:tc>
          <w:tcPr>
            <w:tcW w:w="0" w:type="auto"/>
            <w:noWrap w:val="0"/>
            <w:vAlign w:val="center"/>
          </w:tcPr>
          <w:p w14:paraId="6EEDB42B">
            <w:r>
              <w:rPr>
                <w:rStyle w:val="10"/>
                <w:rFonts w:hint="eastAsia"/>
              </w:rPr>
              <w:t>备注：</w:t>
            </w:r>
          </w:p>
        </w:tc>
      </w:tr>
    </w:tbl>
    <w:p w14:paraId="3007BCE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77CD001">
        <w:tblPrEx>
          <w:tblCellMar>
            <w:top w:w="0" w:type="dxa"/>
            <w:left w:w="0" w:type="dxa"/>
            <w:bottom w:w="0" w:type="dxa"/>
            <w:right w:w="0" w:type="dxa"/>
          </w:tblCellMar>
        </w:tblPrEx>
        <w:trPr>
          <w:wBefore w:w="0" w:type="auto"/>
          <w:tblCellSpacing w:w="0" w:type="dxa"/>
        </w:trPr>
        <w:tc>
          <w:tcPr>
            <w:tcW w:w="0" w:type="auto"/>
            <w:noWrap w:val="0"/>
            <w:vAlign w:val="center"/>
          </w:tcPr>
          <w:p w14:paraId="6DCEAD8F">
            <w:r>
              <w:rPr>
                <w:rStyle w:val="10"/>
                <w:rFonts w:hint="eastAsia"/>
              </w:rPr>
              <w:t>登记证号：</w:t>
            </w:r>
            <w:r>
              <w:rPr>
                <w:rFonts w:hint="eastAsia"/>
              </w:rPr>
              <w:t>PD20211935</w:t>
            </w:r>
          </w:p>
        </w:tc>
      </w:tr>
      <w:tr w14:paraId="510EBF84">
        <w:tblPrEx>
          <w:tblCellMar>
            <w:top w:w="0" w:type="dxa"/>
            <w:left w:w="0" w:type="dxa"/>
            <w:bottom w:w="0" w:type="dxa"/>
            <w:right w:w="0" w:type="dxa"/>
          </w:tblCellMar>
        </w:tblPrEx>
        <w:trPr>
          <w:wBefore w:w="0" w:type="auto"/>
          <w:tblCellSpacing w:w="0" w:type="dxa"/>
        </w:trPr>
        <w:tc>
          <w:tcPr>
            <w:tcW w:w="0" w:type="auto"/>
            <w:noWrap w:val="0"/>
            <w:vAlign w:val="center"/>
          </w:tcPr>
          <w:p w14:paraId="795B0D45">
            <w:r>
              <w:rPr>
                <w:rStyle w:val="10"/>
                <w:rFonts w:hint="eastAsia"/>
              </w:rPr>
              <w:t>登记证持有人：</w:t>
            </w:r>
            <w:r>
              <w:rPr>
                <w:rFonts w:hint="eastAsia"/>
              </w:rPr>
              <w:t>一帆生物科技集团有限公司</w:t>
            </w:r>
          </w:p>
        </w:tc>
      </w:tr>
      <w:tr w14:paraId="5EFD2C34">
        <w:tblPrEx>
          <w:tblCellMar>
            <w:top w:w="0" w:type="dxa"/>
            <w:left w:w="0" w:type="dxa"/>
            <w:bottom w:w="0" w:type="dxa"/>
            <w:right w:w="0" w:type="dxa"/>
          </w:tblCellMar>
        </w:tblPrEx>
        <w:trPr>
          <w:wBefore w:w="0" w:type="auto"/>
          <w:tblCellSpacing w:w="0" w:type="dxa"/>
        </w:trPr>
        <w:tc>
          <w:tcPr>
            <w:tcW w:w="0" w:type="auto"/>
            <w:noWrap w:val="0"/>
            <w:vAlign w:val="center"/>
          </w:tcPr>
          <w:p w14:paraId="6D879E3E">
            <w:r>
              <w:rPr>
                <w:rStyle w:val="10"/>
                <w:rFonts w:hint="eastAsia"/>
              </w:rPr>
              <w:t>农药名称：</w:t>
            </w:r>
            <w:r>
              <w:rPr>
                <w:rFonts w:hint="eastAsia"/>
              </w:rPr>
              <w:t>肟菌·戊唑醇</w:t>
            </w:r>
          </w:p>
        </w:tc>
      </w:tr>
      <w:tr w14:paraId="0679747B">
        <w:tblPrEx>
          <w:tblCellMar>
            <w:top w:w="0" w:type="dxa"/>
            <w:left w:w="0" w:type="dxa"/>
            <w:bottom w:w="0" w:type="dxa"/>
            <w:right w:w="0" w:type="dxa"/>
          </w:tblCellMar>
        </w:tblPrEx>
        <w:trPr>
          <w:wBefore w:w="0" w:type="auto"/>
          <w:tblCellSpacing w:w="0" w:type="dxa"/>
        </w:trPr>
        <w:tc>
          <w:tcPr>
            <w:tcW w:w="0" w:type="auto"/>
            <w:noWrap w:val="0"/>
            <w:vAlign w:val="center"/>
          </w:tcPr>
          <w:p w14:paraId="53ABF2A5">
            <w:r>
              <w:rPr>
                <w:rStyle w:val="10"/>
                <w:rFonts w:hint="eastAsia"/>
              </w:rPr>
              <w:t>剂型：</w:t>
            </w:r>
            <w:r>
              <w:rPr>
                <w:rFonts w:hint="eastAsia"/>
              </w:rPr>
              <w:t>水分散粒剂</w:t>
            </w:r>
          </w:p>
        </w:tc>
      </w:tr>
      <w:tr w14:paraId="4F79B582">
        <w:tblPrEx>
          <w:tblCellMar>
            <w:top w:w="0" w:type="dxa"/>
            <w:left w:w="0" w:type="dxa"/>
            <w:bottom w:w="0" w:type="dxa"/>
            <w:right w:w="0" w:type="dxa"/>
          </w:tblCellMar>
        </w:tblPrEx>
        <w:trPr>
          <w:wBefore w:w="0" w:type="auto"/>
          <w:tblCellSpacing w:w="0" w:type="dxa"/>
        </w:trPr>
        <w:tc>
          <w:tcPr>
            <w:tcW w:w="0" w:type="auto"/>
            <w:noWrap w:val="0"/>
            <w:vAlign w:val="center"/>
          </w:tcPr>
          <w:p w14:paraId="3AF50DA9">
            <w:r>
              <w:rPr>
                <w:rStyle w:val="10"/>
                <w:rFonts w:hint="eastAsia"/>
              </w:rPr>
              <w:t>毒性及其标识：</w:t>
            </w:r>
            <w:r>
              <w:rPr>
                <w:rFonts w:hint="eastAsia"/>
              </w:rPr>
              <w:t xml:space="preserve"> </w:t>
            </w:r>
            <w:r>
              <w:rPr>
                <w:lang/>
              </w:rPr>
              <w:drawing>
                <wp:inline distT="0" distB="0" distL="114300" distR="114300">
                  <wp:extent cx="476250" cy="323850"/>
                  <wp:effectExtent l="0" t="0" r="0" b="0"/>
                  <wp:docPr id="329" name="图片 32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592153">
        <w:tblPrEx>
          <w:tblCellMar>
            <w:top w:w="0" w:type="dxa"/>
            <w:left w:w="0" w:type="dxa"/>
            <w:bottom w:w="0" w:type="dxa"/>
            <w:right w:w="0" w:type="dxa"/>
          </w:tblCellMar>
        </w:tblPrEx>
        <w:trPr>
          <w:wBefore w:w="0" w:type="auto"/>
          <w:tblCellSpacing w:w="0" w:type="dxa"/>
        </w:trPr>
        <w:tc>
          <w:tcPr>
            <w:tcW w:w="0" w:type="auto"/>
            <w:noWrap w:val="0"/>
            <w:vAlign w:val="center"/>
          </w:tcPr>
          <w:p w14:paraId="43712800">
            <w:r>
              <w:rPr>
                <w:rStyle w:val="10"/>
                <w:rFonts w:hint="eastAsia"/>
              </w:rPr>
              <w:t>总有效成分含量：</w:t>
            </w:r>
            <w:r>
              <w:rPr>
                <w:rFonts w:hint="eastAsia"/>
              </w:rPr>
              <w:t>75%</w:t>
            </w:r>
          </w:p>
        </w:tc>
      </w:tr>
      <w:tr w14:paraId="7211637B">
        <w:tblPrEx>
          <w:tblCellMar>
            <w:top w:w="0" w:type="dxa"/>
            <w:left w:w="0" w:type="dxa"/>
            <w:bottom w:w="0" w:type="dxa"/>
            <w:right w:w="0" w:type="dxa"/>
          </w:tblCellMar>
        </w:tblPrEx>
        <w:trPr>
          <w:wBefore w:w="0" w:type="auto"/>
          <w:tblCellSpacing w:w="0" w:type="dxa"/>
        </w:trPr>
        <w:tc>
          <w:tcPr>
            <w:tcW w:w="0" w:type="auto"/>
            <w:noWrap w:val="0"/>
            <w:vAlign w:val="center"/>
          </w:tcPr>
          <w:p w14:paraId="13DD3FF0">
            <w:r>
              <w:rPr>
                <w:rFonts w:hint="eastAsia"/>
              </w:rPr>
              <w:t xml:space="preserve">有效成分及其含量： </w:t>
            </w:r>
          </w:p>
          <w:p w14:paraId="23F93918">
            <w:r>
              <w:rPr>
                <w:rFonts w:hint="eastAsia"/>
              </w:rPr>
              <w:t xml:space="preserve">    戊唑醇50%    肟菌酯25%    </w:t>
            </w:r>
          </w:p>
        </w:tc>
      </w:tr>
      <w:tr w14:paraId="065DE5EF">
        <w:tblPrEx>
          <w:tblCellMar>
            <w:top w:w="0" w:type="dxa"/>
            <w:left w:w="0" w:type="dxa"/>
            <w:bottom w:w="0" w:type="dxa"/>
            <w:right w:w="0" w:type="dxa"/>
          </w:tblCellMar>
        </w:tblPrEx>
        <w:trPr>
          <w:wBefore w:w="0" w:type="auto"/>
          <w:tblCellSpacing w:w="0" w:type="dxa"/>
        </w:trPr>
        <w:tc>
          <w:tcPr>
            <w:tcW w:w="0" w:type="auto"/>
            <w:noWrap w:val="0"/>
            <w:vAlign w:val="center"/>
          </w:tcPr>
          <w:p w14:paraId="3CFE7D1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D3B79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82909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440579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D48B0F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BC3E415">
                  <w:r>
                    <w:rPr>
                      <w:rStyle w:val="11"/>
                      <w:rFonts w:hint="eastAsia"/>
                    </w:rPr>
                    <w:t>施用方式</w:t>
                  </w:r>
                </w:p>
              </w:tc>
            </w:tr>
            <w:tr w14:paraId="7037D3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E6A3E10">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57A09A">
                  <w:r>
                    <w:rPr>
                      <w:rStyle w:val="11"/>
                      <w:rFonts w:hint="eastAsia"/>
                    </w:rPr>
                    <w:t>疮痂病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23ACA1">
                  <w:r>
                    <w:rPr>
                      <w:rStyle w:val="11"/>
                      <w:rFonts w:hint="eastAsia"/>
                    </w:rPr>
                    <w:t>4000-6000倍液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00AF4C">
                  <w:r>
                    <w:rPr>
                      <w:rStyle w:val="11"/>
                      <w:rFonts w:hint="eastAsia"/>
                    </w:rPr>
                    <w:t>喷雾</w:t>
                  </w:r>
                </w:p>
              </w:tc>
            </w:tr>
          </w:tbl>
          <w:p w14:paraId="7E9A7B9D">
            <w:pPr>
              <w:rPr>
                <w:rFonts w:ascii="Times New Roman" w:hAnsi="Times New Roman" w:cs="Times New Roman"/>
                <w:sz w:val="20"/>
                <w:szCs w:val="20"/>
              </w:rPr>
            </w:pPr>
          </w:p>
        </w:tc>
      </w:tr>
      <w:tr w14:paraId="4F32FDA0">
        <w:tblPrEx>
          <w:tblCellMar>
            <w:top w:w="0" w:type="dxa"/>
            <w:left w:w="0" w:type="dxa"/>
            <w:bottom w:w="0" w:type="dxa"/>
            <w:right w:w="0" w:type="dxa"/>
          </w:tblCellMar>
        </w:tblPrEx>
        <w:trPr>
          <w:wBefore w:w="0" w:type="auto"/>
          <w:tblCellSpacing w:w="0" w:type="dxa"/>
        </w:trPr>
        <w:tc>
          <w:tcPr>
            <w:tcW w:w="0" w:type="auto"/>
            <w:noWrap w:val="0"/>
            <w:vAlign w:val="center"/>
          </w:tcPr>
          <w:p w14:paraId="1B82C250">
            <w:r>
              <w:rPr>
                <w:rStyle w:val="10"/>
                <w:rFonts w:hint="eastAsia"/>
              </w:rPr>
              <w:t>使用技术要求:</w:t>
            </w:r>
            <w:r>
              <w:rPr>
                <w:rFonts w:hint="eastAsia"/>
              </w:rPr>
              <w:br w:type="textWrapping"/>
            </w:r>
            <w:r>
              <w:rPr>
                <w:rStyle w:val="11"/>
                <w:rFonts w:hint="eastAsia"/>
              </w:rPr>
              <w:t>1. 配制药液时，应采用农药标准稀释方法两步稀释法，先在小水桶中充分稀释推荐用量的本品，然后再倒入喷雾器中，搅拌混匀。 2. 果树根据冠层大小确定合适的用水量，在柑橘树疮痂病发病前或发病初期喷雾施药，施药2次，每次间隔10-14天。3. 大风天或预计1小时内降雨，请勿施药。4. 安全间隔期：柑橘为21天，每季最多施用次数： 2次。</w:t>
            </w:r>
          </w:p>
        </w:tc>
      </w:tr>
      <w:tr w14:paraId="19DE79B2">
        <w:tblPrEx>
          <w:tblCellMar>
            <w:top w:w="0" w:type="dxa"/>
            <w:left w:w="0" w:type="dxa"/>
            <w:bottom w:w="0" w:type="dxa"/>
            <w:right w:w="0" w:type="dxa"/>
          </w:tblCellMar>
        </w:tblPrEx>
        <w:trPr>
          <w:wBefore w:w="0" w:type="auto"/>
          <w:tblCellSpacing w:w="0" w:type="dxa"/>
        </w:trPr>
        <w:tc>
          <w:tcPr>
            <w:tcW w:w="0" w:type="auto"/>
            <w:noWrap w:val="0"/>
            <w:vAlign w:val="center"/>
          </w:tcPr>
          <w:p w14:paraId="27E7EDB3">
            <w:r>
              <w:rPr>
                <w:rStyle w:val="10"/>
                <w:rFonts w:hint="eastAsia"/>
              </w:rPr>
              <w:t>产品性能:</w:t>
            </w:r>
            <w:r>
              <w:rPr>
                <w:rFonts w:hint="eastAsia"/>
              </w:rPr>
              <w:br w:type="textWrapping"/>
            </w:r>
            <w:r>
              <w:rPr>
                <w:rStyle w:val="11"/>
                <w:rFonts w:hint="eastAsia"/>
              </w:rPr>
              <w:t>本品由甲氧基丙烯酸酯类杀菌剂肟菌酯和三唑类杀菌剂戊唑醇复配而成，既具有保护作用又具有治疗作用。该产品杀菌活性较高、内吸性较强、持效期较长、用于多种作物防治主要真菌病害。</w:t>
            </w:r>
          </w:p>
        </w:tc>
      </w:tr>
      <w:tr w14:paraId="19AA59E2">
        <w:tblPrEx>
          <w:tblCellMar>
            <w:top w:w="0" w:type="dxa"/>
            <w:left w:w="0" w:type="dxa"/>
            <w:bottom w:w="0" w:type="dxa"/>
            <w:right w:w="0" w:type="dxa"/>
          </w:tblCellMar>
        </w:tblPrEx>
        <w:trPr>
          <w:wBefore w:w="0" w:type="auto"/>
          <w:tblCellSpacing w:w="0" w:type="dxa"/>
        </w:trPr>
        <w:tc>
          <w:tcPr>
            <w:tcW w:w="0" w:type="auto"/>
            <w:noWrap w:val="0"/>
            <w:vAlign w:val="center"/>
          </w:tcPr>
          <w:p w14:paraId="3C5B0B87">
            <w:r>
              <w:rPr>
                <w:rStyle w:val="10"/>
                <w:rFonts w:hint="eastAsia"/>
              </w:rPr>
              <w:t>注意事项：</w:t>
            </w:r>
            <w:r>
              <w:rPr>
                <w:rFonts w:hint="eastAsia"/>
              </w:rPr>
              <w:br w:type="textWrapping"/>
            </w:r>
            <w:r>
              <w:rPr>
                <w:rStyle w:val="11"/>
                <w:rFonts w:hint="eastAsia"/>
              </w:rPr>
              <w:t>1. 药液及其废液不得污染各类水域、土壤等环境。 2. 本品对鱼类等水生生物有毒，远离水产养殖区、河塘等水体施药。禁止在河塘等水体中清洗施药器具。3. 配药和施药时，应戴防护镜、口罩和手套，穿防护服，操作本品时禁止饮食、吸烟和饮水。 4. 配药时应采用二次稀释法，空包装应三次清洗并砸烂或划破后妥善处理，切勿重复使用。5. 施药后应及时用肥皂和足量清水冲洗手部、面部和其它身体裸露部位以及受药剂污染的衣物等。 6. 本品对鸟类、家蚕风险性较高，蚕室及桑园附近禁用，鸟类保护区附近禁用。7. 用过的容器应妥善处理，不可做他用，也不可随意丢弃。8. 孕妇及哺乳期妇女禁止接触本品。</w:t>
            </w:r>
          </w:p>
        </w:tc>
      </w:tr>
      <w:tr w14:paraId="5A854F6E">
        <w:tblPrEx>
          <w:tblCellMar>
            <w:top w:w="0" w:type="dxa"/>
            <w:left w:w="0" w:type="dxa"/>
            <w:bottom w:w="0" w:type="dxa"/>
            <w:right w:w="0" w:type="dxa"/>
          </w:tblCellMar>
        </w:tblPrEx>
        <w:trPr>
          <w:wBefore w:w="0" w:type="auto"/>
          <w:tblCellSpacing w:w="0" w:type="dxa"/>
        </w:trPr>
        <w:tc>
          <w:tcPr>
            <w:tcW w:w="0" w:type="auto"/>
            <w:noWrap w:val="0"/>
            <w:vAlign w:val="center"/>
          </w:tcPr>
          <w:p w14:paraId="3DDBC128">
            <w:r>
              <w:rPr>
                <w:rStyle w:val="10"/>
                <w:rFonts w:hint="eastAsia"/>
              </w:rPr>
              <w:t>中毒急救措施：</w:t>
            </w:r>
            <w:r>
              <w:rPr>
                <w:rFonts w:hint="eastAsia"/>
              </w:rPr>
              <w:br w:type="textWrapping"/>
            </w:r>
            <w:r>
              <w:rPr>
                <w:rStyle w:val="11"/>
                <w:rFonts w:hint="eastAsia"/>
              </w:rPr>
              <w:t>1. 一般建议：将中毒者从危险区域转移，脱去受污染衣物并妥善处置，转移时需保持中毒者处于稳定的侧卧体位；2. 如皮肤接触：用肥皂和大量清水彻底清洗，如有条件，先用聚乙二醇400清洗再用清水冲洗，如仍有不适，应立即就医；3. 如误入眼睛：立即用大量清水冲洗至少15分钟；如戴隐形眼镜，先冲洗5分钟，摘掉眼镜后再继续冲洗，如仍有不适，应立即就医；4. 如误吸入：将患者移到空气新鲜处，使其保持温暖和休息，如仍有不适，应立即就医；5. 如误食：禁止催吐，用水漱口并立即携此标签就医；6. 无已知或预知的中毒症状，无特效解毒剂，建议医生根据患者症状对症治疗，大量吞食两小时内应考虑洗胃，可给服活性炭和硫酸钠。</w:t>
            </w:r>
          </w:p>
        </w:tc>
      </w:tr>
      <w:tr w14:paraId="790C78DF">
        <w:tblPrEx>
          <w:tblCellMar>
            <w:top w:w="0" w:type="dxa"/>
            <w:left w:w="0" w:type="dxa"/>
            <w:bottom w:w="0" w:type="dxa"/>
            <w:right w:w="0" w:type="dxa"/>
          </w:tblCellMar>
        </w:tblPrEx>
        <w:trPr>
          <w:wBefore w:w="0" w:type="auto"/>
          <w:tblCellSpacing w:w="0" w:type="dxa"/>
        </w:trPr>
        <w:tc>
          <w:tcPr>
            <w:tcW w:w="0" w:type="auto"/>
            <w:noWrap w:val="0"/>
            <w:vAlign w:val="center"/>
          </w:tcPr>
          <w:p w14:paraId="707EB22C">
            <w:r>
              <w:rPr>
                <w:rStyle w:val="10"/>
                <w:rFonts w:hint="eastAsia"/>
              </w:rPr>
              <w:t>储存和运输方法：</w:t>
            </w:r>
            <w:r>
              <w:rPr>
                <w:rFonts w:hint="eastAsia"/>
              </w:rPr>
              <w:br w:type="textWrapping"/>
            </w:r>
            <w:r>
              <w:rPr>
                <w:rStyle w:val="11"/>
                <w:rFonts w:hint="eastAsia"/>
              </w:rPr>
              <w:t>1. 本品应以原包装贮存于阴凉、干燥和通风处, 远离火源或热源；2. 不能与食品、饮料、粮食、饲料等混合储存和运输；3. 置于儿童、无关人员接触不到的地方，加锁保管；4. 运输时应注意防水防潮，避免雨淋；搬运时轻搬轻放，不可倒置。</w:t>
            </w:r>
          </w:p>
        </w:tc>
      </w:tr>
      <w:tr w14:paraId="18ACA53F">
        <w:tblPrEx>
          <w:tblCellMar>
            <w:top w:w="0" w:type="dxa"/>
            <w:left w:w="0" w:type="dxa"/>
            <w:bottom w:w="0" w:type="dxa"/>
            <w:right w:w="0" w:type="dxa"/>
          </w:tblCellMar>
        </w:tblPrEx>
        <w:trPr>
          <w:wBefore w:w="0" w:type="auto"/>
          <w:tblCellSpacing w:w="0" w:type="dxa"/>
        </w:trPr>
        <w:tc>
          <w:tcPr>
            <w:tcW w:w="0" w:type="auto"/>
            <w:noWrap w:val="0"/>
            <w:vAlign w:val="center"/>
          </w:tcPr>
          <w:p w14:paraId="6C7FF726">
            <w:r>
              <w:rPr>
                <w:rStyle w:val="10"/>
                <w:rFonts w:hint="eastAsia"/>
              </w:rPr>
              <w:t>质量保证期：</w:t>
            </w:r>
            <w:r>
              <w:rPr>
                <w:rStyle w:val="11"/>
                <w:rFonts w:hint="eastAsia"/>
              </w:rPr>
              <w:t>2年</w:t>
            </w:r>
          </w:p>
        </w:tc>
      </w:tr>
      <w:tr w14:paraId="36AB30B8">
        <w:tblPrEx>
          <w:tblCellMar>
            <w:top w:w="0" w:type="dxa"/>
            <w:left w:w="0" w:type="dxa"/>
            <w:bottom w:w="0" w:type="dxa"/>
            <w:right w:w="0" w:type="dxa"/>
          </w:tblCellMar>
        </w:tblPrEx>
        <w:trPr>
          <w:wBefore w:w="0" w:type="auto"/>
          <w:tblCellSpacing w:w="0" w:type="dxa"/>
        </w:trPr>
        <w:tc>
          <w:tcPr>
            <w:tcW w:w="0" w:type="auto"/>
            <w:noWrap w:val="0"/>
            <w:vAlign w:val="center"/>
          </w:tcPr>
          <w:p w14:paraId="4D99A65C">
            <w:r>
              <w:rPr>
                <w:rStyle w:val="10"/>
                <w:rFonts w:hint="eastAsia"/>
              </w:rPr>
              <w:t>备注：</w:t>
            </w:r>
          </w:p>
        </w:tc>
      </w:tr>
    </w:tbl>
    <w:p w14:paraId="43F7DDB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8E861EB">
        <w:tblPrEx>
          <w:tblCellMar>
            <w:top w:w="0" w:type="dxa"/>
            <w:left w:w="0" w:type="dxa"/>
            <w:bottom w:w="0" w:type="dxa"/>
            <w:right w:w="0" w:type="dxa"/>
          </w:tblCellMar>
        </w:tblPrEx>
        <w:trPr>
          <w:wBefore w:w="0" w:type="auto"/>
          <w:tblCellSpacing w:w="0" w:type="dxa"/>
        </w:trPr>
        <w:tc>
          <w:tcPr>
            <w:tcW w:w="0" w:type="auto"/>
            <w:noWrap w:val="0"/>
            <w:vAlign w:val="center"/>
          </w:tcPr>
          <w:p w14:paraId="22537492">
            <w:r>
              <w:rPr>
                <w:rStyle w:val="10"/>
                <w:rFonts w:hint="eastAsia"/>
              </w:rPr>
              <w:t>登记证号：</w:t>
            </w:r>
            <w:r>
              <w:rPr>
                <w:rFonts w:hint="eastAsia"/>
              </w:rPr>
              <w:t>PD20211817</w:t>
            </w:r>
          </w:p>
        </w:tc>
      </w:tr>
      <w:tr w14:paraId="3954F5CC">
        <w:tblPrEx>
          <w:tblCellMar>
            <w:top w:w="0" w:type="dxa"/>
            <w:left w:w="0" w:type="dxa"/>
            <w:bottom w:w="0" w:type="dxa"/>
            <w:right w:w="0" w:type="dxa"/>
          </w:tblCellMar>
        </w:tblPrEx>
        <w:trPr>
          <w:wBefore w:w="0" w:type="auto"/>
          <w:tblCellSpacing w:w="0" w:type="dxa"/>
        </w:trPr>
        <w:tc>
          <w:tcPr>
            <w:tcW w:w="0" w:type="auto"/>
            <w:noWrap w:val="0"/>
            <w:vAlign w:val="center"/>
          </w:tcPr>
          <w:p w14:paraId="2870C357">
            <w:r>
              <w:rPr>
                <w:rStyle w:val="10"/>
                <w:rFonts w:hint="eastAsia"/>
              </w:rPr>
              <w:t>登记证持有人：</w:t>
            </w:r>
            <w:r>
              <w:rPr>
                <w:rFonts w:hint="eastAsia"/>
              </w:rPr>
              <w:t>山东大农药业有限公司</w:t>
            </w:r>
          </w:p>
        </w:tc>
      </w:tr>
      <w:tr w14:paraId="5E80FFD7">
        <w:tblPrEx>
          <w:tblCellMar>
            <w:top w:w="0" w:type="dxa"/>
            <w:left w:w="0" w:type="dxa"/>
            <w:bottom w:w="0" w:type="dxa"/>
            <w:right w:w="0" w:type="dxa"/>
          </w:tblCellMar>
        </w:tblPrEx>
        <w:trPr>
          <w:wBefore w:w="0" w:type="auto"/>
          <w:tblCellSpacing w:w="0" w:type="dxa"/>
        </w:trPr>
        <w:tc>
          <w:tcPr>
            <w:tcW w:w="0" w:type="auto"/>
            <w:noWrap w:val="0"/>
            <w:vAlign w:val="center"/>
          </w:tcPr>
          <w:p w14:paraId="48CF8BF2">
            <w:r>
              <w:rPr>
                <w:rStyle w:val="10"/>
                <w:rFonts w:hint="eastAsia"/>
              </w:rPr>
              <w:t>农药名称：</w:t>
            </w:r>
            <w:r>
              <w:rPr>
                <w:rFonts w:hint="eastAsia"/>
              </w:rPr>
              <w:t>氟氯氰菊酯</w:t>
            </w:r>
          </w:p>
        </w:tc>
      </w:tr>
      <w:tr w14:paraId="2643F12C">
        <w:tblPrEx>
          <w:tblCellMar>
            <w:top w:w="0" w:type="dxa"/>
            <w:left w:w="0" w:type="dxa"/>
            <w:bottom w:w="0" w:type="dxa"/>
            <w:right w:w="0" w:type="dxa"/>
          </w:tblCellMar>
        </w:tblPrEx>
        <w:trPr>
          <w:wBefore w:w="0" w:type="auto"/>
          <w:tblCellSpacing w:w="0" w:type="dxa"/>
        </w:trPr>
        <w:tc>
          <w:tcPr>
            <w:tcW w:w="0" w:type="auto"/>
            <w:noWrap w:val="0"/>
            <w:vAlign w:val="center"/>
          </w:tcPr>
          <w:p w14:paraId="66E5D8BB">
            <w:r>
              <w:rPr>
                <w:rStyle w:val="10"/>
                <w:rFonts w:hint="eastAsia"/>
              </w:rPr>
              <w:t>剂型：</w:t>
            </w:r>
            <w:r>
              <w:rPr>
                <w:rFonts w:hint="eastAsia"/>
              </w:rPr>
              <w:t>颗粒剂</w:t>
            </w:r>
          </w:p>
        </w:tc>
      </w:tr>
      <w:tr w14:paraId="20554259">
        <w:tblPrEx>
          <w:tblCellMar>
            <w:top w:w="0" w:type="dxa"/>
            <w:left w:w="0" w:type="dxa"/>
            <w:bottom w:w="0" w:type="dxa"/>
            <w:right w:w="0" w:type="dxa"/>
          </w:tblCellMar>
        </w:tblPrEx>
        <w:trPr>
          <w:wBefore w:w="0" w:type="auto"/>
          <w:tblCellSpacing w:w="0" w:type="dxa"/>
        </w:trPr>
        <w:tc>
          <w:tcPr>
            <w:tcW w:w="0" w:type="auto"/>
            <w:noWrap w:val="0"/>
            <w:vAlign w:val="center"/>
          </w:tcPr>
          <w:p w14:paraId="713CD9FD">
            <w:r>
              <w:rPr>
                <w:rStyle w:val="10"/>
                <w:rFonts w:hint="eastAsia"/>
              </w:rPr>
              <w:t>毒性及其标识：</w:t>
            </w:r>
            <w:r>
              <w:rPr>
                <w:rFonts w:hint="eastAsia"/>
              </w:rPr>
              <w:t xml:space="preserve"> 微毒 </w:t>
            </w:r>
          </w:p>
        </w:tc>
      </w:tr>
      <w:tr w14:paraId="2D7D77C2">
        <w:tblPrEx>
          <w:tblCellMar>
            <w:top w:w="0" w:type="dxa"/>
            <w:left w:w="0" w:type="dxa"/>
            <w:bottom w:w="0" w:type="dxa"/>
            <w:right w:w="0" w:type="dxa"/>
          </w:tblCellMar>
        </w:tblPrEx>
        <w:trPr>
          <w:wBefore w:w="0" w:type="auto"/>
          <w:tblCellSpacing w:w="0" w:type="dxa"/>
        </w:trPr>
        <w:tc>
          <w:tcPr>
            <w:tcW w:w="0" w:type="auto"/>
            <w:noWrap w:val="0"/>
            <w:vAlign w:val="center"/>
          </w:tcPr>
          <w:p w14:paraId="7C969870">
            <w:r>
              <w:rPr>
                <w:rStyle w:val="10"/>
                <w:rFonts w:hint="eastAsia"/>
              </w:rPr>
              <w:t>总有效成分含量：</w:t>
            </w:r>
            <w:r>
              <w:rPr>
                <w:rFonts w:hint="eastAsia"/>
              </w:rPr>
              <w:t>2%</w:t>
            </w:r>
          </w:p>
        </w:tc>
      </w:tr>
      <w:tr w14:paraId="732C9A78">
        <w:tblPrEx>
          <w:tblCellMar>
            <w:top w:w="0" w:type="dxa"/>
            <w:left w:w="0" w:type="dxa"/>
            <w:bottom w:w="0" w:type="dxa"/>
            <w:right w:w="0" w:type="dxa"/>
          </w:tblCellMar>
        </w:tblPrEx>
        <w:trPr>
          <w:wBefore w:w="0" w:type="auto"/>
          <w:tblCellSpacing w:w="0" w:type="dxa"/>
        </w:trPr>
        <w:tc>
          <w:tcPr>
            <w:tcW w:w="0" w:type="auto"/>
            <w:noWrap w:val="0"/>
            <w:vAlign w:val="center"/>
          </w:tcPr>
          <w:p w14:paraId="2697E713">
            <w:r>
              <w:rPr>
                <w:rFonts w:hint="eastAsia"/>
              </w:rPr>
              <w:t xml:space="preserve">有效成分及其含量： </w:t>
            </w:r>
          </w:p>
          <w:p w14:paraId="61B06E57">
            <w:r>
              <w:rPr>
                <w:rFonts w:hint="eastAsia"/>
              </w:rPr>
              <w:t xml:space="preserve">    氟氯氰菊酯2%    </w:t>
            </w:r>
          </w:p>
        </w:tc>
      </w:tr>
      <w:tr w14:paraId="23EF62A8">
        <w:tblPrEx>
          <w:tblCellMar>
            <w:top w:w="0" w:type="dxa"/>
            <w:left w:w="0" w:type="dxa"/>
            <w:bottom w:w="0" w:type="dxa"/>
            <w:right w:w="0" w:type="dxa"/>
          </w:tblCellMar>
        </w:tblPrEx>
        <w:trPr>
          <w:wBefore w:w="0" w:type="auto"/>
          <w:tblCellSpacing w:w="0" w:type="dxa"/>
        </w:trPr>
        <w:tc>
          <w:tcPr>
            <w:tcW w:w="0" w:type="auto"/>
            <w:noWrap w:val="0"/>
            <w:vAlign w:val="center"/>
          </w:tcPr>
          <w:p w14:paraId="64A2BD9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FDFE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A65395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1E36EC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B371C7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E24EA91">
                  <w:r>
                    <w:rPr>
                      <w:rStyle w:val="11"/>
                      <w:rFonts w:hint="eastAsia"/>
                    </w:rPr>
                    <w:t>施用方式</w:t>
                  </w:r>
                </w:p>
              </w:tc>
            </w:tr>
            <w:tr w14:paraId="6F41B0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DDB2BE">
                  <w:r>
                    <w:rPr>
                      <w:rStyle w:val="11"/>
                      <w:rFonts w:hint="eastAsia"/>
                    </w:rPr>
                    <w:t>西瓜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7E7CFE">
                  <w:r>
                    <w:rPr>
                      <w:rStyle w:val="11"/>
                      <w:rFonts w:hint="eastAsia"/>
                    </w:rPr>
                    <w:t>蝼蛄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BB494B">
                  <w:r>
                    <w:rPr>
                      <w:rStyle w:val="11"/>
                      <w:rFonts w:hint="eastAsia"/>
                    </w:rPr>
                    <w:t>1000-2000克/亩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0BB7E1">
                  <w:r>
                    <w:rPr>
                      <w:rStyle w:val="11"/>
                      <w:rFonts w:hint="eastAsia"/>
                    </w:rPr>
                    <w:t>撒施</w:t>
                  </w:r>
                </w:p>
              </w:tc>
            </w:tr>
          </w:tbl>
          <w:p w14:paraId="31C37A23">
            <w:pPr>
              <w:rPr>
                <w:rFonts w:ascii="Times New Roman" w:hAnsi="Times New Roman" w:cs="Times New Roman"/>
                <w:sz w:val="20"/>
                <w:szCs w:val="20"/>
              </w:rPr>
            </w:pPr>
          </w:p>
        </w:tc>
      </w:tr>
      <w:tr w14:paraId="42C4FC89">
        <w:tblPrEx>
          <w:tblCellMar>
            <w:top w:w="0" w:type="dxa"/>
            <w:left w:w="0" w:type="dxa"/>
            <w:bottom w:w="0" w:type="dxa"/>
            <w:right w:w="0" w:type="dxa"/>
          </w:tblCellMar>
        </w:tblPrEx>
        <w:trPr>
          <w:wBefore w:w="0" w:type="auto"/>
          <w:tblCellSpacing w:w="0" w:type="dxa"/>
        </w:trPr>
        <w:tc>
          <w:tcPr>
            <w:tcW w:w="0" w:type="auto"/>
            <w:noWrap w:val="0"/>
            <w:vAlign w:val="center"/>
          </w:tcPr>
          <w:p w14:paraId="539880A6">
            <w:r>
              <w:rPr>
                <w:rStyle w:val="10"/>
                <w:rFonts w:hint="eastAsia"/>
              </w:rPr>
              <w:t>使用技术要求:</w:t>
            </w:r>
            <w:r>
              <w:rPr>
                <w:rFonts w:hint="eastAsia"/>
              </w:rPr>
              <w:br w:type="textWrapping"/>
            </w:r>
            <w:r>
              <w:rPr>
                <w:rStyle w:val="11"/>
                <w:rFonts w:hint="eastAsia"/>
              </w:rPr>
              <w:t>1. 西瓜定植起垄时撒施1次，药剂与适量细沙土混合均匀撒施后覆土。2. 每季最多使用1次。</w:t>
            </w:r>
          </w:p>
        </w:tc>
      </w:tr>
      <w:tr w14:paraId="338A017A">
        <w:tblPrEx>
          <w:tblCellMar>
            <w:top w:w="0" w:type="dxa"/>
            <w:left w:w="0" w:type="dxa"/>
            <w:bottom w:w="0" w:type="dxa"/>
            <w:right w:w="0" w:type="dxa"/>
          </w:tblCellMar>
        </w:tblPrEx>
        <w:trPr>
          <w:wBefore w:w="0" w:type="auto"/>
          <w:tblCellSpacing w:w="0" w:type="dxa"/>
        </w:trPr>
        <w:tc>
          <w:tcPr>
            <w:tcW w:w="0" w:type="auto"/>
            <w:noWrap w:val="0"/>
            <w:vAlign w:val="center"/>
          </w:tcPr>
          <w:p w14:paraId="1F768DBD">
            <w:r>
              <w:rPr>
                <w:rStyle w:val="10"/>
                <w:rFonts w:hint="eastAsia"/>
              </w:rPr>
              <w:t>产品性能:</w:t>
            </w:r>
            <w:r>
              <w:rPr>
                <w:rFonts w:hint="eastAsia"/>
              </w:rPr>
              <w:br w:type="textWrapping"/>
            </w:r>
            <w:r>
              <w:rPr>
                <w:rStyle w:val="11"/>
                <w:rFonts w:hint="eastAsia"/>
              </w:rPr>
              <w:t xml:space="preserve">氟氯氰菊酯具有触杀和胃毒作用，按推荐剂量使用时，对西瓜蝼蛄具有有较好的防治效果。 </w:t>
            </w:r>
          </w:p>
        </w:tc>
      </w:tr>
      <w:tr w14:paraId="6230FA3D">
        <w:tblPrEx>
          <w:tblCellMar>
            <w:top w:w="0" w:type="dxa"/>
            <w:left w:w="0" w:type="dxa"/>
            <w:bottom w:w="0" w:type="dxa"/>
            <w:right w:w="0" w:type="dxa"/>
          </w:tblCellMar>
        </w:tblPrEx>
        <w:trPr>
          <w:wBefore w:w="0" w:type="auto"/>
          <w:tblCellSpacing w:w="0" w:type="dxa"/>
        </w:trPr>
        <w:tc>
          <w:tcPr>
            <w:tcW w:w="0" w:type="auto"/>
            <w:noWrap w:val="0"/>
            <w:vAlign w:val="center"/>
          </w:tcPr>
          <w:p w14:paraId="42B7BD5E">
            <w:r>
              <w:rPr>
                <w:rStyle w:val="10"/>
                <w:rFonts w:hint="eastAsia"/>
              </w:rPr>
              <w:t>注意事项：</w:t>
            </w:r>
            <w:r>
              <w:rPr>
                <w:rFonts w:hint="eastAsia"/>
              </w:rPr>
              <w:br w:type="textWrapping"/>
            </w:r>
            <w:r>
              <w:rPr>
                <w:rStyle w:val="11"/>
                <w:rFonts w:hint="eastAsia"/>
              </w:rPr>
              <w:t>1. 使用时穿戴长衣、长裤、帽子、口罩、手套等安全防护措施。不得外露皮肤，严禁吸烟及饮食；施用后及时清洗身体、用过的器具和污染的衣物，废液禁止排入河塘等水域。2.本品对蜜蜂、家蚕有毒，施药期间应避免对周围蜂群的影响，周围开花作物花期、蚕室和桑园附近禁用。使用时密切关注对附近蜂群的影响。赤眼蜂等天敌放飞区禁用。 3. 用过的容器应妥善处理，不可做他用，也不可随意丢弃。4. 远离水产养殖区、河塘等水体施药，禁止在河塘等水域清洗施药器具。避免药液及其废液污染水源地。5. 建议与作用机制不同的杀虫剂轮换使用，以延缓抗性产生。6. 孕妇及哺乳期妇女避免接触。</w:t>
            </w:r>
          </w:p>
        </w:tc>
      </w:tr>
      <w:tr w14:paraId="45ABE50F">
        <w:tblPrEx>
          <w:tblCellMar>
            <w:top w:w="0" w:type="dxa"/>
            <w:left w:w="0" w:type="dxa"/>
            <w:bottom w:w="0" w:type="dxa"/>
            <w:right w:w="0" w:type="dxa"/>
          </w:tblCellMar>
        </w:tblPrEx>
        <w:trPr>
          <w:wBefore w:w="0" w:type="auto"/>
          <w:tblCellSpacing w:w="0" w:type="dxa"/>
        </w:trPr>
        <w:tc>
          <w:tcPr>
            <w:tcW w:w="0" w:type="auto"/>
            <w:noWrap w:val="0"/>
            <w:vAlign w:val="center"/>
          </w:tcPr>
          <w:p w14:paraId="71AD11AF">
            <w:r>
              <w:rPr>
                <w:rStyle w:val="10"/>
                <w:rFonts w:hint="eastAsia"/>
              </w:rPr>
              <w:t>中毒急救措施：</w:t>
            </w:r>
            <w:r>
              <w:rPr>
                <w:rFonts w:hint="eastAsia"/>
              </w:rPr>
              <w:br w:type="textWrapping"/>
            </w:r>
            <w:r>
              <w:rPr>
                <w:rStyle w:val="11"/>
                <w:rFonts w:hint="eastAsia"/>
              </w:rPr>
              <w:t>不慎接触到皮肤或溅入眼睛，用大量水清洗皮肤或眼睛至少15分钟。不慎吸入，应将病人移至空气流通处；如病人停止呼吸，应立即进行人工呼吸。误服后未经医生允许，切勿催吐，如病人可吞咽，可适量饮水。中毒后，应立即携标签就医。</w:t>
            </w:r>
          </w:p>
        </w:tc>
      </w:tr>
      <w:tr w14:paraId="1AEE7C57">
        <w:tblPrEx>
          <w:tblCellMar>
            <w:top w:w="0" w:type="dxa"/>
            <w:left w:w="0" w:type="dxa"/>
            <w:bottom w:w="0" w:type="dxa"/>
            <w:right w:w="0" w:type="dxa"/>
          </w:tblCellMar>
        </w:tblPrEx>
        <w:trPr>
          <w:wBefore w:w="0" w:type="auto"/>
          <w:tblCellSpacing w:w="0" w:type="dxa"/>
        </w:trPr>
        <w:tc>
          <w:tcPr>
            <w:tcW w:w="0" w:type="auto"/>
            <w:noWrap w:val="0"/>
            <w:vAlign w:val="center"/>
          </w:tcPr>
          <w:p w14:paraId="51BCC8B9">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7913F069">
        <w:tblPrEx>
          <w:tblCellMar>
            <w:top w:w="0" w:type="dxa"/>
            <w:left w:w="0" w:type="dxa"/>
            <w:bottom w:w="0" w:type="dxa"/>
            <w:right w:w="0" w:type="dxa"/>
          </w:tblCellMar>
        </w:tblPrEx>
        <w:trPr>
          <w:wBefore w:w="0" w:type="auto"/>
          <w:tblCellSpacing w:w="0" w:type="dxa"/>
        </w:trPr>
        <w:tc>
          <w:tcPr>
            <w:tcW w:w="0" w:type="auto"/>
            <w:noWrap w:val="0"/>
            <w:vAlign w:val="center"/>
          </w:tcPr>
          <w:p w14:paraId="63956721">
            <w:r>
              <w:rPr>
                <w:rStyle w:val="10"/>
                <w:rFonts w:hint="eastAsia"/>
              </w:rPr>
              <w:t>质量保证期：</w:t>
            </w:r>
            <w:r>
              <w:rPr>
                <w:rStyle w:val="11"/>
                <w:rFonts w:hint="eastAsia"/>
              </w:rPr>
              <w:t>2年</w:t>
            </w:r>
          </w:p>
        </w:tc>
      </w:tr>
      <w:tr w14:paraId="258BEACB">
        <w:tblPrEx>
          <w:tblCellMar>
            <w:top w:w="0" w:type="dxa"/>
            <w:left w:w="0" w:type="dxa"/>
            <w:bottom w:w="0" w:type="dxa"/>
            <w:right w:w="0" w:type="dxa"/>
          </w:tblCellMar>
        </w:tblPrEx>
        <w:trPr>
          <w:wBefore w:w="0" w:type="auto"/>
          <w:tblCellSpacing w:w="0" w:type="dxa"/>
        </w:trPr>
        <w:tc>
          <w:tcPr>
            <w:tcW w:w="0" w:type="auto"/>
            <w:noWrap w:val="0"/>
            <w:vAlign w:val="center"/>
          </w:tcPr>
          <w:p w14:paraId="6FD1C7B6">
            <w:r>
              <w:rPr>
                <w:rStyle w:val="10"/>
                <w:rFonts w:hint="eastAsia"/>
              </w:rPr>
              <w:t>备注：</w:t>
            </w:r>
          </w:p>
        </w:tc>
      </w:tr>
    </w:tbl>
    <w:p w14:paraId="33F9AD8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6818D17">
        <w:tblPrEx>
          <w:tblCellMar>
            <w:top w:w="0" w:type="dxa"/>
            <w:left w:w="0" w:type="dxa"/>
            <w:bottom w:w="0" w:type="dxa"/>
            <w:right w:w="0" w:type="dxa"/>
          </w:tblCellMar>
        </w:tblPrEx>
        <w:trPr>
          <w:wBefore w:w="0" w:type="auto"/>
          <w:tblCellSpacing w:w="0" w:type="dxa"/>
        </w:trPr>
        <w:tc>
          <w:tcPr>
            <w:tcW w:w="0" w:type="auto"/>
            <w:noWrap w:val="0"/>
            <w:vAlign w:val="center"/>
          </w:tcPr>
          <w:p w14:paraId="2A38D560">
            <w:r>
              <w:rPr>
                <w:rStyle w:val="10"/>
                <w:rFonts w:hint="eastAsia"/>
              </w:rPr>
              <w:t>登记证号：</w:t>
            </w:r>
            <w:r>
              <w:rPr>
                <w:rFonts w:hint="eastAsia"/>
              </w:rPr>
              <w:t>WP20210227</w:t>
            </w:r>
          </w:p>
        </w:tc>
      </w:tr>
      <w:tr w14:paraId="38BCA0C5">
        <w:tblPrEx>
          <w:tblCellMar>
            <w:top w:w="0" w:type="dxa"/>
            <w:left w:w="0" w:type="dxa"/>
            <w:bottom w:w="0" w:type="dxa"/>
            <w:right w:w="0" w:type="dxa"/>
          </w:tblCellMar>
        </w:tblPrEx>
        <w:trPr>
          <w:wBefore w:w="0" w:type="auto"/>
          <w:tblCellSpacing w:w="0" w:type="dxa"/>
        </w:trPr>
        <w:tc>
          <w:tcPr>
            <w:tcW w:w="0" w:type="auto"/>
            <w:noWrap w:val="0"/>
            <w:vAlign w:val="center"/>
          </w:tcPr>
          <w:p w14:paraId="277BC06D">
            <w:r>
              <w:rPr>
                <w:rStyle w:val="10"/>
                <w:rFonts w:hint="eastAsia"/>
              </w:rPr>
              <w:t>登记证持有人：</w:t>
            </w:r>
            <w:r>
              <w:rPr>
                <w:rFonts w:hint="eastAsia"/>
              </w:rPr>
              <w:t>江苏功成生物科技有限公司</w:t>
            </w:r>
          </w:p>
        </w:tc>
      </w:tr>
      <w:tr w14:paraId="1EE9FFD6">
        <w:tblPrEx>
          <w:tblCellMar>
            <w:top w:w="0" w:type="dxa"/>
            <w:left w:w="0" w:type="dxa"/>
            <w:bottom w:w="0" w:type="dxa"/>
            <w:right w:w="0" w:type="dxa"/>
          </w:tblCellMar>
        </w:tblPrEx>
        <w:trPr>
          <w:wBefore w:w="0" w:type="auto"/>
          <w:tblCellSpacing w:w="0" w:type="dxa"/>
        </w:trPr>
        <w:tc>
          <w:tcPr>
            <w:tcW w:w="0" w:type="auto"/>
            <w:noWrap w:val="0"/>
            <w:vAlign w:val="center"/>
          </w:tcPr>
          <w:p w14:paraId="27402721">
            <w:r>
              <w:rPr>
                <w:rStyle w:val="10"/>
                <w:rFonts w:hint="eastAsia"/>
              </w:rPr>
              <w:t>农药名称：</w:t>
            </w:r>
            <w:r>
              <w:rPr>
                <w:rFonts w:hint="eastAsia"/>
              </w:rPr>
              <w:t>高氯氰·氯丙炔</w:t>
            </w:r>
          </w:p>
        </w:tc>
      </w:tr>
      <w:tr w14:paraId="73B62739">
        <w:tblPrEx>
          <w:tblCellMar>
            <w:top w:w="0" w:type="dxa"/>
            <w:left w:w="0" w:type="dxa"/>
            <w:bottom w:w="0" w:type="dxa"/>
            <w:right w:w="0" w:type="dxa"/>
          </w:tblCellMar>
        </w:tblPrEx>
        <w:trPr>
          <w:wBefore w:w="0" w:type="auto"/>
          <w:tblCellSpacing w:w="0" w:type="dxa"/>
        </w:trPr>
        <w:tc>
          <w:tcPr>
            <w:tcW w:w="0" w:type="auto"/>
            <w:noWrap w:val="0"/>
            <w:vAlign w:val="center"/>
          </w:tcPr>
          <w:p w14:paraId="15CDC389">
            <w:r>
              <w:rPr>
                <w:rStyle w:val="10"/>
                <w:rFonts w:hint="eastAsia"/>
              </w:rPr>
              <w:t>剂型：</w:t>
            </w:r>
            <w:r>
              <w:rPr>
                <w:rFonts w:hint="eastAsia"/>
              </w:rPr>
              <w:t>乳油</w:t>
            </w:r>
          </w:p>
        </w:tc>
      </w:tr>
      <w:tr w14:paraId="757305B0">
        <w:tblPrEx>
          <w:tblCellMar>
            <w:top w:w="0" w:type="dxa"/>
            <w:left w:w="0" w:type="dxa"/>
            <w:bottom w:w="0" w:type="dxa"/>
            <w:right w:w="0" w:type="dxa"/>
          </w:tblCellMar>
        </w:tblPrEx>
        <w:trPr>
          <w:wBefore w:w="0" w:type="auto"/>
          <w:tblCellSpacing w:w="0" w:type="dxa"/>
        </w:trPr>
        <w:tc>
          <w:tcPr>
            <w:tcW w:w="0" w:type="auto"/>
            <w:noWrap w:val="0"/>
            <w:vAlign w:val="center"/>
          </w:tcPr>
          <w:p w14:paraId="2AED4BD0">
            <w:r>
              <w:rPr>
                <w:rStyle w:val="10"/>
                <w:rFonts w:hint="eastAsia"/>
              </w:rPr>
              <w:t>毒性及其标识：</w:t>
            </w:r>
            <w:r>
              <w:rPr>
                <w:rFonts w:hint="eastAsia"/>
              </w:rPr>
              <w:t xml:space="preserve"> </w:t>
            </w:r>
            <w:r>
              <w:rPr>
                <w:lang/>
              </w:rPr>
              <w:drawing>
                <wp:inline distT="0" distB="0" distL="114300" distR="114300">
                  <wp:extent cx="476250" cy="323850"/>
                  <wp:effectExtent l="0" t="0" r="0" b="0"/>
                  <wp:docPr id="330" name="图片 33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FEB75FE">
        <w:tblPrEx>
          <w:tblCellMar>
            <w:top w:w="0" w:type="dxa"/>
            <w:left w:w="0" w:type="dxa"/>
            <w:bottom w:w="0" w:type="dxa"/>
            <w:right w:w="0" w:type="dxa"/>
          </w:tblCellMar>
        </w:tblPrEx>
        <w:trPr>
          <w:wBefore w:w="0" w:type="auto"/>
          <w:tblCellSpacing w:w="0" w:type="dxa"/>
        </w:trPr>
        <w:tc>
          <w:tcPr>
            <w:tcW w:w="0" w:type="auto"/>
            <w:noWrap w:val="0"/>
            <w:vAlign w:val="center"/>
          </w:tcPr>
          <w:p w14:paraId="7A47EF57">
            <w:r>
              <w:rPr>
                <w:rStyle w:val="10"/>
                <w:rFonts w:hint="eastAsia"/>
              </w:rPr>
              <w:t>总有效成分含量：</w:t>
            </w:r>
            <w:r>
              <w:rPr>
                <w:rFonts w:hint="eastAsia"/>
              </w:rPr>
              <w:t>3%</w:t>
            </w:r>
          </w:p>
        </w:tc>
      </w:tr>
      <w:tr w14:paraId="6B347900">
        <w:tblPrEx>
          <w:tblCellMar>
            <w:top w:w="0" w:type="dxa"/>
            <w:left w:w="0" w:type="dxa"/>
            <w:bottom w:w="0" w:type="dxa"/>
            <w:right w:w="0" w:type="dxa"/>
          </w:tblCellMar>
        </w:tblPrEx>
        <w:trPr>
          <w:wBefore w:w="0" w:type="auto"/>
          <w:tblCellSpacing w:w="0" w:type="dxa"/>
        </w:trPr>
        <w:tc>
          <w:tcPr>
            <w:tcW w:w="0" w:type="auto"/>
            <w:noWrap w:val="0"/>
            <w:vAlign w:val="center"/>
          </w:tcPr>
          <w:p w14:paraId="2AAAB2B4">
            <w:r>
              <w:rPr>
                <w:rFonts w:hint="eastAsia"/>
              </w:rPr>
              <w:t xml:space="preserve">有效成分及其含量： </w:t>
            </w:r>
          </w:p>
          <w:p w14:paraId="685A3FDE">
            <w:r>
              <w:rPr>
                <w:rFonts w:hint="eastAsia"/>
              </w:rPr>
              <w:t xml:space="preserve">    高效氯氰菊酯2.8%    右旋反式氯丙炔菊酯0.2%    </w:t>
            </w:r>
          </w:p>
        </w:tc>
      </w:tr>
      <w:tr w14:paraId="67BFA15F">
        <w:tblPrEx>
          <w:tblCellMar>
            <w:top w:w="0" w:type="dxa"/>
            <w:left w:w="0" w:type="dxa"/>
            <w:bottom w:w="0" w:type="dxa"/>
            <w:right w:w="0" w:type="dxa"/>
          </w:tblCellMar>
        </w:tblPrEx>
        <w:trPr>
          <w:wBefore w:w="0" w:type="auto"/>
          <w:tblCellSpacing w:w="0" w:type="dxa"/>
        </w:trPr>
        <w:tc>
          <w:tcPr>
            <w:tcW w:w="0" w:type="auto"/>
            <w:noWrap w:val="0"/>
            <w:vAlign w:val="center"/>
          </w:tcPr>
          <w:p w14:paraId="79D96EF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743BF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DA5675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B6E567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35F209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26355C0">
                  <w:r>
                    <w:rPr>
                      <w:rStyle w:val="11"/>
                      <w:rFonts w:hint="eastAsia"/>
                    </w:rPr>
                    <w:t>施用方式</w:t>
                  </w:r>
                </w:p>
              </w:tc>
            </w:tr>
            <w:tr w14:paraId="335C13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3EC476D">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F778EA">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EB2E16">
                  <w:r>
                    <w:rPr>
                      <w:rStyle w:val="11"/>
                      <w:rFonts w:hint="eastAsia"/>
                    </w:rPr>
                    <w:t>50微升/平方米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44CD39">
                  <w:r>
                    <w:rPr>
                      <w:rStyle w:val="11"/>
                      <w:rFonts w:hint="eastAsia"/>
                    </w:rPr>
                    <w:t>喷雾</w:t>
                  </w:r>
                </w:p>
              </w:tc>
            </w:tr>
            <w:tr w14:paraId="13F6E8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75528A9">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6D7C86">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667F50">
                  <w:r>
                    <w:rPr>
                      <w:rStyle w:val="11"/>
                      <w:rFonts w:hint="eastAsia"/>
                    </w:rPr>
                    <w:t>50微升/平方米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806EC0">
                  <w:r>
                    <w:rPr>
                      <w:rStyle w:val="11"/>
                      <w:rFonts w:hint="eastAsia"/>
                    </w:rPr>
                    <w:t>喷雾</w:t>
                  </w:r>
                </w:p>
              </w:tc>
            </w:tr>
          </w:tbl>
          <w:p w14:paraId="3924E464">
            <w:pPr>
              <w:rPr>
                <w:rFonts w:ascii="Times New Roman" w:hAnsi="Times New Roman" w:cs="Times New Roman"/>
                <w:sz w:val="20"/>
                <w:szCs w:val="20"/>
              </w:rPr>
            </w:pPr>
          </w:p>
        </w:tc>
      </w:tr>
      <w:tr w14:paraId="7781EF4A">
        <w:tblPrEx>
          <w:tblCellMar>
            <w:top w:w="0" w:type="dxa"/>
            <w:left w:w="0" w:type="dxa"/>
            <w:bottom w:w="0" w:type="dxa"/>
            <w:right w:w="0" w:type="dxa"/>
          </w:tblCellMar>
        </w:tblPrEx>
        <w:trPr>
          <w:wBefore w:w="0" w:type="auto"/>
          <w:tblCellSpacing w:w="0" w:type="dxa"/>
        </w:trPr>
        <w:tc>
          <w:tcPr>
            <w:tcW w:w="0" w:type="auto"/>
            <w:noWrap w:val="0"/>
            <w:vAlign w:val="center"/>
          </w:tcPr>
          <w:p w14:paraId="432F4931">
            <w:r>
              <w:rPr>
                <w:rStyle w:val="10"/>
                <w:rFonts w:hint="eastAsia"/>
              </w:rPr>
              <w:t>使用技术要求:</w:t>
            </w:r>
            <w:r>
              <w:rPr>
                <w:rFonts w:hint="eastAsia"/>
              </w:rPr>
              <w:br w:type="textWrapping"/>
            </w:r>
            <w:r>
              <w:rPr>
                <w:rStyle w:val="11"/>
                <w:rFonts w:hint="eastAsia"/>
              </w:rPr>
              <w:t xml:space="preserve">本品兑水50倍稀释后喷雾使用。具体稀释倍数可根据施药器械的性能和施药环境做适当调整。 </w:t>
            </w:r>
          </w:p>
        </w:tc>
      </w:tr>
      <w:tr w14:paraId="7DC46CFC">
        <w:tblPrEx>
          <w:tblCellMar>
            <w:top w:w="0" w:type="dxa"/>
            <w:left w:w="0" w:type="dxa"/>
            <w:bottom w:w="0" w:type="dxa"/>
            <w:right w:w="0" w:type="dxa"/>
          </w:tblCellMar>
        </w:tblPrEx>
        <w:trPr>
          <w:wBefore w:w="0" w:type="auto"/>
          <w:tblCellSpacing w:w="0" w:type="dxa"/>
        </w:trPr>
        <w:tc>
          <w:tcPr>
            <w:tcW w:w="0" w:type="auto"/>
            <w:noWrap w:val="0"/>
            <w:vAlign w:val="center"/>
          </w:tcPr>
          <w:p w14:paraId="05F6C7ED">
            <w:r>
              <w:rPr>
                <w:rStyle w:val="10"/>
                <w:rFonts w:hint="eastAsia"/>
              </w:rPr>
              <w:t>产品性能:</w:t>
            </w:r>
            <w:r>
              <w:rPr>
                <w:rFonts w:hint="eastAsia"/>
              </w:rPr>
              <w:br w:type="textWrapping"/>
            </w:r>
            <w:r>
              <w:rPr>
                <w:rStyle w:val="11"/>
                <w:rFonts w:hint="eastAsia"/>
              </w:rPr>
              <w:t xml:space="preserve">本品为拟除虫菊酯类复配卫生杀虫剂，能有效防治蚊、蝇卫生害虫。适用于室外绿化带、竹林、灌木丛、污水沟、垃圾堆放点、垃圾中转站、垃圾场等场所。 </w:t>
            </w:r>
          </w:p>
        </w:tc>
      </w:tr>
      <w:tr w14:paraId="2B45B59F">
        <w:tblPrEx>
          <w:tblCellMar>
            <w:top w:w="0" w:type="dxa"/>
            <w:left w:w="0" w:type="dxa"/>
            <w:bottom w:w="0" w:type="dxa"/>
            <w:right w:w="0" w:type="dxa"/>
          </w:tblCellMar>
        </w:tblPrEx>
        <w:trPr>
          <w:wBefore w:w="0" w:type="auto"/>
          <w:tblCellSpacing w:w="0" w:type="dxa"/>
        </w:trPr>
        <w:tc>
          <w:tcPr>
            <w:tcW w:w="0" w:type="auto"/>
            <w:noWrap w:val="0"/>
            <w:vAlign w:val="center"/>
          </w:tcPr>
          <w:p w14:paraId="50DC5CFD">
            <w:r>
              <w:rPr>
                <w:rStyle w:val="10"/>
                <w:rFonts w:hint="eastAsia"/>
              </w:rPr>
              <w:t>注意事项：</w:t>
            </w:r>
            <w:r>
              <w:rPr>
                <w:rFonts w:hint="eastAsia"/>
              </w:rPr>
              <w:br w:type="textWrapping"/>
            </w:r>
            <w:r>
              <w:rPr>
                <w:rStyle w:val="11"/>
                <w:rFonts w:hint="eastAsia"/>
              </w:rPr>
              <w:t>1.使用本品时应采取安全防护措施，穿防护服（长衣、长裤）、胶鞋；戴好口罩和面罩、手套等，避免药雾吸入或接触人体。施药期间不可饮食，施药后及时清洗暴露部位皮肤并更换衣物。 2.本品对鱼类、蚕、蜜蜂有毒，远离水产养殖区及河塘等水域施药，禁止在河塘等水体中清洗施药器具。施药期间应避免对周围蜂群的影响，开花植物花期、蚕室和桑园附近禁用。 3.切勿向人体、食物喷洒。 4.用过的包装物应妥善处理，不可做它用，也不可随意丢弃。 5.敏感体质人士、孕妇及哺乳期妇女请远离本品。过敏者禁用。使用中有任何不良反应，请及时就医。 6.本品应避免与氧化剂接触。 7.本品仅限室外使用。</w:t>
            </w:r>
          </w:p>
        </w:tc>
      </w:tr>
      <w:tr w14:paraId="2DEE29C8">
        <w:tblPrEx>
          <w:tblCellMar>
            <w:top w:w="0" w:type="dxa"/>
            <w:left w:w="0" w:type="dxa"/>
            <w:bottom w:w="0" w:type="dxa"/>
            <w:right w:w="0" w:type="dxa"/>
          </w:tblCellMar>
        </w:tblPrEx>
        <w:trPr>
          <w:wBefore w:w="0" w:type="auto"/>
          <w:tblCellSpacing w:w="0" w:type="dxa"/>
        </w:trPr>
        <w:tc>
          <w:tcPr>
            <w:tcW w:w="0" w:type="auto"/>
            <w:noWrap w:val="0"/>
            <w:vAlign w:val="center"/>
          </w:tcPr>
          <w:p w14:paraId="1D916F3B">
            <w:r>
              <w:rPr>
                <w:rStyle w:val="10"/>
                <w:rFonts w:hint="eastAsia"/>
              </w:rPr>
              <w:t>中毒急救措施：</w:t>
            </w:r>
            <w:r>
              <w:rPr>
                <w:rFonts w:hint="eastAsia"/>
              </w:rPr>
              <w:br w:type="textWrapping"/>
            </w:r>
            <w:r>
              <w:rPr>
                <w:rStyle w:val="11"/>
                <w:rFonts w:hint="eastAsia"/>
              </w:rPr>
              <w:t xml:space="preserve">本品对眼睛、皮肤有刺激性。若药剂沾染皮肤或眼睛，请即用大量清水冲洗至少15分钟。若不慎吸入，请立即转移至空气清新处。若误食、中毒或使用中有任何不良反应，立即携标签就医，对症治疗。 </w:t>
            </w:r>
          </w:p>
        </w:tc>
      </w:tr>
      <w:tr w14:paraId="3687DF84">
        <w:tblPrEx>
          <w:tblCellMar>
            <w:top w:w="0" w:type="dxa"/>
            <w:left w:w="0" w:type="dxa"/>
            <w:bottom w:w="0" w:type="dxa"/>
            <w:right w:w="0" w:type="dxa"/>
          </w:tblCellMar>
        </w:tblPrEx>
        <w:trPr>
          <w:wBefore w:w="0" w:type="auto"/>
          <w:tblCellSpacing w:w="0" w:type="dxa"/>
        </w:trPr>
        <w:tc>
          <w:tcPr>
            <w:tcW w:w="0" w:type="auto"/>
            <w:noWrap w:val="0"/>
            <w:vAlign w:val="center"/>
          </w:tcPr>
          <w:p w14:paraId="3A7664A6">
            <w:r>
              <w:rPr>
                <w:rStyle w:val="10"/>
                <w:rFonts w:hint="eastAsia"/>
              </w:rPr>
              <w:t>储存和运输方法：</w:t>
            </w:r>
            <w:r>
              <w:rPr>
                <w:rFonts w:hint="eastAsia"/>
              </w:rPr>
              <w:br w:type="textWrapping"/>
            </w:r>
            <w:r>
              <w:rPr>
                <w:rStyle w:val="11"/>
                <w:rFonts w:hint="eastAsia"/>
              </w:rPr>
              <w:t>·本品应贮存于阴凉、干燥、通风、避光处，并远离火源或热源存放。 ·应置于儿童及宠物触及不到之处，并加锁。 ·运输时，请防雨淋、高温，注意轻拿轻放，不得损坏包装。 ·请勿与食品、饮料、种子、饲料、粮食等同贮同运。</w:t>
            </w:r>
          </w:p>
        </w:tc>
      </w:tr>
      <w:tr w14:paraId="79DBF3B5">
        <w:tblPrEx>
          <w:tblCellMar>
            <w:top w:w="0" w:type="dxa"/>
            <w:left w:w="0" w:type="dxa"/>
            <w:bottom w:w="0" w:type="dxa"/>
            <w:right w:w="0" w:type="dxa"/>
          </w:tblCellMar>
        </w:tblPrEx>
        <w:trPr>
          <w:wBefore w:w="0" w:type="auto"/>
          <w:tblCellSpacing w:w="0" w:type="dxa"/>
        </w:trPr>
        <w:tc>
          <w:tcPr>
            <w:tcW w:w="0" w:type="auto"/>
            <w:noWrap w:val="0"/>
            <w:vAlign w:val="center"/>
          </w:tcPr>
          <w:p w14:paraId="33C25D78">
            <w:r>
              <w:rPr>
                <w:rStyle w:val="10"/>
                <w:rFonts w:hint="eastAsia"/>
              </w:rPr>
              <w:t>质量保证期：</w:t>
            </w:r>
            <w:r>
              <w:rPr>
                <w:rStyle w:val="11"/>
                <w:rFonts w:hint="eastAsia"/>
              </w:rPr>
              <w:t>2年</w:t>
            </w:r>
          </w:p>
        </w:tc>
      </w:tr>
      <w:tr w14:paraId="2785D631">
        <w:tblPrEx>
          <w:tblCellMar>
            <w:top w:w="0" w:type="dxa"/>
            <w:left w:w="0" w:type="dxa"/>
            <w:bottom w:w="0" w:type="dxa"/>
            <w:right w:w="0" w:type="dxa"/>
          </w:tblCellMar>
        </w:tblPrEx>
        <w:trPr>
          <w:wBefore w:w="0" w:type="auto"/>
          <w:tblCellSpacing w:w="0" w:type="dxa"/>
        </w:trPr>
        <w:tc>
          <w:tcPr>
            <w:tcW w:w="0" w:type="auto"/>
            <w:noWrap w:val="0"/>
            <w:vAlign w:val="center"/>
          </w:tcPr>
          <w:p w14:paraId="3DB2B29D">
            <w:r>
              <w:rPr>
                <w:rStyle w:val="10"/>
                <w:rFonts w:hint="eastAsia"/>
              </w:rPr>
              <w:t>备注：</w:t>
            </w:r>
          </w:p>
        </w:tc>
      </w:tr>
    </w:tbl>
    <w:p w14:paraId="4291B13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0DF942">
        <w:tblPrEx>
          <w:tblCellMar>
            <w:top w:w="0" w:type="dxa"/>
            <w:left w:w="0" w:type="dxa"/>
            <w:bottom w:w="0" w:type="dxa"/>
            <w:right w:w="0" w:type="dxa"/>
          </w:tblCellMar>
        </w:tblPrEx>
        <w:trPr>
          <w:wBefore w:w="0" w:type="auto"/>
          <w:tblCellSpacing w:w="0" w:type="dxa"/>
        </w:trPr>
        <w:tc>
          <w:tcPr>
            <w:tcW w:w="0" w:type="auto"/>
            <w:noWrap w:val="0"/>
            <w:vAlign w:val="center"/>
          </w:tcPr>
          <w:p w14:paraId="072485E4">
            <w:r>
              <w:rPr>
                <w:rStyle w:val="10"/>
                <w:rFonts w:hint="eastAsia"/>
              </w:rPr>
              <w:t>登记证号：</w:t>
            </w:r>
            <w:r>
              <w:rPr>
                <w:rFonts w:hint="eastAsia"/>
              </w:rPr>
              <w:t>PD20212014</w:t>
            </w:r>
          </w:p>
        </w:tc>
      </w:tr>
      <w:tr w14:paraId="38FEC418">
        <w:tblPrEx>
          <w:tblCellMar>
            <w:top w:w="0" w:type="dxa"/>
            <w:left w:w="0" w:type="dxa"/>
            <w:bottom w:w="0" w:type="dxa"/>
            <w:right w:w="0" w:type="dxa"/>
          </w:tblCellMar>
        </w:tblPrEx>
        <w:trPr>
          <w:wBefore w:w="0" w:type="auto"/>
          <w:tblCellSpacing w:w="0" w:type="dxa"/>
        </w:trPr>
        <w:tc>
          <w:tcPr>
            <w:tcW w:w="0" w:type="auto"/>
            <w:noWrap w:val="0"/>
            <w:vAlign w:val="center"/>
          </w:tcPr>
          <w:p w14:paraId="23820939">
            <w:r>
              <w:rPr>
                <w:rStyle w:val="10"/>
                <w:rFonts w:hint="eastAsia"/>
              </w:rPr>
              <w:t>登记证持有人：</w:t>
            </w:r>
            <w:r>
              <w:rPr>
                <w:rFonts w:hint="eastAsia"/>
              </w:rPr>
              <w:t>山东曹达化工有限公司</w:t>
            </w:r>
          </w:p>
        </w:tc>
      </w:tr>
      <w:tr w14:paraId="702FD824">
        <w:tblPrEx>
          <w:tblCellMar>
            <w:top w:w="0" w:type="dxa"/>
            <w:left w:w="0" w:type="dxa"/>
            <w:bottom w:w="0" w:type="dxa"/>
            <w:right w:w="0" w:type="dxa"/>
          </w:tblCellMar>
        </w:tblPrEx>
        <w:trPr>
          <w:wBefore w:w="0" w:type="auto"/>
          <w:tblCellSpacing w:w="0" w:type="dxa"/>
        </w:trPr>
        <w:tc>
          <w:tcPr>
            <w:tcW w:w="0" w:type="auto"/>
            <w:noWrap w:val="0"/>
            <w:vAlign w:val="center"/>
          </w:tcPr>
          <w:p w14:paraId="62FFD199">
            <w:r>
              <w:rPr>
                <w:rStyle w:val="10"/>
                <w:rFonts w:hint="eastAsia"/>
              </w:rPr>
              <w:t>农药名称：</w:t>
            </w:r>
            <w:r>
              <w:rPr>
                <w:rFonts w:hint="eastAsia"/>
              </w:rPr>
              <w:t>肟菌·戊唑醇</w:t>
            </w:r>
          </w:p>
        </w:tc>
      </w:tr>
      <w:tr w14:paraId="2B7606A4">
        <w:tblPrEx>
          <w:tblCellMar>
            <w:top w:w="0" w:type="dxa"/>
            <w:left w:w="0" w:type="dxa"/>
            <w:bottom w:w="0" w:type="dxa"/>
            <w:right w:w="0" w:type="dxa"/>
          </w:tblCellMar>
        </w:tblPrEx>
        <w:trPr>
          <w:wBefore w:w="0" w:type="auto"/>
          <w:tblCellSpacing w:w="0" w:type="dxa"/>
        </w:trPr>
        <w:tc>
          <w:tcPr>
            <w:tcW w:w="0" w:type="auto"/>
            <w:noWrap w:val="0"/>
            <w:vAlign w:val="center"/>
          </w:tcPr>
          <w:p w14:paraId="4945E6E7">
            <w:r>
              <w:rPr>
                <w:rStyle w:val="10"/>
                <w:rFonts w:hint="eastAsia"/>
              </w:rPr>
              <w:t>剂型：</w:t>
            </w:r>
            <w:r>
              <w:rPr>
                <w:rFonts w:hint="eastAsia"/>
              </w:rPr>
              <w:t>悬浮剂</w:t>
            </w:r>
          </w:p>
        </w:tc>
      </w:tr>
      <w:tr w14:paraId="375E16CE">
        <w:tblPrEx>
          <w:tblCellMar>
            <w:top w:w="0" w:type="dxa"/>
            <w:left w:w="0" w:type="dxa"/>
            <w:bottom w:w="0" w:type="dxa"/>
            <w:right w:w="0" w:type="dxa"/>
          </w:tblCellMar>
        </w:tblPrEx>
        <w:trPr>
          <w:wBefore w:w="0" w:type="auto"/>
          <w:tblCellSpacing w:w="0" w:type="dxa"/>
        </w:trPr>
        <w:tc>
          <w:tcPr>
            <w:tcW w:w="0" w:type="auto"/>
            <w:noWrap w:val="0"/>
            <w:vAlign w:val="center"/>
          </w:tcPr>
          <w:p w14:paraId="5BF24F70">
            <w:r>
              <w:rPr>
                <w:rStyle w:val="10"/>
                <w:rFonts w:hint="eastAsia"/>
              </w:rPr>
              <w:t>毒性及其标识：</w:t>
            </w:r>
            <w:r>
              <w:rPr>
                <w:rFonts w:hint="eastAsia"/>
              </w:rPr>
              <w:t xml:space="preserve"> </w:t>
            </w:r>
            <w:r>
              <w:rPr>
                <w:lang/>
              </w:rPr>
              <w:drawing>
                <wp:inline distT="0" distB="0" distL="114300" distR="114300">
                  <wp:extent cx="476250" cy="323850"/>
                  <wp:effectExtent l="0" t="0" r="0" b="0"/>
                  <wp:docPr id="331" name="图片 33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350CEF2">
        <w:tblPrEx>
          <w:tblCellMar>
            <w:top w:w="0" w:type="dxa"/>
            <w:left w:w="0" w:type="dxa"/>
            <w:bottom w:w="0" w:type="dxa"/>
            <w:right w:w="0" w:type="dxa"/>
          </w:tblCellMar>
        </w:tblPrEx>
        <w:trPr>
          <w:wBefore w:w="0" w:type="auto"/>
          <w:tblCellSpacing w:w="0" w:type="dxa"/>
        </w:trPr>
        <w:tc>
          <w:tcPr>
            <w:tcW w:w="0" w:type="auto"/>
            <w:noWrap w:val="0"/>
            <w:vAlign w:val="center"/>
          </w:tcPr>
          <w:p w14:paraId="554617AB">
            <w:r>
              <w:rPr>
                <w:rStyle w:val="10"/>
                <w:rFonts w:hint="eastAsia"/>
              </w:rPr>
              <w:t>总有效成分含量：</w:t>
            </w:r>
            <w:r>
              <w:rPr>
                <w:rFonts w:hint="eastAsia"/>
              </w:rPr>
              <w:t>30%</w:t>
            </w:r>
          </w:p>
        </w:tc>
      </w:tr>
      <w:tr w14:paraId="4A103471">
        <w:tblPrEx>
          <w:tblCellMar>
            <w:top w:w="0" w:type="dxa"/>
            <w:left w:w="0" w:type="dxa"/>
            <w:bottom w:w="0" w:type="dxa"/>
            <w:right w:w="0" w:type="dxa"/>
          </w:tblCellMar>
        </w:tblPrEx>
        <w:trPr>
          <w:wBefore w:w="0" w:type="auto"/>
          <w:tblCellSpacing w:w="0" w:type="dxa"/>
        </w:trPr>
        <w:tc>
          <w:tcPr>
            <w:tcW w:w="0" w:type="auto"/>
            <w:noWrap w:val="0"/>
            <w:vAlign w:val="center"/>
          </w:tcPr>
          <w:p w14:paraId="76F64640">
            <w:r>
              <w:rPr>
                <w:rFonts w:hint="eastAsia"/>
              </w:rPr>
              <w:t xml:space="preserve">有效成分及其含量： </w:t>
            </w:r>
          </w:p>
          <w:p w14:paraId="74CED776">
            <w:r>
              <w:rPr>
                <w:rFonts w:hint="eastAsia"/>
              </w:rPr>
              <w:t xml:space="preserve">    肟菌酯10%    戊唑醇20%    </w:t>
            </w:r>
          </w:p>
        </w:tc>
      </w:tr>
      <w:tr w14:paraId="28F66A5A">
        <w:tblPrEx>
          <w:tblCellMar>
            <w:top w:w="0" w:type="dxa"/>
            <w:left w:w="0" w:type="dxa"/>
            <w:bottom w:w="0" w:type="dxa"/>
            <w:right w:w="0" w:type="dxa"/>
          </w:tblCellMar>
        </w:tblPrEx>
        <w:trPr>
          <w:wBefore w:w="0" w:type="auto"/>
          <w:tblCellSpacing w:w="0" w:type="dxa"/>
        </w:trPr>
        <w:tc>
          <w:tcPr>
            <w:tcW w:w="0" w:type="auto"/>
            <w:noWrap w:val="0"/>
            <w:vAlign w:val="center"/>
          </w:tcPr>
          <w:p w14:paraId="5AB360A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5FFF7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DA152B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2E46A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BC1E95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042E6D1">
                  <w:r>
                    <w:rPr>
                      <w:rStyle w:val="11"/>
                      <w:rFonts w:hint="eastAsia"/>
                    </w:rPr>
                    <w:t>施用方式</w:t>
                  </w:r>
                </w:p>
              </w:tc>
            </w:tr>
            <w:tr w14:paraId="34F060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D1190EE">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FA0477">
                  <w:r>
                    <w:rPr>
                      <w:rStyle w:val="11"/>
                      <w:rFonts w:hint="eastAsia"/>
                    </w:rPr>
                    <w:t>稻瘟病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B40CDA">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89E1F5">
                  <w:r>
                    <w:rPr>
                      <w:rStyle w:val="11"/>
                      <w:rFonts w:hint="eastAsia"/>
                    </w:rPr>
                    <w:t>喷雾</w:t>
                  </w:r>
                </w:p>
              </w:tc>
            </w:tr>
          </w:tbl>
          <w:p w14:paraId="32C620EB">
            <w:pPr>
              <w:rPr>
                <w:rFonts w:ascii="Times New Roman" w:hAnsi="Times New Roman" w:cs="Times New Roman"/>
                <w:sz w:val="20"/>
                <w:szCs w:val="20"/>
              </w:rPr>
            </w:pPr>
          </w:p>
        </w:tc>
      </w:tr>
      <w:tr w14:paraId="1382E696">
        <w:tblPrEx>
          <w:tblCellMar>
            <w:top w:w="0" w:type="dxa"/>
            <w:left w:w="0" w:type="dxa"/>
            <w:bottom w:w="0" w:type="dxa"/>
            <w:right w:w="0" w:type="dxa"/>
          </w:tblCellMar>
        </w:tblPrEx>
        <w:trPr>
          <w:wBefore w:w="0" w:type="auto"/>
          <w:tblCellSpacing w:w="0" w:type="dxa"/>
        </w:trPr>
        <w:tc>
          <w:tcPr>
            <w:tcW w:w="0" w:type="auto"/>
            <w:noWrap w:val="0"/>
            <w:vAlign w:val="center"/>
          </w:tcPr>
          <w:p w14:paraId="7BDACE72">
            <w:r>
              <w:rPr>
                <w:rStyle w:val="10"/>
                <w:rFonts w:hint="eastAsia"/>
              </w:rPr>
              <w:t>使用技术要求:</w:t>
            </w:r>
            <w:r>
              <w:rPr>
                <w:rFonts w:hint="eastAsia"/>
              </w:rPr>
              <w:br w:type="textWrapping"/>
            </w:r>
            <w:r>
              <w:rPr>
                <w:rStyle w:val="11"/>
                <w:rFonts w:hint="eastAsia"/>
              </w:rPr>
              <w:t>于水稻稻瘟病发病前或发病初期喷雾施药，施药2-3次，每次间隔7-10天。使用前充分摇匀。 大风天或预计1小时内降雨，请勿施药。本品安全间隔期为21天，每季最多使用3次。</w:t>
            </w:r>
          </w:p>
        </w:tc>
      </w:tr>
      <w:tr w14:paraId="3BAD9F9F">
        <w:tblPrEx>
          <w:tblCellMar>
            <w:top w:w="0" w:type="dxa"/>
            <w:left w:w="0" w:type="dxa"/>
            <w:bottom w:w="0" w:type="dxa"/>
            <w:right w:w="0" w:type="dxa"/>
          </w:tblCellMar>
        </w:tblPrEx>
        <w:trPr>
          <w:wBefore w:w="0" w:type="auto"/>
          <w:tblCellSpacing w:w="0" w:type="dxa"/>
        </w:trPr>
        <w:tc>
          <w:tcPr>
            <w:tcW w:w="0" w:type="auto"/>
            <w:noWrap w:val="0"/>
            <w:vAlign w:val="center"/>
          </w:tcPr>
          <w:p w14:paraId="2FE53E44">
            <w:r>
              <w:rPr>
                <w:rStyle w:val="10"/>
                <w:rFonts w:hint="eastAsia"/>
              </w:rPr>
              <w:t>产品性能:</w:t>
            </w:r>
            <w:r>
              <w:rPr>
                <w:rFonts w:hint="eastAsia"/>
              </w:rPr>
              <w:br w:type="textWrapping"/>
            </w:r>
            <w:r>
              <w:rPr>
                <w:rStyle w:val="11"/>
                <w:rFonts w:hint="eastAsia"/>
              </w:rPr>
              <w:t>本品为三唑类与甲氧基丙烯酸类杀菌剂复配制剂，通过抑制麦角甾醇的生物合成及抑制线粒体呼吸而干扰病菌的正常生长，对植物病原菌的孢子形成有抑制作用。具有内吸性，施药后能被植物迅速吸收。</w:t>
            </w:r>
          </w:p>
        </w:tc>
      </w:tr>
      <w:tr w14:paraId="483BB493">
        <w:tblPrEx>
          <w:tblCellMar>
            <w:top w:w="0" w:type="dxa"/>
            <w:left w:w="0" w:type="dxa"/>
            <w:bottom w:w="0" w:type="dxa"/>
            <w:right w:w="0" w:type="dxa"/>
          </w:tblCellMar>
        </w:tblPrEx>
        <w:trPr>
          <w:wBefore w:w="0" w:type="auto"/>
          <w:tblCellSpacing w:w="0" w:type="dxa"/>
        </w:trPr>
        <w:tc>
          <w:tcPr>
            <w:tcW w:w="0" w:type="auto"/>
            <w:noWrap w:val="0"/>
            <w:vAlign w:val="center"/>
          </w:tcPr>
          <w:p w14:paraId="6B0FE852">
            <w:r>
              <w:rPr>
                <w:rStyle w:val="10"/>
                <w:rFonts w:hint="eastAsia"/>
              </w:rPr>
              <w:t>注意事项：</w:t>
            </w:r>
            <w:r>
              <w:rPr>
                <w:rFonts w:hint="eastAsia"/>
              </w:rPr>
              <w:br w:type="textWrapping"/>
            </w:r>
            <w:r>
              <w:rPr>
                <w:rStyle w:val="11"/>
                <w:rFonts w:hint="eastAsia"/>
              </w:rPr>
              <w:t>1、施药期间不可吃东西和饮水。施药后应及时洗手和洗脸； 2、施药后剩余的药液和空容器要妥善处理，不得留做它用。不要因处理废药液而污染水源和水系，注意不要污染食物和饲料； 3、鱼或虾蟹套养稻田禁用，施药后的田水不得直接排入河流、池塘等水体； 4、禁止在鸟类保护区附近使用。禁止在蚕室及桑园附近使用； 5、悬浮剂如放置时间较长出现分层时应先摇匀后使用； 6、孕妇及哺乳期妇女禁止接触本品。 7、远离水产养殖区、河塘等水体施药；禁止在河塘等水体中清洗施药器具。8、本品避免与氧化剂接触。</w:t>
            </w:r>
          </w:p>
        </w:tc>
      </w:tr>
      <w:tr w14:paraId="4A060A4C">
        <w:tblPrEx>
          <w:tblCellMar>
            <w:top w:w="0" w:type="dxa"/>
            <w:left w:w="0" w:type="dxa"/>
            <w:bottom w:w="0" w:type="dxa"/>
            <w:right w:w="0" w:type="dxa"/>
          </w:tblCellMar>
        </w:tblPrEx>
        <w:trPr>
          <w:wBefore w:w="0" w:type="auto"/>
          <w:tblCellSpacing w:w="0" w:type="dxa"/>
        </w:trPr>
        <w:tc>
          <w:tcPr>
            <w:tcW w:w="0" w:type="auto"/>
            <w:noWrap w:val="0"/>
            <w:vAlign w:val="center"/>
          </w:tcPr>
          <w:p w14:paraId="5782577B">
            <w:r>
              <w:rPr>
                <w:rStyle w:val="10"/>
                <w:rFonts w:hint="eastAsia"/>
              </w:rPr>
              <w:t>中毒急救措施：</w:t>
            </w:r>
            <w:r>
              <w:rPr>
                <w:rFonts w:hint="eastAsia"/>
              </w:rPr>
              <w:br w:type="textWrapping"/>
            </w:r>
            <w:r>
              <w:rPr>
                <w:rStyle w:val="11"/>
                <w:rFonts w:hint="eastAsia"/>
              </w:rPr>
              <w:t>该产品对眼睛有刺激性，使用时避免接触眼睛。 中毒无特别症状，无专用解毒剂，对症治疗。如不慎吸入，迅速脱离现场至空气新鲜处，保持呼吸道通畅；皮肤接触，脱掉被污染的衣物，用肥皂和大量清水冲洗；眼睛溅入药液，立即将眼睑翻开，用清水至少冲洗15分钟；误服，立即携带此标签送医就诊。紧急医疗措施：可用医疗活性炭洗胃。注意对昏迷病人，切勿经口喂入任何东西或引吐。</w:t>
            </w:r>
          </w:p>
        </w:tc>
      </w:tr>
      <w:tr w14:paraId="199BF614">
        <w:tblPrEx>
          <w:tblCellMar>
            <w:top w:w="0" w:type="dxa"/>
            <w:left w:w="0" w:type="dxa"/>
            <w:bottom w:w="0" w:type="dxa"/>
            <w:right w:w="0" w:type="dxa"/>
          </w:tblCellMar>
        </w:tblPrEx>
        <w:trPr>
          <w:wBefore w:w="0" w:type="auto"/>
          <w:tblCellSpacing w:w="0" w:type="dxa"/>
        </w:trPr>
        <w:tc>
          <w:tcPr>
            <w:tcW w:w="0" w:type="auto"/>
            <w:noWrap w:val="0"/>
            <w:vAlign w:val="center"/>
          </w:tcPr>
          <w:p w14:paraId="481B3298">
            <w:r>
              <w:rPr>
                <w:rStyle w:val="10"/>
                <w:rFonts w:hint="eastAsia"/>
              </w:rPr>
              <w:t>储存和运输方法：</w:t>
            </w:r>
            <w:r>
              <w:rPr>
                <w:rFonts w:hint="eastAsia"/>
              </w:rPr>
              <w:br w:type="textWrapping"/>
            </w:r>
            <w:r>
              <w:rPr>
                <w:rStyle w:val="11"/>
                <w:rFonts w:hint="eastAsia"/>
              </w:rPr>
              <w:t>本品应贮存在避光、干燥、通风、防雨处并加锁。远离儿童、不能与食品、饮料、粮食、饲料等同贮同运。运输过程中要确保包装完好。</w:t>
            </w:r>
          </w:p>
        </w:tc>
      </w:tr>
      <w:tr w14:paraId="69636DF4">
        <w:tblPrEx>
          <w:tblCellMar>
            <w:top w:w="0" w:type="dxa"/>
            <w:left w:w="0" w:type="dxa"/>
            <w:bottom w:w="0" w:type="dxa"/>
            <w:right w:w="0" w:type="dxa"/>
          </w:tblCellMar>
        </w:tblPrEx>
        <w:trPr>
          <w:wBefore w:w="0" w:type="auto"/>
          <w:tblCellSpacing w:w="0" w:type="dxa"/>
        </w:trPr>
        <w:tc>
          <w:tcPr>
            <w:tcW w:w="0" w:type="auto"/>
            <w:noWrap w:val="0"/>
            <w:vAlign w:val="center"/>
          </w:tcPr>
          <w:p w14:paraId="60F790E3">
            <w:r>
              <w:rPr>
                <w:rStyle w:val="10"/>
                <w:rFonts w:hint="eastAsia"/>
              </w:rPr>
              <w:t>质量保证期：</w:t>
            </w:r>
            <w:r>
              <w:rPr>
                <w:rStyle w:val="11"/>
                <w:rFonts w:hint="eastAsia"/>
              </w:rPr>
              <w:t>2年</w:t>
            </w:r>
          </w:p>
        </w:tc>
      </w:tr>
      <w:tr w14:paraId="1A6BAACB">
        <w:tblPrEx>
          <w:tblCellMar>
            <w:top w:w="0" w:type="dxa"/>
            <w:left w:w="0" w:type="dxa"/>
            <w:bottom w:w="0" w:type="dxa"/>
            <w:right w:w="0" w:type="dxa"/>
          </w:tblCellMar>
        </w:tblPrEx>
        <w:trPr>
          <w:wBefore w:w="0" w:type="auto"/>
          <w:tblCellSpacing w:w="0" w:type="dxa"/>
        </w:trPr>
        <w:tc>
          <w:tcPr>
            <w:tcW w:w="0" w:type="auto"/>
            <w:noWrap w:val="0"/>
            <w:vAlign w:val="center"/>
          </w:tcPr>
          <w:p w14:paraId="4502D494">
            <w:r>
              <w:rPr>
                <w:rStyle w:val="10"/>
                <w:rFonts w:hint="eastAsia"/>
              </w:rPr>
              <w:t>备注：</w:t>
            </w:r>
          </w:p>
        </w:tc>
      </w:tr>
    </w:tbl>
    <w:p w14:paraId="4A66EDE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1331951">
        <w:tblPrEx>
          <w:tblCellMar>
            <w:top w:w="0" w:type="dxa"/>
            <w:left w:w="0" w:type="dxa"/>
            <w:bottom w:w="0" w:type="dxa"/>
            <w:right w:w="0" w:type="dxa"/>
          </w:tblCellMar>
        </w:tblPrEx>
        <w:trPr>
          <w:wBefore w:w="0" w:type="auto"/>
          <w:tblCellSpacing w:w="0" w:type="dxa"/>
        </w:trPr>
        <w:tc>
          <w:tcPr>
            <w:tcW w:w="0" w:type="auto"/>
            <w:noWrap w:val="0"/>
            <w:vAlign w:val="center"/>
          </w:tcPr>
          <w:p w14:paraId="5A09B604">
            <w:r>
              <w:rPr>
                <w:rStyle w:val="10"/>
                <w:rFonts w:hint="eastAsia"/>
              </w:rPr>
              <w:t>登记证号：</w:t>
            </w:r>
            <w:r>
              <w:rPr>
                <w:rFonts w:hint="eastAsia"/>
              </w:rPr>
              <w:t>PD20212211</w:t>
            </w:r>
          </w:p>
        </w:tc>
      </w:tr>
      <w:tr w14:paraId="11E8E65E">
        <w:tblPrEx>
          <w:tblCellMar>
            <w:top w:w="0" w:type="dxa"/>
            <w:left w:w="0" w:type="dxa"/>
            <w:bottom w:w="0" w:type="dxa"/>
            <w:right w:w="0" w:type="dxa"/>
          </w:tblCellMar>
        </w:tblPrEx>
        <w:trPr>
          <w:wBefore w:w="0" w:type="auto"/>
          <w:tblCellSpacing w:w="0" w:type="dxa"/>
        </w:trPr>
        <w:tc>
          <w:tcPr>
            <w:tcW w:w="0" w:type="auto"/>
            <w:noWrap w:val="0"/>
            <w:vAlign w:val="center"/>
          </w:tcPr>
          <w:p w14:paraId="7AAFE202">
            <w:r>
              <w:rPr>
                <w:rStyle w:val="10"/>
                <w:rFonts w:hint="eastAsia"/>
              </w:rPr>
              <w:t>登记证持有人：</w:t>
            </w:r>
            <w:r>
              <w:rPr>
                <w:rFonts w:hint="eastAsia"/>
              </w:rPr>
              <w:t>四川百事东旺生物科技有限公司</w:t>
            </w:r>
          </w:p>
        </w:tc>
      </w:tr>
      <w:tr w14:paraId="6F9A0903">
        <w:tblPrEx>
          <w:tblCellMar>
            <w:top w:w="0" w:type="dxa"/>
            <w:left w:w="0" w:type="dxa"/>
            <w:bottom w:w="0" w:type="dxa"/>
            <w:right w:w="0" w:type="dxa"/>
          </w:tblCellMar>
        </w:tblPrEx>
        <w:trPr>
          <w:wBefore w:w="0" w:type="auto"/>
          <w:tblCellSpacing w:w="0" w:type="dxa"/>
        </w:trPr>
        <w:tc>
          <w:tcPr>
            <w:tcW w:w="0" w:type="auto"/>
            <w:noWrap w:val="0"/>
            <w:vAlign w:val="center"/>
          </w:tcPr>
          <w:p w14:paraId="594B923F">
            <w:r>
              <w:rPr>
                <w:rStyle w:val="10"/>
                <w:rFonts w:hint="eastAsia"/>
              </w:rPr>
              <w:t>农药名称：</w:t>
            </w:r>
            <w:r>
              <w:rPr>
                <w:rFonts w:hint="eastAsia"/>
              </w:rPr>
              <w:t>环嗪酮</w:t>
            </w:r>
          </w:p>
        </w:tc>
      </w:tr>
      <w:tr w14:paraId="372816A6">
        <w:tblPrEx>
          <w:tblCellMar>
            <w:top w:w="0" w:type="dxa"/>
            <w:left w:w="0" w:type="dxa"/>
            <w:bottom w:w="0" w:type="dxa"/>
            <w:right w:w="0" w:type="dxa"/>
          </w:tblCellMar>
        </w:tblPrEx>
        <w:trPr>
          <w:wBefore w:w="0" w:type="auto"/>
          <w:tblCellSpacing w:w="0" w:type="dxa"/>
        </w:trPr>
        <w:tc>
          <w:tcPr>
            <w:tcW w:w="0" w:type="auto"/>
            <w:noWrap w:val="0"/>
            <w:vAlign w:val="center"/>
          </w:tcPr>
          <w:p w14:paraId="7B99F5B3">
            <w:r>
              <w:rPr>
                <w:rStyle w:val="10"/>
                <w:rFonts w:hint="eastAsia"/>
              </w:rPr>
              <w:t>剂型：</w:t>
            </w:r>
            <w:r>
              <w:rPr>
                <w:rFonts w:hint="eastAsia"/>
              </w:rPr>
              <w:t>可溶液剂</w:t>
            </w:r>
          </w:p>
        </w:tc>
      </w:tr>
      <w:tr w14:paraId="5617F922">
        <w:tblPrEx>
          <w:tblCellMar>
            <w:top w:w="0" w:type="dxa"/>
            <w:left w:w="0" w:type="dxa"/>
            <w:bottom w:w="0" w:type="dxa"/>
            <w:right w:w="0" w:type="dxa"/>
          </w:tblCellMar>
        </w:tblPrEx>
        <w:trPr>
          <w:wBefore w:w="0" w:type="auto"/>
          <w:tblCellSpacing w:w="0" w:type="dxa"/>
        </w:trPr>
        <w:tc>
          <w:tcPr>
            <w:tcW w:w="0" w:type="auto"/>
            <w:noWrap w:val="0"/>
            <w:vAlign w:val="center"/>
          </w:tcPr>
          <w:p w14:paraId="1665699B">
            <w:r>
              <w:rPr>
                <w:rStyle w:val="10"/>
                <w:rFonts w:hint="eastAsia"/>
              </w:rPr>
              <w:t>毒性及其标识：</w:t>
            </w:r>
            <w:r>
              <w:rPr>
                <w:rFonts w:hint="eastAsia"/>
              </w:rPr>
              <w:t xml:space="preserve"> </w:t>
            </w:r>
            <w:r>
              <w:rPr>
                <w:lang/>
              </w:rPr>
              <w:drawing>
                <wp:inline distT="0" distB="0" distL="114300" distR="114300">
                  <wp:extent cx="476250" cy="323850"/>
                  <wp:effectExtent l="0" t="0" r="0" b="0"/>
                  <wp:docPr id="332" name="图片 33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1FB3EE9">
        <w:tblPrEx>
          <w:tblCellMar>
            <w:top w:w="0" w:type="dxa"/>
            <w:left w:w="0" w:type="dxa"/>
            <w:bottom w:w="0" w:type="dxa"/>
            <w:right w:w="0" w:type="dxa"/>
          </w:tblCellMar>
        </w:tblPrEx>
        <w:trPr>
          <w:wBefore w:w="0" w:type="auto"/>
          <w:tblCellSpacing w:w="0" w:type="dxa"/>
        </w:trPr>
        <w:tc>
          <w:tcPr>
            <w:tcW w:w="0" w:type="auto"/>
            <w:noWrap w:val="0"/>
            <w:vAlign w:val="center"/>
          </w:tcPr>
          <w:p w14:paraId="139AA8A5">
            <w:r>
              <w:rPr>
                <w:rStyle w:val="10"/>
                <w:rFonts w:hint="eastAsia"/>
              </w:rPr>
              <w:t>总有效成分含量：</w:t>
            </w:r>
            <w:r>
              <w:rPr>
                <w:rFonts w:hint="eastAsia"/>
              </w:rPr>
              <w:t>25%</w:t>
            </w:r>
          </w:p>
        </w:tc>
      </w:tr>
      <w:tr w14:paraId="67218B97">
        <w:tblPrEx>
          <w:tblCellMar>
            <w:top w:w="0" w:type="dxa"/>
            <w:left w:w="0" w:type="dxa"/>
            <w:bottom w:w="0" w:type="dxa"/>
            <w:right w:w="0" w:type="dxa"/>
          </w:tblCellMar>
        </w:tblPrEx>
        <w:trPr>
          <w:wBefore w:w="0" w:type="auto"/>
          <w:tblCellSpacing w:w="0" w:type="dxa"/>
        </w:trPr>
        <w:tc>
          <w:tcPr>
            <w:tcW w:w="0" w:type="auto"/>
            <w:noWrap w:val="0"/>
            <w:vAlign w:val="center"/>
          </w:tcPr>
          <w:p w14:paraId="47AE1871">
            <w:r>
              <w:rPr>
                <w:rFonts w:hint="eastAsia"/>
              </w:rPr>
              <w:t xml:space="preserve">有效成分及其含量： </w:t>
            </w:r>
          </w:p>
          <w:p w14:paraId="12169246">
            <w:r>
              <w:rPr>
                <w:rFonts w:hint="eastAsia"/>
              </w:rPr>
              <w:t xml:space="preserve">    环嗪酮25%    </w:t>
            </w:r>
          </w:p>
        </w:tc>
      </w:tr>
      <w:tr w14:paraId="58FABA9C">
        <w:tblPrEx>
          <w:tblCellMar>
            <w:top w:w="0" w:type="dxa"/>
            <w:left w:w="0" w:type="dxa"/>
            <w:bottom w:w="0" w:type="dxa"/>
            <w:right w:w="0" w:type="dxa"/>
          </w:tblCellMar>
        </w:tblPrEx>
        <w:trPr>
          <w:wBefore w:w="0" w:type="auto"/>
          <w:tblCellSpacing w:w="0" w:type="dxa"/>
        </w:trPr>
        <w:tc>
          <w:tcPr>
            <w:tcW w:w="0" w:type="auto"/>
            <w:noWrap w:val="0"/>
            <w:vAlign w:val="center"/>
          </w:tcPr>
          <w:p w14:paraId="424AF1A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6C462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A10454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35AD9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BD58C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F3DCC0">
                  <w:r>
                    <w:rPr>
                      <w:rStyle w:val="11"/>
                      <w:rFonts w:hint="eastAsia"/>
                    </w:rPr>
                    <w:t>施用方式</w:t>
                  </w:r>
                </w:p>
              </w:tc>
            </w:tr>
            <w:tr w14:paraId="569A781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0D68971">
                  <w:r>
                    <w:rPr>
                      <w:rStyle w:val="11"/>
                      <w:rFonts w:hint="eastAsia"/>
                    </w:rPr>
                    <w:t>森林防火道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30568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6883B8">
                  <w:r>
                    <w:rPr>
                      <w:rStyle w:val="11"/>
                      <w:rFonts w:hint="eastAsia"/>
                    </w:rPr>
                    <w:t>300-500毫升/亩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85D78E">
                  <w:r>
                    <w:rPr>
                      <w:rStyle w:val="11"/>
                      <w:rFonts w:hint="eastAsia"/>
                    </w:rPr>
                    <w:t>茎叶喷雾</w:t>
                  </w:r>
                </w:p>
              </w:tc>
            </w:tr>
          </w:tbl>
          <w:p w14:paraId="7FA911EF">
            <w:pPr>
              <w:rPr>
                <w:rFonts w:ascii="Times New Roman" w:hAnsi="Times New Roman" w:cs="Times New Roman"/>
                <w:sz w:val="20"/>
                <w:szCs w:val="20"/>
              </w:rPr>
            </w:pPr>
          </w:p>
        </w:tc>
      </w:tr>
      <w:tr w14:paraId="2A4921FE">
        <w:tblPrEx>
          <w:tblCellMar>
            <w:top w:w="0" w:type="dxa"/>
            <w:left w:w="0" w:type="dxa"/>
            <w:bottom w:w="0" w:type="dxa"/>
            <w:right w:w="0" w:type="dxa"/>
          </w:tblCellMar>
        </w:tblPrEx>
        <w:trPr>
          <w:wBefore w:w="0" w:type="auto"/>
          <w:tblCellSpacing w:w="0" w:type="dxa"/>
        </w:trPr>
        <w:tc>
          <w:tcPr>
            <w:tcW w:w="0" w:type="auto"/>
            <w:noWrap w:val="0"/>
            <w:vAlign w:val="center"/>
          </w:tcPr>
          <w:p w14:paraId="446DBAE7">
            <w:r>
              <w:rPr>
                <w:rStyle w:val="10"/>
                <w:rFonts w:hint="eastAsia"/>
              </w:rPr>
              <w:t>使用技术要求:</w:t>
            </w:r>
            <w:r>
              <w:rPr>
                <w:rFonts w:hint="eastAsia"/>
              </w:rPr>
              <w:br w:type="textWrapping"/>
            </w:r>
            <w:r>
              <w:rPr>
                <w:rStyle w:val="11"/>
                <w:rFonts w:hint="eastAsia"/>
              </w:rPr>
              <w:t>1. 本品用于森林防火道防除杂草及杂灌，施药的最佳时期是杂草及灌木生长旺盛期。施用方法是茎叶喷雾，每季只用药一次。2. 施药时尽可能做到均匀，最好在雨前施用。</w:t>
            </w:r>
          </w:p>
        </w:tc>
      </w:tr>
      <w:tr w14:paraId="16C458A6">
        <w:tblPrEx>
          <w:tblCellMar>
            <w:top w:w="0" w:type="dxa"/>
            <w:left w:w="0" w:type="dxa"/>
            <w:bottom w:w="0" w:type="dxa"/>
            <w:right w:w="0" w:type="dxa"/>
          </w:tblCellMar>
        </w:tblPrEx>
        <w:trPr>
          <w:wBefore w:w="0" w:type="auto"/>
          <w:tblCellSpacing w:w="0" w:type="dxa"/>
        </w:trPr>
        <w:tc>
          <w:tcPr>
            <w:tcW w:w="0" w:type="auto"/>
            <w:noWrap w:val="0"/>
            <w:vAlign w:val="center"/>
          </w:tcPr>
          <w:p w14:paraId="620852C1">
            <w:r>
              <w:rPr>
                <w:rStyle w:val="10"/>
                <w:rFonts w:hint="eastAsia"/>
              </w:rPr>
              <w:t>产品性能:</w:t>
            </w:r>
            <w:r>
              <w:rPr>
                <w:rFonts w:hint="eastAsia"/>
              </w:rPr>
              <w:br w:type="textWrapping"/>
            </w:r>
            <w:r>
              <w:rPr>
                <w:rStyle w:val="11"/>
                <w:rFonts w:hint="eastAsia"/>
              </w:rPr>
              <w:t>本品为林用除草剂，主要抑制植物的光合作用，使代谢紊乱，导致死亡。植物根系和叶面都能吸收环嗪酮，主要通过木质部运输。进入土壤后能被土壤微生物分解。主要用于开辟森林防火道。</w:t>
            </w:r>
          </w:p>
        </w:tc>
      </w:tr>
      <w:tr w14:paraId="4B8F0207">
        <w:tblPrEx>
          <w:tblCellMar>
            <w:top w:w="0" w:type="dxa"/>
            <w:left w:w="0" w:type="dxa"/>
            <w:bottom w:w="0" w:type="dxa"/>
            <w:right w:w="0" w:type="dxa"/>
          </w:tblCellMar>
        </w:tblPrEx>
        <w:trPr>
          <w:wBefore w:w="0" w:type="auto"/>
          <w:tblCellSpacing w:w="0" w:type="dxa"/>
        </w:trPr>
        <w:tc>
          <w:tcPr>
            <w:tcW w:w="0" w:type="auto"/>
            <w:noWrap w:val="0"/>
            <w:vAlign w:val="center"/>
          </w:tcPr>
          <w:p w14:paraId="6F864557">
            <w:r>
              <w:rPr>
                <w:rStyle w:val="10"/>
                <w:rFonts w:hint="eastAsia"/>
              </w:rPr>
              <w:t>注意事项：</w:t>
            </w:r>
            <w:r>
              <w:rPr>
                <w:rFonts w:hint="eastAsia"/>
              </w:rPr>
              <w:br w:type="textWrapping"/>
            </w:r>
            <w:r>
              <w:rPr>
                <w:rStyle w:val="11"/>
                <w:rFonts w:hint="eastAsia"/>
              </w:rPr>
              <w:t>1、该产品对眼睛有刺激性，使用时避免接触眼睛，穿戴长衣、长裤、帽子、口罩、手套等防护措施；喷药时不要吸烟或饮食，工作完毕后，应清洗手及裸露的皮肤。2、本品药效的发挥与降雨有密切关系，最好在雨季前用药。如果施药后15天不降雨，应想法在施药处浇水，否则药效较差。3、本品忌在暴雨前使用，导致药剂被雨水冲走。4、水产养殖区、河塘等水体附近禁用，禁止在河塘等水域清洗施药器具。5、孕妇及哺乳期妇女禁止接触本品。6、用过的容器应妥善处理，不可做他用，也不可随意丢弃。6、避免与氧化剂接触。 7、本品为易燃液体。8、瓢虫等天敌放飞区域禁用。9、地下水饮用水水源地禁用。</w:t>
            </w:r>
          </w:p>
        </w:tc>
      </w:tr>
      <w:tr w14:paraId="569A756D">
        <w:tblPrEx>
          <w:tblCellMar>
            <w:top w:w="0" w:type="dxa"/>
            <w:left w:w="0" w:type="dxa"/>
            <w:bottom w:w="0" w:type="dxa"/>
            <w:right w:w="0" w:type="dxa"/>
          </w:tblCellMar>
        </w:tblPrEx>
        <w:trPr>
          <w:wBefore w:w="0" w:type="auto"/>
          <w:tblCellSpacing w:w="0" w:type="dxa"/>
        </w:trPr>
        <w:tc>
          <w:tcPr>
            <w:tcW w:w="0" w:type="auto"/>
            <w:noWrap w:val="0"/>
            <w:vAlign w:val="center"/>
          </w:tcPr>
          <w:p w14:paraId="77128B81">
            <w:r>
              <w:rPr>
                <w:rStyle w:val="10"/>
                <w:rFonts w:hint="eastAsia"/>
              </w:rPr>
              <w:t>中毒急救措施：</w:t>
            </w:r>
            <w:r>
              <w:rPr>
                <w:rFonts w:hint="eastAsia"/>
              </w:rPr>
              <w:br w:type="textWrapping"/>
            </w:r>
            <w:r>
              <w:rPr>
                <w:rStyle w:val="11"/>
                <w:rFonts w:hint="eastAsia"/>
              </w:rPr>
              <w:t>1、吸入后：提供新鲜空气；如有症状求教医生。皮肤接触后：立即用水和肥皂清洗，并彻冲洗干净。眼睛接触后：使眼睛打开流水冲洗几分钟，如有持续的症状，求教医生。2、如误服应立即催吐。呕吐停止后服用活性炭，如果还没有腹泻，可在炭泥中加入山梨醇。失水和电解质严重紊乱时，需要补充口服液或静脉液。 对症治疗，无解毒剂。</w:t>
            </w:r>
          </w:p>
        </w:tc>
      </w:tr>
      <w:tr w14:paraId="5186712D">
        <w:tblPrEx>
          <w:tblCellMar>
            <w:top w:w="0" w:type="dxa"/>
            <w:left w:w="0" w:type="dxa"/>
            <w:bottom w:w="0" w:type="dxa"/>
            <w:right w:w="0" w:type="dxa"/>
          </w:tblCellMar>
        </w:tblPrEx>
        <w:trPr>
          <w:wBefore w:w="0" w:type="auto"/>
          <w:tblCellSpacing w:w="0" w:type="dxa"/>
        </w:trPr>
        <w:tc>
          <w:tcPr>
            <w:tcW w:w="0" w:type="auto"/>
            <w:noWrap w:val="0"/>
            <w:vAlign w:val="center"/>
          </w:tcPr>
          <w:p w14:paraId="6C8B8213">
            <w:r>
              <w:rPr>
                <w:rStyle w:val="10"/>
                <w:rFonts w:hint="eastAsia"/>
              </w:rPr>
              <w:t>储存和运输方法：</w:t>
            </w:r>
            <w:r>
              <w:rPr>
                <w:rFonts w:hint="eastAsia"/>
              </w:rPr>
              <w:br w:type="textWrapping"/>
            </w:r>
            <w:r>
              <w:rPr>
                <w:rStyle w:val="11"/>
                <w:rFonts w:hint="eastAsia"/>
              </w:rPr>
              <w:t>1、包装件应贮存在通风、干燥的仓库中。 2、贮运时，严防潮湿和日晒，不能与食品、饮料、粮食、饲料等混合储运，置于儿童接触不到的地方，并加锁保存。搬运及运输过程中，轻拿轻放，运输过程中严禁雨淋，避免烈日直晒。</w:t>
            </w:r>
          </w:p>
        </w:tc>
      </w:tr>
      <w:tr w14:paraId="53558BEE">
        <w:tblPrEx>
          <w:tblCellMar>
            <w:top w:w="0" w:type="dxa"/>
            <w:left w:w="0" w:type="dxa"/>
            <w:bottom w:w="0" w:type="dxa"/>
            <w:right w:w="0" w:type="dxa"/>
          </w:tblCellMar>
        </w:tblPrEx>
        <w:trPr>
          <w:wBefore w:w="0" w:type="auto"/>
          <w:tblCellSpacing w:w="0" w:type="dxa"/>
        </w:trPr>
        <w:tc>
          <w:tcPr>
            <w:tcW w:w="0" w:type="auto"/>
            <w:noWrap w:val="0"/>
            <w:vAlign w:val="center"/>
          </w:tcPr>
          <w:p w14:paraId="13E5DE42">
            <w:r>
              <w:rPr>
                <w:rStyle w:val="10"/>
                <w:rFonts w:hint="eastAsia"/>
              </w:rPr>
              <w:t>质量保证期：</w:t>
            </w:r>
            <w:r>
              <w:rPr>
                <w:rStyle w:val="11"/>
                <w:rFonts w:hint="eastAsia"/>
              </w:rPr>
              <w:t>2年</w:t>
            </w:r>
          </w:p>
        </w:tc>
      </w:tr>
      <w:tr w14:paraId="4FC1A2F2">
        <w:tblPrEx>
          <w:tblCellMar>
            <w:top w:w="0" w:type="dxa"/>
            <w:left w:w="0" w:type="dxa"/>
            <w:bottom w:w="0" w:type="dxa"/>
            <w:right w:w="0" w:type="dxa"/>
          </w:tblCellMar>
        </w:tblPrEx>
        <w:trPr>
          <w:wBefore w:w="0" w:type="auto"/>
          <w:tblCellSpacing w:w="0" w:type="dxa"/>
        </w:trPr>
        <w:tc>
          <w:tcPr>
            <w:tcW w:w="0" w:type="auto"/>
            <w:noWrap w:val="0"/>
            <w:vAlign w:val="center"/>
          </w:tcPr>
          <w:p w14:paraId="6FCE4339">
            <w:r>
              <w:rPr>
                <w:rStyle w:val="10"/>
                <w:rFonts w:hint="eastAsia"/>
              </w:rPr>
              <w:t>备注：</w:t>
            </w:r>
          </w:p>
        </w:tc>
      </w:tr>
    </w:tbl>
    <w:p w14:paraId="003A019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249D7C0">
        <w:tblPrEx>
          <w:tblCellMar>
            <w:top w:w="0" w:type="dxa"/>
            <w:left w:w="0" w:type="dxa"/>
            <w:bottom w:w="0" w:type="dxa"/>
            <w:right w:w="0" w:type="dxa"/>
          </w:tblCellMar>
        </w:tblPrEx>
        <w:trPr>
          <w:wBefore w:w="0" w:type="auto"/>
          <w:tblCellSpacing w:w="0" w:type="dxa"/>
        </w:trPr>
        <w:tc>
          <w:tcPr>
            <w:tcW w:w="0" w:type="auto"/>
            <w:noWrap w:val="0"/>
            <w:vAlign w:val="center"/>
          </w:tcPr>
          <w:p w14:paraId="0BBC04CF">
            <w:r>
              <w:rPr>
                <w:rStyle w:val="10"/>
                <w:rFonts w:hint="eastAsia"/>
              </w:rPr>
              <w:t>登记证号：</w:t>
            </w:r>
            <w:r>
              <w:rPr>
                <w:rFonts w:hint="eastAsia"/>
              </w:rPr>
              <w:t>WP20210214</w:t>
            </w:r>
          </w:p>
        </w:tc>
      </w:tr>
      <w:tr w14:paraId="2D3B681B">
        <w:tblPrEx>
          <w:tblCellMar>
            <w:top w:w="0" w:type="dxa"/>
            <w:left w:w="0" w:type="dxa"/>
            <w:bottom w:w="0" w:type="dxa"/>
            <w:right w:w="0" w:type="dxa"/>
          </w:tblCellMar>
        </w:tblPrEx>
        <w:trPr>
          <w:wBefore w:w="0" w:type="auto"/>
          <w:tblCellSpacing w:w="0" w:type="dxa"/>
        </w:trPr>
        <w:tc>
          <w:tcPr>
            <w:tcW w:w="0" w:type="auto"/>
            <w:noWrap w:val="0"/>
            <w:vAlign w:val="center"/>
          </w:tcPr>
          <w:p w14:paraId="433C1F55">
            <w:r>
              <w:rPr>
                <w:rStyle w:val="10"/>
                <w:rFonts w:hint="eastAsia"/>
              </w:rPr>
              <w:t>登记证持有人：</w:t>
            </w:r>
            <w:r>
              <w:rPr>
                <w:rFonts w:hint="eastAsia"/>
              </w:rPr>
              <w:t>东阳市康家日用品有限公司</w:t>
            </w:r>
          </w:p>
        </w:tc>
      </w:tr>
      <w:tr w14:paraId="257202CD">
        <w:tblPrEx>
          <w:tblCellMar>
            <w:top w:w="0" w:type="dxa"/>
            <w:left w:w="0" w:type="dxa"/>
            <w:bottom w:w="0" w:type="dxa"/>
            <w:right w:w="0" w:type="dxa"/>
          </w:tblCellMar>
        </w:tblPrEx>
        <w:trPr>
          <w:wBefore w:w="0" w:type="auto"/>
          <w:tblCellSpacing w:w="0" w:type="dxa"/>
        </w:trPr>
        <w:tc>
          <w:tcPr>
            <w:tcW w:w="0" w:type="auto"/>
            <w:noWrap w:val="0"/>
            <w:vAlign w:val="center"/>
          </w:tcPr>
          <w:p w14:paraId="6CBE4240">
            <w:r>
              <w:rPr>
                <w:rStyle w:val="10"/>
                <w:rFonts w:hint="eastAsia"/>
              </w:rPr>
              <w:t>农药名称：</w:t>
            </w:r>
            <w:r>
              <w:rPr>
                <w:rFonts w:hint="eastAsia"/>
              </w:rPr>
              <w:t>电热蚊香液</w:t>
            </w:r>
          </w:p>
        </w:tc>
      </w:tr>
      <w:tr w14:paraId="7DC27D4F">
        <w:tblPrEx>
          <w:tblCellMar>
            <w:top w:w="0" w:type="dxa"/>
            <w:left w:w="0" w:type="dxa"/>
            <w:bottom w:w="0" w:type="dxa"/>
            <w:right w:w="0" w:type="dxa"/>
          </w:tblCellMar>
        </w:tblPrEx>
        <w:trPr>
          <w:wBefore w:w="0" w:type="auto"/>
          <w:tblCellSpacing w:w="0" w:type="dxa"/>
        </w:trPr>
        <w:tc>
          <w:tcPr>
            <w:tcW w:w="0" w:type="auto"/>
            <w:noWrap w:val="0"/>
            <w:vAlign w:val="center"/>
          </w:tcPr>
          <w:p w14:paraId="18A84D4C">
            <w:r>
              <w:rPr>
                <w:rStyle w:val="10"/>
                <w:rFonts w:hint="eastAsia"/>
              </w:rPr>
              <w:t>剂型：</w:t>
            </w:r>
            <w:r>
              <w:rPr>
                <w:rFonts w:hint="eastAsia"/>
              </w:rPr>
              <w:t>电热香蚊液</w:t>
            </w:r>
          </w:p>
        </w:tc>
      </w:tr>
      <w:tr w14:paraId="63FA0FE5">
        <w:tblPrEx>
          <w:tblCellMar>
            <w:top w:w="0" w:type="dxa"/>
            <w:left w:w="0" w:type="dxa"/>
            <w:bottom w:w="0" w:type="dxa"/>
            <w:right w:w="0" w:type="dxa"/>
          </w:tblCellMar>
        </w:tblPrEx>
        <w:trPr>
          <w:wBefore w:w="0" w:type="auto"/>
          <w:tblCellSpacing w:w="0" w:type="dxa"/>
        </w:trPr>
        <w:tc>
          <w:tcPr>
            <w:tcW w:w="0" w:type="auto"/>
            <w:noWrap w:val="0"/>
            <w:vAlign w:val="center"/>
          </w:tcPr>
          <w:p w14:paraId="6B84CF42">
            <w:r>
              <w:rPr>
                <w:rStyle w:val="10"/>
                <w:rFonts w:hint="eastAsia"/>
              </w:rPr>
              <w:t>毒性及其标识：</w:t>
            </w:r>
            <w:r>
              <w:rPr>
                <w:rFonts w:hint="eastAsia"/>
              </w:rPr>
              <w:t xml:space="preserve"> 微毒 </w:t>
            </w:r>
          </w:p>
        </w:tc>
      </w:tr>
      <w:tr w14:paraId="37B603C0">
        <w:tblPrEx>
          <w:tblCellMar>
            <w:top w:w="0" w:type="dxa"/>
            <w:left w:w="0" w:type="dxa"/>
            <w:bottom w:w="0" w:type="dxa"/>
            <w:right w:w="0" w:type="dxa"/>
          </w:tblCellMar>
        </w:tblPrEx>
        <w:trPr>
          <w:wBefore w:w="0" w:type="auto"/>
          <w:tblCellSpacing w:w="0" w:type="dxa"/>
        </w:trPr>
        <w:tc>
          <w:tcPr>
            <w:tcW w:w="0" w:type="auto"/>
            <w:noWrap w:val="0"/>
            <w:vAlign w:val="center"/>
          </w:tcPr>
          <w:p w14:paraId="4E99A4B9">
            <w:r>
              <w:rPr>
                <w:rStyle w:val="10"/>
                <w:rFonts w:hint="eastAsia"/>
              </w:rPr>
              <w:t>总有效成分含量：</w:t>
            </w:r>
            <w:r>
              <w:rPr>
                <w:rFonts w:hint="eastAsia"/>
              </w:rPr>
              <w:t>1.2%</w:t>
            </w:r>
          </w:p>
        </w:tc>
      </w:tr>
      <w:tr w14:paraId="142163BA">
        <w:tblPrEx>
          <w:tblCellMar>
            <w:top w:w="0" w:type="dxa"/>
            <w:left w:w="0" w:type="dxa"/>
            <w:bottom w:w="0" w:type="dxa"/>
            <w:right w:w="0" w:type="dxa"/>
          </w:tblCellMar>
        </w:tblPrEx>
        <w:trPr>
          <w:wBefore w:w="0" w:type="auto"/>
          <w:tblCellSpacing w:w="0" w:type="dxa"/>
        </w:trPr>
        <w:tc>
          <w:tcPr>
            <w:tcW w:w="0" w:type="auto"/>
            <w:noWrap w:val="0"/>
            <w:vAlign w:val="center"/>
          </w:tcPr>
          <w:p w14:paraId="6E1E4EE5">
            <w:r>
              <w:rPr>
                <w:rFonts w:hint="eastAsia"/>
              </w:rPr>
              <w:t xml:space="preserve">有效成分及其含量： </w:t>
            </w:r>
          </w:p>
          <w:p w14:paraId="118D205F">
            <w:r>
              <w:rPr>
                <w:rFonts w:hint="eastAsia"/>
              </w:rPr>
              <w:t xml:space="preserve">    氯氟醚菊酯1.2%    </w:t>
            </w:r>
          </w:p>
        </w:tc>
      </w:tr>
      <w:tr w14:paraId="5F22A3E5">
        <w:tblPrEx>
          <w:tblCellMar>
            <w:top w:w="0" w:type="dxa"/>
            <w:left w:w="0" w:type="dxa"/>
            <w:bottom w:w="0" w:type="dxa"/>
            <w:right w:w="0" w:type="dxa"/>
          </w:tblCellMar>
        </w:tblPrEx>
        <w:trPr>
          <w:wBefore w:w="0" w:type="auto"/>
          <w:tblCellSpacing w:w="0" w:type="dxa"/>
        </w:trPr>
        <w:tc>
          <w:tcPr>
            <w:tcW w:w="0" w:type="auto"/>
            <w:noWrap w:val="0"/>
            <w:vAlign w:val="center"/>
          </w:tcPr>
          <w:p w14:paraId="597B688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E71C6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F76444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E85840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FBA89C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7E659AB">
                  <w:r>
                    <w:rPr>
                      <w:rStyle w:val="11"/>
                      <w:rFonts w:hint="eastAsia"/>
                    </w:rPr>
                    <w:t>施用方式</w:t>
                  </w:r>
                </w:p>
              </w:tc>
            </w:tr>
            <w:tr w14:paraId="779827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3663F2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E2BC1D">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FD4D51">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E15ACA">
                  <w:r>
                    <w:rPr>
                      <w:rStyle w:val="11"/>
                      <w:rFonts w:hint="eastAsia"/>
                    </w:rPr>
                    <w:t>电热加温</w:t>
                  </w:r>
                </w:p>
              </w:tc>
            </w:tr>
          </w:tbl>
          <w:p w14:paraId="6138E598">
            <w:pPr>
              <w:rPr>
                <w:rFonts w:ascii="Times New Roman" w:hAnsi="Times New Roman" w:cs="Times New Roman"/>
                <w:sz w:val="20"/>
                <w:szCs w:val="20"/>
              </w:rPr>
            </w:pPr>
          </w:p>
        </w:tc>
      </w:tr>
      <w:tr w14:paraId="3A0C48E5">
        <w:tblPrEx>
          <w:tblCellMar>
            <w:top w:w="0" w:type="dxa"/>
            <w:left w:w="0" w:type="dxa"/>
            <w:bottom w:w="0" w:type="dxa"/>
            <w:right w:w="0" w:type="dxa"/>
          </w:tblCellMar>
        </w:tblPrEx>
        <w:trPr>
          <w:wBefore w:w="0" w:type="auto"/>
          <w:tblCellSpacing w:w="0" w:type="dxa"/>
        </w:trPr>
        <w:tc>
          <w:tcPr>
            <w:tcW w:w="0" w:type="auto"/>
            <w:noWrap w:val="0"/>
            <w:vAlign w:val="center"/>
          </w:tcPr>
          <w:p w14:paraId="447DFB4B">
            <w:r>
              <w:rPr>
                <w:rStyle w:val="10"/>
                <w:rFonts w:hint="eastAsia"/>
              </w:rPr>
              <w:t>使用技术要求:</w:t>
            </w:r>
            <w:r>
              <w:rPr>
                <w:rFonts w:hint="eastAsia"/>
              </w:rPr>
              <w:br w:type="textWrapping"/>
            </w:r>
            <w:r>
              <w:rPr>
                <w:rStyle w:val="11"/>
                <w:rFonts w:hint="eastAsia"/>
              </w:rPr>
              <w:t>1、取出药液瓶，旋开药瓶盖，慢慢向上取出，请勿碰芯棒，一手持蚊香器，一手拿住药液瓶，把瓶口对准蚊香器内螺纹旋紧，并检查芯棒是否居中；2、接通电源，拨通开关，指示灯亮，表示蚊香器开始工作；3、使用时请将蚊香器置于风口处，以充分发挥其驱蚊效果；4、通过透明窗，可以随时了解药液的消耗情况；5、药液用完后，请先切断电源，再更换一瓶新的药液。</w:t>
            </w:r>
          </w:p>
        </w:tc>
      </w:tr>
      <w:tr w14:paraId="630ABC65">
        <w:tblPrEx>
          <w:tblCellMar>
            <w:top w:w="0" w:type="dxa"/>
            <w:left w:w="0" w:type="dxa"/>
            <w:bottom w:w="0" w:type="dxa"/>
            <w:right w:w="0" w:type="dxa"/>
          </w:tblCellMar>
        </w:tblPrEx>
        <w:trPr>
          <w:wBefore w:w="0" w:type="auto"/>
          <w:tblCellSpacing w:w="0" w:type="dxa"/>
        </w:trPr>
        <w:tc>
          <w:tcPr>
            <w:tcW w:w="0" w:type="auto"/>
            <w:noWrap w:val="0"/>
            <w:vAlign w:val="center"/>
          </w:tcPr>
          <w:p w14:paraId="4451978F">
            <w:r>
              <w:rPr>
                <w:rStyle w:val="10"/>
                <w:rFonts w:hint="eastAsia"/>
              </w:rPr>
              <w:t>产品性能:</w:t>
            </w:r>
            <w:r>
              <w:rPr>
                <w:rFonts w:hint="eastAsia"/>
              </w:rPr>
              <w:br w:type="textWrapping"/>
            </w:r>
            <w:r>
              <w:rPr>
                <w:rStyle w:val="11"/>
                <w:rFonts w:hint="eastAsia"/>
              </w:rPr>
              <w:t>本品选用氯氟醚菊酯为有效成分配制而成，同时专门设计了配套使用的电加热器，通电后，可均匀散发药液，既卫生又方便。适用于家庭、宾馆、办公等场所使用。</w:t>
            </w:r>
          </w:p>
        </w:tc>
      </w:tr>
      <w:tr w14:paraId="29A35ED9">
        <w:tblPrEx>
          <w:tblCellMar>
            <w:top w:w="0" w:type="dxa"/>
            <w:left w:w="0" w:type="dxa"/>
            <w:bottom w:w="0" w:type="dxa"/>
            <w:right w:w="0" w:type="dxa"/>
          </w:tblCellMar>
        </w:tblPrEx>
        <w:trPr>
          <w:wBefore w:w="0" w:type="auto"/>
          <w:tblCellSpacing w:w="0" w:type="dxa"/>
        </w:trPr>
        <w:tc>
          <w:tcPr>
            <w:tcW w:w="0" w:type="auto"/>
            <w:noWrap w:val="0"/>
            <w:vAlign w:val="center"/>
          </w:tcPr>
          <w:p w14:paraId="61288EF6">
            <w:r>
              <w:rPr>
                <w:rStyle w:val="10"/>
                <w:rFonts w:hint="eastAsia"/>
              </w:rPr>
              <w:t>注意事项：</w:t>
            </w:r>
            <w:r>
              <w:rPr>
                <w:rFonts w:hint="eastAsia"/>
              </w:rPr>
              <w:br w:type="textWrapping"/>
            </w:r>
            <w:r>
              <w:rPr>
                <w:rStyle w:val="11"/>
                <w:rFonts w:hint="eastAsia"/>
              </w:rPr>
              <w:t>1、使用前请仔细阅读使用方法及注意事项。 2、开启门窗使用时，请将加热器置于上风口。 3、请勿将电热蚊香液加热器置于运转的电风扇前。 4、使用时应放在儿童接触不到的地方。 5、电热蚊香液应远离火源，若长期不使用时，请将药液瓶从加热器中取出，加盖密封后置于低温阴暗处保存。使用时注意用电及防加盖密封后置于低温阴暗处保存。使用时注意用电及防火安全。 6、避免与皮肤、眼睛接触、勿与食物一起存放。 7、用后洗手。过敏者禁用。使用中有任何不良反应请及时就医。 8、对鱼、蚕有毒，蚕室内、鱼塘及其附近禁用。9.养蚕室附近禁用。 10.仅限室内使用。</w:t>
            </w:r>
          </w:p>
        </w:tc>
      </w:tr>
      <w:tr w14:paraId="383E4F0C">
        <w:tblPrEx>
          <w:tblCellMar>
            <w:top w:w="0" w:type="dxa"/>
            <w:left w:w="0" w:type="dxa"/>
            <w:bottom w:w="0" w:type="dxa"/>
            <w:right w:w="0" w:type="dxa"/>
          </w:tblCellMar>
        </w:tblPrEx>
        <w:trPr>
          <w:wBefore w:w="0" w:type="auto"/>
          <w:tblCellSpacing w:w="0" w:type="dxa"/>
        </w:trPr>
        <w:tc>
          <w:tcPr>
            <w:tcW w:w="0" w:type="auto"/>
            <w:noWrap w:val="0"/>
            <w:vAlign w:val="center"/>
          </w:tcPr>
          <w:p w14:paraId="7E3355BE">
            <w:r>
              <w:rPr>
                <w:rStyle w:val="10"/>
                <w:rFonts w:hint="eastAsia"/>
              </w:rPr>
              <w:t>中毒急救措施：</w:t>
            </w:r>
            <w:r>
              <w:rPr>
                <w:rFonts w:hint="eastAsia"/>
              </w:rPr>
              <w:br w:type="textWrapping"/>
            </w:r>
            <w:r>
              <w:rPr>
                <w:rStyle w:val="11"/>
                <w:rFonts w:hint="eastAsia"/>
              </w:rPr>
              <w:t>若皮肤、眼睛接触到应用大量清水冲洗至少十五分钟并就医，若误食应立即到医院对症治疗。</w:t>
            </w:r>
          </w:p>
        </w:tc>
      </w:tr>
      <w:tr w14:paraId="1D8170A0">
        <w:tblPrEx>
          <w:tblCellMar>
            <w:top w:w="0" w:type="dxa"/>
            <w:left w:w="0" w:type="dxa"/>
            <w:bottom w:w="0" w:type="dxa"/>
            <w:right w:w="0" w:type="dxa"/>
          </w:tblCellMar>
        </w:tblPrEx>
        <w:trPr>
          <w:wBefore w:w="0" w:type="auto"/>
          <w:tblCellSpacing w:w="0" w:type="dxa"/>
        </w:trPr>
        <w:tc>
          <w:tcPr>
            <w:tcW w:w="0" w:type="auto"/>
            <w:noWrap w:val="0"/>
            <w:vAlign w:val="center"/>
          </w:tcPr>
          <w:p w14:paraId="66F4C528">
            <w:r>
              <w:rPr>
                <w:rStyle w:val="10"/>
                <w:rFonts w:hint="eastAsia"/>
              </w:rPr>
              <w:t>储存和运输方法：</w:t>
            </w:r>
            <w:r>
              <w:rPr>
                <w:rFonts w:hint="eastAsia"/>
              </w:rPr>
              <w:br w:type="textWrapping"/>
            </w:r>
            <w:r>
              <w:rPr>
                <w:rStyle w:val="11"/>
                <w:rFonts w:hint="eastAsia"/>
              </w:rPr>
              <w:t>本品易应贮存在干燥、阴凉、通风、防雨处，远离火源或热源。置于儿童触及不到之处，并加锁。勿与食品、饮料、饲料、粮食等其他商品同贮同运。</w:t>
            </w:r>
          </w:p>
        </w:tc>
      </w:tr>
      <w:tr w14:paraId="0CBD0287">
        <w:tblPrEx>
          <w:tblCellMar>
            <w:top w:w="0" w:type="dxa"/>
            <w:left w:w="0" w:type="dxa"/>
            <w:bottom w:w="0" w:type="dxa"/>
            <w:right w:w="0" w:type="dxa"/>
          </w:tblCellMar>
        </w:tblPrEx>
        <w:trPr>
          <w:wBefore w:w="0" w:type="auto"/>
          <w:tblCellSpacing w:w="0" w:type="dxa"/>
        </w:trPr>
        <w:tc>
          <w:tcPr>
            <w:tcW w:w="0" w:type="auto"/>
            <w:noWrap w:val="0"/>
            <w:vAlign w:val="center"/>
          </w:tcPr>
          <w:p w14:paraId="5CA932FF">
            <w:r>
              <w:rPr>
                <w:rStyle w:val="10"/>
                <w:rFonts w:hint="eastAsia"/>
              </w:rPr>
              <w:t>质量保证期：</w:t>
            </w:r>
            <w:r>
              <w:rPr>
                <w:rStyle w:val="11"/>
                <w:rFonts w:hint="eastAsia"/>
              </w:rPr>
              <w:t>3年</w:t>
            </w:r>
          </w:p>
        </w:tc>
      </w:tr>
      <w:tr w14:paraId="591257A4">
        <w:tblPrEx>
          <w:tblCellMar>
            <w:top w:w="0" w:type="dxa"/>
            <w:left w:w="0" w:type="dxa"/>
            <w:bottom w:w="0" w:type="dxa"/>
            <w:right w:w="0" w:type="dxa"/>
          </w:tblCellMar>
        </w:tblPrEx>
        <w:trPr>
          <w:wBefore w:w="0" w:type="auto"/>
          <w:tblCellSpacing w:w="0" w:type="dxa"/>
        </w:trPr>
        <w:tc>
          <w:tcPr>
            <w:tcW w:w="0" w:type="auto"/>
            <w:noWrap w:val="0"/>
            <w:vAlign w:val="center"/>
          </w:tcPr>
          <w:p w14:paraId="36AE7FC2">
            <w:r>
              <w:rPr>
                <w:rStyle w:val="10"/>
                <w:rFonts w:hint="eastAsia"/>
              </w:rPr>
              <w:t>备注：</w:t>
            </w:r>
          </w:p>
        </w:tc>
      </w:tr>
    </w:tbl>
    <w:p w14:paraId="69240D2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8748C18">
        <w:tblPrEx>
          <w:tblCellMar>
            <w:top w:w="0" w:type="dxa"/>
            <w:left w:w="0" w:type="dxa"/>
            <w:bottom w:w="0" w:type="dxa"/>
            <w:right w:w="0" w:type="dxa"/>
          </w:tblCellMar>
        </w:tblPrEx>
        <w:trPr>
          <w:wBefore w:w="0" w:type="auto"/>
          <w:tblCellSpacing w:w="0" w:type="dxa"/>
        </w:trPr>
        <w:tc>
          <w:tcPr>
            <w:tcW w:w="0" w:type="auto"/>
            <w:noWrap w:val="0"/>
            <w:vAlign w:val="center"/>
          </w:tcPr>
          <w:p w14:paraId="28B393C4">
            <w:r>
              <w:rPr>
                <w:rStyle w:val="10"/>
                <w:rFonts w:hint="eastAsia"/>
              </w:rPr>
              <w:t>登记证号：</w:t>
            </w:r>
            <w:r>
              <w:rPr>
                <w:rFonts w:hint="eastAsia"/>
              </w:rPr>
              <w:t>PD20212226</w:t>
            </w:r>
          </w:p>
        </w:tc>
      </w:tr>
      <w:tr w14:paraId="3F745641">
        <w:tblPrEx>
          <w:tblCellMar>
            <w:top w:w="0" w:type="dxa"/>
            <w:left w:w="0" w:type="dxa"/>
            <w:bottom w:w="0" w:type="dxa"/>
            <w:right w:w="0" w:type="dxa"/>
          </w:tblCellMar>
        </w:tblPrEx>
        <w:trPr>
          <w:wBefore w:w="0" w:type="auto"/>
          <w:tblCellSpacing w:w="0" w:type="dxa"/>
        </w:trPr>
        <w:tc>
          <w:tcPr>
            <w:tcW w:w="0" w:type="auto"/>
            <w:noWrap w:val="0"/>
            <w:vAlign w:val="center"/>
          </w:tcPr>
          <w:p w14:paraId="5D8C8F86">
            <w:r>
              <w:rPr>
                <w:rStyle w:val="10"/>
                <w:rFonts w:hint="eastAsia"/>
              </w:rPr>
              <w:t>登记证持有人：</w:t>
            </w:r>
            <w:r>
              <w:rPr>
                <w:rFonts w:hint="eastAsia"/>
              </w:rPr>
              <w:t>张掖市大弓农化有限公司</w:t>
            </w:r>
          </w:p>
        </w:tc>
      </w:tr>
      <w:tr w14:paraId="7573C2EE">
        <w:tblPrEx>
          <w:tblCellMar>
            <w:top w:w="0" w:type="dxa"/>
            <w:left w:w="0" w:type="dxa"/>
            <w:bottom w:w="0" w:type="dxa"/>
            <w:right w:w="0" w:type="dxa"/>
          </w:tblCellMar>
        </w:tblPrEx>
        <w:trPr>
          <w:wBefore w:w="0" w:type="auto"/>
          <w:tblCellSpacing w:w="0" w:type="dxa"/>
        </w:trPr>
        <w:tc>
          <w:tcPr>
            <w:tcW w:w="0" w:type="auto"/>
            <w:noWrap w:val="0"/>
            <w:vAlign w:val="center"/>
          </w:tcPr>
          <w:p w14:paraId="1EC14E7B">
            <w:r>
              <w:rPr>
                <w:rStyle w:val="10"/>
                <w:rFonts w:hint="eastAsia"/>
              </w:rPr>
              <w:t>农药名称：</w:t>
            </w:r>
            <w:r>
              <w:rPr>
                <w:rFonts w:hint="eastAsia"/>
              </w:rPr>
              <w:t>硝磺草酮</w:t>
            </w:r>
          </w:p>
        </w:tc>
      </w:tr>
      <w:tr w14:paraId="3A439F41">
        <w:tblPrEx>
          <w:tblCellMar>
            <w:top w:w="0" w:type="dxa"/>
            <w:left w:w="0" w:type="dxa"/>
            <w:bottom w:w="0" w:type="dxa"/>
            <w:right w:w="0" w:type="dxa"/>
          </w:tblCellMar>
        </w:tblPrEx>
        <w:trPr>
          <w:wBefore w:w="0" w:type="auto"/>
          <w:tblCellSpacing w:w="0" w:type="dxa"/>
        </w:trPr>
        <w:tc>
          <w:tcPr>
            <w:tcW w:w="0" w:type="auto"/>
            <w:noWrap w:val="0"/>
            <w:vAlign w:val="center"/>
          </w:tcPr>
          <w:p w14:paraId="2E1881BC">
            <w:r>
              <w:rPr>
                <w:rStyle w:val="10"/>
                <w:rFonts w:hint="eastAsia"/>
              </w:rPr>
              <w:t>剂型：</w:t>
            </w:r>
            <w:r>
              <w:rPr>
                <w:rFonts w:hint="eastAsia"/>
              </w:rPr>
              <w:t>悬浮剂</w:t>
            </w:r>
          </w:p>
        </w:tc>
      </w:tr>
      <w:tr w14:paraId="321BD6CB">
        <w:tblPrEx>
          <w:tblCellMar>
            <w:top w:w="0" w:type="dxa"/>
            <w:left w:w="0" w:type="dxa"/>
            <w:bottom w:w="0" w:type="dxa"/>
            <w:right w:w="0" w:type="dxa"/>
          </w:tblCellMar>
        </w:tblPrEx>
        <w:trPr>
          <w:wBefore w:w="0" w:type="auto"/>
          <w:tblCellSpacing w:w="0" w:type="dxa"/>
        </w:trPr>
        <w:tc>
          <w:tcPr>
            <w:tcW w:w="0" w:type="auto"/>
            <w:noWrap w:val="0"/>
            <w:vAlign w:val="center"/>
          </w:tcPr>
          <w:p w14:paraId="42BE31D9">
            <w:r>
              <w:rPr>
                <w:rStyle w:val="10"/>
                <w:rFonts w:hint="eastAsia"/>
              </w:rPr>
              <w:t>毒性及其标识：</w:t>
            </w:r>
            <w:r>
              <w:rPr>
                <w:rFonts w:hint="eastAsia"/>
              </w:rPr>
              <w:t xml:space="preserve"> </w:t>
            </w:r>
            <w:r>
              <w:rPr>
                <w:lang/>
              </w:rPr>
              <w:drawing>
                <wp:inline distT="0" distB="0" distL="114300" distR="114300">
                  <wp:extent cx="476250" cy="323850"/>
                  <wp:effectExtent l="0" t="0" r="0" b="0"/>
                  <wp:docPr id="333" name="图片 33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FD9BE8">
        <w:tblPrEx>
          <w:tblCellMar>
            <w:top w:w="0" w:type="dxa"/>
            <w:left w:w="0" w:type="dxa"/>
            <w:bottom w:w="0" w:type="dxa"/>
            <w:right w:w="0" w:type="dxa"/>
          </w:tblCellMar>
        </w:tblPrEx>
        <w:trPr>
          <w:wBefore w:w="0" w:type="auto"/>
          <w:tblCellSpacing w:w="0" w:type="dxa"/>
        </w:trPr>
        <w:tc>
          <w:tcPr>
            <w:tcW w:w="0" w:type="auto"/>
            <w:noWrap w:val="0"/>
            <w:vAlign w:val="center"/>
          </w:tcPr>
          <w:p w14:paraId="11EEDAAC">
            <w:r>
              <w:rPr>
                <w:rStyle w:val="10"/>
                <w:rFonts w:hint="eastAsia"/>
              </w:rPr>
              <w:t>总有效成分含量：</w:t>
            </w:r>
            <w:r>
              <w:rPr>
                <w:rFonts w:hint="eastAsia"/>
              </w:rPr>
              <w:t>40%</w:t>
            </w:r>
          </w:p>
        </w:tc>
      </w:tr>
      <w:tr w14:paraId="7D68372F">
        <w:tblPrEx>
          <w:tblCellMar>
            <w:top w:w="0" w:type="dxa"/>
            <w:left w:w="0" w:type="dxa"/>
            <w:bottom w:w="0" w:type="dxa"/>
            <w:right w:w="0" w:type="dxa"/>
          </w:tblCellMar>
        </w:tblPrEx>
        <w:trPr>
          <w:wBefore w:w="0" w:type="auto"/>
          <w:tblCellSpacing w:w="0" w:type="dxa"/>
        </w:trPr>
        <w:tc>
          <w:tcPr>
            <w:tcW w:w="0" w:type="auto"/>
            <w:noWrap w:val="0"/>
            <w:vAlign w:val="center"/>
          </w:tcPr>
          <w:p w14:paraId="381BDA60">
            <w:r>
              <w:rPr>
                <w:rFonts w:hint="eastAsia"/>
              </w:rPr>
              <w:t xml:space="preserve">有效成分及其含量： </w:t>
            </w:r>
          </w:p>
          <w:p w14:paraId="2E6E270C">
            <w:r>
              <w:rPr>
                <w:rFonts w:hint="eastAsia"/>
              </w:rPr>
              <w:t xml:space="preserve">    硝磺草酮40%    </w:t>
            </w:r>
          </w:p>
        </w:tc>
      </w:tr>
      <w:tr w14:paraId="607DD9E5">
        <w:tblPrEx>
          <w:tblCellMar>
            <w:top w:w="0" w:type="dxa"/>
            <w:left w:w="0" w:type="dxa"/>
            <w:bottom w:w="0" w:type="dxa"/>
            <w:right w:w="0" w:type="dxa"/>
          </w:tblCellMar>
        </w:tblPrEx>
        <w:trPr>
          <w:wBefore w:w="0" w:type="auto"/>
          <w:tblCellSpacing w:w="0" w:type="dxa"/>
        </w:trPr>
        <w:tc>
          <w:tcPr>
            <w:tcW w:w="0" w:type="auto"/>
            <w:noWrap w:val="0"/>
            <w:vAlign w:val="center"/>
          </w:tcPr>
          <w:p w14:paraId="13B5161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7D4604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6EF28A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E4242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29C67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6DACD58">
                  <w:r>
                    <w:rPr>
                      <w:rStyle w:val="11"/>
                      <w:rFonts w:hint="eastAsia"/>
                    </w:rPr>
                    <w:t>施用方式</w:t>
                  </w:r>
                </w:p>
              </w:tc>
            </w:tr>
            <w:tr w14:paraId="24B712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272B8BB">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AAA1D2">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3A5DE5">
                  <w:r>
                    <w:rPr>
                      <w:rStyle w:val="11"/>
                      <w:rFonts w:hint="eastAsia"/>
                    </w:rPr>
                    <w:t>20-30毫升/亩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82580E">
                  <w:r>
                    <w:rPr>
                      <w:rStyle w:val="11"/>
                      <w:rFonts w:hint="eastAsia"/>
                    </w:rPr>
                    <w:t>茎叶喷雾</w:t>
                  </w:r>
                </w:p>
              </w:tc>
            </w:tr>
          </w:tbl>
          <w:p w14:paraId="034D7C3A">
            <w:pPr>
              <w:rPr>
                <w:rFonts w:ascii="Times New Roman" w:hAnsi="Times New Roman" w:cs="Times New Roman"/>
                <w:sz w:val="20"/>
                <w:szCs w:val="20"/>
              </w:rPr>
            </w:pPr>
          </w:p>
        </w:tc>
      </w:tr>
      <w:tr w14:paraId="255D51E8">
        <w:tblPrEx>
          <w:tblCellMar>
            <w:top w:w="0" w:type="dxa"/>
            <w:left w:w="0" w:type="dxa"/>
            <w:bottom w:w="0" w:type="dxa"/>
            <w:right w:w="0" w:type="dxa"/>
          </w:tblCellMar>
        </w:tblPrEx>
        <w:trPr>
          <w:wBefore w:w="0" w:type="auto"/>
          <w:tblCellSpacing w:w="0" w:type="dxa"/>
        </w:trPr>
        <w:tc>
          <w:tcPr>
            <w:tcW w:w="0" w:type="auto"/>
            <w:noWrap w:val="0"/>
            <w:vAlign w:val="center"/>
          </w:tcPr>
          <w:p w14:paraId="11DC4851">
            <w:r>
              <w:rPr>
                <w:rStyle w:val="10"/>
                <w:rFonts w:hint="eastAsia"/>
              </w:rPr>
              <w:t>使用技术要求:</w:t>
            </w:r>
            <w:r>
              <w:rPr>
                <w:rFonts w:hint="eastAsia"/>
              </w:rPr>
              <w:br w:type="textWrapping"/>
            </w:r>
            <w:r>
              <w:rPr>
                <w:rStyle w:val="11"/>
                <w:rFonts w:hint="eastAsia"/>
              </w:rPr>
              <w:t>1. 在玉米3-5叶期、杂草2-5叶期，以推荐剂量兑水均匀茎叶喷雾施药一次，亩喷液量30－50升水，草龄较大地块建议使用核准剂量高量。2. 本品在玉米上每季最多使用1次。施药时防止飘移到邻近作物田，以免产生药害。</w:t>
            </w:r>
          </w:p>
        </w:tc>
      </w:tr>
      <w:tr w14:paraId="2D6B2504">
        <w:tblPrEx>
          <w:tblCellMar>
            <w:top w:w="0" w:type="dxa"/>
            <w:left w:w="0" w:type="dxa"/>
            <w:bottom w:w="0" w:type="dxa"/>
            <w:right w:w="0" w:type="dxa"/>
          </w:tblCellMar>
        </w:tblPrEx>
        <w:trPr>
          <w:wBefore w:w="0" w:type="auto"/>
          <w:tblCellSpacing w:w="0" w:type="dxa"/>
        </w:trPr>
        <w:tc>
          <w:tcPr>
            <w:tcW w:w="0" w:type="auto"/>
            <w:noWrap w:val="0"/>
            <w:vAlign w:val="center"/>
          </w:tcPr>
          <w:p w14:paraId="62F5A152">
            <w:r>
              <w:rPr>
                <w:rStyle w:val="10"/>
                <w:rFonts w:hint="eastAsia"/>
              </w:rPr>
              <w:t>产品性能:</w:t>
            </w:r>
            <w:r>
              <w:rPr>
                <w:rFonts w:hint="eastAsia"/>
              </w:rPr>
              <w:br w:type="textWrapping"/>
            </w:r>
            <w:r>
              <w:rPr>
                <w:rStyle w:val="11"/>
                <w:rFonts w:hint="eastAsia"/>
              </w:rPr>
              <w:t>硝磺草酮是一种能够抑制羟基苯基丙酮酸酯双氧化酶苗后广谱选择性除草剂，可有效防除玉米田一年生阔叶杂草和一些禾本科杂草，本品具有作用速度快，杀草谱广且对玉米安全的特点。</w:t>
            </w:r>
          </w:p>
        </w:tc>
      </w:tr>
      <w:tr w14:paraId="2B63B7BA">
        <w:tblPrEx>
          <w:tblCellMar>
            <w:top w:w="0" w:type="dxa"/>
            <w:left w:w="0" w:type="dxa"/>
            <w:bottom w:w="0" w:type="dxa"/>
            <w:right w:w="0" w:type="dxa"/>
          </w:tblCellMar>
        </w:tblPrEx>
        <w:trPr>
          <w:wBefore w:w="0" w:type="auto"/>
          <w:tblCellSpacing w:w="0" w:type="dxa"/>
        </w:trPr>
        <w:tc>
          <w:tcPr>
            <w:tcW w:w="0" w:type="auto"/>
            <w:noWrap w:val="0"/>
            <w:vAlign w:val="center"/>
          </w:tcPr>
          <w:p w14:paraId="7CD96185">
            <w:r>
              <w:rPr>
                <w:rStyle w:val="10"/>
                <w:rFonts w:hint="eastAsia"/>
              </w:rPr>
              <w:t>注意事项：</w:t>
            </w:r>
            <w:r>
              <w:rPr>
                <w:rFonts w:hint="eastAsia"/>
              </w:rPr>
              <w:br w:type="textWrapping"/>
            </w:r>
            <w:r>
              <w:rPr>
                <w:rStyle w:val="11"/>
                <w:rFonts w:hint="eastAsia"/>
              </w:rPr>
              <w:t>1.本品为玉米田专用除草剂。 2.请勿将本品与任何有机磷类、氨基甲酸酯类杀虫剂混用或在间隔7天内使用，请勿通过任何灌溉系统使用本品，以免发生药害。 3. 不同玉米品种对本品敏感性差异大，其中观赏玉米、甜玉米和爆裂玉米较敏感，应谨慎使用。本品不得用于玉米与其他作物的间、套或混种田。 4. 正常气候条件下，本品对后茬作物安全，但后茬种植甜菜、苜蓿、烟草、蔬菜、油菜、豆类需先做试验，后种植。一年两熟制地区,后茬作物不得种植油菜。 5. 水产养殖区、河塘等水体附近禁用，禁止在河塘等水体中清洗施药器具。施药器具在彻底清洗干净后方可用于双子叶作物田喷施其他农药，施药时注意防止飘逸到其他作物上。 6. 本品对眼睛有刺激性，使用时避免接触眼睛，穿戴长衣、长裤、帽子、口罩、手套等防护措施。避免吸入药液。施药期间不可吃东西和饮水，施药后应及时洗手和洗脸。 7. 用药后包装物及用过的容器应妥善处理，不可做他用，也不可随意丢弃。 8. 孕妇及哺乳期妇女禁止接触本品。</w:t>
            </w:r>
          </w:p>
        </w:tc>
      </w:tr>
      <w:tr w14:paraId="159176CC">
        <w:tblPrEx>
          <w:tblCellMar>
            <w:top w:w="0" w:type="dxa"/>
            <w:left w:w="0" w:type="dxa"/>
            <w:bottom w:w="0" w:type="dxa"/>
            <w:right w:w="0" w:type="dxa"/>
          </w:tblCellMar>
        </w:tblPrEx>
        <w:trPr>
          <w:wBefore w:w="0" w:type="auto"/>
          <w:tblCellSpacing w:w="0" w:type="dxa"/>
        </w:trPr>
        <w:tc>
          <w:tcPr>
            <w:tcW w:w="0" w:type="auto"/>
            <w:noWrap w:val="0"/>
            <w:vAlign w:val="center"/>
          </w:tcPr>
          <w:p w14:paraId="2C7BC04A">
            <w:r>
              <w:rPr>
                <w:rStyle w:val="10"/>
                <w:rFonts w:hint="eastAsia"/>
              </w:rPr>
              <w:t>中毒急救措施：</w:t>
            </w:r>
            <w:r>
              <w:rPr>
                <w:rFonts w:hint="eastAsia"/>
              </w:rPr>
              <w:br w:type="textWrapping"/>
            </w:r>
            <w:r>
              <w:rPr>
                <w:rStyle w:val="11"/>
                <w:rFonts w:hint="eastAsia"/>
              </w:rPr>
              <w:t>1. 眼睛溅入∶用清水冲洗眼睛15～20分钟，如配戴隐形眼镜，冲洗5分钟后摘掉眼镜再冲洗数分钟。如症状持续，请就医。 2. 误食∶呼叫急救中心或就医。如尚清醒可喝一杯水。请勿自行引吐。勿让神志不清者食用任何东西。 3. 皮肤沾附∶除去被溅及衣物。用肥皂和大量清水冲洗皮肤15～20分钟。呼叫急救中心或就医。清洗被溅及衣物。 4. 误吸∶转移至空气清新处。如病人停止呼吸，请速叫救护车并进行人工呼吸。进行人工呼吸时请采用适当个人保护措施（如口罩）。呼叫急救中心或就医。 5.给医护人员的提示：无特殊解毒药。医生应该对症治疗。</w:t>
            </w:r>
          </w:p>
        </w:tc>
      </w:tr>
      <w:tr w14:paraId="7B0132B3">
        <w:tblPrEx>
          <w:tblCellMar>
            <w:top w:w="0" w:type="dxa"/>
            <w:left w:w="0" w:type="dxa"/>
            <w:bottom w:w="0" w:type="dxa"/>
            <w:right w:w="0" w:type="dxa"/>
          </w:tblCellMar>
        </w:tblPrEx>
        <w:trPr>
          <w:wBefore w:w="0" w:type="auto"/>
          <w:tblCellSpacing w:w="0" w:type="dxa"/>
        </w:trPr>
        <w:tc>
          <w:tcPr>
            <w:tcW w:w="0" w:type="auto"/>
            <w:noWrap w:val="0"/>
            <w:vAlign w:val="center"/>
          </w:tcPr>
          <w:p w14:paraId="159323B5">
            <w:r>
              <w:rPr>
                <w:rStyle w:val="10"/>
                <w:rFonts w:hint="eastAsia"/>
              </w:rPr>
              <w:t>储存和运输方法：</w:t>
            </w:r>
            <w:r>
              <w:rPr>
                <w:rFonts w:hint="eastAsia"/>
              </w:rPr>
              <w:br w:type="textWrapping"/>
            </w:r>
            <w:r>
              <w:rPr>
                <w:rStyle w:val="11"/>
                <w:rFonts w:hint="eastAsia"/>
              </w:rPr>
              <w:t>1. 置于儿童接触不到的地方。 2. 不能与食品、饮料、粮食、饲料等同贮同运。 3. 贮存于干燥、阴凉、通风、防雨处，远离火源或热源。</w:t>
            </w:r>
          </w:p>
        </w:tc>
      </w:tr>
      <w:tr w14:paraId="28E56287">
        <w:tblPrEx>
          <w:tblCellMar>
            <w:top w:w="0" w:type="dxa"/>
            <w:left w:w="0" w:type="dxa"/>
            <w:bottom w:w="0" w:type="dxa"/>
            <w:right w:w="0" w:type="dxa"/>
          </w:tblCellMar>
        </w:tblPrEx>
        <w:trPr>
          <w:wBefore w:w="0" w:type="auto"/>
          <w:tblCellSpacing w:w="0" w:type="dxa"/>
        </w:trPr>
        <w:tc>
          <w:tcPr>
            <w:tcW w:w="0" w:type="auto"/>
            <w:noWrap w:val="0"/>
            <w:vAlign w:val="center"/>
          </w:tcPr>
          <w:p w14:paraId="1B4E5737">
            <w:r>
              <w:rPr>
                <w:rStyle w:val="10"/>
                <w:rFonts w:hint="eastAsia"/>
              </w:rPr>
              <w:t>质量保证期：</w:t>
            </w:r>
            <w:r>
              <w:rPr>
                <w:rStyle w:val="11"/>
                <w:rFonts w:hint="eastAsia"/>
              </w:rPr>
              <w:t>2年</w:t>
            </w:r>
          </w:p>
        </w:tc>
      </w:tr>
      <w:tr w14:paraId="421A0C65">
        <w:tblPrEx>
          <w:tblCellMar>
            <w:top w:w="0" w:type="dxa"/>
            <w:left w:w="0" w:type="dxa"/>
            <w:bottom w:w="0" w:type="dxa"/>
            <w:right w:w="0" w:type="dxa"/>
          </w:tblCellMar>
        </w:tblPrEx>
        <w:trPr>
          <w:wBefore w:w="0" w:type="auto"/>
          <w:tblCellSpacing w:w="0" w:type="dxa"/>
        </w:trPr>
        <w:tc>
          <w:tcPr>
            <w:tcW w:w="0" w:type="auto"/>
            <w:noWrap w:val="0"/>
            <w:vAlign w:val="center"/>
          </w:tcPr>
          <w:p w14:paraId="08ACE530">
            <w:r>
              <w:rPr>
                <w:rStyle w:val="10"/>
                <w:rFonts w:hint="eastAsia"/>
              </w:rPr>
              <w:t>备注：</w:t>
            </w:r>
            <w:r>
              <w:rPr>
                <w:rFonts w:hint="eastAsia"/>
              </w:rPr>
              <w:br w:type="textWrapping"/>
            </w:r>
            <w:r>
              <w:rPr>
                <w:rStyle w:val="11"/>
                <w:rFonts w:hint="eastAsia"/>
              </w:rPr>
              <w:t>质量浓度480克/升。</w:t>
            </w:r>
          </w:p>
        </w:tc>
      </w:tr>
    </w:tbl>
    <w:p w14:paraId="4669994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60FAC3">
        <w:tblPrEx>
          <w:tblCellMar>
            <w:top w:w="0" w:type="dxa"/>
            <w:left w:w="0" w:type="dxa"/>
            <w:bottom w:w="0" w:type="dxa"/>
            <w:right w:w="0" w:type="dxa"/>
          </w:tblCellMar>
        </w:tblPrEx>
        <w:trPr>
          <w:wBefore w:w="0" w:type="auto"/>
          <w:tblCellSpacing w:w="0" w:type="dxa"/>
        </w:trPr>
        <w:tc>
          <w:tcPr>
            <w:tcW w:w="0" w:type="auto"/>
            <w:noWrap w:val="0"/>
            <w:vAlign w:val="center"/>
          </w:tcPr>
          <w:p w14:paraId="5EBBE64A">
            <w:r>
              <w:rPr>
                <w:rStyle w:val="10"/>
                <w:rFonts w:hint="eastAsia"/>
              </w:rPr>
              <w:t>登记证号：</w:t>
            </w:r>
            <w:r>
              <w:rPr>
                <w:rFonts w:hint="eastAsia"/>
              </w:rPr>
              <w:t>PD20212178</w:t>
            </w:r>
          </w:p>
        </w:tc>
      </w:tr>
      <w:tr w14:paraId="4E3DCAF4">
        <w:tblPrEx>
          <w:tblCellMar>
            <w:top w:w="0" w:type="dxa"/>
            <w:left w:w="0" w:type="dxa"/>
            <w:bottom w:w="0" w:type="dxa"/>
            <w:right w:w="0" w:type="dxa"/>
          </w:tblCellMar>
        </w:tblPrEx>
        <w:trPr>
          <w:wBefore w:w="0" w:type="auto"/>
          <w:tblCellSpacing w:w="0" w:type="dxa"/>
        </w:trPr>
        <w:tc>
          <w:tcPr>
            <w:tcW w:w="0" w:type="auto"/>
            <w:noWrap w:val="0"/>
            <w:vAlign w:val="center"/>
          </w:tcPr>
          <w:p w14:paraId="17539C87">
            <w:r>
              <w:rPr>
                <w:rStyle w:val="10"/>
                <w:rFonts w:hint="eastAsia"/>
              </w:rPr>
              <w:t>登记证持有人：</w:t>
            </w:r>
            <w:r>
              <w:rPr>
                <w:rFonts w:hint="eastAsia"/>
              </w:rPr>
              <w:t>广西桂林瑞合农药有限公司</w:t>
            </w:r>
          </w:p>
        </w:tc>
      </w:tr>
      <w:tr w14:paraId="52C969EE">
        <w:tblPrEx>
          <w:tblCellMar>
            <w:top w:w="0" w:type="dxa"/>
            <w:left w:w="0" w:type="dxa"/>
            <w:bottom w:w="0" w:type="dxa"/>
            <w:right w:w="0" w:type="dxa"/>
          </w:tblCellMar>
        </w:tblPrEx>
        <w:trPr>
          <w:wBefore w:w="0" w:type="auto"/>
          <w:tblCellSpacing w:w="0" w:type="dxa"/>
        </w:trPr>
        <w:tc>
          <w:tcPr>
            <w:tcW w:w="0" w:type="auto"/>
            <w:noWrap w:val="0"/>
            <w:vAlign w:val="center"/>
          </w:tcPr>
          <w:p w14:paraId="1F1F5D31">
            <w:r>
              <w:rPr>
                <w:rStyle w:val="10"/>
                <w:rFonts w:hint="eastAsia"/>
              </w:rPr>
              <w:t>农药名称：</w:t>
            </w:r>
            <w:r>
              <w:rPr>
                <w:rFonts w:hint="eastAsia"/>
              </w:rPr>
              <w:t>滴酸·草甘膦</w:t>
            </w:r>
          </w:p>
        </w:tc>
      </w:tr>
      <w:tr w14:paraId="3379DA67">
        <w:tblPrEx>
          <w:tblCellMar>
            <w:top w:w="0" w:type="dxa"/>
            <w:left w:w="0" w:type="dxa"/>
            <w:bottom w:w="0" w:type="dxa"/>
            <w:right w:w="0" w:type="dxa"/>
          </w:tblCellMar>
        </w:tblPrEx>
        <w:trPr>
          <w:wBefore w:w="0" w:type="auto"/>
          <w:tblCellSpacing w:w="0" w:type="dxa"/>
        </w:trPr>
        <w:tc>
          <w:tcPr>
            <w:tcW w:w="0" w:type="auto"/>
            <w:noWrap w:val="0"/>
            <w:vAlign w:val="center"/>
          </w:tcPr>
          <w:p w14:paraId="17DD23A0">
            <w:r>
              <w:rPr>
                <w:rStyle w:val="10"/>
                <w:rFonts w:hint="eastAsia"/>
              </w:rPr>
              <w:t>剂型：</w:t>
            </w:r>
            <w:r>
              <w:rPr>
                <w:rFonts w:hint="eastAsia"/>
              </w:rPr>
              <w:t>可溶液剂</w:t>
            </w:r>
          </w:p>
        </w:tc>
      </w:tr>
      <w:tr w14:paraId="4C74E4F5">
        <w:tblPrEx>
          <w:tblCellMar>
            <w:top w:w="0" w:type="dxa"/>
            <w:left w:w="0" w:type="dxa"/>
            <w:bottom w:w="0" w:type="dxa"/>
            <w:right w:w="0" w:type="dxa"/>
          </w:tblCellMar>
        </w:tblPrEx>
        <w:trPr>
          <w:wBefore w:w="0" w:type="auto"/>
          <w:tblCellSpacing w:w="0" w:type="dxa"/>
        </w:trPr>
        <w:tc>
          <w:tcPr>
            <w:tcW w:w="0" w:type="auto"/>
            <w:noWrap w:val="0"/>
            <w:vAlign w:val="center"/>
          </w:tcPr>
          <w:p w14:paraId="0E40F6F5">
            <w:r>
              <w:rPr>
                <w:rStyle w:val="10"/>
                <w:rFonts w:hint="eastAsia"/>
              </w:rPr>
              <w:t>毒性及其标识：</w:t>
            </w:r>
            <w:r>
              <w:rPr>
                <w:rFonts w:hint="eastAsia"/>
              </w:rPr>
              <w:t xml:space="preserve"> </w:t>
            </w:r>
            <w:r>
              <w:rPr>
                <w:lang/>
              </w:rPr>
              <w:drawing>
                <wp:inline distT="0" distB="0" distL="114300" distR="114300">
                  <wp:extent cx="476250" cy="323850"/>
                  <wp:effectExtent l="0" t="0" r="0" b="0"/>
                  <wp:docPr id="334" name="图片 33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C0D5687">
        <w:tblPrEx>
          <w:tblCellMar>
            <w:top w:w="0" w:type="dxa"/>
            <w:left w:w="0" w:type="dxa"/>
            <w:bottom w:w="0" w:type="dxa"/>
            <w:right w:w="0" w:type="dxa"/>
          </w:tblCellMar>
        </w:tblPrEx>
        <w:trPr>
          <w:wBefore w:w="0" w:type="auto"/>
          <w:tblCellSpacing w:w="0" w:type="dxa"/>
        </w:trPr>
        <w:tc>
          <w:tcPr>
            <w:tcW w:w="0" w:type="auto"/>
            <w:noWrap w:val="0"/>
            <w:vAlign w:val="center"/>
          </w:tcPr>
          <w:p w14:paraId="5CBCB6F9">
            <w:r>
              <w:rPr>
                <w:rStyle w:val="10"/>
                <w:rFonts w:hint="eastAsia"/>
              </w:rPr>
              <w:t>总有效成分含量：</w:t>
            </w:r>
            <w:r>
              <w:rPr>
                <w:rFonts w:hint="eastAsia"/>
              </w:rPr>
              <w:t>32%</w:t>
            </w:r>
          </w:p>
        </w:tc>
      </w:tr>
      <w:tr w14:paraId="7FEA2FAA">
        <w:tblPrEx>
          <w:tblCellMar>
            <w:top w:w="0" w:type="dxa"/>
            <w:left w:w="0" w:type="dxa"/>
            <w:bottom w:w="0" w:type="dxa"/>
            <w:right w:w="0" w:type="dxa"/>
          </w:tblCellMar>
        </w:tblPrEx>
        <w:trPr>
          <w:wBefore w:w="0" w:type="auto"/>
          <w:tblCellSpacing w:w="0" w:type="dxa"/>
        </w:trPr>
        <w:tc>
          <w:tcPr>
            <w:tcW w:w="0" w:type="auto"/>
            <w:noWrap w:val="0"/>
            <w:vAlign w:val="center"/>
          </w:tcPr>
          <w:p w14:paraId="59CD6C42">
            <w:r>
              <w:rPr>
                <w:rFonts w:hint="eastAsia"/>
              </w:rPr>
              <w:t xml:space="preserve">有效成分及其含量： </w:t>
            </w:r>
          </w:p>
          <w:p w14:paraId="2E44D6F5">
            <w:r>
              <w:rPr>
                <w:rFonts w:hint="eastAsia"/>
              </w:rPr>
              <w:t xml:space="preserve">    草甘膦30%    2,4-滴2%    </w:t>
            </w:r>
          </w:p>
        </w:tc>
      </w:tr>
      <w:tr w14:paraId="4BE29287">
        <w:tblPrEx>
          <w:tblCellMar>
            <w:top w:w="0" w:type="dxa"/>
            <w:left w:w="0" w:type="dxa"/>
            <w:bottom w:w="0" w:type="dxa"/>
            <w:right w:w="0" w:type="dxa"/>
          </w:tblCellMar>
        </w:tblPrEx>
        <w:trPr>
          <w:wBefore w:w="0" w:type="auto"/>
          <w:tblCellSpacing w:w="0" w:type="dxa"/>
        </w:trPr>
        <w:tc>
          <w:tcPr>
            <w:tcW w:w="0" w:type="auto"/>
            <w:noWrap w:val="0"/>
            <w:vAlign w:val="center"/>
          </w:tcPr>
          <w:p w14:paraId="3E8A743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11D4B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4D21C1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C44F76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C67F2D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FE086B5">
                  <w:r>
                    <w:rPr>
                      <w:rStyle w:val="11"/>
                      <w:rFonts w:hint="eastAsia"/>
                    </w:rPr>
                    <w:t>施用方式</w:t>
                  </w:r>
                </w:p>
              </w:tc>
            </w:tr>
            <w:tr w14:paraId="34738A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1616365">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97B4D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583FAC">
                  <w:r>
                    <w:rPr>
                      <w:rStyle w:val="11"/>
                      <w:rFonts w:hint="eastAsia"/>
                    </w:rPr>
                    <w:t>300-400毫升/亩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598A80">
                  <w:r>
                    <w:rPr>
                      <w:rStyle w:val="11"/>
                      <w:rFonts w:hint="eastAsia"/>
                    </w:rPr>
                    <w:t>茎叶喷雾</w:t>
                  </w:r>
                </w:p>
              </w:tc>
            </w:tr>
          </w:tbl>
          <w:p w14:paraId="5C5F8021">
            <w:pPr>
              <w:rPr>
                <w:rFonts w:ascii="Times New Roman" w:hAnsi="Times New Roman" w:cs="Times New Roman"/>
                <w:sz w:val="20"/>
                <w:szCs w:val="20"/>
              </w:rPr>
            </w:pPr>
          </w:p>
        </w:tc>
      </w:tr>
      <w:tr w14:paraId="2E62F54C">
        <w:tblPrEx>
          <w:tblCellMar>
            <w:top w:w="0" w:type="dxa"/>
            <w:left w:w="0" w:type="dxa"/>
            <w:bottom w:w="0" w:type="dxa"/>
            <w:right w:w="0" w:type="dxa"/>
          </w:tblCellMar>
        </w:tblPrEx>
        <w:trPr>
          <w:wBefore w:w="0" w:type="auto"/>
          <w:tblCellSpacing w:w="0" w:type="dxa"/>
        </w:trPr>
        <w:tc>
          <w:tcPr>
            <w:tcW w:w="0" w:type="auto"/>
            <w:noWrap w:val="0"/>
            <w:vAlign w:val="center"/>
          </w:tcPr>
          <w:p w14:paraId="4556BC24">
            <w:r>
              <w:rPr>
                <w:rStyle w:val="10"/>
                <w:rFonts w:hint="eastAsia"/>
              </w:rPr>
              <w:t>使用技术要求:</w:t>
            </w:r>
            <w:r>
              <w:rPr>
                <w:rFonts w:hint="eastAsia"/>
              </w:rPr>
              <w:br w:type="textWrapping"/>
            </w:r>
            <w:r>
              <w:rPr>
                <w:rStyle w:val="11"/>
                <w:rFonts w:hint="eastAsia"/>
              </w:rPr>
              <w:t>1、在非耕地杂草旺盛生长期，以推荐剂量兑水均匀茎叶喷雾施药一次。 2.施药时注意防止药雾漂移到非目标植物上造成药害。3.大风天或预计6小时内降雨，请勿施药。</w:t>
            </w:r>
          </w:p>
        </w:tc>
      </w:tr>
      <w:tr w14:paraId="67BEEC1A">
        <w:tblPrEx>
          <w:tblCellMar>
            <w:top w:w="0" w:type="dxa"/>
            <w:left w:w="0" w:type="dxa"/>
            <w:bottom w:w="0" w:type="dxa"/>
            <w:right w:w="0" w:type="dxa"/>
          </w:tblCellMar>
        </w:tblPrEx>
        <w:trPr>
          <w:wBefore w:w="0" w:type="auto"/>
          <w:tblCellSpacing w:w="0" w:type="dxa"/>
        </w:trPr>
        <w:tc>
          <w:tcPr>
            <w:tcW w:w="0" w:type="auto"/>
            <w:noWrap w:val="0"/>
            <w:vAlign w:val="center"/>
          </w:tcPr>
          <w:p w14:paraId="2EAA595B">
            <w:r>
              <w:rPr>
                <w:rStyle w:val="10"/>
                <w:rFonts w:hint="eastAsia"/>
              </w:rPr>
              <w:t>产品性能:</w:t>
            </w:r>
            <w:r>
              <w:rPr>
                <w:rFonts w:hint="eastAsia"/>
              </w:rPr>
              <w:br w:type="textWrapping"/>
            </w:r>
            <w:r>
              <w:rPr>
                <w:rStyle w:val="11"/>
                <w:rFonts w:hint="eastAsia"/>
              </w:rPr>
              <w:t>2,4-滴为选择性内吸性除草剂，作用机理类似吲哚乙酸。草甘膦为内吸传导型灭生性除草剂。主要抑制植物体内的烯醇丙酮基莽草素磷酸合成酶，从而抑制莽草素向苯丙氨酸、酪氨酸及色氨酸的转化，使蛋白质合成受到干扰，导致植物死亡。两者混配可用于防除非耕地杂草。</w:t>
            </w:r>
          </w:p>
        </w:tc>
      </w:tr>
      <w:tr w14:paraId="5F31AE5F">
        <w:tblPrEx>
          <w:tblCellMar>
            <w:top w:w="0" w:type="dxa"/>
            <w:left w:w="0" w:type="dxa"/>
            <w:bottom w:w="0" w:type="dxa"/>
            <w:right w:w="0" w:type="dxa"/>
          </w:tblCellMar>
        </w:tblPrEx>
        <w:trPr>
          <w:wBefore w:w="0" w:type="auto"/>
          <w:tblCellSpacing w:w="0" w:type="dxa"/>
        </w:trPr>
        <w:tc>
          <w:tcPr>
            <w:tcW w:w="0" w:type="auto"/>
            <w:noWrap w:val="0"/>
            <w:vAlign w:val="center"/>
          </w:tcPr>
          <w:p w14:paraId="79923490">
            <w:r>
              <w:rPr>
                <w:rStyle w:val="10"/>
                <w:rFonts w:hint="eastAsia"/>
              </w:rPr>
              <w:t>注意事项：</w:t>
            </w:r>
            <w:r>
              <w:rPr>
                <w:rFonts w:hint="eastAsia"/>
              </w:rPr>
              <w:br w:type="textWrapping"/>
            </w:r>
            <w:r>
              <w:rPr>
                <w:rStyle w:val="11"/>
                <w:rFonts w:hint="eastAsia"/>
              </w:rPr>
              <w:t>1、本品每季最多使用1次。2.本品施药后5天内勿割草、放牧、翻地等。3.本品不可用铁器存放，并且不能使用无镶衬的铁质喷雾器喷雾。4.对眼睛有刺激性，使用时避免接触眼睛，穿戴长衣、长裤、帽子、口罩、手套等安全防护措施。避免皮肤接触及口鼻吸入。使用中不可吸烟、饮水及吃东西，使用后及时用大量清水和肥皂洗手、脸等暴露部位皮肤并更换衣物。5.本品对水生生物有毒，远离水产养殖区施药，禁止在河塘等水体中清洗施药器具，清洗器具的废水不能排入河流、池塘等水源。6.废弃物要妥善处理，不能随便丢弃，也不能做他用。7.禁止儿童、孕妇和哺乳期妇女接触。过敏者禁用，使用中有任何不良反应请及时就医。8.避免与氧化剂接触。9.避免飘移药害。10.禁止在田间道路、田埂、果树行间、休耕地、林场林地等农林业区域使用</w:t>
            </w:r>
          </w:p>
        </w:tc>
      </w:tr>
      <w:tr w14:paraId="2DFF4B30">
        <w:tblPrEx>
          <w:tblCellMar>
            <w:top w:w="0" w:type="dxa"/>
            <w:left w:w="0" w:type="dxa"/>
            <w:bottom w:w="0" w:type="dxa"/>
            <w:right w:w="0" w:type="dxa"/>
          </w:tblCellMar>
        </w:tblPrEx>
        <w:trPr>
          <w:wBefore w:w="0" w:type="auto"/>
          <w:tblCellSpacing w:w="0" w:type="dxa"/>
        </w:trPr>
        <w:tc>
          <w:tcPr>
            <w:tcW w:w="0" w:type="auto"/>
            <w:noWrap w:val="0"/>
            <w:vAlign w:val="center"/>
          </w:tcPr>
          <w:p w14:paraId="02844350">
            <w:r>
              <w:rPr>
                <w:rStyle w:val="10"/>
                <w:rFonts w:hint="eastAsia"/>
              </w:rPr>
              <w:t>中毒急救措施：</w:t>
            </w:r>
            <w:r>
              <w:rPr>
                <w:rFonts w:hint="eastAsia"/>
              </w:rPr>
              <w:br w:type="textWrapping"/>
            </w:r>
            <w:r>
              <w:rPr>
                <w:rStyle w:val="11"/>
                <w:rFonts w:hint="eastAsia"/>
              </w:rPr>
              <w:t>对眼睛和皮肤有刺激作用。 急救措施：使用中或使用后如果感觉不适，应立即停止工作，采取急救措施，并携带标签送医院就诊。 皮肤接触：脱去污染的衣物，用软布去除污染农药，立即用大量清水和肥皂冲洗。 眼睛接触：立即用流动清水冲洗至少15分钟。 吸入：立即离开施药现场，转移到空气清新处。 误服：立即停止服用，用清水充分漱口后立即携带农药标签到医院就诊。本品无特效解毒剂，对症治疗。中毒时，请拨打中国疾病中心中毒控制中心咨询热线：400-650-5726。</w:t>
            </w:r>
          </w:p>
        </w:tc>
      </w:tr>
      <w:tr w14:paraId="1A0B40A6">
        <w:tblPrEx>
          <w:tblCellMar>
            <w:top w:w="0" w:type="dxa"/>
            <w:left w:w="0" w:type="dxa"/>
            <w:bottom w:w="0" w:type="dxa"/>
            <w:right w:w="0" w:type="dxa"/>
          </w:tblCellMar>
        </w:tblPrEx>
        <w:trPr>
          <w:wBefore w:w="0" w:type="auto"/>
          <w:tblCellSpacing w:w="0" w:type="dxa"/>
        </w:trPr>
        <w:tc>
          <w:tcPr>
            <w:tcW w:w="0" w:type="auto"/>
            <w:noWrap w:val="0"/>
            <w:vAlign w:val="center"/>
          </w:tcPr>
          <w:p w14:paraId="5CA23EA2">
            <w:r>
              <w:rPr>
                <w:rStyle w:val="10"/>
                <w:rFonts w:hint="eastAsia"/>
              </w:rPr>
              <w:t>储存和运输方法：</w:t>
            </w:r>
            <w:r>
              <w:rPr>
                <w:rFonts w:hint="eastAsia"/>
              </w:rPr>
              <w:br w:type="textWrapping"/>
            </w:r>
            <w:r>
              <w:rPr>
                <w:rStyle w:val="11"/>
                <w:rFonts w:hint="eastAsia"/>
              </w:rPr>
              <w:t>本品应贮存在通风、干燥的库房中。贮运时，严防潮湿和日晒， 远离火源或远离热源。置于儿童、无关人员及动物接触不到的地方，并加锁保存。勿与食品、饮料、饲料和粮食等其他商品同贮同运。</w:t>
            </w:r>
          </w:p>
        </w:tc>
      </w:tr>
      <w:tr w14:paraId="3D2B6F4C">
        <w:tblPrEx>
          <w:tblCellMar>
            <w:top w:w="0" w:type="dxa"/>
            <w:left w:w="0" w:type="dxa"/>
            <w:bottom w:w="0" w:type="dxa"/>
            <w:right w:w="0" w:type="dxa"/>
          </w:tblCellMar>
        </w:tblPrEx>
        <w:trPr>
          <w:wBefore w:w="0" w:type="auto"/>
          <w:tblCellSpacing w:w="0" w:type="dxa"/>
        </w:trPr>
        <w:tc>
          <w:tcPr>
            <w:tcW w:w="0" w:type="auto"/>
            <w:noWrap w:val="0"/>
            <w:vAlign w:val="center"/>
          </w:tcPr>
          <w:p w14:paraId="35AD89D6">
            <w:r>
              <w:rPr>
                <w:rStyle w:val="10"/>
                <w:rFonts w:hint="eastAsia"/>
              </w:rPr>
              <w:t>质量保证期：</w:t>
            </w:r>
            <w:r>
              <w:rPr>
                <w:rStyle w:val="11"/>
                <w:rFonts w:hint="eastAsia"/>
              </w:rPr>
              <w:t>2年</w:t>
            </w:r>
          </w:p>
        </w:tc>
      </w:tr>
      <w:tr w14:paraId="50FBBFBD">
        <w:tblPrEx>
          <w:tblCellMar>
            <w:top w:w="0" w:type="dxa"/>
            <w:left w:w="0" w:type="dxa"/>
            <w:bottom w:w="0" w:type="dxa"/>
            <w:right w:w="0" w:type="dxa"/>
          </w:tblCellMar>
        </w:tblPrEx>
        <w:trPr>
          <w:wBefore w:w="0" w:type="auto"/>
          <w:tblCellSpacing w:w="0" w:type="dxa"/>
        </w:trPr>
        <w:tc>
          <w:tcPr>
            <w:tcW w:w="0" w:type="auto"/>
            <w:noWrap w:val="0"/>
            <w:vAlign w:val="center"/>
          </w:tcPr>
          <w:p w14:paraId="0D3F3184">
            <w:r>
              <w:rPr>
                <w:rStyle w:val="10"/>
                <w:rFonts w:hint="eastAsia"/>
              </w:rPr>
              <w:t>备注：</w:t>
            </w:r>
            <w:r>
              <w:rPr>
                <w:rFonts w:hint="eastAsia"/>
              </w:rPr>
              <w:br w:type="textWrapping"/>
            </w:r>
            <w:r>
              <w:rPr>
                <w:rStyle w:val="11"/>
                <w:rFonts w:hint="eastAsia"/>
              </w:rPr>
              <w:t>2,4滴钠盐质量分数2.2%；草甘膦铵盐质量分数33%</w:t>
            </w:r>
          </w:p>
        </w:tc>
      </w:tr>
    </w:tbl>
    <w:p w14:paraId="1177F91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BBE30BD">
        <w:tblPrEx>
          <w:tblCellMar>
            <w:top w:w="0" w:type="dxa"/>
            <w:left w:w="0" w:type="dxa"/>
            <w:bottom w:w="0" w:type="dxa"/>
            <w:right w:w="0" w:type="dxa"/>
          </w:tblCellMar>
        </w:tblPrEx>
        <w:trPr>
          <w:wBefore w:w="0" w:type="auto"/>
          <w:tblCellSpacing w:w="0" w:type="dxa"/>
        </w:trPr>
        <w:tc>
          <w:tcPr>
            <w:tcW w:w="0" w:type="auto"/>
            <w:noWrap w:val="0"/>
            <w:vAlign w:val="center"/>
          </w:tcPr>
          <w:p w14:paraId="58B989A4">
            <w:r>
              <w:rPr>
                <w:rStyle w:val="10"/>
                <w:rFonts w:hint="eastAsia"/>
              </w:rPr>
              <w:t>登记证号：</w:t>
            </w:r>
            <w:r>
              <w:rPr>
                <w:rFonts w:hint="eastAsia"/>
              </w:rPr>
              <w:t>PD20212046</w:t>
            </w:r>
          </w:p>
        </w:tc>
      </w:tr>
      <w:tr w14:paraId="2F101FC6">
        <w:tblPrEx>
          <w:tblCellMar>
            <w:top w:w="0" w:type="dxa"/>
            <w:left w:w="0" w:type="dxa"/>
            <w:bottom w:w="0" w:type="dxa"/>
            <w:right w:w="0" w:type="dxa"/>
          </w:tblCellMar>
        </w:tblPrEx>
        <w:trPr>
          <w:wBefore w:w="0" w:type="auto"/>
          <w:tblCellSpacing w:w="0" w:type="dxa"/>
        </w:trPr>
        <w:tc>
          <w:tcPr>
            <w:tcW w:w="0" w:type="auto"/>
            <w:noWrap w:val="0"/>
            <w:vAlign w:val="center"/>
          </w:tcPr>
          <w:p w14:paraId="4077AE8B">
            <w:r>
              <w:rPr>
                <w:rStyle w:val="10"/>
                <w:rFonts w:hint="eastAsia"/>
              </w:rPr>
              <w:t>登记证持有人：</w:t>
            </w:r>
            <w:r>
              <w:rPr>
                <w:rFonts w:hint="eastAsia"/>
              </w:rPr>
              <w:t>陕西美邦药业集团股份有限公司</w:t>
            </w:r>
          </w:p>
        </w:tc>
      </w:tr>
      <w:tr w14:paraId="27C013D3">
        <w:tblPrEx>
          <w:tblCellMar>
            <w:top w:w="0" w:type="dxa"/>
            <w:left w:w="0" w:type="dxa"/>
            <w:bottom w:w="0" w:type="dxa"/>
            <w:right w:w="0" w:type="dxa"/>
          </w:tblCellMar>
        </w:tblPrEx>
        <w:trPr>
          <w:wBefore w:w="0" w:type="auto"/>
          <w:tblCellSpacing w:w="0" w:type="dxa"/>
        </w:trPr>
        <w:tc>
          <w:tcPr>
            <w:tcW w:w="0" w:type="auto"/>
            <w:noWrap w:val="0"/>
            <w:vAlign w:val="center"/>
          </w:tcPr>
          <w:p w14:paraId="5A3C42E2">
            <w:r>
              <w:rPr>
                <w:rStyle w:val="10"/>
                <w:rFonts w:hint="eastAsia"/>
              </w:rPr>
              <w:t>农药名称：</w:t>
            </w:r>
            <w:r>
              <w:rPr>
                <w:rFonts w:hint="eastAsia"/>
              </w:rPr>
              <w:t>吲丁·萘乙酸</w:t>
            </w:r>
          </w:p>
        </w:tc>
      </w:tr>
      <w:tr w14:paraId="182DF5E7">
        <w:tblPrEx>
          <w:tblCellMar>
            <w:top w:w="0" w:type="dxa"/>
            <w:left w:w="0" w:type="dxa"/>
            <w:bottom w:w="0" w:type="dxa"/>
            <w:right w:w="0" w:type="dxa"/>
          </w:tblCellMar>
        </w:tblPrEx>
        <w:trPr>
          <w:wBefore w:w="0" w:type="auto"/>
          <w:tblCellSpacing w:w="0" w:type="dxa"/>
        </w:trPr>
        <w:tc>
          <w:tcPr>
            <w:tcW w:w="0" w:type="auto"/>
            <w:noWrap w:val="0"/>
            <w:vAlign w:val="center"/>
          </w:tcPr>
          <w:p w14:paraId="4FD2ABBE">
            <w:r>
              <w:rPr>
                <w:rStyle w:val="10"/>
                <w:rFonts w:hint="eastAsia"/>
              </w:rPr>
              <w:t>剂型：</w:t>
            </w:r>
            <w:r>
              <w:rPr>
                <w:rFonts w:hint="eastAsia"/>
              </w:rPr>
              <w:t>种子处理液剂</w:t>
            </w:r>
          </w:p>
        </w:tc>
      </w:tr>
      <w:tr w14:paraId="5A977BB4">
        <w:tblPrEx>
          <w:tblCellMar>
            <w:top w:w="0" w:type="dxa"/>
            <w:left w:w="0" w:type="dxa"/>
            <w:bottom w:w="0" w:type="dxa"/>
            <w:right w:w="0" w:type="dxa"/>
          </w:tblCellMar>
        </w:tblPrEx>
        <w:trPr>
          <w:wBefore w:w="0" w:type="auto"/>
          <w:tblCellSpacing w:w="0" w:type="dxa"/>
        </w:trPr>
        <w:tc>
          <w:tcPr>
            <w:tcW w:w="0" w:type="auto"/>
            <w:noWrap w:val="0"/>
            <w:vAlign w:val="center"/>
          </w:tcPr>
          <w:p w14:paraId="6499B54D">
            <w:r>
              <w:rPr>
                <w:rStyle w:val="10"/>
                <w:rFonts w:hint="eastAsia"/>
              </w:rPr>
              <w:t>毒性及其标识：</w:t>
            </w:r>
            <w:r>
              <w:rPr>
                <w:rFonts w:hint="eastAsia"/>
              </w:rPr>
              <w:t xml:space="preserve"> 微毒 </w:t>
            </w:r>
          </w:p>
        </w:tc>
      </w:tr>
      <w:tr w14:paraId="49D3735A">
        <w:tblPrEx>
          <w:tblCellMar>
            <w:top w:w="0" w:type="dxa"/>
            <w:left w:w="0" w:type="dxa"/>
            <w:bottom w:w="0" w:type="dxa"/>
            <w:right w:w="0" w:type="dxa"/>
          </w:tblCellMar>
        </w:tblPrEx>
        <w:trPr>
          <w:wBefore w:w="0" w:type="auto"/>
          <w:tblCellSpacing w:w="0" w:type="dxa"/>
        </w:trPr>
        <w:tc>
          <w:tcPr>
            <w:tcW w:w="0" w:type="auto"/>
            <w:noWrap w:val="0"/>
            <w:vAlign w:val="center"/>
          </w:tcPr>
          <w:p w14:paraId="06332C0E">
            <w:r>
              <w:rPr>
                <w:rStyle w:val="10"/>
                <w:rFonts w:hint="eastAsia"/>
              </w:rPr>
              <w:t>总有效成分含量：</w:t>
            </w:r>
            <w:r>
              <w:rPr>
                <w:rFonts w:hint="eastAsia"/>
              </w:rPr>
              <w:t>1%</w:t>
            </w:r>
          </w:p>
        </w:tc>
      </w:tr>
      <w:tr w14:paraId="12DF45F1">
        <w:tblPrEx>
          <w:tblCellMar>
            <w:top w:w="0" w:type="dxa"/>
            <w:left w:w="0" w:type="dxa"/>
            <w:bottom w:w="0" w:type="dxa"/>
            <w:right w:w="0" w:type="dxa"/>
          </w:tblCellMar>
        </w:tblPrEx>
        <w:trPr>
          <w:wBefore w:w="0" w:type="auto"/>
          <w:tblCellSpacing w:w="0" w:type="dxa"/>
        </w:trPr>
        <w:tc>
          <w:tcPr>
            <w:tcW w:w="0" w:type="auto"/>
            <w:noWrap w:val="0"/>
            <w:vAlign w:val="center"/>
          </w:tcPr>
          <w:p w14:paraId="6987C8AE">
            <w:r>
              <w:rPr>
                <w:rFonts w:hint="eastAsia"/>
              </w:rPr>
              <w:t xml:space="preserve">有效成分及其含量： </w:t>
            </w:r>
          </w:p>
          <w:p w14:paraId="398F776E">
            <w:r>
              <w:rPr>
                <w:rFonts w:hint="eastAsia"/>
              </w:rPr>
              <w:t xml:space="preserve">    萘乙酸0.19%    吲哚丁酸0.81%    </w:t>
            </w:r>
          </w:p>
        </w:tc>
      </w:tr>
      <w:tr w14:paraId="2BD46610">
        <w:tblPrEx>
          <w:tblCellMar>
            <w:top w:w="0" w:type="dxa"/>
            <w:left w:w="0" w:type="dxa"/>
            <w:bottom w:w="0" w:type="dxa"/>
            <w:right w:w="0" w:type="dxa"/>
          </w:tblCellMar>
        </w:tblPrEx>
        <w:trPr>
          <w:wBefore w:w="0" w:type="auto"/>
          <w:tblCellSpacing w:w="0" w:type="dxa"/>
        </w:trPr>
        <w:tc>
          <w:tcPr>
            <w:tcW w:w="0" w:type="auto"/>
            <w:noWrap w:val="0"/>
            <w:vAlign w:val="center"/>
          </w:tcPr>
          <w:p w14:paraId="0AF9B44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6005A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609F1B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3884F5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C9BF7D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C740DA0">
                  <w:r>
                    <w:rPr>
                      <w:rStyle w:val="11"/>
                      <w:rFonts w:hint="eastAsia"/>
                    </w:rPr>
                    <w:t>施用方式</w:t>
                  </w:r>
                </w:p>
              </w:tc>
            </w:tr>
            <w:tr w14:paraId="43CA47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6C35B28">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A2316A">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6E4C25">
                  <w:r>
                    <w:rPr>
                      <w:rStyle w:val="11"/>
                      <w:rFonts w:hint="eastAsia"/>
                    </w:rPr>
                    <w:t>3800-4700倍液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EABBA2">
                  <w:r>
                    <w:rPr>
                      <w:rStyle w:val="11"/>
                      <w:rFonts w:hint="eastAsia"/>
                    </w:rPr>
                    <w:t>浸种</w:t>
                  </w:r>
                </w:p>
              </w:tc>
            </w:tr>
          </w:tbl>
          <w:p w14:paraId="2970D326">
            <w:pPr>
              <w:rPr>
                <w:rFonts w:ascii="Times New Roman" w:hAnsi="Times New Roman" w:cs="Times New Roman"/>
                <w:sz w:val="20"/>
                <w:szCs w:val="20"/>
              </w:rPr>
            </w:pPr>
          </w:p>
        </w:tc>
      </w:tr>
      <w:tr w14:paraId="5CDCE1E5">
        <w:tblPrEx>
          <w:tblCellMar>
            <w:top w:w="0" w:type="dxa"/>
            <w:left w:w="0" w:type="dxa"/>
            <w:bottom w:w="0" w:type="dxa"/>
            <w:right w:w="0" w:type="dxa"/>
          </w:tblCellMar>
        </w:tblPrEx>
        <w:trPr>
          <w:wBefore w:w="0" w:type="auto"/>
          <w:tblCellSpacing w:w="0" w:type="dxa"/>
        </w:trPr>
        <w:tc>
          <w:tcPr>
            <w:tcW w:w="0" w:type="auto"/>
            <w:noWrap w:val="0"/>
            <w:vAlign w:val="center"/>
          </w:tcPr>
          <w:p w14:paraId="30AA756E">
            <w:r>
              <w:rPr>
                <w:rStyle w:val="10"/>
                <w:rFonts w:hint="eastAsia"/>
              </w:rPr>
              <w:t>使用技术要求:</w:t>
            </w:r>
            <w:r>
              <w:rPr>
                <w:rFonts w:hint="eastAsia"/>
              </w:rPr>
              <w:br w:type="textWrapping"/>
            </w:r>
            <w:r>
              <w:rPr>
                <w:rStyle w:val="11"/>
                <w:rFonts w:hint="eastAsia"/>
              </w:rPr>
              <w:t>1.在黄瓜播种前按照推荐剂量浸种，忌用金属工具和容器。 2.每季作物最多使用1次。</w:t>
            </w:r>
          </w:p>
        </w:tc>
      </w:tr>
      <w:tr w14:paraId="66F594C7">
        <w:tblPrEx>
          <w:tblCellMar>
            <w:top w:w="0" w:type="dxa"/>
            <w:left w:w="0" w:type="dxa"/>
            <w:bottom w:w="0" w:type="dxa"/>
            <w:right w:w="0" w:type="dxa"/>
          </w:tblCellMar>
        </w:tblPrEx>
        <w:trPr>
          <w:wBefore w:w="0" w:type="auto"/>
          <w:tblCellSpacing w:w="0" w:type="dxa"/>
        </w:trPr>
        <w:tc>
          <w:tcPr>
            <w:tcW w:w="0" w:type="auto"/>
            <w:noWrap w:val="0"/>
            <w:vAlign w:val="center"/>
          </w:tcPr>
          <w:p w14:paraId="2C93810B">
            <w:r>
              <w:rPr>
                <w:rStyle w:val="10"/>
                <w:rFonts w:hint="eastAsia"/>
              </w:rPr>
              <w:t>产品性能:</w:t>
            </w:r>
            <w:r>
              <w:rPr>
                <w:rFonts w:hint="eastAsia"/>
              </w:rPr>
              <w:br w:type="textWrapping"/>
            </w:r>
            <w:r>
              <w:rPr>
                <w:rStyle w:val="11"/>
                <w:rFonts w:hint="eastAsia"/>
              </w:rPr>
              <w:t>本品能促进细胞分裂与扩大，诱导形成不定根，增加座果率等。药剂可经由叶片、树枝的嫩表皮、种子进入到植株体内，随营养流输导到起作用的部位，达到调节生长的目的。</w:t>
            </w:r>
          </w:p>
        </w:tc>
      </w:tr>
      <w:tr w14:paraId="35FD4BCE">
        <w:tblPrEx>
          <w:tblCellMar>
            <w:top w:w="0" w:type="dxa"/>
            <w:left w:w="0" w:type="dxa"/>
            <w:bottom w:w="0" w:type="dxa"/>
            <w:right w:w="0" w:type="dxa"/>
          </w:tblCellMar>
        </w:tblPrEx>
        <w:trPr>
          <w:wBefore w:w="0" w:type="auto"/>
          <w:tblCellSpacing w:w="0" w:type="dxa"/>
        </w:trPr>
        <w:tc>
          <w:tcPr>
            <w:tcW w:w="0" w:type="auto"/>
            <w:noWrap w:val="0"/>
            <w:vAlign w:val="center"/>
          </w:tcPr>
          <w:p w14:paraId="1961362F">
            <w:r>
              <w:rPr>
                <w:rStyle w:val="10"/>
                <w:rFonts w:hint="eastAsia"/>
              </w:rPr>
              <w:t>注意事项：</w:t>
            </w:r>
            <w:r>
              <w:rPr>
                <w:rFonts w:hint="eastAsia"/>
              </w:rPr>
              <w:br w:type="textWrapping"/>
            </w:r>
            <w:r>
              <w:rPr>
                <w:rStyle w:val="11"/>
                <w:rFonts w:hint="eastAsia"/>
              </w:rPr>
              <w:t>1.严格按照规定用药量和方法使用。 2. 禁止在河塘等水体中清洗施药器具。 3. 本品对眼睛有中度刺激性，使用时穿戴长衣长裤、帽子、口罩、手套、鞋和护目镜等安全防护措施。施药期间不可吃东西、饮水、吸烟等；施药后应及时洗手、洗脸并洗涤施药时穿着的衣物。 4. 使用过的药械需清洗三遍，在洗涤药械和处理废弃物时不要污染水源，用药后包装物及用过的容器应妥善处理，不可做他用，也不可随意丢弃。 5. 孕妇及哺乳期妇女禁止接触本品。 6.避免与氧化剂接触。</w:t>
            </w:r>
          </w:p>
        </w:tc>
      </w:tr>
      <w:tr w14:paraId="609ECAF8">
        <w:tblPrEx>
          <w:tblCellMar>
            <w:top w:w="0" w:type="dxa"/>
            <w:left w:w="0" w:type="dxa"/>
            <w:bottom w:w="0" w:type="dxa"/>
            <w:right w:w="0" w:type="dxa"/>
          </w:tblCellMar>
        </w:tblPrEx>
        <w:trPr>
          <w:wBefore w:w="0" w:type="auto"/>
          <w:tblCellSpacing w:w="0" w:type="dxa"/>
        </w:trPr>
        <w:tc>
          <w:tcPr>
            <w:tcW w:w="0" w:type="auto"/>
            <w:noWrap w:val="0"/>
            <w:vAlign w:val="center"/>
          </w:tcPr>
          <w:p w14:paraId="76865AFE">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1977BF2D">
        <w:tblPrEx>
          <w:tblCellMar>
            <w:top w:w="0" w:type="dxa"/>
            <w:left w:w="0" w:type="dxa"/>
            <w:bottom w:w="0" w:type="dxa"/>
            <w:right w:w="0" w:type="dxa"/>
          </w:tblCellMar>
        </w:tblPrEx>
        <w:trPr>
          <w:wBefore w:w="0" w:type="auto"/>
          <w:tblCellSpacing w:w="0" w:type="dxa"/>
        </w:trPr>
        <w:tc>
          <w:tcPr>
            <w:tcW w:w="0" w:type="auto"/>
            <w:noWrap w:val="0"/>
            <w:vAlign w:val="center"/>
          </w:tcPr>
          <w:p w14:paraId="26BA4C29">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本品应贮存在干燥、阴凉、通风、防雨处，远离火源或热源。置于儿童、无关人员及动物触及不到之处，并加锁保存。勿与食品、饮料、粮食、饲料和种子等同贮同运。</w:t>
            </w:r>
          </w:p>
        </w:tc>
      </w:tr>
      <w:tr w14:paraId="3AE39221">
        <w:tblPrEx>
          <w:tblCellMar>
            <w:top w:w="0" w:type="dxa"/>
            <w:left w:w="0" w:type="dxa"/>
            <w:bottom w:w="0" w:type="dxa"/>
            <w:right w:w="0" w:type="dxa"/>
          </w:tblCellMar>
        </w:tblPrEx>
        <w:trPr>
          <w:wBefore w:w="0" w:type="auto"/>
          <w:tblCellSpacing w:w="0" w:type="dxa"/>
        </w:trPr>
        <w:tc>
          <w:tcPr>
            <w:tcW w:w="0" w:type="auto"/>
            <w:noWrap w:val="0"/>
            <w:vAlign w:val="center"/>
          </w:tcPr>
          <w:p w14:paraId="39F06BE4">
            <w:r>
              <w:rPr>
                <w:rStyle w:val="10"/>
                <w:rFonts w:hint="eastAsia"/>
              </w:rPr>
              <w:t>质量保证期：</w:t>
            </w:r>
            <w:r>
              <w:rPr>
                <w:rStyle w:val="11"/>
                <w:rFonts w:hint="eastAsia"/>
              </w:rPr>
              <w:t>2年</w:t>
            </w:r>
          </w:p>
        </w:tc>
      </w:tr>
      <w:tr w14:paraId="469E5E3F">
        <w:tblPrEx>
          <w:tblCellMar>
            <w:top w:w="0" w:type="dxa"/>
            <w:left w:w="0" w:type="dxa"/>
            <w:bottom w:w="0" w:type="dxa"/>
            <w:right w:w="0" w:type="dxa"/>
          </w:tblCellMar>
        </w:tblPrEx>
        <w:trPr>
          <w:wBefore w:w="0" w:type="auto"/>
          <w:tblCellSpacing w:w="0" w:type="dxa"/>
        </w:trPr>
        <w:tc>
          <w:tcPr>
            <w:tcW w:w="0" w:type="auto"/>
            <w:noWrap w:val="0"/>
            <w:vAlign w:val="center"/>
          </w:tcPr>
          <w:p w14:paraId="31520529">
            <w:r>
              <w:rPr>
                <w:rStyle w:val="10"/>
                <w:rFonts w:hint="eastAsia"/>
              </w:rPr>
              <w:t>备注：</w:t>
            </w:r>
          </w:p>
        </w:tc>
      </w:tr>
    </w:tbl>
    <w:p w14:paraId="69BCF70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4D06A75">
        <w:tblPrEx>
          <w:tblCellMar>
            <w:top w:w="0" w:type="dxa"/>
            <w:left w:w="0" w:type="dxa"/>
            <w:bottom w:w="0" w:type="dxa"/>
            <w:right w:w="0" w:type="dxa"/>
          </w:tblCellMar>
        </w:tblPrEx>
        <w:trPr>
          <w:wBefore w:w="0" w:type="auto"/>
          <w:tblCellSpacing w:w="0" w:type="dxa"/>
        </w:trPr>
        <w:tc>
          <w:tcPr>
            <w:tcW w:w="0" w:type="auto"/>
            <w:noWrap w:val="0"/>
            <w:vAlign w:val="center"/>
          </w:tcPr>
          <w:p w14:paraId="617ED597">
            <w:r>
              <w:rPr>
                <w:rStyle w:val="10"/>
                <w:rFonts w:hint="eastAsia"/>
              </w:rPr>
              <w:t>登记证号：</w:t>
            </w:r>
            <w:r>
              <w:rPr>
                <w:rFonts w:hint="eastAsia"/>
              </w:rPr>
              <w:t>PD20212248</w:t>
            </w:r>
          </w:p>
        </w:tc>
      </w:tr>
      <w:tr w14:paraId="0FB98B8D">
        <w:tblPrEx>
          <w:tblCellMar>
            <w:top w:w="0" w:type="dxa"/>
            <w:left w:w="0" w:type="dxa"/>
            <w:bottom w:w="0" w:type="dxa"/>
            <w:right w:w="0" w:type="dxa"/>
          </w:tblCellMar>
        </w:tblPrEx>
        <w:trPr>
          <w:wBefore w:w="0" w:type="auto"/>
          <w:tblCellSpacing w:w="0" w:type="dxa"/>
        </w:trPr>
        <w:tc>
          <w:tcPr>
            <w:tcW w:w="0" w:type="auto"/>
            <w:noWrap w:val="0"/>
            <w:vAlign w:val="center"/>
          </w:tcPr>
          <w:p w14:paraId="2E2F7A1C">
            <w:r>
              <w:rPr>
                <w:rStyle w:val="10"/>
                <w:rFonts w:hint="eastAsia"/>
              </w:rPr>
              <w:t>登记证持有人：</w:t>
            </w:r>
            <w:r>
              <w:rPr>
                <w:rFonts w:hint="eastAsia"/>
              </w:rPr>
              <w:t>广西拜科生物科技有限公司</w:t>
            </w:r>
          </w:p>
        </w:tc>
      </w:tr>
      <w:tr w14:paraId="11093D71">
        <w:tblPrEx>
          <w:tblCellMar>
            <w:top w:w="0" w:type="dxa"/>
            <w:left w:w="0" w:type="dxa"/>
            <w:bottom w:w="0" w:type="dxa"/>
            <w:right w:w="0" w:type="dxa"/>
          </w:tblCellMar>
        </w:tblPrEx>
        <w:trPr>
          <w:wBefore w:w="0" w:type="auto"/>
          <w:tblCellSpacing w:w="0" w:type="dxa"/>
        </w:trPr>
        <w:tc>
          <w:tcPr>
            <w:tcW w:w="0" w:type="auto"/>
            <w:noWrap w:val="0"/>
            <w:vAlign w:val="center"/>
          </w:tcPr>
          <w:p w14:paraId="7A45A80B">
            <w:r>
              <w:rPr>
                <w:rStyle w:val="10"/>
                <w:rFonts w:hint="eastAsia"/>
              </w:rPr>
              <w:t>农药名称：</w:t>
            </w:r>
            <w:r>
              <w:rPr>
                <w:rFonts w:hint="eastAsia"/>
              </w:rPr>
              <w:t>精草铵膦铵盐</w:t>
            </w:r>
          </w:p>
        </w:tc>
      </w:tr>
      <w:tr w14:paraId="10742EE9">
        <w:tblPrEx>
          <w:tblCellMar>
            <w:top w:w="0" w:type="dxa"/>
            <w:left w:w="0" w:type="dxa"/>
            <w:bottom w:w="0" w:type="dxa"/>
            <w:right w:w="0" w:type="dxa"/>
          </w:tblCellMar>
        </w:tblPrEx>
        <w:trPr>
          <w:wBefore w:w="0" w:type="auto"/>
          <w:tblCellSpacing w:w="0" w:type="dxa"/>
        </w:trPr>
        <w:tc>
          <w:tcPr>
            <w:tcW w:w="0" w:type="auto"/>
            <w:noWrap w:val="0"/>
            <w:vAlign w:val="center"/>
          </w:tcPr>
          <w:p w14:paraId="7EE4A061">
            <w:r>
              <w:rPr>
                <w:rStyle w:val="10"/>
                <w:rFonts w:hint="eastAsia"/>
              </w:rPr>
              <w:t>剂型：</w:t>
            </w:r>
            <w:r>
              <w:rPr>
                <w:rFonts w:hint="eastAsia"/>
              </w:rPr>
              <w:t>可溶液剂</w:t>
            </w:r>
          </w:p>
        </w:tc>
      </w:tr>
      <w:tr w14:paraId="7C13CA42">
        <w:tblPrEx>
          <w:tblCellMar>
            <w:top w:w="0" w:type="dxa"/>
            <w:left w:w="0" w:type="dxa"/>
            <w:bottom w:w="0" w:type="dxa"/>
            <w:right w:w="0" w:type="dxa"/>
          </w:tblCellMar>
        </w:tblPrEx>
        <w:trPr>
          <w:wBefore w:w="0" w:type="auto"/>
          <w:tblCellSpacing w:w="0" w:type="dxa"/>
        </w:trPr>
        <w:tc>
          <w:tcPr>
            <w:tcW w:w="0" w:type="auto"/>
            <w:noWrap w:val="0"/>
            <w:vAlign w:val="center"/>
          </w:tcPr>
          <w:p w14:paraId="48461D58">
            <w:r>
              <w:rPr>
                <w:rStyle w:val="10"/>
                <w:rFonts w:hint="eastAsia"/>
              </w:rPr>
              <w:t>毒性及其标识：</w:t>
            </w:r>
            <w:r>
              <w:rPr>
                <w:rFonts w:hint="eastAsia"/>
              </w:rPr>
              <w:t xml:space="preserve"> </w:t>
            </w:r>
            <w:r>
              <w:rPr>
                <w:lang/>
              </w:rPr>
              <w:drawing>
                <wp:inline distT="0" distB="0" distL="114300" distR="114300">
                  <wp:extent cx="476250" cy="323850"/>
                  <wp:effectExtent l="0" t="0" r="0" b="0"/>
                  <wp:docPr id="335" name="图片 33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15172F2">
        <w:tblPrEx>
          <w:tblCellMar>
            <w:top w:w="0" w:type="dxa"/>
            <w:left w:w="0" w:type="dxa"/>
            <w:bottom w:w="0" w:type="dxa"/>
            <w:right w:w="0" w:type="dxa"/>
          </w:tblCellMar>
        </w:tblPrEx>
        <w:trPr>
          <w:wBefore w:w="0" w:type="auto"/>
          <w:tblCellSpacing w:w="0" w:type="dxa"/>
        </w:trPr>
        <w:tc>
          <w:tcPr>
            <w:tcW w:w="0" w:type="auto"/>
            <w:noWrap w:val="0"/>
            <w:vAlign w:val="center"/>
          </w:tcPr>
          <w:p w14:paraId="219889AD">
            <w:r>
              <w:rPr>
                <w:rStyle w:val="10"/>
                <w:rFonts w:hint="eastAsia"/>
              </w:rPr>
              <w:t>总有效成分含量：</w:t>
            </w:r>
            <w:r>
              <w:rPr>
                <w:rFonts w:hint="eastAsia"/>
              </w:rPr>
              <w:t>10%</w:t>
            </w:r>
          </w:p>
        </w:tc>
      </w:tr>
      <w:tr w14:paraId="6EE1E12A">
        <w:tblPrEx>
          <w:tblCellMar>
            <w:top w:w="0" w:type="dxa"/>
            <w:left w:w="0" w:type="dxa"/>
            <w:bottom w:w="0" w:type="dxa"/>
            <w:right w:w="0" w:type="dxa"/>
          </w:tblCellMar>
        </w:tblPrEx>
        <w:trPr>
          <w:wBefore w:w="0" w:type="auto"/>
          <w:tblCellSpacing w:w="0" w:type="dxa"/>
        </w:trPr>
        <w:tc>
          <w:tcPr>
            <w:tcW w:w="0" w:type="auto"/>
            <w:noWrap w:val="0"/>
            <w:vAlign w:val="center"/>
          </w:tcPr>
          <w:p w14:paraId="3558355A">
            <w:r>
              <w:rPr>
                <w:rFonts w:hint="eastAsia"/>
              </w:rPr>
              <w:t xml:space="preserve">有效成分及其含量： </w:t>
            </w:r>
          </w:p>
          <w:p w14:paraId="314597F3">
            <w:r>
              <w:rPr>
                <w:rFonts w:hint="eastAsia"/>
              </w:rPr>
              <w:t xml:space="preserve">    精草铵膦10%    </w:t>
            </w:r>
          </w:p>
        </w:tc>
      </w:tr>
      <w:tr w14:paraId="1FDBED47">
        <w:tblPrEx>
          <w:tblCellMar>
            <w:top w:w="0" w:type="dxa"/>
            <w:left w:w="0" w:type="dxa"/>
            <w:bottom w:w="0" w:type="dxa"/>
            <w:right w:w="0" w:type="dxa"/>
          </w:tblCellMar>
        </w:tblPrEx>
        <w:trPr>
          <w:wBefore w:w="0" w:type="auto"/>
          <w:tblCellSpacing w:w="0" w:type="dxa"/>
        </w:trPr>
        <w:tc>
          <w:tcPr>
            <w:tcW w:w="0" w:type="auto"/>
            <w:noWrap w:val="0"/>
            <w:vAlign w:val="center"/>
          </w:tcPr>
          <w:p w14:paraId="1F2D14F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F41AA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27EAC7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071EE7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69C835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39D585A">
                  <w:r>
                    <w:rPr>
                      <w:rStyle w:val="11"/>
                      <w:rFonts w:hint="eastAsia"/>
                    </w:rPr>
                    <w:t>施用方式</w:t>
                  </w:r>
                </w:p>
              </w:tc>
            </w:tr>
            <w:tr w14:paraId="0D84CEB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6B262D8">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BF43CD">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7B9A95">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C21E99">
                  <w:r>
                    <w:rPr>
                      <w:rStyle w:val="11"/>
                      <w:rFonts w:hint="eastAsia"/>
                    </w:rPr>
                    <w:t>茎叶喷雾</w:t>
                  </w:r>
                </w:p>
              </w:tc>
            </w:tr>
          </w:tbl>
          <w:p w14:paraId="633FFB13">
            <w:pPr>
              <w:rPr>
                <w:rFonts w:ascii="Times New Roman" w:hAnsi="Times New Roman" w:cs="Times New Roman"/>
                <w:sz w:val="20"/>
                <w:szCs w:val="20"/>
              </w:rPr>
            </w:pPr>
          </w:p>
        </w:tc>
      </w:tr>
      <w:tr w14:paraId="1CC81E9A">
        <w:tblPrEx>
          <w:tblCellMar>
            <w:top w:w="0" w:type="dxa"/>
            <w:left w:w="0" w:type="dxa"/>
            <w:bottom w:w="0" w:type="dxa"/>
            <w:right w:w="0" w:type="dxa"/>
          </w:tblCellMar>
        </w:tblPrEx>
        <w:trPr>
          <w:wBefore w:w="0" w:type="auto"/>
          <w:tblCellSpacing w:w="0" w:type="dxa"/>
        </w:trPr>
        <w:tc>
          <w:tcPr>
            <w:tcW w:w="0" w:type="auto"/>
            <w:noWrap w:val="0"/>
            <w:vAlign w:val="center"/>
          </w:tcPr>
          <w:p w14:paraId="65B01042">
            <w:r>
              <w:rPr>
                <w:rStyle w:val="10"/>
                <w:rFonts w:hint="eastAsia"/>
              </w:rPr>
              <w:t>使用技术要求:</w:t>
            </w:r>
            <w:r>
              <w:rPr>
                <w:rFonts w:hint="eastAsia"/>
              </w:rPr>
              <w:br w:type="textWrapping"/>
            </w:r>
            <w:r>
              <w:rPr>
                <w:rStyle w:val="11"/>
                <w:rFonts w:hint="eastAsia"/>
              </w:rPr>
              <w:t>1. 在非耕地杂草旺盛生长期，以推荐剂量兑水均匀茎叶喷雾施药1次。每公顷兑水量600升，注意均匀喷雾到杂草茎叶上，以保证除草效果。2. 本品为灭生性除草剂，施药时防止药液漂移到果木和临近作物上，以免发生药害。3. 大风天或预计1小时之内有降雨，请勿使用。4. 施药后5天内勿割草、放牧、翻地等。5.每季最多使用次数为1次。6.禁止在田间道路、田埂、果树行间、休耕地、林场林地等农林业区域使用。在杂草生长旺盛期施药，茎叶喷雾一次，</w:t>
            </w:r>
          </w:p>
        </w:tc>
      </w:tr>
      <w:tr w14:paraId="42F54B67">
        <w:tblPrEx>
          <w:tblCellMar>
            <w:top w:w="0" w:type="dxa"/>
            <w:left w:w="0" w:type="dxa"/>
            <w:bottom w:w="0" w:type="dxa"/>
            <w:right w:w="0" w:type="dxa"/>
          </w:tblCellMar>
        </w:tblPrEx>
        <w:trPr>
          <w:wBefore w:w="0" w:type="auto"/>
          <w:tblCellSpacing w:w="0" w:type="dxa"/>
        </w:trPr>
        <w:tc>
          <w:tcPr>
            <w:tcW w:w="0" w:type="auto"/>
            <w:noWrap w:val="0"/>
            <w:vAlign w:val="center"/>
          </w:tcPr>
          <w:p w14:paraId="17D0E052">
            <w:r>
              <w:rPr>
                <w:rStyle w:val="10"/>
                <w:rFonts w:hint="eastAsia"/>
              </w:rPr>
              <w:t>产品性能:</w:t>
            </w:r>
            <w:r>
              <w:rPr>
                <w:rFonts w:hint="eastAsia"/>
              </w:rPr>
              <w:br w:type="textWrapping"/>
            </w:r>
            <w:r>
              <w:rPr>
                <w:rStyle w:val="11"/>
                <w:rFonts w:hint="eastAsia"/>
              </w:rPr>
              <w:t>本品是一种具有部分内吸作用的触杀灭生性除草剂，属于膦酸类除草剂，是谷氨酰胺合成抑制剂，施药后短时间内，植物体内铵代谢陷于絮乱，细胞毒剂铵离子在植物体内累积，与此同时，光合作用被抑制，达到除草目的，适用于防除非耕地杂草。</w:t>
            </w:r>
          </w:p>
        </w:tc>
      </w:tr>
      <w:tr w14:paraId="12209BE9">
        <w:tblPrEx>
          <w:tblCellMar>
            <w:top w:w="0" w:type="dxa"/>
            <w:left w:w="0" w:type="dxa"/>
            <w:bottom w:w="0" w:type="dxa"/>
            <w:right w:w="0" w:type="dxa"/>
          </w:tblCellMar>
        </w:tblPrEx>
        <w:trPr>
          <w:wBefore w:w="0" w:type="auto"/>
          <w:tblCellSpacing w:w="0" w:type="dxa"/>
        </w:trPr>
        <w:tc>
          <w:tcPr>
            <w:tcW w:w="0" w:type="auto"/>
            <w:noWrap w:val="0"/>
            <w:vAlign w:val="center"/>
          </w:tcPr>
          <w:p w14:paraId="0F3DB26D">
            <w:r>
              <w:rPr>
                <w:rStyle w:val="10"/>
                <w:rFonts w:hint="eastAsia"/>
              </w:rPr>
              <w:t>注意事项：</w:t>
            </w:r>
            <w:r>
              <w:rPr>
                <w:rFonts w:hint="eastAsia"/>
              </w:rPr>
              <w:br w:type="textWrapping"/>
            </w:r>
            <w:r>
              <w:rPr>
                <w:rStyle w:val="11"/>
                <w:rFonts w:hint="eastAsia"/>
              </w:rPr>
              <w:t>1. 严格按农药安全使用规则正确使用，未用完的液体就保存在原包装内，盖紧瓶盖，并远离儿童、饮料和食物。2. 本品遇土钝化，因此在稀释和配制本品药液时，应使用清水，禁止用浑浊的河水或沟渠水配药，以最大限度地提高除草的效果。3. 禁止在河塘等水域清洗施药器具。喷雾器使用后彻底清洗干净。如有其他疑问，请咨询当地植保部门或生产厂家。4. 使用本品时应采取相应的安全防护措施，穿戴长衣、长裤、帽子、口罩、手套等防护措施。使用中不可吸烟、饮水及吃东西，使用后及时清洗手、脸等暴露部位的皮肤并更换衣物。5. 用过的容器要妥善处理，不可作他用，也不可随意丢弃。6. 蚕室和桑园附近禁止施用本产品。7. 本品对非靶标植物有毒，用于防治非耕地杂草，不可随意扩大使用范围。8. 本品避免与氧化剂接触。9. 孕妇及哺乳期妇女避免接触此药。</w:t>
            </w:r>
          </w:p>
        </w:tc>
      </w:tr>
      <w:tr w14:paraId="55110F2A">
        <w:tblPrEx>
          <w:tblCellMar>
            <w:top w:w="0" w:type="dxa"/>
            <w:left w:w="0" w:type="dxa"/>
            <w:bottom w:w="0" w:type="dxa"/>
            <w:right w:w="0" w:type="dxa"/>
          </w:tblCellMar>
        </w:tblPrEx>
        <w:trPr>
          <w:wBefore w:w="0" w:type="auto"/>
          <w:tblCellSpacing w:w="0" w:type="dxa"/>
        </w:trPr>
        <w:tc>
          <w:tcPr>
            <w:tcW w:w="0" w:type="auto"/>
            <w:noWrap w:val="0"/>
            <w:vAlign w:val="center"/>
          </w:tcPr>
          <w:p w14:paraId="10C77F64">
            <w:r>
              <w:rPr>
                <w:rStyle w:val="10"/>
                <w:rFonts w:hint="eastAsia"/>
              </w:rPr>
              <w:t>中毒急救措施：</w:t>
            </w:r>
            <w:r>
              <w:rPr>
                <w:rFonts w:hint="eastAsia"/>
              </w:rPr>
              <w:br w:type="textWrapping"/>
            </w:r>
            <w:r>
              <w:rPr>
                <w:rStyle w:val="11"/>
                <w:rFonts w:hint="eastAsia"/>
              </w:rPr>
              <w:t xml:space="preserve">中毒症状：按照标签推荐方法使用，无典型中毒症状。 皮肤接触：立即脱去被污染的衣物，用肥皂和大量清水冲洗皮肤暴露部位。如皮肤刺激感持续，请医生诊治。眼睛溅入：立即翻开眼睑，用清水冲洗至少15分钟，再请医生诊治。吸 入：立即将吸入者转移到空气清新处，若吸入者停止呼吸，需要进行人工呼吸。注意保暖和休息，请医生诊治。误 食：严禁引吐，应先立即用清水漱口，再携带产品标签送医就诊，对症治疗。注意：对昏迷病人，切勿经口喂入任何东西。 </w:t>
            </w:r>
          </w:p>
        </w:tc>
      </w:tr>
      <w:tr w14:paraId="1CB6B855">
        <w:tblPrEx>
          <w:tblCellMar>
            <w:top w:w="0" w:type="dxa"/>
            <w:left w:w="0" w:type="dxa"/>
            <w:bottom w:w="0" w:type="dxa"/>
            <w:right w:w="0" w:type="dxa"/>
          </w:tblCellMar>
        </w:tblPrEx>
        <w:trPr>
          <w:wBefore w:w="0" w:type="auto"/>
          <w:tblCellSpacing w:w="0" w:type="dxa"/>
        </w:trPr>
        <w:tc>
          <w:tcPr>
            <w:tcW w:w="0" w:type="auto"/>
            <w:noWrap w:val="0"/>
            <w:vAlign w:val="center"/>
          </w:tcPr>
          <w:p w14:paraId="68F5DD17">
            <w:r>
              <w:rPr>
                <w:rStyle w:val="10"/>
                <w:rFonts w:hint="eastAsia"/>
              </w:rPr>
              <w:t>储存和运输方法：</w:t>
            </w:r>
            <w:r>
              <w:rPr>
                <w:rFonts w:hint="eastAsia"/>
              </w:rPr>
              <w:br w:type="textWrapping"/>
            </w:r>
            <w:r>
              <w:rPr>
                <w:rStyle w:val="11"/>
                <w:rFonts w:hint="eastAsia"/>
              </w:rPr>
              <w:t>本品应储存在干燥、阴凉、通风、防雨处，远离火源或热源，置于儿童触及不到的地方，并加锁。装卸、运输过程中，需专门车辆运输，轻拿轻放，确保包装不泄露、不损坏。不能与食品、饮料、粮食、饲料等混合储存。</w:t>
            </w:r>
          </w:p>
        </w:tc>
      </w:tr>
      <w:tr w14:paraId="46E459AA">
        <w:tblPrEx>
          <w:tblCellMar>
            <w:top w:w="0" w:type="dxa"/>
            <w:left w:w="0" w:type="dxa"/>
            <w:bottom w:w="0" w:type="dxa"/>
            <w:right w:w="0" w:type="dxa"/>
          </w:tblCellMar>
        </w:tblPrEx>
        <w:trPr>
          <w:wBefore w:w="0" w:type="auto"/>
          <w:tblCellSpacing w:w="0" w:type="dxa"/>
        </w:trPr>
        <w:tc>
          <w:tcPr>
            <w:tcW w:w="0" w:type="auto"/>
            <w:noWrap w:val="0"/>
            <w:vAlign w:val="center"/>
          </w:tcPr>
          <w:p w14:paraId="032D0237">
            <w:r>
              <w:rPr>
                <w:rStyle w:val="10"/>
                <w:rFonts w:hint="eastAsia"/>
              </w:rPr>
              <w:t>质量保证期：</w:t>
            </w:r>
            <w:r>
              <w:rPr>
                <w:rStyle w:val="11"/>
                <w:rFonts w:hint="eastAsia"/>
              </w:rPr>
              <w:t>2年</w:t>
            </w:r>
          </w:p>
        </w:tc>
      </w:tr>
      <w:tr w14:paraId="60D1891D">
        <w:tblPrEx>
          <w:tblCellMar>
            <w:top w:w="0" w:type="dxa"/>
            <w:left w:w="0" w:type="dxa"/>
            <w:bottom w:w="0" w:type="dxa"/>
            <w:right w:w="0" w:type="dxa"/>
          </w:tblCellMar>
        </w:tblPrEx>
        <w:trPr>
          <w:wBefore w:w="0" w:type="auto"/>
          <w:tblCellSpacing w:w="0" w:type="dxa"/>
        </w:trPr>
        <w:tc>
          <w:tcPr>
            <w:tcW w:w="0" w:type="auto"/>
            <w:noWrap w:val="0"/>
            <w:vAlign w:val="center"/>
          </w:tcPr>
          <w:p w14:paraId="1F974F85">
            <w:r>
              <w:rPr>
                <w:rStyle w:val="10"/>
                <w:rFonts w:hint="eastAsia"/>
              </w:rPr>
              <w:t>备注：</w:t>
            </w:r>
            <w:r>
              <w:rPr>
                <w:rFonts w:hint="eastAsia"/>
              </w:rPr>
              <w:br w:type="textWrapping"/>
            </w:r>
            <w:r>
              <w:rPr>
                <w:rStyle w:val="11"/>
                <w:rFonts w:hint="eastAsia"/>
              </w:rPr>
              <w:t>精草铵膦铵盐10.9%。</w:t>
            </w:r>
          </w:p>
        </w:tc>
      </w:tr>
    </w:tbl>
    <w:p w14:paraId="24C0BCC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6B82806">
        <w:tblPrEx>
          <w:tblCellMar>
            <w:top w:w="0" w:type="dxa"/>
            <w:left w:w="0" w:type="dxa"/>
            <w:bottom w:w="0" w:type="dxa"/>
            <w:right w:w="0" w:type="dxa"/>
          </w:tblCellMar>
        </w:tblPrEx>
        <w:trPr>
          <w:wBefore w:w="0" w:type="auto"/>
          <w:tblCellSpacing w:w="0" w:type="dxa"/>
        </w:trPr>
        <w:tc>
          <w:tcPr>
            <w:tcW w:w="0" w:type="auto"/>
            <w:noWrap w:val="0"/>
            <w:vAlign w:val="center"/>
          </w:tcPr>
          <w:p w14:paraId="52B3FAA8">
            <w:r>
              <w:rPr>
                <w:rStyle w:val="10"/>
                <w:rFonts w:hint="eastAsia"/>
              </w:rPr>
              <w:t>登记证号：</w:t>
            </w:r>
            <w:r>
              <w:rPr>
                <w:rFonts w:hint="eastAsia"/>
              </w:rPr>
              <w:t>PD20212221</w:t>
            </w:r>
          </w:p>
        </w:tc>
      </w:tr>
      <w:tr w14:paraId="02AE1268">
        <w:tblPrEx>
          <w:tblCellMar>
            <w:top w:w="0" w:type="dxa"/>
            <w:left w:w="0" w:type="dxa"/>
            <w:bottom w:w="0" w:type="dxa"/>
            <w:right w:w="0" w:type="dxa"/>
          </w:tblCellMar>
        </w:tblPrEx>
        <w:trPr>
          <w:wBefore w:w="0" w:type="auto"/>
          <w:tblCellSpacing w:w="0" w:type="dxa"/>
        </w:trPr>
        <w:tc>
          <w:tcPr>
            <w:tcW w:w="0" w:type="auto"/>
            <w:noWrap w:val="0"/>
            <w:vAlign w:val="center"/>
          </w:tcPr>
          <w:p w14:paraId="5C8D412D">
            <w:r>
              <w:rPr>
                <w:rStyle w:val="10"/>
                <w:rFonts w:hint="eastAsia"/>
              </w:rPr>
              <w:t>登记证持有人：</w:t>
            </w:r>
            <w:r>
              <w:rPr>
                <w:rFonts w:hint="eastAsia"/>
              </w:rPr>
              <w:t>广西金宏达农药有限公司</w:t>
            </w:r>
          </w:p>
        </w:tc>
      </w:tr>
      <w:tr w14:paraId="0779BF0A">
        <w:tblPrEx>
          <w:tblCellMar>
            <w:top w:w="0" w:type="dxa"/>
            <w:left w:w="0" w:type="dxa"/>
            <w:bottom w:w="0" w:type="dxa"/>
            <w:right w:w="0" w:type="dxa"/>
          </w:tblCellMar>
        </w:tblPrEx>
        <w:trPr>
          <w:wBefore w:w="0" w:type="auto"/>
          <w:tblCellSpacing w:w="0" w:type="dxa"/>
        </w:trPr>
        <w:tc>
          <w:tcPr>
            <w:tcW w:w="0" w:type="auto"/>
            <w:noWrap w:val="0"/>
            <w:vAlign w:val="center"/>
          </w:tcPr>
          <w:p w14:paraId="0EE4B262">
            <w:r>
              <w:rPr>
                <w:rStyle w:val="10"/>
                <w:rFonts w:hint="eastAsia"/>
              </w:rPr>
              <w:t>农药名称：</w:t>
            </w:r>
            <w:r>
              <w:rPr>
                <w:rFonts w:hint="eastAsia"/>
              </w:rPr>
              <w:t>三氯吡氧乙酸</w:t>
            </w:r>
          </w:p>
        </w:tc>
      </w:tr>
      <w:tr w14:paraId="55EC3263">
        <w:tblPrEx>
          <w:tblCellMar>
            <w:top w:w="0" w:type="dxa"/>
            <w:left w:w="0" w:type="dxa"/>
            <w:bottom w:w="0" w:type="dxa"/>
            <w:right w:w="0" w:type="dxa"/>
          </w:tblCellMar>
        </w:tblPrEx>
        <w:trPr>
          <w:wBefore w:w="0" w:type="auto"/>
          <w:tblCellSpacing w:w="0" w:type="dxa"/>
        </w:trPr>
        <w:tc>
          <w:tcPr>
            <w:tcW w:w="0" w:type="auto"/>
            <w:noWrap w:val="0"/>
            <w:vAlign w:val="center"/>
          </w:tcPr>
          <w:p w14:paraId="2394EBDC">
            <w:r>
              <w:rPr>
                <w:rStyle w:val="10"/>
                <w:rFonts w:hint="eastAsia"/>
              </w:rPr>
              <w:t>剂型：</w:t>
            </w:r>
            <w:r>
              <w:rPr>
                <w:rFonts w:hint="eastAsia"/>
              </w:rPr>
              <w:t>可溶液剂</w:t>
            </w:r>
          </w:p>
        </w:tc>
      </w:tr>
      <w:tr w14:paraId="67B44768">
        <w:tblPrEx>
          <w:tblCellMar>
            <w:top w:w="0" w:type="dxa"/>
            <w:left w:w="0" w:type="dxa"/>
            <w:bottom w:w="0" w:type="dxa"/>
            <w:right w:w="0" w:type="dxa"/>
          </w:tblCellMar>
        </w:tblPrEx>
        <w:trPr>
          <w:wBefore w:w="0" w:type="auto"/>
          <w:tblCellSpacing w:w="0" w:type="dxa"/>
        </w:trPr>
        <w:tc>
          <w:tcPr>
            <w:tcW w:w="0" w:type="auto"/>
            <w:noWrap w:val="0"/>
            <w:vAlign w:val="center"/>
          </w:tcPr>
          <w:p w14:paraId="35899496">
            <w:r>
              <w:rPr>
                <w:rStyle w:val="10"/>
                <w:rFonts w:hint="eastAsia"/>
              </w:rPr>
              <w:t>毒性及其标识：</w:t>
            </w:r>
            <w:r>
              <w:rPr>
                <w:rFonts w:hint="eastAsia"/>
              </w:rPr>
              <w:t xml:space="preserve"> </w:t>
            </w:r>
            <w:r>
              <w:rPr>
                <w:lang/>
              </w:rPr>
              <w:drawing>
                <wp:inline distT="0" distB="0" distL="114300" distR="114300">
                  <wp:extent cx="476250" cy="323850"/>
                  <wp:effectExtent l="0" t="0" r="0" b="0"/>
                  <wp:docPr id="336" name="图片 33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894C122">
        <w:tblPrEx>
          <w:tblCellMar>
            <w:top w:w="0" w:type="dxa"/>
            <w:left w:w="0" w:type="dxa"/>
            <w:bottom w:w="0" w:type="dxa"/>
            <w:right w:w="0" w:type="dxa"/>
          </w:tblCellMar>
        </w:tblPrEx>
        <w:trPr>
          <w:wBefore w:w="0" w:type="auto"/>
          <w:tblCellSpacing w:w="0" w:type="dxa"/>
        </w:trPr>
        <w:tc>
          <w:tcPr>
            <w:tcW w:w="0" w:type="auto"/>
            <w:noWrap w:val="0"/>
            <w:vAlign w:val="center"/>
          </w:tcPr>
          <w:p w14:paraId="4BFDC130">
            <w:r>
              <w:rPr>
                <w:rStyle w:val="10"/>
                <w:rFonts w:hint="eastAsia"/>
              </w:rPr>
              <w:t>总有效成分含量：</w:t>
            </w:r>
            <w:r>
              <w:rPr>
                <w:rFonts w:hint="eastAsia"/>
              </w:rPr>
              <w:t>32%</w:t>
            </w:r>
          </w:p>
        </w:tc>
      </w:tr>
      <w:tr w14:paraId="5142372C">
        <w:tblPrEx>
          <w:tblCellMar>
            <w:top w:w="0" w:type="dxa"/>
            <w:left w:w="0" w:type="dxa"/>
            <w:bottom w:w="0" w:type="dxa"/>
            <w:right w:w="0" w:type="dxa"/>
          </w:tblCellMar>
        </w:tblPrEx>
        <w:trPr>
          <w:wBefore w:w="0" w:type="auto"/>
          <w:tblCellSpacing w:w="0" w:type="dxa"/>
        </w:trPr>
        <w:tc>
          <w:tcPr>
            <w:tcW w:w="0" w:type="auto"/>
            <w:noWrap w:val="0"/>
            <w:vAlign w:val="center"/>
          </w:tcPr>
          <w:p w14:paraId="7F3ADDBD">
            <w:r>
              <w:rPr>
                <w:rFonts w:hint="eastAsia"/>
              </w:rPr>
              <w:t xml:space="preserve">有效成分及其含量： </w:t>
            </w:r>
          </w:p>
          <w:p w14:paraId="78F7CF74">
            <w:r>
              <w:rPr>
                <w:rFonts w:hint="eastAsia"/>
              </w:rPr>
              <w:t xml:space="preserve">    三氯吡氧乙酸32%    </w:t>
            </w:r>
          </w:p>
        </w:tc>
      </w:tr>
      <w:tr w14:paraId="3FFC6094">
        <w:tblPrEx>
          <w:tblCellMar>
            <w:top w:w="0" w:type="dxa"/>
            <w:left w:w="0" w:type="dxa"/>
            <w:bottom w:w="0" w:type="dxa"/>
            <w:right w:w="0" w:type="dxa"/>
          </w:tblCellMar>
        </w:tblPrEx>
        <w:trPr>
          <w:wBefore w:w="0" w:type="auto"/>
          <w:tblCellSpacing w:w="0" w:type="dxa"/>
        </w:trPr>
        <w:tc>
          <w:tcPr>
            <w:tcW w:w="0" w:type="auto"/>
            <w:noWrap w:val="0"/>
            <w:vAlign w:val="center"/>
          </w:tcPr>
          <w:p w14:paraId="3524B31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ADE51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A796B3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8E2E1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E22C5A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4D9948B">
                  <w:r>
                    <w:rPr>
                      <w:rStyle w:val="11"/>
                      <w:rFonts w:hint="eastAsia"/>
                    </w:rPr>
                    <w:t>施用方式</w:t>
                  </w:r>
                </w:p>
              </w:tc>
            </w:tr>
            <w:tr w14:paraId="7E7C3A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B00E541">
                  <w:r>
                    <w:rPr>
                      <w:rStyle w:val="11"/>
                      <w:rFonts w:hint="eastAsia"/>
                    </w:rPr>
                    <w:t>森林防火道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E5D6FA">
                  <w:r>
                    <w:rPr>
                      <w:rStyle w:val="11"/>
                      <w:rFonts w:hint="eastAsia"/>
                    </w:rPr>
                    <w:t>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05352A">
                  <w:r>
                    <w:rPr>
                      <w:rStyle w:val="11"/>
                      <w:rFonts w:hint="eastAsia"/>
                    </w:rPr>
                    <w:t>400-600毫升/亩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F04BFC">
                  <w:r>
                    <w:rPr>
                      <w:rStyle w:val="11"/>
                      <w:rFonts w:hint="eastAsia"/>
                    </w:rPr>
                    <w:t>茎叶喷雾</w:t>
                  </w:r>
                </w:p>
              </w:tc>
            </w:tr>
          </w:tbl>
          <w:p w14:paraId="587494F2">
            <w:pPr>
              <w:rPr>
                <w:rFonts w:ascii="Times New Roman" w:hAnsi="Times New Roman" w:cs="Times New Roman"/>
                <w:sz w:val="20"/>
                <w:szCs w:val="20"/>
              </w:rPr>
            </w:pPr>
          </w:p>
        </w:tc>
      </w:tr>
      <w:tr w14:paraId="006FE22C">
        <w:tblPrEx>
          <w:tblCellMar>
            <w:top w:w="0" w:type="dxa"/>
            <w:left w:w="0" w:type="dxa"/>
            <w:bottom w:w="0" w:type="dxa"/>
            <w:right w:w="0" w:type="dxa"/>
          </w:tblCellMar>
        </w:tblPrEx>
        <w:trPr>
          <w:wBefore w:w="0" w:type="auto"/>
          <w:tblCellSpacing w:w="0" w:type="dxa"/>
        </w:trPr>
        <w:tc>
          <w:tcPr>
            <w:tcW w:w="0" w:type="auto"/>
            <w:noWrap w:val="0"/>
            <w:vAlign w:val="center"/>
          </w:tcPr>
          <w:p w14:paraId="19419663">
            <w:r>
              <w:rPr>
                <w:rStyle w:val="10"/>
                <w:rFonts w:hint="eastAsia"/>
              </w:rPr>
              <w:t>使用技术要求:</w:t>
            </w:r>
            <w:r>
              <w:rPr>
                <w:rFonts w:hint="eastAsia"/>
              </w:rPr>
              <w:br w:type="textWrapping"/>
            </w:r>
            <w:r>
              <w:rPr>
                <w:rStyle w:val="11"/>
                <w:rFonts w:hint="eastAsia"/>
              </w:rPr>
              <w:t>1. 在森林防火道阔叶杂草旺盛生长期，以推荐剂量兑水均匀茎叶喷雾施药一次。 2. 施药时，将药液均匀喷雾在杂草上； 3. 大风或预计1小时内降雨天气，请勿施药。</w:t>
            </w:r>
          </w:p>
        </w:tc>
      </w:tr>
      <w:tr w14:paraId="3122F9B1">
        <w:tblPrEx>
          <w:tblCellMar>
            <w:top w:w="0" w:type="dxa"/>
            <w:left w:w="0" w:type="dxa"/>
            <w:bottom w:w="0" w:type="dxa"/>
            <w:right w:w="0" w:type="dxa"/>
          </w:tblCellMar>
        </w:tblPrEx>
        <w:trPr>
          <w:wBefore w:w="0" w:type="auto"/>
          <w:tblCellSpacing w:w="0" w:type="dxa"/>
        </w:trPr>
        <w:tc>
          <w:tcPr>
            <w:tcW w:w="0" w:type="auto"/>
            <w:noWrap w:val="0"/>
            <w:vAlign w:val="center"/>
          </w:tcPr>
          <w:p w14:paraId="651E46FC">
            <w:r>
              <w:rPr>
                <w:rStyle w:val="10"/>
                <w:rFonts w:hint="eastAsia"/>
              </w:rPr>
              <w:t>产品性能:</w:t>
            </w:r>
            <w:r>
              <w:rPr>
                <w:rFonts w:hint="eastAsia"/>
              </w:rPr>
              <w:br w:type="textWrapping"/>
            </w:r>
            <w:r>
              <w:rPr>
                <w:rStyle w:val="11"/>
                <w:rFonts w:hint="eastAsia"/>
              </w:rPr>
              <w:t xml:space="preserve">本品属内吸传导型选择性除草剂，由植物的叶面和根系吸收，并在植物体内传导到全株，造成其根、茎、叶畸形，储藏物质耗尽，维管束被栓塞或破裂，植株逐渐死亡。 </w:t>
            </w:r>
          </w:p>
        </w:tc>
      </w:tr>
      <w:tr w14:paraId="45EB8F59">
        <w:tblPrEx>
          <w:tblCellMar>
            <w:top w:w="0" w:type="dxa"/>
            <w:left w:w="0" w:type="dxa"/>
            <w:bottom w:w="0" w:type="dxa"/>
            <w:right w:w="0" w:type="dxa"/>
          </w:tblCellMar>
        </w:tblPrEx>
        <w:trPr>
          <w:wBefore w:w="0" w:type="auto"/>
          <w:tblCellSpacing w:w="0" w:type="dxa"/>
        </w:trPr>
        <w:tc>
          <w:tcPr>
            <w:tcW w:w="0" w:type="auto"/>
            <w:noWrap w:val="0"/>
            <w:vAlign w:val="center"/>
          </w:tcPr>
          <w:p w14:paraId="79B56BB4">
            <w:r>
              <w:rPr>
                <w:rStyle w:val="10"/>
                <w:rFonts w:hint="eastAsia"/>
              </w:rPr>
              <w:t>注意事项：</w:t>
            </w:r>
            <w:r>
              <w:rPr>
                <w:rFonts w:hint="eastAsia"/>
              </w:rPr>
              <w:br w:type="textWrapping"/>
            </w:r>
            <w:r>
              <w:rPr>
                <w:rStyle w:val="11"/>
                <w:rFonts w:hint="eastAsia"/>
              </w:rPr>
              <w:t>1. 本品对眼睛、皮肤有刺激性，使用时避免接触眼睛、皮肤，穿戴长衣、长裤、帽子、口罩、手套等防护措施。避免吸入药液。施药期间不可吃东西和饮水等。施药后应及时洗手和洗脸等。 2. 远离水产养殖区、河塘等水域施药，应避免药液流入湖泊、河流或鱼塘中污染水源。禁止在河塘等水体中清洗施药器具。 3. 周围）开花植物花期禁用，使用期间应密切关注对附近蜂群的影响； 蚕室及桑园附近禁用； 鸟类保护区附近禁用。 4. 请严格按照标签说明使用； 5. 用过的容器应妥善处理，不可做他用，也不可随意丢弃； 6. 避免孕妇及哺乳期的妇女接触。 7. 避免与氧化剂接触。</w:t>
            </w:r>
          </w:p>
        </w:tc>
      </w:tr>
      <w:tr w14:paraId="6CE94927">
        <w:tblPrEx>
          <w:tblCellMar>
            <w:top w:w="0" w:type="dxa"/>
            <w:left w:w="0" w:type="dxa"/>
            <w:bottom w:w="0" w:type="dxa"/>
            <w:right w:w="0" w:type="dxa"/>
          </w:tblCellMar>
        </w:tblPrEx>
        <w:trPr>
          <w:wBefore w:w="0" w:type="auto"/>
          <w:tblCellSpacing w:w="0" w:type="dxa"/>
        </w:trPr>
        <w:tc>
          <w:tcPr>
            <w:tcW w:w="0" w:type="auto"/>
            <w:noWrap w:val="0"/>
            <w:vAlign w:val="center"/>
          </w:tcPr>
          <w:p w14:paraId="7C6C7A92">
            <w:r>
              <w:rPr>
                <w:rStyle w:val="10"/>
                <w:rFonts w:hint="eastAsia"/>
              </w:rPr>
              <w:t>中毒急救措施：</w:t>
            </w:r>
            <w:r>
              <w:rPr>
                <w:rFonts w:hint="eastAsia"/>
              </w:rPr>
              <w:br w:type="textWrapping"/>
            </w:r>
            <w:r>
              <w:rPr>
                <w:rStyle w:val="11"/>
                <w:rFonts w:hint="eastAsia"/>
              </w:rPr>
              <w:t>对眼睛有刺激。皮肤接触：立即褪去被污染的衣物，用大量清水至少冲洗15分钟，送医就诊；眼睛溅入：立即翻开眼睑，用流动的清水至少冲洗15分钟，送医就诊；吸入：不慎吸入，立即转移至空气清新处；误食：不慎误食，马上停止食用，本品无特殊解毒药，立即携带标签送医就诊，对症治疗</w:t>
            </w:r>
          </w:p>
        </w:tc>
      </w:tr>
      <w:tr w14:paraId="511C73B2">
        <w:tblPrEx>
          <w:tblCellMar>
            <w:top w:w="0" w:type="dxa"/>
            <w:left w:w="0" w:type="dxa"/>
            <w:bottom w:w="0" w:type="dxa"/>
            <w:right w:w="0" w:type="dxa"/>
          </w:tblCellMar>
        </w:tblPrEx>
        <w:trPr>
          <w:wBefore w:w="0" w:type="auto"/>
          <w:tblCellSpacing w:w="0" w:type="dxa"/>
        </w:trPr>
        <w:tc>
          <w:tcPr>
            <w:tcW w:w="0" w:type="auto"/>
            <w:noWrap w:val="0"/>
            <w:vAlign w:val="center"/>
          </w:tcPr>
          <w:p w14:paraId="6C541259">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2581004B">
        <w:tblPrEx>
          <w:tblCellMar>
            <w:top w:w="0" w:type="dxa"/>
            <w:left w:w="0" w:type="dxa"/>
            <w:bottom w:w="0" w:type="dxa"/>
            <w:right w:w="0" w:type="dxa"/>
          </w:tblCellMar>
        </w:tblPrEx>
        <w:trPr>
          <w:wBefore w:w="0" w:type="auto"/>
          <w:tblCellSpacing w:w="0" w:type="dxa"/>
        </w:trPr>
        <w:tc>
          <w:tcPr>
            <w:tcW w:w="0" w:type="auto"/>
            <w:noWrap w:val="0"/>
            <w:vAlign w:val="center"/>
          </w:tcPr>
          <w:p w14:paraId="1193C2FE">
            <w:r>
              <w:rPr>
                <w:rStyle w:val="10"/>
                <w:rFonts w:hint="eastAsia"/>
              </w:rPr>
              <w:t>质量保证期：</w:t>
            </w:r>
            <w:r>
              <w:rPr>
                <w:rStyle w:val="11"/>
                <w:rFonts w:hint="eastAsia"/>
              </w:rPr>
              <w:t>2年</w:t>
            </w:r>
          </w:p>
        </w:tc>
      </w:tr>
      <w:tr w14:paraId="36B1976F">
        <w:tblPrEx>
          <w:tblCellMar>
            <w:top w:w="0" w:type="dxa"/>
            <w:left w:w="0" w:type="dxa"/>
            <w:bottom w:w="0" w:type="dxa"/>
            <w:right w:w="0" w:type="dxa"/>
          </w:tblCellMar>
        </w:tblPrEx>
        <w:trPr>
          <w:wBefore w:w="0" w:type="auto"/>
          <w:tblCellSpacing w:w="0" w:type="dxa"/>
        </w:trPr>
        <w:tc>
          <w:tcPr>
            <w:tcW w:w="0" w:type="auto"/>
            <w:noWrap w:val="0"/>
            <w:vAlign w:val="center"/>
          </w:tcPr>
          <w:p w14:paraId="31E53C03">
            <w:r>
              <w:rPr>
                <w:rStyle w:val="10"/>
                <w:rFonts w:hint="eastAsia"/>
              </w:rPr>
              <w:t>备注：</w:t>
            </w:r>
            <w:r>
              <w:rPr>
                <w:rFonts w:hint="eastAsia"/>
              </w:rPr>
              <w:br w:type="textWrapping"/>
            </w:r>
            <w:r>
              <w:rPr>
                <w:rStyle w:val="11"/>
                <w:rFonts w:hint="eastAsia"/>
              </w:rPr>
              <w:t>三氯吡氧乙酸三乙胺盐45%。</w:t>
            </w:r>
          </w:p>
        </w:tc>
      </w:tr>
    </w:tbl>
    <w:p w14:paraId="4C390A2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7CAD1B0">
        <w:tblPrEx>
          <w:tblCellMar>
            <w:top w:w="0" w:type="dxa"/>
            <w:left w:w="0" w:type="dxa"/>
            <w:bottom w:w="0" w:type="dxa"/>
            <w:right w:w="0" w:type="dxa"/>
          </w:tblCellMar>
        </w:tblPrEx>
        <w:trPr>
          <w:wBefore w:w="0" w:type="auto"/>
          <w:tblCellSpacing w:w="0" w:type="dxa"/>
        </w:trPr>
        <w:tc>
          <w:tcPr>
            <w:tcW w:w="0" w:type="auto"/>
            <w:noWrap w:val="0"/>
            <w:vAlign w:val="center"/>
          </w:tcPr>
          <w:p w14:paraId="54F20720">
            <w:r>
              <w:rPr>
                <w:rStyle w:val="10"/>
                <w:rFonts w:hint="eastAsia"/>
              </w:rPr>
              <w:t>登记证号：</w:t>
            </w:r>
            <w:r>
              <w:rPr>
                <w:rFonts w:hint="eastAsia"/>
              </w:rPr>
              <w:t>WP20210251</w:t>
            </w:r>
          </w:p>
        </w:tc>
      </w:tr>
      <w:tr w14:paraId="769D221E">
        <w:tblPrEx>
          <w:tblCellMar>
            <w:top w:w="0" w:type="dxa"/>
            <w:left w:w="0" w:type="dxa"/>
            <w:bottom w:w="0" w:type="dxa"/>
            <w:right w:w="0" w:type="dxa"/>
          </w:tblCellMar>
        </w:tblPrEx>
        <w:trPr>
          <w:wBefore w:w="0" w:type="auto"/>
          <w:tblCellSpacing w:w="0" w:type="dxa"/>
        </w:trPr>
        <w:tc>
          <w:tcPr>
            <w:tcW w:w="0" w:type="auto"/>
            <w:noWrap w:val="0"/>
            <w:vAlign w:val="center"/>
          </w:tcPr>
          <w:p w14:paraId="3A064A6E">
            <w:r>
              <w:rPr>
                <w:rStyle w:val="10"/>
                <w:rFonts w:hint="eastAsia"/>
              </w:rPr>
              <w:t>登记证持有人：</w:t>
            </w:r>
            <w:r>
              <w:rPr>
                <w:rFonts w:hint="eastAsia"/>
              </w:rPr>
              <w:t>浙江迪乐化学品有限公司</w:t>
            </w:r>
          </w:p>
        </w:tc>
      </w:tr>
      <w:tr w14:paraId="721E86F4">
        <w:tblPrEx>
          <w:tblCellMar>
            <w:top w:w="0" w:type="dxa"/>
            <w:left w:w="0" w:type="dxa"/>
            <w:bottom w:w="0" w:type="dxa"/>
            <w:right w:w="0" w:type="dxa"/>
          </w:tblCellMar>
        </w:tblPrEx>
        <w:trPr>
          <w:wBefore w:w="0" w:type="auto"/>
          <w:tblCellSpacing w:w="0" w:type="dxa"/>
        </w:trPr>
        <w:tc>
          <w:tcPr>
            <w:tcW w:w="0" w:type="auto"/>
            <w:noWrap w:val="0"/>
            <w:vAlign w:val="center"/>
          </w:tcPr>
          <w:p w14:paraId="38005DAB">
            <w:r>
              <w:rPr>
                <w:rStyle w:val="10"/>
                <w:rFonts w:hint="eastAsia"/>
              </w:rPr>
              <w:t>农药名称：</w:t>
            </w:r>
            <w:r>
              <w:rPr>
                <w:rFonts w:hint="eastAsia"/>
              </w:rPr>
              <w:t>氯氟醚菊酯</w:t>
            </w:r>
          </w:p>
        </w:tc>
      </w:tr>
      <w:tr w14:paraId="6917C38C">
        <w:tblPrEx>
          <w:tblCellMar>
            <w:top w:w="0" w:type="dxa"/>
            <w:left w:w="0" w:type="dxa"/>
            <w:bottom w:w="0" w:type="dxa"/>
            <w:right w:w="0" w:type="dxa"/>
          </w:tblCellMar>
        </w:tblPrEx>
        <w:trPr>
          <w:wBefore w:w="0" w:type="auto"/>
          <w:tblCellSpacing w:w="0" w:type="dxa"/>
        </w:trPr>
        <w:tc>
          <w:tcPr>
            <w:tcW w:w="0" w:type="auto"/>
            <w:noWrap w:val="0"/>
            <w:vAlign w:val="center"/>
          </w:tcPr>
          <w:p w14:paraId="794C3C9F">
            <w:r>
              <w:rPr>
                <w:rStyle w:val="10"/>
                <w:rFonts w:hint="eastAsia"/>
              </w:rPr>
              <w:t>剂型：</w:t>
            </w:r>
            <w:r>
              <w:rPr>
                <w:rFonts w:hint="eastAsia"/>
              </w:rPr>
              <w:t>水分散粒剂</w:t>
            </w:r>
          </w:p>
        </w:tc>
      </w:tr>
      <w:tr w14:paraId="7FDA89C0">
        <w:tblPrEx>
          <w:tblCellMar>
            <w:top w:w="0" w:type="dxa"/>
            <w:left w:w="0" w:type="dxa"/>
            <w:bottom w:w="0" w:type="dxa"/>
            <w:right w:w="0" w:type="dxa"/>
          </w:tblCellMar>
        </w:tblPrEx>
        <w:trPr>
          <w:wBefore w:w="0" w:type="auto"/>
          <w:tblCellSpacing w:w="0" w:type="dxa"/>
        </w:trPr>
        <w:tc>
          <w:tcPr>
            <w:tcW w:w="0" w:type="auto"/>
            <w:noWrap w:val="0"/>
            <w:vAlign w:val="center"/>
          </w:tcPr>
          <w:p w14:paraId="0FBD2FF7">
            <w:r>
              <w:rPr>
                <w:rStyle w:val="10"/>
                <w:rFonts w:hint="eastAsia"/>
              </w:rPr>
              <w:t>毒性及其标识：</w:t>
            </w:r>
            <w:r>
              <w:rPr>
                <w:rFonts w:hint="eastAsia"/>
              </w:rPr>
              <w:t xml:space="preserve"> </w:t>
            </w:r>
            <w:r>
              <w:rPr>
                <w:lang/>
              </w:rPr>
              <w:drawing>
                <wp:inline distT="0" distB="0" distL="114300" distR="114300">
                  <wp:extent cx="476250" cy="323850"/>
                  <wp:effectExtent l="0" t="0" r="0" b="0"/>
                  <wp:docPr id="337" name="图片 33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B8773DC">
        <w:tblPrEx>
          <w:tblCellMar>
            <w:top w:w="0" w:type="dxa"/>
            <w:left w:w="0" w:type="dxa"/>
            <w:bottom w:w="0" w:type="dxa"/>
            <w:right w:w="0" w:type="dxa"/>
          </w:tblCellMar>
        </w:tblPrEx>
        <w:trPr>
          <w:wBefore w:w="0" w:type="auto"/>
          <w:tblCellSpacing w:w="0" w:type="dxa"/>
        </w:trPr>
        <w:tc>
          <w:tcPr>
            <w:tcW w:w="0" w:type="auto"/>
            <w:noWrap w:val="0"/>
            <w:vAlign w:val="center"/>
          </w:tcPr>
          <w:p w14:paraId="3D175AA5">
            <w:r>
              <w:rPr>
                <w:rStyle w:val="10"/>
                <w:rFonts w:hint="eastAsia"/>
              </w:rPr>
              <w:t>总有效成分含量：</w:t>
            </w:r>
            <w:r>
              <w:rPr>
                <w:rFonts w:hint="eastAsia"/>
              </w:rPr>
              <w:t>5%</w:t>
            </w:r>
          </w:p>
        </w:tc>
      </w:tr>
      <w:tr w14:paraId="70072822">
        <w:tblPrEx>
          <w:tblCellMar>
            <w:top w:w="0" w:type="dxa"/>
            <w:left w:w="0" w:type="dxa"/>
            <w:bottom w:w="0" w:type="dxa"/>
            <w:right w:w="0" w:type="dxa"/>
          </w:tblCellMar>
        </w:tblPrEx>
        <w:trPr>
          <w:wBefore w:w="0" w:type="auto"/>
          <w:tblCellSpacing w:w="0" w:type="dxa"/>
        </w:trPr>
        <w:tc>
          <w:tcPr>
            <w:tcW w:w="0" w:type="auto"/>
            <w:noWrap w:val="0"/>
            <w:vAlign w:val="center"/>
          </w:tcPr>
          <w:p w14:paraId="0951735A">
            <w:r>
              <w:rPr>
                <w:rFonts w:hint="eastAsia"/>
              </w:rPr>
              <w:t xml:space="preserve">有效成分及其含量： </w:t>
            </w:r>
          </w:p>
          <w:p w14:paraId="66371A61">
            <w:r>
              <w:rPr>
                <w:rFonts w:hint="eastAsia"/>
              </w:rPr>
              <w:t xml:space="preserve">    氯氟醚菊酯5%    </w:t>
            </w:r>
          </w:p>
        </w:tc>
      </w:tr>
      <w:tr w14:paraId="5739050E">
        <w:tblPrEx>
          <w:tblCellMar>
            <w:top w:w="0" w:type="dxa"/>
            <w:left w:w="0" w:type="dxa"/>
            <w:bottom w:w="0" w:type="dxa"/>
            <w:right w:w="0" w:type="dxa"/>
          </w:tblCellMar>
        </w:tblPrEx>
        <w:trPr>
          <w:wBefore w:w="0" w:type="auto"/>
          <w:tblCellSpacing w:w="0" w:type="dxa"/>
        </w:trPr>
        <w:tc>
          <w:tcPr>
            <w:tcW w:w="0" w:type="auto"/>
            <w:noWrap w:val="0"/>
            <w:vAlign w:val="center"/>
          </w:tcPr>
          <w:p w14:paraId="549EE9D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085AF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68F6A8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D8CEE8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AAEACB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B42BAE0">
                  <w:r>
                    <w:rPr>
                      <w:rStyle w:val="11"/>
                      <w:rFonts w:hint="eastAsia"/>
                    </w:rPr>
                    <w:t>施用方式</w:t>
                  </w:r>
                </w:p>
              </w:tc>
            </w:tr>
            <w:tr w14:paraId="5ECD02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763D0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088A02">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A1244B">
                  <w:r>
                    <w:rPr>
                      <w:rStyle w:val="11"/>
                      <w:rFonts w:hint="eastAsia"/>
                    </w:rPr>
                    <w:t>0.5克/平方米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9EBD9C">
                  <w:r>
                    <w:rPr>
                      <w:rStyle w:val="11"/>
                      <w:rFonts w:hint="eastAsia"/>
                    </w:rPr>
                    <w:t>喷雾</w:t>
                  </w:r>
                </w:p>
              </w:tc>
            </w:tr>
            <w:tr w14:paraId="361A5C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A6D2FD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14DA2B">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22B0B1">
                  <w:r>
                    <w:rPr>
                      <w:rStyle w:val="11"/>
                      <w:rFonts w:hint="eastAsia"/>
                    </w:rPr>
                    <w:t>0.5克/平方米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87DCB0">
                  <w:r>
                    <w:rPr>
                      <w:rStyle w:val="11"/>
                      <w:rFonts w:hint="eastAsia"/>
                    </w:rPr>
                    <w:t>喷雾</w:t>
                  </w:r>
                </w:p>
              </w:tc>
            </w:tr>
          </w:tbl>
          <w:p w14:paraId="752608A6">
            <w:pPr>
              <w:rPr>
                <w:rFonts w:ascii="Times New Roman" w:hAnsi="Times New Roman" w:cs="Times New Roman"/>
                <w:sz w:val="20"/>
                <w:szCs w:val="20"/>
              </w:rPr>
            </w:pPr>
          </w:p>
        </w:tc>
      </w:tr>
      <w:tr w14:paraId="5A958A8F">
        <w:tblPrEx>
          <w:tblCellMar>
            <w:top w:w="0" w:type="dxa"/>
            <w:left w:w="0" w:type="dxa"/>
            <w:bottom w:w="0" w:type="dxa"/>
            <w:right w:w="0" w:type="dxa"/>
          </w:tblCellMar>
        </w:tblPrEx>
        <w:trPr>
          <w:wBefore w:w="0" w:type="auto"/>
          <w:tblCellSpacing w:w="0" w:type="dxa"/>
        </w:trPr>
        <w:tc>
          <w:tcPr>
            <w:tcW w:w="0" w:type="auto"/>
            <w:noWrap w:val="0"/>
            <w:vAlign w:val="center"/>
          </w:tcPr>
          <w:p w14:paraId="2C80D71B">
            <w:r>
              <w:rPr>
                <w:rStyle w:val="10"/>
                <w:rFonts w:hint="eastAsia"/>
              </w:rPr>
              <w:t>使用技术要求:</w:t>
            </w:r>
            <w:r>
              <w:rPr>
                <w:rFonts w:hint="eastAsia"/>
              </w:rPr>
              <w:br w:type="textWrapping"/>
            </w:r>
            <w:r>
              <w:rPr>
                <w:rStyle w:val="11"/>
                <w:rFonts w:hint="eastAsia"/>
              </w:rPr>
              <w:t>使用时，按上述制剂用药量用水稀释100倍后，使用背负式喷雾器或其它常用的喷洒工具，全面均匀喷洒于蝇、蜚蠊易停留物体表面。喷液量以将物体表面喷透并有少量液体流出为宜，确保均匀覆盖。</w:t>
            </w:r>
          </w:p>
        </w:tc>
      </w:tr>
      <w:tr w14:paraId="0657F422">
        <w:tblPrEx>
          <w:tblCellMar>
            <w:top w:w="0" w:type="dxa"/>
            <w:left w:w="0" w:type="dxa"/>
            <w:bottom w:w="0" w:type="dxa"/>
            <w:right w:w="0" w:type="dxa"/>
          </w:tblCellMar>
        </w:tblPrEx>
        <w:trPr>
          <w:wBefore w:w="0" w:type="auto"/>
          <w:tblCellSpacing w:w="0" w:type="dxa"/>
        </w:trPr>
        <w:tc>
          <w:tcPr>
            <w:tcW w:w="0" w:type="auto"/>
            <w:noWrap w:val="0"/>
            <w:vAlign w:val="center"/>
          </w:tcPr>
          <w:p w14:paraId="25A86F02">
            <w:r>
              <w:rPr>
                <w:rStyle w:val="10"/>
                <w:rFonts w:hint="eastAsia"/>
              </w:rPr>
              <w:t>产品性能:</w:t>
            </w:r>
            <w:r>
              <w:rPr>
                <w:rFonts w:hint="eastAsia"/>
              </w:rPr>
              <w:br w:type="textWrapping"/>
            </w:r>
            <w:r>
              <w:rPr>
                <w:rStyle w:val="11"/>
                <w:rFonts w:hint="eastAsia"/>
              </w:rPr>
              <w:t>本品为拟除虫菊酯类卫生杀虫剂，能有效防治蝇、蜚蠊（俗称：蟑螂）卫生害虫。适用于家庭、酒店、写字楼、医院、学校、食品厂、餐馆等室内环境公共场所使用。</w:t>
            </w:r>
          </w:p>
        </w:tc>
      </w:tr>
      <w:tr w14:paraId="4A470319">
        <w:tblPrEx>
          <w:tblCellMar>
            <w:top w:w="0" w:type="dxa"/>
            <w:left w:w="0" w:type="dxa"/>
            <w:bottom w:w="0" w:type="dxa"/>
            <w:right w:w="0" w:type="dxa"/>
          </w:tblCellMar>
        </w:tblPrEx>
        <w:trPr>
          <w:wBefore w:w="0" w:type="auto"/>
          <w:tblCellSpacing w:w="0" w:type="dxa"/>
        </w:trPr>
        <w:tc>
          <w:tcPr>
            <w:tcW w:w="0" w:type="auto"/>
            <w:noWrap w:val="0"/>
            <w:vAlign w:val="center"/>
          </w:tcPr>
          <w:p w14:paraId="758D3EC2">
            <w:r>
              <w:rPr>
                <w:rStyle w:val="10"/>
                <w:rFonts w:hint="eastAsia"/>
              </w:rPr>
              <w:t>注意事项：</w:t>
            </w:r>
            <w:r>
              <w:rPr>
                <w:rFonts w:hint="eastAsia"/>
              </w:rPr>
              <w:br w:type="textWrapping"/>
            </w:r>
            <w:r>
              <w:rPr>
                <w:rStyle w:val="11"/>
                <w:rFonts w:hint="eastAsia"/>
              </w:rPr>
              <w:t>1. 本品仅限室内使用。使用本品时应采取安全防护措施，穿戴长衣、长裤、帽子、口罩、手套等防护措施。；戴好面罩和口罩、手套等，避免药雾吸入。施药期间不可吃东西和饮水。喷药后及时脱下衣服，用肥皂水冲洗裸露部位皮肤。2.本品对鱼类、家蚕有毒，在蚕室、桑园及其附近禁用。远离水产养殖区及河塘等水域施药，禁止在河塘等水体中清洗施药器具。3.切勿向人体、食物喷洒。4.本品不宜与碱性物质混用，以防分解。5.用过的包装物应妥善处理，不可做他用，也不可随意丢弃。6.敏感体质人士、孕妇及哺乳期妇女请远离本品。过敏者禁用。使用中有任何不良反应，请及时就医。7.本品应由专业施药人员使用，使用中做好安全防护。</w:t>
            </w:r>
          </w:p>
        </w:tc>
      </w:tr>
      <w:tr w14:paraId="5B27ED3B">
        <w:tblPrEx>
          <w:tblCellMar>
            <w:top w:w="0" w:type="dxa"/>
            <w:left w:w="0" w:type="dxa"/>
            <w:bottom w:w="0" w:type="dxa"/>
            <w:right w:w="0" w:type="dxa"/>
          </w:tblCellMar>
        </w:tblPrEx>
        <w:trPr>
          <w:wBefore w:w="0" w:type="auto"/>
          <w:tblCellSpacing w:w="0" w:type="dxa"/>
        </w:trPr>
        <w:tc>
          <w:tcPr>
            <w:tcW w:w="0" w:type="auto"/>
            <w:noWrap w:val="0"/>
            <w:vAlign w:val="center"/>
          </w:tcPr>
          <w:p w14:paraId="3E0D6C2A">
            <w:r>
              <w:rPr>
                <w:rStyle w:val="10"/>
                <w:rFonts w:hint="eastAsia"/>
              </w:rPr>
              <w:t>中毒急救措施：</w:t>
            </w:r>
            <w:r>
              <w:rPr>
                <w:rFonts w:hint="eastAsia"/>
              </w:rPr>
              <w:br w:type="textWrapping"/>
            </w:r>
            <w:r>
              <w:rPr>
                <w:rStyle w:val="11"/>
                <w:rFonts w:hint="eastAsia"/>
              </w:rPr>
              <w:t>中毒症状为头疼、头晕、抽搐、痉挛、恶心、呕吐等。若药液沾染皮肤或眼睛，请立即用大量清水冲洗至少15分钟；若不慎吸入，请立即转移至空气清新处。如误服、中毒或使用中有任何不良反应，立即携标签送医院，对症治疗。</w:t>
            </w:r>
          </w:p>
        </w:tc>
      </w:tr>
      <w:tr w14:paraId="476CDA22">
        <w:tblPrEx>
          <w:tblCellMar>
            <w:top w:w="0" w:type="dxa"/>
            <w:left w:w="0" w:type="dxa"/>
            <w:bottom w:w="0" w:type="dxa"/>
            <w:right w:w="0" w:type="dxa"/>
          </w:tblCellMar>
        </w:tblPrEx>
        <w:trPr>
          <w:wBefore w:w="0" w:type="auto"/>
          <w:tblCellSpacing w:w="0" w:type="dxa"/>
        </w:trPr>
        <w:tc>
          <w:tcPr>
            <w:tcW w:w="0" w:type="auto"/>
            <w:noWrap w:val="0"/>
            <w:vAlign w:val="center"/>
          </w:tcPr>
          <w:p w14:paraId="77571FBF">
            <w:r>
              <w:rPr>
                <w:rStyle w:val="10"/>
                <w:rFonts w:hint="eastAsia"/>
              </w:rPr>
              <w:t>储存和运输方法：</w:t>
            </w:r>
            <w:r>
              <w:rPr>
                <w:rFonts w:hint="eastAsia"/>
              </w:rPr>
              <w:br w:type="textWrapping"/>
            </w:r>
            <w:r>
              <w:rPr>
                <w:rStyle w:val="11"/>
                <w:rFonts w:hint="eastAsia"/>
              </w:rPr>
              <w:t>本品应贮存于阴凉、干燥、通风、避光处，并远离火源和热源。应置于儿童、无关人员及宠物触及不到之处，并加锁。运输时，请防雨淋、高温，注意轻拿轻放，不得损坏包装。请勿与食品、饮料、种子、饲料、粮食等同贮同运。</w:t>
            </w:r>
          </w:p>
        </w:tc>
      </w:tr>
      <w:tr w14:paraId="785DF714">
        <w:tblPrEx>
          <w:tblCellMar>
            <w:top w:w="0" w:type="dxa"/>
            <w:left w:w="0" w:type="dxa"/>
            <w:bottom w:w="0" w:type="dxa"/>
            <w:right w:w="0" w:type="dxa"/>
          </w:tblCellMar>
        </w:tblPrEx>
        <w:trPr>
          <w:wBefore w:w="0" w:type="auto"/>
          <w:tblCellSpacing w:w="0" w:type="dxa"/>
        </w:trPr>
        <w:tc>
          <w:tcPr>
            <w:tcW w:w="0" w:type="auto"/>
            <w:noWrap w:val="0"/>
            <w:vAlign w:val="center"/>
          </w:tcPr>
          <w:p w14:paraId="2CE445FF">
            <w:r>
              <w:rPr>
                <w:rStyle w:val="10"/>
                <w:rFonts w:hint="eastAsia"/>
              </w:rPr>
              <w:t>质量保证期：</w:t>
            </w:r>
            <w:r>
              <w:rPr>
                <w:rStyle w:val="11"/>
                <w:rFonts w:hint="eastAsia"/>
              </w:rPr>
              <w:t>2年</w:t>
            </w:r>
          </w:p>
        </w:tc>
      </w:tr>
      <w:tr w14:paraId="62C75245">
        <w:tblPrEx>
          <w:tblCellMar>
            <w:top w:w="0" w:type="dxa"/>
            <w:left w:w="0" w:type="dxa"/>
            <w:bottom w:w="0" w:type="dxa"/>
            <w:right w:w="0" w:type="dxa"/>
          </w:tblCellMar>
        </w:tblPrEx>
        <w:trPr>
          <w:wBefore w:w="0" w:type="auto"/>
          <w:tblCellSpacing w:w="0" w:type="dxa"/>
        </w:trPr>
        <w:tc>
          <w:tcPr>
            <w:tcW w:w="0" w:type="auto"/>
            <w:noWrap w:val="0"/>
            <w:vAlign w:val="center"/>
          </w:tcPr>
          <w:p w14:paraId="648ECAA0">
            <w:r>
              <w:rPr>
                <w:rStyle w:val="10"/>
                <w:rFonts w:hint="eastAsia"/>
              </w:rPr>
              <w:t>备注：</w:t>
            </w:r>
          </w:p>
        </w:tc>
      </w:tr>
    </w:tbl>
    <w:p w14:paraId="5CD2289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1F5E0EE">
        <w:tblPrEx>
          <w:tblCellMar>
            <w:top w:w="0" w:type="dxa"/>
            <w:left w:w="0" w:type="dxa"/>
            <w:bottom w:w="0" w:type="dxa"/>
            <w:right w:w="0" w:type="dxa"/>
          </w:tblCellMar>
        </w:tblPrEx>
        <w:trPr>
          <w:wBefore w:w="0" w:type="auto"/>
          <w:tblCellSpacing w:w="0" w:type="dxa"/>
        </w:trPr>
        <w:tc>
          <w:tcPr>
            <w:tcW w:w="0" w:type="auto"/>
            <w:noWrap w:val="0"/>
            <w:vAlign w:val="center"/>
          </w:tcPr>
          <w:p w14:paraId="6F5AD09B">
            <w:r>
              <w:rPr>
                <w:rStyle w:val="10"/>
                <w:rFonts w:hint="eastAsia"/>
              </w:rPr>
              <w:t>登记证号：</w:t>
            </w:r>
            <w:r>
              <w:rPr>
                <w:rFonts w:hint="eastAsia"/>
              </w:rPr>
              <w:t>PD20211949</w:t>
            </w:r>
          </w:p>
        </w:tc>
      </w:tr>
      <w:tr w14:paraId="3C0E148E">
        <w:tblPrEx>
          <w:tblCellMar>
            <w:top w:w="0" w:type="dxa"/>
            <w:left w:w="0" w:type="dxa"/>
            <w:bottom w:w="0" w:type="dxa"/>
            <w:right w:w="0" w:type="dxa"/>
          </w:tblCellMar>
        </w:tblPrEx>
        <w:trPr>
          <w:wBefore w:w="0" w:type="auto"/>
          <w:tblCellSpacing w:w="0" w:type="dxa"/>
        </w:trPr>
        <w:tc>
          <w:tcPr>
            <w:tcW w:w="0" w:type="auto"/>
            <w:noWrap w:val="0"/>
            <w:vAlign w:val="center"/>
          </w:tcPr>
          <w:p w14:paraId="3BA45257">
            <w:r>
              <w:rPr>
                <w:rStyle w:val="10"/>
                <w:rFonts w:hint="eastAsia"/>
              </w:rPr>
              <w:t>登记证持有人：</w:t>
            </w:r>
            <w:r>
              <w:rPr>
                <w:rFonts w:hint="eastAsia"/>
              </w:rPr>
              <w:t>陕西美邦药业集团股份有限公司</w:t>
            </w:r>
          </w:p>
        </w:tc>
      </w:tr>
      <w:tr w14:paraId="471D5474">
        <w:tblPrEx>
          <w:tblCellMar>
            <w:top w:w="0" w:type="dxa"/>
            <w:left w:w="0" w:type="dxa"/>
            <w:bottom w:w="0" w:type="dxa"/>
            <w:right w:w="0" w:type="dxa"/>
          </w:tblCellMar>
        </w:tblPrEx>
        <w:trPr>
          <w:wBefore w:w="0" w:type="auto"/>
          <w:tblCellSpacing w:w="0" w:type="dxa"/>
        </w:trPr>
        <w:tc>
          <w:tcPr>
            <w:tcW w:w="0" w:type="auto"/>
            <w:noWrap w:val="0"/>
            <w:vAlign w:val="center"/>
          </w:tcPr>
          <w:p w14:paraId="733848EE">
            <w:r>
              <w:rPr>
                <w:rStyle w:val="10"/>
                <w:rFonts w:hint="eastAsia"/>
              </w:rPr>
              <w:t>农药名称：</w:t>
            </w:r>
            <w:r>
              <w:rPr>
                <w:rFonts w:hint="eastAsia"/>
              </w:rPr>
              <w:t>肟菌·咪鲜胺</w:t>
            </w:r>
          </w:p>
        </w:tc>
      </w:tr>
      <w:tr w14:paraId="7E8BC908">
        <w:tblPrEx>
          <w:tblCellMar>
            <w:top w:w="0" w:type="dxa"/>
            <w:left w:w="0" w:type="dxa"/>
            <w:bottom w:w="0" w:type="dxa"/>
            <w:right w:w="0" w:type="dxa"/>
          </w:tblCellMar>
        </w:tblPrEx>
        <w:trPr>
          <w:wBefore w:w="0" w:type="auto"/>
          <w:tblCellSpacing w:w="0" w:type="dxa"/>
        </w:trPr>
        <w:tc>
          <w:tcPr>
            <w:tcW w:w="0" w:type="auto"/>
            <w:noWrap w:val="0"/>
            <w:vAlign w:val="center"/>
          </w:tcPr>
          <w:p w14:paraId="4E1FB181">
            <w:r>
              <w:rPr>
                <w:rStyle w:val="10"/>
                <w:rFonts w:hint="eastAsia"/>
              </w:rPr>
              <w:t>剂型：</w:t>
            </w:r>
            <w:r>
              <w:rPr>
                <w:rFonts w:hint="eastAsia"/>
              </w:rPr>
              <w:t>水乳剂</w:t>
            </w:r>
          </w:p>
        </w:tc>
      </w:tr>
      <w:tr w14:paraId="4FF7511B">
        <w:tblPrEx>
          <w:tblCellMar>
            <w:top w:w="0" w:type="dxa"/>
            <w:left w:w="0" w:type="dxa"/>
            <w:bottom w:w="0" w:type="dxa"/>
            <w:right w:w="0" w:type="dxa"/>
          </w:tblCellMar>
        </w:tblPrEx>
        <w:trPr>
          <w:wBefore w:w="0" w:type="auto"/>
          <w:tblCellSpacing w:w="0" w:type="dxa"/>
        </w:trPr>
        <w:tc>
          <w:tcPr>
            <w:tcW w:w="0" w:type="auto"/>
            <w:noWrap w:val="0"/>
            <w:vAlign w:val="center"/>
          </w:tcPr>
          <w:p w14:paraId="41E55FE3">
            <w:r>
              <w:rPr>
                <w:rStyle w:val="10"/>
                <w:rFonts w:hint="eastAsia"/>
              </w:rPr>
              <w:t>毒性及其标识：</w:t>
            </w:r>
            <w:r>
              <w:rPr>
                <w:rFonts w:hint="eastAsia"/>
              </w:rPr>
              <w:t xml:space="preserve"> </w:t>
            </w:r>
            <w:r>
              <w:rPr>
                <w:lang/>
              </w:rPr>
              <w:drawing>
                <wp:inline distT="0" distB="0" distL="114300" distR="114300">
                  <wp:extent cx="476250" cy="323850"/>
                  <wp:effectExtent l="0" t="0" r="0" b="0"/>
                  <wp:docPr id="338" name="图片 33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6C1B0E2">
        <w:tblPrEx>
          <w:tblCellMar>
            <w:top w:w="0" w:type="dxa"/>
            <w:left w:w="0" w:type="dxa"/>
            <w:bottom w:w="0" w:type="dxa"/>
            <w:right w:w="0" w:type="dxa"/>
          </w:tblCellMar>
        </w:tblPrEx>
        <w:trPr>
          <w:wBefore w:w="0" w:type="auto"/>
          <w:tblCellSpacing w:w="0" w:type="dxa"/>
        </w:trPr>
        <w:tc>
          <w:tcPr>
            <w:tcW w:w="0" w:type="auto"/>
            <w:noWrap w:val="0"/>
            <w:vAlign w:val="center"/>
          </w:tcPr>
          <w:p w14:paraId="4FCA4BB4">
            <w:r>
              <w:rPr>
                <w:rStyle w:val="10"/>
                <w:rFonts w:hint="eastAsia"/>
              </w:rPr>
              <w:t>总有效成分含量：</w:t>
            </w:r>
            <w:r>
              <w:rPr>
                <w:rFonts w:hint="eastAsia"/>
              </w:rPr>
              <w:t>40%</w:t>
            </w:r>
          </w:p>
        </w:tc>
      </w:tr>
      <w:tr w14:paraId="32F7EF2D">
        <w:tblPrEx>
          <w:tblCellMar>
            <w:top w:w="0" w:type="dxa"/>
            <w:left w:w="0" w:type="dxa"/>
            <w:bottom w:w="0" w:type="dxa"/>
            <w:right w:w="0" w:type="dxa"/>
          </w:tblCellMar>
        </w:tblPrEx>
        <w:trPr>
          <w:wBefore w:w="0" w:type="auto"/>
          <w:tblCellSpacing w:w="0" w:type="dxa"/>
        </w:trPr>
        <w:tc>
          <w:tcPr>
            <w:tcW w:w="0" w:type="auto"/>
            <w:noWrap w:val="0"/>
            <w:vAlign w:val="center"/>
          </w:tcPr>
          <w:p w14:paraId="58DD9BFB">
            <w:r>
              <w:rPr>
                <w:rFonts w:hint="eastAsia"/>
              </w:rPr>
              <w:t xml:space="preserve">有效成分及其含量： </w:t>
            </w:r>
          </w:p>
          <w:p w14:paraId="032C386D">
            <w:r>
              <w:rPr>
                <w:rFonts w:hint="eastAsia"/>
              </w:rPr>
              <w:t xml:space="preserve">    咪鲜胺30%    肟菌酯10%    </w:t>
            </w:r>
          </w:p>
        </w:tc>
      </w:tr>
      <w:tr w14:paraId="159C982E">
        <w:tblPrEx>
          <w:tblCellMar>
            <w:top w:w="0" w:type="dxa"/>
            <w:left w:w="0" w:type="dxa"/>
            <w:bottom w:w="0" w:type="dxa"/>
            <w:right w:w="0" w:type="dxa"/>
          </w:tblCellMar>
        </w:tblPrEx>
        <w:trPr>
          <w:wBefore w:w="0" w:type="auto"/>
          <w:tblCellSpacing w:w="0" w:type="dxa"/>
        </w:trPr>
        <w:tc>
          <w:tcPr>
            <w:tcW w:w="0" w:type="auto"/>
            <w:noWrap w:val="0"/>
            <w:vAlign w:val="center"/>
          </w:tcPr>
          <w:p w14:paraId="68B003D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52D00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75FC86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464D8C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DE527D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BF01E69">
                  <w:r>
                    <w:rPr>
                      <w:rStyle w:val="11"/>
                      <w:rFonts w:hint="eastAsia"/>
                    </w:rPr>
                    <w:t>施用方式</w:t>
                  </w:r>
                </w:p>
              </w:tc>
            </w:tr>
            <w:tr w14:paraId="3BF8AA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DD2FD2D">
                  <w:r>
                    <w:rPr>
                      <w:rStyle w:val="11"/>
                      <w:rFonts w:hint="eastAsia"/>
                    </w:rPr>
                    <w:t>枣树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868502">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B43406">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AC4FF3">
                  <w:r>
                    <w:rPr>
                      <w:rStyle w:val="11"/>
                      <w:rFonts w:hint="eastAsia"/>
                    </w:rPr>
                    <w:t>喷雾</w:t>
                  </w:r>
                </w:p>
              </w:tc>
            </w:tr>
          </w:tbl>
          <w:p w14:paraId="7609BAF4">
            <w:pPr>
              <w:rPr>
                <w:rFonts w:ascii="Times New Roman" w:hAnsi="Times New Roman" w:cs="Times New Roman"/>
                <w:sz w:val="20"/>
                <w:szCs w:val="20"/>
              </w:rPr>
            </w:pPr>
          </w:p>
        </w:tc>
      </w:tr>
      <w:tr w14:paraId="749DBEF6">
        <w:tblPrEx>
          <w:tblCellMar>
            <w:top w:w="0" w:type="dxa"/>
            <w:left w:w="0" w:type="dxa"/>
            <w:bottom w:w="0" w:type="dxa"/>
            <w:right w:w="0" w:type="dxa"/>
          </w:tblCellMar>
        </w:tblPrEx>
        <w:trPr>
          <w:wBefore w:w="0" w:type="auto"/>
          <w:tblCellSpacing w:w="0" w:type="dxa"/>
        </w:trPr>
        <w:tc>
          <w:tcPr>
            <w:tcW w:w="0" w:type="auto"/>
            <w:noWrap w:val="0"/>
            <w:vAlign w:val="center"/>
          </w:tcPr>
          <w:p w14:paraId="0BFEF64C">
            <w:r>
              <w:rPr>
                <w:rStyle w:val="10"/>
                <w:rFonts w:hint="eastAsia"/>
              </w:rPr>
              <w:t>使用技术要求:</w:t>
            </w:r>
            <w:r>
              <w:rPr>
                <w:rFonts w:hint="eastAsia"/>
              </w:rPr>
              <w:br w:type="textWrapping"/>
            </w:r>
            <w:r>
              <w:rPr>
                <w:rStyle w:val="11"/>
                <w:rFonts w:hint="eastAsia"/>
              </w:rPr>
              <w:t>1.本品适宜施药时期于病害发生前或发病初期喷雾施药，连续施药3次，每次间隔7-10天。注意喷雾均匀、周到，以确保药效。2. 大风天或预计1小时内降雨，请勿施药。3.本品在枣树使用时的安全间隔期为21天，每季作物最多使用3次。</w:t>
            </w:r>
          </w:p>
        </w:tc>
      </w:tr>
      <w:tr w14:paraId="74A4FC09">
        <w:tblPrEx>
          <w:tblCellMar>
            <w:top w:w="0" w:type="dxa"/>
            <w:left w:w="0" w:type="dxa"/>
            <w:bottom w:w="0" w:type="dxa"/>
            <w:right w:w="0" w:type="dxa"/>
          </w:tblCellMar>
        </w:tblPrEx>
        <w:trPr>
          <w:wBefore w:w="0" w:type="auto"/>
          <w:tblCellSpacing w:w="0" w:type="dxa"/>
        </w:trPr>
        <w:tc>
          <w:tcPr>
            <w:tcW w:w="0" w:type="auto"/>
            <w:noWrap w:val="0"/>
            <w:vAlign w:val="center"/>
          </w:tcPr>
          <w:p w14:paraId="54953AB2">
            <w:r>
              <w:rPr>
                <w:rStyle w:val="10"/>
                <w:rFonts w:hint="eastAsia"/>
              </w:rPr>
              <w:t>产品性能:</w:t>
            </w:r>
            <w:r>
              <w:rPr>
                <w:rFonts w:hint="eastAsia"/>
              </w:rPr>
              <w:br w:type="textWrapping"/>
            </w:r>
            <w:r>
              <w:rPr>
                <w:rStyle w:val="11"/>
                <w:rFonts w:hint="eastAsia"/>
              </w:rPr>
              <w:t>本品是由咪鲜胺和肟菌酯复配而成的杀菌剂，咪鲜胺为咪唑类杀菌剂，抑制病菌麦角甾醇的生物合成而达到杀菌效果；肟菌酯是第二代甲氧基丙烯酸酯类杀菌剂，作用原理是抑制真菌线粒体的呼吸，从而破坏病菌能量合成而发挥杀菌活性，二者复配对枣树炭疽病具有较好的防治效果。</w:t>
            </w:r>
          </w:p>
        </w:tc>
      </w:tr>
      <w:tr w14:paraId="6A4C991C">
        <w:tblPrEx>
          <w:tblCellMar>
            <w:top w:w="0" w:type="dxa"/>
            <w:left w:w="0" w:type="dxa"/>
            <w:bottom w:w="0" w:type="dxa"/>
            <w:right w:w="0" w:type="dxa"/>
          </w:tblCellMar>
        </w:tblPrEx>
        <w:trPr>
          <w:wBefore w:w="0" w:type="auto"/>
          <w:tblCellSpacing w:w="0" w:type="dxa"/>
        </w:trPr>
        <w:tc>
          <w:tcPr>
            <w:tcW w:w="0" w:type="auto"/>
            <w:noWrap w:val="0"/>
            <w:vAlign w:val="center"/>
          </w:tcPr>
          <w:p w14:paraId="322F58B2">
            <w:r>
              <w:rPr>
                <w:rStyle w:val="10"/>
                <w:rFonts w:hint="eastAsia"/>
              </w:rPr>
              <w:t>注意事项：</w:t>
            </w:r>
            <w:r>
              <w:rPr>
                <w:rFonts w:hint="eastAsia"/>
              </w:rPr>
              <w:br w:type="textWrapping"/>
            </w:r>
            <w:r>
              <w:rPr>
                <w:rStyle w:val="11"/>
                <w:rFonts w:hint="eastAsia"/>
              </w:rPr>
              <w:t>1、严格按照规定用药量和方法使用。 2、建议与其他作用机制不同的杀菌剂轮换使用，以延缓抗性产生。 3、本品对鱼、溞、藻有毒，鸟类保护区附近禁用；不可使用最外围桑树上的桑叶饲喂家蚕；水产养殖区、河塘等水体附近禁用，禁止在河塘等水体中清洗施药器具；瓢虫（或其他代表性天敌）等天敌放飞区域禁用。 4、使用时穿戴长衣、长裤、帽子、口罩、手套等防护措施。施药期间不可吃东西、饮水、吸烟等；施药后应及时洗手、洗脸并洗涤施药时穿着的衣物。 5、用药后包装物及用过的容器应妥善处理，不可做他用，也不可随意丢弃。 6、孕妇及哺乳期妇女禁止接触本产品。</w:t>
            </w:r>
          </w:p>
        </w:tc>
      </w:tr>
      <w:tr w14:paraId="5260E810">
        <w:tblPrEx>
          <w:tblCellMar>
            <w:top w:w="0" w:type="dxa"/>
            <w:left w:w="0" w:type="dxa"/>
            <w:bottom w:w="0" w:type="dxa"/>
            <w:right w:w="0" w:type="dxa"/>
          </w:tblCellMar>
        </w:tblPrEx>
        <w:trPr>
          <w:wBefore w:w="0" w:type="auto"/>
          <w:tblCellSpacing w:w="0" w:type="dxa"/>
        </w:trPr>
        <w:tc>
          <w:tcPr>
            <w:tcW w:w="0" w:type="auto"/>
            <w:noWrap w:val="0"/>
            <w:vAlign w:val="center"/>
          </w:tcPr>
          <w:p w14:paraId="196CDDCB">
            <w:r>
              <w:rPr>
                <w:rStyle w:val="10"/>
                <w:rFonts w:hint="eastAsia"/>
              </w:rPr>
              <w:t>中毒急救措施：</w:t>
            </w:r>
            <w:r>
              <w:rPr>
                <w:rFonts w:hint="eastAsia"/>
              </w:rPr>
              <w:br w:type="textWrapping"/>
            </w:r>
            <w:r>
              <w:rPr>
                <w:rStyle w:val="11"/>
                <w:rFonts w:hint="eastAsia"/>
              </w:rPr>
              <w:t>该产品对眼睛有刺激性，使用时避免接触眼睛。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78B5F180">
        <w:tblPrEx>
          <w:tblCellMar>
            <w:top w:w="0" w:type="dxa"/>
            <w:left w:w="0" w:type="dxa"/>
            <w:bottom w:w="0" w:type="dxa"/>
            <w:right w:w="0" w:type="dxa"/>
          </w:tblCellMar>
        </w:tblPrEx>
        <w:trPr>
          <w:wBefore w:w="0" w:type="auto"/>
          <w:tblCellSpacing w:w="0" w:type="dxa"/>
        </w:trPr>
        <w:tc>
          <w:tcPr>
            <w:tcW w:w="0" w:type="auto"/>
            <w:noWrap w:val="0"/>
            <w:vAlign w:val="center"/>
          </w:tcPr>
          <w:p w14:paraId="28AE54D5">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本品应贮存在干燥、阴凉、通风、防雨处，远离火源或热源。置于儿童、无关人员及动物触及不到之处，并加锁保存。勿与食品、饮料、粮食、饲料、种子等其他商品同贮同运。</w:t>
            </w:r>
          </w:p>
        </w:tc>
      </w:tr>
      <w:tr w14:paraId="0BCADF03">
        <w:tblPrEx>
          <w:tblCellMar>
            <w:top w:w="0" w:type="dxa"/>
            <w:left w:w="0" w:type="dxa"/>
            <w:bottom w:w="0" w:type="dxa"/>
            <w:right w:w="0" w:type="dxa"/>
          </w:tblCellMar>
        </w:tblPrEx>
        <w:trPr>
          <w:wBefore w:w="0" w:type="auto"/>
          <w:tblCellSpacing w:w="0" w:type="dxa"/>
        </w:trPr>
        <w:tc>
          <w:tcPr>
            <w:tcW w:w="0" w:type="auto"/>
            <w:noWrap w:val="0"/>
            <w:vAlign w:val="center"/>
          </w:tcPr>
          <w:p w14:paraId="39BB38E3">
            <w:r>
              <w:rPr>
                <w:rStyle w:val="10"/>
                <w:rFonts w:hint="eastAsia"/>
              </w:rPr>
              <w:t>质量保证期：</w:t>
            </w:r>
            <w:r>
              <w:rPr>
                <w:rStyle w:val="11"/>
                <w:rFonts w:hint="eastAsia"/>
              </w:rPr>
              <w:t>2年</w:t>
            </w:r>
          </w:p>
        </w:tc>
      </w:tr>
      <w:tr w14:paraId="5B6FB11F">
        <w:tblPrEx>
          <w:tblCellMar>
            <w:top w:w="0" w:type="dxa"/>
            <w:left w:w="0" w:type="dxa"/>
            <w:bottom w:w="0" w:type="dxa"/>
            <w:right w:w="0" w:type="dxa"/>
          </w:tblCellMar>
        </w:tblPrEx>
        <w:trPr>
          <w:wBefore w:w="0" w:type="auto"/>
          <w:tblCellSpacing w:w="0" w:type="dxa"/>
        </w:trPr>
        <w:tc>
          <w:tcPr>
            <w:tcW w:w="0" w:type="auto"/>
            <w:noWrap w:val="0"/>
            <w:vAlign w:val="center"/>
          </w:tcPr>
          <w:p w14:paraId="1C1FFC03">
            <w:r>
              <w:rPr>
                <w:rStyle w:val="10"/>
                <w:rFonts w:hint="eastAsia"/>
              </w:rPr>
              <w:t>备注：</w:t>
            </w:r>
          </w:p>
        </w:tc>
      </w:tr>
    </w:tbl>
    <w:p w14:paraId="151BC99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A26561">
        <w:tblPrEx>
          <w:tblCellMar>
            <w:top w:w="0" w:type="dxa"/>
            <w:left w:w="0" w:type="dxa"/>
            <w:bottom w:w="0" w:type="dxa"/>
            <w:right w:w="0" w:type="dxa"/>
          </w:tblCellMar>
        </w:tblPrEx>
        <w:trPr>
          <w:wBefore w:w="0" w:type="auto"/>
          <w:tblCellSpacing w:w="0" w:type="dxa"/>
        </w:trPr>
        <w:tc>
          <w:tcPr>
            <w:tcW w:w="0" w:type="auto"/>
            <w:noWrap w:val="0"/>
            <w:vAlign w:val="center"/>
          </w:tcPr>
          <w:p w14:paraId="4051DC09">
            <w:r>
              <w:rPr>
                <w:rStyle w:val="10"/>
                <w:rFonts w:hint="eastAsia"/>
              </w:rPr>
              <w:t>登记证号：</w:t>
            </w:r>
            <w:r>
              <w:rPr>
                <w:rFonts w:hint="eastAsia"/>
              </w:rPr>
              <w:t>PD20211710</w:t>
            </w:r>
          </w:p>
        </w:tc>
      </w:tr>
      <w:tr w14:paraId="24C8AF18">
        <w:tblPrEx>
          <w:tblCellMar>
            <w:top w:w="0" w:type="dxa"/>
            <w:left w:w="0" w:type="dxa"/>
            <w:bottom w:w="0" w:type="dxa"/>
            <w:right w:w="0" w:type="dxa"/>
          </w:tblCellMar>
        </w:tblPrEx>
        <w:trPr>
          <w:wBefore w:w="0" w:type="auto"/>
          <w:tblCellSpacing w:w="0" w:type="dxa"/>
        </w:trPr>
        <w:tc>
          <w:tcPr>
            <w:tcW w:w="0" w:type="auto"/>
            <w:noWrap w:val="0"/>
            <w:vAlign w:val="center"/>
          </w:tcPr>
          <w:p w14:paraId="6BDDDA36">
            <w:r>
              <w:rPr>
                <w:rStyle w:val="10"/>
                <w:rFonts w:hint="eastAsia"/>
              </w:rPr>
              <w:t>登记证持有人：</w:t>
            </w:r>
            <w:r>
              <w:rPr>
                <w:rFonts w:hint="eastAsia"/>
              </w:rPr>
              <w:t>哈尔滨火龙神农业生物化工有限公司</w:t>
            </w:r>
          </w:p>
        </w:tc>
      </w:tr>
      <w:tr w14:paraId="601C03EE">
        <w:tblPrEx>
          <w:tblCellMar>
            <w:top w:w="0" w:type="dxa"/>
            <w:left w:w="0" w:type="dxa"/>
            <w:bottom w:w="0" w:type="dxa"/>
            <w:right w:w="0" w:type="dxa"/>
          </w:tblCellMar>
        </w:tblPrEx>
        <w:trPr>
          <w:wBefore w:w="0" w:type="auto"/>
          <w:tblCellSpacing w:w="0" w:type="dxa"/>
        </w:trPr>
        <w:tc>
          <w:tcPr>
            <w:tcW w:w="0" w:type="auto"/>
            <w:noWrap w:val="0"/>
            <w:vAlign w:val="center"/>
          </w:tcPr>
          <w:p w14:paraId="51CB86CB">
            <w:r>
              <w:rPr>
                <w:rStyle w:val="10"/>
                <w:rFonts w:hint="eastAsia"/>
              </w:rPr>
              <w:t>农药名称：</w:t>
            </w:r>
            <w:r>
              <w:rPr>
                <w:rFonts w:hint="eastAsia"/>
              </w:rPr>
              <w:t>呋虫胺·嘧菌酯·种菌唑</w:t>
            </w:r>
          </w:p>
        </w:tc>
      </w:tr>
      <w:tr w14:paraId="0ED6171E">
        <w:tblPrEx>
          <w:tblCellMar>
            <w:top w:w="0" w:type="dxa"/>
            <w:left w:w="0" w:type="dxa"/>
            <w:bottom w:w="0" w:type="dxa"/>
            <w:right w:w="0" w:type="dxa"/>
          </w:tblCellMar>
        </w:tblPrEx>
        <w:trPr>
          <w:wBefore w:w="0" w:type="auto"/>
          <w:tblCellSpacing w:w="0" w:type="dxa"/>
        </w:trPr>
        <w:tc>
          <w:tcPr>
            <w:tcW w:w="0" w:type="auto"/>
            <w:noWrap w:val="0"/>
            <w:vAlign w:val="center"/>
          </w:tcPr>
          <w:p w14:paraId="7B34C39D">
            <w:r>
              <w:rPr>
                <w:rStyle w:val="10"/>
                <w:rFonts w:hint="eastAsia"/>
              </w:rPr>
              <w:t>剂型：</w:t>
            </w:r>
            <w:r>
              <w:rPr>
                <w:rFonts w:hint="eastAsia"/>
              </w:rPr>
              <w:t>种子处理悬浮剂</w:t>
            </w:r>
          </w:p>
        </w:tc>
      </w:tr>
      <w:tr w14:paraId="62E7E925">
        <w:tblPrEx>
          <w:tblCellMar>
            <w:top w:w="0" w:type="dxa"/>
            <w:left w:w="0" w:type="dxa"/>
            <w:bottom w:w="0" w:type="dxa"/>
            <w:right w:w="0" w:type="dxa"/>
          </w:tblCellMar>
        </w:tblPrEx>
        <w:trPr>
          <w:wBefore w:w="0" w:type="auto"/>
          <w:tblCellSpacing w:w="0" w:type="dxa"/>
        </w:trPr>
        <w:tc>
          <w:tcPr>
            <w:tcW w:w="0" w:type="auto"/>
            <w:noWrap w:val="0"/>
            <w:vAlign w:val="center"/>
          </w:tcPr>
          <w:p w14:paraId="128D7B71">
            <w:r>
              <w:rPr>
                <w:rStyle w:val="10"/>
                <w:rFonts w:hint="eastAsia"/>
              </w:rPr>
              <w:t>毒性及其标识：</w:t>
            </w:r>
            <w:r>
              <w:rPr>
                <w:rFonts w:hint="eastAsia"/>
              </w:rPr>
              <w:t xml:space="preserve"> </w:t>
            </w:r>
            <w:r>
              <w:rPr>
                <w:lang/>
              </w:rPr>
              <w:drawing>
                <wp:inline distT="0" distB="0" distL="114300" distR="114300">
                  <wp:extent cx="476250" cy="323850"/>
                  <wp:effectExtent l="0" t="0" r="0" b="0"/>
                  <wp:docPr id="339" name="图片 33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947FAF3">
        <w:tblPrEx>
          <w:tblCellMar>
            <w:top w:w="0" w:type="dxa"/>
            <w:left w:w="0" w:type="dxa"/>
            <w:bottom w:w="0" w:type="dxa"/>
            <w:right w:w="0" w:type="dxa"/>
          </w:tblCellMar>
        </w:tblPrEx>
        <w:trPr>
          <w:wBefore w:w="0" w:type="auto"/>
          <w:tblCellSpacing w:w="0" w:type="dxa"/>
        </w:trPr>
        <w:tc>
          <w:tcPr>
            <w:tcW w:w="0" w:type="auto"/>
            <w:noWrap w:val="0"/>
            <w:vAlign w:val="center"/>
          </w:tcPr>
          <w:p w14:paraId="2C1410F2">
            <w:r>
              <w:rPr>
                <w:rStyle w:val="10"/>
                <w:rFonts w:hint="eastAsia"/>
              </w:rPr>
              <w:t>总有效成分含量：</w:t>
            </w:r>
            <w:r>
              <w:rPr>
                <w:rFonts w:hint="eastAsia"/>
              </w:rPr>
              <w:t>25%</w:t>
            </w:r>
          </w:p>
        </w:tc>
      </w:tr>
      <w:tr w14:paraId="768A5A33">
        <w:tblPrEx>
          <w:tblCellMar>
            <w:top w:w="0" w:type="dxa"/>
            <w:left w:w="0" w:type="dxa"/>
            <w:bottom w:w="0" w:type="dxa"/>
            <w:right w:w="0" w:type="dxa"/>
          </w:tblCellMar>
        </w:tblPrEx>
        <w:trPr>
          <w:wBefore w:w="0" w:type="auto"/>
          <w:tblCellSpacing w:w="0" w:type="dxa"/>
        </w:trPr>
        <w:tc>
          <w:tcPr>
            <w:tcW w:w="0" w:type="auto"/>
            <w:noWrap w:val="0"/>
            <w:vAlign w:val="center"/>
          </w:tcPr>
          <w:p w14:paraId="5BAFBC17">
            <w:r>
              <w:rPr>
                <w:rFonts w:hint="eastAsia"/>
              </w:rPr>
              <w:t xml:space="preserve">有效成分及其含量： </w:t>
            </w:r>
          </w:p>
          <w:p w14:paraId="3705F6A5">
            <w:r>
              <w:rPr>
                <w:rFonts w:hint="eastAsia"/>
              </w:rPr>
              <w:t xml:space="preserve">    嘧菌酯5.5%    种菌唑1%    呋虫胺18.5%    </w:t>
            </w:r>
          </w:p>
        </w:tc>
      </w:tr>
      <w:tr w14:paraId="218C229A">
        <w:tblPrEx>
          <w:tblCellMar>
            <w:top w:w="0" w:type="dxa"/>
            <w:left w:w="0" w:type="dxa"/>
            <w:bottom w:w="0" w:type="dxa"/>
            <w:right w:w="0" w:type="dxa"/>
          </w:tblCellMar>
        </w:tblPrEx>
        <w:trPr>
          <w:wBefore w:w="0" w:type="auto"/>
          <w:tblCellSpacing w:w="0" w:type="dxa"/>
        </w:trPr>
        <w:tc>
          <w:tcPr>
            <w:tcW w:w="0" w:type="auto"/>
            <w:noWrap w:val="0"/>
            <w:vAlign w:val="center"/>
          </w:tcPr>
          <w:p w14:paraId="071923F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9F8BD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384FF8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0EA40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73D9F5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17B4EB">
                  <w:r>
                    <w:rPr>
                      <w:rStyle w:val="11"/>
                      <w:rFonts w:hint="eastAsia"/>
                    </w:rPr>
                    <w:t>施用方式</w:t>
                  </w:r>
                </w:p>
              </w:tc>
            </w:tr>
            <w:tr w14:paraId="74D88B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12A3A6A">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8068EA">
                  <w:r>
                    <w:rPr>
                      <w:rStyle w:val="11"/>
                      <w:rFonts w:hint="eastAsia"/>
                    </w:rPr>
                    <w:t>稻飞虱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2C266E">
                  <w:r>
                    <w:rPr>
                      <w:rStyle w:val="11"/>
                      <w:rFonts w:hint="eastAsia"/>
                    </w:rPr>
                    <w:t>660-1000毫升/100千克种子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23BF44">
                  <w:r>
                    <w:rPr>
                      <w:rStyle w:val="11"/>
                      <w:rFonts w:hint="eastAsia"/>
                    </w:rPr>
                    <w:t>种子包衣</w:t>
                  </w:r>
                </w:p>
              </w:tc>
            </w:tr>
            <w:tr w14:paraId="03E79B4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C841274">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785176">
                  <w:r>
                    <w:rPr>
                      <w:rStyle w:val="11"/>
                      <w:rFonts w:hint="eastAsia"/>
                    </w:rPr>
                    <w:t>立枯病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64705F">
                  <w:r>
                    <w:rPr>
                      <w:rStyle w:val="11"/>
                      <w:rFonts w:hint="eastAsia"/>
                    </w:rPr>
                    <w:t>660-1000毫升/100千克种子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4133E9">
                  <w:r>
                    <w:rPr>
                      <w:rStyle w:val="11"/>
                      <w:rFonts w:hint="eastAsia"/>
                    </w:rPr>
                    <w:t>种子包衣</w:t>
                  </w:r>
                </w:p>
              </w:tc>
            </w:tr>
            <w:tr w14:paraId="6473BCE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F98C988">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E5D5AA">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D263AA">
                  <w:r>
                    <w:rPr>
                      <w:rStyle w:val="11"/>
                      <w:rFonts w:hint="eastAsia"/>
                    </w:rPr>
                    <w:t>500-660毫升/100千克种子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15E6D3">
                  <w:r>
                    <w:rPr>
                      <w:rStyle w:val="11"/>
                      <w:rFonts w:hint="eastAsia"/>
                    </w:rPr>
                    <w:t>种子包衣</w:t>
                  </w:r>
                </w:p>
              </w:tc>
            </w:tr>
            <w:tr w14:paraId="57E79C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7B1732B">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30FE5F">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F473D8">
                  <w:r>
                    <w:rPr>
                      <w:rStyle w:val="11"/>
                      <w:rFonts w:hint="eastAsia"/>
                    </w:rPr>
                    <w:t>500-660毫升/100千克种子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FD5E45">
                  <w:r>
                    <w:rPr>
                      <w:rStyle w:val="11"/>
                      <w:rFonts w:hint="eastAsia"/>
                    </w:rPr>
                    <w:t>种子包衣</w:t>
                  </w:r>
                </w:p>
              </w:tc>
            </w:tr>
          </w:tbl>
          <w:p w14:paraId="7F310163">
            <w:pPr>
              <w:rPr>
                <w:rFonts w:ascii="Times New Roman" w:hAnsi="Times New Roman" w:cs="Times New Roman"/>
                <w:sz w:val="20"/>
                <w:szCs w:val="20"/>
              </w:rPr>
            </w:pPr>
          </w:p>
        </w:tc>
      </w:tr>
      <w:tr w14:paraId="1218EB8E">
        <w:tblPrEx>
          <w:tblCellMar>
            <w:top w:w="0" w:type="dxa"/>
            <w:left w:w="0" w:type="dxa"/>
            <w:bottom w:w="0" w:type="dxa"/>
            <w:right w:w="0" w:type="dxa"/>
          </w:tblCellMar>
        </w:tblPrEx>
        <w:trPr>
          <w:wBefore w:w="0" w:type="auto"/>
          <w:tblCellSpacing w:w="0" w:type="dxa"/>
        </w:trPr>
        <w:tc>
          <w:tcPr>
            <w:tcW w:w="0" w:type="auto"/>
            <w:noWrap w:val="0"/>
            <w:vAlign w:val="center"/>
          </w:tcPr>
          <w:p w14:paraId="7E20E235">
            <w:r>
              <w:rPr>
                <w:rStyle w:val="10"/>
                <w:rFonts w:hint="eastAsia"/>
              </w:rPr>
              <w:t>使用技术要求:</w:t>
            </w:r>
            <w:r>
              <w:rPr>
                <w:rFonts w:hint="eastAsia"/>
              </w:rPr>
              <w:br w:type="textWrapping"/>
            </w:r>
            <w:r>
              <w:rPr>
                <w:rStyle w:val="11"/>
                <w:rFonts w:hint="eastAsia"/>
              </w:rPr>
              <w:t>1.按推荐用药量，1：5～6倍兑水，药种充分搅拌，直到药液均匀分布到种子表面，干籽后可直接播种，水稻也可用清水浸种催芽后播种，浸种时间视温度而定，南方2-3天，北方5-7天。2.防治水稻立枯、稻飞虱药种比1：150～250为宜，防治花生根腐病药种比1：150～200，防治花生蛴螬药种比1：200～300为宜。3.每季节最多使用1次。</w:t>
            </w:r>
          </w:p>
        </w:tc>
      </w:tr>
      <w:tr w14:paraId="5B52071E">
        <w:tblPrEx>
          <w:tblCellMar>
            <w:top w:w="0" w:type="dxa"/>
            <w:left w:w="0" w:type="dxa"/>
            <w:bottom w:w="0" w:type="dxa"/>
            <w:right w:w="0" w:type="dxa"/>
          </w:tblCellMar>
        </w:tblPrEx>
        <w:trPr>
          <w:wBefore w:w="0" w:type="auto"/>
          <w:tblCellSpacing w:w="0" w:type="dxa"/>
        </w:trPr>
        <w:tc>
          <w:tcPr>
            <w:tcW w:w="0" w:type="auto"/>
            <w:noWrap w:val="0"/>
            <w:vAlign w:val="center"/>
          </w:tcPr>
          <w:p w14:paraId="1BDE7B67">
            <w:r>
              <w:rPr>
                <w:rStyle w:val="10"/>
                <w:rFonts w:hint="eastAsia"/>
              </w:rPr>
              <w:t>产品性能:</w:t>
            </w:r>
            <w:r>
              <w:rPr>
                <w:rFonts w:hint="eastAsia"/>
              </w:rPr>
              <w:br w:type="textWrapping"/>
            </w:r>
            <w:r>
              <w:rPr>
                <w:rStyle w:val="11"/>
                <w:rFonts w:hint="eastAsia"/>
              </w:rPr>
              <w:t>本品由呋虫胺、嘧菌酯、种菌唑复配而成，主要用于种子包衣。可有效防治水稻立枯病、花生根腐病、水稻稻飞虱、花生蛴螬等病虫害。</w:t>
            </w:r>
          </w:p>
        </w:tc>
      </w:tr>
      <w:tr w14:paraId="7377FFCD">
        <w:tblPrEx>
          <w:tblCellMar>
            <w:top w:w="0" w:type="dxa"/>
            <w:left w:w="0" w:type="dxa"/>
            <w:bottom w:w="0" w:type="dxa"/>
            <w:right w:w="0" w:type="dxa"/>
          </w:tblCellMar>
        </w:tblPrEx>
        <w:trPr>
          <w:wBefore w:w="0" w:type="auto"/>
          <w:tblCellSpacing w:w="0" w:type="dxa"/>
        </w:trPr>
        <w:tc>
          <w:tcPr>
            <w:tcW w:w="0" w:type="auto"/>
            <w:noWrap w:val="0"/>
            <w:vAlign w:val="center"/>
          </w:tcPr>
          <w:p w14:paraId="69B31383">
            <w:r>
              <w:rPr>
                <w:rStyle w:val="10"/>
                <w:rFonts w:hint="eastAsia"/>
              </w:rPr>
              <w:t>注意事项：</w:t>
            </w:r>
            <w:r>
              <w:rPr>
                <w:rFonts w:hint="eastAsia"/>
              </w:rPr>
              <w:br w:type="textWrapping"/>
            </w:r>
            <w:r>
              <w:rPr>
                <w:rStyle w:val="11"/>
                <w:rFonts w:hint="eastAsia"/>
              </w:rPr>
              <w:t>1.请按照农药安全使用准则使用本品。包衣作业时要注意防护，如穿长衣长裤，戴护目镜、手套、口罩等防护用具。避免吸入药液。施药期间不可吃东西、喝水和吸烟。施药后应及时用肥皂洗手、洗脸和清洗防护用具。2. 远离水产养殖区、河塘等水体施药，禁止在河塘等水体中清洗施药器具；鱼或虾蟹套养稻田禁用、施药后的田水不得直接排入水体。 3.（周围）开花植物花期禁用，使用期间应密切关注对附近蜂群的影响；鸟类保护区附近禁用，播种后立即覆土。4.处理过的种子必须放置在有明显标签的容器内。勿与食物、饲料放在一起，不得饲喂禽畜，更不得用来加工饲料或食品。5.用过的容器和废弃包装应妥善处理，切勿重复使用或改作其它用途。6.孕妇及哺乳期妇女禁止接触本品。</w:t>
            </w:r>
          </w:p>
        </w:tc>
      </w:tr>
      <w:tr w14:paraId="5AE75D9A">
        <w:tblPrEx>
          <w:tblCellMar>
            <w:top w:w="0" w:type="dxa"/>
            <w:left w:w="0" w:type="dxa"/>
            <w:bottom w:w="0" w:type="dxa"/>
            <w:right w:w="0" w:type="dxa"/>
          </w:tblCellMar>
        </w:tblPrEx>
        <w:trPr>
          <w:wBefore w:w="0" w:type="auto"/>
          <w:tblCellSpacing w:w="0" w:type="dxa"/>
        </w:trPr>
        <w:tc>
          <w:tcPr>
            <w:tcW w:w="0" w:type="auto"/>
            <w:noWrap w:val="0"/>
            <w:vAlign w:val="center"/>
          </w:tcPr>
          <w:p w14:paraId="34DFE036">
            <w:r>
              <w:rPr>
                <w:rStyle w:val="10"/>
                <w:rFonts w:hint="eastAsia"/>
              </w:rPr>
              <w:t>中毒急救措施：</w:t>
            </w:r>
            <w:r>
              <w:rPr>
                <w:rFonts w:hint="eastAsia"/>
              </w:rPr>
              <w:br w:type="textWrapping"/>
            </w:r>
            <w:r>
              <w:rPr>
                <w:rStyle w:val="11"/>
                <w:rFonts w:hint="eastAsia"/>
              </w:rPr>
              <w:t>①本品对眼睛有中度刺激作用，要注意防护。若溅入眼睛中，用大量清水冲洗至少15分钟，仍有不适时，就医。②如不慎接触皮肤，用肥皂和大量清水冲洗。③误吸:移至空气清新地方。④误服：立即带标签送医院，对症治疗，无特效解毒剂。</w:t>
            </w:r>
          </w:p>
        </w:tc>
      </w:tr>
      <w:tr w14:paraId="3A2808BA">
        <w:tblPrEx>
          <w:tblCellMar>
            <w:top w:w="0" w:type="dxa"/>
            <w:left w:w="0" w:type="dxa"/>
            <w:bottom w:w="0" w:type="dxa"/>
            <w:right w:w="0" w:type="dxa"/>
          </w:tblCellMar>
        </w:tblPrEx>
        <w:trPr>
          <w:wBefore w:w="0" w:type="auto"/>
          <w:tblCellSpacing w:w="0" w:type="dxa"/>
        </w:trPr>
        <w:tc>
          <w:tcPr>
            <w:tcW w:w="0" w:type="auto"/>
            <w:noWrap w:val="0"/>
            <w:vAlign w:val="center"/>
          </w:tcPr>
          <w:p w14:paraId="56A11495">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本品应贮存在干燥、阴凉、通风、防雨处，远离火源或热源。置于儿童及无关人员触及不到之处，并加锁。不能与食品、饮料、粮食、饲料等同贮同运。</w:t>
            </w:r>
          </w:p>
        </w:tc>
      </w:tr>
      <w:tr w14:paraId="36B113C2">
        <w:tblPrEx>
          <w:tblCellMar>
            <w:top w:w="0" w:type="dxa"/>
            <w:left w:w="0" w:type="dxa"/>
            <w:bottom w:w="0" w:type="dxa"/>
            <w:right w:w="0" w:type="dxa"/>
          </w:tblCellMar>
        </w:tblPrEx>
        <w:trPr>
          <w:wBefore w:w="0" w:type="auto"/>
          <w:tblCellSpacing w:w="0" w:type="dxa"/>
        </w:trPr>
        <w:tc>
          <w:tcPr>
            <w:tcW w:w="0" w:type="auto"/>
            <w:noWrap w:val="0"/>
            <w:vAlign w:val="center"/>
          </w:tcPr>
          <w:p w14:paraId="24A674D7">
            <w:r>
              <w:rPr>
                <w:rStyle w:val="10"/>
                <w:rFonts w:hint="eastAsia"/>
              </w:rPr>
              <w:t>质量保证期：</w:t>
            </w:r>
            <w:r>
              <w:rPr>
                <w:rStyle w:val="11"/>
                <w:rFonts w:hint="eastAsia"/>
              </w:rPr>
              <w:t>2年</w:t>
            </w:r>
          </w:p>
        </w:tc>
      </w:tr>
      <w:tr w14:paraId="1565417B">
        <w:tblPrEx>
          <w:tblCellMar>
            <w:top w:w="0" w:type="dxa"/>
            <w:left w:w="0" w:type="dxa"/>
            <w:bottom w:w="0" w:type="dxa"/>
            <w:right w:w="0" w:type="dxa"/>
          </w:tblCellMar>
        </w:tblPrEx>
        <w:trPr>
          <w:wBefore w:w="0" w:type="auto"/>
          <w:tblCellSpacing w:w="0" w:type="dxa"/>
        </w:trPr>
        <w:tc>
          <w:tcPr>
            <w:tcW w:w="0" w:type="auto"/>
            <w:noWrap w:val="0"/>
            <w:vAlign w:val="center"/>
          </w:tcPr>
          <w:p w14:paraId="197C4A43">
            <w:r>
              <w:rPr>
                <w:rStyle w:val="10"/>
                <w:rFonts w:hint="eastAsia"/>
              </w:rPr>
              <w:t>备注：</w:t>
            </w:r>
          </w:p>
        </w:tc>
      </w:tr>
    </w:tbl>
    <w:p w14:paraId="2247037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FAAF343">
        <w:tblPrEx>
          <w:tblCellMar>
            <w:top w:w="0" w:type="dxa"/>
            <w:left w:w="0" w:type="dxa"/>
            <w:bottom w:w="0" w:type="dxa"/>
            <w:right w:w="0" w:type="dxa"/>
          </w:tblCellMar>
        </w:tblPrEx>
        <w:trPr>
          <w:wBefore w:w="0" w:type="auto"/>
          <w:tblCellSpacing w:w="0" w:type="dxa"/>
        </w:trPr>
        <w:tc>
          <w:tcPr>
            <w:tcW w:w="0" w:type="auto"/>
            <w:noWrap w:val="0"/>
            <w:vAlign w:val="center"/>
          </w:tcPr>
          <w:p w14:paraId="66543472">
            <w:r>
              <w:rPr>
                <w:rStyle w:val="10"/>
                <w:rFonts w:hint="eastAsia"/>
              </w:rPr>
              <w:t>登记证号：</w:t>
            </w:r>
            <w:r>
              <w:rPr>
                <w:rFonts w:hint="eastAsia"/>
              </w:rPr>
              <w:t>PD20212124</w:t>
            </w:r>
          </w:p>
        </w:tc>
      </w:tr>
      <w:tr w14:paraId="48DAB41D">
        <w:tblPrEx>
          <w:tblCellMar>
            <w:top w:w="0" w:type="dxa"/>
            <w:left w:w="0" w:type="dxa"/>
            <w:bottom w:w="0" w:type="dxa"/>
            <w:right w:w="0" w:type="dxa"/>
          </w:tblCellMar>
        </w:tblPrEx>
        <w:trPr>
          <w:wBefore w:w="0" w:type="auto"/>
          <w:tblCellSpacing w:w="0" w:type="dxa"/>
        </w:trPr>
        <w:tc>
          <w:tcPr>
            <w:tcW w:w="0" w:type="auto"/>
            <w:noWrap w:val="0"/>
            <w:vAlign w:val="center"/>
          </w:tcPr>
          <w:p w14:paraId="59419A8E">
            <w:r>
              <w:rPr>
                <w:rStyle w:val="10"/>
                <w:rFonts w:hint="eastAsia"/>
              </w:rPr>
              <w:t>登记证持有人：</w:t>
            </w:r>
            <w:r>
              <w:rPr>
                <w:rFonts w:hint="eastAsia"/>
              </w:rPr>
              <w:t>安徽辉隆集团银山药业有限责任公司</w:t>
            </w:r>
          </w:p>
        </w:tc>
      </w:tr>
      <w:tr w14:paraId="54364907">
        <w:tblPrEx>
          <w:tblCellMar>
            <w:top w:w="0" w:type="dxa"/>
            <w:left w:w="0" w:type="dxa"/>
            <w:bottom w:w="0" w:type="dxa"/>
            <w:right w:w="0" w:type="dxa"/>
          </w:tblCellMar>
        </w:tblPrEx>
        <w:trPr>
          <w:wBefore w:w="0" w:type="auto"/>
          <w:tblCellSpacing w:w="0" w:type="dxa"/>
        </w:trPr>
        <w:tc>
          <w:tcPr>
            <w:tcW w:w="0" w:type="auto"/>
            <w:noWrap w:val="0"/>
            <w:vAlign w:val="center"/>
          </w:tcPr>
          <w:p w14:paraId="2D21B445">
            <w:r>
              <w:rPr>
                <w:rStyle w:val="10"/>
                <w:rFonts w:hint="eastAsia"/>
              </w:rPr>
              <w:t>农药名称：</w:t>
            </w:r>
            <w:r>
              <w:rPr>
                <w:rFonts w:hint="eastAsia"/>
              </w:rPr>
              <w:t>啶磺草胺·异丙隆</w:t>
            </w:r>
          </w:p>
        </w:tc>
      </w:tr>
      <w:tr w14:paraId="0AA52E3E">
        <w:tblPrEx>
          <w:tblCellMar>
            <w:top w:w="0" w:type="dxa"/>
            <w:left w:w="0" w:type="dxa"/>
            <w:bottom w:w="0" w:type="dxa"/>
            <w:right w:w="0" w:type="dxa"/>
          </w:tblCellMar>
        </w:tblPrEx>
        <w:trPr>
          <w:wBefore w:w="0" w:type="auto"/>
          <w:tblCellSpacing w:w="0" w:type="dxa"/>
        </w:trPr>
        <w:tc>
          <w:tcPr>
            <w:tcW w:w="0" w:type="auto"/>
            <w:noWrap w:val="0"/>
            <w:vAlign w:val="center"/>
          </w:tcPr>
          <w:p w14:paraId="50F85C1F">
            <w:r>
              <w:rPr>
                <w:rStyle w:val="10"/>
                <w:rFonts w:hint="eastAsia"/>
              </w:rPr>
              <w:t>剂型：</w:t>
            </w:r>
            <w:r>
              <w:rPr>
                <w:rFonts w:hint="eastAsia"/>
              </w:rPr>
              <w:t>水分散粒剂</w:t>
            </w:r>
          </w:p>
        </w:tc>
      </w:tr>
      <w:tr w14:paraId="04907389">
        <w:tblPrEx>
          <w:tblCellMar>
            <w:top w:w="0" w:type="dxa"/>
            <w:left w:w="0" w:type="dxa"/>
            <w:bottom w:w="0" w:type="dxa"/>
            <w:right w:w="0" w:type="dxa"/>
          </w:tblCellMar>
        </w:tblPrEx>
        <w:trPr>
          <w:wBefore w:w="0" w:type="auto"/>
          <w:tblCellSpacing w:w="0" w:type="dxa"/>
        </w:trPr>
        <w:tc>
          <w:tcPr>
            <w:tcW w:w="0" w:type="auto"/>
            <w:noWrap w:val="0"/>
            <w:vAlign w:val="center"/>
          </w:tcPr>
          <w:p w14:paraId="5F060125">
            <w:r>
              <w:rPr>
                <w:rStyle w:val="10"/>
                <w:rFonts w:hint="eastAsia"/>
              </w:rPr>
              <w:t>毒性及其标识：</w:t>
            </w:r>
            <w:r>
              <w:rPr>
                <w:rFonts w:hint="eastAsia"/>
              </w:rPr>
              <w:t xml:space="preserve"> </w:t>
            </w:r>
            <w:r>
              <w:rPr>
                <w:lang/>
              </w:rPr>
              <w:drawing>
                <wp:inline distT="0" distB="0" distL="114300" distR="114300">
                  <wp:extent cx="476250" cy="323850"/>
                  <wp:effectExtent l="0" t="0" r="0" b="0"/>
                  <wp:docPr id="340" name="图片 34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0469EFD">
        <w:tblPrEx>
          <w:tblCellMar>
            <w:top w:w="0" w:type="dxa"/>
            <w:left w:w="0" w:type="dxa"/>
            <w:bottom w:w="0" w:type="dxa"/>
            <w:right w:w="0" w:type="dxa"/>
          </w:tblCellMar>
        </w:tblPrEx>
        <w:trPr>
          <w:wBefore w:w="0" w:type="auto"/>
          <w:tblCellSpacing w:w="0" w:type="dxa"/>
        </w:trPr>
        <w:tc>
          <w:tcPr>
            <w:tcW w:w="0" w:type="auto"/>
            <w:noWrap w:val="0"/>
            <w:vAlign w:val="center"/>
          </w:tcPr>
          <w:p w14:paraId="00911539">
            <w:r>
              <w:rPr>
                <w:rStyle w:val="10"/>
                <w:rFonts w:hint="eastAsia"/>
              </w:rPr>
              <w:t>总有效成分含量：</w:t>
            </w:r>
            <w:r>
              <w:rPr>
                <w:rFonts w:hint="eastAsia"/>
              </w:rPr>
              <w:t>80%</w:t>
            </w:r>
          </w:p>
        </w:tc>
      </w:tr>
      <w:tr w14:paraId="7EB3095D">
        <w:tblPrEx>
          <w:tblCellMar>
            <w:top w:w="0" w:type="dxa"/>
            <w:left w:w="0" w:type="dxa"/>
            <w:bottom w:w="0" w:type="dxa"/>
            <w:right w:w="0" w:type="dxa"/>
          </w:tblCellMar>
        </w:tblPrEx>
        <w:trPr>
          <w:wBefore w:w="0" w:type="auto"/>
          <w:tblCellSpacing w:w="0" w:type="dxa"/>
        </w:trPr>
        <w:tc>
          <w:tcPr>
            <w:tcW w:w="0" w:type="auto"/>
            <w:noWrap w:val="0"/>
            <w:vAlign w:val="center"/>
          </w:tcPr>
          <w:p w14:paraId="51309398">
            <w:r>
              <w:rPr>
                <w:rFonts w:hint="eastAsia"/>
              </w:rPr>
              <w:t xml:space="preserve">有效成分及其含量： </w:t>
            </w:r>
          </w:p>
          <w:p w14:paraId="037A998E">
            <w:r>
              <w:rPr>
                <w:rFonts w:hint="eastAsia"/>
              </w:rPr>
              <w:t xml:space="preserve">    啶磺草胺1%    异丙隆79%    </w:t>
            </w:r>
          </w:p>
        </w:tc>
      </w:tr>
      <w:tr w14:paraId="0563183C">
        <w:tblPrEx>
          <w:tblCellMar>
            <w:top w:w="0" w:type="dxa"/>
            <w:left w:w="0" w:type="dxa"/>
            <w:bottom w:w="0" w:type="dxa"/>
            <w:right w:w="0" w:type="dxa"/>
          </w:tblCellMar>
        </w:tblPrEx>
        <w:trPr>
          <w:wBefore w:w="0" w:type="auto"/>
          <w:tblCellSpacing w:w="0" w:type="dxa"/>
        </w:trPr>
        <w:tc>
          <w:tcPr>
            <w:tcW w:w="0" w:type="auto"/>
            <w:noWrap w:val="0"/>
            <w:vAlign w:val="center"/>
          </w:tcPr>
          <w:p w14:paraId="10E9486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F2DF2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0EF4C6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3366D9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83B5B0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510DB00">
                  <w:r>
                    <w:rPr>
                      <w:rStyle w:val="11"/>
                      <w:rFonts w:hint="eastAsia"/>
                    </w:rPr>
                    <w:t>施用方式</w:t>
                  </w:r>
                </w:p>
              </w:tc>
            </w:tr>
            <w:tr w14:paraId="596B75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831B8DD">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C3D3F5">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49A15E">
                  <w:r>
                    <w:rPr>
                      <w:rStyle w:val="11"/>
                      <w:rFonts w:hint="eastAsia"/>
                    </w:rPr>
                    <w:t>70-90克/亩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FFF93C">
                  <w:r>
                    <w:rPr>
                      <w:rStyle w:val="11"/>
                      <w:rFonts w:hint="eastAsia"/>
                    </w:rPr>
                    <w:t>茎叶喷雾</w:t>
                  </w:r>
                </w:p>
              </w:tc>
            </w:tr>
          </w:tbl>
          <w:p w14:paraId="18E09735">
            <w:pPr>
              <w:rPr>
                <w:rFonts w:ascii="Times New Roman" w:hAnsi="Times New Roman" w:cs="Times New Roman"/>
                <w:sz w:val="20"/>
                <w:szCs w:val="20"/>
              </w:rPr>
            </w:pPr>
          </w:p>
        </w:tc>
      </w:tr>
      <w:tr w14:paraId="7F838DBF">
        <w:tblPrEx>
          <w:tblCellMar>
            <w:top w:w="0" w:type="dxa"/>
            <w:left w:w="0" w:type="dxa"/>
            <w:bottom w:w="0" w:type="dxa"/>
            <w:right w:w="0" w:type="dxa"/>
          </w:tblCellMar>
        </w:tblPrEx>
        <w:trPr>
          <w:wBefore w:w="0" w:type="auto"/>
          <w:tblCellSpacing w:w="0" w:type="dxa"/>
        </w:trPr>
        <w:tc>
          <w:tcPr>
            <w:tcW w:w="0" w:type="auto"/>
            <w:noWrap w:val="0"/>
            <w:vAlign w:val="center"/>
          </w:tcPr>
          <w:p w14:paraId="333364B5">
            <w:r>
              <w:rPr>
                <w:rStyle w:val="10"/>
                <w:rFonts w:hint="eastAsia"/>
              </w:rPr>
              <w:t>使用技术要求:</w:t>
            </w:r>
            <w:r>
              <w:rPr>
                <w:rFonts w:hint="eastAsia"/>
              </w:rPr>
              <w:br w:type="textWrapping"/>
            </w:r>
            <w:r>
              <w:rPr>
                <w:rStyle w:val="11"/>
                <w:rFonts w:hint="eastAsia"/>
              </w:rPr>
              <w:t>1、在冬小麦返青后至拔节前或春小麦3-5叶期，杂草2-5叶期茎叶喷雾施药一次。 2、正确使用方法：均匀的进行叶面喷雾，每季作物最多使用1次。3、小麦长势差、低温、盐碱等情况下不宜用药，以避免药害。</w:t>
            </w:r>
          </w:p>
        </w:tc>
      </w:tr>
      <w:tr w14:paraId="07916AEC">
        <w:tblPrEx>
          <w:tblCellMar>
            <w:top w:w="0" w:type="dxa"/>
            <w:left w:w="0" w:type="dxa"/>
            <w:bottom w:w="0" w:type="dxa"/>
            <w:right w:w="0" w:type="dxa"/>
          </w:tblCellMar>
        </w:tblPrEx>
        <w:trPr>
          <w:wBefore w:w="0" w:type="auto"/>
          <w:tblCellSpacing w:w="0" w:type="dxa"/>
        </w:trPr>
        <w:tc>
          <w:tcPr>
            <w:tcW w:w="0" w:type="auto"/>
            <w:noWrap w:val="0"/>
            <w:vAlign w:val="center"/>
          </w:tcPr>
          <w:p w14:paraId="4A7EFFE8">
            <w:r>
              <w:rPr>
                <w:rStyle w:val="10"/>
                <w:rFonts w:hint="eastAsia"/>
              </w:rPr>
              <w:t>产品性能:</w:t>
            </w:r>
            <w:r>
              <w:rPr>
                <w:rFonts w:hint="eastAsia"/>
              </w:rPr>
              <w:br w:type="textWrapping"/>
            </w:r>
            <w:r>
              <w:rPr>
                <w:rStyle w:val="11"/>
                <w:rFonts w:hint="eastAsia"/>
              </w:rPr>
              <w:t>本品采用啶磺草胺和异丙隆复配，磺酰胺类除草剂和取代脲类除草剂混配制剂，够有效控制麦田一年生禾本科杂草和阔叶杂草。</w:t>
            </w:r>
          </w:p>
        </w:tc>
      </w:tr>
      <w:tr w14:paraId="33801812">
        <w:tblPrEx>
          <w:tblCellMar>
            <w:top w:w="0" w:type="dxa"/>
            <w:left w:w="0" w:type="dxa"/>
            <w:bottom w:w="0" w:type="dxa"/>
            <w:right w:w="0" w:type="dxa"/>
          </w:tblCellMar>
        </w:tblPrEx>
        <w:trPr>
          <w:wBefore w:w="0" w:type="auto"/>
          <w:tblCellSpacing w:w="0" w:type="dxa"/>
        </w:trPr>
        <w:tc>
          <w:tcPr>
            <w:tcW w:w="0" w:type="auto"/>
            <w:noWrap w:val="0"/>
            <w:vAlign w:val="center"/>
          </w:tcPr>
          <w:p w14:paraId="4FE99DCC">
            <w:r>
              <w:rPr>
                <w:rStyle w:val="10"/>
                <w:rFonts w:hint="eastAsia"/>
              </w:rPr>
              <w:t>注意事项：</w:t>
            </w:r>
            <w:r>
              <w:rPr>
                <w:rFonts w:hint="eastAsia"/>
              </w:rPr>
              <w:br w:type="textWrapping"/>
            </w:r>
            <w:r>
              <w:rPr>
                <w:rStyle w:val="11"/>
                <w:rFonts w:hint="eastAsia"/>
              </w:rPr>
              <w:t>1.使用本品时应采取相应的安全防护措施，穿戴长衣、长裤、帽子、口罩、手套等，避免皮肤接触及口鼻吸入；施药期间不可吸烟、饮水及吃东西；施药后及时清洗手、脸等暴露部位皮肤并更换衣物。2.本品对鸟类有风险，鸟类保护区附近禁用。3.本产品对家蚕有风险，在蚕室及桑园附近禁用，或采用最外围桑树作为隔离带，以降低对家蚕的风险。4.本品对对水生生物基本无暴露，但出于保守考虑，建议在水产养殖区，河塘等水体附近禁用，禁止在河塘等水体中清洗施药器具，避免药液流入湖泊，河流或鱼塘中污染水源。5.用过的包装物应妥善处理，不可做他用，也不可随意丢弃。6.孕妇及哺乳期妇女禁止接触。</w:t>
            </w:r>
          </w:p>
        </w:tc>
      </w:tr>
      <w:tr w14:paraId="0679D0B0">
        <w:tblPrEx>
          <w:tblCellMar>
            <w:top w:w="0" w:type="dxa"/>
            <w:left w:w="0" w:type="dxa"/>
            <w:bottom w:w="0" w:type="dxa"/>
            <w:right w:w="0" w:type="dxa"/>
          </w:tblCellMar>
        </w:tblPrEx>
        <w:trPr>
          <w:wBefore w:w="0" w:type="auto"/>
          <w:tblCellSpacing w:w="0" w:type="dxa"/>
        </w:trPr>
        <w:tc>
          <w:tcPr>
            <w:tcW w:w="0" w:type="auto"/>
            <w:noWrap w:val="0"/>
            <w:vAlign w:val="center"/>
          </w:tcPr>
          <w:p w14:paraId="41121195">
            <w:r>
              <w:rPr>
                <w:rStyle w:val="10"/>
                <w:rFonts w:hint="eastAsia"/>
              </w:rPr>
              <w:t>中毒急救措施：</w:t>
            </w:r>
            <w:r>
              <w:rPr>
                <w:rFonts w:hint="eastAsia"/>
              </w:rPr>
              <w:br w:type="textWrapping"/>
            </w:r>
            <w:r>
              <w:rPr>
                <w:rStyle w:val="11"/>
                <w:rFonts w:hint="eastAsia"/>
              </w:rPr>
              <w:t>对眼睛有刺激性，使用时避免接触眼睛。急救措施：使用中或使用后如果感觉不适，应立即停止工作，采取急救措施，并携带标签送医院就诊。1.皮肤接触：脱去污染的衣物，用大量清水彻底清洗受污染的皮肤。2.眼睛溅入：立即用流动清水冲洗至少15分钟。3.吸入：立即离开施药现场，转移到空气清新处。4.误食：立即停止服用，用清水充分漱口后，立即携带本标签送医院治疗。5.清醒者立即催吐并给患者服用吐根糖浆或麻黄素，昏迷患者不能催吐或灌任何东西。</w:t>
            </w:r>
          </w:p>
        </w:tc>
      </w:tr>
      <w:tr w14:paraId="7CAA9F0F">
        <w:tblPrEx>
          <w:tblCellMar>
            <w:top w:w="0" w:type="dxa"/>
            <w:left w:w="0" w:type="dxa"/>
            <w:bottom w:w="0" w:type="dxa"/>
            <w:right w:w="0" w:type="dxa"/>
          </w:tblCellMar>
        </w:tblPrEx>
        <w:trPr>
          <w:wBefore w:w="0" w:type="auto"/>
          <w:tblCellSpacing w:w="0" w:type="dxa"/>
        </w:trPr>
        <w:tc>
          <w:tcPr>
            <w:tcW w:w="0" w:type="auto"/>
            <w:noWrap w:val="0"/>
            <w:vAlign w:val="center"/>
          </w:tcPr>
          <w:p w14:paraId="42BEEF65">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本品应贮存在干燥、阴凉、通风、防雨处，远离火源或热源。置于儿童、无关人员及动物触及不到之处并加锁。勿与食品、饮料、饲料、粮食、种子等同贮同运。</w:t>
            </w:r>
          </w:p>
        </w:tc>
      </w:tr>
      <w:tr w14:paraId="10AC2295">
        <w:tblPrEx>
          <w:tblCellMar>
            <w:top w:w="0" w:type="dxa"/>
            <w:left w:w="0" w:type="dxa"/>
            <w:bottom w:w="0" w:type="dxa"/>
            <w:right w:w="0" w:type="dxa"/>
          </w:tblCellMar>
        </w:tblPrEx>
        <w:trPr>
          <w:wBefore w:w="0" w:type="auto"/>
          <w:tblCellSpacing w:w="0" w:type="dxa"/>
        </w:trPr>
        <w:tc>
          <w:tcPr>
            <w:tcW w:w="0" w:type="auto"/>
            <w:noWrap w:val="0"/>
            <w:vAlign w:val="center"/>
          </w:tcPr>
          <w:p w14:paraId="1EDA3936">
            <w:r>
              <w:rPr>
                <w:rStyle w:val="10"/>
                <w:rFonts w:hint="eastAsia"/>
              </w:rPr>
              <w:t>质量保证期：</w:t>
            </w:r>
            <w:r>
              <w:rPr>
                <w:rStyle w:val="11"/>
                <w:rFonts w:hint="eastAsia"/>
              </w:rPr>
              <w:t>2年</w:t>
            </w:r>
          </w:p>
        </w:tc>
      </w:tr>
      <w:tr w14:paraId="36CE9534">
        <w:tblPrEx>
          <w:tblCellMar>
            <w:top w:w="0" w:type="dxa"/>
            <w:left w:w="0" w:type="dxa"/>
            <w:bottom w:w="0" w:type="dxa"/>
            <w:right w:w="0" w:type="dxa"/>
          </w:tblCellMar>
        </w:tblPrEx>
        <w:trPr>
          <w:wBefore w:w="0" w:type="auto"/>
          <w:tblCellSpacing w:w="0" w:type="dxa"/>
        </w:trPr>
        <w:tc>
          <w:tcPr>
            <w:tcW w:w="0" w:type="auto"/>
            <w:noWrap w:val="0"/>
            <w:vAlign w:val="center"/>
          </w:tcPr>
          <w:p w14:paraId="4E134AF1">
            <w:r>
              <w:rPr>
                <w:rStyle w:val="10"/>
                <w:rFonts w:hint="eastAsia"/>
              </w:rPr>
              <w:t>备注：</w:t>
            </w:r>
          </w:p>
        </w:tc>
      </w:tr>
    </w:tbl>
    <w:p w14:paraId="218666A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E0CCE2">
        <w:tblPrEx>
          <w:tblCellMar>
            <w:top w:w="0" w:type="dxa"/>
            <w:left w:w="0" w:type="dxa"/>
            <w:bottom w:w="0" w:type="dxa"/>
            <w:right w:w="0" w:type="dxa"/>
          </w:tblCellMar>
        </w:tblPrEx>
        <w:trPr>
          <w:wBefore w:w="0" w:type="auto"/>
          <w:tblCellSpacing w:w="0" w:type="dxa"/>
        </w:trPr>
        <w:tc>
          <w:tcPr>
            <w:tcW w:w="0" w:type="auto"/>
            <w:noWrap w:val="0"/>
            <w:vAlign w:val="center"/>
          </w:tcPr>
          <w:p w14:paraId="69770E82">
            <w:r>
              <w:rPr>
                <w:rStyle w:val="10"/>
                <w:rFonts w:hint="eastAsia"/>
              </w:rPr>
              <w:t>登记证号：</w:t>
            </w:r>
            <w:r>
              <w:rPr>
                <w:rFonts w:hint="eastAsia"/>
              </w:rPr>
              <w:t>PD20212101</w:t>
            </w:r>
          </w:p>
        </w:tc>
      </w:tr>
      <w:tr w14:paraId="3FA9AD15">
        <w:tblPrEx>
          <w:tblCellMar>
            <w:top w:w="0" w:type="dxa"/>
            <w:left w:w="0" w:type="dxa"/>
            <w:bottom w:w="0" w:type="dxa"/>
            <w:right w:w="0" w:type="dxa"/>
          </w:tblCellMar>
        </w:tblPrEx>
        <w:trPr>
          <w:wBefore w:w="0" w:type="auto"/>
          <w:tblCellSpacing w:w="0" w:type="dxa"/>
        </w:trPr>
        <w:tc>
          <w:tcPr>
            <w:tcW w:w="0" w:type="auto"/>
            <w:noWrap w:val="0"/>
            <w:vAlign w:val="center"/>
          </w:tcPr>
          <w:p w14:paraId="0EDF37A7">
            <w:r>
              <w:rPr>
                <w:rStyle w:val="10"/>
                <w:rFonts w:hint="eastAsia"/>
              </w:rPr>
              <w:t>登记证持有人：</w:t>
            </w:r>
            <w:r>
              <w:rPr>
                <w:rFonts w:hint="eastAsia"/>
              </w:rPr>
              <w:t>广东省佛山市盈辉作物科学有限公司</w:t>
            </w:r>
          </w:p>
        </w:tc>
      </w:tr>
      <w:tr w14:paraId="64CBBFD2">
        <w:tblPrEx>
          <w:tblCellMar>
            <w:top w:w="0" w:type="dxa"/>
            <w:left w:w="0" w:type="dxa"/>
            <w:bottom w:w="0" w:type="dxa"/>
            <w:right w:w="0" w:type="dxa"/>
          </w:tblCellMar>
        </w:tblPrEx>
        <w:trPr>
          <w:wBefore w:w="0" w:type="auto"/>
          <w:tblCellSpacing w:w="0" w:type="dxa"/>
        </w:trPr>
        <w:tc>
          <w:tcPr>
            <w:tcW w:w="0" w:type="auto"/>
            <w:noWrap w:val="0"/>
            <w:vAlign w:val="center"/>
          </w:tcPr>
          <w:p w14:paraId="2495FF81">
            <w:r>
              <w:rPr>
                <w:rStyle w:val="10"/>
                <w:rFonts w:hint="eastAsia"/>
              </w:rPr>
              <w:t>农药名称：</w:t>
            </w:r>
            <w:r>
              <w:rPr>
                <w:rFonts w:hint="eastAsia"/>
              </w:rPr>
              <w:t>乙氧氟草醚</w:t>
            </w:r>
          </w:p>
        </w:tc>
      </w:tr>
      <w:tr w14:paraId="2B91B7A2">
        <w:tblPrEx>
          <w:tblCellMar>
            <w:top w:w="0" w:type="dxa"/>
            <w:left w:w="0" w:type="dxa"/>
            <w:bottom w:w="0" w:type="dxa"/>
            <w:right w:w="0" w:type="dxa"/>
          </w:tblCellMar>
        </w:tblPrEx>
        <w:trPr>
          <w:wBefore w:w="0" w:type="auto"/>
          <w:tblCellSpacing w:w="0" w:type="dxa"/>
        </w:trPr>
        <w:tc>
          <w:tcPr>
            <w:tcW w:w="0" w:type="auto"/>
            <w:noWrap w:val="0"/>
            <w:vAlign w:val="center"/>
          </w:tcPr>
          <w:p w14:paraId="661AEB1B">
            <w:r>
              <w:rPr>
                <w:rStyle w:val="10"/>
                <w:rFonts w:hint="eastAsia"/>
              </w:rPr>
              <w:t>剂型：</w:t>
            </w:r>
            <w:r>
              <w:rPr>
                <w:rFonts w:hint="eastAsia"/>
              </w:rPr>
              <w:t>乳油</w:t>
            </w:r>
          </w:p>
        </w:tc>
      </w:tr>
      <w:tr w14:paraId="21FA2B5A">
        <w:tblPrEx>
          <w:tblCellMar>
            <w:top w:w="0" w:type="dxa"/>
            <w:left w:w="0" w:type="dxa"/>
            <w:bottom w:w="0" w:type="dxa"/>
            <w:right w:w="0" w:type="dxa"/>
          </w:tblCellMar>
        </w:tblPrEx>
        <w:trPr>
          <w:wBefore w:w="0" w:type="auto"/>
          <w:tblCellSpacing w:w="0" w:type="dxa"/>
        </w:trPr>
        <w:tc>
          <w:tcPr>
            <w:tcW w:w="0" w:type="auto"/>
            <w:noWrap w:val="0"/>
            <w:vAlign w:val="center"/>
          </w:tcPr>
          <w:p w14:paraId="49EE1ADC">
            <w:r>
              <w:rPr>
                <w:rStyle w:val="10"/>
                <w:rFonts w:hint="eastAsia"/>
              </w:rPr>
              <w:t>毒性及其标识：</w:t>
            </w:r>
            <w:r>
              <w:rPr>
                <w:rFonts w:hint="eastAsia"/>
              </w:rPr>
              <w:t xml:space="preserve"> </w:t>
            </w:r>
            <w:r>
              <w:rPr>
                <w:lang/>
              </w:rPr>
              <w:drawing>
                <wp:inline distT="0" distB="0" distL="114300" distR="114300">
                  <wp:extent cx="476250" cy="323850"/>
                  <wp:effectExtent l="0" t="0" r="0" b="0"/>
                  <wp:docPr id="341" name="图片 34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D833071">
        <w:tblPrEx>
          <w:tblCellMar>
            <w:top w:w="0" w:type="dxa"/>
            <w:left w:w="0" w:type="dxa"/>
            <w:bottom w:w="0" w:type="dxa"/>
            <w:right w:w="0" w:type="dxa"/>
          </w:tblCellMar>
        </w:tblPrEx>
        <w:trPr>
          <w:wBefore w:w="0" w:type="auto"/>
          <w:tblCellSpacing w:w="0" w:type="dxa"/>
        </w:trPr>
        <w:tc>
          <w:tcPr>
            <w:tcW w:w="0" w:type="auto"/>
            <w:noWrap w:val="0"/>
            <w:vAlign w:val="center"/>
          </w:tcPr>
          <w:p w14:paraId="0F6A744B">
            <w:r>
              <w:rPr>
                <w:rStyle w:val="10"/>
                <w:rFonts w:hint="eastAsia"/>
              </w:rPr>
              <w:t>总有效成分含量：</w:t>
            </w:r>
            <w:r>
              <w:rPr>
                <w:rFonts w:hint="eastAsia"/>
              </w:rPr>
              <w:t>240克/升</w:t>
            </w:r>
          </w:p>
        </w:tc>
      </w:tr>
      <w:tr w14:paraId="2818A5D3">
        <w:tblPrEx>
          <w:tblCellMar>
            <w:top w:w="0" w:type="dxa"/>
            <w:left w:w="0" w:type="dxa"/>
            <w:bottom w:w="0" w:type="dxa"/>
            <w:right w:w="0" w:type="dxa"/>
          </w:tblCellMar>
        </w:tblPrEx>
        <w:trPr>
          <w:wBefore w:w="0" w:type="auto"/>
          <w:tblCellSpacing w:w="0" w:type="dxa"/>
        </w:trPr>
        <w:tc>
          <w:tcPr>
            <w:tcW w:w="0" w:type="auto"/>
            <w:noWrap w:val="0"/>
            <w:vAlign w:val="center"/>
          </w:tcPr>
          <w:p w14:paraId="3ACA3573">
            <w:r>
              <w:rPr>
                <w:rFonts w:hint="eastAsia"/>
              </w:rPr>
              <w:t xml:space="preserve">有效成分及其含量： </w:t>
            </w:r>
          </w:p>
          <w:p w14:paraId="537DB987">
            <w:r>
              <w:rPr>
                <w:rFonts w:hint="eastAsia"/>
              </w:rPr>
              <w:t xml:space="preserve">    乙氧氟草醚240克/升    </w:t>
            </w:r>
          </w:p>
        </w:tc>
      </w:tr>
      <w:tr w14:paraId="3B6C9C92">
        <w:tblPrEx>
          <w:tblCellMar>
            <w:top w:w="0" w:type="dxa"/>
            <w:left w:w="0" w:type="dxa"/>
            <w:bottom w:w="0" w:type="dxa"/>
            <w:right w:w="0" w:type="dxa"/>
          </w:tblCellMar>
        </w:tblPrEx>
        <w:trPr>
          <w:wBefore w:w="0" w:type="auto"/>
          <w:tblCellSpacing w:w="0" w:type="dxa"/>
        </w:trPr>
        <w:tc>
          <w:tcPr>
            <w:tcW w:w="0" w:type="auto"/>
            <w:noWrap w:val="0"/>
            <w:vAlign w:val="center"/>
          </w:tcPr>
          <w:p w14:paraId="3AADF07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84948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7F3D18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43BE9F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1653D4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6567D0E">
                  <w:r>
                    <w:rPr>
                      <w:rStyle w:val="11"/>
                      <w:rFonts w:hint="eastAsia"/>
                    </w:rPr>
                    <w:t>施用方式</w:t>
                  </w:r>
                </w:p>
              </w:tc>
            </w:tr>
            <w:tr w14:paraId="4B811F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C06E6E">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F9492C">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FE5427">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CE11F5">
                  <w:r>
                    <w:rPr>
                      <w:rStyle w:val="11"/>
                      <w:rFonts w:hint="eastAsia"/>
                    </w:rPr>
                    <w:t>药土法</w:t>
                  </w:r>
                </w:p>
              </w:tc>
            </w:tr>
          </w:tbl>
          <w:p w14:paraId="1ACBE731">
            <w:pPr>
              <w:rPr>
                <w:rFonts w:ascii="Times New Roman" w:hAnsi="Times New Roman" w:cs="Times New Roman"/>
                <w:sz w:val="20"/>
                <w:szCs w:val="20"/>
              </w:rPr>
            </w:pPr>
          </w:p>
        </w:tc>
      </w:tr>
      <w:tr w14:paraId="4F69C7DB">
        <w:tblPrEx>
          <w:tblCellMar>
            <w:top w:w="0" w:type="dxa"/>
            <w:left w:w="0" w:type="dxa"/>
            <w:bottom w:w="0" w:type="dxa"/>
            <w:right w:w="0" w:type="dxa"/>
          </w:tblCellMar>
        </w:tblPrEx>
        <w:trPr>
          <w:wBefore w:w="0" w:type="auto"/>
          <w:tblCellSpacing w:w="0" w:type="dxa"/>
        </w:trPr>
        <w:tc>
          <w:tcPr>
            <w:tcW w:w="0" w:type="auto"/>
            <w:noWrap w:val="0"/>
            <w:vAlign w:val="center"/>
          </w:tcPr>
          <w:p w14:paraId="29A7273A">
            <w:r>
              <w:rPr>
                <w:rStyle w:val="10"/>
                <w:rFonts w:hint="eastAsia"/>
              </w:rPr>
              <w:t>使用技术要求:</w:t>
            </w:r>
            <w:r>
              <w:rPr>
                <w:rFonts w:hint="eastAsia"/>
              </w:rPr>
              <w:br w:type="textWrapping"/>
            </w:r>
            <w:r>
              <w:rPr>
                <w:rStyle w:val="11"/>
                <w:rFonts w:hint="eastAsia"/>
              </w:rPr>
              <w:t>1.于水稻移栽前5-7天，整地沉浆后，每亩用20-30毫升先拌10公斤～15公斤沙土配成母土，然后与其余的土混均后，均匀撒施。施药时田内保持3-5厘米水层，不可露土。保水5-7天后恢复正常管理。2.水稻移栽后水层不可淹没秧苗心叶。3.在水稻田每季作物最多使用次数为1次。</w:t>
            </w:r>
          </w:p>
        </w:tc>
      </w:tr>
      <w:tr w14:paraId="08BE3601">
        <w:tblPrEx>
          <w:tblCellMar>
            <w:top w:w="0" w:type="dxa"/>
            <w:left w:w="0" w:type="dxa"/>
            <w:bottom w:w="0" w:type="dxa"/>
            <w:right w:w="0" w:type="dxa"/>
          </w:tblCellMar>
        </w:tblPrEx>
        <w:trPr>
          <w:wBefore w:w="0" w:type="auto"/>
          <w:tblCellSpacing w:w="0" w:type="dxa"/>
        </w:trPr>
        <w:tc>
          <w:tcPr>
            <w:tcW w:w="0" w:type="auto"/>
            <w:noWrap w:val="0"/>
            <w:vAlign w:val="center"/>
          </w:tcPr>
          <w:p w14:paraId="4F1DAB7F">
            <w:r>
              <w:rPr>
                <w:rStyle w:val="10"/>
                <w:rFonts w:hint="eastAsia"/>
              </w:rPr>
              <w:t>产品性能:</w:t>
            </w:r>
            <w:r>
              <w:rPr>
                <w:rFonts w:hint="eastAsia"/>
              </w:rPr>
              <w:br w:type="textWrapping"/>
            </w:r>
            <w:r>
              <w:rPr>
                <w:rStyle w:val="11"/>
                <w:rFonts w:hint="eastAsia"/>
              </w:rPr>
              <w:t>本品是含氟二苯醚类选择性、芽前芽后触杀型除草剂，杂草主要通过胚芽鞘、中胚轴吸收药剂致死，在有光情况下发挥杀草作用。用于防除移栽水稻田一年生杂草。</w:t>
            </w:r>
          </w:p>
        </w:tc>
      </w:tr>
      <w:tr w14:paraId="7B253923">
        <w:tblPrEx>
          <w:tblCellMar>
            <w:top w:w="0" w:type="dxa"/>
            <w:left w:w="0" w:type="dxa"/>
            <w:bottom w:w="0" w:type="dxa"/>
            <w:right w:w="0" w:type="dxa"/>
          </w:tblCellMar>
        </w:tblPrEx>
        <w:trPr>
          <w:wBefore w:w="0" w:type="auto"/>
          <w:tblCellSpacing w:w="0" w:type="dxa"/>
        </w:trPr>
        <w:tc>
          <w:tcPr>
            <w:tcW w:w="0" w:type="auto"/>
            <w:noWrap w:val="0"/>
            <w:vAlign w:val="center"/>
          </w:tcPr>
          <w:p w14:paraId="545FF2D3">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2.远离水产养殖区、河塘等水体施药；禁止在河塘等水体中清洗施药器具；鱼或虾蟹套养稻田禁用，施药后的田水不得直接排入水体。3.废弃物应妥善处理，不可做他用，也不可随意丢弃。4.孕妇及哺乳期妇女应避免接触本品。</w:t>
            </w:r>
          </w:p>
        </w:tc>
      </w:tr>
      <w:tr w14:paraId="182AD34E">
        <w:tblPrEx>
          <w:tblCellMar>
            <w:top w:w="0" w:type="dxa"/>
            <w:left w:w="0" w:type="dxa"/>
            <w:bottom w:w="0" w:type="dxa"/>
            <w:right w:w="0" w:type="dxa"/>
          </w:tblCellMar>
        </w:tblPrEx>
        <w:trPr>
          <w:wBefore w:w="0" w:type="auto"/>
          <w:tblCellSpacing w:w="0" w:type="dxa"/>
        </w:trPr>
        <w:tc>
          <w:tcPr>
            <w:tcW w:w="0" w:type="auto"/>
            <w:noWrap w:val="0"/>
            <w:vAlign w:val="center"/>
          </w:tcPr>
          <w:p w14:paraId="7BD324EA">
            <w:r>
              <w:rPr>
                <w:rStyle w:val="10"/>
                <w:rFonts w:hint="eastAsia"/>
              </w:rPr>
              <w:t>中毒急救措施：</w:t>
            </w:r>
            <w:r>
              <w:rPr>
                <w:rFonts w:hint="eastAsia"/>
              </w:rPr>
              <w:br w:type="textWrapping"/>
            </w:r>
            <w:r>
              <w:rPr>
                <w:rStyle w:val="11"/>
                <w:rFonts w:hint="eastAsia"/>
              </w:rPr>
              <w:t>本品对眼睛、皮肤有刺激性。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应立即用清水漱口，严禁引吐，避免呕吐物吸入肺部，立即携带标签到对症治疗。</w:t>
            </w:r>
          </w:p>
        </w:tc>
      </w:tr>
      <w:tr w14:paraId="02E0FCF7">
        <w:tblPrEx>
          <w:tblCellMar>
            <w:top w:w="0" w:type="dxa"/>
            <w:left w:w="0" w:type="dxa"/>
            <w:bottom w:w="0" w:type="dxa"/>
            <w:right w:w="0" w:type="dxa"/>
          </w:tblCellMar>
        </w:tblPrEx>
        <w:trPr>
          <w:wBefore w:w="0" w:type="auto"/>
          <w:tblCellSpacing w:w="0" w:type="dxa"/>
        </w:trPr>
        <w:tc>
          <w:tcPr>
            <w:tcW w:w="0" w:type="auto"/>
            <w:noWrap w:val="0"/>
            <w:vAlign w:val="center"/>
          </w:tcPr>
          <w:p w14:paraId="4C170E52">
            <w:r>
              <w:rPr>
                <w:rStyle w:val="10"/>
                <w:rFonts w:hint="eastAsia"/>
              </w:rPr>
              <w:t>储存和运输方法：</w:t>
            </w:r>
            <w:r>
              <w:rPr>
                <w:rFonts w:hint="eastAsia"/>
              </w:rPr>
              <w:br w:type="textWrapping"/>
            </w:r>
            <w:r>
              <w:rPr>
                <w:rStyle w:val="11"/>
                <w:rFonts w:hint="eastAsia"/>
              </w:rPr>
              <w:t>本品为易燃液体，贮运时应严防潮湿和日晒，保持良好通风，远离热源或火源。置于儿童、无关人员及动物接触不到的地方，并加锁保存；勿与食物、种子、粮食、饮料、饲料等混合储运。</w:t>
            </w:r>
          </w:p>
        </w:tc>
      </w:tr>
      <w:tr w14:paraId="0939EB2D">
        <w:tblPrEx>
          <w:tblCellMar>
            <w:top w:w="0" w:type="dxa"/>
            <w:left w:w="0" w:type="dxa"/>
            <w:bottom w:w="0" w:type="dxa"/>
            <w:right w:w="0" w:type="dxa"/>
          </w:tblCellMar>
        </w:tblPrEx>
        <w:trPr>
          <w:wBefore w:w="0" w:type="auto"/>
          <w:tblCellSpacing w:w="0" w:type="dxa"/>
        </w:trPr>
        <w:tc>
          <w:tcPr>
            <w:tcW w:w="0" w:type="auto"/>
            <w:noWrap w:val="0"/>
            <w:vAlign w:val="center"/>
          </w:tcPr>
          <w:p w14:paraId="4607FC49">
            <w:r>
              <w:rPr>
                <w:rStyle w:val="10"/>
                <w:rFonts w:hint="eastAsia"/>
              </w:rPr>
              <w:t>质量保证期：</w:t>
            </w:r>
            <w:r>
              <w:rPr>
                <w:rStyle w:val="11"/>
                <w:rFonts w:hint="eastAsia"/>
              </w:rPr>
              <w:t>2年</w:t>
            </w:r>
          </w:p>
        </w:tc>
      </w:tr>
      <w:tr w14:paraId="1EA1711D">
        <w:tblPrEx>
          <w:tblCellMar>
            <w:top w:w="0" w:type="dxa"/>
            <w:left w:w="0" w:type="dxa"/>
            <w:bottom w:w="0" w:type="dxa"/>
            <w:right w:w="0" w:type="dxa"/>
          </w:tblCellMar>
        </w:tblPrEx>
        <w:trPr>
          <w:wBefore w:w="0" w:type="auto"/>
          <w:tblCellSpacing w:w="0" w:type="dxa"/>
        </w:trPr>
        <w:tc>
          <w:tcPr>
            <w:tcW w:w="0" w:type="auto"/>
            <w:noWrap w:val="0"/>
            <w:vAlign w:val="center"/>
          </w:tcPr>
          <w:p w14:paraId="41B4128A">
            <w:r>
              <w:rPr>
                <w:rStyle w:val="10"/>
                <w:rFonts w:hint="eastAsia"/>
              </w:rPr>
              <w:t>备注：</w:t>
            </w:r>
            <w:r>
              <w:rPr>
                <w:rFonts w:hint="eastAsia"/>
              </w:rPr>
              <w:br w:type="textWrapping"/>
            </w:r>
            <w:r>
              <w:rPr>
                <w:rStyle w:val="11"/>
                <w:rFonts w:hint="eastAsia"/>
              </w:rPr>
              <w:t>质量分数23%。</w:t>
            </w:r>
          </w:p>
        </w:tc>
      </w:tr>
    </w:tbl>
    <w:p w14:paraId="0566EA9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D1672CE">
        <w:tblPrEx>
          <w:tblCellMar>
            <w:top w:w="0" w:type="dxa"/>
            <w:left w:w="0" w:type="dxa"/>
            <w:bottom w:w="0" w:type="dxa"/>
            <w:right w:w="0" w:type="dxa"/>
          </w:tblCellMar>
        </w:tblPrEx>
        <w:trPr>
          <w:wBefore w:w="0" w:type="auto"/>
          <w:tblCellSpacing w:w="0" w:type="dxa"/>
        </w:trPr>
        <w:tc>
          <w:tcPr>
            <w:tcW w:w="0" w:type="auto"/>
            <w:noWrap w:val="0"/>
            <w:vAlign w:val="center"/>
          </w:tcPr>
          <w:p w14:paraId="347A485D">
            <w:r>
              <w:rPr>
                <w:rStyle w:val="10"/>
                <w:rFonts w:hint="eastAsia"/>
              </w:rPr>
              <w:t>登记证号：</w:t>
            </w:r>
            <w:r>
              <w:rPr>
                <w:rFonts w:hint="eastAsia"/>
              </w:rPr>
              <w:t>PD20212066</w:t>
            </w:r>
          </w:p>
        </w:tc>
      </w:tr>
      <w:tr w14:paraId="5F19F798">
        <w:tblPrEx>
          <w:tblCellMar>
            <w:top w:w="0" w:type="dxa"/>
            <w:left w:w="0" w:type="dxa"/>
            <w:bottom w:w="0" w:type="dxa"/>
            <w:right w:w="0" w:type="dxa"/>
          </w:tblCellMar>
        </w:tblPrEx>
        <w:trPr>
          <w:wBefore w:w="0" w:type="auto"/>
          <w:tblCellSpacing w:w="0" w:type="dxa"/>
        </w:trPr>
        <w:tc>
          <w:tcPr>
            <w:tcW w:w="0" w:type="auto"/>
            <w:noWrap w:val="0"/>
            <w:vAlign w:val="center"/>
          </w:tcPr>
          <w:p w14:paraId="7B92B79E">
            <w:r>
              <w:rPr>
                <w:rStyle w:val="10"/>
                <w:rFonts w:hint="eastAsia"/>
              </w:rPr>
              <w:t>登记证持有人：</w:t>
            </w:r>
            <w:r>
              <w:rPr>
                <w:rFonts w:hint="eastAsia"/>
              </w:rPr>
              <w:t>上海悦联生物科技有限公司</w:t>
            </w:r>
          </w:p>
        </w:tc>
      </w:tr>
      <w:tr w14:paraId="28A59218">
        <w:tblPrEx>
          <w:tblCellMar>
            <w:top w:w="0" w:type="dxa"/>
            <w:left w:w="0" w:type="dxa"/>
            <w:bottom w:w="0" w:type="dxa"/>
            <w:right w:w="0" w:type="dxa"/>
          </w:tblCellMar>
        </w:tblPrEx>
        <w:trPr>
          <w:wBefore w:w="0" w:type="auto"/>
          <w:tblCellSpacing w:w="0" w:type="dxa"/>
        </w:trPr>
        <w:tc>
          <w:tcPr>
            <w:tcW w:w="0" w:type="auto"/>
            <w:noWrap w:val="0"/>
            <w:vAlign w:val="center"/>
          </w:tcPr>
          <w:p w14:paraId="6F683E9A">
            <w:r>
              <w:rPr>
                <w:rStyle w:val="10"/>
                <w:rFonts w:hint="eastAsia"/>
              </w:rPr>
              <w:t>农药名称：</w:t>
            </w:r>
            <w:r>
              <w:rPr>
                <w:rFonts w:hint="eastAsia"/>
              </w:rPr>
              <w:t>24-表芸·赤霉酸</w:t>
            </w:r>
          </w:p>
        </w:tc>
      </w:tr>
      <w:tr w14:paraId="11107F88">
        <w:tblPrEx>
          <w:tblCellMar>
            <w:top w:w="0" w:type="dxa"/>
            <w:left w:w="0" w:type="dxa"/>
            <w:bottom w:w="0" w:type="dxa"/>
            <w:right w:w="0" w:type="dxa"/>
          </w:tblCellMar>
        </w:tblPrEx>
        <w:trPr>
          <w:wBefore w:w="0" w:type="auto"/>
          <w:tblCellSpacing w:w="0" w:type="dxa"/>
        </w:trPr>
        <w:tc>
          <w:tcPr>
            <w:tcW w:w="0" w:type="auto"/>
            <w:noWrap w:val="0"/>
            <w:vAlign w:val="center"/>
          </w:tcPr>
          <w:p w14:paraId="634BCB7A">
            <w:r>
              <w:rPr>
                <w:rStyle w:val="10"/>
                <w:rFonts w:hint="eastAsia"/>
              </w:rPr>
              <w:t>剂型：</w:t>
            </w:r>
            <w:r>
              <w:rPr>
                <w:rFonts w:hint="eastAsia"/>
              </w:rPr>
              <w:t>可溶粒剂</w:t>
            </w:r>
          </w:p>
        </w:tc>
      </w:tr>
      <w:tr w14:paraId="71D0E5E7">
        <w:tblPrEx>
          <w:tblCellMar>
            <w:top w:w="0" w:type="dxa"/>
            <w:left w:w="0" w:type="dxa"/>
            <w:bottom w:w="0" w:type="dxa"/>
            <w:right w:w="0" w:type="dxa"/>
          </w:tblCellMar>
        </w:tblPrEx>
        <w:trPr>
          <w:wBefore w:w="0" w:type="auto"/>
          <w:tblCellSpacing w:w="0" w:type="dxa"/>
        </w:trPr>
        <w:tc>
          <w:tcPr>
            <w:tcW w:w="0" w:type="auto"/>
            <w:noWrap w:val="0"/>
            <w:vAlign w:val="center"/>
          </w:tcPr>
          <w:p w14:paraId="5D9F4DFB">
            <w:r>
              <w:rPr>
                <w:rStyle w:val="10"/>
                <w:rFonts w:hint="eastAsia"/>
              </w:rPr>
              <w:t>毒性及其标识：</w:t>
            </w:r>
            <w:r>
              <w:rPr>
                <w:rFonts w:hint="eastAsia"/>
              </w:rPr>
              <w:t xml:space="preserve"> </w:t>
            </w:r>
            <w:r>
              <w:rPr>
                <w:lang/>
              </w:rPr>
              <w:drawing>
                <wp:inline distT="0" distB="0" distL="114300" distR="114300">
                  <wp:extent cx="476250" cy="323850"/>
                  <wp:effectExtent l="0" t="0" r="0" b="0"/>
                  <wp:docPr id="342" name="图片 34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D460934">
        <w:tblPrEx>
          <w:tblCellMar>
            <w:top w:w="0" w:type="dxa"/>
            <w:left w:w="0" w:type="dxa"/>
            <w:bottom w:w="0" w:type="dxa"/>
            <w:right w:w="0" w:type="dxa"/>
          </w:tblCellMar>
        </w:tblPrEx>
        <w:trPr>
          <w:wBefore w:w="0" w:type="auto"/>
          <w:tblCellSpacing w:w="0" w:type="dxa"/>
        </w:trPr>
        <w:tc>
          <w:tcPr>
            <w:tcW w:w="0" w:type="auto"/>
            <w:noWrap w:val="0"/>
            <w:vAlign w:val="center"/>
          </w:tcPr>
          <w:p w14:paraId="2E0548ED">
            <w:r>
              <w:rPr>
                <w:rStyle w:val="10"/>
                <w:rFonts w:hint="eastAsia"/>
              </w:rPr>
              <w:t>总有效成分含量：</w:t>
            </w:r>
            <w:r>
              <w:rPr>
                <w:rFonts w:hint="eastAsia"/>
              </w:rPr>
              <w:t>20%</w:t>
            </w:r>
          </w:p>
        </w:tc>
      </w:tr>
      <w:tr w14:paraId="57D10325">
        <w:tblPrEx>
          <w:tblCellMar>
            <w:top w:w="0" w:type="dxa"/>
            <w:left w:w="0" w:type="dxa"/>
            <w:bottom w:w="0" w:type="dxa"/>
            <w:right w:w="0" w:type="dxa"/>
          </w:tblCellMar>
        </w:tblPrEx>
        <w:trPr>
          <w:wBefore w:w="0" w:type="auto"/>
          <w:tblCellSpacing w:w="0" w:type="dxa"/>
        </w:trPr>
        <w:tc>
          <w:tcPr>
            <w:tcW w:w="0" w:type="auto"/>
            <w:noWrap w:val="0"/>
            <w:vAlign w:val="center"/>
          </w:tcPr>
          <w:p w14:paraId="268EF124">
            <w:r>
              <w:rPr>
                <w:rFonts w:hint="eastAsia"/>
              </w:rPr>
              <w:t xml:space="preserve">有效成分及其含量： </w:t>
            </w:r>
          </w:p>
          <w:p w14:paraId="73E27A00">
            <w:r>
              <w:rPr>
                <w:rFonts w:hint="eastAsia"/>
              </w:rPr>
              <w:t xml:space="preserve">    赤霉酸19.95%    24-表芸苔素内酯0.05%    </w:t>
            </w:r>
          </w:p>
        </w:tc>
      </w:tr>
      <w:tr w14:paraId="3C53127C">
        <w:tblPrEx>
          <w:tblCellMar>
            <w:top w:w="0" w:type="dxa"/>
            <w:left w:w="0" w:type="dxa"/>
            <w:bottom w:w="0" w:type="dxa"/>
            <w:right w:w="0" w:type="dxa"/>
          </w:tblCellMar>
        </w:tblPrEx>
        <w:trPr>
          <w:wBefore w:w="0" w:type="auto"/>
          <w:tblCellSpacing w:w="0" w:type="dxa"/>
        </w:trPr>
        <w:tc>
          <w:tcPr>
            <w:tcW w:w="0" w:type="auto"/>
            <w:noWrap w:val="0"/>
            <w:vAlign w:val="center"/>
          </w:tcPr>
          <w:p w14:paraId="3680B11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12FA1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2080E2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EDFA01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EBC3F8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395583D">
                  <w:r>
                    <w:rPr>
                      <w:rStyle w:val="11"/>
                      <w:rFonts w:hint="eastAsia"/>
                    </w:rPr>
                    <w:t>施用方式</w:t>
                  </w:r>
                </w:p>
              </w:tc>
            </w:tr>
            <w:tr w14:paraId="2FEA4E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E288708">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8AE533">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829EB6">
                  <w:r>
                    <w:rPr>
                      <w:rStyle w:val="11"/>
                      <w:rFonts w:hint="eastAsia"/>
                    </w:rPr>
                    <w:t>10000-20000倍液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DF40F0">
                  <w:r>
                    <w:rPr>
                      <w:rStyle w:val="11"/>
                      <w:rFonts w:hint="eastAsia"/>
                    </w:rPr>
                    <w:t>喷雾</w:t>
                  </w:r>
                </w:p>
              </w:tc>
            </w:tr>
            <w:tr w14:paraId="319BDA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C033BD1">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AE7BB9">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0F3E86">
                  <w:r>
                    <w:rPr>
                      <w:rStyle w:val="11"/>
                      <w:rFonts w:hint="eastAsia"/>
                    </w:rPr>
                    <w:t>10000-20000倍液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347054">
                  <w:r>
                    <w:rPr>
                      <w:rStyle w:val="11"/>
                      <w:rFonts w:hint="eastAsia"/>
                    </w:rPr>
                    <w:t>喷雾</w:t>
                  </w:r>
                </w:p>
              </w:tc>
            </w:tr>
            <w:tr w14:paraId="524A2E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B7947EF">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F4ADD3">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951F33">
                  <w:r>
                    <w:rPr>
                      <w:rStyle w:val="11"/>
                      <w:rFonts w:hint="eastAsia"/>
                    </w:rPr>
                    <w:t>10000-20000倍液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BBE6A8">
                  <w:r>
                    <w:rPr>
                      <w:rStyle w:val="11"/>
                      <w:rFonts w:hint="eastAsia"/>
                    </w:rPr>
                    <w:t>喷雾</w:t>
                  </w:r>
                </w:p>
              </w:tc>
            </w:tr>
          </w:tbl>
          <w:p w14:paraId="18C754C8">
            <w:pPr>
              <w:rPr>
                <w:rFonts w:ascii="Times New Roman" w:hAnsi="Times New Roman" w:cs="Times New Roman"/>
                <w:sz w:val="20"/>
                <w:szCs w:val="20"/>
              </w:rPr>
            </w:pPr>
          </w:p>
        </w:tc>
      </w:tr>
      <w:tr w14:paraId="6CBB3C26">
        <w:tblPrEx>
          <w:tblCellMar>
            <w:top w:w="0" w:type="dxa"/>
            <w:left w:w="0" w:type="dxa"/>
            <w:bottom w:w="0" w:type="dxa"/>
            <w:right w:w="0" w:type="dxa"/>
          </w:tblCellMar>
        </w:tblPrEx>
        <w:trPr>
          <w:wBefore w:w="0" w:type="auto"/>
          <w:tblCellSpacing w:w="0" w:type="dxa"/>
        </w:trPr>
        <w:tc>
          <w:tcPr>
            <w:tcW w:w="0" w:type="auto"/>
            <w:noWrap w:val="0"/>
            <w:vAlign w:val="center"/>
          </w:tcPr>
          <w:p w14:paraId="2C206785">
            <w:r>
              <w:rPr>
                <w:rStyle w:val="10"/>
                <w:rFonts w:hint="eastAsia"/>
              </w:rPr>
              <w:t>使用技术要求:</w:t>
            </w:r>
            <w:r>
              <w:rPr>
                <w:rFonts w:hint="eastAsia"/>
              </w:rPr>
              <w:br w:type="textWrapping"/>
            </w:r>
            <w:r>
              <w:rPr>
                <w:rStyle w:val="11"/>
                <w:rFonts w:hint="eastAsia"/>
              </w:rPr>
              <w:t>1.在黄瓜上使用时应在黄瓜苗期、初花期、幼果期各喷雾使用一次；在苹果树上使用时，应在苹果花蕾期、幼果期、果实膨大期各喷雾使用一次；在柑橘树上使用时应在柑橘花蕾期、幼果期、果实膨大期各喷雾使用一次。在作物上使用时应注意喷雾均匀，以防重喷或漏喷。 大风或预计4个小时内下雨，请勿施药。</w:t>
            </w:r>
          </w:p>
        </w:tc>
      </w:tr>
      <w:tr w14:paraId="51136D23">
        <w:tblPrEx>
          <w:tblCellMar>
            <w:top w:w="0" w:type="dxa"/>
            <w:left w:w="0" w:type="dxa"/>
            <w:bottom w:w="0" w:type="dxa"/>
            <w:right w:w="0" w:type="dxa"/>
          </w:tblCellMar>
        </w:tblPrEx>
        <w:trPr>
          <w:wBefore w:w="0" w:type="auto"/>
          <w:tblCellSpacing w:w="0" w:type="dxa"/>
        </w:trPr>
        <w:tc>
          <w:tcPr>
            <w:tcW w:w="0" w:type="auto"/>
            <w:noWrap w:val="0"/>
            <w:vAlign w:val="center"/>
          </w:tcPr>
          <w:p w14:paraId="0CF80DD4">
            <w:r>
              <w:rPr>
                <w:rStyle w:val="10"/>
                <w:rFonts w:hint="eastAsia"/>
              </w:rPr>
              <w:t>产品性能:</w:t>
            </w:r>
            <w:r>
              <w:rPr>
                <w:rFonts w:hint="eastAsia"/>
              </w:rPr>
              <w:br w:type="textWrapping"/>
            </w:r>
            <w:r>
              <w:rPr>
                <w:rStyle w:val="11"/>
                <w:rFonts w:hint="eastAsia"/>
              </w:rPr>
              <w:t>本品是由芸苔素内酯和赤霉酸混配而成。芸苔素内酯和赤霉素（赤霉酸属于赤霉素的一种）都是植物生长不可缺少的内源激素，它们分别调节着植物的不同生理功能。赤霉素的作用是加速细胞的伸长，促进细胞分裂，它可以促进细胞的扩大；芸苔素内酯对作物的各生长阶段都有调节作用，兼具赤霉素、细胞分裂素和生长素的综合功效；且其有着平衡植物体内上述这些内源激素的发展的功能，还能调节植物体内营养物质的分配，促进弱势植株的生长，芸苔素内酯还能影响核酸类物质的代谢、延缓植物离体细胞的衰老。将二者混配可充分发挥各自特点，更好地调节作物生长，促使作物早熟丰产。</w:t>
            </w:r>
          </w:p>
        </w:tc>
      </w:tr>
      <w:tr w14:paraId="1E969C91">
        <w:tblPrEx>
          <w:tblCellMar>
            <w:top w:w="0" w:type="dxa"/>
            <w:left w:w="0" w:type="dxa"/>
            <w:bottom w:w="0" w:type="dxa"/>
            <w:right w:w="0" w:type="dxa"/>
          </w:tblCellMar>
        </w:tblPrEx>
        <w:trPr>
          <w:wBefore w:w="0" w:type="auto"/>
          <w:tblCellSpacing w:w="0" w:type="dxa"/>
        </w:trPr>
        <w:tc>
          <w:tcPr>
            <w:tcW w:w="0" w:type="auto"/>
            <w:noWrap w:val="0"/>
            <w:vAlign w:val="center"/>
          </w:tcPr>
          <w:p w14:paraId="79B3AB3B">
            <w:r>
              <w:rPr>
                <w:rStyle w:val="10"/>
                <w:rFonts w:hint="eastAsia"/>
              </w:rPr>
              <w:t>注意事项：</w:t>
            </w:r>
            <w:r>
              <w:rPr>
                <w:rFonts w:hint="eastAsia"/>
              </w:rPr>
              <w:br w:type="textWrapping"/>
            </w:r>
            <w:r>
              <w:rPr>
                <w:rStyle w:val="11"/>
                <w:rFonts w:hint="eastAsia"/>
              </w:rPr>
              <w:t>1.本品要现配现用，禁止与碱性农药混配混用。避免与氧化剂接触。 2.配制和使用本品时应采取相应的安全防护措施，穿防护服，戴防护手套、口罩、护目镜等。避免皮肤及眼睛接触药液。使用中不可吸烟、饮水和吃东西等；使用后及时清洗手、脸等暴露部位皮肤并更换衣物。 3.禁止在河塘等水域清洗施药器具。施药后的田水不得直接排入水体。 4.使用后的空包装应妥善处理，不可做他用，也不可随意丢弃。 5.孕妇及哺乳期妇女禁止接触此药。</w:t>
            </w:r>
          </w:p>
        </w:tc>
      </w:tr>
      <w:tr w14:paraId="1B25476F">
        <w:tblPrEx>
          <w:tblCellMar>
            <w:top w:w="0" w:type="dxa"/>
            <w:left w:w="0" w:type="dxa"/>
            <w:bottom w:w="0" w:type="dxa"/>
            <w:right w:w="0" w:type="dxa"/>
          </w:tblCellMar>
        </w:tblPrEx>
        <w:trPr>
          <w:wBefore w:w="0" w:type="auto"/>
          <w:tblCellSpacing w:w="0" w:type="dxa"/>
        </w:trPr>
        <w:tc>
          <w:tcPr>
            <w:tcW w:w="0" w:type="auto"/>
            <w:noWrap w:val="0"/>
            <w:vAlign w:val="center"/>
          </w:tcPr>
          <w:p w14:paraId="0DE092F5">
            <w:r>
              <w:rPr>
                <w:rStyle w:val="10"/>
                <w:rFonts w:hint="eastAsia"/>
              </w:rPr>
              <w:t>中毒急救措施：</w:t>
            </w:r>
            <w:r>
              <w:rPr>
                <w:rFonts w:hint="eastAsia"/>
              </w:rPr>
              <w:br w:type="textWrapping"/>
            </w:r>
            <w:r>
              <w:rPr>
                <w:rStyle w:val="11"/>
                <w:rFonts w:hint="eastAsia"/>
              </w:rPr>
              <w:t>本品对眼睛有刺激性，使用中或使用后如果感觉不适，应立即停止工作采取急救措施，并携带标签送医院就诊。 1.皮肤接触：脱去污染的衣物，用软布去除沾染农药，用大量清水和肥皂冲洗。 2.眼睛溅入：立即用流动清水冲洗不少于15分钟。 3.吸入：立即离开施药现场，转移到空气清新处。 4.误食：立即停止服用，用清水充分漱口后，立即携带标签送医院就诊。</w:t>
            </w:r>
          </w:p>
        </w:tc>
      </w:tr>
      <w:tr w14:paraId="2BE64631">
        <w:tblPrEx>
          <w:tblCellMar>
            <w:top w:w="0" w:type="dxa"/>
            <w:left w:w="0" w:type="dxa"/>
            <w:bottom w:w="0" w:type="dxa"/>
            <w:right w:w="0" w:type="dxa"/>
          </w:tblCellMar>
        </w:tblPrEx>
        <w:trPr>
          <w:wBefore w:w="0" w:type="auto"/>
          <w:tblCellSpacing w:w="0" w:type="dxa"/>
        </w:trPr>
        <w:tc>
          <w:tcPr>
            <w:tcW w:w="0" w:type="auto"/>
            <w:noWrap w:val="0"/>
            <w:vAlign w:val="center"/>
          </w:tcPr>
          <w:p w14:paraId="40DD5FA2">
            <w:r>
              <w:rPr>
                <w:rStyle w:val="10"/>
                <w:rFonts w:hint="eastAsia"/>
              </w:rPr>
              <w:t>储存和运输方法：</w:t>
            </w:r>
            <w:r>
              <w:rPr>
                <w:rFonts w:hint="eastAsia"/>
              </w:rPr>
              <w:br w:type="textWrapping"/>
            </w:r>
            <w:r>
              <w:rPr>
                <w:rStyle w:val="11"/>
                <w:rFonts w:hint="eastAsia"/>
              </w:rPr>
              <w:t>本品应当贮存在干燥、阴凉、通风、防雨处，远离火源和热源。置于儿童、无关人员及动物接触不到的地方，并加锁保存。不得与食物、种子、饲料、 粮食等同贮同运。</w:t>
            </w:r>
          </w:p>
        </w:tc>
      </w:tr>
      <w:tr w14:paraId="4AED4F89">
        <w:tblPrEx>
          <w:tblCellMar>
            <w:top w:w="0" w:type="dxa"/>
            <w:left w:w="0" w:type="dxa"/>
            <w:bottom w:w="0" w:type="dxa"/>
            <w:right w:w="0" w:type="dxa"/>
          </w:tblCellMar>
        </w:tblPrEx>
        <w:trPr>
          <w:wBefore w:w="0" w:type="auto"/>
          <w:tblCellSpacing w:w="0" w:type="dxa"/>
        </w:trPr>
        <w:tc>
          <w:tcPr>
            <w:tcW w:w="0" w:type="auto"/>
            <w:noWrap w:val="0"/>
            <w:vAlign w:val="center"/>
          </w:tcPr>
          <w:p w14:paraId="40547BE4">
            <w:r>
              <w:rPr>
                <w:rStyle w:val="10"/>
                <w:rFonts w:hint="eastAsia"/>
              </w:rPr>
              <w:t>质量保证期：</w:t>
            </w:r>
            <w:r>
              <w:rPr>
                <w:rStyle w:val="11"/>
                <w:rFonts w:hint="eastAsia"/>
              </w:rPr>
              <w:t>2年</w:t>
            </w:r>
          </w:p>
        </w:tc>
      </w:tr>
      <w:tr w14:paraId="378D71E8">
        <w:tblPrEx>
          <w:tblCellMar>
            <w:top w:w="0" w:type="dxa"/>
            <w:left w:w="0" w:type="dxa"/>
            <w:bottom w:w="0" w:type="dxa"/>
            <w:right w:w="0" w:type="dxa"/>
          </w:tblCellMar>
        </w:tblPrEx>
        <w:trPr>
          <w:wBefore w:w="0" w:type="auto"/>
          <w:tblCellSpacing w:w="0" w:type="dxa"/>
        </w:trPr>
        <w:tc>
          <w:tcPr>
            <w:tcW w:w="0" w:type="auto"/>
            <w:noWrap w:val="0"/>
            <w:vAlign w:val="center"/>
          </w:tcPr>
          <w:p w14:paraId="765B4DEA">
            <w:r>
              <w:rPr>
                <w:rStyle w:val="10"/>
                <w:rFonts w:hint="eastAsia"/>
              </w:rPr>
              <w:t>备注：</w:t>
            </w:r>
          </w:p>
        </w:tc>
      </w:tr>
    </w:tbl>
    <w:p w14:paraId="7944936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C06A7A">
        <w:tblPrEx>
          <w:tblCellMar>
            <w:top w:w="0" w:type="dxa"/>
            <w:left w:w="0" w:type="dxa"/>
            <w:bottom w:w="0" w:type="dxa"/>
            <w:right w:w="0" w:type="dxa"/>
          </w:tblCellMar>
        </w:tblPrEx>
        <w:trPr>
          <w:wBefore w:w="0" w:type="auto"/>
          <w:tblCellSpacing w:w="0" w:type="dxa"/>
        </w:trPr>
        <w:tc>
          <w:tcPr>
            <w:tcW w:w="0" w:type="auto"/>
            <w:noWrap w:val="0"/>
            <w:vAlign w:val="center"/>
          </w:tcPr>
          <w:p w14:paraId="48BC8E1D">
            <w:r>
              <w:rPr>
                <w:rStyle w:val="10"/>
                <w:rFonts w:hint="eastAsia"/>
              </w:rPr>
              <w:t>登记证号：</w:t>
            </w:r>
            <w:r>
              <w:rPr>
                <w:rFonts w:hint="eastAsia"/>
              </w:rPr>
              <w:t>PD20212127</w:t>
            </w:r>
          </w:p>
        </w:tc>
      </w:tr>
      <w:tr w14:paraId="0FBFBCBB">
        <w:tblPrEx>
          <w:tblCellMar>
            <w:top w:w="0" w:type="dxa"/>
            <w:left w:w="0" w:type="dxa"/>
            <w:bottom w:w="0" w:type="dxa"/>
            <w:right w:w="0" w:type="dxa"/>
          </w:tblCellMar>
        </w:tblPrEx>
        <w:trPr>
          <w:wBefore w:w="0" w:type="auto"/>
          <w:tblCellSpacing w:w="0" w:type="dxa"/>
        </w:trPr>
        <w:tc>
          <w:tcPr>
            <w:tcW w:w="0" w:type="auto"/>
            <w:noWrap w:val="0"/>
            <w:vAlign w:val="center"/>
          </w:tcPr>
          <w:p w14:paraId="2E780880">
            <w:r>
              <w:rPr>
                <w:rStyle w:val="10"/>
                <w:rFonts w:hint="eastAsia"/>
              </w:rPr>
              <w:t>登记证持有人：</w:t>
            </w:r>
            <w:r>
              <w:rPr>
                <w:rFonts w:hint="eastAsia"/>
              </w:rPr>
              <w:t>山东绿邦作物科学股份有限公司</w:t>
            </w:r>
          </w:p>
        </w:tc>
      </w:tr>
      <w:tr w14:paraId="3292C04F">
        <w:tblPrEx>
          <w:tblCellMar>
            <w:top w:w="0" w:type="dxa"/>
            <w:left w:w="0" w:type="dxa"/>
            <w:bottom w:w="0" w:type="dxa"/>
            <w:right w:w="0" w:type="dxa"/>
          </w:tblCellMar>
        </w:tblPrEx>
        <w:trPr>
          <w:wBefore w:w="0" w:type="auto"/>
          <w:tblCellSpacing w:w="0" w:type="dxa"/>
        </w:trPr>
        <w:tc>
          <w:tcPr>
            <w:tcW w:w="0" w:type="auto"/>
            <w:noWrap w:val="0"/>
            <w:vAlign w:val="center"/>
          </w:tcPr>
          <w:p w14:paraId="60D549A2">
            <w:r>
              <w:rPr>
                <w:rStyle w:val="10"/>
                <w:rFonts w:hint="eastAsia"/>
              </w:rPr>
              <w:t>农药名称：</w:t>
            </w:r>
            <w:r>
              <w:rPr>
                <w:rFonts w:hint="eastAsia"/>
              </w:rPr>
              <w:t>唑啉·炔草酯</w:t>
            </w:r>
          </w:p>
        </w:tc>
      </w:tr>
      <w:tr w14:paraId="69F2CEBA">
        <w:tblPrEx>
          <w:tblCellMar>
            <w:top w:w="0" w:type="dxa"/>
            <w:left w:w="0" w:type="dxa"/>
            <w:bottom w:w="0" w:type="dxa"/>
            <w:right w:w="0" w:type="dxa"/>
          </w:tblCellMar>
        </w:tblPrEx>
        <w:trPr>
          <w:wBefore w:w="0" w:type="auto"/>
          <w:tblCellSpacing w:w="0" w:type="dxa"/>
        </w:trPr>
        <w:tc>
          <w:tcPr>
            <w:tcW w:w="0" w:type="auto"/>
            <w:noWrap w:val="0"/>
            <w:vAlign w:val="center"/>
          </w:tcPr>
          <w:p w14:paraId="42DCE581">
            <w:r>
              <w:rPr>
                <w:rStyle w:val="10"/>
                <w:rFonts w:hint="eastAsia"/>
              </w:rPr>
              <w:t>剂型：</w:t>
            </w:r>
            <w:r>
              <w:rPr>
                <w:rFonts w:hint="eastAsia"/>
              </w:rPr>
              <w:t>乳油</w:t>
            </w:r>
          </w:p>
        </w:tc>
      </w:tr>
      <w:tr w14:paraId="73CF0972">
        <w:tblPrEx>
          <w:tblCellMar>
            <w:top w:w="0" w:type="dxa"/>
            <w:left w:w="0" w:type="dxa"/>
            <w:bottom w:w="0" w:type="dxa"/>
            <w:right w:w="0" w:type="dxa"/>
          </w:tblCellMar>
        </w:tblPrEx>
        <w:trPr>
          <w:wBefore w:w="0" w:type="auto"/>
          <w:tblCellSpacing w:w="0" w:type="dxa"/>
        </w:trPr>
        <w:tc>
          <w:tcPr>
            <w:tcW w:w="0" w:type="auto"/>
            <w:noWrap w:val="0"/>
            <w:vAlign w:val="center"/>
          </w:tcPr>
          <w:p w14:paraId="73BA0C74">
            <w:r>
              <w:rPr>
                <w:rStyle w:val="10"/>
                <w:rFonts w:hint="eastAsia"/>
              </w:rPr>
              <w:t>毒性及其标识：</w:t>
            </w:r>
            <w:r>
              <w:rPr>
                <w:rFonts w:hint="eastAsia"/>
              </w:rPr>
              <w:t xml:space="preserve"> </w:t>
            </w:r>
            <w:r>
              <w:rPr>
                <w:lang/>
              </w:rPr>
              <w:drawing>
                <wp:inline distT="0" distB="0" distL="114300" distR="114300">
                  <wp:extent cx="476250" cy="323850"/>
                  <wp:effectExtent l="0" t="0" r="0" b="0"/>
                  <wp:docPr id="343" name="图片 34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185051D">
        <w:tblPrEx>
          <w:tblCellMar>
            <w:top w:w="0" w:type="dxa"/>
            <w:left w:w="0" w:type="dxa"/>
            <w:bottom w:w="0" w:type="dxa"/>
            <w:right w:w="0" w:type="dxa"/>
          </w:tblCellMar>
        </w:tblPrEx>
        <w:trPr>
          <w:wBefore w:w="0" w:type="auto"/>
          <w:tblCellSpacing w:w="0" w:type="dxa"/>
        </w:trPr>
        <w:tc>
          <w:tcPr>
            <w:tcW w:w="0" w:type="auto"/>
            <w:noWrap w:val="0"/>
            <w:vAlign w:val="center"/>
          </w:tcPr>
          <w:p w14:paraId="191EB4B9">
            <w:r>
              <w:rPr>
                <w:rStyle w:val="10"/>
                <w:rFonts w:hint="eastAsia"/>
              </w:rPr>
              <w:t>总有效成分含量：</w:t>
            </w:r>
            <w:r>
              <w:rPr>
                <w:rFonts w:hint="eastAsia"/>
              </w:rPr>
              <w:t>10%</w:t>
            </w:r>
          </w:p>
        </w:tc>
      </w:tr>
      <w:tr w14:paraId="2FCAB345">
        <w:tblPrEx>
          <w:tblCellMar>
            <w:top w:w="0" w:type="dxa"/>
            <w:left w:w="0" w:type="dxa"/>
            <w:bottom w:w="0" w:type="dxa"/>
            <w:right w:w="0" w:type="dxa"/>
          </w:tblCellMar>
        </w:tblPrEx>
        <w:trPr>
          <w:wBefore w:w="0" w:type="auto"/>
          <w:tblCellSpacing w:w="0" w:type="dxa"/>
        </w:trPr>
        <w:tc>
          <w:tcPr>
            <w:tcW w:w="0" w:type="auto"/>
            <w:noWrap w:val="0"/>
            <w:vAlign w:val="center"/>
          </w:tcPr>
          <w:p w14:paraId="14B2F2E9">
            <w:r>
              <w:rPr>
                <w:rFonts w:hint="eastAsia"/>
              </w:rPr>
              <w:t xml:space="preserve">有效成分及其含量： </w:t>
            </w:r>
          </w:p>
          <w:p w14:paraId="01F94FD3">
            <w:r>
              <w:rPr>
                <w:rFonts w:hint="eastAsia"/>
              </w:rPr>
              <w:t xml:space="preserve">    唑啉草酯5%    炔草酯5%    </w:t>
            </w:r>
          </w:p>
        </w:tc>
      </w:tr>
      <w:tr w14:paraId="4D458A66">
        <w:tblPrEx>
          <w:tblCellMar>
            <w:top w:w="0" w:type="dxa"/>
            <w:left w:w="0" w:type="dxa"/>
            <w:bottom w:w="0" w:type="dxa"/>
            <w:right w:w="0" w:type="dxa"/>
          </w:tblCellMar>
        </w:tblPrEx>
        <w:trPr>
          <w:wBefore w:w="0" w:type="auto"/>
          <w:tblCellSpacing w:w="0" w:type="dxa"/>
        </w:trPr>
        <w:tc>
          <w:tcPr>
            <w:tcW w:w="0" w:type="auto"/>
            <w:noWrap w:val="0"/>
            <w:vAlign w:val="center"/>
          </w:tcPr>
          <w:p w14:paraId="0D7941D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669ED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9F9A6F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308E42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1E2F8D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FD1050">
                  <w:r>
                    <w:rPr>
                      <w:rStyle w:val="11"/>
                      <w:rFonts w:hint="eastAsia"/>
                    </w:rPr>
                    <w:t>施用方式</w:t>
                  </w:r>
                </w:p>
              </w:tc>
            </w:tr>
            <w:tr w14:paraId="39DF8A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76C7FAE">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4F089F">
                  <w:r>
                    <w:rPr>
                      <w:rStyle w:val="11"/>
                      <w:rFonts w:hint="eastAsia"/>
                    </w:rPr>
                    <w:t>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211711">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BEED55">
                  <w:r>
                    <w:rPr>
                      <w:rStyle w:val="11"/>
                      <w:rFonts w:hint="eastAsia"/>
                    </w:rPr>
                    <w:t>茎叶喷雾</w:t>
                  </w:r>
                </w:p>
              </w:tc>
            </w:tr>
          </w:tbl>
          <w:p w14:paraId="1A77F412">
            <w:pPr>
              <w:rPr>
                <w:rFonts w:ascii="Times New Roman" w:hAnsi="Times New Roman" w:cs="Times New Roman"/>
                <w:sz w:val="20"/>
                <w:szCs w:val="20"/>
              </w:rPr>
            </w:pPr>
          </w:p>
        </w:tc>
      </w:tr>
      <w:tr w14:paraId="6816B89D">
        <w:tblPrEx>
          <w:tblCellMar>
            <w:top w:w="0" w:type="dxa"/>
            <w:left w:w="0" w:type="dxa"/>
            <w:bottom w:w="0" w:type="dxa"/>
            <w:right w:w="0" w:type="dxa"/>
          </w:tblCellMar>
        </w:tblPrEx>
        <w:trPr>
          <w:wBefore w:w="0" w:type="auto"/>
          <w:tblCellSpacing w:w="0" w:type="dxa"/>
        </w:trPr>
        <w:tc>
          <w:tcPr>
            <w:tcW w:w="0" w:type="auto"/>
            <w:noWrap w:val="0"/>
            <w:vAlign w:val="center"/>
          </w:tcPr>
          <w:p w14:paraId="24A2973A">
            <w:r>
              <w:rPr>
                <w:rStyle w:val="10"/>
                <w:rFonts w:hint="eastAsia"/>
              </w:rPr>
              <w:t>使用技术要求:</w:t>
            </w:r>
            <w:r>
              <w:rPr>
                <w:rFonts w:hint="eastAsia"/>
              </w:rPr>
              <w:br w:type="textWrapping"/>
            </w:r>
            <w:r>
              <w:rPr>
                <w:rStyle w:val="11"/>
                <w:rFonts w:hint="eastAsia"/>
              </w:rPr>
              <w:t>1、于冬小麦3叶期之后，禾本科杂草3-5叶期时施药。2请勿在大麦和燕麦田使用；避免药液飘移到邻近作物田；施药后仔细清洗喷雾器避免药物残留造成玉米、高粱及其他敏感作物药害。3 避免在极端气候如气温大幅波动， 异常干旱，极端低温高温，田间积水，小麦生长不良等条件下使用，否则可能影响药效或导致作物药害。4. 不推荐与激素类除草剂混用，如2, 4-D、2甲4氯、麦草畏、氯氟吡氧乙酸等；与其他除草剂、农药、肥料混用建议先进行小面积测试。5、 本品每季作物最多使用1次。</w:t>
            </w:r>
          </w:p>
        </w:tc>
      </w:tr>
      <w:tr w14:paraId="7F0113B0">
        <w:tblPrEx>
          <w:tblCellMar>
            <w:top w:w="0" w:type="dxa"/>
            <w:left w:w="0" w:type="dxa"/>
            <w:bottom w:w="0" w:type="dxa"/>
            <w:right w:w="0" w:type="dxa"/>
          </w:tblCellMar>
        </w:tblPrEx>
        <w:trPr>
          <w:wBefore w:w="0" w:type="auto"/>
          <w:tblCellSpacing w:w="0" w:type="dxa"/>
        </w:trPr>
        <w:tc>
          <w:tcPr>
            <w:tcW w:w="0" w:type="auto"/>
            <w:noWrap w:val="0"/>
            <w:vAlign w:val="center"/>
          </w:tcPr>
          <w:p w14:paraId="5DF5098E">
            <w:r>
              <w:rPr>
                <w:rStyle w:val="10"/>
                <w:rFonts w:hint="eastAsia"/>
              </w:rPr>
              <w:t>产品性能:</w:t>
            </w:r>
            <w:r>
              <w:rPr>
                <w:rFonts w:hint="eastAsia"/>
              </w:rPr>
              <w:br w:type="textWrapping"/>
            </w:r>
            <w:r>
              <w:rPr>
                <w:rStyle w:val="11"/>
                <w:rFonts w:hint="eastAsia"/>
              </w:rPr>
              <w:t>本品由两种不同作用机制的除草剂混配而成，适用于冬小麦田禾本科杂草的综合治理。本品苗后茎叶处理，于小麦返青后茎叶喷雾1次，可有效防除看麦娘、日本看麦娘、菵草、硬草、棒头草、黑麦草、野燕麦等麦田主要禾本科杂草。正常使用技术条件下,对下茬作物安全。</w:t>
            </w:r>
          </w:p>
        </w:tc>
      </w:tr>
      <w:tr w14:paraId="27D879BD">
        <w:tblPrEx>
          <w:tblCellMar>
            <w:top w:w="0" w:type="dxa"/>
            <w:left w:w="0" w:type="dxa"/>
            <w:bottom w:w="0" w:type="dxa"/>
            <w:right w:w="0" w:type="dxa"/>
          </w:tblCellMar>
        </w:tblPrEx>
        <w:trPr>
          <w:wBefore w:w="0" w:type="auto"/>
          <w:tblCellSpacing w:w="0" w:type="dxa"/>
        </w:trPr>
        <w:tc>
          <w:tcPr>
            <w:tcW w:w="0" w:type="auto"/>
            <w:noWrap w:val="0"/>
            <w:vAlign w:val="center"/>
          </w:tcPr>
          <w:p w14:paraId="78A669DD">
            <w:r>
              <w:rPr>
                <w:rStyle w:val="10"/>
                <w:rFonts w:hint="eastAsia"/>
              </w:rPr>
              <w:t>注意事项：</w:t>
            </w:r>
            <w:r>
              <w:rPr>
                <w:rFonts w:hint="eastAsia"/>
              </w:rPr>
              <w:br w:type="textWrapping"/>
            </w:r>
            <w:r>
              <w:rPr>
                <w:rStyle w:val="11"/>
                <w:rFonts w:hint="eastAsia"/>
              </w:rPr>
              <w:t>1、使用本品时应穿长衣长裤、靴子、戴手套、眼镜、口罩等适当的防护用具，避免吸入药液；施药期间不可吃东西、饮水、吸烟等；施药后应及时洗手、洗脸并洗涤施药时穿着的衣物。2、本品对鱼、藻类等水生生物有毒，施药时避免对水源、鱼塘的影响，施药后禁止在河塘等水源及鱼塘中清洗药械，鱼或蟹套养稻田禁用，施药后的田水不得直接排入水体。药后及时彻底清洗药械，废弃物切勿污染水源或水体。3、蚕对本品敏感，蚕室及桑园附近禁用。4、本产品符合标签说明，请严格按照标签说明使用。5、与不同作用机理的除草剂交替使用。6、用过的容器应妥善处理，不可做他用，也不可随意丢弃。8、7、禁止儿童、孕妇及哺乳期妇女接触本品。</w:t>
            </w:r>
          </w:p>
        </w:tc>
      </w:tr>
      <w:tr w14:paraId="3B006A7D">
        <w:tblPrEx>
          <w:tblCellMar>
            <w:top w:w="0" w:type="dxa"/>
            <w:left w:w="0" w:type="dxa"/>
            <w:bottom w:w="0" w:type="dxa"/>
            <w:right w:w="0" w:type="dxa"/>
          </w:tblCellMar>
        </w:tblPrEx>
        <w:trPr>
          <w:wBefore w:w="0" w:type="auto"/>
          <w:tblCellSpacing w:w="0" w:type="dxa"/>
        </w:trPr>
        <w:tc>
          <w:tcPr>
            <w:tcW w:w="0" w:type="auto"/>
            <w:noWrap w:val="0"/>
            <w:vAlign w:val="center"/>
          </w:tcPr>
          <w:p w14:paraId="587655C0">
            <w:r>
              <w:rPr>
                <w:rStyle w:val="10"/>
                <w:rFonts w:hint="eastAsia"/>
              </w:rPr>
              <w:t>中毒急救措施：</w:t>
            </w:r>
            <w:r>
              <w:rPr>
                <w:rFonts w:hint="eastAsia"/>
              </w:rPr>
              <w:br w:type="textWrapping"/>
            </w:r>
            <w:r>
              <w:rPr>
                <w:rStyle w:val="11"/>
                <w:rFonts w:hint="eastAsia"/>
              </w:rPr>
              <w:t xml:space="preserve">中毒症状：按标签推荐方法使用。一旦发生中毒，请对症治疗。 1.用药时如果感觉不适，立即停止工作，采取急救措施，并携此标签送医就诊。2.皮肤接触：立即脱掉被污染的衣物，用大量清水冲洗被污染的皮肤，如皮肤刺激感持续，请医生诊治。3.眼睛溅药：立即将眼睑翻开，用清水冲洗至少15分钟，再请医生诊治。4.发生吸入：立即将吸入者转移到空气新鲜处，如果吸入者停止呼吸，需要进行人工呼吸。注意保暖和休息，请医生诊治。5.误服：请勿引吐，立即携带标签，送医就诊。紧急医疗措施：使用医用活性炭洗胃，注意防止胃容物进入呼吸道。注意：对昏迷病人，切勿经口喂入任何东西或引吐。6.解毒剂: 无专用解毒剂，对症治疗。 </w:t>
            </w:r>
          </w:p>
        </w:tc>
      </w:tr>
      <w:tr w14:paraId="6AFCB92F">
        <w:tblPrEx>
          <w:tblCellMar>
            <w:top w:w="0" w:type="dxa"/>
            <w:left w:w="0" w:type="dxa"/>
            <w:bottom w:w="0" w:type="dxa"/>
            <w:right w:w="0" w:type="dxa"/>
          </w:tblCellMar>
        </w:tblPrEx>
        <w:trPr>
          <w:wBefore w:w="0" w:type="auto"/>
          <w:tblCellSpacing w:w="0" w:type="dxa"/>
        </w:trPr>
        <w:tc>
          <w:tcPr>
            <w:tcW w:w="0" w:type="auto"/>
            <w:noWrap w:val="0"/>
            <w:vAlign w:val="center"/>
          </w:tcPr>
          <w:p w14:paraId="2D32F351">
            <w:r>
              <w:rPr>
                <w:rStyle w:val="10"/>
                <w:rFonts w:hint="eastAsia"/>
              </w:rPr>
              <w:t>储存和运输方法：</w:t>
            </w:r>
            <w:r>
              <w:rPr>
                <w:rFonts w:hint="eastAsia"/>
              </w:rPr>
              <w:br w:type="textWrapping"/>
            </w:r>
            <w:r>
              <w:rPr>
                <w:rStyle w:val="11"/>
                <w:rFonts w:hint="eastAsia"/>
              </w:rPr>
              <w:t>1、本品应贮存在阴凉、干燥、通风、防雨处，远离火源或热源；夏季应加强仓库通风，最好早晚运输，避免高温；2、置于儿童、无关人员及动物接触不到的地方，并加锁；3、不得与食物、饮料、种子、饲料等物品同贮同运，运输时要防潮防晒；4、装卸时，注意检查包装是否密封完整，轻拿轻放。</w:t>
            </w:r>
          </w:p>
        </w:tc>
      </w:tr>
      <w:tr w14:paraId="7B819498">
        <w:tblPrEx>
          <w:tblCellMar>
            <w:top w:w="0" w:type="dxa"/>
            <w:left w:w="0" w:type="dxa"/>
            <w:bottom w:w="0" w:type="dxa"/>
            <w:right w:w="0" w:type="dxa"/>
          </w:tblCellMar>
        </w:tblPrEx>
        <w:trPr>
          <w:wBefore w:w="0" w:type="auto"/>
          <w:tblCellSpacing w:w="0" w:type="dxa"/>
        </w:trPr>
        <w:tc>
          <w:tcPr>
            <w:tcW w:w="0" w:type="auto"/>
            <w:noWrap w:val="0"/>
            <w:vAlign w:val="center"/>
          </w:tcPr>
          <w:p w14:paraId="7C11E8F0">
            <w:r>
              <w:rPr>
                <w:rStyle w:val="10"/>
                <w:rFonts w:hint="eastAsia"/>
              </w:rPr>
              <w:t>质量保证期：</w:t>
            </w:r>
            <w:r>
              <w:rPr>
                <w:rStyle w:val="11"/>
                <w:rFonts w:hint="eastAsia"/>
              </w:rPr>
              <w:t>2年</w:t>
            </w:r>
          </w:p>
        </w:tc>
      </w:tr>
      <w:tr w14:paraId="348BA29B">
        <w:tblPrEx>
          <w:tblCellMar>
            <w:top w:w="0" w:type="dxa"/>
            <w:left w:w="0" w:type="dxa"/>
            <w:bottom w:w="0" w:type="dxa"/>
            <w:right w:w="0" w:type="dxa"/>
          </w:tblCellMar>
        </w:tblPrEx>
        <w:trPr>
          <w:wBefore w:w="0" w:type="auto"/>
          <w:tblCellSpacing w:w="0" w:type="dxa"/>
        </w:trPr>
        <w:tc>
          <w:tcPr>
            <w:tcW w:w="0" w:type="auto"/>
            <w:noWrap w:val="0"/>
            <w:vAlign w:val="center"/>
          </w:tcPr>
          <w:p w14:paraId="038B610F">
            <w:r>
              <w:rPr>
                <w:rStyle w:val="10"/>
                <w:rFonts w:hint="eastAsia"/>
              </w:rPr>
              <w:t>备注：</w:t>
            </w:r>
          </w:p>
        </w:tc>
      </w:tr>
    </w:tbl>
    <w:p w14:paraId="1BD1B4F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D1EFA3">
        <w:tblPrEx>
          <w:tblCellMar>
            <w:top w:w="0" w:type="dxa"/>
            <w:left w:w="0" w:type="dxa"/>
            <w:bottom w:w="0" w:type="dxa"/>
            <w:right w:w="0" w:type="dxa"/>
          </w:tblCellMar>
        </w:tblPrEx>
        <w:trPr>
          <w:wBefore w:w="0" w:type="auto"/>
          <w:tblCellSpacing w:w="0" w:type="dxa"/>
        </w:trPr>
        <w:tc>
          <w:tcPr>
            <w:tcW w:w="0" w:type="auto"/>
            <w:noWrap w:val="0"/>
            <w:vAlign w:val="center"/>
          </w:tcPr>
          <w:p w14:paraId="43FECAAF">
            <w:r>
              <w:rPr>
                <w:rStyle w:val="10"/>
                <w:rFonts w:hint="eastAsia"/>
              </w:rPr>
              <w:t>登记证号：</w:t>
            </w:r>
            <w:r>
              <w:rPr>
                <w:rFonts w:hint="eastAsia"/>
              </w:rPr>
              <w:t>WP20210264</w:t>
            </w:r>
          </w:p>
        </w:tc>
      </w:tr>
      <w:tr w14:paraId="1ADA2A31">
        <w:tblPrEx>
          <w:tblCellMar>
            <w:top w:w="0" w:type="dxa"/>
            <w:left w:w="0" w:type="dxa"/>
            <w:bottom w:w="0" w:type="dxa"/>
            <w:right w:w="0" w:type="dxa"/>
          </w:tblCellMar>
        </w:tblPrEx>
        <w:trPr>
          <w:wBefore w:w="0" w:type="auto"/>
          <w:tblCellSpacing w:w="0" w:type="dxa"/>
        </w:trPr>
        <w:tc>
          <w:tcPr>
            <w:tcW w:w="0" w:type="auto"/>
            <w:noWrap w:val="0"/>
            <w:vAlign w:val="center"/>
          </w:tcPr>
          <w:p w14:paraId="06CC6930">
            <w:r>
              <w:rPr>
                <w:rStyle w:val="10"/>
                <w:rFonts w:hint="eastAsia"/>
              </w:rPr>
              <w:t>登记证持有人：</w:t>
            </w:r>
            <w:r>
              <w:rPr>
                <w:rFonts w:hint="eastAsia"/>
              </w:rPr>
              <w:t>江苏艾津作物科技集团有限公司</w:t>
            </w:r>
          </w:p>
        </w:tc>
      </w:tr>
      <w:tr w14:paraId="7E1A6ADB">
        <w:tblPrEx>
          <w:tblCellMar>
            <w:top w:w="0" w:type="dxa"/>
            <w:left w:w="0" w:type="dxa"/>
            <w:bottom w:w="0" w:type="dxa"/>
            <w:right w:w="0" w:type="dxa"/>
          </w:tblCellMar>
        </w:tblPrEx>
        <w:trPr>
          <w:wBefore w:w="0" w:type="auto"/>
          <w:tblCellSpacing w:w="0" w:type="dxa"/>
        </w:trPr>
        <w:tc>
          <w:tcPr>
            <w:tcW w:w="0" w:type="auto"/>
            <w:noWrap w:val="0"/>
            <w:vAlign w:val="center"/>
          </w:tcPr>
          <w:p w14:paraId="114CFAD9">
            <w:r>
              <w:rPr>
                <w:rStyle w:val="10"/>
                <w:rFonts w:hint="eastAsia"/>
              </w:rPr>
              <w:t>农药名称：</w:t>
            </w:r>
            <w:r>
              <w:rPr>
                <w:rFonts w:hint="eastAsia"/>
              </w:rPr>
              <w:t>高效氯氟氰菊酯</w:t>
            </w:r>
          </w:p>
        </w:tc>
      </w:tr>
      <w:tr w14:paraId="6B8891AF">
        <w:tblPrEx>
          <w:tblCellMar>
            <w:top w:w="0" w:type="dxa"/>
            <w:left w:w="0" w:type="dxa"/>
            <w:bottom w:w="0" w:type="dxa"/>
            <w:right w:w="0" w:type="dxa"/>
          </w:tblCellMar>
        </w:tblPrEx>
        <w:trPr>
          <w:wBefore w:w="0" w:type="auto"/>
          <w:tblCellSpacing w:w="0" w:type="dxa"/>
        </w:trPr>
        <w:tc>
          <w:tcPr>
            <w:tcW w:w="0" w:type="auto"/>
            <w:noWrap w:val="0"/>
            <w:vAlign w:val="center"/>
          </w:tcPr>
          <w:p w14:paraId="0668BA34">
            <w:r>
              <w:rPr>
                <w:rStyle w:val="10"/>
                <w:rFonts w:hint="eastAsia"/>
              </w:rPr>
              <w:t>剂型：</w:t>
            </w:r>
            <w:r>
              <w:rPr>
                <w:rFonts w:hint="eastAsia"/>
              </w:rPr>
              <w:t>可湿性粉剂</w:t>
            </w:r>
          </w:p>
        </w:tc>
      </w:tr>
      <w:tr w14:paraId="0F4319D2">
        <w:tblPrEx>
          <w:tblCellMar>
            <w:top w:w="0" w:type="dxa"/>
            <w:left w:w="0" w:type="dxa"/>
            <w:bottom w:w="0" w:type="dxa"/>
            <w:right w:w="0" w:type="dxa"/>
          </w:tblCellMar>
        </w:tblPrEx>
        <w:trPr>
          <w:wBefore w:w="0" w:type="auto"/>
          <w:tblCellSpacing w:w="0" w:type="dxa"/>
        </w:trPr>
        <w:tc>
          <w:tcPr>
            <w:tcW w:w="0" w:type="auto"/>
            <w:noWrap w:val="0"/>
            <w:vAlign w:val="center"/>
          </w:tcPr>
          <w:p w14:paraId="037D022E">
            <w:r>
              <w:rPr>
                <w:rStyle w:val="10"/>
                <w:rFonts w:hint="eastAsia"/>
              </w:rPr>
              <w:t>毒性及其标识：</w:t>
            </w:r>
            <w:r>
              <w:rPr>
                <w:rFonts w:hint="eastAsia"/>
              </w:rPr>
              <w:t xml:space="preserve"> </w:t>
            </w:r>
            <w:r>
              <w:rPr>
                <w:lang/>
              </w:rPr>
              <w:drawing>
                <wp:inline distT="0" distB="0" distL="114300" distR="114300">
                  <wp:extent cx="476250" cy="323850"/>
                  <wp:effectExtent l="0" t="0" r="0" b="0"/>
                  <wp:docPr id="344" name="图片 344"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55682C51">
        <w:tblPrEx>
          <w:tblCellMar>
            <w:top w:w="0" w:type="dxa"/>
            <w:left w:w="0" w:type="dxa"/>
            <w:bottom w:w="0" w:type="dxa"/>
            <w:right w:w="0" w:type="dxa"/>
          </w:tblCellMar>
        </w:tblPrEx>
        <w:trPr>
          <w:wBefore w:w="0" w:type="auto"/>
          <w:tblCellSpacing w:w="0" w:type="dxa"/>
        </w:trPr>
        <w:tc>
          <w:tcPr>
            <w:tcW w:w="0" w:type="auto"/>
            <w:noWrap w:val="0"/>
            <w:vAlign w:val="center"/>
          </w:tcPr>
          <w:p w14:paraId="2A99BD96">
            <w:r>
              <w:rPr>
                <w:rStyle w:val="10"/>
                <w:rFonts w:hint="eastAsia"/>
              </w:rPr>
              <w:t>总有效成分含量：</w:t>
            </w:r>
            <w:r>
              <w:rPr>
                <w:rFonts w:hint="eastAsia"/>
              </w:rPr>
              <w:t>10%</w:t>
            </w:r>
          </w:p>
        </w:tc>
      </w:tr>
      <w:tr w14:paraId="4B8D286D">
        <w:tblPrEx>
          <w:tblCellMar>
            <w:top w:w="0" w:type="dxa"/>
            <w:left w:w="0" w:type="dxa"/>
            <w:bottom w:w="0" w:type="dxa"/>
            <w:right w:w="0" w:type="dxa"/>
          </w:tblCellMar>
        </w:tblPrEx>
        <w:trPr>
          <w:wBefore w:w="0" w:type="auto"/>
          <w:tblCellSpacing w:w="0" w:type="dxa"/>
        </w:trPr>
        <w:tc>
          <w:tcPr>
            <w:tcW w:w="0" w:type="auto"/>
            <w:noWrap w:val="0"/>
            <w:vAlign w:val="center"/>
          </w:tcPr>
          <w:p w14:paraId="615CDBAE">
            <w:r>
              <w:rPr>
                <w:rFonts w:hint="eastAsia"/>
              </w:rPr>
              <w:t xml:space="preserve">有效成分及其含量： </w:t>
            </w:r>
          </w:p>
          <w:p w14:paraId="510F4351">
            <w:r>
              <w:rPr>
                <w:rFonts w:hint="eastAsia"/>
              </w:rPr>
              <w:t xml:space="preserve">    高效氯氟氰菊酯10%    </w:t>
            </w:r>
          </w:p>
        </w:tc>
      </w:tr>
      <w:tr w14:paraId="2087736F">
        <w:tblPrEx>
          <w:tblCellMar>
            <w:top w:w="0" w:type="dxa"/>
            <w:left w:w="0" w:type="dxa"/>
            <w:bottom w:w="0" w:type="dxa"/>
            <w:right w:w="0" w:type="dxa"/>
          </w:tblCellMar>
        </w:tblPrEx>
        <w:trPr>
          <w:wBefore w:w="0" w:type="auto"/>
          <w:tblCellSpacing w:w="0" w:type="dxa"/>
        </w:trPr>
        <w:tc>
          <w:tcPr>
            <w:tcW w:w="0" w:type="auto"/>
            <w:noWrap w:val="0"/>
            <w:vAlign w:val="center"/>
          </w:tcPr>
          <w:p w14:paraId="372F372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E2F5E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7F462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7EDFBB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AE1D6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EF58BA">
                  <w:r>
                    <w:rPr>
                      <w:rStyle w:val="11"/>
                      <w:rFonts w:hint="eastAsia"/>
                    </w:rPr>
                    <w:t>施用方式</w:t>
                  </w:r>
                </w:p>
              </w:tc>
            </w:tr>
            <w:tr w14:paraId="227551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C65A94A">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4E407E">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ABC9EC">
                  <w:r>
                    <w:rPr>
                      <w:rStyle w:val="11"/>
                      <w:rFonts w:hint="eastAsia"/>
                    </w:rPr>
                    <w:t>20毫克/平方米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31B884">
                  <w:r>
                    <w:rPr>
                      <w:rStyle w:val="11"/>
                      <w:rFonts w:hint="eastAsia"/>
                    </w:rPr>
                    <w:t>喷雾</w:t>
                  </w:r>
                </w:p>
              </w:tc>
            </w:tr>
            <w:tr w14:paraId="12970E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C04BFED">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12CA06">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A992A6">
                  <w:r>
                    <w:rPr>
                      <w:rStyle w:val="11"/>
                      <w:rFonts w:hint="eastAsia"/>
                    </w:rPr>
                    <w:t>20毫克/平方米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2ED943">
                  <w:r>
                    <w:rPr>
                      <w:rStyle w:val="11"/>
                      <w:rFonts w:hint="eastAsia"/>
                    </w:rPr>
                    <w:t>喷雾</w:t>
                  </w:r>
                </w:p>
              </w:tc>
            </w:tr>
          </w:tbl>
          <w:p w14:paraId="0713E395">
            <w:pPr>
              <w:rPr>
                <w:rFonts w:ascii="Times New Roman" w:hAnsi="Times New Roman" w:cs="Times New Roman"/>
                <w:sz w:val="20"/>
                <w:szCs w:val="20"/>
              </w:rPr>
            </w:pPr>
          </w:p>
        </w:tc>
      </w:tr>
      <w:tr w14:paraId="17FD8452">
        <w:tblPrEx>
          <w:tblCellMar>
            <w:top w:w="0" w:type="dxa"/>
            <w:left w:w="0" w:type="dxa"/>
            <w:bottom w:w="0" w:type="dxa"/>
            <w:right w:w="0" w:type="dxa"/>
          </w:tblCellMar>
        </w:tblPrEx>
        <w:trPr>
          <w:wBefore w:w="0" w:type="auto"/>
          <w:tblCellSpacing w:w="0" w:type="dxa"/>
        </w:trPr>
        <w:tc>
          <w:tcPr>
            <w:tcW w:w="0" w:type="auto"/>
            <w:noWrap w:val="0"/>
            <w:vAlign w:val="center"/>
          </w:tcPr>
          <w:p w14:paraId="57A9F35E">
            <w:r>
              <w:rPr>
                <w:rStyle w:val="10"/>
                <w:rFonts w:hint="eastAsia"/>
              </w:rPr>
              <w:t>使用技术要求:</w:t>
            </w:r>
            <w:r>
              <w:rPr>
                <w:rFonts w:hint="eastAsia"/>
              </w:rPr>
              <w:br w:type="textWrapping"/>
            </w:r>
            <w:r>
              <w:rPr>
                <w:rStyle w:val="11"/>
                <w:rFonts w:hint="eastAsia"/>
              </w:rPr>
              <w:t>本品制剂用量20毫克/平方米，进行室外空间喷雾；蝇在早上进行施药，蚊在傍晚进行施药；施药注意个人防护，场所使用必须在清场后无其他人员的情况下进行。</w:t>
            </w:r>
          </w:p>
        </w:tc>
      </w:tr>
      <w:tr w14:paraId="76242A79">
        <w:tblPrEx>
          <w:tblCellMar>
            <w:top w:w="0" w:type="dxa"/>
            <w:left w:w="0" w:type="dxa"/>
            <w:bottom w:w="0" w:type="dxa"/>
            <w:right w:w="0" w:type="dxa"/>
          </w:tblCellMar>
        </w:tblPrEx>
        <w:trPr>
          <w:wBefore w:w="0" w:type="auto"/>
          <w:tblCellSpacing w:w="0" w:type="dxa"/>
        </w:trPr>
        <w:tc>
          <w:tcPr>
            <w:tcW w:w="0" w:type="auto"/>
            <w:noWrap w:val="0"/>
            <w:vAlign w:val="center"/>
          </w:tcPr>
          <w:p w14:paraId="5AA92D86">
            <w:r>
              <w:rPr>
                <w:rStyle w:val="10"/>
                <w:rFonts w:hint="eastAsia"/>
              </w:rPr>
              <w:t>产品性能:</w:t>
            </w:r>
            <w:r>
              <w:rPr>
                <w:rFonts w:hint="eastAsia"/>
              </w:rPr>
              <w:br w:type="textWrapping"/>
            </w:r>
            <w:r>
              <w:rPr>
                <w:rStyle w:val="11"/>
                <w:rFonts w:hint="eastAsia"/>
              </w:rPr>
              <w:t>本品以高效氯氟氰菊酯为有效成分加工而成，适用于小区、绿化带、停车场、码头、操场、广场等室外场所防治蚊、蝇。</w:t>
            </w:r>
          </w:p>
        </w:tc>
      </w:tr>
      <w:tr w14:paraId="19808B26">
        <w:tblPrEx>
          <w:tblCellMar>
            <w:top w:w="0" w:type="dxa"/>
            <w:left w:w="0" w:type="dxa"/>
            <w:bottom w:w="0" w:type="dxa"/>
            <w:right w:w="0" w:type="dxa"/>
          </w:tblCellMar>
        </w:tblPrEx>
        <w:trPr>
          <w:wBefore w:w="0" w:type="auto"/>
          <w:tblCellSpacing w:w="0" w:type="dxa"/>
        </w:trPr>
        <w:tc>
          <w:tcPr>
            <w:tcW w:w="0" w:type="auto"/>
            <w:noWrap w:val="0"/>
            <w:vAlign w:val="center"/>
          </w:tcPr>
          <w:p w14:paraId="541505B7">
            <w:r>
              <w:rPr>
                <w:rStyle w:val="10"/>
                <w:rFonts w:hint="eastAsia"/>
              </w:rPr>
              <w:t>注意事项：</w:t>
            </w:r>
            <w:r>
              <w:rPr>
                <w:rFonts w:hint="eastAsia"/>
              </w:rPr>
              <w:br w:type="textWrapping"/>
            </w:r>
            <w:r>
              <w:rPr>
                <w:rStyle w:val="11"/>
                <w:rFonts w:hint="eastAsia"/>
              </w:rPr>
              <w:t>1、对人、畜有毒，，穿戴长衣、长裤、帽子、口罩、手套等防护措施。避免吸入药液。施药期间不可吃东西、饮水或吸烟。 2、对鱼等水生动物、蜜蜂有毒，水产养殖区、河塘等水体附近禁用，禁止在河塘等水域清洗施药器具；（周围）开花植物花期禁用；桑园及蚕室附近禁用。 3、喷药后及时脱下衣服，用洗衣粉水洗涤，并用肥皂水和大量清水冲洗皮肤裸露部位。 4、药液未干时切勿让儿童和宠物接触。 5、不可与呈碱性的农药等物质混用。切勿在人体、食物上使用。 6、过敏者禁用；使用中有任何不良反应请及时就医。孕妇及哺乳期的妇女禁用。 7、用过的容器应妥善处理，不可做他用，也不可随意丢弃。</w:t>
            </w:r>
          </w:p>
        </w:tc>
      </w:tr>
      <w:tr w14:paraId="2F2D0F09">
        <w:tblPrEx>
          <w:tblCellMar>
            <w:top w:w="0" w:type="dxa"/>
            <w:left w:w="0" w:type="dxa"/>
            <w:bottom w:w="0" w:type="dxa"/>
            <w:right w:w="0" w:type="dxa"/>
          </w:tblCellMar>
        </w:tblPrEx>
        <w:trPr>
          <w:wBefore w:w="0" w:type="auto"/>
          <w:tblCellSpacing w:w="0" w:type="dxa"/>
        </w:trPr>
        <w:tc>
          <w:tcPr>
            <w:tcW w:w="0" w:type="auto"/>
            <w:noWrap w:val="0"/>
            <w:vAlign w:val="center"/>
          </w:tcPr>
          <w:p w14:paraId="4747E3DC">
            <w:r>
              <w:rPr>
                <w:rStyle w:val="10"/>
                <w:rFonts w:hint="eastAsia"/>
              </w:rPr>
              <w:t>中毒急救措施：</w:t>
            </w:r>
            <w:r>
              <w:rPr>
                <w:rFonts w:hint="eastAsia"/>
              </w:rPr>
              <w:br w:type="textWrapping"/>
            </w:r>
            <w:r>
              <w:rPr>
                <w:rStyle w:val="11"/>
                <w:rFonts w:hint="eastAsia"/>
              </w:rPr>
              <w:t>该产品对眼睛有刺激性，使用时避免接触眼睛。若误服，立即停止服用，用大量的清水漱口，并立即携此包装就医；不慎接触皮肤或溅入眼睛，用肥皂水或清水冲洗至少15分钟后携此标签就医。</w:t>
            </w:r>
          </w:p>
        </w:tc>
      </w:tr>
      <w:tr w14:paraId="5E54E104">
        <w:tblPrEx>
          <w:tblCellMar>
            <w:top w:w="0" w:type="dxa"/>
            <w:left w:w="0" w:type="dxa"/>
            <w:bottom w:w="0" w:type="dxa"/>
            <w:right w:w="0" w:type="dxa"/>
          </w:tblCellMar>
        </w:tblPrEx>
        <w:trPr>
          <w:wBefore w:w="0" w:type="auto"/>
          <w:tblCellSpacing w:w="0" w:type="dxa"/>
        </w:trPr>
        <w:tc>
          <w:tcPr>
            <w:tcW w:w="0" w:type="auto"/>
            <w:noWrap w:val="0"/>
            <w:vAlign w:val="center"/>
          </w:tcPr>
          <w:p w14:paraId="1888D531">
            <w:r>
              <w:rPr>
                <w:rStyle w:val="10"/>
                <w:rFonts w:hint="eastAsia"/>
              </w:rPr>
              <w:t>储存和运输方法：</w:t>
            </w:r>
            <w:r>
              <w:rPr>
                <w:rFonts w:hint="eastAsia"/>
              </w:rPr>
              <w:br w:type="textWrapping"/>
            </w:r>
            <w:r>
              <w:rPr>
                <w:rStyle w:val="11"/>
                <w:rFonts w:hint="eastAsia"/>
              </w:rPr>
              <w:t>本品贮存应注意阴凉、通风、干燥、远离热源或火源，不能与食品、饮料、粮食、饲料等物品同贮同运。远离儿童及牲畜，并加锁保存，以免误服。</w:t>
            </w:r>
          </w:p>
        </w:tc>
      </w:tr>
      <w:tr w14:paraId="5D199C40">
        <w:tblPrEx>
          <w:tblCellMar>
            <w:top w:w="0" w:type="dxa"/>
            <w:left w:w="0" w:type="dxa"/>
            <w:bottom w:w="0" w:type="dxa"/>
            <w:right w:w="0" w:type="dxa"/>
          </w:tblCellMar>
        </w:tblPrEx>
        <w:trPr>
          <w:wBefore w:w="0" w:type="auto"/>
          <w:tblCellSpacing w:w="0" w:type="dxa"/>
        </w:trPr>
        <w:tc>
          <w:tcPr>
            <w:tcW w:w="0" w:type="auto"/>
            <w:noWrap w:val="0"/>
            <w:vAlign w:val="center"/>
          </w:tcPr>
          <w:p w14:paraId="7055273E">
            <w:r>
              <w:rPr>
                <w:rStyle w:val="10"/>
                <w:rFonts w:hint="eastAsia"/>
              </w:rPr>
              <w:t>质量保证期：</w:t>
            </w:r>
            <w:r>
              <w:rPr>
                <w:rStyle w:val="11"/>
                <w:rFonts w:hint="eastAsia"/>
              </w:rPr>
              <w:t>2年</w:t>
            </w:r>
          </w:p>
        </w:tc>
      </w:tr>
      <w:tr w14:paraId="3AB9027E">
        <w:tblPrEx>
          <w:tblCellMar>
            <w:top w:w="0" w:type="dxa"/>
            <w:left w:w="0" w:type="dxa"/>
            <w:bottom w:w="0" w:type="dxa"/>
            <w:right w:w="0" w:type="dxa"/>
          </w:tblCellMar>
        </w:tblPrEx>
        <w:trPr>
          <w:wBefore w:w="0" w:type="auto"/>
          <w:tblCellSpacing w:w="0" w:type="dxa"/>
        </w:trPr>
        <w:tc>
          <w:tcPr>
            <w:tcW w:w="0" w:type="auto"/>
            <w:noWrap w:val="0"/>
            <w:vAlign w:val="center"/>
          </w:tcPr>
          <w:p w14:paraId="1EC9E488">
            <w:r>
              <w:rPr>
                <w:rStyle w:val="10"/>
                <w:rFonts w:hint="eastAsia"/>
              </w:rPr>
              <w:t>备注：</w:t>
            </w:r>
          </w:p>
        </w:tc>
      </w:tr>
    </w:tbl>
    <w:p w14:paraId="21D83E8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A7B9C8">
        <w:tblPrEx>
          <w:tblCellMar>
            <w:top w:w="0" w:type="dxa"/>
            <w:left w:w="0" w:type="dxa"/>
            <w:bottom w:w="0" w:type="dxa"/>
            <w:right w:w="0" w:type="dxa"/>
          </w:tblCellMar>
        </w:tblPrEx>
        <w:trPr>
          <w:wBefore w:w="0" w:type="auto"/>
          <w:tblCellSpacing w:w="0" w:type="dxa"/>
        </w:trPr>
        <w:tc>
          <w:tcPr>
            <w:tcW w:w="0" w:type="auto"/>
            <w:noWrap w:val="0"/>
            <w:vAlign w:val="center"/>
          </w:tcPr>
          <w:p w14:paraId="76EB1C3F">
            <w:r>
              <w:rPr>
                <w:rStyle w:val="10"/>
                <w:rFonts w:hint="eastAsia"/>
              </w:rPr>
              <w:t>登记证号：</w:t>
            </w:r>
            <w:r>
              <w:rPr>
                <w:rFonts w:hint="eastAsia"/>
              </w:rPr>
              <w:t>PD20211732</w:t>
            </w:r>
          </w:p>
        </w:tc>
      </w:tr>
      <w:tr w14:paraId="4A733830">
        <w:tblPrEx>
          <w:tblCellMar>
            <w:top w:w="0" w:type="dxa"/>
            <w:left w:w="0" w:type="dxa"/>
            <w:bottom w:w="0" w:type="dxa"/>
            <w:right w:w="0" w:type="dxa"/>
          </w:tblCellMar>
        </w:tblPrEx>
        <w:trPr>
          <w:wBefore w:w="0" w:type="auto"/>
          <w:tblCellSpacing w:w="0" w:type="dxa"/>
        </w:trPr>
        <w:tc>
          <w:tcPr>
            <w:tcW w:w="0" w:type="auto"/>
            <w:noWrap w:val="0"/>
            <w:vAlign w:val="center"/>
          </w:tcPr>
          <w:p w14:paraId="22112D70">
            <w:r>
              <w:rPr>
                <w:rStyle w:val="10"/>
                <w:rFonts w:hint="eastAsia"/>
              </w:rPr>
              <w:t>登记证持有人：</w:t>
            </w:r>
            <w:r>
              <w:rPr>
                <w:rFonts w:hint="eastAsia"/>
              </w:rPr>
              <w:t>孟州市陶氏爱农作物保护有限公司</w:t>
            </w:r>
          </w:p>
        </w:tc>
      </w:tr>
      <w:tr w14:paraId="6406C839">
        <w:tblPrEx>
          <w:tblCellMar>
            <w:top w:w="0" w:type="dxa"/>
            <w:left w:w="0" w:type="dxa"/>
            <w:bottom w:w="0" w:type="dxa"/>
            <w:right w:w="0" w:type="dxa"/>
          </w:tblCellMar>
        </w:tblPrEx>
        <w:trPr>
          <w:wBefore w:w="0" w:type="auto"/>
          <w:tblCellSpacing w:w="0" w:type="dxa"/>
        </w:trPr>
        <w:tc>
          <w:tcPr>
            <w:tcW w:w="0" w:type="auto"/>
            <w:noWrap w:val="0"/>
            <w:vAlign w:val="center"/>
          </w:tcPr>
          <w:p w14:paraId="1BBD9F00">
            <w:r>
              <w:rPr>
                <w:rStyle w:val="10"/>
                <w:rFonts w:hint="eastAsia"/>
              </w:rPr>
              <w:t>农药名称：</w:t>
            </w:r>
            <w:r>
              <w:rPr>
                <w:rFonts w:hint="eastAsia"/>
              </w:rPr>
              <w:t>氟啶虫酰胺·联苯菊酯</w:t>
            </w:r>
          </w:p>
        </w:tc>
      </w:tr>
      <w:tr w14:paraId="6C3018D3">
        <w:tblPrEx>
          <w:tblCellMar>
            <w:top w:w="0" w:type="dxa"/>
            <w:left w:w="0" w:type="dxa"/>
            <w:bottom w:w="0" w:type="dxa"/>
            <w:right w:w="0" w:type="dxa"/>
          </w:tblCellMar>
        </w:tblPrEx>
        <w:trPr>
          <w:wBefore w:w="0" w:type="auto"/>
          <w:tblCellSpacing w:w="0" w:type="dxa"/>
        </w:trPr>
        <w:tc>
          <w:tcPr>
            <w:tcW w:w="0" w:type="auto"/>
            <w:noWrap w:val="0"/>
            <w:vAlign w:val="center"/>
          </w:tcPr>
          <w:p w14:paraId="614FFB52">
            <w:r>
              <w:rPr>
                <w:rStyle w:val="10"/>
                <w:rFonts w:hint="eastAsia"/>
              </w:rPr>
              <w:t>剂型：</w:t>
            </w:r>
            <w:r>
              <w:rPr>
                <w:rFonts w:hint="eastAsia"/>
              </w:rPr>
              <w:t>悬浮剂</w:t>
            </w:r>
          </w:p>
        </w:tc>
      </w:tr>
      <w:tr w14:paraId="26B65211">
        <w:tblPrEx>
          <w:tblCellMar>
            <w:top w:w="0" w:type="dxa"/>
            <w:left w:w="0" w:type="dxa"/>
            <w:bottom w:w="0" w:type="dxa"/>
            <w:right w:w="0" w:type="dxa"/>
          </w:tblCellMar>
        </w:tblPrEx>
        <w:trPr>
          <w:wBefore w:w="0" w:type="auto"/>
          <w:tblCellSpacing w:w="0" w:type="dxa"/>
        </w:trPr>
        <w:tc>
          <w:tcPr>
            <w:tcW w:w="0" w:type="auto"/>
            <w:noWrap w:val="0"/>
            <w:vAlign w:val="center"/>
          </w:tcPr>
          <w:p w14:paraId="003141DC">
            <w:r>
              <w:rPr>
                <w:rStyle w:val="10"/>
                <w:rFonts w:hint="eastAsia"/>
              </w:rPr>
              <w:t>毒性及其标识：</w:t>
            </w:r>
            <w:r>
              <w:rPr>
                <w:rFonts w:hint="eastAsia"/>
              </w:rPr>
              <w:t xml:space="preserve"> </w:t>
            </w:r>
            <w:r>
              <w:rPr>
                <w:lang/>
              </w:rPr>
              <w:drawing>
                <wp:inline distT="0" distB="0" distL="114300" distR="114300">
                  <wp:extent cx="476250" cy="323850"/>
                  <wp:effectExtent l="0" t="0" r="0" b="0"/>
                  <wp:docPr id="345" name="图片 34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FBAE5E9">
        <w:tblPrEx>
          <w:tblCellMar>
            <w:top w:w="0" w:type="dxa"/>
            <w:left w:w="0" w:type="dxa"/>
            <w:bottom w:w="0" w:type="dxa"/>
            <w:right w:w="0" w:type="dxa"/>
          </w:tblCellMar>
        </w:tblPrEx>
        <w:trPr>
          <w:wBefore w:w="0" w:type="auto"/>
          <w:tblCellSpacing w:w="0" w:type="dxa"/>
        </w:trPr>
        <w:tc>
          <w:tcPr>
            <w:tcW w:w="0" w:type="auto"/>
            <w:noWrap w:val="0"/>
            <w:vAlign w:val="center"/>
          </w:tcPr>
          <w:p w14:paraId="48932B1F">
            <w:r>
              <w:rPr>
                <w:rStyle w:val="10"/>
                <w:rFonts w:hint="eastAsia"/>
              </w:rPr>
              <w:t>总有效成分含量：</w:t>
            </w:r>
            <w:r>
              <w:rPr>
                <w:rFonts w:hint="eastAsia"/>
              </w:rPr>
              <w:t>15%</w:t>
            </w:r>
          </w:p>
        </w:tc>
      </w:tr>
      <w:tr w14:paraId="445C9BFA">
        <w:tblPrEx>
          <w:tblCellMar>
            <w:top w:w="0" w:type="dxa"/>
            <w:left w:w="0" w:type="dxa"/>
            <w:bottom w:w="0" w:type="dxa"/>
            <w:right w:w="0" w:type="dxa"/>
          </w:tblCellMar>
        </w:tblPrEx>
        <w:trPr>
          <w:wBefore w:w="0" w:type="auto"/>
          <w:tblCellSpacing w:w="0" w:type="dxa"/>
        </w:trPr>
        <w:tc>
          <w:tcPr>
            <w:tcW w:w="0" w:type="auto"/>
            <w:noWrap w:val="0"/>
            <w:vAlign w:val="center"/>
          </w:tcPr>
          <w:p w14:paraId="128EE4A7">
            <w:r>
              <w:rPr>
                <w:rFonts w:hint="eastAsia"/>
              </w:rPr>
              <w:t xml:space="preserve">有效成分及其含量： </w:t>
            </w:r>
          </w:p>
          <w:p w14:paraId="2A63C8D5">
            <w:r>
              <w:rPr>
                <w:rFonts w:hint="eastAsia"/>
              </w:rPr>
              <w:t xml:space="preserve">    联苯菊酯5%    氟啶虫酰胺10%    </w:t>
            </w:r>
          </w:p>
        </w:tc>
      </w:tr>
      <w:tr w14:paraId="31096AD7">
        <w:tblPrEx>
          <w:tblCellMar>
            <w:top w:w="0" w:type="dxa"/>
            <w:left w:w="0" w:type="dxa"/>
            <w:bottom w:w="0" w:type="dxa"/>
            <w:right w:w="0" w:type="dxa"/>
          </w:tblCellMar>
        </w:tblPrEx>
        <w:trPr>
          <w:wBefore w:w="0" w:type="auto"/>
          <w:tblCellSpacing w:w="0" w:type="dxa"/>
        </w:trPr>
        <w:tc>
          <w:tcPr>
            <w:tcW w:w="0" w:type="auto"/>
            <w:noWrap w:val="0"/>
            <w:vAlign w:val="center"/>
          </w:tcPr>
          <w:p w14:paraId="1F97B10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8E6E1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90101D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4C2393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8991D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C95D33D">
                  <w:r>
                    <w:rPr>
                      <w:rStyle w:val="11"/>
                      <w:rFonts w:hint="eastAsia"/>
                    </w:rPr>
                    <w:t>施用方式</w:t>
                  </w:r>
                </w:p>
              </w:tc>
            </w:tr>
            <w:tr w14:paraId="7CD417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F558E46">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59CD20">
                  <w:r>
                    <w:rPr>
                      <w:rStyle w:val="11"/>
                      <w:rFonts w:hint="eastAsia"/>
                    </w:rPr>
                    <w:t>桃蚜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934923">
                  <w:r>
                    <w:rPr>
                      <w:rStyle w:val="11"/>
                      <w:rFonts w:hint="eastAsia"/>
                    </w:rPr>
                    <w:t>4000-5000倍液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25D85C">
                  <w:r>
                    <w:rPr>
                      <w:rStyle w:val="11"/>
                      <w:rFonts w:hint="eastAsia"/>
                    </w:rPr>
                    <w:t>喷雾</w:t>
                  </w:r>
                </w:p>
              </w:tc>
            </w:tr>
          </w:tbl>
          <w:p w14:paraId="6F486E3F">
            <w:pPr>
              <w:rPr>
                <w:rFonts w:ascii="Times New Roman" w:hAnsi="Times New Roman" w:cs="Times New Roman"/>
                <w:sz w:val="20"/>
                <w:szCs w:val="20"/>
              </w:rPr>
            </w:pPr>
          </w:p>
        </w:tc>
      </w:tr>
      <w:tr w14:paraId="02ACF3EB">
        <w:tblPrEx>
          <w:tblCellMar>
            <w:top w:w="0" w:type="dxa"/>
            <w:left w:w="0" w:type="dxa"/>
            <w:bottom w:w="0" w:type="dxa"/>
            <w:right w:w="0" w:type="dxa"/>
          </w:tblCellMar>
        </w:tblPrEx>
        <w:trPr>
          <w:wBefore w:w="0" w:type="auto"/>
          <w:tblCellSpacing w:w="0" w:type="dxa"/>
        </w:trPr>
        <w:tc>
          <w:tcPr>
            <w:tcW w:w="0" w:type="auto"/>
            <w:noWrap w:val="0"/>
            <w:vAlign w:val="center"/>
          </w:tcPr>
          <w:p w14:paraId="087C3282">
            <w:r>
              <w:rPr>
                <w:rStyle w:val="10"/>
                <w:rFonts w:hint="eastAsia"/>
              </w:rPr>
              <w:t>使用技术要求:</w:t>
            </w:r>
            <w:r>
              <w:rPr>
                <w:rFonts w:hint="eastAsia"/>
              </w:rPr>
              <w:br w:type="textWrapping"/>
            </w:r>
            <w:r>
              <w:rPr>
                <w:rStyle w:val="11"/>
                <w:rFonts w:hint="eastAsia"/>
              </w:rPr>
              <w:t>1.于桃树桃蚜始盛期开始喷雾施药1次。注意喷雾均匀、周到，以确保药效；2.在桃树上使用的安全间隔期为14天，每季作物最多使用1次。3.大风天或预计1小时内降雨，请勿施药。</w:t>
            </w:r>
          </w:p>
        </w:tc>
      </w:tr>
      <w:tr w14:paraId="3902A133">
        <w:tblPrEx>
          <w:tblCellMar>
            <w:top w:w="0" w:type="dxa"/>
            <w:left w:w="0" w:type="dxa"/>
            <w:bottom w:w="0" w:type="dxa"/>
            <w:right w:w="0" w:type="dxa"/>
          </w:tblCellMar>
        </w:tblPrEx>
        <w:trPr>
          <w:wBefore w:w="0" w:type="auto"/>
          <w:tblCellSpacing w:w="0" w:type="dxa"/>
        </w:trPr>
        <w:tc>
          <w:tcPr>
            <w:tcW w:w="0" w:type="auto"/>
            <w:noWrap w:val="0"/>
            <w:vAlign w:val="center"/>
          </w:tcPr>
          <w:p w14:paraId="3205504E">
            <w:r>
              <w:rPr>
                <w:rStyle w:val="10"/>
                <w:rFonts w:hint="eastAsia"/>
              </w:rPr>
              <w:t>产品性能:</w:t>
            </w:r>
            <w:r>
              <w:rPr>
                <w:rFonts w:hint="eastAsia"/>
              </w:rPr>
              <w:br w:type="textWrapping"/>
            </w:r>
            <w:r>
              <w:rPr>
                <w:rStyle w:val="11"/>
                <w:rFonts w:hint="eastAsia"/>
              </w:rPr>
              <w:t xml:space="preserve">联苯菊酯属拟除虫菊酯类杀虫剂，具有触杀、胃毒作用。氟啶虫酰胺是吡啶酰胺类调节昆虫生长的杀虫剂，具有触杀和胃毒作用，还具有神经毒剂和快速拒食作用。两者的混配可有效提高对桃树桃蚜的防治效果。 </w:t>
            </w:r>
          </w:p>
        </w:tc>
      </w:tr>
      <w:tr w14:paraId="5B44DA8D">
        <w:tblPrEx>
          <w:tblCellMar>
            <w:top w:w="0" w:type="dxa"/>
            <w:left w:w="0" w:type="dxa"/>
            <w:bottom w:w="0" w:type="dxa"/>
            <w:right w:w="0" w:type="dxa"/>
          </w:tblCellMar>
        </w:tblPrEx>
        <w:trPr>
          <w:wBefore w:w="0" w:type="auto"/>
          <w:tblCellSpacing w:w="0" w:type="dxa"/>
        </w:trPr>
        <w:tc>
          <w:tcPr>
            <w:tcW w:w="0" w:type="auto"/>
            <w:noWrap w:val="0"/>
            <w:vAlign w:val="center"/>
          </w:tcPr>
          <w:p w14:paraId="16BDA3B4">
            <w:r>
              <w:rPr>
                <w:rStyle w:val="10"/>
                <w:rFonts w:hint="eastAsia"/>
              </w:rPr>
              <w:t>注意事项：</w:t>
            </w:r>
            <w:r>
              <w:rPr>
                <w:rFonts w:hint="eastAsia"/>
              </w:rPr>
              <w:br w:type="textWrapping"/>
            </w:r>
            <w:r>
              <w:rPr>
                <w:rStyle w:val="11"/>
                <w:rFonts w:hint="eastAsia"/>
              </w:rPr>
              <w:t>1.本品不可与呈碱性的农药等物质混合使用。2.建议与其他作用机制不同的杀虫剂轮换使用，以延缓抗性的产生。3.该产品使用时，穿戴长衣、长裤、帽子、口罩、手套等防护措施。不可吸烟、饮水、进食；施药后洗净手、脸及其他裸露部位，洗净工作服。4.本品对蜜蜂、鱼等水生生物、家蚕、天敌赤眼蜂有毒，施药期间避免对周围蜂群的影响、蜜源/粉源植物花期、蚕室及桑园附近禁用。远离水产养殖区、河塘等水体附近施药，避免药液污染水源，禁止在河塘等水域中清洗施药器具。赤眼蜂等天敌放飞区域禁用。5.用过的容器应妥善处理，不可作他用，也不可随意丢弃，药液及其废液不得污染各类水域、土壤等环境。6.孕妇及哺乳期妇女避免接触本品。</w:t>
            </w:r>
          </w:p>
        </w:tc>
      </w:tr>
      <w:tr w14:paraId="648A4FB1">
        <w:tblPrEx>
          <w:tblCellMar>
            <w:top w:w="0" w:type="dxa"/>
            <w:left w:w="0" w:type="dxa"/>
            <w:bottom w:w="0" w:type="dxa"/>
            <w:right w:w="0" w:type="dxa"/>
          </w:tblCellMar>
        </w:tblPrEx>
        <w:trPr>
          <w:wBefore w:w="0" w:type="auto"/>
          <w:tblCellSpacing w:w="0" w:type="dxa"/>
        </w:trPr>
        <w:tc>
          <w:tcPr>
            <w:tcW w:w="0" w:type="auto"/>
            <w:noWrap w:val="0"/>
            <w:vAlign w:val="center"/>
          </w:tcPr>
          <w:p w14:paraId="3E9568F7">
            <w:r>
              <w:rPr>
                <w:rStyle w:val="10"/>
                <w:rFonts w:hint="eastAsia"/>
              </w:rPr>
              <w:t>中毒急救措施：</w:t>
            </w:r>
            <w:r>
              <w:rPr>
                <w:rFonts w:hint="eastAsia"/>
              </w:rPr>
              <w:br w:type="textWrapping"/>
            </w:r>
            <w:r>
              <w:rPr>
                <w:rStyle w:val="11"/>
                <w:rFonts w:hint="eastAsia"/>
              </w:rPr>
              <w:t>本品对眼睛有刺激性。急救措施：不慎吸入，应将病人移至空气流通处。不慎接触皮肤或溅入眼睛，应用大量清水冲洗至少15分钟，仍有不适时，请及时就医。因疏忽或误服而发生中毒现象时，禁止引吐，请速携标签就医，并依据中毒情况对症治疗。无特效解毒剂。</w:t>
            </w:r>
          </w:p>
        </w:tc>
      </w:tr>
      <w:tr w14:paraId="71A1B304">
        <w:tblPrEx>
          <w:tblCellMar>
            <w:top w:w="0" w:type="dxa"/>
            <w:left w:w="0" w:type="dxa"/>
            <w:bottom w:w="0" w:type="dxa"/>
            <w:right w:w="0" w:type="dxa"/>
          </w:tblCellMar>
        </w:tblPrEx>
        <w:trPr>
          <w:wBefore w:w="0" w:type="auto"/>
          <w:tblCellSpacing w:w="0" w:type="dxa"/>
        </w:trPr>
        <w:tc>
          <w:tcPr>
            <w:tcW w:w="0" w:type="auto"/>
            <w:noWrap w:val="0"/>
            <w:vAlign w:val="center"/>
          </w:tcPr>
          <w:p w14:paraId="34F46A30">
            <w:r>
              <w:rPr>
                <w:rStyle w:val="10"/>
                <w:rFonts w:hint="eastAsia"/>
              </w:rPr>
              <w:t>储存和运输方法：</w:t>
            </w:r>
            <w:r>
              <w:rPr>
                <w:rFonts w:hint="eastAsia"/>
              </w:rPr>
              <w:br w:type="textWrapping"/>
            </w:r>
            <w:r>
              <w:rPr>
                <w:rStyle w:val="11"/>
                <w:rFonts w:hint="eastAsia"/>
              </w:rPr>
              <w:t xml:space="preserve">本品应贮存于干燥、阴凉、通风、防雨处；远离火源或热源；存放于儿童触及不到之处，并加锁；不能与食品、饮料、粮食、饲料等混合储运；运输时应注意防水防潮，避免雨淋；搬运时轻搬轻放，不可倒置。 </w:t>
            </w:r>
          </w:p>
        </w:tc>
      </w:tr>
      <w:tr w14:paraId="4D05E4F5">
        <w:tblPrEx>
          <w:tblCellMar>
            <w:top w:w="0" w:type="dxa"/>
            <w:left w:w="0" w:type="dxa"/>
            <w:bottom w:w="0" w:type="dxa"/>
            <w:right w:w="0" w:type="dxa"/>
          </w:tblCellMar>
        </w:tblPrEx>
        <w:trPr>
          <w:wBefore w:w="0" w:type="auto"/>
          <w:tblCellSpacing w:w="0" w:type="dxa"/>
        </w:trPr>
        <w:tc>
          <w:tcPr>
            <w:tcW w:w="0" w:type="auto"/>
            <w:noWrap w:val="0"/>
            <w:vAlign w:val="center"/>
          </w:tcPr>
          <w:p w14:paraId="489E059E">
            <w:r>
              <w:rPr>
                <w:rStyle w:val="10"/>
                <w:rFonts w:hint="eastAsia"/>
              </w:rPr>
              <w:t>质量保证期：</w:t>
            </w:r>
            <w:r>
              <w:rPr>
                <w:rStyle w:val="11"/>
                <w:rFonts w:hint="eastAsia"/>
              </w:rPr>
              <w:t>2年</w:t>
            </w:r>
          </w:p>
        </w:tc>
      </w:tr>
      <w:tr w14:paraId="534E3C51">
        <w:tblPrEx>
          <w:tblCellMar>
            <w:top w:w="0" w:type="dxa"/>
            <w:left w:w="0" w:type="dxa"/>
            <w:bottom w:w="0" w:type="dxa"/>
            <w:right w:w="0" w:type="dxa"/>
          </w:tblCellMar>
        </w:tblPrEx>
        <w:trPr>
          <w:wBefore w:w="0" w:type="auto"/>
          <w:tblCellSpacing w:w="0" w:type="dxa"/>
        </w:trPr>
        <w:tc>
          <w:tcPr>
            <w:tcW w:w="0" w:type="auto"/>
            <w:noWrap w:val="0"/>
            <w:vAlign w:val="center"/>
          </w:tcPr>
          <w:p w14:paraId="0F37F996">
            <w:r>
              <w:rPr>
                <w:rStyle w:val="10"/>
                <w:rFonts w:hint="eastAsia"/>
              </w:rPr>
              <w:t>备注：</w:t>
            </w:r>
          </w:p>
        </w:tc>
      </w:tr>
    </w:tbl>
    <w:p w14:paraId="308F116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90B41F9">
        <w:tblPrEx>
          <w:tblCellMar>
            <w:top w:w="0" w:type="dxa"/>
            <w:left w:w="0" w:type="dxa"/>
            <w:bottom w:w="0" w:type="dxa"/>
            <w:right w:w="0" w:type="dxa"/>
          </w:tblCellMar>
        </w:tblPrEx>
        <w:trPr>
          <w:wBefore w:w="0" w:type="auto"/>
          <w:tblCellSpacing w:w="0" w:type="dxa"/>
        </w:trPr>
        <w:tc>
          <w:tcPr>
            <w:tcW w:w="0" w:type="auto"/>
            <w:noWrap w:val="0"/>
            <w:vAlign w:val="center"/>
          </w:tcPr>
          <w:p w14:paraId="2131065D">
            <w:r>
              <w:rPr>
                <w:rStyle w:val="10"/>
                <w:rFonts w:hint="eastAsia"/>
              </w:rPr>
              <w:t>登记证号：</w:t>
            </w:r>
            <w:r>
              <w:rPr>
                <w:rFonts w:hint="eastAsia"/>
              </w:rPr>
              <w:t>PD20212123</w:t>
            </w:r>
          </w:p>
        </w:tc>
      </w:tr>
      <w:tr w14:paraId="49446BDB">
        <w:tblPrEx>
          <w:tblCellMar>
            <w:top w:w="0" w:type="dxa"/>
            <w:left w:w="0" w:type="dxa"/>
            <w:bottom w:w="0" w:type="dxa"/>
            <w:right w:w="0" w:type="dxa"/>
          </w:tblCellMar>
        </w:tblPrEx>
        <w:trPr>
          <w:wBefore w:w="0" w:type="auto"/>
          <w:tblCellSpacing w:w="0" w:type="dxa"/>
        </w:trPr>
        <w:tc>
          <w:tcPr>
            <w:tcW w:w="0" w:type="auto"/>
            <w:noWrap w:val="0"/>
            <w:vAlign w:val="center"/>
          </w:tcPr>
          <w:p w14:paraId="6DFE6E52">
            <w:r>
              <w:rPr>
                <w:rStyle w:val="10"/>
                <w:rFonts w:hint="eastAsia"/>
              </w:rPr>
              <w:t>登记证持有人：</w:t>
            </w:r>
            <w:r>
              <w:rPr>
                <w:rFonts w:hint="eastAsia"/>
              </w:rPr>
              <w:t>山东玥鸣生物科技有限公司</w:t>
            </w:r>
          </w:p>
        </w:tc>
      </w:tr>
      <w:tr w14:paraId="1A5A889F">
        <w:tblPrEx>
          <w:tblCellMar>
            <w:top w:w="0" w:type="dxa"/>
            <w:left w:w="0" w:type="dxa"/>
            <w:bottom w:w="0" w:type="dxa"/>
            <w:right w:w="0" w:type="dxa"/>
          </w:tblCellMar>
        </w:tblPrEx>
        <w:trPr>
          <w:wBefore w:w="0" w:type="auto"/>
          <w:tblCellSpacing w:w="0" w:type="dxa"/>
        </w:trPr>
        <w:tc>
          <w:tcPr>
            <w:tcW w:w="0" w:type="auto"/>
            <w:noWrap w:val="0"/>
            <w:vAlign w:val="center"/>
          </w:tcPr>
          <w:p w14:paraId="1CA77072">
            <w:r>
              <w:rPr>
                <w:rStyle w:val="10"/>
                <w:rFonts w:hint="eastAsia"/>
              </w:rPr>
              <w:t>农药名称：</w:t>
            </w:r>
            <w:r>
              <w:rPr>
                <w:rFonts w:hint="eastAsia"/>
              </w:rPr>
              <w:t>氟磺胺草醚</w:t>
            </w:r>
          </w:p>
        </w:tc>
      </w:tr>
      <w:tr w14:paraId="1A26F4E8">
        <w:tblPrEx>
          <w:tblCellMar>
            <w:top w:w="0" w:type="dxa"/>
            <w:left w:w="0" w:type="dxa"/>
            <w:bottom w:w="0" w:type="dxa"/>
            <w:right w:w="0" w:type="dxa"/>
          </w:tblCellMar>
        </w:tblPrEx>
        <w:trPr>
          <w:wBefore w:w="0" w:type="auto"/>
          <w:tblCellSpacing w:w="0" w:type="dxa"/>
        </w:trPr>
        <w:tc>
          <w:tcPr>
            <w:tcW w:w="0" w:type="auto"/>
            <w:noWrap w:val="0"/>
            <w:vAlign w:val="center"/>
          </w:tcPr>
          <w:p w14:paraId="7C6C0540">
            <w:r>
              <w:rPr>
                <w:rStyle w:val="10"/>
                <w:rFonts w:hint="eastAsia"/>
              </w:rPr>
              <w:t>剂型：</w:t>
            </w:r>
            <w:r>
              <w:rPr>
                <w:rFonts w:hint="eastAsia"/>
              </w:rPr>
              <w:t>微乳剂</w:t>
            </w:r>
          </w:p>
        </w:tc>
      </w:tr>
      <w:tr w14:paraId="2844C871">
        <w:tblPrEx>
          <w:tblCellMar>
            <w:top w:w="0" w:type="dxa"/>
            <w:left w:w="0" w:type="dxa"/>
            <w:bottom w:w="0" w:type="dxa"/>
            <w:right w:w="0" w:type="dxa"/>
          </w:tblCellMar>
        </w:tblPrEx>
        <w:trPr>
          <w:wBefore w:w="0" w:type="auto"/>
          <w:tblCellSpacing w:w="0" w:type="dxa"/>
        </w:trPr>
        <w:tc>
          <w:tcPr>
            <w:tcW w:w="0" w:type="auto"/>
            <w:noWrap w:val="0"/>
            <w:vAlign w:val="center"/>
          </w:tcPr>
          <w:p w14:paraId="5CD449CA">
            <w:r>
              <w:rPr>
                <w:rStyle w:val="10"/>
                <w:rFonts w:hint="eastAsia"/>
              </w:rPr>
              <w:t>毒性及其标识：</w:t>
            </w:r>
            <w:r>
              <w:rPr>
                <w:rFonts w:hint="eastAsia"/>
              </w:rPr>
              <w:t xml:space="preserve"> </w:t>
            </w:r>
            <w:r>
              <w:rPr>
                <w:lang/>
              </w:rPr>
              <w:drawing>
                <wp:inline distT="0" distB="0" distL="114300" distR="114300">
                  <wp:extent cx="476250" cy="323850"/>
                  <wp:effectExtent l="0" t="0" r="0" b="0"/>
                  <wp:docPr id="346" name="图片 34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8D8144">
        <w:tblPrEx>
          <w:tblCellMar>
            <w:top w:w="0" w:type="dxa"/>
            <w:left w:w="0" w:type="dxa"/>
            <w:bottom w:w="0" w:type="dxa"/>
            <w:right w:w="0" w:type="dxa"/>
          </w:tblCellMar>
        </w:tblPrEx>
        <w:trPr>
          <w:wBefore w:w="0" w:type="auto"/>
          <w:tblCellSpacing w:w="0" w:type="dxa"/>
        </w:trPr>
        <w:tc>
          <w:tcPr>
            <w:tcW w:w="0" w:type="auto"/>
            <w:noWrap w:val="0"/>
            <w:vAlign w:val="center"/>
          </w:tcPr>
          <w:p w14:paraId="553BA8BA">
            <w:r>
              <w:rPr>
                <w:rStyle w:val="10"/>
                <w:rFonts w:hint="eastAsia"/>
              </w:rPr>
              <w:t>总有效成分含量：</w:t>
            </w:r>
            <w:r>
              <w:rPr>
                <w:rFonts w:hint="eastAsia"/>
              </w:rPr>
              <w:t>20%</w:t>
            </w:r>
          </w:p>
        </w:tc>
      </w:tr>
      <w:tr w14:paraId="0821AEC8">
        <w:tblPrEx>
          <w:tblCellMar>
            <w:top w:w="0" w:type="dxa"/>
            <w:left w:w="0" w:type="dxa"/>
            <w:bottom w:w="0" w:type="dxa"/>
            <w:right w:w="0" w:type="dxa"/>
          </w:tblCellMar>
        </w:tblPrEx>
        <w:trPr>
          <w:wBefore w:w="0" w:type="auto"/>
          <w:tblCellSpacing w:w="0" w:type="dxa"/>
        </w:trPr>
        <w:tc>
          <w:tcPr>
            <w:tcW w:w="0" w:type="auto"/>
            <w:noWrap w:val="0"/>
            <w:vAlign w:val="center"/>
          </w:tcPr>
          <w:p w14:paraId="258B2729">
            <w:r>
              <w:rPr>
                <w:rFonts w:hint="eastAsia"/>
              </w:rPr>
              <w:t xml:space="preserve">有效成分及其含量： </w:t>
            </w:r>
          </w:p>
          <w:p w14:paraId="44F3C133">
            <w:r>
              <w:rPr>
                <w:rFonts w:hint="eastAsia"/>
              </w:rPr>
              <w:t xml:space="preserve">    氟磺胺草醚20%    </w:t>
            </w:r>
          </w:p>
        </w:tc>
      </w:tr>
      <w:tr w14:paraId="2E2FAADC">
        <w:tblPrEx>
          <w:tblCellMar>
            <w:top w:w="0" w:type="dxa"/>
            <w:left w:w="0" w:type="dxa"/>
            <w:bottom w:w="0" w:type="dxa"/>
            <w:right w:w="0" w:type="dxa"/>
          </w:tblCellMar>
        </w:tblPrEx>
        <w:trPr>
          <w:wBefore w:w="0" w:type="auto"/>
          <w:tblCellSpacing w:w="0" w:type="dxa"/>
        </w:trPr>
        <w:tc>
          <w:tcPr>
            <w:tcW w:w="0" w:type="auto"/>
            <w:noWrap w:val="0"/>
            <w:vAlign w:val="center"/>
          </w:tcPr>
          <w:p w14:paraId="3C628D1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5D4D20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74FC41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06B27C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0308BE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D730CD">
                  <w:r>
                    <w:rPr>
                      <w:rStyle w:val="11"/>
                      <w:rFonts w:hint="eastAsia"/>
                    </w:rPr>
                    <w:t>施用方式</w:t>
                  </w:r>
                </w:p>
              </w:tc>
            </w:tr>
            <w:tr w14:paraId="3083D7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BC863C2">
                  <w:r>
                    <w:rPr>
                      <w:rStyle w:val="11"/>
                      <w:rFonts w:hint="eastAsia"/>
                    </w:rPr>
                    <w:t>春大豆田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9A7F80">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4F9625">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5513A0">
                  <w:r>
                    <w:rPr>
                      <w:rStyle w:val="11"/>
                      <w:rFonts w:hint="eastAsia"/>
                    </w:rPr>
                    <w:t>茎叶喷雾</w:t>
                  </w:r>
                </w:p>
              </w:tc>
            </w:tr>
          </w:tbl>
          <w:p w14:paraId="080AB076">
            <w:pPr>
              <w:rPr>
                <w:rFonts w:ascii="Times New Roman" w:hAnsi="Times New Roman" w:cs="Times New Roman"/>
                <w:sz w:val="20"/>
                <w:szCs w:val="20"/>
              </w:rPr>
            </w:pPr>
          </w:p>
        </w:tc>
      </w:tr>
      <w:tr w14:paraId="3D7CA241">
        <w:tblPrEx>
          <w:tblCellMar>
            <w:top w:w="0" w:type="dxa"/>
            <w:left w:w="0" w:type="dxa"/>
            <w:bottom w:w="0" w:type="dxa"/>
            <w:right w:w="0" w:type="dxa"/>
          </w:tblCellMar>
        </w:tblPrEx>
        <w:trPr>
          <w:wBefore w:w="0" w:type="auto"/>
          <w:tblCellSpacing w:w="0" w:type="dxa"/>
        </w:trPr>
        <w:tc>
          <w:tcPr>
            <w:tcW w:w="0" w:type="auto"/>
            <w:noWrap w:val="0"/>
            <w:vAlign w:val="center"/>
          </w:tcPr>
          <w:p w14:paraId="13F30970">
            <w:r>
              <w:rPr>
                <w:rStyle w:val="10"/>
                <w:rFonts w:hint="eastAsia"/>
              </w:rPr>
              <w:t>使用技术要求:</w:t>
            </w:r>
            <w:r>
              <w:rPr>
                <w:rFonts w:hint="eastAsia"/>
              </w:rPr>
              <w:br w:type="textWrapping"/>
            </w:r>
            <w:r>
              <w:rPr>
                <w:rStyle w:val="11"/>
                <w:rFonts w:hint="eastAsia"/>
              </w:rPr>
              <w:t>1. 于春大豆田阔叶杂草2-4叶期茎叶喷雾施药一次。 2. 大风天或预计1小时内降雨，请勿施药。3.用药量大时会对后茬白菜、谷子、高粱、甜菜、向日葵、玉米、油菜、小麦等有不同程度的药害。4.大豆套种其他敏感作物时，勿使用本品。5.喷药时应注意风向，风速＞4米/秒停止施药，防止飘移到邻近敏感作物田。6.本品每季最多使用1次。</w:t>
            </w:r>
          </w:p>
        </w:tc>
      </w:tr>
      <w:tr w14:paraId="234A88B7">
        <w:tblPrEx>
          <w:tblCellMar>
            <w:top w:w="0" w:type="dxa"/>
            <w:left w:w="0" w:type="dxa"/>
            <w:bottom w:w="0" w:type="dxa"/>
            <w:right w:w="0" w:type="dxa"/>
          </w:tblCellMar>
        </w:tblPrEx>
        <w:trPr>
          <w:wBefore w:w="0" w:type="auto"/>
          <w:tblCellSpacing w:w="0" w:type="dxa"/>
        </w:trPr>
        <w:tc>
          <w:tcPr>
            <w:tcW w:w="0" w:type="auto"/>
            <w:noWrap w:val="0"/>
            <w:vAlign w:val="center"/>
          </w:tcPr>
          <w:p w14:paraId="0CCBFE45">
            <w:r>
              <w:rPr>
                <w:rStyle w:val="10"/>
                <w:rFonts w:hint="eastAsia"/>
              </w:rPr>
              <w:t>产品性能:</w:t>
            </w:r>
            <w:r>
              <w:rPr>
                <w:rFonts w:hint="eastAsia"/>
              </w:rPr>
              <w:br w:type="textWrapping"/>
            </w:r>
            <w:r>
              <w:rPr>
                <w:rStyle w:val="11"/>
                <w:rFonts w:hint="eastAsia"/>
              </w:rPr>
              <w:t>本品为苗后早期触杀型除草剂，可被杂草茎、叶及根吸收，破坏其光合作用，叶片黄化或有枯斑，枯萎死 亡。主要用于大豆田防除一年生阔叶杂草。</w:t>
            </w:r>
          </w:p>
        </w:tc>
      </w:tr>
      <w:tr w14:paraId="3C63B4A3">
        <w:tblPrEx>
          <w:tblCellMar>
            <w:top w:w="0" w:type="dxa"/>
            <w:left w:w="0" w:type="dxa"/>
            <w:bottom w:w="0" w:type="dxa"/>
            <w:right w:w="0" w:type="dxa"/>
          </w:tblCellMar>
        </w:tblPrEx>
        <w:trPr>
          <w:wBefore w:w="0" w:type="auto"/>
          <w:tblCellSpacing w:w="0" w:type="dxa"/>
        </w:trPr>
        <w:tc>
          <w:tcPr>
            <w:tcW w:w="0" w:type="auto"/>
            <w:noWrap w:val="0"/>
            <w:vAlign w:val="center"/>
          </w:tcPr>
          <w:p w14:paraId="56F47E1D">
            <w:r>
              <w:rPr>
                <w:rStyle w:val="10"/>
                <w:rFonts w:hint="eastAsia"/>
              </w:rPr>
              <w:t>注意事项：</w:t>
            </w:r>
            <w:r>
              <w:rPr>
                <w:rFonts w:hint="eastAsia"/>
              </w:rPr>
              <w:br w:type="textWrapping"/>
            </w:r>
            <w:r>
              <w:rPr>
                <w:rStyle w:val="11"/>
                <w:rFonts w:hint="eastAsia"/>
              </w:rPr>
              <w:t>1、本品不可与呈碱性的农药等物质混和使用。 2、本品为二苯醚类除草剂，建议与其它类型除草剂轮换用，以免使杂草产生抗药性。 3、本品为阔叶除草剂，与防禾本科杂草除草剂混用时请在当地植保部门指导下使用。 4、孕妇和哺乳期的妇女禁止接触药物。 5、本品对眼睛、皮肤有刺激性，使用时避免接触眼睛、皮肤，穿戴长衣、长裤、帽子、口罩、手套等防护措施。施药后用肥皂水洗脸、洗手等，并很好地清洗施药器械。 6、对鱼类有毒，远离水产养殖区施药，禁止在河塘等水体中清洗施药器具。7、蚕室及桑园附近禁用，鸟类保护区附近禁用。8、用过的容器应妥善处理，不可做他用，也不可随意丢弃。</w:t>
            </w:r>
          </w:p>
        </w:tc>
      </w:tr>
      <w:tr w14:paraId="2CBD733C">
        <w:tblPrEx>
          <w:tblCellMar>
            <w:top w:w="0" w:type="dxa"/>
            <w:left w:w="0" w:type="dxa"/>
            <w:bottom w:w="0" w:type="dxa"/>
            <w:right w:w="0" w:type="dxa"/>
          </w:tblCellMar>
        </w:tblPrEx>
        <w:trPr>
          <w:wBefore w:w="0" w:type="auto"/>
          <w:tblCellSpacing w:w="0" w:type="dxa"/>
        </w:trPr>
        <w:tc>
          <w:tcPr>
            <w:tcW w:w="0" w:type="auto"/>
            <w:noWrap w:val="0"/>
            <w:vAlign w:val="center"/>
          </w:tcPr>
          <w:p w14:paraId="1038C3DB">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1、皮肤接触：脱去污染的衣物，立即用大量清水和肥皂冲洗。2、眼睛溅入：立即用流动清水冲洗不少于15分钟。3、吸入：立即离开施药现场，转移到空气清新处。4、误食：立即停止服用，勿引吐，用清水充分漱口后，立即携带农药标签到医院就诊。无特效解毒剂，对症治疗。</w:t>
            </w:r>
          </w:p>
        </w:tc>
      </w:tr>
      <w:tr w14:paraId="4799563A">
        <w:tblPrEx>
          <w:tblCellMar>
            <w:top w:w="0" w:type="dxa"/>
            <w:left w:w="0" w:type="dxa"/>
            <w:bottom w:w="0" w:type="dxa"/>
            <w:right w:w="0" w:type="dxa"/>
          </w:tblCellMar>
        </w:tblPrEx>
        <w:trPr>
          <w:wBefore w:w="0" w:type="auto"/>
          <w:tblCellSpacing w:w="0" w:type="dxa"/>
        </w:trPr>
        <w:tc>
          <w:tcPr>
            <w:tcW w:w="0" w:type="auto"/>
            <w:noWrap w:val="0"/>
            <w:vAlign w:val="center"/>
          </w:tcPr>
          <w:p w14:paraId="79F60A2B">
            <w:r>
              <w:rPr>
                <w:rStyle w:val="10"/>
                <w:rFonts w:hint="eastAsia"/>
              </w:rPr>
              <w:t>储存和运输方法：</w:t>
            </w:r>
            <w:r>
              <w:rPr>
                <w:rFonts w:hint="eastAsia"/>
              </w:rPr>
              <w:br w:type="textWrapping"/>
            </w:r>
            <w:r>
              <w:rPr>
                <w:rStyle w:val="11"/>
                <w:rFonts w:hint="eastAsia"/>
              </w:rPr>
              <w:t>本品属易燃液体，应贮存在干燥、阴凉、通风、防雨处，远离火源或热源。置于儿童、无关人员及动物触及不到之处，并加锁保存。勿与食品、粮食、饮料、饲料等其他商品同贮同运。</w:t>
            </w:r>
          </w:p>
        </w:tc>
      </w:tr>
      <w:tr w14:paraId="4AABE2B4">
        <w:tblPrEx>
          <w:tblCellMar>
            <w:top w:w="0" w:type="dxa"/>
            <w:left w:w="0" w:type="dxa"/>
            <w:bottom w:w="0" w:type="dxa"/>
            <w:right w:w="0" w:type="dxa"/>
          </w:tblCellMar>
        </w:tblPrEx>
        <w:trPr>
          <w:wBefore w:w="0" w:type="auto"/>
          <w:tblCellSpacing w:w="0" w:type="dxa"/>
        </w:trPr>
        <w:tc>
          <w:tcPr>
            <w:tcW w:w="0" w:type="auto"/>
            <w:noWrap w:val="0"/>
            <w:vAlign w:val="center"/>
          </w:tcPr>
          <w:p w14:paraId="35D3AC79">
            <w:r>
              <w:rPr>
                <w:rStyle w:val="10"/>
                <w:rFonts w:hint="eastAsia"/>
              </w:rPr>
              <w:t>质量保证期：</w:t>
            </w:r>
            <w:r>
              <w:rPr>
                <w:rStyle w:val="11"/>
                <w:rFonts w:hint="eastAsia"/>
              </w:rPr>
              <w:t>2年</w:t>
            </w:r>
          </w:p>
        </w:tc>
      </w:tr>
      <w:tr w14:paraId="07D44EC0">
        <w:tblPrEx>
          <w:tblCellMar>
            <w:top w:w="0" w:type="dxa"/>
            <w:left w:w="0" w:type="dxa"/>
            <w:bottom w:w="0" w:type="dxa"/>
            <w:right w:w="0" w:type="dxa"/>
          </w:tblCellMar>
        </w:tblPrEx>
        <w:trPr>
          <w:wBefore w:w="0" w:type="auto"/>
          <w:tblCellSpacing w:w="0" w:type="dxa"/>
        </w:trPr>
        <w:tc>
          <w:tcPr>
            <w:tcW w:w="0" w:type="auto"/>
            <w:noWrap w:val="0"/>
            <w:vAlign w:val="center"/>
          </w:tcPr>
          <w:p w14:paraId="20AC6D90">
            <w:r>
              <w:rPr>
                <w:rStyle w:val="10"/>
                <w:rFonts w:hint="eastAsia"/>
              </w:rPr>
              <w:t>备注：</w:t>
            </w:r>
          </w:p>
        </w:tc>
      </w:tr>
    </w:tbl>
    <w:p w14:paraId="1F3F91E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5012B1">
        <w:tblPrEx>
          <w:tblCellMar>
            <w:top w:w="0" w:type="dxa"/>
            <w:left w:w="0" w:type="dxa"/>
            <w:bottom w:w="0" w:type="dxa"/>
            <w:right w:w="0" w:type="dxa"/>
          </w:tblCellMar>
        </w:tblPrEx>
        <w:trPr>
          <w:wBefore w:w="0" w:type="auto"/>
          <w:tblCellSpacing w:w="0" w:type="dxa"/>
        </w:trPr>
        <w:tc>
          <w:tcPr>
            <w:tcW w:w="0" w:type="auto"/>
            <w:noWrap w:val="0"/>
            <w:vAlign w:val="center"/>
          </w:tcPr>
          <w:p w14:paraId="48112804">
            <w:r>
              <w:rPr>
                <w:rStyle w:val="10"/>
                <w:rFonts w:hint="eastAsia"/>
              </w:rPr>
              <w:t>登记证号：</w:t>
            </w:r>
            <w:r>
              <w:rPr>
                <w:rFonts w:hint="eastAsia"/>
              </w:rPr>
              <w:t>PD20212175</w:t>
            </w:r>
          </w:p>
        </w:tc>
      </w:tr>
      <w:tr w14:paraId="459AFBA0">
        <w:tblPrEx>
          <w:tblCellMar>
            <w:top w:w="0" w:type="dxa"/>
            <w:left w:w="0" w:type="dxa"/>
            <w:bottom w:w="0" w:type="dxa"/>
            <w:right w:w="0" w:type="dxa"/>
          </w:tblCellMar>
        </w:tblPrEx>
        <w:trPr>
          <w:wBefore w:w="0" w:type="auto"/>
          <w:tblCellSpacing w:w="0" w:type="dxa"/>
        </w:trPr>
        <w:tc>
          <w:tcPr>
            <w:tcW w:w="0" w:type="auto"/>
            <w:noWrap w:val="0"/>
            <w:vAlign w:val="center"/>
          </w:tcPr>
          <w:p w14:paraId="66336C3F">
            <w:r>
              <w:rPr>
                <w:rStyle w:val="10"/>
                <w:rFonts w:hint="eastAsia"/>
              </w:rPr>
              <w:t>登记证持有人：</w:t>
            </w:r>
            <w:r>
              <w:rPr>
                <w:rFonts w:hint="eastAsia"/>
              </w:rPr>
              <w:t>四川百事东旺生物科技有限公司</w:t>
            </w:r>
          </w:p>
        </w:tc>
      </w:tr>
      <w:tr w14:paraId="35FBC6C8">
        <w:tblPrEx>
          <w:tblCellMar>
            <w:top w:w="0" w:type="dxa"/>
            <w:left w:w="0" w:type="dxa"/>
            <w:bottom w:w="0" w:type="dxa"/>
            <w:right w:w="0" w:type="dxa"/>
          </w:tblCellMar>
        </w:tblPrEx>
        <w:trPr>
          <w:wBefore w:w="0" w:type="auto"/>
          <w:tblCellSpacing w:w="0" w:type="dxa"/>
        </w:trPr>
        <w:tc>
          <w:tcPr>
            <w:tcW w:w="0" w:type="auto"/>
            <w:noWrap w:val="0"/>
            <w:vAlign w:val="center"/>
          </w:tcPr>
          <w:p w14:paraId="32A9B99E">
            <w:r>
              <w:rPr>
                <w:rStyle w:val="10"/>
                <w:rFonts w:hint="eastAsia"/>
              </w:rPr>
              <w:t>农药名称：</w:t>
            </w:r>
            <w:r>
              <w:rPr>
                <w:rFonts w:hint="eastAsia"/>
              </w:rPr>
              <w:t>甲嘧磺隆</w:t>
            </w:r>
          </w:p>
        </w:tc>
      </w:tr>
      <w:tr w14:paraId="49C3AD74">
        <w:tblPrEx>
          <w:tblCellMar>
            <w:top w:w="0" w:type="dxa"/>
            <w:left w:w="0" w:type="dxa"/>
            <w:bottom w:w="0" w:type="dxa"/>
            <w:right w:w="0" w:type="dxa"/>
          </w:tblCellMar>
        </w:tblPrEx>
        <w:trPr>
          <w:wBefore w:w="0" w:type="auto"/>
          <w:tblCellSpacing w:w="0" w:type="dxa"/>
        </w:trPr>
        <w:tc>
          <w:tcPr>
            <w:tcW w:w="0" w:type="auto"/>
            <w:noWrap w:val="0"/>
            <w:vAlign w:val="center"/>
          </w:tcPr>
          <w:p w14:paraId="070DE3F5">
            <w:r>
              <w:rPr>
                <w:rStyle w:val="10"/>
                <w:rFonts w:hint="eastAsia"/>
              </w:rPr>
              <w:t>剂型：</w:t>
            </w:r>
            <w:r>
              <w:rPr>
                <w:rFonts w:hint="eastAsia"/>
              </w:rPr>
              <w:t>水乳剂</w:t>
            </w:r>
          </w:p>
        </w:tc>
      </w:tr>
      <w:tr w14:paraId="536084D7">
        <w:tblPrEx>
          <w:tblCellMar>
            <w:top w:w="0" w:type="dxa"/>
            <w:left w:w="0" w:type="dxa"/>
            <w:bottom w:w="0" w:type="dxa"/>
            <w:right w:w="0" w:type="dxa"/>
          </w:tblCellMar>
        </w:tblPrEx>
        <w:trPr>
          <w:wBefore w:w="0" w:type="auto"/>
          <w:tblCellSpacing w:w="0" w:type="dxa"/>
        </w:trPr>
        <w:tc>
          <w:tcPr>
            <w:tcW w:w="0" w:type="auto"/>
            <w:noWrap w:val="0"/>
            <w:vAlign w:val="center"/>
          </w:tcPr>
          <w:p w14:paraId="5B81D1C5">
            <w:r>
              <w:rPr>
                <w:rStyle w:val="10"/>
                <w:rFonts w:hint="eastAsia"/>
              </w:rPr>
              <w:t>毒性及其标识：</w:t>
            </w:r>
            <w:r>
              <w:rPr>
                <w:rFonts w:hint="eastAsia"/>
              </w:rPr>
              <w:t xml:space="preserve"> 微毒 </w:t>
            </w:r>
          </w:p>
        </w:tc>
      </w:tr>
      <w:tr w14:paraId="3B01CA90">
        <w:tblPrEx>
          <w:tblCellMar>
            <w:top w:w="0" w:type="dxa"/>
            <w:left w:w="0" w:type="dxa"/>
            <w:bottom w:w="0" w:type="dxa"/>
            <w:right w:w="0" w:type="dxa"/>
          </w:tblCellMar>
        </w:tblPrEx>
        <w:trPr>
          <w:wBefore w:w="0" w:type="auto"/>
          <w:tblCellSpacing w:w="0" w:type="dxa"/>
        </w:trPr>
        <w:tc>
          <w:tcPr>
            <w:tcW w:w="0" w:type="auto"/>
            <w:noWrap w:val="0"/>
            <w:vAlign w:val="center"/>
          </w:tcPr>
          <w:p w14:paraId="5A6A2E6E">
            <w:r>
              <w:rPr>
                <w:rStyle w:val="10"/>
                <w:rFonts w:hint="eastAsia"/>
              </w:rPr>
              <w:t>总有效成分含量：</w:t>
            </w:r>
            <w:r>
              <w:rPr>
                <w:rFonts w:hint="eastAsia"/>
              </w:rPr>
              <w:t>5%</w:t>
            </w:r>
          </w:p>
        </w:tc>
      </w:tr>
      <w:tr w14:paraId="4BAC6215">
        <w:tblPrEx>
          <w:tblCellMar>
            <w:top w:w="0" w:type="dxa"/>
            <w:left w:w="0" w:type="dxa"/>
            <w:bottom w:w="0" w:type="dxa"/>
            <w:right w:w="0" w:type="dxa"/>
          </w:tblCellMar>
        </w:tblPrEx>
        <w:trPr>
          <w:wBefore w:w="0" w:type="auto"/>
          <w:tblCellSpacing w:w="0" w:type="dxa"/>
        </w:trPr>
        <w:tc>
          <w:tcPr>
            <w:tcW w:w="0" w:type="auto"/>
            <w:noWrap w:val="0"/>
            <w:vAlign w:val="center"/>
          </w:tcPr>
          <w:p w14:paraId="5A92A75C">
            <w:r>
              <w:rPr>
                <w:rFonts w:hint="eastAsia"/>
              </w:rPr>
              <w:t xml:space="preserve">有效成分及其含量： </w:t>
            </w:r>
          </w:p>
          <w:p w14:paraId="5935587C">
            <w:r>
              <w:rPr>
                <w:rFonts w:hint="eastAsia"/>
              </w:rPr>
              <w:t xml:space="preserve">    甲嘧磺隆5%    </w:t>
            </w:r>
          </w:p>
        </w:tc>
      </w:tr>
      <w:tr w14:paraId="60EBC990">
        <w:tblPrEx>
          <w:tblCellMar>
            <w:top w:w="0" w:type="dxa"/>
            <w:left w:w="0" w:type="dxa"/>
            <w:bottom w:w="0" w:type="dxa"/>
            <w:right w:w="0" w:type="dxa"/>
          </w:tblCellMar>
        </w:tblPrEx>
        <w:trPr>
          <w:wBefore w:w="0" w:type="auto"/>
          <w:tblCellSpacing w:w="0" w:type="dxa"/>
        </w:trPr>
        <w:tc>
          <w:tcPr>
            <w:tcW w:w="0" w:type="auto"/>
            <w:noWrap w:val="0"/>
            <w:vAlign w:val="center"/>
          </w:tcPr>
          <w:p w14:paraId="5F4C301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635764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49213B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EB70C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03F556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083B3ED">
                  <w:r>
                    <w:rPr>
                      <w:rStyle w:val="11"/>
                      <w:rFonts w:hint="eastAsia"/>
                    </w:rPr>
                    <w:t>施用方式</w:t>
                  </w:r>
                </w:p>
              </w:tc>
            </w:tr>
            <w:tr w14:paraId="491BD4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26B2E96">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D59C73">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524BB4">
                  <w:r>
                    <w:rPr>
                      <w:rStyle w:val="11"/>
                      <w:rFonts w:hint="eastAsia"/>
                    </w:rPr>
                    <w:t>500-750毫升/亩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7E4A0E">
                  <w:r>
                    <w:rPr>
                      <w:rStyle w:val="11"/>
                      <w:rFonts w:hint="eastAsia"/>
                    </w:rPr>
                    <w:t>茎叶喷雾</w:t>
                  </w:r>
                </w:p>
              </w:tc>
            </w:tr>
          </w:tbl>
          <w:p w14:paraId="0DC8A0F1">
            <w:pPr>
              <w:rPr>
                <w:rFonts w:ascii="Times New Roman" w:hAnsi="Times New Roman" w:cs="Times New Roman"/>
                <w:sz w:val="20"/>
                <w:szCs w:val="20"/>
              </w:rPr>
            </w:pPr>
          </w:p>
        </w:tc>
      </w:tr>
      <w:tr w14:paraId="290292DF">
        <w:tblPrEx>
          <w:tblCellMar>
            <w:top w:w="0" w:type="dxa"/>
            <w:left w:w="0" w:type="dxa"/>
            <w:bottom w:w="0" w:type="dxa"/>
            <w:right w:w="0" w:type="dxa"/>
          </w:tblCellMar>
        </w:tblPrEx>
        <w:trPr>
          <w:wBefore w:w="0" w:type="auto"/>
          <w:tblCellSpacing w:w="0" w:type="dxa"/>
        </w:trPr>
        <w:tc>
          <w:tcPr>
            <w:tcW w:w="0" w:type="auto"/>
            <w:noWrap w:val="0"/>
            <w:vAlign w:val="center"/>
          </w:tcPr>
          <w:p w14:paraId="6B21F93F">
            <w:r>
              <w:rPr>
                <w:rStyle w:val="10"/>
                <w:rFonts w:hint="eastAsia"/>
              </w:rPr>
              <w:t>使用技术要求:</w:t>
            </w:r>
            <w:r>
              <w:rPr>
                <w:rFonts w:hint="eastAsia"/>
              </w:rPr>
              <w:br w:type="textWrapping"/>
            </w:r>
            <w:r>
              <w:rPr>
                <w:rStyle w:val="11"/>
                <w:rFonts w:hint="eastAsia"/>
              </w:rPr>
              <w:t>1.于非耕地杂草生长旺盛期,茎叶均匀喷雾施药一次。注意喷雾均匀周到,视草害发生情况,。 2.本品对门氏黄松、美国黄松等有药害，不能使用。 3.本品为非耕地除草剂，禁止在田间道路、田埂、果树行间、休耕地、林场林地等农林业区域使用。4.本品需用清水配药，勿用浊水，以免减低药效，药后3－4小时内下雨，药效可能会降低。</w:t>
            </w:r>
          </w:p>
        </w:tc>
      </w:tr>
      <w:tr w14:paraId="5CC22FCA">
        <w:tblPrEx>
          <w:tblCellMar>
            <w:top w:w="0" w:type="dxa"/>
            <w:left w:w="0" w:type="dxa"/>
            <w:bottom w:w="0" w:type="dxa"/>
            <w:right w:w="0" w:type="dxa"/>
          </w:tblCellMar>
        </w:tblPrEx>
        <w:trPr>
          <w:wBefore w:w="0" w:type="auto"/>
          <w:tblCellSpacing w:w="0" w:type="dxa"/>
        </w:trPr>
        <w:tc>
          <w:tcPr>
            <w:tcW w:w="0" w:type="auto"/>
            <w:noWrap w:val="0"/>
            <w:vAlign w:val="center"/>
          </w:tcPr>
          <w:p w14:paraId="0DD7A4C0">
            <w:r>
              <w:rPr>
                <w:rStyle w:val="10"/>
                <w:rFonts w:hint="eastAsia"/>
              </w:rPr>
              <w:t>产品性能:</w:t>
            </w:r>
            <w:r>
              <w:rPr>
                <w:rFonts w:hint="eastAsia"/>
              </w:rPr>
              <w:br w:type="textWrapping"/>
            </w:r>
            <w:r>
              <w:rPr>
                <w:rStyle w:val="11"/>
                <w:rFonts w:hint="eastAsia"/>
              </w:rPr>
              <w:t>本品是一种酰磺脲类灭生性内吸传导型除草剂。主要通过抑制植物和根部生长端的细胞分裂，从而阻止植物生长，导致植物死亡。杀草谱广，可防除绝大多数阔叶杂草、禾本科杂草。</w:t>
            </w:r>
          </w:p>
        </w:tc>
      </w:tr>
      <w:tr w14:paraId="36AEF273">
        <w:tblPrEx>
          <w:tblCellMar>
            <w:top w:w="0" w:type="dxa"/>
            <w:left w:w="0" w:type="dxa"/>
            <w:bottom w:w="0" w:type="dxa"/>
            <w:right w:w="0" w:type="dxa"/>
          </w:tblCellMar>
        </w:tblPrEx>
        <w:trPr>
          <w:wBefore w:w="0" w:type="auto"/>
          <w:tblCellSpacing w:w="0" w:type="dxa"/>
        </w:trPr>
        <w:tc>
          <w:tcPr>
            <w:tcW w:w="0" w:type="auto"/>
            <w:noWrap w:val="0"/>
            <w:vAlign w:val="center"/>
          </w:tcPr>
          <w:p w14:paraId="1EBCF97D">
            <w:r>
              <w:rPr>
                <w:rStyle w:val="10"/>
                <w:rFonts w:hint="eastAsia"/>
              </w:rPr>
              <w:t>注意事项：</w:t>
            </w:r>
            <w:r>
              <w:rPr>
                <w:rFonts w:hint="eastAsia"/>
              </w:rPr>
              <w:br w:type="textWrapping"/>
            </w:r>
            <w:r>
              <w:rPr>
                <w:rStyle w:val="11"/>
                <w:rFonts w:hint="eastAsia"/>
              </w:rPr>
              <w:t>1.本品为酰磺脲类除草剂,建议与其他作用机制不同的除草剂轮换使用。 2.本品对蜜蜂、鱼类等生物、家蚕、鸟类有毒，施药时应避免对周围蜂群的影响、（周围）开花植物花期、蚕室和桑园附近慎用。远离水产养殖区、河塘等水体施药，禁止在河塘等水域清洗施药器具。 3.使用本品时应穿戴长衣、长裤、帽子、口罩、手套等防护措施。避免吸入药液；施药期间不可吃东西、饮水等；施药后应及时冲洗手、脸及裸露部位。 4.废弃物应避免污染水体,建议用控制焚烧法或安全掩埋法处理，不可做他用。 用过的容器应妥善处理，不可做他用，也不可随意丢弃。5.孕妇及哺乳期妇女禁止接触本品。</w:t>
            </w:r>
          </w:p>
        </w:tc>
      </w:tr>
      <w:tr w14:paraId="5D366742">
        <w:tblPrEx>
          <w:tblCellMar>
            <w:top w:w="0" w:type="dxa"/>
            <w:left w:w="0" w:type="dxa"/>
            <w:bottom w:w="0" w:type="dxa"/>
            <w:right w:w="0" w:type="dxa"/>
          </w:tblCellMar>
        </w:tblPrEx>
        <w:trPr>
          <w:wBefore w:w="0" w:type="auto"/>
          <w:tblCellSpacing w:w="0" w:type="dxa"/>
        </w:trPr>
        <w:tc>
          <w:tcPr>
            <w:tcW w:w="0" w:type="auto"/>
            <w:noWrap w:val="0"/>
            <w:vAlign w:val="center"/>
          </w:tcPr>
          <w:p w14:paraId="0A765F51">
            <w:r>
              <w:rPr>
                <w:rStyle w:val="10"/>
                <w:rFonts w:hint="eastAsia"/>
              </w:rPr>
              <w:t>中毒急救措施：</w:t>
            </w:r>
            <w:r>
              <w:rPr>
                <w:rFonts w:hint="eastAsia"/>
              </w:rPr>
              <w:br w:type="textWrapping"/>
            </w:r>
            <w:r>
              <w:rPr>
                <w:rStyle w:val="11"/>
                <w:rFonts w:hint="eastAsia"/>
              </w:rPr>
              <w:t>对皮肤和眼睛有轻微刺激作用。 不慎吸入，应将病人移至空气流通处。溅入眼睛中，用大量清水冲洗至少15分钟，仍有不适时，就医。皮肤接触，用清水及肥皂洗干净。误服，立即携此标签将病人送医院，对症治疗。无特效解毒剂。</w:t>
            </w:r>
          </w:p>
        </w:tc>
      </w:tr>
      <w:tr w14:paraId="44FBDE3B">
        <w:tblPrEx>
          <w:tblCellMar>
            <w:top w:w="0" w:type="dxa"/>
            <w:left w:w="0" w:type="dxa"/>
            <w:bottom w:w="0" w:type="dxa"/>
            <w:right w:w="0" w:type="dxa"/>
          </w:tblCellMar>
        </w:tblPrEx>
        <w:trPr>
          <w:wBefore w:w="0" w:type="auto"/>
          <w:tblCellSpacing w:w="0" w:type="dxa"/>
        </w:trPr>
        <w:tc>
          <w:tcPr>
            <w:tcW w:w="0" w:type="auto"/>
            <w:noWrap w:val="0"/>
            <w:vAlign w:val="center"/>
          </w:tcPr>
          <w:p w14:paraId="5DFF9E6E">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本品应贮存在干燥、阴凉、通风、防雨处，远离火源或热源。置于儿童、无关人员触及不到之处，并加锁保存。勿与食品、饮料、粮食、饲料等其他商品同贮同运。</w:t>
            </w:r>
          </w:p>
        </w:tc>
      </w:tr>
      <w:tr w14:paraId="7E21B7E9">
        <w:tblPrEx>
          <w:tblCellMar>
            <w:top w:w="0" w:type="dxa"/>
            <w:left w:w="0" w:type="dxa"/>
            <w:bottom w:w="0" w:type="dxa"/>
            <w:right w:w="0" w:type="dxa"/>
          </w:tblCellMar>
        </w:tblPrEx>
        <w:trPr>
          <w:wBefore w:w="0" w:type="auto"/>
          <w:tblCellSpacing w:w="0" w:type="dxa"/>
        </w:trPr>
        <w:tc>
          <w:tcPr>
            <w:tcW w:w="0" w:type="auto"/>
            <w:noWrap w:val="0"/>
            <w:vAlign w:val="center"/>
          </w:tcPr>
          <w:p w14:paraId="240120D3">
            <w:r>
              <w:rPr>
                <w:rStyle w:val="10"/>
                <w:rFonts w:hint="eastAsia"/>
              </w:rPr>
              <w:t>质量保证期：</w:t>
            </w:r>
            <w:r>
              <w:rPr>
                <w:rStyle w:val="11"/>
                <w:rFonts w:hint="eastAsia"/>
              </w:rPr>
              <w:t>2年</w:t>
            </w:r>
          </w:p>
        </w:tc>
      </w:tr>
      <w:tr w14:paraId="12D4D9CA">
        <w:tblPrEx>
          <w:tblCellMar>
            <w:top w:w="0" w:type="dxa"/>
            <w:left w:w="0" w:type="dxa"/>
            <w:bottom w:w="0" w:type="dxa"/>
            <w:right w:w="0" w:type="dxa"/>
          </w:tblCellMar>
        </w:tblPrEx>
        <w:trPr>
          <w:wBefore w:w="0" w:type="auto"/>
          <w:tblCellSpacing w:w="0" w:type="dxa"/>
        </w:trPr>
        <w:tc>
          <w:tcPr>
            <w:tcW w:w="0" w:type="auto"/>
            <w:noWrap w:val="0"/>
            <w:vAlign w:val="center"/>
          </w:tcPr>
          <w:p w14:paraId="1B1F0BD9">
            <w:r>
              <w:rPr>
                <w:rStyle w:val="10"/>
                <w:rFonts w:hint="eastAsia"/>
              </w:rPr>
              <w:t>备注：</w:t>
            </w:r>
          </w:p>
        </w:tc>
      </w:tr>
    </w:tbl>
    <w:p w14:paraId="0570634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4AC351B">
        <w:tblPrEx>
          <w:tblCellMar>
            <w:top w:w="0" w:type="dxa"/>
            <w:left w:w="0" w:type="dxa"/>
            <w:bottom w:w="0" w:type="dxa"/>
            <w:right w:w="0" w:type="dxa"/>
          </w:tblCellMar>
        </w:tblPrEx>
        <w:trPr>
          <w:wBefore w:w="0" w:type="auto"/>
          <w:tblCellSpacing w:w="0" w:type="dxa"/>
        </w:trPr>
        <w:tc>
          <w:tcPr>
            <w:tcW w:w="0" w:type="auto"/>
            <w:noWrap w:val="0"/>
            <w:vAlign w:val="center"/>
          </w:tcPr>
          <w:p w14:paraId="3C9DBFB1">
            <w:r>
              <w:rPr>
                <w:rStyle w:val="10"/>
                <w:rFonts w:hint="eastAsia"/>
              </w:rPr>
              <w:t>登记证号：</w:t>
            </w:r>
            <w:r>
              <w:rPr>
                <w:rFonts w:hint="eastAsia"/>
              </w:rPr>
              <w:t>PD20211814</w:t>
            </w:r>
          </w:p>
        </w:tc>
      </w:tr>
      <w:tr w14:paraId="53617FD4">
        <w:tblPrEx>
          <w:tblCellMar>
            <w:top w:w="0" w:type="dxa"/>
            <w:left w:w="0" w:type="dxa"/>
            <w:bottom w:w="0" w:type="dxa"/>
            <w:right w:w="0" w:type="dxa"/>
          </w:tblCellMar>
        </w:tblPrEx>
        <w:trPr>
          <w:wBefore w:w="0" w:type="auto"/>
          <w:tblCellSpacing w:w="0" w:type="dxa"/>
        </w:trPr>
        <w:tc>
          <w:tcPr>
            <w:tcW w:w="0" w:type="auto"/>
            <w:noWrap w:val="0"/>
            <w:vAlign w:val="center"/>
          </w:tcPr>
          <w:p w14:paraId="7AF48639">
            <w:r>
              <w:rPr>
                <w:rStyle w:val="10"/>
                <w:rFonts w:hint="eastAsia"/>
              </w:rPr>
              <w:t>登记证持有人：</w:t>
            </w:r>
            <w:r>
              <w:rPr>
                <w:rFonts w:hint="eastAsia"/>
              </w:rPr>
              <w:t>河南蕴农植保科技有限公司</w:t>
            </w:r>
          </w:p>
        </w:tc>
      </w:tr>
      <w:tr w14:paraId="6C0ED337">
        <w:tblPrEx>
          <w:tblCellMar>
            <w:top w:w="0" w:type="dxa"/>
            <w:left w:w="0" w:type="dxa"/>
            <w:bottom w:w="0" w:type="dxa"/>
            <w:right w:w="0" w:type="dxa"/>
          </w:tblCellMar>
        </w:tblPrEx>
        <w:trPr>
          <w:wBefore w:w="0" w:type="auto"/>
          <w:tblCellSpacing w:w="0" w:type="dxa"/>
        </w:trPr>
        <w:tc>
          <w:tcPr>
            <w:tcW w:w="0" w:type="auto"/>
            <w:noWrap w:val="0"/>
            <w:vAlign w:val="center"/>
          </w:tcPr>
          <w:p w14:paraId="3ECA4D4B">
            <w:r>
              <w:rPr>
                <w:rStyle w:val="10"/>
                <w:rFonts w:hint="eastAsia"/>
              </w:rPr>
              <w:t>农药名称：</w:t>
            </w:r>
            <w:r>
              <w:rPr>
                <w:rFonts w:hint="eastAsia"/>
              </w:rPr>
              <w:t>联苯·噻虫胺</w:t>
            </w:r>
          </w:p>
        </w:tc>
      </w:tr>
      <w:tr w14:paraId="0D085627">
        <w:tblPrEx>
          <w:tblCellMar>
            <w:top w:w="0" w:type="dxa"/>
            <w:left w:w="0" w:type="dxa"/>
            <w:bottom w:w="0" w:type="dxa"/>
            <w:right w:w="0" w:type="dxa"/>
          </w:tblCellMar>
        </w:tblPrEx>
        <w:trPr>
          <w:wBefore w:w="0" w:type="auto"/>
          <w:tblCellSpacing w:w="0" w:type="dxa"/>
        </w:trPr>
        <w:tc>
          <w:tcPr>
            <w:tcW w:w="0" w:type="auto"/>
            <w:noWrap w:val="0"/>
            <w:vAlign w:val="center"/>
          </w:tcPr>
          <w:p w14:paraId="23A31630">
            <w:r>
              <w:rPr>
                <w:rStyle w:val="10"/>
                <w:rFonts w:hint="eastAsia"/>
              </w:rPr>
              <w:t>剂型：</w:t>
            </w:r>
            <w:r>
              <w:rPr>
                <w:rFonts w:hint="eastAsia"/>
              </w:rPr>
              <w:t>颗粒剂</w:t>
            </w:r>
          </w:p>
        </w:tc>
      </w:tr>
      <w:tr w14:paraId="65B4A9CA">
        <w:tblPrEx>
          <w:tblCellMar>
            <w:top w:w="0" w:type="dxa"/>
            <w:left w:w="0" w:type="dxa"/>
            <w:bottom w:w="0" w:type="dxa"/>
            <w:right w:w="0" w:type="dxa"/>
          </w:tblCellMar>
        </w:tblPrEx>
        <w:trPr>
          <w:wBefore w:w="0" w:type="auto"/>
          <w:tblCellSpacing w:w="0" w:type="dxa"/>
        </w:trPr>
        <w:tc>
          <w:tcPr>
            <w:tcW w:w="0" w:type="auto"/>
            <w:noWrap w:val="0"/>
            <w:vAlign w:val="center"/>
          </w:tcPr>
          <w:p w14:paraId="56916761">
            <w:r>
              <w:rPr>
                <w:rStyle w:val="10"/>
                <w:rFonts w:hint="eastAsia"/>
              </w:rPr>
              <w:t>毒性及其标识：</w:t>
            </w:r>
            <w:r>
              <w:rPr>
                <w:rFonts w:hint="eastAsia"/>
              </w:rPr>
              <w:t xml:space="preserve"> 微毒 </w:t>
            </w:r>
          </w:p>
        </w:tc>
      </w:tr>
      <w:tr w14:paraId="46D42CC3">
        <w:tblPrEx>
          <w:tblCellMar>
            <w:top w:w="0" w:type="dxa"/>
            <w:left w:w="0" w:type="dxa"/>
            <w:bottom w:w="0" w:type="dxa"/>
            <w:right w:w="0" w:type="dxa"/>
          </w:tblCellMar>
        </w:tblPrEx>
        <w:trPr>
          <w:wBefore w:w="0" w:type="auto"/>
          <w:tblCellSpacing w:w="0" w:type="dxa"/>
        </w:trPr>
        <w:tc>
          <w:tcPr>
            <w:tcW w:w="0" w:type="auto"/>
            <w:noWrap w:val="0"/>
            <w:vAlign w:val="center"/>
          </w:tcPr>
          <w:p w14:paraId="19E4BF4A">
            <w:r>
              <w:rPr>
                <w:rStyle w:val="10"/>
                <w:rFonts w:hint="eastAsia"/>
              </w:rPr>
              <w:t>总有效成分含量：</w:t>
            </w:r>
            <w:r>
              <w:rPr>
                <w:rFonts w:hint="eastAsia"/>
              </w:rPr>
              <w:t>2%</w:t>
            </w:r>
          </w:p>
        </w:tc>
      </w:tr>
      <w:tr w14:paraId="583BA3CE">
        <w:tblPrEx>
          <w:tblCellMar>
            <w:top w:w="0" w:type="dxa"/>
            <w:left w:w="0" w:type="dxa"/>
            <w:bottom w:w="0" w:type="dxa"/>
            <w:right w:w="0" w:type="dxa"/>
          </w:tblCellMar>
        </w:tblPrEx>
        <w:trPr>
          <w:wBefore w:w="0" w:type="auto"/>
          <w:tblCellSpacing w:w="0" w:type="dxa"/>
        </w:trPr>
        <w:tc>
          <w:tcPr>
            <w:tcW w:w="0" w:type="auto"/>
            <w:noWrap w:val="0"/>
            <w:vAlign w:val="center"/>
          </w:tcPr>
          <w:p w14:paraId="3F403A84">
            <w:r>
              <w:rPr>
                <w:rFonts w:hint="eastAsia"/>
              </w:rPr>
              <w:t xml:space="preserve">有效成分及其含量： </w:t>
            </w:r>
          </w:p>
          <w:p w14:paraId="2BA0BC72">
            <w:r>
              <w:rPr>
                <w:rFonts w:hint="eastAsia"/>
              </w:rPr>
              <w:t xml:space="preserve">    联苯菊酯1%    噻虫胺1%    </w:t>
            </w:r>
          </w:p>
        </w:tc>
      </w:tr>
      <w:tr w14:paraId="36B6FBCF">
        <w:tblPrEx>
          <w:tblCellMar>
            <w:top w:w="0" w:type="dxa"/>
            <w:left w:w="0" w:type="dxa"/>
            <w:bottom w:w="0" w:type="dxa"/>
            <w:right w:w="0" w:type="dxa"/>
          </w:tblCellMar>
        </w:tblPrEx>
        <w:trPr>
          <w:wBefore w:w="0" w:type="auto"/>
          <w:tblCellSpacing w:w="0" w:type="dxa"/>
        </w:trPr>
        <w:tc>
          <w:tcPr>
            <w:tcW w:w="0" w:type="auto"/>
            <w:noWrap w:val="0"/>
            <w:vAlign w:val="center"/>
          </w:tcPr>
          <w:p w14:paraId="5DEE3C0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91E3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E63956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DD4A3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A5BF8D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923A319">
                  <w:r>
                    <w:rPr>
                      <w:rStyle w:val="11"/>
                      <w:rFonts w:hint="eastAsia"/>
                    </w:rPr>
                    <w:t>施用方式</w:t>
                  </w:r>
                </w:p>
              </w:tc>
            </w:tr>
            <w:tr w14:paraId="5823F6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EE61772">
                  <w:r>
                    <w:rPr>
                      <w:rStyle w:val="11"/>
                      <w:rFonts w:hint="eastAsia"/>
                    </w:rPr>
                    <w:t>韭菜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B4F770">
                  <w:r>
                    <w:rPr>
                      <w:rStyle w:val="11"/>
                      <w:rFonts w:hint="eastAsia"/>
                    </w:rPr>
                    <w:t>韭蛆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1CBCCD">
                  <w:r>
                    <w:rPr>
                      <w:rStyle w:val="11"/>
                      <w:rFonts w:hint="eastAsia"/>
                    </w:rPr>
                    <w:t>1500-2000克/亩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1A000E">
                  <w:r>
                    <w:rPr>
                      <w:rStyle w:val="11"/>
                      <w:rFonts w:hint="eastAsia"/>
                    </w:rPr>
                    <w:t>撒施</w:t>
                  </w:r>
                </w:p>
              </w:tc>
            </w:tr>
          </w:tbl>
          <w:p w14:paraId="7452620E">
            <w:pPr>
              <w:rPr>
                <w:rFonts w:ascii="Times New Roman" w:hAnsi="Times New Roman" w:cs="Times New Roman"/>
                <w:sz w:val="20"/>
                <w:szCs w:val="20"/>
              </w:rPr>
            </w:pPr>
          </w:p>
        </w:tc>
      </w:tr>
      <w:tr w14:paraId="1ADA1C85">
        <w:tblPrEx>
          <w:tblCellMar>
            <w:top w:w="0" w:type="dxa"/>
            <w:left w:w="0" w:type="dxa"/>
            <w:bottom w:w="0" w:type="dxa"/>
            <w:right w:w="0" w:type="dxa"/>
          </w:tblCellMar>
        </w:tblPrEx>
        <w:trPr>
          <w:wBefore w:w="0" w:type="auto"/>
          <w:tblCellSpacing w:w="0" w:type="dxa"/>
        </w:trPr>
        <w:tc>
          <w:tcPr>
            <w:tcW w:w="0" w:type="auto"/>
            <w:noWrap w:val="0"/>
            <w:vAlign w:val="center"/>
          </w:tcPr>
          <w:p w14:paraId="03D07ABE">
            <w:r>
              <w:rPr>
                <w:rStyle w:val="10"/>
                <w:rFonts w:hint="eastAsia"/>
              </w:rPr>
              <w:t>使用技术要求:</w:t>
            </w:r>
            <w:r>
              <w:rPr>
                <w:rFonts w:hint="eastAsia"/>
              </w:rPr>
              <w:br w:type="textWrapping"/>
            </w:r>
            <w:r>
              <w:rPr>
                <w:rStyle w:val="11"/>
                <w:rFonts w:hint="eastAsia"/>
              </w:rPr>
              <w:t>1. 本品应在韭菜韭蛆发生初期，均匀撒施一次，撒施后覆土。每季作物最多使用1次，安全间隔期为14天。 2.在大风天或预计1小时内降雨，请勿施药。</w:t>
            </w:r>
          </w:p>
        </w:tc>
      </w:tr>
      <w:tr w14:paraId="19A529C1">
        <w:tblPrEx>
          <w:tblCellMar>
            <w:top w:w="0" w:type="dxa"/>
            <w:left w:w="0" w:type="dxa"/>
            <w:bottom w:w="0" w:type="dxa"/>
            <w:right w:w="0" w:type="dxa"/>
          </w:tblCellMar>
        </w:tblPrEx>
        <w:trPr>
          <w:wBefore w:w="0" w:type="auto"/>
          <w:tblCellSpacing w:w="0" w:type="dxa"/>
        </w:trPr>
        <w:tc>
          <w:tcPr>
            <w:tcW w:w="0" w:type="auto"/>
            <w:noWrap w:val="0"/>
            <w:vAlign w:val="center"/>
          </w:tcPr>
          <w:p w14:paraId="0FF6B979">
            <w:r>
              <w:rPr>
                <w:rStyle w:val="10"/>
                <w:rFonts w:hint="eastAsia"/>
              </w:rPr>
              <w:t>产品性能:</w:t>
            </w:r>
            <w:r>
              <w:rPr>
                <w:rFonts w:hint="eastAsia"/>
              </w:rPr>
              <w:br w:type="textWrapping"/>
            </w:r>
            <w:r>
              <w:rPr>
                <w:rStyle w:val="11"/>
                <w:rFonts w:hint="eastAsia"/>
              </w:rPr>
              <w:t>本品两种不同作用机理的有效成分联苯菊酯和噻虫胺二元复配的杀虫剂。联苯菊酯是拟除虫菊酯类杀虫、杀螨剂。噻虫胺是新型氯代烟碱类杀虫剂，二者混配具有内吸、触杀和胃毒的作用，两者复配可有效防治韭菜韭蛆。</w:t>
            </w:r>
          </w:p>
        </w:tc>
      </w:tr>
      <w:tr w14:paraId="0FE2D2D9">
        <w:tblPrEx>
          <w:tblCellMar>
            <w:top w:w="0" w:type="dxa"/>
            <w:left w:w="0" w:type="dxa"/>
            <w:bottom w:w="0" w:type="dxa"/>
            <w:right w:w="0" w:type="dxa"/>
          </w:tblCellMar>
        </w:tblPrEx>
        <w:trPr>
          <w:wBefore w:w="0" w:type="auto"/>
          <w:tblCellSpacing w:w="0" w:type="dxa"/>
        </w:trPr>
        <w:tc>
          <w:tcPr>
            <w:tcW w:w="0" w:type="auto"/>
            <w:noWrap w:val="0"/>
            <w:vAlign w:val="center"/>
          </w:tcPr>
          <w:p w14:paraId="16B8B58D">
            <w:r>
              <w:rPr>
                <w:rStyle w:val="10"/>
                <w:rFonts w:hint="eastAsia"/>
              </w:rPr>
              <w:t>注意事项：</w:t>
            </w:r>
            <w:r>
              <w:rPr>
                <w:rFonts w:hint="eastAsia"/>
              </w:rPr>
              <w:br w:type="textWrapping"/>
            </w:r>
            <w:r>
              <w:rPr>
                <w:rStyle w:val="11"/>
                <w:rFonts w:hint="eastAsia"/>
              </w:rPr>
              <w:t>1.建议与其他作用机制不同的杀虫剂轮换使用，以延缓抗性产生。本品不可与其它碱性农药等物质混合使用。2.水产养殖区、河塘等水体附近禁用，禁止在河塘等水体中清洗施药器具。药液及其废液不得污染各类水域、土壤等环境。对蜜蜂有毒，（周围）开花植物花期禁用，使用时应密切关注对附近蜂群的影响。施药3日前告知所在地及邻近3000米以内的养蜂者。使用时应密切关注对附近蜂群及土壤生物的影响。撒施后立即覆土，在鸟类保护区禁用该制剂等。不在寄生性/捕食性天敌发生高峰期使用本产品。3. 本品对眼睛有刺激性，使用时避免接触眼睛，穿戴长衣、长裤、帽子、口罩、手套等安全防护措施。严禁抽烟或饮食；在施药过程中，避免药剂接触皮肤、眼睛和污染衣物，避免吸入药液；施药后应用肥皂和清水彻底清洗暴露在外的皮肤，并及时更换衣物。4.用药后包装物及用过的容器应妥善处理，不可做他用，也不可随意丢弃。5.儿童、孕妇及哺乳期妇女禁止接触本品。</w:t>
            </w:r>
          </w:p>
        </w:tc>
      </w:tr>
      <w:tr w14:paraId="45A15226">
        <w:tblPrEx>
          <w:tblCellMar>
            <w:top w:w="0" w:type="dxa"/>
            <w:left w:w="0" w:type="dxa"/>
            <w:bottom w:w="0" w:type="dxa"/>
            <w:right w:w="0" w:type="dxa"/>
          </w:tblCellMar>
        </w:tblPrEx>
        <w:trPr>
          <w:wBefore w:w="0" w:type="auto"/>
          <w:tblCellSpacing w:w="0" w:type="dxa"/>
        </w:trPr>
        <w:tc>
          <w:tcPr>
            <w:tcW w:w="0" w:type="auto"/>
            <w:noWrap w:val="0"/>
            <w:vAlign w:val="center"/>
          </w:tcPr>
          <w:p w14:paraId="63623EA6">
            <w:r>
              <w:rPr>
                <w:rStyle w:val="10"/>
                <w:rFonts w:hint="eastAsia"/>
              </w:rPr>
              <w:t>中毒急救措施：</w:t>
            </w:r>
            <w:r>
              <w:rPr>
                <w:rFonts w:hint="eastAsia"/>
              </w:rPr>
              <w:br w:type="textWrapping"/>
            </w:r>
            <w:r>
              <w:rPr>
                <w:rStyle w:val="11"/>
                <w:rFonts w:hint="eastAsia"/>
              </w:rPr>
              <w:t>中毒症状：中毒症状：如因疏忽或误用而发生中毒现象 (接触部位皮肤感到刺痛，但无红斑，尤其在口、鼻周围。接触量大时也会引起头痛，头昏，恶心呕吐，双手颤抖，重者抽搐或惊厥、昏迷、休克) 时，请立即携此标签就医。无特殊解毒剂，对症治疗。 急救措施：用药时或用药后如果感觉不适，立即停止工作，采取急救措施，并携此标签送医就诊。皮肤接触：立即脱掉被污染的衣物，用肥皂和大量清水彻底清洗受污染的皮肤，必要时请医生诊治。眼睛溅药：立即将眼睑翻开，用清水冲洗至少15分钟，请医生诊治。发生吸入：立即将吸入者转移到空气新鲜处，请医生诊治。误服：请勿引吐，立即携带标签送医就诊，无专用解毒剂，对症治疗。</w:t>
            </w:r>
          </w:p>
        </w:tc>
      </w:tr>
      <w:tr w14:paraId="0815C932">
        <w:tblPrEx>
          <w:tblCellMar>
            <w:top w:w="0" w:type="dxa"/>
            <w:left w:w="0" w:type="dxa"/>
            <w:bottom w:w="0" w:type="dxa"/>
            <w:right w:w="0" w:type="dxa"/>
          </w:tblCellMar>
        </w:tblPrEx>
        <w:trPr>
          <w:wBefore w:w="0" w:type="auto"/>
          <w:tblCellSpacing w:w="0" w:type="dxa"/>
        </w:trPr>
        <w:tc>
          <w:tcPr>
            <w:tcW w:w="0" w:type="auto"/>
            <w:noWrap w:val="0"/>
            <w:vAlign w:val="center"/>
          </w:tcPr>
          <w:p w14:paraId="3D5CD8DA">
            <w:r>
              <w:rPr>
                <w:rStyle w:val="10"/>
                <w:rFonts w:hint="eastAsia"/>
              </w:rPr>
              <w:t>储存和运输方法：</w:t>
            </w:r>
            <w:r>
              <w:rPr>
                <w:rFonts w:hint="eastAsia"/>
              </w:rPr>
              <w:br w:type="textWrapping"/>
            </w:r>
            <w:r>
              <w:rPr>
                <w:rStyle w:val="11"/>
                <w:rFonts w:hint="eastAsia"/>
              </w:rPr>
              <w:t>1.本品应贮存在干燥、阴凉、通风、防雨处，远离火源或热源。2.置于儿童、无关人员及动物触及不到之处，并加锁保存。3.勿与食品、饮料、粮食、饲料等其它商品同贮同运。4.运输时防雨防潮，装卸时轻卸轻放。</w:t>
            </w:r>
          </w:p>
        </w:tc>
      </w:tr>
      <w:tr w14:paraId="54077BA7">
        <w:tblPrEx>
          <w:tblCellMar>
            <w:top w:w="0" w:type="dxa"/>
            <w:left w:w="0" w:type="dxa"/>
            <w:bottom w:w="0" w:type="dxa"/>
            <w:right w:w="0" w:type="dxa"/>
          </w:tblCellMar>
        </w:tblPrEx>
        <w:trPr>
          <w:wBefore w:w="0" w:type="auto"/>
          <w:tblCellSpacing w:w="0" w:type="dxa"/>
        </w:trPr>
        <w:tc>
          <w:tcPr>
            <w:tcW w:w="0" w:type="auto"/>
            <w:noWrap w:val="0"/>
            <w:vAlign w:val="center"/>
          </w:tcPr>
          <w:p w14:paraId="060FD1D9">
            <w:r>
              <w:rPr>
                <w:rStyle w:val="10"/>
                <w:rFonts w:hint="eastAsia"/>
              </w:rPr>
              <w:t>质量保证期：</w:t>
            </w:r>
            <w:r>
              <w:rPr>
                <w:rStyle w:val="11"/>
                <w:rFonts w:hint="eastAsia"/>
              </w:rPr>
              <w:t>2年</w:t>
            </w:r>
          </w:p>
        </w:tc>
      </w:tr>
      <w:tr w14:paraId="3A388715">
        <w:tblPrEx>
          <w:tblCellMar>
            <w:top w:w="0" w:type="dxa"/>
            <w:left w:w="0" w:type="dxa"/>
            <w:bottom w:w="0" w:type="dxa"/>
            <w:right w:w="0" w:type="dxa"/>
          </w:tblCellMar>
        </w:tblPrEx>
        <w:trPr>
          <w:wBefore w:w="0" w:type="auto"/>
          <w:tblCellSpacing w:w="0" w:type="dxa"/>
        </w:trPr>
        <w:tc>
          <w:tcPr>
            <w:tcW w:w="0" w:type="auto"/>
            <w:noWrap w:val="0"/>
            <w:vAlign w:val="center"/>
          </w:tcPr>
          <w:p w14:paraId="22A9AB74">
            <w:r>
              <w:rPr>
                <w:rStyle w:val="10"/>
                <w:rFonts w:hint="eastAsia"/>
              </w:rPr>
              <w:t>备注：</w:t>
            </w:r>
          </w:p>
        </w:tc>
      </w:tr>
    </w:tbl>
    <w:p w14:paraId="37376EF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08426B9">
        <w:tblPrEx>
          <w:tblCellMar>
            <w:top w:w="0" w:type="dxa"/>
            <w:left w:w="0" w:type="dxa"/>
            <w:bottom w:w="0" w:type="dxa"/>
            <w:right w:w="0" w:type="dxa"/>
          </w:tblCellMar>
        </w:tblPrEx>
        <w:trPr>
          <w:wBefore w:w="0" w:type="auto"/>
          <w:tblCellSpacing w:w="0" w:type="dxa"/>
        </w:trPr>
        <w:tc>
          <w:tcPr>
            <w:tcW w:w="0" w:type="auto"/>
            <w:noWrap w:val="0"/>
            <w:vAlign w:val="center"/>
          </w:tcPr>
          <w:p w14:paraId="32F3E1FC">
            <w:r>
              <w:rPr>
                <w:rStyle w:val="10"/>
                <w:rFonts w:hint="eastAsia"/>
              </w:rPr>
              <w:t>登记证号：</w:t>
            </w:r>
            <w:r>
              <w:rPr>
                <w:rFonts w:hint="eastAsia"/>
              </w:rPr>
              <w:t>PD20211953</w:t>
            </w:r>
          </w:p>
        </w:tc>
      </w:tr>
      <w:tr w14:paraId="20DEDA9A">
        <w:tblPrEx>
          <w:tblCellMar>
            <w:top w:w="0" w:type="dxa"/>
            <w:left w:w="0" w:type="dxa"/>
            <w:bottom w:w="0" w:type="dxa"/>
            <w:right w:w="0" w:type="dxa"/>
          </w:tblCellMar>
        </w:tblPrEx>
        <w:trPr>
          <w:wBefore w:w="0" w:type="auto"/>
          <w:tblCellSpacing w:w="0" w:type="dxa"/>
        </w:trPr>
        <w:tc>
          <w:tcPr>
            <w:tcW w:w="0" w:type="auto"/>
            <w:noWrap w:val="0"/>
            <w:vAlign w:val="center"/>
          </w:tcPr>
          <w:p w14:paraId="55BD5947">
            <w:r>
              <w:rPr>
                <w:rStyle w:val="10"/>
                <w:rFonts w:hint="eastAsia"/>
              </w:rPr>
              <w:t>登记证持有人：</w:t>
            </w:r>
            <w:r>
              <w:rPr>
                <w:rFonts w:hint="eastAsia"/>
              </w:rPr>
              <w:t>河南锦绣之星作物保护有限公司</w:t>
            </w:r>
          </w:p>
        </w:tc>
      </w:tr>
      <w:tr w14:paraId="00B57BB0">
        <w:tblPrEx>
          <w:tblCellMar>
            <w:top w:w="0" w:type="dxa"/>
            <w:left w:w="0" w:type="dxa"/>
            <w:bottom w:w="0" w:type="dxa"/>
            <w:right w:w="0" w:type="dxa"/>
          </w:tblCellMar>
        </w:tblPrEx>
        <w:trPr>
          <w:wBefore w:w="0" w:type="auto"/>
          <w:tblCellSpacing w:w="0" w:type="dxa"/>
        </w:trPr>
        <w:tc>
          <w:tcPr>
            <w:tcW w:w="0" w:type="auto"/>
            <w:noWrap w:val="0"/>
            <w:vAlign w:val="center"/>
          </w:tcPr>
          <w:p w14:paraId="6269ED09">
            <w:r>
              <w:rPr>
                <w:rStyle w:val="10"/>
                <w:rFonts w:hint="eastAsia"/>
              </w:rPr>
              <w:t>农药名称：</w:t>
            </w:r>
            <w:r>
              <w:rPr>
                <w:rFonts w:hint="eastAsia"/>
              </w:rPr>
              <w:t>萎锈·福美双</w:t>
            </w:r>
          </w:p>
        </w:tc>
      </w:tr>
      <w:tr w14:paraId="3DC5E4DB">
        <w:tblPrEx>
          <w:tblCellMar>
            <w:top w:w="0" w:type="dxa"/>
            <w:left w:w="0" w:type="dxa"/>
            <w:bottom w:w="0" w:type="dxa"/>
            <w:right w:w="0" w:type="dxa"/>
          </w:tblCellMar>
        </w:tblPrEx>
        <w:trPr>
          <w:wBefore w:w="0" w:type="auto"/>
          <w:tblCellSpacing w:w="0" w:type="dxa"/>
        </w:trPr>
        <w:tc>
          <w:tcPr>
            <w:tcW w:w="0" w:type="auto"/>
            <w:noWrap w:val="0"/>
            <w:vAlign w:val="center"/>
          </w:tcPr>
          <w:p w14:paraId="2FCB9B9C">
            <w:r>
              <w:rPr>
                <w:rStyle w:val="10"/>
                <w:rFonts w:hint="eastAsia"/>
              </w:rPr>
              <w:t>剂型：</w:t>
            </w:r>
            <w:r>
              <w:rPr>
                <w:rFonts w:hint="eastAsia"/>
              </w:rPr>
              <w:t>种子处理悬浮剂</w:t>
            </w:r>
          </w:p>
        </w:tc>
      </w:tr>
      <w:tr w14:paraId="095829C8">
        <w:tblPrEx>
          <w:tblCellMar>
            <w:top w:w="0" w:type="dxa"/>
            <w:left w:w="0" w:type="dxa"/>
            <w:bottom w:w="0" w:type="dxa"/>
            <w:right w:w="0" w:type="dxa"/>
          </w:tblCellMar>
        </w:tblPrEx>
        <w:trPr>
          <w:wBefore w:w="0" w:type="auto"/>
          <w:tblCellSpacing w:w="0" w:type="dxa"/>
        </w:trPr>
        <w:tc>
          <w:tcPr>
            <w:tcW w:w="0" w:type="auto"/>
            <w:noWrap w:val="0"/>
            <w:vAlign w:val="center"/>
          </w:tcPr>
          <w:p w14:paraId="1E28FFC6">
            <w:r>
              <w:rPr>
                <w:rStyle w:val="10"/>
                <w:rFonts w:hint="eastAsia"/>
              </w:rPr>
              <w:t>毒性及其标识：</w:t>
            </w:r>
            <w:r>
              <w:rPr>
                <w:rFonts w:hint="eastAsia"/>
              </w:rPr>
              <w:t xml:space="preserve"> </w:t>
            </w:r>
            <w:r>
              <w:rPr>
                <w:lang/>
              </w:rPr>
              <w:drawing>
                <wp:inline distT="0" distB="0" distL="114300" distR="114300">
                  <wp:extent cx="476250" cy="323850"/>
                  <wp:effectExtent l="0" t="0" r="0" b="0"/>
                  <wp:docPr id="347" name="图片 34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2D42AEB">
        <w:tblPrEx>
          <w:tblCellMar>
            <w:top w:w="0" w:type="dxa"/>
            <w:left w:w="0" w:type="dxa"/>
            <w:bottom w:w="0" w:type="dxa"/>
            <w:right w:w="0" w:type="dxa"/>
          </w:tblCellMar>
        </w:tblPrEx>
        <w:trPr>
          <w:wBefore w:w="0" w:type="auto"/>
          <w:tblCellSpacing w:w="0" w:type="dxa"/>
        </w:trPr>
        <w:tc>
          <w:tcPr>
            <w:tcW w:w="0" w:type="auto"/>
            <w:noWrap w:val="0"/>
            <w:vAlign w:val="center"/>
          </w:tcPr>
          <w:p w14:paraId="0868BA20">
            <w:r>
              <w:rPr>
                <w:rStyle w:val="10"/>
                <w:rFonts w:hint="eastAsia"/>
              </w:rPr>
              <w:t>总有效成分含量：</w:t>
            </w:r>
            <w:r>
              <w:rPr>
                <w:rFonts w:hint="eastAsia"/>
              </w:rPr>
              <w:t>400克/升</w:t>
            </w:r>
          </w:p>
        </w:tc>
      </w:tr>
      <w:tr w14:paraId="236D102D">
        <w:tblPrEx>
          <w:tblCellMar>
            <w:top w:w="0" w:type="dxa"/>
            <w:left w:w="0" w:type="dxa"/>
            <w:bottom w:w="0" w:type="dxa"/>
            <w:right w:w="0" w:type="dxa"/>
          </w:tblCellMar>
        </w:tblPrEx>
        <w:trPr>
          <w:wBefore w:w="0" w:type="auto"/>
          <w:tblCellSpacing w:w="0" w:type="dxa"/>
        </w:trPr>
        <w:tc>
          <w:tcPr>
            <w:tcW w:w="0" w:type="auto"/>
            <w:noWrap w:val="0"/>
            <w:vAlign w:val="center"/>
          </w:tcPr>
          <w:p w14:paraId="47F0EC3E">
            <w:r>
              <w:rPr>
                <w:rFonts w:hint="eastAsia"/>
              </w:rPr>
              <w:t xml:space="preserve">有效成分及其含量： </w:t>
            </w:r>
          </w:p>
          <w:p w14:paraId="1F53D832">
            <w:r>
              <w:rPr>
                <w:rFonts w:hint="eastAsia"/>
              </w:rPr>
              <w:t xml:space="preserve">    萎锈灵200克/升    福美双200克/升    </w:t>
            </w:r>
          </w:p>
        </w:tc>
      </w:tr>
      <w:tr w14:paraId="3DD40C4C">
        <w:tblPrEx>
          <w:tblCellMar>
            <w:top w:w="0" w:type="dxa"/>
            <w:left w:w="0" w:type="dxa"/>
            <w:bottom w:w="0" w:type="dxa"/>
            <w:right w:w="0" w:type="dxa"/>
          </w:tblCellMar>
        </w:tblPrEx>
        <w:trPr>
          <w:wBefore w:w="0" w:type="auto"/>
          <w:tblCellSpacing w:w="0" w:type="dxa"/>
        </w:trPr>
        <w:tc>
          <w:tcPr>
            <w:tcW w:w="0" w:type="auto"/>
            <w:noWrap w:val="0"/>
            <w:vAlign w:val="center"/>
          </w:tcPr>
          <w:p w14:paraId="0493818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31AE9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F598E9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106FC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F6FAC2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F24100A">
                  <w:r>
                    <w:rPr>
                      <w:rStyle w:val="11"/>
                      <w:rFonts w:hint="eastAsia"/>
                    </w:rPr>
                    <w:t>施用方式</w:t>
                  </w:r>
                </w:p>
              </w:tc>
            </w:tr>
            <w:tr w14:paraId="3D40AB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68F30A2">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18D546">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7026DE">
                  <w:r>
                    <w:rPr>
                      <w:rStyle w:val="11"/>
                      <w:rFonts w:hint="eastAsia"/>
                    </w:rPr>
                    <w:t>200-240毫升/100千克种子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023A49">
                  <w:r>
                    <w:rPr>
                      <w:rStyle w:val="11"/>
                      <w:rFonts w:hint="eastAsia"/>
                    </w:rPr>
                    <w:t>种子包衣</w:t>
                  </w:r>
                </w:p>
              </w:tc>
            </w:tr>
          </w:tbl>
          <w:p w14:paraId="3F1CCF17">
            <w:pPr>
              <w:rPr>
                <w:rFonts w:ascii="Times New Roman" w:hAnsi="Times New Roman" w:cs="Times New Roman"/>
                <w:sz w:val="20"/>
                <w:szCs w:val="20"/>
              </w:rPr>
            </w:pPr>
          </w:p>
        </w:tc>
      </w:tr>
      <w:tr w14:paraId="464B725B">
        <w:tblPrEx>
          <w:tblCellMar>
            <w:top w:w="0" w:type="dxa"/>
            <w:left w:w="0" w:type="dxa"/>
            <w:bottom w:w="0" w:type="dxa"/>
            <w:right w:w="0" w:type="dxa"/>
          </w:tblCellMar>
        </w:tblPrEx>
        <w:trPr>
          <w:wBefore w:w="0" w:type="auto"/>
          <w:tblCellSpacing w:w="0" w:type="dxa"/>
        </w:trPr>
        <w:tc>
          <w:tcPr>
            <w:tcW w:w="0" w:type="auto"/>
            <w:noWrap w:val="0"/>
            <w:vAlign w:val="center"/>
          </w:tcPr>
          <w:p w14:paraId="77865778">
            <w:r>
              <w:rPr>
                <w:rStyle w:val="10"/>
                <w:rFonts w:hint="eastAsia"/>
              </w:rPr>
              <w:t>使用技术要求:</w:t>
            </w:r>
            <w:r>
              <w:rPr>
                <w:rFonts w:hint="eastAsia"/>
              </w:rPr>
              <w:br w:type="textWrapping"/>
            </w:r>
            <w:r>
              <w:rPr>
                <w:rStyle w:val="11"/>
                <w:rFonts w:hint="eastAsia"/>
              </w:rPr>
              <w:t>1.本品应于花生播种前进行种子包衣处理一次，晾干后播种； 2. 用于包衣的种子应为经过精选的优质种子，建议使用前摇匀。</w:t>
            </w:r>
          </w:p>
        </w:tc>
      </w:tr>
      <w:tr w14:paraId="0B607407">
        <w:tblPrEx>
          <w:tblCellMar>
            <w:top w:w="0" w:type="dxa"/>
            <w:left w:w="0" w:type="dxa"/>
            <w:bottom w:w="0" w:type="dxa"/>
            <w:right w:w="0" w:type="dxa"/>
          </w:tblCellMar>
        </w:tblPrEx>
        <w:trPr>
          <w:wBefore w:w="0" w:type="auto"/>
          <w:tblCellSpacing w:w="0" w:type="dxa"/>
        </w:trPr>
        <w:tc>
          <w:tcPr>
            <w:tcW w:w="0" w:type="auto"/>
            <w:noWrap w:val="0"/>
            <w:vAlign w:val="center"/>
          </w:tcPr>
          <w:p w14:paraId="0EC43C18">
            <w:r>
              <w:rPr>
                <w:rStyle w:val="10"/>
                <w:rFonts w:hint="eastAsia"/>
              </w:rPr>
              <w:t>产品性能:</w:t>
            </w:r>
            <w:r>
              <w:rPr>
                <w:rFonts w:hint="eastAsia"/>
              </w:rPr>
              <w:br w:type="textWrapping"/>
            </w:r>
            <w:r>
              <w:rPr>
                <w:rStyle w:val="11"/>
                <w:rFonts w:hint="eastAsia"/>
              </w:rPr>
              <w:t>本品是由福美双、萎锈灵混配而成的种子处理杀菌剂，具有内吸和触杀作用。萎锈灵属杂环类选择性内吸型杀菌剂，通过干扰菌体呼吸过程，抑制生物能量的合成，而致菌体死亡。福美双是一种有机硫保护性杀菌剂，其作用机理主要是仰制病原菌体内丙酮酸的氧化，杀菌谱广，对多种真菌引起的多种病害能同时起到防治作用。包衣后的种子内外都得到保护，对花生根腐病有较好的防治效果。</w:t>
            </w:r>
          </w:p>
        </w:tc>
      </w:tr>
      <w:tr w14:paraId="768A680F">
        <w:tblPrEx>
          <w:tblCellMar>
            <w:top w:w="0" w:type="dxa"/>
            <w:left w:w="0" w:type="dxa"/>
            <w:bottom w:w="0" w:type="dxa"/>
            <w:right w:w="0" w:type="dxa"/>
          </w:tblCellMar>
        </w:tblPrEx>
        <w:trPr>
          <w:wBefore w:w="0" w:type="auto"/>
          <w:tblCellSpacing w:w="0" w:type="dxa"/>
        </w:trPr>
        <w:tc>
          <w:tcPr>
            <w:tcW w:w="0" w:type="auto"/>
            <w:noWrap w:val="0"/>
            <w:vAlign w:val="center"/>
          </w:tcPr>
          <w:p w14:paraId="5DC29A62">
            <w:r>
              <w:rPr>
                <w:rStyle w:val="10"/>
                <w:rFonts w:hint="eastAsia"/>
              </w:rPr>
              <w:t>注意事项：</w:t>
            </w:r>
            <w:r>
              <w:rPr>
                <w:rFonts w:hint="eastAsia"/>
              </w:rPr>
              <w:br w:type="textWrapping"/>
            </w:r>
            <w:r>
              <w:rPr>
                <w:rStyle w:val="11"/>
                <w:rFonts w:hint="eastAsia"/>
              </w:rPr>
              <w:t>1.使用时应穿防护服和戴手套、佩戴专用口罩，避免吸入药液。施药期间不可吃东西和饮水。施药后应及时清洗外露的皮肤，减少每天施药面积，或使用机械施药。 2.将药剂按照要求兑水配好后，均匀的洒在种子上进行拌种。拌种要均匀，让每个种子表面都有药液，以保证防治效果，为避免药剂浪费，请清洗药瓶。 3.拌种后如不能及时播种，请将种子摊开于阴凉通风处晾干后存放。 4.拌种后不能闷种不能晒种。 5.本品对蜜蜂，鱼类等水生生物有毒，施药期间应避免对周围蜂群的影响，禁止在开花植物花期使用。 6.远离水产养殖区，河塘等水域施药，禁止在河塘等水体中清洗施药器具。 7.鸟类保护区禁用，播种后及时覆土并清理残留土壤表面的种子。 8.用过的容器应妥善处理，不可作他用，也不可随意丢弃。 9.孕妇及哺乳期妇女禁止使用。</w:t>
            </w:r>
          </w:p>
        </w:tc>
      </w:tr>
      <w:tr w14:paraId="27C37C69">
        <w:tblPrEx>
          <w:tblCellMar>
            <w:top w:w="0" w:type="dxa"/>
            <w:left w:w="0" w:type="dxa"/>
            <w:bottom w:w="0" w:type="dxa"/>
            <w:right w:w="0" w:type="dxa"/>
          </w:tblCellMar>
        </w:tblPrEx>
        <w:trPr>
          <w:wBefore w:w="0" w:type="auto"/>
          <w:tblCellSpacing w:w="0" w:type="dxa"/>
        </w:trPr>
        <w:tc>
          <w:tcPr>
            <w:tcW w:w="0" w:type="auto"/>
            <w:noWrap w:val="0"/>
            <w:vAlign w:val="center"/>
          </w:tcPr>
          <w:p w14:paraId="43994E7E">
            <w:r>
              <w:rPr>
                <w:rStyle w:val="10"/>
                <w:rFonts w:hint="eastAsia"/>
              </w:rPr>
              <w:t>中毒急救措施：</w:t>
            </w:r>
            <w:r>
              <w:rPr>
                <w:rFonts w:hint="eastAsia"/>
              </w:rPr>
              <w:br w:type="textWrapping"/>
            </w:r>
            <w:r>
              <w:rPr>
                <w:rStyle w:val="11"/>
                <w:rFonts w:hint="eastAsia"/>
              </w:rPr>
              <w:t>不慎吸入，应将病人移至空气流通处。不慎溅入眼睛，应用大量清水冲洗至少15分钟。误服则应立即携带此标签将病人送医院对症治疗。</w:t>
            </w:r>
          </w:p>
        </w:tc>
      </w:tr>
      <w:tr w14:paraId="12C33FC5">
        <w:tblPrEx>
          <w:tblCellMar>
            <w:top w:w="0" w:type="dxa"/>
            <w:left w:w="0" w:type="dxa"/>
            <w:bottom w:w="0" w:type="dxa"/>
            <w:right w:w="0" w:type="dxa"/>
          </w:tblCellMar>
        </w:tblPrEx>
        <w:trPr>
          <w:wBefore w:w="0" w:type="auto"/>
          <w:tblCellSpacing w:w="0" w:type="dxa"/>
        </w:trPr>
        <w:tc>
          <w:tcPr>
            <w:tcW w:w="0" w:type="auto"/>
            <w:noWrap w:val="0"/>
            <w:vAlign w:val="center"/>
          </w:tcPr>
          <w:p w14:paraId="12B2D7A7">
            <w:r>
              <w:rPr>
                <w:rStyle w:val="10"/>
                <w:rFonts w:hint="eastAsia"/>
              </w:rPr>
              <w:t>储存和运输方法：</w:t>
            </w:r>
            <w:r>
              <w:rPr>
                <w:rFonts w:hint="eastAsia"/>
              </w:rPr>
              <w:br w:type="textWrapping"/>
            </w:r>
            <w:r>
              <w:rPr>
                <w:rStyle w:val="11"/>
                <w:rFonts w:hint="eastAsia"/>
              </w:rPr>
              <w:t>密封储存于阴凉干燥处，置于儿童、无关人员触及不到之处，并加锁保存，避免与食品、饮料、粮食和饲料同贮同运。本品在使用、运输和储藏中应遵守农药类有关规定。远离火源或热源。</w:t>
            </w:r>
          </w:p>
        </w:tc>
      </w:tr>
      <w:tr w14:paraId="2CDBDEAE">
        <w:tblPrEx>
          <w:tblCellMar>
            <w:top w:w="0" w:type="dxa"/>
            <w:left w:w="0" w:type="dxa"/>
            <w:bottom w:w="0" w:type="dxa"/>
            <w:right w:w="0" w:type="dxa"/>
          </w:tblCellMar>
        </w:tblPrEx>
        <w:trPr>
          <w:wBefore w:w="0" w:type="auto"/>
          <w:tblCellSpacing w:w="0" w:type="dxa"/>
        </w:trPr>
        <w:tc>
          <w:tcPr>
            <w:tcW w:w="0" w:type="auto"/>
            <w:noWrap w:val="0"/>
            <w:vAlign w:val="center"/>
          </w:tcPr>
          <w:p w14:paraId="1B969740">
            <w:r>
              <w:rPr>
                <w:rStyle w:val="10"/>
                <w:rFonts w:hint="eastAsia"/>
              </w:rPr>
              <w:t>质量保证期：</w:t>
            </w:r>
            <w:r>
              <w:rPr>
                <w:rStyle w:val="11"/>
                <w:rFonts w:hint="eastAsia"/>
              </w:rPr>
              <w:t>2年</w:t>
            </w:r>
          </w:p>
        </w:tc>
      </w:tr>
      <w:tr w14:paraId="10E07D91">
        <w:tblPrEx>
          <w:tblCellMar>
            <w:top w:w="0" w:type="dxa"/>
            <w:left w:w="0" w:type="dxa"/>
            <w:bottom w:w="0" w:type="dxa"/>
            <w:right w:w="0" w:type="dxa"/>
          </w:tblCellMar>
        </w:tblPrEx>
        <w:trPr>
          <w:wBefore w:w="0" w:type="auto"/>
          <w:tblCellSpacing w:w="0" w:type="dxa"/>
        </w:trPr>
        <w:tc>
          <w:tcPr>
            <w:tcW w:w="0" w:type="auto"/>
            <w:noWrap w:val="0"/>
            <w:vAlign w:val="center"/>
          </w:tcPr>
          <w:p w14:paraId="75E11972">
            <w:r>
              <w:rPr>
                <w:rStyle w:val="10"/>
                <w:rFonts w:hint="eastAsia"/>
              </w:rPr>
              <w:t>备注：</w:t>
            </w:r>
            <w:r>
              <w:rPr>
                <w:rFonts w:hint="eastAsia"/>
              </w:rPr>
              <w:br w:type="textWrapping"/>
            </w:r>
            <w:r>
              <w:rPr>
                <w:rStyle w:val="11"/>
                <w:rFonts w:hint="eastAsia"/>
              </w:rPr>
              <w:t>质量分数32%（萎锈灵16%，福美双16%）。</w:t>
            </w:r>
          </w:p>
        </w:tc>
      </w:tr>
    </w:tbl>
    <w:p w14:paraId="6F0A3E7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9B116A3">
        <w:tblPrEx>
          <w:tblCellMar>
            <w:top w:w="0" w:type="dxa"/>
            <w:left w:w="0" w:type="dxa"/>
            <w:bottom w:w="0" w:type="dxa"/>
            <w:right w:w="0" w:type="dxa"/>
          </w:tblCellMar>
        </w:tblPrEx>
        <w:trPr>
          <w:wBefore w:w="0" w:type="auto"/>
          <w:tblCellSpacing w:w="0" w:type="dxa"/>
        </w:trPr>
        <w:tc>
          <w:tcPr>
            <w:tcW w:w="0" w:type="auto"/>
            <w:noWrap w:val="0"/>
            <w:vAlign w:val="center"/>
          </w:tcPr>
          <w:p w14:paraId="062D4AB4">
            <w:r>
              <w:rPr>
                <w:rStyle w:val="10"/>
                <w:rFonts w:hint="eastAsia"/>
              </w:rPr>
              <w:t>登记证号：</w:t>
            </w:r>
            <w:r>
              <w:rPr>
                <w:rFonts w:hint="eastAsia"/>
              </w:rPr>
              <w:t>PD20211914</w:t>
            </w:r>
          </w:p>
        </w:tc>
      </w:tr>
      <w:tr w14:paraId="6DFDC8D5">
        <w:tblPrEx>
          <w:tblCellMar>
            <w:top w:w="0" w:type="dxa"/>
            <w:left w:w="0" w:type="dxa"/>
            <w:bottom w:w="0" w:type="dxa"/>
            <w:right w:w="0" w:type="dxa"/>
          </w:tblCellMar>
        </w:tblPrEx>
        <w:trPr>
          <w:wBefore w:w="0" w:type="auto"/>
          <w:tblCellSpacing w:w="0" w:type="dxa"/>
        </w:trPr>
        <w:tc>
          <w:tcPr>
            <w:tcW w:w="0" w:type="auto"/>
            <w:noWrap w:val="0"/>
            <w:vAlign w:val="center"/>
          </w:tcPr>
          <w:p w14:paraId="0113D564">
            <w:r>
              <w:rPr>
                <w:rStyle w:val="10"/>
                <w:rFonts w:hint="eastAsia"/>
              </w:rPr>
              <w:t>登记证持有人：</w:t>
            </w:r>
            <w:r>
              <w:rPr>
                <w:rFonts w:hint="eastAsia"/>
              </w:rPr>
              <w:t>陕西上格之路生物科学有限公司</w:t>
            </w:r>
          </w:p>
        </w:tc>
      </w:tr>
      <w:tr w14:paraId="03E23AA1">
        <w:tblPrEx>
          <w:tblCellMar>
            <w:top w:w="0" w:type="dxa"/>
            <w:left w:w="0" w:type="dxa"/>
            <w:bottom w:w="0" w:type="dxa"/>
            <w:right w:w="0" w:type="dxa"/>
          </w:tblCellMar>
        </w:tblPrEx>
        <w:trPr>
          <w:wBefore w:w="0" w:type="auto"/>
          <w:tblCellSpacing w:w="0" w:type="dxa"/>
        </w:trPr>
        <w:tc>
          <w:tcPr>
            <w:tcW w:w="0" w:type="auto"/>
            <w:noWrap w:val="0"/>
            <w:vAlign w:val="center"/>
          </w:tcPr>
          <w:p w14:paraId="5FDF8005">
            <w:r>
              <w:rPr>
                <w:rStyle w:val="10"/>
                <w:rFonts w:hint="eastAsia"/>
              </w:rPr>
              <w:t>农药名称：</w:t>
            </w:r>
            <w:r>
              <w:rPr>
                <w:rFonts w:hint="eastAsia"/>
              </w:rPr>
              <w:t>春雷·喹啉铜</w:t>
            </w:r>
          </w:p>
        </w:tc>
      </w:tr>
      <w:tr w14:paraId="795D36CA">
        <w:tblPrEx>
          <w:tblCellMar>
            <w:top w:w="0" w:type="dxa"/>
            <w:left w:w="0" w:type="dxa"/>
            <w:bottom w:w="0" w:type="dxa"/>
            <w:right w:w="0" w:type="dxa"/>
          </w:tblCellMar>
        </w:tblPrEx>
        <w:trPr>
          <w:wBefore w:w="0" w:type="auto"/>
          <w:tblCellSpacing w:w="0" w:type="dxa"/>
        </w:trPr>
        <w:tc>
          <w:tcPr>
            <w:tcW w:w="0" w:type="auto"/>
            <w:noWrap w:val="0"/>
            <w:vAlign w:val="center"/>
          </w:tcPr>
          <w:p w14:paraId="31AB734A">
            <w:r>
              <w:rPr>
                <w:rStyle w:val="10"/>
                <w:rFonts w:hint="eastAsia"/>
              </w:rPr>
              <w:t>剂型：</w:t>
            </w:r>
            <w:r>
              <w:rPr>
                <w:rFonts w:hint="eastAsia"/>
              </w:rPr>
              <w:t>悬浮剂</w:t>
            </w:r>
          </w:p>
        </w:tc>
      </w:tr>
      <w:tr w14:paraId="43570B6B">
        <w:tblPrEx>
          <w:tblCellMar>
            <w:top w:w="0" w:type="dxa"/>
            <w:left w:w="0" w:type="dxa"/>
            <w:bottom w:w="0" w:type="dxa"/>
            <w:right w:w="0" w:type="dxa"/>
          </w:tblCellMar>
        </w:tblPrEx>
        <w:trPr>
          <w:wBefore w:w="0" w:type="auto"/>
          <w:tblCellSpacing w:w="0" w:type="dxa"/>
        </w:trPr>
        <w:tc>
          <w:tcPr>
            <w:tcW w:w="0" w:type="auto"/>
            <w:noWrap w:val="0"/>
            <w:vAlign w:val="center"/>
          </w:tcPr>
          <w:p w14:paraId="1A26EE34">
            <w:r>
              <w:rPr>
                <w:rStyle w:val="10"/>
                <w:rFonts w:hint="eastAsia"/>
              </w:rPr>
              <w:t>毒性及其标识：</w:t>
            </w:r>
            <w:r>
              <w:rPr>
                <w:rFonts w:hint="eastAsia"/>
              </w:rPr>
              <w:t xml:space="preserve"> </w:t>
            </w:r>
            <w:r>
              <w:rPr>
                <w:lang/>
              </w:rPr>
              <w:drawing>
                <wp:inline distT="0" distB="0" distL="114300" distR="114300">
                  <wp:extent cx="476250" cy="323850"/>
                  <wp:effectExtent l="0" t="0" r="0" b="0"/>
                  <wp:docPr id="348" name="图片 34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2C93D49">
        <w:tblPrEx>
          <w:tblCellMar>
            <w:top w:w="0" w:type="dxa"/>
            <w:left w:w="0" w:type="dxa"/>
            <w:bottom w:w="0" w:type="dxa"/>
            <w:right w:w="0" w:type="dxa"/>
          </w:tblCellMar>
        </w:tblPrEx>
        <w:trPr>
          <w:wBefore w:w="0" w:type="auto"/>
          <w:tblCellSpacing w:w="0" w:type="dxa"/>
        </w:trPr>
        <w:tc>
          <w:tcPr>
            <w:tcW w:w="0" w:type="auto"/>
            <w:noWrap w:val="0"/>
            <w:vAlign w:val="center"/>
          </w:tcPr>
          <w:p w14:paraId="6960B160">
            <w:r>
              <w:rPr>
                <w:rStyle w:val="10"/>
                <w:rFonts w:hint="eastAsia"/>
              </w:rPr>
              <w:t>总有效成分含量：</w:t>
            </w:r>
            <w:r>
              <w:rPr>
                <w:rFonts w:hint="eastAsia"/>
              </w:rPr>
              <w:t>33%</w:t>
            </w:r>
          </w:p>
        </w:tc>
      </w:tr>
      <w:tr w14:paraId="0CC76FD0">
        <w:tblPrEx>
          <w:tblCellMar>
            <w:top w:w="0" w:type="dxa"/>
            <w:left w:w="0" w:type="dxa"/>
            <w:bottom w:w="0" w:type="dxa"/>
            <w:right w:w="0" w:type="dxa"/>
          </w:tblCellMar>
        </w:tblPrEx>
        <w:trPr>
          <w:wBefore w:w="0" w:type="auto"/>
          <w:tblCellSpacing w:w="0" w:type="dxa"/>
        </w:trPr>
        <w:tc>
          <w:tcPr>
            <w:tcW w:w="0" w:type="auto"/>
            <w:noWrap w:val="0"/>
            <w:vAlign w:val="center"/>
          </w:tcPr>
          <w:p w14:paraId="3F9A1274">
            <w:r>
              <w:rPr>
                <w:rFonts w:hint="eastAsia"/>
              </w:rPr>
              <w:t xml:space="preserve">有效成分及其含量： </w:t>
            </w:r>
          </w:p>
          <w:p w14:paraId="03F0FE52">
            <w:r>
              <w:rPr>
                <w:rFonts w:hint="eastAsia"/>
              </w:rPr>
              <w:t xml:space="preserve">    春雷霉素3%    喹啉铜30%    </w:t>
            </w:r>
          </w:p>
        </w:tc>
      </w:tr>
      <w:tr w14:paraId="1EA916D8">
        <w:tblPrEx>
          <w:tblCellMar>
            <w:top w:w="0" w:type="dxa"/>
            <w:left w:w="0" w:type="dxa"/>
            <w:bottom w:w="0" w:type="dxa"/>
            <w:right w:w="0" w:type="dxa"/>
          </w:tblCellMar>
        </w:tblPrEx>
        <w:trPr>
          <w:wBefore w:w="0" w:type="auto"/>
          <w:tblCellSpacing w:w="0" w:type="dxa"/>
        </w:trPr>
        <w:tc>
          <w:tcPr>
            <w:tcW w:w="0" w:type="auto"/>
            <w:noWrap w:val="0"/>
            <w:vAlign w:val="center"/>
          </w:tcPr>
          <w:p w14:paraId="7B217C7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6712F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B747F7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49FA39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528F39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43E0240">
                  <w:r>
                    <w:rPr>
                      <w:rStyle w:val="11"/>
                      <w:rFonts w:hint="eastAsia"/>
                    </w:rPr>
                    <w:t>施用方式</w:t>
                  </w:r>
                </w:p>
              </w:tc>
            </w:tr>
            <w:tr w14:paraId="34123E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3F6A456">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54569D">
                  <w:r>
                    <w:rPr>
                      <w:rStyle w:val="11"/>
                      <w:rFonts w:hint="eastAsia"/>
                    </w:rPr>
                    <w:t>细菌性角斑病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326B9F">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A8BB5A">
                  <w:r>
                    <w:rPr>
                      <w:rStyle w:val="11"/>
                      <w:rFonts w:hint="eastAsia"/>
                    </w:rPr>
                    <w:t>喷雾</w:t>
                  </w:r>
                </w:p>
              </w:tc>
            </w:tr>
          </w:tbl>
          <w:p w14:paraId="065F4A78">
            <w:pPr>
              <w:rPr>
                <w:rFonts w:ascii="Times New Roman" w:hAnsi="Times New Roman" w:cs="Times New Roman"/>
                <w:sz w:val="20"/>
                <w:szCs w:val="20"/>
              </w:rPr>
            </w:pPr>
          </w:p>
        </w:tc>
      </w:tr>
      <w:tr w14:paraId="3C3F612A">
        <w:tblPrEx>
          <w:tblCellMar>
            <w:top w:w="0" w:type="dxa"/>
            <w:left w:w="0" w:type="dxa"/>
            <w:bottom w:w="0" w:type="dxa"/>
            <w:right w:w="0" w:type="dxa"/>
          </w:tblCellMar>
        </w:tblPrEx>
        <w:trPr>
          <w:wBefore w:w="0" w:type="auto"/>
          <w:tblCellSpacing w:w="0" w:type="dxa"/>
        </w:trPr>
        <w:tc>
          <w:tcPr>
            <w:tcW w:w="0" w:type="auto"/>
            <w:noWrap w:val="0"/>
            <w:vAlign w:val="center"/>
          </w:tcPr>
          <w:p w14:paraId="6EC81ABB">
            <w:r>
              <w:rPr>
                <w:rStyle w:val="10"/>
                <w:rFonts w:hint="eastAsia"/>
              </w:rPr>
              <w:t>使用技术要求:</w:t>
            </w:r>
            <w:r>
              <w:rPr>
                <w:rFonts w:hint="eastAsia"/>
              </w:rPr>
              <w:br w:type="textWrapping"/>
            </w:r>
            <w:r>
              <w:rPr>
                <w:rStyle w:val="11"/>
                <w:rFonts w:hint="eastAsia"/>
              </w:rPr>
              <w:t>1、应于细菌性角斑病发病前或发病初期施药，每隔7-10天施药一次，连续施药3次。按照推荐施药剂量，全株均匀、周到喷雾； 2、大风天或预计1小时内降雨，请勿施药； 3、本品在黄瓜上的安全间隔期为3天，每个作物周期最多使用3次。</w:t>
            </w:r>
          </w:p>
        </w:tc>
      </w:tr>
      <w:tr w14:paraId="31BC1CE7">
        <w:tblPrEx>
          <w:tblCellMar>
            <w:top w:w="0" w:type="dxa"/>
            <w:left w:w="0" w:type="dxa"/>
            <w:bottom w:w="0" w:type="dxa"/>
            <w:right w:w="0" w:type="dxa"/>
          </w:tblCellMar>
        </w:tblPrEx>
        <w:trPr>
          <w:wBefore w:w="0" w:type="auto"/>
          <w:tblCellSpacing w:w="0" w:type="dxa"/>
        </w:trPr>
        <w:tc>
          <w:tcPr>
            <w:tcW w:w="0" w:type="auto"/>
            <w:noWrap w:val="0"/>
            <w:vAlign w:val="center"/>
          </w:tcPr>
          <w:p w14:paraId="2DC11108">
            <w:r>
              <w:rPr>
                <w:rStyle w:val="10"/>
                <w:rFonts w:hint="eastAsia"/>
              </w:rPr>
              <w:t>产品性能:</w:t>
            </w:r>
            <w:r>
              <w:rPr>
                <w:rFonts w:hint="eastAsia"/>
              </w:rPr>
              <w:br w:type="textWrapping"/>
            </w:r>
            <w:r>
              <w:rPr>
                <w:rStyle w:val="11"/>
                <w:rFonts w:hint="eastAsia"/>
              </w:rPr>
              <w:t>本品是春雷霉素与喹啉铜的混配制剂，春雷霉素为农用抗菌素，内吸传导性强，稳定性好，其作用是通过抑制病菌的形成，影响菌丝伸长并引起细胞颗粒化。喹啉铜是一种有机铜</w:t>
            </w:r>
            <w:r>
              <w:rPr>
                <w:rStyle w:val="11"/>
                <w:rFonts w:hint="eastAsia"/>
                <w:lang w:eastAsia="zh-CN"/>
              </w:rPr>
              <w:t>螯合</w:t>
            </w:r>
            <w:r>
              <w:rPr>
                <w:rStyle w:val="11"/>
                <w:rFonts w:hint="eastAsia"/>
              </w:rPr>
              <w:t>物，在作物表面形成一层严密的保护膜，抑制病菌萌发和侵入，从而达到防病治病的目的。两者混配，强强联合，增效明显，在推荐施用剂量下，对细菌性角斑病具有良好的防治效果。</w:t>
            </w:r>
          </w:p>
        </w:tc>
      </w:tr>
      <w:tr w14:paraId="56218DDD">
        <w:tblPrEx>
          <w:tblCellMar>
            <w:top w:w="0" w:type="dxa"/>
            <w:left w:w="0" w:type="dxa"/>
            <w:bottom w:w="0" w:type="dxa"/>
            <w:right w:w="0" w:type="dxa"/>
          </w:tblCellMar>
        </w:tblPrEx>
        <w:trPr>
          <w:wBefore w:w="0" w:type="auto"/>
          <w:tblCellSpacing w:w="0" w:type="dxa"/>
        </w:trPr>
        <w:tc>
          <w:tcPr>
            <w:tcW w:w="0" w:type="auto"/>
            <w:noWrap w:val="0"/>
            <w:vAlign w:val="center"/>
          </w:tcPr>
          <w:p w14:paraId="4CC1192B">
            <w:r>
              <w:rPr>
                <w:rStyle w:val="10"/>
                <w:rFonts w:hint="eastAsia"/>
              </w:rPr>
              <w:t>注意事项：</w:t>
            </w:r>
            <w:r>
              <w:rPr>
                <w:rFonts w:hint="eastAsia"/>
              </w:rPr>
              <w:br w:type="textWrapping"/>
            </w:r>
            <w:r>
              <w:rPr>
                <w:rStyle w:val="11"/>
                <w:rFonts w:hint="eastAsia"/>
              </w:rPr>
              <w:t>1、建议与其他作用机制不同的杀菌剂轮换使用，以延缓抗性产生； 2、本品不可与强碱性的农药等物质混合使用； 3、使用本品时应戴帽子、口罩、手套等，穿长袖衣、长裤和靴子，避免吸入药液；施药期间不可吃东西和饮水；施药后，彻底清洗防护用具，洗澡并更换和清洗工作服； 4、本品对鱼类、水蚤等水生生物有毒，远离水产养殖区、河塘等水体附近施药，避免药液污染水源地，禁止在河塘等水体中清洗施药器具。对家蚕（最外围）风险不可接受，桑园最外围一排作为隔离带； 5、孕妇及哺乳期妇女应避免接触本品； 6、用过的容器应妥善处理，不可做他用，也不可随意丢弃。</w:t>
            </w:r>
          </w:p>
        </w:tc>
      </w:tr>
      <w:tr w14:paraId="5C0C9CC1">
        <w:tblPrEx>
          <w:tblCellMar>
            <w:top w:w="0" w:type="dxa"/>
            <w:left w:w="0" w:type="dxa"/>
            <w:bottom w:w="0" w:type="dxa"/>
            <w:right w:w="0" w:type="dxa"/>
          </w:tblCellMar>
        </w:tblPrEx>
        <w:trPr>
          <w:wBefore w:w="0" w:type="auto"/>
          <w:tblCellSpacing w:w="0" w:type="dxa"/>
        </w:trPr>
        <w:tc>
          <w:tcPr>
            <w:tcW w:w="0" w:type="auto"/>
            <w:noWrap w:val="0"/>
            <w:vAlign w:val="center"/>
          </w:tcPr>
          <w:p w14:paraId="739381A2">
            <w:r>
              <w:rPr>
                <w:rStyle w:val="10"/>
                <w:rFonts w:hint="eastAsia"/>
              </w:rPr>
              <w:t>中毒急救措施：</w:t>
            </w:r>
            <w:r>
              <w:rPr>
                <w:rFonts w:hint="eastAsia"/>
              </w:rPr>
              <w:br w:type="textWrapping"/>
            </w:r>
            <w:r>
              <w:rPr>
                <w:rStyle w:val="11"/>
                <w:rFonts w:hint="eastAsia"/>
              </w:rPr>
              <w:t>中毒症状：不慎吸入，应将病人移至空气流通处。不慎接触皮肤或溅入眼睛，用大量清水冲洗至少15分钟，仍有不适时，就医。误服，立即携此标签将病人送医院诊治。对症治疗。无特效解毒剂。</w:t>
            </w:r>
          </w:p>
        </w:tc>
      </w:tr>
      <w:tr w14:paraId="67A17846">
        <w:tblPrEx>
          <w:tblCellMar>
            <w:top w:w="0" w:type="dxa"/>
            <w:left w:w="0" w:type="dxa"/>
            <w:bottom w:w="0" w:type="dxa"/>
            <w:right w:w="0" w:type="dxa"/>
          </w:tblCellMar>
        </w:tblPrEx>
        <w:trPr>
          <w:wBefore w:w="0" w:type="auto"/>
          <w:tblCellSpacing w:w="0" w:type="dxa"/>
        </w:trPr>
        <w:tc>
          <w:tcPr>
            <w:tcW w:w="0" w:type="auto"/>
            <w:noWrap w:val="0"/>
            <w:vAlign w:val="center"/>
          </w:tcPr>
          <w:p w14:paraId="6F407066">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本品应贮存在干燥、阴凉、通风、防雨处，远离火源或热源。置于儿童触及不到之处，并加锁。勿与食品、饮料、饲料、粮食等其它商品同贮同运。</w:t>
            </w:r>
          </w:p>
        </w:tc>
      </w:tr>
      <w:tr w14:paraId="0B7C0405">
        <w:tblPrEx>
          <w:tblCellMar>
            <w:top w:w="0" w:type="dxa"/>
            <w:left w:w="0" w:type="dxa"/>
            <w:bottom w:w="0" w:type="dxa"/>
            <w:right w:w="0" w:type="dxa"/>
          </w:tblCellMar>
        </w:tblPrEx>
        <w:trPr>
          <w:wBefore w:w="0" w:type="auto"/>
          <w:tblCellSpacing w:w="0" w:type="dxa"/>
        </w:trPr>
        <w:tc>
          <w:tcPr>
            <w:tcW w:w="0" w:type="auto"/>
            <w:noWrap w:val="0"/>
            <w:vAlign w:val="center"/>
          </w:tcPr>
          <w:p w14:paraId="4166F45A">
            <w:r>
              <w:rPr>
                <w:rStyle w:val="10"/>
                <w:rFonts w:hint="eastAsia"/>
              </w:rPr>
              <w:t>质量保证期：</w:t>
            </w:r>
            <w:r>
              <w:rPr>
                <w:rStyle w:val="11"/>
                <w:rFonts w:hint="eastAsia"/>
              </w:rPr>
              <w:t>2年</w:t>
            </w:r>
          </w:p>
        </w:tc>
      </w:tr>
      <w:tr w14:paraId="74735526">
        <w:tblPrEx>
          <w:tblCellMar>
            <w:top w:w="0" w:type="dxa"/>
            <w:left w:w="0" w:type="dxa"/>
            <w:bottom w:w="0" w:type="dxa"/>
            <w:right w:w="0" w:type="dxa"/>
          </w:tblCellMar>
        </w:tblPrEx>
        <w:trPr>
          <w:wBefore w:w="0" w:type="auto"/>
          <w:tblCellSpacing w:w="0" w:type="dxa"/>
        </w:trPr>
        <w:tc>
          <w:tcPr>
            <w:tcW w:w="0" w:type="auto"/>
            <w:noWrap w:val="0"/>
            <w:vAlign w:val="center"/>
          </w:tcPr>
          <w:p w14:paraId="3D65962F">
            <w:r>
              <w:rPr>
                <w:rStyle w:val="10"/>
                <w:rFonts w:hint="eastAsia"/>
              </w:rPr>
              <w:t>备注：</w:t>
            </w:r>
          </w:p>
        </w:tc>
      </w:tr>
    </w:tbl>
    <w:p w14:paraId="05926B1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819A4D">
        <w:tblPrEx>
          <w:tblCellMar>
            <w:top w:w="0" w:type="dxa"/>
            <w:left w:w="0" w:type="dxa"/>
            <w:bottom w:w="0" w:type="dxa"/>
            <w:right w:w="0" w:type="dxa"/>
          </w:tblCellMar>
        </w:tblPrEx>
        <w:trPr>
          <w:wBefore w:w="0" w:type="auto"/>
          <w:tblCellSpacing w:w="0" w:type="dxa"/>
        </w:trPr>
        <w:tc>
          <w:tcPr>
            <w:tcW w:w="0" w:type="auto"/>
            <w:noWrap w:val="0"/>
            <w:vAlign w:val="center"/>
          </w:tcPr>
          <w:p w14:paraId="0137F9F7">
            <w:r>
              <w:rPr>
                <w:rStyle w:val="10"/>
                <w:rFonts w:hint="eastAsia"/>
              </w:rPr>
              <w:t>登记证号：</w:t>
            </w:r>
            <w:r>
              <w:rPr>
                <w:rFonts w:hint="eastAsia"/>
              </w:rPr>
              <w:t>PD20211811</w:t>
            </w:r>
          </w:p>
        </w:tc>
      </w:tr>
      <w:tr w14:paraId="5E9AA446">
        <w:tblPrEx>
          <w:tblCellMar>
            <w:top w:w="0" w:type="dxa"/>
            <w:left w:w="0" w:type="dxa"/>
            <w:bottom w:w="0" w:type="dxa"/>
            <w:right w:w="0" w:type="dxa"/>
          </w:tblCellMar>
        </w:tblPrEx>
        <w:trPr>
          <w:wBefore w:w="0" w:type="auto"/>
          <w:tblCellSpacing w:w="0" w:type="dxa"/>
        </w:trPr>
        <w:tc>
          <w:tcPr>
            <w:tcW w:w="0" w:type="auto"/>
            <w:noWrap w:val="0"/>
            <w:vAlign w:val="center"/>
          </w:tcPr>
          <w:p w14:paraId="34AB7F43">
            <w:r>
              <w:rPr>
                <w:rStyle w:val="10"/>
                <w:rFonts w:hint="eastAsia"/>
              </w:rPr>
              <w:t>登记证持有人：</w:t>
            </w:r>
            <w:r>
              <w:rPr>
                <w:rFonts w:hint="eastAsia"/>
              </w:rPr>
              <w:t>济南泰禾化工有限公司</w:t>
            </w:r>
          </w:p>
        </w:tc>
      </w:tr>
      <w:tr w14:paraId="506E9DDB">
        <w:tblPrEx>
          <w:tblCellMar>
            <w:top w:w="0" w:type="dxa"/>
            <w:left w:w="0" w:type="dxa"/>
            <w:bottom w:w="0" w:type="dxa"/>
            <w:right w:w="0" w:type="dxa"/>
          </w:tblCellMar>
        </w:tblPrEx>
        <w:trPr>
          <w:wBefore w:w="0" w:type="auto"/>
          <w:tblCellSpacing w:w="0" w:type="dxa"/>
        </w:trPr>
        <w:tc>
          <w:tcPr>
            <w:tcW w:w="0" w:type="auto"/>
            <w:noWrap w:val="0"/>
            <w:vAlign w:val="center"/>
          </w:tcPr>
          <w:p w14:paraId="5DDCB538">
            <w:r>
              <w:rPr>
                <w:rStyle w:val="10"/>
                <w:rFonts w:hint="eastAsia"/>
              </w:rPr>
              <w:t>农药名称：</w:t>
            </w:r>
            <w:r>
              <w:rPr>
                <w:rFonts w:hint="eastAsia"/>
              </w:rPr>
              <w:t>联苯·噻虫胺</w:t>
            </w:r>
          </w:p>
        </w:tc>
      </w:tr>
      <w:tr w14:paraId="08A425A8">
        <w:tblPrEx>
          <w:tblCellMar>
            <w:top w:w="0" w:type="dxa"/>
            <w:left w:w="0" w:type="dxa"/>
            <w:bottom w:w="0" w:type="dxa"/>
            <w:right w:w="0" w:type="dxa"/>
          </w:tblCellMar>
        </w:tblPrEx>
        <w:trPr>
          <w:wBefore w:w="0" w:type="auto"/>
          <w:tblCellSpacing w:w="0" w:type="dxa"/>
        </w:trPr>
        <w:tc>
          <w:tcPr>
            <w:tcW w:w="0" w:type="auto"/>
            <w:noWrap w:val="0"/>
            <w:vAlign w:val="center"/>
          </w:tcPr>
          <w:p w14:paraId="5F358593">
            <w:r>
              <w:rPr>
                <w:rStyle w:val="10"/>
                <w:rFonts w:hint="eastAsia"/>
              </w:rPr>
              <w:t>剂型：</w:t>
            </w:r>
            <w:r>
              <w:rPr>
                <w:rFonts w:hint="eastAsia"/>
              </w:rPr>
              <w:t>颗粒剂</w:t>
            </w:r>
          </w:p>
        </w:tc>
      </w:tr>
      <w:tr w14:paraId="644AB613">
        <w:tblPrEx>
          <w:tblCellMar>
            <w:top w:w="0" w:type="dxa"/>
            <w:left w:w="0" w:type="dxa"/>
            <w:bottom w:w="0" w:type="dxa"/>
            <w:right w:w="0" w:type="dxa"/>
          </w:tblCellMar>
        </w:tblPrEx>
        <w:trPr>
          <w:wBefore w:w="0" w:type="auto"/>
          <w:tblCellSpacing w:w="0" w:type="dxa"/>
        </w:trPr>
        <w:tc>
          <w:tcPr>
            <w:tcW w:w="0" w:type="auto"/>
            <w:noWrap w:val="0"/>
            <w:vAlign w:val="center"/>
          </w:tcPr>
          <w:p w14:paraId="22106D1E">
            <w:r>
              <w:rPr>
                <w:rStyle w:val="10"/>
                <w:rFonts w:hint="eastAsia"/>
              </w:rPr>
              <w:t>毒性及其标识：</w:t>
            </w:r>
            <w:r>
              <w:rPr>
                <w:rFonts w:hint="eastAsia"/>
              </w:rPr>
              <w:t xml:space="preserve"> </w:t>
            </w:r>
            <w:r>
              <w:rPr>
                <w:lang/>
              </w:rPr>
              <w:drawing>
                <wp:inline distT="0" distB="0" distL="114300" distR="114300">
                  <wp:extent cx="476250" cy="323850"/>
                  <wp:effectExtent l="0" t="0" r="0" b="0"/>
                  <wp:docPr id="349" name="图片 34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1296697">
        <w:tblPrEx>
          <w:tblCellMar>
            <w:top w:w="0" w:type="dxa"/>
            <w:left w:w="0" w:type="dxa"/>
            <w:bottom w:w="0" w:type="dxa"/>
            <w:right w:w="0" w:type="dxa"/>
          </w:tblCellMar>
        </w:tblPrEx>
        <w:trPr>
          <w:wBefore w:w="0" w:type="auto"/>
          <w:tblCellSpacing w:w="0" w:type="dxa"/>
        </w:trPr>
        <w:tc>
          <w:tcPr>
            <w:tcW w:w="0" w:type="auto"/>
            <w:noWrap w:val="0"/>
            <w:vAlign w:val="center"/>
          </w:tcPr>
          <w:p w14:paraId="248644DA">
            <w:r>
              <w:rPr>
                <w:rStyle w:val="10"/>
                <w:rFonts w:hint="eastAsia"/>
              </w:rPr>
              <w:t>总有效成分含量：</w:t>
            </w:r>
            <w:r>
              <w:rPr>
                <w:rFonts w:hint="eastAsia"/>
              </w:rPr>
              <w:t>1%</w:t>
            </w:r>
          </w:p>
        </w:tc>
      </w:tr>
      <w:tr w14:paraId="54826215">
        <w:tblPrEx>
          <w:tblCellMar>
            <w:top w:w="0" w:type="dxa"/>
            <w:left w:w="0" w:type="dxa"/>
            <w:bottom w:w="0" w:type="dxa"/>
            <w:right w:w="0" w:type="dxa"/>
          </w:tblCellMar>
        </w:tblPrEx>
        <w:trPr>
          <w:wBefore w:w="0" w:type="auto"/>
          <w:tblCellSpacing w:w="0" w:type="dxa"/>
        </w:trPr>
        <w:tc>
          <w:tcPr>
            <w:tcW w:w="0" w:type="auto"/>
            <w:noWrap w:val="0"/>
            <w:vAlign w:val="center"/>
          </w:tcPr>
          <w:p w14:paraId="3AA05979">
            <w:r>
              <w:rPr>
                <w:rFonts w:hint="eastAsia"/>
              </w:rPr>
              <w:t xml:space="preserve">有效成分及其含量： </w:t>
            </w:r>
          </w:p>
          <w:p w14:paraId="5B0E62B9">
            <w:r>
              <w:rPr>
                <w:rFonts w:hint="eastAsia"/>
              </w:rPr>
              <w:t xml:space="preserve">    联苯菊酯0.5%    噻虫胺0.5%    </w:t>
            </w:r>
          </w:p>
        </w:tc>
      </w:tr>
      <w:tr w14:paraId="3E34E278">
        <w:tblPrEx>
          <w:tblCellMar>
            <w:top w:w="0" w:type="dxa"/>
            <w:left w:w="0" w:type="dxa"/>
            <w:bottom w:w="0" w:type="dxa"/>
            <w:right w:w="0" w:type="dxa"/>
          </w:tblCellMar>
        </w:tblPrEx>
        <w:trPr>
          <w:wBefore w:w="0" w:type="auto"/>
          <w:tblCellSpacing w:w="0" w:type="dxa"/>
        </w:trPr>
        <w:tc>
          <w:tcPr>
            <w:tcW w:w="0" w:type="auto"/>
            <w:noWrap w:val="0"/>
            <w:vAlign w:val="center"/>
          </w:tcPr>
          <w:p w14:paraId="71346E6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3EB13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8A712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070287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73546D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E385569">
                  <w:r>
                    <w:rPr>
                      <w:rStyle w:val="11"/>
                      <w:rFonts w:hint="eastAsia"/>
                    </w:rPr>
                    <w:t>施用方式</w:t>
                  </w:r>
                </w:p>
              </w:tc>
            </w:tr>
            <w:tr w14:paraId="558C4D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230EE0">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33D083">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C39600">
                  <w:r>
                    <w:rPr>
                      <w:rStyle w:val="11"/>
                      <w:rFonts w:hint="eastAsia"/>
                    </w:rPr>
                    <w:t>3500-4000克/亩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8675FE">
                  <w:r>
                    <w:rPr>
                      <w:rStyle w:val="11"/>
                      <w:rFonts w:hint="eastAsia"/>
                    </w:rPr>
                    <w:t>撒施</w:t>
                  </w:r>
                </w:p>
              </w:tc>
            </w:tr>
          </w:tbl>
          <w:p w14:paraId="2329F5DA">
            <w:pPr>
              <w:rPr>
                <w:rFonts w:ascii="Times New Roman" w:hAnsi="Times New Roman" w:cs="Times New Roman"/>
                <w:sz w:val="20"/>
                <w:szCs w:val="20"/>
              </w:rPr>
            </w:pPr>
          </w:p>
        </w:tc>
      </w:tr>
      <w:tr w14:paraId="51ED406D">
        <w:tblPrEx>
          <w:tblCellMar>
            <w:top w:w="0" w:type="dxa"/>
            <w:left w:w="0" w:type="dxa"/>
            <w:bottom w:w="0" w:type="dxa"/>
            <w:right w:w="0" w:type="dxa"/>
          </w:tblCellMar>
        </w:tblPrEx>
        <w:trPr>
          <w:wBefore w:w="0" w:type="auto"/>
          <w:tblCellSpacing w:w="0" w:type="dxa"/>
        </w:trPr>
        <w:tc>
          <w:tcPr>
            <w:tcW w:w="0" w:type="auto"/>
            <w:noWrap w:val="0"/>
            <w:vAlign w:val="center"/>
          </w:tcPr>
          <w:p w14:paraId="74FFC633">
            <w:r>
              <w:rPr>
                <w:rStyle w:val="10"/>
                <w:rFonts w:hint="eastAsia"/>
              </w:rPr>
              <w:t>使用技术要求:</w:t>
            </w:r>
            <w:r>
              <w:rPr>
                <w:rFonts w:hint="eastAsia"/>
              </w:rPr>
              <w:br w:type="textWrapping"/>
            </w:r>
            <w:r>
              <w:rPr>
                <w:rStyle w:val="11"/>
                <w:rFonts w:hint="eastAsia"/>
              </w:rPr>
              <w:t>1.甘蓝移栽前夕药剂拌土，撒于种植沟、穴内，移栽后覆土，并保持一定墒情，以利于有效成分的释放和均匀分布。3.大风天或预计1小时有大雨，请勿施药。4.在甘蓝上每季最多使用1次。</w:t>
            </w:r>
          </w:p>
        </w:tc>
      </w:tr>
      <w:tr w14:paraId="2FDE31F4">
        <w:tblPrEx>
          <w:tblCellMar>
            <w:top w:w="0" w:type="dxa"/>
            <w:left w:w="0" w:type="dxa"/>
            <w:bottom w:w="0" w:type="dxa"/>
            <w:right w:w="0" w:type="dxa"/>
          </w:tblCellMar>
        </w:tblPrEx>
        <w:trPr>
          <w:wBefore w:w="0" w:type="auto"/>
          <w:tblCellSpacing w:w="0" w:type="dxa"/>
        </w:trPr>
        <w:tc>
          <w:tcPr>
            <w:tcW w:w="0" w:type="auto"/>
            <w:noWrap w:val="0"/>
            <w:vAlign w:val="center"/>
          </w:tcPr>
          <w:p w14:paraId="54D7D802">
            <w:r>
              <w:rPr>
                <w:rStyle w:val="10"/>
                <w:rFonts w:hint="eastAsia"/>
              </w:rPr>
              <w:t>产品性能:</w:t>
            </w:r>
            <w:r>
              <w:rPr>
                <w:rFonts w:hint="eastAsia"/>
              </w:rPr>
              <w:br w:type="textWrapping"/>
            </w:r>
            <w:r>
              <w:rPr>
                <w:rStyle w:val="11"/>
                <w:rFonts w:hint="eastAsia"/>
              </w:rPr>
              <w:t>本品为联苯菊酯和噻虫胺的混配制剂，具有内吸、触杀和胃毒的作用，可有效防治甘蓝黄条跳甲。</w:t>
            </w:r>
          </w:p>
        </w:tc>
      </w:tr>
      <w:tr w14:paraId="7273D9F8">
        <w:tblPrEx>
          <w:tblCellMar>
            <w:top w:w="0" w:type="dxa"/>
            <w:left w:w="0" w:type="dxa"/>
            <w:bottom w:w="0" w:type="dxa"/>
            <w:right w:w="0" w:type="dxa"/>
          </w:tblCellMar>
        </w:tblPrEx>
        <w:trPr>
          <w:wBefore w:w="0" w:type="auto"/>
          <w:tblCellSpacing w:w="0" w:type="dxa"/>
        </w:trPr>
        <w:tc>
          <w:tcPr>
            <w:tcW w:w="0" w:type="auto"/>
            <w:noWrap w:val="0"/>
            <w:vAlign w:val="center"/>
          </w:tcPr>
          <w:p w14:paraId="56ABF82E">
            <w:r>
              <w:rPr>
                <w:rStyle w:val="10"/>
                <w:rFonts w:hint="eastAsia"/>
              </w:rPr>
              <w:t>注意事项：</w:t>
            </w:r>
            <w:r>
              <w:rPr>
                <w:rFonts w:hint="eastAsia"/>
              </w:rPr>
              <w:br w:type="textWrapping"/>
            </w:r>
            <w:r>
              <w:rPr>
                <w:rStyle w:val="11"/>
                <w:rFonts w:hint="eastAsia"/>
              </w:rPr>
              <w:t>1.本品不可与呈碱性的农药等物质混合使用。 2. 本品对皮肤有刺激性，使用时避免接触皮肤，穿戴长衣、长裤、帽子、口罩、手套等防护措施。 避免吸入药液。施药期间不可吃东西和饮水，施药后及时洗手和洗脸。 3.本品对蜜蜂、鱼类等水生生物、家蚕有毒，周围（开花）植物花期禁用，施药时应密切关注对附近蜂群的影响。赤眼蜂等天敌放飞区禁用。远离水产养殖区、河塘等水体施药；禁止在河塘等水体中清洗施药器具；清洗施药器具的废液禁止排入河塘等水域。 4.建议与其他作用机制不同的杀虫剂交替使用，以延缓抗性产生。 5.孕期和哺乳期妇女应避免接触。 6.用过的容器应妥善处理，不可做他用，也不可随意丢弃。</w:t>
            </w:r>
          </w:p>
        </w:tc>
      </w:tr>
      <w:tr w14:paraId="06069791">
        <w:tblPrEx>
          <w:tblCellMar>
            <w:top w:w="0" w:type="dxa"/>
            <w:left w:w="0" w:type="dxa"/>
            <w:bottom w:w="0" w:type="dxa"/>
            <w:right w:w="0" w:type="dxa"/>
          </w:tblCellMar>
        </w:tblPrEx>
        <w:trPr>
          <w:wBefore w:w="0" w:type="auto"/>
          <w:tblCellSpacing w:w="0" w:type="dxa"/>
        </w:trPr>
        <w:tc>
          <w:tcPr>
            <w:tcW w:w="0" w:type="auto"/>
            <w:noWrap w:val="0"/>
            <w:vAlign w:val="center"/>
          </w:tcPr>
          <w:p w14:paraId="2A39F4E0">
            <w:r>
              <w:rPr>
                <w:rStyle w:val="10"/>
                <w:rFonts w:hint="eastAsia"/>
              </w:rPr>
              <w:t>中毒急救措施：</w:t>
            </w:r>
            <w:r>
              <w:rPr>
                <w:rFonts w:hint="eastAsia"/>
              </w:rPr>
              <w:br w:type="textWrapping"/>
            </w:r>
            <w:r>
              <w:rPr>
                <w:rStyle w:val="11"/>
                <w:rFonts w:hint="eastAsia"/>
              </w:rPr>
              <w:t>急救措施：1.用药时如果感觉不适，立即停止工作，采取急救措施，并携此标签送医就诊。 2.皮肤接触：立即脱掉被污染的衣物，用肥皂和大量清水彻底清洗受污染的皮肤。必要时请医生诊治。 3.眼睛溅药：用清水冲洗至少15分钟，再请医生诊治。 4.发生吸入：立即将吸入者转移到空气新鲜处。如果停止呼吸，需进行人工呼吸。 5.发生误服，立即停止服用，用清水充分漱口后，立即携带农药标签送医院就诊。本品无特殊解毒药剂，可按菊酯类农药中毒解救方法对症治疗。大量吞服时可洗胃，不能催吐。</w:t>
            </w:r>
          </w:p>
        </w:tc>
      </w:tr>
      <w:tr w14:paraId="565FE3CC">
        <w:tblPrEx>
          <w:tblCellMar>
            <w:top w:w="0" w:type="dxa"/>
            <w:left w:w="0" w:type="dxa"/>
            <w:bottom w:w="0" w:type="dxa"/>
            <w:right w:w="0" w:type="dxa"/>
          </w:tblCellMar>
        </w:tblPrEx>
        <w:trPr>
          <w:wBefore w:w="0" w:type="auto"/>
          <w:tblCellSpacing w:w="0" w:type="dxa"/>
        </w:trPr>
        <w:tc>
          <w:tcPr>
            <w:tcW w:w="0" w:type="auto"/>
            <w:noWrap w:val="0"/>
            <w:vAlign w:val="center"/>
          </w:tcPr>
          <w:p w14:paraId="5757A7FF">
            <w:r>
              <w:rPr>
                <w:rStyle w:val="10"/>
                <w:rFonts w:hint="eastAsia"/>
              </w:rPr>
              <w:t>储存和运输方法：</w:t>
            </w:r>
            <w:r>
              <w:rPr>
                <w:rFonts w:hint="eastAsia"/>
              </w:rPr>
              <w:br w:type="textWrapping"/>
            </w:r>
            <w:r>
              <w:rPr>
                <w:rStyle w:val="11"/>
                <w:rFonts w:hint="eastAsia"/>
              </w:rPr>
              <w:t>本品应远离火源、热源，贮存于阴凉、通风、干燥防雨处，置于儿童、无关人员触及不到之处，并加锁。勿与食品、饮料、饲料、粮食等同贮同运。</w:t>
            </w:r>
          </w:p>
        </w:tc>
      </w:tr>
      <w:tr w14:paraId="464D43DF">
        <w:tblPrEx>
          <w:tblCellMar>
            <w:top w:w="0" w:type="dxa"/>
            <w:left w:w="0" w:type="dxa"/>
            <w:bottom w:w="0" w:type="dxa"/>
            <w:right w:w="0" w:type="dxa"/>
          </w:tblCellMar>
        </w:tblPrEx>
        <w:trPr>
          <w:wBefore w:w="0" w:type="auto"/>
          <w:tblCellSpacing w:w="0" w:type="dxa"/>
        </w:trPr>
        <w:tc>
          <w:tcPr>
            <w:tcW w:w="0" w:type="auto"/>
            <w:noWrap w:val="0"/>
            <w:vAlign w:val="center"/>
          </w:tcPr>
          <w:p w14:paraId="6CA96C59">
            <w:r>
              <w:rPr>
                <w:rStyle w:val="10"/>
                <w:rFonts w:hint="eastAsia"/>
              </w:rPr>
              <w:t>质量保证期：</w:t>
            </w:r>
            <w:r>
              <w:rPr>
                <w:rStyle w:val="11"/>
                <w:rFonts w:hint="eastAsia"/>
              </w:rPr>
              <w:t>2年</w:t>
            </w:r>
          </w:p>
        </w:tc>
      </w:tr>
      <w:tr w14:paraId="013BC2D1">
        <w:tblPrEx>
          <w:tblCellMar>
            <w:top w:w="0" w:type="dxa"/>
            <w:left w:w="0" w:type="dxa"/>
            <w:bottom w:w="0" w:type="dxa"/>
            <w:right w:w="0" w:type="dxa"/>
          </w:tblCellMar>
        </w:tblPrEx>
        <w:trPr>
          <w:wBefore w:w="0" w:type="auto"/>
          <w:tblCellSpacing w:w="0" w:type="dxa"/>
        </w:trPr>
        <w:tc>
          <w:tcPr>
            <w:tcW w:w="0" w:type="auto"/>
            <w:noWrap w:val="0"/>
            <w:vAlign w:val="center"/>
          </w:tcPr>
          <w:p w14:paraId="411E416B">
            <w:r>
              <w:rPr>
                <w:rStyle w:val="10"/>
                <w:rFonts w:hint="eastAsia"/>
              </w:rPr>
              <w:t>备注：</w:t>
            </w:r>
          </w:p>
        </w:tc>
      </w:tr>
    </w:tbl>
    <w:p w14:paraId="7F23834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9A672F1">
        <w:tblPrEx>
          <w:tblCellMar>
            <w:top w:w="0" w:type="dxa"/>
            <w:left w:w="0" w:type="dxa"/>
            <w:bottom w:w="0" w:type="dxa"/>
            <w:right w:w="0" w:type="dxa"/>
          </w:tblCellMar>
        </w:tblPrEx>
        <w:trPr>
          <w:wBefore w:w="0" w:type="auto"/>
          <w:tblCellSpacing w:w="0" w:type="dxa"/>
        </w:trPr>
        <w:tc>
          <w:tcPr>
            <w:tcW w:w="0" w:type="auto"/>
            <w:noWrap w:val="0"/>
            <w:vAlign w:val="center"/>
          </w:tcPr>
          <w:p w14:paraId="18717A0A">
            <w:r>
              <w:rPr>
                <w:rStyle w:val="10"/>
                <w:rFonts w:hint="eastAsia"/>
              </w:rPr>
              <w:t>登记证号：</w:t>
            </w:r>
            <w:r>
              <w:rPr>
                <w:rFonts w:hint="eastAsia"/>
              </w:rPr>
              <w:t>PD20212112</w:t>
            </w:r>
          </w:p>
        </w:tc>
      </w:tr>
      <w:tr w14:paraId="643EEBAA">
        <w:tblPrEx>
          <w:tblCellMar>
            <w:top w:w="0" w:type="dxa"/>
            <w:left w:w="0" w:type="dxa"/>
            <w:bottom w:w="0" w:type="dxa"/>
            <w:right w:w="0" w:type="dxa"/>
          </w:tblCellMar>
        </w:tblPrEx>
        <w:trPr>
          <w:wBefore w:w="0" w:type="auto"/>
          <w:tblCellSpacing w:w="0" w:type="dxa"/>
        </w:trPr>
        <w:tc>
          <w:tcPr>
            <w:tcW w:w="0" w:type="auto"/>
            <w:noWrap w:val="0"/>
            <w:vAlign w:val="center"/>
          </w:tcPr>
          <w:p w14:paraId="1E8EBC10">
            <w:r>
              <w:rPr>
                <w:rStyle w:val="10"/>
                <w:rFonts w:hint="eastAsia"/>
              </w:rPr>
              <w:t>登记证持有人：</w:t>
            </w:r>
            <w:r>
              <w:rPr>
                <w:rFonts w:hint="eastAsia"/>
              </w:rPr>
              <w:t>德州大成伟业农业科技有限公司</w:t>
            </w:r>
          </w:p>
        </w:tc>
      </w:tr>
      <w:tr w14:paraId="6E5B526D">
        <w:tblPrEx>
          <w:tblCellMar>
            <w:top w:w="0" w:type="dxa"/>
            <w:left w:w="0" w:type="dxa"/>
            <w:bottom w:w="0" w:type="dxa"/>
            <w:right w:w="0" w:type="dxa"/>
          </w:tblCellMar>
        </w:tblPrEx>
        <w:trPr>
          <w:wBefore w:w="0" w:type="auto"/>
          <w:tblCellSpacing w:w="0" w:type="dxa"/>
        </w:trPr>
        <w:tc>
          <w:tcPr>
            <w:tcW w:w="0" w:type="auto"/>
            <w:noWrap w:val="0"/>
            <w:vAlign w:val="center"/>
          </w:tcPr>
          <w:p w14:paraId="1F03BEE2">
            <w:r>
              <w:rPr>
                <w:rStyle w:val="10"/>
                <w:rFonts w:hint="eastAsia"/>
              </w:rPr>
              <w:t>农药名称：</w:t>
            </w:r>
            <w:r>
              <w:rPr>
                <w:rFonts w:hint="eastAsia"/>
              </w:rPr>
              <w:t>烟嘧·莠去津</w:t>
            </w:r>
          </w:p>
        </w:tc>
      </w:tr>
      <w:tr w14:paraId="200DB744">
        <w:tblPrEx>
          <w:tblCellMar>
            <w:top w:w="0" w:type="dxa"/>
            <w:left w:w="0" w:type="dxa"/>
            <w:bottom w:w="0" w:type="dxa"/>
            <w:right w:w="0" w:type="dxa"/>
          </w:tblCellMar>
        </w:tblPrEx>
        <w:trPr>
          <w:wBefore w:w="0" w:type="auto"/>
          <w:tblCellSpacing w:w="0" w:type="dxa"/>
        </w:trPr>
        <w:tc>
          <w:tcPr>
            <w:tcW w:w="0" w:type="auto"/>
            <w:noWrap w:val="0"/>
            <w:vAlign w:val="center"/>
          </w:tcPr>
          <w:p w14:paraId="698D74B8">
            <w:r>
              <w:rPr>
                <w:rStyle w:val="10"/>
                <w:rFonts w:hint="eastAsia"/>
              </w:rPr>
              <w:t>剂型：</w:t>
            </w:r>
            <w:r>
              <w:rPr>
                <w:rFonts w:hint="eastAsia"/>
              </w:rPr>
              <w:t>可分散油悬浮剂</w:t>
            </w:r>
          </w:p>
        </w:tc>
      </w:tr>
      <w:tr w14:paraId="273CB8D2">
        <w:tblPrEx>
          <w:tblCellMar>
            <w:top w:w="0" w:type="dxa"/>
            <w:left w:w="0" w:type="dxa"/>
            <w:bottom w:w="0" w:type="dxa"/>
            <w:right w:w="0" w:type="dxa"/>
          </w:tblCellMar>
        </w:tblPrEx>
        <w:trPr>
          <w:wBefore w:w="0" w:type="auto"/>
          <w:tblCellSpacing w:w="0" w:type="dxa"/>
        </w:trPr>
        <w:tc>
          <w:tcPr>
            <w:tcW w:w="0" w:type="auto"/>
            <w:noWrap w:val="0"/>
            <w:vAlign w:val="center"/>
          </w:tcPr>
          <w:p w14:paraId="0D564D8F">
            <w:r>
              <w:rPr>
                <w:rStyle w:val="10"/>
                <w:rFonts w:hint="eastAsia"/>
              </w:rPr>
              <w:t>毒性及其标识：</w:t>
            </w:r>
            <w:r>
              <w:rPr>
                <w:rFonts w:hint="eastAsia"/>
              </w:rPr>
              <w:t xml:space="preserve"> </w:t>
            </w:r>
            <w:r>
              <w:rPr>
                <w:lang/>
              </w:rPr>
              <w:drawing>
                <wp:inline distT="0" distB="0" distL="114300" distR="114300">
                  <wp:extent cx="476250" cy="323850"/>
                  <wp:effectExtent l="0" t="0" r="0" b="0"/>
                  <wp:docPr id="350" name="图片 35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C462713">
        <w:tblPrEx>
          <w:tblCellMar>
            <w:top w:w="0" w:type="dxa"/>
            <w:left w:w="0" w:type="dxa"/>
            <w:bottom w:w="0" w:type="dxa"/>
            <w:right w:w="0" w:type="dxa"/>
          </w:tblCellMar>
        </w:tblPrEx>
        <w:trPr>
          <w:wBefore w:w="0" w:type="auto"/>
          <w:tblCellSpacing w:w="0" w:type="dxa"/>
        </w:trPr>
        <w:tc>
          <w:tcPr>
            <w:tcW w:w="0" w:type="auto"/>
            <w:noWrap w:val="0"/>
            <w:vAlign w:val="center"/>
          </w:tcPr>
          <w:p w14:paraId="67244D4D">
            <w:r>
              <w:rPr>
                <w:rStyle w:val="10"/>
                <w:rFonts w:hint="eastAsia"/>
              </w:rPr>
              <w:t>总有效成分含量：</w:t>
            </w:r>
            <w:r>
              <w:rPr>
                <w:rFonts w:hint="eastAsia"/>
              </w:rPr>
              <w:t>24%</w:t>
            </w:r>
          </w:p>
        </w:tc>
      </w:tr>
      <w:tr w14:paraId="005E3817">
        <w:tblPrEx>
          <w:tblCellMar>
            <w:top w:w="0" w:type="dxa"/>
            <w:left w:w="0" w:type="dxa"/>
            <w:bottom w:w="0" w:type="dxa"/>
            <w:right w:w="0" w:type="dxa"/>
          </w:tblCellMar>
        </w:tblPrEx>
        <w:trPr>
          <w:wBefore w:w="0" w:type="auto"/>
          <w:tblCellSpacing w:w="0" w:type="dxa"/>
        </w:trPr>
        <w:tc>
          <w:tcPr>
            <w:tcW w:w="0" w:type="auto"/>
            <w:noWrap w:val="0"/>
            <w:vAlign w:val="center"/>
          </w:tcPr>
          <w:p w14:paraId="5BC0FB8D">
            <w:r>
              <w:rPr>
                <w:rFonts w:hint="eastAsia"/>
              </w:rPr>
              <w:t xml:space="preserve">有效成分及其含量： </w:t>
            </w:r>
          </w:p>
          <w:p w14:paraId="4716343B">
            <w:r>
              <w:rPr>
                <w:rFonts w:hint="eastAsia"/>
              </w:rPr>
              <w:t xml:space="preserve">    烟嘧磺隆4%    莠去津20%    </w:t>
            </w:r>
          </w:p>
        </w:tc>
      </w:tr>
      <w:tr w14:paraId="694F2E9B">
        <w:tblPrEx>
          <w:tblCellMar>
            <w:top w:w="0" w:type="dxa"/>
            <w:left w:w="0" w:type="dxa"/>
            <w:bottom w:w="0" w:type="dxa"/>
            <w:right w:w="0" w:type="dxa"/>
          </w:tblCellMar>
        </w:tblPrEx>
        <w:trPr>
          <w:wBefore w:w="0" w:type="auto"/>
          <w:tblCellSpacing w:w="0" w:type="dxa"/>
        </w:trPr>
        <w:tc>
          <w:tcPr>
            <w:tcW w:w="0" w:type="auto"/>
            <w:noWrap w:val="0"/>
            <w:vAlign w:val="center"/>
          </w:tcPr>
          <w:p w14:paraId="271A670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B7FC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668FA2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860A6D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17B36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086DD83">
                  <w:r>
                    <w:rPr>
                      <w:rStyle w:val="11"/>
                      <w:rFonts w:hint="eastAsia"/>
                    </w:rPr>
                    <w:t>施用方式</w:t>
                  </w:r>
                </w:p>
              </w:tc>
            </w:tr>
            <w:tr w14:paraId="68EE78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9396343">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9C567B">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D39C12">
                  <w:r>
                    <w:rPr>
                      <w:rStyle w:val="11"/>
                      <w:rFonts w:hint="eastAsia"/>
                    </w:rPr>
                    <w:t>90-100毫升/亩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871C1E">
                  <w:r>
                    <w:rPr>
                      <w:rStyle w:val="11"/>
                      <w:rFonts w:hint="eastAsia"/>
                    </w:rPr>
                    <w:t>茎叶喷雾</w:t>
                  </w:r>
                </w:p>
              </w:tc>
            </w:tr>
          </w:tbl>
          <w:p w14:paraId="1A8350BD">
            <w:pPr>
              <w:rPr>
                <w:rFonts w:ascii="Times New Roman" w:hAnsi="Times New Roman" w:cs="Times New Roman"/>
                <w:sz w:val="20"/>
                <w:szCs w:val="20"/>
              </w:rPr>
            </w:pPr>
          </w:p>
        </w:tc>
      </w:tr>
      <w:tr w14:paraId="4DDDAEE4">
        <w:tblPrEx>
          <w:tblCellMar>
            <w:top w:w="0" w:type="dxa"/>
            <w:left w:w="0" w:type="dxa"/>
            <w:bottom w:w="0" w:type="dxa"/>
            <w:right w:w="0" w:type="dxa"/>
          </w:tblCellMar>
        </w:tblPrEx>
        <w:trPr>
          <w:wBefore w:w="0" w:type="auto"/>
          <w:tblCellSpacing w:w="0" w:type="dxa"/>
        </w:trPr>
        <w:tc>
          <w:tcPr>
            <w:tcW w:w="0" w:type="auto"/>
            <w:noWrap w:val="0"/>
            <w:vAlign w:val="center"/>
          </w:tcPr>
          <w:p w14:paraId="7C817A0C">
            <w:r>
              <w:rPr>
                <w:rStyle w:val="10"/>
                <w:rFonts w:hint="eastAsia"/>
              </w:rPr>
              <w:t>使用技术要求:</w:t>
            </w:r>
            <w:r>
              <w:rPr>
                <w:rFonts w:hint="eastAsia"/>
              </w:rPr>
              <w:br w:type="textWrapping"/>
            </w:r>
            <w:r>
              <w:rPr>
                <w:rStyle w:val="11"/>
                <w:rFonts w:hint="eastAsia"/>
              </w:rPr>
              <w:t>1.于玉米3-5叶期，杂草2-4叶期，每亩兑水20-40公斤，均匀茎叶喷雾，每季作物最多使用一次。2.施药时应选择早上或傍晚时进行 3. 大风天或预计1小时内有雨，请勿施药。遇特殊条件，如高温干旱、低温、玉米生长弱小时，请慎用。</w:t>
            </w:r>
          </w:p>
        </w:tc>
      </w:tr>
      <w:tr w14:paraId="5F5767AF">
        <w:tblPrEx>
          <w:tblCellMar>
            <w:top w:w="0" w:type="dxa"/>
            <w:left w:w="0" w:type="dxa"/>
            <w:bottom w:w="0" w:type="dxa"/>
            <w:right w:w="0" w:type="dxa"/>
          </w:tblCellMar>
        </w:tblPrEx>
        <w:trPr>
          <w:wBefore w:w="0" w:type="auto"/>
          <w:tblCellSpacing w:w="0" w:type="dxa"/>
        </w:trPr>
        <w:tc>
          <w:tcPr>
            <w:tcW w:w="0" w:type="auto"/>
            <w:noWrap w:val="0"/>
            <w:vAlign w:val="center"/>
          </w:tcPr>
          <w:p w14:paraId="15F08D6C">
            <w:r>
              <w:rPr>
                <w:rStyle w:val="10"/>
                <w:rFonts w:hint="eastAsia"/>
              </w:rPr>
              <w:t>产品性能:</w:t>
            </w:r>
            <w:r>
              <w:rPr>
                <w:rFonts w:hint="eastAsia"/>
              </w:rPr>
              <w:br w:type="textWrapping"/>
            </w:r>
            <w:r>
              <w:rPr>
                <w:rStyle w:val="11"/>
                <w:rFonts w:hint="eastAsia"/>
              </w:rPr>
              <w:t>本品为烟嘧磺隆和莠去津混配制剂，两成分混配可扩大杀草谱，减少单剂用量，提高对物的安全性，同时起到封杀杂草的效果， 对玉米田一年生杂草有较好的防除效果。</w:t>
            </w:r>
          </w:p>
        </w:tc>
      </w:tr>
      <w:tr w14:paraId="32008C5D">
        <w:tblPrEx>
          <w:tblCellMar>
            <w:top w:w="0" w:type="dxa"/>
            <w:left w:w="0" w:type="dxa"/>
            <w:bottom w:w="0" w:type="dxa"/>
            <w:right w:w="0" w:type="dxa"/>
          </w:tblCellMar>
        </w:tblPrEx>
        <w:trPr>
          <w:wBefore w:w="0" w:type="auto"/>
          <w:tblCellSpacing w:w="0" w:type="dxa"/>
        </w:trPr>
        <w:tc>
          <w:tcPr>
            <w:tcW w:w="0" w:type="auto"/>
            <w:noWrap w:val="0"/>
            <w:vAlign w:val="center"/>
          </w:tcPr>
          <w:p w14:paraId="032D701C">
            <w:r>
              <w:rPr>
                <w:rStyle w:val="10"/>
                <w:rFonts w:hint="eastAsia"/>
              </w:rPr>
              <w:t>注意事项：</w:t>
            </w:r>
            <w:r>
              <w:rPr>
                <w:rFonts w:hint="eastAsia"/>
              </w:rPr>
              <w:br w:type="textWrapping"/>
            </w:r>
            <w:r>
              <w:rPr>
                <w:rStyle w:val="11"/>
                <w:rFonts w:hint="eastAsia"/>
              </w:rPr>
              <w:t>1、本品主要适用于马齿型和硬质玉米。甜玉米、糯玉米、爆裂玉米、制种玉米、自交系玉米对本品敏感，新玉米品种试验确认安全后方可使用。2、不能与有机磷杀虫剂混用，使用本剂前后7天内不能使用有机磷类杀虫剂。3、施药数日后，作物偶尔会出现褪色或抑制生长的情况，但不会影响作物的最终产量。4、如在上茬小麦田中使用过长残效除草剂，如甲磺隆、氯磺隆等，及与阔叶作物间作或套种的玉米田，不宜使用本剂。5、莠去津在土壤中的残效期较长，干旱、低温地区残效期会更长，对其敏感作物有麦类、大豆、花生、油菜、向日葵、瓜类、棉花、水稻、十字花科蔬菜，还有杨树、桃树等浅根系树木，换茬时要考虑对莠去津的敏感性。6、本品对鸟类、蜜蜂、鱼类等水生生物、家蚕有毒，禁止在开花植物花期、蚕室和桑园附近使用。远离水产养殖区、河塘等水域施药。赤眼蜂、瓢虫等天敌放飞区域禁用。禁止在河塘等水域清洗施药器具。废弃物要妥善处理，不可做他用，也不可随意丢弃。7、施药时应穿戴防护衣服和手套、口罩等防护用具。避免药液接触皮肤、眼睛和污染衣物，避免吸入药液，施药期间不可吃东西和饮水，施药后应及时洗手和洗脸。8、孕妇及哺乳期妇女避免接触本品。</w:t>
            </w:r>
          </w:p>
        </w:tc>
      </w:tr>
      <w:tr w14:paraId="38D701EA">
        <w:tblPrEx>
          <w:tblCellMar>
            <w:top w:w="0" w:type="dxa"/>
            <w:left w:w="0" w:type="dxa"/>
            <w:bottom w:w="0" w:type="dxa"/>
            <w:right w:w="0" w:type="dxa"/>
          </w:tblCellMar>
        </w:tblPrEx>
        <w:trPr>
          <w:wBefore w:w="0" w:type="auto"/>
          <w:tblCellSpacing w:w="0" w:type="dxa"/>
        </w:trPr>
        <w:tc>
          <w:tcPr>
            <w:tcW w:w="0" w:type="auto"/>
            <w:noWrap w:val="0"/>
            <w:vAlign w:val="center"/>
          </w:tcPr>
          <w:p w14:paraId="24128AAA">
            <w:r>
              <w:rPr>
                <w:rStyle w:val="10"/>
                <w:rFonts w:hint="eastAsia"/>
              </w:rPr>
              <w:t>中毒急救措施：</w:t>
            </w:r>
            <w:r>
              <w:rPr>
                <w:rFonts w:hint="eastAsia"/>
              </w:rPr>
              <w:br w:type="textWrapping"/>
            </w:r>
            <w:r>
              <w:rPr>
                <w:rStyle w:val="11"/>
                <w:rFonts w:hint="eastAsia"/>
              </w:rPr>
              <w:t>如药物溅到皮肤或衣物上，用肥皂和清水冲洗；如溅到眼中时，应立即用大量清水冲洗至少15分钟，如有不适，立即到医院就诊；如误服：请用清水充分漱口后，立即送医院就诊。无解毒剂，对症治疗。</w:t>
            </w:r>
          </w:p>
        </w:tc>
      </w:tr>
      <w:tr w14:paraId="360063F7">
        <w:tblPrEx>
          <w:tblCellMar>
            <w:top w:w="0" w:type="dxa"/>
            <w:left w:w="0" w:type="dxa"/>
            <w:bottom w:w="0" w:type="dxa"/>
            <w:right w:w="0" w:type="dxa"/>
          </w:tblCellMar>
        </w:tblPrEx>
        <w:trPr>
          <w:wBefore w:w="0" w:type="auto"/>
          <w:tblCellSpacing w:w="0" w:type="dxa"/>
        </w:trPr>
        <w:tc>
          <w:tcPr>
            <w:tcW w:w="0" w:type="auto"/>
            <w:noWrap w:val="0"/>
            <w:vAlign w:val="center"/>
          </w:tcPr>
          <w:p w14:paraId="2BB43F64">
            <w:r>
              <w:rPr>
                <w:rStyle w:val="10"/>
                <w:rFonts w:hint="eastAsia"/>
              </w:rPr>
              <w:t>储存和运输方法：</w:t>
            </w:r>
            <w:r>
              <w:rPr>
                <w:rFonts w:hint="eastAsia"/>
              </w:rPr>
              <w:br w:type="textWrapping"/>
            </w:r>
            <w:r>
              <w:rPr>
                <w:rStyle w:val="11"/>
                <w:rFonts w:hint="eastAsia"/>
              </w:rPr>
              <w:t>1.本品应贮存在干燥、阴凉、通风、防雨处，远离热源和火源。2.置于儿童、无关人员触及不到之处，并加锁。3.勿与食品、饮料、粮食、饲料等其他商品同贮同运。</w:t>
            </w:r>
          </w:p>
        </w:tc>
      </w:tr>
      <w:tr w14:paraId="6A589A20">
        <w:tblPrEx>
          <w:tblCellMar>
            <w:top w:w="0" w:type="dxa"/>
            <w:left w:w="0" w:type="dxa"/>
            <w:bottom w:w="0" w:type="dxa"/>
            <w:right w:w="0" w:type="dxa"/>
          </w:tblCellMar>
        </w:tblPrEx>
        <w:trPr>
          <w:wBefore w:w="0" w:type="auto"/>
          <w:tblCellSpacing w:w="0" w:type="dxa"/>
        </w:trPr>
        <w:tc>
          <w:tcPr>
            <w:tcW w:w="0" w:type="auto"/>
            <w:noWrap w:val="0"/>
            <w:vAlign w:val="center"/>
          </w:tcPr>
          <w:p w14:paraId="0887D05F">
            <w:r>
              <w:rPr>
                <w:rStyle w:val="10"/>
                <w:rFonts w:hint="eastAsia"/>
              </w:rPr>
              <w:t>质量保证期：</w:t>
            </w:r>
            <w:r>
              <w:rPr>
                <w:rStyle w:val="11"/>
                <w:rFonts w:hint="eastAsia"/>
              </w:rPr>
              <w:t>2年</w:t>
            </w:r>
          </w:p>
        </w:tc>
      </w:tr>
      <w:tr w14:paraId="3CDA40A9">
        <w:tblPrEx>
          <w:tblCellMar>
            <w:top w:w="0" w:type="dxa"/>
            <w:left w:w="0" w:type="dxa"/>
            <w:bottom w:w="0" w:type="dxa"/>
            <w:right w:w="0" w:type="dxa"/>
          </w:tblCellMar>
        </w:tblPrEx>
        <w:trPr>
          <w:wBefore w:w="0" w:type="auto"/>
          <w:tblCellSpacing w:w="0" w:type="dxa"/>
        </w:trPr>
        <w:tc>
          <w:tcPr>
            <w:tcW w:w="0" w:type="auto"/>
            <w:noWrap w:val="0"/>
            <w:vAlign w:val="center"/>
          </w:tcPr>
          <w:p w14:paraId="690C7605">
            <w:r>
              <w:rPr>
                <w:rStyle w:val="10"/>
                <w:rFonts w:hint="eastAsia"/>
              </w:rPr>
              <w:t>备注：</w:t>
            </w:r>
          </w:p>
        </w:tc>
      </w:tr>
    </w:tbl>
    <w:p w14:paraId="4DA2AB8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74B64E">
        <w:tblPrEx>
          <w:tblCellMar>
            <w:top w:w="0" w:type="dxa"/>
            <w:left w:w="0" w:type="dxa"/>
            <w:bottom w:w="0" w:type="dxa"/>
            <w:right w:w="0" w:type="dxa"/>
          </w:tblCellMar>
        </w:tblPrEx>
        <w:trPr>
          <w:wBefore w:w="0" w:type="auto"/>
          <w:tblCellSpacing w:w="0" w:type="dxa"/>
        </w:trPr>
        <w:tc>
          <w:tcPr>
            <w:tcW w:w="0" w:type="auto"/>
            <w:noWrap w:val="0"/>
            <w:vAlign w:val="center"/>
          </w:tcPr>
          <w:p w14:paraId="7E10045B">
            <w:r>
              <w:rPr>
                <w:rStyle w:val="10"/>
                <w:rFonts w:hint="eastAsia"/>
              </w:rPr>
              <w:t>登记证号：</w:t>
            </w:r>
            <w:r>
              <w:rPr>
                <w:rFonts w:hint="eastAsia"/>
              </w:rPr>
              <w:t>PD20212151</w:t>
            </w:r>
          </w:p>
        </w:tc>
      </w:tr>
      <w:tr w14:paraId="4D3FEC76">
        <w:tblPrEx>
          <w:tblCellMar>
            <w:top w:w="0" w:type="dxa"/>
            <w:left w:w="0" w:type="dxa"/>
            <w:bottom w:w="0" w:type="dxa"/>
            <w:right w:w="0" w:type="dxa"/>
          </w:tblCellMar>
        </w:tblPrEx>
        <w:trPr>
          <w:wBefore w:w="0" w:type="auto"/>
          <w:tblCellSpacing w:w="0" w:type="dxa"/>
        </w:trPr>
        <w:tc>
          <w:tcPr>
            <w:tcW w:w="0" w:type="auto"/>
            <w:noWrap w:val="0"/>
            <w:vAlign w:val="center"/>
          </w:tcPr>
          <w:p w14:paraId="200FDE14">
            <w:r>
              <w:rPr>
                <w:rStyle w:val="10"/>
                <w:rFonts w:hint="eastAsia"/>
              </w:rPr>
              <w:t>登记证持有人：</w:t>
            </w:r>
            <w:r>
              <w:rPr>
                <w:rFonts w:hint="eastAsia"/>
              </w:rPr>
              <w:t>四川利尔作物科学有限公司</w:t>
            </w:r>
          </w:p>
        </w:tc>
      </w:tr>
      <w:tr w14:paraId="0D11D280">
        <w:tblPrEx>
          <w:tblCellMar>
            <w:top w:w="0" w:type="dxa"/>
            <w:left w:w="0" w:type="dxa"/>
            <w:bottom w:w="0" w:type="dxa"/>
            <w:right w:w="0" w:type="dxa"/>
          </w:tblCellMar>
        </w:tblPrEx>
        <w:trPr>
          <w:wBefore w:w="0" w:type="auto"/>
          <w:tblCellSpacing w:w="0" w:type="dxa"/>
        </w:trPr>
        <w:tc>
          <w:tcPr>
            <w:tcW w:w="0" w:type="auto"/>
            <w:noWrap w:val="0"/>
            <w:vAlign w:val="center"/>
          </w:tcPr>
          <w:p w14:paraId="53FBCFD8">
            <w:r>
              <w:rPr>
                <w:rStyle w:val="10"/>
                <w:rFonts w:hint="eastAsia"/>
              </w:rPr>
              <w:t>农药名称：</w:t>
            </w:r>
            <w:r>
              <w:rPr>
                <w:rFonts w:hint="eastAsia"/>
              </w:rPr>
              <w:t>丙草胺</w:t>
            </w:r>
          </w:p>
        </w:tc>
      </w:tr>
      <w:tr w14:paraId="16905A70">
        <w:tblPrEx>
          <w:tblCellMar>
            <w:top w:w="0" w:type="dxa"/>
            <w:left w:w="0" w:type="dxa"/>
            <w:bottom w:w="0" w:type="dxa"/>
            <w:right w:w="0" w:type="dxa"/>
          </w:tblCellMar>
        </w:tblPrEx>
        <w:trPr>
          <w:wBefore w:w="0" w:type="auto"/>
          <w:tblCellSpacing w:w="0" w:type="dxa"/>
        </w:trPr>
        <w:tc>
          <w:tcPr>
            <w:tcW w:w="0" w:type="auto"/>
            <w:noWrap w:val="0"/>
            <w:vAlign w:val="center"/>
          </w:tcPr>
          <w:p w14:paraId="227596C2">
            <w:r>
              <w:rPr>
                <w:rStyle w:val="10"/>
                <w:rFonts w:hint="eastAsia"/>
              </w:rPr>
              <w:t>剂型：</w:t>
            </w:r>
            <w:r>
              <w:rPr>
                <w:rFonts w:hint="eastAsia"/>
              </w:rPr>
              <w:t>微囊悬浮剂</w:t>
            </w:r>
          </w:p>
        </w:tc>
      </w:tr>
      <w:tr w14:paraId="57FA092C">
        <w:tblPrEx>
          <w:tblCellMar>
            <w:top w:w="0" w:type="dxa"/>
            <w:left w:w="0" w:type="dxa"/>
            <w:bottom w:w="0" w:type="dxa"/>
            <w:right w:w="0" w:type="dxa"/>
          </w:tblCellMar>
        </w:tblPrEx>
        <w:trPr>
          <w:wBefore w:w="0" w:type="auto"/>
          <w:tblCellSpacing w:w="0" w:type="dxa"/>
        </w:trPr>
        <w:tc>
          <w:tcPr>
            <w:tcW w:w="0" w:type="auto"/>
            <w:noWrap w:val="0"/>
            <w:vAlign w:val="center"/>
          </w:tcPr>
          <w:p w14:paraId="2B60AC1B">
            <w:r>
              <w:rPr>
                <w:rStyle w:val="10"/>
                <w:rFonts w:hint="eastAsia"/>
              </w:rPr>
              <w:t>毒性及其标识：</w:t>
            </w:r>
            <w:r>
              <w:rPr>
                <w:rFonts w:hint="eastAsia"/>
              </w:rPr>
              <w:t xml:space="preserve"> </w:t>
            </w:r>
            <w:r>
              <w:rPr>
                <w:lang/>
              </w:rPr>
              <w:drawing>
                <wp:inline distT="0" distB="0" distL="114300" distR="114300">
                  <wp:extent cx="476250" cy="323850"/>
                  <wp:effectExtent l="0" t="0" r="0" b="0"/>
                  <wp:docPr id="351" name="图片 35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B97DF8D">
        <w:tblPrEx>
          <w:tblCellMar>
            <w:top w:w="0" w:type="dxa"/>
            <w:left w:w="0" w:type="dxa"/>
            <w:bottom w:w="0" w:type="dxa"/>
            <w:right w:w="0" w:type="dxa"/>
          </w:tblCellMar>
        </w:tblPrEx>
        <w:trPr>
          <w:wBefore w:w="0" w:type="auto"/>
          <w:tblCellSpacing w:w="0" w:type="dxa"/>
        </w:trPr>
        <w:tc>
          <w:tcPr>
            <w:tcW w:w="0" w:type="auto"/>
            <w:noWrap w:val="0"/>
            <w:vAlign w:val="center"/>
          </w:tcPr>
          <w:p w14:paraId="427D6DAC">
            <w:r>
              <w:rPr>
                <w:rStyle w:val="10"/>
                <w:rFonts w:hint="eastAsia"/>
              </w:rPr>
              <w:t>总有效成分含量：</w:t>
            </w:r>
            <w:r>
              <w:rPr>
                <w:rFonts w:hint="eastAsia"/>
              </w:rPr>
              <w:t>30%</w:t>
            </w:r>
          </w:p>
        </w:tc>
      </w:tr>
      <w:tr w14:paraId="5FBB69D1">
        <w:tblPrEx>
          <w:tblCellMar>
            <w:top w:w="0" w:type="dxa"/>
            <w:left w:w="0" w:type="dxa"/>
            <w:bottom w:w="0" w:type="dxa"/>
            <w:right w:w="0" w:type="dxa"/>
          </w:tblCellMar>
        </w:tblPrEx>
        <w:trPr>
          <w:wBefore w:w="0" w:type="auto"/>
          <w:tblCellSpacing w:w="0" w:type="dxa"/>
        </w:trPr>
        <w:tc>
          <w:tcPr>
            <w:tcW w:w="0" w:type="auto"/>
            <w:noWrap w:val="0"/>
            <w:vAlign w:val="center"/>
          </w:tcPr>
          <w:p w14:paraId="50778721">
            <w:r>
              <w:rPr>
                <w:rFonts w:hint="eastAsia"/>
              </w:rPr>
              <w:t xml:space="preserve">有效成分及其含量： </w:t>
            </w:r>
          </w:p>
          <w:p w14:paraId="39B9E63A">
            <w:r>
              <w:rPr>
                <w:rFonts w:hint="eastAsia"/>
              </w:rPr>
              <w:t xml:space="preserve">    丙草胺30%    </w:t>
            </w:r>
          </w:p>
        </w:tc>
      </w:tr>
      <w:tr w14:paraId="3389E6D4">
        <w:tblPrEx>
          <w:tblCellMar>
            <w:top w:w="0" w:type="dxa"/>
            <w:left w:w="0" w:type="dxa"/>
            <w:bottom w:w="0" w:type="dxa"/>
            <w:right w:w="0" w:type="dxa"/>
          </w:tblCellMar>
        </w:tblPrEx>
        <w:trPr>
          <w:wBefore w:w="0" w:type="auto"/>
          <w:tblCellSpacing w:w="0" w:type="dxa"/>
        </w:trPr>
        <w:tc>
          <w:tcPr>
            <w:tcW w:w="0" w:type="auto"/>
            <w:noWrap w:val="0"/>
            <w:vAlign w:val="center"/>
          </w:tcPr>
          <w:p w14:paraId="04CBF91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8DBC20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FEF54C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12247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F0256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5BAB69">
                  <w:r>
                    <w:rPr>
                      <w:rStyle w:val="11"/>
                      <w:rFonts w:hint="eastAsia"/>
                    </w:rPr>
                    <w:t>施用方式</w:t>
                  </w:r>
                </w:p>
              </w:tc>
            </w:tr>
            <w:tr w14:paraId="4FF197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F217ED7">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BA4B76">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548624">
                  <w:r>
                    <w:rPr>
                      <w:rStyle w:val="11"/>
                      <w:rFonts w:hint="eastAsia"/>
                    </w:rPr>
                    <w:t>100-150毫升/亩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94A9DF">
                  <w:r>
                    <w:rPr>
                      <w:rStyle w:val="11"/>
                      <w:rFonts w:hint="eastAsia"/>
                    </w:rPr>
                    <w:t>土壤喷雾</w:t>
                  </w:r>
                </w:p>
              </w:tc>
            </w:tr>
          </w:tbl>
          <w:p w14:paraId="46A60D44">
            <w:pPr>
              <w:rPr>
                <w:rFonts w:ascii="Times New Roman" w:hAnsi="Times New Roman" w:cs="Times New Roman"/>
                <w:sz w:val="20"/>
                <w:szCs w:val="20"/>
              </w:rPr>
            </w:pPr>
          </w:p>
        </w:tc>
      </w:tr>
      <w:tr w14:paraId="6020383A">
        <w:tblPrEx>
          <w:tblCellMar>
            <w:top w:w="0" w:type="dxa"/>
            <w:left w:w="0" w:type="dxa"/>
            <w:bottom w:w="0" w:type="dxa"/>
            <w:right w:w="0" w:type="dxa"/>
          </w:tblCellMar>
        </w:tblPrEx>
        <w:trPr>
          <w:wBefore w:w="0" w:type="auto"/>
          <w:tblCellSpacing w:w="0" w:type="dxa"/>
        </w:trPr>
        <w:tc>
          <w:tcPr>
            <w:tcW w:w="0" w:type="auto"/>
            <w:noWrap w:val="0"/>
            <w:vAlign w:val="center"/>
          </w:tcPr>
          <w:p w14:paraId="2ABFE119">
            <w:r>
              <w:rPr>
                <w:rStyle w:val="10"/>
                <w:rFonts w:hint="eastAsia"/>
              </w:rPr>
              <w:t>使用技术要求:</w:t>
            </w:r>
            <w:r>
              <w:rPr>
                <w:rFonts w:hint="eastAsia"/>
              </w:rPr>
              <w:br w:type="textWrapping"/>
            </w:r>
            <w:r>
              <w:rPr>
                <w:rStyle w:val="11"/>
                <w:rFonts w:hint="eastAsia"/>
              </w:rPr>
              <w:t>1.本品应在经过催芽后播种的直播田中使用，在水稻种子根具有吸收能力时施用。2.施药前土壤必须保持湿润、水分饱和、无水层；施药后3天应保持厢面湿润无积水。3.严格按照推荐用量使用，催芽播种后2-5天用药，杂草出土前，每亩兑水30-45升，进行土壤喷雾处理，均匀喷施。4.每季作物最多施用1次。</w:t>
            </w:r>
          </w:p>
        </w:tc>
      </w:tr>
      <w:tr w14:paraId="736E5C57">
        <w:tblPrEx>
          <w:tblCellMar>
            <w:top w:w="0" w:type="dxa"/>
            <w:left w:w="0" w:type="dxa"/>
            <w:bottom w:w="0" w:type="dxa"/>
            <w:right w:w="0" w:type="dxa"/>
          </w:tblCellMar>
        </w:tblPrEx>
        <w:trPr>
          <w:wBefore w:w="0" w:type="auto"/>
          <w:tblCellSpacing w:w="0" w:type="dxa"/>
        </w:trPr>
        <w:tc>
          <w:tcPr>
            <w:tcW w:w="0" w:type="auto"/>
            <w:noWrap w:val="0"/>
            <w:vAlign w:val="center"/>
          </w:tcPr>
          <w:p w14:paraId="40B07A40">
            <w:r>
              <w:rPr>
                <w:rStyle w:val="10"/>
                <w:rFonts w:hint="eastAsia"/>
              </w:rPr>
              <w:t>产品性能:</w:t>
            </w:r>
            <w:r>
              <w:rPr>
                <w:rFonts w:hint="eastAsia"/>
              </w:rPr>
              <w:br w:type="textWrapping"/>
            </w:r>
            <w:r>
              <w:rPr>
                <w:rStyle w:val="11"/>
                <w:rFonts w:hint="eastAsia"/>
              </w:rPr>
              <w:t>本品是一种水稻直播田封闭除草剂。</w:t>
            </w:r>
          </w:p>
        </w:tc>
      </w:tr>
      <w:tr w14:paraId="0C5ACD63">
        <w:tblPrEx>
          <w:tblCellMar>
            <w:top w:w="0" w:type="dxa"/>
            <w:left w:w="0" w:type="dxa"/>
            <w:bottom w:w="0" w:type="dxa"/>
            <w:right w:w="0" w:type="dxa"/>
          </w:tblCellMar>
        </w:tblPrEx>
        <w:trPr>
          <w:wBefore w:w="0" w:type="auto"/>
          <w:tblCellSpacing w:w="0" w:type="dxa"/>
        </w:trPr>
        <w:tc>
          <w:tcPr>
            <w:tcW w:w="0" w:type="auto"/>
            <w:noWrap w:val="0"/>
            <w:vAlign w:val="center"/>
          </w:tcPr>
          <w:p w14:paraId="27D62F8F">
            <w:r>
              <w:rPr>
                <w:rStyle w:val="10"/>
                <w:rFonts w:hint="eastAsia"/>
              </w:rPr>
              <w:t>注意事项：</w:t>
            </w:r>
            <w:r>
              <w:rPr>
                <w:rFonts w:hint="eastAsia"/>
              </w:rPr>
              <w:br w:type="textWrapping"/>
            </w:r>
            <w:r>
              <w:rPr>
                <w:rStyle w:val="11"/>
                <w:rFonts w:hint="eastAsia"/>
              </w:rPr>
              <w:t>1.施用时尽量做好身体各部位科学合理的防护，采取正确的施药方式。注意个人防护，穿长衣长裤、戴手套、眼镜、戴口罩等；施药时不能吸烟、饮水等；施药后清洗干净手脸等。2.施用本品的田块应整地平整，避免有大土块及石块等杂物，排灌便利。施药过程中若遇大风及大雨等影响喷雾效果的情形时应停止施药。严禁重喷和漏喷，并防止雾滴飘移到其他田块。3.施药后至水稻三叶一心，应保持田间土表湿润，无积水。若出现厢面干涸开裂等土表持续低含水量的情况会明显的影响药效，应及时进行灌水，但水层不能淹没稻心；若出现厢面有积水的情况应及时排水，避免积水淹心导致水稻产生药害。4.在推荐剂量下可有效防治水田中稗草、千金子、异型莎草等大多数一年生禾本科杂草、莎草和部分双子叶杂草，对多年生杂草防效差。若要在双子叶和多年生杂草发生严重的田块使用，请咨询当地农技人员结合其他杂草控制措施，科学谨慎的使用。5.请在农技人员指导下，根据农事操作水平，栽培措施、杂草发生基数及施药前后气候条件等因素科学合理的调整用药剂量和时间。6.避免与氧化剂接触。 7.远离水产养殖区、河塘等水体施药，禁止在河塘等水体中清洗施药器具；鱼或虾蟹套养稻田禁用、施药后的田水不得直接排入水体；蚕室及桑园附近禁用。8.废弃物要妥善处理，不能随意丢弃，也不能做他用。 9.避免孕妇及哺乳期的妇女接触本品。 10.使用前请仔细阅读此标签，并严格按照标签说明使用。未尽使用情形，请结合当地实际情况，在农业技术人员指导下使用。</w:t>
            </w:r>
          </w:p>
        </w:tc>
      </w:tr>
      <w:tr w14:paraId="2A97F8F5">
        <w:tblPrEx>
          <w:tblCellMar>
            <w:top w:w="0" w:type="dxa"/>
            <w:left w:w="0" w:type="dxa"/>
            <w:bottom w:w="0" w:type="dxa"/>
            <w:right w:w="0" w:type="dxa"/>
          </w:tblCellMar>
        </w:tblPrEx>
        <w:trPr>
          <w:wBefore w:w="0" w:type="auto"/>
          <w:tblCellSpacing w:w="0" w:type="dxa"/>
        </w:trPr>
        <w:tc>
          <w:tcPr>
            <w:tcW w:w="0" w:type="auto"/>
            <w:noWrap w:val="0"/>
            <w:vAlign w:val="center"/>
          </w:tcPr>
          <w:p w14:paraId="0616C6D3">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5E9ABBFA">
        <w:tblPrEx>
          <w:tblCellMar>
            <w:top w:w="0" w:type="dxa"/>
            <w:left w:w="0" w:type="dxa"/>
            <w:bottom w:w="0" w:type="dxa"/>
            <w:right w:w="0" w:type="dxa"/>
          </w:tblCellMar>
        </w:tblPrEx>
        <w:trPr>
          <w:wBefore w:w="0" w:type="auto"/>
          <w:tblCellSpacing w:w="0" w:type="dxa"/>
        </w:trPr>
        <w:tc>
          <w:tcPr>
            <w:tcW w:w="0" w:type="auto"/>
            <w:noWrap w:val="0"/>
            <w:vAlign w:val="center"/>
          </w:tcPr>
          <w:p w14:paraId="51D41C8B">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同贮同运。装卸时，注意轻拿轻放，禁止说笑打闹、吃、喝、抽烟；运输时要防潮防晒。</w:t>
            </w:r>
          </w:p>
        </w:tc>
      </w:tr>
      <w:tr w14:paraId="5EB0E0FC">
        <w:tblPrEx>
          <w:tblCellMar>
            <w:top w:w="0" w:type="dxa"/>
            <w:left w:w="0" w:type="dxa"/>
            <w:bottom w:w="0" w:type="dxa"/>
            <w:right w:w="0" w:type="dxa"/>
          </w:tblCellMar>
        </w:tblPrEx>
        <w:trPr>
          <w:wBefore w:w="0" w:type="auto"/>
          <w:tblCellSpacing w:w="0" w:type="dxa"/>
        </w:trPr>
        <w:tc>
          <w:tcPr>
            <w:tcW w:w="0" w:type="auto"/>
            <w:noWrap w:val="0"/>
            <w:vAlign w:val="center"/>
          </w:tcPr>
          <w:p w14:paraId="4A8E0425">
            <w:r>
              <w:rPr>
                <w:rStyle w:val="10"/>
                <w:rFonts w:hint="eastAsia"/>
              </w:rPr>
              <w:t>质量保证期：</w:t>
            </w:r>
            <w:r>
              <w:rPr>
                <w:rStyle w:val="11"/>
                <w:rFonts w:hint="eastAsia"/>
              </w:rPr>
              <w:t>2年</w:t>
            </w:r>
          </w:p>
        </w:tc>
      </w:tr>
      <w:tr w14:paraId="76941D9B">
        <w:tblPrEx>
          <w:tblCellMar>
            <w:top w:w="0" w:type="dxa"/>
            <w:left w:w="0" w:type="dxa"/>
            <w:bottom w:w="0" w:type="dxa"/>
            <w:right w:w="0" w:type="dxa"/>
          </w:tblCellMar>
        </w:tblPrEx>
        <w:trPr>
          <w:wBefore w:w="0" w:type="auto"/>
          <w:tblCellSpacing w:w="0" w:type="dxa"/>
        </w:trPr>
        <w:tc>
          <w:tcPr>
            <w:tcW w:w="0" w:type="auto"/>
            <w:noWrap w:val="0"/>
            <w:vAlign w:val="center"/>
          </w:tcPr>
          <w:p w14:paraId="75B310A0">
            <w:r>
              <w:rPr>
                <w:rStyle w:val="10"/>
                <w:rFonts w:hint="eastAsia"/>
              </w:rPr>
              <w:t>备注：</w:t>
            </w:r>
          </w:p>
        </w:tc>
      </w:tr>
    </w:tbl>
    <w:p w14:paraId="6F2EE48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C5C564">
        <w:tblPrEx>
          <w:tblCellMar>
            <w:top w:w="0" w:type="dxa"/>
            <w:left w:w="0" w:type="dxa"/>
            <w:bottom w:w="0" w:type="dxa"/>
            <w:right w:w="0" w:type="dxa"/>
          </w:tblCellMar>
        </w:tblPrEx>
        <w:trPr>
          <w:wBefore w:w="0" w:type="auto"/>
          <w:tblCellSpacing w:w="0" w:type="dxa"/>
        </w:trPr>
        <w:tc>
          <w:tcPr>
            <w:tcW w:w="0" w:type="auto"/>
            <w:noWrap w:val="0"/>
            <w:vAlign w:val="center"/>
          </w:tcPr>
          <w:p w14:paraId="50A6C5C9">
            <w:r>
              <w:rPr>
                <w:rStyle w:val="10"/>
                <w:rFonts w:hint="eastAsia"/>
              </w:rPr>
              <w:t>登记证号：</w:t>
            </w:r>
            <w:r>
              <w:rPr>
                <w:rFonts w:hint="eastAsia"/>
              </w:rPr>
              <w:t>PD20211894</w:t>
            </w:r>
          </w:p>
        </w:tc>
      </w:tr>
      <w:tr w14:paraId="11A1568E">
        <w:tblPrEx>
          <w:tblCellMar>
            <w:top w:w="0" w:type="dxa"/>
            <w:left w:w="0" w:type="dxa"/>
            <w:bottom w:w="0" w:type="dxa"/>
            <w:right w:w="0" w:type="dxa"/>
          </w:tblCellMar>
        </w:tblPrEx>
        <w:trPr>
          <w:wBefore w:w="0" w:type="auto"/>
          <w:tblCellSpacing w:w="0" w:type="dxa"/>
        </w:trPr>
        <w:tc>
          <w:tcPr>
            <w:tcW w:w="0" w:type="auto"/>
            <w:noWrap w:val="0"/>
            <w:vAlign w:val="center"/>
          </w:tcPr>
          <w:p w14:paraId="0289EB49">
            <w:r>
              <w:rPr>
                <w:rStyle w:val="10"/>
                <w:rFonts w:hint="eastAsia"/>
              </w:rPr>
              <w:t>登记证持有人：</w:t>
            </w:r>
            <w:r>
              <w:rPr>
                <w:rFonts w:hint="eastAsia"/>
              </w:rPr>
              <w:t>河北省邯郸市建华植物农药厂</w:t>
            </w:r>
          </w:p>
        </w:tc>
      </w:tr>
      <w:tr w14:paraId="39E28AEE">
        <w:tblPrEx>
          <w:tblCellMar>
            <w:top w:w="0" w:type="dxa"/>
            <w:left w:w="0" w:type="dxa"/>
            <w:bottom w:w="0" w:type="dxa"/>
            <w:right w:w="0" w:type="dxa"/>
          </w:tblCellMar>
        </w:tblPrEx>
        <w:trPr>
          <w:wBefore w:w="0" w:type="auto"/>
          <w:tblCellSpacing w:w="0" w:type="dxa"/>
        </w:trPr>
        <w:tc>
          <w:tcPr>
            <w:tcW w:w="0" w:type="auto"/>
            <w:noWrap w:val="0"/>
            <w:vAlign w:val="center"/>
          </w:tcPr>
          <w:p w14:paraId="60EE900D">
            <w:r>
              <w:rPr>
                <w:rStyle w:val="10"/>
                <w:rFonts w:hint="eastAsia"/>
              </w:rPr>
              <w:t>农药名称：</w:t>
            </w:r>
            <w:r>
              <w:rPr>
                <w:rFonts w:hint="eastAsia"/>
              </w:rPr>
              <w:t>香菇多糖</w:t>
            </w:r>
          </w:p>
        </w:tc>
      </w:tr>
      <w:tr w14:paraId="49FB71CE">
        <w:tblPrEx>
          <w:tblCellMar>
            <w:top w:w="0" w:type="dxa"/>
            <w:left w:w="0" w:type="dxa"/>
            <w:bottom w:w="0" w:type="dxa"/>
            <w:right w:w="0" w:type="dxa"/>
          </w:tblCellMar>
        </w:tblPrEx>
        <w:trPr>
          <w:wBefore w:w="0" w:type="auto"/>
          <w:tblCellSpacing w:w="0" w:type="dxa"/>
        </w:trPr>
        <w:tc>
          <w:tcPr>
            <w:tcW w:w="0" w:type="auto"/>
            <w:noWrap w:val="0"/>
            <w:vAlign w:val="center"/>
          </w:tcPr>
          <w:p w14:paraId="310F57F1">
            <w:r>
              <w:rPr>
                <w:rStyle w:val="10"/>
                <w:rFonts w:hint="eastAsia"/>
              </w:rPr>
              <w:t>剂型：</w:t>
            </w:r>
            <w:r>
              <w:rPr>
                <w:rFonts w:hint="eastAsia"/>
              </w:rPr>
              <w:t>可溶液剂</w:t>
            </w:r>
          </w:p>
        </w:tc>
      </w:tr>
      <w:tr w14:paraId="03705895">
        <w:tblPrEx>
          <w:tblCellMar>
            <w:top w:w="0" w:type="dxa"/>
            <w:left w:w="0" w:type="dxa"/>
            <w:bottom w:w="0" w:type="dxa"/>
            <w:right w:w="0" w:type="dxa"/>
          </w:tblCellMar>
        </w:tblPrEx>
        <w:trPr>
          <w:wBefore w:w="0" w:type="auto"/>
          <w:tblCellSpacing w:w="0" w:type="dxa"/>
        </w:trPr>
        <w:tc>
          <w:tcPr>
            <w:tcW w:w="0" w:type="auto"/>
            <w:noWrap w:val="0"/>
            <w:vAlign w:val="center"/>
          </w:tcPr>
          <w:p w14:paraId="37EBD9E7">
            <w:r>
              <w:rPr>
                <w:rStyle w:val="10"/>
                <w:rFonts w:hint="eastAsia"/>
              </w:rPr>
              <w:t>毒性及其标识：</w:t>
            </w:r>
            <w:r>
              <w:rPr>
                <w:rFonts w:hint="eastAsia"/>
              </w:rPr>
              <w:t xml:space="preserve"> </w:t>
            </w:r>
            <w:r>
              <w:rPr>
                <w:lang/>
              </w:rPr>
              <w:drawing>
                <wp:inline distT="0" distB="0" distL="114300" distR="114300">
                  <wp:extent cx="476250" cy="323850"/>
                  <wp:effectExtent l="0" t="0" r="0" b="0"/>
                  <wp:docPr id="352" name="图片 35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36DD7E5">
        <w:tblPrEx>
          <w:tblCellMar>
            <w:top w:w="0" w:type="dxa"/>
            <w:left w:w="0" w:type="dxa"/>
            <w:bottom w:w="0" w:type="dxa"/>
            <w:right w:w="0" w:type="dxa"/>
          </w:tblCellMar>
        </w:tblPrEx>
        <w:trPr>
          <w:wBefore w:w="0" w:type="auto"/>
          <w:tblCellSpacing w:w="0" w:type="dxa"/>
        </w:trPr>
        <w:tc>
          <w:tcPr>
            <w:tcW w:w="0" w:type="auto"/>
            <w:noWrap w:val="0"/>
            <w:vAlign w:val="center"/>
          </w:tcPr>
          <w:p w14:paraId="45DFA485">
            <w:r>
              <w:rPr>
                <w:rStyle w:val="10"/>
                <w:rFonts w:hint="eastAsia"/>
              </w:rPr>
              <w:t>总有效成分含量：</w:t>
            </w:r>
            <w:r>
              <w:rPr>
                <w:rFonts w:hint="eastAsia"/>
              </w:rPr>
              <w:t>2%</w:t>
            </w:r>
          </w:p>
        </w:tc>
      </w:tr>
      <w:tr w14:paraId="2FD0D6A5">
        <w:tblPrEx>
          <w:tblCellMar>
            <w:top w:w="0" w:type="dxa"/>
            <w:left w:w="0" w:type="dxa"/>
            <w:bottom w:w="0" w:type="dxa"/>
            <w:right w:w="0" w:type="dxa"/>
          </w:tblCellMar>
        </w:tblPrEx>
        <w:trPr>
          <w:wBefore w:w="0" w:type="auto"/>
          <w:tblCellSpacing w:w="0" w:type="dxa"/>
        </w:trPr>
        <w:tc>
          <w:tcPr>
            <w:tcW w:w="0" w:type="auto"/>
            <w:noWrap w:val="0"/>
            <w:vAlign w:val="center"/>
          </w:tcPr>
          <w:p w14:paraId="3BE7603F">
            <w:r>
              <w:rPr>
                <w:rFonts w:hint="eastAsia"/>
              </w:rPr>
              <w:t xml:space="preserve">有效成分及其含量： </w:t>
            </w:r>
          </w:p>
          <w:p w14:paraId="4BE03146">
            <w:r>
              <w:rPr>
                <w:rFonts w:hint="eastAsia"/>
              </w:rPr>
              <w:t xml:space="preserve">    香菇多糖2%    </w:t>
            </w:r>
          </w:p>
        </w:tc>
      </w:tr>
      <w:tr w14:paraId="571E617A">
        <w:tblPrEx>
          <w:tblCellMar>
            <w:top w:w="0" w:type="dxa"/>
            <w:left w:w="0" w:type="dxa"/>
            <w:bottom w:w="0" w:type="dxa"/>
            <w:right w:w="0" w:type="dxa"/>
          </w:tblCellMar>
        </w:tblPrEx>
        <w:trPr>
          <w:wBefore w:w="0" w:type="auto"/>
          <w:tblCellSpacing w:w="0" w:type="dxa"/>
        </w:trPr>
        <w:tc>
          <w:tcPr>
            <w:tcW w:w="0" w:type="auto"/>
            <w:noWrap w:val="0"/>
            <w:vAlign w:val="center"/>
          </w:tcPr>
          <w:p w14:paraId="4434B3C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00B0F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D9DD0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04C6D0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9A8116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4872D63">
                  <w:r>
                    <w:rPr>
                      <w:rStyle w:val="11"/>
                      <w:rFonts w:hint="eastAsia"/>
                    </w:rPr>
                    <w:t>施用方式</w:t>
                  </w:r>
                </w:p>
              </w:tc>
            </w:tr>
            <w:tr w14:paraId="607462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9A926C">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5E900C">
                  <w:r>
                    <w:rPr>
                      <w:rStyle w:val="11"/>
                      <w:rFonts w:hint="eastAsia"/>
                    </w:rPr>
                    <w:t>病毒病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02A602">
                  <w:r>
                    <w:rPr>
                      <w:rStyle w:val="11"/>
                      <w:rFonts w:hint="eastAsia"/>
                    </w:rPr>
                    <w:t>35-45毫升/亩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6B8B53">
                  <w:r>
                    <w:rPr>
                      <w:rStyle w:val="11"/>
                      <w:rFonts w:hint="eastAsia"/>
                    </w:rPr>
                    <w:t>喷雾</w:t>
                  </w:r>
                </w:p>
              </w:tc>
            </w:tr>
          </w:tbl>
          <w:p w14:paraId="7A2A3443">
            <w:pPr>
              <w:rPr>
                <w:rFonts w:ascii="Times New Roman" w:hAnsi="Times New Roman" w:cs="Times New Roman"/>
                <w:sz w:val="20"/>
                <w:szCs w:val="20"/>
              </w:rPr>
            </w:pPr>
          </w:p>
        </w:tc>
      </w:tr>
      <w:tr w14:paraId="6AFCD1AE">
        <w:tblPrEx>
          <w:tblCellMar>
            <w:top w:w="0" w:type="dxa"/>
            <w:left w:w="0" w:type="dxa"/>
            <w:bottom w:w="0" w:type="dxa"/>
            <w:right w:w="0" w:type="dxa"/>
          </w:tblCellMar>
        </w:tblPrEx>
        <w:trPr>
          <w:wBefore w:w="0" w:type="auto"/>
          <w:tblCellSpacing w:w="0" w:type="dxa"/>
        </w:trPr>
        <w:tc>
          <w:tcPr>
            <w:tcW w:w="0" w:type="auto"/>
            <w:noWrap w:val="0"/>
            <w:vAlign w:val="center"/>
          </w:tcPr>
          <w:p w14:paraId="1CA4B5E4">
            <w:r>
              <w:rPr>
                <w:rStyle w:val="10"/>
                <w:rFonts w:hint="eastAsia"/>
              </w:rPr>
              <w:t>使用技术要求:</w:t>
            </w:r>
            <w:r>
              <w:rPr>
                <w:rFonts w:hint="eastAsia"/>
              </w:rPr>
              <w:br w:type="textWrapping"/>
            </w:r>
            <w:r>
              <w:rPr>
                <w:rStyle w:val="11"/>
                <w:rFonts w:hint="eastAsia"/>
              </w:rPr>
              <w:t>1.于烟草病毒病发病前期施药，注意喷雾要均匀，视病害发生情况，每7-10天左右施药一次，可连续用药2-3次。 2. 大风天或预计1小时内降雨，请勿施药。</w:t>
            </w:r>
          </w:p>
        </w:tc>
      </w:tr>
      <w:tr w14:paraId="1A944079">
        <w:tblPrEx>
          <w:tblCellMar>
            <w:top w:w="0" w:type="dxa"/>
            <w:left w:w="0" w:type="dxa"/>
            <w:bottom w:w="0" w:type="dxa"/>
            <w:right w:w="0" w:type="dxa"/>
          </w:tblCellMar>
        </w:tblPrEx>
        <w:trPr>
          <w:wBefore w:w="0" w:type="auto"/>
          <w:tblCellSpacing w:w="0" w:type="dxa"/>
        </w:trPr>
        <w:tc>
          <w:tcPr>
            <w:tcW w:w="0" w:type="auto"/>
            <w:noWrap w:val="0"/>
            <w:vAlign w:val="center"/>
          </w:tcPr>
          <w:p w14:paraId="357017C8">
            <w:r>
              <w:rPr>
                <w:rStyle w:val="10"/>
                <w:rFonts w:hint="eastAsia"/>
              </w:rPr>
              <w:t>产品性能:</w:t>
            </w:r>
            <w:r>
              <w:rPr>
                <w:rFonts w:hint="eastAsia"/>
              </w:rPr>
              <w:br w:type="textWrapping"/>
            </w:r>
            <w:r>
              <w:rPr>
                <w:rStyle w:val="11"/>
                <w:rFonts w:hint="eastAsia"/>
              </w:rPr>
              <w:t>本品为植物诱抗剂，应发病前期使用，对植物病害有预防作用，可对烟草病毒病街感染有显著的抑制作用，增强植物抗性，促进植物生长。</w:t>
            </w:r>
          </w:p>
        </w:tc>
      </w:tr>
      <w:tr w14:paraId="5AED3C38">
        <w:tblPrEx>
          <w:tblCellMar>
            <w:top w:w="0" w:type="dxa"/>
            <w:left w:w="0" w:type="dxa"/>
            <w:bottom w:w="0" w:type="dxa"/>
            <w:right w:w="0" w:type="dxa"/>
          </w:tblCellMar>
        </w:tblPrEx>
        <w:trPr>
          <w:wBefore w:w="0" w:type="auto"/>
          <w:tblCellSpacing w:w="0" w:type="dxa"/>
        </w:trPr>
        <w:tc>
          <w:tcPr>
            <w:tcW w:w="0" w:type="auto"/>
            <w:noWrap w:val="0"/>
            <w:vAlign w:val="center"/>
          </w:tcPr>
          <w:p w14:paraId="5879004B">
            <w:r>
              <w:rPr>
                <w:rStyle w:val="10"/>
                <w:rFonts w:hint="eastAsia"/>
              </w:rPr>
              <w:t>注意事项：</w:t>
            </w:r>
            <w:r>
              <w:rPr>
                <w:rFonts w:hint="eastAsia"/>
              </w:rPr>
              <w:br w:type="textWrapping"/>
            </w:r>
            <w:r>
              <w:rPr>
                <w:rStyle w:val="11"/>
                <w:rFonts w:hint="eastAsia"/>
              </w:rPr>
              <w:t>1、使用本品应采取相应的安全防护措施，穿防护服，戴防护手套、口罩等，避免皮肤接触及口鼻吸入。2、使用中不得吸烟、饮水及吃东西，使用后及时清洗手、脸等暴露部位皮肤并更换衣物。3、建议与其他作用机制不同的杀菌剂轮换使用，以延缓抗性产生。4、用过的容器应妥善处理，不可作他用，也不可随意丢弃。药液及其废液不得污染各类水域。5、远离水产养殖区施药，禁止在河塘等水域内清洗施药器具，避免污染水源。6、孕妇和哺乳期妇女避免接触。</w:t>
            </w:r>
          </w:p>
        </w:tc>
      </w:tr>
      <w:tr w14:paraId="2F6D0F25">
        <w:tblPrEx>
          <w:tblCellMar>
            <w:top w:w="0" w:type="dxa"/>
            <w:left w:w="0" w:type="dxa"/>
            <w:bottom w:w="0" w:type="dxa"/>
            <w:right w:w="0" w:type="dxa"/>
          </w:tblCellMar>
        </w:tblPrEx>
        <w:trPr>
          <w:wBefore w:w="0" w:type="auto"/>
          <w:tblCellSpacing w:w="0" w:type="dxa"/>
        </w:trPr>
        <w:tc>
          <w:tcPr>
            <w:tcW w:w="0" w:type="auto"/>
            <w:noWrap w:val="0"/>
            <w:vAlign w:val="center"/>
          </w:tcPr>
          <w:p w14:paraId="7D6C0FE0">
            <w:r>
              <w:rPr>
                <w:rStyle w:val="10"/>
                <w:rFonts w:hint="eastAsia"/>
              </w:rPr>
              <w:t>中毒急救措施：</w:t>
            </w:r>
            <w:r>
              <w:rPr>
                <w:rFonts w:hint="eastAsia"/>
              </w:rPr>
              <w:br w:type="textWrapping"/>
            </w:r>
            <w:r>
              <w:rPr>
                <w:rStyle w:val="11"/>
                <w:rFonts w:hint="eastAsia"/>
              </w:rPr>
              <w:t>本品为低毒，不慎吸入，应将病人移至空气流通处。不慎接触皮肤或溅入眼睛，用大量清水冲洗至少15分钟。如有误服，立即引吐，并迅速携本标签就医，医务人员可给患者洗胃，但要防止胃存物进入呼吸道。</w:t>
            </w:r>
          </w:p>
        </w:tc>
      </w:tr>
      <w:tr w14:paraId="74833C23">
        <w:tblPrEx>
          <w:tblCellMar>
            <w:top w:w="0" w:type="dxa"/>
            <w:left w:w="0" w:type="dxa"/>
            <w:bottom w:w="0" w:type="dxa"/>
            <w:right w:w="0" w:type="dxa"/>
          </w:tblCellMar>
        </w:tblPrEx>
        <w:trPr>
          <w:wBefore w:w="0" w:type="auto"/>
          <w:tblCellSpacing w:w="0" w:type="dxa"/>
        </w:trPr>
        <w:tc>
          <w:tcPr>
            <w:tcW w:w="0" w:type="auto"/>
            <w:noWrap w:val="0"/>
            <w:vAlign w:val="center"/>
          </w:tcPr>
          <w:p w14:paraId="16E041D3">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本品应贮存在干燥、阴凉、通风、防雨处，远离火源或热源。置于儿童、无关人员触及不到之处，并加锁。勿与食品、饮料、饲料等其他商品同贮同运。严禁倒置。</w:t>
            </w:r>
          </w:p>
        </w:tc>
      </w:tr>
      <w:tr w14:paraId="18B74B40">
        <w:tblPrEx>
          <w:tblCellMar>
            <w:top w:w="0" w:type="dxa"/>
            <w:left w:w="0" w:type="dxa"/>
            <w:bottom w:w="0" w:type="dxa"/>
            <w:right w:w="0" w:type="dxa"/>
          </w:tblCellMar>
        </w:tblPrEx>
        <w:trPr>
          <w:wBefore w:w="0" w:type="auto"/>
          <w:tblCellSpacing w:w="0" w:type="dxa"/>
        </w:trPr>
        <w:tc>
          <w:tcPr>
            <w:tcW w:w="0" w:type="auto"/>
            <w:noWrap w:val="0"/>
            <w:vAlign w:val="center"/>
          </w:tcPr>
          <w:p w14:paraId="4D347842">
            <w:r>
              <w:rPr>
                <w:rStyle w:val="10"/>
                <w:rFonts w:hint="eastAsia"/>
              </w:rPr>
              <w:t>质量保证期：</w:t>
            </w:r>
            <w:r>
              <w:rPr>
                <w:rStyle w:val="11"/>
                <w:rFonts w:hint="eastAsia"/>
              </w:rPr>
              <w:t>2年</w:t>
            </w:r>
          </w:p>
        </w:tc>
      </w:tr>
      <w:tr w14:paraId="42476D18">
        <w:tblPrEx>
          <w:tblCellMar>
            <w:top w:w="0" w:type="dxa"/>
            <w:left w:w="0" w:type="dxa"/>
            <w:bottom w:w="0" w:type="dxa"/>
            <w:right w:w="0" w:type="dxa"/>
          </w:tblCellMar>
        </w:tblPrEx>
        <w:trPr>
          <w:wBefore w:w="0" w:type="auto"/>
          <w:tblCellSpacing w:w="0" w:type="dxa"/>
        </w:trPr>
        <w:tc>
          <w:tcPr>
            <w:tcW w:w="0" w:type="auto"/>
            <w:noWrap w:val="0"/>
            <w:vAlign w:val="center"/>
          </w:tcPr>
          <w:p w14:paraId="5C6989D1">
            <w:r>
              <w:rPr>
                <w:rStyle w:val="10"/>
                <w:rFonts w:hint="eastAsia"/>
              </w:rPr>
              <w:t>备注：</w:t>
            </w:r>
          </w:p>
        </w:tc>
      </w:tr>
    </w:tbl>
    <w:p w14:paraId="52D1ECA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7237B9">
        <w:tblPrEx>
          <w:tblCellMar>
            <w:top w:w="0" w:type="dxa"/>
            <w:left w:w="0" w:type="dxa"/>
            <w:bottom w:w="0" w:type="dxa"/>
            <w:right w:w="0" w:type="dxa"/>
          </w:tblCellMar>
        </w:tblPrEx>
        <w:trPr>
          <w:wBefore w:w="0" w:type="auto"/>
          <w:tblCellSpacing w:w="0" w:type="dxa"/>
        </w:trPr>
        <w:tc>
          <w:tcPr>
            <w:tcW w:w="0" w:type="auto"/>
            <w:noWrap w:val="0"/>
            <w:vAlign w:val="center"/>
          </w:tcPr>
          <w:p w14:paraId="516213BE">
            <w:r>
              <w:rPr>
                <w:rStyle w:val="10"/>
                <w:rFonts w:hint="eastAsia"/>
              </w:rPr>
              <w:t>登记证号：</w:t>
            </w:r>
            <w:r>
              <w:rPr>
                <w:rFonts w:hint="eastAsia"/>
              </w:rPr>
              <w:t>PD20211733</w:t>
            </w:r>
          </w:p>
        </w:tc>
      </w:tr>
      <w:tr w14:paraId="39CEF392">
        <w:tblPrEx>
          <w:tblCellMar>
            <w:top w:w="0" w:type="dxa"/>
            <w:left w:w="0" w:type="dxa"/>
            <w:bottom w:w="0" w:type="dxa"/>
            <w:right w:w="0" w:type="dxa"/>
          </w:tblCellMar>
        </w:tblPrEx>
        <w:trPr>
          <w:wBefore w:w="0" w:type="auto"/>
          <w:tblCellSpacing w:w="0" w:type="dxa"/>
        </w:trPr>
        <w:tc>
          <w:tcPr>
            <w:tcW w:w="0" w:type="auto"/>
            <w:noWrap w:val="0"/>
            <w:vAlign w:val="center"/>
          </w:tcPr>
          <w:p w14:paraId="276EA6CF">
            <w:r>
              <w:rPr>
                <w:rStyle w:val="10"/>
                <w:rFonts w:hint="eastAsia"/>
              </w:rPr>
              <w:t>登记证持有人：</w:t>
            </w:r>
            <w:r>
              <w:rPr>
                <w:rFonts w:hint="eastAsia"/>
              </w:rPr>
              <w:t>广西利民药业股份有限公司</w:t>
            </w:r>
          </w:p>
        </w:tc>
      </w:tr>
      <w:tr w14:paraId="23F36FBB">
        <w:tblPrEx>
          <w:tblCellMar>
            <w:top w:w="0" w:type="dxa"/>
            <w:left w:w="0" w:type="dxa"/>
            <w:bottom w:w="0" w:type="dxa"/>
            <w:right w:w="0" w:type="dxa"/>
          </w:tblCellMar>
        </w:tblPrEx>
        <w:trPr>
          <w:wBefore w:w="0" w:type="auto"/>
          <w:tblCellSpacing w:w="0" w:type="dxa"/>
        </w:trPr>
        <w:tc>
          <w:tcPr>
            <w:tcW w:w="0" w:type="auto"/>
            <w:noWrap w:val="0"/>
            <w:vAlign w:val="center"/>
          </w:tcPr>
          <w:p w14:paraId="38C1850C">
            <w:r>
              <w:rPr>
                <w:rStyle w:val="10"/>
                <w:rFonts w:hint="eastAsia"/>
              </w:rPr>
              <w:t>农药名称：</w:t>
            </w:r>
            <w:r>
              <w:rPr>
                <w:rFonts w:hint="eastAsia"/>
              </w:rPr>
              <w:t>虫螨腈·虱螨脲</w:t>
            </w:r>
          </w:p>
        </w:tc>
      </w:tr>
      <w:tr w14:paraId="628E0AC0">
        <w:tblPrEx>
          <w:tblCellMar>
            <w:top w:w="0" w:type="dxa"/>
            <w:left w:w="0" w:type="dxa"/>
            <w:bottom w:w="0" w:type="dxa"/>
            <w:right w:w="0" w:type="dxa"/>
          </w:tblCellMar>
        </w:tblPrEx>
        <w:trPr>
          <w:wBefore w:w="0" w:type="auto"/>
          <w:tblCellSpacing w:w="0" w:type="dxa"/>
        </w:trPr>
        <w:tc>
          <w:tcPr>
            <w:tcW w:w="0" w:type="auto"/>
            <w:noWrap w:val="0"/>
            <w:vAlign w:val="center"/>
          </w:tcPr>
          <w:p w14:paraId="23D75E1E">
            <w:r>
              <w:rPr>
                <w:rStyle w:val="10"/>
                <w:rFonts w:hint="eastAsia"/>
              </w:rPr>
              <w:t>剂型：</w:t>
            </w:r>
            <w:r>
              <w:rPr>
                <w:rFonts w:hint="eastAsia"/>
              </w:rPr>
              <w:t>悬浮剂</w:t>
            </w:r>
          </w:p>
        </w:tc>
      </w:tr>
      <w:tr w14:paraId="229F28C9">
        <w:tblPrEx>
          <w:tblCellMar>
            <w:top w:w="0" w:type="dxa"/>
            <w:left w:w="0" w:type="dxa"/>
            <w:bottom w:w="0" w:type="dxa"/>
            <w:right w:w="0" w:type="dxa"/>
          </w:tblCellMar>
        </w:tblPrEx>
        <w:trPr>
          <w:wBefore w:w="0" w:type="auto"/>
          <w:tblCellSpacing w:w="0" w:type="dxa"/>
        </w:trPr>
        <w:tc>
          <w:tcPr>
            <w:tcW w:w="0" w:type="auto"/>
            <w:noWrap w:val="0"/>
            <w:vAlign w:val="center"/>
          </w:tcPr>
          <w:p w14:paraId="5CDBF9B3">
            <w:r>
              <w:rPr>
                <w:rStyle w:val="10"/>
                <w:rFonts w:hint="eastAsia"/>
              </w:rPr>
              <w:t>毒性及其标识：</w:t>
            </w:r>
            <w:r>
              <w:rPr>
                <w:rFonts w:hint="eastAsia"/>
              </w:rPr>
              <w:t xml:space="preserve"> 微毒 </w:t>
            </w:r>
          </w:p>
        </w:tc>
      </w:tr>
      <w:tr w14:paraId="0EE37ED7">
        <w:tblPrEx>
          <w:tblCellMar>
            <w:top w:w="0" w:type="dxa"/>
            <w:left w:w="0" w:type="dxa"/>
            <w:bottom w:w="0" w:type="dxa"/>
            <w:right w:w="0" w:type="dxa"/>
          </w:tblCellMar>
        </w:tblPrEx>
        <w:trPr>
          <w:wBefore w:w="0" w:type="auto"/>
          <w:tblCellSpacing w:w="0" w:type="dxa"/>
        </w:trPr>
        <w:tc>
          <w:tcPr>
            <w:tcW w:w="0" w:type="auto"/>
            <w:noWrap w:val="0"/>
            <w:vAlign w:val="center"/>
          </w:tcPr>
          <w:p w14:paraId="3F2DE9C2">
            <w:r>
              <w:rPr>
                <w:rStyle w:val="10"/>
                <w:rFonts w:hint="eastAsia"/>
              </w:rPr>
              <w:t>总有效成分含量：</w:t>
            </w:r>
            <w:r>
              <w:rPr>
                <w:rFonts w:hint="eastAsia"/>
              </w:rPr>
              <w:t>12%</w:t>
            </w:r>
          </w:p>
        </w:tc>
      </w:tr>
      <w:tr w14:paraId="115E7FB2">
        <w:tblPrEx>
          <w:tblCellMar>
            <w:top w:w="0" w:type="dxa"/>
            <w:left w:w="0" w:type="dxa"/>
            <w:bottom w:w="0" w:type="dxa"/>
            <w:right w:w="0" w:type="dxa"/>
          </w:tblCellMar>
        </w:tblPrEx>
        <w:trPr>
          <w:wBefore w:w="0" w:type="auto"/>
          <w:tblCellSpacing w:w="0" w:type="dxa"/>
        </w:trPr>
        <w:tc>
          <w:tcPr>
            <w:tcW w:w="0" w:type="auto"/>
            <w:noWrap w:val="0"/>
            <w:vAlign w:val="center"/>
          </w:tcPr>
          <w:p w14:paraId="203A04DB">
            <w:r>
              <w:rPr>
                <w:rFonts w:hint="eastAsia"/>
              </w:rPr>
              <w:t xml:space="preserve">有效成分及其含量： </w:t>
            </w:r>
          </w:p>
          <w:p w14:paraId="69C1D2C5">
            <w:r>
              <w:rPr>
                <w:rFonts w:hint="eastAsia"/>
              </w:rPr>
              <w:t xml:space="preserve">    虱螨脲2.5%    虫螨腈9.5%    </w:t>
            </w:r>
          </w:p>
        </w:tc>
      </w:tr>
      <w:tr w14:paraId="79154D8C">
        <w:tblPrEx>
          <w:tblCellMar>
            <w:top w:w="0" w:type="dxa"/>
            <w:left w:w="0" w:type="dxa"/>
            <w:bottom w:w="0" w:type="dxa"/>
            <w:right w:w="0" w:type="dxa"/>
          </w:tblCellMar>
        </w:tblPrEx>
        <w:trPr>
          <w:wBefore w:w="0" w:type="auto"/>
          <w:tblCellSpacing w:w="0" w:type="dxa"/>
        </w:trPr>
        <w:tc>
          <w:tcPr>
            <w:tcW w:w="0" w:type="auto"/>
            <w:noWrap w:val="0"/>
            <w:vAlign w:val="center"/>
          </w:tcPr>
          <w:p w14:paraId="36B4AA2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563A29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B197A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60EAB6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90DB03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E881572">
                  <w:r>
                    <w:rPr>
                      <w:rStyle w:val="11"/>
                      <w:rFonts w:hint="eastAsia"/>
                    </w:rPr>
                    <w:t>施用方式</w:t>
                  </w:r>
                </w:p>
              </w:tc>
            </w:tr>
            <w:tr w14:paraId="2E045D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F41C238">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E42EE8">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73B972">
                  <w:r>
                    <w:rPr>
                      <w:rStyle w:val="11"/>
                      <w:rFonts w:hint="eastAsia"/>
                    </w:rPr>
                    <w:t>25-42克/亩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A02F8D">
                  <w:r>
                    <w:rPr>
                      <w:rStyle w:val="11"/>
                      <w:rFonts w:hint="eastAsia"/>
                    </w:rPr>
                    <w:t>喷雾</w:t>
                  </w:r>
                </w:p>
              </w:tc>
            </w:tr>
          </w:tbl>
          <w:p w14:paraId="08097C70">
            <w:pPr>
              <w:rPr>
                <w:rFonts w:ascii="Times New Roman" w:hAnsi="Times New Roman" w:cs="Times New Roman"/>
                <w:sz w:val="20"/>
                <w:szCs w:val="20"/>
              </w:rPr>
            </w:pPr>
          </w:p>
        </w:tc>
      </w:tr>
      <w:tr w14:paraId="096EFCE3">
        <w:tblPrEx>
          <w:tblCellMar>
            <w:top w:w="0" w:type="dxa"/>
            <w:left w:w="0" w:type="dxa"/>
            <w:bottom w:w="0" w:type="dxa"/>
            <w:right w:w="0" w:type="dxa"/>
          </w:tblCellMar>
        </w:tblPrEx>
        <w:trPr>
          <w:wBefore w:w="0" w:type="auto"/>
          <w:tblCellSpacing w:w="0" w:type="dxa"/>
        </w:trPr>
        <w:tc>
          <w:tcPr>
            <w:tcW w:w="0" w:type="auto"/>
            <w:noWrap w:val="0"/>
            <w:vAlign w:val="center"/>
          </w:tcPr>
          <w:p w14:paraId="4A0824A1">
            <w:r>
              <w:rPr>
                <w:rStyle w:val="10"/>
                <w:rFonts w:hint="eastAsia"/>
              </w:rPr>
              <w:t>使用技术要求:</w:t>
            </w:r>
            <w:r>
              <w:rPr>
                <w:rFonts w:hint="eastAsia"/>
              </w:rPr>
              <w:br w:type="textWrapping"/>
            </w:r>
            <w:r>
              <w:rPr>
                <w:rStyle w:val="11"/>
                <w:rFonts w:hint="eastAsia"/>
              </w:rPr>
              <w:t>1. 在甘蓝甜菜夜蛾幼虫期，均匀喷雾处理施药1次。2. 大风天或预计1小时内有雨，请勿施药。3. 本品在甘蓝上的安全间隔期14天。</w:t>
            </w:r>
          </w:p>
        </w:tc>
      </w:tr>
      <w:tr w14:paraId="435DFED6">
        <w:tblPrEx>
          <w:tblCellMar>
            <w:top w:w="0" w:type="dxa"/>
            <w:left w:w="0" w:type="dxa"/>
            <w:bottom w:w="0" w:type="dxa"/>
            <w:right w:w="0" w:type="dxa"/>
          </w:tblCellMar>
        </w:tblPrEx>
        <w:trPr>
          <w:wBefore w:w="0" w:type="auto"/>
          <w:tblCellSpacing w:w="0" w:type="dxa"/>
        </w:trPr>
        <w:tc>
          <w:tcPr>
            <w:tcW w:w="0" w:type="auto"/>
            <w:noWrap w:val="0"/>
            <w:vAlign w:val="center"/>
          </w:tcPr>
          <w:p w14:paraId="7BC29AAD">
            <w:r>
              <w:rPr>
                <w:rStyle w:val="10"/>
                <w:rFonts w:hint="eastAsia"/>
              </w:rPr>
              <w:t>产品性能:</w:t>
            </w:r>
            <w:r>
              <w:rPr>
                <w:rFonts w:hint="eastAsia"/>
              </w:rPr>
              <w:br w:type="textWrapping"/>
            </w:r>
            <w:r>
              <w:rPr>
                <w:rStyle w:val="11"/>
                <w:rFonts w:hint="eastAsia"/>
              </w:rPr>
              <w:t>本品是新一代取代脲类和吡咯类化合物复配而成的杀虫剂，适于害虫综合治理及抗性管理；具有胃毒、触杀作用，且具有一定的杀卵作用，渗透性强，杀虫速度快，持效期长，耐雨水冲刷，能有效防治甘蓝甜菜夜蛾。</w:t>
            </w:r>
          </w:p>
        </w:tc>
      </w:tr>
      <w:tr w14:paraId="2A7949A6">
        <w:tblPrEx>
          <w:tblCellMar>
            <w:top w:w="0" w:type="dxa"/>
            <w:left w:w="0" w:type="dxa"/>
            <w:bottom w:w="0" w:type="dxa"/>
            <w:right w:w="0" w:type="dxa"/>
          </w:tblCellMar>
        </w:tblPrEx>
        <w:trPr>
          <w:wBefore w:w="0" w:type="auto"/>
          <w:tblCellSpacing w:w="0" w:type="dxa"/>
        </w:trPr>
        <w:tc>
          <w:tcPr>
            <w:tcW w:w="0" w:type="auto"/>
            <w:noWrap w:val="0"/>
            <w:vAlign w:val="center"/>
          </w:tcPr>
          <w:p w14:paraId="5A66C312">
            <w:r>
              <w:rPr>
                <w:rStyle w:val="10"/>
                <w:rFonts w:hint="eastAsia"/>
              </w:rPr>
              <w:t>注意事项：</w:t>
            </w:r>
            <w:r>
              <w:rPr>
                <w:rFonts w:hint="eastAsia"/>
              </w:rPr>
              <w:br w:type="textWrapping"/>
            </w:r>
            <w:r>
              <w:rPr>
                <w:rStyle w:val="11"/>
                <w:rFonts w:hint="eastAsia"/>
              </w:rPr>
              <w:t>1. 严格按农药安全使用规则正确使用，未用完的液体就保存在原包装内，盖紧瓶盖，并远离儿童、饮料和食物。2. 喷雾器使用后彻底清洗干净，清洗废液妥善处理，剩余药剂及废弃包装不得随意丢弃，更不可留做他用。3. 使用本品时应采取相应的安全防护措施，穿防护服，戴防护手套、口罩等，避免皮肤接触。使用中不可吸烟、饮水及吃东西，使用后及时清洗手、脸等暴露部位的皮肤并更换衣物。 4. 本品对蜜蜂、鱼类等水生生物、家蚕、鸟类有毒。施药期间应避免对周围蜂群的影响，开花植物花期、蚕室和桑园附近禁用。施药时远离水产养殖区、河塘等水体，禁止在河塘等水域内清洗施药器具。鸟类保护区和天敌赤眼蜂放飞区禁用。 5. 避免与非靶标生物接触，做好安全工作，应远离水产养殖区喷药、池塘及水体施药，禁止在河塘清洗施药器具，清洗器具的废水不能排入河流、池塘等水源，以免造成不必要的环境污染。6. 孕妇及哺乳期妇女避免接触此药。7. 避免氧化剂接触此药。</w:t>
            </w:r>
          </w:p>
        </w:tc>
      </w:tr>
      <w:tr w14:paraId="69B2585F">
        <w:tblPrEx>
          <w:tblCellMar>
            <w:top w:w="0" w:type="dxa"/>
            <w:left w:w="0" w:type="dxa"/>
            <w:bottom w:w="0" w:type="dxa"/>
            <w:right w:w="0" w:type="dxa"/>
          </w:tblCellMar>
        </w:tblPrEx>
        <w:trPr>
          <w:wBefore w:w="0" w:type="auto"/>
          <w:tblCellSpacing w:w="0" w:type="dxa"/>
        </w:trPr>
        <w:tc>
          <w:tcPr>
            <w:tcW w:w="0" w:type="auto"/>
            <w:noWrap w:val="0"/>
            <w:vAlign w:val="center"/>
          </w:tcPr>
          <w:p w14:paraId="1871F340">
            <w:r>
              <w:rPr>
                <w:rStyle w:val="10"/>
                <w:rFonts w:hint="eastAsia"/>
              </w:rPr>
              <w:t>中毒急救措施：</w:t>
            </w:r>
            <w:r>
              <w:rPr>
                <w:rFonts w:hint="eastAsia"/>
              </w:rPr>
              <w:br w:type="textWrapping"/>
            </w:r>
            <w:r>
              <w:rPr>
                <w:rStyle w:val="11"/>
                <w:rFonts w:hint="eastAsia"/>
              </w:rPr>
              <w:t xml:space="preserve">使用中或使用后如果感觉不适，应立即停止工作，采取急救措施，并携带标签送医院就诊。 皮肤接触：立即脱去被污染的衣物，用大量清水冲洗皮肤暴露部位。眼睛溅入：立即翻开眼睑，用清水冲洗至少15分钟，再请医生诊治。不慎吸入：立即将吸入者转移到空气清新处，请医生诊治。误服：立即停止服用，可能引起不同程度的肠炎，立即携带农药标签到医院就诊。 </w:t>
            </w:r>
          </w:p>
        </w:tc>
      </w:tr>
      <w:tr w14:paraId="5C8FAF81">
        <w:tblPrEx>
          <w:tblCellMar>
            <w:top w:w="0" w:type="dxa"/>
            <w:left w:w="0" w:type="dxa"/>
            <w:bottom w:w="0" w:type="dxa"/>
            <w:right w:w="0" w:type="dxa"/>
          </w:tblCellMar>
        </w:tblPrEx>
        <w:trPr>
          <w:wBefore w:w="0" w:type="auto"/>
          <w:tblCellSpacing w:w="0" w:type="dxa"/>
        </w:trPr>
        <w:tc>
          <w:tcPr>
            <w:tcW w:w="0" w:type="auto"/>
            <w:noWrap w:val="0"/>
            <w:vAlign w:val="center"/>
          </w:tcPr>
          <w:p w14:paraId="4396866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饲料、种子和粮食等其他商品同贮同运。运输时，注意包装不能倾倒、压破、防高温雨淋。</w:t>
            </w:r>
          </w:p>
        </w:tc>
      </w:tr>
      <w:tr w14:paraId="682BD90B">
        <w:tblPrEx>
          <w:tblCellMar>
            <w:top w:w="0" w:type="dxa"/>
            <w:left w:w="0" w:type="dxa"/>
            <w:bottom w:w="0" w:type="dxa"/>
            <w:right w:w="0" w:type="dxa"/>
          </w:tblCellMar>
        </w:tblPrEx>
        <w:trPr>
          <w:wBefore w:w="0" w:type="auto"/>
          <w:tblCellSpacing w:w="0" w:type="dxa"/>
        </w:trPr>
        <w:tc>
          <w:tcPr>
            <w:tcW w:w="0" w:type="auto"/>
            <w:noWrap w:val="0"/>
            <w:vAlign w:val="center"/>
          </w:tcPr>
          <w:p w14:paraId="2A999931">
            <w:r>
              <w:rPr>
                <w:rStyle w:val="10"/>
                <w:rFonts w:hint="eastAsia"/>
              </w:rPr>
              <w:t>质量保证期：</w:t>
            </w:r>
            <w:r>
              <w:rPr>
                <w:rStyle w:val="11"/>
                <w:rFonts w:hint="eastAsia"/>
              </w:rPr>
              <w:t>2年</w:t>
            </w:r>
          </w:p>
        </w:tc>
      </w:tr>
      <w:tr w14:paraId="044E5207">
        <w:tblPrEx>
          <w:tblCellMar>
            <w:top w:w="0" w:type="dxa"/>
            <w:left w:w="0" w:type="dxa"/>
            <w:bottom w:w="0" w:type="dxa"/>
            <w:right w:w="0" w:type="dxa"/>
          </w:tblCellMar>
        </w:tblPrEx>
        <w:trPr>
          <w:wBefore w:w="0" w:type="auto"/>
          <w:tblCellSpacing w:w="0" w:type="dxa"/>
        </w:trPr>
        <w:tc>
          <w:tcPr>
            <w:tcW w:w="0" w:type="auto"/>
            <w:noWrap w:val="0"/>
            <w:vAlign w:val="center"/>
          </w:tcPr>
          <w:p w14:paraId="1364DF04">
            <w:r>
              <w:rPr>
                <w:rStyle w:val="10"/>
                <w:rFonts w:hint="eastAsia"/>
              </w:rPr>
              <w:t>备注：</w:t>
            </w:r>
          </w:p>
        </w:tc>
      </w:tr>
    </w:tbl>
    <w:p w14:paraId="4B4E974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4FEAB9">
        <w:tblPrEx>
          <w:tblCellMar>
            <w:top w:w="0" w:type="dxa"/>
            <w:left w:w="0" w:type="dxa"/>
            <w:bottom w:w="0" w:type="dxa"/>
            <w:right w:w="0" w:type="dxa"/>
          </w:tblCellMar>
        </w:tblPrEx>
        <w:trPr>
          <w:wBefore w:w="0" w:type="auto"/>
          <w:tblCellSpacing w:w="0" w:type="dxa"/>
        </w:trPr>
        <w:tc>
          <w:tcPr>
            <w:tcW w:w="0" w:type="auto"/>
            <w:noWrap w:val="0"/>
            <w:vAlign w:val="center"/>
          </w:tcPr>
          <w:p w14:paraId="17F89492">
            <w:r>
              <w:rPr>
                <w:rStyle w:val="10"/>
                <w:rFonts w:hint="eastAsia"/>
              </w:rPr>
              <w:t>登记证号：</w:t>
            </w:r>
            <w:r>
              <w:rPr>
                <w:rFonts w:hint="eastAsia"/>
              </w:rPr>
              <w:t>PD20212217</w:t>
            </w:r>
          </w:p>
        </w:tc>
      </w:tr>
      <w:tr w14:paraId="7596BF09">
        <w:tblPrEx>
          <w:tblCellMar>
            <w:top w:w="0" w:type="dxa"/>
            <w:left w:w="0" w:type="dxa"/>
            <w:bottom w:w="0" w:type="dxa"/>
            <w:right w:w="0" w:type="dxa"/>
          </w:tblCellMar>
        </w:tblPrEx>
        <w:trPr>
          <w:wBefore w:w="0" w:type="auto"/>
          <w:tblCellSpacing w:w="0" w:type="dxa"/>
        </w:trPr>
        <w:tc>
          <w:tcPr>
            <w:tcW w:w="0" w:type="auto"/>
            <w:noWrap w:val="0"/>
            <w:vAlign w:val="center"/>
          </w:tcPr>
          <w:p w14:paraId="1DEE7E05">
            <w:r>
              <w:rPr>
                <w:rStyle w:val="10"/>
                <w:rFonts w:hint="eastAsia"/>
              </w:rPr>
              <w:t>登记证持有人：</w:t>
            </w:r>
            <w:r>
              <w:rPr>
                <w:rFonts w:hint="eastAsia"/>
              </w:rPr>
              <w:t>广西瑞施特生物科技有限公司</w:t>
            </w:r>
          </w:p>
        </w:tc>
      </w:tr>
      <w:tr w14:paraId="58991077">
        <w:tblPrEx>
          <w:tblCellMar>
            <w:top w:w="0" w:type="dxa"/>
            <w:left w:w="0" w:type="dxa"/>
            <w:bottom w:w="0" w:type="dxa"/>
            <w:right w:w="0" w:type="dxa"/>
          </w:tblCellMar>
        </w:tblPrEx>
        <w:trPr>
          <w:wBefore w:w="0" w:type="auto"/>
          <w:tblCellSpacing w:w="0" w:type="dxa"/>
        </w:trPr>
        <w:tc>
          <w:tcPr>
            <w:tcW w:w="0" w:type="auto"/>
            <w:noWrap w:val="0"/>
            <w:vAlign w:val="center"/>
          </w:tcPr>
          <w:p w14:paraId="7F037464">
            <w:r>
              <w:rPr>
                <w:rStyle w:val="10"/>
                <w:rFonts w:hint="eastAsia"/>
              </w:rPr>
              <w:t>农药名称：</w:t>
            </w:r>
            <w:r>
              <w:rPr>
                <w:rFonts w:hint="eastAsia"/>
              </w:rPr>
              <w:t>环嗪酮</w:t>
            </w:r>
          </w:p>
        </w:tc>
      </w:tr>
      <w:tr w14:paraId="4915D5F9">
        <w:tblPrEx>
          <w:tblCellMar>
            <w:top w:w="0" w:type="dxa"/>
            <w:left w:w="0" w:type="dxa"/>
            <w:bottom w:w="0" w:type="dxa"/>
            <w:right w:w="0" w:type="dxa"/>
          </w:tblCellMar>
        </w:tblPrEx>
        <w:trPr>
          <w:wBefore w:w="0" w:type="auto"/>
          <w:tblCellSpacing w:w="0" w:type="dxa"/>
        </w:trPr>
        <w:tc>
          <w:tcPr>
            <w:tcW w:w="0" w:type="auto"/>
            <w:noWrap w:val="0"/>
            <w:vAlign w:val="center"/>
          </w:tcPr>
          <w:p w14:paraId="40027460">
            <w:r>
              <w:rPr>
                <w:rStyle w:val="10"/>
                <w:rFonts w:hint="eastAsia"/>
              </w:rPr>
              <w:t>剂型：</w:t>
            </w:r>
            <w:r>
              <w:rPr>
                <w:rFonts w:hint="eastAsia"/>
              </w:rPr>
              <w:t>颗粒剂</w:t>
            </w:r>
          </w:p>
        </w:tc>
      </w:tr>
      <w:tr w14:paraId="63EE6C0A">
        <w:tblPrEx>
          <w:tblCellMar>
            <w:top w:w="0" w:type="dxa"/>
            <w:left w:w="0" w:type="dxa"/>
            <w:bottom w:w="0" w:type="dxa"/>
            <w:right w:w="0" w:type="dxa"/>
          </w:tblCellMar>
        </w:tblPrEx>
        <w:trPr>
          <w:wBefore w:w="0" w:type="auto"/>
          <w:tblCellSpacing w:w="0" w:type="dxa"/>
        </w:trPr>
        <w:tc>
          <w:tcPr>
            <w:tcW w:w="0" w:type="auto"/>
            <w:noWrap w:val="0"/>
            <w:vAlign w:val="center"/>
          </w:tcPr>
          <w:p w14:paraId="41970166">
            <w:r>
              <w:rPr>
                <w:rStyle w:val="10"/>
                <w:rFonts w:hint="eastAsia"/>
              </w:rPr>
              <w:t>毒性及其标识：</w:t>
            </w:r>
            <w:r>
              <w:rPr>
                <w:rFonts w:hint="eastAsia"/>
              </w:rPr>
              <w:t xml:space="preserve"> 微毒 </w:t>
            </w:r>
          </w:p>
        </w:tc>
      </w:tr>
      <w:tr w14:paraId="1C793EE3">
        <w:tblPrEx>
          <w:tblCellMar>
            <w:top w:w="0" w:type="dxa"/>
            <w:left w:w="0" w:type="dxa"/>
            <w:bottom w:w="0" w:type="dxa"/>
            <w:right w:w="0" w:type="dxa"/>
          </w:tblCellMar>
        </w:tblPrEx>
        <w:trPr>
          <w:wBefore w:w="0" w:type="auto"/>
          <w:tblCellSpacing w:w="0" w:type="dxa"/>
        </w:trPr>
        <w:tc>
          <w:tcPr>
            <w:tcW w:w="0" w:type="auto"/>
            <w:noWrap w:val="0"/>
            <w:vAlign w:val="center"/>
          </w:tcPr>
          <w:p w14:paraId="74A9AFE1">
            <w:r>
              <w:rPr>
                <w:rStyle w:val="10"/>
                <w:rFonts w:hint="eastAsia"/>
              </w:rPr>
              <w:t>总有效成分含量：</w:t>
            </w:r>
            <w:r>
              <w:rPr>
                <w:rFonts w:hint="eastAsia"/>
              </w:rPr>
              <w:t>5%</w:t>
            </w:r>
          </w:p>
        </w:tc>
      </w:tr>
      <w:tr w14:paraId="4252690C">
        <w:tblPrEx>
          <w:tblCellMar>
            <w:top w:w="0" w:type="dxa"/>
            <w:left w:w="0" w:type="dxa"/>
            <w:bottom w:w="0" w:type="dxa"/>
            <w:right w:w="0" w:type="dxa"/>
          </w:tblCellMar>
        </w:tblPrEx>
        <w:trPr>
          <w:wBefore w:w="0" w:type="auto"/>
          <w:tblCellSpacing w:w="0" w:type="dxa"/>
        </w:trPr>
        <w:tc>
          <w:tcPr>
            <w:tcW w:w="0" w:type="auto"/>
            <w:noWrap w:val="0"/>
            <w:vAlign w:val="center"/>
          </w:tcPr>
          <w:p w14:paraId="41601961">
            <w:r>
              <w:rPr>
                <w:rFonts w:hint="eastAsia"/>
              </w:rPr>
              <w:t xml:space="preserve">有效成分及其含量： </w:t>
            </w:r>
          </w:p>
          <w:p w14:paraId="1975CE90">
            <w:r>
              <w:rPr>
                <w:rFonts w:hint="eastAsia"/>
              </w:rPr>
              <w:t xml:space="preserve">    环嗪酮5%    </w:t>
            </w:r>
          </w:p>
        </w:tc>
      </w:tr>
      <w:tr w14:paraId="4B48F042">
        <w:tblPrEx>
          <w:tblCellMar>
            <w:top w:w="0" w:type="dxa"/>
            <w:left w:w="0" w:type="dxa"/>
            <w:bottom w:w="0" w:type="dxa"/>
            <w:right w:w="0" w:type="dxa"/>
          </w:tblCellMar>
        </w:tblPrEx>
        <w:trPr>
          <w:wBefore w:w="0" w:type="auto"/>
          <w:tblCellSpacing w:w="0" w:type="dxa"/>
        </w:trPr>
        <w:tc>
          <w:tcPr>
            <w:tcW w:w="0" w:type="auto"/>
            <w:noWrap w:val="0"/>
            <w:vAlign w:val="center"/>
          </w:tcPr>
          <w:p w14:paraId="1CF3686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724A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B5129F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5A2FD8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AE5DB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02D5AF5">
                  <w:r>
                    <w:rPr>
                      <w:rStyle w:val="11"/>
                      <w:rFonts w:hint="eastAsia"/>
                    </w:rPr>
                    <w:t>施用方式</w:t>
                  </w:r>
                </w:p>
              </w:tc>
            </w:tr>
            <w:tr w14:paraId="123473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8EABBD">
                  <w:r>
                    <w:rPr>
                      <w:rStyle w:val="11"/>
                      <w:rFonts w:hint="eastAsia"/>
                    </w:rPr>
                    <w:t>森林防火道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3C935C">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6B79D2">
                  <w:r>
                    <w:rPr>
                      <w:rStyle w:val="11"/>
                      <w:rFonts w:hint="eastAsia"/>
                    </w:rPr>
                    <w:t>2-3千克/亩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F80A6B">
                  <w:r>
                    <w:rPr>
                      <w:rStyle w:val="11"/>
                      <w:rFonts w:hint="eastAsia"/>
                    </w:rPr>
                    <w:t>撒施</w:t>
                  </w:r>
                </w:p>
              </w:tc>
            </w:tr>
          </w:tbl>
          <w:p w14:paraId="39B8E78F">
            <w:pPr>
              <w:rPr>
                <w:rFonts w:ascii="Times New Roman" w:hAnsi="Times New Roman" w:cs="Times New Roman"/>
                <w:sz w:val="20"/>
                <w:szCs w:val="20"/>
              </w:rPr>
            </w:pPr>
          </w:p>
        </w:tc>
      </w:tr>
      <w:tr w14:paraId="79D3B722">
        <w:tblPrEx>
          <w:tblCellMar>
            <w:top w:w="0" w:type="dxa"/>
            <w:left w:w="0" w:type="dxa"/>
            <w:bottom w:w="0" w:type="dxa"/>
            <w:right w:w="0" w:type="dxa"/>
          </w:tblCellMar>
        </w:tblPrEx>
        <w:trPr>
          <w:wBefore w:w="0" w:type="auto"/>
          <w:tblCellSpacing w:w="0" w:type="dxa"/>
        </w:trPr>
        <w:tc>
          <w:tcPr>
            <w:tcW w:w="0" w:type="auto"/>
            <w:noWrap w:val="0"/>
            <w:vAlign w:val="center"/>
          </w:tcPr>
          <w:p w14:paraId="6E247AF4">
            <w:r>
              <w:rPr>
                <w:rStyle w:val="10"/>
                <w:rFonts w:hint="eastAsia"/>
              </w:rPr>
              <w:t>使用技术要求:</w:t>
            </w:r>
            <w:r>
              <w:rPr>
                <w:rFonts w:hint="eastAsia"/>
              </w:rPr>
              <w:br w:type="textWrapping"/>
            </w:r>
            <w:r>
              <w:rPr>
                <w:rStyle w:val="11"/>
                <w:rFonts w:hint="eastAsia"/>
              </w:rPr>
              <w:t>1. 本品用于森林防火道防除杂草及杂灌，施药的最佳时期是杂草及灌木生长旺盛期。施用方法是直接撒施，每季只用药一次。2. 施药时尽可能做到均匀，最好在雨前施用。</w:t>
            </w:r>
          </w:p>
        </w:tc>
      </w:tr>
      <w:tr w14:paraId="161A7827">
        <w:tblPrEx>
          <w:tblCellMar>
            <w:top w:w="0" w:type="dxa"/>
            <w:left w:w="0" w:type="dxa"/>
            <w:bottom w:w="0" w:type="dxa"/>
            <w:right w:w="0" w:type="dxa"/>
          </w:tblCellMar>
        </w:tblPrEx>
        <w:trPr>
          <w:wBefore w:w="0" w:type="auto"/>
          <w:tblCellSpacing w:w="0" w:type="dxa"/>
        </w:trPr>
        <w:tc>
          <w:tcPr>
            <w:tcW w:w="0" w:type="auto"/>
            <w:noWrap w:val="0"/>
            <w:vAlign w:val="center"/>
          </w:tcPr>
          <w:p w14:paraId="1B7B4BD7">
            <w:r>
              <w:rPr>
                <w:rStyle w:val="10"/>
                <w:rFonts w:hint="eastAsia"/>
              </w:rPr>
              <w:t>产品性能:</w:t>
            </w:r>
            <w:r>
              <w:rPr>
                <w:rFonts w:hint="eastAsia"/>
              </w:rPr>
              <w:br w:type="textWrapping"/>
            </w:r>
            <w:r>
              <w:rPr>
                <w:rStyle w:val="11"/>
                <w:rFonts w:hint="eastAsia"/>
              </w:rPr>
              <w:t xml:space="preserve">本品为林用除草剂，主要抑制植物的光合作用，使代谢紊乱，导致死亡。植物根系和叶面都能吸收环嗪酮，主要通过木质部运输。进入土壤后能被土壤微生物分解。主要用于开辟森林防火道。？ </w:t>
            </w:r>
          </w:p>
        </w:tc>
      </w:tr>
      <w:tr w14:paraId="23C95709">
        <w:tblPrEx>
          <w:tblCellMar>
            <w:top w:w="0" w:type="dxa"/>
            <w:left w:w="0" w:type="dxa"/>
            <w:bottom w:w="0" w:type="dxa"/>
            <w:right w:w="0" w:type="dxa"/>
          </w:tblCellMar>
        </w:tblPrEx>
        <w:trPr>
          <w:wBefore w:w="0" w:type="auto"/>
          <w:tblCellSpacing w:w="0" w:type="dxa"/>
        </w:trPr>
        <w:tc>
          <w:tcPr>
            <w:tcW w:w="0" w:type="auto"/>
            <w:noWrap w:val="0"/>
            <w:vAlign w:val="center"/>
          </w:tcPr>
          <w:p w14:paraId="64DDE5CE">
            <w:r>
              <w:rPr>
                <w:rStyle w:val="10"/>
                <w:rFonts w:hint="eastAsia"/>
              </w:rPr>
              <w:t>注意事项：</w:t>
            </w:r>
            <w:r>
              <w:rPr>
                <w:rFonts w:hint="eastAsia"/>
              </w:rPr>
              <w:br w:type="textWrapping"/>
            </w:r>
            <w:r>
              <w:rPr>
                <w:rStyle w:val="11"/>
                <w:rFonts w:hint="eastAsia"/>
              </w:rPr>
              <w:t>1、开启包装物及施药时施药人员穿戴防护服装、防护靴、口罩及手套等防护用品。避免与口眼及皮肤接触；喷药时不要吸烟或饮食，工作完毕后，应清洗手及裸露的皮肤。2、本品药效的发挥与降雨有密切关系，最好在雨季前用药。如果施药后15天不降雨，应想法在施药处浇水，否则药效较差。3、本品忌在暴雨前使用，导致药剂被雨水冲走。4、避免污染水源。5、孕妇及哺乳期妇女禁止接触本品。6、用过的容器应妥善处理，不可做他用，也不可随意丢弃。</w:t>
            </w:r>
          </w:p>
        </w:tc>
      </w:tr>
      <w:tr w14:paraId="11595C1A">
        <w:tblPrEx>
          <w:tblCellMar>
            <w:top w:w="0" w:type="dxa"/>
            <w:left w:w="0" w:type="dxa"/>
            <w:bottom w:w="0" w:type="dxa"/>
            <w:right w:w="0" w:type="dxa"/>
          </w:tblCellMar>
        </w:tblPrEx>
        <w:trPr>
          <w:wBefore w:w="0" w:type="auto"/>
          <w:tblCellSpacing w:w="0" w:type="dxa"/>
        </w:trPr>
        <w:tc>
          <w:tcPr>
            <w:tcW w:w="0" w:type="auto"/>
            <w:noWrap w:val="0"/>
            <w:vAlign w:val="center"/>
          </w:tcPr>
          <w:p w14:paraId="0D8C6CEC">
            <w:r>
              <w:rPr>
                <w:rStyle w:val="10"/>
                <w:rFonts w:hint="eastAsia"/>
              </w:rPr>
              <w:t>中毒急救措施：</w:t>
            </w:r>
            <w:r>
              <w:rPr>
                <w:rFonts w:hint="eastAsia"/>
              </w:rPr>
              <w:br w:type="textWrapping"/>
            </w:r>
            <w:r>
              <w:rPr>
                <w:rStyle w:val="11"/>
                <w:rFonts w:hint="eastAsia"/>
              </w:rPr>
              <w:t>1、吸入后：提供新鲜空气；如有症状求教医生。皮肤接触后：立即用水和肥皂清洗，并彻冲洗干净。眼睛接触后：使眼睛打开流水冲洗几分钟，如有持续的症状，求教医生。2、如误服应立即催吐。呕吐停止后服用活性炭，如果还没有腹泻，可在炭泥中加入山梨醇。失水和电解质严重紊乱时，需要补充口服液或静脉液。 对症治疗，无解毒剂。</w:t>
            </w:r>
          </w:p>
        </w:tc>
      </w:tr>
      <w:tr w14:paraId="3FE3B05F">
        <w:tblPrEx>
          <w:tblCellMar>
            <w:top w:w="0" w:type="dxa"/>
            <w:left w:w="0" w:type="dxa"/>
            <w:bottom w:w="0" w:type="dxa"/>
            <w:right w:w="0" w:type="dxa"/>
          </w:tblCellMar>
        </w:tblPrEx>
        <w:trPr>
          <w:wBefore w:w="0" w:type="auto"/>
          <w:tblCellSpacing w:w="0" w:type="dxa"/>
        </w:trPr>
        <w:tc>
          <w:tcPr>
            <w:tcW w:w="0" w:type="auto"/>
            <w:noWrap w:val="0"/>
            <w:vAlign w:val="center"/>
          </w:tcPr>
          <w:p w14:paraId="5DCB17D8">
            <w:r>
              <w:rPr>
                <w:rStyle w:val="10"/>
                <w:rFonts w:hint="eastAsia"/>
              </w:rPr>
              <w:t>储存和运输方法：</w:t>
            </w:r>
            <w:r>
              <w:rPr>
                <w:rFonts w:hint="eastAsia"/>
              </w:rPr>
              <w:br w:type="textWrapping"/>
            </w:r>
            <w:r>
              <w:rPr>
                <w:rStyle w:val="11"/>
                <w:rFonts w:hint="eastAsia"/>
              </w:rPr>
              <w:t>1、包装件应贮存在通风、干燥的仓库中。 2、贮运时，严防潮湿和日晒，不能与食品、饮料、粮食、饲料等混合储运，置于儿童接触不到的地方，并加锁保存。搬运及运输过程中，轻拿轻放，运输过程中严禁雨淋，避免烈日直晒。</w:t>
            </w:r>
          </w:p>
        </w:tc>
      </w:tr>
      <w:tr w14:paraId="27AC9356">
        <w:tblPrEx>
          <w:tblCellMar>
            <w:top w:w="0" w:type="dxa"/>
            <w:left w:w="0" w:type="dxa"/>
            <w:bottom w:w="0" w:type="dxa"/>
            <w:right w:w="0" w:type="dxa"/>
          </w:tblCellMar>
        </w:tblPrEx>
        <w:trPr>
          <w:wBefore w:w="0" w:type="auto"/>
          <w:tblCellSpacing w:w="0" w:type="dxa"/>
        </w:trPr>
        <w:tc>
          <w:tcPr>
            <w:tcW w:w="0" w:type="auto"/>
            <w:noWrap w:val="0"/>
            <w:vAlign w:val="center"/>
          </w:tcPr>
          <w:p w14:paraId="696C243C">
            <w:r>
              <w:rPr>
                <w:rStyle w:val="10"/>
                <w:rFonts w:hint="eastAsia"/>
              </w:rPr>
              <w:t>质量保证期：</w:t>
            </w:r>
            <w:r>
              <w:rPr>
                <w:rStyle w:val="11"/>
                <w:rFonts w:hint="eastAsia"/>
              </w:rPr>
              <w:t>2年</w:t>
            </w:r>
          </w:p>
        </w:tc>
      </w:tr>
      <w:tr w14:paraId="06730F62">
        <w:tblPrEx>
          <w:tblCellMar>
            <w:top w:w="0" w:type="dxa"/>
            <w:left w:w="0" w:type="dxa"/>
            <w:bottom w:w="0" w:type="dxa"/>
            <w:right w:w="0" w:type="dxa"/>
          </w:tblCellMar>
        </w:tblPrEx>
        <w:trPr>
          <w:wBefore w:w="0" w:type="auto"/>
          <w:tblCellSpacing w:w="0" w:type="dxa"/>
        </w:trPr>
        <w:tc>
          <w:tcPr>
            <w:tcW w:w="0" w:type="auto"/>
            <w:noWrap w:val="0"/>
            <w:vAlign w:val="center"/>
          </w:tcPr>
          <w:p w14:paraId="24E03FE0">
            <w:r>
              <w:rPr>
                <w:rStyle w:val="10"/>
                <w:rFonts w:hint="eastAsia"/>
              </w:rPr>
              <w:t>备注：</w:t>
            </w:r>
          </w:p>
        </w:tc>
      </w:tr>
    </w:tbl>
    <w:p w14:paraId="55BB2CD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365535">
        <w:tblPrEx>
          <w:tblCellMar>
            <w:top w:w="0" w:type="dxa"/>
            <w:left w:w="0" w:type="dxa"/>
            <w:bottom w:w="0" w:type="dxa"/>
            <w:right w:w="0" w:type="dxa"/>
          </w:tblCellMar>
        </w:tblPrEx>
        <w:trPr>
          <w:wBefore w:w="0" w:type="auto"/>
          <w:tblCellSpacing w:w="0" w:type="dxa"/>
        </w:trPr>
        <w:tc>
          <w:tcPr>
            <w:tcW w:w="0" w:type="auto"/>
            <w:noWrap w:val="0"/>
            <w:vAlign w:val="center"/>
          </w:tcPr>
          <w:p w14:paraId="3B99924B">
            <w:r>
              <w:rPr>
                <w:rStyle w:val="10"/>
                <w:rFonts w:hint="eastAsia"/>
              </w:rPr>
              <w:t>登记证号：</w:t>
            </w:r>
            <w:r>
              <w:rPr>
                <w:rFonts w:hint="eastAsia"/>
              </w:rPr>
              <w:t>PD20211956</w:t>
            </w:r>
          </w:p>
        </w:tc>
      </w:tr>
      <w:tr w14:paraId="698D5C2B">
        <w:tblPrEx>
          <w:tblCellMar>
            <w:top w:w="0" w:type="dxa"/>
            <w:left w:w="0" w:type="dxa"/>
            <w:bottom w:w="0" w:type="dxa"/>
            <w:right w:w="0" w:type="dxa"/>
          </w:tblCellMar>
        </w:tblPrEx>
        <w:trPr>
          <w:wBefore w:w="0" w:type="auto"/>
          <w:tblCellSpacing w:w="0" w:type="dxa"/>
        </w:trPr>
        <w:tc>
          <w:tcPr>
            <w:tcW w:w="0" w:type="auto"/>
            <w:noWrap w:val="0"/>
            <w:vAlign w:val="center"/>
          </w:tcPr>
          <w:p w14:paraId="38FA0FA6">
            <w:r>
              <w:rPr>
                <w:rStyle w:val="10"/>
                <w:rFonts w:hint="eastAsia"/>
              </w:rPr>
              <w:t>登记证持有人：</w:t>
            </w:r>
            <w:r>
              <w:rPr>
                <w:rFonts w:hint="eastAsia"/>
              </w:rPr>
              <w:t>浙江省杭州宇龙化工有限公司</w:t>
            </w:r>
          </w:p>
        </w:tc>
      </w:tr>
      <w:tr w14:paraId="161DF66B">
        <w:tblPrEx>
          <w:tblCellMar>
            <w:top w:w="0" w:type="dxa"/>
            <w:left w:w="0" w:type="dxa"/>
            <w:bottom w:w="0" w:type="dxa"/>
            <w:right w:w="0" w:type="dxa"/>
          </w:tblCellMar>
        </w:tblPrEx>
        <w:trPr>
          <w:wBefore w:w="0" w:type="auto"/>
          <w:tblCellSpacing w:w="0" w:type="dxa"/>
        </w:trPr>
        <w:tc>
          <w:tcPr>
            <w:tcW w:w="0" w:type="auto"/>
            <w:noWrap w:val="0"/>
            <w:vAlign w:val="center"/>
          </w:tcPr>
          <w:p w14:paraId="1C02CD67">
            <w:r>
              <w:rPr>
                <w:rStyle w:val="10"/>
                <w:rFonts w:hint="eastAsia"/>
              </w:rPr>
              <w:t>农药名称：</w:t>
            </w:r>
            <w:r>
              <w:rPr>
                <w:rFonts w:hint="eastAsia"/>
              </w:rPr>
              <w:t>戊唑醇</w:t>
            </w:r>
          </w:p>
        </w:tc>
      </w:tr>
      <w:tr w14:paraId="2BE6DB23">
        <w:tblPrEx>
          <w:tblCellMar>
            <w:top w:w="0" w:type="dxa"/>
            <w:left w:w="0" w:type="dxa"/>
            <w:bottom w:w="0" w:type="dxa"/>
            <w:right w:w="0" w:type="dxa"/>
          </w:tblCellMar>
        </w:tblPrEx>
        <w:trPr>
          <w:wBefore w:w="0" w:type="auto"/>
          <w:tblCellSpacing w:w="0" w:type="dxa"/>
        </w:trPr>
        <w:tc>
          <w:tcPr>
            <w:tcW w:w="0" w:type="auto"/>
            <w:noWrap w:val="0"/>
            <w:vAlign w:val="center"/>
          </w:tcPr>
          <w:p w14:paraId="221A4402">
            <w:r>
              <w:rPr>
                <w:rStyle w:val="10"/>
                <w:rFonts w:hint="eastAsia"/>
              </w:rPr>
              <w:t>剂型：</w:t>
            </w:r>
            <w:r>
              <w:rPr>
                <w:rFonts w:hint="eastAsia"/>
              </w:rPr>
              <w:t>种子处理悬浮剂</w:t>
            </w:r>
          </w:p>
        </w:tc>
      </w:tr>
      <w:tr w14:paraId="46B1659A">
        <w:tblPrEx>
          <w:tblCellMar>
            <w:top w:w="0" w:type="dxa"/>
            <w:left w:w="0" w:type="dxa"/>
            <w:bottom w:w="0" w:type="dxa"/>
            <w:right w:w="0" w:type="dxa"/>
          </w:tblCellMar>
        </w:tblPrEx>
        <w:trPr>
          <w:wBefore w:w="0" w:type="auto"/>
          <w:tblCellSpacing w:w="0" w:type="dxa"/>
        </w:trPr>
        <w:tc>
          <w:tcPr>
            <w:tcW w:w="0" w:type="auto"/>
            <w:noWrap w:val="0"/>
            <w:vAlign w:val="center"/>
          </w:tcPr>
          <w:p w14:paraId="4A867D08">
            <w:r>
              <w:rPr>
                <w:rStyle w:val="10"/>
                <w:rFonts w:hint="eastAsia"/>
              </w:rPr>
              <w:t>毒性及其标识：</w:t>
            </w:r>
            <w:r>
              <w:rPr>
                <w:rFonts w:hint="eastAsia"/>
              </w:rPr>
              <w:t xml:space="preserve"> 微毒 </w:t>
            </w:r>
          </w:p>
        </w:tc>
      </w:tr>
      <w:tr w14:paraId="43B90538">
        <w:tblPrEx>
          <w:tblCellMar>
            <w:top w:w="0" w:type="dxa"/>
            <w:left w:w="0" w:type="dxa"/>
            <w:bottom w:w="0" w:type="dxa"/>
            <w:right w:w="0" w:type="dxa"/>
          </w:tblCellMar>
        </w:tblPrEx>
        <w:trPr>
          <w:wBefore w:w="0" w:type="auto"/>
          <w:tblCellSpacing w:w="0" w:type="dxa"/>
        </w:trPr>
        <w:tc>
          <w:tcPr>
            <w:tcW w:w="0" w:type="auto"/>
            <w:noWrap w:val="0"/>
            <w:vAlign w:val="center"/>
          </w:tcPr>
          <w:p w14:paraId="5AD26ABC">
            <w:r>
              <w:rPr>
                <w:rStyle w:val="10"/>
                <w:rFonts w:hint="eastAsia"/>
              </w:rPr>
              <w:t>总有效成分含量：</w:t>
            </w:r>
            <w:r>
              <w:rPr>
                <w:rFonts w:hint="eastAsia"/>
              </w:rPr>
              <w:t>6%</w:t>
            </w:r>
          </w:p>
        </w:tc>
      </w:tr>
      <w:tr w14:paraId="0FBE5876">
        <w:tblPrEx>
          <w:tblCellMar>
            <w:top w:w="0" w:type="dxa"/>
            <w:left w:w="0" w:type="dxa"/>
            <w:bottom w:w="0" w:type="dxa"/>
            <w:right w:w="0" w:type="dxa"/>
          </w:tblCellMar>
        </w:tblPrEx>
        <w:trPr>
          <w:wBefore w:w="0" w:type="auto"/>
          <w:tblCellSpacing w:w="0" w:type="dxa"/>
        </w:trPr>
        <w:tc>
          <w:tcPr>
            <w:tcW w:w="0" w:type="auto"/>
            <w:noWrap w:val="0"/>
            <w:vAlign w:val="center"/>
          </w:tcPr>
          <w:p w14:paraId="1B6A9FDC">
            <w:r>
              <w:rPr>
                <w:rFonts w:hint="eastAsia"/>
              </w:rPr>
              <w:t xml:space="preserve">有效成分及其含量： </w:t>
            </w:r>
          </w:p>
          <w:p w14:paraId="4508526D">
            <w:r>
              <w:rPr>
                <w:rFonts w:hint="eastAsia"/>
              </w:rPr>
              <w:t xml:space="preserve">    戊唑醇6%    </w:t>
            </w:r>
          </w:p>
        </w:tc>
      </w:tr>
      <w:tr w14:paraId="4DD24A6E">
        <w:tblPrEx>
          <w:tblCellMar>
            <w:top w:w="0" w:type="dxa"/>
            <w:left w:w="0" w:type="dxa"/>
            <w:bottom w:w="0" w:type="dxa"/>
            <w:right w:w="0" w:type="dxa"/>
          </w:tblCellMar>
        </w:tblPrEx>
        <w:trPr>
          <w:wBefore w:w="0" w:type="auto"/>
          <w:tblCellSpacing w:w="0" w:type="dxa"/>
        </w:trPr>
        <w:tc>
          <w:tcPr>
            <w:tcW w:w="0" w:type="auto"/>
            <w:noWrap w:val="0"/>
            <w:vAlign w:val="center"/>
          </w:tcPr>
          <w:p w14:paraId="1EC8D04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E569F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69458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8E1B4B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BD6CD4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C0FA416">
                  <w:r>
                    <w:rPr>
                      <w:rStyle w:val="11"/>
                      <w:rFonts w:hint="eastAsia"/>
                    </w:rPr>
                    <w:t>施用方式</w:t>
                  </w:r>
                </w:p>
              </w:tc>
            </w:tr>
            <w:tr w14:paraId="74CF06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402E7BA">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AFA4C7">
                  <w:r>
                    <w:rPr>
                      <w:rStyle w:val="11"/>
                      <w:rFonts w:hint="eastAsia"/>
                    </w:rPr>
                    <w:t>丝黑穗病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06DB51">
                  <w:r>
                    <w:rPr>
                      <w:rStyle w:val="11"/>
                      <w:rFonts w:hint="eastAsia"/>
                    </w:rPr>
                    <w:t>100-135毫升/100千克种子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E874ED">
                  <w:r>
                    <w:rPr>
                      <w:rStyle w:val="11"/>
                      <w:rFonts w:hint="eastAsia"/>
                    </w:rPr>
                    <w:t>种子包衣</w:t>
                  </w:r>
                </w:p>
              </w:tc>
            </w:tr>
          </w:tbl>
          <w:p w14:paraId="68CADA88">
            <w:pPr>
              <w:rPr>
                <w:rFonts w:ascii="Times New Roman" w:hAnsi="Times New Roman" w:cs="Times New Roman"/>
                <w:sz w:val="20"/>
                <w:szCs w:val="20"/>
              </w:rPr>
            </w:pPr>
          </w:p>
        </w:tc>
      </w:tr>
      <w:tr w14:paraId="1B8DAB39">
        <w:tblPrEx>
          <w:tblCellMar>
            <w:top w:w="0" w:type="dxa"/>
            <w:left w:w="0" w:type="dxa"/>
            <w:bottom w:w="0" w:type="dxa"/>
            <w:right w:w="0" w:type="dxa"/>
          </w:tblCellMar>
        </w:tblPrEx>
        <w:trPr>
          <w:wBefore w:w="0" w:type="auto"/>
          <w:tblCellSpacing w:w="0" w:type="dxa"/>
        </w:trPr>
        <w:tc>
          <w:tcPr>
            <w:tcW w:w="0" w:type="auto"/>
            <w:noWrap w:val="0"/>
            <w:vAlign w:val="center"/>
          </w:tcPr>
          <w:p w14:paraId="6D2D9BE2">
            <w:r>
              <w:rPr>
                <w:rStyle w:val="10"/>
                <w:rFonts w:hint="eastAsia"/>
              </w:rPr>
              <w:t>使用技术要求:</w:t>
            </w:r>
            <w:r>
              <w:rPr>
                <w:rFonts w:hint="eastAsia"/>
              </w:rPr>
              <w:br w:type="textWrapping"/>
            </w:r>
            <w:r>
              <w:rPr>
                <w:rStyle w:val="11"/>
                <w:rFonts w:hint="eastAsia"/>
              </w:rPr>
              <w:t>于玉米播种前种子包衣，按推荐用药量，加适量清水，混合均匀调成浆状药液，将药浆与种子充分搅拌，直至药液均匀分布到种子表面，阴干后即可。</w:t>
            </w:r>
          </w:p>
        </w:tc>
      </w:tr>
      <w:tr w14:paraId="7DD020A7">
        <w:tblPrEx>
          <w:tblCellMar>
            <w:top w:w="0" w:type="dxa"/>
            <w:left w:w="0" w:type="dxa"/>
            <w:bottom w:w="0" w:type="dxa"/>
            <w:right w:w="0" w:type="dxa"/>
          </w:tblCellMar>
        </w:tblPrEx>
        <w:trPr>
          <w:wBefore w:w="0" w:type="auto"/>
          <w:tblCellSpacing w:w="0" w:type="dxa"/>
        </w:trPr>
        <w:tc>
          <w:tcPr>
            <w:tcW w:w="0" w:type="auto"/>
            <w:noWrap w:val="0"/>
            <w:vAlign w:val="center"/>
          </w:tcPr>
          <w:p w14:paraId="6ACF0368">
            <w:r>
              <w:rPr>
                <w:rStyle w:val="10"/>
                <w:rFonts w:hint="eastAsia"/>
              </w:rPr>
              <w:t>产品性能:</w:t>
            </w:r>
            <w:r>
              <w:rPr>
                <w:rFonts w:hint="eastAsia"/>
              </w:rPr>
              <w:br w:type="textWrapping"/>
            </w:r>
            <w:r>
              <w:rPr>
                <w:rStyle w:val="11"/>
                <w:rFonts w:hint="eastAsia"/>
              </w:rPr>
              <w:t>本品属三唑类杀菌剂，其主要是通过抑制病原菌细胞膜上麦角甾醇的去甲基化而表现出杀菌作用。</w:t>
            </w:r>
          </w:p>
        </w:tc>
      </w:tr>
      <w:tr w14:paraId="707CAE0E">
        <w:tblPrEx>
          <w:tblCellMar>
            <w:top w:w="0" w:type="dxa"/>
            <w:left w:w="0" w:type="dxa"/>
            <w:bottom w:w="0" w:type="dxa"/>
            <w:right w:w="0" w:type="dxa"/>
          </w:tblCellMar>
        </w:tblPrEx>
        <w:trPr>
          <w:wBefore w:w="0" w:type="auto"/>
          <w:tblCellSpacing w:w="0" w:type="dxa"/>
        </w:trPr>
        <w:tc>
          <w:tcPr>
            <w:tcW w:w="0" w:type="auto"/>
            <w:noWrap w:val="0"/>
            <w:vAlign w:val="center"/>
          </w:tcPr>
          <w:p w14:paraId="5B9C5DEF">
            <w:r>
              <w:rPr>
                <w:rStyle w:val="10"/>
                <w:rFonts w:hint="eastAsia"/>
              </w:rPr>
              <w:t>注意事项：</w:t>
            </w:r>
            <w:r>
              <w:rPr>
                <w:rFonts w:hint="eastAsia"/>
              </w:rPr>
              <w:br w:type="textWrapping"/>
            </w:r>
            <w:r>
              <w:rPr>
                <w:rStyle w:val="11"/>
                <w:rFonts w:hint="eastAsia"/>
              </w:rPr>
              <w:t>1、请按照农药安全使用准则使用本品。在种子处理过程中，避免药液接触皮肤、眼睛和污染衣物，避免吸入药液。切勿在施药现场抽烟或饮食。在饮水、进食和抽烟前，应先洗手、洗脸。 2、配药和种子处理应在通风处进行。配药时，操作人员应戴防渗手套和面罩或护目镜，穿长袖衣、长裤和靴子；种子处理时，应戴防渗手套，穿长袖衣、长裤和靴子。 3、种子处理结束后，彻底清洗防护用具，洗澡，并更换和清洗工作服。 4、处理过的种子必须放置在有明显标签的容器内。不得饲喂禽畜，更不得用来加工饲料或食品。5、本品应避免与氧化剂接触。 6、施药后立即覆土、鸟类保护区附近禁用。 7、使用过的空包装，用清水冲洗三次后妥善处理，切勿重复使用或改作其它用途。所有施药器具，用后应立即用清水或适当的洗涤剂清洗，但不得在河塘等水体中洗涤。 8、勿将本品及其废液弃于池塘、河溪、湖泊等，以免污染水源。 9、未用完的制剂应放在原包装内密封保存，切勿将本品置于饮、食容器内。 10、孕妇、哺乳期妇女、禁止接触本品。</w:t>
            </w:r>
          </w:p>
        </w:tc>
      </w:tr>
      <w:tr w14:paraId="66CDAB30">
        <w:tblPrEx>
          <w:tblCellMar>
            <w:top w:w="0" w:type="dxa"/>
            <w:left w:w="0" w:type="dxa"/>
            <w:bottom w:w="0" w:type="dxa"/>
            <w:right w:w="0" w:type="dxa"/>
          </w:tblCellMar>
        </w:tblPrEx>
        <w:trPr>
          <w:wBefore w:w="0" w:type="auto"/>
          <w:tblCellSpacing w:w="0" w:type="dxa"/>
        </w:trPr>
        <w:tc>
          <w:tcPr>
            <w:tcW w:w="0" w:type="auto"/>
            <w:noWrap w:val="0"/>
            <w:vAlign w:val="center"/>
          </w:tcPr>
          <w:p w14:paraId="671127BB">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2.不慎吸入，应将病人移至空气清新处；3.皮肤接触：应立即脱掉污染的衣物，尽快用肥皂水及清水冲洗15分钟以上，严重者，请就医；4.溅入眼睛，应立即翻开上下眼睑，用流动的自来水冲洗15分钟以上，如又不适感觉，请就医；5.误服，请勿引吐，应立即携带标签，就医。6.无特效解毒剂，对症治疗。</w:t>
            </w:r>
          </w:p>
        </w:tc>
      </w:tr>
      <w:tr w14:paraId="318BA4F9">
        <w:tblPrEx>
          <w:tblCellMar>
            <w:top w:w="0" w:type="dxa"/>
            <w:left w:w="0" w:type="dxa"/>
            <w:bottom w:w="0" w:type="dxa"/>
            <w:right w:w="0" w:type="dxa"/>
          </w:tblCellMar>
        </w:tblPrEx>
        <w:trPr>
          <w:wBefore w:w="0" w:type="auto"/>
          <w:tblCellSpacing w:w="0" w:type="dxa"/>
        </w:trPr>
        <w:tc>
          <w:tcPr>
            <w:tcW w:w="0" w:type="auto"/>
            <w:noWrap w:val="0"/>
            <w:vAlign w:val="center"/>
          </w:tcPr>
          <w:p w14:paraId="6D2084FD">
            <w:r>
              <w:rPr>
                <w:rStyle w:val="10"/>
                <w:rFonts w:hint="eastAsia"/>
              </w:rPr>
              <w:t>储存和运输方法：</w:t>
            </w:r>
            <w:r>
              <w:rPr>
                <w:rFonts w:hint="eastAsia"/>
              </w:rPr>
              <w:br w:type="textWrapping"/>
            </w:r>
            <w:r>
              <w:rPr>
                <w:rStyle w:val="11"/>
                <w:rFonts w:hint="eastAsia"/>
              </w:rPr>
              <w:t>本品应贮存在干燥、阴凉、通风处，远离火源或热源。置于儿童触及不到之处，并加锁。勿与食品、饮料、饲料、粮食等混合储运。</w:t>
            </w:r>
          </w:p>
        </w:tc>
      </w:tr>
      <w:tr w14:paraId="4922D804">
        <w:tblPrEx>
          <w:tblCellMar>
            <w:top w:w="0" w:type="dxa"/>
            <w:left w:w="0" w:type="dxa"/>
            <w:bottom w:w="0" w:type="dxa"/>
            <w:right w:w="0" w:type="dxa"/>
          </w:tblCellMar>
        </w:tblPrEx>
        <w:trPr>
          <w:wBefore w:w="0" w:type="auto"/>
          <w:tblCellSpacing w:w="0" w:type="dxa"/>
        </w:trPr>
        <w:tc>
          <w:tcPr>
            <w:tcW w:w="0" w:type="auto"/>
            <w:noWrap w:val="0"/>
            <w:vAlign w:val="center"/>
          </w:tcPr>
          <w:p w14:paraId="1B8EE679">
            <w:r>
              <w:rPr>
                <w:rStyle w:val="10"/>
                <w:rFonts w:hint="eastAsia"/>
              </w:rPr>
              <w:t>质量保证期：</w:t>
            </w:r>
            <w:r>
              <w:rPr>
                <w:rStyle w:val="11"/>
                <w:rFonts w:hint="eastAsia"/>
              </w:rPr>
              <w:t>2年</w:t>
            </w:r>
          </w:p>
        </w:tc>
      </w:tr>
      <w:tr w14:paraId="7FDD0FF2">
        <w:tblPrEx>
          <w:tblCellMar>
            <w:top w:w="0" w:type="dxa"/>
            <w:left w:w="0" w:type="dxa"/>
            <w:bottom w:w="0" w:type="dxa"/>
            <w:right w:w="0" w:type="dxa"/>
          </w:tblCellMar>
        </w:tblPrEx>
        <w:trPr>
          <w:wBefore w:w="0" w:type="auto"/>
          <w:tblCellSpacing w:w="0" w:type="dxa"/>
        </w:trPr>
        <w:tc>
          <w:tcPr>
            <w:tcW w:w="0" w:type="auto"/>
            <w:noWrap w:val="0"/>
            <w:vAlign w:val="center"/>
          </w:tcPr>
          <w:p w14:paraId="3155B3F6">
            <w:r>
              <w:rPr>
                <w:rStyle w:val="10"/>
                <w:rFonts w:hint="eastAsia"/>
              </w:rPr>
              <w:t>备注：</w:t>
            </w:r>
          </w:p>
        </w:tc>
      </w:tr>
    </w:tbl>
    <w:p w14:paraId="51F3A4E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F464F5A">
        <w:tblPrEx>
          <w:tblCellMar>
            <w:top w:w="0" w:type="dxa"/>
            <w:left w:w="0" w:type="dxa"/>
            <w:bottom w:w="0" w:type="dxa"/>
            <w:right w:w="0" w:type="dxa"/>
          </w:tblCellMar>
        </w:tblPrEx>
        <w:trPr>
          <w:wBefore w:w="0" w:type="auto"/>
          <w:tblCellSpacing w:w="0" w:type="dxa"/>
        </w:trPr>
        <w:tc>
          <w:tcPr>
            <w:tcW w:w="0" w:type="auto"/>
            <w:noWrap w:val="0"/>
            <w:vAlign w:val="center"/>
          </w:tcPr>
          <w:p w14:paraId="51E34454">
            <w:r>
              <w:rPr>
                <w:rStyle w:val="10"/>
                <w:rFonts w:hint="eastAsia"/>
              </w:rPr>
              <w:t>登记证号：</w:t>
            </w:r>
            <w:r>
              <w:rPr>
                <w:rFonts w:hint="eastAsia"/>
              </w:rPr>
              <w:t>PD20212208</w:t>
            </w:r>
          </w:p>
        </w:tc>
      </w:tr>
      <w:tr w14:paraId="1C8E3264">
        <w:tblPrEx>
          <w:tblCellMar>
            <w:top w:w="0" w:type="dxa"/>
            <w:left w:w="0" w:type="dxa"/>
            <w:bottom w:w="0" w:type="dxa"/>
            <w:right w:w="0" w:type="dxa"/>
          </w:tblCellMar>
        </w:tblPrEx>
        <w:trPr>
          <w:wBefore w:w="0" w:type="auto"/>
          <w:tblCellSpacing w:w="0" w:type="dxa"/>
        </w:trPr>
        <w:tc>
          <w:tcPr>
            <w:tcW w:w="0" w:type="auto"/>
            <w:noWrap w:val="0"/>
            <w:vAlign w:val="center"/>
          </w:tcPr>
          <w:p w14:paraId="2D726B9D">
            <w:r>
              <w:rPr>
                <w:rStyle w:val="10"/>
                <w:rFonts w:hint="eastAsia"/>
              </w:rPr>
              <w:t>登记证持有人：</w:t>
            </w:r>
            <w:r>
              <w:rPr>
                <w:rFonts w:hint="eastAsia"/>
              </w:rPr>
              <w:t>苏农（广德）生物科技有限公司</w:t>
            </w:r>
          </w:p>
        </w:tc>
      </w:tr>
      <w:tr w14:paraId="006224E5">
        <w:tblPrEx>
          <w:tblCellMar>
            <w:top w:w="0" w:type="dxa"/>
            <w:left w:w="0" w:type="dxa"/>
            <w:bottom w:w="0" w:type="dxa"/>
            <w:right w:w="0" w:type="dxa"/>
          </w:tblCellMar>
        </w:tblPrEx>
        <w:trPr>
          <w:wBefore w:w="0" w:type="auto"/>
          <w:tblCellSpacing w:w="0" w:type="dxa"/>
        </w:trPr>
        <w:tc>
          <w:tcPr>
            <w:tcW w:w="0" w:type="auto"/>
            <w:noWrap w:val="0"/>
            <w:vAlign w:val="center"/>
          </w:tcPr>
          <w:p w14:paraId="29C94729">
            <w:r>
              <w:rPr>
                <w:rStyle w:val="10"/>
                <w:rFonts w:hint="eastAsia"/>
              </w:rPr>
              <w:t>农药名称：</w:t>
            </w:r>
            <w:r>
              <w:rPr>
                <w:rFonts w:hint="eastAsia"/>
              </w:rPr>
              <w:t>草甘膦铵盐</w:t>
            </w:r>
          </w:p>
        </w:tc>
      </w:tr>
      <w:tr w14:paraId="1815EA2D">
        <w:tblPrEx>
          <w:tblCellMar>
            <w:top w:w="0" w:type="dxa"/>
            <w:left w:w="0" w:type="dxa"/>
            <w:bottom w:w="0" w:type="dxa"/>
            <w:right w:w="0" w:type="dxa"/>
          </w:tblCellMar>
        </w:tblPrEx>
        <w:trPr>
          <w:wBefore w:w="0" w:type="auto"/>
          <w:tblCellSpacing w:w="0" w:type="dxa"/>
        </w:trPr>
        <w:tc>
          <w:tcPr>
            <w:tcW w:w="0" w:type="auto"/>
            <w:noWrap w:val="0"/>
            <w:vAlign w:val="center"/>
          </w:tcPr>
          <w:p w14:paraId="6DC96FED">
            <w:r>
              <w:rPr>
                <w:rStyle w:val="10"/>
                <w:rFonts w:hint="eastAsia"/>
              </w:rPr>
              <w:t>剂型：</w:t>
            </w:r>
            <w:r>
              <w:rPr>
                <w:rFonts w:hint="eastAsia"/>
              </w:rPr>
              <w:t>可溶粒剂</w:t>
            </w:r>
          </w:p>
        </w:tc>
      </w:tr>
      <w:tr w14:paraId="2F4DE699">
        <w:tblPrEx>
          <w:tblCellMar>
            <w:top w:w="0" w:type="dxa"/>
            <w:left w:w="0" w:type="dxa"/>
            <w:bottom w:w="0" w:type="dxa"/>
            <w:right w:w="0" w:type="dxa"/>
          </w:tblCellMar>
        </w:tblPrEx>
        <w:trPr>
          <w:wBefore w:w="0" w:type="auto"/>
          <w:tblCellSpacing w:w="0" w:type="dxa"/>
        </w:trPr>
        <w:tc>
          <w:tcPr>
            <w:tcW w:w="0" w:type="auto"/>
            <w:noWrap w:val="0"/>
            <w:vAlign w:val="center"/>
          </w:tcPr>
          <w:p w14:paraId="180E6171">
            <w:r>
              <w:rPr>
                <w:rStyle w:val="10"/>
                <w:rFonts w:hint="eastAsia"/>
              </w:rPr>
              <w:t>毒性及其标识：</w:t>
            </w:r>
            <w:r>
              <w:rPr>
                <w:rFonts w:hint="eastAsia"/>
              </w:rPr>
              <w:t xml:space="preserve"> </w:t>
            </w:r>
            <w:r>
              <w:rPr>
                <w:lang/>
              </w:rPr>
              <w:drawing>
                <wp:inline distT="0" distB="0" distL="114300" distR="114300">
                  <wp:extent cx="476250" cy="323850"/>
                  <wp:effectExtent l="0" t="0" r="0" b="0"/>
                  <wp:docPr id="353" name="图片 35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E46F08E">
        <w:tblPrEx>
          <w:tblCellMar>
            <w:top w:w="0" w:type="dxa"/>
            <w:left w:w="0" w:type="dxa"/>
            <w:bottom w:w="0" w:type="dxa"/>
            <w:right w:w="0" w:type="dxa"/>
          </w:tblCellMar>
        </w:tblPrEx>
        <w:trPr>
          <w:wBefore w:w="0" w:type="auto"/>
          <w:tblCellSpacing w:w="0" w:type="dxa"/>
        </w:trPr>
        <w:tc>
          <w:tcPr>
            <w:tcW w:w="0" w:type="auto"/>
            <w:noWrap w:val="0"/>
            <w:vAlign w:val="center"/>
          </w:tcPr>
          <w:p w14:paraId="38CDB94F">
            <w:r>
              <w:rPr>
                <w:rStyle w:val="10"/>
                <w:rFonts w:hint="eastAsia"/>
              </w:rPr>
              <w:t>总有效成分含量：</w:t>
            </w:r>
            <w:r>
              <w:rPr>
                <w:rFonts w:hint="eastAsia"/>
              </w:rPr>
              <w:t>80%</w:t>
            </w:r>
          </w:p>
        </w:tc>
      </w:tr>
      <w:tr w14:paraId="3EB8760E">
        <w:tblPrEx>
          <w:tblCellMar>
            <w:top w:w="0" w:type="dxa"/>
            <w:left w:w="0" w:type="dxa"/>
            <w:bottom w:w="0" w:type="dxa"/>
            <w:right w:w="0" w:type="dxa"/>
          </w:tblCellMar>
        </w:tblPrEx>
        <w:trPr>
          <w:wBefore w:w="0" w:type="auto"/>
          <w:tblCellSpacing w:w="0" w:type="dxa"/>
        </w:trPr>
        <w:tc>
          <w:tcPr>
            <w:tcW w:w="0" w:type="auto"/>
            <w:noWrap w:val="0"/>
            <w:vAlign w:val="center"/>
          </w:tcPr>
          <w:p w14:paraId="3FB43D7E">
            <w:r>
              <w:rPr>
                <w:rFonts w:hint="eastAsia"/>
              </w:rPr>
              <w:t xml:space="preserve">有效成分及其含量： </w:t>
            </w:r>
          </w:p>
          <w:p w14:paraId="05566174">
            <w:r>
              <w:rPr>
                <w:rFonts w:hint="eastAsia"/>
              </w:rPr>
              <w:t xml:space="preserve">    草甘膦80%    </w:t>
            </w:r>
          </w:p>
        </w:tc>
      </w:tr>
      <w:tr w14:paraId="3BDCA001">
        <w:tblPrEx>
          <w:tblCellMar>
            <w:top w:w="0" w:type="dxa"/>
            <w:left w:w="0" w:type="dxa"/>
            <w:bottom w:w="0" w:type="dxa"/>
            <w:right w:w="0" w:type="dxa"/>
          </w:tblCellMar>
        </w:tblPrEx>
        <w:trPr>
          <w:wBefore w:w="0" w:type="auto"/>
          <w:tblCellSpacing w:w="0" w:type="dxa"/>
        </w:trPr>
        <w:tc>
          <w:tcPr>
            <w:tcW w:w="0" w:type="auto"/>
            <w:noWrap w:val="0"/>
            <w:vAlign w:val="center"/>
          </w:tcPr>
          <w:p w14:paraId="34F2C60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8AAE8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4B696B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68BF52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74E8C7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2F7ACA">
                  <w:r>
                    <w:rPr>
                      <w:rStyle w:val="11"/>
                      <w:rFonts w:hint="eastAsia"/>
                    </w:rPr>
                    <w:t>施用方式</w:t>
                  </w:r>
                </w:p>
              </w:tc>
            </w:tr>
            <w:tr w14:paraId="2C122C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D8552E1">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B8AAB1">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9014F5">
                  <w:r>
                    <w:rPr>
                      <w:rStyle w:val="11"/>
                      <w:rFonts w:hint="eastAsia"/>
                    </w:rPr>
                    <w:t>120-150克/亩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AECA0E">
                  <w:r>
                    <w:rPr>
                      <w:rStyle w:val="11"/>
                      <w:rFonts w:hint="eastAsia"/>
                    </w:rPr>
                    <w:t>茎叶喷雾</w:t>
                  </w:r>
                </w:p>
              </w:tc>
            </w:tr>
          </w:tbl>
          <w:p w14:paraId="671E6AA9">
            <w:pPr>
              <w:rPr>
                <w:rFonts w:ascii="Times New Roman" w:hAnsi="Times New Roman" w:cs="Times New Roman"/>
                <w:sz w:val="20"/>
                <w:szCs w:val="20"/>
              </w:rPr>
            </w:pPr>
          </w:p>
        </w:tc>
      </w:tr>
      <w:tr w14:paraId="41877B4D">
        <w:tblPrEx>
          <w:tblCellMar>
            <w:top w:w="0" w:type="dxa"/>
            <w:left w:w="0" w:type="dxa"/>
            <w:bottom w:w="0" w:type="dxa"/>
            <w:right w:w="0" w:type="dxa"/>
          </w:tblCellMar>
        </w:tblPrEx>
        <w:trPr>
          <w:wBefore w:w="0" w:type="auto"/>
          <w:tblCellSpacing w:w="0" w:type="dxa"/>
        </w:trPr>
        <w:tc>
          <w:tcPr>
            <w:tcW w:w="0" w:type="auto"/>
            <w:noWrap w:val="0"/>
            <w:vAlign w:val="center"/>
          </w:tcPr>
          <w:p w14:paraId="19356CAD">
            <w:r>
              <w:rPr>
                <w:rStyle w:val="10"/>
                <w:rFonts w:hint="eastAsia"/>
              </w:rPr>
              <w:t>使用技术要求:</w:t>
            </w:r>
            <w:r>
              <w:rPr>
                <w:rFonts w:hint="eastAsia"/>
              </w:rPr>
              <w:br w:type="textWrapping"/>
            </w:r>
            <w:r>
              <w:rPr>
                <w:rStyle w:val="11"/>
                <w:rFonts w:hint="eastAsia"/>
              </w:rPr>
              <w:t>1.应于非耕地杂草旺盛生长期茎叶喷雾施药一次。温暖晴天用药效果优于低温天气。 2.本品为非选择性除草剂，施药时应避免药液飘移到邻近作物上，以防产生药害。 3.如施药后3-4小时内下雨，药效可能会降低，应酌情补喷。</w:t>
            </w:r>
          </w:p>
        </w:tc>
      </w:tr>
      <w:tr w14:paraId="1E9186DC">
        <w:tblPrEx>
          <w:tblCellMar>
            <w:top w:w="0" w:type="dxa"/>
            <w:left w:w="0" w:type="dxa"/>
            <w:bottom w:w="0" w:type="dxa"/>
            <w:right w:w="0" w:type="dxa"/>
          </w:tblCellMar>
        </w:tblPrEx>
        <w:trPr>
          <w:wBefore w:w="0" w:type="auto"/>
          <w:tblCellSpacing w:w="0" w:type="dxa"/>
        </w:trPr>
        <w:tc>
          <w:tcPr>
            <w:tcW w:w="0" w:type="auto"/>
            <w:noWrap w:val="0"/>
            <w:vAlign w:val="center"/>
          </w:tcPr>
          <w:p w14:paraId="319EB72A">
            <w:r>
              <w:rPr>
                <w:rStyle w:val="10"/>
                <w:rFonts w:hint="eastAsia"/>
              </w:rPr>
              <w:t>产品性能:</w:t>
            </w:r>
            <w:r>
              <w:rPr>
                <w:rFonts w:hint="eastAsia"/>
              </w:rPr>
              <w:br w:type="textWrapping"/>
            </w:r>
            <w:r>
              <w:rPr>
                <w:rStyle w:val="11"/>
                <w:rFonts w:hint="eastAsia"/>
              </w:rPr>
              <w:t>本品是一种内吸传导型灭生性除草剂，主要通过杂草绿色部分吸收并迅速传导至植株各部位，将其连根杀死，可防除非耕地一年生、多年生杂草。</w:t>
            </w:r>
          </w:p>
        </w:tc>
      </w:tr>
      <w:tr w14:paraId="05C8641D">
        <w:tblPrEx>
          <w:tblCellMar>
            <w:top w:w="0" w:type="dxa"/>
            <w:left w:w="0" w:type="dxa"/>
            <w:bottom w:w="0" w:type="dxa"/>
            <w:right w:w="0" w:type="dxa"/>
          </w:tblCellMar>
        </w:tblPrEx>
        <w:trPr>
          <w:wBefore w:w="0" w:type="auto"/>
          <w:tblCellSpacing w:w="0" w:type="dxa"/>
        </w:trPr>
        <w:tc>
          <w:tcPr>
            <w:tcW w:w="0" w:type="auto"/>
            <w:noWrap w:val="0"/>
            <w:vAlign w:val="center"/>
          </w:tcPr>
          <w:p w14:paraId="4824111D">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2.本品必须在杂草出苗后作茎叶喷雾处理，对未出土的杂草无效。 稀释时需用清水，否则会影响药效。3.避免与碱性农药或物质混用。4. 应选择晴天施药，施药后五天内勿割草、放牧和翻地。 5.禁止在田间道路、田埂、果树行间、休耕地、林场地等农林区域使用。6.禁止在河塘等水体中清洗施药器具；鸟类保护区附近禁用。7.用过的容器应妥善处理，不可做他用，也不可随意丢弃。8.孕妇和哺乳期妇女避免接触。</w:t>
            </w:r>
          </w:p>
        </w:tc>
      </w:tr>
      <w:tr w14:paraId="10DDF252">
        <w:tblPrEx>
          <w:tblCellMar>
            <w:top w:w="0" w:type="dxa"/>
            <w:left w:w="0" w:type="dxa"/>
            <w:bottom w:w="0" w:type="dxa"/>
            <w:right w:w="0" w:type="dxa"/>
          </w:tblCellMar>
        </w:tblPrEx>
        <w:trPr>
          <w:wBefore w:w="0" w:type="auto"/>
          <w:tblCellSpacing w:w="0" w:type="dxa"/>
        </w:trPr>
        <w:tc>
          <w:tcPr>
            <w:tcW w:w="0" w:type="auto"/>
            <w:noWrap w:val="0"/>
            <w:vAlign w:val="center"/>
          </w:tcPr>
          <w:p w14:paraId="59465252">
            <w:r>
              <w:rPr>
                <w:rStyle w:val="10"/>
                <w:rFonts w:hint="eastAsia"/>
              </w:rPr>
              <w:t>中毒急救措施：</w:t>
            </w:r>
            <w:r>
              <w:rPr>
                <w:rFonts w:hint="eastAsia"/>
              </w:rPr>
              <w:br w:type="textWrapping"/>
            </w:r>
            <w:r>
              <w:rPr>
                <w:rStyle w:val="11"/>
                <w:rFonts w:hint="eastAsia"/>
              </w:rPr>
              <w:t>中毒症状表现为头痛、呕吐、多汗、胸闷、视物模糊、无力等。不慎吸入，应将病人移至空气流通处。不慎接触皮肤或溅入眼睛，应用大量清水冲洗至少15分钟。误服则应立即携此标签将病人送医院诊治。尚无特效解毒剂。</w:t>
            </w:r>
          </w:p>
        </w:tc>
      </w:tr>
      <w:tr w14:paraId="2102BB1D">
        <w:tblPrEx>
          <w:tblCellMar>
            <w:top w:w="0" w:type="dxa"/>
            <w:left w:w="0" w:type="dxa"/>
            <w:bottom w:w="0" w:type="dxa"/>
            <w:right w:w="0" w:type="dxa"/>
          </w:tblCellMar>
        </w:tblPrEx>
        <w:trPr>
          <w:wBefore w:w="0" w:type="auto"/>
          <w:tblCellSpacing w:w="0" w:type="dxa"/>
        </w:trPr>
        <w:tc>
          <w:tcPr>
            <w:tcW w:w="0" w:type="auto"/>
            <w:noWrap w:val="0"/>
            <w:vAlign w:val="center"/>
          </w:tcPr>
          <w:p w14:paraId="1A3EB2B8">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本品应贮存在干燥、阴凉、通风、防雨处，远离火源或热源。置于儿童及无关人员触及不到之处，并加锁。勿与食品、饮料、粮食、饲料等同贮同运。</w:t>
            </w:r>
          </w:p>
        </w:tc>
      </w:tr>
      <w:tr w14:paraId="0FEAD9AC">
        <w:tblPrEx>
          <w:tblCellMar>
            <w:top w:w="0" w:type="dxa"/>
            <w:left w:w="0" w:type="dxa"/>
            <w:bottom w:w="0" w:type="dxa"/>
            <w:right w:w="0" w:type="dxa"/>
          </w:tblCellMar>
        </w:tblPrEx>
        <w:trPr>
          <w:wBefore w:w="0" w:type="auto"/>
          <w:tblCellSpacing w:w="0" w:type="dxa"/>
        </w:trPr>
        <w:tc>
          <w:tcPr>
            <w:tcW w:w="0" w:type="auto"/>
            <w:noWrap w:val="0"/>
            <w:vAlign w:val="center"/>
          </w:tcPr>
          <w:p w14:paraId="626777EC">
            <w:r>
              <w:rPr>
                <w:rStyle w:val="10"/>
                <w:rFonts w:hint="eastAsia"/>
              </w:rPr>
              <w:t>质量保证期：</w:t>
            </w:r>
            <w:r>
              <w:rPr>
                <w:rStyle w:val="11"/>
                <w:rFonts w:hint="eastAsia"/>
              </w:rPr>
              <w:t>2年</w:t>
            </w:r>
          </w:p>
        </w:tc>
      </w:tr>
      <w:tr w14:paraId="144E3145">
        <w:tblPrEx>
          <w:tblCellMar>
            <w:top w:w="0" w:type="dxa"/>
            <w:left w:w="0" w:type="dxa"/>
            <w:bottom w:w="0" w:type="dxa"/>
            <w:right w:w="0" w:type="dxa"/>
          </w:tblCellMar>
        </w:tblPrEx>
        <w:trPr>
          <w:wBefore w:w="0" w:type="auto"/>
          <w:tblCellSpacing w:w="0" w:type="dxa"/>
        </w:trPr>
        <w:tc>
          <w:tcPr>
            <w:tcW w:w="0" w:type="auto"/>
            <w:noWrap w:val="0"/>
            <w:vAlign w:val="center"/>
          </w:tcPr>
          <w:p w14:paraId="0B06CF8B">
            <w:r>
              <w:rPr>
                <w:rStyle w:val="10"/>
                <w:rFonts w:hint="eastAsia"/>
              </w:rPr>
              <w:t>备注：</w:t>
            </w:r>
          </w:p>
        </w:tc>
      </w:tr>
    </w:tbl>
    <w:p w14:paraId="314AB29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AB3F632">
        <w:tblPrEx>
          <w:tblCellMar>
            <w:top w:w="0" w:type="dxa"/>
            <w:left w:w="0" w:type="dxa"/>
            <w:bottom w:w="0" w:type="dxa"/>
            <w:right w:w="0" w:type="dxa"/>
          </w:tblCellMar>
        </w:tblPrEx>
        <w:trPr>
          <w:wBefore w:w="0" w:type="auto"/>
          <w:tblCellSpacing w:w="0" w:type="dxa"/>
        </w:trPr>
        <w:tc>
          <w:tcPr>
            <w:tcW w:w="0" w:type="auto"/>
            <w:noWrap w:val="0"/>
            <w:vAlign w:val="center"/>
          </w:tcPr>
          <w:p w14:paraId="4F044790">
            <w:r>
              <w:rPr>
                <w:rStyle w:val="10"/>
                <w:rFonts w:hint="eastAsia"/>
              </w:rPr>
              <w:t>登记证号：</w:t>
            </w:r>
            <w:r>
              <w:rPr>
                <w:rFonts w:hint="eastAsia"/>
              </w:rPr>
              <w:t>PD20211739</w:t>
            </w:r>
          </w:p>
        </w:tc>
      </w:tr>
      <w:tr w14:paraId="2F2F3C37">
        <w:tblPrEx>
          <w:tblCellMar>
            <w:top w:w="0" w:type="dxa"/>
            <w:left w:w="0" w:type="dxa"/>
            <w:bottom w:w="0" w:type="dxa"/>
            <w:right w:w="0" w:type="dxa"/>
          </w:tblCellMar>
        </w:tblPrEx>
        <w:trPr>
          <w:wBefore w:w="0" w:type="auto"/>
          <w:tblCellSpacing w:w="0" w:type="dxa"/>
        </w:trPr>
        <w:tc>
          <w:tcPr>
            <w:tcW w:w="0" w:type="auto"/>
            <w:noWrap w:val="0"/>
            <w:vAlign w:val="center"/>
          </w:tcPr>
          <w:p w14:paraId="231D8318">
            <w:r>
              <w:rPr>
                <w:rStyle w:val="10"/>
                <w:rFonts w:hint="eastAsia"/>
              </w:rPr>
              <w:t>登记证持有人：</w:t>
            </w:r>
            <w:r>
              <w:rPr>
                <w:rFonts w:hint="eastAsia"/>
              </w:rPr>
              <w:t>南通联农佳田作物科技有限公司</w:t>
            </w:r>
          </w:p>
        </w:tc>
      </w:tr>
      <w:tr w14:paraId="68EB9C6E">
        <w:tblPrEx>
          <w:tblCellMar>
            <w:top w:w="0" w:type="dxa"/>
            <w:left w:w="0" w:type="dxa"/>
            <w:bottom w:w="0" w:type="dxa"/>
            <w:right w:w="0" w:type="dxa"/>
          </w:tblCellMar>
        </w:tblPrEx>
        <w:trPr>
          <w:wBefore w:w="0" w:type="auto"/>
          <w:tblCellSpacing w:w="0" w:type="dxa"/>
        </w:trPr>
        <w:tc>
          <w:tcPr>
            <w:tcW w:w="0" w:type="auto"/>
            <w:noWrap w:val="0"/>
            <w:vAlign w:val="center"/>
          </w:tcPr>
          <w:p w14:paraId="2B0FC955">
            <w:r>
              <w:rPr>
                <w:rStyle w:val="10"/>
                <w:rFonts w:hint="eastAsia"/>
              </w:rPr>
              <w:t>农药名称：</w:t>
            </w:r>
            <w:r>
              <w:rPr>
                <w:rFonts w:hint="eastAsia"/>
              </w:rPr>
              <w:t>联苯·噻虫胺</w:t>
            </w:r>
          </w:p>
        </w:tc>
      </w:tr>
      <w:tr w14:paraId="36B4A038">
        <w:tblPrEx>
          <w:tblCellMar>
            <w:top w:w="0" w:type="dxa"/>
            <w:left w:w="0" w:type="dxa"/>
            <w:bottom w:w="0" w:type="dxa"/>
            <w:right w:w="0" w:type="dxa"/>
          </w:tblCellMar>
        </w:tblPrEx>
        <w:trPr>
          <w:wBefore w:w="0" w:type="auto"/>
          <w:tblCellSpacing w:w="0" w:type="dxa"/>
        </w:trPr>
        <w:tc>
          <w:tcPr>
            <w:tcW w:w="0" w:type="auto"/>
            <w:noWrap w:val="0"/>
            <w:vAlign w:val="center"/>
          </w:tcPr>
          <w:p w14:paraId="755AC0FC">
            <w:r>
              <w:rPr>
                <w:rStyle w:val="10"/>
                <w:rFonts w:hint="eastAsia"/>
              </w:rPr>
              <w:t>剂型：</w:t>
            </w:r>
            <w:r>
              <w:rPr>
                <w:rFonts w:hint="eastAsia"/>
              </w:rPr>
              <w:t>种子处理微囊悬浮－悬浮剂</w:t>
            </w:r>
          </w:p>
        </w:tc>
      </w:tr>
      <w:tr w14:paraId="08CDFBEC">
        <w:tblPrEx>
          <w:tblCellMar>
            <w:top w:w="0" w:type="dxa"/>
            <w:left w:w="0" w:type="dxa"/>
            <w:bottom w:w="0" w:type="dxa"/>
            <w:right w:w="0" w:type="dxa"/>
          </w:tblCellMar>
        </w:tblPrEx>
        <w:trPr>
          <w:wBefore w:w="0" w:type="auto"/>
          <w:tblCellSpacing w:w="0" w:type="dxa"/>
        </w:trPr>
        <w:tc>
          <w:tcPr>
            <w:tcW w:w="0" w:type="auto"/>
            <w:noWrap w:val="0"/>
            <w:vAlign w:val="center"/>
          </w:tcPr>
          <w:p w14:paraId="477AB1B2">
            <w:r>
              <w:rPr>
                <w:rStyle w:val="10"/>
                <w:rFonts w:hint="eastAsia"/>
              </w:rPr>
              <w:t>毒性及其标识：</w:t>
            </w:r>
            <w:r>
              <w:rPr>
                <w:rFonts w:hint="eastAsia"/>
              </w:rPr>
              <w:t xml:space="preserve"> </w:t>
            </w:r>
            <w:r>
              <w:rPr>
                <w:lang/>
              </w:rPr>
              <w:drawing>
                <wp:inline distT="0" distB="0" distL="114300" distR="114300">
                  <wp:extent cx="476250" cy="323850"/>
                  <wp:effectExtent l="0" t="0" r="0" b="0"/>
                  <wp:docPr id="354" name="图片 35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313F213">
        <w:tblPrEx>
          <w:tblCellMar>
            <w:top w:w="0" w:type="dxa"/>
            <w:left w:w="0" w:type="dxa"/>
            <w:bottom w:w="0" w:type="dxa"/>
            <w:right w:w="0" w:type="dxa"/>
          </w:tblCellMar>
        </w:tblPrEx>
        <w:trPr>
          <w:wBefore w:w="0" w:type="auto"/>
          <w:tblCellSpacing w:w="0" w:type="dxa"/>
        </w:trPr>
        <w:tc>
          <w:tcPr>
            <w:tcW w:w="0" w:type="auto"/>
            <w:noWrap w:val="0"/>
            <w:vAlign w:val="center"/>
          </w:tcPr>
          <w:p w14:paraId="2876ECFB">
            <w:r>
              <w:rPr>
                <w:rStyle w:val="10"/>
                <w:rFonts w:hint="eastAsia"/>
              </w:rPr>
              <w:t>总有效成分含量：</w:t>
            </w:r>
            <w:r>
              <w:rPr>
                <w:rFonts w:hint="eastAsia"/>
              </w:rPr>
              <w:t>15%</w:t>
            </w:r>
          </w:p>
        </w:tc>
      </w:tr>
      <w:tr w14:paraId="4A6D39C0">
        <w:tblPrEx>
          <w:tblCellMar>
            <w:top w:w="0" w:type="dxa"/>
            <w:left w:w="0" w:type="dxa"/>
            <w:bottom w:w="0" w:type="dxa"/>
            <w:right w:w="0" w:type="dxa"/>
          </w:tblCellMar>
        </w:tblPrEx>
        <w:trPr>
          <w:wBefore w:w="0" w:type="auto"/>
          <w:tblCellSpacing w:w="0" w:type="dxa"/>
        </w:trPr>
        <w:tc>
          <w:tcPr>
            <w:tcW w:w="0" w:type="auto"/>
            <w:noWrap w:val="0"/>
            <w:vAlign w:val="center"/>
          </w:tcPr>
          <w:p w14:paraId="2EDF11D8">
            <w:r>
              <w:rPr>
                <w:rFonts w:hint="eastAsia"/>
              </w:rPr>
              <w:t xml:space="preserve">有效成分及其含量： </w:t>
            </w:r>
          </w:p>
          <w:p w14:paraId="7877A132">
            <w:r>
              <w:rPr>
                <w:rFonts w:hint="eastAsia"/>
              </w:rPr>
              <w:t xml:space="preserve">    联苯菊酯7.5%    噻虫胺7.5%    </w:t>
            </w:r>
          </w:p>
        </w:tc>
      </w:tr>
      <w:tr w14:paraId="0A551F69">
        <w:tblPrEx>
          <w:tblCellMar>
            <w:top w:w="0" w:type="dxa"/>
            <w:left w:w="0" w:type="dxa"/>
            <w:bottom w:w="0" w:type="dxa"/>
            <w:right w:w="0" w:type="dxa"/>
          </w:tblCellMar>
        </w:tblPrEx>
        <w:trPr>
          <w:wBefore w:w="0" w:type="auto"/>
          <w:tblCellSpacing w:w="0" w:type="dxa"/>
        </w:trPr>
        <w:tc>
          <w:tcPr>
            <w:tcW w:w="0" w:type="auto"/>
            <w:noWrap w:val="0"/>
            <w:vAlign w:val="center"/>
          </w:tcPr>
          <w:p w14:paraId="7511833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F8715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9E12CC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2BAECF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5E5C39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305F45C">
                  <w:r>
                    <w:rPr>
                      <w:rStyle w:val="11"/>
                      <w:rFonts w:hint="eastAsia"/>
                    </w:rPr>
                    <w:t>施用方式</w:t>
                  </w:r>
                </w:p>
              </w:tc>
            </w:tr>
            <w:tr w14:paraId="12FCE9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37BB857">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CF3B92">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AC4794">
                  <w:r>
                    <w:rPr>
                      <w:rStyle w:val="11"/>
                      <w:rFonts w:hint="eastAsia"/>
                    </w:rPr>
                    <w:t>1000-1500毫升/100千克种子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DFA1A2">
                  <w:r>
                    <w:rPr>
                      <w:rStyle w:val="11"/>
                      <w:rFonts w:hint="eastAsia"/>
                    </w:rPr>
                    <w:t>拌种</w:t>
                  </w:r>
                </w:p>
              </w:tc>
            </w:tr>
            <w:tr w14:paraId="62DE49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F879616">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1A5CC3">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D7A1C0">
                  <w:r>
                    <w:rPr>
                      <w:rStyle w:val="11"/>
                      <w:rFonts w:hint="eastAsia"/>
                    </w:rPr>
                    <w:t>1000-1500毫升/100千克种子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06ABB6">
                  <w:r>
                    <w:rPr>
                      <w:rStyle w:val="11"/>
                      <w:rFonts w:hint="eastAsia"/>
                    </w:rPr>
                    <w:t>拌种</w:t>
                  </w:r>
                </w:p>
              </w:tc>
            </w:tr>
          </w:tbl>
          <w:p w14:paraId="404281C5">
            <w:pPr>
              <w:rPr>
                <w:rFonts w:ascii="Times New Roman" w:hAnsi="Times New Roman" w:cs="Times New Roman"/>
                <w:sz w:val="20"/>
                <w:szCs w:val="20"/>
              </w:rPr>
            </w:pPr>
          </w:p>
        </w:tc>
      </w:tr>
      <w:tr w14:paraId="045C6FB4">
        <w:tblPrEx>
          <w:tblCellMar>
            <w:top w:w="0" w:type="dxa"/>
            <w:left w:w="0" w:type="dxa"/>
            <w:bottom w:w="0" w:type="dxa"/>
            <w:right w:w="0" w:type="dxa"/>
          </w:tblCellMar>
        </w:tblPrEx>
        <w:trPr>
          <w:wBefore w:w="0" w:type="auto"/>
          <w:tblCellSpacing w:w="0" w:type="dxa"/>
        </w:trPr>
        <w:tc>
          <w:tcPr>
            <w:tcW w:w="0" w:type="auto"/>
            <w:noWrap w:val="0"/>
            <w:vAlign w:val="center"/>
          </w:tcPr>
          <w:p w14:paraId="648DBD99">
            <w:r>
              <w:rPr>
                <w:rStyle w:val="10"/>
                <w:rFonts w:hint="eastAsia"/>
              </w:rPr>
              <w:t>使用技术要求:</w:t>
            </w:r>
            <w:r>
              <w:rPr>
                <w:rFonts w:hint="eastAsia"/>
              </w:rPr>
              <w:br w:type="textWrapping"/>
            </w:r>
            <w:r>
              <w:rPr>
                <w:rStyle w:val="11"/>
                <w:rFonts w:hint="eastAsia"/>
              </w:rPr>
              <w:t>1、本产品用于防治花生蛴螬和蚜虫，于花生播种期拌种施药。 2、拌种时务必使种子均匀粘上药液，晾干后播种，播种后立即覆土。 3、播种时需考虑低温、大雨等不良环境影响，适时播种。大风天或预计1小时之内有雨，请勿施药。 4、本品每季最多使用1次。</w:t>
            </w:r>
          </w:p>
        </w:tc>
      </w:tr>
      <w:tr w14:paraId="542215EA">
        <w:tblPrEx>
          <w:tblCellMar>
            <w:top w:w="0" w:type="dxa"/>
            <w:left w:w="0" w:type="dxa"/>
            <w:bottom w:w="0" w:type="dxa"/>
            <w:right w:w="0" w:type="dxa"/>
          </w:tblCellMar>
        </w:tblPrEx>
        <w:trPr>
          <w:wBefore w:w="0" w:type="auto"/>
          <w:tblCellSpacing w:w="0" w:type="dxa"/>
        </w:trPr>
        <w:tc>
          <w:tcPr>
            <w:tcW w:w="0" w:type="auto"/>
            <w:noWrap w:val="0"/>
            <w:vAlign w:val="center"/>
          </w:tcPr>
          <w:p w14:paraId="4C51FF46">
            <w:r>
              <w:rPr>
                <w:rStyle w:val="10"/>
                <w:rFonts w:hint="eastAsia"/>
              </w:rPr>
              <w:t>产品性能:</w:t>
            </w:r>
            <w:r>
              <w:rPr>
                <w:rFonts w:hint="eastAsia"/>
              </w:rPr>
              <w:br w:type="textWrapping"/>
            </w:r>
            <w:r>
              <w:rPr>
                <w:rStyle w:val="11"/>
                <w:rFonts w:hint="eastAsia"/>
              </w:rPr>
              <w:t>本品由两种不同作用机理的有效成分联苯菊酯和噻虫胺的混配而成。二者混用具有内吸、触杀和胃毒的作用，可有效防治花生蛴螬和花生蚜虫。</w:t>
            </w:r>
          </w:p>
        </w:tc>
      </w:tr>
      <w:tr w14:paraId="394022C7">
        <w:tblPrEx>
          <w:tblCellMar>
            <w:top w:w="0" w:type="dxa"/>
            <w:left w:w="0" w:type="dxa"/>
            <w:bottom w:w="0" w:type="dxa"/>
            <w:right w:w="0" w:type="dxa"/>
          </w:tblCellMar>
        </w:tblPrEx>
        <w:trPr>
          <w:wBefore w:w="0" w:type="auto"/>
          <w:tblCellSpacing w:w="0" w:type="dxa"/>
        </w:trPr>
        <w:tc>
          <w:tcPr>
            <w:tcW w:w="0" w:type="auto"/>
            <w:noWrap w:val="0"/>
            <w:vAlign w:val="center"/>
          </w:tcPr>
          <w:p w14:paraId="1ED9CBB5">
            <w:r>
              <w:rPr>
                <w:rStyle w:val="10"/>
                <w:rFonts w:hint="eastAsia"/>
              </w:rPr>
              <w:t>注意事项：</w:t>
            </w:r>
            <w:r>
              <w:rPr>
                <w:rFonts w:hint="eastAsia"/>
              </w:rPr>
              <w:br w:type="textWrapping"/>
            </w:r>
            <w:r>
              <w:rPr>
                <w:rStyle w:val="11"/>
                <w:rFonts w:hint="eastAsia"/>
              </w:rPr>
              <w:t>1、本品不能与强碱性物质混用，避免与氧化物接触。 2、拌种和播种时应穿保护性作业服，戴口罩、手套等，严禁吸烟和饮食。种子处理结束后，彻底清洗防护用具，洗澡，并更换和清洗工作服。 3、处理后的种子严禁人畜食用，如需晾晒必须有专人看管，特别要注意远离儿童以防止误食中毒，施药后应立即覆土，以免畜禽误食。 4、本品对蜜蜂、鸟类和家蚕有毒，应防止蜜蜂和鸟类接触本品或包衣后的种子，鸟类保护区附近禁用；播种后立即覆土。 5、施药前、后要彻底清洗施药器械，洗涤后的废水不应污染河流等水源。水产养殖区、河塘等水体附近禁用，禁止在河塘等水域清洗施药器具。 6、开启封口应小心药液溅出，废弃包装物应清洗后深埋或由生产企业回收处理。 7、孕妇和哺乳期妇女禁止接触本品。</w:t>
            </w:r>
          </w:p>
        </w:tc>
      </w:tr>
      <w:tr w14:paraId="7367E8A8">
        <w:tblPrEx>
          <w:tblCellMar>
            <w:top w:w="0" w:type="dxa"/>
            <w:left w:w="0" w:type="dxa"/>
            <w:bottom w:w="0" w:type="dxa"/>
            <w:right w:w="0" w:type="dxa"/>
          </w:tblCellMar>
        </w:tblPrEx>
        <w:trPr>
          <w:wBefore w:w="0" w:type="auto"/>
          <w:tblCellSpacing w:w="0" w:type="dxa"/>
        </w:trPr>
        <w:tc>
          <w:tcPr>
            <w:tcW w:w="0" w:type="auto"/>
            <w:noWrap w:val="0"/>
            <w:vAlign w:val="center"/>
          </w:tcPr>
          <w:p w14:paraId="3A06EB06">
            <w:r>
              <w:rPr>
                <w:rStyle w:val="10"/>
                <w:rFonts w:hint="eastAsia"/>
              </w:rPr>
              <w:t>中毒急救措施：</w:t>
            </w:r>
            <w:r>
              <w:rPr>
                <w:rFonts w:hint="eastAsia"/>
              </w:rPr>
              <w:br w:type="textWrapping"/>
            </w:r>
            <w:r>
              <w:rPr>
                <w:rStyle w:val="11"/>
                <w:rFonts w:hint="eastAsia"/>
              </w:rPr>
              <w:t xml:space="preserve">使用中或使用后若感觉不适，应立即停止工作，采取急救措施。 皮肤接触：立即脱掉被污染的衣物，用肥皂和大量清水彻底清洗受污染的皮肤。眼睛溅入：立即用清水冲洗不少于15分钟。吸入：立即离开施药现场，转移到空气清新处。误服：立即停止服用，不可催吐，立即携带标签到医院对症治疗。 </w:t>
            </w:r>
          </w:p>
        </w:tc>
      </w:tr>
      <w:tr w14:paraId="3A271F33">
        <w:tblPrEx>
          <w:tblCellMar>
            <w:top w:w="0" w:type="dxa"/>
            <w:left w:w="0" w:type="dxa"/>
            <w:bottom w:w="0" w:type="dxa"/>
            <w:right w:w="0" w:type="dxa"/>
          </w:tblCellMar>
        </w:tblPrEx>
        <w:trPr>
          <w:wBefore w:w="0" w:type="auto"/>
          <w:tblCellSpacing w:w="0" w:type="dxa"/>
        </w:trPr>
        <w:tc>
          <w:tcPr>
            <w:tcW w:w="0" w:type="auto"/>
            <w:noWrap w:val="0"/>
            <w:vAlign w:val="center"/>
          </w:tcPr>
          <w:p w14:paraId="1B0EF675">
            <w:r>
              <w:rPr>
                <w:rStyle w:val="10"/>
                <w:rFonts w:hint="eastAsia"/>
              </w:rPr>
              <w:t>储存和运输方法：</w:t>
            </w:r>
            <w:r>
              <w:rPr>
                <w:rFonts w:hint="eastAsia"/>
              </w:rPr>
              <w:br w:type="textWrapping"/>
            </w:r>
            <w:r>
              <w:rPr>
                <w:rStyle w:val="11"/>
                <w:rFonts w:hint="eastAsia"/>
              </w:rPr>
              <w:t>本品贮存应注意阴凉、干燥、通风，远离火源，不能与食品、饮料、粮食、饲料等物品同贮同运。远离儿童及家畜，以免误服。避免与皮肤、眼睛接触。装卸运输时注意检查包装是否密封完整，轻拿轻放。</w:t>
            </w:r>
          </w:p>
        </w:tc>
      </w:tr>
      <w:tr w14:paraId="24E122EE">
        <w:tblPrEx>
          <w:tblCellMar>
            <w:top w:w="0" w:type="dxa"/>
            <w:left w:w="0" w:type="dxa"/>
            <w:bottom w:w="0" w:type="dxa"/>
            <w:right w:w="0" w:type="dxa"/>
          </w:tblCellMar>
        </w:tblPrEx>
        <w:trPr>
          <w:wBefore w:w="0" w:type="auto"/>
          <w:tblCellSpacing w:w="0" w:type="dxa"/>
        </w:trPr>
        <w:tc>
          <w:tcPr>
            <w:tcW w:w="0" w:type="auto"/>
            <w:noWrap w:val="0"/>
            <w:vAlign w:val="center"/>
          </w:tcPr>
          <w:p w14:paraId="66B1B4D5">
            <w:r>
              <w:rPr>
                <w:rStyle w:val="10"/>
                <w:rFonts w:hint="eastAsia"/>
              </w:rPr>
              <w:t>质量保证期：</w:t>
            </w:r>
            <w:r>
              <w:rPr>
                <w:rStyle w:val="11"/>
                <w:rFonts w:hint="eastAsia"/>
              </w:rPr>
              <w:t>2年</w:t>
            </w:r>
          </w:p>
        </w:tc>
      </w:tr>
      <w:tr w14:paraId="4917EA45">
        <w:tblPrEx>
          <w:tblCellMar>
            <w:top w:w="0" w:type="dxa"/>
            <w:left w:w="0" w:type="dxa"/>
            <w:bottom w:w="0" w:type="dxa"/>
            <w:right w:w="0" w:type="dxa"/>
          </w:tblCellMar>
        </w:tblPrEx>
        <w:trPr>
          <w:wBefore w:w="0" w:type="auto"/>
          <w:tblCellSpacing w:w="0" w:type="dxa"/>
        </w:trPr>
        <w:tc>
          <w:tcPr>
            <w:tcW w:w="0" w:type="auto"/>
            <w:noWrap w:val="0"/>
            <w:vAlign w:val="center"/>
          </w:tcPr>
          <w:p w14:paraId="0E610C21">
            <w:r>
              <w:rPr>
                <w:rStyle w:val="10"/>
                <w:rFonts w:hint="eastAsia"/>
              </w:rPr>
              <w:t>备注：</w:t>
            </w:r>
          </w:p>
        </w:tc>
      </w:tr>
    </w:tbl>
    <w:p w14:paraId="38BFA15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58D3AFB">
        <w:tblPrEx>
          <w:tblCellMar>
            <w:top w:w="0" w:type="dxa"/>
            <w:left w:w="0" w:type="dxa"/>
            <w:bottom w:w="0" w:type="dxa"/>
            <w:right w:w="0" w:type="dxa"/>
          </w:tblCellMar>
        </w:tblPrEx>
        <w:trPr>
          <w:wBefore w:w="0" w:type="auto"/>
          <w:tblCellSpacing w:w="0" w:type="dxa"/>
        </w:trPr>
        <w:tc>
          <w:tcPr>
            <w:tcW w:w="0" w:type="auto"/>
            <w:noWrap w:val="0"/>
            <w:vAlign w:val="center"/>
          </w:tcPr>
          <w:p w14:paraId="115F71C2">
            <w:r>
              <w:rPr>
                <w:rStyle w:val="10"/>
                <w:rFonts w:hint="eastAsia"/>
              </w:rPr>
              <w:t>登记证号：</w:t>
            </w:r>
            <w:r>
              <w:rPr>
                <w:rFonts w:hint="eastAsia"/>
              </w:rPr>
              <w:t>PD20211812</w:t>
            </w:r>
          </w:p>
        </w:tc>
      </w:tr>
      <w:tr w14:paraId="10A4B9F6">
        <w:tblPrEx>
          <w:tblCellMar>
            <w:top w:w="0" w:type="dxa"/>
            <w:left w:w="0" w:type="dxa"/>
            <w:bottom w:w="0" w:type="dxa"/>
            <w:right w:w="0" w:type="dxa"/>
          </w:tblCellMar>
        </w:tblPrEx>
        <w:trPr>
          <w:wBefore w:w="0" w:type="auto"/>
          <w:tblCellSpacing w:w="0" w:type="dxa"/>
        </w:trPr>
        <w:tc>
          <w:tcPr>
            <w:tcW w:w="0" w:type="auto"/>
            <w:noWrap w:val="0"/>
            <w:vAlign w:val="center"/>
          </w:tcPr>
          <w:p w14:paraId="398BCB84">
            <w:r>
              <w:rPr>
                <w:rStyle w:val="10"/>
                <w:rFonts w:hint="eastAsia"/>
              </w:rPr>
              <w:t>登记证持有人：</w:t>
            </w:r>
            <w:r>
              <w:rPr>
                <w:rFonts w:hint="eastAsia"/>
              </w:rPr>
              <w:t>陕西亿田丰作物科技有限公司</w:t>
            </w:r>
          </w:p>
        </w:tc>
      </w:tr>
      <w:tr w14:paraId="51DFA75D">
        <w:tblPrEx>
          <w:tblCellMar>
            <w:top w:w="0" w:type="dxa"/>
            <w:left w:w="0" w:type="dxa"/>
            <w:bottom w:w="0" w:type="dxa"/>
            <w:right w:w="0" w:type="dxa"/>
          </w:tblCellMar>
        </w:tblPrEx>
        <w:trPr>
          <w:wBefore w:w="0" w:type="auto"/>
          <w:tblCellSpacing w:w="0" w:type="dxa"/>
        </w:trPr>
        <w:tc>
          <w:tcPr>
            <w:tcW w:w="0" w:type="auto"/>
            <w:noWrap w:val="0"/>
            <w:vAlign w:val="center"/>
          </w:tcPr>
          <w:p w14:paraId="2ABF0451">
            <w:r>
              <w:rPr>
                <w:rStyle w:val="10"/>
                <w:rFonts w:hint="eastAsia"/>
              </w:rPr>
              <w:t>农药名称：</w:t>
            </w:r>
            <w:r>
              <w:rPr>
                <w:rFonts w:hint="eastAsia"/>
              </w:rPr>
              <w:t>甲氰菊酯·虱螨脲</w:t>
            </w:r>
          </w:p>
        </w:tc>
      </w:tr>
      <w:tr w14:paraId="14364FBA">
        <w:tblPrEx>
          <w:tblCellMar>
            <w:top w:w="0" w:type="dxa"/>
            <w:left w:w="0" w:type="dxa"/>
            <w:bottom w:w="0" w:type="dxa"/>
            <w:right w:w="0" w:type="dxa"/>
          </w:tblCellMar>
        </w:tblPrEx>
        <w:trPr>
          <w:wBefore w:w="0" w:type="auto"/>
          <w:tblCellSpacing w:w="0" w:type="dxa"/>
        </w:trPr>
        <w:tc>
          <w:tcPr>
            <w:tcW w:w="0" w:type="auto"/>
            <w:noWrap w:val="0"/>
            <w:vAlign w:val="center"/>
          </w:tcPr>
          <w:p w14:paraId="2352855F">
            <w:r>
              <w:rPr>
                <w:rStyle w:val="10"/>
                <w:rFonts w:hint="eastAsia"/>
              </w:rPr>
              <w:t>剂型：</w:t>
            </w:r>
            <w:r>
              <w:rPr>
                <w:rFonts w:hint="eastAsia"/>
              </w:rPr>
              <w:t>悬浮剂</w:t>
            </w:r>
          </w:p>
        </w:tc>
      </w:tr>
      <w:tr w14:paraId="351266A1">
        <w:tblPrEx>
          <w:tblCellMar>
            <w:top w:w="0" w:type="dxa"/>
            <w:left w:w="0" w:type="dxa"/>
            <w:bottom w:w="0" w:type="dxa"/>
            <w:right w:w="0" w:type="dxa"/>
          </w:tblCellMar>
        </w:tblPrEx>
        <w:trPr>
          <w:wBefore w:w="0" w:type="auto"/>
          <w:tblCellSpacing w:w="0" w:type="dxa"/>
        </w:trPr>
        <w:tc>
          <w:tcPr>
            <w:tcW w:w="0" w:type="auto"/>
            <w:noWrap w:val="0"/>
            <w:vAlign w:val="center"/>
          </w:tcPr>
          <w:p w14:paraId="51235EEF">
            <w:r>
              <w:rPr>
                <w:rStyle w:val="10"/>
                <w:rFonts w:hint="eastAsia"/>
              </w:rPr>
              <w:t>毒性及其标识：</w:t>
            </w:r>
            <w:r>
              <w:rPr>
                <w:rFonts w:hint="eastAsia"/>
              </w:rPr>
              <w:t xml:space="preserve"> </w:t>
            </w:r>
            <w:r>
              <w:rPr>
                <w:lang/>
              </w:rPr>
              <w:drawing>
                <wp:inline distT="0" distB="0" distL="114300" distR="114300">
                  <wp:extent cx="476250" cy="323850"/>
                  <wp:effectExtent l="0" t="0" r="0" b="0"/>
                  <wp:docPr id="355" name="图片 35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7C7757D">
        <w:tblPrEx>
          <w:tblCellMar>
            <w:top w:w="0" w:type="dxa"/>
            <w:left w:w="0" w:type="dxa"/>
            <w:bottom w:w="0" w:type="dxa"/>
            <w:right w:w="0" w:type="dxa"/>
          </w:tblCellMar>
        </w:tblPrEx>
        <w:trPr>
          <w:wBefore w:w="0" w:type="auto"/>
          <w:tblCellSpacing w:w="0" w:type="dxa"/>
        </w:trPr>
        <w:tc>
          <w:tcPr>
            <w:tcW w:w="0" w:type="auto"/>
            <w:noWrap w:val="0"/>
            <w:vAlign w:val="center"/>
          </w:tcPr>
          <w:p w14:paraId="399B9C8B">
            <w:r>
              <w:rPr>
                <w:rStyle w:val="10"/>
                <w:rFonts w:hint="eastAsia"/>
              </w:rPr>
              <w:t>总有效成分含量：</w:t>
            </w:r>
            <w:r>
              <w:rPr>
                <w:rFonts w:hint="eastAsia"/>
              </w:rPr>
              <w:t>250克/升</w:t>
            </w:r>
          </w:p>
        </w:tc>
      </w:tr>
      <w:tr w14:paraId="22D2D3F0">
        <w:tblPrEx>
          <w:tblCellMar>
            <w:top w:w="0" w:type="dxa"/>
            <w:left w:w="0" w:type="dxa"/>
            <w:bottom w:w="0" w:type="dxa"/>
            <w:right w:w="0" w:type="dxa"/>
          </w:tblCellMar>
        </w:tblPrEx>
        <w:trPr>
          <w:wBefore w:w="0" w:type="auto"/>
          <w:tblCellSpacing w:w="0" w:type="dxa"/>
        </w:trPr>
        <w:tc>
          <w:tcPr>
            <w:tcW w:w="0" w:type="auto"/>
            <w:noWrap w:val="0"/>
            <w:vAlign w:val="center"/>
          </w:tcPr>
          <w:p w14:paraId="46BC8C2C">
            <w:r>
              <w:rPr>
                <w:rFonts w:hint="eastAsia"/>
              </w:rPr>
              <w:t xml:space="preserve">有效成分及其含量： </w:t>
            </w:r>
          </w:p>
          <w:p w14:paraId="4D2BDE8C">
            <w:r>
              <w:rPr>
                <w:rFonts w:hint="eastAsia"/>
              </w:rPr>
              <w:t xml:space="preserve">    甲氰菊酯200克/升    虱螨脲50克/升    </w:t>
            </w:r>
          </w:p>
        </w:tc>
      </w:tr>
      <w:tr w14:paraId="2D761342">
        <w:tblPrEx>
          <w:tblCellMar>
            <w:top w:w="0" w:type="dxa"/>
            <w:left w:w="0" w:type="dxa"/>
            <w:bottom w:w="0" w:type="dxa"/>
            <w:right w:w="0" w:type="dxa"/>
          </w:tblCellMar>
        </w:tblPrEx>
        <w:trPr>
          <w:wBefore w:w="0" w:type="auto"/>
          <w:tblCellSpacing w:w="0" w:type="dxa"/>
        </w:trPr>
        <w:tc>
          <w:tcPr>
            <w:tcW w:w="0" w:type="auto"/>
            <w:noWrap w:val="0"/>
            <w:vAlign w:val="center"/>
          </w:tcPr>
          <w:p w14:paraId="42C5F70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109FA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0B20B8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A9A608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454F0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5A07CB0">
                  <w:r>
                    <w:rPr>
                      <w:rStyle w:val="11"/>
                      <w:rFonts w:hint="eastAsia"/>
                    </w:rPr>
                    <w:t>施用方式</w:t>
                  </w:r>
                </w:p>
              </w:tc>
            </w:tr>
            <w:tr w14:paraId="29CA35F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C0A51FE">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FD5B23">
                  <w:r>
                    <w:rPr>
                      <w:rStyle w:val="11"/>
                      <w:rFonts w:hint="eastAsia"/>
                    </w:rPr>
                    <w:t>潜叶蛾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A03B8D">
                  <w:r>
                    <w:rPr>
                      <w:rStyle w:val="11"/>
                      <w:rFonts w:hint="eastAsia"/>
                    </w:rPr>
                    <w:t>2700-3500倍液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CFAEE5">
                  <w:r>
                    <w:rPr>
                      <w:rStyle w:val="11"/>
                      <w:rFonts w:hint="eastAsia"/>
                    </w:rPr>
                    <w:t>喷雾</w:t>
                  </w:r>
                </w:p>
              </w:tc>
            </w:tr>
          </w:tbl>
          <w:p w14:paraId="18925A35">
            <w:pPr>
              <w:rPr>
                <w:rFonts w:ascii="Times New Roman" w:hAnsi="Times New Roman" w:cs="Times New Roman"/>
                <w:sz w:val="20"/>
                <w:szCs w:val="20"/>
              </w:rPr>
            </w:pPr>
          </w:p>
        </w:tc>
      </w:tr>
      <w:tr w14:paraId="7BA0373F">
        <w:tblPrEx>
          <w:tblCellMar>
            <w:top w:w="0" w:type="dxa"/>
            <w:left w:w="0" w:type="dxa"/>
            <w:bottom w:w="0" w:type="dxa"/>
            <w:right w:w="0" w:type="dxa"/>
          </w:tblCellMar>
        </w:tblPrEx>
        <w:trPr>
          <w:wBefore w:w="0" w:type="auto"/>
          <w:tblCellSpacing w:w="0" w:type="dxa"/>
        </w:trPr>
        <w:tc>
          <w:tcPr>
            <w:tcW w:w="0" w:type="auto"/>
            <w:noWrap w:val="0"/>
            <w:vAlign w:val="center"/>
          </w:tcPr>
          <w:p w14:paraId="4B7D4B46">
            <w:r>
              <w:rPr>
                <w:rStyle w:val="10"/>
                <w:rFonts w:hint="eastAsia"/>
              </w:rPr>
              <w:t>使用技术要求:</w:t>
            </w:r>
            <w:r>
              <w:rPr>
                <w:rFonts w:hint="eastAsia"/>
              </w:rPr>
              <w:br w:type="textWrapping"/>
            </w:r>
            <w:r>
              <w:rPr>
                <w:rStyle w:val="11"/>
                <w:rFonts w:hint="eastAsia"/>
              </w:rPr>
              <w:t>1.于柑橘树潜叶蛾卵孵高峰期至低龄幼虫发生始盛期施药1次。2.大风天或预计1小时内降雨，请勿施药。3.本品在柑橘使用时的安全间隔期为28天，每季作物最多使用1次。</w:t>
            </w:r>
          </w:p>
        </w:tc>
      </w:tr>
      <w:tr w14:paraId="2E8B65F8">
        <w:tblPrEx>
          <w:tblCellMar>
            <w:top w:w="0" w:type="dxa"/>
            <w:left w:w="0" w:type="dxa"/>
            <w:bottom w:w="0" w:type="dxa"/>
            <w:right w:w="0" w:type="dxa"/>
          </w:tblCellMar>
        </w:tblPrEx>
        <w:trPr>
          <w:wBefore w:w="0" w:type="auto"/>
          <w:tblCellSpacing w:w="0" w:type="dxa"/>
        </w:trPr>
        <w:tc>
          <w:tcPr>
            <w:tcW w:w="0" w:type="auto"/>
            <w:noWrap w:val="0"/>
            <w:vAlign w:val="center"/>
          </w:tcPr>
          <w:p w14:paraId="23969DC1">
            <w:r>
              <w:rPr>
                <w:rStyle w:val="10"/>
                <w:rFonts w:hint="eastAsia"/>
              </w:rPr>
              <w:t>产品性能:</w:t>
            </w:r>
            <w:r>
              <w:rPr>
                <w:rFonts w:hint="eastAsia"/>
              </w:rPr>
              <w:br w:type="textWrapping"/>
            </w:r>
            <w:r>
              <w:rPr>
                <w:rStyle w:val="11"/>
                <w:rFonts w:hint="eastAsia"/>
              </w:rPr>
              <w:t>本品是由甲氰菊酯与虱螨脲复配而成的杀虫剂。甲氰菊酯是一种拟除虫菊酯类杀虫剂，具有触杀、胃毒作用；虱螨脲通过作用于昆虫幼虫、阻止脱皮过程而杀死害虫，兼有胃毒和触杀作用。两者作用机制不同，混配使用可以有效防治柑橘树潜叶蛾。</w:t>
            </w:r>
          </w:p>
        </w:tc>
      </w:tr>
      <w:tr w14:paraId="2A7C1BA9">
        <w:tblPrEx>
          <w:tblCellMar>
            <w:top w:w="0" w:type="dxa"/>
            <w:left w:w="0" w:type="dxa"/>
            <w:bottom w:w="0" w:type="dxa"/>
            <w:right w:w="0" w:type="dxa"/>
          </w:tblCellMar>
        </w:tblPrEx>
        <w:trPr>
          <w:wBefore w:w="0" w:type="auto"/>
          <w:tblCellSpacing w:w="0" w:type="dxa"/>
        </w:trPr>
        <w:tc>
          <w:tcPr>
            <w:tcW w:w="0" w:type="auto"/>
            <w:noWrap w:val="0"/>
            <w:vAlign w:val="center"/>
          </w:tcPr>
          <w:p w14:paraId="44EEDD85">
            <w:r>
              <w:rPr>
                <w:rStyle w:val="10"/>
                <w:rFonts w:hint="eastAsia"/>
              </w:rPr>
              <w:t>注意事项：</w:t>
            </w:r>
            <w:r>
              <w:rPr>
                <w:rFonts w:hint="eastAsia"/>
              </w:rPr>
              <w:br w:type="textWrapping"/>
            </w:r>
            <w:r>
              <w:rPr>
                <w:rStyle w:val="11"/>
                <w:rFonts w:hint="eastAsia"/>
              </w:rPr>
              <w:t>1. 严格按规定用药量和方法使用。 2. 建议与其他作用机制不同的杀虫剂轮换使用，以延缓抗性产生。 3. 本品对蜂、鱼、蚕、溞、藻有毒，（周围）开花植物花期禁用，使用期间应密切关注对附近蜂群的影响；鸟类保护区附近、蚕室及桑园附近禁用；水产养殖区、河塘等水体附近禁用，禁止在河塘等水体中清洗施药器具；瓢虫、赤眼蜂等天敌放飞区域禁用。 4. 对眼睛有中度刺激性，使用时穿戴长衣长裤、帽子、口罩、手套、鞋等安全防护措施。施药期间不可吃东西、饮水、吸烟等；施药后应及时洗手、洗脸并洗涤施药时穿着的衣物。 5. 用药后包装物及用过的容器应妥善处理，不可做他用，也不可随意丢弃。 6. 孕妇及哺乳期妇女禁止接触本品。</w:t>
            </w:r>
          </w:p>
        </w:tc>
      </w:tr>
      <w:tr w14:paraId="117CB7B6">
        <w:tblPrEx>
          <w:tblCellMar>
            <w:top w:w="0" w:type="dxa"/>
            <w:left w:w="0" w:type="dxa"/>
            <w:bottom w:w="0" w:type="dxa"/>
            <w:right w:w="0" w:type="dxa"/>
          </w:tblCellMar>
        </w:tblPrEx>
        <w:trPr>
          <w:wBefore w:w="0" w:type="auto"/>
          <w:tblCellSpacing w:w="0" w:type="dxa"/>
        </w:trPr>
        <w:tc>
          <w:tcPr>
            <w:tcW w:w="0" w:type="auto"/>
            <w:noWrap w:val="0"/>
            <w:vAlign w:val="center"/>
          </w:tcPr>
          <w:p w14:paraId="0923E5A8">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06074242">
        <w:tblPrEx>
          <w:tblCellMar>
            <w:top w:w="0" w:type="dxa"/>
            <w:left w:w="0" w:type="dxa"/>
            <w:bottom w:w="0" w:type="dxa"/>
            <w:right w:w="0" w:type="dxa"/>
          </w:tblCellMar>
        </w:tblPrEx>
        <w:trPr>
          <w:wBefore w:w="0" w:type="auto"/>
          <w:tblCellSpacing w:w="0" w:type="dxa"/>
        </w:trPr>
        <w:tc>
          <w:tcPr>
            <w:tcW w:w="0" w:type="auto"/>
            <w:noWrap w:val="0"/>
            <w:vAlign w:val="center"/>
          </w:tcPr>
          <w:p w14:paraId="4F63090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005FB573">
        <w:tblPrEx>
          <w:tblCellMar>
            <w:top w:w="0" w:type="dxa"/>
            <w:left w:w="0" w:type="dxa"/>
            <w:bottom w:w="0" w:type="dxa"/>
            <w:right w:w="0" w:type="dxa"/>
          </w:tblCellMar>
        </w:tblPrEx>
        <w:trPr>
          <w:wBefore w:w="0" w:type="auto"/>
          <w:tblCellSpacing w:w="0" w:type="dxa"/>
        </w:trPr>
        <w:tc>
          <w:tcPr>
            <w:tcW w:w="0" w:type="auto"/>
            <w:noWrap w:val="0"/>
            <w:vAlign w:val="center"/>
          </w:tcPr>
          <w:p w14:paraId="03DEA894">
            <w:r>
              <w:rPr>
                <w:rStyle w:val="10"/>
                <w:rFonts w:hint="eastAsia"/>
              </w:rPr>
              <w:t>质量保证期：</w:t>
            </w:r>
            <w:r>
              <w:rPr>
                <w:rStyle w:val="11"/>
                <w:rFonts w:hint="eastAsia"/>
              </w:rPr>
              <w:t>2年</w:t>
            </w:r>
          </w:p>
        </w:tc>
      </w:tr>
      <w:tr w14:paraId="7B9CA946">
        <w:tblPrEx>
          <w:tblCellMar>
            <w:top w:w="0" w:type="dxa"/>
            <w:left w:w="0" w:type="dxa"/>
            <w:bottom w:w="0" w:type="dxa"/>
            <w:right w:w="0" w:type="dxa"/>
          </w:tblCellMar>
        </w:tblPrEx>
        <w:trPr>
          <w:wBefore w:w="0" w:type="auto"/>
          <w:tblCellSpacing w:w="0" w:type="dxa"/>
        </w:trPr>
        <w:tc>
          <w:tcPr>
            <w:tcW w:w="0" w:type="auto"/>
            <w:noWrap w:val="0"/>
            <w:vAlign w:val="center"/>
          </w:tcPr>
          <w:p w14:paraId="590960AF">
            <w:r>
              <w:rPr>
                <w:rStyle w:val="10"/>
                <w:rFonts w:hint="eastAsia"/>
              </w:rPr>
              <w:t>备注：</w:t>
            </w:r>
            <w:r>
              <w:rPr>
                <w:rFonts w:hint="eastAsia"/>
              </w:rPr>
              <w:br w:type="textWrapping"/>
            </w:r>
            <w:r>
              <w:rPr>
                <w:rStyle w:val="11"/>
                <w:rFonts w:hint="eastAsia"/>
              </w:rPr>
              <w:t>甲氰菊酯19%；虱螨脲4.8%。</w:t>
            </w:r>
          </w:p>
        </w:tc>
      </w:tr>
    </w:tbl>
    <w:p w14:paraId="76C8585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946BF9">
        <w:tblPrEx>
          <w:tblCellMar>
            <w:top w:w="0" w:type="dxa"/>
            <w:left w:w="0" w:type="dxa"/>
            <w:bottom w:w="0" w:type="dxa"/>
            <w:right w:w="0" w:type="dxa"/>
          </w:tblCellMar>
        </w:tblPrEx>
        <w:trPr>
          <w:wBefore w:w="0" w:type="auto"/>
          <w:tblCellSpacing w:w="0" w:type="dxa"/>
        </w:trPr>
        <w:tc>
          <w:tcPr>
            <w:tcW w:w="0" w:type="auto"/>
            <w:noWrap w:val="0"/>
            <w:vAlign w:val="center"/>
          </w:tcPr>
          <w:p w14:paraId="5BA1F5CD">
            <w:r>
              <w:rPr>
                <w:rStyle w:val="10"/>
                <w:rFonts w:hint="eastAsia"/>
              </w:rPr>
              <w:t>登记证号：</w:t>
            </w:r>
            <w:r>
              <w:rPr>
                <w:rFonts w:hint="eastAsia"/>
              </w:rPr>
              <w:t>PD20211746</w:t>
            </w:r>
          </w:p>
        </w:tc>
      </w:tr>
      <w:tr w14:paraId="2F6B6D3C">
        <w:tblPrEx>
          <w:tblCellMar>
            <w:top w:w="0" w:type="dxa"/>
            <w:left w:w="0" w:type="dxa"/>
            <w:bottom w:w="0" w:type="dxa"/>
            <w:right w:w="0" w:type="dxa"/>
          </w:tblCellMar>
        </w:tblPrEx>
        <w:trPr>
          <w:wBefore w:w="0" w:type="auto"/>
          <w:tblCellSpacing w:w="0" w:type="dxa"/>
        </w:trPr>
        <w:tc>
          <w:tcPr>
            <w:tcW w:w="0" w:type="auto"/>
            <w:noWrap w:val="0"/>
            <w:vAlign w:val="center"/>
          </w:tcPr>
          <w:p w14:paraId="36D54A53">
            <w:r>
              <w:rPr>
                <w:rStyle w:val="10"/>
                <w:rFonts w:hint="eastAsia"/>
              </w:rPr>
              <w:t>登记证持有人：</w:t>
            </w:r>
            <w:r>
              <w:rPr>
                <w:rFonts w:hint="eastAsia"/>
              </w:rPr>
              <w:t>四川省川东农药化工有限公司</w:t>
            </w:r>
          </w:p>
        </w:tc>
      </w:tr>
      <w:tr w14:paraId="0463E65C">
        <w:tblPrEx>
          <w:tblCellMar>
            <w:top w:w="0" w:type="dxa"/>
            <w:left w:w="0" w:type="dxa"/>
            <w:bottom w:w="0" w:type="dxa"/>
            <w:right w:w="0" w:type="dxa"/>
          </w:tblCellMar>
        </w:tblPrEx>
        <w:trPr>
          <w:wBefore w:w="0" w:type="auto"/>
          <w:tblCellSpacing w:w="0" w:type="dxa"/>
        </w:trPr>
        <w:tc>
          <w:tcPr>
            <w:tcW w:w="0" w:type="auto"/>
            <w:noWrap w:val="0"/>
            <w:vAlign w:val="center"/>
          </w:tcPr>
          <w:p w14:paraId="3B9EAADE">
            <w:r>
              <w:rPr>
                <w:rStyle w:val="10"/>
                <w:rFonts w:hint="eastAsia"/>
              </w:rPr>
              <w:t>农药名称：</w:t>
            </w:r>
            <w:r>
              <w:rPr>
                <w:rFonts w:hint="eastAsia"/>
              </w:rPr>
              <w:t>虫螨腈·虱螨脲</w:t>
            </w:r>
          </w:p>
        </w:tc>
      </w:tr>
      <w:tr w14:paraId="4312BC68">
        <w:tblPrEx>
          <w:tblCellMar>
            <w:top w:w="0" w:type="dxa"/>
            <w:left w:w="0" w:type="dxa"/>
            <w:bottom w:w="0" w:type="dxa"/>
            <w:right w:w="0" w:type="dxa"/>
          </w:tblCellMar>
        </w:tblPrEx>
        <w:trPr>
          <w:wBefore w:w="0" w:type="auto"/>
          <w:tblCellSpacing w:w="0" w:type="dxa"/>
        </w:trPr>
        <w:tc>
          <w:tcPr>
            <w:tcW w:w="0" w:type="auto"/>
            <w:noWrap w:val="0"/>
            <w:vAlign w:val="center"/>
          </w:tcPr>
          <w:p w14:paraId="450CA84F">
            <w:r>
              <w:rPr>
                <w:rStyle w:val="10"/>
                <w:rFonts w:hint="eastAsia"/>
              </w:rPr>
              <w:t>剂型：</w:t>
            </w:r>
            <w:r>
              <w:rPr>
                <w:rFonts w:hint="eastAsia"/>
              </w:rPr>
              <w:t>悬浮剂</w:t>
            </w:r>
          </w:p>
        </w:tc>
      </w:tr>
      <w:tr w14:paraId="7832DAE7">
        <w:tblPrEx>
          <w:tblCellMar>
            <w:top w:w="0" w:type="dxa"/>
            <w:left w:w="0" w:type="dxa"/>
            <w:bottom w:w="0" w:type="dxa"/>
            <w:right w:w="0" w:type="dxa"/>
          </w:tblCellMar>
        </w:tblPrEx>
        <w:trPr>
          <w:wBefore w:w="0" w:type="auto"/>
          <w:tblCellSpacing w:w="0" w:type="dxa"/>
        </w:trPr>
        <w:tc>
          <w:tcPr>
            <w:tcW w:w="0" w:type="auto"/>
            <w:noWrap w:val="0"/>
            <w:vAlign w:val="center"/>
          </w:tcPr>
          <w:p w14:paraId="1705DE5F">
            <w:r>
              <w:rPr>
                <w:rStyle w:val="10"/>
                <w:rFonts w:hint="eastAsia"/>
              </w:rPr>
              <w:t>毒性及其标识：</w:t>
            </w:r>
            <w:r>
              <w:rPr>
                <w:rFonts w:hint="eastAsia"/>
              </w:rPr>
              <w:t xml:space="preserve"> </w:t>
            </w:r>
            <w:r>
              <w:rPr>
                <w:lang/>
              </w:rPr>
              <w:drawing>
                <wp:inline distT="0" distB="0" distL="114300" distR="114300">
                  <wp:extent cx="476250" cy="323850"/>
                  <wp:effectExtent l="0" t="0" r="0" b="0"/>
                  <wp:docPr id="356" name="图片 35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BA4C6D4">
        <w:tblPrEx>
          <w:tblCellMar>
            <w:top w:w="0" w:type="dxa"/>
            <w:left w:w="0" w:type="dxa"/>
            <w:bottom w:w="0" w:type="dxa"/>
            <w:right w:w="0" w:type="dxa"/>
          </w:tblCellMar>
        </w:tblPrEx>
        <w:trPr>
          <w:wBefore w:w="0" w:type="auto"/>
          <w:tblCellSpacing w:w="0" w:type="dxa"/>
        </w:trPr>
        <w:tc>
          <w:tcPr>
            <w:tcW w:w="0" w:type="auto"/>
            <w:noWrap w:val="0"/>
            <w:vAlign w:val="center"/>
          </w:tcPr>
          <w:p w14:paraId="6FF8B21A">
            <w:r>
              <w:rPr>
                <w:rStyle w:val="10"/>
                <w:rFonts w:hint="eastAsia"/>
              </w:rPr>
              <w:t>总有效成分含量：</w:t>
            </w:r>
            <w:r>
              <w:rPr>
                <w:rFonts w:hint="eastAsia"/>
              </w:rPr>
              <w:t>12%</w:t>
            </w:r>
          </w:p>
        </w:tc>
      </w:tr>
      <w:tr w14:paraId="6F385E6C">
        <w:tblPrEx>
          <w:tblCellMar>
            <w:top w:w="0" w:type="dxa"/>
            <w:left w:w="0" w:type="dxa"/>
            <w:bottom w:w="0" w:type="dxa"/>
            <w:right w:w="0" w:type="dxa"/>
          </w:tblCellMar>
        </w:tblPrEx>
        <w:trPr>
          <w:wBefore w:w="0" w:type="auto"/>
          <w:tblCellSpacing w:w="0" w:type="dxa"/>
        </w:trPr>
        <w:tc>
          <w:tcPr>
            <w:tcW w:w="0" w:type="auto"/>
            <w:noWrap w:val="0"/>
            <w:vAlign w:val="center"/>
          </w:tcPr>
          <w:p w14:paraId="44528D2C">
            <w:r>
              <w:rPr>
                <w:rFonts w:hint="eastAsia"/>
              </w:rPr>
              <w:t xml:space="preserve">有效成分及其含量： </w:t>
            </w:r>
          </w:p>
          <w:p w14:paraId="1BBD5FCD">
            <w:r>
              <w:rPr>
                <w:rFonts w:hint="eastAsia"/>
              </w:rPr>
              <w:t xml:space="preserve">    虱螨脲2.5%    虫螨腈9.5%    </w:t>
            </w:r>
          </w:p>
        </w:tc>
      </w:tr>
      <w:tr w14:paraId="11F74854">
        <w:tblPrEx>
          <w:tblCellMar>
            <w:top w:w="0" w:type="dxa"/>
            <w:left w:w="0" w:type="dxa"/>
            <w:bottom w:w="0" w:type="dxa"/>
            <w:right w:w="0" w:type="dxa"/>
          </w:tblCellMar>
        </w:tblPrEx>
        <w:trPr>
          <w:wBefore w:w="0" w:type="auto"/>
          <w:tblCellSpacing w:w="0" w:type="dxa"/>
        </w:trPr>
        <w:tc>
          <w:tcPr>
            <w:tcW w:w="0" w:type="auto"/>
            <w:noWrap w:val="0"/>
            <w:vAlign w:val="center"/>
          </w:tcPr>
          <w:p w14:paraId="1EA368E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DF361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F5CC68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F3852B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786850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852879">
                  <w:r>
                    <w:rPr>
                      <w:rStyle w:val="11"/>
                      <w:rFonts w:hint="eastAsia"/>
                    </w:rPr>
                    <w:t>施用方式</w:t>
                  </w:r>
                </w:p>
              </w:tc>
            </w:tr>
            <w:tr w14:paraId="1DCC84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F723120">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500039">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422580">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4ABDD6">
                  <w:r>
                    <w:rPr>
                      <w:rStyle w:val="11"/>
                      <w:rFonts w:hint="eastAsia"/>
                    </w:rPr>
                    <w:t>喷雾</w:t>
                  </w:r>
                </w:p>
              </w:tc>
            </w:tr>
          </w:tbl>
          <w:p w14:paraId="56D5202C">
            <w:pPr>
              <w:rPr>
                <w:rFonts w:ascii="Times New Roman" w:hAnsi="Times New Roman" w:cs="Times New Roman"/>
                <w:sz w:val="20"/>
                <w:szCs w:val="20"/>
              </w:rPr>
            </w:pPr>
          </w:p>
        </w:tc>
      </w:tr>
      <w:tr w14:paraId="2D174960">
        <w:tblPrEx>
          <w:tblCellMar>
            <w:top w:w="0" w:type="dxa"/>
            <w:left w:w="0" w:type="dxa"/>
            <w:bottom w:w="0" w:type="dxa"/>
            <w:right w:w="0" w:type="dxa"/>
          </w:tblCellMar>
        </w:tblPrEx>
        <w:trPr>
          <w:wBefore w:w="0" w:type="auto"/>
          <w:tblCellSpacing w:w="0" w:type="dxa"/>
        </w:trPr>
        <w:tc>
          <w:tcPr>
            <w:tcW w:w="0" w:type="auto"/>
            <w:noWrap w:val="0"/>
            <w:vAlign w:val="center"/>
          </w:tcPr>
          <w:p w14:paraId="4625AAB2">
            <w:r>
              <w:rPr>
                <w:rStyle w:val="10"/>
                <w:rFonts w:hint="eastAsia"/>
              </w:rPr>
              <w:t>使用技术要求:</w:t>
            </w:r>
            <w:r>
              <w:rPr>
                <w:rFonts w:hint="eastAsia"/>
              </w:rPr>
              <w:br w:type="textWrapping"/>
            </w:r>
            <w:r>
              <w:rPr>
                <w:rStyle w:val="11"/>
                <w:rFonts w:hint="eastAsia"/>
              </w:rPr>
              <w:t>1、在甘蓝甜菜夜蛾低龄幼虫期，以推荐剂量对水均匀喷雾施药一次，兑水整个植株均匀喷雾，注意叶片背面。2、每季作物最多使用1次，安全间隔期14天。3.大风天或预计1小时内降雨，请勿施药。傍晚施药更有利于药效充分发挥。</w:t>
            </w:r>
          </w:p>
        </w:tc>
      </w:tr>
      <w:tr w14:paraId="3B385A95">
        <w:tblPrEx>
          <w:tblCellMar>
            <w:top w:w="0" w:type="dxa"/>
            <w:left w:w="0" w:type="dxa"/>
            <w:bottom w:w="0" w:type="dxa"/>
            <w:right w:w="0" w:type="dxa"/>
          </w:tblCellMar>
        </w:tblPrEx>
        <w:trPr>
          <w:wBefore w:w="0" w:type="auto"/>
          <w:tblCellSpacing w:w="0" w:type="dxa"/>
        </w:trPr>
        <w:tc>
          <w:tcPr>
            <w:tcW w:w="0" w:type="auto"/>
            <w:noWrap w:val="0"/>
            <w:vAlign w:val="center"/>
          </w:tcPr>
          <w:p w14:paraId="3442E534">
            <w:r>
              <w:rPr>
                <w:rStyle w:val="10"/>
                <w:rFonts w:hint="eastAsia"/>
              </w:rPr>
              <w:t>产品性能:</w:t>
            </w:r>
            <w:r>
              <w:rPr>
                <w:rFonts w:hint="eastAsia"/>
              </w:rPr>
              <w:br w:type="textWrapping"/>
            </w:r>
            <w:r>
              <w:rPr>
                <w:rStyle w:val="11"/>
                <w:rFonts w:hint="eastAsia"/>
              </w:rPr>
              <w:t>虫螨腈是一种芳基取代吡咯化合物；虱螨脲为昆虫几丁质合成抑制剂，摄入后幼虫不能蜕皮并停止进食；也通过卵巢发挥作用，减少产卵和卵孵化。可用于防治甘蓝甜菜夜蛾。</w:t>
            </w:r>
          </w:p>
        </w:tc>
      </w:tr>
      <w:tr w14:paraId="0D8CDEDD">
        <w:tblPrEx>
          <w:tblCellMar>
            <w:top w:w="0" w:type="dxa"/>
            <w:left w:w="0" w:type="dxa"/>
            <w:bottom w:w="0" w:type="dxa"/>
            <w:right w:w="0" w:type="dxa"/>
          </w:tblCellMar>
        </w:tblPrEx>
        <w:trPr>
          <w:wBefore w:w="0" w:type="auto"/>
          <w:tblCellSpacing w:w="0" w:type="dxa"/>
        </w:trPr>
        <w:tc>
          <w:tcPr>
            <w:tcW w:w="0" w:type="auto"/>
            <w:noWrap w:val="0"/>
            <w:vAlign w:val="center"/>
          </w:tcPr>
          <w:p w14:paraId="7383325D">
            <w:r>
              <w:rPr>
                <w:rStyle w:val="10"/>
                <w:rFonts w:hint="eastAsia"/>
              </w:rPr>
              <w:t>注意事项：</w:t>
            </w:r>
            <w:r>
              <w:rPr>
                <w:rFonts w:hint="eastAsia"/>
              </w:rPr>
              <w:br w:type="textWrapping"/>
            </w:r>
            <w:r>
              <w:rPr>
                <w:rStyle w:val="11"/>
                <w:rFonts w:hint="eastAsia"/>
              </w:rPr>
              <w:t>1）使用本品应采取相应的安全防护措施，穿戴长衣、长裤、帽子、口罩、手套等防护措施，以避免污染皮肤和眼睛，施药完毕后及时换洗衣物，洗净手、脸和被污染的皮肤。2）施药前、后要彻底清洗喷药器械，洗涤后的废水不应污染河流等水源，未用完的药液应密封后妥善放置。3）用药后包装物及用过的容器应妥善处理，不可做他用，也不可随意丢弃。4）使用时不得污染各类水域、土壤等环境。5）本品对鸟类、蜜蜂、家蚕、非靶标生物等有影响。应远离水产养殖区、河塘等水体施药，禁止在河塘等水域中清洗施药器具。赤眼蜂等天敌放飞区域禁用；鸟类保护区附近禁用；在蚕室及桑园附近禁用；(周围)开花植物花期禁用。6）孕妇及哺乳期妇女禁止接触。7）为避免产生抗药性，建议与其它作用机理不同的杀虫剂轮换或交替使用。</w:t>
            </w:r>
          </w:p>
        </w:tc>
      </w:tr>
      <w:tr w14:paraId="22F7E0C1">
        <w:tblPrEx>
          <w:tblCellMar>
            <w:top w:w="0" w:type="dxa"/>
            <w:left w:w="0" w:type="dxa"/>
            <w:bottom w:w="0" w:type="dxa"/>
            <w:right w:w="0" w:type="dxa"/>
          </w:tblCellMar>
        </w:tblPrEx>
        <w:trPr>
          <w:wBefore w:w="0" w:type="auto"/>
          <w:tblCellSpacing w:w="0" w:type="dxa"/>
        </w:trPr>
        <w:tc>
          <w:tcPr>
            <w:tcW w:w="0" w:type="auto"/>
            <w:noWrap w:val="0"/>
            <w:vAlign w:val="center"/>
          </w:tcPr>
          <w:p w14:paraId="7B90BE09">
            <w:r>
              <w:rPr>
                <w:rStyle w:val="10"/>
                <w:rFonts w:hint="eastAsia"/>
              </w:rPr>
              <w:t>中毒急救措施：</w:t>
            </w:r>
            <w:r>
              <w:rPr>
                <w:rFonts w:hint="eastAsia"/>
              </w:rPr>
              <w:br w:type="textWrapping"/>
            </w:r>
            <w:r>
              <w:rPr>
                <w:rStyle w:val="11"/>
                <w:rFonts w:hint="eastAsia"/>
              </w:rPr>
              <w:t>对眼睛有刺激性，使用时避免接触眼睛。用药时如果感觉不适，立即停止工作，采取急救措施，并携此标签送医就诊。如接触皮肤，用肥皂和大量清水彻底清洗受污的皮肤；如溅及眼睛，用大量流动清水冲洗眼睛至少15分钟；严重者送医就诊；如不慎吸入，应将病人移至空气流通处，请医生诊治；如误服，不得催吐，立即携带标签，送医就诊，无专用解毒剂，对症治疗。</w:t>
            </w:r>
          </w:p>
        </w:tc>
      </w:tr>
      <w:tr w14:paraId="1D92197F">
        <w:tblPrEx>
          <w:tblCellMar>
            <w:top w:w="0" w:type="dxa"/>
            <w:left w:w="0" w:type="dxa"/>
            <w:bottom w:w="0" w:type="dxa"/>
            <w:right w:w="0" w:type="dxa"/>
          </w:tblCellMar>
        </w:tblPrEx>
        <w:trPr>
          <w:wBefore w:w="0" w:type="auto"/>
          <w:tblCellSpacing w:w="0" w:type="dxa"/>
        </w:trPr>
        <w:tc>
          <w:tcPr>
            <w:tcW w:w="0" w:type="auto"/>
            <w:noWrap w:val="0"/>
            <w:vAlign w:val="center"/>
          </w:tcPr>
          <w:p w14:paraId="2A7367A5">
            <w:r>
              <w:rPr>
                <w:rStyle w:val="10"/>
                <w:rFonts w:hint="eastAsia"/>
              </w:rPr>
              <w:t>储存和运输方法：</w:t>
            </w:r>
            <w:r>
              <w:rPr>
                <w:rFonts w:hint="eastAsia"/>
              </w:rPr>
              <w:br w:type="textWrapping"/>
            </w:r>
            <w:r>
              <w:rPr>
                <w:rStyle w:val="11"/>
                <w:rFonts w:hint="eastAsia"/>
              </w:rPr>
              <w:t>本品应贮存在阴凉、干燥、通风、防雨处，远离火源和热源。置于儿童触及不到之处，并加锁保存。勿与食品、饮料、粮食、饲料等物品同贮同运。、</w:t>
            </w:r>
          </w:p>
        </w:tc>
      </w:tr>
      <w:tr w14:paraId="1E00E835">
        <w:tblPrEx>
          <w:tblCellMar>
            <w:top w:w="0" w:type="dxa"/>
            <w:left w:w="0" w:type="dxa"/>
            <w:bottom w:w="0" w:type="dxa"/>
            <w:right w:w="0" w:type="dxa"/>
          </w:tblCellMar>
        </w:tblPrEx>
        <w:trPr>
          <w:wBefore w:w="0" w:type="auto"/>
          <w:tblCellSpacing w:w="0" w:type="dxa"/>
        </w:trPr>
        <w:tc>
          <w:tcPr>
            <w:tcW w:w="0" w:type="auto"/>
            <w:noWrap w:val="0"/>
            <w:vAlign w:val="center"/>
          </w:tcPr>
          <w:p w14:paraId="1E10C243">
            <w:r>
              <w:rPr>
                <w:rStyle w:val="10"/>
                <w:rFonts w:hint="eastAsia"/>
              </w:rPr>
              <w:t>质量保证期：</w:t>
            </w:r>
            <w:r>
              <w:rPr>
                <w:rStyle w:val="11"/>
                <w:rFonts w:hint="eastAsia"/>
              </w:rPr>
              <w:t>2年</w:t>
            </w:r>
          </w:p>
        </w:tc>
      </w:tr>
      <w:tr w14:paraId="23652817">
        <w:tblPrEx>
          <w:tblCellMar>
            <w:top w:w="0" w:type="dxa"/>
            <w:left w:w="0" w:type="dxa"/>
            <w:bottom w:w="0" w:type="dxa"/>
            <w:right w:w="0" w:type="dxa"/>
          </w:tblCellMar>
        </w:tblPrEx>
        <w:trPr>
          <w:wBefore w:w="0" w:type="auto"/>
          <w:tblCellSpacing w:w="0" w:type="dxa"/>
        </w:trPr>
        <w:tc>
          <w:tcPr>
            <w:tcW w:w="0" w:type="auto"/>
            <w:noWrap w:val="0"/>
            <w:vAlign w:val="center"/>
          </w:tcPr>
          <w:p w14:paraId="69FABBB4">
            <w:r>
              <w:rPr>
                <w:rStyle w:val="10"/>
                <w:rFonts w:hint="eastAsia"/>
              </w:rPr>
              <w:t>备注：</w:t>
            </w:r>
          </w:p>
        </w:tc>
      </w:tr>
    </w:tbl>
    <w:p w14:paraId="7A8BFA3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27301BC">
        <w:tblPrEx>
          <w:tblCellMar>
            <w:top w:w="0" w:type="dxa"/>
            <w:left w:w="0" w:type="dxa"/>
            <w:bottom w:w="0" w:type="dxa"/>
            <w:right w:w="0" w:type="dxa"/>
          </w:tblCellMar>
        </w:tblPrEx>
        <w:trPr>
          <w:wBefore w:w="0" w:type="auto"/>
          <w:tblCellSpacing w:w="0" w:type="dxa"/>
        </w:trPr>
        <w:tc>
          <w:tcPr>
            <w:tcW w:w="0" w:type="auto"/>
            <w:noWrap w:val="0"/>
            <w:vAlign w:val="center"/>
          </w:tcPr>
          <w:p w14:paraId="1127B565">
            <w:r>
              <w:rPr>
                <w:rStyle w:val="10"/>
                <w:rFonts w:hint="eastAsia"/>
              </w:rPr>
              <w:t>登记证号：</w:t>
            </w:r>
            <w:r>
              <w:rPr>
                <w:rFonts w:hint="eastAsia"/>
              </w:rPr>
              <w:t>PD20212298</w:t>
            </w:r>
          </w:p>
        </w:tc>
      </w:tr>
      <w:tr w14:paraId="3CEFDB95">
        <w:tblPrEx>
          <w:tblCellMar>
            <w:top w:w="0" w:type="dxa"/>
            <w:left w:w="0" w:type="dxa"/>
            <w:bottom w:w="0" w:type="dxa"/>
            <w:right w:w="0" w:type="dxa"/>
          </w:tblCellMar>
        </w:tblPrEx>
        <w:trPr>
          <w:wBefore w:w="0" w:type="auto"/>
          <w:tblCellSpacing w:w="0" w:type="dxa"/>
        </w:trPr>
        <w:tc>
          <w:tcPr>
            <w:tcW w:w="0" w:type="auto"/>
            <w:noWrap w:val="0"/>
            <w:vAlign w:val="center"/>
          </w:tcPr>
          <w:p w14:paraId="06477E97">
            <w:r>
              <w:rPr>
                <w:rStyle w:val="10"/>
                <w:rFonts w:hint="eastAsia"/>
              </w:rPr>
              <w:t>登记证持有人：</w:t>
            </w:r>
            <w:r>
              <w:rPr>
                <w:rFonts w:hint="eastAsia"/>
              </w:rPr>
              <w:t>天津博克百胜科技有限公司</w:t>
            </w:r>
          </w:p>
        </w:tc>
      </w:tr>
      <w:tr w14:paraId="1C40AD6A">
        <w:tblPrEx>
          <w:tblCellMar>
            <w:top w:w="0" w:type="dxa"/>
            <w:left w:w="0" w:type="dxa"/>
            <w:bottom w:w="0" w:type="dxa"/>
            <w:right w:w="0" w:type="dxa"/>
          </w:tblCellMar>
        </w:tblPrEx>
        <w:trPr>
          <w:wBefore w:w="0" w:type="auto"/>
          <w:tblCellSpacing w:w="0" w:type="dxa"/>
        </w:trPr>
        <w:tc>
          <w:tcPr>
            <w:tcW w:w="0" w:type="auto"/>
            <w:noWrap w:val="0"/>
            <w:vAlign w:val="center"/>
          </w:tcPr>
          <w:p w14:paraId="288D5F15">
            <w:r>
              <w:rPr>
                <w:rStyle w:val="10"/>
                <w:rFonts w:hint="eastAsia"/>
              </w:rPr>
              <w:t>农药名称：</w:t>
            </w:r>
            <w:r>
              <w:rPr>
                <w:rFonts w:hint="eastAsia"/>
              </w:rPr>
              <w:t>丙草·噁·异松</w:t>
            </w:r>
          </w:p>
        </w:tc>
      </w:tr>
      <w:tr w14:paraId="5265B6E1">
        <w:tblPrEx>
          <w:tblCellMar>
            <w:top w:w="0" w:type="dxa"/>
            <w:left w:w="0" w:type="dxa"/>
            <w:bottom w:w="0" w:type="dxa"/>
            <w:right w:w="0" w:type="dxa"/>
          </w:tblCellMar>
        </w:tblPrEx>
        <w:trPr>
          <w:wBefore w:w="0" w:type="auto"/>
          <w:tblCellSpacing w:w="0" w:type="dxa"/>
        </w:trPr>
        <w:tc>
          <w:tcPr>
            <w:tcW w:w="0" w:type="auto"/>
            <w:noWrap w:val="0"/>
            <w:vAlign w:val="center"/>
          </w:tcPr>
          <w:p w14:paraId="093DFD93">
            <w:r>
              <w:rPr>
                <w:rStyle w:val="10"/>
                <w:rFonts w:hint="eastAsia"/>
              </w:rPr>
              <w:t>剂型：</w:t>
            </w:r>
            <w:r>
              <w:rPr>
                <w:rFonts w:hint="eastAsia"/>
              </w:rPr>
              <w:t>乳油</w:t>
            </w:r>
          </w:p>
        </w:tc>
      </w:tr>
      <w:tr w14:paraId="19F79691">
        <w:tblPrEx>
          <w:tblCellMar>
            <w:top w:w="0" w:type="dxa"/>
            <w:left w:w="0" w:type="dxa"/>
            <w:bottom w:w="0" w:type="dxa"/>
            <w:right w:w="0" w:type="dxa"/>
          </w:tblCellMar>
        </w:tblPrEx>
        <w:trPr>
          <w:wBefore w:w="0" w:type="auto"/>
          <w:tblCellSpacing w:w="0" w:type="dxa"/>
        </w:trPr>
        <w:tc>
          <w:tcPr>
            <w:tcW w:w="0" w:type="auto"/>
            <w:noWrap w:val="0"/>
            <w:vAlign w:val="center"/>
          </w:tcPr>
          <w:p w14:paraId="46AC043B">
            <w:r>
              <w:rPr>
                <w:rStyle w:val="10"/>
                <w:rFonts w:hint="eastAsia"/>
              </w:rPr>
              <w:t>毒性及其标识：</w:t>
            </w:r>
            <w:r>
              <w:rPr>
                <w:rFonts w:hint="eastAsia"/>
              </w:rPr>
              <w:t xml:space="preserve"> </w:t>
            </w:r>
            <w:r>
              <w:rPr>
                <w:lang/>
              </w:rPr>
              <w:drawing>
                <wp:inline distT="0" distB="0" distL="114300" distR="114300">
                  <wp:extent cx="476250" cy="323850"/>
                  <wp:effectExtent l="0" t="0" r="0" b="0"/>
                  <wp:docPr id="357" name="图片 35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2D54C77">
        <w:tblPrEx>
          <w:tblCellMar>
            <w:top w:w="0" w:type="dxa"/>
            <w:left w:w="0" w:type="dxa"/>
            <w:bottom w:w="0" w:type="dxa"/>
            <w:right w:w="0" w:type="dxa"/>
          </w:tblCellMar>
        </w:tblPrEx>
        <w:trPr>
          <w:wBefore w:w="0" w:type="auto"/>
          <w:tblCellSpacing w:w="0" w:type="dxa"/>
        </w:trPr>
        <w:tc>
          <w:tcPr>
            <w:tcW w:w="0" w:type="auto"/>
            <w:noWrap w:val="0"/>
            <w:vAlign w:val="center"/>
          </w:tcPr>
          <w:p w14:paraId="5480E193">
            <w:r>
              <w:rPr>
                <w:rStyle w:val="10"/>
                <w:rFonts w:hint="eastAsia"/>
              </w:rPr>
              <w:t>总有效成分含量：</w:t>
            </w:r>
            <w:r>
              <w:rPr>
                <w:rFonts w:hint="eastAsia"/>
              </w:rPr>
              <w:t>60%</w:t>
            </w:r>
          </w:p>
        </w:tc>
      </w:tr>
      <w:tr w14:paraId="662644FE">
        <w:tblPrEx>
          <w:tblCellMar>
            <w:top w:w="0" w:type="dxa"/>
            <w:left w:w="0" w:type="dxa"/>
            <w:bottom w:w="0" w:type="dxa"/>
            <w:right w:w="0" w:type="dxa"/>
          </w:tblCellMar>
        </w:tblPrEx>
        <w:trPr>
          <w:wBefore w:w="0" w:type="auto"/>
          <w:tblCellSpacing w:w="0" w:type="dxa"/>
        </w:trPr>
        <w:tc>
          <w:tcPr>
            <w:tcW w:w="0" w:type="auto"/>
            <w:noWrap w:val="0"/>
            <w:vAlign w:val="center"/>
          </w:tcPr>
          <w:p w14:paraId="2A1AF734">
            <w:r>
              <w:rPr>
                <w:rFonts w:hint="eastAsia"/>
              </w:rPr>
              <w:t xml:space="preserve">有效成分及其含量： </w:t>
            </w:r>
          </w:p>
          <w:p w14:paraId="5F9B0BDD">
            <w:r>
              <w:rPr>
                <w:rFonts w:hint="eastAsia"/>
              </w:rPr>
              <w:t xml:space="preserve">    丙草胺34%    噁草酮13%    异噁草松13%    </w:t>
            </w:r>
          </w:p>
        </w:tc>
      </w:tr>
      <w:tr w14:paraId="79D8ED3A">
        <w:tblPrEx>
          <w:tblCellMar>
            <w:top w:w="0" w:type="dxa"/>
            <w:left w:w="0" w:type="dxa"/>
            <w:bottom w:w="0" w:type="dxa"/>
            <w:right w:w="0" w:type="dxa"/>
          </w:tblCellMar>
        </w:tblPrEx>
        <w:trPr>
          <w:wBefore w:w="0" w:type="auto"/>
          <w:tblCellSpacing w:w="0" w:type="dxa"/>
        </w:trPr>
        <w:tc>
          <w:tcPr>
            <w:tcW w:w="0" w:type="auto"/>
            <w:noWrap w:val="0"/>
            <w:vAlign w:val="center"/>
          </w:tcPr>
          <w:p w14:paraId="0AED7C7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48F2E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5C6664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4B5234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CDE8A0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368635">
                  <w:r>
                    <w:rPr>
                      <w:rStyle w:val="11"/>
                      <w:rFonts w:hint="eastAsia"/>
                    </w:rPr>
                    <w:t>施用方式</w:t>
                  </w:r>
                </w:p>
              </w:tc>
            </w:tr>
            <w:tr w14:paraId="066F05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2D0EB6">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485C62">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ED56AB">
                  <w:r>
                    <w:rPr>
                      <w:rStyle w:val="11"/>
                      <w:rFonts w:hint="eastAsia"/>
                    </w:rPr>
                    <w:t>78-89毫升/亩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1A5B4D">
                  <w:r>
                    <w:rPr>
                      <w:rStyle w:val="11"/>
                      <w:rFonts w:hint="eastAsia"/>
                    </w:rPr>
                    <w:t>喷雾</w:t>
                  </w:r>
                </w:p>
              </w:tc>
            </w:tr>
          </w:tbl>
          <w:p w14:paraId="2067C6DC">
            <w:pPr>
              <w:rPr>
                <w:rFonts w:ascii="Times New Roman" w:hAnsi="Times New Roman" w:cs="Times New Roman"/>
                <w:sz w:val="20"/>
                <w:szCs w:val="20"/>
              </w:rPr>
            </w:pPr>
          </w:p>
        </w:tc>
      </w:tr>
      <w:tr w14:paraId="440A9EDC">
        <w:tblPrEx>
          <w:tblCellMar>
            <w:top w:w="0" w:type="dxa"/>
            <w:left w:w="0" w:type="dxa"/>
            <w:bottom w:w="0" w:type="dxa"/>
            <w:right w:w="0" w:type="dxa"/>
          </w:tblCellMar>
        </w:tblPrEx>
        <w:trPr>
          <w:wBefore w:w="0" w:type="auto"/>
          <w:tblCellSpacing w:w="0" w:type="dxa"/>
        </w:trPr>
        <w:tc>
          <w:tcPr>
            <w:tcW w:w="0" w:type="auto"/>
            <w:noWrap w:val="0"/>
            <w:vAlign w:val="center"/>
          </w:tcPr>
          <w:p w14:paraId="50CEFDA9">
            <w:r>
              <w:rPr>
                <w:rStyle w:val="10"/>
                <w:rFonts w:hint="eastAsia"/>
              </w:rPr>
              <w:t>使用技术要求:</w:t>
            </w:r>
            <w:r>
              <w:rPr>
                <w:rFonts w:hint="eastAsia"/>
              </w:rPr>
              <w:br w:type="textWrapping"/>
            </w:r>
            <w:r>
              <w:rPr>
                <w:rStyle w:val="11"/>
                <w:rFonts w:hint="eastAsia"/>
              </w:rPr>
              <w:t>1、水稻移栽前5-7天，均匀喷雾处理。施药后保持3-5厘米水层5～7天。2、用前充分摇匀，先制母液，再兑水二次稀释后，均匀喷雾。3、大风天请勿施药。注意水层勿淹没水稻心叶，避免药害。4、每季最多使用1次。 5、移栽水稻后水层勿淹没水稻心叶，避免药害；施药时防止药液飘移到邻近作物，以免产生药害。</w:t>
            </w:r>
          </w:p>
        </w:tc>
      </w:tr>
      <w:tr w14:paraId="7D0127FA">
        <w:tblPrEx>
          <w:tblCellMar>
            <w:top w:w="0" w:type="dxa"/>
            <w:left w:w="0" w:type="dxa"/>
            <w:bottom w:w="0" w:type="dxa"/>
            <w:right w:w="0" w:type="dxa"/>
          </w:tblCellMar>
        </w:tblPrEx>
        <w:trPr>
          <w:wBefore w:w="0" w:type="auto"/>
          <w:tblCellSpacing w:w="0" w:type="dxa"/>
        </w:trPr>
        <w:tc>
          <w:tcPr>
            <w:tcW w:w="0" w:type="auto"/>
            <w:noWrap w:val="0"/>
            <w:vAlign w:val="center"/>
          </w:tcPr>
          <w:p w14:paraId="6C8DA823">
            <w:r>
              <w:rPr>
                <w:rStyle w:val="10"/>
                <w:rFonts w:hint="eastAsia"/>
              </w:rPr>
              <w:t>产品性能:</w:t>
            </w:r>
            <w:r>
              <w:rPr>
                <w:rFonts w:hint="eastAsia"/>
              </w:rPr>
              <w:br w:type="textWrapping"/>
            </w:r>
            <w:r>
              <w:rPr>
                <w:rStyle w:val="11"/>
                <w:rFonts w:hint="eastAsia"/>
              </w:rPr>
              <w:t>本品是水稻移栽田选择性除草剂，主要通过杂草胚芽鞘、幼芽、幼苗或根部吸收药液。施药后，其有效成分在水面迅速扩散后沉入土壤表层，形成封闭药膜，从而将靶标杂草消灭在萌芽状态。可有效防治稗草、千金子、三棱草、牛毛毡、异型莎草、陌上菜、鳢肠、鸭舌草、水花生等水稻田一年生杂草。</w:t>
            </w:r>
          </w:p>
        </w:tc>
      </w:tr>
      <w:tr w14:paraId="2CCC0A67">
        <w:tblPrEx>
          <w:tblCellMar>
            <w:top w:w="0" w:type="dxa"/>
            <w:left w:w="0" w:type="dxa"/>
            <w:bottom w:w="0" w:type="dxa"/>
            <w:right w:w="0" w:type="dxa"/>
          </w:tblCellMar>
        </w:tblPrEx>
        <w:trPr>
          <w:wBefore w:w="0" w:type="auto"/>
          <w:tblCellSpacing w:w="0" w:type="dxa"/>
        </w:trPr>
        <w:tc>
          <w:tcPr>
            <w:tcW w:w="0" w:type="auto"/>
            <w:noWrap w:val="0"/>
            <w:vAlign w:val="center"/>
          </w:tcPr>
          <w:p w14:paraId="466D04FF">
            <w:r>
              <w:rPr>
                <w:rStyle w:val="10"/>
                <w:rFonts w:hint="eastAsia"/>
              </w:rPr>
              <w:t>注意事项：</w:t>
            </w:r>
            <w:r>
              <w:rPr>
                <w:rFonts w:hint="eastAsia"/>
              </w:rPr>
              <w:br w:type="textWrapping"/>
            </w:r>
            <w:r>
              <w:rPr>
                <w:rStyle w:val="11"/>
                <w:rFonts w:hint="eastAsia"/>
              </w:rPr>
              <w:t>1、本品对眼睛有中度刺激，使用本品时应穿戴长衣、长裤、帽子、口罩、手套等防护措施，避免吸入药液。施药期间不可吃东西、饮水等。施药后应及时洗手、洗脸等。2、作物叶片可能出现白化现象，在推荐剂量下使用不影响正常生长和产量。施药的当年至次年春天，不宜种大麦、燕麦、谷子等，施药后的次年春天可种植大豆、玉米、棉花、花生。3、本品对鱼等水生生物有毒，远离水产养殖区施药，禁止在河塘等水体中清洗施药器具。赤眼蜂等天敌昆虫放飞区禁用。鱼或虾蟹套养稻田禁用。施药后的田水不得直接排入水体。4、用过的容器应妥善处理，不可做他用，也不可随意丢弃。5、禁止孕妇及哺乳期的妇女接触本品。6、本品对黄瓜、菠菜、麦类、韭菜、谷子、高粱、甜菜、苜蓿等敏感，施药时避免药液接触上述作物。</w:t>
            </w:r>
          </w:p>
        </w:tc>
      </w:tr>
      <w:tr w14:paraId="7C73DD4C">
        <w:tblPrEx>
          <w:tblCellMar>
            <w:top w:w="0" w:type="dxa"/>
            <w:left w:w="0" w:type="dxa"/>
            <w:bottom w:w="0" w:type="dxa"/>
            <w:right w:w="0" w:type="dxa"/>
          </w:tblCellMar>
        </w:tblPrEx>
        <w:trPr>
          <w:wBefore w:w="0" w:type="auto"/>
          <w:tblCellSpacing w:w="0" w:type="dxa"/>
        </w:trPr>
        <w:tc>
          <w:tcPr>
            <w:tcW w:w="0" w:type="auto"/>
            <w:noWrap w:val="0"/>
            <w:vAlign w:val="center"/>
          </w:tcPr>
          <w:p w14:paraId="18ABEC47">
            <w:r>
              <w:rPr>
                <w:rStyle w:val="10"/>
                <w:rFonts w:hint="eastAsia"/>
              </w:rPr>
              <w:t>中毒急救措施：</w:t>
            </w:r>
            <w:r>
              <w:rPr>
                <w:rFonts w:hint="eastAsia"/>
              </w:rPr>
              <w:br w:type="textWrapping"/>
            </w:r>
            <w:r>
              <w:rPr>
                <w:rStyle w:val="11"/>
                <w:rFonts w:hint="eastAsia"/>
              </w:rPr>
              <w:t>该产品对眼睛有刺激性，使用时避免药液接触眼睛。不慎吸入，应将病人移到通风处。不慎接触皮肤，应用大量清水冲洗干净。若溅入眼睛，应用大量清水冲洗至少15分钟。严重时送医院诊治。如误服，立即带标签送医院诊治。无特效解毒剂，对症治疗。</w:t>
            </w:r>
          </w:p>
        </w:tc>
      </w:tr>
      <w:tr w14:paraId="786DAC00">
        <w:tblPrEx>
          <w:tblCellMar>
            <w:top w:w="0" w:type="dxa"/>
            <w:left w:w="0" w:type="dxa"/>
            <w:bottom w:w="0" w:type="dxa"/>
            <w:right w:w="0" w:type="dxa"/>
          </w:tblCellMar>
        </w:tblPrEx>
        <w:trPr>
          <w:wBefore w:w="0" w:type="auto"/>
          <w:tblCellSpacing w:w="0" w:type="dxa"/>
        </w:trPr>
        <w:tc>
          <w:tcPr>
            <w:tcW w:w="0" w:type="auto"/>
            <w:noWrap w:val="0"/>
            <w:vAlign w:val="center"/>
          </w:tcPr>
          <w:p w14:paraId="420BEF3C">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本品应贮存在干燥、阴凉、通风、防雨处，远离火源或热源。置于儿童触及不到之处，并加锁。不能与食品、饮料、饲料等其他商品同贮同运。</w:t>
            </w:r>
          </w:p>
        </w:tc>
      </w:tr>
      <w:tr w14:paraId="3DB94016">
        <w:tblPrEx>
          <w:tblCellMar>
            <w:top w:w="0" w:type="dxa"/>
            <w:left w:w="0" w:type="dxa"/>
            <w:bottom w:w="0" w:type="dxa"/>
            <w:right w:w="0" w:type="dxa"/>
          </w:tblCellMar>
        </w:tblPrEx>
        <w:trPr>
          <w:wBefore w:w="0" w:type="auto"/>
          <w:tblCellSpacing w:w="0" w:type="dxa"/>
        </w:trPr>
        <w:tc>
          <w:tcPr>
            <w:tcW w:w="0" w:type="auto"/>
            <w:noWrap w:val="0"/>
            <w:vAlign w:val="center"/>
          </w:tcPr>
          <w:p w14:paraId="1CCFDDA9">
            <w:r>
              <w:rPr>
                <w:rStyle w:val="10"/>
                <w:rFonts w:hint="eastAsia"/>
              </w:rPr>
              <w:t>质量保证期：</w:t>
            </w:r>
            <w:r>
              <w:rPr>
                <w:rStyle w:val="11"/>
                <w:rFonts w:hint="eastAsia"/>
              </w:rPr>
              <w:t>2年</w:t>
            </w:r>
          </w:p>
        </w:tc>
      </w:tr>
      <w:tr w14:paraId="1ECF0B5A">
        <w:tblPrEx>
          <w:tblCellMar>
            <w:top w:w="0" w:type="dxa"/>
            <w:left w:w="0" w:type="dxa"/>
            <w:bottom w:w="0" w:type="dxa"/>
            <w:right w:w="0" w:type="dxa"/>
          </w:tblCellMar>
        </w:tblPrEx>
        <w:trPr>
          <w:wBefore w:w="0" w:type="auto"/>
          <w:tblCellSpacing w:w="0" w:type="dxa"/>
        </w:trPr>
        <w:tc>
          <w:tcPr>
            <w:tcW w:w="0" w:type="auto"/>
            <w:noWrap w:val="0"/>
            <w:vAlign w:val="center"/>
          </w:tcPr>
          <w:p w14:paraId="2827CBB1">
            <w:r>
              <w:rPr>
                <w:rStyle w:val="10"/>
                <w:rFonts w:hint="eastAsia"/>
              </w:rPr>
              <w:t>备注：</w:t>
            </w:r>
          </w:p>
        </w:tc>
      </w:tr>
    </w:tbl>
    <w:p w14:paraId="609C6E6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117C907">
        <w:tblPrEx>
          <w:tblCellMar>
            <w:top w:w="0" w:type="dxa"/>
            <w:left w:w="0" w:type="dxa"/>
            <w:bottom w:w="0" w:type="dxa"/>
            <w:right w:w="0" w:type="dxa"/>
          </w:tblCellMar>
        </w:tblPrEx>
        <w:trPr>
          <w:wBefore w:w="0" w:type="auto"/>
          <w:tblCellSpacing w:w="0" w:type="dxa"/>
        </w:trPr>
        <w:tc>
          <w:tcPr>
            <w:tcW w:w="0" w:type="auto"/>
            <w:noWrap w:val="0"/>
            <w:vAlign w:val="center"/>
          </w:tcPr>
          <w:p w14:paraId="59179A9F">
            <w:r>
              <w:rPr>
                <w:rStyle w:val="10"/>
                <w:rFonts w:hint="eastAsia"/>
              </w:rPr>
              <w:t>登记证号：</w:t>
            </w:r>
            <w:r>
              <w:rPr>
                <w:rFonts w:hint="eastAsia"/>
              </w:rPr>
              <w:t>PD20097743</w:t>
            </w:r>
          </w:p>
        </w:tc>
      </w:tr>
      <w:tr w14:paraId="68FB06F7">
        <w:tblPrEx>
          <w:tblCellMar>
            <w:top w:w="0" w:type="dxa"/>
            <w:left w:w="0" w:type="dxa"/>
            <w:bottom w:w="0" w:type="dxa"/>
            <w:right w:w="0" w:type="dxa"/>
          </w:tblCellMar>
        </w:tblPrEx>
        <w:trPr>
          <w:wBefore w:w="0" w:type="auto"/>
          <w:tblCellSpacing w:w="0" w:type="dxa"/>
        </w:trPr>
        <w:tc>
          <w:tcPr>
            <w:tcW w:w="0" w:type="auto"/>
            <w:noWrap w:val="0"/>
            <w:vAlign w:val="center"/>
          </w:tcPr>
          <w:p w14:paraId="2F2E1C7E">
            <w:r>
              <w:rPr>
                <w:rStyle w:val="10"/>
                <w:rFonts w:hint="eastAsia"/>
              </w:rPr>
              <w:t>登记证持有人：</w:t>
            </w:r>
            <w:r>
              <w:rPr>
                <w:rFonts w:hint="eastAsia"/>
              </w:rPr>
              <w:t>山东省联合农药工业有限公司</w:t>
            </w:r>
          </w:p>
        </w:tc>
      </w:tr>
      <w:tr w14:paraId="61FA73C4">
        <w:tblPrEx>
          <w:tblCellMar>
            <w:top w:w="0" w:type="dxa"/>
            <w:left w:w="0" w:type="dxa"/>
            <w:bottom w:w="0" w:type="dxa"/>
            <w:right w:w="0" w:type="dxa"/>
          </w:tblCellMar>
        </w:tblPrEx>
        <w:trPr>
          <w:wBefore w:w="0" w:type="auto"/>
          <w:tblCellSpacing w:w="0" w:type="dxa"/>
        </w:trPr>
        <w:tc>
          <w:tcPr>
            <w:tcW w:w="0" w:type="auto"/>
            <w:noWrap w:val="0"/>
            <w:vAlign w:val="center"/>
          </w:tcPr>
          <w:p w14:paraId="385FF022">
            <w:r>
              <w:rPr>
                <w:rStyle w:val="10"/>
                <w:rFonts w:hint="eastAsia"/>
              </w:rPr>
              <w:t>农药名称：</w:t>
            </w:r>
            <w:r>
              <w:rPr>
                <w:rFonts w:hint="eastAsia"/>
              </w:rPr>
              <w:t>唑螨酯</w:t>
            </w:r>
          </w:p>
        </w:tc>
      </w:tr>
      <w:tr w14:paraId="2D284D4B">
        <w:tblPrEx>
          <w:tblCellMar>
            <w:top w:w="0" w:type="dxa"/>
            <w:left w:w="0" w:type="dxa"/>
            <w:bottom w:w="0" w:type="dxa"/>
            <w:right w:w="0" w:type="dxa"/>
          </w:tblCellMar>
        </w:tblPrEx>
        <w:trPr>
          <w:wBefore w:w="0" w:type="auto"/>
          <w:tblCellSpacing w:w="0" w:type="dxa"/>
        </w:trPr>
        <w:tc>
          <w:tcPr>
            <w:tcW w:w="0" w:type="auto"/>
            <w:noWrap w:val="0"/>
            <w:vAlign w:val="center"/>
          </w:tcPr>
          <w:p w14:paraId="570FC5F9">
            <w:r>
              <w:rPr>
                <w:rStyle w:val="10"/>
                <w:rFonts w:hint="eastAsia"/>
              </w:rPr>
              <w:t>剂型：</w:t>
            </w:r>
            <w:r>
              <w:rPr>
                <w:rFonts w:hint="eastAsia"/>
              </w:rPr>
              <w:t>悬浮剂</w:t>
            </w:r>
          </w:p>
        </w:tc>
      </w:tr>
      <w:tr w14:paraId="16A9BE8C">
        <w:tblPrEx>
          <w:tblCellMar>
            <w:top w:w="0" w:type="dxa"/>
            <w:left w:w="0" w:type="dxa"/>
            <w:bottom w:w="0" w:type="dxa"/>
            <w:right w:w="0" w:type="dxa"/>
          </w:tblCellMar>
        </w:tblPrEx>
        <w:trPr>
          <w:wBefore w:w="0" w:type="auto"/>
          <w:tblCellSpacing w:w="0" w:type="dxa"/>
        </w:trPr>
        <w:tc>
          <w:tcPr>
            <w:tcW w:w="0" w:type="auto"/>
            <w:noWrap w:val="0"/>
            <w:vAlign w:val="center"/>
          </w:tcPr>
          <w:p w14:paraId="5F9935AD">
            <w:r>
              <w:rPr>
                <w:rStyle w:val="10"/>
                <w:rFonts w:hint="eastAsia"/>
              </w:rPr>
              <w:t>毒性及其标识：</w:t>
            </w:r>
            <w:r>
              <w:rPr>
                <w:rFonts w:hint="eastAsia"/>
              </w:rPr>
              <w:t xml:space="preserve"> </w:t>
            </w:r>
            <w:r>
              <w:rPr>
                <w:lang/>
              </w:rPr>
              <w:drawing>
                <wp:inline distT="0" distB="0" distL="114300" distR="114300">
                  <wp:extent cx="476250" cy="323850"/>
                  <wp:effectExtent l="0" t="0" r="0" b="0"/>
                  <wp:docPr id="358" name="图片 358"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572BDBC2">
        <w:tblPrEx>
          <w:tblCellMar>
            <w:top w:w="0" w:type="dxa"/>
            <w:left w:w="0" w:type="dxa"/>
            <w:bottom w:w="0" w:type="dxa"/>
            <w:right w:w="0" w:type="dxa"/>
          </w:tblCellMar>
        </w:tblPrEx>
        <w:trPr>
          <w:wBefore w:w="0" w:type="auto"/>
          <w:tblCellSpacing w:w="0" w:type="dxa"/>
        </w:trPr>
        <w:tc>
          <w:tcPr>
            <w:tcW w:w="0" w:type="auto"/>
            <w:noWrap w:val="0"/>
            <w:vAlign w:val="center"/>
          </w:tcPr>
          <w:p w14:paraId="0EFD2138">
            <w:r>
              <w:rPr>
                <w:rStyle w:val="10"/>
                <w:rFonts w:hint="eastAsia"/>
              </w:rPr>
              <w:t>总有效成分含量：</w:t>
            </w:r>
            <w:r>
              <w:rPr>
                <w:rFonts w:hint="eastAsia"/>
              </w:rPr>
              <w:t>5%</w:t>
            </w:r>
          </w:p>
        </w:tc>
      </w:tr>
      <w:tr w14:paraId="3E1AE0D3">
        <w:tblPrEx>
          <w:tblCellMar>
            <w:top w:w="0" w:type="dxa"/>
            <w:left w:w="0" w:type="dxa"/>
            <w:bottom w:w="0" w:type="dxa"/>
            <w:right w:w="0" w:type="dxa"/>
          </w:tblCellMar>
        </w:tblPrEx>
        <w:trPr>
          <w:wBefore w:w="0" w:type="auto"/>
          <w:tblCellSpacing w:w="0" w:type="dxa"/>
        </w:trPr>
        <w:tc>
          <w:tcPr>
            <w:tcW w:w="0" w:type="auto"/>
            <w:noWrap w:val="0"/>
            <w:vAlign w:val="center"/>
          </w:tcPr>
          <w:p w14:paraId="723F9F65">
            <w:r>
              <w:rPr>
                <w:rFonts w:hint="eastAsia"/>
              </w:rPr>
              <w:t xml:space="preserve">有效成分及其含量： </w:t>
            </w:r>
          </w:p>
          <w:p w14:paraId="60A92390">
            <w:r>
              <w:rPr>
                <w:rFonts w:hint="eastAsia"/>
              </w:rPr>
              <w:t xml:space="preserve">    唑螨酯5%    </w:t>
            </w:r>
          </w:p>
        </w:tc>
      </w:tr>
      <w:tr w14:paraId="6EC2AEE6">
        <w:tblPrEx>
          <w:tblCellMar>
            <w:top w:w="0" w:type="dxa"/>
            <w:left w:w="0" w:type="dxa"/>
            <w:bottom w:w="0" w:type="dxa"/>
            <w:right w:w="0" w:type="dxa"/>
          </w:tblCellMar>
        </w:tblPrEx>
        <w:trPr>
          <w:wBefore w:w="0" w:type="auto"/>
          <w:tblCellSpacing w:w="0" w:type="dxa"/>
        </w:trPr>
        <w:tc>
          <w:tcPr>
            <w:tcW w:w="0" w:type="auto"/>
            <w:noWrap w:val="0"/>
            <w:vAlign w:val="center"/>
          </w:tcPr>
          <w:p w14:paraId="3AF6778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9E50D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CF8797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83DC8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FE6BAD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4131C8A">
                  <w:r>
                    <w:rPr>
                      <w:rStyle w:val="11"/>
                      <w:rFonts w:hint="eastAsia"/>
                    </w:rPr>
                    <w:t>施用方式</w:t>
                  </w:r>
                </w:p>
              </w:tc>
            </w:tr>
            <w:tr w14:paraId="7F1E49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8B23463">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C82264">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8C264D">
                  <w:r>
                    <w:rPr>
                      <w:rStyle w:val="11"/>
                      <w:rFonts w:hint="eastAsia"/>
                    </w:rPr>
                    <w:t>1000-2000倍液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4DB462">
                  <w:r>
                    <w:rPr>
                      <w:rStyle w:val="11"/>
                      <w:rFonts w:hint="eastAsia"/>
                    </w:rPr>
                    <w:t>喷雾</w:t>
                  </w:r>
                </w:p>
              </w:tc>
            </w:tr>
            <w:tr w14:paraId="71B9D0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B68722">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8494A4">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EC24BF">
                  <w:r>
                    <w:rPr>
                      <w:rStyle w:val="11"/>
                      <w:rFonts w:hint="eastAsia"/>
                    </w:rPr>
                    <w:t>2000-4000倍液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4780C3">
                  <w:r>
                    <w:rPr>
                      <w:rStyle w:val="11"/>
                      <w:rFonts w:hint="eastAsia"/>
                    </w:rPr>
                    <w:t>喷雾</w:t>
                  </w:r>
                </w:p>
              </w:tc>
            </w:tr>
            <w:tr w14:paraId="468E63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FC181F">
                  <w:r>
                    <w:rPr>
                      <w:rStyle w:val="11"/>
                      <w:rFonts w:hint="eastAsia"/>
                    </w:rPr>
                    <w:t>枸杞</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ADC290">
                  <w:r>
                    <w:rPr>
                      <w:rStyle w:val="11"/>
                      <w:rFonts w:hint="eastAsia"/>
                    </w:rPr>
                    <w:t>瘿螨</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CB09AB">
                  <w:r>
                    <w:rPr>
                      <w:rStyle w:val="11"/>
                      <w:rFonts w:hint="eastAsia"/>
                    </w:rPr>
                    <w:t>稀释2500-3000倍</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7253E9">
                  <w:r>
                    <w:rPr>
                      <w:rStyle w:val="11"/>
                      <w:rFonts w:hint="eastAsia"/>
                    </w:rPr>
                    <w:t>喷雾</w:t>
                  </w:r>
                </w:p>
              </w:tc>
            </w:tr>
          </w:tbl>
          <w:p w14:paraId="0E8FBB2C">
            <w:pPr>
              <w:rPr>
                <w:rFonts w:ascii="Times New Roman" w:hAnsi="Times New Roman" w:cs="Times New Roman"/>
                <w:sz w:val="20"/>
                <w:szCs w:val="20"/>
              </w:rPr>
            </w:pPr>
          </w:p>
        </w:tc>
      </w:tr>
      <w:tr w14:paraId="302F1530">
        <w:tblPrEx>
          <w:tblCellMar>
            <w:top w:w="0" w:type="dxa"/>
            <w:left w:w="0" w:type="dxa"/>
            <w:bottom w:w="0" w:type="dxa"/>
            <w:right w:w="0" w:type="dxa"/>
          </w:tblCellMar>
        </w:tblPrEx>
        <w:trPr>
          <w:wBefore w:w="0" w:type="auto"/>
          <w:tblCellSpacing w:w="0" w:type="dxa"/>
        </w:trPr>
        <w:tc>
          <w:tcPr>
            <w:tcW w:w="0" w:type="auto"/>
            <w:noWrap w:val="0"/>
            <w:vAlign w:val="center"/>
          </w:tcPr>
          <w:p w14:paraId="37D6EC49">
            <w:r>
              <w:rPr>
                <w:rStyle w:val="10"/>
                <w:rFonts w:hint="eastAsia"/>
              </w:rPr>
              <w:t>使用技术要求:</w:t>
            </w:r>
            <w:r>
              <w:rPr>
                <w:rFonts w:hint="eastAsia"/>
              </w:rPr>
              <w:br w:type="textWrapping"/>
            </w:r>
            <w:r>
              <w:rPr>
                <w:rStyle w:val="11"/>
                <w:rFonts w:hint="eastAsia"/>
              </w:rPr>
              <w:t>1. 本品对成螨无作用，要掌握在成螨虫口较低时或比其它杀螨剂稍早些使用效果更佳，应喷雾均匀。 2.施药时应避免药液飘移到其它作物上，以防产生药害。 3.产品在柑橘树上使用的安全间隔期为15天，每季作物最多使用2次；在苹果树上使用的安全间隔期为15天，每季作物多使用2次；在枸杞上使用的安全间隔期为7天，每季作物最多使用2次，用药间隔期为7天。 4.大风天或预计1小时内降雨，请勿施药。</w:t>
            </w:r>
          </w:p>
        </w:tc>
      </w:tr>
      <w:tr w14:paraId="7CC86CFE">
        <w:tblPrEx>
          <w:tblCellMar>
            <w:top w:w="0" w:type="dxa"/>
            <w:left w:w="0" w:type="dxa"/>
            <w:bottom w:w="0" w:type="dxa"/>
            <w:right w:w="0" w:type="dxa"/>
          </w:tblCellMar>
        </w:tblPrEx>
        <w:trPr>
          <w:wBefore w:w="0" w:type="auto"/>
          <w:tblCellSpacing w:w="0" w:type="dxa"/>
        </w:trPr>
        <w:tc>
          <w:tcPr>
            <w:tcW w:w="0" w:type="auto"/>
            <w:noWrap w:val="0"/>
            <w:vAlign w:val="center"/>
          </w:tcPr>
          <w:p w14:paraId="5AFAD928">
            <w:r>
              <w:rPr>
                <w:rStyle w:val="10"/>
                <w:rFonts w:hint="eastAsia"/>
              </w:rPr>
              <w:t>产品性能:</w:t>
            </w:r>
            <w:r>
              <w:rPr>
                <w:rFonts w:hint="eastAsia"/>
              </w:rPr>
              <w:br w:type="textWrapping"/>
            </w:r>
            <w:r>
              <w:rPr>
                <w:rStyle w:val="11"/>
                <w:rFonts w:hint="eastAsia"/>
              </w:rPr>
              <w:t>本品属苯氧吡唑类杀螨剂，高剂量时可直接杀死螨类，低剂量时可抑制螨类脱皮或产卵。具有击倒和抑制脱皮作用，无内吸作用。对防治柑橘树红蜘蛛苹果树红蜘蛛、枸杞瘿螨有较好防效。</w:t>
            </w:r>
          </w:p>
        </w:tc>
      </w:tr>
      <w:tr w14:paraId="62310AED">
        <w:tblPrEx>
          <w:tblCellMar>
            <w:top w:w="0" w:type="dxa"/>
            <w:left w:w="0" w:type="dxa"/>
            <w:bottom w:w="0" w:type="dxa"/>
            <w:right w:w="0" w:type="dxa"/>
          </w:tblCellMar>
        </w:tblPrEx>
        <w:trPr>
          <w:wBefore w:w="0" w:type="auto"/>
          <w:tblCellSpacing w:w="0" w:type="dxa"/>
        </w:trPr>
        <w:tc>
          <w:tcPr>
            <w:tcW w:w="0" w:type="auto"/>
            <w:noWrap w:val="0"/>
            <w:vAlign w:val="center"/>
          </w:tcPr>
          <w:p w14:paraId="6A6A7FB3">
            <w:r>
              <w:rPr>
                <w:rStyle w:val="10"/>
                <w:rFonts w:hint="eastAsia"/>
              </w:rPr>
              <w:t>注意事项：</w:t>
            </w:r>
            <w:r>
              <w:rPr>
                <w:rFonts w:hint="eastAsia"/>
              </w:rPr>
              <w:br w:type="textWrapping"/>
            </w:r>
            <w:r>
              <w:rPr>
                <w:rStyle w:val="11"/>
                <w:rFonts w:hint="eastAsia"/>
              </w:rPr>
              <w:t>1.本品对蜜蜂、水生生物、家蚕有毒，施药期间应避免对周围蜂群的影响，开花植物花期、蚕室和桑园附近禁用。远离水产养殖区施药。禁止在河塘等水体中清洗施药器具。废弃物应妥善处理，不可做他用，也不可随意丢弃。 2. 使用本品时应穿戴防护服、防毒口罩，橡胶手套等，避免吸入药液；施药期间不可吃东西、饮水等；施药后应及时洗手、洗脸等。 3.本品不能与呈碱性的农药等物质混用。 4. 孕妇及哺乳期妇女禁止接触此药。 5. 建议与其他作用机制不同的杀虫剂轮换使用，以延缓抗性产生。</w:t>
            </w:r>
          </w:p>
        </w:tc>
      </w:tr>
      <w:tr w14:paraId="6A2F1457">
        <w:tblPrEx>
          <w:tblCellMar>
            <w:top w:w="0" w:type="dxa"/>
            <w:left w:w="0" w:type="dxa"/>
            <w:bottom w:w="0" w:type="dxa"/>
            <w:right w:w="0" w:type="dxa"/>
          </w:tblCellMar>
        </w:tblPrEx>
        <w:trPr>
          <w:wBefore w:w="0" w:type="auto"/>
          <w:tblCellSpacing w:w="0" w:type="dxa"/>
        </w:trPr>
        <w:tc>
          <w:tcPr>
            <w:tcW w:w="0" w:type="auto"/>
            <w:noWrap w:val="0"/>
            <w:vAlign w:val="center"/>
          </w:tcPr>
          <w:p w14:paraId="68ED551F">
            <w:r>
              <w:rPr>
                <w:rStyle w:val="10"/>
                <w:rFonts w:hint="eastAsia"/>
              </w:rPr>
              <w:t>中毒急救措施：</w:t>
            </w:r>
            <w:r>
              <w:rPr>
                <w:rFonts w:hint="eastAsia"/>
              </w:rPr>
              <w:br w:type="textWrapping"/>
            </w:r>
            <w:r>
              <w:rPr>
                <w:rStyle w:val="11"/>
                <w:rFonts w:hint="eastAsia"/>
              </w:rPr>
              <w:t>不慎吸入，将病人移至空气流通处。不慎接触皮肤或溅入眼睛，用大量清水冲洗至少15分钟，仍有不适时，就医。无特效解毒剂，误服，立即携此标签将病人送医院，对症治疗。</w:t>
            </w:r>
          </w:p>
        </w:tc>
      </w:tr>
      <w:tr w14:paraId="5D497499">
        <w:tblPrEx>
          <w:tblCellMar>
            <w:top w:w="0" w:type="dxa"/>
            <w:left w:w="0" w:type="dxa"/>
            <w:bottom w:w="0" w:type="dxa"/>
            <w:right w:w="0" w:type="dxa"/>
          </w:tblCellMar>
        </w:tblPrEx>
        <w:trPr>
          <w:wBefore w:w="0" w:type="auto"/>
          <w:tblCellSpacing w:w="0" w:type="dxa"/>
        </w:trPr>
        <w:tc>
          <w:tcPr>
            <w:tcW w:w="0" w:type="auto"/>
            <w:noWrap w:val="0"/>
            <w:vAlign w:val="center"/>
          </w:tcPr>
          <w:p w14:paraId="10012F03">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本品应贮存在干燥、阴凉、通风、防雨处。远离火源或热源。置于儿童触及不到之处，并加锁。勿与食品、饮料、饲料、粮食等同贮同运。</w:t>
            </w:r>
          </w:p>
        </w:tc>
      </w:tr>
      <w:tr w14:paraId="604AAAD5">
        <w:tblPrEx>
          <w:tblCellMar>
            <w:top w:w="0" w:type="dxa"/>
            <w:left w:w="0" w:type="dxa"/>
            <w:bottom w:w="0" w:type="dxa"/>
            <w:right w:w="0" w:type="dxa"/>
          </w:tblCellMar>
        </w:tblPrEx>
        <w:trPr>
          <w:wBefore w:w="0" w:type="auto"/>
          <w:tblCellSpacing w:w="0" w:type="dxa"/>
        </w:trPr>
        <w:tc>
          <w:tcPr>
            <w:tcW w:w="0" w:type="auto"/>
            <w:noWrap w:val="0"/>
            <w:vAlign w:val="center"/>
          </w:tcPr>
          <w:p w14:paraId="4A9815AF">
            <w:r>
              <w:rPr>
                <w:rStyle w:val="10"/>
                <w:rFonts w:hint="eastAsia"/>
              </w:rPr>
              <w:t>质量保证期：</w:t>
            </w:r>
            <w:r>
              <w:rPr>
                <w:rStyle w:val="11"/>
                <w:rFonts w:hint="eastAsia"/>
              </w:rPr>
              <w:t>2年</w:t>
            </w:r>
          </w:p>
        </w:tc>
      </w:tr>
      <w:tr w14:paraId="3E0A021F">
        <w:tblPrEx>
          <w:tblCellMar>
            <w:top w:w="0" w:type="dxa"/>
            <w:left w:w="0" w:type="dxa"/>
            <w:bottom w:w="0" w:type="dxa"/>
            <w:right w:w="0" w:type="dxa"/>
          </w:tblCellMar>
        </w:tblPrEx>
        <w:trPr>
          <w:wBefore w:w="0" w:type="auto"/>
          <w:tblCellSpacing w:w="0" w:type="dxa"/>
        </w:trPr>
        <w:tc>
          <w:tcPr>
            <w:tcW w:w="0" w:type="auto"/>
            <w:noWrap w:val="0"/>
            <w:vAlign w:val="center"/>
          </w:tcPr>
          <w:p w14:paraId="14330A4B">
            <w:r>
              <w:rPr>
                <w:rStyle w:val="10"/>
                <w:rFonts w:hint="eastAsia"/>
              </w:rPr>
              <w:t>备注：</w:t>
            </w:r>
            <w:r>
              <w:rPr>
                <w:rFonts w:hint="eastAsia"/>
              </w:rPr>
              <w:br w:type="textWrapping"/>
            </w:r>
            <w:r>
              <w:rPr>
                <w:rStyle w:val="11"/>
                <w:rFonts w:hint="eastAsia"/>
              </w:rPr>
              <w:t>唑螨酯50克/升。</w:t>
            </w:r>
          </w:p>
        </w:tc>
      </w:tr>
    </w:tbl>
    <w:p w14:paraId="60421BC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94281B7">
        <w:tblPrEx>
          <w:tblCellMar>
            <w:top w:w="0" w:type="dxa"/>
            <w:left w:w="0" w:type="dxa"/>
            <w:bottom w:w="0" w:type="dxa"/>
            <w:right w:w="0" w:type="dxa"/>
          </w:tblCellMar>
        </w:tblPrEx>
        <w:trPr>
          <w:wBefore w:w="0" w:type="auto"/>
          <w:tblCellSpacing w:w="0" w:type="dxa"/>
        </w:trPr>
        <w:tc>
          <w:tcPr>
            <w:tcW w:w="0" w:type="auto"/>
            <w:noWrap w:val="0"/>
            <w:vAlign w:val="center"/>
          </w:tcPr>
          <w:p w14:paraId="6817E4C7">
            <w:r>
              <w:rPr>
                <w:rStyle w:val="10"/>
                <w:rFonts w:hint="eastAsia"/>
              </w:rPr>
              <w:t>登记证号：</w:t>
            </w:r>
            <w:r>
              <w:rPr>
                <w:rFonts w:hint="eastAsia"/>
              </w:rPr>
              <w:t>PD20211951</w:t>
            </w:r>
          </w:p>
        </w:tc>
      </w:tr>
      <w:tr w14:paraId="5CA9299C">
        <w:tblPrEx>
          <w:tblCellMar>
            <w:top w:w="0" w:type="dxa"/>
            <w:left w:w="0" w:type="dxa"/>
            <w:bottom w:w="0" w:type="dxa"/>
            <w:right w:w="0" w:type="dxa"/>
          </w:tblCellMar>
        </w:tblPrEx>
        <w:trPr>
          <w:wBefore w:w="0" w:type="auto"/>
          <w:tblCellSpacing w:w="0" w:type="dxa"/>
        </w:trPr>
        <w:tc>
          <w:tcPr>
            <w:tcW w:w="0" w:type="auto"/>
            <w:noWrap w:val="0"/>
            <w:vAlign w:val="center"/>
          </w:tcPr>
          <w:p w14:paraId="0B655C35">
            <w:r>
              <w:rPr>
                <w:rStyle w:val="10"/>
                <w:rFonts w:hint="eastAsia"/>
              </w:rPr>
              <w:t>登记证持有人：</w:t>
            </w:r>
            <w:r>
              <w:rPr>
                <w:rFonts w:hint="eastAsia"/>
              </w:rPr>
              <w:t>陕西汤普森生物科技有限公司</w:t>
            </w:r>
          </w:p>
        </w:tc>
      </w:tr>
      <w:tr w14:paraId="57EBAAAF">
        <w:tblPrEx>
          <w:tblCellMar>
            <w:top w:w="0" w:type="dxa"/>
            <w:left w:w="0" w:type="dxa"/>
            <w:bottom w:w="0" w:type="dxa"/>
            <w:right w:w="0" w:type="dxa"/>
          </w:tblCellMar>
        </w:tblPrEx>
        <w:trPr>
          <w:wBefore w:w="0" w:type="auto"/>
          <w:tblCellSpacing w:w="0" w:type="dxa"/>
        </w:trPr>
        <w:tc>
          <w:tcPr>
            <w:tcW w:w="0" w:type="auto"/>
            <w:noWrap w:val="0"/>
            <w:vAlign w:val="center"/>
          </w:tcPr>
          <w:p w14:paraId="4AEB5413">
            <w:r>
              <w:rPr>
                <w:rStyle w:val="10"/>
                <w:rFonts w:hint="eastAsia"/>
              </w:rPr>
              <w:t>农药名称：</w:t>
            </w:r>
            <w:r>
              <w:rPr>
                <w:rFonts w:hint="eastAsia"/>
              </w:rPr>
              <w:t>寡糖·吗呱</w:t>
            </w:r>
          </w:p>
        </w:tc>
      </w:tr>
      <w:tr w14:paraId="3619F163">
        <w:tblPrEx>
          <w:tblCellMar>
            <w:top w:w="0" w:type="dxa"/>
            <w:left w:w="0" w:type="dxa"/>
            <w:bottom w:w="0" w:type="dxa"/>
            <w:right w:w="0" w:type="dxa"/>
          </w:tblCellMar>
        </w:tblPrEx>
        <w:trPr>
          <w:wBefore w:w="0" w:type="auto"/>
          <w:tblCellSpacing w:w="0" w:type="dxa"/>
        </w:trPr>
        <w:tc>
          <w:tcPr>
            <w:tcW w:w="0" w:type="auto"/>
            <w:noWrap w:val="0"/>
            <w:vAlign w:val="center"/>
          </w:tcPr>
          <w:p w14:paraId="5BB11C9B">
            <w:r>
              <w:rPr>
                <w:rStyle w:val="10"/>
                <w:rFonts w:hint="eastAsia"/>
              </w:rPr>
              <w:t>剂型：</w:t>
            </w:r>
            <w:r>
              <w:rPr>
                <w:rFonts w:hint="eastAsia"/>
              </w:rPr>
              <w:t>水分散粒剂</w:t>
            </w:r>
          </w:p>
        </w:tc>
      </w:tr>
      <w:tr w14:paraId="5BFEB945">
        <w:tblPrEx>
          <w:tblCellMar>
            <w:top w:w="0" w:type="dxa"/>
            <w:left w:w="0" w:type="dxa"/>
            <w:bottom w:w="0" w:type="dxa"/>
            <w:right w:w="0" w:type="dxa"/>
          </w:tblCellMar>
        </w:tblPrEx>
        <w:trPr>
          <w:wBefore w:w="0" w:type="auto"/>
          <w:tblCellSpacing w:w="0" w:type="dxa"/>
        </w:trPr>
        <w:tc>
          <w:tcPr>
            <w:tcW w:w="0" w:type="auto"/>
            <w:noWrap w:val="0"/>
            <w:vAlign w:val="center"/>
          </w:tcPr>
          <w:p w14:paraId="393FD4D1">
            <w:r>
              <w:rPr>
                <w:rStyle w:val="10"/>
                <w:rFonts w:hint="eastAsia"/>
              </w:rPr>
              <w:t>毒性及其标识：</w:t>
            </w:r>
            <w:r>
              <w:rPr>
                <w:rFonts w:hint="eastAsia"/>
              </w:rPr>
              <w:t xml:space="preserve"> 微毒 </w:t>
            </w:r>
          </w:p>
        </w:tc>
      </w:tr>
      <w:tr w14:paraId="0AADA93C">
        <w:tblPrEx>
          <w:tblCellMar>
            <w:top w:w="0" w:type="dxa"/>
            <w:left w:w="0" w:type="dxa"/>
            <w:bottom w:w="0" w:type="dxa"/>
            <w:right w:w="0" w:type="dxa"/>
          </w:tblCellMar>
        </w:tblPrEx>
        <w:trPr>
          <w:wBefore w:w="0" w:type="auto"/>
          <w:tblCellSpacing w:w="0" w:type="dxa"/>
        </w:trPr>
        <w:tc>
          <w:tcPr>
            <w:tcW w:w="0" w:type="auto"/>
            <w:noWrap w:val="0"/>
            <w:vAlign w:val="center"/>
          </w:tcPr>
          <w:p w14:paraId="24AB0C91">
            <w:r>
              <w:rPr>
                <w:rStyle w:val="10"/>
                <w:rFonts w:hint="eastAsia"/>
              </w:rPr>
              <w:t>总有效成分含量：</w:t>
            </w:r>
            <w:r>
              <w:rPr>
                <w:rFonts w:hint="eastAsia"/>
              </w:rPr>
              <w:t>80克/升</w:t>
            </w:r>
          </w:p>
        </w:tc>
      </w:tr>
      <w:tr w14:paraId="759D53F5">
        <w:tblPrEx>
          <w:tblCellMar>
            <w:top w:w="0" w:type="dxa"/>
            <w:left w:w="0" w:type="dxa"/>
            <w:bottom w:w="0" w:type="dxa"/>
            <w:right w:w="0" w:type="dxa"/>
          </w:tblCellMar>
        </w:tblPrEx>
        <w:trPr>
          <w:wBefore w:w="0" w:type="auto"/>
          <w:tblCellSpacing w:w="0" w:type="dxa"/>
        </w:trPr>
        <w:tc>
          <w:tcPr>
            <w:tcW w:w="0" w:type="auto"/>
            <w:noWrap w:val="0"/>
            <w:vAlign w:val="center"/>
          </w:tcPr>
          <w:p w14:paraId="4E8A889F">
            <w:r>
              <w:rPr>
                <w:rFonts w:hint="eastAsia"/>
              </w:rPr>
              <w:t xml:space="preserve">有效成分及其含量： </w:t>
            </w:r>
          </w:p>
          <w:p w14:paraId="08EBC41D">
            <w:r>
              <w:rPr>
                <w:rFonts w:hint="eastAsia"/>
              </w:rPr>
              <w:t xml:space="preserve">    氨基寡糖素2%    盐酸吗啉胍78%    </w:t>
            </w:r>
          </w:p>
        </w:tc>
      </w:tr>
      <w:tr w14:paraId="730F32EA">
        <w:tblPrEx>
          <w:tblCellMar>
            <w:top w:w="0" w:type="dxa"/>
            <w:left w:w="0" w:type="dxa"/>
            <w:bottom w:w="0" w:type="dxa"/>
            <w:right w:w="0" w:type="dxa"/>
          </w:tblCellMar>
        </w:tblPrEx>
        <w:trPr>
          <w:wBefore w:w="0" w:type="auto"/>
          <w:tblCellSpacing w:w="0" w:type="dxa"/>
        </w:trPr>
        <w:tc>
          <w:tcPr>
            <w:tcW w:w="0" w:type="auto"/>
            <w:noWrap w:val="0"/>
            <w:vAlign w:val="center"/>
          </w:tcPr>
          <w:p w14:paraId="7BECBD6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A9865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67758C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09AE2E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C0C5DE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807C4F5">
                  <w:r>
                    <w:rPr>
                      <w:rStyle w:val="11"/>
                      <w:rFonts w:hint="eastAsia"/>
                    </w:rPr>
                    <w:t>施用方式</w:t>
                  </w:r>
                </w:p>
              </w:tc>
            </w:tr>
            <w:tr w14:paraId="37C0E8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3476BB">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5D7629">
                  <w:r>
                    <w:rPr>
                      <w:rStyle w:val="11"/>
                      <w:rFonts w:hint="eastAsia"/>
                    </w:rPr>
                    <w:t>病毒病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C4C445">
                  <w:r>
                    <w:rPr>
                      <w:rStyle w:val="11"/>
                      <w:rFonts w:hint="eastAsia"/>
                    </w:rPr>
                    <w:t>50-60克/亩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3E5337">
                  <w:r>
                    <w:rPr>
                      <w:rStyle w:val="11"/>
                      <w:rFonts w:hint="eastAsia"/>
                    </w:rPr>
                    <w:t>喷雾</w:t>
                  </w:r>
                </w:p>
              </w:tc>
            </w:tr>
          </w:tbl>
          <w:p w14:paraId="487A9FDA">
            <w:pPr>
              <w:rPr>
                <w:rFonts w:ascii="Times New Roman" w:hAnsi="Times New Roman" w:cs="Times New Roman"/>
                <w:sz w:val="20"/>
                <w:szCs w:val="20"/>
              </w:rPr>
            </w:pPr>
          </w:p>
        </w:tc>
      </w:tr>
      <w:tr w14:paraId="65FDFC1B">
        <w:tblPrEx>
          <w:tblCellMar>
            <w:top w:w="0" w:type="dxa"/>
            <w:left w:w="0" w:type="dxa"/>
            <w:bottom w:w="0" w:type="dxa"/>
            <w:right w:w="0" w:type="dxa"/>
          </w:tblCellMar>
        </w:tblPrEx>
        <w:trPr>
          <w:wBefore w:w="0" w:type="auto"/>
          <w:tblCellSpacing w:w="0" w:type="dxa"/>
        </w:trPr>
        <w:tc>
          <w:tcPr>
            <w:tcW w:w="0" w:type="auto"/>
            <w:noWrap w:val="0"/>
            <w:vAlign w:val="center"/>
          </w:tcPr>
          <w:p w14:paraId="28E3BF77">
            <w:r>
              <w:rPr>
                <w:rStyle w:val="10"/>
                <w:rFonts w:hint="eastAsia"/>
              </w:rPr>
              <w:t>使用技术要求:</w:t>
            </w:r>
            <w:r>
              <w:rPr>
                <w:rFonts w:hint="eastAsia"/>
              </w:rPr>
              <w:br w:type="textWrapping"/>
            </w:r>
            <w:r>
              <w:rPr>
                <w:rStyle w:val="11"/>
                <w:rFonts w:hint="eastAsia"/>
              </w:rPr>
              <w:t>1.本品于番茄病毒病发病前或发病初期开始茎叶喷雾施药，连续2次，施药间隔7-9天。注意喷雾均匀、周到，以确保药效。2.大风天或预计1小时内降雨，请勿施药。3.本品在番茄使用时的安全间隔期为3天，每季作物最多使用2次。</w:t>
            </w:r>
          </w:p>
        </w:tc>
      </w:tr>
      <w:tr w14:paraId="22790F18">
        <w:tblPrEx>
          <w:tblCellMar>
            <w:top w:w="0" w:type="dxa"/>
            <w:left w:w="0" w:type="dxa"/>
            <w:bottom w:w="0" w:type="dxa"/>
            <w:right w:w="0" w:type="dxa"/>
          </w:tblCellMar>
        </w:tblPrEx>
        <w:trPr>
          <w:wBefore w:w="0" w:type="auto"/>
          <w:tblCellSpacing w:w="0" w:type="dxa"/>
        </w:trPr>
        <w:tc>
          <w:tcPr>
            <w:tcW w:w="0" w:type="auto"/>
            <w:noWrap w:val="0"/>
            <w:vAlign w:val="center"/>
          </w:tcPr>
          <w:p w14:paraId="1B6E860A">
            <w:r>
              <w:rPr>
                <w:rStyle w:val="10"/>
                <w:rFonts w:hint="eastAsia"/>
              </w:rPr>
              <w:t>产品性能:</w:t>
            </w:r>
            <w:r>
              <w:rPr>
                <w:rFonts w:hint="eastAsia"/>
              </w:rPr>
              <w:br w:type="textWrapping"/>
            </w:r>
            <w:r>
              <w:rPr>
                <w:rStyle w:val="11"/>
                <w:rFonts w:hint="eastAsia"/>
              </w:rPr>
              <w:t>本品是由氨基寡糖素和盐酸吗啉胍两种活性物质复配而成。氨基寡糖素属植物诱导抗病剂，在抵御病原菌侵蚀的过程中，能诱导激发植物产生一系列的防御反应，直接抑制病原物生长或释放一些寡聚糖素，在细胞表面并参与对病原物的限制作用。盐酸吗啉胍属病毒防治剂，稀释后的药液喷施到植物叶面后，药剂可通过水气孔进入植物体内，抑制或破坏核酸和脂蛋白的形成，阻止病毒的复制过程，起到防治病毒的作用。两者混配，用于番茄病毒病有较好的防治效果。</w:t>
            </w:r>
          </w:p>
        </w:tc>
      </w:tr>
      <w:tr w14:paraId="6ED08009">
        <w:tblPrEx>
          <w:tblCellMar>
            <w:top w:w="0" w:type="dxa"/>
            <w:left w:w="0" w:type="dxa"/>
            <w:bottom w:w="0" w:type="dxa"/>
            <w:right w:w="0" w:type="dxa"/>
          </w:tblCellMar>
        </w:tblPrEx>
        <w:trPr>
          <w:wBefore w:w="0" w:type="auto"/>
          <w:tblCellSpacing w:w="0" w:type="dxa"/>
        </w:trPr>
        <w:tc>
          <w:tcPr>
            <w:tcW w:w="0" w:type="auto"/>
            <w:noWrap w:val="0"/>
            <w:vAlign w:val="center"/>
          </w:tcPr>
          <w:p w14:paraId="7A9B418D">
            <w:r>
              <w:rPr>
                <w:rStyle w:val="10"/>
                <w:rFonts w:hint="eastAsia"/>
              </w:rPr>
              <w:t>注意事项：</w:t>
            </w:r>
            <w:r>
              <w:rPr>
                <w:rFonts w:hint="eastAsia"/>
              </w:rPr>
              <w:br w:type="textWrapping"/>
            </w:r>
            <w:r>
              <w:rPr>
                <w:rStyle w:val="11"/>
                <w:rFonts w:hint="eastAsia"/>
              </w:rPr>
              <w:t>（1）严格按规定用药量和方法使用。 （2）建议与其他作用机制不同的杀菌剂轮换使用，以延缓抗性产生。 （3）本品对溞有毒，水产养殖区、河塘等水体附近禁用，禁止在河塘等水体中清洗施药器具。 （4）对眼睛有中度刺激性，使用时穿戴长衣长裤、帽子、口罩、手套、鞋等安全防护措施。施药期间不可吃东西、饮水、吸烟等；施药后应及时洗手、洗脸并洗涤施药时穿着的衣物。 （5）用药后包装物及用过的容器应妥善处理，不可做他用，也不可随意丢弃。 （6）孕妇及哺乳期妇女禁止接触本品。</w:t>
            </w:r>
          </w:p>
        </w:tc>
      </w:tr>
      <w:tr w14:paraId="7F41C15E">
        <w:tblPrEx>
          <w:tblCellMar>
            <w:top w:w="0" w:type="dxa"/>
            <w:left w:w="0" w:type="dxa"/>
            <w:bottom w:w="0" w:type="dxa"/>
            <w:right w:w="0" w:type="dxa"/>
          </w:tblCellMar>
        </w:tblPrEx>
        <w:trPr>
          <w:wBefore w:w="0" w:type="auto"/>
          <w:tblCellSpacing w:w="0" w:type="dxa"/>
        </w:trPr>
        <w:tc>
          <w:tcPr>
            <w:tcW w:w="0" w:type="auto"/>
            <w:noWrap w:val="0"/>
            <w:vAlign w:val="center"/>
          </w:tcPr>
          <w:p w14:paraId="3654C72D">
            <w:r>
              <w:rPr>
                <w:rStyle w:val="10"/>
                <w:rFonts w:hint="eastAsia"/>
              </w:rPr>
              <w:t>中毒急救措施：</w:t>
            </w:r>
            <w:r>
              <w:rPr>
                <w:rFonts w:hint="eastAsia"/>
              </w:rPr>
              <w:br w:type="textWrapping"/>
            </w:r>
            <w:r>
              <w:rPr>
                <w:rStyle w:val="11"/>
                <w:rFonts w:hint="eastAsia"/>
              </w:rPr>
              <w:t>对眼睛有刺激性，使用时避免接触眼睛。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59F23793">
        <w:tblPrEx>
          <w:tblCellMar>
            <w:top w:w="0" w:type="dxa"/>
            <w:left w:w="0" w:type="dxa"/>
            <w:bottom w:w="0" w:type="dxa"/>
            <w:right w:w="0" w:type="dxa"/>
          </w:tblCellMar>
        </w:tblPrEx>
        <w:trPr>
          <w:wBefore w:w="0" w:type="auto"/>
          <w:tblCellSpacing w:w="0" w:type="dxa"/>
        </w:trPr>
        <w:tc>
          <w:tcPr>
            <w:tcW w:w="0" w:type="auto"/>
            <w:noWrap w:val="0"/>
            <w:vAlign w:val="center"/>
          </w:tcPr>
          <w:p w14:paraId="64A4F708">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21EDEF78">
        <w:tblPrEx>
          <w:tblCellMar>
            <w:top w:w="0" w:type="dxa"/>
            <w:left w:w="0" w:type="dxa"/>
            <w:bottom w:w="0" w:type="dxa"/>
            <w:right w:w="0" w:type="dxa"/>
          </w:tblCellMar>
        </w:tblPrEx>
        <w:trPr>
          <w:wBefore w:w="0" w:type="auto"/>
          <w:tblCellSpacing w:w="0" w:type="dxa"/>
        </w:trPr>
        <w:tc>
          <w:tcPr>
            <w:tcW w:w="0" w:type="auto"/>
            <w:noWrap w:val="0"/>
            <w:vAlign w:val="center"/>
          </w:tcPr>
          <w:p w14:paraId="6B05CA96">
            <w:r>
              <w:rPr>
                <w:rStyle w:val="10"/>
                <w:rFonts w:hint="eastAsia"/>
              </w:rPr>
              <w:t>质量保证期：</w:t>
            </w:r>
            <w:r>
              <w:rPr>
                <w:rStyle w:val="11"/>
                <w:rFonts w:hint="eastAsia"/>
              </w:rPr>
              <w:t>2年</w:t>
            </w:r>
          </w:p>
        </w:tc>
      </w:tr>
      <w:tr w14:paraId="1E298485">
        <w:tblPrEx>
          <w:tblCellMar>
            <w:top w:w="0" w:type="dxa"/>
            <w:left w:w="0" w:type="dxa"/>
            <w:bottom w:w="0" w:type="dxa"/>
            <w:right w:w="0" w:type="dxa"/>
          </w:tblCellMar>
        </w:tblPrEx>
        <w:trPr>
          <w:wBefore w:w="0" w:type="auto"/>
          <w:tblCellSpacing w:w="0" w:type="dxa"/>
        </w:trPr>
        <w:tc>
          <w:tcPr>
            <w:tcW w:w="0" w:type="auto"/>
            <w:noWrap w:val="0"/>
            <w:vAlign w:val="center"/>
          </w:tcPr>
          <w:p w14:paraId="096F00F1">
            <w:r>
              <w:rPr>
                <w:rStyle w:val="10"/>
                <w:rFonts w:hint="eastAsia"/>
              </w:rPr>
              <w:t>备注：</w:t>
            </w:r>
          </w:p>
        </w:tc>
      </w:tr>
    </w:tbl>
    <w:p w14:paraId="0D2C70C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69D1B5E">
        <w:tblPrEx>
          <w:tblCellMar>
            <w:top w:w="0" w:type="dxa"/>
            <w:left w:w="0" w:type="dxa"/>
            <w:bottom w:w="0" w:type="dxa"/>
            <w:right w:w="0" w:type="dxa"/>
          </w:tblCellMar>
        </w:tblPrEx>
        <w:trPr>
          <w:wBefore w:w="0" w:type="auto"/>
          <w:tblCellSpacing w:w="0" w:type="dxa"/>
        </w:trPr>
        <w:tc>
          <w:tcPr>
            <w:tcW w:w="0" w:type="auto"/>
            <w:noWrap w:val="0"/>
            <w:vAlign w:val="center"/>
          </w:tcPr>
          <w:p w14:paraId="1A8EE240">
            <w:r>
              <w:rPr>
                <w:rStyle w:val="10"/>
                <w:rFonts w:hint="eastAsia"/>
              </w:rPr>
              <w:t>登记证号：</w:t>
            </w:r>
            <w:r>
              <w:rPr>
                <w:rFonts w:hint="eastAsia"/>
              </w:rPr>
              <w:t>PD20211940</w:t>
            </w:r>
          </w:p>
        </w:tc>
      </w:tr>
      <w:tr w14:paraId="31278E10">
        <w:tblPrEx>
          <w:tblCellMar>
            <w:top w:w="0" w:type="dxa"/>
            <w:left w:w="0" w:type="dxa"/>
            <w:bottom w:w="0" w:type="dxa"/>
            <w:right w:w="0" w:type="dxa"/>
          </w:tblCellMar>
        </w:tblPrEx>
        <w:trPr>
          <w:wBefore w:w="0" w:type="auto"/>
          <w:tblCellSpacing w:w="0" w:type="dxa"/>
        </w:trPr>
        <w:tc>
          <w:tcPr>
            <w:tcW w:w="0" w:type="auto"/>
            <w:noWrap w:val="0"/>
            <w:vAlign w:val="center"/>
          </w:tcPr>
          <w:p w14:paraId="5C00B4C8">
            <w:r>
              <w:rPr>
                <w:rStyle w:val="10"/>
                <w:rFonts w:hint="eastAsia"/>
              </w:rPr>
              <w:t>登记证持有人：</w:t>
            </w:r>
            <w:r>
              <w:rPr>
                <w:rFonts w:hint="eastAsia"/>
              </w:rPr>
              <w:t>山东麒麟农化有限公司</w:t>
            </w:r>
          </w:p>
        </w:tc>
      </w:tr>
      <w:tr w14:paraId="0F80CDD1">
        <w:tblPrEx>
          <w:tblCellMar>
            <w:top w:w="0" w:type="dxa"/>
            <w:left w:w="0" w:type="dxa"/>
            <w:bottom w:w="0" w:type="dxa"/>
            <w:right w:w="0" w:type="dxa"/>
          </w:tblCellMar>
        </w:tblPrEx>
        <w:trPr>
          <w:wBefore w:w="0" w:type="auto"/>
          <w:tblCellSpacing w:w="0" w:type="dxa"/>
        </w:trPr>
        <w:tc>
          <w:tcPr>
            <w:tcW w:w="0" w:type="auto"/>
            <w:noWrap w:val="0"/>
            <w:vAlign w:val="center"/>
          </w:tcPr>
          <w:p w14:paraId="0CC112C0">
            <w:r>
              <w:rPr>
                <w:rStyle w:val="10"/>
                <w:rFonts w:hint="eastAsia"/>
              </w:rPr>
              <w:t>农药名称：</w:t>
            </w:r>
            <w:r>
              <w:rPr>
                <w:rFonts w:hint="eastAsia"/>
              </w:rPr>
              <w:t>氟啶胺</w:t>
            </w:r>
          </w:p>
        </w:tc>
      </w:tr>
      <w:tr w14:paraId="0622D87A">
        <w:tblPrEx>
          <w:tblCellMar>
            <w:top w:w="0" w:type="dxa"/>
            <w:left w:w="0" w:type="dxa"/>
            <w:bottom w:w="0" w:type="dxa"/>
            <w:right w:w="0" w:type="dxa"/>
          </w:tblCellMar>
        </w:tblPrEx>
        <w:trPr>
          <w:wBefore w:w="0" w:type="auto"/>
          <w:tblCellSpacing w:w="0" w:type="dxa"/>
        </w:trPr>
        <w:tc>
          <w:tcPr>
            <w:tcW w:w="0" w:type="auto"/>
            <w:noWrap w:val="0"/>
            <w:vAlign w:val="center"/>
          </w:tcPr>
          <w:p w14:paraId="7EA81BAE">
            <w:r>
              <w:rPr>
                <w:rStyle w:val="10"/>
                <w:rFonts w:hint="eastAsia"/>
              </w:rPr>
              <w:t>剂型：</w:t>
            </w:r>
            <w:r>
              <w:rPr>
                <w:rFonts w:hint="eastAsia"/>
              </w:rPr>
              <w:t>悬浮剂</w:t>
            </w:r>
          </w:p>
        </w:tc>
      </w:tr>
      <w:tr w14:paraId="4B438287">
        <w:tblPrEx>
          <w:tblCellMar>
            <w:top w:w="0" w:type="dxa"/>
            <w:left w:w="0" w:type="dxa"/>
            <w:bottom w:w="0" w:type="dxa"/>
            <w:right w:w="0" w:type="dxa"/>
          </w:tblCellMar>
        </w:tblPrEx>
        <w:trPr>
          <w:wBefore w:w="0" w:type="auto"/>
          <w:tblCellSpacing w:w="0" w:type="dxa"/>
        </w:trPr>
        <w:tc>
          <w:tcPr>
            <w:tcW w:w="0" w:type="auto"/>
            <w:noWrap w:val="0"/>
            <w:vAlign w:val="center"/>
          </w:tcPr>
          <w:p w14:paraId="39CB8853">
            <w:r>
              <w:rPr>
                <w:rStyle w:val="10"/>
                <w:rFonts w:hint="eastAsia"/>
              </w:rPr>
              <w:t>毒性及其标识：</w:t>
            </w:r>
            <w:r>
              <w:rPr>
                <w:rFonts w:hint="eastAsia"/>
              </w:rPr>
              <w:t xml:space="preserve"> </w:t>
            </w:r>
            <w:r>
              <w:rPr>
                <w:lang/>
              </w:rPr>
              <w:drawing>
                <wp:inline distT="0" distB="0" distL="114300" distR="114300">
                  <wp:extent cx="476250" cy="323850"/>
                  <wp:effectExtent l="0" t="0" r="0" b="0"/>
                  <wp:docPr id="359" name="图片 35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FCEEC32">
        <w:tblPrEx>
          <w:tblCellMar>
            <w:top w:w="0" w:type="dxa"/>
            <w:left w:w="0" w:type="dxa"/>
            <w:bottom w:w="0" w:type="dxa"/>
            <w:right w:w="0" w:type="dxa"/>
          </w:tblCellMar>
        </w:tblPrEx>
        <w:trPr>
          <w:wBefore w:w="0" w:type="auto"/>
          <w:tblCellSpacing w:w="0" w:type="dxa"/>
        </w:trPr>
        <w:tc>
          <w:tcPr>
            <w:tcW w:w="0" w:type="auto"/>
            <w:noWrap w:val="0"/>
            <w:vAlign w:val="center"/>
          </w:tcPr>
          <w:p w14:paraId="6E8FF3C2">
            <w:r>
              <w:rPr>
                <w:rStyle w:val="10"/>
                <w:rFonts w:hint="eastAsia"/>
              </w:rPr>
              <w:t>总有效成分含量：</w:t>
            </w:r>
            <w:r>
              <w:rPr>
                <w:rFonts w:hint="eastAsia"/>
              </w:rPr>
              <w:t>50%</w:t>
            </w:r>
          </w:p>
        </w:tc>
      </w:tr>
      <w:tr w14:paraId="4C9371DE">
        <w:tblPrEx>
          <w:tblCellMar>
            <w:top w:w="0" w:type="dxa"/>
            <w:left w:w="0" w:type="dxa"/>
            <w:bottom w:w="0" w:type="dxa"/>
            <w:right w:w="0" w:type="dxa"/>
          </w:tblCellMar>
        </w:tblPrEx>
        <w:trPr>
          <w:wBefore w:w="0" w:type="auto"/>
          <w:tblCellSpacing w:w="0" w:type="dxa"/>
        </w:trPr>
        <w:tc>
          <w:tcPr>
            <w:tcW w:w="0" w:type="auto"/>
            <w:noWrap w:val="0"/>
            <w:vAlign w:val="center"/>
          </w:tcPr>
          <w:p w14:paraId="7819F0F9">
            <w:r>
              <w:rPr>
                <w:rFonts w:hint="eastAsia"/>
              </w:rPr>
              <w:t xml:space="preserve">有效成分及其含量： </w:t>
            </w:r>
          </w:p>
          <w:p w14:paraId="3E038344">
            <w:r>
              <w:rPr>
                <w:rFonts w:hint="eastAsia"/>
              </w:rPr>
              <w:t xml:space="preserve">    氟啶胺50%    </w:t>
            </w:r>
          </w:p>
        </w:tc>
      </w:tr>
      <w:tr w14:paraId="7C015BD9">
        <w:tblPrEx>
          <w:tblCellMar>
            <w:top w:w="0" w:type="dxa"/>
            <w:left w:w="0" w:type="dxa"/>
            <w:bottom w:w="0" w:type="dxa"/>
            <w:right w:w="0" w:type="dxa"/>
          </w:tblCellMar>
        </w:tblPrEx>
        <w:trPr>
          <w:wBefore w:w="0" w:type="auto"/>
          <w:tblCellSpacing w:w="0" w:type="dxa"/>
        </w:trPr>
        <w:tc>
          <w:tcPr>
            <w:tcW w:w="0" w:type="auto"/>
            <w:noWrap w:val="0"/>
            <w:vAlign w:val="center"/>
          </w:tcPr>
          <w:p w14:paraId="4D66558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73AB0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A18174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16EDB3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1B9C1E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591DBB0">
                  <w:r>
                    <w:rPr>
                      <w:rStyle w:val="11"/>
                      <w:rFonts w:hint="eastAsia"/>
                    </w:rPr>
                    <w:t>施用方式</w:t>
                  </w:r>
                </w:p>
              </w:tc>
            </w:tr>
            <w:tr w14:paraId="64BA30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D12ECF6">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7F60B9">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F5CC2F">
                  <w:r>
                    <w:rPr>
                      <w:rStyle w:val="11"/>
                      <w:rFonts w:hint="eastAsia"/>
                    </w:rPr>
                    <w:t>25-33毫升/亩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47ACD2">
                  <w:r>
                    <w:rPr>
                      <w:rStyle w:val="11"/>
                      <w:rFonts w:hint="eastAsia"/>
                    </w:rPr>
                    <w:t>喷雾</w:t>
                  </w:r>
                </w:p>
              </w:tc>
            </w:tr>
          </w:tbl>
          <w:p w14:paraId="4A3A420F">
            <w:pPr>
              <w:rPr>
                <w:rFonts w:ascii="Times New Roman" w:hAnsi="Times New Roman" w:cs="Times New Roman"/>
                <w:sz w:val="20"/>
                <w:szCs w:val="20"/>
              </w:rPr>
            </w:pPr>
          </w:p>
        </w:tc>
      </w:tr>
      <w:tr w14:paraId="497DBEFF">
        <w:tblPrEx>
          <w:tblCellMar>
            <w:top w:w="0" w:type="dxa"/>
            <w:left w:w="0" w:type="dxa"/>
            <w:bottom w:w="0" w:type="dxa"/>
            <w:right w:w="0" w:type="dxa"/>
          </w:tblCellMar>
        </w:tblPrEx>
        <w:trPr>
          <w:wBefore w:w="0" w:type="auto"/>
          <w:tblCellSpacing w:w="0" w:type="dxa"/>
        </w:trPr>
        <w:tc>
          <w:tcPr>
            <w:tcW w:w="0" w:type="auto"/>
            <w:noWrap w:val="0"/>
            <w:vAlign w:val="center"/>
          </w:tcPr>
          <w:p w14:paraId="16995CB5">
            <w:r>
              <w:rPr>
                <w:rStyle w:val="10"/>
                <w:rFonts w:hint="eastAsia"/>
              </w:rPr>
              <w:t>使用技术要求:</w:t>
            </w:r>
            <w:r>
              <w:rPr>
                <w:rFonts w:hint="eastAsia"/>
              </w:rPr>
              <w:br w:type="textWrapping"/>
            </w:r>
            <w:r>
              <w:rPr>
                <w:rStyle w:val="11"/>
                <w:rFonts w:hint="eastAsia"/>
              </w:rPr>
              <w:t>1、本品应于马铃薯晚疫病发病前或初期进行喷雾，可连续施药2-3次，间隔7天左右一次。 2、大风天或预计1小时内降雨，请勿施药。 3、本品施药间隔7天，每季最多使用3次，安全间隔期为14天。</w:t>
            </w:r>
          </w:p>
        </w:tc>
      </w:tr>
      <w:tr w14:paraId="20C09C4C">
        <w:tblPrEx>
          <w:tblCellMar>
            <w:top w:w="0" w:type="dxa"/>
            <w:left w:w="0" w:type="dxa"/>
            <w:bottom w:w="0" w:type="dxa"/>
            <w:right w:w="0" w:type="dxa"/>
          </w:tblCellMar>
        </w:tblPrEx>
        <w:trPr>
          <w:wBefore w:w="0" w:type="auto"/>
          <w:tblCellSpacing w:w="0" w:type="dxa"/>
        </w:trPr>
        <w:tc>
          <w:tcPr>
            <w:tcW w:w="0" w:type="auto"/>
            <w:noWrap w:val="0"/>
            <w:vAlign w:val="center"/>
          </w:tcPr>
          <w:p w14:paraId="3687F75E">
            <w:r>
              <w:rPr>
                <w:rStyle w:val="10"/>
                <w:rFonts w:hint="eastAsia"/>
              </w:rPr>
              <w:t>产品性能:</w:t>
            </w:r>
            <w:r>
              <w:rPr>
                <w:rFonts w:hint="eastAsia"/>
              </w:rPr>
              <w:br w:type="textWrapping"/>
            </w:r>
            <w:r>
              <w:rPr>
                <w:rStyle w:val="11"/>
                <w:rFonts w:hint="eastAsia"/>
              </w:rPr>
              <w:t>本品是二硝基苯胺类化合物，属保护性杀菌剂，能抑制感染过程中病原体孢子的萌发、渗透、菌丝的生长和孢子的形成。本品活性较高，耐雨水冲刷，持效期长，主要用于防治马铃薯晚疫病。</w:t>
            </w:r>
          </w:p>
        </w:tc>
      </w:tr>
      <w:tr w14:paraId="09A82BB1">
        <w:tblPrEx>
          <w:tblCellMar>
            <w:top w:w="0" w:type="dxa"/>
            <w:left w:w="0" w:type="dxa"/>
            <w:bottom w:w="0" w:type="dxa"/>
            <w:right w:w="0" w:type="dxa"/>
          </w:tblCellMar>
        </w:tblPrEx>
        <w:trPr>
          <w:wBefore w:w="0" w:type="auto"/>
          <w:tblCellSpacing w:w="0" w:type="dxa"/>
        </w:trPr>
        <w:tc>
          <w:tcPr>
            <w:tcW w:w="0" w:type="auto"/>
            <w:noWrap w:val="0"/>
            <w:vAlign w:val="center"/>
          </w:tcPr>
          <w:p w14:paraId="2E404B89">
            <w:r>
              <w:rPr>
                <w:rStyle w:val="10"/>
                <w:rFonts w:hint="eastAsia"/>
              </w:rPr>
              <w:t>注意事项：</w:t>
            </w:r>
            <w:r>
              <w:rPr>
                <w:rFonts w:hint="eastAsia"/>
              </w:rPr>
              <w:br w:type="textWrapping"/>
            </w:r>
            <w:r>
              <w:rPr>
                <w:rStyle w:val="11"/>
                <w:rFonts w:hint="eastAsia"/>
              </w:rPr>
              <w:t>1、本品对家蚕有毒，施用时若周围有桑园，最外围桑树设置为隔离带，不能用于饲养家蚕。2、喷药时请将药液均匀地喷雾到植株全部叶片的正反面，以保证药效。3、本品对眼睛有刺激性，使用时避免接触眼睛，穿戴长衣、长裤、帽子、口罩、手套等防护措施。施药时不可吸烟、饮水、进食。施药后洗净手和脸。4、远离水产养殖区、河塘等水体施药，禁止在河塘等水体中清洗施药器具。5、建议与其他作用机制不同的杀菌剂轮换使用，以延缓抗性产生。6、用过的容器应妥善处理，不可做他用，也不可随意丢弃。7、避免孕妇及哺乳期妇女接触。</w:t>
            </w:r>
          </w:p>
        </w:tc>
      </w:tr>
      <w:tr w14:paraId="301C36FD">
        <w:tblPrEx>
          <w:tblCellMar>
            <w:top w:w="0" w:type="dxa"/>
            <w:left w:w="0" w:type="dxa"/>
            <w:bottom w:w="0" w:type="dxa"/>
            <w:right w:w="0" w:type="dxa"/>
          </w:tblCellMar>
        </w:tblPrEx>
        <w:trPr>
          <w:wBefore w:w="0" w:type="auto"/>
          <w:tblCellSpacing w:w="0" w:type="dxa"/>
        </w:trPr>
        <w:tc>
          <w:tcPr>
            <w:tcW w:w="0" w:type="auto"/>
            <w:noWrap w:val="0"/>
            <w:vAlign w:val="center"/>
          </w:tcPr>
          <w:p w14:paraId="08F42206">
            <w:r>
              <w:rPr>
                <w:rStyle w:val="10"/>
                <w:rFonts w:hint="eastAsia"/>
              </w:rPr>
              <w:t>中毒急救措施：</w:t>
            </w:r>
            <w:r>
              <w:rPr>
                <w:rFonts w:hint="eastAsia"/>
              </w:rPr>
              <w:br w:type="textWrapping"/>
            </w:r>
            <w:r>
              <w:rPr>
                <w:rStyle w:val="11"/>
                <w:rFonts w:hint="eastAsia"/>
              </w:rPr>
              <w:t>对眼睛有刺激性，使用中或使用后如果感觉不适，应立即停止工作，采取急救措施，不慎吸入，应将病人移至空气流通处。不慎接触皮肤或溅入眼睛，应用大量清水冲洗至少15分钟。如误服，请用水充分漱口后，并立即携此标签将病人送医院诊治。</w:t>
            </w:r>
          </w:p>
        </w:tc>
      </w:tr>
      <w:tr w14:paraId="66B70040">
        <w:tblPrEx>
          <w:tblCellMar>
            <w:top w:w="0" w:type="dxa"/>
            <w:left w:w="0" w:type="dxa"/>
            <w:bottom w:w="0" w:type="dxa"/>
            <w:right w:w="0" w:type="dxa"/>
          </w:tblCellMar>
        </w:tblPrEx>
        <w:trPr>
          <w:wBefore w:w="0" w:type="auto"/>
          <w:tblCellSpacing w:w="0" w:type="dxa"/>
        </w:trPr>
        <w:tc>
          <w:tcPr>
            <w:tcW w:w="0" w:type="auto"/>
            <w:noWrap w:val="0"/>
            <w:vAlign w:val="center"/>
          </w:tcPr>
          <w:p w14:paraId="0DB7691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本品应贮存在干燥、阴凉、通风、防雨处，远离火源或热源。置于儿童、无关人员触及不到之处，并加锁保存。勿与粮食、食品、饮料、饲料等其他商品同贮同运。</w:t>
            </w:r>
          </w:p>
        </w:tc>
      </w:tr>
      <w:tr w14:paraId="6B997DAC">
        <w:tblPrEx>
          <w:tblCellMar>
            <w:top w:w="0" w:type="dxa"/>
            <w:left w:w="0" w:type="dxa"/>
            <w:bottom w:w="0" w:type="dxa"/>
            <w:right w:w="0" w:type="dxa"/>
          </w:tblCellMar>
        </w:tblPrEx>
        <w:trPr>
          <w:wBefore w:w="0" w:type="auto"/>
          <w:tblCellSpacing w:w="0" w:type="dxa"/>
        </w:trPr>
        <w:tc>
          <w:tcPr>
            <w:tcW w:w="0" w:type="auto"/>
            <w:noWrap w:val="0"/>
            <w:vAlign w:val="center"/>
          </w:tcPr>
          <w:p w14:paraId="029AC6F6">
            <w:r>
              <w:rPr>
                <w:rStyle w:val="10"/>
                <w:rFonts w:hint="eastAsia"/>
              </w:rPr>
              <w:t>质量保证期：</w:t>
            </w:r>
            <w:r>
              <w:rPr>
                <w:rStyle w:val="11"/>
                <w:rFonts w:hint="eastAsia"/>
              </w:rPr>
              <w:t>2年</w:t>
            </w:r>
          </w:p>
        </w:tc>
      </w:tr>
      <w:tr w14:paraId="2C15369B">
        <w:tblPrEx>
          <w:tblCellMar>
            <w:top w:w="0" w:type="dxa"/>
            <w:left w:w="0" w:type="dxa"/>
            <w:bottom w:w="0" w:type="dxa"/>
            <w:right w:w="0" w:type="dxa"/>
          </w:tblCellMar>
        </w:tblPrEx>
        <w:trPr>
          <w:wBefore w:w="0" w:type="auto"/>
          <w:tblCellSpacing w:w="0" w:type="dxa"/>
        </w:trPr>
        <w:tc>
          <w:tcPr>
            <w:tcW w:w="0" w:type="auto"/>
            <w:noWrap w:val="0"/>
            <w:vAlign w:val="center"/>
          </w:tcPr>
          <w:p w14:paraId="70A0E6FC">
            <w:r>
              <w:rPr>
                <w:rStyle w:val="10"/>
                <w:rFonts w:hint="eastAsia"/>
              </w:rPr>
              <w:t>备注：</w:t>
            </w:r>
          </w:p>
        </w:tc>
      </w:tr>
    </w:tbl>
    <w:p w14:paraId="6223419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C841218">
        <w:tblPrEx>
          <w:tblCellMar>
            <w:top w:w="0" w:type="dxa"/>
            <w:left w:w="0" w:type="dxa"/>
            <w:bottom w:w="0" w:type="dxa"/>
            <w:right w:w="0" w:type="dxa"/>
          </w:tblCellMar>
        </w:tblPrEx>
        <w:trPr>
          <w:wBefore w:w="0" w:type="auto"/>
          <w:tblCellSpacing w:w="0" w:type="dxa"/>
        </w:trPr>
        <w:tc>
          <w:tcPr>
            <w:tcW w:w="0" w:type="auto"/>
            <w:noWrap w:val="0"/>
            <w:vAlign w:val="center"/>
          </w:tcPr>
          <w:p w14:paraId="7D808975">
            <w:r>
              <w:rPr>
                <w:rStyle w:val="10"/>
                <w:rFonts w:hint="eastAsia"/>
              </w:rPr>
              <w:t>登记证号：</w:t>
            </w:r>
            <w:r>
              <w:rPr>
                <w:rFonts w:hint="eastAsia"/>
              </w:rPr>
              <w:t>PD20211974</w:t>
            </w:r>
          </w:p>
        </w:tc>
      </w:tr>
      <w:tr w14:paraId="3E4CCE62">
        <w:tblPrEx>
          <w:tblCellMar>
            <w:top w:w="0" w:type="dxa"/>
            <w:left w:w="0" w:type="dxa"/>
            <w:bottom w:w="0" w:type="dxa"/>
            <w:right w:w="0" w:type="dxa"/>
          </w:tblCellMar>
        </w:tblPrEx>
        <w:trPr>
          <w:wBefore w:w="0" w:type="auto"/>
          <w:tblCellSpacing w:w="0" w:type="dxa"/>
        </w:trPr>
        <w:tc>
          <w:tcPr>
            <w:tcW w:w="0" w:type="auto"/>
            <w:noWrap w:val="0"/>
            <w:vAlign w:val="center"/>
          </w:tcPr>
          <w:p w14:paraId="011D65C7">
            <w:r>
              <w:rPr>
                <w:rStyle w:val="10"/>
                <w:rFonts w:hint="eastAsia"/>
              </w:rPr>
              <w:t>登记证持有人：</w:t>
            </w:r>
            <w:r>
              <w:rPr>
                <w:rFonts w:hint="eastAsia"/>
              </w:rPr>
              <w:t>四川利尔作物科学有限公司</w:t>
            </w:r>
          </w:p>
        </w:tc>
      </w:tr>
      <w:tr w14:paraId="262BF351">
        <w:tblPrEx>
          <w:tblCellMar>
            <w:top w:w="0" w:type="dxa"/>
            <w:left w:w="0" w:type="dxa"/>
            <w:bottom w:w="0" w:type="dxa"/>
            <w:right w:w="0" w:type="dxa"/>
          </w:tblCellMar>
        </w:tblPrEx>
        <w:trPr>
          <w:wBefore w:w="0" w:type="auto"/>
          <w:tblCellSpacing w:w="0" w:type="dxa"/>
        </w:trPr>
        <w:tc>
          <w:tcPr>
            <w:tcW w:w="0" w:type="auto"/>
            <w:noWrap w:val="0"/>
            <w:vAlign w:val="center"/>
          </w:tcPr>
          <w:p w14:paraId="424EFE36">
            <w:r>
              <w:rPr>
                <w:rStyle w:val="10"/>
                <w:rFonts w:hint="eastAsia"/>
              </w:rPr>
              <w:t>农药名称：</w:t>
            </w:r>
            <w:r>
              <w:rPr>
                <w:rFonts w:hint="eastAsia"/>
              </w:rPr>
              <w:t>氢氧化铜</w:t>
            </w:r>
          </w:p>
        </w:tc>
      </w:tr>
      <w:tr w14:paraId="73B809F4">
        <w:tblPrEx>
          <w:tblCellMar>
            <w:top w:w="0" w:type="dxa"/>
            <w:left w:w="0" w:type="dxa"/>
            <w:bottom w:w="0" w:type="dxa"/>
            <w:right w:w="0" w:type="dxa"/>
          </w:tblCellMar>
        </w:tblPrEx>
        <w:trPr>
          <w:wBefore w:w="0" w:type="auto"/>
          <w:tblCellSpacing w:w="0" w:type="dxa"/>
        </w:trPr>
        <w:tc>
          <w:tcPr>
            <w:tcW w:w="0" w:type="auto"/>
            <w:noWrap w:val="0"/>
            <w:vAlign w:val="center"/>
          </w:tcPr>
          <w:p w14:paraId="3E985EFD">
            <w:r>
              <w:rPr>
                <w:rStyle w:val="10"/>
                <w:rFonts w:hint="eastAsia"/>
              </w:rPr>
              <w:t>剂型：</w:t>
            </w:r>
            <w:r>
              <w:rPr>
                <w:rFonts w:hint="eastAsia"/>
              </w:rPr>
              <w:t>悬浮剂</w:t>
            </w:r>
          </w:p>
        </w:tc>
      </w:tr>
      <w:tr w14:paraId="7ADC1A4A">
        <w:tblPrEx>
          <w:tblCellMar>
            <w:top w:w="0" w:type="dxa"/>
            <w:left w:w="0" w:type="dxa"/>
            <w:bottom w:w="0" w:type="dxa"/>
            <w:right w:w="0" w:type="dxa"/>
          </w:tblCellMar>
        </w:tblPrEx>
        <w:trPr>
          <w:wBefore w:w="0" w:type="auto"/>
          <w:tblCellSpacing w:w="0" w:type="dxa"/>
        </w:trPr>
        <w:tc>
          <w:tcPr>
            <w:tcW w:w="0" w:type="auto"/>
            <w:noWrap w:val="0"/>
            <w:vAlign w:val="center"/>
          </w:tcPr>
          <w:p w14:paraId="10A007F2">
            <w:r>
              <w:rPr>
                <w:rStyle w:val="10"/>
                <w:rFonts w:hint="eastAsia"/>
              </w:rPr>
              <w:t>毒性及其标识：</w:t>
            </w:r>
            <w:r>
              <w:rPr>
                <w:rFonts w:hint="eastAsia"/>
              </w:rPr>
              <w:t xml:space="preserve"> </w:t>
            </w:r>
            <w:r>
              <w:rPr>
                <w:lang/>
              </w:rPr>
              <w:drawing>
                <wp:inline distT="0" distB="0" distL="114300" distR="114300">
                  <wp:extent cx="476250" cy="323850"/>
                  <wp:effectExtent l="0" t="0" r="0" b="0"/>
                  <wp:docPr id="360" name="图片 36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8574F86">
        <w:tblPrEx>
          <w:tblCellMar>
            <w:top w:w="0" w:type="dxa"/>
            <w:left w:w="0" w:type="dxa"/>
            <w:bottom w:w="0" w:type="dxa"/>
            <w:right w:w="0" w:type="dxa"/>
          </w:tblCellMar>
        </w:tblPrEx>
        <w:trPr>
          <w:wBefore w:w="0" w:type="auto"/>
          <w:tblCellSpacing w:w="0" w:type="dxa"/>
        </w:trPr>
        <w:tc>
          <w:tcPr>
            <w:tcW w:w="0" w:type="auto"/>
            <w:noWrap w:val="0"/>
            <w:vAlign w:val="center"/>
          </w:tcPr>
          <w:p w14:paraId="10ACB769">
            <w:r>
              <w:rPr>
                <w:rStyle w:val="10"/>
                <w:rFonts w:hint="eastAsia"/>
              </w:rPr>
              <w:t>总有效成分含量：</w:t>
            </w:r>
            <w:r>
              <w:rPr>
                <w:rFonts w:hint="eastAsia"/>
              </w:rPr>
              <w:t>10%</w:t>
            </w:r>
          </w:p>
        </w:tc>
      </w:tr>
      <w:tr w14:paraId="2711D593">
        <w:tblPrEx>
          <w:tblCellMar>
            <w:top w:w="0" w:type="dxa"/>
            <w:left w:w="0" w:type="dxa"/>
            <w:bottom w:w="0" w:type="dxa"/>
            <w:right w:w="0" w:type="dxa"/>
          </w:tblCellMar>
        </w:tblPrEx>
        <w:trPr>
          <w:wBefore w:w="0" w:type="auto"/>
          <w:tblCellSpacing w:w="0" w:type="dxa"/>
        </w:trPr>
        <w:tc>
          <w:tcPr>
            <w:tcW w:w="0" w:type="auto"/>
            <w:noWrap w:val="0"/>
            <w:vAlign w:val="center"/>
          </w:tcPr>
          <w:p w14:paraId="5BA94F1D">
            <w:r>
              <w:rPr>
                <w:rFonts w:hint="eastAsia"/>
              </w:rPr>
              <w:t xml:space="preserve">有效成分及其含量： </w:t>
            </w:r>
          </w:p>
          <w:p w14:paraId="5604E180">
            <w:r>
              <w:rPr>
                <w:rFonts w:hint="eastAsia"/>
              </w:rPr>
              <w:t xml:space="preserve">    氢氧化铜10%    </w:t>
            </w:r>
          </w:p>
        </w:tc>
      </w:tr>
      <w:tr w14:paraId="6B82A33F">
        <w:tblPrEx>
          <w:tblCellMar>
            <w:top w:w="0" w:type="dxa"/>
            <w:left w:w="0" w:type="dxa"/>
            <w:bottom w:w="0" w:type="dxa"/>
            <w:right w:w="0" w:type="dxa"/>
          </w:tblCellMar>
        </w:tblPrEx>
        <w:trPr>
          <w:wBefore w:w="0" w:type="auto"/>
          <w:tblCellSpacing w:w="0" w:type="dxa"/>
        </w:trPr>
        <w:tc>
          <w:tcPr>
            <w:tcW w:w="0" w:type="auto"/>
            <w:noWrap w:val="0"/>
            <w:vAlign w:val="center"/>
          </w:tcPr>
          <w:p w14:paraId="0651B52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D9F52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D3285E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746C1C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397D89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59BEE1">
                  <w:r>
                    <w:rPr>
                      <w:rStyle w:val="11"/>
                      <w:rFonts w:hint="eastAsia"/>
                    </w:rPr>
                    <w:t>施用方式</w:t>
                  </w:r>
                </w:p>
              </w:tc>
            </w:tr>
            <w:tr w14:paraId="1FCBBB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3C13721">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15F8F7">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16666D">
                  <w:r>
                    <w:rPr>
                      <w:rStyle w:val="11"/>
                      <w:rFonts w:hint="eastAsia"/>
                    </w:rPr>
                    <w:t>200-300倍液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E38964">
                  <w:r>
                    <w:rPr>
                      <w:rStyle w:val="11"/>
                      <w:rFonts w:hint="eastAsia"/>
                    </w:rPr>
                    <w:t>喷雾法</w:t>
                  </w:r>
                </w:p>
              </w:tc>
            </w:tr>
          </w:tbl>
          <w:p w14:paraId="20F3CDB5">
            <w:pPr>
              <w:rPr>
                <w:rFonts w:ascii="Times New Roman" w:hAnsi="Times New Roman" w:cs="Times New Roman"/>
                <w:sz w:val="20"/>
                <w:szCs w:val="20"/>
              </w:rPr>
            </w:pPr>
          </w:p>
        </w:tc>
      </w:tr>
      <w:tr w14:paraId="2431C9F6">
        <w:tblPrEx>
          <w:tblCellMar>
            <w:top w:w="0" w:type="dxa"/>
            <w:left w:w="0" w:type="dxa"/>
            <w:bottom w:w="0" w:type="dxa"/>
            <w:right w:w="0" w:type="dxa"/>
          </w:tblCellMar>
        </w:tblPrEx>
        <w:trPr>
          <w:wBefore w:w="0" w:type="auto"/>
          <w:tblCellSpacing w:w="0" w:type="dxa"/>
        </w:trPr>
        <w:tc>
          <w:tcPr>
            <w:tcW w:w="0" w:type="auto"/>
            <w:noWrap w:val="0"/>
            <w:vAlign w:val="center"/>
          </w:tcPr>
          <w:p w14:paraId="67161656">
            <w:r>
              <w:rPr>
                <w:rStyle w:val="10"/>
                <w:rFonts w:hint="eastAsia"/>
              </w:rPr>
              <w:t>使用技术要求:</w:t>
            </w:r>
            <w:r>
              <w:rPr>
                <w:rFonts w:hint="eastAsia"/>
              </w:rPr>
              <w:br w:type="textWrapping"/>
            </w:r>
            <w:r>
              <w:rPr>
                <w:rStyle w:val="11"/>
                <w:rFonts w:hint="eastAsia"/>
              </w:rPr>
              <w:t>1、于柑橘新梢溃疡病发病前或发病初期开始喷雾施药，视病情发展情况，间隔10-15天再次施药，连续3次。 2、不宜早晨有露水或在刚下过雨后施药，避免在高温时使用。</w:t>
            </w:r>
          </w:p>
        </w:tc>
      </w:tr>
      <w:tr w14:paraId="51950584">
        <w:tblPrEx>
          <w:tblCellMar>
            <w:top w:w="0" w:type="dxa"/>
            <w:left w:w="0" w:type="dxa"/>
            <w:bottom w:w="0" w:type="dxa"/>
            <w:right w:w="0" w:type="dxa"/>
          </w:tblCellMar>
        </w:tblPrEx>
        <w:trPr>
          <w:wBefore w:w="0" w:type="auto"/>
          <w:tblCellSpacing w:w="0" w:type="dxa"/>
        </w:trPr>
        <w:tc>
          <w:tcPr>
            <w:tcW w:w="0" w:type="auto"/>
            <w:noWrap w:val="0"/>
            <w:vAlign w:val="center"/>
          </w:tcPr>
          <w:p w14:paraId="4462DD47">
            <w:r>
              <w:rPr>
                <w:rStyle w:val="10"/>
                <w:rFonts w:hint="eastAsia"/>
              </w:rPr>
              <w:t>产品性能:</w:t>
            </w:r>
            <w:r>
              <w:rPr>
                <w:rFonts w:hint="eastAsia"/>
              </w:rPr>
              <w:br w:type="textWrapping"/>
            </w:r>
            <w:r>
              <w:rPr>
                <w:rStyle w:val="11"/>
                <w:rFonts w:hint="eastAsia"/>
              </w:rPr>
              <w:t>本品是一种无机铜杀菌剂。</w:t>
            </w:r>
          </w:p>
        </w:tc>
      </w:tr>
      <w:tr w14:paraId="2D41F4A2">
        <w:tblPrEx>
          <w:tblCellMar>
            <w:top w:w="0" w:type="dxa"/>
            <w:left w:w="0" w:type="dxa"/>
            <w:bottom w:w="0" w:type="dxa"/>
            <w:right w:w="0" w:type="dxa"/>
          </w:tblCellMar>
        </w:tblPrEx>
        <w:trPr>
          <w:wBefore w:w="0" w:type="auto"/>
          <w:tblCellSpacing w:w="0" w:type="dxa"/>
        </w:trPr>
        <w:tc>
          <w:tcPr>
            <w:tcW w:w="0" w:type="auto"/>
            <w:noWrap w:val="0"/>
            <w:vAlign w:val="center"/>
          </w:tcPr>
          <w:p w14:paraId="7E9F7B3B">
            <w:r>
              <w:rPr>
                <w:rStyle w:val="10"/>
                <w:rFonts w:hint="eastAsia"/>
              </w:rPr>
              <w:t>注意事项：</w:t>
            </w:r>
            <w:r>
              <w:rPr>
                <w:rFonts w:hint="eastAsia"/>
              </w:rPr>
              <w:br w:type="textWrapping"/>
            </w:r>
            <w:r>
              <w:rPr>
                <w:rStyle w:val="11"/>
                <w:rFonts w:hint="eastAsia"/>
              </w:rPr>
              <w:t>1、本品避免与强酸、强碱物质混用，禁止与乙磷铝类农药等物质混用。避免与氧化剂接触。 2、本品为悬浮剂，配药前务必充分摇匀，二次稀释，现配现用。配药时应尽量冲洗出包装内的药剂，以免浪费药剂或造成用药量不足。 3、施药时严禁药液飘移到邻近作物上。 4、大风天或预计1小时内降雨，请勿施药。在极端温湿度条件下，请勿使用本品。 5、请在农技人员指导下，根据病害发生情况、施药时天气条件、药械种类等因素科学合理的调整稀释倍数、用药间隔期和用药次数。 6、喷雾用水的酸碱值需高于6.5。 7、如需与其他药剂或肥料混用，请在当地农技人员指导下，先进行小面积试验确认安全性和有效性后，科学合理搭配使用。 8、鸟类保护区附近禁用。桑园及蚕室附近禁用。水产养殖区、河塘等水体附近禁用，禁止在河塘和鱼塘等水域内清洗施药器具，避免污染水源，用过的器具应妥善处理，不可做他用，也不可能随意丢弃。 9、使用时穿戴长衣、长裤、帽子、口罩、手套等安全防护措施。避免吸入药液。施药期间不可吃东西和饮水等。施药后彻底清洗器械，并立即用肥皂洗手和洗脸及暴露部分皮肤。 10、建议与其它作用机制不同的杀菌剂交替使用，以延缓抗性产生。 11、避免孕妇及哺乳期的妇女接触本品。过敏者禁用，使用中有任何不良反应请及时就医。 12、使用前请仔细阅读此标签，并严格按照标签说明使用。未尽使用情形，请结合当地实际情况，在农业技术人员指导下使用。</w:t>
            </w:r>
          </w:p>
        </w:tc>
      </w:tr>
      <w:tr w14:paraId="79732CCE">
        <w:tblPrEx>
          <w:tblCellMar>
            <w:top w:w="0" w:type="dxa"/>
            <w:left w:w="0" w:type="dxa"/>
            <w:bottom w:w="0" w:type="dxa"/>
            <w:right w:w="0" w:type="dxa"/>
          </w:tblCellMar>
        </w:tblPrEx>
        <w:trPr>
          <w:wBefore w:w="0" w:type="auto"/>
          <w:tblCellSpacing w:w="0" w:type="dxa"/>
        </w:trPr>
        <w:tc>
          <w:tcPr>
            <w:tcW w:w="0" w:type="auto"/>
            <w:noWrap w:val="0"/>
            <w:vAlign w:val="center"/>
          </w:tcPr>
          <w:p w14:paraId="12FE97F0">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6AF5262E">
        <w:tblPrEx>
          <w:tblCellMar>
            <w:top w:w="0" w:type="dxa"/>
            <w:left w:w="0" w:type="dxa"/>
            <w:bottom w:w="0" w:type="dxa"/>
            <w:right w:w="0" w:type="dxa"/>
          </w:tblCellMar>
        </w:tblPrEx>
        <w:trPr>
          <w:wBefore w:w="0" w:type="auto"/>
          <w:tblCellSpacing w:w="0" w:type="dxa"/>
        </w:trPr>
        <w:tc>
          <w:tcPr>
            <w:tcW w:w="0" w:type="auto"/>
            <w:noWrap w:val="0"/>
            <w:vAlign w:val="center"/>
          </w:tcPr>
          <w:p w14:paraId="7BE0B01D">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物品同贮同运。装卸时，注意轻拿轻放，禁止说笑打闹、吃、喝、抽烟；运输时要防潮防晒。</w:t>
            </w:r>
          </w:p>
        </w:tc>
      </w:tr>
      <w:tr w14:paraId="350662A6">
        <w:tblPrEx>
          <w:tblCellMar>
            <w:top w:w="0" w:type="dxa"/>
            <w:left w:w="0" w:type="dxa"/>
            <w:bottom w:w="0" w:type="dxa"/>
            <w:right w:w="0" w:type="dxa"/>
          </w:tblCellMar>
        </w:tblPrEx>
        <w:trPr>
          <w:wBefore w:w="0" w:type="auto"/>
          <w:tblCellSpacing w:w="0" w:type="dxa"/>
        </w:trPr>
        <w:tc>
          <w:tcPr>
            <w:tcW w:w="0" w:type="auto"/>
            <w:noWrap w:val="0"/>
            <w:vAlign w:val="center"/>
          </w:tcPr>
          <w:p w14:paraId="330CD374">
            <w:r>
              <w:rPr>
                <w:rStyle w:val="10"/>
                <w:rFonts w:hint="eastAsia"/>
              </w:rPr>
              <w:t>质量保证期：</w:t>
            </w:r>
            <w:r>
              <w:rPr>
                <w:rStyle w:val="11"/>
                <w:rFonts w:hint="eastAsia"/>
              </w:rPr>
              <w:t>2年</w:t>
            </w:r>
          </w:p>
        </w:tc>
      </w:tr>
      <w:tr w14:paraId="6B00A179">
        <w:tblPrEx>
          <w:tblCellMar>
            <w:top w:w="0" w:type="dxa"/>
            <w:left w:w="0" w:type="dxa"/>
            <w:bottom w:w="0" w:type="dxa"/>
            <w:right w:w="0" w:type="dxa"/>
          </w:tblCellMar>
        </w:tblPrEx>
        <w:trPr>
          <w:wBefore w:w="0" w:type="auto"/>
          <w:tblCellSpacing w:w="0" w:type="dxa"/>
        </w:trPr>
        <w:tc>
          <w:tcPr>
            <w:tcW w:w="0" w:type="auto"/>
            <w:noWrap w:val="0"/>
            <w:vAlign w:val="center"/>
          </w:tcPr>
          <w:p w14:paraId="58D85E95">
            <w:r>
              <w:rPr>
                <w:rStyle w:val="10"/>
                <w:rFonts w:hint="eastAsia"/>
              </w:rPr>
              <w:t>备注：</w:t>
            </w:r>
          </w:p>
        </w:tc>
      </w:tr>
    </w:tbl>
    <w:p w14:paraId="764744E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49D44E">
        <w:tblPrEx>
          <w:tblCellMar>
            <w:top w:w="0" w:type="dxa"/>
            <w:left w:w="0" w:type="dxa"/>
            <w:bottom w:w="0" w:type="dxa"/>
            <w:right w:w="0" w:type="dxa"/>
          </w:tblCellMar>
        </w:tblPrEx>
        <w:trPr>
          <w:wBefore w:w="0" w:type="auto"/>
          <w:tblCellSpacing w:w="0" w:type="dxa"/>
        </w:trPr>
        <w:tc>
          <w:tcPr>
            <w:tcW w:w="0" w:type="auto"/>
            <w:noWrap w:val="0"/>
            <w:vAlign w:val="center"/>
          </w:tcPr>
          <w:p w14:paraId="4F3FDE02">
            <w:r>
              <w:rPr>
                <w:rStyle w:val="10"/>
                <w:rFonts w:hint="eastAsia"/>
              </w:rPr>
              <w:t>登记证号：</w:t>
            </w:r>
            <w:r>
              <w:rPr>
                <w:rFonts w:hint="eastAsia"/>
              </w:rPr>
              <w:t>PD20211773</w:t>
            </w:r>
          </w:p>
        </w:tc>
      </w:tr>
      <w:tr w14:paraId="46289715">
        <w:tblPrEx>
          <w:tblCellMar>
            <w:top w:w="0" w:type="dxa"/>
            <w:left w:w="0" w:type="dxa"/>
            <w:bottom w:w="0" w:type="dxa"/>
            <w:right w:w="0" w:type="dxa"/>
          </w:tblCellMar>
        </w:tblPrEx>
        <w:trPr>
          <w:wBefore w:w="0" w:type="auto"/>
          <w:tblCellSpacing w:w="0" w:type="dxa"/>
        </w:trPr>
        <w:tc>
          <w:tcPr>
            <w:tcW w:w="0" w:type="auto"/>
            <w:noWrap w:val="0"/>
            <w:vAlign w:val="center"/>
          </w:tcPr>
          <w:p w14:paraId="239CA8F7">
            <w:r>
              <w:rPr>
                <w:rStyle w:val="10"/>
                <w:rFonts w:hint="eastAsia"/>
              </w:rPr>
              <w:t>登记证持有人：</w:t>
            </w:r>
            <w:r>
              <w:rPr>
                <w:rFonts w:hint="eastAsia"/>
              </w:rPr>
              <w:t>山东省青岛金尔农化研制开发有限公司</w:t>
            </w:r>
          </w:p>
        </w:tc>
      </w:tr>
      <w:tr w14:paraId="133B5B0F">
        <w:tblPrEx>
          <w:tblCellMar>
            <w:top w:w="0" w:type="dxa"/>
            <w:left w:w="0" w:type="dxa"/>
            <w:bottom w:w="0" w:type="dxa"/>
            <w:right w:w="0" w:type="dxa"/>
          </w:tblCellMar>
        </w:tblPrEx>
        <w:trPr>
          <w:wBefore w:w="0" w:type="auto"/>
          <w:tblCellSpacing w:w="0" w:type="dxa"/>
        </w:trPr>
        <w:tc>
          <w:tcPr>
            <w:tcW w:w="0" w:type="auto"/>
            <w:noWrap w:val="0"/>
            <w:vAlign w:val="center"/>
          </w:tcPr>
          <w:p w14:paraId="68129BC9">
            <w:r>
              <w:rPr>
                <w:rStyle w:val="10"/>
                <w:rFonts w:hint="eastAsia"/>
              </w:rPr>
              <w:t>农药名称：</w:t>
            </w:r>
            <w:r>
              <w:rPr>
                <w:rFonts w:hint="eastAsia"/>
              </w:rPr>
              <w:t>螺螨酯·虱螨脲</w:t>
            </w:r>
          </w:p>
        </w:tc>
      </w:tr>
      <w:tr w14:paraId="57933A49">
        <w:tblPrEx>
          <w:tblCellMar>
            <w:top w:w="0" w:type="dxa"/>
            <w:left w:w="0" w:type="dxa"/>
            <w:bottom w:w="0" w:type="dxa"/>
            <w:right w:w="0" w:type="dxa"/>
          </w:tblCellMar>
        </w:tblPrEx>
        <w:trPr>
          <w:wBefore w:w="0" w:type="auto"/>
          <w:tblCellSpacing w:w="0" w:type="dxa"/>
        </w:trPr>
        <w:tc>
          <w:tcPr>
            <w:tcW w:w="0" w:type="auto"/>
            <w:noWrap w:val="0"/>
            <w:vAlign w:val="center"/>
          </w:tcPr>
          <w:p w14:paraId="69CC8B78">
            <w:r>
              <w:rPr>
                <w:rStyle w:val="10"/>
                <w:rFonts w:hint="eastAsia"/>
              </w:rPr>
              <w:t>剂型：</w:t>
            </w:r>
            <w:r>
              <w:rPr>
                <w:rFonts w:hint="eastAsia"/>
              </w:rPr>
              <w:t>悬浮剂</w:t>
            </w:r>
          </w:p>
        </w:tc>
      </w:tr>
      <w:tr w14:paraId="4937F1E8">
        <w:tblPrEx>
          <w:tblCellMar>
            <w:top w:w="0" w:type="dxa"/>
            <w:left w:w="0" w:type="dxa"/>
            <w:bottom w:w="0" w:type="dxa"/>
            <w:right w:w="0" w:type="dxa"/>
          </w:tblCellMar>
        </w:tblPrEx>
        <w:trPr>
          <w:wBefore w:w="0" w:type="auto"/>
          <w:tblCellSpacing w:w="0" w:type="dxa"/>
        </w:trPr>
        <w:tc>
          <w:tcPr>
            <w:tcW w:w="0" w:type="auto"/>
            <w:noWrap w:val="0"/>
            <w:vAlign w:val="center"/>
          </w:tcPr>
          <w:p w14:paraId="26821202">
            <w:r>
              <w:rPr>
                <w:rStyle w:val="10"/>
                <w:rFonts w:hint="eastAsia"/>
              </w:rPr>
              <w:t>毒性及其标识：</w:t>
            </w:r>
            <w:r>
              <w:rPr>
                <w:rFonts w:hint="eastAsia"/>
              </w:rPr>
              <w:t xml:space="preserve"> 微毒 </w:t>
            </w:r>
          </w:p>
        </w:tc>
      </w:tr>
      <w:tr w14:paraId="7332FD71">
        <w:tblPrEx>
          <w:tblCellMar>
            <w:top w:w="0" w:type="dxa"/>
            <w:left w:w="0" w:type="dxa"/>
            <w:bottom w:w="0" w:type="dxa"/>
            <w:right w:w="0" w:type="dxa"/>
          </w:tblCellMar>
        </w:tblPrEx>
        <w:trPr>
          <w:wBefore w:w="0" w:type="auto"/>
          <w:tblCellSpacing w:w="0" w:type="dxa"/>
        </w:trPr>
        <w:tc>
          <w:tcPr>
            <w:tcW w:w="0" w:type="auto"/>
            <w:noWrap w:val="0"/>
            <w:vAlign w:val="center"/>
          </w:tcPr>
          <w:p w14:paraId="70D5E1E2">
            <w:r>
              <w:rPr>
                <w:rStyle w:val="10"/>
                <w:rFonts w:hint="eastAsia"/>
              </w:rPr>
              <w:t>总有效成分含量：</w:t>
            </w:r>
            <w:r>
              <w:rPr>
                <w:rFonts w:hint="eastAsia"/>
              </w:rPr>
              <w:t>40%</w:t>
            </w:r>
          </w:p>
        </w:tc>
      </w:tr>
      <w:tr w14:paraId="54FB7C90">
        <w:tblPrEx>
          <w:tblCellMar>
            <w:top w:w="0" w:type="dxa"/>
            <w:left w:w="0" w:type="dxa"/>
            <w:bottom w:w="0" w:type="dxa"/>
            <w:right w:w="0" w:type="dxa"/>
          </w:tblCellMar>
        </w:tblPrEx>
        <w:trPr>
          <w:wBefore w:w="0" w:type="auto"/>
          <w:tblCellSpacing w:w="0" w:type="dxa"/>
        </w:trPr>
        <w:tc>
          <w:tcPr>
            <w:tcW w:w="0" w:type="auto"/>
            <w:noWrap w:val="0"/>
            <w:vAlign w:val="center"/>
          </w:tcPr>
          <w:p w14:paraId="6523CD14">
            <w:r>
              <w:rPr>
                <w:rFonts w:hint="eastAsia"/>
              </w:rPr>
              <w:t xml:space="preserve">有效成分及其含量： </w:t>
            </w:r>
          </w:p>
          <w:p w14:paraId="39A6300E">
            <w:r>
              <w:rPr>
                <w:rFonts w:hint="eastAsia"/>
              </w:rPr>
              <w:t xml:space="preserve">    虱螨脲15%    螺螨酯25%    </w:t>
            </w:r>
          </w:p>
        </w:tc>
      </w:tr>
      <w:tr w14:paraId="73B42A35">
        <w:tblPrEx>
          <w:tblCellMar>
            <w:top w:w="0" w:type="dxa"/>
            <w:left w:w="0" w:type="dxa"/>
            <w:bottom w:w="0" w:type="dxa"/>
            <w:right w:w="0" w:type="dxa"/>
          </w:tblCellMar>
        </w:tblPrEx>
        <w:trPr>
          <w:wBefore w:w="0" w:type="auto"/>
          <w:tblCellSpacing w:w="0" w:type="dxa"/>
        </w:trPr>
        <w:tc>
          <w:tcPr>
            <w:tcW w:w="0" w:type="auto"/>
            <w:noWrap w:val="0"/>
            <w:vAlign w:val="center"/>
          </w:tcPr>
          <w:p w14:paraId="50967EC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3AE00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1F3984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0D5B3E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369FC9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63D17FE">
                  <w:r>
                    <w:rPr>
                      <w:rStyle w:val="11"/>
                      <w:rFonts w:hint="eastAsia"/>
                    </w:rPr>
                    <w:t>施用方式</w:t>
                  </w:r>
                </w:p>
              </w:tc>
            </w:tr>
            <w:tr w14:paraId="1E6748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B904A8B">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EDC087">
                  <w:r>
                    <w:rPr>
                      <w:rStyle w:val="11"/>
                      <w:rFonts w:hint="eastAsia"/>
                    </w:rPr>
                    <w:t>锈壁虱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A4E16F">
                  <w:r>
                    <w:rPr>
                      <w:rStyle w:val="11"/>
                      <w:rFonts w:hint="eastAsia"/>
                    </w:rPr>
                    <w:t>8000-10000倍液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B6B0AF">
                  <w:r>
                    <w:rPr>
                      <w:rStyle w:val="11"/>
                      <w:rFonts w:hint="eastAsia"/>
                    </w:rPr>
                    <w:t>喷雾</w:t>
                  </w:r>
                </w:p>
              </w:tc>
            </w:tr>
          </w:tbl>
          <w:p w14:paraId="3784F9F1">
            <w:pPr>
              <w:rPr>
                <w:rFonts w:ascii="Times New Roman" w:hAnsi="Times New Roman" w:cs="Times New Roman"/>
                <w:sz w:val="20"/>
                <w:szCs w:val="20"/>
              </w:rPr>
            </w:pPr>
          </w:p>
        </w:tc>
      </w:tr>
      <w:tr w14:paraId="05B50DD6">
        <w:tblPrEx>
          <w:tblCellMar>
            <w:top w:w="0" w:type="dxa"/>
            <w:left w:w="0" w:type="dxa"/>
            <w:bottom w:w="0" w:type="dxa"/>
            <w:right w:w="0" w:type="dxa"/>
          </w:tblCellMar>
        </w:tblPrEx>
        <w:trPr>
          <w:wBefore w:w="0" w:type="auto"/>
          <w:tblCellSpacing w:w="0" w:type="dxa"/>
        </w:trPr>
        <w:tc>
          <w:tcPr>
            <w:tcW w:w="0" w:type="auto"/>
            <w:noWrap w:val="0"/>
            <w:vAlign w:val="center"/>
          </w:tcPr>
          <w:p w14:paraId="5BF57E1C">
            <w:r>
              <w:rPr>
                <w:rStyle w:val="10"/>
                <w:rFonts w:hint="eastAsia"/>
              </w:rPr>
              <w:t>使用技术要求:</w:t>
            </w:r>
            <w:r>
              <w:rPr>
                <w:rFonts w:hint="eastAsia"/>
              </w:rPr>
              <w:br w:type="textWrapping"/>
            </w:r>
            <w:r>
              <w:rPr>
                <w:rStyle w:val="11"/>
                <w:rFonts w:hint="eastAsia"/>
              </w:rPr>
              <w:t>1.在柑橘树锈壁虱发生初期，在推荐剂量下兑水均匀喷雾施药1次。2.施药时，药量和水量要充足，叶面、叶背应均匀喷布，尤其是树冠下部、内膛和果实的背阴面，都要喷施周到，以确保防治效果。3.大风天或预计1小时内有雨，请勿施药。4.本品在柑橘上使用的安全间隔期为28天，每季作物最多使用次数为1次。</w:t>
            </w:r>
          </w:p>
        </w:tc>
      </w:tr>
      <w:tr w14:paraId="2E915E82">
        <w:tblPrEx>
          <w:tblCellMar>
            <w:top w:w="0" w:type="dxa"/>
            <w:left w:w="0" w:type="dxa"/>
            <w:bottom w:w="0" w:type="dxa"/>
            <w:right w:w="0" w:type="dxa"/>
          </w:tblCellMar>
        </w:tblPrEx>
        <w:trPr>
          <w:wBefore w:w="0" w:type="auto"/>
          <w:tblCellSpacing w:w="0" w:type="dxa"/>
        </w:trPr>
        <w:tc>
          <w:tcPr>
            <w:tcW w:w="0" w:type="auto"/>
            <w:noWrap w:val="0"/>
            <w:vAlign w:val="center"/>
          </w:tcPr>
          <w:p w14:paraId="6C7ED738">
            <w:r>
              <w:rPr>
                <w:rStyle w:val="10"/>
                <w:rFonts w:hint="eastAsia"/>
              </w:rPr>
              <w:t>产品性能:</w:t>
            </w:r>
            <w:r>
              <w:rPr>
                <w:rFonts w:hint="eastAsia"/>
              </w:rPr>
              <w:br w:type="textWrapping"/>
            </w:r>
            <w:r>
              <w:rPr>
                <w:rStyle w:val="11"/>
                <w:rFonts w:hint="eastAsia"/>
              </w:rPr>
              <w:t>本品是虱螨脲和螺螨酯复配而成。虱螨脲作用机理是通过抑制昆虫几丁质的生物合成，阻止昆虫表皮形成而起到杀虫作用，不但杀卵也可作用成虫降低产卵量和卵孵化率，兼具胃毒和触杀作用，渗透性强，持效期长，杀卵效果好。螺螨酯主要通过触杀和胃毒作用防治卵、若螨和雌成螨，其作用机制为抑制害螨体内脂肪合成、阻断能量代谢，对不同发育阶段的害螨（雄性成螨除外）均有较好防效。用于柑橘锈壁虱有较好的防治效果。</w:t>
            </w:r>
          </w:p>
        </w:tc>
      </w:tr>
      <w:tr w14:paraId="17B2F26D">
        <w:tblPrEx>
          <w:tblCellMar>
            <w:top w:w="0" w:type="dxa"/>
            <w:left w:w="0" w:type="dxa"/>
            <w:bottom w:w="0" w:type="dxa"/>
            <w:right w:w="0" w:type="dxa"/>
          </w:tblCellMar>
        </w:tblPrEx>
        <w:trPr>
          <w:wBefore w:w="0" w:type="auto"/>
          <w:tblCellSpacing w:w="0" w:type="dxa"/>
        </w:trPr>
        <w:tc>
          <w:tcPr>
            <w:tcW w:w="0" w:type="auto"/>
            <w:noWrap w:val="0"/>
            <w:vAlign w:val="center"/>
          </w:tcPr>
          <w:p w14:paraId="751C98E9">
            <w:r>
              <w:rPr>
                <w:rStyle w:val="10"/>
                <w:rFonts w:hint="eastAsia"/>
              </w:rPr>
              <w:t>注意事项：</w:t>
            </w:r>
            <w:r>
              <w:rPr>
                <w:rFonts w:hint="eastAsia"/>
              </w:rPr>
              <w:br w:type="textWrapping"/>
            </w:r>
            <w:r>
              <w:rPr>
                <w:rStyle w:val="11"/>
                <w:rFonts w:hint="eastAsia"/>
              </w:rPr>
              <w:t>1.本品不可与呈碱性的农药等物质混合使用。2.使用本品时应穿戴防护服和手套，避免吸入药液，施药期间不可吃东西和饮水，施药后应及时洗手和洗脸。3. 本品对蜜蜂、鱼类等水生生物、家蚕有毒，施药期间应密切关注对周围蜂群的影响，禁止在开花植物花期、蚕室和桑园附近使用；远离水产养殖区、河塘等水体施药；赤眼蜂等天敌放飞区域禁用。4.禁止在河塘等水体中清洗施药器具，药液及其废液不得污染各类水域、土壤等环境。5.用过的容器应妥善处理，不可做他用，也不可随意丢弃。6.孕妇和哺乳期妇女避免接触本品。7.建议与其他作用机制不同的杀菌剂轮换使用。</w:t>
            </w:r>
          </w:p>
        </w:tc>
      </w:tr>
      <w:tr w14:paraId="2CEFCF56">
        <w:tblPrEx>
          <w:tblCellMar>
            <w:top w:w="0" w:type="dxa"/>
            <w:left w:w="0" w:type="dxa"/>
            <w:bottom w:w="0" w:type="dxa"/>
            <w:right w:w="0" w:type="dxa"/>
          </w:tblCellMar>
        </w:tblPrEx>
        <w:trPr>
          <w:wBefore w:w="0" w:type="auto"/>
          <w:tblCellSpacing w:w="0" w:type="dxa"/>
        </w:trPr>
        <w:tc>
          <w:tcPr>
            <w:tcW w:w="0" w:type="auto"/>
            <w:noWrap w:val="0"/>
            <w:vAlign w:val="center"/>
          </w:tcPr>
          <w:p w14:paraId="1EF52860">
            <w:r>
              <w:rPr>
                <w:rStyle w:val="10"/>
                <w:rFonts w:hint="eastAsia"/>
              </w:rPr>
              <w:t>中毒急救措施：</w:t>
            </w:r>
            <w:r>
              <w:rPr>
                <w:rFonts w:hint="eastAsia"/>
              </w:rPr>
              <w:br w:type="textWrapping"/>
            </w:r>
            <w:r>
              <w:rPr>
                <w:rStyle w:val="11"/>
                <w:rFonts w:hint="eastAsia"/>
              </w:rPr>
              <w:t>对眼睛有刺激性，使用时避免接触眼睛。 急救措施：使用中或使用后如果感到不适，应立即停止工作，采取急救措施，并携带标签送医院就诊。1.皮肤接触：若本产品溅到皮肤上，应以大量清水冲洗；2.本品对眼睛有轻度刺激性，眼睛溅入：立即用清水冲洗至少15分钟；3.吸入：应移至空气新鲜处；4.误食：经口误服者应立即催吐，并送医院诊治，进行对症治疗。</w:t>
            </w:r>
          </w:p>
        </w:tc>
      </w:tr>
      <w:tr w14:paraId="4DD05ABB">
        <w:tblPrEx>
          <w:tblCellMar>
            <w:top w:w="0" w:type="dxa"/>
            <w:left w:w="0" w:type="dxa"/>
            <w:bottom w:w="0" w:type="dxa"/>
            <w:right w:w="0" w:type="dxa"/>
          </w:tblCellMar>
        </w:tblPrEx>
        <w:trPr>
          <w:wBefore w:w="0" w:type="auto"/>
          <w:tblCellSpacing w:w="0" w:type="dxa"/>
        </w:trPr>
        <w:tc>
          <w:tcPr>
            <w:tcW w:w="0" w:type="auto"/>
            <w:noWrap w:val="0"/>
            <w:vAlign w:val="center"/>
          </w:tcPr>
          <w:p w14:paraId="30836037">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本品应贮存在干燥、阴凉、通风、防雨处，远离火源或热源。置于儿童、无关人员触及不到之处，并加锁保存。勿与食品、饮料、粮食、饲料等其他商品同贮同运。</w:t>
            </w:r>
          </w:p>
        </w:tc>
      </w:tr>
      <w:tr w14:paraId="0A748B43">
        <w:tblPrEx>
          <w:tblCellMar>
            <w:top w:w="0" w:type="dxa"/>
            <w:left w:w="0" w:type="dxa"/>
            <w:bottom w:w="0" w:type="dxa"/>
            <w:right w:w="0" w:type="dxa"/>
          </w:tblCellMar>
        </w:tblPrEx>
        <w:trPr>
          <w:wBefore w:w="0" w:type="auto"/>
          <w:tblCellSpacing w:w="0" w:type="dxa"/>
        </w:trPr>
        <w:tc>
          <w:tcPr>
            <w:tcW w:w="0" w:type="auto"/>
            <w:noWrap w:val="0"/>
            <w:vAlign w:val="center"/>
          </w:tcPr>
          <w:p w14:paraId="18095AB0">
            <w:r>
              <w:rPr>
                <w:rStyle w:val="10"/>
                <w:rFonts w:hint="eastAsia"/>
              </w:rPr>
              <w:t>质量保证期：</w:t>
            </w:r>
            <w:r>
              <w:rPr>
                <w:rStyle w:val="11"/>
                <w:rFonts w:hint="eastAsia"/>
              </w:rPr>
              <w:t>2年</w:t>
            </w:r>
          </w:p>
        </w:tc>
      </w:tr>
      <w:tr w14:paraId="0AA2E2C9">
        <w:tblPrEx>
          <w:tblCellMar>
            <w:top w:w="0" w:type="dxa"/>
            <w:left w:w="0" w:type="dxa"/>
            <w:bottom w:w="0" w:type="dxa"/>
            <w:right w:w="0" w:type="dxa"/>
          </w:tblCellMar>
        </w:tblPrEx>
        <w:trPr>
          <w:wBefore w:w="0" w:type="auto"/>
          <w:tblCellSpacing w:w="0" w:type="dxa"/>
        </w:trPr>
        <w:tc>
          <w:tcPr>
            <w:tcW w:w="0" w:type="auto"/>
            <w:noWrap w:val="0"/>
            <w:vAlign w:val="center"/>
          </w:tcPr>
          <w:p w14:paraId="082C7A18">
            <w:r>
              <w:rPr>
                <w:rStyle w:val="10"/>
                <w:rFonts w:hint="eastAsia"/>
              </w:rPr>
              <w:t>备注：</w:t>
            </w:r>
          </w:p>
        </w:tc>
      </w:tr>
    </w:tbl>
    <w:p w14:paraId="5013DB6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9CD9FD">
        <w:tblPrEx>
          <w:tblCellMar>
            <w:top w:w="0" w:type="dxa"/>
            <w:left w:w="0" w:type="dxa"/>
            <w:bottom w:w="0" w:type="dxa"/>
            <w:right w:w="0" w:type="dxa"/>
          </w:tblCellMar>
        </w:tblPrEx>
        <w:trPr>
          <w:wBefore w:w="0" w:type="auto"/>
          <w:tblCellSpacing w:w="0" w:type="dxa"/>
        </w:trPr>
        <w:tc>
          <w:tcPr>
            <w:tcW w:w="0" w:type="auto"/>
            <w:noWrap w:val="0"/>
            <w:vAlign w:val="center"/>
          </w:tcPr>
          <w:p w14:paraId="5712D3EB">
            <w:r>
              <w:rPr>
                <w:rStyle w:val="10"/>
                <w:rFonts w:hint="eastAsia"/>
              </w:rPr>
              <w:t>登记证号：</w:t>
            </w:r>
            <w:r>
              <w:rPr>
                <w:rFonts w:hint="eastAsia"/>
              </w:rPr>
              <w:t>PD20212090</w:t>
            </w:r>
          </w:p>
        </w:tc>
      </w:tr>
      <w:tr w14:paraId="1928C391">
        <w:tblPrEx>
          <w:tblCellMar>
            <w:top w:w="0" w:type="dxa"/>
            <w:left w:w="0" w:type="dxa"/>
            <w:bottom w:w="0" w:type="dxa"/>
            <w:right w:w="0" w:type="dxa"/>
          </w:tblCellMar>
        </w:tblPrEx>
        <w:trPr>
          <w:wBefore w:w="0" w:type="auto"/>
          <w:tblCellSpacing w:w="0" w:type="dxa"/>
        </w:trPr>
        <w:tc>
          <w:tcPr>
            <w:tcW w:w="0" w:type="auto"/>
            <w:noWrap w:val="0"/>
            <w:vAlign w:val="center"/>
          </w:tcPr>
          <w:p w14:paraId="0F3D4C78">
            <w:r>
              <w:rPr>
                <w:rStyle w:val="10"/>
                <w:rFonts w:hint="eastAsia"/>
              </w:rPr>
              <w:t>登记证持有人：</w:t>
            </w:r>
            <w:r>
              <w:rPr>
                <w:rFonts w:hint="eastAsia"/>
              </w:rPr>
              <w:t>四川润尔科技有限公司</w:t>
            </w:r>
          </w:p>
        </w:tc>
      </w:tr>
      <w:tr w14:paraId="068F22E3">
        <w:tblPrEx>
          <w:tblCellMar>
            <w:top w:w="0" w:type="dxa"/>
            <w:left w:w="0" w:type="dxa"/>
            <w:bottom w:w="0" w:type="dxa"/>
            <w:right w:w="0" w:type="dxa"/>
          </w:tblCellMar>
        </w:tblPrEx>
        <w:trPr>
          <w:wBefore w:w="0" w:type="auto"/>
          <w:tblCellSpacing w:w="0" w:type="dxa"/>
        </w:trPr>
        <w:tc>
          <w:tcPr>
            <w:tcW w:w="0" w:type="auto"/>
            <w:noWrap w:val="0"/>
            <w:vAlign w:val="center"/>
          </w:tcPr>
          <w:p w14:paraId="22EBB07C">
            <w:r>
              <w:rPr>
                <w:rStyle w:val="10"/>
                <w:rFonts w:hint="eastAsia"/>
              </w:rPr>
              <w:t>农药名称：</w:t>
            </w:r>
            <w:r>
              <w:rPr>
                <w:rFonts w:hint="eastAsia"/>
              </w:rPr>
              <w:t>草甘膦乙二胺盐</w:t>
            </w:r>
          </w:p>
        </w:tc>
      </w:tr>
      <w:tr w14:paraId="25222CBE">
        <w:tblPrEx>
          <w:tblCellMar>
            <w:top w:w="0" w:type="dxa"/>
            <w:left w:w="0" w:type="dxa"/>
            <w:bottom w:w="0" w:type="dxa"/>
            <w:right w:w="0" w:type="dxa"/>
          </w:tblCellMar>
        </w:tblPrEx>
        <w:trPr>
          <w:wBefore w:w="0" w:type="auto"/>
          <w:tblCellSpacing w:w="0" w:type="dxa"/>
        </w:trPr>
        <w:tc>
          <w:tcPr>
            <w:tcW w:w="0" w:type="auto"/>
            <w:noWrap w:val="0"/>
            <w:vAlign w:val="center"/>
          </w:tcPr>
          <w:p w14:paraId="270E1B1D">
            <w:r>
              <w:rPr>
                <w:rStyle w:val="10"/>
                <w:rFonts w:hint="eastAsia"/>
              </w:rPr>
              <w:t>剂型：</w:t>
            </w:r>
            <w:r>
              <w:rPr>
                <w:rFonts w:hint="eastAsia"/>
              </w:rPr>
              <w:t>可溶液剂</w:t>
            </w:r>
          </w:p>
        </w:tc>
      </w:tr>
      <w:tr w14:paraId="2E505C0B">
        <w:tblPrEx>
          <w:tblCellMar>
            <w:top w:w="0" w:type="dxa"/>
            <w:left w:w="0" w:type="dxa"/>
            <w:bottom w:w="0" w:type="dxa"/>
            <w:right w:w="0" w:type="dxa"/>
          </w:tblCellMar>
        </w:tblPrEx>
        <w:trPr>
          <w:wBefore w:w="0" w:type="auto"/>
          <w:tblCellSpacing w:w="0" w:type="dxa"/>
        </w:trPr>
        <w:tc>
          <w:tcPr>
            <w:tcW w:w="0" w:type="auto"/>
            <w:noWrap w:val="0"/>
            <w:vAlign w:val="center"/>
          </w:tcPr>
          <w:p w14:paraId="7400D3D7">
            <w:r>
              <w:rPr>
                <w:rStyle w:val="10"/>
                <w:rFonts w:hint="eastAsia"/>
              </w:rPr>
              <w:t>毒性及其标识：</w:t>
            </w:r>
            <w:r>
              <w:rPr>
                <w:rFonts w:hint="eastAsia"/>
              </w:rPr>
              <w:t xml:space="preserve"> 微毒 </w:t>
            </w:r>
          </w:p>
        </w:tc>
      </w:tr>
      <w:tr w14:paraId="1696FA33">
        <w:tblPrEx>
          <w:tblCellMar>
            <w:top w:w="0" w:type="dxa"/>
            <w:left w:w="0" w:type="dxa"/>
            <w:bottom w:w="0" w:type="dxa"/>
            <w:right w:w="0" w:type="dxa"/>
          </w:tblCellMar>
        </w:tblPrEx>
        <w:trPr>
          <w:wBefore w:w="0" w:type="auto"/>
          <w:tblCellSpacing w:w="0" w:type="dxa"/>
        </w:trPr>
        <w:tc>
          <w:tcPr>
            <w:tcW w:w="0" w:type="auto"/>
            <w:noWrap w:val="0"/>
            <w:vAlign w:val="center"/>
          </w:tcPr>
          <w:p w14:paraId="4E1726CE">
            <w:r>
              <w:rPr>
                <w:rStyle w:val="10"/>
                <w:rFonts w:hint="eastAsia"/>
              </w:rPr>
              <w:t>总有效成分含量：</w:t>
            </w:r>
            <w:r>
              <w:rPr>
                <w:rFonts w:hint="eastAsia"/>
              </w:rPr>
              <w:t>35%</w:t>
            </w:r>
          </w:p>
        </w:tc>
      </w:tr>
      <w:tr w14:paraId="2D903E92">
        <w:tblPrEx>
          <w:tblCellMar>
            <w:top w:w="0" w:type="dxa"/>
            <w:left w:w="0" w:type="dxa"/>
            <w:bottom w:w="0" w:type="dxa"/>
            <w:right w:w="0" w:type="dxa"/>
          </w:tblCellMar>
        </w:tblPrEx>
        <w:trPr>
          <w:wBefore w:w="0" w:type="auto"/>
          <w:tblCellSpacing w:w="0" w:type="dxa"/>
        </w:trPr>
        <w:tc>
          <w:tcPr>
            <w:tcW w:w="0" w:type="auto"/>
            <w:noWrap w:val="0"/>
            <w:vAlign w:val="center"/>
          </w:tcPr>
          <w:p w14:paraId="7B1B87CC">
            <w:r>
              <w:rPr>
                <w:rFonts w:hint="eastAsia"/>
              </w:rPr>
              <w:t xml:space="preserve">有效成分及其含量： </w:t>
            </w:r>
          </w:p>
          <w:p w14:paraId="52A6E7AC">
            <w:r>
              <w:rPr>
                <w:rFonts w:hint="eastAsia"/>
              </w:rPr>
              <w:t xml:space="preserve">    草甘膦35%    </w:t>
            </w:r>
          </w:p>
        </w:tc>
      </w:tr>
      <w:tr w14:paraId="22E6B2B1">
        <w:tblPrEx>
          <w:tblCellMar>
            <w:top w:w="0" w:type="dxa"/>
            <w:left w:w="0" w:type="dxa"/>
            <w:bottom w:w="0" w:type="dxa"/>
            <w:right w:w="0" w:type="dxa"/>
          </w:tblCellMar>
        </w:tblPrEx>
        <w:trPr>
          <w:wBefore w:w="0" w:type="auto"/>
          <w:tblCellSpacing w:w="0" w:type="dxa"/>
        </w:trPr>
        <w:tc>
          <w:tcPr>
            <w:tcW w:w="0" w:type="auto"/>
            <w:noWrap w:val="0"/>
            <w:vAlign w:val="center"/>
          </w:tcPr>
          <w:p w14:paraId="59CA74E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DFE5E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E27E98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C81861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AF1A44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F3235BD">
                  <w:r>
                    <w:rPr>
                      <w:rStyle w:val="11"/>
                      <w:rFonts w:hint="eastAsia"/>
                    </w:rPr>
                    <w:t>施用方式</w:t>
                  </w:r>
                </w:p>
              </w:tc>
            </w:tr>
            <w:tr w14:paraId="1916C3A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9832A07">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1E29F4">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C45376">
                  <w:r>
                    <w:rPr>
                      <w:rStyle w:val="11"/>
                      <w:rFonts w:hint="eastAsia"/>
                    </w:rPr>
                    <w:t>220-400毫升/亩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4685E4">
                  <w:r>
                    <w:rPr>
                      <w:rStyle w:val="11"/>
                      <w:rFonts w:hint="eastAsia"/>
                    </w:rPr>
                    <w:t>茎叶喷雾</w:t>
                  </w:r>
                </w:p>
              </w:tc>
            </w:tr>
          </w:tbl>
          <w:p w14:paraId="396C716C">
            <w:pPr>
              <w:rPr>
                <w:rFonts w:ascii="Times New Roman" w:hAnsi="Times New Roman" w:cs="Times New Roman"/>
                <w:sz w:val="20"/>
                <w:szCs w:val="20"/>
              </w:rPr>
            </w:pPr>
          </w:p>
        </w:tc>
      </w:tr>
      <w:tr w14:paraId="2D93A8D7">
        <w:tblPrEx>
          <w:tblCellMar>
            <w:top w:w="0" w:type="dxa"/>
            <w:left w:w="0" w:type="dxa"/>
            <w:bottom w:w="0" w:type="dxa"/>
            <w:right w:w="0" w:type="dxa"/>
          </w:tblCellMar>
        </w:tblPrEx>
        <w:trPr>
          <w:wBefore w:w="0" w:type="auto"/>
          <w:tblCellSpacing w:w="0" w:type="dxa"/>
        </w:trPr>
        <w:tc>
          <w:tcPr>
            <w:tcW w:w="0" w:type="auto"/>
            <w:noWrap w:val="0"/>
            <w:vAlign w:val="center"/>
          </w:tcPr>
          <w:p w14:paraId="11A18C09">
            <w:r>
              <w:rPr>
                <w:rStyle w:val="10"/>
                <w:rFonts w:hint="eastAsia"/>
              </w:rPr>
              <w:t>使用技术要求:</w:t>
            </w:r>
            <w:r>
              <w:rPr>
                <w:rFonts w:hint="eastAsia"/>
              </w:rPr>
              <w:br w:type="textWrapping"/>
            </w:r>
            <w:r>
              <w:rPr>
                <w:rStyle w:val="11"/>
                <w:rFonts w:hint="eastAsia"/>
              </w:rPr>
              <w:t>1.在非耕地杂草生长旺盛期施药，每亩兑水量30-45公斤，定向茎叶喷雾，勿使药液漂移或接触到作物上，以免产生药害。2.大风天或预计1小时内降雨，请勿施药。3.避免飘移药害；禁止在田间道路、田埂、果树行间、休耕地、林场林地等农林业区域使用。</w:t>
            </w:r>
          </w:p>
        </w:tc>
      </w:tr>
      <w:tr w14:paraId="5C9A08F4">
        <w:tblPrEx>
          <w:tblCellMar>
            <w:top w:w="0" w:type="dxa"/>
            <w:left w:w="0" w:type="dxa"/>
            <w:bottom w:w="0" w:type="dxa"/>
            <w:right w:w="0" w:type="dxa"/>
          </w:tblCellMar>
        </w:tblPrEx>
        <w:trPr>
          <w:wBefore w:w="0" w:type="auto"/>
          <w:tblCellSpacing w:w="0" w:type="dxa"/>
        </w:trPr>
        <w:tc>
          <w:tcPr>
            <w:tcW w:w="0" w:type="auto"/>
            <w:noWrap w:val="0"/>
            <w:vAlign w:val="center"/>
          </w:tcPr>
          <w:p w14:paraId="653B0AE9">
            <w:r>
              <w:rPr>
                <w:rStyle w:val="10"/>
                <w:rFonts w:hint="eastAsia"/>
              </w:rPr>
              <w:t>产品性能:</w:t>
            </w:r>
            <w:r>
              <w:rPr>
                <w:rFonts w:hint="eastAsia"/>
              </w:rPr>
              <w:br w:type="textWrapping"/>
            </w:r>
            <w:r>
              <w:rPr>
                <w:rStyle w:val="11"/>
                <w:rFonts w:hint="eastAsia"/>
              </w:rPr>
              <w:t>本品是一种内吸传导型广谱灭生性除草剂，适用于杂草生长旺盛期茎叶喷雾处理，能通过植物绿色部位吸收，并向茎叶根部传导，将杂草连根杀死。对非耕地杂草有较好的防除效果。</w:t>
            </w:r>
          </w:p>
        </w:tc>
      </w:tr>
      <w:tr w14:paraId="3D17B4B0">
        <w:tblPrEx>
          <w:tblCellMar>
            <w:top w:w="0" w:type="dxa"/>
            <w:left w:w="0" w:type="dxa"/>
            <w:bottom w:w="0" w:type="dxa"/>
            <w:right w:w="0" w:type="dxa"/>
          </w:tblCellMar>
        </w:tblPrEx>
        <w:trPr>
          <w:wBefore w:w="0" w:type="auto"/>
          <w:tblCellSpacing w:w="0" w:type="dxa"/>
        </w:trPr>
        <w:tc>
          <w:tcPr>
            <w:tcW w:w="0" w:type="auto"/>
            <w:noWrap w:val="0"/>
            <w:vAlign w:val="center"/>
          </w:tcPr>
          <w:p w14:paraId="09880B2E">
            <w:r>
              <w:rPr>
                <w:rStyle w:val="10"/>
                <w:rFonts w:hint="eastAsia"/>
              </w:rPr>
              <w:t>注意事项：</w:t>
            </w:r>
            <w:r>
              <w:rPr>
                <w:rFonts w:hint="eastAsia"/>
              </w:rPr>
              <w:br w:type="textWrapping"/>
            </w:r>
            <w:r>
              <w:rPr>
                <w:rStyle w:val="11"/>
                <w:rFonts w:hint="eastAsia"/>
              </w:rPr>
              <w:t>1.本品与土壤接触立即失去活性，配药时应使用清水，不宜使用浊水或井水，避免降低药效。2.使用时穿戴长衣、长裤、帽子、口罩、手套等安全防护措施；施药期间不可吃东西、饮水、吸烟等；施药后应及时洗手、洗脸并洗涤施药时穿着的衣物。3.施药后7天内，禁止在施药区放牧、割草、翻地等。4.本品不可用铁器存放，并且并使用无镶衬的铁质喷雾器喷雾。5.蚕室及桑园附近禁用，鸟类保护区附近及其觅食区禁用，对鱼类等水生生物有毒，应避免药液流入河塘等水体中，禁止在河塘等水域中清洗施药器具。6.避免孕妇及哺乳期的妇女接触。7.用过的包装物及未用完的药液不能随意丢弃，也不能做他用，应交当地农业部门或环保部门指定的单位进行回收处理。8.若不按照推荐使用技术和使用方法施用，均可能会对作物产生药害。9.本品能否与其他农药、肥料等产品混用请咨询当地农业技术推广部门，以免混用不当产生药害。</w:t>
            </w:r>
          </w:p>
        </w:tc>
      </w:tr>
      <w:tr w14:paraId="3F16C6B6">
        <w:tblPrEx>
          <w:tblCellMar>
            <w:top w:w="0" w:type="dxa"/>
            <w:left w:w="0" w:type="dxa"/>
            <w:bottom w:w="0" w:type="dxa"/>
            <w:right w:w="0" w:type="dxa"/>
          </w:tblCellMar>
        </w:tblPrEx>
        <w:trPr>
          <w:wBefore w:w="0" w:type="auto"/>
          <w:tblCellSpacing w:w="0" w:type="dxa"/>
        </w:trPr>
        <w:tc>
          <w:tcPr>
            <w:tcW w:w="0" w:type="auto"/>
            <w:noWrap w:val="0"/>
            <w:vAlign w:val="center"/>
          </w:tcPr>
          <w:p w14:paraId="773B6248">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2.皮肤接触：立即脱掉被污染的衣物，用肥皂和大量清水彻底清洗受污染的皮肤。3.眼睛溅药：立即翻开眼睑，用清水冲洗至少15分钟，再送医诊治。4.吸入：立即将吸入者转移到空气清新处，若吸入者停止呼吸，需进行人工呼吸。注意保暖和休息，送医诊治。5.误服：若误服，立即催吐并送医对症治疗，无特效解毒剂。中毒急救电话：中国预防医学科学院中毒控制中心24小时服务电话:010-83132345。</w:t>
            </w:r>
          </w:p>
        </w:tc>
      </w:tr>
      <w:tr w14:paraId="3C101A05">
        <w:tblPrEx>
          <w:tblCellMar>
            <w:top w:w="0" w:type="dxa"/>
            <w:left w:w="0" w:type="dxa"/>
            <w:bottom w:w="0" w:type="dxa"/>
            <w:right w:w="0" w:type="dxa"/>
          </w:tblCellMar>
        </w:tblPrEx>
        <w:trPr>
          <w:wBefore w:w="0" w:type="auto"/>
          <w:tblCellSpacing w:w="0" w:type="dxa"/>
        </w:trPr>
        <w:tc>
          <w:tcPr>
            <w:tcW w:w="0" w:type="auto"/>
            <w:noWrap w:val="0"/>
            <w:vAlign w:val="center"/>
          </w:tcPr>
          <w:p w14:paraId="532BB4CD">
            <w:r>
              <w:rPr>
                <w:rStyle w:val="10"/>
                <w:rFonts w:hint="eastAsia"/>
              </w:rPr>
              <w:t>储存和运输方法：</w:t>
            </w:r>
            <w:r>
              <w:rPr>
                <w:rFonts w:hint="eastAsia"/>
              </w:rPr>
              <w:br w:type="textWrapping"/>
            </w:r>
            <w:r>
              <w:rPr>
                <w:rStyle w:val="11"/>
                <w:rFonts w:hint="eastAsia"/>
              </w:rPr>
              <w:t>本品应贮存在干燥、阴凉、通风、防雨处，远离热源。置于儿童触及不到之处，并加锁。勿与食品、饮料、粮食、饲料等其他商品同贮同运。本品对金属有腐蚀性，贮存和使用时应尽量使用塑料容器。</w:t>
            </w:r>
          </w:p>
        </w:tc>
      </w:tr>
      <w:tr w14:paraId="4CCE8A93">
        <w:tblPrEx>
          <w:tblCellMar>
            <w:top w:w="0" w:type="dxa"/>
            <w:left w:w="0" w:type="dxa"/>
            <w:bottom w:w="0" w:type="dxa"/>
            <w:right w:w="0" w:type="dxa"/>
          </w:tblCellMar>
        </w:tblPrEx>
        <w:trPr>
          <w:wBefore w:w="0" w:type="auto"/>
          <w:tblCellSpacing w:w="0" w:type="dxa"/>
        </w:trPr>
        <w:tc>
          <w:tcPr>
            <w:tcW w:w="0" w:type="auto"/>
            <w:noWrap w:val="0"/>
            <w:vAlign w:val="center"/>
          </w:tcPr>
          <w:p w14:paraId="1499041F">
            <w:r>
              <w:rPr>
                <w:rStyle w:val="10"/>
                <w:rFonts w:hint="eastAsia"/>
              </w:rPr>
              <w:t>质量保证期：</w:t>
            </w:r>
            <w:r>
              <w:rPr>
                <w:rStyle w:val="11"/>
                <w:rFonts w:hint="eastAsia"/>
              </w:rPr>
              <w:t>2年</w:t>
            </w:r>
          </w:p>
        </w:tc>
      </w:tr>
      <w:tr w14:paraId="4864F660">
        <w:tblPrEx>
          <w:tblCellMar>
            <w:top w:w="0" w:type="dxa"/>
            <w:left w:w="0" w:type="dxa"/>
            <w:bottom w:w="0" w:type="dxa"/>
            <w:right w:w="0" w:type="dxa"/>
          </w:tblCellMar>
        </w:tblPrEx>
        <w:trPr>
          <w:wBefore w:w="0" w:type="auto"/>
          <w:tblCellSpacing w:w="0" w:type="dxa"/>
        </w:trPr>
        <w:tc>
          <w:tcPr>
            <w:tcW w:w="0" w:type="auto"/>
            <w:noWrap w:val="0"/>
            <w:vAlign w:val="center"/>
          </w:tcPr>
          <w:p w14:paraId="3D0E3FD1">
            <w:r>
              <w:rPr>
                <w:rStyle w:val="10"/>
                <w:rFonts w:hint="eastAsia"/>
              </w:rPr>
              <w:t>备注：</w:t>
            </w:r>
          </w:p>
        </w:tc>
      </w:tr>
    </w:tbl>
    <w:p w14:paraId="214C56E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F49F634">
        <w:tblPrEx>
          <w:tblCellMar>
            <w:top w:w="0" w:type="dxa"/>
            <w:left w:w="0" w:type="dxa"/>
            <w:bottom w:w="0" w:type="dxa"/>
            <w:right w:w="0" w:type="dxa"/>
          </w:tblCellMar>
        </w:tblPrEx>
        <w:trPr>
          <w:wBefore w:w="0" w:type="auto"/>
          <w:tblCellSpacing w:w="0" w:type="dxa"/>
        </w:trPr>
        <w:tc>
          <w:tcPr>
            <w:tcW w:w="0" w:type="auto"/>
            <w:noWrap w:val="0"/>
            <w:vAlign w:val="center"/>
          </w:tcPr>
          <w:p w14:paraId="7B6DE996">
            <w:r>
              <w:rPr>
                <w:rStyle w:val="10"/>
                <w:rFonts w:hint="eastAsia"/>
              </w:rPr>
              <w:t>登记证号：</w:t>
            </w:r>
            <w:r>
              <w:rPr>
                <w:rFonts w:hint="eastAsia"/>
              </w:rPr>
              <w:t>PD20211705</w:t>
            </w:r>
          </w:p>
        </w:tc>
      </w:tr>
      <w:tr w14:paraId="106A9749">
        <w:tblPrEx>
          <w:tblCellMar>
            <w:top w:w="0" w:type="dxa"/>
            <w:left w:w="0" w:type="dxa"/>
            <w:bottom w:w="0" w:type="dxa"/>
            <w:right w:w="0" w:type="dxa"/>
          </w:tblCellMar>
        </w:tblPrEx>
        <w:trPr>
          <w:wBefore w:w="0" w:type="auto"/>
          <w:tblCellSpacing w:w="0" w:type="dxa"/>
        </w:trPr>
        <w:tc>
          <w:tcPr>
            <w:tcW w:w="0" w:type="auto"/>
            <w:noWrap w:val="0"/>
            <w:vAlign w:val="center"/>
          </w:tcPr>
          <w:p w14:paraId="3102E3EB">
            <w:r>
              <w:rPr>
                <w:rStyle w:val="10"/>
                <w:rFonts w:hint="eastAsia"/>
              </w:rPr>
              <w:t>登记证持有人：</w:t>
            </w:r>
            <w:r>
              <w:rPr>
                <w:rFonts w:hint="eastAsia"/>
              </w:rPr>
              <w:t>江苏克胜集团股份有限公司</w:t>
            </w:r>
          </w:p>
        </w:tc>
      </w:tr>
      <w:tr w14:paraId="223C6AFD">
        <w:tblPrEx>
          <w:tblCellMar>
            <w:top w:w="0" w:type="dxa"/>
            <w:left w:w="0" w:type="dxa"/>
            <w:bottom w:w="0" w:type="dxa"/>
            <w:right w:w="0" w:type="dxa"/>
          </w:tblCellMar>
        </w:tblPrEx>
        <w:trPr>
          <w:wBefore w:w="0" w:type="auto"/>
          <w:tblCellSpacing w:w="0" w:type="dxa"/>
        </w:trPr>
        <w:tc>
          <w:tcPr>
            <w:tcW w:w="0" w:type="auto"/>
            <w:noWrap w:val="0"/>
            <w:vAlign w:val="center"/>
          </w:tcPr>
          <w:p w14:paraId="6432C2A5">
            <w:r>
              <w:rPr>
                <w:rStyle w:val="10"/>
                <w:rFonts w:hint="eastAsia"/>
              </w:rPr>
              <w:t>农药名称：</w:t>
            </w:r>
            <w:r>
              <w:rPr>
                <w:rFonts w:hint="eastAsia"/>
              </w:rPr>
              <w:t>吡唑酯·咯菌腈·噻虫嗪</w:t>
            </w:r>
          </w:p>
        </w:tc>
      </w:tr>
      <w:tr w14:paraId="01BDB41B">
        <w:tblPrEx>
          <w:tblCellMar>
            <w:top w:w="0" w:type="dxa"/>
            <w:left w:w="0" w:type="dxa"/>
            <w:bottom w:w="0" w:type="dxa"/>
            <w:right w:w="0" w:type="dxa"/>
          </w:tblCellMar>
        </w:tblPrEx>
        <w:trPr>
          <w:wBefore w:w="0" w:type="auto"/>
          <w:tblCellSpacing w:w="0" w:type="dxa"/>
        </w:trPr>
        <w:tc>
          <w:tcPr>
            <w:tcW w:w="0" w:type="auto"/>
            <w:noWrap w:val="0"/>
            <w:vAlign w:val="center"/>
          </w:tcPr>
          <w:p w14:paraId="7B1BB1CA">
            <w:r>
              <w:rPr>
                <w:rStyle w:val="10"/>
                <w:rFonts w:hint="eastAsia"/>
              </w:rPr>
              <w:t>剂型：</w:t>
            </w:r>
            <w:r>
              <w:rPr>
                <w:rFonts w:hint="eastAsia"/>
              </w:rPr>
              <w:t>种子处理悬浮剂</w:t>
            </w:r>
          </w:p>
        </w:tc>
      </w:tr>
      <w:tr w14:paraId="25961E58">
        <w:tblPrEx>
          <w:tblCellMar>
            <w:top w:w="0" w:type="dxa"/>
            <w:left w:w="0" w:type="dxa"/>
            <w:bottom w:w="0" w:type="dxa"/>
            <w:right w:w="0" w:type="dxa"/>
          </w:tblCellMar>
        </w:tblPrEx>
        <w:trPr>
          <w:wBefore w:w="0" w:type="auto"/>
          <w:tblCellSpacing w:w="0" w:type="dxa"/>
        </w:trPr>
        <w:tc>
          <w:tcPr>
            <w:tcW w:w="0" w:type="auto"/>
            <w:noWrap w:val="0"/>
            <w:vAlign w:val="center"/>
          </w:tcPr>
          <w:p w14:paraId="7D898651">
            <w:r>
              <w:rPr>
                <w:rStyle w:val="10"/>
                <w:rFonts w:hint="eastAsia"/>
              </w:rPr>
              <w:t>毒性及其标识：</w:t>
            </w:r>
            <w:r>
              <w:rPr>
                <w:rFonts w:hint="eastAsia"/>
              </w:rPr>
              <w:t xml:space="preserve"> </w:t>
            </w:r>
            <w:r>
              <w:rPr>
                <w:lang/>
              </w:rPr>
              <w:drawing>
                <wp:inline distT="0" distB="0" distL="114300" distR="114300">
                  <wp:extent cx="476250" cy="323850"/>
                  <wp:effectExtent l="0" t="0" r="0" b="0"/>
                  <wp:docPr id="361" name="图片 36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29441AE">
        <w:tblPrEx>
          <w:tblCellMar>
            <w:top w:w="0" w:type="dxa"/>
            <w:left w:w="0" w:type="dxa"/>
            <w:bottom w:w="0" w:type="dxa"/>
            <w:right w:w="0" w:type="dxa"/>
          </w:tblCellMar>
        </w:tblPrEx>
        <w:trPr>
          <w:wBefore w:w="0" w:type="auto"/>
          <w:tblCellSpacing w:w="0" w:type="dxa"/>
        </w:trPr>
        <w:tc>
          <w:tcPr>
            <w:tcW w:w="0" w:type="auto"/>
            <w:noWrap w:val="0"/>
            <w:vAlign w:val="center"/>
          </w:tcPr>
          <w:p w14:paraId="5E56B267">
            <w:r>
              <w:rPr>
                <w:rStyle w:val="10"/>
                <w:rFonts w:hint="eastAsia"/>
              </w:rPr>
              <w:t>总有效成分含量：</w:t>
            </w:r>
            <w:r>
              <w:rPr>
                <w:rFonts w:hint="eastAsia"/>
              </w:rPr>
              <w:t>35%</w:t>
            </w:r>
          </w:p>
        </w:tc>
      </w:tr>
      <w:tr w14:paraId="7672AC2B">
        <w:tblPrEx>
          <w:tblCellMar>
            <w:top w:w="0" w:type="dxa"/>
            <w:left w:w="0" w:type="dxa"/>
            <w:bottom w:w="0" w:type="dxa"/>
            <w:right w:w="0" w:type="dxa"/>
          </w:tblCellMar>
        </w:tblPrEx>
        <w:trPr>
          <w:wBefore w:w="0" w:type="auto"/>
          <w:tblCellSpacing w:w="0" w:type="dxa"/>
        </w:trPr>
        <w:tc>
          <w:tcPr>
            <w:tcW w:w="0" w:type="auto"/>
            <w:noWrap w:val="0"/>
            <w:vAlign w:val="center"/>
          </w:tcPr>
          <w:p w14:paraId="09D43D4B">
            <w:r>
              <w:rPr>
                <w:rFonts w:hint="eastAsia"/>
              </w:rPr>
              <w:t xml:space="preserve">有效成分及其含量： </w:t>
            </w:r>
          </w:p>
          <w:p w14:paraId="36911341">
            <w:r>
              <w:rPr>
                <w:rFonts w:hint="eastAsia"/>
              </w:rPr>
              <w:t xml:space="preserve">    噻虫嗪30%    咯菌腈2.5%    吡唑醚菌酯2.5%    </w:t>
            </w:r>
          </w:p>
        </w:tc>
      </w:tr>
      <w:tr w14:paraId="26AE90AE">
        <w:tblPrEx>
          <w:tblCellMar>
            <w:top w:w="0" w:type="dxa"/>
            <w:left w:w="0" w:type="dxa"/>
            <w:bottom w:w="0" w:type="dxa"/>
            <w:right w:w="0" w:type="dxa"/>
          </w:tblCellMar>
        </w:tblPrEx>
        <w:trPr>
          <w:wBefore w:w="0" w:type="auto"/>
          <w:tblCellSpacing w:w="0" w:type="dxa"/>
        </w:trPr>
        <w:tc>
          <w:tcPr>
            <w:tcW w:w="0" w:type="auto"/>
            <w:noWrap w:val="0"/>
            <w:vAlign w:val="center"/>
          </w:tcPr>
          <w:p w14:paraId="1F7339C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010B3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DB2591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33C147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7BF0B7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7DEA489">
                  <w:r>
                    <w:rPr>
                      <w:rStyle w:val="11"/>
                      <w:rFonts w:hint="eastAsia"/>
                    </w:rPr>
                    <w:t>施用方式</w:t>
                  </w:r>
                </w:p>
              </w:tc>
            </w:tr>
            <w:tr w14:paraId="7C6145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E972B99">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32181F">
                  <w:r>
                    <w:rPr>
                      <w:rStyle w:val="11"/>
                      <w:rFonts w:hint="eastAsia"/>
                    </w:rPr>
                    <w:t>灰飞虱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91F1AB">
                  <w:r>
                    <w:rPr>
                      <w:rStyle w:val="11"/>
                      <w:rFonts w:hint="eastAsia"/>
                    </w:rPr>
                    <w:t>450-600毫升/100千克种子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AA7AA5">
                  <w:r>
                    <w:rPr>
                      <w:rStyle w:val="11"/>
                      <w:rFonts w:hint="eastAsia"/>
                    </w:rPr>
                    <w:t>种子包衣</w:t>
                  </w:r>
                </w:p>
              </w:tc>
            </w:tr>
            <w:tr w14:paraId="339694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723CEFB">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D22262">
                  <w:r>
                    <w:rPr>
                      <w:rStyle w:val="11"/>
                      <w:rFonts w:hint="eastAsia"/>
                    </w:rPr>
                    <w:t>茎基腐病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87C0F5">
                  <w:r>
                    <w:rPr>
                      <w:rStyle w:val="11"/>
                      <w:rFonts w:hint="eastAsia"/>
                    </w:rPr>
                    <w:t>450-600毫升/100千克种子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0C295C">
                  <w:r>
                    <w:rPr>
                      <w:rStyle w:val="11"/>
                      <w:rFonts w:hint="eastAsia"/>
                    </w:rPr>
                    <w:t>种子包衣</w:t>
                  </w:r>
                </w:p>
              </w:tc>
            </w:tr>
          </w:tbl>
          <w:p w14:paraId="794D4BD5">
            <w:pPr>
              <w:rPr>
                <w:rFonts w:ascii="Times New Roman" w:hAnsi="Times New Roman" w:cs="Times New Roman"/>
                <w:sz w:val="20"/>
                <w:szCs w:val="20"/>
              </w:rPr>
            </w:pPr>
          </w:p>
        </w:tc>
      </w:tr>
      <w:tr w14:paraId="40F64593">
        <w:tblPrEx>
          <w:tblCellMar>
            <w:top w:w="0" w:type="dxa"/>
            <w:left w:w="0" w:type="dxa"/>
            <w:bottom w:w="0" w:type="dxa"/>
            <w:right w:w="0" w:type="dxa"/>
          </w:tblCellMar>
        </w:tblPrEx>
        <w:trPr>
          <w:wBefore w:w="0" w:type="auto"/>
          <w:tblCellSpacing w:w="0" w:type="dxa"/>
        </w:trPr>
        <w:tc>
          <w:tcPr>
            <w:tcW w:w="0" w:type="auto"/>
            <w:noWrap w:val="0"/>
            <w:vAlign w:val="center"/>
          </w:tcPr>
          <w:p w14:paraId="256D5A63">
            <w:r>
              <w:rPr>
                <w:rStyle w:val="10"/>
                <w:rFonts w:hint="eastAsia"/>
              </w:rPr>
              <w:t>使用技术要求:</w:t>
            </w:r>
            <w:r>
              <w:rPr>
                <w:rFonts w:hint="eastAsia"/>
              </w:rPr>
              <w:br w:type="textWrapping"/>
            </w:r>
            <w:r>
              <w:rPr>
                <w:rStyle w:val="11"/>
                <w:rFonts w:hint="eastAsia"/>
              </w:rPr>
              <w:t>1、于玉米播种前种子包衣，按照制剂推荐用量用水稀释药液，将药液和种子充分搅拌，直至种子着药（着色）均匀，晾干后即可; 2、用于处理的种子应达到国家良种标准; 3、本品在玉米上每季作物使用1次。</w:t>
            </w:r>
          </w:p>
        </w:tc>
      </w:tr>
      <w:tr w14:paraId="0C268DE8">
        <w:tblPrEx>
          <w:tblCellMar>
            <w:top w:w="0" w:type="dxa"/>
            <w:left w:w="0" w:type="dxa"/>
            <w:bottom w:w="0" w:type="dxa"/>
            <w:right w:w="0" w:type="dxa"/>
          </w:tblCellMar>
        </w:tblPrEx>
        <w:trPr>
          <w:wBefore w:w="0" w:type="auto"/>
          <w:tblCellSpacing w:w="0" w:type="dxa"/>
        </w:trPr>
        <w:tc>
          <w:tcPr>
            <w:tcW w:w="0" w:type="auto"/>
            <w:noWrap w:val="0"/>
            <w:vAlign w:val="center"/>
          </w:tcPr>
          <w:p w14:paraId="30637D18">
            <w:r>
              <w:rPr>
                <w:rStyle w:val="10"/>
                <w:rFonts w:hint="eastAsia"/>
              </w:rPr>
              <w:t>产品性能:</w:t>
            </w:r>
            <w:r>
              <w:rPr>
                <w:rFonts w:hint="eastAsia"/>
              </w:rPr>
              <w:br w:type="textWrapping"/>
            </w:r>
            <w:r>
              <w:rPr>
                <w:rStyle w:val="11"/>
                <w:rFonts w:hint="eastAsia"/>
              </w:rPr>
              <w:t>本品由噻虫嗪、咯菌腈、吡唑醚菌酯复配而成。噻虫嗪是一种结构全新的烟碱类杀虫剂，用于种子处理，可被作物根迅速内吸，并传导到植株各部位，能有效防治玉米灰飞虱；咯菌腈对许多病原菌引起的种传和土传病害有较好的防效；吡唑醚菌酯为新型广谱杀菌剂，具有保护、治疗、良好的渗透传导作用，同时具有植物健康作用，三者混配用于防治玉米灰飞虱、玉米茎基腐病。</w:t>
            </w:r>
          </w:p>
        </w:tc>
      </w:tr>
      <w:tr w14:paraId="58846CA4">
        <w:tblPrEx>
          <w:tblCellMar>
            <w:top w:w="0" w:type="dxa"/>
            <w:left w:w="0" w:type="dxa"/>
            <w:bottom w:w="0" w:type="dxa"/>
            <w:right w:w="0" w:type="dxa"/>
          </w:tblCellMar>
        </w:tblPrEx>
        <w:trPr>
          <w:wBefore w:w="0" w:type="auto"/>
          <w:tblCellSpacing w:w="0" w:type="dxa"/>
        </w:trPr>
        <w:tc>
          <w:tcPr>
            <w:tcW w:w="0" w:type="auto"/>
            <w:noWrap w:val="0"/>
            <w:vAlign w:val="center"/>
          </w:tcPr>
          <w:p w14:paraId="3F9F97E9">
            <w:r>
              <w:rPr>
                <w:rStyle w:val="10"/>
                <w:rFonts w:hint="eastAsia"/>
              </w:rPr>
              <w:t>注意事项：</w:t>
            </w:r>
            <w:r>
              <w:rPr>
                <w:rFonts w:hint="eastAsia"/>
              </w:rPr>
              <w:br w:type="textWrapping"/>
            </w:r>
            <w:r>
              <w:rPr>
                <w:rStyle w:val="11"/>
                <w:rFonts w:hint="eastAsia"/>
              </w:rPr>
              <w:t>1.请按照农药安全使用准则使用本品。使用本品应采取相应的安全防护措施，穿靴子、长袖衣和长裤，戴防护手套、口罩等，避免皮肤接触及口鼻吸入。使用中不可吸烟、饮水及吃东西，使用后及时用大量清水和肥皂清洗手、脸等暴露部位皮肤并更换衣物。2.配药和种子处理应在通风处进行。配药时，操作人员应戴防渗透手套和面罩或护目镜，穿长袖衣、长裤和靴子；种子处理时，应戴防渗透手套，穿长袖衣、长裤和靴子。3.处理过的种子必须放置在有明显标签的容器内。不得饲喂禽畜，更不得用来加工饲料或食品。4.播种后应立即覆土，并清理裸露在土壤表面的种子，严禁畜禽进入。5. 使用时应密切关注对附近蜂群的影响，养蜂场所和周围开花植物花期禁用；鸟类保护区附近禁用；远离水产养殖区施药，禁止在河塘等水体中清洗施药器具，清洗施药器具的水也不能排入河塘等水体。6.废弃物应妥善处理，不可做他用，也不可随意丢弃。7.孕妇及哺乳期妇女禁止接触本品。</w:t>
            </w:r>
          </w:p>
        </w:tc>
      </w:tr>
      <w:tr w14:paraId="66168790">
        <w:tblPrEx>
          <w:tblCellMar>
            <w:top w:w="0" w:type="dxa"/>
            <w:left w:w="0" w:type="dxa"/>
            <w:bottom w:w="0" w:type="dxa"/>
            <w:right w:w="0" w:type="dxa"/>
          </w:tblCellMar>
        </w:tblPrEx>
        <w:trPr>
          <w:wBefore w:w="0" w:type="auto"/>
          <w:tblCellSpacing w:w="0" w:type="dxa"/>
        </w:trPr>
        <w:tc>
          <w:tcPr>
            <w:tcW w:w="0" w:type="auto"/>
            <w:noWrap w:val="0"/>
            <w:vAlign w:val="center"/>
          </w:tcPr>
          <w:p w14:paraId="040996D2">
            <w:r>
              <w:rPr>
                <w:rStyle w:val="10"/>
                <w:rFonts w:hint="eastAsia"/>
              </w:rPr>
              <w:t>中毒急救措施：</w:t>
            </w:r>
            <w:r>
              <w:rPr>
                <w:rFonts w:hint="eastAsia"/>
              </w:rPr>
              <w:br w:type="textWrapping"/>
            </w:r>
            <w:r>
              <w:rPr>
                <w:rStyle w:val="11"/>
                <w:rFonts w:hint="eastAsia"/>
              </w:rPr>
              <w:t>该产品对眼睛有刺激性，使用时避免接触眼睛。使用中或使用后如果感觉不适，应立即停止工作，采取急救措施，并携此标签送医院就诊。皮肤接触：立即脱去污染的衣物，用大量清水及肥皂冲洗干净。眼睛接触：立即提起眼睑，用大量清水冲洗至少15分钟。吸入：迅速脱离现场至空气新鲜处，保持呼吸道通畅。如呼吸困难时给输氧，如如呼吸及心跳停止，立即进行人工呼吸和心脏按压。误服：用温水充分漱口后，立即携带此标签到医院对症治疗。中毒时，请拨打中国疾病中心中毒控制中心咨询热线：400-650-5726。</w:t>
            </w:r>
          </w:p>
        </w:tc>
      </w:tr>
      <w:tr w14:paraId="31CE3C5F">
        <w:tblPrEx>
          <w:tblCellMar>
            <w:top w:w="0" w:type="dxa"/>
            <w:left w:w="0" w:type="dxa"/>
            <w:bottom w:w="0" w:type="dxa"/>
            <w:right w:w="0" w:type="dxa"/>
          </w:tblCellMar>
        </w:tblPrEx>
        <w:trPr>
          <w:wBefore w:w="0" w:type="auto"/>
          <w:tblCellSpacing w:w="0" w:type="dxa"/>
        </w:trPr>
        <w:tc>
          <w:tcPr>
            <w:tcW w:w="0" w:type="auto"/>
            <w:noWrap w:val="0"/>
            <w:vAlign w:val="center"/>
          </w:tcPr>
          <w:p w14:paraId="2BA3FC10">
            <w:r>
              <w:rPr>
                <w:rStyle w:val="10"/>
                <w:rFonts w:hint="eastAsia"/>
              </w:rPr>
              <w:t>储存和运输方法：</w:t>
            </w:r>
            <w:r>
              <w:rPr>
                <w:rFonts w:hint="eastAsia"/>
              </w:rPr>
              <w:br w:type="textWrapping"/>
            </w:r>
            <w:r>
              <w:rPr>
                <w:rStyle w:val="11"/>
                <w:rFonts w:hint="eastAsia"/>
              </w:rPr>
              <w:t>本品贮存应注意阴凉、干燥、通风，远离火源，不能与食品、饮料、粮食、饲料等物品同贮同运。远离儿童及家畜并加锁，以免误服。避免与皮肤、眼睛接触。装卸运输时注意检查包装是否密封完整，轻拿轻放。</w:t>
            </w:r>
          </w:p>
        </w:tc>
      </w:tr>
      <w:tr w14:paraId="4FAB6455">
        <w:tblPrEx>
          <w:tblCellMar>
            <w:top w:w="0" w:type="dxa"/>
            <w:left w:w="0" w:type="dxa"/>
            <w:bottom w:w="0" w:type="dxa"/>
            <w:right w:w="0" w:type="dxa"/>
          </w:tblCellMar>
        </w:tblPrEx>
        <w:trPr>
          <w:wBefore w:w="0" w:type="auto"/>
          <w:tblCellSpacing w:w="0" w:type="dxa"/>
        </w:trPr>
        <w:tc>
          <w:tcPr>
            <w:tcW w:w="0" w:type="auto"/>
            <w:noWrap w:val="0"/>
            <w:vAlign w:val="center"/>
          </w:tcPr>
          <w:p w14:paraId="43D38749">
            <w:r>
              <w:rPr>
                <w:rStyle w:val="10"/>
                <w:rFonts w:hint="eastAsia"/>
              </w:rPr>
              <w:t>质量保证期：</w:t>
            </w:r>
            <w:r>
              <w:rPr>
                <w:rStyle w:val="11"/>
                <w:rFonts w:hint="eastAsia"/>
              </w:rPr>
              <w:t>2年</w:t>
            </w:r>
          </w:p>
        </w:tc>
      </w:tr>
      <w:tr w14:paraId="23F44DFD">
        <w:tblPrEx>
          <w:tblCellMar>
            <w:top w:w="0" w:type="dxa"/>
            <w:left w:w="0" w:type="dxa"/>
            <w:bottom w:w="0" w:type="dxa"/>
            <w:right w:w="0" w:type="dxa"/>
          </w:tblCellMar>
        </w:tblPrEx>
        <w:trPr>
          <w:wBefore w:w="0" w:type="auto"/>
          <w:tblCellSpacing w:w="0" w:type="dxa"/>
        </w:trPr>
        <w:tc>
          <w:tcPr>
            <w:tcW w:w="0" w:type="auto"/>
            <w:noWrap w:val="0"/>
            <w:vAlign w:val="center"/>
          </w:tcPr>
          <w:p w14:paraId="4CF98BA9">
            <w:r>
              <w:rPr>
                <w:rStyle w:val="10"/>
                <w:rFonts w:hint="eastAsia"/>
              </w:rPr>
              <w:t>备注：</w:t>
            </w:r>
          </w:p>
        </w:tc>
      </w:tr>
    </w:tbl>
    <w:p w14:paraId="3AB1FC2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FB94964">
        <w:tblPrEx>
          <w:tblCellMar>
            <w:top w:w="0" w:type="dxa"/>
            <w:left w:w="0" w:type="dxa"/>
            <w:bottom w:w="0" w:type="dxa"/>
            <w:right w:w="0" w:type="dxa"/>
          </w:tblCellMar>
        </w:tblPrEx>
        <w:trPr>
          <w:wBefore w:w="0" w:type="auto"/>
          <w:tblCellSpacing w:w="0" w:type="dxa"/>
        </w:trPr>
        <w:tc>
          <w:tcPr>
            <w:tcW w:w="0" w:type="auto"/>
            <w:noWrap w:val="0"/>
            <w:vAlign w:val="center"/>
          </w:tcPr>
          <w:p w14:paraId="0C04537A">
            <w:r>
              <w:rPr>
                <w:rStyle w:val="10"/>
                <w:rFonts w:hint="eastAsia"/>
              </w:rPr>
              <w:t>登记证号：</w:t>
            </w:r>
            <w:r>
              <w:rPr>
                <w:rFonts w:hint="eastAsia"/>
              </w:rPr>
              <w:t>PD20211809</w:t>
            </w:r>
          </w:p>
        </w:tc>
      </w:tr>
      <w:tr w14:paraId="2CE81A41">
        <w:tblPrEx>
          <w:tblCellMar>
            <w:top w:w="0" w:type="dxa"/>
            <w:left w:w="0" w:type="dxa"/>
            <w:bottom w:w="0" w:type="dxa"/>
            <w:right w:w="0" w:type="dxa"/>
          </w:tblCellMar>
        </w:tblPrEx>
        <w:trPr>
          <w:wBefore w:w="0" w:type="auto"/>
          <w:tblCellSpacing w:w="0" w:type="dxa"/>
        </w:trPr>
        <w:tc>
          <w:tcPr>
            <w:tcW w:w="0" w:type="auto"/>
            <w:noWrap w:val="0"/>
            <w:vAlign w:val="center"/>
          </w:tcPr>
          <w:p w14:paraId="2D7BE35C">
            <w:r>
              <w:rPr>
                <w:rStyle w:val="10"/>
                <w:rFonts w:hint="eastAsia"/>
              </w:rPr>
              <w:t>登记证持有人：</w:t>
            </w:r>
            <w:r>
              <w:rPr>
                <w:rFonts w:hint="eastAsia"/>
              </w:rPr>
              <w:t>陕西亿田丰作物科技有限公司</w:t>
            </w:r>
          </w:p>
        </w:tc>
      </w:tr>
      <w:tr w14:paraId="2E5568B8">
        <w:tblPrEx>
          <w:tblCellMar>
            <w:top w:w="0" w:type="dxa"/>
            <w:left w:w="0" w:type="dxa"/>
            <w:bottom w:w="0" w:type="dxa"/>
            <w:right w:w="0" w:type="dxa"/>
          </w:tblCellMar>
        </w:tblPrEx>
        <w:trPr>
          <w:wBefore w:w="0" w:type="auto"/>
          <w:tblCellSpacing w:w="0" w:type="dxa"/>
        </w:trPr>
        <w:tc>
          <w:tcPr>
            <w:tcW w:w="0" w:type="auto"/>
            <w:noWrap w:val="0"/>
            <w:vAlign w:val="center"/>
          </w:tcPr>
          <w:p w14:paraId="08124950">
            <w:r>
              <w:rPr>
                <w:rStyle w:val="10"/>
                <w:rFonts w:hint="eastAsia"/>
              </w:rPr>
              <w:t>农药名称：</w:t>
            </w:r>
            <w:r>
              <w:rPr>
                <w:rFonts w:hint="eastAsia"/>
              </w:rPr>
              <w:t>哒螨灵·呋虫胺</w:t>
            </w:r>
          </w:p>
        </w:tc>
      </w:tr>
      <w:tr w14:paraId="7884D143">
        <w:tblPrEx>
          <w:tblCellMar>
            <w:top w:w="0" w:type="dxa"/>
            <w:left w:w="0" w:type="dxa"/>
            <w:bottom w:w="0" w:type="dxa"/>
            <w:right w:w="0" w:type="dxa"/>
          </w:tblCellMar>
        </w:tblPrEx>
        <w:trPr>
          <w:wBefore w:w="0" w:type="auto"/>
          <w:tblCellSpacing w:w="0" w:type="dxa"/>
        </w:trPr>
        <w:tc>
          <w:tcPr>
            <w:tcW w:w="0" w:type="auto"/>
            <w:noWrap w:val="0"/>
            <w:vAlign w:val="center"/>
          </w:tcPr>
          <w:p w14:paraId="1D4B26C3">
            <w:r>
              <w:rPr>
                <w:rStyle w:val="10"/>
                <w:rFonts w:hint="eastAsia"/>
              </w:rPr>
              <w:t>剂型：</w:t>
            </w:r>
            <w:r>
              <w:rPr>
                <w:rFonts w:hint="eastAsia"/>
              </w:rPr>
              <w:t>悬浮剂</w:t>
            </w:r>
          </w:p>
        </w:tc>
      </w:tr>
      <w:tr w14:paraId="4A48F2AC">
        <w:tblPrEx>
          <w:tblCellMar>
            <w:top w:w="0" w:type="dxa"/>
            <w:left w:w="0" w:type="dxa"/>
            <w:bottom w:w="0" w:type="dxa"/>
            <w:right w:w="0" w:type="dxa"/>
          </w:tblCellMar>
        </w:tblPrEx>
        <w:trPr>
          <w:wBefore w:w="0" w:type="auto"/>
          <w:tblCellSpacing w:w="0" w:type="dxa"/>
        </w:trPr>
        <w:tc>
          <w:tcPr>
            <w:tcW w:w="0" w:type="auto"/>
            <w:noWrap w:val="0"/>
            <w:vAlign w:val="center"/>
          </w:tcPr>
          <w:p w14:paraId="23FB55E2">
            <w:r>
              <w:rPr>
                <w:rStyle w:val="10"/>
                <w:rFonts w:hint="eastAsia"/>
              </w:rPr>
              <w:t>毒性及其标识：</w:t>
            </w:r>
            <w:r>
              <w:rPr>
                <w:rFonts w:hint="eastAsia"/>
              </w:rPr>
              <w:t xml:space="preserve"> </w:t>
            </w:r>
            <w:r>
              <w:rPr>
                <w:lang/>
              </w:rPr>
              <w:drawing>
                <wp:inline distT="0" distB="0" distL="114300" distR="114300">
                  <wp:extent cx="476250" cy="323850"/>
                  <wp:effectExtent l="0" t="0" r="0" b="0"/>
                  <wp:docPr id="362" name="图片 36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0DE7152">
        <w:tblPrEx>
          <w:tblCellMar>
            <w:top w:w="0" w:type="dxa"/>
            <w:left w:w="0" w:type="dxa"/>
            <w:bottom w:w="0" w:type="dxa"/>
            <w:right w:w="0" w:type="dxa"/>
          </w:tblCellMar>
        </w:tblPrEx>
        <w:trPr>
          <w:wBefore w:w="0" w:type="auto"/>
          <w:tblCellSpacing w:w="0" w:type="dxa"/>
        </w:trPr>
        <w:tc>
          <w:tcPr>
            <w:tcW w:w="0" w:type="auto"/>
            <w:noWrap w:val="0"/>
            <w:vAlign w:val="center"/>
          </w:tcPr>
          <w:p w14:paraId="592AAFD2">
            <w:r>
              <w:rPr>
                <w:rStyle w:val="10"/>
                <w:rFonts w:hint="eastAsia"/>
              </w:rPr>
              <w:t>总有效成分含量：</w:t>
            </w:r>
            <w:r>
              <w:rPr>
                <w:rFonts w:hint="eastAsia"/>
              </w:rPr>
              <w:t>30%</w:t>
            </w:r>
          </w:p>
        </w:tc>
      </w:tr>
      <w:tr w14:paraId="7852C457">
        <w:tblPrEx>
          <w:tblCellMar>
            <w:top w:w="0" w:type="dxa"/>
            <w:left w:w="0" w:type="dxa"/>
            <w:bottom w:w="0" w:type="dxa"/>
            <w:right w:w="0" w:type="dxa"/>
          </w:tblCellMar>
        </w:tblPrEx>
        <w:trPr>
          <w:wBefore w:w="0" w:type="auto"/>
          <w:tblCellSpacing w:w="0" w:type="dxa"/>
        </w:trPr>
        <w:tc>
          <w:tcPr>
            <w:tcW w:w="0" w:type="auto"/>
            <w:noWrap w:val="0"/>
            <w:vAlign w:val="center"/>
          </w:tcPr>
          <w:p w14:paraId="5A459801">
            <w:r>
              <w:rPr>
                <w:rFonts w:hint="eastAsia"/>
              </w:rPr>
              <w:t xml:space="preserve">有效成分及其含量： </w:t>
            </w:r>
          </w:p>
          <w:p w14:paraId="3618A016">
            <w:r>
              <w:rPr>
                <w:rFonts w:hint="eastAsia"/>
              </w:rPr>
              <w:t xml:space="preserve">    哒螨灵22.5%    呋虫胺7.5%    </w:t>
            </w:r>
          </w:p>
        </w:tc>
      </w:tr>
      <w:tr w14:paraId="51C2051D">
        <w:tblPrEx>
          <w:tblCellMar>
            <w:top w:w="0" w:type="dxa"/>
            <w:left w:w="0" w:type="dxa"/>
            <w:bottom w:w="0" w:type="dxa"/>
            <w:right w:w="0" w:type="dxa"/>
          </w:tblCellMar>
        </w:tblPrEx>
        <w:trPr>
          <w:wBefore w:w="0" w:type="auto"/>
          <w:tblCellSpacing w:w="0" w:type="dxa"/>
        </w:trPr>
        <w:tc>
          <w:tcPr>
            <w:tcW w:w="0" w:type="auto"/>
            <w:noWrap w:val="0"/>
            <w:vAlign w:val="center"/>
          </w:tcPr>
          <w:p w14:paraId="7981036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DB33B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3B01F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D518B6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5C884D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61FE789">
                  <w:r>
                    <w:rPr>
                      <w:rStyle w:val="11"/>
                      <w:rFonts w:hint="eastAsia"/>
                    </w:rPr>
                    <w:t>施用方式</w:t>
                  </w:r>
                </w:p>
              </w:tc>
            </w:tr>
            <w:tr w14:paraId="28EE3D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7FA3399">
                  <w:r>
                    <w:rPr>
                      <w:rStyle w:val="11"/>
                      <w:rFonts w:hint="eastAsia"/>
                    </w:rPr>
                    <w:t>大白菜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499F25">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DFB126">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7F5841">
                  <w:r>
                    <w:rPr>
                      <w:rStyle w:val="11"/>
                      <w:rFonts w:hint="eastAsia"/>
                    </w:rPr>
                    <w:t>喷雾</w:t>
                  </w:r>
                </w:p>
              </w:tc>
            </w:tr>
          </w:tbl>
          <w:p w14:paraId="6834D901">
            <w:pPr>
              <w:rPr>
                <w:rFonts w:ascii="Times New Roman" w:hAnsi="Times New Roman" w:cs="Times New Roman"/>
                <w:sz w:val="20"/>
                <w:szCs w:val="20"/>
              </w:rPr>
            </w:pPr>
          </w:p>
        </w:tc>
      </w:tr>
      <w:tr w14:paraId="487DD7B4">
        <w:tblPrEx>
          <w:tblCellMar>
            <w:top w:w="0" w:type="dxa"/>
            <w:left w:w="0" w:type="dxa"/>
            <w:bottom w:w="0" w:type="dxa"/>
            <w:right w:w="0" w:type="dxa"/>
          </w:tblCellMar>
        </w:tblPrEx>
        <w:trPr>
          <w:wBefore w:w="0" w:type="auto"/>
          <w:tblCellSpacing w:w="0" w:type="dxa"/>
        </w:trPr>
        <w:tc>
          <w:tcPr>
            <w:tcW w:w="0" w:type="auto"/>
            <w:noWrap w:val="0"/>
            <w:vAlign w:val="center"/>
          </w:tcPr>
          <w:p w14:paraId="529D51BB">
            <w:r>
              <w:rPr>
                <w:rStyle w:val="10"/>
                <w:rFonts w:hint="eastAsia"/>
              </w:rPr>
              <w:t>使用技术要求:</w:t>
            </w:r>
            <w:r>
              <w:rPr>
                <w:rFonts w:hint="eastAsia"/>
              </w:rPr>
              <w:br w:type="textWrapping"/>
            </w:r>
            <w:r>
              <w:rPr>
                <w:rStyle w:val="11"/>
                <w:rFonts w:hint="eastAsia"/>
              </w:rPr>
              <w:t>1.本品适宜施药时期为大白菜黄条跳甲发生初期施药，施药一次，注意喷雾均匀、周到，以确保药效。2.大风天或预计1小时内降雨，请勿施药。3.本品在大白菜使用时的安全间隔期为7天，每季作物最多使用1次。</w:t>
            </w:r>
          </w:p>
        </w:tc>
      </w:tr>
      <w:tr w14:paraId="2159FE24">
        <w:tblPrEx>
          <w:tblCellMar>
            <w:top w:w="0" w:type="dxa"/>
            <w:left w:w="0" w:type="dxa"/>
            <w:bottom w:w="0" w:type="dxa"/>
            <w:right w:w="0" w:type="dxa"/>
          </w:tblCellMar>
        </w:tblPrEx>
        <w:trPr>
          <w:wBefore w:w="0" w:type="auto"/>
          <w:tblCellSpacing w:w="0" w:type="dxa"/>
        </w:trPr>
        <w:tc>
          <w:tcPr>
            <w:tcW w:w="0" w:type="auto"/>
            <w:noWrap w:val="0"/>
            <w:vAlign w:val="center"/>
          </w:tcPr>
          <w:p w14:paraId="2AA42E60">
            <w:r>
              <w:rPr>
                <w:rStyle w:val="10"/>
                <w:rFonts w:hint="eastAsia"/>
              </w:rPr>
              <w:t>产品性能:</w:t>
            </w:r>
            <w:r>
              <w:rPr>
                <w:rFonts w:hint="eastAsia"/>
              </w:rPr>
              <w:br w:type="textWrapping"/>
            </w:r>
            <w:r>
              <w:rPr>
                <w:rStyle w:val="11"/>
                <w:rFonts w:hint="eastAsia"/>
              </w:rPr>
              <w:t>本品是由哒螨灵与呋虫胺复配而成的杀虫剂。哒螨灵是一种触杀性杀螨剂，可以防治多种食植物性害螨，对跳甲具有较好的击倒作用；呋虫胺为烟碱乙酰胆碱受体的兴奋剂，影响昆虫中枢神经系统的突触，具有较强的内吸活性，兼具触杀、胃毒作用。两者混配，优势互补，用于大白菜黄条跳甲有较好的防治效果。</w:t>
            </w:r>
          </w:p>
        </w:tc>
      </w:tr>
      <w:tr w14:paraId="682B4685">
        <w:tblPrEx>
          <w:tblCellMar>
            <w:top w:w="0" w:type="dxa"/>
            <w:left w:w="0" w:type="dxa"/>
            <w:bottom w:w="0" w:type="dxa"/>
            <w:right w:w="0" w:type="dxa"/>
          </w:tblCellMar>
        </w:tblPrEx>
        <w:trPr>
          <w:wBefore w:w="0" w:type="auto"/>
          <w:tblCellSpacing w:w="0" w:type="dxa"/>
        </w:trPr>
        <w:tc>
          <w:tcPr>
            <w:tcW w:w="0" w:type="auto"/>
            <w:noWrap w:val="0"/>
            <w:vAlign w:val="center"/>
          </w:tcPr>
          <w:p w14:paraId="31EEB3AD">
            <w:r>
              <w:rPr>
                <w:rStyle w:val="10"/>
                <w:rFonts w:hint="eastAsia"/>
              </w:rPr>
              <w:t>注意事项：</w:t>
            </w:r>
            <w:r>
              <w:rPr>
                <w:rFonts w:hint="eastAsia"/>
              </w:rPr>
              <w:br w:type="textWrapping"/>
            </w:r>
            <w:r>
              <w:rPr>
                <w:rStyle w:val="11"/>
                <w:rFonts w:hint="eastAsia"/>
              </w:rPr>
              <w:t>（1）严格按规定用药量和方法使用。 （2）建议与其他作用机制不同的杀虫剂轮换使用，以延缓抗性产生。 （3）本品对蜜蜂、鱼、家蚕、溞、藻有毒，施药期间应避免对周围蜂群的影响，（周围）开花植物花期、蚕室及桑园附近禁用；水产养殖区、河塘等水体附近禁用，禁止在河塘等水体中清洗施药器具；赤眼蜂（或其他代表性天敌）等天敌放飞区域禁用。 （4）对眼睛有中度刺激性，使用时穿戴长衣长裤、帽子、口罩、手套、鞋等安全防护措施。施药期间不可吃东西、饮水、吸烟等；施药后应及时洗手、洗脸并洗涤施药时穿着的衣物。 （5）用药后包装物及用过的容器应妥善处理，不可做他用，也不可随意丢弃。 （6）孕妇及哺乳期妇女禁止接触本品。</w:t>
            </w:r>
          </w:p>
        </w:tc>
      </w:tr>
      <w:tr w14:paraId="4E1F1A37">
        <w:tblPrEx>
          <w:tblCellMar>
            <w:top w:w="0" w:type="dxa"/>
            <w:left w:w="0" w:type="dxa"/>
            <w:bottom w:w="0" w:type="dxa"/>
            <w:right w:w="0" w:type="dxa"/>
          </w:tblCellMar>
        </w:tblPrEx>
        <w:trPr>
          <w:wBefore w:w="0" w:type="auto"/>
          <w:tblCellSpacing w:w="0" w:type="dxa"/>
        </w:trPr>
        <w:tc>
          <w:tcPr>
            <w:tcW w:w="0" w:type="auto"/>
            <w:noWrap w:val="0"/>
            <w:vAlign w:val="center"/>
          </w:tcPr>
          <w:p w14:paraId="3AACC8A8">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71443B50">
        <w:tblPrEx>
          <w:tblCellMar>
            <w:top w:w="0" w:type="dxa"/>
            <w:left w:w="0" w:type="dxa"/>
            <w:bottom w:w="0" w:type="dxa"/>
            <w:right w:w="0" w:type="dxa"/>
          </w:tblCellMar>
        </w:tblPrEx>
        <w:trPr>
          <w:wBefore w:w="0" w:type="auto"/>
          <w:tblCellSpacing w:w="0" w:type="dxa"/>
        </w:trPr>
        <w:tc>
          <w:tcPr>
            <w:tcW w:w="0" w:type="auto"/>
            <w:noWrap w:val="0"/>
            <w:vAlign w:val="center"/>
          </w:tcPr>
          <w:p w14:paraId="78AB0ADB">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01FE447E">
        <w:tblPrEx>
          <w:tblCellMar>
            <w:top w:w="0" w:type="dxa"/>
            <w:left w:w="0" w:type="dxa"/>
            <w:bottom w:w="0" w:type="dxa"/>
            <w:right w:w="0" w:type="dxa"/>
          </w:tblCellMar>
        </w:tblPrEx>
        <w:trPr>
          <w:wBefore w:w="0" w:type="auto"/>
          <w:tblCellSpacing w:w="0" w:type="dxa"/>
        </w:trPr>
        <w:tc>
          <w:tcPr>
            <w:tcW w:w="0" w:type="auto"/>
            <w:noWrap w:val="0"/>
            <w:vAlign w:val="center"/>
          </w:tcPr>
          <w:p w14:paraId="514C141C">
            <w:r>
              <w:rPr>
                <w:rStyle w:val="10"/>
                <w:rFonts w:hint="eastAsia"/>
              </w:rPr>
              <w:t>质量保证期：</w:t>
            </w:r>
            <w:r>
              <w:rPr>
                <w:rStyle w:val="11"/>
                <w:rFonts w:hint="eastAsia"/>
              </w:rPr>
              <w:t>2年</w:t>
            </w:r>
          </w:p>
        </w:tc>
      </w:tr>
      <w:tr w14:paraId="3128A795">
        <w:tblPrEx>
          <w:tblCellMar>
            <w:top w:w="0" w:type="dxa"/>
            <w:left w:w="0" w:type="dxa"/>
            <w:bottom w:w="0" w:type="dxa"/>
            <w:right w:w="0" w:type="dxa"/>
          </w:tblCellMar>
        </w:tblPrEx>
        <w:trPr>
          <w:wBefore w:w="0" w:type="auto"/>
          <w:tblCellSpacing w:w="0" w:type="dxa"/>
        </w:trPr>
        <w:tc>
          <w:tcPr>
            <w:tcW w:w="0" w:type="auto"/>
            <w:noWrap w:val="0"/>
            <w:vAlign w:val="center"/>
          </w:tcPr>
          <w:p w14:paraId="47767C44">
            <w:r>
              <w:rPr>
                <w:rStyle w:val="10"/>
                <w:rFonts w:hint="eastAsia"/>
              </w:rPr>
              <w:t>备注：</w:t>
            </w:r>
          </w:p>
        </w:tc>
      </w:tr>
    </w:tbl>
    <w:p w14:paraId="4AFF1E8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A6E38E">
        <w:tblPrEx>
          <w:tblCellMar>
            <w:top w:w="0" w:type="dxa"/>
            <w:left w:w="0" w:type="dxa"/>
            <w:bottom w:w="0" w:type="dxa"/>
            <w:right w:w="0" w:type="dxa"/>
          </w:tblCellMar>
        </w:tblPrEx>
        <w:trPr>
          <w:wBefore w:w="0" w:type="auto"/>
          <w:tblCellSpacing w:w="0" w:type="dxa"/>
        </w:trPr>
        <w:tc>
          <w:tcPr>
            <w:tcW w:w="0" w:type="auto"/>
            <w:noWrap w:val="0"/>
            <w:vAlign w:val="center"/>
          </w:tcPr>
          <w:p w14:paraId="79D15738">
            <w:r>
              <w:rPr>
                <w:rStyle w:val="10"/>
                <w:rFonts w:hint="eastAsia"/>
              </w:rPr>
              <w:t>登记证号：</w:t>
            </w:r>
            <w:r>
              <w:rPr>
                <w:rFonts w:hint="eastAsia"/>
              </w:rPr>
              <w:t>PD20212233</w:t>
            </w:r>
          </w:p>
        </w:tc>
      </w:tr>
      <w:tr w14:paraId="7F92E2D3">
        <w:tblPrEx>
          <w:tblCellMar>
            <w:top w:w="0" w:type="dxa"/>
            <w:left w:w="0" w:type="dxa"/>
            <w:bottom w:w="0" w:type="dxa"/>
            <w:right w:w="0" w:type="dxa"/>
          </w:tblCellMar>
        </w:tblPrEx>
        <w:trPr>
          <w:wBefore w:w="0" w:type="auto"/>
          <w:tblCellSpacing w:w="0" w:type="dxa"/>
        </w:trPr>
        <w:tc>
          <w:tcPr>
            <w:tcW w:w="0" w:type="auto"/>
            <w:noWrap w:val="0"/>
            <w:vAlign w:val="center"/>
          </w:tcPr>
          <w:p w14:paraId="5DBCEE72">
            <w:r>
              <w:rPr>
                <w:rStyle w:val="10"/>
                <w:rFonts w:hint="eastAsia"/>
              </w:rPr>
              <w:t>登记证持有人：</w:t>
            </w:r>
            <w:r>
              <w:rPr>
                <w:rFonts w:hint="eastAsia"/>
              </w:rPr>
              <w:t>四川利尔生物科技有限公司</w:t>
            </w:r>
          </w:p>
        </w:tc>
      </w:tr>
      <w:tr w14:paraId="6EA922BD">
        <w:tblPrEx>
          <w:tblCellMar>
            <w:top w:w="0" w:type="dxa"/>
            <w:left w:w="0" w:type="dxa"/>
            <w:bottom w:w="0" w:type="dxa"/>
            <w:right w:w="0" w:type="dxa"/>
          </w:tblCellMar>
        </w:tblPrEx>
        <w:trPr>
          <w:wBefore w:w="0" w:type="auto"/>
          <w:tblCellSpacing w:w="0" w:type="dxa"/>
        </w:trPr>
        <w:tc>
          <w:tcPr>
            <w:tcW w:w="0" w:type="auto"/>
            <w:noWrap w:val="0"/>
            <w:vAlign w:val="center"/>
          </w:tcPr>
          <w:p w14:paraId="2A4C4F08">
            <w:r>
              <w:rPr>
                <w:rStyle w:val="10"/>
                <w:rFonts w:hint="eastAsia"/>
              </w:rPr>
              <w:t>农药名称：</w:t>
            </w:r>
            <w:r>
              <w:rPr>
                <w:rFonts w:hint="eastAsia"/>
              </w:rPr>
              <w:t>精草铵膦铵盐</w:t>
            </w:r>
          </w:p>
        </w:tc>
      </w:tr>
      <w:tr w14:paraId="4EC9FC39">
        <w:tblPrEx>
          <w:tblCellMar>
            <w:top w:w="0" w:type="dxa"/>
            <w:left w:w="0" w:type="dxa"/>
            <w:bottom w:w="0" w:type="dxa"/>
            <w:right w:w="0" w:type="dxa"/>
          </w:tblCellMar>
        </w:tblPrEx>
        <w:trPr>
          <w:wBefore w:w="0" w:type="auto"/>
          <w:tblCellSpacing w:w="0" w:type="dxa"/>
        </w:trPr>
        <w:tc>
          <w:tcPr>
            <w:tcW w:w="0" w:type="auto"/>
            <w:noWrap w:val="0"/>
            <w:vAlign w:val="center"/>
          </w:tcPr>
          <w:p w14:paraId="7AA00A3F">
            <w:r>
              <w:rPr>
                <w:rStyle w:val="10"/>
                <w:rFonts w:hint="eastAsia"/>
              </w:rPr>
              <w:t>剂型：</w:t>
            </w:r>
            <w:r>
              <w:rPr>
                <w:rFonts w:hint="eastAsia"/>
              </w:rPr>
              <w:t>可溶液剂</w:t>
            </w:r>
          </w:p>
        </w:tc>
      </w:tr>
      <w:tr w14:paraId="0835A7A2">
        <w:tblPrEx>
          <w:tblCellMar>
            <w:top w:w="0" w:type="dxa"/>
            <w:left w:w="0" w:type="dxa"/>
            <w:bottom w:w="0" w:type="dxa"/>
            <w:right w:w="0" w:type="dxa"/>
          </w:tblCellMar>
        </w:tblPrEx>
        <w:trPr>
          <w:wBefore w:w="0" w:type="auto"/>
          <w:tblCellSpacing w:w="0" w:type="dxa"/>
        </w:trPr>
        <w:tc>
          <w:tcPr>
            <w:tcW w:w="0" w:type="auto"/>
            <w:noWrap w:val="0"/>
            <w:vAlign w:val="center"/>
          </w:tcPr>
          <w:p w14:paraId="28CB5428">
            <w:r>
              <w:rPr>
                <w:rStyle w:val="10"/>
                <w:rFonts w:hint="eastAsia"/>
              </w:rPr>
              <w:t>毒性及其标识：</w:t>
            </w:r>
            <w:r>
              <w:rPr>
                <w:rFonts w:hint="eastAsia"/>
              </w:rPr>
              <w:t xml:space="preserve"> </w:t>
            </w:r>
            <w:r>
              <w:rPr>
                <w:lang/>
              </w:rPr>
              <w:drawing>
                <wp:inline distT="0" distB="0" distL="114300" distR="114300">
                  <wp:extent cx="476250" cy="323850"/>
                  <wp:effectExtent l="0" t="0" r="0" b="0"/>
                  <wp:docPr id="363" name="图片 36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22704CD">
        <w:tblPrEx>
          <w:tblCellMar>
            <w:top w:w="0" w:type="dxa"/>
            <w:left w:w="0" w:type="dxa"/>
            <w:bottom w:w="0" w:type="dxa"/>
            <w:right w:w="0" w:type="dxa"/>
          </w:tblCellMar>
        </w:tblPrEx>
        <w:trPr>
          <w:wBefore w:w="0" w:type="auto"/>
          <w:tblCellSpacing w:w="0" w:type="dxa"/>
        </w:trPr>
        <w:tc>
          <w:tcPr>
            <w:tcW w:w="0" w:type="auto"/>
            <w:noWrap w:val="0"/>
            <w:vAlign w:val="center"/>
          </w:tcPr>
          <w:p w14:paraId="1657D8A3">
            <w:r>
              <w:rPr>
                <w:rStyle w:val="10"/>
                <w:rFonts w:hint="eastAsia"/>
              </w:rPr>
              <w:t>总有效成分含量：</w:t>
            </w:r>
            <w:r>
              <w:rPr>
                <w:rFonts w:hint="eastAsia"/>
              </w:rPr>
              <w:t>10%</w:t>
            </w:r>
          </w:p>
        </w:tc>
      </w:tr>
      <w:tr w14:paraId="0DE3B98A">
        <w:tblPrEx>
          <w:tblCellMar>
            <w:top w:w="0" w:type="dxa"/>
            <w:left w:w="0" w:type="dxa"/>
            <w:bottom w:w="0" w:type="dxa"/>
            <w:right w:w="0" w:type="dxa"/>
          </w:tblCellMar>
        </w:tblPrEx>
        <w:trPr>
          <w:wBefore w:w="0" w:type="auto"/>
          <w:tblCellSpacing w:w="0" w:type="dxa"/>
        </w:trPr>
        <w:tc>
          <w:tcPr>
            <w:tcW w:w="0" w:type="auto"/>
            <w:noWrap w:val="0"/>
            <w:vAlign w:val="center"/>
          </w:tcPr>
          <w:p w14:paraId="07A594E0">
            <w:r>
              <w:rPr>
                <w:rFonts w:hint="eastAsia"/>
              </w:rPr>
              <w:t xml:space="preserve">有效成分及其含量： </w:t>
            </w:r>
          </w:p>
          <w:p w14:paraId="142BCEC9">
            <w:r>
              <w:rPr>
                <w:rFonts w:hint="eastAsia"/>
              </w:rPr>
              <w:t xml:space="preserve">    精草铵膦10%    </w:t>
            </w:r>
          </w:p>
        </w:tc>
      </w:tr>
      <w:tr w14:paraId="43D64C54">
        <w:tblPrEx>
          <w:tblCellMar>
            <w:top w:w="0" w:type="dxa"/>
            <w:left w:w="0" w:type="dxa"/>
            <w:bottom w:w="0" w:type="dxa"/>
            <w:right w:w="0" w:type="dxa"/>
          </w:tblCellMar>
        </w:tblPrEx>
        <w:trPr>
          <w:wBefore w:w="0" w:type="auto"/>
          <w:tblCellSpacing w:w="0" w:type="dxa"/>
        </w:trPr>
        <w:tc>
          <w:tcPr>
            <w:tcW w:w="0" w:type="auto"/>
            <w:noWrap w:val="0"/>
            <w:vAlign w:val="center"/>
          </w:tcPr>
          <w:p w14:paraId="7A227EB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EEB06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217D9E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95B354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17BDE7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F39190C">
                  <w:r>
                    <w:rPr>
                      <w:rStyle w:val="11"/>
                      <w:rFonts w:hint="eastAsia"/>
                    </w:rPr>
                    <w:t>施用方式</w:t>
                  </w:r>
                </w:p>
              </w:tc>
            </w:tr>
            <w:tr w14:paraId="58CB84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49C8C17">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4B981A">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9A9EE3">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AB727E">
                  <w:r>
                    <w:rPr>
                      <w:rStyle w:val="11"/>
                      <w:rFonts w:hint="eastAsia"/>
                    </w:rPr>
                    <w:t>茎叶喷雾</w:t>
                  </w:r>
                </w:p>
              </w:tc>
            </w:tr>
          </w:tbl>
          <w:p w14:paraId="20C574B3">
            <w:pPr>
              <w:rPr>
                <w:rFonts w:ascii="Times New Roman" w:hAnsi="Times New Roman" w:cs="Times New Roman"/>
                <w:sz w:val="20"/>
                <w:szCs w:val="20"/>
              </w:rPr>
            </w:pPr>
          </w:p>
        </w:tc>
      </w:tr>
      <w:tr w14:paraId="37D205A3">
        <w:tblPrEx>
          <w:tblCellMar>
            <w:top w:w="0" w:type="dxa"/>
            <w:left w:w="0" w:type="dxa"/>
            <w:bottom w:w="0" w:type="dxa"/>
            <w:right w:w="0" w:type="dxa"/>
          </w:tblCellMar>
        </w:tblPrEx>
        <w:trPr>
          <w:wBefore w:w="0" w:type="auto"/>
          <w:tblCellSpacing w:w="0" w:type="dxa"/>
        </w:trPr>
        <w:tc>
          <w:tcPr>
            <w:tcW w:w="0" w:type="auto"/>
            <w:noWrap w:val="0"/>
            <w:vAlign w:val="center"/>
          </w:tcPr>
          <w:p w14:paraId="21DE1875">
            <w:r>
              <w:rPr>
                <w:rStyle w:val="10"/>
                <w:rFonts w:hint="eastAsia"/>
              </w:rPr>
              <w:t>使用技术要求:</w:t>
            </w:r>
            <w:r>
              <w:rPr>
                <w:rFonts w:hint="eastAsia"/>
              </w:rPr>
              <w:br w:type="textWrapping"/>
            </w:r>
            <w:r>
              <w:rPr>
                <w:rStyle w:val="11"/>
                <w:rFonts w:hint="eastAsia"/>
              </w:rPr>
              <w:t>在杂草生长旺盛期茎叶均匀喷雾，确保杂草喷湿喷透。若杂草草龄较大或杂草密度较大时应增加用药量。</w:t>
            </w:r>
          </w:p>
        </w:tc>
      </w:tr>
      <w:tr w14:paraId="5F0DDDF6">
        <w:tblPrEx>
          <w:tblCellMar>
            <w:top w:w="0" w:type="dxa"/>
            <w:left w:w="0" w:type="dxa"/>
            <w:bottom w:w="0" w:type="dxa"/>
            <w:right w:w="0" w:type="dxa"/>
          </w:tblCellMar>
        </w:tblPrEx>
        <w:trPr>
          <w:wBefore w:w="0" w:type="auto"/>
          <w:tblCellSpacing w:w="0" w:type="dxa"/>
        </w:trPr>
        <w:tc>
          <w:tcPr>
            <w:tcW w:w="0" w:type="auto"/>
            <w:noWrap w:val="0"/>
            <w:vAlign w:val="center"/>
          </w:tcPr>
          <w:p w14:paraId="1404522D">
            <w:r>
              <w:rPr>
                <w:rStyle w:val="10"/>
                <w:rFonts w:hint="eastAsia"/>
              </w:rPr>
              <w:t>产品性能:</w:t>
            </w:r>
            <w:r>
              <w:rPr>
                <w:rFonts w:hint="eastAsia"/>
              </w:rPr>
              <w:br w:type="textWrapping"/>
            </w:r>
            <w:r>
              <w:rPr>
                <w:rStyle w:val="11"/>
                <w:rFonts w:hint="eastAsia"/>
              </w:rPr>
              <w:t>本品是一种非选择性触杀型除草剂。</w:t>
            </w:r>
          </w:p>
        </w:tc>
      </w:tr>
      <w:tr w14:paraId="7F9068B5">
        <w:tblPrEx>
          <w:tblCellMar>
            <w:top w:w="0" w:type="dxa"/>
            <w:left w:w="0" w:type="dxa"/>
            <w:bottom w:w="0" w:type="dxa"/>
            <w:right w:w="0" w:type="dxa"/>
          </w:tblCellMar>
        </w:tblPrEx>
        <w:trPr>
          <w:wBefore w:w="0" w:type="auto"/>
          <w:tblCellSpacing w:w="0" w:type="dxa"/>
        </w:trPr>
        <w:tc>
          <w:tcPr>
            <w:tcW w:w="0" w:type="auto"/>
            <w:noWrap w:val="0"/>
            <w:vAlign w:val="center"/>
          </w:tcPr>
          <w:p w14:paraId="4C4B6A24">
            <w:r>
              <w:rPr>
                <w:rStyle w:val="10"/>
                <w:rFonts w:hint="eastAsia"/>
              </w:rPr>
              <w:t>注意事项：</w:t>
            </w:r>
            <w:r>
              <w:rPr>
                <w:rFonts w:hint="eastAsia"/>
              </w:rPr>
              <w:br w:type="textWrapping"/>
            </w:r>
            <w:r>
              <w:rPr>
                <w:rStyle w:val="11"/>
                <w:rFonts w:hint="eastAsia"/>
              </w:rPr>
              <w:t>1、本品为非选择性除草剂，施药过程中若遇大风、大雨、积水等影响喷雾效果的情形应停止施药，并防止雾滴飘移到其他地块。 2、如需与其他助剂或药剂混用，请在当地农技人员指导下，先进行小面积试验确认有效性后，科学合理搭配使用。 3、请在农技人员指导下，根据杂草发生基数、叶龄及种类、施药时天气条件、药械种类等因素科学合理的调整用药剂量、用水量。 4、施用时尽量做好身体各部位科学合理的防护，采取正确的施药方式。注意个人防护，穿长衣长裤、戴手套、眼镜、戴口罩等；施药时不能吸烟、饮水等；施药后清洗干净手脸等。 5、蚕室、桑园附近禁用，禁止在河塘等水体中清洗施药器具。施药后及时、细致清洗施药器具，废弃物要妥善处理，不能随意丢弃，也不能做他用。 6、避免孕妇和哺乳期妇女接触本品。 7、使用前请仔细阅读此标签，并严格按照标签说明使用。未尽使用情形，请结合当地实际情况，在农业技术人员指导下使用。 8.禁止在田间道路、田埂、果树行间、休耕地、林场地等农林区域使用。</w:t>
            </w:r>
          </w:p>
        </w:tc>
      </w:tr>
      <w:tr w14:paraId="7B9646F0">
        <w:tblPrEx>
          <w:tblCellMar>
            <w:top w:w="0" w:type="dxa"/>
            <w:left w:w="0" w:type="dxa"/>
            <w:bottom w:w="0" w:type="dxa"/>
            <w:right w:w="0" w:type="dxa"/>
          </w:tblCellMar>
        </w:tblPrEx>
        <w:trPr>
          <w:wBefore w:w="0" w:type="auto"/>
          <w:tblCellSpacing w:w="0" w:type="dxa"/>
        </w:trPr>
        <w:tc>
          <w:tcPr>
            <w:tcW w:w="0" w:type="auto"/>
            <w:noWrap w:val="0"/>
            <w:vAlign w:val="center"/>
          </w:tcPr>
          <w:p w14:paraId="5EEBEA0C">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152AE08C">
        <w:tblPrEx>
          <w:tblCellMar>
            <w:top w:w="0" w:type="dxa"/>
            <w:left w:w="0" w:type="dxa"/>
            <w:bottom w:w="0" w:type="dxa"/>
            <w:right w:w="0" w:type="dxa"/>
          </w:tblCellMar>
        </w:tblPrEx>
        <w:trPr>
          <w:wBefore w:w="0" w:type="auto"/>
          <w:tblCellSpacing w:w="0" w:type="dxa"/>
        </w:trPr>
        <w:tc>
          <w:tcPr>
            <w:tcW w:w="0" w:type="auto"/>
            <w:noWrap w:val="0"/>
            <w:vAlign w:val="center"/>
          </w:tcPr>
          <w:p w14:paraId="2B8EBEDA">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物品同贮同运。装卸时，注意轻拿轻放，禁止说笑打闹、吃、喝、抽烟；运输时要防潮防晒。</w:t>
            </w:r>
          </w:p>
        </w:tc>
      </w:tr>
      <w:tr w14:paraId="41B7A604">
        <w:tblPrEx>
          <w:tblCellMar>
            <w:top w:w="0" w:type="dxa"/>
            <w:left w:w="0" w:type="dxa"/>
            <w:bottom w:w="0" w:type="dxa"/>
            <w:right w:w="0" w:type="dxa"/>
          </w:tblCellMar>
        </w:tblPrEx>
        <w:trPr>
          <w:wBefore w:w="0" w:type="auto"/>
          <w:tblCellSpacing w:w="0" w:type="dxa"/>
        </w:trPr>
        <w:tc>
          <w:tcPr>
            <w:tcW w:w="0" w:type="auto"/>
            <w:noWrap w:val="0"/>
            <w:vAlign w:val="center"/>
          </w:tcPr>
          <w:p w14:paraId="5FB22284">
            <w:r>
              <w:rPr>
                <w:rStyle w:val="10"/>
                <w:rFonts w:hint="eastAsia"/>
              </w:rPr>
              <w:t>质量保证期：</w:t>
            </w:r>
            <w:r>
              <w:rPr>
                <w:rStyle w:val="11"/>
                <w:rFonts w:hint="eastAsia"/>
              </w:rPr>
              <w:t>2年</w:t>
            </w:r>
          </w:p>
        </w:tc>
      </w:tr>
      <w:tr w14:paraId="3E4F1B4D">
        <w:tblPrEx>
          <w:tblCellMar>
            <w:top w:w="0" w:type="dxa"/>
            <w:left w:w="0" w:type="dxa"/>
            <w:bottom w:w="0" w:type="dxa"/>
            <w:right w:w="0" w:type="dxa"/>
          </w:tblCellMar>
        </w:tblPrEx>
        <w:trPr>
          <w:wBefore w:w="0" w:type="auto"/>
          <w:tblCellSpacing w:w="0" w:type="dxa"/>
        </w:trPr>
        <w:tc>
          <w:tcPr>
            <w:tcW w:w="0" w:type="auto"/>
            <w:noWrap w:val="0"/>
            <w:vAlign w:val="center"/>
          </w:tcPr>
          <w:p w14:paraId="2B0A4526">
            <w:r>
              <w:rPr>
                <w:rStyle w:val="10"/>
                <w:rFonts w:hint="eastAsia"/>
              </w:rPr>
              <w:t>备注：</w:t>
            </w:r>
            <w:r>
              <w:rPr>
                <w:rFonts w:hint="eastAsia"/>
              </w:rPr>
              <w:br w:type="textWrapping"/>
            </w:r>
            <w:r>
              <w:rPr>
                <w:rStyle w:val="11"/>
                <w:rFonts w:hint="eastAsia"/>
              </w:rPr>
              <w:t>精草铵膦铵盐11%。</w:t>
            </w:r>
          </w:p>
        </w:tc>
      </w:tr>
    </w:tbl>
    <w:p w14:paraId="41CF45E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9691219">
        <w:tblPrEx>
          <w:tblCellMar>
            <w:top w:w="0" w:type="dxa"/>
            <w:left w:w="0" w:type="dxa"/>
            <w:bottom w:w="0" w:type="dxa"/>
            <w:right w:w="0" w:type="dxa"/>
          </w:tblCellMar>
        </w:tblPrEx>
        <w:trPr>
          <w:wBefore w:w="0" w:type="auto"/>
          <w:tblCellSpacing w:w="0" w:type="dxa"/>
        </w:trPr>
        <w:tc>
          <w:tcPr>
            <w:tcW w:w="0" w:type="auto"/>
            <w:noWrap w:val="0"/>
            <w:vAlign w:val="center"/>
          </w:tcPr>
          <w:p w14:paraId="2CF3293C">
            <w:r>
              <w:rPr>
                <w:rStyle w:val="10"/>
                <w:rFonts w:hint="eastAsia"/>
              </w:rPr>
              <w:t>登记证号：</w:t>
            </w:r>
            <w:r>
              <w:rPr>
                <w:rFonts w:hint="eastAsia"/>
              </w:rPr>
              <w:t>WP20210229</w:t>
            </w:r>
          </w:p>
        </w:tc>
      </w:tr>
      <w:tr w14:paraId="0C6062D1">
        <w:tblPrEx>
          <w:tblCellMar>
            <w:top w:w="0" w:type="dxa"/>
            <w:left w:w="0" w:type="dxa"/>
            <w:bottom w:w="0" w:type="dxa"/>
            <w:right w:w="0" w:type="dxa"/>
          </w:tblCellMar>
        </w:tblPrEx>
        <w:trPr>
          <w:wBefore w:w="0" w:type="auto"/>
          <w:tblCellSpacing w:w="0" w:type="dxa"/>
        </w:trPr>
        <w:tc>
          <w:tcPr>
            <w:tcW w:w="0" w:type="auto"/>
            <w:noWrap w:val="0"/>
            <w:vAlign w:val="center"/>
          </w:tcPr>
          <w:p w14:paraId="30E3CB5A">
            <w:r>
              <w:rPr>
                <w:rStyle w:val="10"/>
                <w:rFonts w:hint="eastAsia"/>
              </w:rPr>
              <w:t>登记证持有人：</w:t>
            </w:r>
            <w:r>
              <w:rPr>
                <w:rFonts w:hint="eastAsia"/>
              </w:rPr>
              <w:t>广西壮族自治区柳州市万友家庭卫生害虫防治所</w:t>
            </w:r>
          </w:p>
        </w:tc>
      </w:tr>
      <w:tr w14:paraId="096F08AD">
        <w:tblPrEx>
          <w:tblCellMar>
            <w:top w:w="0" w:type="dxa"/>
            <w:left w:w="0" w:type="dxa"/>
            <w:bottom w:w="0" w:type="dxa"/>
            <w:right w:w="0" w:type="dxa"/>
          </w:tblCellMar>
        </w:tblPrEx>
        <w:trPr>
          <w:wBefore w:w="0" w:type="auto"/>
          <w:tblCellSpacing w:w="0" w:type="dxa"/>
        </w:trPr>
        <w:tc>
          <w:tcPr>
            <w:tcW w:w="0" w:type="auto"/>
            <w:noWrap w:val="0"/>
            <w:vAlign w:val="center"/>
          </w:tcPr>
          <w:p w14:paraId="1ACA0837">
            <w:r>
              <w:rPr>
                <w:rStyle w:val="10"/>
                <w:rFonts w:hint="eastAsia"/>
              </w:rPr>
              <w:t>农药名称：</w:t>
            </w:r>
            <w:r>
              <w:rPr>
                <w:rFonts w:hint="eastAsia"/>
              </w:rPr>
              <w:t>蚊香</w:t>
            </w:r>
          </w:p>
        </w:tc>
      </w:tr>
      <w:tr w14:paraId="4B7BE93F">
        <w:tblPrEx>
          <w:tblCellMar>
            <w:top w:w="0" w:type="dxa"/>
            <w:left w:w="0" w:type="dxa"/>
            <w:bottom w:w="0" w:type="dxa"/>
            <w:right w:w="0" w:type="dxa"/>
          </w:tblCellMar>
        </w:tblPrEx>
        <w:trPr>
          <w:wBefore w:w="0" w:type="auto"/>
          <w:tblCellSpacing w:w="0" w:type="dxa"/>
        </w:trPr>
        <w:tc>
          <w:tcPr>
            <w:tcW w:w="0" w:type="auto"/>
            <w:noWrap w:val="0"/>
            <w:vAlign w:val="center"/>
          </w:tcPr>
          <w:p w14:paraId="5D726868">
            <w:r>
              <w:rPr>
                <w:rStyle w:val="10"/>
                <w:rFonts w:hint="eastAsia"/>
              </w:rPr>
              <w:t>剂型：</w:t>
            </w:r>
            <w:r>
              <w:rPr>
                <w:rFonts w:hint="eastAsia"/>
              </w:rPr>
              <w:t>蚊香</w:t>
            </w:r>
          </w:p>
        </w:tc>
      </w:tr>
      <w:tr w14:paraId="3512B378">
        <w:tblPrEx>
          <w:tblCellMar>
            <w:top w:w="0" w:type="dxa"/>
            <w:left w:w="0" w:type="dxa"/>
            <w:bottom w:w="0" w:type="dxa"/>
            <w:right w:w="0" w:type="dxa"/>
          </w:tblCellMar>
        </w:tblPrEx>
        <w:trPr>
          <w:wBefore w:w="0" w:type="auto"/>
          <w:tblCellSpacing w:w="0" w:type="dxa"/>
        </w:trPr>
        <w:tc>
          <w:tcPr>
            <w:tcW w:w="0" w:type="auto"/>
            <w:noWrap w:val="0"/>
            <w:vAlign w:val="center"/>
          </w:tcPr>
          <w:p w14:paraId="39003E0C">
            <w:r>
              <w:rPr>
                <w:rStyle w:val="10"/>
                <w:rFonts w:hint="eastAsia"/>
              </w:rPr>
              <w:t>毒性及其标识：</w:t>
            </w:r>
            <w:r>
              <w:rPr>
                <w:rFonts w:hint="eastAsia"/>
              </w:rPr>
              <w:t xml:space="preserve"> 微毒 </w:t>
            </w:r>
          </w:p>
        </w:tc>
      </w:tr>
      <w:tr w14:paraId="679466FE">
        <w:tblPrEx>
          <w:tblCellMar>
            <w:top w:w="0" w:type="dxa"/>
            <w:left w:w="0" w:type="dxa"/>
            <w:bottom w:w="0" w:type="dxa"/>
            <w:right w:w="0" w:type="dxa"/>
          </w:tblCellMar>
        </w:tblPrEx>
        <w:trPr>
          <w:wBefore w:w="0" w:type="auto"/>
          <w:tblCellSpacing w:w="0" w:type="dxa"/>
        </w:trPr>
        <w:tc>
          <w:tcPr>
            <w:tcW w:w="0" w:type="auto"/>
            <w:noWrap w:val="0"/>
            <w:vAlign w:val="center"/>
          </w:tcPr>
          <w:p w14:paraId="133BC376">
            <w:r>
              <w:rPr>
                <w:rStyle w:val="10"/>
                <w:rFonts w:hint="eastAsia"/>
              </w:rPr>
              <w:t>总有效成分含量：</w:t>
            </w:r>
            <w:r>
              <w:rPr>
                <w:rFonts w:hint="eastAsia"/>
              </w:rPr>
              <w:t>0.05%</w:t>
            </w:r>
          </w:p>
        </w:tc>
      </w:tr>
      <w:tr w14:paraId="01667ED7">
        <w:tblPrEx>
          <w:tblCellMar>
            <w:top w:w="0" w:type="dxa"/>
            <w:left w:w="0" w:type="dxa"/>
            <w:bottom w:w="0" w:type="dxa"/>
            <w:right w:w="0" w:type="dxa"/>
          </w:tblCellMar>
        </w:tblPrEx>
        <w:trPr>
          <w:wBefore w:w="0" w:type="auto"/>
          <w:tblCellSpacing w:w="0" w:type="dxa"/>
        </w:trPr>
        <w:tc>
          <w:tcPr>
            <w:tcW w:w="0" w:type="auto"/>
            <w:noWrap w:val="0"/>
            <w:vAlign w:val="center"/>
          </w:tcPr>
          <w:p w14:paraId="0F571395">
            <w:r>
              <w:rPr>
                <w:rFonts w:hint="eastAsia"/>
              </w:rPr>
              <w:t xml:space="preserve">有效成分及其含量： </w:t>
            </w:r>
          </w:p>
          <w:p w14:paraId="5FF51349">
            <w:r>
              <w:rPr>
                <w:rFonts w:hint="eastAsia"/>
              </w:rPr>
              <w:t xml:space="preserve">    氯氟醚菊酯0.05%    </w:t>
            </w:r>
          </w:p>
        </w:tc>
      </w:tr>
      <w:tr w14:paraId="4EF46849">
        <w:tblPrEx>
          <w:tblCellMar>
            <w:top w:w="0" w:type="dxa"/>
            <w:left w:w="0" w:type="dxa"/>
            <w:bottom w:w="0" w:type="dxa"/>
            <w:right w:w="0" w:type="dxa"/>
          </w:tblCellMar>
        </w:tblPrEx>
        <w:trPr>
          <w:wBefore w:w="0" w:type="auto"/>
          <w:tblCellSpacing w:w="0" w:type="dxa"/>
        </w:trPr>
        <w:tc>
          <w:tcPr>
            <w:tcW w:w="0" w:type="auto"/>
            <w:noWrap w:val="0"/>
            <w:vAlign w:val="center"/>
          </w:tcPr>
          <w:p w14:paraId="39641CA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48CCB5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5A742D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61B7A8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9BDC0E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135BF8">
                  <w:r>
                    <w:rPr>
                      <w:rStyle w:val="11"/>
                      <w:rFonts w:hint="eastAsia"/>
                    </w:rPr>
                    <w:t>施用方式</w:t>
                  </w:r>
                </w:p>
              </w:tc>
            </w:tr>
            <w:tr w14:paraId="585D54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07B0DCD">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28B965">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A574BE">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CD0D37">
                  <w:r>
                    <w:rPr>
                      <w:rStyle w:val="11"/>
                      <w:rFonts w:hint="eastAsia"/>
                    </w:rPr>
                    <w:t>点燃</w:t>
                  </w:r>
                </w:p>
              </w:tc>
            </w:tr>
          </w:tbl>
          <w:p w14:paraId="1E8F3176">
            <w:pPr>
              <w:rPr>
                <w:rFonts w:ascii="Times New Roman" w:hAnsi="Times New Roman" w:cs="Times New Roman"/>
                <w:sz w:val="20"/>
                <w:szCs w:val="20"/>
              </w:rPr>
            </w:pPr>
          </w:p>
        </w:tc>
      </w:tr>
      <w:tr w14:paraId="39952A48">
        <w:tblPrEx>
          <w:tblCellMar>
            <w:top w:w="0" w:type="dxa"/>
            <w:left w:w="0" w:type="dxa"/>
            <w:bottom w:w="0" w:type="dxa"/>
            <w:right w:w="0" w:type="dxa"/>
          </w:tblCellMar>
        </w:tblPrEx>
        <w:trPr>
          <w:wBefore w:w="0" w:type="auto"/>
          <w:tblCellSpacing w:w="0" w:type="dxa"/>
        </w:trPr>
        <w:tc>
          <w:tcPr>
            <w:tcW w:w="0" w:type="auto"/>
            <w:noWrap w:val="0"/>
            <w:vAlign w:val="center"/>
          </w:tcPr>
          <w:p w14:paraId="328792A2">
            <w:r>
              <w:rPr>
                <w:rStyle w:val="10"/>
                <w:rFonts w:hint="eastAsia"/>
              </w:rPr>
              <w:t>使用技术要求:</w:t>
            </w:r>
            <w:r>
              <w:rPr>
                <w:rFonts w:hint="eastAsia"/>
              </w:rPr>
              <w:br w:type="textWrapping"/>
            </w:r>
            <w:r>
              <w:rPr>
                <w:rStyle w:val="11"/>
                <w:rFonts w:hint="eastAsia"/>
              </w:rPr>
              <w:t>将蚊香脱开成两单圈，将铁架垂直折起，然后点燃香圈末端，将蚊香中心插在铁架的尖端。</w:t>
            </w:r>
          </w:p>
        </w:tc>
      </w:tr>
      <w:tr w14:paraId="2C7B6999">
        <w:tblPrEx>
          <w:tblCellMar>
            <w:top w:w="0" w:type="dxa"/>
            <w:left w:w="0" w:type="dxa"/>
            <w:bottom w:w="0" w:type="dxa"/>
            <w:right w:w="0" w:type="dxa"/>
          </w:tblCellMar>
        </w:tblPrEx>
        <w:trPr>
          <w:wBefore w:w="0" w:type="auto"/>
          <w:tblCellSpacing w:w="0" w:type="dxa"/>
        </w:trPr>
        <w:tc>
          <w:tcPr>
            <w:tcW w:w="0" w:type="auto"/>
            <w:noWrap w:val="0"/>
            <w:vAlign w:val="center"/>
          </w:tcPr>
          <w:p w14:paraId="1EFDFC95">
            <w:r>
              <w:rPr>
                <w:rStyle w:val="10"/>
                <w:rFonts w:hint="eastAsia"/>
              </w:rPr>
              <w:t>产品性能:</w:t>
            </w:r>
            <w:r>
              <w:rPr>
                <w:rFonts w:hint="eastAsia"/>
              </w:rPr>
              <w:br w:type="textWrapping"/>
            </w:r>
            <w:r>
              <w:rPr>
                <w:rStyle w:val="11"/>
                <w:rFonts w:hint="eastAsia"/>
              </w:rPr>
              <w:t>本产品能有效驱杀蚊子，适用于家庭、宾馆、办公室、饭店等室内场所。</w:t>
            </w:r>
          </w:p>
        </w:tc>
      </w:tr>
      <w:tr w14:paraId="30423DC4">
        <w:tblPrEx>
          <w:tblCellMar>
            <w:top w:w="0" w:type="dxa"/>
            <w:left w:w="0" w:type="dxa"/>
            <w:bottom w:w="0" w:type="dxa"/>
            <w:right w:w="0" w:type="dxa"/>
          </w:tblCellMar>
        </w:tblPrEx>
        <w:trPr>
          <w:wBefore w:w="0" w:type="auto"/>
          <w:tblCellSpacing w:w="0" w:type="dxa"/>
        </w:trPr>
        <w:tc>
          <w:tcPr>
            <w:tcW w:w="0" w:type="auto"/>
            <w:noWrap w:val="0"/>
            <w:vAlign w:val="center"/>
          </w:tcPr>
          <w:p w14:paraId="5DF01082">
            <w:r>
              <w:rPr>
                <w:rStyle w:val="10"/>
                <w:rFonts w:hint="eastAsia"/>
              </w:rPr>
              <w:t>注意事项：</w:t>
            </w:r>
            <w:r>
              <w:rPr>
                <w:rFonts w:hint="eastAsia"/>
              </w:rPr>
              <w:br w:type="textWrapping"/>
            </w:r>
            <w:r>
              <w:rPr>
                <w:rStyle w:val="11"/>
                <w:rFonts w:hint="eastAsia"/>
              </w:rPr>
              <w:t>1.仅限室内使用。养蚕室及其附近禁用。 2.如不慎受潮，可在通风口吹干后使用，效果不变。 3.使用时应远离火源和易燃品，勿用易燃品做接灰盘，注意防火安全，注意通风。 4.勿在电风扇或大风处使用，以免影响效果。 5.对鱼、蚕有毒，蚕室及其附近禁用，用后洗手。 6.孕妇及哺乳期妇女避免接触本产品。</w:t>
            </w:r>
          </w:p>
        </w:tc>
      </w:tr>
      <w:tr w14:paraId="694BC2D2">
        <w:tblPrEx>
          <w:tblCellMar>
            <w:top w:w="0" w:type="dxa"/>
            <w:left w:w="0" w:type="dxa"/>
            <w:bottom w:w="0" w:type="dxa"/>
            <w:right w:w="0" w:type="dxa"/>
          </w:tblCellMar>
        </w:tblPrEx>
        <w:trPr>
          <w:wBefore w:w="0" w:type="auto"/>
          <w:tblCellSpacing w:w="0" w:type="dxa"/>
        </w:trPr>
        <w:tc>
          <w:tcPr>
            <w:tcW w:w="0" w:type="auto"/>
            <w:noWrap w:val="0"/>
            <w:vAlign w:val="center"/>
          </w:tcPr>
          <w:p w14:paraId="6EB66041">
            <w:r>
              <w:rPr>
                <w:rStyle w:val="10"/>
                <w:rFonts w:hint="eastAsia"/>
              </w:rPr>
              <w:t>中毒急救措施：</w:t>
            </w:r>
            <w:r>
              <w:rPr>
                <w:rFonts w:hint="eastAsia"/>
              </w:rPr>
              <w:br w:type="textWrapping"/>
            </w:r>
            <w:r>
              <w:rPr>
                <w:rStyle w:val="11"/>
                <w:rFonts w:hint="eastAsia"/>
              </w:rPr>
              <w:t>本品微毒，无特效解药剂。如不慎吸入，请移至通风处，并立即送医诊治。如不慎食入，应清理口腔并携此标签立即就医。如皮肤接触或进入眼睛，应用大量清水冲洗。</w:t>
            </w:r>
          </w:p>
        </w:tc>
      </w:tr>
      <w:tr w14:paraId="26F399B3">
        <w:tblPrEx>
          <w:tblCellMar>
            <w:top w:w="0" w:type="dxa"/>
            <w:left w:w="0" w:type="dxa"/>
            <w:bottom w:w="0" w:type="dxa"/>
            <w:right w:w="0" w:type="dxa"/>
          </w:tblCellMar>
        </w:tblPrEx>
        <w:trPr>
          <w:wBefore w:w="0" w:type="auto"/>
          <w:tblCellSpacing w:w="0" w:type="dxa"/>
        </w:trPr>
        <w:tc>
          <w:tcPr>
            <w:tcW w:w="0" w:type="auto"/>
            <w:noWrap w:val="0"/>
            <w:vAlign w:val="center"/>
          </w:tcPr>
          <w:p w14:paraId="5CFADDD1">
            <w:r>
              <w:rPr>
                <w:rStyle w:val="10"/>
                <w:rFonts w:hint="eastAsia"/>
              </w:rPr>
              <w:t>储存和运输方法：</w:t>
            </w:r>
            <w:r>
              <w:rPr>
                <w:rFonts w:hint="eastAsia"/>
              </w:rPr>
              <w:br w:type="textWrapping"/>
            </w:r>
            <w:r>
              <w:rPr>
                <w:rStyle w:val="11"/>
                <w:rFonts w:hint="eastAsia"/>
              </w:rPr>
              <w:t>本品易应贮存在干燥、阴凉、通风、防雨处，远离火源或热源。置于儿童触及不到之处，并加锁。勿与食品、饮料、饲料、粮食等同贮同运。</w:t>
            </w:r>
          </w:p>
        </w:tc>
      </w:tr>
      <w:tr w14:paraId="59F0ED9A">
        <w:tblPrEx>
          <w:tblCellMar>
            <w:top w:w="0" w:type="dxa"/>
            <w:left w:w="0" w:type="dxa"/>
            <w:bottom w:w="0" w:type="dxa"/>
            <w:right w:w="0" w:type="dxa"/>
          </w:tblCellMar>
        </w:tblPrEx>
        <w:trPr>
          <w:wBefore w:w="0" w:type="auto"/>
          <w:tblCellSpacing w:w="0" w:type="dxa"/>
        </w:trPr>
        <w:tc>
          <w:tcPr>
            <w:tcW w:w="0" w:type="auto"/>
            <w:noWrap w:val="0"/>
            <w:vAlign w:val="center"/>
          </w:tcPr>
          <w:p w14:paraId="7627E3BA">
            <w:r>
              <w:rPr>
                <w:rStyle w:val="10"/>
                <w:rFonts w:hint="eastAsia"/>
              </w:rPr>
              <w:t>质量保证期：</w:t>
            </w:r>
            <w:r>
              <w:rPr>
                <w:rStyle w:val="11"/>
                <w:rFonts w:hint="eastAsia"/>
              </w:rPr>
              <w:t>2年</w:t>
            </w:r>
          </w:p>
        </w:tc>
      </w:tr>
      <w:tr w14:paraId="2F290AD0">
        <w:tblPrEx>
          <w:tblCellMar>
            <w:top w:w="0" w:type="dxa"/>
            <w:left w:w="0" w:type="dxa"/>
            <w:bottom w:w="0" w:type="dxa"/>
            <w:right w:w="0" w:type="dxa"/>
          </w:tblCellMar>
        </w:tblPrEx>
        <w:trPr>
          <w:wBefore w:w="0" w:type="auto"/>
          <w:tblCellSpacing w:w="0" w:type="dxa"/>
        </w:trPr>
        <w:tc>
          <w:tcPr>
            <w:tcW w:w="0" w:type="auto"/>
            <w:noWrap w:val="0"/>
            <w:vAlign w:val="center"/>
          </w:tcPr>
          <w:p w14:paraId="1055F3D8">
            <w:r>
              <w:rPr>
                <w:rStyle w:val="10"/>
                <w:rFonts w:hint="eastAsia"/>
              </w:rPr>
              <w:t>备注：</w:t>
            </w:r>
          </w:p>
        </w:tc>
      </w:tr>
    </w:tbl>
    <w:p w14:paraId="68AB87B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90933F">
        <w:tblPrEx>
          <w:tblCellMar>
            <w:top w:w="0" w:type="dxa"/>
            <w:left w:w="0" w:type="dxa"/>
            <w:bottom w:w="0" w:type="dxa"/>
            <w:right w:w="0" w:type="dxa"/>
          </w:tblCellMar>
        </w:tblPrEx>
        <w:trPr>
          <w:wBefore w:w="0" w:type="auto"/>
          <w:tblCellSpacing w:w="0" w:type="dxa"/>
        </w:trPr>
        <w:tc>
          <w:tcPr>
            <w:tcW w:w="0" w:type="auto"/>
            <w:noWrap w:val="0"/>
            <w:vAlign w:val="center"/>
          </w:tcPr>
          <w:p w14:paraId="7600410E">
            <w:r>
              <w:rPr>
                <w:rStyle w:val="10"/>
                <w:rFonts w:hint="eastAsia"/>
              </w:rPr>
              <w:t>登记证号：</w:t>
            </w:r>
            <w:r>
              <w:rPr>
                <w:rFonts w:hint="eastAsia"/>
              </w:rPr>
              <w:t>PD20211891</w:t>
            </w:r>
          </w:p>
        </w:tc>
      </w:tr>
      <w:tr w14:paraId="5B970AF9">
        <w:tblPrEx>
          <w:tblCellMar>
            <w:top w:w="0" w:type="dxa"/>
            <w:left w:w="0" w:type="dxa"/>
            <w:bottom w:w="0" w:type="dxa"/>
            <w:right w:w="0" w:type="dxa"/>
          </w:tblCellMar>
        </w:tblPrEx>
        <w:trPr>
          <w:wBefore w:w="0" w:type="auto"/>
          <w:tblCellSpacing w:w="0" w:type="dxa"/>
        </w:trPr>
        <w:tc>
          <w:tcPr>
            <w:tcW w:w="0" w:type="auto"/>
            <w:noWrap w:val="0"/>
            <w:vAlign w:val="center"/>
          </w:tcPr>
          <w:p w14:paraId="1058C690">
            <w:r>
              <w:rPr>
                <w:rStyle w:val="10"/>
                <w:rFonts w:hint="eastAsia"/>
              </w:rPr>
              <w:t>登记证持有人：</w:t>
            </w:r>
            <w:r>
              <w:rPr>
                <w:rFonts w:hint="eastAsia"/>
              </w:rPr>
              <w:t>杨凌翔林农业生物科技有限公司</w:t>
            </w:r>
          </w:p>
        </w:tc>
      </w:tr>
      <w:tr w14:paraId="631026E9">
        <w:tblPrEx>
          <w:tblCellMar>
            <w:top w:w="0" w:type="dxa"/>
            <w:left w:w="0" w:type="dxa"/>
            <w:bottom w:w="0" w:type="dxa"/>
            <w:right w:w="0" w:type="dxa"/>
          </w:tblCellMar>
        </w:tblPrEx>
        <w:trPr>
          <w:wBefore w:w="0" w:type="auto"/>
          <w:tblCellSpacing w:w="0" w:type="dxa"/>
        </w:trPr>
        <w:tc>
          <w:tcPr>
            <w:tcW w:w="0" w:type="auto"/>
            <w:noWrap w:val="0"/>
            <w:vAlign w:val="center"/>
          </w:tcPr>
          <w:p w14:paraId="3330670C">
            <w:r>
              <w:rPr>
                <w:rStyle w:val="10"/>
                <w:rFonts w:hint="eastAsia"/>
              </w:rPr>
              <w:t>农药名称：</w:t>
            </w:r>
            <w:r>
              <w:rPr>
                <w:rFonts w:hint="eastAsia"/>
              </w:rPr>
              <w:t>斜纹夜蛾性信息素</w:t>
            </w:r>
          </w:p>
        </w:tc>
      </w:tr>
      <w:tr w14:paraId="1C733238">
        <w:tblPrEx>
          <w:tblCellMar>
            <w:top w:w="0" w:type="dxa"/>
            <w:left w:w="0" w:type="dxa"/>
            <w:bottom w:w="0" w:type="dxa"/>
            <w:right w:w="0" w:type="dxa"/>
          </w:tblCellMar>
        </w:tblPrEx>
        <w:trPr>
          <w:wBefore w:w="0" w:type="auto"/>
          <w:tblCellSpacing w:w="0" w:type="dxa"/>
        </w:trPr>
        <w:tc>
          <w:tcPr>
            <w:tcW w:w="0" w:type="auto"/>
            <w:noWrap w:val="0"/>
            <w:vAlign w:val="center"/>
          </w:tcPr>
          <w:p w14:paraId="606A1A0D">
            <w:r>
              <w:rPr>
                <w:rStyle w:val="10"/>
                <w:rFonts w:hint="eastAsia"/>
              </w:rPr>
              <w:t>剂型：</w:t>
            </w:r>
            <w:r>
              <w:rPr>
                <w:rFonts w:hint="eastAsia"/>
              </w:rPr>
              <w:t>挥散芯</w:t>
            </w:r>
          </w:p>
        </w:tc>
      </w:tr>
      <w:tr w14:paraId="02B069C4">
        <w:tblPrEx>
          <w:tblCellMar>
            <w:top w:w="0" w:type="dxa"/>
            <w:left w:w="0" w:type="dxa"/>
            <w:bottom w:w="0" w:type="dxa"/>
            <w:right w:w="0" w:type="dxa"/>
          </w:tblCellMar>
        </w:tblPrEx>
        <w:trPr>
          <w:wBefore w:w="0" w:type="auto"/>
          <w:tblCellSpacing w:w="0" w:type="dxa"/>
        </w:trPr>
        <w:tc>
          <w:tcPr>
            <w:tcW w:w="0" w:type="auto"/>
            <w:noWrap w:val="0"/>
            <w:vAlign w:val="center"/>
          </w:tcPr>
          <w:p w14:paraId="5A36E751">
            <w:r>
              <w:rPr>
                <w:rStyle w:val="10"/>
                <w:rFonts w:hint="eastAsia"/>
              </w:rPr>
              <w:t>毒性及其标识：</w:t>
            </w:r>
            <w:r>
              <w:rPr>
                <w:rFonts w:hint="eastAsia"/>
              </w:rPr>
              <w:t xml:space="preserve"> </w:t>
            </w:r>
            <w:r>
              <w:rPr>
                <w:lang/>
              </w:rPr>
              <w:drawing>
                <wp:inline distT="0" distB="0" distL="114300" distR="114300">
                  <wp:extent cx="476250" cy="323850"/>
                  <wp:effectExtent l="0" t="0" r="0" b="0"/>
                  <wp:docPr id="364" name="图片 36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6E17675">
        <w:tblPrEx>
          <w:tblCellMar>
            <w:top w:w="0" w:type="dxa"/>
            <w:left w:w="0" w:type="dxa"/>
            <w:bottom w:w="0" w:type="dxa"/>
            <w:right w:w="0" w:type="dxa"/>
          </w:tblCellMar>
        </w:tblPrEx>
        <w:trPr>
          <w:wBefore w:w="0" w:type="auto"/>
          <w:tblCellSpacing w:w="0" w:type="dxa"/>
        </w:trPr>
        <w:tc>
          <w:tcPr>
            <w:tcW w:w="0" w:type="auto"/>
            <w:noWrap w:val="0"/>
            <w:vAlign w:val="center"/>
          </w:tcPr>
          <w:p w14:paraId="3977CBFF">
            <w:r>
              <w:rPr>
                <w:rStyle w:val="10"/>
                <w:rFonts w:hint="eastAsia"/>
              </w:rPr>
              <w:t>总有效成分含量：</w:t>
            </w:r>
            <w:r>
              <w:rPr>
                <w:rFonts w:hint="eastAsia"/>
              </w:rPr>
              <w:t>3.3毫克/个</w:t>
            </w:r>
          </w:p>
        </w:tc>
      </w:tr>
      <w:tr w14:paraId="283A2011">
        <w:tblPrEx>
          <w:tblCellMar>
            <w:top w:w="0" w:type="dxa"/>
            <w:left w:w="0" w:type="dxa"/>
            <w:bottom w:w="0" w:type="dxa"/>
            <w:right w:w="0" w:type="dxa"/>
          </w:tblCellMar>
        </w:tblPrEx>
        <w:trPr>
          <w:wBefore w:w="0" w:type="auto"/>
          <w:tblCellSpacing w:w="0" w:type="dxa"/>
        </w:trPr>
        <w:tc>
          <w:tcPr>
            <w:tcW w:w="0" w:type="auto"/>
            <w:noWrap w:val="0"/>
            <w:vAlign w:val="center"/>
          </w:tcPr>
          <w:p w14:paraId="3AF9DF0C">
            <w:r>
              <w:rPr>
                <w:rFonts w:hint="eastAsia"/>
              </w:rPr>
              <w:t xml:space="preserve">有效成分及其含量： </w:t>
            </w:r>
          </w:p>
          <w:p w14:paraId="5030D0B1">
            <w:r>
              <w:rPr>
                <w:rFonts w:hint="eastAsia"/>
              </w:rPr>
              <w:t xml:space="preserve">    顺9反12-十四碳烯乙酸酯0.3毫克/个    顺9反11-十四碳烯乙酸酯3毫克/个    </w:t>
            </w:r>
          </w:p>
        </w:tc>
      </w:tr>
      <w:tr w14:paraId="343589D2">
        <w:tblPrEx>
          <w:tblCellMar>
            <w:top w:w="0" w:type="dxa"/>
            <w:left w:w="0" w:type="dxa"/>
            <w:bottom w:w="0" w:type="dxa"/>
            <w:right w:w="0" w:type="dxa"/>
          </w:tblCellMar>
        </w:tblPrEx>
        <w:trPr>
          <w:wBefore w:w="0" w:type="auto"/>
          <w:tblCellSpacing w:w="0" w:type="dxa"/>
        </w:trPr>
        <w:tc>
          <w:tcPr>
            <w:tcW w:w="0" w:type="auto"/>
            <w:noWrap w:val="0"/>
            <w:vAlign w:val="center"/>
          </w:tcPr>
          <w:p w14:paraId="4C48D36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716879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9F2B09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116399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133B42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38026BE">
                  <w:r>
                    <w:rPr>
                      <w:rStyle w:val="11"/>
                      <w:rFonts w:hint="eastAsia"/>
                    </w:rPr>
                    <w:t>施用方式</w:t>
                  </w:r>
                </w:p>
              </w:tc>
            </w:tr>
            <w:tr w14:paraId="19D3B5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D68A54">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4DC29F">
                  <w:r>
                    <w:rPr>
                      <w:rStyle w:val="11"/>
                      <w:rFonts w:hint="eastAsia"/>
                    </w:rPr>
                    <w:t>斜纹夜蛾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0AB4FB">
                  <w:r>
                    <w:rPr>
                      <w:rStyle w:val="11"/>
                      <w:rFonts w:hint="eastAsia"/>
                    </w:rPr>
                    <w:t>1-3个挥散芯/亩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B59BCA">
                  <w:r>
                    <w:rPr>
                      <w:rStyle w:val="11"/>
                      <w:rFonts w:hint="eastAsia"/>
                    </w:rPr>
                    <w:t>诱捕</w:t>
                  </w:r>
                </w:p>
              </w:tc>
            </w:tr>
            <w:tr w14:paraId="05252A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B8C695">
                  <w:r>
                    <w:rPr>
                      <w:rStyle w:val="11"/>
                      <w:rFonts w:hint="eastAsia"/>
                    </w:rPr>
                    <w:t>十字花科蔬菜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DCF8EB">
                  <w:r>
                    <w:rPr>
                      <w:rStyle w:val="11"/>
                      <w:rFonts w:hint="eastAsia"/>
                    </w:rPr>
                    <w:t>斜纹夜蛾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9BFA86">
                  <w:r>
                    <w:rPr>
                      <w:rStyle w:val="11"/>
                      <w:rFonts w:hint="eastAsia"/>
                    </w:rPr>
                    <w:t>1-3个挥散芯/亩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A3BF5B">
                  <w:r>
                    <w:rPr>
                      <w:rStyle w:val="11"/>
                      <w:rFonts w:hint="eastAsia"/>
                    </w:rPr>
                    <w:t>诱捕</w:t>
                  </w:r>
                </w:p>
              </w:tc>
            </w:tr>
          </w:tbl>
          <w:p w14:paraId="31880011">
            <w:pPr>
              <w:rPr>
                <w:rFonts w:ascii="Times New Roman" w:hAnsi="Times New Roman" w:cs="Times New Roman"/>
                <w:sz w:val="20"/>
                <w:szCs w:val="20"/>
              </w:rPr>
            </w:pPr>
          </w:p>
        </w:tc>
      </w:tr>
      <w:tr w14:paraId="773A8341">
        <w:tblPrEx>
          <w:tblCellMar>
            <w:top w:w="0" w:type="dxa"/>
            <w:left w:w="0" w:type="dxa"/>
            <w:bottom w:w="0" w:type="dxa"/>
            <w:right w:w="0" w:type="dxa"/>
          </w:tblCellMar>
        </w:tblPrEx>
        <w:trPr>
          <w:wBefore w:w="0" w:type="auto"/>
          <w:tblCellSpacing w:w="0" w:type="dxa"/>
        </w:trPr>
        <w:tc>
          <w:tcPr>
            <w:tcW w:w="0" w:type="auto"/>
            <w:noWrap w:val="0"/>
            <w:vAlign w:val="center"/>
          </w:tcPr>
          <w:p w14:paraId="6638765E">
            <w:r>
              <w:rPr>
                <w:rStyle w:val="10"/>
                <w:rFonts w:hint="eastAsia"/>
              </w:rPr>
              <w:t>使用技术要求:</w:t>
            </w:r>
            <w:r>
              <w:rPr>
                <w:rFonts w:hint="eastAsia"/>
              </w:rPr>
              <w:br w:type="textWrapping"/>
            </w:r>
            <w:r>
              <w:rPr>
                <w:rStyle w:val="11"/>
                <w:rFonts w:hint="eastAsia"/>
              </w:rPr>
              <w:t>1、挥散芯需要与配套诱捕器配套使用，每个诱捕器配一枚挥散芯。2、本品可用于斜纹夜蛾成虫发生的监测及防治。3一般每隔4-7天及时清理诱捕器内死虫，或根据实际诱虫量及时清理诱捕器内死虫。4、越冬代斜纹夜蛾性羽化前1周左右开始使用，每隔4-6周更换一次挥散芯。</w:t>
            </w:r>
          </w:p>
        </w:tc>
      </w:tr>
      <w:tr w14:paraId="3C19BD42">
        <w:tblPrEx>
          <w:tblCellMar>
            <w:top w:w="0" w:type="dxa"/>
            <w:left w:w="0" w:type="dxa"/>
            <w:bottom w:w="0" w:type="dxa"/>
            <w:right w:w="0" w:type="dxa"/>
          </w:tblCellMar>
        </w:tblPrEx>
        <w:trPr>
          <w:wBefore w:w="0" w:type="auto"/>
          <w:tblCellSpacing w:w="0" w:type="dxa"/>
        </w:trPr>
        <w:tc>
          <w:tcPr>
            <w:tcW w:w="0" w:type="auto"/>
            <w:noWrap w:val="0"/>
            <w:vAlign w:val="center"/>
          </w:tcPr>
          <w:p w14:paraId="5B2D2027">
            <w:r>
              <w:rPr>
                <w:rStyle w:val="10"/>
                <w:rFonts w:hint="eastAsia"/>
              </w:rPr>
              <w:t>产品性能:</w:t>
            </w:r>
            <w:r>
              <w:rPr>
                <w:rFonts w:hint="eastAsia"/>
              </w:rPr>
              <w:br w:type="textWrapping"/>
            </w:r>
            <w:r>
              <w:rPr>
                <w:rStyle w:val="11"/>
                <w:rFonts w:hint="eastAsia"/>
              </w:rPr>
              <w:t>本产品属于昆虫信息素类产品，是天然昆虫源物质的仿生合成物，只对斜纹夜蛾性雄虫有诱集作用，用于雄性斜纹夜蛾性诱捕。</w:t>
            </w:r>
          </w:p>
        </w:tc>
      </w:tr>
      <w:tr w14:paraId="47DD1652">
        <w:tblPrEx>
          <w:tblCellMar>
            <w:top w:w="0" w:type="dxa"/>
            <w:left w:w="0" w:type="dxa"/>
            <w:bottom w:w="0" w:type="dxa"/>
            <w:right w:w="0" w:type="dxa"/>
          </w:tblCellMar>
        </w:tblPrEx>
        <w:trPr>
          <w:wBefore w:w="0" w:type="auto"/>
          <w:tblCellSpacing w:w="0" w:type="dxa"/>
        </w:trPr>
        <w:tc>
          <w:tcPr>
            <w:tcW w:w="0" w:type="auto"/>
            <w:noWrap w:val="0"/>
            <w:vAlign w:val="center"/>
          </w:tcPr>
          <w:p w14:paraId="2D6E5331">
            <w:r>
              <w:rPr>
                <w:rStyle w:val="10"/>
                <w:rFonts w:hint="eastAsia"/>
              </w:rPr>
              <w:t>注意事项：</w:t>
            </w:r>
            <w:r>
              <w:rPr>
                <w:rFonts w:hint="eastAsia"/>
              </w:rPr>
              <w:br w:type="textWrapping"/>
            </w:r>
            <w:r>
              <w:rPr>
                <w:rStyle w:val="11"/>
                <w:rFonts w:hint="eastAsia"/>
              </w:rPr>
              <w:t>1、使用时掌握使用时间，成虫扬飞前使用，宁早勿晚。2、本品不可单独使用，须与配套诱捕器配合使用，才可达到诱捕监测防治效果。3、挥散芯具体悬挂方式，参照配套诱捕器使用说明放置。4、一般每隔4-7天及时清理诱捕器内死虫，或根据实际诱虫量及时清理诱捕器内的死虫。5、挥散芯产品每4-6周更换一次。6、更换不同挥散芯产品时需要戴手套或用肥皂洗手，避免不同产品间相互影响。7、施药时请带上口罩、手套，穿长衣裤等，不能吃东西、喝水、吸烟等，施药完毕请立即用肥皂水清洗手和脸。8、用过的包装袋、废弃挥散芯等要集中放置，妥善处理，不可做它用，也不可随意丢弃。9、避免孕妇及哺乳期的妇女接触本品。</w:t>
            </w:r>
          </w:p>
        </w:tc>
      </w:tr>
      <w:tr w14:paraId="1836ADAB">
        <w:tblPrEx>
          <w:tblCellMar>
            <w:top w:w="0" w:type="dxa"/>
            <w:left w:w="0" w:type="dxa"/>
            <w:bottom w:w="0" w:type="dxa"/>
            <w:right w:w="0" w:type="dxa"/>
          </w:tblCellMar>
        </w:tblPrEx>
        <w:trPr>
          <w:wBefore w:w="0" w:type="auto"/>
          <w:tblCellSpacing w:w="0" w:type="dxa"/>
        </w:trPr>
        <w:tc>
          <w:tcPr>
            <w:tcW w:w="0" w:type="auto"/>
            <w:noWrap w:val="0"/>
            <w:vAlign w:val="center"/>
          </w:tcPr>
          <w:p w14:paraId="658AC80F">
            <w:r>
              <w:rPr>
                <w:rStyle w:val="10"/>
                <w:rFonts w:hint="eastAsia"/>
              </w:rPr>
              <w:t>中毒急救措施：</w:t>
            </w:r>
            <w:r>
              <w:rPr>
                <w:rFonts w:hint="eastAsia"/>
              </w:rPr>
              <w:br w:type="textWrapping"/>
            </w:r>
            <w:r>
              <w:rPr>
                <w:rStyle w:val="11"/>
                <w:rFonts w:hint="eastAsia"/>
              </w:rPr>
              <w:t>挥散芯内液体如不慎大量接触皮肤，请使用大量清水冲洗，若仍有不适应立即送医。挥散芯内液体如不慎溅入眼睛，应用足量清水冲洗15分钟以上并请医生诊治。如不慎吸入大量挥发物，应将病人移至空气流通处，有中毒症状应立即送医。如慎误服，不要随意催吐，建议尽快就医，无特效解毒剂，并携此标签送医院诊治，对症治疗。</w:t>
            </w:r>
          </w:p>
        </w:tc>
      </w:tr>
      <w:tr w14:paraId="14E4C5B9">
        <w:tblPrEx>
          <w:tblCellMar>
            <w:top w:w="0" w:type="dxa"/>
            <w:left w:w="0" w:type="dxa"/>
            <w:bottom w:w="0" w:type="dxa"/>
            <w:right w:w="0" w:type="dxa"/>
          </w:tblCellMar>
        </w:tblPrEx>
        <w:trPr>
          <w:wBefore w:w="0" w:type="auto"/>
          <w:tblCellSpacing w:w="0" w:type="dxa"/>
        </w:trPr>
        <w:tc>
          <w:tcPr>
            <w:tcW w:w="0" w:type="auto"/>
            <w:noWrap w:val="0"/>
            <w:vAlign w:val="center"/>
          </w:tcPr>
          <w:p w14:paraId="59415C80">
            <w:r>
              <w:rPr>
                <w:rStyle w:val="10"/>
                <w:rFonts w:hint="eastAsia"/>
              </w:rPr>
              <w:t>储存和运输方法：</w:t>
            </w:r>
            <w:r>
              <w:rPr>
                <w:rFonts w:hint="eastAsia"/>
              </w:rPr>
              <w:br w:type="textWrapping"/>
            </w:r>
            <w:r>
              <w:rPr>
                <w:rStyle w:val="11"/>
                <w:rFonts w:hint="eastAsia"/>
              </w:rPr>
              <w:t>本品应于4℃ 以下冷藏保存，运输过程中可常温条件下2-3 天。远离火源或热源。置于儿童触及不到之处，并加锁。勿与食品、饮料、饲料等其他商品同贮同运。</w:t>
            </w:r>
          </w:p>
        </w:tc>
      </w:tr>
      <w:tr w14:paraId="286841B5">
        <w:tblPrEx>
          <w:tblCellMar>
            <w:top w:w="0" w:type="dxa"/>
            <w:left w:w="0" w:type="dxa"/>
            <w:bottom w:w="0" w:type="dxa"/>
            <w:right w:w="0" w:type="dxa"/>
          </w:tblCellMar>
        </w:tblPrEx>
        <w:trPr>
          <w:wBefore w:w="0" w:type="auto"/>
          <w:tblCellSpacing w:w="0" w:type="dxa"/>
        </w:trPr>
        <w:tc>
          <w:tcPr>
            <w:tcW w:w="0" w:type="auto"/>
            <w:noWrap w:val="0"/>
            <w:vAlign w:val="center"/>
          </w:tcPr>
          <w:p w14:paraId="069D1CCA">
            <w:r>
              <w:rPr>
                <w:rStyle w:val="10"/>
                <w:rFonts w:hint="eastAsia"/>
              </w:rPr>
              <w:t>质量保证期：</w:t>
            </w:r>
            <w:r>
              <w:rPr>
                <w:rStyle w:val="11"/>
                <w:rFonts w:hint="eastAsia"/>
              </w:rPr>
              <w:t>1年</w:t>
            </w:r>
          </w:p>
        </w:tc>
      </w:tr>
      <w:tr w14:paraId="249D54A5">
        <w:tblPrEx>
          <w:tblCellMar>
            <w:top w:w="0" w:type="dxa"/>
            <w:left w:w="0" w:type="dxa"/>
            <w:bottom w:w="0" w:type="dxa"/>
            <w:right w:w="0" w:type="dxa"/>
          </w:tblCellMar>
        </w:tblPrEx>
        <w:trPr>
          <w:wBefore w:w="0" w:type="auto"/>
          <w:tblCellSpacing w:w="0" w:type="dxa"/>
        </w:trPr>
        <w:tc>
          <w:tcPr>
            <w:tcW w:w="0" w:type="auto"/>
            <w:noWrap w:val="0"/>
            <w:vAlign w:val="center"/>
          </w:tcPr>
          <w:p w14:paraId="7A391732">
            <w:r>
              <w:rPr>
                <w:rStyle w:val="10"/>
                <w:rFonts w:hint="eastAsia"/>
              </w:rPr>
              <w:t>备注：</w:t>
            </w:r>
          </w:p>
        </w:tc>
      </w:tr>
    </w:tbl>
    <w:p w14:paraId="074CB77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D983999">
        <w:tblPrEx>
          <w:tblCellMar>
            <w:top w:w="0" w:type="dxa"/>
            <w:left w:w="0" w:type="dxa"/>
            <w:bottom w:w="0" w:type="dxa"/>
            <w:right w:w="0" w:type="dxa"/>
          </w:tblCellMar>
        </w:tblPrEx>
        <w:trPr>
          <w:wBefore w:w="0" w:type="auto"/>
          <w:tblCellSpacing w:w="0" w:type="dxa"/>
        </w:trPr>
        <w:tc>
          <w:tcPr>
            <w:tcW w:w="0" w:type="auto"/>
            <w:noWrap w:val="0"/>
            <w:vAlign w:val="center"/>
          </w:tcPr>
          <w:p w14:paraId="61D25ACB">
            <w:r>
              <w:rPr>
                <w:rStyle w:val="10"/>
                <w:rFonts w:hint="eastAsia"/>
              </w:rPr>
              <w:t>登记证号：</w:t>
            </w:r>
            <w:r>
              <w:rPr>
                <w:rFonts w:hint="eastAsia"/>
              </w:rPr>
              <w:t>PD20211721</w:t>
            </w:r>
          </w:p>
        </w:tc>
      </w:tr>
      <w:tr w14:paraId="2FFEC732">
        <w:tblPrEx>
          <w:tblCellMar>
            <w:top w:w="0" w:type="dxa"/>
            <w:left w:w="0" w:type="dxa"/>
            <w:bottom w:w="0" w:type="dxa"/>
            <w:right w:w="0" w:type="dxa"/>
          </w:tblCellMar>
        </w:tblPrEx>
        <w:trPr>
          <w:wBefore w:w="0" w:type="auto"/>
          <w:tblCellSpacing w:w="0" w:type="dxa"/>
        </w:trPr>
        <w:tc>
          <w:tcPr>
            <w:tcW w:w="0" w:type="auto"/>
            <w:noWrap w:val="0"/>
            <w:vAlign w:val="center"/>
          </w:tcPr>
          <w:p w14:paraId="7BF75EB9">
            <w:r>
              <w:rPr>
                <w:rStyle w:val="10"/>
                <w:rFonts w:hint="eastAsia"/>
              </w:rPr>
              <w:t>登记证持有人：</w:t>
            </w:r>
            <w:r>
              <w:rPr>
                <w:rFonts w:hint="eastAsia"/>
              </w:rPr>
              <w:t>孟州云大高科生物科技有限公司</w:t>
            </w:r>
          </w:p>
        </w:tc>
      </w:tr>
      <w:tr w14:paraId="714287C5">
        <w:tblPrEx>
          <w:tblCellMar>
            <w:top w:w="0" w:type="dxa"/>
            <w:left w:w="0" w:type="dxa"/>
            <w:bottom w:w="0" w:type="dxa"/>
            <w:right w:w="0" w:type="dxa"/>
          </w:tblCellMar>
        </w:tblPrEx>
        <w:trPr>
          <w:wBefore w:w="0" w:type="auto"/>
          <w:tblCellSpacing w:w="0" w:type="dxa"/>
        </w:trPr>
        <w:tc>
          <w:tcPr>
            <w:tcW w:w="0" w:type="auto"/>
            <w:noWrap w:val="0"/>
            <w:vAlign w:val="center"/>
          </w:tcPr>
          <w:p w14:paraId="55C97AAB">
            <w:r>
              <w:rPr>
                <w:rStyle w:val="10"/>
                <w:rFonts w:hint="eastAsia"/>
              </w:rPr>
              <w:t>农药名称：</w:t>
            </w:r>
            <w:r>
              <w:rPr>
                <w:rFonts w:hint="eastAsia"/>
              </w:rPr>
              <w:t>氟啶虫酰胺·联苯菊酯</w:t>
            </w:r>
          </w:p>
        </w:tc>
      </w:tr>
      <w:tr w14:paraId="60F32A8E">
        <w:tblPrEx>
          <w:tblCellMar>
            <w:top w:w="0" w:type="dxa"/>
            <w:left w:w="0" w:type="dxa"/>
            <w:bottom w:w="0" w:type="dxa"/>
            <w:right w:w="0" w:type="dxa"/>
          </w:tblCellMar>
        </w:tblPrEx>
        <w:trPr>
          <w:wBefore w:w="0" w:type="auto"/>
          <w:tblCellSpacing w:w="0" w:type="dxa"/>
        </w:trPr>
        <w:tc>
          <w:tcPr>
            <w:tcW w:w="0" w:type="auto"/>
            <w:noWrap w:val="0"/>
            <w:vAlign w:val="center"/>
          </w:tcPr>
          <w:p w14:paraId="2A880BF0">
            <w:r>
              <w:rPr>
                <w:rStyle w:val="10"/>
                <w:rFonts w:hint="eastAsia"/>
              </w:rPr>
              <w:t>剂型：</w:t>
            </w:r>
            <w:r>
              <w:rPr>
                <w:rFonts w:hint="eastAsia"/>
              </w:rPr>
              <w:t>悬浮剂</w:t>
            </w:r>
          </w:p>
        </w:tc>
      </w:tr>
      <w:tr w14:paraId="1F297350">
        <w:tblPrEx>
          <w:tblCellMar>
            <w:top w:w="0" w:type="dxa"/>
            <w:left w:w="0" w:type="dxa"/>
            <w:bottom w:w="0" w:type="dxa"/>
            <w:right w:w="0" w:type="dxa"/>
          </w:tblCellMar>
        </w:tblPrEx>
        <w:trPr>
          <w:wBefore w:w="0" w:type="auto"/>
          <w:tblCellSpacing w:w="0" w:type="dxa"/>
        </w:trPr>
        <w:tc>
          <w:tcPr>
            <w:tcW w:w="0" w:type="auto"/>
            <w:noWrap w:val="0"/>
            <w:vAlign w:val="center"/>
          </w:tcPr>
          <w:p w14:paraId="72B12078">
            <w:r>
              <w:rPr>
                <w:rStyle w:val="10"/>
                <w:rFonts w:hint="eastAsia"/>
              </w:rPr>
              <w:t>毒性及其标识：</w:t>
            </w:r>
            <w:r>
              <w:rPr>
                <w:rFonts w:hint="eastAsia"/>
              </w:rPr>
              <w:t xml:space="preserve"> </w:t>
            </w:r>
            <w:r>
              <w:rPr>
                <w:lang/>
              </w:rPr>
              <w:drawing>
                <wp:inline distT="0" distB="0" distL="114300" distR="114300">
                  <wp:extent cx="476250" cy="323850"/>
                  <wp:effectExtent l="0" t="0" r="0" b="0"/>
                  <wp:docPr id="365" name="图片 36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D2F8990">
        <w:tblPrEx>
          <w:tblCellMar>
            <w:top w:w="0" w:type="dxa"/>
            <w:left w:w="0" w:type="dxa"/>
            <w:bottom w:w="0" w:type="dxa"/>
            <w:right w:w="0" w:type="dxa"/>
          </w:tblCellMar>
        </w:tblPrEx>
        <w:trPr>
          <w:wBefore w:w="0" w:type="auto"/>
          <w:tblCellSpacing w:w="0" w:type="dxa"/>
        </w:trPr>
        <w:tc>
          <w:tcPr>
            <w:tcW w:w="0" w:type="auto"/>
            <w:noWrap w:val="0"/>
            <w:vAlign w:val="center"/>
          </w:tcPr>
          <w:p w14:paraId="79493E11">
            <w:r>
              <w:rPr>
                <w:rStyle w:val="10"/>
                <w:rFonts w:hint="eastAsia"/>
              </w:rPr>
              <w:t>总有效成分含量：</w:t>
            </w:r>
            <w:r>
              <w:rPr>
                <w:rFonts w:hint="eastAsia"/>
              </w:rPr>
              <w:t>15%</w:t>
            </w:r>
          </w:p>
        </w:tc>
      </w:tr>
      <w:tr w14:paraId="6FEFE2AB">
        <w:tblPrEx>
          <w:tblCellMar>
            <w:top w:w="0" w:type="dxa"/>
            <w:left w:w="0" w:type="dxa"/>
            <w:bottom w:w="0" w:type="dxa"/>
            <w:right w:w="0" w:type="dxa"/>
          </w:tblCellMar>
        </w:tblPrEx>
        <w:trPr>
          <w:wBefore w:w="0" w:type="auto"/>
          <w:tblCellSpacing w:w="0" w:type="dxa"/>
        </w:trPr>
        <w:tc>
          <w:tcPr>
            <w:tcW w:w="0" w:type="auto"/>
            <w:noWrap w:val="0"/>
            <w:vAlign w:val="center"/>
          </w:tcPr>
          <w:p w14:paraId="0090DDAF">
            <w:r>
              <w:rPr>
                <w:rFonts w:hint="eastAsia"/>
              </w:rPr>
              <w:t xml:space="preserve">有效成分及其含量： </w:t>
            </w:r>
          </w:p>
          <w:p w14:paraId="7E3D2A49">
            <w:r>
              <w:rPr>
                <w:rFonts w:hint="eastAsia"/>
              </w:rPr>
              <w:t xml:space="preserve">    氟啶虫酰胺10%    联苯菊酯5%    </w:t>
            </w:r>
          </w:p>
        </w:tc>
      </w:tr>
      <w:tr w14:paraId="03F848F5">
        <w:tblPrEx>
          <w:tblCellMar>
            <w:top w:w="0" w:type="dxa"/>
            <w:left w:w="0" w:type="dxa"/>
            <w:bottom w:w="0" w:type="dxa"/>
            <w:right w:w="0" w:type="dxa"/>
          </w:tblCellMar>
        </w:tblPrEx>
        <w:trPr>
          <w:wBefore w:w="0" w:type="auto"/>
          <w:tblCellSpacing w:w="0" w:type="dxa"/>
        </w:trPr>
        <w:tc>
          <w:tcPr>
            <w:tcW w:w="0" w:type="auto"/>
            <w:noWrap w:val="0"/>
            <w:vAlign w:val="center"/>
          </w:tcPr>
          <w:p w14:paraId="22E1B64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8B846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5C37FE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7994D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3CF7A5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3CFE96C">
                  <w:r>
                    <w:rPr>
                      <w:rStyle w:val="11"/>
                      <w:rFonts w:hint="eastAsia"/>
                    </w:rPr>
                    <w:t>施用方式</w:t>
                  </w:r>
                </w:p>
              </w:tc>
            </w:tr>
            <w:tr w14:paraId="2A0E12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6E8EE8A">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CB02C6">
                  <w:r>
                    <w:rPr>
                      <w:rStyle w:val="11"/>
                      <w:rFonts w:hint="eastAsia"/>
                    </w:rPr>
                    <w:t>桃蚜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5673D6">
                  <w:r>
                    <w:rPr>
                      <w:rStyle w:val="11"/>
                      <w:rFonts w:hint="eastAsia"/>
                    </w:rPr>
                    <w:t>4000-5000倍液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452139">
                  <w:r>
                    <w:rPr>
                      <w:rStyle w:val="11"/>
                      <w:rFonts w:hint="eastAsia"/>
                    </w:rPr>
                    <w:t>喷雾</w:t>
                  </w:r>
                </w:p>
              </w:tc>
            </w:tr>
          </w:tbl>
          <w:p w14:paraId="2B67B638">
            <w:pPr>
              <w:rPr>
                <w:rFonts w:ascii="Times New Roman" w:hAnsi="Times New Roman" w:cs="Times New Roman"/>
                <w:sz w:val="20"/>
                <w:szCs w:val="20"/>
              </w:rPr>
            </w:pPr>
          </w:p>
        </w:tc>
      </w:tr>
      <w:tr w14:paraId="5CFEA4B5">
        <w:tblPrEx>
          <w:tblCellMar>
            <w:top w:w="0" w:type="dxa"/>
            <w:left w:w="0" w:type="dxa"/>
            <w:bottom w:w="0" w:type="dxa"/>
            <w:right w:w="0" w:type="dxa"/>
          </w:tblCellMar>
        </w:tblPrEx>
        <w:trPr>
          <w:wBefore w:w="0" w:type="auto"/>
          <w:tblCellSpacing w:w="0" w:type="dxa"/>
        </w:trPr>
        <w:tc>
          <w:tcPr>
            <w:tcW w:w="0" w:type="auto"/>
            <w:noWrap w:val="0"/>
            <w:vAlign w:val="center"/>
          </w:tcPr>
          <w:p w14:paraId="6FF08A9A">
            <w:r>
              <w:rPr>
                <w:rStyle w:val="10"/>
                <w:rFonts w:hint="eastAsia"/>
              </w:rPr>
              <w:t>使用技术要求:</w:t>
            </w:r>
            <w:r>
              <w:rPr>
                <w:rFonts w:hint="eastAsia"/>
              </w:rPr>
              <w:br w:type="textWrapping"/>
            </w:r>
            <w:r>
              <w:rPr>
                <w:rStyle w:val="11"/>
                <w:rFonts w:hint="eastAsia"/>
              </w:rPr>
              <w:t>1.在桃树蚜虫发生始盛期施药，施药时雾滴要细，喷雾要均匀。 2.在桃树上使用的安全间隔期为14天，每季作物最多使用1次。 3.大风天或预计1小时内有降雨，请勿施药。</w:t>
            </w:r>
          </w:p>
        </w:tc>
      </w:tr>
      <w:tr w14:paraId="4DCAECF5">
        <w:tblPrEx>
          <w:tblCellMar>
            <w:top w:w="0" w:type="dxa"/>
            <w:left w:w="0" w:type="dxa"/>
            <w:bottom w:w="0" w:type="dxa"/>
            <w:right w:w="0" w:type="dxa"/>
          </w:tblCellMar>
        </w:tblPrEx>
        <w:trPr>
          <w:wBefore w:w="0" w:type="auto"/>
          <w:tblCellSpacing w:w="0" w:type="dxa"/>
        </w:trPr>
        <w:tc>
          <w:tcPr>
            <w:tcW w:w="0" w:type="auto"/>
            <w:noWrap w:val="0"/>
            <w:vAlign w:val="center"/>
          </w:tcPr>
          <w:p w14:paraId="0468387E">
            <w:r>
              <w:rPr>
                <w:rStyle w:val="10"/>
                <w:rFonts w:hint="eastAsia"/>
              </w:rPr>
              <w:t>产品性能:</w:t>
            </w:r>
            <w:r>
              <w:rPr>
                <w:rFonts w:hint="eastAsia"/>
              </w:rPr>
              <w:br w:type="textWrapping"/>
            </w:r>
            <w:r>
              <w:rPr>
                <w:rStyle w:val="11"/>
                <w:rFonts w:hint="eastAsia"/>
              </w:rPr>
              <w:t xml:space="preserve">联苯菊酯属拟除虫菊酯类杀虫剂，具有触杀、胃毒作用。氟啶虫酰胺是吡啶酰胺类昆虫生长调节剂类杀虫剂，除具有触杀和胃毒作用，还具有很好的神经毒剂和快速拒食作用。两有效成分混配对桃树蚜虫有较好的防治效果。 </w:t>
            </w:r>
          </w:p>
        </w:tc>
      </w:tr>
      <w:tr w14:paraId="404F8619">
        <w:tblPrEx>
          <w:tblCellMar>
            <w:top w:w="0" w:type="dxa"/>
            <w:left w:w="0" w:type="dxa"/>
            <w:bottom w:w="0" w:type="dxa"/>
            <w:right w:w="0" w:type="dxa"/>
          </w:tblCellMar>
        </w:tblPrEx>
        <w:trPr>
          <w:wBefore w:w="0" w:type="auto"/>
          <w:tblCellSpacing w:w="0" w:type="dxa"/>
        </w:trPr>
        <w:tc>
          <w:tcPr>
            <w:tcW w:w="0" w:type="auto"/>
            <w:noWrap w:val="0"/>
            <w:vAlign w:val="center"/>
          </w:tcPr>
          <w:p w14:paraId="08558366">
            <w:r>
              <w:rPr>
                <w:rStyle w:val="10"/>
                <w:rFonts w:hint="eastAsia"/>
              </w:rPr>
              <w:t>注意事项：</w:t>
            </w:r>
            <w:r>
              <w:rPr>
                <w:rFonts w:hint="eastAsia"/>
              </w:rPr>
              <w:br w:type="textWrapping"/>
            </w:r>
            <w:r>
              <w:rPr>
                <w:rStyle w:val="11"/>
                <w:rFonts w:hint="eastAsia"/>
              </w:rPr>
              <w:t>1. 本品不可与呈碱性的农药等物质混合使用。2.使用本品时应穿戴防护服和手套、口罩和护目镜等，避免眼睛、皮肤接触及口鼻吸入药液。施药期间不可吃东西和饮水，施药后应及时洗手和洗脸。3.远离水产养殖区、河塘等水体施药，禁止在河塘等水体中清洗施药器具；</w:t>
            </w:r>
            <w:r>
              <w:rPr>
                <w:rStyle w:val="11"/>
                <w:rFonts w:hint="eastAsia"/>
              </w:rPr>
              <w:t> </w:t>
            </w:r>
            <w:r>
              <w:rPr>
                <w:rStyle w:val="11"/>
                <w:rFonts w:hint="eastAsia"/>
              </w:rPr>
              <w:t>4.（周围）开花植物花期禁用，使用期间应密切关注对附近蜂群的影响；蚕室及桑园附近禁用；瓢虫、赤眼蜂等天敌放飞区域禁用。5.用过的容器应妥善处理，不可做他用，也不可随意丢弃。6.孕妇及哺乳期妇女应避免接触本品。7.建议与其他作用机制不同的杀虫剂轮换使用，以延缓抗性的产生。</w:t>
            </w:r>
          </w:p>
        </w:tc>
      </w:tr>
      <w:tr w14:paraId="6E432070">
        <w:tblPrEx>
          <w:tblCellMar>
            <w:top w:w="0" w:type="dxa"/>
            <w:left w:w="0" w:type="dxa"/>
            <w:bottom w:w="0" w:type="dxa"/>
            <w:right w:w="0" w:type="dxa"/>
          </w:tblCellMar>
        </w:tblPrEx>
        <w:trPr>
          <w:wBefore w:w="0" w:type="auto"/>
          <w:tblCellSpacing w:w="0" w:type="dxa"/>
        </w:trPr>
        <w:tc>
          <w:tcPr>
            <w:tcW w:w="0" w:type="auto"/>
            <w:noWrap w:val="0"/>
            <w:vAlign w:val="center"/>
          </w:tcPr>
          <w:p w14:paraId="1613C509">
            <w:r>
              <w:rPr>
                <w:rStyle w:val="10"/>
                <w:rFonts w:hint="eastAsia"/>
              </w:rPr>
              <w:t>中毒急救措施：</w:t>
            </w:r>
            <w:r>
              <w:rPr>
                <w:rFonts w:hint="eastAsia"/>
              </w:rPr>
              <w:br w:type="textWrapping"/>
            </w:r>
            <w:r>
              <w:rPr>
                <w:rStyle w:val="11"/>
                <w:rFonts w:hint="eastAsia"/>
              </w:rPr>
              <w:t xml:space="preserve">中毒症状：对眼睛有轻微刺激作用。 1. 用药时如果感觉不适，立即停止工作，采取急救措施，并携此标签送医就诊。2.皮肤接触：立即脱掉被污染的衣物，用大量清水冲洗被污染的皮肤，再用肥皂清洗，然后用清水冲净。3.眼睛溅药：立即将眼睑翻开，用清水冲洗至少15分钟，再请医生诊治。4. 发生吸入：立即将吸入者转移到空气新鲜处，如果吸入者停止呼吸，需进行人工呼吸。请医生诊治。5. 误服：请勿引吐，立即携此标签，送医就诊。 </w:t>
            </w:r>
          </w:p>
        </w:tc>
      </w:tr>
      <w:tr w14:paraId="67DEE820">
        <w:tblPrEx>
          <w:tblCellMar>
            <w:top w:w="0" w:type="dxa"/>
            <w:left w:w="0" w:type="dxa"/>
            <w:bottom w:w="0" w:type="dxa"/>
            <w:right w:w="0" w:type="dxa"/>
          </w:tblCellMar>
        </w:tblPrEx>
        <w:trPr>
          <w:wBefore w:w="0" w:type="auto"/>
          <w:tblCellSpacing w:w="0" w:type="dxa"/>
        </w:trPr>
        <w:tc>
          <w:tcPr>
            <w:tcW w:w="0" w:type="auto"/>
            <w:noWrap w:val="0"/>
            <w:vAlign w:val="center"/>
          </w:tcPr>
          <w:p w14:paraId="1595A8AD">
            <w:r>
              <w:rPr>
                <w:rStyle w:val="10"/>
                <w:rFonts w:hint="eastAsia"/>
              </w:rPr>
              <w:t>储存和运输方法：</w:t>
            </w:r>
            <w:r>
              <w:rPr>
                <w:rFonts w:hint="eastAsia"/>
              </w:rPr>
              <w:br w:type="textWrapping"/>
            </w:r>
            <w:r>
              <w:rPr>
                <w:rStyle w:val="11"/>
                <w:rFonts w:hint="eastAsia"/>
              </w:rPr>
              <w:t xml:space="preserve">本品应贮存在干燥、通风、阴凉、防雨处，远离火源或热源；置于儿童、无关人员及动物接触不到的地方，并加锁保存；勿与食品、饮料、饲料、粮食等同贮同运；运输时应注意避光、防高温、雨淋。 </w:t>
            </w:r>
          </w:p>
        </w:tc>
      </w:tr>
      <w:tr w14:paraId="16FBA86E">
        <w:tblPrEx>
          <w:tblCellMar>
            <w:top w:w="0" w:type="dxa"/>
            <w:left w:w="0" w:type="dxa"/>
            <w:bottom w:w="0" w:type="dxa"/>
            <w:right w:w="0" w:type="dxa"/>
          </w:tblCellMar>
        </w:tblPrEx>
        <w:trPr>
          <w:wBefore w:w="0" w:type="auto"/>
          <w:tblCellSpacing w:w="0" w:type="dxa"/>
        </w:trPr>
        <w:tc>
          <w:tcPr>
            <w:tcW w:w="0" w:type="auto"/>
            <w:noWrap w:val="0"/>
            <w:vAlign w:val="center"/>
          </w:tcPr>
          <w:p w14:paraId="6F8BF3B7">
            <w:r>
              <w:rPr>
                <w:rStyle w:val="10"/>
                <w:rFonts w:hint="eastAsia"/>
              </w:rPr>
              <w:t>质量保证期：</w:t>
            </w:r>
            <w:r>
              <w:rPr>
                <w:rStyle w:val="11"/>
                <w:rFonts w:hint="eastAsia"/>
              </w:rPr>
              <w:t>2年</w:t>
            </w:r>
          </w:p>
        </w:tc>
      </w:tr>
      <w:tr w14:paraId="1A303F0E">
        <w:tblPrEx>
          <w:tblCellMar>
            <w:top w:w="0" w:type="dxa"/>
            <w:left w:w="0" w:type="dxa"/>
            <w:bottom w:w="0" w:type="dxa"/>
            <w:right w:w="0" w:type="dxa"/>
          </w:tblCellMar>
        </w:tblPrEx>
        <w:trPr>
          <w:wBefore w:w="0" w:type="auto"/>
          <w:tblCellSpacing w:w="0" w:type="dxa"/>
        </w:trPr>
        <w:tc>
          <w:tcPr>
            <w:tcW w:w="0" w:type="auto"/>
            <w:noWrap w:val="0"/>
            <w:vAlign w:val="center"/>
          </w:tcPr>
          <w:p w14:paraId="695DAE3A">
            <w:r>
              <w:rPr>
                <w:rStyle w:val="10"/>
                <w:rFonts w:hint="eastAsia"/>
              </w:rPr>
              <w:t>备注：</w:t>
            </w:r>
          </w:p>
        </w:tc>
      </w:tr>
    </w:tbl>
    <w:p w14:paraId="1F60560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F56E3D3">
        <w:tblPrEx>
          <w:tblCellMar>
            <w:top w:w="0" w:type="dxa"/>
            <w:left w:w="0" w:type="dxa"/>
            <w:bottom w:w="0" w:type="dxa"/>
            <w:right w:w="0" w:type="dxa"/>
          </w:tblCellMar>
        </w:tblPrEx>
        <w:trPr>
          <w:wBefore w:w="0" w:type="auto"/>
          <w:tblCellSpacing w:w="0" w:type="dxa"/>
        </w:trPr>
        <w:tc>
          <w:tcPr>
            <w:tcW w:w="0" w:type="auto"/>
            <w:noWrap w:val="0"/>
            <w:vAlign w:val="center"/>
          </w:tcPr>
          <w:p w14:paraId="64288ACB">
            <w:r>
              <w:rPr>
                <w:rStyle w:val="10"/>
                <w:rFonts w:hint="eastAsia"/>
              </w:rPr>
              <w:t>登记证号：</w:t>
            </w:r>
            <w:r>
              <w:rPr>
                <w:rFonts w:hint="eastAsia"/>
              </w:rPr>
              <w:t>WP20210226</w:t>
            </w:r>
          </w:p>
        </w:tc>
      </w:tr>
      <w:tr w14:paraId="7DB3AF62">
        <w:tblPrEx>
          <w:tblCellMar>
            <w:top w:w="0" w:type="dxa"/>
            <w:left w:w="0" w:type="dxa"/>
            <w:bottom w:w="0" w:type="dxa"/>
            <w:right w:w="0" w:type="dxa"/>
          </w:tblCellMar>
        </w:tblPrEx>
        <w:trPr>
          <w:wBefore w:w="0" w:type="auto"/>
          <w:tblCellSpacing w:w="0" w:type="dxa"/>
        </w:trPr>
        <w:tc>
          <w:tcPr>
            <w:tcW w:w="0" w:type="auto"/>
            <w:noWrap w:val="0"/>
            <w:vAlign w:val="center"/>
          </w:tcPr>
          <w:p w14:paraId="1078E06C">
            <w:r>
              <w:rPr>
                <w:rStyle w:val="10"/>
                <w:rFonts w:hint="eastAsia"/>
              </w:rPr>
              <w:t>登记证持有人：</w:t>
            </w:r>
            <w:r>
              <w:rPr>
                <w:rFonts w:hint="eastAsia"/>
              </w:rPr>
              <w:t>河北国欣诺农生物技术有限公司</w:t>
            </w:r>
          </w:p>
        </w:tc>
      </w:tr>
      <w:tr w14:paraId="428D9F2B">
        <w:tblPrEx>
          <w:tblCellMar>
            <w:top w:w="0" w:type="dxa"/>
            <w:left w:w="0" w:type="dxa"/>
            <w:bottom w:w="0" w:type="dxa"/>
            <w:right w:w="0" w:type="dxa"/>
          </w:tblCellMar>
        </w:tblPrEx>
        <w:trPr>
          <w:wBefore w:w="0" w:type="auto"/>
          <w:tblCellSpacing w:w="0" w:type="dxa"/>
        </w:trPr>
        <w:tc>
          <w:tcPr>
            <w:tcW w:w="0" w:type="auto"/>
            <w:noWrap w:val="0"/>
            <w:vAlign w:val="center"/>
          </w:tcPr>
          <w:p w14:paraId="62B75D0D">
            <w:r>
              <w:rPr>
                <w:rStyle w:val="10"/>
                <w:rFonts w:hint="eastAsia"/>
              </w:rPr>
              <w:t>农药名称：</w:t>
            </w:r>
            <w:r>
              <w:rPr>
                <w:rFonts w:hint="eastAsia"/>
              </w:rPr>
              <w:t>杀蝇饵剂</w:t>
            </w:r>
          </w:p>
        </w:tc>
      </w:tr>
      <w:tr w14:paraId="5DD2EC84">
        <w:tblPrEx>
          <w:tblCellMar>
            <w:top w:w="0" w:type="dxa"/>
            <w:left w:w="0" w:type="dxa"/>
            <w:bottom w:w="0" w:type="dxa"/>
            <w:right w:w="0" w:type="dxa"/>
          </w:tblCellMar>
        </w:tblPrEx>
        <w:trPr>
          <w:wBefore w:w="0" w:type="auto"/>
          <w:tblCellSpacing w:w="0" w:type="dxa"/>
        </w:trPr>
        <w:tc>
          <w:tcPr>
            <w:tcW w:w="0" w:type="auto"/>
            <w:noWrap w:val="0"/>
            <w:vAlign w:val="center"/>
          </w:tcPr>
          <w:p w14:paraId="2A8E33D3">
            <w:r>
              <w:rPr>
                <w:rStyle w:val="10"/>
                <w:rFonts w:hint="eastAsia"/>
              </w:rPr>
              <w:t>剂型：</w:t>
            </w:r>
            <w:r>
              <w:rPr>
                <w:rFonts w:hint="eastAsia"/>
              </w:rPr>
              <w:t>饵剂</w:t>
            </w:r>
          </w:p>
        </w:tc>
      </w:tr>
      <w:tr w14:paraId="70E26BCE">
        <w:tblPrEx>
          <w:tblCellMar>
            <w:top w:w="0" w:type="dxa"/>
            <w:left w:w="0" w:type="dxa"/>
            <w:bottom w:w="0" w:type="dxa"/>
            <w:right w:w="0" w:type="dxa"/>
          </w:tblCellMar>
        </w:tblPrEx>
        <w:trPr>
          <w:wBefore w:w="0" w:type="auto"/>
          <w:tblCellSpacing w:w="0" w:type="dxa"/>
        </w:trPr>
        <w:tc>
          <w:tcPr>
            <w:tcW w:w="0" w:type="auto"/>
            <w:noWrap w:val="0"/>
            <w:vAlign w:val="center"/>
          </w:tcPr>
          <w:p w14:paraId="03A2CCE7">
            <w:r>
              <w:rPr>
                <w:rStyle w:val="10"/>
                <w:rFonts w:hint="eastAsia"/>
              </w:rPr>
              <w:t>毒性及其标识：</w:t>
            </w:r>
            <w:r>
              <w:rPr>
                <w:rFonts w:hint="eastAsia"/>
              </w:rPr>
              <w:t xml:space="preserve"> 微毒 </w:t>
            </w:r>
          </w:p>
        </w:tc>
      </w:tr>
      <w:tr w14:paraId="77C10699">
        <w:tblPrEx>
          <w:tblCellMar>
            <w:top w:w="0" w:type="dxa"/>
            <w:left w:w="0" w:type="dxa"/>
            <w:bottom w:w="0" w:type="dxa"/>
            <w:right w:w="0" w:type="dxa"/>
          </w:tblCellMar>
        </w:tblPrEx>
        <w:trPr>
          <w:wBefore w:w="0" w:type="auto"/>
          <w:tblCellSpacing w:w="0" w:type="dxa"/>
        </w:trPr>
        <w:tc>
          <w:tcPr>
            <w:tcW w:w="0" w:type="auto"/>
            <w:noWrap w:val="0"/>
            <w:vAlign w:val="center"/>
          </w:tcPr>
          <w:p w14:paraId="72E967F2">
            <w:r>
              <w:rPr>
                <w:rStyle w:val="10"/>
                <w:rFonts w:hint="eastAsia"/>
              </w:rPr>
              <w:t>总有效成分含量：</w:t>
            </w:r>
            <w:r>
              <w:rPr>
                <w:rFonts w:hint="eastAsia"/>
              </w:rPr>
              <w:t>0.5%</w:t>
            </w:r>
          </w:p>
        </w:tc>
      </w:tr>
      <w:tr w14:paraId="42190885">
        <w:tblPrEx>
          <w:tblCellMar>
            <w:top w:w="0" w:type="dxa"/>
            <w:left w:w="0" w:type="dxa"/>
            <w:bottom w:w="0" w:type="dxa"/>
            <w:right w:w="0" w:type="dxa"/>
          </w:tblCellMar>
        </w:tblPrEx>
        <w:trPr>
          <w:wBefore w:w="0" w:type="auto"/>
          <w:tblCellSpacing w:w="0" w:type="dxa"/>
        </w:trPr>
        <w:tc>
          <w:tcPr>
            <w:tcW w:w="0" w:type="auto"/>
            <w:noWrap w:val="0"/>
            <w:vAlign w:val="center"/>
          </w:tcPr>
          <w:p w14:paraId="068483E4">
            <w:r>
              <w:rPr>
                <w:rFonts w:hint="eastAsia"/>
              </w:rPr>
              <w:t xml:space="preserve">有效成分及其含量： </w:t>
            </w:r>
          </w:p>
          <w:p w14:paraId="73F3AF86">
            <w:r>
              <w:rPr>
                <w:rFonts w:hint="eastAsia"/>
              </w:rPr>
              <w:t xml:space="preserve">    呋虫胺0.5%    </w:t>
            </w:r>
          </w:p>
        </w:tc>
      </w:tr>
      <w:tr w14:paraId="46427FE0">
        <w:tblPrEx>
          <w:tblCellMar>
            <w:top w:w="0" w:type="dxa"/>
            <w:left w:w="0" w:type="dxa"/>
            <w:bottom w:w="0" w:type="dxa"/>
            <w:right w:w="0" w:type="dxa"/>
          </w:tblCellMar>
        </w:tblPrEx>
        <w:trPr>
          <w:wBefore w:w="0" w:type="auto"/>
          <w:tblCellSpacing w:w="0" w:type="dxa"/>
        </w:trPr>
        <w:tc>
          <w:tcPr>
            <w:tcW w:w="0" w:type="auto"/>
            <w:noWrap w:val="0"/>
            <w:vAlign w:val="center"/>
          </w:tcPr>
          <w:p w14:paraId="67D828E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57716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7A3180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F2A514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760CD1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BC9A71F">
                  <w:r>
                    <w:rPr>
                      <w:rStyle w:val="11"/>
                      <w:rFonts w:hint="eastAsia"/>
                    </w:rPr>
                    <w:t>施用方式</w:t>
                  </w:r>
                </w:p>
              </w:tc>
            </w:tr>
            <w:tr w14:paraId="62A8760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EF6AC8">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A30296">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F1AC36">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32AAC8">
                  <w:r>
                    <w:rPr>
                      <w:rStyle w:val="11"/>
                      <w:rFonts w:hint="eastAsia"/>
                    </w:rPr>
                    <w:t>投放</w:t>
                  </w:r>
                </w:p>
              </w:tc>
            </w:tr>
          </w:tbl>
          <w:p w14:paraId="4D2EA979">
            <w:pPr>
              <w:rPr>
                <w:rFonts w:ascii="Times New Roman" w:hAnsi="Times New Roman" w:cs="Times New Roman"/>
                <w:sz w:val="20"/>
                <w:szCs w:val="20"/>
              </w:rPr>
            </w:pPr>
          </w:p>
        </w:tc>
      </w:tr>
      <w:tr w14:paraId="6A1504A7">
        <w:tblPrEx>
          <w:tblCellMar>
            <w:top w:w="0" w:type="dxa"/>
            <w:left w:w="0" w:type="dxa"/>
            <w:bottom w:w="0" w:type="dxa"/>
            <w:right w:w="0" w:type="dxa"/>
          </w:tblCellMar>
        </w:tblPrEx>
        <w:trPr>
          <w:wBefore w:w="0" w:type="auto"/>
          <w:tblCellSpacing w:w="0" w:type="dxa"/>
        </w:trPr>
        <w:tc>
          <w:tcPr>
            <w:tcW w:w="0" w:type="auto"/>
            <w:noWrap w:val="0"/>
            <w:vAlign w:val="center"/>
          </w:tcPr>
          <w:p w14:paraId="267C186B">
            <w:r>
              <w:rPr>
                <w:rStyle w:val="10"/>
                <w:rFonts w:hint="eastAsia"/>
              </w:rPr>
              <w:t>使用技术要求:</w:t>
            </w:r>
            <w:r>
              <w:rPr>
                <w:rFonts w:hint="eastAsia"/>
              </w:rPr>
              <w:br w:type="textWrapping"/>
            </w:r>
            <w:r>
              <w:rPr>
                <w:rStyle w:val="11"/>
                <w:rFonts w:hint="eastAsia"/>
              </w:rPr>
              <w:t>1.将本品直接投放在苍蝇喜欢活动或栖息的干燥场所，如走道、窗台、食物存放处、垃圾堆等处。也可使用浅口器皿盛放本品。本品被取食完或覆盖灰尘时需重新施药。2.可用于宾馆、饭店、居室等室内场所。</w:t>
            </w:r>
          </w:p>
        </w:tc>
      </w:tr>
      <w:tr w14:paraId="58E6769A">
        <w:tblPrEx>
          <w:tblCellMar>
            <w:top w:w="0" w:type="dxa"/>
            <w:left w:w="0" w:type="dxa"/>
            <w:bottom w:w="0" w:type="dxa"/>
            <w:right w:w="0" w:type="dxa"/>
          </w:tblCellMar>
        </w:tblPrEx>
        <w:trPr>
          <w:wBefore w:w="0" w:type="auto"/>
          <w:tblCellSpacing w:w="0" w:type="dxa"/>
        </w:trPr>
        <w:tc>
          <w:tcPr>
            <w:tcW w:w="0" w:type="auto"/>
            <w:noWrap w:val="0"/>
            <w:vAlign w:val="center"/>
          </w:tcPr>
          <w:p w14:paraId="4EED456D">
            <w:r>
              <w:rPr>
                <w:rStyle w:val="10"/>
                <w:rFonts w:hint="eastAsia"/>
              </w:rPr>
              <w:t>产品性能:</w:t>
            </w:r>
            <w:r>
              <w:rPr>
                <w:rFonts w:hint="eastAsia"/>
              </w:rPr>
              <w:br w:type="textWrapping"/>
            </w:r>
            <w:r>
              <w:rPr>
                <w:rStyle w:val="11"/>
                <w:rFonts w:hint="eastAsia"/>
              </w:rPr>
              <w:t>本品为呋虫胺加工而成的饵剂，能有效吸引苍蝇取食，防治效果好，适用于有苍蝇滋扰的地方。</w:t>
            </w:r>
          </w:p>
        </w:tc>
      </w:tr>
      <w:tr w14:paraId="2CDA345F">
        <w:tblPrEx>
          <w:tblCellMar>
            <w:top w:w="0" w:type="dxa"/>
            <w:left w:w="0" w:type="dxa"/>
            <w:bottom w:w="0" w:type="dxa"/>
            <w:right w:w="0" w:type="dxa"/>
          </w:tblCellMar>
        </w:tblPrEx>
        <w:trPr>
          <w:wBefore w:w="0" w:type="auto"/>
          <w:tblCellSpacing w:w="0" w:type="dxa"/>
        </w:trPr>
        <w:tc>
          <w:tcPr>
            <w:tcW w:w="0" w:type="auto"/>
            <w:noWrap w:val="0"/>
            <w:vAlign w:val="center"/>
          </w:tcPr>
          <w:p w14:paraId="20C36232">
            <w:r>
              <w:rPr>
                <w:rStyle w:val="10"/>
                <w:rFonts w:hint="eastAsia"/>
              </w:rPr>
              <w:t>注意事项：</w:t>
            </w:r>
            <w:r>
              <w:rPr>
                <w:rFonts w:hint="eastAsia"/>
              </w:rPr>
              <w:br w:type="textWrapping"/>
            </w:r>
            <w:r>
              <w:rPr>
                <w:rStyle w:val="11"/>
                <w:rFonts w:hint="eastAsia"/>
              </w:rPr>
              <w:t>1.本品仅限室内使用。对家蚕有毒，在桑园、蚕室附近禁用。 2.禁止在河塘等水体中清洗施药器具，切勿将本品包装及其剩余药剂弃于池塘、河溪、湖泊等，以免污染水源。 3.本品使用后应洗手。避免孕妇及哺乳期妇女接触。4.用过的容器应妥善处理，不可做它用，不可随意丢失。</w:t>
            </w:r>
          </w:p>
        </w:tc>
      </w:tr>
      <w:tr w14:paraId="24285E65">
        <w:tblPrEx>
          <w:tblCellMar>
            <w:top w:w="0" w:type="dxa"/>
            <w:left w:w="0" w:type="dxa"/>
            <w:bottom w:w="0" w:type="dxa"/>
            <w:right w:w="0" w:type="dxa"/>
          </w:tblCellMar>
        </w:tblPrEx>
        <w:trPr>
          <w:wBefore w:w="0" w:type="auto"/>
          <w:tblCellSpacing w:w="0" w:type="dxa"/>
        </w:trPr>
        <w:tc>
          <w:tcPr>
            <w:tcW w:w="0" w:type="auto"/>
            <w:noWrap w:val="0"/>
            <w:vAlign w:val="center"/>
          </w:tcPr>
          <w:p w14:paraId="01E41562">
            <w:r>
              <w:rPr>
                <w:rStyle w:val="10"/>
                <w:rFonts w:hint="eastAsia"/>
              </w:rPr>
              <w:t>中毒急救措施：</w:t>
            </w:r>
            <w:r>
              <w:rPr>
                <w:rFonts w:hint="eastAsia"/>
              </w:rPr>
              <w:br w:type="textWrapping"/>
            </w:r>
            <w:r>
              <w:rPr>
                <w:rStyle w:val="11"/>
                <w:rFonts w:hint="eastAsia"/>
              </w:rPr>
              <w:t>中毒急救措施：使用中或使用后如果感觉不适，应立即停止工作，采取急救措施，并携带标签送医院就诊。皮肤接触：脱去污染的衣物，立即用软布去除沾染农药，用大量清水和肥皂冲洗。眼睛溅入：立即用流动清水冲洗不少于15分钟。吸入：立即离开施药现场，转移到空气清新处。误食：立即停止服用，用清水充分漱口后，携带农药标签到医院就诊。</w:t>
            </w:r>
          </w:p>
        </w:tc>
      </w:tr>
      <w:tr w14:paraId="634D30CE">
        <w:tblPrEx>
          <w:tblCellMar>
            <w:top w:w="0" w:type="dxa"/>
            <w:left w:w="0" w:type="dxa"/>
            <w:bottom w:w="0" w:type="dxa"/>
            <w:right w:w="0" w:type="dxa"/>
          </w:tblCellMar>
        </w:tblPrEx>
        <w:trPr>
          <w:wBefore w:w="0" w:type="auto"/>
          <w:tblCellSpacing w:w="0" w:type="dxa"/>
        </w:trPr>
        <w:tc>
          <w:tcPr>
            <w:tcW w:w="0" w:type="auto"/>
            <w:noWrap w:val="0"/>
            <w:vAlign w:val="center"/>
          </w:tcPr>
          <w:p w14:paraId="10009DE3">
            <w:r>
              <w:rPr>
                <w:rStyle w:val="10"/>
                <w:rFonts w:hint="eastAsia"/>
              </w:rPr>
              <w:t>储存和运输方法：</w:t>
            </w:r>
            <w:r>
              <w:rPr>
                <w:rFonts w:hint="eastAsia"/>
              </w:rPr>
              <w:br w:type="textWrapping"/>
            </w:r>
            <w:r>
              <w:rPr>
                <w:rStyle w:val="11"/>
                <w:rFonts w:hint="eastAsia"/>
              </w:rPr>
              <w:t>本品应贮存在干燥、阴凉、通风、防雨处，远离火源或热源。运输时防雨防潮；装卸时轻卸轻放。应当置于儿童、无关人员及动物接触不到的地方，并加锁保存。勿与食品、种子、饲料、粮食、饮料等同贮同运。</w:t>
            </w:r>
          </w:p>
        </w:tc>
      </w:tr>
      <w:tr w14:paraId="091859CE">
        <w:tblPrEx>
          <w:tblCellMar>
            <w:top w:w="0" w:type="dxa"/>
            <w:left w:w="0" w:type="dxa"/>
            <w:bottom w:w="0" w:type="dxa"/>
            <w:right w:w="0" w:type="dxa"/>
          </w:tblCellMar>
        </w:tblPrEx>
        <w:trPr>
          <w:wBefore w:w="0" w:type="auto"/>
          <w:tblCellSpacing w:w="0" w:type="dxa"/>
        </w:trPr>
        <w:tc>
          <w:tcPr>
            <w:tcW w:w="0" w:type="auto"/>
            <w:noWrap w:val="0"/>
            <w:vAlign w:val="center"/>
          </w:tcPr>
          <w:p w14:paraId="4ED1D172">
            <w:r>
              <w:rPr>
                <w:rStyle w:val="10"/>
                <w:rFonts w:hint="eastAsia"/>
              </w:rPr>
              <w:t>质量保证期：</w:t>
            </w:r>
            <w:r>
              <w:rPr>
                <w:rStyle w:val="11"/>
                <w:rFonts w:hint="eastAsia"/>
              </w:rPr>
              <w:t>2年</w:t>
            </w:r>
          </w:p>
        </w:tc>
      </w:tr>
      <w:tr w14:paraId="2A65BCD6">
        <w:tblPrEx>
          <w:tblCellMar>
            <w:top w:w="0" w:type="dxa"/>
            <w:left w:w="0" w:type="dxa"/>
            <w:bottom w:w="0" w:type="dxa"/>
            <w:right w:w="0" w:type="dxa"/>
          </w:tblCellMar>
        </w:tblPrEx>
        <w:trPr>
          <w:wBefore w:w="0" w:type="auto"/>
          <w:tblCellSpacing w:w="0" w:type="dxa"/>
        </w:trPr>
        <w:tc>
          <w:tcPr>
            <w:tcW w:w="0" w:type="auto"/>
            <w:noWrap w:val="0"/>
            <w:vAlign w:val="center"/>
          </w:tcPr>
          <w:p w14:paraId="6D26F31D">
            <w:r>
              <w:rPr>
                <w:rStyle w:val="10"/>
                <w:rFonts w:hint="eastAsia"/>
              </w:rPr>
              <w:t>备注：</w:t>
            </w:r>
          </w:p>
        </w:tc>
      </w:tr>
    </w:tbl>
    <w:p w14:paraId="26251CD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E6AD986">
        <w:tblPrEx>
          <w:tblCellMar>
            <w:top w:w="0" w:type="dxa"/>
            <w:left w:w="0" w:type="dxa"/>
            <w:bottom w:w="0" w:type="dxa"/>
            <w:right w:w="0" w:type="dxa"/>
          </w:tblCellMar>
        </w:tblPrEx>
        <w:trPr>
          <w:wBefore w:w="0" w:type="auto"/>
          <w:tblCellSpacing w:w="0" w:type="dxa"/>
        </w:trPr>
        <w:tc>
          <w:tcPr>
            <w:tcW w:w="0" w:type="auto"/>
            <w:noWrap w:val="0"/>
            <w:vAlign w:val="center"/>
          </w:tcPr>
          <w:p w14:paraId="2B87BCEC">
            <w:r>
              <w:rPr>
                <w:rStyle w:val="10"/>
                <w:rFonts w:hint="eastAsia"/>
              </w:rPr>
              <w:t>登记证号：</w:t>
            </w:r>
            <w:r>
              <w:rPr>
                <w:rFonts w:hint="eastAsia"/>
              </w:rPr>
              <w:t>PD20211918</w:t>
            </w:r>
          </w:p>
        </w:tc>
      </w:tr>
      <w:tr w14:paraId="6C53DBAD">
        <w:tblPrEx>
          <w:tblCellMar>
            <w:top w:w="0" w:type="dxa"/>
            <w:left w:w="0" w:type="dxa"/>
            <w:bottom w:w="0" w:type="dxa"/>
            <w:right w:w="0" w:type="dxa"/>
          </w:tblCellMar>
        </w:tblPrEx>
        <w:trPr>
          <w:wBefore w:w="0" w:type="auto"/>
          <w:tblCellSpacing w:w="0" w:type="dxa"/>
        </w:trPr>
        <w:tc>
          <w:tcPr>
            <w:tcW w:w="0" w:type="auto"/>
            <w:noWrap w:val="0"/>
            <w:vAlign w:val="center"/>
          </w:tcPr>
          <w:p w14:paraId="66FDDEBF">
            <w:r>
              <w:rPr>
                <w:rStyle w:val="10"/>
                <w:rFonts w:hint="eastAsia"/>
              </w:rPr>
              <w:t>登记证持有人：</w:t>
            </w:r>
            <w:r>
              <w:rPr>
                <w:rFonts w:hint="eastAsia"/>
              </w:rPr>
              <w:t>浙江省杭州宇龙化工有限公司</w:t>
            </w:r>
          </w:p>
        </w:tc>
      </w:tr>
      <w:tr w14:paraId="719ED540">
        <w:tblPrEx>
          <w:tblCellMar>
            <w:top w:w="0" w:type="dxa"/>
            <w:left w:w="0" w:type="dxa"/>
            <w:bottom w:w="0" w:type="dxa"/>
            <w:right w:w="0" w:type="dxa"/>
          </w:tblCellMar>
        </w:tblPrEx>
        <w:trPr>
          <w:wBefore w:w="0" w:type="auto"/>
          <w:tblCellSpacing w:w="0" w:type="dxa"/>
        </w:trPr>
        <w:tc>
          <w:tcPr>
            <w:tcW w:w="0" w:type="auto"/>
            <w:noWrap w:val="0"/>
            <w:vAlign w:val="center"/>
          </w:tcPr>
          <w:p w14:paraId="62374BE8">
            <w:r>
              <w:rPr>
                <w:rStyle w:val="10"/>
                <w:rFonts w:hint="eastAsia"/>
              </w:rPr>
              <w:t>农药名称：</w:t>
            </w:r>
            <w:r>
              <w:rPr>
                <w:rFonts w:hint="eastAsia"/>
              </w:rPr>
              <w:t>啶酰·咯菌腈</w:t>
            </w:r>
          </w:p>
        </w:tc>
      </w:tr>
      <w:tr w14:paraId="26375106">
        <w:tblPrEx>
          <w:tblCellMar>
            <w:top w:w="0" w:type="dxa"/>
            <w:left w:w="0" w:type="dxa"/>
            <w:bottom w:w="0" w:type="dxa"/>
            <w:right w:w="0" w:type="dxa"/>
          </w:tblCellMar>
        </w:tblPrEx>
        <w:trPr>
          <w:wBefore w:w="0" w:type="auto"/>
          <w:tblCellSpacing w:w="0" w:type="dxa"/>
        </w:trPr>
        <w:tc>
          <w:tcPr>
            <w:tcW w:w="0" w:type="auto"/>
            <w:noWrap w:val="0"/>
            <w:vAlign w:val="center"/>
          </w:tcPr>
          <w:p w14:paraId="5ECCEA67">
            <w:r>
              <w:rPr>
                <w:rStyle w:val="10"/>
                <w:rFonts w:hint="eastAsia"/>
              </w:rPr>
              <w:t>剂型：</w:t>
            </w:r>
            <w:r>
              <w:rPr>
                <w:rFonts w:hint="eastAsia"/>
              </w:rPr>
              <w:t>悬浮剂</w:t>
            </w:r>
          </w:p>
        </w:tc>
      </w:tr>
      <w:tr w14:paraId="2283472B">
        <w:tblPrEx>
          <w:tblCellMar>
            <w:top w:w="0" w:type="dxa"/>
            <w:left w:w="0" w:type="dxa"/>
            <w:bottom w:w="0" w:type="dxa"/>
            <w:right w:w="0" w:type="dxa"/>
          </w:tblCellMar>
        </w:tblPrEx>
        <w:trPr>
          <w:wBefore w:w="0" w:type="auto"/>
          <w:tblCellSpacing w:w="0" w:type="dxa"/>
        </w:trPr>
        <w:tc>
          <w:tcPr>
            <w:tcW w:w="0" w:type="auto"/>
            <w:noWrap w:val="0"/>
            <w:vAlign w:val="center"/>
          </w:tcPr>
          <w:p w14:paraId="17803FB1">
            <w:r>
              <w:rPr>
                <w:rStyle w:val="10"/>
                <w:rFonts w:hint="eastAsia"/>
              </w:rPr>
              <w:t>毒性及其标识：</w:t>
            </w:r>
            <w:r>
              <w:rPr>
                <w:rFonts w:hint="eastAsia"/>
              </w:rPr>
              <w:t xml:space="preserve"> </w:t>
            </w:r>
            <w:r>
              <w:rPr>
                <w:lang/>
              </w:rPr>
              <w:drawing>
                <wp:inline distT="0" distB="0" distL="114300" distR="114300">
                  <wp:extent cx="476250" cy="323850"/>
                  <wp:effectExtent l="0" t="0" r="0" b="0"/>
                  <wp:docPr id="366" name="图片 36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2A7FC9E">
        <w:tblPrEx>
          <w:tblCellMar>
            <w:top w:w="0" w:type="dxa"/>
            <w:left w:w="0" w:type="dxa"/>
            <w:bottom w:w="0" w:type="dxa"/>
            <w:right w:w="0" w:type="dxa"/>
          </w:tblCellMar>
        </w:tblPrEx>
        <w:trPr>
          <w:wBefore w:w="0" w:type="auto"/>
          <w:tblCellSpacing w:w="0" w:type="dxa"/>
        </w:trPr>
        <w:tc>
          <w:tcPr>
            <w:tcW w:w="0" w:type="auto"/>
            <w:noWrap w:val="0"/>
            <w:vAlign w:val="center"/>
          </w:tcPr>
          <w:p w14:paraId="5BA3ABAF">
            <w:r>
              <w:rPr>
                <w:rStyle w:val="10"/>
                <w:rFonts w:hint="eastAsia"/>
              </w:rPr>
              <w:t>总有效成分含量：</w:t>
            </w:r>
            <w:r>
              <w:rPr>
                <w:rFonts w:hint="eastAsia"/>
              </w:rPr>
              <w:t>30%</w:t>
            </w:r>
          </w:p>
        </w:tc>
      </w:tr>
      <w:tr w14:paraId="7172B77B">
        <w:tblPrEx>
          <w:tblCellMar>
            <w:top w:w="0" w:type="dxa"/>
            <w:left w:w="0" w:type="dxa"/>
            <w:bottom w:w="0" w:type="dxa"/>
            <w:right w:w="0" w:type="dxa"/>
          </w:tblCellMar>
        </w:tblPrEx>
        <w:trPr>
          <w:wBefore w:w="0" w:type="auto"/>
          <w:tblCellSpacing w:w="0" w:type="dxa"/>
        </w:trPr>
        <w:tc>
          <w:tcPr>
            <w:tcW w:w="0" w:type="auto"/>
            <w:noWrap w:val="0"/>
            <w:vAlign w:val="center"/>
          </w:tcPr>
          <w:p w14:paraId="4556579C">
            <w:r>
              <w:rPr>
                <w:rFonts w:hint="eastAsia"/>
              </w:rPr>
              <w:t xml:space="preserve">有效成分及其含量： </w:t>
            </w:r>
          </w:p>
          <w:p w14:paraId="4E3095B3">
            <w:r>
              <w:rPr>
                <w:rFonts w:hint="eastAsia"/>
              </w:rPr>
              <w:t xml:space="preserve">    咯菌腈7.5%    啶酰菌胺22.5%    </w:t>
            </w:r>
          </w:p>
        </w:tc>
      </w:tr>
      <w:tr w14:paraId="7D3A6024">
        <w:tblPrEx>
          <w:tblCellMar>
            <w:top w:w="0" w:type="dxa"/>
            <w:left w:w="0" w:type="dxa"/>
            <w:bottom w:w="0" w:type="dxa"/>
            <w:right w:w="0" w:type="dxa"/>
          </w:tblCellMar>
        </w:tblPrEx>
        <w:trPr>
          <w:wBefore w:w="0" w:type="auto"/>
          <w:tblCellSpacing w:w="0" w:type="dxa"/>
        </w:trPr>
        <w:tc>
          <w:tcPr>
            <w:tcW w:w="0" w:type="auto"/>
            <w:noWrap w:val="0"/>
            <w:vAlign w:val="center"/>
          </w:tcPr>
          <w:p w14:paraId="1888570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212B0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94A297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EC761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A8045D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253FC9A">
                  <w:r>
                    <w:rPr>
                      <w:rStyle w:val="11"/>
                      <w:rFonts w:hint="eastAsia"/>
                    </w:rPr>
                    <w:t>施用方式</w:t>
                  </w:r>
                </w:p>
              </w:tc>
            </w:tr>
            <w:tr w14:paraId="426CF9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B440ED">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309ED5">
                  <w:r>
                    <w:rPr>
                      <w:rStyle w:val="11"/>
                      <w:rFonts w:hint="eastAsia"/>
                    </w:rPr>
                    <w:t>灰霉病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228211">
                  <w:r>
                    <w:rPr>
                      <w:rStyle w:val="11"/>
                      <w:rFonts w:hint="eastAsia"/>
                    </w:rPr>
                    <w:t>1500-2500倍液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219480">
                  <w:r>
                    <w:rPr>
                      <w:rStyle w:val="11"/>
                      <w:rFonts w:hint="eastAsia"/>
                    </w:rPr>
                    <w:t>喷雾</w:t>
                  </w:r>
                </w:p>
              </w:tc>
            </w:tr>
          </w:tbl>
          <w:p w14:paraId="245C96EE">
            <w:pPr>
              <w:rPr>
                <w:rFonts w:ascii="Times New Roman" w:hAnsi="Times New Roman" w:cs="Times New Roman"/>
                <w:sz w:val="20"/>
                <w:szCs w:val="20"/>
              </w:rPr>
            </w:pPr>
          </w:p>
        </w:tc>
      </w:tr>
      <w:tr w14:paraId="3B56B1C4">
        <w:tblPrEx>
          <w:tblCellMar>
            <w:top w:w="0" w:type="dxa"/>
            <w:left w:w="0" w:type="dxa"/>
            <w:bottom w:w="0" w:type="dxa"/>
            <w:right w:w="0" w:type="dxa"/>
          </w:tblCellMar>
        </w:tblPrEx>
        <w:trPr>
          <w:wBefore w:w="0" w:type="auto"/>
          <w:tblCellSpacing w:w="0" w:type="dxa"/>
        </w:trPr>
        <w:tc>
          <w:tcPr>
            <w:tcW w:w="0" w:type="auto"/>
            <w:noWrap w:val="0"/>
            <w:vAlign w:val="center"/>
          </w:tcPr>
          <w:p w14:paraId="6103C8C7">
            <w:r>
              <w:rPr>
                <w:rStyle w:val="10"/>
                <w:rFonts w:hint="eastAsia"/>
              </w:rPr>
              <w:t>使用技术要求:</w:t>
            </w:r>
            <w:r>
              <w:rPr>
                <w:rFonts w:hint="eastAsia"/>
              </w:rPr>
              <w:br w:type="textWrapping"/>
            </w:r>
            <w:r>
              <w:rPr>
                <w:rStyle w:val="11"/>
                <w:rFonts w:hint="eastAsia"/>
              </w:rPr>
              <w:t>1．本品适宜喷药期为在葡萄灰霉病发病初期施药，可施药2-3次，每次间隔7~10天。 喷雾时应注意均匀、周到。2．大风天或预计1小时内降雨，请勿施药。3. 本品在葡萄上使用的安全间隔期为7天，每季作物最多使用3次。</w:t>
            </w:r>
          </w:p>
        </w:tc>
      </w:tr>
      <w:tr w14:paraId="00169D24">
        <w:tblPrEx>
          <w:tblCellMar>
            <w:top w:w="0" w:type="dxa"/>
            <w:left w:w="0" w:type="dxa"/>
            <w:bottom w:w="0" w:type="dxa"/>
            <w:right w:w="0" w:type="dxa"/>
          </w:tblCellMar>
        </w:tblPrEx>
        <w:trPr>
          <w:wBefore w:w="0" w:type="auto"/>
          <w:tblCellSpacing w:w="0" w:type="dxa"/>
        </w:trPr>
        <w:tc>
          <w:tcPr>
            <w:tcW w:w="0" w:type="auto"/>
            <w:noWrap w:val="0"/>
            <w:vAlign w:val="center"/>
          </w:tcPr>
          <w:p w14:paraId="60ED933B">
            <w:r>
              <w:rPr>
                <w:rStyle w:val="10"/>
                <w:rFonts w:hint="eastAsia"/>
              </w:rPr>
              <w:t>产品性能:</w:t>
            </w:r>
            <w:r>
              <w:rPr>
                <w:rFonts w:hint="eastAsia"/>
              </w:rPr>
              <w:br w:type="textWrapping"/>
            </w:r>
            <w:r>
              <w:rPr>
                <w:rStyle w:val="11"/>
                <w:rFonts w:hint="eastAsia"/>
              </w:rPr>
              <w:t>本品为啶酰菌胺和咯菌腈的混配制剂，可双重抑制病原菌生长，药剂可通过植物茎叶和根部吸收发挥作用，有一定的向顶传导性和较好的跨膜传导性。按登记剂量使用时，对葡萄灰霉病具有较好的防治效果。</w:t>
            </w:r>
          </w:p>
        </w:tc>
      </w:tr>
      <w:tr w14:paraId="24194123">
        <w:tblPrEx>
          <w:tblCellMar>
            <w:top w:w="0" w:type="dxa"/>
            <w:left w:w="0" w:type="dxa"/>
            <w:bottom w:w="0" w:type="dxa"/>
            <w:right w:w="0" w:type="dxa"/>
          </w:tblCellMar>
        </w:tblPrEx>
        <w:trPr>
          <w:wBefore w:w="0" w:type="auto"/>
          <w:tblCellSpacing w:w="0" w:type="dxa"/>
        </w:trPr>
        <w:tc>
          <w:tcPr>
            <w:tcW w:w="0" w:type="auto"/>
            <w:noWrap w:val="0"/>
            <w:vAlign w:val="center"/>
          </w:tcPr>
          <w:p w14:paraId="54B85539">
            <w:r>
              <w:rPr>
                <w:rStyle w:val="10"/>
                <w:rFonts w:hint="eastAsia"/>
              </w:rPr>
              <w:t>注意事项：</w:t>
            </w:r>
            <w:r>
              <w:rPr>
                <w:rFonts w:hint="eastAsia"/>
              </w:rPr>
              <w:br w:type="textWrapping"/>
            </w:r>
            <w:r>
              <w:rPr>
                <w:rStyle w:val="11"/>
                <w:rFonts w:hint="eastAsia"/>
              </w:rPr>
              <w:t>1. 请按照农药安全使用准则用药。施用人员在施药时佩戴帽子、口罩和手套，穿长衣、长裤和鞋，作业结束后及时淋浴、更衣。2. 建议与其他作用机制不同的杀菌剂轮换使用，以延缓抗性产生。3. 本品应避免与氧化剂接触。4. 操作本品时应禁止饮食、吸烟和饮水等。5. 使用过的空包装应妥善处理，切勿重复使用或作他用，也不可随意丢弃。所有施药器具，用后应立即用清水或适当的洗涤剂清洗。6. 避免以最外围桑树的桑叶饲喂家蚕。7. 延长药后桑叶采摘间隔期。8. 水产养殖区、河塘等水体附近禁用，禁止在河塘等水域清洗施药器具。9. 禁止孕妇及哺乳期妇女接触本品。</w:t>
            </w:r>
          </w:p>
        </w:tc>
      </w:tr>
      <w:tr w14:paraId="7CBD0BC1">
        <w:tblPrEx>
          <w:tblCellMar>
            <w:top w:w="0" w:type="dxa"/>
            <w:left w:w="0" w:type="dxa"/>
            <w:bottom w:w="0" w:type="dxa"/>
            <w:right w:w="0" w:type="dxa"/>
          </w:tblCellMar>
        </w:tblPrEx>
        <w:trPr>
          <w:wBefore w:w="0" w:type="auto"/>
          <w:tblCellSpacing w:w="0" w:type="dxa"/>
        </w:trPr>
        <w:tc>
          <w:tcPr>
            <w:tcW w:w="0" w:type="auto"/>
            <w:noWrap w:val="0"/>
            <w:vAlign w:val="center"/>
          </w:tcPr>
          <w:p w14:paraId="1268F76B">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2.不慎吸入，应将病人移至空气清新处；3.皮肤接触：应立即脱掉污染的衣物，尽快用肥皂水及清水冲洗15分钟以上，严重者，请就医；4.溅入眼睛，应立即翻开上下眼睑，用流动的自来水冲洗15分钟以上，如又不适感觉，请就医；5.误服，应立即携带标签，就医。6.无特效解毒剂，对症治疗。</w:t>
            </w:r>
          </w:p>
        </w:tc>
      </w:tr>
      <w:tr w14:paraId="41A9077A">
        <w:tblPrEx>
          <w:tblCellMar>
            <w:top w:w="0" w:type="dxa"/>
            <w:left w:w="0" w:type="dxa"/>
            <w:bottom w:w="0" w:type="dxa"/>
            <w:right w:w="0" w:type="dxa"/>
          </w:tblCellMar>
        </w:tblPrEx>
        <w:trPr>
          <w:wBefore w:w="0" w:type="auto"/>
          <w:tblCellSpacing w:w="0" w:type="dxa"/>
        </w:trPr>
        <w:tc>
          <w:tcPr>
            <w:tcW w:w="0" w:type="auto"/>
            <w:noWrap w:val="0"/>
            <w:vAlign w:val="center"/>
          </w:tcPr>
          <w:p w14:paraId="6F2199BA">
            <w:r>
              <w:rPr>
                <w:rStyle w:val="10"/>
                <w:rFonts w:hint="eastAsia"/>
              </w:rPr>
              <w:t>储存和运输方法：</w:t>
            </w:r>
            <w:r>
              <w:rPr>
                <w:rFonts w:hint="eastAsia"/>
              </w:rPr>
              <w:br w:type="textWrapping"/>
            </w:r>
            <w:r>
              <w:rPr>
                <w:rStyle w:val="11"/>
                <w:rFonts w:hint="eastAsia"/>
              </w:rPr>
              <w:t>本品应贮存在干燥、阴凉、通风处，远离火源或热源。置于儿童触及不到之处，并加锁。勿与食品、饮料、饲料、粮食等混合储运。</w:t>
            </w:r>
          </w:p>
        </w:tc>
      </w:tr>
      <w:tr w14:paraId="3EEA90BB">
        <w:tblPrEx>
          <w:tblCellMar>
            <w:top w:w="0" w:type="dxa"/>
            <w:left w:w="0" w:type="dxa"/>
            <w:bottom w:w="0" w:type="dxa"/>
            <w:right w:w="0" w:type="dxa"/>
          </w:tblCellMar>
        </w:tblPrEx>
        <w:trPr>
          <w:wBefore w:w="0" w:type="auto"/>
          <w:tblCellSpacing w:w="0" w:type="dxa"/>
        </w:trPr>
        <w:tc>
          <w:tcPr>
            <w:tcW w:w="0" w:type="auto"/>
            <w:noWrap w:val="0"/>
            <w:vAlign w:val="center"/>
          </w:tcPr>
          <w:p w14:paraId="2BE59F59">
            <w:r>
              <w:rPr>
                <w:rStyle w:val="10"/>
                <w:rFonts w:hint="eastAsia"/>
              </w:rPr>
              <w:t>质量保证期：</w:t>
            </w:r>
            <w:r>
              <w:rPr>
                <w:rStyle w:val="11"/>
                <w:rFonts w:hint="eastAsia"/>
              </w:rPr>
              <w:t>2年</w:t>
            </w:r>
          </w:p>
        </w:tc>
      </w:tr>
      <w:tr w14:paraId="45449544">
        <w:tblPrEx>
          <w:tblCellMar>
            <w:top w:w="0" w:type="dxa"/>
            <w:left w:w="0" w:type="dxa"/>
            <w:bottom w:w="0" w:type="dxa"/>
            <w:right w:w="0" w:type="dxa"/>
          </w:tblCellMar>
        </w:tblPrEx>
        <w:trPr>
          <w:wBefore w:w="0" w:type="auto"/>
          <w:tblCellSpacing w:w="0" w:type="dxa"/>
        </w:trPr>
        <w:tc>
          <w:tcPr>
            <w:tcW w:w="0" w:type="auto"/>
            <w:noWrap w:val="0"/>
            <w:vAlign w:val="center"/>
          </w:tcPr>
          <w:p w14:paraId="10B3439C">
            <w:r>
              <w:rPr>
                <w:rStyle w:val="10"/>
                <w:rFonts w:hint="eastAsia"/>
              </w:rPr>
              <w:t>备注：</w:t>
            </w:r>
          </w:p>
        </w:tc>
      </w:tr>
    </w:tbl>
    <w:p w14:paraId="33C47C4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58CB363">
        <w:tblPrEx>
          <w:tblCellMar>
            <w:top w:w="0" w:type="dxa"/>
            <w:left w:w="0" w:type="dxa"/>
            <w:bottom w:w="0" w:type="dxa"/>
            <w:right w:w="0" w:type="dxa"/>
          </w:tblCellMar>
        </w:tblPrEx>
        <w:trPr>
          <w:wBefore w:w="0" w:type="auto"/>
          <w:tblCellSpacing w:w="0" w:type="dxa"/>
        </w:trPr>
        <w:tc>
          <w:tcPr>
            <w:tcW w:w="0" w:type="auto"/>
            <w:noWrap w:val="0"/>
            <w:vAlign w:val="center"/>
          </w:tcPr>
          <w:p w14:paraId="5C1AE3CF">
            <w:r>
              <w:rPr>
                <w:rStyle w:val="10"/>
                <w:rFonts w:hint="eastAsia"/>
              </w:rPr>
              <w:t>登记证号：</w:t>
            </w:r>
            <w:r>
              <w:rPr>
                <w:rFonts w:hint="eastAsia"/>
              </w:rPr>
              <w:t>PD20212242</w:t>
            </w:r>
          </w:p>
        </w:tc>
      </w:tr>
      <w:tr w14:paraId="42CFBD30">
        <w:tblPrEx>
          <w:tblCellMar>
            <w:top w:w="0" w:type="dxa"/>
            <w:left w:w="0" w:type="dxa"/>
            <w:bottom w:w="0" w:type="dxa"/>
            <w:right w:w="0" w:type="dxa"/>
          </w:tblCellMar>
        </w:tblPrEx>
        <w:trPr>
          <w:wBefore w:w="0" w:type="auto"/>
          <w:tblCellSpacing w:w="0" w:type="dxa"/>
        </w:trPr>
        <w:tc>
          <w:tcPr>
            <w:tcW w:w="0" w:type="auto"/>
            <w:noWrap w:val="0"/>
            <w:vAlign w:val="center"/>
          </w:tcPr>
          <w:p w14:paraId="6FD31329">
            <w:r>
              <w:rPr>
                <w:rStyle w:val="10"/>
                <w:rFonts w:hint="eastAsia"/>
              </w:rPr>
              <w:t>登记证持有人：</w:t>
            </w:r>
            <w:r>
              <w:rPr>
                <w:rFonts w:hint="eastAsia"/>
              </w:rPr>
              <w:t>山东万豪化工股份有限公司</w:t>
            </w:r>
          </w:p>
        </w:tc>
      </w:tr>
      <w:tr w14:paraId="755E6D71">
        <w:tblPrEx>
          <w:tblCellMar>
            <w:top w:w="0" w:type="dxa"/>
            <w:left w:w="0" w:type="dxa"/>
            <w:bottom w:w="0" w:type="dxa"/>
            <w:right w:w="0" w:type="dxa"/>
          </w:tblCellMar>
        </w:tblPrEx>
        <w:trPr>
          <w:wBefore w:w="0" w:type="auto"/>
          <w:tblCellSpacing w:w="0" w:type="dxa"/>
        </w:trPr>
        <w:tc>
          <w:tcPr>
            <w:tcW w:w="0" w:type="auto"/>
            <w:noWrap w:val="0"/>
            <w:vAlign w:val="center"/>
          </w:tcPr>
          <w:p w14:paraId="7380471D">
            <w:r>
              <w:rPr>
                <w:rStyle w:val="10"/>
                <w:rFonts w:hint="eastAsia"/>
              </w:rPr>
              <w:t>农药名称：</w:t>
            </w:r>
            <w:r>
              <w:rPr>
                <w:rFonts w:hint="eastAsia"/>
              </w:rPr>
              <w:t>敌草快</w:t>
            </w:r>
          </w:p>
        </w:tc>
      </w:tr>
      <w:tr w14:paraId="439669C2">
        <w:tblPrEx>
          <w:tblCellMar>
            <w:top w:w="0" w:type="dxa"/>
            <w:left w:w="0" w:type="dxa"/>
            <w:bottom w:w="0" w:type="dxa"/>
            <w:right w:w="0" w:type="dxa"/>
          </w:tblCellMar>
        </w:tblPrEx>
        <w:trPr>
          <w:wBefore w:w="0" w:type="auto"/>
          <w:tblCellSpacing w:w="0" w:type="dxa"/>
        </w:trPr>
        <w:tc>
          <w:tcPr>
            <w:tcW w:w="0" w:type="auto"/>
            <w:noWrap w:val="0"/>
            <w:vAlign w:val="center"/>
          </w:tcPr>
          <w:p w14:paraId="1CA81F48">
            <w:r>
              <w:rPr>
                <w:rStyle w:val="10"/>
                <w:rFonts w:hint="eastAsia"/>
              </w:rPr>
              <w:t>剂型：</w:t>
            </w:r>
            <w:r>
              <w:rPr>
                <w:rFonts w:hint="eastAsia"/>
              </w:rPr>
              <w:t>可溶液剂</w:t>
            </w:r>
          </w:p>
        </w:tc>
      </w:tr>
      <w:tr w14:paraId="621DCBEF">
        <w:tblPrEx>
          <w:tblCellMar>
            <w:top w:w="0" w:type="dxa"/>
            <w:left w:w="0" w:type="dxa"/>
            <w:bottom w:w="0" w:type="dxa"/>
            <w:right w:w="0" w:type="dxa"/>
          </w:tblCellMar>
        </w:tblPrEx>
        <w:trPr>
          <w:wBefore w:w="0" w:type="auto"/>
          <w:tblCellSpacing w:w="0" w:type="dxa"/>
        </w:trPr>
        <w:tc>
          <w:tcPr>
            <w:tcW w:w="0" w:type="auto"/>
            <w:noWrap w:val="0"/>
            <w:vAlign w:val="center"/>
          </w:tcPr>
          <w:p w14:paraId="2227D3A1">
            <w:r>
              <w:rPr>
                <w:rStyle w:val="10"/>
                <w:rFonts w:hint="eastAsia"/>
              </w:rPr>
              <w:t>毒性及其标识：</w:t>
            </w:r>
            <w:r>
              <w:rPr>
                <w:rFonts w:hint="eastAsia"/>
              </w:rPr>
              <w:t xml:space="preserve"> </w:t>
            </w:r>
            <w:r>
              <w:rPr>
                <w:lang/>
              </w:rPr>
              <w:drawing>
                <wp:inline distT="0" distB="0" distL="114300" distR="114300">
                  <wp:extent cx="476250" cy="323850"/>
                  <wp:effectExtent l="0" t="0" r="0" b="0"/>
                  <wp:docPr id="367" name="图片 36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641758B">
        <w:tblPrEx>
          <w:tblCellMar>
            <w:top w:w="0" w:type="dxa"/>
            <w:left w:w="0" w:type="dxa"/>
            <w:bottom w:w="0" w:type="dxa"/>
            <w:right w:w="0" w:type="dxa"/>
          </w:tblCellMar>
        </w:tblPrEx>
        <w:trPr>
          <w:wBefore w:w="0" w:type="auto"/>
          <w:tblCellSpacing w:w="0" w:type="dxa"/>
        </w:trPr>
        <w:tc>
          <w:tcPr>
            <w:tcW w:w="0" w:type="auto"/>
            <w:noWrap w:val="0"/>
            <w:vAlign w:val="center"/>
          </w:tcPr>
          <w:p w14:paraId="1AA0DE51">
            <w:r>
              <w:rPr>
                <w:rStyle w:val="10"/>
                <w:rFonts w:hint="eastAsia"/>
              </w:rPr>
              <w:t>总有效成分含量：</w:t>
            </w:r>
            <w:r>
              <w:rPr>
                <w:rFonts w:hint="eastAsia"/>
              </w:rPr>
              <w:t>10%</w:t>
            </w:r>
          </w:p>
        </w:tc>
      </w:tr>
      <w:tr w14:paraId="1EDE31AE">
        <w:tblPrEx>
          <w:tblCellMar>
            <w:top w:w="0" w:type="dxa"/>
            <w:left w:w="0" w:type="dxa"/>
            <w:bottom w:w="0" w:type="dxa"/>
            <w:right w:w="0" w:type="dxa"/>
          </w:tblCellMar>
        </w:tblPrEx>
        <w:trPr>
          <w:wBefore w:w="0" w:type="auto"/>
          <w:tblCellSpacing w:w="0" w:type="dxa"/>
        </w:trPr>
        <w:tc>
          <w:tcPr>
            <w:tcW w:w="0" w:type="auto"/>
            <w:noWrap w:val="0"/>
            <w:vAlign w:val="center"/>
          </w:tcPr>
          <w:p w14:paraId="685AA1E3">
            <w:r>
              <w:rPr>
                <w:rFonts w:hint="eastAsia"/>
              </w:rPr>
              <w:t xml:space="preserve">有效成分及其含量： </w:t>
            </w:r>
          </w:p>
          <w:p w14:paraId="0DA77324">
            <w:r>
              <w:rPr>
                <w:rFonts w:hint="eastAsia"/>
              </w:rPr>
              <w:t xml:space="preserve">    敌草快10%    </w:t>
            </w:r>
          </w:p>
        </w:tc>
      </w:tr>
      <w:tr w14:paraId="6D3E2221">
        <w:tblPrEx>
          <w:tblCellMar>
            <w:top w:w="0" w:type="dxa"/>
            <w:left w:w="0" w:type="dxa"/>
            <w:bottom w:w="0" w:type="dxa"/>
            <w:right w:w="0" w:type="dxa"/>
          </w:tblCellMar>
        </w:tblPrEx>
        <w:trPr>
          <w:wBefore w:w="0" w:type="auto"/>
          <w:tblCellSpacing w:w="0" w:type="dxa"/>
        </w:trPr>
        <w:tc>
          <w:tcPr>
            <w:tcW w:w="0" w:type="auto"/>
            <w:noWrap w:val="0"/>
            <w:vAlign w:val="center"/>
          </w:tcPr>
          <w:p w14:paraId="488E39A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35C681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D93F7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A1E3DB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EC61F5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A858984">
                  <w:r>
                    <w:rPr>
                      <w:rStyle w:val="11"/>
                      <w:rFonts w:hint="eastAsia"/>
                    </w:rPr>
                    <w:t>施用方式</w:t>
                  </w:r>
                </w:p>
              </w:tc>
            </w:tr>
            <w:tr w14:paraId="570A5C9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4B36B99">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6A7A37">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B25C7A">
                  <w:r>
                    <w:rPr>
                      <w:rStyle w:val="11"/>
                      <w:rFonts w:hint="eastAsia"/>
                    </w:rPr>
                    <w:t>600-700毫升/亩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C3E817">
                  <w:r>
                    <w:rPr>
                      <w:rStyle w:val="11"/>
                      <w:rFonts w:hint="eastAsia"/>
                    </w:rPr>
                    <w:t>茎叶喷雾</w:t>
                  </w:r>
                </w:p>
              </w:tc>
            </w:tr>
          </w:tbl>
          <w:p w14:paraId="206BB042">
            <w:pPr>
              <w:rPr>
                <w:rFonts w:ascii="Times New Roman" w:hAnsi="Times New Roman" w:cs="Times New Roman"/>
                <w:sz w:val="20"/>
                <w:szCs w:val="20"/>
              </w:rPr>
            </w:pPr>
          </w:p>
        </w:tc>
      </w:tr>
      <w:tr w14:paraId="01BEF758">
        <w:tblPrEx>
          <w:tblCellMar>
            <w:top w:w="0" w:type="dxa"/>
            <w:left w:w="0" w:type="dxa"/>
            <w:bottom w:w="0" w:type="dxa"/>
            <w:right w:w="0" w:type="dxa"/>
          </w:tblCellMar>
        </w:tblPrEx>
        <w:trPr>
          <w:wBefore w:w="0" w:type="auto"/>
          <w:tblCellSpacing w:w="0" w:type="dxa"/>
        </w:trPr>
        <w:tc>
          <w:tcPr>
            <w:tcW w:w="0" w:type="auto"/>
            <w:noWrap w:val="0"/>
            <w:vAlign w:val="center"/>
          </w:tcPr>
          <w:p w14:paraId="738CEAC9">
            <w:r>
              <w:rPr>
                <w:rStyle w:val="10"/>
                <w:rFonts w:hint="eastAsia"/>
              </w:rPr>
              <w:t>使用技术要求:</w:t>
            </w:r>
            <w:r>
              <w:rPr>
                <w:rFonts w:hint="eastAsia"/>
              </w:rPr>
              <w:br w:type="textWrapping"/>
            </w:r>
            <w:r>
              <w:rPr>
                <w:rStyle w:val="11"/>
                <w:rFonts w:hint="eastAsia"/>
              </w:rPr>
              <w:t>1、杂草生长期施药，每亩兑水量30-40公斤，茎叶喷雾。 2、大风天或预计1小时内降雨，请勿施药。3、禁止在田间道路、田埂、果树行间、休耕地、林场地等农林区域使用。</w:t>
            </w:r>
          </w:p>
        </w:tc>
      </w:tr>
      <w:tr w14:paraId="3454CA61">
        <w:tblPrEx>
          <w:tblCellMar>
            <w:top w:w="0" w:type="dxa"/>
            <w:left w:w="0" w:type="dxa"/>
            <w:bottom w:w="0" w:type="dxa"/>
            <w:right w:w="0" w:type="dxa"/>
          </w:tblCellMar>
        </w:tblPrEx>
        <w:trPr>
          <w:wBefore w:w="0" w:type="auto"/>
          <w:tblCellSpacing w:w="0" w:type="dxa"/>
        </w:trPr>
        <w:tc>
          <w:tcPr>
            <w:tcW w:w="0" w:type="auto"/>
            <w:noWrap w:val="0"/>
            <w:vAlign w:val="center"/>
          </w:tcPr>
          <w:p w14:paraId="73E6C5A1">
            <w:r>
              <w:rPr>
                <w:rStyle w:val="10"/>
                <w:rFonts w:hint="eastAsia"/>
              </w:rPr>
              <w:t>产品性能:</w:t>
            </w:r>
            <w:r>
              <w:rPr>
                <w:rFonts w:hint="eastAsia"/>
              </w:rPr>
              <w:br w:type="textWrapping"/>
            </w:r>
            <w:r>
              <w:rPr>
                <w:rStyle w:val="11"/>
                <w:rFonts w:hint="eastAsia"/>
              </w:rPr>
              <w:t>本品是非选择性触杀型除草剂，具有一定的传导性，可被杂草绿色组织吸收。杂草受药后数小时即开始枯死。用于防除非耕地多种杂草。</w:t>
            </w:r>
          </w:p>
        </w:tc>
      </w:tr>
      <w:tr w14:paraId="668B307E">
        <w:tblPrEx>
          <w:tblCellMar>
            <w:top w:w="0" w:type="dxa"/>
            <w:left w:w="0" w:type="dxa"/>
            <w:bottom w:w="0" w:type="dxa"/>
            <w:right w:w="0" w:type="dxa"/>
          </w:tblCellMar>
        </w:tblPrEx>
        <w:trPr>
          <w:wBefore w:w="0" w:type="auto"/>
          <w:tblCellSpacing w:w="0" w:type="dxa"/>
        </w:trPr>
        <w:tc>
          <w:tcPr>
            <w:tcW w:w="0" w:type="auto"/>
            <w:noWrap w:val="0"/>
            <w:vAlign w:val="center"/>
          </w:tcPr>
          <w:p w14:paraId="6090CE54">
            <w:r>
              <w:rPr>
                <w:rStyle w:val="10"/>
                <w:rFonts w:hint="eastAsia"/>
              </w:rPr>
              <w:t>注意事项：</w:t>
            </w:r>
            <w:r>
              <w:rPr>
                <w:rFonts w:hint="eastAsia"/>
              </w:rPr>
              <w:br w:type="textWrapping"/>
            </w:r>
            <w:r>
              <w:rPr>
                <w:rStyle w:val="11"/>
                <w:rFonts w:hint="eastAsia"/>
              </w:rPr>
              <w:t>1.水产养殖区、河塘等水体附近禁用，禁止在河塘等水域清洗施药器具； 2.鸟类保护区附近禁用； 3.桑园及蚕室附近禁用； 4.赤眼蜂等天敌放飞区域禁用。5.使用时，穿戴长衣、长裤、帽子、口罩、手套等安全防护措施。6.孕妇和哺乳期妇女避免接触。7.废弃物应妥善处理，不能乱丢乱放，也不能做他用。</w:t>
            </w:r>
          </w:p>
        </w:tc>
      </w:tr>
      <w:tr w14:paraId="79CE4515">
        <w:tblPrEx>
          <w:tblCellMar>
            <w:top w:w="0" w:type="dxa"/>
            <w:left w:w="0" w:type="dxa"/>
            <w:bottom w:w="0" w:type="dxa"/>
            <w:right w:w="0" w:type="dxa"/>
          </w:tblCellMar>
        </w:tblPrEx>
        <w:trPr>
          <w:wBefore w:w="0" w:type="auto"/>
          <w:tblCellSpacing w:w="0" w:type="dxa"/>
        </w:trPr>
        <w:tc>
          <w:tcPr>
            <w:tcW w:w="0" w:type="auto"/>
            <w:noWrap w:val="0"/>
            <w:vAlign w:val="center"/>
          </w:tcPr>
          <w:p w14:paraId="6A6C3E0C">
            <w:r>
              <w:rPr>
                <w:rStyle w:val="10"/>
                <w:rFonts w:hint="eastAsia"/>
              </w:rPr>
              <w:t>中毒急救措施：</w:t>
            </w:r>
            <w:r>
              <w:rPr>
                <w:rFonts w:hint="eastAsia"/>
              </w:rPr>
              <w:br w:type="textWrapping"/>
            </w:r>
            <w:r>
              <w:rPr>
                <w:rStyle w:val="11"/>
                <w:rFonts w:hint="eastAsia"/>
              </w:rPr>
              <w:t>对眼睛有刺激性，使用时避免接触眼睛和皮肤。 1、用药时如果感觉不适，立即停止工作，采取急救措施，并携此标签送医就诊。 2、若溅到皮肤上，应立即用大量清水冲洗，如皮肤疼痛感持续，请医生诊治。 3、不慎溅入眼中，要立即用清水冲洗15分钟以上，并请医生诊治。 4、若误服，立即携此标签将病人送医院救治，可对症治疗，无特殊解毒药。</w:t>
            </w:r>
          </w:p>
        </w:tc>
      </w:tr>
      <w:tr w14:paraId="09E2A140">
        <w:tblPrEx>
          <w:tblCellMar>
            <w:top w:w="0" w:type="dxa"/>
            <w:left w:w="0" w:type="dxa"/>
            <w:bottom w:w="0" w:type="dxa"/>
            <w:right w:w="0" w:type="dxa"/>
          </w:tblCellMar>
        </w:tblPrEx>
        <w:trPr>
          <w:wBefore w:w="0" w:type="auto"/>
          <w:tblCellSpacing w:w="0" w:type="dxa"/>
        </w:trPr>
        <w:tc>
          <w:tcPr>
            <w:tcW w:w="0" w:type="auto"/>
            <w:noWrap w:val="0"/>
            <w:vAlign w:val="center"/>
          </w:tcPr>
          <w:p w14:paraId="2A5F9CA9">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本品应贮存在干燥、阴凉、通风、防雨处，远离火源或热源。置于儿童、无关人员触及不到之处，并加锁。勿与食品、饮料、粮食、饲料等物其他商品同贮同运。</w:t>
            </w:r>
          </w:p>
        </w:tc>
      </w:tr>
      <w:tr w14:paraId="4DBC9D7E">
        <w:tblPrEx>
          <w:tblCellMar>
            <w:top w:w="0" w:type="dxa"/>
            <w:left w:w="0" w:type="dxa"/>
            <w:bottom w:w="0" w:type="dxa"/>
            <w:right w:w="0" w:type="dxa"/>
          </w:tblCellMar>
        </w:tblPrEx>
        <w:trPr>
          <w:wBefore w:w="0" w:type="auto"/>
          <w:tblCellSpacing w:w="0" w:type="dxa"/>
        </w:trPr>
        <w:tc>
          <w:tcPr>
            <w:tcW w:w="0" w:type="auto"/>
            <w:noWrap w:val="0"/>
            <w:vAlign w:val="center"/>
          </w:tcPr>
          <w:p w14:paraId="05335528">
            <w:r>
              <w:rPr>
                <w:rStyle w:val="10"/>
                <w:rFonts w:hint="eastAsia"/>
              </w:rPr>
              <w:t>质量保证期：</w:t>
            </w:r>
            <w:r>
              <w:rPr>
                <w:rStyle w:val="11"/>
                <w:rFonts w:hint="eastAsia"/>
              </w:rPr>
              <w:t>2年</w:t>
            </w:r>
          </w:p>
        </w:tc>
      </w:tr>
      <w:tr w14:paraId="5F7755EC">
        <w:tblPrEx>
          <w:tblCellMar>
            <w:top w:w="0" w:type="dxa"/>
            <w:left w:w="0" w:type="dxa"/>
            <w:bottom w:w="0" w:type="dxa"/>
            <w:right w:w="0" w:type="dxa"/>
          </w:tblCellMar>
        </w:tblPrEx>
        <w:trPr>
          <w:wBefore w:w="0" w:type="auto"/>
          <w:tblCellSpacing w:w="0" w:type="dxa"/>
        </w:trPr>
        <w:tc>
          <w:tcPr>
            <w:tcW w:w="0" w:type="auto"/>
            <w:noWrap w:val="0"/>
            <w:vAlign w:val="center"/>
          </w:tcPr>
          <w:p w14:paraId="7AED38B1">
            <w:r>
              <w:rPr>
                <w:rStyle w:val="10"/>
                <w:rFonts w:hint="eastAsia"/>
              </w:rPr>
              <w:t>备注：</w:t>
            </w:r>
          </w:p>
        </w:tc>
      </w:tr>
    </w:tbl>
    <w:p w14:paraId="273BEDE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7EE531B">
        <w:tblPrEx>
          <w:tblCellMar>
            <w:top w:w="0" w:type="dxa"/>
            <w:left w:w="0" w:type="dxa"/>
            <w:bottom w:w="0" w:type="dxa"/>
            <w:right w:w="0" w:type="dxa"/>
          </w:tblCellMar>
        </w:tblPrEx>
        <w:trPr>
          <w:wBefore w:w="0" w:type="auto"/>
          <w:tblCellSpacing w:w="0" w:type="dxa"/>
        </w:trPr>
        <w:tc>
          <w:tcPr>
            <w:tcW w:w="0" w:type="auto"/>
            <w:noWrap w:val="0"/>
            <w:vAlign w:val="center"/>
          </w:tcPr>
          <w:p w14:paraId="4AA7FCE3">
            <w:r>
              <w:rPr>
                <w:rStyle w:val="10"/>
                <w:rFonts w:hint="eastAsia"/>
              </w:rPr>
              <w:t>登记证号：</w:t>
            </w:r>
            <w:r>
              <w:rPr>
                <w:rFonts w:hint="eastAsia"/>
              </w:rPr>
              <w:t>PD20211872</w:t>
            </w:r>
          </w:p>
        </w:tc>
      </w:tr>
      <w:tr w14:paraId="5F0258A2">
        <w:tblPrEx>
          <w:tblCellMar>
            <w:top w:w="0" w:type="dxa"/>
            <w:left w:w="0" w:type="dxa"/>
            <w:bottom w:w="0" w:type="dxa"/>
            <w:right w:w="0" w:type="dxa"/>
          </w:tblCellMar>
        </w:tblPrEx>
        <w:trPr>
          <w:wBefore w:w="0" w:type="auto"/>
          <w:tblCellSpacing w:w="0" w:type="dxa"/>
        </w:trPr>
        <w:tc>
          <w:tcPr>
            <w:tcW w:w="0" w:type="auto"/>
            <w:noWrap w:val="0"/>
            <w:vAlign w:val="center"/>
          </w:tcPr>
          <w:p w14:paraId="69EB1022">
            <w:r>
              <w:rPr>
                <w:rStyle w:val="10"/>
                <w:rFonts w:hint="eastAsia"/>
              </w:rPr>
              <w:t>登记证持有人：</w:t>
            </w:r>
            <w:r>
              <w:rPr>
                <w:rFonts w:hint="eastAsia"/>
              </w:rPr>
              <w:t>江苏省盐城双宁农化有限公司</w:t>
            </w:r>
          </w:p>
        </w:tc>
      </w:tr>
      <w:tr w14:paraId="6DBC2514">
        <w:tblPrEx>
          <w:tblCellMar>
            <w:top w:w="0" w:type="dxa"/>
            <w:left w:w="0" w:type="dxa"/>
            <w:bottom w:w="0" w:type="dxa"/>
            <w:right w:w="0" w:type="dxa"/>
          </w:tblCellMar>
        </w:tblPrEx>
        <w:trPr>
          <w:wBefore w:w="0" w:type="auto"/>
          <w:tblCellSpacing w:w="0" w:type="dxa"/>
        </w:trPr>
        <w:tc>
          <w:tcPr>
            <w:tcW w:w="0" w:type="auto"/>
            <w:noWrap w:val="0"/>
            <w:vAlign w:val="center"/>
          </w:tcPr>
          <w:p w14:paraId="7400582F">
            <w:r>
              <w:rPr>
                <w:rStyle w:val="10"/>
                <w:rFonts w:hint="eastAsia"/>
              </w:rPr>
              <w:t>农药名称：</w:t>
            </w:r>
            <w:r>
              <w:rPr>
                <w:rFonts w:hint="eastAsia"/>
              </w:rPr>
              <w:t>阿维·螺虫酯</w:t>
            </w:r>
          </w:p>
        </w:tc>
      </w:tr>
      <w:tr w14:paraId="50126DF9">
        <w:tblPrEx>
          <w:tblCellMar>
            <w:top w:w="0" w:type="dxa"/>
            <w:left w:w="0" w:type="dxa"/>
            <w:bottom w:w="0" w:type="dxa"/>
            <w:right w:w="0" w:type="dxa"/>
          </w:tblCellMar>
        </w:tblPrEx>
        <w:trPr>
          <w:wBefore w:w="0" w:type="auto"/>
          <w:tblCellSpacing w:w="0" w:type="dxa"/>
        </w:trPr>
        <w:tc>
          <w:tcPr>
            <w:tcW w:w="0" w:type="auto"/>
            <w:noWrap w:val="0"/>
            <w:vAlign w:val="center"/>
          </w:tcPr>
          <w:p w14:paraId="6B33948E">
            <w:r>
              <w:rPr>
                <w:rStyle w:val="10"/>
                <w:rFonts w:hint="eastAsia"/>
              </w:rPr>
              <w:t>剂型：</w:t>
            </w:r>
            <w:r>
              <w:rPr>
                <w:rFonts w:hint="eastAsia"/>
              </w:rPr>
              <w:t>悬浮剂</w:t>
            </w:r>
          </w:p>
        </w:tc>
      </w:tr>
      <w:tr w14:paraId="46FD805B">
        <w:tblPrEx>
          <w:tblCellMar>
            <w:top w:w="0" w:type="dxa"/>
            <w:left w:w="0" w:type="dxa"/>
            <w:bottom w:w="0" w:type="dxa"/>
            <w:right w:w="0" w:type="dxa"/>
          </w:tblCellMar>
        </w:tblPrEx>
        <w:trPr>
          <w:wBefore w:w="0" w:type="auto"/>
          <w:tblCellSpacing w:w="0" w:type="dxa"/>
        </w:trPr>
        <w:tc>
          <w:tcPr>
            <w:tcW w:w="0" w:type="auto"/>
            <w:noWrap w:val="0"/>
            <w:vAlign w:val="center"/>
          </w:tcPr>
          <w:p w14:paraId="0D503F67">
            <w:r>
              <w:rPr>
                <w:rStyle w:val="10"/>
                <w:rFonts w:hint="eastAsia"/>
              </w:rPr>
              <w:t>毒性及其标识：</w:t>
            </w:r>
            <w:r>
              <w:rPr>
                <w:rFonts w:hint="eastAsia"/>
              </w:rPr>
              <w:t xml:space="preserve"> </w:t>
            </w:r>
            <w:r>
              <w:rPr>
                <w:lang/>
              </w:rPr>
              <w:drawing>
                <wp:inline distT="0" distB="0" distL="114300" distR="114300">
                  <wp:extent cx="476250" cy="323850"/>
                  <wp:effectExtent l="0" t="0" r="0" b="0"/>
                  <wp:docPr id="368" name="图片 368"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中等毒 </w:t>
            </w:r>
            <w:r>
              <w:rPr>
                <w:rFonts w:hint="eastAsia"/>
              </w:rPr>
              <w:br w:type="textWrapping"/>
            </w:r>
            <w:r>
              <w:rPr>
                <w:rFonts w:hint="eastAsia"/>
              </w:rPr>
              <w:t xml:space="preserve">(原药高毒) </w:t>
            </w:r>
          </w:p>
        </w:tc>
      </w:tr>
      <w:tr w14:paraId="3C5FDD3E">
        <w:tblPrEx>
          <w:tblCellMar>
            <w:top w:w="0" w:type="dxa"/>
            <w:left w:w="0" w:type="dxa"/>
            <w:bottom w:w="0" w:type="dxa"/>
            <w:right w:w="0" w:type="dxa"/>
          </w:tblCellMar>
        </w:tblPrEx>
        <w:trPr>
          <w:wBefore w:w="0" w:type="auto"/>
          <w:tblCellSpacing w:w="0" w:type="dxa"/>
        </w:trPr>
        <w:tc>
          <w:tcPr>
            <w:tcW w:w="0" w:type="auto"/>
            <w:noWrap w:val="0"/>
            <w:vAlign w:val="center"/>
          </w:tcPr>
          <w:p w14:paraId="7E432D30">
            <w:r>
              <w:rPr>
                <w:rStyle w:val="10"/>
                <w:rFonts w:hint="eastAsia"/>
              </w:rPr>
              <w:t>总有效成分含量：</w:t>
            </w:r>
            <w:r>
              <w:rPr>
                <w:rFonts w:hint="eastAsia"/>
              </w:rPr>
              <w:t>25%</w:t>
            </w:r>
          </w:p>
        </w:tc>
      </w:tr>
      <w:tr w14:paraId="3D5FBD6A">
        <w:tblPrEx>
          <w:tblCellMar>
            <w:top w:w="0" w:type="dxa"/>
            <w:left w:w="0" w:type="dxa"/>
            <w:bottom w:w="0" w:type="dxa"/>
            <w:right w:w="0" w:type="dxa"/>
          </w:tblCellMar>
        </w:tblPrEx>
        <w:trPr>
          <w:wBefore w:w="0" w:type="auto"/>
          <w:tblCellSpacing w:w="0" w:type="dxa"/>
        </w:trPr>
        <w:tc>
          <w:tcPr>
            <w:tcW w:w="0" w:type="auto"/>
            <w:noWrap w:val="0"/>
            <w:vAlign w:val="center"/>
          </w:tcPr>
          <w:p w14:paraId="3E8CCF3B">
            <w:r>
              <w:rPr>
                <w:rFonts w:hint="eastAsia"/>
              </w:rPr>
              <w:t xml:space="preserve">有效成分及其含量： </w:t>
            </w:r>
          </w:p>
          <w:p w14:paraId="77C59F84">
            <w:r>
              <w:rPr>
                <w:rFonts w:hint="eastAsia"/>
              </w:rPr>
              <w:t xml:space="preserve">    阿维菌素3%    螺虫乙酯22%    </w:t>
            </w:r>
          </w:p>
        </w:tc>
      </w:tr>
      <w:tr w14:paraId="050121F0">
        <w:tblPrEx>
          <w:tblCellMar>
            <w:top w:w="0" w:type="dxa"/>
            <w:left w:w="0" w:type="dxa"/>
            <w:bottom w:w="0" w:type="dxa"/>
            <w:right w:w="0" w:type="dxa"/>
          </w:tblCellMar>
        </w:tblPrEx>
        <w:trPr>
          <w:wBefore w:w="0" w:type="auto"/>
          <w:tblCellSpacing w:w="0" w:type="dxa"/>
        </w:trPr>
        <w:tc>
          <w:tcPr>
            <w:tcW w:w="0" w:type="auto"/>
            <w:noWrap w:val="0"/>
            <w:vAlign w:val="center"/>
          </w:tcPr>
          <w:p w14:paraId="4221B0F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1BA0F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02BF4F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7782DF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86E516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19CDECD">
                  <w:r>
                    <w:rPr>
                      <w:rStyle w:val="11"/>
                      <w:rFonts w:hint="eastAsia"/>
                    </w:rPr>
                    <w:t>施用方式</w:t>
                  </w:r>
                </w:p>
              </w:tc>
            </w:tr>
            <w:tr w14:paraId="747FE1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15207A">
                  <w:r>
                    <w:rPr>
                      <w:rStyle w:val="11"/>
                      <w:rFonts w:hint="eastAsia"/>
                    </w:rPr>
                    <w:t>梨树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1F4CB1">
                  <w:r>
                    <w:rPr>
                      <w:rStyle w:val="11"/>
                      <w:rFonts w:hint="eastAsia"/>
                    </w:rPr>
                    <w:t>梨木虱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559FD7">
                  <w:r>
                    <w:rPr>
                      <w:rStyle w:val="11"/>
                      <w:rFonts w:hint="eastAsia"/>
                    </w:rPr>
                    <w:t>4000-6000倍液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197DD1">
                  <w:r>
                    <w:rPr>
                      <w:rStyle w:val="11"/>
                      <w:rFonts w:hint="eastAsia"/>
                    </w:rPr>
                    <w:t>喷雾</w:t>
                  </w:r>
                </w:p>
              </w:tc>
            </w:tr>
          </w:tbl>
          <w:p w14:paraId="59E6DDCD">
            <w:pPr>
              <w:rPr>
                <w:rFonts w:ascii="Times New Roman" w:hAnsi="Times New Roman" w:cs="Times New Roman"/>
                <w:sz w:val="20"/>
                <w:szCs w:val="20"/>
              </w:rPr>
            </w:pPr>
          </w:p>
        </w:tc>
      </w:tr>
      <w:tr w14:paraId="1381A87F">
        <w:tblPrEx>
          <w:tblCellMar>
            <w:top w:w="0" w:type="dxa"/>
            <w:left w:w="0" w:type="dxa"/>
            <w:bottom w:w="0" w:type="dxa"/>
            <w:right w:w="0" w:type="dxa"/>
          </w:tblCellMar>
        </w:tblPrEx>
        <w:trPr>
          <w:wBefore w:w="0" w:type="auto"/>
          <w:tblCellSpacing w:w="0" w:type="dxa"/>
        </w:trPr>
        <w:tc>
          <w:tcPr>
            <w:tcW w:w="0" w:type="auto"/>
            <w:noWrap w:val="0"/>
            <w:vAlign w:val="center"/>
          </w:tcPr>
          <w:p w14:paraId="1E0D2335">
            <w:r>
              <w:rPr>
                <w:rStyle w:val="10"/>
                <w:rFonts w:hint="eastAsia"/>
              </w:rPr>
              <w:t>使用技术要求:</w:t>
            </w:r>
            <w:r>
              <w:rPr>
                <w:rFonts w:hint="eastAsia"/>
              </w:rPr>
              <w:br w:type="textWrapping"/>
            </w:r>
            <w:r>
              <w:rPr>
                <w:rStyle w:val="11"/>
                <w:rFonts w:hint="eastAsia"/>
              </w:rPr>
              <w:t>1.于梨树梨木虱低龄若虫发生始盛期喷雾施药，按照推荐剂量对梨树叶片正反面均匀喷雾。2.大风天或预计1小时内有雨，请勿施药。 安全使用标准：每季作物最多使用2次，该产品在梨树上安全间隔期21天。</w:t>
            </w:r>
          </w:p>
        </w:tc>
      </w:tr>
      <w:tr w14:paraId="6B6BD521">
        <w:tblPrEx>
          <w:tblCellMar>
            <w:top w:w="0" w:type="dxa"/>
            <w:left w:w="0" w:type="dxa"/>
            <w:bottom w:w="0" w:type="dxa"/>
            <w:right w:w="0" w:type="dxa"/>
          </w:tblCellMar>
        </w:tblPrEx>
        <w:trPr>
          <w:wBefore w:w="0" w:type="auto"/>
          <w:tblCellSpacing w:w="0" w:type="dxa"/>
        </w:trPr>
        <w:tc>
          <w:tcPr>
            <w:tcW w:w="0" w:type="auto"/>
            <w:noWrap w:val="0"/>
            <w:vAlign w:val="center"/>
          </w:tcPr>
          <w:p w14:paraId="3B231EE1">
            <w:r>
              <w:rPr>
                <w:rStyle w:val="10"/>
                <w:rFonts w:hint="eastAsia"/>
              </w:rPr>
              <w:t>产品性能:</w:t>
            </w:r>
            <w:r>
              <w:rPr>
                <w:rFonts w:hint="eastAsia"/>
              </w:rPr>
              <w:br w:type="textWrapping"/>
            </w:r>
            <w:r>
              <w:rPr>
                <w:rStyle w:val="11"/>
                <w:rFonts w:hint="eastAsia"/>
              </w:rPr>
              <w:t>本品由阿维菌素和螺虫乙酯复配而成。具有触杀、胃毒和熏蒸作用，两者复配有较好的增效作用，速效性好，持效期长。对梨树梨木虱防效较好。</w:t>
            </w:r>
          </w:p>
        </w:tc>
      </w:tr>
      <w:tr w14:paraId="37AF49FE">
        <w:tblPrEx>
          <w:tblCellMar>
            <w:top w:w="0" w:type="dxa"/>
            <w:left w:w="0" w:type="dxa"/>
            <w:bottom w:w="0" w:type="dxa"/>
            <w:right w:w="0" w:type="dxa"/>
          </w:tblCellMar>
        </w:tblPrEx>
        <w:trPr>
          <w:wBefore w:w="0" w:type="auto"/>
          <w:tblCellSpacing w:w="0" w:type="dxa"/>
        </w:trPr>
        <w:tc>
          <w:tcPr>
            <w:tcW w:w="0" w:type="auto"/>
            <w:noWrap w:val="0"/>
            <w:vAlign w:val="center"/>
          </w:tcPr>
          <w:p w14:paraId="6A72C321">
            <w:r>
              <w:rPr>
                <w:rStyle w:val="10"/>
                <w:rFonts w:hint="eastAsia"/>
              </w:rPr>
              <w:t>注意事项：</w:t>
            </w:r>
            <w:r>
              <w:rPr>
                <w:rFonts w:hint="eastAsia"/>
              </w:rPr>
              <w:br w:type="textWrapping"/>
            </w:r>
            <w:r>
              <w:rPr>
                <w:rStyle w:val="11"/>
                <w:rFonts w:hint="eastAsia"/>
              </w:rPr>
              <w:t>1.本品对家蚕、蜜蜂、天敌生物、鱼等水生生物有毒，赤眼蜂等天敌放飞区禁用，蚕室及桑园附近禁用；（周围）开花植物花期禁止使用，使用时应密切关注对周边蜂群的影响；鸟类保护区禁用；远离水产养殖区、河塘等水体施药；禁止在河塘等水体中清洗施药器具；避免药液流入湖泊，河流或鱼塘中污染水源。2.本品对眼睛有刺激性，使用时避免接触眼睛，穿戴长衣、长裤、帽子、口罩、手套等防护措施。避免皮肤接触及口鼻吸入。使用中不可吸烟饮水及吃东西，使用后及时清洗手、脸等暴露部位皮肤并更换衣物。3.用过的容器应妥善处理，不可作它用，也不可随意丢弃。4.建议与其他作用机制不同的杀虫剂轮换使用。5.避免孕妇及哺乳期妇女接触。6.本品不可与强酸强碱性物质混用，避免与氧化剂接触。</w:t>
            </w:r>
          </w:p>
        </w:tc>
      </w:tr>
      <w:tr w14:paraId="5E7546ED">
        <w:tblPrEx>
          <w:tblCellMar>
            <w:top w:w="0" w:type="dxa"/>
            <w:left w:w="0" w:type="dxa"/>
            <w:bottom w:w="0" w:type="dxa"/>
            <w:right w:w="0" w:type="dxa"/>
          </w:tblCellMar>
        </w:tblPrEx>
        <w:trPr>
          <w:wBefore w:w="0" w:type="auto"/>
          <w:tblCellSpacing w:w="0" w:type="dxa"/>
        </w:trPr>
        <w:tc>
          <w:tcPr>
            <w:tcW w:w="0" w:type="auto"/>
            <w:noWrap w:val="0"/>
            <w:vAlign w:val="center"/>
          </w:tcPr>
          <w:p w14:paraId="77121672">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污染皮肤：立即脱掉被污染的衣物，用大量肥皂水彻底清洗；溅入眼睛：立即将眼睑翻开，用清水冲洗15-20分钟，再请医生诊治；误服：立即携标签到医院就诊，对症治疗。</w:t>
            </w:r>
          </w:p>
        </w:tc>
      </w:tr>
      <w:tr w14:paraId="550F284E">
        <w:tblPrEx>
          <w:tblCellMar>
            <w:top w:w="0" w:type="dxa"/>
            <w:left w:w="0" w:type="dxa"/>
            <w:bottom w:w="0" w:type="dxa"/>
            <w:right w:w="0" w:type="dxa"/>
          </w:tblCellMar>
        </w:tblPrEx>
        <w:trPr>
          <w:wBefore w:w="0" w:type="auto"/>
          <w:tblCellSpacing w:w="0" w:type="dxa"/>
        </w:trPr>
        <w:tc>
          <w:tcPr>
            <w:tcW w:w="0" w:type="auto"/>
            <w:noWrap w:val="0"/>
            <w:vAlign w:val="center"/>
          </w:tcPr>
          <w:p w14:paraId="0B5C711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本品应贮存在干燥、阴凉、通风、防雨处，远离火源或热源。置于儿童、无关人员及动物触及不到之处，并加锁保存。勿与食品、饮料、饲料和粮食等其他商品同贮同运。</w:t>
            </w:r>
          </w:p>
        </w:tc>
      </w:tr>
      <w:tr w14:paraId="3BDA4C7C">
        <w:tblPrEx>
          <w:tblCellMar>
            <w:top w:w="0" w:type="dxa"/>
            <w:left w:w="0" w:type="dxa"/>
            <w:bottom w:w="0" w:type="dxa"/>
            <w:right w:w="0" w:type="dxa"/>
          </w:tblCellMar>
        </w:tblPrEx>
        <w:trPr>
          <w:wBefore w:w="0" w:type="auto"/>
          <w:tblCellSpacing w:w="0" w:type="dxa"/>
        </w:trPr>
        <w:tc>
          <w:tcPr>
            <w:tcW w:w="0" w:type="auto"/>
            <w:noWrap w:val="0"/>
            <w:vAlign w:val="center"/>
          </w:tcPr>
          <w:p w14:paraId="5B4E0332">
            <w:r>
              <w:rPr>
                <w:rStyle w:val="10"/>
                <w:rFonts w:hint="eastAsia"/>
              </w:rPr>
              <w:t>质量保证期：</w:t>
            </w:r>
            <w:r>
              <w:rPr>
                <w:rStyle w:val="11"/>
                <w:rFonts w:hint="eastAsia"/>
              </w:rPr>
              <w:t>2年</w:t>
            </w:r>
          </w:p>
        </w:tc>
      </w:tr>
      <w:tr w14:paraId="64D02FBE">
        <w:tblPrEx>
          <w:tblCellMar>
            <w:top w:w="0" w:type="dxa"/>
            <w:left w:w="0" w:type="dxa"/>
            <w:bottom w:w="0" w:type="dxa"/>
            <w:right w:w="0" w:type="dxa"/>
          </w:tblCellMar>
        </w:tblPrEx>
        <w:trPr>
          <w:wBefore w:w="0" w:type="auto"/>
          <w:tblCellSpacing w:w="0" w:type="dxa"/>
        </w:trPr>
        <w:tc>
          <w:tcPr>
            <w:tcW w:w="0" w:type="auto"/>
            <w:noWrap w:val="0"/>
            <w:vAlign w:val="center"/>
          </w:tcPr>
          <w:p w14:paraId="64406CB2">
            <w:r>
              <w:rPr>
                <w:rStyle w:val="10"/>
                <w:rFonts w:hint="eastAsia"/>
              </w:rPr>
              <w:t>备注：</w:t>
            </w:r>
          </w:p>
        </w:tc>
      </w:tr>
    </w:tbl>
    <w:p w14:paraId="55A7A0C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0F0ECAC">
        <w:tblPrEx>
          <w:tblCellMar>
            <w:top w:w="0" w:type="dxa"/>
            <w:left w:w="0" w:type="dxa"/>
            <w:bottom w:w="0" w:type="dxa"/>
            <w:right w:w="0" w:type="dxa"/>
          </w:tblCellMar>
        </w:tblPrEx>
        <w:trPr>
          <w:wBefore w:w="0" w:type="auto"/>
          <w:tblCellSpacing w:w="0" w:type="dxa"/>
        </w:trPr>
        <w:tc>
          <w:tcPr>
            <w:tcW w:w="0" w:type="auto"/>
            <w:noWrap w:val="0"/>
            <w:vAlign w:val="center"/>
          </w:tcPr>
          <w:p w14:paraId="2DD1EE78">
            <w:r>
              <w:rPr>
                <w:rStyle w:val="10"/>
                <w:rFonts w:hint="eastAsia"/>
              </w:rPr>
              <w:t>登记证号：</w:t>
            </w:r>
            <w:r>
              <w:rPr>
                <w:rFonts w:hint="eastAsia"/>
              </w:rPr>
              <w:t>PD20211852</w:t>
            </w:r>
          </w:p>
        </w:tc>
      </w:tr>
      <w:tr w14:paraId="5B82FD32">
        <w:tblPrEx>
          <w:tblCellMar>
            <w:top w:w="0" w:type="dxa"/>
            <w:left w:w="0" w:type="dxa"/>
            <w:bottom w:w="0" w:type="dxa"/>
            <w:right w:w="0" w:type="dxa"/>
          </w:tblCellMar>
        </w:tblPrEx>
        <w:trPr>
          <w:wBefore w:w="0" w:type="auto"/>
          <w:tblCellSpacing w:w="0" w:type="dxa"/>
        </w:trPr>
        <w:tc>
          <w:tcPr>
            <w:tcW w:w="0" w:type="auto"/>
            <w:noWrap w:val="0"/>
            <w:vAlign w:val="center"/>
          </w:tcPr>
          <w:p w14:paraId="48075D63">
            <w:r>
              <w:rPr>
                <w:rStyle w:val="10"/>
                <w:rFonts w:hint="eastAsia"/>
              </w:rPr>
              <w:t>登记证持有人：</w:t>
            </w:r>
            <w:r>
              <w:rPr>
                <w:rFonts w:hint="eastAsia"/>
              </w:rPr>
              <w:t>河北八源生物制品有限公司</w:t>
            </w:r>
          </w:p>
        </w:tc>
      </w:tr>
      <w:tr w14:paraId="1B578AED">
        <w:tblPrEx>
          <w:tblCellMar>
            <w:top w:w="0" w:type="dxa"/>
            <w:left w:w="0" w:type="dxa"/>
            <w:bottom w:w="0" w:type="dxa"/>
            <w:right w:w="0" w:type="dxa"/>
          </w:tblCellMar>
        </w:tblPrEx>
        <w:trPr>
          <w:wBefore w:w="0" w:type="auto"/>
          <w:tblCellSpacing w:w="0" w:type="dxa"/>
        </w:trPr>
        <w:tc>
          <w:tcPr>
            <w:tcW w:w="0" w:type="auto"/>
            <w:noWrap w:val="0"/>
            <w:vAlign w:val="center"/>
          </w:tcPr>
          <w:p w14:paraId="2D81721E">
            <w:r>
              <w:rPr>
                <w:rStyle w:val="10"/>
                <w:rFonts w:hint="eastAsia"/>
              </w:rPr>
              <w:t>农药名称：</w:t>
            </w:r>
            <w:r>
              <w:rPr>
                <w:rFonts w:hint="eastAsia"/>
              </w:rPr>
              <w:t>螺虫·噻虫嗪</w:t>
            </w:r>
          </w:p>
        </w:tc>
      </w:tr>
      <w:tr w14:paraId="3B4C3DC4">
        <w:tblPrEx>
          <w:tblCellMar>
            <w:top w:w="0" w:type="dxa"/>
            <w:left w:w="0" w:type="dxa"/>
            <w:bottom w:w="0" w:type="dxa"/>
            <w:right w:w="0" w:type="dxa"/>
          </w:tblCellMar>
        </w:tblPrEx>
        <w:trPr>
          <w:wBefore w:w="0" w:type="auto"/>
          <w:tblCellSpacing w:w="0" w:type="dxa"/>
        </w:trPr>
        <w:tc>
          <w:tcPr>
            <w:tcW w:w="0" w:type="auto"/>
            <w:noWrap w:val="0"/>
            <w:vAlign w:val="center"/>
          </w:tcPr>
          <w:p w14:paraId="019F6945">
            <w:r>
              <w:rPr>
                <w:rStyle w:val="10"/>
                <w:rFonts w:hint="eastAsia"/>
              </w:rPr>
              <w:t>剂型：</w:t>
            </w:r>
            <w:r>
              <w:rPr>
                <w:rFonts w:hint="eastAsia"/>
              </w:rPr>
              <w:t>悬浮剂</w:t>
            </w:r>
          </w:p>
        </w:tc>
      </w:tr>
      <w:tr w14:paraId="5A3EB80B">
        <w:tblPrEx>
          <w:tblCellMar>
            <w:top w:w="0" w:type="dxa"/>
            <w:left w:w="0" w:type="dxa"/>
            <w:bottom w:w="0" w:type="dxa"/>
            <w:right w:w="0" w:type="dxa"/>
          </w:tblCellMar>
        </w:tblPrEx>
        <w:trPr>
          <w:wBefore w:w="0" w:type="auto"/>
          <w:tblCellSpacing w:w="0" w:type="dxa"/>
        </w:trPr>
        <w:tc>
          <w:tcPr>
            <w:tcW w:w="0" w:type="auto"/>
            <w:noWrap w:val="0"/>
            <w:vAlign w:val="center"/>
          </w:tcPr>
          <w:p w14:paraId="3DC6ADC1">
            <w:r>
              <w:rPr>
                <w:rStyle w:val="10"/>
                <w:rFonts w:hint="eastAsia"/>
              </w:rPr>
              <w:t>毒性及其标识：</w:t>
            </w:r>
            <w:r>
              <w:rPr>
                <w:rFonts w:hint="eastAsia"/>
              </w:rPr>
              <w:t xml:space="preserve"> </w:t>
            </w:r>
            <w:r>
              <w:rPr>
                <w:lang/>
              </w:rPr>
              <w:drawing>
                <wp:inline distT="0" distB="0" distL="114300" distR="114300">
                  <wp:extent cx="476250" cy="323850"/>
                  <wp:effectExtent l="0" t="0" r="0" b="0"/>
                  <wp:docPr id="369" name="图片 36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281DDA7">
        <w:tblPrEx>
          <w:tblCellMar>
            <w:top w:w="0" w:type="dxa"/>
            <w:left w:w="0" w:type="dxa"/>
            <w:bottom w:w="0" w:type="dxa"/>
            <w:right w:w="0" w:type="dxa"/>
          </w:tblCellMar>
        </w:tblPrEx>
        <w:trPr>
          <w:wBefore w:w="0" w:type="auto"/>
          <w:tblCellSpacing w:w="0" w:type="dxa"/>
        </w:trPr>
        <w:tc>
          <w:tcPr>
            <w:tcW w:w="0" w:type="auto"/>
            <w:noWrap w:val="0"/>
            <w:vAlign w:val="center"/>
          </w:tcPr>
          <w:p w14:paraId="5D988CE5">
            <w:r>
              <w:rPr>
                <w:rStyle w:val="10"/>
                <w:rFonts w:hint="eastAsia"/>
              </w:rPr>
              <w:t>总有效成分含量：</w:t>
            </w:r>
            <w:r>
              <w:rPr>
                <w:rFonts w:hint="eastAsia"/>
              </w:rPr>
              <w:t>20%</w:t>
            </w:r>
          </w:p>
        </w:tc>
      </w:tr>
      <w:tr w14:paraId="2A0D33D3">
        <w:tblPrEx>
          <w:tblCellMar>
            <w:top w:w="0" w:type="dxa"/>
            <w:left w:w="0" w:type="dxa"/>
            <w:bottom w:w="0" w:type="dxa"/>
            <w:right w:w="0" w:type="dxa"/>
          </w:tblCellMar>
        </w:tblPrEx>
        <w:trPr>
          <w:wBefore w:w="0" w:type="auto"/>
          <w:tblCellSpacing w:w="0" w:type="dxa"/>
        </w:trPr>
        <w:tc>
          <w:tcPr>
            <w:tcW w:w="0" w:type="auto"/>
            <w:noWrap w:val="0"/>
            <w:vAlign w:val="center"/>
          </w:tcPr>
          <w:p w14:paraId="4FF2CB6D">
            <w:r>
              <w:rPr>
                <w:rFonts w:hint="eastAsia"/>
              </w:rPr>
              <w:t xml:space="preserve">有效成分及其含量： </w:t>
            </w:r>
          </w:p>
          <w:p w14:paraId="5F94107D">
            <w:r>
              <w:rPr>
                <w:rFonts w:hint="eastAsia"/>
              </w:rPr>
              <w:t xml:space="preserve">    螺虫乙酯10%    噻虫嗪10%    </w:t>
            </w:r>
          </w:p>
        </w:tc>
      </w:tr>
      <w:tr w14:paraId="484F91AA">
        <w:tblPrEx>
          <w:tblCellMar>
            <w:top w:w="0" w:type="dxa"/>
            <w:left w:w="0" w:type="dxa"/>
            <w:bottom w:w="0" w:type="dxa"/>
            <w:right w:w="0" w:type="dxa"/>
          </w:tblCellMar>
        </w:tblPrEx>
        <w:trPr>
          <w:wBefore w:w="0" w:type="auto"/>
          <w:tblCellSpacing w:w="0" w:type="dxa"/>
        </w:trPr>
        <w:tc>
          <w:tcPr>
            <w:tcW w:w="0" w:type="auto"/>
            <w:noWrap w:val="0"/>
            <w:vAlign w:val="center"/>
          </w:tcPr>
          <w:p w14:paraId="363F05E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E2C861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D226F5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F2E954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212622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03FE369">
                  <w:r>
                    <w:rPr>
                      <w:rStyle w:val="11"/>
                      <w:rFonts w:hint="eastAsia"/>
                    </w:rPr>
                    <w:t>施用方式</w:t>
                  </w:r>
                </w:p>
              </w:tc>
            </w:tr>
            <w:tr w14:paraId="675F91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E6474BC">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34D2D8">
                  <w:r>
                    <w:rPr>
                      <w:rStyle w:val="11"/>
                      <w:rFonts w:hint="eastAsia"/>
                    </w:rPr>
                    <w:t>木虱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2F24C4">
                  <w:r>
                    <w:rPr>
                      <w:rStyle w:val="11"/>
                      <w:rFonts w:hint="eastAsia"/>
                    </w:rPr>
                    <w:t>4000-6000倍液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32332E">
                  <w:r>
                    <w:rPr>
                      <w:rStyle w:val="11"/>
                      <w:rFonts w:hint="eastAsia"/>
                    </w:rPr>
                    <w:t>喷雾</w:t>
                  </w:r>
                </w:p>
              </w:tc>
            </w:tr>
          </w:tbl>
          <w:p w14:paraId="73DE4C25">
            <w:pPr>
              <w:rPr>
                <w:rFonts w:ascii="Times New Roman" w:hAnsi="Times New Roman" w:cs="Times New Roman"/>
                <w:sz w:val="20"/>
                <w:szCs w:val="20"/>
              </w:rPr>
            </w:pPr>
          </w:p>
        </w:tc>
      </w:tr>
      <w:tr w14:paraId="3DCE086B">
        <w:tblPrEx>
          <w:tblCellMar>
            <w:top w:w="0" w:type="dxa"/>
            <w:left w:w="0" w:type="dxa"/>
            <w:bottom w:w="0" w:type="dxa"/>
            <w:right w:w="0" w:type="dxa"/>
          </w:tblCellMar>
        </w:tblPrEx>
        <w:trPr>
          <w:wBefore w:w="0" w:type="auto"/>
          <w:tblCellSpacing w:w="0" w:type="dxa"/>
        </w:trPr>
        <w:tc>
          <w:tcPr>
            <w:tcW w:w="0" w:type="auto"/>
            <w:noWrap w:val="0"/>
            <w:vAlign w:val="center"/>
          </w:tcPr>
          <w:p w14:paraId="6C99E0EC">
            <w:r>
              <w:rPr>
                <w:rStyle w:val="10"/>
                <w:rFonts w:hint="eastAsia"/>
              </w:rPr>
              <w:t>使用技术要求:</w:t>
            </w:r>
            <w:r>
              <w:rPr>
                <w:rFonts w:hint="eastAsia"/>
              </w:rPr>
              <w:br w:type="textWrapping"/>
            </w:r>
            <w:r>
              <w:rPr>
                <w:rStyle w:val="11"/>
                <w:rFonts w:hint="eastAsia"/>
              </w:rPr>
              <w:t>1.按照推荐剂量，于柑橘树木虱发生初期喷雾施药1次，采用喷雾法对柑橘树叶片正反面、枝干均匀喷雾，喷至欲滴。 本品每季作物最多施药1次，安全间隔期30天。2.大风天或预计1小时内下雨请勿使用。</w:t>
            </w:r>
          </w:p>
        </w:tc>
      </w:tr>
      <w:tr w14:paraId="3ADE2886">
        <w:tblPrEx>
          <w:tblCellMar>
            <w:top w:w="0" w:type="dxa"/>
            <w:left w:w="0" w:type="dxa"/>
            <w:bottom w:w="0" w:type="dxa"/>
            <w:right w:w="0" w:type="dxa"/>
          </w:tblCellMar>
        </w:tblPrEx>
        <w:trPr>
          <w:wBefore w:w="0" w:type="auto"/>
          <w:tblCellSpacing w:w="0" w:type="dxa"/>
        </w:trPr>
        <w:tc>
          <w:tcPr>
            <w:tcW w:w="0" w:type="auto"/>
            <w:noWrap w:val="0"/>
            <w:vAlign w:val="center"/>
          </w:tcPr>
          <w:p w14:paraId="0FD98A77">
            <w:r>
              <w:rPr>
                <w:rStyle w:val="10"/>
                <w:rFonts w:hint="eastAsia"/>
              </w:rPr>
              <w:t>产品性能:</w:t>
            </w:r>
            <w:r>
              <w:rPr>
                <w:rFonts w:hint="eastAsia"/>
              </w:rPr>
              <w:br w:type="textWrapping"/>
            </w:r>
            <w:r>
              <w:rPr>
                <w:rStyle w:val="11"/>
                <w:rFonts w:hint="eastAsia"/>
              </w:rPr>
              <w:t>本品是由螺虫乙酯和噻虫嗪混配的杀虫剂，具有触杀、胃毒和内吸作用，具有较高的杀虫活性。本品速效性快，持效期效长，对柑橘木虱有很好的防效。</w:t>
            </w:r>
          </w:p>
        </w:tc>
      </w:tr>
      <w:tr w14:paraId="673765AD">
        <w:tblPrEx>
          <w:tblCellMar>
            <w:top w:w="0" w:type="dxa"/>
            <w:left w:w="0" w:type="dxa"/>
            <w:bottom w:w="0" w:type="dxa"/>
            <w:right w:w="0" w:type="dxa"/>
          </w:tblCellMar>
        </w:tblPrEx>
        <w:trPr>
          <w:wBefore w:w="0" w:type="auto"/>
          <w:tblCellSpacing w:w="0" w:type="dxa"/>
        </w:trPr>
        <w:tc>
          <w:tcPr>
            <w:tcW w:w="0" w:type="auto"/>
            <w:noWrap w:val="0"/>
            <w:vAlign w:val="center"/>
          </w:tcPr>
          <w:p w14:paraId="7B52427F">
            <w:r>
              <w:rPr>
                <w:rStyle w:val="10"/>
                <w:rFonts w:hint="eastAsia"/>
              </w:rPr>
              <w:t>注意事项：</w:t>
            </w:r>
            <w:r>
              <w:rPr>
                <w:rFonts w:hint="eastAsia"/>
              </w:rPr>
              <w:br w:type="textWrapping"/>
            </w:r>
            <w:r>
              <w:rPr>
                <w:rStyle w:val="11"/>
                <w:rFonts w:hint="eastAsia"/>
              </w:rPr>
              <w:t>1.请按照农药安全使用准则用药。在施药过程中，避免药液接触皮肤、眼睛和污染衣物，避免吸入药液。切勿在施药现场抽烟、饮水、进食。在饮水、进食和抽烟前，应先洗手、洗脸等皮肤暴露部位。 2.配药和施药时，操作人员应穿戴长衣、长裤、帽子、口罩、手套等安全防护措施。 3.施药完毕，彻底清洗防护用具，洗澡，更换和清洗工作服。 4.本品对鸟类风险性较高，鸟类保护区及其附近禁止使用；本品对蜜蜂风险性较高，养蜂场所和（周围）开花植物花期禁用，使用时应密切关注对附近蜂群的影响；本品对家蚕风险性较高，蚕室及桑园附近禁止使用；赤眼蜂等天敌放飞区域禁用。 5.远离水产养殖区施药，禁止在河塘等水体中清洗施药器具。 6.避免孕妇及哺乳期妇女接触本品。7.用过的容器要妥善处理，不可做他用，也不可随意丢弃。 8.未用完的制剂应放在原包装内密封保存。9.避免与氧化剂接触。</w:t>
            </w:r>
          </w:p>
        </w:tc>
      </w:tr>
      <w:tr w14:paraId="4A4DA1A7">
        <w:tblPrEx>
          <w:tblCellMar>
            <w:top w:w="0" w:type="dxa"/>
            <w:left w:w="0" w:type="dxa"/>
            <w:bottom w:w="0" w:type="dxa"/>
            <w:right w:w="0" w:type="dxa"/>
          </w:tblCellMar>
        </w:tblPrEx>
        <w:trPr>
          <w:wBefore w:w="0" w:type="auto"/>
          <w:tblCellSpacing w:w="0" w:type="dxa"/>
        </w:trPr>
        <w:tc>
          <w:tcPr>
            <w:tcW w:w="0" w:type="auto"/>
            <w:noWrap w:val="0"/>
            <w:vAlign w:val="center"/>
          </w:tcPr>
          <w:p w14:paraId="4DF133B4">
            <w:r>
              <w:rPr>
                <w:rStyle w:val="10"/>
                <w:rFonts w:hint="eastAsia"/>
              </w:rPr>
              <w:t>中毒急救措施：</w:t>
            </w:r>
            <w:r>
              <w:rPr>
                <w:rFonts w:hint="eastAsia"/>
              </w:rPr>
              <w:br w:type="textWrapping"/>
            </w:r>
            <w:r>
              <w:rPr>
                <w:rStyle w:val="11"/>
                <w:rFonts w:hint="eastAsia"/>
              </w:rPr>
              <w:t>对眼睛有刺激性，使用时避免接触眼睛。1.用药时如果感觉不适，立即停止工作，采取急救措施，并携此标签送医就诊。2.皮肤接触：立即脱掉被污染的衣物，用大量清水冲洗被污染的皮肤，如皮肤刺激感持续，请医生诊治。3.眼睛溅药：立即将眼睑翻开，用清水冲洗至少15分钟，再请医生诊治。 4.发生吸入：立即将吸入者转移到空气新鲜处，如果吸入者停止呼吸，需进行人工呼吸。注意保暖和休息，请医生诊治。5.误服：立即携带标签，送医就诊。紧急医疗措施：使用医用活性炭洗胃，洗胃时注意防止胃容物进入呼吸道。注意：对昏迷病人，切勿经口喂入任何东西或引吐。解毒剂：无专用解毒剂，对症治疗。</w:t>
            </w:r>
          </w:p>
        </w:tc>
      </w:tr>
      <w:tr w14:paraId="3514A7BF">
        <w:tblPrEx>
          <w:tblCellMar>
            <w:top w:w="0" w:type="dxa"/>
            <w:left w:w="0" w:type="dxa"/>
            <w:bottom w:w="0" w:type="dxa"/>
            <w:right w:w="0" w:type="dxa"/>
          </w:tblCellMar>
        </w:tblPrEx>
        <w:trPr>
          <w:wBefore w:w="0" w:type="auto"/>
          <w:tblCellSpacing w:w="0" w:type="dxa"/>
        </w:trPr>
        <w:tc>
          <w:tcPr>
            <w:tcW w:w="0" w:type="auto"/>
            <w:noWrap w:val="0"/>
            <w:vAlign w:val="center"/>
          </w:tcPr>
          <w:p w14:paraId="4CDDDB93">
            <w:r>
              <w:rPr>
                <w:rStyle w:val="10"/>
                <w:rFonts w:hint="eastAsia"/>
              </w:rPr>
              <w:t>储存和运输方法：</w:t>
            </w:r>
            <w:r>
              <w:rPr>
                <w:rFonts w:hint="eastAsia"/>
              </w:rPr>
              <w:br w:type="textWrapping"/>
            </w:r>
            <w:r>
              <w:rPr>
                <w:rStyle w:val="11"/>
                <w:rFonts w:hint="eastAsia"/>
              </w:rPr>
              <w:t>1、本品应贮存在干燥、阴凉、通风、防雨处，远离火源或热源。2、置于儿童、无关人员及动物接触不到的地方，并加锁保存。3、勿与食品、饮料、粮食、饲料等其他商品同贮同运。</w:t>
            </w:r>
          </w:p>
        </w:tc>
      </w:tr>
      <w:tr w14:paraId="6554DB81">
        <w:tblPrEx>
          <w:tblCellMar>
            <w:top w:w="0" w:type="dxa"/>
            <w:left w:w="0" w:type="dxa"/>
            <w:bottom w:w="0" w:type="dxa"/>
            <w:right w:w="0" w:type="dxa"/>
          </w:tblCellMar>
        </w:tblPrEx>
        <w:trPr>
          <w:wBefore w:w="0" w:type="auto"/>
          <w:tblCellSpacing w:w="0" w:type="dxa"/>
        </w:trPr>
        <w:tc>
          <w:tcPr>
            <w:tcW w:w="0" w:type="auto"/>
            <w:noWrap w:val="0"/>
            <w:vAlign w:val="center"/>
          </w:tcPr>
          <w:p w14:paraId="340CCDFB">
            <w:r>
              <w:rPr>
                <w:rStyle w:val="10"/>
                <w:rFonts w:hint="eastAsia"/>
              </w:rPr>
              <w:t>质量保证期：</w:t>
            </w:r>
            <w:r>
              <w:rPr>
                <w:rStyle w:val="11"/>
                <w:rFonts w:hint="eastAsia"/>
              </w:rPr>
              <w:t>2年</w:t>
            </w:r>
          </w:p>
        </w:tc>
      </w:tr>
      <w:tr w14:paraId="69CA508D">
        <w:tblPrEx>
          <w:tblCellMar>
            <w:top w:w="0" w:type="dxa"/>
            <w:left w:w="0" w:type="dxa"/>
            <w:bottom w:w="0" w:type="dxa"/>
            <w:right w:w="0" w:type="dxa"/>
          </w:tblCellMar>
        </w:tblPrEx>
        <w:trPr>
          <w:wBefore w:w="0" w:type="auto"/>
          <w:tblCellSpacing w:w="0" w:type="dxa"/>
        </w:trPr>
        <w:tc>
          <w:tcPr>
            <w:tcW w:w="0" w:type="auto"/>
            <w:noWrap w:val="0"/>
            <w:vAlign w:val="center"/>
          </w:tcPr>
          <w:p w14:paraId="13F21A32">
            <w:r>
              <w:rPr>
                <w:rStyle w:val="10"/>
                <w:rFonts w:hint="eastAsia"/>
              </w:rPr>
              <w:t>备注：</w:t>
            </w:r>
          </w:p>
        </w:tc>
      </w:tr>
    </w:tbl>
    <w:p w14:paraId="6185CA8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83CB557">
        <w:tblPrEx>
          <w:tblCellMar>
            <w:top w:w="0" w:type="dxa"/>
            <w:left w:w="0" w:type="dxa"/>
            <w:bottom w:w="0" w:type="dxa"/>
            <w:right w:w="0" w:type="dxa"/>
          </w:tblCellMar>
        </w:tblPrEx>
        <w:trPr>
          <w:wBefore w:w="0" w:type="auto"/>
          <w:tblCellSpacing w:w="0" w:type="dxa"/>
        </w:trPr>
        <w:tc>
          <w:tcPr>
            <w:tcW w:w="0" w:type="auto"/>
            <w:noWrap w:val="0"/>
            <w:vAlign w:val="center"/>
          </w:tcPr>
          <w:p w14:paraId="5FD2ADD0">
            <w:r>
              <w:rPr>
                <w:rStyle w:val="10"/>
                <w:rFonts w:hint="eastAsia"/>
              </w:rPr>
              <w:t>登记证号：</w:t>
            </w:r>
            <w:r>
              <w:rPr>
                <w:rFonts w:hint="eastAsia"/>
              </w:rPr>
              <w:t>PD20212219</w:t>
            </w:r>
          </w:p>
        </w:tc>
      </w:tr>
      <w:tr w14:paraId="4EE88B1E">
        <w:tblPrEx>
          <w:tblCellMar>
            <w:top w:w="0" w:type="dxa"/>
            <w:left w:w="0" w:type="dxa"/>
            <w:bottom w:w="0" w:type="dxa"/>
            <w:right w:w="0" w:type="dxa"/>
          </w:tblCellMar>
        </w:tblPrEx>
        <w:trPr>
          <w:wBefore w:w="0" w:type="auto"/>
          <w:tblCellSpacing w:w="0" w:type="dxa"/>
        </w:trPr>
        <w:tc>
          <w:tcPr>
            <w:tcW w:w="0" w:type="auto"/>
            <w:noWrap w:val="0"/>
            <w:vAlign w:val="center"/>
          </w:tcPr>
          <w:p w14:paraId="15341A7D">
            <w:r>
              <w:rPr>
                <w:rStyle w:val="10"/>
                <w:rFonts w:hint="eastAsia"/>
              </w:rPr>
              <w:t>登记证持有人：</w:t>
            </w:r>
            <w:r>
              <w:rPr>
                <w:rFonts w:hint="eastAsia"/>
              </w:rPr>
              <w:t>广西首控生物科技厂</w:t>
            </w:r>
          </w:p>
        </w:tc>
      </w:tr>
      <w:tr w14:paraId="6518827D">
        <w:tblPrEx>
          <w:tblCellMar>
            <w:top w:w="0" w:type="dxa"/>
            <w:left w:w="0" w:type="dxa"/>
            <w:bottom w:w="0" w:type="dxa"/>
            <w:right w:w="0" w:type="dxa"/>
          </w:tblCellMar>
        </w:tblPrEx>
        <w:trPr>
          <w:wBefore w:w="0" w:type="auto"/>
          <w:tblCellSpacing w:w="0" w:type="dxa"/>
        </w:trPr>
        <w:tc>
          <w:tcPr>
            <w:tcW w:w="0" w:type="auto"/>
            <w:noWrap w:val="0"/>
            <w:vAlign w:val="center"/>
          </w:tcPr>
          <w:p w14:paraId="39F445F4">
            <w:r>
              <w:rPr>
                <w:rStyle w:val="10"/>
                <w:rFonts w:hint="eastAsia"/>
              </w:rPr>
              <w:t>农药名称：</w:t>
            </w:r>
            <w:r>
              <w:rPr>
                <w:rFonts w:hint="eastAsia"/>
              </w:rPr>
              <w:t>滴酸·草甘膦</w:t>
            </w:r>
          </w:p>
        </w:tc>
      </w:tr>
      <w:tr w14:paraId="0B74B439">
        <w:tblPrEx>
          <w:tblCellMar>
            <w:top w:w="0" w:type="dxa"/>
            <w:left w:w="0" w:type="dxa"/>
            <w:bottom w:w="0" w:type="dxa"/>
            <w:right w:w="0" w:type="dxa"/>
          </w:tblCellMar>
        </w:tblPrEx>
        <w:trPr>
          <w:wBefore w:w="0" w:type="auto"/>
          <w:tblCellSpacing w:w="0" w:type="dxa"/>
        </w:trPr>
        <w:tc>
          <w:tcPr>
            <w:tcW w:w="0" w:type="auto"/>
            <w:noWrap w:val="0"/>
            <w:vAlign w:val="center"/>
          </w:tcPr>
          <w:p w14:paraId="1B4F2A1E">
            <w:r>
              <w:rPr>
                <w:rStyle w:val="10"/>
                <w:rFonts w:hint="eastAsia"/>
              </w:rPr>
              <w:t>剂型：</w:t>
            </w:r>
            <w:r>
              <w:rPr>
                <w:rFonts w:hint="eastAsia"/>
              </w:rPr>
              <w:t>可溶液剂</w:t>
            </w:r>
          </w:p>
        </w:tc>
      </w:tr>
      <w:tr w14:paraId="149C5CE8">
        <w:tblPrEx>
          <w:tblCellMar>
            <w:top w:w="0" w:type="dxa"/>
            <w:left w:w="0" w:type="dxa"/>
            <w:bottom w:w="0" w:type="dxa"/>
            <w:right w:w="0" w:type="dxa"/>
          </w:tblCellMar>
        </w:tblPrEx>
        <w:trPr>
          <w:wBefore w:w="0" w:type="auto"/>
          <w:tblCellSpacing w:w="0" w:type="dxa"/>
        </w:trPr>
        <w:tc>
          <w:tcPr>
            <w:tcW w:w="0" w:type="auto"/>
            <w:noWrap w:val="0"/>
            <w:vAlign w:val="center"/>
          </w:tcPr>
          <w:p w14:paraId="25DEB595">
            <w:r>
              <w:rPr>
                <w:rStyle w:val="10"/>
                <w:rFonts w:hint="eastAsia"/>
              </w:rPr>
              <w:t>毒性及其标识：</w:t>
            </w:r>
            <w:r>
              <w:rPr>
                <w:rFonts w:hint="eastAsia"/>
              </w:rPr>
              <w:t xml:space="preserve"> 微毒 </w:t>
            </w:r>
          </w:p>
        </w:tc>
      </w:tr>
      <w:tr w14:paraId="176392AD">
        <w:tblPrEx>
          <w:tblCellMar>
            <w:top w:w="0" w:type="dxa"/>
            <w:left w:w="0" w:type="dxa"/>
            <w:bottom w:w="0" w:type="dxa"/>
            <w:right w:w="0" w:type="dxa"/>
          </w:tblCellMar>
        </w:tblPrEx>
        <w:trPr>
          <w:wBefore w:w="0" w:type="auto"/>
          <w:tblCellSpacing w:w="0" w:type="dxa"/>
        </w:trPr>
        <w:tc>
          <w:tcPr>
            <w:tcW w:w="0" w:type="auto"/>
            <w:noWrap w:val="0"/>
            <w:vAlign w:val="center"/>
          </w:tcPr>
          <w:p w14:paraId="5011D60E">
            <w:r>
              <w:rPr>
                <w:rStyle w:val="10"/>
                <w:rFonts w:hint="eastAsia"/>
              </w:rPr>
              <w:t>总有效成分含量：</w:t>
            </w:r>
            <w:r>
              <w:rPr>
                <w:rFonts w:hint="eastAsia"/>
              </w:rPr>
              <w:t>32%</w:t>
            </w:r>
          </w:p>
        </w:tc>
      </w:tr>
      <w:tr w14:paraId="219FC49D">
        <w:tblPrEx>
          <w:tblCellMar>
            <w:top w:w="0" w:type="dxa"/>
            <w:left w:w="0" w:type="dxa"/>
            <w:bottom w:w="0" w:type="dxa"/>
            <w:right w:w="0" w:type="dxa"/>
          </w:tblCellMar>
        </w:tblPrEx>
        <w:trPr>
          <w:wBefore w:w="0" w:type="auto"/>
          <w:tblCellSpacing w:w="0" w:type="dxa"/>
        </w:trPr>
        <w:tc>
          <w:tcPr>
            <w:tcW w:w="0" w:type="auto"/>
            <w:noWrap w:val="0"/>
            <w:vAlign w:val="center"/>
          </w:tcPr>
          <w:p w14:paraId="2E9C42AE">
            <w:r>
              <w:rPr>
                <w:rFonts w:hint="eastAsia"/>
              </w:rPr>
              <w:t xml:space="preserve">有效成分及其含量： </w:t>
            </w:r>
          </w:p>
          <w:p w14:paraId="32E2A261">
            <w:r>
              <w:rPr>
                <w:rFonts w:hint="eastAsia"/>
              </w:rPr>
              <w:t xml:space="preserve">    2,4-滴2%    草甘膦30%    </w:t>
            </w:r>
          </w:p>
        </w:tc>
      </w:tr>
      <w:tr w14:paraId="0EF7F7A6">
        <w:tblPrEx>
          <w:tblCellMar>
            <w:top w:w="0" w:type="dxa"/>
            <w:left w:w="0" w:type="dxa"/>
            <w:bottom w:w="0" w:type="dxa"/>
            <w:right w:w="0" w:type="dxa"/>
          </w:tblCellMar>
        </w:tblPrEx>
        <w:trPr>
          <w:wBefore w:w="0" w:type="auto"/>
          <w:tblCellSpacing w:w="0" w:type="dxa"/>
        </w:trPr>
        <w:tc>
          <w:tcPr>
            <w:tcW w:w="0" w:type="auto"/>
            <w:noWrap w:val="0"/>
            <w:vAlign w:val="center"/>
          </w:tcPr>
          <w:p w14:paraId="61B324A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5308C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8DF2BD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A19F63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43F036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ECD37EC">
                  <w:r>
                    <w:rPr>
                      <w:rStyle w:val="11"/>
                      <w:rFonts w:hint="eastAsia"/>
                    </w:rPr>
                    <w:t>施用方式</w:t>
                  </w:r>
                </w:p>
              </w:tc>
            </w:tr>
            <w:tr w14:paraId="48CE34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86AF4D">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9A0EFE">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3E63D5">
                  <w:r>
                    <w:rPr>
                      <w:rStyle w:val="11"/>
                      <w:rFonts w:hint="eastAsia"/>
                    </w:rPr>
                    <w:t>300-500毫升/亩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3F976A">
                  <w:r>
                    <w:rPr>
                      <w:rStyle w:val="11"/>
                      <w:rFonts w:hint="eastAsia"/>
                    </w:rPr>
                    <w:t>茎叶喷雾</w:t>
                  </w:r>
                </w:p>
              </w:tc>
            </w:tr>
          </w:tbl>
          <w:p w14:paraId="7B13AAF3">
            <w:pPr>
              <w:rPr>
                <w:rFonts w:ascii="Times New Roman" w:hAnsi="Times New Roman" w:cs="Times New Roman"/>
                <w:sz w:val="20"/>
                <w:szCs w:val="20"/>
              </w:rPr>
            </w:pPr>
          </w:p>
        </w:tc>
      </w:tr>
      <w:tr w14:paraId="4DC34094">
        <w:tblPrEx>
          <w:tblCellMar>
            <w:top w:w="0" w:type="dxa"/>
            <w:left w:w="0" w:type="dxa"/>
            <w:bottom w:w="0" w:type="dxa"/>
            <w:right w:w="0" w:type="dxa"/>
          </w:tblCellMar>
        </w:tblPrEx>
        <w:trPr>
          <w:wBefore w:w="0" w:type="auto"/>
          <w:tblCellSpacing w:w="0" w:type="dxa"/>
        </w:trPr>
        <w:tc>
          <w:tcPr>
            <w:tcW w:w="0" w:type="auto"/>
            <w:noWrap w:val="0"/>
            <w:vAlign w:val="center"/>
          </w:tcPr>
          <w:p w14:paraId="27342320">
            <w:r>
              <w:rPr>
                <w:rStyle w:val="10"/>
                <w:rFonts w:hint="eastAsia"/>
              </w:rPr>
              <w:t>使用技术要求:</w:t>
            </w:r>
            <w:r>
              <w:rPr>
                <w:rFonts w:hint="eastAsia"/>
              </w:rPr>
              <w:br w:type="textWrapping"/>
            </w:r>
            <w:r>
              <w:rPr>
                <w:rStyle w:val="11"/>
                <w:rFonts w:hint="eastAsia"/>
              </w:rPr>
              <w:t>1.用药方法：按本剂用药量，兑水50～60公斤，茎叶均匀喷雾。 2.晴天及露水干后用药会提高药效，喷后6小时遇大雨，酌情补喷。 3.不要用浑浊泥水配药，否则会降低药效。</w:t>
            </w:r>
          </w:p>
        </w:tc>
      </w:tr>
      <w:tr w14:paraId="316AB148">
        <w:tblPrEx>
          <w:tblCellMar>
            <w:top w:w="0" w:type="dxa"/>
            <w:left w:w="0" w:type="dxa"/>
            <w:bottom w:w="0" w:type="dxa"/>
            <w:right w:w="0" w:type="dxa"/>
          </w:tblCellMar>
        </w:tblPrEx>
        <w:trPr>
          <w:wBefore w:w="0" w:type="auto"/>
          <w:tblCellSpacing w:w="0" w:type="dxa"/>
        </w:trPr>
        <w:tc>
          <w:tcPr>
            <w:tcW w:w="0" w:type="auto"/>
            <w:noWrap w:val="0"/>
            <w:vAlign w:val="center"/>
          </w:tcPr>
          <w:p w14:paraId="09158579">
            <w:r>
              <w:rPr>
                <w:rStyle w:val="10"/>
                <w:rFonts w:hint="eastAsia"/>
              </w:rPr>
              <w:t>产品性能:</w:t>
            </w:r>
            <w:r>
              <w:rPr>
                <w:rFonts w:hint="eastAsia"/>
              </w:rPr>
              <w:br w:type="textWrapping"/>
            </w:r>
            <w:r>
              <w:rPr>
                <w:rStyle w:val="11"/>
                <w:rFonts w:hint="eastAsia"/>
              </w:rPr>
              <w:t>本品属复配药剂，通过植物根部和叶部吸收传导，防除非耕地杂草。</w:t>
            </w:r>
          </w:p>
        </w:tc>
      </w:tr>
      <w:tr w14:paraId="14ECC850">
        <w:tblPrEx>
          <w:tblCellMar>
            <w:top w:w="0" w:type="dxa"/>
            <w:left w:w="0" w:type="dxa"/>
            <w:bottom w:w="0" w:type="dxa"/>
            <w:right w:w="0" w:type="dxa"/>
          </w:tblCellMar>
        </w:tblPrEx>
        <w:trPr>
          <w:wBefore w:w="0" w:type="auto"/>
          <w:tblCellSpacing w:w="0" w:type="dxa"/>
        </w:trPr>
        <w:tc>
          <w:tcPr>
            <w:tcW w:w="0" w:type="auto"/>
            <w:noWrap w:val="0"/>
            <w:vAlign w:val="center"/>
          </w:tcPr>
          <w:p w14:paraId="54D334CA">
            <w:r>
              <w:rPr>
                <w:rStyle w:val="10"/>
                <w:rFonts w:hint="eastAsia"/>
              </w:rPr>
              <w:t>注意事项：</w:t>
            </w:r>
            <w:r>
              <w:rPr>
                <w:rFonts w:hint="eastAsia"/>
              </w:rPr>
              <w:br w:type="textWrapping"/>
            </w:r>
            <w:r>
              <w:rPr>
                <w:rStyle w:val="11"/>
                <w:rFonts w:hint="eastAsia"/>
              </w:rPr>
              <w:t>1.本品为非选择性除草剂,因此施药时应防止药液飘移到邻近的作物田，以免产生药害。 2.用药时应穿戴好手套、口罩防护服等，此时不能饮食、吸烟等；施药后洗干净手脸等。 3.为减缓杂草的抗药性，请注意与其他农药轮换使用。 4.在无风或微风（风力不大于2级）、气温15～28℃的晴天施药，用标准喷雾器压低喷头减压喷雾；使用时注意风向，100米内或下风种植敏感阔叶作物的柑桔园，不能使用本品。 5.喷雾器必须专用。清洗器具的废水，不能排入河流、池塘等水源；废弃物应妥善处理，不可他用。 6.孕妇和哺乳期妇女禁止接触本品。 7.水产养殖区、河塘等水体附近禁用，禁止在河塘等水域清洗施药器具；赤眼蜂等天敌放飞区禁用。</w:t>
            </w:r>
          </w:p>
        </w:tc>
      </w:tr>
      <w:tr w14:paraId="58999A8E">
        <w:tblPrEx>
          <w:tblCellMar>
            <w:top w:w="0" w:type="dxa"/>
            <w:left w:w="0" w:type="dxa"/>
            <w:bottom w:w="0" w:type="dxa"/>
            <w:right w:w="0" w:type="dxa"/>
          </w:tblCellMar>
        </w:tblPrEx>
        <w:trPr>
          <w:wBefore w:w="0" w:type="auto"/>
          <w:tblCellSpacing w:w="0" w:type="dxa"/>
        </w:trPr>
        <w:tc>
          <w:tcPr>
            <w:tcW w:w="0" w:type="auto"/>
            <w:noWrap w:val="0"/>
            <w:vAlign w:val="center"/>
          </w:tcPr>
          <w:p w14:paraId="6026524F">
            <w:r>
              <w:rPr>
                <w:rStyle w:val="10"/>
                <w:rFonts w:hint="eastAsia"/>
              </w:rPr>
              <w:t>中毒急救措施：</w:t>
            </w:r>
            <w:r>
              <w:rPr>
                <w:rFonts w:hint="eastAsia"/>
              </w:rPr>
              <w:br w:type="textWrapping"/>
            </w:r>
            <w:r>
              <w:rPr>
                <w:rStyle w:val="11"/>
                <w:rFonts w:hint="eastAsia"/>
              </w:rPr>
              <w:t>不慎吸入，应将病人移至空气流通处。溅入眼睛中，用大量清水冲洗至少15分钟，仍有不适时，就医皮肤接触，用清水及肥皂洗干净。如发生误服，及时携标签将病人送医院对症治疗，可用吐根糖浆诱吐。无特效解毒剂</w:t>
            </w:r>
          </w:p>
        </w:tc>
      </w:tr>
      <w:tr w14:paraId="7386BDE1">
        <w:tblPrEx>
          <w:tblCellMar>
            <w:top w:w="0" w:type="dxa"/>
            <w:left w:w="0" w:type="dxa"/>
            <w:bottom w:w="0" w:type="dxa"/>
            <w:right w:w="0" w:type="dxa"/>
          </w:tblCellMar>
        </w:tblPrEx>
        <w:trPr>
          <w:wBefore w:w="0" w:type="auto"/>
          <w:tblCellSpacing w:w="0" w:type="dxa"/>
        </w:trPr>
        <w:tc>
          <w:tcPr>
            <w:tcW w:w="0" w:type="auto"/>
            <w:noWrap w:val="0"/>
            <w:vAlign w:val="center"/>
          </w:tcPr>
          <w:p w14:paraId="017175B7">
            <w:r>
              <w:rPr>
                <w:rStyle w:val="10"/>
                <w:rFonts w:hint="eastAsia"/>
              </w:rPr>
              <w:t>储存和运输方法：</w:t>
            </w:r>
            <w:r>
              <w:rPr>
                <w:rFonts w:hint="eastAsia"/>
              </w:rPr>
              <w:br w:type="textWrapping"/>
            </w:r>
            <w:r>
              <w:rPr>
                <w:rStyle w:val="11"/>
                <w:rFonts w:hint="eastAsia"/>
              </w:rPr>
              <w:t>1.本品对金属镀锌容器有腐化作用，应使用塑料容器存储。 2.应贮存于阴凉、通风、干燥处，远离火源或热源。 3.产品置于儿童不易接触到的地方，并加锁。 4.勿与食品、饮料、粮食、饲料等物品同贮运。</w:t>
            </w:r>
          </w:p>
        </w:tc>
      </w:tr>
      <w:tr w14:paraId="0BDFA68B">
        <w:tblPrEx>
          <w:tblCellMar>
            <w:top w:w="0" w:type="dxa"/>
            <w:left w:w="0" w:type="dxa"/>
            <w:bottom w:w="0" w:type="dxa"/>
            <w:right w:w="0" w:type="dxa"/>
          </w:tblCellMar>
        </w:tblPrEx>
        <w:trPr>
          <w:wBefore w:w="0" w:type="auto"/>
          <w:tblCellSpacing w:w="0" w:type="dxa"/>
        </w:trPr>
        <w:tc>
          <w:tcPr>
            <w:tcW w:w="0" w:type="auto"/>
            <w:noWrap w:val="0"/>
            <w:vAlign w:val="center"/>
          </w:tcPr>
          <w:p w14:paraId="70EFC68E">
            <w:r>
              <w:rPr>
                <w:rStyle w:val="10"/>
                <w:rFonts w:hint="eastAsia"/>
              </w:rPr>
              <w:t>质量保证期：</w:t>
            </w:r>
            <w:r>
              <w:rPr>
                <w:rStyle w:val="11"/>
                <w:rFonts w:hint="eastAsia"/>
              </w:rPr>
              <w:t>2年</w:t>
            </w:r>
          </w:p>
        </w:tc>
      </w:tr>
      <w:tr w14:paraId="4E071707">
        <w:tblPrEx>
          <w:tblCellMar>
            <w:top w:w="0" w:type="dxa"/>
            <w:left w:w="0" w:type="dxa"/>
            <w:bottom w:w="0" w:type="dxa"/>
            <w:right w:w="0" w:type="dxa"/>
          </w:tblCellMar>
        </w:tblPrEx>
        <w:trPr>
          <w:wBefore w:w="0" w:type="auto"/>
          <w:tblCellSpacing w:w="0" w:type="dxa"/>
        </w:trPr>
        <w:tc>
          <w:tcPr>
            <w:tcW w:w="0" w:type="auto"/>
            <w:noWrap w:val="0"/>
            <w:vAlign w:val="center"/>
          </w:tcPr>
          <w:p w14:paraId="04E40FB2">
            <w:r>
              <w:rPr>
                <w:rStyle w:val="10"/>
                <w:rFonts w:hint="eastAsia"/>
              </w:rPr>
              <w:t>备注：</w:t>
            </w:r>
            <w:r>
              <w:rPr>
                <w:rFonts w:hint="eastAsia"/>
              </w:rPr>
              <w:br w:type="textWrapping"/>
            </w:r>
            <w:r>
              <w:rPr>
                <w:rStyle w:val="11"/>
                <w:rFonts w:hint="eastAsia"/>
              </w:rPr>
              <w:t>2,4-滴铵盐2.2%，草甘膦铵盐33%。</w:t>
            </w:r>
          </w:p>
        </w:tc>
      </w:tr>
    </w:tbl>
    <w:p w14:paraId="38A6DD3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C77C69E">
        <w:tblPrEx>
          <w:tblCellMar>
            <w:top w:w="0" w:type="dxa"/>
            <w:left w:w="0" w:type="dxa"/>
            <w:bottom w:w="0" w:type="dxa"/>
            <w:right w:w="0" w:type="dxa"/>
          </w:tblCellMar>
        </w:tblPrEx>
        <w:trPr>
          <w:wBefore w:w="0" w:type="auto"/>
          <w:tblCellSpacing w:w="0" w:type="dxa"/>
        </w:trPr>
        <w:tc>
          <w:tcPr>
            <w:tcW w:w="0" w:type="auto"/>
            <w:noWrap w:val="0"/>
            <w:vAlign w:val="center"/>
          </w:tcPr>
          <w:p w14:paraId="3B8E37D7">
            <w:r>
              <w:rPr>
                <w:rStyle w:val="10"/>
                <w:rFonts w:hint="eastAsia"/>
              </w:rPr>
              <w:t>登记证号：</w:t>
            </w:r>
            <w:r>
              <w:rPr>
                <w:rFonts w:hint="eastAsia"/>
              </w:rPr>
              <w:t>PD20211821</w:t>
            </w:r>
          </w:p>
        </w:tc>
      </w:tr>
      <w:tr w14:paraId="42F0B569">
        <w:tblPrEx>
          <w:tblCellMar>
            <w:top w:w="0" w:type="dxa"/>
            <w:left w:w="0" w:type="dxa"/>
            <w:bottom w:w="0" w:type="dxa"/>
            <w:right w:w="0" w:type="dxa"/>
          </w:tblCellMar>
        </w:tblPrEx>
        <w:trPr>
          <w:wBefore w:w="0" w:type="auto"/>
          <w:tblCellSpacing w:w="0" w:type="dxa"/>
        </w:trPr>
        <w:tc>
          <w:tcPr>
            <w:tcW w:w="0" w:type="auto"/>
            <w:noWrap w:val="0"/>
            <w:vAlign w:val="center"/>
          </w:tcPr>
          <w:p w14:paraId="07993177">
            <w:r>
              <w:rPr>
                <w:rStyle w:val="10"/>
                <w:rFonts w:hint="eastAsia"/>
              </w:rPr>
              <w:t>登记证持有人：</w:t>
            </w:r>
            <w:r>
              <w:rPr>
                <w:rFonts w:hint="eastAsia"/>
              </w:rPr>
              <w:t>河南省开封市浪潮化工有限公司</w:t>
            </w:r>
          </w:p>
        </w:tc>
      </w:tr>
      <w:tr w14:paraId="607F4AF9">
        <w:tblPrEx>
          <w:tblCellMar>
            <w:top w:w="0" w:type="dxa"/>
            <w:left w:w="0" w:type="dxa"/>
            <w:bottom w:w="0" w:type="dxa"/>
            <w:right w:w="0" w:type="dxa"/>
          </w:tblCellMar>
        </w:tblPrEx>
        <w:trPr>
          <w:wBefore w:w="0" w:type="auto"/>
          <w:tblCellSpacing w:w="0" w:type="dxa"/>
        </w:trPr>
        <w:tc>
          <w:tcPr>
            <w:tcW w:w="0" w:type="auto"/>
            <w:noWrap w:val="0"/>
            <w:vAlign w:val="center"/>
          </w:tcPr>
          <w:p w14:paraId="311E1689">
            <w:r>
              <w:rPr>
                <w:rStyle w:val="10"/>
                <w:rFonts w:hint="eastAsia"/>
              </w:rPr>
              <w:t>农药名称：</w:t>
            </w:r>
            <w:r>
              <w:rPr>
                <w:rFonts w:hint="eastAsia"/>
              </w:rPr>
              <w:t>噻虫胺</w:t>
            </w:r>
          </w:p>
        </w:tc>
      </w:tr>
      <w:tr w14:paraId="65C55199">
        <w:tblPrEx>
          <w:tblCellMar>
            <w:top w:w="0" w:type="dxa"/>
            <w:left w:w="0" w:type="dxa"/>
            <w:bottom w:w="0" w:type="dxa"/>
            <w:right w:w="0" w:type="dxa"/>
          </w:tblCellMar>
        </w:tblPrEx>
        <w:trPr>
          <w:wBefore w:w="0" w:type="auto"/>
          <w:tblCellSpacing w:w="0" w:type="dxa"/>
        </w:trPr>
        <w:tc>
          <w:tcPr>
            <w:tcW w:w="0" w:type="auto"/>
            <w:noWrap w:val="0"/>
            <w:vAlign w:val="center"/>
          </w:tcPr>
          <w:p w14:paraId="7BA88164">
            <w:r>
              <w:rPr>
                <w:rStyle w:val="10"/>
                <w:rFonts w:hint="eastAsia"/>
              </w:rPr>
              <w:t>剂型：</w:t>
            </w:r>
            <w:r>
              <w:rPr>
                <w:rFonts w:hint="eastAsia"/>
              </w:rPr>
              <w:t>种子处理悬浮剂</w:t>
            </w:r>
          </w:p>
        </w:tc>
      </w:tr>
      <w:tr w14:paraId="1F27443D">
        <w:tblPrEx>
          <w:tblCellMar>
            <w:top w:w="0" w:type="dxa"/>
            <w:left w:w="0" w:type="dxa"/>
            <w:bottom w:w="0" w:type="dxa"/>
            <w:right w:w="0" w:type="dxa"/>
          </w:tblCellMar>
        </w:tblPrEx>
        <w:trPr>
          <w:wBefore w:w="0" w:type="auto"/>
          <w:tblCellSpacing w:w="0" w:type="dxa"/>
        </w:trPr>
        <w:tc>
          <w:tcPr>
            <w:tcW w:w="0" w:type="auto"/>
            <w:noWrap w:val="0"/>
            <w:vAlign w:val="center"/>
          </w:tcPr>
          <w:p w14:paraId="21BD0667">
            <w:r>
              <w:rPr>
                <w:rStyle w:val="10"/>
                <w:rFonts w:hint="eastAsia"/>
              </w:rPr>
              <w:t>毒性及其标识：</w:t>
            </w:r>
            <w:r>
              <w:rPr>
                <w:rFonts w:hint="eastAsia"/>
              </w:rPr>
              <w:t xml:space="preserve"> </w:t>
            </w:r>
            <w:r>
              <w:rPr>
                <w:lang/>
              </w:rPr>
              <w:drawing>
                <wp:inline distT="0" distB="0" distL="114300" distR="114300">
                  <wp:extent cx="476250" cy="323850"/>
                  <wp:effectExtent l="0" t="0" r="0" b="0"/>
                  <wp:docPr id="370" name="图片 37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D159681">
        <w:tblPrEx>
          <w:tblCellMar>
            <w:top w:w="0" w:type="dxa"/>
            <w:left w:w="0" w:type="dxa"/>
            <w:bottom w:w="0" w:type="dxa"/>
            <w:right w:w="0" w:type="dxa"/>
          </w:tblCellMar>
        </w:tblPrEx>
        <w:trPr>
          <w:wBefore w:w="0" w:type="auto"/>
          <w:tblCellSpacing w:w="0" w:type="dxa"/>
        </w:trPr>
        <w:tc>
          <w:tcPr>
            <w:tcW w:w="0" w:type="auto"/>
            <w:noWrap w:val="0"/>
            <w:vAlign w:val="center"/>
          </w:tcPr>
          <w:p w14:paraId="2A2E07C4">
            <w:r>
              <w:rPr>
                <w:rStyle w:val="10"/>
                <w:rFonts w:hint="eastAsia"/>
              </w:rPr>
              <w:t>总有效成分含量：</w:t>
            </w:r>
            <w:r>
              <w:rPr>
                <w:rFonts w:hint="eastAsia"/>
              </w:rPr>
              <w:t>8%</w:t>
            </w:r>
          </w:p>
        </w:tc>
      </w:tr>
      <w:tr w14:paraId="276113AE">
        <w:tblPrEx>
          <w:tblCellMar>
            <w:top w:w="0" w:type="dxa"/>
            <w:left w:w="0" w:type="dxa"/>
            <w:bottom w:w="0" w:type="dxa"/>
            <w:right w:w="0" w:type="dxa"/>
          </w:tblCellMar>
        </w:tblPrEx>
        <w:trPr>
          <w:wBefore w:w="0" w:type="auto"/>
          <w:tblCellSpacing w:w="0" w:type="dxa"/>
        </w:trPr>
        <w:tc>
          <w:tcPr>
            <w:tcW w:w="0" w:type="auto"/>
            <w:noWrap w:val="0"/>
            <w:vAlign w:val="center"/>
          </w:tcPr>
          <w:p w14:paraId="01C81F00">
            <w:r>
              <w:rPr>
                <w:rFonts w:hint="eastAsia"/>
              </w:rPr>
              <w:t xml:space="preserve">有效成分及其含量： </w:t>
            </w:r>
          </w:p>
          <w:p w14:paraId="2EE195AB">
            <w:r>
              <w:rPr>
                <w:rFonts w:hint="eastAsia"/>
              </w:rPr>
              <w:t xml:space="preserve">    噻虫胺8%    </w:t>
            </w:r>
          </w:p>
        </w:tc>
      </w:tr>
      <w:tr w14:paraId="66DC4B6D">
        <w:tblPrEx>
          <w:tblCellMar>
            <w:top w:w="0" w:type="dxa"/>
            <w:left w:w="0" w:type="dxa"/>
            <w:bottom w:w="0" w:type="dxa"/>
            <w:right w:w="0" w:type="dxa"/>
          </w:tblCellMar>
        </w:tblPrEx>
        <w:trPr>
          <w:wBefore w:w="0" w:type="auto"/>
          <w:tblCellSpacing w:w="0" w:type="dxa"/>
        </w:trPr>
        <w:tc>
          <w:tcPr>
            <w:tcW w:w="0" w:type="auto"/>
            <w:noWrap w:val="0"/>
            <w:vAlign w:val="center"/>
          </w:tcPr>
          <w:p w14:paraId="124F255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9EED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B1D0F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0A6AC9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EBF639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64413BB">
                  <w:r>
                    <w:rPr>
                      <w:rStyle w:val="11"/>
                      <w:rFonts w:hint="eastAsia"/>
                    </w:rPr>
                    <w:t>施用方式</w:t>
                  </w:r>
                </w:p>
              </w:tc>
            </w:tr>
            <w:tr w14:paraId="010A5B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D50FCBE">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A8EF44">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681018">
                  <w:r>
                    <w:rPr>
                      <w:rStyle w:val="11"/>
                      <w:rFonts w:hint="eastAsia"/>
                    </w:rPr>
                    <w:t>1500-2000毫升/100千克种子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8E4B39">
                  <w:r>
                    <w:rPr>
                      <w:rStyle w:val="11"/>
                      <w:rFonts w:hint="eastAsia"/>
                    </w:rPr>
                    <w:t>种子包衣</w:t>
                  </w:r>
                </w:p>
              </w:tc>
            </w:tr>
          </w:tbl>
          <w:p w14:paraId="133851B1">
            <w:pPr>
              <w:rPr>
                <w:rFonts w:ascii="Times New Roman" w:hAnsi="Times New Roman" w:cs="Times New Roman"/>
                <w:sz w:val="20"/>
                <w:szCs w:val="20"/>
              </w:rPr>
            </w:pPr>
          </w:p>
        </w:tc>
      </w:tr>
      <w:tr w14:paraId="37BD7358">
        <w:tblPrEx>
          <w:tblCellMar>
            <w:top w:w="0" w:type="dxa"/>
            <w:left w:w="0" w:type="dxa"/>
            <w:bottom w:w="0" w:type="dxa"/>
            <w:right w:w="0" w:type="dxa"/>
          </w:tblCellMar>
        </w:tblPrEx>
        <w:trPr>
          <w:wBefore w:w="0" w:type="auto"/>
          <w:tblCellSpacing w:w="0" w:type="dxa"/>
        </w:trPr>
        <w:tc>
          <w:tcPr>
            <w:tcW w:w="0" w:type="auto"/>
            <w:noWrap w:val="0"/>
            <w:vAlign w:val="center"/>
          </w:tcPr>
          <w:p w14:paraId="7A166A39">
            <w:r>
              <w:rPr>
                <w:rStyle w:val="10"/>
                <w:rFonts w:hint="eastAsia"/>
              </w:rPr>
              <w:t>使用技术要求:</w:t>
            </w:r>
            <w:r>
              <w:rPr>
                <w:rFonts w:hint="eastAsia"/>
              </w:rPr>
              <w:br w:type="textWrapping"/>
            </w:r>
            <w:r>
              <w:rPr>
                <w:rStyle w:val="11"/>
                <w:rFonts w:hint="eastAsia"/>
              </w:rPr>
              <w:t>1.根据种子量确定制剂用药量，加入适量清水（每100千克干种子加水约1.0～2.0升）混合均匀，与种子充分搅拌，直到药液均匀分布到种子表面，晾干后即可播种； 2.播种时需考虑低温、大雨等不良环境影响，适时播种； 3.于花生播前进行种子包衣处理施药1次，每季最多使用次数为1次。</w:t>
            </w:r>
          </w:p>
        </w:tc>
      </w:tr>
      <w:tr w14:paraId="57843A6E">
        <w:tblPrEx>
          <w:tblCellMar>
            <w:top w:w="0" w:type="dxa"/>
            <w:left w:w="0" w:type="dxa"/>
            <w:bottom w:w="0" w:type="dxa"/>
            <w:right w:w="0" w:type="dxa"/>
          </w:tblCellMar>
        </w:tblPrEx>
        <w:trPr>
          <w:wBefore w:w="0" w:type="auto"/>
          <w:tblCellSpacing w:w="0" w:type="dxa"/>
        </w:trPr>
        <w:tc>
          <w:tcPr>
            <w:tcW w:w="0" w:type="auto"/>
            <w:noWrap w:val="0"/>
            <w:vAlign w:val="center"/>
          </w:tcPr>
          <w:p w14:paraId="661505AA">
            <w:r>
              <w:rPr>
                <w:rStyle w:val="10"/>
                <w:rFonts w:hint="eastAsia"/>
              </w:rPr>
              <w:t>产品性能:</w:t>
            </w:r>
            <w:r>
              <w:rPr>
                <w:rFonts w:hint="eastAsia"/>
              </w:rPr>
              <w:br w:type="textWrapping"/>
            </w:r>
            <w:r>
              <w:rPr>
                <w:rStyle w:val="11"/>
                <w:rFonts w:hint="eastAsia"/>
              </w:rPr>
              <w:t>噻虫胺主要作用方式是刺激烟碱乙酰胆碱受体，影响昆虫中枢神经系统中的神经突触。具有内吸性，根吸收并传导。主要用于防治吸允性昆虫和咀嚼性害虫。本品对花生蛴螬有较好的防治效果。</w:t>
            </w:r>
          </w:p>
        </w:tc>
      </w:tr>
      <w:tr w14:paraId="5BFFDEFF">
        <w:tblPrEx>
          <w:tblCellMar>
            <w:top w:w="0" w:type="dxa"/>
            <w:left w:w="0" w:type="dxa"/>
            <w:bottom w:w="0" w:type="dxa"/>
            <w:right w:w="0" w:type="dxa"/>
          </w:tblCellMar>
        </w:tblPrEx>
        <w:trPr>
          <w:wBefore w:w="0" w:type="auto"/>
          <w:tblCellSpacing w:w="0" w:type="dxa"/>
        </w:trPr>
        <w:tc>
          <w:tcPr>
            <w:tcW w:w="0" w:type="auto"/>
            <w:noWrap w:val="0"/>
            <w:vAlign w:val="center"/>
          </w:tcPr>
          <w:p w14:paraId="3EA4B84A">
            <w:r>
              <w:rPr>
                <w:rStyle w:val="10"/>
                <w:rFonts w:hint="eastAsia"/>
              </w:rPr>
              <w:t>注意事项：</w:t>
            </w:r>
            <w:r>
              <w:rPr>
                <w:rFonts w:hint="eastAsia"/>
              </w:rPr>
              <w:br w:type="textWrapping"/>
            </w:r>
            <w:r>
              <w:rPr>
                <w:rStyle w:val="11"/>
                <w:rFonts w:hint="eastAsia"/>
              </w:rPr>
              <w:t>1.严格按农药安全使用规则正确使用，未用完的液体就保存在原包装内，盖紧瓶盖，并远离儿童、饮料和食物。2.配药和种子处理应在通风处进行，操作人 员应戴防渗手套、口罩、穿长袖衣、长裤、靴子等，不可饮食、吸烟等。避免药液接触皮肤、眼睛和污染衣物，避免吸收药液。种子处理结束后，彻底清洗防护用具，洗澡，并更换和清洗工作服。3.处理过的种子必须放置在有明显标签的容器内。勿与食物、饲料放在一起，不得饲喂禽兽，更不得用来加工饲料或食品。 4.对鸟类、蜜蜂有毒，播种后必须覆土，严禁兽禽进入；鸟类保护区附近禁用，播种后单立即覆土。5.对鱼等水生生物有毒，禁止在河塘等水体中清洗施药器具。6.所有施药器具，用后应立即清洗， 洗涤后的废水不应污染河流等水源，未用完的药液应密封后妥善放置。7.用过的容器应妥善处理，不可做他用，也不可随意丢弃。8.孕妇及哺乳期妇女禁止接触此药。</w:t>
            </w:r>
          </w:p>
        </w:tc>
      </w:tr>
      <w:tr w14:paraId="0DF1C7A4">
        <w:tblPrEx>
          <w:tblCellMar>
            <w:top w:w="0" w:type="dxa"/>
            <w:left w:w="0" w:type="dxa"/>
            <w:bottom w:w="0" w:type="dxa"/>
            <w:right w:w="0" w:type="dxa"/>
          </w:tblCellMar>
        </w:tblPrEx>
        <w:trPr>
          <w:wBefore w:w="0" w:type="auto"/>
          <w:tblCellSpacing w:w="0" w:type="dxa"/>
        </w:trPr>
        <w:tc>
          <w:tcPr>
            <w:tcW w:w="0" w:type="auto"/>
            <w:noWrap w:val="0"/>
            <w:vAlign w:val="center"/>
          </w:tcPr>
          <w:p w14:paraId="24916221">
            <w:r>
              <w:rPr>
                <w:rStyle w:val="10"/>
                <w:rFonts w:hint="eastAsia"/>
              </w:rPr>
              <w:t>中毒急救措施：</w:t>
            </w:r>
            <w:r>
              <w:rPr>
                <w:rFonts w:hint="eastAsia"/>
              </w:rPr>
              <w:br w:type="textWrapping"/>
            </w:r>
            <w:r>
              <w:rPr>
                <w:rStyle w:val="11"/>
                <w:rFonts w:hint="eastAsia"/>
              </w:rPr>
              <w:t xml:space="preserve">中毒症状：按照标签推荐方法使用，无典型中毒症状。皮肤接触：立即脱去被污染的衣物，用肥皂和大量清水冲洗皮肤暴露部位。如皮肤刺激感持续，请医生诊治。眼睛溅入：立即提起眼睑，用大量流动清水或生理盐水彻底冲洗至少15分钟，就医。吸入：迅速脱离现场至空气新鲜处，保持呼吸道通畅。如呼吸困难，给输氧；如呼吸停止，立即进行人工呼吸，就医。误服: 饮足量温水，催吐，洗胃，导泄，携带产品标签送医就诊，对症治疗。 </w:t>
            </w:r>
          </w:p>
        </w:tc>
      </w:tr>
      <w:tr w14:paraId="0524118D">
        <w:tblPrEx>
          <w:tblCellMar>
            <w:top w:w="0" w:type="dxa"/>
            <w:left w:w="0" w:type="dxa"/>
            <w:bottom w:w="0" w:type="dxa"/>
            <w:right w:w="0" w:type="dxa"/>
          </w:tblCellMar>
        </w:tblPrEx>
        <w:trPr>
          <w:wBefore w:w="0" w:type="auto"/>
          <w:tblCellSpacing w:w="0" w:type="dxa"/>
        </w:trPr>
        <w:tc>
          <w:tcPr>
            <w:tcW w:w="0" w:type="auto"/>
            <w:noWrap w:val="0"/>
            <w:vAlign w:val="center"/>
          </w:tcPr>
          <w:p w14:paraId="175AB4DC">
            <w:r>
              <w:rPr>
                <w:rStyle w:val="10"/>
                <w:rFonts w:hint="eastAsia"/>
              </w:rPr>
              <w:t>储存和运输方法：</w:t>
            </w:r>
            <w:r>
              <w:rPr>
                <w:rFonts w:hint="eastAsia"/>
              </w:rPr>
              <w:br w:type="textWrapping"/>
            </w:r>
            <w:r>
              <w:rPr>
                <w:rStyle w:val="11"/>
                <w:rFonts w:hint="eastAsia"/>
              </w:rPr>
              <w:t>本品应储存在干燥、阴凉、通风、防雨处，远离火源或热源，置于儿童触及不到的地方，并加锁。贮运时，严防潮湿和日晒，勿与食品、饮料、饲料和粮食等其他商品同贮同运。避免与皮肤、眼睛接触，防止由口鼻吸入。装卸时注意不要磕碰，以免桶体变形或破裂。</w:t>
            </w:r>
          </w:p>
        </w:tc>
      </w:tr>
      <w:tr w14:paraId="592917C6">
        <w:tblPrEx>
          <w:tblCellMar>
            <w:top w:w="0" w:type="dxa"/>
            <w:left w:w="0" w:type="dxa"/>
            <w:bottom w:w="0" w:type="dxa"/>
            <w:right w:w="0" w:type="dxa"/>
          </w:tblCellMar>
        </w:tblPrEx>
        <w:trPr>
          <w:wBefore w:w="0" w:type="auto"/>
          <w:tblCellSpacing w:w="0" w:type="dxa"/>
        </w:trPr>
        <w:tc>
          <w:tcPr>
            <w:tcW w:w="0" w:type="auto"/>
            <w:noWrap w:val="0"/>
            <w:vAlign w:val="center"/>
          </w:tcPr>
          <w:p w14:paraId="2223F996">
            <w:r>
              <w:rPr>
                <w:rStyle w:val="10"/>
                <w:rFonts w:hint="eastAsia"/>
              </w:rPr>
              <w:t>质量保证期：</w:t>
            </w:r>
            <w:r>
              <w:rPr>
                <w:rStyle w:val="11"/>
                <w:rFonts w:hint="eastAsia"/>
              </w:rPr>
              <w:t>2年</w:t>
            </w:r>
          </w:p>
        </w:tc>
      </w:tr>
      <w:tr w14:paraId="28870C44">
        <w:tblPrEx>
          <w:tblCellMar>
            <w:top w:w="0" w:type="dxa"/>
            <w:left w:w="0" w:type="dxa"/>
            <w:bottom w:w="0" w:type="dxa"/>
            <w:right w:w="0" w:type="dxa"/>
          </w:tblCellMar>
        </w:tblPrEx>
        <w:trPr>
          <w:wBefore w:w="0" w:type="auto"/>
          <w:tblCellSpacing w:w="0" w:type="dxa"/>
        </w:trPr>
        <w:tc>
          <w:tcPr>
            <w:tcW w:w="0" w:type="auto"/>
            <w:noWrap w:val="0"/>
            <w:vAlign w:val="center"/>
          </w:tcPr>
          <w:p w14:paraId="0A31CF9C">
            <w:r>
              <w:rPr>
                <w:rStyle w:val="10"/>
                <w:rFonts w:hint="eastAsia"/>
              </w:rPr>
              <w:t>备注：</w:t>
            </w:r>
          </w:p>
        </w:tc>
      </w:tr>
    </w:tbl>
    <w:p w14:paraId="40AB2FA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5C17743">
        <w:tblPrEx>
          <w:tblCellMar>
            <w:top w:w="0" w:type="dxa"/>
            <w:left w:w="0" w:type="dxa"/>
            <w:bottom w:w="0" w:type="dxa"/>
            <w:right w:w="0" w:type="dxa"/>
          </w:tblCellMar>
        </w:tblPrEx>
        <w:trPr>
          <w:wBefore w:w="0" w:type="auto"/>
          <w:tblCellSpacing w:w="0" w:type="dxa"/>
        </w:trPr>
        <w:tc>
          <w:tcPr>
            <w:tcW w:w="0" w:type="auto"/>
            <w:noWrap w:val="0"/>
            <w:vAlign w:val="center"/>
          </w:tcPr>
          <w:p w14:paraId="45D45F9D">
            <w:r>
              <w:rPr>
                <w:rStyle w:val="10"/>
                <w:rFonts w:hint="eastAsia"/>
              </w:rPr>
              <w:t>登记证号：</w:t>
            </w:r>
            <w:r>
              <w:rPr>
                <w:rFonts w:hint="eastAsia"/>
              </w:rPr>
              <w:t>PD20212188</w:t>
            </w:r>
          </w:p>
        </w:tc>
      </w:tr>
      <w:tr w14:paraId="0B3098E7">
        <w:tblPrEx>
          <w:tblCellMar>
            <w:top w:w="0" w:type="dxa"/>
            <w:left w:w="0" w:type="dxa"/>
            <w:bottom w:w="0" w:type="dxa"/>
            <w:right w:w="0" w:type="dxa"/>
          </w:tblCellMar>
        </w:tblPrEx>
        <w:trPr>
          <w:wBefore w:w="0" w:type="auto"/>
          <w:tblCellSpacing w:w="0" w:type="dxa"/>
        </w:trPr>
        <w:tc>
          <w:tcPr>
            <w:tcW w:w="0" w:type="auto"/>
            <w:noWrap w:val="0"/>
            <w:vAlign w:val="center"/>
          </w:tcPr>
          <w:p w14:paraId="5C8CE566">
            <w:r>
              <w:rPr>
                <w:rStyle w:val="10"/>
                <w:rFonts w:hint="eastAsia"/>
              </w:rPr>
              <w:t>登记证持有人：</w:t>
            </w:r>
            <w:r>
              <w:rPr>
                <w:rFonts w:hint="eastAsia"/>
              </w:rPr>
              <w:t>四川金广地生物科技有限公司</w:t>
            </w:r>
          </w:p>
        </w:tc>
      </w:tr>
      <w:tr w14:paraId="28899C57">
        <w:tblPrEx>
          <w:tblCellMar>
            <w:top w:w="0" w:type="dxa"/>
            <w:left w:w="0" w:type="dxa"/>
            <w:bottom w:w="0" w:type="dxa"/>
            <w:right w:w="0" w:type="dxa"/>
          </w:tblCellMar>
        </w:tblPrEx>
        <w:trPr>
          <w:wBefore w:w="0" w:type="auto"/>
          <w:tblCellSpacing w:w="0" w:type="dxa"/>
        </w:trPr>
        <w:tc>
          <w:tcPr>
            <w:tcW w:w="0" w:type="auto"/>
            <w:noWrap w:val="0"/>
            <w:vAlign w:val="center"/>
          </w:tcPr>
          <w:p w14:paraId="02A69A22">
            <w:r>
              <w:rPr>
                <w:rStyle w:val="10"/>
                <w:rFonts w:hint="eastAsia"/>
              </w:rPr>
              <w:t>农药名称：</w:t>
            </w:r>
            <w:r>
              <w:rPr>
                <w:rFonts w:hint="eastAsia"/>
              </w:rPr>
              <w:t>草甘·三氯吡</w:t>
            </w:r>
          </w:p>
        </w:tc>
      </w:tr>
      <w:tr w14:paraId="2B763CAC">
        <w:tblPrEx>
          <w:tblCellMar>
            <w:top w:w="0" w:type="dxa"/>
            <w:left w:w="0" w:type="dxa"/>
            <w:bottom w:w="0" w:type="dxa"/>
            <w:right w:w="0" w:type="dxa"/>
          </w:tblCellMar>
        </w:tblPrEx>
        <w:trPr>
          <w:wBefore w:w="0" w:type="auto"/>
          <w:tblCellSpacing w:w="0" w:type="dxa"/>
        </w:trPr>
        <w:tc>
          <w:tcPr>
            <w:tcW w:w="0" w:type="auto"/>
            <w:noWrap w:val="0"/>
            <w:vAlign w:val="center"/>
          </w:tcPr>
          <w:p w14:paraId="23805A2E">
            <w:r>
              <w:rPr>
                <w:rStyle w:val="10"/>
                <w:rFonts w:hint="eastAsia"/>
              </w:rPr>
              <w:t>剂型：</w:t>
            </w:r>
            <w:r>
              <w:rPr>
                <w:rFonts w:hint="eastAsia"/>
              </w:rPr>
              <w:t>可溶粉剂</w:t>
            </w:r>
          </w:p>
        </w:tc>
      </w:tr>
      <w:tr w14:paraId="57C39F1F">
        <w:tblPrEx>
          <w:tblCellMar>
            <w:top w:w="0" w:type="dxa"/>
            <w:left w:w="0" w:type="dxa"/>
            <w:bottom w:w="0" w:type="dxa"/>
            <w:right w:w="0" w:type="dxa"/>
          </w:tblCellMar>
        </w:tblPrEx>
        <w:trPr>
          <w:wBefore w:w="0" w:type="auto"/>
          <w:tblCellSpacing w:w="0" w:type="dxa"/>
        </w:trPr>
        <w:tc>
          <w:tcPr>
            <w:tcW w:w="0" w:type="auto"/>
            <w:noWrap w:val="0"/>
            <w:vAlign w:val="center"/>
          </w:tcPr>
          <w:p w14:paraId="4D1D7957">
            <w:r>
              <w:rPr>
                <w:rStyle w:val="10"/>
                <w:rFonts w:hint="eastAsia"/>
              </w:rPr>
              <w:t>毒性及其标识：</w:t>
            </w:r>
            <w:r>
              <w:rPr>
                <w:rFonts w:hint="eastAsia"/>
              </w:rPr>
              <w:t xml:space="preserve"> </w:t>
            </w:r>
            <w:r>
              <w:rPr>
                <w:lang/>
              </w:rPr>
              <w:drawing>
                <wp:inline distT="0" distB="0" distL="114300" distR="114300">
                  <wp:extent cx="476250" cy="323850"/>
                  <wp:effectExtent l="0" t="0" r="0" b="0"/>
                  <wp:docPr id="371" name="图片 37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D8F52E4">
        <w:tblPrEx>
          <w:tblCellMar>
            <w:top w:w="0" w:type="dxa"/>
            <w:left w:w="0" w:type="dxa"/>
            <w:bottom w:w="0" w:type="dxa"/>
            <w:right w:w="0" w:type="dxa"/>
          </w:tblCellMar>
        </w:tblPrEx>
        <w:trPr>
          <w:wBefore w:w="0" w:type="auto"/>
          <w:tblCellSpacing w:w="0" w:type="dxa"/>
        </w:trPr>
        <w:tc>
          <w:tcPr>
            <w:tcW w:w="0" w:type="auto"/>
            <w:noWrap w:val="0"/>
            <w:vAlign w:val="center"/>
          </w:tcPr>
          <w:p w14:paraId="37A39B77">
            <w:r>
              <w:rPr>
                <w:rStyle w:val="10"/>
                <w:rFonts w:hint="eastAsia"/>
              </w:rPr>
              <w:t>总有效成分含量：</w:t>
            </w:r>
            <w:r>
              <w:rPr>
                <w:rFonts w:hint="eastAsia"/>
              </w:rPr>
              <w:t>70%</w:t>
            </w:r>
          </w:p>
        </w:tc>
      </w:tr>
      <w:tr w14:paraId="4F64E1A7">
        <w:tblPrEx>
          <w:tblCellMar>
            <w:top w:w="0" w:type="dxa"/>
            <w:left w:w="0" w:type="dxa"/>
            <w:bottom w:w="0" w:type="dxa"/>
            <w:right w:w="0" w:type="dxa"/>
          </w:tblCellMar>
        </w:tblPrEx>
        <w:trPr>
          <w:wBefore w:w="0" w:type="auto"/>
          <w:tblCellSpacing w:w="0" w:type="dxa"/>
        </w:trPr>
        <w:tc>
          <w:tcPr>
            <w:tcW w:w="0" w:type="auto"/>
            <w:noWrap w:val="0"/>
            <w:vAlign w:val="center"/>
          </w:tcPr>
          <w:p w14:paraId="0B6B79E5">
            <w:r>
              <w:rPr>
                <w:rFonts w:hint="eastAsia"/>
              </w:rPr>
              <w:t xml:space="preserve">有效成分及其含量： </w:t>
            </w:r>
          </w:p>
          <w:p w14:paraId="4A2D123F">
            <w:r>
              <w:rPr>
                <w:rFonts w:hint="eastAsia"/>
              </w:rPr>
              <w:t xml:space="preserve">    三氯吡氧乙酸19.6%    草甘膦50.4%    </w:t>
            </w:r>
          </w:p>
        </w:tc>
      </w:tr>
      <w:tr w14:paraId="65A0C424">
        <w:tblPrEx>
          <w:tblCellMar>
            <w:top w:w="0" w:type="dxa"/>
            <w:left w:w="0" w:type="dxa"/>
            <w:bottom w:w="0" w:type="dxa"/>
            <w:right w:w="0" w:type="dxa"/>
          </w:tblCellMar>
        </w:tblPrEx>
        <w:trPr>
          <w:wBefore w:w="0" w:type="auto"/>
          <w:tblCellSpacing w:w="0" w:type="dxa"/>
        </w:trPr>
        <w:tc>
          <w:tcPr>
            <w:tcW w:w="0" w:type="auto"/>
            <w:noWrap w:val="0"/>
            <w:vAlign w:val="center"/>
          </w:tcPr>
          <w:p w14:paraId="5E21700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56976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DA8556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80B7E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A8FF9D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76DD797">
                  <w:r>
                    <w:rPr>
                      <w:rStyle w:val="11"/>
                      <w:rFonts w:hint="eastAsia"/>
                    </w:rPr>
                    <w:t>施用方式</w:t>
                  </w:r>
                </w:p>
              </w:tc>
            </w:tr>
            <w:tr w14:paraId="192756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70647B6">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8E48B3">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E417B6">
                  <w:r>
                    <w:rPr>
                      <w:rStyle w:val="11"/>
                      <w:rFonts w:hint="eastAsia"/>
                    </w:rPr>
                    <w:t>80-120克/亩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72A282">
                  <w:r>
                    <w:rPr>
                      <w:rStyle w:val="11"/>
                      <w:rFonts w:hint="eastAsia"/>
                    </w:rPr>
                    <w:t>茎叶喷雾</w:t>
                  </w:r>
                </w:p>
              </w:tc>
            </w:tr>
          </w:tbl>
          <w:p w14:paraId="459F1ED1">
            <w:pPr>
              <w:rPr>
                <w:rFonts w:ascii="Times New Roman" w:hAnsi="Times New Roman" w:cs="Times New Roman"/>
                <w:sz w:val="20"/>
                <w:szCs w:val="20"/>
              </w:rPr>
            </w:pPr>
          </w:p>
        </w:tc>
      </w:tr>
      <w:tr w14:paraId="57AB05CF">
        <w:tblPrEx>
          <w:tblCellMar>
            <w:top w:w="0" w:type="dxa"/>
            <w:left w:w="0" w:type="dxa"/>
            <w:bottom w:w="0" w:type="dxa"/>
            <w:right w:w="0" w:type="dxa"/>
          </w:tblCellMar>
        </w:tblPrEx>
        <w:trPr>
          <w:wBefore w:w="0" w:type="auto"/>
          <w:tblCellSpacing w:w="0" w:type="dxa"/>
        </w:trPr>
        <w:tc>
          <w:tcPr>
            <w:tcW w:w="0" w:type="auto"/>
            <w:noWrap w:val="0"/>
            <w:vAlign w:val="center"/>
          </w:tcPr>
          <w:p w14:paraId="4DB17083">
            <w:r>
              <w:rPr>
                <w:rStyle w:val="10"/>
                <w:rFonts w:hint="eastAsia"/>
              </w:rPr>
              <w:t>使用技术要求:</w:t>
            </w:r>
            <w:r>
              <w:rPr>
                <w:rFonts w:hint="eastAsia"/>
              </w:rPr>
              <w:br w:type="textWrapping"/>
            </w:r>
            <w:r>
              <w:rPr>
                <w:rStyle w:val="11"/>
                <w:rFonts w:hint="eastAsia"/>
              </w:rPr>
              <w:t>本品于非耕地杂草生长旺盛期，茎叶均匀喷雾施药1次。预计4小时内降雨，请勿施药。.每季作物使用1次。禁止在田间道路、田埂、果树行间、休耕地、林场林地等农林业区域使用。</w:t>
            </w:r>
          </w:p>
        </w:tc>
      </w:tr>
      <w:tr w14:paraId="095CD1D5">
        <w:tblPrEx>
          <w:tblCellMar>
            <w:top w:w="0" w:type="dxa"/>
            <w:left w:w="0" w:type="dxa"/>
            <w:bottom w:w="0" w:type="dxa"/>
            <w:right w:w="0" w:type="dxa"/>
          </w:tblCellMar>
        </w:tblPrEx>
        <w:trPr>
          <w:wBefore w:w="0" w:type="auto"/>
          <w:tblCellSpacing w:w="0" w:type="dxa"/>
        </w:trPr>
        <w:tc>
          <w:tcPr>
            <w:tcW w:w="0" w:type="auto"/>
            <w:noWrap w:val="0"/>
            <w:vAlign w:val="center"/>
          </w:tcPr>
          <w:p w14:paraId="74A92FF8">
            <w:r>
              <w:rPr>
                <w:rStyle w:val="10"/>
                <w:rFonts w:hint="eastAsia"/>
              </w:rPr>
              <w:t>产品性能:</w:t>
            </w:r>
            <w:r>
              <w:rPr>
                <w:rFonts w:hint="eastAsia"/>
              </w:rPr>
              <w:br w:type="textWrapping"/>
            </w:r>
            <w:r>
              <w:rPr>
                <w:rStyle w:val="11"/>
                <w:rFonts w:hint="eastAsia"/>
              </w:rPr>
              <w:t>本品是由草甘膦和三氯吡氧乙酸复配而成的内吸传导型、灭生性除草剂。能有效防除单子叶和双子叶、草本和灌木、一年生及多年生恶性杂草。施药后主要通过植物茎、叶等绿色组织吸收，并迅速向茎、根部传导，将杂草连根一并杀死。本品为白色粉末，无刺激性气味。</w:t>
            </w:r>
          </w:p>
        </w:tc>
      </w:tr>
      <w:tr w14:paraId="12662436">
        <w:tblPrEx>
          <w:tblCellMar>
            <w:top w:w="0" w:type="dxa"/>
            <w:left w:w="0" w:type="dxa"/>
            <w:bottom w:w="0" w:type="dxa"/>
            <w:right w:w="0" w:type="dxa"/>
          </w:tblCellMar>
        </w:tblPrEx>
        <w:trPr>
          <w:wBefore w:w="0" w:type="auto"/>
          <w:tblCellSpacing w:w="0" w:type="dxa"/>
        </w:trPr>
        <w:tc>
          <w:tcPr>
            <w:tcW w:w="0" w:type="auto"/>
            <w:noWrap w:val="0"/>
            <w:vAlign w:val="center"/>
          </w:tcPr>
          <w:p w14:paraId="03C159AD">
            <w:r>
              <w:rPr>
                <w:rStyle w:val="10"/>
                <w:rFonts w:hint="eastAsia"/>
              </w:rPr>
              <w:t>注意事项：</w:t>
            </w:r>
            <w:r>
              <w:rPr>
                <w:rFonts w:hint="eastAsia"/>
              </w:rPr>
              <w:br w:type="textWrapping"/>
            </w:r>
            <w:r>
              <w:rPr>
                <w:rStyle w:val="11"/>
                <w:rFonts w:hint="eastAsia"/>
              </w:rPr>
              <w:t>1.本品对眼睛有刺激性，使用时避免接触眼睛，穿戴长衣、长裤、帽子、口罩、手套等防护措施。避免皮肤接触。使用中不可吸烟、饮水及吃东西，使用后及时清洗手、脸等暴露部位的皮肤并更换衣物。2.施药时避免药剂飘移到邻近作物田。3.施药时应远离水产养殖区。禁止在河塘等水域清洗施药器具，施药器具应用清水和适当洗涤剂清洗，勿将清洗废液和空包装物弃于池塘、沟渠、河溪和湖泊等水域，以免污染水源。4.本品在蚕室及桑园附近禁用。5.施药后5天禁止割草、放牧和翻地。6. 用过的容器要妥善处理，不可作他用，也不可随意丢弃。7.未用完的制剂应保存在原包装内，切勿将本品置于饮、食容器内。8. 禁止儿童、孕妇及哺乳期的妇女接触。过敏者禁用，使用中有任何不良反应请及时就医。</w:t>
            </w:r>
          </w:p>
        </w:tc>
      </w:tr>
      <w:tr w14:paraId="14FB86A6">
        <w:tblPrEx>
          <w:tblCellMar>
            <w:top w:w="0" w:type="dxa"/>
            <w:left w:w="0" w:type="dxa"/>
            <w:bottom w:w="0" w:type="dxa"/>
            <w:right w:w="0" w:type="dxa"/>
          </w:tblCellMar>
        </w:tblPrEx>
        <w:trPr>
          <w:wBefore w:w="0" w:type="auto"/>
          <w:tblCellSpacing w:w="0" w:type="dxa"/>
        </w:trPr>
        <w:tc>
          <w:tcPr>
            <w:tcW w:w="0" w:type="auto"/>
            <w:noWrap w:val="0"/>
            <w:vAlign w:val="center"/>
          </w:tcPr>
          <w:p w14:paraId="23BB2098">
            <w:r>
              <w:rPr>
                <w:rStyle w:val="10"/>
                <w:rFonts w:hint="eastAsia"/>
              </w:rPr>
              <w:t>中毒急救措施：</w:t>
            </w:r>
            <w:r>
              <w:rPr>
                <w:rFonts w:hint="eastAsia"/>
              </w:rPr>
              <w:br w:type="textWrapping"/>
            </w:r>
            <w:r>
              <w:rPr>
                <w:rStyle w:val="11"/>
                <w:rFonts w:hint="eastAsia"/>
              </w:rPr>
              <w:t>中毒症状：本品对眼睛有刺激作用。使用中或使用后如感觉不适，应立即停止工作，采取急救措施，并携带标签送医就诊。皮肤接触：立即脱去被污染的衣物，用肥皂和大量清水冲洗皮肤暴露部位。眼睛溅入：立即翻开眼睑，用清水冲洗至少15分钟，再请医生诊治。不慎吸入：立即脱离施药现场，转移到空气新鲜处，保持呼吸畅通。误服：对清醒者立即催吐，并携带产品标签送医院就诊。若摄入量大，可用吐根糖浆诱吐，还可在服用的活性炭泥中加入山梨醇。无特效解毒剂，对症治疗</w:t>
            </w:r>
          </w:p>
        </w:tc>
      </w:tr>
      <w:tr w14:paraId="27DA38A7">
        <w:tblPrEx>
          <w:tblCellMar>
            <w:top w:w="0" w:type="dxa"/>
            <w:left w:w="0" w:type="dxa"/>
            <w:bottom w:w="0" w:type="dxa"/>
            <w:right w:w="0" w:type="dxa"/>
          </w:tblCellMar>
        </w:tblPrEx>
        <w:trPr>
          <w:wBefore w:w="0" w:type="auto"/>
          <w:tblCellSpacing w:w="0" w:type="dxa"/>
        </w:trPr>
        <w:tc>
          <w:tcPr>
            <w:tcW w:w="0" w:type="auto"/>
            <w:noWrap w:val="0"/>
            <w:vAlign w:val="center"/>
          </w:tcPr>
          <w:p w14:paraId="1D5B68EF">
            <w:r>
              <w:rPr>
                <w:rStyle w:val="10"/>
                <w:rFonts w:hint="eastAsia"/>
              </w:rPr>
              <w:t>储存和运输方法：</w:t>
            </w:r>
            <w:r>
              <w:rPr>
                <w:rFonts w:hint="eastAsia"/>
              </w:rPr>
              <w:br w:type="textWrapping"/>
            </w:r>
            <w:r>
              <w:rPr>
                <w:rStyle w:val="11"/>
                <w:rFonts w:hint="eastAsia"/>
              </w:rPr>
              <w:t>本品应贮存于干燥、阴凉、通风、防雨处，远离火源或热源。置于儿童、无关人员触及不到之处，应加锁保存。不能与食品、饮料、种子、粮食、饲料等物品同贮同运。</w:t>
            </w:r>
          </w:p>
        </w:tc>
      </w:tr>
      <w:tr w14:paraId="4E851479">
        <w:tblPrEx>
          <w:tblCellMar>
            <w:top w:w="0" w:type="dxa"/>
            <w:left w:w="0" w:type="dxa"/>
            <w:bottom w:w="0" w:type="dxa"/>
            <w:right w:w="0" w:type="dxa"/>
          </w:tblCellMar>
        </w:tblPrEx>
        <w:trPr>
          <w:wBefore w:w="0" w:type="auto"/>
          <w:tblCellSpacing w:w="0" w:type="dxa"/>
        </w:trPr>
        <w:tc>
          <w:tcPr>
            <w:tcW w:w="0" w:type="auto"/>
            <w:noWrap w:val="0"/>
            <w:vAlign w:val="center"/>
          </w:tcPr>
          <w:p w14:paraId="3B65BB5C">
            <w:r>
              <w:rPr>
                <w:rStyle w:val="10"/>
                <w:rFonts w:hint="eastAsia"/>
              </w:rPr>
              <w:t>质量保证期：</w:t>
            </w:r>
            <w:r>
              <w:rPr>
                <w:rStyle w:val="11"/>
                <w:rFonts w:hint="eastAsia"/>
              </w:rPr>
              <w:t>2年</w:t>
            </w:r>
          </w:p>
        </w:tc>
      </w:tr>
      <w:tr w14:paraId="73EDC781">
        <w:tblPrEx>
          <w:tblCellMar>
            <w:top w:w="0" w:type="dxa"/>
            <w:left w:w="0" w:type="dxa"/>
            <w:bottom w:w="0" w:type="dxa"/>
            <w:right w:w="0" w:type="dxa"/>
          </w:tblCellMar>
        </w:tblPrEx>
        <w:trPr>
          <w:wBefore w:w="0" w:type="auto"/>
          <w:tblCellSpacing w:w="0" w:type="dxa"/>
        </w:trPr>
        <w:tc>
          <w:tcPr>
            <w:tcW w:w="0" w:type="auto"/>
            <w:noWrap w:val="0"/>
            <w:vAlign w:val="center"/>
          </w:tcPr>
          <w:p w14:paraId="4D337E71">
            <w:r>
              <w:rPr>
                <w:rStyle w:val="10"/>
                <w:rFonts w:hint="eastAsia"/>
              </w:rPr>
              <w:t>备注：</w:t>
            </w:r>
            <w:r>
              <w:rPr>
                <w:rFonts w:hint="eastAsia"/>
              </w:rPr>
              <w:br w:type="textWrapping"/>
            </w:r>
            <w:r>
              <w:rPr>
                <w:rStyle w:val="11"/>
                <w:rFonts w:hint="eastAsia"/>
              </w:rPr>
              <w:t>草甘膦铵盐55.5%；三氯吡氧乙酸钾盐22.5%。</w:t>
            </w:r>
          </w:p>
        </w:tc>
      </w:tr>
    </w:tbl>
    <w:p w14:paraId="3B43782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118BB8B">
        <w:tblPrEx>
          <w:tblCellMar>
            <w:top w:w="0" w:type="dxa"/>
            <w:left w:w="0" w:type="dxa"/>
            <w:bottom w:w="0" w:type="dxa"/>
            <w:right w:w="0" w:type="dxa"/>
          </w:tblCellMar>
        </w:tblPrEx>
        <w:trPr>
          <w:wBefore w:w="0" w:type="auto"/>
          <w:tblCellSpacing w:w="0" w:type="dxa"/>
        </w:trPr>
        <w:tc>
          <w:tcPr>
            <w:tcW w:w="0" w:type="auto"/>
            <w:noWrap w:val="0"/>
            <w:vAlign w:val="center"/>
          </w:tcPr>
          <w:p w14:paraId="6D66B4CE">
            <w:r>
              <w:rPr>
                <w:rStyle w:val="10"/>
                <w:rFonts w:hint="eastAsia"/>
              </w:rPr>
              <w:t>登记证号：</w:t>
            </w:r>
            <w:r>
              <w:rPr>
                <w:rFonts w:hint="eastAsia"/>
              </w:rPr>
              <w:t>WP20210246</w:t>
            </w:r>
          </w:p>
        </w:tc>
      </w:tr>
      <w:tr w14:paraId="5ACB58C3">
        <w:tblPrEx>
          <w:tblCellMar>
            <w:top w:w="0" w:type="dxa"/>
            <w:left w:w="0" w:type="dxa"/>
            <w:bottom w:w="0" w:type="dxa"/>
            <w:right w:w="0" w:type="dxa"/>
          </w:tblCellMar>
        </w:tblPrEx>
        <w:trPr>
          <w:wBefore w:w="0" w:type="auto"/>
          <w:tblCellSpacing w:w="0" w:type="dxa"/>
        </w:trPr>
        <w:tc>
          <w:tcPr>
            <w:tcW w:w="0" w:type="auto"/>
            <w:noWrap w:val="0"/>
            <w:vAlign w:val="center"/>
          </w:tcPr>
          <w:p w14:paraId="2551DEB0">
            <w:r>
              <w:rPr>
                <w:rStyle w:val="10"/>
                <w:rFonts w:hint="eastAsia"/>
              </w:rPr>
              <w:t>登记证持有人：</w:t>
            </w:r>
            <w:r>
              <w:rPr>
                <w:rFonts w:hint="eastAsia"/>
              </w:rPr>
              <w:t>江苏省宜兴兴农化工制品有限公司</w:t>
            </w:r>
          </w:p>
        </w:tc>
      </w:tr>
      <w:tr w14:paraId="7780415A">
        <w:tblPrEx>
          <w:tblCellMar>
            <w:top w:w="0" w:type="dxa"/>
            <w:left w:w="0" w:type="dxa"/>
            <w:bottom w:w="0" w:type="dxa"/>
            <w:right w:w="0" w:type="dxa"/>
          </w:tblCellMar>
        </w:tblPrEx>
        <w:trPr>
          <w:wBefore w:w="0" w:type="auto"/>
          <w:tblCellSpacing w:w="0" w:type="dxa"/>
        </w:trPr>
        <w:tc>
          <w:tcPr>
            <w:tcW w:w="0" w:type="auto"/>
            <w:noWrap w:val="0"/>
            <w:vAlign w:val="center"/>
          </w:tcPr>
          <w:p w14:paraId="60C806E6">
            <w:r>
              <w:rPr>
                <w:rStyle w:val="10"/>
                <w:rFonts w:hint="eastAsia"/>
              </w:rPr>
              <w:t>农药名称：</w:t>
            </w:r>
            <w:r>
              <w:rPr>
                <w:rFonts w:hint="eastAsia"/>
              </w:rPr>
              <w:t>氯氰·吡虫啉</w:t>
            </w:r>
          </w:p>
        </w:tc>
      </w:tr>
      <w:tr w14:paraId="4EB48D59">
        <w:tblPrEx>
          <w:tblCellMar>
            <w:top w:w="0" w:type="dxa"/>
            <w:left w:w="0" w:type="dxa"/>
            <w:bottom w:w="0" w:type="dxa"/>
            <w:right w:w="0" w:type="dxa"/>
          </w:tblCellMar>
        </w:tblPrEx>
        <w:trPr>
          <w:wBefore w:w="0" w:type="auto"/>
          <w:tblCellSpacing w:w="0" w:type="dxa"/>
        </w:trPr>
        <w:tc>
          <w:tcPr>
            <w:tcW w:w="0" w:type="auto"/>
            <w:noWrap w:val="0"/>
            <w:vAlign w:val="center"/>
          </w:tcPr>
          <w:p w14:paraId="05BA292A">
            <w:r>
              <w:rPr>
                <w:rStyle w:val="10"/>
                <w:rFonts w:hint="eastAsia"/>
              </w:rPr>
              <w:t>剂型：</w:t>
            </w:r>
            <w:r>
              <w:rPr>
                <w:rFonts w:hint="eastAsia"/>
              </w:rPr>
              <w:t>悬乳剂</w:t>
            </w:r>
          </w:p>
        </w:tc>
      </w:tr>
      <w:tr w14:paraId="5846D9D7">
        <w:tblPrEx>
          <w:tblCellMar>
            <w:top w:w="0" w:type="dxa"/>
            <w:left w:w="0" w:type="dxa"/>
            <w:bottom w:w="0" w:type="dxa"/>
            <w:right w:w="0" w:type="dxa"/>
          </w:tblCellMar>
        </w:tblPrEx>
        <w:trPr>
          <w:wBefore w:w="0" w:type="auto"/>
          <w:tblCellSpacing w:w="0" w:type="dxa"/>
        </w:trPr>
        <w:tc>
          <w:tcPr>
            <w:tcW w:w="0" w:type="auto"/>
            <w:noWrap w:val="0"/>
            <w:vAlign w:val="center"/>
          </w:tcPr>
          <w:p w14:paraId="2FB88503">
            <w:r>
              <w:rPr>
                <w:rStyle w:val="10"/>
                <w:rFonts w:hint="eastAsia"/>
              </w:rPr>
              <w:t>毒性及其标识：</w:t>
            </w:r>
            <w:r>
              <w:rPr>
                <w:rFonts w:hint="eastAsia"/>
              </w:rPr>
              <w:t xml:space="preserve"> </w:t>
            </w:r>
            <w:r>
              <w:rPr>
                <w:lang/>
              </w:rPr>
              <w:drawing>
                <wp:inline distT="0" distB="0" distL="114300" distR="114300">
                  <wp:extent cx="476250" cy="323850"/>
                  <wp:effectExtent l="0" t="0" r="0" b="0"/>
                  <wp:docPr id="372" name="图片 37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464FA76">
        <w:tblPrEx>
          <w:tblCellMar>
            <w:top w:w="0" w:type="dxa"/>
            <w:left w:w="0" w:type="dxa"/>
            <w:bottom w:w="0" w:type="dxa"/>
            <w:right w:w="0" w:type="dxa"/>
          </w:tblCellMar>
        </w:tblPrEx>
        <w:trPr>
          <w:wBefore w:w="0" w:type="auto"/>
          <w:tblCellSpacing w:w="0" w:type="dxa"/>
        </w:trPr>
        <w:tc>
          <w:tcPr>
            <w:tcW w:w="0" w:type="auto"/>
            <w:noWrap w:val="0"/>
            <w:vAlign w:val="center"/>
          </w:tcPr>
          <w:p w14:paraId="3ADF0308">
            <w:r>
              <w:rPr>
                <w:rStyle w:val="10"/>
                <w:rFonts w:hint="eastAsia"/>
              </w:rPr>
              <w:t>总有效成分含量：</w:t>
            </w:r>
            <w:r>
              <w:rPr>
                <w:rFonts w:hint="eastAsia"/>
              </w:rPr>
              <w:t>40%</w:t>
            </w:r>
          </w:p>
        </w:tc>
      </w:tr>
      <w:tr w14:paraId="037EA648">
        <w:tblPrEx>
          <w:tblCellMar>
            <w:top w:w="0" w:type="dxa"/>
            <w:left w:w="0" w:type="dxa"/>
            <w:bottom w:w="0" w:type="dxa"/>
            <w:right w:w="0" w:type="dxa"/>
          </w:tblCellMar>
        </w:tblPrEx>
        <w:trPr>
          <w:wBefore w:w="0" w:type="auto"/>
          <w:tblCellSpacing w:w="0" w:type="dxa"/>
        </w:trPr>
        <w:tc>
          <w:tcPr>
            <w:tcW w:w="0" w:type="auto"/>
            <w:noWrap w:val="0"/>
            <w:vAlign w:val="center"/>
          </w:tcPr>
          <w:p w14:paraId="405EEE7E">
            <w:r>
              <w:rPr>
                <w:rFonts w:hint="eastAsia"/>
              </w:rPr>
              <w:t xml:space="preserve">有效成分及其含量： </w:t>
            </w:r>
          </w:p>
          <w:p w14:paraId="53CB9B29">
            <w:r>
              <w:rPr>
                <w:rFonts w:hint="eastAsia"/>
              </w:rPr>
              <w:t xml:space="preserve">    吡虫啉25%    氯氰菊酯15%    </w:t>
            </w:r>
          </w:p>
        </w:tc>
      </w:tr>
      <w:tr w14:paraId="031847E4">
        <w:tblPrEx>
          <w:tblCellMar>
            <w:top w:w="0" w:type="dxa"/>
            <w:left w:w="0" w:type="dxa"/>
            <w:bottom w:w="0" w:type="dxa"/>
            <w:right w:w="0" w:type="dxa"/>
          </w:tblCellMar>
        </w:tblPrEx>
        <w:trPr>
          <w:wBefore w:w="0" w:type="auto"/>
          <w:tblCellSpacing w:w="0" w:type="dxa"/>
        </w:trPr>
        <w:tc>
          <w:tcPr>
            <w:tcW w:w="0" w:type="auto"/>
            <w:noWrap w:val="0"/>
            <w:vAlign w:val="center"/>
          </w:tcPr>
          <w:p w14:paraId="0BC51E5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3D4DC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A80C4D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FD9F58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C5467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A3ED23">
                  <w:r>
                    <w:rPr>
                      <w:rStyle w:val="11"/>
                      <w:rFonts w:hint="eastAsia"/>
                    </w:rPr>
                    <w:t>施用方式</w:t>
                  </w:r>
                </w:p>
              </w:tc>
            </w:tr>
            <w:tr w14:paraId="2F44E6B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80FD7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4A8A91">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45859D">
                  <w:r>
                    <w:rPr>
                      <w:rStyle w:val="11"/>
                      <w:rFonts w:hint="eastAsia"/>
                    </w:rPr>
                    <w:t>0.2毫升/平方米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9A90B0">
                  <w:r>
                    <w:rPr>
                      <w:rStyle w:val="11"/>
                      <w:rFonts w:hint="eastAsia"/>
                    </w:rPr>
                    <w:t>滞留喷洒</w:t>
                  </w:r>
                </w:p>
              </w:tc>
            </w:tr>
          </w:tbl>
          <w:p w14:paraId="49419180">
            <w:pPr>
              <w:rPr>
                <w:rFonts w:ascii="Times New Roman" w:hAnsi="Times New Roman" w:cs="Times New Roman"/>
                <w:sz w:val="20"/>
                <w:szCs w:val="20"/>
              </w:rPr>
            </w:pPr>
          </w:p>
        </w:tc>
      </w:tr>
      <w:tr w14:paraId="2A9A6B0A">
        <w:tblPrEx>
          <w:tblCellMar>
            <w:top w:w="0" w:type="dxa"/>
            <w:left w:w="0" w:type="dxa"/>
            <w:bottom w:w="0" w:type="dxa"/>
            <w:right w:w="0" w:type="dxa"/>
          </w:tblCellMar>
        </w:tblPrEx>
        <w:trPr>
          <w:wBefore w:w="0" w:type="auto"/>
          <w:tblCellSpacing w:w="0" w:type="dxa"/>
        </w:trPr>
        <w:tc>
          <w:tcPr>
            <w:tcW w:w="0" w:type="auto"/>
            <w:noWrap w:val="0"/>
            <w:vAlign w:val="center"/>
          </w:tcPr>
          <w:p w14:paraId="7AEA688A">
            <w:r>
              <w:rPr>
                <w:rStyle w:val="10"/>
                <w:rFonts w:hint="eastAsia"/>
              </w:rPr>
              <w:t>使用技术要求:</w:t>
            </w:r>
            <w:r>
              <w:rPr>
                <w:rFonts w:hint="eastAsia"/>
              </w:rPr>
              <w:br w:type="textWrapping"/>
            </w:r>
            <w:r>
              <w:rPr>
                <w:rStyle w:val="11"/>
                <w:rFonts w:hint="eastAsia"/>
              </w:rPr>
              <w:t>使用时，按上述制剂用药量用水稀释约 200 倍后，使用背负式喷雾器或其它常用的喷洒工具，全面均匀喷洒于墙面、地面、门窗、橱背、房梁等害虫易停留物体表面。喷液量以将物体表面喷透并有少量液体流出为宜，确保均匀覆盖。</w:t>
            </w:r>
          </w:p>
        </w:tc>
      </w:tr>
      <w:tr w14:paraId="1A364DAA">
        <w:tblPrEx>
          <w:tblCellMar>
            <w:top w:w="0" w:type="dxa"/>
            <w:left w:w="0" w:type="dxa"/>
            <w:bottom w:w="0" w:type="dxa"/>
            <w:right w:w="0" w:type="dxa"/>
          </w:tblCellMar>
        </w:tblPrEx>
        <w:trPr>
          <w:wBefore w:w="0" w:type="auto"/>
          <w:tblCellSpacing w:w="0" w:type="dxa"/>
        </w:trPr>
        <w:tc>
          <w:tcPr>
            <w:tcW w:w="0" w:type="auto"/>
            <w:noWrap w:val="0"/>
            <w:vAlign w:val="center"/>
          </w:tcPr>
          <w:p w14:paraId="2A757EAE">
            <w:r>
              <w:rPr>
                <w:rStyle w:val="10"/>
                <w:rFonts w:hint="eastAsia"/>
              </w:rPr>
              <w:t>产品性能:</w:t>
            </w:r>
            <w:r>
              <w:rPr>
                <w:rFonts w:hint="eastAsia"/>
              </w:rPr>
              <w:br w:type="textWrapping"/>
            </w:r>
            <w:r>
              <w:rPr>
                <w:rStyle w:val="11"/>
                <w:rFonts w:hint="eastAsia"/>
              </w:rPr>
              <w:t>本品为一种新型复配卫生杀虫剂，能有效防治蚊、蝇等卫生害虫。适用于酒店、写字楼、医院、学校、食品厂、养殖厂、餐馆等室内环境使用。</w:t>
            </w:r>
          </w:p>
        </w:tc>
      </w:tr>
      <w:tr w14:paraId="43BC8EF7">
        <w:tblPrEx>
          <w:tblCellMar>
            <w:top w:w="0" w:type="dxa"/>
            <w:left w:w="0" w:type="dxa"/>
            <w:bottom w:w="0" w:type="dxa"/>
            <w:right w:w="0" w:type="dxa"/>
          </w:tblCellMar>
        </w:tblPrEx>
        <w:trPr>
          <w:wBefore w:w="0" w:type="auto"/>
          <w:tblCellSpacing w:w="0" w:type="dxa"/>
        </w:trPr>
        <w:tc>
          <w:tcPr>
            <w:tcW w:w="0" w:type="auto"/>
            <w:noWrap w:val="0"/>
            <w:vAlign w:val="center"/>
          </w:tcPr>
          <w:p w14:paraId="72241D07">
            <w:r>
              <w:rPr>
                <w:rStyle w:val="10"/>
                <w:rFonts w:hint="eastAsia"/>
              </w:rPr>
              <w:t>注意事项：</w:t>
            </w:r>
            <w:r>
              <w:rPr>
                <w:rFonts w:hint="eastAsia"/>
              </w:rPr>
              <w:br w:type="textWrapping"/>
            </w:r>
            <w:r>
              <w:rPr>
                <w:rStyle w:val="11"/>
                <w:rFonts w:hint="eastAsia"/>
              </w:rPr>
              <w:t>1）使用本品时应采取安全防护措施，穿戴长衣、长裤、帽子、口罩、手套等安全防护措施。 避免药雾吸入。施药期间不可吃东西和饮水。喷药后及时脱下衣服，用肥皂水冲洗裸露部位皮肤，及时洗手和洗脸。 2）本品对鱼类、家蚕有毒，在蚕室、桑园及其附近禁用。远离水产养殖区及河塘等水域施药，禁止在河塘等水体中清洗施药器具。 3）切勿向人体、食物喷洒。 4）本品不宜与碱性物质混用，以防分解。 5）用过的包装物应妥善处理，不可做它用，也不可随意丢弃。 6）儿童、敏感体质人士、孕妇及哺乳期妇女请远离本品。过敏者禁用。使用中有任何不良反应，请及时就医。 7）避免与强氧化剂接触。仅限室内使用。</w:t>
            </w:r>
          </w:p>
        </w:tc>
      </w:tr>
      <w:tr w14:paraId="795F6E1F">
        <w:tblPrEx>
          <w:tblCellMar>
            <w:top w:w="0" w:type="dxa"/>
            <w:left w:w="0" w:type="dxa"/>
            <w:bottom w:w="0" w:type="dxa"/>
            <w:right w:w="0" w:type="dxa"/>
          </w:tblCellMar>
        </w:tblPrEx>
        <w:trPr>
          <w:wBefore w:w="0" w:type="auto"/>
          <w:tblCellSpacing w:w="0" w:type="dxa"/>
        </w:trPr>
        <w:tc>
          <w:tcPr>
            <w:tcW w:w="0" w:type="auto"/>
            <w:noWrap w:val="0"/>
            <w:vAlign w:val="center"/>
          </w:tcPr>
          <w:p w14:paraId="24AF5193">
            <w:r>
              <w:rPr>
                <w:rStyle w:val="10"/>
                <w:rFonts w:hint="eastAsia"/>
              </w:rPr>
              <w:t>中毒急救措施：</w:t>
            </w:r>
            <w:r>
              <w:rPr>
                <w:rFonts w:hint="eastAsia"/>
              </w:rPr>
              <w:br w:type="textWrapping"/>
            </w:r>
            <w:r>
              <w:rPr>
                <w:rStyle w:val="11"/>
                <w:rFonts w:hint="eastAsia"/>
              </w:rPr>
              <w:t>本品无特效解毒药。急救措施：使用中或使用后如果感觉不适,应立即停止工作,采取急救措施,并携带标签送医院就诊。 1、皮肤接触:脱去污染的衣物,用软布去除沾染农药,立即用大量清水和肥皂冲洗。 2、眼睛溅入:立即用流动清水冲洗不少于15分钟。 3、吸入:立即离开施药现场,转移到空气清新处。 4、误食:立即停止服用,用清水充分漱口后, 速携带药品包装就医治疗，绝不可乱服药物。</w:t>
            </w:r>
          </w:p>
        </w:tc>
      </w:tr>
      <w:tr w14:paraId="64CDC0E8">
        <w:tblPrEx>
          <w:tblCellMar>
            <w:top w:w="0" w:type="dxa"/>
            <w:left w:w="0" w:type="dxa"/>
            <w:bottom w:w="0" w:type="dxa"/>
            <w:right w:w="0" w:type="dxa"/>
          </w:tblCellMar>
        </w:tblPrEx>
        <w:trPr>
          <w:wBefore w:w="0" w:type="auto"/>
          <w:tblCellSpacing w:w="0" w:type="dxa"/>
        </w:trPr>
        <w:tc>
          <w:tcPr>
            <w:tcW w:w="0" w:type="auto"/>
            <w:noWrap w:val="0"/>
            <w:vAlign w:val="center"/>
          </w:tcPr>
          <w:p w14:paraId="13C87B51">
            <w:r>
              <w:rPr>
                <w:rStyle w:val="10"/>
                <w:rFonts w:hint="eastAsia"/>
              </w:rPr>
              <w:t>储存和运输方法：</w:t>
            </w:r>
            <w:r>
              <w:rPr>
                <w:rFonts w:hint="eastAsia"/>
              </w:rPr>
              <w:br w:type="textWrapping"/>
            </w:r>
            <w:r>
              <w:rPr>
                <w:rStyle w:val="11"/>
                <w:rFonts w:hint="eastAsia"/>
              </w:rPr>
              <w:t>本品应贮存于阴凉、干燥、通风、避光处，并远离火源和热源。应置于儿童及宠物触及不到之处，并加锁。 运输时，请防雨淋、高温，注意轻拿轻放，不得损坏包装。 请勿与食品、饮料、种子、饲料、粮食等其它商品同贮同运。</w:t>
            </w:r>
          </w:p>
        </w:tc>
      </w:tr>
      <w:tr w14:paraId="0BF7E01B">
        <w:tblPrEx>
          <w:tblCellMar>
            <w:top w:w="0" w:type="dxa"/>
            <w:left w:w="0" w:type="dxa"/>
            <w:bottom w:w="0" w:type="dxa"/>
            <w:right w:w="0" w:type="dxa"/>
          </w:tblCellMar>
        </w:tblPrEx>
        <w:trPr>
          <w:wBefore w:w="0" w:type="auto"/>
          <w:tblCellSpacing w:w="0" w:type="dxa"/>
        </w:trPr>
        <w:tc>
          <w:tcPr>
            <w:tcW w:w="0" w:type="auto"/>
            <w:noWrap w:val="0"/>
            <w:vAlign w:val="center"/>
          </w:tcPr>
          <w:p w14:paraId="27D53885">
            <w:r>
              <w:rPr>
                <w:rStyle w:val="10"/>
                <w:rFonts w:hint="eastAsia"/>
              </w:rPr>
              <w:t>质量保证期：</w:t>
            </w:r>
            <w:r>
              <w:rPr>
                <w:rStyle w:val="11"/>
                <w:rFonts w:hint="eastAsia"/>
              </w:rPr>
              <w:t>2年</w:t>
            </w:r>
          </w:p>
        </w:tc>
      </w:tr>
      <w:tr w14:paraId="6FE04DE9">
        <w:tblPrEx>
          <w:tblCellMar>
            <w:top w:w="0" w:type="dxa"/>
            <w:left w:w="0" w:type="dxa"/>
            <w:bottom w:w="0" w:type="dxa"/>
            <w:right w:w="0" w:type="dxa"/>
          </w:tblCellMar>
        </w:tblPrEx>
        <w:trPr>
          <w:wBefore w:w="0" w:type="auto"/>
          <w:tblCellSpacing w:w="0" w:type="dxa"/>
        </w:trPr>
        <w:tc>
          <w:tcPr>
            <w:tcW w:w="0" w:type="auto"/>
            <w:noWrap w:val="0"/>
            <w:vAlign w:val="center"/>
          </w:tcPr>
          <w:p w14:paraId="5C526D20">
            <w:r>
              <w:rPr>
                <w:rStyle w:val="10"/>
                <w:rFonts w:hint="eastAsia"/>
              </w:rPr>
              <w:t>备注：</w:t>
            </w:r>
          </w:p>
        </w:tc>
      </w:tr>
    </w:tbl>
    <w:p w14:paraId="0AD373F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60812FE">
        <w:tblPrEx>
          <w:tblCellMar>
            <w:top w:w="0" w:type="dxa"/>
            <w:left w:w="0" w:type="dxa"/>
            <w:bottom w:w="0" w:type="dxa"/>
            <w:right w:w="0" w:type="dxa"/>
          </w:tblCellMar>
        </w:tblPrEx>
        <w:trPr>
          <w:wBefore w:w="0" w:type="auto"/>
          <w:tblCellSpacing w:w="0" w:type="dxa"/>
        </w:trPr>
        <w:tc>
          <w:tcPr>
            <w:tcW w:w="0" w:type="auto"/>
            <w:noWrap w:val="0"/>
            <w:vAlign w:val="center"/>
          </w:tcPr>
          <w:p w14:paraId="151805F5">
            <w:r>
              <w:rPr>
                <w:rStyle w:val="10"/>
                <w:rFonts w:hint="eastAsia"/>
              </w:rPr>
              <w:t>登记证号：</w:t>
            </w:r>
            <w:r>
              <w:rPr>
                <w:rFonts w:hint="eastAsia"/>
              </w:rPr>
              <w:t>PD20212159</w:t>
            </w:r>
          </w:p>
        </w:tc>
      </w:tr>
      <w:tr w14:paraId="10581128">
        <w:tblPrEx>
          <w:tblCellMar>
            <w:top w:w="0" w:type="dxa"/>
            <w:left w:w="0" w:type="dxa"/>
            <w:bottom w:w="0" w:type="dxa"/>
            <w:right w:w="0" w:type="dxa"/>
          </w:tblCellMar>
        </w:tblPrEx>
        <w:trPr>
          <w:wBefore w:w="0" w:type="auto"/>
          <w:tblCellSpacing w:w="0" w:type="dxa"/>
        </w:trPr>
        <w:tc>
          <w:tcPr>
            <w:tcW w:w="0" w:type="auto"/>
            <w:noWrap w:val="0"/>
            <w:vAlign w:val="center"/>
          </w:tcPr>
          <w:p w14:paraId="399B859A">
            <w:r>
              <w:rPr>
                <w:rStyle w:val="10"/>
                <w:rFonts w:hint="eastAsia"/>
              </w:rPr>
              <w:t>登记证持有人：</w:t>
            </w:r>
            <w:r>
              <w:rPr>
                <w:rFonts w:hint="eastAsia"/>
              </w:rPr>
              <w:t>山东绿邦作物科学股份有限公司</w:t>
            </w:r>
          </w:p>
        </w:tc>
      </w:tr>
      <w:tr w14:paraId="47DB8C43">
        <w:tblPrEx>
          <w:tblCellMar>
            <w:top w:w="0" w:type="dxa"/>
            <w:left w:w="0" w:type="dxa"/>
            <w:bottom w:w="0" w:type="dxa"/>
            <w:right w:w="0" w:type="dxa"/>
          </w:tblCellMar>
        </w:tblPrEx>
        <w:trPr>
          <w:wBefore w:w="0" w:type="auto"/>
          <w:tblCellSpacing w:w="0" w:type="dxa"/>
        </w:trPr>
        <w:tc>
          <w:tcPr>
            <w:tcW w:w="0" w:type="auto"/>
            <w:noWrap w:val="0"/>
            <w:vAlign w:val="center"/>
          </w:tcPr>
          <w:p w14:paraId="474F2F28">
            <w:r>
              <w:rPr>
                <w:rStyle w:val="10"/>
                <w:rFonts w:hint="eastAsia"/>
              </w:rPr>
              <w:t>农药名称：</w:t>
            </w:r>
            <w:r>
              <w:rPr>
                <w:rFonts w:hint="eastAsia"/>
              </w:rPr>
              <w:t>乙·莠·滴辛酯</w:t>
            </w:r>
          </w:p>
        </w:tc>
      </w:tr>
      <w:tr w14:paraId="7B44625B">
        <w:tblPrEx>
          <w:tblCellMar>
            <w:top w:w="0" w:type="dxa"/>
            <w:left w:w="0" w:type="dxa"/>
            <w:bottom w:w="0" w:type="dxa"/>
            <w:right w:w="0" w:type="dxa"/>
          </w:tblCellMar>
        </w:tblPrEx>
        <w:trPr>
          <w:wBefore w:w="0" w:type="auto"/>
          <w:tblCellSpacing w:w="0" w:type="dxa"/>
        </w:trPr>
        <w:tc>
          <w:tcPr>
            <w:tcW w:w="0" w:type="auto"/>
            <w:noWrap w:val="0"/>
            <w:vAlign w:val="center"/>
          </w:tcPr>
          <w:p w14:paraId="7CA9F539">
            <w:r>
              <w:rPr>
                <w:rStyle w:val="10"/>
                <w:rFonts w:hint="eastAsia"/>
              </w:rPr>
              <w:t>剂型：</w:t>
            </w:r>
            <w:r>
              <w:rPr>
                <w:rFonts w:hint="eastAsia"/>
              </w:rPr>
              <w:t>悬乳剂</w:t>
            </w:r>
          </w:p>
        </w:tc>
      </w:tr>
      <w:tr w14:paraId="3F22AEAF">
        <w:tblPrEx>
          <w:tblCellMar>
            <w:top w:w="0" w:type="dxa"/>
            <w:left w:w="0" w:type="dxa"/>
            <w:bottom w:w="0" w:type="dxa"/>
            <w:right w:w="0" w:type="dxa"/>
          </w:tblCellMar>
        </w:tblPrEx>
        <w:trPr>
          <w:wBefore w:w="0" w:type="auto"/>
          <w:tblCellSpacing w:w="0" w:type="dxa"/>
        </w:trPr>
        <w:tc>
          <w:tcPr>
            <w:tcW w:w="0" w:type="auto"/>
            <w:noWrap w:val="0"/>
            <w:vAlign w:val="center"/>
          </w:tcPr>
          <w:p w14:paraId="3F64168E">
            <w:r>
              <w:rPr>
                <w:rStyle w:val="10"/>
                <w:rFonts w:hint="eastAsia"/>
              </w:rPr>
              <w:t>毒性及其标识：</w:t>
            </w:r>
            <w:r>
              <w:rPr>
                <w:rFonts w:hint="eastAsia"/>
              </w:rPr>
              <w:t xml:space="preserve"> </w:t>
            </w:r>
            <w:r>
              <w:rPr>
                <w:lang/>
              </w:rPr>
              <w:drawing>
                <wp:inline distT="0" distB="0" distL="114300" distR="114300">
                  <wp:extent cx="476250" cy="323850"/>
                  <wp:effectExtent l="0" t="0" r="0" b="0"/>
                  <wp:docPr id="373" name="图片 37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300DA68">
        <w:tblPrEx>
          <w:tblCellMar>
            <w:top w:w="0" w:type="dxa"/>
            <w:left w:w="0" w:type="dxa"/>
            <w:bottom w:w="0" w:type="dxa"/>
            <w:right w:w="0" w:type="dxa"/>
          </w:tblCellMar>
        </w:tblPrEx>
        <w:trPr>
          <w:wBefore w:w="0" w:type="auto"/>
          <w:tblCellSpacing w:w="0" w:type="dxa"/>
        </w:trPr>
        <w:tc>
          <w:tcPr>
            <w:tcW w:w="0" w:type="auto"/>
            <w:noWrap w:val="0"/>
            <w:vAlign w:val="center"/>
          </w:tcPr>
          <w:p w14:paraId="6DF2B62E">
            <w:r>
              <w:rPr>
                <w:rStyle w:val="10"/>
                <w:rFonts w:hint="eastAsia"/>
              </w:rPr>
              <w:t>总有效成分含量：</w:t>
            </w:r>
            <w:r>
              <w:rPr>
                <w:rFonts w:hint="eastAsia"/>
              </w:rPr>
              <w:t>72%</w:t>
            </w:r>
          </w:p>
        </w:tc>
      </w:tr>
      <w:tr w14:paraId="41431EEF">
        <w:tblPrEx>
          <w:tblCellMar>
            <w:top w:w="0" w:type="dxa"/>
            <w:left w:w="0" w:type="dxa"/>
            <w:bottom w:w="0" w:type="dxa"/>
            <w:right w:w="0" w:type="dxa"/>
          </w:tblCellMar>
        </w:tblPrEx>
        <w:trPr>
          <w:wBefore w:w="0" w:type="auto"/>
          <w:tblCellSpacing w:w="0" w:type="dxa"/>
        </w:trPr>
        <w:tc>
          <w:tcPr>
            <w:tcW w:w="0" w:type="auto"/>
            <w:noWrap w:val="0"/>
            <w:vAlign w:val="center"/>
          </w:tcPr>
          <w:p w14:paraId="58BB25CD">
            <w:r>
              <w:rPr>
                <w:rFonts w:hint="eastAsia"/>
              </w:rPr>
              <w:t xml:space="preserve">有效成分及其含量： </w:t>
            </w:r>
          </w:p>
          <w:p w14:paraId="43633D7D">
            <w:r>
              <w:rPr>
                <w:rFonts w:hint="eastAsia"/>
              </w:rPr>
              <w:t xml:space="preserve">    乙草胺41%    莠去津25%    2,4-滴异辛酯6%    </w:t>
            </w:r>
          </w:p>
        </w:tc>
      </w:tr>
      <w:tr w14:paraId="7632636E">
        <w:tblPrEx>
          <w:tblCellMar>
            <w:top w:w="0" w:type="dxa"/>
            <w:left w:w="0" w:type="dxa"/>
            <w:bottom w:w="0" w:type="dxa"/>
            <w:right w:w="0" w:type="dxa"/>
          </w:tblCellMar>
        </w:tblPrEx>
        <w:trPr>
          <w:wBefore w:w="0" w:type="auto"/>
          <w:tblCellSpacing w:w="0" w:type="dxa"/>
        </w:trPr>
        <w:tc>
          <w:tcPr>
            <w:tcW w:w="0" w:type="auto"/>
            <w:noWrap w:val="0"/>
            <w:vAlign w:val="center"/>
          </w:tcPr>
          <w:p w14:paraId="3C45725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965BFA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482D6D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96A363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1D98A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6DA974C">
                  <w:r>
                    <w:rPr>
                      <w:rStyle w:val="11"/>
                      <w:rFonts w:hint="eastAsia"/>
                    </w:rPr>
                    <w:t>施用方式</w:t>
                  </w:r>
                </w:p>
              </w:tc>
            </w:tr>
            <w:tr w14:paraId="53CF6B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0104321">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1D975A">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C3F91D">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8EC50D">
                  <w:r>
                    <w:rPr>
                      <w:rStyle w:val="11"/>
                      <w:rFonts w:hint="eastAsia"/>
                    </w:rPr>
                    <w:t>土壤喷雾</w:t>
                  </w:r>
                </w:p>
              </w:tc>
            </w:tr>
          </w:tbl>
          <w:p w14:paraId="235C0E8C">
            <w:pPr>
              <w:rPr>
                <w:rFonts w:ascii="Times New Roman" w:hAnsi="Times New Roman" w:cs="Times New Roman"/>
                <w:sz w:val="20"/>
                <w:szCs w:val="20"/>
              </w:rPr>
            </w:pPr>
          </w:p>
        </w:tc>
      </w:tr>
      <w:tr w14:paraId="18E3CC90">
        <w:tblPrEx>
          <w:tblCellMar>
            <w:top w:w="0" w:type="dxa"/>
            <w:left w:w="0" w:type="dxa"/>
            <w:bottom w:w="0" w:type="dxa"/>
            <w:right w:w="0" w:type="dxa"/>
          </w:tblCellMar>
        </w:tblPrEx>
        <w:trPr>
          <w:wBefore w:w="0" w:type="auto"/>
          <w:tblCellSpacing w:w="0" w:type="dxa"/>
        </w:trPr>
        <w:tc>
          <w:tcPr>
            <w:tcW w:w="0" w:type="auto"/>
            <w:noWrap w:val="0"/>
            <w:vAlign w:val="center"/>
          </w:tcPr>
          <w:p w14:paraId="7B5B9946">
            <w:r>
              <w:rPr>
                <w:rStyle w:val="10"/>
                <w:rFonts w:hint="eastAsia"/>
              </w:rPr>
              <w:t>使用技术要求:</w:t>
            </w:r>
            <w:r>
              <w:rPr>
                <w:rFonts w:hint="eastAsia"/>
              </w:rPr>
              <w:br w:type="textWrapping"/>
            </w:r>
            <w:r>
              <w:rPr>
                <w:rStyle w:val="11"/>
                <w:rFonts w:hint="eastAsia"/>
              </w:rPr>
              <w:t>1. 在春玉米播后苗前土壤喷雾施药一次，每亩兑水50-60公斤。2. 每季最多使用1次。</w:t>
            </w:r>
          </w:p>
        </w:tc>
      </w:tr>
      <w:tr w14:paraId="380082D1">
        <w:tblPrEx>
          <w:tblCellMar>
            <w:top w:w="0" w:type="dxa"/>
            <w:left w:w="0" w:type="dxa"/>
            <w:bottom w:w="0" w:type="dxa"/>
            <w:right w:w="0" w:type="dxa"/>
          </w:tblCellMar>
        </w:tblPrEx>
        <w:trPr>
          <w:wBefore w:w="0" w:type="auto"/>
          <w:tblCellSpacing w:w="0" w:type="dxa"/>
        </w:trPr>
        <w:tc>
          <w:tcPr>
            <w:tcW w:w="0" w:type="auto"/>
            <w:noWrap w:val="0"/>
            <w:vAlign w:val="center"/>
          </w:tcPr>
          <w:p w14:paraId="793AF1CC">
            <w:r>
              <w:rPr>
                <w:rStyle w:val="10"/>
                <w:rFonts w:hint="eastAsia"/>
              </w:rPr>
              <w:t>产品性能:</w:t>
            </w:r>
            <w:r>
              <w:rPr>
                <w:rFonts w:hint="eastAsia"/>
              </w:rPr>
              <w:br w:type="textWrapping"/>
            </w:r>
            <w:r>
              <w:rPr>
                <w:rStyle w:val="11"/>
                <w:rFonts w:hint="eastAsia"/>
              </w:rPr>
              <w:t>本品是由乙草胺、莠去津和2，4-滴异辛酯复配而成。乙草胺为选择性芽前除草剂，莠去津为选择性内吸除草剂，2，4-滴异辛酯为苯氧羧酸类激素型选择性除草剂，是2，4-滴丁酯优良换代产品。春玉米播后苗前封闭使用，可防除稗草、狗尾草、马唐、牛筋草、反枝苋、刺儿菜、鸭跖草、苣荬菜、苍耳、苘麻等一年生杂草。</w:t>
            </w:r>
          </w:p>
        </w:tc>
      </w:tr>
      <w:tr w14:paraId="35F96959">
        <w:tblPrEx>
          <w:tblCellMar>
            <w:top w:w="0" w:type="dxa"/>
            <w:left w:w="0" w:type="dxa"/>
            <w:bottom w:w="0" w:type="dxa"/>
            <w:right w:w="0" w:type="dxa"/>
          </w:tblCellMar>
        </w:tblPrEx>
        <w:trPr>
          <w:wBefore w:w="0" w:type="auto"/>
          <w:tblCellSpacing w:w="0" w:type="dxa"/>
        </w:trPr>
        <w:tc>
          <w:tcPr>
            <w:tcW w:w="0" w:type="auto"/>
            <w:noWrap w:val="0"/>
            <w:vAlign w:val="center"/>
          </w:tcPr>
          <w:p w14:paraId="3029CF8A">
            <w:r>
              <w:rPr>
                <w:rStyle w:val="10"/>
                <w:rFonts w:hint="eastAsia"/>
              </w:rPr>
              <w:t>注意事项：</w:t>
            </w:r>
            <w:r>
              <w:rPr>
                <w:rFonts w:hint="eastAsia"/>
              </w:rPr>
              <w:br w:type="textWrapping"/>
            </w:r>
            <w:r>
              <w:rPr>
                <w:rStyle w:val="11"/>
                <w:rFonts w:hint="eastAsia"/>
              </w:rPr>
              <w:t>1、与大豆等其他作物间套或混种的春玉米田禁用。2、本品受土壤水分、有机质含量和质地影响，土壤干旱、有机质含量高、质地重的地块应根据具体情况在登记用量范围内适当增加用药量和兑水量。 3、本品对眼睛有刺激性，穿戴长衣、长裤、帽子、口罩、手套等安全防护措施；此时不得进食、吸烟、饮水等，以防误食引起中毒；施药后洗干净手脸等。4、水产养殖区、河塘等水体附近禁用，禁止在河塘等水域清洗施药器具，清洗器具的废水不能排入河流、池塘等水源。5、赤眼蜂等天敌放飞区域禁用。地下饮用水、水源地禁用。6鸟类保护区、蚕室及桑园附近禁用。7、禁止儿童、孕妇及哺乳期妇女接触本品。8、用过的容器应妥善处理，不可做他用，也不可随意丢弃。9、避免与具有氧化性物质接触或混合。</w:t>
            </w:r>
          </w:p>
        </w:tc>
      </w:tr>
      <w:tr w14:paraId="60BFC1B5">
        <w:tblPrEx>
          <w:tblCellMar>
            <w:top w:w="0" w:type="dxa"/>
            <w:left w:w="0" w:type="dxa"/>
            <w:bottom w:w="0" w:type="dxa"/>
            <w:right w:w="0" w:type="dxa"/>
          </w:tblCellMar>
        </w:tblPrEx>
        <w:trPr>
          <w:wBefore w:w="0" w:type="auto"/>
          <w:tblCellSpacing w:w="0" w:type="dxa"/>
        </w:trPr>
        <w:tc>
          <w:tcPr>
            <w:tcW w:w="0" w:type="auto"/>
            <w:noWrap w:val="0"/>
            <w:vAlign w:val="center"/>
          </w:tcPr>
          <w:p w14:paraId="1C2CF3FB">
            <w:r>
              <w:rPr>
                <w:rStyle w:val="10"/>
                <w:rFonts w:hint="eastAsia"/>
              </w:rPr>
              <w:t>中毒急救措施：</w:t>
            </w:r>
            <w:r>
              <w:rPr>
                <w:rFonts w:hint="eastAsia"/>
              </w:rPr>
              <w:br w:type="textWrapping"/>
            </w:r>
            <w:r>
              <w:rPr>
                <w:rStyle w:val="11"/>
                <w:rFonts w:hint="eastAsia"/>
              </w:rPr>
              <w:t>中毒症状表现为对眼睛和皮肤有刺激作用。不慎吸入，应将病人移至空气流通处。不慎溅入眼睛中，用大量清水冲洗至少15分钟，仍有不适时，就医。皮肤接触，用清水及肥皂洗干净。误服，立即携此标签将病人送医院，对症诊治。无特效解毒剂。</w:t>
            </w:r>
          </w:p>
        </w:tc>
      </w:tr>
      <w:tr w14:paraId="10EFD04A">
        <w:tblPrEx>
          <w:tblCellMar>
            <w:top w:w="0" w:type="dxa"/>
            <w:left w:w="0" w:type="dxa"/>
            <w:bottom w:w="0" w:type="dxa"/>
            <w:right w:w="0" w:type="dxa"/>
          </w:tblCellMar>
        </w:tblPrEx>
        <w:trPr>
          <w:wBefore w:w="0" w:type="auto"/>
          <w:tblCellSpacing w:w="0" w:type="dxa"/>
        </w:trPr>
        <w:tc>
          <w:tcPr>
            <w:tcW w:w="0" w:type="auto"/>
            <w:noWrap w:val="0"/>
            <w:vAlign w:val="center"/>
          </w:tcPr>
          <w:p w14:paraId="659E9632">
            <w:r>
              <w:rPr>
                <w:rStyle w:val="10"/>
                <w:rFonts w:hint="eastAsia"/>
              </w:rPr>
              <w:t>储存和运输方法：</w:t>
            </w:r>
            <w:r>
              <w:rPr>
                <w:rFonts w:hint="eastAsia"/>
              </w:rPr>
              <w:br w:type="textWrapping"/>
            </w:r>
            <w:r>
              <w:rPr>
                <w:rStyle w:val="11"/>
                <w:rFonts w:hint="eastAsia"/>
              </w:rPr>
              <w:t>1、本品应贮存在阴凉、干燥、通风、防雨处，远离火源或热源；夏季应加强仓库通风，最好早晚运输，避免高温。2、置于儿童、无关人员及动物接触不到的地方，并加锁。3、勿与食品、饮料、饲料和粮食等其他商品同贮同运，运输时要防潮防晒。4、装卸时，注意检查包装是否密封完整，轻拿轻放。</w:t>
            </w:r>
          </w:p>
        </w:tc>
      </w:tr>
      <w:tr w14:paraId="5899B22B">
        <w:tblPrEx>
          <w:tblCellMar>
            <w:top w:w="0" w:type="dxa"/>
            <w:left w:w="0" w:type="dxa"/>
            <w:bottom w:w="0" w:type="dxa"/>
            <w:right w:w="0" w:type="dxa"/>
          </w:tblCellMar>
        </w:tblPrEx>
        <w:trPr>
          <w:wBefore w:w="0" w:type="auto"/>
          <w:tblCellSpacing w:w="0" w:type="dxa"/>
        </w:trPr>
        <w:tc>
          <w:tcPr>
            <w:tcW w:w="0" w:type="auto"/>
            <w:noWrap w:val="0"/>
            <w:vAlign w:val="center"/>
          </w:tcPr>
          <w:p w14:paraId="7C45F89C">
            <w:r>
              <w:rPr>
                <w:rStyle w:val="10"/>
                <w:rFonts w:hint="eastAsia"/>
              </w:rPr>
              <w:t>质量保证期：</w:t>
            </w:r>
            <w:r>
              <w:rPr>
                <w:rStyle w:val="11"/>
                <w:rFonts w:hint="eastAsia"/>
              </w:rPr>
              <w:t>2年</w:t>
            </w:r>
          </w:p>
        </w:tc>
      </w:tr>
      <w:tr w14:paraId="0729EF91">
        <w:tblPrEx>
          <w:tblCellMar>
            <w:top w:w="0" w:type="dxa"/>
            <w:left w:w="0" w:type="dxa"/>
            <w:bottom w:w="0" w:type="dxa"/>
            <w:right w:w="0" w:type="dxa"/>
          </w:tblCellMar>
        </w:tblPrEx>
        <w:trPr>
          <w:wBefore w:w="0" w:type="auto"/>
          <w:tblCellSpacing w:w="0" w:type="dxa"/>
        </w:trPr>
        <w:tc>
          <w:tcPr>
            <w:tcW w:w="0" w:type="auto"/>
            <w:noWrap w:val="0"/>
            <w:vAlign w:val="center"/>
          </w:tcPr>
          <w:p w14:paraId="32AB4D8F">
            <w:r>
              <w:rPr>
                <w:rStyle w:val="10"/>
                <w:rFonts w:hint="eastAsia"/>
              </w:rPr>
              <w:t>备注：</w:t>
            </w:r>
          </w:p>
        </w:tc>
      </w:tr>
    </w:tbl>
    <w:p w14:paraId="4B8E95A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31FCCFD">
        <w:tblPrEx>
          <w:tblCellMar>
            <w:top w:w="0" w:type="dxa"/>
            <w:left w:w="0" w:type="dxa"/>
            <w:bottom w:w="0" w:type="dxa"/>
            <w:right w:w="0" w:type="dxa"/>
          </w:tblCellMar>
        </w:tblPrEx>
        <w:trPr>
          <w:wBefore w:w="0" w:type="auto"/>
          <w:tblCellSpacing w:w="0" w:type="dxa"/>
        </w:trPr>
        <w:tc>
          <w:tcPr>
            <w:tcW w:w="0" w:type="auto"/>
            <w:noWrap w:val="0"/>
            <w:vAlign w:val="center"/>
          </w:tcPr>
          <w:p w14:paraId="2B073117">
            <w:r>
              <w:rPr>
                <w:rStyle w:val="10"/>
                <w:rFonts w:hint="eastAsia"/>
              </w:rPr>
              <w:t>登记证号：</w:t>
            </w:r>
            <w:r>
              <w:rPr>
                <w:rFonts w:hint="eastAsia"/>
              </w:rPr>
              <w:t>PD20212182</w:t>
            </w:r>
          </w:p>
        </w:tc>
      </w:tr>
      <w:tr w14:paraId="1517376F">
        <w:tblPrEx>
          <w:tblCellMar>
            <w:top w:w="0" w:type="dxa"/>
            <w:left w:w="0" w:type="dxa"/>
            <w:bottom w:w="0" w:type="dxa"/>
            <w:right w:w="0" w:type="dxa"/>
          </w:tblCellMar>
        </w:tblPrEx>
        <w:trPr>
          <w:wBefore w:w="0" w:type="auto"/>
          <w:tblCellSpacing w:w="0" w:type="dxa"/>
        </w:trPr>
        <w:tc>
          <w:tcPr>
            <w:tcW w:w="0" w:type="auto"/>
            <w:noWrap w:val="0"/>
            <w:vAlign w:val="center"/>
          </w:tcPr>
          <w:p w14:paraId="646D8318">
            <w:r>
              <w:rPr>
                <w:rStyle w:val="10"/>
                <w:rFonts w:hint="eastAsia"/>
              </w:rPr>
              <w:t>登记证持有人：</w:t>
            </w:r>
            <w:r>
              <w:rPr>
                <w:rFonts w:hint="eastAsia"/>
              </w:rPr>
              <w:t>广西瑞施特生物科技有限公司</w:t>
            </w:r>
          </w:p>
        </w:tc>
      </w:tr>
      <w:tr w14:paraId="63A9EB84">
        <w:tblPrEx>
          <w:tblCellMar>
            <w:top w:w="0" w:type="dxa"/>
            <w:left w:w="0" w:type="dxa"/>
            <w:bottom w:w="0" w:type="dxa"/>
            <w:right w:w="0" w:type="dxa"/>
          </w:tblCellMar>
        </w:tblPrEx>
        <w:trPr>
          <w:wBefore w:w="0" w:type="auto"/>
          <w:tblCellSpacing w:w="0" w:type="dxa"/>
        </w:trPr>
        <w:tc>
          <w:tcPr>
            <w:tcW w:w="0" w:type="auto"/>
            <w:noWrap w:val="0"/>
            <w:vAlign w:val="center"/>
          </w:tcPr>
          <w:p w14:paraId="71E6740D">
            <w:r>
              <w:rPr>
                <w:rStyle w:val="10"/>
                <w:rFonts w:hint="eastAsia"/>
              </w:rPr>
              <w:t>农药名称：</w:t>
            </w:r>
            <w:r>
              <w:rPr>
                <w:rFonts w:hint="eastAsia"/>
              </w:rPr>
              <w:t>滴酸·草甘膦</w:t>
            </w:r>
          </w:p>
        </w:tc>
      </w:tr>
      <w:tr w14:paraId="610B5AEE">
        <w:tblPrEx>
          <w:tblCellMar>
            <w:top w:w="0" w:type="dxa"/>
            <w:left w:w="0" w:type="dxa"/>
            <w:bottom w:w="0" w:type="dxa"/>
            <w:right w:w="0" w:type="dxa"/>
          </w:tblCellMar>
        </w:tblPrEx>
        <w:trPr>
          <w:wBefore w:w="0" w:type="auto"/>
          <w:tblCellSpacing w:w="0" w:type="dxa"/>
        </w:trPr>
        <w:tc>
          <w:tcPr>
            <w:tcW w:w="0" w:type="auto"/>
            <w:noWrap w:val="0"/>
            <w:vAlign w:val="center"/>
          </w:tcPr>
          <w:p w14:paraId="33299145">
            <w:r>
              <w:rPr>
                <w:rStyle w:val="10"/>
                <w:rFonts w:hint="eastAsia"/>
              </w:rPr>
              <w:t>剂型：</w:t>
            </w:r>
            <w:r>
              <w:rPr>
                <w:rFonts w:hint="eastAsia"/>
              </w:rPr>
              <w:t>可溶液剂</w:t>
            </w:r>
          </w:p>
        </w:tc>
      </w:tr>
      <w:tr w14:paraId="09DE13E3">
        <w:tblPrEx>
          <w:tblCellMar>
            <w:top w:w="0" w:type="dxa"/>
            <w:left w:w="0" w:type="dxa"/>
            <w:bottom w:w="0" w:type="dxa"/>
            <w:right w:w="0" w:type="dxa"/>
          </w:tblCellMar>
        </w:tblPrEx>
        <w:trPr>
          <w:wBefore w:w="0" w:type="auto"/>
          <w:tblCellSpacing w:w="0" w:type="dxa"/>
        </w:trPr>
        <w:tc>
          <w:tcPr>
            <w:tcW w:w="0" w:type="auto"/>
            <w:noWrap w:val="0"/>
            <w:vAlign w:val="center"/>
          </w:tcPr>
          <w:p w14:paraId="4F4E5406">
            <w:r>
              <w:rPr>
                <w:rStyle w:val="10"/>
                <w:rFonts w:hint="eastAsia"/>
              </w:rPr>
              <w:t>毒性及其标识：</w:t>
            </w:r>
            <w:r>
              <w:rPr>
                <w:rFonts w:hint="eastAsia"/>
              </w:rPr>
              <w:t xml:space="preserve"> </w:t>
            </w:r>
            <w:r>
              <w:rPr>
                <w:lang/>
              </w:rPr>
              <w:drawing>
                <wp:inline distT="0" distB="0" distL="114300" distR="114300">
                  <wp:extent cx="476250" cy="323850"/>
                  <wp:effectExtent l="0" t="0" r="0" b="0"/>
                  <wp:docPr id="374" name="图片 37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DD98A89">
        <w:tblPrEx>
          <w:tblCellMar>
            <w:top w:w="0" w:type="dxa"/>
            <w:left w:w="0" w:type="dxa"/>
            <w:bottom w:w="0" w:type="dxa"/>
            <w:right w:w="0" w:type="dxa"/>
          </w:tblCellMar>
        </w:tblPrEx>
        <w:trPr>
          <w:wBefore w:w="0" w:type="auto"/>
          <w:tblCellSpacing w:w="0" w:type="dxa"/>
        </w:trPr>
        <w:tc>
          <w:tcPr>
            <w:tcW w:w="0" w:type="auto"/>
            <w:noWrap w:val="0"/>
            <w:vAlign w:val="center"/>
          </w:tcPr>
          <w:p w14:paraId="542F06D6">
            <w:r>
              <w:rPr>
                <w:rStyle w:val="10"/>
                <w:rFonts w:hint="eastAsia"/>
              </w:rPr>
              <w:t>总有效成分含量：</w:t>
            </w:r>
            <w:r>
              <w:rPr>
                <w:rFonts w:hint="eastAsia"/>
              </w:rPr>
              <w:t>32%</w:t>
            </w:r>
          </w:p>
        </w:tc>
      </w:tr>
      <w:tr w14:paraId="695ACB47">
        <w:tblPrEx>
          <w:tblCellMar>
            <w:top w:w="0" w:type="dxa"/>
            <w:left w:w="0" w:type="dxa"/>
            <w:bottom w:w="0" w:type="dxa"/>
            <w:right w:w="0" w:type="dxa"/>
          </w:tblCellMar>
        </w:tblPrEx>
        <w:trPr>
          <w:wBefore w:w="0" w:type="auto"/>
          <w:tblCellSpacing w:w="0" w:type="dxa"/>
        </w:trPr>
        <w:tc>
          <w:tcPr>
            <w:tcW w:w="0" w:type="auto"/>
            <w:noWrap w:val="0"/>
            <w:vAlign w:val="center"/>
          </w:tcPr>
          <w:p w14:paraId="14CB0F96">
            <w:r>
              <w:rPr>
                <w:rFonts w:hint="eastAsia"/>
              </w:rPr>
              <w:t xml:space="preserve">有效成分及其含量： </w:t>
            </w:r>
          </w:p>
          <w:p w14:paraId="3B796F8B">
            <w:r>
              <w:rPr>
                <w:rFonts w:hint="eastAsia"/>
              </w:rPr>
              <w:t xml:space="preserve">    2,4-滴2%    草甘膦30%    </w:t>
            </w:r>
          </w:p>
        </w:tc>
      </w:tr>
      <w:tr w14:paraId="108E3E13">
        <w:tblPrEx>
          <w:tblCellMar>
            <w:top w:w="0" w:type="dxa"/>
            <w:left w:w="0" w:type="dxa"/>
            <w:bottom w:w="0" w:type="dxa"/>
            <w:right w:w="0" w:type="dxa"/>
          </w:tblCellMar>
        </w:tblPrEx>
        <w:trPr>
          <w:wBefore w:w="0" w:type="auto"/>
          <w:tblCellSpacing w:w="0" w:type="dxa"/>
        </w:trPr>
        <w:tc>
          <w:tcPr>
            <w:tcW w:w="0" w:type="auto"/>
            <w:noWrap w:val="0"/>
            <w:vAlign w:val="center"/>
          </w:tcPr>
          <w:p w14:paraId="12EBC57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5D2B7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E85DEA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44C828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69630C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81FE1FD">
                  <w:r>
                    <w:rPr>
                      <w:rStyle w:val="11"/>
                      <w:rFonts w:hint="eastAsia"/>
                    </w:rPr>
                    <w:t>施用方式</w:t>
                  </w:r>
                </w:p>
              </w:tc>
            </w:tr>
            <w:tr w14:paraId="499365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65088D0">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9580AE">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CA0DE6">
                  <w:r>
                    <w:rPr>
                      <w:rStyle w:val="11"/>
                      <w:rFonts w:hint="eastAsia"/>
                    </w:rPr>
                    <w:t>250-500毫升/亩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7B2F71">
                  <w:r>
                    <w:rPr>
                      <w:rStyle w:val="11"/>
                      <w:rFonts w:hint="eastAsia"/>
                    </w:rPr>
                    <w:t>茎叶喷雾</w:t>
                  </w:r>
                </w:p>
              </w:tc>
            </w:tr>
          </w:tbl>
          <w:p w14:paraId="5EA369B5">
            <w:pPr>
              <w:rPr>
                <w:rFonts w:ascii="Times New Roman" w:hAnsi="Times New Roman" w:cs="Times New Roman"/>
                <w:sz w:val="20"/>
                <w:szCs w:val="20"/>
              </w:rPr>
            </w:pPr>
          </w:p>
        </w:tc>
      </w:tr>
      <w:tr w14:paraId="73A29821">
        <w:tblPrEx>
          <w:tblCellMar>
            <w:top w:w="0" w:type="dxa"/>
            <w:left w:w="0" w:type="dxa"/>
            <w:bottom w:w="0" w:type="dxa"/>
            <w:right w:w="0" w:type="dxa"/>
          </w:tblCellMar>
        </w:tblPrEx>
        <w:trPr>
          <w:wBefore w:w="0" w:type="auto"/>
          <w:tblCellSpacing w:w="0" w:type="dxa"/>
        </w:trPr>
        <w:tc>
          <w:tcPr>
            <w:tcW w:w="0" w:type="auto"/>
            <w:noWrap w:val="0"/>
            <w:vAlign w:val="center"/>
          </w:tcPr>
          <w:p w14:paraId="02A7C31F">
            <w:r>
              <w:rPr>
                <w:rStyle w:val="10"/>
                <w:rFonts w:hint="eastAsia"/>
              </w:rPr>
              <w:t>使用技术要求:</w:t>
            </w:r>
            <w:r>
              <w:rPr>
                <w:rFonts w:hint="eastAsia"/>
              </w:rPr>
              <w:br w:type="textWrapping"/>
            </w:r>
            <w:r>
              <w:rPr>
                <w:rStyle w:val="11"/>
                <w:rFonts w:hint="eastAsia"/>
              </w:rPr>
              <w:t>1.杂草旺盛生长为适宜施药时期，应选择晴天无风天气施药。 2.大风或预计1小时内降雨，请勿施药。3.禁止在田间道路、田埂、果树行间、休耕地、林场林地等农林业区域使用。</w:t>
            </w:r>
          </w:p>
        </w:tc>
      </w:tr>
      <w:tr w14:paraId="5302601E">
        <w:tblPrEx>
          <w:tblCellMar>
            <w:top w:w="0" w:type="dxa"/>
            <w:left w:w="0" w:type="dxa"/>
            <w:bottom w:w="0" w:type="dxa"/>
            <w:right w:w="0" w:type="dxa"/>
          </w:tblCellMar>
        </w:tblPrEx>
        <w:trPr>
          <w:wBefore w:w="0" w:type="auto"/>
          <w:tblCellSpacing w:w="0" w:type="dxa"/>
        </w:trPr>
        <w:tc>
          <w:tcPr>
            <w:tcW w:w="0" w:type="auto"/>
            <w:noWrap w:val="0"/>
            <w:vAlign w:val="center"/>
          </w:tcPr>
          <w:p w14:paraId="42BB5E1A">
            <w:r>
              <w:rPr>
                <w:rStyle w:val="10"/>
                <w:rFonts w:hint="eastAsia"/>
              </w:rPr>
              <w:t>产品性能:</w:t>
            </w:r>
            <w:r>
              <w:rPr>
                <w:rFonts w:hint="eastAsia"/>
              </w:rPr>
              <w:br w:type="textWrapping"/>
            </w:r>
            <w:r>
              <w:rPr>
                <w:rStyle w:val="11"/>
                <w:rFonts w:hint="eastAsia"/>
              </w:rPr>
              <w:t>本品是由2，4-滴钠盐和草甘膦铵盐混配而成的灭生性除草剂，兼具选择性药剂和灭生性除草剂特点，内吸性强，能有效防除单子叶和双子叶、一年生杂草。</w:t>
            </w:r>
          </w:p>
        </w:tc>
      </w:tr>
      <w:tr w14:paraId="1EE40C88">
        <w:tblPrEx>
          <w:tblCellMar>
            <w:top w:w="0" w:type="dxa"/>
            <w:left w:w="0" w:type="dxa"/>
            <w:bottom w:w="0" w:type="dxa"/>
            <w:right w:w="0" w:type="dxa"/>
          </w:tblCellMar>
        </w:tblPrEx>
        <w:trPr>
          <w:wBefore w:w="0" w:type="auto"/>
          <w:tblCellSpacing w:w="0" w:type="dxa"/>
        </w:trPr>
        <w:tc>
          <w:tcPr>
            <w:tcW w:w="0" w:type="auto"/>
            <w:noWrap w:val="0"/>
            <w:vAlign w:val="center"/>
          </w:tcPr>
          <w:p w14:paraId="2DB002E1">
            <w:r>
              <w:rPr>
                <w:rStyle w:val="10"/>
                <w:rFonts w:hint="eastAsia"/>
              </w:rPr>
              <w:t>注意事项：</w:t>
            </w:r>
            <w:r>
              <w:rPr>
                <w:rFonts w:hint="eastAsia"/>
              </w:rPr>
              <w:br w:type="textWrapping"/>
            </w:r>
            <w:r>
              <w:rPr>
                <w:rStyle w:val="11"/>
                <w:rFonts w:hint="eastAsia"/>
              </w:rPr>
              <w:t>1.本品为非选择性除草剂,因此施药时应防止药液飘移到邻近的作物田，以免产生药害。 2.用药时应穿戴好手套、口罩防护服等，此时不能饮食、吸烟等；施药后洗干净手脸等。 3、在无风或微风的晴天施药，勿使用高压喷头和弥雾机施药。4、喷雾器必须专用。清洗器具的废水，不能排入河流、池塘等水源；废弃物应妥善处理，不可他用。 5、孕妇和哺乳期妇女禁止接触本品。7、水产养殖区、河塘等水体附近禁用，禁止在河塘等水域清洗施药器具。</w:t>
            </w:r>
          </w:p>
        </w:tc>
      </w:tr>
      <w:tr w14:paraId="5483C885">
        <w:tblPrEx>
          <w:tblCellMar>
            <w:top w:w="0" w:type="dxa"/>
            <w:left w:w="0" w:type="dxa"/>
            <w:bottom w:w="0" w:type="dxa"/>
            <w:right w:w="0" w:type="dxa"/>
          </w:tblCellMar>
        </w:tblPrEx>
        <w:trPr>
          <w:wBefore w:w="0" w:type="auto"/>
          <w:tblCellSpacing w:w="0" w:type="dxa"/>
        </w:trPr>
        <w:tc>
          <w:tcPr>
            <w:tcW w:w="0" w:type="auto"/>
            <w:noWrap w:val="0"/>
            <w:vAlign w:val="center"/>
          </w:tcPr>
          <w:p w14:paraId="2C623025">
            <w:r>
              <w:rPr>
                <w:rStyle w:val="10"/>
                <w:rFonts w:hint="eastAsia"/>
              </w:rPr>
              <w:t>中毒急救措施：</w:t>
            </w:r>
            <w:r>
              <w:rPr>
                <w:rFonts w:hint="eastAsia"/>
              </w:rPr>
              <w:br w:type="textWrapping"/>
            </w:r>
            <w:r>
              <w:rPr>
                <w:rStyle w:val="11"/>
                <w:rFonts w:hint="eastAsia"/>
              </w:rPr>
              <w:t>不慎吸入，应将病人移至空气流通处。溅入眼睛中，用大量清水冲洗至少15分钟，仍有不适时，立即就医。皮肤接触，用清水及肥皂洗干净。如发生误服，及时携标签将病人送医院对症治疗，可用吐根糖浆诱吐。无特效解毒剂。</w:t>
            </w:r>
          </w:p>
        </w:tc>
      </w:tr>
      <w:tr w14:paraId="3576FEDD">
        <w:tblPrEx>
          <w:tblCellMar>
            <w:top w:w="0" w:type="dxa"/>
            <w:left w:w="0" w:type="dxa"/>
            <w:bottom w:w="0" w:type="dxa"/>
            <w:right w:w="0" w:type="dxa"/>
          </w:tblCellMar>
        </w:tblPrEx>
        <w:trPr>
          <w:wBefore w:w="0" w:type="auto"/>
          <w:tblCellSpacing w:w="0" w:type="dxa"/>
        </w:trPr>
        <w:tc>
          <w:tcPr>
            <w:tcW w:w="0" w:type="auto"/>
            <w:noWrap w:val="0"/>
            <w:vAlign w:val="center"/>
          </w:tcPr>
          <w:p w14:paraId="28B023B3">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本品应贮存在干燥、阴凉、通风、防雨处，远离火源或热源。置于儿童触及不到之处，并加锁。勿与食品、饮料、粮食、饲料等其他商品同贮同运。</w:t>
            </w:r>
          </w:p>
        </w:tc>
      </w:tr>
      <w:tr w14:paraId="1B7BE74C">
        <w:tblPrEx>
          <w:tblCellMar>
            <w:top w:w="0" w:type="dxa"/>
            <w:left w:w="0" w:type="dxa"/>
            <w:bottom w:w="0" w:type="dxa"/>
            <w:right w:w="0" w:type="dxa"/>
          </w:tblCellMar>
        </w:tblPrEx>
        <w:trPr>
          <w:wBefore w:w="0" w:type="auto"/>
          <w:tblCellSpacing w:w="0" w:type="dxa"/>
        </w:trPr>
        <w:tc>
          <w:tcPr>
            <w:tcW w:w="0" w:type="auto"/>
            <w:noWrap w:val="0"/>
            <w:vAlign w:val="center"/>
          </w:tcPr>
          <w:p w14:paraId="5794F509">
            <w:r>
              <w:rPr>
                <w:rStyle w:val="10"/>
                <w:rFonts w:hint="eastAsia"/>
              </w:rPr>
              <w:t>质量保证期：</w:t>
            </w:r>
            <w:r>
              <w:rPr>
                <w:rStyle w:val="11"/>
                <w:rFonts w:hint="eastAsia"/>
              </w:rPr>
              <w:t>2年</w:t>
            </w:r>
          </w:p>
        </w:tc>
      </w:tr>
      <w:tr w14:paraId="2490C6E8">
        <w:tblPrEx>
          <w:tblCellMar>
            <w:top w:w="0" w:type="dxa"/>
            <w:left w:w="0" w:type="dxa"/>
            <w:bottom w:w="0" w:type="dxa"/>
            <w:right w:w="0" w:type="dxa"/>
          </w:tblCellMar>
        </w:tblPrEx>
        <w:trPr>
          <w:wBefore w:w="0" w:type="auto"/>
          <w:tblCellSpacing w:w="0" w:type="dxa"/>
        </w:trPr>
        <w:tc>
          <w:tcPr>
            <w:tcW w:w="0" w:type="auto"/>
            <w:noWrap w:val="0"/>
            <w:vAlign w:val="center"/>
          </w:tcPr>
          <w:p w14:paraId="3345145C">
            <w:r>
              <w:rPr>
                <w:rStyle w:val="10"/>
                <w:rFonts w:hint="eastAsia"/>
              </w:rPr>
              <w:t>备注：</w:t>
            </w:r>
            <w:r>
              <w:rPr>
                <w:rFonts w:hint="eastAsia"/>
              </w:rPr>
              <w:br w:type="textWrapping"/>
            </w:r>
            <w:r>
              <w:rPr>
                <w:rStyle w:val="11"/>
                <w:rFonts w:hint="eastAsia"/>
              </w:rPr>
              <w:t>2.4-滴钠盐2.2%，草甘膦铵盐33%。</w:t>
            </w:r>
          </w:p>
        </w:tc>
      </w:tr>
    </w:tbl>
    <w:p w14:paraId="5707BE7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7EE49D">
        <w:tblPrEx>
          <w:tblCellMar>
            <w:top w:w="0" w:type="dxa"/>
            <w:left w:w="0" w:type="dxa"/>
            <w:bottom w:w="0" w:type="dxa"/>
            <w:right w:w="0" w:type="dxa"/>
          </w:tblCellMar>
        </w:tblPrEx>
        <w:trPr>
          <w:wBefore w:w="0" w:type="auto"/>
          <w:tblCellSpacing w:w="0" w:type="dxa"/>
        </w:trPr>
        <w:tc>
          <w:tcPr>
            <w:tcW w:w="0" w:type="auto"/>
            <w:noWrap w:val="0"/>
            <w:vAlign w:val="center"/>
          </w:tcPr>
          <w:p w14:paraId="35D53651">
            <w:r>
              <w:rPr>
                <w:rStyle w:val="10"/>
                <w:rFonts w:hint="eastAsia"/>
              </w:rPr>
              <w:t>登记证号：</w:t>
            </w:r>
            <w:r>
              <w:rPr>
                <w:rFonts w:hint="eastAsia"/>
              </w:rPr>
              <w:t>PD20211747</w:t>
            </w:r>
          </w:p>
        </w:tc>
      </w:tr>
      <w:tr w14:paraId="641B6E36">
        <w:tblPrEx>
          <w:tblCellMar>
            <w:top w:w="0" w:type="dxa"/>
            <w:left w:w="0" w:type="dxa"/>
            <w:bottom w:w="0" w:type="dxa"/>
            <w:right w:w="0" w:type="dxa"/>
          </w:tblCellMar>
        </w:tblPrEx>
        <w:trPr>
          <w:wBefore w:w="0" w:type="auto"/>
          <w:tblCellSpacing w:w="0" w:type="dxa"/>
        </w:trPr>
        <w:tc>
          <w:tcPr>
            <w:tcW w:w="0" w:type="auto"/>
            <w:noWrap w:val="0"/>
            <w:vAlign w:val="center"/>
          </w:tcPr>
          <w:p w14:paraId="6D227560">
            <w:r>
              <w:rPr>
                <w:rStyle w:val="10"/>
                <w:rFonts w:hint="eastAsia"/>
              </w:rPr>
              <w:t>登记证持有人：</w:t>
            </w:r>
            <w:r>
              <w:rPr>
                <w:rFonts w:hint="eastAsia"/>
              </w:rPr>
              <w:t>江西正邦作物保护股份有限公司</w:t>
            </w:r>
          </w:p>
        </w:tc>
      </w:tr>
      <w:tr w14:paraId="4B8C7637">
        <w:tblPrEx>
          <w:tblCellMar>
            <w:top w:w="0" w:type="dxa"/>
            <w:left w:w="0" w:type="dxa"/>
            <w:bottom w:w="0" w:type="dxa"/>
            <w:right w:w="0" w:type="dxa"/>
          </w:tblCellMar>
        </w:tblPrEx>
        <w:trPr>
          <w:wBefore w:w="0" w:type="auto"/>
          <w:tblCellSpacing w:w="0" w:type="dxa"/>
        </w:trPr>
        <w:tc>
          <w:tcPr>
            <w:tcW w:w="0" w:type="auto"/>
            <w:noWrap w:val="0"/>
            <w:vAlign w:val="center"/>
          </w:tcPr>
          <w:p w14:paraId="6010E745">
            <w:r>
              <w:rPr>
                <w:rStyle w:val="10"/>
                <w:rFonts w:hint="eastAsia"/>
              </w:rPr>
              <w:t>农药名称：</w:t>
            </w:r>
            <w:r>
              <w:rPr>
                <w:rFonts w:hint="eastAsia"/>
              </w:rPr>
              <w:t>呋虫胺·高效氟氯氰菊酯</w:t>
            </w:r>
          </w:p>
        </w:tc>
      </w:tr>
      <w:tr w14:paraId="43A8597B">
        <w:tblPrEx>
          <w:tblCellMar>
            <w:top w:w="0" w:type="dxa"/>
            <w:left w:w="0" w:type="dxa"/>
            <w:bottom w:w="0" w:type="dxa"/>
            <w:right w:w="0" w:type="dxa"/>
          </w:tblCellMar>
        </w:tblPrEx>
        <w:trPr>
          <w:wBefore w:w="0" w:type="auto"/>
          <w:tblCellSpacing w:w="0" w:type="dxa"/>
        </w:trPr>
        <w:tc>
          <w:tcPr>
            <w:tcW w:w="0" w:type="auto"/>
            <w:noWrap w:val="0"/>
            <w:vAlign w:val="center"/>
          </w:tcPr>
          <w:p w14:paraId="3F085B72">
            <w:r>
              <w:rPr>
                <w:rStyle w:val="10"/>
                <w:rFonts w:hint="eastAsia"/>
              </w:rPr>
              <w:t>剂型：</w:t>
            </w:r>
            <w:r>
              <w:rPr>
                <w:rFonts w:hint="eastAsia"/>
              </w:rPr>
              <w:t>颗粒剂</w:t>
            </w:r>
          </w:p>
        </w:tc>
      </w:tr>
      <w:tr w14:paraId="6AB82835">
        <w:tblPrEx>
          <w:tblCellMar>
            <w:top w:w="0" w:type="dxa"/>
            <w:left w:w="0" w:type="dxa"/>
            <w:bottom w:w="0" w:type="dxa"/>
            <w:right w:w="0" w:type="dxa"/>
          </w:tblCellMar>
        </w:tblPrEx>
        <w:trPr>
          <w:wBefore w:w="0" w:type="auto"/>
          <w:tblCellSpacing w:w="0" w:type="dxa"/>
        </w:trPr>
        <w:tc>
          <w:tcPr>
            <w:tcW w:w="0" w:type="auto"/>
            <w:noWrap w:val="0"/>
            <w:vAlign w:val="center"/>
          </w:tcPr>
          <w:p w14:paraId="140626AE">
            <w:r>
              <w:rPr>
                <w:rStyle w:val="10"/>
                <w:rFonts w:hint="eastAsia"/>
              </w:rPr>
              <w:t>毒性及其标识：</w:t>
            </w:r>
            <w:r>
              <w:rPr>
                <w:rFonts w:hint="eastAsia"/>
              </w:rPr>
              <w:t xml:space="preserve"> </w:t>
            </w:r>
            <w:r>
              <w:rPr>
                <w:lang/>
              </w:rPr>
              <w:drawing>
                <wp:inline distT="0" distB="0" distL="114300" distR="114300">
                  <wp:extent cx="476250" cy="323850"/>
                  <wp:effectExtent l="0" t="0" r="0" b="0"/>
                  <wp:docPr id="375" name="图片 37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3107215">
        <w:tblPrEx>
          <w:tblCellMar>
            <w:top w:w="0" w:type="dxa"/>
            <w:left w:w="0" w:type="dxa"/>
            <w:bottom w:w="0" w:type="dxa"/>
            <w:right w:w="0" w:type="dxa"/>
          </w:tblCellMar>
        </w:tblPrEx>
        <w:trPr>
          <w:wBefore w:w="0" w:type="auto"/>
          <w:tblCellSpacing w:w="0" w:type="dxa"/>
        </w:trPr>
        <w:tc>
          <w:tcPr>
            <w:tcW w:w="0" w:type="auto"/>
            <w:noWrap w:val="0"/>
            <w:vAlign w:val="center"/>
          </w:tcPr>
          <w:p w14:paraId="3C032D42">
            <w:r>
              <w:rPr>
                <w:rStyle w:val="10"/>
                <w:rFonts w:hint="eastAsia"/>
              </w:rPr>
              <w:t>总有效成分含量：</w:t>
            </w:r>
            <w:r>
              <w:rPr>
                <w:rFonts w:hint="eastAsia"/>
              </w:rPr>
              <w:t>2%</w:t>
            </w:r>
          </w:p>
        </w:tc>
      </w:tr>
      <w:tr w14:paraId="5243A5E1">
        <w:tblPrEx>
          <w:tblCellMar>
            <w:top w:w="0" w:type="dxa"/>
            <w:left w:w="0" w:type="dxa"/>
            <w:bottom w:w="0" w:type="dxa"/>
            <w:right w:w="0" w:type="dxa"/>
          </w:tblCellMar>
        </w:tblPrEx>
        <w:trPr>
          <w:wBefore w:w="0" w:type="auto"/>
          <w:tblCellSpacing w:w="0" w:type="dxa"/>
        </w:trPr>
        <w:tc>
          <w:tcPr>
            <w:tcW w:w="0" w:type="auto"/>
            <w:noWrap w:val="0"/>
            <w:vAlign w:val="center"/>
          </w:tcPr>
          <w:p w14:paraId="35A976E0">
            <w:r>
              <w:rPr>
                <w:rFonts w:hint="eastAsia"/>
              </w:rPr>
              <w:t xml:space="preserve">有效成分及其含量： </w:t>
            </w:r>
          </w:p>
          <w:p w14:paraId="02D03ABF">
            <w:r>
              <w:rPr>
                <w:rFonts w:hint="eastAsia"/>
              </w:rPr>
              <w:t xml:space="preserve">    呋虫胺1%    高效氟氯氰菊酯1%    </w:t>
            </w:r>
          </w:p>
        </w:tc>
      </w:tr>
      <w:tr w14:paraId="4E1ED82E">
        <w:tblPrEx>
          <w:tblCellMar>
            <w:top w:w="0" w:type="dxa"/>
            <w:left w:w="0" w:type="dxa"/>
            <w:bottom w:w="0" w:type="dxa"/>
            <w:right w:w="0" w:type="dxa"/>
          </w:tblCellMar>
        </w:tblPrEx>
        <w:trPr>
          <w:wBefore w:w="0" w:type="auto"/>
          <w:tblCellSpacing w:w="0" w:type="dxa"/>
        </w:trPr>
        <w:tc>
          <w:tcPr>
            <w:tcW w:w="0" w:type="auto"/>
            <w:noWrap w:val="0"/>
            <w:vAlign w:val="center"/>
          </w:tcPr>
          <w:p w14:paraId="2BE79B5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C2A721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1AC5B7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485A38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38104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D84CE7C">
                  <w:r>
                    <w:rPr>
                      <w:rStyle w:val="11"/>
                      <w:rFonts w:hint="eastAsia"/>
                    </w:rPr>
                    <w:t>施用方式</w:t>
                  </w:r>
                </w:p>
              </w:tc>
            </w:tr>
            <w:tr w14:paraId="372773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9346827">
                  <w:r>
                    <w:rPr>
                      <w:rStyle w:val="11"/>
                      <w:rFonts w:hint="eastAsia"/>
                    </w:rPr>
                    <w:t>韭菜(保护地)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4898F7">
                  <w:r>
                    <w:rPr>
                      <w:rStyle w:val="11"/>
                      <w:rFonts w:hint="eastAsia"/>
                    </w:rPr>
                    <w:t>韭蛆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EE4201">
                  <w:r>
                    <w:rPr>
                      <w:rStyle w:val="11"/>
                      <w:rFonts w:hint="eastAsia"/>
                    </w:rPr>
                    <w:t>1000-2000克/亩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F9C91A">
                  <w:r>
                    <w:rPr>
                      <w:rStyle w:val="11"/>
                      <w:rFonts w:hint="eastAsia"/>
                    </w:rPr>
                    <w:t>撒施</w:t>
                  </w:r>
                </w:p>
              </w:tc>
            </w:tr>
          </w:tbl>
          <w:p w14:paraId="6C2F6E61">
            <w:pPr>
              <w:rPr>
                <w:rFonts w:ascii="Times New Roman" w:hAnsi="Times New Roman" w:cs="Times New Roman"/>
                <w:sz w:val="20"/>
                <w:szCs w:val="20"/>
              </w:rPr>
            </w:pPr>
          </w:p>
        </w:tc>
      </w:tr>
      <w:tr w14:paraId="30932234">
        <w:tblPrEx>
          <w:tblCellMar>
            <w:top w:w="0" w:type="dxa"/>
            <w:left w:w="0" w:type="dxa"/>
            <w:bottom w:w="0" w:type="dxa"/>
            <w:right w:w="0" w:type="dxa"/>
          </w:tblCellMar>
        </w:tblPrEx>
        <w:trPr>
          <w:wBefore w:w="0" w:type="auto"/>
          <w:tblCellSpacing w:w="0" w:type="dxa"/>
        </w:trPr>
        <w:tc>
          <w:tcPr>
            <w:tcW w:w="0" w:type="auto"/>
            <w:noWrap w:val="0"/>
            <w:vAlign w:val="center"/>
          </w:tcPr>
          <w:p w14:paraId="255F14AD">
            <w:r>
              <w:rPr>
                <w:rStyle w:val="10"/>
                <w:rFonts w:hint="eastAsia"/>
              </w:rPr>
              <w:t>使用技术要求:</w:t>
            </w:r>
            <w:r>
              <w:rPr>
                <w:rFonts w:hint="eastAsia"/>
              </w:rPr>
              <w:br w:type="textWrapping"/>
            </w:r>
            <w:r>
              <w:rPr>
                <w:rStyle w:val="11"/>
                <w:rFonts w:hint="eastAsia"/>
              </w:rPr>
              <w:t>1.于韭菜韭蛆发生初期用药。2.大风天或预计1小时内降雨，请勿施药。3.本品在韭菜上使用时的安全间隔期为10天，每季作物最多使用1次。</w:t>
            </w:r>
          </w:p>
        </w:tc>
      </w:tr>
      <w:tr w14:paraId="5759919C">
        <w:tblPrEx>
          <w:tblCellMar>
            <w:top w:w="0" w:type="dxa"/>
            <w:left w:w="0" w:type="dxa"/>
            <w:bottom w:w="0" w:type="dxa"/>
            <w:right w:w="0" w:type="dxa"/>
          </w:tblCellMar>
        </w:tblPrEx>
        <w:trPr>
          <w:wBefore w:w="0" w:type="auto"/>
          <w:tblCellSpacing w:w="0" w:type="dxa"/>
        </w:trPr>
        <w:tc>
          <w:tcPr>
            <w:tcW w:w="0" w:type="auto"/>
            <w:noWrap w:val="0"/>
            <w:vAlign w:val="center"/>
          </w:tcPr>
          <w:p w14:paraId="74012D06">
            <w:r>
              <w:rPr>
                <w:rStyle w:val="10"/>
                <w:rFonts w:hint="eastAsia"/>
              </w:rPr>
              <w:t>产品性能:</w:t>
            </w:r>
            <w:r>
              <w:rPr>
                <w:rFonts w:hint="eastAsia"/>
              </w:rPr>
              <w:br w:type="textWrapping"/>
            </w:r>
            <w:r>
              <w:rPr>
                <w:rStyle w:val="11"/>
                <w:rFonts w:hint="eastAsia"/>
              </w:rPr>
              <w:t xml:space="preserve">本品由高效氟氯氰菊酯和呋虫胺复配而成。高效氟氯氰菊酯属钠离子通道抑制剂，通过阻断神经细胞中的钠离子通道，使神经细胞丧失功能，导致靶标害虫麻痹、协调差，最终死亡，具有触杀和胃毒作用，无内吸作用。呋虫胺是第三代烟碱类杀虫剂，是通过作用于昆虫神经传递系统和具有触杀、胃毒作用的杀虫剂，可以快速被植物吸收并广泛分布于作物体内。呋虫胺是烟碱乙酰胆碱受体的兴奋剂，可影响昆虫中枢神经系统的突触。二者混配，对韭菜韭蛆有较好防效。 </w:t>
            </w:r>
          </w:p>
        </w:tc>
      </w:tr>
      <w:tr w14:paraId="164A39FA">
        <w:tblPrEx>
          <w:tblCellMar>
            <w:top w:w="0" w:type="dxa"/>
            <w:left w:w="0" w:type="dxa"/>
            <w:bottom w:w="0" w:type="dxa"/>
            <w:right w:w="0" w:type="dxa"/>
          </w:tblCellMar>
        </w:tblPrEx>
        <w:trPr>
          <w:wBefore w:w="0" w:type="auto"/>
          <w:tblCellSpacing w:w="0" w:type="dxa"/>
        </w:trPr>
        <w:tc>
          <w:tcPr>
            <w:tcW w:w="0" w:type="auto"/>
            <w:noWrap w:val="0"/>
            <w:vAlign w:val="center"/>
          </w:tcPr>
          <w:p w14:paraId="7EB7668C">
            <w:r>
              <w:rPr>
                <w:rStyle w:val="10"/>
                <w:rFonts w:hint="eastAsia"/>
              </w:rPr>
              <w:t>注意事项：</w:t>
            </w:r>
            <w:r>
              <w:rPr>
                <w:rFonts w:hint="eastAsia"/>
              </w:rPr>
              <w:br w:type="textWrapping"/>
            </w:r>
            <w:r>
              <w:rPr>
                <w:rStyle w:val="11"/>
                <w:rFonts w:hint="eastAsia"/>
              </w:rPr>
              <w:t>1.严格按规定用药量和方法使用。2.本品不可与碱性农药等物质混用。 3.建议与其他作用机制不同的杀虫剂轮换使用，以延缓抗性产生。4. 远离水产养殖区、河塘等水体施药；禁止在河塘等水体中清洗施药器具； 鸟类保护区附近禁用； (周围)开花植物花期禁用，使用时应密切关注对附近蜂群的影响。5.本品对眼睛有刺激性，使用时应穿长衣长裤、靴子，戴帽子、护目镜、口罩、手套等防护用具；施药期间不可吃东西、饮水、吸烟等；施药后应及时洗手、洗脸并洗涤施药时穿着的衣物。6.用过的容器和废弃包装应妥善处理，不可随意丢弃或作他用。 7. 孕妇及哺乳期妇女禁止接触本品。</w:t>
            </w:r>
          </w:p>
        </w:tc>
      </w:tr>
      <w:tr w14:paraId="317FD88B">
        <w:tblPrEx>
          <w:tblCellMar>
            <w:top w:w="0" w:type="dxa"/>
            <w:left w:w="0" w:type="dxa"/>
            <w:bottom w:w="0" w:type="dxa"/>
            <w:right w:w="0" w:type="dxa"/>
          </w:tblCellMar>
        </w:tblPrEx>
        <w:trPr>
          <w:wBefore w:w="0" w:type="auto"/>
          <w:tblCellSpacing w:w="0" w:type="dxa"/>
        </w:trPr>
        <w:tc>
          <w:tcPr>
            <w:tcW w:w="0" w:type="auto"/>
            <w:noWrap w:val="0"/>
            <w:vAlign w:val="center"/>
          </w:tcPr>
          <w:p w14:paraId="170CED2D">
            <w:r>
              <w:rPr>
                <w:rStyle w:val="10"/>
                <w:rFonts w:hint="eastAsia"/>
              </w:rPr>
              <w:t>中毒急救措施：</w:t>
            </w:r>
            <w:r>
              <w:rPr>
                <w:rFonts w:hint="eastAsia"/>
              </w:rPr>
              <w:br w:type="textWrapping"/>
            </w:r>
            <w:r>
              <w:rPr>
                <w:rStyle w:val="11"/>
                <w:rFonts w:hint="eastAsia"/>
              </w:rPr>
              <w:t xml:space="preserve">使用中或使用后如果感觉不适，应立即停止工作，采取急救措施，并携带标签送医院就诊。皮肤接触：脱去污染的衣物，立即用肥皂和大量清水彻底冲洗受污染的皮肤15-20分钟。必要时请医生诊治。眼睛接触：提起眼睑，用流动清水冲洗15-20分钟，再请医生诊治。吸入：迅速脱离现场至空气新鲜处。保持呼吸道通畅。如呼吸困难，给输氧。如呼吸停止，立即进行人工呼吸。注意保暖和休息。速请医生诊治。食入：无专用解毒剂。如误食，立即携此标签，送医就诊。 </w:t>
            </w:r>
          </w:p>
        </w:tc>
      </w:tr>
      <w:tr w14:paraId="68602E1A">
        <w:tblPrEx>
          <w:tblCellMar>
            <w:top w:w="0" w:type="dxa"/>
            <w:left w:w="0" w:type="dxa"/>
            <w:bottom w:w="0" w:type="dxa"/>
            <w:right w:w="0" w:type="dxa"/>
          </w:tblCellMar>
        </w:tblPrEx>
        <w:trPr>
          <w:wBefore w:w="0" w:type="auto"/>
          <w:tblCellSpacing w:w="0" w:type="dxa"/>
        </w:trPr>
        <w:tc>
          <w:tcPr>
            <w:tcW w:w="0" w:type="auto"/>
            <w:noWrap w:val="0"/>
            <w:vAlign w:val="center"/>
          </w:tcPr>
          <w:p w14:paraId="25031892">
            <w:r>
              <w:rPr>
                <w:rStyle w:val="10"/>
                <w:rFonts w:hint="eastAsia"/>
              </w:rPr>
              <w:t>储存和运输方法：</w:t>
            </w:r>
            <w:r>
              <w:rPr>
                <w:rFonts w:hint="eastAsia"/>
              </w:rPr>
              <w:br w:type="textWrapping"/>
            </w:r>
            <w:r>
              <w:rPr>
                <w:rStyle w:val="11"/>
                <w:rFonts w:hint="eastAsia"/>
              </w:rPr>
              <w:t xml:space="preserve">应贮存在干燥、阴凉、通风、防雨处。置于儿童、无关人员及动物接触不到的地方，并加锁保存。勿与食品、化肥、饲料、饮料、种子等其他商品同贮同运。 </w:t>
            </w:r>
          </w:p>
        </w:tc>
      </w:tr>
      <w:tr w14:paraId="2B6C6980">
        <w:tblPrEx>
          <w:tblCellMar>
            <w:top w:w="0" w:type="dxa"/>
            <w:left w:w="0" w:type="dxa"/>
            <w:bottom w:w="0" w:type="dxa"/>
            <w:right w:w="0" w:type="dxa"/>
          </w:tblCellMar>
        </w:tblPrEx>
        <w:trPr>
          <w:wBefore w:w="0" w:type="auto"/>
          <w:tblCellSpacing w:w="0" w:type="dxa"/>
        </w:trPr>
        <w:tc>
          <w:tcPr>
            <w:tcW w:w="0" w:type="auto"/>
            <w:noWrap w:val="0"/>
            <w:vAlign w:val="center"/>
          </w:tcPr>
          <w:p w14:paraId="118B8D60">
            <w:r>
              <w:rPr>
                <w:rStyle w:val="10"/>
                <w:rFonts w:hint="eastAsia"/>
              </w:rPr>
              <w:t>质量保证期：</w:t>
            </w:r>
            <w:r>
              <w:rPr>
                <w:rStyle w:val="11"/>
                <w:rFonts w:hint="eastAsia"/>
              </w:rPr>
              <w:t>2年</w:t>
            </w:r>
          </w:p>
        </w:tc>
      </w:tr>
      <w:tr w14:paraId="734CCB61">
        <w:tblPrEx>
          <w:tblCellMar>
            <w:top w:w="0" w:type="dxa"/>
            <w:left w:w="0" w:type="dxa"/>
            <w:bottom w:w="0" w:type="dxa"/>
            <w:right w:w="0" w:type="dxa"/>
          </w:tblCellMar>
        </w:tblPrEx>
        <w:trPr>
          <w:wBefore w:w="0" w:type="auto"/>
          <w:tblCellSpacing w:w="0" w:type="dxa"/>
        </w:trPr>
        <w:tc>
          <w:tcPr>
            <w:tcW w:w="0" w:type="auto"/>
            <w:noWrap w:val="0"/>
            <w:vAlign w:val="center"/>
          </w:tcPr>
          <w:p w14:paraId="7DEC45F8">
            <w:r>
              <w:rPr>
                <w:rStyle w:val="10"/>
                <w:rFonts w:hint="eastAsia"/>
              </w:rPr>
              <w:t>备注：</w:t>
            </w:r>
          </w:p>
        </w:tc>
      </w:tr>
    </w:tbl>
    <w:p w14:paraId="64B6585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F79CD5E">
        <w:tblPrEx>
          <w:tblCellMar>
            <w:top w:w="0" w:type="dxa"/>
            <w:left w:w="0" w:type="dxa"/>
            <w:bottom w:w="0" w:type="dxa"/>
            <w:right w:w="0" w:type="dxa"/>
          </w:tblCellMar>
        </w:tblPrEx>
        <w:trPr>
          <w:wBefore w:w="0" w:type="auto"/>
          <w:tblCellSpacing w:w="0" w:type="dxa"/>
        </w:trPr>
        <w:tc>
          <w:tcPr>
            <w:tcW w:w="0" w:type="auto"/>
            <w:noWrap w:val="0"/>
            <w:vAlign w:val="center"/>
          </w:tcPr>
          <w:p w14:paraId="4AF9FE74">
            <w:r>
              <w:rPr>
                <w:rStyle w:val="10"/>
                <w:rFonts w:hint="eastAsia"/>
              </w:rPr>
              <w:t>登记证号：</w:t>
            </w:r>
            <w:r>
              <w:rPr>
                <w:rFonts w:hint="eastAsia"/>
              </w:rPr>
              <w:t>PD20211866</w:t>
            </w:r>
          </w:p>
        </w:tc>
      </w:tr>
      <w:tr w14:paraId="2F51B0B3">
        <w:tblPrEx>
          <w:tblCellMar>
            <w:top w:w="0" w:type="dxa"/>
            <w:left w:w="0" w:type="dxa"/>
            <w:bottom w:w="0" w:type="dxa"/>
            <w:right w:w="0" w:type="dxa"/>
          </w:tblCellMar>
        </w:tblPrEx>
        <w:trPr>
          <w:wBefore w:w="0" w:type="auto"/>
          <w:tblCellSpacing w:w="0" w:type="dxa"/>
        </w:trPr>
        <w:tc>
          <w:tcPr>
            <w:tcW w:w="0" w:type="auto"/>
            <w:noWrap w:val="0"/>
            <w:vAlign w:val="center"/>
          </w:tcPr>
          <w:p w14:paraId="645DAF7C">
            <w:r>
              <w:rPr>
                <w:rStyle w:val="10"/>
                <w:rFonts w:hint="eastAsia"/>
              </w:rPr>
              <w:t>登记证持有人：</w:t>
            </w:r>
            <w:r>
              <w:rPr>
                <w:rFonts w:hint="eastAsia"/>
              </w:rPr>
              <w:t>山东省济宁市通达化工厂</w:t>
            </w:r>
          </w:p>
        </w:tc>
      </w:tr>
      <w:tr w14:paraId="1B39EF0D">
        <w:tblPrEx>
          <w:tblCellMar>
            <w:top w:w="0" w:type="dxa"/>
            <w:left w:w="0" w:type="dxa"/>
            <w:bottom w:w="0" w:type="dxa"/>
            <w:right w:w="0" w:type="dxa"/>
          </w:tblCellMar>
        </w:tblPrEx>
        <w:trPr>
          <w:wBefore w:w="0" w:type="auto"/>
          <w:tblCellSpacing w:w="0" w:type="dxa"/>
        </w:trPr>
        <w:tc>
          <w:tcPr>
            <w:tcW w:w="0" w:type="auto"/>
            <w:noWrap w:val="0"/>
            <w:vAlign w:val="center"/>
          </w:tcPr>
          <w:p w14:paraId="08272275">
            <w:r>
              <w:rPr>
                <w:rStyle w:val="10"/>
                <w:rFonts w:hint="eastAsia"/>
              </w:rPr>
              <w:t>农药名称：</w:t>
            </w:r>
            <w:r>
              <w:rPr>
                <w:rFonts w:hint="eastAsia"/>
              </w:rPr>
              <w:t>噻虫胺</w:t>
            </w:r>
          </w:p>
        </w:tc>
      </w:tr>
      <w:tr w14:paraId="62073984">
        <w:tblPrEx>
          <w:tblCellMar>
            <w:top w:w="0" w:type="dxa"/>
            <w:left w:w="0" w:type="dxa"/>
            <w:bottom w:w="0" w:type="dxa"/>
            <w:right w:w="0" w:type="dxa"/>
          </w:tblCellMar>
        </w:tblPrEx>
        <w:trPr>
          <w:wBefore w:w="0" w:type="auto"/>
          <w:tblCellSpacing w:w="0" w:type="dxa"/>
        </w:trPr>
        <w:tc>
          <w:tcPr>
            <w:tcW w:w="0" w:type="auto"/>
            <w:noWrap w:val="0"/>
            <w:vAlign w:val="center"/>
          </w:tcPr>
          <w:p w14:paraId="6DFACA7D">
            <w:r>
              <w:rPr>
                <w:rStyle w:val="10"/>
                <w:rFonts w:hint="eastAsia"/>
              </w:rPr>
              <w:t>剂型：</w:t>
            </w:r>
            <w:r>
              <w:rPr>
                <w:rFonts w:hint="eastAsia"/>
              </w:rPr>
              <w:t>颗粒剂</w:t>
            </w:r>
          </w:p>
        </w:tc>
      </w:tr>
      <w:tr w14:paraId="0450B525">
        <w:tblPrEx>
          <w:tblCellMar>
            <w:top w:w="0" w:type="dxa"/>
            <w:left w:w="0" w:type="dxa"/>
            <w:bottom w:w="0" w:type="dxa"/>
            <w:right w:w="0" w:type="dxa"/>
          </w:tblCellMar>
        </w:tblPrEx>
        <w:trPr>
          <w:wBefore w:w="0" w:type="auto"/>
          <w:tblCellSpacing w:w="0" w:type="dxa"/>
        </w:trPr>
        <w:tc>
          <w:tcPr>
            <w:tcW w:w="0" w:type="auto"/>
            <w:noWrap w:val="0"/>
            <w:vAlign w:val="center"/>
          </w:tcPr>
          <w:p w14:paraId="6E83C2DC">
            <w:r>
              <w:rPr>
                <w:rStyle w:val="10"/>
                <w:rFonts w:hint="eastAsia"/>
              </w:rPr>
              <w:t>毒性及其标识：</w:t>
            </w:r>
            <w:r>
              <w:rPr>
                <w:rFonts w:hint="eastAsia"/>
              </w:rPr>
              <w:t xml:space="preserve"> </w:t>
            </w:r>
            <w:r>
              <w:rPr>
                <w:lang/>
              </w:rPr>
              <w:drawing>
                <wp:inline distT="0" distB="0" distL="114300" distR="114300">
                  <wp:extent cx="476250" cy="323850"/>
                  <wp:effectExtent l="0" t="0" r="0" b="0"/>
                  <wp:docPr id="376" name="图片 37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3F556BF">
        <w:tblPrEx>
          <w:tblCellMar>
            <w:top w:w="0" w:type="dxa"/>
            <w:left w:w="0" w:type="dxa"/>
            <w:bottom w:w="0" w:type="dxa"/>
            <w:right w:w="0" w:type="dxa"/>
          </w:tblCellMar>
        </w:tblPrEx>
        <w:trPr>
          <w:wBefore w:w="0" w:type="auto"/>
          <w:tblCellSpacing w:w="0" w:type="dxa"/>
        </w:trPr>
        <w:tc>
          <w:tcPr>
            <w:tcW w:w="0" w:type="auto"/>
            <w:noWrap w:val="0"/>
            <w:vAlign w:val="center"/>
          </w:tcPr>
          <w:p w14:paraId="54BCAEAF">
            <w:r>
              <w:rPr>
                <w:rStyle w:val="10"/>
                <w:rFonts w:hint="eastAsia"/>
              </w:rPr>
              <w:t>总有效成分含量：</w:t>
            </w:r>
            <w:r>
              <w:rPr>
                <w:rFonts w:hint="eastAsia"/>
              </w:rPr>
              <w:t>0.06%</w:t>
            </w:r>
          </w:p>
        </w:tc>
      </w:tr>
      <w:tr w14:paraId="2F43E8D8">
        <w:tblPrEx>
          <w:tblCellMar>
            <w:top w:w="0" w:type="dxa"/>
            <w:left w:w="0" w:type="dxa"/>
            <w:bottom w:w="0" w:type="dxa"/>
            <w:right w:w="0" w:type="dxa"/>
          </w:tblCellMar>
        </w:tblPrEx>
        <w:trPr>
          <w:wBefore w:w="0" w:type="auto"/>
          <w:tblCellSpacing w:w="0" w:type="dxa"/>
        </w:trPr>
        <w:tc>
          <w:tcPr>
            <w:tcW w:w="0" w:type="auto"/>
            <w:noWrap w:val="0"/>
            <w:vAlign w:val="center"/>
          </w:tcPr>
          <w:p w14:paraId="412566A8">
            <w:r>
              <w:rPr>
                <w:rFonts w:hint="eastAsia"/>
              </w:rPr>
              <w:t xml:space="preserve">有效成分及其含量： </w:t>
            </w:r>
          </w:p>
          <w:p w14:paraId="6B1F2E4F">
            <w:r>
              <w:rPr>
                <w:rFonts w:hint="eastAsia"/>
              </w:rPr>
              <w:t xml:space="preserve">    噻虫胺0.06%    </w:t>
            </w:r>
          </w:p>
        </w:tc>
      </w:tr>
      <w:tr w14:paraId="6CF1A799">
        <w:tblPrEx>
          <w:tblCellMar>
            <w:top w:w="0" w:type="dxa"/>
            <w:left w:w="0" w:type="dxa"/>
            <w:bottom w:w="0" w:type="dxa"/>
            <w:right w:w="0" w:type="dxa"/>
          </w:tblCellMar>
        </w:tblPrEx>
        <w:trPr>
          <w:wBefore w:w="0" w:type="auto"/>
          <w:tblCellSpacing w:w="0" w:type="dxa"/>
        </w:trPr>
        <w:tc>
          <w:tcPr>
            <w:tcW w:w="0" w:type="auto"/>
            <w:noWrap w:val="0"/>
            <w:vAlign w:val="center"/>
          </w:tcPr>
          <w:p w14:paraId="1170C58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D1F17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EAF877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FCEB2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04EA8A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C555A5B">
                  <w:r>
                    <w:rPr>
                      <w:rStyle w:val="11"/>
                      <w:rFonts w:hint="eastAsia"/>
                    </w:rPr>
                    <w:t>施用方式</w:t>
                  </w:r>
                </w:p>
              </w:tc>
            </w:tr>
            <w:tr w14:paraId="082AD7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DDF1D5">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218914">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708798">
                  <w:r>
                    <w:rPr>
                      <w:rStyle w:val="11"/>
                      <w:rFonts w:hint="eastAsia"/>
                    </w:rPr>
                    <w:t>25-41千克/亩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F03ACF">
                  <w:r>
                    <w:rPr>
                      <w:rStyle w:val="11"/>
                      <w:rFonts w:hint="eastAsia"/>
                    </w:rPr>
                    <w:t>沟施</w:t>
                  </w:r>
                </w:p>
              </w:tc>
            </w:tr>
          </w:tbl>
          <w:p w14:paraId="54FD4D0C">
            <w:pPr>
              <w:rPr>
                <w:rFonts w:ascii="Times New Roman" w:hAnsi="Times New Roman" w:cs="Times New Roman"/>
                <w:sz w:val="20"/>
                <w:szCs w:val="20"/>
              </w:rPr>
            </w:pPr>
          </w:p>
        </w:tc>
      </w:tr>
      <w:tr w14:paraId="44813582">
        <w:tblPrEx>
          <w:tblCellMar>
            <w:top w:w="0" w:type="dxa"/>
            <w:left w:w="0" w:type="dxa"/>
            <w:bottom w:w="0" w:type="dxa"/>
            <w:right w:w="0" w:type="dxa"/>
          </w:tblCellMar>
        </w:tblPrEx>
        <w:trPr>
          <w:wBefore w:w="0" w:type="auto"/>
          <w:tblCellSpacing w:w="0" w:type="dxa"/>
        </w:trPr>
        <w:tc>
          <w:tcPr>
            <w:tcW w:w="0" w:type="auto"/>
            <w:noWrap w:val="0"/>
            <w:vAlign w:val="center"/>
          </w:tcPr>
          <w:p w14:paraId="4438F5D6">
            <w:r>
              <w:rPr>
                <w:rStyle w:val="10"/>
                <w:rFonts w:hint="eastAsia"/>
              </w:rPr>
              <w:t>使用技术要求:</w:t>
            </w:r>
            <w:r>
              <w:rPr>
                <w:rFonts w:hint="eastAsia"/>
              </w:rPr>
              <w:br w:type="textWrapping"/>
            </w:r>
            <w:r>
              <w:rPr>
                <w:rStyle w:val="11"/>
                <w:rFonts w:hint="eastAsia"/>
              </w:rPr>
              <w:t>1.本品每季最多使用一次，于马铃薯播种前，将药剂均匀撒施于种植沟内。 2.施药后须保持一定的土壤墑情以利于有效成分的释放和均匀分布。 3.大风天或预计1小时内有大雨，请勿施药。</w:t>
            </w:r>
          </w:p>
        </w:tc>
      </w:tr>
      <w:tr w14:paraId="4713E9FB">
        <w:tblPrEx>
          <w:tblCellMar>
            <w:top w:w="0" w:type="dxa"/>
            <w:left w:w="0" w:type="dxa"/>
            <w:bottom w:w="0" w:type="dxa"/>
            <w:right w:w="0" w:type="dxa"/>
          </w:tblCellMar>
        </w:tblPrEx>
        <w:trPr>
          <w:wBefore w:w="0" w:type="auto"/>
          <w:tblCellSpacing w:w="0" w:type="dxa"/>
        </w:trPr>
        <w:tc>
          <w:tcPr>
            <w:tcW w:w="0" w:type="auto"/>
            <w:noWrap w:val="0"/>
            <w:vAlign w:val="center"/>
          </w:tcPr>
          <w:p w14:paraId="0EEA1346">
            <w:r>
              <w:rPr>
                <w:rStyle w:val="10"/>
                <w:rFonts w:hint="eastAsia"/>
              </w:rPr>
              <w:t>产品性能:</w:t>
            </w:r>
            <w:r>
              <w:rPr>
                <w:rFonts w:hint="eastAsia"/>
              </w:rPr>
              <w:br w:type="textWrapping"/>
            </w:r>
            <w:r>
              <w:rPr>
                <w:rStyle w:val="11"/>
                <w:rFonts w:hint="eastAsia"/>
              </w:rPr>
              <w:t>本品为新烟碱类杀虫剂噻虫胺和肥料复配的药肥混剂，噻虫胺，具有内吸、触杀和胃毒作用，可有效防除马铃薯蛴螬等地下害虫。</w:t>
            </w:r>
          </w:p>
        </w:tc>
      </w:tr>
      <w:tr w14:paraId="35479FA7">
        <w:tblPrEx>
          <w:tblCellMar>
            <w:top w:w="0" w:type="dxa"/>
            <w:left w:w="0" w:type="dxa"/>
            <w:bottom w:w="0" w:type="dxa"/>
            <w:right w:w="0" w:type="dxa"/>
          </w:tblCellMar>
        </w:tblPrEx>
        <w:trPr>
          <w:wBefore w:w="0" w:type="auto"/>
          <w:tblCellSpacing w:w="0" w:type="dxa"/>
        </w:trPr>
        <w:tc>
          <w:tcPr>
            <w:tcW w:w="0" w:type="auto"/>
            <w:noWrap w:val="0"/>
            <w:vAlign w:val="center"/>
          </w:tcPr>
          <w:p w14:paraId="7C71E019">
            <w:r>
              <w:rPr>
                <w:rStyle w:val="10"/>
                <w:rFonts w:hint="eastAsia"/>
              </w:rPr>
              <w:t>注意事项：</w:t>
            </w:r>
            <w:r>
              <w:rPr>
                <w:rFonts w:hint="eastAsia"/>
              </w:rPr>
              <w:br w:type="textWrapping"/>
            </w:r>
            <w:r>
              <w:rPr>
                <w:rStyle w:val="11"/>
                <w:rFonts w:hint="eastAsia"/>
              </w:rPr>
              <w:t>1.本品对鸟类、蜜蜂、鱼类等水生生物有毒，（周围）开花植物花期禁用，使用时应密切关注对附近蜂群的影响；鸟类保护区、赤眼蜂等天敌放飞区域禁用，蚕室或桑园附近禁用，远离水产养殖区、河塘等水体施药，施药期间应避免对周围蜂群的影响，施药后立即覆土，禁止在河塘等水体中清洗施药器具。2.使用本品时应穿戴防护服和手套等。施药期间不可吃东西、饮水和吸烟，施药后应及时洗手和洗脸等。3.用过的容器应妥善处理，不可做它用，也不可随意丢弃。4.孕妇和哺乳期妇女禁止接触本品。5.避免与氧化剂接触。</w:t>
            </w:r>
          </w:p>
        </w:tc>
      </w:tr>
      <w:tr w14:paraId="3052967F">
        <w:tblPrEx>
          <w:tblCellMar>
            <w:top w:w="0" w:type="dxa"/>
            <w:left w:w="0" w:type="dxa"/>
            <w:bottom w:w="0" w:type="dxa"/>
            <w:right w:w="0" w:type="dxa"/>
          </w:tblCellMar>
        </w:tblPrEx>
        <w:trPr>
          <w:wBefore w:w="0" w:type="auto"/>
          <w:tblCellSpacing w:w="0" w:type="dxa"/>
        </w:trPr>
        <w:tc>
          <w:tcPr>
            <w:tcW w:w="0" w:type="auto"/>
            <w:noWrap w:val="0"/>
            <w:vAlign w:val="center"/>
          </w:tcPr>
          <w:p w14:paraId="5989E524">
            <w:r>
              <w:rPr>
                <w:rStyle w:val="10"/>
                <w:rFonts w:hint="eastAsia"/>
              </w:rPr>
              <w:t>中毒急救措施：</w:t>
            </w:r>
            <w:r>
              <w:rPr>
                <w:rFonts w:hint="eastAsia"/>
              </w:rPr>
              <w:br w:type="textWrapping"/>
            </w:r>
            <w:r>
              <w:rPr>
                <w:rStyle w:val="11"/>
                <w:rFonts w:hint="eastAsia"/>
              </w:rPr>
              <w:t>对眼睛有刺激性，使用时避免接触眼睛。 使用中或使用后如果感觉不适，应立即停止工作，采取急救措施，并携带标签送医院就诊。皮肤污染，脱去污染的衣物，立即用大量清水和肥皂冲洗；眼睛溅入，立即用流动清水冲洗至少15分钟；误食立即停止服用，用清水充分漱口后，立即携带标签送医就诊，对症治疗，无特效解毒剂</w:t>
            </w:r>
          </w:p>
        </w:tc>
      </w:tr>
      <w:tr w14:paraId="25020A62">
        <w:tblPrEx>
          <w:tblCellMar>
            <w:top w:w="0" w:type="dxa"/>
            <w:left w:w="0" w:type="dxa"/>
            <w:bottom w:w="0" w:type="dxa"/>
            <w:right w:w="0" w:type="dxa"/>
          </w:tblCellMar>
        </w:tblPrEx>
        <w:trPr>
          <w:wBefore w:w="0" w:type="auto"/>
          <w:tblCellSpacing w:w="0" w:type="dxa"/>
        </w:trPr>
        <w:tc>
          <w:tcPr>
            <w:tcW w:w="0" w:type="auto"/>
            <w:noWrap w:val="0"/>
            <w:vAlign w:val="center"/>
          </w:tcPr>
          <w:p w14:paraId="737271ED">
            <w:r>
              <w:rPr>
                <w:rStyle w:val="10"/>
                <w:rFonts w:hint="eastAsia"/>
              </w:rPr>
              <w:t>储存和运输方法：</w:t>
            </w:r>
            <w:r>
              <w:rPr>
                <w:rFonts w:hint="eastAsia"/>
              </w:rPr>
              <w:br w:type="textWrapping"/>
            </w:r>
            <w:r>
              <w:rPr>
                <w:rStyle w:val="11"/>
                <w:rFonts w:hint="eastAsia"/>
              </w:rPr>
              <w:t>1.本品应贮存在干燥、阴凉、通风、防雨处，远离火源或热源。置于儿童、无关人员触及不到之处，并加锁保存。2.勿与食品、饮料、粮食、饲料等其它商品同贮同运。3.运输时防雨防潮；装卸时轻卸轻放。</w:t>
            </w:r>
          </w:p>
        </w:tc>
      </w:tr>
      <w:tr w14:paraId="737DAD9D">
        <w:tblPrEx>
          <w:tblCellMar>
            <w:top w:w="0" w:type="dxa"/>
            <w:left w:w="0" w:type="dxa"/>
            <w:bottom w:w="0" w:type="dxa"/>
            <w:right w:w="0" w:type="dxa"/>
          </w:tblCellMar>
        </w:tblPrEx>
        <w:trPr>
          <w:wBefore w:w="0" w:type="auto"/>
          <w:tblCellSpacing w:w="0" w:type="dxa"/>
        </w:trPr>
        <w:tc>
          <w:tcPr>
            <w:tcW w:w="0" w:type="auto"/>
            <w:noWrap w:val="0"/>
            <w:vAlign w:val="center"/>
          </w:tcPr>
          <w:p w14:paraId="4D1E614E">
            <w:r>
              <w:rPr>
                <w:rStyle w:val="10"/>
                <w:rFonts w:hint="eastAsia"/>
              </w:rPr>
              <w:t>质量保证期：</w:t>
            </w:r>
            <w:r>
              <w:rPr>
                <w:rStyle w:val="11"/>
                <w:rFonts w:hint="eastAsia"/>
              </w:rPr>
              <w:t>2年</w:t>
            </w:r>
          </w:p>
        </w:tc>
      </w:tr>
      <w:tr w14:paraId="15EB0C23">
        <w:tblPrEx>
          <w:tblCellMar>
            <w:top w:w="0" w:type="dxa"/>
            <w:left w:w="0" w:type="dxa"/>
            <w:bottom w:w="0" w:type="dxa"/>
            <w:right w:w="0" w:type="dxa"/>
          </w:tblCellMar>
        </w:tblPrEx>
        <w:trPr>
          <w:wBefore w:w="0" w:type="auto"/>
          <w:tblCellSpacing w:w="0" w:type="dxa"/>
        </w:trPr>
        <w:tc>
          <w:tcPr>
            <w:tcW w:w="0" w:type="auto"/>
            <w:noWrap w:val="0"/>
            <w:vAlign w:val="center"/>
          </w:tcPr>
          <w:p w14:paraId="2BE2D7AD">
            <w:r>
              <w:rPr>
                <w:rStyle w:val="10"/>
                <w:rFonts w:hint="eastAsia"/>
              </w:rPr>
              <w:t>备注：</w:t>
            </w:r>
          </w:p>
        </w:tc>
      </w:tr>
    </w:tbl>
    <w:p w14:paraId="5C7F247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E36734E">
        <w:tblPrEx>
          <w:tblCellMar>
            <w:top w:w="0" w:type="dxa"/>
            <w:left w:w="0" w:type="dxa"/>
            <w:bottom w:w="0" w:type="dxa"/>
            <w:right w:w="0" w:type="dxa"/>
          </w:tblCellMar>
        </w:tblPrEx>
        <w:trPr>
          <w:wBefore w:w="0" w:type="auto"/>
          <w:tblCellSpacing w:w="0" w:type="dxa"/>
        </w:trPr>
        <w:tc>
          <w:tcPr>
            <w:tcW w:w="0" w:type="auto"/>
            <w:noWrap w:val="0"/>
            <w:vAlign w:val="center"/>
          </w:tcPr>
          <w:p w14:paraId="030146B9">
            <w:r>
              <w:rPr>
                <w:rStyle w:val="10"/>
                <w:rFonts w:hint="eastAsia"/>
              </w:rPr>
              <w:t>登记证号：</w:t>
            </w:r>
            <w:r>
              <w:rPr>
                <w:rFonts w:hint="eastAsia"/>
              </w:rPr>
              <w:t>PD20212132</w:t>
            </w:r>
          </w:p>
        </w:tc>
      </w:tr>
      <w:tr w14:paraId="565AA3EB">
        <w:tblPrEx>
          <w:tblCellMar>
            <w:top w:w="0" w:type="dxa"/>
            <w:left w:w="0" w:type="dxa"/>
            <w:bottom w:w="0" w:type="dxa"/>
            <w:right w:w="0" w:type="dxa"/>
          </w:tblCellMar>
        </w:tblPrEx>
        <w:trPr>
          <w:wBefore w:w="0" w:type="auto"/>
          <w:tblCellSpacing w:w="0" w:type="dxa"/>
        </w:trPr>
        <w:tc>
          <w:tcPr>
            <w:tcW w:w="0" w:type="auto"/>
            <w:noWrap w:val="0"/>
            <w:vAlign w:val="center"/>
          </w:tcPr>
          <w:p w14:paraId="700E3CB2">
            <w:r>
              <w:rPr>
                <w:rStyle w:val="10"/>
                <w:rFonts w:hint="eastAsia"/>
              </w:rPr>
              <w:t>登记证持有人：</w:t>
            </w:r>
            <w:r>
              <w:rPr>
                <w:rFonts w:hint="eastAsia"/>
              </w:rPr>
              <w:t>京博农化科技有限公司</w:t>
            </w:r>
          </w:p>
        </w:tc>
      </w:tr>
      <w:tr w14:paraId="47BBE756">
        <w:tblPrEx>
          <w:tblCellMar>
            <w:top w:w="0" w:type="dxa"/>
            <w:left w:w="0" w:type="dxa"/>
            <w:bottom w:w="0" w:type="dxa"/>
            <w:right w:w="0" w:type="dxa"/>
          </w:tblCellMar>
        </w:tblPrEx>
        <w:trPr>
          <w:wBefore w:w="0" w:type="auto"/>
          <w:tblCellSpacing w:w="0" w:type="dxa"/>
        </w:trPr>
        <w:tc>
          <w:tcPr>
            <w:tcW w:w="0" w:type="auto"/>
            <w:noWrap w:val="0"/>
            <w:vAlign w:val="center"/>
          </w:tcPr>
          <w:p w14:paraId="05B4888E">
            <w:r>
              <w:rPr>
                <w:rStyle w:val="10"/>
                <w:rFonts w:hint="eastAsia"/>
              </w:rPr>
              <w:t>农药名称：</w:t>
            </w:r>
            <w:r>
              <w:rPr>
                <w:rFonts w:hint="eastAsia"/>
              </w:rPr>
              <w:t>氟唑磺隆</w:t>
            </w:r>
          </w:p>
        </w:tc>
      </w:tr>
      <w:tr w14:paraId="10080A6C">
        <w:tblPrEx>
          <w:tblCellMar>
            <w:top w:w="0" w:type="dxa"/>
            <w:left w:w="0" w:type="dxa"/>
            <w:bottom w:w="0" w:type="dxa"/>
            <w:right w:w="0" w:type="dxa"/>
          </w:tblCellMar>
        </w:tblPrEx>
        <w:trPr>
          <w:wBefore w:w="0" w:type="auto"/>
          <w:tblCellSpacing w:w="0" w:type="dxa"/>
        </w:trPr>
        <w:tc>
          <w:tcPr>
            <w:tcW w:w="0" w:type="auto"/>
            <w:noWrap w:val="0"/>
            <w:vAlign w:val="center"/>
          </w:tcPr>
          <w:p w14:paraId="1D849488">
            <w:r>
              <w:rPr>
                <w:rStyle w:val="10"/>
                <w:rFonts w:hint="eastAsia"/>
              </w:rPr>
              <w:t>剂型：</w:t>
            </w:r>
            <w:r>
              <w:rPr>
                <w:rFonts w:hint="eastAsia"/>
              </w:rPr>
              <w:t>水分散粒剂</w:t>
            </w:r>
          </w:p>
        </w:tc>
      </w:tr>
      <w:tr w14:paraId="137F60FA">
        <w:tblPrEx>
          <w:tblCellMar>
            <w:top w:w="0" w:type="dxa"/>
            <w:left w:w="0" w:type="dxa"/>
            <w:bottom w:w="0" w:type="dxa"/>
            <w:right w:w="0" w:type="dxa"/>
          </w:tblCellMar>
        </w:tblPrEx>
        <w:trPr>
          <w:wBefore w:w="0" w:type="auto"/>
          <w:tblCellSpacing w:w="0" w:type="dxa"/>
        </w:trPr>
        <w:tc>
          <w:tcPr>
            <w:tcW w:w="0" w:type="auto"/>
            <w:noWrap w:val="0"/>
            <w:vAlign w:val="center"/>
          </w:tcPr>
          <w:p w14:paraId="5029E1C5">
            <w:r>
              <w:rPr>
                <w:rStyle w:val="10"/>
                <w:rFonts w:hint="eastAsia"/>
              </w:rPr>
              <w:t>毒性及其标识：</w:t>
            </w:r>
            <w:r>
              <w:rPr>
                <w:rFonts w:hint="eastAsia"/>
              </w:rPr>
              <w:t xml:space="preserve"> </w:t>
            </w:r>
            <w:r>
              <w:rPr>
                <w:lang/>
              </w:rPr>
              <w:drawing>
                <wp:inline distT="0" distB="0" distL="114300" distR="114300">
                  <wp:extent cx="476250" cy="323850"/>
                  <wp:effectExtent l="0" t="0" r="0" b="0"/>
                  <wp:docPr id="377" name="图片 37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817058">
        <w:tblPrEx>
          <w:tblCellMar>
            <w:top w:w="0" w:type="dxa"/>
            <w:left w:w="0" w:type="dxa"/>
            <w:bottom w:w="0" w:type="dxa"/>
            <w:right w:w="0" w:type="dxa"/>
          </w:tblCellMar>
        </w:tblPrEx>
        <w:trPr>
          <w:wBefore w:w="0" w:type="auto"/>
          <w:tblCellSpacing w:w="0" w:type="dxa"/>
        </w:trPr>
        <w:tc>
          <w:tcPr>
            <w:tcW w:w="0" w:type="auto"/>
            <w:noWrap w:val="0"/>
            <w:vAlign w:val="center"/>
          </w:tcPr>
          <w:p w14:paraId="665DC2E3">
            <w:r>
              <w:rPr>
                <w:rStyle w:val="10"/>
                <w:rFonts w:hint="eastAsia"/>
              </w:rPr>
              <w:t>总有效成分含量：</w:t>
            </w:r>
            <w:r>
              <w:rPr>
                <w:rFonts w:hint="eastAsia"/>
              </w:rPr>
              <w:t>70%</w:t>
            </w:r>
          </w:p>
        </w:tc>
      </w:tr>
      <w:tr w14:paraId="1BA2DC12">
        <w:tblPrEx>
          <w:tblCellMar>
            <w:top w:w="0" w:type="dxa"/>
            <w:left w:w="0" w:type="dxa"/>
            <w:bottom w:w="0" w:type="dxa"/>
            <w:right w:w="0" w:type="dxa"/>
          </w:tblCellMar>
        </w:tblPrEx>
        <w:trPr>
          <w:wBefore w:w="0" w:type="auto"/>
          <w:tblCellSpacing w:w="0" w:type="dxa"/>
        </w:trPr>
        <w:tc>
          <w:tcPr>
            <w:tcW w:w="0" w:type="auto"/>
            <w:noWrap w:val="0"/>
            <w:vAlign w:val="center"/>
          </w:tcPr>
          <w:p w14:paraId="23D7CA05">
            <w:r>
              <w:rPr>
                <w:rFonts w:hint="eastAsia"/>
              </w:rPr>
              <w:t xml:space="preserve">有效成分及其含量： </w:t>
            </w:r>
          </w:p>
          <w:p w14:paraId="2015DCD6">
            <w:r>
              <w:rPr>
                <w:rFonts w:hint="eastAsia"/>
              </w:rPr>
              <w:t xml:space="preserve">    氟唑磺隆70%    </w:t>
            </w:r>
          </w:p>
        </w:tc>
      </w:tr>
      <w:tr w14:paraId="476E6949">
        <w:tblPrEx>
          <w:tblCellMar>
            <w:top w:w="0" w:type="dxa"/>
            <w:left w:w="0" w:type="dxa"/>
            <w:bottom w:w="0" w:type="dxa"/>
            <w:right w:w="0" w:type="dxa"/>
          </w:tblCellMar>
        </w:tblPrEx>
        <w:trPr>
          <w:wBefore w:w="0" w:type="auto"/>
          <w:tblCellSpacing w:w="0" w:type="dxa"/>
        </w:trPr>
        <w:tc>
          <w:tcPr>
            <w:tcW w:w="0" w:type="auto"/>
            <w:noWrap w:val="0"/>
            <w:vAlign w:val="center"/>
          </w:tcPr>
          <w:p w14:paraId="3521EEA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445FD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F55B42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B3308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1544BC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C0FFD71">
                  <w:r>
                    <w:rPr>
                      <w:rStyle w:val="11"/>
                      <w:rFonts w:hint="eastAsia"/>
                    </w:rPr>
                    <w:t>施用方式</w:t>
                  </w:r>
                </w:p>
              </w:tc>
            </w:tr>
            <w:tr w14:paraId="2D9E20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3E0C54C">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E70B39">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D120F0">
                  <w:r>
                    <w:rPr>
                      <w:rStyle w:val="11"/>
                      <w:rFonts w:hint="eastAsia"/>
                    </w:rPr>
                    <w:t>2-4克/亩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2F4DBD">
                  <w:r>
                    <w:rPr>
                      <w:rStyle w:val="11"/>
                      <w:rFonts w:hint="eastAsia"/>
                    </w:rPr>
                    <w:t>茎叶喷雾</w:t>
                  </w:r>
                </w:p>
              </w:tc>
            </w:tr>
          </w:tbl>
          <w:p w14:paraId="2681F47B">
            <w:pPr>
              <w:rPr>
                <w:rFonts w:ascii="Times New Roman" w:hAnsi="Times New Roman" w:cs="Times New Roman"/>
                <w:sz w:val="20"/>
                <w:szCs w:val="20"/>
              </w:rPr>
            </w:pPr>
          </w:p>
        </w:tc>
      </w:tr>
      <w:tr w14:paraId="18B618B4">
        <w:tblPrEx>
          <w:tblCellMar>
            <w:top w:w="0" w:type="dxa"/>
            <w:left w:w="0" w:type="dxa"/>
            <w:bottom w:w="0" w:type="dxa"/>
            <w:right w:w="0" w:type="dxa"/>
          </w:tblCellMar>
        </w:tblPrEx>
        <w:trPr>
          <w:wBefore w:w="0" w:type="auto"/>
          <w:tblCellSpacing w:w="0" w:type="dxa"/>
        </w:trPr>
        <w:tc>
          <w:tcPr>
            <w:tcW w:w="0" w:type="auto"/>
            <w:noWrap w:val="0"/>
            <w:vAlign w:val="center"/>
          </w:tcPr>
          <w:p w14:paraId="5A1151E8">
            <w:r>
              <w:rPr>
                <w:rStyle w:val="10"/>
                <w:rFonts w:hint="eastAsia"/>
              </w:rPr>
              <w:t>使用技术要求:</w:t>
            </w:r>
            <w:r>
              <w:rPr>
                <w:rFonts w:hint="eastAsia"/>
              </w:rPr>
              <w:br w:type="textWrapping"/>
            </w:r>
            <w:r>
              <w:rPr>
                <w:rStyle w:val="11"/>
                <w:rFonts w:hint="eastAsia"/>
              </w:rPr>
              <w:t>1.按照推荐剂量，先用少量水稀释至溶解，再加水到亩用喷液量，均匀喷雾，勿超量使用和重喷、漏喷。 2.大风天或预计1小时内降雨，请勿使用。 3.本品应于冬小麦返青后至拔节前、春小麦3-5叶期，杂草2-4叶期进行茎叶喷雾施药一次，</w:t>
            </w:r>
          </w:p>
        </w:tc>
      </w:tr>
      <w:tr w14:paraId="22FCEB4A">
        <w:tblPrEx>
          <w:tblCellMar>
            <w:top w:w="0" w:type="dxa"/>
            <w:left w:w="0" w:type="dxa"/>
            <w:bottom w:w="0" w:type="dxa"/>
            <w:right w:w="0" w:type="dxa"/>
          </w:tblCellMar>
        </w:tblPrEx>
        <w:trPr>
          <w:wBefore w:w="0" w:type="auto"/>
          <w:tblCellSpacing w:w="0" w:type="dxa"/>
        </w:trPr>
        <w:tc>
          <w:tcPr>
            <w:tcW w:w="0" w:type="auto"/>
            <w:noWrap w:val="0"/>
            <w:vAlign w:val="center"/>
          </w:tcPr>
          <w:p w14:paraId="51231DA8">
            <w:r>
              <w:rPr>
                <w:rStyle w:val="10"/>
                <w:rFonts w:hint="eastAsia"/>
              </w:rPr>
              <w:t>产品性能:</w:t>
            </w:r>
            <w:r>
              <w:rPr>
                <w:rFonts w:hint="eastAsia"/>
              </w:rPr>
              <w:br w:type="textWrapping"/>
            </w:r>
            <w:r>
              <w:rPr>
                <w:rStyle w:val="11"/>
                <w:rFonts w:hint="eastAsia"/>
              </w:rPr>
              <w:t>本品为磺酰脲类内吸传导选择性除草剂，适用于春小麦田和冬小麦苗后茎叶喷雾，可被杂草的根和茎叶吸收，防除野燕麦、雀麦、狗尾草等禾本科杂草，并能防除多种阔叶杂草。</w:t>
            </w:r>
          </w:p>
        </w:tc>
      </w:tr>
      <w:tr w14:paraId="761FF90F">
        <w:tblPrEx>
          <w:tblCellMar>
            <w:top w:w="0" w:type="dxa"/>
            <w:left w:w="0" w:type="dxa"/>
            <w:bottom w:w="0" w:type="dxa"/>
            <w:right w:w="0" w:type="dxa"/>
          </w:tblCellMar>
        </w:tblPrEx>
        <w:trPr>
          <w:wBefore w:w="0" w:type="auto"/>
          <w:tblCellSpacing w:w="0" w:type="dxa"/>
        </w:trPr>
        <w:tc>
          <w:tcPr>
            <w:tcW w:w="0" w:type="auto"/>
            <w:noWrap w:val="0"/>
            <w:vAlign w:val="center"/>
          </w:tcPr>
          <w:p w14:paraId="40B814E0">
            <w:r>
              <w:rPr>
                <w:rStyle w:val="10"/>
                <w:rFonts w:hint="eastAsia"/>
              </w:rPr>
              <w:t>注意事项：</w:t>
            </w:r>
            <w:r>
              <w:rPr>
                <w:rFonts w:hint="eastAsia"/>
              </w:rPr>
              <w:br w:type="textWrapping"/>
            </w:r>
            <w:r>
              <w:rPr>
                <w:rStyle w:val="11"/>
                <w:rFonts w:hint="eastAsia"/>
              </w:rPr>
              <w:t>1.小麦拔节后和小麦3叶一心前禁止使用本品。勿在套种或间作大麦、燕麦、十字花科作物及豆类及其他作物的小麦田使用。 2.本品对普通类型小麦品种安全。强筋麦品种不能使用本品，新的小麦品种应试验安全后推广使用本品。 3.使用本品9个月后，可以轮作萝卜、大麦、红花、油菜、大豆、菜豆、向日葵、亚麻和马铃薯，11个月后可种植豌豆，24个月后可种植小扁豆。施药时避免药液飘移到邻近作物上。 4.勿在低温、8℃以下、干旱及洪涝等不良气候条件下施药。不在小麦苗弱时施药。 5.避免孕妇及哺乳期的妇女接触本品。 6.施药时穿长衣长裤、戴手套、戴口罩等防护用具；此时不能吸烟、饮水等；施药后清洗干净手脸等。远离水产养殖区河塘等水体施药，禁止在河塘等水体清洗施药器具。 7.用过的容器应妥善处理，不可作为他用，也不可随意丢弃。一次未用完的要继续原装密封保存。8.孕妇和哺乳期妇女避免接触。</w:t>
            </w:r>
          </w:p>
        </w:tc>
      </w:tr>
      <w:tr w14:paraId="4F5E37C4">
        <w:tblPrEx>
          <w:tblCellMar>
            <w:top w:w="0" w:type="dxa"/>
            <w:left w:w="0" w:type="dxa"/>
            <w:bottom w:w="0" w:type="dxa"/>
            <w:right w:w="0" w:type="dxa"/>
          </w:tblCellMar>
        </w:tblPrEx>
        <w:trPr>
          <w:wBefore w:w="0" w:type="auto"/>
          <w:tblCellSpacing w:w="0" w:type="dxa"/>
        </w:trPr>
        <w:tc>
          <w:tcPr>
            <w:tcW w:w="0" w:type="auto"/>
            <w:noWrap w:val="0"/>
            <w:vAlign w:val="center"/>
          </w:tcPr>
          <w:p w14:paraId="596C2E1B">
            <w:r>
              <w:rPr>
                <w:rStyle w:val="10"/>
                <w:rFonts w:hint="eastAsia"/>
              </w:rPr>
              <w:t>中毒急救措施：</w:t>
            </w:r>
            <w:r>
              <w:rPr>
                <w:rFonts w:hint="eastAsia"/>
              </w:rPr>
              <w:br w:type="textWrapping"/>
            </w:r>
            <w:r>
              <w:rPr>
                <w:rStyle w:val="11"/>
                <w:rFonts w:hint="eastAsia"/>
              </w:rPr>
              <w:t>中毒症状：本品对皮肤和眼睛有刺激作用。 1.不慎吸入，应将病人移入空气清新处。 2.若溅入眼睛中眼睛，立即用用大量清水冲洗15-20分钟；皮肤接触时，用清水及肥皂洗干净。 3.如果误食，请喝两杯水后用手指压喉催吐，如果昏迷，切勿催吐，立即携此标签将病人送医院对症治疗。本品无特效解毒剂。</w:t>
            </w:r>
          </w:p>
        </w:tc>
      </w:tr>
      <w:tr w14:paraId="014C966B">
        <w:tblPrEx>
          <w:tblCellMar>
            <w:top w:w="0" w:type="dxa"/>
            <w:left w:w="0" w:type="dxa"/>
            <w:bottom w:w="0" w:type="dxa"/>
            <w:right w:w="0" w:type="dxa"/>
          </w:tblCellMar>
        </w:tblPrEx>
        <w:trPr>
          <w:wBefore w:w="0" w:type="auto"/>
          <w:tblCellSpacing w:w="0" w:type="dxa"/>
        </w:trPr>
        <w:tc>
          <w:tcPr>
            <w:tcW w:w="0" w:type="auto"/>
            <w:noWrap w:val="0"/>
            <w:vAlign w:val="center"/>
          </w:tcPr>
          <w:p w14:paraId="68FDEAA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本品应贮存在干燥、阴凉、通风、防雨处，远离火源或热源。置于儿童、无关人员触及不到之处，并加锁。勿与食品、饮料、粮食、饲料、种子等其他商品同贮同运。</w:t>
            </w:r>
          </w:p>
        </w:tc>
      </w:tr>
      <w:tr w14:paraId="2EBF89A5">
        <w:tblPrEx>
          <w:tblCellMar>
            <w:top w:w="0" w:type="dxa"/>
            <w:left w:w="0" w:type="dxa"/>
            <w:bottom w:w="0" w:type="dxa"/>
            <w:right w:w="0" w:type="dxa"/>
          </w:tblCellMar>
        </w:tblPrEx>
        <w:trPr>
          <w:wBefore w:w="0" w:type="auto"/>
          <w:tblCellSpacing w:w="0" w:type="dxa"/>
        </w:trPr>
        <w:tc>
          <w:tcPr>
            <w:tcW w:w="0" w:type="auto"/>
            <w:noWrap w:val="0"/>
            <w:vAlign w:val="center"/>
          </w:tcPr>
          <w:p w14:paraId="77FE9C24">
            <w:r>
              <w:rPr>
                <w:rStyle w:val="10"/>
                <w:rFonts w:hint="eastAsia"/>
              </w:rPr>
              <w:t>质量保证期：</w:t>
            </w:r>
            <w:r>
              <w:rPr>
                <w:rStyle w:val="11"/>
                <w:rFonts w:hint="eastAsia"/>
              </w:rPr>
              <w:t>2年</w:t>
            </w:r>
          </w:p>
        </w:tc>
      </w:tr>
      <w:tr w14:paraId="55AC3808">
        <w:tblPrEx>
          <w:tblCellMar>
            <w:top w:w="0" w:type="dxa"/>
            <w:left w:w="0" w:type="dxa"/>
            <w:bottom w:w="0" w:type="dxa"/>
            <w:right w:w="0" w:type="dxa"/>
          </w:tblCellMar>
        </w:tblPrEx>
        <w:trPr>
          <w:wBefore w:w="0" w:type="auto"/>
          <w:tblCellSpacing w:w="0" w:type="dxa"/>
        </w:trPr>
        <w:tc>
          <w:tcPr>
            <w:tcW w:w="0" w:type="auto"/>
            <w:noWrap w:val="0"/>
            <w:vAlign w:val="center"/>
          </w:tcPr>
          <w:p w14:paraId="725E6361">
            <w:r>
              <w:rPr>
                <w:rStyle w:val="10"/>
                <w:rFonts w:hint="eastAsia"/>
              </w:rPr>
              <w:t>备注：</w:t>
            </w:r>
          </w:p>
        </w:tc>
      </w:tr>
    </w:tbl>
    <w:p w14:paraId="229D474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C1CA1C">
        <w:tblPrEx>
          <w:tblCellMar>
            <w:top w:w="0" w:type="dxa"/>
            <w:left w:w="0" w:type="dxa"/>
            <w:bottom w:w="0" w:type="dxa"/>
            <w:right w:w="0" w:type="dxa"/>
          </w:tblCellMar>
        </w:tblPrEx>
        <w:trPr>
          <w:wBefore w:w="0" w:type="auto"/>
          <w:tblCellSpacing w:w="0" w:type="dxa"/>
        </w:trPr>
        <w:tc>
          <w:tcPr>
            <w:tcW w:w="0" w:type="auto"/>
            <w:noWrap w:val="0"/>
            <w:vAlign w:val="center"/>
          </w:tcPr>
          <w:p w14:paraId="0B3B80DA">
            <w:r>
              <w:rPr>
                <w:rStyle w:val="10"/>
                <w:rFonts w:hint="eastAsia"/>
              </w:rPr>
              <w:t>登记证号：</w:t>
            </w:r>
            <w:r>
              <w:rPr>
                <w:rFonts w:hint="eastAsia"/>
              </w:rPr>
              <w:t>PD20212062</w:t>
            </w:r>
          </w:p>
        </w:tc>
      </w:tr>
      <w:tr w14:paraId="15268BA0">
        <w:tblPrEx>
          <w:tblCellMar>
            <w:top w:w="0" w:type="dxa"/>
            <w:left w:w="0" w:type="dxa"/>
            <w:bottom w:w="0" w:type="dxa"/>
            <w:right w:w="0" w:type="dxa"/>
          </w:tblCellMar>
        </w:tblPrEx>
        <w:trPr>
          <w:wBefore w:w="0" w:type="auto"/>
          <w:tblCellSpacing w:w="0" w:type="dxa"/>
        </w:trPr>
        <w:tc>
          <w:tcPr>
            <w:tcW w:w="0" w:type="auto"/>
            <w:noWrap w:val="0"/>
            <w:vAlign w:val="center"/>
          </w:tcPr>
          <w:p w14:paraId="33106DC0">
            <w:r>
              <w:rPr>
                <w:rStyle w:val="10"/>
                <w:rFonts w:hint="eastAsia"/>
              </w:rPr>
              <w:t>登记证持有人：</w:t>
            </w:r>
            <w:r>
              <w:rPr>
                <w:rFonts w:hint="eastAsia"/>
              </w:rPr>
              <w:t>开封一田生物科技有限公司</w:t>
            </w:r>
          </w:p>
        </w:tc>
      </w:tr>
      <w:tr w14:paraId="188DF690">
        <w:tblPrEx>
          <w:tblCellMar>
            <w:top w:w="0" w:type="dxa"/>
            <w:left w:w="0" w:type="dxa"/>
            <w:bottom w:w="0" w:type="dxa"/>
            <w:right w:w="0" w:type="dxa"/>
          </w:tblCellMar>
        </w:tblPrEx>
        <w:trPr>
          <w:wBefore w:w="0" w:type="auto"/>
          <w:tblCellSpacing w:w="0" w:type="dxa"/>
        </w:trPr>
        <w:tc>
          <w:tcPr>
            <w:tcW w:w="0" w:type="auto"/>
            <w:noWrap w:val="0"/>
            <w:vAlign w:val="center"/>
          </w:tcPr>
          <w:p w14:paraId="1F3F82F3">
            <w:r>
              <w:rPr>
                <w:rStyle w:val="10"/>
                <w:rFonts w:hint="eastAsia"/>
              </w:rPr>
              <w:t>农药名称：</w:t>
            </w:r>
            <w:r>
              <w:rPr>
                <w:rFonts w:hint="eastAsia"/>
              </w:rPr>
              <w:t>24-表芸苔素内酯·S-诱抗素</w:t>
            </w:r>
          </w:p>
        </w:tc>
      </w:tr>
      <w:tr w14:paraId="56A572DF">
        <w:tblPrEx>
          <w:tblCellMar>
            <w:top w:w="0" w:type="dxa"/>
            <w:left w:w="0" w:type="dxa"/>
            <w:bottom w:w="0" w:type="dxa"/>
            <w:right w:w="0" w:type="dxa"/>
          </w:tblCellMar>
        </w:tblPrEx>
        <w:trPr>
          <w:wBefore w:w="0" w:type="auto"/>
          <w:tblCellSpacing w:w="0" w:type="dxa"/>
        </w:trPr>
        <w:tc>
          <w:tcPr>
            <w:tcW w:w="0" w:type="auto"/>
            <w:noWrap w:val="0"/>
            <w:vAlign w:val="center"/>
          </w:tcPr>
          <w:p w14:paraId="246A07B9">
            <w:r>
              <w:rPr>
                <w:rStyle w:val="10"/>
                <w:rFonts w:hint="eastAsia"/>
              </w:rPr>
              <w:t>剂型：</w:t>
            </w:r>
            <w:r>
              <w:rPr>
                <w:rFonts w:hint="eastAsia"/>
              </w:rPr>
              <w:t>可溶液剂</w:t>
            </w:r>
          </w:p>
        </w:tc>
      </w:tr>
      <w:tr w14:paraId="76B868A6">
        <w:tblPrEx>
          <w:tblCellMar>
            <w:top w:w="0" w:type="dxa"/>
            <w:left w:w="0" w:type="dxa"/>
            <w:bottom w:w="0" w:type="dxa"/>
            <w:right w:w="0" w:type="dxa"/>
          </w:tblCellMar>
        </w:tblPrEx>
        <w:trPr>
          <w:wBefore w:w="0" w:type="auto"/>
          <w:tblCellSpacing w:w="0" w:type="dxa"/>
        </w:trPr>
        <w:tc>
          <w:tcPr>
            <w:tcW w:w="0" w:type="auto"/>
            <w:noWrap w:val="0"/>
            <w:vAlign w:val="center"/>
          </w:tcPr>
          <w:p w14:paraId="156FD85C">
            <w:r>
              <w:rPr>
                <w:rStyle w:val="10"/>
                <w:rFonts w:hint="eastAsia"/>
              </w:rPr>
              <w:t>毒性及其标识：</w:t>
            </w:r>
            <w:r>
              <w:rPr>
                <w:rFonts w:hint="eastAsia"/>
              </w:rPr>
              <w:t xml:space="preserve"> </w:t>
            </w:r>
            <w:r>
              <w:rPr>
                <w:lang/>
              </w:rPr>
              <w:drawing>
                <wp:inline distT="0" distB="0" distL="114300" distR="114300">
                  <wp:extent cx="476250" cy="323850"/>
                  <wp:effectExtent l="0" t="0" r="0" b="0"/>
                  <wp:docPr id="378" name="图片 37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6487D93">
        <w:tblPrEx>
          <w:tblCellMar>
            <w:top w:w="0" w:type="dxa"/>
            <w:left w:w="0" w:type="dxa"/>
            <w:bottom w:w="0" w:type="dxa"/>
            <w:right w:w="0" w:type="dxa"/>
          </w:tblCellMar>
        </w:tblPrEx>
        <w:trPr>
          <w:wBefore w:w="0" w:type="auto"/>
          <w:tblCellSpacing w:w="0" w:type="dxa"/>
        </w:trPr>
        <w:tc>
          <w:tcPr>
            <w:tcW w:w="0" w:type="auto"/>
            <w:noWrap w:val="0"/>
            <w:vAlign w:val="center"/>
          </w:tcPr>
          <w:p w14:paraId="5D550C17">
            <w:r>
              <w:rPr>
                <w:rStyle w:val="10"/>
                <w:rFonts w:hint="eastAsia"/>
              </w:rPr>
              <w:t>总有效成分含量：</w:t>
            </w:r>
            <w:r>
              <w:rPr>
                <w:rFonts w:hint="eastAsia"/>
              </w:rPr>
              <w:t>0.25%</w:t>
            </w:r>
          </w:p>
        </w:tc>
      </w:tr>
      <w:tr w14:paraId="451FBED5">
        <w:tblPrEx>
          <w:tblCellMar>
            <w:top w:w="0" w:type="dxa"/>
            <w:left w:w="0" w:type="dxa"/>
            <w:bottom w:w="0" w:type="dxa"/>
            <w:right w:w="0" w:type="dxa"/>
          </w:tblCellMar>
        </w:tblPrEx>
        <w:trPr>
          <w:wBefore w:w="0" w:type="auto"/>
          <w:tblCellSpacing w:w="0" w:type="dxa"/>
        </w:trPr>
        <w:tc>
          <w:tcPr>
            <w:tcW w:w="0" w:type="auto"/>
            <w:noWrap w:val="0"/>
            <w:vAlign w:val="center"/>
          </w:tcPr>
          <w:p w14:paraId="459D0B9F">
            <w:r>
              <w:rPr>
                <w:rFonts w:hint="eastAsia"/>
              </w:rPr>
              <w:t xml:space="preserve">有效成分及其含量： </w:t>
            </w:r>
          </w:p>
          <w:p w14:paraId="0114D839">
            <w:r>
              <w:rPr>
                <w:rFonts w:hint="eastAsia"/>
              </w:rPr>
              <w:t xml:space="preserve">    S-诱抗素0.249%    24-表芸苔素内酯0.001%    </w:t>
            </w:r>
          </w:p>
        </w:tc>
      </w:tr>
      <w:tr w14:paraId="04B72C4A">
        <w:tblPrEx>
          <w:tblCellMar>
            <w:top w:w="0" w:type="dxa"/>
            <w:left w:w="0" w:type="dxa"/>
            <w:bottom w:w="0" w:type="dxa"/>
            <w:right w:w="0" w:type="dxa"/>
          </w:tblCellMar>
        </w:tblPrEx>
        <w:trPr>
          <w:wBefore w:w="0" w:type="auto"/>
          <w:tblCellSpacing w:w="0" w:type="dxa"/>
        </w:trPr>
        <w:tc>
          <w:tcPr>
            <w:tcW w:w="0" w:type="auto"/>
            <w:noWrap w:val="0"/>
            <w:vAlign w:val="center"/>
          </w:tcPr>
          <w:p w14:paraId="643FB4A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EF532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EB68D1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CB9C7E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41199D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D62EE75">
                  <w:r>
                    <w:rPr>
                      <w:rStyle w:val="11"/>
                      <w:rFonts w:hint="eastAsia"/>
                    </w:rPr>
                    <w:t>施用方式</w:t>
                  </w:r>
                </w:p>
              </w:tc>
            </w:tr>
            <w:tr w14:paraId="769D939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51FF98E">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D91F53">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CEA345">
                  <w:r>
                    <w:rPr>
                      <w:rStyle w:val="11"/>
                      <w:rFonts w:hint="eastAsia"/>
                    </w:rPr>
                    <w:t>1500-2000倍液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4EC635">
                  <w:r>
                    <w:rPr>
                      <w:rStyle w:val="11"/>
                      <w:rFonts w:hint="eastAsia"/>
                    </w:rPr>
                    <w:t>喷雾</w:t>
                  </w:r>
                </w:p>
              </w:tc>
            </w:tr>
          </w:tbl>
          <w:p w14:paraId="166A13BA">
            <w:pPr>
              <w:rPr>
                <w:rFonts w:ascii="Times New Roman" w:hAnsi="Times New Roman" w:cs="Times New Roman"/>
                <w:sz w:val="20"/>
                <w:szCs w:val="20"/>
              </w:rPr>
            </w:pPr>
          </w:p>
        </w:tc>
      </w:tr>
      <w:tr w14:paraId="0773EEDD">
        <w:tblPrEx>
          <w:tblCellMar>
            <w:top w:w="0" w:type="dxa"/>
            <w:left w:w="0" w:type="dxa"/>
            <w:bottom w:w="0" w:type="dxa"/>
            <w:right w:w="0" w:type="dxa"/>
          </w:tblCellMar>
        </w:tblPrEx>
        <w:trPr>
          <w:wBefore w:w="0" w:type="auto"/>
          <w:tblCellSpacing w:w="0" w:type="dxa"/>
        </w:trPr>
        <w:tc>
          <w:tcPr>
            <w:tcW w:w="0" w:type="auto"/>
            <w:noWrap w:val="0"/>
            <w:vAlign w:val="center"/>
          </w:tcPr>
          <w:p w14:paraId="5A49B751">
            <w:r>
              <w:rPr>
                <w:rStyle w:val="10"/>
                <w:rFonts w:hint="eastAsia"/>
              </w:rPr>
              <w:t>使用技术要求:</w:t>
            </w:r>
            <w:r>
              <w:rPr>
                <w:rFonts w:hint="eastAsia"/>
              </w:rPr>
              <w:br w:type="textWrapping"/>
            </w:r>
            <w:r>
              <w:rPr>
                <w:rStyle w:val="11"/>
                <w:rFonts w:hint="eastAsia"/>
              </w:rPr>
              <w:t>1、在水稻分蘖期、破口期各喷雾一次，施药时应周到、均匀，勿重喷或漏喷。2、使用时间选择在早、晚较凉爽时为宜，喷药4小时内遇雨需重喷。 3、大风天或下雨前后勿施药。</w:t>
            </w:r>
          </w:p>
        </w:tc>
      </w:tr>
      <w:tr w14:paraId="1C46AB2C">
        <w:tblPrEx>
          <w:tblCellMar>
            <w:top w:w="0" w:type="dxa"/>
            <w:left w:w="0" w:type="dxa"/>
            <w:bottom w:w="0" w:type="dxa"/>
            <w:right w:w="0" w:type="dxa"/>
          </w:tblCellMar>
        </w:tblPrEx>
        <w:trPr>
          <w:wBefore w:w="0" w:type="auto"/>
          <w:tblCellSpacing w:w="0" w:type="dxa"/>
        </w:trPr>
        <w:tc>
          <w:tcPr>
            <w:tcW w:w="0" w:type="auto"/>
            <w:noWrap w:val="0"/>
            <w:vAlign w:val="center"/>
          </w:tcPr>
          <w:p w14:paraId="0E13B003">
            <w:r>
              <w:rPr>
                <w:rStyle w:val="10"/>
                <w:rFonts w:hint="eastAsia"/>
              </w:rPr>
              <w:t>产品性能:</w:t>
            </w:r>
            <w:r>
              <w:rPr>
                <w:rFonts w:hint="eastAsia"/>
              </w:rPr>
              <w:br w:type="textWrapping"/>
            </w:r>
            <w:r>
              <w:rPr>
                <w:rStyle w:val="11"/>
                <w:rFonts w:hint="eastAsia"/>
              </w:rPr>
              <w:t xml:space="preserve">本品是由24-表芸苔素内酯和S-诱抗素复配而成的植物生长调节剂，具有使植物细胞分裂和延长的双重作用，能平衡植物生长，增强光合作用，提高作物叶绿素含量，促进作物对肥料的有效吸收，辅助作物劣势部分良好的生长，有效增强植物抗逆能力。 </w:t>
            </w:r>
          </w:p>
        </w:tc>
      </w:tr>
      <w:tr w14:paraId="11287AC2">
        <w:tblPrEx>
          <w:tblCellMar>
            <w:top w:w="0" w:type="dxa"/>
            <w:left w:w="0" w:type="dxa"/>
            <w:bottom w:w="0" w:type="dxa"/>
            <w:right w:w="0" w:type="dxa"/>
          </w:tblCellMar>
        </w:tblPrEx>
        <w:trPr>
          <w:wBefore w:w="0" w:type="auto"/>
          <w:tblCellSpacing w:w="0" w:type="dxa"/>
        </w:trPr>
        <w:tc>
          <w:tcPr>
            <w:tcW w:w="0" w:type="auto"/>
            <w:noWrap w:val="0"/>
            <w:vAlign w:val="center"/>
          </w:tcPr>
          <w:p w14:paraId="799723E0">
            <w:r>
              <w:rPr>
                <w:rStyle w:val="10"/>
                <w:rFonts w:hint="eastAsia"/>
              </w:rPr>
              <w:t>注意事项：</w:t>
            </w:r>
            <w:r>
              <w:rPr>
                <w:rFonts w:hint="eastAsia"/>
              </w:rPr>
              <w:br w:type="textWrapping"/>
            </w:r>
            <w:r>
              <w:rPr>
                <w:rStyle w:val="11"/>
                <w:rFonts w:hint="eastAsia"/>
              </w:rPr>
              <w:t>1、本品不可与碱性物质混用。 2、注意避光保存，开启包装后最好一次性用完，配制好的水溶液不易久存，现配现用。 3、使用本品时应穿长衣长裤、戴手套、眼镜、口罩等，此时不可吃东西、喝水和吸烟；施药后应及时清洗干净手脸等。 4、水产养殖区、河塘等水体附近禁用，禁止在河塘等水域清洗施药器具；鱼或虾蟹套养稻田禁用，施药后的田水不得直接排入水体。 5、孕妇及哺乳期女禁止接触本品。 6、用过的包装应妥善处理，不可做他用，也不可随意丢弃。7、避免与氧化剂接触。8、该产品为易燃液体。</w:t>
            </w:r>
          </w:p>
        </w:tc>
      </w:tr>
      <w:tr w14:paraId="53AF8525">
        <w:tblPrEx>
          <w:tblCellMar>
            <w:top w:w="0" w:type="dxa"/>
            <w:left w:w="0" w:type="dxa"/>
            <w:bottom w:w="0" w:type="dxa"/>
            <w:right w:w="0" w:type="dxa"/>
          </w:tblCellMar>
        </w:tblPrEx>
        <w:trPr>
          <w:wBefore w:w="0" w:type="auto"/>
          <w:tblCellSpacing w:w="0" w:type="dxa"/>
        </w:trPr>
        <w:tc>
          <w:tcPr>
            <w:tcW w:w="0" w:type="auto"/>
            <w:noWrap w:val="0"/>
            <w:vAlign w:val="center"/>
          </w:tcPr>
          <w:p w14:paraId="32ACDB7B">
            <w:r>
              <w:rPr>
                <w:rStyle w:val="10"/>
                <w:rFonts w:hint="eastAsia"/>
              </w:rPr>
              <w:t>中毒急救措施：</w:t>
            </w:r>
            <w:r>
              <w:rPr>
                <w:rFonts w:hint="eastAsia"/>
              </w:rPr>
              <w:br w:type="textWrapping"/>
            </w:r>
            <w:r>
              <w:rPr>
                <w:rStyle w:val="11"/>
                <w:rFonts w:hint="eastAsia"/>
              </w:rPr>
              <w:t xml:space="preserve">中毒症状：无典型症状。急救措施：如不慎溅入眼睛或接触皮肤，应立即用大量清水冲洗至少15分钟；如不慎吸入，应立即转移至空气流通处；如不慎误服，立即携此标签送医治疗。本品无特殊解毒剂，可对症治疗。 </w:t>
            </w:r>
          </w:p>
        </w:tc>
      </w:tr>
      <w:tr w14:paraId="602FF600">
        <w:tblPrEx>
          <w:tblCellMar>
            <w:top w:w="0" w:type="dxa"/>
            <w:left w:w="0" w:type="dxa"/>
            <w:bottom w:w="0" w:type="dxa"/>
            <w:right w:w="0" w:type="dxa"/>
          </w:tblCellMar>
        </w:tblPrEx>
        <w:trPr>
          <w:wBefore w:w="0" w:type="auto"/>
          <w:tblCellSpacing w:w="0" w:type="dxa"/>
        </w:trPr>
        <w:tc>
          <w:tcPr>
            <w:tcW w:w="0" w:type="auto"/>
            <w:noWrap w:val="0"/>
            <w:vAlign w:val="center"/>
          </w:tcPr>
          <w:p w14:paraId="78E2E705">
            <w:r>
              <w:rPr>
                <w:rStyle w:val="10"/>
                <w:rFonts w:hint="eastAsia"/>
              </w:rPr>
              <w:t>储存和运输方法：</w:t>
            </w:r>
            <w:r>
              <w:rPr>
                <w:rFonts w:hint="eastAsia"/>
              </w:rPr>
              <w:br w:type="textWrapping"/>
            </w:r>
            <w:r>
              <w:rPr>
                <w:rStyle w:val="11"/>
                <w:rFonts w:hint="eastAsia"/>
              </w:rPr>
              <w:t xml:space="preserve">本品应密封包装，置于阴凉避光、干燥通风处。远离火源和热源，与强氧化剂分开存放。置于儿童触及不到之处，并加锁。勿与食品、饮料、粮食、饲料等物品同贮同运。 </w:t>
            </w:r>
          </w:p>
        </w:tc>
      </w:tr>
      <w:tr w14:paraId="47405E1E">
        <w:tblPrEx>
          <w:tblCellMar>
            <w:top w:w="0" w:type="dxa"/>
            <w:left w:w="0" w:type="dxa"/>
            <w:bottom w:w="0" w:type="dxa"/>
            <w:right w:w="0" w:type="dxa"/>
          </w:tblCellMar>
        </w:tblPrEx>
        <w:trPr>
          <w:wBefore w:w="0" w:type="auto"/>
          <w:tblCellSpacing w:w="0" w:type="dxa"/>
        </w:trPr>
        <w:tc>
          <w:tcPr>
            <w:tcW w:w="0" w:type="auto"/>
            <w:noWrap w:val="0"/>
            <w:vAlign w:val="center"/>
          </w:tcPr>
          <w:p w14:paraId="72917D23">
            <w:r>
              <w:rPr>
                <w:rStyle w:val="10"/>
                <w:rFonts w:hint="eastAsia"/>
              </w:rPr>
              <w:t>质量保证期：</w:t>
            </w:r>
            <w:r>
              <w:rPr>
                <w:rStyle w:val="11"/>
                <w:rFonts w:hint="eastAsia"/>
              </w:rPr>
              <w:t>2年</w:t>
            </w:r>
          </w:p>
        </w:tc>
      </w:tr>
      <w:tr w14:paraId="61494CE2">
        <w:tblPrEx>
          <w:tblCellMar>
            <w:top w:w="0" w:type="dxa"/>
            <w:left w:w="0" w:type="dxa"/>
            <w:bottom w:w="0" w:type="dxa"/>
            <w:right w:w="0" w:type="dxa"/>
          </w:tblCellMar>
        </w:tblPrEx>
        <w:trPr>
          <w:wBefore w:w="0" w:type="auto"/>
          <w:tblCellSpacing w:w="0" w:type="dxa"/>
        </w:trPr>
        <w:tc>
          <w:tcPr>
            <w:tcW w:w="0" w:type="auto"/>
            <w:noWrap w:val="0"/>
            <w:vAlign w:val="center"/>
          </w:tcPr>
          <w:p w14:paraId="658DE7BF">
            <w:r>
              <w:rPr>
                <w:rStyle w:val="10"/>
                <w:rFonts w:hint="eastAsia"/>
              </w:rPr>
              <w:t>备注：</w:t>
            </w:r>
          </w:p>
        </w:tc>
      </w:tr>
    </w:tbl>
    <w:p w14:paraId="0814B59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7B9FE3">
        <w:tblPrEx>
          <w:tblCellMar>
            <w:top w:w="0" w:type="dxa"/>
            <w:left w:w="0" w:type="dxa"/>
            <w:bottom w:w="0" w:type="dxa"/>
            <w:right w:w="0" w:type="dxa"/>
          </w:tblCellMar>
        </w:tblPrEx>
        <w:trPr>
          <w:wBefore w:w="0" w:type="auto"/>
          <w:tblCellSpacing w:w="0" w:type="dxa"/>
        </w:trPr>
        <w:tc>
          <w:tcPr>
            <w:tcW w:w="0" w:type="auto"/>
            <w:noWrap w:val="0"/>
            <w:vAlign w:val="center"/>
          </w:tcPr>
          <w:p w14:paraId="5F4418EC">
            <w:r>
              <w:rPr>
                <w:rStyle w:val="10"/>
                <w:rFonts w:hint="eastAsia"/>
              </w:rPr>
              <w:t>登记证号：</w:t>
            </w:r>
            <w:r>
              <w:rPr>
                <w:rFonts w:hint="eastAsia"/>
              </w:rPr>
              <w:t>PD20212255</w:t>
            </w:r>
          </w:p>
        </w:tc>
      </w:tr>
      <w:tr w14:paraId="3AC611D2">
        <w:tblPrEx>
          <w:tblCellMar>
            <w:top w:w="0" w:type="dxa"/>
            <w:left w:w="0" w:type="dxa"/>
            <w:bottom w:w="0" w:type="dxa"/>
            <w:right w:w="0" w:type="dxa"/>
          </w:tblCellMar>
        </w:tblPrEx>
        <w:trPr>
          <w:wBefore w:w="0" w:type="auto"/>
          <w:tblCellSpacing w:w="0" w:type="dxa"/>
        </w:trPr>
        <w:tc>
          <w:tcPr>
            <w:tcW w:w="0" w:type="auto"/>
            <w:noWrap w:val="0"/>
            <w:vAlign w:val="center"/>
          </w:tcPr>
          <w:p w14:paraId="3B9BDF8D">
            <w:r>
              <w:rPr>
                <w:rStyle w:val="10"/>
                <w:rFonts w:hint="eastAsia"/>
              </w:rPr>
              <w:t>登记证持有人：</w:t>
            </w:r>
            <w:r>
              <w:rPr>
                <w:rFonts w:hint="eastAsia"/>
              </w:rPr>
              <w:t>黑龙江华诺生物科技有限责任公司</w:t>
            </w:r>
          </w:p>
        </w:tc>
      </w:tr>
      <w:tr w14:paraId="60842905">
        <w:tblPrEx>
          <w:tblCellMar>
            <w:top w:w="0" w:type="dxa"/>
            <w:left w:w="0" w:type="dxa"/>
            <w:bottom w:w="0" w:type="dxa"/>
            <w:right w:w="0" w:type="dxa"/>
          </w:tblCellMar>
        </w:tblPrEx>
        <w:trPr>
          <w:wBefore w:w="0" w:type="auto"/>
          <w:tblCellSpacing w:w="0" w:type="dxa"/>
        </w:trPr>
        <w:tc>
          <w:tcPr>
            <w:tcW w:w="0" w:type="auto"/>
            <w:noWrap w:val="0"/>
            <w:vAlign w:val="center"/>
          </w:tcPr>
          <w:p w14:paraId="1A9FD8B2">
            <w:r>
              <w:rPr>
                <w:rStyle w:val="10"/>
                <w:rFonts w:hint="eastAsia"/>
              </w:rPr>
              <w:t>农药名称：</w:t>
            </w:r>
            <w:r>
              <w:rPr>
                <w:rFonts w:hint="eastAsia"/>
              </w:rPr>
              <w:t>丙炔氟草胺</w:t>
            </w:r>
          </w:p>
        </w:tc>
      </w:tr>
      <w:tr w14:paraId="553C45B5">
        <w:tblPrEx>
          <w:tblCellMar>
            <w:top w:w="0" w:type="dxa"/>
            <w:left w:w="0" w:type="dxa"/>
            <w:bottom w:w="0" w:type="dxa"/>
            <w:right w:w="0" w:type="dxa"/>
          </w:tblCellMar>
        </w:tblPrEx>
        <w:trPr>
          <w:wBefore w:w="0" w:type="auto"/>
          <w:tblCellSpacing w:w="0" w:type="dxa"/>
        </w:trPr>
        <w:tc>
          <w:tcPr>
            <w:tcW w:w="0" w:type="auto"/>
            <w:noWrap w:val="0"/>
            <w:vAlign w:val="center"/>
          </w:tcPr>
          <w:p w14:paraId="261B184D">
            <w:r>
              <w:rPr>
                <w:rStyle w:val="10"/>
                <w:rFonts w:hint="eastAsia"/>
              </w:rPr>
              <w:t>剂型：</w:t>
            </w:r>
            <w:r>
              <w:rPr>
                <w:rFonts w:hint="eastAsia"/>
              </w:rPr>
              <w:t>悬浮剂</w:t>
            </w:r>
          </w:p>
        </w:tc>
      </w:tr>
      <w:tr w14:paraId="1A6A1027">
        <w:tblPrEx>
          <w:tblCellMar>
            <w:top w:w="0" w:type="dxa"/>
            <w:left w:w="0" w:type="dxa"/>
            <w:bottom w:w="0" w:type="dxa"/>
            <w:right w:w="0" w:type="dxa"/>
          </w:tblCellMar>
        </w:tblPrEx>
        <w:trPr>
          <w:wBefore w:w="0" w:type="auto"/>
          <w:tblCellSpacing w:w="0" w:type="dxa"/>
        </w:trPr>
        <w:tc>
          <w:tcPr>
            <w:tcW w:w="0" w:type="auto"/>
            <w:noWrap w:val="0"/>
            <w:vAlign w:val="center"/>
          </w:tcPr>
          <w:p w14:paraId="386172DC">
            <w:r>
              <w:rPr>
                <w:rStyle w:val="10"/>
                <w:rFonts w:hint="eastAsia"/>
              </w:rPr>
              <w:t>毒性及其标识：</w:t>
            </w:r>
            <w:r>
              <w:rPr>
                <w:rFonts w:hint="eastAsia"/>
              </w:rPr>
              <w:t xml:space="preserve"> </w:t>
            </w:r>
            <w:r>
              <w:rPr>
                <w:lang/>
              </w:rPr>
              <w:drawing>
                <wp:inline distT="0" distB="0" distL="114300" distR="114300">
                  <wp:extent cx="476250" cy="323850"/>
                  <wp:effectExtent l="0" t="0" r="0" b="0"/>
                  <wp:docPr id="379" name="图片 37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B4E2604">
        <w:tblPrEx>
          <w:tblCellMar>
            <w:top w:w="0" w:type="dxa"/>
            <w:left w:w="0" w:type="dxa"/>
            <w:bottom w:w="0" w:type="dxa"/>
            <w:right w:w="0" w:type="dxa"/>
          </w:tblCellMar>
        </w:tblPrEx>
        <w:trPr>
          <w:wBefore w:w="0" w:type="auto"/>
          <w:tblCellSpacing w:w="0" w:type="dxa"/>
        </w:trPr>
        <w:tc>
          <w:tcPr>
            <w:tcW w:w="0" w:type="auto"/>
            <w:noWrap w:val="0"/>
            <w:vAlign w:val="center"/>
          </w:tcPr>
          <w:p w14:paraId="638BBEE4">
            <w:r>
              <w:rPr>
                <w:rStyle w:val="10"/>
                <w:rFonts w:hint="eastAsia"/>
              </w:rPr>
              <w:t>总有效成分含量：</w:t>
            </w:r>
            <w:r>
              <w:rPr>
                <w:rFonts w:hint="eastAsia"/>
              </w:rPr>
              <w:t>30%</w:t>
            </w:r>
          </w:p>
        </w:tc>
      </w:tr>
      <w:tr w14:paraId="429DE41D">
        <w:tblPrEx>
          <w:tblCellMar>
            <w:top w:w="0" w:type="dxa"/>
            <w:left w:w="0" w:type="dxa"/>
            <w:bottom w:w="0" w:type="dxa"/>
            <w:right w:w="0" w:type="dxa"/>
          </w:tblCellMar>
        </w:tblPrEx>
        <w:trPr>
          <w:wBefore w:w="0" w:type="auto"/>
          <w:tblCellSpacing w:w="0" w:type="dxa"/>
        </w:trPr>
        <w:tc>
          <w:tcPr>
            <w:tcW w:w="0" w:type="auto"/>
            <w:noWrap w:val="0"/>
            <w:vAlign w:val="center"/>
          </w:tcPr>
          <w:p w14:paraId="347B5682">
            <w:r>
              <w:rPr>
                <w:rFonts w:hint="eastAsia"/>
              </w:rPr>
              <w:t xml:space="preserve">有效成分及其含量： </w:t>
            </w:r>
          </w:p>
          <w:p w14:paraId="164E6368">
            <w:r>
              <w:rPr>
                <w:rFonts w:hint="eastAsia"/>
              </w:rPr>
              <w:t xml:space="preserve">    丙炔氟草胺30%    </w:t>
            </w:r>
          </w:p>
        </w:tc>
      </w:tr>
      <w:tr w14:paraId="6E7EDB10">
        <w:tblPrEx>
          <w:tblCellMar>
            <w:top w:w="0" w:type="dxa"/>
            <w:left w:w="0" w:type="dxa"/>
            <w:bottom w:w="0" w:type="dxa"/>
            <w:right w:w="0" w:type="dxa"/>
          </w:tblCellMar>
        </w:tblPrEx>
        <w:trPr>
          <w:wBefore w:w="0" w:type="auto"/>
          <w:tblCellSpacing w:w="0" w:type="dxa"/>
        </w:trPr>
        <w:tc>
          <w:tcPr>
            <w:tcW w:w="0" w:type="auto"/>
            <w:noWrap w:val="0"/>
            <w:vAlign w:val="center"/>
          </w:tcPr>
          <w:p w14:paraId="2533E28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383E89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518ECD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660FBC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CC5095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7F958B">
                  <w:r>
                    <w:rPr>
                      <w:rStyle w:val="11"/>
                      <w:rFonts w:hint="eastAsia"/>
                    </w:rPr>
                    <w:t>施用方式</w:t>
                  </w:r>
                </w:p>
              </w:tc>
            </w:tr>
            <w:tr w14:paraId="56673B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3E59B6">
                  <w:r>
                    <w:rPr>
                      <w:rStyle w:val="11"/>
                      <w:rFonts w:hint="eastAsia"/>
                    </w:rPr>
                    <w:t>春大豆田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6D047A">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8E224E">
                  <w:r>
                    <w:rPr>
                      <w:rStyle w:val="11"/>
                      <w:rFonts w:hint="eastAsia"/>
                    </w:rPr>
                    <w:t>13-15毫升/亩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21CE0E">
                  <w:r>
                    <w:rPr>
                      <w:rStyle w:val="11"/>
                      <w:rFonts w:hint="eastAsia"/>
                    </w:rPr>
                    <w:t>土壤喷雾</w:t>
                  </w:r>
                </w:p>
              </w:tc>
            </w:tr>
          </w:tbl>
          <w:p w14:paraId="45103147">
            <w:pPr>
              <w:rPr>
                <w:rFonts w:ascii="Times New Roman" w:hAnsi="Times New Roman" w:cs="Times New Roman"/>
                <w:sz w:val="20"/>
                <w:szCs w:val="20"/>
              </w:rPr>
            </w:pPr>
          </w:p>
        </w:tc>
      </w:tr>
      <w:tr w14:paraId="5F451B82">
        <w:tblPrEx>
          <w:tblCellMar>
            <w:top w:w="0" w:type="dxa"/>
            <w:left w:w="0" w:type="dxa"/>
            <w:bottom w:w="0" w:type="dxa"/>
            <w:right w:w="0" w:type="dxa"/>
          </w:tblCellMar>
        </w:tblPrEx>
        <w:trPr>
          <w:wBefore w:w="0" w:type="auto"/>
          <w:tblCellSpacing w:w="0" w:type="dxa"/>
        </w:trPr>
        <w:tc>
          <w:tcPr>
            <w:tcW w:w="0" w:type="auto"/>
            <w:noWrap w:val="0"/>
            <w:vAlign w:val="center"/>
          </w:tcPr>
          <w:p w14:paraId="42B5BF3C">
            <w:r>
              <w:rPr>
                <w:rStyle w:val="10"/>
                <w:rFonts w:hint="eastAsia"/>
              </w:rPr>
              <w:t>使用技术要求:</w:t>
            </w:r>
            <w:r>
              <w:rPr>
                <w:rFonts w:hint="eastAsia"/>
              </w:rPr>
              <w:br w:type="textWrapping"/>
            </w:r>
            <w:r>
              <w:rPr>
                <w:rStyle w:val="11"/>
                <w:rFonts w:hint="eastAsia"/>
              </w:rPr>
              <w:t>1.于春大豆播后苗前土壤喷雾处理，施药一次，大豆播后应尽早用药，一般不超过播后3天。 2.每季作物使用次数为1次，安全间隔期为收获期。3.以禾本科杂草为主的田块不建议使用；喷雾均匀周到，切勿漏喷或重喷。</w:t>
            </w:r>
          </w:p>
        </w:tc>
      </w:tr>
      <w:tr w14:paraId="27393AE7">
        <w:tblPrEx>
          <w:tblCellMar>
            <w:top w:w="0" w:type="dxa"/>
            <w:left w:w="0" w:type="dxa"/>
            <w:bottom w:w="0" w:type="dxa"/>
            <w:right w:w="0" w:type="dxa"/>
          </w:tblCellMar>
        </w:tblPrEx>
        <w:trPr>
          <w:wBefore w:w="0" w:type="auto"/>
          <w:tblCellSpacing w:w="0" w:type="dxa"/>
        </w:trPr>
        <w:tc>
          <w:tcPr>
            <w:tcW w:w="0" w:type="auto"/>
            <w:noWrap w:val="0"/>
            <w:vAlign w:val="center"/>
          </w:tcPr>
          <w:p w14:paraId="372C4172">
            <w:r>
              <w:rPr>
                <w:rStyle w:val="10"/>
                <w:rFonts w:hint="eastAsia"/>
              </w:rPr>
              <w:t>产品性能:</w:t>
            </w:r>
            <w:r>
              <w:rPr>
                <w:rFonts w:hint="eastAsia"/>
              </w:rPr>
              <w:br w:type="textWrapping"/>
            </w:r>
            <w:r>
              <w:rPr>
                <w:rStyle w:val="11"/>
                <w:rFonts w:hint="eastAsia"/>
              </w:rPr>
              <w:t>丙炔氟草胺是一种触杀型的选择性除草剂，本品处理土壤表面后，在土壤表层形成处理层，等到杂草发芽时幼芽接触药剂处理层即枯死，可用于防治春大豆田一年生杂草。</w:t>
            </w:r>
          </w:p>
        </w:tc>
      </w:tr>
      <w:tr w14:paraId="224A4CCE">
        <w:tblPrEx>
          <w:tblCellMar>
            <w:top w:w="0" w:type="dxa"/>
            <w:left w:w="0" w:type="dxa"/>
            <w:bottom w:w="0" w:type="dxa"/>
            <w:right w:w="0" w:type="dxa"/>
          </w:tblCellMar>
        </w:tblPrEx>
        <w:trPr>
          <w:wBefore w:w="0" w:type="auto"/>
          <w:tblCellSpacing w:w="0" w:type="dxa"/>
        </w:trPr>
        <w:tc>
          <w:tcPr>
            <w:tcW w:w="0" w:type="auto"/>
            <w:noWrap w:val="0"/>
            <w:vAlign w:val="center"/>
          </w:tcPr>
          <w:p w14:paraId="383F9860">
            <w:r>
              <w:rPr>
                <w:rStyle w:val="10"/>
                <w:rFonts w:hint="eastAsia"/>
              </w:rPr>
              <w:t>注意事项：</w:t>
            </w:r>
            <w:r>
              <w:rPr>
                <w:rFonts w:hint="eastAsia"/>
              </w:rPr>
              <w:br w:type="textWrapping"/>
            </w:r>
            <w:r>
              <w:rPr>
                <w:rStyle w:val="11"/>
                <w:rFonts w:hint="eastAsia"/>
              </w:rPr>
              <w:t>1、本品不可过量使用，大豆拱土或出苗期不能施药。 2、禾本科杂草较多的田块，推荐和防禾本科杂草的除草剂混用。避免药液飘移到敏感作物田。3、远离水产养殖区、河塘等附近施药，禁止在河塘等水体中清洗施药器具。用过的容器应妥善处理，不可做他用，也不可随意丢弃。 4、使用本品时应穿戴防护服、口罩和手套等，避免吸入药液。施药期间不可吃东西、饮水、吸烟等。施药后，彻底清洗器械，并立即用肥皂洗手、洗脸等。 5、避免孕妇及哺乳期的妇女接触本品。</w:t>
            </w:r>
          </w:p>
        </w:tc>
      </w:tr>
      <w:tr w14:paraId="174CC996">
        <w:tblPrEx>
          <w:tblCellMar>
            <w:top w:w="0" w:type="dxa"/>
            <w:left w:w="0" w:type="dxa"/>
            <w:bottom w:w="0" w:type="dxa"/>
            <w:right w:w="0" w:type="dxa"/>
          </w:tblCellMar>
        </w:tblPrEx>
        <w:trPr>
          <w:wBefore w:w="0" w:type="auto"/>
          <w:tblCellSpacing w:w="0" w:type="dxa"/>
        </w:trPr>
        <w:tc>
          <w:tcPr>
            <w:tcW w:w="0" w:type="auto"/>
            <w:noWrap w:val="0"/>
            <w:vAlign w:val="center"/>
          </w:tcPr>
          <w:p w14:paraId="7F6B3462">
            <w:r>
              <w:rPr>
                <w:rStyle w:val="10"/>
                <w:rFonts w:hint="eastAsia"/>
              </w:rPr>
              <w:t>中毒急救措施：</w:t>
            </w:r>
            <w:r>
              <w:rPr>
                <w:rFonts w:hint="eastAsia"/>
              </w:rPr>
              <w:br w:type="textWrapping"/>
            </w:r>
            <w:r>
              <w:rPr>
                <w:rStyle w:val="11"/>
                <w:rFonts w:hint="eastAsia"/>
              </w:rPr>
              <w:t>1、使用中或使用后，如果感觉不适，应立即停止工作，采取急救措施。若溅入眼睛，用大量清水冲洗至少15分钟，仍有不适时，就医。 2、若皮肤沾染，用肥皂水及清水冲洗干净。 3、若不慎吸入，将患者移至空气流通处。 4、如误服中毒，立即携此标签送医院。对症治疗。无特效解毒剂。</w:t>
            </w:r>
          </w:p>
        </w:tc>
      </w:tr>
      <w:tr w14:paraId="59E02673">
        <w:tblPrEx>
          <w:tblCellMar>
            <w:top w:w="0" w:type="dxa"/>
            <w:left w:w="0" w:type="dxa"/>
            <w:bottom w:w="0" w:type="dxa"/>
            <w:right w:w="0" w:type="dxa"/>
          </w:tblCellMar>
        </w:tblPrEx>
        <w:trPr>
          <w:wBefore w:w="0" w:type="auto"/>
          <w:tblCellSpacing w:w="0" w:type="dxa"/>
        </w:trPr>
        <w:tc>
          <w:tcPr>
            <w:tcW w:w="0" w:type="auto"/>
            <w:noWrap w:val="0"/>
            <w:vAlign w:val="center"/>
          </w:tcPr>
          <w:p w14:paraId="322ABE39">
            <w:r>
              <w:rPr>
                <w:rStyle w:val="10"/>
                <w:rFonts w:hint="eastAsia"/>
              </w:rPr>
              <w:t>储存和运输方法：</w:t>
            </w:r>
            <w:r>
              <w:rPr>
                <w:rFonts w:hint="eastAsia"/>
              </w:rPr>
              <w:br w:type="textWrapping"/>
            </w:r>
            <w:r>
              <w:rPr>
                <w:rStyle w:val="11"/>
                <w:rFonts w:hint="eastAsia"/>
              </w:rPr>
              <w:t>包装件应放在通风、干燥的仓库中。贮运时，应防潮、防日晒、保持干燥，不得重压与碰撞，不得与种子、饲料、食物混放，避免与皮肤、眼睛接触，防止从口鼻吸入。避免与氧化剂接触。</w:t>
            </w:r>
          </w:p>
        </w:tc>
      </w:tr>
      <w:tr w14:paraId="36800360">
        <w:tblPrEx>
          <w:tblCellMar>
            <w:top w:w="0" w:type="dxa"/>
            <w:left w:w="0" w:type="dxa"/>
            <w:bottom w:w="0" w:type="dxa"/>
            <w:right w:w="0" w:type="dxa"/>
          </w:tblCellMar>
        </w:tblPrEx>
        <w:trPr>
          <w:wBefore w:w="0" w:type="auto"/>
          <w:tblCellSpacing w:w="0" w:type="dxa"/>
        </w:trPr>
        <w:tc>
          <w:tcPr>
            <w:tcW w:w="0" w:type="auto"/>
            <w:noWrap w:val="0"/>
            <w:vAlign w:val="center"/>
          </w:tcPr>
          <w:p w14:paraId="61890642">
            <w:r>
              <w:rPr>
                <w:rStyle w:val="10"/>
                <w:rFonts w:hint="eastAsia"/>
              </w:rPr>
              <w:t>质量保证期：</w:t>
            </w:r>
            <w:r>
              <w:rPr>
                <w:rStyle w:val="11"/>
                <w:rFonts w:hint="eastAsia"/>
              </w:rPr>
              <w:t>2年</w:t>
            </w:r>
          </w:p>
        </w:tc>
      </w:tr>
      <w:tr w14:paraId="4EF44C83">
        <w:tblPrEx>
          <w:tblCellMar>
            <w:top w:w="0" w:type="dxa"/>
            <w:left w:w="0" w:type="dxa"/>
            <w:bottom w:w="0" w:type="dxa"/>
            <w:right w:w="0" w:type="dxa"/>
          </w:tblCellMar>
        </w:tblPrEx>
        <w:trPr>
          <w:wBefore w:w="0" w:type="auto"/>
          <w:tblCellSpacing w:w="0" w:type="dxa"/>
        </w:trPr>
        <w:tc>
          <w:tcPr>
            <w:tcW w:w="0" w:type="auto"/>
            <w:noWrap w:val="0"/>
            <w:vAlign w:val="center"/>
          </w:tcPr>
          <w:p w14:paraId="10DB0A20">
            <w:r>
              <w:rPr>
                <w:rStyle w:val="10"/>
                <w:rFonts w:hint="eastAsia"/>
              </w:rPr>
              <w:t>备注：</w:t>
            </w:r>
          </w:p>
        </w:tc>
      </w:tr>
    </w:tbl>
    <w:p w14:paraId="3C40695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C31096A">
        <w:tblPrEx>
          <w:tblCellMar>
            <w:top w:w="0" w:type="dxa"/>
            <w:left w:w="0" w:type="dxa"/>
            <w:bottom w:w="0" w:type="dxa"/>
            <w:right w:w="0" w:type="dxa"/>
          </w:tblCellMar>
        </w:tblPrEx>
        <w:trPr>
          <w:wBefore w:w="0" w:type="auto"/>
          <w:tblCellSpacing w:w="0" w:type="dxa"/>
        </w:trPr>
        <w:tc>
          <w:tcPr>
            <w:tcW w:w="0" w:type="auto"/>
            <w:noWrap w:val="0"/>
            <w:vAlign w:val="center"/>
          </w:tcPr>
          <w:p w14:paraId="2ED436BC">
            <w:r>
              <w:rPr>
                <w:rStyle w:val="10"/>
                <w:rFonts w:hint="eastAsia"/>
              </w:rPr>
              <w:t>登记证号：</w:t>
            </w:r>
            <w:r>
              <w:rPr>
                <w:rFonts w:hint="eastAsia"/>
              </w:rPr>
              <w:t>PD20211945</w:t>
            </w:r>
          </w:p>
        </w:tc>
      </w:tr>
      <w:tr w14:paraId="3AF6C79A">
        <w:tblPrEx>
          <w:tblCellMar>
            <w:top w:w="0" w:type="dxa"/>
            <w:left w:w="0" w:type="dxa"/>
            <w:bottom w:w="0" w:type="dxa"/>
            <w:right w:w="0" w:type="dxa"/>
          </w:tblCellMar>
        </w:tblPrEx>
        <w:trPr>
          <w:wBefore w:w="0" w:type="auto"/>
          <w:tblCellSpacing w:w="0" w:type="dxa"/>
        </w:trPr>
        <w:tc>
          <w:tcPr>
            <w:tcW w:w="0" w:type="auto"/>
            <w:noWrap w:val="0"/>
            <w:vAlign w:val="center"/>
          </w:tcPr>
          <w:p w14:paraId="32566225">
            <w:r>
              <w:rPr>
                <w:rStyle w:val="10"/>
                <w:rFonts w:hint="eastAsia"/>
              </w:rPr>
              <w:t>登记证持有人：</w:t>
            </w:r>
            <w:r>
              <w:rPr>
                <w:rFonts w:hint="eastAsia"/>
              </w:rPr>
              <w:t>陕西亿田丰作物科技有限公司</w:t>
            </w:r>
          </w:p>
        </w:tc>
      </w:tr>
      <w:tr w14:paraId="7054A0D2">
        <w:tblPrEx>
          <w:tblCellMar>
            <w:top w:w="0" w:type="dxa"/>
            <w:left w:w="0" w:type="dxa"/>
            <w:bottom w:w="0" w:type="dxa"/>
            <w:right w:w="0" w:type="dxa"/>
          </w:tblCellMar>
        </w:tblPrEx>
        <w:trPr>
          <w:wBefore w:w="0" w:type="auto"/>
          <w:tblCellSpacing w:w="0" w:type="dxa"/>
        </w:trPr>
        <w:tc>
          <w:tcPr>
            <w:tcW w:w="0" w:type="auto"/>
            <w:noWrap w:val="0"/>
            <w:vAlign w:val="center"/>
          </w:tcPr>
          <w:p w14:paraId="29598BB5">
            <w:r>
              <w:rPr>
                <w:rStyle w:val="10"/>
                <w:rFonts w:hint="eastAsia"/>
              </w:rPr>
              <w:t>农药名称：</w:t>
            </w:r>
            <w:r>
              <w:rPr>
                <w:rFonts w:hint="eastAsia"/>
              </w:rPr>
              <w:t>精甲霜灵·烯酰吗啉</w:t>
            </w:r>
          </w:p>
        </w:tc>
      </w:tr>
      <w:tr w14:paraId="0ABB8777">
        <w:tblPrEx>
          <w:tblCellMar>
            <w:top w:w="0" w:type="dxa"/>
            <w:left w:w="0" w:type="dxa"/>
            <w:bottom w:w="0" w:type="dxa"/>
            <w:right w:w="0" w:type="dxa"/>
          </w:tblCellMar>
        </w:tblPrEx>
        <w:trPr>
          <w:wBefore w:w="0" w:type="auto"/>
          <w:tblCellSpacing w:w="0" w:type="dxa"/>
        </w:trPr>
        <w:tc>
          <w:tcPr>
            <w:tcW w:w="0" w:type="auto"/>
            <w:noWrap w:val="0"/>
            <w:vAlign w:val="center"/>
          </w:tcPr>
          <w:p w14:paraId="776C3A34">
            <w:r>
              <w:rPr>
                <w:rStyle w:val="10"/>
                <w:rFonts w:hint="eastAsia"/>
              </w:rPr>
              <w:t>剂型：</w:t>
            </w:r>
            <w:r>
              <w:rPr>
                <w:rFonts w:hint="eastAsia"/>
              </w:rPr>
              <w:t>悬浮剂</w:t>
            </w:r>
          </w:p>
        </w:tc>
      </w:tr>
      <w:tr w14:paraId="3933CFFA">
        <w:tblPrEx>
          <w:tblCellMar>
            <w:top w:w="0" w:type="dxa"/>
            <w:left w:w="0" w:type="dxa"/>
            <w:bottom w:w="0" w:type="dxa"/>
            <w:right w:w="0" w:type="dxa"/>
          </w:tblCellMar>
        </w:tblPrEx>
        <w:trPr>
          <w:wBefore w:w="0" w:type="auto"/>
          <w:tblCellSpacing w:w="0" w:type="dxa"/>
        </w:trPr>
        <w:tc>
          <w:tcPr>
            <w:tcW w:w="0" w:type="auto"/>
            <w:noWrap w:val="0"/>
            <w:vAlign w:val="center"/>
          </w:tcPr>
          <w:p w14:paraId="14CE69E3">
            <w:r>
              <w:rPr>
                <w:rStyle w:val="10"/>
                <w:rFonts w:hint="eastAsia"/>
              </w:rPr>
              <w:t>毒性及其标识：</w:t>
            </w:r>
            <w:r>
              <w:rPr>
                <w:rFonts w:hint="eastAsia"/>
              </w:rPr>
              <w:t xml:space="preserve"> </w:t>
            </w:r>
            <w:r>
              <w:rPr>
                <w:lang/>
              </w:rPr>
              <w:drawing>
                <wp:inline distT="0" distB="0" distL="114300" distR="114300">
                  <wp:extent cx="476250" cy="323850"/>
                  <wp:effectExtent l="0" t="0" r="0" b="0"/>
                  <wp:docPr id="380" name="图片 38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C93F4E3">
        <w:tblPrEx>
          <w:tblCellMar>
            <w:top w:w="0" w:type="dxa"/>
            <w:left w:w="0" w:type="dxa"/>
            <w:bottom w:w="0" w:type="dxa"/>
            <w:right w:w="0" w:type="dxa"/>
          </w:tblCellMar>
        </w:tblPrEx>
        <w:trPr>
          <w:wBefore w:w="0" w:type="auto"/>
          <w:tblCellSpacing w:w="0" w:type="dxa"/>
        </w:trPr>
        <w:tc>
          <w:tcPr>
            <w:tcW w:w="0" w:type="auto"/>
            <w:noWrap w:val="0"/>
            <w:vAlign w:val="center"/>
          </w:tcPr>
          <w:p w14:paraId="553C7B4E">
            <w:r>
              <w:rPr>
                <w:rStyle w:val="10"/>
                <w:rFonts w:hint="eastAsia"/>
              </w:rPr>
              <w:t>总有效成分含量：</w:t>
            </w:r>
            <w:r>
              <w:rPr>
                <w:rFonts w:hint="eastAsia"/>
              </w:rPr>
              <w:t>480克/升</w:t>
            </w:r>
          </w:p>
        </w:tc>
      </w:tr>
      <w:tr w14:paraId="11C7ACFB">
        <w:tblPrEx>
          <w:tblCellMar>
            <w:top w:w="0" w:type="dxa"/>
            <w:left w:w="0" w:type="dxa"/>
            <w:bottom w:w="0" w:type="dxa"/>
            <w:right w:w="0" w:type="dxa"/>
          </w:tblCellMar>
        </w:tblPrEx>
        <w:trPr>
          <w:wBefore w:w="0" w:type="auto"/>
          <w:tblCellSpacing w:w="0" w:type="dxa"/>
        </w:trPr>
        <w:tc>
          <w:tcPr>
            <w:tcW w:w="0" w:type="auto"/>
            <w:noWrap w:val="0"/>
            <w:vAlign w:val="center"/>
          </w:tcPr>
          <w:p w14:paraId="6C304B8E">
            <w:r>
              <w:rPr>
                <w:rFonts w:hint="eastAsia"/>
              </w:rPr>
              <w:t xml:space="preserve">有效成分及其含量： </w:t>
            </w:r>
          </w:p>
          <w:p w14:paraId="280C74E9">
            <w:r>
              <w:rPr>
                <w:rFonts w:hint="eastAsia"/>
              </w:rPr>
              <w:t xml:space="preserve">    精甲霜灵80克/升    烯酰吗啉400克/升    </w:t>
            </w:r>
          </w:p>
        </w:tc>
      </w:tr>
      <w:tr w14:paraId="7B1C2918">
        <w:tblPrEx>
          <w:tblCellMar>
            <w:top w:w="0" w:type="dxa"/>
            <w:left w:w="0" w:type="dxa"/>
            <w:bottom w:w="0" w:type="dxa"/>
            <w:right w:w="0" w:type="dxa"/>
          </w:tblCellMar>
        </w:tblPrEx>
        <w:trPr>
          <w:wBefore w:w="0" w:type="auto"/>
          <w:tblCellSpacing w:w="0" w:type="dxa"/>
        </w:trPr>
        <w:tc>
          <w:tcPr>
            <w:tcW w:w="0" w:type="auto"/>
            <w:noWrap w:val="0"/>
            <w:vAlign w:val="center"/>
          </w:tcPr>
          <w:p w14:paraId="1763D96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8CC91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64D653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7F7CB8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2A9349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80A7AEE">
                  <w:r>
                    <w:rPr>
                      <w:rStyle w:val="11"/>
                      <w:rFonts w:hint="eastAsia"/>
                    </w:rPr>
                    <w:t>施用方式</w:t>
                  </w:r>
                </w:p>
              </w:tc>
            </w:tr>
            <w:tr w14:paraId="578F99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85B3F44">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AFE7F1">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7A8494">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3FC115">
                  <w:r>
                    <w:rPr>
                      <w:rStyle w:val="11"/>
                      <w:rFonts w:hint="eastAsia"/>
                    </w:rPr>
                    <w:t>喷雾</w:t>
                  </w:r>
                </w:p>
              </w:tc>
            </w:tr>
          </w:tbl>
          <w:p w14:paraId="7CCBA6DB">
            <w:pPr>
              <w:rPr>
                <w:rFonts w:ascii="Times New Roman" w:hAnsi="Times New Roman" w:cs="Times New Roman"/>
                <w:sz w:val="20"/>
                <w:szCs w:val="20"/>
              </w:rPr>
            </w:pPr>
          </w:p>
        </w:tc>
      </w:tr>
      <w:tr w14:paraId="55326705">
        <w:tblPrEx>
          <w:tblCellMar>
            <w:top w:w="0" w:type="dxa"/>
            <w:left w:w="0" w:type="dxa"/>
            <w:bottom w:w="0" w:type="dxa"/>
            <w:right w:w="0" w:type="dxa"/>
          </w:tblCellMar>
        </w:tblPrEx>
        <w:trPr>
          <w:wBefore w:w="0" w:type="auto"/>
          <w:tblCellSpacing w:w="0" w:type="dxa"/>
        </w:trPr>
        <w:tc>
          <w:tcPr>
            <w:tcW w:w="0" w:type="auto"/>
            <w:noWrap w:val="0"/>
            <w:vAlign w:val="center"/>
          </w:tcPr>
          <w:p w14:paraId="777D930F">
            <w:r>
              <w:rPr>
                <w:rStyle w:val="10"/>
                <w:rFonts w:hint="eastAsia"/>
              </w:rPr>
              <w:t>使用技术要求:</w:t>
            </w:r>
            <w:r>
              <w:rPr>
                <w:rFonts w:hint="eastAsia"/>
              </w:rPr>
              <w:br w:type="textWrapping"/>
            </w:r>
            <w:r>
              <w:rPr>
                <w:rStyle w:val="11"/>
                <w:rFonts w:hint="eastAsia"/>
              </w:rPr>
              <w:t>1.本品适宜施药时期为葡萄霜霉病发病初期施药，间隔7-10天施药一次，共施药三次。2.大风天或预计1小时内降雨，请勿施药。3.本品在葡萄使用时的安全间隔期为14天，每季作物最多使用3次。</w:t>
            </w:r>
          </w:p>
        </w:tc>
      </w:tr>
      <w:tr w14:paraId="525DBFC6">
        <w:tblPrEx>
          <w:tblCellMar>
            <w:top w:w="0" w:type="dxa"/>
            <w:left w:w="0" w:type="dxa"/>
            <w:bottom w:w="0" w:type="dxa"/>
            <w:right w:w="0" w:type="dxa"/>
          </w:tblCellMar>
        </w:tblPrEx>
        <w:trPr>
          <w:wBefore w:w="0" w:type="auto"/>
          <w:tblCellSpacing w:w="0" w:type="dxa"/>
        </w:trPr>
        <w:tc>
          <w:tcPr>
            <w:tcW w:w="0" w:type="auto"/>
            <w:noWrap w:val="0"/>
            <w:vAlign w:val="center"/>
          </w:tcPr>
          <w:p w14:paraId="577ED8E4">
            <w:r>
              <w:rPr>
                <w:rStyle w:val="10"/>
                <w:rFonts w:hint="eastAsia"/>
              </w:rPr>
              <w:t>产品性能:</w:t>
            </w:r>
            <w:r>
              <w:rPr>
                <w:rFonts w:hint="eastAsia"/>
              </w:rPr>
              <w:br w:type="textWrapping"/>
            </w:r>
            <w:r>
              <w:rPr>
                <w:rStyle w:val="11"/>
                <w:rFonts w:hint="eastAsia"/>
              </w:rPr>
              <w:t>本品是由精甲霜灵与烯酰吗啉复配而成的杀菌剂。精甲霜灵作用机制是抑制病菌菌丝体内核糖体RNAⅠ和蛋白质的合成；烯酰吗啉作用机制是破坏细胞壁膜的形成，两者作用机制不同，混配使用可以有效防治葡萄霜霉病。</w:t>
            </w:r>
          </w:p>
        </w:tc>
      </w:tr>
      <w:tr w14:paraId="211ADB2E">
        <w:tblPrEx>
          <w:tblCellMar>
            <w:top w:w="0" w:type="dxa"/>
            <w:left w:w="0" w:type="dxa"/>
            <w:bottom w:w="0" w:type="dxa"/>
            <w:right w:w="0" w:type="dxa"/>
          </w:tblCellMar>
        </w:tblPrEx>
        <w:trPr>
          <w:wBefore w:w="0" w:type="auto"/>
          <w:tblCellSpacing w:w="0" w:type="dxa"/>
        </w:trPr>
        <w:tc>
          <w:tcPr>
            <w:tcW w:w="0" w:type="auto"/>
            <w:noWrap w:val="0"/>
            <w:vAlign w:val="center"/>
          </w:tcPr>
          <w:p w14:paraId="52F280E8">
            <w:r>
              <w:rPr>
                <w:rStyle w:val="10"/>
                <w:rFonts w:hint="eastAsia"/>
              </w:rPr>
              <w:t>注意事项：</w:t>
            </w:r>
            <w:r>
              <w:rPr>
                <w:rFonts w:hint="eastAsia"/>
              </w:rPr>
              <w:br w:type="textWrapping"/>
            </w:r>
            <w:r>
              <w:rPr>
                <w:rStyle w:val="11"/>
                <w:rFonts w:hint="eastAsia"/>
              </w:rPr>
              <w:t>（1）严格按规定用药量和方法使用。 （2）建议与其他作用机制不同的杀菌剂轮换使用，以延缓抗性产生。 （3）本品对鱼有毒，不可使用最外围桑树上的叶片饲喂家蚕；水产养殖区、河塘等水体附近禁用，禁止在河塘等水体中清洗施药器具。 （4）对眼睛有中度刺激性，使用时穿戴长衣长裤、帽子、口罩、手套、鞋等安全防护措施。施药期间不可吃东西、饮水、吸烟等；施药后应及时洗手、洗脸并洗涤施药时穿着的衣物。 （5）用药后包装物及用过的容器应妥善处理，不可做他用，也不可随意丢弃。 （6）孕妇及哺乳期妇女禁止接触本品。</w:t>
            </w:r>
          </w:p>
        </w:tc>
      </w:tr>
      <w:tr w14:paraId="3610C3E8">
        <w:tblPrEx>
          <w:tblCellMar>
            <w:top w:w="0" w:type="dxa"/>
            <w:left w:w="0" w:type="dxa"/>
            <w:bottom w:w="0" w:type="dxa"/>
            <w:right w:w="0" w:type="dxa"/>
          </w:tblCellMar>
        </w:tblPrEx>
        <w:trPr>
          <w:wBefore w:w="0" w:type="auto"/>
          <w:tblCellSpacing w:w="0" w:type="dxa"/>
        </w:trPr>
        <w:tc>
          <w:tcPr>
            <w:tcW w:w="0" w:type="auto"/>
            <w:noWrap w:val="0"/>
            <w:vAlign w:val="center"/>
          </w:tcPr>
          <w:p w14:paraId="02F7D2D1">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7016DA6B">
        <w:tblPrEx>
          <w:tblCellMar>
            <w:top w:w="0" w:type="dxa"/>
            <w:left w:w="0" w:type="dxa"/>
            <w:bottom w:w="0" w:type="dxa"/>
            <w:right w:w="0" w:type="dxa"/>
          </w:tblCellMar>
        </w:tblPrEx>
        <w:trPr>
          <w:wBefore w:w="0" w:type="auto"/>
          <w:tblCellSpacing w:w="0" w:type="dxa"/>
        </w:trPr>
        <w:tc>
          <w:tcPr>
            <w:tcW w:w="0" w:type="auto"/>
            <w:noWrap w:val="0"/>
            <w:vAlign w:val="center"/>
          </w:tcPr>
          <w:p w14:paraId="6796245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019B50AD">
        <w:tblPrEx>
          <w:tblCellMar>
            <w:top w:w="0" w:type="dxa"/>
            <w:left w:w="0" w:type="dxa"/>
            <w:bottom w:w="0" w:type="dxa"/>
            <w:right w:w="0" w:type="dxa"/>
          </w:tblCellMar>
        </w:tblPrEx>
        <w:trPr>
          <w:wBefore w:w="0" w:type="auto"/>
          <w:tblCellSpacing w:w="0" w:type="dxa"/>
        </w:trPr>
        <w:tc>
          <w:tcPr>
            <w:tcW w:w="0" w:type="auto"/>
            <w:noWrap w:val="0"/>
            <w:vAlign w:val="center"/>
          </w:tcPr>
          <w:p w14:paraId="2EB90824">
            <w:r>
              <w:rPr>
                <w:rStyle w:val="10"/>
                <w:rFonts w:hint="eastAsia"/>
              </w:rPr>
              <w:t>质量保证期：</w:t>
            </w:r>
            <w:r>
              <w:rPr>
                <w:rStyle w:val="11"/>
                <w:rFonts w:hint="eastAsia"/>
              </w:rPr>
              <w:t>2年</w:t>
            </w:r>
          </w:p>
        </w:tc>
      </w:tr>
      <w:tr w14:paraId="2BAD68DC">
        <w:tblPrEx>
          <w:tblCellMar>
            <w:top w:w="0" w:type="dxa"/>
            <w:left w:w="0" w:type="dxa"/>
            <w:bottom w:w="0" w:type="dxa"/>
            <w:right w:w="0" w:type="dxa"/>
          </w:tblCellMar>
        </w:tblPrEx>
        <w:trPr>
          <w:wBefore w:w="0" w:type="auto"/>
          <w:tblCellSpacing w:w="0" w:type="dxa"/>
        </w:trPr>
        <w:tc>
          <w:tcPr>
            <w:tcW w:w="0" w:type="auto"/>
            <w:noWrap w:val="0"/>
            <w:vAlign w:val="center"/>
          </w:tcPr>
          <w:p w14:paraId="02EC9899">
            <w:r>
              <w:rPr>
                <w:rStyle w:val="10"/>
                <w:rFonts w:hint="eastAsia"/>
              </w:rPr>
              <w:t>备注：</w:t>
            </w:r>
            <w:r>
              <w:rPr>
                <w:rFonts w:hint="eastAsia"/>
              </w:rPr>
              <w:br w:type="textWrapping"/>
            </w:r>
            <w:r>
              <w:rPr>
                <w:rStyle w:val="11"/>
                <w:rFonts w:hint="eastAsia"/>
              </w:rPr>
              <w:t>质量分数44.4%（精甲霜灵7.4%，烯酰吗啉37%）。</w:t>
            </w:r>
          </w:p>
        </w:tc>
      </w:tr>
    </w:tbl>
    <w:p w14:paraId="709B002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13366DC">
        <w:tblPrEx>
          <w:tblCellMar>
            <w:top w:w="0" w:type="dxa"/>
            <w:left w:w="0" w:type="dxa"/>
            <w:bottom w:w="0" w:type="dxa"/>
            <w:right w:w="0" w:type="dxa"/>
          </w:tblCellMar>
        </w:tblPrEx>
        <w:trPr>
          <w:wBefore w:w="0" w:type="auto"/>
          <w:tblCellSpacing w:w="0" w:type="dxa"/>
        </w:trPr>
        <w:tc>
          <w:tcPr>
            <w:tcW w:w="0" w:type="auto"/>
            <w:noWrap w:val="0"/>
            <w:vAlign w:val="center"/>
          </w:tcPr>
          <w:p w14:paraId="103A8770">
            <w:r>
              <w:rPr>
                <w:rStyle w:val="10"/>
                <w:rFonts w:hint="eastAsia"/>
              </w:rPr>
              <w:t>登记证号：</w:t>
            </w:r>
            <w:r>
              <w:rPr>
                <w:rFonts w:hint="eastAsia"/>
              </w:rPr>
              <w:t>PD20211807</w:t>
            </w:r>
          </w:p>
        </w:tc>
      </w:tr>
      <w:tr w14:paraId="2D1A8E06">
        <w:tblPrEx>
          <w:tblCellMar>
            <w:top w:w="0" w:type="dxa"/>
            <w:left w:w="0" w:type="dxa"/>
            <w:bottom w:w="0" w:type="dxa"/>
            <w:right w:w="0" w:type="dxa"/>
          </w:tblCellMar>
        </w:tblPrEx>
        <w:trPr>
          <w:wBefore w:w="0" w:type="auto"/>
          <w:tblCellSpacing w:w="0" w:type="dxa"/>
        </w:trPr>
        <w:tc>
          <w:tcPr>
            <w:tcW w:w="0" w:type="auto"/>
            <w:noWrap w:val="0"/>
            <w:vAlign w:val="center"/>
          </w:tcPr>
          <w:p w14:paraId="5BB5B190">
            <w:r>
              <w:rPr>
                <w:rStyle w:val="10"/>
                <w:rFonts w:hint="eastAsia"/>
              </w:rPr>
              <w:t>登记证持有人：</w:t>
            </w:r>
            <w:r>
              <w:rPr>
                <w:rFonts w:hint="eastAsia"/>
              </w:rPr>
              <w:t>陕西美邦药业集团股份有限公司</w:t>
            </w:r>
          </w:p>
        </w:tc>
      </w:tr>
      <w:tr w14:paraId="4D0D74FD">
        <w:tblPrEx>
          <w:tblCellMar>
            <w:top w:w="0" w:type="dxa"/>
            <w:left w:w="0" w:type="dxa"/>
            <w:bottom w:w="0" w:type="dxa"/>
            <w:right w:w="0" w:type="dxa"/>
          </w:tblCellMar>
        </w:tblPrEx>
        <w:trPr>
          <w:wBefore w:w="0" w:type="auto"/>
          <w:tblCellSpacing w:w="0" w:type="dxa"/>
        </w:trPr>
        <w:tc>
          <w:tcPr>
            <w:tcW w:w="0" w:type="auto"/>
            <w:noWrap w:val="0"/>
            <w:vAlign w:val="center"/>
          </w:tcPr>
          <w:p w14:paraId="3D62C3E6">
            <w:r>
              <w:rPr>
                <w:rStyle w:val="10"/>
                <w:rFonts w:hint="eastAsia"/>
              </w:rPr>
              <w:t>农药名称：</w:t>
            </w:r>
            <w:r>
              <w:rPr>
                <w:rFonts w:hint="eastAsia"/>
              </w:rPr>
              <w:t>氟啶·吡丙醚</w:t>
            </w:r>
          </w:p>
        </w:tc>
      </w:tr>
      <w:tr w14:paraId="5F5135B9">
        <w:tblPrEx>
          <w:tblCellMar>
            <w:top w:w="0" w:type="dxa"/>
            <w:left w:w="0" w:type="dxa"/>
            <w:bottom w:w="0" w:type="dxa"/>
            <w:right w:w="0" w:type="dxa"/>
          </w:tblCellMar>
        </w:tblPrEx>
        <w:trPr>
          <w:wBefore w:w="0" w:type="auto"/>
          <w:tblCellSpacing w:w="0" w:type="dxa"/>
        </w:trPr>
        <w:tc>
          <w:tcPr>
            <w:tcW w:w="0" w:type="auto"/>
            <w:noWrap w:val="0"/>
            <w:vAlign w:val="center"/>
          </w:tcPr>
          <w:p w14:paraId="5AAE92AF">
            <w:r>
              <w:rPr>
                <w:rStyle w:val="10"/>
                <w:rFonts w:hint="eastAsia"/>
              </w:rPr>
              <w:t>剂型：</w:t>
            </w:r>
            <w:r>
              <w:rPr>
                <w:rFonts w:hint="eastAsia"/>
              </w:rPr>
              <w:t>悬浮剂</w:t>
            </w:r>
          </w:p>
        </w:tc>
      </w:tr>
      <w:tr w14:paraId="2E677646">
        <w:tblPrEx>
          <w:tblCellMar>
            <w:top w:w="0" w:type="dxa"/>
            <w:left w:w="0" w:type="dxa"/>
            <w:bottom w:w="0" w:type="dxa"/>
            <w:right w:w="0" w:type="dxa"/>
          </w:tblCellMar>
        </w:tblPrEx>
        <w:trPr>
          <w:wBefore w:w="0" w:type="auto"/>
          <w:tblCellSpacing w:w="0" w:type="dxa"/>
        </w:trPr>
        <w:tc>
          <w:tcPr>
            <w:tcW w:w="0" w:type="auto"/>
            <w:noWrap w:val="0"/>
            <w:vAlign w:val="center"/>
          </w:tcPr>
          <w:p w14:paraId="2D92D887">
            <w:r>
              <w:rPr>
                <w:rStyle w:val="10"/>
                <w:rFonts w:hint="eastAsia"/>
              </w:rPr>
              <w:t>毒性及其标识：</w:t>
            </w:r>
            <w:r>
              <w:rPr>
                <w:rFonts w:hint="eastAsia"/>
              </w:rPr>
              <w:t xml:space="preserve"> </w:t>
            </w:r>
            <w:r>
              <w:rPr>
                <w:lang/>
              </w:rPr>
              <w:drawing>
                <wp:inline distT="0" distB="0" distL="114300" distR="114300">
                  <wp:extent cx="476250" cy="323850"/>
                  <wp:effectExtent l="0" t="0" r="0" b="0"/>
                  <wp:docPr id="381" name="图片 38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1D506D">
        <w:tblPrEx>
          <w:tblCellMar>
            <w:top w:w="0" w:type="dxa"/>
            <w:left w:w="0" w:type="dxa"/>
            <w:bottom w:w="0" w:type="dxa"/>
            <w:right w:w="0" w:type="dxa"/>
          </w:tblCellMar>
        </w:tblPrEx>
        <w:trPr>
          <w:wBefore w:w="0" w:type="auto"/>
          <w:tblCellSpacing w:w="0" w:type="dxa"/>
        </w:trPr>
        <w:tc>
          <w:tcPr>
            <w:tcW w:w="0" w:type="auto"/>
            <w:noWrap w:val="0"/>
            <w:vAlign w:val="center"/>
          </w:tcPr>
          <w:p w14:paraId="3E875B28">
            <w:r>
              <w:rPr>
                <w:rStyle w:val="10"/>
                <w:rFonts w:hint="eastAsia"/>
              </w:rPr>
              <w:t>总有效成分含量：</w:t>
            </w:r>
            <w:r>
              <w:rPr>
                <w:rFonts w:hint="eastAsia"/>
              </w:rPr>
              <w:t>15%</w:t>
            </w:r>
          </w:p>
        </w:tc>
      </w:tr>
      <w:tr w14:paraId="6EA67531">
        <w:tblPrEx>
          <w:tblCellMar>
            <w:top w:w="0" w:type="dxa"/>
            <w:left w:w="0" w:type="dxa"/>
            <w:bottom w:w="0" w:type="dxa"/>
            <w:right w:w="0" w:type="dxa"/>
          </w:tblCellMar>
        </w:tblPrEx>
        <w:trPr>
          <w:wBefore w:w="0" w:type="auto"/>
          <w:tblCellSpacing w:w="0" w:type="dxa"/>
        </w:trPr>
        <w:tc>
          <w:tcPr>
            <w:tcW w:w="0" w:type="auto"/>
            <w:noWrap w:val="0"/>
            <w:vAlign w:val="center"/>
          </w:tcPr>
          <w:p w14:paraId="5483ECC4">
            <w:r>
              <w:rPr>
                <w:rFonts w:hint="eastAsia"/>
              </w:rPr>
              <w:t xml:space="preserve">有效成分及其含量： </w:t>
            </w:r>
          </w:p>
          <w:p w14:paraId="28BF65F4">
            <w:r>
              <w:rPr>
                <w:rFonts w:hint="eastAsia"/>
              </w:rPr>
              <w:t xml:space="preserve">    氟啶虫酰胺7.5%    吡丙醚7.5%    </w:t>
            </w:r>
          </w:p>
        </w:tc>
      </w:tr>
      <w:tr w14:paraId="50C1996D">
        <w:tblPrEx>
          <w:tblCellMar>
            <w:top w:w="0" w:type="dxa"/>
            <w:left w:w="0" w:type="dxa"/>
            <w:bottom w:w="0" w:type="dxa"/>
            <w:right w:w="0" w:type="dxa"/>
          </w:tblCellMar>
        </w:tblPrEx>
        <w:trPr>
          <w:wBefore w:w="0" w:type="auto"/>
          <w:tblCellSpacing w:w="0" w:type="dxa"/>
        </w:trPr>
        <w:tc>
          <w:tcPr>
            <w:tcW w:w="0" w:type="auto"/>
            <w:noWrap w:val="0"/>
            <w:vAlign w:val="center"/>
          </w:tcPr>
          <w:p w14:paraId="59B607E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6DBE3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A4EE13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C04BA9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F36F4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9FE401">
                  <w:r>
                    <w:rPr>
                      <w:rStyle w:val="11"/>
                      <w:rFonts w:hint="eastAsia"/>
                    </w:rPr>
                    <w:t>施用方式</w:t>
                  </w:r>
                </w:p>
              </w:tc>
            </w:tr>
            <w:tr w14:paraId="0892F2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C1DDDB">
                  <w:r>
                    <w:rPr>
                      <w:rStyle w:val="11"/>
                      <w:rFonts w:hint="eastAsia"/>
                    </w:rPr>
                    <w:t>枣树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518F07">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5E9D17">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3851C4">
                  <w:r>
                    <w:rPr>
                      <w:rStyle w:val="11"/>
                      <w:rFonts w:hint="eastAsia"/>
                    </w:rPr>
                    <w:t>喷雾</w:t>
                  </w:r>
                </w:p>
              </w:tc>
            </w:tr>
          </w:tbl>
          <w:p w14:paraId="434030EB">
            <w:pPr>
              <w:rPr>
                <w:rFonts w:ascii="Times New Roman" w:hAnsi="Times New Roman" w:cs="Times New Roman"/>
                <w:sz w:val="20"/>
                <w:szCs w:val="20"/>
              </w:rPr>
            </w:pPr>
          </w:p>
        </w:tc>
      </w:tr>
      <w:tr w14:paraId="5DC232CB">
        <w:tblPrEx>
          <w:tblCellMar>
            <w:top w:w="0" w:type="dxa"/>
            <w:left w:w="0" w:type="dxa"/>
            <w:bottom w:w="0" w:type="dxa"/>
            <w:right w:w="0" w:type="dxa"/>
          </w:tblCellMar>
        </w:tblPrEx>
        <w:trPr>
          <w:wBefore w:w="0" w:type="auto"/>
          <w:tblCellSpacing w:w="0" w:type="dxa"/>
        </w:trPr>
        <w:tc>
          <w:tcPr>
            <w:tcW w:w="0" w:type="auto"/>
            <w:noWrap w:val="0"/>
            <w:vAlign w:val="center"/>
          </w:tcPr>
          <w:p w14:paraId="22F1805D">
            <w:r>
              <w:rPr>
                <w:rStyle w:val="10"/>
                <w:rFonts w:hint="eastAsia"/>
              </w:rPr>
              <w:t>使用技术要求:</w:t>
            </w:r>
            <w:r>
              <w:rPr>
                <w:rFonts w:hint="eastAsia"/>
              </w:rPr>
              <w:br w:type="textWrapping"/>
            </w:r>
            <w:r>
              <w:rPr>
                <w:rStyle w:val="11"/>
                <w:rFonts w:hint="eastAsia"/>
              </w:rPr>
              <w:t>1.本品适宜施药时期为枣树蚜虫发生初盛期施药，施药1次，注意喷雾均匀、周到，以确保药效。2.大风天或预计1小时内降雨，请勿施药。3.本品在枣树使用时的安全间隔期为21天，每季作物最多使用1次。</w:t>
            </w:r>
          </w:p>
        </w:tc>
      </w:tr>
      <w:tr w14:paraId="1499E4F1">
        <w:tblPrEx>
          <w:tblCellMar>
            <w:top w:w="0" w:type="dxa"/>
            <w:left w:w="0" w:type="dxa"/>
            <w:bottom w:w="0" w:type="dxa"/>
            <w:right w:w="0" w:type="dxa"/>
          </w:tblCellMar>
        </w:tblPrEx>
        <w:trPr>
          <w:wBefore w:w="0" w:type="auto"/>
          <w:tblCellSpacing w:w="0" w:type="dxa"/>
        </w:trPr>
        <w:tc>
          <w:tcPr>
            <w:tcW w:w="0" w:type="auto"/>
            <w:noWrap w:val="0"/>
            <w:vAlign w:val="center"/>
          </w:tcPr>
          <w:p w14:paraId="7E859448">
            <w:r>
              <w:rPr>
                <w:rStyle w:val="10"/>
                <w:rFonts w:hint="eastAsia"/>
              </w:rPr>
              <w:t>产品性能:</w:t>
            </w:r>
            <w:r>
              <w:rPr>
                <w:rFonts w:hint="eastAsia"/>
              </w:rPr>
              <w:br w:type="textWrapping"/>
            </w:r>
            <w:r>
              <w:rPr>
                <w:rStyle w:val="11"/>
                <w:rFonts w:hint="eastAsia"/>
              </w:rPr>
              <w:t>本品为吡丙醚和氟啶虫酰胺的混配杀虫剂。吡丙醚为保幼激素类型的几丁质合成抑制剂，具有强烈的杀卵作用。氟啶虫酰胺为吡啶酰胺类昆虫生长调节剂，具有触杀和内吸作用。二者复配按推荐剂量使用，对枣树蚜虫有较好的防效。</w:t>
            </w:r>
          </w:p>
        </w:tc>
      </w:tr>
      <w:tr w14:paraId="6F57729D">
        <w:tblPrEx>
          <w:tblCellMar>
            <w:top w:w="0" w:type="dxa"/>
            <w:left w:w="0" w:type="dxa"/>
            <w:bottom w:w="0" w:type="dxa"/>
            <w:right w:w="0" w:type="dxa"/>
          </w:tblCellMar>
        </w:tblPrEx>
        <w:trPr>
          <w:wBefore w:w="0" w:type="auto"/>
          <w:tblCellSpacing w:w="0" w:type="dxa"/>
        </w:trPr>
        <w:tc>
          <w:tcPr>
            <w:tcW w:w="0" w:type="auto"/>
            <w:noWrap w:val="0"/>
            <w:vAlign w:val="center"/>
          </w:tcPr>
          <w:p w14:paraId="252FE445">
            <w:r>
              <w:rPr>
                <w:rStyle w:val="10"/>
                <w:rFonts w:hint="eastAsia"/>
              </w:rPr>
              <w:t>注意事项：</w:t>
            </w:r>
            <w:r>
              <w:rPr>
                <w:rFonts w:hint="eastAsia"/>
              </w:rPr>
              <w:br w:type="textWrapping"/>
            </w:r>
            <w:r>
              <w:rPr>
                <w:rStyle w:val="11"/>
                <w:rFonts w:hint="eastAsia"/>
              </w:rPr>
              <w:t>1、严格按照规定用药量和方法使用。 2、建议与其他作用机制不同的杀虫剂轮换使用，以延缓抗性产生。 3、本品对溞有毒，不可使用最外围桑树上的桑叶饲喂家蚕；水产养殖区、河塘等水体附近禁用，禁止在河塘等水体中清洗施药器具。 4、使用本品时应穿防护服和戴手套，避免吸入药液。施药期间不可吃东西和饮水。施药后应及时洗手和洗脸。 5、用药后包装物及用过的容器应妥善处理，不可做他用，也不可随意丢弃。 6、孕妇及哺乳期妇女禁止接触本产品。</w:t>
            </w:r>
          </w:p>
        </w:tc>
      </w:tr>
      <w:tr w14:paraId="1189B94B">
        <w:tblPrEx>
          <w:tblCellMar>
            <w:top w:w="0" w:type="dxa"/>
            <w:left w:w="0" w:type="dxa"/>
            <w:bottom w:w="0" w:type="dxa"/>
            <w:right w:w="0" w:type="dxa"/>
          </w:tblCellMar>
        </w:tblPrEx>
        <w:trPr>
          <w:wBefore w:w="0" w:type="auto"/>
          <w:tblCellSpacing w:w="0" w:type="dxa"/>
        </w:trPr>
        <w:tc>
          <w:tcPr>
            <w:tcW w:w="0" w:type="auto"/>
            <w:noWrap w:val="0"/>
            <w:vAlign w:val="center"/>
          </w:tcPr>
          <w:p w14:paraId="3240151A">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6B6F5515">
        <w:tblPrEx>
          <w:tblCellMar>
            <w:top w:w="0" w:type="dxa"/>
            <w:left w:w="0" w:type="dxa"/>
            <w:bottom w:w="0" w:type="dxa"/>
            <w:right w:w="0" w:type="dxa"/>
          </w:tblCellMar>
        </w:tblPrEx>
        <w:trPr>
          <w:wBefore w:w="0" w:type="auto"/>
          <w:tblCellSpacing w:w="0" w:type="dxa"/>
        </w:trPr>
        <w:tc>
          <w:tcPr>
            <w:tcW w:w="0" w:type="auto"/>
            <w:noWrap w:val="0"/>
            <w:vAlign w:val="center"/>
          </w:tcPr>
          <w:p w14:paraId="02127C67">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本品应贮存在干燥、阴凉、通风、防雨处，远离火源或热源。置于儿童、无关人员及动物触及不到之处，并加锁保存。勿与食品、饮料、粮食、饲料、种子等其他商品同贮同运。</w:t>
            </w:r>
          </w:p>
        </w:tc>
      </w:tr>
      <w:tr w14:paraId="03EB5BDB">
        <w:tblPrEx>
          <w:tblCellMar>
            <w:top w:w="0" w:type="dxa"/>
            <w:left w:w="0" w:type="dxa"/>
            <w:bottom w:w="0" w:type="dxa"/>
            <w:right w:w="0" w:type="dxa"/>
          </w:tblCellMar>
        </w:tblPrEx>
        <w:trPr>
          <w:wBefore w:w="0" w:type="auto"/>
          <w:tblCellSpacing w:w="0" w:type="dxa"/>
        </w:trPr>
        <w:tc>
          <w:tcPr>
            <w:tcW w:w="0" w:type="auto"/>
            <w:noWrap w:val="0"/>
            <w:vAlign w:val="center"/>
          </w:tcPr>
          <w:p w14:paraId="6081FE07">
            <w:r>
              <w:rPr>
                <w:rStyle w:val="10"/>
                <w:rFonts w:hint="eastAsia"/>
              </w:rPr>
              <w:t>质量保证期：</w:t>
            </w:r>
            <w:r>
              <w:rPr>
                <w:rStyle w:val="11"/>
                <w:rFonts w:hint="eastAsia"/>
              </w:rPr>
              <w:t>2年</w:t>
            </w:r>
          </w:p>
        </w:tc>
      </w:tr>
      <w:tr w14:paraId="710E0AB8">
        <w:tblPrEx>
          <w:tblCellMar>
            <w:top w:w="0" w:type="dxa"/>
            <w:left w:w="0" w:type="dxa"/>
            <w:bottom w:w="0" w:type="dxa"/>
            <w:right w:w="0" w:type="dxa"/>
          </w:tblCellMar>
        </w:tblPrEx>
        <w:trPr>
          <w:wBefore w:w="0" w:type="auto"/>
          <w:tblCellSpacing w:w="0" w:type="dxa"/>
        </w:trPr>
        <w:tc>
          <w:tcPr>
            <w:tcW w:w="0" w:type="auto"/>
            <w:noWrap w:val="0"/>
            <w:vAlign w:val="center"/>
          </w:tcPr>
          <w:p w14:paraId="138F39DB">
            <w:r>
              <w:rPr>
                <w:rStyle w:val="10"/>
                <w:rFonts w:hint="eastAsia"/>
              </w:rPr>
              <w:t>备注：</w:t>
            </w:r>
          </w:p>
        </w:tc>
      </w:tr>
    </w:tbl>
    <w:p w14:paraId="356F743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1B4667F">
        <w:tblPrEx>
          <w:tblCellMar>
            <w:top w:w="0" w:type="dxa"/>
            <w:left w:w="0" w:type="dxa"/>
            <w:bottom w:w="0" w:type="dxa"/>
            <w:right w:w="0" w:type="dxa"/>
          </w:tblCellMar>
        </w:tblPrEx>
        <w:trPr>
          <w:wBefore w:w="0" w:type="auto"/>
          <w:tblCellSpacing w:w="0" w:type="dxa"/>
        </w:trPr>
        <w:tc>
          <w:tcPr>
            <w:tcW w:w="0" w:type="auto"/>
            <w:noWrap w:val="0"/>
            <w:vAlign w:val="center"/>
          </w:tcPr>
          <w:p w14:paraId="5AE281DC">
            <w:r>
              <w:rPr>
                <w:rStyle w:val="10"/>
                <w:rFonts w:hint="eastAsia"/>
              </w:rPr>
              <w:t>登记证号：</w:t>
            </w:r>
            <w:r>
              <w:rPr>
                <w:rFonts w:hint="eastAsia"/>
              </w:rPr>
              <w:t>PD20211780</w:t>
            </w:r>
          </w:p>
        </w:tc>
      </w:tr>
      <w:tr w14:paraId="34380CA8">
        <w:tblPrEx>
          <w:tblCellMar>
            <w:top w:w="0" w:type="dxa"/>
            <w:left w:w="0" w:type="dxa"/>
            <w:bottom w:w="0" w:type="dxa"/>
            <w:right w:w="0" w:type="dxa"/>
          </w:tblCellMar>
        </w:tblPrEx>
        <w:trPr>
          <w:wBefore w:w="0" w:type="auto"/>
          <w:tblCellSpacing w:w="0" w:type="dxa"/>
        </w:trPr>
        <w:tc>
          <w:tcPr>
            <w:tcW w:w="0" w:type="auto"/>
            <w:noWrap w:val="0"/>
            <w:vAlign w:val="center"/>
          </w:tcPr>
          <w:p w14:paraId="4C837083">
            <w:r>
              <w:rPr>
                <w:rStyle w:val="10"/>
                <w:rFonts w:hint="eastAsia"/>
              </w:rPr>
              <w:t>登记证持有人：</w:t>
            </w:r>
            <w:r>
              <w:rPr>
                <w:rFonts w:hint="eastAsia"/>
              </w:rPr>
              <w:t>湖南新长山农业发展股份有限公司</w:t>
            </w:r>
          </w:p>
        </w:tc>
      </w:tr>
      <w:tr w14:paraId="5699CA42">
        <w:tblPrEx>
          <w:tblCellMar>
            <w:top w:w="0" w:type="dxa"/>
            <w:left w:w="0" w:type="dxa"/>
            <w:bottom w:w="0" w:type="dxa"/>
            <w:right w:w="0" w:type="dxa"/>
          </w:tblCellMar>
        </w:tblPrEx>
        <w:trPr>
          <w:wBefore w:w="0" w:type="auto"/>
          <w:tblCellSpacing w:w="0" w:type="dxa"/>
        </w:trPr>
        <w:tc>
          <w:tcPr>
            <w:tcW w:w="0" w:type="auto"/>
            <w:noWrap w:val="0"/>
            <w:vAlign w:val="center"/>
          </w:tcPr>
          <w:p w14:paraId="024A7EF0">
            <w:r>
              <w:rPr>
                <w:rStyle w:val="10"/>
                <w:rFonts w:hint="eastAsia"/>
              </w:rPr>
              <w:t>农药名称：</w:t>
            </w:r>
            <w:r>
              <w:rPr>
                <w:rFonts w:hint="eastAsia"/>
              </w:rPr>
              <w:t>虫螨腈·虱螨脲</w:t>
            </w:r>
          </w:p>
        </w:tc>
      </w:tr>
      <w:tr w14:paraId="6A16BAAD">
        <w:tblPrEx>
          <w:tblCellMar>
            <w:top w:w="0" w:type="dxa"/>
            <w:left w:w="0" w:type="dxa"/>
            <w:bottom w:w="0" w:type="dxa"/>
            <w:right w:w="0" w:type="dxa"/>
          </w:tblCellMar>
        </w:tblPrEx>
        <w:trPr>
          <w:wBefore w:w="0" w:type="auto"/>
          <w:tblCellSpacing w:w="0" w:type="dxa"/>
        </w:trPr>
        <w:tc>
          <w:tcPr>
            <w:tcW w:w="0" w:type="auto"/>
            <w:noWrap w:val="0"/>
            <w:vAlign w:val="center"/>
          </w:tcPr>
          <w:p w14:paraId="2B440B9A">
            <w:r>
              <w:rPr>
                <w:rStyle w:val="10"/>
                <w:rFonts w:hint="eastAsia"/>
              </w:rPr>
              <w:t>剂型：</w:t>
            </w:r>
            <w:r>
              <w:rPr>
                <w:rFonts w:hint="eastAsia"/>
              </w:rPr>
              <w:t>悬浮剂</w:t>
            </w:r>
          </w:p>
        </w:tc>
      </w:tr>
      <w:tr w14:paraId="48C61BBA">
        <w:tblPrEx>
          <w:tblCellMar>
            <w:top w:w="0" w:type="dxa"/>
            <w:left w:w="0" w:type="dxa"/>
            <w:bottom w:w="0" w:type="dxa"/>
            <w:right w:w="0" w:type="dxa"/>
          </w:tblCellMar>
        </w:tblPrEx>
        <w:trPr>
          <w:wBefore w:w="0" w:type="auto"/>
          <w:tblCellSpacing w:w="0" w:type="dxa"/>
        </w:trPr>
        <w:tc>
          <w:tcPr>
            <w:tcW w:w="0" w:type="auto"/>
            <w:noWrap w:val="0"/>
            <w:vAlign w:val="center"/>
          </w:tcPr>
          <w:p w14:paraId="0A4E1BE1">
            <w:r>
              <w:rPr>
                <w:rStyle w:val="10"/>
                <w:rFonts w:hint="eastAsia"/>
              </w:rPr>
              <w:t>毒性及其标识：</w:t>
            </w:r>
            <w:r>
              <w:rPr>
                <w:rFonts w:hint="eastAsia"/>
              </w:rPr>
              <w:t xml:space="preserve"> </w:t>
            </w:r>
            <w:r>
              <w:rPr>
                <w:lang/>
              </w:rPr>
              <w:drawing>
                <wp:inline distT="0" distB="0" distL="114300" distR="114300">
                  <wp:extent cx="476250" cy="323850"/>
                  <wp:effectExtent l="0" t="0" r="0" b="0"/>
                  <wp:docPr id="382" name="图片 38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6A9457C">
        <w:tblPrEx>
          <w:tblCellMar>
            <w:top w:w="0" w:type="dxa"/>
            <w:left w:w="0" w:type="dxa"/>
            <w:bottom w:w="0" w:type="dxa"/>
            <w:right w:w="0" w:type="dxa"/>
          </w:tblCellMar>
        </w:tblPrEx>
        <w:trPr>
          <w:wBefore w:w="0" w:type="auto"/>
          <w:tblCellSpacing w:w="0" w:type="dxa"/>
        </w:trPr>
        <w:tc>
          <w:tcPr>
            <w:tcW w:w="0" w:type="auto"/>
            <w:noWrap w:val="0"/>
            <w:vAlign w:val="center"/>
          </w:tcPr>
          <w:p w14:paraId="6EF232B5">
            <w:r>
              <w:rPr>
                <w:rStyle w:val="10"/>
                <w:rFonts w:hint="eastAsia"/>
              </w:rPr>
              <w:t>总有效成分含量：</w:t>
            </w:r>
            <w:r>
              <w:rPr>
                <w:rFonts w:hint="eastAsia"/>
              </w:rPr>
              <w:t>12%</w:t>
            </w:r>
          </w:p>
        </w:tc>
      </w:tr>
      <w:tr w14:paraId="15EE7EA1">
        <w:tblPrEx>
          <w:tblCellMar>
            <w:top w:w="0" w:type="dxa"/>
            <w:left w:w="0" w:type="dxa"/>
            <w:bottom w:w="0" w:type="dxa"/>
            <w:right w:w="0" w:type="dxa"/>
          </w:tblCellMar>
        </w:tblPrEx>
        <w:trPr>
          <w:wBefore w:w="0" w:type="auto"/>
          <w:tblCellSpacing w:w="0" w:type="dxa"/>
        </w:trPr>
        <w:tc>
          <w:tcPr>
            <w:tcW w:w="0" w:type="auto"/>
            <w:noWrap w:val="0"/>
            <w:vAlign w:val="center"/>
          </w:tcPr>
          <w:p w14:paraId="408FE4FD">
            <w:r>
              <w:rPr>
                <w:rFonts w:hint="eastAsia"/>
              </w:rPr>
              <w:t xml:space="preserve">有效成分及其含量： </w:t>
            </w:r>
          </w:p>
          <w:p w14:paraId="2821BB18">
            <w:r>
              <w:rPr>
                <w:rFonts w:hint="eastAsia"/>
              </w:rPr>
              <w:t xml:space="preserve">    虱螨脲2.5%    虫螨腈9.5%    </w:t>
            </w:r>
          </w:p>
        </w:tc>
      </w:tr>
      <w:tr w14:paraId="472DA1DE">
        <w:tblPrEx>
          <w:tblCellMar>
            <w:top w:w="0" w:type="dxa"/>
            <w:left w:w="0" w:type="dxa"/>
            <w:bottom w:w="0" w:type="dxa"/>
            <w:right w:w="0" w:type="dxa"/>
          </w:tblCellMar>
        </w:tblPrEx>
        <w:trPr>
          <w:wBefore w:w="0" w:type="auto"/>
          <w:tblCellSpacing w:w="0" w:type="dxa"/>
        </w:trPr>
        <w:tc>
          <w:tcPr>
            <w:tcW w:w="0" w:type="auto"/>
            <w:noWrap w:val="0"/>
            <w:vAlign w:val="center"/>
          </w:tcPr>
          <w:p w14:paraId="18EF89B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2158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3DD0A6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DF5E9C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2DC766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AEA6F79">
                  <w:r>
                    <w:rPr>
                      <w:rStyle w:val="11"/>
                      <w:rFonts w:hint="eastAsia"/>
                    </w:rPr>
                    <w:t>施用方式</w:t>
                  </w:r>
                </w:p>
              </w:tc>
            </w:tr>
            <w:tr w14:paraId="568853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CB0F43A">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DA155B">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1322BC">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9E8440">
                  <w:r>
                    <w:rPr>
                      <w:rStyle w:val="11"/>
                      <w:rFonts w:hint="eastAsia"/>
                    </w:rPr>
                    <w:t>喷雾</w:t>
                  </w:r>
                </w:p>
              </w:tc>
            </w:tr>
          </w:tbl>
          <w:p w14:paraId="3DAA7239">
            <w:pPr>
              <w:rPr>
                <w:rFonts w:ascii="Times New Roman" w:hAnsi="Times New Roman" w:cs="Times New Roman"/>
                <w:sz w:val="20"/>
                <w:szCs w:val="20"/>
              </w:rPr>
            </w:pPr>
          </w:p>
        </w:tc>
      </w:tr>
      <w:tr w14:paraId="3D0F9C0B">
        <w:tblPrEx>
          <w:tblCellMar>
            <w:top w:w="0" w:type="dxa"/>
            <w:left w:w="0" w:type="dxa"/>
            <w:bottom w:w="0" w:type="dxa"/>
            <w:right w:w="0" w:type="dxa"/>
          </w:tblCellMar>
        </w:tblPrEx>
        <w:trPr>
          <w:wBefore w:w="0" w:type="auto"/>
          <w:tblCellSpacing w:w="0" w:type="dxa"/>
        </w:trPr>
        <w:tc>
          <w:tcPr>
            <w:tcW w:w="0" w:type="auto"/>
            <w:noWrap w:val="0"/>
            <w:vAlign w:val="center"/>
          </w:tcPr>
          <w:p w14:paraId="41BF1EFF">
            <w:r>
              <w:rPr>
                <w:rStyle w:val="10"/>
                <w:rFonts w:hint="eastAsia"/>
              </w:rPr>
              <w:t>使用技术要求:</w:t>
            </w:r>
            <w:r>
              <w:rPr>
                <w:rFonts w:hint="eastAsia"/>
              </w:rPr>
              <w:br w:type="textWrapping"/>
            </w:r>
            <w:r>
              <w:rPr>
                <w:rStyle w:val="11"/>
                <w:rFonts w:hint="eastAsia"/>
              </w:rPr>
              <w:t>1. 甘蓝甜菜夜蛾低龄幼虫发生期喷雾施药1次。效果较好，对甘蓝叶片正反两面均匀喷雾。2. 大风天或预计1小时内降雨，请勿施药。3. 本品在甘蓝上的安全间隔期14天，每季最多使用次。</w:t>
            </w:r>
          </w:p>
        </w:tc>
      </w:tr>
      <w:tr w14:paraId="55369482">
        <w:tblPrEx>
          <w:tblCellMar>
            <w:top w:w="0" w:type="dxa"/>
            <w:left w:w="0" w:type="dxa"/>
            <w:bottom w:w="0" w:type="dxa"/>
            <w:right w:w="0" w:type="dxa"/>
          </w:tblCellMar>
        </w:tblPrEx>
        <w:trPr>
          <w:wBefore w:w="0" w:type="auto"/>
          <w:tblCellSpacing w:w="0" w:type="dxa"/>
        </w:trPr>
        <w:tc>
          <w:tcPr>
            <w:tcW w:w="0" w:type="auto"/>
            <w:noWrap w:val="0"/>
            <w:vAlign w:val="center"/>
          </w:tcPr>
          <w:p w14:paraId="5BBD0241">
            <w:r>
              <w:rPr>
                <w:rStyle w:val="10"/>
                <w:rFonts w:hint="eastAsia"/>
              </w:rPr>
              <w:t>产品性能:</w:t>
            </w:r>
            <w:r>
              <w:rPr>
                <w:rFonts w:hint="eastAsia"/>
              </w:rPr>
              <w:br w:type="textWrapping"/>
            </w:r>
            <w:r>
              <w:rPr>
                <w:rStyle w:val="11"/>
                <w:rFonts w:hint="eastAsia"/>
              </w:rPr>
              <w:t>本品是新型吡咯类化合物和取代脲类复配杀虫剂，具有胃毒、触杀和内吸作用，在叶面渗透性强，对甘蓝甜菜夜蛾有较好的防治效果。</w:t>
            </w:r>
          </w:p>
        </w:tc>
      </w:tr>
      <w:tr w14:paraId="1DE8ADCB">
        <w:tblPrEx>
          <w:tblCellMar>
            <w:top w:w="0" w:type="dxa"/>
            <w:left w:w="0" w:type="dxa"/>
            <w:bottom w:w="0" w:type="dxa"/>
            <w:right w:w="0" w:type="dxa"/>
          </w:tblCellMar>
        </w:tblPrEx>
        <w:trPr>
          <w:wBefore w:w="0" w:type="auto"/>
          <w:tblCellSpacing w:w="0" w:type="dxa"/>
        </w:trPr>
        <w:tc>
          <w:tcPr>
            <w:tcW w:w="0" w:type="auto"/>
            <w:noWrap w:val="0"/>
            <w:vAlign w:val="center"/>
          </w:tcPr>
          <w:p w14:paraId="69EC0F34">
            <w:r>
              <w:rPr>
                <w:rStyle w:val="10"/>
                <w:rFonts w:hint="eastAsia"/>
              </w:rPr>
              <w:t>注意事项：</w:t>
            </w:r>
            <w:r>
              <w:rPr>
                <w:rFonts w:hint="eastAsia"/>
              </w:rPr>
              <w:br w:type="textWrapping"/>
            </w:r>
            <w:r>
              <w:rPr>
                <w:rStyle w:val="11"/>
                <w:rFonts w:hint="eastAsia"/>
              </w:rPr>
              <w:t>1. 严格按照规定用药量和方法使用。本品对眼睛有刺激性，使用时避免接触眼睛，穿戴长衣、长裤、帽子、口罩、手套等防护措施。避免皮肤接触及口鼻吸入。使用中不可吸烟、饮水及吃东西，使用后及时清洗手、脸等暴露部位皮肤并更换衣物。2. 本品不宜与碱性农药混合使用，建议与其他不同作用机制的杀虫剂交替使用，以延缓抗性的产生。3. 本品对蜜蜂、鱼类等水生生物、家蚕、鸟类有毒。施药期间应避免对周围蜂群的影响，（周围）开花植物花期禁用，使用时应密切关注对附近蜂群的影响；蚕室和桑园附近禁用。施药时远离水产养殖区、河塘等水体，禁止在河塘等水域内清洗施药器具。鸟类保护区和天敌赤眼蜂放飞区禁用。4. 用药后包装物及用过的容器请妥善处理，不可用作他用，也不可随意丢弃。5. 孕妇和哺乳期妇女禁止接触本品。</w:t>
            </w:r>
          </w:p>
        </w:tc>
      </w:tr>
      <w:tr w14:paraId="3B9B4828">
        <w:tblPrEx>
          <w:tblCellMar>
            <w:top w:w="0" w:type="dxa"/>
            <w:left w:w="0" w:type="dxa"/>
            <w:bottom w:w="0" w:type="dxa"/>
            <w:right w:w="0" w:type="dxa"/>
          </w:tblCellMar>
        </w:tblPrEx>
        <w:trPr>
          <w:wBefore w:w="0" w:type="auto"/>
          <w:tblCellSpacing w:w="0" w:type="dxa"/>
        </w:trPr>
        <w:tc>
          <w:tcPr>
            <w:tcW w:w="0" w:type="auto"/>
            <w:noWrap w:val="0"/>
            <w:vAlign w:val="center"/>
          </w:tcPr>
          <w:p w14:paraId="6A877166">
            <w:r>
              <w:rPr>
                <w:rStyle w:val="10"/>
                <w:rFonts w:hint="eastAsia"/>
              </w:rPr>
              <w:t>中毒急救措施：</w:t>
            </w:r>
            <w:r>
              <w:rPr>
                <w:rFonts w:hint="eastAsia"/>
              </w:rPr>
              <w:br w:type="textWrapping"/>
            </w:r>
            <w:r>
              <w:rPr>
                <w:rStyle w:val="11"/>
                <w:rFonts w:hint="eastAsia"/>
              </w:rPr>
              <w:t>如皮肤接触，用肥皂和大量的清水冲洗并换洗衣物；如接触眼睛，用清水冲洗眼睛至少15分钟，仍有不适应立即就医；若误服，立即停止服用，用大量清水漱口后，立即携此标签送中毒者到医院对症治疗，不能引吐。</w:t>
            </w:r>
          </w:p>
        </w:tc>
      </w:tr>
      <w:tr w14:paraId="3CDA93D7">
        <w:tblPrEx>
          <w:tblCellMar>
            <w:top w:w="0" w:type="dxa"/>
            <w:left w:w="0" w:type="dxa"/>
            <w:bottom w:w="0" w:type="dxa"/>
            <w:right w:w="0" w:type="dxa"/>
          </w:tblCellMar>
        </w:tblPrEx>
        <w:trPr>
          <w:wBefore w:w="0" w:type="auto"/>
          <w:tblCellSpacing w:w="0" w:type="dxa"/>
        </w:trPr>
        <w:tc>
          <w:tcPr>
            <w:tcW w:w="0" w:type="auto"/>
            <w:noWrap w:val="0"/>
            <w:vAlign w:val="center"/>
          </w:tcPr>
          <w:p w14:paraId="6202E862">
            <w:r>
              <w:rPr>
                <w:rStyle w:val="10"/>
                <w:rFonts w:hint="eastAsia"/>
              </w:rPr>
              <w:t>储存和运输方法：</w:t>
            </w:r>
            <w:r>
              <w:rPr>
                <w:rFonts w:hint="eastAsia"/>
              </w:rPr>
              <w:br w:type="textWrapping"/>
            </w:r>
            <w:r>
              <w:rPr>
                <w:rStyle w:val="11"/>
                <w:rFonts w:hint="eastAsia"/>
              </w:rPr>
              <w:t>本品贮存应注意阴凉、干燥、通风，远离火源或热源，不能与食品、饮料、粮食、饲料等物品同贮同运。远离儿童及家畜并加锁保存，以免误服。避免与皮肤、眼睛接触。装卸运输时注意检查包装是否密封完整，轻拿轻放，不可倒置。</w:t>
            </w:r>
          </w:p>
        </w:tc>
      </w:tr>
      <w:tr w14:paraId="30AC0471">
        <w:tblPrEx>
          <w:tblCellMar>
            <w:top w:w="0" w:type="dxa"/>
            <w:left w:w="0" w:type="dxa"/>
            <w:bottom w:w="0" w:type="dxa"/>
            <w:right w:w="0" w:type="dxa"/>
          </w:tblCellMar>
        </w:tblPrEx>
        <w:trPr>
          <w:wBefore w:w="0" w:type="auto"/>
          <w:tblCellSpacing w:w="0" w:type="dxa"/>
        </w:trPr>
        <w:tc>
          <w:tcPr>
            <w:tcW w:w="0" w:type="auto"/>
            <w:noWrap w:val="0"/>
            <w:vAlign w:val="center"/>
          </w:tcPr>
          <w:p w14:paraId="6784D9F3">
            <w:r>
              <w:rPr>
                <w:rStyle w:val="10"/>
                <w:rFonts w:hint="eastAsia"/>
              </w:rPr>
              <w:t>质量保证期：</w:t>
            </w:r>
            <w:r>
              <w:rPr>
                <w:rStyle w:val="11"/>
                <w:rFonts w:hint="eastAsia"/>
              </w:rPr>
              <w:t>2年</w:t>
            </w:r>
          </w:p>
        </w:tc>
      </w:tr>
      <w:tr w14:paraId="1E9C0F0F">
        <w:tblPrEx>
          <w:tblCellMar>
            <w:top w:w="0" w:type="dxa"/>
            <w:left w:w="0" w:type="dxa"/>
            <w:bottom w:w="0" w:type="dxa"/>
            <w:right w:w="0" w:type="dxa"/>
          </w:tblCellMar>
        </w:tblPrEx>
        <w:trPr>
          <w:wBefore w:w="0" w:type="auto"/>
          <w:tblCellSpacing w:w="0" w:type="dxa"/>
        </w:trPr>
        <w:tc>
          <w:tcPr>
            <w:tcW w:w="0" w:type="auto"/>
            <w:noWrap w:val="0"/>
            <w:vAlign w:val="center"/>
          </w:tcPr>
          <w:p w14:paraId="33705624">
            <w:r>
              <w:rPr>
                <w:rStyle w:val="10"/>
                <w:rFonts w:hint="eastAsia"/>
              </w:rPr>
              <w:t>备注：</w:t>
            </w:r>
          </w:p>
        </w:tc>
      </w:tr>
    </w:tbl>
    <w:p w14:paraId="1DC3790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802F8E5">
        <w:tblPrEx>
          <w:tblCellMar>
            <w:top w:w="0" w:type="dxa"/>
            <w:left w:w="0" w:type="dxa"/>
            <w:bottom w:w="0" w:type="dxa"/>
            <w:right w:w="0" w:type="dxa"/>
          </w:tblCellMar>
        </w:tblPrEx>
        <w:trPr>
          <w:wBefore w:w="0" w:type="auto"/>
          <w:tblCellSpacing w:w="0" w:type="dxa"/>
        </w:trPr>
        <w:tc>
          <w:tcPr>
            <w:tcW w:w="0" w:type="auto"/>
            <w:noWrap w:val="0"/>
            <w:vAlign w:val="center"/>
          </w:tcPr>
          <w:p w14:paraId="28137F3D">
            <w:r>
              <w:rPr>
                <w:rStyle w:val="10"/>
                <w:rFonts w:hint="eastAsia"/>
              </w:rPr>
              <w:t>登记证号：</w:t>
            </w:r>
            <w:r>
              <w:rPr>
                <w:rFonts w:hint="eastAsia"/>
              </w:rPr>
              <w:t>PD20212033</w:t>
            </w:r>
          </w:p>
        </w:tc>
      </w:tr>
      <w:tr w14:paraId="1760A10F">
        <w:tblPrEx>
          <w:tblCellMar>
            <w:top w:w="0" w:type="dxa"/>
            <w:left w:w="0" w:type="dxa"/>
            <w:bottom w:w="0" w:type="dxa"/>
            <w:right w:w="0" w:type="dxa"/>
          </w:tblCellMar>
        </w:tblPrEx>
        <w:trPr>
          <w:wBefore w:w="0" w:type="auto"/>
          <w:tblCellSpacing w:w="0" w:type="dxa"/>
        </w:trPr>
        <w:tc>
          <w:tcPr>
            <w:tcW w:w="0" w:type="auto"/>
            <w:noWrap w:val="0"/>
            <w:vAlign w:val="center"/>
          </w:tcPr>
          <w:p w14:paraId="4214AC10">
            <w:r>
              <w:rPr>
                <w:rStyle w:val="10"/>
                <w:rFonts w:hint="eastAsia"/>
              </w:rPr>
              <w:t>登记证持有人：</w:t>
            </w:r>
            <w:r>
              <w:rPr>
                <w:rFonts w:hint="eastAsia"/>
              </w:rPr>
              <w:t>湖北天泽农生物工程有限公司</w:t>
            </w:r>
          </w:p>
        </w:tc>
      </w:tr>
      <w:tr w14:paraId="7FF288E6">
        <w:tblPrEx>
          <w:tblCellMar>
            <w:top w:w="0" w:type="dxa"/>
            <w:left w:w="0" w:type="dxa"/>
            <w:bottom w:w="0" w:type="dxa"/>
            <w:right w:w="0" w:type="dxa"/>
          </w:tblCellMar>
        </w:tblPrEx>
        <w:trPr>
          <w:wBefore w:w="0" w:type="auto"/>
          <w:tblCellSpacing w:w="0" w:type="dxa"/>
        </w:trPr>
        <w:tc>
          <w:tcPr>
            <w:tcW w:w="0" w:type="auto"/>
            <w:noWrap w:val="0"/>
            <w:vAlign w:val="center"/>
          </w:tcPr>
          <w:p w14:paraId="0AF2CBFC">
            <w:r>
              <w:rPr>
                <w:rStyle w:val="10"/>
                <w:rFonts w:hint="eastAsia"/>
              </w:rPr>
              <w:t>农药名称：</w:t>
            </w:r>
            <w:r>
              <w:rPr>
                <w:rFonts w:hint="eastAsia"/>
              </w:rPr>
              <w:t>24-表芸·赤霉酸</w:t>
            </w:r>
          </w:p>
        </w:tc>
      </w:tr>
      <w:tr w14:paraId="4B13DA10">
        <w:tblPrEx>
          <w:tblCellMar>
            <w:top w:w="0" w:type="dxa"/>
            <w:left w:w="0" w:type="dxa"/>
            <w:bottom w:w="0" w:type="dxa"/>
            <w:right w:w="0" w:type="dxa"/>
          </w:tblCellMar>
        </w:tblPrEx>
        <w:trPr>
          <w:wBefore w:w="0" w:type="auto"/>
          <w:tblCellSpacing w:w="0" w:type="dxa"/>
        </w:trPr>
        <w:tc>
          <w:tcPr>
            <w:tcW w:w="0" w:type="auto"/>
            <w:noWrap w:val="0"/>
            <w:vAlign w:val="center"/>
          </w:tcPr>
          <w:p w14:paraId="279D8A33">
            <w:r>
              <w:rPr>
                <w:rStyle w:val="10"/>
                <w:rFonts w:hint="eastAsia"/>
              </w:rPr>
              <w:t>剂型：</w:t>
            </w:r>
            <w:r>
              <w:rPr>
                <w:rFonts w:hint="eastAsia"/>
              </w:rPr>
              <w:t>可溶液剂</w:t>
            </w:r>
          </w:p>
        </w:tc>
      </w:tr>
      <w:tr w14:paraId="68C08D8B">
        <w:tblPrEx>
          <w:tblCellMar>
            <w:top w:w="0" w:type="dxa"/>
            <w:left w:w="0" w:type="dxa"/>
            <w:bottom w:w="0" w:type="dxa"/>
            <w:right w:w="0" w:type="dxa"/>
          </w:tblCellMar>
        </w:tblPrEx>
        <w:trPr>
          <w:wBefore w:w="0" w:type="auto"/>
          <w:tblCellSpacing w:w="0" w:type="dxa"/>
        </w:trPr>
        <w:tc>
          <w:tcPr>
            <w:tcW w:w="0" w:type="auto"/>
            <w:noWrap w:val="0"/>
            <w:vAlign w:val="center"/>
          </w:tcPr>
          <w:p w14:paraId="2EFC6BBC">
            <w:r>
              <w:rPr>
                <w:rStyle w:val="10"/>
                <w:rFonts w:hint="eastAsia"/>
              </w:rPr>
              <w:t>毒性及其标识：</w:t>
            </w:r>
            <w:r>
              <w:rPr>
                <w:rFonts w:hint="eastAsia"/>
              </w:rPr>
              <w:t xml:space="preserve"> 微毒 </w:t>
            </w:r>
          </w:p>
        </w:tc>
      </w:tr>
      <w:tr w14:paraId="42DBE482">
        <w:tblPrEx>
          <w:tblCellMar>
            <w:top w:w="0" w:type="dxa"/>
            <w:left w:w="0" w:type="dxa"/>
            <w:bottom w:w="0" w:type="dxa"/>
            <w:right w:w="0" w:type="dxa"/>
          </w:tblCellMar>
        </w:tblPrEx>
        <w:trPr>
          <w:wBefore w:w="0" w:type="auto"/>
          <w:tblCellSpacing w:w="0" w:type="dxa"/>
        </w:trPr>
        <w:tc>
          <w:tcPr>
            <w:tcW w:w="0" w:type="auto"/>
            <w:noWrap w:val="0"/>
            <w:vAlign w:val="center"/>
          </w:tcPr>
          <w:p w14:paraId="0CCE4A31">
            <w:r>
              <w:rPr>
                <w:rStyle w:val="10"/>
                <w:rFonts w:hint="eastAsia"/>
              </w:rPr>
              <w:t>总有效成分含量：</w:t>
            </w:r>
            <w:r>
              <w:rPr>
                <w:rFonts w:hint="eastAsia"/>
              </w:rPr>
              <w:t>0.4%</w:t>
            </w:r>
          </w:p>
        </w:tc>
      </w:tr>
      <w:tr w14:paraId="4400DA36">
        <w:tblPrEx>
          <w:tblCellMar>
            <w:top w:w="0" w:type="dxa"/>
            <w:left w:w="0" w:type="dxa"/>
            <w:bottom w:w="0" w:type="dxa"/>
            <w:right w:w="0" w:type="dxa"/>
          </w:tblCellMar>
        </w:tblPrEx>
        <w:trPr>
          <w:wBefore w:w="0" w:type="auto"/>
          <w:tblCellSpacing w:w="0" w:type="dxa"/>
        </w:trPr>
        <w:tc>
          <w:tcPr>
            <w:tcW w:w="0" w:type="auto"/>
            <w:noWrap w:val="0"/>
            <w:vAlign w:val="center"/>
          </w:tcPr>
          <w:p w14:paraId="3BEF14E7">
            <w:r>
              <w:rPr>
                <w:rFonts w:hint="eastAsia"/>
              </w:rPr>
              <w:t xml:space="preserve">有效成分及其含量： </w:t>
            </w:r>
          </w:p>
          <w:p w14:paraId="4CD8C404">
            <w:r>
              <w:rPr>
                <w:rFonts w:hint="eastAsia"/>
              </w:rPr>
              <w:t xml:space="preserve">    24-表芸苔素内酯0.002%    赤霉酸0.398%    </w:t>
            </w:r>
          </w:p>
        </w:tc>
      </w:tr>
      <w:tr w14:paraId="0E3688B6">
        <w:tblPrEx>
          <w:tblCellMar>
            <w:top w:w="0" w:type="dxa"/>
            <w:left w:w="0" w:type="dxa"/>
            <w:bottom w:w="0" w:type="dxa"/>
            <w:right w:w="0" w:type="dxa"/>
          </w:tblCellMar>
        </w:tblPrEx>
        <w:trPr>
          <w:wBefore w:w="0" w:type="auto"/>
          <w:tblCellSpacing w:w="0" w:type="dxa"/>
        </w:trPr>
        <w:tc>
          <w:tcPr>
            <w:tcW w:w="0" w:type="auto"/>
            <w:noWrap w:val="0"/>
            <w:vAlign w:val="center"/>
          </w:tcPr>
          <w:p w14:paraId="6B4C632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EA0C1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89242C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BE4A5F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134D3A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FDFBC3">
                  <w:r>
                    <w:rPr>
                      <w:rStyle w:val="11"/>
                      <w:rFonts w:hint="eastAsia"/>
                    </w:rPr>
                    <w:t>施用方式</w:t>
                  </w:r>
                </w:p>
              </w:tc>
            </w:tr>
            <w:tr w14:paraId="7FE1CD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0F15D3">
                  <w:r>
                    <w:rPr>
                      <w:rStyle w:val="11"/>
                      <w:rFonts w:hint="eastAsia"/>
                    </w:rPr>
                    <w:t>豇豆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033805">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6B8D4E">
                  <w:r>
                    <w:rPr>
                      <w:rStyle w:val="11"/>
                      <w:rFonts w:hint="eastAsia"/>
                    </w:rPr>
                    <w:t>1000-1500倍液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25CBA2">
                  <w:r>
                    <w:rPr>
                      <w:rStyle w:val="11"/>
                      <w:rFonts w:hint="eastAsia"/>
                    </w:rPr>
                    <w:t>喷雾</w:t>
                  </w:r>
                </w:p>
              </w:tc>
            </w:tr>
          </w:tbl>
          <w:p w14:paraId="04C9A8C3">
            <w:pPr>
              <w:rPr>
                <w:rFonts w:ascii="Times New Roman" w:hAnsi="Times New Roman" w:cs="Times New Roman"/>
                <w:sz w:val="20"/>
                <w:szCs w:val="20"/>
              </w:rPr>
            </w:pPr>
          </w:p>
        </w:tc>
      </w:tr>
      <w:tr w14:paraId="6EEC8CF3">
        <w:tblPrEx>
          <w:tblCellMar>
            <w:top w:w="0" w:type="dxa"/>
            <w:left w:w="0" w:type="dxa"/>
            <w:bottom w:w="0" w:type="dxa"/>
            <w:right w:w="0" w:type="dxa"/>
          </w:tblCellMar>
        </w:tblPrEx>
        <w:trPr>
          <w:wBefore w:w="0" w:type="auto"/>
          <w:tblCellSpacing w:w="0" w:type="dxa"/>
        </w:trPr>
        <w:tc>
          <w:tcPr>
            <w:tcW w:w="0" w:type="auto"/>
            <w:noWrap w:val="0"/>
            <w:vAlign w:val="center"/>
          </w:tcPr>
          <w:p w14:paraId="232C61B2">
            <w:r>
              <w:rPr>
                <w:rStyle w:val="10"/>
                <w:rFonts w:hint="eastAsia"/>
              </w:rPr>
              <w:t>使用技术要求:</w:t>
            </w:r>
            <w:r>
              <w:rPr>
                <w:rFonts w:hint="eastAsia"/>
              </w:rPr>
              <w:br w:type="textWrapping"/>
            </w:r>
            <w:r>
              <w:rPr>
                <w:rStyle w:val="11"/>
                <w:rFonts w:hint="eastAsia"/>
              </w:rPr>
              <w:t>1. 在豇豆豆荚生长初期，以推荐剂量兑水均匀喷雾施药一次，间隔7天再施药1次，共施药2次。 2. 大风天或预计1小时内降雨，请勿施药。3. 保证施药均匀，避免药害。</w:t>
            </w:r>
          </w:p>
        </w:tc>
      </w:tr>
      <w:tr w14:paraId="432777E7">
        <w:tblPrEx>
          <w:tblCellMar>
            <w:top w:w="0" w:type="dxa"/>
            <w:left w:w="0" w:type="dxa"/>
            <w:bottom w:w="0" w:type="dxa"/>
            <w:right w:w="0" w:type="dxa"/>
          </w:tblCellMar>
        </w:tblPrEx>
        <w:trPr>
          <w:wBefore w:w="0" w:type="auto"/>
          <w:tblCellSpacing w:w="0" w:type="dxa"/>
        </w:trPr>
        <w:tc>
          <w:tcPr>
            <w:tcW w:w="0" w:type="auto"/>
            <w:noWrap w:val="0"/>
            <w:vAlign w:val="center"/>
          </w:tcPr>
          <w:p w14:paraId="169E98E5">
            <w:r>
              <w:rPr>
                <w:rStyle w:val="10"/>
                <w:rFonts w:hint="eastAsia"/>
              </w:rPr>
              <w:t>产品性能:</w:t>
            </w:r>
            <w:r>
              <w:rPr>
                <w:rFonts w:hint="eastAsia"/>
              </w:rPr>
              <w:br w:type="textWrapping"/>
            </w:r>
            <w:r>
              <w:rPr>
                <w:rStyle w:val="11"/>
                <w:rFonts w:hint="eastAsia"/>
              </w:rPr>
              <w:t>本品为新型绿色植物生长调节剂，由24-表芸苔素内酯和赤霉酸复配而成，可以促进蔬菜、瓜类 、水果等作物的生长。该药可促进茎伸长、叶片扩大、果实生长，打破种子休眠，改变雌雄花比例，影响开花时间，减少花、果的脱落。在豇豆上使用可有效促进果实生长，推荐剂量下对作物安全。</w:t>
            </w:r>
          </w:p>
        </w:tc>
      </w:tr>
      <w:tr w14:paraId="6D8B94A9">
        <w:tblPrEx>
          <w:tblCellMar>
            <w:top w:w="0" w:type="dxa"/>
            <w:left w:w="0" w:type="dxa"/>
            <w:bottom w:w="0" w:type="dxa"/>
            <w:right w:w="0" w:type="dxa"/>
          </w:tblCellMar>
        </w:tblPrEx>
        <w:trPr>
          <w:wBefore w:w="0" w:type="auto"/>
          <w:tblCellSpacing w:w="0" w:type="dxa"/>
        </w:trPr>
        <w:tc>
          <w:tcPr>
            <w:tcW w:w="0" w:type="auto"/>
            <w:noWrap w:val="0"/>
            <w:vAlign w:val="center"/>
          </w:tcPr>
          <w:p w14:paraId="18D9A062">
            <w:r>
              <w:rPr>
                <w:rStyle w:val="10"/>
                <w:rFonts w:hint="eastAsia"/>
              </w:rPr>
              <w:t>注意事项：</w:t>
            </w:r>
            <w:r>
              <w:rPr>
                <w:rFonts w:hint="eastAsia"/>
              </w:rPr>
              <w:br w:type="textWrapping"/>
            </w:r>
            <w:r>
              <w:rPr>
                <w:rStyle w:val="11"/>
                <w:rFonts w:hint="eastAsia"/>
              </w:rPr>
              <w:t>1. 本品为植物生长调节剂，使用时加强作物的水肥管理以便能更好的生长。 2. 水产养殖区、河塘等水体附近禁用，禁止在河塘等水域清洗施药器具。 3. 本品对眼睛有刺激性，使用时避免接触眼睛，穿戴长衣、长裤、帽子、口罩、手套等防护措施。喷药过程中禁止抽烟或饮食，喷药完毕请清洗裸露在外的皮肤。 4. 用过的容器应妥善处理，不可作它用，也不可随意丢弃。 5. 儿童、孕妇及哺乳期妇女避免接触本品。</w:t>
            </w:r>
          </w:p>
        </w:tc>
      </w:tr>
      <w:tr w14:paraId="2031384F">
        <w:tblPrEx>
          <w:tblCellMar>
            <w:top w:w="0" w:type="dxa"/>
            <w:left w:w="0" w:type="dxa"/>
            <w:bottom w:w="0" w:type="dxa"/>
            <w:right w:w="0" w:type="dxa"/>
          </w:tblCellMar>
        </w:tblPrEx>
        <w:trPr>
          <w:wBefore w:w="0" w:type="auto"/>
          <w:tblCellSpacing w:w="0" w:type="dxa"/>
        </w:trPr>
        <w:tc>
          <w:tcPr>
            <w:tcW w:w="0" w:type="auto"/>
            <w:noWrap w:val="0"/>
            <w:vAlign w:val="center"/>
          </w:tcPr>
          <w:p w14:paraId="6A79586B">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皮肤接触：立即脱掉污染衣物，用软布去除污染农药，用大量清水和肥皂冲洗。眼睛接触：立即提起眼睑，用流动清水冲洗至少15分钟。吸入：立即离开施药现场，转移到空气新鲜处。误食：立即携带标签送医院就诊，对症治疗。</w:t>
            </w:r>
          </w:p>
        </w:tc>
      </w:tr>
      <w:tr w14:paraId="7297B02D">
        <w:tblPrEx>
          <w:tblCellMar>
            <w:top w:w="0" w:type="dxa"/>
            <w:left w:w="0" w:type="dxa"/>
            <w:bottom w:w="0" w:type="dxa"/>
            <w:right w:w="0" w:type="dxa"/>
          </w:tblCellMar>
        </w:tblPrEx>
        <w:trPr>
          <w:wBefore w:w="0" w:type="auto"/>
          <w:tblCellSpacing w:w="0" w:type="dxa"/>
        </w:trPr>
        <w:tc>
          <w:tcPr>
            <w:tcW w:w="0" w:type="auto"/>
            <w:noWrap w:val="0"/>
            <w:vAlign w:val="center"/>
          </w:tcPr>
          <w:p w14:paraId="4E32883C">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本品应贮存在干燥、阴凉、通风、防雨处，远离火源或热源。置于儿童触及不到之处，并加锁。勿与食品、饮料、粮食、饲料等其他商品同贮同运。</w:t>
            </w:r>
          </w:p>
        </w:tc>
      </w:tr>
      <w:tr w14:paraId="34EE5CC8">
        <w:tblPrEx>
          <w:tblCellMar>
            <w:top w:w="0" w:type="dxa"/>
            <w:left w:w="0" w:type="dxa"/>
            <w:bottom w:w="0" w:type="dxa"/>
            <w:right w:w="0" w:type="dxa"/>
          </w:tblCellMar>
        </w:tblPrEx>
        <w:trPr>
          <w:wBefore w:w="0" w:type="auto"/>
          <w:tblCellSpacing w:w="0" w:type="dxa"/>
        </w:trPr>
        <w:tc>
          <w:tcPr>
            <w:tcW w:w="0" w:type="auto"/>
            <w:noWrap w:val="0"/>
            <w:vAlign w:val="center"/>
          </w:tcPr>
          <w:p w14:paraId="44665110">
            <w:r>
              <w:rPr>
                <w:rStyle w:val="10"/>
                <w:rFonts w:hint="eastAsia"/>
              </w:rPr>
              <w:t>质量保证期：</w:t>
            </w:r>
            <w:r>
              <w:rPr>
                <w:rStyle w:val="11"/>
                <w:rFonts w:hint="eastAsia"/>
              </w:rPr>
              <w:t>2年</w:t>
            </w:r>
          </w:p>
        </w:tc>
      </w:tr>
      <w:tr w14:paraId="7E96E54F">
        <w:tblPrEx>
          <w:tblCellMar>
            <w:top w:w="0" w:type="dxa"/>
            <w:left w:w="0" w:type="dxa"/>
            <w:bottom w:w="0" w:type="dxa"/>
            <w:right w:w="0" w:type="dxa"/>
          </w:tblCellMar>
        </w:tblPrEx>
        <w:trPr>
          <w:wBefore w:w="0" w:type="auto"/>
          <w:tblCellSpacing w:w="0" w:type="dxa"/>
        </w:trPr>
        <w:tc>
          <w:tcPr>
            <w:tcW w:w="0" w:type="auto"/>
            <w:noWrap w:val="0"/>
            <w:vAlign w:val="center"/>
          </w:tcPr>
          <w:p w14:paraId="6840F99B">
            <w:r>
              <w:rPr>
                <w:rStyle w:val="10"/>
                <w:rFonts w:hint="eastAsia"/>
              </w:rPr>
              <w:t>备注：</w:t>
            </w:r>
          </w:p>
        </w:tc>
      </w:tr>
    </w:tbl>
    <w:p w14:paraId="6C7146A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1159F5">
        <w:tblPrEx>
          <w:tblCellMar>
            <w:top w:w="0" w:type="dxa"/>
            <w:left w:w="0" w:type="dxa"/>
            <w:bottom w:w="0" w:type="dxa"/>
            <w:right w:w="0" w:type="dxa"/>
          </w:tblCellMar>
        </w:tblPrEx>
        <w:trPr>
          <w:wBefore w:w="0" w:type="auto"/>
          <w:tblCellSpacing w:w="0" w:type="dxa"/>
        </w:trPr>
        <w:tc>
          <w:tcPr>
            <w:tcW w:w="0" w:type="auto"/>
            <w:noWrap w:val="0"/>
            <w:vAlign w:val="center"/>
          </w:tcPr>
          <w:p w14:paraId="2A37F5D5">
            <w:r>
              <w:rPr>
                <w:rStyle w:val="10"/>
                <w:rFonts w:hint="eastAsia"/>
              </w:rPr>
              <w:t>登记证号：</w:t>
            </w:r>
            <w:r>
              <w:rPr>
                <w:rFonts w:hint="eastAsia"/>
              </w:rPr>
              <w:t>PD20212108</w:t>
            </w:r>
          </w:p>
        </w:tc>
      </w:tr>
      <w:tr w14:paraId="28A6671E">
        <w:tblPrEx>
          <w:tblCellMar>
            <w:top w:w="0" w:type="dxa"/>
            <w:left w:w="0" w:type="dxa"/>
            <w:bottom w:w="0" w:type="dxa"/>
            <w:right w:w="0" w:type="dxa"/>
          </w:tblCellMar>
        </w:tblPrEx>
        <w:trPr>
          <w:wBefore w:w="0" w:type="auto"/>
          <w:tblCellSpacing w:w="0" w:type="dxa"/>
        </w:trPr>
        <w:tc>
          <w:tcPr>
            <w:tcW w:w="0" w:type="auto"/>
            <w:noWrap w:val="0"/>
            <w:vAlign w:val="center"/>
          </w:tcPr>
          <w:p w14:paraId="065E6C6D">
            <w:r>
              <w:rPr>
                <w:rStyle w:val="10"/>
                <w:rFonts w:hint="eastAsia"/>
              </w:rPr>
              <w:t>登记证持有人：</w:t>
            </w:r>
            <w:r>
              <w:rPr>
                <w:rFonts w:hint="eastAsia"/>
              </w:rPr>
              <w:t>浙江中山化工集团股份有限公司</w:t>
            </w:r>
          </w:p>
        </w:tc>
      </w:tr>
      <w:tr w14:paraId="79390F42">
        <w:tblPrEx>
          <w:tblCellMar>
            <w:top w:w="0" w:type="dxa"/>
            <w:left w:w="0" w:type="dxa"/>
            <w:bottom w:w="0" w:type="dxa"/>
            <w:right w:w="0" w:type="dxa"/>
          </w:tblCellMar>
        </w:tblPrEx>
        <w:trPr>
          <w:wBefore w:w="0" w:type="auto"/>
          <w:tblCellSpacing w:w="0" w:type="dxa"/>
        </w:trPr>
        <w:tc>
          <w:tcPr>
            <w:tcW w:w="0" w:type="auto"/>
            <w:noWrap w:val="0"/>
            <w:vAlign w:val="center"/>
          </w:tcPr>
          <w:p w14:paraId="21F1CF59">
            <w:r>
              <w:rPr>
                <w:rStyle w:val="10"/>
                <w:rFonts w:hint="eastAsia"/>
              </w:rPr>
              <w:t>农药名称：</w:t>
            </w:r>
            <w:r>
              <w:rPr>
                <w:rFonts w:hint="eastAsia"/>
              </w:rPr>
              <w:t>精喹·灭草松</w:t>
            </w:r>
          </w:p>
        </w:tc>
      </w:tr>
      <w:tr w14:paraId="6B441B6D">
        <w:tblPrEx>
          <w:tblCellMar>
            <w:top w:w="0" w:type="dxa"/>
            <w:left w:w="0" w:type="dxa"/>
            <w:bottom w:w="0" w:type="dxa"/>
            <w:right w:w="0" w:type="dxa"/>
          </w:tblCellMar>
        </w:tblPrEx>
        <w:trPr>
          <w:wBefore w:w="0" w:type="auto"/>
          <w:tblCellSpacing w:w="0" w:type="dxa"/>
        </w:trPr>
        <w:tc>
          <w:tcPr>
            <w:tcW w:w="0" w:type="auto"/>
            <w:noWrap w:val="0"/>
            <w:vAlign w:val="center"/>
          </w:tcPr>
          <w:p w14:paraId="2004F6EB">
            <w:r>
              <w:rPr>
                <w:rStyle w:val="10"/>
                <w:rFonts w:hint="eastAsia"/>
              </w:rPr>
              <w:t>剂型：</w:t>
            </w:r>
            <w:r>
              <w:rPr>
                <w:rFonts w:hint="eastAsia"/>
              </w:rPr>
              <w:t>乳油</w:t>
            </w:r>
          </w:p>
        </w:tc>
      </w:tr>
      <w:tr w14:paraId="4FCF68DD">
        <w:tblPrEx>
          <w:tblCellMar>
            <w:top w:w="0" w:type="dxa"/>
            <w:left w:w="0" w:type="dxa"/>
            <w:bottom w:w="0" w:type="dxa"/>
            <w:right w:w="0" w:type="dxa"/>
          </w:tblCellMar>
        </w:tblPrEx>
        <w:trPr>
          <w:wBefore w:w="0" w:type="auto"/>
          <w:tblCellSpacing w:w="0" w:type="dxa"/>
        </w:trPr>
        <w:tc>
          <w:tcPr>
            <w:tcW w:w="0" w:type="auto"/>
            <w:noWrap w:val="0"/>
            <w:vAlign w:val="center"/>
          </w:tcPr>
          <w:p w14:paraId="0163CCE8">
            <w:r>
              <w:rPr>
                <w:rStyle w:val="10"/>
                <w:rFonts w:hint="eastAsia"/>
              </w:rPr>
              <w:t>毒性及其标识：</w:t>
            </w:r>
            <w:r>
              <w:rPr>
                <w:rFonts w:hint="eastAsia"/>
              </w:rPr>
              <w:t xml:space="preserve"> </w:t>
            </w:r>
            <w:r>
              <w:rPr>
                <w:lang/>
              </w:rPr>
              <w:drawing>
                <wp:inline distT="0" distB="0" distL="114300" distR="114300">
                  <wp:extent cx="476250" cy="323850"/>
                  <wp:effectExtent l="0" t="0" r="0" b="0"/>
                  <wp:docPr id="383" name="图片 38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1B872D5">
        <w:tblPrEx>
          <w:tblCellMar>
            <w:top w:w="0" w:type="dxa"/>
            <w:left w:w="0" w:type="dxa"/>
            <w:bottom w:w="0" w:type="dxa"/>
            <w:right w:w="0" w:type="dxa"/>
          </w:tblCellMar>
        </w:tblPrEx>
        <w:trPr>
          <w:wBefore w:w="0" w:type="auto"/>
          <w:tblCellSpacing w:w="0" w:type="dxa"/>
        </w:trPr>
        <w:tc>
          <w:tcPr>
            <w:tcW w:w="0" w:type="auto"/>
            <w:noWrap w:val="0"/>
            <w:vAlign w:val="center"/>
          </w:tcPr>
          <w:p w14:paraId="71F7115D">
            <w:r>
              <w:rPr>
                <w:rStyle w:val="10"/>
                <w:rFonts w:hint="eastAsia"/>
              </w:rPr>
              <w:t>总有效成分含量：</w:t>
            </w:r>
            <w:r>
              <w:rPr>
                <w:rFonts w:hint="eastAsia"/>
              </w:rPr>
              <w:t>30%</w:t>
            </w:r>
          </w:p>
        </w:tc>
      </w:tr>
      <w:tr w14:paraId="482D898C">
        <w:tblPrEx>
          <w:tblCellMar>
            <w:top w:w="0" w:type="dxa"/>
            <w:left w:w="0" w:type="dxa"/>
            <w:bottom w:w="0" w:type="dxa"/>
            <w:right w:w="0" w:type="dxa"/>
          </w:tblCellMar>
        </w:tblPrEx>
        <w:trPr>
          <w:wBefore w:w="0" w:type="auto"/>
          <w:tblCellSpacing w:w="0" w:type="dxa"/>
        </w:trPr>
        <w:tc>
          <w:tcPr>
            <w:tcW w:w="0" w:type="auto"/>
            <w:noWrap w:val="0"/>
            <w:vAlign w:val="center"/>
          </w:tcPr>
          <w:p w14:paraId="49EFDDAB">
            <w:r>
              <w:rPr>
                <w:rFonts w:hint="eastAsia"/>
              </w:rPr>
              <w:t xml:space="preserve">有效成分及其含量： </w:t>
            </w:r>
          </w:p>
          <w:p w14:paraId="637E7B36">
            <w:r>
              <w:rPr>
                <w:rFonts w:hint="eastAsia"/>
              </w:rPr>
              <w:t xml:space="preserve">    精喹禾灵3%    灭草松27%    </w:t>
            </w:r>
          </w:p>
        </w:tc>
      </w:tr>
      <w:tr w14:paraId="2E4F8CDD">
        <w:tblPrEx>
          <w:tblCellMar>
            <w:top w:w="0" w:type="dxa"/>
            <w:left w:w="0" w:type="dxa"/>
            <w:bottom w:w="0" w:type="dxa"/>
            <w:right w:w="0" w:type="dxa"/>
          </w:tblCellMar>
        </w:tblPrEx>
        <w:trPr>
          <w:wBefore w:w="0" w:type="auto"/>
          <w:tblCellSpacing w:w="0" w:type="dxa"/>
        </w:trPr>
        <w:tc>
          <w:tcPr>
            <w:tcW w:w="0" w:type="auto"/>
            <w:noWrap w:val="0"/>
            <w:vAlign w:val="center"/>
          </w:tcPr>
          <w:p w14:paraId="6A5E976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A03A0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C9E244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73FEAF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2D7AC7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469A0CC">
                  <w:r>
                    <w:rPr>
                      <w:rStyle w:val="11"/>
                      <w:rFonts w:hint="eastAsia"/>
                    </w:rPr>
                    <w:t>施用方式</w:t>
                  </w:r>
                </w:p>
              </w:tc>
            </w:tr>
            <w:tr w14:paraId="53FA37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35700F1">
                  <w:r>
                    <w:rPr>
                      <w:rStyle w:val="11"/>
                      <w:rFonts w:hint="eastAsia"/>
                    </w:rPr>
                    <w:t>马铃薯田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46E8BA">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33E187">
                  <w:r>
                    <w:rPr>
                      <w:rStyle w:val="11"/>
                      <w:rFonts w:hint="eastAsia"/>
                    </w:rPr>
                    <w:t>200-240毫升/亩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53B061">
                  <w:r>
                    <w:rPr>
                      <w:rStyle w:val="11"/>
                      <w:rFonts w:hint="eastAsia"/>
                    </w:rPr>
                    <w:t>茎叶喷雾</w:t>
                  </w:r>
                </w:p>
              </w:tc>
            </w:tr>
          </w:tbl>
          <w:p w14:paraId="08834E66">
            <w:pPr>
              <w:rPr>
                <w:rFonts w:ascii="Times New Roman" w:hAnsi="Times New Roman" w:cs="Times New Roman"/>
                <w:sz w:val="20"/>
                <w:szCs w:val="20"/>
              </w:rPr>
            </w:pPr>
          </w:p>
        </w:tc>
      </w:tr>
      <w:tr w14:paraId="17CA0283">
        <w:tblPrEx>
          <w:tblCellMar>
            <w:top w:w="0" w:type="dxa"/>
            <w:left w:w="0" w:type="dxa"/>
            <w:bottom w:w="0" w:type="dxa"/>
            <w:right w:w="0" w:type="dxa"/>
          </w:tblCellMar>
        </w:tblPrEx>
        <w:trPr>
          <w:wBefore w:w="0" w:type="auto"/>
          <w:tblCellSpacing w:w="0" w:type="dxa"/>
        </w:trPr>
        <w:tc>
          <w:tcPr>
            <w:tcW w:w="0" w:type="auto"/>
            <w:noWrap w:val="0"/>
            <w:vAlign w:val="center"/>
          </w:tcPr>
          <w:p w14:paraId="07DEFE7F">
            <w:r>
              <w:rPr>
                <w:rStyle w:val="10"/>
                <w:rFonts w:hint="eastAsia"/>
              </w:rPr>
              <w:t>使用技术要求:</w:t>
            </w:r>
            <w:r>
              <w:rPr>
                <w:rFonts w:hint="eastAsia"/>
              </w:rPr>
              <w:br w:type="textWrapping"/>
            </w:r>
            <w:r>
              <w:rPr>
                <w:rStyle w:val="11"/>
                <w:rFonts w:hint="eastAsia"/>
              </w:rPr>
              <w:t>1. 应于马铃薯田杂草2-4叶期，茎叶喷雾施药一次。 2. 大风天或预计1小时内降雨，请勿施药。 3. 每季作物最多使用1次。</w:t>
            </w:r>
          </w:p>
        </w:tc>
      </w:tr>
      <w:tr w14:paraId="1EAEBA81">
        <w:tblPrEx>
          <w:tblCellMar>
            <w:top w:w="0" w:type="dxa"/>
            <w:left w:w="0" w:type="dxa"/>
            <w:bottom w:w="0" w:type="dxa"/>
            <w:right w:w="0" w:type="dxa"/>
          </w:tblCellMar>
        </w:tblPrEx>
        <w:trPr>
          <w:wBefore w:w="0" w:type="auto"/>
          <w:tblCellSpacing w:w="0" w:type="dxa"/>
        </w:trPr>
        <w:tc>
          <w:tcPr>
            <w:tcW w:w="0" w:type="auto"/>
            <w:noWrap w:val="0"/>
            <w:vAlign w:val="center"/>
          </w:tcPr>
          <w:p w14:paraId="7B59BBAC">
            <w:r>
              <w:rPr>
                <w:rStyle w:val="10"/>
                <w:rFonts w:hint="eastAsia"/>
              </w:rPr>
              <w:t>产品性能:</w:t>
            </w:r>
            <w:r>
              <w:rPr>
                <w:rFonts w:hint="eastAsia"/>
              </w:rPr>
              <w:br w:type="textWrapping"/>
            </w:r>
            <w:r>
              <w:rPr>
                <w:rStyle w:val="11"/>
                <w:rFonts w:hint="eastAsia"/>
              </w:rPr>
              <w:t>本品是由精喹禾灵和灭草松混配而成，可有效防除马铃薯田中狗尾草、马唐、牛筋草、反枝苋、莎草等大多数一年生禾本科杂草、阔叶杂草和莎草科杂草。</w:t>
            </w:r>
          </w:p>
        </w:tc>
      </w:tr>
      <w:tr w14:paraId="6F2D1DFA">
        <w:tblPrEx>
          <w:tblCellMar>
            <w:top w:w="0" w:type="dxa"/>
            <w:left w:w="0" w:type="dxa"/>
            <w:bottom w:w="0" w:type="dxa"/>
            <w:right w:w="0" w:type="dxa"/>
          </w:tblCellMar>
        </w:tblPrEx>
        <w:trPr>
          <w:wBefore w:w="0" w:type="auto"/>
          <w:tblCellSpacing w:w="0" w:type="dxa"/>
        </w:trPr>
        <w:tc>
          <w:tcPr>
            <w:tcW w:w="0" w:type="auto"/>
            <w:noWrap w:val="0"/>
            <w:vAlign w:val="center"/>
          </w:tcPr>
          <w:p w14:paraId="195C99FD">
            <w:r>
              <w:rPr>
                <w:rStyle w:val="10"/>
                <w:rFonts w:hint="eastAsia"/>
              </w:rPr>
              <w:t>注意事项：</w:t>
            </w:r>
            <w:r>
              <w:rPr>
                <w:rFonts w:hint="eastAsia"/>
              </w:rPr>
              <w:br w:type="textWrapping"/>
            </w:r>
            <w:r>
              <w:rPr>
                <w:rStyle w:val="11"/>
                <w:rFonts w:hint="eastAsia"/>
              </w:rPr>
              <w:t>1. 请严格按照农药安全使用准则使用本品，或在专业植保人员的指导下施药，不能随意增加施药量、施药次数或缩短施药间隔期。2. 使用本品时应注意安全防护，施用时穿戴帽子、口罩、长衣、长裤、手套、鞋。脱去防护手套和防护鞋前先用清水冲洗，避免药液接触皮肤和眼睛等身体部位。3. 施药人员应定期检查、维护和保养施药器械，避免施药器械故障或药液箱漏液，应从上风向开始，喷头向下风向施药，施药后及时洗澡。4. 适当的土壤水分是发挥药效的重要因素；如遇干旱等土壤墒情不好时，可适当加大用水量。5. 本品对家蚕和部分非靶标节肢动物有一定风险，蚕室及桑园附近禁用，赤眼蜂等天敌放飞区禁用，谨慎施药。6. 施用时避免雾滴飘移到临近作物，以免产生药害。7. 远离水产养殖区、河塘等水体施药；禁止在河塘等水体中清洗施药器具。8. 操作本品时应禁止饮食、吸烟和饮水等。9. 施药后应及时洗澡，分开清洗、存放防护用具和衣物等。10. 使用过的空包装应妥善处理，切勿重复使用或作他用，也不可随意丢弃。11. 药品及废液严禁污染各类水域、土壤等环境，不得任意倾倒，以免污染其它作物及水源；废弃物要及时回收并妥善处理；严禁在河塘清洗施药器械。12. 禁止孕妇及哺乳期妇女接触本品。</w:t>
            </w:r>
          </w:p>
        </w:tc>
      </w:tr>
      <w:tr w14:paraId="2273ADFB">
        <w:tblPrEx>
          <w:tblCellMar>
            <w:top w:w="0" w:type="dxa"/>
            <w:left w:w="0" w:type="dxa"/>
            <w:bottom w:w="0" w:type="dxa"/>
            <w:right w:w="0" w:type="dxa"/>
          </w:tblCellMar>
        </w:tblPrEx>
        <w:trPr>
          <w:wBefore w:w="0" w:type="auto"/>
          <w:tblCellSpacing w:w="0" w:type="dxa"/>
        </w:trPr>
        <w:tc>
          <w:tcPr>
            <w:tcW w:w="0" w:type="auto"/>
            <w:noWrap w:val="0"/>
            <w:vAlign w:val="center"/>
          </w:tcPr>
          <w:p w14:paraId="6DDD8C7A">
            <w:r>
              <w:rPr>
                <w:rStyle w:val="10"/>
                <w:rFonts w:hint="eastAsia"/>
              </w:rPr>
              <w:t>中毒急救措施：</w:t>
            </w:r>
            <w:r>
              <w:rPr>
                <w:rFonts w:hint="eastAsia"/>
              </w:rPr>
              <w:br w:type="textWrapping"/>
            </w:r>
            <w:r>
              <w:rPr>
                <w:rStyle w:val="11"/>
                <w:rFonts w:hint="eastAsia"/>
              </w:rPr>
              <w:t>皮肤接触：立即脱掉被污染的衣物用肥皂和大量清水彻底清洗受污染的皮肤，若皮肤刺激感持续，请医生诊治。眼睛溅药：立即将眼睑翻开，用清水冲洗10-15分钟，再请医生诊治。发生吸入：立即将吸入者移到空气新鲜处，如吸入者停止呼吸，需要进行人工呼吸。注意保暖和休息，请医生诊治。若误服，请立即携带标签，送医就诊。紧急医疗措施，使用医用活性炭洗胃，注意防止胃容物进入呼吸道。注意：对昏迷病人，切勿经口喂入任何东西或引吐。无专用解毒剂，应对症治疗。</w:t>
            </w:r>
          </w:p>
        </w:tc>
      </w:tr>
      <w:tr w14:paraId="56085DAD">
        <w:tblPrEx>
          <w:tblCellMar>
            <w:top w:w="0" w:type="dxa"/>
            <w:left w:w="0" w:type="dxa"/>
            <w:bottom w:w="0" w:type="dxa"/>
            <w:right w:w="0" w:type="dxa"/>
          </w:tblCellMar>
        </w:tblPrEx>
        <w:trPr>
          <w:wBefore w:w="0" w:type="auto"/>
          <w:tblCellSpacing w:w="0" w:type="dxa"/>
        </w:trPr>
        <w:tc>
          <w:tcPr>
            <w:tcW w:w="0" w:type="auto"/>
            <w:noWrap w:val="0"/>
            <w:vAlign w:val="center"/>
          </w:tcPr>
          <w:p w14:paraId="22D943F4">
            <w:r>
              <w:rPr>
                <w:rStyle w:val="10"/>
                <w:rFonts w:hint="eastAsia"/>
              </w:rPr>
              <w:t>储存和运输方法：</w:t>
            </w:r>
            <w:r>
              <w:rPr>
                <w:rFonts w:hint="eastAsia"/>
              </w:rPr>
              <w:br w:type="textWrapping"/>
            </w:r>
            <w:r>
              <w:rPr>
                <w:rStyle w:val="11"/>
                <w:rFonts w:hint="eastAsia"/>
              </w:rPr>
              <w:t>1.本品为易燃液体，远离热源或火源，存放于密封、干燥、阴凉处。2. 置于儿童、无关人员触及不到之处，并加锁。勿与食品、饮料、饲料、粮食等同贮同运。</w:t>
            </w:r>
          </w:p>
        </w:tc>
      </w:tr>
      <w:tr w14:paraId="6DD018A8">
        <w:tblPrEx>
          <w:tblCellMar>
            <w:top w:w="0" w:type="dxa"/>
            <w:left w:w="0" w:type="dxa"/>
            <w:bottom w:w="0" w:type="dxa"/>
            <w:right w:w="0" w:type="dxa"/>
          </w:tblCellMar>
        </w:tblPrEx>
        <w:trPr>
          <w:wBefore w:w="0" w:type="auto"/>
          <w:tblCellSpacing w:w="0" w:type="dxa"/>
        </w:trPr>
        <w:tc>
          <w:tcPr>
            <w:tcW w:w="0" w:type="auto"/>
            <w:noWrap w:val="0"/>
            <w:vAlign w:val="center"/>
          </w:tcPr>
          <w:p w14:paraId="45138F77">
            <w:r>
              <w:rPr>
                <w:rStyle w:val="10"/>
                <w:rFonts w:hint="eastAsia"/>
              </w:rPr>
              <w:t>质量保证期：</w:t>
            </w:r>
            <w:r>
              <w:rPr>
                <w:rStyle w:val="11"/>
                <w:rFonts w:hint="eastAsia"/>
              </w:rPr>
              <w:t>2年</w:t>
            </w:r>
          </w:p>
        </w:tc>
      </w:tr>
      <w:tr w14:paraId="565FC7F8">
        <w:tblPrEx>
          <w:tblCellMar>
            <w:top w:w="0" w:type="dxa"/>
            <w:left w:w="0" w:type="dxa"/>
            <w:bottom w:w="0" w:type="dxa"/>
            <w:right w:w="0" w:type="dxa"/>
          </w:tblCellMar>
        </w:tblPrEx>
        <w:trPr>
          <w:wBefore w:w="0" w:type="auto"/>
          <w:tblCellSpacing w:w="0" w:type="dxa"/>
        </w:trPr>
        <w:tc>
          <w:tcPr>
            <w:tcW w:w="0" w:type="auto"/>
            <w:noWrap w:val="0"/>
            <w:vAlign w:val="center"/>
          </w:tcPr>
          <w:p w14:paraId="4B2F82C0">
            <w:r>
              <w:rPr>
                <w:rStyle w:val="10"/>
                <w:rFonts w:hint="eastAsia"/>
              </w:rPr>
              <w:t>备注：</w:t>
            </w:r>
          </w:p>
        </w:tc>
      </w:tr>
    </w:tbl>
    <w:p w14:paraId="127026B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E22EE82">
        <w:tblPrEx>
          <w:tblCellMar>
            <w:top w:w="0" w:type="dxa"/>
            <w:left w:w="0" w:type="dxa"/>
            <w:bottom w:w="0" w:type="dxa"/>
            <w:right w:w="0" w:type="dxa"/>
          </w:tblCellMar>
        </w:tblPrEx>
        <w:trPr>
          <w:wBefore w:w="0" w:type="auto"/>
          <w:tblCellSpacing w:w="0" w:type="dxa"/>
        </w:trPr>
        <w:tc>
          <w:tcPr>
            <w:tcW w:w="0" w:type="auto"/>
            <w:noWrap w:val="0"/>
            <w:vAlign w:val="center"/>
          </w:tcPr>
          <w:p w14:paraId="4C742623">
            <w:r>
              <w:rPr>
                <w:rStyle w:val="10"/>
                <w:rFonts w:hint="eastAsia"/>
              </w:rPr>
              <w:t>登记证号：</w:t>
            </w:r>
            <w:r>
              <w:rPr>
                <w:rFonts w:hint="eastAsia"/>
              </w:rPr>
              <w:t>WP20210245</w:t>
            </w:r>
          </w:p>
        </w:tc>
      </w:tr>
      <w:tr w14:paraId="4B1264D2">
        <w:tblPrEx>
          <w:tblCellMar>
            <w:top w:w="0" w:type="dxa"/>
            <w:left w:w="0" w:type="dxa"/>
            <w:bottom w:w="0" w:type="dxa"/>
            <w:right w:w="0" w:type="dxa"/>
          </w:tblCellMar>
        </w:tblPrEx>
        <w:trPr>
          <w:wBefore w:w="0" w:type="auto"/>
          <w:tblCellSpacing w:w="0" w:type="dxa"/>
        </w:trPr>
        <w:tc>
          <w:tcPr>
            <w:tcW w:w="0" w:type="auto"/>
            <w:noWrap w:val="0"/>
            <w:vAlign w:val="center"/>
          </w:tcPr>
          <w:p w14:paraId="6187BEF3">
            <w:r>
              <w:rPr>
                <w:rStyle w:val="10"/>
                <w:rFonts w:hint="eastAsia"/>
              </w:rPr>
              <w:t>登记证持有人：</w:t>
            </w:r>
            <w:r>
              <w:rPr>
                <w:rFonts w:hint="eastAsia"/>
              </w:rPr>
              <w:t>广州市金农科技开发有限公司</w:t>
            </w:r>
          </w:p>
        </w:tc>
      </w:tr>
      <w:tr w14:paraId="4BA0C301">
        <w:tblPrEx>
          <w:tblCellMar>
            <w:top w:w="0" w:type="dxa"/>
            <w:left w:w="0" w:type="dxa"/>
            <w:bottom w:w="0" w:type="dxa"/>
            <w:right w:w="0" w:type="dxa"/>
          </w:tblCellMar>
        </w:tblPrEx>
        <w:trPr>
          <w:wBefore w:w="0" w:type="auto"/>
          <w:tblCellSpacing w:w="0" w:type="dxa"/>
        </w:trPr>
        <w:tc>
          <w:tcPr>
            <w:tcW w:w="0" w:type="auto"/>
            <w:noWrap w:val="0"/>
            <w:vAlign w:val="center"/>
          </w:tcPr>
          <w:p w14:paraId="09DDC286">
            <w:r>
              <w:rPr>
                <w:rStyle w:val="10"/>
                <w:rFonts w:hint="eastAsia"/>
              </w:rPr>
              <w:t>农药名称：</w:t>
            </w:r>
            <w:r>
              <w:rPr>
                <w:rFonts w:hint="eastAsia"/>
              </w:rPr>
              <w:t>高效氯氰菊酯</w:t>
            </w:r>
          </w:p>
        </w:tc>
      </w:tr>
      <w:tr w14:paraId="0DC48E25">
        <w:tblPrEx>
          <w:tblCellMar>
            <w:top w:w="0" w:type="dxa"/>
            <w:left w:w="0" w:type="dxa"/>
            <w:bottom w:w="0" w:type="dxa"/>
            <w:right w:w="0" w:type="dxa"/>
          </w:tblCellMar>
        </w:tblPrEx>
        <w:trPr>
          <w:wBefore w:w="0" w:type="auto"/>
          <w:tblCellSpacing w:w="0" w:type="dxa"/>
        </w:trPr>
        <w:tc>
          <w:tcPr>
            <w:tcW w:w="0" w:type="auto"/>
            <w:noWrap w:val="0"/>
            <w:vAlign w:val="center"/>
          </w:tcPr>
          <w:p w14:paraId="2566EB8E">
            <w:r>
              <w:rPr>
                <w:rStyle w:val="10"/>
                <w:rFonts w:hint="eastAsia"/>
              </w:rPr>
              <w:t>剂型：</w:t>
            </w:r>
            <w:r>
              <w:rPr>
                <w:rFonts w:hint="eastAsia"/>
              </w:rPr>
              <w:t>微乳剂</w:t>
            </w:r>
          </w:p>
        </w:tc>
      </w:tr>
      <w:tr w14:paraId="096DC75E">
        <w:tblPrEx>
          <w:tblCellMar>
            <w:top w:w="0" w:type="dxa"/>
            <w:left w:w="0" w:type="dxa"/>
            <w:bottom w:w="0" w:type="dxa"/>
            <w:right w:w="0" w:type="dxa"/>
          </w:tblCellMar>
        </w:tblPrEx>
        <w:trPr>
          <w:wBefore w:w="0" w:type="auto"/>
          <w:tblCellSpacing w:w="0" w:type="dxa"/>
        </w:trPr>
        <w:tc>
          <w:tcPr>
            <w:tcW w:w="0" w:type="auto"/>
            <w:noWrap w:val="0"/>
            <w:vAlign w:val="center"/>
          </w:tcPr>
          <w:p w14:paraId="748DC199">
            <w:r>
              <w:rPr>
                <w:rStyle w:val="10"/>
                <w:rFonts w:hint="eastAsia"/>
              </w:rPr>
              <w:t>毒性及其标识：</w:t>
            </w:r>
            <w:r>
              <w:rPr>
                <w:rFonts w:hint="eastAsia"/>
              </w:rPr>
              <w:t xml:space="preserve"> </w:t>
            </w:r>
            <w:r>
              <w:rPr>
                <w:lang/>
              </w:rPr>
              <w:drawing>
                <wp:inline distT="0" distB="0" distL="114300" distR="114300">
                  <wp:extent cx="476250" cy="323850"/>
                  <wp:effectExtent l="0" t="0" r="0" b="0"/>
                  <wp:docPr id="384" name="图片 38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176A3E0">
        <w:tblPrEx>
          <w:tblCellMar>
            <w:top w:w="0" w:type="dxa"/>
            <w:left w:w="0" w:type="dxa"/>
            <w:bottom w:w="0" w:type="dxa"/>
            <w:right w:w="0" w:type="dxa"/>
          </w:tblCellMar>
        </w:tblPrEx>
        <w:trPr>
          <w:wBefore w:w="0" w:type="auto"/>
          <w:tblCellSpacing w:w="0" w:type="dxa"/>
        </w:trPr>
        <w:tc>
          <w:tcPr>
            <w:tcW w:w="0" w:type="auto"/>
            <w:noWrap w:val="0"/>
            <w:vAlign w:val="center"/>
          </w:tcPr>
          <w:p w14:paraId="52BAA584">
            <w:r>
              <w:rPr>
                <w:rStyle w:val="10"/>
                <w:rFonts w:hint="eastAsia"/>
              </w:rPr>
              <w:t>总有效成分含量：</w:t>
            </w:r>
            <w:r>
              <w:rPr>
                <w:rFonts w:hint="eastAsia"/>
              </w:rPr>
              <w:t>5%</w:t>
            </w:r>
          </w:p>
        </w:tc>
      </w:tr>
      <w:tr w14:paraId="2964956E">
        <w:tblPrEx>
          <w:tblCellMar>
            <w:top w:w="0" w:type="dxa"/>
            <w:left w:w="0" w:type="dxa"/>
            <w:bottom w:w="0" w:type="dxa"/>
            <w:right w:w="0" w:type="dxa"/>
          </w:tblCellMar>
        </w:tblPrEx>
        <w:trPr>
          <w:wBefore w:w="0" w:type="auto"/>
          <w:tblCellSpacing w:w="0" w:type="dxa"/>
        </w:trPr>
        <w:tc>
          <w:tcPr>
            <w:tcW w:w="0" w:type="auto"/>
            <w:noWrap w:val="0"/>
            <w:vAlign w:val="center"/>
          </w:tcPr>
          <w:p w14:paraId="2B6E2516">
            <w:r>
              <w:rPr>
                <w:rFonts w:hint="eastAsia"/>
              </w:rPr>
              <w:t xml:space="preserve">有效成分及其含量： </w:t>
            </w:r>
          </w:p>
          <w:p w14:paraId="03701FEE">
            <w:r>
              <w:rPr>
                <w:rFonts w:hint="eastAsia"/>
              </w:rPr>
              <w:t xml:space="preserve">    高效氯氰菊酯5%    </w:t>
            </w:r>
          </w:p>
        </w:tc>
      </w:tr>
      <w:tr w14:paraId="6E2218BC">
        <w:tblPrEx>
          <w:tblCellMar>
            <w:top w:w="0" w:type="dxa"/>
            <w:left w:w="0" w:type="dxa"/>
            <w:bottom w:w="0" w:type="dxa"/>
            <w:right w:w="0" w:type="dxa"/>
          </w:tblCellMar>
        </w:tblPrEx>
        <w:trPr>
          <w:wBefore w:w="0" w:type="auto"/>
          <w:tblCellSpacing w:w="0" w:type="dxa"/>
        </w:trPr>
        <w:tc>
          <w:tcPr>
            <w:tcW w:w="0" w:type="auto"/>
            <w:noWrap w:val="0"/>
            <w:vAlign w:val="center"/>
          </w:tcPr>
          <w:p w14:paraId="481B6A8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EF037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DB88DB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206DCF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D411C7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91CB3F8">
                  <w:r>
                    <w:rPr>
                      <w:rStyle w:val="11"/>
                      <w:rFonts w:hint="eastAsia"/>
                    </w:rPr>
                    <w:t>施用方式</w:t>
                  </w:r>
                </w:p>
              </w:tc>
            </w:tr>
            <w:tr w14:paraId="5A9225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3DDA08A">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CFF98F">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872DB4">
                  <w:r>
                    <w:rPr>
                      <w:rStyle w:val="11"/>
                      <w:rFonts w:hint="eastAsia"/>
                    </w:rPr>
                    <w:t>1毫升/平方米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3E7A2A">
                  <w:r>
                    <w:rPr>
                      <w:rStyle w:val="11"/>
                      <w:rFonts w:hint="eastAsia"/>
                    </w:rPr>
                    <w:t>滞留喷洒</w:t>
                  </w:r>
                </w:p>
              </w:tc>
            </w:tr>
            <w:tr w14:paraId="4FA8CA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2D305C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6B505A">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14EDD3">
                  <w:r>
                    <w:rPr>
                      <w:rStyle w:val="11"/>
                      <w:rFonts w:hint="eastAsia"/>
                    </w:rPr>
                    <w:t>1毫升/平方米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0B590F">
                  <w:r>
                    <w:rPr>
                      <w:rStyle w:val="11"/>
                      <w:rFonts w:hint="eastAsia"/>
                    </w:rPr>
                    <w:t>滞留喷洒</w:t>
                  </w:r>
                </w:p>
              </w:tc>
            </w:tr>
          </w:tbl>
          <w:p w14:paraId="35A91DCC">
            <w:pPr>
              <w:rPr>
                <w:rFonts w:ascii="Times New Roman" w:hAnsi="Times New Roman" w:cs="Times New Roman"/>
                <w:sz w:val="20"/>
                <w:szCs w:val="20"/>
              </w:rPr>
            </w:pPr>
          </w:p>
        </w:tc>
      </w:tr>
      <w:tr w14:paraId="7C97A827">
        <w:tblPrEx>
          <w:tblCellMar>
            <w:top w:w="0" w:type="dxa"/>
            <w:left w:w="0" w:type="dxa"/>
            <w:bottom w:w="0" w:type="dxa"/>
            <w:right w:w="0" w:type="dxa"/>
          </w:tblCellMar>
        </w:tblPrEx>
        <w:trPr>
          <w:wBefore w:w="0" w:type="auto"/>
          <w:tblCellSpacing w:w="0" w:type="dxa"/>
        </w:trPr>
        <w:tc>
          <w:tcPr>
            <w:tcW w:w="0" w:type="auto"/>
            <w:noWrap w:val="0"/>
            <w:vAlign w:val="center"/>
          </w:tcPr>
          <w:p w14:paraId="48335EDD">
            <w:r>
              <w:rPr>
                <w:rStyle w:val="10"/>
                <w:rFonts w:hint="eastAsia"/>
              </w:rPr>
              <w:t>使用技术要求:</w:t>
            </w:r>
            <w:r>
              <w:rPr>
                <w:rFonts w:hint="eastAsia"/>
              </w:rPr>
              <w:br w:type="textWrapping"/>
            </w:r>
            <w:r>
              <w:rPr>
                <w:rStyle w:val="11"/>
                <w:rFonts w:hint="eastAsia"/>
              </w:rPr>
              <w:t>按上述用药量，一般稀释倍数为50-100倍，采用兑水稀释后滞留喷洒于蚊蝇出没、停留的地方。</w:t>
            </w:r>
          </w:p>
        </w:tc>
      </w:tr>
      <w:tr w14:paraId="68319463">
        <w:tblPrEx>
          <w:tblCellMar>
            <w:top w:w="0" w:type="dxa"/>
            <w:left w:w="0" w:type="dxa"/>
            <w:bottom w:w="0" w:type="dxa"/>
            <w:right w:w="0" w:type="dxa"/>
          </w:tblCellMar>
        </w:tblPrEx>
        <w:trPr>
          <w:wBefore w:w="0" w:type="auto"/>
          <w:tblCellSpacing w:w="0" w:type="dxa"/>
        </w:trPr>
        <w:tc>
          <w:tcPr>
            <w:tcW w:w="0" w:type="auto"/>
            <w:noWrap w:val="0"/>
            <w:vAlign w:val="center"/>
          </w:tcPr>
          <w:p w14:paraId="5679A129">
            <w:r>
              <w:rPr>
                <w:rStyle w:val="10"/>
                <w:rFonts w:hint="eastAsia"/>
              </w:rPr>
              <w:t>产品性能:</w:t>
            </w:r>
            <w:r>
              <w:rPr>
                <w:rFonts w:hint="eastAsia"/>
              </w:rPr>
              <w:br w:type="textWrapping"/>
            </w:r>
            <w:r>
              <w:rPr>
                <w:rStyle w:val="11"/>
                <w:rFonts w:hint="eastAsia"/>
              </w:rPr>
              <w:t>本品为氯氰菊酯的高效异构体，兼具触杀和胃毒作用，生物活性较高，极易穿透害虫体壁，杀虫效果较好，击倒速度较快。本品适用于在家庭等室内场所中防治蚊蝇。</w:t>
            </w:r>
          </w:p>
        </w:tc>
      </w:tr>
      <w:tr w14:paraId="32E43530">
        <w:tblPrEx>
          <w:tblCellMar>
            <w:top w:w="0" w:type="dxa"/>
            <w:left w:w="0" w:type="dxa"/>
            <w:bottom w:w="0" w:type="dxa"/>
            <w:right w:w="0" w:type="dxa"/>
          </w:tblCellMar>
        </w:tblPrEx>
        <w:trPr>
          <w:wBefore w:w="0" w:type="auto"/>
          <w:tblCellSpacing w:w="0" w:type="dxa"/>
        </w:trPr>
        <w:tc>
          <w:tcPr>
            <w:tcW w:w="0" w:type="auto"/>
            <w:noWrap w:val="0"/>
            <w:vAlign w:val="center"/>
          </w:tcPr>
          <w:p w14:paraId="4B8BBD34">
            <w:r>
              <w:rPr>
                <w:rStyle w:val="10"/>
                <w:rFonts w:hint="eastAsia"/>
              </w:rPr>
              <w:t>注意事项：</w:t>
            </w:r>
            <w:r>
              <w:rPr>
                <w:rFonts w:hint="eastAsia"/>
              </w:rPr>
              <w:br w:type="textWrapping"/>
            </w:r>
            <w:r>
              <w:rPr>
                <w:rStyle w:val="11"/>
                <w:rFonts w:hint="eastAsia"/>
              </w:rPr>
              <w:t>1. 本品仅限于室内使用。 2. 本品仅限专业人员使用，使用时应采取安全防护措施，应穿防护服、戴防护手套和口罩。施药期间不可吃东西和饮水，施药后及时进行个人清洗。 3. 不能与碱性物质混用，以免发生分解失效。 4. 本品对鱼类等水生动物、蜜蜂和家蚕有毒，禁止在河塘等水体中清洗施药器具。使用时注意不可污染鱼塘等水域及饲养蜂、蚕场地。蚕室及其附近禁用。 5. 用过的容器不可做他用，也不可随意丢弃。 6. 避免孕妇及哺乳期妇女接触；过敏者禁用，使用中有任何不良反应请及时就医。 7. 避免与氧化剂接触。</w:t>
            </w:r>
          </w:p>
        </w:tc>
      </w:tr>
      <w:tr w14:paraId="64EA403F">
        <w:tblPrEx>
          <w:tblCellMar>
            <w:top w:w="0" w:type="dxa"/>
            <w:left w:w="0" w:type="dxa"/>
            <w:bottom w:w="0" w:type="dxa"/>
            <w:right w:w="0" w:type="dxa"/>
          </w:tblCellMar>
        </w:tblPrEx>
        <w:trPr>
          <w:wBefore w:w="0" w:type="auto"/>
          <w:tblCellSpacing w:w="0" w:type="dxa"/>
        </w:trPr>
        <w:tc>
          <w:tcPr>
            <w:tcW w:w="0" w:type="auto"/>
            <w:noWrap w:val="0"/>
            <w:vAlign w:val="center"/>
          </w:tcPr>
          <w:p w14:paraId="6CE24D03">
            <w:r>
              <w:rPr>
                <w:rStyle w:val="10"/>
                <w:rFonts w:hint="eastAsia"/>
              </w:rPr>
              <w:t>中毒急救措施：</w:t>
            </w:r>
            <w:r>
              <w:rPr>
                <w:rFonts w:hint="eastAsia"/>
              </w:rPr>
              <w:br w:type="textWrapping"/>
            </w:r>
            <w:r>
              <w:rPr>
                <w:rStyle w:val="11"/>
                <w:rFonts w:hint="eastAsia"/>
              </w:rPr>
              <w:t>中毒症状：接触部位皮肤感到刺痛，尤其在口鼻周围。接触大量时会引起头痛、头昏、恶心、呕吐、双手颤抖，全身抽搐或惊厥、昏迷、休克。 急救措施：溅入眼内，将眼睑翻开用清水冲洗至少15分钟；皮肤接触，立即用肥皂水清洗。若误服，不要引吐，立即携此标签就医。急救治疗：无特殊解毒剂，可对症治疗；大量吞服时可洗胃，不能催吐。</w:t>
            </w:r>
          </w:p>
        </w:tc>
      </w:tr>
      <w:tr w14:paraId="71E6843D">
        <w:tblPrEx>
          <w:tblCellMar>
            <w:top w:w="0" w:type="dxa"/>
            <w:left w:w="0" w:type="dxa"/>
            <w:bottom w:w="0" w:type="dxa"/>
            <w:right w:w="0" w:type="dxa"/>
          </w:tblCellMar>
        </w:tblPrEx>
        <w:trPr>
          <w:wBefore w:w="0" w:type="auto"/>
          <w:tblCellSpacing w:w="0" w:type="dxa"/>
        </w:trPr>
        <w:tc>
          <w:tcPr>
            <w:tcW w:w="0" w:type="auto"/>
            <w:noWrap w:val="0"/>
            <w:vAlign w:val="center"/>
          </w:tcPr>
          <w:p w14:paraId="588FA6B7">
            <w:r>
              <w:rPr>
                <w:rStyle w:val="10"/>
                <w:rFonts w:hint="eastAsia"/>
              </w:rPr>
              <w:t>储存和运输方法：</w:t>
            </w:r>
            <w:r>
              <w:rPr>
                <w:rFonts w:hint="eastAsia"/>
              </w:rPr>
              <w:br w:type="textWrapping"/>
            </w:r>
            <w:r>
              <w:rPr>
                <w:rStyle w:val="11"/>
                <w:rFonts w:hint="eastAsia"/>
              </w:rPr>
              <w:t>本品属易燃液体，应贮存在干燥、阴凉、通风、防雨处，远离火源或热源。置于儿童、无关人员触及不到之处，并加锁。勿与食品、饮料、饲料、粮食等同贮同运。</w:t>
            </w:r>
          </w:p>
        </w:tc>
      </w:tr>
      <w:tr w14:paraId="0A3854A2">
        <w:tblPrEx>
          <w:tblCellMar>
            <w:top w:w="0" w:type="dxa"/>
            <w:left w:w="0" w:type="dxa"/>
            <w:bottom w:w="0" w:type="dxa"/>
            <w:right w:w="0" w:type="dxa"/>
          </w:tblCellMar>
        </w:tblPrEx>
        <w:trPr>
          <w:wBefore w:w="0" w:type="auto"/>
          <w:tblCellSpacing w:w="0" w:type="dxa"/>
        </w:trPr>
        <w:tc>
          <w:tcPr>
            <w:tcW w:w="0" w:type="auto"/>
            <w:noWrap w:val="0"/>
            <w:vAlign w:val="center"/>
          </w:tcPr>
          <w:p w14:paraId="1815C704">
            <w:r>
              <w:rPr>
                <w:rStyle w:val="10"/>
                <w:rFonts w:hint="eastAsia"/>
              </w:rPr>
              <w:t>质量保证期：</w:t>
            </w:r>
            <w:r>
              <w:rPr>
                <w:rStyle w:val="11"/>
                <w:rFonts w:hint="eastAsia"/>
              </w:rPr>
              <w:t>2年</w:t>
            </w:r>
          </w:p>
        </w:tc>
      </w:tr>
      <w:tr w14:paraId="1B5720DB">
        <w:tblPrEx>
          <w:tblCellMar>
            <w:top w:w="0" w:type="dxa"/>
            <w:left w:w="0" w:type="dxa"/>
            <w:bottom w:w="0" w:type="dxa"/>
            <w:right w:w="0" w:type="dxa"/>
          </w:tblCellMar>
        </w:tblPrEx>
        <w:trPr>
          <w:wBefore w:w="0" w:type="auto"/>
          <w:tblCellSpacing w:w="0" w:type="dxa"/>
        </w:trPr>
        <w:tc>
          <w:tcPr>
            <w:tcW w:w="0" w:type="auto"/>
            <w:noWrap w:val="0"/>
            <w:vAlign w:val="center"/>
          </w:tcPr>
          <w:p w14:paraId="51A55512">
            <w:r>
              <w:rPr>
                <w:rStyle w:val="10"/>
                <w:rFonts w:hint="eastAsia"/>
              </w:rPr>
              <w:t>备注：</w:t>
            </w:r>
          </w:p>
        </w:tc>
      </w:tr>
    </w:tbl>
    <w:p w14:paraId="25B2E50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84D09F4">
        <w:tblPrEx>
          <w:tblCellMar>
            <w:top w:w="0" w:type="dxa"/>
            <w:left w:w="0" w:type="dxa"/>
            <w:bottom w:w="0" w:type="dxa"/>
            <w:right w:w="0" w:type="dxa"/>
          </w:tblCellMar>
        </w:tblPrEx>
        <w:trPr>
          <w:wBefore w:w="0" w:type="auto"/>
          <w:tblCellSpacing w:w="0" w:type="dxa"/>
        </w:trPr>
        <w:tc>
          <w:tcPr>
            <w:tcW w:w="0" w:type="auto"/>
            <w:noWrap w:val="0"/>
            <w:vAlign w:val="center"/>
          </w:tcPr>
          <w:p w14:paraId="3F1DE4F4">
            <w:r>
              <w:rPr>
                <w:rStyle w:val="10"/>
                <w:rFonts w:hint="eastAsia"/>
              </w:rPr>
              <w:t>登记证号：</w:t>
            </w:r>
            <w:r>
              <w:rPr>
                <w:rFonts w:hint="eastAsia"/>
              </w:rPr>
              <w:t>PD20212200</w:t>
            </w:r>
          </w:p>
        </w:tc>
      </w:tr>
      <w:tr w14:paraId="570DC1EB">
        <w:tblPrEx>
          <w:tblCellMar>
            <w:top w:w="0" w:type="dxa"/>
            <w:left w:w="0" w:type="dxa"/>
            <w:bottom w:w="0" w:type="dxa"/>
            <w:right w:w="0" w:type="dxa"/>
          </w:tblCellMar>
        </w:tblPrEx>
        <w:trPr>
          <w:wBefore w:w="0" w:type="auto"/>
          <w:tblCellSpacing w:w="0" w:type="dxa"/>
        </w:trPr>
        <w:tc>
          <w:tcPr>
            <w:tcW w:w="0" w:type="auto"/>
            <w:noWrap w:val="0"/>
            <w:vAlign w:val="center"/>
          </w:tcPr>
          <w:p w14:paraId="691298A1">
            <w:r>
              <w:rPr>
                <w:rStyle w:val="10"/>
                <w:rFonts w:hint="eastAsia"/>
              </w:rPr>
              <w:t>登记证持有人：</w:t>
            </w:r>
            <w:r>
              <w:rPr>
                <w:rFonts w:hint="eastAsia"/>
              </w:rPr>
              <w:t>天津博克百胜科技有限公司</w:t>
            </w:r>
          </w:p>
        </w:tc>
      </w:tr>
      <w:tr w14:paraId="0C1C8954">
        <w:tblPrEx>
          <w:tblCellMar>
            <w:top w:w="0" w:type="dxa"/>
            <w:left w:w="0" w:type="dxa"/>
            <w:bottom w:w="0" w:type="dxa"/>
            <w:right w:w="0" w:type="dxa"/>
          </w:tblCellMar>
        </w:tblPrEx>
        <w:trPr>
          <w:wBefore w:w="0" w:type="auto"/>
          <w:tblCellSpacing w:w="0" w:type="dxa"/>
        </w:trPr>
        <w:tc>
          <w:tcPr>
            <w:tcW w:w="0" w:type="auto"/>
            <w:noWrap w:val="0"/>
            <w:vAlign w:val="center"/>
          </w:tcPr>
          <w:p w14:paraId="26118A9F">
            <w:r>
              <w:rPr>
                <w:rStyle w:val="10"/>
                <w:rFonts w:hint="eastAsia"/>
              </w:rPr>
              <w:t>农药名称：</w:t>
            </w:r>
            <w:r>
              <w:rPr>
                <w:rFonts w:hint="eastAsia"/>
              </w:rPr>
              <w:t>2甲·草铵膦</w:t>
            </w:r>
          </w:p>
        </w:tc>
      </w:tr>
      <w:tr w14:paraId="0D3F447D">
        <w:tblPrEx>
          <w:tblCellMar>
            <w:top w:w="0" w:type="dxa"/>
            <w:left w:w="0" w:type="dxa"/>
            <w:bottom w:w="0" w:type="dxa"/>
            <w:right w:w="0" w:type="dxa"/>
          </w:tblCellMar>
        </w:tblPrEx>
        <w:trPr>
          <w:wBefore w:w="0" w:type="auto"/>
          <w:tblCellSpacing w:w="0" w:type="dxa"/>
        </w:trPr>
        <w:tc>
          <w:tcPr>
            <w:tcW w:w="0" w:type="auto"/>
            <w:noWrap w:val="0"/>
            <w:vAlign w:val="center"/>
          </w:tcPr>
          <w:p w14:paraId="6B908851">
            <w:r>
              <w:rPr>
                <w:rStyle w:val="10"/>
                <w:rFonts w:hint="eastAsia"/>
              </w:rPr>
              <w:t>剂型：</w:t>
            </w:r>
            <w:r>
              <w:rPr>
                <w:rFonts w:hint="eastAsia"/>
              </w:rPr>
              <w:t>可溶液剂</w:t>
            </w:r>
          </w:p>
        </w:tc>
      </w:tr>
      <w:tr w14:paraId="1E1C2F7B">
        <w:tblPrEx>
          <w:tblCellMar>
            <w:top w:w="0" w:type="dxa"/>
            <w:left w:w="0" w:type="dxa"/>
            <w:bottom w:w="0" w:type="dxa"/>
            <w:right w:w="0" w:type="dxa"/>
          </w:tblCellMar>
        </w:tblPrEx>
        <w:trPr>
          <w:wBefore w:w="0" w:type="auto"/>
          <w:tblCellSpacing w:w="0" w:type="dxa"/>
        </w:trPr>
        <w:tc>
          <w:tcPr>
            <w:tcW w:w="0" w:type="auto"/>
            <w:noWrap w:val="0"/>
            <w:vAlign w:val="center"/>
          </w:tcPr>
          <w:p w14:paraId="3B76E403">
            <w:r>
              <w:rPr>
                <w:rStyle w:val="10"/>
                <w:rFonts w:hint="eastAsia"/>
              </w:rPr>
              <w:t>毒性及其标识：</w:t>
            </w:r>
            <w:r>
              <w:rPr>
                <w:rFonts w:hint="eastAsia"/>
              </w:rPr>
              <w:t xml:space="preserve"> </w:t>
            </w:r>
            <w:r>
              <w:rPr>
                <w:lang/>
              </w:rPr>
              <w:drawing>
                <wp:inline distT="0" distB="0" distL="114300" distR="114300">
                  <wp:extent cx="476250" cy="323850"/>
                  <wp:effectExtent l="0" t="0" r="0" b="0"/>
                  <wp:docPr id="385" name="图片 38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897F282">
        <w:tblPrEx>
          <w:tblCellMar>
            <w:top w:w="0" w:type="dxa"/>
            <w:left w:w="0" w:type="dxa"/>
            <w:bottom w:w="0" w:type="dxa"/>
            <w:right w:w="0" w:type="dxa"/>
          </w:tblCellMar>
        </w:tblPrEx>
        <w:trPr>
          <w:wBefore w:w="0" w:type="auto"/>
          <w:tblCellSpacing w:w="0" w:type="dxa"/>
        </w:trPr>
        <w:tc>
          <w:tcPr>
            <w:tcW w:w="0" w:type="auto"/>
            <w:noWrap w:val="0"/>
            <w:vAlign w:val="center"/>
          </w:tcPr>
          <w:p w14:paraId="6916BDEA">
            <w:r>
              <w:rPr>
                <w:rStyle w:val="10"/>
                <w:rFonts w:hint="eastAsia"/>
              </w:rPr>
              <w:t>总有效成分含量：</w:t>
            </w:r>
            <w:r>
              <w:rPr>
                <w:rFonts w:hint="eastAsia"/>
              </w:rPr>
              <w:t>13.6%</w:t>
            </w:r>
          </w:p>
        </w:tc>
      </w:tr>
      <w:tr w14:paraId="6BA9668D">
        <w:tblPrEx>
          <w:tblCellMar>
            <w:top w:w="0" w:type="dxa"/>
            <w:left w:w="0" w:type="dxa"/>
            <w:bottom w:w="0" w:type="dxa"/>
            <w:right w:w="0" w:type="dxa"/>
          </w:tblCellMar>
        </w:tblPrEx>
        <w:trPr>
          <w:wBefore w:w="0" w:type="auto"/>
          <w:tblCellSpacing w:w="0" w:type="dxa"/>
        </w:trPr>
        <w:tc>
          <w:tcPr>
            <w:tcW w:w="0" w:type="auto"/>
            <w:noWrap w:val="0"/>
            <w:vAlign w:val="center"/>
          </w:tcPr>
          <w:p w14:paraId="545B68C7">
            <w:r>
              <w:rPr>
                <w:rFonts w:hint="eastAsia"/>
              </w:rPr>
              <w:t xml:space="preserve">有效成分及其含量： </w:t>
            </w:r>
          </w:p>
          <w:p w14:paraId="6245D528">
            <w:r>
              <w:rPr>
                <w:rFonts w:hint="eastAsia"/>
              </w:rPr>
              <w:t xml:space="preserve">    2甲4氯3.6%    草铵膦10%    </w:t>
            </w:r>
          </w:p>
        </w:tc>
      </w:tr>
      <w:tr w14:paraId="24A63EEA">
        <w:tblPrEx>
          <w:tblCellMar>
            <w:top w:w="0" w:type="dxa"/>
            <w:left w:w="0" w:type="dxa"/>
            <w:bottom w:w="0" w:type="dxa"/>
            <w:right w:w="0" w:type="dxa"/>
          </w:tblCellMar>
        </w:tblPrEx>
        <w:trPr>
          <w:wBefore w:w="0" w:type="auto"/>
          <w:tblCellSpacing w:w="0" w:type="dxa"/>
        </w:trPr>
        <w:tc>
          <w:tcPr>
            <w:tcW w:w="0" w:type="auto"/>
            <w:noWrap w:val="0"/>
            <w:vAlign w:val="center"/>
          </w:tcPr>
          <w:p w14:paraId="78720A6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CAA12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27F616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F7C167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FD69F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D8C80A">
                  <w:r>
                    <w:rPr>
                      <w:rStyle w:val="11"/>
                      <w:rFonts w:hint="eastAsia"/>
                    </w:rPr>
                    <w:t>施用方式</w:t>
                  </w:r>
                </w:p>
              </w:tc>
            </w:tr>
            <w:tr w14:paraId="594094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DCDCA82">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83FCDD">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2A0B65">
                  <w:r>
                    <w:rPr>
                      <w:rStyle w:val="11"/>
                      <w:rFonts w:hint="eastAsia"/>
                    </w:rPr>
                    <w:t>400-500毫升/亩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3A9308">
                  <w:r>
                    <w:rPr>
                      <w:rStyle w:val="11"/>
                      <w:rFonts w:hint="eastAsia"/>
                    </w:rPr>
                    <w:t>茎叶喷雾</w:t>
                  </w:r>
                </w:p>
              </w:tc>
            </w:tr>
          </w:tbl>
          <w:p w14:paraId="24AA7E70">
            <w:pPr>
              <w:rPr>
                <w:rFonts w:ascii="Times New Roman" w:hAnsi="Times New Roman" w:cs="Times New Roman"/>
                <w:sz w:val="20"/>
                <w:szCs w:val="20"/>
              </w:rPr>
            </w:pPr>
          </w:p>
        </w:tc>
      </w:tr>
      <w:tr w14:paraId="741B3B85">
        <w:tblPrEx>
          <w:tblCellMar>
            <w:top w:w="0" w:type="dxa"/>
            <w:left w:w="0" w:type="dxa"/>
            <w:bottom w:w="0" w:type="dxa"/>
            <w:right w:w="0" w:type="dxa"/>
          </w:tblCellMar>
        </w:tblPrEx>
        <w:trPr>
          <w:wBefore w:w="0" w:type="auto"/>
          <w:tblCellSpacing w:w="0" w:type="dxa"/>
        </w:trPr>
        <w:tc>
          <w:tcPr>
            <w:tcW w:w="0" w:type="auto"/>
            <w:noWrap w:val="0"/>
            <w:vAlign w:val="center"/>
          </w:tcPr>
          <w:p w14:paraId="15A775C2">
            <w:r>
              <w:rPr>
                <w:rStyle w:val="10"/>
                <w:rFonts w:hint="eastAsia"/>
              </w:rPr>
              <w:t>使用技术要求:</w:t>
            </w:r>
            <w:r>
              <w:rPr>
                <w:rFonts w:hint="eastAsia"/>
              </w:rPr>
              <w:br w:type="textWrapping"/>
            </w:r>
            <w:r>
              <w:rPr>
                <w:rStyle w:val="11"/>
                <w:rFonts w:hint="eastAsia"/>
              </w:rPr>
              <w:t>1. 本品于非耕地杂草生长旺盛期均匀喷雾施药1次，每亩兑水30-40公斤，避免高温施药。2、施药时，如遇草龄较大或持续干旱，请酌情增加喷液量。 3、大风天或预计6小时内降雨，请勿施药。4. 禁止在田间道路、田埂、果树行间、休耕地、林场地等农林区域使用。</w:t>
            </w:r>
          </w:p>
        </w:tc>
      </w:tr>
      <w:tr w14:paraId="213C7BA8">
        <w:tblPrEx>
          <w:tblCellMar>
            <w:top w:w="0" w:type="dxa"/>
            <w:left w:w="0" w:type="dxa"/>
            <w:bottom w:w="0" w:type="dxa"/>
            <w:right w:w="0" w:type="dxa"/>
          </w:tblCellMar>
        </w:tblPrEx>
        <w:trPr>
          <w:wBefore w:w="0" w:type="auto"/>
          <w:tblCellSpacing w:w="0" w:type="dxa"/>
        </w:trPr>
        <w:tc>
          <w:tcPr>
            <w:tcW w:w="0" w:type="auto"/>
            <w:noWrap w:val="0"/>
            <w:vAlign w:val="center"/>
          </w:tcPr>
          <w:p w14:paraId="6B5DB912">
            <w:r>
              <w:rPr>
                <w:rStyle w:val="10"/>
                <w:rFonts w:hint="eastAsia"/>
              </w:rPr>
              <w:t>产品性能:</w:t>
            </w:r>
            <w:r>
              <w:rPr>
                <w:rFonts w:hint="eastAsia"/>
              </w:rPr>
              <w:br w:type="textWrapping"/>
            </w:r>
            <w:r>
              <w:rPr>
                <w:rStyle w:val="11"/>
                <w:rFonts w:hint="eastAsia"/>
              </w:rPr>
              <w:t>本品是由2甲4氯和草铵膦复配而成的灭生性除草剂，具内吸兼触杀活性，对非耕地杂草有较好的防除效果。</w:t>
            </w:r>
          </w:p>
        </w:tc>
      </w:tr>
      <w:tr w14:paraId="29B2674E">
        <w:tblPrEx>
          <w:tblCellMar>
            <w:top w:w="0" w:type="dxa"/>
            <w:left w:w="0" w:type="dxa"/>
            <w:bottom w:w="0" w:type="dxa"/>
            <w:right w:w="0" w:type="dxa"/>
          </w:tblCellMar>
        </w:tblPrEx>
        <w:trPr>
          <w:wBefore w:w="0" w:type="auto"/>
          <w:tblCellSpacing w:w="0" w:type="dxa"/>
        </w:trPr>
        <w:tc>
          <w:tcPr>
            <w:tcW w:w="0" w:type="auto"/>
            <w:noWrap w:val="0"/>
            <w:vAlign w:val="center"/>
          </w:tcPr>
          <w:p w14:paraId="76A8D9E6">
            <w:r>
              <w:rPr>
                <w:rStyle w:val="10"/>
                <w:rFonts w:hint="eastAsia"/>
              </w:rPr>
              <w:t>注意事项：</w:t>
            </w:r>
            <w:r>
              <w:rPr>
                <w:rFonts w:hint="eastAsia"/>
              </w:rPr>
              <w:br w:type="textWrapping"/>
            </w:r>
            <w:r>
              <w:rPr>
                <w:rStyle w:val="11"/>
                <w:rFonts w:hint="eastAsia"/>
              </w:rPr>
              <w:t>1、使用时必须定向喷雾，喷雾时喷头上应加装保护罩，注意避免施药时药液飘移到临近作物。2、用药量应根据杂草对药剂的敏感程度而定；上述杂草密度大时，酌情增加用药量。3、用过的容器应妥善处理，不可随意丢弃或作他用。4、水产养殖区、河塘等水体附近禁用，禁止在河塘等水域清洗施药器具；桑园及蚕室附近禁用；鸟类保护区附近禁用。5、施药时穿戴长衣、长裤、帽子、口罩、手套等安全防护措施。，使用后应及时清洗皮肤及所穿衣物，不能吃东西、喝水、吸烟等。6、孕妇及哺乳期妇女避免接触本产品。</w:t>
            </w:r>
          </w:p>
        </w:tc>
      </w:tr>
      <w:tr w14:paraId="1D08634A">
        <w:tblPrEx>
          <w:tblCellMar>
            <w:top w:w="0" w:type="dxa"/>
            <w:left w:w="0" w:type="dxa"/>
            <w:bottom w:w="0" w:type="dxa"/>
            <w:right w:w="0" w:type="dxa"/>
          </w:tblCellMar>
        </w:tblPrEx>
        <w:trPr>
          <w:wBefore w:w="0" w:type="auto"/>
          <w:tblCellSpacing w:w="0" w:type="dxa"/>
        </w:trPr>
        <w:tc>
          <w:tcPr>
            <w:tcW w:w="0" w:type="auto"/>
            <w:noWrap w:val="0"/>
            <w:vAlign w:val="center"/>
          </w:tcPr>
          <w:p w14:paraId="5988FFC5">
            <w:r>
              <w:rPr>
                <w:rStyle w:val="10"/>
                <w:rFonts w:hint="eastAsia"/>
              </w:rPr>
              <w:t>中毒急救措施：</w:t>
            </w:r>
            <w:r>
              <w:rPr>
                <w:rFonts w:hint="eastAsia"/>
              </w:rPr>
              <w:br w:type="textWrapping"/>
            </w:r>
            <w:r>
              <w:rPr>
                <w:rStyle w:val="11"/>
                <w:rFonts w:hint="eastAsia"/>
              </w:rPr>
              <w:t>1、若溅到皮肤上，应立即用大量清水冲洗，如皮肤疼痛感持续，请医生诊治。 2、不慎溅入眼中，要立即用清水冲洗15分钟以上，并请医生诊治。 3、若误服，立即携此标签将病人送医院救治，可对症治疗，无特殊解毒药。</w:t>
            </w:r>
          </w:p>
        </w:tc>
      </w:tr>
      <w:tr w14:paraId="73A3468A">
        <w:tblPrEx>
          <w:tblCellMar>
            <w:top w:w="0" w:type="dxa"/>
            <w:left w:w="0" w:type="dxa"/>
            <w:bottom w:w="0" w:type="dxa"/>
            <w:right w:w="0" w:type="dxa"/>
          </w:tblCellMar>
        </w:tblPrEx>
        <w:trPr>
          <w:wBefore w:w="0" w:type="auto"/>
          <w:tblCellSpacing w:w="0" w:type="dxa"/>
        </w:trPr>
        <w:tc>
          <w:tcPr>
            <w:tcW w:w="0" w:type="auto"/>
            <w:noWrap w:val="0"/>
            <w:vAlign w:val="center"/>
          </w:tcPr>
          <w:p w14:paraId="1949F86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本品应贮存在干燥、阴凉、通风、防雨处，远离火源或热源。置于儿童、无关人员触及不到之处，并加锁。勿与食品、饮料、种子、粮食、饲料等同贮同运。</w:t>
            </w:r>
          </w:p>
        </w:tc>
      </w:tr>
      <w:tr w14:paraId="17C7EF4D">
        <w:tblPrEx>
          <w:tblCellMar>
            <w:top w:w="0" w:type="dxa"/>
            <w:left w:w="0" w:type="dxa"/>
            <w:bottom w:w="0" w:type="dxa"/>
            <w:right w:w="0" w:type="dxa"/>
          </w:tblCellMar>
        </w:tblPrEx>
        <w:trPr>
          <w:wBefore w:w="0" w:type="auto"/>
          <w:tblCellSpacing w:w="0" w:type="dxa"/>
        </w:trPr>
        <w:tc>
          <w:tcPr>
            <w:tcW w:w="0" w:type="auto"/>
            <w:noWrap w:val="0"/>
            <w:vAlign w:val="center"/>
          </w:tcPr>
          <w:p w14:paraId="21C5E892">
            <w:r>
              <w:rPr>
                <w:rStyle w:val="10"/>
                <w:rFonts w:hint="eastAsia"/>
              </w:rPr>
              <w:t>质量保证期：</w:t>
            </w:r>
            <w:r>
              <w:rPr>
                <w:rStyle w:val="11"/>
                <w:rFonts w:hint="eastAsia"/>
              </w:rPr>
              <w:t>2年</w:t>
            </w:r>
          </w:p>
        </w:tc>
      </w:tr>
      <w:tr w14:paraId="67E95CA2">
        <w:tblPrEx>
          <w:tblCellMar>
            <w:top w:w="0" w:type="dxa"/>
            <w:left w:w="0" w:type="dxa"/>
            <w:bottom w:w="0" w:type="dxa"/>
            <w:right w:w="0" w:type="dxa"/>
          </w:tblCellMar>
        </w:tblPrEx>
        <w:trPr>
          <w:wBefore w:w="0" w:type="auto"/>
          <w:tblCellSpacing w:w="0" w:type="dxa"/>
        </w:trPr>
        <w:tc>
          <w:tcPr>
            <w:tcW w:w="0" w:type="auto"/>
            <w:noWrap w:val="0"/>
            <w:vAlign w:val="center"/>
          </w:tcPr>
          <w:p w14:paraId="760AF65C">
            <w:r>
              <w:rPr>
                <w:rStyle w:val="10"/>
                <w:rFonts w:hint="eastAsia"/>
              </w:rPr>
              <w:t>备注：</w:t>
            </w:r>
            <w:r>
              <w:rPr>
                <w:rFonts w:hint="eastAsia"/>
              </w:rPr>
              <w:br w:type="textWrapping"/>
            </w:r>
            <w:r>
              <w:rPr>
                <w:rStyle w:val="11"/>
                <w:rFonts w:hint="eastAsia"/>
              </w:rPr>
              <w:t>2甲4氯钠4%。</w:t>
            </w:r>
          </w:p>
        </w:tc>
      </w:tr>
    </w:tbl>
    <w:p w14:paraId="50C5B50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521DBD6">
        <w:tblPrEx>
          <w:tblCellMar>
            <w:top w:w="0" w:type="dxa"/>
            <w:left w:w="0" w:type="dxa"/>
            <w:bottom w:w="0" w:type="dxa"/>
            <w:right w:w="0" w:type="dxa"/>
          </w:tblCellMar>
        </w:tblPrEx>
        <w:trPr>
          <w:wBefore w:w="0" w:type="auto"/>
          <w:tblCellSpacing w:w="0" w:type="dxa"/>
        </w:trPr>
        <w:tc>
          <w:tcPr>
            <w:tcW w:w="0" w:type="auto"/>
            <w:noWrap w:val="0"/>
            <w:vAlign w:val="center"/>
          </w:tcPr>
          <w:p w14:paraId="18578818">
            <w:r>
              <w:rPr>
                <w:rStyle w:val="10"/>
                <w:rFonts w:hint="eastAsia"/>
              </w:rPr>
              <w:t>登记证号：</w:t>
            </w:r>
            <w:r>
              <w:rPr>
                <w:rFonts w:hint="eastAsia"/>
              </w:rPr>
              <w:t>PD20212288</w:t>
            </w:r>
          </w:p>
        </w:tc>
      </w:tr>
      <w:tr w14:paraId="2A8E666B">
        <w:tblPrEx>
          <w:tblCellMar>
            <w:top w:w="0" w:type="dxa"/>
            <w:left w:w="0" w:type="dxa"/>
            <w:bottom w:w="0" w:type="dxa"/>
            <w:right w:w="0" w:type="dxa"/>
          </w:tblCellMar>
        </w:tblPrEx>
        <w:trPr>
          <w:wBefore w:w="0" w:type="auto"/>
          <w:tblCellSpacing w:w="0" w:type="dxa"/>
        </w:trPr>
        <w:tc>
          <w:tcPr>
            <w:tcW w:w="0" w:type="auto"/>
            <w:noWrap w:val="0"/>
            <w:vAlign w:val="center"/>
          </w:tcPr>
          <w:p w14:paraId="5BEDFD01">
            <w:r>
              <w:rPr>
                <w:rStyle w:val="10"/>
                <w:rFonts w:hint="eastAsia"/>
              </w:rPr>
              <w:t>登记证持有人：</w:t>
            </w:r>
            <w:r>
              <w:rPr>
                <w:rFonts w:hint="eastAsia"/>
              </w:rPr>
              <w:t>安徽尚禾沃达生物科技有限公司</w:t>
            </w:r>
          </w:p>
        </w:tc>
      </w:tr>
      <w:tr w14:paraId="3D797BA6">
        <w:tblPrEx>
          <w:tblCellMar>
            <w:top w:w="0" w:type="dxa"/>
            <w:left w:w="0" w:type="dxa"/>
            <w:bottom w:w="0" w:type="dxa"/>
            <w:right w:w="0" w:type="dxa"/>
          </w:tblCellMar>
        </w:tblPrEx>
        <w:trPr>
          <w:wBefore w:w="0" w:type="auto"/>
          <w:tblCellSpacing w:w="0" w:type="dxa"/>
        </w:trPr>
        <w:tc>
          <w:tcPr>
            <w:tcW w:w="0" w:type="auto"/>
            <w:noWrap w:val="0"/>
            <w:vAlign w:val="center"/>
          </w:tcPr>
          <w:p w14:paraId="6D30FB3B">
            <w:r>
              <w:rPr>
                <w:rStyle w:val="10"/>
                <w:rFonts w:hint="eastAsia"/>
              </w:rPr>
              <w:t>农药名称：</w:t>
            </w:r>
            <w:r>
              <w:rPr>
                <w:rFonts w:hint="eastAsia"/>
              </w:rPr>
              <w:t>吡嘧隆·丁草胺·西草净</w:t>
            </w:r>
          </w:p>
        </w:tc>
      </w:tr>
      <w:tr w14:paraId="4F651AAA">
        <w:tblPrEx>
          <w:tblCellMar>
            <w:top w:w="0" w:type="dxa"/>
            <w:left w:w="0" w:type="dxa"/>
            <w:bottom w:w="0" w:type="dxa"/>
            <w:right w:w="0" w:type="dxa"/>
          </w:tblCellMar>
        </w:tblPrEx>
        <w:trPr>
          <w:wBefore w:w="0" w:type="auto"/>
          <w:tblCellSpacing w:w="0" w:type="dxa"/>
        </w:trPr>
        <w:tc>
          <w:tcPr>
            <w:tcW w:w="0" w:type="auto"/>
            <w:noWrap w:val="0"/>
            <w:vAlign w:val="center"/>
          </w:tcPr>
          <w:p w14:paraId="4C009DB0">
            <w:r>
              <w:rPr>
                <w:rStyle w:val="10"/>
                <w:rFonts w:hint="eastAsia"/>
              </w:rPr>
              <w:t>剂型：</w:t>
            </w:r>
            <w:r>
              <w:rPr>
                <w:rFonts w:hint="eastAsia"/>
              </w:rPr>
              <w:t>可分散油悬浮剂</w:t>
            </w:r>
          </w:p>
        </w:tc>
      </w:tr>
      <w:tr w14:paraId="521E64E1">
        <w:tblPrEx>
          <w:tblCellMar>
            <w:top w:w="0" w:type="dxa"/>
            <w:left w:w="0" w:type="dxa"/>
            <w:bottom w:w="0" w:type="dxa"/>
            <w:right w:w="0" w:type="dxa"/>
          </w:tblCellMar>
        </w:tblPrEx>
        <w:trPr>
          <w:wBefore w:w="0" w:type="auto"/>
          <w:tblCellSpacing w:w="0" w:type="dxa"/>
        </w:trPr>
        <w:tc>
          <w:tcPr>
            <w:tcW w:w="0" w:type="auto"/>
            <w:noWrap w:val="0"/>
            <w:vAlign w:val="center"/>
          </w:tcPr>
          <w:p w14:paraId="0B15A18B">
            <w:r>
              <w:rPr>
                <w:rStyle w:val="10"/>
                <w:rFonts w:hint="eastAsia"/>
              </w:rPr>
              <w:t>毒性及其标识：</w:t>
            </w:r>
            <w:r>
              <w:rPr>
                <w:rFonts w:hint="eastAsia"/>
              </w:rPr>
              <w:t xml:space="preserve"> </w:t>
            </w:r>
            <w:r>
              <w:rPr>
                <w:lang/>
              </w:rPr>
              <w:drawing>
                <wp:inline distT="0" distB="0" distL="114300" distR="114300">
                  <wp:extent cx="476250" cy="323850"/>
                  <wp:effectExtent l="0" t="0" r="0" b="0"/>
                  <wp:docPr id="386" name="图片 38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4A300E6">
        <w:tblPrEx>
          <w:tblCellMar>
            <w:top w:w="0" w:type="dxa"/>
            <w:left w:w="0" w:type="dxa"/>
            <w:bottom w:w="0" w:type="dxa"/>
            <w:right w:w="0" w:type="dxa"/>
          </w:tblCellMar>
        </w:tblPrEx>
        <w:trPr>
          <w:wBefore w:w="0" w:type="auto"/>
          <w:tblCellSpacing w:w="0" w:type="dxa"/>
        </w:trPr>
        <w:tc>
          <w:tcPr>
            <w:tcW w:w="0" w:type="auto"/>
            <w:noWrap w:val="0"/>
            <w:vAlign w:val="center"/>
          </w:tcPr>
          <w:p w14:paraId="3C2B20E1">
            <w:r>
              <w:rPr>
                <w:rStyle w:val="10"/>
                <w:rFonts w:hint="eastAsia"/>
              </w:rPr>
              <w:t>总有效成分含量：</w:t>
            </w:r>
            <w:r>
              <w:rPr>
                <w:rFonts w:hint="eastAsia"/>
              </w:rPr>
              <w:t>66%</w:t>
            </w:r>
          </w:p>
        </w:tc>
      </w:tr>
      <w:tr w14:paraId="341CEBF7">
        <w:tblPrEx>
          <w:tblCellMar>
            <w:top w:w="0" w:type="dxa"/>
            <w:left w:w="0" w:type="dxa"/>
            <w:bottom w:w="0" w:type="dxa"/>
            <w:right w:w="0" w:type="dxa"/>
          </w:tblCellMar>
        </w:tblPrEx>
        <w:trPr>
          <w:wBefore w:w="0" w:type="auto"/>
          <w:tblCellSpacing w:w="0" w:type="dxa"/>
        </w:trPr>
        <w:tc>
          <w:tcPr>
            <w:tcW w:w="0" w:type="auto"/>
            <w:noWrap w:val="0"/>
            <w:vAlign w:val="center"/>
          </w:tcPr>
          <w:p w14:paraId="7CB39F4F">
            <w:r>
              <w:rPr>
                <w:rFonts w:hint="eastAsia"/>
              </w:rPr>
              <w:t xml:space="preserve">有效成分及其含量： </w:t>
            </w:r>
          </w:p>
          <w:p w14:paraId="6C5314A9">
            <w:r>
              <w:rPr>
                <w:rFonts w:hint="eastAsia"/>
              </w:rPr>
              <w:t xml:space="preserve">    吡嘧磺隆2%    西草净4%    丁草胺60%    </w:t>
            </w:r>
          </w:p>
        </w:tc>
      </w:tr>
      <w:tr w14:paraId="499BF543">
        <w:tblPrEx>
          <w:tblCellMar>
            <w:top w:w="0" w:type="dxa"/>
            <w:left w:w="0" w:type="dxa"/>
            <w:bottom w:w="0" w:type="dxa"/>
            <w:right w:w="0" w:type="dxa"/>
          </w:tblCellMar>
        </w:tblPrEx>
        <w:trPr>
          <w:wBefore w:w="0" w:type="auto"/>
          <w:tblCellSpacing w:w="0" w:type="dxa"/>
        </w:trPr>
        <w:tc>
          <w:tcPr>
            <w:tcW w:w="0" w:type="auto"/>
            <w:noWrap w:val="0"/>
            <w:vAlign w:val="center"/>
          </w:tcPr>
          <w:p w14:paraId="5E55DFE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D64AA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35F19E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F0CFB6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9660FB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2020D1">
                  <w:r>
                    <w:rPr>
                      <w:rStyle w:val="11"/>
                      <w:rFonts w:hint="eastAsia"/>
                    </w:rPr>
                    <w:t>施用方式</w:t>
                  </w:r>
                </w:p>
              </w:tc>
            </w:tr>
            <w:tr w14:paraId="475C07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5BFFDE9">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4C592E">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34CEB6">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61E6B5">
                  <w:r>
                    <w:rPr>
                      <w:rStyle w:val="11"/>
                      <w:rFonts w:hint="eastAsia"/>
                    </w:rPr>
                    <w:t>喷雾</w:t>
                  </w:r>
                </w:p>
              </w:tc>
            </w:tr>
          </w:tbl>
          <w:p w14:paraId="18068389">
            <w:pPr>
              <w:rPr>
                <w:rFonts w:ascii="Times New Roman" w:hAnsi="Times New Roman" w:cs="Times New Roman"/>
                <w:sz w:val="20"/>
                <w:szCs w:val="20"/>
              </w:rPr>
            </w:pPr>
          </w:p>
        </w:tc>
      </w:tr>
      <w:tr w14:paraId="5AC556C2">
        <w:tblPrEx>
          <w:tblCellMar>
            <w:top w:w="0" w:type="dxa"/>
            <w:left w:w="0" w:type="dxa"/>
            <w:bottom w:w="0" w:type="dxa"/>
            <w:right w:w="0" w:type="dxa"/>
          </w:tblCellMar>
        </w:tblPrEx>
        <w:trPr>
          <w:wBefore w:w="0" w:type="auto"/>
          <w:tblCellSpacing w:w="0" w:type="dxa"/>
        </w:trPr>
        <w:tc>
          <w:tcPr>
            <w:tcW w:w="0" w:type="auto"/>
            <w:noWrap w:val="0"/>
            <w:vAlign w:val="center"/>
          </w:tcPr>
          <w:p w14:paraId="5B59EB05">
            <w:r>
              <w:rPr>
                <w:rStyle w:val="10"/>
                <w:rFonts w:hint="eastAsia"/>
              </w:rPr>
              <w:t>使用技术要求:</w:t>
            </w:r>
            <w:r>
              <w:rPr>
                <w:rFonts w:hint="eastAsia"/>
              </w:rPr>
              <w:br w:type="textWrapping"/>
            </w:r>
            <w:r>
              <w:rPr>
                <w:rStyle w:val="11"/>
                <w:rFonts w:hint="eastAsia"/>
              </w:rPr>
              <w:t>1、于水稻移栽前3-7天，兑水30-40升/亩，土壤喷雾处理。施药时田间有水层3~5cm，药后保水2~7天，以后正常管理。2、用前充分摇匀，先制母液，再兑水二次稀释后，均匀喷雾。3、大风天请勿施药，应防止药液漂移到周围敏感作物，以免产生药害。4、每季最多使用1次。5、插秧后水层勿淹没水稻心叶避免药害。</w:t>
            </w:r>
          </w:p>
        </w:tc>
      </w:tr>
      <w:tr w14:paraId="1749E951">
        <w:tblPrEx>
          <w:tblCellMar>
            <w:top w:w="0" w:type="dxa"/>
            <w:left w:w="0" w:type="dxa"/>
            <w:bottom w:w="0" w:type="dxa"/>
            <w:right w:w="0" w:type="dxa"/>
          </w:tblCellMar>
        </w:tblPrEx>
        <w:trPr>
          <w:wBefore w:w="0" w:type="auto"/>
          <w:tblCellSpacing w:w="0" w:type="dxa"/>
        </w:trPr>
        <w:tc>
          <w:tcPr>
            <w:tcW w:w="0" w:type="auto"/>
            <w:noWrap w:val="0"/>
            <w:vAlign w:val="center"/>
          </w:tcPr>
          <w:p w14:paraId="1A542B3F">
            <w:r>
              <w:rPr>
                <w:rStyle w:val="10"/>
                <w:rFonts w:hint="eastAsia"/>
              </w:rPr>
              <w:t>产品性能:</w:t>
            </w:r>
            <w:r>
              <w:rPr>
                <w:rFonts w:hint="eastAsia"/>
              </w:rPr>
              <w:br w:type="textWrapping"/>
            </w:r>
            <w:r>
              <w:rPr>
                <w:rStyle w:val="11"/>
                <w:rFonts w:hint="eastAsia"/>
              </w:rPr>
              <w:t>本品是三元复配的除草剂，各有效成分具有不同的杀草机制，吡嘧磺隆是磺酰脲类高选择性内吸型除草剂；丁草胺属选择性芽前除草剂；西草净是选择性内吸型除草剂。三者混用增效作用显著，能够有效防除水稻移栽田一年生杂草。</w:t>
            </w:r>
          </w:p>
        </w:tc>
      </w:tr>
      <w:tr w14:paraId="62D50D9C">
        <w:tblPrEx>
          <w:tblCellMar>
            <w:top w:w="0" w:type="dxa"/>
            <w:left w:w="0" w:type="dxa"/>
            <w:bottom w:w="0" w:type="dxa"/>
            <w:right w:w="0" w:type="dxa"/>
          </w:tblCellMar>
        </w:tblPrEx>
        <w:trPr>
          <w:wBefore w:w="0" w:type="auto"/>
          <w:tblCellSpacing w:w="0" w:type="dxa"/>
        </w:trPr>
        <w:tc>
          <w:tcPr>
            <w:tcW w:w="0" w:type="auto"/>
            <w:noWrap w:val="0"/>
            <w:vAlign w:val="center"/>
          </w:tcPr>
          <w:p w14:paraId="71052FCF">
            <w:r>
              <w:rPr>
                <w:rStyle w:val="10"/>
                <w:rFonts w:hint="eastAsia"/>
              </w:rPr>
              <w:t>注意事项：</w:t>
            </w:r>
            <w:r>
              <w:rPr>
                <w:rFonts w:hint="eastAsia"/>
              </w:rPr>
              <w:br w:type="textWrapping"/>
            </w:r>
            <w:r>
              <w:rPr>
                <w:rStyle w:val="11"/>
                <w:rFonts w:hint="eastAsia"/>
              </w:rPr>
              <w:t>1.使用本品时应穿戴防护服、口罩、手套等，避免吸入药液；施药期间不可吃东西、饮水等。施药后应及时洗手、洗脸等。2.本品对眼睛有刺激性，使用时应避免药液接触眼睛、粘膜和伤口等。3.禁止在池塘等水域清洗施药器具，废弃物应妥善处理，不可做他用，也不可随意丢弃。4.本品对家蚕有毒，采用最外围桑树作为隔离带。5.水产养殖区、河塘等水体附近禁用。6.水产养殖区、河塘等水体附近禁用，禁止在河塘等水域清洗施药器具；鱼或虾蟹套养稻田禁用，施药后的田水不得直接排入水体。7.孕妇及哺乳期妇女应避免接触本品。</w:t>
            </w:r>
          </w:p>
        </w:tc>
      </w:tr>
      <w:tr w14:paraId="1D8E70A5">
        <w:tblPrEx>
          <w:tblCellMar>
            <w:top w:w="0" w:type="dxa"/>
            <w:left w:w="0" w:type="dxa"/>
            <w:bottom w:w="0" w:type="dxa"/>
            <w:right w:w="0" w:type="dxa"/>
          </w:tblCellMar>
        </w:tblPrEx>
        <w:trPr>
          <w:wBefore w:w="0" w:type="auto"/>
          <w:tblCellSpacing w:w="0" w:type="dxa"/>
        </w:trPr>
        <w:tc>
          <w:tcPr>
            <w:tcW w:w="0" w:type="auto"/>
            <w:noWrap w:val="0"/>
            <w:vAlign w:val="center"/>
          </w:tcPr>
          <w:p w14:paraId="17E26180">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1、皮肤接触：脱去污染的衣物，用软布去除沾染农药，立即用大量清水和肥皂冲洗。2、眼睛溅入∶立刻用大量清水冲洗15-20分钟，如配戴隐形眼镜，冲洗5分钟后摘掉眼镜再冲洗15分钟。携此标签去医院诊治。3、误食：立即停止服用，用清水充分漱口后，立即携带农药标签到医院就诊。无特效解毒剂，对症治疗。4.吸入：立即离开施药现场，转移到空气清新处。</w:t>
            </w:r>
          </w:p>
        </w:tc>
      </w:tr>
      <w:tr w14:paraId="3069A593">
        <w:tblPrEx>
          <w:tblCellMar>
            <w:top w:w="0" w:type="dxa"/>
            <w:left w:w="0" w:type="dxa"/>
            <w:bottom w:w="0" w:type="dxa"/>
            <w:right w:w="0" w:type="dxa"/>
          </w:tblCellMar>
        </w:tblPrEx>
        <w:trPr>
          <w:wBefore w:w="0" w:type="auto"/>
          <w:tblCellSpacing w:w="0" w:type="dxa"/>
        </w:trPr>
        <w:tc>
          <w:tcPr>
            <w:tcW w:w="0" w:type="auto"/>
            <w:noWrap w:val="0"/>
            <w:vAlign w:val="center"/>
          </w:tcPr>
          <w:p w14:paraId="21385B0D">
            <w:r>
              <w:rPr>
                <w:rStyle w:val="10"/>
                <w:rFonts w:hint="eastAsia"/>
              </w:rPr>
              <w:t>储存和运输方法：</w:t>
            </w:r>
            <w:r>
              <w:rPr>
                <w:rFonts w:hint="eastAsia"/>
              </w:rPr>
              <w:br w:type="textWrapping"/>
            </w:r>
            <w:r>
              <w:rPr>
                <w:rStyle w:val="11"/>
                <w:rFonts w:hint="eastAsia"/>
              </w:rPr>
              <w:t>1、本品应贮存在干燥、阴凉、通风、防雨处，远离火源或热源。2、本品应当置于儿童、无关人员触及不到之处，并加锁保存。3、勿与食品、饮料、饲料等其他商品同贮同运。</w:t>
            </w:r>
          </w:p>
        </w:tc>
      </w:tr>
      <w:tr w14:paraId="4F6144C7">
        <w:tblPrEx>
          <w:tblCellMar>
            <w:top w:w="0" w:type="dxa"/>
            <w:left w:w="0" w:type="dxa"/>
            <w:bottom w:w="0" w:type="dxa"/>
            <w:right w:w="0" w:type="dxa"/>
          </w:tblCellMar>
        </w:tblPrEx>
        <w:trPr>
          <w:wBefore w:w="0" w:type="auto"/>
          <w:tblCellSpacing w:w="0" w:type="dxa"/>
        </w:trPr>
        <w:tc>
          <w:tcPr>
            <w:tcW w:w="0" w:type="auto"/>
            <w:noWrap w:val="0"/>
            <w:vAlign w:val="center"/>
          </w:tcPr>
          <w:p w14:paraId="161BE4E2">
            <w:r>
              <w:rPr>
                <w:rStyle w:val="10"/>
                <w:rFonts w:hint="eastAsia"/>
              </w:rPr>
              <w:t>质量保证期：</w:t>
            </w:r>
            <w:r>
              <w:rPr>
                <w:rStyle w:val="11"/>
                <w:rFonts w:hint="eastAsia"/>
              </w:rPr>
              <w:t>2年</w:t>
            </w:r>
          </w:p>
        </w:tc>
      </w:tr>
      <w:tr w14:paraId="2CF4554F">
        <w:tblPrEx>
          <w:tblCellMar>
            <w:top w:w="0" w:type="dxa"/>
            <w:left w:w="0" w:type="dxa"/>
            <w:bottom w:w="0" w:type="dxa"/>
            <w:right w:w="0" w:type="dxa"/>
          </w:tblCellMar>
        </w:tblPrEx>
        <w:trPr>
          <w:wBefore w:w="0" w:type="auto"/>
          <w:tblCellSpacing w:w="0" w:type="dxa"/>
        </w:trPr>
        <w:tc>
          <w:tcPr>
            <w:tcW w:w="0" w:type="auto"/>
            <w:noWrap w:val="0"/>
            <w:vAlign w:val="center"/>
          </w:tcPr>
          <w:p w14:paraId="1BB7BE0B">
            <w:r>
              <w:rPr>
                <w:rStyle w:val="10"/>
                <w:rFonts w:hint="eastAsia"/>
              </w:rPr>
              <w:t>备注：</w:t>
            </w:r>
          </w:p>
        </w:tc>
      </w:tr>
    </w:tbl>
    <w:p w14:paraId="5DBC2D1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62BDA4F">
        <w:tblPrEx>
          <w:tblCellMar>
            <w:top w:w="0" w:type="dxa"/>
            <w:left w:w="0" w:type="dxa"/>
            <w:bottom w:w="0" w:type="dxa"/>
            <w:right w:w="0" w:type="dxa"/>
          </w:tblCellMar>
        </w:tblPrEx>
        <w:trPr>
          <w:wBefore w:w="0" w:type="auto"/>
          <w:tblCellSpacing w:w="0" w:type="dxa"/>
        </w:trPr>
        <w:tc>
          <w:tcPr>
            <w:tcW w:w="0" w:type="auto"/>
            <w:noWrap w:val="0"/>
            <w:vAlign w:val="center"/>
          </w:tcPr>
          <w:p w14:paraId="6066F0F7">
            <w:r>
              <w:rPr>
                <w:rStyle w:val="10"/>
                <w:rFonts w:hint="eastAsia"/>
              </w:rPr>
              <w:t>登记证号：</w:t>
            </w:r>
            <w:r>
              <w:rPr>
                <w:rFonts w:hint="eastAsia"/>
              </w:rPr>
              <w:t>PD20212133</w:t>
            </w:r>
          </w:p>
        </w:tc>
      </w:tr>
      <w:tr w14:paraId="0886C832">
        <w:tblPrEx>
          <w:tblCellMar>
            <w:top w:w="0" w:type="dxa"/>
            <w:left w:w="0" w:type="dxa"/>
            <w:bottom w:w="0" w:type="dxa"/>
            <w:right w:w="0" w:type="dxa"/>
          </w:tblCellMar>
        </w:tblPrEx>
        <w:trPr>
          <w:wBefore w:w="0" w:type="auto"/>
          <w:tblCellSpacing w:w="0" w:type="dxa"/>
        </w:trPr>
        <w:tc>
          <w:tcPr>
            <w:tcW w:w="0" w:type="auto"/>
            <w:noWrap w:val="0"/>
            <w:vAlign w:val="center"/>
          </w:tcPr>
          <w:p w14:paraId="6CB1EF06">
            <w:r>
              <w:rPr>
                <w:rStyle w:val="10"/>
                <w:rFonts w:hint="eastAsia"/>
              </w:rPr>
              <w:t>登记证持有人：</w:t>
            </w:r>
            <w:r>
              <w:rPr>
                <w:rFonts w:hint="eastAsia"/>
              </w:rPr>
              <w:t>河北临港化工有限公司</w:t>
            </w:r>
          </w:p>
        </w:tc>
      </w:tr>
      <w:tr w14:paraId="1AD36344">
        <w:tblPrEx>
          <w:tblCellMar>
            <w:top w:w="0" w:type="dxa"/>
            <w:left w:w="0" w:type="dxa"/>
            <w:bottom w:w="0" w:type="dxa"/>
            <w:right w:w="0" w:type="dxa"/>
          </w:tblCellMar>
        </w:tblPrEx>
        <w:trPr>
          <w:wBefore w:w="0" w:type="auto"/>
          <w:tblCellSpacing w:w="0" w:type="dxa"/>
        </w:trPr>
        <w:tc>
          <w:tcPr>
            <w:tcW w:w="0" w:type="auto"/>
            <w:noWrap w:val="0"/>
            <w:vAlign w:val="center"/>
          </w:tcPr>
          <w:p w14:paraId="124705FA">
            <w:r>
              <w:rPr>
                <w:rStyle w:val="10"/>
                <w:rFonts w:hint="eastAsia"/>
              </w:rPr>
              <w:t>农药名称：</w:t>
            </w:r>
            <w:r>
              <w:rPr>
                <w:rFonts w:hint="eastAsia"/>
              </w:rPr>
              <w:t>莠去津</w:t>
            </w:r>
          </w:p>
        </w:tc>
      </w:tr>
      <w:tr w14:paraId="528AAEB0">
        <w:tblPrEx>
          <w:tblCellMar>
            <w:top w:w="0" w:type="dxa"/>
            <w:left w:w="0" w:type="dxa"/>
            <w:bottom w:w="0" w:type="dxa"/>
            <w:right w:w="0" w:type="dxa"/>
          </w:tblCellMar>
        </w:tblPrEx>
        <w:trPr>
          <w:wBefore w:w="0" w:type="auto"/>
          <w:tblCellSpacing w:w="0" w:type="dxa"/>
        </w:trPr>
        <w:tc>
          <w:tcPr>
            <w:tcW w:w="0" w:type="auto"/>
            <w:noWrap w:val="0"/>
            <w:vAlign w:val="center"/>
          </w:tcPr>
          <w:p w14:paraId="0878CE8D">
            <w:r>
              <w:rPr>
                <w:rStyle w:val="10"/>
                <w:rFonts w:hint="eastAsia"/>
              </w:rPr>
              <w:t>剂型：</w:t>
            </w:r>
            <w:r>
              <w:rPr>
                <w:rFonts w:hint="eastAsia"/>
              </w:rPr>
              <w:t>可湿性粉剂</w:t>
            </w:r>
          </w:p>
        </w:tc>
      </w:tr>
      <w:tr w14:paraId="04DC6A51">
        <w:tblPrEx>
          <w:tblCellMar>
            <w:top w:w="0" w:type="dxa"/>
            <w:left w:w="0" w:type="dxa"/>
            <w:bottom w:w="0" w:type="dxa"/>
            <w:right w:w="0" w:type="dxa"/>
          </w:tblCellMar>
        </w:tblPrEx>
        <w:trPr>
          <w:wBefore w:w="0" w:type="auto"/>
          <w:tblCellSpacing w:w="0" w:type="dxa"/>
        </w:trPr>
        <w:tc>
          <w:tcPr>
            <w:tcW w:w="0" w:type="auto"/>
            <w:noWrap w:val="0"/>
            <w:vAlign w:val="center"/>
          </w:tcPr>
          <w:p w14:paraId="1E1B0302">
            <w:r>
              <w:rPr>
                <w:rStyle w:val="10"/>
                <w:rFonts w:hint="eastAsia"/>
              </w:rPr>
              <w:t>毒性及其标识：</w:t>
            </w:r>
            <w:r>
              <w:rPr>
                <w:rFonts w:hint="eastAsia"/>
              </w:rPr>
              <w:t xml:space="preserve"> </w:t>
            </w:r>
            <w:r>
              <w:rPr>
                <w:lang/>
              </w:rPr>
              <w:drawing>
                <wp:inline distT="0" distB="0" distL="114300" distR="114300">
                  <wp:extent cx="476250" cy="323850"/>
                  <wp:effectExtent l="0" t="0" r="0" b="0"/>
                  <wp:docPr id="387" name="图片 38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564A50A">
        <w:tblPrEx>
          <w:tblCellMar>
            <w:top w:w="0" w:type="dxa"/>
            <w:left w:w="0" w:type="dxa"/>
            <w:bottom w:w="0" w:type="dxa"/>
            <w:right w:w="0" w:type="dxa"/>
          </w:tblCellMar>
        </w:tblPrEx>
        <w:trPr>
          <w:wBefore w:w="0" w:type="auto"/>
          <w:tblCellSpacing w:w="0" w:type="dxa"/>
        </w:trPr>
        <w:tc>
          <w:tcPr>
            <w:tcW w:w="0" w:type="auto"/>
            <w:noWrap w:val="0"/>
            <w:vAlign w:val="center"/>
          </w:tcPr>
          <w:p w14:paraId="4B98C1F2">
            <w:r>
              <w:rPr>
                <w:rStyle w:val="10"/>
                <w:rFonts w:hint="eastAsia"/>
              </w:rPr>
              <w:t>总有效成分含量：</w:t>
            </w:r>
            <w:r>
              <w:rPr>
                <w:rFonts w:hint="eastAsia"/>
              </w:rPr>
              <w:t>80%</w:t>
            </w:r>
          </w:p>
        </w:tc>
      </w:tr>
      <w:tr w14:paraId="21FA8EFB">
        <w:tblPrEx>
          <w:tblCellMar>
            <w:top w:w="0" w:type="dxa"/>
            <w:left w:w="0" w:type="dxa"/>
            <w:bottom w:w="0" w:type="dxa"/>
            <w:right w:w="0" w:type="dxa"/>
          </w:tblCellMar>
        </w:tblPrEx>
        <w:trPr>
          <w:wBefore w:w="0" w:type="auto"/>
          <w:tblCellSpacing w:w="0" w:type="dxa"/>
        </w:trPr>
        <w:tc>
          <w:tcPr>
            <w:tcW w:w="0" w:type="auto"/>
            <w:noWrap w:val="0"/>
            <w:vAlign w:val="center"/>
          </w:tcPr>
          <w:p w14:paraId="5F6F0C5A">
            <w:r>
              <w:rPr>
                <w:rFonts w:hint="eastAsia"/>
              </w:rPr>
              <w:t xml:space="preserve">有效成分及其含量： </w:t>
            </w:r>
          </w:p>
          <w:p w14:paraId="13A59B32">
            <w:r>
              <w:rPr>
                <w:rFonts w:hint="eastAsia"/>
              </w:rPr>
              <w:t xml:space="preserve">    莠去津80%    </w:t>
            </w:r>
          </w:p>
        </w:tc>
      </w:tr>
      <w:tr w14:paraId="6BCFF71D">
        <w:tblPrEx>
          <w:tblCellMar>
            <w:top w:w="0" w:type="dxa"/>
            <w:left w:w="0" w:type="dxa"/>
            <w:bottom w:w="0" w:type="dxa"/>
            <w:right w:w="0" w:type="dxa"/>
          </w:tblCellMar>
        </w:tblPrEx>
        <w:trPr>
          <w:wBefore w:w="0" w:type="auto"/>
          <w:tblCellSpacing w:w="0" w:type="dxa"/>
        </w:trPr>
        <w:tc>
          <w:tcPr>
            <w:tcW w:w="0" w:type="auto"/>
            <w:noWrap w:val="0"/>
            <w:vAlign w:val="center"/>
          </w:tcPr>
          <w:p w14:paraId="082C6D3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0EC3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480E4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83035E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E30CA6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B03FF66">
                  <w:r>
                    <w:rPr>
                      <w:rStyle w:val="11"/>
                      <w:rFonts w:hint="eastAsia"/>
                    </w:rPr>
                    <w:t>施用方式</w:t>
                  </w:r>
                </w:p>
              </w:tc>
            </w:tr>
            <w:tr w14:paraId="43B5ED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2D5F4C">
                  <w:r>
                    <w:rPr>
                      <w:rStyle w:val="11"/>
                      <w:rFonts w:hint="eastAsia"/>
                    </w:rPr>
                    <w:t>夏玉米田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FFEA2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67567B">
                  <w:r>
                    <w:rPr>
                      <w:rStyle w:val="11"/>
                      <w:rFonts w:hint="eastAsia"/>
                    </w:rPr>
                    <w:t>100-150 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08DC3E">
                  <w:r>
                    <w:rPr>
                      <w:rStyle w:val="11"/>
                      <w:rFonts w:hint="eastAsia"/>
                    </w:rPr>
                    <w:t>播后苗前土壤喷雾</w:t>
                  </w:r>
                </w:p>
              </w:tc>
            </w:tr>
          </w:tbl>
          <w:p w14:paraId="2E7CE610">
            <w:pPr>
              <w:rPr>
                <w:rFonts w:ascii="Times New Roman" w:hAnsi="Times New Roman" w:cs="Times New Roman"/>
                <w:sz w:val="20"/>
                <w:szCs w:val="20"/>
              </w:rPr>
            </w:pPr>
          </w:p>
        </w:tc>
      </w:tr>
      <w:tr w14:paraId="350CDF53">
        <w:tblPrEx>
          <w:tblCellMar>
            <w:top w:w="0" w:type="dxa"/>
            <w:left w:w="0" w:type="dxa"/>
            <w:bottom w:w="0" w:type="dxa"/>
            <w:right w:w="0" w:type="dxa"/>
          </w:tblCellMar>
        </w:tblPrEx>
        <w:trPr>
          <w:wBefore w:w="0" w:type="auto"/>
          <w:tblCellSpacing w:w="0" w:type="dxa"/>
        </w:trPr>
        <w:tc>
          <w:tcPr>
            <w:tcW w:w="0" w:type="auto"/>
            <w:noWrap w:val="0"/>
            <w:vAlign w:val="center"/>
          </w:tcPr>
          <w:p w14:paraId="666C1E21">
            <w:r>
              <w:rPr>
                <w:rStyle w:val="10"/>
                <w:rFonts w:hint="eastAsia"/>
              </w:rPr>
              <w:t>使用技术要求:</w:t>
            </w:r>
            <w:r>
              <w:rPr>
                <w:rFonts w:hint="eastAsia"/>
              </w:rPr>
              <w:br w:type="textWrapping"/>
            </w:r>
            <w:r>
              <w:rPr>
                <w:rStyle w:val="11"/>
                <w:rFonts w:hint="eastAsia"/>
              </w:rPr>
              <w:t>用于夏玉米防除一年生杂草，制剂用药量100-150克/亩，播后苗前土壤喷雾处理。.蔬菜、大豆、桃树、小麦、水稻等对本品敏感，使用时需注意药液漂移。玉米套种豆类，不宜使用本品。</w:t>
            </w:r>
          </w:p>
        </w:tc>
      </w:tr>
      <w:tr w14:paraId="3E1249E4">
        <w:tblPrEx>
          <w:tblCellMar>
            <w:top w:w="0" w:type="dxa"/>
            <w:left w:w="0" w:type="dxa"/>
            <w:bottom w:w="0" w:type="dxa"/>
            <w:right w:w="0" w:type="dxa"/>
          </w:tblCellMar>
        </w:tblPrEx>
        <w:trPr>
          <w:wBefore w:w="0" w:type="auto"/>
          <w:tblCellSpacing w:w="0" w:type="dxa"/>
        </w:trPr>
        <w:tc>
          <w:tcPr>
            <w:tcW w:w="0" w:type="auto"/>
            <w:noWrap w:val="0"/>
            <w:vAlign w:val="center"/>
          </w:tcPr>
          <w:p w14:paraId="177ED8ED">
            <w:r>
              <w:rPr>
                <w:rStyle w:val="10"/>
                <w:rFonts w:hint="eastAsia"/>
              </w:rPr>
              <w:t>产品性能:</w:t>
            </w:r>
            <w:r>
              <w:rPr>
                <w:rFonts w:hint="eastAsia"/>
              </w:rPr>
              <w:br w:type="textWrapping"/>
            </w:r>
            <w:r>
              <w:rPr>
                <w:rStyle w:val="11"/>
                <w:rFonts w:hint="eastAsia"/>
              </w:rPr>
              <w:t>本品是选择性内吸传导型除草剂。根吸收为主，茎叶吸收很少，迅速传导到植物分生组织及叶部，干扰光合作用，使杂草致死。适用于夏玉米田防除马唐、狗尾草、稗草、莎草、看麦娘、蓼、藜等一年生禾本科杂草和阔叶杂草。</w:t>
            </w:r>
          </w:p>
        </w:tc>
      </w:tr>
      <w:tr w14:paraId="3707F7C4">
        <w:tblPrEx>
          <w:tblCellMar>
            <w:top w:w="0" w:type="dxa"/>
            <w:left w:w="0" w:type="dxa"/>
            <w:bottom w:w="0" w:type="dxa"/>
            <w:right w:w="0" w:type="dxa"/>
          </w:tblCellMar>
        </w:tblPrEx>
        <w:trPr>
          <w:wBefore w:w="0" w:type="auto"/>
          <w:tblCellSpacing w:w="0" w:type="dxa"/>
        </w:trPr>
        <w:tc>
          <w:tcPr>
            <w:tcW w:w="0" w:type="auto"/>
            <w:noWrap w:val="0"/>
            <w:vAlign w:val="center"/>
          </w:tcPr>
          <w:p w14:paraId="2206DCBD">
            <w:r>
              <w:rPr>
                <w:rStyle w:val="10"/>
                <w:rFonts w:hint="eastAsia"/>
              </w:rPr>
              <w:t>注意事项：</w:t>
            </w:r>
            <w:r>
              <w:rPr>
                <w:rFonts w:hint="eastAsia"/>
              </w:rPr>
              <w:br w:type="textWrapping"/>
            </w:r>
            <w:r>
              <w:rPr>
                <w:rStyle w:val="11"/>
                <w:rFonts w:hint="eastAsia"/>
              </w:rPr>
              <w:t>1、本品每季最多使用1次。为夏玉米田专用除草剂，未经试验不可用于其它作物田。2、有机质含量超过6%的土壤，不宜作土壤处理。3、配制药液时，应按比例将药液稀释，充分搅拌后使用。4、不宜与杀虫剂混用，用药前后一周内禁止使用有机磷农药。5、施药用具用毕后，将药桶、喷头、管子等充分洗净，以避免使用其它农药时出现药害。剩余的药液和洗刷施药用具的水要妥善处理，不得任意倾倒，以免污染水源、土壤和造成药害。水产养殖区、河塘等水体附近禁用，禁止在河塘等水体中清洗施药器具，地下水饮用水源区禁用，鸟类保护区禁用，桑园附近农田禁用。6、使用本品时应穿戴防护服和手套，避免皮肤、眼睛接触和吸入药液。施药期间不可吃东西和饮水。施药后应及时清洗手和脸，用药时穿的衣服应清洗干净后使用。7、孕妇及哺乳期妇女避免接触此药。</w:t>
            </w:r>
          </w:p>
        </w:tc>
      </w:tr>
      <w:tr w14:paraId="5C61A697">
        <w:tblPrEx>
          <w:tblCellMar>
            <w:top w:w="0" w:type="dxa"/>
            <w:left w:w="0" w:type="dxa"/>
            <w:bottom w:w="0" w:type="dxa"/>
            <w:right w:w="0" w:type="dxa"/>
          </w:tblCellMar>
        </w:tblPrEx>
        <w:trPr>
          <w:wBefore w:w="0" w:type="auto"/>
          <w:tblCellSpacing w:w="0" w:type="dxa"/>
        </w:trPr>
        <w:tc>
          <w:tcPr>
            <w:tcW w:w="0" w:type="auto"/>
            <w:noWrap w:val="0"/>
            <w:vAlign w:val="center"/>
          </w:tcPr>
          <w:p w14:paraId="29ADFBB6">
            <w:r>
              <w:rPr>
                <w:rStyle w:val="10"/>
                <w:rFonts w:hint="eastAsia"/>
              </w:rPr>
              <w:t>中毒急救措施：</w:t>
            </w:r>
            <w:r>
              <w:rPr>
                <w:rFonts w:hint="eastAsia"/>
              </w:rPr>
              <w:br w:type="textWrapping"/>
            </w:r>
            <w:r>
              <w:rPr>
                <w:rStyle w:val="11"/>
                <w:rFonts w:hint="eastAsia"/>
              </w:rPr>
              <w:t>中毒症状：对眼睛、皮肤和呼吸道有轻微刺激作用，一般不会产生全身中毒。急救措施：1. 皮肤接触：立即脱掉污染衣物，用大量清水冲洗皮肤表面。2.眼睛接触：立即提起眼睑，用大量流动清水冲洗眼睛至少15分钟。3. 吸入：立即离开施药现场，转移至空气新鲜处。4.误服：应停止使用，用清水漱口后立即携带农药标签到医院就医。无特殊解毒剂。紧急医疗处理咨询电话。010-83132345或010-63131122。</w:t>
            </w:r>
          </w:p>
        </w:tc>
      </w:tr>
      <w:tr w14:paraId="4ABD2600">
        <w:tblPrEx>
          <w:tblCellMar>
            <w:top w:w="0" w:type="dxa"/>
            <w:left w:w="0" w:type="dxa"/>
            <w:bottom w:w="0" w:type="dxa"/>
            <w:right w:w="0" w:type="dxa"/>
          </w:tblCellMar>
        </w:tblPrEx>
        <w:trPr>
          <w:wBefore w:w="0" w:type="auto"/>
          <w:tblCellSpacing w:w="0" w:type="dxa"/>
        </w:trPr>
        <w:tc>
          <w:tcPr>
            <w:tcW w:w="0" w:type="auto"/>
            <w:noWrap w:val="0"/>
            <w:vAlign w:val="center"/>
          </w:tcPr>
          <w:p w14:paraId="42F5F731">
            <w:r>
              <w:rPr>
                <w:rStyle w:val="10"/>
                <w:rFonts w:hint="eastAsia"/>
              </w:rPr>
              <w:t>储存和运输方法：</w:t>
            </w:r>
            <w:r>
              <w:rPr>
                <w:rFonts w:hint="eastAsia"/>
              </w:rPr>
              <w:br w:type="textWrapping"/>
            </w:r>
            <w:r>
              <w:rPr>
                <w:rStyle w:val="11"/>
                <w:rFonts w:hint="eastAsia"/>
              </w:rPr>
              <w:t>1.本品应贮存在干燥、阴凉、通风、防雨处，远离火源和热源。2.置于儿童接触不到的地方，并加锁。3.勿与食品、饮料、饲料、粮食等其他商品同贮同运。4.运输过程中要确保容器不泄露、不坠落、不损坏，并按规定线路行使，不可在居民区或人口稠密区滞留。</w:t>
            </w:r>
          </w:p>
        </w:tc>
      </w:tr>
      <w:tr w14:paraId="32A62F30">
        <w:tblPrEx>
          <w:tblCellMar>
            <w:top w:w="0" w:type="dxa"/>
            <w:left w:w="0" w:type="dxa"/>
            <w:bottom w:w="0" w:type="dxa"/>
            <w:right w:w="0" w:type="dxa"/>
          </w:tblCellMar>
        </w:tblPrEx>
        <w:trPr>
          <w:wBefore w:w="0" w:type="auto"/>
          <w:tblCellSpacing w:w="0" w:type="dxa"/>
        </w:trPr>
        <w:tc>
          <w:tcPr>
            <w:tcW w:w="0" w:type="auto"/>
            <w:noWrap w:val="0"/>
            <w:vAlign w:val="center"/>
          </w:tcPr>
          <w:p w14:paraId="5DAFCDDD">
            <w:r>
              <w:rPr>
                <w:rStyle w:val="10"/>
                <w:rFonts w:hint="eastAsia"/>
              </w:rPr>
              <w:t>质量保证期：</w:t>
            </w:r>
            <w:r>
              <w:rPr>
                <w:rStyle w:val="11"/>
                <w:rFonts w:hint="eastAsia"/>
              </w:rPr>
              <w:t>2年</w:t>
            </w:r>
          </w:p>
        </w:tc>
      </w:tr>
      <w:tr w14:paraId="664DB59E">
        <w:tblPrEx>
          <w:tblCellMar>
            <w:top w:w="0" w:type="dxa"/>
            <w:left w:w="0" w:type="dxa"/>
            <w:bottom w:w="0" w:type="dxa"/>
            <w:right w:w="0" w:type="dxa"/>
          </w:tblCellMar>
        </w:tblPrEx>
        <w:trPr>
          <w:wBefore w:w="0" w:type="auto"/>
          <w:tblCellSpacing w:w="0" w:type="dxa"/>
        </w:trPr>
        <w:tc>
          <w:tcPr>
            <w:tcW w:w="0" w:type="auto"/>
            <w:noWrap w:val="0"/>
            <w:vAlign w:val="center"/>
          </w:tcPr>
          <w:p w14:paraId="556A1DC6">
            <w:r>
              <w:rPr>
                <w:rStyle w:val="10"/>
                <w:rFonts w:hint="eastAsia"/>
              </w:rPr>
              <w:t>备注：</w:t>
            </w:r>
          </w:p>
        </w:tc>
      </w:tr>
    </w:tbl>
    <w:p w14:paraId="06C63CB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A8333FF">
        <w:tblPrEx>
          <w:tblCellMar>
            <w:top w:w="0" w:type="dxa"/>
            <w:left w:w="0" w:type="dxa"/>
            <w:bottom w:w="0" w:type="dxa"/>
            <w:right w:w="0" w:type="dxa"/>
          </w:tblCellMar>
        </w:tblPrEx>
        <w:trPr>
          <w:wBefore w:w="0" w:type="auto"/>
          <w:tblCellSpacing w:w="0" w:type="dxa"/>
        </w:trPr>
        <w:tc>
          <w:tcPr>
            <w:tcW w:w="0" w:type="auto"/>
            <w:noWrap w:val="0"/>
            <w:vAlign w:val="center"/>
          </w:tcPr>
          <w:p w14:paraId="2A981367">
            <w:r>
              <w:rPr>
                <w:rStyle w:val="10"/>
                <w:rFonts w:hint="eastAsia"/>
              </w:rPr>
              <w:t>登记证号：</w:t>
            </w:r>
            <w:r>
              <w:rPr>
                <w:rFonts w:hint="eastAsia"/>
              </w:rPr>
              <w:t>WP20210197</w:t>
            </w:r>
          </w:p>
        </w:tc>
      </w:tr>
      <w:tr w14:paraId="0ACDF4A7">
        <w:tblPrEx>
          <w:tblCellMar>
            <w:top w:w="0" w:type="dxa"/>
            <w:left w:w="0" w:type="dxa"/>
            <w:bottom w:w="0" w:type="dxa"/>
            <w:right w:w="0" w:type="dxa"/>
          </w:tblCellMar>
        </w:tblPrEx>
        <w:trPr>
          <w:wBefore w:w="0" w:type="auto"/>
          <w:tblCellSpacing w:w="0" w:type="dxa"/>
        </w:trPr>
        <w:tc>
          <w:tcPr>
            <w:tcW w:w="0" w:type="auto"/>
            <w:noWrap w:val="0"/>
            <w:vAlign w:val="center"/>
          </w:tcPr>
          <w:p w14:paraId="1793181D">
            <w:r>
              <w:rPr>
                <w:rStyle w:val="10"/>
                <w:rFonts w:hint="eastAsia"/>
              </w:rPr>
              <w:t>登记证持有人：</w:t>
            </w:r>
            <w:r>
              <w:rPr>
                <w:rFonts w:hint="eastAsia"/>
              </w:rPr>
              <w:t>南通德益化工有限公司</w:t>
            </w:r>
          </w:p>
        </w:tc>
      </w:tr>
      <w:tr w14:paraId="2E1F9570">
        <w:tblPrEx>
          <w:tblCellMar>
            <w:top w:w="0" w:type="dxa"/>
            <w:left w:w="0" w:type="dxa"/>
            <w:bottom w:w="0" w:type="dxa"/>
            <w:right w:w="0" w:type="dxa"/>
          </w:tblCellMar>
        </w:tblPrEx>
        <w:trPr>
          <w:wBefore w:w="0" w:type="auto"/>
          <w:tblCellSpacing w:w="0" w:type="dxa"/>
        </w:trPr>
        <w:tc>
          <w:tcPr>
            <w:tcW w:w="0" w:type="auto"/>
            <w:noWrap w:val="0"/>
            <w:vAlign w:val="center"/>
          </w:tcPr>
          <w:p w14:paraId="3041197C">
            <w:r>
              <w:rPr>
                <w:rStyle w:val="10"/>
                <w:rFonts w:hint="eastAsia"/>
              </w:rPr>
              <w:t>农药名称：</w:t>
            </w:r>
            <w:r>
              <w:rPr>
                <w:rFonts w:hint="eastAsia"/>
              </w:rPr>
              <w:t>甲基嘧啶磷</w:t>
            </w:r>
          </w:p>
        </w:tc>
      </w:tr>
      <w:tr w14:paraId="1E1E4B0A">
        <w:tblPrEx>
          <w:tblCellMar>
            <w:top w:w="0" w:type="dxa"/>
            <w:left w:w="0" w:type="dxa"/>
            <w:bottom w:w="0" w:type="dxa"/>
            <w:right w:w="0" w:type="dxa"/>
          </w:tblCellMar>
        </w:tblPrEx>
        <w:trPr>
          <w:wBefore w:w="0" w:type="auto"/>
          <w:tblCellSpacing w:w="0" w:type="dxa"/>
        </w:trPr>
        <w:tc>
          <w:tcPr>
            <w:tcW w:w="0" w:type="auto"/>
            <w:noWrap w:val="0"/>
            <w:vAlign w:val="center"/>
          </w:tcPr>
          <w:p w14:paraId="12ED880A">
            <w:r>
              <w:rPr>
                <w:rStyle w:val="10"/>
                <w:rFonts w:hint="eastAsia"/>
              </w:rPr>
              <w:t>剂型：</w:t>
            </w:r>
            <w:r>
              <w:rPr>
                <w:rFonts w:hint="eastAsia"/>
              </w:rPr>
              <w:t>微囊悬浮剂</w:t>
            </w:r>
          </w:p>
        </w:tc>
      </w:tr>
      <w:tr w14:paraId="35FFC861">
        <w:tblPrEx>
          <w:tblCellMar>
            <w:top w:w="0" w:type="dxa"/>
            <w:left w:w="0" w:type="dxa"/>
            <w:bottom w:w="0" w:type="dxa"/>
            <w:right w:w="0" w:type="dxa"/>
          </w:tblCellMar>
        </w:tblPrEx>
        <w:trPr>
          <w:wBefore w:w="0" w:type="auto"/>
          <w:tblCellSpacing w:w="0" w:type="dxa"/>
        </w:trPr>
        <w:tc>
          <w:tcPr>
            <w:tcW w:w="0" w:type="auto"/>
            <w:noWrap w:val="0"/>
            <w:vAlign w:val="center"/>
          </w:tcPr>
          <w:p w14:paraId="7DD46542">
            <w:r>
              <w:rPr>
                <w:rStyle w:val="10"/>
                <w:rFonts w:hint="eastAsia"/>
              </w:rPr>
              <w:t>毒性及其标识：</w:t>
            </w:r>
            <w:r>
              <w:rPr>
                <w:rFonts w:hint="eastAsia"/>
              </w:rPr>
              <w:t xml:space="preserve"> </w:t>
            </w:r>
            <w:r>
              <w:rPr>
                <w:lang/>
              </w:rPr>
              <w:drawing>
                <wp:inline distT="0" distB="0" distL="114300" distR="114300">
                  <wp:extent cx="476250" cy="323850"/>
                  <wp:effectExtent l="0" t="0" r="0" b="0"/>
                  <wp:docPr id="388" name="图片 38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402CC32">
        <w:tblPrEx>
          <w:tblCellMar>
            <w:top w:w="0" w:type="dxa"/>
            <w:left w:w="0" w:type="dxa"/>
            <w:bottom w:w="0" w:type="dxa"/>
            <w:right w:w="0" w:type="dxa"/>
          </w:tblCellMar>
        </w:tblPrEx>
        <w:trPr>
          <w:wBefore w:w="0" w:type="auto"/>
          <w:tblCellSpacing w:w="0" w:type="dxa"/>
        </w:trPr>
        <w:tc>
          <w:tcPr>
            <w:tcW w:w="0" w:type="auto"/>
            <w:noWrap w:val="0"/>
            <w:vAlign w:val="center"/>
          </w:tcPr>
          <w:p w14:paraId="6DF36A80">
            <w:r>
              <w:rPr>
                <w:rStyle w:val="10"/>
                <w:rFonts w:hint="eastAsia"/>
              </w:rPr>
              <w:t>总有效成分含量：</w:t>
            </w:r>
            <w:r>
              <w:rPr>
                <w:rFonts w:hint="eastAsia"/>
              </w:rPr>
              <w:t>30%</w:t>
            </w:r>
          </w:p>
        </w:tc>
      </w:tr>
      <w:tr w14:paraId="33E29EAC">
        <w:tblPrEx>
          <w:tblCellMar>
            <w:top w:w="0" w:type="dxa"/>
            <w:left w:w="0" w:type="dxa"/>
            <w:bottom w:w="0" w:type="dxa"/>
            <w:right w:w="0" w:type="dxa"/>
          </w:tblCellMar>
        </w:tblPrEx>
        <w:trPr>
          <w:wBefore w:w="0" w:type="auto"/>
          <w:tblCellSpacing w:w="0" w:type="dxa"/>
        </w:trPr>
        <w:tc>
          <w:tcPr>
            <w:tcW w:w="0" w:type="auto"/>
            <w:noWrap w:val="0"/>
            <w:vAlign w:val="center"/>
          </w:tcPr>
          <w:p w14:paraId="4D84CD74">
            <w:r>
              <w:rPr>
                <w:rFonts w:hint="eastAsia"/>
              </w:rPr>
              <w:t xml:space="preserve">有效成分及其含量： </w:t>
            </w:r>
          </w:p>
          <w:p w14:paraId="586BAAA9">
            <w:r>
              <w:rPr>
                <w:rFonts w:hint="eastAsia"/>
              </w:rPr>
              <w:t xml:space="preserve">    甲基嘧啶磷30%    </w:t>
            </w:r>
          </w:p>
        </w:tc>
      </w:tr>
      <w:tr w14:paraId="618DCDC6">
        <w:tblPrEx>
          <w:tblCellMar>
            <w:top w:w="0" w:type="dxa"/>
            <w:left w:w="0" w:type="dxa"/>
            <w:bottom w:w="0" w:type="dxa"/>
            <w:right w:w="0" w:type="dxa"/>
          </w:tblCellMar>
        </w:tblPrEx>
        <w:trPr>
          <w:wBefore w:w="0" w:type="auto"/>
          <w:tblCellSpacing w:w="0" w:type="dxa"/>
        </w:trPr>
        <w:tc>
          <w:tcPr>
            <w:tcW w:w="0" w:type="auto"/>
            <w:noWrap w:val="0"/>
            <w:vAlign w:val="center"/>
          </w:tcPr>
          <w:p w14:paraId="2822FCB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EA9D72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97BA6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C903A0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9584B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1E28AD2">
                  <w:r>
                    <w:rPr>
                      <w:rStyle w:val="11"/>
                      <w:rFonts w:hint="eastAsia"/>
                    </w:rPr>
                    <w:t>施用方式</w:t>
                  </w:r>
                </w:p>
              </w:tc>
            </w:tr>
            <w:tr w14:paraId="13B7D5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DAFD979">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4C4B49">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42CD5C">
                  <w:r>
                    <w:rPr>
                      <w:rStyle w:val="11"/>
                      <w:rFonts w:hint="eastAsia"/>
                    </w:rPr>
                    <w:t>10毫升/平方米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3AE8F2">
                  <w:r>
                    <w:rPr>
                      <w:rStyle w:val="11"/>
                      <w:rFonts w:hint="eastAsia"/>
                    </w:rPr>
                    <w:t>滞留喷洒</w:t>
                  </w:r>
                </w:p>
              </w:tc>
            </w:tr>
          </w:tbl>
          <w:p w14:paraId="10024101">
            <w:pPr>
              <w:rPr>
                <w:rFonts w:ascii="Times New Roman" w:hAnsi="Times New Roman" w:cs="Times New Roman"/>
                <w:sz w:val="20"/>
                <w:szCs w:val="20"/>
              </w:rPr>
            </w:pPr>
          </w:p>
        </w:tc>
      </w:tr>
      <w:tr w14:paraId="280ACDB2">
        <w:tblPrEx>
          <w:tblCellMar>
            <w:top w:w="0" w:type="dxa"/>
            <w:left w:w="0" w:type="dxa"/>
            <w:bottom w:w="0" w:type="dxa"/>
            <w:right w:w="0" w:type="dxa"/>
          </w:tblCellMar>
        </w:tblPrEx>
        <w:trPr>
          <w:wBefore w:w="0" w:type="auto"/>
          <w:tblCellSpacing w:w="0" w:type="dxa"/>
        </w:trPr>
        <w:tc>
          <w:tcPr>
            <w:tcW w:w="0" w:type="auto"/>
            <w:noWrap w:val="0"/>
            <w:vAlign w:val="center"/>
          </w:tcPr>
          <w:p w14:paraId="4BF6FA37">
            <w:r>
              <w:rPr>
                <w:rStyle w:val="10"/>
                <w:rFonts w:hint="eastAsia"/>
              </w:rPr>
              <w:t>使用技术要求:</w:t>
            </w:r>
            <w:r>
              <w:rPr>
                <w:rFonts w:hint="eastAsia"/>
              </w:rPr>
              <w:br w:type="textWrapping"/>
            </w:r>
            <w:r>
              <w:rPr>
                <w:rStyle w:val="11"/>
                <w:rFonts w:hint="eastAsia"/>
              </w:rPr>
              <w:t>用于室内蚊，用量10毫升/平方米，滞留喷洒。 本品为卫生杀虫剂，用于防治室内蚊子，将本品按上述用药量稀释后，使用低压喷雾器于蚊子出没之处滞留喷洒。</w:t>
            </w:r>
          </w:p>
        </w:tc>
      </w:tr>
      <w:tr w14:paraId="0A0205F7">
        <w:tblPrEx>
          <w:tblCellMar>
            <w:top w:w="0" w:type="dxa"/>
            <w:left w:w="0" w:type="dxa"/>
            <w:bottom w:w="0" w:type="dxa"/>
            <w:right w:w="0" w:type="dxa"/>
          </w:tblCellMar>
        </w:tblPrEx>
        <w:trPr>
          <w:wBefore w:w="0" w:type="auto"/>
          <w:tblCellSpacing w:w="0" w:type="dxa"/>
        </w:trPr>
        <w:tc>
          <w:tcPr>
            <w:tcW w:w="0" w:type="auto"/>
            <w:noWrap w:val="0"/>
            <w:vAlign w:val="center"/>
          </w:tcPr>
          <w:p w14:paraId="2896FE72">
            <w:r>
              <w:rPr>
                <w:rStyle w:val="10"/>
                <w:rFonts w:hint="eastAsia"/>
              </w:rPr>
              <w:t>产品性能:</w:t>
            </w:r>
            <w:r>
              <w:rPr>
                <w:rFonts w:hint="eastAsia"/>
              </w:rPr>
              <w:br w:type="textWrapping"/>
            </w:r>
            <w:r>
              <w:rPr>
                <w:rStyle w:val="11"/>
                <w:rFonts w:hint="eastAsia"/>
              </w:rPr>
              <w:t>本产品为有机磷卫生杀虫剂，具有触杀、胃毒和熏蒸作用，可用于家庭、旅馆及仓库等室内场所有效防治蚊子.</w:t>
            </w:r>
          </w:p>
        </w:tc>
      </w:tr>
      <w:tr w14:paraId="3F8E85E2">
        <w:tblPrEx>
          <w:tblCellMar>
            <w:top w:w="0" w:type="dxa"/>
            <w:left w:w="0" w:type="dxa"/>
            <w:bottom w:w="0" w:type="dxa"/>
            <w:right w:w="0" w:type="dxa"/>
          </w:tblCellMar>
        </w:tblPrEx>
        <w:trPr>
          <w:wBefore w:w="0" w:type="auto"/>
          <w:tblCellSpacing w:w="0" w:type="dxa"/>
        </w:trPr>
        <w:tc>
          <w:tcPr>
            <w:tcW w:w="0" w:type="auto"/>
            <w:noWrap w:val="0"/>
            <w:vAlign w:val="center"/>
          </w:tcPr>
          <w:p w14:paraId="0CDC6774">
            <w:r>
              <w:rPr>
                <w:rStyle w:val="10"/>
                <w:rFonts w:hint="eastAsia"/>
              </w:rPr>
              <w:t>注意事项：</w:t>
            </w:r>
            <w:r>
              <w:rPr>
                <w:rFonts w:hint="eastAsia"/>
              </w:rPr>
              <w:br w:type="textWrapping"/>
            </w:r>
            <w:r>
              <w:rPr>
                <w:rStyle w:val="11"/>
                <w:rFonts w:hint="eastAsia"/>
              </w:rPr>
              <w:t>1.本品仅用于室内场所，使用时请仔细阅读标签和说明书。2.本产品对鱼类等水生生物、蜜蜂有毒，对家蚕有毒。施药时远离水产养殖区、河塘等水体，饲养蜂、蚕场地禁用；禁止在河塘等水体中清洗施药器械。剩余的药剂用专用容器回收处理，用过的包装物应妥善处理，不可挪做他用，也不可随意丢弃。3.使用本产品时应穿戴防护服和手套口罩等，避免吸入药液；施药期间不可吃东西和饮水；施药后应及时换洗衣服并用肥皂水和大量清水冲洗裸露皮肤。4.本产品不可与呈碱性的农药等物质混合使用。5、室内喷洒至少1小时后，待雾滴干透后，居民方可进入。6.本品与中等氧化剂具有化学不相容性，避免与具有氧化/还原性物质接触或混合。7.孕妇、哺乳期妇女、过敏者禁用，使用中有任何不良反应请及时就医。8.避免与氧化剂接触。</w:t>
            </w:r>
          </w:p>
        </w:tc>
      </w:tr>
      <w:tr w14:paraId="155B553F">
        <w:tblPrEx>
          <w:tblCellMar>
            <w:top w:w="0" w:type="dxa"/>
            <w:left w:w="0" w:type="dxa"/>
            <w:bottom w:w="0" w:type="dxa"/>
            <w:right w:w="0" w:type="dxa"/>
          </w:tblCellMar>
        </w:tblPrEx>
        <w:trPr>
          <w:wBefore w:w="0" w:type="auto"/>
          <w:tblCellSpacing w:w="0" w:type="dxa"/>
        </w:trPr>
        <w:tc>
          <w:tcPr>
            <w:tcW w:w="0" w:type="auto"/>
            <w:noWrap w:val="0"/>
            <w:vAlign w:val="center"/>
          </w:tcPr>
          <w:p w14:paraId="79DEDCAF">
            <w:r>
              <w:rPr>
                <w:rStyle w:val="10"/>
                <w:rFonts w:hint="eastAsia"/>
              </w:rPr>
              <w:t>中毒急救措施：</w:t>
            </w:r>
            <w:r>
              <w:rPr>
                <w:rFonts w:hint="eastAsia"/>
              </w:rPr>
              <w:br w:type="textWrapping"/>
            </w:r>
            <w:r>
              <w:rPr>
                <w:rStyle w:val="11"/>
                <w:rFonts w:hint="eastAsia"/>
              </w:rPr>
              <w:t xml:space="preserve">中毒症状：本品对眼睛、皮肤有刺激性。 急救措施：1. 用药时如果感觉不适，立即停止工作，采取急救措施，并携带标签送医就诊。 2.皮肤接触或污染衣物：立即脱掉被污染的衣物，用大量清水冲洗被污染的皮肤15-20分钟。3.眼睛溅药：立即将眼睑翻开，用清水冲洗至少15-20分钟后送医院对症治疗。4.发生吸入：立即将吸入者转移到空气新鲜处，注意保暖。如果吸入者停止呼吸，需进行人工呼吸并及时就医。5.误服：立即携带标签，送医就诊。请勿引吐，除非向急救热线或中毒控制中心或医生咨询后，医生要求引吐时再引吐。解毒剂：阿托品（Atropine）,解磷定（PAM）或双复磷（Toxogonin），解毒剂的使用应遵医嘱。中毒时，请拨打疾控中心中毒控制中心咨询热线： 400-650-5726。 </w:t>
            </w:r>
          </w:p>
        </w:tc>
      </w:tr>
      <w:tr w14:paraId="27304D4A">
        <w:tblPrEx>
          <w:tblCellMar>
            <w:top w:w="0" w:type="dxa"/>
            <w:left w:w="0" w:type="dxa"/>
            <w:bottom w:w="0" w:type="dxa"/>
            <w:right w:w="0" w:type="dxa"/>
          </w:tblCellMar>
        </w:tblPrEx>
        <w:trPr>
          <w:wBefore w:w="0" w:type="auto"/>
          <w:tblCellSpacing w:w="0" w:type="dxa"/>
        </w:trPr>
        <w:tc>
          <w:tcPr>
            <w:tcW w:w="0" w:type="auto"/>
            <w:noWrap w:val="0"/>
            <w:vAlign w:val="center"/>
          </w:tcPr>
          <w:p w14:paraId="34B17238">
            <w:r>
              <w:rPr>
                <w:rStyle w:val="10"/>
                <w:rFonts w:hint="eastAsia"/>
              </w:rPr>
              <w:t>储存和运输方法：</w:t>
            </w:r>
            <w:r>
              <w:rPr>
                <w:rFonts w:hint="eastAsia"/>
              </w:rPr>
              <w:br w:type="textWrapping"/>
            </w:r>
            <w:r>
              <w:rPr>
                <w:rStyle w:val="11"/>
                <w:rFonts w:hint="eastAsia"/>
              </w:rPr>
              <w:t>1.本品应贮藏在避光、干燥、通风处并加锁保存，勿让儿童、无关人员和动物接触。2.产品码放高度不宜超过2米，以免损坏包装。3.贮存和运输时应注意防火，严防高温、日晒和雨淋，不得与食物、粮食、饲料、饮料混放，避免与皮肤、眼睛接触，防止由口鼻吸入。</w:t>
            </w:r>
          </w:p>
        </w:tc>
      </w:tr>
      <w:tr w14:paraId="6901E4C5">
        <w:tblPrEx>
          <w:tblCellMar>
            <w:top w:w="0" w:type="dxa"/>
            <w:left w:w="0" w:type="dxa"/>
            <w:bottom w:w="0" w:type="dxa"/>
            <w:right w:w="0" w:type="dxa"/>
          </w:tblCellMar>
        </w:tblPrEx>
        <w:trPr>
          <w:wBefore w:w="0" w:type="auto"/>
          <w:tblCellSpacing w:w="0" w:type="dxa"/>
        </w:trPr>
        <w:tc>
          <w:tcPr>
            <w:tcW w:w="0" w:type="auto"/>
            <w:noWrap w:val="0"/>
            <w:vAlign w:val="center"/>
          </w:tcPr>
          <w:p w14:paraId="4A934CA0">
            <w:r>
              <w:rPr>
                <w:rStyle w:val="10"/>
                <w:rFonts w:hint="eastAsia"/>
              </w:rPr>
              <w:t>质量保证期：</w:t>
            </w:r>
            <w:r>
              <w:rPr>
                <w:rStyle w:val="11"/>
                <w:rFonts w:hint="eastAsia"/>
              </w:rPr>
              <w:t>2年</w:t>
            </w:r>
          </w:p>
        </w:tc>
      </w:tr>
      <w:tr w14:paraId="78CC63E7">
        <w:tblPrEx>
          <w:tblCellMar>
            <w:top w:w="0" w:type="dxa"/>
            <w:left w:w="0" w:type="dxa"/>
            <w:bottom w:w="0" w:type="dxa"/>
            <w:right w:w="0" w:type="dxa"/>
          </w:tblCellMar>
        </w:tblPrEx>
        <w:trPr>
          <w:wBefore w:w="0" w:type="auto"/>
          <w:tblCellSpacing w:w="0" w:type="dxa"/>
        </w:trPr>
        <w:tc>
          <w:tcPr>
            <w:tcW w:w="0" w:type="auto"/>
            <w:noWrap w:val="0"/>
            <w:vAlign w:val="center"/>
          </w:tcPr>
          <w:p w14:paraId="19A2D74D">
            <w:r>
              <w:rPr>
                <w:rStyle w:val="10"/>
                <w:rFonts w:hint="eastAsia"/>
              </w:rPr>
              <w:t>备注：</w:t>
            </w:r>
          </w:p>
        </w:tc>
      </w:tr>
    </w:tbl>
    <w:p w14:paraId="5DC97DD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30C48B8">
        <w:tblPrEx>
          <w:tblCellMar>
            <w:top w:w="0" w:type="dxa"/>
            <w:left w:w="0" w:type="dxa"/>
            <w:bottom w:w="0" w:type="dxa"/>
            <w:right w:w="0" w:type="dxa"/>
          </w:tblCellMar>
        </w:tblPrEx>
        <w:trPr>
          <w:wBefore w:w="0" w:type="auto"/>
          <w:tblCellSpacing w:w="0" w:type="dxa"/>
        </w:trPr>
        <w:tc>
          <w:tcPr>
            <w:tcW w:w="0" w:type="auto"/>
            <w:noWrap w:val="0"/>
            <w:vAlign w:val="center"/>
          </w:tcPr>
          <w:p w14:paraId="37341F59">
            <w:r>
              <w:rPr>
                <w:rStyle w:val="10"/>
                <w:rFonts w:hint="eastAsia"/>
              </w:rPr>
              <w:t>登记证号：</w:t>
            </w:r>
            <w:r>
              <w:rPr>
                <w:rFonts w:hint="eastAsia"/>
              </w:rPr>
              <w:t>PD20211792</w:t>
            </w:r>
          </w:p>
        </w:tc>
      </w:tr>
      <w:tr w14:paraId="5DEF857E">
        <w:tblPrEx>
          <w:tblCellMar>
            <w:top w:w="0" w:type="dxa"/>
            <w:left w:w="0" w:type="dxa"/>
            <w:bottom w:w="0" w:type="dxa"/>
            <w:right w:w="0" w:type="dxa"/>
          </w:tblCellMar>
        </w:tblPrEx>
        <w:trPr>
          <w:wBefore w:w="0" w:type="auto"/>
          <w:tblCellSpacing w:w="0" w:type="dxa"/>
        </w:trPr>
        <w:tc>
          <w:tcPr>
            <w:tcW w:w="0" w:type="auto"/>
            <w:noWrap w:val="0"/>
            <w:vAlign w:val="center"/>
          </w:tcPr>
          <w:p w14:paraId="5B043A5B">
            <w:r>
              <w:rPr>
                <w:rStyle w:val="10"/>
                <w:rFonts w:hint="eastAsia"/>
              </w:rPr>
              <w:t>登记证持有人：</w:t>
            </w:r>
            <w:r>
              <w:rPr>
                <w:rFonts w:hint="eastAsia"/>
              </w:rPr>
              <w:t>南通罗森化工有限公司</w:t>
            </w:r>
          </w:p>
        </w:tc>
      </w:tr>
      <w:tr w14:paraId="5F1F192F">
        <w:tblPrEx>
          <w:tblCellMar>
            <w:top w:w="0" w:type="dxa"/>
            <w:left w:w="0" w:type="dxa"/>
            <w:bottom w:w="0" w:type="dxa"/>
            <w:right w:w="0" w:type="dxa"/>
          </w:tblCellMar>
        </w:tblPrEx>
        <w:trPr>
          <w:wBefore w:w="0" w:type="auto"/>
          <w:tblCellSpacing w:w="0" w:type="dxa"/>
        </w:trPr>
        <w:tc>
          <w:tcPr>
            <w:tcW w:w="0" w:type="auto"/>
            <w:noWrap w:val="0"/>
            <w:vAlign w:val="center"/>
          </w:tcPr>
          <w:p w14:paraId="0702EF49">
            <w:r>
              <w:rPr>
                <w:rStyle w:val="10"/>
                <w:rFonts w:hint="eastAsia"/>
              </w:rPr>
              <w:t>农药名称：</w:t>
            </w:r>
            <w:r>
              <w:rPr>
                <w:rFonts w:hint="eastAsia"/>
              </w:rPr>
              <w:t>杀螺胺乙醇胺盐</w:t>
            </w:r>
          </w:p>
        </w:tc>
      </w:tr>
      <w:tr w14:paraId="74B82CDA">
        <w:tblPrEx>
          <w:tblCellMar>
            <w:top w:w="0" w:type="dxa"/>
            <w:left w:w="0" w:type="dxa"/>
            <w:bottom w:w="0" w:type="dxa"/>
            <w:right w:w="0" w:type="dxa"/>
          </w:tblCellMar>
        </w:tblPrEx>
        <w:trPr>
          <w:wBefore w:w="0" w:type="auto"/>
          <w:tblCellSpacing w:w="0" w:type="dxa"/>
        </w:trPr>
        <w:tc>
          <w:tcPr>
            <w:tcW w:w="0" w:type="auto"/>
            <w:noWrap w:val="0"/>
            <w:vAlign w:val="center"/>
          </w:tcPr>
          <w:p w14:paraId="44E56638">
            <w:r>
              <w:rPr>
                <w:rStyle w:val="10"/>
                <w:rFonts w:hint="eastAsia"/>
              </w:rPr>
              <w:t>剂型：</w:t>
            </w:r>
            <w:r>
              <w:rPr>
                <w:rFonts w:hint="eastAsia"/>
              </w:rPr>
              <w:t>可湿性粉剂</w:t>
            </w:r>
          </w:p>
        </w:tc>
      </w:tr>
      <w:tr w14:paraId="5E69F415">
        <w:tblPrEx>
          <w:tblCellMar>
            <w:top w:w="0" w:type="dxa"/>
            <w:left w:w="0" w:type="dxa"/>
            <w:bottom w:w="0" w:type="dxa"/>
            <w:right w:w="0" w:type="dxa"/>
          </w:tblCellMar>
        </w:tblPrEx>
        <w:trPr>
          <w:wBefore w:w="0" w:type="auto"/>
          <w:tblCellSpacing w:w="0" w:type="dxa"/>
        </w:trPr>
        <w:tc>
          <w:tcPr>
            <w:tcW w:w="0" w:type="auto"/>
            <w:noWrap w:val="0"/>
            <w:vAlign w:val="center"/>
          </w:tcPr>
          <w:p w14:paraId="715C0EDE">
            <w:r>
              <w:rPr>
                <w:rStyle w:val="10"/>
                <w:rFonts w:hint="eastAsia"/>
              </w:rPr>
              <w:t>毒性及其标识：</w:t>
            </w:r>
            <w:r>
              <w:rPr>
                <w:rFonts w:hint="eastAsia"/>
              </w:rPr>
              <w:t xml:space="preserve"> </w:t>
            </w:r>
            <w:r>
              <w:rPr>
                <w:lang/>
              </w:rPr>
              <w:drawing>
                <wp:inline distT="0" distB="0" distL="114300" distR="114300">
                  <wp:extent cx="476250" cy="323850"/>
                  <wp:effectExtent l="0" t="0" r="0" b="0"/>
                  <wp:docPr id="389" name="图片 389"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4339F7C9">
        <w:tblPrEx>
          <w:tblCellMar>
            <w:top w:w="0" w:type="dxa"/>
            <w:left w:w="0" w:type="dxa"/>
            <w:bottom w:w="0" w:type="dxa"/>
            <w:right w:w="0" w:type="dxa"/>
          </w:tblCellMar>
        </w:tblPrEx>
        <w:trPr>
          <w:wBefore w:w="0" w:type="auto"/>
          <w:tblCellSpacing w:w="0" w:type="dxa"/>
        </w:trPr>
        <w:tc>
          <w:tcPr>
            <w:tcW w:w="0" w:type="auto"/>
            <w:noWrap w:val="0"/>
            <w:vAlign w:val="center"/>
          </w:tcPr>
          <w:p w14:paraId="22977AE5">
            <w:r>
              <w:rPr>
                <w:rStyle w:val="10"/>
                <w:rFonts w:hint="eastAsia"/>
              </w:rPr>
              <w:t>总有效成分含量：</w:t>
            </w:r>
            <w:r>
              <w:rPr>
                <w:rFonts w:hint="eastAsia"/>
              </w:rPr>
              <w:t>70%</w:t>
            </w:r>
          </w:p>
        </w:tc>
      </w:tr>
      <w:tr w14:paraId="234BAD45">
        <w:tblPrEx>
          <w:tblCellMar>
            <w:top w:w="0" w:type="dxa"/>
            <w:left w:w="0" w:type="dxa"/>
            <w:bottom w:w="0" w:type="dxa"/>
            <w:right w:w="0" w:type="dxa"/>
          </w:tblCellMar>
        </w:tblPrEx>
        <w:trPr>
          <w:wBefore w:w="0" w:type="auto"/>
          <w:tblCellSpacing w:w="0" w:type="dxa"/>
        </w:trPr>
        <w:tc>
          <w:tcPr>
            <w:tcW w:w="0" w:type="auto"/>
            <w:noWrap w:val="0"/>
            <w:vAlign w:val="center"/>
          </w:tcPr>
          <w:p w14:paraId="282D69C5">
            <w:r>
              <w:rPr>
                <w:rFonts w:hint="eastAsia"/>
              </w:rPr>
              <w:t xml:space="preserve">有效成分及其含量： </w:t>
            </w:r>
          </w:p>
          <w:p w14:paraId="676523C1">
            <w:r>
              <w:rPr>
                <w:rFonts w:hint="eastAsia"/>
              </w:rPr>
              <w:t xml:space="preserve">    杀螺胺70%    </w:t>
            </w:r>
          </w:p>
        </w:tc>
      </w:tr>
      <w:tr w14:paraId="1BBC7292">
        <w:tblPrEx>
          <w:tblCellMar>
            <w:top w:w="0" w:type="dxa"/>
            <w:left w:w="0" w:type="dxa"/>
            <w:bottom w:w="0" w:type="dxa"/>
            <w:right w:w="0" w:type="dxa"/>
          </w:tblCellMar>
        </w:tblPrEx>
        <w:trPr>
          <w:wBefore w:w="0" w:type="auto"/>
          <w:tblCellSpacing w:w="0" w:type="dxa"/>
        </w:trPr>
        <w:tc>
          <w:tcPr>
            <w:tcW w:w="0" w:type="auto"/>
            <w:noWrap w:val="0"/>
            <w:vAlign w:val="center"/>
          </w:tcPr>
          <w:p w14:paraId="281EAA9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BB1C8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A533B9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7EE90B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F3B88D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D9104F">
                  <w:r>
                    <w:rPr>
                      <w:rStyle w:val="11"/>
                      <w:rFonts w:hint="eastAsia"/>
                    </w:rPr>
                    <w:t>施用方式</w:t>
                  </w:r>
                </w:p>
              </w:tc>
            </w:tr>
            <w:tr w14:paraId="754725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0B14247">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1826C9">
                  <w:r>
                    <w:rPr>
                      <w:rStyle w:val="11"/>
                      <w:rFonts w:hint="eastAsia"/>
                    </w:rPr>
                    <w:t>福寿螺</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D80279">
                  <w:r>
                    <w:rPr>
                      <w:rStyle w:val="11"/>
                      <w:rFonts w:hint="eastAsia"/>
                    </w:rPr>
                    <w:t>40-60克/亩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E8A0D0">
                  <w:r>
                    <w:rPr>
                      <w:rStyle w:val="11"/>
                      <w:rFonts w:hint="eastAsia"/>
                    </w:rPr>
                    <w:t>喷雾</w:t>
                  </w:r>
                </w:p>
              </w:tc>
            </w:tr>
          </w:tbl>
          <w:p w14:paraId="7D822456">
            <w:pPr>
              <w:rPr>
                <w:rFonts w:ascii="Times New Roman" w:hAnsi="Times New Roman" w:cs="Times New Roman"/>
                <w:sz w:val="20"/>
                <w:szCs w:val="20"/>
              </w:rPr>
            </w:pPr>
          </w:p>
        </w:tc>
      </w:tr>
      <w:tr w14:paraId="3928BA00">
        <w:tblPrEx>
          <w:tblCellMar>
            <w:top w:w="0" w:type="dxa"/>
            <w:left w:w="0" w:type="dxa"/>
            <w:bottom w:w="0" w:type="dxa"/>
            <w:right w:w="0" w:type="dxa"/>
          </w:tblCellMar>
        </w:tblPrEx>
        <w:trPr>
          <w:wBefore w:w="0" w:type="auto"/>
          <w:tblCellSpacing w:w="0" w:type="dxa"/>
        </w:trPr>
        <w:tc>
          <w:tcPr>
            <w:tcW w:w="0" w:type="auto"/>
            <w:noWrap w:val="0"/>
            <w:vAlign w:val="center"/>
          </w:tcPr>
          <w:p w14:paraId="72351E41">
            <w:r>
              <w:rPr>
                <w:rStyle w:val="10"/>
                <w:rFonts w:hint="eastAsia"/>
              </w:rPr>
              <w:t>使用技术要求:</w:t>
            </w:r>
            <w:r>
              <w:rPr>
                <w:rFonts w:hint="eastAsia"/>
              </w:rPr>
              <w:br w:type="textWrapping"/>
            </w:r>
            <w:r>
              <w:rPr>
                <w:rStyle w:val="11"/>
                <w:rFonts w:hint="eastAsia"/>
              </w:rPr>
              <w:t>1. 水稻插植一周后，福寿螺发生初期喷雾处理，施药时要均匀周到。2. 施药时应避免药液漂移到其他作物上，以防产生药害。3. 大风天或预计2小时内降雨，请勿施药。安全使用标准：每季最多施药1次。</w:t>
            </w:r>
          </w:p>
        </w:tc>
      </w:tr>
      <w:tr w14:paraId="4807D99F">
        <w:tblPrEx>
          <w:tblCellMar>
            <w:top w:w="0" w:type="dxa"/>
            <w:left w:w="0" w:type="dxa"/>
            <w:bottom w:w="0" w:type="dxa"/>
            <w:right w:w="0" w:type="dxa"/>
          </w:tblCellMar>
        </w:tblPrEx>
        <w:trPr>
          <w:wBefore w:w="0" w:type="auto"/>
          <w:tblCellSpacing w:w="0" w:type="dxa"/>
        </w:trPr>
        <w:tc>
          <w:tcPr>
            <w:tcW w:w="0" w:type="auto"/>
            <w:noWrap w:val="0"/>
            <w:vAlign w:val="center"/>
          </w:tcPr>
          <w:p w14:paraId="1C13D2E8">
            <w:r>
              <w:rPr>
                <w:rStyle w:val="10"/>
                <w:rFonts w:hint="eastAsia"/>
              </w:rPr>
              <w:t>产品性能:</w:t>
            </w:r>
            <w:r>
              <w:rPr>
                <w:rFonts w:hint="eastAsia"/>
              </w:rPr>
              <w:br w:type="textWrapping"/>
            </w:r>
            <w:r>
              <w:rPr>
                <w:rStyle w:val="11"/>
                <w:rFonts w:hint="eastAsia"/>
              </w:rPr>
              <w:t>本品是一种杀软体动物制剂，具有触杀和胃毒作用，对成螺、幼螺、螺卵有较好的防治效果。本品通过阻止害螺对氧的摄入而降低呼吸作用最终致其死亡。</w:t>
            </w:r>
          </w:p>
        </w:tc>
      </w:tr>
      <w:tr w14:paraId="693452C0">
        <w:tblPrEx>
          <w:tblCellMar>
            <w:top w:w="0" w:type="dxa"/>
            <w:left w:w="0" w:type="dxa"/>
            <w:bottom w:w="0" w:type="dxa"/>
            <w:right w:w="0" w:type="dxa"/>
          </w:tblCellMar>
        </w:tblPrEx>
        <w:trPr>
          <w:wBefore w:w="0" w:type="auto"/>
          <w:tblCellSpacing w:w="0" w:type="dxa"/>
        </w:trPr>
        <w:tc>
          <w:tcPr>
            <w:tcW w:w="0" w:type="auto"/>
            <w:noWrap w:val="0"/>
            <w:vAlign w:val="center"/>
          </w:tcPr>
          <w:p w14:paraId="77C2723E">
            <w:r>
              <w:rPr>
                <w:rStyle w:val="10"/>
                <w:rFonts w:hint="eastAsia"/>
              </w:rPr>
              <w:t>注意事项：</w:t>
            </w:r>
            <w:r>
              <w:rPr>
                <w:rFonts w:hint="eastAsia"/>
              </w:rPr>
              <w:br w:type="textWrapping"/>
            </w:r>
            <w:r>
              <w:rPr>
                <w:rStyle w:val="11"/>
                <w:rFonts w:hint="eastAsia"/>
              </w:rPr>
              <w:t>1. 建议与其他作用机理的农药轮换使用，以延缓抗性的产生。 2. 避免与强碱性物质混用，以免减少药效。 3. 施药时应避免药液漂移到其他作物上，以防产生药害。 4. 废弃物应妥善处理，不可做他用，也不可随意丢弃。 5. 对鱼类、蛙、贝类有毒，使用时要多加注意，.远离水产养殖区、河塘等水体施药；禁止在河塘等水体中清洗施药器具； 鱼或虾蟹套养稻田禁用，施药后的田水不得直接排入水体。 6. 本品对眼睛有刺激性，使用时避免接触眼睛，穿戴长衣、长裤、帽子、口罩、手套等防护措施，使用后肥皂洗净手和脸。 7. 孕妇及哺乳期妇女应避免接触。 8. 用过的容器应妥善处理，不可做他用，也不可随意丢弃。9. 鸟类保护区附近禁用；蚕室及桑园附近禁用，或采用最外围桑树作为隔离带。</w:t>
            </w:r>
          </w:p>
        </w:tc>
      </w:tr>
      <w:tr w14:paraId="281335DC">
        <w:tblPrEx>
          <w:tblCellMar>
            <w:top w:w="0" w:type="dxa"/>
            <w:left w:w="0" w:type="dxa"/>
            <w:bottom w:w="0" w:type="dxa"/>
            <w:right w:w="0" w:type="dxa"/>
          </w:tblCellMar>
        </w:tblPrEx>
        <w:trPr>
          <w:wBefore w:w="0" w:type="auto"/>
          <w:tblCellSpacing w:w="0" w:type="dxa"/>
        </w:trPr>
        <w:tc>
          <w:tcPr>
            <w:tcW w:w="0" w:type="auto"/>
            <w:noWrap w:val="0"/>
            <w:vAlign w:val="center"/>
          </w:tcPr>
          <w:p w14:paraId="0F9AF8F7">
            <w:r>
              <w:rPr>
                <w:rStyle w:val="10"/>
                <w:rFonts w:hint="eastAsia"/>
              </w:rPr>
              <w:t>中毒急救措施：</w:t>
            </w:r>
            <w:r>
              <w:rPr>
                <w:rFonts w:hint="eastAsia"/>
              </w:rPr>
              <w:br w:type="textWrapping"/>
            </w:r>
            <w:r>
              <w:rPr>
                <w:rStyle w:val="11"/>
                <w:rFonts w:hint="eastAsia"/>
              </w:rPr>
              <w:t>1. 使用中或使用后，如果感觉不适，应立即停止工作，采取急救措施。若溅入眼睛，用大量清水冲洗至少15分钟，仍有不适时，就医。 2. 若皮肤沾染，用肥皂水及清水冲洗干净。 3. 若不慎吸入，将患者移至空气流通处。 4. 如误服中毒，立即携此标签送医院。对症治疗。无特效解毒剂。</w:t>
            </w:r>
          </w:p>
        </w:tc>
      </w:tr>
      <w:tr w14:paraId="483312EA">
        <w:tblPrEx>
          <w:tblCellMar>
            <w:top w:w="0" w:type="dxa"/>
            <w:left w:w="0" w:type="dxa"/>
            <w:bottom w:w="0" w:type="dxa"/>
            <w:right w:w="0" w:type="dxa"/>
          </w:tblCellMar>
        </w:tblPrEx>
        <w:trPr>
          <w:wBefore w:w="0" w:type="auto"/>
          <w:tblCellSpacing w:w="0" w:type="dxa"/>
        </w:trPr>
        <w:tc>
          <w:tcPr>
            <w:tcW w:w="0" w:type="auto"/>
            <w:noWrap w:val="0"/>
            <w:vAlign w:val="center"/>
          </w:tcPr>
          <w:p w14:paraId="2D3B39F1">
            <w:r>
              <w:rPr>
                <w:rStyle w:val="10"/>
                <w:rFonts w:hint="eastAsia"/>
              </w:rPr>
              <w:t>储存和运输方法：</w:t>
            </w:r>
            <w:r>
              <w:rPr>
                <w:rFonts w:hint="eastAsia"/>
              </w:rPr>
              <w:br w:type="textWrapping"/>
            </w:r>
            <w:r>
              <w:rPr>
                <w:rStyle w:val="11"/>
                <w:rFonts w:hint="eastAsia"/>
              </w:rPr>
              <w:t>包装件应放在通风、干燥的仓库中。贮运时，应防潮、防日晒、保持干燥，不得重压与碰撞，不得与种子、饲料、食物混放，避免与皮肤、眼睛接触，防止从口鼻吸入</w:t>
            </w:r>
          </w:p>
        </w:tc>
      </w:tr>
      <w:tr w14:paraId="64B01650">
        <w:tblPrEx>
          <w:tblCellMar>
            <w:top w:w="0" w:type="dxa"/>
            <w:left w:w="0" w:type="dxa"/>
            <w:bottom w:w="0" w:type="dxa"/>
            <w:right w:w="0" w:type="dxa"/>
          </w:tblCellMar>
        </w:tblPrEx>
        <w:trPr>
          <w:wBefore w:w="0" w:type="auto"/>
          <w:tblCellSpacing w:w="0" w:type="dxa"/>
        </w:trPr>
        <w:tc>
          <w:tcPr>
            <w:tcW w:w="0" w:type="auto"/>
            <w:noWrap w:val="0"/>
            <w:vAlign w:val="center"/>
          </w:tcPr>
          <w:p w14:paraId="119423AF">
            <w:r>
              <w:rPr>
                <w:rStyle w:val="10"/>
                <w:rFonts w:hint="eastAsia"/>
              </w:rPr>
              <w:t>质量保证期：</w:t>
            </w:r>
            <w:r>
              <w:rPr>
                <w:rStyle w:val="11"/>
                <w:rFonts w:hint="eastAsia"/>
              </w:rPr>
              <w:t>2年</w:t>
            </w:r>
          </w:p>
        </w:tc>
      </w:tr>
      <w:tr w14:paraId="7E647C67">
        <w:tblPrEx>
          <w:tblCellMar>
            <w:top w:w="0" w:type="dxa"/>
            <w:left w:w="0" w:type="dxa"/>
            <w:bottom w:w="0" w:type="dxa"/>
            <w:right w:w="0" w:type="dxa"/>
          </w:tblCellMar>
        </w:tblPrEx>
        <w:trPr>
          <w:wBefore w:w="0" w:type="auto"/>
          <w:tblCellSpacing w:w="0" w:type="dxa"/>
        </w:trPr>
        <w:tc>
          <w:tcPr>
            <w:tcW w:w="0" w:type="auto"/>
            <w:noWrap w:val="0"/>
            <w:vAlign w:val="center"/>
          </w:tcPr>
          <w:p w14:paraId="6C8FA831">
            <w:r>
              <w:rPr>
                <w:rStyle w:val="10"/>
                <w:rFonts w:hint="eastAsia"/>
              </w:rPr>
              <w:t>备注：</w:t>
            </w:r>
            <w:r>
              <w:rPr>
                <w:rFonts w:hint="eastAsia"/>
              </w:rPr>
              <w:br w:type="textWrapping"/>
            </w:r>
            <w:r>
              <w:rPr>
                <w:rStyle w:val="11"/>
                <w:rFonts w:hint="eastAsia"/>
              </w:rPr>
              <w:t>杀螺胺乙醇胺盐83.1%。</w:t>
            </w:r>
          </w:p>
        </w:tc>
      </w:tr>
    </w:tbl>
    <w:p w14:paraId="1ABE94A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3E7DA1A">
        <w:tblPrEx>
          <w:tblCellMar>
            <w:top w:w="0" w:type="dxa"/>
            <w:left w:w="0" w:type="dxa"/>
            <w:bottom w:w="0" w:type="dxa"/>
            <w:right w:w="0" w:type="dxa"/>
          </w:tblCellMar>
        </w:tblPrEx>
        <w:trPr>
          <w:wBefore w:w="0" w:type="auto"/>
          <w:tblCellSpacing w:w="0" w:type="dxa"/>
        </w:trPr>
        <w:tc>
          <w:tcPr>
            <w:tcW w:w="0" w:type="auto"/>
            <w:noWrap w:val="0"/>
            <w:vAlign w:val="center"/>
          </w:tcPr>
          <w:p w14:paraId="2C63BD71">
            <w:r>
              <w:rPr>
                <w:rStyle w:val="10"/>
                <w:rFonts w:hint="eastAsia"/>
              </w:rPr>
              <w:t>登记证号：</w:t>
            </w:r>
            <w:r>
              <w:rPr>
                <w:rFonts w:hint="eastAsia"/>
              </w:rPr>
              <w:t>PD20211834</w:t>
            </w:r>
          </w:p>
        </w:tc>
      </w:tr>
      <w:tr w14:paraId="5EEB7D84">
        <w:tblPrEx>
          <w:tblCellMar>
            <w:top w:w="0" w:type="dxa"/>
            <w:left w:w="0" w:type="dxa"/>
            <w:bottom w:w="0" w:type="dxa"/>
            <w:right w:w="0" w:type="dxa"/>
          </w:tblCellMar>
        </w:tblPrEx>
        <w:trPr>
          <w:wBefore w:w="0" w:type="auto"/>
          <w:tblCellSpacing w:w="0" w:type="dxa"/>
        </w:trPr>
        <w:tc>
          <w:tcPr>
            <w:tcW w:w="0" w:type="auto"/>
            <w:noWrap w:val="0"/>
            <w:vAlign w:val="center"/>
          </w:tcPr>
          <w:p w14:paraId="5A39C3AF">
            <w:r>
              <w:rPr>
                <w:rStyle w:val="10"/>
                <w:rFonts w:hint="eastAsia"/>
              </w:rPr>
              <w:t>登记证持有人：</w:t>
            </w:r>
            <w:r>
              <w:rPr>
                <w:rFonts w:hint="eastAsia"/>
              </w:rPr>
              <w:t>河南省焦作华生化工有限公司</w:t>
            </w:r>
          </w:p>
        </w:tc>
      </w:tr>
      <w:tr w14:paraId="3BB71B10">
        <w:tblPrEx>
          <w:tblCellMar>
            <w:top w:w="0" w:type="dxa"/>
            <w:left w:w="0" w:type="dxa"/>
            <w:bottom w:w="0" w:type="dxa"/>
            <w:right w:w="0" w:type="dxa"/>
          </w:tblCellMar>
        </w:tblPrEx>
        <w:trPr>
          <w:wBefore w:w="0" w:type="auto"/>
          <w:tblCellSpacing w:w="0" w:type="dxa"/>
        </w:trPr>
        <w:tc>
          <w:tcPr>
            <w:tcW w:w="0" w:type="auto"/>
            <w:noWrap w:val="0"/>
            <w:vAlign w:val="center"/>
          </w:tcPr>
          <w:p w14:paraId="7048E804">
            <w:r>
              <w:rPr>
                <w:rStyle w:val="10"/>
                <w:rFonts w:hint="eastAsia"/>
              </w:rPr>
              <w:t>农药名称：</w:t>
            </w:r>
            <w:r>
              <w:rPr>
                <w:rFonts w:hint="eastAsia"/>
              </w:rPr>
              <w:t>联苯·虫螨腈</w:t>
            </w:r>
          </w:p>
        </w:tc>
      </w:tr>
      <w:tr w14:paraId="40D9315F">
        <w:tblPrEx>
          <w:tblCellMar>
            <w:top w:w="0" w:type="dxa"/>
            <w:left w:w="0" w:type="dxa"/>
            <w:bottom w:w="0" w:type="dxa"/>
            <w:right w:w="0" w:type="dxa"/>
          </w:tblCellMar>
        </w:tblPrEx>
        <w:trPr>
          <w:wBefore w:w="0" w:type="auto"/>
          <w:tblCellSpacing w:w="0" w:type="dxa"/>
        </w:trPr>
        <w:tc>
          <w:tcPr>
            <w:tcW w:w="0" w:type="auto"/>
            <w:noWrap w:val="0"/>
            <w:vAlign w:val="center"/>
          </w:tcPr>
          <w:p w14:paraId="79F5C9B8">
            <w:r>
              <w:rPr>
                <w:rStyle w:val="10"/>
                <w:rFonts w:hint="eastAsia"/>
              </w:rPr>
              <w:t>剂型：</w:t>
            </w:r>
            <w:r>
              <w:rPr>
                <w:rFonts w:hint="eastAsia"/>
              </w:rPr>
              <w:t>悬浮剂</w:t>
            </w:r>
          </w:p>
        </w:tc>
      </w:tr>
      <w:tr w14:paraId="05D1F54B">
        <w:tblPrEx>
          <w:tblCellMar>
            <w:top w:w="0" w:type="dxa"/>
            <w:left w:w="0" w:type="dxa"/>
            <w:bottom w:w="0" w:type="dxa"/>
            <w:right w:w="0" w:type="dxa"/>
          </w:tblCellMar>
        </w:tblPrEx>
        <w:trPr>
          <w:wBefore w:w="0" w:type="auto"/>
          <w:tblCellSpacing w:w="0" w:type="dxa"/>
        </w:trPr>
        <w:tc>
          <w:tcPr>
            <w:tcW w:w="0" w:type="auto"/>
            <w:noWrap w:val="0"/>
            <w:vAlign w:val="center"/>
          </w:tcPr>
          <w:p w14:paraId="49692D97">
            <w:r>
              <w:rPr>
                <w:rStyle w:val="10"/>
                <w:rFonts w:hint="eastAsia"/>
              </w:rPr>
              <w:t>毒性及其标识：</w:t>
            </w:r>
            <w:r>
              <w:rPr>
                <w:rFonts w:hint="eastAsia"/>
              </w:rPr>
              <w:t xml:space="preserve"> </w:t>
            </w:r>
            <w:r>
              <w:rPr>
                <w:lang/>
              </w:rPr>
              <w:drawing>
                <wp:inline distT="0" distB="0" distL="114300" distR="114300">
                  <wp:extent cx="476250" cy="323850"/>
                  <wp:effectExtent l="0" t="0" r="0" b="0"/>
                  <wp:docPr id="390" name="图片 39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20356D9">
        <w:tblPrEx>
          <w:tblCellMar>
            <w:top w:w="0" w:type="dxa"/>
            <w:left w:w="0" w:type="dxa"/>
            <w:bottom w:w="0" w:type="dxa"/>
            <w:right w:w="0" w:type="dxa"/>
          </w:tblCellMar>
        </w:tblPrEx>
        <w:trPr>
          <w:wBefore w:w="0" w:type="auto"/>
          <w:tblCellSpacing w:w="0" w:type="dxa"/>
        </w:trPr>
        <w:tc>
          <w:tcPr>
            <w:tcW w:w="0" w:type="auto"/>
            <w:noWrap w:val="0"/>
            <w:vAlign w:val="center"/>
          </w:tcPr>
          <w:p w14:paraId="407B2124">
            <w:r>
              <w:rPr>
                <w:rStyle w:val="10"/>
                <w:rFonts w:hint="eastAsia"/>
              </w:rPr>
              <w:t>总有效成分含量：</w:t>
            </w:r>
            <w:r>
              <w:rPr>
                <w:rFonts w:hint="eastAsia"/>
              </w:rPr>
              <w:t>20%</w:t>
            </w:r>
          </w:p>
        </w:tc>
      </w:tr>
      <w:tr w14:paraId="5D37630E">
        <w:tblPrEx>
          <w:tblCellMar>
            <w:top w:w="0" w:type="dxa"/>
            <w:left w:w="0" w:type="dxa"/>
            <w:bottom w:w="0" w:type="dxa"/>
            <w:right w:w="0" w:type="dxa"/>
          </w:tblCellMar>
        </w:tblPrEx>
        <w:trPr>
          <w:wBefore w:w="0" w:type="auto"/>
          <w:tblCellSpacing w:w="0" w:type="dxa"/>
        </w:trPr>
        <w:tc>
          <w:tcPr>
            <w:tcW w:w="0" w:type="auto"/>
            <w:noWrap w:val="0"/>
            <w:vAlign w:val="center"/>
          </w:tcPr>
          <w:p w14:paraId="6EBCF0FE">
            <w:r>
              <w:rPr>
                <w:rFonts w:hint="eastAsia"/>
              </w:rPr>
              <w:t xml:space="preserve">有效成分及其含量： </w:t>
            </w:r>
          </w:p>
          <w:p w14:paraId="7C641D98">
            <w:r>
              <w:rPr>
                <w:rFonts w:hint="eastAsia"/>
              </w:rPr>
              <w:t xml:space="preserve">    联苯菊酯6%    虫螨腈14%    </w:t>
            </w:r>
          </w:p>
        </w:tc>
      </w:tr>
      <w:tr w14:paraId="12B4DBC9">
        <w:tblPrEx>
          <w:tblCellMar>
            <w:top w:w="0" w:type="dxa"/>
            <w:left w:w="0" w:type="dxa"/>
            <w:bottom w:w="0" w:type="dxa"/>
            <w:right w:w="0" w:type="dxa"/>
          </w:tblCellMar>
        </w:tblPrEx>
        <w:trPr>
          <w:wBefore w:w="0" w:type="auto"/>
          <w:tblCellSpacing w:w="0" w:type="dxa"/>
        </w:trPr>
        <w:tc>
          <w:tcPr>
            <w:tcW w:w="0" w:type="auto"/>
            <w:noWrap w:val="0"/>
            <w:vAlign w:val="center"/>
          </w:tcPr>
          <w:p w14:paraId="2F91712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65AC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DB15CA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DE93A4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8434AD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C29550">
                  <w:r>
                    <w:rPr>
                      <w:rStyle w:val="11"/>
                      <w:rFonts w:hint="eastAsia"/>
                    </w:rPr>
                    <w:t>施用方式</w:t>
                  </w:r>
                </w:p>
              </w:tc>
            </w:tr>
            <w:tr w14:paraId="30C2A8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0FE2FA0">
                  <w:r>
                    <w:rPr>
                      <w:rStyle w:val="11"/>
                      <w:rFonts w:hint="eastAsia"/>
                    </w:rPr>
                    <w:t>茄子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83E014">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6EDDF1">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34D227">
                  <w:r>
                    <w:rPr>
                      <w:rStyle w:val="11"/>
                      <w:rFonts w:hint="eastAsia"/>
                    </w:rPr>
                    <w:t>喷雾</w:t>
                  </w:r>
                </w:p>
              </w:tc>
            </w:tr>
          </w:tbl>
          <w:p w14:paraId="742D3904">
            <w:pPr>
              <w:rPr>
                <w:rFonts w:ascii="Times New Roman" w:hAnsi="Times New Roman" w:cs="Times New Roman"/>
                <w:sz w:val="20"/>
                <w:szCs w:val="20"/>
              </w:rPr>
            </w:pPr>
          </w:p>
        </w:tc>
      </w:tr>
      <w:tr w14:paraId="310C7836">
        <w:tblPrEx>
          <w:tblCellMar>
            <w:top w:w="0" w:type="dxa"/>
            <w:left w:w="0" w:type="dxa"/>
            <w:bottom w:w="0" w:type="dxa"/>
            <w:right w:w="0" w:type="dxa"/>
          </w:tblCellMar>
        </w:tblPrEx>
        <w:trPr>
          <w:wBefore w:w="0" w:type="auto"/>
          <w:tblCellSpacing w:w="0" w:type="dxa"/>
        </w:trPr>
        <w:tc>
          <w:tcPr>
            <w:tcW w:w="0" w:type="auto"/>
            <w:noWrap w:val="0"/>
            <w:vAlign w:val="center"/>
          </w:tcPr>
          <w:p w14:paraId="095AFFC0">
            <w:r>
              <w:rPr>
                <w:rStyle w:val="10"/>
                <w:rFonts w:hint="eastAsia"/>
              </w:rPr>
              <w:t>使用技术要求:</w:t>
            </w:r>
            <w:r>
              <w:rPr>
                <w:rFonts w:hint="eastAsia"/>
              </w:rPr>
              <w:br w:type="textWrapping"/>
            </w:r>
            <w:r>
              <w:rPr>
                <w:rStyle w:val="11"/>
                <w:rFonts w:hint="eastAsia"/>
              </w:rPr>
              <w:t>1.本品应于茄子蓟马发生始盛期施药。注意喷雾均匀、周到，以确保药效；2.在茄子上使用的安全间隔期为7天，每季作物最多使用1次。3.大风天或预计1小时内降雨，请勿施药。</w:t>
            </w:r>
          </w:p>
        </w:tc>
      </w:tr>
      <w:tr w14:paraId="1BDDFF90">
        <w:tblPrEx>
          <w:tblCellMar>
            <w:top w:w="0" w:type="dxa"/>
            <w:left w:w="0" w:type="dxa"/>
            <w:bottom w:w="0" w:type="dxa"/>
            <w:right w:w="0" w:type="dxa"/>
          </w:tblCellMar>
        </w:tblPrEx>
        <w:trPr>
          <w:wBefore w:w="0" w:type="auto"/>
          <w:tblCellSpacing w:w="0" w:type="dxa"/>
        </w:trPr>
        <w:tc>
          <w:tcPr>
            <w:tcW w:w="0" w:type="auto"/>
            <w:noWrap w:val="0"/>
            <w:vAlign w:val="center"/>
          </w:tcPr>
          <w:p w14:paraId="0863FF4F">
            <w:r>
              <w:rPr>
                <w:rStyle w:val="10"/>
                <w:rFonts w:hint="eastAsia"/>
              </w:rPr>
              <w:t>产品性能:</w:t>
            </w:r>
            <w:r>
              <w:rPr>
                <w:rFonts w:hint="eastAsia"/>
              </w:rPr>
              <w:br w:type="textWrapping"/>
            </w:r>
            <w:r>
              <w:rPr>
                <w:rStyle w:val="11"/>
                <w:rFonts w:hint="eastAsia"/>
              </w:rPr>
              <w:t xml:space="preserve">本品由联苯菊酯与虫螨腈复配而成的杀虫剂，具有触杀和胃毒作用，对茄子蓟马有较好防效。 </w:t>
            </w:r>
          </w:p>
        </w:tc>
      </w:tr>
      <w:tr w14:paraId="5417161A">
        <w:tblPrEx>
          <w:tblCellMar>
            <w:top w:w="0" w:type="dxa"/>
            <w:left w:w="0" w:type="dxa"/>
            <w:bottom w:w="0" w:type="dxa"/>
            <w:right w:w="0" w:type="dxa"/>
          </w:tblCellMar>
        </w:tblPrEx>
        <w:trPr>
          <w:wBefore w:w="0" w:type="auto"/>
          <w:tblCellSpacing w:w="0" w:type="dxa"/>
        </w:trPr>
        <w:tc>
          <w:tcPr>
            <w:tcW w:w="0" w:type="auto"/>
            <w:noWrap w:val="0"/>
            <w:vAlign w:val="center"/>
          </w:tcPr>
          <w:p w14:paraId="533EBFCB">
            <w:r>
              <w:rPr>
                <w:rStyle w:val="10"/>
                <w:rFonts w:hint="eastAsia"/>
              </w:rPr>
              <w:t>注意事项：</w:t>
            </w:r>
            <w:r>
              <w:rPr>
                <w:rFonts w:hint="eastAsia"/>
              </w:rPr>
              <w:br w:type="textWrapping"/>
            </w:r>
            <w:r>
              <w:rPr>
                <w:rStyle w:val="11"/>
                <w:rFonts w:hint="eastAsia"/>
              </w:rPr>
              <w:t>1.本品应避免与氧化剂接触，建议与其他作用机制不同的杀虫剂轮换使用，以延缓抗性产生。 2.本品不宜与碱性物质混用。 3.使用时应穿戴长衣、长裤、帽子、口罩、手套等防护措施。不可吸烟、饮水、进食；施药后洗净手、脸及其他裸露部位，洗净工作服。4 .远离水产养殖区、河塘等水体施药；禁止在河塘等水体中清洗施药器具； （周围）开花植物花期禁用，施药期间应密切关注对附近蜂群的影响； 桑园及蚕室附近禁用； 5.赤眼蜂等天敌放飞区域禁用。鸟类保护区附近禁用。6.用过的容器应妥善处理，不可作他用，也不可随意丢弃。6.孕妇及哺乳期妇女避免接触本品。</w:t>
            </w:r>
          </w:p>
        </w:tc>
      </w:tr>
      <w:tr w14:paraId="6E284A57">
        <w:tblPrEx>
          <w:tblCellMar>
            <w:top w:w="0" w:type="dxa"/>
            <w:left w:w="0" w:type="dxa"/>
            <w:bottom w:w="0" w:type="dxa"/>
            <w:right w:w="0" w:type="dxa"/>
          </w:tblCellMar>
        </w:tblPrEx>
        <w:trPr>
          <w:wBefore w:w="0" w:type="auto"/>
          <w:tblCellSpacing w:w="0" w:type="dxa"/>
        </w:trPr>
        <w:tc>
          <w:tcPr>
            <w:tcW w:w="0" w:type="auto"/>
            <w:noWrap w:val="0"/>
            <w:vAlign w:val="center"/>
          </w:tcPr>
          <w:p w14:paraId="21F34D26">
            <w:r>
              <w:rPr>
                <w:rStyle w:val="10"/>
                <w:rFonts w:hint="eastAsia"/>
              </w:rPr>
              <w:t>中毒急救措施：</w:t>
            </w:r>
            <w:r>
              <w:rPr>
                <w:rFonts w:hint="eastAsia"/>
              </w:rPr>
              <w:br w:type="textWrapping"/>
            </w:r>
            <w:r>
              <w:rPr>
                <w:rStyle w:val="11"/>
                <w:rFonts w:hint="eastAsia"/>
              </w:rPr>
              <w:t xml:space="preserve">中毒症状：对眼睛有刺激性。 急救措施：不慎吸入，应将病人移至空气流通处。不慎接触皮肤或溅入眼睛，应用大量清水冲洗至少15分钟，仍有不适时，请及时就医。因疏忽或误服而发生中毒现象时，禁止引吐，请速携标签就医，并依据中毒情况对症治疗。无特效解毒剂。 </w:t>
            </w:r>
          </w:p>
        </w:tc>
      </w:tr>
      <w:tr w14:paraId="757DBE51">
        <w:tblPrEx>
          <w:tblCellMar>
            <w:top w:w="0" w:type="dxa"/>
            <w:left w:w="0" w:type="dxa"/>
            <w:bottom w:w="0" w:type="dxa"/>
            <w:right w:w="0" w:type="dxa"/>
          </w:tblCellMar>
        </w:tblPrEx>
        <w:trPr>
          <w:wBefore w:w="0" w:type="auto"/>
          <w:tblCellSpacing w:w="0" w:type="dxa"/>
        </w:trPr>
        <w:tc>
          <w:tcPr>
            <w:tcW w:w="0" w:type="auto"/>
            <w:noWrap w:val="0"/>
            <w:vAlign w:val="center"/>
          </w:tcPr>
          <w:p w14:paraId="392463A3">
            <w:r>
              <w:rPr>
                <w:rStyle w:val="10"/>
                <w:rFonts w:hint="eastAsia"/>
              </w:rPr>
              <w:t>储存和运输方法：</w:t>
            </w:r>
            <w:r>
              <w:rPr>
                <w:rFonts w:hint="eastAsia"/>
              </w:rPr>
              <w:br w:type="textWrapping"/>
            </w:r>
            <w:r>
              <w:rPr>
                <w:rStyle w:val="11"/>
                <w:rFonts w:hint="eastAsia"/>
              </w:rPr>
              <w:t>本品应贮存于干燥、阴凉、通风、防雨处；远离火源或热源；存放于儿童触及不到之处，并加锁；不能与食品、饮料、粮食、饲料等混合储运；运输时应注意防水防潮，避免雨淋；搬运时轻搬轻放，不可倒置。</w:t>
            </w:r>
          </w:p>
        </w:tc>
      </w:tr>
      <w:tr w14:paraId="29303D9A">
        <w:tblPrEx>
          <w:tblCellMar>
            <w:top w:w="0" w:type="dxa"/>
            <w:left w:w="0" w:type="dxa"/>
            <w:bottom w:w="0" w:type="dxa"/>
            <w:right w:w="0" w:type="dxa"/>
          </w:tblCellMar>
        </w:tblPrEx>
        <w:trPr>
          <w:wBefore w:w="0" w:type="auto"/>
          <w:tblCellSpacing w:w="0" w:type="dxa"/>
        </w:trPr>
        <w:tc>
          <w:tcPr>
            <w:tcW w:w="0" w:type="auto"/>
            <w:noWrap w:val="0"/>
            <w:vAlign w:val="center"/>
          </w:tcPr>
          <w:p w14:paraId="0D149930">
            <w:r>
              <w:rPr>
                <w:rStyle w:val="10"/>
                <w:rFonts w:hint="eastAsia"/>
              </w:rPr>
              <w:t>质量保证期：</w:t>
            </w:r>
            <w:r>
              <w:rPr>
                <w:rStyle w:val="11"/>
                <w:rFonts w:hint="eastAsia"/>
              </w:rPr>
              <w:t>2年</w:t>
            </w:r>
          </w:p>
        </w:tc>
      </w:tr>
      <w:tr w14:paraId="20B9DB64">
        <w:tblPrEx>
          <w:tblCellMar>
            <w:top w:w="0" w:type="dxa"/>
            <w:left w:w="0" w:type="dxa"/>
            <w:bottom w:w="0" w:type="dxa"/>
            <w:right w:w="0" w:type="dxa"/>
          </w:tblCellMar>
        </w:tblPrEx>
        <w:trPr>
          <w:wBefore w:w="0" w:type="auto"/>
          <w:tblCellSpacing w:w="0" w:type="dxa"/>
        </w:trPr>
        <w:tc>
          <w:tcPr>
            <w:tcW w:w="0" w:type="auto"/>
            <w:noWrap w:val="0"/>
            <w:vAlign w:val="center"/>
          </w:tcPr>
          <w:p w14:paraId="5F55A782">
            <w:r>
              <w:rPr>
                <w:rStyle w:val="10"/>
                <w:rFonts w:hint="eastAsia"/>
              </w:rPr>
              <w:t>备注：</w:t>
            </w:r>
          </w:p>
        </w:tc>
      </w:tr>
    </w:tbl>
    <w:p w14:paraId="09838A8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391426C">
        <w:tblPrEx>
          <w:tblCellMar>
            <w:top w:w="0" w:type="dxa"/>
            <w:left w:w="0" w:type="dxa"/>
            <w:bottom w:w="0" w:type="dxa"/>
            <w:right w:w="0" w:type="dxa"/>
          </w:tblCellMar>
        </w:tblPrEx>
        <w:trPr>
          <w:wBefore w:w="0" w:type="auto"/>
          <w:tblCellSpacing w:w="0" w:type="dxa"/>
        </w:trPr>
        <w:tc>
          <w:tcPr>
            <w:tcW w:w="0" w:type="auto"/>
            <w:noWrap w:val="0"/>
            <w:vAlign w:val="center"/>
          </w:tcPr>
          <w:p w14:paraId="757E8866">
            <w:r>
              <w:rPr>
                <w:rStyle w:val="10"/>
                <w:rFonts w:hint="eastAsia"/>
              </w:rPr>
              <w:t>登记证号：</w:t>
            </w:r>
            <w:r>
              <w:rPr>
                <w:rFonts w:hint="eastAsia"/>
              </w:rPr>
              <w:t>PD20211998</w:t>
            </w:r>
          </w:p>
        </w:tc>
      </w:tr>
      <w:tr w14:paraId="6FF136FB">
        <w:tblPrEx>
          <w:tblCellMar>
            <w:top w:w="0" w:type="dxa"/>
            <w:left w:w="0" w:type="dxa"/>
            <w:bottom w:w="0" w:type="dxa"/>
            <w:right w:w="0" w:type="dxa"/>
          </w:tblCellMar>
        </w:tblPrEx>
        <w:trPr>
          <w:wBefore w:w="0" w:type="auto"/>
          <w:tblCellSpacing w:w="0" w:type="dxa"/>
        </w:trPr>
        <w:tc>
          <w:tcPr>
            <w:tcW w:w="0" w:type="auto"/>
            <w:noWrap w:val="0"/>
            <w:vAlign w:val="center"/>
          </w:tcPr>
          <w:p w14:paraId="6521A48E">
            <w:r>
              <w:rPr>
                <w:rStyle w:val="10"/>
                <w:rFonts w:hint="eastAsia"/>
              </w:rPr>
              <w:t>登记证持有人：</w:t>
            </w:r>
            <w:r>
              <w:rPr>
                <w:rFonts w:hint="eastAsia"/>
              </w:rPr>
              <w:t>山东东泰农化有限公司</w:t>
            </w:r>
          </w:p>
        </w:tc>
      </w:tr>
      <w:tr w14:paraId="3598161C">
        <w:tblPrEx>
          <w:tblCellMar>
            <w:top w:w="0" w:type="dxa"/>
            <w:left w:w="0" w:type="dxa"/>
            <w:bottom w:w="0" w:type="dxa"/>
            <w:right w:w="0" w:type="dxa"/>
          </w:tblCellMar>
        </w:tblPrEx>
        <w:trPr>
          <w:wBefore w:w="0" w:type="auto"/>
          <w:tblCellSpacing w:w="0" w:type="dxa"/>
        </w:trPr>
        <w:tc>
          <w:tcPr>
            <w:tcW w:w="0" w:type="auto"/>
            <w:noWrap w:val="0"/>
            <w:vAlign w:val="center"/>
          </w:tcPr>
          <w:p w14:paraId="60DB18A1">
            <w:r>
              <w:rPr>
                <w:rStyle w:val="10"/>
                <w:rFonts w:hint="eastAsia"/>
              </w:rPr>
              <w:t>农药名称：</w:t>
            </w:r>
            <w:r>
              <w:rPr>
                <w:rFonts w:hint="eastAsia"/>
              </w:rPr>
              <w:t>春雷·喹啉铜</w:t>
            </w:r>
          </w:p>
        </w:tc>
      </w:tr>
      <w:tr w14:paraId="21810293">
        <w:tblPrEx>
          <w:tblCellMar>
            <w:top w:w="0" w:type="dxa"/>
            <w:left w:w="0" w:type="dxa"/>
            <w:bottom w:w="0" w:type="dxa"/>
            <w:right w:w="0" w:type="dxa"/>
          </w:tblCellMar>
        </w:tblPrEx>
        <w:trPr>
          <w:wBefore w:w="0" w:type="auto"/>
          <w:tblCellSpacing w:w="0" w:type="dxa"/>
        </w:trPr>
        <w:tc>
          <w:tcPr>
            <w:tcW w:w="0" w:type="auto"/>
            <w:noWrap w:val="0"/>
            <w:vAlign w:val="center"/>
          </w:tcPr>
          <w:p w14:paraId="758AA382">
            <w:r>
              <w:rPr>
                <w:rStyle w:val="10"/>
                <w:rFonts w:hint="eastAsia"/>
              </w:rPr>
              <w:t>剂型：</w:t>
            </w:r>
            <w:r>
              <w:rPr>
                <w:rFonts w:hint="eastAsia"/>
              </w:rPr>
              <w:t>悬浮剂</w:t>
            </w:r>
          </w:p>
        </w:tc>
      </w:tr>
      <w:tr w14:paraId="798671BF">
        <w:tblPrEx>
          <w:tblCellMar>
            <w:top w:w="0" w:type="dxa"/>
            <w:left w:w="0" w:type="dxa"/>
            <w:bottom w:w="0" w:type="dxa"/>
            <w:right w:w="0" w:type="dxa"/>
          </w:tblCellMar>
        </w:tblPrEx>
        <w:trPr>
          <w:wBefore w:w="0" w:type="auto"/>
          <w:tblCellSpacing w:w="0" w:type="dxa"/>
        </w:trPr>
        <w:tc>
          <w:tcPr>
            <w:tcW w:w="0" w:type="auto"/>
            <w:noWrap w:val="0"/>
            <w:vAlign w:val="center"/>
          </w:tcPr>
          <w:p w14:paraId="544F9270">
            <w:r>
              <w:rPr>
                <w:rStyle w:val="10"/>
                <w:rFonts w:hint="eastAsia"/>
              </w:rPr>
              <w:t>毒性及其标识：</w:t>
            </w:r>
            <w:r>
              <w:rPr>
                <w:rFonts w:hint="eastAsia"/>
              </w:rPr>
              <w:t xml:space="preserve"> </w:t>
            </w:r>
            <w:r>
              <w:rPr>
                <w:lang/>
              </w:rPr>
              <w:drawing>
                <wp:inline distT="0" distB="0" distL="114300" distR="114300">
                  <wp:extent cx="476250" cy="323850"/>
                  <wp:effectExtent l="0" t="0" r="0" b="0"/>
                  <wp:docPr id="391" name="图片 39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49C1F3D">
        <w:tblPrEx>
          <w:tblCellMar>
            <w:top w:w="0" w:type="dxa"/>
            <w:left w:w="0" w:type="dxa"/>
            <w:bottom w:w="0" w:type="dxa"/>
            <w:right w:w="0" w:type="dxa"/>
          </w:tblCellMar>
        </w:tblPrEx>
        <w:trPr>
          <w:wBefore w:w="0" w:type="auto"/>
          <w:tblCellSpacing w:w="0" w:type="dxa"/>
        </w:trPr>
        <w:tc>
          <w:tcPr>
            <w:tcW w:w="0" w:type="auto"/>
            <w:noWrap w:val="0"/>
            <w:vAlign w:val="center"/>
          </w:tcPr>
          <w:p w14:paraId="4414DAFD">
            <w:r>
              <w:rPr>
                <w:rStyle w:val="10"/>
                <w:rFonts w:hint="eastAsia"/>
              </w:rPr>
              <w:t>总有效成分含量：</w:t>
            </w:r>
            <w:r>
              <w:rPr>
                <w:rFonts w:hint="eastAsia"/>
              </w:rPr>
              <w:t>33%</w:t>
            </w:r>
          </w:p>
        </w:tc>
      </w:tr>
      <w:tr w14:paraId="23AA7C1F">
        <w:tblPrEx>
          <w:tblCellMar>
            <w:top w:w="0" w:type="dxa"/>
            <w:left w:w="0" w:type="dxa"/>
            <w:bottom w:w="0" w:type="dxa"/>
            <w:right w:w="0" w:type="dxa"/>
          </w:tblCellMar>
        </w:tblPrEx>
        <w:trPr>
          <w:wBefore w:w="0" w:type="auto"/>
          <w:tblCellSpacing w:w="0" w:type="dxa"/>
        </w:trPr>
        <w:tc>
          <w:tcPr>
            <w:tcW w:w="0" w:type="auto"/>
            <w:noWrap w:val="0"/>
            <w:vAlign w:val="center"/>
          </w:tcPr>
          <w:p w14:paraId="21B49EDD">
            <w:r>
              <w:rPr>
                <w:rFonts w:hint="eastAsia"/>
              </w:rPr>
              <w:t xml:space="preserve">有效成分及其含量： </w:t>
            </w:r>
          </w:p>
          <w:p w14:paraId="6B5CDDB1">
            <w:r>
              <w:rPr>
                <w:rFonts w:hint="eastAsia"/>
              </w:rPr>
              <w:t xml:space="preserve">    春雷霉素3%    喹啉铜30%    </w:t>
            </w:r>
          </w:p>
        </w:tc>
      </w:tr>
      <w:tr w14:paraId="58B44D44">
        <w:tblPrEx>
          <w:tblCellMar>
            <w:top w:w="0" w:type="dxa"/>
            <w:left w:w="0" w:type="dxa"/>
            <w:bottom w:w="0" w:type="dxa"/>
            <w:right w:w="0" w:type="dxa"/>
          </w:tblCellMar>
        </w:tblPrEx>
        <w:trPr>
          <w:wBefore w:w="0" w:type="auto"/>
          <w:tblCellSpacing w:w="0" w:type="dxa"/>
        </w:trPr>
        <w:tc>
          <w:tcPr>
            <w:tcW w:w="0" w:type="auto"/>
            <w:noWrap w:val="0"/>
            <w:vAlign w:val="center"/>
          </w:tcPr>
          <w:p w14:paraId="7003393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63794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A9CF82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AB737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3BC6E3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AF595CE">
                  <w:r>
                    <w:rPr>
                      <w:rStyle w:val="11"/>
                      <w:rFonts w:hint="eastAsia"/>
                    </w:rPr>
                    <w:t>施用方式</w:t>
                  </w:r>
                </w:p>
              </w:tc>
            </w:tr>
            <w:tr w14:paraId="70E4D4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F927634">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F3DD17">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C0886E">
                  <w:r>
                    <w:rPr>
                      <w:rStyle w:val="11"/>
                      <w:rFonts w:hint="eastAsia"/>
                    </w:rPr>
                    <w:t>50-70毫升/亩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BCB27D">
                  <w:r>
                    <w:rPr>
                      <w:rStyle w:val="11"/>
                      <w:rFonts w:hint="eastAsia"/>
                    </w:rPr>
                    <w:t>喷雾</w:t>
                  </w:r>
                </w:p>
              </w:tc>
            </w:tr>
          </w:tbl>
          <w:p w14:paraId="1B248446">
            <w:pPr>
              <w:rPr>
                <w:rFonts w:ascii="Times New Roman" w:hAnsi="Times New Roman" w:cs="Times New Roman"/>
                <w:sz w:val="20"/>
                <w:szCs w:val="20"/>
              </w:rPr>
            </w:pPr>
          </w:p>
        </w:tc>
      </w:tr>
      <w:tr w14:paraId="4186BFB2">
        <w:tblPrEx>
          <w:tblCellMar>
            <w:top w:w="0" w:type="dxa"/>
            <w:left w:w="0" w:type="dxa"/>
            <w:bottom w:w="0" w:type="dxa"/>
            <w:right w:w="0" w:type="dxa"/>
          </w:tblCellMar>
        </w:tblPrEx>
        <w:trPr>
          <w:wBefore w:w="0" w:type="auto"/>
          <w:tblCellSpacing w:w="0" w:type="dxa"/>
        </w:trPr>
        <w:tc>
          <w:tcPr>
            <w:tcW w:w="0" w:type="auto"/>
            <w:noWrap w:val="0"/>
            <w:vAlign w:val="center"/>
          </w:tcPr>
          <w:p w14:paraId="6DF7BCAF">
            <w:r>
              <w:rPr>
                <w:rStyle w:val="10"/>
                <w:rFonts w:hint="eastAsia"/>
              </w:rPr>
              <w:t>使用技术要求:</w:t>
            </w:r>
            <w:r>
              <w:rPr>
                <w:rFonts w:hint="eastAsia"/>
              </w:rPr>
              <w:br w:type="textWrapping"/>
            </w:r>
            <w:r>
              <w:rPr>
                <w:rStyle w:val="11"/>
                <w:rFonts w:hint="eastAsia"/>
              </w:rPr>
              <w:t>1、于霜霉病发病前或发病初期，按照推荐施药剂量，全株均匀、周到喷雾。连续施药2-3次，间隔7天左右。2.大豆、藕等作物对本品敏感，易产生药害,施药时避免药液漂移到上述作物上。3、大风天或预计短时间内有雨请勿施药。4、在黄瓜上使用的安全间隔期为3天，每季作物周期最多使用3次。</w:t>
            </w:r>
          </w:p>
        </w:tc>
      </w:tr>
      <w:tr w14:paraId="30EA8D53">
        <w:tblPrEx>
          <w:tblCellMar>
            <w:top w:w="0" w:type="dxa"/>
            <w:left w:w="0" w:type="dxa"/>
            <w:bottom w:w="0" w:type="dxa"/>
            <w:right w:w="0" w:type="dxa"/>
          </w:tblCellMar>
        </w:tblPrEx>
        <w:trPr>
          <w:wBefore w:w="0" w:type="auto"/>
          <w:tblCellSpacing w:w="0" w:type="dxa"/>
        </w:trPr>
        <w:tc>
          <w:tcPr>
            <w:tcW w:w="0" w:type="auto"/>
            <w:noWrap w:val="0"/>
            <w:vAlign w:val="center"/>
          </w:tcPr>
          <w:p w14:paraId="16BD0A57">
            <w:r>
              <w:rPr>
                <w:rStyle w:val="10"/>
                <w:rFonts w:hint="eastAsia"/>
              </w:rPr>
              <w:t>产品性能:</w:t>
            </w:r>
            <w:r>
              <w:rPr>
                <w:rFonts w:hint="eastAsia"/>
              </w:rPr>
              <w:br w:type="textWrapping"/>
            </w:r>
            <w:r>
              <w:rPr>
                <w:rStyle w:val="11"/>
                <w:rFonts w:hint="eastAsia"/>
              </w:rPr>
              <w:t>本品是春雷霉素与喹啉铜的混配制剂。春雷霉素属农用抗菌素，具有较强的内吸性，其作用机理是干扰病菌氨基酸的代谢，从而影响蛋白质的合成，抑制菌丝的生长。喹啉铜是一种低残留的有机铜</w:t>
            </w:r>
            <w:r>
              <w:rPr>
                <w:rStyle w:val="11"/>
                <w:rFonts w:hint="eastAsia"/>
                <w:lang w:eastAsia="zh-CN"/>
              </w:rPr>
              <w:t>螯合</w:t>
            </w:r>
            <w:r>
              <w:rPr>
                <w:rStyle w:val="11"/>
                <w:rFonts w:hint="eastAsia"/>
              </w:rPr>
              <w:t>物，对细菌、真菌性病害具有良好的预防和治疗作用；可在作物表面形成一层严密的保护膜，抑制病菌萌发和侵入，从而达到防病治病的目的。在推荐施用剂量下，对黄瓜霜霉病具有良好的防治效果。</w:t>
            </w:r>
          </w:p>
        </w:tc>
      </w:tr>
      <w:tr w14:paraId="129A87B5">
        <w:tblPrEx>
          <w:tblCellMar>
            <w:top w:w="0" w:type="dxa"/>
            <w:left w:w="0" w:type="dxa"/>
            <w:bottom w:w="0" w:type="dxa"/>
            <w:right w:w="0" w:type="dxa"/>
          </w:tblCellMar>
        </w:tblPrEx>
        <w:trPr>
          <w:wBefore w:w="0" w:type="auto"/>
          <w:tblCellSpacing w:w="0" w:type="dxa"/>
        </w:trPr>
        <w:tc>
          <w:tcPr>
            <w:tcW w:w="0" w:type="auto"/>
            <w:noWrap w:val="0"/>
            <w:vAlign w:val="center"/>
          </w:tcPr>
          <w:p w14:paraId="54C43708">
            <w:r>
              <w:rPr>
                <w:rStyle w:val="10"/>
                <w:rFonts w:hint="eastAsia"/>
              </w:rPr>
              <w:t>注意事项：</w:t>
            </w:r>
            <w:r>
              <w:rPr>
                <w:rFonts w:hint="eastAsia"/>
              </w:rPr>
              <w:br w:type="textWrapping"/>
            </w:r>
            <w:r>
              <w:rPr>
                <w:rStyle w:val="11"/>
                <w:rFonts w:hint="eastAsia"/>
              </w:rPr>
              <w:t>1.使用本品应采取相应的安全防护措施，使用时穿戴长衣、长裤、帽子、口罩、手套等防护措施，避免皮肤接触及口鼻吸入。使用中不可吸烟、饮水及吃东西，使用后及时清洗手、脸等暴露部位皮肤并更换衣物。2.本品对鱼类等水生生物、蜜蜂、家蚕有毒，施药期间应避免对周围蜂群的影响、开花植物花期、蚕室和桑园附近禁用。远离水产养殖区、河塘等水域施药，禁止在河塘等水体中清洗施药器具。3.不能与强碱性物质混用。4.建议与其他作用机制不同的杀菌剂轮换使用，以延缓抗药性产生。5.用过的容器应妥善处理，不可做他用，也不可随意丢弃。6.孕妇及哺乳期妇女应避免接触。</w:t>
            </w:r>
          </w:p>
        </w:tc>
      </w:tr>
      <w:tr w14:paraId="1A078E34">
        <w:tblPrEx>
          <w:tblCellMar>
            <w:top w:w="0" w:type="dxa"/>
            <w:left w:w="0" w:type="dxa"/>
            <w:bottom w:w="0" w:type="dxa"/>
            <w:right w:w="0" w:type="dxa"/>
          </w:tblCellMar>
        </w:tblPrEx>
        <w:trPr>
          <w:wBefore w:w="0" w:type="auto"/>
          <w:tblCellSpacing w:w="0" w:type="dxa"/>
        </w:trPr>
        <w:tc>
          <w:tcPr>
            <w:tcW w:w="0" w:type="auto"/>
            <w:noWrap w:val="0"/>
            <w:vAlign w:val="center"/>
          </w:tcPr>
          <w:p w14:paraId="6A2A69FA">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皮肤接触：脱去污染的衣物，立即用软布去除沾染农药，用大量清水和肥皂冲洗。眼睛溅入：立即用流动清水冲洗不少于15分钟。吸入：立即离开施药现场，转移到空气清新处。误食：立即停止服用，用清水充分漱口后，携带农药标签到医院就诊。无特效解毒剂，对症治疗。 </w:t>
            </w:r>
          </w:p>
        </w:tc>
      </w:tr>
      <w:tr w14:paraId="13A47CD8">
        <w:tblPrEx>
          <w:tblCellMar>
            <w:top w:w="0" w:type="dxa"/>
            <w:left w:w="0" w:type="dxa"/>
            <w:bottom w:w="0" w:type="dxa"/>
            <w:right w:w="0" w:type="dxa"/>
          </w:tblCellMar>
        </w:tblPrEx>
        <w:trPr>
          <w:wBefore w:w="0" w:type="auto"/>
          <w:tblCellSpacing w:w="0" w:type="dxa"/>
        </w:trPr>
        <w:tc>
          <w:tcPr>
            <w:tcW w:w="0" w:type="auto"/>
            <w:noWrap w:val="0"/>
            <w:vAlign w:val="center"/>
          </w:tcPr>
          <w:p w14:paraId="2D43DF03">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本品应贮存在干燥、阴凉、通风、防雨处，远离火源或热源。置于儿童、无关人员及动物接触不的地方，并加锁保存。勿与食品、饮料、粮食、种子、饲料同贮同运。 </w:t>
            </w:r>
          </w:p>
        </w:tc>
      </w:tr>
      <w:tr w14:paraId="47EE53D4">
        <w:tblPrEx>
          <w:tblCellMar>
            <w:top w:w="0" w:type="dxa"/>
            <w:left w:w="0" w:type="dxa"/>
            <w:bottom w:w="0" w:type="dxa"/>
            <w:right w:w="0" w:type="dxa"/>
          </w:tblCellMar>
        </w:tblPrEx>
        <w:trPr>
          <w:wBefore w:w="0" w:type="auto"/>
          <w:tblCellSpacing w:w="0" w:type="dxa"/>
        </w:trPr>
        <w:tc>
          <w:tcPr>
            <w:tcW w:w="0" w:type="auto"/>
            <w:noWrap w:val="0"/>
            <w:vAlign w:val="center"/>
          </w:tcPr>
          <w:p w14:paraId="71CB2066">
            <w:r>
              <w:rPr>
                <w:rStyle w:val="10"/>
                <w:rFonts w:hint="eastAsia"/>
              </w:rPr>
              <w:t>质量保证期：</w:t>
            </w:r>
            <w:r>
              <w:rPr>
                <w:rStyle w:val="11"/>
                <w:rFonts w:hint="eastAsia"/>
              </w:rPr>
              <w:t>2年</w:t>
            </w:r>
          </w:p>
        </w:tc>
      </w:tr>
      <w:tr w14:paraId="1AD8E229">
        <w:tblPrEx>
          <w:tblCellMar>
            <w:top w:w="0" w:type="dxa"/>
            <w:left w:w="0" w:type="dxa"/>
            <w:bottom w:w="0" w:type="dxa"/>
            <w:right w:w="0" w:type="dxa"/>
          </w:tblCellMar>
        </w:tblPrEx>
        <w:trPr>
          <w:wBefore w:w="0" w:type="auto"/>
          <w:tblCellSpacing w:w="0" w:type="dxa"/>
        </w:trPr>
        <w:tc>
          <w:tcPr>
            <w:tcW w:w="0" w:type="auto"/>
            <w:noWrap w:val="0"/>
            <w:vAlign w:val="center"/>
          </w:tcPr>
          <w:p w14:paraId="7CFD95FF">
            <w:r>
              <w:rPr>
                <w:rStyle w:val="10"/>
                <w:rFonts w:hint="eastAsia"/>
              </w:rPr>
              <w:t>备注：</w:t>
            </w:r>
          </w:p>
        </w:tc>
      </w:tr>
    </w:tbl>
    <w:p w14:paraId="7E351DF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B34F267">
        <w:tblPrEx>
          <w:tblCellMar>
            <w:top w:w="0" w:type="dxa"/>
            <w:left w:w="0" w:type="dxa"/>
            <w:bottom w:w="0" w:type="dxa"/>
            <w:right w:w="0" w:type="dxa"/>
          </w:tblCellMar>
        </w:tblPrEx>
        <w:trPr>
          <w:wBefore w:w="0" w:type="auto"/>
          <w:tblCellSpacing w:w="0" w:type="dxa"/>
        </w:trPr>
        <w:tc>
          <w:tcPr>
            <w:tcW w:w="0" w:type="auto"/>
            <w:noWrap w:val="0"/>
            <w:vAlign w:val="center"/>
          </w:tcPr>
          <w:p w14:paraId="036506B2">
            <w:r>
              <w:rPr>
                <w:rStyle w:val="10"/>
                <w:rFonts w:hint="eastAsia"/>
              </w:rPr>
              <w:t>登记证号：</w:t>
            </w:r>
            <w:r>
              <w:rPr>
                <w:rFonts w:hint="eastAsia"/>
              </w:rPr>
              <w:t>PD20212207</w:t>
            </w:r>
          </w:p>
        </w:tc>
      </w:tr>
      <w:tr w14:paraId="2D69FC3E">
        <w:tblPrEx>
          <w:tblCellMar>
            <w:top w:w="0" w:type="dxa"/>
            <w:left w:w="0" w:type="dxa"/>
            <w:bottom w:w="0" w:type="dxa"/>
            <w:right w:w="0" w:type="dxa"/>
          </w:tblCellMar>
        </w:tblPrEx>
        <w:trPr>
          <w:wBefore w:w="0" w:type="auto"/>
          <w:tblCellSpacing w:w="0" w:type="dxa"/>
        </w:trPr>
        <w:tc>
          <w:tcPr>
            <w:tcW w:w="0" w:type="auto"/>
            <w:noWrap w:val="0"/>
            <w:vAlign w:val="center"/>
          </w:tcPr>
          <w:p w14:paraId="71F31D18">
            <w:r>
              <w:rPr>
                <w:rStyle w:val="10"/>
                <w:rFonts w:hint="eastAsia"/>
              </w:rPr>
              <w:t>登记证持有人：</w:t>
            </w:r>
            <w:r>
              <w:rPr>
                <w:rFonts w:hint="eastAsia"/>
              </w:rPr>
              <w:t>四川龙田丰生化有限公司</w:t>
            </w:r>
          </w:p>
        </w:tc>
      </w:tr>
      <w:tr w14:paraId="0D0874DD">
        <w:tblPrEx>
          <w:tblCellMar>
            <w:top w:w="0" w:type="dxa"/>
            <w:left w:w="0" w:type="dxa"/>
            <w:bottom w:w="0" w:type="dxa"/>
            <w:right w:w="0" w:type="dxa"/>
          </w:tblCellMar>
        </w:tblPrEx>
        <w:trPr>
          <w:wBefore w:w="0" w:type="auto"/>
          <w:tblCellSpacing w:w="0" w:type="dxa"/>
        </w:trPr>
        <w:tc>
          <w:tcPr>
            <w:tcW w:w="0" w:type="auto"/>
            <w:noWrap w:val="0"/>
            <w:vAlign w:val="center"/>
          </w:tcPr>
          <w:p w14:paraId="4AA7FDC1">
            <w:r>
              <w:rPr>
                <w:rStyle w:val="10"/>
                <w:rFonts w:hint="eastAsia"/>
              </w:rPr>
              <w:t>农药名称：</w:t>
            </w:r>
            <w:r>
              <w:rPr>
                <w:rFonts w:hint="eastAsia"/>
              </w:rPr>
              <w:t>精草铵膦铵盐</w:t>
            </w:r>
          </w:p>
        </w:tc>
      </w:tr>
      <w:tr w14:paraId="39D2A477">
        <w:tblPrEx>
          <w:tblCellMar>
            <w:top w:w="0" w:type="dxa"/>
            <w:left w:w="0" w:type="dxa"/>
            <w:bottom w:w="0" w:type="dxa"/>
            <w:right w:w="0" w:type="dxa"/>
          </w:tblCellMar>
        </w:tblPrEx>
        <w:trPr>
          <w:wBefore w:w="0" w:type="auto"/>
          <w:tblCellSpacing w:w="0" w:type="dxa"/>
        </w:trPr>
        <w:tc>
          <w:tcPr>
            <w:tcW w:w="0" w:type="auto"/>
            <w:noWrap w:val="0"/>
            <w:vAlign w:val="center"/>
          </w:tcPr>
          <w:p w14:paraId="3F94ADE1">
            <w:r>
              <w:rPr>
                <w:rStyle w:val="10"/>
                <w:rFonts w:hint="eastAsia"/>
              </w:rPr>
              <w:t>剂型：</w:t>
            </w:r>
            <w:r>
              <w:rPr>
                <w:rFonts w:hint="eastAsia"/>
              </w:rPr>
              <w:t>可溶液剂</w:t>
            </w:r>
          </w:p>
        </w:tc>
      </w:tr>
      <w:tr w14:paraId="7CA0C892">
        <w:tblPrEx>
          <w:tblCellMar>
            <w:top w:w="0" w:type="dxa"/>
            <w:left w:w="0" w:type="dxa"/>
            <w:bottom w:w="0" w:type="dxa"/>
            <w:right w:w="0" w:type="dxa"/>
          </w:tblCellMar>
        </w:tblPrEx>
        <w:trPr>
          <w:wBefore w:w="0" w:type="auto"/>
          <w:tblCellSpacing w:w="0" w:type="dxa"/>
        </w:trPr>
        <w:tc>
          <w:tcPr>
            <w:tcW w:w="0" w:type="auto"/>
            <w:noWrap w:val="0"/>
            <w:vAlign w:val="center"/>
          </w:tcPr>
          <w:p w14:paraId="40B1806B">
            <w:r>
              <w:rPr>
                <w:rStyle w:val="10"/>
                <w:rFonts w:hint="eastAsia"/>
              </w:rPr>
              <w:t>毒性及其标识：</w:t>
            </w:r>
            <w:r>
              <w:rPr>
                <w:rFonts w:hint="eastAsia"/>
              </w:rPr>
              <w:t xml:space="preserve"> </w:t>
            </w:r>
            <w:r>
              <w:rPr>
                <w:lang/>
              </w:rPr>
              <w:drawing>
                <wp:inline distT="0" distB="0" distL="114300" distR="114300">
                  <wp:extent cx="476250" cy="323850"/>
                  <wp:effectExtent l="0" t="0" r="0" b="0"/>
                  <wp:docPr id="392" name="图片 39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E67C1C0">
        <w:tblPrEx>
          <w:tblCellMar>
            <w:top w:w="0" w:type="dxa"/>
            <w:left w:w="0" w:type="dxa"/>
            <w:bottom w:w="0" w:type="dxa"/>
            <w:right w:w="0" w:type="dxa"/>
          </w:tblCellMar>
        </w:tblPrEx>
        <w:trPr>
          <w:wBefore w:w="0" w:type="auto"/>
          <w:tblCellSpacing w:w="0" w:type="dxa"/>
        </w:trPr>
        <w:tc>
          <w:tcPr>
            <w:tcW w:w="0" w:type="auto"/>
            <w:noWrap w:val="0"/>
            <w:vAlign w:val="center"/>
          </w:tcPr>
          <w:p w14:paraId="3D8201AD">
            <w:r>
              <w:rPr>
                <w:rStyle w:val="10"/>
                <w:rFonts w:hint="eastAsia"/>
              </w:rPr>
              <w:t>总有效成分含量：</w:t>
            </w:r>
            <w:r>
              <w:rPr>
                <w:rFonts w:hint="eastAsia"/>
              </w:rPr>
              <w:t>10%</w:t>
            </w:r>
          </w:p>
        </w:tc>
      </w:tr>
      <w:tr w14:paraId="766D8AEF">
        <w:tblPrEx>
          <w:tblCellMar>
            <w:top w:w="0" w:type="dxa"/>
            <w:left w:w="0" w:type="dxa"/>
            <w:bottom w:w="0" w:type="dxa"/>
            <w:right w:w="0" w:type="dxa"/>
          </w:tblCellMar>
        </w:tblPrEx>
        <w:trPr>
          <w:wBefore w:w="0" w:type="auto"/>
          <w:tblCellSpacing w:w="0" w:type="dxa"/>
        </w:trPr>
        <w:tc>
          <w:tcPr>
            <w:tcW w:w="0" w:type="auto"/>
            <w:noWrap w:val="0"/>
            <w:vAlign w:val="center"/>
          </w:tcPr>
          <w:p w14:paraId="3210FB94">
            <w:r>
              <w:rPr>
                <w:rFonts w:hint="eastAsia"/>
              </w:rPr>
              <w:t xml:space="preserve">有效成分及其含量： </w:t>
            </w:r>
          </w:p>
          <w:p w14:paraId="686882E7">
            <w:r>
              <w:rPr>
                <w:rFonts w:hint="eastAsia"/>
              </w:rPr>
              <w:t xml:space="preserve">    精草铵膦10%    </w:t>
            </w:r>
          </w:p>
        </w:tc>
      </w:tr>
      <w:tr w14:paraId="30857EFA">
        <w:tblPrEx>
          <w:tblCellMar>
            <w:top w:w="0" w:type="dxa"/>
            <w:left w:w="0" w:type="dxa"/>
            <w:bottom w:w="0" w:type="dxa"/>
            <w:right w:w="0" w:type="dxa"/>
          </w:tblCellMar>
        </w:tblPrEx>
        <w:trPr>
          <w:wBefore w:w="0" w:type="auto"/>
          <w:tblCellSpacing w:w="0" w:type="dxa"/>
        </w:trPr>
        <w:tc>
          <w:tcPr>
            <w:tcW w:w="0" w:type="auto"/>
            <w:noWrap w:val="0"/>
            <w:vAlign w:val="center"/>
          </w:tcPr>
          <w:p w14:paraId="4DFBBA2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AB72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5B6228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4B8E2C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1940E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B68EBCE">
                  <w:r>
                    <w:rPr>
                      <w:rStyle w:val="11"/>
                      <w:rFonts w:hint="eastAsia"/>
                    </w:rPr>
                    <w:t>施用方式</w:t>
                  </w:r>
                </w:p>
              </w:tc>
            </w:tr>
            <w:tr w14:paraId="4D8A9D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13A7DD0">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B0A30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36361D">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AF6151">
                  <w:r>
                    <w:rPr>
                      <w:rStyle w:val="11"/>
                      <w:rFonts w:hint="eastAsia"/>
                    </w:rPr>
                    <w:t>茎叶喷雾</w:t>
                  </w:r>
                </w:p>
              </w:tc>
            </w:tr>
          </w:tbl>
          <w:p w14:paraId="7CF7A453">
            <w:pPr>
              <w:rPr>
                <w:rFonts w:ascii="Times New Roman" w:hAnsi="Times New Roman" w:cs="Times New Roman"/>
                <w:sz w:val="20"/>
                <w:szCs w:val="20"/>
              </w:rPr>
            </w:pPr>
          </w:p>
        </w:tc>
      </w:tr>
      <w:tr w14:paraId="0399F133">
        <w:tblPrEx>
          <w:tblCellMar>
            <w:top w:w="0" w:type="dxa"/>
            <w:left w:w="0" w:type="dxa"/>
            <w:bottom w:w="0" w:type="dxa"/>
            <w:right w:w="0" w:type="dxa"/>
          </w:tblCellMar>
        </w:tblPrEx>
        <w:trPr>
          <w:wBefore w:w="0" w:type="auto"/>
          <w:tblCellSpacing w:w="0" w:type="dxa"/>
        </w:trPr>
        <w:tc>
          <w:tcPr>
            <w:tcW w:w="0" w:type="auto"/>
            <w:noWrap w:val="0"/>
            <w:vAlign w:val="center"/>
          </w:tcPr>
          <w:p w14:paraId="16DF0B7C">
            <w:r>
              <w:rPr>
                <w:rStyle w:val="10"/>
                <w:rFonts w:hint="eastAsia"/>
              </w:rPr>
              <w:t>使用技术要求:</w:t>
            </w:r>
            <w:r>
              <w:rPr>
                <w:rFonts w:hint="eastAsia"/>
              </w:rPr>
              <w:br w:type="textWrapping"/>
            </w:r>
            <w:r>
              <w:rPr>
                <w:rStyle w:val="11"/>
                <w:rFonts w:hint="eastAsia"/>
              </w:rPr>
              <w:t>在非耕地杂草旺盛生长期茎叶喷雾施药1次，均匀喷雾，确保杂草喷湿喷透。若杂草草龄较大或杂草密度较大时应使用推荐剂量的高剂量。</w:t>
            </w:r>
          </w:p>
        </w:tc>
      </w:tr>
      <w:tr w14:paraId="739DEF07">
        <w:tblPrEx>
          <w:tblCellMar>
            <w:top w:w="0" w:type="dxa"/>
            <w:left w:w="0" w:type="dxa"/>
            <w:bottom w:w="0" w:type="dxa"/>
            <w:right w:w="0" w:type="dxa"/>
          </w:tblCellMar>
        </w:tblPrEx>
        <w:trPr>
          <w:wBefore w:w="0" w:type="auto"/>
          <w:tblCellSpacing w:w="0" w:type="dxa"/>
        </w:trPr>
        <w:tc>
          <w:tcPr>
            <w:tcW w:w="0" w:type="auto"/>
            <w:noWrap w:val="0"/>
            <w:vAlign w:val="center"/>
          </w:tcPr>
          <w:p w14:paraId="7BDD5439">
            <w:r>
              <w:rPr>
                <w:rStyle w:val="10"/>
                <w:rFonts w:hint="eastAsia"/>
              </w:rPr>
              <w:t>产品性能:</w:t>
            </w:r>
            <w:r>
              <w:rPr>
                <w:rFonts w:hint="eastAsia"/>
              </w:rPr>
              <w:br w:type="textWrapping"/>
            </w:r>
            <w:r>
              <w:rPr>
                <w:rStyle w:val="11"/>
                <w:rFonts w:hint="eastAsia"/>
              </w:rPr>
              <w:t>本品是一种非选择性触杀型除草剂。</w:t>
            </w:r>
          </w:p>
        </w:tc>
      </w:tr>
      <w:tr w14:paraId="021370B5">
        <w:tblPrEx>
          <w:tblCellMar>
            <w:top w:w="0" w:type="dxa"/>
            <w:left w:w="0" w:type="dxa"/>
            <w:bottom w:w="0" w:type="dxa"/>
            <w:right w:w="0" w:type="dxa"/>
          </w:tblCellMar>
        </w:tblPrEx>
        <w:trPr>
          <w:wBefore w:w="0" w:type="auto"/>
          <w:tblCellSpacing w:w="0" w:type="dxa"/>
        </w:trPr>
        <w:tc>
          <w:tcPr>
            <w:tcW w:w="0" w:type="auto"/>
            <w:noWrap w:val="0"/>
            <w:vAlign w:val="center"/>
          </w:tcPr>
          <w:p w14:paraId="35F8959C">
            <w:r>
              <w:rPr>
                <w:rStyle w:val="10"/>
                <w:rFonts w:hint="eastAsia"/>
              </w:rPr>
              <w:t>注意事项：</w:t>
            </w:r>
            <w:r>
              <w:rPr>
                <w:rFonts w:hint="eastAsia"/>
              </w:rPr>
              <w:br w:type="textWrapping"/>
            </w:r>
            <w:r>
              <w:rPr>
                <w:rStyle w:val="11"/>
                <w:rFonts w:hint="eastAsia"/>
              </w:rPr>
              <w:t>1.施药过程中若遇大风、大雨、积水等影响喷雾效果的情形时应停止施药，并防止雾滴飘移到其他地块。2.禁止在田间道路、田埂、果树行间、休耕地、林场林地等农林业区域使用。3.施用时尽量做好身体各部位科学合理的防护，采取正确的施药方式。注意个人防护，穿长衣长裤、戴手套、眼镜、戴口罩等；施药时不能吸烟、饮水等；施药后清洗干净手脸等。</w:t>
            </w:r>
            <w:r>
              <w:rPr>
                <w:rStyle w:val="11"/>
                <w:rFonts w:hint="eastAsia"/>
              </w:rPr>
              <w:t> </w:t>
            </w:r>
            <w:r>
              <w:rPr>
                <w:rStyle w:val="11"/>
                <w:rFonts w:hint="eastAsia"/>
              </w:rPr>
              <w:t>4.禁止在河塘等水体中清洗施药器具；</w:t>
            </w:r>
            <w:r>
              <w:rPr>
                <w:rStyle w:val="11"/>
                <w:rFonts w:hint="eastAsia"/>
              </w:rPr>
              <w:t> </w:t>
            </w:r>
            <w:r>
              <w:rPr>
                <w:rStyle w:val="11"/>
                <w:rFonts w:hint="eastAsia"/>
              </w:rPr>
              <w:t>蚕室及桑园附近禁用。5.废弃物要妥善处理，不能随意丢弃，也不能做他用。6.避免孕妇和哺乳期妇女接触本品。7.使用前请仔细阅读此标签，并严格按照标签说明使用。未尽使用情形，请结合当地实际情况，在农业技术人员指导下使用。</w:t>
            </w:r>
          </w:p>
        </w:tc>
      </w:tr>
      <w:tr w14:paraId="4AC28F47">
        <w:tblPrEx>
          <w:tblCellMar>
            <w:top w:w="0" w:type="dxa"/>
            <w:left w:w="0" w:type="dxa"/>
            <w:bottom w:w="0" w:type="dxa"/>
            <w:right w:w="0" w:type="dxa"/>
          </w:tblCellMar>
        </w:tblPrEx>
        <w:trPr>
          <w:wBefore w:w="0" w:type="auto"/>
          <w:tblCellSpacing w:w="0" w:type="dxa"/>
        </w:trPr>
        <w:tc>
          <w:tcPr>
            <w:tcW w:w="0" w:type="auto"/>
            <w:noWrap w:val="0"/>
            <w:vAlign w:val="center"/>
          </w:tcPr>
          <w:p w14:paraId="1DDC99EB">
            <w:r>
              <w:rPr>
                <w:rStyle w:val="10"/>
                <w:rFonts w:hint="eastAsia"/>
              </w:rPr>
              <w:t>中毒急救措施：</w:t>
            </w:r>
            <w:r>
              <w:rPr>
                <w:rFonts w:hint="eastAsia"/>
              </w:rPr>
              <w:br w:type="textWrapping"/>
            </w:r>
            <w:r>
              <w:rPr>
                <w:rStyle w:val="11"/>
                <w:rFonts w:hint="eastAsia"/>
              </w:rPr>
              <w:t>本品对眼睛有刺激性。不慎误服：用清水将嘴清洗干净，不要自行引吐，携此标签送医诊治。医生洗胃时，应注意保护气管和食管；不慎吸入，应将病人移至空气流通处；不慎眼睛溅入或接触皮肤，应用大量清水冲洗至少15分钟。</w:t>
            </w:r>
          </w:p>
        </w:tc>
      </w:tr>
      <w:tr w14:paraId="42D3B24E">
        <w:tblPrEx>
          <w:tblCellMar>
            <w:top w:w="0" w:type="dxa"/>
            <w:left w:w="0" w:type="dxa"/>
            <w:bottom w:w="0" w:type="dxa"/>
            <w:right w:w="0" w:type="dxa"/>
          </w:tblCellMar>
        </w:tblPrEx>
        <w:trPr>
          <w:wBefore w:w="0" w:type="auto"/>
          <w:tblCellSpacing w:w="0" w:type="dxa"/>
        </w:trPr>
        <w:tc>
          <w:tcPr>
            <w:tcW w:w="0" w:type="auto"/>
            <w:noWrap w:val="0"/>
            <w:vAlign w:val="center"/>
          </w:tcPr>
          <w:p w14:paraId="0AEC4EBB">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同贮同运。装卸时，注意轻拿轻放，禁止说笑打闹、吃、喝、抽烟；运输时要防潮防晒。</w:t>
            </w:r>
          </w:p>
        </w:tc>
      </w:tr>
      <w:tr w14:paraId="4E5157B7">
        <w:tblPrEx>
          <w:tblCellMar>
            <w:top w:w="0" w:type="dxa"/>
            <w:left w:w="0" w:type="dxa"/>
            <w:bottom w:w="0" w:type="dxa"/>
            <w:right w:w="0" w:type="dxa"/>
          </w:tblCellMar>
        </w:tblPrEx>
        <w:trPr>
          <w:wBefore w:w="0" w:type="auto"/>
          <w:tblCellSpacing w:w="0" w:type="dxa"/>
        </w:trPr>
        <w:tc>
          <w:tcPr>
            <w:tcW w:w="0" w:type="auto"/>
            <w:noWrap w:val="0"/>
            <w:vAlign w:val="center"/>
          </w:tcPr>
          <w:p w14:paraId="2841B4A7">
            <w:r>
              <w:rPr>
                <w:rStyle w:val="10"/>
                <w:rFonts w:hint="eastAsia"/>
              </w:rPr>
              <w:t>质量保证期：</w:t>
            </w:r>
            <w:r>
              <w:rPr>
                <w:rStyle w:val="11"/>
                <w:rFonts w:hint="eastAsia"/>
              </w:rPr>
              <w:t>2年</w:t>
            </w:r>
          </w:p>
        </w:tc>
      </w:tr>
      <w:tr w14:paraId="078FBF50">
        <w:tblPrEx>
          <w:tblCellMar>
            <w:top w:w="0" w:type="dxa"/>
            <w:left w:w="0" w:type="dxa"/>
            <w:bottom w:w="0" w:type="dxa"/>
            <w:right w:w="0" w:type="dxa"/>
          </w:tblCellMar>
        </w:tblPrEx>
        <w:trPr>
          <w:wBefore w:w="0" w:type="auto"/>
          <w:tblCellSpacing w:w="0" w:type="dxa"/>
        </w:trPr>
        <w:tc>
          <w:tcPr>
            <w:tcW w:w="0" w:type="auto"/>
            <w:noWrap w:val="0"/>
            <w:vAlign w:val="center"/>
          </w:tcPr>
          <w:p w14:paraId="6E707B0D">
            <w:r>
              <w:rPr>
                <w:rStyle w:val="10"/>
                <w:rFonts w:hint="eastAsia"/>
              </w:rPr>
              <w:t>备注：</w:t>
            </w:r>
            <w:r>
              <w:rPr>
                <w:rFonts w:hint="eastAsia"/>
              </w:rPr>
              <w:br w:type="textWrapping"/>
            </w:r>
            <w:r>
              <w:rPr>
                <w:rStyle w:val="11"/>
                <w:rFonts w:hint="eastAsia"/>
              </w:rPr>
              <w:t>精草铵膦铵盐11%。</w:t>
            </w:r>
          </w:p>
        </w:tc>
      </w:tr>
    </w:tbl>
    <w:p w14:paraId="61A6F46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490B3EA">
        <w:tblPrEx>
          <w:tblCellMar>
            <w:top w:w="0" w:type="dxa"/>
            <w:left w:w="0" w:type="dxa"/>
            <w:bottom w:w="0" w:type="dxa"/>
            <w:right w:w="0" w:type="dxa"/>
          </w:tblCellMar>
        </w:tblPrEx>
        <w:trPr>
          <w:wBefore w:w="0" w:type="auto"/>
          <w:tblCellSpacing w:w="0" w:type="dxa"/>
        </w:trPr>
        <w:tc>
          <w:tcPr>
            <w:tcW w:w="0" w:type="auto"/>
            <w:noWrap w:val="0"/>
            <w:vAlign w:val="center"/>
          </w:tcPr>
          <w:p w14:paraId="14D5F914">
            <w:r>
              <w:rPr>
                <w:rStyle w:val="10"/>
                <w:rFonts w:hint="eastAsia"/>
              </w:rPr>
              <w:t>登记证号：</w:t>
            </w:r>
            <w:r>
              <w:rPr>
                <w:rFonts w:hint="eastAsia"/>
              </w:rPr>
              <w:t>WP20210256</w:t>
            </w:r>
          </w:p>
        </w:tc>
      </w:tr>
      <w:tr w14:paraId="2C634190">
        <w:tblPrEx>
          <w:tblCellMar>
            <w:top w:w="0" w:type="dxa"/>
            <w:left w:w="0" w:type="dxa"/>
            <w:bottom w:w="0" w:type="dxa"/>
            <w:right w:w="0" w:type="dxa"/>
          </w:tblCellMar>
        </w:tblPrEx>
        <w:trPr>
          <w:wBefore w:w="0" w:type="auto"/>
          <w:tblCellSpacing w:w="0" w:type="dxa"/>
        </w:trPr>
        <w:tc>
          <w:tcPr>
            <w:tcW w:w="0" w:type="auto"/>
            <w:noWrap w:val="0"/>
            <w:vAlign w:val="center"/>
          </w:tcPr>
          <w:p w14:paraId="65397A2A">
            <w:r>
              <w:rPr>
                <w:rStyle w:val="10"/>
                <w:rFonts w:hint="eastAsia"/>
              </w:rPr>
              <w:t>登记证持有人：</w:t>
            </w:r>
            <w:r>
              <w:rPr>
                <w:rFonts w:hint="eastAsia"/>
              </w:rPr>
              <w:t>广州市金农科技开发有限公司</w:t>
            </w:r>
          </w:p>
        </w:tc>
      </w:tr>
      <w:tr w14:paraId="490F7132">
        <w:tblPrEx>
          <w:tblCellMar>
            <w:top w:w="0" w:type="dxa"/>
            <w:left w:w="0" w:type="dxa"/>
            <w:bottom w:w="0" w:type="dxa"/>
            <w:right w:w="0" w:type="dxa"/>
          </w:tblCellMar>
        </w:tblPrEx>
        <w:trPr>
          <w:wBefore w:w="0" w:type="auto"/>
          <w:tblCellSpacing w:w="0" w:type="dxa"/>
        </w:trPr>
        <w:tc>
          <w:tcPr>
            <w:tcW w:w="0" w:type="auto"/>
            <w:noWrap w:val="0"/>
            <w:vAlign w:val="center"/>
          </w:tcPr>
          <w:p w14:paraId="7341868E">
            <w:r>
              <w:rPr>
                <w:rStyle w:val="10"/>
                <w:rFonts w:hint="eastAsia"/>
              </w:rPr>
              <w:t>农药名称：</w:t>
            </w:r>
            <w:r>
              <w:rPr>
                <w:rFonts w:hint="eastAsia"/>
              </w:rPr>
              <w:t>氯氰·敌敌畏</w:t>
            </w:r>
          </w:p>
        </w:tc>
      </w:tr>
      <w:tr w14:paraId="19529CFF">
        <w:tblPrEx>
          <w:tblCellMar>
            <w:top w:w="0" w:type="dxa"/>
            <w:left w:w="0" w:type="dxa"/>
            <w:bottom w:w="0" w:type="dxa"/>
            <w:right w:w="0" w:type="dxa"/>
          </w:tblCellMar>
        </w:tblPrEx>
        <w:trPr>
          <w:wBefore w:w="0" w:type="auto"/>
          <w:tblCellSpacing w:w="0" w:type="dxa"/>
        </w:trPr>
        <w:tc>
          <w:tcPr>
            <w:tcW w:w="0" w:type="auto"/>
            <w:noWrap w:val="0"/>
            <w:vAlign w:val="center"/>
          </w:tcPr>
          <w:p w14:paraId="31F441E2">
            <w:r>
              <w:rPr>
                <w:rStyle w:val="10"/>
                <w:rFonts w:hint="eastAsia"/>
              </w:rPr>
              <w:t>剂型：</w:t>
            </w:r>
            <w:r>
              <w:rPr>
                <w:rFonts w:hint="eastAsia"/>
              </w:rPr>
              <w:t>乳油</w:t>
            </w:r>
          </w:p>
        </w:tc>
      </w:tr>
      <w:tr w14:paraId="112F93D9">
        <w:tblPrEx>
          <w:tblCellMar>
            <w:top w:w="0" w:type="dxa"/>
            <w:left w:w="0" w:type="dxa"/>
            <w:bottom w:w="0" w:type="dxa"/>
            <w:right w:w="0" w:type="dxa"/>
          </w:tblCellMar>
        </w:tblPrEx>
        <w:trPr>
          <w:wBefore w:w="0" w:type="auto"/>
          <w:tblCellSpacing w:w="0" w:type="dxa"/>
        </w:trPr>
        <w:tc>
          <w:tcPr>
            <w:tcW w:w="0" w:type="auto"/>
            <w:noWrap w:val="0"/>
            <w:vAlign w:val="center"/>
          </w:tcPr>
          <w:p w14:paraId="0988D491">
            <w:r>
              <w:rPr>
                <w:rStyle w:val="10"/>
                <w:rFonts w:hint="eastAsia"/>
              </w:rPr>
              <w:t>毒性及其标识：</w:t>
            </w:r>
            <w:r>
              <w:rPr>
                <w:rFonts w:hint="eastAsia"/>
              </w:rPr>
              <w:t xml:space="preserve"> </w:t>
            </w:r>
            <w:r>
              <w:rPr>
                <w:lang/>
              </w:rPr>
              <w:drawing>
                <wp:inline distT="0" distB="0" distL="114300" distR="114300">
                  <wp:extent cx="476250" cy="323850"/>
                  <wp:effectExtent l="0" t="0" r="0" b="0"/>
                  <wp:docPr id="393" name="图片 393"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1927A3CC">
        <w:tblPrEx>
          <w:tblCellMar>
            <w:top w:w="0" w:type="dxa"/>
            <w:left w:w="0" w:type="dxa"/>
            <w:bottom w:w="0" w:type="dxa"/>
            <w:right w:w="0" w:type="dxa"/>
          </w:tblCellMar>
        </w:tblPrEx>
        <w:trPr>
          <w:wBefore w:w="0" w:type="auto"/>
          <w:tblCellSpacing w:w="0" w:type="dxa"/>
        </w:trPr>
        <w:tc>
          <w:tcPr>
            <w:tcW w:w="0" w:type="auto"/>
            <w:noWrap w:val="0"/>
            <w:vAlign w:val="center"/>
          </w:tcPr>
          <w:p w14:paraId="58132774">
            <w:r>
              <w:rPr>
                <w:rStyle w:val="10"/>
                <w:rFonts w:hint="eastAsia"/>
              </w:rPr>
              <w:t>总有效成分含量：</w:t>
            </w:r>
            <w:r>
              <w:rPr>
                <w:rFonts w:hint="eastAsia"/>
              </w:rPr>
              <w:t>20%</w:t>
            </w:r>
          </w:p>
        </w:tc>
      </w:tr>
      <w:tr w14:paraId="352656FC">
        <w:tblPrEx>
          <w:tblCellMar>
            <w:top w:w="0" w:type="dxa"/>
            <w:left w:w="0" w:type="dxa"/>
            <w:bottom w:w="0" w:type="dxa"/>
            <w:right w:w="0" w:type="dxa"/>
          </w:tblCellMar>
        </w:tblPrEx>
        <w:trPr>
          <w:wBefore w:w="0" w:type="auto"/>
          <w:tblCellSpacing w:w="0" w:type="dxa"/>
        </w:trPr>
        <w:tc>
          <w:tcPr>
            <w:tcW w:w="0" w:type="auto"/>
            <w:noWrap w:val="0"/>
            <w:vAlign w:val="center"/>
          </w:tcPr>
          <w:p w14:paraId="76D41C49">
            <w:r>
              <w:rPr>
                <w:rFonts w:hint="eastAsia"/>
              </w:rPr>
              <w:t xml:space="preserve">有效成分及其含量： </w:t>
            </w:r>
          </w:p>
          <w:p w14:paraId="06F74816">
            <w:r>
              <w:rPr>
                <w:rFonts w:hint="eastAsia"/>
              </w:rPr>
              <w:t xml:space="preserve">    敌敌畏18%    氯氰菊酯2%    </w:t>
            </w:r>
          </w:p>
        </w:tc>
      </w:tr>
      <w:tr w14:paraId="13AAD0AF">
        <w:tblPrEx>
          <w:tblCellMar>
            <w:top w:w="0" w:type="dxa"/>
            <w:left w:w="0" w:type="dxa"/>
            <w:bottom w:w="0" w:type="dxa"/>
            <w:right w:w="0" w:type="dxa"/>
          </w:tblCellMar>
        </w:tblPrEx>
        <w:trPr>
          <w:wBefore w:w="0" w:type="auto"/>
          <w:tblCellSpacing w:w="0" w:type="dxa"/>
        </w:trPr>
        <w:tc>
          <w:tcPr>
            <w:tcW w:w="0" w:type="auto"/>
            <w:noWrap w:val="0"/>
            <w:vAlign w:val="center"/>
          </w:tcPr>
          <w:p w14:paraId="2C69D2C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E7CD1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AF41E2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43C4F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AE055D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58CEDD4">
                  <w:r>
                    <w:rPr>
                      <w:rStyle w:val="11"/>
                      <w:rFonts w:hint="eastAsia"/>
                    </w:rPr>
                    <w:t>施用方式</w:t>
                  </w:r>
                </w:p>
              </w:tc>
            </w:tr>
            <w:tr w14:paraId="3FF5FF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4A27801">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603ED5">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470134">
                  <w:r>
                    <w:rPr>
                      <w:rStyle w:val="11"/>
                      <w:rFonts w:hint="eastAsia"/>
                    </w:rPr>
                    <w:t>0.05毫升/平方米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230190">
                  <w:r>
                    <w:rPr>
                      <w:rStyle w:val="11"/>
                      <w:rFonts w:hint="eastAsia"/>
                    </w:rPr>
                    <w:t>喷洒</w:t>
                  </w:r>
                </w:p>
              </w:tc>
            </w:tr>
            <w:tr w14:paraId="35AEC9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3F37ED6">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B307F3">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AC8951">
                  <w:r>
                    <w:rPr>
                      <w:rStyle w:val="11"/>
                      <w:rFonts w:hint="eastAsia"/>
                    </w:rPr>
                    <w:t>0.05毫升/平方米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5841E5">
                  <w:r>
                    <w:rPr>
                      <w:rStyle w:val="11"/>
                      <w:rFonts w:hint="eastAsia"/>
                    </w:rPr>
                    <w:t>喷洒</w:t>
                  </w:r>
                </w:p>
              </w:tc>
            </w:tr>
          </w:tbl>
          <w:p w14:paraId="5FD6B202">
            <w:pPr>
              <w:rPr>
                <w:rFonts w:ascii="Times New Roman" w:hAnsi="Times New Roman" w:cs="Times New Roman"/>
                <w:sz w:val="20"/>
                <w:szCs w:val="20"/>
              </w:rPr>
            </w:pPr>
          </w:p>
        </w:tc>
      </w:tr>
      <w:tr w14:paraId="79C7B70F">
        <w:tblPrEx>
          <w:tblCellMar>
            <w:top w:w="0" w:type="dxa"/>
            <w:left w:w="0" w:type="dxa"/>
            <w:bottom w:w="0" w:type="dxa"/>
            <w:right w:w="0" w:type="dxa"/>
          </w:tblCellMar>
        </w:tblPrEx>
        <w:trPr>
          <w:wBefore w:w="0" w:type="auto"/>
          <w:tblCellSpacing w:w="0" w:type="dxa"/>
        </w:trPr>
        <w:tc>
          <w:tcPr>
            <w:tcW w:w="0" w:type="auto"/>
            <w:noWrap w:val="0"/>
            <w:vAlign w:val="center"/>
          </w:tcPr>
          <w:p w14:paraId="29FF04F2">
            <w:r>
              <w:rPr>
                <w:rStyle w:val="10"/>
                <w:rFonts w:hint="eastAsia"/>
              </w:rPr>
              <w:t>使用技术要求:</w:t>
            </w:r>
            <w:r>
              <w:rPr>
                <w:rFonts w:hint="eastAsia"/>
              </w:rPr>
              <w:br w:type="textWrapping"/>
            </w:r>
            <w:r>
              <w:rPr>
                <w:rStyle w:val="11"/>
                <w:rFonts w:hint="eastAsia"/>
              </w:rPr>
              <w:t>使用时将本品按上述用药量，稀释100倍，在容器中充分搅拌均匀后加入喷雾器。本品可用于室外环境驱杀蚊、蝇。注意喷均匀；大风天或阴雨天，请勿施药。</w:t>
            </w:r>
          </w:p>
        </w:tc>
      </w:tr>
      <w:tr w14:paraId="72F0DDB2">
        <w:tblPrEx>
          <w:tblCellMar>
            <w:top w:w="0" w:type="dxa"/>
            <w:left w:w="0" w:type="dxa"/>
            <w:bottom w:w="0" w:type="dxa"/>
            <w:right w:w="0" w:type="dxa"/>
          </w:tblCellMar>
        </w:tblPrEx>
        <w:trPr>
          <w:wBefore w:w="0" w:type="auto"/>
          <w:tblCellSpacing w:w="0" w:type="dxa"/>
        </w:trPr>
        <w:tc>
          <w:tcPr>
            <w:tcW w:w="0" w:type="auto"/>
            <w:noWrap w:val="0"/>
            <w:vAlign w:val="center"/>
          </w:tcPr>
          <w:p w14:paraId="0BB296B6">
            <w:r>
              <w:rPr>
                <w:rStyle w:val="10"/>
                <w:rFonts w:hint="eastAsia"/>
              </w:rPr>
              <w:t>产品性能:</w:t>
            </w:r>
            <w:r>
              <w:rPr>
                <w:rFonts w:hint="eastAsia"/>
              </w:rPr>
              <w:br w:type="textWrapping"/>
            </w:r>
            <w:r>
              <w:rPr>
                <w:rStyle w:val="11"/>
                <w:rFonts w:hint="eastAsia"/>
              </w:rPr>
              <w:t>本产品为有机磷与拟除虫菊酯类农药的混剂。具有触杀、胃毒和一定的熏蒸作用。对室外环境的蚊、蝇害虫具有防治效果。</w:t>
            </w:r>
          </w:p>
        </w:tc>
      </w:tr>
      <w:tr w14:paraId="7FB618B3">
        <w:tblPrEx>
          <w:tblCellMar>
            <w:top w:w="0" w:type="dxa"/>
            <w:left w:w="0" w:type="dxa"/>
            <w:bottom w:w="0" w:type="dxa"/>
            <w:right w:w="0" w:type="dxa"/>
          </w:tblCellMar>
        </w:tblPrEx>
        <w:trPr>
          <w:wBefore w:w="0" w:type="auto"/>
          <w:tblCellSpacing w:w="0" w:type="dxa"/>
        </w:trPr>
        <w:tc>
          <w:tcPr>
            <w:tcW w:w="0" w:type="auto"/>
            <w:noWrap w:val="0"/>
            <w:vAlign w:val="center"/>
          </w:tcPr>
          <w:p w14:paraId="50393462">
            <w:r>
              <w:rPr>
                <w:rStyle w:val="10"/>
                <w:rFonts w:hint="eastAsia"/>
              </w:rPr>
              <w:t>注意事项：</w:t>
            </w:r>
            <w:r>
              <w:rPr>
                <w:rFonts w:hint="eastAsia"/>
              </w:rPr>
              <w:br w:type="textWrapping"/>
            </w:r>
            <w:r>
              <w:rPr>
                <w:rStyle w:val="11"/>
                <w:rFonts w:hint="eastAsia"/>
              </w:rPr>
              <w:t>1. 对人、畜有毒，本品对眼睛、皮肤有刺激性，使用时避免接触眼睛、皮肤，穿戴长衣、长裤、帽子、口罩、手套等防护措施。避免吸入药液。施药期间不可吃东西和饮水。施药后应及时洗手和洗脸。 2. 本品对环境有危害，对鱼类及水生生物高毒，特别注意对水体的污染。水产养殖区、河塘等水体附近禁用，禁止在河塘等水域清洗施药器具；（周围）开花植物花期禁用，使用时应密切关注对附近蜂群的影响；桑园及蚕室附近禁用；鸟类保护区附近禁用。 3. 用过的容器应妥善处理，不可做他用，也不可随意丢弃。 4. 本品不可与强碱性或强酸性物质混合使用。 5. 敏感体质人士、孕妇及哺乳期妇女请远离本品及施药场所。 过敏者禁用，使用中有任何不良反应，请及时就医。勿向人体及食物使用。 6. 本品仅限专业人员室外使用。禁止用于室内环境。</w:t>
            </w:r>
          </w:p>
        </w:tc>
      </w:tr>
      <w:tr w14:paraId="61D7DA26">
        <w:tblPrEx>
          <w:tblCellMar>
            <w:top w:w="0" w:type="dxa"/>
            <w:left w:w="0" w:type="dxa"/>
            <w:bottom w:w="0" w:type="dxa"/>
            <w:right w:w="0" w:type="dxa"/>
          </w:tblCellMar>
        </w:tblPrEx>
        <w:trPr>
          <w:wBefore w:w="0" w:type="auto"/>
          <w:tblCellSpacing w:w="0" w:type="dxa"/>
        </w:trPr>
        <w:tc>
          <w:tcPr>
            <w:tcW w:w="0" w:type="auto"/>
            <w:noWrap w:val="0"/>
            <w:vAlign w:val="center"/>
          </w:tcPr>
          <w:p w14:paraId="5DFD2CD0">
            <w:r>
              <w:rPr>
                <w:rStyle w:val="10"/>
                <w:rFonts w:hint="eastAsia"/>
              </w:rPr>
              <w:t>中毒急救措施：</w:t>
            </w:r>
            <w:r>
              <w:rPr>
                <w:rFonts w:hint="eastAsia"/>
              </w:rPr>
              <w:br w:type="textWrapping"/>
            </w:r>
            <w:r>
              <w:rPr>
                <w:rStyle w:val="11"/>
                <w:rFonts w:hint="eastAsia"/>
              </w:rPr>
              <w:t>中毒症状：急性中毒多在12小时内发病，口服立即发病。表现为头昏、恶心、呕吐、抽搐，惊厥等。如不慎吸入，应将病人移至空气流通处。不慎吸入：应将病人移至空气流通处。不慎接触皮肤或溅入眼睛，应用大量清水冲洗至少15分钟。如误服则应立即携此标签将病人送医院诊治。可用阿托品1~5mg皮下或静脉注射(按中毒轻重而定)，或用解磷定0.4~1.2g静脉注射(按中毒轻重而定)；禁用吗啡、茶硷、吩噻嗪、利血平。也可引吐、洗胃、导泻 (清醒时才能引吐)。</w:t>
            </w:r>
          </w:p>
        </w:tc>
      </w:tr>
      <w:tr w14:paraId="1727046A">
        <w:tblPrEx>
          <w:tblCellMar>
            <w:top w:w="0" w:type="dxa"/>
            <w:left w:w="0" w:type="dxa"/>
            <w:bottom w:w="0" w:type="dxa"/>
            <w:right w:w="0" w:type="dxa"/>
          </w:tblCellMar>
        </w:tblPrEx>
        <w:trPr>
          <w:wBefore w:w="0" w:type="auto"/>
          <w:tblCellSpacing w:w="0" w:type="dxa"/>
        </w:trPr>
        <w:tc>
          <w:tcPr>
            <w:tcW w:w="0" w:type="auto"/>
            <w:noWrap w:val="0"/>
            <w:vAlign w:val="center"/>
          </w:tcPr>
          <w:p w14:paraId="270079E7">
            <w:r>
              <w:rPr>
                <w:rStyle w:val="10"/>
                <w:rFonts w:hint="eastAsia"/>
              </w:rPr>
              <w:t>储存和运输方法：</w:t>
            </w:r>
            <w:r>
              <w:rPr>
                <w:rFonts w:hint="eastAsia"/>
              </w:rPr>
              <w:br w:type="textWrapping"/>
            </w:r>
            <w:r>
              <w:rPr>
                <w:rStyle w:val="11"/>
                <w:rFonts w:hint="eastAsia"/>
              </w:rPr>
              <w:t>本品为易燃液体，应贮存在干燥、阴凉、通风、防雨处，远离火源或热源。置于儿童、无关人员触及不到之处，并加锁。勿与食品、饮料、饲料、粮食等同贮同运。运输前先检查包装容器是否完整、密封。运输过程中确保容器不泄漏、不倒塌、不坠落、不损坏。</w:t>
            </w:r>
          </w:p>
        </w:tc>
      </w:tr>
      <w:tr w14:paraId="7831CEA8">
        <w:tblPrEx>
          <w:tblCellMar>
            <w:top w:w="0" w:type="dxa"/>
            <w:left w:w="0" w:type="dxa"/>
            <w:bottom w:w="0" w:type="dxa"/>
            <w:right w:w="0" w:type="dxa"/>
          </w:tblCellMar>
        </w:tblPrEx>
        <w:trPr>
          <w:wBefore w:w="0" w:type="auto"/>
          <w:tblCellSpacing w:w="0" w:type="dxa"/>
        </w:trPr>
        <w:tc>
          <w:tcPr>
            <w:tcW w:w="0" w:type="auto"/>
            <w:noWrap w:val="0"/>
            <w:vAlign w:val="center"/>
          </w:tcPr>
          <w:p w14:paraId="2B5DAECF">
            <w:r>
              <w:rPr>
                <w:rStyle w:val="10"/>
                <w:rFonts w:hint="eastAsia"/>
              </w:rPr>
              <w:t>质量保证期：</w:t>
            </w:r>
            <w:r>
              <w:rPr>
                <w:rStyle w:val="11"/>
                <w:rFonts w:hint="eastAsia"/>
              </w:rPr>
              <w:t>2年</w:t>
            </w:r>
          </w:p>
        </w:tc>
      </w:tr>
      <w:tr w14:paraId="42BA61A8">
        <w:tblPrEx>
          <w:tblCellMar>
            <w:top w:w="0" w:type="dxa"/>
            <w:left w:w="0" w:type="dxa"/>
            <w:bottom w:w="0" w:type="dxa"/>
            <w:right w:w="0" w:type="dxa"/>
          </w:tblCellMar>
        </w:tblPrEx>
        <w:trPr>
          <w:wBefore w:w="0" w:type="auto"/>
          <w:tblCellSpacing w:w="0" w:type="dxa"/>
        </w:trPr>
        <w:tc>
          <w:tcPr>
            <w:tcW w:w="0" w:type="auto"/>
            <w:noWrap w:val="0"/>
            <w:vAlign w:val="center"/>
          </w:tcPr>
          <w:p w14:paraId="7E94FEFF">
            <w:r>
              <w:rPr>
                <w:rStyle w:val="10"/>
                <w:rFonts w:hint="eastAsia"/>
              </w:rPr>
              <w:t>备注：</w:t>
            </w:r>
          </w:p>
        </w:tc>
      </w:tr>
    </w:tbl>
    <w:p w14:paraId="1F131EB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F311E15">
        <w:tblPrEx>
          <w:tblCellMar>
            <w:top w:w="0" w:type="dxa"/>
            <w:left w:w="0" w:type="dxa"/>
            <w:bottom w:w="0" w:type="dxa"/>
            <w:right w:w="0" w:type="dxa"/>
          </w:tblCellMar>
        </w:tblPrEx>
        <w:trPr>
          <w:wBefore w:w="0" w:type="auto"/>
          <w:tblCellSpacing w:w="0" w:type="dxa"/>
        </w:trPr>
        <w:tc>
          <w:tcPr>
            <w:tcW w:w="0" w:type="auto"/>
            <w:noWrap w:val="0"/>
            <w:vAlign w:val="center"/>
          </w:tcPr>
          <w:p w14:paraId="0A78DF86">
            <w:r>
              <w:rPr>
                <w:rStyle w:val="10"/>
                <w:rFonts w:hint="eastAsia"/>
              </w:rPr>
              <w:t>登记证号：</w:t>
            </w:r>
            <w:r>
              <w:rPr>
                <w:rFonts w:hint="eastAsia"/>
              </w:rPr>
              <w:t>PD20212285</w:t>
            </w:r>
          </w:p>
        </w:tc>
      </w:tr>
      <w:tr w14:paraId="4309EE35">
        <w:tblPrEx>
          <w:tblCellMar>
            <w:top w:w="0" w:type="dxa"/>
            <w:left w:w="0" w:type="dxa"/>
            <w:bottom w:w="0" w:type="dxa"/>
            <w:right w:w="0" w:type="dxa"/>
          </w:tblCellMar>
        </w:tblPrEx>
        <w:trPr>
          <w:wBefore w:w="0" w:type="auto"/>
          <w:tblCellSpacing w:w="0" w:type="dxa"/>
        </w:trPr>
        <w:tc>
          <w:tcPr>
            <w:tcW w:w="0" w:type="auto"/>
            <w:noWrap w:val="0"/>
            <w:vAlign w:val="center"/>
          </w:tcPr>
          <w:p w14:paraId="1475EE45">
            <w:r>
              <w:rPr>
                <w:rStyle w:val="10"/>
                <w:rFonts w:hint="eastAsia"/>
              </w:rPr>
              <w:t>登记证持有人：</w:t>
            </w:r>
            <w:r>
              <w:rPr>
                <w:rFonts w:hint="eastAsia"/>
              </w:rPr>
              <w:t>淄博新农基作物科学有限公司</w:t>
            </w:r>
          </w:p>
        </w:tc>
      </w:tr>
      <w:tr w14:paraId="1982F973">
        <w:tblPrEx>
          <w:tblCellMar>
            <w:top w:w="0" w:type="dxa"/>
            <w:left w:w="0" w:type="dxa"/>
            <w:bottom w:w="0" w:type="dxa"/>
            <w:right w:w="0" w:type="dxa"/>
          </w:tblCellMar>
        </w:tblPrEx>
        <w:trPr>
          <w:wBefore w:w="0" w:type="auto"/>
          <w:tblCellSpacing w:w="0" w:type="dxa"/>
        </w:trPr>
        <w:tc>
          <w:tcPr>
            <w:tcW w:w="0" w:type="auto"/>
            <w:noWrap w:val="0"/>
            <w:vAlign w:val="center"/>
          </w:tcPr>
          <w:p w14:paraId="1E4EC3FF">
            <w:r>
              <w:rPr>
                <w:rStyle w:val="10"/>
                <w:rFonts w:hint="eastAsia"/>
              </w:rPr>
              <w:t>农药名称：</w:t>
            </w:r>
            <w:r>
              <w:rPr>
                <w:rFonts w:hint="eastAsia"/>
              </w:rPr>
              <w:t>乙羧·草铵膦</w:t>
            </w:r>
          </w:p>
        </w:tc>
      </w:tr>
      <w:tr w14:paraId="6A177B9D">
        <w:tblPrEx>
          <w:tblCellMar>
            <w:top w:w="0" w:type="dxa"/>
            <w:left w:w="0" w:type="dxa"/>
            <w:bottom w:w="0" w:type="dxa"/>
            <w:right w:w="0" w:type="dxa"/>
          </w:tblCellMar>
        </w:tblPrEx>
        <w:trPr>
          <w:wBefore w:w="0" w:type="auto"/>
          <w:tblCellSpacing w:w="0" w:type="dxa"/>
        </w:trPr>
        <w:tc>
          <w:tcPr>
            <w:tcW w:w="0" w:type="auto"/>
            <w:noWrap w:val="0"/>
            <w:vAlign w:val="center"/>
          </w:tcPr>
          <w:p w14:paraId="59745A66">
            <w:r>
              <w:rPr>
                <w:rStyle w:val="10"/>
                <w:rFonts w:hint="eastAsia"/>
              </w:rPr>
              <w:t>剂型：</w:t>
            </w:r>
            <w:r>
              <w:rPr>
                <w:rFonts w:hint="eastAsia"/>
              </w:rPr>
              <w:t>可分散油悬浮剂</w:t>
            </w:r>
          </w:p>
        </w:tc>
      </w:tr>
      <w:tr w14:paraId="22152B93">
        <w:tblPrEx>
          <w:tblCellMar>
            <w:top w:w="0" w:type="dxa"/>
            <w:left w:w="0" w:type="dxa"/>
            <w:bottom w:w="0" w:type="dxa"/>
            <w:right w:w="0" w:type="dxa"/>
          </w:tblCellMar>
        </w:tblPrEx>
        <w:trPr>
          <w:wBefore w:w="0" w:type="auto"/>
          <w:tblCellSpacing w:w="0" w:type="dxa"/>
        </w:trPr>
        <w:tc>
          <w:tcPr>
            <w:tcW w:w="0" w:type="auto"/>
            <w:noWrap w:val="0"/>
            <w:vAlign w:val="center"/>
          </w:tcPr>
          <w:p w14:paraId="4A2DE03B">
            <w:r>
              <w:rPr>
                <w:rStyle w:val="10"/>
                <w:rFonts w:hint="eastAsia"/>
              </w:rPr>
              <w:t>毒性及其标识：</w:t>
            </w:r>
            <w:r>
              <w:rPr>
                <w:rFonts w:hint="eastAsia"/>
              </w:rPr>
              <w:t xml:space="preserve"> </w:t>
            </w:r>
            <w:r>
              <w:rPr>
                <w:lang/>
              </w:rPr>
              <w:drawing>
                <wp:inline distT="0" distB="0" distL="114300" distR="114300">
                  <wp:extent cx="476250" cy="323850"/>
                  <wp:effectExtent l="0" t="0" r="0" b="0"/>
                  <wp:docPr id="394" name="图片 39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75B5A04">
        <w:tblPrEx>
          <w:tblCellMar>
            <w:top w:w="0" w:type="dxa"/>
            <w:left w:w="0" w:type="dxa"/>
            <w:bottom w:w="0" w:type="dxa"/>
            <w:right w:w="0" w:type="dxa"/>
          </w:tblCellMar>
        </w:tblPrEx>
        <w:trPr>
          <w:wBefore w:w="0" w:type="auto"/>
          <w:tblCellSpacing w:w="0" w:type="dxa"/>
        </w:trPr>
        <w:tc>
          <w:tcPr>
            <w:tcW w:w="0" w:type="auto"/>
            <w:noWrap w:val="0"/>
            <w:vAlign w:val="center"/>
          </w:tcPr>
          <w:p w14:paraId="5CA149AA">
            <w:r>
              <w:rPr>
                <w:rStyle w:val="10"/>
                <w:rFonts w:hint="eastAsia"/>
              </w:rPr>
              <w:t>总有效成分含量：</w:t>
            </w:r>
            <w:r>
              <w:rPr>
                <w:rFonts w:hint="eastAsia"/>
              </w:rPr>
              <w:t>20%</w:t>
            </w:r>
          </w:p>
        </w:tc>
      </w:tr>
      <w:tr w14:paraId="636868C2">
        <w:tblPrEx>
          <w:tblCellMar>
            <w:top w:w="0" w:type="dxa"/>
            <w:left w:w="0" w:type="dxa"/>
            <w:bottom w:w="0" w:type="dxa"/>
            <w:right w:w="0" w:type="dxa"/>
          </w:tblCellMar>
        </w:tblPrEx>
        <w:trPr>
          <w:wBefore w:w="0" w:type="auto"/>
          <w:tblCellSpacing w:w="0" w:type="dxa"/>
        </w:trPr>
        <w:tc>
          <w:tcPr>
            <w:tcW w:w="0" w:type="auto"/>
            <w:noWrap w:val="0"/>
            <w:vAlign w:val="center"/>
          </w:tcPr>
          <w:p w14:paraId="1C051E27">
            <w:r>
              <w:rPr>
                <w:rFonts w:hint="eastAsia"/>
              </w:rPr>
              <w:t xml:space="preserve">有效成分及其含量： </w:t>
            </w:r>
          </w:p>
          <w:p w14:paraId="3A90311B">
            <w:r>
              <w:rPr>
                <w:rFonts w:hint="eastAsia"/>
              </w:rPr>
              <w:t xml:space="preserve">    乙羧氟草醚0.7%    草铵膦19.3%    </w:t>
            </w:r>
          </w:p>
        </w:tc>
      </w:tr>
      <w:tr w14:paraId="526581C1">
        <w:tblPrEx>
          <w:tblCellMar>
            <w:top w:w="0" w:type="dxa"/>
            <w:left w:w="0" w:type="dxa"/>
            <w:bottom w:w="0" w:type="dxa"/>
            <w:right w:w="0" w:type="dxa"/>
          </w:tblCellMar>
        </w:tblPrEx>
        <w:trPr>
          <w:wBefore w:w="0" w:type="auto"/>
          <w:tblCellSpacing w:w="0" w:type="dxa"/>
        </w:trPr>
        <w:tc>
          <w:tcPr>
            <w:tcW w:w="0" w:type="auto"/>
            <w:noWrap w:val="0"/>
            <w:vAlign w:val="center"/>
          </w:tcPr>
          <w:p w14:paraId="2AAEFCA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C4B6D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EBAF48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CE122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D51938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299E4C">
                  <w:r>
                    <w:rPr>
                      <w:rStyle w:val="11"/>
                      <w:rFonts w:hint="eastAsia"/>
                    </w:rPr>
                    <w:t>施用方式</w:t>
                  </w:r>
                </w:p>
              </w:tc>
            </w:tr>
            <w:tr w14:paraId="7BB6C0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424B89">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C2349C">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5F9404">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50269D">
                  <w:r>
                    <w:rPr>
                      <w:rStyle w:val="11"/>
                      <w:rFonts w:hint="eastAsia"/>
                    </w:rPr>
                    <w:t>茎叶喷雾</w:t>
                  </w:r>
                </w:p>
              </w:tc>
            </w:tr>
          </w:tbl>
          <w:p w14:paraId="303BDB07">
            <w:pPr>
              <w:rPr>
                <w:rFonts w:ascii="Times New Roman" w:hAnsi="Times New Roman" w:cs="Times New Roman"/>
                <w:sz w:val="20"/>
                <w:szCs w:val="20"/>
              </w:rPr>
            </w:pPr>
          </w:p>
        </w:tc>
      </w:tr>
      <w:tr w14:paraId="4C5650EF">
        <w:tblPrEx>
          <w:tblCellMar>
            <w:top w:w="0" w:type="dxa"/>
            <w:left w:w="0" w:type="dxa"/>
            <w:bottom w:w="0" w:type="dxa"/>
            <w:right w:w="0" w:type="dxa"/>
          </w:tblCellMar>
        </w:tblPrEx>
        <w:trPr>
          <w:wBefore w:w="0" w:type="auto"/>
          <w:tblCellSpacing w:w="0" w:type="dxa"/>
        </w:trPr>
        <w:tc>
          <w:tcPr>
            <w:tcW w:w="0" w:type="auto"/>
            <w:noWrap w:val="0"/>
            <w:vAlign w:val="center"/>
          </w:tcPr>
          <w:p w14:paraId="09E4E68F">
            <w:r>
              <w:rPr>
                <w:rStyle w:val="10"/>
                <w:rFonts w:hint="eastAsia"/>
              </w:rPr>
              <w:t>使用技术要求:</w:t>
            </w:r>
            <w:r>
              <w:rPr>
                <w:rFonts w:hint="eastAsia"/>
              </w:rPr>
              <w:br w:type="textWrapping"/>
            </w:r>
            <w:r>
              <w:rPr>
                <w:rStyle w:val="11"/>
                <w:rFonts w:hint="eastAsia"/>
              </w:rPr>
              <w:t>1. 在杂草生长旺盛期茎叶喷雾施药。每季最多使用1次。2.禁止在田间道路、田埂、果树行间、休耕地、林场林地等农林业区域使用。</w:t>
            </w:r>
          </w:p>
        </w:tc>
      </w:tr>
      <w:tr w14:paraId="0A8644F4">
        <w:tblPrEx>
          <w:tblCellMar>
            <w:top w:w="0" w:type="dxa"/>
            <w:left w:w="0" w:type="dxa"/>
            <w:bottom w:w="0" w:type="dxa"/>
            <w:right w:w="0" w:type="dxa"/>
          </w:tblCellMar>
        </w:tblPrEx>
        <w:trPr>
          <w:wBefore w:w="0" w:type="auto"/>
          <w:tblCellSpacing w:w="0" w:type="dxa"/>
        </w:trPr>
        <w:tc>
          <w:tcPr>
            <w:tcW w:w="0" w:type="auto"/>
            <w:noWrap w:val="0"/>
            <w:vAlign w:val="center"/>
          </w:tcPr>
          <w:p w14:paraId="5F715959">
            <w:r>
              <w:rPr>
                <w:rStyle w:val="10"/>
                <w:rFonts w:hint="eastAsia"/>
              </w:rPr>
              <w:t>产品性能:</w:t>
            </w:r>
            <w:r>
              <w:rPr>
                <w:rFonts w:hint="eastAsia"/>
              </w:rPr>
              <w:br w:type="textWrapping"/>
            </w:r>
            <w:r>
              <w:rPr>
                <w:rStyle w:val="11"/>
                <w:rFonts w:hint="eastAsia"/>
              </w:rPr>
              <w:t>乙羧氟草醚属原卟啉原氧化酶抑制剂，生成对植物细胞具有毒性的四吡咯，积聚而发生毒害作用。积聚过程中，使植物细胞膜完全消失，然后引起细胞内含物渗漏，最终导致杂草死亡。草铵膦为谷氨酰胺合成抑制剂，导致植物体内氮代谢紊乱、铵离子过量积累，叶绿体解体，从而光合作用受抑制，最终导致植物死亡。两者混配可用于防除非耕地杂草。</w:t>
            </w:r>
          </w:p>
        </w:tc>
      </w:tr>
      <w:tr w14:paraId="3034EC35">
        <w:tblPrEx>
          <w:tblCellMar>
            <w:top w:w="0" w:type="dxa"/>
            <w:left w:w="0" w:type="dxa"/>
            <w:bottom w:w="0" w:type="dxa"/>
            <w:right w:w="0" w:type="dxa"/>
          </w:tblCellMar>
        </w:tblPrEx>
        <w:trPr>
          <w:wBefore w:w="0" w:type="auto"/>
          <w:tblCellSpacing w:w="0" w:type="dxa"/>
        </w:trPr>
        <w:tc>
          <w:tcPr>
            <w:tcW w:w="0" w:type="auto"/>
            <w:noWrap w:val="0"/>
            <w:vAlign w:val="center"/>
          </w:tcPr>
          <w:p w14:paraId="5ACD0B97">
            <w:r>
              <w:rPr>
                <w:rStyle w:val="10"/>
                <w:rFonts w:hint="eastAsia"/>
              </w:rPr>
              <w:t>注意事项：</w:t>
            </w:r>
            <w:r>
              <w:rPr>
                <w:rFonts w:hint="eastAsia"/>
              </w:rPr>
              <w:br w:type="textWrapping"/>
            </w:r>
            <w:r>
              <w:rPr>
                <w:rStyle w:val="11"/>
                <w:rFonts w:hint="eastAsia"/>
              </w:rPr>
              <w:t>1）本品施药后5天内勿割草、放牧、翻地等。 2）对鸟类和家蚕有风险，鸟类保护区附近禁用，蚕室和桑园附近禁用。本品对鱼类等水生生物有毒，远离水产养殖区施药，禁止在河塘等水体中清洗施药器具，清洗施药器具的水也不能排入河塘等水体。 3）使用本品应采取加强防护措施，穿戴长衣、长裤、帽子、口罩、手套等防护措施。避免皮肤接触及口鼻吸入。使用中不可吸烟、饮水及吃东西，使用后及时用大量清水和肥皂清洗手、脸等暴露部位皮肤并更换衣物。 4）用过的容器应妥善处理，不可做他用，也不可随意丢弃。 5）禁止儿童、孕妇及哺乳期的妇女接触。过敏者禁用，使用中有任何不良反应请及时就医。</w:t>
            </w:r>
          </w:p>
        </w:tc>
      </w:tr>
      <w:tr w14:paraId="50D454F4">
        <w:tblPrEx>
          <w:tblCellMar>
            <w:top w:w="0" w:type="dxa"/>
            <w:left w:w="0" w:type="dxa"/>
            <w:bottom w:w="0" w:type="dxa"/>
            <w:right w:w="0" w:type="dxa"/>
          </w:tblCellMar>
        </w:tblPrEx>
        <w:trPr>
          <w:wBefore w:w="0" w:type="auto"/>
          <w:tblCellSpacing w:w="0" w:type="dxa"/>
        </w:trPr>
        <w:tc>
          <w:tcPr>
            <w:tcW w:w="0" w:type="auto"/>
            <w:noWrap w:val="0"/>
            <w:vAlign w:val="center"/>
          </w:tcPr>
          <w:p w14:paraId="58C38CCD">
            <w:r>
              <w:rPr>
                <w:rStyle w:val="10"/>
                <w:rFonts w:hint="eastAsia"/>
              </w:rPr>
              <w:t>中毒急救措施：</w:t>
            </w:r>
            <w:r>
              <w:rPr>
                <w:rFonts w:hint="eastAsia"/>
              </w:rPr>
              <w:br w:type="textWrapping"/>
            </w:r>
            <w:r>
              <w:rPr>
                <w:rStyle w:val="11"/>
                <w:rFonts w:hint="eastAsia"/>
              </w:rPr>
              <w:t xml:space="preserve">该产品对眼睛有刺激性，使用时避免接触眼睛 。 急救措施：使用中或使用后如果感觉不适，应立即停止工作，采取急救措施，并携带标签送医院就诊。 皮肤接触：立即脱去污染的衣物，用软布去除沾染农药，用大量清水和肥皂冲洗。 眼睛溅入：立即用流动清水冲洗不少于15分钟。 吸入：立即离开施药现场，转移到空气清新处。 误食：立即停止服用，用清水充分漱口后，携带农药标签到医院就诊。 </w:t>
            </w:r>
          </w:p>
        </w:tc>
      </w:tr>
      <w:tr w14:paraId="47D80F80">
        <w:tblPrEx>
          <w:tblCellMar>
            <w:top w:w="0" w:type="dxa"/>
            <w:left w:w="0" w:type="dxa"/>
            <w:bottom w:w="0" w:type="dxa"/>
            <w:right w:w="0" w:type="dxa"/>
          </w:tblCellMar>
        </w:tblPrEx>
        <w:trPr>
          <w:wBefore w:w="0" w:type="auto"/>
          <w:tblCellSpacing w:w="0" w:type="dxa"/>
        </w:trPr>
        <w:tc>
          <w:tcPr>
            <w:tcW w:w="0" w:type="auto"/>
            <w:noWrap w:val="0"/>
            <w:vAlign w:val="center"/>
          </w:tcPr>
          <w:p w14:paraId="51DD0965">
            <w:r>
              <w:rPr>
                <w:rStyle w:val="10"/>
                <w:rFonts w:hint="eastAsia"/>
              </w:rPr>
              <w:t>储存和运输方法：</w:t>
            </w:r>
            <w:r>
              <w:rPr>
                <w:rFonts w:hint="eastAsia"/>
              </w:rPr>
              <w:br w:type="textWrapping"/>
            </w:r>
            <w:r>
              <w:rPr>
                <w:rStyle w:val="11"/>
                <w:rFonts w:hint="eastAsia"/>
              </w:rPr>
              <w:t>本品应贮存在干燥、阴凉、通风、防雨处，远离火源或热源，勿与氧化剂接触。置于儿童接触不到的地方。不能与食品、饮料、粮食、饲料等混合储存。</w:t>
            </w:r>
          </w:p>
        </w:tc>
      </w:tr>
      <w:tr w14:paraId="1BC44A9E">
        <w:tblPrEx>
          <w:tblCellMar>
            <w:top w:w="0" w:type="dxa"/>
            <w:left w:w="0" w:type="dxa"/>
            <w:bottom w:w="0" w:type="dxa"/>
            <w:right w:w="0" w:type="dxa"/>
          </w:tblCellMar>
        </w:tblPrEx>
        <w:trPr>
          <w:wBefore w:w="0" w:type="auto"/>
          <w:tblCellSpacing w:w="0" w:type="dxa"/>
        </w:trPr>
        <w:tc>
          <w:tcPr>
            <w:tcW w:w="0" w:type="auto"/>
            <w:noWrap w:val="0"/>
            <w:vAlign w:val="center"/>
          </w:tcPr>
          <w:p w14:paraId="5A9C5540">
            <w:r>
              <w:rPr>
                <w:rStyle w:val="10"/>
                <w:rFonts w:hint="eastAsia"/>
              </w:rPr>
              <w:t>质量保证期：</w:t>
            </w:r>
            <w:r>
              <w:rPr>
                <w:rStyle w:val="11"/>
                <w:rFonts w:hint="eastAsia"/>
              </w:rPr>
              <w:t>2年</w:t>
            </w:r>
          </w:p>
        </w:tc>
      </w:tr>
      <w:tr w14:paraId="600B4973">
        <w:tblPrEx>
          <w:tblCellMar>
            <w:top w:w="0" w:type="dxa"/>
            <w:left w:w="0" w:type="dxa"/>
            <w:bottom w:w="0" w:type="dxa"/>
            <w:right w:w="0" w:type="dxa"/>
          </w:tblCellMar>
        </w:tblPrEx>
        <w:trPr>
          <w:wBefore w:w="0" w:type="auto"/>
          <w:tblCellSpacing w:w="0" w:type="dxa"/>
        </w:trPr>
        <w:tc>
          <w:tcPr>
            <w:tcW w:w="0" w:type="auto"/>
            <w:noWrap w:val="0"/>
            <w:vAlign w:val="center"/>
          </w:tcPr>
          <w:p w14:paraId="00D5F0DD">
            <w:r>
              <w:rPr>
                <w:rStyle w:val="10"/>
                <w:rFonts w:hint="eastAsia"/>
              </w:rPr>
              <w:t>备注：</w:t>
            </w:r>
          </w:p>
        </w:tc>
      </w:tr>
    </w:tbl>
    <w:p w14:paraId="4A0CEA9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DD89CCA">
        <w:tblPrEx>
          <w:tblCellMar>
            <w:top w:w="0" w:type="dxa"/>
            <w:left w:w="0" w:type="dxa"/>
            <w:bottom w:w="0" w:type="dxa"/>
            <w:right w:w="0" w:type="dxa"/>
          </w:tblCellMar>
        </w:tblPrEx>
        <w:trPr>
          <w:wBefore w:w="0" w:type="auto"/>
          <w:tblCellSpacing w:w="0" w:type="dxa"/>
        </w:trPr>
        <w:tc>
          <w:tcPr>
            <w:tcW w:w="0" w:type="auto"/>
            <w:noWrap w:val="0"/>
            <w:vAlign w:val="center"/>
          </w:tcPr>
          <w:p w14:paraId="663DCB6C">
            <w:r>
              <w:rPr>
                <w:rStyle w:val="10"/>
                <w:rFonts w:hint="eastAsia"/>
              </w:rPr>
              <w:t>登记证号：</w:t>
            </w:r>
            <w:r>
              <w:rPr>
                <w:rFonts w:hint="eastAsia"/>
              </w:rPr>
              <w:t>PD20212297</w:t>
            </w:r>
          </w:p>
        </w:tc>
      </w:tr>
      <w:tr w14:paraId="2A032C8F">
        <w:tblPrEx>
          <w:tblCellMar>
            <w:top w:w="0" w:type="dxa"/>
            <w:left w:w="0" w:type="dxa"/>
            <w:bottom w:w="0" w:type="dxa"/>
            <w:right w:w="0" w:type="dxa"/>
          </w:tblCellMar>
        </w:tblPrEx>
        <w:trPr>
          <w:wBefore w:w="0" w:type="auto"/>
          <w:tblCellSpacing w:w="0" w:type="dxa"/>
        </w:trPr>
        <w:tc>
          <w:tcPr>
            <w:tcW w:w="0" w:type="auto"/>
            <w:noWrap w:val="0"/>
            <w:vAlign w:val="center"/>
          </w:tcPr>
          <w:p w14:paraId="33FCA1C2">
            <w:r>
              <w:rPr>
                <w:rStyle w:val="10"/>
                <w:rFonts w:hint="eastAsia"/>
              </w:rPr>
              <w:t>登记证持有人：</w:t>
            </w:r>
            <w:r>
              <w:rPr>
                <w:rFonts w:hint="eastAsia"/>
              </w:rPr>
              <w:t>黑龙江绿丰源生物科技有限公司</w:t>
            </w:r>
          </w:p>
        </w:tc>
      </w:tr>
      <w:tr w14:paraId="5CF34B51">
        <w:tblPrEx>
          <w:tblCellMar>
            <w:top w:w="0" w:type="dxa"/>
            <w:left w:w="0" w:type="dxa"/>
            <w:bottom w:w="0" w:type="dxa"/>
            <w:right w:w="0" w:type="dxa"/>
          </w:tblCellMar>
        </w:tblPrEx>
        <w:trPr>
          <w:wBefore w:w="0" w:type="auto"/>
          <w:tblCellSpacing w:w="0" w:type="dxa"/>
        </w:trPr>
        <w:tc>
          <w:tcPr>
            <w:tcW w:w="0" w:type="auto"/>
            <w:noWrap w:val="0"/>
            <w:vAlign w:val="center"/>
          </w:tcPr>
          <w:p w14:paraId="45557E45">
            <w:r>
              <w:rPr>
                <w:rStyle w:val="10"/>
                <w:rFonts w:hint="eastAsia"/>
              </w:rPr>
              <w:t>农药名称：</w:t>
            </w:r>
            <w:r>
              <w:rPr>
                <w:rFonts w:hint="eastAsia"/>
              </w:rPr>
              <w:t>异噁唑草酮</w:t>
            </w:r>
          </w:p>
        </w:tc>
      </w:tr>
      <w:tr w14:paraId="37A82D08">
        <w:tblPrEx>
          <w:tblCellMar>
            <w:top w:w="0" w:type="dxa"/>
            <w:left w:w="0" w:type="dxa"/>
            <w:bottom w:w="0" w:type="dxa"/>
            <w:right w:w="0" w:type="dxa"/>
          </w:tblCellMar>
        </w:tblPrEx>
        <w:trPr>
          <w:wBefore w:w="0" w:type="auto"/>
          <w:tblCellSpacing w:w="0" w:type="dxa"/>
        </w:trPr>
        <w:tc>
          <w:tcPr>
            <w:tcW w:w="0" w:type="auto"/>
            <w:noWrap w:val="0"/>
            <w:vAlign w:val="center"/>
          </w:tcPr>
          <w:p w14:paraId="05D7E067">
            <w:r>
              <w:rPr>
                <w:rStyle w:val="10"/>
                <w:rFonts w:hint="eastAsia"/>
              </w:rPr>
              <w:t>剂型：</w:t>
            </w:r>
            <w:r>
              <w:rPr>
                <w:rFonts w:hint="eastAsia"/>
              </w:rPr>
              <w:t>可分散油悬浮剂</w:t>
            </w:r>
          </w:p>
        </w:tc>
      </w:tr>
      <w:tr w14:paraId="25726B3B">
        <w:tblPrEx>
          <w:tblCellMar>
            <w:top w:w="0" w:type="dxa"/>
            <w:left w:w="0" w:type="dxa"/>
            <w:bottom w:w="0" w:type="dxa"/>
            <w:right w:w="0" w:type="dxa"/>
          </w:tblCellMar>
        </w:tblPrEx>
        <w:trPr>
          <w:wBefore w:w="0" w:type="auto"/>
          <w:tblCellSpacing w:w="0" w:type="dxa"/>
        </w:trPr>
        <w:tc>
          <w:tcPr>
            <w:tcW w:w="0" w:type="auto"/>
            <w:noWrap w:val="0"/>
            <w:vAlign w:val="center"/>
          </w:tcPr>
          <w:p w14:paraId="15702AAB">
            <w:r>
              <w:rPr>
                <w:rStyle w:val="10"/>
                <w:rFonts w:hint="eastAsia"/>
              </w:rPr>
              <w:t>毒性及其标识：</w:t>
            </w:r>
            <w:r>
              <w:rPr>
                <w:rFonts w:hint="eastAsia"/>
              </w:rPr>
              <w:t xml:space="preserve"> </w:t>
            </w:r>
            <w:r>
              <w:rPr>
                <w:lang/>
              </w:rPr>
              <w:drawing>
                <wp:inline distT="0" distB="0" distL="114300" distR="114300">
                  <wp:extent cx="476250" cy="323850"/>
                  <wp:effectExtent l="0" t="0" r="0" b="0"/>
                  <wp:docPr id="395" name="图片 39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A1A8E65">
        <w:tblPrEx>
          <w:tblCellMar>
            <w:top w:w="0" w:type="dxa"/>
            <w:left w:w="0" w:type="dxa"/>
            <w:bottom w:w="0" w:type="dxa"/>
            <w:right w:w="0" w:type="dxa"/>
          </w:tblCellMar>
        </w:tblPrEx>
        <w:trPr>
          <w:wBefore w:w="0" w:type="auto"/>
          <w:tblCellSpacing w:w="0" w:type="dxa"/>
        </w:trPr>
        <w:tc>
          <w:tcPr>
            <w:tcW w:w="0" w:type="auto"/>
            <w:noWrap w:val="0"/>
            <w:vAlign w:val="center"/>
          </w:tcPr>
          <w:p w14:paraId="0271D954">
            <w:r>
              <w:rPr>
                <w:rStyle w:val="10"/>
                <w:rFonts w:hint="eastAsia"/>
              </w:rPr>
              <w:t>总有效成分含量：</w:t>
            </w:r>
            <w:r>
              <w:rPr>
                <w:rFonts w:hint="eastAsia"/>
              </w:rPr>
              <w:t>20%</w:t>
            </w:r>
          </w:p>
        </w:tc>
      </w:tr>
      <w:tr w14:paraId="321986F7">
        <w:tblPrEx>
          <w:tblCellMar>
            <w:top w:w="0" w:type="dxa"/>
            <w:left w:w="0" w:type="dxa"/>
            <w:bottom w:w="0" w:type="dxa"/>
            <w:right w:w="0" w:type="dxa"/>
          </w:tblCellMar>
        </w:tblPrEx>
        <w:trPr>
          <w:wBefore w:w="0" w:type="auto"/>
          <w:tblCellSpacing w:w="0" w:type="dxa"/>
        </w:trPr>
        <w:tc>
          <w:tcPr>
            <w:tcW w:w="0" w:type="auto"/>
            <w:noWrap w:val="0"/>
            <w:vAlign w:val="center"/>
          </w:tcPr>
          <w:p w14:paraId="11F239A0">
            <w:r>
              <w:rPr>
                <w:rFonts w:hint="eastAsia"/>
              </w:rPr>
              <w:t xml:space="preserve">有效成分及其含量： </w:t>
            </w:r>
          </w:p>
          <w:p w14:paraId="7232BE81">
            <w:r>
              <w:rPr>
                <w:rFonts w:hint="eastAsia"/>
              </w:rPr>
              <w:t xml:space="preserve">    异噁唑草酮20%    </w:t>
            </w:r>
          </w:p>
        </w:tc>
      </w:tr>
      <w:tr w14:paraId="4B4BB929">
        <w:tblPrEx>
          <w:tblCellMar>
            <w:top w:w="0" w:type="dxa"/>
            <w:left w:w="0" w:type="dxa"/>
            <w:bottom w:w="0" w:type="dxa"/>
            <w:right w:w="0" w:type="dxa"/>
          </w:tblCellMar>
        </w:tblPrEx>
        <w:trPr>
          <w:wBefore w:w="0" w:type="auto"/>
          <w:tblCellSpacing w:w="0" w:type="dxa"/>
        </w:trPr>
        <w:tc>
          <w:tcPr>
            <w:tcW w:w="0" w:type="auto"/>
            <w:noWrap w:val="0"/>
            <w:vAlign w:val="center"/>
          </w:tcPr>
          <w:p w14:paraId="61961E9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FB24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70A66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81E65C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C63FB7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ED5B429">
                  <w:r>
                    <w:rPr>
                      <w:rStyle w:val="11"/>
                      <w:rFonts w:hint="eastAsia"/>
                    </w:rPr>
                    <w:t>施用方式</w:t>
                  </w:r>
                </w:p>
              </w:tc>
            </w:tr>
            <w:tr w14:paraId="508DDC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F6CD2BD">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E38923">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A1CBD9">
                  <w:r>
                    <w:rPr>
                      <w:rStyle w:val="11"/>
                      <w:rFonts w:hint="eastAsia"/>
                    </w:rPr>
                    <w:t>30-37.5毫升/亩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A6E0D3">
                  <w:r>
                    <w:rPr>
                      <w:rStyle w:val="11"/>
                      <w:rFonts w:hint="eastAsia"/>
                    </w:rPr>
                    <w:t>土壤喷雾</w:t>
                  </w:r>
                </w:p>
              </w:tc>
            </w:tr>
          </w:tbl>
          <w:p w14:paraId="43FFF232">
            <w:pPr>
              <w:rPr>
                <w:rFonts w:ascii="Times New Roman" w:hAnsi="Times New Roman" w:cs="Times New Roman"/>
                <w:sz w:val="20"/>
                <w:szCs w:val="20"/>
              </w:rPr>
            </w:pPr>
          </w:p>
        </w:tc>
      </w:tr>
      <w:tr w14:paraId="3C39624C">
        <w:tblPrEx>
          <w:tblCellMar>
            <w:top w:w="0" w:type="dxa"/>
            <w:left w:w="0" w:type="dxa"/>
            <w:bottom w:w="0" w:type="dxa"/>
            <w:right w:w="0" w:type="dxa"/>
          </w:tblCellMar>
        </w:tblPrEx>
        <w:trPr>
          <w:wBefore w:w="0" w:type="auto"/>
          <w:tblCellSpacing w:w="0" w:type="dxa"/>
        </w:trPr>
        <w:tc>
          <w:tcPr>
            <w:tcW w:w="0" w:type="auto"/>
            <w:noWrap w:val="0"/>
            <w:vAlign w:val="center"/>
          </w:tcPr>
          <w:p w14:paraId="7432D40F">
            <w:r>
              <w:rPr>
                <w:rStyle w:val="10"/>
                <w:rFonts w:hint="eastAsia"/>
              </w:rPr>
              <w:t>使用技术要求:</w:t>
            </w:r>
            <w:r>
              <w:rPr>
                <w:rFonts w:hint="eastAsia"/>
              </w:rPr>
              <w:br w:type="textWrapping"/>
            </w:r>
            <w:r>
              <w:rPr>
                <w:rStyle w:val="11"/>
                <w:rFonts w:hint="eastAsia"/>
              </w:rPr>
              <w:t>1. 于玉米播种后出苗前均匀喷施一次，喷液量450升/公顷。每季作物最多使用1次。2. 尽量选择无风的天气施药，避免飘移药害。3. 异噁唑草酮土壤残效期较长，注意合理安排后茬作物，保证安全间隔期。4. 与敏感作物间作套种勿用。5. 勿超剂量使用，避免药害。</w:t>
            </w:r>
          </w:p>
        </w:tc>
      </w:tr>
      <w:tr w14:paraId="7AC27D73">
        <w:tblPrEx>
          <w:tblCellMar>
            <w:top w:w="0" w:type="dxa"/>
            <w:left w:w="0" w:type="dxa"/>
            <w:bottom w:w="0" w:type="dxa"/>
            <w:right w:w="0" w:type="dxa"/>
          </w:tblCellMar>
        </w:tblPrEx>
        <w:trPr>
          <w:wBefore w:w="0" w:type="auto"/>
          <w:tblCellSpacing w:w="0" w:type="dxa"/>
        </w:trPr>
        <w:tc>
          <w:tcPr>
            <w:tcW w:w="0" w:type="auto"/>
            <w:noWrap w:val="0"/>
            <w:vAlign w:val="center"/>
          </w:tcPr>
          <w:p w14:paraId="46B6400B">
            <w:r>
              <w:rPr>
                <w:rStyle w:val="10"/>
                <w:rFonts w:hint="eastAsia"/>
              </w:rPr>
              <w:t>产品性能:</w:t>
            </w:r>
            <w:r>
              <w:rPr>
                <w:rFonts w:hint="eastAsia"/>
              </w:rPr>
              <w:br w:type="textWrapping"/>
            </w:r>
            <w:r>
              <w:rPr>
                <w:rStyle w:val="11"/>
                <w:rFonts w:hint="eastAsia"/>
              </w:rPr>
              <w:t>异噁唑草酮是用于玉米等旱作物田做土壤处理的一种有机杂环类选择性内吸型苗前除草剂，属于对羟基苯基丙酮酸酯双氧化酶抑制剂，能够在植物体内和土壤中快速分解，主要经由杂草幼根吸收传导而起作用。本品持效期适中，在土壤中的半衰期比较短，通常在4个月后基本无残留，因此对后茬作物没有不良的影响。</w:t>
            </w:r>
          </w:p>
        </w:tc>
      </w:tr>
      <w:tr w14:paraId="395D8AAE">
        <w:tblPrEx>
          <w:tblCellMar>
            <w:top w:w="0" w:type="dxa"/>
            <w:left w:w="0" w:type="dxa"/>
            <w:bottom w:w="0" w:type="dxa"/>
            <w:right w:w="0" w:type="dxa"/>
          </w:tblCellMar>
        </w:tblPrEx>
        <w:trPr>
          <w:wBefore w:w="0" w:type="auto"/>
          <w:tblCellSpacing w:w="0" w:type="dxa"/>
        </w:trPr>
        <w:tc>
          <w:tcPr>
            <w:tcW w:w="0" w:type="auto"/>
            <w:noWrap w:val="0"/>
            <w:vAlign w:val="center"/>
          </w:tcPr>
          <w:p w14:paraId="196F2162">
            <w:r>
              <w:rPr>
                <w:rStyle w:val="10"/>
                <w:rFonts w:hint="eastAsia"/>
              </w:rPr>
              <w:t>注意事项：</w:t>
            </w:r>
            <w:r>
              <w:rPr>
                <w:rFonts w:hint="eastAsia"/>
              </w:rPr>
              <w:br w:type="textWrapping"/>
            </w:r>
            <w:r>
              <w:rPr>
                <w:rStyle w:val="11"/>
                <w:rFonts w:hint="eastAsia"/>
              </w:rPr>
              <w:t>1. 本品杀草活性较高，施用时不要超过推荐用量，并力求把药喷施均匀，以免影响药效和产生药害。2. 本品用于碱性土或有机质含量低、淋溶性强的沙质土，有时会使玉米叶片产生黄化、白化症状。爆裂型玉米对该药较为敏感，不宜使用。3. 在干旱少雨、土壤墒情不好时不易充分发挥药效，因此要求播种前把地整平，播种后把地压实，配制药液时要把水量加足。不然，则难以保证药效。4. 本品对眼睛有刺激性，使用时避免接触眼睛，穿戴长衣、长裤、帽子、口罩、手套等防护措施。施药期间不可吃东西和饮水等。施药后应及时洗手和洗脸等暴露部位皮肤。5. 本品对蜜蜂、鱼类等水生生物、家蚕有毒，施药期间应避免对周围蜂群的影响，禁止在开花植物花期、蚕室和桑园附近使用。6. 远离水产养殖区、河塘等水域施药。赤眼蜂等天敌放飞区域禁用。7. 禁止在河塘等水体中清洗施药器具，避免药液流入湖泊，河流或鱼塘中污染水源。8. 用过的容器应妥善处理，不可作他用，也不可随意丢弃。9. 避免孕妇及哺乳期的妇女接触本品。</w:t>
            </w:r>
          </w:p>
        </w:tc>
      </w:tr>
      <w:tr w14:paraId="0CC842B1">
        <w:tblPrEx>
          <w:tblCellMar>
            <w:top w:w="0" w:type="dxa"/>
            <w:left w:w="0" w:type="dxa"/>
            <w:bottom w:w="0" w:type="dxa"/>
            <w:right w:w="0" w:type="dxa"/>
          </w:tblCellMar>
        </w:tblPrEx>
        <w:trPr>
          <w:wBefore w:w="0" w:type="auto"/>
          <w:tblCellSpacing w:w="0" w:type="dxa"/>
        </w:trPr>
        <w:tc>
          <w:tcPr>
            <w:tcW w:w="0" w:type="auto"/>
            <w:noWrap w:val="0"/>
            <w:vAlign w:val="center"/>
          </w:tcPr>
          <w:p w14:paraId="02AF190C">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1、皮肤接触：脱去污染的衣物，立即用大量清水和肥皂冲洗。2、眼睛溅入：立即用流动清水冲洗不少于15分钟。3、吸入：立即离开施药现场，转移到空气清新处。4、误食：立即停止服用，勿引吐，用清水充分漱口后，立即携带农药标签到医院就诊。无特效解毒剂，对症治疗。</w:t>
            </w:r>
          </w:p>
        </w:tc>
      </w:tr>
      <w:tr w14:paraId="6CB169DE">
        <w:tblPrEx>
          <w:tblCellMar>
            <w:top w:w="0" w:type="dxa"/>
            <w:left w:w="0" w:type="dxa"/>
            <w:bottom w:w="0" w:type="dxa"/>
            <w:right w:w="0" w:type="dxa"/>
          </w:tblCellMar>
        </w:tblPrEx>
        <w:trPr>
          <w:wBefore w:w="0" w:type="auto"/>
          <w:tblCellSpacing w:w="0" w:type="dxa"/>
        </w:trPr>
        <w:tc>
          <w:tcPr>
            <w:tcW w:w="0" w:type="auto"/>
            <w:noWrap w:val="0"/>
            <w:vAlign w:val="center"/>
          </w:tcPr>
          <w:p w14:paraId="4FDC82A5">
            <w:r>
              <w:rPr>
                <w:rStyle w:val="10"/>
                <w:rFonts w:hint="eastAsia"/>
              </w:rPr>
              <w:t>储存和运输方法：</w:t>
            </w:r>
            <w:r>
              <w:rPr>
                <w:rFonts w:hint="eastAsia"/>
              </w:rPr>
              <w:br w:type="textWrapping"/>
            </w:r>
            <w:r>
              <w:rPr>
                <w:rStyle w:val="11"/>
                <w:rFonts w:hint="eastAsia"/>
              </w:rPr>
              <w:t>本品应贮存在通风、干燥的库房内。贮运时，严防潮湿和日晒。置于儿童、无关人员触及不到之处，并加锁。勿与食品、饮料、饲料、粮食等同贮同运。避免与皮肤、眼睛接触，防止由口鼻吸入。</w:t>
            </w:r>
          </w:p>
        </w:tc>
      </w:tr>
      <w:tr w14:paraId="4F78F813">
        <w:tblPrEx>
          <w:tblCellMar>
            <w:top w:w="0" w:type="dxa"/>
            <w:left w:w="0" w:type="dxa"/>
            <w:bottom w:w="0" w:type="dxa"/>
            <w:right w:w="0" w:type="dxa"/>
          </w:tblCellMar>
        </w:tblPrEx>
        <w:trPr>
          <w:wBefore w:w="0" w:type="auto"/>
          <w:tblCellSpacing w:w="0" w:type="dxa"/>
        </w:trPr>
        <w:tc>
          <w:tcPr>
            <w:tcW w:w="0" w:type="auto"/>
            <w:noWrap w:val="0"/>
            <w:vAlign w:val="center"/>
          </w:tcPr>
          <w:p w14:paraId="6ED9AAB5">
            <w:r>
              <w:rPr>
                <w:rStyle w:val="10"/>
                <w:rFonts w:hint="eastAsia"/>
              </w:rPr>
              <w:t>质量保证期：</w:t>
            </w:r>
            <w:r>
              <w:rPr>
                <w:rStyle w:val="11"/>
                <w:rFonts w:hint="eastAsia"/>
              </w:rPr>
              <w:t>2年</w:t>
            </w:r>
          </w:p>
        </w:tc>
      </w:tr>
      <w:tr w14:paraId="3EBEFBD6">
        <w:tblPrEx>
          <w:tblCellMar>
            <w:top w:w="0" w:type="dxa"/>
            <w:left w:w="0" w:type="dxa"/>
            <w:bottom w:w="0" w:type="dxa"/>
            <w:right w:w="0" w:type="dxa"/>
          </w:tblCellMar>
        </w:tblPrEx>
        <w:trPr>
          <w:wBefore w:w="0" w:type="auto"/>
          <w:tblCellSpacing w:w="0" w:type="dxa"/>
        </w:trPr>
        <w:tc>
          <w:tcPr>
            <w:tcW w:w="0" w:type="auto"/>
            <w:noWrap w:val="0"/>
            <w:vAlign w:val="center"/>
          </w:tcPr>
          <w:p w14:paraId="476CF70E">
            <w:r>
              <w:rPr>
                <w:rStyle w:val="10"/>
                <w:rFonts w:hint="eastAsia"/>
              </w:rPr>
              <w:t>备注：</w:t>
            </w:r>
          </w:p>
        </w:tc>
      </w:tr>
    </w:tbl>
    <w:p w14:paraId="1A9E927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43763C">
        <w:tblPrEx>
          <w:tblCellMar>
            <w:top w:w="0" w:type="dxa"/>
            <w:left w:w="0" w:type="dxa"/>
            <w:bottom w:w="0" w:type="dxa"/>
            <w:right w:w="0" w:type="dxa"/>
          </w:tblCellMar>
        </w:tblPrEx>
        <w:trPr>
          <w:wBefore w:w="0" w:type="auto"/>
          <w:tblCellSpacing w:w="0" w:type="dxa"/>
        </w:trPr>
        <w:tc>
          <w:tcPr>
            <w:tcW w:w="0" w:type="auto"/>
            <w:noWrap w:val="0"/>
            <w:vAlign w:val="center"/>
          </w:tcPr>
          <w:p w14:paraId="30722AB0">
            <w:r>
              <w:rPr>
                <w:rStyle w:val="10"/>
                <w:rFonts w:hint="eastAsia"/>
              </w:rPr>
              <w:t>登记证号：</w:t>
            </w:r>
            <w:r>
              <w:rPr>
                <w:rFonts w:hint="eastAsia"/>
              </w:rPr>
              <w:t>PD20212287</w:t>
            </w:r>
          </w:p>
        </w:tc>
      </w:tr>
      <w:tr w14:paraId="4461BB61">
        <w:tblPrEx>
          <w:tblCellMar>
            <w:top w:w="0" w:type="dxa"/>
            <w:left w:w="0" w:type="dxa"/>
            <w:bottom w:w="0" w:type="dxa"/>
            <w:right w:w="0" w:type="dxa"/>
          </w:tblCellMar>
        </w:tblPrEx>
        <w:trPr>
          <w:wBefore w:w="0" w:type="auto"/>
          <w:tblCellSpacing w:w="0" w:type="dxa"/>
        </w:trPr>
        <w:tc>
          <w:tcPr>
            <w:tcW w:w="0" w:type="auto"/>
            <w:noWrap w:val="0"/>
            <w:vAlign w:val="center"/>
          </w:tcPr>
          <w:p w14:paraId="26B1E2D9">
            <w:r>
              <w:rPr>
                <w:rStyle w:val="10"/>
                <w:rFonts w:hint="eastAsia"/>
              </w:rPr>
              <w:t>登记证持有人：</w:t>
            </w:r>
            <w:r>
              <w:rPr>
                <w:rFonts w:hint="eastAsia"/>
              </w:rPr>
              <w:t>许昌市建安区昌盛日化实业有限公司</w:t>
            </w:r>
          </w:p>
        </w:tc>
      </w:tr>
      <w:tr w14:paraId="62E0BB12">
        <w:tblPrEx>
          <w:tblCellMar>
            <w:top w:w="0" w:type="dxa"/>
            <w:left w:w="0" w:type="dxa"/>
            <w:bottom w:w="0" w:type="dxa"/>
            <w:right w:w="0" w:type="dxa"/>
          </w:tblCellMar>
        </w:tblPrEx>
        <w:trPr>
          <w:wBefore w:w="0" w:type="auto"/>
          <w:tblCellSpacing w:w="0" w:type="dxa"/>
        </w:trPr>
        <w:tc>
          <w:tcPr>
            <w:tcW w:w="0" w:type="auto"/>
            <w:noWrap w:val="0"/>
            <w:vAlign w:val="center"/>
          </w:tcPr>
          <w:p w14:paraId="4A8A27C0">
            <w:r>
              <w:rPr>
                <w:rStyle w:val="10"/>
                <w:rFonts w:hint="eastAsia"/>
              </w:rPr>
              <w:t>农药名称：</w:t>
            </w:r>
            <w:r>
              <w:rPr>
                <w:rFonts w:hint="eastAsia"/>
              </w:rPr>
              <w:t>乙羧·草铵膦</w:t>
            </w:r>
          </w:p>
        </w:tc>
      </w:tr>
      <w:tr w14:paraId="1848B736">
        <w:tblPrEx>
          <w:tblCellMar>
            <w:top w:w="0" w:type="dxa"/>
            <w:left w:w="0" w:type="dxa"/>
            <w:bottom w:w="0" w:type="dxa"/>
            <w:right w:w="0" w:type="dxa"/>
          </w:tblCellMar>
        </w:tblPrEx>
        <w:trPr>
          <w:wBefore w:w="0" w:type="auto"/>
          <w:tblCellSpacing w:w="0" w:type="dxa"/>
        </w:trPr>
        <w:tc>
          <w:tcPr>
            <w:tcW w:w="0" w:type="auto"/>
            <w:noWrap w:val="0"/>
            <w:vAlign w:val="center"/>
          </w:tcPr>
          <w:p w14:paraId="6844FECA">
            <w:r>
              <w:rPr>
                <w:rStyle w:val="10"/>
                <w:rFonts w:hint="eastAsia"/>
              </w:rPr>
              <w:t>剂型：</w:t>
            </w:r>
            <w:r>
              <w:rPr>
                <w:rFonts w:hint="eastAsia"/>
              </w:rPr>
              <w:t>微乳剂</w:t>
            </w:r>
          </w:p>
        </w:tc>
      </w:tr>
      <w:tr w14:paraId="57F20760">
        <w:tblPrEx>
          <w:tblCellMar>
            <w:top w:w="0" w:type="dxa"/>
            <w:left w:w="0" w:type="dxa"/>
            <w:bottom w:w="0" w:type="dxa"/>
            <w:right w:w="0" w:type="dxa"/>
          </w:tblCellMar>
        </w:tblPrEx>
        <w:trPr>
          <w:wBefore w:w="0" w:type="auto"/>
          <w:tblCellSpacing w:w="0" w:type="dxa"/>
        </w:trPr>
        <w:tc>
          <w:tcPr>
            <w:tcW w:w="0" w:type="auto"/>
            <w:noWrap w:val="0"/>
            <w:vAlign w:val="center"/>
          </w:tcPr>
          <w:p w14:paraId="595F8FE6">
            <w:r>
              <w:rPr>
                <w:rStyle w:val="10"/>
                <w:rFonts w:hint="eastAsia"/>
              </w:rPr>
              <w:t>毒性及其标识：</w:t>
            </w:r>
            <w:r>
              <w:rPr>
                <w:rFonts w:hint="eastAsia"/>
              </w:rPr>
              <w:t xml:space="preserve"> </w:t>
            </w:r>
            <w:r>
              <w:rPr>
                <w:lang/>
              </w:rPr>
              <w:drawing>
                <wp:inline distT="0" distB="0" distL="114300" distR="114300">
                  <wp:extent cx="476250" cy="323850"/>
                  <wp:effectExtent l="0" t="0" r="0" b="0"/>
                  <wp:docPr id="396" name="图片 39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FB0AC08">
        <w:tblPrEx>
          <w:tblCellMar>
            <w:top w:w="0" w:type="dxa"/>
            <w:left w:w="0" w:type="dxa"/>
            <w:bottom w:w="0" w:type="dxa"/>
            <w:right w:w="0" w:type="dxa"/>
          </w:tblCellMar>
        </w:tblPrEx>
        <w:trPr>
          <w:wBefore w:w="0" w:type="auto"/>
          <w:tblCellSpacing w:w="0" w:type="dxa"/>
        </w:trPr>
        <w:tc>
          <w:tcPr>
            <w:tcW w:w="0" w:type="auto"/>
            <w:noWrap w:val="0"/>
            <w:vAlign w:val="center"/>
          </w:tcPr>
          <w:p w14:paraId="75896EC1">
            <w:r>
              <w:rPr>
                <w:rStyle w:val="10"/>
                <w:rFonts w:hint="eastAsia"/>
              </w:rPr>
              <w:t>总有效成分含量：</w:t>
            </w:r>
            <w:r>
              <w:rPr>
                <w:rFonts w:hint="eastAsia"/>
              </w:rPr>
              <w:t>20%</w:t>
            </w:r>
          </w:p>
        </w:tc>
      </w:tr>
      <w:tr w14:paraId="7B3716AF">
        <w:tblPrEx>
          <w:tblCellMar>
            <w:top w:w="0" w:type="dxa"/>
            <w:left w:w="0" w:type="dxa"/>
            <w:bottom w:w="0" w:type="dxa"/>
            <w:right w:w="0" w:type="dxa"/>
          </w:tblCellMar>
        </w:tblPrEx>
        <w:trPr>
          <w:wBefore w:w="0" w:type="auto"/>
          <w:tblCellSpacing w:w="0" w:type="dxa"/>
        </w:trPr>
        <w:tc>
          <w:tcPr>
            <w:tcW w:w="0" w:type="auto"/>
            <w:noWrap w:val="0"/>
            <w:vAlign w:val="center"/>
          </w:tcPr>
          <w:p w14:paraId="4F07ECBE">
            <w:r>
              <w:rPr>
                <w:rFonts w:hint="eastAsia"/>
              </w:rPr>
              <w:t xml:space="preserve">有效成分及其含量： </w:t>
            </w:r>
          </w:p>
          <w:p w14:paraId="2EED8AB4">
            <w:r>
              <w:rPr>
                <w:rFonts w:hint="eastAsia"/>
              </w:rPr>
              <w:t xml:space="preserve">    草铵膦19%    乙羧氟草醚1%    </w:t>
            </w:r>
          </w:p>
        </w:tc>
      </w:tr>
      <w:tr w14:paraId="2C9770E9">
        <w:tblPrEx>
          <w:tblCellMar>
            <w:top w:w="0" w:type="dxa"/>
            <w:left w:w="0" w:type="dxa"/>
            <w:bottom w:w="0" w:type="dxa"/>
            <w:right w:w="0" w:type="dxa"/>
          </w:tblCellMar>
        </w:tblPrEx>
        <w:trPr>
          <w:wBefore w:w="0" w:type="auto"/>
          <w:tblCellSpacing w:w="0" w:type="dxa"/>
        </w:trPr>
        <w:tc>
          <w:tcPr>
            <w:tcW w:w="0" w:type="auto"/>
            <w:noWrap w:val="0"/>
            <w:vAlign w:val="center"/>
          </w:tcPr>
          <w:p w14:paraId="4C5DE3C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FF402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430F09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A875E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9380B6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B17FBF">
                  <w:r>
                    <w:rPr>
                      <w:rStyle w:val="11"/>
                      <w:rFonts w:hint="eastAsia"/>
                    </w:rPr>
                    <w:t>施用方式</w:t>
                  </w:r>
                </w:p>
              </w:tc>
            </w:tr>
            <w:tr w14:paraId="15D9DE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AA3DB6">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15086A">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611D55">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E92466">
                  <w:r>
                    <w:rPr>
                      <w:rStyle w:val="11"/>
                      <w:rFonts w:hint="eastAsia"/>
                    </w:rPr>
                    <w:t>茎叶喷雾</w:t>
                  </w:r>
                </w:p>
              </w:tc>
            </w:tr>
          </w:tbl>
          <w:p w14:paraId="65AE903A">
            <w:pPr>
              <w:rPr>
                <w:rFonts w:ascii="Times New Roman" w:hAnsi="Times New Roman" w:cs="Times New Roman"/>
                <w:sz w:val="20"/>
                <w:szCs w:val="20"/>
              </w:rPr>
            </w:pPr>
          </w:p>
        </w:tc>
      </w:tr>
      <w:tr w14:paraId="6488612A">
        <w:tblPrEx>
          <w:tblCellMar>
            <w:top w:w="0" w:type="dxa"/>
            <w:left w:w="0" w:type="dxa"/>
            <w:bottom w:w="0" w:type="dxa"/>
            <w:right w:w="0" w:type="dxa"/>
          </w:tblCellMar>
        </w:tblPrEx>
        <w:trPr>
          <w:wBefore w:w="0" w:type="auto"/>
          <w:tblCellSpacing w:w="0" w:type="dxa"/>
        </w:trPr>
        <w:tc>
          <w:tcPr>
            <w:tcW w:w="0" w:type="auto"/>
            <w:noWrap w:val="0"/>
            <w:vAlign w:val="center"/>
          </w:tcPr>
          <w:p w14:paraId="378DFD95">
            <w:r>
              <w:rPr>
                <w:rStyle w:val="10"/>
                <w:rFonts w:hint="eastAsia"/>
              </w:rPr>
              <w:t>使用技术要求:</w:t>
            </w:r>
            <w:r>
              <w:rPr>
                <w:rFonts w:hint="eastAsia"/>
              </w:rPr>
              <w:br w:type="textWrapping"/>
            </w:r>
            <w:r>
              <w:rPr>
                <w:rStyle w:val="11"/>
                <w:rFonts w:hint="eastAsia"/>
              </w:rPr>
              <w:t>1. 本品用于防除非耕地杂草，应于非耕地杂草生长旺盛期，均匀茎叶喷雾施药。 2. 使用时应注意避免飘移到邻近作物田及果树幼嫩茎叶上，避免漂移药害。 3. 如施药后4-8小时内降雨，会降低药效，应补喷。4. 禁止在田间道路、田埂、果树行间、休耕地、林场林地等农林业区域使用。</w:t>
            </w:r>
          </w:p>
        </w:tc>
      </w:tr>
      <w:tr w14:paraId="1E8066D5">
        <w:tblPrEx>
          <w:tblCellMar>
            <w:top w:w="0" w:type="dxa"/>
            <w:left w:w="0" w:type="dxa"/>
            <w:bottom w:w="0" w:type="dxa"/>
            <w:right w:w="0" w:type="dxa"/>
          </w:tblCellMar>
        </w:tblPrEx>
        <w:trPr>
          <w:wBefore w:w="0" w:type="auto"/>
          <w:tblCellSpacing w:w="0" w:type="dxa"/>
        </w:trPr>
        <w:tc>
          <w:tcPr>
            <w:tcW w:w="0" w:type="auto"/>
            <w:noWrap w:val="0"/>
            <w:vAlign w:val="center"/>
          </w:tcPr>
          <w:p w14:paraId="3E72D8F4">
            <w:r>
              <w:rPr>
                <w:rStyle w:val="10"/>
                <w:rFonts w:hint="eastAsia"/>
              </w:rPr>
              <w:t>产品性能:</w:t>
            </w:r>
            <w:r>
              <w:rPr>
                <w:rFonts w:hint="eastAsia"/>
              </w:rPr>
              <w:br w:type="textWrapping"/>
            </w:r>
            <w:r>
              <w:rPr>
                <w:rStyle w:val="11"/>
                <w:rFonts w:hint="eastAsia"/>
              </w:rPr>
              <w:t xml:space="preserve">本品为非选择性触杀型杂草茎叶处理剂，是膦酸类拟天然化感仿生物源除草剂草铵膦与二苯醚类除草剂乙羧氟草醚复配而成的微乳剂。该产品对非耕地杂草有较好的防效。 </w:t>
            </w:r>
          </w:p>
        </w:tc>
      </w:tr>
      <w:tr w14:paraId="6ED5662F">
        <w:tblPrEx>
          <w:tblCellMar>
            <w:top w:w="0" w:type="dxa"/>
            <w:left w:w="0" w:type="dxa"/>
            <w:bottom w:w="0" w:type="dxa"/>
            <w:right w:w="0" w:type="dxa"/>
          </w:tblCellMar>
        </w:tblPrEx>
        <w:trPr>
          <w:wBefore w:w="0" w:type="auto"/>
          <w:tblCellSpacing w:w="0" w:type="dxa"/>
        </w:trPr>
        <w:tc>
          <w:tcPr>
            <w:tcW w:w="0" w:type="auto"/>
            <w:noWrap w:val="0"/>
            <w:vAlign w:val="center"/>
          </w:tcPr>
          <w:p w14:paraId="54BE6EC0">
            <w:r>
              <w:rPr>
                <w:rStyle w:val="10"/>
                <w:rFonts w:hint="eastAsia"/>
              </w:rPr>
              <w:t>注意事项：</w:t>
            </w:r>
            <w:r>
              <w:rPr>
                <w:rFonts w:hint="eastAsia"/>
              </w:rPr>
              <w:br w:type="textWrapping"/>
            </w:r>
            <w:r>
              <w:rPr>
                <w:rStyle w:val="11"/>
                <w:rFonts w:hint="eastAsia"/>
              </w:rPr>
              <w:t>1. 配药时用清水配制，浑水会影响药效。本品与土壤接触立即失去活性，宜作茎叶处理。 2. 喷药后4小时内降雨，药效会降低，可酌情补喷。 3. 注意风向，防止药雾飘移到附近作物上造成药害。 4. 本品对眼睛有刺激性，使用时避免接触眼睛，穿戴长衣、长裤、帽子、口罩、手套等防护措施。避免吸入药液。施药期间不可吃东西、喝水和吸烟。施药后应及时洗手和洗脸。水产养殖区、河塘等水体附近禁用，禁止在河塘等水域清洗施药器具。5. 剩余药液或空容器要妥善处理，不可随意丢弃，亦不可做它用，不要污染水源、水系及污染食物和饲料。 6. 孕妇和哺乳期妇女禁止接触此药。7. 本品对蜜蜂、鱼类等水生生物、家蚕有毒，施药期间应避免对周围蜂群的影响，桑园最外围一排作为隔离带。9. 赤眼蜂等天敌放飞区域禁用，鸟类保护区禁用。</w:t>
            </w:r>
          </w:p>
        </w:tc>
      </w:tr>
      <w:tr w14:paraId="7F8C1956">
        <w:tblPrEx>
          <w:tblCellMar>
            <w:top w:w="0" w:type="dxa"/>
            <w:left w:w="0" w:type="dxa"/>
            <w:bottom w:w="0" w:type="dxa"/>
            <w:right w:w="0" w:type="dxa"/>
          </w:tblCellMar>
        </w:tblPrEx>
        <w:trPr>
          <w:wBefore w:w="0" w:type="auto"/>
          <w:tblCellSpacing w:w="0" w:type="dxa"/>
        </w:trPr>
        <w:tc>
          <w:tcPr>
            <w:tcW w:w="0" w:type="auto"/>
            <w:noWrap w:val="0"/>
            <w:vAlign w:val="center"/>
          </w:tcPr>
          <w:p w14:paraId="2E4E6E06">
            <w:r>
              <w:rPr>
                <w:rStyle w:val="10"/>
                <w:rFonts w:hint="eastAsia"/>
              </w:rPr>
              <w:t>中毒急救措施：</w:t>
            </w:r>
            <w:r>
              <w:rPr>
                <w:rFonts w:hint="eastAsia"/>
              </w:rPr>
              <w:br w:type="textWrapping"/>
            </w:r>
            <w:r>
              <w:rPr>
                <w:rStyle w:val="11"/>
                <w:rFonts w:hint="eastAsia"/>
              </w:rPr>
              <w:t xml:space="preserve">中毒症状：对眼睛或粘膜有刺激作用。 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用清水充分漱口后，立即携带标签到医院对症治疗。 </w:t>
            </w:r>
          </w:p>
        </w:tc>
      </w:tr>
      <w:tr w14:paraId="4B0ABB2A">
        <w:tblPrEx>
          <w:tblCellMar>
            <w:top w:w="0" w:type="dxa"/>
            <w:left w:w="0" w:type="dxa"/>
            <w:bottom w:w="0" w:type="dxa"/>
            <w:right w:w="0" w:type="dxa"/>
          </w:tblCellMar>
        </w:tblPrEx>
        <w:trPr>
          <w:wBefore w:w="0" w:type="auto"/>
          <w:tblCellSpacing w:w="0" w:type="dxa"/>
        </w:trPr>
        <w:tc>
          <w:tcPr>
            <w:tcW w:w="0" w:type="auto"/>
            <w:noWrap w:val="0"/>
            <w:vAlign w:val="center"/>
          </w:tcPr>
          <w:p w14:paraId="05C92D6F">
            <w:r>
              <w:rPr>
                <w:rStyle w:val="10"/>
                <w:rFonts w:hint="eastAsia"/>
              </w:rPr>
              <w:t>储存和运输方法：</w:t>
            </w:r>
            <w:r>
              <w:rPr>
                <w:rFonts w:hint="eastAsia"/>
              </w:rPr>
              <w:br w:type="textWrapping"/>
            </w:r>
            <w:r>
              <w:rPr>
                <w:rStyle w:val="11"/>
                <w:rFonts w:hint="eastAsia"/>
              </w:rPr>
              <w:t xml:space="preserve">本品应贮存在干燥、通风、阴凉、防雨处，远离火源或热源；本品应置于儿童、无关人员及动物接触不到的地方，并加锁保存；勿与食品、饮料、饲料、粮食等其他商品同贮同运；运输时应注意避光、防高温、雨淋。 </w:t>
            </w:r>
          </w:p>
        </w:tc>
      </w:tr>
      <w:tr w14:paraId="692F20E7">
        <w:tblPrEx>
          <w:tblCellMar>
            <w:top w:w="0" w:type="dxa"/>
            <w:left w:w="0" w:type="dxa"/>
            <w:bottom w:w="0" w:type="dxa"/>
            <w:right w:w="0" w:type="dxa"/>
          </w:tblCellMar>
        </w:tblPrEx>
        <w:trPr>
          <w:wBefore w:w="0" w:type="auto"/>
          <w:tblCellSpacing w:w="0" w:type="dxa"/>
        </w:trPr>
        <w:tc>
          <w:tcPr>
            <w:tcW w:w="0" w:type="auto"/>
            <w:noWrap w:val="0"/>
            <w:vAlign w:val="center"/>
          </w:tcPr>
          <w:p w14:paraId="37C222C8">
            <w:r>
              <w:rPr>
                <w:rStyle w:val="10"/>
                <w:rFonts w:hint="eastAsia"/>
              </w:rPr>
              <w:t>质量保证期：</w:t>
            </w:r>
            <w:r>
              <w:rPr>
                <w:rStyle w:val="11"/>
                <w:rFonts w:hint="eastAsia"/>
              </w:rPr>
              <w:t>2年</w:t>
            </w:r>
          </w:p>
        </w:tc>
      </w:tr>
      <w:tr w14:paraId="3C7F2480">
        <w:tblPrEx>
          <w:tblCellMar>
            <w:top w:w="0" w:type="dxa"/>
            <w:left w:w="0" w:type="dxa"/>
            <w:bottom w:w="0" w:type="dxa"/>
            <w:right w:w="0" w:type="dxa"/>
          </w:tblCellMar>
        </w:tblPrEx>
        <w:trPr>
          <w:wBefore w:w="0" w:type="auto"/>
          <w:tblCellSpacing w:w="0" w:type="dxa"/>
        </w:trPr>
        <w:tc>
          <w:tcPr>
            <w:tcW w:w="0" w:type="auto"/>
            <w:noWrap w:val="0"/>
            <w:vAlign w:val="center"/>
          </w:tcPr>
          <w:p w14:paraId="00BE097F">
            <w:r>
              <w:rPr>
                <w:rStyle w:val="10"/>
                <w:rFonts w:hint="eastAsia"/>
              </w:rPr>
              <w:t>备注：</w:t>
            </w:r>
          </w:p>
        </w:tc>
      </w:tr>
    </w:tbl>
    <w:p w14:paraId="32987D0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F1483D">
        <w:tblPrEx>
          <w:tblCellMar>
            <w:top w:w="0" w:type="dxa"/>
            <w:left w:w="0" w:type="dxa"/>
            <w:bottom w:w="0" w:type="dxa"/>
            <w:right w:w="0" w:type="dxa"/>
          </w:tblCellMar>
        </w:tblPrEx>
        <w:trPr>
          <w:wBefore w:w="0" w:type="auto"/>
          <w:tblCellSpacing w:w="0" w:type="dxa"/>
        </w:trPr>
        <w:tc>
          <w:tcPr>
            <w:tcW w:w="0" w:type="auto"/>
            <w:noWrap w:val="0"/>
            <w:vAlign w:val="center"/>
          </w:tcPr>
          <w:p w14:paraId="0D5CDC39">
            <w:r>
              <w:rPr>
                <w:rStyle w:val="10"/>
                <w:rFonts w:hint="eastAsia"/>
              </w:rPr>
              <w:t>登记证号：</w:t>
            </w:r>
            <w:r>
              <w:rPr>
                <w:rFonts w:hint="eastAsia"/>
              </w:rPr>
              <w:t>PD20211697</w:t>
            </w:r>
          </w:p>
        </w:tc>
      </w:tr>
      <w:tr w14:paraId="2255A24E">
        <w:tblPrEx>
          <w:tblCellMar>
            <w:top w:w="0" w:type="dxa"/>
            <w:left w:w="0" w:type="dxa"/>
            <w:bottom w:w="0" w:type="dxa"/>
            <w:right w:w="0" w:type="dxa"/>
          </w:tblCellMar>
        </w:tblPrEx>
        <w:trPr>
          <w:wBefore w:w="0" w:type="auto"/>
          <w:tblCellSpacing w:w="0" w:type="dxa"/>
        </w:trPr>
        <w:tc>
          <w:tcPr>
            <w:tcW w:w="0" w:type="auto"/>
            <w:noWrap w:val="0"/>
            <w:vAlign w:val="center"/>
          </w:tcPr>
          <w:p w14:paraId="25A01DBB">
            <w:r>
              <w:rPr>
                <w:rStyle w:val="10"/>
                <w:rFonts w:hint="eastAsia"/>
              </w:rPr>
              <w:t>登记证持有人：</w:t>
            </w:r>
            <w:r>
              <w:rPr>
                <w:rFonts w:hint="eastAsia"/>
              </w:rPr>
              <w:t>天津市华宇农药有限公司</w:t>
            </w:r>
          </w:p>
        </w:tc>
      </w:tr>
      <w:tr w14:paraId="1A14F5E0">
        <w:tblPrEx>
          <w:tblCellMar>
            <w:top w:w="0" w:type="dxa"/>
            <w:left w:w="0" w:type="dxa"/>
            <w:bottom w:w="0" w:type="dxa"/>
            <w:right w:w="0" w:type="dxa"/>
          </w:tblCellMar>
        </w:tblPrEx>
        <w:trPr>
          <w:wBefore w:w="0" w:type="auto"/>
          <w:tblCellSpacing w:w="0" w:type="dxa"/>
        </w:trPr>
        <w:tc>
          <w:tcPr>
            <w:tcW w:w="0" w:type="auto"/>
            <w:noWrap w:val="0"/>
            <w:vAlign w:val="center"/>
          </w:tcPr>
          <w:p w14:paraId="0E678C6A">
            <w:r>
              <w:rPr>
                <w:rStyle w:val="10"/>
                <w:rFonts w:hint="eastAsia"/>
              </w:rPr>
              <w:t>农药名称：</w:t>
            </w:r>
            <w:r>
              <w:rPr>
                <w:rFonts w:hint="eastAsia"/>
              </w:rPr>
              <w:t>噻虫·咯·霜灵</w:t>
            </w:r>
          </w:p>
        </w:tc>
      </w:tr>
      <w:tr w14:paraId="47EDD6AF">
        <w:tblPrEx>
          <w:tblCellMar>
            <w:top w:w="0" w:type="dxa"/>
            <w:left w:w="0" w:type="dxa"/>
            <w:bottom w:w="0" w:type="dxa"/>
            <w:right w:w="0" w:type="dxa"/>
          </w:tblCellMar>
        </w:tblPrEx>
        <w:trPr>
          <w:wBefore w:w="0" w:type="auto"/>
          <w:tblCellSpacing w:w="0" w:type="dxa"/>
        </w:trPr>
        <w:tc>
          <w:tcPr>
            <w:tcW w:w="0" w:type="auto"/>
            <w:noWrap w:val="0"/>
            <w:vAlign w:val="center"/>
          </w:tcPr>
          <w:p w14:paraId="3F0DB6DA">
            <w:r>
              <w:rPr>
                <w:rStyle w:val="10"/>
                <w:rFonts w:hint="eastAsia"/>
              </w:rPr>
              <w:t>剂型：</w:t>
            </w:r>
            <w:r>
              <w:rPr>
                <w:rFonts w:hint="eastAsia"/>
              </w:rPr>
              <w:t>种子处理悬浮剂</w:t>
            </w:r>
          </w:p>
        </w:tc>
      </w:tr>
      <w:tr w14:paraId="0802DB6D">
        <w:tblPrEx>
          <w:tblCellMar>
            <w:top w:w="0" w:type="dxa"/>
            <w:left w:w="0" w:type="dxa"/>
            <w:bottom w:w="0" w:type="dxa"/>
            <w:right w:w="0" w:type="dxa"/>
          </w:tblCellMar>
        </w:tblPrEx>
        <w:trPr>
          <w:wBefore w:w="0" w:type="auto"/>
          <w:tblCellSpacing w:w="0" w:type="dxa"/>
        </w:trPr>
        <w:tc>
          <w:tcPr>
            <w:tcW w:w="0" w:type="auto"/>
            <w:noWrap w:val="0"/>
            <w:vAlign w:val="center"/>
          </w:tcPr>
          <w:p w14:paraId="06DA9765">
            <w:r>
              <w:rPr>
                <w:rStyle w:val="10"/>
                <w:rFonts w:hint="eastAsia"/>
              </w:rPr>
              <w:t>毒性及其标识：</w:t>
            </w:r>
            <w:r>
              <w:rPr>
                <w:rFonts w:hint="eastAsia"/>
              </w:rPr>
              <w:t xml:space="preserve"> 微毒 </w:t>
            </w:r>
          </w:p>
        </w:tc>
      </w:tr>
      <w:tr w14:paraId="3FDFDA27">
        <w:tblPrEx>
          <w:tblCellMar>
            <w:top w:w="0" w:type="dxa"/>
            <w:left w:w="0" w:type="dxa"/>
            <w:bottom w:w="0" w:type="dxa"/>
            <w:right w:w="0" w:type="dxa"/>
          </w:tblCellMar>
        </w:tblPrEx>
        <w:trPr>
          <w:wBefore w:w="0" w:type="auto"/>
          <w:tblCellSpacing w:w="0" w:type="dxa"/>
        </w:trPr>
        <w:tc>
          <w:tcPr>
            <w:tcW w:w="0" w:type="auto"/>
            <w:noWrap w:val="0"/>
            <w:vAlign w:val="center"/>
          </w:tcPr>
          <w:p w14:paraId="17A2AADD">
            <w:r>
              <w:rPr>
                <w:rStyle w:val="10"/>
                <w:rFonts w:hint="eastAsia"/>
              </w:rPr>
              <w:t>总有效成分含量：</w:t>
            </w:r>
            <w:r>
              <w:rPr>
                <w:rFonts w:hint="eastAsia"/>
              </w:rPr>
              <w:t>26%</w:t>
            </w:r>
          </w:p>
        </w:tc>
      </w:tr>
      <w:tr w14:paraId="6E42D423">
        <w:tblPrEx>
          <w:tblCellMar>
            <w:top w:w="0" w:type="dxa"/>
            <w:left w:w="0" w:type="dxa"/>
            <w:bottom w:w="0" w:type="dxa"/>
            <w:right w:w="0" w:type="dxa"/>
          </w:tblCellMar>
        </w:tblPrEx>
        <w:trPr>
          <w:wBefore w:w="0" w:type="auto"/>
          <w:tblCellSpacing w:w="0" w:type="dxa"/>
        </w:trPr>
        <w:tc>
          <w:tcPr>
            <w:tcW w:w="0" w:type="auto"/>
            <w:noWrap w:val="0"/>
            <w:vAlign w:val="center"/>
          </w:tcPr>
          <w:p w14:paraId="340101C9">
            <w:r>
              <w:rPr>
                <w:rFonts w:hint="eastAsia"/>
              </w:rPr>
              <w:t xml:space="preserve">有效成分及其含量： </w:t>
            </w:r>
          </w:p>
          <w:p w14:paraId="66D05DB4">
            <w:r>
              <w:rPr>
                <w:rFonts w:hint="eastAsia"/>
              </w:rPr>
              <w:t xml:space="preserve">    噻虫胺25%    咯菌腈0.7%    精甲霜灵0.3%    </w:t>
            </w:r>
          </w:p>
        </w:tc>
      </w:tr>
      <w:tr w14:paraId="1A718246">
        <w:tblPrEx>
          <w:tblCellMar>
            <w:top w:w="0" w:type="dxa"/>
            <w:left w:w="0" w:type="dxa"/>
            <w:bottom w:w="0" w:type="dxa"/>
            <w:right w:w="0" w:type="dxa"/>
          </w:tblCellMar>
        </w:tblPrEx>
        <w:trPr>
          <w:wBefore w:w="0" w:type="auto"/>
          <w:tblCellSpacing w:w="0" w:type="dxa"/>
        </w:trPr>
        <w:tc>
          <w:tcPr>
            <w:tcW w:w="0" w:type="auto"/>
            <w:noWrap w:val="0"/>
            <w:vAlign w:val="center"/>
          </w:tcPr>
          <w:p w14:paraId="26872B6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B96A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AC9A84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27D1DA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ACAB4A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3D3C439">
                  <w:r>
                    <w:rPr>
                      <w:rStyle w:val="11"/>
                      <w:rFonts w:hint="eastAsia"/>
                    </w:rPr>
                    <w:t>施用方式</w:t>
                  </w:r>
                </w:p>
              </w:tc>
            </w:tr>
            <w:tr w14:paraId="2C99501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A84DD5">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16BEA8">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7E63A5">
                  <w:r>
                    <w:rPr>
                      <w:rStyle w:val="11"/>
                      <w:rFonts w:hint="eastAsia"/>
                    </w:rPr>
                    <w:t>460-740克/100千克种子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F709AD">
                  <w:r>
                    <w:rPr>
                      <w:rStyle w:val="11"/>
                      <w:rFonts w:hint="eastAsia"/>
                    </w:rPr>
                    <w:t>种子包衣</w:t>
                  </w:r>
                </w:p>
              </w:tc>
            </w:tr>
            <w:tr w14:paraId="2CFF9F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830533C">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93AD70">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8CFE9B">
                  <w:r>
                    <w:rPr>
                      <w:rStyle w:val="11"/>
                      <w:rFonts w:hint="eastAsia"/>
                    </w:rPr>
                    <w:t>460-740克/100千克种子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EC0FA4">
                  <w:r>
                    <w:rPr>
                      <w:rStyle w:val="11"/>
                      <w:rFonts w:hint="eastAsia"/>
                    </w:rPr>
                    <w:t>种子包衣</w:t>
                  </w:r>
                </w:p>
              </w:tc>
            </w:tr>
          </w:tbl>
          <w:p w14:paraId="74EFD18B">
            <w:pPr>
              <w:rPr>
                <w:rFonts w:ascii="Times New Roman" w:hAnsi="Times New Roman" w:cs="Times New Roman"/>
                <w:sz w:val="20"/>
                <w:szCs w:val="20"/>
              </w:rPr>
            </w:pPr>
          </w:p>
        </w:tc>
      </w:tr>
      <w:tr w14:paraId="7156EEE4">
        <w:tblPrEx>
          <w:tblCellMar>
            <w:top w:w="0" w:type="dxa"/>
            <w:left w:w="0" w:type="dxa"/>
            <w:bottom w:w="0" w:type="dxa"/>
            <w:right w:w="0" w:type="dxa"/>
          </w:tblCellMar>
        </w:tblPrEx>
        <w:trPr>
          <w:wBefore w:w="0" w:type="auto"/>
          <w:tblCellSpacing w:w="0" w:type="dxa"/>
        </w:trPr>
        <w:tc>
          <w:tcPr>
            <w:tcW w:w="0" w:type="auto"/>
            <w:noWrap w:val="0"/>
            <w:vAlign w:val="center"/>
          </w:tcPr>
          <w:p w14:paraId="1F460997">
            <w:r>
              <w:rPr>
                <w:rStyle w:val="10"/>
                <w:rFonts w:hint="eastAsia"/>
              </w:rPr>
              <w:t>使用技术要求:</w:t>
            </w:r>
            <w:r>
              <w:rPr>
                <w:rFonts w:hint="eastAsia"/>
              </w:rPr>
              <w:br w:type="textWrapping"/>
            </w:r>
            <w:r>
              <w:rPr>
                <w:rStyle w:val="11"/>
                <w:rFonts w:hint="eastAsia"/>
              </w:rPr>
              <w:t>1. 用于处理的种子应达到国家良种标准。2. 播种前进行种子包衣，根据播种量确定推荐用量的药剂，加入适量清水稀释并搅拌均匀成药浆，与种子充分搅拌，直到药液均匀分布到种子表面，晾干后即可播种。3.配制好的药液应在24小时内使用。4.每季最多使用次数为1次。</w:t>
            </w:r>
          </w:p>
        </w:tc>
      </w:tr>
      <w:tr w14:paraId="5551BEA6">
        <w:tblPrEx>
          <w:tblCellMar>
            <w:top w:w="0" w:type="dxa"/>
            <w:left w:w="0" w:type="dxa"/>
            <w:bottom w:w="0" w:type="dxa"/>
            <w:right w:w="0" w:type="dxa"/>
          </w:tblCellMar>
        </w:tblPrEx>
        <w:trPr>
          <w:wBefore w:w="0" w:type="auto"/>
          <w:tblCellSpacing w:w="0" w:type="dxa"/>
        </w:trPr>
        <w:tc>
          <w:tcPr>
            <w:tcW w:w="0" w:type="auto"/>
            <w:noWrap w:val="0"/>
            <w:vAlign w:val="center"/>
          </w:tcPr>
          <w:p w14:paraId="720F2C57">
            <w:r>
              <w:rPr>
                <w:rStyle w:val="10"/>
                <w:rFonts w:hint="eastAsia"/>
              </w:rPr>
              <w:t>产品性能:</w:t>
            </w:r>
            <w:r>
              <w:rPr>
                <w:rFonts w:hint="eastAsia"/>
              </w:rPr>
              <w:br w:type="textWrapping"/>
            </w:r>
            <w:r>
              <w:rPr>
                <w:rStyle w:val="11"/>
                <w:rFonts w:hint="eastAsia"/>
              </w:rPr>
              <w:t>本品为三元复配杀虫杀菌剂。其中的噻虫胺是一种结构全新的烟碱类杀虫剂。用于种子处理，可被作物根迅速内吸，并传导到植株各部位。精甲霜灵为内吸性苯胺类化合物，对卵菌纲真菌如腐霉等低等真菌引起的多种种传和土传病害有非常好的防效。咯菌腈为非内吸苯吡咯类化合物，高效广谱，对子囊菌、半知菌等许多病原菌引起的种传和土传病害有非常好的防效。</w:t>
            </w:r>
          </w:p>
        </w:tc>
      </w:tr>
      <w:tr w14:paraId="69244FD8">
        <w:tblPrEx>
          <w:tblCellMar>
            <w:top w:w="0" w:type="dxa"/>
            <w:left w:w="0" w:type="dxa"/>
            <w:bottom w:w="0" w:type="dxa"/>
            <w:right w:w="0" w:type="dxa"/>
          </w:tblCellMar>
        </w:tblPrEx>
        <w:trPr>
          <w:wBefore w:w="0" w:type="auto"/>
          <w:tblCellSpacing w:w="0" w:type="dxa"/>
        </w:trPr>
        <w:tc>
          <w:tcPr>
            <w:tcW w:w="0" w:type="auto"/>
            <w:noWrap w:val="0"/>
            <w:vAlign w:val="center"/>
          </w:tcPr>
          <w:p w14:paraId="1C3A370D">
            <w:r>
              <w:rPr>
                <w:rStyle w:val="10"/>
                <w:rFonts w:hint="eastAsia"/>
              </w:rPr>
              <w:t>注意事项：</w:t>
            </w:r>
            <w:r>
              <w:rPr>
                <w:rFonts w:hint="eastAsia"/>
              </w:rPr>
              <w:br w:type="textWrapping"/>
            </w:r>
            <w:r>
              <w:rPr>
                <w:rStyle w:val="11"/>
                <w:rFonts w:hint="eastAsia"/>
              </w:rPr>
              <w:t>1. 请按照农药安全使用准则使用本品。 2. 请勿将本品与氧化性物质接触。 3. 该产品对眼睛有刺激性，使用时避免接触眼睛。使用本品应采取相应的安全防护措施，穿防护服，戴防护手套、口罩等，避免皮肤接触及口鼻吸入。使用中不可吸烟、饮水及吃东西，使用后及时清洗手、脸等暴露部位皮肤并更换衣物。 4. 本品对鸟类风险性较高，鸟类保护区及其附近禁止使用。玉米播种后及时覆土，立即清理裸露在土壤表面的染毒种子。 5. 在水产养殖区、河塘等水体附近禁用，请勿将制剂及其废液弃于池塘、河溪和湖泊等，以免污染水源；禁止在河塘等水体中清洗施药器具；施药后的田水不得直接排入水体。 6. （周围）开花植物花期禁用，使用期间应密切关注对附近蜂群的影响天敌放飞区域禁用。7. 用过的容器要妥善处理，不可作他用，也不可随意丢弃。 8. 孕妇及哺乳期妇女禁止接触本品。</w:t>
            </w:r>
          </w:p>
        </w:tc>
      </w:tr>
      <w:tr w14:paraId="5B0678FF">
        <w:tblPrEx>
          <w:tblCellMar>
            <w:top w:w="0" w:type="dxa"/>
            <w:left w:w="0" w:type="dxa"/>
            <w:bottom w:w="0" w:type="dxa"/>
            <w:right w:w="0" w:type="dxa"/>
          </w:tblCellMar>
        </w:tblPrEx>
        <w:trPr>
          <w:wBefore w:w="0" w:type="auto"/>
          <w:tblCellSpacing w:w="0" w:type="dxa"/>
        </w:trPr>
        <w:tc>
          <w:tcPr>
            <w:tcW w:w="0" w:type="auto"/>
            <w:noWrap w:val="0"/>
            <w:vAlign w:val="center"/>
          </w:tcPr>
          <w:p w14:paraId="21F1F3D8">
            <w:r>
              <w:rPr>
                <w:rStyle w:val="10"/>
                <w:rFonts w:hint="eastAsia"/>
              </w:rPr>
              <w:t>中毒急救措施：</w:t>
            </w:r>
            <w:r>
              <w:rPr>
                <w:rFonts w:hint="eastAsia"/>
              </w:rPr>
              <w:br w:type="textWrapping"/>
            </w:r>
            <w:r>
              <w:rPr>
                <w:rStyle w:val="11"/>
                <w:rFonts w:hint="eastAsia"/>
              </w:rPr>
              <w:t>用药时或用药后如果感觉不适，立即停止工作，采取急救措施，并携此标签送医就诊。1.皮肤接触：立即脱去被污染的衣物，用肥皂和大量清水冲洗皮肤暴露部位。如皮肤刺激感持续，请医生诊治。2.眼睛溅药：立即提起眼睑，用大量流动清水彻底冲洗至少15分钟，再请医生诊治。3.发生吸入：立即将吸入者转移到空气新鲜处，注意保暖和休息，请医生诊治。4.误服：请勿自行引吐。立即携带标签，送医就诊。注意：对昏迷病人，切勿经口喂入任何东西或自行催吐。</w:t>
            </w:r>
          </w:p>
        </w:tc>
      </w:tr>
      <w:tr w14:paraId="7EEC995E">
        <w:tblPrEx>
          <w:tblCellMar>
            <w:top w:w="0" w:type="dxa"/>
            <w:left w:w="0" w:type="dxa"/>
            <w:bottom w:w="0" w:type="dxa"/>
            <w:right w:w="0" w:type="dxa"/>
          </w:tblCellMar>
        </w:tblPrEx>
        <w:trPr>
          <w:wBefore w:w="0" w:type="auto"/>
          <w:tblCellSpacing w:w="0" w:type="dxa"/>
        </w:trPr>
        <w:tc>
          <w:tcPr>
            <w:tcW w:w="0" w:type="auto"/>
            <w:noWrap w:val="0"/>
            <w:vAlign w:val="center"/>
          </w:tcPr>
          <w:p w14:paraId="6D634236">
            <w:r>
              <w:rPr>
                <w:rStyle w:val="10"/>
                <w:rFonts w:hint="eastAsia"/>
              </w:rPr>
              <w:t>储存和运输方法：</w:t>
            </w:r>
            <w:r>
              <w:rPr>
                <w:rFonts w:hint="eastAsia"/>
              </w:rPr>
              <w:br w:type="textWrapping"/>
            </w:r>
            <w:r>
              <w:rPr>
                <w:rStyle w:val="11"/>
                <w:rFonts w:hint="eastAsia"/>
              </w:rPr>
              <w:t>本品应储存在干燥、阴凉、通风、防雨处，远离火源或热源，置于儿童及无关人员触及不到的地方，并加锁。贮运时，严防潮湿和日晒，不得与食物、种子、饲料和粮食等同贮同运，避免与皮肤、眼睛接触，防止由口鼻吸入。产品码放高度不宜过高，装卸时注意不要磕碰，以免桶体变形或破裂。</w:t>
            </w:r>
          </w:p>
        </w:tc>
      </w:tr>
      <w:tr w14:paraId="76309424">
        <w:tblPrEx>
          <w:tblCellMar>
            <w:top w:w="0" w:type="dxa"/>
            <w:left w:w="0" w:type="dxa"/>
            <w:bottom w:w="0" w:type="dxa"/>
            <w:right w:w="0" w:type="dxa"/>
          </w:tblCellMar>
        </w:tblPrEx>
        <w:trPr>
          <w:wBefore w:w="0" w:type="auto"/>
          <w:tblCellSpacing w:w="0" w:type="dxa"/>
        </w:trPr>
        <w:tc>
          <w:tcPr>
            <w:tcW w:w="0" w:type="auto"/>
            <w:noWrap w:val="0"/>
            <w:vAlign w:val="center"/>
          </w:tcPr>
          <w:p w14:paraId="4692CD37">
            <w:r>
              <w:rPr>
                <w:rStyle w:val="10"/>
                <w:rFonts w:hint="eastAsia"/>
              </w:rPr>
              <w:t>质量保证期：</w:t>
            </w:r>
            <w:r>
              <w:rPr>
                <w:rStyle w:val="11"/>
                <w:rFonts w:hint="eastAsia"/>
              </w:rPr>
              <w:t>2年</w:t>
            </w:r>
          </w:p>
        </w:tc>
      </w:tr>
      <w:tr w14:paraId="36FBDC55">
        <w:tblPrEx>
          <w:tblCellMar>
            <w:top w:w="0" w:type="dxa"/>
            <w:left w:w="0" w:type="dxa"/>
            <w:bottom w:w="0" w:type="dxa"/>
            <w:right w:w="0" w:type="dxa"/>
          </w:tblCellMar>
        </w:tblPrEx>
        <w:trPr>
          <w:wBefore w:w="0" w:type="auto"/>
          <w:tblCellSpacing w:w="0" w:type="dxa"/>
        </w:trPr>
        <w:tc>
          <w:tcPr>
            <w:tcW w:w="0" w:type="auto"/>
            <w:noWrap w:val="0"/>
            <w:vAlign w:val="center"/>
          </w:tcPr>
          <w:p w14:paraId="469B6AB7">
            <w:r>
              <w:rPr>
                <w:rStyle w:val="10"/>
                <w:rFonts w:hint="eastAsia"/>
              </w:rPr>
              <w:t>备注：</w:t>
            </w:r>
          </w:p>
        </w:tc>
      </w:tr>
    </w:tbl>
    <w:p w14:paraId="038C409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F4BA7E">
        <w:tblPrEx>
          <w:tblCellMar>
            <w:top w:w="0" w:type="dxa"/>
            <w:left w:w="0" w:type="dxa"/>
            <w:bottom w:w="0" w:type="dxa"/>
            <w:right w:w="0" w:type="dxa"/>
          </w:tblCellMar>
        </w:tblPrEx>
        <w:trPr>
          <w:wBefore w:w="0" w:type="auto"/>
          <w:tblCellSpacing w:w="0" w:type="dxa"/>
        </w:trPr>
        <w:tc>
          <w:tcPr>
            <w:tcW w:w="0" w:type="auto"/>
            <w:noWrap w:val="0"/>
            <w:vAlign w:val="center"/>
          </w:tcPr>
          <w:p w14:paraId="2EE80F18">
            <w:r>
              <w:rPr>
                <w:rStyle w:val="10"/>
                <w:rFonts w:hint="eastAsia"/>
              </w:rPr>
              <w:t>登记证号：</w:t>
            </w:r>
            <w:r>
              <w:rPr>
                <w:rFonts w:hint="eastAsia"/>
              </w:rPr>
              <w:t>PD20211810</w:t>
            </w:r>
          </w:p>
        </w:tc>
      </w:tr>
      <w:tr w14:paraId="4338BB38">
        <w:tblPrEx>
          <w:tblCellMar>
            <w:top w:w="0" w:type="dxa"/>
            <w:left w:w="0" w:type="dxa"/>
            <w:bottom w:w="0" w:type="dxa"/>
            <w:right w:w="0" w:type="dxa"/>
          </w:tblCellMar>
        </w:tblPrEx>
        <w:trPr>
          <w:wBefore w:w="0" w:type="auto"/>
          <w:tblCellSpacing w:w="0" w:type="dxa"/>
        </w:trPr>
        <w:tc>
          <w:tcPr>
            <w:tcW w:w="0" w:type="auto"/>
            <w:noWrap w:val="0"/>
            <w:vAlign w:val="center"/>
          </w:tcPr>
          <w:p w14:paraId="65A7F9F5">
            <w:r>
              <w:rPr>
                <w:rStyle w:val="10"/>
                <w:rFonts w:hint="eastAsia"/>
              </w:rPr>
              <w:t>登记证持有人：</w:t>
            </w:r>
            <w:r>
              <w:rPr>
                <w:rFonts w:hint="eastAsia"/>
              </w:rPr>
              <w:t>康拓森生物科技有限公司</w:t>
            </w:r>
          </w:p>
        </w:tc>
      </w:tr>
      <w:tr w14:paraId="13CEB8EB">
        <w:tblPrEx>
          <w:tblCellMar>
            <w:top w:w="0" w:type="dxa"/>
            <w:left w:w="0" w:type="dxa"/>
            <w:bottom w:w="0" w:type="dxa"/>
            <w:right w:w="0" w:type="dxa"/>
          </w:tblCellMar>
        </w:tblPrEx>
        <w:trPr>
          <w:wBefore w:w="0" w:type="auto"/>
          <w:tblCellSpacing w:w="0" w:type="dxa"/>
        </w:trPr>
        <w:tc>
          <w:tcPr>
            <w:tcW w:w="0" w:type="auto"/>
            <w:noWrap w:val="0"/>
            <w:vAlign w:val="center"/>
          </w:tcPr>
          <w:p w14:paraId="75B13D46">
            <w:r>
              <w:rPr>
                <w:rStyle w:val="10"/>
                <w:rFonts w:hint="eastAsia"/>
              </w:rPr>
              <w:t>农药名称：</w:t>
            </w:r>
            <w:r>
              <w:rPr>
                <w:rFonts w:hint="eastAsia"/>
              </w:rPr>
              <w:t>虱脲·虫螨腈</w:t>
            </w:r>
          </w:p>
        </w:tc>
      </w:tr>
      <w:tr w14:paraId="01AACBD2">
        <w:tblPrEx>
          <w:tblCellMar>
            <w:top w:w="0" w:type="dxa"/>
            <w:left w:w="0" w:type="dxa"/>
            <w:bottom w:w="0" w:type="dxa"/>
            <w:right w:w="0" w:type="dxa"/>
          </w:tblCellMar>
        </w:tblPrEx>
        <w:trPr>
          <w:wBefore w:w="0" w:type="auto"/>
          <w:tblCellSpacing w:w="0" w:type="dxa"/>
        </w:trPr>
        <w:tc>
          <w:tcPr>
            <w:tcW w:w="0" w:type="auto"/>
            <w:noWrap w:val="0"/>
            <w:vAlign w:val="center"/>
          </w:tcPr>
          <w:p w14:paraId="3357CA58">
            <w:r>
              <w:rPr>
                <w:rStyle w:val="10"/>
                <w:rFonts w:hint="eastAsia"/>
              </w:rPr>
              <w:t>剂型：</w:t>
            </w:r>
            <w:r>
              <w:rPr>
                <w:rFonts w:hint="eastAsia"/>
              </w:rPr>
              <w:t>悬浮剂</w:t>
            </w:r>
          </w:p>
        </w:tc>
      </w:tr>
      <w:tr w14:paraId="2416657D">
        <w:tblPrEx>
          <w:tblCellMar>
            <w:top w:w="0" w:type="dxa"/>
            <w:left w:w="0" w:type="dxa"/>
            <w:bottom w:w="0" w:type="dxa"/>
            <w:right w:w="0" w:type="dxa"/>
          </w:tblCellMar>
        </w:tblPrEx>
        <w:trPr>
          <w:wBefore w:w="0" w:type="auto"/>
          <w:tblCellSpacing w:w="0" w:type="dxa"/>
        </w:trPr>
        <w:tc>
          <w:tcPr>
            <w:tcW w:w="0" w:type="auto"/>
            <w:noWrap w:val="0"/>
            <w:vAlign w:val="center"/>
          </w:tcPr>
          <w:p w14:paraId="0723F28D">
            <w:r>
              <w:rPr>
                <w:rStyle w:val="10"/>
                <w:rFonts w:hint="eastAsia"/>
              </w:rPr>
              <w:t>毒性及其标识：</w:t>
            </w:r>
            <w:r>
              <w:rPr>
                <w:rFonts w:hint="eastAsia"/>
              </w:rPr>
              <w:t xml:space="preserve"> </w:t>
            </w:r>
            <w:r>
              <w:rPr>
                <w:lang/>
              </w:rPr>
              <w:drawing>
                <wp:inline distT="0" distB="0" distL="114300" distR="114300">
                  <wp:extent cx="476250" cy="323850"/>
                  <wp:effectExtent l="0" t="0" r="0" b="0"/>
                  <wp:docPr id="397" name="图片 39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2D82F78">
        <w:tblPrEx>
          <w:tblCellMar>
            <w:top w:w="0" w:type="dxa"/>
            <w:left w:w="0" w:type="dxa"/>
            <w:bottom w:w="0" w:type="dxa"/>
            <w:right w:w="0" w:type="dxa"/>
          </w:tblCellMar>
        </w:tblPrEx>
        <w:trPr>
          <w:wBefore w:w="0" w:type="auto"/>
          <w:tblCellSpacing w:w="0" w:type="dxa"/>
        </w:trPr>
        <w:tc>
          <w:tcPr>
            <w:tcW w:w="0" w:type="auto"/>
            <w:noWrap w:val="0"/>
            <w:vAlign w:val="center"/>
          </w:tcPr>
          <w:p w14:paraId="2A400582">
            <w:r>
              <w:rPr>
                <w:rStyle w:val="10"/>
                <w:rFonts w:hint="eastAsia"/>
              </w:rPr>
              <w:t>总有效成分含量：</w:t>
            </w:r>
            <w:r>
              <w:rPr>
                <w:rFonts w:hint="eastAsia"/>
              </w:rPr>
              <w:t>12%</w:t>
            </w:r>
          </w:p>
        </w:tc>
      </w:tr>
      <w:tr w14:paraId="19F64C7A">
        <w:tblPrEx>
          <w:tblCellMar>
            <w:top w:w="0" w:type="dxa"/>
            <w:left w:w="0" w:type="dxa"/>
            <w:bottom w:w="0" w:type="dxa"/>
            <w:right w:w="0" w:type="dxa"/>
          </w:tblCellMar>
        </w:tblPrEx>
        <w:trPr>
          <w:wBefore w:w="0" w:type="auto"/>
          <w:tblCellSpacing w:w="0" w:type="dxa"/>
        </w:trPr>
        <w:tc>
          <w:tcPr>
            <w:tcW w:w="0" w:type="auto"/>
            <w:noWrap w:val="0"/>
            <w:vAlign w:val="center"/>
          </w:tcPr>
          <w:p w14:paraId="489BADC7">
            <w:r>
              <w:rPr>
                <w:rFonts w:hint="eastAsia"/>
              </w:rPr>
              <w:t xml:space="preserve">有效成分及其含量： </w:t>
            </w:r>
          </w:p>
          <w:p w14:paraId="38D96958">
            <w:r>
              <w:rPr>
                <w:rFonts w:hint="eastAsia"/>
              </w:rPr>
              <w:t xml:space="preserve">    虫螨腈9.5%    虱螨脲2.5%    </w:t>
            </w:r>
          </w:p>
        </w:tc>
      </w:tr>
      <w:tr w14:paraId="2153A661">
        <w:tblPrEx>
          <w:tblCellMar>
            <w:top w:w="0" w:type="dxa"/>
            <w:left w:w="0" w:type="dxa"/>
            <w:bottom w:w="0" w:type="dxa"/>
            <w:right w:w="0" w:type="dxa"/>
          </w:tblCellMar>
        </w:tblPrEx>
        <w:trPr>
          <w:wBefore w:w="0" w:type="auto"/>
          <w:tblCellSpacing w:w="0" w:type="dxa"/>
        </w:trPr>
        <w:tc>
          <w:tcPr>
            <w:tcW w:w="0" w:type="auto"/>
            <w:noWrap w:val="0"/>
            <w:vAlign w:val="center"/>
          </w:tcPr>
          <w:p w14:paraId="7233428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7809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E3540F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54C96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01AD7B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FC324EA">
                  <w:r>
                    <w:rPr>
                      <w:rStyle w:val="11"/>
                      <w:rFonts w:hint="eastAsia"/>
                    </w:rPr>
                    <w:t>施用方式</w:t>
                  </w:r>
                </w:p>
              </w:tc>
            </w:tr>
            <w:tr w14:paraId="284DA3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351EE30">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73E001">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C3912D">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0DC7E5">
                  <w:r>
                    <w:rPr>
                      <w:rStyle w:val="11"/>
                      <w:rFonts w:hint="eastAsia"/>
                    </w:rPr>
                    <w:t>喷雾</w:t>
                  </w:r>
                </w:p>
              </w:tc>
            </w:tr>
          </w:tbl>
          <w:p w14:paraId="5EAFC56F">
            <w:pPr>
              <w:rPr>
                <w:rFonts w:ascii="Times New Roman" w:hAnsi="Times New Roman" w:cs="Times New Roman"/>
                <w:sz w:val="20"/>
                <w:szCs w:val="20"/>
              </w:rPr>
            </w:pPr>
          </w:p>
        </w:tc>
      </w:tr>
      <w:tr w14:paraId="439E3CA1">
        <w:tblPrEx>
          <w:tblCellMar>
            <w:top w:w="0" w:type="dxa"/>
            <w:left w:w="0" w:type="dxa"/>
            <w:bottom w:w="0" w:type="dxa"/>
            <w:right w:w="0" w:type="dxa"/>
          </w:tblCellMar>
        </w:tblPrEx>
        <w:trPr>
          <w:wBefore w:w="0" w:type="auto"/>
          <w:tblCellSpacing w:w="0" w:type="dxa"/>
        </w:trPr>
        <w:tc>
          <w:tcPr>
            <w:tcW w:w="0" w:type="auto"/>
            <w:noWrap w:val="0"/>
            <w:vAlign w:val="center"/>
          </w:tcPr>
          <w:p w14:paraId="22A472CA">
            <w:r>
              <w:rPr>
                <w:rStyle w:val="10"/>
                <w:rFonts w:hint="eastAsia"/>
              </w:rPr>
              <w:t>使用技术要求:</w:t>
            </w:r>
            <w:r>
              <w:rPr>
                <w:rFonts w:hint="eastAsia"/>
              </w:rPr>
              <w:br w:type="textWrapping"/>
            </w:r>
            <w:r>
              <w:rPr>
                <w:rStyle w:val="11"/>
                <w:rFonts w:hint="eastAsia"/>
              </w:rPr>
              <w:t>1、于甘蓝甜菜夜蛾虫害发生初期使用，均匀喷雾。2、大风天或者预计1小时内下雨请勿施药；3、每季最多使,1次，安全间隔期为14天。</w:t>
            </w:r>
          </w:p>
        </w:tc>
      </w:tr>
      <w:tr w14:paraId="7F650613">
        <w:tblPrEx>
          <w:tblCellMar>
            <w:top w:w="0" w:type="dxa"/>
            <w:left w:w="0" w:type="dxa"/>
            <w:bottom w:w="0" w:type="dxa"/>
            <w:right w:w="0" w:type="dxa"/>
          </w:tblCellMar>
        </w:tblPrEx>
        <w:trPr>
          <w:wBefore w:w="0" w:type="auto"/>
          <w:tblCellSpacing w:w="0" w:type="dxa"/>
        </w:trPr>
        <w:tc>
          <w:tcPr>
            <w:tcW w:w="0" w:type="auto"/>
            <w:noWrap w:val="0"/>
            <w:vAlign w:val="center"/>
          </w:tcPr>
          <w:p w14:paraId="61DBAA62">
            <w:r>
              <w:rPr>
                <w:rStyle w:val="10"/>
                <w:rFonts w:hint="eastAsia"/>
              </w:rPr>
              <w:t>产品性能:</w:t>
            </w:r>
            <w:r>
              <w:rPr>
                <w:rFonts w:hint="eastAsia"/>
              </w:rPr>
              <w:br w:type="textWrapping"/>
            </w:r>
            <w:r>
              <w:rPr>
                <w:rStyle w:val="11"/>
                <w:rFonts w:hint="eastAsia"/>
              </w:rPr>
              <w:t>本品是新型吡咯类化合物和取代脲类复配杀虫剂，具有胃毒、触杀和内吸作用，在叶面渗透性强，对甘蓝甜菜夜蛾有较好的防治效果。</w:t>
            </w:r>
          </w:p>
        </w:tc>
      </w:tr>
      <w:tr w14:paraId="12391F60">
        <w:tblPrEx>
          <w:tblCellMar>
            <w:top w:w="0" w:type="dxa"/>
            <w:left w:w="0" w:type="dxa"/>
            <w:bottom w:w="0" w:type="dxa"/>
            <w:right w:w="0" w:type="dxa"/>
          </w:tblCellMar>
        </w:tblPrEx>
        <w:trPr>
          <w:wBefore w:w="0" w:type="auto"/>
          <w:tblCellSpacing w:w="0" w:type="dxa"/>
        </w:trPr>
        <w:tc>
          <w:tcPr>
            <w:tcW w:w="0" w:type="auto"/>
            <w:noWrap w:val="0"/>
            <w:vAlign w:val="center"/>
          </w:tcPr>
          <w:p w14:paraId="13FD45E0">
            <w:r>
              <w:rPr>
                <w:rStyle w:val="10"/>
                <w:rFonts w:hint="eastAsia"/>
              </w:rPr>
              <w:t>注意事项：</w:t>
            </w:r>
            <w:r>
              <w:rPr>
                <w:rFonts w:hint="eastAsia"/>
              </w:rPr>
              <w:br w:type="textWrapping"/>
            </w:r>
            <w:r>
              <w:rPr>
                <w:rStyle w:val="11"/>
                <w:rFonts w:hint="eastAsia"/>
              </w:rPr>
              <w:t>1、使用本品时应穿长衣长裤、戴帽子、手套、护目镜、口罩等，避免皮肤接触药液；施药期间不可吃东西和饮水等，避免吸入或误服药液。2、施药后用清水及肥皂彻底清洗脸部及其它皮肤裸露部位。3、禁止在河塘等水体中清洗施药器具，避免药液流入湖泊，河流或鱼塘中污染水源。4、废弃物要妥善处理不能随意丢弃，也不能做他用，并按照当地的有关规定处置所有的废弃物。5、禁止在水产养殖区、河塘等水体附近施药，避免对水生物造成影响。6、鸟类保护区、桑园及蚕室附近禁用，天敌放飞区域禁用。7、周围开花植物花期禁止使用，施药3日前告知所在地及邻近3000米以内的养蜂者，产品施用期间密切关注对附近蜂群的影响。 8、避免孕妇、哺乳期妇女及过敏者接触。</w:t>
            </w:r>
          </w:p>
        </w:tc>
      </w:tr>
      <w:tr w14:paraId="7C69D0F8">
        <w:tblPrEx>
          <w:tblCellMar>
            <w:top w:w="0" w:type="dxa"/>
            <w:left w:w="0" w:type="dxa"/>
            <w:bottom w:w="0" w:type="dxa"/>
            <w:right w:w="0" w:type="dxa"/>
          </w:tblCellMar>
        </w:tblPrEx>
        <w:trPr>
          <w:wBefore w:w="0" w:type="auto"/>
          <w:tblCellSpacing w:w="0" w:type="dxa"/>
        </w:trPr>
        <w:tc>
          <w:tcPr>
            <w:tcW w:w="0" w:type="auto"/>
            <w:noWrap w:val="0"/>
            <w:vAlign w:val="center"/>
          </w:tcPr>
          <w:p w14:paraId="6400E443">
            <w:r>
              <w:rPr>
                <w:rStyle w:val="10"/>
                <w:rFonts w:hint="eastAsia"/>
              </w:rPr>
              <w:t>中毒急救措施：</w:t>
            </w:r>
            <w:r>
              <w:rPr>
                <w:rFonts w:hint="eastAsia"/>
              </w:rPr>
              <w:br w:type="textWrapping"/>
            </w:r>
            <w:r>
              <w:rPr>
                <w:rStyle w:val="11"/>
                <w:rFonts w:hint="eastAsia"/>
              </w:rPr>
              <w:t>1、对皮肤、眼睛无刺激症状，无中毒报道。急救治疗：2、不慎药液接触皮肤，立即脱掉被污染的衣物，用肥皂和清水彻底清洗皮肤表面。3、不慎药液接触眼睛，立即将眼睑翻开，用清水彻底冲洗至少15分钟，并请医生诊治。4、不慎吸入：立即将吸入者转移到空气新鲜处，并请医生诊治。 5、不慎误服，应立即催吐、洗胃、清洗口腔，还应携带此标签尽快去医院就诊，对症治疗（去除污物，注意生命体征），无特效解毒剂。</w:t>
            </w:r>
          </w:p>
        </w:tc>
      </w:tr>
      <w:tr w14:paraId="07CE8D3A">
        <w:tblPrEx>
          <w:tblCellMar>
            <w:top w:w="0" w:type="dxa"/>
            <w:left w:w="0" w:type="dxa"/>
            <w:bottom w:w="0" w:type="dxa"/>
            <w:right w:w="0" w:type="dxa"/>
          </w:tblCellMar>
        </w:tblPrEx>
        <w:trPr>
          <w:wBefore w:w="0" w:type="auto"/>
          <w:tblCellSpacing w:w="0" w:type="dxa"/>
        </w:trPr>
        <w:tc>
          <w:tcPr>
            <w:tcW w:w="0" w:type="auto"/>
            <w:noWrap w:val="0"/>
            <w:vAlign w:val="center"/>
          </w:tcPr>
          <w:p w14:paraId="386CF770">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种子、食品、饮料、饲料等其他商品同贮同运。运输时应注意防水防潮，避免雨淋；搬运时轻搬轻放，不可倒置。</w:t>
            </w:r>
          </w:p>
        </w:tc>
      </w:tr>
      <w:tr w14:paraId="6A7E067A">
        <w:tblPrEx>
          <w:tblCellMar>
            <w:top w:w="0" w:type="dxa"/>
            <w:left w:w="0" w:type="dxa"/>
            <w:bottom w:w="0" w:type="dxa"/>
            <w:right w:w="0" w:type="dxa"/>
          </w:tblCellMar>
        </w:tblPrEx>
        <w:trPr>
          <w:wBefore w:w="0" w:type="auto"/>
          <w:tblCellSpacing w:w="0" w:type="dxa"/>
        </w:trPr>
        <w:tc>
          <w:tcPr>
            <w:tcW w:w="0" w:type="auto"/>
            <w:noWrap w:val="0"/>
            <w:vAlign w:val="center"/>
          </w:tcPr>
          <w:p w14:paraId="2CC03DB5">
            <w:r>
              <w:rPr>
                <w:rStyle w:val="10"/>
                <w:rFonts w:hint="eastAsia"/>
              </w:rPr>
              <w:t>质量保证期：</w:t>
            </w:r>
            <w:r>
              <w:rPr>
                <w:rStyle w:val="11"/>
                <w:rFonts w:hint="eastAsia"/>
              </w:rPr>
              <w:t>2年</w:t>
            </w:r>
          </w:p>
        </w:tc>
      </w:tr>
      <w:tr w14:paraId="08584FAF">
        <w:tblPrEx>
          <w:tblCellMar>
            <w:top w:w="0" w:type="dxa"/>
            <w:left w:w="0" w:type="dxa"/>
            <w:bottom w:w="0" w:type="dxa"/>
            <w:right w:w="0" w:type="dxa"/>
          </w:tblCellMar>
        </w:tblPrEx>
        <w:trPr>
          <w:wBefore w:w="0" w:type="auto"/>
          <w:tblCellSpacing w:w="0" w:type="dxa"/>
        </w:trPr>
        <w:tc>
          <w:tcPr>
            <w:tcW w:w="0" w:type="auto"/>
            <w:noWrap w:val="0"/>
            <w:vAlign w:val="center"/>
          </w:tcPr>
          <w:p w14:paraId="76B43BAB">
            <w:r>
              <w:rPr>
                <w:rStyle w:val="10"/>
                <w:rFonts w:hint="eastAsia"/>
              </w:rPr>
              <w:t>备注：</w:t>
            </w:r>
          </w:p>
        </w:tc>
      </w:tr>
    </w:tbl>
    <w:p w14:paraId="62FC4F4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FC02449">
        <w:tblPrEx>
          <w:tblCellMar>
            <w:top w:w="0" w:type="dxa"/>
            <w:left w:w="0" w:type="dxa"/>
            <w:bottom w:w="0" w:type="dxa"/>
            <w:right w:w="0" w:type="dxa"/>
          </w:tblCellMar>
        </w:tblPrEx>
        <w:trPr>
          <w:wBefore w:w="0" w:type="auto"/>
          <w:tblCellSpacing w:w="0" w:type="dxa"/>
        </w:trPr>
        <w:tc>
          <w:tcPr>
            <w:tcW w:w="0" w:type="auto"/>
            <w:noWrap w:val="0"/>
            <w:vAlign w:val="center"/>
          </w:tcPr>
          <w:p w14:paraId="321EC46D">
            <w:r>
              <w:rPr>
                <w:rStyle w:val="10"/>
                <w:rFonts w:hint="eastAsia"/>
              </w:rPr>
              <w:t>登记证号：</w:t>
            </w:r>
            <w:r>
              <w:rPr>
                <w:rFonts w:hint="eastAsia"/>
              </w:rPr>
              <w:t>PD20212057</w:t>
            </w:r>
          </w:p>
        </w:tc>
      </w:tr>
      <w:tr w14:paraId="73B15427">
        <w:tblPrEx>
          <w:tblCellMar>
            <w:top w:w="0" w:type="dxa"/>
            <w:left w:w="0" w:type="dxa"/>
            <w:bottom w:w="0" w:type="dxa"/>
            <w:right w:w="0" w:type="dxa"/>
          </w:tblCellMar>
        </w:tblPrEx>
        <w:trPr>
          <w:wBefore w:w="0" w:type="auto"/>
          <w:tblCellSpacing w:w="0" w:type="dxa"/>
        </w:trPr>
        <w:tc>
          <w:tcPr>
            <w:tcW w:w="0" w:type="auto"/>
            <w:noWrap w:val="0"/>
            <w:vAlign w:val="center"/>
          </w:tcPr>
          <w:p w14:paraId="731B9002">
            <w:r>
              <w:rPr>
                <w:rStyle w:val="10"/>
                <w:rFonts w:hint="eastAsia"/>
              </w:rPr>
              <w:t>登记证持有人：</w:t>
            </w:r>
            <w:r>
              <w:rPr>
                <w:rFonts w:hint="eastAsia"/>
              </w:rPr>
              <w:t>四川利尔作物科学有限公司</w:t>
            </w:r>
          </w:p>
        </w:tc>
      </w:tr>
      <w:tr w14:paraId="7D375A11">
        <w:tblPrEx>
          <w:tblCellMar>
            <w:top w:w="0" w:type="dxa"/>
            <w:left w:w="0" w:type="dxa"/>
            <w:bottom w:w="0" w:type="dxa"/>
            <w:right w:w="0" w:type="dxa"/>
          </w:tblCellMar>
        </w:tblPrEx>
        <w:trPr>
          <w:wBefore w:w="0" w:type="auto"/>
          <w:tblCellSpacing w:w="0" w:type="dxa"/>
        </w:trPr>
        <w:tc>
          <w:tcPr>
            <w:tcW w:w="0" w:type="auto"/>
            <w:noWrap w:val="0"/>
            <w:vAlign w:val="center"/>
          </w:tcPr>
          <w:p w14:paraId="72076156">
            <w:r>
              <w:rPr>
                <w:rStyle w:val="10"/>
                <w:rFonts w:hint="eastAsia"/>
              </w:rPr>
              <w:t>农药名称：</w:t>
            </w:r>
            <w:r>
              <w:rPr>
                <w:rFonts w:hint="eastAsia"/>
              </w:rPr>
              <w:t>24-表芸苔素内酯</w:t>
            </w:r>
          </w:p>
        </w:tc>
      </w:tr>
      <w:tr w14:paraId="3D8375D9">
        <w:tblPrEx>
          <w:tblCellMar>
            <w:top w:w="0" w:type="dxa"/>
            <w:left w:w="0" w:type="dxa"/>
            <w:bottom w:w="0" w:type="dxa"/>
            <w:right w:w="0" w:type="dxa"/>
          </w:tblCellMar>
        </w:tblPrEx>
        <w:trPr>
          <w:wBefore w:w="0" w:type="auto"/>
          <w:tblCellSpacing w:w="0" w:type="dxa"/>
        </w:trPr>
        <w:tc>
          <w:tcPr>
            <w:tcW w:w="0" w:type="auto"/>
            <w:noWrap w:val="0"/>
            <w:vAlign w:val="center"/>
          </w:tcPr>
          <w:p w14:paraId="1F841225">
            <w:r>
              <w:rPr>
                <w:rStyle w:val="10"/>
                <w:rFonts w:hint="eastAsia"/>
              </w:rPr>
              <w:t>剂型：</w:t>
            </w:r>
            <w:r>
              <w:rPr>
                <w:rFonts w:hint="eastAsia"/>
              </w:rPr>
              <w:t>微囊悬浮剂</w:t>
            </w:r>
          </w:p>
        </w:tc>
      </w:tr>
      <w:tr w14:paraId="795CA938">
        <w:tblPrEx>
          <w:tblCellMar>
            <w:top w:w="0" w:type="dxa"/>
            <w:left w:w="0" w:type="dxa"/>
            <w:bottom w:w="0" w:type="dxa"/>
            <w:right w:w="0" w:type="dxa"/>
          </w:tblCellMar>
        </w:tblPrEx>
        <w:trPr>
          <w:wBefore w:w="0" w:type="auto"/>
          <w:tblCellSpacing w:w="0" w:type="dxa"/>
        </w:trPr>
        <w:tc>
          <w:tcPr>
            <w:tcW w:w="0" w:type="auto"/>
            <w:noWrap w:val="0"/>
            <w:vAlign w:val="center"/>
          </w:tcPr>
          <w:p w14:paraId="140754F6">
            <w:r>
              <w:rPr>
                <w:rStyle w:val="10"/>
                <w:rFonts w:hint="eastAsia"/>
              </w:rPr>
              <w:t>毒性及其标识：</w:t>
            </w:r>
            <w:r>
              <w:rPr>
                <w:rFonts w:hint="eastAsia"/>
              </w:rPr>
              <w:t xml:space="preserve"> </w:t>
            </w:r>
            <w:r>
              <w:rPr>
                <w:lang/>
              </w:rPr>
              <w:drawing>
                <wp:inline distT="0" distB="0" distL="114300" distR="114300">
                  <wp:extent cx="476250" cy="323850"/>
                  <wp:effectExtent l="0" t="0" r="0" b="0"/>
                  <wp:docPr id="398" name="图片 39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A3172C8">
        <w:tblPrEx>
          <w:tblCellMar>
            <w:top w:w="0" w:type="dxa"/>
            <w:left w:w="0" w:type="dxa"/>
            <w:bottom w:w="0" w:type="dxa"/>
            <w:right w:w="0" w:type="dxa"/>
          </w:tblCellMar>
        </w:tblPrEx>
        <w:trPr>
          <w:wBefore w:w="0" w:type="auto"/>
          <w:tblCellSpacing w:w="0" w:type="dxa"/>
        </w:trPr>
        <w:tc>
          <w:tcPr>
            <w:tcW w:w="0" w:type="auto"/>
            <w:noWrap w:val="0"/>
            <w:vAlign w:val="center"/>
          </w:tcPr>
          <w:p w14:paraId="3A13BF3A">
            <w:r>
              <w:rPr>
                <w:rStyle w:val="10"/>
                <w:rFonts w:hint="eastAsia"/>
              </w:rPr>
              <w:t>总有效成分含量：</w:t>
            </w:r>
            <w:r>
              <w:rPr>
                <w:rFonts w:hint="eastAsia"/>
              </w:rPr>
              <w:t>0.01%</w:t>
            </w:r>
          </w:p>
        </w:tc>
      </w:tr>
      <w:tr w14:paraId="15A361D5">
        <w:tblPrEx>
          <w:tblCellMar>
            <w:top w:w="0" w:type="dxa"/>
            <w:left w:w="0" w:type="dxa"/>
            <w:bottom w:w="0" w:type="dxa"/>
            <w:right w:w="0" w:type="dxa"/>
          </w:tblCellMar>
        </w:tblPrEx>
        <w:trPr>
          <w:wBefore w:w="0" w:type="auto"/>
          <w:tblCellSpacing w:w="0" w:type="dxa"/>
        </w:trPr>
        <w:tc>
          <w:tcPr>
            <w:tcW w:w="0" w:type="auto"/>
            <w:noWrap w:val="0"/>
            <w:vAlign w:val="center"/>
          </w:tcPr>
          <w:p w14:paraId="649C4C12">
            <w:r>
              <w:rPr>
                <w:rFonts w:hint="eastAsia"/>
              </w:rPr>
              <w:t xml:space="preserve">有效成分及其含量： </w:t>
            </w:r>
          </w:p>
          <w:p w14:paraId="7A790BED">
            <w:r>
              <w:rPr>
                <w:rFonts w:hint="eastAsia"/>
              </w:rPr>
              <w:t xml:space="preserve">    24-表芸苔素内酯0.01%    </w:t>
            </w:r>
          </w:p>
        </w:tc>
      </w:tr>
      <w:tr w14:paraId="357A9D73">
        <w:tblPrEx>
          <w:tblCellMar>
            <w:top w:w="0" w:type="dxa"/>
            <w:left w:w="0" w:type="dxa"/>
            <w:bottom w:w="0" w:type="dxa"/>
            <w:right w:w="0" w:type="dxa"/>
          </w:tblCellMar>
        </w:tblPrEx>
        <w:trPr>
          <w:wBefore w:w="0" w:type="auto"/>
          <w:tblCellSpacing w:w="0" w:type="dxa"/>
        </w:trPr>
        <w:tc>
          <w:tcPr>
            <w:tcW w:w="0" w:type="auto"/>
            <w:noWrap w:val="0"/>
            <w:vAlign w:val="center"/>
          </w:tcPr>
          <w:p w14:paraId="5A9D5C4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AB7DA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C2103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7DA515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6602F3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8F38C5">
                  <w:r>
                    <w:rPr>
                      <w:rStyle w:val="11"/>
                      <w:rFonts w:hint="eastAsia"/>
                    </w:rPr>
                    <w:t>施用方式</w:t>
                  </w:r>
                </w:p>
              </w:tc>
            </w:tr>
            <w:tr w14:paraId="76B81B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7D5164F">
                  <w:r>
                    <w:rPr>
                      <w:rStyle w:val="11"/>
                      <w:rFonts w:hint="eastAsia"/>
                    </w:rPr>
                    <w:t>小白菜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765E45">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793E29">
                  <w:r>
                    <w:rPr>
                      <w:rStyle w:val="11"/>
                      <w:rFonts w:hint="eastAsia"/>
                    </w:rPr>
                    <w:t>1500-2500倍液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C31DB8">
                  <w:r>
                    <w:rPr>
                      <w:rStyle w:val="11"/>
                      <w:rFonts w:hint="eastAsia"/>
                    </w:rPr>
                    <w:t>喷雾</w:t>
                  </w:r>
                </w:p>
              </w:tc>
            </w:tr>
          </w:tbl>
          <w:p w14:paraId="1A5FD239">
            <w:pPr>
              <w:rPr>
                <w:rFonts w:ascii="Times New Roman" w:hAnsi="Times New Roman" w:cs="Times New Roman"/>
                <w:sz w:val="20"/>
                <w:szCs w:val="20"/>
              </w:rPr>
            </w:pPr>
          </w:p>
        </w:tc>
      </w:tr>
      <w:tr w14:paraId="35472F46">
        <w:tblPrEx>
          <w:tblCellMar>
            <w:top w:w="0" w:type="dxa"/>
            <w:left w:w="0" w:type="dxa"/>
            <w:bottom w:w="0" w:type="dxa"/>
            <w:right w:w="0" w:type="dxa"/>
          </w:tblCellMar>
        </w:tblPrEx>
        <w:trPr>
          <w:wBefore w:w="0" w:type="auto"/>
          <w:tblCellSpacing w:w="0" w:type="dxa"/>
        </w:trPr>
        <w:tc>
          <w:tcPr>
            <w:tcW w:w="0" w:type="auto"/>
            <w:noWrap w:val="0"/>
            <w:vAlign w:val="center"/>
          </w:tcPr>
          <w:p w14:paraId="79EB1485">
            <w:r>
              <w:rPr>
                <w:rStyle w:val="10"/>
                <w:rFonts w:hint="eastAsia"/>
              </w:rPr>
              <w:t>使用技术要求:</w:t>
            </w:r>
            <w:r>
              <w:rPr>
                <w:rFonts w:hint="eastAsia"/>
              </w:rPr>
              <w:br w:type="textWrapping"/>
            </w:r>
            <w:r>
              <w:rPr>
                <w:rStyle w:val="11"/>
                <w:rFonts w:hint="eastAsia"/>
              </w:rPr>
              <w:t>1、在小白菜苗期喷雾施药一次，间隔1-2周再喷施一次，施药时注意均匀喷雾。2、每季最多施药2次。本品的安全间隔期为7天。</w:t>
            </w:r>
          </w:p>
        </w:tc>
      </w:tr>
      <w:tr w14:paraId="0FDF5665">
        <w:tblPrEx>
          <w:tblCellMar>
            <w:top w:w="0" w:type="dxa"/>
            <w:left w:w="0" w:type="dxa"/>
            <w:bottom w:w="0" w:type="dxa"/>
            <w:right w:w="0" w:type="dxa"/>
          </w:tblCellMar>
        </w:tblPrEx>
        <w:trPr>
          <w:wBefore w:w="0" w:type="auto"/>
          <w:tblCellSpacing w:w="0" w:type="dxa"/>
        </w:trPr>
        <w:tc>
          <w:tcPr>
            <w:tcW w:w="0" w:type="auto"/>
            <w:noWrap w:val="0"/>
            <w:vAlign w:val="center"/>
          </w:tcPr>
          <w:p w14:paraId="71CF5CF3">
            <w:r>
              <w:rPr>
                <w:rStyle w:val="10"/>
                <w:rFonts w:hint="eastAsia"/>
              </w:rPr>
              <w:t>产品性能:</w:t>
            </w:r>
            <w:r>
              <w:rPr>
                <w:rFonts w:hint="eastAsia"/>
              </w:rPr>
              <w:br w:type="textWrapping"/>
            </w:r>
            <w:r>
              <w:rPr>
                <w:rStyle w:val="11"/>
                <w:rFonts w:hint="eastAsia"/>
              </w:rPr>
              <w:t>本品是一种植物生长调节剂。</w:t>
            </w:r>
          </w:p>
        </w:tc>
      </w:tr>
      <w:tr w14:paraId="71B0C1F2">
        <w:tblPrEx>
          <w:tblCellMar>
            <w:top w:w="0" w:type="dxa"/>
            <w:left w:w="0" w:type="dxa"/>
            <w:bottom w:w="0" w:type="dxa"/>
            <w:right w:w="0" w:type="dxa"/>
          </w:tblCellMar>
        </w:tblPrEx>
        <w:trPr>
          <w:wBefore w:w="0" w:type="auto"/>
          <w:tblCellSpacing w:w="0" w:type="dxa"/>
        </w:trPr>
        <w:tc>
          <w:tcPr>
            <w:tcW w:w="0" w:type="auto"/>
            <w:noWrap w:val="0"/>
            <w:vAlign w:val="center"/>
          </w:tcPr>
          <w:p w14:paraId="0C149DB6">
            <w:r>
              <w:rPr>
                <w:rStyle w:val="10"/>
                <w:rFonts w:hint="eastAsia"/>
              </w:rPr>
              <w:t>注意事项：</w:t>
            </w:r>
            <w:r>
              <w:rPr>
                <w:rFonts w:hint="eastAsia"/>
              </w:rPr>
              <w:br w:type="textWrapping"/>
            </w:r>
            <w:r>
              <w:rPr>
                <w:rStyle w:val="11"/>
                <w:rFonts w:hint="eastAsia"/>
              </w:rPr>
              <w:t>1、本品不可与碱性农药、化肥混用。 2、选择在早、晚较凉爽时施药。大风天或预计1小时内降雨请勿施药。施药时严禁药液飘移到其他地块。 3、请在农技人员指导下，根据作物生长情况、施药时天气条件、药械种类等因素科学合理的调整稀释倍数、用药间隔期和用药次数。 4、如需与其他助剂或药剂混用，请在当地农技人员指导下，先进行小面积试验确认有效性后，科学合理搭配使用。 5、远离水产养殖区施药，禁止在河塘等水体中清洗施药器具，清洗施药器械等的污水不可污染地下水源、水田、湖泊、河流、池塘等水域，避免对环境中其他生物造成危害。 6、使用本品时应穿长衣长裤、戴手套、眼镜、口罩等防护用品，避免吸入药液。施药期间不可吃东西和饮水等。施药后彻底清洗器械，并立即用肥皂洗手和洗脸及暴露部分皮肤。 7、儿童、孕妇、哺乳期妇女禁止接触本品。使用中有任何不良反应请及时携标签就医。 8、使用前请仔细阅读此标签，并严格按照标签说明使用。未尽使用情形，请结合当地实际情况，在农业技术人员指导下使用。 9、避免与具有氧化性物质接触或混合。 10、用药后包装物及用过的容器应妥善处理，不可做他用，也不可随意丢弃。</w:t>
            </w:r>
          </w:p>
        </w:tc>
      </w:tr>
      <w:tr w14:paraId="4DE00010">
        <w:tblPrEx>
          <w:tblCellMar>
            <w:top w:w="0" w:type="dxa"/>
            <w:left w:w="0" w:type="dxa"/>
            <w:bottom w:w="0" w:type="dxa"/>
            <w:right w:w="0" w:type="dxa"/>
          </w:tblCellMar>
        </w:tblPrEx>
        <w:trPr>
          <w:wBefore w:w="0" w:type="auto"/>
          <w:tblCellSpacing w:w="0" w:type="dxa"/>
        </w:trPr>
        <w:tc>
          <w:tcPr>
            <w:tcW w:w="0" w:type="auto"/>
            <w:noWrap w:val="0"/>
            <w:vAlign w:val="center"/>
          </w:tcPr>
          <w:p w14:paraId="10ECF579">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48627059">
        <w:tblPrEx>
          <w:tblCellMar>
            <w:top w:w="0" w:type="dxa"/>
            <w:left w:w="0" w:type="dxa"/>
            <w:bottom w:w="0" w:type="dxa"/>
            <w:right w:w="0" w:type="dxa"/>
          </w:tblCellMar>
        </w:tblPrEx>
        <w:trPr>
          <w:wBefore w:w="0" w:type="auto"/>
          <w:tblCellSpacing w:w="0" w:type="dxa"/>
        </w:trPr>
        <w:tc>
          <w:tcPr>
            <w:tcW w:w="0" w:type="auto"/>
            <w:noWrap w:val="0"/>
            <w:vAlign w:val="center"/>
          </w:tcPr>
          <w:p w14:paraId="1F279CC8">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物品同贮同运。装卸时，注意轻拿轻放，禁止说笑打闹、吃、喝、抽烟；运输时要防潮防晒。</w:t>
            </w:r>
          </w:p>
        </w:tc>
      </w:tr>
      <w:tr w14:paraId="5471FE92">
        <w:tblPrEx>
          <w:tblCellMar>
            <w:top w:w="0" w:type="dxa"/>
            <w:left w:w="0" w:type="dxa"/>
            <w:bottom w:w="0" w:type="dxa"/>
            <w:right w:w="0" w:type="dxa"/>
          </w:tblCellMar>
        </w:tblPrEx>
        <w:trPr>
          <w:wBefore w:w="0" w:type="auto"/>
          <w:tblCellSpacing w:w="0" w:type="dxa"/>
        </w:trPr>
        <w:tc>
          <w:tcPr>
            <w:tcW w:w="0" w:type="auto"/>
            <w:noWrap w:val="0"/>
            <w:vAlign w:val="center"/>
          </w:tcPr>
          <w:p w14:paraId="7986D90F">
            <w:r>
              <w:rPr>
                <w:rStyle w:val="10"/>
                <w:rFonts w:hint="eastAsia"/>
              </w:rPr>
              <w:t>质量保证期：</w:t>
            </w:r>
            <w:r>
              <w:rPr>
                <w:rStyle w:val="11"/>
                <w:rFonts w:hint="eastAsia"/>
              </w:rPr>
              <w:t>2年</w:t>
            </w:r>
          </w:p>
        </w:tc>
      </w:tr>
      <w:tr w14:paraId="5A027FC7">
        <w:tblPrEx>
          <w:tblCellMar>
            <w:top w:w="0" w:type="dxa"/>
            <w:left w:w="0" w:type="dxa"/>
            <w:bottom w:w="0" w:type="dxa"/>
            <w:right w:w="0" w:type="dxa"/>
          </w:tblCellMar>
        </w:tblPrEx>
        <w:trPr>
          <w:wBefore w:w="0" w:type="auto"/>
          <w:tblCellSpacing w:w="0" w:type="dxa"/>
        </w:trPr>
        <w:tc>
          <w:tcPr>
            <w:tcW w:w="0" w:type="auto"/>
            <w:noWrap w:val="0"/>
            <w:vAlign w:val="center"/>
          </w:tcPr>
          <w:p w14:paraId="438FDE0B">
            <w:r>
              <w:rPr>
                <w:rStyle w:val="10"/>
                <w:rFonts w:hint="eastAsia"/>
              </w:rPr>
              <w:t>备注：</w:t>
            </w:r>
          </w:p>
        </w:tc>
      </w:tr>
    </w:tbl>
    <w:p w14:paraId="785E470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F8703F1">
        <w:trPr>
          <w:wBefore w:w="0" w:type="auto"/>
          <w:tblCellSpacing w:w="0" w:type="dxa"/>
        </w:trPr>
        <w:tc>
          <w:tcPr>
            <w:tcW w:w="0" w:type="auto"/>
            <w:noWrap w:val="0"/>
            <w:vAlign w:val="center"/>
          </w:tcPr>
          <w:p w14:paraId="42628424">
            <w:r>
              <w:rPr>
                <w:rStyle w:val="10"/>
                <w:rFonts w:hint="eastAsia"/>
              </w:rPr>
              <w:t>登记证号：</w:t>
            </w:r>
            <w:r>
              <w:rPr>
                <w:rFonts w:hint="eastAsia"/>
              </w:rPr>
              <w:t>PD20212032</w:t>
            </w:r>
          </w:p>
        </w:tc>
      </w:tr>
      <w:tr w14:paraId="3147DEFB">
        <w:tblPrEx>
          <w:tblCellMar>
            <w:top w:w="0" w:type="dxa"/>
            <w:left w:w="0" w:type="dxa"/>
            <w:bottom w:w="0" w:type="dxa"/>
            <w:right w:w="0" w:type="dxa"/>
          </w:tblCellMar>
        </w:tblPrEx>
        <w:trPr>
          <w:wBefore w:w="0" w:type="auto"/>
          <w:tblCellSpacing w:w="0" w:type="dxa"/>
        </w:trPr>
        <w:tc>
          <w:tcPr>
            <w:tcW w:w="0" w:type="auto"/>
            <w:noWrap w:val="0"/>
            <w:vAlign w:val="center"/>
          </w:tcPr>
          <w:p w14:paraId="3B88A512">
            <w:r>
              <w:rPr>
                <w:rStyle w:val="10"/>
                <w:rFonts w:hint="eastAsia"/>
              </w:rPr>
              <w:t>登记证持有人：</w:t>
            </w:r>
            <w:r>
              <w:rPr>
                <w:rFonts w:hint="eastAsia"/>
              </w:rPr>
              <w:t>南阳新卧龙生物化工有限公司</w:t>
            </w:r>
          </w:p>
        </w:tc>
      </w:tr>
      <w:tr w14:paraId="20630FF2">
        <w:tblPrEx>
          <w:tblCellMar>
            <w:top w:w="0" w:type="dxa"/>
            <w:left w:w="0" w:type="dxa"/>
            <w:bottom w:w="0" w:type="dxa"/>
            <w:right w:w="0" w:type="dxa"/>
          </w:tblCellMar>
        </w:tblPrEx>
        <w:trPr>
          <w:wBefore w:w="0" w:type="auto"/>
          <w:tblCellSpacing w:w="0" w:type="dxa"/>
        </w:trPr>
        <w:tc>
          <w:tcPr>
            <w:tcW w:w="0" w:type="auto"/>
            <w:noWrap w:val="0"/>
            <w:vAlign w:val="center"/>
          </w:tcPr>
          <w:p w14:paraId="46F00E38">
            <w:r>
              <w:rPr>
                <w:rStyle w:val="10"/>
                <w:rFonts w:hint="eastAsia"/>
              </w:rPr>
              <w:t>农药名称：</w:t>
            </w:r>
            <w:r>
              <w:rPr>
                <w:rFonts w:hint="eastAsia"/>
              </w:rPr>
              <w:t>24-表芸苔素内酯</w:t>
            </w:r>
          </w:p>
        </w:tc>
      </w:tr>
      <w:tr w14:paraId="2E55A8AE">
        <w:tblPrEx>
          <w:tblCellMar>
            <w:top w:w="0" w:type="dxa"/>
            <w:left w:w="0" w:type="dxa"/>
            <w:bottom w:w="0" w:type="dxa"/>
            <w:right w:w="0" w:type="dxa"/>
          </w:tblCellMar>
        </w:tblPrEx>
        <w:trPr>
          <w:wBefore w:w="0" w:type="auto"/>
          <w:tblCellSpacing w:w="0" w:type="dxa"/>
        </w:trPr>
        <w:tc>
          <w:tcPr>
            <w:tcW w:w="0" w:type="auto"/>
            <w:noWrap w:val="0"/>
            <w:vAlign w:val="center"/>
          </w:tcPr>
          <w:p w14:paraId="43583AD1">
            <w:r>
              <w:rPr>
                <w:rStyle w:val="10"/>
                <w:rFonts w:hint="eastAsia"/>
              </w:rPr>
              <w:t>剂型：</w:t>
            </w:r>
            <w:r>
              <w:rPr>
                <w:rFonts w:hint="eastAsia"/>
              </w:rPr>
              <w:t>可溶液剂</w:t>
            </w:r>
          </w:p>
        </w:tc>
      </w:tr>
      <w:tr w14:paraId="1106215C">
        <w:tblPrEx>
          <w:tblCellMar>
            <w:top w:w="0" w:type="dxa"/>
            <w:left w:w="0" w:type="dxa"/>
            <w:bottom w:w="0" w:type="dxa"/>
            <w:right w:w="0" w:type="dxa"/>
          </w:tblCellMar>
        </w:tblPrEx>
        <w:trPr>
          <w:wBefore w:w="0" w:type="auto"/>
          <w:tblCellSpacing w:w="0" w:type="dxa"/>
        </w:trPr>
        <w:tc>
          <w:tcPr>
            <w:tcW w:w="0" w:type="auto"/>
            <w:noWrap w:val="0"/>
            <w:vAlign w:val="center"/>
          </w:tcPr>
          <w:p w14:paraId="65E02263">
            <w:r>
              <w:rPr>
                <w:rStyle w:val="10"/>
                <w:rFonts w:hint="eastAsia"/>
              </w:rPr>
              <w:t>毒性及其标识：</w:t>
            </w:r>
            <w:r>
              <w:rPr>
                <w:rFonts w:hint="eastAsia"/>
              </w:rPr>
              <w:t xml:space="preserve"> </w:t>
            </w:r>
            <w:r>
              <w:rPr>
                <w:lang/>
              </w:rPr>
              <w:drawing>
                <wp:inline distT="0" distB="0" distL="114300" distR="114300">
                  <wp:extent cx="476250" cy="323850"/>
                  <wp:effectExtent l="0" t="0" r="0" b="0"/>
                  <wp:docPr id="399" name="图片 39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1CD7E5B">
        <w:tblPrEx>
          <w:tblCellMar>
            <w:top w:w="0" w:type="dxa"/>
            <w:left w:w="0" w:type="dxa"/>
            <w:bottom w:w="0" w:type="dxa"/>
            <w:right w:w="0" w:type="dxa"/>
          </w:tblCellMar>
        </w:tblPrEx>
        <w:trPr>
          <w:wBefore w:w="0" w:type="auto"/>
          <w:tblCellSpacing w:w="0" w:type="dxa"/>
        </w:trPr>
        <w:tc>
          <w:tcPr>
            <w:tcW w:w="0" w:type="auto"/>
            <w:noWrap w:val="0"/>
            <w:vAlign w:val="center"/>
          </w:tcPr>
          <w:p w14:paraId="52DD01BF">
            <w:r>
              <w:rPr>
                <w:rStyle w:val="10"/>
                <w:rFonts w:hint="eastAsia"/>
              </w:rPr>
              <w:t>总有效成分含量：</w:t>
            </w:r>
            <w:r>
              <w:rPr>
                <w:rFonts w:hint="eastAsia"/>
              </w:rPr>
              <w:t>0.01%</w:t>
            </w:r>
          </w:p>
        </w:tc>
      </w:tr>
      <w:tr w14:paraId="62A7CA53">
        <w:tblPrEx>
          <w:tblCellMar>
            <w:top w:w="0" w:type="dxa"/>
            <w:left w:w="0" w:type="dxa"/>
            <w:bottom w:w="0" w:type="dxa"/>
            <w:right w:w="0" w:type="dxa"/>
          </w:tblCellMar>
        </w:tblPrEx>
        <w:trPr>
          <w:wBefore w:w="0" w:type="auto"/>
          <w:tblCellSpacing w:w="0" w:type="dxa"/>
        </w:trPr>
        <w:tc>
          <w:tcPr>
            <w:tcW w:w="0" w:type="auto"/>
            <w:noWrap w:val="0"/>
            <w:vAlign w:val="center"/>
          </w:tcPr>
          <w:p w14:paraId="7EEF6BD7">
            <w:r>
              <w:rPr>
                <w:rFonts w:hint="eastAsia"/>
              </w:rPr>
              <w:t xml:space="preserve">有效成分及其含量： </w:t>
            </w:r>
          </w:p>
          <w:p w14:paraId="7FD7987B">
            <w:r>
              <w:rPr>
                <w:rFonts w:hint="eastAsia"/>
              </w:rPr>
              <w:t xml:space="preserve">    24-表芸苔素内酯0.01%    </w:t>
            </w:r>
          </w:p>
        </w:tc>
      </w:tr>
      <w:tr w14:paraId="75504709">
        <w:tblPrEx>
          <w:tblCellMar>
            <w:top w:w="0" w:type="dxa"/>
            <w:left w:w="0" w:type="dxa"/>
            <w:bottom w:w="0" w:type="dxa"/>
            <w:right w:w="0" w:type="dxa"/>
          </w:tblCellMar>
        </w:tblPrEx>
        <w:trPr>
          <w:wBefore w:w="0" w:type="auto"/>
          <w:tblCellSpacing w:w="0" w:type="dxa"/>
        </w:trPr>
        <w:tc>
          <w:tcPr>
            <w:tcW w:w="0" w:type="auto"/>
            <w:noWrap w:val="0"/>
            <w:vAlign w:val="center"/>
          </w:tcPr>
          <w:p w14:paraId="15F132E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5EB96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4DD10E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615C17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69AB29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61E186E">
                  <w:r>
                    <w:rPr>
                      <w:rStyle w:val="11"/>
                      <w:rFonts w:hint="eastAsia"/>
                    </w:rPr>
                    <w:t>施用方式</w:t>
                  </w:r>
                </w:p>
              </w:tc>
            </w:tr>
            <w:tr w14:paraId="4C1569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D73E301">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EC3393">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A79A19">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AEDEC4C">
                  <w:r>
                    <w:rPr>
                      <w:rStyle w:val="11"/>
                      <w:rFonts w:hint="eastAsia"/>
                    </w:rPr>
                    <w:t>喷雾</w:t>
                  </w:r>
                </w:p>
              </w:tc>
            </w:tr>
          </w:tbl>
          <w:p w14:paraId="2E033B88">
            <w:pPr>
              <w:rPr>
                <w:rFonts w:ascii="Times New Roman" w:hAnsi="Times New Roman" w:cs="Times New Roman"/>
                <w:sz w:val="20"/>
                <w:szCs w:val="20"/>
              </w:rPr>
            </w:pPr>
          </w:p>
        </w:tc>
      </w:tr>
      <w:tr w14:paraId="5D63A183">
        <w:tblPrEx>
          <w:tblCellMar>
            <w:top w:w="0" w:type="dxa"/>
            <w:left w:w="0" w:type="dxa"/>
            <w:bottom w:w="0" w:type="dxa"/>
            <w:right w:w="0" w:type="dxa"/>
          </w:tblCellMar>
        </w:tblPrEx>
        <w:trPr>
          <w:wBefore w:w="0" w:type="auto"/>
          <w:tblCellSpacing w:w="0" w:type="dxa"/>
        </w:trPr>
        <w:tc>
          <w:tcPr>
            <w:tcW w:w="0" w:type="auto"/>
            <w:noWrap w:val="0"/>
            <w:vAlign w:val="center"/>
          </w:tcPr>
          <w:p w14:paraId="470B850C">
            <w:r>
              <w:rPr>
                <w:rStyle w:val="10"/>
                <w:rFonts w:hint="eastAsia"/>
              </w:rPr>
              <w:t>使用技术要求:</w:t>
            </w:r>
            <w:r>
              <w:rPr>
                <w:rFonts w:hint="eastAsia"/>
              </w:rPr>
              <w:br w:type="textWrapping"/>
            </w:r>
            <w:r>
              <w:rPr>
                <w:rStyle w:val="11"/>
                <w:rFonts w:hint="eastAsia"/>
              </w:rPr>
              <w:t>1.在黄瓜苗期、初花期、幼果期喷雾施药各一次，共施药3次。 2. 大风天或预计1小时内降雨，请勿施药。 3. 保证施药均匀，避免药害。</w:t>
            </w:r>
          </w:p>
        </w:tc>
      </w:tr>
      <w:tr w14:paraId="692847C8">
        <w:tblPrEx>
          <w:tblCellMar>
            <w:top w:w="0" w:type="dxa"/>
            <w:left w:w="0" w:type="dxa"/>
            <w:bottom w:w="0" w:type="dxa"/>
            <w:right w:w="0" w:type="dxa"/>
          </w:tblCellMar>
        </w:tblPrEx>
        <w:trPr>
          <w:wBefore w:w="0" w:type="auto"/>
          <w:tblCellSpacing w:w="0" w:type="dxa"/>
        </w:trPr>
        <w:tc>
          <w:tcPr>
            <w:tcW w:w="0" w:type="auto"/>
            <w:noWrap w:val="0"/>
            <w:vAlign w:val="center"/>
          </w:tcPr>
          <w:p w14:paraId="4054776E">
            <w:r>
              <w:rPr>
                <w:rStyle w:val="10"/>
                <w:rFonts w:hint="eastAsia"/>
              </w:rPr>
              <w:t>产品性能:</w:t>
            </w:r>
            <w:r>
              <w:rPr>
                <w:rFonts w:hint="eastAsia"/>
              </w:rPr>
              <w:br w:type="textWrapping"/>
            </w:r>
            <w:r>
              <w:rPr>
                <w:rStyle w:val="11"/>
                <w:rFonts w:hint="eastAsia"/>
              </w:rPr>
              <w:t xml:space="preserve">本品属于甾醇类植物生长调节剂，具有使植物细胞分裂和延长的双重作用，可促进根系发达，增强光合作用，提高作物叶绿素含量，促进作物对肥料的有效吸收，辅助作物劣势部分的良好生长。 </w:t>
            </w:r>
          </w:p>
        </w:tc>
      </w:tr>
      <w:tr w14:paraId="5C727BA3">
        <w:tblPrEx>
          <w:tblCellMar>
            <w:top w:w="0" w:type="dxa"/>
            <w:left w:w="0" w:type="dxa"/>
            <w:bottom w:w="0" w:type="dxa"/>
            <w:right w:w="0" w:type="dxa"/>
          </w:tblCellMar>
        </w:tblPrEx>
        <w:trPr>
          <w:wBefore w:w="0" w:type="auto"/>
          <w:tblCellSpacing w:w="0" w:type="dxa"/>
        </w:trPr>
        <w:tc>
          <w:tcPr>
            <w:tcW w:w="0" w:type="auto"/>
            <w:noWrap w:val="0"/>
            <w:vAlign w:val="center"/>
          </w:tcPr>
          <w:p w14:paraId="7A33FA5F">
            <w:r>
              <w:rPr>
                <w:rStyle w:val="10"/>
                <w:rFonts w:hint="eastAsia"/>
              </w:rPr>
              <w:t>注意事项：</w:t>
            </w:r>
            <w:r>
              <w:rPr>
                <w:rFonts w:hint="eastAsia"/>
              </w:rPr>
              <w:br w:type="textWrapping"/>
            </w:r>
            <w:r>
              <w:rPr>
                <w:rStyle w:val="11"/>
                <w:rFonts w:hint="eastAsia"/>
              </w:rPr>
              <w:t>1、使用本品时应采取安全防护措施，穿防护服，戴口罩和手套，避免刺激眼睛、皮肤接触及口鼻吸入，切勿吸烟或饮食。施药后用肥皂洗净身体暴露部分。2、施药期间应密切关注对附近蜂群的影响，周围开花植物花期禁用，蚕室和桑园附近禁用。远离水产养殖区施药，禁止在河塘等水浴清洗施药器具,，天敌放飞区域禁用。水产养殖区、河塘等水体附近禁用。3、孕妇及哺乳期妇女禁用。使用中有任何不良反应，请及时送医就诊。4、用过的容器应妥善处理，不可做他用，也不可随意丢弃。5、避免与氧化剂接触。</w:t>
            </w:r>
          </w:p>
        </w:tc>
      </w:tr>
      <w:tr w14:paraId="55C9149D">
        <w:tblPrEx>
          <w:tblCellMar>
            <w:top w:w="0" w:type="dxa"/>
            <w:left w:w="0" w:type="dxa"/>
            <w:bottom w:w="0" w:type="dxa"/>
            <w:right w:w="0" w:type="dxa"/>
          </w:tblCellMar>
        </w:tblPrEx>
        <w:trPr>
          <w:wBefore w:w="0" w:type="auto"/>
          <w:tblCellSpacing w:w="0" w:type="dxa"/>
        </w:trPr>
        <w:tc>
          <w:tcPr>
            <w:tcW w:w="0" w:type="auto"/>
            <w:noWrap w:val="0"/>
            <w:vAlign w:val="center"/>
          </w:tcPr>
          <w:p w14:paraId="722F72C2">
            <w:r>
              <w:rPr>
                <w:rStyle w:val="10"/>
                <w:rFonts w:hint="eastAsia"/>
              </w:rPr>
              <w:t>中毒急救措施：</w:t>
            </w:r>
            <w:r>
              <w:rPr>
                <w:rFonts w:hint="eastAsia"/>
              </w:rPr>
              <w:br w:type="textWrapping"/>
            </w:r>
            <w:r>
              <w:rPr>
                <w:rStyle w:val="11"/>
                <w:rFonts w:hint="eastAsia"/>
              </w:rPr>
              <w:t>本品对眼睛有刺激性。如不慎溅入眼睛或接触皮肤，应立即用大量清水冲洗至少15分钟；如不慎吸入，应立即转移至空气流通处；如不慎误服，反复使用医用碳和大量水，立即携此标签送医治疗。本品无特殊解毒剂，可对症治疗</w:t>
            </w:r>
          </w:p>
        </w:tc>
      </w:tr>
      <w:tr w14:paraId="37DBBC98">
        <w:tblPrEx>
          <w:tblCellMar>
            <w:top w:w="0" w:type="dxa"/>
            <w:left w:w="0" w:type="dxa"/>
            <w:bottom w:w="0" w:type="dxa"/>
            <w:right w:w="0" w:type="dxa"/>
          </w:tblCellMar>
        </w:tblPrEx>
        <w:trPr>
          <w:wBefore w:w="0" w:type="auto"/>
          <w:tblCellSpacing w:w="0" w:type="dxa"/>
        </w:trPr>
        <w:tc>
          <w:tcPr>
            <w:tcW w:w="0" w:type="auto"/>
            <w:noWrap w:val="0"/>
            <w:vAlign w:val="center"/>
          </w:tcPr>
          <w:p w14:paraId="7D64B920">
            <w:r>
              <w:rPr>
                <w:rStyle w:val="10"/>
                <w:rFonts w:hint="eastAsia"/>
              </w:rPr>
              <w:t>储存和运输方法：</w:t>
            </w:r>
            <w:r>
              <w:rPr>
                <w:rFonts w:hint="eastAsia"/>
              </w:rPr>
              <w:br w:type="textWrapping"/>
            </w:r>
            <w:r>
              <w:rPr>
                <w:rStyle w:val="11"/>
                <w:rFonts w:hint="eastAsia"/>
              </w:rPr>
              <w:t xml:space="preserve">本品应贮存在干燥、阴凉、通风、防雨处，远离火源或热源。且应妥善保管，慎防误用。置于儿童触及不到之处，并加锁。勿与食品、饮料、饲料等其他商品同贮同运。运输搬运时应轻拿轻放，不可倒置。 </w:t>
            </w:r>
          </w:p>
        </w:tc>
      </w:tr>
      <w:tr w14:paraId="72153C7B">
        <w:tblPrEx>
          <w:tblCellMar>
            <w:top w:w="0" w:type="dxa"/>
            <w:left w:w="0" w:type="dxa"/>
            <w:bottom w:w="0" w:type="dxa"/>
            <w:right w:w="0" w:type="dxa"/>
          </w:tblCellMar>
        </w:tblPrEx>
        <w:trPr>
          <w:wBefore w:w="0" w:type="auto"/>
          <w:tblCellSpacing w:w="0" w:type="dxa"/>
        </w:trPr>
        <w:tc>
          <w:tcPr>
            <w:tcW w:w="0" w:type="auto"/>
            <w:noWrap w:val="0"/>
            <w:vAlign w:val="center"/>
          </w:tcPr>
          <w:p w14:paraId="51FE1D2C">
            <w:r>
              <w:rPr>
                <w:rStyle w:val="10"/>
                <w:rFonts w:hint="eastAsia"/>
              </w:rPr>
              <w:t>质量保证期：</w:t>
            </w:r>
            <w:r>
              <w:rPr>
                <w:rStyle w:val="11"/>
                <w:rFonts w:hint="eastAsia"/>
              </w:rPr>
              <w:t>2年</w:t>
            </w:r>
          </w:p>
        </w:tc>
      </w:tr>
      <w:tr w14:paraId="774E4437">
        <w:tblPrEx>
          <w:tblCellMar>
            <w:top w:w="0" w:type="dxa"/>
            <w:left w:w="0" w:type="dxa"/>
            <w:bottom w:w="0" w:type="dxa"/>
            <w:right w:w="0" w:type="dxa"/>
          </w:tblCellMar>
        </w:tblPrEx>
        <w:trPr>
          <w:wBefore w:w="0" w:type="auto"/>
          <w:tblCellSpacing w:w="0" w:type="dxa"/>
        </w:trPr>
        <w:tc>
          <w:tcPr>
            <w:tcW w:w="0" w:type="auto"/>
            <w:noWrap w:val="0"/>
            <w:vAlign w:val="center"/>
          </w:tcPr>
          <w:p w14:paraId="6030825E">
            <w:r>
              <w:rPr>
                <w:rStyle w:val="10"/>
                <w:rFonts w:hint="eastAsia"/>
              </w:rPr>
              <w:t>备注：</w:t>
            </w:r>
          </w:p>
        </w:tc>
      </w:tr>
    </w:tbl>
    <w:p w14:paraId="5697B70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9032A0">
        <w:tblPrEx>
          <w:tblCellMar>
            <w:top w:w="0" w:type="dxa"/>
            <w:left w:w="0" w:type="dxa"/>
            <w:bottom w:w="0" w:type="dxa"/>
            <w:right w:w="0" w:type="dxa"/>
          </w:tblCellMar>
        </w:tblPrEx>
        <w:trPr>
          <w:wBefore w:w="0" w:type="auto"/>
          <w:tblCellSpacing w:w="0" w:type="dxa"/>
        </w:trPr>
        <w:tc>
          <w:tcPr>
            <w:tcW w:w="0" w:type="auto"/>
            <w:noWrap w:val="0"/>
            <w:vAlign w:val="center"/>
          </w:tcPr>
          <w:p w14:paraId="03D9ED0A">
            <w:r>
              <w:rPr>
                <w:rStyle w:val="10"/>
                <w:rFonts w:hint="eastAsia"/>
              </w:rPr>
              <w:t>登记证号：</w:t>
            </w:r>
            <w:r>
              <w:rPr>
                <w:rFonts w:hint="eastAsia"/>
              </w:rPr>
              <w:t>PD20212109</w:t>
            </w:r>
          </w:p>
        </w:tc>
      </w:tr>
      <w:tr w14:paraId="228CEEB7">
        <w:tblPrEx>
          <w:tblCellMar>
            <w:top w:w="0" w:type="dxa"/>
            <w:left w:w="0" w:type="dxa"/>
            <w:bottom w:w="0" w:type="dxa"/>
            <w:right w:w="0" w:type="dxa"/>
          </w:tblCellMar>
        </w:tblPrEx>
        <w:trPr>
          <w:wBefore w:w="0" w:type="auto"/>
          <w:tblCellSpacing w:w="0" w:type="dxa"/>
        </w:trPr>
        <w:tc>
          <w:tcPr>
            <w:tcW w:w="0" w:type="auto"/>
            <w:noWrap w:val="0"/>
            <w:vAlign w:val="center"/>
          </w:tcPr>
          <w:p w14:paraId="7809DE0F">
            <w:r>
              <w:rPr>
                <w:rStyle w:val="10"/>
                <w:rFonts w:hint="eastAsia"/>
              </w:rPr>
              <w:t>登记证持有人：</w:t>
            </w:r>
            <w:r>
              <w:rPr>
                <w:rFonts w:hint="eastAsia"/>
              </w:rPr>
              <w:t>黑龙江梅亚种业有限公司</w:t>
            </w:r>
          </w:p>
        </w:tc>
      </w:tr>
      <w:tr w14:paraId="2B57B045">
        <w:tblPrEx>
          <w:tblCellMar>
            <w:top w:w="0" w:type="dxa"/>
            <w:left w:w="0" w:type="dxa"/>
            <w:bottom w:w="0" w:type="dxa"/>
            <w:right w:w="0" w:type="dxa"/>
          </w:tblCellMar>
        </w:tblPrEx>
        <w:trPr>
          <w:wBefore w:w="0" w:type="auto"/>
          <w:tblCellSpacing w:w="0" w:type="dxa"/>
        </w:trPr>
        <w:tc>
          <w:tcPr>
            <w:tcW w:w="0" w:type="auto"/>
            <w:noWrap w:val="0"/>
            <w:vAlign w:val="center"/>
          </w:tcPr>
          <w:p w14:paraId="28D1E919">
            <w:r>
              <w:rPr>
                <w:rStyle w:val="10"/>
                <w:rFonts w:hint="eastAsia"/>
              </w:rPr>
              <w:t>农药名称：</w:t>
            </w:r>
            <w:r>
              <w:rPr>
                <w:rFonts w:hint="eastAsia"/>
              </w:rPr>
              <w:t>乙·嗪·滴辛酯</w:t>
            </w:r>
          </w:p>
        </w:tc>
      </w:tr>
      <w:tr w14:paraId="1D18CB3A">
        <w:tblPrEx>
          <w:tblCellMar>
            <w:top w:w="0" w:type="dxa"/>
            <w:left w:w="0" w:type="dxa"/>
            <w:bottom w:w="0" w:type="dxa"/>
            <w:right w:w="0" w:type="dxa"/>
          </w:tblCellMar>
        </w:tblPrEx>
        <w:trPr>
          <w:wBefore w:w="0" w:type="auto"/>
          <w:tblCellSpacing w:w="0" w:type="dxa"/>
        </w:trPr>
        <w:tc>
          <w:tcPr>
            <w:tcW w:w="0" w:type="auto"/>
            <w:noWrap w:val="0"/>
            <w:vAlign w:val="center"/>
          </w:tcPr>
          <w:p w14:paraId="170603C8">
            <w:r>
              <w:rPr>
                <w:rStyle w:val="10"/>
                <w:rFonts w:hint="eastAsia"/>
              </w:rPr>
              <w:t>剂型：</w:t>
            </w:r>
            <w:r>
              <w:rPr>
                <w:rFonts w:hint="eastAsia"/>
              </w:rPr>
              <w:t>乳油</w:t>
            </w:r>
          </w:p>
        </w:tc>
      </w:tr>
      <w:tr w14:paraId="3EA8DD20">
        <w:tblPrEx>
          <w:tblCellMar>
            <w:top w:w="0" w:type="dxa"/>
            <w:left w:w="0" w:type="dxa"/>
            <w:bottom w:w="0" w:type="dxa"/>
            <w:right w:w="0" w:type="dxa"/>
          </w:tblCellMar>
        </w:tblPrEx>
        <w:trPr>
          <w:wBefore w:w="0" w:type="auto"/>
          <w:tblCellSpacing w:w="0" w:type="dxa"/>
        </w:trPr>
        <w:tc>
          <w:tcPr>
            <w:tcW w:w="0" w:type="auto"/>
            <w:noWrap w:val="0"/>
            <w:vAlign w:val="center"/>
          </w:tcPr>
          <w:p w14:paraId="52A7B0A5">
            <w:r>
              <w:rPr>
                <w:rStyle w:val="10"/>
                <w:rFonts w:hint="eastAsia"/>
              </w:rPr>
              <w:t>毒性及其标识：</w:t>
            </w:r>
            <w:r>
              <w:rPr>
                <w:rFonts w:hint="eastAsia"/>
              </w:rPr>
              <w:t xml:space="preserve"> </w:t>
            </w:r>
            <w:r>
              <w:rPr>
                <w:lang/>
              </w:rPr>
              <w:drawing>
                <wp:inline distT="0" distB="0" distL="114300" distR="114300">
                  <wp:extent cx="476250" cy="323850"/>
                  <wp:effectExtent l="0" t="0" r="0" b="0"/>
                  <wp:docPr id="400" name="图片 40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497C48F">
        <w:tblPrEx>
          <w:tblCellMar>
            <w:top w:w="0" w:type="dxa"/>
            <w:left w:w="0" w:type="dxa"/>
            <w:bottom w:w="0" w:type="dxa"/>
            <w:right w:w="0" w:type="dxa"/>
          </w:tblCellMar>
        </w:tblPrEx>
        <w:trPr>
          <w:wBefore w:w="0" w:type="auto"/>
          <w:tblCellSpacing w:w="0" w:type="dxa"/>
        </w:trPr>
        <w:tc>
          <w:tcPr>
            <w:tcW w:w="0" w:type="auto"/>
            <w:noWrap w:val="0"/>
            <w:vAlign w:val="center"/>
          </w:tcPr>
          <w:p w14:paraId="7028FE2E">
            <w:r>
              <w:rPr>
                <w:rStyle w:val="10"/>
                <w:rFonts w:hint="eastAsia"/>
              </w:rPr>
              <w:t>总有效成分含量：</w:t>
            </w:r>
            <w:r>
              <w:rPr>
                <w:rFonts w:hint="eastAsia"/>
              </w:rPr>
              <w:t>70%</w:t>
            </w:r>
          </w:p>
        </w:tc>
      </w:tr>
      <w:tr w14:paraId="7038EC48">
        <w:tblPrEx>
          <w:tblCellMar>
            <w:top w:w="0" w:type="dxa"/>
            <w:left w:w="0" w:type="dxa"/>
            <w:bottom w:w="0" w:type="dxa"/>
            <w:right w:w="0" w:type="dxa"/>
          </w:tblCellMar>
        </w:tblPrEx>
        <w:trPr>
          <w:wBefore w:w="0" w:type="auto"/>
          <w:tblCellSpacing w:w="0" w:type="dxa"/>
        </w:trPr>
        <w:tc>
          <w:tcPr>
            <w:tcW w:w="0" w:type="auto"/>
            <w:noWrap w:val="0"/>
            <w:vAlign w:val="center"/>
          </w:tcPr>
          <w:p w14:paraId="11929EF3">
            <w:r>
              <w:rPr>
                <w:rFonts w:hint="eastAsia"/>
              </w:rPr>
              <w:t xml:space="preserve">有效成分及其含量： </w:t>
            </w:r>
          </w:p>
          <w:p w14:paraId="1A7E890C">
            <w:r>
              <w:rPr>
                <w:rFonts w:hint="eastAsia"/>
              </w:rPr>
              <w:t xml:space="preserve">    乙草胺44%    嗪草酮5%    2,4-滴异辛酯21%    </w:t>
            </w:r>
          </w:p>
        </w:tc>
      </w:tr>
      <w:tr w14:paraId="625EFB98">
        <w:tblPrEx>
          <w:tblCellMar>
            <w:top w:w="0" w:type="dxa"/>
            <w:left w:w="0" w:type="dxa"/>
            <w:bottom w:w="0" w:type="dxa"/>
            <w:right w:w="0" w:type="dxa"/>
          </w:tblCellMar>
        </w:tblPrEx>
        <w:trPr>
          <w:wBefore w:w="0" w:type="auto"/>
          <w:tblCellSpacing w:w="0" w:type="dxa"/>
        </w:trPr>
        <w:tc>
          <w:tcPr>
            <w:tcW w:w="0" w:type="auto"/>
            <w:noWrap w:val="0"/>
            <w:vAlign w:val="center"/>
          </w:tcPr>
          <w:p w14:paraId="3AC0895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49594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ADA37D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A29DF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94CAD5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5B934D">
                  <w:r>
                    <w:rPr>
                      <w:rStyle w:val="11"/>
                      <w:rFonts w:hint="eastAsia"/>
                    </w:rPr>
                    <w:t>施用方式</w:t>
                  </w:r>
                </w:p>
              </w:tc>
            </w:tr>
            <w:tr w14:paraId="22CF12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B6D8050">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723D8D">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F16BF2">
                  <w:r>
                    <w:rPr>
                      <w:rStyle w:val="11"/>
                      <w:rFonts w:hint="eastAsia"/>
                    </w:rPr>
                    <w:t>120-160毫升/亩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89F422">
                  <w:r>
                    <w:rPr>
                      <w:rStyle w:val="11"/>
                      <w:rFonts w:hint="eastAsia"/>
                    </w:rPr>
                    <w:t>土壤喷雾</w:t>
                  </w:r>
                </w:p>
              </w:tc>
            </w:tr>
          </w:tbl>
          <w:p w14:paraId="361236FD">
            <w:pPr>
              <w:rPr>
                <w:rFonts w:ascii="Times New Roman" w:hAnsi="Times New Roman" w:cs="Times New Roman"/>
                <w:sz w:val="20"/>
                <w:szCs w:val="20"/>
              </w:rPr>
            </w:pPr>
          </w:p>
        </w:tc>
      </w:tr>
      <w:tr w14:paraId="5E2EC793">
        <w:tblPrEx>
          <w:tblCellMar>
            <w:top w:w="0" w:type="dxa"/>
            <w:left w:w="0" w:type="dxa"/>
            <w:bottom w:w="0" w:type="dxa"/>
            <w:right w:w="0" w:type="dxa"/>
          </w:tblCellMar>
        </w:tblPrEx>
        <w:trPr>
          <w:wBefore w:w="0" w:type="auto"/>
          <w:tblCellSpacing w:w="0" w:type="dxa"/>
        </w:trPr>
        <w:tc>
          <w:tcPr>
            <w:tcW w:w="0" w:type="auto"/>
            <w:noWrap w:val="0"/>
            <w:vAlign w:val="center"/>
          </w:tcPr>
          <w:p w14:paraId="5B7D27B1">
            <w:r>
              <w:rPr>
                <w:rStyle w:val="10"/>
                <w:rFonts w:hint="eastAsia"/>
              </w:rPr>
              <w:t>使用技术要求:</w:t>
            </w:r>
            <w:r>
              <w:rPr>
                <w:rFonts w:hint="eastAsia"/>
              </w:rPr>
              <w:br w:type="textWrapping"/>
            </w:r>
            <w:r>
              <w:rPr>
                <w:rStyle w:val="11"/>
                <w:rFonts w:hint="eastAsia"/>
              </w:rPr>
              <w:t>1. 于春玉米播后苗前土壤喷雾处理，每亩用药量兑水30～50公斤。2. 本品为土壤处理剂，必须在杂草出土前施药，为保证安全，作物拱土前两天停止用药。 3. 本品每季作物最多使用一次。</w:t>
            </w:r>
          </w:p>
        </w:tc>
      </w:tr>
      <w:tr w14:paraId="32F83BA2">
        <w:tblPrEx>
          <w:tblCellMar>
            <w:top w:w="0" w:type="dxa"/>
            <w:left w:w="0" w:type="dxa"/>
            <w:bottom w:w="0" w:type="dxa"/>
            <w:right w:w="0" w:type="dxa"/>
          </w:tblCellMar>
        </w:tblPrEx>
        <w:trPr>
          <w:wBefore w:w="0" w:type="auto"/>
          <w:tblCellSpacing w:w="0" w:type="dxa"/>
        </w:trPr>
        <w:tc>
          <w:tcPr>
            <w:tcW w:w="0" w:type="auto"/>
            <w:noWrap w:val="0"/>
            <w:vAlign w:val="center"/>
          </w:tcPr>
          <w:p w14:paraId="16CC53FE">
            <w:r>
              <w:rPr>
                <w:rStyle w:val="10"/>
                <w:rFonts w:hint="eastAsia"/>
              </w:rPr>
              <w:t>产品性能:</w:t>
            </w:r>
            <w:r>
              <w:rPr>
                <w:rFonts w:hint="eastAsia"/>
              </w:rPr>
              <w:br w:type="textWrapping"/>
            </w:r>
            <w:r>
              <w:rPr>
                <w:rStyle w:val="11"/>
                <w:rFonts w:hint="eastAsia"/>
              </w:rPr>
              <w:t>本品为春玉米田苗前除草剂，由2,4-滴异辛酯、嗪草酮和乙草胺三元混配而成，主要用于土壤喷雾处理，有效成分在植物体内干扰核酸代谢及蛋白质合成，使幼根、幼芽停止生长，能有效防除稗草、狗尾草、野燕麦、看麦娘、马唐、早熟禾、牛筋草、藜、蓼、苋、龙葵、马齿苋、繁缕、香薷、鬼针草、水棘针、苍耳、鸭跖草、风花菜、猪毛菜、律草、苣荬菜、问荆、小蓟、地肤、肠草、萹蓄、茼麻等多种一年生杂草。对玉米安全。</w:t>
            </w:r>
          </w:p>
        </w:tc>
      </w:tr>
      <w:tr w14:paraId="6C35E950">
        <w:tblPrEx>
          <w:tblCellMar>
            <w:top w:w="0" w:type="dxa"/>
            <w:left w:w="0" w:type="dxa"/>
            <w:bottom w:w="0" w:type="dxa"/>
            <w:right w:w="0" w:type="dxa"/>
          </w:tblCellMar>
        </w:tblPrEx>
        <w:trPr>
          <w:wBefore w:w="0" w:type="auto"/>
          <w:tblCellSpacing w:w="0" w:type="dxa"/>
        </w:trPr>
        <w:tc>
          <w:tcPr>
            <w:tcW w:w="0" w:type="auto"/>
            <w:noWrap w:val="0"/>
            <w:vAlign w:val="center"/>
          </w:tcPr>
          <w:p w14:paraId="591C51D5">
            <w:r>
              <w:rPr>
                <w:rStyle w:val="10"/>
                <w:rFonts w:hint="eastAsia"/>
              </w:rPr>
              <w:t>注意事项：</w:t>
            </w:r>
            <w:r>
              <w:rPr>
                <w:rFonts w:hint="eastAsia"/>
              </w:rPr>
              <w:br w:type="textWrapping"/>
            </w:r>
            <w:r>
              <w:rPr>
                <w:rStyle w:val="11"/>
                <w:rFonts w:hint="eastAsia"/>
              </w:rPr>
              <w:t>1. 本品不可与呈碱性的农药等物质混和使用，以免降低除草效果。在专业植保人员的指导下施药，不能随意增加施药量。2. 甜玉米、爆裂型玉米禁用。精细整地、保持土壤湿润、施药后浅混土2～3厘米、镇压，有利于提高药效。土壤有机质含量高、土质粘重、土壤干旱，宜采用较高药量；有机质含量低、沙质土壤、土壤墒情好宜用较低药量。3. 该药挥发性强，施药作物田要与敏感作物如棉花、油菜、瓜类、向日葵有一定距离。4. 严格按照推荐剂量，采用标准喷雾器施药定期检查、维护和保养施药器械，避免施药器械的故障或药液箱漏液。使用时注意风向，应在上风口施药，在无风或微风（风力不大于2级）、气温15～28℃的晴天压低喷头减压均匀喷雾。施药时间最好控制在4h以内，施药后遇大雨，地面有明水易产生药害。5. 使用本品时要注意防护，须戴护目镜、防毒面具和双层防护手套，穿专业防护服、长筒靴等安全性护具。避免吸入药液，施药期间不可吃东西、喝水和吸烟。施药后应及时用肥皂洗手、洗脸和清洗防护用具。6. 本品对水生生物有毒，远离水产养殖区、河塘等水体施药，禁止在河塘等水体中清洗施药器具，仅限于在地下水位较深的区域使用。药后清洗药械的废水不能排入河流、池塘等。用过的容器应妥善处理，不可做它用，也不可随意丢弃。7. 鸟类保护区附近禁用，赤眼蜂等天敌放飞区域禁用。若附近有桑园，将最外围桑树设置为隔离带，不能用于饲养家蚕。8. 用过的容器或包装物应妥善处理，不可做他用，也不可随意丢弃。9. 避免孕妇及哺乳期妇女接触本品。</w:t>
            </w:r>
          </w:p>
        </w:tc>
      </w:tr>
      <w:tr w14:paraId="0BC1F788">
        <w:tblPrEx>
          <w:tblCellMar>
            <w:top w:w="0" w:type="dxa"/>
            <w:left w:w="0" w:type="dxa"/>
            <w:bottom w:w="0" w:type="dxa"/>
            <w:right w:w="0" w:type="dxa"/>
          </w:tblCellMar>
        </w:tblPrEx>
        <w:trPr>
          <w:wBefore w:w="0" w:type="auto"/>
          <w:tblCellSpacing w:w="0" w:type="dxa"/>
        </w:trPr>
        <w:tc>
          <w:tcPr>
            <w:tcW w:w="0" w:type="auto"/>
            <w:noWrap w:val="0"/>
            <w:vAlign w:val="center"/>
          </w:tcPr>
          <w:p w14:paraId="508CAB63">
            <w:r>
              <w:rPr>
                <w:rStyle w:val="10"/>
                <w:rFonts w:hint="eastAsia"/>
              </w:rPr>
              <w:t>中毒急救措施：</w:t>
            </w:r>
            <w:r>
              <w:rPr>
                <w:rFonts w:hint="eastAsia"/>
              </w:rPr>
              <w:br w:type="textWrapping"/>
            </w:r>
            <w:r>
              <w:rPr>
                <w:rStyle w:val="11"/>
                <w:rFonts w:hint="eastAsia"/>
              </w:rPr>
              <w:t>本品对眼睛有轻度刺激性。1. 若溅入眼睛，应用大量清水冲洗至少15分钟。严重时送医院诊治。2. 如不慎接触皮肤，脱除受污染的衣服，并用肥皂和大量清水冲洗。3. 不慎吸入，应将病人移到通风处。不慎接触皮肤，应用大量清水冲洗干净。4. 如误服，立即带标签送医院诊治。无特效解毒剂，对症治疗。</w:t>
            </w:r>
          </w:p>
        </w:tc>
      </w:tr>
      <w:tr w14:paraId="02E2C0BC">
        <w:tblPrEx>
          <w:tblCellMar>
            <w:top w:w="0" w:type="dxa"/>
            <w:left w:w="0" w:type="dxa"/>
            <w:bottom w:w="0" w:type="dxa"/>
            <w:right w:w="0" w:type="dxa"/>
          </w:tblCellMar>
        </w:tblPrEx>
        <w:trPr>
          <w:wBefore w:w="0" w:type="auto"/>
          <w:tblCellSpacing w:w="0" w:type="dxa"/>
        </w:trPr>
        <w:tc>
          <w:tcPr>
            <w:tcW w:w="0" w:type="auto"/>
            <w:noWrap w:val="0"/>
            <w:vAlign w:val="center"/>
          </w:tcPr>
          <w:p w14:paraId="0A348C42">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本品应贮存在干燥、阴凉、通风、防雨处，远离火源或热源。置于儿童及无关人员触及不到之处，并加锁保存。勿与食品、饮料、粮食、饲料等物其他商品同贮同运。</w:t>
            </w:r>
          </w:p>
        </w:tc>
      </w:tr>
      <w:tr w14:paraId="21AD8770">
        <w:tblPrEx>
          <w:tblCellMar>
            <w:top w:w="0" w:type="dxa"/>
            <w:left w:w="0" w:type="dxa"/>
            <w:bottom w:w="0" w:type="dxa"/>
            <w:right w:w="0" w:type="dxa"/>
          </w:tblCellMar>
        </w:tblPrEx>
        <w:trPr>
          <w:wBefore w:w="0" w:type="auto"/>
          <w:tblCellSpacing w:w="0" w:type="dxa"/>
        </w:trPr>
        <w:tc>
          <w:tcPr>
            <w:tcW w:w="0" w:type="auto"/>
            <w:noWrap w:val="0"/>
            <w:vAlign w:val="center"/>
          </w:tcPr>
          <w:p w14:paraId="47A5F47D">
            <w:r>
              <w:rPr>
                <w:rStyle w:val="10"/>
                <w:rFonts w:hint="eastAsia"/>
              </w:rPr>
              <w:t>质量保证期：</w:t>
            </w:r>
            <w:r>
              <w:rPr>
                <w:rStyle w:val="11"/>
                <w:rFonts w:hint="eastAsia"/>
              </w:rPr>
              <w:t>2年</w:t>
            </w:r>
          </w:p>
        </w:tc>
      </w:tr>
      <w:tr w14:paraId="6A6AC900">
        <w:tblPrEx>
          <w:tblCellMar>
            <w:top w:w="0" w:type="dxa"/>
            <w:left w:w="0" w:type="dxa"/>
            <w:bottom w:w="0" w:type="dxa"/>
            <w:right w:w="0" w:type="dxa"/>
          </w:tblCellMar>
        </w:tblPrEx>
        <w:trPr>
          <w:wBefore w:w="0" w:type="auto"/>
          <w:tblCellSpacing w:w="0" w:type="dxa"/>
        </w:trPr>
        <w:tc>
          <w:tcPr>
            <w:tcW w:w="0" w:type="auto"/>
            <w:noWrap w:val="0"/>
            <w:vAlign w:val="center"/>
          </w:tcPr>
          <w:p w14:paraId="53BF68C2">
            <w:r>
              <w:rPr>
                <w:rStyle w:val="10"/>
                <w:rFonts w:hint="eastAsia"/>
              </w:rPr>
              <w:t>备注：</w:t>
            </w:r>
          </w:p>
        </w:tc>
      </w:tr>
    </w:tbl>
    <w:p w14:paraId="49648F2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F3CB896">
        <w:tblPrEx>
          <w:tblCellMar>
            <w:top w:w="0" w:type="dxa"/>
            <w:left w:w="0" w:type="dxa"/>
            <w:bottom w:w="0" w:type="dxa"/>
            <w:right w:w="0" w:type="dxa"/>
          </w:tblCellMar>
        </w:tblPrEx>
        <w:trPr>
          <w:wBefore w:w="0" w:type="auto"/>
          <w:tblCellSpacing w:w="0" w:type="dxa"/>
        </w:trPr>
        <w:tc>
          <w:tcPr>
            <w:tcW w:w="0" w:type="auto"/>
            <w:noWrap w:val="0"/>
            <w:vAlign w:val="center"/>
          </w:tcPr>
          <w:p w14:paraId="22A1229E">
            <w:r>
              <w:rPr>
                <w:rStyle w:val="10"/>
                <w:rFonts w:hint="eastAsia"/>
              </w:rPr>
              <w:t>登记证号：</w:t>
            </w:r>
            <w:r>
              <w:rPr>
                <w:rFonts w:hint="eastAsia"/>
              </w:rPr>
              <w:t>PD20212251</w:t>
            </w:r>
          </w:p>
        </w:tc>
      </w:tr>
      <w:tr w14:paraId="6DB50D64">
        <w:tblPrEx>
          <w:tblCellMar>
            <w:top w:w="0" w:type="dxa"/>
            <w:left w:w="0" w:type="dxa"/>
            <w:bottom w:w="0" w:type="dxa"/>
            <w:right w:w="0" w:type="dxa"/>
          </w:tblCellMar>
        </w:tblPrEx>
        <w:trPr>
          <w:wBefore w:w="0" w:type="auto"/>
          <w:tblCellSpacing w:w="0" w:type="dxa"/>
        </w:trPr>
        <w:tc>
          <w:tcPr>
            <w:tcW w:w="0" w:type="auto"/>
            <w:noWrap w:val="0"/>
            <w:vAlign w:val="center"/>
          </w:tcPr>
          <w:p w14:paraId="20F43FCA">
            <w:r>
              <w:rPr>
                <w:rStyle w:val="10"/>
                <w:rFonts w:hint="eastAsia"/>
              </w:rPr>
              <w:t>登记证持有人：</w:t>
            </w:r>
            <w:r>
              <w:rPr>
                <w:rFonts w:hint="eastAsia"/>
              </w:rPr>
              <w:t>山东滨农科技有限公司</w:t>
            </w:r>
          </w:p>
        </w:tc>
      </w:tr>
      <w:tr w14:paraId="2E4A9F72">
        <w:tblPrEx>
          <w:tblCellMar>
            <w:top w:w="0" w:type="dxa"/>
            <w:left w:w="0" w:type="dxa"/>
            <w:bottom w:w="0" w:type="dxa"/>
            <w:right w:w="0" w:type="dxa"/>
          </w:tblCellMar>
        </w:tblPrEx>
        <w:trPr>
          <w:wBefore w:w="0" w:type="auto"/>
          <w:tblCellSpacing w:w="0" w:type="dxa"/>
        </w:trPr>
        <w:tc>
          <w:tcPr>
            <w:tcW w:w="0" w:type="auto"/>
            <w:noWrap w:val="0"/>
            <w:vAlign w:val="center"/>
          </w:tcPr>
          <w:p w14:paraId="22E2955D">
            <w:r>
              <w:rPr>
                <w:rStyle w:val="10"/>
                <w:rFonts w:hint="eastAsia"/>
              </w:rPr>
              <w:t>农药名称：</w:t>
            </w:r>
            <w:r>
              <w:rPr>
                <w:rFonts w:hint="eastAsia"/>
              </w:rPr>
              <w:t>烟嘧·特丁津·滴异辛酯</w:t>
            </w:r>
          </w:p>
        </w:tc>
      </w:tr>
      <w:tr w14:paraId="6EDA48FA">
        <w:tblPrEx>
          <w:tblCellMar>
            <w:top w:w="0" w:type="dxa"/>
            <w:left w:w="0" w:type="dxa"/>
            <w:bottom w:w="0" w:type="dxa"/>
            <w:right w:w="0" w:type="dxa"/>
          </w:tblCellMar>
        </w:tblPrEx>
        <w:trPr>
          <w:wBefore w:w="0" w:type="auto"/>
          <w:tblCellSpacing w:w="0" w:type="dxa"/>
        </w:trPr>
        <w:tc>
          <w:tcPr>
            <w:tcW w:w="0" w:type="auto"/>
            <w:noWrap w:val="0"/>
            <w:vAlign w:val="center"/>
          </w:tcPr>
          <w:p w14:paraId="47CEAFBA">
            <w:r>
              <w:rPr>
                <w:rStyle w:val="10"/>
                <w:rFonts w:hint="eastAsia"/>
              </w:rPr>
              <w:t>剂型：</w:t>
            </w:r>
            <w:r>
              <w:rPr>
                <w:rFonts w:hint="eastAsia"/>
              </w:rPr>
              <w:t>可分散油悬浮剂</w:t>
            </w:r>
          </w:p>
        </w:tc>
      </w:tr>
      <w:tr w14:paraId="42F8FC66">
        <w:tblPrEx>
          <w:tblCellMar>
            <w:top w:w="0" w:type="dxa"/>
            <w:left w:w="0" w:type="dxa"/>
            <w:bottom w:w="0" w:type="dxa"/>
            <w:right w:w="0" w:type="dxa"/>
          </w:tblCellMar>
        </w:tblPrEx>
        <w:trPr>
          <w:wBefore w:w="0" w:type="auto"/>
          <w:tblCellSpacing w:w="0" w:type="dxa"/>
        </w:trPr>
        <w:tc>
          <w:tcPr>
            <w:tcW w:w="0" w:type="auto"/>
            <w:noWrap w:val="0"/>
            <w:vAlign w:val="center"/>
          </w:tcPr>
          <w:p w14:paraId="6F15A5A4">
            <w:r>
              <w:rPr>
                <w:rStyle w:val="10"/>
                <w:rFonts w:hint="eastAsia"/>
              </w:rPr>
              <w:t>毒性及其标识：</w:t>
            </w:r>
            <w:r>
              <w:rPr>
                <w:rFonts w:hint="eastAsia"/>
              </w:rPr>
              <w:t xml:space="preserve"> </w:t>
            </w:r>
            <w:r>
              <w:rPr>
                <w:lang/>
              </w:rPr>
              <w:drawing>
                <wp:inline distT="0" distB="0" distL="114300" distR="114300">
                  <wp:extent cx="476250" cy="323850"/>
                  <wp:effectExtent l="0" t="0" r="0" b="0"/>
                  <wp:docPr id="401" name="图片 40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572F954">
        <w:tblPrEx>
          <w:tblCellMar>
            <w:top w:w="0" w:type="dxa"/>
            <w:left w:w="0" w:type="dxa"/>
            <w:bottom w:w="0" w:type="dxa"/>
            <w:right w:w="0" w:type="dxa"/>
          </w:tblCellMar>
        </w:tblPrEx>
        <w:trPr>
          <w:wBefore w:w="0" w:type="auto"/>
          <w:tblCellSpacing w:w="0" w:type="dxa"/>
        </w:trPr>
        <w:tc>
          <w:tcPr>
            <w:tcW w:w="0" w:type="auto"/>
            <w:noWrap w:val="0"/>
            <w:vAlign w:val="center"/>
          </w:tcPr>
          <w:p w14:paraId="730321A1">
            <w:r>
              <w:rPr>
                <w:rStyle w:val="10"/>
                <w:rFonts w:hint="eastAsia"/>
              </w:rPr>
              <w:t>总有效成分含量：</w:t>
            </w:r>
            <w:r>
              <w:rPr>
                <w:rFonts w:hint="eastAsia"/>
              </w:rPr>
              <w:t>33%</w:t>
            </w:r>
          </w:p>
        </w:tc>
      </w:tr>
      <w:tr w14:paraId="30706451">
        <w:tblPrEx>
          <w:tblCellMar>
            <w:top w:w="0" w:type="dxa"/>
            <w:left w:w="0" w:type="dxa"/>
            <w:bottom w:w="0" w:type="dxa"/>
            <w:right w:w="0" w:type="dxa"/>
          </w:tblCellMar>
        </w:tblPrEx>
        <w:trPr>
          <w:wBefore w:w="0" w:type="auto"/>
          <w:tblCellSpacing w:w="0" w:type="dxa"/>
        </w:trPr>
        <w:tc>
          <w:tcPr>
            <w:tcW w:w="0" w:type="auto"/>
            <w:noWrap w:val="0"/>
            <w:vAlign w:val="center"/>
          </w:tcPr>
          <w:p w14:paraId="15B5DC97">
            <w:r>
              <w:rPr>
                <w:rFonts w:hint="eastAsia"/>
              </w:rPr>
              <w:t xml:space="preserve">有效成分及其含量： </w:t>
            </w:r>
          </w:p>
          <w:p w14:paraId="12FDB5B7">
            <w:r>
              <w:rPr>
                <w:rFonts w:hint="eastAsia"/>
              </w:rPr>
              <w:t xml:space="preserve">    烟嘧磺隆5.5%    特丁津22%    2,4-滴异辛酯5.5%    </w:t>
            </w:r>
          </w:p>
        </w:tc>
      </w:tr>
      <w:tr w14:paraId="05098F22">
        <w:tblPrEx>
          <w:tblCellMar>
            <w:top w:w="0" w:type="dxa"/>
            <w:left w:w="0" w:type="dxa"/>
            <w:bottom w:w="0" w:type="dxa"/>
            <w:right w:w="0" w:type="dxa"/>
          </w:tblCellMar>
        </w:tblPrEx>
        <w:trPr>
          <w:wBefore w:w="0" w:type="auto"/>
          <w:tblCellSpacing w:w="0" w:type="dxa"/>
        </w:trPr>
        <w:tc>
          <w:tcPr>
            <w:tcW w:w="0" w:type="auto"/>
            <w:noWrap w:val="0"/>
            <w:vAlign w:val="center"/>
          </w:tcPr>
          <w:p w14:paraId="0AA745E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C3933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5D5627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28560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06F8B9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FB22E9B">
                  <w:r>
                    <w:rPr>
                      <w:rStyle w:val="11"/>
                      <w:rFonts w:hint="eastAsia"/>
                    </w:rPr>
                    <w:t>施用方式</w:t>
                  </w:r>
                </w:p>
              </w:tc>
            </w:tr>
            <w:tr w14:paraId="126D86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781E952">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892F99">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696C61">
                  <w:r>
                    <w:rPr>
                      <w:rStyle w:val="11"/>
                      <w:rFonts w:hint="eastAsia"/>
                    </w:rPr>
                    <w:t>65-75毫升/亩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DC66AD">
                  <w:r>
                    <w:rPr>
                      <w:rStyle w:val="11"/>
                      <w:rFonts w:hint="eastAsia"/>
                    </w:rPr>
                    <w:t>茎叶喷雾</w:t>
                  </w:r>
                </w:p>
              </w:tc>
            </w:tr>
          </w:tbl>
          <w:p w14:paraId="14306F61">
            <w:pPr>
              <w:rPr>
                <w:rFonts w:ascii="Times New Roman" w:hAnsi="Times New Roman" w:cs="Times New Roman"/>
                <w:sz w:val="20"/>
                <w:szCs w:val="20"/>
              </w:rPr>
            </w:pPr>
          </w:p>
        </w:tc>
      </w:tr>
      <w:tr w14:paraId="03708B3D">
        <w:tblPrEx>
          <w:tblCellMar>
            <w:top w:w="0" w:type="dxa"/>
            <w:left w:w="0" w:type="dxa"/>
            <w:bottom w:w="0" w:type="dxa"/>
            <w:right w:w="0" w:type="dxa"/>
          </w:tblCellMar>
        </w:tblPrEx>
        <w:trPr>
          <w:wBefore w:w="0" w:type="auto"/>
          <w:tblCellSpacing w:w="0" w:type="dxa"/>
        </w:trPr>
        <w:tc>
          <w:tcPr>
            <w:tcW w:w="0" w:type="auto"/>
            <w:noWrap w:val="0"/>
            <w:vAlign w:val="center"/>
          </w:tcPr>
          <w:p w14:paraId="51B6F699">
            <w:r>
              <w:rPr>
                <w:rStyle w:val="10"/>
                <w:rFonts w:hint="eastAsia"/>
              </w:rPr>
              <w:t>使用技术要求:</w:t>
            </w:r>
            <w:r>
              <w:rPr>
                <w:rFonts w:hint="eastAsia"/>
              </w:rPr>
              <w:br w:type="textWrapping"/>
            </w:r>
            <w:r>
              <w:rPr>
                <w:rStyle w:val="11"/>
                <w:rFonts w:hint="eastAsia"/>
              </w:rPr>
              <w:t>1. 最佳施药时期：春玉米田3－5叶期，杂草2-5叶期均匀喷雾。2. 施药时间应在上午或傍晚，中午前后气温高时喷药易蒸发影响药效。大风或大雨前不要施药。本品每季使用1次。</w:t>
            </w:r>
          </w:p>
        </w:tc>
      </w:tr>
      <w:tr w14:paraId="546E25AF">
        <w:tblPrEx>
          <w:tblCellMar>
            <w:top w:w="0" w:type="dxa"/>
            <w:left w:w="0" w:type="dxa"/>
            <w:bottom w:w="0" w:type="dxa"/>
            <w:right w:w="0" w:type="dxa"/>
          </w:tblCellMar>
        </w:tblPrEx>
        <w:trPr>
          <w:wBefore w:w="0" w:type="auto"/>
          <w:tblCellSpacing w:w="0" w:type="dxa"/>
        </w:trPr>
        <w:tc>
          <w:tcPr>
            <w:tcW w:w="0" w:type="auto"/>
            <w:noWrap w:val="0"/>
            <w:vAlign w:val="center"/>
          </w:tcPr>
          <w:p w14:paraId="0FA64CED">
            <w:r>
              <w:rPr>
                <w:rStyle w:val="10"/>
                <w:rFonts w:hint="eastAsia"/>
              </w:rPr>
              <w:t>产品性能:</w:t>
            </w:r>
            <w:r>
              <w:rPr>
                <w:rFonts w:hint="eastAsia"/>
              </w:rPr>
              <w:br w:type="textWrapping"/>
            </w:r>
            <w:r>
              <w:rPr>
                <w:rStyle w:val="11"/>
                <w:rFonts w:hint="eastAsia"/>
              </w:rPr>
              <w:t>本剂为玉米田专用茎叶除草剂，具有杀草谱广、持效期长、杀草速度快等特点，可防除常见杂草如：稗草、狗尾草、马唐、牛筋草、鸭趾草、苘麻、藜、马齿苋、反枝苋、铁苋菜、自生麦苗等。</w:t>
            </w:r>
          </w:p>
        </w:tc>
      </w:tr>
      <w:tr w14:paraId="13E9D187">
        <w:tblPrEx>
          <w:tblCellMar>
            <w:top w:w="0" w:type="dxa"/>
            <w:left w:w="0" w:type="dxa"/>
            <w:bottom w:w="0" w:type="dxa"/>
            <w:right w:w="0" w:type="dxa"/>
          </w:tblCellMar>
        </w:tblPrEx>
        <w:trPr>
          <w:wBefore w:w="0" w:type="auto"/>
          <w:tblCellSpacing w:w="0" w:type="dxa"/>
        </w:trPr>
        <w:tc>
          <w:tcPr>
            <w:tcW w:w="0" w:type="auto"/>
            <w:noWrap w:val="0"/>
            <w:vAlign w:val="center"/>
          </w:tcPr>
          <w:p w14:paraId="74E130EA">
            <w:r>
              <w:rPr>
                <w:rStyle w:val="10"/>
                <w:rFonts w:hint="eastAsia"/>
              </w:rPr>
              <w:t>注意事项：</w:t>
            </w:r>
            <w:r>
              <w:rPr>
                <w:rFonts w:hint="eastAsia"/>
              </w:rPr>
              <w:br w:type="textWrapping"/>
            </w:r>
            <w:r>
              <w:rPr>
                <w:rStyle w:val="11"/>
                <w:rFonts w:hint="eastAsia"/>
              </w:rPr>
              <w:t>1. 使用前，请详细阅读本标签并按推荐方法和剂量使用。用药前要充分摇匀，喷药不要漏喷、重喷。2. 本剂不能与有机磷农药混用，如使用有机磷类农药，间隔期必须在7天以上。3. 本剂如在玉米5叶期以后用药，应压低喷头顺垄喷雾，防止药液喷洒在小喇叭口内。4. 不能用弥雾机施药，以免产生药害。异常的高温高湿天气不宜用药。5. 不同玉米品种对本品安全性存在差异，其中观赏玉米、爆裂玉米、糯玉米、甜玉米等敏感品种及自交系及制种田不宜使用。个别玉米新品种对烟嘧磺隆敏感，使用时应注意对玉米的安全性。6. 对豆类、水稻、瓜类、杨树、桃树敏感，防止药液飘移。7. 本施药期间应避免对周围蜂群的影响，禁止在开花植物花期、蚕室和桑园附近使用。远离水产养殖区、河塘等水域施药，禁止在河塘等水体中清洗施药器具，地下水、饮用水源地禁用。赤眼蜂等天敌放飞区域禁用。8. 本品对眼睛有刺激性，使用时避免接触眼睛，穿戴长衣、长裤、帽子、口罩、手套等防护措施，避免吸入药液；施药期间不可吃东西和饮水；施药后应及时洗手和洗脸。9. 孕妇及哺乳期妇女应避免接触。10. 用过的容器应妥善处理，不可做他用，也不可随意丢弃。</w:t>
            </w:r>
          </w:p>
        </w:tc>
      </w:tr>
      <w:tr w14:paraId="795329E2">
        <w:tblPrEx>
          <w:tblCellMar>
            <w:top w:w="0" w:type="dxa"/>
            <w:left w:w="0" w:type="dxa"/>
            <w:bottom w:w="0" w:type="dxa"/>
            <w:right w:w="0" w:type="dxa"/>
          </w:tblCellMar>
        </w:tblPrEx>
        <w:trPr>
          <w:wBefore w:w="0" w:type="auto"/>
          <w:tblCellSpacing w:w="0" w:type="dxa"/>
        </w:trPr>
        <w:tc>
          <w:tcPr>
            <w:tcW w:w="0" w:type="auto"/>
            <w:noWrap w:val="0"/>
            <w:vAlign w:val="center"/>
          </w:tcPr>
          <w:p w14:paraId="45DEA28D">
            <w:r>
              <w:rPr>
                <w:rStyle w:val="10"/>
                <w:rFonts w:hint="eastAsia"/>
              </w:rPr>
              <w:t>中毒急救措施：</w:t>
            </w:r>
            <w:r>
              <w:rPr>
                <w:rFonts w:hint="eastAsia"/>
              </w:rPr>
              <w:br w:type="textWrapping"/>
            </w:r>
            <w:r>
              <w:rPr>
                <w:rStyle w:val="11"/>
                <w:rFonts w:hint="eastAsia"/>
              </w:rPr>
              <w:t>1. 中毒症状：对眼、皮肤及呼吸道有刺激作用。2. 皮肤接触：立即脱掉被污染的衣物，用肥皂和大量清水彻底清洗受污染的皮肤。3. 眼睛溅药：立即将眼睑翻开，用清水冲洗10-15分钟，再请医生诊治。4. 不慎吸入：立即将吸入者转移到空气新鲜处，请医生诊治。5. 如误服，应立即携带此标签去医院诊治。无解毒剂，对症治疗。</w:t>
            </w:r>
          </w:p>
        </w:tc>
      </w:tr>
      <w:tr w14:paraId="384F70D9">
        <w:tblPrEx>
          <w:tblCellMar>
            <w:top w:w="0" w:type="dxa"/>
            <w:left w:w="0" w:type="dxa"/>
            <w:bottom w:w="0" w:type="dxa"/>
            <w:right w:w="0" w:type="dxa"/>
          </w:tblCellMar>
        </w:tblPrEx>
        <w:trPr>
          <w:wBefore w:w="0" w:type="auto"/>
          <w:tblCellSpacing w:w="0" w:type="dxa"/>
        </w:trPr>
        <w:tc>
          <w:tcPr>
            <w:tcW w:w="0" w:type="auto"/>
            <w:noWrap w:val="0"/>
            <w:vAlign w:val="center"/>
          </w:tcPr>
          <w:p w14:paraId="12031B57">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本品应贮存在干燥、阴凉、通风、防雨处，远离火源或热源。置于儿童、无关人员触及不到之处，并加锁。不能与食品、饮料、粮食、饲料等物品同贮同运。</w:t>
            </w:r>
          </w:p>
        </w:tc>
      </w:tr>
      <w:tr w14:paraId="3DA38CC4">
        <w:tblPrEx>
          <w:tblCellMar>
            <w:top w:w="0" w:type="dxa"/>
            <w:left w:w="0" w:type="dxa"/>
            <w:bottom w:w="0" w:type="dxa"/>
            <w:right w:w="0" w:type="dxa"/>
          </w:tblCellMar>
        </w:tblPrEx>
        <w:trPr>
          <w:wBefore w:w="0" w:type="auto"/>
          <w:tblCellSpacing w:w="0" w:type="dxa"/>
        </w:trPr>
        <w:tc>
          <w:tcPr>
            <w:tcW w:w="0" w:type="auto"/>
            <w:noWrap w:val="0"/>
            <w:vAlign w:val="center"/>
          </w:tcPr>
          <w:p w14:paraId="638F3ED8">
            <w:r>
              <w:rPr>
                <w:rStyle w:val="10"/>
                <w:rFonts w:hint="eastAsia"/>
              </w:rPr>
              <w:t>质量保证期：</w:t>
            </w:r>
            <w:r>
              <w:rPr>
                <w:rStyle w:val="11"/>
                <w:rFonts w:hint="eastAsia"/>
              </w:rPr>
              <w:t>2年</w:t>
            </w:r>
          </w:p>
        </w:tc>
      </w:tr>
      <w:tr w14:paraId="045DA249">
        <w:tblPrEx>
          <w:tblCellMar>
            <w:top w:w="0" w:type="dxa"/>
            <w:left w:w="0" w:type="dxa"/>
            <w:bottom w:w="0" w:type="dxa"/>
            <w:right w:w="0" w:type="dxa"/>
          </w:tblCellMar>
        </w:tblPrEx>
        <w:trPr>
          <w:wBefore w:w="0" w:type="auto"/>
          <w:tblCellSpacing w:w="0" w:type="dxa"/>
        </w:trPr>
        <w:tc>
          <w:tcPr>
            <w:tcW w:w="0" w:type="auto"/>
            <w:noWrap w:val="0"/>
            <w:vAlign w:val="center"/>
          </w:tcPr>
          <w:p w14:paraId="22014DE5">
            <w:r>
              <w:rPr>
                <w:rStyle w:val="10"/>
                <w:rFonts w:hint="eastAsia"/>
              </w:rPr>
              <w:t>备注：</w:t>
            </w:r>
          </w:p>
        </w:tc>
      </w:tr>
    </w:tbl>
    <w:p w14:paraId="099836B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5D06B0F">
        <w:tblPrEx>
          <w:tblCellMar>
            <w:top w:w="0" w:type="dxa"/>
            <w:left w:w="0" w:type="dxa"/>
            <w:bottom w:w="0" w:type="dxa"/>
            <w:right w:w="0" w:type="dxa"/>
          </w:tblCellMar>
        </w:tblPrEx>
        <w:trPr>
          <w:wBefore w:w="0" w:type="auto"/>
          <w:tblCellSpacing w:w="0" w:type="dxa"/>
        </w:trPr>
        <w:tc>
          <w:tcPr>
            <w:tcW w:w="0" w:type="auto"/>
            <w:noWrap w:val="0"/>
            <w:vAlign w:val="center"/>
          </w:tcPr>
          <w:p w14:paraId="00411DF3">
            <w:r>
              <w:rPr>
                <w:rStyle w:val="10"/>
                <w:rFonts w:hint="eastAsia"/>
              </w:rPr>
              <w:t>登记证号：</w:t>
            </w:r>
            <w:r>
              <w:rPr>
                <w:rFonts w:hint="eastAsia"/>
              </w:rPr>
              <w:t>PD20211827</w:t>
            </w:r>
          </w:p>
        </w:tc>
      </w:tr>
      <w:tr w14:paraId="49E9A797">
        <w:tblPrEx>
          <w:tblCellMar>
            <w:top w:w="0" w:type="dxa"/>
            <w:left w:w="0" w:type="dxa"/>
            <w:bottom w:w="0" w:type="dxa"/>
            <w:right w:w="0" w:type="dxa"/>
          </w:tblCellMar>
        </w:tblPrEx>
        <w:trPr>
          <w:wBefore w:w="0" w:type="auto"/>
          <w:tblCellSpacing w:w="0" w:type="dxa"/>
        </w:trPr>
        <w:tc>
          <w:tcPr>
            <w:tcW w:w="0" w:type="auto"/>
            <w:noWrap w:val="0"/>
            <w:vAlign w:val="center"/>
          </w:tcPr>
          <w:p w14:paraId="5D0D3B1B">
            <w:r>
              <w:rPr>
                <w:rStyle w:val="10"/>
                <w:rFonts w:hint="eastAsia"/>
              </w:rPr>
              <w:t>登记证持有人：</w:t>
            </w:r>
            <w:r>
              <w:rPr>
                <w:rFonts w:hint="eastAsia"/>
              </w:rPr>
              <w:t>山东天威农药有限公司</w:t>
            </w:r>
          </w:p>
        </w:tc>
      </w:tr>
      <w:tr w14:paraId="106A4EB4">
        <w:tblPrEx>
          <w:tblCellMar>
            <w:top w:w="0" w:type="dxa"/>
            <w:left w:w="0" w:type="dxa"/>
            <w:bottom w:w="0" w:type="dxa"/>
            <w:right w:w="0" w:type="dxa"/>
          </w:tblCellMar>
        </w:tblPrEx>
        <w:trPr>
          <w:wBefore w:w="0" w:type="auto"/>
          <w:tblCellSpacing w:w="0" w:type="dxa"/>
        </w:trPr>
        <w:tc>
          <w:tcPr>
            <w:tcW w:w="0" w:type="auto"/>
            <w:noWrap w:val="0"/>
            <w:vAlign w:val="center"/>
          </w:tcPr>
          <w:p w14:paraId="270D1EA2">
            <w:r>
              <w:rPr>
                <w:rStyle w:val="10"/>
                <w:rFonts w:hint="eastAsia"/>
              </w:rPr>
              <w:t>农药名称：</w:t>
            </w:r>
            <w:r>
              <w:rPr>
                <w:rFonts w:hint="eastAsia"/>
              </w:rPr>
              <w:t>球孢白僵菌</w:t>
            </w:r>
          </w:p>
        </w:tc>
      </w:tr>
      <w:tr w14:paraId="58E5FB45">
        <w:tblPrEx>
          <w:tblCellMar>
            <w:top w:w="0" w:type="dxa"/>
            <w:left w:w="0" w:type="dxa"/>
            <w:bottom w:w="0" w:type="dxa"/>
            <w:right w:w="0" w:type="dxa"/>
          </w:tblCellMar>
        </w:tblPrEx>
        <w:trPr>
          <w:wBefore w:w="0" w:type="auto"/>
          <w:tblCellSpacing w:w="0" w:type="dxa"/>
        </w:trPr>
        <w:tc>
          <w:tcPr>
            <w:tcW w:w="0" w:type="auto"/>
            <w:noWrap w:val="0"/>
            <w:vAlign w:val="center"/>
          </w:tcPr>
          <w:p w14:paraId="429FD7F8">
            <w:r>
              <w:rPr>
                <w:rStyle w:val="10"/>
                <w:rFonts w:hint="eastAsia"/>
              </w:rPr>
              <w:t>剂型：</w:t>
            </w:r>
            <w:r>
              <w:rPr>
                <w:rFonts w:hint="eastAsia"/>
              </w:rPr>
              <w:t>可分散油悬浮剂</w:t>
            </w:r>
          </w:p>
        </w:tc>
      </w:tr>
      <w:tr w14:paraId="4665C743">
        <w:tblPrEx>
          <w:tblCellMar>
            <w:top w:w="0" w:type="dxa"/>
            <w:left w:w="0" w:type="dxa"/>
            <w:bottom w:w="0" w:type="dxa"/>
            <w:right w:w="0" w:type="dxa"/>
          </w:tblCellMar>
        </w:tblPrEx>
        <w:trPr>
          <w:wBefore w:w="0" w:type="auto"/>
          <w:tblCellSpacing w:w="0" w:type="dxa"/>
        </w:trPr>
        <w:tc>
          <w:tcPr>
            <w:tcW w:w="0" w:type="auto"/>
            <w:noWrap w:val="0"/>
            <w:vAlign w:val="center"/>
          </w:tcPr>
          <w:p w14:paraId="5B87C71C">
            <w:r>
              <w:rPr>
                <w:rStyle w:val="10"/>
                <w:rFonts w:hint="eastAsia"/>
              </w:rPr>
              <w:t>毒性及其标识：</w:t>
            </w:r>
            <w:r>
              <w:rPr>
                <w:rFonts w:hint="eastAsia"/>
              </w:rPr>
              <w:t xml:space="preserve"> </w:t>
            </w:r>
            <w:r>
              <w:rPr>
                <w:lang/>
              </w:rPr>
              <w:drawing>
                <wp:inline distT="0" distB="0" distL="114300" distR="114300">
                  <wp:extent cx="476250" cy="323850"/>
                  <wp:effectExtent l="0" t="0" r="0" b="0"/>
                  <wp:docPr id="402" name="图片 402"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1D89B62F">
        <w:tblPrEx>
          <w:tblCellMar>
            <w:top w:w="0" w:type="dxa"/>
            <w:left w:w="0" w:type="dxa"/>
            <w:bottom w:w="0" w:type="dxa"/>
            <w:right w:w="0" w:type="dxa"/>
          </w:tblCellMar>
        </w:tblPrEx>
        <w:trPr>
          <w:wBefore w:w="0" w:type="auto"/>
          <w:tblCellSpacing w:w="0" w:type="dxa"/>
        </w:trPr>
        <w:tc>
          <w:tcPr>
            <w:tcW w:w="0" w:type="auto"/>
            <w:noWrap w:val="0"/>
            <w:vAlign w:val="center"/>
          </w:tcPr>
          <w:p w14:paraId="228424C3">
            <w:r>
              <w:rPr>
                <w:rStyle w:val="10"/>
                <w:rFonts w:hint="eastAsia"/>
              </w:rPr>
              <w:t>总有效成分含量：</w:t>
            </w:r>
            <w:r>
              <w:rPr>
                <w:rFonts w:hint="eastAsia"/>
              </w:rPr>
              <w:t>200亿孢子/克</w:t>
            </w:r>
          </w:p>
        </w:tc>
      </w:tr>
      <w:tr w14:paraId="5FD6C9FD">
        <w:tblPrEx>
          <w:tblCellMar>
            <w:top w:w="0" w:type="dxa"/>
            <w:left w:w="0" w:type="dxa"/>
            <w:bottom w:w="0" w:type="dxa"/>
            <w:right w:w="0" w:type="dxa"/>
          </w:tblCellMar>
        </w:tblPrEx>
        <w:trPr>
          <w:wBefore w:w="0" w:type="auto"/>
          <w:tblCellSpacing w:w="0" w:type="dxa"/>
        </w:trPr>
        <w:tc>
          <w:tcPr>
            <w:tcW w:w="0" w:type="auto"/>
            <w:noWrap w:val="0"/>
            <w:vAlign w:val="center"/>
          </w:tcPr>
          <w:p w14:paraId="063E6314">
            <w:r>
              <w:rPr>
                <w:rFonts w:hint="eastAsia"/>
              </w:rPr>
              <w:t xml:space="preserve">有效成分及其含量： </w:t>
            </w:r>
          </w:p>
          <w:p w14:paraId="3EF4D257">
            <w:r>
              <w:rPr>
                <w:rFonts w:hint="eastAsia"/>
              </w:rPr>
              <w:t xml:space="preserve">    球孢白僵菌200亿孢子/克    </w:t>
            </w:r>
          </w:p>
        </w:tc>
      </w:tr>
      <w:tr w14:paraId="2CDE885E">
        <w:tblPrEx>
          <w:tblCellMar>
            <w:top w:w="0" w:type="dxa"/>
            <w:left w:w="0" w:type="dxa"/>
            <w:bottom w:w="0" w:type="dxa"/>
            <w:right w:w="0" w:type="dxa"/>
          </w:tblCellMar>
        </w:tblPrEx>
        <w:trPr>
          <w:wBefore w:w="0" w:type="auto"/>
          <w:tblCellSpacing w:w="0" w:type="dxa"/>
        </w:trPr>
        <w:tc>
          <w:tcPr>
            <w:tcW w:w="0" w:type="auto"/>
            <w:noWrap w:val="0"/>
            <w:vAlign w:val="center"/>
          </w:tcPr>
          <w:p w14:paraId="105F30A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CE4EC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96A27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A47D66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E9F2D9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7B337BB">
                  <w:r>
                    <w:rPr>
                      <w:rStyle w:val="11"/>
                      <w:rFonts w:hint="eastAsia"/>
                    </w:rPr>
                    <w:t>施用方式</w:t>
                  </w:r>
                </w:p>
              </w:tc>
            </w:tr>
            <w:tr w14:paraId="1A0B49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40A249">
                  <w:r>
                    <w:rPr>
                      <w:rStyle w:val="11"/>
                      <w:rFonts w:hint="eastAsia"/>
                    </w:rPr>
                    <w:t>小白菜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D10643">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E4158E">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80C2D6">
                  <w:r>
                    <w:rPr>
                      <w:rStyle w:val="11"/>
                      <w:rFonts w:hint="eastAsia"/>
                    </w:rPr>
                    <w:t>喷雾</w:t>
                  </w:r>
                </w:p>
              </w:tc>
            </w:tr>
          </w:tbl>
          <w:p w14:paraId="6D4833B0">
            <w:pPr>
              <w:rPr>
                <w:rFonts w:ascii="Times New Roman" w:hAnsi="Times New Roman" w:cs="Times New Roman"/>
                <w:sz w:val="20"/>
                <w:szCs w:val="20"/>
              </w:rPr>
            </w:pPr>
          </w:p>
        </w:tc>
      </w:tr>
      <w:tr w14:paraId="15333224">
        <w:tblPrEx>
          <w:tblCellMar>
            <w:top w:w="0" w:type="dxa"/>
            <w:left w:w="0" w:type="dxa"/>
            <w:bottom w:w="0" w:type="dxa"/>
            <w:right w:w="0" w:type="dxa"/>
          </w:tblCellMar>
        </w:tblPrEx>
        <w:trPr>
          <w:wBefore w:w="0" w:type="auto"/>
          <w:tblCellSpacing w:w="0" w:type="dxa"/>
        </w:trPr>
        <w:tc>
          <w:tcPr>
            <w:tcW w:w="0" w:type="auto"/>
            <w:noWrap w:val="0"/>
            <w:vAlign w:val="center"/>
          </w:tcPr>
          <w:p w14:paraId="52967AB1">
            <w:r>
              <w:rPr>
                <w:rStyle w:val="10"/>
                <w:rFonts w:hint="eastAsia"/>
              </w:rPr>
              <w:t>使用技术要求:</w:t>
            </w:r>
            <w:r>
              <w:rPr>
                <w:rFonts w:hint="eastAsia"/>
              </w:rPr>
              <w:br w:type="textWrapping"/>
            </w:r>
            <w:r>
              <w:rPr>
                <w:rStyle w:val="11"/>
                <w:rFonts w:hint="eastAsia"/>
              </w:rPr>
              <w:t>（1）于小白菜小菜蛾低龄幼虫发生初盛期均匀喷雾。 （2）施药时，将制剂用一定量的清水稀释后，药液均匀喷施至作物各部位。 （3）请勿在强阳光下喷雾，晴天傍晚或阴天全天用药效果最佳。</w:t>
            </w:r>
          </w:p>
        </w:tc>
      </w:tr>
      <w:tr w14:paraId="724419B9">
        <w:tblPrEx>
          <w:tblCellMar>
            <w:top w:w="0" w:type="dxa"/>
            <w:left w:w="0" w:type="dxa"/>
            <w:bottom w:w="0" w:type="dxa"/>
            <w:right w:w="0" w:type="dxa"/>
          </w:tblCellMar>
        </w:tblPrEx>
        <w:trPr>
          <w:wBefore w:w="0" w:type="auto"/>
          <w:tblCellSpacing w:w="0" w:type="dxa"/>
        </w:trPr>
        <w:tc>
          <w:tcPr>
            <w:tcW w:w="0" w:type="auto"/>
            <w:noWrap w:val="0"/>
            <w:vAlign w:val="center"/>
          </w:tcPr>
          <w:p w14:paraId="0EF7F7EA">
            <w:r>
              <w:rPr>
                <w:rStyle w:val="10"/>
                <w:rFonts w:hint="eastAsia"/>
              </w:rPr>
              <w:t>产品性能:</w:t>
            </w:r>
            <w:r>
              <w:rPr>
                <w:rFonts w:hint="eastAsia"/>
              </w:rPr>
              <w:br w:type="textWrapping"/>
            </w:r>
            <w:r>
              <w:rPr>
                <w:rStyle w:val="11"/>
                <w:rFonts w:hint="eastAsia"/>
              </w:rPr>
              <w:t>球孢白僵菌是链孢霉科一种昆虫病原真菌，通过接触感染昆虫，生长菌丝侵入虫体内产生大量菌丝和分泌物，破坏其组织器官，利用虫体营养物质大量繁殖，致其死亡。本品能有效防治小白菜小菜蛾。</w:t>
            </w:r>
          </w:p>
        </w:tc>
      </w:tr>
      <w:tr w14:paraId="4CCAEF03">
        <w:tblPrEx>
          <w:tblCellMar>
            <w:top w:w="0" w:type="dxa"/>
            <w:left w:w="0" w:type="dxa"/>
            <w:bottom w:w="0" w:type="dxa"/>
            <w:right w:w="0" w:type="dxa"/>
          </w:tblCellMar>
        </w:tblPrEx>
        <w:trPr>
          <w:wBefore w:w="0" w:type="auto"/>
          <w:tblCellSpacing w:w="0" w:type="dxa"/>
        </w:trPr>
        <w:tc>
          <w:tcPr>
            <w:tcW w:w="0" w:type="auto"/>
            <w:noWrap w:val="0"/>
            <w:vAlign w:val="center"/>
          </w:tcPr>
          <w:p w14:paraId="364E95F1">
            <w:r>
              <w:rPr>
                <w:rStyle w:val="10"/>
                <w:rFonts w:hint="eastAsia"/>
              </w:rPr>
              <w:t>注意事项：</w:t>
            </w:r>
            <w:r>
              <w:rPr>
                <w:rFonts w:hint="eastAsia"/>
              </w:rPr>
              <w:br w:type="textWrapping"/>
            </w:r>
            <w:r>
              <w:rPr>
                <w:rStyle w:val="11"/>
                <w:rFonts w:hint="eastAsia"/>
              </w:rPr>
              <w:t>1、使用本品时应穿戴防护服和手套，避免吸入药液。施药期间不可吃东西和饮水。施药后应及时洗手和洗脸。 2、本品包装一旦开启，应尽快用完，以免影响孢子活力。 3、本品不可与杀菌剂混用。 4、禁止在河塘等水域中清洗施药器具，避免药液污染水源地。 5、施药后的田水不得直接排入河塘等水体。 6、建议与其他不同作用机制的杀虫剂轮换使用，以延缓抗性产生。 7、孕妇及哺乳期的妇女应避免接触本品。 8、尽可能避免在蚕室及桑园周边用药，如必须用药，则须避开养蚕期。 9、用过的容器应妥善处理，不可做他用，也不可随意丢弃。</w:t>
            </w:r>
          </w:p>
        </w:tc>
      </w:tr>
      <w:tr w14:paraId="1C448388">
        <w:tblPrEx>
          <w:tblCellMar>
            <w:top w:w="0" w:type="dxa"/>
            <w:left w:w="0" w:type="dxa"/>
            <w:bottom w:w="0" w:type="dxa"/>
            <w:right w:w="0" w:type="dxa"/>
          </w:tblCellMar>
        </w:tblPrEx>
        <w:trPr>
          <w:wBefore w:w="0" w:type="auto"/>
          <w:tblCellSpacing w:w="0" w:type="dxa"/>
        </w:trPr>
        <w:tc>
          <w:tcPr>
            <w:tcW w:w="0" w:type="auto"/>
            <w:noWrap w:val="0"/>
            <w:vAlign w:val="center"/>
          </w:tcPr>
          <w:p w14:paraId="5C986B2B">
            <w:r>
              <w:rPr>
                <w:rStyle w:val="10"/>
                <w:rFonts w:hint="eastAsia"/>
              </w:rPr>
              <w:t>中毒急救措施：</w:t>
            </w:r>
            <w:r>
              <w:rPr>
                <w:rFonts w:hint="eastAsia"/>
              </w:rPr>
              <w:br w:type="textWrapping"/>
            </w:r>
            <w:r>
              <w:rPr>
                <w:rStyle w:val="11"/>
                <w:rFonts w:hint="eastAsia"/>
              </w:rPr>
              <w:t>使用中或使用后若感觉不适，应立即停止工作，采取急救措施，并携标签到医院诊治。如果误食，请喝2杯水后用手指压喉催吐并及时携标签就医。如不慎接触眼睛请即该用大量清水冲洗至少15分钟。</w:t>
            </w:r>
          </w:p>
        </w:tc>
      </w:tr>
      <w:tr w14:paraId="7890889C">
        <w:tblPrEx>
          <w:tblCellMar>
            <w:top w:w="0" w:type="dxa"/>
            <w:left w:w="0" w:type="dxa"/>
            <w:bottom w:w="0" w:type="dxa"/>
            <w:right w:w="0" w:type="dxa"/>
          </w:tblCellMar>
        </w:tblPrEx>
        <w:trPr>
          <w:wBefore w:w="0" w:type="auto"/>
          <w:tblCellSpacing w:w="0" w:type="dxa"/>
        </w:trPr>
        <w:tc>
          <w:tcPr>
            <w:tcW w:w="0" w:type="auto"/>
            <w:noWrap w:val="0"/>
            <w:vAlign w:val="center"/>
          </w:tcPr>
          <w:p w14:paraId="17F032FA">
            <w:r>
              <w:rPr>
                <w:rStyle w:val="10"/>
                <w:rFonts w:hint="eastAsia"/>
              </w:rPr>
              <w:t>储存和运输方法：</w:t>
            </w:r>
            <w:r>
              <w:rPr>
                <w:rFonts w:hint="eastAsia"/>
              </w:rPr>
              <w:br w:type="textWrapping"/>
            </w:r>
            <w:r>
              <w:rPr>
                <w:rStyle w:val="11"/>
                <w:rFonts w:hint="eastAsia"/>
              </w:rPr>
              <w:t>本品应贮存在阴凉、干燥、通风、防雨处。远离火源或热源。置于儿童、无关人员触及不到之处，并加锁。勿与食品、饮料、粮食、饲料等同贮同运。</w:t>
            </w:r>
          </w:p>
        </w:tc>
      </w:tr>
      <w:tr w14:paraId="72A1562B">
        <w:tblPrEx>
          <w:tblCellMar>
            <w:top w:w="0" w:type="dxa"/>
            <w:left w:w="0" w:type="dxa"/>
            <w:bottom w:w="0" w:type="dxa"/>
            <w:right w:w="0" w:type="dxa"/>
          </w:tblCellMar>
        </w:tblPrEx>
        <w:trPr>
          <w:wBefore w:w="0" w:type="auto"/>
          <w:tblCellSpacing w:w="0" w:type="dxa"/>
        </w:trPr>
        <w:tc>
          <w:tcPr>
            <w:tcW w:w="0" w:type="auto"/>
            <w:noWrap w:val="0"/>
            <w:vAlign w:val="center"/>
          </w:tcPr>
          <w:p w14:paraId="00B5B14B">
            <w:r>
              <w:rPr>
                <w:rStyle w:val="10"/>
                <w:rFonts w:hint="eastAsia"/>
              </w:rPr>
              <w:t>质量保证期：</w:t>
            </w:r>
            <w:r>
              <w:rPr>
                <w:rStyle w:val="11"/>
                <w:rFonts w:hint="eastAsia"/>
              </w:rPr>
              <w:t>2年</w:t>
            </w:r>
          </w:p>
        </w:tc>
      </w:tr>
      <w:tr w14:paraId="01F4C6CD">
        <w:tblPrEx>
          <w:tblCellMar>
            <w:top w:w="0" w:type="dxa"/>
            <w:left w:w="0" w:type="dxa"/>
            <w:bottom w:w="0" w:type="dxa"/>
            <w:right w:w="0" w:type="dxa"/>
          </w:tblCellMar>
        </w:tblPrEx>
        <w:trPr>
          <w:wBefore w:w="0" w:type="auto"/>
          <w:tblCellSpacing w:w="0" w:type="dxa"/>
        </w:trPr>
        <w:tc>
          <w:tcPr>
            <w:tcW w:w="0" w:type="auto"/>
            <w:noWrap w:val="0"/>
            <w:vAlign w:val="center"/>
          </w:tcPr>
          <w:p w14:paraId="3F2D3845">
            <w:r>
              <w:rPr>
                <w:rStyle w:val="10"/>
                <w:rFonts w:hint="eastAsia"/>
              </w:rPr>
              <w:t>备注：</w:t>
            </w:r>
          </w:p>
        </w:tc>
      </w:tr>
    </w:tbl>
    <w:p w14:paraId="280EDE6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CB820BE">
        <w:tblPrEx>
          <w:tblCellMar>
            <w:top w:w="0" w:type="dxa"/>
            <w:left w:w="0" w:type="dxa"/>
            <w:bottom w:w="0" w:type="dxa"/>
            <w:right w:w="0" w:type="dxa"/>
          </w:tblCellMar>
        </w:tblPrEx>
        <w:trPr>
          <w:wBefore w:w="0" w:type="auto"/>
          <w:tblCellSpacing w:w="0" w:type="dxa"/>
        </w:trPr>
        <w:tc>
          <w:tcPr>
            <w:tcW w:w="0" w:type="auto"/>
            <w:noWrap w:val="0"/>
            <w:vAlign w:val="center"/>
          </w:tcPr>
          <w:p w14:paraId="66260E9C">
            <w:r>
              <w:rPr>
                <w:rStyle w:val="10"/>
                <w:rFonts w:hint="eastAsia"/>
              </w:rPr>
              <w:t>登记证号：</w:t>
            </w:r>
            <w:r>
              <w:rPr>
                <w:rFonts w:hint="eastAsia"/>
              </w:rPr>
              <w:t>PD20092986</w:t>
            </w:r>
          </w:p>
        </w:tc>
      </w:tr>
      <w:tr w14:paraId="7C41EFE8">
        <w:tblPrEx>
          <w:tblCellMar>
            <w:top w:w="0" w:type="dxa"/>
            <w:left w:w="0" w:type="dxa"/>
            <w:bottom w:w="0" w:type="dxa"/>
            <w:right w:w="0" w:type="dxa"/>
          </w:tblCellMar>
        </w:tblPrEx>
        <w:trPr>
          <w:wBefore w:w="0" w:type="auto"/>
          <w:tblCellSpacing w:w="0" w:type="dxa"/>
        </w:trPr>
        <w:tc>
          <w:tcPr>
            <w:tcW w:w="0" w:type="auto"/>
            <w:noWrap w:val="0"/>
            <w:vAlign w:val="center"/>
          </w:tcPr>
          <w:p w14:paraId="5CEB72A8">
            <w:r>
              <w:rPr>
                <w:rStyle w:val="10"/>
                <w:rFonts w:hint="eastAsia"/>
              </w:rPr>
              <w:t>登记证持有人：</w:t>
            </w:r>
            <w:r>
              <w:rPr>
                <w:rFonts w:hint="eastAsia"/>
              </w:rPr>
              <w:t>山东绿邦作物科学股份有限公司</w:t>
            </w:r>
          </w:p>
        </w:tc>
      </w:tr>
      <w:tr w14:paraId="33FE2F98">
        <w:tblPrEx>
          <w:tblCellMar>
            <w:top w:w="0" w:type="dxa"/>
            <w:left w:w="0" w:type="dxa"/>
            <w:bottom w:w="0" w:type="dxa"/>
            <w:right w:w="0" w:type="dxa"/>
          </w:tblCellMar>
        </w:tblPrEx>
        <w:trPr>
          <w:wBefore w:w="0" w:type="auto"/>
          <w:tblCellSpacing w:w="0" w:type="dxa"/>
        </w:trPr>
        <w:tc>
          <w:tcPr>
            <w:tcW w:w="0" w:type="auto"/>
            <w:noWrap w:val="0"/>
            <w:vAlign w:val="center"/>
          </w:tcPr>
          <w:p w14:paraId="0858BA2C">
            <w:r>
              <w:rPr>
                <w:rStyle w:val="10"/>
                <w:rFonts w:hint="eastAsia"/>
              </w:rPr>
              <w:t>农药名称：</w:t>
            </w:r>
            <w:r>
              <w:rPr>
                <w:rFonts w:hint="eastAsia"/>
              </w:rPr>
              <w:t>甲·乙·莠</w:t>
            </w:r>
          </w:p>
        </w:tc>
      </w:tr>
      <w:tr w14:paraId="1FD0516B">
        <w:tblPrEx>
          <w:tblCellMar>
            <w:top w:w="0" w:type="dxa"/>
            <w:left w:w="0" w:type="dxa"/>
            <w:bottom w:w="0" w:type="dxa"/>
            <w:right w:w="0" w:type="dxa"/>
          </w:tblCellMar>
        </w:tblPrEx>
        <w:trPr>
          <w:wBefore w:w="0" w:type="auto"/>
          <w:tblCellSpacing w:w="0" w:type="dxa"/>
        </w:trPr>
        <w:tc>
          <w:tcPr>
            <w:tcW w:w="0" w:type="auto"/>
            <w:noWrap w:val="0"/>
            <w:vAlign w:val="center"/>
          </w:tcPr>
          <w:p w14:paraId="3AA6E826">
            <w:r>
              <w:rPr>
                <w:rStyle w:val="10"/>
                <w:rFonts w:hint="eastAsia"/>
              </w:rPr>
              <w:t>剂型：</w:t>
            </w:r>
            <w:r>
              <w:rPr>
                <w:rFonts w:hint="eastAsia"/>
              </w:rPr>
              <w:t>悬乳剂</w:t>
            </w:r>
          </w:p>
        </w:tc>
      </w:tr>
      <w:tr w14:paraId="21A3B000">
        <w:tblPrEx>
          <w:tblCellMar>
            <w:top w:w="0" w:type="dxa"/>
            <w:left w:w="0" w:type="dxa"/>
            <w:bottom w:w="0" w:type="dxa"/>
            <w:right w:w="0" w:type="dxa"/>
          </w:tblCellMar>
        </w:tblPrEx>
        <w:trPr>
          <w:wBefore w:w="0" w:type="auto"/>
          <w:tblCellSpacing w:w="0" w:type="dxa"/>
        </w:trPr>
        <w:tc>
          <w:tcPr>
            <w:tcW w:w="0" w:type="auto"/>
            <w:noWrap w:val="0"/>
            <w:vAlign w:val="center"/>
          </w:tcPr>
          <w:p w14:paraId="24362D83">
            <w:r>
              <w:rPr>
                <w:rStyle w:val="10"/>
                <w:rFonts w:hint="eastAsia"/>
              </w:rPr>
              <w:t>毒性及其标识：</w:t>
            </w:r>
            <w:r>
              <w:rPr>
                <w:rFonts w:hint="eastAsia"/>
              </w:rPr>
              <w:t xml:space="preserve"> </w:t>
            </w:r>
            <w:r>
              <w:rPr>
                <w:lang/>
              </w:rPr>
              <w:drawing>
                <wp:inline distT="0" distB="0" distL="114300" distR="114300">
                  <wp:extent cx="476250" cy="323850"/>
                  <wp:effectExtent l="0" t="0" r="0" b="0"/>
                  <wp:docPr id="403" name="图片 40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C7633E4">
        <w:tblPrEx>
          <w:tblCellMar>
            <w:top w:w="0" w:type="dxa"/>
            <w:left w:w="0" w:type="dxa"/>
            <w:bottom w:w="0" w:type="dxa"/>
            <w:right w:w="0" w:type="dxa"/>
          </w:tblCellMar>
        </w:tblPrEx>
        <w:trPr>
          <w:wBefore w:w="0" w:type="auto"/>
          <w:tblCellSpacing w:w="0" w:type="dxa"/>
        </w:trPr>
        <w:tc>
          <w:tcPr>
            <w:tcW w:w="0" w:type="auto"/>
            <w:noWrap w:val="0"/>
            <w:vAlign w:val="center"/>
          </w:tcPr>
          <w:p w14:paraId="79660A41">
            <w:r>
              <w:rPr>
                <w:rStyle w:val="10"/>
                <w:rFonts w:hint="eastAsia"/>
              </w:rPr>
              <w:t>总有效成分含量：</w:t>
            </w:r>
            <w:r>
              <w:rPr>
                <w:rFonts w:hint="eastAsia"/>
              </w:rPr>
              <w:t>43%</w:t>
            </w:r>
          </w:p>
        </w:tc>
      </w:tr>
      <w:tr w14:paraId="59363957">
        <w:tblPrEx>
          <w:tblCellMar>
            <w:top w:w="0" w:type="dxa"/>
            <w:left w:w="0" w:type="dxa"/>
            <w:bottom w:w="0" w:type="dxa"/>
            <w:right w:w="0" w:type="dxa"/>
          </w:tblCellMar>
        </w:tblPrEx>
        <w:trPr>
          <w:wBefore w:w="0" w:type="auto"/>
          <w:tblCellSpacing w:w="0" w:type="dxa"/>
        </w:trPr>
        <w:tc>
          <w:tcPr>
            <w:tcW w:w="0" w:type="auto"/>
            <w:noWrap w:val="0"/>
            <w:vAlign w:val="center"/>
          </w:tcPr>
          <w:p w14:paraId="5F05F091">
            <w:r>
              <w:rPr>
                <w:rFonts w:hint="eastAsia"/>
              </w:rPr>
              <w:t xml:space="preserve">有效成分及其含量： </w:t>
            </w:r>
          </w:p>
          <w:p w14:paraId="3AB7A296">
            <w:r>
              <w:rPr>
                <w:rFonts w:hint="eastAsia"/>
              </w:rPr>
              <w:t xml:space="preserve">    乙草胺9%    甲草胺14%    莠去津20%    </w:t>
            </w:r>
          </w:p>
        </w:tc>
      </w:tr>
      <w:tr w14:paraId="6BD510F1">
        <w:tblPrEx>
          <w:tblCellMar>
            <w:top w:w="0" w:type="dxa"/>
            <w:left w:w="0" w:type="dxa"/>
            <w:bottom w:w="0" w:type="dxa"/>
            <w:right w:w="0" w:type="dxa"/>
          </w:tblCellMar>
        </w:tblPrEx>
        <w:trPr>
          <w:wBefore w:w="0" w:type="auto"/>
          <w:tblCellSpacing w:w="0" w:type="dxa"/>
        </w:trPr>
        <w:tc>
          <w:tcPr>
            <w:tcW w:w="0" w:type="auto"/>
            <w:noWrap w:val="0"/>
            <w:vAlign w:val="center"/>
          </w:tcPr>
          <w:p w14:paraId="22A8777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29ADE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8757F2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025BB8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9C3718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5D9EF1">
                  <w:r>
                    <w:rPr>
                      <w:rStyle w:val="11"/>
                      <w:rFonts w:hint="eastAsia"/>
                    </w:rPr>
                    <w:t>施用方式</w:t>
                  </w:r>
                </w:p>
              </w:tc>
            </w:tr>
            <w:tr w14:paraId="681BA6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B5A456D">
                  <w:r>
                    <w:rPr>
                      <w:rStyle w:val="11"/>
                      <w:rFonts w:hint="eastAsia"/>
                    </w:rPr>
                    <w:t>夏玉米田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E41C69">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233ADB">
                  <w:r>
                    <w:rPr>
                      <w:rStyle w:val="11"/>
                      <w:rFonts w:hint="eastAsia"/>
                    </w:rPr>
                    <w:t>160-220克/亩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C82BDF">
                  <w:r>
                    <w:rPr>
                      <w:rStyle w:val="11"/>
                      <w:rFonts w:hint="eastAsia"/>
                    </w:rPr>
                    <w:t>土壤喷雾</w:t>
                  </w:r>
                </w:p>
              </w:tc>
            </w:tr>
          </w:tbl>
          <w:p w14:paraId="7599EC17">
            <w:pPr>
              <w:rPr>
                <w:rFonts w:ascii="Times New Roman" w:hAnsi="Times New Roman" w:cs="Times New Roman"/>
                <w:sz w:val="20"/>
                <w:szCs w:val="20"/>
              </w:rPr>
            </w:pPr>
          </w:p>
        </w:tc>
      </w:tr>
      <w:tr w14:paraId="2738442A">
        <w:tblPrEx>
          <w:tblCellMar>
            <w:top w:w="0" w:type="dxa"/>
            <w:left w:w="0" w:type="dxa"/>
            <w:bottom w:w="0" w:type="dxa"/>
            <w:right w:w="0" w:type="dxa"/>
          </w:tblCellMar>
        </w:tblPrEx>
        <w:trPr>
          <w:wBefore w:w="0" w:type="auto"/>
          <w:tblCellSpacing w:w="0" w:type="dxa"/>
        </w:trPr>
        <w:tc>
          <w:tcPr>
            <w:tcW w:w="0" w:type="auto"/>
            <w:noWrap w:val="0"/>
            <w:vAlign w:val="center"/>
          </w:tcPr>
          <w:p w14:paraId="76C6531A">
            <w:r>
              <w:rPr>
                <w:rStyle w:val="10"/>
                <w:rFonts w:hint="eastAsia"/>
              </w:rPr>
              <w:t>使用技术要求:</w:t>
            </w:r>
            <w:r>
              <w:rPr>
                <w:rFonts w:hint="eastAsia"/>
              </w:rPr>
              <w:br w:type="textWrapping"/>
            </w:r>
            <w:r>
              <w:rPr>
                <w:rStyle w:val="11"/>
                <w:rFonts w:hint="eastAsia"/>
              </w:rPr>
              <w:t>/</w:t>
            </w:r>
          </w:p>
        </w:tc>
      </w:tr>
      <w:tr w14:paraId="482EDA76">
        <w:tblPrEx>
          <w:tblCellMar>
            <w:top w:w="0" w:type="dxa"/>
            <w:left w:w="0" w:type="dxa"/>
            <w:bottom w:w="0" w:type="dxa"/>
            <w:right w:w="0" w:type="dxa"/>
          </w:tblCellMar>
        </w:tblPrEx>
        <w:trPr>
          <w:wBefore w:w="0" w:type="auto"/>
          <w:tblCellSpacing w:w="0" w:type="dxa"/>
        </w:trPr>
        <w:tc>
          <w:tcPr>
            <w:tcW w:w="0" w:type="auto"/>
            <w:noWrap w:val="0"/>
            <w:vAlign w:val="center"/>
          </w:tcPr>
          <w:p w14:paraId="7FA36B0A">
            <w:r>
              <w:rPr>
                <w:rStyle w:val="10"/>
                <w:rFonts w:hint="eastAsia"/>
              </w:rPr>
              <w:t>产品性能:</w:t>
            </w:r>
            <w:r>
              <w:rPr>
                <w:rFonts w:hint="eastAsia"/>
              </w:rPr>
              <w:br w:type="textWrapping"/>
            </w:r>
            <w:r>
              <w:rPr>
                <w:rStyle w:val="11"/>
                <w:rFonts w:hint="eastAsia"/>
              </w:rPr>
              <w:t>/</w:t>
            </w:r>
          </w:p>
        </w:tc>
      </w:tr>
      <w:tr w14:paraId="66AB7FDB">
        <w:tblPrEx>
          <w:tblCellMar>
            <w:top w:w="0" w:type="dxa"/>
            <w:left w:w="0" w:type="dxa"/>
            <w:bottom w:w="0" w:type="dxa"/>
            <w:right w:w="0" w:type="dxa"/>
          </w:tblCellMar>
        </w:tblPrEx>
        <w:trPr>
          <w:wBefore w:w="0" w:type="auto"/>
          <w:tblCellSpacing w:w="0" w:type="dxa"/>
        </w:trPr>
        <w:tc>
          <w:tcPr>
            <w:tcW w:w="0" w:type="auto"/>
            <w:noWrap w:val="0"/>
            <w:vAlign w:val="center"/>
          </w:tcPr>
          <w:p w14:paraId="5962336F">
            <w:r>
              <w:rPr>
                <w:rStyle w:val="10"/>
                <w:rFonts w:hint="eastAsia"/>
              </w:rPr>
              <w:t>注意事项：</w:t>
            </w:r>
            <w:r>
              <w:rPr>
                <w:rFonts w:hint="eastAsia"/>
              </w:rPr>
              <w:br w:type="textWrapping"/>
            </w:r>
            <w:r>
              <w:rPr>
                <w:rStyle w:val="11"/>
                <w:rFonts w:hint="eastAsia"/>
              </w:rPr>
              <w:t>/</w:t>
            </w:r>
          </w:p>
        </w:tc>
      </w:tr>
      <w:tr w14:paraId="3A53B64A">
        <w:tblPrEx>
          <w:tblCellMar>
            <w:top w:w="0" w:type="dxa"/>
            <w:left w:w="0" w:type="dxa"/>
            <w:bottom w:w="0" w:type="dxa"/>
            <w:right w:w="0" w:type="dxa"/>
          </w:tblCellMar>
        </w:tblPrEx>
        <w:trPr>
          <w:wBefore w:w="0" w:type="auto"/>
          <w:tblCellSpacing w:w="0" w:type="dxa"/>
        </w:trPr>
        <w:tc>
          <w:tcPr>
            <w:tcW w:w="0" w:type="auto"/>
            <w:noWrap w:val="0"/>
            <w:vAlign w:val="center"/>
          </w:tcPr>
          <w:p w14:paraId="0D8E8254">
            <w:r>
              <w:rPr>
                <w:rStyle w:val="10"/>
                <w:rFonts w:hint="eastAsia"/>
              </w:rPr>
              <w:t>中毒急救措施：</w:t>
            </w:r>
            <w:r>
              <w:rPr>
                <w:rFonts w:hint="eastAsia"/>
              </w:rPr>
              <w:br w:type="textWrapping"/>
            </w:r>
            <w:r>
              <w:rPr>
                <w:rStyle w:val="11"/>
                <w:rFonts w:hint="eastAsia"/>
              </w:rPr>
              <w:t>/</w:t>
            </w:r>
          </w:p>
        </w:tc>
      </w:tr>
      <w:tr w14:paraId="57A9C923">
        <w:tblPrEx>
          <w:tblCellMar>
            <w:top w:w="0" w:type="dxa"/>
            <w:left w:w="0" w:type="dxa"/>
            <w:bottom w:w="0" w:type="dxa"/>
            <w:right w:w="0" w:type="dxa"/>
          </w:tblCellMar>
        </w:tblPrEx>
        <w:trPr>
          <w:wBefore w:w="0" w:type="auto"/>
          <w:tblCellSpacing w:w="0" w:type="dxa"/>
        </w:trPr>
        <w:tc>
          <w:tcPr>
            <w:tcW w:w="0" w:type="auto"/>
            <w:noWrap w:val="0"/>
            <w:vAlign w:val="center"/>
          </w:tcPr>
          <w:p w14:paraId="472E599A">
            <w:r>
              <w:rPr>
                <w:rStyle w:val="10"/>
                <w:rFonts w:hint="eastAsia"/>
              </w:rPr>
              <w:t>储存和运输方法：</w:t>
            </w:r>
            <w:r>
              <w:rPr>
                <w:rFonts w:hint="eastAsia"/>
              </w:rPr>
              <w:br w:type="textWrapping"/>
            </w:r>
            <w:r>
              <w:rPr>
                <w:rStyle w:val="11"/>
                <w:rFonts w:hint="eastAsia"/>
              </w:rPr>
              <w:t>/</w:t>
            </w:r>
          </w:p>
        </w:tc>
      </w:tr>
      <w:tr w14:paraId="6713E031">
        <w:tblPrEx>
          <w:tblCellMar>
            <w:top w:w="0" w:type="dxa"/>
            <w:left w:w="0" w:type="dxa"/>
            <w:bottom w:w="0" w:type="dxa"/>
            <w:right w:w="0" w:type="dxa"/>
          </w:tblCellMar>
        </w:tblPrEx>
        <w:trPr>
          <w:wBefore w:w="0" w:type="auto"/>
          <w:tblCellSpacing w:w="0" w:type="dxa"/>
        </w:trPr>
        <w:tc>
          <w:tcPr>
            <w:tcW w:w="0" w:type="auto"/>
            <w:noWrap w:val="0"/>
            <w:vAlign w:val="center"/>
          </w:tcPr>
          <w:p w14:paraId="15E6ED02">
            <w:r>
              <w:rPr>
                <w:rStyle w:val="10"/>
                <w:rFonts w:hint="eastAsia"/>
              </w:rPr>
              <w:t>质量保证期：</w:t>
            </w:r>
            <w:r>
              <w:rPr>
                <w:rStyle w:val="11"/>
                <w:rFonts w:hint="eastAsia"/>
              </w:rPr>
              <w:t>/</w:t>
            </w:r>
          </w:p>
        </w:tc>
      </w:tr>
      <w:tr w14:paraId="4930C86E">
        <w:tblPrEx>
          <w:tblCellMar>
            <w:top w:w="0" w:type="dxa"/>
            <w:left w:w="0" w:type="dxa"/>
            <w:bottom w:w="0" w:type="dxa"/>
            <w:right w:w="0" w:type="dxa"/>
          </w:tblCellMar>
        </w:tblPrEx>
        <w:trPr>
          <w:wBefore w:w="0" w:type="auto"/>
          <w:tblCellSpacing w:w="0" w:type="dxa"/>
        </w:trPr>
        <w:tc>
          <w:tcPr>
            <w:tcW w:w="0" w:type="auto"/>
            <w:noWrap w:val="0"/>
            <w:vAlign w:val="center"/>
          </w:tcPr>
          <w:p w14:paraId="51F983E4">
            <w:r>
              <w:rPr>
                <w:rStyle w:val="10"/>
                <w:rFonts w:hint="eastAsia"/>
              </w:rPr>
              <w:t>备注：</w:t>
            </w:r>
          </w:p>
        </w:tc>
      </w:tr>
    </w:tbl>
    <w:p w14:paraId="7F6C3CD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110A03">
        <w:tblPrEx>
          <w:tblCellMar>
            <w:top w:w="0" w:type="dxa"/>
            <w:left w:w="0" w:type="dxa"/>
            <w:bottom w:w="0" w:type="dxa"/>
            <w:right w:w="0" w:type="dxa"/>
          </w:tblCellMar>
        </w:tblPrEx>
        <w:trPr>
          <w:wBefore w:w="0" w:type="auto"/>
          <w:tblCellSpacing w:w="0" w:type="dxa"/>
        </w:trPr>
        <w:tc>
          <w:tcPr>
            <w:tcW w:w="0" w:type="auto"/>
            <w:noWrap w:val="0"/>
            <w:vAlign w:val="center"/>
          </w:tcPr>
          <w:p w14:paraId="41F7D1D8">
            <w:r>
              <w:rPr>
                <w:rStyle w:val="10"/>
                <w:rFonts w:hint="eastAsia"/>
              </w:rPr>
              <w:t>登记证号：</w:t>
            </w:r>
            <w:r>
              <w:rPr>
                <w:rFonts w:hint="eastAsia"/>
              </w:rPr>
              <w:t>PD20212278</w:t>
            </w:r>
          </w:p>
        </w:tc>
      </w:tr>
      <w:tr w14:paraId="7DAEB707">
        <w:tblPrEx>
          <w:tblCellMar>
            <w:top w:w="0" w:type="dxa"/>
            <w:left w:w="0" w:type="dxa"/>
            <w:bottom w:w="0" w:type="dxa"/>
            <w:right w:w="0" w:type="dxa"/>
          </w:tblCellMar>
        </w:tblPrEx>
        <w:trPr>
          <w:wBefore w:w="0" w:type="auto"/>
          <w:tblCellSpacing w:w="0" w:type="dxa"/>
        </w:trPr>
        <w:tc>
          <w:tcPr>
            <w:tcW w:w="0" w:type="auto"/>
            <w:noWrap w:val="0"/>
            <w:vAlign w:val="center"/>
          </w:tcPr>
          <w:p w14:paraId="03BC1158">
            <w:r>
              <w:rPr>
                <w:rStyle w:val="10"/>
                <w:rFonts w:hint="eastAsia"/>
              </w:rPr>
              <w:t>登记证持有人：</w:t>
            </w:r>
            <w:r>
              <w:rPr>
                <w:rFonts w:hint="eastAsia"/>
              </w:rPr>
              <w:t>江苏省农用激素工程技术研究中心有限公司</w:t>
            </w:r>
          </w:p>
        </w:tc>
      </w:tr>
      <w:tr w14:paraId="46CB9467">
        <w:tblPrEx>
          <w:tblCellMar>
            <w:top w:w="0" w:type="dxa"/>
            <w:left w:w="0" w:type="dxa"/>
            <w:bottom w:w="0" w:type="dxa"/>
            <w:right w:w="0" w:type="dxa"/>
          </w:tblCellMar>
        </w:tblPrEx>
        <w:trPr>
          <w:wBefore w:w="0" w:type="auto"/>
          <w:tblCellSpacing w:w="0" w:type="dxa"/>
        </w:trPr>
        <w:tc>
          <w:tcPr>
            <w:tcW w:w="0" w:type="auto"/>
            <w:noWrap w:val="0"/>
            <w:vAlign w:val="center"/>
          </w:tcPr>
          <w:p w14:paraId="5D83A342">
            <w:r>
              <w:rPr>
                <w:rStyle w:val="10"/>
                <w:rFonts w:hint="eastAsia"/>
              </w:rPr>
              <w:t>农药名称：</w:t>
            </w:r>
            <w:r>
              <w:rPr>
                <w:rFonts w:hint="eastAsia"/>
              </w:rPr>
              <w:t>氨唑草酮</w:t>
            </w:r>
          </w:p>
        </w:tc>
      </w:tr>
      <w:tr w14:paraId="4187F5E2">
        <w:tblPrEx>
          <w:tblCellMar>
            <w:top w:w="0" w:type="dxa"/>
            <w:left w:w="0" w:type="dxa"/>
            <w:bottom w:w="0" w:type="dxa"/>
            <w:right w:w="0" w:type="dxa"/>
          </w:tblCellMar>
        </w:tblPrEx>
        <w:trPr>
          <w:wBefore w:w="0" w:type="auto"/>
          <w:tblCellSpacing w:w="0" w:type="dxa"/>
        </w:trPr>
        <w:tc>
          <w:tcPr>
            <w:tcW w:w="0" w:type="auto"/>
            <w:noWrap w:val="0"/>
            <w:vAlign w:val="center"/>
          </w:tcPr>
          <w:p w14:paraId="224A2AF2">
            <w:r>
              <w:rPr>
                <w:rStyle w:val="10"/>
                <w:rFonts w:hint="eastAsia"/>
              </w:rPr>
              <w:t>剂型：</w:t>
            </w:r>
            <w:r>
              <w:rPr>
                <w:rFonts w:hint="eastAsia"/>
              </w:rPr>
              <w:t>水分散粒剂</w:t>
            </w:r>
          </w:p>
        </w:tc>
      </w:tr>
      <w:tr w14:paraId="73FC071E">
        <w:tblPrEx>
          <w:tblCellMar>
            <w:top w:w="0" w:type="dxa"/>
            <w:left w:w="0" w:type="dxa"/>
            <w:bottom w:w="0" w:type="dxa"/>
            <w:right w:w="0" w:type="dxa"/>
          </w:tblCellMar>
        </w:tblPrEx>
        <w:trPr>
          <w:wBefore w:w="0" w:type="auto"/>
          <w:tblCellSpacing w:w="0" w:type="dxa"/>
        </w:trPr>
        <w:tc>
          <w:tcPr>
            <w:tcW w:w="0" w:type="auto"/>
            <w:noWrap w:val="0"/>
            <w:vAlign w:val="center"/>
          </w:tcPr>
          <w:p w14:paraId="261E1FD6">
            <w:r>
              <w:rPr>
                <w:rStyle w:val="10"/>
                <w:rFonts w:hint="eastAsia"/>
              </w:rPr>
              <w:t>毒性及其标识：</w:t>
            </w:r>
            <w:r>
              <w:rPr>
                <w:rFonts w:hint="eastAsia"/>
              </w:rPr>
              <w:t xml:space="preserve"> </w:t>
            </w:r>
            <w:r>
              <w:rPr>
                <w:lang/>
              </w:rPr>
              <w:drawing>
                <wp:inline distT="0" distB="0" distL="114300" distR="114300">
                  <wp:extent cx="476250" cy="323850"/>
                  <wp:effectExtent l="0" t="0" r="0" b="0"/>
                  <wp:docPr id="404" name="图片 40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6DE1863">
        <w:tblPrEx>
          <w:tblCellMar>
            <w:top w:w="0" w:type="dxa"/>
            <w:left w:w="0" w:type="dxa"/>
            <w:bottom w:w="0" w:type="dxa"/>
            <w:right w:w="0" w:type="dxa"/>
          </w:tblCellMar>
        </w:tblPrEx>
        <w:trPr>
          <w:wBefore w:w="0" w:type="auto"/>
          <w:tblCellSpacing w:w="0" w:type="dxa"/>
        </w:trPr>
        <w:tc>
          <w:tcPr>
            <w:tcW w:w="0" w:type="auto"/>
            <w:noWrap w:val="0"/>
            <w:vAlign w:val="center"/>
          </w:tcPr>
          <w:p w14:paraId="4830A232">
            <w:r>
              <w:rPr>
                <w:rStyle w:val="10"/>
                <w:rFonts w:hint="eastAsia"/>
              </w:rPr>
              <w:t>总有效成分含量：</w:t>
            </w:r>
            <w:r>
              <w:rPr>
                <w:rFonts w:hint="eastAsia"/>
              </w:rPr>
              <w:t>70%</w:t>
            </w:r>
          </w:p>
        </w:tc>
      </w:tr>
      <w:tr w14:paraId="1E3EEB84">
        <w:tblPrEx>
          <w:tblCellMar>
            <w:top w:w="0" w:type="dxa"/>
            <w:left w:w="0" w:type="dxa"/>
            <w:bottom w:w="0" w:type="dxa"/>
            <w:right w:w="0" w:type="dxa"/>
          </w:tblCellMar>
        </w:tblPrEx>
        <w:trPr>
          <w:wBefore w:w="0" w:type="auto"/>
          <w:tblCellSpacing w:w="0" w:type="dxa"/>
        </w:trPr>
        <w:tc>
          <w:tcPr>
            <w:tcW w:w="0" w:type="auto"/>
            <w:noWrap w:val="0"/>
            <w:vAlign w:val="center"/>
          </w:tcPr>
          <w:p w14:paraId="6A806581">
            <w:r>
              <w:rPr>
                <w:rFonts w:hint="eastAsia"/>
              </w:rPr>
              <w:t xml:space="preserve">有效成分及其含量： </w:t>
            </w:r>
          </w:p>
          <w:p w14:paraId="1AC930FE">
            <w:r>
              <w:rPr>
                <w:rFonts w:hint="eastAsia"/>
              </w:rPr>
              <w:t xml:space="preserve">    氨唑草酮70%    </w:t>
            </w:r>
          </w:p>
        </w:tc>
      </w:tr>
      <w:tr w14:paraId="386DAAB4">
        <w:tblPrEx>
          <w:tblCellMar>
            <w:top w:w="0" w:type="dxa"/>
            <w:left w:w="0" w:type="dxa"/>
            <w:bottom w:w="0" w:type="dxa"/>
            <w:right w:w="0" w:type="dxa"/>
          </w:tblCellMar>
        </w:tblPrEx>
        <w:trPr>
          <w:wBefore w:w="0" w:type="auto"/>
          <w:tblCellSpacing w:w="0" w:type="dxa"/>
        </w:trPr>
        <w:tc>
          <w:tcPr>
            <w:tcW w:w="0" w:type="auto"/>
            <w:noWrap w:val="0"/>
            <w:vAlign w:val="center"/>
          </w:tcPr>
          <w:p w14:paraId="40B5703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07F25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064739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9A129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EA9F7D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7A290CD">
                  <w:r>
                    <w:rPr>
                      <w:rStyle w:val="11"/>
                      <w:rFonts w:hint="eastAsia"/>
                    </w:rPr>
                    <w:t>施用方式</w:t>
                  </w:r>
                </w:p>
              </w:tc>
            </w:tr>
            <w:tr w14:paraId="46A748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F306572">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D8A6B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BE183F">
                  <w:r>
                    <w:rPr>
                      <w:rStyle w:val="11"/>
                      <w:rFonts w:hint="eastAsia"/>
                    </w:rPr>
                    <w:t>20-30克/亩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54B112">
                  <w:r>
                    <w:rPr>
                      <w:rStyle w:val="11"/>
                      <w:rFonts w:hint="eastAsia"/>
                    </w:rPr>
                    <w:t>茎叶喷雾</w:t>
                  </w:r>
                </w:p>
              </w:tc>
            </w:tr>
          </w:tbl>
          <w:p w14:paraId="43EEDC17">
            <w:pPr>
              <w:rPr>
                <w:rFonts w:ascii="Times New Roman" w:hAnsi="Times New Roman" w:cs="Times New Roman"/>
                <w:sz w:val="20"/>
                <w:szCs w:val="20"/>
              </w:rPr>
            </w:pPr>
          </w:p>
        </w:tc>
      </w:tr>
      <w:tr w14:paraId="57E5C140">
        <w:tblPrEx>
          <w:tblCellMar>
            <w:top w:w="0" w:type="dxa"/>
            <w:left w:w="0" w:type="dxa"/>
            <w:bottom w:w="0" w:type="dxa"/>
            <w:right w:w="0" w:type="dxa"/>
          </w:tblCellMar>
        </w:tblPrEx>
        <w:trPr>
          <w:wBefore w:w="0" w:type="auto"/>
          <w:tblCellSpacing w:w="0" w:type="dxa"/>
        </w:trPr>
        <w:tc>
          <w:tcPr>
            <w:tcW w:w="0" w:type="auto"/>
            <w:noWrap w:val="0"/>
            <w:vAlign w:val="center"/>
          </w:tcPr>
          <w:p w14:paraId="60663BF2">
            <w:r>
              <w:rPr>
                <w:rStyle w:val="10"/>
                <w:rFonts w:hint="eastAsia"/>
              </w:rPr>
              <w:t>使用技术要求:</w:t>
            </w:r>
            <w:r>
              <w:rPr>
                <w:rFonts w:hint="eastAsia"/>
              </w:rPr>
              <w:br w:type="textWrapping"/>
            </w:r>
            <w:r>
              <w:rPr>
                <w:rStyle w:val="11"/>
                <w:rFonts w:hint="eastAsia"/>
              </w:rPr>
              <w:t>1、玉米3-5叶期，杂草2-5叶期，每亩兑水30-50公斤茎叶喷雾一次，不得漏喷或重喷。 2、甘蔗苗后，杂草2-5叶期施药，每亩兑水30-50公斤，茎叶喷雾一次。 3、严禁用弥雾机施药，施药时请避免雾滴飘移至邻近作物。 4、大风天或预计6小时内降雨，请勿施药。 5、每季最多使用1次，安全间隔期为玉米或甘蔗收获期。</w:t>
            </w:r>
          </w:p>
        </w:tc>
      </w:tr>
      <w:tr w14:paraId="116D39EA">
        <w:tblPrEx>
          <w:tblCellMar>
            <w:top w:w="0" w:type="dxa"/>
            <w:left w:w="0" w:type="dxa"/>
            <w:bottom w:w="0" w:type="dxa"/>
            <w:right w:w="0" w:type="dxa"/>
          </w:tblCellMar>
        </w:tblPrEx>
        <w:trPr>
          <w:wBefore w:w="0" w:type="auto"/>
          <w:tblCellSpacing w:w="0" w:type="dxa"/>
        </w:trPr>
        <w:tc>
          <w:tcPr>
            <w:tcW w:w="0" w:type="auto"/>
            <w:noWrap w:val="0"/>
            <w:vAlign w:val="center"/>
          </w:tcPr>
          <w:p w14:paraId="6882F387">
            <w:r>
              <w:rPr>
                <w:rStyle w:val="10"/>
                <w:rFonts w:hint="eastAsia"/>
              </w:rPr>
              <w:t>产品性能:</w:t>
            </w:r>
            <w:r>
              <w:rPr>
                <w:rFonts w:hint="eastAsia"/>
              </w:rPr>
              <w:br w:type="textWrapping"/>
            </w:r>
            <w:r>
              <w:rPr>
                <w:rStyle w:val="11"/>
                <w:rFonts w:hint="eastAsia"/>
              </w:rPr>
              <w:t>氨唑草酮为新型的三唑啉酮类除草剂，该产品主要通过根系和叶面吸收，可以有效防治玉米和甘蔗田中的主要一年生阔叶杂草和一年生禾本科杂草。</w:t>
            </w:r>
          </w:p>
        </w:tc>
      </w:tr>
      <w:tr w14:paraId="186F4731">
        <w:tblPrEx>
          <w:tblCellMar>
            <w:top w:w="0" w:type="dxa"/>
            <w:left w:w="0" w:type="dxa"/>
            <w:bottom w:w="0" w:type="dxa"/>
            <w:right w:w="0" w:type="dxa"/>
          </w:tblCellMar>
        </w:tblPrEx>
        <w:trPr>
          <w:wBefore w:w="0" w:type="auto"/>
          <w:tblCellSpacing w:w="0" w:type="dxa"/>
        </w:trPr>
        <w:tc>
          <w:tcPr>
            <w:tcW w:w="0" w:type="auto"/>
            <w:noWrap w:val="0"/>
            <w:vAlign w:val="center"/>
          </w:tcPr>
          <w:p w14:paraId="357E1D5A">
            <w:r>
              <w:rPr>
                <w:rStyle w:val="10"/>
                <w:rFonts w:hint="eastAsia"/>
              </w:rPr>
              <w:t>注意事项：</w:t>
            </w:r>
            <w:r>
              <w:rPr>
                <w:rFonts w:hint="eastAsia"/>
              </w:rPr>
              <w:br w:type="textWrapping"/>
            </w:r>
            <w:r>
              <w:rPr>
                <w:rStyle w:val="11"/>
                <w:rFonts w:hint="eastAsia"/>
              </w:rPr>
              <w:t>1、爆裂玉米、甜玉米及育种玉米田不宜使用。因不同玉米品种对本品的耐药性不用，应先进行小区试验，确认安全后再大面积使用。2、本品不得用于玉米与其它作物间作、混种田。3、在蚕室及桑园附近禁用，最外围桑树作为隔离带。4、禁止在易受不利影响的鸟类栖息地（如自然保护区、鸟类禁猎区）施药。5、限制在易造成淋溶的地区使用。6、包装容器不可挪作他用或随便丢弃。7、禁止在河塘等水体中清洗施药器具。8、施药后器具应彻底清洗，剩余的药液和洗刷施药用具的水，不要倒入田间、河流。9、配制和运输该剂时请穿戴必要的防护用具。10、使用本品应带防护手套、口罩，穿干净防护服。工作结束后，应用肥皂、清水洗脸、手和裸露部位。11、避免孕妇及哺乳期的妇女接触。12、严格按照推荐方法使用、操作和贮藏本品。使用时应接受当地农业技术部门的指导。</w:t>
            </w:r>
          </w:p>
        </w:tc>
      </w:tr>
      <w:tr w14:paraId="4358FD11">
        <w:tblPrEx>
          <w:tblCellMar>
            <w:top w:w="0" w:type="dxa"/>
            <w:left w:w="0" w:type="dxa"/>
            <w:bottom w:w="0" w:type="dxa"/>
            <w:right w:w="0" w:type="dxa"/>
          </w:tblCellMar>
        </w:tblPrEx>
        <w:trPr>
          <w:wBefore w:w="0" w:type="auto"/>
          <w:tblCellSpacing w:w="0" w:type="dxa"/>
        </w:trPr>
        <w:tc>
          <w:tcPr>
            <w:tcW w:w="0" w:type="auto"/>
            <w:noWrap w:val="0"/>
            <w:vAlign w:val="center"/>
          </w:tcPr>
          <w:p w14:paraId="3F5666E5">
            <w:r>
              <w:rPr>
                <w:rStyle w:val="10"/>
                <w:rFonts w:hint="eastAsia"/>
              </w:rPr>
              <w:t>中毒急救措施：</w:t>
            </w:r>
            <w:r>
              <w:rPr>
                <w:rFonts w:hint="eastAsia"/>
              </w:rPr>
              <w:br w:type="textWrapping"/>
            </w:r>
            <w:r>
              <w:rPr>
                <w:rStyle w:val="11"/>
                <w:rFonts w:hint="eastAsia"/>
              </w:rPr>
              <w:t>1、中毒症状：本品对眼睛有刺激作用，使用中或使用后如果感觉不适，应立即停止工作，采取急救措施。2、如不慎接触皮肤，应用肥皂和大量清水冲洗，若溅入眼内，立即用大量清水冲洗至少15分钟，如还不适请就医。如吸入，立即将吸入者转移到空气清新处，如果吸入者停止呼吸，需要进行人工呼吸。注意保暖和休息，请医生诊治。无特殊解毒剂，若误服饮大量水催吐，保持安静，并送往医院对症治疗。</w:t>
            </w:r>
          </w:p>
        </w:tc>
      </w:tr>
      <w:tr w14:paraId="08DD486A">
        <w:tblPrEx>
          <w:tblCellMar>
            <w:top w:w="0" w:type="dxa"/>
            <w:left w:w="0" w:type="dxa"/>
            <w:bottom w:w="0" w:type="dxa"/>
            <w:right w:w="0" w:type="dxa"/>
          </w:tblCellMar>
        </w:tblPrEx>
        <w:trPr>
          <w:wBefore w:w="0" w:type="auto"/>
          <w:tblCellSpacing w:w="0" w:type="dxa"/>
        </w:trPr>
        <w:tc>
          <w:tcPr>
            <w:tcW w:w="0" w:type="auto"/>
            <w:noWrap w:val="0"/>
            <w:vAlign w:val="center"/>
          </w:tcPr>
          <w:p w14:paraId="1A6B7420">
            <w:r>
              <w:rPr>
                <w:rStyle w:val="10"/>
                <w:rFonts w:hint="eastAsia"/>
              </w:rPr>
              <w:t>储存和运输方法：</w:t>
            </w:r>
            <w:r>
              <w:rPr>
                <w:rFonts w:hint="eastAsia"/>
              </w:rPr>
              <w:br w:type="textWrapping"/>
            </w:r>
            <w:r>
              <w:rPr>
                <w:rStyle w:val="11"/>
                <w:rFonts w:hint="eastAsia"/>
              </w:rPr>
              <w:t>包装件应贮存于通风、干燥、防雨、阴凉的库房中，远离火源和热源。置于儿童及无关人员接触不到处，并加锁。贮运时，严防潮湿和日晒，远离儿童，不能与食品、饮料、粮食、饲料等物质同贮同运。运输时专人专车，确保不泄漏、不损坏、不倒塌，运输中防曝晒、雨淋、防高温，公路运输时按规定的路线行驶。</w:t>
            </w:r>
          </w:p>
        </w:tc>
      </w:tr>
      <w:tr w14:paraId="6AE9E35A">
        <w:tblPrEx>
          <w:tblCellMar>
            <w:top w:w="0" w:type="dxa"/>
            <w:left w:w="0" w:type="dxa"/>
            <w:bottom w:w="0" w:type="dxa"/>
            <w:right w:w="0" w:type="dxa"/>
          </w:tblCellMar>
        </w:tblPrEx>
        <w:trPr>
          <w:wBefore w:w="0" w:type="auto"/>
          <w:tblCellSpacing w:w="0" w:type="dxa"/>
        </w:trPr>
        <w:tc>
          <w:tcPr>
            <w:tcW w:w="0" w:type="auto"/>
            <w:noWrap w:val="0"/>
            <w:vAlign w:val="center"/>
          </w:tcPr>
          <w:p w14:paraId="2CFCA38B">
            <w:r>
              <w:rPr>
                <w:rStyle w:val="10"/>
                <w:rFonts w:hint="eastAsia"/>
              </w:rPr>
              <w:t>质量保证期：</w:t>
            </w:r>
            <w:r>
              <w:rPr>
                <w:rStyle w:val="11"/>
                <w:rFonts w:hint="eastAsia"/>
              </w:rPr>
              <w:t>2年</w:t>
            </w:r>
          </w:p>
        </w:tc>
      </w:tr>
      <w:tr w14:paraId="06CF4B17">
        <w:tblPrEx>
          <w:tblCellMar>
            <w:top w:w="0" w:type="dxa"/>
            <w:left w:w="0" w:type="dxa"/>
            <w:bottom w:w="0" w:type="dxa"/>
            <w:right w:w="0" w:type="dxa"/>
          </w:tblCellMar>
        </w:tblPrEx>
        <w:trPr>
          <w:wBefore w:w="0" w:type="auto"/>
          <w:tblCellSpacing w:w="0" w:type="dxa"/>
        </w:trPr>
        <w:tc>
          <w:tcPr>
            <w:tcW w:w="0" w:type="auto"/>
            <w:noWrap w:val="0"/>
            <w:vAlign w:val="center"/>
          </w:tcPr>
          <w:p w14:paraId="5AA6A139">
            <w:r>
              <w:rPr>
                <w:rStyle w:val="10"/>
                <w:rFonts w:hint="eastAsia"/>
              </w:rPr>
              <w:t>备注：</w:t>
            </w:r>
          </w:p>
        </w:tc>
      </w:tr>
    </w:tbl>
    <w:p w14:paraId="1ECBF6C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F25D7B4">
        <w:tblPrEx>
          <w:tblCellMar>
            <w:top w:w="0" w:type="dxa"/>
            <w:left w:w="0" w:type="dxa"/>
            <w:bottom w:w="0" w:type="dxa"/>
            <w:right w:w="0" w:type="dxa"/>
          </w:tblCellMar>
        </w:tblPrEx>
        <w:trPr>
          <w:wBefore w:w="0" w:type="auto"/>
          <w:tblCellSpacing w:w="0" w:type="dxa"/>
        </w:trPr>
        <w:tc>
          <w:tcPr>
            <w:tcW w:w="0" w:type="auto"/>
            <w:noWrap w:val="0"/>
            <w:vAlign w:val="center"/>
          </w:tcPr>
          <w:p w14:paraId="01AF84F2">
            <w:r>
              <w:rPr>
                <w:rStyle w:val="10"/>
                <w:rFonts w:hint="eastAsia"/>
              </w:rPr>
              <w:t>登记证号：</w:t>
            </w:r>
            <w:r>
              <w:rPr>
                <w:rFonts w:hint="eastAsia"/>
              </w:rPr>
              <w:t>EX20210104</w:t>
            </w:r>
          </w:p>
        </w:tc>
      </w:tr>
      <w:tr w14:paraId="595AD249">
        <w:tblPrEx>
          <w:tblCellMar>
            <w:top w:w="0" w:type="dxa"/>
            <w:left w:w="0" w:type="dxa"/>
            <w:bottom w:w="0" w:type="dxa"/>
            <w:right w:w="0" w:type="dxa"/>
          </w:tblCellMar>
        </w:tblPrEx>
        <w:trPr>
          <w:wBefore w:w="0" w:type="auto"/>
          <w:tblCellSpacing w:w="0" w:type="dxa"/>
        </w:trPr>
        <w:tc>
          <w:tcPr>
            <w:tcW w:w="0" w:type="auto"/>
            <w:noWrap w:val="0"/>
            <w:vAlign w:val="center"/>
          </w:tcPr>
          <w:p w14:paraId="374F06C3">
            <w:r>
              <w:rPr>
                <w:rStyle w:val="10"/>
                <w:rFonts w:hint="eastAsia"/>
              </w:rPr>
              <w:t>登记证持有人：</w:t>
            </w:r>
            <w:r>
              <w:rPr>
                <w:rFonts w:hint="eastAsia"/>
              </w:rPr>
              <w:t>浙江禾本科技股份有限公司</w:t>
            </w:r>
          </w:p>
        </w:tc>
      </w:tr>
      <w:tr w14:paraId="6D724B8D">
        <w:tblPrEx>
          <w:tblCellMar>
            <w:top w:w="0" w:type="dxa"/>
            <w:left w:w="0" w:type="dxa"/>
            <w:bottom w:w="0" w:type="dxa"/>
            <w:right w:w="0" w:type="dxa"/>
          </w:tblCellMar>
        </w:tblPrEx>
        <w:trPr>
          <w:wBefore w:w="0" w:type="auto"/>
          <w:tblCellSpacing w:w="0" w:type="dxa"/>
        </w:trPr>
        <w:tc>
          <w:tcPr>
            <w:tcW w:w="0" w:type="auto"/>
            <w:noWrap w:val="0"/>
            <w:vAlign w:val="center"/>
          </w:tcPr>
          <w:p w14:paraId="06BA45E8">
            <w:r>
              <w:rPr>
                <w:rStyle w:val="10"/>
                <w:rFonts w:hint="eastAsia"/>
              </w:rPr>
              <w:t>农药名称：</w:t>
            </w:r>
            <w:r>
              <w:rPr>
                <w:rFonts w:hint="eastAsia"/>
              </w:rPr>
              <w:t>甲霜灵</w:t>
            </w:r>
          </w:p>
        </w:tc>
      </w:tr>
      <w:tr w14:paraId="7A3FDCD7">
        <w:tblPrEx>
          <w:tblCellMar>
            <w:top w:w="0" w:type="dxa"/>
            <w:left w:w="0" w:type="dxa"/>
            <w:bottom w:w="0" w:type="dxa"/>
            <w:right w:w="0" w:type="dxa"/>
          </w:tblCellMar>
        </w:tblPrEx>
        <w:trPr>
          <w:wBefore w:w="0" w:type="auto"/>
          <w:tblCellSpacing w:w="0" w:type="dxa"/>
        </w:trPr>
        <w:tc>
          <w:tcPr>
            <w:tcW w:w="0" w:type="auto"/>
            <w:noWrap w:val="0"/>
            <w:vAlign w:val="center"/>
          </w:tcPr>
          <w:p w14:paraId="6549B0BB">
            <w:r>
              <w:rPr>
                <w:rStyle w:val="10"/>
                <w:rFonts w:hint="eastAsia"/>
              </w:rPr>
              <w:t>剂型：</w:t>
            </w:r>
            <w:r>
              <w:rPr>
                <w:rFonts w:hint="eastAsia"/>
              </w:rPr>
              <w:t>可湿性粉剂</w:t>
            </w:r>
          </w:p>
        </w:tc>
      </w:tr>
      <w:tr w14:paraId="378824B2">
        <w:tblPrEx>
          <w:tblCellMar>
            <w:top w:w="0" w:type="dxa"/>
            <w:left w:w="0" w:type="dxa"/>
            <w:bottom w:w="0" w:type="dxa"/>
            <w:right w:w="0" w:type="dxa"/>
          </w:tblCellMar>
        </w:tblPrEx>
        <w:trPr>
          <w:wBefore w:w="0" w:type="auto"/>
          <w:tblCellSpacing w:w="0" w:type="dxa"/>
        </w:trPr>
        <w:tc>
          <w:tcPr>
            <w:tcW w:w="0" w:type="auto"/>
            <w:noWrap w:val="0"/>
            <w:vAlign w:val="center"/>
          </w:tcPr>
          <w:p w14:paraId="5AD362A1">
            <w:r>
              <w:rPr>
                <w:rStyle w:val="10"/>
                <w:rFonts w:hint="eastAsia"/>
              </w:rPr>
              <w:t>毒性及其标识：</w:t>
            </w:r>
            <w:r>
              <w:rPr>
                <w:rFonts w:hint="eastAsia"/>
              </w:rPr>
              <w:t xml:space="preserve"> </w:t>
            </w:r>
            <w:r>
              <w:rPr>
                <w:lang/>
              </w:rPr>
              <w:drawing>
                <wp:inline distT="0" distB="0" distL="114300" distR="114300">
                  <wp:extent cx="476250" cy="323850"/>
                  <wp:effectExtent l="0" t="0" r="0" b="0"/>
                  <wp:docPr id="405" name="图片 40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9861F8A">
        <w:tblPrEx>
          <w:tblCellMar>
            <w:top w:w="0" w:type="dxa"/>
            <w:left w:w="0" w:type="dxa"/>
            <w:bottom w:w="0" w:type="dxa"/>
            <w:right w:w="0" w:type="dxa"/>
          </w:tblCellMar>
        </w:tblPrEx>
        <w:trPr>
          <w:wBefore w:w="0" w:type="auto"/>
          <w:tblCellSpacing w:w="0" w:type="dxa"/>
        </w:trPr>
        <w:tc>
          <w:tcPr>
            <w:tcW w:w="0" w:type="auto"/>
            <w:noWrap w:val="0"/>
            <w:vAlign w:val="center"/>
          </w:tcPr>
          <w:p w14:paraId="232DDE87">
            <w:r>
              <w:rPr>
                <w:rStyle w:val="10"/>
                <w:rFonts w:hint="eastAsia"/>
              </w:rPr>
              <w:t>总有效成分含量：</w:t>
            </w:r>
            <w:r>
              <w:rPr>
                <w:rFonts w:hint="eastAsia"/>
              </w:rPr>
              <w:t>25%</w:t>
            </w:r>
          </w:p>
        </w:tc>
      </w:tr>
      <w:tr w14:paraId="320F4397">
        <w:tblPrEx>
          <w:tblCellMar>
            <w:top w:w="0" w:type="dxa"/>
            <w:left w:w="0" w:type="dxa"/>
            <w:bottom w:w="0" w:type="dxa"/>
            <w:right w:w="0" w:type="dxa"/>
          </w:tblCellMar>
        </w:tblPrEx>
        <w:trPr>
          <w:wBefore w:w="0" w:type="auto"/>
          <w:tblCellSpacing w:w="0" w:type="dxa"/>
        </w:trPr>
        <w:tc>
          <w:tcPr>
            <w:tcW w:w="0" w:type="auto"/>
            <w:noWrap w:val="0"/>
            <w:vAlign w:val="center"/>
          </w:tcPr>
          <w:p w14:paraId="5D04FDD6">
            <w:r>
              <w:rPr>
                <w:rFonts w:hint="eastAsia"/>
              </w:rPr>
              <w:t xml:space="preserve">有效成分及其含量： </w:t>
            </w:r>
          </w:p>
          <w:p w14:paraId="798F8CFB">
            <w:r>
              <w:rPr>
                <w:rFonts w:hint="eastAsia"/>
              </w:rPr>
              <w:t xml:space="preserve">    </w:t>
            </w:r>
          </w:p>
        </w:tc>
      </w:tr>
      <w:tr w14:paraId="05ED5509">
        <w:tblPrEx>
          <w:tblCellMar>
            <w:top w:w="0" w:type="dxa"/>
            <w:left w:w="0" w:type="dxa"/>
            <w:bottom w:w="0" w:type="dxa"/>
            <w:right w:w="0" w:type="dxa"/>
          </w:tblCellMar>
        </w:tblPrEx>
        <w:trPr>
          <w:wBefore w:w="0" w:type="auto"/>
          <w:tblCellSpacing w:w="0" w:type="dxa"/>
        </w:trPr>
        <w:tc>
          <w:tcPr>
            <w:tcW w:w="0" w:type="auto"/>
            <w:noWrap w:val="0"/>
            <w:vAlign w:val="center"/>
          </w:tcPr>
          <w:p w14:paraId="1D6084C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6C873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2D133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B1E25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D33568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FF5EEC">
                  <w:r>
                    <w:rPr>
                      <w:rStyle w:val="11"/>
                      <w:rFonts w:hint="eastAsia"/>
                    </w:rPr>
                    <w:t>施用方式</w:t>
                  </w:r>
                </w:p>
              </w:tc>
            </w:tr>
          </w:tbl>
          <w:p w14:paraId="0B2F6112">
            <w:pPr>
              <w:rPr>
                <w:rFonts w:ascii="Times New Roman" w:hAnsi="Times New Roman" w:cs="Times New Roman"/>
                <w:sz w:val="20"/>
                <w:szCs w:val="20"/>
              </w:rPr>
            </w:pPr>
          </w:p>
        </w:tc>
      </w:tr>
      <w:tr w14:paraId="21AE53DC">
        <w:tblPrEx>
          <w:tblCellMar>
            <w:top w:w="0" w:type="dxa"/>
            <w:left w:w="0" w:type="dxa"/>
            <w:bottom w:w="0" w:type="dxa"/>
            <w:right w:w="0" w:type="dxa"/>
          </w:tblCellMar>
        </w:tblPrEx>
        <w:trPr>
          <w:wBefore w:w="0" w:type="auto"/>
          <w:tblCellSpacing w:w="0" w:type="dxa"/>
        </w:trPr>
        <w:tc>
          <w:tcPr>
            <w:tcW w:w="0" w:type="auto"/>
            <w:noWrap w:val="0"/>
            <w:vAlign w:val="center"/>
          </w:tcPr>
          <w:p w14:paraId="2D0A9B37">
            <w:r>
              <w:rPr>
                <w:rStyle w:val="10"/>
                <w:rFonts w:hint="eastAsia"/>
              </w:rPr>
              <w:t>使用技术要求:</w:t>
            </w:r>
            <w:r>
              <w:rPr>
                <w:rFonts w:hint="eastAsia"/>
              </w:rPr>
              <w:br w:type="textWrapping"/>
            </w:r>
          </w:p>
        </w:tc>
      </w:tr>
      <w:tr w14:paraId="76EFECAD">
        <w:tblPrEx>
          <w:tblCellMar>
            <w:top w:w="0" w:type="dxa"/>
            <w:left w:w="0" w:type="dxa"/>
            <w:bottom w:w="0" w:type="dxa"/>
            <w:right w:w="0" w:type="dxa"/>
          </w:tblCellMar>
        </w:tblPrEx>
        <w:trPr>
          <w:wBefore w:w="0" w:type="auto"/>
          <w:tblCellSpacing w:w="0" w:type="dxa"/>
        </w:trPr>
        <w:tc>
          <w:tcPr>
            <w:tcW w:w="0" w:type="auto"/>
            <w:noWrap w:val="0"/>
            <w:vAlign w:val="center"/>
          </w:tcPr>
          <w:p w14:paraId="5D047228">
            <w:r>
              <w:rPr>
                <w:rStyle w:val="10"/>
                <w:rFonts w:hint="eastAsia"/>
              </w:rPr>
              <w:t>产品性能:</w:t>
            </w:r>
          </w:p>
        </w:tc>
      </w:tr>
      <w:tr w14:paraId="46D985D1">
        <w:tblPrEx>
          <w:tblCellMar>
            <w:top w:w="0" w:type="dxa"/>
            <w:left w:w="0" w:type="dxa"/>
            <w:bottom w:w="0" w:type="dxa"/>
            <w:right w:w="0" w:type="dxa"/>
          </w:tblCellMar>
        </w:tblPrEx>
        <w:trPr>
          <w:wBefore w:w="0" w:type="auto"/>
          <w:tblCellSpacing w:w="0" w:type="dxa"/>
        </w:trPr>
        <w:tc>
          <w:tcPr>
            <w:tcW w:w="0" w:type="auto"/>
            <w:noWrap w:val="0"/>
            <w:vAlign w:val="center"/>
          </w:tcPr>
          <w:p w14:paraId="325ACFDF">
            <w:r>
              <w:rPr>
                <w:rStyle w:val="10"/>
                <w:rFonts w:hint="eastAsia"/>
              </w:rPr>
              <w:t>注意事项：</w:t>
            </w:r>
          </w:p>
        </w:tc>
      </w:tr>
      <w:tr w14:paraId="0FC4A781">
        <w:tblPrEx>
          <w:tblCellMar>
            <w:top w:w="0" w:type="dxa"/>
            <w:left w:w="0" w:type="dxa"/>
            <w:bottom w:w="0" w:type="dxa"/>
            <w:right w:w="0" w:type="dxa"/>
          </w:tblCellMar>
        </w:tblPrEx>
        <w:trPr>
          <w:wBefore w:w="0" w:type="auto"/>
          <w:tblCellSpacing w:w="0" w:type="dxa"/>
        </w:trPr>
        <w:tc>
          <w:tcPr>
            <w:tcW w:w="0" w:type="auto"/>
            <w:noWrap w:val="0"/>
            <w:vAlign w:val="center"/>
          </w:tcPr>
          <w:p w14:paraId="4BA89C7B">
            <w:r>
              <w:rPr>
                <w:rStyle w:val="10"/>
                <w:rFonts w:hint="eastAsia"/>
              </w:rPr>
              <w:t>中毒急救措施：</w:t>
            </w:r>
          </w:p>
        </w:tc>
      </w:tr>
      <w:tr w14:paraId="524A2510">
        <w:tblPrEx>
          <w:tblCellMar>
            <w:top w:w="0" w:type="dxa"/>
            <w:left w:w="0" w:type="dxa"/>
            <w:bottom w:w="0" w:type="dxa"/>
            <w:right w:w="0" w:type="dxa"/>
          </w:tblCellMar>
        </w:tblPrEx>
        <w:trPr>
          <w:wBefore w:w="0" w:type="auto"/>
          <w:tblCellSpacing w:w="0" w:type="dxa"/>
        </w:trPr>
        <w:tc>
          <w:tcPr>
            <w:tcW w:w="0" w:type="auto"/>
            <w:noWrap w:val="0"/>
            <w:vAlign w:val="center"/>
          </w:tcPr>
          <w:p w14:paraId="7F28FCF4">
            <w:r>
              <w:rPr>
                <w:rStyle w:val="10"/>
                <w:rFonts w:hint="eastAsia"/>
              </w:rPr>
              <w:t>储存和运输方法：</w:t>
            </w:r>
          </w:p>
        </w:tc>
      </w:tr>
      <w:tr w14:paraId="48D5DA9C">
        <w:tblPrEx>
          <w:tblCellMar>
            <w:top w:w="0" w:type="dxa"/>
            <w:left w:w="0" w:type="dxa"/>
            <w:bottom w:w="0" w:type="dxa"/>
            <w:right w:w="0" w:type="dxa"/>
          </w:tblCellMar>
        </w:tblPrEx>
        <w:trPr>
          <w:wBefore w:w="0" w:type="auto"/>
          <w:tblCellSpacing w:w="0" w:type="dxa"/>
        </w:trPr>
        <w:tc>
          <w:tcPr>
            <w:tcW w:w="0" w:type="auto"/>
            <w:noWrap w:val="0"/>
            <w:vAlign w:val="center"/>
          </w:tcPr>
          <w:p w14:paraId="18B487BA">
            <w:r>
              <w:rPr>
                <w:rStyle w:val="10"/>
                <w:rFonts w:hint="eastAsia"/>
              </w:rPr>
              <w:t>质量保证期：</w:t>
            </w:r>
          </w:p>
        </w:tc>
      </w:tr>
      <w:tr w14:paraId="589F4B1C">
        <w:tblPrEx>
          <w:tblCellMar>
            <w:top w:w="0" w:type="dxa"/>
            <w:left w:w="0" w:type="dxa"/>
            <w:bottom w:w="0" w:type="dxa"/>
            <w:right w:w="0" w:type="dxa"/>
          </w:tblCellMar>
        </w:tblPrEx>
        <w:trPr>
          <w:wBefore w:w="0" w:type="auto"/>
          <w:tblCellSpacing w:w="0" w:type="dxa"/>
        </w:trPr>
        <w:tc>
          <w:tcPr>
            <w:tcW w:w="0" w:type="auto"/>
            <w:noWrap w:val="0"/>
            <w:vAlign w:val="center"/>
          </w:tcPr>
          <w:p w14:paraId="1FA4502F">
            <w:r>
              <w:rPr>
                <w:rStyle w:val="10"/>
                <w:rFonts w:hint="eastAsia"/>
              </w:rPr>
              <w:t>备注：</w:t>
            </w:r>
          </w:p>
        </w:tc>
      </w:tr>
    </w:tbl>
    <w:p w14:paraId="7EB42B7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7277A6D">
        <w:tblPrEx>
          <w:tblCellMar>
            <w:top w:w="0" w:type="dxa"/>
            <w:left w:w="0" w:type="dxa"/>
            <w:bottom w:w="0" w:type="dxa"/>
            <w:right w:w="0" w:type="dxa"/>
          </w:tblCellMar>
        </w:tblPrEx>
        <w:trPr>
          <w:wBefore w:w="0" w:type="auto"/>
          <w:tblCellSpacing w:w="0" w:type="dxa"/>
        </w:trPr>
        <w:tc>
          <w:tcPr>
            <w:tcW w:w="0" w:type="auto"/>
            <w:noWrap w:val="0"/>
            <w:vAlign w:val="center"/>
          </w:tcPr>
          <w:p w14:paraId="00AE7236">
            <w:r>
              <w:rPr>
                <w:rStyle w:val="10"/>
                <w:rFonts w:hint="eastAsia"/>
              </w:rPr>
              <w:t>登记证号：</w:t>
            </w:r>
            <w:r>
              <w:rPr>
                <w:rFonts w:hint="eastAsia"/>
              </w:rPr>
              <w:t>PD20212021</w:t>
            </w:r>
          </w:p>
        </w:tc>
      </w:tr>
      <w:tr w14:paraId="18CB0E12">
        <w:tblPrEx>
          <w:tblCellMar>
            <w:top w:w="0" w:type="dxa"/>
            <w:left w:w="0" w:type="dxa"/>
            <w:bottom w:w="0" w:type="dxa"/>
            <w:right w:w="0" w:type="dxa"/>
          </w:tblCellMar>
        </w:tblPrEx>
        <w:trPr>
          <w:wBefore w:w="0" w:type="auto"/>
          <w:tblCellSpacing w:w="0" w:type="dxa"/>
        </w:trPr>
        <w:tc>
          <w:tcPr>
            <w:tcW w:w="0" w:type="auto"/>
            <w:noWrap w:val="0"/>
            <w:vAlign w:val="center"/>
          </w:tcPr>
          <w:p w14:paraId="4CF5B17B">
            <w:r>
              <w:rPr>
                <w:rStyle w:val="10"/>
                <w:rFonts w:hint="eastAsia"/>
              </w:rPr>
              <w:t>登记证持有人：</w:t>
            </w:r>
            <w:r>
              <w:rPr>
                <w:rFonts w:hint="eastAsia"/>
              </w:rPr>
              <w:t>陕西汤普森生物科技有限公司</w:t>
            </w:r>
          </w:p>
        </w:tc>
      </w:tr>
      <w:tr w14:paraId="56A11822">
        <w:tblPrEx>
          <w:tblCellMar>
            <w:top w:w="0" w:type="dxa"/>
            <w:left w:w="0" w:type="dxa"/>
            <w:bottom w:w="0" w:type="dxa"/>
            <w:right w:w="0" w:type="dxa"/>
          </w:tblCellMar>
        </w:tblPrEx>
        <w:trPr>
          <w:wBefore w:w="0" w:type="auto"/>
          <w:tblCellSpacing w:w="0" w:type="dxa"/>
        </w:trPr>
        <w:tc>
          <w:tcPr>
            <w:tcW w:w="0" w:type="auto"/>
            <w:noWrap w:val="0"/>
            <w:vAlign w:val="center"/>
          </w:tcPr>
          <w:p w14:paraId="7DF5CCFF">
            <w:r>
              <w:rPr>
                <w:rStyle w:val="10"/>
                <w:rFonts w:hint="eastAsia"/>
              </w:rPr>
              <w:t>农药名称：</w:t>
            </w:r>
            <w:r>
              <w:rPr>
                <w:rFonts w:hint="eastAsia"/>
              </w:rPr>
              <w:t>氟节胺</w:t>
            </w:r>
          </w:p>
        </w:tc>
      </w:tr>
      <w:tr w14:paraId="59FCA055">
        <w:tblPrEx>
          <w:tblCellMar>
            <w:top w:w="0" w:type="dxa"/>
            <w:left w:w="0" w:type="dxa"/>
            <w:bottom w:w="0" w:type="dxa"/>
            <w:right w:w="0" w:type="dxa"/>
          </w:tblCellMar>
        </w:tblPrEx>
        <w:trPr>
          <w:wBefore w:w="0" w:type="auto"/>
          <w:tblCellSpacing w:w="0" w:type="dxa"/>
        </w:trPr>
        <w:tc>
          <w:tcPr>
            <w:tcW w:w="0" w:type="auto"/>
            <w:noWrap w:val="0"/>
            <w:vAlign w:val="center"/>
          </w:tcPr>
          <w:p w14:paraId="2CA5080F">
            <w:r>
              <w:rPr>
                <w:rStyle w:val="10"/>
                <w:rFonts w:hint="eastAsia"/>
              </w:rPr>
              <w:t>剂型：</w:t>
            </w:r>
            <w:r>
              <w:rPr>
                <w:rFonts w:hint="eastAsia"/>
              </w:rPr>
              <w:t>悬浮剂</w:t>
            </w:r>
          </w:p>
        </w:tc>
      </w:tr>
      <w:tr w14:paraId="2C24A128">
        <w:tblPrEx>
          <w:tblCellMar>
            <w:top w:w="0" w:type="dxa"/>
            <w:left w:w="0" w:type="dxa"/>
            <w:bottom w:w="0" w:type="dxa"/>
            <w:right w:w="0" w:type="dxa"/>
          </w:tblCellMar>
        </w:tblPrEx>
        <w:trPr>
          <w:wBefore w:w="0" w:type="auto"/>
          <w:tblCellSpacing w:w="0" w:type="dxa"/>
        </w:trPr>
        <w:tc>
          <w:tcPr>
            <w:tcW w:w="0" w:type="auto"/>
            <w:noWrap w:val="0"/>
            <w:vAlign w:val="center"/>
          </w:tcPr>
          <w:p w14:paraId="28C06B83">
            <w:r>
              <w:rPr>
                <w:rStyle w:val="10"/>
                <w:rFonts w:hint="eastAsia"/>
              </w:rPr>
              <w:t>毒性及其标识：</w:t>
            </w:r>
            <w:r>
              <w:rPr>
                <w:rFonts w:hint="eastAsia"/>
              </w:rPr>
              <w:t xml:space="preserve"> </w:t>
            </w:r>
            <w:r>
              <w:rPr>
                <w:lang/>
              </w:rPr>
              <w:drawing>
                <wp:inline distT="0" distB="0" distL="114300" distR="114300">
                  <wp:extent cx="476250" cy="323850"/>
                  <wp:effectExtent l="0" t="0" r="0" b="0"/>
                  <wp:docPr id="406" name="图片 40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728B4F0">
        <w:tblPrEx>
          <w:tblCellMar>
            <w:top w:w="0" w:type="dxa"/>
            <w:left w:w="0" w:type="dxa"/>
            <w:bottom w:w="0" w:type="dxa"/>
            <w:right w:w="0" w:type="dxa"/>
          </w:tblCellMar>
        </w:tblPrEx>
        <w:trPr>
          <w:wBefore w:w="0" w:type="auto"/>
          <w:tblCellSpacing w:w="0" w:type="dxa"/>
        </w:trPr>
        <w:tc>
          <w:tcPr>
            <w:tcW w:w="0" w:type="auto"/>
            <w:noWrap w:val="0"/>
            <w:vAlign w:val="center"/>
          </w:tcPr>
          <w:p w14:paraId="08B10C79">
            <w:r>
              <w:rPr>
                <w:rStyle w:val="10"/>
                <w:rFonts w:hint="eastAsia"/>
              </w:rPr>
              <w:t>总有效成分含量：</w:t>
            </w:r>
            <w:r>
              <w:rPr>
                <w:rFonts w:hint="eastAsia"/>
              </w:rPr>
              <w:t>25%</w:t>
            </w:r>
          </w:p>
        </w:tc>
      </w:tr>
      <w:tr w14:paraId="430CBCDE">
        <w:tblPrEx>
          <w:tblCellMar>
            <w:top w:w="0" w:type="dxa"/>
            <w:left w:w="0" w:type="dxa"/>
            <w:bottom w:w="0" w:type="dxa"/>
            <w:right w:w="0" w:type="dxa"/>
          </w:tblCellMar>
        </w:tblPrEx>
        <w:trPr>
          <w:wBefore w:w="0" w:type="auto"/>
          <w:tblCellSpacing w:w="0" w:type="dxa"/>
        </w:trPr>
        <w:tc>
          <w:tcPr>
            <w:tcW w:w="0" w:type="auto"/>
            <w:noWrap w:val="0"/>
            <w:vAlign w:val="center"/>
          </w:tcPr>
          <w:p w14:paraId="3C73EABA">
            <w:r>
              <w:rPr>
                <w:rFonts w:hint="eastAsia"/>
              </w:rPr>
              <w:t xml:space="preserve">有效成分及其含量： </w:t>
            </w:r>
          </w:p>
          <w:p w14:paraId="5584861F">
            <w:r>
              <w:rPr>
                <w:rFonts w:hint="eastAsia"/>
              </w:rPr>
              <w:t xml:space="preserve">    氟节胺25%    </w:t>
            </w:r>
          </w:p>
        </w:tc>
      </w:tr>
      <w:tr w14:paraId="70B71139">
        <w:tblPrEx>
          <w:tblCellMar>
            <w:top w:w="0" w:type="dxa"/>
            <w:left w:w="0" w:type="dxa"/>
            <w:bottom w:w="0" w:type="dxa"/>
            <w:right w:w="0" w:type="dxa"/>
          </w:tblCellMar>
        </w:tblPrEx>
        <w:trPr>
          <w:wBefore w:w="0" w:type="auto"/>
          <w:tblCellSpacing w:w="0" w:type="dxa"/>
        </w:trPr>
        <w:tc>
          <w:tcPr>
            <w:tcW w:w="0" w:type="auto"/>
            <w:noWrap w:val="0"/>
            <w:vAlign w:val="center"/>
          </w:tcPr>
          <w:p w14:paraId="5EFF884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F6DFA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746CD3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245FC1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ABE66B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FA5B0B2">
                  <w:r>
                    <w:rPr>
                      <w:rStyle w:val="11"/>
                      <w:rFonts w:hint="eastAsia"/>
                    </w:rPr>
                    <w:t>施用方式</w:t>
                  </w:r>
                </w:p>
              </w:tc>
            </w:tr>
            <w:tr w14:paraId="0A4D6D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3AF91F1">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AC89B1">
                  <w:r>
                    <w:rPr>
                      <w:rStyle w:val="11"/>
                      <w:rFonts w:hint="eastAsia"/>
                    </w:rPr>
                    <w:t>控梢</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9D4C7E">
                  <w:r>
                    <w:rPr>
                      <w:rStyle w:val="11"/>
                      <w:rFonts w:hint="eastAsia"/>
                    </w:rPr>
                    <w:t>1000-2000倍液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5C8483">
                  <w:r>
                    <w:rPr>
                      <w:rStyle w:val="11"/>
                      <w:rFonts w:hint="eastAsia"/>
                    </w:rPr>
                    <w:t>喷雾</w:t>
                  </w:r>
                </w:p>
              </w:tc>
            </w:tr>
          </w:tbl>
          <w:p w14:paraId="428EBD39">
            <w:pPr>
              <w:rPr>
                <w:rFonts w:ascii="Times New Roman" w:hAnsi="Times New Roman" w:cs="Times New Roman"/>
                <w:sz w:val="20"/>
                <w:szCs w:val="20"/>
              </w:rPr>
            </w:pPr>
          </w:p>
        </w:tc>
      </w:tr>
      <w:tr w14:paraId="62B078F0">
        <w:tblPrEx>
          <w:tblCellMar>
            <w:top w:w="0" w:type="dxa"/>
            <w:left w:w="0" w:type="dxa"/>
            <w:bottom w:w="0" w:type="dxa"/>
            <w:right w:w="0" w:type="dxa"/>
          </w:tblCellMar>
        </w:tblPrEx>
        <w:trPr>
          <w:wBefore w:w="0" w:type="auto"/>
          <w:tblCellSpacing w:w="0" w:type="dxa"/>
        </w:trPr>
        <w:tc>
          <w:tcPr>
            <w:tcW w:w="0" w:type="auto"/>
            <w:noWrap w:val="0"/>
            <w:vAlign w:val="center"/>
          </w:tcPr>
          <w:p w14:paraId="3CC834F0">
            <w:r>
              <w:rPr>
                <w:rStyle w:val="10"/>
                <w:rFonts w:hint="eastAsia"/>
              </w:rPr>
              <w:t>使用技术要求:</w:t>
            </w:r>
            <w:r>
              <w:rPr>
                <w:rFonts w:hint="eastAsia"/>
              </w:rPr>
              <w:br w:type="textWrapping"/>
            </w:r>
            <w:r>
              <w:rPr>
                <w:rStyle w:val="11"/>
                <w:rFonts w:hint="eastAsia"/>
              </w:rPr>
              <w:t>1.本品应于柑橘树春梢老熟夏梢未抽时喷雾施药一次，注意喷雾均匀、周到，以确保药效。2.大风天或预计1小时内降雨，请勿施药。3.本品在柑橘树每季作物最多使用1次。</w:t>
            </w:r>
          </w:p>
        </w:tc>
      </w:tr>
      <w:tr w14:paraId="0940EA9C">
        <w:tblPrEx>
          <w:tblCellMar>
            <w:top w:w="0" w:type="dxa"/>
            <w:left w:w="0" w:type="dxa"/>
            <w:bottom w:w="0" w:type="dxa"/>
            <w:right w:w="0" w:type="dxa"/>
          </w:tblCellMar>
        </w:tblPrEx>
        <w:trPr>
          <w:wBefore w:w="0" w:type="auto"/>
          <w:tblCellSpacing w:w="0" w:type="dxa"/>
        </w:trPr>
        <w:tc>
          <w:tcPr>
            <w:tcW w:w="0" w:type="auto"/>
            <w:noWrap w:val="0"/>
            <w:vAlign w:val="center"/>
          </w:tcPr>
          <w:p w14:paraId="3EC459EF">
            <w:r>
              <w:rPr>
                <w:rStyle w:val="10"/>
                <w:rFonts w:hint="eastAsia"/>
              </w:rPr>
              <w:t>产品性能:</w:t>
            </w:r>
            <w:r>
              <w:rPr>
                <w:rFonts w:hint="eastAsia"/>
              </w:rPr>
              <w:br w:type="textWrapping"/>
            </w:r>
            <w:r>
              <w:rPr>
                <w:rStyle w:val="11"/>
                <w:rFonts w:hint="eastAsia"/>
              </w:rPr>
              <w:t>本品为接触兼局部内吸性植物生长延缓剂。主要影响植物体内酶系统功能，增加叶绿素与蛋白质含量。该产品可控制柑橘树夏梢生长。</w:t>
            </w:r>
          </w:p>
        </w:tc>
      </w:tr>
      <w:tr w14:paraId="3B4E3A71">
        <w:tblPrEx>
          <w:tblCellMar>
            <w:top w:w="0" w:type="dxa"/>
            <w:left w:w="0" w:type="dxa"/>
            <w:bottom w:w="0" w:type="dxa"/>
            <w:right w:w="0" w:type="dxa"/>
          </w:tblCellMar>
        </w:tblPrEx>
        <w:trPr>
          <w:wBefore w:w="0" w:type="auto"/>
          <w:tblCellSpacing w:w="0" w:type="dxa"/>
        </w:trPr>
        <w:tc>
          <w:tcPr>
            <w:tcW w:w="0" w:type="auto"/>
            <w:noWrap w:val="0"/>
            <w:vAlign w:val="center"/>
          </w:tcPr>
          <w:p w14:paraId="0EB5F719">
            <w:r>
              <w:rPr>
                <w:rStyle w:val="10"/>
                <w:rFonts w:hint="eastAsia"/>
              </w:rPr>
              <w:t>注意事项：</w:t>
            </w:r>
            <w:r>
              <w:rPr>
                <w:rFonts w:hint="eastAsia"/>
              </w:rPr>
              <w:br w:type="textWrapping"/>
            </w:r>
            <w:r>
              <w:rPr>
                <w:rStyle w:val="11"/>
                <w:rFonts w:hint="eastAsia"/>
              </w:rPr>
              <w:t>（1）严格按规定用药量和方法使用。 （2）本品对鱼、大型溞、藻有毒，水产养殖区、河塘等水体附近禁用，禁止在河塘等水体中清洗施药器具，不可使用最外围桑树上的叶片饲喂家蚕。 （3）对眼睛有中度刺激性，使用时穿戴长衣长裤、帽子、口罩、手套、鞋等安全防护措施。施药期间不可吃东西、饮水、吸烟等；施药后应及时洗手、洗脸并洗涤施药时穿着的衣物。 （4）用药后包装物及用过的容器应妥善处理，不可做他用，也不可随意丢弃。 （5）孕妇及哺乳期妇女禁止接触本品。</w:t>
            </w:r>
          </w:p>
        </w:tc>
      </w:tr>
      <w:tr w14:paraId="5E2714C7">
        <w:tblPrEx>
          <w:tblCellMar>
            <w:top w:w="0" w:type="dxa"/>
            <w:left w:w="0" w:type="dxa"/>
            <w:bottom w:w="0" w:type="dxa"/>
            <w:right w:w="0" w:type="dxa"/>
          </w:tblCellMar>
        </w:tblPrEx>
        <w:trPr>
          <w:wBefore w:w="0" w:type="auto"/>
          <w:tblCellSpacing w:w="0" w:type="dxa"/>
        </w:trPr>
        <w:tc>
          <w:tcPr>
            <w:tcW w:w="0" w:type="auto"/>
            <w:noWrap w:val="0"/>
            <w:vAlign w:val="center"/>
          </w:tcPr>
          <w:p w14:paraId="62F7E8C3">
            <w:r>
              <w:rPr>
                <w:rStyle w:val="10"/>
                <w:rFonts w:hint="eastAsia"/>
              </w:rPr>
              <w:t>中毒急救措施：</w:t>
            </w:r>
            <w:r>
              <w:rPr>
                <w:rFonts w:hint="eastAsia"/>
              </w:rPr>
              <w:br w:type="textWrapping"/>
            </w:r>
            <w:r>
              <w:rPr>
                <w:rStyle w:val="11"/>
                <w:rFonts w:hint="eastAsia"/>
              </w:rPr>
              <w:t>对眼睛有刺激性，使用时避免接触眼睛。 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50D5F05D">
        <w:tblPrEx>
          <w:tblCellMar>
            <w:top w:w="0" w:type="dxa"/>
            <w:left w:w="0" w:type="dxa"/>
            <w:bottom w:w="0" w:type="dxa"/>
            <w:right w:w="0" w:type="dxa"/>
          </w:tblCellMar>
        </w:tblPrEx>
        <w:trPr>
          <w:wBefore w:w="0" w:type="auto"/>
          <w:tblCellSpacing w:w="0" w:type="dxa"/>
        </w:trPr>
        <w:tc>
          <w:tcPr>
            <w:tcW w:w="0" w:type="auto"/>
            <w:noWrap w:val="0"/>
            <w:vAlign w:val="center"/>
          </w:tcPr>
          <w:p w14:paraId="46EB1947">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4317881C">
        <w:tblPrEx>
          <w:tblCellMar>
            <w:top w:w="0" w:type="dxa"/>
            <w:left w:w="0" w:type="dxa"/>
            <w:bottom w:w="0" w:type="dxa"/>
            <w:right w:w="0" w:type="dxa"/>
          </w:tblCellMar>
        </w:tblPrEx>
        <w:trPr>
          <w:wBefore w:w="0" w:type="auto"/>
          <w:tblCellSpacing w:w="0" w:type="dxa"/>
        </w:trPr>
        <w:tc>
          <w:tcPr>
            <w:tcW w:w="0" w:type="auto"/>
            <w:noWrap w:val="0"/>
            <w:vAlign w:val="center"/>
          </w:tcPr>
          <w:p w14:paraId="01A92AF6">
            <w:r>
              <w:rPr>
                <w:rStyle w:val="10"/>
                <w:rFonts w:hint="eastAsia"/>
              </w:rPr>
              <w:t>质量保证期：</w:t>
            </w:r>
            <w:r>
              <w:rPr>
                <w:rStyle w:val="11"/>
                <w:rFonts w:hint="eastAsia"/>
              </w:rPr>
              <w:t>2年</w:t>
            </w:r>
          </w:p>
        </w:tc>
      </w:tr>
      <w:tr w14:paraId="2E703C7F">
        <w:tblPrEx>
          <w:tblCellMar>
            <w:top w:w="0" w:type="dxa"/>
            <w:left w:w="0" w:type="dxa"/>
            <w:bottom w:w="0" w:type="dxa"/>
            <w:right w:w="0" w:type="dxa"/>
          </w:tblCellMar>
        </w:tblPrEx>
        <w:trPr>
          <w:wBefore w:w="0" w:type="auto"/>
          <w:tblCellSpacing w:w="0" w:type="dxa"/>
        </w:trPr>
        <w:tc>
          <w:tcPr>
            <w:tcW w:w="0" w:type="auto"/>
            <w:noWrap w:val="0"/>
            <w:vAlign w:val="center"/>
          </w:tcPr>
          <w:p w14:paraId="0B6DAAAA">
            <w:r>
              <w:rPr>
                <w:rStyle w:val="10"/>
                <w:rFonts w:hint="eastAsia"/>
              </w:rPr>
              <w:t>备注：</w:t>
            </w:r>
          </w:p>
        </w:tc>
      </w:tr>
    </w:tbl>
    <w:p w14:paraId="3BE0AA5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E16BB7">
        <w:tblPrEx>
          <w:tblCellMar>
            <w:top w:w="0" w:type="dxa"/>
            <w:left w:w="0" w:type="dxa"/>
            <w:bottom w:w="0" w:type="dxa"/>
            <w:right w:w="0" w:type="dxa"/>
          </w:tblCellMar>
        </w:tblPrEx>
        <w:trPr>
          <w:wBefore w:w="0" w:type="auto"/>
          <w:tblCellSpacing w:w="0" w:type="dxa"/>
        </w:trPr>
        <w:tc>
          <w:tcPr>
            <w:tcW w:w="0" w:type="auto"/>
            <w:noWrap w:val="0"/>
            <w:vAlign w:val="center"/>
          </w:tcPr>
          <w:p w14:paraId="454519FA">
            <w:r>
              <w:rPr>
                <w:rStyle w:val="10"/>
                <w:rFonts w:hint="eastAsia"/>
              </w:rPr>
              <w:t>登记证号：</w:t>
            </w:r>
            <w:r>
              <w:rPr>
                <w:rFonts w:hint="eastAsia"/>
              </w:rPr>
              <w:t>PD20211906</w:t>
            </w:r>
          </w:p>
        </w:tc>
      </w:tr>
      <w:tr w14:paraId="1EC0A1E1">
        <w:tblPrEx>
          <w:tblCellMar>
            <w:top w:w="0" w:type="dxa"/>
            <w:left w:w="0" w:type="dxa"/>
            <w:bottom w:w="0" w:type="dxa"/>
            <w:right w:w="0" w:type="dxa"/>
          </w:tblCellMar>
        </w:tblPrEx>
        <w:trPr>
          <w:wBefore w:w="0" w:type="auto"/>
          <w:tblCellSpacing w:w="0" w:type="dxa"/>
        </w:trPr>
        <w:tc>
          <w:tcPr>
            <w:tcW w:w="0" w:type="auto"/>
            <w:noWrap w:val="0"/>
            <w:vAlign w:val="center"/>
          </w:tcPr>
          <w:p w14:paraId="278C55FB">
            <w:r>
              <w:rPr>
                <w:rStyle w:val="10"/>
                <w:rFonts w:hint="eastAsia"/>
              </w:rPr>
              <w:t>登记证持有人：</w:t>
            </w:r>
            <w:r>
              <w:rPr>
                <w:rFonts w:hint="eastAsia"/>
              </w:rPr>
              <w:t>广东省佛山市盈辉作物科学有限公司</w:t>
            </w:r>
          </w:p>
        </w:tc>
      </w:tr>
      <w:tr w14:paraId="334A4F74">
        <w:tblPrEx>
          <w:tblCellMar>
            <w:top w:w="0" w:type="dxa"/>
            <w:left w:w="0" w:type="dxa"/>
            <w:bottom w:w="0" w:type="dxa"/>
            <w:right w:w="0" w:type="dxa"/>
          </w:tblCellMar>
        </w:tblPrEx>
        <w:trPr>
          <w:wBefore w:w="0" w:type="auto"/>
          <w:tblCellSpacing w:w="0" w:type="dxa"/>
        </w:trPr>
        <w:tc>
          <w:tcPr>
            <w:tcW w:w="0" w:type="auto"/>
            <w:noWrap w:val="0"/>
            <w:vAlign w:val="center"/>
          </w:tcPr>
          <w:p w14:paraId="5733B8D0">
            <w:r>
              <w:rPr>
                <w:rStyle w:val="10"/>
                <w:rFonts w:hint="eastAsia"/>
              </w:rPr>
              <w:t>农药名称：</w:t>
            </w:r>
            <w:r>
              <w:rPr>
                <w:rFonts w:hint="eastAsia"/>
              </w:rPr>
              <w:t>氨基寡糖素·喹啉铜</w:t>
            </w:r>
          </w:p>
        </w:tc>
      </w:tr>
      <w:tr w14:paraId="685B3879">
        <w:tblPrEx>
          <w:tblCellMar>
            <w:top w:w="0" w:type="dxa"/>
            <w:left w:w="0" w:type="dxa"/>
            <w:bottom w:w="0" w:type="dxa"/>
            <w:right w:w="0" w:type="dxa"/>
          </w:tblCellMar>
        </w:tblPrEx>
        <w:trPr>
          <w:wBefore w:w="0" w:type="auto"/>
          <w:tblCellSpacing w:w="0" w:type="dxa"/>
        </w:trPr>
        <w:tc>
          <w:tcPr>
            <w:tcW w:w="0" w:type="auto"/>
            <w:noWrap w:val="0"/>
            <w:vAlign w:val="center"/>
          </w:tcPr>
          <w:p w14:paraId="66F1EDC5">
            <w:r>
              <w:rPr>
                <w:rStyle w:val="10"/>
                <w:rFonts w:hint="eastAsia"/>
              </w:rPr>
              <w:t>剂型：</w:t>
            </w:r>
            <w:r>
              <w:rPr>
                <w:rFonts w:hint="eastAsia"/>
              </w:rPr>
              <w:t>悬浮剂</w:t>
            </w:r>
          </w:p>
        </w:tc>
      </w:tr>
      <w:tr w14:paraId="36648288">
        <w:tblPrEx>
          <w:tblCellMar>
            <w:top w:w="0" w:type="dxa"/>
            <w:left w:w="0" w:type="dxa"/>
            <w:bottom w:w="0" w:type="dxa"/>
            <w:right w:w="0" w:type="dxa"/>
          </w:tblCellMar>
        </w:tblPrEx>
        <w:trPr>
          <w:wBefore w:w="0" w:type="auto"/>
          <w:tblCellSpacing w:w="0" w:type="dxa"/>
        </w:trPr>
        <w:tc>
          <w:tcPr>
            <w:tcW w:w="0" w:type="auto"/>
            <w:noWrap w:val="0"/>
            <w:vAlign w:val="center"/>
          </w:tcPr>
          <w:p w14:paraId="66844AE0">
            <w:r>
              <w:rPr>
                <w:rStyle w:val="10"/>
                <w:rFonts w:hint="eastAsia"/>
              </w:rPr>
              <w:t>毒性及其标识：</w:t>
            </w:r>
            <w:r>
              <w:rPr>
                <w:rFonts w:hint="eastAsia"/>
              </w:rPr>
              <w:t xml:space="preserve"> </w:t>
            </w:r>
            <w:r>
              <w:rPr>
                <w:lang/>
              </w:rPr>
              <w:drawing>
                <wp:inline distT="0" distB="0" distL="114300" distR="114300">
                  <wp:extent cx="476250" cy="323850"/>
                  <wp:effectExtent l="0" t="0" r="0" b="0"/>
                  <wp:docPr id="407" name="图片 40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BE34AF0">
        <w:tblPrEx>
          <w:tblCellMar>
            <w:top w:w="0" w:type="dxa"/>
            <w:left w:w="0" w:type="dxa"/>
            <w:bottom w:w="0" w:type="dxa"/>
            <w:right w:w="0" w:type="dxa"/>
          </w:tblCellMar>
        </w:tblPrEx>
        <w:trPr>
          <w:wBefore w:w="0" w:type="auto"/>
          <w:tblCellSpacing w:w="0" w:type="dxa"/>
        </w:trPr>
        <w:tc>
          <w:tcPr>
            <w:tcW w:w="0" w:type="auto"/>
            <w:noWrap w:val="0"/>
            <w:vAlign w:val="center"/>
          </w:tcPr>
          <w:p w14:paraId="5BE7F5C1">
            <w:r>
              <w:rPr>
                <w:rStyle w:val="10"/>
                <w:rFonts w:hint="eastAsia"/>
              </w:rPr>
              <w:t>总有效成分含量：</w:t>
            </w:r>
            <w:r>
              <w:rPr>
                <w:rFonts w:hint="eastAsia"/>
              </w:rPr>
              <w:t>35%</w:t>
            </w:r>
          </w:p>
        </w:tc>
      </w:tr>
      <w:tr w14:paraId="69444A1F">
        <w:tblPrEx>
          <w:tblCellMar>
            <w:top w:w="0" w:type="dxa"/>
            <w:left w:w="0" w:type="dxa"/>
            <w:bottom w:w="0" w:type="dxa"/>
            <w:right w:w="0" w:type="dxa"/>
          </w:tblCellMar>
        </w:tblPrEx>
        <w:trPr>
          <w:wBefore w:w="0" w:type="auto"/>
          <w:tblCellSpacing w:w="0" w:type="dxa"/>
        </w:trPr>
        <w:tc>
          <w:tcPr>
            <w:tcW w:w="0" w:type="auto"/>
            <w:noWrap w:val="0"/>
            <w:vAlign w:val="center"/>
          </w:tcPr>
          <w:p w14:paraId="243A0F10">
            <w:r>
              <w:rPr>
                <w:rFonts w:hint="eastAsia"/>
              </w:rPr>
              <w:t xml:space="preserve">有效成分及其含量： </w:t>
            </w:r>
          </w:p>
          <w:p w14:paraId="0C984E95">
            <w:r>
              <w:rPr>
                <w:rFonts w:hint="eastAsia"/>
              </w:rPr>
              <w:t xml:space="preserve">    氨基寡糖素2%    喹啉铜33%    </w:t>
            </w:r>
          </w:p>
        </w:tc>
      </w:tr>
      <w:tr w14:paraId="4D88BB89">
        <w:tblPrEx>
          <w:tblCellMar>
            <w:top w:w="0" w:type="dxa"/>
            <w:left w:w="0" w:type="dxa"/>
            <w:bottom w:w="0" w:type="dxa"/>
            <w:right w:w="0" w:type="dxa"/>
          </w:tblCellMar>
        </w:tblPrEx>
        <w:trPr>
          <w:wBefore w:w="0" w:type="auto"/>
          <w:tblCellSpacing w:w="0" w:type="dxa"/>
        </w:trPr>
        <w:tc>
          <w:tcPr>
            <w:tcW w:w="0" w:type="auto"/>
            <w:noWrap w:val="0"/>
            <w:vAlign w:val="center"/>
          </w:tcPr>
          <w:p w14:paraId="4FEDDA8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6E996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B8CF40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368EDB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42505E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A91A74B">
                  <w:r>
                    <w:rPr>
                      <w:rStyle w:val="11"/>
                      <w:rFonts w:hint="eastAsia"/>
                    </w:rPr>
                    <w:t>施用方式</w:t>
                  </w:r>
                </w:p>
              </w:tc>
            </w:tr>
            <w:tr w14:paraId="567884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AFB2F16">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E07CD1">
                  <w:r>
                    <w:rPr>
                      <w:rStyle w:val="11"/>
                      <w:rFonts w:hint="eastAsia"/>
                    </w:rPr>
                    <w:t>细菌性角斑病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5CBEB8">
                  <w:r>
                    <w:rPr>
                      <w:rStyle w:val="11"/>
                      <w:rFonts w:hint="eastAsia"/>
                    </w:rPr>
                    <w:t>50-70毫升/亩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D178DB">
                  <w:r>
                    <w:rPr>
                      <w:rStyle w:val="11"/>
                      <w:rFonts w:hint="eastAsia"/>
                    </w:rPr>
                    <w:t>喷雾</w:t>
                  </w:r>
                </w:p>
              </w:tc>
            </w:tr>
          </w:tbl>
          <w:p w14:paraId="3AE11FDA">
            <w:pPr>
              <w:rPr>
                <w:rFonts w:ascii="Times New Roman" w:hAnsi="Times New Roman" w:cs="Times New Roman"/>
                <w:sz w:val="20"/>
                <w:szCs w:val="20"/>
              </w:rPr>
            </w:pPr>
          </w:p>
        </w:tc>
      </w:tr>
      <w:tr w14:paraId="5D546A1A">
        <w:tblPrEx>
          <w:tblCellMar>
            <w:top w:w="0" w:type="dxa"/>
            <w:left w:w="0" w:type="dxa"/>
            <w:bottom w:w="0" w:type="dxa"/>
            <w:right w:w="0" w:type="dxa"/>
          </w:tblCellMar>
        </w:tblPrEx>
        <w:trPr>
          <w:wBefore w:w="0" w:type="auto"/>
          <w:tblCellSpacing w:w="0" w:type="dxa"/>
        </w:trPr>
        <w:tc>
          <w:tcPr>
            <w:tcW w:w="0" w:type="auto"/>
            <w:noWrap w:val="0"/>
            <w:vAlign w:val="center"/>
          </w:tcPr>
          <w:p w14:paraId="04C3B064">
            <w:r>
              <w:rPr>
                <w:rStyle w:val="10"/>
                <w:rFonts w:hint="eastAsia"/>
              </w:rPr>
              <w:t>使用技术要求:</w:t>
            </w:r>
            <w:r>
              <w:rPr>
                <w:rFonts w:hint="eastAsia"/>
              </w:rPr>
              <w:br w:type="textWrapping"/>
            </w:r>
            <w:r>
              <w:rPr>
                <w:rStyle w:val="11"/>
                <w:rFonts w:hint="eastAsia"/>
              </w:rPr>
              <w:t>1．在黄瓜细菌性角斑病发病前或发病初期施药，可施药3次，间隔7天左右。每季作物最多使用3次，安全间隔期为3天。2。大风天或预计1小时内降雨，请勿施药。</w:t>
            </w:r>
          </w:p>
        </w:tc>
      </w:tr>
      <w:tr w14:paraId="41DAD79A">
        <w:tblPrEx>
          <w:tblCellMar>
            <w:top w:w="0" w:type="dxa"/>
            <w:left w:w="0" w:type="dxa"/>
            <w:bottom w:w="0" w:type="dxa"/>
            <w:right w:w="0" w:type="dxa"/>
          </w:tblCellMar>
        </w:tblPrEx>
        <w:trPr>
          <w:wBefore w:w="0" w:type="auto"/>
          <w:tblCellSpacing w:w="0" w:type="dxa"/>
        </w:trPr>
        <w:tc>
          <w:tcPr>
            <w:tcW w:w="0" w:type="auto"/>
            <w:noWrap w:val="0"/>
            <w:vAlign w:val="center"/>
          </w:tcPr>
          <w:p w14:paraId="4EFC0069">
            <w:r>
              <w:rPr>
                <w:rStyle w:val="10"/>
                <w:rFonts w:hint="eastAsia"/>
              </w:rPr>
              <w:t>产品性能:</w:t>
            </w:r>
            <w:r>
              <w:rPr>
                <w:rFonts w:hint="eastAsia"/>
              </w:rPr>
              <w:br w:type="textWrapping"/>
            </w:r>
            <w:r>
              <w:rPr>
                <w:rStyle w:val="11"/>
                <w:rFonts w:hint="eastAsia"/>
              </w:rPr>
              <w:t>氨基寡糖素能激发植物体内基因，增强细胞壁对病原菌的抵抗力。喹啉铜属有机</w:t>
            </w:r>
            <w:r>
              <w:rPr>
                <w:rStyle w:val="11"/>
                <w:rFonts w:hint="eastAsia"/>
                <w:lang w:eastAsia="zh-CN"/>
              </w:rPr>
              <w:t>螯合</w:t>
            </w:r>
            <w:r>
              <w:rPr>
                <w:rStyle w:val="11"/>
                <w:rFonts w:hint="eastAsia"/>
              </w:rPr>
              <w:t>物，对真菌性、细菌性病害均具有良好的预防和治疗作用。喷施后在植物表面形成一层严密的保护药膜，与植物亲和力较强，耐雨水冲刷，可有效抑制病菌的萌发和侵入。</w:t>
            </w:r>
          </w:p>
        </w:tc>
      </w:tr>
      <w:tr w14:paraId="4775044F">
        <w:tblPrEx>
          <w:tblCellMar>
            <w:top w:w="0" w:type="dxa"/>
            <w:left w:w="0" w:type="dxa"/>
            <w:bottom w:w="0" w:type="dxa"/>
            <w:right w:w="0" w:type="dxa"/>
          </w:tblCellMar>
        </w:tblPrEx>
        <w:trPr>
          <w:wBefore w:w="0" w:type="auto"/>
          <w:tblCellSpacing w:w="0" w:type="dxa"/>
        </w:trPr>
        <w:tc>
          <w:tcPr>
            <w:tcW w:w="0" w:type="auto"/>
            <w:noWrap w:val="0"/>
            <w:vAlign w:val="center"/>
          </w:tcPr>
          <w:p w14:paraId="2089CF57">
            <w:r>
              <w:rPr>
                <w:rStyle w:val="10"/>
                <w:rFonts w:hint="eastAsia"/>
              </w:rPr>
              <w:t>注意事项：</w:t>
            </w:r>
            <w:r>
              <w:rPr>
                <w:rFonts w:hint="eastAsia"/>
              </w:rPr>
              <w:br w:type="textWrapping"/>
            </w:r>
            <w:r>
              <w:rPr>
                <w:rStyle w:val="11"/>
                <w:rFonts w:hint="eastAsia"/>
              </w:rPr>
              <w:t>1．避免与中等及强氧化剂或强碱性物质混用。2. 本品对眼睛有刺激性，使用时避免接触眼睛，穿戴长衣、长裤、帽子、口罩、手套等防护措施；施药时不能吃东西、吸烟、饮水等；施药后彻底清洗裸露部位。 3. 本品对鱼、大型溞和藻毒性高，水产养殖区、河塘等水体附近禁用；禁止在河塘等水体中清洗施药器具；清洗器具的废水不能排入河流、池塘等水源。4.用过的容器应妥善处理，不可做他用，也不可随意丢弃。 5.避免孕妇及哺乳期妇女接触本品。 6.（周围）开花植物花期禁用，施药期间应密切关注对附近蜂群的影响；桑园及蚕室附近禁用。</w:t>
            </w:r>
          </w:p>
        </w:tc>
      </w:tr>
      <w:tr w14:paraId="531634B6">
        <w:tblPrEx>
          <w:tblCellMar>
            <w:top w:w="0" w:type="dxa"/>
            <w:left w:w="0" w:type="dxa"/>
            <w:bottom w:w="0" w:type="dxa"/>
            <w:right w:w="0" w:type="dxa"/>
          </w:tblCellMar>
        </w:tblPrEx>
        <w:trPr>
          <w:wBefore w:w="0" w:type="auto"/>
          <w:tblCellSpacing w:w="0" w:type="dxa"/>
        </w:trPr>
        <w:tc>
          <w:tcPr>
            <w:tcW w:w="0" w:type="auto"/>
            <w:noWrap w:val="0"/>
            <w:vAlign w:val="center"/>
          </w:tcPr>
          <w:p w14:paraId="3639C49A">
            <w:r>
              <w:rPr>
                <w:rStyle w:val="10"/>
                <w:rFonts w:hint="eastAsia"/>
              </w:rPr>
              <w:t>中毒急救措施：</w:t>
            </w:r>
            <w:r>
              <w:rPr>
                <w:rFonts w:hint="eastAsia"/>
              </w:rPr>
              <w:br w:type="textWrapping"/>
            </w:r>
            <w:r>
              <w:rPr>
                <w:rStyle w:val="11"/>
                <w:rFonts w:hint="eastAsia"/>
              </w:rPr>
              <w:t>1. 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w:t>
            </w:r>
          </w:p>
        </w:tc>
      </w:tr>
      <w:tr w14:paraId="56A6BB25">
        <w:tblPrEx>
          <w:tblCellMar>
            <w:top w:w="0" w:type="dxa"/>
            <w:left w:w="0" w:type="dxa"/>
            <w:bottom w:w="0" w:type="dxa"/>
            <w:right w:w="0" w:type="dxa"/>
          </w:tblCellMar>
        </w:tblPrEx>
        <w:trPr>
          <w:wBefore w:w="0" w:type="auto"/>
          <w:tblCellSpacing w:w="0" w:type="dxa"/>
        </w:trPr>
        <w:tc>
          <w:tcPr>
            <w:tcW w:w="0" w:type="auto"/>
            <w:noWrap w:val="0"/>
            <w:vAlign w:val="center"/>
          </w:tcPr>
          <w:p w14:paraId="4BDF47E2">
            <w:r>
              <w:rPr>
                <w:rStyle w:val="10"/>
                <w:rFonts w:hint="eastAsia"/>
              </w:rPr>
              <w:t>储存和运输方法：</w:t>
            </w:r>
            <w:r>
              <w:rPr>
                <w:rFonts w:hint="eastAsia"/>
              </w:rPr>
              <w:br w:type="textWrapping"/>
            </w:r>
            <w:r>
              <w:rPr>
                <w:rStyle w:val="11"/>
                <w:rFonts w:hint="eastAsia"/>
              </w:rPr>
              <w:t>1. 本品应贮存在干燥、通风、阴凉、防雨处，远离火源或热源。 2. 本品应当置于儿童、无关人员及动物接触不到的地方，并加锁保存。 3. 不能与食品、饮料、粮食、饲料等混合储运。</w:t>
            </w:r>
          </w:p>
        </w:tc>
      </w:tr>
      <w:tr w14:paraId="64536367">
        <w:tblPrEx>
          <w:tblCellMar>
            <w:top w:w="0" w:type="dxa"/>
            <w:left w:w="0" w:type="dxa"/>
            <w:bottom w:w="0" w:type="dxa"/>
            <w:right w:w="0" w:type="dxa"/>
          </w:tblCellMar>
        </w:tblPrEx>
        <w:trPr>
          <w:wBefore w:w="0" w:type="auto"/>
          <w:tblCellSpacing w:w="0" w:type="dxa"/>
        </w:trPr>
        <w:tc>
          <w:tcPr>
            <w:tcW w:w="0" w:type="auto"/>
            <w:noWrap w:val="0"/>
            <w:vAlign w:val="center"/>
          </w:tcPr>
          <w:p w14:paraId="1729AFAC">
            <w:r>
              <w:rPr>
                <w:rStyle w:val="10"/>
                <w:rFonts w:hint="eastAsia"/>
              </w:rPr>
              <w:t>质量保证期：</w:t>
            </w:r>
            <w:r>
              <w:rPr>
                <w:rStyle w:val="11"/>
                <w:rFonts w:hint="eastAsia"/>
              </w:rPr>
              <w:t>2年</w:t>
            </w:r>
          </w:p>
        </w:tc>
      </w:tr>
      <w:tr w14:paraId="0DF0C66A">
        <w:tblPrEx>
          <w:tblCellMar>
            <w:top w:w="0" w:type="dxa"/>
            <w:left w:w="0" w:type="dxa"/>
            <w:bottom w:w="0" w:type="dxa"/>
            <w:right w:w="0" w:type="dxa"/>
          </w:tblCellMar>
        </w:tblPrEx>
        <w:trPr>
          <w:wBefore w:w="0" w:type="auto"/>
          <w:tblCellSpacing w:w="0" w:type="dxa"/>
        </w:trPr>
        <w:tc>
          <w:tcPr>
            <w:tcW w:w="0" w:type="auto"/>
            <w:noWrap w:val="0"/>
            <w:vAlign w:val="center"/>
          </w:tcPr>
          <w:p w14:paraId="584E3F4F">
            <w:r>
              <w:rPr>
                <w:rStyle w:val="10"/>
                <w:rFonts w:hint="eastAsia"/>
              </w:rPr>
              <w:t>备注：</w:t>
            </w:r>
          </w:p>
        </w:tc>
      </w:tr>
    </w:tbl>
    <w:p w14:paraId="46F68AB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41DEDFF">
        <w:tblPrEx>
          <w:tblCellMar>
            <w:top w:w="0" w:type="dxa"/>
            <w:left w:w="0" w:type="dxa"/>
            <w:bottom w:w="0" w:type="dxa"/>
            <w:right w:w="0" w:type="dxa"/>
          </w:tblCellMar>
        </w:tblPrEx>
        <w:trPr>
          <w:wBefore w:w="0" w:type="auto"/>
          <w:tblCellSpacing w:w="0" w:type="dxa"/>
        </w:trPr>
        <w:tc>
          <w:tcPr>
            <w:tcW w:w="0" w:type="auto"/>
            <w:noWrap w:val="0"/>
            <w:vAlign w:val="center"/>
          </w:tcPr>
          <w:p w14:paraId="10E99A22">
            <w:r>
              <w:rPr>
                <w:rStyle w:val="10"/>
                <w:rFonts w:hint="eastAsia"/>
              </w:rPr>
              <w:t>登记证号：</w:t>
            </w:r>
            <w:r>
              <w:rPr>
                <w:rFonts w:hint="eastAsia"/>
              </w:rPr>
              <w:t>PD20211737</w:t>
            </w:r>
          </w:p>
        </w:tc>
      </w:tr>
      <w:tr w14:paraId="49D64D96">
        <w:tblPrEx>
          <w:tblCellMar>
            <w:top w:w="0" w:type="dxa"/>
            <w:left w:w="0" w:type="dxa"/>
            <w:bottom w:w="0" w:type="dxa"/>
            <w:right w:w="0" w:type="dxa"/>
          </w:tblCellMar>
        </w:tblPrEx>
        <w:trPr>
          <w:wBefore w:w="0" w:type="auto"/>
          <w:tblCellSpacing w:w="0" w:type="dxa"/>
        </w:trPr>
        <w:tc>
          <w:tcPr>
            <w:tcW w:w="0" w:type="auto"/>
            <w:noWrap w:val="0"/>
            <w:vAlign w:val="center"/>
          </w:tcPr>
          <w:p w14:paraId="0A27F322">
            <w:r>
              <w:rPr>
                <w:rStyle w:val="10"/>
                <w:rFonts w:hint="eastAsia"/>
              </w:rPr>
              <w:t>登记证持有人：</w:t>
            </w:r>
            <w:r>
              <w:rPr>
                <w:rFonts w:hint="eastAsia"/>
              </w:rPr>
              <w:t>河北禾润生物科技有限公司</w:t>
            </w:r>
          </w:p>
        </w:tc>
      </w:tr>
      <w:tr w14:paraId="4F6A3706">
        <w:tblPrEx>
          <w:tblCellMar>
            <w:top w:w="0" w:type="dxa"/>
            <w:left w:w="0" w:type="dxa"/>
            <w:bottom w:w="0" w:type="dxa"/>
            <w:right w:w="0" w:type="dxa"/>
          </w:tblCellMar>
        </w:tblPrEx>
        <w:trPr>
          <w:wBefore w:w="0" w:type="auto"/>
          <w:tblCellSpacing w:w="0" w:type="dxa"/>
        </w:trPr>
        <w:tc>
          <w:tcPr>
            <w:tcW w:w="0" w:type="auto"/>
            <w:noWrap w:val="0"/>
            <w:vAlign w:val="center"/>
          </w:tcPr>
          <w:p w14:paraId="3A494A74">
            <w:r>
              <w:rPr>
                <w:rStyle w:val="10"/>
                <w:rFonts w:hint="eastAsia"/>
              </w:rPr>
              <w:t>农药名称：</w:t>
            </w:r>
            <w:r>
              <w:rPr>
                <w:rFonts w:hint="eastAsia"/>
              </w:rPr>
              <w:t>氯虫苯甲酰胺·茚虫威</w:t>
            </w:r>
          </w:p>
        </w:tc>
      </w:tr>
      <w:tr w14:paraId="78E3AAD9">
        <w:tblPrEx>
          <w:tblCellMar>
            <w:top w:w="0" w:type="dxa"/>
            <w:left w:w="0" w:type="dxa"/>
            <w:bottom w:w="0" w:type="dxa"/>
            <w:right w:w="0" w:type="dxa"/>
          </w:tblCellMar>
        </w:tblPrEx>
        <w:trPr>
          <w:wBefore w:w="0" w:type="auto"/>
          <w:tblCellSpacing w:w="0" w:type="dxa"/>
        </w:trPr>
        <w:tc>
          <w:tcPr>
            <w:tcW w:w="0" w:type="auto"/>
            <w:noWrap w:val="0"/>
            <w:vAlign w:val="center"/>
          </w:tcPr>
          <w:p w14:paraId="24173F22">
            <w:r>
              <w:rPr>
                <w:rStyle w:val="10"/>
                <w:rFonts w:hint="eastAsia"/>
              </w:rPr>
              <w:t>剂型：</w:t>
            </w:r>
            <w:r>
              <w:rPr>
                <w:rFonts w:hint="eastAsia"/>
              </w:rPr>
              <w:t>悬浮剂</w:t>
            </w:r>
          </w:p>
        </w:tc>
      </w:tr>
      <w:tr w14:paraId="369A65FC">
        <w:tblPrEx>
          <w:tblCellMar>
            <w:top w:w="0" w:type="dxa"/>
            <w:left w:w="0" w:type="dxa"/>
            <w:bottom w:w="0" w:type="dxa"/>
            <w:right w:w="0" w:type="dxa"/>
          </w:tblCellMar>
        </w:tblPrEx>
        <w:trPr>
          <w:wBefore w:w="0" w:type="auto"/>
          <w:tblCellSpacing w:w="0" w:type="dxa"/>
        </w:trPr>
        <w:tc>
          <w:tcPr>
            <w:tcW w:w="0" w:type="auto"/>
            <w:noWrap w:val="0"/>
            <w:vAlign w:val="center"/>
          </w:tcPr>
          <w:p w14:paraId="5E350540">
            <w:r>
              <w:rPr>
                <w:rStyle w:val="10"/>
                <w:rFonts w:hint="eastAsia"/>
              </w:rPr>
              <w:t>毒性及其标识：</w:t>
            </w:r>
            <w:r>
              <w:rPr>
                <w:rFonts w:hint="eastAsia"/>
              </w:rPr>
              <w:t xml:space="preserve"> </w:t>
            </w:r>
            <w:r>
              <w:rPr>
                <w:lang/>
              </w:rPr>
              <w:drawing>
                <wp:inline distT="0" distB="0" distL="114300" distR="114300">
                  <wp:extent cx="476250" cy="323850"/>
                  <wp:effectExtent l="0" t="0" r="0" b="0"/>
                  <wp:docPr id="408" name="图片 40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97A3AA9">
        <w:tblPrEx>
          <w:tblCellMar>
            <w:top w:w="0" w:type="dxa"/>
            <w:left w:w="0" w:type="dxa"/>
            <w:bottom w:w="0" w:type="dxa"/>
            <w:right w:w="0" w:type="dxa"/>
          </w:tblCellMar>
        </w:tblPrEx>
        <w:trPr>
          <w:wBefore w:w="0" w:type="auto"/>
          <w:tblCellSpacing w:w="0" w:type="dxa"/>
        </w:trPr>
        <w:tc>
          <w:tcPr>
            <w:tcW w:w="0" w:type="auto"/>
            <w:noWrap w:val="0"/>
            <w:vAlign w:val="center"/>
          </w:tcPr>
          <w:p w14:paraId="6FCB10C6">
            <w:r>
              <w:rPr>
                <w:rStyle w:val="10"/>
                <w:rFonts w:hint="eastAsia"/>
              </w:rPr>
              <w:t>总有效成分含量：</w:t>
            </w:r>
            <w:r>
              <w:rPr>
                <w:rFonts w:hint="eastAsia"/>
              </w:rPr>
              <w:t>25%</w:t>
            </w:r>
          </w:p>
        </w:tc>
      </w:tr>
      <w:tr w14:paraId="1F272D36">
        <w:tblPrEx>
          <w:tblCellMar>
            <w:top w:w="0" w:type="dxa"/>
            <w:left w:w="0" w:type="dxa"/>
            <w:bottom w:w="0" w:type="dxa"/>
            <w:right w:w="0" w:type="dxa"/>
          </w:tblCellMar>
        </w:tblPrEx>
        <w:trPr>
          <w:wBefore w:w="0" w:type="auto"/>
          <w:tblCellSpacing w:w="0" w:type="dxa"/>
        </w:trPr>
        <w:tc>
          <w:tcPr>
            <w:tcW w:w="0" w:type="auto"/>
            <w:noWrap w:val="0"/>
            <w:vAlign w:val="center"/>
          </w:tcPr>
          <w:p w14:paraId="516DD07F">
            <w:r>
              <w:rPr>
                <w:rFonts w:hint="eastAsia"/>
              </w:rPr>
              <w:t xml:space="preserve">有效成分及其含量： </w:t>
            </w:r>
          </w:p>
          <w:p w14:paraId="40A496C2">
            <w:r>
              <w:rPr>
                <w:rFonts w:hint="eastAsia"/>
              </w:rPr>
              <w:t xml:space="preserve">    氯虫苯甲酰胺12.5%    茚虫威12.5%    </w:t>
            </w:r>
          </w:p>
        </w:tc>
      </w:tr>
      <w:tr w14:paraId="6505610A">
        <w:tblPrEx>
          <w:tblCellMar>
            <w:top w:w="0" w:type="dxa"/>
            <w:left w:w="0" w:type="dxa"/>
            <w:bottom w:w="0" w:type="dxa"/>
            <w:right w:w="0" w:type="dxa"/>
          </w:tblCellMar>
        </w:tblPrEx>
        <w:trPr>
          <w:wBefore w:w="0" w:type="auto"/>
          <w:tblCellSpacing w:w="0" w:type="dxa"/>
        </w:trPr>
        <w:tc>
          <w:tcPr>
            <w:tcW w:w="0" w:type="auto"/>
            <w:noWrap w:val="0"/>
            <w:vAlign w:val="center"/>
          </w:tcPr>
          <w:p w14:paraId="36A2952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FB1F7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483022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57A26D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E3BCAE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09376FB">
                  <w:r>
                    <w:rPr>
                      <w:rStyle w:val="11"/>
                      <w:rFonts w:hint="eastAsia"/>
                    </w:rPr>
                    <w:t>施用方式</w:t>
                  </w:r>
                </w:p>
              </w:tc>
            </w:tr>
            <w:tr w14:paraId="0C480F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5A8D73">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46AEF1">
                  <w:r>
                    <w:rPr>
                      <w:rStyle w:val="11"/>
                      <w:rFonts w:hint="eastAsia"/>
                    </w:rPr>
                    <w:t>二化螟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7AFC84">
                  <w:r>
                    <w:rPr>
                      <w:rStyle w:val="11"/>
                      <w:rFonts w:hint="eastAsia"/>
                    </w:rPr>
                    <w:t>3-7毫升/亩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86FD27">
                  <w:r>
                    <w:rPr>
                      <w:rStyle w:val="11"/>
                      <w:rFonts w:hint="eastAsia"/>
                    </w:rPr>
                    <w:t>喷雾</w:t>
                  </w:r>
                </w:p>
              </w:tc>
            </w:tr>
            <w:tr w14:paraId="5B34A7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FEF1281">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EB4727">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2DC220">
                  <w:r>
                    <w:rPr>
                      <w:rStyle w:val="11"/>
                      <w:rFonts w:hint="eastAsia"/>
                    </w:rPr>
                    <w:t>4-8毫升/亩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CA0B81">
                  <w:r>
                    <w:rPr>
                      <w:rStyle w:val="11"/>
                      <w:rFonts w:hint="eastAsia"/>
                    </w:rPr>
                    <w:t>喷雾</w:t>
                  </w:r>
                </w:p>
              </w:tc>
            </w:tr>
          </w:tbl>
          <w:p w14:paraId="5B470B04">
            <w:pPr>
              <w:rPr>
                <w:rFonts w:ascii="Times New Roman" w:hAnsi="Times New Roman" w:cs="Times New Roman"/>
                <w:sz w:val="20"/>
                <w:szCs w:val="20"/>
              </w:rPr>
            </w:pPr>
          </w:p>
        </w:tc>
      </w:tr>
      <w:tr w14:paraId="1451D410">
        <w:tblPrEx>
          <w:tblCellMar>
            <w:top w:w="0" w:type="dxa"/>
            <w:left w:w="0" w:type="dxa"/>
            <w:bottom w:w="0" w:type="dxa"/>
            <w:right w:w="0" w:type="dxa"/>
          </w:tblCellMar>
        </w:tblPrEx>
        <w:trPr>
          <w:wBefore w:w="0" w:type="auto"/>
          <w:tblCellSpacing w:w="0" w:type="dxa"/>
        </w:trPr>
        <w:tc>
          <w:tcPr>
            <w:tcW w:w="0" w:type="auto"/>
            <w:noWrap w:val="0"/>
            <w:vAlign w:val="center"/>
          </w:tcPr>
          <w:p w14:paraId="760DD498">
            <w:r>
              <w:rPr>
                <w:rStyle w:val="10"/>
                <w:rFonts w:hint="eastAsia"/>
              </w:rPr>
              <w:t>使用技术要求:</w:t>
            </w:r>
            <w:r>
              <w:rPr>
                <w:rFonts w:hint="eastAsia"/>
              </w:rPr>
              <w:br w:type="textWrapping"/>
            </w:r>
            <w:r>
              <w:rPr>
                <w:rStyle w:val="11"/>
                <w:rFonts w:hint="eastAsia"/>
              </w:rPr>
              <w:t>1. 防治水稻二化螟，于卵孵盛期至低龄幼虫期喷雾施药1次。2. 防治甘蓝小菜蛾，于卵孵盛期至低龄幼虫期喷雾施药1次，每亩兑水40-50升。3.大风天或预计1小时内有雨，请勿施药。 4.在水稻上安全采收间隔期推荐28天，在甘蓝上安全间隔期推荐7天，每季最多使用1次；</w:t>
            </w:r>
          </w:p>
        </w:tc>
      </w:tr>
      <w:tr w14:paraId="172CD4DF">
        <w:tblPrEx>
          <w:tblCellMar>
            <w:top w:w="0" w:type="dxa"/>
            <w:left w:w="0" w:type="dxa"/>
            <w:bottom w:w="0" w:type="dxa"/>
            <w:right w:w="0" w:type="dxa"/>
          </w:tblCellMar>
        </w:tblPrEx>
        <w:trPr>
          <w:wBefore w:w="0" w:type="auto"/>
          <w:tblCellSpacing w:w="0" w:type="dxa"/>
        </w:trPr>
        <w:tc>
          <w:tcPr>
            <w:tcW w:w="0" w:type="auto"/>
            <w:noWrap w:val="0"/>
            <w:vAlign w:val="center"/>
          </w:tcPr>
          <w:p w14:paraId="341308DC">
            <w:r>
              <w:rPr>
                <w:rStyle w:val="10"/>
                <w:rFonts w:hint="eastAsia"/>
              </w:rPr>
              <w:t>产品性能:</w:t>
            </w:r>
            <w:r>
              <w:rPr>
                <w:rFonts w:hint="eastAsia"/>
              </w:rPr>
              <w:br w:type="textWrapping"/>
            </w:r>
            <w:r>
              <w:rPr>
                <w:rStyle w:val="11"/>
                <w:rFonts w:hint="eastAsia"/>
              </w:rPr>
              <w:t>氯虫苯甲酰胺为酰胺类新型内吸杀虫剂，胃毒为主，兼具触杀。害虫摄入后数分钟内即停止取食。茚虫威属噁二嗪类，通过干扰钠离子通道导致害虫中毒，随即麻痹直至僵死。以胃毒作用为主兼触杀活性，施药后害虫停止取食。照推荐的技术使用，可有效防治水稻二化螟、甘蓝，小菜蛾。</w:t>
            </w:r>
          </w:p>
        </w:tc>
      </w:tr>
      <w:tr w14:paraId="62AFC57D">
        <w:tblPrEx>
          <w:tblCellMar>
            <w:top w:w="0" w:type="dxa"/>
            <w:left w:w="0" w:type="dxa"/>
            <w:bottom w:w="0" w:type="dxa"/>
            <w:right w:w="0" w:type="dxa"/>
          </w:tblCellMar>
        </w:tblPrEx>
        <w:trPr>
          <w:wBefore w:w="0" w:type="auto"/>
          <w:tblCellSpacing w:w="0" w:type="dxa"/>
        </w:trPr>
        <w:tc>
          <w:tcPr>
            <w:tcW w:w="0" w:type="auto"/>
            <w:noWrap w:val="0"/>
            <w:vAlign w:val="center"/>
          </w:tcPr>
          <w:p w14:paraId="15C20508">
            <w:r>
              <w:rPr>
                <w:rStyle w:val="10"/>
                <w:rFonts w:hint="eastAsia"/>
              </w:rPr>
              <w:t>注意事项：</w:t>
            </w:r>
            <w:r>
              <w:rPr>
                <w:rFonts w:hint="eastAsia"/>
              </w:rPr>
              <w:br w:type="textWrapping"/>
            </w:r>
            <w:r>
              <w:rPr>
                <w:rStyle w:val="11"/>
                <w:rFonts w:hint="eastAsia"/>
              </w:rPr>
              <w:t>1. 本品对大型溞等水生生物、蜜蜂和家蚕有毒，远离水产养殖区、河塘等水域施药，鱼或虾蟹套养稻田禁用，施药后的田水不得直接排入水体；禁止在河塘等水域中清洗施药器具，避免污染水源；施药期间应密切关注对周围蜂群的影响，（周围）开花植物花期、蚕室和桑园附近禁用。2. 用过的的容器妥善处理，不可做他用，也不可随意丢弃。3. 使用时穿戴长衣、长裤、帽子、口罩、手套等防护措施。施药期间不可吃东西和饮水，施药后应及时洗手和洗脸。4. 本品不可与强酸、强碱性物质混用。5. 建议与其他作用机制不同的杀虫剂轮换使用以延缓产生抗性。6. 孕妇及哺乳期妇女应避免接触。</w:t>
            </w:r>
          </w:p>
        </w:tc>
      </w:tr>
      <w:tr w14:paraId="4FAFC7E2">
        <w:tblPrEx>
          <w:tblCellMar>
            <w:top w:w="0" w:type="dxa"/>
            <w:left w:w="0" w:type="dxa"/>
            <w:bottom w:w="0" w:type="dxa"/>
            <w:right w:w="0" w:type="dxa"/>
          </w:tblCellMar>
        </w:tblPrEx>
        <w:trPr>
          <w:wBefore w:w="0" w:type="auto"/>
          <w:tblCellSpacing w:w="0" w:type="dxa"/>
        </w:trPr>
        <w:tc>
          <w:tcPr>
            <w:tcW w:w="0" w:type="auto"/>
            <w:noWrap w:val="0"/>
            <w:vAlign w:val="center"/>
          </w:tcPr>
          <w:p w14:paraId="2DE2E2D1">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 皮肤接触：脱去污染的衣物，用软布去除沾染农药，立即用大量清水和肥皂冲洗。 眼睛溅入：立即用流动清水冲洗不少于15分钟。 吸入：立即离开施药现场，转移到空气清新处。 误食：立即停止使用，用清水充分漱口后，立即携带农药标签到医院就诊。 本品无特殊解毒剂，可对症治疗。</w:t>
            </w:r>
          </w:p>
        </w:tc>
      </w:tr>
      <w:tr w14:paraId="643BABA6">
        <w:tblPrEx>
          <w:tblCellMar>
            <w:top w:w="0" w:type="dxa"/>
            <w:left w:w="0" w:type="dxa"/>
            <w:bottom w:w="0" w:type="dxa"/>
            <w:right w:w="0" w:type="dxa"/>
          </w:tblCellMar>
        </w:tblPrEx>
        <w:trPr>
          <w:wBefore w:w="0" w:type="auto"/>
          <w:tblCellSpacing w:w="0" w:type="dxa"/>
        </w:trPr>
        <w:tc>
          <w:tcPr>
            <w:tcW w:w="0" w:type="auto"/>
            <w:noWrap w:val="0"/>
            <w:vAlign w:val="center"/>
          </w:tcPr>
          <w:p w14:paraId="0A95BFE0">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本品应贮存在干燥、阴凉、通风、防雨处，远离火源或热源。置于儿童、无关人员触及不到之处，并加锁。勿与食品、饮料、饲料、粮食等同贮同运。 </w:t>
            </w:r>
          </w:p>
        </w:tc>
      </w:tr>
      <w:tr w14:paraId="57DFF90D">
        <w:tblPrEx>
          <w:tblCellMar>
            <w:top w:w="0" w:type="dxa"/>
            <w:left w:w="0" w:type="dxa"/>
            <w:bottom w:w="0" w:type="dxa"/>
            <w:right w:w="0" w:type="dxa"/>
          </w:tblCellMar>
        </w:tblPrEx>
        <w:trPr>
          <w:wBefore w:w="0" w:type="auto"/>
          <w:tblCellSpacing w:w="0" w:type="dxa"/>
        </w:trPr>
        <w:tc>
          <w:tcPr>
            <w:tcW w:w="0" w:type="auto"/>
            <w:noWrap w:val="0"/>
            <w:vAlign w:val="center"/>
          </w:tcPr>
          <w:p w14:paraId="4A325C84">
            <w:r>
              <w:rPr>
                <w:rStyle w:val="10"/>
                <w:rFonts w:hint="eastAsia"/>
              </w:rPr>
              <w:t>质量保证期：</w:t>
            </w:r>
            <w:r>
              <w:rPr>
                <w:rStyle w:val="11"/>
                <w:rFonts w:hint="eastAsia"/>
              </w:rPr>
              <w:t>2年</w:t>
            </w:r>
          </w:p>
        </w:tc>
      </w:tr>
      <w:tr w14:paraId="68C0D9E7">
        <w:tblPrEx>
          <w:tblCellMar>
            <w:top w:w="0" w:type="dxa"/>
            <w:left w:w="0" w:type="dxa"/>
            <w:bottom w:w="0" w:type="dxa"/>
            <w:right w:w="0" w:type="dxa"/>
          </w:tblCellMar>
        </w:tblPrEx>
        <w:trPr>
          <w:wBefore w:w="0" w:type="auto"/>
          <w:tblCellSpacing w:w="0" w:type="dxa"/>
        </w:trPr>
        <w:tc>
          <w:tcPr>
            <w:tcW w:w="0" w:type="auto"/>
            <w:noWrap w:val="0"/>
            <w:vAlign w:val="center"/>
          </w:tcPr>
          <w:p w14:paraId="4FFE322C">
            <w:r>
              <w:rPr>
                <w:rStyle w:val="10"/>
                <w:rFonts w:hint="eastAsia"/>
              </w:rPr>
              <w:t>备注：</w:t>
            </w:r>
          </w:p>
        </w:tc>
      </w:tr>
    </w:tbl>
    <w:p w14:paraId="63D4498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4E39F9E">
        <w:tblPrEx>
          <w:tblCellMar>
            <w:top w:w="0" w:type="dxa"/>
            <w:left w:w="0" w:type="dxa"/>
            <w:bottom w:w="0" w:type="dxa"/>
            <w:right w:w="0" w:type="dxa"/>
          </w:tblCellMar>
        </w:tblPrEx>
        <w:trPr>
          <w:wBefore w:w="0" w:type="auto"/>
          <w:tblCellSpacing w:w="0" w:type="dxa"/>
        </w:trPr>
        <w:tc>
          <w:tcPr>
            <w:tcW w:w="0" w:type="auto"/>
            <w:noWrap w:val="0"/>
            <w:vAlign w:val="center"/>
          </w:tcPr>
          <w:p w14:paraId="1C90D62C">
            <w:r>
              <w:rPr>
                <w:rStyle w:val="10"/>
                <w:rFonts w:hint="eastAsia"/>
              </w:rPr>
              <w:t>登记证号：</w:t>
            </w:r>
            <w:r>
              <w:rPr>
                <w:rFonts w:hint="eastAsia"/>
              </w:rPr>
              <w:t>PD20212276</w:t>
            </w:r>
          </w:p>
        </w:tc>
      </w:tr>
      <w:tr w14:paraId="53203D58">
        <w:tblPrEx>
          <w:tblCellMar>
            <w:top w:w="0" w:type="dxa"/>
            <w:left w:w="0" w:type="dxa"/>
            <w:bottom w:w="0" w:type="dxa"/>
            <w:right w:w="0" w:type="dxa"/>
          </w:tblCellMar>
        </w:tblPrEx>
        <w:trPr>
          <w:wBefore w:w="0" w:type="auto"/>
          <w:tblCellSpacing w:w="0" w:type="dxa"/>
        </w:trPr>
        <w:tc>
          <w:tcPr>
            <w:tcW w:w="0" w:type="auto"/>
            <w:noWrap w:val="0"/>
            <w:vAlign w:val="center"/>
          </w:tcPr>
          <w:p w14:paraId="69FE8B51">
            <w:r>
              <w:rPr>
                <w:rStyle w:val="10"/>
                <w:rFonts w:hint="eastAsia"/>
              </w:rPr>
              <w:t>登记证持有人：</w:t>
            </w:r>
            <w:r>
              <w:rPr>
                <w:rFonts w:hint="eastAsia"/>
              </w:rPr>
              <w:t>山东绿邦作物科学股份有限公司</w:t>
            </w:r>
          </w:p>
        </w:tc>
      </w:tr>
      <w:tr w14:paraId="271E8185">
        <w:tblPrEx>
          <w:tblCellMar>
            <w:top w:w="0" w:type="dxa"/>
            <w:left w:w="0" w:type="dxa"/>
            <w:bottom w:w="0" w:type="dxa"/>
            <w:right w:w="0" w:type="dxa"/>
          </w:tblCellMar>
        </w:tblPrEx>
        <w:trPr>
          <w:wBefore w:w="0" w:type="auto"/>
          <w:tblCellSpacing w:w="0" w:type="dxa"/>
        </w:trPr>
        <w:tc>
          <w:tcPr>
            <w:tcW w:w="0" w:type="auto"/>
            <w:noWrap w:val="0"/>
            <w:vAlign w:val="center"/>
          </w:tcPr>
          <w:p w14:paraId="7AB44FA8">
            <w:r>
              <w:rPr>
                <w:rStyle w:val="10"/>
                <w:rFonts w:hint="eastAsia"/>
              </w:rPr>
              <w:t>农药名称：</w:t>
            </w:r>
            <w:r>
              <w:rPr>
                <w:rFonts w:hint="eastAsia"/>
              </w:rPr>
              <w:t>乙·嗪·滴辛酯</w:t>
            </w:r>
          </w:p>
        </w:tc>
      </w:tr>
      <w:tr w14:paraId="5B1376CB">
        <w:tblPrEx>
          <w:tblCellMar>
            <w:top w:w="0" w:type="dxa"/>
            <w:left w:w="0" w:type="dxa"/>
            <w:bottom w:w="0" w:type="dxa"/>
            <w:right w:w="0" w:type="dxa"/>
          </w:tblCellMar>
        </w:tblPrEx>
        <w:trPr>
          <w:wBefore w:w="0" w:type="auto"/>
          <w:tblCellSpacing w:w="0" w:type="dxa"/>
        </w:trPr>
        <w:tc>
          <w:tcPr>
            <w:tcW w:w="0" w:type="auto"/>
            <w:noWrap w:val="0"/>
            <w:vAlign w:val="center"/>
          </w:tcPr>
          <w:p w14:paraId="02583E56">
            <w:r>
              <w:rPr>
                <w:rStyle w:val="10"/>
                <w:rFonts w:hint="eastAsia"/>
              </w:rPr>
              <w:t>剂型：</w:t>
            </w:r>
            <w:r>
              <w:rPr>
                <w:rFonts w:hint="eastAsia"/>
              </w:rPr>
              <w:t>乳油</w:t>
            </w:r>
          </w:p>
        </w:tc>
      </w:tr>
      <w:tr w14:paraId="755EB323">
        <w:tblPrEx>
          <w:tblCellMar>
            <w:top w:w="0" w:type="dxa"/>
            <w:left w:w="0" w:type="dxa"/>
            <w:bottom w:w="0" w:type="dxa"/>
            <w:right w:w="0" w:type="dxa"/>
          </w:tblCellMar>
        </w:tblPrEx>
        <w:trPr>
          <w:wBefore w:w="0" w:type="auto"/>
          <w:tblCellSpacing w:w="0" w:type="dxa"/>
        </w:trPr>
        <w:tc>
          <w:tcPr>
            <w:tcW w:w="0" w:type="auto"/>
            <w:noWrap w:val="0"/>
            <w:vAlign w:val="center"/>
          </w:tcPr>
          <w:p w14:paraId="2F046477">
            <w:r>
              <w:rPr>
                <w:rStyle w:val="10"/>
                <w:rFonts w:hint="eastAsia"/>
              </w:rPr>
              <w:t>毒性及其标识：</w:t>
            </w:r>
            <w:r>
              <w:rPr>
                <w:rFonts w:hint="eastAsia"/>
              </w:rPr>
              <w:t xml:space="preserve"> </w:t>
            </w:r>
            <w:r>
              <w:rPr>
                <w:lang/>
              </w:rPr>
              <w:drawing>
                <wp:inline distT="0" distB="0" distL="114300" distR="114300">
                  <wp:extent cx="476250" cy="323850"/>
                  <wp:effectExtent l="0" t="0" r="0" b="0"/>
                  <wp:docPr id="409" name="图片 40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DC3BE2B">
        <w:tblPrEx>
          <w:tblCellMar>
            <w:top w:w="0" w:type="dxa"/>
            <w:left w:w="0" w:type="dxa"/>
            <w:bottom w:w="0" w:type="dxa"/>
            <w:right w:w="0" w:type="dxa"/>
          </w:tblCellMar>
        </w:tblPrEx>
        <w:trPr>
          <w:wBefore w:w="0" w:type="auto"/>
          <w:tblCellSpacing w:w="0" w:type="dxa"/>
        </w:trPr>
        <w:tc>
          <w:tcPr>
            <w:tcW w:w="0" w:type="auto"/>
            <w:noWrap w:val="0"/>
            <w:vAlign w:val="center"/>
          </w:tcPr>
          <w:p w14:paraId="73342DB5">
            <w:r>
              <w:rPr>
                <w:rStyle w:val="10"/>
                <w:rFonts w:hint="eastAsia"/>
              </w:rPr>
              <w:t>总有效成分含量：</w:t>
            </w:r>
            <w:r>
              <w:rPr>
                <w:rFonts w:hint="eastAsia"/>
              </w:rPr>
              <w:t>70%</w:t>
            </w:r>
          </w:p>
        </w:tc>
      </w:tr>
      <w:tr w14:paraId="0516D018">
        <w:tblPrEx>
          <w:tblCellMar>
            <w:top w:w="0" w:type="dxa"/>
            <w:left w:w="0" w:type="dxa"/>
            <w:bottom w:w="0" w:type="dxa"/>
            <w:right w:w="0" w:type="dxa"/>
          </w:tblCellMar>
        </w:tblPrEx>
        <w:trPr>
          <w:wBefore w:w="0" w:type="auto"/>
          <w:tblCellSpacing w:w="0" w:type="dxa"/>
        </w:trPr>
        <w:tc>
          <w:tcPr>
            <w:tcW w:w="0" w:type="auto"/>
            <w:noWrap w:val="0"/>
            <w:vAlign w:val="center"/>
          </w:tcPr>
          <w:p w14:paraId="62BCC62B">
            <w:r>
              <w:rPr>
                <w:rFonts w:hint="eastAsia"/>
              </w:rPr>
              <w:t xml:space="preserve">有效成分及其含量： </w:t>
            </w:r>
          </w:p>
          <w:p w14:paraId="43FCC797">
            <w:r>
              <w:rPr>
                <w:rFonts w:hint="eastAsia"/>
              </w:rPr>
              <w:t xml:space="preserve">    乙草胺44%    嗪草酮5%    2,4-滴异辛酯21%    </w:t>
            </w:r>
          </w:p>
        </w:tc>
      </w:tr>
      <w:tr w14:paraId="127765B5">
        <w:tblPrEx>
          <w:tblCellMar>
            <w:top w:w="0" w:type="dxa"/>
            <w:left w:w="0" w:type="dxa"/>
            <w:bottom w:w="0" w:type="dxa"/>
            <w:right w:w="0" w:type="dxa"/>
          </w:tblCellMar>
        </w:tblPrEx>
        <w:trPr>
          <w:wBefore w:w="0" w:type="auto"/>
          <w:tblCellSpacing w:w="0" w:type="dxa"/>
        </w:trPr>
        <w:tc>
          <w:tcPr>
            <w:tcW w:w="0" w:type="auto"/>
            <w:noWrap w:val="0"/>
            <w:vAlign w:val="center"/>
          </w:tcPr>
          <w:p w14:paraId="15DCC6C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D5DC0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BD258A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7B3E19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D6A382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0745A8D">
                  <w:r>
                    <w:rPr>
                      <w:rStyle w:val="11"/>
                      <w:rFonts w:hint="eastAsia"/>
                    </w:rPr>
                    <w:t>施用方式</w:t>
                  </w:r>
                </w:p>
              </w:tc>
            </w:tr>
            <w:tr w14:paraId="58D1A0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310BACD">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FB72A4">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143788">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7A3DCB">
                  <w:r>
                    <w:rPr>
                      <w:rStyle w:val="11"/>
                      <w:rFonts w:hint="eastAsia"/>
                    </w:rPr>
                    <w:t>土壤喷雾</w:t>
                  </w:r>
                </w:p>
              </w:tc>
            </w:tr>
          </w:tbl>
          <w:p w14:paraId="7FCBA7EB">
            <w:pPr>
              <w:rPr>
                <w:rFonts w:ascii="Times New Roman" w:hAnsi="Times New Roman" w:cs="Times New Roman"/>
                <w:sz w:val="20"/>
                <w:szCs w:val="20"/>
              </w:rPr>
            </w:pPr>
          </w:p>
        </w:tc>
      </w:tr>
      <w:tr w14:paraId="640BEFCC">
        <w:tblPrEx>
          <w:tblCellMar>
            <w:top w:w="0" w:type="dxa"/>
            <w:left w:w="0" w:type="dxa"/>
            <w:bottom w:w="0" w:type="dxa"/>
            <w:right w:w="0" w:type="dxa"/>
          </w:tblCellMar>
        </w:tblPrEx>
        <w:trPr>
          <w:wBefore w:w="0" w:type="auto"/>
          <w:tblCellSpacing w:w="0" w:type="dxa"/>
        </w:trPr>
        <w:tc>
          <w:tcPr>
            <w:tcW w:w="0" w:type="auto"/>
            <w:noWrap w:val="0"/>
            <w:vAlign w:val="center"/>
          </w:tcPr>
          <w:p w14:paraId="226C58C5">
            <w:r>
              <w:rPr>
                <w:rStyle w:val="10"/>
                <w:rFonts w:hint="eastAsia"/>
              </w:rPr>
              <w:t>使用技术要求:</w:t>
            </w:r>
            <w:r>
              <w:rPr>
                <w:rFonts w:hint="eastAsia"/>
              </w:rPr>
              <w:br w:type="textWrapping"/>
            </w:r>
            <w:r>
              <w:rPr>
                <w:rStyle w:val="11"/>
                <w:rFonts w:hint="eastAsia"/>
              </w:rPr>
              <w:t>1、在春玉米播后苗前土壤喷雾施药一次。2、选择无风天气，将亩用药量溶于30-40升水中，于作物播后苗前土壤均匀喷雾。3、本品每季作物最多使用一次。</w:t>
            </w:r>
          </w:p>
        </w:tc>
      </w:tr>
      <w:tr w14:paraId="1DA3F4A2">
        <w:tblPrEx>
          <w:tblCellMar>
            <w:top w:w="0" w:type="dxa"/>
            <w:left w:w="0" w:type="dxa"/>
            <w:bottom w:w="0" w:type="dxa"/>
            <w:right w:w="0" w:type="dxa"/>
          </w:tblCellMar>
        </w:tblPrEx>
        <w:trPr>
          <w:wBefore w:w="0" w:type="auto"/>
          <w:tblCellSpacing w:w="0" w:type="dxa"/>
        </w:trPr>
        <w:tc>
          <w:tcPr>
            <w:tcW w:w="0" w:type="auto"/>
            <w:noWrap w:val="0"/>
            <w:vAlign w:val="center"/>
          </w:tcPr>
          <w:p w14:paraId="55D506DE">
            <w:r>
              <w:rPr>
                <w:rStyle w:val="10"/>
                <w:rFonts w:hint="eastAsia"/>
              </w:rPr>
              <w:t>产品性能:</w:t>
            </w:r>
            <w:r>
              <w:rPr>
                <w:rFonts w:hint="eastAsia"/>
              </w:rPr>
              <w:br w:type="textWrapping"/>
            </w:r>
            <w:r>
              <w:rPr>
                <w:rStyle w:val="11"/>
                <w:rFonts w:hint="eastAsia"/>
              </w:rPr>
              <w:t>本品为春玉米田苗前除草剂，由2,4-滴异辛酯、嗪草酮和乙草胺三元混配而成，主要用于土壤喷雾处理，有效成分在植物体内干扰核酸代谢及蛋白质合成，使幼根、幼芽停止生长，能有效防除稗草、狗尾草、野燕麦、看麦娘、马唐、早熟禾、牛筋草、藜、蓼、苋、龙葵、马齿苋、繁缕、香薷、鬼针草、水棘针、苍耳、鸭跖草、风花菜、猪毛菜、律草、苣荬菜、问荆、小蓟、地肤、肠草、萹蓄、茼麻等多种一年生杂草。</w:t>
            </w:r>
          </w:p>
        </w:tc>
      </w:tr>
      <w:tr w14:paraId="4DDC5B0C">
        <w:tblPrEx>
          <w:tblCellMar>
            <w:top w:w="0" w:type="dxa"/>
            <w:left w:w="0" w:type="dxa"/>
            <w:bottom w:w="0" w:type="dxa"/>
            <w:right w:w="0" w:type="dxa"/>
          </w:tblCellMar>
        </w:tblPrEx>
        <w:trPr>
          <w:wBefore w:w="0" w:type="auto"/>
          <w:tblCellSpacing w:w="0" w:type="dxa"/>
        </w:trPr>
        <w:tc>
          <w:tcPr>
            <w:tcW w:w="0" w:type="auto"/>
            <w:noWrap w:val="0"/>
            <w:vAlign w:val="center"/>
          </w:tcPr>
          <w:p w14:paraId="1F1E2E8C">
            <w:r>
              <w:rPr>
                <w:rStyle w:val="10"/>
                <w:rFonts w:hint="eastAsia"/>
              </w:rPr>
              <w:t>注意事项：</w:t>
            </w:r>
            <w:r>
              <w:rPr>
                <w:rFonts w:hint="eastAsia"/>
              </w:rPr>
              <w:br w:type="textWrapping"/>
            </w:r>
            <w:r>
              <w:rPr>
                <w:rStyle w:val="11"/>
                <w:rFonts w:hint="eastAsia"/>
              </w:rPr>
              <w:t>1、本品不可与呈碱性的农药等物质混和使用，以免降低除草剂除草效果。2、甜玉米、爆裂型玉米禁用。3.该药挥发性强，施药作物田要与敏感作物如棉花、油菜、瓜类、向日葵有一定距离。黄瓜、水稻、菠菜、小麦、韭菜、谷子、高粱不宜用该药，水稻秧田绝对不能用。4、应在无风或微风（风力不大于2级）、气温15-28℃的晴天压低喷头减压均匀喷雾。应严格按照推荐剂量，采用标准喷雾器施药，禁止用弥雾机或超低量喷雾。使用时注意风向。5、本品对眼睛有轻度刺激性，使用本品时应穿防护服、戴口罩、手套和护目镜等防护用具，避免吸入药液。6、孕妇和哺乳期的妇女避免接触药物。7、本品对鱼类有毒，远离水产养殖区及沙塘等水体施药，禁止在河塘等水体中清洗施药器具，用过的容器应妥善处理，不可做他用，也不可随意丢弃8、鸟类保护区附近、赤眼蜂等天敌放飞区禁用。</w:t>
            </w:r>
          </w:p>
        </w:tc>
      </w:tr>
      <w:tr w14:paraId="76CC1EA0">
        <w:tblPrEx>
          <w:tblCellMar>
            <w:top w:w="0" w:type="dxa"/>
            <w:left w:w="0" w:type="dxa"/>
            <w:bottom w:w="0" w:type="dxa"/>
            <w:right w:w="0" w:type="dxa"/>
          </w:tblCellMar>
        </w:tblPrEx>
        <w:trPr>
          <w:wBefore w:w="0" w:type="auto"/>
          <w:tblCellSpacing w:w="0" w:type="dxa"/>
        </w:trPr>
        <w:tc>
          <w:tcPr>
            <w:tcW w:w="0" w:type="auto"/>
            <w:noWrap w:val="0"/>
            <w:vAlign w:val="center"/>
          </w:tcPr>
          <w:p w14:paraId="482AF797">
            <w:r>
              <w:rPr>
                <w:rStyle w:val="10"/>
                <w:rFonts w:hint="eastAsia"/>
              </w:rPr>
              <w:t>中毒急救措施：</w:t>
            </w:r>
            <w:r>
              <w:rPr>
                <w:rFonts w:hint="eastAsia"/>
              </w:rPr>
              <w:br w:type="textWrapping"/>
            </w:r>
            <w:r>
              <w:rPr>
                <w:rStyle w:val="11"/>
                <w:rFonts w:hint="eastAsia"/>
              </w:rPr>
              <w:t>中毒症状： 对呼吸道有中度刺激作用，有轻微的呕吐与腹泻。消化道症状，严重时对肝、肾损伤。皮肤接触：立即用流动的清水和肥皂清洗，并彻冲洗干净,必要时请医生诊治。眼睛接触：应用流动清水冲洗至少15分钟，仍有不适时，就医。发生吸入：立即将吸入者转移到空气新鲜处，保持呼吸道通畅，如有症状求教医生。误服：在病人清醒状态下，可用吐根糖浆诱吐，尚无特效解毒剂。</w:t>
            </w:r>
          </w:p>
        </w:tc>
      </w:tr>
      <w:tr w14:paraId="4772798E">
        <w:tblPrEx>
          <w:tblCellMar>
            <w:top w:w="0" w:type="dxa"/>
            <w:left w:w="0" w:type="dxa"/>
            <w:bottom w:w="0" w:type="dxa"/>
            <w:right w:w="0" w:type="dxa"/>
          </w:tblCellMar>
        </w:tblPrEx>
        <w:trPr>
          <w:wBefore w:w="0" w:type="auto"/>
          <w:tblCellSpacing w:w="0" w:type="dxa"/>
        </w:trPr>
        <w:tc>
          <w:tcPr>
            <w:tcW w:w="0" w:type="auto"/>
            <w:noWrap w:val="0"/>
            <w:vAlign w:val="center"/>
          </w:tcPr>
          <w:p w14:paraId="5C373551">
            <w:r>
              <w:rPr>
                <w:rStyle w:val="10"/>
                <w:rFonts w:hint="eastAsia"/>
              </w:rPr>
              <w:t>储存和运输方法：</w:t>
            </w:r>
            <w:r>
              <w:rPr>
                <w:rFonts w:hint="eastAsia"/>
              </w:rPr>
              <w:br w:type="textWrapping"/>
            </w:r>
            <w:r>
              <w:rPr>
                <w:rStyle w:val="11"/>
                <w:rFonts w:hint="eastAsia"/>
              </w:rPr>
              <w:t>本品应储存在干燥、阴凉、通风、防雨处，远离火源或热源，置于儿童触及不到的地方，并加锁。装卸、运输过程中，需专门车辆运输，轻拿轻放，确保包装不泄露、不损坏。不能与食品、饮料、粮食、饲料等混合储存。</w:t>
            </w:r>
          </w:p>
        </w:tc>
      </w:tr>
      <w:tr w14:paraId="34BF9D2D">
        <w:tblPrEx>
          <w:tblCellMar>
            <w:top w:w="0" w:type="dxa"/>
            <w:left w:w="0" w:type="dxa"/>
            <w:bottom w:w="0" w:type="dxa"/>
            <w:right w:w="0" w:type="dxa"/>
          </w:tblCellMar>
        </w:tblPrEx>
        <w:trPr>
          <w:wBefore w:w="0" w:type="auto"/>
          <w:tblCellSpacing w:w="0" w:type="dxa"/>
        </w:trPr>
        <w:tc>
          <w:tcPr>
            <w:tcW w:w="0" w:type="auto"/>
            <w:noWrap w:val="0"/>
            <w:vAlign w:val="center"/>
          </w:tcPr>
          <w:p w14:paraId="4C648081">
            <w:r>
              <w:rPr>
                <w:rStyle w:val="10"/>
                <w:rFonts w:hint="eastAsia"/>
              </w:rPr>
              <w:t>质量保证期：</w:t>
            </w:r>
            <w:r>
              <w:rPr>
                <w:rStyle w:val="11"/>
                <w:rFonts w:hint="eastAsia"/>
              </w:rPr>
              <w:t>2年</w:t>
            </w:r>
          </w:p>
        </w:tc>
      </w:tr>
      <w:tr w14:paraId="15CBEF91">
        <w:tblPrEx>
          <w:tblCellMar>
            <w:top w:w="0" w:type="dxa"/>
            <w:left w:w="0" w:type="dxa"/>
            <w:bottom w:w="0" w:type="dxa"/>
            <w:right w:w="0" w:type="dxa"/>
          </w:tblCellMar>
        </w:tblPrEx>
        <w:trPr>
          <w:wBefore w:w="0" w:type="auto"/>
          <w:tblCellSpacing w:w="0" w:type="dxa"/>
        </w:trPr>
        <w:tc>
          <w:tcPr>
            <w:tcW w:w="0" w:type="auto"/>
            <w:noWrap w:val="0"/>
            <w:vAlign w:val="center"/>
          </w:tcPr>
          <w:p w14:paraId="452DE981">
            <w:r>
              <w:rPr>
                <w:rStyle w:val="10"/>
                <w:rFonts w:hint="eastAsia"/>
              </w:rPr>
              <w:t>备注：</w:t>
            </w:r>
          </w:p>
        </w:tc>
      </w:tr>
    </w:tbl>
    <w:p w14:paraId="266EF4C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E61EBA5">
        <w:tblPrEx>
          <w:tblCellMar>
            <w:top w:w="0" w:type="dxa"/>
            <w:left w:w="0" w:type="dxa"/>
            <w:bottom w:w="0" w:type="dxa"/>
            <w:right w:w="0" w:type="dxa"/>
          </w:tblCellMar>
        </w:tblPrEx>
        <w:trPr>
          <w:wBefore w:w="0" w:type="auto"/>
          <w:tblCellSpacing w:w="0" w:type="dxa"/>
        </w:trPr>
        <w:tc>
          <w:tcPr>
            <w:tcW w:w="0" w:type="auto"/>
            <w:noWrap w:val="0"/>
            <w:vAlign w:val="center"/>
          </w:tcPr>
          <w:p w14:paraId="58B88DA7">
            <w:r>
              <w:rPr>
                <w:rStyle w:val="10"/>
                <w:rFonts w:hint="eastAsia"/>
              </w:rPr>
              <w:t>登记证号：</w:t>
            </w:r>
            <w:r>
              <w:rPr>
                <w:rFonts w:hint="eastAsia"/>
              </w:rPr>
              <w:t>PD20212150</w:t>
            </w:r>
          </w:p>
        </w:tc>
      </w:tr>
      <w:tr w14:paraId="3A8112F4">
        <w:tblPrEx>
          <w:tblCellMar>
            <w:top w:w="0" w:type="dxa"/>
            <w:left w:w="0" w:type="dxa"/>
            <w:bottom w:w="0" w:type="dxa"/>
            <w:right w:w="0" w:type="dxa"/>
          </w:tblCellMar>
        </w:tblPrEx>
        <w:trPr>
          <w:wBefore w:w="0" w:type="auto"/>
          <w:tblCellSpacing w:w="0" w:type="dxa"/>
        </w:trPr>
        <w:tc>
          <w:tcPr>
            <w:tcW w:w="0" w:type="auto"/>
            <w:noWrap w:val="0"/>
            <w:vAlign w:val="center"/>
          </w:tcPr>
          <w:p w14:paraId="047433ED">
            <w:r>
              <w:rPr>
                <w:rStyle w:val="10"/>
                <w:rFonts w:hint="eastAsia"/>
              </w:rPr>
              <w:t>登记证持有人：</w:t>
            </w:r>
            <w:r>
              <w:rPr>
                <w:rFonts w:hint="eastAsia"/>
              </w:rPr>
              <w:t>江苏华农生物化学有限公司</w:t>
            </w:r>
          </w:p>
        </w:tc>
      </w:tr>
      <w:tr w14:paraId="7E80D138">
        <w:tblPrEx>
          <w:tblCellMar>
            <w:top w:w="0" w:type="dxa"/>
            <w:left w:w="0" w:type="dxa"/>
            <w:bottom w:w="0" w:type="dxa"/>
            <w:right w:w="0" w:type="dxa"/>
          </w:tblCellMar>
        </w:tblPrEx>
        <w:trPr>
          <w:wBefore w:w="0" w:type="auto"/>
          <w:tblCellSpacing w:w="0" w:type="dxa"/>
        </w:trPr>
        <w:tc>
          <w:tcPr>
            <w:tcW w:w="0" w:type="auto"/>
            <w:noWrap w:val="0"/>
            <w:vAlign w:val="center"/>
          </w:tcPr>
          <w:p w14:paraId="2FC51BF4">
            <w:r>
              <w:rPr>
                <w:rStyle w:val="10"/>
                <w:rFonts w:hint="eastAsia"/>
              </w:rPr>
              <w:t>农药名称：</w:t>
            </w:r>
            <w:r>
              <w:rPr>
                <w:rFonts w:hint="eastAsia"/>
              </w:rPr>
              <w:t>唑啉草酯</w:t>
            </w:r>
          </w:p>
        </w:tc>
      </w:tr>
      <w:tr w14:paraId="32D1763D">
        <w:tblPrEx>
          <w:tblCellMar>
            <w:top w:w="0" w:type="dxa"/>
            <w:left w:w="0" w:type="dxa"/>
            <w:bottom w:w="0" w:type="dxa"/>
            <w:right w:w="0" w:type="dxa"/>
          </w:tblCellMar>
        </w:tblPrEx>
        <w:trPr>
          <w:wBefore w:w="0" w:type="auto"/>
          <w:tblCellSpacing w:w="0" w:type="dxa"/>
        </w:trPr>
        <w:tc>
          <w:tcPr>
            <w:tcW w:w="0" w:type="auto"/>
            <w:noWrap w:val="0"/>
            <w:vAlign w:val="center"/>
          </w:tcPr>
          <w:p w14:paraId="323A311F">
            <w:r>
              <w:rPr>
                <w:rStyle w:val="10"/>
                <w:rFonts w:hint="eastAsia"/>
              </w:rPr>
              <w:t>剂型：</w:t>
            </w:r>
            <w:r>
              <w:rPr>
                <w:rFonts w:hint="eastAsia"/>
              </w:rPr>
              <w:t>乳油</w:t>
            </w:r>
          </w:p>
        </w:tc>
      </w:tr>
      <w:tr w14:paraId="460678CC">
        <w:tblPrEx>
          <w:tblCellMar>
            <w:top w:w="0" w:type="dxa"/>
            <w:left w:w="0" w:type="dxa"/>
            <w:bottom w:w="0" w:type="dxa"/>
            <w:right w:w="0" w:type="dxa"/>
          </w:tblCellMar>
        </w:tblPrEx>
        <w:trPr>
          <w:wBefore w:w="0" w:type="auto"/>
          <w:tblCellSpacing w:w="0" w:type="dxa"/>
        </w:trPr>
        <w:tc>
          <w:tcPr>
            <w:tcW w:w="0" w:type="auto"/>
            <w:noWrap w:val="0"/>
            <w:vAlign w:val="center"/>
          </w:tcPr>
          <w:p w14:paraId="2D318FEB">
            <w:r>
              <w:rPr>
                <w:rStyle w:val="10"/>
                <w:rFonts w:hint="eastAsia"/>
              </w:rPr>
              <w:t>毒性及其标识：</w:t>
            </w:r>
            <w:r>
              <w:rPr>
                <w:rFonts w:hint="eastAsia"/>
              </w:rPr>
              <w:t xml:space="preserve"> </w:t>
            </w:r>
            <w:r>
              <w:rPr>
                <w:lang/>
              </w:rPr>
              <w:drawing>
                <wp:inline distT="0" distB="0" distL="114300" distR="114300">
                  <wp:extent cx="476250" cy="323850"/>
                  <wp:effectExtent l="0" t="0" r="0" b="0"/>
                  <wp:docPr id="410" name="图片 41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7C9FFDF">
        <w:tblPrEx>
          <w:tblCellMar>
            <w:top w:w="0" w:type="dxa"/>
            <w:left w:w="0" w:type="dxa"/>
            <w:bottom w:w="0" w:type="dxa"/>
            <w:right w:w="0" w:type="dxa"/>
          </w:tblCellMar>
        </w:tblPrEx>
        <w:trPr>
          <w:wBefore w:w="0" w:type="auto"/>
          <w:tblCellSpacing w:w="0" w:type="dxa"/>
        </w:trPr>
        <w:tc>
          <w:tcPr>
            <w:tcW w:w="0" w:type="auto"/>
            <w:noWrap w:val="0"/>
            <w:vAlign w:val="center"/>
          </w:tcPr>
          <w:p w14:paraId="096E636C">
            <w:r>
              <w:rPr>
                <w:rStyle w:val="10"/>
                <w:rFonts w:hint="eastAsia"/>
              </w:rPr>
              <w:t>总有效成分含量：</w:t>
            </w:r>
            <w:r>
              <w:rPr>
                <w:rFonts w:hint="eastAsia"/>
              </w:rPr>
              <w:t>5%</w:t>
            </w:r>
          </w:p>
        </w:tc>
      </w:tr>
      <w:tr w14:paraId="0F2284B0">
        <w:tblPrEx>
          <w:tblCellMar>
            <w:top w:w="0" w:type="dxa"/>
            <w:left w:w="0" w:type="dxa"/>
            <w:bottom w:w="0" w:type="dxa"/>
            <w:right w:w="0" w:type="dxa"/>
          </w:tblCellMar>
        </w:tblPrEx>
        <w:trPr>
          <w:wBefore w:w="0" w:type="auto"/>
          <w:tblCellSpacing w:w="0" w:type="dxa"/>
        </w:trPr>
        <w:tc>
          <w:tcPr>
            <w:tcW w:w="0" w:type="auto"/>
            <w:noWrap w:val="0"/>
            <w:vAlign w:val="center"/>
          </w:tcPr>
          <w:p w14:paraId="7BAB7F8E">
            <w:r>
              <w:rPr>
                <w:rFonts w:hint="eastAsia"/>
              </w:rPr>
              <w:t xml:space="preserve">有效成分及其含量： </w:t>
            </w:r>
          </w:p>
          <w:p w14:paraId="3BB04ECA">
            <w:r>
              <w:rPr>
                <w:rFonts w:hint="eastAsia"/>
              </w:rPr>
              <w:t xml:space="preserve">    唑啉草酯5%    </w:t>
            </w:r>
          </w:p>
        </w:tc>
      </w:tr>
      <w:tr w14:paraId="0EABA682">
        <w:tblPrEx>
          <w:tblCellMar>
            <w:top w:w="0" w:type="dxa"/>
            <w:left w:w="0" w:type="dxa"/>
            <w:bottom w:w="0" w:type="dxa"/>
            <w:right w:w="0" w:type="dxa"/>
          </w:tblCellMar>
        </w:tblPrEx>
        <w:trPr>
          <w:wBefore w:w="0" w:type="auto"/>
          <w:tblCellSpacing w:w="0" w:type="dxa"/>
        </w:trPr>
        <w:tc>
          <w:tcPr>
            <w:tcW w:w="0" w:type="auto"/>
            <w:noWrap w:val="0"/>
            <w:vAlign w:val="center"/>
          </w:tcPr>
          <w:p w14:paraId="4DA5348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8CB32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A3271D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F23AD9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5BC40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5A1F145">
                  <w:r>
                    <w:rPr>
                      <w:rStyle w:val="11"/>
                      <w:rFonts w:hint="eastAsia"/>
                    </w:rPr>
                    <w:t>施用方式</w:t>
                  </w:r>
                </w:p>
              </w:tc>
            </w:tr>
            <w:tr w14:paraId="3B6681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098477">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20F281">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6EB2F8">
                  <w:r>
                    <w:rPr>
                      <w:rStyle w:val="11"/>
                      <w:rFonts w:hint="eastAsia"/>
                    </w:rPr>
                    <w:t>60-100 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DE900C">
                  <w:r>
                    <w:rPr>
                      <w:rStyle w:val="11"/>
                      <w:rFonts w:hint="eastAsia"/>
                    </w:rPr>
                    <w:t>茎叶喷雾</w:t>
                  </w:r>
                </w:p>
              </w:tc>
            </w:tr>
          </w:tbl>
          <w:p w14:paraId="17CCC616">
            <w:pPr>
              <w:rPr>
                <w:rFonts w:ascii="Times New Roman" w:hAnsi="Times New Roman" w:cs="Times New Roman"/>
                <w:sz w:val="20"/>
                <w:szCs w:val="20"/>
              </w:rPr>
            </w:pPr>
          </w:p>
        </w:tc>
      </w:tr>
      <w:tr w14:paraId="22A891F4">
        <w:tblPrEx>
          <w:tblCellMar>
            <w:top w:w="0" w:type="dxa"/>
            <w:left w:w="0" w:type="dxa"/>
            <w:bottom w:w="0" w:type="dxa"/>
            <w:right w:w="0" w:type="dxa"/>
          </w:tblCellMar>
        </w:tblPrEx>
        <w:trPr>
          <w:wBefore w:w="0" w:type="auto"/>
          <w:tblCellSpacing w:w="0" w:type="dxa"/>
        </w:trPr>
        <w:tc>
          <w:tcPr>
            <w:tcW w:w="0" w:type="auto"/>
            <w:noWrap w:val="0"/>
            <w:vAlign w:val="center"/>
          </w:tcPr>
          <w:p w14:paraId="2FFF8AF9">
            <w:r>
              <w:rPr>
                <w:rStyle w:val="10"/>
                <w:rFonts w:hint="eastAsia"/>
              </w:rPr>
              <w:t>使用技术要求:</w:t>
            </w:r>
            <w:r>
              <w:rPr>
                <w:rFonts w:hint="eastAsia"/>
              </w:rPr>
              <w:br w:type="textWrapping"/>
            </w:r>
            <w:r>
              <w:rPr>
                <w:rStyle w:val="11"/>
                <w:rFonts w:hint="eastAsia"/>
              </w:rPr>
              <w:t>1.于小麦返青后拔节前，一年生禾本科杂草3-5叶期，杂草生长旺盛期茎叶喷雾施药一次。 2.严格按推荐剂量使用，田间喷液量要均匀一致，严禁重喷、多喷和漏喷。 3.本品每季最多使用1次。 4.大风天或预计一小时内有降雨，请勿施药。避免在极端气候如气温大幅波动前、后3天内，干旱，低温（霜冻期）高温，日最高温度低于10℃，田间积水，小麦生长不良或遭受涝害、冻害、旱害、盐碱害、病害等胁迫条件下使用，否则可能影响药效或导致作物药害。</w:t>
            </w:r>
          </w:p>
        </w:tc>
      </w:tr>
      <w:tr w14:paraId="2A105A78">
        <w:tblPrEx>
          <w:tblCellMar>
            <w:top w:w="0" w:type="dxa"/>
            <w:left w:w="0" w:type="dxa"/>
            <w:bottom w:w="0" w:type="dxa"/>
            <w:right w:w="0" w:type="dxa"/>
          </w:tblCellMar>
        </w:tblPrEx>
        <w:trPr>
          <w:wBefore w:w="0" w:type="auto"/>
          <w:tblCellSpacing w:w="0" w:type="dxa"/>
        </w:trPr>
        <w:tc>
          <w:tcPr>
            <w:tcW w:w="0" w:type="auto"/>
            <w:noWrap w:val="0"/>
            <w:vAlign w:val="center"/>
          </w:tcPr>
          <w:p w14:paraId="67D04DD6">
            <w:r>
              <w:rPr>
                <w:rStyle w:val="10"/>
                <w:rFonts w:hint="eastAsia"/>
              </w:rPr>
              <w:t>产品性能:</w:t>
            </w:r>
            <w:r>
              <w:rPr>
                <w:rFonts w:hint="eastAsia"/>
              </w:rPr>
              <w:br w:type="textWrapping"/>
            </w:r>
            <w:r>
              <w:rPr>
                <w:rStyle w:val="11"/>
                <w:rFonts w:hint="eastAsia"/>
              </w:rPr>
              <w:t>本品外观为浅黄色、有轻微刺激性异味、透明液体。本品有效成分唑啉草酯为内吸传导型新苯基吡唑啉类除草剂，作用机理为乙酰辅酶A羧化酶（ACC）抑制剂，造成脂肪酸合成受阻，使细胞生长分裂停止，细胞膜含脂结构被破坏，导致杂草死亡，可防除野燕麦、黑麦草、狗尾草、看麦娘、硬草、菵草和棒头草等多种一年生禾本科杂草。</w:t>
            </w:r>
          </w:p>
        </w:tc>
      </w:tr>
      <w:tr w14:paraId="21046140">
        <w:tblPrEx>
          <w:tblCellMar>
            <w:top w:w="0" w:type="dxa"/>
            <w:left w:w="0" w:type="dxa"/>
            <w:bottom w:w="0" w:type="dxa"/>
            <w:right w:w="0" w:type="dxa"/>
          </w:tblCellMar>
        </w:tblPrEx>
        <w:trPr>
          <w:wBefore w:w="0" w:type="auto"/>
          <w:tblCellSpacing w:w="0" w:type="dxa"/>
        </w:trPr>
        <w:tc>
          <w:tcPr>
            <w:tcW w:w="0" w:type="auto"/>
            <w:noWrap w:val="0"/>
            <w:vAlign w:val="center"/>
          </w:tcPr>
          <w:p w14:paraId="2F18B4F8">
            <w:r>
              <w:rPr>
                <w:rStyle w:val="10"/>
                <w:rFonts w:hint="eastAsia"/>
              </w:rPr>
              <w:t>注意事项：</w:t>
            </w:r>
            <w:r>
              <w:rPr>
                <w:rFonts w:hint="eastAsia"/>
              </w:rPr>
              <w:br w:type="textWrapping"/>
            </w:r>
            <w:r>
              <w:rPr>
                <w:rStyle w:val="11"/>
                <w:rFonts w:hint="eastAsia"/>
              </w:rPr>
              <w:t>1.配药时，应带手套、面罩，穿长袖衣、长裤和防水靴；喷药时，应穿长袖衣、长裤和防水靴。2.施药后，彻底清洗防护用具，洗澡，并更换和清洗工作服。3.用过的容器应妥善处理，不可做他用，也不可随意丢弃。所有施药器具，用后应立即用清水或适当的洗涤剂清洗。4.建议在水产养殖区，河塘等水体附近禁用，禁止在河塘等水体中清洗施药器具，避免药液流入湖泊，河流或鱼塘中污染水源。5.蚕室及桑园附近禁用。6.未用完的制剂应放在原包装内密封保存，切勿将本品置于饮、食容器内。7.避免与中等氧化剂高锰酸钾等接触或混合。8.避免孕妇及哺乳期的妇女接触。</w:t>
            </w:r>
          </w:p>
        </w:tc>
      </w:tr>
      <w:tr w14:paraId="6EB18817">
        <w:tblPrEx>
          <w:tblCellMar>
            <w:top w:w="0" w:type="dxa"/>
            <w:left w:w="0" w:type="dxa"/>
            <w:bottom w:w="0" w:type="dxa"/>
            <w:right w:w="0" w:type="dxa"/>
          </w:tblCellMar>
        </w:tblPrEx>
        <w:trPr>
          <w:wBefore w:w="0" w:type="auto"/>
          <w:tblCellSpacing w:w="0" w:type="dxa"/>
        </w:trPr>
        <w:tc>
          <w:tcPr>
            <w:tcW w:w="0" w:type="auto"/>
            <w:noWrap w:val="0"/>
            <w:vAlign w:val="center"/>
          </w:tcPr>
          <w:p w14:paraId="54A15063">
            <w:r>
              <w:rPr>
                <w:rStyle w:val="10"/>
                <w:rFonts w:hint="eastAsia"/>
              </w:rPr>
              <w:t>中毒急救措施：</w:t>
            </w:r>
            <w:r>
              <w:rPr>
                <w:rFonts w:hint="eastAsia"/>
              </w:rPr>
              <w:br w:type="textWrapping"/>
            </w:r>
            <w:r>
              <w:rPr>
                <w:rStyle w:val="11"/>
                <w:rFonts w:hint="eastAsia"/>
              </w:rPr>
              <w:t>1.中毒症状：本品对眼睛和皮肤有刺激作用。2.皮肤接触：立即脱掉被污染的衣物，用大量清水冲洗被污染的皮肤，如皮肤刺激感持续，请医生诊治。 3.眼睛溅药：立即将眼睑翻开，用大量清水冲洗至少15分钟。需要立即就医。 4.发生吸入：将患者转移到空气新鲜处。如果呼吸不正常或停止，实施人工呼吸。注意患者保暖和休息。立即呼叫医生或毒物控制中心。 5.误服：立即联系医生，携标签送往医院对症治疗，请勿催吐。无特效解毒剂。</w:t>
            </w:r>
          </w:p>
        </w:tc>
      </w:tr>
      <w:tr w14:paraId="41185426">
        <w:tblPrEx>
          <w:tblCellMar>
            <w:top w:w="0" w:type="dxa"/>
            <w:left w:w="0" w:type="dxa"/>
            <w:bottom w:w="0" w:type="dxa"/>
            <w:right w:w="0" w:type="dxa"/>
          </w:tblCellMar>
        </w:tblPrEx>
        <w:trPr>
          <w:wBefore w:w="0" w:type="auto"/>
          <w:tblCellSpacing w:w="0" w:type="dxa"/>
        </w:trPr>
        <w:tc>
          <w:tcPr>
            <w:tcW w:w="0" w:type="auto"/>
            <w:noWrap w:val="0"/>
            <w:vAlign w:val="center"/>
          </w:tcPr>
          <w:p w14:paraId="171E8CE8">
            <w:r>
              <w:rPr>
                <w:rStyle w:val="10"/>
                <w:rFonts w:hint="eastAsia"/>
              </w:rPr>
              <w:t>储存和运输方法：</w:t>
            </w:r>
            <w:r>
              <w:rPr>
                <w:rFonts w:hint="eastAsia"/>
              </w:rPr>
              <w:br w:type="textWrapping"/>
            </w:r>
            <w:r>
              <w:rPr>
                <w:rStyle w:val="11"/>
                <w:rFonts w:hint="eastAsia"/>
              </w:rPr>
              <w:t>本品在搬运过程应轻拿轻放，如发现渗漏或破裂，应用规定的材料重新包装处理，并及时妥善处理被污染的器具；应向上放置于通风、阴凉、干燥处。远离火源或热源，置于儿童触及不到的地方并加锁保存。不能与食品、饮料、粮食、饲料等物品等混合储运。</w:t>
            </w:r>
          </w:p>
        </w:tc>
      </w:tr>
      <w:tr w14:paraId="4A40EB0C">
        <w:tblPrEx>
          <w:tblCellMar>
            <w:top w:w="0" w:type="dxa"/>
            <w:left w:w="0" w:type="dxa"/>
            <w:bottom w:w="0" w:type="dxa"/>
            <w:right w:w="0" w:type="dxa"/>
          </w:tblCellMar>
        </w:tblPrEx>
        <w:trPr>
          <w:wBefore w:w="0" w:type="auto"/>
          <w:tblCellSpacing w:w="0" w:type="dxa"/>
        </w:trPr>
        <w:tc>
          <w:tcPr>
            <w:tcW w:w="0" w:type="auto"/>
            <w:noWrap w:val="0"/>
            <w:vAlign w:val="center"/>
          </w:tcPr>
          <w:p w14:paraId="619C8399">
            <w:r>
              <w:rPr>
                <w:rStyle w:val="10"/>
                <w:rFonts w:hint="eastAsia"/>
              </w:rPr>
              <w:t>质量保证期：</w:t>
            </w:r>
            <w:r>
              <w:rPr>
                <w:rStyle w:val="11"/>
                <w:rFonts w:hint="eastAsia"/>
              </w:rPr>
              <w:t>2年</w:t>
            </w:r>
          </w:p>
        </w:tc>
      </w:tr>
      <w:tr w14:paraId="15933489">
        <w:tblPrEx>
          <w:tblCellMar>
            <w:top w:w="0" w:type="dxa"/>
            <w:left w:w="0" w:type="dxa"/>
            <w:bottom w:w="0" w:type="dxa"/>
            <w:right w:w="0" w:type="dxa"/>
          </w:tblCellMar>
        </w:tblPrEx>
        <w:trPr>
          <w:wBefore w:w="0" w:type="auto"/>
          <w:tblCellSpacing w:w="0" w:type="dxa"/>
        </w:trPr>
        <w:tc>
          <w:tcPr>
            <w:tcW w:w="0" w:type="auto"/>
            <w:noWrap w:val="0"/>
            <w:vAlign w:val="center"/>
          </w:tcPr>
          <w:p w14:paraId="0F4DB478">
            <w:r>
              <w:rPr>
                <w:rStyle w:val="10"/>
                <w:rFonts w:hint="eastAsia"/>
              </w:rPr>
              <w:t>备注：</w:t>
            </w:r>
          </w:p>
        </w:tc>
      </w:tr>
    </w:tbl>
    <w:p w14:paraId="563F420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3B613E0">
        <w:tblPrEx>
          <w:tblCellMar>
            <w:top w:w="0" w:type="dxa"/>
            <w:left w:w="0" w:type="dxa"/>
            <w:bottom w:w="0" w:type="dxa"/>
            <w:right w:w="0" w:type="dxa"/>
          </w:tblCellMar>
        </w:tblPrEx>
        <w:trPr>
          <w:wBefore w:w="0" w:type="auto"/>
          <w:tblCellSpacing w:w="0" w:type="dxa"/>
        </w:trPr>
        <w:tc>
          <w:tcPr>
            <w:tcW w:w="0" w:type="auto"/>
            <w:noWrap w:val="0"/>
            <w:vAlign w:val="center"/>
          </w:tcPr>
          <w:p w14:paraId="722C1827">
            <w:r>
              <w:rPr>
                <w:rStyle w:val="10"/>
                <w:rFonts w:hint="eastAsia"/>
              </w:rPr>
              <w:t>登记证号：</w:t>
            </w:r>
            <w:r>
              <w:rPr>
                <w:rFonts w:hint="eastAsia"/>
              </w:rPr>
              <w:t>PD20211776</w:t>
            </w:r>
          </w:p>
        </w:tc>
      </w:tr>
      <w:tr w14:paraId="24EF0D39">
        <w:tblPrEx>
          <w:tblCellMar>
            <w:top w:w="0" w:type="dxa"/>
            <w:left w:w="0" w:type="dxa"/>
            <w:bottom w:w="0" w:type="dxa"/>
            <w:right w:w="0" w:type="dxa"/>
          </w:tblCellMar>
        </w:tblPrEx>
        <w:trPr>
          <w:wBefore w:w="0" w:type="auto"/>
          <w:tblCellSpacing w:w="0" w:type="dxa"/>
        </w:trPr>
        <w:tc>
          <w:tcPr>
            <w:tcW w:w="0" w:type="auto"/>
            <w:noWrap w:val="0"/>
            <w:vAlign w:val="center"/>
          </w:tcPr>
          <w:p w14:paraId="34F10121">
            <w:r>
              <w:rPr>
                <w:rStyle w:val="10"/>
                <w:rFonts w:hint="eastAsia"/>
              </w:rPr>
              <w:t>登记证持有人：</w:t>
            </w:r>
            <w:r>
              <w:rPr>
                <w:rFonts w:hint="eastAsia"/>
              </w:rPr>
              <w:t>辽宁省锦州硕丰农药集团有限公司</w:t>
            </w:r>
          </w:p>
        </w:tc>
      </w:tr>
      <w:tr w14:paraId="3B58274E">
        <w:tblPrEx>
          <w:tblCellMar>
            <w:top w:w="0" w:type="dxa"/>
            <w:left w:w="0" w:type="dxa"/>
            <w:bottom w:w="0" w:type="dxa"/>
            <w:right w:w="0" w:type="dxa"/>
          </w:tblCellMar>
        </w:tblPrEx>
        <w:trPr>
          <w:wBefore w:w="0" w:type="auto"/>
          <w:tblCellSpacing w:w="0" w:type="dxa"/>
        </w:trPr>
        <w:tc>
          <w:tcPr>
            <w:tcW w:w="0" w:type="auto"/>
            <w:noWrap w:val="0"/>
            <w:vAlign w:val="center"/>
          </w:tcPr>
          <w:p w14:paraId="38B1C3EF">
            <w:r>
              <w:rPr>
                <w:rStyle w:val="10"/>
                <w:rFonts w:hint="eastAsia"/>
              </w:rPr>
              <w:t>农药名称：</w:t>
            </w:r>
            <w:r>
              <w:rPr>
                <w:rFonts w:hint="eastAsia"/>
              </w:rPr>
              <w:t>噻虫胺</w:t>
            </w:r>
          </w:p>
        </w:tc>
      </w:tr>
      <w:tr w14:paraId="2E641318">
        <w:tblPrEx>
          <w:tblCellMar>
            <w:top w:w="0" w:type="dxa"/>
            <w:left w:w="0" w:type="dxa"/>
            <w:bottom w:w="0" w:type="dxa"/>
            <w:right w:w="0" w:type="dxa"/>
          </w:tblCellMar>
        </w:tblPrEx>
        <w:trPr>
          <w:wBefore w:w="0" w:type="auto"/>
          <w:tblCellSpacing w:w="0" w:type="dxa"/>
        </w:trPr>
        <w:tc>
          <w:tcPr>
            <w:tcW w:w="0" w:type="auto"/>
            <w:noWrap w:val="0"/>
            <w:vAlign w:val="center"/>
          </w:tcPr>
          <w:p w14:paraId="7C4B3856">
            <w:r>
              <w:rPr>
                <w:rStyle w:val="10"/>
                <w:rFonts w:hint="eastAsia"/>
              </w:rPr>
              <w:t>剂型：</w:t>
            </w:r>
            <w:r>
              <w:rPr>
                <w:rFonts w:hint="eastAsia"/>
              </w:rPr>
              <w:t>颗粒剂</w:t>
            </w:r>
          </w:p>
        </w:tc>
      </w:tr>
      <w:tr w14:paraId="52584F8E">
        <w:tblPrEx>
          <w:tblCellMar>
            <w:top w:w="0" w:type="dxa"/>
            <w:left w:w="0" w:type="dxa"/>
            <w:bottom w:w="0" w:type="dxa"/>
            <w:right w:w="0" w:type="dxa"/>
          </w:tblCellMar>
        </w:tblPrEx>
        <w:trPr>
          <w:wBefore w:w="0" w:type="auto"/>
          <w:tblCellSpacing w:w="0" w:type="dxa"/>
        </w:trPr>
        <w:tc>
          <w:tcPr>
            <w:tcW w:w="0" w:type="auto"/>
            <w:noWrap w:val="0"/>
            <w:vAlign w:val="center"/>
          </w:tcPr>
          <w:p w14:paraId="6EBFEA56">
            <w:r>
              <w:rPr>
                <w:rStyle w:val="10"/>
                <w:rFonts w:hint="eastAsia"/>
              </w:rPr>
              <w:t>毒性及其标识：</w:t>
            </w:r>
            <w:r>
              <w:rPr>
                <w:rFonts w:hint="eastAsia"/>
              </w:rPr>
              <w:t xml:space="preserve"> 微毒 </w:t>
            </w:r>
          </w:p>
        </w:tc>
      </w:tr>
      <w:tr w14:paraId="00B9B644">
        <w:tblPrEx>
          <w:tblCellMar>
            <w:top w:w="0" w:type="dxa"/>
            <w:left w:w="0" w:type="dxa"/>
            <w:bottom w:w="0" w:type="dxa"/>
            <w:right w:w="0" w:type="dxa"/>
          </w:tblCellMar>
        </w:tblPrEx>
        <w:trPr>
          <w:wBefore w:w="0" w:type="auto"/>
          <w:tblCellSpacing w:w="0" w:type="dxa"/>
        </w:trPr>
        <w:tc>
          <w:tcPr>
            <w:tcW w:w="0" w:type="auto"/>
            <w:noWrap w:val="0"/>
            <w:vAlign w:val="center"/>
          </w:tcPr>
          <w:p w14:paraId="605203D1">
            <w:r>
              <w:rPr>
                <w:rStyle w:val="10"/>
                <w:rFonts w:hint="eastAsia"/>
              </w:rPr>
              <w:t>总有效成分含量：</w:t>
            </w:r>
            <w:r>
              <w:rPr>
                <w:rFonts w:hint="eastAsia"/>
              </w:rPr>
              <w:t>1%</w:t>
            </w:r>
          </w:p>
        </w:tc>
      </w:tr>
      <w:tr w14:paraId="08D742EA">
        <w:tblPrEx>
          <w:tblCellMar>
            <w:top w:w="0" w:type="dxa"/>
            <w:left w:w="0" w:type="dxa"/>
            <w:bottom w:w="0" w:type="dxa"/>
            <w:right w:w="0" w:type="dxa"/>
          </w:tblCellMar>
        </w:tblPrEx>
        <w:trPr>
          <w:wBefore w:w="0" w:type="auto"/>
          <w:tblCellSpacing w:w="0" w:type="dxa"/>
        </w:trPr>
        <w:tc>
          <w:tcPr>
            <w:tcW w:w="0" w:type="auto"/>
            <w:noWrap w:val="0"/>
            <w:vAlign w:val="center"/>
          </w:tcPr>
          <w:p w14:paraId="7C643D81">
            <w:r>
              <w:rPr>
                <w:rFonts w:hint="eastAsia"/>
              </w:rPr>
              <w:t xml:space="preserve">有效成分及其含量： </w:t>
            </w:r>
          </w:p>
          <w:p w14:paraId="73E6B964">
            <w:r>
              <w:rPr>
                <w:rFonts w:hint="eastAsia"/>
              </w:rPr>
              <w:t xml:space="preserve">    噻虫胺1%    </w:t>
            </w:r>
          </w:p>
        </w:tc>
      </w:tr>
      <w:tr w14:paraId="4209F479">
        <w:tblPrEx>
          <w:tblCellMar>
            <w:top w:w="0" w:type="dxa"/>
            <w:left w:w="0" w:type="dxa"/>
            <w:bottom w:w="0" w:type="dxa"/>
            <w:right w:w="0" w:type="dxa"/>
          </w:tblCellMar>
        </w:tblPrEx>
        <w:trPr>
          <w:wBefore w:w="0" w:type="auto"/>
          <w:tblCellSpacing w:w="0" w:type="dxa"/>
        </w:trPr>
        <w:tc>
          <w:tcPr>
            <w:tcW w:w="0" w:type="auto"/>
            <w:noWrap w:val="0"/>
            <w:vAlign w:val="center"/>
          </w:tcPr>
          <w:p w14:paraId="4669A94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B32C9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48C808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AF8C0A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E7A5D7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922825A">
                  <w:r>
                    <w:rPr>
                      <w:rStyle w:val="11"/>
                      <w:rFonts w:hint="eastAsia"/>
                    </w:rPr>
                    <w:t>施用方式</w:t>
                  </w:r>
                </w:p>
              </w:tc>
            </w:tr>
            <w:tr w14:paraId="05FE7B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3408FBA">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AE6E6A">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CDB0DA">
                  <w:r>
                    <w:rPr>
                      <w:rStyle w:val="11"/>
                      <w:rFonts w:hint="eastAsia"/>
                    </w:rPr>
                    <w:t>1400-1800克/亩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A133C5">
                  <w:r>
                    <w:rPr>
                      <w:rStyle w:val="11"/>
                      <w:rFonts w:hint="eastAsia"/>
                    </w:rPr>
                    <w:t>撒施</w:t>
                  </w:r>
                </w:p>
              </w:tc>
            </w:tr>
          </w:tbl>
          <w:p w14:paraId="1051296B">
            <w:pPr>
              <w:rPr>
                <w:rFonts w:ascii="Times New Roman" w:hAnsi="Times New Roman" w:cs="Times New Roman"/>
                <w:sz w:val="20"/>
                <w:szCs w:val="20"/>
              </w:rPr>
            </w:pPr>
          </w:p>
        </w:tc>
      </w:tr>
      <w:tr w14:paraId="59BE67AF">
        <w:tblPrEx>
          <w:tblCellMar>
            <w:top w:w="0" w:type="dxa"/>
            <w:left w:w="0" w:type="dxa"/>
            <w:bottom w:w="0" w:type="dxa"/>
            <w:right w:w="0" w:type="dxa"/>
          </w:tblCellMar>
        </w:tblPrEx>
        <w:trPr>
          <w:wBefore w:w="0" w:type="auto"/>
          <w:tblCellSpacing w:w="0" w:type="dxa"/>
        </w:trPr>
        <w:tc>
          <w:tcPr>
            <w:tcW w:w="0" w:type="auto"/>
            <w:noWrap w:val="0"/>
            <w:vAlign w:val="center"/>
          </w:tcPr>
          <w:p w14:paraId="606E3BCA">
            <w:r>
              <w:rPr>
                <w:rStyle w:val="10"/>
                <w:rFonts w:hint="eastAsia"/>
              </w:rPr>
              <w:t>使用技术要求:</w:t>
            </w:r>
            <w:r>
              <w:rPr>
                <w:rFonts w:hint="eastAsia"/>
              </w:rPr>
              <w:br w:type="textWrapping"/>
            </w:r>
            <w:r>
              <w:rPr>
                <w:rStyle w:val="11"/>
                <w:rFonts w:hint="eastAsia"/>
              </w:rPr>
              <w:t>1、甘蔗新种植时，将药剂均匀撒施在甘蔗垄沟内，然后覆土。 2.在甘蔗培土时，将药剂均匀撒施在甘蔗垄旁，然后覆土。 3.本品在甘蔗上每季使用1次，施药后须保持一定的土壤湿度以利于有效成分的释放和均匀分布。推荐制剂用药量：1400-1800克/亩。收获期安全。</w:t>
            </w:r>
          </w:p>
        </w:tc>
      </w:tr>
      <w:tr w14:paraId="0874F4CA">
        <w:tblPrEx>
          <w:tblCellMar>
            <w:top w:w="0" w:type="dxa"/>
            <w:left w:w="0" w:type="dxa"/>
            <w:bottom w:w="0" w:type="dxa"/>
            <w:right w:w="0" w:type="dxa"/>
          </w:tblCellMar>
        </w:tblPrEx>
        <w:trPr>
          <w:wBefore w:w="0" w:type="auto"/>
          <w:tblCellSpacing w:w="0" w:type="dxa"/>
        </w:trPr>
        <w:tc>
          <w:tcPr>
            <w:tcW w:w="0" w:type="auto"/>
            <w:noWrap w:val="0"/>
            <w:vAlign w:val="center"/>
          </w:tcPr>
          <w:p w14:paraId="3ECBDA95">
            <w:r>
              <w:rPr>
                <w:rStyle w:val="10"/>
                <w:rFonts w:hint="eastAsia"/>
              </w:rPr>
              <w:t>产品性能:</w:t>
            </w:r>
            <w:r>
              <w:rPr>
                <w:rFonts w:hint="eastAsia"/>
              </w:rPr>
              <w:br w:type="textWrapping"/>
            </w:r>
            <w:r>
              <w:rPr>
                <w:rStyle w:val="11"/>
                <w:rFonts w:hint="eastAsia"/>
              </w:rPr>
              <w:t>本品为新烟碱类杀虫剂，具有内吸、触杀和胃毒的作用，可有效防治甘蔗蛴螬。</w:t>
            </w:r>
          </w:p>
        </w:tc>
      </w:tr>
      <w:tr w14:paraId="7998C038">
        <w:tblPrEx>
          <w:tblCellMar>
            <w:top w:w="0" w:type="dxa"/>
            <w:left w:w="0" w:type="dxa"/>
            <w:bottom w:w="0" w:type="dxa"/>
            <w:right w:w="0" w:type="dxa"/>
          </w:tblCellMar>
        </w:tblPrEx>
        <w:trPr>
          <w:wBefore w:w="0" w:type="auto"/>
          <w:tblCellSpacing w:w="0" w:type="dxa"/>
        </w:trPr>
        <w:tc>
          <w:tcPr>
            <w:tcW w:w="0" w:type="auto"/>
            <w:noWrap w:val="0"/>
            <w:vAlign w:val="center"/>
          </w:tcPr>
          <w:p w14:paraId="3759BD45">
            <w:r>
              <w:rPr>
                <w:rStyle w:val="10"/>
                <w:rFonts w:hint="eastAsia"/>
              </w:rPr>
              <w:t>注意事项：</w:t>
            </w:r>
            <w:r>
              <w:rPr>
                <w:rFonts w:hint="eastAsia"/>
              </w:rPr>
              <w:br w:type="textWrapping"/>
            </w:r>
            <w:r>
              <w:rPr>
                <w:rStyle w:val="11"/>
                <w:rFonts w:hint="eastAsia"/>
              </w:rPr>
              <w:t>1、不得污染各类水域，不得在水域附近使用，勿将药品或空包装弃于水中或在河塘中洗涤器械，避免影响鱼类和污染水源。 2.本品对蜜蜂有毒，勿污染养蜂及养蚕场所。禁止在桑园附近使用，使用过本品的田块改种桑树时，须先小面积试种，确定对蚕无害后再大面积种植。鸟类保护区禁用，播种后立即覆土。 3.使用本品时应穿戴防护服和手套等。施药期间不可吃东西、饮水和吸烟。施药后应及时洗手和洗脸。 4. 用过的容器应妥善处理，不可做它用，也不可随意丢弃。 5.孕妇、哺乳期妇女及过敏者应远离本品。</w:t>
            </w:r>
          </w:p>
        </w:tc>
      </w:tr>
      <w:tr w14:paraId="6EE7342C">
        <w:tblPrEx>
          <w:tblCellMar>
            <w:top w:w="0" w:type="dxa"/>
            <w:left w:w="0" w:type="dxa"/>
            <w:bottom w:w="0" w:type="dxa"/>
            <w:right w:w="0" w:type="dxa"/>
          </w:tblCellMar>
        </w:tblPrEx>
        <w:trPr>
          <w:wBefore w:w="0" w:type="auto"/>
          <w:tblCellSpacing w:w="0" w:type="dxa"/>
        </w:trPr>
        <w:tc>
          <w:tcPr>
            <w:tcW w:w="0" w:type="auto"/>
            <w:noWrap w:val="0"/>
            <w:vAlign w:val="center"/>
          </w:tcPr>
          <w:p w14:paraId="0AF9AC33">
            <w:r>
              <w:rPr>
                <w:rStyle w:val="10"/>
                <w:rFonts w:hint="eastAsia"/>
              </w:rPr>
              <w:t>中毒急救措施：</w:t>
            </w:r>
            <w:r>
              <w:rPr>
                <w:rFonts w:hint="eastAsia"/>
              </w:rPr>
              <w:br w:type="textWrapping"/>
            </w:r>
            <w:r>
              <w:rPr>
                <w:rStyle w:val="11"/>
                <w:rFonts w:hint="eastAsia"/>
              </w:rPr>
              <w:t>1、皮肤接触：立即脱掉被污染的衣物，用肥皂和大量清水彻底清洗受污染的皮肤。 2、眼睛溅入：立即将眼睑翻开，用清水冲洗至少15分钟,再请医生诊治。 3、发生吸入：立即将吸入者转移到空气新鲜处，请医生诊治。 4、如误服，立即停止，用大量的清水充分漱口后，应立即携此标签将病人送医院对症治疗。 中毒时，请拨打中国疾病中心中毒控制中心咨询热线：400-650-5726。</w:t>
            </w:r>
          </w:p>
        </w:tc>
      </w:tr>
      <w:tr w14:paraId="7E496D6C">
        <w:tblPrEx>
          <w:tblCellMar>
            <w:top w:w="0" w:type="dxa"/>
            <w:left w:w="0" w:type="dxa"/>
            <w:bottom w:w="0" w:type="dxa"/>
            <w:right w:w="0" w:type="dxa"/>
          </w:tblCellMar>
        </w:tblPrEx>
        <w:trPr>
          <w:wBefore w:w="0" w:type="auto"/>
          <w:tblCellSpacing w:w="0" w:type="dxa"/>
        </w:trPr>
        <w:tc>
          <w:tcPr>
            <w:tcW w:w="0" w:type="auto"/>
            <w:noWrap w:val="0"/>
            <w:vAlign w:val="center"/>
          </w:tcPr>
          <w:p w14:paraId="50DCCCBE">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本品应贮存在干燥、阴凉、通风、防雨处，远离火源或热源。置于儿童触及不到之处，并加锁。勿与食品、饮料、粮食、饲料等其他商品同贮同运。</w:t>
            </w:r>
          </w:p>
        </w:tc>
      </w:tr>
      <w:tr w14:paraId="7C7F8183">
        <w:tblPrEx>
          <w:tblCellMar>
            <w:top w:w="0" w:type="dxa"/>
            <w:left w:w="0" w:type="dxa"/>
            <w:bottom w:w="0" w:type="dxa"/>
            <w:right w:w="0" w:type="dxa"/>
          </w:tblCellMar>
        </w:tblPrEx>
        <w:trPr>
          <w:wBefore w:w="0" w:type="auto"/>
          <w:tblCellSpacing w:w="0" w:type="dxa"/>
        </w:trPr>
        <w:tc>
          <w:tcPr>
            <w:tcW w:w="0" w:type="auto"/>
            <w:noWrap w:val="0"/>
            <w:vAlign w:val="center"/>
          </w:tcPr>
          <w:p w14:paraId="120435C8">
            <w:r>
              <w:rPr>
                <w:rStyle w:val="10"/>
                <w:rFonts w:hint="eastAsia"/>
              </w:rPr>
              <w:t>质量保证期：</w:t>
            </w:r>
            <w:r>
              <w:rPr>
                <w:rStyle w:val="11"/>
                <w:rFonts w:hint="eastAsia"/>
              </w:rPr>
              <w:t>2年</w:t>
            </w:r>
          </w:p>
        </w:tc>
      </w:tr>
      <w:tr w14:paraId="5E44D1FA">
        <w:tblPrEx>
          <w:tblCellMar>
            <w:top w:w="0" w:type="dxa"/>
            <w:left w:w="0" w:type="dxa"/>
            <w:bottom w:w="0" w:type="dxa"/>
            <w:right w:w="0" w:type="dxa"/>
          </w:tblCellMar>
        </w:tblPrEx>
        <w:trPr>
          <w:wBefore w:w="0" w:type="auto"/>
          <w:tblCellSpacing w:w="0" w:type="dxa"/>
        </w:trPr>
        <w:tc>
          <w:tcPr>
            <w:tcW w:w="0" w:type="auto"/>
            <w:noWrap w:val="0"/>
            <w:vAlign w:val="center"/>
          </w:tcPr>
          <w:p w14:paraId="4C56D961">
            <w:r>
              <w:rPr>
                <w:rStyle w:val="10"/>
                <w:rFonts w:hint="eastAsia"/>
              </w:rPr>
              <w:t>备注：</w:t>
            </w:r>
          </w:p>
        </w:tc>
      </w:tr>
    </w:tbl>
    <w:p w14:paraId="77CA0E6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F526027">
        <w:tblPrEx>
          <w:tblCellMar>
            <w:top w:w="0" w:type="dxa"/>
            <w:left w:w="0" w:type="dxa"/>
            <w:bottom w:w="0" w:type="dxa"/>
            <w:right w:w="0" w:type="dxa"/>
          </w:tblCellMar>
        </w:tblPrEx>
        <w:trPr>
          <w:wBefore w:w="0" w:type="auto"/>
          <w:tblCellSpacing w:w="0" w:type="dxa"/>
        </w:trPr>
        <w:tc>
          <w:tcPr>
            <w:tcW w:w="0" w:type="auto"/>
            <w:noWrap w:val="0"/>
            <w:vAlign w:val="center"/>
          </w:tcPr>
          <w:p w14:paraId="300711EE">
            <w:r>
              <w:rPr>
                <w:rStyle w:val="10"/>
                <w:rFonts w:hint="eastAsia"/>
              </w:rPr>
              <w:t>登记证号：</w:t>
            </w:r>
            <w:r>
              <w:rPr>
                <w:rFonts w:hint="eastAsia"/>
              </w:rPr>
              <w:t>PD20211964</w:t>
            </w:r>
          </w:p>
        </w:tc>
      </w:tr>
      <w:tr w14:paraId="2CF64EF0">
        <w:tblPrEx>
          <w:tblCellMar>
            <w:top w:w="0" w:type="dxa"/>
            <w:left w:w="0" w:type="dxa"/>
            <w:bottom w:w="0" w:type="dxa"/>
            <w:right w:w="0" w:type="dxa"/>
          </w:tblCellMar>
        </w:tblPrEx>
        <w:trPr>
          <w:wBefore w:w="0" w:type="auto"/>
          <w:tblCellSpacing w:w="0" w:type="dxa"/>
        </w:trPr>
        <w:tc>
          <w:tcPr>
            <w:tcW w:w="0" w:type="auto"/>
            <w:noWrap w:val="0"/>
            <w:vAlign w:val="center"/>
          </w:tcPr>
          <w:p w14:paraId="3B828D51">
            <w:r>
              <w:rPr>
                <w:rStyle w:val="10"/>
                <w:rFonts w:hint="eastAsia"/>
              </w:rPr>
              <w:t>登记证持有人：</w:t>
            </w:r>
            <w:r>
              <w:rPr>
                <w:rFonts w:hint="eastAsia"/>
              </w:rPr>
              <w:t>江苏明德立达作物科技有限公司</w:t>
            </w:r>
          </w:p>
        </w:tc>
      </w:tr>
      <w:tr w14:paraId="1BA992E6">
        <w:tblPrEx>
          <w:tblCellMar>
            <w:top w:w="0" w:type="dxa"/>
            <w:left w:w="0" w:type="dxa"/>
            <w:bottom w:w="0" w:type="dxa"/>
            <w:right w:w="0" w:type="dxa"/>
          </w:tblCellMar>
        </w:tblPrEx>
        <w:trPr>
          <w:wBefore w:w="0" w:type="auto"/>
          <w:tblCellSpacing w:w="0" w:type="dxa"/>
        </w:trPr>
        <w:tc>
          <w:tcPr>
            <w:tcW w:w="0" w:type="auto"/>
            <w:noWrap w:val="0"/>
            <w:vAlign w:val="center"/>
          </w:tcPr>
          <w:p w14:paraId="37E5CCD8">
            <w:r>
              <w:rPr>
                <w:rStyle w:val="10"/>
                <w:rFonts w:hint="eastAsia"/>
              </w:rPr>
              <w:t>农药名称：</w:t>
            </w:r>
            <w:r>
              <w:rPr>
                <w:rFonts w:hint="eastAsia"/>
              </w:rPr>
              <w:t>氢氧化铜</w:t>
            </w:r>
          </w:p>
        </w:tc>
      </w:tr>
      <w:tr w14:paraId="46CDEF9E">
        <w:tblPrEx>
          <w:tblCellMar>
            <w:top w:w="0" w:type="dxa"/>
            <w:left w:w="0" w:type="dxa"/>
            <w:bottom w:w="0" w:type="dxa"/>
            <w:right w:w="0" w:type="dxa"/>
          </w:tblCellMar>
        </w:tblPrEx>
        <w:trPr>
          <w:wBefore w:w="0" w:type="auto"/>
          <w:tblCellSpacing w:w="0" w:type="dxa"/>
        </w:trPr>
        <w:tc>
          <w:tcPr>
            <w:tcW w:w="0" w:type="auto"/>
            <w:noWrap w:val="0"/>
            <w:vAlign w:val="center"/>
          </w:tcPr>
          <w:p w14:paraId="66424836">
            <w:r>
              <w:rPr>
                <w:rStyle w:val="10"/>
                <w:rFonts w:hint="eastAsia"/>
              </w:rPr>
              <w:t>剂型：</w:t>
            </w:r>
            <w:r>
              <w:rPr>
                <w:rFonts w:hint="eastAsia"/>
              </w:rPr>
              <w:t>悬浮剂</w:t>
            </w:r>
          </w:p>
        </w:tc>
      </w:tr>
      <w:tr w14:paraId="6008437F">
        <w:tblPrEx>
          <w:tblCellMar>
            <w:top w:w="0" w:type="dxa"/>
            <w:left w:w="0" w:type="dxa"/>
            <w:bottom w:w="0" w:type="dxa"/>
            <w:right w:w="0" w:type="dxa"/>
          </w:tblCellMar>
        </w:tblPrEx>
        <w:trPr>
          <w:wBefore w:w="0" w:type="auto"/>
          <w:tblCellSpacing w:w="0" w:type="dxa"/>
        </w:trPr>
        <w:tc>
          <w:tcPr>
            <w:tcW w:w="0" w:type="auto"/>
            <w:noWrap w:val="0"/>
            <w:vAlign w:val="center"/>
          </w:tcPr>
          <w:p w14:paraId="5042AC93">
            <w:r>
              <w:rPr>
                <w:rStyle w:val="10"/>
                <w:rFonts w:hint="eastAsia"/>
              </w:rPr>
              <w:t>毒性及其标识：</w:t>
            </w:r>
            <w:r>
              <w:rPr>
                <w:rFonts w:hint="eastAsia"/>
              </w:rPr>
              <w:t xml:space="preserve"> </w:t>
            </w:r>
            <w:r>
              <w:rPr>
                <w:lang/>
              </w:rPr>
              <w:drawing>
                <wp:inline distT="0" distB="0" distL="114300" distR="114300">
                  <wp:extent cx="476250" cy="323850"/>
                  <wp:effectExtent l="0" t="0" r="0" b="0"/>
                  <wp:docPr id="411" name="图片 41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A1F74B5">
        <w:tblPrEx>
          <w:tblCellMar>
            <w:top w:w="0" w:type="dxa"/>
            <w:left w:w="0" w:type="dxa"/>
            <w:bottom w:w="0" w:type="dxa"/>
            <w:right w:w="0" w:type="dxa"/>
          </w:tblCellMar>
        </w:tblPrEx>
        <w:trPr>
          <w:wBefore w:w="0" w:type="auto"/>
          <w:tblCellSpacing w:w="0" w:type="dxa"/>
        </w:trPr>
        <w:tc>
          <w:tcPr>
            <w:tcW w:w="0" w:type="auto"/>
            <w:noWrap w:val="0"/>
            <w:vAlign w:val="center"/>
          </w:tcPr>
          <w:p w14:paraId="653C9132">
            <w:r>
              <w:rPr>
                <w:rStyle w:val="10"/>
                <w:rFonts w:hint="eastAsia"/>
              </w:rPr>
              <w:t>总有效成分含量：</w:t>
            </w:r>
            <w:r>
              <w:rPr>
                <w:rFonts w:hint="eastAsia"/>
              </w:rPr>
              <w:t>37.5%</w:t>
            </w:r>
          </w:p>
        </w:tc>
      </w:tr>
      <w:tr w14:paraId="74AA64AC">
        <w:tblPrEx>
          <w:tblCellMar>
            <w:top w:w="0" w:type="dxa"/>
            <w:left w:w="0" w:type="dxa"/>
            <w:bottom w:w="0" w:type="dxa"/>
            <w:right w:w="0" w:type="dxa"/>
          </w:tblCellMar>
        </w:tblPrEx>
        <w:trPr>
          <w:wBefore w:w="0" w:type="auto"/>
          <w:tblCellSpacing w:w="0" w:type="dxa"/>
        </w:trPr>
        <w:tc>
          <w:tcPr>
            <w:tcW w:w="0" w:type="auto"/>
            <w:noWrap w:val="0"/>
            <w:vAlign w:val="center"/>
          </w:tcPr>
          <w:p w14:paraId="7EC5AEBF">
            <w:r>
              <w:rPr>
                <w:rFonts w:hint="eastAsia"/>
              </w:rPr>
              <w:t xml:space="preserve">有效成分及其含量： </w:t>
            </w:r>
          </w:p>
          <w:p w14:paraId="17F178A9">
            <w:r>
              <w:rPr>
                <w:rFonts w:hint="eastAsia"/>
              </w:rPr>
              <w:t xml:space="preserve">    氢氧化铜37.5%    </w:t>
            </w:r>
          </w:p>
        </w:tc>
      </w:tr>
      <w:tr w14:paraId="1ECBEF90">
        <w:tblPrEx>
          <w:tblCellMar>
            <w:top w:w="0" w:type="dxa"/>
            <w:left w:w="0" w:type="dxa"/>
            <w:bottom w:w="0" w:type="dxa"/>
            <w:right w:w="0" w:type="dxa"/>
          </w:tblCellMar>
        </w:tblPrEx>
        <w:trPr>
          <w:wBefore w:w="0" w:type="auto"/>
          <w:tblCellSpacing w:w="0" w:type="dxa"/>
        </w:trPr>
        <w:tc>
          <w:tcPr>
            <w:tcW w:w="0" w:type="auto"/>
            <w:noWrap w:val="0"/>
            <w:vAlign w:val="center"/>
          </w:tcPr>
          <w:p w14:paraId="4AC5C1F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E379B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2437D1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F55F70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EFE7A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BCE224">
                  <w:r>
                    <w:rPr>
                      <w:rStyle w:val="11"/>
                      <w:rFonts w:hint="eastAsia"/>
                    </w:rPr>
                    <w:t>施用方式</w:t>
                  </w:r>
                </w:p>
              </w:tc>
            </w:tr>
            <w:tr w14:paraId="1C6385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2FFA4F4">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C8DE44">
                  <w:r>
                    <w:rPr>
                      <w:rStyle w:val="11"/>
                      <w:rFonts w:hint="eastAsia"/>
                    </w:rPr>
                    <w:t>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CC8321">
                  <w:r>
                    <w:rPr>
                      <w:rStyle w:val="11"/>
                      <w:rFonts w:hint="eastAsia"/>
                    </w:rPr>
                    <w:t>36-52毫升/亩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D4AD56">
                  <w:r>
                    <w:rPr>
                      <w:rStyle w:val="11"/>
                      <w:rFonts w:hint="eastAsia"/>
                    </w:rPr>
                    <w:t>喷雾</w:t>
                  </w:r>
                </w:p>
              </w:tc>
            </w:tr>
          </w:tbl>
          <w:p w14:paraId="3E86E3FA">
            <w:pPr>
              <w:rPr>
                <w:rFonts w:ascii="Times New Roman" w:hAnsi="Times New Roman" w:cs="Times New Roman"/>
                <w:sz w:val="20"/>
                <w:szCs w:val="20"/>
              </w:rPr>
            </w:pPr>
          </w:p>
        </w:tc>
      </w:tr>
      <w:tr w14:paraId="614F4823">
        <w:tblPrEx>
          <w:tblCellMar>
            <w:top w:w="0" w:type="dxa"/>
            <w:left w:w="0" w:type="dxa"/>
            <w:bottom w:w="0" w:type="dxa"/>
            <w:right w:w="0" w:type="dxa"/>
          </w:tblCellMar>
        </w:tblPrEx>
        <w:trPr>
          <w:wBefore w:w="0" w:type="auto"/>
          <w:tblCellSpacing w:w="0" w:type="dxa"/>
        </w:trPr>
        <w:tc>
          <w:tcPr>
            <w:tcW w:w="0" w:type="auto"/>
            <w:noWrap w:val="0"/>
            <w:vAlign w:val="center"/>
          </w:tcPr>
          <w:p w14:paraId="441175DE">
            <w:r>
              <w:rPr>
                <w:rStyle w:val="10"/>
                <w:rFonts w:hint="eastAsia"/>
              </w:rPr>
              <w:t>使用技术要求:</w:t>
            </w:r>
            <w:r>
              <w:rPr>
                <w:rFonts w:hint="eastAsia"/>
              </w:rPr>
              <w:br w:type="textWrapping"/>
            </w:r>
            <w:r>
              <w:rPr>
                <w:rStyle w:val="11"/>
                <w:rFonts w:hint="eastAsia"/>
              </w:rPr>
              <w:t>1.在辣椒疫病发病前或发病初期施药，施药要均匀。 2.大风天或预计1小时内降雨，请勿施药。高温高湿气候条件下慎用。3.每季最多施药3次，施药间隔为7-10天。</w:t>
            </w:r>
          </w:p>
        </w:tc>
      </w:tr>
      <w:tr w14:paraId="6AA6FD26">
        <w:tblPrEx>
          <w:tblCellMar>
            <w:top w:w="0" w:type="dxa"/>
            <w:left w:w="0" w:type="dxa"/>
            <w:bottom w:w="0" w:type="dxa"/>
            <w:right w:w="0" w:type="dxa"/>
          </w:tblCellMar>
        </w:tblPrEx>
        <w:trPr>
          <w:wBefore w:w="0" w:type="auto"/>
          <w:tblCellSpacing w:w="0" w:type="dxa"/>
        </w:trPr>
        <w:tc>
          <w:tcPr>
            <w:tcW w:w="0" w:type="auto"/>
            <w:noWrap w:val="0"/>
            <w:vAlign w:val="center"/>
          </w:tcPr>
          <w:p w14:paraId="48A49922">
            <w:r>
              <w:rPr>
                <w:rStyle w:val="10"/>
                <w:rFonts w:hint="eastAsia"/>
              </w:rPr>
              <w:t>产品性能:</w:t>
            </w:r>
            <w:r>
              <w:rPr>
                <w:rFonts w:hint="eastAsia"/>
              </w:rPr>
              <w:br w:type="textWrapping"/>
            </w:r>
            <w:r>
              <w:rPr>
                <w:rStyle w:val="11"/>
                <w:rFonts w:hint="eastAsia"/>
              </w:rPr>
              <w:t>本产品为无机铜素杀菌剂，通过释放具有杀菌活性的铜离子与病原菌体内蛋白质的基团结合，使蛋白质变性，导致病菌死亡。</w:t>
            </w:r>
          </w:p>
        </w:tc>
      </w:tr>
      <w:tr w14:paraId="4CFD2867">
        <w:tblPrEx>
          <w:tblCellMar>
            <w:top w:w="0" w:type="dxa"/>
            <w:left w:w="0" w:type="dxa"/>
            <w:bottom w:w="0" w:type="dxa"/>
            <w:right w:w="0" w:type="dxa"/>
          </w:tblCellMar>
        </w:tblPrEx>
        <w:trPr>
          <w:wBefore w:w="0" w:type="auto"/>
          <w:tblCellSpacing w:w="0" w:type="dxa"/>
        </w:trPr>
        <w:tc>
          <w:tcPr>
            <w:tcW w:w="0" w:type="auto"/>
            <w:noWrap w:val="0"/>
            <w:vAlign w:val="center"/>
          </w:tcPr>
          <w:p w14:paraId="60BF4E3C">
            <w:r>
              <w:rPr>
                <w:rStyle w:val="10"/>
                <w:rFonts w:hint="eastAsia"/>
              </w:rPr>
              <w:t>注意事项：</w:t>
            </w:r>
            <w:r>
              <w:rPr>
                <w:rFonts w:hint="eastAsia"/>
              </w:rPr>
              <w:br w:type="textWrapping"/>
            </w:r>
            <w:r>
              <w:rPr>
                <w:rStyle w:val="11"/>
                <w:rFonts w:hint="eastAsia"/>
              </w:rPr>
              <w:t>1. 请按照农药安全使用规范使用本品。应根据田间病害具体情况，科学合理用药。 2.避免与强酸、强碱性物质混用。禁止与乙膦铝类农药等物质混用。与其它药物混用先进行试验。 3.苹果、梨花期及幼果期对本品敏感。桃、李、杏、白菜等作物对本品敏感。避免药液飘移到邻近作物上，以免药害。 4.对皮肤和眼睛有刺激性，使用本品时应穿戴防护服和手套，避免吸入药液。施药期间不可吃东西和饮水。施药后应及时洗手和洗脸。 5.鸟类保护区附近禁用；桑园及蚕室附近禁用；水产养殖区、河塘等水体附近禁用，禁止在河塘等水域清洗施药器具。 6.用过的容器、包装应妥善处理，不可做他用，也不可随意丢弃。 7.避免孕妇及哺乳期妇女接触。 8.避免与氧化剂接触或混合。8.避免与具有氧化性物质接触或混合。</w:t>
            </w:r>
          </w:p>
        </w:tc>
      </w:tr>
      <w:tr w14:paraId="650D6F1E">
        <w:tblPrEx>
          <w:tblCellMar>
            <w:top w:w="0" w:type="dxa"/>
            <w:left w:w="0" w:type="dxa"/>
            <w:bottom w:w="0" w:type="dxa"/>
            <w:right w:w="0" w:type="dxa"/>
          </w:tblCellMar>
        </w:tblPrEx>
        <w:trPr>
          <w:wBefore w:w="0" w:type="auto"/>
          <w:tblCellSpacing w:w="0" w:type="dxa"/>
        </w:trPr>
        <w:tc>
          <w:tcPr>
            <w:tcW w:w="0" w:type="auto"/>
            <w:noWrap w:val="0"/>
            <w:vAlign w:val="center"/>
          </w:tcPr>
          <w:p w14:paraId="2D006A0B">
            <w:r>
              <w:rPr>
                <w:rStyle w:val="10"/>
                <w:rFonts w:hint="eastAsia"/>
              </w:rPr>
              <w:t>中毒急救措施：</w:t>
            </w:r>
            <w:r>
              <w:rPr>
                <w:rFonts w:hint="eastAsia"/>
              </w:rPr>
              <w:br w:type="textWrapping"/>
            </w:r>
            <w:r>
              <w:rPr>
                <w:rStyle w:val="11"/>
                <w:rFonts w:hint="eastAsia"/>
              </w:rPr>
              <w:t>中毒症状：本品对眼睛有刺激性，不慎接触皮肤或溅入眼睛，应用大量清水冲洗干净。不慎吸入，应将病人移至空气流通处。误服则应立即携此标签将病人送医院诊治。解毒剂为依地酸二钠钙，请医生对症治疗。</w:t>
            </w:r>
          </w:p>
        </w:tc>
      </w:tr>
      <w:tr w14:paraId="4DD066EE">
        <w:tblPrEx>
          <w:tblCellMar>
            <w:top w:w="0" w:type="dxa"/>
            <w:left w:w="0" w:type="dxa"/>
            <w:bottom w:w="0" w:type="dxa"/>
            <w:right w:w="0" w:type="dxa"/>
          </w:tblCellMar>
        </w:tblPrEx>
        <w:trPr>
          <w:wBefore w:w="0" w:type="auto"/>
          <w:tblCellSpacing w:w="0" w:type="dxa"/>
        </w:trPr>
        <w:tc>
          <w:tcPr>
            <w:tcW w:w="0" w:type="auto"/>
            <w:noWrap w:val="0"/>
            <w:vAlign w:val="center"/>
          </w:tcPr>
          <w:p w14:paraId="3E7CB96A">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本品应贮存在干燥、阴凉、通风、防雨处，远离火源或热源。置于儿童触及不到之处，并加锁。勿与食品、饮料、粮食、饲料等其他商品同贮同运。</w:t>
            </w:r>
          </w:p>
        </w:tc>
      </w:tr>
      <w:tr w14:paraId="59095F39">
        <w:tblPrEx>
          <w:tblCellMar>
            <w:top w:w="0" w:type="dxa"/>
            <w:left w:w="0" w:type="dxa"/>
            <w:bottom w:w="0" w:type="dxa"/>
            <w:right w:w="0" w:type="dxa"/>
          </w:tblCellMar>
        </w:tblPrEx>
        <w:trPr>
          <w:wBefore w:w="0" w:type="auto"/>
          <w:tblCellSpacing w:w="0" w:type="dxa"/>
        </w:trPr>
        <w:tc>
          <w:tcPr>
            <w:tcW w:w="0" w:type="auto"/>
            <w:noWrap w:val="0"/>
            <w:vAlign w:val="center"/>
          </w:tcPr>
          <w:p w14:paraId="1277EC59">
            <w:r>
              <w:rPr>
                <w:rStyle w:val="10"/>
                <w:rFonts w:hint="eastAsia"/>
              </w:rPr>
              <w:t>质量保证期：</w:t>
            </w:r>
            <w:r>
              <w:rPr>
                <w:rStyle w:val="11"/>
                <w:rFonts w:hint="eastAsia"/>
              </w:rPr>
              <w:t>2年</w:t>
            </w:r>
          </w:p>
        </w:tc>
      </w:tr>
      <w:tr w14:paraId="4BF9CE91">
        <w:tblPrEx>
          <w:tblCellMar>
            <w:top w:w="0" w:type="dxa"/>
            <w:left w:w="0" w:type="dxa"/>
            <w:bottom w:w="0" w:type="dxa"/>
            <w:right w:w="0" w:type="dxa"/>
          </w:tblCellMar>
        </w:tblPrEx>
        <w:trPr>
          <w:wBefore w:w="0" w:type="auto"/>
          <w:tblCellSpacing w:w="0" w:type="dxa"/>
        </w:trPr>
        <w:tc>
          <w:tcPr>
            <w:tcW w:w="0" w:type="auto"/>
            <w:noWrap w:val="0"/>
            <w:vAlign w:val="center"/>
          </w:tcPr>
          <w:p w14:paraId="493A7CA7">
            <w:r>
              <w:rPr>
                <w:rStyle w:val="10"/>
                <w:rFonts w:hint="eastAsia"/>
              </w:rPr>
              <w:t>备注：</w:t>
            </w:r>
          </w:p>
        </w:tc>
      </w:tr>
    </w:tbl>
    <w:p w14:paraId="28A7C57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7573F71">
        <w:tblPrEx>
          <w:tblCellMar>
            <w:top w:w="0" w:type="dxa"/>
            <w:left w:w="0" w:type="dxa"/>
            <w:bottom w:w="0" w:type="dxa"/>
            <w:right w:w="0" w:type="dxa"/>
          </w:tblCellMar>
        </w:tblPrEx>
        <w:trPr>
          <w:wBefore w:w="0" w:type="auto"/>
          <w:tblCellSpacing w:w="0" w:type="dxa"/>
        </w:trPr>
        <w:tc>
          <w:tcPr>
            <w:tcW w:w="0" w:type="auto"/>
            <w:noWrap w:val="0"/>
            <w:vAlign w:val="center"/>
          </w:tcPr>
          <w:p w14:paraId="4598C78A">
            <w:r>
              <w:rPr>
                <w:rStyle w:val="10"/>
                <w:rFonts w:hint="eastAsia"/>
              </w:rPr>
              <w:t>登记证号：</w:t>
            </w:r>
            <w:r>
              <w:rPr>
                <w:rFonts w:hint="eastAsia"/>
              </w:rPr>
              <w:t>PD20211699</w:t>
            </w:r>
          </w:p>
        </w:tc>
      </w:tr>
      <w:tr w14:paraId="3AE4E6C9">
        <w:tblPrEx>
          <w:tblCellMar>
            <w:top w:w="0" w:type="dxa"/>
            <w:left w:w="0" w:type="dxa"/>
            <w:bottom w:w="0" w:type="dxa"/>
            <w:right w:w="0" w:type="dxa"/>
          </w:tblCellMar>
        </w:tblPrEx>
        <w:trPr>
          <w:wBefore w:w="0" w:type="auto"/>
          <w:tblCellSpacing w:w="0" w:type="dxa"/>
        </w:trPr>
        <w:tc>
          <w:tcPr>
            <w:tcW w:w="0" w:type="auto"/>
            <w:noWrap w:val="0"/>
            <w:vAlign w:val="center"/>
          </w:tcPr>
          <w:p w14:paraId="77DF064F">
            <w:r>
              <w:rPr>
                <w:rStyle w:val="10"/>
                <w:rFonts w:hint="eastAsia"/>
              </w:rPr>
              <w:t>登记证持有人：</w:t>
            </w:r>
            <w:r>
              <w:rPr>
                <w:rFonts w:hint="eastAsia"/>
              </w:rPr>
              <w:t>中诚国联（河南）生物科技有限公司</w:t>
            </w:r>
          </w:p>
        </w:tc>
      </w:tr>
      <w:tr w14:paraId="5003D505">
        <w:tblPrEx>
          <w:tblCellMar>
            <w:top w:w="0" w:type="dxa"/>
            <w:left w:w="0" w:type="dxa"/>
            <w:bottom w:w="0" w:type="dxa"/>
            <w:right w:w="0" w:type="dxa"/>
          </w:tblCellMar>
        </w:tblPrEx>
        <w:trPr>
          <w:wBefore w:w="0" w:type="auto"/>
          <w:tblCellSpacing w:w="0" w:type="dxa"/>
        </w:trPr>
        <w:tc>
          <w:tcPr>
            <w:tcW w:w="0" w:type="auto"/>
            <w:noWrap w:val="0"/>
            <w:vAlign w:val="center"/>
          </w:tcPr>
          <w:p w14:paraId="034B1725">
            <w:r>
              <w:rPr>
                <w:rStyle w:val="10"/>
                <w:rFonts w:hint="eastAsia"/>
              </w:rPr>
              <w:t>农药名称：</w:t>
            </w:r>
            <w:r>
              <w:rPr>
                <w:rFonts w:hint="eastAsia"/>
              </w:rPr>
              <w:t>咯菌腈·噻虫胺·噻呋</w:t>
            </w:r>
          </w:p>
        </w:tc>
      </w:tr>
      <w:tr w14:paraId="494F52E8">
        <w:tblPrEx>
          <w:tblCellMar>
            <w:top w:w="0" w:type="dxa"/>
            <w:left w:w="0" w:type="dxa"/>
            <w:bottom w:w="0" w:type="dxa"/>
            <w:right w:w="0" w:type="dxa"/>
          </w:tblCellMar>
        </w:tblPrEx>
        <w:trPr>
          <w:wBefore w:w="0" w:type="auto"/>
          <w:tblCellSpacing w:w="0" w:type="dxa"/>
        </w:trPr>
        <w:tc>
          <w:tcPr>
            <w:tcW w:w="0" w:type="auto"/>
            <w:noWrap w:val="0"/>
            <w:vAlign w:val="center"/>
          </w:tcPr>
          <w:p w14:paraId="002C92E3">
            <w:r>
              <w:rPr>
                <w:rStyle w:val="10"/>
                <w:rFonts w:hint="eastAsia"/>
              </w:rPr>
              <w:t>剂型：</w:t>
            </w:r>
            <w:r>
              <w:rPr>
                <w:rFonts w:hint="eastAsia"/>
              </w:rPr>
              <w:t>种子处理悬浮剂</w:t>
            </w:r>
          </w:p>
        </w:tc>
      </w:tr>
      <w:tr w14:paraId="5E5AA05A">
        <w:tblPrEx>
          <w:tblCellMar>
            <w:top w:w="0" w:type="dxa"/>
            <w:left w:w="0" w:type="dxa"/>
            <w:bottom w:w="0" w:type="dxa"/>
            <w:right w:w="0" w:type="dxa"/>
          </w:tblCellMar>
        </w:tblPrEx>
        <w:trPr>
          <w:wBefore w:w="0" w:type="auto"/>
          <w:tblCellSpacing w:w="0" w:type="dxa"/>
        </w:trPr>
        <w:tc>
          <w:tcPr>
            <w:tcW w:w="0" w:type="auto"/>
            <w:noWrap w:val="0"/>
            <w:vAlign w:val="center"/>
          </w:tcPr>
          <w:p w14:paraId="6366CE85">
            <w:r>
              <w:rPr>
                <w:rStyle w:val="10"/>
                <w:rFonts w:hint="eastAsia"/>
              </w:rPr>
              <w:t>毒性及其标识：</w:t>
            </w:r>
            <w:r>
              <w:rPr>
                <w:rFonts w:hint="eastAsia"/>
              </w:rPr>
              <w:t xml:space="preserve"> </w:t>
            </w:r>
            <w:r>
              <w:rPr>
                <w:lang/>
              </w:rPr>
              <w:drawing>
                <wp:inline distT="0" distB="0" distL="114300" distR="114300">
                  <wp:extent cx="476250" cy="323850"/>
                  <wp:effectExtent l="0" t="0" r="0" b="0"/>
                  <wp:docPr id="412" name="图片 41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75C88CA">
        <w:tblPrEx>
          <w:tblCellMar>
            <w:top w:w="0" w:type="dxa"/>
            <w:left w:w="0" w:type="dxa"/>
            <w:bottom w:w="0" w:type="dxa"/>
            <w:right w:w="0" w:type="dxa"/>
          </w:tblCellMar>
        </w:tblPrEx>
        <w:trPr>
          <w:wBefore w:w="0" w:type="auto"/>
          <w:tblCellSpacing w:w="0" w:type="dxa"/>
        </w:trPr>
        <w:tc>
          <w:tcPr>
            <w:tcW w:w="0" w:type="auto"/>
            <w:noWrap w:val="0"/>
            <w:vAlign w:val="center"/>
          </w:tcPr>
          <w:p w14:paraId="2EA5CB0A">
            <w:r>
              <w:rPr>
                <w:rStyle w:val="10"/>
                <w:rFonts w:hint="eastAsia"/>
              </w:rPr>
              <w:t>总有效成分含量：</w:t>
            </w:r>
            <w:r>
              <w:rPr>
                <w:rFonts w:hint="eastAsia"/>
              </w:rPr>
              <w:t>22%</w:t>
            </w:r>
          </w:p>
        </w:tc>
      </w:tr>
      <w:tr w14:paraId="0DB78407">
        <w:tblPrEx>
          <w:tblCellMar>
            <w:top w:w="0" w:type="dxa"/>
            <w:left w:w="0" w:type="dxa"/>
            <w:bottom w:w="0" w:type="dxa"/>
            <w:right w:w="0" w:type="dxa"/>
          </w:tblCellMar>
        </w:tblPrEx>
        <w:trPr>
          <w:wBefore w:w="0" w:type="auto"/>
          <w:tblCellSpacing w:w="0" w:type="dxa"/>
        </w:trPr>
        <w:tc>
          <w:tcPr>
            <w:tcW w:w="0" w:type="auto"/>
            <w:noWrap w:val="0"/>
            <w:vAlign w:val="center"/>
          </w:tcPr>
          <w:p w14:paraId="5EC26DC1">
            <w:r>
              <w:rPr>
                <w:rFonts w:hint="eastAsia"/>
              </w:rPr>
              <w:t xml:space="preserve">有效成分及其含量： </w:t>
            </w:r>
          </w:p>
          <w:p w14:paraId="35CCBE64">
            <w:r>
              <w:rPr>
                <w:rFonts w:hint="eastAsia"/>
              </w:rPr>
              <w:t xml:space="preserve">    咯菌腈0.7%    噻虫胺20%    噻呋酰胺1.3%    </w:t>
            </w:r>
          </w:p>
        </w:tc>
      </w:tr>
      <w:tr w14:paraId="0C5A6B4E">
        <w:tblPrEx>
          <w:tblCellMar>
            <w:top w:w="0" w:type="dxa"/>
            <w:left w:w="0" w:type="dxa"/>
            <w:bottom w:w="0" w:type="dxa"/>
            <w:right w:w="0" w:type="dxa"/>
          </w:tblCellMar>
        </w:tblPrEx>
        <w:trPr>
          <w:wBefore w:w="0" w:type="auto"/>
          <w:tblCellSpacing w:w="0" w:type="dxa"/>
        </w:trPr>
        <w:tc>
          <w:tcPr>
            <w:tcW w:w="0" w:type="auto"/>
            <w:noWrap w:val="0"/>
            <w:vAlign w:val="center"/>
          </w:tcPr>
          <w:p w14:paraId="697434B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4D71D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3DA031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F2EF3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3C0A4C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DD08B32">
                  <w:r>
                    <w:rPr>
                      <w:rStyle w:val="11"/>
                      <w:rFonts w:hint="eastAsia"/>
                    </w:rPr>
                    <w:t>施用方式</w:t>
                  </w:r>
                </w:p>
              </w:tc>
            </w:tr>
            <w:tr w14:paraId="54F928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E5DB8F0">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0A5CD0">
                  <w:r>
                    <w:rPr>
                      <w:rStyle w:val="11"/>
                      <w:rFonts w:hint="eastAsia"/>
                    </w:rPr>
                    <w:t>白绢病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C10793">
                  <w:r>
                    <w:rPr>
                      <w:rStyle w:val="11"/>
                      <w:rFonts w:hint="eastAsia"/>
                    </w:rPr>
                    <w:t>530-580毫升/100千克</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49EDC7">
                  <w:r>
                    <w:rPr>
                      <w:rStyle w:val="11"/>
                      <w:rFonts w:hint="eastAsia"/>
                    </w:rPr>
                    <w:t>种子包衣</w:t>
                  </w:r>
                </w:p>
              </w:tc>
            </w:tr>
            <w:tr w14:paraId="1D8A1D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87B98B">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7806E6">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FC56C1">
                  <w:r>
                    <w:rPr>
                      <w:rStyle w:val="11"/>
                      <w:rFonts w:hint="eastAsia"/>
                    </w:rPr>
                    <w:t>530-580毫升/100千克</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F6B984">
                  <w:r>
                    <w:rPr>
                      <w:rStyle w:val="11"/>
                      <w:rFonts w:hint="eastAsia"/>
                    </w:rPr>
                    <w:t>种子包衣</w:t>
                  </w:r>
                </w:p>
              </w:tc>
            </w:tr>
          </w:tbl>
          <w:p w14:paraId="52237BB0">
            <w:pPr>
              <w:rPr>
                <w:rFonts w:ascii="Times New Roman" w:hAnsi="Times New Roman" w:cs="Times New Roman"/>
                <w:sz w:val="20"/>
                <w:szCs w:val="20"/>
              </w:rPr>
            </w:pPr>
          </w:p>
        </w:tc>
      </w:tr>
      <w:tr w14:paraId="0EEC32A1">
        <w:tblPrEx>
          <w:tblCellMar>
            <w:top w:w="0" w:type="dxa"/>
            <w:left w:w="0" w:type="dxa"/>
            <w:bottom w:w="0" w:type="dxa"/>
            <w:right w:w="0" w:type="dxa"/>
          </w:tblCellMar>
        </w:tblPrEx>
        <w:trPr>
          <w:wBefore w:w="0" w:type="auto"/>
          <w:tblCellSpacing w:w="0" w:type="dxa"/>
        </w:trPr>
        <w:tc>
          <w:tcPr>
            <w:tcW w:w="0" w:type="auto"/>
            <w:noWrap w:val="0"/>
            <w:vAlign w:val="center"/>
          </w:tcPr>
          <w:p w14:paraId="33B251AF">
            <w:r>
              <w:rPr>
                <w:rStyle w:val="10"/>
                <w:rFonts w:hint="eastAsia"/>
              </w:rPr>
              <w:t>使用技术要求:</w:t>
            </w:r>
            <w:r>
              <w:rPr>
                <w:rFonts w:hint="eastAsia"/>
              </w:rPr>
              <w:br w:type="textWrapping"/>
            </w:r>
            <w:r>
              <w:rPr>
                <w:rStyle w:val="11"/>
                <w:rFonts w:hint="eastAsia"/>
              </w:rPr>
              <w:t>1、在花生播种前药剂用量按一定比例加水调成药液，然后将药液与种子充分搅拌，使药液均匀粘在种子上，摊晾后播种。 2、配制好的药液应在24小时内使用完。</w:t>
            </w:r>
          </w:p>
        </w:tc>
      </w:tr>
      <w:tr w14:paraId="2A1EEFB9">
        <w:tblPrEx>
          <w:tblCellMar>
            <w:top w:w="0" w:type="dxa"/>
            <w:left w:w="0" w:type="dxa"/>
            <w:bottom w:w="0" w:type="dxa"/>
            <w:right w:w="0" w:type="dxa"/>
          </w:tblCellMar>
        </w:tblPrEx>
        <w:trPr>
          <w:wBefore w:w="0" w:type="auto"/>
          <w:tblCellSpacing w:w="0" w:type="dxa"/>
        </w:trPr>
        <w:tc>
          <w:tcPr>
            <w:tcW w:w="0" w:type="auto"/>
            <w:noWrap w:val="0"/>
            <w:vAlign w:val="center"/>
          </w:tcPr>
          <w:p w14:paraId="4E241223">
            <w:r>
              <w:rPr>
                <w:rStyle w:val="10"/>
                <w:rFonts w:hint="eastAsia"/>
              </w:rPr>
              <w:t>产品性能:</w:t>
            </w:r>
            <w:r>
              <w:rPr>
                <w:rFonts w:hint="eastAsia"/>
              </w:rPr>
              <w:br w:type="textWrapping"/>
            </w:r>
            <w:r>
              <w:rPr>
                <w:rStyle w:val="11"/>
                <w:rFonts w:hint="eastAsia"/>
              </w:rPr>
              <w:t>本品是咯菌腈、噻呋酰胺和噻虫胺三元复配的种子处理剂，咯菌腈为信号传导中的蛋白激酶细胞分裂抑制剂，不具有内吸性，主要抑制孢子的萌发、芽管的伸长和菌丝的生长；噻呋酰胺具有内吸传导性和长持效性，是琥珀酸酯脱氢酶抑制剂，对丝核菌属、柄锈菌属、黑粉菌属、腥黑粉菌属、伏革菌属、核腔菌属等致病真菌均有活性，对担子菌纲真菌引起的病害如白绢病等有效。噻虫胺具有根内吸活性和层间传导性，是乙酰胆碱受体激动剂，作用于昆虫中枢神经系统的突触，可作为种子处理剂防治花生等作物的刺吸式和咀嚼式害虫，如蚜虫等，该产品对花生白绢病、蚜虫有较好防效。</w:t>
            </w:r>
          </w:p>
        </w:tc>
      </w:tr>
      <w:tr w14:paraId="72324480">
        <w:tblPrEx>
          <w:tblCellMar>
            <w:top w:w="0" w:type="dxa"/>
            <w:left w:w="0" w:type="dxa"/>
            <w:bottom w:w="0" w:type="dxa"/>
            <w:right w:w="0" w:type="dxa"/>
          </w:tblCellMar>
        </w:tblPrEx>
        <w:trPr>
          <w:wBefore w:w="0" w:type="auto"/>
          <w:tblCellSpacing w:w="0" w:type="dxa"/>
        </w:trPr>
        <w:tc>
          <w:tcPr>
            <w:tcW w:w="0" w:type="auto"/>
            <w:noWrap w:val="0"/>
            <w:vAlign w:val="center"/>
          </w:tcPr>
          <w:p w14:paraId="5FB753D7">
            <w:r>
              <w:rPr>
                <w:rStyle w:val="10"/>
                <w:rFonts w:hint="eastAsia"/>
              </w:rPr>
              <w:t>注意事项：</w:t>
            </w:r>
            <w:r>
              <w:rPr>
                <w:rFonts w:hint="eastAsia"/>
              </w:rPr>
              <w:br w:type="textWrapping"/>
            </w:r>
            <w:r>
              <w:rPr>
                <w:rStyle w:val="11"/>
                <w:rFonts w:hint="eastAsia"/>
              </w:rPr>
              <w:t>、本品在花生播种前种子包衣。 2、配药和种子处理时应在通风处进行，操作人员需提前做好保护措施，戴好手套、面罩或护目镜等，严禁抽烟或饮食；在种子处理过程中，避免药液接触皮肤、眼睛和污染衣物，避免吸入药液；处理后应用肥皂和清水彻底清洗暴露在外的皮肤，并及时更换衣物。3、施药前后要彻底清洗施药器械，不能在河流等水体清洗施药器械，勿将本品及其废液弃于池塘、河溪、湖泊等，以免污染水源。4、本品对蜜蜂高毒，开花植物花期禁用；鸟类保护区附近禁用，播种后应立即覆土。 水产养殖区、河塘等水体附近禁用，禁止在河塘等水域清洗施药器具。5、用过的容器应妥善处理，不可做他用，也不可随意丢弃。6、孕妇及哺乳期妇女避免接触本产品。</w:t>
            </w:r>
          </w:p>
        </w:tc>
      </w:tr>
      <w:tr w14:paraId="1AE47D1B">
        <w:tblPrEx>
          <w:tblCellMar>
            <w:top w:w="0" w:type="dxa"/>
            <w:left w:w="0" w:type="dxa"/>
            <w:bottom w:w="0" w:type="dxa"/>
            <w:right w:w="0" w:type="dxa"/>
          </w:tblCellMar>
        </w:tblPrEx>
        <w:trPr>
          <w:wBefore w:w="0" w:type="auto"/>
          <w:tblCellSpacing w:w="0" w:type="dxa"/>
        </w:trPr>
        <w:tc>
          <w:tcPr>
            <w:tcW w:w="0" w:type="auto"/>
            <w:noWrap w:val="0"/>
            <w:vAlign w:val="center"/>
          </w:tcPr>
          <w:p w14:paraId="478246D7">
            <w:r>
              <w:rPr>
                <w:rStyle w:val="10"/>
                <w:rFonts w:hint="eastAsia"/>
              </w:rPr>
              <w:t>中毒急救措施：</w:t>
            </w:r>
            <w:r>
              <w:rPr>
                <w:rFonts w:hint="eastAsia"/>
              </w:rPr>
              <w:br w:type="textWrapping"/>
            </w:r>
            <w:r>
              <w:rPr>
                <w:rStyle w:val="11"/>
                <w:rFonts w:hint="eastAsia"/>
              </w:rPr>
              <w:t>1、中毒症状表现为头痛、呕吐、恶心、呼吸急促、抽搐、昏迷等。严重时对肝、肾损伤。2.眼睛溅入：立刻用大量清水冲洗，如配戴隐形眼镜，冲洗1-2分钟后摘掉眼镜再冲洗数分钟。如症状持续，请就医。3、不慎吸入，将病人移至空气流通处。4．皮肤沾附∶除去被溅及衣物，并立刻用肥皂和大量清水冲洗皮肤。被溅及衣物须彻底清洗后方可再穿。5. 误食∶请勿引吐。如误食请就医，对症治疗。无特效解毒剂。</w:t>
            </w:r>
          </w:p>
        </w:tc>
      </w:tr>
      <w:tr w14:paraId="11C8573A">
        <w:tblPrEx>
          <w:tblCellMar>
            <w:top w:w="0" w:type="dxa"/>
            <w:left w:w="0" w:type="dxa"/>
            <w:bottom w:w="0" w:type="dxa"/>
            <w:right w:w="0" w:type="dxa"/>
          </w:tblCellMar>
        </w:tblPrEx>
        <w:trPr>
          <w:wBefore w:w="0" w:type="auto"/>
          <w:tblCellSpacing w:w="0" w:type="dxa"/>
        </w:trPr>
        <w:tc>
          <w:tcPr>
            <w:tcW w:w="0" w:type="auto"/>
            <w:noWrap w:val="0"/>
            <w:vAlign w:val="center"/>
          </w:tcPr>
          <w:p w14:paraId="25D7E3F5">
            <w:r>
              <w:rPr>
                <w:rStyle w:val="10"/>
                <w:rFonts w:hint="eastAsia"/>
              </w:rPr>
              <w:t>储存和运输方法：</w:t>
            </w:r>
            <w:r>
              <w:rPr>
                <w:rFonts w:hint="eastAsia"/>
              </w:rPr>
              <w:br w:type="textWrapping"/>
            </w:r>
            <w:r>
              <w:rPr>
                <w:rStyle w:val="11"/>
                <w:rFonts w:hint="eastAsia"/>
              </w:rPr>
              <w:t>本品应贮存在干燥、阴凉、通风处、防雨防湿防潮，远离火源或热源。置于儿童及动物触及不到的地方，并加锁保存。勿与食品、饮料、种子、饲料、粮食等其他商品同贮同运。</w:t>
            </w:r>
          </w:p>
        </w:tc>
      </w:tr>
      <w:tr w14:paraId="58978624">
        <w:tblPrEx>
          <w:tblCellMar>
            <w:top w:w="0" w:type="dxa"/>
            <w:left w:w="0" w:type="dxa"/>
            <w:bottom w:w="0" w:type="dxa"/>
            <w:right w:w="0" w:type="dxa"/>
          </w:tblCellMar>
        </w:tblPrEx>
        <w:trPr>
          <w:wBefore w:w="0" w:type="auto"/>
          <w:tblCellSpacing w:w="0" w:type="dxa"/>
        </w:trPr>
        <w:tc>
          <w:tcPr>
            <w:tcW w:w="0" w:type="auto"/>
            <w:noWrap w:val="0"/>
            <w:vAlign w:val="center"/>
          </w:tcPr>
          <w:p w14:paraId="5C9C2F3F">
            <w:r>
              <w:rPr>
                <w:rStyle w:val="10"/>
                <w:rFonts w:hint="eastAsia"/>
              </w:rPr>
              <w:t>质量保证期：</w:t>
            </w:r>
            <w:r>
              <w:rPr>
                <w:rStyle w:val="11"/>
                <w:rFonts w:hint="eastAsia"/>
              </w:rPr>
              <w:t>2年</w:t>
            </w:r>
          </w:p>
        </w:tc>
      </w:tr>
      <w:tr w14:paraId="0F55B777">
        <w:tblPrEx>
          <w:tblCellMar>
            <w:top w:w="0" w:type="dxa"/>
            <w:left w:w="0" w:type="dxa"/>
            <w:bottom w:w="0" w:type="dxa"/>
            <w:right w:w="0" w:type="dxa"/>
          </w:tblCellMar>
        </w:tblPrEx>
        <w:trPr>
          <w:wBefore w:w="0" w:type="auto"/>
          <w:tblCellSpacing w:w="0" w:type="dxa"/>
        </w:trPr>
        <w:tc>
          <w:tcPr>
            <w:tcW w:w="0" w:type="auto"/>
            <w:noWrap w:val="0"/>
            <w:vAlign w:val="center"/>
          </w:tcPr>
          <w:p w14:paraId="47DFD649">
            <w:r>
              <w:rPr>
                <w:rStyle w:val="10"/>
                <w:rFonts w:hint="eastAsia"/>
              </w:rPr>
              <w:t>备注：</w:t>
            </w:r>
          </w:p>
        </w:tc>
      </w:tr>
    </w:tbl>
    <w:p w14:paraId="2BEDD03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8E11521">
        <w:trPr>
          <w:wBefore w:w="0" w:type="auto"/>
          <w:tblCellSpacing w:w="0" w:type="dxa"/>
        </w:trPr>
        <w:tc>
          <w:tcPr>
            <w:tcW w:w="0" w:type="auto"/>
            <w:noWrap w:val="0"/>
            <w:vAlign w:val="center"/>
          </w:tcPr>
          <w:p w14:paraId="5134B7B5">
            <w:r>
              <w:rPr>
                <w:rStyle w:val="10"/>
                <w:rFonts w:hint="eastAsia"/>
              </w:rPr>
              <w:t>登记证号：</w:t>
            </w:r>
            <w:r>
              <w:rPr>
                <w:rFonts w:hint="eastAsia"/>
              </w:rPr>
              <w:t>PD20212037</w:t>
            </w:r>
          </w:p>
        </w:tc>
      </w:tr>
      <w:tr w14:paraId="4113137F">
        <w:tblPrEx>
          <w:tblCellMar>
            <w:top w:w="0" w:type="dxa"/>
            <w:left w:w="0" w:type="dxa"/>
            <w:bottom w:w="0" w:type="dxa"/>
            <w:right w:w="0" w:type="dxa"/>
          </w:tblCellMar>
        </w:tblPrEx>
        <w:trPr>
          <w:wBefore w:w="0" w:type="auto"/>
          <w:tblCellSpacing w:w="0" w:type="dxa"/>
        </w:trPr>
        <w:tc>
          <w:tcPr>
            <w:tcW w:w="0" w:type="auto"/>
            <w:noWrap w:val="0"/>
            <w:vAlign w:val="center"/>
          </w:tcPr>
          <w:p w14:paraId="550A5EBD">
            <w:r>
              <w:rPr>
                <w:rStyle w:val="10"/>
                <w:rFonts w:hint="eastAsia"/>
              </w:rPr>
              <w:t>登记证持有人：</w:t>
            </w:r>
            <w:r>
              <w:rPr>
                <w:rFonts w:hint="eastAsia"/>
              </w:rPr>
              <w:t>广东立威化工有限公司</w:t>
            </w:r>
          </w:p>
        </w:tc>
      </w:tr>
      <w:tr w14:paraId="1D2EABF6">
        <w:tblPrEx>
          <w:tblCellMar>
            <w:top w:w="0" w:type="dxa"/>
            <w:left w:w="0" w:type="dxa"/>
            <w:bottom w:w="0" w:type="dxa"/>
            <w:right w:w="0" w:type="dxa"/>
          </w:tblCellMar>
        </w:tblPrEx>
        <w:trPr>
          <w:wBefore w:w="0" w:type="auto"/>
          <w:tblCellSpacing w:w="0" w:type="dxa"/>
        </w:trPr>
        <w:tc>
          <w:tcPr>
            <w:tcW w:w="0" w:type="auto"/>
            <w:noWrap w:val="0"/>
            <w:vAlign w:val="center"/>
          </w:tcPr>
          <w:p w14:paraId="7F73D615">
            <w:r>
              <w:rPr>
                <w:rStyle w:val="10"/>
                <w:rFonts w:hint="eastAsia"/>
              </w:rPr>
              <w:t>农药名称：</w:t>
            </w:r>
            <w:r>
              <w:rPr>
                <w:rFonts w:hint="eastAsia"/>
              </w:rPr>
              <w:t>24-表芸·赤霉酸</w:t>
            </w:r>
          </w:p>
        </w:tc>
      </w:tr>
      <w:tr w14:paraId="70344A21">
        <w:tblPrEx>
          <w:tblCellMar>
            <w:top w:w="0" w:type="dxa"/>
            <w:left w:w="0" w:type="dxa"/>
            <w:bottom w:w="0" w:type="dxa"/>
            <w:right w:w="0" w:type="dxa"/>
          </w:tblCellMar>
        </w:tblPrEx>
        <w:trPr>
          <w:wBefore w:w="0" w:type="auto"/>
          <w:tblCellSpacing w:w="0" w:type="dxa"/>
        </w:trPr>
        <w:tc>
          <w:tcPr>
            <w:tcW w:w="0" w:type="auto"/>
            <w:noWrap w:val="0"/>
            <w:vAlign w:val="center"/>
          </w:tcPr>
          <w:p w14:paraId="36D76B07">
            <w:r>
              <w:rPr>
                <w:rStyle w:val="10"/>
                <w:rFonts w:hint="eastAsia"/>
              </w:rPr>
              <w:t>剂型：</w:t>
            </w:r>
            <w:r>
              <w:rPr>
                <w:rFonts w:hint="eastAsia"/>
              </w:rPr>
              <w:t>可溶液剂</w:t>
            </w:r>
          </w:p>
        </w:tc>
      </w:tr>
      <w:tr w14:paraId="26F92220">
        <w:tblPrEx>
          <w:tblCellMar>
            <w:top w:w="0" w:type="dxa"/>
            <w:left w:w="0" w:type="dxa"/>
            <w:bottom w:w="0" w:type="dxa"/>
            <w:right w:w="0" w:type="dxa"/>
          </w:tblCellMar>
        </w:tblPrEx>
        <w:trPr>
          <w:wBefore w:w="0" w:type="auto"/>
          <w:tblCellSpacing w:w="0" w:type="dxa"/>
        </w:trPr>
        <w:tc>
          <w:tcPr>
            <w:tcW w:w="0" w:type="auto"/>
            <w:noWrap w:val="0"/>
            <w:vAlign w:val="center"/>
          </w:tcPr>
          <w:p w14:paraId="3879A787">
            <w:r>
              <w:rPr>
                <w:rStyle w:val="10"/>
                <w:rFonts w:hint="eastAsia"/>
              </w:rPr>
              <w:t>毒性及其标识：</w:t>
            </w:r>
            <w:r>
              <w:rPr>
                <w:rFonts w:hint="eastAsia"/>
              </w:rPr>
              <w:t xml:space="preserve"> </w:t>
            </w:r>
            <w:r>
              <w:rPr>
                <w:lang/>
              </w:rPr>
              <w:drawing>
                <wp:inline distT="0" distB="0" distL="114300" distR="114300">
                  <wp:extent cx="476250" cy="323850"/>
                  <wp:effectExtent l="0" t="0" r="0" b="0"/>
                  <wp:docPr id="413" name="图片 41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5353133">
        <w:tblPrEx>
          <w:tblCellMar>
            <w:top w:w="0" w:type="dxa"/>
            <w:left w:w="0" w:type="dxa"/>
            <w:bottom w:w="0" w:type="dxa"/>
            <w:right w:w="0" w:type="dxa"/>
          </w:tblCellMar>
        </w:tblPrEx>
        <w:trPr>
          <w:wBefore w:w="0" w:type="auto"/>
          <w:tblCellSpacing w:w="0" w:type="dxa"/>
        </w:trPr>
        <w:tc>
          <w:tcPr>
            <w:tcW w:w="0" w:type="auto"/>
            <w:noWrap w:val="0"/>
            <w:vAlign w:val="center"/>
          </w:tcPr>
          <w:p w14:paraId="4CC698A3">
            <w:r>
              <w:rPr>
                <w:rStyle w:val="10"/>
                <w:rFonts w:hint="eastAsia"/>
              </w:rPr>
              <w:t>总有效成分含量：</w:t>
            </w:r>
            <w:r>
              <w:rPr>
                <w:rFonts w:hint="eastAsia"/>
              </w:rPr>
              <w:t>0.4%</w:t>
            </w:r>
          </w:p>
        </w:tc>
      </w:tr>
      <w:tr w14:paraId="39382FF3">
        <w:tblPrEx>
          <w:tblCellMar>
            <w:top w:w="0" w:type="dxa"/>
            <w:left w:w="0" w:type="dxa"/>
            <w:bottom w:w="0" w:type="dxa"/>
            <w:right w:w="0" w:type="dxa"/>
          </w:tblCellMar>
        </w:tblPrEx>
        <w:trPr>
          <w:wBefore w:w="0" w:type="auto"/>
          <w:tblCellSpacing w:w="0" w:type="dxa"/>
        </w:trPr>
        <w:tc>
          <w:tcPr>
            <w:tcW w:w="0" w:type="auto"/>
            <w:noWrap w:val="0"/>
            <w:vAlign w:val="center"/>
          </w:tcPr>
          <w:p w14:paraId="0D11C7ED">
            <w:r>
              <w:rPr>
                <w:rFonts w:hint="eastAsia"/>
              </w:rPr>
              <w:t xml:space="preserve">有效成分及其含量： </w:t>
            </w:r>
          </w:p>
          <w:p w14:paraId="2430C922">
            <w:r>
              <w:rPr>
                <w:rFonts w:hint="eastAsia"/>
              </w:rPr>
              <w:t xml:space="preserve">    24-表芸苔素内酯0.002%    赤霉酸A4+A70.398%    </w:t>
            </w:r>
          </w:p>
        </w:tc>
      </w:tr>
      <w:tr w14:paraId="2A543461">
        <w:tblPrEx>
          <w:tblCellMar>
            <w:top w:w="0" w:type="dxa"/>
            <w:left w:w="0" w:type="dxa"/>
            <w:bottom w:w="0" w:type="dxa"/>
            <w:right w:w="0" w:type="dxa"/>
          </w:tblCellMar>
        </w:tblPrEx>
        <w:trPr>
          <w:wBefore w:w="0" w:type="auto"/>
          <w:tblCellSpacing w:w="0" w:type="dxa"/>
        </w:trPr>
        <w:tc>
          <w:tcPr>
            <w:tcW w:w="0" w:type="auto"/>
            <w:noWrap w:val="0"/>
            <w:vAlign w:val="center"/>
          </w:tcPr>
          <w:p w14:paraId="1233303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FCEB9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71D230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939EA9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F698AD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51DE263">
                  <w:r>
                    <w:rPr>
                      <w:rStyle w:val="11"/>
                      <w:rFonts w:hint="eastAsia"/>
                    </w:rPr>
                    <w:t>施用方式</w:t>
                  </w:r>
                </w:p>
              </w:tc>
            </w:tr>
            <w:tr w14:paraId="2E1B44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985FAD">
                  <w:r>
                    <w:rPr>
                      <w:rStyle w:val="11"/>
                      <w:rFonts w:hint="eastAsia"/>
                    </w:rPr>
                    <w:t>荔枝树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E2759F">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D7F0CF">
                  <w:r>
                    <w:rPr>
                      <w:rStyle w:val="11"/>
                      <w:rFonts w:hint="eastAsia"/>
                    </w:rPr>
                    <w:t>2000-1200倍液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F36CD3">
                  <w:r>
                    <w:rPr>
                      <w:rStyle w:val="11"/>
                      <w:rFonts w:hint="eastAsia"/>
                    </w:rPr>
                    <w:t>喷雾</w:t>
                  </w:r>
                </w:p>
              </w:tc>
            </w:tr>
          </w:tbl>
          <w:p w14:paraId="1D01256C">
            <w:pPr>
              <w:rPr>
                <w:rFonts w:ascii="Times New Roman" w:hAnsi="Times New Roman" w:cs="Times New Roman"/>
                <w:sz w:val="20"/>
                <w:szCs w:val="20"/>
              </w:rPr>
            </w:pPr>
          </w:p>
        </w:tc>
      </w:tr>
      <w:tr w14:paraId="51E15987">
        <w:tblPrEx>
          <w:tblCellMar>
            <w:top w:w="0" w:type="dxa"/>
            <w:left w:w="0" w:type="dxa"/>
            <w:bottom w:w="0" w:type="dxa"/>
            <w:right w:w="0" w:type="dxa"/>
          </w:tblCellMar>
        </w:tblPrEx>
        <w:trPr>
          <w:wBefore w:w="0" w:type="auto"/>
          <w:tblCellSpacing w:w="0" w:type="dxa"/>
        </w:trPr>
        <w:tc>
          <w:tcPr>
            <w:tcW w:w="0" w:type="auto"/>
            <w:noWrap w:val="0"/>
            <w:vAlign w:val="center"/>
          </w:tcPr>
          <w:p w14:paraId="0AC13EA0">
            <w:r>
              <w:rPr>
                <w:rStyle w:val="10"/>
                <w:rFonts w:hint="eastAsia"/>
              </w:rPr>
              <w:t>使用技术要求:</w:t>
            </w:r>
            <w:r>
              <w:rPr>
                <w:rFonts w:hint="eastAsia"/>
              </w:rPr>
              <w:br w:type="textWrapping"/>
            </w:r>
            <w:r>
              <w:rPr>
                <w:rStyle w:val="11"/>
                <w:rFonts w:hint="eastAsia"/>
              </w:rPr>
              <w:t>1、在荔枝开花期、幼果期，以推荐剂量兑水均匀喷雾施药各一次，注意均匀喷雾，喷至叶片近滴水为止。 2、大风天或预计1小时内降雨，请勿施药。</w:t>
            </w:r>
          </w:p>
        </w:tc>
      </w:tr>
      <w:tr w14:paraId="13B1A7DF">
        <w:tblPrEx>
          <w:tblCellMar>
            <w:top w:w="0" w:type="dxa"/>
            <w:left w:w="0" w:type="dxa"/>
            <w:bottom w:w="0" w:type="dxa"/>
            <w:right w:w="0" w:type="dxa"/>
          </w:tblCellMar>
        </w:tblPrEx>
        <w:trPr>
          <w:wBefore w:w="0" w:type="auto"/>
          <w:tblCellSpacing w:w="0" w:type="dxa"/>
        </w:trPr>
        <w:tc>
          <w:tcPr>
            <w:tcW w:w="0" w:type="auto"/>
            <w:noWrap w:val="0"/>
            <w:vAlign w:val="center"/>
          </w:tcPr>
          <w:p w14:paraId="3DDB8A15">
            <w:r>
              <w:rPr>
                <w:rStyle w:val="10"/>
                <w:rFonts w:hint="eastAsia"/>
              </w:rPr>
              <w:t>产品性能:</w:t>
            </w:r>
            <w:r>
              <w:rPr>
                <w:rFonts w:hint="eastAsia"/>
              </w:rPr>
              <w:br w:type="textWrapping"/>
            </w:r>
            <w:r>
              <w:rPr>
                <w:rStyle w:val="11"/>
                <w:rFonts w:hint="eastAsia"/>
              </w:rPr>
              <w:t>本品由赤霉酸（A4+A7）和24-芸苔素内酯复配而成，是保花、壮花、保果、壮果、美果的专用植物生长调节剂。</w:t>
            </w:r>
          </w:p>
        </w:tc>
      </w:tr>
      <w:tr w14:paraId="58F7FE4B">
        <w:tblPrEx>
          <w:tblCellMar>
            <w:top w:w="0" w:type="dxa"/>
            <w:left w:w="0" w:type="dxa"/>
            <w:bottom w:w="0" w:type="dxa"/>
            <w:right w:w="0" w:type="dxa"/>
          </w:tblCellMar>
        </w:tblPrEx>
        <w:trPr>
          <w:wBefore w:w="0" w:type="auto"/>
          <w:tblCellSpacing w:w="0" w:type="dxa"/>
        </w:trPr>
        <w:tc>
          <w:tcPr>
            <w:tcW w:w="0" w:type="auto"/>
            <w:noWrap w:val="0"/>
            <w:vAlign w:val="center"/>
          </w:tcPr>
          <w:p w14:paraId="0B843172">
            <w:r>
              <w:rPr>
                <w:rStyle w:val="10"/>
                <w:rFonts w:hint="eastAsia"/>
              </w:rPr>
              <w:t>注意事项：</w:t>
            </w:r>
            <w:r>
              <w:rPr>
                <w:rFonts w:hint="eastAsia"/>
              </w:rPr>
              <w:br w:type="textWrapping"/>
            </w:r>
            <w:r>
              <w:rPr>
                <w:rStyle w:val="11"/>
                <w:rFonts w:hint="eastAsia"/>
              </w:rPr>
              <w:t>1、本品不可常与酸性、碱性农药混用，建议与其他作用机制不同的植物生长调节剂轮换使用，以延缓抗性产生。 2、严格按照操作规程进行，配药和施药时要穿防护服、戴防护手套和面罩。勿在施药现场吸烟和饮食，施药后要立即洗澡，并及时更换和清洗工作服。 3、水产养殖区、河塘等水体附近禁用，禁止在河塘等水体中清洗施药器具，以免污染水源。 4、用过的容器应妥善处理，不可做他用，也不可随意丢弃。 5、孕妇、哺乳期妇女及过敏者禁用，使用中有任何不良反应请及时就医。</w:t>
            </w:r>
          </w:p>
        </w:tc>
      </w:tr>
      <w:tr w14:paraId="238C8160">
        <w:tblPrEx>
          <w:tblCellMar>
            <w:top w:w="0" w:type="dxa"/>
            <w:left w:w="0" w:type="dxa"/>
            <w:bottom w:w="0" w:type="dxa"/>
            <w:right w:w="0" w:type="dxa"/>
          </w:tblCellMar>
        </w:tblPrEx>
        <w:trPr>
          <w:wBefore w:w="0" w:type="auto"/>
          <w:tblCellSpacing w:w="0" w:type="dxa"/>
        </w:trPr>
        <w:tc>
          <w:tcPr>
            <w:tcW w:w="0" w:type="auto"/>
            <w:noWrap w:val="0"/>
            <w:vAlign w:val="center"/>
          </w:tcPr>
          <w:p w14:paraId="4E36D8DE">
            <w:r>
              <w:rPr>
                <w:rStyle w:val="10"/>
                <w:rFonts w:hint="eastAsia"/>
              </w:rPr>
              <w:t>中毒急救措施：</w:t>
            </w:r>
            <w:r>
              <w:rPr>
                <w:rFonts w:hint="eastAsia"/>
              </w:rPr>
              <w:br w:type="textWrapping"/>
            </w:r>
            <w:r>
              <w:rPr>
                <w:rStyle w:val="11"/>
                <w:rFonts w:hint="eastAsia"/>
              </w:rPr>
              <w:t>使用中或使用后如感觉不适，应立即停止工作，采取急救措施，并携带标签送医院就诊。 1、如吸入，应立即离开施药现场，转移至空气清新处。 2、如眼睛接触，分开眼睑，并用大量清水冲洗眼至少15分钟，再请医生诊治。 3、如皮肤接触，脱去污染的衣着，立即用肥皂和大量清水冲洗污染的皮肤。 4、如误服，应立即携带标签送医院对症治疗</w:t>
            </w:r>
          </w:p>
        </w:tc>
      </w:tr>
      <w:tr w14:paraId="337E5720">
        <w:tblPrEx>
          <w:tblCellMar>
            <w:top w:w="0" w:type="dxa"/>
            <w:left w:w="0" w:type="dxa"/>
            <w:bottom w:w="0" w:type="dxa"/>
            <w:right w:w="0" w:type="dxa"/>
          </w:tblCellMar>
        </w:tblPrEx>
        <w:trPr>
          <w:wBefore w:w="0" w:type="auto"/>
          <w:tblCellSpacing w:w="0" w:type="dxa"/>
        </w:trPr>
        <w:tc>
          <w:tcPr>
            <w:tcW w:w="0" w:type="auto"/>
            <w:noWrap w:val="0"/>
            <w:vAlign w:val="center"/>
          </w:tcPr>
          <w:p w14:paraId="19D594D3">
            <w:r>
              <w:rPr>
                <w:rStyle w:val="10"/>
                <w:rFonts w:hint="eastAsia"/>
              </w:rPr>
              <w:t>储存和运输方法：</w:t>
            </w:r>
            <w:r>
              <w:rPr>
                <w:rFonts w:hint="eastAsia"/>
              </w:rPr>
              <w:br w:type="textWrapping"/>
            </w:r>
            <w:r>
              <w:rPr>
                <w:rStyle w:val="11"/>
                <w:rFonts w:hint="eastAsia"/>
              </w:rPr>
              <w:t>1、置于儿童、无关人员触及不到之处，并加锁。勿与食品、饮料、饲料、粮食等同贮同运。 2、应贮存在干燥、通风、阴凉、防雨处，远离火源和热源。运输时要注意轻拿轻放，以免损坏包装。</w:t>
            </w:r>
          </w:p>
        </w:tc>
      </w:tr>
      <w:tr w14:paraId="154B611B">
        <w:tblPrEx>
          <w:tblCellMar>
            <w:top w:w="0" w:type="dxa"/>
            <w:left w:w="0" w:type="dxa"/>
            <w:bottom w:w="0" w:type="dxa"/>
            <w:right w:w="0" w:type="dxa"/>
          </w:tblCellMar>
        </w:tblPrEx>
        <w:trPr>
          <w:wBefore w:w="0" w:type="auto"/>
          <w:tblCellSpacing w:w="0" w:type="dxa"/>
        </w:trPr>
        <w:tc>
          <w:tcPr>
            <w:tcW w:w="0" w:type="auto"/>
            <w:noWrap w:val="0"/>
            <w:vAlign w:val="center"/>
          </w:tcPr>
          <w:p w14:paraId="653E4A54">
            <w:r>
              <w:rPr>
                <w:rStyle w:val="10"/>
                <w:rFonts w:hint="eastAsia"/>
              </w:rPr>
              <w:t>质量保证期：</w:t>
            </w:r>
            <w:r>
              <w:rPr>
                <w:rStyle w:val="11"/>
                <w:rFonts w:hint="eastAsia"/>
              </w:rPr>
              <w:t>2年</w:t>
            </w:r>
          </w:p>
        </w:tc>
      </w:tr>
      <w:tr w14:paraId="220E6558">
        <w:tblPrEx>
          <w:tblCellMar>
            <w:top w:w="0" w:type="dxa"/>
            <w:left w:w="0" w:type="dxa"/>
            <w:bottom w:w="0" w:type="dxa"/>
            <w:right w:w="0" w:type="dxa"/>
          </w:tblCellMar>
        </w:tblPrEx>
        <w:trPr>
          <w:wBefore w:w="0" w:type="auto"/>
          <w:tblCellSpacing w:w="0" w:type="dxa"/>
        </w:trPr>
        <w:tc>
          <w:tcPr>
            <w:tcW w:w="0" w:type="auto"/>
            <w:noWrap w:val="0"/>
            <w:vAlign w:val="center"/>
          </w:tcPr>
          <w:p w14:paraId="40E64B10">
            <w:r>
              <w:rPr>
                <w:rStyle w:val="10"/>
                <w:rFonts w:hint="eastAsia"/>
              </w:rPr>
              <w:t>备注：</w:t>
            </w:r>
          </w:p>
        </w:tc>
      </w:tr>
    </w:tbl>
    <w:p w14:paraId="54D310C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CB9C364">
        <w:tblPrEx>
          <w:tblCellMar>
            <w:top w:w="0" w:type="dxa"/>
            <w:left w:w="0" w:type="dxa"/>
            <w:bottom w:w="0" w:type="dxa"/>
            <w:right w:w="0" w:type="dxa"/>
          </w:tblCellMar>
        </w:tblPrEx>
        <w:trPr>
          <w:wBefore w:w="0" w:type="auto"/>
          <w:tblCellSpacing w:w="0" w:type="dxa"/>
        </w:trPr>
        <w:tc>
          <w:tcPr>
            <w:tcW w:w="0" w:type="auto"/>
            <w:noWrap w:val="0"/>
            <w:vAlign w:val="center"/>
          </w:tcPr>
          <w:p w14:paraId="0F02A00F">
            <w:r>
              <w:rPr>
                <w:rStyle w:val="10"/>
                <w:rFonts w:hint="eastAsia"/>
              </w:rPr>
              <w:t>登记证号：</w:t>
            </w:r>
            <w:r>
              <w:rPr>
                <w:rFonts w:hint="eastAsia"/>
              </w:rPr>
              <w:t>PD20211726</w:t>
            </w:r>
          </w:p>
        </w:tc>
      </w:tr>
      <w:tr w14:paraId="57884805">
        <w:tblPrEx>
          <w:tblCellMar>
            <w:top w:w="0" w:type="dxa"/>
            <w:left w:w="0" w:type="dxa"/>
            <w:bottom w:w="0" w:type="dxa"/>
            <w:right w:w="0" w:type="dxa"/>
          </w:tblCellMar>
        </w:tblPrEx>
        <w:trPr>
          <w:wBefore w:w="0" w:type="auto"/>
          <w:tblCellSpacing w:w="0" w:type="dxa"/>
        </w:trPr>
        <w:tc>
          <w:tcPr>
            <w:tcW w:w="0" w:type="auto"/>
            <w:noWrap w:val="0"/>
            <w:vAlign w:val="center"/>
          </w:tcPr>
          <w:p w14:paraId="51F74BBF">
            <w:r>
              <w:rPr>
                <w:rStyle w:val="10"/>
                <w:rFonts w:hint="eastAsia"/>
              </w:rPr>
              <w:t>登记证持有人：</w:t>
            </w:r>
            <w:r>
              <w:rPr>
                <w:rFonts w:hint="eastAsia"/>
              </w:rPr>
              <w:t>江苏省盐城利民农化有限公司</w:t>
            </w:r>
          </w:p>
        </w:tc>
      </w:tr>
      <w:tr w14:paraId="4E5C1F4D">
        <w:tblPrEx>
          <w:tblCellMar>
            <w:top w:w="0" w:type="dxa"/>
            <w:left w:w="0" w:type="dxa"/>
            <w:bottom w:w="0" w:type="dxa"/>
            <w:right w:w="0" w:type="dxa"/>
          </w:tblCellMar>
        </w:tblPrEx>
        <w:trPr>
          <w:wBefore w:w="0" w:type="auto"/>
          <w:tblCellSpacing w:w="0" w:type="dxa"/>
        </w:trPr>
        <w:tc>
          <w:tcPr>
            <w:tcW w:w="0" w:type="auto"/>
            <w:noWrap w:val="0"/>
            <w:vAlign w:val="center"/>
          </w:tcPr>
          <w:p w14:paraId="1C22C78D">
            <w:r>
              <w:rPr>
                <w:rStyle w:val="10"/>
                <w:rFonts w:hint="eastAsia"/>
              </w:rPr>
              <w:t>农药名称：</w:t>
            </w:r>
            <w:r>
              <w:rPr>
                <w:rFonts w:hint="eastAsia"/>
              </w:rPr>
              <w:t>虱螨脲</w:t>
            </w:r>
          </w:p>
        </w:tc>
      </w:tr>
      <w:tr w14:paraId="6D28225D">
        <w:tblPrEx>
          <w:tblCellMar>
            <w:top w:w="0" w:type="dxa"/>
            <w:left w:w="0" w:type="dxa"/>
            <w:bottom w:w="0" w:type="dxa"/>
            <w:right w:w="0" w:type="dxa"/>
          </w:tblCellMar>
        </w:tblPrEx>
        <w:trPr>
          <w:wBefore w:w="0" w:type="auto"/>
          <w:tblCellSpacing w:w="0" w:type="dxa"/>
        </w:trPr>
        <w:tc>
          <w:tcPr>
            <w:tcW w:w="0" w:type="auto"/>
            <w:noWrap w:val="0"/>
            <w:vAlign w:val="center"/>
          </w:tcPr>
          <w:p w14:paraId="693E194E">
            <w:r>
              <w:rPr>
                <w:rStyle w:val="10"/>
                <w:rFonts w:hint="eastAsia"/>
              </w:rPr>
              <w:t>剂型：</w:t>
            </w:r>
            <w:r>
              <w:rPr>
                <w:rFonts w:hint="eastAsia"/>
              </w:rPr>
              <w:t>悬浮剂</w:t>
            </w:r>
          </w:p>
        </w:tc>
      </w:tr>
      <w:tr w14:paraId="28289E83">
        <w:tblPrEx>
          <w:tblCellMar>
            <w:top w:w="0" w:type="dxa"/>
            <w:left w:w="0" w:type="dxa"/>
            <w:bottom w:w="0" w:type="dxa"/>
            <w:right w:w="0" w:type="dxa"/>
          </w:tblCellMar>
        </w:tblPrEx>
        <w:trPr>
          <w:wBefore w:w="0" w:type="auto"/>
          <w:tblCellSpacing w:w="0" w:type="dxa"/>
        </w:trPr>
        <w:tc>
          <w:tcPr>
            <w:tcW w:w="0" w:type="auto"/>
            <w:noWrap w:val="0"/>
            <w:vAlign w:val="center"/>
          </w:tcPr>
          <w:p w14:paraId="4FEDA1FA">
            <w:r>
              <w:rPr>
                <w:rStyle w:val="10"/>
                <w:rFonts w:hint="eastAsia"/>
              </w:rPr>
              <w:t>毒性及其标识：</w:t>
            </w:r>
            <w:r>
              <w:rPr>
                <w:rFonts w:hint="eastAsia"/>
              </w:rPr>
              <w:t xml:space="preserve"> </w:t>
            </w:r>
            <w:r>
              <w:rPr>
                <w:lang/>
              </w:rPr>
              <w:drawing>
                <wp:inline distT="0" distB="0" distL="114300" distR="114300">
                  <wp:extent cx="476250" cy="323850"/>
                  <wp:effectExtent l="0" t="0" r="0" b="0"/>
                  <wp:docPr id="414" name="图片 41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6A4E923">
        <w:tblPrEx>
          <w:tblCellMar>
            <w:top w:w="0" w:type="dxa"/>
            <w:left w:w="0" w:type="dxa"/>
            <w:bottom w:w="0" w:type="dxa"/>
            <w:right w:w="0" w:type="dxa"/>
          </w:tblCellMar>
        </w:tblPrEx>
        <w:trPr>
          <w:wBefore w:w="0" w:type="auto"/>
          <w:tblCellSpacing w:w="0" w:type="dxa"/>
        </w:trPr>
        <w:tc>
          <w:tcPr>
            <w:tcW w:w="0" w:type="auto"/>
            <w:noWrap w:val="0"/>
            <w:vAlign w:val="center"/>
          </w:tcPr>
          <w:p w14:paraId="18A5A5B2">
            <w:r>
              <w:rPr>
                <w:rStyle w:val="10"/>
                <w:rFonts w:hint="eastAsia"/>
              </w:rPr>
              <w:t>总有效成分含量：</w:t>
            </w:r>
            <w:r>
              <w:rPr>
                <w:rFonts w:hint="eastAsia"/>
              </w:rPr>
              <w:t>10%</w:t>
            </w:r>
          </w:p>
        </w:tc>
      </w:tr>
      <w:tr w14:paraId="1DC81635">
        <w:tblPrEx>
          <w:tblCellMar>
            <w:top w:w="0" w:type="dxa"/>
            <w:left w:w="0" w:type="dxa"/>
            <w:bottom w:w="0" w:type="dxa"/>
            <w:right w:w="0" w:type="dxa"/>
          </w:tblCellMar>
        </w:tblPrEx>
        <w:trPr>
          <w:wBefore w:w="0" w:type="auto"/>
          <w:tblCellSpacing w:w="0" w:type="dxa"/>
        </w:trPr>
        <w:tc>
          <w:tcPr>
            <w:tcW w:w="0" w:type="auto"/>
            <w:noWrap w:val="0"/>
            <w:vAlign w:val="center"/>
          </w:tcPr>
          <w:p w14:paraId="3C7DD736">
            <w:r>
              <w:rPr>
                <w:rFonts w:hint="eastAsia"/>
              </w:rPr>
              <w:t xml:space="preserve">有效成分及其含量： </w:t>
            </w:r>
          </w:p>
          <w:p w14:paraId="0EE98C7B">
            <w:r>
              <w:rPr>
                <w:rFonts w:hint="eastAsia"/>
              </w:rPr>
              <w:t xml:space="preserve">    虱螨脲10%    </w:t>
            </w:r>
          </w:p>
        </w:tc>
      </w:tr>
      <w:tr w14:paraId="5A9F9577">
        <w:tblPrEx>
          <w:tblCellMar>
            <w:top w:w="0" w:type="dxa"/>
            <w:left w:w="0" w:type="dxa"/>
            <w:bottom w:w="0" w:type="dxa"/>
            <w:right w:w="0" w:type="dxa"/>
          </w:tblCellMar>
        </w:tblPrEx>
        <w:trPr>
          <w:wBefore w:w="0" w:type="auto"/>
          <w:tblCellSpacing w:w="0" w:type="dxa"/>
        </w:trPr>
        <w:tc>
          <w:tcPr>
            <w:tcW w:w="0" w:type="auto"/>
            <w:noWrap w:val="0"/>
            <w:vAlign w:val="center"/>
          </w:tcPr>
          <w:p w14:paraId="7C55264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A3DAA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F1A967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4F2088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77545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217866">
                  <w:r>
                    <w:rPr>
                      <w:rStyle w:val="11"/>
                      <w:rFonts w:hint="eastAsia"/>
                    </w:rPr>
                    <w:t>施用方式</w:t>
                  </w:r>
                </w:p>
              </w:tc>
            </w:tr>
            <w:tr w14:paraId="2A6CA7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CB59D0D">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486B49">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A1DDE1">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D23F29">
                  <w:r>
                    <w:rPr>
                      <w:rStyle w:val="11"/>
                      <w:rFonts w:hint="eastAsia"/>
                    </w:rPr>
                    <w:t>喷雾</w:t>
                  </w:r>
                </w:p>
              </w:tc>
            </w:tr>
          </w:tbl>
          <w:p w14:paraId="56A8F8E2">
            <w:pPr>
              <w:rPr>
                <w:rFonts w:ascii="Times New Roman" w:hAnsi="Times New Roman" w:cs="Times New Roman"/>
                <w:sz w:val="20"/>
                <w:szCs w:val="20"/>
              </w:rPr>
            </w:pPr>
          </w:p>
        </w:tc>
      </w:tr>
      <w:tr w14:paraId="283455DC">
        <w:tblPrEx>
          <w:tblCellMar>
            <w:top w:w="0" w:type="dxa"/>
            <w:left w:w="0" w:type="dxa"/>
            <w:bottom w:w="0" w:type="dxa"/>
            <w:right w:w="0" w:type="dxa"/>
          </w:tblCellMar>
        </w:tblPrEx>
        <w:trPr>
          <w:wBefore w:w="0" w:type="auto"/>
          <w:tblCellSpacing w:w="0" w:type="dxa"/>
        </w:trPr>
        <w:tc>
          <w:tcPr>
            <w:tcW w:w="0" w:type="auto"/>
            <w:noWrap w:val="0"/>
            <w:vAlign w:val="center"/>
          </w:tcPr>
          <w:p w14:paraId="40A7E2BA">
            <w:r>
              <w:rPr>
                <w:rStyle w:val="10"/>
                <w:rFonts w:hint="eastAsia"/>
              </w:rPr>
              <w:t>使用技术要求:</w:t>
            </w:r>
            <w:r>
              <w:rPr>
                <w:rFonts w:hint="eastAsia"/>
              </w:rPr>
              <w:br w:type="textWrapping"/>
            </w:r>
            <w:r>
              <w:rPr>
                <w:rStyle w:val="11"/>
                <w:rFonts w:hint="eastAsia"/>
              </w:rPr>
              <w:t>1. 甘蓝甜菜夜蛾卵孵高峰期至1~2龄若虫发生始盛期施药1次。注意喷雾均匀。2. 大风天或预计1小时内降雨，请勿施药。3. 在甘蓝上使用的安全间隔期为10天，每季作物最多使用1次。</w:t>
            </w:r>
          </w:p>
        </w:tc>
      </w:tr>
      <w:tr w14:paraId="03C6DD7C">
        <w:tblPrEx>
          <w:tblCellMar>
            <w:top w:w="0" w:type="dxa"/>
            <w:left w:w="0" w:type="dxa"/>
            <w:bottom w:w="0" w:type="dxa"/>
            <w:right w:w="0" w:type="dxa"/>
          </w:tblCellMar>
        </w:tblPrEx>
        <w:trPr>
          <w:wBefore w:w="0" w:type="auto"/>
          <w:tblCellSpacing w:w="0" w:type="dxa"/>
        </w:trPr>
        <w:tc>
          <w:tcPr>
            <w:tcW w:w="0" w:type="auto"/>
            <w:noWrap w:val="0"/>
            <w:vAlign w:val="center"/>
          </w:tcPr>
          <w:p w14:paraId="73DA98B4">
            <w:r>
              <w:rPr>
                <w:rStyle w:val="10"/>
                <w:rFonts w:hint="eastAsia"/>
              </w:rPr>
              <w:t>产品性能:</w:t>
            </w:r>
            <w:r>
              <w:rPr>
                <w:rFonts w:hint="eastAsia"/>
              </w:rPr>
              <w:br w:type="textWrapping"/>
            </w:r>
            <w:r>
              <w:rPr>
                <w:rStyle w:val="11"/>
                <w:rFonts w:hint="eastAsia"/>
              </w:rPr>
              <w:t>本品主要通过作用于鳞翅目昆虫幼虫、阻止幼虫蜕皮从而杀死害虫，适用于对菊酯类和有机磷类农药产生抗性害虫的综合治理。持效期长，同时具有较强的杀卵功能，对甘蓝甜菜夜蛾有较好的防效。</w:t>
            </w:r>
          </w:p>
        </w:tc>
      </w:tr>
      <w:tr w14:paraId="124FC9BF">
        <w:tblPrEx>
          <w:tblCellMar>
            <w:top w:w="0" w:type="dxa"/>
            <w:left w:w="0" w:type="dxa"/>
            <w:bottom w:w="0" w:type="dxa"/>
            <w:right w:w="0" w:type="dxa"/>
          </w:tblCellMar>
        </w:tblPrEx>
        <w:trPr>
          <w:wBefore w:w="0" w:type="auto"/>
          <w:tblCellSpacing w:w="0" w:type="dxa"/>
        </w:trPr>
        <w:tc>
          <w:tcPr>
            <w:tcW w:w="0" w:type="auto"/>
            <w:noWrap w:val="0"/>
            <w:vAlign w:val="center"/>
          </w:tcPr>
          <w:p w14:paraId="34994753">
            <w:r>
              <w:rPr>
                <w:rStyle w:val="10"/>
                <w:rFonts w:hint="eastAsia"/>
              </w:rPr>
              <w:t>注意事项：</w:t>
            </w:r>
            <w:r>
              <w:rPr>
                <w:rFonts w:hint="eastAsia"/>
              </w:rPr>
              <w:br w:type="textWrapping"/>
            </w:r>
            <w:r>
              <w:rPr>
                <w:rStyle w:val="11"/>
                <w:rFonts w:hint="eastAsia"/>
              </w:rPr>
              <w:t>1. 严格按照规定用药量和方法使用。2. 建议与其他作用机制不同的杀虫剂轮换使用，以延缓抗性产生。3. 蚕室及桑园附近禁用；远离水产养殖区、河塘等水体施药，禁止在河塘等水体中清洗施药器具；蚕室及桑园附近禁用。4. 使用过的施药器械，应清洗干净方可用于其它的农药。5. 对眼睛有刺激性，使用时避免接触眼睛。施用时应戴防护镜、口罩和手套，穿长衣、长裤；施药中禁止饮食、吸烟、饮水等；施药后应用肥皂和清水彻底清洗暴露在外的皮肤。6. 用药后包装物及用过的容器应妥善处理，不可做他用，也不可随意丢弃。7. 孕妇、哺乳期的妇女禁止接触本产品。</w:t>
            </w:r>
          </w:p>
        </w:tc>
      </w:tr>
      <w:tr w14:paraId="21677CA0">
        <w:tblPrEx>
          <w:tblCellMar>
            <w:top w:w="0" w:type="dxa"/>
            <w:left w:w="0" w:type="dxa"/>
            <w:bottom w:w="0" w:type="dxa"/>
            <w:right w:w="0" w:type="dxa"/>
          </w:tblCellMar>
        </w:tblPrEx>
        <w:trPr>
          <w:wBefore w:w="0" w:type="auto"/>
          <w:tblCellSpacing w:w="0" w:type="dxa"/>
        </w:trPr>
        <w:tc>
          <w:tcPr>
            <w:tcW w:w="0" w:type="auto"/>
            <w:noWrap w:val="0"/>
            <w:vAlign w:val="center"/>
          </w:tcPr>
          <w:p w14:paraId="11A52F08">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11A64233">
        <w:tblPrEx>
          <w:tblCellMar>
            <w:top w:w="0" w:type="dxa"/>
            <w:left w:w="0" w:type="dxa"/>
            <w:bottom w:w="0" w:type="dxa"/>
            <w:right w:w="0" w:type="dxa"/>
          </w:tblCellMar>
        </w:tblPrEx>
        <w:trPr>
          <w:wBefore w:w="0" w:type="auto"/>
          <w:tblCellSpacing w:w="0" w:type="dxa"/>
        </w:trPr>
        <w:tc>
          <w:tcPr>
            <w:tcW w:w="0" w:type="auto"/>
            <w:noWrap w:val="0"/>
            <w:vAlign w:val="center"/>
          </w:tcPr>
          <w:p w14:paraId="72B6CF8D">
            <w:r>
              <w:rPr>
                <w:rStyle w:val="10"/>
                <w:rFonts w:hint="eastAsia"/>
              </w:rPr>
              <w:t>储存和运输方法：</w:t>
            </w:r>
            <w:r>
              <w:rPr>
                <w:rFonts w:hint="eastAsia"/>
              </w:rPr>
              <w:br w:type="textWrapping"/>
            </w:r>
            <w:r>
              <w:rPr>
                <w:rStyle w:val="11"/>
                <w:rFonts w:hint="eastAsia"/>
              </w:rPr>
              <w:t>本品应储存在干燥、阴凉、通风、防雨处，远离火源或热源。置于儿童、无关人员接触不到的地方，并加锁保存。不能与食品、饮料、粮食、饲料等同贮同运。在装卸、运输时应轻拿轻放。</w:t>
            </w:r>
          </w:p>
        </w:tc>
      </w:tr>
      <w:tr w14:paraId="38F7C031">
        <w:tblPrEx>
          <w:tblCellMar>
            <w:top w:w="0" w:type="dxa"/>
            <w:left w:w="0" w:type="dxa"/>
            <w:bottom w:w="0" w:type="dxa"/>
            <w:right w:w="0" w:type="dxa"/>
          </w:tblCellMar>
        </w:tblPrEx>
        <w:trPr>
          <w:wBefore w:w="0" w:type="auto"/>
          <w:tblCellSpacing w:w="0" w:type="dxa"/>
        </w:trPr>
        <w:tc>
          <w:tcPr>
            <w:tcW w:w="0" w:type="auto"/>
            <w:noWrap w:val="0"/>
            <w:vAlign w:val="center"/>
          </w:tcPr>
          <w:p w14:paraId="40B19CDD">
            <w:r>
              <w:rPr>
                <w:rStyle w:val="10"/>
                <w:rFonts w:hint="eastAsia"/>
              </w:rPr>
              <w:t>质量保证期：</w:t>
            </w:r>
            <w:r>
              <w:rPr>
                <w:rStyle w:val="11"/>
                <w:rFonts w:hint="eastAsia"/>
              </w:rPr>
              <w:t>2年</w:t>
            </w:r>
          </w:p>
        </w:tc>
      </w:tr>
      <w:tr w14:paraId="195DCE18">
        <w:tblPrEx>
          <w:tblCellMar>
            <w:top w:w="0" w:type="dxa"/>
            <w:left w:w="0" w:type="dxa"/>
            <w:bottom w:w="0" w:type="dxa"/>
            <w:right w:w="0" w:type="dxa"/>
          </w:tblCellMar>
        </w:tblPrEx>
        <w:trPr>
          <w:wBefore w:w="0" w:type="auto"/>
          <w:tblCellSpacing w:w="0" w:type="dxa"/>
        </w:trPr>
        <w:tc>
          <w:tcPr>
            <w:tcW w:w="0" w:type="auto"/>
            <w:noWrap w:val="0"/>
            <w:vAlign w:val="center"/>
          </w:tcPr>
          <w:p w14:paraId="02299B1E">
            <w:r>
              <w:rPr>
                <w:rStyle w:val="10"/>
                <w:rFonts w:hint="eastAsia"/>
              </w:rPr>
              <w:t>备注：</w:t>
            </w:r>
          </w:p>
        </w:tc>
      </w:tr>
    </w:tbl>
    <w:p w14:paraId="2880DB6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A0AEA9D">
        <w:tblPrEx>
          <w:tblCellMar>
            <w:top w:w="0" w:type="dxa"/>
            <w:left w:w="0" w:type="dxa"/>
            <w:bottom w:w="0" w:type="dxa"/>
            <w:right w:w="0" w:type="dxa"/>
          </w:tblCellMar>
        </w:tblPrEx>
        <w:trPr>
          <w:wBefore w:w="0" w:type="auto"/>
          <w:tblCellSpacing w:w="0" w:type="dxa"/>
        </w:trPr>
        <w:tc>
          <w:tcPr>
            <w:tcW w:w="0" w:type="auto"/>
            <w:noWrap w:val="0"/>
            <w:vAlign w:val="center"/>
          </w:tcPr>
          <w:p w14:paraId="58F0AD50">
            <w:r>
              <w:rPr>
                <w:rStyle w:val="10"/>
                <w:rFonts w:hint="eastAsia"/>
              </w:rPr>
              <w:t>登记证号：</w:t>
            </w:r>
            <w:r>
              <w:rPr>
                <w:rFonts w:hint="eastAsia"/>
              </w:rPr>
              <w:t>PD20211774</w:t>
            </w:r>
          </w:p>
        </w:tc>
      </w:tr>
      <w:tr w14:paraId="171C6DD1">
        <w:tblPrEx>
          <w:tblCellMar>
            <w:top w:w="0" w:type="dxa"/>
            <w:left w:w="0" w:type="dxa"/>
            <w:bottom w:w="0" w:type="dxa"/>
            <w:right w:w="0" w:type="dxa"/>
          </w:tblCellMar>
        </w:tblPrEx>
        <w:trPr>
          <w:wBefore w:w="0" w:type="auto"/>
          <w:tblCellSpacing w:w="0" w:type="dxa"/>
        </w:trPr>
        <w:tc>
          <w:tcPr>
            <w:tcW w:w="0" w:type="auto"/>
            <w:noWrap w:val="0"/>
            <w:vAlign w:val="center"/>
          </w:tcPr>
          <w:p w14:paraId="0C5384BE">
            <w:r>
              <w:rPr>
                <w:rStyle w:val="10"/>
                <w:rFonts w:hint="eastAsia"/>
              </w:rPr>
              <w:t>登记证持有人：</w:t>
            </w:r>
            <w:r>
              <w:rPr>
                <w:rFonts w:hint="eastAsia"/>
              </w:rPr>
              <w:t>青岛中达农业科技有限公司</w:t>
            </w:r>
          </w:p>
        </w:tc>
      </w:tr>
      <w:tr w14:paraId="19C09317">
        <w:tblPrEx>
          <w:tblCellMar>
            <w:top w:w="0" w:type="dxa"/>
            <w:left w:w="0" w:type="dxa"/>
            <w:bottom w:w="0" w:type="dxa"/>
            <w:right w:w="0" w:type="dxa"/>
          </w:tblCellMar>
        </w:tblPrEx>
        <w:trPr>
          <w:wBefore w:w="0" w:type="auto"/>
          <w:tblCellSpacing w:w="0" w:type="dxa"/>
        </w:trPr>
        <w:tc>
          <w:tcPr>
            <w:tcW w:w="0" w:type="auto"/>
            <w:noWrap w:val="0"/>
            <w:vAlign w:val="center"/>
          </w:tcPr>
          <w:p w14:paraId="0979B117">
            <w:r>
              <w:rPr>
                <w:rStyle w:val="10"/>
                <w:rFonts w:hint="eastAsia"/>
              </w:rPr>
              <w:t>农药名称：</w:t>
            </w:r>
            <w:r>
              <w:rPr>
                <w:rFonts w:hint="eastAsia"/>
              </w:rPr>
              <w:t>虫螨腈·虱螨脲</w:t>
            </w:r>
          </w:p>
        </w:tc>
      </w:tr>
      <w:tr w14:paraId="560F5994">
        <w:tblPrEx>
          <w:tblCellMar>
            <w:top w:w="0" w:type="dxa"/>
            <w:left w:w="0" w:type="dxa"/>
            <w:bottom w:w="0" w:type="dxa"/>
            <w:right w:w="0" w:type="dxa"/>
          </w:tblCellMar>
        </w:tblPrEx>
        <w:trPr>
          <w:wBefore w:w="0" w:type="auto"/>
          <w:tblCellSpacing w:w="0" w:type="dxa"/>
        </w:trPr>
        <w:tc>
          <w:tcPr>
            <w:tcW w:w="0" w:type="auto"/>
            <w:noWrap w:val="0"/>
            <w:vAlign w:val="center"/>
          </w:tcPr>
          <w:p w14:paraId="262B8A31">
            <w:r>
              <w:rPr>
                <w:rStyle w:val="10"/>
                <w:rFonts w:hint="eastAsia"/>
              </w:rPr>
              <w:t>剂型：</w:t>
            </w:r>
            <w:r>
              <w:rPr>
                <w:rFonts w:hint="eastAsia"/>
              </w:rPr>
              <w:t>悬浮剂</w:t>
            </w:r>
          </w:p>
        </w:tc>
      </w:tr>
      <w:tr w14:paraId="6FCBC9A6">
        <w:tblPrEx>
          <w:tblCellMar>
            <w:top w:w="0" w:type="dxa"/>
            <w:left w:w="0" w:type="dxa"/>
            <w:bottom w:w="0" w:type="dxa"/>
            <w:right w:w="0" w:type="dxa"/>
          </w:tblCellMar>
        </w:tblPrEx>
        <w:trPr>
          <w:wBefore w:w="0" w:type="auto"/>
          <w:tblCellSpacing w:w="0" w:type="dxa"/>
        </w:trPr>
        <w:tc>
          <w:tcPr>
            <w:tcW w:w="0" w:type="auto"/>
            <w:noWrap w:val="0"/>
            <w:vAlign w:val="center"/>
          </w:tcPr>
          <w:p w14:paraId="62951F7E">
            <w:r>
              <w:rPr>
                <w:rStyle w:val="10"/>
                <w:rFonts w:hint="eastAsia"/>
              </w:rPr>
              <w:t>毒性及其标识：</w:t>
            </w:r>
            <w:r>
              <w:rPr>
                <w:rFonts w:hint="eastAsia"/>
              </w:rPr>
              <w:t xml:space="preserve"> 微毒 </w:t>
            </w:r>
          </w:p>
        </w:tc>
      </w:tr>
      <w:tr w14:paraId="6ADADA24">
        <w:tblPrEx>
          <w:tblCellMar>
            <w:top w:w="0" w:type="dxa"/>
            <w:left w:w="0" w:type="dxa"/>
            <w:bottom w:w="0" w:type="dxa"/>
            <w:right w:w="0" w:type="dxa"/>
          </w:tblCellMar>
        </w:tblPrEx>
        <w:trPr>
          <w:wBefore w:w="0" w:type="auto"/>
          <w:tblCellSpacing w:w="0" w:type="dxa"/>
        </w:trPr>
        <w:tc>
          <w:tcPr>
            <w:tcW w:w="0" w:type="auto"/>
            <w:noWrap w:val="0"/>
            <w:vAlign w:val="center"/>
          </w:tcPr>
          <w:p w14:paraId="2C243B2E">
            <w:r>
              <w:rPr>
                <w:rStyle w:val="10"/>
                <w:rFonts w:hint="eastAsia"/>
              </w:rPr>
              <w:t>总有效成分含量：</w:t>
            </w:r>
            <w:r>
              <w:rPr>
                <w:rFonts w:hint="eastAsia"/>
              </w:rPr>
              <w:t>12%</w:t>
            </w:r>
          </w:p>
        </w:tc>
      </w:tr>
      <w:tr w14:paraId="66A5FBFD">
        <w:tblPrEx>
          <w:tblCellMar>
            <w:top w:w="0" w:type="dxa"/>
            <w:left w:w="0" w:type="dxa"/>
            <w:bottom w:w="0" w:type="dxa"/>
            <w:right w:w="0" w:type="dxa"/>
          </w:tblCellMar>
        </w:tblPrEx>
        <w:trPr>
          <w:wBefore w:w="0" w:type="auto"/>
          <w:tblCellSpacing w:w="0" w:type="dxa"/>
        </w:trPr>
        <w:tc>
          <w:tcPr>
            <w:tcW w:w="0" w:type="auto"/>
            <w:noWrap w:val="0"/>
            <w:vAlign w:val="center"/>
          </w:tcPr>
          <w:p w14:paraId="5E97A3DB">
            <w:r>
              <w:rPr>
                <w:rFonts w:hint="eastAsia"/>
              </w:rPr>
              <w:t xml:space="preserve">有效成分及其含量： </w:t>
            </w:r>
          </w:p>
          <w:p w14:paraId="40CE16F0">
            <w:r>
              <w:rPr>
                <w:rFonts w:hint="eastAsia"/>
              </w:rPr>
              <w:t xml:space="preserve">    虫螨腈9.5%    虱螨脲2.5%    </w:t>
            </w:r>
          </w:p>
        </w:tc>
      </w:tr>
      <w:tr w14:paraId="71517E7F">
        <w:tblPrEx>
          <w:tblCellMar>
            <w:top w:w="0" w:type="dxa"/>
            <w:left w:w="0" w:type="dxa"/>
            <w:bottom w:w="0" w:type="dxa"/>
            <w:right w:w="0" w:type="dxa"/>
          </w:tblCellMar>
        </w:tblPrEx>
        <w:trPr>
          <w:wBefore w:w="0" w:type="auto"/>
          <w:tblCellSpacing w:w="0" w:type="dxa"/>
        </w:trPr>
        <w:tc>
          <w:tcPr>
            <w:tcW w:w="0" w:type="auto"/>
            <w:noWrap w:val="0"/>
            <w:vAlign w:val="center"/>
          </w:tcPr>
          <w:p w14:paraId="79EA117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0EC532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7AE247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6B672F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957576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DCDA992">
                  <w:r>
                    <w:rPr>
                      <w:rStyle w:val="11"/>
                      <w:rFonts w:hint="eastAsia"/>
                    </w:rPr>
                    <w:t>施用方式</w:t>
                  </w:r>
                </w:p>
              </w:tc>
            </w:tr>
            <w:tr w14:paraId="4E58E7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460E27">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6E4A09">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34BF8A">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8ADD81">
                  <w:r>
                    <w:rPr>
                      <w:rStyle w:val="11"/>
                      <w:rFonts w:hint="eastAsia"/>
                    </w:rPr>
                    <w:t>喷雾</w:t>
                  </w:r>
                </w:p>
              </w:tc>
            </w:tr>
          </w:tbl>
          <w:p w14:paraId="1CA550E5">
            <w:pPr>
              <w:rPr>
                <w:rFonts w:ascii="Times New Roman" w:hAnsi="Times New Roman" w:cs="Times New Roman"/>
                <w:sz w:val="20"/>
                <w:szCs w:val="20"/>
              </w:rPr>
            </w:pPr>
          </w:p>
        </w:tc>
      </w:tr>
      <w:tr w14:paraId="573CC83B">
        <w:tblPrEx>
          <w:tblCellMar>
            <w:top w:w="0" w:type="dxa"/>
            <w:left w:w="0" w:type="dxa"/>
            <w:bottom w:w="0" w:type="dxa"/>
            <w:right w:w="0" w:type="dxa"/>
          </w:tblCellMar>
        </w:tblPrEx>
        <w:trPr>
          <w:wBefore w:w="0" w:type="auto"/>
          <w:tblCellSpacing w:w="0" w:type="dxa"/>
        </w:trPr>
        <w:tc>
          <w:tcPr>
            <w:tcW w:w="0" w:type="auto"/>
            <w:noWrap w:val="0"/>
            <w:vAlign w:val="center"/>
          </w:tcPr>
          <w:p w14:paraId="031C179D">
            <w:r>
              <w:rPr>
                <w:rStyle w:val="10"/>
                <w:rFonts w:hint="eastAsia"/>
              </w:rPr>
              <w:t>使用技术要求:</w:t>
            </w:r>
            <w:r>
              <w:rPr>
                <w:rFonts w:hint="eastAsia"/>
              </w:rPr>
              <w:br w:type="textWrapping"/>
            </w:r>
            <w:r>
              <w:rPr>
                <w:rStyle w:val="11"/>
                <w:rFonts w:hint="eastAsia"/>
              </w:rPr>
              <w:t>1.本品在甜菜夜蛾低龄幼虫期用药，效果较好，对甘蓝叶片正反两面均匀喷雾。。 2.大风天或预计1小时内有雨，请勿施药。 3.安全间隔期：14天，每季作物最多使用1次。</w:t>
            </w:r>
          </w:p>
        </w:tc>
      </w:tr>
      <w:tr w14:paraId="417CEB1A">
        <w:tblPrEx>
          <w:tblCellMar>
            <w:top w:w="0" w:type="dxa"/>
            <w:left w:w="0" w:type="dxa"/>
            <w:bottom w:w="0" w:type="dxa"/>
            <w:right w:w="0" w:type="dxa"/>
          </w:tblCellMar>
        </w:tblPrEx>
        <w:trPr>
          <w:wBefore w:w="0" w:type="auto"/>
          <w:tblCellSpacing w:w="0" w:type="dxa"/>
        </w:trPr>
        <w:tc>
          <w:tcPr>
            <w:tcW w:w="0" w:type="auto"/>
            <w:noWrap w:val="0"/>
            <w:vAlign w:val="center"/>
          </w:tcPr>
          <w:p w14:paraId="55094764">
            <w:r>
              <w:rPr>
                <w:rStyle w:val="10"/>
                <w:rFonts w:hint="eastAsia"/>
              </w:rPr>
              <w:t>产品性能:</w:t>
            </w:r>
            <w:r>
              <w:rPr>
                <w:rFonts w:hint="eastAsia"/>
              </w:rPr>
              <w:br w:type="textWrapping"/>
            </w:r>
            <w:r>
              <w:rPr>
                <w:rStyle w:val="11"/>
                <w:rFonts w:hint="eastAsia"/>
              </w:rPr>
              <w:t>本品为新型吡咯类化合物和取代脲类复配杀虫剂，具有胃毒、触杀和内吸作用，在叶面渗透性强，对甘蓝甜菜夜蛾的防效更突出。二者复配后，在杀虫机理上异性互补，杀虫效果显著增加，同时有效降低单一成分的用药量，不易产生抗药性。</w:t>
            </w:r>
          </w:p>
        </w:tc>
      </w:tr>
      <w:tr w14:paraId="5ACA9D98">
        <w:tblPrEx>
          <w:tblCellMar>
            <w:top w:w="0" w:type="dxa"/>
            <w:left w:w="0" w:type="dxa"/>
            <w:bottom w:w="0" w:type="dxa"/>
            <w:right w:w="0" w:type="dxa"/>
          </w:tblCellMar>
        </w:tblPrEx>
        <w:trPr>
          <w:wBefore w:w="0" w:type="auto"/>
          <w:tblCellSpacing w:w="0" w:type="dxa"/>
        </w:trPr>
        <w:tc>
          <w:tcPr>
            <w:tcW w:w="0" w:type="auto"/>
            <w:noWrap w:val="0"/>
            <w:vAlign w:val="center"/>
          </w:tcPr>
          <w:p w14:paraId="45D1002C">
            <w:r>
              <w:rPr>
                <w:rStyle w:val="10"/>
                <w:rFonts w:hint="eastAsia"/>
              </w:rPr>
              <w:t>注意事项：</w:t>
            </w:r>
            <w:r>
              <w:rPr>
                <w:rFonts w:hint="eastAsia"/>
              </w:rPr>
              <w:br w:type="textWrapping"/>
            </w:r>
            <w:r>
              <w:rPr>
                <w:rStyle w:val="11"/>
                <w:rFonts w:hint="eastAsia"/>
              </w:rPr>
              <w:t>1. 本品不宜与碱性农药混合使用，建议与其他作用机制不同的杀虫剂轮换使用，以延缓抗性产生。2.使用时穿戴长衣、长裤、帽子、口罩、手套等安全防护措施。避免吸入药液，施药期间不可吃东西和饮水，施药后应及时洗手和洗脸。3.本品对蜜蜂、鱼类等水生生物、家蚕有毒，施药期间应密切关注对周围蜂群的影响，禁止在开花植物花期、蚕室和桑园附近使用；远离水产养殖区、河塘等水体施药；鸟类保护区和天敌赤眼蜂放飞区禁用。4.禁止在河塘等水体中清洗施药器具，药液及其废液不得污染各类水域、土壤等环境。5.用过的容器应妥善处理，不可做他用，也不可随意丢弃。6.孕妇和哺乳期妇女禁止接触本品。</w:t>
            </w:r>
          </w:p>
        </w:tc>
      </w:tr>
      <w:tr w14:paraId="7E1A231E">
        <w:tblPrEx>
          <w:tblCellMar>
            <w:top w:w="0" w:type="dxa"/>
            <w:left w:w="0" w:type="dxa"/>
            <w:bottom w:w="0" w:type="dxa"/>
            <w:right w:w="0" w:type="dxa"/>
          </w:tblCellMar>
        </w:tblPrEx>
        <w:trPr>
          <w:wBefore w:w="0" w:type="auto"/>
          <w:tblCellSpacing w:w="0" w:type="dxa"/>
        </w:trPr>
        <w:tc>
          <w:tcPr>
            <w:tcW w:w="0" w:type="auto"/>
            <w:noWrap w:val="0"/>
            <w:vAlign w:val="center"/>
          </w:tcPr>
          <w:p w14:paraId="206A7930">
            <w:r>
              <w:rPr>
                <w:rStyle w:val="10"/>
                <w:rFonts w:hint="eastAsia"/>
              </w:rPr>
              <w:t>中毒急救措施：</w:t>
            </w:r>
            <w:r>
              <w:rPr>
                <w:rFonts w:hint="eastAsia"/>
              </w:rPr>
              <w:br w:type="textWrapping"/>
            </w:r>
            <w:r>
              <w:rPr>
                <w:rStyle w:val="11"/>
                <w:rFonts w:hint="eastAsia"/>
              </w:rPr>
              <w:t>急救措施：不慎接触皮肤，应脱去污染的衣物，用软布去除沾染农药，立即用肥皂水彻底清洗；不慎溅入眼睛，应用大量清水冲洗至少15分钟；不慎吸入，立即离开施药现场，转移到空气清新处；误服而发生中毒现象时，禁止引吐，请速携标签就医，并依据中毒情况对症治疗。无特效解毒剂。</w:t>
            </w:r>
          </w:p>
        </w:tc>
      </w:tr>
      <w:tr w14:paraId="24C4A463">
        <w:tblPrEx>
          <w:tblCellMar>
            <w:top w:w="0" w:type="dxa"/>
            <w:left w:w="0" w:type="dxa"/>
            <w:bottom w:w="0" w:type="dxa"/>
            <w:right w:w="0" w:type="dxa"/>
          </w:tblCellMar>
        </w:tblPrEx>
        <w:trPr>
          <w:wBefore w:w="0" w:type="auto"/>
          <w:tblCellSpacing w:w="0" w:type="dxa"/>
        </w:trPr>
        <w:tc>
          <w:tcPr>
            <w:tcW w:w="0" w:type="auto"/>
            <w:noWrap w:val="0"/>
            <w:vAlign w:val="center"/>
          </w:tcPr>
          <w:p w14:paraId="3EE0D322">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6F174467">
        <w:tblPrEx>
          <w:tblCellMar>
            <w:top w:w="0" w:type="dxa"/>
            <w:left w:w="0" w:type="dxa"/>
            <w:bottom w:w="0" w:type="dxa"/>
            <w:right w:w="0" w:type="dxa"/>
          </w:tblCellMar>
        </w:tblPrEx>
        <w:trPr>
          <w:wBefore w:w="0" w:type="auto"/>
          <w:tblCellSpacing w:w="0" w:type="dxa"/>
        </w:trPr>
        <w:tc>
          <w:tcPr>
            <w:tcW w:w="0" w:type="auto"/>
            <w:noWrap w:val="0"/>
            <w:vAlign w:val="center"/>
          </w:tcPr>
          <w:p w14:paraId="5E95F5C6">
            <w:r>
              <w:rPr>
                <w:rStyle w:val="10"/>
                <w:rFonts w:hint="eastAsia"/>
              </w:rPr>
              <w:t>质量保证期：</w:t>
            </w:r>
            <w:r>
              <w:rPr>
                <w:rStyle w:val="11"/>
                <w:rFonts w:hint="eastAsia"/>
              </w:rPr>
              <w:t>2年</w:t>
            </w:r>
          </w:p>
        </w:tc>
      </w:tr>
      <w:tr w14:paraId="7A723281">
        <w:tblPrEx>
          <w:tblCellMar>
            <w:top w:w="0" w:type="dxa"/>
            <w:left w:w="0" w:type="dxa"/>
            <w:bottom w:w="0" w:type="dxa"/>
            <w:right w:w="0" w:type="dxa"/>
          </w:tblCellMar>
        </w:tblPrEx>
        <w:trPr>
          <w:wBefore w:w="0" w:type="auto"/>
          <w:tblCellSpacing w:w="0" w:type="dxa"/>
        </w:trPr>
        <w:tc>
          <w:tcPr>
            <w:tcW w:w="0" w:type="auto"/>
            <w:noWrap w:val="0"/>
            <w:vAlign w:val="center"/>
          </w:tcPr>
          <w:p w14:paraId="11FA806A">
            <w:r>
              <w:rPr>
                <w:rStyle w:val="10"/>
                <w:rFonts w:hint="eastAsia"/>
              </w:rPr>
              <w:t>备注：</w:t>
            </w:r>
          </w:p>
        </w:tc>
      </w:tr>
    </w:tbl>
    <w:p w14:paraId="476641F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248BC3D">
        <w:tblPrEx>
          <w:tblCellMar>
            <w:top w:w="0" w:type="dxa"/>
            <w:left w:w="0" w:type="dxa"/>
            <w:bottom w:w="0" w:type="dxa"/>
            <w:right w:w="0" w:type="dxa"/>
          </w:tblCellMar>
        </w:tblPrEx>
        <w:trPr>
          <w:wBefore w:w="0" w:type="auto"/>
          <w:tblCellSpacing w:w="0" w:type="dxa"/>
        </w:trPr>
        <w:tc>
          <w:tcPr>
            <w:tcW w:w="0" w:type="auto"/>
            <w:noWrap w:val="0"/>
            <w:vAlign w:val="center"/>
          </w:tcPr>
          <w:p w14:paraId="2232EB16">
            <w:r>
              <w:rPr>
                <w:rStyle w:val="10"/>
                <w:rFonts w:hint="eastAsia"/>
              </w:rPr>
              <w:t>登记证号：</w:t>
            </w:r>
            <w:r>
              <w:rPr>
                <w:rFonts w:hint="eastAsia"/>
              </w:rPr>
              <w:t>PD20212244</w:t>
            </w:r>
          </w:p>
        </w:tc>
      </w:tr>
      <w:tr w14:paraId="0B065F3C">
        <w:tblPrEx>
          <w:tblCellMar>
            <w:top w:w="0" w:type="dxa"/>
            <w:left w:w="0" w:type="dxa"/>
            <w:bottom w:w="0" w:type="dxa"/>
            <w:right w:w="0" w:type="dxa"/>
          </w:tblCellMar>
        </w:tblPrEx>
        <w:trPr>
          <w:wBefore w:w="0" w:type="auto"/>
          <w:tblCellSpacing w:w="0" w:type="dxa"/>
        </w:trPr>
        <w:tc>
          <w:tcPr>
            <w:tcW w:w="0" w:type="auto"/>
            <w:noWrap w:val="0"/>
            <w:vAlign w:val="center"/>
          </w:tcPr>
          <w:p w14:paraId="1F70A00A">
            <w:r>
              <w:rPr>
                <w:rStyle w:val="10"/>
                <w:rFonts w:hint="eastAsia"/>
              </w:rPr>
              <w:t>登记证持有人：</w:t>
            </w:r>
            <w:r>
              <w:rPr>
                <w:rFonts w:hint="eastAsia"/>
              </w:rPr>
              <w:t>山东中禾化学有限公司</w:t>
            </w:r>
          </w:p>
        </w:tc>
      </w:tr>
      <w:tr w14:paraId="355F2BF5">
        <w:tblPrEx>
          <w:tblCellMar>
            <w:top w:w="0" w:type="dxa"/>
            <w:left w:w="0" w:type="dxa"/>
            <w:bottom w:w="0" w:type="dxa"/>
            <w:right w:w="0" w:type="dxa"/>
          </w:tblCellMar>
        </w:tblPrEx>
        <w:trPr>
          <w:wBefore w:w="0" w:type="auto"/>
          <w:tblCellSpacing w:w="0" w:type="dxa"/>
        </w:trPr>
        <w:tc>
          <w:tcPr>
            <w:tcW w:w="0" w:type="auto"/>
            <w:noWrap w:val="0"/>
            <w:vAlign w:val="center"/>
          </w:tcPr>
          <w:p w14:paraId="6BF6EF91">
            <w:r>
              <w:rPr>
                <w:rStyle w:val="10"/>
                <w:rFonts w:hint="eastAsia"/>
              </w:rPr>
              <w:t>农药名称：</w:t>
            </w:r>
            <w:r>
              <w:rPr>
                <w:rFonts w:hint="eastAsia"/>
              </w:rPr>
              <w:t>二氯·莠去津</w:t>
            </w:r>
          </w:p>
        </w:tc>
      </w:tr>
      <w:tr w14:paraId="3AF1352D">
        <w:tblPrEx>
          <w:tblCellMar>
            <w:top w:w="0" w:type="dxa"/>
            <w:left w:w="0" w:type="dxa"/>
            <w:bottom w:w="0" w:type="dxa"/>
            <w:right w:w="0" w:type="dxa"/>
          </w:tblCellMar>
        </w:tblPrEx>
        <w:trPr>
          <w:wBefore w:w="0" w:type="auto"/>
          <w:tblCellSpacing w:w="0" w:type="dxa"/>
        </w:trPr>
        <w:tc>
          <w:tcPr>
            <w:tcW w:w="0" w:type="auto"/>
            <w:noWrap w:val="0"/>
            <w:vAlign w:val="center"/>
          </w:tcPr>
          <w:p w14:paraId="7F397B10">
            <w:r>
              <w:rPr>
                <w:rStyle w:val="10"/>
                <w:rFonts w:hint="eastAsia"/>
              </w:rPr>
              <w:t>剂型：</w:t>
            </w:r>
            <w:r>
              <w:rPr>
                <w:rFonts w:hint="eastAsia"/>
              </w:rPr>
              <w:t>可分散油悬浮剂</w:t>
            </w:r>
          </w:p>
        </w:tc>
      </w:tr>
      <w:tr w14:paraId="0787B578">
        <w:tblPrEx>
          <w:tblCellMar>
            <w:top w:w="0" w:type="dxa"/>
            <w:left w:w="0" w:type="dxa"/>
            <w:bottom w:w="0" w:type="dxa"/>
            <w:right w:w="0" w:type="dxa"/>
          </w:tblCellMar>
        </w:tblPrEx>
        <w:trPr>
          <w:wBefore w:w="0" w:type="auto"/>
          <w:tblCellSpacing w:w="0" w:type="dxa"/>
        </w:trPr>
        <w:tc>
          <w:tcPr>
            <w:tcW w:w="0" w:type="auto"/>
            <w:noWrap w:val="0"/>
            <w:vAlign w:val="center"/>
          </w:tcPr>
          <w:p w14:paraId="4BA797AB">
            <w:r>
              <w:rPr>
                <w:rStyle w:val="10"/>
                <w:rFonts w:hint="eastAsia"/>
              </w:rPr>
              <w:t>毒性及其标识：</w:t>
            </w:r>
            <w:r>
              <w:rPr>
                <w:rFonts w:hint="eastAsia"/>
              </w:rPr>
              <w:t xml:space="preserve"> </w:t>
            </w:r>
            <w:r>
              <w:rPr>
                <w:lang/>
              </w:rPr>
              <w:drawing>
                <wp:inline distT="0" distB="0" distL="114300" distR="114300">
                  <wp:extent cx="476250" cy="323850"/>
                  <wp:effectExtent l="0" t="0" r="0" b="0"/>
                  <wp:docPr id="415" name="图片 41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DF0A8F3">
        <w:tblPrEx>
          <w:tblCellMar>
            <w:top w:w="0" w:type="dxa"/>
            <w:left w:w="0" w:type="dxa"/>
            <w:bottom w:w="0" w:type="dxa"/>
            <w:right w:w="0" w:type="dxa"/>
          </w:tblCellMar>
        </w:tblPrEx>
        <w:trPr>
          <w:wBefore w:w="0" w:type="auto"/>
          <w:tblCellSpacing w:w="0" w:type="dxa"/>
        </w:trPr>
        <w:tc>
          <w:tcPr>
            <w:tcW w:w="0" w:type="auto"/>
            <w:noWrap w:val="0"/>
            <w:vAlign w:val="center"/>
          </w:tcPr>
          <w:p w14:paraId="2145D542">
            <w:r>
              <w:rPr>
                <w:rStyle w:val="10"/>
                <w:rFonts w:hint="eastAsia"/>
              </w:rPr>
              <w:t>总有效成分含量：</w:t>
            </w:r>
            <w:r>
              <w:rPr>
                <w:rFonts w:hint="eastAsia"/>
              </w:rPr>
              <w:t>30%</w:t>
            </w:r>
          </w:p>
        </w:tc>
      </w:tr>
      <w:tr w14:paraId="3035378D">
        <w:tblPrEx>
          <w:tblCellMar>
            <w:top w:w="0" w:type="dxa"/>
            <w:left w:w="0" w:type="dxa"/>
            <w:bottom w:w="0" w:type="dxa"/>
            <w:right w:w="0" w:type="dxa"/>
          </w:tblCellMar>
        </w:tblPrEx>
        <w:trPr>
          <w:wBefore w:w="0" w:type="auto"/>
          <w:tblCellSpacing w:w="0" w:type="dxa"/>
        </w:trPr>
        <w:tc>
          <w:tcPr>
            <w:tcW w:w="0" w:type="auto"/>
            <w:noWrap w:val="0"/>
            <w:vAlign w:val="center"/>
          </w:tcPr>
          <w:p w14:paraId="1BA9221D">
            <w:r>
              <w:rPr>
                <w:rFonts w:hint="eastAsia"/>
              </w:rPr>
              <w:t xml:space="preserve">有效成分及其含量： </w:t>
            </w:r>
          </w:p>
          <w:p w14:paraId="1A2C07C5">
            <w:r>
              <w:rPr>
                <w:rFonts w:hint="eastAsia"/>
              </w:rPr>
              <w:t xml:space="preserve">    二氯喹啉酸10%    莠去津20%    </w:t>
            </w:r>
          </w:p>
        </w:tc>
      </w:tr>
      <w:tr w14:paraId="67512482">
        <w:tblPrEx>
          <w:tblCellMar>
            <w:top w:w="0" w:type="dxa"/>
            <w:left w:w="0" w:type="dxa"/>
            <w:bottom w:w="0" w:type="dxa"/>
            <w:right w:w="0" w:type="dxa"/>
          </w:tblCellMar>
        </w:tblPrEx>
        <w:trPr>
          <w:wBefore w:w="0" w:type="auto"/>
          <w:tblCellSpacing w:w="0" w:type="dxa"/>
        </w:trPr>
        <w:tc>
          <w:tcPr>
            <w:tcW w:w="0" w:type="auto"/>
            <w:noWrap w:val="0"/>
            <w:vAlign w:val="center"/>
          </w:tcPr>
          <w:p w14:paraId="5054C4A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9BB2A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C025E7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FD717C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515083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4609B1B">
                  <w:r>
                    <w:rPr>
                      <w:rStyle w:val="11"/>
                      <w:rFonts w:hint="eastAsia"/>
                    </w:rPr>
                    <w:t>施用方式</w:t>
                  </w:r>
                </w:p>
              </w:tc>
            </w:tr>
            <w:tr w14:paraId="61D504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9998EF8">
                  <w:r>
                    <w:rPr>
                      <w:rStyle w:val="11"/>
                      <w:rFonts w:hint="eastAsia"/>
                    </w:rPr>
                    <w:t>高粱田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CB46D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FEC447">
                  <w:r>
                    <w:rPr>
                      <w:rStyle w:val="11"/>
                      <w:rFonts w:hint="eastAsia"/>
                    </w:rPr>
                    <w:t>140-180毫升/亩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7F00AC">
                  <w:r>
                    <w:rPr>
                      <w:rStyle w:val="11"/>
                      <w:rFonts w:hint="eastAsia"/>
                    </w:rPr>
                    <w:t>茎叶喷雾</w:t>
                  </w:r>
                </w:p>
              </w:tc>
            </w:tr>
          </w:tbl>
          <w:p w14:paraId="35D9841C">
            <w:pPr>
              <w:rPr>
                <w:rFonts w:ascii="Times New Roman" w:hAnsi="Times New Roman" w:cs="Times New Roman"/>
                <w:sz w:val="20"/>
                <w:szCs w:val="20"/>
              </w:rPr>
            </w:pPr>
          </w:p>
        </w:tc>
      </w:tr>
      <w:tr w14:paraId="1027AF3A">
        <w:tblPrEx>
          <w:tblCellMar>
            <w:top w:w="0" w:type="dxa"/>
            <w:left w:w="0" w:type="dxa"/>
            <w:bottom w:w="0" w:type="dxa"/>
            <w:right w:w="0" w:type="dxa"/>
          </w:tblCellMar>
        </w:tblPrEx>
        <w:trPr>
          <w:wBefore w:w="0" w:type="auto"/>
          <w:tblCellSpacing w:w="0" w:type="dxa"/>
        </w:trPr>
        <w:tc>
          <w:tcPr>
            <w:tcW w:w="0" w:type="auto"/>
            <w:noWrap w:val="0"/>
            <w:vAlign w:val="center"/>
          </w:tcPr>
          <w:p w14:paraId="185B94EC">
            <w:r>
              <w:rPr>
                <w:rStyle w:val="10"/>
                <w:rFonts w:hint="eastAsia"/>
              </w:rPr>
              <w:t>使用技术要求:</w:t>
            </w:r>
            <w:r>
              <w:rPr>
                <w:rFonts w:hint="eastAsia"/>
              </w:rPr>
              <w:br w:type="textWrapping"/>
            </w:r>
            <w:r>
              <w:rPr>
                <w:rStyle w:val="11"/>
                <w:rFonts w:hint="eastAsia"/>
              </w:rPr>
              <w:t>使用最佳时期为高粱3-5叶期，杂草1-3叶期，按每亩20-40公斤兑水，充分搅拌，均匀喷雾。每季最多使用1次。</w:t>
            </w:r>
          </w:p>
        </w:tc>
      </w:tr>
      <w:tr w14:paraId="0D6BE9E0">
        <w:tblPrEx>
          <w:tblCellMar>
            <w:top w:w="0" w:type="dxa"/>
            <w:left w:w="0" w:type="dxa"/>
            <w:bottom w:w="0" w:type="dxa"/>
            <w:right w:w="0" w:type="dxa"/>
          </w:tblCellMar>
        </w:tblPrEx>
        <w:trPr>
          <w:wBefore w:w="0" w:type="auto"/>
          <w:tblCellSpacing w:w="0" w:type="dxa"/>
        </w:trPr>
        <w:tc>
          <w:tcPr>
            <w:tcW w:w="0" w:type="auto"/>
            <w:noWrap w:val="0"/>
            <w:vAlign w:val="center"/>
          </w:tcPr>
          <w:p w14:paraId="14666D09">
            <w:r>
              <w:rPr>
                <w:rStyle w:val="10"/>
                <w:rFonts w:hint="eastAsia"/>
              </w:rPr>
              <w:t>产品性能:</w:t>
            </w:r>
            <w:r>
              <w:rPr>
                <w:rFonts w:hint="eastAsia"/>
              </w:rPr>
              <w:br w:type="textWrapping"/>
            </w:r>
            <w:r>
              <w:rPr>
                <w:rStyle w:val="11"/>
                <w:rFonts w:hint="eastAsia"/>
              </w:rPr>
              <w:t>本品为高粱田苗后早期茎叶处理除草剂，具有独特作用机理，作用速度快、杀草谱广且对高粱安全，对高粱田的部分阔叶杂草和稗草有较好的防治效果。</w:t>
            </w:r>
          </w:p>
        </w:tc>
      </w:tr>
      <w:tr w14:paraId="398D074C">
        <w:tblPrEx>
          <w:tblCellMar>
            <w:top w:w="0" w:type="dxa"/>
            <w:left w:w="0" w:type="dxa"/>
            <w:bottom w:w="0" w:type="dxa"/>
            <w:right w:w="0" w:type="dxa"/>
          </w:tblCellMar>
        </w:tblPrEx>
        <w:trPr>
          <w:wBefore w:w="0" w:type="auto"/>
          <w:tblCellSpacing w:w="0" w:type="dxa"/>
        </w:trPr>
        <w:tc>
          <w:tcPr>
            <w:tcW w:w="0" w:type="auto"/>
            <w:noWrap w:val="0"/>
            <w:vAlign w:val="center"/>
          </w:tcPr>
          <w:p w14:paraId="3AA89231">
            <w:r>
              <w:rPr>
                <w:rStyle w:val="10"/>
                <w:rFonts w:hint="eastAsia"/>
              </w:rPr>
              <w:t>注意事项：</w:t>
            </w:r>
            <w:r>
              <w:rPr>
                <w:rFonts w:hint="eastAsia"/>
              </w:rPr>
              <w:br w:type="textWrapping"/>
            </w:r>
            <w:r>
              <w:rPr>
                <w:rStyle w:val="11"/>
                <w:rFonts w:hint="eastAsia"/>
              </w:rPr>
              <w:t>1.施药时请避免雾滴漂移至邻近作物田。 2.本品耐雨水冲刷，药后3小时遇雨药效不受影响。 3.勿将本品与有机磷类、氨基甲酸酯类药剂混用，如使用前后间隔时间应在7天以上，请勿通过任何灌溉系统使用本品，勿将本品与悬浮肥料一同使用或与乳油剂型的苗后茎叶处理剂混用。 4.如遇毁(翻、补)种，只可补种高粱，补种后请勿再施用本品。 5.正常气候条件下，本品对后茬作物安全，但后茬种植甜菜、苜蓿、烟草、蔬菜、油菜、豆类需先做试验，后种植。一年两熟制地区，后茬作物不得种植油菜。 6.本品不得用于高粱与其它作物间作、混种田。 7.本品对豆类、十字花科作物敏感，施药时须防止飘移，以免其它作物发生药害。 8.使用本品时就应穿戴防护服、手套、口罩等防护用具；避免吸入药液。施药期间不可吃东西、饮水和吸烟等；施药后应及时洗手、洗脸等。 9.水产养殖区、河塘等水体附近禁用，禁止在河塘等水域内清洗放药器具，或将清洗放药器具的废水倒入河流、池塘等水源。桑园及蚕室附远附近禁用。10.用过的容器或包装物应妥善处理，不可作他用，也不可随意丢弃。 11.避免孕妇及哺乳期大的妇女接触。</w:t>
            </w:r>
          </w:p>
        </w:tc>
      </w:tr>
      <w:tr w14:paraId="159D60CE">
        <w:tblPrEx>
          <w:tblCellMar>
            <w:top w:w="0" w:type="dxa"/>
            <w:left w:w="0" w:type="dxa"/>
            <w:bottom w:w="0" w:type="dxa"/>
            <w:right w:w="0" w:type="dxa"/>
          </w:tblCellMar>
        </w:tblPrEx>
        <w:trPr>
          <w:wBefore w:w="0" w:type="auto"/>
          <w:tblCellSpacing w:w="0" w:type="dxa"/>
        </w:trPr>
        <w:tc>
          <w:tcPr>
            <w:tcW w:w="0" w:type="auto"/>
            <w:noWrap w:val="0"/>
            <w:vAlign w:val="center"/>
          </w:tcPr>
          <w:p w14:paraId="13A070DB">
            <w:r>
              <w:rPr>
                <w:rStyle w:val="10"/>
                <w:rFonts w:hint="eastAsia"/>
              </w:rPr>
              <w:t>中毒急救措施：</w:t>
            </w:r>
            <w:r>
              <w:rPr>
                <w:rFonts w:hint="eastAsia"/>
              </w:rPr>
              <w:br w:type="textWrapping"/>
            </w:r>
            <w:r>
              <w:rPr>
                <w:rStyle w:val="11"/>
                <w:rFonts w:hint="eastAsia"/>
              </w:rPr>
              <w:t>若不慎接触皮肤，应用大量清水冲洗干净；若溅入眼睛中，立即将眼睑翻开，用流动清水冲洗至少15分钟；如不慎吸入，应将病人移至空气流通处，严重时送医院诊治；误服时，带标签就医对症治疗。本品无特效解毒剂。</w:t>
            </w:r>
          </w:p>
        </w:tc>
      </w:tr>
      <w:tr w14:paraId="49FC4C32">
        <w:tblPrEx>
          <w:tblCellMar>
            <w:top w:w="0" w:type="dxa"/>
            <w:left w:w="0" w:type="dxa"/>
            <w:bottom w:w="0" w:type="dxa"/>
            <w:right w:w="0" w:type="dxa"/>
          </w:tblCellMar>
        </w:tblPrEx>
        <w:trPr>
          <w:wBefore w:w="0" w:type="auto"/>
          <w:tblCellSpacing w:w="0" w:type="dxa"/>
        </w:trPr>
        <w:tc>
          <w:tcPr>
            <w:tcW w:w="0" w:type="auto"/>
            <w:noWrap w:val="0"/>
            <w:vAlign w:val="center"/>
          </w:tcPr>
          <w:p w14:paraId="67D474E5">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本品应贮存在干燥、阴凉、通风、防雨处。远离火源或热源。置于儿童触及不到之处，并加锁。勿与食品、饮料、饲料等物品同贮同运。</w:t>
            </w:r>
          </w:p>
        </w:tc>
      </w:tr>
      <w:tr w14:paraId="54D4D886">
        <w:tblPrEx>
          <w:tblCellMar>
            <w:top w:w="0" w:type="dxa"/>
            <w:left w:w="0" w:type="dxa"/>
            <w:bottom w:w="0" w:type="dxa"/>
            <w:right w:w="0" w:type="dxa"/>
          </w:tblCellMar>
        </w:tblPrEx>
        <w:trPr>
          <w:wBefore w:w="0" w:type="auto"/>
          <w:tblCellSpacing w:w="0" w:type="dxa"/>
        </w:trPr>
        <w:tc>
          <w:tcPr>
            <w:tcW w:w="0" w:type="auto"/>
            <w:noWrap w:val="0"/>
            <w:vAlign w:val="center"/>
          </w:tcPr>
          <w:p w14:paraId="531E23F7">
            <w:r>
              <w:rPr>
                <w:rStyle w:val="10"/>
                <w:rFonts w:hint="eastAsia"/>
              </w:rPr>
              <w:t>质量保证期：</w:t>
            </w:r>
            <w:r>
              <w:rPr>
                <w:rStyle w:val="11"/>
                <w:rFonts w:hint="eastAsia"/>
              </w:rPr>
              <w:t>2年</w:t>
            </w:r>
          </w:p>
        </w:tc>
      </w:tr>
      <w:tr w14:paraId="1DE4BDBD">
        <w:tblPrEx>
          <w:tblCellMar>
            <w:top w:w="0" w:type="dxa"/>
            <w:left w:w="0" w:type="dxa"/>
            <w:bottom w:w="0" w:type="dxa"/>
            <w:right w:w="0" w:type="dxa"/>
          </w:tblCellMar>
        </w:tblPrEx>
        <w:trPr>
          <w:wBefore w:w="0" w:type="auto"/>
          <w:tblCellSpacing w:w="0" w:type="dxa"/>
        </w:trPr>
        <w:tc>
          <w:tcPr>
            <w:tcW w:w="0" w:type="auto"/>
            <w:noWrap w:val="0"/>
            <w:vAlign w:val="center"/>
          </w:tcPr>
          <w:p w14:paraId="6A2E11C7">
            <w:r>
              <w:rPr>
                <w:rStyle w:val="10"/>
                <w:rFonts w:hint="eastAsia"/>
              </w:rPr>
              <w:t>备注：</w:t>
            </w:r>
          </w:p>
        </w:tc>
      </w:tr>
    </w:tbl>
    <w:p w14:paraId="226254D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7F1EBA7">
        <w:tblPrEx>
          <w:tblCellMar>
            <w:top w:w="0" w:type="dxa"/>
            <w:left w:w="0" w:type="dxa"/>
            <w:bottom w:w="0" w:type="dxa"/>
            <w:right w:w="0" w:type="dxa"/>
          </w:tblCellMar>
        </w:tblPrEx>
        <w:trPr>
          <w:wBefore w:w="0" w:type="auto"/>
          <w:tblCellSpacing w:w="0" w:type="dxa"/>
        </w:trPr>
        <w:tc>
          <w:tcPr>
            <w:tcW w:w="0" w:type="auto"/>
            <w:noWrap w:val="0"/>
            <w:vAlign w:val="center"/>
          </w:tcPr>
          <w:p w14:paraId="6A3FEC46">
            <w:r>
              <w:rPr>
                <w:rStyle w:val="10"/>
                <w:rFonts w:hint="eastAsia"/>
              </w:rPr>
              <w:t>登记证号：</w:t>
            </w:r>
            <w:r>
              <w:rPr>
                <w:rFonts w:hint="eastAsia"/>
              </w:rPr>
              <w:t>PD20211752</w:t>
            </w:r>
          </w:p>
        </w:tc>
      </w:tr>
      <w:tr w14:paraId="5F1B3A87">
        <w:tblPrEx>
          <w:tblCellMar>
            <w:top w:w="0" w:type="dxa"/>
            <w:left w:w="0" w:type="dxa"/>
            <w:bottom w:w="0" w:type="dxa"/>
            <w:right w:w="0" w:type="dxa"/>
          </w:tblCellMar>
        </w:tblPrEx>
        <w:trPr>
          <w:wBefore w:w="0" w:type="auto"/>
          <w:tblCellSpacing w:w="0" w:type="dxa"/>
        </w:trPr>
        <w:tc>
          <w:tcPr>
            <w:tcW w:w="0" w:type="auto"/>
            <w:noWrap w:val="0"/>
            <w:vAlign w:val="center"/>
          </w:tcPr>
          <w:p w14:paraId="1B2E47C2">
            <w:r>
              <w:rPr>
                <w:rStyle w:val="10"/>
                <w:rFonts w:hint="eastAsia"/>
              </w:rPr>
              <w:t>登记证持有人：</w:t>
            </w:r>
            <w:r>
              <w:rPr>
                <w:rFonts w:hint="eastAsia"/>
              </w:rPr>
              <w:t>广西贝嘉尔生物化学制品有限公司</w:t>
            </w:r>
          </w:p>
        </w:tc>
      </w:tr>
      <w:tr w14:paraId="2FE06532">
        <w:tblPrEx>
          <w:tblCellMar>
            <w:top w:w="0" w:type="dxa"/>
            <w:left w:w="0" w:type="dxa"/>
            <w:bottom w:w="0" w:type="dxa"/>
            <w:right w:w="0" w:type="dxa"/>
          </w:tblCellMar>
        </w:tblPrEx>
        <w:trPr>
          <w:wBefore w:w="0" w:type="auto"/>
          <w:tblCellSpacing w:w="0" w:type="dxa"/>
        </w:trPr>
        <w:tc>
          <w:tcPr>
            <w:tcW w:w="0" w:type="auto"/>
            <w:noWrap w:val="0"/>
            <w:vAlign w:val="center"/>
          </w:tcPr>
          <w:p w14:paraId="18E89155">
            <w:r>
              <w:rPr>
                <w:rStyle w:val="10"/>
                <w:rFonts w:hint="eastAsia"/>
              </w:rPr>
              <w:t>农药名称：</w:t>
            </w:r>
            <w:r>
              <w:rPr>
                <w:rFonts w:hint="eastAsia"/>
              </w:rPr>
              <w:t>虫螨·茚虫威</w:t>
            </w:r>
          </w:p>
        </w:tc>
      </w:tr>
      <w:tr w14:paraId="3E3FC07B">
        <w:tblPrEx>
          <w:tblCellMar>
            <w:top w:w="0" w:type="dxa"/>
            <w:left w:w="0" w:type="dxa"/>
            <w:bottom w:w="0" w:type="dxa"/>
            <w:right w:w="0" w:type="dxa"/>
          </w:tblCellMar>
        </w:tblPrEx>
        <w:trPr>
          <w:wBefore w:w="0" w:type="auto"/>
          <w:tblCellSpacing w:w="0" w:type="dxa"/>
        </w:trPr>
        <w:tc>
          <w:tcPr>
            <w:tcW w:w="0" w:type="auto"/>
            <w:noWrap w:val="0"/>
            <w:vAlign w:val="center"/>
          </w:tcPr>
          <w:p w14:paraId="41EB7185">
            <w:r>
              <w:rPr>
                <w:rStyle w:val="10"/>
                <w:rFonts w:hint="eastAsia"/>
              </w:rPr>
              <w:t>剂型：</w:t>
            </w:r>
            <w:r>
              <w:rPr>
                <w:rFonts w:hint="eastAsia"/>
              </w:rPr>
              <w:t>悬浮剂</w:t>
            </w:r>
          </w:p>
        </w:tc>
      </w:tr>
      <w:tr w14:paraId="6499C6F4">
        <w:tblPrEx>
          <w:tblCellMar>
            <w:top w:w="0" w:type="dxa"/>
            <w:left w:w="0" w:type="dxa"/>
            <w:bottom w:w="0" w:type="dxa"/>
            <w:right w:w="0" w:type="dxa"/>
          </w:tblCellMar>
        </w:tblPrEx>
        <w:trPr>
          <w:wBefore w:w="0" w:type="auto"/>
          <w:tblCellSpacing w:w="0" w:type="dxa"/>
        </w:trPr>
        <w:tc>
          <w:tcPr>
            <w:tcW w:w="0" w:type="auto"/>
            <w:noWrap w:val="0"/>
            <w:vAlign w:val="center"/>
          </w:tcPr>
          <w:p w14:paraId="48BFE532">
            <w:r>
              <w:rPr>
                <w:rStyle w:val="10"/>
                <w:rFonts w:hint="eastAsia"/>
              </w:rPr>
              <w:t>毒性及其标识：</w:t>
            </w:r>
            <w:r>
              <w:rPr>
                <w:rFonts w:hint="eastAsia"/>
              </w:rPr>
              <w:t xml:space="preserve"> </w:t>
            </w:r>
            <w:r>
              <w:rPr>
                <w:lang/>
              </w:rPr>
              <w:drawing>
                <wp:inline distT="0" distB="0" distL="114300" distR="114300">
                  <wp:extent cx="476250" cy="323850"/>
                  <wp:effectExtent l="0" t="0" r="0" b="0"/>
                  <wp:docPr id="416" name="图片 416"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61122EC0">
        <w:tblPrEx>
          <w:tblCellMar>
            <w:top w:w="0" w:type="dxa"/>
            <w:left w:w="0" w:type="dxa"/>
            <w:bottom w:w="0" w:type="dxa"/>
            <w:right w:w="0" w:type="dxa"/>
          </w:tblCellMar>
        </w:tblPrEx>
        <w:trPr>
          <w:wBefore w:w="0" w:type="auto"/>
          <w:tblCellSpacing w:w="0" w:type="dxa"/>
        </w:trPr>
        <w:tc>
          <w:tcPr>
            <w:tcW w:w="0" w:type="auto"/>
            <w:noWrap w:val="0"/>
            <w:vAlign w:val="center"/>
          </w:tcPr>
          <w:p w14:paraId="5BA02261">
            <w:r>
              <w:rPr>
                <w:rStyle w:val="10"/>
                <w:rFonts w:hint="eastAsia"/>
              </w:rPr>
              <w:t>总有效成分含量：</w:t>
            </w:r>
            <w:r>
              <w:rPr>
                <w:rFonts w:hint="eastAsia"/>
              </w:rPr>
              <w:t>30%</w:t>
            </w:r>
          </w:p>
        </w:tc>
      </w:tr>
      <w:tr w14:paraId="78C8DDFF">
        <w:tblPrEx>
          <w:tblCellMar>
            <w:top w:w="0" w:type="dxa"/>
            <w:left w:w="0" w:type="dxa"/>
            <w:bottom w:w="0" w:type="dxa"/>
            <w:right w:w="0" w:type="dxa"/>
          </w:tblCellMar>
        </w:tblPrEx>
        <w:trPr>
          <w:wBefore w:w="0" w:type="auto"/>
          <w:tblCellSpacing w:w="0" w:type="dxa"/>
        </w:trPr>
        <w:tc>
          <w:tcPr>
            <w:tcW w:w="0" w:type="auto"/>
            <w:noWrap w:val="0"/>
            <w:vAlign w:val="center"/>
          </w:tcPr>
          <w:p w14:paraId="4372A8FA">
            <w:r>
              <w:rPr>
                <w:rFonts w:hint="eastAsia"/>
              </w:rPr>
              <w:t xml:space="preserve">有效成分及其含量： </w:t>
            </w:r>
          </w:p>
          <w:p w14:paraId="5A006D47">
            <w:r>
              <w:rPr>
                <w:rFonts w:hint="eastAsia"/>
              </w:rPr>
              <w:t xml:space="preserve">    茚虫威12%    虫螨腈18%    </w:t>
            </w:r>
          </w:p>
        </w:tc>
      </w:tr>
      <w:tr w14:paraId="49E07A2C">
        <w:tblPrEx>
          <w:tblCellMar>
            <w:top w:w="0" w:type="dxa"/>
            <w:left w:w="0" w:type="dxa"/>
            <w:bottom w:w="0" w:type="dxa"/>
            <w:right w:w="0" w:type="dxa"/>
          </w:tblCellMar>
        </w:tblPrEx>
        <w:trPr>
          <w:wBefore w:w="0" w:type="auto"/>
          <w:tblCellSpacing w:w="0" w:type="dxa"/>
        </w:trPr>
        <w:tc>
          <w:tcPr>
            <w:tcW w:w="0" w:type="auto"/>
            <w:noWrap w:val="0"/>
            <w:vAlign w:val="center"/>
          </w:tcPr>
          <w:p w14:paraId="702DA64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9E32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D1808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6FC833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FC56E1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AF0342C">
                  <w:r>
                    <w:rPr>
                      <w:rStyle w:val="11"/>
                      <w:rFonts w:hint="eastAsia"/>
                    </w:rPr>
                    <w:t>施用方式</w:t>
                  </w:r>
                </w:p>
              </w:tc>
            </w:tr>
            <w:tr w14:paraId="540AB8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9D6BB6">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0278B0">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BD2B80">
                  <w:r>
                    <w:rPr>
                      <w:rStyle w:val="11"/>
                      <w:rFonts w:hint="eastAsia"/>
                    </w:rPr>
                    <w:t>15-18毫升/亩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2E094D">
                  <w:r>
                    <w:rPr>
                      <w:rStyle w:val="11"/>
                      <w:rFonts w:hint="eastAsia"/>
                    </w:rPr>
                    <w:t>喷雾</w:t>
                  </w:r>
                </w:p>
              </w:tc>
            </w:tr>
          </w:tbl>
          <w:p w14:paraId="659CB398">
            <w:pPr>
              <w:rPr>
                <w:rFonts w:ascii="Times New Roman" w:hAnsi="Times New Roman" w:cs="Times New Roman"/>
                <w:sz w:val="20"/>
                <w:szCs w:val="20"/>
              </w:rPr>
            </w:pPr>
          </w:p>
        </w:tc>
      </w:tr>
      <w:tr w14:paraId="139A5B68">
        <w:tblPrEx>
          <w:tblCellMar>
            <w:top w:w="0" w:type="dxa"/>
            <w:left w:w="0" w:type="dxa"/>
            <w:bottom w:w="0" w:type="dxa"/>
            <w:right w:w="0" w:type="dxa"/>
          </w:tblCellMar>
        </w:tblPrEx>
        <w:trPr>
          <w:wBefore w:w="0" w:type="auto"/>
          <w:tblCellSpacing w:w="0" w:type="dxa"/>
        </w:trPr>
        <w:tc>
          <w:tcPr>
            <w:tcW w:w="0" w:type="auto"/>
            <w:noWrap w:val="0"/>
            <w:vAlign w:val="center"/>
          </w:tcPr>
          <w:p w14:paraId="59DF8057">
            <w:r>
              <w:rPr>
                <w:rStyle w:val="10"/>
                <w:rFonts w:hint="eastAsia"/>
              </w:rPr>
              <w:t>使用技术要求:</w:t>
            </w:r>
            <w:r>
              <w:rPr>
                <w:rFonts w:hint="eastAsia"/>
              </w:rPr>
              <w:br w:type="textWrapping"/>
            </w:r>
            <w:r>
              <w:rPr>
                <w:rStyle w:val="11"/>
                <w:rFonts w:hint="eastAsia"/>
              </w:rPr>
              <w:t>1. 本品适宜的施药时期为甘蓝甜菜夜蛾低龄幼虫发生始盛期，施药1次为宜，注意喷雾均匀、周到。 2. 本品在甘蓝上使用的安全间隔期为10天，每季最多使用2次。 3. 大风天或预计1小时内降雨，请勿施药。</w:t>
            </w:r>
          </w:p>
        </w:tc>
      </w:tr>
      <w:tr w14:paraId="7D3A9815">
        <w:tblPrEx>
          <w:tblCellMar>
            <w:top w:w="0" w:type="dxa"/>
            <w:left w:w="0" w:type="dxa"/>
            <w:bottom w:w="0" w:type="dxa"/>
            <w:right w:w="0" w:type="dxa"/>
          </w:tblCellMar>
        </w:tblPrEx>
        <w:trPr>
          <w:wBefore w:w="0" w:type="auto"/>
          <w:tblCellSpacing w:w="0" w:type="dxa"/>
        </w:trPr>
        <w:tc>
          <w:tcPr>
            <w:tcW w:w="0" w:type="auto"/>
            <w:noWrap w:val="0"/>
            <w:vAlign w:val="center"/>
          </w:tcPr>
          <w:p w14:paraId="44013B9D">
            <w:r>
              <w:rPr>
                <w:rStyle w:val="10"/>
                <w:rFonts w:hint="eastAsia"/>
              </w:rPr>
              <w:t>产品性能:</w:t>
            </w:r>
            <w:r>
              <w:rPr>
                <w:rFonts w:hint="eastAsia"/>
              </w:rPr>
              <w:br w:type="textWrapping"/>
            </w:r>
            <w:r>
              <w:rPr>
                <w:rStyle w:val="11"/>
                <w:rFonts w:hint="eastAsia"/>
              </w:rPr>
              <w:t xml:space="preserve">本品是由虫螨腈与茚虫威复配而成的杀虫剂，其作用机理是抑制二磷酸腺苷（ADP）向三磷酸腺苷（ATP）的转化，阻断害虫神经细胞中的钠通道，导致靶标害虫麻痹、最终死亡。按推荐剂量使用时，对甘蓝甜菜夜蛾有较好的防治效果，且对供试甘蓝安全。 </w:t>
            </w:r>
          </w:p>
        </w:tc>
      </w:tr>
      <w:tr w14:paraId="0E209B31">
        <w:tblPrEx>
          <w:tblCellMar>
            <w:top w:w="0" w:type="dxa"/>
            <w:left w:w="0" w:type="dxa"/>
            <w:bottom w:w="0" w:type="dxa"/>
            <w:right w:w="0" w:type="dxa"/>
          </w:tblCellMar>
        </w:tblPrEx>
        <w:trPr>
          <w:wBefore w:w="0" w:type="auto"/>
          <w:tblCellSpacing w:w="0" w:type="dxa"/>
        </w:trPr>
        <w:tc>
          <w:tcPr>
            <w:tcW w:w="0" w:type="auto"/>
            <w:noWrap w:val="0"/>
            <w:vAlign w:val="center"/>
          </w:tcPr>
          <w:p w14:paraId="24D32E24">
            <w:r>
              <w:rPr>
                <w:rStyle w:val="10"/>
                <w:rFonts w:hint="eastAsia"/>
              </w:rPr>
              <w:t>注意事项：</w:t>
            </w:r>
            <w:r>
              <w:rPr>
                <w:rFonts w:hint="eastAsia"/>
              </w:rPr>
              <w:br w:type="textWrapping"/>
            </w:r>
            <w:r>
              <w:rPr>
                <w:rStyle w:val="11"/>
                <w:rFonts w:hint="eastAsia"/>
              </w:rPr>
              <w:t>1. 严格按照规定用药量和方法使用。 2. 本品不可与呈碱性的农药等物质混用，避免与具有氧化性物质接触或混合。3. 建议与其他作用机制不同的杀虫剂 轮换使用，以延缓抗性产生。4. 本品对鱼、大型溞、蜂、蚕毒性高，水产养殖区、河塘等水体附近禁用； 禁止在河塘等水体中清洗施药器具；蚕室及桑园附近、鸟类保护区附近禁用，赤眼蜂等天敌放飞区域禁用； 养蜂场所和周围开花植物花期禁用，使用时应密切关注对附近蜂群的影响。5. 使用本品时应穿防护服和戴手套，避免吸入药液。施药期间不可吃东西和饮水，施药后应及时洗手和洗脸。6. 用过的容器应妥善处理，不可做他用，也不可随意丢弃。7. 孕妇及哺乳期妇女禁止接触本品。</w:t>
            </w:r>
          </w:p>
        </w:tc>
      </w:tr>
      <w:tr w14:paraId="04332B3B">
        <w:tblPrEx>
          <w:tblCellMar>
            <w:top w:w="0" w:type="dxa"/>
            <w:left w:w="0" w:type="dxa"/>
            <w:bottom w:w="0" w:type="dxa"/>
            <w:right w:w="0" w:type="dxa"/>
          </w:tblCellMar>
        </w:tblPrEx>
        <w:trPr>
          <w:wBefore w:w="0" w:type="auto"/>
          <w:tblCellSpacing w:w="0" w:type="dxa"/>
        </w:trPr>
        <w:tc>
          <w:tcPr>
            <w:tcW w:w="0" w:type="auto"/>
            <w:noWrap w:val="0"/>
            <w:vAlign w:val="center"/>
          </w:tcPr>
          <w:p w14:paraId="7A38712B">
            <w:r>
              <w:rPr>
                <w:rStyle w:val="10"/>
                <w:rFonts w:hint="eastAsia"/>
              </w:rPr>
              <w:t>中毒急救措施：</w:t>
            </w:r>
            <w:r>
              <w:rPr>
                <w:rFonts w:hint="eastAsia"/>
              </w:rPr>
              <w:br w:type="textWrapping"/>
            </w:r>
            <w:r>
              <w:rPr>
                <w:rStyle w:val="11"/>
                <w:rFonts w:hint="eastAsia"/>
              </w:rPr>
              <w:t xml:space="preserve">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 </w:t>
            </w:r>
          </w:p>
        </w:tc>
      </w:tr>
      <w:tr w14:paraId="40F7E718">
        <w:tblPrEx>
          <w:tblCellMar>
            <w:top w:w="0" w:type="dxa"/>
            <w:left w:w="0" w:type="dxa"/>
            <w:bottom w:w="0" w:type="dxa"/>
            <w:right w:w="0" w:type="dxa"/>
          </w:tblCellMar>
        </w:tblPrEx>
        <w:trPr>
          <w:wBefore w:w="0" w:type="auto"/>
          <w:tblCellSpacing w:w="0" w:type="dxa"/>
        </w:trPr>
        <w:tc>
          <w:tcPr>
            <w:tcW w:w="0" w:type="auto"/>
            <w:noWrap w:val="0"/>
            <w:vAlign w:val="center"/>
          </w:tcPr>
          <w:p w14:paraId="547795C1">
            <w:r>
              <w:rPr>
                <w:rStyle w:val="10"/>
                <w:rFonts w:hint="eastAsia"/>
              </w:rPr>
              <w:t>储存和运输方法：</w:t>
            </w:r>
            <w:r>
              <w:rPr>
                <w:rFonts w:hint="eastAsia"/>
              </w:rPr>
              <w:br w:type="textWrapping"/>
            </w:r>
            <w:r>
              <w:rPr>
                <w:rStyle w:val="11"/>
                <w:rFonts w:hint="eastAsia"/>
              </w:rPr>
              <w:t xml:space="preserve">本品应贮存在干燥、阴凉、通风、防雨处。置于儿童、无关人员触及不到之处，并加锁。勿与食品、饮料、饲料和粮食其他商品同贮同运。 </w:t>
            </w:r>
          </w:p>
        </w:tc>
      </w:tr>
      <w:tr w14:paraId="231844BF">
        <w:tblPrEx>
          <w:tblCellMar>
            <w:top w:w="0" w:type="dxa"/>
            <w:left w:w="0" w:type="dxa"/>
            <w:bottom w:w="0" w:type="dxa"/>
            <w:right w:w="0" w:type="dxa"/>
          </w:tblCellMar>
        </w:tblPrEx>
        <w:trPr>
          <w:wBefore w:w="0" w:type="auto"/>
          <w:tblCellSpacing w:w="0" w:type="dxa"/>
        </w:trPr>
        <w:tc>
          <w:tcPr>
            <w:tcW w:w="0" w:type="auto"/>
            <w:noWrap w:val="0"/>
            <w:vAlign w:val="center"/>
          </w:tcPr>
          <w:p w14:paraId="7F8D0342">
            <w:r>
              <w:rPr>
                <w:rStyle w:val="10"/>
                <w:rFonts w:hint="eastAsia"/>
              </w:rPr>
              <w:t>质量保证期：</w:t>
            </w:r>
            <w:r>
              <w:rPr>
                <w:rStyle w:val="11"/>
                <w:rFonts w:hint="eastAsia"/>
              </w:rPr>
              <w:t>2年</w:t>
            </w:r>
          </w:p>
        </w:tc>
      </w:tr>
      <w:tr w14:paraId="4D562C72">
        <w:tblPrEx>
          <w:tblCellMar>
            <w:top w:w="0" w:type="dxa"/>
            <w:left w:w="0" w:type="dxa"/>
            <w:bottom w:w="0" w:type="dxa"/>
            <w:right w:w="0" w:type="dxa"/>
          </w:tblCellMar>
        </w:tblPrEx>
        <w:trPr>
          <w:wBefore w:w="0" w:type="auto"/>
          <w:tblCellSpacing w:w="0" w:type="dxa"/>
        </w:trPr>
        <w:tc>
          <w:tcPr>
            <w:tcW w:w="0" w:type="auto"/>
            <w:noWrap w:val="0"/>
            <w:vAlign w:val="center"/>
          </w:tcPr>
          <w:p w14:paraId="0F77D357">
            <w:r>
              <w:rPr>
                <w:rStyle w:val="10"/>
                <w:rFonts w:hint="eastAsia"/>
              </w:rPr>
              <w:t>备注：</w:t>
            </w:r>
          </w:p>
        </w:tc>
      </w:tr>
    </w:tbl>
    <w:p w14:paraId="5E110C2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DDFAF65">
        <w:tblPrEx>
          <w:tblCellMar>
            <w:top w:w="0" w:type="dxa"/>
            <w:left w:w="0" w:type="dxa"/>
            <w:bottom w:w="0" w:type="dxa"/>
            <w:right w:w="0" w:type="dxa"/>
          </w:tblCellMar>
        </w:tblPrEx>
        <w:trPr>
          <w:wBefore w:w="0" w:type="auto"/>
          <w:tblCellSpacing w:w="0" w:type="dxa"/>
        </w:trPr>
        <w:tc>
          <w:tcPr>
            <w:tcW w:w="0" w:type="auto"/>
            <w:noWrap w:val="0"/>
            <w:vAlign w:val="center"/>
          </w:tcPr>
          <w:p w14:paraId="7E388576">
            <w:r>
              <w:rPr>
                <w:rStyle w:val="10"/>
                <w:rFonts w:hint="eastAsia"/>
              </w:rPr>
              <w:t>登记证号：</w:t>
            </w:r>
            <w:r>
              <w:rPr>
                <w:rFonts w:hint="eastAsia"/>
              </w:rPr>
              <w:t>PD20211785</w:t>
            </w:r>
          </w:p>
        </w:tc>
      </w:tr>
      <w:tr w14:paraId="0F9353F4">
        <w:tblPrEx>
          <w:tblCellMar>
            <w:top w:w="0" w:type="dxa"/>
            <w:left w:w="0" w:type="dxa"/>
            <w:bottom w:w="0" w:type="dxa"/>
            <w:right w:w="0" w:type="dxa"/>
          </w:tblCellMar>
        </w:tblPrEx>
        <w:trPr>
          <w:wBefore w:w="0" w:type="auto"/>
          <w:tblCellSpacing w:w="0" w:type="dxa"/>
        </w:trPr>
        <w:tc>
          <w:tcPr>
            <w:tcW w:w="0" w:type="auto"/>
            <w:noWrap w:val="0"/>
            <w:vAlign w:val="center"/>
          </w:tcPr>
          <w:p w14:paraId="477192FF">
            <w:r>
              <w:rPr>
                <w:rStyle w:val="10"/>
                <w:rFonts w:hint="eastAsia"/>
              </w:rPr>
              <w:t>登记证持有人：</w:t>
            </w:r>
            <w:r>
              <w:rPr>
                <w:rFonts w:hint="eastAsia"/>
              </w:rPr>
              <w:t>江苏省盐城双宁农化有限公司</w:t>
            </w:r>
          </w:p>
        </w:tc>
      </w:tr>
      <w:tr w14:paraId="68CFDD30">
        <w:tblPrEx>
          <w:tblCellMar>
            <w:top w:w="0" w:type="dxa"/>
            <w:left w:w="0" w:type="dxa"/>
            <w:bottom w:w="0" w:type="dxa"/>
            <w:right w:w="0" w:type="dxa"/>
          </w:tblCellMar>
        </w:tblPrEx>
        <w:trPr>
          <w:wBefore w:w="0" w:type="auto"/>
          <w:tblCellSpacing w:w="0" w:type="dxa"/>
        </w:trPr>
        <w:tc>
          <w:tcPr>
            <w:tcW w:w="0" w:type="auto"/>
            <w:noWrap w:val="0"/>
            <w:vAlign w:val="center"/>
          </w:tcPr>
          <w:p w14:paraId="15CB9FA5">
            <w:r>
              <w:rPr>
                <w:rStyle w:val="10"/>
                <w:rFonts w:hint="eastAsia"/>
              </w:rPr>
              <w:t>农药名称：</w:t>
            </w:r>
            <w:r>
              <w:rPr>
                <w:rFonts w:hint="eastAsia"/>
              </w:rPr>
              <w:t>氟啶虫酰胺</w:t>
            </w:r>
          </w:p>
        </w:tc>
      </w:tr>
      <w:tr w14:paraId="39F51A57">
        <w:tblPrEx>
          <w:tblCellMar>
            <w:top w:w="0" w:type="dxa"/>
            <w:left w:w="0" w:type="dxa"/>
            <w:bottom w:w="0" w:type="dxa"/>
            <w:right w:w="0" w:type="dxa"/>
          </w:tblCellMar>
        </w:tblPrEx>
        <w:trPr>
          <w:wBefore w:w="0" w:type="auto"/>
          <w:tblCellSpacing w:w="0" w:type="dxa"/>
        </w:trPr>
        <w:tc>
          <w:tcPr>
            <w:tcW w:w="0" w:type="auto"/>
            <w:noWrap w:val="0"/>
            <w:vAlign w:val="center"/>
          </w:tcPr>
          <w:p w14:paraId="61BA42CB">
            <w:r>
              <w:rPr>
                <w:rStyle w:val="10"/>
                <w:rFonts w:hint="eastAsia"/>
              </w:rPr>
              <w:t>剂型：</w:t>
            </w:r>
            <w:r>
              <w:rPr>
                <w:rFonts w:hint="eastAsia"/>
              </w:rPr>
              <w:t>悬浮剂</w:t>
            </w:r>
          </w:p>
        </w:tc>
      </w:tr>
      <w:tr w14:paraId="5E34A945">
        <w:tblPrEx>
          <w:tblCellMar>
            <w:top w:w="0" w:type="dxa"/>
            <w:left w:w="0" w:type="dxa"/>
            <w:bottom w:w="0" w:type="dxa"/>
            <w:right w:w="0" w:type="dxa"/>
          </w:tblCellMar>
        </w:tblPrEx>
        <w:trPr>
          <w:wBefore w:w="0" w:type="auto"/>
          <w:tblCellSpacing w:w="0" w:type="dxa"/>
        </w:trPr>
        <w:tc>
          <w:tcPr>
            <w:tcW w:w="0" w:type="auto"/>
            <w:noWrap w:val="0"/>
            <w:vAlign w:val="center"/>
          </w:tcPr>
          <w:p w14:paraId="162EBC70">
            <w:r>
              <w:rPr>
                <w:rStyle w:val="10"/>
                <w:rFonts w:hint="eastAsia"/>
              </w:rPr>
              <w:t>毒性及其标识：</w:t>
            </w:r>
            <w:r>
              <w:rPr>
                <w:rFonts w:hint="eastAsia"/>
              </w:rPr>
              <w:t xml:space="preserve"> 微毒 </w:t>
            </w:r>
          </w:p>
        </w:tc>
      </w:tr>
      <w:tr w14:paraId="6069DF2A">
        <w:tblPrEx>
          <w:tblCellMar>
            <w:top w:w="0" w:type="dxa"/>
            <w:left w:w="0" w:type="dxa"/>
            <w:bottom w:w="0" w:type="dxa"/>
            <w:right w:w="0" w:type="dxa"/>
          </w:tblCellMar>
        </w:tblPrEx>
        <w:trPr>
          <w:wBefore w:w="0" w:type="auto"/>
          <w:tblCellSpacing w:w="0" w:type="dxa"/>
        </w:trPr>
        <w:tc>
          <w:tcPr>
            <w:tcW w:w="0" w:type="auto"/>
            <w:noWrap w:val="0"/>
            <w:vAlign w:val="center"/>
          </w:tcPr>
          <w:p w14:paraId="1F45D308">
            <w:r>
              <w:rPr>
                <w:rStyle w:val="10"/>
                <w:rFonts w:hint="eastAsia"/>
              </w:rPr>
              <w:t>总有效成分含量：</w:t>
            </w:r>
            <w:r>
              <w:rPr>
                <w:rFonts w:hint="eastAsia"/>
              </w:rPr>
              <w:t>20%</w:t>
            </w:r>
          </w:p>
        </w:tc>
      </w:tr>
      <w:tr w14:paraId="75448D1D">
        <w:tblPrEx>
          <w:tblCellMar>
            <w:top w:w="0" w:type="dxa"/>
            <w:left w:w="0" w:type="dxa"/>
            <w:bottom w:w="0" w:type="dxa"/>
            <w:right w:w="0" w:type="dxa"/>
          </w:tblCellMar>
        </w:tblPrEx>
        <w:trPr>
          <w:wBefore w:w="0" w:type="auto"/>
          <w:tblCellSpacing w:w="0" w:type="dxa"/>
        </w:trPr>
        <w:tc>
          <w:tcPr>
            <w:tcW w:w="0" w:type="auto"/>
            <w:noWrap w:val="0"/>
            <w:vAlign w:val="center"/>
          </w:tcPr>
          <w:p w14:paraId="5514AC01">
            <w:r>
              <w:rPr>
                <w:rFonts w:hint="eastAsia"/>
              </w:rPr>
              <w:t xml:space="preserve">有效成分及其含量： </w:t>
            </w:r>
          </w:p>
          <w:p w14:paraId="17178F74">
            <w:r>
              <w:rPr>
                <w:rFonts w:hint="eastAsia"/>
              </w:rPr>
              <w:t xml:space="preserve">    氟啶虫酰胺20%    </w:t>
            </w:r>
          </w:p>
        </w:tc>
      </w:tr>
      <w:tr w14:paraId="088A5AE4">
        <w:tblPrEx>
          <w:tblCellMar>
            <w:top w:w="0" w:type="dxa"/>
            <w:left w:w="0" w:type="dxa"/>
            <w:bottom w:w="0" w:type="dxa"/>
            <w:right w:w="0" w:type="dxa"/>
          </w:tblCellMar>
        </w:tblPrEx>
        <w:trPr>
          <w:wBefore w:w="0" w:type="auto"/>
          <w:tblCellSpacing w:w="0" w:type="dxa"/>
        </w:trPr>
        <w:tc>
          <w:tcPr>
            <w:tcW w:w="0" w:type="auto"/>
            <w:noWrap w:val="0"/>
            <w:vAlign w:val="center"/>
          </w:tcPr>
          <w:p w14:paraId="35F4236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7E95D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3C0B2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1F8392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1DA7B4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E6264D0">
                  <w:r>
                    <w:rPr>
                      <w:rStyle w:val="11"/>
                      <w:rFonts w:hint="eastAsia"/>
                    </w:rPr>
                    <w:t>施用方式</w:t>
                  </w:r>
                </w:p>
              </w:tc>
            </w:tr>
            <w:tr w14:paraId="392FF51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BA15BAD">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B87C37">
                  <w:r>
                    <w:rPr>
                      <w:rStyle w:val="11"/>
                      <w:rFonts w:hint="eastAsia"/>
                    </w:rPr>
                    <w:t>稻飞虱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BBA0E4">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E60626">
                  <w:r>
                    <w:rPr>
                      <w:rStyle w:val="11"/>
                      <w:rFonts w:hint="eastAsia"/>
                    </w:rPr>
                    <w:t>喷雾</w:t>
                  </w:r>
                </w:p>
              </w:tc>
            </w:tr>
          </w:tbl>
          <w:p w14:paraId="354E1F3E">
            <w:pPr>
              <w:rPr>
                <w:rFonts w:ascii="Times New Roman" w:hAnsi="Times New Roman" w:cs="Times New Roman"/>
                <w:sz w:val="20"/>
                <w:szCs w:val="20"/>
              </w:rPr>
            </w:pPr>
          </w:p>
        </w:tc>
      </w:tr>
      <w:tr w14:paraId="6C542566">
        <w:tblPrEx>
          <w:tblCellMar>
            <w:top w:w="0" w:type="dxa"/>
            <w:left w:w="0" w:type="dxa"/>
            <w:bottom w:w="0" w:type="dxa"/>
            <w:right w:w="0" w:type="dxa"/>
          </w:tblCellMar>
        </w:tblPrEx>
        <w:trPr>
          <w:wBefore w:w="0" w:type="auto"/>
          <w:tblCellSpacing w:w="0" w:type="dxa"/>
        </w:trPr>
        <w:tc>
          <w:tcPr>
            <w:tcW w:w="0" w:type="auto"/>
            <w:noWrap w:val="0"/>
            <w:vAlign w:val="center"/>
          </w:tcPr>
          <w:p w14:paraId="769E55A9">
            <w:r>
              <w:rPr>
                <w:rStyle w:val="10"/>
                <w:rFonts w:hint="eastAsia"/>
              </w:rPr>
              <w:t>使用技术要求:</w:t>
            </w:r>
            <w:r>
              <w:rPr>
                <w:rFonts w:hint="eastAsia"/>
              </w:rPr>
              <w:br w:type="textWrapping"/>
            </w:r>
            <w:r>
              <w:rPr>
                <w:rStyle w:val="11"/>
                <w:rFonts w:hint="eastAsia"/>
              </w:rPr>
              <w:t>1.在水稻稻飞虱若虫始盛期，以推荐剂量对水均匀喷雾施药一次。2. 大风天或预计1小时之内有雨，请勿施药。3.最多施药1次，安全间隔期21天。</w:t>
            </w:r>
          </w:p>
        </w:tc>
      </w:tr>
      <w:tr w14:paraId="399712A3">
        <w:tblPrEx>
          <w:tblCellMar>
            <w:top w:w="0" w:type="dxa"/>
            <w:left w:w="0" w:type="dxa"/>
            <w:bottom w:w="0" w:type="dxa"/>
            <w:right w:w="0" w:type="dxa"/>
          </w:tblCellMar>
        </w:tblPrEx>
        <w:trPr>
          <w:wBefore w:w="0" w:type="auto"/>
          <w:tblCellSpacing w:w="0" w:type="dxa"/>
        </w:trPr>
        <w:tc>
          <w:tcPr>
            <w:tcW w:w="0" w:type="auto"/>
            <w:noWrap w:val="0"/>
            <w:vAlign w:val="center"/>
          </w:tcPr>
          <w:p w14:paraId="4531AB5F">
            <w:r>
              <w:rPr>
                <w:rStyle w:val="10"/>
                <w:rFonts w:hint="eastAsia"/>
              </w:rPr>
              <w:t>产品性能:</w:t>
            </w:r>
            <w:r>
              <w:rPr>
                <w:rFonts w:hint="eastAsia"/>
              </w:rPr>
              <w:br w:type="textWrapping"/>
            </w:r>
            <w:r>
              <w:rPr>
                <w:rStyle w:val="11"/>
                <w:rFonts w:hint="eastAsia"/>
              </w:rPr>
              <w:t>氟啶虫酰胺是一种新型低毒吡啶酰胺类昆虫生长调节剂类杀虫剂，具有触杀和胃毒作用，还具有很好的神经毒剂和快速拒食作用。持效性较长，对水稻稻飞虱有较好防效。</w:t>
            </w:r>
          </w:p>
        </w:tc>
      </w:tr>
      <w:tr w14:paraId="0D74870C">
        <w:tblPrEx>
          <w:tblCellMar>
            <w:top w:w="0" w:type="dxa"/>
            <w:left w:w="0" w:type="dxa"/>
            <w:bottom w:w="0" w:type="dxa"/>
            <w:right w:w="0" w:type="dxa"/>
          </w:tblCellMar>
        </w:tblPrEx>
        <w:trPr>
          <w:wBefore w:w="0" w:type="auto"/>
          <w:tblCellSpacing w:w="0" w:type="dxa"/>
        </w:trPr>
        <w:tc>
          <w:tcPr>
            <w:tcW w:w="0" w:type="auto"/>
            <w:noWrap w:val="0"/>
            <w:vAlign w:val="center"/>
          </w:tcPr>
          <w:p w14:paraId="49B0FADD">
            <w:r>
              <w:rPr>
                <w:rStyle w:val="10"/>
                <w:rFonts w:hint="eastAsia"/>
              </w:rPr>
              <w:t>注意事项：</w:t>
            </w:r>
            <w:r>
              <w:rPr>
                <w:rFonts w:hint="eastAsia"/>
              </w:rPr>
              <w:br w:type="textWrapping"/>
            </w:r>
            <w:r>
              <w:rPr>
                <w:rStyle w:val="11"/>
                <w:rFonts w:hint="eastAsia"/>
              </w:rPr>
              <w:t>1、使用本品时应穿戴防护服和手套，避免吸入药液。施药期间不可吃东西和饮水。施药后应及时洗手和洗脸。2、对水生生物有毒，鱼或虾蟹套养稻田禁用，施药后的田水不得直接排入水体。要远离水产养殖区、河塘等水域施药，禁止在河塘等水体中清洗施药器具。3、用过的容器应妥善处理，不可做它用，也不可随意丢弃。4、孕妇与哺乳期妇女禁止接触。5、建议与其他作用机制不同的杀虫剂轮换使用，以延缓抗性产生。6、避免与氧化剂接触。</w:t>
            </w:r>
          </w:p>
        </w:tc>
      </w:tr>
      <w:tr w14:paraId="5CD338A4">
        <w:tblPrEx>
          <w:tblCellMar>
            <w:top w:w="0" w:type="dxa"/>
            <w:left w:w="0" w:type="dxa"/>
            <w:bottom w:w="0" w:type="dxa"/>
            <w:right w:w="0" w:type="dxa"/>
          </w:tblCellMar>
        </w:tblPrEx>
        <w:trPr>
          <w:wBefore w:w="0" w:type="auto"/>
          <w:tblCellSpacing w:w="0" w:type="dxa"/>
        </w:trPr>
        <w:tc>
          <w:tcPr>
            <w:tcW w:w="0" w:type="auto"/>
            <w:noWrap w:val="0"/>
            <w:vAlign w:val="center"/>
          </w:tcPr>
          <w:p w14:paraId="6F5825C4">
            <w:r>
              <w:rPr>
                <w:rStyle w:val="10"/>
                <w:rFonts w:hint="eastAsia"/>
              </w:rPr>
              <w:t>中毒急救措施：</w:t>
            </w:r>
            <w:r>
              <w:rPr>
                <w:rFonts w:hint="eastAsia"/>
              </w:rPr>
              <w:br w:type="textWrapping"/>
            </w:r>
            <w:r>
              <w:rPr>
                <w:rStyle w:val="11"/>
                <w:rFonts w:hint="eastAsia"/>
              </w:rPr>
              <w:t>不慎接触到皮肤或溅入眼睛，用大量清水清洗皮肤或眼睛15-20分钟。不慎吸入，应将病人移至空气流通处；如病人停止呼吸，应立即进行人工呼吸。误服后未经医生允许，切勿催吐，如病人可吞咽，可适量饮水。中毒后，应立即携容器或此标签就医。</w:t>
            </w:r>
          </w:p>
        </w:tc>
      </w:tr>
      <w:tr w14:paraId="0D955A66">
        <w:tblPrEx>
          <w:tblCellMar>
            <w:top w:w="0" w:type="dxa"/>
            <w:left w:w="0" w:type="dxa"/>
            <w:bottom w:w="0" w:type="dxa"/>
            <w:right w:w="0" w:type="dxa"/>
          </w:tblCellMar>
        </w:tblPrEx>
        <w:trPr>
          <w:wBefore w:w="0" w:type="auto"/>
          <w:tblCellSpacing w:w="0" w:type="dxa"/>
        </w:trPr>
        <w:tc>
          <w:tcPr>
            <w:tcW w:w="0" w:type="auto"/>
            <w:noWrap w:val="0"/>
            <w:vAlign w:val="center"/>
          </w:tcPr>
          <w:p w14:paraId="4EBC32C0">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本品应贮存在干燥、阴凉、通风、防雨处，远离火源或热源。置于儿童触及不到之处，并加锁。勿与食品、饮料、饲料等其他商品同贮同运。</w:t>
            </w:r>
          </w:p>
        </w:tc>
      </w:tr>
      <w:tr w14:paraId="14B8FCDC">
        <w:tblPrEx>
          <w:tblCellMar>
            <w:top w:w="0" w:type="dxa"/>
            <w:left w:w="0" w:type="dxa"/>
            <w:bottom w:w="0" w:type="dxa"/>
            <w:right w:w="0" w:type="dxa"/>
          </w:tblCellMar>
        </w:tblPrEx>
        <w:trPr>
          <w:wBefore w:w="0" w:type="auto"/>
          <w:tblCellSpacing w:w="0" w:type="dxa"/>
        </w:trPr>
        <w:tc>
          <w:tcPr>
            <w:tcW w:w="0" w:type="auto"/>
            <w:noWrap w:val="0"/>
            <w:vAlign w:val="center"/>
          </w:tcPr>
          <w:p w14:paraId="196FE03C">
            <w:r>
              <w:rPr>
                <w:rStyle w:val="10"/>
                <w:rFonts w:hint="eastAsia"/>
              </w:rPr>
              <w:t>质量保证期：</w:t>
            </w:r>
            <w:r>
              <w:rPr>
                <w:rStyle w:val="11"/>
                <w:rFonts w:hint="eastAsia"/>
              </w:rPr>
              <w:t>2年</w:t>
            </w:r>
          </w:p>
        </w:tc>
      </w:tr>
      <w:tr w14:paraId="0BAC469B">
        <w:tblPrEx>
          <w:tblCellMar>
            <w:top w:w="0" w:type="dxa"/>
            <w:left w:w="0" w:type="dxa"/>
            <w:bottom w:w="0" w:type="dxa"/>
            <w:right w:w="0" w:type="dxa"/>
          </w:tblCellMar>
        </w:tblPrEx>
        <w:trPr>
          <w:wBefore w:w="0" w:type="auto"/>
          <w:tblCellSpacing w:w="0" w:type="dxa"/>
        </w:trPr>
        <w:tc>
          <w:tcPr>
            <w:tcW w:w="0" w:type="auto"/>
            <w:noWrap w:val="0"/>
            <w:vAlign w:val="center"/>
          </w:tcPr>
          <w:p w14:paraId="6483C998">
            <w:r>
              <w:rPr>
                <w:rStyle w:val="10"/>
                <w:rFonts w:hint="eastAsia"/>
              </w:rPr>
              <w:t>备注：</w:t>
            </w:r>
          </w:p>
        </w:tc>
      </w:tr>
    </w:tbl>
    <w:p w14:paraId="0E8824A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94BAE8">
        <w:tblPrEx>
          <w:tblCellMar>
            <w:top w:w="0" w:type="dxa"/>
            <w:left w:w="0" w:type="dxa"/>
            <w:bottom w:w="0" w:type="dxa"/>
            <w:right w:w="0" w:type="dxa"/>
          </w:tblCellMar>
        </w:tblPrEx>
        <w:trPr>
          <w:wBefore w:w="0" w:type="auto"/>
          <w:tblCellSpacing w:w="0" w:type="dxa"/>
        </w:trPr>
        <w:tc>
          <w:tcPr>
            <w:tcW w:w="0" w:type="auto"/>
            <w:noWrap w:val="0"/>
            <w:vAlign w:val="center"/>
          </w:tcPr>
          <w:p w14:paraId="794E8671">
            <w:r>
              <w:rPr>
                <w:rStyle w:val="10"/>
                <w:rFonts w:hint="eastAsia"/>
              </w:rPr>
              <w:t>登记证号：</w:t>
            </w:r>
            <w:r>
              <w:rPr>
                <w:rFonts w:hint="eastAsia"/>
              </w:rPr>
              <w:t>PD20212043</w:t>
            </w:r>
          </w:p>
        </w:tc>
      </w:tr>
      <w:tr w14:paraId="10F6E521">
        <w:tblPrEx>
          <w:tblCellMar>
            <w:top w:w="0" w:type="dxa"/>
            <w:left w:w="0" w:type="dxa"/>
            <w:bottom w:w="0" w:type="dxa"/>
            <w:right w:w="0" w:type="dxa"/>
          </w:tblCellMar>
        </w:tblPrEx>
        <w:trPr>
          <w:wBefore w:w="0" w:type="auto"/>
          <w:tblCellSpacing w:w="0" w:type="dxa"/>
        </w:trPr>
        <w:tc>
          <w:tcPr>
            <w:tcW w:w="0" w:type="auto"/>
            <w:noWrap w:val="0"/>
            <w:vAlign w:val="center"/>
          </w:tcPr>
          <w:p w14:paraId="5A3C36D1">
            <w:r>
              <w:rPr>
                <w:rStyle w:val="10"/>
                <w:rFonts w:hint="eastAsia"/>
              </w:rPr>
              <w:t>登记证持有人：</w:t>
            </w:r>
            <w:r>
              <w:rPr>
                <w:rFonts w:hint="eastAsia"/>
              </w:rPr>
              <w:t>湖南泽丰农化有限公司</w:t>
            </w:r>
          </w:p>
        </w:tc>
      </w:tr>
      <w:tr w14:paraId="7B8C4B42">
        <w:tblPrEx>
          <w:tblCellMar>
            <w:top w:w="0" w:type="dxa"/>
            <w:left w:w="0" w:type="dxa"/>
            <w:bottom w:w="0" w:type="dxa"/>
            <w:right w:w="0" w:type="dxa"/>
          </w:tblCellMar>
        </w:tblPrEx>
        <w:trPr>
          <w:wBefore w:w="0" w:type="auto"/>
          <w:tblCellSpacing w:w="0" w:type="dxa"/>
        </w:trPr>
        <w:tc>
          <w:tcPr>
            <w:tcW w:w="0" w:type="auto"/>
            <w:noWrap w:val="0"/>
            <w:vAlign w:val="center"/>
          </w:tcPr>
          <w:p w14:paraId="1A7EF5D8">
            <w:r>
              <w:rPr>
                <w:rStyle w:val="10"/>
                <w:rFonts w:hint="eastAsia"/>
              </w:rPr>
              <w:t>农药名称：</w:t>
            </w:r>
            <w:r>
              <w:rPr>
                <w:rFonts w:hint="eastAsia"/>
              </w:rPr>
              <w:t>24-表·嘌呤</w:t>
            </w:r>
          </w:p>
        </w:tc>
      </w:tr>
      <w:tr w14:paraId="7D0872A8">
        <w:tblPrEx>
          <w:tblCellMar>
            <w:top w:w="0" w:type="dxa"/>
            <w:left w:w="0" w:type="dxa"/>
            <w:bottom w:w="0" w:type="dxa"/>
            <w:right w:w="0" w:type="dxa"/>
          </w:tblCellMar>
        </w:tblPrEx>
        <w:trPr>
          <w:wBefore w:w="0" w:type="auto"/>
          <w:tblCellSpacing w:w="0" w:type="dxa"/>
        </w:trPr>
        <w:tc>
          <w:tcPr>
            <w:tcW w:w="0" w:type="auto"/>
            <w:noWrap w:val="0"/>
            <w:vAlign w:val="center"/>
          </w:tcPr>
          <w:p w14:paraId="6F257AF0">
            <w:r>
              <w:rPr>
                <w:rStyle w:val="10"/>
                <w:rFonts w:hint="eastAsia"/>
              </w:rPr>
              <w:t>剂型：</w:t>
            </w:r>
            <w:r>
              <w:rPr>
                <w:rFonts w:hint="eastAsia"/>
              </w:rPr>
              <w:t>可溶液剂</w:t>
            </w:r>
          </w:p>
        </w:tc>
      </w:tr>
      <w:tr w14:paraId="6B1490BB">
        <w:tblPrEx>
          <w:tblCellMar>
            <w:top w:w="0" w:type="dxa"/>
            <w:left w:w="0" w:type="dxa"/>
            <w:bottom w:w="0" w:type="dxa"/>
            <w:right w:w="0" w:type="dxa"/>
          </w:tblCellMar>
        </w:tblPrEx>
        <w:trPr>
          <w:wBefore w:w="0" w:type="auto"/>
          <w:tblCellSpacing w:w="0" w:type="dxa"/>
        </w:trPr>
        <w:tc>
          <w:tcPr>
            <w:tcW w:w="0" w:type="auto"/>
            <w:noWrap w:val="0"/>
            <w:vAlign w:val="center"/>
          </w:tcPr>
          <w:p w14:paraId="14AC70B6">
            <w:r>
              <w:rPr>
                <w:rStyle w:val="10"/>
                <w:rFonts w:hint="eastAsia"/>
              </w:rPr>
              <w:t>毒性及其标识：</w:t>
            </w:r>
            <w:r>
              <w:rPr>
                <w:rFonts w:hint="eastAsia"/>
              </w:rPr>
              <w:t xml:space="preserve"> 微毒 </w:t>
            </w:r>
          </w:p>
        </w:tc>
      </w:tr>
      <w:tr w14:paraId="2D5A1AA2">
        <w:tblPrEx>
          <w:tblCellMar>
            <w:top w:w="0" w:type="dxa"/>
            <w:left w:w="0" w:type="dxa"/>
            <w:bottom w:w="0" w:type="dxa"/>
            <w:right w:w="0" w:type="dxa"/>
          </w:tblCellMar>
        </w:tblPrEx>
        <w:trPr>
          <w:wBefore w:w="0" w:type="auto"/>
          <w:tblCellSpacing w:w="0" w:type="dxa"/>
        </w:trPr>
        <w:tc>
          <w:tcPr>
            <w:tcW w:w="0" w:type="auto"/>
            <w:noWrap w:val="0"/>
            <w:vAlign w:val="center"/>
          </w:tcPr>
          <w:p w14:paraId="00AE04FA">
            <w:r>
              <w:rPr>
                <w:rStyle w:val="10"/>
                <w:rFonts w:hint="eastAsia"/>
              </w:rPr>
              <w:t>总有效成分含量：</w:t>
            </w:r>
            <w:r>
              <w:rPr>
                <w:rFonts w:hint="eastAsia"/>
              </w:rPr>
              <w:t>2%</w:t>
            </w:r>
          </w:p>
        </w:tc>
      </w:tr>
      <w:tr w14:paraId="176C1875">
        <w:tblPrEx>
          <w:tblCellMar>
            <w:top w:w="0" w:type="dxa"/>
            <w:left w:w="0" w:type="dxa"/>
            <w:bottom w:w="0" w:type="dxa"/>
            <w:right w:w="0" w:type="dxa"/>
          </w:tblCellMar>
        </w:tblPrEx>
        <w:trPr>
          <w:wBefore w:w="0" w:type="auto"/>
          <w:tblCellSpacing w:w="0" w:type="dxa"/>
        </w:trPr>
        <w:tc>
          <w:tcPr>
            <w:tcW w:w="0" w:type="auto"/>
            <w:noWrap w:val="0"/>
            <w:vAlign w:val="center"/>
          </w:tcPr>
          <w:p w14:paraId="60605333">
            <w:r>
              <w:rPr>
                <w:rFonts w:hint="eastAsia"/>
              </w:rPr>
              <w:t xml:space="preserve">有效成分及其含量： </w:t>
            </w:r>
          </w:p>
          <w:p w14:paraId="5B2365BE">
            <w:r>
              <w:rPr>
                <w:rFonts w:hint="eastAsia"/>
              </w:rPr>
              <w:t xml:space="preserve">    苄氨基嘌呤1.98%    24-表芸苔素内酯0.02%    </w:t>
            </w:r>
          </w:p>
        </w:tc>
      </w:tr>
      <w:tr w14:paraId="3B514AD1">
        <w:tblPrEx>
          <w:tblCellMar>
            <w:top w:w="0" w:type="dxa"/>
            <w:left w:w="0" w:type="dxa"/>
            <w:bottom w:w="0" w:type="dxa"/>
            <w:right w:w="0" w:type="dxa"/>
          </w:tblCellMar>
        </w:tblPrEx>
        <w:trPr>
          <w:wBefore w:w="0" w:type="auto"/>
          <w:tblCellSpacing w:w="0" w:type="dxa"/>
        </w:trPr>
        <w:tc>
          <w:tcPr>
            <w:tcW w:w="0" w:type="auto"/>
            <w:noWrap w:val="0"/>
            <w:vAlign w:val="center"/>
          </w:tcPr>
          <w:p w14:paraId="19A6557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DD16D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FBF3DE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F3547D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5D33F7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1A48B63">
                  <w:r>
                    <w:rPr>
                      <w:rStyle w:val="11"/>
                      <w:rFonts w:hint="eastAsia"/>
                    </w:rPr>
                    <w:t>施用方式</w:t>
                  </w:r>
                </w:p>
              </w:tc>
            </w:tr>
            <w:tr w14:paraId="1DAA68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B11117A">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F14733">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2E069B">
                  <w:r>
                    <w:rPr>
                      <w:rStyle w:val="11"/>
                      <w:rFonts w:hint="eastAsia"/>
                    </w:rPr>
                    <w:t>5500-6500倍液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5A43DB">
                  <w:r>
                    <w:rPr>
                      <w:rStyle w:val="11"/>
                      <w:rFonts w:hint="eastAsia"/>
                    </w:rPr>
                    <w:t>喷雾</w:t>
                  </w:r>
                </w:p>
              </w:tc>
            </w:tr>
            <w:tr w14:paraId="28B38D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AF8A265">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01BDFF">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FEC3A4">
                  <w:r>
                    <w:rPr>
                      <w:rStyle w:val="11"/>
                      <w:rFonts w:hint="eastAsia"/>
                    </w:rPr>
                    <w:t>6000-8000倍液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2A4A17">
                  <w:r>
                    <w:rPr>
                      <w:rStyle w:val="11"/>
                      <w:rFonts w:hint="eastAsia"/>
                    </w:rPr>
                    <w:t>喷雾</w:t>
                  </w:r>
                </w:p>
              </w:tc>
            </w:tr>
          </w:tbl>
          <w:p w14:paraId="283A5D60">
            <w:pPr>
              <w:rPr>
                <w:rFonts w:ascii="Times New Roman" w:hAnsi="Times New Roman" w:cs="Times New Roman"/>
                <w:sz w:val="20"/>
                <w:szCs w:val="20"/>
              </w:rPr>
            </w:pPr>
          </w:p>
        </w:tc>
      </w:tr>
      <w:tr w14:paraId="40CD998F">
        <w:tblPrEx>
          <w:tblCellMar>
            <w:top w:w="0" w:type="dxa"/>
            <w:left w:w="0" w:type="dxa"/>
            <w:bottom w:w="0" w:type="dxa"/>
            <w:right w:w="0" w:type="dxa"/>
          </w:tblCellMar>
        </w:tblPrEx>
        <w:trPr>
          <w:wBefore w:w="0" w:type="auto"/>
          <w:tblCellSpacing w:w="0" w:type="dxa"/>
        </w:trPr>
        <w:tc>
          <w:tcPr>
            <w:tcW w:w="0" w:type="auto"/>
            <w:noWrap w:val="0"/>
            <w:vAlign w:val="center"/>
          </w:tcPr>
          <w:p w14:paraId="3074890F">
            <w:r>
              <w:rPr>
                <w:rStyle w:val="10"/>
                <w:rFonts w:hint="eastAsia"/>
              </w:rPr>
              <w:t>使用技术要求:</w:t>
            </w:r>
            <w:r>
              <w:rPr>
                <w:rFonts w:hint="eastAsia"/>
              </w:rPr>
              <w:br w:type="textWrapping"/>
            </w:r>
            <w:r>
              <w:rPr>
                <w:rStyle w:val="11"/>
                <w:rFonts w:hint="eastAsia"/>
              </w:rPr>
              <w:t>1.本品应于番茄、柑橘始花期、坐果期、幼果期各施药一次，喷药应注意均匀覆盖全株，须使用足量药液。2.大风天或预计1小时内有雨，请勿施药。3.本品在番茄、柑橘上每季使用3次。</w:t>
            </w:r>
          </w:p>
        </w:tc>
      </w:tr>
      <w:tr w14:paraId="57B8F588">
        <w:tblPrEx>
          <w:tblCellMar>
            <w:top w:w="0" w:type="dxa"/>
            <w:left w:w="0" w:type="dxa"/>
            <w:bottom w:w="0" w:type="dxa"/>
            <w:right w:w="0" w:type="dxa"/>
          </w:tblCellMar>
        </w:tblPrEx>
        <w:trPr>
          <w:wBefore w:w="0" w:type="auto"/>
          <w:tblCellSpacing w:w="0" w:type="dxa"/>
        </w:trPr>
        <w:tc>
          <w:tcPr>
            <w:tcW w:w="0" w:type="auto"/>
            <w:noWrap w:val="0"/>
            <w:vAlign w:val="center"/>
          </w:tcPr>
          <w:p w14:paraId="03690C76">
            <w:r>
              <w:rPr>
                <w:rStyle w:val="10"/>
                <w:rFonts w:hint="eastAsia"/>
              </w:rPr>
              <w:t>产品性能:</w:t>
            </w:r>
            <w:r>
              <w:rPr>
                <w:rFonts w:hint="eastAsia"/>
              </w:rPr>
              <w:br w:type="textWrapping"/>
            </w:r>
            <w:r>
              <w:rPr>
                <w:rStyle w:val="11"/>
                <w:rFonts w:hint="eastAsia"/>
              </w:rPr>
              <w:t>本品是一种由苄氨基嘌呤与24-表芸苔内酯混配而成的植物生长调节剂，具有抑制植物叶内叶绿素、核酸、蛋白质的分解，防止衰老的作用；亦具有使作物生长，增加营养体收获量；提高坐果率，促进果实肥大，提高结实率，增加千粒重；提高作物的耐冷性，减轻药害，增加抗病性等作用。按推荐剂量使用时，对柑橘、番茄生长具有较好的调节作用，且对供试柑橘树、番茄较安全。</w:t>
            </w:r>
          </w:p>
        </w:tc>
      </w:tr>
      <w:tr w14:paraId="5959B99F">
        <w:tblPrEx>
          <w:tblCellMar>
            <w:top w:w="0" w:type="dxa"/>
            <w:left w:w="0" w:type="dxa"/>
            <w:bottom w:w="0" w:type="dxa"/>
            <w:right w:w="0" w:type="dxa"/>
          </w:tblCellMar>
        </w:tblPrEx>
        <w:trPr>
          <w:wBefore w:w="0" w:type="auto"/>
          <w:tblCellSpacing w:w="0" w:type="dxa"/>
        </w:trPr>
        <w:tc>
          <w:tcPr>
            <w:tcW w:w="0" w:type="auto"/>
            <w:noWrap w:val="0"/>
            <w:vAlign w:val="center"/>
          </w:tcPr>
          <w:p w14:paraId="0C9D1406">
            <w:r>
              <w:rPr>
                <w:rStyle w:val="10"/>
                <w:rFonts w:hint="eastAsia"/>
              </w:rPr>
              <w:t>注意事项：</w:t>
            </w:r>
            <w:r>
              <w:rPr>
                <w:rFonts w:hint="eastAsia"/>
              </w:rPr>
              <w:br w:type="textWrapping"/>
            </w:r>
            <w:r>
              <w:rPr>
                <w:rStyle w:val="11"/>
                <w:rFonts w:hint="eastAsia"/>
              </w:rPr>
              <w:t>（1）严格按照规定用药量和方法使用。（2）该产品不可与碱性农药等物质混用，建议与其他作用机制不同的植物生长调节剂轮换使用，以延缓抗性产生。（3）禁止在河塘等水体中清洗施药器具。药液及其废液不得污染各类水域、土壤等环境。（4）使用本品应采取相应的安全防护措施，穿防护服，戴防护手套、口罩等，避免皮肤接触及口鼻吸入。使用中不可吸烟、饮水及吃东西，使用后及时清洗手、脸等暴露部位皮肤并更换衣物。（5）用药后包装物及用过的容器应妥善处理，不可做他用，也不可随意丢弃。（6）孕妇及哺乳期妇女禁止接触。（7）避免与具有氧化/还原性物质接触。</w:t>
            </w:r>
          </w:p>
        </w:tc>
      </w:tr>
      <w:tr w14:paraId="4154F819">
        <w:tblPrEx>
          <w:tblCellMar>
            <w:top w:w="0" w:type="dxa"/>
            <w:left w:w="0" w:type="dxa"/>
            <w:bottom w:w="0" w:type="dxa"/>
            <w:right w:w="0" w:type="dxa"/>
          </w:tblCellMar>
        </w:tblPrEx>
        <w:trPr>
          <w:wBefore w:w="0" w:type="auto"/>
          <w:tblCellSpacing w:w="0" w:type="dxa"/>
        </w:trPr>
        <w:tc>
          <w:tcPr>
            <w:tcW w:w="0" w:type="auto"/>
            <w:noWrap w:val="0"/>
            <w:vAlign w:val="center"/>
          </w:tcPr>
          <w:p w14:paraId="1CC1B261">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6E432DC7">
        <w:tblPrEx>
          <w:tblCellMar>
            <w:top w:w="0" w:type="dxa"/>
            <w:left w:w="0" w:type="dxa"/>
            <w:bottom w:w="0" w:type="dxa"/>
            <w:right w:w="0" w:type="dxa"/>
          </w:tblCellMar>
        </w:tblPrEx>
        <w:trPr>
          <w:wBefore w:w="0" w:type="auto"/>
          <w:tblCellSpacing w:w="0" w:type="dxa"/>
        </w:trPr>
        <w:tc>
          <w:tcPr>
            <w:tcW w:w="0" w:type="auto"/>
            <w:noWrap w:val="0"/>
            <w:vAlign w:val="center"/>
          </w:tcPr>
          <w:p w14:paraId="7D2CBEC5">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66299EF4">
        <w:tblPrEx>
          <w:tblCellMar>
            <w:top w:w="0" w:type="dxa"/>
            <w:left w:w="0" w:type="dxa"/>
            <w:bottom w:w="0" w:type="dxa"/>
            <w:right w:w="0" w:type="dxa"/>
          </w:tblCellMar>
        </w:tblPrEx>
        <w:trPr>
          <w:wBefore w:w="0" w:type="auto"/>
          <w:tblCellSpacing w:w="0" w:type="dxa"/>
        </w:trPr>
        <w:tc>
          <w:tcPr>
            <w:tcW w:w="0" w:type="auto"/>
            <w:noWrap w:val="0"/>
            <w:vAlign w:val="center"/>
          </w:tcPr>
          <w:p w14:paraId="10EF3E43">
            <w:r>
              <w:rPr>
                <w:rStyle w:val="10"/>
                <w:rFonts w:hint="eastAsia"/>
              </w:rPr>
              <w:t>质量保证期：</w:t>
            </w:r>
            <w:r>
              <w:rPr>
                <w:rStyle w:val="11"/>
                <w:rFonts w:hint="eastAsia"/>
              </w:rPr>
              <w:t>2年</w:t>
            </w:r>
          </w:p>
        </w:tc>
      </w:tr>
      <w:tr w14:paraId="1F3756D1">
        <w:tblPrEx>
          <w:tblCellMar>
            <w:top w:w="0" w:type="dxa"/>
            <w:left w:w="0" w:type="dxa"/>
            <w:bottom w:w="0" w:type="dxa"/>
            <w:right w:w="0" w:type="dxa"/>
          </w:tblCellMar>
        </w:tblPrEx>
        <w:trPr>
          <w:wBefore w:w="0" w:type="auto"/>
          <w:tblCellSpacing w:w="0" w:type="dxa"/>
        </w:trPr>
        <w:tc>
          <w:tcPr>
            <w:tcW w:w="0" w:type="auto"/>
            <w:noWrap w:val="0"/>
            <w:vAlign w:val="center"/>
          </w:tcPr>
          <w:p w14:paraId="2357B18F">
            <w:r>
              <w:rPr>
                <w:rStyle w:val="10"/>
                <w:rFonts w:hint="eastAsia"/>
              </w:rPr>
              <w:t>备注：</w:t>
            </w:r>
          </w:p>
        </w:tc>
      </w:tr>
    </w:tbl>
    <w:p w14:paraId="169F8E8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E83011">
        <w:tblPrEx>
          <w:tblCellMar>
            <w:top w:w="0" w:type="dxa"/>
            <w:left w:w="0" w:type="dxa"/>
            <w:bottom w:w="0" w:type="dxa"/>
            <w:right w:w="0" w:type="dxa"/>
          </w:tblCellMar>
        </w:tblPrEx>
        <w:trPr>
          <w:wBefore w:w="0" w:type="auto"/>
          <w:tblCellSpacing w:w="0" w:type="dxa"/>
        </w:trPr>
        <w:tc>
          <w:tcPr>
            <w:tcW w:w="0" w:type="auto"/>
            <w:noWrap w:val="0"/>
            <w:vAlign w:val="center"/>
          </w:tcPr>
          <w:p w14:paraId="286BC870">
            <w:r>
              <w:rPr>
                <w:rStyle w:val="10"/>
                <w:rFonts w:hint="eastAsia"/>
              </w:rPr>
              <w:t>登记证号：</w:t>
            </w:r>
            <w:r>
              <w:rPr>
                <w:rFonts w:hint="eastAsia"/>
              </w:rPr>
              <w:t>PD20211708</w:t>
            </w:r>
          </w:p>
        </w:tc>
      </w:tr>
      <w:tr w14:paraId="6B54D0E6">
        <w:tblPrEx>
          <w:tblCellMar>
            <w:top w:w="0" w:type="dxa"/>
            <w:left w:w="0" w:type="dxa"/>
            <w:bottom w:w="0" w:type="dxa"/>
            <w:right w:w="0" w:type="dxa"/>
          </w:tblCellMar>
        </w:tblPrEx>
        <w:trPr>
          <w:wBefore w:w="0" w:type="auto"/>
          <w:tblCellSpacing w:w="0" w:type="dxa"/>
        </w:trPr>
        <w:tc>
          <w:tcPr>
            <w:tcW w:w="0" w:type="auto"/>
            <w:noWrap w:val="0"/>
            <w:vAlign w:val="center"/>
          </w:tcPr>
          <w:p w14:paraId="11DEF203">
            <w:r>
              <w:rPr>
                <w:rStyle w:val="10"/>
                <w:rFonts w:hint="eastAsia"/>
              </w:rPr>
              <w:t>登记证持有人：</w:t>
            </w:r>
            <w:r>
              <w:rPr>
                <w:rFonts w:hint="eastAsia"/>
              </w:rPr>
              <w:t>山东省济宁市通达化工厂</w:t>
            </w:r>
          </w:p>
        </w:tc>
      </w:tr>
      <w:tr w14:paraId="400B5AE8">
        <w:tblPrEx>
          <w:tblCellMar>
            <w:top w:w="0" w:type="dxa"/>
            <w:left w:w="0" w:type="dxa"/>
            <w:bottom w:w="0" w:type="dxa"/>
            <w:right w:w="0" w:type="dxa"/>
          </w:tblCellMar>
        </w:tblPrEx>
        <w:trPr>
          <w:wBefore w:w="0" w:type="auto"/>
          <w:tblCellSpacing w:w="0" w:type="dxa"/>
        </w:trPr>
        <w:tc>
          <w:tcPr>
            <w:tcW w:w="0" w:type="auto"/>
            <w:noWrap w:val="0"/>
            <w:vAlign w:val="center"/>
          </w:tcPr>
          <w:p w14:paraId="4573EDD8">
            <w:r>
              <w:rPr>
                <w:rStyle w:val="10"/>
                <w:rFonts w:hint="eastAsia"/>
              </w:rPr>
              <w:t>农药名称：</w:t>
            </w:r>
            <w:r>
              <w:rPr>
                <w:rFonts w:hint="eastAsia"/>
              </w:rPr>
              <w:t>咯菌·噻虫胺</w:t>
            </w:r>
          </w:p>
        </w:tc>
      </w:tr>
      <w:tr w14:paraId="426FEBD0">
        <w:tblPrEx>
          <w:tblCellMar>
            <w:top w:w="0" w:type="dxa"/>
            <w:left w:w="0" w:type="dxa"/>
            <w:bottom w:w="0" w:type="dxa"/>
            <w:right w:w="0" w:type="dxa"/>
          </w:tblCellMar>
        </w:tblPrEx>
        <w:trPr>
          <w:wBefore w:w="0" w:type="auto"/>
          <w:tblCellSpacing w:w="0" w:type="dxa"/>
        </w:trPr>
        <w:tc>
          <w:tcPr>
            <w:tcW w:w="0" w:type="auto"/>
            <w:noWrap w:val="0"/>
            <w:vAlign w:val="center"/>
          </w:tcPr>
          <w:p w14:paraId="0D989FA1">
            <w:r>
              <w:rPr>
                <w:rStyle w:val="10"/>
                <w:rFonts w:hint="eastAsia"/>
              </w:rPr>
              <w:t>剂型：</w:t>
            </w:r>
            <w:r>
              <w:rPr>
                <w:rFonts w:hint="eastAsia"/>
              </w:rPr>
              <w:t>种子处理悬浮剂</w:t>
            </w:r>
          </w:p>
        </w:tc>
      </w:tr>
      <w:tr w14:paraId="4C04F75E">
        <w:tblPrEx>
          <w:tblCellMar>
            <w:top w:w="0" w:type="dxa"/>
            <w:left w:w="0" w:type="dxa"/>
            <w:bottom w:w="0" w:type="dxa"/>
            <w:right w:w="0" w:type="dxa"/>
          </w:tblCellMar>
        </w:tblPrEx>
        <w:trPr>
          <w:wBefore w:w="0" w:type="auto"/>
          <w:tblCellSpacing w:w="0" w:type="dxa"/>
        </w:trPr>
        <w:tc>
          <w:tcPr>
            <w:tcW w:w="0" w:type="auto"/>
            <w:noWrap w:val="0"/>
            <w:vAlign w:val="center"/>
          </w:tcPr>
          <w:p w14:paraId="04F3A646">
            <w:r>
              <w:rPr>
                <w:rStyle w:val="10"/>
                <w:rFonts w:hint="eastAsia"/>
              </w:rPr>
              <w:t>毒性及其标识：</w:t>
            </w:r>
            <w:r>
              <w:rPr>
                <w:rFonts w:hint="eastAsia"/>
              </w:rPr>
              <w:t xml:space="preserve"> </w:t>
            </w:r>
            <w:r>
              <w:rPr>
                <w:lang/>
              </w:rPr>
              <w:drawing>
                <wp:inline distT="0" distB="0" distL="114300" distR="114300">
                  <wp:extent cx="476250" cy="323850"/>
                  <wp:effectExtent l="0" t="0" r="0" b="0"/>
                  <wp:docPr id="417" name="图片 41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5B85838">
        <w:tblPrEx>
          <w:tblCellMar>
            <w:top w:w="0" w:type="dxa"/>
            <w:left w:w="0" w:type="dxa"/>
            <w:bottom w:w="0" w:type="dxa"/>
            <w:right w:w="0" w:type="dxa"/>
          </w:tblCellMar>
        </w:tblPrEx>
        <w:trPr>
          <w:wBefore w:w="0" w:type="auto"/>
          <w:tblCellSpacing w:w="0" w:type="dxa"/>
        </w:trPr>
        <w:tc>
          <w:tcPr>
            <w:tcW w:w="0" w:type="auto"/>
            <w:noWrap w:val="0"/>
            <w:vAlign w:val="center"/>
          </w:tcPr>
          <w:p w14:paraId="737CA0EF">
            <w:r>
              <w:rPr>
                <w:rStyle w:val="10"/>
                <w:rFonts w:hint="eastAsia"/>
              </w:rPr>
              <w:t>总有效成分含量：</w:t>
            </w:r>
            <w:r>
              <w:rPr>
                <w:rFonts w:hint="eastAsia"/>
              </w:rPr>
              <w:t>8.8%</w:t>
            </w:r>
          </w:p>
        </w:tc>
      </w:tr>
      <w:tr w14:paraId="4FF3E95B">
        <w:tblPrEx>
          <w:tblCellMar>
            <w:top w:w="0" w:type="dxa"/>
            <w:left w:w="0" w:type="dxa"/>
            <w:bottom w:w="0" w:type="dxa"/>
            <w:right w:w="0" w:type="dxa"/>
          </w:tblCellMar>
        </w:tblPrEx>
        <w:trPr>
          <w:wBefore w:w="0" w:type="auto"/>
          <w:tblCellSpacing w:w="0" w:type="dxa"/>
        </w:trPr>
        <w:tc>
          <w:tcPr>
            <w:tcW w:w="0" w:type="auto"/>
            <w:noWrap w:val="0"/>
            <w:vAlign w:val="center"/>
          </w:tcPr>
          <w:p w14:paraId="24774EC6">
            <w:r>
              <w:rPr>
                <w:rFonts w:hint="eastAsia"/>
              </w:rPr>
              <w:t xml:space="preserve">有效成分及其含量： </w:t>
            </w:r>
          </w:p>
          <w:p w14:paraId="12BF3DD8">
            <w:r>
              <w:rPr>
                <w:rFonts w:hint="eastAsia"/>
              </w:rPr>
              <w:t xml:space="preserve">    咯菌腈0.8%    噻虫胺8%    </w:t>
            </w:r>
          </w:p>
        </w:tc>
      </w:tr>
      <w:tr w14:paraId="566F029B">
        <w:tblPrEx>
          <w:tblCellMar>
            <w:top w:w="0" w:type="dxa"/>
            <w:left w:w="0" w:type="dxa"/>
            <w:bottom w:w="0" w:type="dxa"/>
            <w:right w:w="0" w:type="dxa"/>
          </w:tblCellMar>
        </w:tblPrEx>
        <w:trPr>
          <w:wBefore w:w="0" w:type="auto"/>
          <w:tblCellSpacing w:w="0" w:type="dxa"/>
        </w:trPr>
        <w:tc>
          <w:tcPr>
            <w:tcW w:w="0" w:type="auto"/>
            <w:noWrap w:val="0"/>
            <w:vAlign w:val="center"/>
          </w:tcPr>
          <w:p w14:paraId="741E116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5D8B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7AE85F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A7BF9F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F51657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07A1D59">
                  <w:r>
                    <w:rPr>
                      <w:rStyle w:val="11"/>
                      <w:rFonts w:hint="eastAsia"/>
                    </w:rPr>
                    <w:t>施用方式</w:t>
                  </w:r>
                </w:p>
              </w:tc>
            </w:tr>
            <w:tr w14:paraId="469EA5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DD6ECA4">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C4ED1D">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8D8194">
                  <w:r>
                    <w:rPr>
                      <w:rStyle w:val="11"/>
                      <w:rFonts w:hint="eastAsia"/>
                    </w:rPr>
                    <w:t>2250-3000毫升/100kg种子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856DFD">
                  <w:r>
                    <w:rPr>
                      <w:rStyle w:val="11"/>
                      <w:rFonts w:hint="eastAsia"/>
                    </w:rPr>
                    <w:t>种子包衣</w:t>
                  </w:r>
                </w:p>
              </w:tc>
            </w:tr>
            <w:tr w14:paraId="17E800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6802CA1">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4A4B08">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A35916">
                  <w:r>
                    <w:rPr>
                      <w:rStyle w:val="11"/>
                      <w:rFonts w:hint="eastAsia"/>
                    </w:rPr>
                    <w:t>2250-3000毫升/100kg种子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2BF841">
                  <w:r>
                    <w:rPr>
                      <w:rStyle w:val="11"/>
                      <w:rFonts w:hint="eastAsia"/>
                    </w:rPr>
                    <w:t>种子包衣</w:t>
                  </w:r>
                </w:p>
              </w:tc>
            </w:tr>
          </w:tbl>
          <w:p w14:paraId="01FFE5E5">
            <w:pPr>
              <w:rPr>
                <w:rFonts w:ascii="Times New Roman" w:hAnsi="Times New Roman" w:cs="Times New Roman"/>
                <w:sz w:val="20"/>
                <w:szCs w:val="20"/>
              </w:rPr>
            </w:pPr>
          </w:p>
        </w:tc>
      </w:tr>
      <w:tr w14:paraId="5DDD78C9">
        <w:tblPrEx>
          <w:tblCellMar>
            <w:top w:w="0" w:type="dxa"/>
            <w:left w:w="0" w:type="dxa"/>
            <w:bottom w:w="0" w:type="dxa"/>
            <w:right w:w="0" w:type="dxa"/>
          </w:tblCellMar>
        </w:tblPrEx>
        <w:trPr>
          <w:wBefore w:w="0" w:type="auto"/>
          <w:tblCellSpacing w:w="0" w:type="dxa"/>
        </w:trPr>
        <w:tc>
          <w:tcPr>
            <w:tcW w:w="0" w:type="auto"/>
            <w:noWrap w:val="0"/>
            <w:vAlign w:val="center"/>
          </w:tcPr>
          <w:p w14:paraId="4C6596A8">
            <w:r>
              <w:rPr>
                <w:rStyle w:val="10"/>
                <w:rFonts w:hint="eastAsia"/>
              </w:rPr>
              <w:t>使用技术要求:</w:t>
            </w:r>
            <w:r>
              <w:rPr>
                <w:rFonts w:hint="eastAsia"/>
              </w:rPr>
              <w:br w:type="textWrapping"/>
            </w:r>
            <w:r>
              <w:rPr>
                <w:rStyle w:val="11"/>
                <w:rFonts w:hint="eastAsia"/>
              </w:rPr>
              <w:t>本品为噻虫胺和咯菌腈的复配种子处理剂，用于种子包衣防治花生蛴螬和花生根腐病，将本品按推荐用量直接进行种子包衣或加少量水稀释后进行种子包衣，在花生播种前使用。每季最多使用次数为1次。用于处理的种子应达到国家良种标准。配制好的药液应在24小时内使用。包衣后的种子应及时催芽播种。</w:t>
            </w:r>
          </w:p>
        </w:tc>
      </w:tr>
      <w:tr w14:paraId="775FF9D2">
        <w:tblPrEx>
          <w:tblCellMar>
            <w:top w:w="0" w:type="dxa"/>
            <w:left w:w="0" w:type="dxa"/>
            <w:bottom w:w="0" w:type="dxa"/>
            <w:right w:w="0" w:type="dxa"/>
          </w:tblCellMar>
        </w:tblPrEx>
        <w:trPr>
          <w:wBefore w:w="0" w:type="auto"/>
          <w:tblCellSpacing w:w="0" w:type="dxa"/>
        </w:trPr>
        <w:tc>
          <w:tcPr>
            <w:tcW w:w="0" w:type="auto"/>
            <w:noWrap w:val="0"/>
            <w:vAlign w:val="center"/>
          </w:tcPr>
          <w:p w14:paraId="385933C6">
            <w:r>
              <w:rPr>
                <w:rStyle w:val="10"/>
                <w:rFonts w:hint="eastAsia"/>
              </w:rPr>
              <w:t>产品性能:</w:t>
            </w:r>
            <w:r>
              <w:rPr>
                <w:rFonts w:hint="eastAsia"/>
              </w:rPr>
              <w:br w:type="textWrapping"/>
            </w:r>
            <w:r>
              <w:rPr>
                <w:rStyle w:val="11"/>
                <w:rFonts w:hint="eastAsia"/>
              </w:rPr>
              <w:t>本品为两元复配种衣剂，其中噻虫胺是一种结构全新、广谱、低毒的烟碱类杀虫剂，用于种子处理，可被作物根部迅速内吸，并传导到植株各部位。咯菌腈为非内吸苯吡咯类化合物，两种有效成分混配可有效防治花生蛴螬、根腐病。</w:t>
            </w:r>
          </w:p>
        </w:tc>
      </w:tr>
      <w:tr w14:paraId="2AE99F4F">
        <w:tblPrEx>
          <w:tblCellMar>
            <w:top w:w="0" w:type="dxa"/>
            <w:left w:w="0" w:type="dxa"/>
            <w:bottom w:w="0" w:type="dxa"/>
            <w:right w:w="0" w:type="dxa"/>
          </w:tblCellMar>
        </w:tblPrEx>
        <w:trPr>
          <w:wBefore w:w="0" w:type="auto"/>
          <w:tblCellSpacing w:w="0" w:type="dxa"/>
        </w:trPr>
        <w:tc>
          <w:tcPr>
            <w:tcW w:w="0" w:type="auto"/>
            <w:noWrap w:val="0"/>
            <w:vAlign w:val="center"/>
          </w:tcPr>
          <w:p w14:paraId="168E71E4">
            <w:r>
              <w:rPr>
                <w:rStyle w:val="10"/>
                <w:rFonts w:hint="eastAsia"/>
              </w:rPr>
              <w:t>注意事项：</w:t>
            </w:r>
            <w:r>
              <w:rPr>
                <w:rFonts w:hint="eastAsia"/>
              </w:rPr>
              <w:br w:type="textWrapping"/>
            </w:r>
            <w:r>
              <w:rPr>
                <w:rStyle w:val="11"/>
                <w:rFonts w:hint="eastAsia"/>
              </w:rPr>
              <w:t>1.配药和种子处理应在通风处进行，操作人员应佩戴防渗手套、口罩，穿长袖衣、长裤、靴子等，此时不可饮食、吸烟等。种子处理结束后，彻底清洗防护用具、洗澡，并更换和清洗工作服。2.本品对鱼类等水生生物有毒，远离水产养殖区、河塘等水体施药，药液及其废液不得污染各类水域、土壤等环境，禁止在河塘等水体中清洗施药器具，勿将药液或空包装弃于水中。对鸟类有毒性，鸟类保护区附近禁用，使用时应密切关注对附近蜂群的影响。3.处理过的种子必须放置在有明显标签的容器内。勿与食物、饲料放在一起，不得饲喂禽畜，更不得用来加工饲料或食品。4.使用后容器应妥善处理，不可随意丢弃或作他用。5.孕妇、哺乳期妇女、过敏者禁用，使用中有任何不良反应请及时就医。</w:t>
            </w:r>
          </w:p>
        </w:tc>
      </w:tr>
      <w:tr w14:paraId="17568102">
        <w:tblPrEx>
          <w:tblCellMar>
            <w:top w:w="0" w:type="dxa"/>
            <w:left w:w="0" w:type="dxa"/>
            <w:bottom w:w="0" w:type="dxa"/>
            <w:right w:w="0" w:type="dxa"/>
          </w:tblCellMar>
        </w:tblPrEx>
        <w:trPr>
          <w:wBefore w:w="0" w:type="auto"/>
          <w:tblCellSpacing w:w="0" w:type="dxa"/>
        </w:trPr>
        <w:tc>
          <w:tcPr>
            <w:tcW w:w="0" w:type="auto"/>
            <w:noWrap w:val="0"/>
            <w:vAlign w:val="center"/>
          </w:tcPr>
          <w:p w14:paraId="05D071DF">
            <w:r>
              <w:rPr>
                <w:rStyle w:val="10"/>
                <w:rFonts w:hint="eastAsia"/>
              </w:rPr>
              <w:t>中毒急救措施：</w:t>
            </w:r>
            <w:r>
              <w:rPr>
                <w:rFonts w:hint="eastAsia"/>
              </w:rPr>
              <w:br w:type="textWrapping"/>
            </w:r>
            <w:r>
              <w:rPr>
                <w:rStyle w:val="11"/>
                <w:rFonts w:hint="eastAsia"/>
              </w:rPr>
              <w:t>中毒症状：本品低毒，对眼睛、皮肤无刺激性。 急救措施：1. 用药时如果感觉不适，立即停止工作，采取急救措施，并携带标签送医就诊。 2. 皮肤接触或污染衣物：立即脱掉被污染的衣物，用大量清水冲洗被污染的皮肤15-20分钟。3. 眼睛溅药：立即将眼睑翻开，用清水冲洗至少15-20分钟后送医院对症治疗。4. 发生吸入：立即将吸入者转移到空气新鲜处，注意保暖。如果吸入者停止呼吸，需进行人工呼吸并及时就医。5. 误服：立即携带标签，送医就诊。请勿引吐，除非向急救热线或中毒控制中心或医生咨询后，医生要求引吐时再引吐。</w:t>
            </w:r>
          </w:p>
        </w:tc>
      </w:tr>
      <w:tr w14:paraId="65EA70A5">
        <w:tblPrEx>
          <w:tblCellMar>
            <w:top w:w="0" w:type="dxa"/>
            <w:left w:w="0" w:type="dxa"/>
            <w:bottom w:w="0" w:type="dxa"/>
            <w:right w:w="0" w:type="dxa"/>
          </w:tblCellMar>
        </w:tblPrEx>
        <w:trPr>
          <w:wBefore w:w="0" w:type="auto"/>
          <w:tblCellSpacing w:w="0" w:type="dxa"/>
        </w:trPr>
        <w:tc>
          <w:tcPr>
            <w:tcW w:w="0" w:type="auto"/>
            <w:noWrap w:val="0"/>
            <w:vAlign w:val="center"/>
          </w:tcPr>
          <w:p w14:paraId="40D987B8">
            <w:r>
              <w:rPr>
                <w:rStyle w:val="10"/>
                <w:rFonts w:hint="eastAsia"/>
              </w:rPr>
              <w:t>储存和运输方法：</w:t>
            </w:r>
            <w:r>
              <w:rPr>
                <w:rFonts w:hint="eastAsia"/>
              </w:rPr>
              <w:br w:type="textWrapping"/>
            </w:r>
            <w:r>
              <w:rPr>
                <w:rStyle w:val="11"/>
                <w:rFonts w:hint="eastAsia"/>
              </w:rPr>
              <w:t>1.本品应贮藏在避光、干燥、通风处并加锁保存，勿让儿童、无关人员和动物接触。2.产品码放高度不宜超过2米，以免损坏包装。3.贮存和运输时应注意防火，严防高温、日晒和雨淋，不得与食物、种子、饲料混放，避免与皮肤、眼睛接触，防止由口鼻吸入。</w:t>
            </w:r>
          </w:p>
        </w:tc>
      </w:tr>
      <w:tr w14:paraId="2DEBEB14">
        <w:tblPrEx>
          <w:tblCellMar>
            <w:top w:w="0" w:type="dxa"/>
            <w:left w:w="0" w:type="dxa"/>
            <w:bottom w:w="0" w:type="dxa"/>
            <w:right w:w="0" w:type="dxa"/>
          </w:tblCellMar>
        </w:tblPrEx>
        <w:trPr>
          <w:wBefore w:w="0" w:type="auto"/>
          <w:tblCellSpacing w:w="0" w:type="dxa"/>
        </w:trPr>
        <w:tc>
          <w:tcPr>
            <w:tcW w:w="0" w:type="auto"/>
            <w:noWrap w:val="0"/>
            <w:vAlign w:val="center"/>
          </w:tcPr>
          <w:p w14:paraId="12A640CB">
            <w:r>
              <w:rPr>
                <w:rStyle w:val="10"/>
                <w:rFonts w:hint="eastAsia"/>
              </w:rPr>
              <w:t>质量保证期：</w:t>
            </w:r>
            <w:r>
              <w:rPr>
                <w:rStyle w:val="11"/>
                <w:rFonts w:hint="eastAsia"/>
              </w:rPr>
              <w:t>2年</w:t>
            </w:r>
          </w:p>
        </w:tc>
      </w:tr>
      <w:tr w14:paraId="1FA2960E">
        <w:tblPrEx>
          <w:tblCellMar>
            <w:top w:w="0" w:type="dxa"/>
            <w:left w:w="0" w:type="dxa"/>
            <w:bottom w:w="0" w:type="dxa"/>
            <w:right w:w="0" w:type="dxa"/>
          </w:tblCellMar>
        </w:tblPrEx>
        <w:trPr>
          <w:wBefore w:w="0" w:type="auto"/>
          <w:tblCellSpacing w:w="0" w:type="dxa"/>
        </w:trPr>
        <w:tc>
          <w:tcPr>
            <w:tcW w:w="0" w:type="auto"/>
            <w:noWrap w:val="0"/>
            <w:vAlign w:val="center"/>
          </w:tcPr>
          <w:p w14:paraId="3A753285">
            <w:r>
              <w:rPr>
                <w:rStyle w:val="10"/>
                <w:rFonts w:hint="eastAsia"/>
              </w:rPr>
              <w:t>备注：</w:t>
            </w:r>
          </w:p>
        </w:tc>
      </w:tr>
    </w:tbl>
    <w:p w14:paraId="4BB22BC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560896A">
        <w:tblPrEx>
          <w:tblCellMar>
            <w:top w:w="0" w:type="dxa"/>
            <w:left w:w="0" w:type="dxa"/>
            <w:bottom w:w="0" w:type="dxa"/>
            <w:right w:w="0" w:type="dxa"/>
          </w:tblCellMar>
        </w:tblPrEx>
        <w:trPr>
          <w:wBefore w:w="0" w:type="auto"/>
          <w:tblCellSpacing w:w="0" w:type="dxa"/>
        </w:trPr>
        <w:tc>
          <w:tcPr>
            <w:tcW w:w="0" w:type="auto"/>
            <w:noWrap w:val="0"/>
            <w:vAlign w:val="center"/>
          </w:tcPr>
          <w:p w14:paraId="7C1D4417">
            <w:r>
              <w:rPr>
                <w:rStyle w:val="10"/>
                <w:rFonts w:hint="eastAsia"/>
              </w:rPr>
              <w:t>登记证号：</w:t>
            </w:r>
            <w:r>
              <w:rPr>
                <w:rFonts w:hint="eastAsia"/>
              </w:rPr>
              <w:t>PD20211936</w:t>
            </w:r>
          </w:p>
        </w:tc>
      </w:tr>
      <w:tr w14:paraId="7D59F54B">
        <w:tblPrEx>
          <w:tblCellMar>
            <w:top w:w="0" w:type="dxa"/>
            <w:left w:w="0" w:type="dxa"/>
            <w:bottom w:w="0" w:type="dxa"/>
            <w:right w:w="0" w:type="dxa"/>
          </w:tblCellMar>
        </w:tblPrEx>
        <w:trPr>
          <w:wBefore w:w="0" w:type="auto"/>
          <w:tblCellSpacing w:w="0" w:type="dxa"/>
        </w:trPr>
        <w:tc>
          <w:tcPr>
            <w:tcW w:w="0" w:type="auto"/>
            <w:noWrap w:val="0"/>
            <w:vAlign w:val="center"/>
          </w:tcPr>
          <w:p w14:paraId="6B36F89A">
            <w:r>
              <w:rPr>
                <w:rStyle w:val="10"/>
                <w:rFonts w:hint="eastAsia"/>
              </w:rPr>
              <w:t>登记证持有人：</w:t>
            </w:r>
            <w:r>
              <w:rPr>
                <w:rFonts w:hint="eastAsia"/>
              </w:rPr>
              <w:t>青岛中达农业科技有限公司</w:t>
            </w:r>
          </w:p>
        </w:tc>
      </w:tr>
      <w:tr w14:paraId="6CB6D2C1">
        <w:tblPrEx>
          <w:tblCellMar>
            <w:top w:w="0" w:type="dxa"/>
            <w:left w:w="0" w:type="dxa"/>
            <w:bottom w:w="0" w:type="dxa"/>
            <w:right w:w="0" w:type="dxa"/>
          </w:tblCellMar>
        </w:tblPrEx>
        <w:trPr>
          <w:wBefore w:w="0" w:type="auto"/>
          <w:tblCellSpacing w:w="0" w:type="dxa"/>
        </w:trPr>
        <w:tc>
          <w:tcPr>
            <w:tcW w:w="0" w:type="auto"/>
            <w:noWrap w:val="0"/>
            <w:vAlign w:val="center"/>
          </w:tcPr>
          <w:p w14:paraId="57CA3F94">
            <w:r>
              <w:rPr>
                <w:rStyle w:val="10"/>
                <w:rFonts w:hint="eastAsia"/>
              </w:rPr>
              <w:t>农药名称：</w:t>
            </w:r>
            <w:r>
              <w:rPr>
                <w:rFonts w:hint="eastAsia"/>
              </w:rPr>
              <w:t>喹啉铜</w:t>
            </w:r>
          </w:p>
        </w:tc>
      </w:tr>
      <w:tr w14:paraId="08A052CA">
        <w:tblPrEx>
          <w:tblCellMar>
            <w:top w:w="0" w:type="dxa"/>
            <w:left w:w="0" w:type="dxa"/>
            <w:bottom w:w="0" w:type="dxa"/>
            <w:right w:w="0" w:type="dxa"/>
          </w:tblCellMar>
        </w:tblPrEx>
        <w:trPr>
          <w:wBefore w:w="0" w:type="auto"/>
          <w:tblCellSpacing w:w="0" w:type="dxa"/>
        </w:trPr>
        <w:tc>
          <w:tcPr>
            <w:tcW w:w="0" w:type="auto"/>
            <w:noWrap w:val="0"/>
            <w:vAlign w:val="center"/>
          </w:tcPr>
          <w:p w14:paraId="21346442">
            <w:r>
              <w:rPr>
                <w:rStyle w:val="10"/>
                <w:rFonts w:hint="eastAsia"/>
              </w:rPr>
              <w:t>剂型：</w:t>
            </w:r>
            <w:r>
              <w:rPr>
                <w:rFonts w:hint="eastAsia"/>
              </w:rPr>
              <w:t>悬浮剂</w:t>
            </w:r>
          </w:p>
        </w:tc>
      </w:tr>
      <w:tr w14:paraId="54390AB0">
        <w:tblPrEx>
          <w:tblCellMar>
            <w:top w:w="0" w:type="dxa"/>
            <w:left w:w="0" w:type="dxa"/>
            <w:bottom w:w="0" w:type="dxa"/>
            <w:right w:w="0" w:type="dxa"/>
          </w:tblCellMar>
        </w:tblPrEx>
        <w:trPr>
          <w:wBefore w:w="0" w:type="auto"/>
          <w:tblCellSpacing w:w="0" w:type="dxa"/>
        </w:trPr>
        <w:tc>
          <w:tcPr>
            <w:tcW w:w="0" w:type="auto"/>
            <w:noWrap w:val="0"/>
            <w:vAlign w:val="center"/>
          </w:tcPr>
          <w:p w14:paraId="02012646">
            <w:r>
              <w:rPr>
                <w:rStyle w:val="10"/>
                <w:rFonts w:hint="eastAsia"/>
              </w:rPr>
              <w:t>毒性及其标识：</w:t>
            </w:r>
            <w:r>
              <w:rPr>
                <w:rFonts w:hint="eastAsia"/>
              </w:rPr>
              <w:t xml:space="preserve"> 微毒 </w:t>
            </w:r>
          </w:p>
        </w:tc>
      </w:tr>
      <w:tr w14:paraId="4B585DCA">
        <w:tblPrEx>
          <w:tblCellMar>
            <w:top w:w="0" w:type="dxa"/>
            <w:left w:w="0" w:type="dxa"/>
            <w:bottom w:w="0" w:type="dxa"/>
            <w:right w:w="0" w:type="dxa"/>
          </w:tblCellMar>
        </w:tblPrEx>
        <w:trPr>
          <w:wBefore w:w="0" w:type="auto"/>
          <w:tblCellSpacing w:w="0" w:type="dxa"/>
        </w:trPr>
        <w:tc>
          <w:tcPr>
            <w:tcW w:w="0" w:type="auto"/>
            <w:noWrap w:val="0"/>
            <w:vAlign w:val="center"/>
          </w:tcPr>
          <w:p w14:paraId="7443D098">
            <w:r>
              <w:rPr>
                <w:rStyle w:val="10"/>
                <w:rFonts w:hint="eastAsia"/>
              </w:rPr>
              <w:t>总有效成分含量：</w:t>
            </w:r>
            <w:r>
              <w:rPr>
                <w:rFonts w:hint="eastAsia"/>
              </w:rPr>
              <w:t>40%</w:t>
            </w:r>
          </w:p>
        </w:tc>
      </w:tr>
      <w:tr w14:paraId="6EC3BD44">
        <w:tblPrEx>
          <w:tblCellMar>
            <w:top w:w="0" w:type="dxa"/>
            <w:left w:w="0" w:type="dxa"/>
            <w:bottom w:w="0" w:type="dxa"/>
            <w:right w:w="0" w:type="dxa"/>
          </w:tblCellMar>
        </w:tblPrEx>
        <w:trPr>
          <w:wBefore w:w="0" w:type="auto"/>
          <w:tblCellSpacing w:w="0" w:type="dxa"/>
        </w:trPr>
        <w:tc>
          <w:tcPr>
            <w:tcW w:w="0" w:type="auto"/>
            <w:noWrap w:val="0"/>
            <w:vAlign w:val="center"/>
          </w:tcPr>
          <w:p w14:paraId="08AF4933">
            <w:r>
              <w:rPr>
                <w:rFonts w:hint="eastAsia"/>
              </w:rPr>
              <w:t xml:space="preserve">有效成分及其含量： </w:t>
            </w:r>
          </w:p>
          <w:p w14:paraId="04357DD6">
            <w:r>
              <w:rPr>
                <w:rFonts w:hint="eastAsia"/>
              </w:rPr>
              <w:t xml:space="preserve">    喹啉铜40%    </w:t>
            </w:r>
          </w:p>
        </w:tc>
      </w:tr>
      <w:tr w14:paraId="119DB29B">
        <w:tblPrEx>
          <w:tblCellMar>
            <w:top w:w="0" w:type="dxa"/>
            <w:left w:w="0" w:type="dxa"/>
            <w:bottom w:w="0" w:type="dxa"/>
            <w:right w:w="0" w:type="dxa"/>
          </w:tblCellMar>
        </w:tblPrEx>
        <w:trPr>
          <w:wBefore w:w="0" w:type="auto"/>
          <w:tblCellSpacing w:w="0" w:type="dxa"/>
        </w:trPr>
        <w:tc>
          <w:tcPr>
            <w:tcW w:w="0" w:type="auto"/>
            <w:noWrap w:val="0"/>
            <w:vAlign w:val="center"/>
          </w:tcPr>
          <w:p w14:paraId="69509D3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958A3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E5B7AE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AD4639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E752A5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D4C9056">
                  <w:r>
                    <w:rPr>
                      <w:rStyle w:val="11"/>
                      <w:rFonts w:hint="eastAsia"/>
                    </w:rPr>
                    <w:t>施用方式</w:t>
                  </w:r>
                </w:p>
              </w:tc>
            </w:tr>
            <w:tr w14:paraId="22F18C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6C74043">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145804">
                  <w:r>
                    <w:rPr>
                      <w:rStyle w:val="11"/>
                      <w:rFonts w:hint="eastAsia"/>
                    </w:rPr>
                    <w:t>细菌性角斑病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BF7021">
                  <w:r>
                    <w:rPr>
                      <w:rStyle w:val="11"/>
                      <w:rFonts w:hint="eastAsia"/>
                    </w:rPr>
                    <w:t>50-70毫升/亩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95608F">
                  <w:r>
                    <w:rPr>
                      <w:rStyle w:val="11"/>
                      <w:rFonts w:hint="eastAsia"/>
                    </w:rPr>
                    <w:t>喷雾</w:t>
                  </w:r>
                </w:p>
              </w:tc>
            </w:tr>
          </w:tbl>
          <w:p w14:paraId="68E52305">
            <w:pPr>
              <w:rPr>
                <w:rFonts w:ascii="Times New Roman" w:hAnsi="Times New Roman" w:cs="Times New Roman"/>
                <w:sz w:val="20"/>
                <w:szCs w:val="20"/>
              </w:rPr>
            </w:pPr>
          </w:p>
        </w:tc>
      </w:tr>
      <w:tr w14:paraId="6880FAEB">
        <w:tblPrEx>
          <w:tblCellMar>
            <w:top w:w="0" w:type="dxa"/>
            <w:left w:w="0" w:type="dxa"/>
            <w:bottom w:w="0" w:type="dxa"/>
            <w:right w:w="0" w:type="dxa"/>
          </w:tblCellMar>
        </w:tblPrEx>
        <w:trPr>
          <w:wBefore w:w="0" w:type="auto"/>
          <w:tblCellSpacing w:w="0" w:type="dxa"/>
        </w:trPr>
        <w:tc>
          <w:tcPr>
            <w:tcW w:w="0" w:type="auto"/>
            <w:noWrap w:val="0"/>
            <w:vAlign w:val="center"/>
          </w:tcPr>
          <w:p w14:paraId="35405D4D">
            <w:r>
              <w:rPr>
                <w:rStyle w:val="10"/>
                <w:rFonts w:hint="eastAsia"/>
              </w:rPr>
              <w:t>使用技术要求:</w:t>
            </w:r>
            <w:r>
              <w:rPr>
                <w:rFonts w:hint="eastAsia"/>
              </w:rPr>
              <w:br w:type="textWrapping"/>
            </w:r>
            <w:r>
              <w:rPr>
                <w:rStyle w:val="11"/>
                <w:rFonts w:hint="eastAsia"/>
              </w:rPr>
              <w:t>1.本品应于黄瓜细菌性角斑病发病前或发病初期开始施药，，喷药应注意均匀喷雾，须使用足量药液。 2.大风天或预计1小时内有雨，请勿施药。 3.安全间隔期3天，每季作物最多使用3次。</w:t>
            </w:r>
          </w:p>
        </w:tc>
      </w:tr>
      <w:tr w14:paraId="320F7EF4">
        <w:tblPrEx>
          <w:tblCellMar>
            <w:top w:w="0" w:type="dxa"/>
            <w:left w:w="0" w:type="dxa"/>
            <w:bottom w:w="0" w:type="dxa"/>
            <w:right w:w="0" w:type="dxa"/>
          </w:tblCellMar>
        </w:tblPrEx>
        <w:trPr>
          <w:wBefore w:w="0" w:type="auto"/>
          <w:tblCellSpacing w:w="0" w:type="dxa"/>
        </w:trPr>
        <w:tc>
          <w:tcPr>
            <w:tcW w:w="0" w:type="auto"/>
            <w:noWrap w:val="0"/>
            <w:vAlign w:val="center"/>
          </w:tcPr>
          <w:p w14:paraId="61C7E887">
            <w:r>
              <w:rPr>
                <w:rStyle w:val="10"/>
                <w:rFonts w:hint="eastAsia"/>
              </w:rPr>
              <w:t>产品性能:</w:t>
            </w:r>
            <w:r>
              <w:rPr>
                <w:rFonts w:hint="eastAsia"/>
              </w:rPr>
              <w:br w:type="textWrapping"/>
            </w:r>
            <w:r>
              <w:rPr>
                <w:rStyle w:val="11"/>
                <w:rFonts w:hint="eastAsia"/>
              </w:rPr>
              <w:t>本品是一种喹啉类保护性低毒杀菌剂，属有机铜</w:t>
            </w:r>
            <w:r>
              <w:rPr>
                <w:rStyle w:val="11"/>
                <w:rFonts w:hint="eastAsia"/>
                <w:lang w:eastAsia="zh-CN"/>
              </w:rPr>
              <w:t>螯合</w:t>
            </w:r>
            <w:r>
              <w:rPr>
                <w:rStyle w:val="11"/>
                <w:rFonts w:hint="eastAsia"/>
              </w:rPr>
              <w:t>物，光谱、高效、低残留，使用安全，对真菌性、细菌性病害均具有良好的预防和治疗作用。喷施后在植物表面形成一层严密的保护药膜，与植物亲和力较强，耐雨水冲刷；药膜缓慢释放杀菌的铜离子，有效抑制病菌的萌发和侵入，从而达到防病治病的目的。</w:t>
            </w:r>
          </w:p>
        </w:tc>
      </w:tr>
      <w:tr w14:paraId="0B1735F6">
        <w:tblPrEx>
          <w:tblCellMar>
            <w:top w:w="0" w:type="dxa"/>
            <w:left w:w="0" w:type="dxa"/>
            <w:bottom w:w="0" w:type="dxa"/>
            <w:right w:w="0" w:type="dxa"/>
          </w:tblCellMar>
        </w:tblPrEx>
        <w:trPr>
          <w:wBefore w:w="0" w:type="auto"/>
          <w:tblCellSpacing w:w="0" w:type="dxa"/>
        </w:trPr>
        <w:tc>
          <w:tcPr>
            <w:tcW w:w="0" w:type="auto"/>
            <w:noWrap w:val="0"/>
            <w:vAlign w:val="center"/>
          </w:tcPr>
          <w:p w14:paraId="4DB78628">
            <w:r>
              <w:rPr>
                <w:rStyle w:val="10"/>
                <w:rFonts w:hint="eastAsia"/>
              </w:rPr>
              <w:t>注意事项：</w:t>
            </w:r>
            <w:r>
              <w:rPr>
                <w:rFonts w:hint="eastAsia"/>
              </w:rPr>
              <w:br w:type="textWrapping"/>
            </w:r>
            <w:r>
              <w:rPr>
                <w:rStyle w:val="11"/>
                <w:rFonts w:hint="eastAsia"/>
              </w:rPr>
              <w:t>1.本品不能与强酸、碱性农药混用，也不能与含有其他金属离子的药剂混用。2.使用本品时应穿戴防护服和手套，避免吸入药液，施药期间不可吃东西和饮水，施药后应及时洗手和洗脸。3.本品对蜜蜂、鱼类等水生生物、家蚕有毒，施药期间应密切关注对周围蜂群的影响，禁止在开花植物花期、蚕室和桑园附近使用；远离水产养殖区、河塘等水体施药；赤眼蜂等天敌放飞区域禁用。4.禁止在河塘等水体中清洗施药器具，药液及其废液不得污染各类水域、土壤等环境。5.用过的容器应妥善处理，不可做他用，也不可随意丢弃。6.孕妇和哺乳期妇女禁止接触本品。7.建议与其他作用机制不同的杀菌剂轮换使用。</w:t>
            </w:r>
          </w:p>
        </w:tc>
      </w:tr>
      <w:tr w14:paraId="6F3FA908">
        <w:tblPrEx>
          <w:tblCellMar>
            <w:top w:w="0" w:type="dxa"/>
            <w:left w:w="0" w:type="dxa"/>
            <w:bottom w:w="0" w:type="dxa"/>
            <w:right w:w="0" w:type="dxa"/>
          </w:tblCellMar>
        </w:tblPrEx>
        <w:trPr>
          <w:wBefore w:w="0" w:type="auto"/>
          <w:tblCellSpacing w:w="0" w:type="dxa"/>
        </w:trPr>
        <w:tc>
          <w:tcPr>
            <w:tcW w:w="0" w:type="auto"/>
            <w:noWrap w:val="0"/>
            <w:vAlign w:val="center"/>
          </w:tcPr>
          <w:p w14:paraId="505C93CE">
            <w:r>
              <w:rPr>
                <w:rStyle w:val="10"/>
                <w:rFonts w:hint="eastAsia"/>
              </w:rPr>
              <w:t>中毒急救措施：</w:t>
            </w:r>
            <w:r>
              <w:rPr>
                <w:rFonts w:hint="eastAsia"/>
              </w:rPr>
              <w:br w:type="textWrapping"/>
            </w:r>
            <w:r>
              <w:rPr>
                <w:rStyle w:val="11"/>
                <w:rFonts w:hint="eastAsia"/>
              </w:rPr>
              <w:t>对眼睛有刺激性，使用时避免药液接触眼睛。急救措施：使用中或使用后如果感觉不适，应立即停止工作，采取急救措施，并携带标签送医院就诊。1.皮肤或溅眼接触：立即用流动清水冲洗不少于15分钟。2.误食：应立即携带农药标签到医院就诊，对症治疗。</w:t>
            </w:r>
          </w:p>
        </w:tc>
      </w:tr>
      <w:tr w14:paraId="0A63D98C">
        <w:tblPrEx>
          <w:tblCellMar>
            <w:top w:w="0" w:type="dxa"/>
            <w:left w:w="0" w:type="dxa"/>
            <w:bottom w:w="0" w:type="dxa"/>
            <w:right w:w="0" w:type="dxa"/>
          </w:tblCellMar>
        </w:tblPrEx>
        <w:trPr>
          <w:wBefore w:w="0" w:type="auto"/>
          <w:tblCellSpacing w:w="0" w:type="dxa"/>
        </w:trPr>
        <w:tc>
          <w:tcPr>
            <w:tcW w:w="0" w:type="auto"/>
            <w:noWrap w:val="0"/>
            <w:vAlign w:val="center"/>
          </w:tcPr>
          <w:p w14:paraId="5E51906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7C207DA8">
        <w:tblPrEx>
          <w:tblCellMar>
            <w:top w:w="0" w:type="dxa"/>
            <w:left w:w="0" w:type="dxa"/>
            <w:bottom w:w="0" w:type="dxa"/>
            <w:right w:w="0" w:type="dxa"/>
          </w:tblCellMar>
        </w:tblPrEx>
        <w:trPr>
          <w:wBefore w:w="0" w:type="auto"/>
          <w:tblCellSpacing w:w="0" w:type="dxa"/>
        </w:trPr>
        <w:tc>
          <w:tcPr>
            <w:tcW w:w="0" w:type="auto"/>
            <w:noWrap w:val="0"/>
            <w:vAlign w:val="center"/>
          </w:tcPr>
          <w:p w14:paraId="2EA695D0">
            <w:r>
              <w:rPr>
                <w:rStyle w:val="10"/>
                <w:rFonts w:hint="eastAsia"/>
              </w:rPr>
              <w:t>质量保证期：</w:t>
            </w:r>
            <w:r>
              <w:rPr>
                <w:rStyle w:val="11"/>
                <w:rFonts w:hint="eastAsia"/>
              </w:rPr>
              <w:t>2年</w:t>
            </w:r>
          </w:p>
        </w:tc>
      </w:tr>
      <w:tr w14:paraId="34EABFFE">
        <w:tblPrEx>
          <w:tblCellMar>
            <w:top w:w="0" w:type="dxa"/>
            <w:left w:w="0" w:type="dxa"/>
            <w:bottom w:w="0" w:type="dxa"/>
            <w:right w:w="0" w:type="dxa"/>
          </w:tblCellMar>
        </w:tblPrEx>
        <w:trPr>
          <w:wBefore w:w="0" w:type="auto"/>
          <w:tblCellSpacing w:w="0" w:type="dxa"/>
        </w:trPr>
        <w:tc>
          <w:tcPr>
            <w:tcW w:w="0" w:type="auto"/>
            <w:noWrap w:val="0"/>
            <w:vAlign w:val="center"/>
          </w:tcPr>
          <w:p w14:paraId="5B98C5D2">
            <w:r>
              <w:rPr>
                <w:rStyle w:val="10"/>
                <w:rFonts w:hint="eastAsia"/>
              </w:rPr>
              <w:t>备注：</w:t>
            </w:r>
          </w:p>
        </w:tc>
      </w:tr>
    </w:tbl>
    <w:p w14:paraId="6143561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18C0D11">
        <w:tblPrEx>
          <w:tblCellMar>
            <w:top w:w="0" w:type="dxa"/>
            <w:left w:w="0" w:type="dxa"/>
            <w:bottom w:w="0" w:type="dxa"/>
            <w:right w:w="0" w:type="dxa"/>
          </w:tblCellMar>
        </w:tblPrEx>
        <w:trPr>
          <w:wBefore w:w="0" w:type="auto"/>
          <w:tblCellSpacing w:w="0" w:type="dxa"/>
        </w:trPr>
        <w:tc>
          <w:tcPr>
            <w:tcW w:w="0" w:type="auto"/>
            <w:noWrap w:val="0"/>
            <w:vAlign w:val="center"/>
          </w:tcPr>
          <w:p w14:paraId="082CAFE0">
            <w:r>
              <w:rPr>
                <w:rStyle w:val="10"/>
                <w:rFonts w:hint="eastAsia"/>
              </w:rPr>
              <w:t>登记证号：</w:t>
            </w:r>
            <w:r>
              <w:rPr>
                <w:rFonts w:hint="eastAsia"/>
              </w:rPr>
              <w:t>WP20210220</w:t>
            </w:r>
          </w:p>
        </w:tc>
      </w:tr>
      <w:tr w14:paraId="77FD6D7C">
        <w:tblPrEx>
          <w:tblCellMar>
            <w:top w:w="0" w:type="dxa"/>
            <w:left w:w="0" w:type="dxa"/>
            <w:bottom w:w="0" w:type="dxa"/>
            <w:right w:w="0" w:type="dxa"/>
          </w:tblCellMar>
        </w:tblPrEx>
        <w:trPr>
          <w:wBefore w:w="0" w:type="auto"/>
          <w:tblCellSpacing w:w="0" w:type="dxa"/>
        </w:trPr>
        <w:tc>
          <w:tcPr>
            <w:tcW w:w="0" w:type="auto"/>
            <w:noWrap w:val="0"/>
            <w:vAlign w:val="center"/>
          </w:tcPr>
          <w:p w14:paraId="21CBE74D">
            <w:r>
              <w:rPr>
                <w:rStyle w:val="10"/>
                <w:rFonts w:hint="eastAsia"/>
              </w:rPr>
              <w:t>登记证持有人：</w:t>
            </w:r>
            <w:r>
              <w:rPr>
                <w:rFonts w:hint="eastAsia"/>
              </w:rPr>
              <w:t>浙江天丰生物科学有限公司</w:t>
            </w:r>
          </w:p>
        </w:tc>
      </w:tr>
      <w:tr w14:paraId="0461B0BD">
        <w:tblPrEx>
          <w:tblCellMar>
            <w:top w:w="0" w:type="dxa"/>
            <w:left w:w="0" w:type="dxa"/>
            <w:bottom w:w="0" w:type="dxa"/>
            <w:right w:w="0" w:type="dxa"/>
          </w:tblCellMar>
        </w:tblPrEx>
        <w:trPr>
          <w:wBefore w:w="0" w:type="auto"/>
          <w:tblCellSpacing w:w="0" w:type="dxa"/>
        </w:trPr>
        <w:tc>
          <w:tcPr>
            <w:tcW w:w="0" w:type="auto"/>
            <w:noWrap w:val="0"/>
            <w:vAlign w:val="center"/>
          </w:tcPr>
          <w:p w14:paraId="04E91AA1">
            <w:r>
              <w:rPr>
                <w:rStyle w:val="10"/>
                <w:rFonts w:hint="eastAsia"/>
              </w:rPr>
              <w:t>农药名称：</w:t>
            </w:r>
            <w:r>
              <w:rPr>
                <w:rFonts w:hint="eastAsia"/>
              </w:rPr>
              <w:t>杀蟑可溶液剂</w:t>
            </w:r>
          </w:p>
        </w:tc>
      </w:tr>
      <w:tr w14:paraId="4FF38C44">
        <w:tblPrEx>
          <w:tblCellMar>
            <w:top w:w="0" w:type="dxa"/>
            <w:left w:w="0" w:type="dxa"/>
            <w:bottom w:w="0" w:type="dxa"/>
            <w:right w:w="0" w:type="dxa"/>
          </w:tblCellMar>
        </w:tblPrEx>
        <w:trPr>
          <w:wBefore w:w="0" w:type="auto"/>
          <w:tblCellSpacing w:w="0" w:type="dxa"/>
        </w:trPr>
        <w:tc>
          <w:tcPr>
            <w:tcW w:w="0" w:type="auto"/>
            <w:noWrap w:val="0"/>
            <w:vAlign w:val="center"/>
          </w:tcPr>
          <w:p w14:paraId="520674BA">
            <w:r>
              <w:rPr>
                <w:rStyle w:val="10"/>
                <w:rFonts w:hint="eastAsia"/>
              </w:rPr>
              <w:t>剂型：</w:t>
            </w:r>
            <w:r>
              <w:rPr>
                <w:rFonts w:hint="eastAsia"/>
              </w:rPr>
              <w:t>可溶液剂</w:t>
            </w:r>
          </w:p>
        </w:tc>
      </w:tr>
      <w:tr w14:paraId="14D519F9">
        <w:tblPrEx>
          <w:tblCellMar>
            <w:top w:w="0" w:type="dxa"/>
            <w:left w:w="0" w:type="dxa"/>
            <w:bottom w:w="0" w:type="dxa"/>
            <w:right w:w="0" w:type="dxa"/>
          </w:tblCellMar>
        </w:tblPrEx>
        <w:trPr>
          <w:wBefore w:w="0" w:type="auto"/>
          <w:tblCellSpacing w:w="0" w:type="dxa"/>
        </w:trPr>
        <w:tc>
          <w:tcPr>
            <w:tcW w:w="0" w:type="auto"/>
            <w:noWrap w:val="0"/>
            <w:vAlign w:val="center"/>
          </w:tcPr>
          <w:p w14:paraId="3A037E6E">
            <w:r>
              <w:rPr>
                <w:rStyle w:val="10"/>
                <w:rFonts w:hint="eastAsia"/>
              </w:rPr>
              <w:t>毒性及其标识：</w:t>
            </w:r>
            <w:r>
              <w:rPr>
                <w:rFonts w:hint="eastAsia"/>
              </w:rPr>
              <w:t xml:space="preserve"> 微毒 </w:t>
            </w:r>
          </w:p>
        </w:tc>
      </w:tr>
      <w:tr w14:paraId="3561BDC0">
        <w:tblPrEx>
          <w:tblCellMar>
            <w:top w:w="0" w:type="dxa"/>
            <w:left w:w="0" w:type="dxa"/>
            <w:bottom w:w="0" w:type="dxa"/>
            <w:right w:w="0" w:type="dxa"/>
          </w:tblCellMar>
        </w:tblPrEx>
        <w:trPr>
          <w:wBefore w:w="0" w:type="auto"/>
          <w:tblCellSpacing w:w="0" w:type="dxa"/>
        </w:trPr>
        <w:tc>
          <w:tcPr>
            <w:tcW w:w="0" w:type="auto"/>
            <w:noWrap w:val="0"/>
            <w:vAlign w:val="center"/>
          </w:tcPr>
          <w:p w14:paraId="11B9E88E">
            <w:r>
              <w:rPr>
                <w:rStyle w:val="10"/>
                <w:rFonts w:hint="eastAsia"/>
              </w:rPr>
              <w:t>总有效成分含量：</w:t>
            </w:r>
            <w:r>
              <w:rPr>
                <w:rFonts w:hint="eastAsia"/>
              </w:rPr>
              <w:t>0.8%</w:t>
            </w:r>
          </w:p>
        </w:tc>
      </w:tr>
      <w:tr w14:paraId="5FCC8865">
        <w:tblPrEx>
          <w:tblCellMar>
            <w:top w:w="0" w:type="dxa"/>
            <w:left w:w="0" w:type="dxa"/>
            <w:bottom w:w="0" w:type="dxa"/>
            <w:right w:w="0" w:type="dxa"/>
          </w:tblCellMar>
        </w:tblPrEx>
        <w:trPr>
          <w:wBefore w:w="0" w:type="auto"/>
          <w:tblCellSpacing w:w="0" w:type="dxa"/>
        </w:trPr>
        <w:tc>
          <w:tcPr>
            <w:tcW w:w="0" w:type="auto"/>
            <w:noWrap w:val="0"/>
            <w:vAlign w:val="center"/>
          </w:tcPr>
          <w:p w14:paraId="74EC1BCA">
            <w:r>
              <w:rPr>
                <w:rFonts w:hint="eastAsia"/>
              </w:rPr>
              <w:t xml:space="preserve">有效成分及其含量： </w:t>
            </w:r>
          </w:p>
          <w:p w14:paraId="3706756D">
            <w:r>
              <w:rPr>
                <w:rFonts w:hint="eastAsia"/>
              </w:rPr>
              <w:t xml:space="preserve">    右旋苯醚菊酯0.8%    </w:t>
            </w:r>
          </w:p>
        </w:tc>
      </w:tr>
      <w:tr w14:paraId="7CCB2B57">
        <w:tblPrEx>
          <w:tblCellMar>
            <w:top w:w="0" w:type="dxa"/>
            <w:left w:w="0" w:type="dxa"/>
            <w:bottom w:w="0" w:type="dxa"/>
            <w:right w:w="0" w:type="dxa"/>
          </w:tblCellMar>
        </w:tblPrEx>
        <w:trPr>
          <w:wBefore w:w="0" w:type="auto"/>
          <w:tblCellSpacing w:w="0" w:type="dxa"/>
        </w:trPr>
        <w:tc>
          <w:tcPr>
            <w:tcW w:w="0" w:type="auto"/>
            <w:noWrap w:val="0"/>
            <w:vAlign w:val="center"/>
          </w:tcPr>
          <w:p w14:paraId="68D68EB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AB24B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314934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43C901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64BB13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AD6B79">
                  <w:r>
                    <w:rPr>
                      <w:rStyle w:val="11"/>
                      <w:rFonts w:hint="eastAsia"/>
                    </w:rPr>
                    <w:t>施用方式</w:t>
                  </w:r>
                </w:p>
              </w:tc>
            </w:tr>
            <w:tr w14:paraId="65B11F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41E796">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6E8BB3">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280CC7">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8AE235">
                  <w:r>
                    <w:rPr>
                      <w:rStyle w:val="11"/>
                      <w:rFonts w:hint="eastAsia"/>
                    </w:rPr>
                    <w:t>喷雾</w:t>
                  </w:r>
                </w:p>
              </w:tc>
            </w:tr>
          </w:tbl>
          <w:p w14:paraId="5F6ED3A2">
            <w:pPr>
              <w:rPr>
                <w:rFonts w:ascii="Times New Roman" w:hAnsi="Times New Roman" w:cs="Times New Roman"/>
                <w:sz w:val="20"/>
                <w:szCs w:val="20"/>
              </w:rPr>
            </w:pPr>
          </w:p>
        </w:tc>
      </w:tr>
      <w:tr w14:paraId="0FD40B20">
        <w:tblPrEx>
          <w:tblCellMar>
            <w:top w:w="0" w:type="dxa"/>
            <w:left w:w="0" w:type="dxa"/>
            <w:bottom w:w="0" w:type="dxa"/>
            <w:right w:w="0" w:type="dxa"/>
          </w:tblCellMar>
        </w:tblPrEx>
        <w:trPr>
          <w:wBefore w:w="0" w:type="auto"/>
          <w:tblCellSpacing w:w="0" w:type="dxa"/>
        </w:trPr>
        <w:tc>
          <w:tcPr>
            <w:tcW w:w="0" w:type="auto"/>
            <w:noWrap w:val="0"/>
            <w:vAlign w:val="center"/>
          </w:tcPr>
          <w:p w14:paraId="2DC799B8">
            <w:r>
              <w:rPr>
                <w:rStyle w:val="10"/>
                <w:rFonts w:hint="eastAsia"/>
              </w:rPr>
              <w:t>使用技术要求:</w:t>
            </w:r>
            <w:r>
              <w:rPr>
                <w:rFonts w:hint="eastAsia"/>
              </w:rPr>
              <w:br w:type="textWrapping"/>
            </w:r>
            <w:r>
              <w:rPr>
                <w:rStyle w:val="11"/>
                <w:rFonts w:hint="eastAsia"/>
              </w:rPr>
              <w:t xml:space="preserve">将本品全面均匀地喷施于蜚蠊出没或栖息处。为了药效更持久，尽量不要擦洗。 </w:t>
            </w:r>
          </w:p>
        </w:tc>
      </w:tr>
      <w:tr w14:paraId="11C6190A">
        <w:tblPrEx>
          <w:tblCellMar>
            <w:top w:w="0" w:type="dxa"/>
            <w:left w:w="0" w:type="dxa"/>
            <w:bottom w:w="0" w:type="dxa"/>
            <w:right w:w="0" w:type="dxa"/>
          </w:tblCellMar>
        </w:tblPrEx>
        <w:trPr>
          <w:wBefore w:w="0" w:type="auto"/>
          <w:tblCellSpacing w:w="0" w:type="dxa"/>
        </w:trPr>
        <w:tc>
          <w:tcPr>
            <w:tcW w:w="0" w:type="auto"/>
            <w:noWrap w:val="0"/>
            <w:vAlign w:val="center"/>
          </w:tcPr>
          <w:p w14:paraId="520B1622">
            <w:r>
              <w:rPr>
                <w:rStyle w:val="10"/>
                <w:rFonts w:hint="eastAsia"/>
              </w:rPr>
              <w:t>产品性能:</w:t>
            </w:r>
            <w:r>
              <w:rPr>
                <w:rFonts w:hint="eastAsia"/>
              </w:rPr>
              <w:br w:type="textWrapping"/>
            </w:r>
            <w:r>
              <w:rPr>
                <w:rStyle w:val="11"/>
                <w:rFonts w:hint="eastAsia"/>
              </w:rPr>
              <w:t xml:space="preserve">本品为拟除虫菊酯类卫生杀虫剂，适用于家庭、宾馆、 办公室、商用楼宇等场所。 </w:t>
            </w:r>
          </w:p>
        </w:tc>
      </w:tr>
      <w:tr w14:paraId="561B263D">
        <w:tblPrEx>
          <w:tblCellMar>
            <w:top w:w="0" w:type="dxa"/>
            <w:left w:w="0" w:type="dxa"/>
            <w:bottom w:w="0" w:type="dxa"/>
            <w:right w:w="0" w:type="dxa"/>
          </w:tblCellMar>
        </w:tblPrEx>
        <w:trPr>
          <w:wBefore w:w="0" w:type="auto"/>
          <w:tblCellSpacing w:w="0" w:type="dxa"/>
        </w:trPr>
        <w:tc>
          <w:tcPr>
            <w:tcW w:w="0" w:type="auto"/>
            <w:noWrap w:val="0"/>
            <w:vAlign w:val="center"/>
          </w:tcPr>
          <w:p w14:paraId="2AE66CBD">
            <w:r>
              <w:rPr>
                <w:rStyle w:val="10"/>
                <w:rFonts w:hint="eastAsia"/>
              </w:rPr>
              <w:t>注意事项：</w:t>
            </w:r>
            <w:r>
              <w:rPr>
                <w:rFonts w:hint="eastAsia"/>
              </w:rPr>
              <w:br w:type="textWrapping"/>
            </w:r>
            <w:r>
              <w:rPr>
                <w:rStyle w:val="11"/>
                <w:rFonts w:hint="eastAsia"/>
              </w:rPr>
              <w:t>1.不要将本品施放于水流通道处，以免影响本品的持效作用。 2.不要与碱性物质混用。避免与氧化剂接触。 3. 本品对眼睛有刺激性，应避免药液接触眼睛、伤口、粘膜等。过敏者禁用。切勿向人体、食物使用。 4.禁止在河塘等水体中清洗施药器具。蚕室内及其附近禁用。 5.使用本品时，应避免接触食品、食品用具或食品加工及存放处的表面。 6.施药期间不可吃东西和饮水。施药后应及时洗手、洗脸及皮肤的裸露部位。用过的容器和废弃物应妥善处理，不可做他用， 也不可随意丢弃。 7.避免孕妇及哺乳期妇女接触。</w:t>
            </w:r>
          </w:p>
        </w:tc>
      </w:tr>
      <w:tr w14:paraId="50A98C2E">
        <w:tblPrEx>
          <w:tblCellMar>
            <w:top w:w="0" w:type="dxa"/>
            <w:left w:w="0" w:type="dxa"/>
            <w:bottom w:w="0" w:type="dxa"/>
            <w:right w:w="0" w:type="dxa"/>
          </w:tblCellMar>
        </w:tblPrEx>
        <w:trPr>
          <w:wBefore w:w="0" w:type="auto"/>
          <w:tblCellSpacing w:w="0" w:type="dxa"/>
        </w:trPr>
        <w:tc>
          <w:tcPr>
            <w:tcW w:w="0" w:type="auto"/>
            <w:noWrap w:val="0"/>
            <w:vAlign w:val="center"/>
          </w:tcPr>
          <w:p w14:paraId="23DD1E4B">
            <w:r>
              <w:rPr>
                <w:rStyle w:val="10"/>
                <w:rFonts w:hint="eastAsia"/>
              </w:rPr>
              <w:t>中毒急救措施：</w:t>
            </w:r>
            <w:r>
              <w:rPr>
                <w:rFonts w:hint="eastAsia"/>
              </w:rPr>
              <w:br w:type="textWrapping"/>
            </w:r>
            <w:r>
              <w:rPr>
                <w:rStyle w:val="11"/>
                <w:rFonts w:hint="eastAsia"/>
              </w:rPr>
              <w:t xml:space="preserve">使用中或使用后如有任何不良反应请及时就医。不慎接触皮肤或溅入眼睛，立即用大量清水冲洗干净。不慎吸入，应将病人移至空气流通处。误服则应立即携此标签将病人送医院诊治。本品无特殊解毒剂，请医生对症治疗。 </w:t>
            </w:r>
          </w:p>
        </w:tc>
      </w:tr>
      <w:tr w14:paraId="38260B49">
        <w:tblPrEx>
          <w:tblCellMar>
            <w:top w:w="0" w:type="dxa"/>
            <w:left w:w="0" w:type="dxa"/>
            <w:bottom w:w="0" w:type="dxa"/>
            <w:right w:w="0" w:type="dxa"/>
          </w:tblCellMar>
        </w:tblPrEx>
        <w:trPr>
          <w:wBefore w:w="0" w:type="auto"/>
          <w:tblCellSpacing w:w="0" w:type="dxa"/>
        </w:trPr>
        <w:tc>
          <w:tcPr>
            <w:tcW w:w="0" w:type="auto"/>
            <w:noWrap w:val="0"/>
            <w:vAlign w:val="center"/>
          </w:tcPr>
          <w:p w14:paraId="055AA4EA">
            <w:r>
              <w:rPr>
                <w:rStyle w:val="10"/>
                <w:rFonts w:hint="eastAsia"/>
              </w:rPr>
              <w:t>储存和运输方法：</w:t>
            </w:r>
            <w:r>
              <w:rPr>
                <w:rFonts w:hint="eastAsia"/>
              </w:rPr>
              <w:br w:type="textWrapping"/>
            </w:r>
            <w:r>
              <w:rPr>
                <w:rStyle w:val="11"/>
                <w:rFonts w:hint="eastAsia"/>
              </w:rPr>
              <w:t xml:space="preserve">本品应储存在干燥、阴凉、通风、防雨处，不能与食品、饮料、粮食、饲料等混合储存。置于儿童接触不到的地方，并加锁。运输时应注意避光、防高温、防雨淋。运输和装卸时注意轻拿轻放，不得倒置。远离火源或热源。 </w:t>
            </w:r>
          </w:p>
        </w:tc>
      </w:tr>
      <w:tr w14:paraId="2F4AB03F">
        <w:tblPrEx>
          <w:tblCellMar>
            <w:top w:w="0" w:type="dxa"/>
            <w:left w:w="0" w:type="dxa"/>
            <w:bottom w:w="0" w:type="dxa"/>
            <w:right w:w="0" w:type="dxa"/>
          </w:tblCellMar>
        </w:tblPrEx>
        <w:trPr>
          <w:wBefore w:w="0" w:type="auto"/>
          <w:tblCellSpacing w:w="0" w:type="dxa"/>
        </w:trPr>
        <w:tc>
          <w:tcPr>
            <w:tcW w:w="0" w:type="auto"/>
            <w:noWrap w:val="0"/>
            <w:vAlign w:val="center"/>
          </w:tcPr>
          <w:p w14:paraId="27E059D9">
            <w:r>
              <w:rPr>
                <w:rStyle w:val="10"/>
                <w:rFonts w:hint="eastAsia"/>
              </w:rPr>
              <w:t>质量保证期：</w:t>
            </w:r>
            <w:r>
              <w:rPr>
                <w:rStyle w:val="11"/>
                <w:rFonts w:hint="eastAsia"/>
              </w:rPr>
              <w:t>2年</w:t>
            </w:r>
          </w:p>
        </w:tc>
      </w:tr>
      <w:tr w14:paraId="7FB3EC40">
        <w:tblPrEx>
          <w:tblCellMar>
            <w:top w:w="0" w:type="dxa"/>
            <w:left w:w="0" w:type="dxa"/>
            <w:bottom w:w="0" w:type="dxa"/>
            <w:right w:w="0" w:type="dxa"/>
          </w:tblCellMar>
        </w:tblPrEx>
        <w:trPr>
          <w:wBefore w:w="0" w:type="auto"/>
          <w:tblCellSpacing w:w="0" w:type="dxa"/>
        </w:trPr>
        <w:tc>
          <w:tcPr>
            <w:tcW w:w="0" w:type="auto"/>
            <w:noWrap w:val="0"/>
            <w:vAlign w:val="center"/>
          </w:tcPr>
          <w:p w14:paraId="29B5767F">
            <w:r>
              <w:rPr>
                <w:rStyle w:val="10"/>
                <w:rFonts w:hint="eastAsia"/>
              </w:rPr>
              <w:t>备注：</w:t>
            </w:r>
          </w:p>
        </w:tc>
      </w:tr>
    </w:tbl>
    <w:p w14:paraId="475F430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7C79C42">
        <w:tblPrEx>
          <w:tblCellMar>
            <w:top w:w="0" w:type="dxa"/>
            <w:left w:w="0" w:type="dxa"/>
            <w:bottom w:w="0" w:type="dxa"/>
            <w:right w:w="0" w:type="dxa"/>
          </w:tblCellMar>
        </w:tblPrEx>
        <w:trPr>
          <w:wBefore w:w="0" w:type="auto"/>
          <w:tblCellSpacing w:w="0" w:type="dxa"/>
        </w:trPr>
        <w:tc>
          <w:tcPr>
            <w:tcW w:w="0" w:type="auto"/>
            <w:noWrap w:val="0"/>
            <w:vAlign w:val="center"/>
          </w:tcPr>
          <w:p w14:paraId="3E189544">
            <w:r>
              <w:rPr>
                <w:rStyle w:val="10"/>
                <w:rFonts w:hint="eastAsia"/>
              </w:rPr>
              <w:t>登记证号：</w:t>
            </w:r>
            <w:r>
              <w:rPr>
                <w:rFonts w:hint="eastAsia"/>
              </w:rPr>
              <w:t>PD20211709</w:t>
            </w:r>
          </w:p>
        </w:tc>
      </w:tr>
      <w:tr w14:paraId="003E9EF2">
        <w:tblPrEx>
          <w:tblCellMar>
            <w:top w:w="0" w:type="dxa"/>
            <w:left w:w="0" w:type="dxa"/>
            <w:bottom w:w="0" w:type="dxa"/>
            <w:right w:w="0" w:type="dxa"/>
          </w:tblCellMar>
        </w:tblPrEx>
        <w:trPr>
          <w:wBefore w:w="0" w:type="auto"/>
          <w:tblCellSpacing w:w="0" w:type="dxa"/>
        </w:trPr>
        <w:tc>
          <w:tcPr>
            <w:tcW w:w="0" w:type="auto"/>
            <w:noWrap w:val="0"/>
            <w:vAlign w:val="center"/>
          </w:tcPr>
          <w:p w14:paraId="196C18F1">
            <w:r>
              <w:rPr>
                <w:rStyle w:val="10"/>
                <w:rFonts w:hint="eastAsia"/>
              </w:rPr>
              <w:t>登记证持有人：</w:t>
            </w:r>
            <w:r>
              <w:rPr>
                <w:rFonts w:hint="eastAsia"/>
              </w:rPr>
              <w:t>燕化永乐（乐亭）生物科技有限公司</w:t>
            </w:r>
          </w:p>
        </w:tc>
      </w:tr>
      <w:tr w14:paraId="07F020A0">
        <w:tblPrEx>
          <w:tblCellMar>
            <w:top w:w="0" w:type="dxa"/>
            <w:left w:w="0" w:type="dxa"/>
            <w:bottom w:w="0" w:type="dxa"/>
            <w:right w:w="0" w:type="dxa"/>
          </w:tblCellMar>
        </w:tblPrEx>
        <w:trPr>
          <w:wBefore w:w="0" w:type="auto"/>
          <w:tblCellSpacing w:w="0" w:type="dxa"/>
        </w:trPr>
        <w:tc>
          <w:tcPr>
            <w:tcW w:w="0" w:type="auto"/>
            <w:noWrap w:val="0"/>
            <w:vAlign w:val="center"/>
          </w:tcPr>
          <w:p w14:paraId="038E0DFE">
            <w:r>
              <w:rPr>
                <w:rStyle w:val="10"/>
                <w:rFonts w:hint="eastAsia"/>
              </w:rPr>
              <w:t>农药名称：</w:t>
            </w:r>
            <w:r>
              <w:rPr>
                <w:rFonts w:hint="eastAsia"/>
              </w:rPr>
              <w:t>吡虫·咯·苯甲</w:t>
            </w:r>
          </w:p>
        </w:tc>
      </w:tr>
      <w:tr w14:paraId="2DFEF294">
        <w:tblPrEx>
          <w:tblCellMar>
            <w:top w:w="0" w:type="dxa"/>
            <w:left w:w="0" w:type="dxa"/>
            <w:bottom w:w="0" w:type="dxa"/>
            <w:right w:w="0" w:type="dxa"/>
          </w:tblCellMar>
        </w:tblPrEx>
        <w:trPr>
          <w:wBefore w:w="0" w:type="auto"/>
          <w:tblCellSpacing w:w="0" w:type="dxa"/>
        </w:trPr>
        <w:tc>
          <w:tcPr>
            <w:tcW w:w="0" w:type="auto"/>
            <w:noWrap w:val="0"/>
            <w:vAlign w:val="center"/>
          </w:tcPr>
          <w:p w14:paraId="5406CE07">
            <w:r>
              <w:rPr>
                <w:rStyle w:val="10"/>
                <w:rFonts w:hint="eastAsia"/>
              </w:rPr>
              <w:t>剂型：</w:t>
            </w:r>
            <w:r>
              <w:rPr>
                <w:rFonts w:hint="eastAsia"/>
              </w:rPr>
              <w:t>种子处理悬浮剂</w:t>
            </w:r>
          </w:p>
        </w:tc>
      </w:tr>
      <w:tr w14:paraId="692819D5">
        <w:tblPrEx>
          <w:tblCellMar>
            <w:top w:w="0" w:type="dxa"/>
            <w:left w:w="0" w:type="dxa"/>
            <w:bottom w:w="0" w:type="dxa"/>
            <w:right w:w="0" w:type="dxa"/>
          </w:tblCellMar>
        </w:tblPrEx>
        <w:trPr>
          <w:wBefore w:w="0" w:type="auto"/>
          <w:tblCellSpacing w:w="0" w:type="dxa"/>
        </w:trPr>
        <w:tc>
          <w:tcPr>
            <w:tcW w:w="0" w:type="auto"/>
            <w:noWrap w:val="0"/>
            <w:vAlign w:val="center"/>
          </w:tcPr>
          <w:p w14:paraId="2E825489">
            <w:r>
              <w:rPr>
                <w:rStyle w:val="10"/>
                <w:rFonts w:hint="eastAsia"/>
              </w:rPr>
              <w:t>毒性及其标识：</w:t>
            </w:r>
            <w:r>
              <w:rPr>
                <w:rFonts w:hint="eastAsia"/>
              </w:rPr>
              <w:t xml:space="preserve"> </w:t>
            </w:r>
            <w:r>
              <w:rPr>
                <w:lang/>
              </w:rPr>
              <w:drawing>
                <wp:inline distT="0" distB="0" distL="114300" distR="114300">
                  <wp:extent cx="476250" cy="323850"/>
                  <wp:effectExtent l="0" t="0" r="0" b="0"/>
                  <wp:docPr id="418" name="图片 41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7C0C5CE">
        <w:tblPrEx>
          <w:tblCellMar>
            <w:top w:w="0" w:type="dxa"/>
            <w:left w:w="0" w:type="dxa"/>
            <w:bottom w:w="0" w:type="dxa"/>
            <w:right w:w="0" w:type="dxa"/>
          </w:tblCellMar>
        </w:tblPrEx>
        <w:trPr>
          <w:wBefore w:w="0" w:type="auto"/>
          <w:tblCellSpacing w:w="0" w:type="dxa"/>
        </w:trPr>
        <w:tc>
          <w:tcPr>
            <w:tcW w:w="0" w:type="auto"/>
            <w:noWrap w:val="0"/>
            <w:vAlign w:val="center"/>
          </w:tcPr>
          <w:p w14:paraId="2D6E0A6A">
            <w:r>
              <w:rPr>
                <w:rStyle w:val="10"/>
                <w:rFonts w:hint="eastAsia"/>
              </w:rPr>
              <w:t>总有效成分含量：</w:t>
            </w:r>
            <w:r>
              <w:rPr>
                <w:rFonts w:hint="eastAsia"/>
              </w:rPr>
              <w:t>39%</w:t>
            </w:r>
          </w:p>
        </w:tc>
      </w:tr>
      <w:tr w14:paraId="57AFA69B">
        <w:tblPrEx>
          <w:tblCellMar>
            <w:top w:w="0" w:type="dxa"/>
            <w:left w:w="0" w:type="dxa"/>
            <w:bottom w:w="0" w:type="dxa"/>
            <w:right w:w="0" w:type="dxa"/>
          </w:tblCellMar>
        </w:tblPrEx>
        <w:trPr>
          <w:wBefore w:w="0" w:type="auto"/>
          <w:tblCellSpacing w:w="0" w:type="dxa"/>
        </w:trPr>
        <w:tc>
          <w:tcPr>
            <w:tcW w:w="0" w:type="auto"/>
            <w:noWrap w:val="0"/>
            <w:vAlign w:val="center"/>
          </w:tcPr>
          <w:p w14:paraId="7C3DB59D">
            <w:r>
              <w:rPr>
                <w:rFonts w:hint="eastAsia"/>
              </w:rPr>
              <w:t xml:space="preserve">有效成分及其含量： </w:t>
            </w:r>
          </w:p>
          <w:p w14:paraId="49F339C3">
            <w:r>
              <w:rPr>
                <w:rFonts w:hint="eastAsia"/>
              </w:rPr>
              <w:t xml:space="preserve">    吡虫啉37.5%    咯菌腈0.75%    苯醚甲环唑0.75%    </w:t>
            </w:r>
          </w:p>
        </w:tc>
      </w:tr>
      <w:tr w14:paraId="16898B70">
        <w:tblPrEx>
          <w:tblCellMar>
            <w:top w:w="0" w:type="dxa"/>
            <w:left w:w="0" w:type="dxa"/>
            <w:bottom w:w="0" w:type="dxa"/>
            <w:right w:w="0" w:type="dxa"/>
          </w:tblCellMar>
        </w:tblPrEx>
        <w:trPr>
          <w:wBefore w:w="0" w:type="auto"/>
          <w:tblCellSpacing w:w="0" w:type="dxa"/>
        </w:trPr>
        <w:tc>
          <w:tcPr>
            <w:tcW w:w="0" w:type="auto"/>
            <w:noWrap w:val="0"/>
            <w:vAlign w:val="center"/>
          </w:tcPr>
          <w:p w14:paraId="0E56585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1A79F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F93D87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303FD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CF8F86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BAD34B1">
                  <w:r>
                    <w:rPr>
                      <w:rStyle w:val="11"/>
                      <w:rFonts w:hint="eastAsia"/>
                    </w:rPr>
                    <w:t>施用方式</w:t>
                  </w:r>
                </w:p>
              </w:tc>
            </w:tr>
            <w:tr w14:paraId="1D8EFF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BB2D14D">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E490CB">
                  <w:r>
                    <w:rPr>
                      <w:rStyle w:val="11"/>
                      <w:rFonts w:hint="eastAsia"/>
                    </w:rPr>
                    <w:t>纹枯病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09224C">
                  <w:r>
                    <w:rPr>
                      <w:rStyle w:val="11"/>
                      <w:rFonts w:hint="eastAsia"/>
                    </w:rPr>
                    <w:t>320-530克/100千克种子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0B76FF">
                  <w:r>
                    <w:rPr>
                      <w:rStyle w:val="11"/>
                      <w:rFonts w:hint="eastAsia"/>
                    </w:rPr>
                    <w:t>种子包衣</w:t>
                  </w:r>
                </w:p>
              </w:tc>
            </w:tr>
            <w:tr w14:paraId="684E686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228992A">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AF6174">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AF8685">
                  <w:r>
                    <w:rPr>
                      <w:rStyle w:val="11"/>
                      <w:rFonts w:hint="eastAsia"/>
                    </w:rPr>
                    <w:t>320-530克/100千克种子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292665">
                  <w:r>
                    <w:rPr>
                      <w:rStyle w:val="11"/>
                      <w:rFonts w:hint="eastAsia"/>
                    </w:rPr>
                    <w:t>种子包衣</w:t>
                  </w:r>
                </w:p>
              </w:tc>
            </w:tr>
          </w:tbl>
          <w:p w14:paraId="6EA7245A">
            <w:pPr>
              <w:rPr>
                <w:rFonts w:ascii="Times New Roman" w:hAnsi="Times New Roman" w:cs="Times New Roman"/>
                <w:sz w:val="20"/>
                <w:szCs w:val="20"/>
              </w:rPr>
            </w:pPr>
          </w:p>
        </w:tc>
      </w:tr>
      <w:tr w14:paraId="4B6366AD">
        <w:tblPrEx>
          <w:tblCellMar>
            <w:top w:w="0" w:type="dxa"/>
            <w:left w:w="0" w:type="dxa"/>
            <w:bottom w:w="0" w:type="dxa"/>
            <w:right w:w="0" w:type="dxa"/>
          </w:tblCellMar>
        </w:tblPrEx>
        <w:trPr>
          <w:wBefore w:w="0" w:type="auto"/>
          <w:tblCellSpacing w:w="0" w:type="dxa"/>
        </w:trPr>
        <w:tc>
          <w:tcPr>
            <w:tcW w:w="0" w:type="auto"/>
            <w:noWrap w:val="0"/>
            <w:vAlign w:val="center"/>
          </w:tcPr>
          <w:p w14:paraId="17916E56">
            <w:r>
              <w:rPr>
                <w:rStyle w:val="10"/>
                <w:rFonts w:hint="eastAsia"/>
              </w:rPr>
              <w:t>使用技术要求:</w:t>
            </w:r>
            <w:r>
              <w:rPr>
                <w:rFonts w:hint="eastAsia"/>
              </w:rPr>
              <w:br w:type="textWrapping"/>
            </w:r>
            <w:r>
              <w:rPr>
                <w:rStyle w:val="11"/>
                <w:rFonts w:hint="eastAsia"/>
              </w:rPr>
              <w:t>1.配制好的药液应在24小时内使用。2.按推荐用药量，用水稀释，将药浆与种子充分搅拌，直到药液均匀分布到种子表面，晾干后即可。</w:t>
            </w:r>
          </w:p>
        </w:tc>
      </w:tr>
      <w:tr w14:paraId="140346EE">
        <w:tblPrEx>
          <w:tblCellMar>
            <w:top w:w="0" w:type="dxa"/>
            <w:left w:w="0" w:type="dxa"/>
            <w:bottom w:w="0" w:type="dxa"/>
            <w:right w:w="0" w:type="dxa"/>
          </w:tblCellMar>
        </w:tblPrEx>
        <w:trPr>
          <w:wBefore w:w="0" w:type="auto"/>
          <w:tblCellSpacing w:w="0" w:type="dxa"/>
        </w:trPr>
        <w:tc>
          <w:tcPr>
            <w:tcW w:w="0" w:type="auto"/>
            <w:noWrap w:val="0"/>
            <w:vAlign w:val="center"/>
          </w:tcPr>
          <w:p w14:paraId="200C8B2C">
            <w:r>
              <w:rPr>
                <w:rStyle w:val="10"/>
                <w:rFonts w:hint="eastAsia"/>
              </w:rPr>
              <w:t>产品性能:</w:t>
            </w:r>
            <w:r>
              <w:rPr>
                <w:rFonts w:hint="eastAsia"/>
              </w:rPr>
              <w:br w:type="textWrapping"/>
            </w:r>
            <w:r>
              <w:rPr>
                <w:rStyle w:val="11"/>
                <w:rFonts w:hint="eastAsia"/>
              </w:rPr>
              <w:t>本产品为三元复配杀虫杀菌剂。吡虫啉是氯烟碱类杀虫剂，内吸性较强，活性较高，同时具备胃毒和触杀作用，主要防治小麦蚜虫。咯菌腈为非内吸苯吡咯类化合物；苯醚甲环唑具有保护、治疗和内吸活性，是甾醇脱甲基化抑制剂，抑制细胞壁甾醇的生物合成，阻止真菌的生长，能有效防治小麦纹枯病。</w:t>
            </w:r>
          </w:p>
        </w:tc>
      </w:tr>
      <w:tr w14:paraId="26470FB8">
        <w:tblPrEx>
          <w:tblCellMar>
            <w:top w:w="0" w:type="dxa"/>
            <w:left w:w="0" w:type="dxa"/>
            <w:bottom w:w="0" w:type="dxa"/>
            <w:right w:w="0" w:type="dxa"/>
          </w:tblCellMar>
        </w:tblPrEx>
        <w:trPr>
          <w:wBefore w:w="0" w:type="auto"/>
          <w:tblCellSpacing w:w="0" w:type="dxa"/>
        </w:trPr>
        <w:tc>
          <w:tcPr>
            <w:tcW w:w="0" w:type="auto"/>
            <w:noWrap w:val="0"/>
            <w:vAlign w:val="center"/>
          </w:tcPr>
          <w:p w14:paraId="3AA2E8F1">
            <w:r>
              <w:rPr>
                <w:rStyle w:val="10"/>
                <w:rFonts w:hint="eastAsia"/>
              </w:rPr>
              <w:t>注意事项：</w:t>
            </w:r>
            <w:r>
              <w:rPr>
                <w:rFonts w:hint="eastAsia"/>
              </w:rPr>
              <w:br w:type="textWrapping"/>
            </w:r>
            <w:r>
              <w:rPr>
                <w:rStyle w:val="11"/>
                <w:rFonts w:hint="eastAsia"/>
              </w:rPr>
              <w:t>1.本产品种子包衣使用。2.配药和种子处理时应在通风处进行，操作人员需提前做好保护措施，戴好手套、面罩或护目镜等，严禁抽烟或者饮食。3.种子处理结束后，彻底清洗防护用具，并更换和清洗工作服。4.处理后的种子必须放置在有明显标签的容器内，勿与食物、饲料一起存放，禁止用于饲喂禽畜。5.鸟类保护区附近禁用，播种后必须覆土，严禁畜禽进入。6.未用完的制剂应放在原包装内封存，切勿将本品置于饮食容器中。7.勿将本品及其废液弃于池塘、河溪、湖泊等，以免污染水源。禁止在河塘等水体中清洗施药器具。8.使用后的包装袋应妥善处理，不得他用或随意丢弃。9.孕妇及哺乳期妇女禁止接触本品。过敏者禁用。鸟类保护区禁用。</w:t>
            </w:r>
          </w:p>
        </w:tc>
      </w:tr>
      <w:tr w14:paraId="7EC618C0">
        <w:tblPrEx>
          <w:tblCellMar>
            <w:top w:w="0" w:type="dxa"/>
            <w:left w:w="0" w:type="dxa"/>
            <w:bottom w:w="0" w:type="dxa"/>
            <w:right w:w="0" w:type="dxa"/>
          </w:tblCellMar>
        </w:tblPrEx>
        <w:trPr>
          <w:wBefore w:w="0" w:type="auto"/>
          <w:tblCellSpacing w:w="0" w:type="dxa"/>
        </w:trPr>
        <w:tc>
          <w:tcPr>
            <w:tcW w:w="0" w:type="auto"/>
            <w:noWrap w:val="0"/>
            <w:vAlign w:val="center"/>
          </w:tcPr>
          <w:p w14:paraId="45F3226E">
            <w:r>
              <w:rPr>
                <w:rStyle w:val="10"/>
                <w:rFonts w:hint="eastAsia"/>
              </w:rPr>
              <w:t>中毒急救措施：</w:t>
            </w:r>
            <w:r>
              <w:rPr>
                <w:rFonts w:hint="eastAsia"/>
              </w:rPr>
              <w:br w:type="textWrapping"/>
            </w:r>
            <w:r>
              <w:rPr>
                <w:rStyle w:val="11"/>
                <w:rFonts w:hint="eastAsia"/>
              </w:rPr>
              <w:t>1.用药时如果感觉不适，请立即停止工作，采取急救措施，并携此标签送医就诊。2.皮肤接触：立即脱掉被污染的衣物，用肥皂和大量清水彻底清洗受污染的皮肤。必要时请医生诊治。3.眼睛溅药：立即将眼睑翻开，用清水轻柔冲洗至少15分钟，再请医生诊治。4.发生吸入：立即将吸入者转移到空气新鲜处，注意保暖和休息，请医生诊治。5.误服：立即携带标签，送医就诊。紧急医疗措施：使用医用活性炭洗胃，洗胃时防止胃残余物进入呼吸道。如果病人已昏迷，切勿经口喂入东西或引吐。</w:t>
            </w:r>
          </w:p>
        </w:tc>
      </w:tr>
      <w:tr w14:paraId="3CBD07EF">
        <w:tblPrEx>
          <w:tblCellMar>
            <w:top w:w="0" w:type="dxa"/>
            <w:left w:w="0" w:type="dxa"/>
            <w:bottom w:w="0" w:type="dxa"/>
            <w:right w:w="0" w:type="dxa"/>
          </w:tblCellMar>
        </w:tblPrEx>
        <w:trPr>
          <w:wBefore w:w="0" w:type="auto"/>
          <w:tblCellSpacing w:w="0" w:type="dxa"/>
        </w:trPr>
        <w:tc>
          <w:tcPr>
            <w:tcW w:w="0" w:type="auto"/>
            <w:noWrap w:val="0"/>
            <w:vAlign w:val="center"/>
          </w:tcPr>
          <w:p w14:paraId="60FA7108">
            <w:r>
              <w:rPr>
                <w:rStyle w:val="10"/>
                <w:rFonts w:hint="eastAsia"/>
              </w:rPr>
              <w:t>储存和运输方法：</w:t>
            </w:r>
            <w:r>
              <w:rPr>
                <w:rFonts w:hint="eastAsia"/>
              </w:rPr>
              <w:br w:type="textWrapping"/>
            </w:r>
            <w:r>
              <w:rPr>
                <w:rStyle w:val="11"/>
                <w:rFonts w:hint="eastAsia"/>
              </w:rPr>
              <w:t>1.本品应加锁保存，勿让儿童和动物接触。2.应贮存在避光、干燥、阴凉、通风处，储藏温度应避免低于-5℃或高于35℃。3.运输时应注意避光，防高温、雨淋。4.不能与食品、饮料、粮食、饲料和种子等物品在一起存放或运输。</w:t>
            </w:r>
          </w:p>
        </w:tc>
      </w:tr>
      <w:tr w14:paraId="4EE62395">
        <w:tblPrEx>
          <w:tblCellMar>
            <w:top w:w="0" w:type="dxa"/>
            <w:left w:w="0" w:type="dxa"/>
            <w:bottom w:w="0" w:type="dxa"/>
            <w:right w:w="0" w:type="dxa"/>
          </w:tblCellMar>
        </w:tblPrEx>
        <w:trPr>
          <w:wBefore w:w="0" w:type="auto"/>
          <w:tblCellSpacing w:w="0" w:type="dxa"/>
        </w:trPr>
        <w:tc>
          <w:tcPr>
            <w:tcW w:w="0" w:type="auto"/>
            <w:noWrap w:val="0"/>
            <w:vAlign w:val="center"/>
          </w:tcPr>
          <w:p w14:paraId="67B6DE33">
            <w:r>
              <w:rPr>
                <w:rStyle w:val="10"/>
                <w:rFonts w:hint="eastAsia"/>
              </w:rPr>
              <w:t>质量保证期：</w:t>
            </w:r>
            <w:r>
              <w:rPr>
                <w:rStyle w:val="11"/>
                <w:rFonts w:hint="eastAsia"/>
              </w:rPr>
              <w:t>2年</w:t>
            </w:r>
          </w:p>
        </w:tc>
      </w:tr>
      <w:tr w14:paraId="2AD456BF">
        <w:tblPrEx>
          <w:tblCellMar>
            <w:top w:w="0" w:type="dxa"/>
            <w:left w:w="0" w:type="dxa"/>
            <w:bottom w:w="0" w:type="dxa"/>
            <w:right w:w="0" w:type="dxa"/>
          </w:tblCellMar>
        </w:tblPrEx>
        <w:trPr>
          <w:wBefore w:w="0" w:type="auto"/>
          <w:tblCellSpacing w:w="0" w:type="dxa"/>
        </w:trPr>
        <w:tc>
          <w:tcPr>
            <w:tcW w:w="0" w:type="auto"/>
            <w:noWrap w:val="0"/>
            <w:vAlign w:val="center"/>
          </w:tcPr>
          <w:p w14:paraId="112E3A91">
            <w:r>
              <w:rPr>
                <w:rStyle w:val="10"/>
                <w:rFonts w:hint="eastAsia"/>
              </w:rPr>
              <w:t>备注：</w:t>
            </w:r>
          </w:p>
        </w:tc>
      </w:tr>
    </w:tbl>
    <w:p w14:paraId="7398B46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A053785">
        <w:tblPrEx>
          <w:tblCellMar>
            <w:top w:w="0" w:type="dxa"/>
            <w:left w:w="0" w:type="dxa"/>
            <w:bottom w:w="0" w:type="dxa"/>
            <w:right w:w="0" w:type="dxa"/>
          </w:tblCellMar>
        </w:tblPrEx>
        <w:trPr>
          <w:wBefore w:w="0" w:type="auto"/>
          <w:tblCellSpacing w:w="0" w:type="dxa"/>
        </w:trPr>
        <w:tc>
          <w:tcPr>
            <w:tcW w:w="0" w:type="auto"/>
            <w:noWrap w:val="0"/>
            <w:vAlign w:val="center"/>
          </w:tcPr>
          <w:p w14:paraId="4084A09B">
            <w:r>
              <w:rPr>
                <w:rStyle w:val="10"/>
                <w:rFonts w:hint="eastAsia"/>
              </w:rPr>
              <w:t>登记证号：</w:t>
            </w:r>
            <w:r>
              <w:rPr>
                <w:rFonts w:hint="eastAsia"/>
              </w:rPr>
              <w:t>PD20211881</w:t>
            </w:r>
          </w:p>
        </w:tc>
      </w:tr>
      <w:tr w14:paraId="71DFCDB1">
        <w:tblPrEx>
          <w:tblCellMar>
            <w:top w:w="0" w:type="dxa"/>
            <w:left w:w="0" w:type="dxa"/>
            <w:bottom w:w="0" w:type="dxa"/>
            <w:right w:w="0" w:type="dxa"/>
          </w:tblCellMar>
        </w:tblPrEx>
        <w:trPr>
          <w:wBefore w:w="0" w:type="auto"/>
          <w:tblCellSpacing w:w="0" w:type="dxa"/>
        </w:trPr>
        <w:tc>
          <w:tcPr>
            <w:tcW w:w="0" w:type="auto"/>
            <w:noWrap w:val="0"/>
            <w:vAlign w:val="center"/>
          </w:tcPr>
          <w:p w14:paraId="7DCD7F15">
            <w:r>
              <w:rPr>
                <w:rStyle w:val="10"/>
                <w:rFonts w:hint="eastAsia"/>
              </w:rPr>
              <w:t>登记证持有人：</w:t>
            </w:r>
            <w:r>
              <w:rPr>
                <w:rFonts w:hint="eastAsia"/>
              </w:rPr>
              <w:t>陕西亿田丰作物科技有限公司</w:t>
            </w:r>
          </w:p>
        </w:tc>
      </w:tr>
      <w:tr w14:paraId="212CE88D">
        <w:tblPrEx>
          <w:tblCellMar>
            <w:top w:w="0" w:type="dxa"/>
            <w:left w:w="0" w:type="dxa"/>
            <w:bottom w:w="0" w:type="dxa"/>
            <w:right w:w="0" w:type="dxa"/>
          </w:tblCellMar>
        </w:tblPrEx>
        <w:trPr>
          <w:wBefore w:w="0" w:type="auto"/>
          <w:tblCellSpacing w:w="0" w:type="dxa"/>
        </w:trPr>
        <w:tc>
          <w:tcPr>
            <w:tcW w:w="0" w:type="auto"/>
            <w:noWrap w:val="0"/>
            <w:vAlign w:val="center"/>
          </w:tcPr>
          <w:p w14:paraId="0EC4D1CB">
            <w:r>
              <w:rPr>
                <w:rStyle w:val="10"/>
                <w:rFonts w:hint="eastAsia"/>
              </w:rPr>
              <w:t>农药名称：</w:t>
            </w:r>
            <w:r>
              <w:rPr>
                <w:rFonts w:hint="eastAsia"/>
              </w:rPr>
              <w:t>联苯·噻虫嗪</w:t>
            </w:r>
          </w:p>
        </w:tc>
      </w:tr>
      <w:tr w14:paraId="479DE24E">
        <w:tblPrEx>
          <w:tblCellMar>
            <w:top w:w="0" w:type="dxa"/>
            <w:left w:w="0" w:type="dxa"/>
            <w:bottom w:w="0" w:type="dxa"/>
            <w:right w:w="0" w:type="dxa"/>
          </w:tblCellMar>
        </w:tblPrEx>
        <w:trPr>
          <w:wBefore w:w="0" w:type="auto"/>
          <w:tblCellSpacing w:w="0" w:type="dxa"/>
        </w:trPr>
        <w:tc>
          <w:tcPr>
            <w:tcW w:w="0" w:type="auto"/>
            <w:noWrap w:val="0"/>
            <w:vAlign w:val="center"/>
          </w:tcPr>
          <w:p w14:paraId="69BFEABC">
            <w:r>
              <w:rPr>
                <w:rStyle w:val="10"/>
                <w:rFonts w:hint="eastAsia"/>
              </w:rPr>
              <w:t>剂型：</w:t>
            </w:r>
            <w:r>
              <w:rPr>
                <w:rFonts w:hint="eastAsia"/>
              </w:rPr>
              <w:t>悬浮剂</w:t>
            </w:r>
          </w:p>
        </w:tc>
      </w:tr>
      <w:tr w14:paraId="724A0241">
        <w:tblPrEx>
          <w:tblCellMar>
            <w:top w:w="0" w:type="dxa"/>
            <w:left w:w="0" w:type="dxa"/>
            <w:bottom w:w="0" w:type="dxa"/>
            <w:right w:w="0" w:type="dxa"/>
          </w:tblCellMar>
        </w:tblPrEx>
        <w:trPr>
          <w:wBefore w:w="0" w:type="auto"/>
          <w:tblCellSpacing w:w="0" w:type="dxa"/>
        </w:trPr>
        <w:tc>
          <w:tcPr>
            <w:tcW w:w="0" w:type="auto"/>
            <w:noWrap w:val="0"/>
            <w:vAlign w:val="center"/>
          </w:tcPr>
          <w:p w14:paraId="1003022C">
            <w:r>
              <w:rPr>
                <w:rStyle w:val="10"/>
                <w:rFonts w:hint="eastAsia"/>
              </w:rPr>
              <w:t>毒性及其标识：</w:t>
            </w:r>
            <w:r>
              <w:rPr>
                <w:rFonts w:hint="eastAsia"/>
              </w:rPr>
              <w:t xml:space="preserve"> </w:t>
            </w:r>
            <w:r>
              <w:rPr>
                <w:lang/>
              </w:rPr>
              <w:drawing>
                <wp:inline distT="0" distB="0" distL="114300" distR="114300">
                  <wp:extent cx="476250" cy="323850"/>
                  <wp:effectExtent l="0" t="0" r="0" b="0"/>
                  <wp:docPr id="419" name="图片 419"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4824D17A">
        <w:tblPrEx>
          <w:tblCellMar>
            <w:top w:w="0" w:type="dxa"/>
            <w:left w:w="0" w:type="dxa"/>
            <w:bottom w:w="0" w:type="dxa"/>
            <w:right w:w="0" w:type="dxa"/>
          </w:tblCellMar>
        </w:tblPrEx>
        <w:trPr>
          <w:wBefore w:w="0" w:type="auto"/>
          <w:tblCellSpacing w:w="0" w:type="dxa"/>
        </w:trPr>
        <w:tc>
          <w:tcPr>
            <w:tcW w:w="0" w:type="auto"/>
            <w:noWrap w:val="0"/>
            <w:vAlign w:val="center"/>
          </w:tcPr>
          <w:p w14:paraId="501ABEE8">
            <w:r>
              <w:rPr>
                <w:rStyle w:val="10"/>
                <w:rFonts w:hint="eastAsia"/>
              </w:rPr>
              <w:t>总有效成分含量：</w:t>
            </w:r>
            <w:r>
              <w:rPr>
                <w:rFonts w:hint="eastAsia"/>
              </w:rPr>
              <w:t>32%</w:t>
            </w:r>
          </w:p>
        </w:tc>
      </w:tr>
      <w:tr w14:paraId="393A8239">
        <w:tblPrEx>
          <w:tblCellMar>
            <w:top w:w="0" w:type="dxa"/>
            <w:left w:w="0" w:type="dxa"/>
            <w:bottom w:w="0" w:type="dxa"/>
            <w:right w:w="0" w:type="dxa"/>
          </w:tblCellMar>
        </w:tblPrEx>
        <w:trPr>
          <w:wBefore w:w="0" w:type="auto"/>
          <w:tblCellSpacing w:w="0" w:type="dxa"/>
        </w:trPr>
        <w:tc>
          <w:tcPr>
            <w:tcW w:w="0" w:type="auto"/>
            <w:noWrap w:val="0"/>
            <w:vAlign w:val="center"/>
          </w:tcPr>
          <w:p w14:paraId="63223C7E">
            <w:r>
              <w:rPr>
                <w:rFonts w:hint="eastAsia"/>
              </w:rPr>
              <w:t xml:space="preserve">有效成分及其含量： </w:t>
            </w:r>
          </w:p>
          <w:p w14:paraId="60518223">
            <w:r>
              <w:rPr>
                <w:rFonts w:hint="eastAsia"/>
              </w:rPr>
              <w:t xml:space="preserve">    联苯菊酯17%    噻虫嗪15%    </w:t>
            </w:r>
          </w:p>
        </w:tc>
      </w:tr>
      <w:tr w14:paraId="6E3E955A">
        <w:tblPrEx>
          <w:tblCellMar>
            <w:top w:w="0" w:type="dxa"/>
            <w:left w:w="0" w:type="dxa"/>
            <w:bottom w:w="0" w:type="dxa"/>
            <w:right w:w="0" w:type="dxa"/>
          </w:tblCellMar>
        </w:tblPrEx>
        <w:trPr>
          <w:wBefore w:w="0" w:type="auto"/>
          <w:tblCellSpacing w:w="0" w:type="dxa"/>
        </w:trPr>
        <w:tc>
          <w:tcPr>
            <w:tcW w:w="0" w:type="auto"/>
            <w:noWrap w:val="0"/>
            <w:vAlign w:val="center"/>
          </w:tcPr>
          <w:p w14:paraId="62865DA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8C3CB7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5A20C6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FF8218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71C543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EDB978D">
                  <w:r>
                    <w:rPr>
                      <w:rStyle w:val="11"/>
                      <w:rFonts w:hint="eastAsia"/>
                    </w:rPr>
                    <w:t>施用方式</w:t>
                  </w:r>
                </w:p>
              </w:tc>
            </w:tr>
            <w:tr w14:paraId="7D313C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3F49BA9">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068326">
                  <w:r>
                    <w:rPr>
                      <w:rStyle w:val="11"/>
                      <w:rFonts w:hint="eastAsia"/>
                    </w:rPr>
                    <w:t>黑刺粉虱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B8AC05">
                  <w:r>
                    <w:rPr>
                      <w:rStyle w:val="11"/>
                      <w:rFonts w:hint="eastAsia"/>
                    </w:rPr>
                    <w:t>20-30毫升/亩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ADC690">
                  <w:r>
                    <w:rPr>
                      <w:rStyle w:val="11"/>
                      <w:rFonts w:hint="eastAsia"/>
                    </w:rPr>
                    <w:t>喷雾</w:t>
                  </w:r>
                </w:p>
              </w:tc>
            </w:tr>
          </w:tbl>
          <w:p w14:paraId="2A18F231">
            <w:pPr>
              <w:rPr>
                <w:rFonts w:ascii="Times New Roman" w:hAnsi="Times New Roman" w:cs="Times New Roman"/>
                <w:sz w:val="20"/>
                <w:szCs w:val="20"/>
              </w:rPr>
            </w:pPr>
          </w:p>
        </w:tc>
      </w:tr>
      <w:tr w14:paraId="4D725D6E">
        <w:tblPrEx>
          <w:tblCellMar>
            <w:top w:w="0" w:type="dxa"/>
            <w:left w:w="0" w:type="dxa"/>
            <w:bottom w:w="0" w:type="dxa"/>
            <w:right w:w="0" w:type="dxa"/>
          </w:tblCellMar>
        </w:tblPrEx>
        <w:trPr>
          <w:wBefore w:w="0" w:type="auto"/>
          <w:tblCellSpacing w:w="0" w:type="dxa"/>
        </w:trPr>
        <w:tc>
          <w:tcPr>
            <w:tcW w:w="0" w:type="auto"/>
            <w:noWrap w:val="0"/>
            <w:vAlign w:val="center"/>
          </w:tcPr>
          <w:p w14:paraId="486D2564">
            <w:r>
              <w:rPr>
                <w:rStyle w:val="10"/>
                <w:rFonts w:hint="eastAsia"/>
              </w:rPr>
              <w:t>使用技术要求:</w:t>
            </w:r>
            <w:r>
              <w:rPr>
                <w:rFonts w:hint="eastAsia"/>
              </w:rPr>
              <w:br w:type="textWrapping"/>
            </w:r>
            <w:r>
              <w:rPr>
                <w:rStyle w:val="11"/>
                <w:rFonts w:hint="eastAsia"/>
              </w:rPr>
              <w:t>1.本品应于茶树黑刺粉虱若虫始盛期喷雾施药1次，施药时应注意喷雾均匀、周到，以确保防效。2.大风天或预计1小时内降雨，请勿施药。3.在茶树上使用的安全间隔期为7天，每季作物最多使用1次。</w:t>
            </w:r>
          </w:p>
        </w:tc>
      </w:tr>
      <w:tr w14:paraId="0926DA30">
        <w:tblPrEx>
          <w:tblCellMar>
            <w:top w:w="0" w:type="dxa"/>
            <w:left w:w="0" w:type="dxa"/>
            <w:bottom w:w="0" w:type="dxa"/>
            <w:right w:w="0" w:type="dxa"/>
          </w:tblCellMar>
        </w:tblPrEx>
        <w:trPr>
          <w:wBefore w:w="0" w:type="auto"/>
          <w:tblCellSpacing w:w="0" w:type="dxa"/>
        </w:trPr>
        <w:tc>
          <w:tcPr>
            <w:tcW w:w="0" w:type="auto"/>
            <w:noWrap w:val="0"/>
            <w:vAlign w:val="center"/>
          </w:tcPr>
          <w:p w14:paraId="07FEF6E3">
            <w:r>
              <w:rPr>
                <w:rStyle w:val="10"/>
                <w:rFonts w:hint="eastAsia"/>
              </w:rPr>
              <w:t>产品性能:</w:t>
            </w:r>
            <w:r>
              <w:rPr>
                <w:rFonts w:hint="eastAsia"/>
              </w:rPr>
              <w:br w:type="textWrapping"/>
            </w:r>
            <w:r>
              <w:rPr>
                <w:rStyle w:val="11"/>
                <w:rFonts w:hint="eastAsia"/>
              </w:rPr>
              <w:t>本品是一种新烟碱类农药和拟除虫菊酯类农药复配而成的杀虫剂，对害虫具有内吸、触杀和胃毒作用。按登记剂量使用时，对茶树黑刺粉虱有较好的防治效果。</w:t>
            </w:r>
          </w:p>
        </w:tc>
      </w:tr>
      <w:tr w14:paraId="476BC382">
        <w:tblPrEx>
          <w:tblCellMar>
            <w:top w:w="0" w:type="dxa"/>
            <w:left w:w="0" w:type="dxa"/>
            <w:bottom w:w="0" w:type="dxa"/>
            <w:right w:w="0" w:type="dxa"/>
          </w:tblCellMar>
        </w:tblPrEx>
        <w:trPr>
          <w:wBefore w:w="0" w:type="auto"/>
          <w:tblCellSpacing w:w="0" w:type="dxa"/>
        </w:trPr>
        <w:tc>
          <w:tcPr>
            <w:tcW w:w="0" w:type="auto"/>
            <w:noWrap w:val="0"/>
            <w:vAlign w:val="center"/>
          </w:tcPr>
          <w:p w14:paraId="027DB205">
            <w:r>
              <w:rPr>
                <w:rStyle w:val="10"/>
                <w:rFonts w:hint="eastAsia"/>
              </w:rPr>
              <w:t>注意事项：</w:t>
            </w:r>
            <w:r>
              <w:rPr>
                <w:rFonts w:hint="eastAsia"/>
              </w:rPr>
              <w:br w:type="textWrapping"/>
            </w:r>
            <w:r>
              <w:rPr>
                <w:rStyle w:val="11"/>
                <w:rFonts w:hint="eastAsia"/>
              </w:rPr>
              <w:t>1．严格按规定用药量和方法使用。 2．建议与其他作用机制不同的杀虫剂轮换使用，以延缓抗性产生。 3．本品对蜜蜂、鱼、水溞有毒，（周围）开花植物花期禁用，使用期间应密切关注对附近蜂群的影响，水产养殖区、河塘等水体附近禁用，禁止在河塘等水体中清洗施药器具，蚕室及桑园附近禁用，赤眼蜂等天敌放飞区域禁用。 4．对眼睛有中度刺激性，使用本品时应穿戴长衣长裤、护目镜、帽子、口罩、手套、鞋等安全防护措施。施药期间不可吃东西、饮水、吸烟等；施药后应及时洗手、洗脸并洗涤施药时穿着的衣物。 5．用药后包装物及用过的容器应妥善处理，不可做他用，也不可随意丢弃。 6．孕妇及哺乳期妇女禁止接触本品。</w:t>
            </w:r>
          </w:p>
        </w:tc>
      </w:tr>
      <w:tr w14:paraId="08025913">
        <w:tblPrEx>
          <w:tblCellMar>
            <w:top w:w="0" w:type="dxa"/>
            <w:left w:w="0" w:type="dxa"/>
            <w:bottom w:w="0" w:type="dxa"/>
            <w:right w:w="0" w:type="dxa"/>
          </w:tblCellMar>
        </w:tblPrEx>
        <w:trPr>
          <w:wBefore w:w="0" w:type="auto"/>
          <w:tblCellSpacing w:w="0" w:type="dxa"/>
        </w:trPr>
        <w:tc>
          <w:tcPr>
            <w:tcW w:w="0" w:type="auto"/>
            <w:noWrap w:val="0"/>
            <w:vAlign w:val="center"/>
          </w:tcPr>
          <w:p w14:paraId="621FF364">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29235B1C">
        <w:tblPrEx>
          <w:tblCellMar>
            <w:top w:w="0" w:type="dxa"/>
            <w:left w:w="0" w:type="dxa"/>
            <w:bottom w:w="0" w:type="dxa"/>
            <w:right w:w="0" w:type="dxa"/>
          </w:tblCellMar>
        </w:tblPrEx>
        <w:trPr>
          <w:wBefore w:w="0" w:type="auto"/>
          <w:tblCellSpacing w:w="0" w:type="dxa"/>
        </w:trPr>
        <w:tc>
          <w:tcPr>
            <w:tcW w:w="0" w:type="auto"/>
            <w:noWrap w:val="0"/>
            <w:vAlign w:val="center"/>
          </w:tcPr>
          <w:p w14:paraId="5065D5D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本品应贮存在干燥、阴凉、通风、防雨处，远离火源或热源。置于儿童、无关人员及动物触及不到之处，并加锁保存。勿与食品、饮料、粮食、饲料等同贮同运。</w:t>
            </w:r>
          </w:p>
        </w:tc>
      </w:tr>
      <w:tr w14:paraId="6B11E0D0">
        <w:tblPrEx>
          <w:tblCellMar>
            <w:top w:w="0" w:type="dxa"/>
            <w:left w:w="0" w:type="dxa"/>
            <w:bottom w:w="0" w:type="dxa"/>
            <w:right w:w="0" w:type="dxa"/>
          </w:tblCellMar>
        </w:tblPrEx>
        <w:trPr>
          <w:wBefore w:w="0" w:type="auto"/>
          <w:tblCellSpacing w:w="0" w:type="dxa"/>
        </w:trPr>
        <w:tc>
          <w:tcPr>
            <w:tcW w:w="0" w:type="auto"/>
            <w:noWrap w:val="0"/>
            <w:vAlign w:val="center"/>
          </w:tcPr>
          <w:p w14:paraId="7E410612">
            <w:r>
              <w:rPr>
                <w:rStyle w:val="10"/>
                <w:rFonts w:hint="eastAsia"/>
              </w:rPr>
              <w:t>质量保证期：</w:t>
            </w:r>
            <w:r>
              <w:rPr>
                <w:rStyle w:val="11"/>
                <w:rFonts w:hint="eastAsia"/>
              </w:rPr>
              <w:t>2年</w:t>
            </w:r>
          </w:p>
        </w:tc>
      </w:tr>
      <w:tr w14:paraId="7765BC2F">
        <w:tblPrEx>
          <w:tblCellMar>
            <w:top w:w="0" w:type="dxa"/>
            <w:left w:w="0" w:type="dxa"/>
            <w:bottom w:w="0" w:type="dxa"/>
            <w:right w:w="0" w:type="dxa"/>
          </w:tblCellMar>
        </w:tblPrEx>
        <w:trPr>
          <w:wBefore w:w="0" w:type="auto"/>
          <w:tblCellSpacing w:w="0" w:type="dxa"/>
        </w:trPr>
        <w:tc>
          <w:tcPr>
            <w:tcW w:w="0" w:type="auto"/>
            <w:noWrap w:val="0"/>
            <w:vAlign w:val="center"/>
          </w:tcPr>
          <w:p w14:paraId="5E23102F">
            <w:r>
              <w:rPr>
                <w:rStyle w:val="10"/>
                <w:rFonts w:hint="eastAsia"/>
              </w:rPr>
              <w:t>备注：</w:t>
            </w:r>
          </w:p>
        </w:tc>
      </w:tr>
    </w:tbl>
    <w:p w14:paraId="2369172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BDD7343">
        <w:tblPrEx>
          <w:tblCellMar>
            <w:top w:w="0" w:type="dxa"/>
            <w:left w:w="0" w:type="dxa"/>
            <w:bottom w:w="0" w:type="dxa"/>
            <w:right w:w="0" w:type="dxa"/>
          </w:tblCellMar>
        </w:tblPrEx>
        <w:trPr>
          <w:wBefore w:w="0" w:type="auto"/>
          <w:tblCellSpacing w:w="0" w:type="dxa"/>
        </w:trPr>
        <w:tc>
          <w:tcPr>
            <w:tcW w:w="0" w:type="auto"/>
            <w:noWrap w:val="0"/>
            <w:vAlign w:val="center"/>
          </w:tcPr>
          <w:p w14:paraId="388E0D44">
            <w:r>
              <w:rPr>
                <w:rStyle w:val="10"/>
                <w:rFonts w:hint="eastAsia"/>
              </w:rPr>
              <w:t>登记证号：</w:t>
            </w:r>
            <w:r>
              <w:rPr>
                <w:rFonts w:hint="eastAsia"/>
              </w:rPr>
              <w:t>PD20212058</w:t>
            </w:r>
          </w:p>
        </w:tc>
      </w:tr>
      <w:tr w14:paraId="19D8CC3B">
        <w:tblPrEx>
          <w:tblCellMar>
            <w:top w:w="0" w:type="dxa"/>
            <w:left w:w="0" w:type="dxa"/>
            <w:bottom w:w="0" w:type="dxa"/>
            <w:right w:w="0" w:type="dxa"/>
          </w:tblCellMar>
        </w:tblPrEx>
        <w:trPr>
          <w:wBefore w:w="0" w:type="auto"/>
          <w:tblCellSpacing w:w="0" w:type="dxa"/>
        </w:trPr>
        <w:tc>
          <w:tcPr>
            <w:tcW w:w="0" w:type="auto"/>
            <w:noWrap w:val="0"/>
            <w:vAlign w:val="center"/>
          </w:tcPr>
          <w:p w14:paraId="03D1BE7A">
            <w:r>
              <w:rPr>
                <w:rStyle w:val="10"/>
                <w:rFonts w:hint="eastAsia"/>
              </w:rPr>
              <w:t>登记证持有人：</w:t>
            </w:r>
            <w:r>
              <w:rPr>
                <w:rFonts w:hint="eastAsia"/>
              </w:rPr>
              <w:t>上海沪联生物药业（夏邑）股份有限公司</w:t>
            </w:r>
          </w:p>
        </w:tc>
      </w:tr>
      <w:tr w14:paraId="2DDC6A6C">
        <w:tblPrEx>
          <w:tblCellMar>
            <w:top w:w="0" w:type="dxa"/>
            <w:left w:w="0" w:type="dxa"/>
            <w:bottom w:w="0" w:type="dxa"/>
            <w:right w:w="0" w:type="dxa"/>
          </w:tblCellMar>
        </w:tblPrEx>
        <w:trPr>
          <w:wBefore w:w="0" w:type="auto"/>
          <w:tblCellSpacing w:w="0" w:type="dxa"/>
        </w:trPr>
        <w:tc>
          <w:tcPr>
            <w:tcW w:w="0" w:type="auto"/>
            <w:noWrap w:val="0"/>
            <w:vAlign w:val="center"/>
          </w:tcPr>
          <w:p w14:paraId="1BE6005C">
            <w:r>
              <w:rPr>
                <w:rStyle w:val="10"/>
                <w:rFonts w:hint="eastAsia"/>
              </w:rPr>
              <w:t>农药名称：</w:t>
            </w:r>
            <w:r>
              <w:rPr>
                <w:rFonts w:hint="eastAsia"/>
              </w:rPr>
              <w:t>24-表芸·赤霉酸</w:t>
            </w:r>
          </w:p>
        </w:tc>
      </w:tr>
      <w:tr w14:paraId="3547E5E6">
        <w:tblPrEx>
          <w:tblCellMar>
            <w:top w:w="0" w:type="dxa"/>
            <w:left w:w="0" w:type="dxa"/>
            <w:bottom w:w="0" w:type="dxa"/>
            <w:right w:w="0" w:type="dxa"/>
          </w:tblCellMar>
        </w:tblPrEx>
        <w:trPr>
          <w:wBefore w:w="0" w:type="auto"/>
          <w:tblCellSpacing w:w="0" w:type="dxa"/>
        </w:trPr>
        <w:tc>
          <w:tcPr>
            <w:tcW w:w="0" w:type="auto"/>
            <w:noWrap w:val="0"/>
            <w:vAlign w:val="center"/>
          </w:tcPr>
          <w:p w14:paraId="696D90F3">
            <w:r>
              <w:rPr>
                <w:rStyle w:val="10"/>
                <w:rFonts w:hint="eastAsia"/>
              </w:rPr>
              <w:t>剂型：</w:t>
            </w:r>
            <w:r>
              <w:rPr>
                <w:rFonts w:hint="eastAsia"/>
              </w:rPr>
              <w:t>可溶液剂</w:t>
            </w:r>
          </w:p>
        </w:tc>
      </w:tr>
      <w:tr w14:paraId="0EF74425">
        <w:tblPrEx>
          <w:tblCellMar>
            <w:top w:w="0" w:type="dxa"/>
            <w:left w:w="0" w:type="dxa"/>
            <w:bottom w:w="0" w:type="dxa"/>
            <w:right w:w="0" w:type="dxa"/>
          </w:tblCellMar>
        </w:tblPrEx>
        <w:trPr>
          <w:wBefore w:w="0" w:type="auto"/>
          <w:tblCellSpacing w:w="0" w:type="dxa"/>
        </w:trPr>
        <w:tc>
          <w:tcPr>
            <w:tcW w:w="0" w:type="auto"/>
            <w:noWrap w:val="0"/>
            <w:vAlign w:val="center"/>
          </w:tcPr>
          <w:p w14:paraId="694F67D6">
            <w:r>
              <w:rPr>
                <w:rStyle w:val="10"/>
                <w:rFonts w:hint="eastAsia"/>
              </w:rPr>
              <w:t>毒性及其标识：</w:t>
            </w:r>
            <w:r>
              <w:rPr>
                <w:rFonts w:hint="eastAsia"/>
              </w:rPr>
              <w:t xml:space="preserve"> </w:t>
            </w:r>
            <w:r>
              <w:rPr>
                <w:lang/>
              </w:rPr>
              <w:drawing>
                <wp:inline distT="0" distB="0" distL="114300" distR="114300">
                  <wp:extent cx="476250" cy="323850"/>
                  <wp:effectExtent l="0" t="0" r="0" b="0"/>
                  <wp:docPr id="420" name="图片 42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DBCCD28">
        <w:tblPrEx>
          <w:tblCellMar>
            <w:top w:w="0" w:type="dxa"/>
            <w:left w:w="0" w:type="dxa"/>
            <w:bottom w:w="0" w:type="dxa"/>
            <w:right w:w="0" w:type="dxa"/>
          </w:tblCellMar>
        </w:tblPrEx>
        <w:trPr>
          <w:wBefore w:w="0" w:type="auto"/>
          <w:tblCellSpacing w:w="0" w:type="dxa"/>
        </w:trPr>
        <w:tc>
          <w:tcPr>
            <w:tcW w:w="0" w:type="auto"/>
            <w:noWrap w:val="0"/>
            <w:vAlign w:val="center"/>
          </w:tcPr>
          <w:p w14:paraId="37B150CB">
            <w:r>
              <w:rPr>
                <w:rStyle w:val="10"/>
                <w:rFonts w:hint="eastAsia"/>
              </w:rPr>
              <w:t>总有效成分含量：</w:t>
            </w:r>
            <w:r>
              <w:rPr>
                <w:rFonts w:hint="eastAsia"/>
              </w:rPr>
              <w:t>0.4%</w:t>
            </w:r>
          </w:p>
        </w:tc>
      </w:tr>
      <w:tr w14:paraId="495A9A80">
        <w:tblPrEx>
          <w:tblCellMar>
            <w:top w:w="0" w:type="dxa"/>
            <w:left w:w="0" w:type="dxa"/>
            <w:bottom w:w="0" w:type="dxa"/>
            <w:right w:w="0" w:type="dxa"/>
          </w:tblCellMar>
        </w:tblPrEx>
        <w:trPr>
          <w:wBefore w:w="0" w:type="auto"/>
          <w:tblCellSpacing w:w="0" w:type="dxa"/>
        </w:trPr>
        <w:tc>
          <w:tcPr>
            <w:tcW w:w="0" w:type="auto"/>
            <w:noWrap w:val="0"/>
            <w:vAlign w:val="center"/>
          </w:tcPr>
          <w:p w14:paraId="3DC13613">
            <w:r>
              <w:rPr>
                <w:rFonts w:hint="eastAsia"/>
              </w:rPr>
              <w:t xml:space="preserve">有效成分及其含量： </w:t>
            </w:r>
          </w:p>
          <w:p w14:paraId="4B0BED9F">
            <w:r>
              <w:rPr>
                <w:rFonts w:hint="eastAsia"/>
              </w:rPr>
              <w:t xml:space="preserve">    24-表芸苔素内酯0.002%    赤霉酸A4+A70.398%    </w:t>
            </w:r>
          </w:p>
        </w:tc>
      </w:tr>
      <w:tr w14:paraId="3026E6A3">
        <w:tblPrEx>
          <w:tblCellMar>
            <w:top w:w="0" w:type="dxa"/>
            <w:left w:w="0" w:type="dxa"/>
            <w:bottom w:w="0" w:type="dxa"/>
            <w:right w:w="0" w:type="dxa"/>
          </w:tblCellMar>
        </w:tblPrEx>
        <w:trPr>
          <w:wBefore w:w="0" w:type="auto"/>
          <w:tblCellSpacing w:w="0" w:type="dxa"/>
        </w:trPr>
        <w:tc>
          <w:tcPr>
            <w:tcW w:w="0" w:type="auto"/>
            <w:noWrap w:val="0"/>
            <w:vAlign w:val="center"/>
          </w:tcPr>
          <w:p w14:paraId="0EF78B7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E9EBC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007B77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B99C08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98D40A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F8C3DE">
                  <w:r>
                    <w:rPr>
                      <w:rStyle w:val="11"/>
                      <w:rFonts w:hint="eastAsia"/>
                    </w:rPr>
                    <w:t>施用方式</w:t>
                  </w:r>
                </w:p>
              </w:tc>
            </w:tr>
            <w:tr w14:paraId="201BB86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FFDEBA0">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F4E085">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ABB393">
                  <w:r>
                    <w:rPr>
                      <w:rStyle w:val="11"/>
                      <w:rFonts w:hint="eastAsia"/>
                    </w:rPr>
                    <w:t>800-1600倍液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2BFF72">
                  <w:r>
                    <w:rPr>
                      <w:rStyle w:val="11"/>
                      <w:rFonts w:hint="eastAsia"/>
                    </w:rPr>
                    <w:t>喷雾</w:t>
                  </w:r>
                </w:p>
              </w:tc>
            </w:tr>
          </w:tbl>
          <w:p w14:paraId="6EF541FC">
            <w:pPr>
              <w:rPr>
                <w:rFonts w:ascii="Times New Roman" w:hAnsi="Times New Roman" w:cs="Times New Roman"/>
                <w:sz w:val="20"/>
                <w:szCs w:val="20"/>
              </w:rPr>
            </w:pPr>
          </w:p>
        </w:tc>
      </w:tr>
      <w:tr w14:paraId="10A8A559">
        <w:tblPrEx>
          <w:tblCellMar>
            <w:top w:w="0" w:type="dxa"/>
            <w:left w:w="0" w:type="dxa"/>
            <w:bottom w:w="0" w:type="dxa"/>
            <w:right w:w="0" w:type="dxa"/>
          </w:tblCellMar>
        </w:tblPrEx>
        <w:trPr>
          <w:wBefore w:w="0" w:type="auto"/>
          <w:tblCellSpacing w:w="0" w:type="dxa"/>
        </w:trPr>
        <w:tc>
          <w:tcPr>
            <w:tcW w:w="0" w:type="auto"/>
            <w:noWrap w:val="0"/>
            <w:vAlign w:val="center"/>
          </w:tcPr>
          <w:p w14:paraId="3E5C346C">
            <w:r>
              <w:rPr>
                <w:rStyle w:val="10"/>
                <w:rFonts w:hint="eastAsia"/>
              </w:rPr>
              <w:t>使用技术要求:</w:t>
            </w:r>
            <w:r>
              <w:rPr>
                <w:rFonts w:hint="eastAsia"/>
              </w:rPr>
              <w:br w:type="textWrapping"/>
            </w:r>
            <w:r>
              <w:rPr>
                <w:rStyle w:val="11"/>
                <w:rFonts w:hint="eastAsia"/>
              </w:rPr>
              <w:t>1.于葡萄幼果期和果实膨大期各喷雾施药1次。施药时应周到、均匀，勿重喷或漏喷。2.大风天或预计1小时内降雨，请勿施药。</w:t>
            </w:r>
          </w:p>
        </w:tc>
      </w:tr>
      <w:tr w14:paraId="4D7EBD57">
        <w:tblPrEx>
          <w:tblCellMar>
            <w:top w:w="0" w:type="dxa"/>
            <w:left w:w="0" w:type="dxa"/>
            <w:bottom w:w="0" w:type="dxa"/>
            <w:right w:w="0" w:type="dxa"/>
          </w:tblCellMar>
        </w:tblPrEx>
        <w:trPr>
          <w:wBefore w:w="0" w:type="auto"/>
          <w:tblCellSpacing w:w="0" w:type="dxa"/>
        </w:trPr>
        <w:tc>
          <w:tcPr>
            <w:tcW w:w="0" w:type="auto"/>
            <w:noWrap w:val="0"/>
            <w:vAlign w:val="center"/>
          </w:tcPr>
          <w:p w14:paraId="524B47E3">
            <w:r>
              <w:rPr>
                <w:rStyle w:val="10"/>
                <w:rFonts w:hint="eastAsia"/>
              </w:rPr>
              <w:t>产品性能:</w:t>
            </w:r>
            <w:r>
              <w:rPr>
                <w:rFonts w:hint="eastAsia"/>
              </w:rPr>
              <w:br w:type="textWrapping"/>
            </w:r>
            <w:r>
              <w:rPr>
                <w:rStyle w:val="11"/>
                <w:rFonts w:hint="eastAsia"/>
              </w:rPr>
              <w:t>本品由24-表芸苔素内酯和赤霉酸A4+A7复配而成，具有促进作物生长，增加营养体收获量；促进细胞、茎伸长，叶片扩大，果实生长，减少花果的脱落等作用。按登记剂量使用时，对葡萄生长有较好的调节作用。</w:t>
            </w:r>
          </w:p>
        </w:tc>
      </w:tr>
      <w:tr w14:paraId="641756FE">
        <w:tblPrEx>
          <w:tblCellMar>
            <w:top w:w="0" w:type="dxa"/>
            <w:left w:w="0" w:type="dxa"/>
            <w:bottom w:w="0" w:type="dxa"/>
            <w:right w:w="0" w:type="dxa"/>
          </w:tblCellMar>
        </w:tblPrEx>
        <w:trPr>
          <w:wBefore w:w="0" w:type="auto"/>
          <w:tblCellSpacing w:w="0" w:type="dxa"/>
        </w:trPr>
        <w:tc>
          <w:tcPr>
            <w:tcW w:w="0" w:type="auto"/>
            <w:noWrap w:val="0"/>
            <w:vAlign w:val="center"/>
          </w:tcPr>
          <w:p w14:paraId="65B34363">
            <w:r>
              <w:rPr>
                <w:rStyle w:val="10"/>
                <w:rFonts w:hint="eastAsia"/>
              </w:rPr>
              <w:t>注意事项：</w:t>
            </w:r>
            <w:r>
              <w:rPr>
                <w:rFonts w:hint="eastAsia"/>
              </w:rPr>
              <w:br w:type="textWrapping"/>
            </w:r>
            <w:r>
              <w:rPr>
                <w:rStyle w:val="11"/>
                <w:rFonts w:hint="eastAsia"/>
              </w:rPr>
              <w:t>1.严格按规定用药量和方法使用。2.本品不可与碱性物质混用。3.施药时远离水产养殖区、河塘等水体附近施药，禁止在河塘等水体中清洗施药器具，避免药液流入河塘等水体中污染水源。4.施药时应穿长衣、长裤，佩戴口罩、护目镜、手套等防护用品，切勿在施药时抽烟或饮食等，施药后应及时清洗皮肤并更换衣服。5.用过的容器应妥善处理，不可做他用，也不可随意丢弃。6.儿童、孕妇及哺乳期妇女禁止接触本品，使用中有任何不良反应请及时就医。</w:t>
            </w:r>
          </w:p>
        </w:tc>
      </w:tr>
      <w:tr w14:paraId="6EA5D542">
        <w:tblPrEx>
          <w:tblCellMar>
            <w:top w:w="0" w:type="dxa"/>
            <w:left w:w="0" w:type="dxa"/>
            <w:bottom w:w="0" w:type="dxa"/>
            <w:right w:w="0" w:type="dxa"/>
          </w:tblCellMar>
        </w:tblPrEx>
        <w:trPr>
          <w:wBefore w:w="0" w:type="auto"/>
          <w:tblCellSpacing w:w="0" w:type="dxa"/>
        </w:trPr>
        <w:tc>
          <w:tcPr>
            <w:tcW w:w="0" w:type="auto"/>
            <w:noWrap w:val="0"/>
            <w:vAlign w:val="center"/>
          </w:tcPr>
          <w:p w14:paraId="33279F0A">
            <w:r>
              <w:rPr>
                <w:rStyle w:val="10"/>
                <w:rFonts w:hint="eastAsia"/>
              </w:rPr>
              <w:t>中毒急救措施：</w:t>
            </w:r>
            <w:r>
              <w:rPr>
                <w:rFonts w:hint="eastAsia"/>
              </w:rPr>
              <w:br w:type="textWrapping"/>
            </w:r>
            <w:r>
              <w:rPr>
                <w:rStyle w:val="11"/>
                <w:rFonts w:hint="eastAsia"/>
              </w:rPr>
              <w:t>本品对眼睛有刺激性。使用中或使用后如果感觉不适，立即停止工作，采取急救措施，并携此标签送医就诊。皮肤接触：立即脱掉被污染的衣物，用软布去除沾染农药，用大量清水和肥皂彻底冲洗受污染皮肤。眼睛溅入：立即将眼睑翻开，用流动清水冲洗至少15分钟。仍有不适时，就医。不慎吸入：立即离开施药现场，转移至空气清新处，保持呼吸畅通。误服：立即停止服用，用清水充分漱口后，携带此标签就医。</w:t>
            </w:r>
          </w:p>
        </w:tc>
      </w:tr>
      <w:tr w14:paraId="1894D635">
        <w:tblPrEx>
          <w:tblCellMar>
            <w:top w:w="0" w:type="dxa"/>
            <w:left w:w="0" w:type="dxa"/>
            <w:bottom w:w="0" w:type="dxa"/>
            <w:right w:w="0" w:type="dxa"/>
          </w:tblCellMar>
        </w:tblPrEx>
        <w:trPr>
          <w:wBefore w:w="0" w:type="auto"/>
          <w:tblCellSpacing w:w="0" w:type="dxa"/>
        </w:trPr>
        <w:tc>
          <w:tcPr>
            <w:tcW w:w="0" w:type="auto"/>
            <w:noWrap w:val="0"/>
            <w:vAlign w:val="center"/>
          </w:tcPr>
          <w:p w14:paraId="6C52673E">
            <w:r>
              <w:rPr>
                <w:rStyle w:val="10"/>
                <w:rFonts w:hint="eastAsia"/>
              </w:rPr>
              <w:t>储存和运输方法：</w:t>
            </w:r>
            <w:r>
              <w:rPr>
                <w:rFonts w:hint="eastAsia"/>
              </w:rPr>
              <w:br w:type="textWrapping"/>
            </w:r>
            <w:r>
              <w:rPr>
                <w:rStyle w:val="11"/>
                <w:rFonts w:hint="eastAsia"/>
              </w:rPr>
              <w:t>本品应贮存在通风、干燥的库房内，远离热源或火源。不得与食物、种子、饲料、饮料、粮食等混合储运。置于儿童触及不到的地方，并加锁。</w:t>
            </w:r>
          </w:p>
        </w:tc>
      </w:tr>
      <w:tr w14:paraId="5755CDC8">
        <w:tblPrEx>
          <w:tblCellMar>
            <w:top w:w="0" w:type="dxa"/>
            <w:left w:w="0" w:type="dxa"/>
            <w:bottom w:w="0" w:type="dxa"/>
            <w:right w:w="0" w:type="dxa"/>
          </w:tblCellMar>
        </w:tblPrEx>
        <w:trPr>
          <w:wBefore w:w="0" w:type="auto"/>
          <w:tblCellSpacing w:w="0" w:type="dxa"/>
        </w:trPr>
        <w:tc>
          <w:tcPr>
            <w:tcW w:w="0" w:type="auto"/>
            <w:noWrap w:val="0"/>
            <w:vAlign w:val="center"/>
          </w:tcPr>
          <w:p w14:paraId="43EF36E0">
            <w:r>
              <w:rPr>
                <w:rStyle w:val="10"/>
                <w:rFonts w:hint="eastAsia"/>
              </w:rPr>
              <w:t>质量保证期：</w:t>
            </w:r>
            <w:r>
              <w:rPr>
                <w:rStyle w:val="11"/>
                <w:rFonts w:hint="eastAsia"/>
              </w:rPr>
              <w:t>2年</w:t>
            </w:r>
          </w:p>
        </w:tc>
      </w:tr>
      <w:tr w14:paraId="2C889BCF">
        <w:tblPrEx>
          <w:tblCellMar>
            <w:top w:w="0" w:type="dxa"/>
            <w:left w:w="0" w:type="dxa"/>
            <w:bottom w:w="0" w:type="dxa"/>
            <w:right w:w="0" w:type="dxa"/>
          </w:tblCellMar>
        </w:tblPrEx>
        <w:trPr>
          <w:wBefore w:w="0" w:type="auto"/>
          <w:tblCellSpacing w:w="0" w:type="dxa"/>
        </w:trPr>
        <w:tc>
          <w:tcPr>
            <w:tcW w:w="0" w:type="auto"/>
            <w:noWrap w:val="0"/>
            <w:vAlign w:val="center"/>
          </w:tcPr>
          <w:p w14:paraId="267DC99C">
            <w:r>
              <w:rPr>
                <w:rStyle w:val="10"/>
                <w:rFonts w:hint="eastAsia"/>
              </w:rPr>
              <w:t>备注：</w:t>
            </w:r>
          </w:p>
        </w:tc>
      </w:tr>
    </w:tbl>
    <w:p w14:paraId="27A801D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2E41674">
        <w:tblPrEx>
          <w:tblCellMar>
            <w:top w:w="0" w:type="dxa"/>
            <w:left w:w="0" w:type="dxa"/>
            <w:bottom w:w="0" w:type="dxa"/>
            <w:right w:w="0" w:type="dxa"/>
          </w:tblCellMar>
        </w:tblPrEx>
        <w:trPr>
          <w:wBefore w:w="0" w:type="auto"/>
          <w:tblCellSpacing w:w="0" w:type="dxa"/>
        </w:trPr>
        <w:tc>
          <w:tcPr>
            <w:tcW w:w="0" w:type="auto"/>
            <w:noWrap w:val="0"/>
            <w:vAlign w:val="center"/>
          </w:tcPr>
          <w:p w14:paraId="51BDD10F">
            <w:r>
              <w:rPr>
                <w:rStyle w:val="10"/>
                <w:rFonts w:hint="eastAsia"/>
              </w:rPr>
              <w:t>登记证号：</w:t>
            </w:r>
            <w:r>
              <w:rPr>
                <w:rFonts w:hint="eastAsia"/>
              </w:rPr>
              <w:t>PD20212299</w:t>
            </w:r>
          </w:p>
        </w:tc>
      </w:tr>
      <w:tr w14:paraId="3D0D7370">
        <w:tblPrEx>
          <w:tblCellMar>
            <w:top w:w="0" w:type="dxa"/>
            <w:left w:w="0" w:type="dxa"/>
            <w:bottom w:w="0" w:type="dxa"/>
            <w:right w:w="0" w:type="dxa"/>
          </w:tblCellMar>
        </w:tblPrEx>
        <w:trPr>
          <w:wBefore w:w="0" w:type="auto"/>
          <w:tblCellSpacing w:w="0" w:type="dxa"/>
        </w:trPr>
        <w:tc>
          <w:tcPr>
            <w:tcW w:w="0" w:type="auto"/>
            <w:noWrap w:val="0"/>
            <w:vAlign w:val="center"/>
          </w:tcPr>
          <w:p w14:paraId="72DBE7C1">
            <w:r>
              <w:rPr>
                <w:rStyle w:val="10"/>
                <w:rFonts w:hint="eastAsia"/>
              </w:rPr>
              <w:t>登记证持有人：</w:t>
            </w:r>
            <w:r>
              <w:rPr>
                <w:rFonts w:hint="eastAsia"/>
              </w:rPr>
              <w:t>广东立农生物科技有限公司</w:t>
            </w:r>
          </w:p>
        </w:tc>
      </w:tr>
      <w:tr w14:paraId="01739794">
        <w:tblPrEx>
          <w:tblCellMar>
            <w:top w:w="0" w:type="dxa"/>
            <w:left w:w="0" w:type="dxa"/>
            <w:bottom w:w="0" w:type="dxa"/>
            <w:right w:w="0" w:type="dxa"/>
          </w:tblCellMar>
        </w:tblPrEx>
        <w:trPr>
          <w:wBefore w:w="0" w:type="auto"/>
          <w:tblCellSpacing w:w="0" w:type="dxa"/>
        </w:trPr>
        <w:tc>
          <w:tcPr>
            <w:tcW w:w="0" w:type="auto"/>
            <w:noWrap w:val="0"/>
            <w:vAlign w:val="center"/>
          </w:tcPr>
          <w:p w14:paraId="1D81EB0E">
            <w:r>
              <w:rPr>
                <w:rStyle w:val="10"/>
                <w:rFonts w:hint="eastAsia"/>
              </w:rPr>
              <w:t>农药名称：</w:t>
            </w:r>
            <w:r>
              <w:rPr>
                <w:rFonts w:hint="eastAsia"/>
              </w:rPr>
              <w:t>乙羧· 草铵膦</w:t>
            </w:r>
          </w:p>
        </w:tc>
      </w:tr>
      <w:tr w14:paraId="6648368F">
        <w:tblPrEx>
          <w:tblCellMar>
            <w:top w:w="0" w:type="dxa"/>
            <w:left w:w="0" w:type="dxa"/>
            <w:bottom w:w="0" w:type="dxa"/>
            <w:right w:w="0" w:type="dxa"/>
          </w:tblCellMar>
        </w:tblPrEx>
        <w:trPr>
          <w:wBefore w:w="0" w:type="auto"/>
          <w:tblCellSpacing w:w="0" w:type="dxa"/>
        </w:trPr>
        <w:tc>
          <w:tcPr>
            <w:tcW w:w="0" w:type="auto"/>
            <w:noWrap w:val="0"/>
            <w:vAlign w:val="center"/>
          </w:tcPr>
          <w:p w14:paraId="518EC8AB">
            <w:r>
              <w:rPr>
                <w:rStyle w:val="10"/>
                <w:rFonts w:hint="eastAsia"/>
              </w:rPr>
              <w:t>剂型：</w:t>
            </w:r>
            <w:r>
              <w:rPr>
                <w:rFonts w:hint="eastAsia"/>
              </w:rPr>
              <w:t>可溶液剂</w:t>
            </w:r>
          </w:p>
        </w:tc>
      </w:tr>
      <w:tr w14:paraId="4C2405DE">
        <w:tblPrEx>
          <w:tblCellMar>
            <w:top w:w="0" w:type="dxa"/>
            <w:left w:w="0" w:type="dxa"/>
            <w:bottom w:w="0" w:type="dxa"/>
            <w:right w:w="0" w:type="dxa"/>
          </w:tblCellMar>
        </w:tblPrEx>
        <w:trPr>
          <w:wBefore w:w="0" w:type="auto"/>
          <w:tblCellSpacing w:w="0" w:type="dxa"/>
        </w:trPr>
        <w:tc>
          <w:tcPr>
            <w:tcW w:w="0" w:type="auto"/>
            <w:noWrap w:val="0"/>
            <w:vAlign w:val="center"/>
          </w:tcPr>
          <w:p w14:paraId="7DED4499">
            <w:r>
              <w:rPr>
                <w:rStyle w:val="10"/>
                <w:rFonts w:hint="eastAsia"/>
              </w:rPr>
              <w:t>毒性及其标识：</w:t>
            </w:r>
            <w:r>
              <w:rPr>
                <w:rFonts w:hint="eastAsia"/>
              </w:rPr>
              <w:t xml:space="preserve"> </w:t>
            </w:r>
            <w:r>
              <w:rPr>
                <w:lang/>
              </w:rPr>
              <w:drawing>
                <wp:inline distT="0" distB="0" distL="114300" distR="114300">
                  <wp:extent cx="476250" cy="323850"/>
                  <wp:effectExtent l="0" t="0" r="0" b="0"/>
                  <wp:docPr id="421" name="图片 42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2A4973E">
        <w:tblPrEx>
          <w:tblCellMar>
            <w:top w:w="0" w:type="dxa"/>
            <w:left w:w="0" w:type="dxa"/>
            <w:bottom w:w="0" w:type="dxa"/>
            <w:right w:w="0" w:type="dxa"/>
          </w:tblCellMar>
        </w:tblPrEx>
        <w:trPr>
          <w:wBefore w:w="0" w:type="auto"/>
          <w:tblCellSpacing w:w="0" w:type="dxa"/>
        </w:trPr>
        <w:tc>
          <w:tcPr>
            <w:tcW w:w="0" w:type="auto"/>
            <w:noWrap w:val="0"/>
            <w:vAlign w:val="center"/>
          </w:tcPr>
          <w:p w14:paraId="6BF0F99D">
            <w:r>
              <w:rPr>
                <w:rStyle w:val="10"/>
                <w:rFonts w:hint="eastAsia"/>
              </w:rPr>
              <w:t>总有效成分含量：</w:t>
            </w:r>
            <w:r>
              <w:rPr>
                <w:rFonts w:hint="eastAsia"/>
              </w:rPr>
              <w:t>11%</w:t>
            </w:r>
          </w:p>
        </w:tc>
      </w:tr>
      <w:tr w14:paraId="67894DDA">
        <w:tblPrEx>
          <w:tblCellMar>
            <w:top w:w="0" w:type="dxa"/>
            <w:left w:w="0" w:type="dxa"/>
            <w:bottom w:w="0" w:type="dxa"/>
            <w:right w:w="0" w:type="dxa"/>
          </w:tblCellMar>
        </w:tblPrEx>
        <w:trPr>
          <w:wBefore w:w="0" w:type="auto"/>
          <w:tblCellSpacing w:w="0" w:type="dxa"/>
        </w:trPr>
        <w:tc>
          <w:tcPr>
            <w:tcW w:w="0" w:type="auto"/>
            <w:noWrap w:val="0"/>
            <w:vAlign w:val="center"/>
          </w:tcPr>
          <w:p w14:paraId="38EB580D">
            <w:r>
              <w:rPr>
                <w:rFonts w:hint="eastAsia"/>
              </w:rPr>
              <w:t xml:space="preserve">有效成分及其含量： </w:t>
            </w:r>
          </w:p>
          <w:p w14:paraId="178B9FB8">
            <w:r>
              <w:rPr>
                <w:rFonts w:hint="eastAsia"/>
              </w:rPr>
              <w:t xml:space="preserve">    乙羧氟草醚0.6%    草铵膦10.4%    </w:t>
            </w:r>
          </w:p>
        </w:tc>
      </w:tr>
      <w:tr w14:paraId="4F962465">
        <w:tblPrEx>
          <w:tblCellMar>
            <w:top w:w="0" w:type="dxa"/>
            <w:left w:w="0" w:type="dxa"/>
            <w:bottom w:w="0" w:type="dxa"/>
            <w:right w:w="0" w:type="dxa"/>
          </w:tblCellMar>
        </w:tblPrEx>
        <w:trPr>
          <w:wBefore w:w="0" w:type="auto"/>
          <w:tblCellSpacing w:w="0" w:type="dxa"/>
        </w:trPr>
        <w:tc>
          <w:tcPr>
            <w:tcW w:w="0" w:type="auto"/>
            <w:noWrap w:val="0"/>
            <w:vAlign w:val="center"/>
          </w:tcPr>
          <w:p w14:paraId="0A3DE85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8F533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8A1F6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6A76FD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C1F506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39EF248">
                  <w:r>
                    <w:rPr>
                      <w:rStyle w:val="11"/>
                      <w:rFonts w:hint="eastAsia"/>
                    </w:rPr>
                    <w:t>施用方式</w:t>
                  </w:r>
                </w:p>
              </w:tc>
            </w:tr>
            <w:tr w14:paraId="691763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66946F">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75FF6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E7E9C7">
                  <w:r>
                    <w:rPr>
                      <w:rStyle w:val="11"/>
                      <w:rFonts w:hint="eastAsia"/>
                    </w:rPr>
                    <w:t>400-700毫升/亩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820E13">
                  <w:r>
                    <w:rPr>
                      <w:rStyle w:val="11"/>
                      <w:rFonts w:hint="eastAsia"/>
                    </w:rPr>
                    <w:t>茎叶喷雾</w:t>
                  </w:r>
                </w:p>
              </w:tc>
            </w:tr>
          </w:tbl>
          <w:p w14:paraId="20E42918">
            <w:pPr>
              <w:rPr>
                <w:rFonts w:ascii="Times New Roman" w:hAnsi="Times New Roman" w:cs="Times New Roman"/>
                <w:sz w:val="20"/>
                <w:szCs w:val="20"/>
              </w:rPr>
            </w:pPr>
          </w:p>
        </w:tc>
      </w:tr>
      <w:tr w14:paraId="3195B737">
        <w:tblPrEx>
          <w:tblCellMar>
            <w:top w:w="0" w:type="dxa"/>
            <w:left w:w="0" w:type="dxa"/>
            <w:bottom w:w="0" w:type="dxa"/>
            <w:right w:w="0" w:type="dxa"/>
          </w:tblCellMar>
        </w:tblPrEx>
        <w:trPr>
          <w:wBefore w:w="0" w:type="auto"/>
          <w:tblCellSpacing w:w="0" w:type="dxa"/>
        </w:trPr>
        <w:tc>
          <w:tcPr>
            <w:tcW w:w="0" w:type="auto"/>
            <w:noWrap w:val="0"/>
            <w:vAlign w:val="center"/>
          </w:tcPr>
          <w:p w14:paraId="48DF1F4D">
            <w:r>
              <w:rPr>
                <w:rStyle w:val="10"/>
                <w:rFonts w:hint="eastAsia"/>
              </w:rPr>
              <w:t>使用技术要求:</w:t>
            </w:r>
            <w:r>
              <w:rPr>
                <w:rFonts w:hint="eastAsia"/>
              </w:rPr>
              <w:br w:type="textWrapping"/>
            </w:r>
            <w:r>
              <w:rPr>
                <w:rStyle w:val="11"/>
                <w:rFonts w:hint="eastAsia"/>
              </w:rPr>
              <w:t>1.应于非耕地杂草旺盛生长期茎叶喷雾施药一次，每亩兑水量40~50升。 2.干旱及杂草密度大或防除大龄杂草及多年生恶性杂草时，采用较高的推荐制剂用量。</w:t>
            </w:r>
          </w:p>
        </w:tc>
      </w:tr>
      <w:tr w14:paraId="4E65EC09">
        <w:tblPrEx>
          <w:tblCellMar>
            <w:top w:w="0" w:type="dxa"/>
            <w:left w:w="0" w:type="dxa"/>
            <w:bottom w:w="0" w:type="dxa"/>
            <w:right w:w="0" w:type="dxa"/>
          </w:tblCellMar>
        </w:tblPrEx>
        <w:trPr>
          <w:wBefore w:w="0" w:type="auto"/>
          <w:tblCellSpacing w:w="0" w:type="dxa"/>
        </w:trPr>
        <w:tc>
          <w:tcPr>
            <w:tcW w:w="0" w:type="auto"/>
            <w:noWrap w:val="0"/>
            <w:vAlign w:val="center"/>
          </w:tcPr>
          <w:p w14:paraId="38A0B720">
            <w:r>
              <w:rPr>
                <w:rStyle w:val="10"/>
                <w:rFonts w:hint="eastAsia"/>
              </w:rPr>
              <w:t>产品性能:</w:t>
            </w:r>
            <w:r>
              <w:rPr>
                <w:rFonts w:hint="eastAsia"/>
              </w:rPr>
              <w:br w:type="textWrapping"/>
            </w:r>
            <w:r>
              <w:rPr>
                <w:rStyle w:val="11"/>
                <w:rFonts w:hint="eastAsia"/>
              </w:rPr>
              <w:t>草铵膦是广谱触杀型除草剂，具内吸传导作用；乙羧氟草醚属二苯醚类除草剂，是原卟啉氧化酶抑制剂，本品一旦被植物吸收，只有在光照条件下才发挥效力；两者混配可有效防除狗尾草、牛筋草、马齿苋、黄鹌鹑、马唐、大飞扬草、鲤肠、凹头草、三叶鬼针草等禾本科和阔叶类杂草。</w:t>
            </w:r>
          </w:p>
        </w:tc>
      </w:tr>
      <w:tr w14:paraId="17DA842A">
        <w:tblPrEx>
          <w:tblCellMar>
            <w:top w:w="0" w:type="dxa"/>
            <w:left w:w="0" w:type="dxa"/>
            <w:bottom w:w="0" w:type="dxa"/>
            <w:right w:w="0" w:type="dxa"/>
          </w:tblCellMar>
        </w:tblPrEx>
        <w:trPr>
          <w:wBefore w:w="0" w:type="auto"/>
          <w:tblCellSpacing w:w="0" w:type="dxa"/>
        </w:trPr>
        <w:tc>
          <w:tcPr>
            <w:tcW w:w="0" w:type="auto"/>
            <w:noWrap w:val="0"/>
            <w:vAlign w:val="center"/>
          </w:tcPr>
          <w:p w14:paraId="2C6261FF">
            <w:r>
              <w:rPr>
                <w:rStyle w:val="10"/>
                <w:rFonts w:hint="eastAsia"/>
              </w:rPr>
              <w:t>注意事项：</w:t>
            </w:r>
            <w:r>
              <w:rPr>
                <w:rFonts w:hint="eastAsia"/>
              </w:rPr>
              <w:br w:type="textWrapping"/>
            </w:r>
            <w:r>
              <w:rPr>
                <w:rStyle w:val="11"/>
                <w:rFonts w:hint="eastAsia"/>
              </w:rPr>
              <w:t>1.本品仅用于防除非耕地杂草，整个杂草生育期最多使用1次。2.本品对眼睛有刺激性，施药时应穿长衣长裤、长靴、戴手套、口罩、眼镜等防护用具；施药时不能吸烟、饮水等；施药后洗干净手、脸、皮肤暴露部位等，并及时更换衣物。3.本品对家蚕有毒，禁止最外围和次外围桑树上的叶片饲喂家蚕，禁止蚕室和桑园附近施用本品。4.远离水产养殖区、河塘等水体施药；禁止在河塘等水体中清洗施药器具5.七星瓢虫等天敌放飞区域5 m内禁用。6.清洗药械后的废液应引入废水沟中，避免污染河流和其他水源。用过的容器应妥善处理，不可做他用，也不可随意丢弃。7.本品避免与氧化剂接触。8.远离火源或热源。9.孕妇及哺乳期妇女避免接触此药。10.禁止在田间道路、田埂、果树行间、休耕地、林场地等农林区域使用。11.鸟类保护区附近禁用，施药后立即覆土。</w:t>
            </w:r>
          </w:p>
        </w:tc>
      </w:tr>
      <w:tr w14:paraId="2CA939C8">
        <w:tblPrEx>
          <w:tblCellMar>
            <w:top w:w="0" w:type="dxa"/>
            <w:left w:w="0" w:type="dxa"/>
            <w:bottom w:w="0" w:type="dxa"/>
            <w:right w:w="0" w:type="dxa"/>
          </w:tblCellMar>
        </w:tblPrEx>
        <w:trPr>
          <w:wBefore w:w="0" w:type="auto"/>
          <w:tblCellSpacing w:w="0" w:type="dxa"/>
        </w:trPr>
        <w:tc>
          <w:tcPr>
            <w:tcW w:w="0" w:type="auto"/>
            <w:noWrap w:val="0"/>
            <w:vAlign w:val="center"/>
          </w:tcPr>
          <w:p w14:paraId="04685296">
            <w:r>
              <w:rPr>
                <w:rStyle w:val="10"/>
                <w:rFonts w:hint="eastAsia"/>
              </w:rPr>
              <w:t>中毒急救措施：</w:t>
            </w:r>
            <w:r>
              <w:rPr>
                <w:rFonts w:hint="eastAsia"/>
              </w:rPr>
              <w:br w:type="textWrapping"/>
            </w:r>
            <w:r>
              <w:rPr>
                <w:rStyle w:val="11"/>
                <w:rFonts w:hint="eastAsia"/>
              </w:rPr>
              <w:t>不慎吸入：应将病人移至空气流通处。 不慎溅入眼睛或接触皮肤：用大量清水冲洗至少15分钟。 不慎误服：用清水将嘴清洗干净，不要自行引吐，携此标签送医诊治。</w:t>
            </w:r>
          </w:p>
        </w:tc>
      </w:tr>
      <w:tr w14:paraId="18D31F8C">
        <w:tblPrEx>
          <w:tblCellMar>
            <w:top w:w="0" w:type="dxa"/>
            <w:left w:w="0" w:type="dxa"/>
            <w:bottom w:w="0" w:type="dxa"/>
            <w:right w:w="0" w:type="dxa"/>
          </w:tblCellMar>
        </w:tblPrEx>
        <w:trPr>
          <w:wBefore w:w="0" w:type="auto"/>
          <w:tblCellSpacing w:w="0" w:type="dxa"/>
        </w:trPr>
        <w:tc>
          <w:tcPr>
            <w:tcW w:w="0" w:type="auto"/>
            <w:noWrap w:val="0"/>
            <w:vAlign w:val="center"/>
          </w:tcPr>
          <w:p w14:paraId="3FB3E03B">
            <w:r>
              <w:rPr>
                <w:rStyle w:val="10"/>
                <w:rFonts w:hint="eastAsia"/>
              </w:rPr>
              <w:t>储存和运输方法：</w:t>
            </w:r>
            <w:r>
              <w:rPr>
                <w:rFonts w:hint="eastAsia"/>
              </w:rPr>
              <w:br w:type="textWrapping"/>
            </w:r>
            <w:r>
              <w:rPr>
                <w:rStyle w:val="11"/>
                <w:rFonts w:hint="eastAsia"/>
              </w:rPr>
              <w:t>1.本品应贮存在阴凉、干燥、通风、防雨处，远离火源或热源；2.置于儿童、无关人员及动物接触不到的地方，并加锁；3.不得与食物、饮料、种子、饲料等物品同贮同运，运输时要防潮防晒；4.装卸时，注意轻拿轻放。</w:t>
            </w:r>
          </w:p>
        </w:tc>
      </w:tr>
      <w:tr w14:paraId="6690A33D">
        <w:tblPrEx>
          <w:tblCellMar>
            <w:top w:w="0" w:type="dxa"/>
            <w:left w:w="0" w:type="dxa"/>
            <w:bottom w:w="0" w:type="dxa"/>
            <w:right w:w="0" w:type="dxa"/>
          </w:tblCellMar>
        </w:tblPrEx>
        <w:trPr>
          <w:wBefore w:w="0" w:type="auto"/>
          <w:tblCellSpacing w:w="0" w:type="dxa"/>
        </w:trPr>
        <w:tc>
          <w:tcPr>
            <w:tcW w:w="0" w:type="auto"/>
            <w:noWrap w:val="0"/>
            <w:vAlign w:val="center"/>
          </w:tcPr>
          <w:p w14:paraId="0EC5BB72">
            <w:r>
              <w:rPr>
                <w:rStyle w:val="10"/>
                <w:rFonts w:hint="eastAsia"/>
              </w:rPr>
              <w:t>质量保证期：</w:t>
            </w:r>
            <w:r>
              <w:rPr>
                <w:rStyle w:val="11"/>
                <w:rFonts w:hint="eastAsia"/>
              </w:rPr>
              <w:t>2年</w:t>
            </w:r>
          </w:p>
        </w:tc>
      </w:tr>
      <w:tr w14:paraId="4F4A7D49">
        <w:tblPrEx>
          <w:tblCellMar>
            <w:top w:w="0" w:type="dxa"/>
            <w:left w:w="0" w:type="dxa"/>
            <w:bottom w:w="0" w:type="dxa"/>
            <w:right w:w="0" w:type="dxa"/>
          </w:tblCellMar>
        </w:tblPrEx>
        <w:trPr>
          <w:wBefore w:w="0" w:type="auto"/>
          <w:tblCellSpacing w:w="0" w:type="dxa"/>
        </w:trPr>
        <w:tc>
          <w:tcPr>
            <w:tcW w:w="0" w:type="auto"/>
            <w:noWrap w:val="0"/>
            <w:vAlign w:val="center"/>
          </w:tcPr>
          <w:p w14:paraId="271854B7">
            <w:r>
              <w:rPr>
                <w:rStyle w:val="10"/>
                <w:rFonts w:hint="eastAsia"/>
              </w:rPr>
              <w:t>备注：</w:t>
            </w:r>
          </w:p>
        </w:tc>
      </w:tr>
    </w:tbl>
    <w:p w14:paraId="6915699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DD2D928">
        <w:tblPrEx>
          <w:tblCellMar>
            <w:top w:w="0" w:type="dxa"/>
            <w:left w:w="0" w:type="dxa"/>
            <w:bottom w:w="0" w:type="dxa"/>
            <w:right w:w="0" w:type="dxa"/>
          </w:tblCellMar>
        </w:tblPrEx>
        <w:trPr>
          <w:wBefore w:w="0" w:type="auto"/>
          <w:tblCellSpacing w:w="0" w:type="dxa"/>
        </w:trPr>
        <w:tc>
          <w:tcPr>
            <w:tcW w:w="0" w:type="auto"/>
            <w:noWrap w:val="0"/>
            <w:vAlign w:val="center"/>
          </w:tcPr>
          <w:p w14:paraId="11AC1802">
            <w:r>
              <w:rPr>
                <w:rStyle w:val="10"/>
                <w:rFonts w:hint="eastAsia"/>
              </w:rPr>
              <w:t>登记证号：</w:t>
            </w:r>
            <w:r>
              <w:rPr>
                <w:rFonts w:hint="eastAsia"/>
              </w:rPr>
              <w:t>PD20212155</w:t>
            </w:r>
          </w:p>
        </w:tc>
      </w:tr>
      <w:tr w14:paraId="15876583">
        <w:tblPrEx>
          <w:tblCellMar>
            <w:top w:w="0" w:type="dxa"/>
            <w:left w:w="0" w:type="dxa"/>
            <w:bottom w:w="0" w:type="dxa"/>
            <w:right w:w="0" w:type="dxa"/>
          </w:tblCellMar>
        </w:tblPrEx>
        <w:trPr>
          <w:wBefore w:w="0" w:type="auto"/>
          <w:tblCellSpacing w:w="0" w:type="dxa"/>
        </w:trPr>
        <w:tc>
          <w:tcPr>
            <w:tcW w:w="0" w:type="auto"/>
            <w:noWrap w:val="0"/>
            <w:vAlign w:val="center"/>
          </w:tcPr>
          <w:p w14:paraId="3DF7DE50">
            <w:r>
              <w:rPr>
                <w:rStyle w:val="10"/>
                <w:rFonts w:hint="eastAsia"/>
              </w:rPr>
              <w:t>登记证持有人：</w:t>
            </w:r>
            <w:r>
              <w:rPr>
                <w:rFonts w:hint="eastAsia"/>
              </w:rPr>
              <w:t>京博农化科技有限公司</w:t>
            </w:r>
          </w:p>
        </w:tc>
      </w:tr>
      <w:tr w14:paraId="64123B8B">
        <w:tblPrEx>
          <w:tblCellMar>
            <w:top w:w="0" w:type="dxa"/>
            <w:left w:w="0" w:type="dxa"/>
            <w:bottom w:w="0" w:type="dxa"/>
            <w:right w:w="0" w:type="dxa"/>
          </w:tblCellMar>
        </w:tblPrEx>
        <w:trPr>
          <w:wBefore w:w="0" w:type="auto"/>
          <w:tblCellSpacing w:w="0" w:type="dxa"/>
        </w:trPr>
        <w:tc>
          <w:tcPr>
            <w:tcW w:w="0" w:type="auto"/>
            <w:noWrap w:val="0"/>
            <w:vAlign w:val="center"/>
          </w:tcPr>
          <w:p w14:paraId="25472808">
            <w:r>
              <w:rPr>
                <w:rStyle w:val="10"/>
                <w:rFonts w:hint="eastAsia"/>
              </w:rPr>
              <w:t>农药名称：</w:t>
            </w:r>
            <w:r>
              <w:rPr>
                <w:rFonts w:hint="eastAsia"/>
              </w:rPr>
              <w:t>甲基二磺隆</w:t>
            </w:r>
          </w:p>
        </w:tc>
      </w:tr>
      <w:tr w14:paraId="50582331">
        <w:tblPrEx>
          <w:tblCellMar>
            <w:top w:w="0" w:type="dxa"/>
            <w:left w:w="0" w:type="dxa"/>
            <w:bottom w:w="0" w:type="dxa"/>
            <w:right w:w="0" w:type="dxa"/>
          </w:tblCellMar>
        </w:tblPrEx>
        <w:trPr>
          <w:wBefore w:w="0" w:type="auto"/>
          <w:tblCellSpacing w:w="0" w:type="dxa"/>
        </w:trPr>
        <w:tc>
          <w:tcPr>
            <w:tcW w:w="0" w:type="auto"/>
            <w:noWrap w:val="0"/>
            <w:vAlign w:val="center"/>
          </w:tcPr>
          <w:p w14:paraId="10770F78">
            <w:r>
              <w:rPr>
                <w:rStyle w:val="10"/>
                <w:rFonts w:hint="eastAsia"/>
              </w:rPr>
              <w:t>剂型：</w:t>
            </w:r>
            <w:r>
              <w:rPr>
                <w:rFonts w:hint="eastAsia"/>
              </w:rPr>
              <w:t>可分散油悬浮剂</w:t>
            </w:r>
          </w:p>
        </w:tc>
      </w:tr>
      <w:tr w14:paraId="411AFD4F">
        <w:tblPrEx>
          <w:tblCellMar>
            <w:top w:w="0" w:type="dxa"/>
            <w:left w:w="0" w:type="dxa"/>
            <w:bottom w:w="0" w:type="dxa"/>
            <w:right w:w="0" w:type="dxa"/>
          </w:tblCellMar>
        </w:tblPrEx>
        <w:trPr>
          <w:wBefore w:w="0" w:type="auto"/>
          <w:tblCellSpacing w:w="0" w:type="dxa"/>
        </w:trPr>
        <w:tc>
          <w:tcPr>
            <w:tcW w:w="0" w:type="auto"/>
            <w:noWrap w:val="0"/>
            <w:vAlign w:val="center"/>
          </w:tcPr>
          <w:p w14:paraId="3EADB4A3">
            <w:r>
              <w:rPr>
                <w:rStyle w:val="10"/>
                <w:rFonts w:hint="eastAsia"/>
              </w:rPr>
              <w:t>毒性及其标识：</w:t>
            </w:r>
            <w:r>
              <w:rPr>
                <w:rFonts w:hint="eastAsia"/>
              </w:rPr>
              <w:t xml:space="preserve"> </w:t>
            </w:r>
            <w:r>
              <w:rPr>
                <w:lang/>
              </w:rPr>
              <w:drawing>
                <wp:inline distT="0" distB="0" distL="114300" distR="114300">
                  <wp:extent cx="476250" cy="323850"/>
                  <wp:effectExtent l="0" t="0" r="0" b="0"/>
                  <wp:docPr id="422" name="图片 42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AD7795">
        <w:tblPrEx>
          <w:tblCellMar>
            <w:top w:w="0" w:type="dxa"/>
            <w:left w:w="0" w:type="dxa"/>
            <w:bottom w:w="0" w:type="dxa"/>
            <w:right w:w="0" w:type="dxa"/>
          </w:tblCellMar>
        </w:tblPrEx>
        <w:trPr>
          <w:wBefore w:w="0" w:type="auto"/>
          <w:tblCellSpacing w:w="0" w:type="dxa"/>
        </w:trPr>
        <w:tc>
          <w:tcPr>
            <w:tcW w:w="0" w:type="auto"/>
            <w:noWrap w:val="0"/>
            <w:vAlign w:val="center"/>
          </w:tcPr>
          <w:p w14:paraId="55ABC24F">
            <w:r>
              <w:rPr>
                <w:rStyle w:val="10"/>
                <w:rFonts w:hint="eastAsia"/>
              </w:rPr>
              <w:t>总有效成分含量：</w:t>
            </w:r>
            <w:r>
              <w:rPr>
                <w:rFonts w:hint="eastAsia"/>
              </w:rPr>
              <w:t>30克/升</w:t>
            </w:r>
          </w:p>
        </w:tc>
      </w:tr>
      <w:tr w14:paraId="6A903DF5">
        <w:tblPrEx>
          <w:tblCellMar>
            <w:top w:w="0" w:type="dxa"/>
            <w:left w:w="0" w:type="dxa"/>
            <w:bottom w:w="0" w:type="dxa"/>
            <w:right w:w="0" w:type="dxa"/>
          </w:tblCellMar>
        </w:tblPrEx>
        <w:trPr>
          <w:wBefore w:w="0" w:type="auto"/>
          <w:tblCellSpacing w:w="0" w:type="dxa"/>
        </w:trPr>
        <w:tc>
          <w:tcPr>
            <w:tcW w:w="0" w:type="auto"/>
            <w:noWrap w:val="0"/>
            <w:vAlign w:val="center"/>
          </w:tcPr>
          <w:p w14:paraId="3C323BAA">
            <w:r>
              <w:rPr>
                <w:rFonts w:hint="eastAsia"/>
              </w:rPr>
              <w:t xml:space="preserve">有效成分及其含量： </w:t>
            </w:r>
          </w:p>
          <w:p w14:paraId="6853DC07">
            <w:r>
              <w:rPr>
                <w:rFonts w:hint="eastAsia"/>
              </w:rPr>
              <w:t xml:space="preserve">    甲基二磺隆30克/升    </w:t>
            </w:r>
          </w:p>
        </w:tc>
      </w:tr>
      <w:tr w14:paraId="790AF9D6">
        <w:tblPrEx>
          <w:tblCellMar>
            <w:top w:w="0" w:type="dxa"/>
            <w:left w:w="0" w:type="dxa"/>
            <w:bottom w:w="0" w:type="dxa"/>
            <w:right w:w="0" w:type="dxa"/>
          </w:tblCellMar>
        </w:tblPrEx>
        <w:trPr>
          <w:wBefore w:w="0" w:type="auto"/>
          <w:tblCellSpacing w:w="0" w:type="dxa"/>
        </w:trPr>
        <w:tc>
          <w:tcPr>
            <w:tcW w:w="0" w:type="auto"/>
            <w:noWrap w:val="0"/>
            <w:vAlign w:val="center"/>
          </w:tcPr>
          <w:p w14:paraId="11DF158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6FB38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A5F21C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4B4950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2286FA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630B898">
                  <w:r>
                    <w:rPr>
                      <w:rStyle w:val="11"/>
                      <w:rFonts w:hint="eastAsia"/>
                    </w:rPr>
                    <w:t>施用方式</w:t>
                  </w:r>
                </w:p>
              </w:tc>
            </w:tr>
            <w:tr w14:paraId="2D9033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3B32E1">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57D8C2">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CF08CE">
                  <w:r>
                    <w:rPr>
                      <w:rStyle w:val="11"/>
                      <w:rFonts w:hint="eastAsia"/>
                    </w:rPr>
                    <w:t>20-35毫升/亩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6B5762">
                  <w:r>
                    <w:rPr>
                      <w:rStyle w:val="11"/>
                      <w:rFonts w:hint="eastAsia"/>
                    </w:rPr>
                    <w:t>茎叶喷雾</w:t>
                  </w:r>
                </w:p>
              </w:tc>
            </w:tr>
          </w:tbl>
          <w:p w14:paraId="7ADAA338">
            <w:pPr>
              <w:rPr>
                <w:rFonts w:ascii="Times New Roman" w:hAnsi="Times New Roman" w:cs="Times New Roman"/>
                <w:sz w:val="20"/>
                <w:szCs w:val="20"/>
              </w:rPr>
            </w:pPr>
          </w:p>
        </w:tc>
      </w:tr>
      <w:tr w14:paraId="18BED600">
        <w:tblPrEx>
          <w:tblCellMar>
            <w:top w:w="0" w:type="dxa"/>
            <w:left w:w="0" w:type="dxa"/>
            <w:bottom w:w="0" w:type="dxa"/>
            <w:right w:w="0" w:type="dxa"/>
          </w:tblCellMar>
        </w:tblPrEx>
        <w:trPr>
          <w:wBefore w:w="0" w:type="auto"/>
          <w:tblCellSpacing w:w="0" w:type="dxa"/>
        </w:trPr>
        <w:tc>
          <w:tcPr>
            <w:tcW w:w="0" w:type="auto"/>
            <w:noWrap w:val="0"/>
            <w:vAlign w:val="center"/>
          </w:tcPr>
          <w:p w14:paraId="743396C5">
            <w:r>
              <w:rPr>
                <w:rStyle w:val="10"/>
                <w:rFonts w:hint="eastAsia"/>
              </w:rPr>
              <w:t>使用技术要求:</w:t>
            </w:r>
            <w:r>
              <w:rPr>
                <w:rFonts w:hint="eastAsia"/>
              </w:rPr>
              <w:br w:type="textWrapping"/>
            </w:r>
            <w:r>
              <w:rPr>
                <w:rStyle w:val="11"/>
                <w:rFonts w:hint="eastAsia"/>
              </w:rPr>
              <w:t>1.在冬小麦返青后至拔节前或春小麦3-5叶期，杂草2-5叶期，以推荐剂量兑水均匀茎叶喷雾施药一次，每亩对水25～30升，茎叶均匀喷雾处理。 2.施用前后2天内不可大水漫灌麦田；施用8小时后降雨一般不影响药效。3.小麦整个生育期最多使用1次。</w:t>
            </w:r>
          </w:p>
        </w:tc>
      </w:tr>
      <w:tr w14:paraId="7583C613">
        <w:tblPrEx>
          <w:tblCellMar>
            <w:top w:w="0" w:type="dxa"/>
            <w:left w:w="0" w:type="dxa"/>
            <w:bottom w:w="0" w:type="dxa"/>
            <w:right w:w="0" w:type="dxa"/>
          </w:tblCellMar>
        </w:tblPrEx>
        <w:trPr>
          <w:wBefore w:w="0" w:type="auto"/>
          <w:tblCellSpacing w:w="0" w:type="dxa"/>
        </w:trPr>
        <w:tc>
          <w:tcPr>
            <w:tcW w:w="0" w:type="auto"/>
            <w:noWrap w:val="0"/>
            <w:vAlign w:val="center"/>
          </w:tcPr>
          <w:p w14:paraId="7DF3E8FF">
            <w:r>
              <w:rPr>
                <w:rStyle w:val="10"/>
                <w:rFonts w:hint="eastAsia"/>
              </w:rPr>
              <w:t>产品性能:</w:t>
            </w:r>
            <w:r>
              <w:rPr>
                <w:rFonts w:hint="eastAsia"/>
              </w:rPr>
              <w:br w:type="textWrapping"/>
            </w:r>
            <w:r>
              <w:rPr>
                <w:rStyle w:val="11"/>
                <w:rFonts w:hint="eastAsia"/>
              </w:rPr>
              <w:t>本品为小麦田苗后除草剂，施药期宽，可防除硬草、早熟禾、碱茅、棒头草、看麦娘、菵草、毒麦、多花黑麦草、野燕麦、蜡烛草、牛繁缕、荠菜等麦田多数一年生禾本科杂草和部分阔叶草，对雀麦(野麦子)、节节麦、偃麦草等极恶性禾本科杂草也有较好控制效果。</w:t>
            </w:r>
          </w:p>
        </w:tc>
      </w:tr>
      <w:tr w14:paraId="165E153B">
        <w:tblPrEx>
          <w:tblCellMar>
            <w:top w:w="0" w:type="dxa"/>
            <w:left w:w="0" w:type="dxa"/>
            <w:bottom w:w="0" w:type="dxa"/>
            <w:right w:w="0" w:type="dxa"/>
          </w:tblCellMar>
        </w:tblPrEx>
        <w:trPr>
          <w:wBefore w:w="0" w:type="auto"/>
          <w:tblCellSpacing w:w="0" w:type="dxa"/>
        </w:trPr>
        <w:tc>
          <w:tcPr>
            <w:tcW w:w="0" w:type="auto"/>
            <w:noWrap w:val="0"/>
            <w:vAlign w:val="center"/>
          </w:tcPr>
          <w:p w14:paraId="7B1A99B4">
            <w:r>
              <w:rPr>
                <w:rStyle w:val="10"/>
                <w:rFonts w:hint="eastAsia"/>
              </w:rPr>
              <w:t>注意事项：</w:t>
            </w:r>
            <w:r>
              <w:rPr>
                <w:rFonts w:hint="eastAsia"/>
              </w:rPr>
              <w:br w:type="textWrapping"/>
            </w:r>
            <w:r>
              <w:rPr>
                <w:rStyle w:val="11"/>
                <w:rFonts w:hint="eastAsia"/>
              </w:rPr>
              <w:t>1.严格按推荐的使用技术均匀施用，不得超范围使用。某些春小麦和角质型小麦品种对本剂敏感，使用前须先进行小范围安全性试验验证。2.不宜与2，4-滴混用，以免药害。3.本剂对鱼等水生生物中等毒性，应避免污染鱼塘和水源等，特别是禁止在河塘清洗施药器械；水产养殖区和河塘等水体附近禁用，周围开花植物的开花期禁用，施药期间应密切关注对附近峰群的影响；瓢虫等天敌放飞区域禁用。4.本剂对眼睛和皮肤有较强刺激伤害风险，应避免眼睛和皮肤接触。使用时应戴防护镜、口罩和手套，穿防护服，并禁止饮食、吸烟、饮水等。5.使用后应用肥皂和清水彻底清洗暴露在外的皮肤6.避免孕妇及哺乳期的妇女接触本品。7.用过的容器应妥善处理，不可做他用，也不可随意丢弃。8.避免与氧化剂接触。</w:t>
            </w:r>
          </w:p>
        </w:tc>
      </w:tr>
      <w:tr w14:paraId="63FC1AF7">
        <w:tblPrEx>
          <w:tblCellMar>
            <w:top w:w="0" w:type="dxa"/>
            <w:left w:w="0" w:type="dxa"/>
            <w:bottom w:w="0" w:type="dxa"/>
            <w:right w:w="0" w:type="dxa"/>
          </w:tblCellMar>
        </w:tblPrEx>
        <w:trPr>
          <w:wBefore w:w="0" w:type="auto"/>
          <w:tblCellSpacing w:w="0" w:type="dxa"/>
        </w:trPr>
        <w:tc>
          <w:tcPr>
            <w:tcW w:w="0" w:type="auto"/>
            <w:noWrap w:val="0"/>
            <w:vAlign w:val="center"/>
          </w:tcPr>
          <w:p w14:paraId="63AAC3D3">
            <w:r>
              <w:rPr>
                <w:rStyle w:val="10"/>
                <w:rFonts w:hint="eastAsia"/>
              </w:rPr>
              <w:t>中毒急救措施：</w:t>
            </w:r>
            <w:r>
              <w:rPr>
                <w:rFonts w:hint="eastAsia"/>
              </w:rPr>
              <w:br w:type="textWrapping"/>
            </w:r>
            <w:r>
              <w:rPr>
                <w:rStyle w:val="11"/>
                <w:rFonts w:hint="eastAsia"/>
              </w:rPr>
              <w:t>1.误服：应饮催吐剂，使其吐出，并及时携带标签将病人送往医院诊治。本品无特殊解毒制，请对症治疗。 2.误吸：移至空气清新地方，如呼吸困难或持续不适，立即携此标签请医生诊治。 3.眼睛：用大量清水冲洗至少15分钟。 4.皮肤：脱除受污染的衣服，并用大量肥皂和清水冲洗。</w:t>
            </w:r>
          </w:p>
        </w:tc>
      </w:tr>
      <w:tr w14:paraId="6F1F12AC">
        <w:tblPrEx>
          <w:tblCellMar>
            <w:top w:w="0" w:type="dxa"/>
            <w:left w:w="0" w:type="dxa"/>
            <w:bottom w:w="0" w:type="dxa"/>
            <w:right w:w="0" w:type="dxa"/>
          </w:tblCellMar>
        </w:tblPrEx>
        <w:trPr>
          <w:wBefore w:w="0" w:type="auto"/>
          <w:tblCellSpacing w:w="0" w:type="dxa"/>
        </w:trPr>
        <w:tc>
          <w:tcPr>
            <w:tcW w:w="0" w:type="auto"/>
            <w:noWrap w:val="0"/>
            <w:vAlign w:val="center"/>
          </w:tcPr>
          <w:p w14:paraId="252057F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本品应贮存在干燥、阴凉、通风、防雨处，远离火源或热源。置于儿童、无关人员及动物触及不到之处，并加锁保存。勿与食品、饮料、饲料、粮食等其他商品同贮同运。</w:t>
            </w:r>
          </w:p>
        </w:tc>
      </w:tr>
      <w:tr w14:paraId="570BCC4D">
        <w:tblPrEx>
          <w:tblCellMar>
            <w:top w:w="0" w:type="dxa"/>
            <w:left w:w="0" w:type="dxa"/>
            <w:bottom w:w="0" w:type="dxa"/>
            <w:right w:w="0" w:type="dxa"/>
          </w:tblCellMar>
        </w:tblPrEx>
        <w:trPr>
          <w:wBefore w:w="0" w:type="auto"/>
          <w:tblCellSpacing w:w="0" w:type="dxa"/>
        </w:trPr>
        <w:tc>
          <w:tcPr>
            <w:tcW w:w="0" w:type="auto"/>
            <w:noWrap w:val="0"/>
            <w:vAlign w:val="center"/>
          </w:tcPr>
          <w:p w14:paraId="28F25793">
            <w:r>
              <w:rPr>
                <w:rStyle w:val="10"/>
                <w:rFonts w:hint="eastAsia"/>
              </w:rPr>
              <w:t>质量保证期：</w:t>
            </w:r>
            <w:r>
              <w:rPr>
                <w:rStyle w:val="11"/>
                <w:rFonts w:hint="eastAsia"/>
              </w:rPr>
              <w:t>2年</w:t>
            </w:r>
          </w:p>
        </w:tc>
      </w:tr>
      <w:tr w14:paraId="3446C547">
        <w:tblPrEx>
          <w:tblCellMar>
            <w:top w:w="0" w:type="dxa"/>
            <w:left w:w="0" w:type="dxa"/>
            <w:bottom w:w="0" w:type="dxa"/>
            <w:right w:w="0" w:type="dxa"/>
          </w:tblCellMar>
        </w:tblPrEx>
        <w:trPr>
          <w:wBefore w:w="0" w:type="auto"/>
          <w:tblCellSpacing w:w="0" w:type="dxa"/>
        </w:trPr>
        <w:tc>
          <w:tcPr>
            <w:tcW w:w="0" w:type="auto"/>
            <w:noWrap w:val="0"/>
            <w:vAlign w:val="center"/>
          </w:tcPr>
          <w:p w14:paraId="4A7895C5">
            <w:r>
              <w:rPr>
                <w:rStyle w:val="10"/>
                <w:rFonts w:hint="eastAsia"/>
              </w:rPr>
              <w:t>备注：</w:t>
            </w:r>
          </w:p>
        </w:tc>
      </w:tr>
    </w:tbl>
    <w:p w14:paraId="70329A2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15A5E99">
        <w:tblPrEx>
          <w:tblCellMar>
            <w:top w:w="0" w:type="dxa"/>
            <w:left w:w="0" w:type="dxa"/>
            <w:bottom w:w="0" w:type="dxa"/>
            <w:right w:w="0" w:type="dxa"/>
          </w:tblCellMar>
        </w:tblPrEx>
        <w:trPr>
          <w:wBefore w:w="0" w:type="auto"/>
          <w:tblCellSpacing w:w="0" w:type="dxa"/>
        </w:trPr>
        <w:tc>
          <w:tcPr>
            <w:tcW w:w="0" w:type="auto"/>
            <w:noWrap w:val="0"/>
            <w:vAlign w:val="center"/>
          </w:tcPr>
          <w:p w14:paraId="0202058E">
            <w:r>
              <w:rPr>
                <w:rStyle w:val="10"/>
                <w:rFonts w:hint="eastAsia"/>
              </w:rPr>
              <w:t>登记证号：</w:t>
            </w:r>
            <w:r>
              <w:rPr>
                <w:rFonts w:hint="eastAsia"/>
              </w:rPr>
              <w:t>PD20212028</w:t>
            </w:r>
          </w:p>
        </w:tc>
      </w:tr>
      <w:tr w14:paraId="716C74AE">
        <w:tblPrEx>
          <w:tblCellMar>
            <w:top w:w="0" w:type="dxa"/>
            <w:left w:w="0" w:type="dxa"/>
            <w:bottom w:w="0" w:type="dxa"/>
            <w:right w:w="0" w:type="dxa"/>
          </w:tblCellMar>
        </w:tblPrEx>
        <w:trPr>
          <w:wBefore w:w="0" w:type="auto"/>
          <w:tblCellSpacing w:w="0" w:type="dxa"/>
        </w:trPr>
        <w:tc>
          <w:tcPr>
            <w:tcW w:w="0" w:type="auto"/>
            <w:noWrap w:val="0"/>
            <w:vAlign w:val="center"/>
          </w:tcPr>
          <w:p w14:paraId="001E32D5">
            <w:r>
              <w:rPr>
                <w:rStyle w:val="10"/>
                <w:rFonts w:hint="eastAsia"/>
              </w:rPr>
              <w:t>登记证持有人：</w:t>
            </w:r>
            <w:r>
              <w:rPr>
                <w:rFonts w:hint="eastAsia"/>
              </w:rPr>
              <w:t>陕西北农华绿色生物技术有限公司</w:t>
            </w:r>
          </w:p>
        </w:tc>
      </w:tr>
      <w:tr w14:paraId="259828D0">
        <w:tblPrEx>
          <w:tblCellMar>
            <w:top w:w="0" w:type="dxa"/>
            <w:left w:w="0" w:type="dxa"/>
            <w:bottom w:w="0" w:type="dxa"/>
            <w:right w:w="0" w:type="dxa"/>
          </w:tblCellMar>
        </w:tblPrEx>
        <w:trPr>
          <w:wBefore w:w="0" w:type="auto"/>
          <w:tblCellSpacing w:w="0" w:type="dxa"/>
        </w:trPr>
        <w:tc>
          <w:tcPr>
            <w:tcW w:w="0" w:type="auto"/>
            <w:noWrap w:val="0"/>
            <w:vAlign w:val="center"/>
          </w:tcPr>
          <w:p w14:paraId="1CAC5234">
            <w:r>
              <w:rPr>
                <w:rStyle w:val="10"/>
                <w:rFonts w:hint="eastAsia"/>
              </w:rPr>
              <w:t>农药名称：</w:t>
            </w:r>
            <w:r>
              <w:rPr>
                <w:rFonts w:hint="eastAsia"/>
              </w:rPr>
              <w:t>赤霉·氯吡脲</w:t>
            </w:r>
          </w:p>
        </w:tc>
      </w:tr>
      <w:tr w14:paraId="5ADE0B2A">
        <w:tblPrEx>
          <w:tblCellMar>
            <w:top w:w="0" w:type="dxa"/>
            <w:left w:w="0" w:type="dxa"/>
            <w:bottom w:w="0" w:type="dxa"/>
            <w:right w:w="0" w:type="dxa"/>
          </w:tblCellMar>
        </w:tblPrEx>
        <w:trPr>
          <w:wBefore w:w="0" w:type="auto"/>
          <w:tblCellSpacing w:w="0" w:type="dxa"/>
        </w:trPr>
        <w:tc>
          <w:tcPr>
            <w:tcW w:w="0" w:type="auto"/>
            <w:noWrap w:val="0"/>
            <w:vAlign w:val="center"/>
          </w:tcPr>
          <w:p w14:paraId="5FFDBEFD">
            <w:r>
              <w:rPr>
                <w:rStyle w:val="10"/>
                <w:rFonts w:hint="eastAsia"/>
              </w:rPr>
              <w:t>剂型：</w:t>
            </w:r>
            <w:r>
              <w:rPr>
                <w:rFonts w:hint="eastAsia"/>
              </w:rPr>
              <w:t>可溶液剂</w:t>
            </w:r>
          </w:p>
        </w:tc>
      </w:tr>
      <w:tr w14:paraId="676F81BB">
        <w:tblPrEx>
          <w:tblCellMar>
            <w:top w:w="0" w:type="dxa"/>
            <w:left w:w="0" w:type="dxa"/>
            <w:bottom w:w="0" w:type="dxa"/>
            <w:right w:w="0" w:type="dxa"/>
          </w:tblCellMar>
        </w:tblPrEx>
        <w:trPr>
          <w:wBefore w:w="0" w:type="auto"/>
          <w:tblCellSpacing w:w="0" w:type="dxa"/>
        </w:trPr>
        <w:tc>
          <w:tcPr>
            <w:tcW w:w="0" w:type="auto"/>
            <w:noWrap w:val="0"/>
            <w:vAlign w:val="center"/>
          </w:tcPr>
          <w:p w14:paraId="11284812">
            <w:r>
              <w:rPr>
                <w:rStyle w:val="10"/>
                <w:rFonts w:hint="eastAsia"/>
              </w:rPr>
              <w:t>毒性及其标识：</w:t>
            </w:r>
            <w:r>
              <w:rPr>
                <w:rFonts w:hint="eastAsia"/>
              </w:rPr>
              <w:t xml:space="preserve"> 微毒 </w:t>
            </w:r>
          </w:p>
        </w:tc>
      </w:tr>
      <w:tr w14:paraId="42C811DF">
        <w:tblPrEx>
          <w:tblCellMar>
            <w:top w:w="0" w:type="dxa"/>
            <w:left w:w="0" w:type="dxa"/>
            <w:bottom w:w="0" w:type="dxa"/>
            <w:right w:w="0" w:type="dxa"/>
          </w:tblCellMar>
        </w:tblPrEx>
        <w:trPr>
          <w:wBefore w:w="0" w:type="auto"/>
          <w:tblCellSpacing w:w="0" w:type="dxa"/>
        </w:trPr>
        <w:tc>
          <w:tcPr>
            <w:tcW w:w="0" w:type="auto"/>
            <w:noWrap w:val="0"/>
            <w:vAlign w:val="center"/>
          </w:tcPr>
          <w:p w14:paraId="3A7A8C73">
            <w:r>
              <w:rPr>
                <w:rStyle w:val="10"/>
                <w:rFonts w:hint="eastAsia"/>
              </w:rPr>
              <w:t>总有效成分含量：</w:t>
            </w:r>
            <w:r>
              <w:rPr>
                <w:rFonts w:hint="eastAsia"/>
              </w:rPr>
              <w:t>1.4%</w:t>
            </w:r>
          </w:p>
        </w:tc>
      </w:tr>
      <w:tr w14:paraId="6A11C75B">
        <w:tblPrEx>
          <w:tblCellMar>
            <w:top w:w="0" w:type="dxa"/>
            <w:left w:w="0" w:type="dxa"/>
            <w:bottom w:w="0" w:type="dxa"/>
            <w:right w:w="0" w:type="dxa"/>
          </w:tblCellMar>
        </w:tblPrEx>
        <w:trPr>
          <w:wBefore w:w="0" w:type="auto"/>
          <w:tblCellSpacing w:w="0" w:type="dxa"/>
        </w:trPr>
        <w:tc>
          <w:tcPr>
            <w:tcW w:w="0" w:type="auto"/>
            <w:noWrap w:val="0"/>
            <w:vAlign w:val="center"/>
          </w:tcPr>
          <w:p w14:paraId="5433A304">
            <w:r>
              <w:rPr>
                <w:rFonts w:hint="eastAsia"/>
              </w:rPr>
              <w:t xml:space="preserve">有效成分及其含量： </w:t>
            </w:r>
          </w:p>
          <w:p w14:paraId="42A3D6E1">
            <w:r>
              <w:rPr>
                <w:rFonts w:hint="eastAsia"/>
              </w:rPr>
              <w:t xml:space="preserve">    赤霉酸A31%    氯吡脲0.4%    </w:t>
            </w:r>
          </w:p>
        </w:tc>
      </w:tr>
      <w:tr w14:paraId="6E0CB02B">
        <w:tblPrEx>
          <w:tblCellMar>
            <w:top w:w="0" w:type="dxa"/>
            <w:left w:w="0" w:type="dxa"/>
            <w:bottom w:w="0" w:type="dxa"/>
            <w:right w:w="0" w:type="dxa"/>
          </w:tblCellMar>
        </w:tblPrEx>
        <w:trPr>
          <w:wBefore w:w="0" w:type="auto"/>
          <w:tblCellSpacing w:w="0" w:type="dxa"/>
        </w:trPr>
        <w:tc>
          <w:tcPr>
            <w:tcW w:w="0" w:type="auto"/>
            <w:noWrap w:val="0"/>
            <w:vAlign w:val="center"/>
          </w:tcPr>
          <w:p w14:paraId="1B8B24A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0DC4BE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CD2989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AC1513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B376A3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02C5F34">
                  <w:r>
                    <w:rPr>
                      <w:rStyle w:val="11"/>
                      <w:rFonts w:hint="eastAsia"/>
                    </w:rPr>
                    <w:t>施用方式</w:t>
                  </w:r>
                </w:p>
              </w:tc>
            </w:tr>
            <w:tr w14:paraId="3B5CFA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D5C2A7">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D92693">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924D68">
                  <w:r>
                    <w:rPr>
                      <w:rStyle w:val="11"/>
                      <w:rFonts w:hint="eastAsia"/>
                    </w:rPr>
                    <w:t>400-800倍液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4E2C9B">
                  <w:r>
                    <w:rPr>
                      <w:rStyle w:val="11"/>
                      <w:rFonts w:hint="eastAsia"/>
                    </w:rPr>
                    <w:t>浸果穗</w:t>
                  </w:r>
                </w:p>
              </w:tc>
            </w:tr>
          </w:tbl>
          <w:p w14:paraId="406BA1CA">
            <w:pPr>
              <w:rPr>
                <w:rFonts w:ascii="Times New Roman" w:hAnsi="Times New Roman" w:cs="Times New Roman"/>
                <w:sz w:val="20"/>
                <w:szCs w:val="20"/>
              </w:rPr>
            </w:pPr>
          </w:p>
        </w:tc>
      </w:tr>
      <w:tr w14:paraId="62345E54">
        <w:tblPrEx>
          <w:tblCellMar>
            <w:top w:w="0" w:type="dxa"/>
            <w:left w:w="0" w:type="dxa"/>
            <w:bottom w:w="0" w:type="dxa"/>
            <w:right w:w="0" w:type="dxa"/>
          </w:tblCellMar>
        </w:tblPrEx>
        <w:trPr>
          <w:wBefore w:w="0" w:type="auto"/>
          <w:tblCellSpacing w:w="0" w:type="dxa"/>
        </w:trPr>
        <w:tc>
          <w:tcPr>
            <w:tcW w:w="0" w:type="auto"/>
            <w:noWrap w:val="0"/>
            <w:vAlign w:val="center"/>
          </w:tcPr>
          <w:p w14:paraId="54BF7516">
            <w:r>
              <w:rPr>
                <w:rStyle w:val="10"/>
                <w:rFonts w:hint="eastAsia"/>
              </w:rPr>
              <w:t>使用技术要求:</w:t>
            </w:r>
            <w:r>
              <w:rPr>
                <w:rFonts w:hint="eastAsia"/>
              </w:rPr>
              <w:br w:type="textWrapping"/>
            </w:r>
            <w:r>
              <w:rPr>
                <w:rStyle w:val="11"/>
                <w:rFonts w:hint="eastAsia"/>
              </w:rPr>
              <w:t>1. 于葡萄幼果横径10-12mm（谢花后15天左右），浸果穗1次。2. 本品应在使用前现配现用，稀释用水宜用冷水，不可用热水，水温超过50℃会失去活性。3. 施用时气温在18℃以上为好。大风天或预计1小时内降雨，请勿施药。4. 本产品在葡萄上使用的安全间隔期为60天，每季作物最多使用1次。</w:t>
            </w:r>
          </w:p>
        </w:tc>
      </w:tr>
      <w:tr w14:paraId="0999BD7C">
        <w:tblPrEx>
          <w:tblCellMar>
            <w:top w:w="0" w:type="dxa"/>
            <w:left w:w="0" w:type="dxa"/>
            <w:bottom w:w="0" w:type="dxa"/>
            <w:right w:w="0" w:type="dxa"/>
          </w:tblCellMar>
        </w:tblPrEx>
        <w:trPr>
          <w:wBefore w:w="0" w:type="auto"/>
          <w:tblCellSpacing w:w="0" w:type="dxa"/>
        </w:trPr>
        <w:tc>
          <w:tcPr>
            <w:tcW w:w="0" w:type="auto"/>
            <w:noWrap w:val="0"/>
            <w:vAlign w:val="center"/>
          </w:tcPr>
          <w:p w14:paraId="380F37D4">
            <w:r>
              <w:rPr>
                <w:rStyle w:val="10"/>
                <w:rFonts w:hint="eastAsia"/>
              </w:rPr>
              <w:t>产品性能:</w:t>
            </w:r>
            <w:r>
              <w:rPr>
                <w:rFonts w:hint="eastAsia"/>
              </w:rPr>
              <w:br w:type="textWrapping"/>
            </w:r>
            <w:r>
              <w:rPr>
                <w:rStyle w:val="11"/>
                <w:rFonts w:hint="eastAsia"/>
              </w:rPr>
              <w:t>本品采用苯脲型细胞分裂素与赤霉酸复配而成，具有促进细胞分裂、分化、扩大、伸长的作用，能显著提高座果率，增大果实，促进果实快速生长发育成商品果，改善果型。</w:t>
            </w:r>
          </w:p>
        </w:tc>
      </w:tr>
      <w:tr w14:paraId="6D5741E5">
        <w:tblPrEx>
          <w:tblCellMar>
            <w:top w:w="0" w:type="dxa"/>
            <w:left w:w="0" w:type="dxa"/>
            <w:bottom w:w="0" w:type="dxa"/>
            <w:right w:w="0" w:type="dxa"/>
          </w:tblCellMar>
        </w:tblPrEx>
        <w:trPr>
          <w:wBefore w:w="0" w:type="auto"/>
          <w:tblCellSpacing w:w="0" w:type="dxa"/>
        </w:trPr>
        <w:tc>
          <w:tcPr>
            <w:tcW w:w="0" w:type="auto"/>
            <w:noWrap w:val="0"/>
            <w:vAlign w:val="center"/>
          </w:tcPr>
          <w:p w14:paraId="2E90FC9E">
            <w:r>
              <w:rPr>
                <w:rStyle w:val="10"/>
                <w:rFonts w:hint="eastAsia"/>
              </w:rPr>
              <w:t>注意事项：</w:t>
            </w:r>
            <w:r>
              <w:rPr>
                <w:rFonts w:hint="eastAsia"/>
              </w:rPr>
              <w:br w:type="textWrapping"/>
            </w:r>
            <w:r>
              <w:rPr>
                <w:rStyle w:val="11"/>
                <w:rFonts w:hint="eastAsia"/>
              </w:rPr>
              <w:t>1. 严格按规定用药量和方法使用。 2. 本品不可与碱性农药等物质混用，避免与氧化剂接触。建议与其他作用机制不同的植物生长调节剂轮换使用，以延缓抗性的产生。 3. 施药期间开花植物花期禁用，使用时密切关注对附近蜂群的影响；鸟类保护区附近禁用；远离水产养殖区、河塘等水体施药。禁止在河塘等水体中清洗施药器具。药液及其废液不得污染各类水域、土壤等环境。 4. 使用过的施药器械，应清洗干净方可用于其它的农药。 5. 施用时应戴防护镜、口罩和手套，穿长衣、长裤；施药中禁止饮食、吸烟、饮水等；施药后应用肥皂和清水彻底清洗暴露在外的皮肤。 6. 用药后包装物及用过的容器应妥善处理，不可做他用，也不可随意丢弃。 7. 孕妇、哺乳期的妇女禁止接触本产品。</w:t>
            </w:r>
          </w:p>
        </w:tc>
      </w:tr>
      <w:tr w14:paraId="545C3422">
        <w:tblPrEx>
          <w:tblCellMar>
            <w:top w:w="0" w:type="dxa"/>
            <w:left w:w="0" w:type="dxa"/>
            <w:bottom w:w="0" w:type="dxa"/>
            <w:right w:w="0" w:type="dxa"/>
          </w:tblCellMar>
        </w:tblPrEx>
        <w:trPr>
          <w:wBefore w:w="0" w:type="auto"/>
          <w:tblCellSpacing w:w="0" w:type="dxa"/>
        </w:trPr>
        <w:tc>
          <w:tcPr>
            <w:tcW w:w="0" w:type="auto"/>
            <w:noWrap w:val="0"/>
            <w:vAlign w:val="center"/>
          </w:tcPr>
          <w:p w14:paraId="2C5D4ABD">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648B59F8">
        <w:tblPrEx>
          <w:tblCellMar>
            <w:top w:w="0" w:type="dxa"/>
            <w:left w:w="0" w:type="dxa"/>
            <w:bottom w:w="0" w:type="dxa"/>
            <w:right w:w="0" w:type="dxa"/>
          </w:tblCellMar>
        </w:tblPrEx>
        <w:trPr>
          <w:wBefore w:w="0" w:type="auto"/>
          <w:tblCellSpacing w:w="0" w:type="dxa"/>
        </w:trPr>
        <w:tc>
          <w:tcPr>
            <w:tcW w:w="0" w:type="auto"/>
            <w:noWrap w:val="0"/>
            <w:vAlign w:val="center"/>
          </w:tcPr>
          <w:p w14:paraId="096D32AA">
            <w:r>
              <w:rPr>
                <w:rStyle w:val="10"/>
                <w:rFonts w:hint="eastAsia"/>
              </w:rPr>
              <w:t>储存和运输方法：</w:t>
            </w:r>
            <w:r>
              <w:rPr>
                <w:rFonts w:hint="eastAsia"/>
              </w:rPr>
              <w:br w:type="textWrapping"/>
            </w:r>
            <w:r>
              <w:rPr>
                <w:rStyle w:val="11"/>
                <w:rFonts w:hint="eastAsia"/>
              </w:rPr>
              <w:t>本品应储存在干燥、阴凉、通风、防雨处，远离火源或热源。置于儿童、无关人员接触不到的地方，并加锁保存。不能与食品、饮料、粮食、饲料等同储同运。在装卸、运输时应轻拿轻放。</w:t>
            </w:r>
          </w:p>
        </w:tc>
      </w:tr>
      <w:tr w14:paraId="28A18E9E">
        <w:tblPrEx>
          <w:tblCellMar>
            <w:top w:w="0" w:type="dxa"/>
            <w:left w:w="0" w:type="dxa"/>
            <w:bottom w:w="0" w:type="dxa"/>
            <w:right w:w="0" w:type="dxa"/>
          </w:tblCellMar>
        </w:tblPrEx>
        <w:trPr>
          <w:wBefore w:w="0" w:type="auto"/>
          <w:tblCellSpacing w:w="0" w:type="dxa"/>
        </w:trPr>
        <w:tc>
          <w:tcPr>
            <w:tcW w:w="0" w:type="auto"/>
            <w:noWrap w:val="0"/>
            <w:vAlign w:val="center"/>
          </w:tcPr>
          <w:p w14:paraId="70502114">
            <w:r>
              <w:rPr>
                <w:rStyle w:val="10"/>
                <w:rFonts w:hint="eastAsia"/>
              </w:rPr>
              <w:t>质量保证期：</w:t>
            </w:r>
            <w:r>
              <w:rPr>
                <w:rStyle w:val="11"/>
                <w:rFonts w:hint="eastAsia"/>
              </w:rPr>
              <w:t>2年</w:t>
            </w:r>
          </w:p>
        </w:tc>
      </w:tr>
      <w:tr w14:paraId="1C201A6E">
        <w:tblPrEx>
          <w:tblCellMar>
            <w:top w:w="0" w:type="dxa"/>
            <w:left w:w="0" w:type="dxa"/>
            <w:bottom w:w="0" w:type="dxa"/>
            <w:right w:w="0" w:type="dxa"/>
          </w:tblCellMar>
        </w:tblPrEx>
        <w:trPr>
          <w:wBefore w:w="0" w:type="auto"/>
          <w:tblCellSpacing w:w="0" w:type="dxa"/>
        </w:trPr>
        <w:tc>
          <w:tcPr>
            <w:tcW w:w="0" w:type="auto"/>
            <w:noWrap w:val="0"/>
            <w:vAlign w:val="center"/>
          </w:tcPr>
          <w:p w14:paraId="6AB72F55">
            <w:r>
              <w:rPr>
                <w:rStyle w:val="10"/>
                <w:rFonts w:hint="eastAsia"/>
              </w:rPr>
              <w:t>备注：</w:t>
            </w:r>
          </w:p>
        </w:tc>
      </w:tr>
    </w:tbl>
    <w:p w14:paraId="1642065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35E8755">
        <w:tblPrEx>
          <w:tblCellMar>
            <w:top w:w="0" w:type="dxa"/>
            <w:left w:w="0" w:type="dxa"/>
            <w:bottom w:w="0" w:type="dxa"/>
            <w:right w:w="0" w:type="dxa"/>
          </w:tblCellMar>
        </w:tblPrEx>
        <w:trPr>
          <w:wBefore w:w="0" w:type="auto"/>
          <w:tblCellSpacing w:w="0" w:type="dxa"/>
        </w:trPr>
        <w:tc>
          <w:tcPr>
            <w:tcW w:w="0" w:type="auto"/>
            <w:noWrap w:val="0"/>
            <w:vAlign w:val="center"/>
          </w:tcPr>
          <w:p w14:paraId="3938239F">
            <w:r>
              <w:rPr>
                <w:rStyle w:val="10"/>
                <w:rFonts w:hint="eastAsia"/>
              </w:rPr>
              <w:t>登记证号：</w:t>
            </w:r>
            <w:r>
              <w:rPr>
                <w:rFonts w:hint="eastAsia"/>
              </w:rPr>
              <w:t>PD20212107</w:t>
            </w:r>
          </w:p>
        </w:tc>
      </w:tr>
      <w:tr w14:paraId="1A35869D">
        <w:tblPrEx>
          <w:tblCellMar>
            <w:top w:w="0" w:type="dxa"/>
            <w:left w:w="0" w:type="dxa"/>
            <w:bottom w:w="0" w:type="dxa"/>
            <w:right w:w="0" w:type="dxa"/>
          </w:tblCellMar>
        </w:tblPrEx>
        <w:trPr>
          <w:wBefore w:w="0" w:type="auto"/>
          <w:tblCellSpacing w:w="0" w:type="dxa"/>
        </w:trPr>
        <w:tc>
          <w:tcPr>
            <w:tcW w:w="0" w:type="auto"/>
            <w:noWrap w:val="0"/>
            <w:vAlign w:val="center"/>
          </w:tcPr>
          <w:p w14:paraId="4F4578A4">
            <w:r>
              <w:rPr>
                <w:rStyle w:val="10"/>
                <w:rFonts w:hint="eastAsia"/>
              </w:rPr>
              <w:t>登记证持有人：</w:t>
            </w:r>
            <w:r>
              <w:rPr>
                <w:rFonts w:hint="eastAsia"/>
              </w:rPr>
              <w:t>河北兴柏农业科技有限公司</w:t>
            </w:r>
          </w:p>
        </w:tc>
      </w:tr>
      <w:tr w14:paraId="6C7FE714">
        <w:tblPrEx>
          <w:tblCellMar>
            <w:top w:w="0" w:type="dxa"/>
            <w:left w:w="0" w:type="dxa"/>
            <w:bottom w:w="0" w:type="dxa"/>
            <w:right w:w="0" w:type="dxa"/>
          </w:tblCellMar>
        </w:tblPrEx>
        <w:trPr>
          <w:wBefore w:w="0" w:type="auto"/>
          <w:tblCellSpacing w:w="0" w:type="dxa"/>
        </w:trPr>
        <w:tc>
          <w:tcPr>
            <w:tcW w:w="0" w:type="auto"/>
            <w:noWrap w:val="0"/>
            <w:vAlign w:val="center"/>
          </w:tcPr>
          <w:p w14:paraId="390A6F28">
            <w:r>
              <w:rPr>
                <w:rStyle w:val="10"/>
                <w:rFonts w:hint="eastAsia"/>
              </w:rPr>
              <w:t>农药名称：</w:t>
            </w:r>
            <w:r>
              <w:rPr>
                <w:rFonts w:hint="eastAsia"/>
              </w:rPr>
              <w:t>氟唑磺隆</w:t>
            </w:r>
          </w:p>
        </w:tc>
      </w:tr>
      <w:tr w14:paraId="38D38DEA">
        <w:tblPrEx>
          <w:tblCellMar>
            <w:top w:w="0" w:type="dxa"/>
            <w:left w:w="0" w:type="dxa"/>
            <w:bottom w:w="0" w:type="dxa"/>
            <w:right w:w="0" w:type="dxa"/>
          </w:tblCellMar>
        </w:tblPrEx>
        <w:trPr>
          <w:wBefore w:w="0" w:type="auto"/>
          <w:tblCellSpacing w:w="0" w:type="dxa"/>
        </w:trPr>
        <w:tc>
          <w:tcPr>
            <w:tcW w:w="0" w:type="auto"/>
            <w:noWrap w:val="0"/>
            <w:vAlign w:val="center"/>
          </w:tcPr>
          <w:p w14:paraId="63A478F3">
            <w:r>
              <w:rPr>
                <w:rStyle w:val="10"/>
                <w:rFonts w:hint="eastAsia"/>
              </w:rPr>
              <w:t>剂型：</w:t>
            </w:r>
            <w:r>
              <w:rPr>
                <w:rFonts w:hint="eastAsia"/>
              </w:rPr>
              <w:t>水分散粒剂</w:t>
            </w:r>
          </w:p>
        </w:tc>
      </w:tr>
      <w:tr w14:paraId="725A616C">
        <w:tblPrEx>
          <w:tblCellMar>
            <w:top w:w="0" w:type="dxa"/>
            <w:left w:w="0" w:type="dxa"/>
            <w:bottom w:w="0" w:type="dxa"/>
            <w:right w:w="0" w:type="dxa"/>
          </w:tblCellMar>
        </w:tblPrEx>
        <w:trPr>
          <w:wBefore w:w="0" w:type="auto"/>
          <w:tblCellSpacing w:w="0" w:type="dxa"/>
        </w:trPr>
        <w:tc>
          <w:tcPr>
            <w:tcW w:w="0" w:type="auto"/>
            <w:noWrap w:val="0"/>
            <w:vAlign w:val="center"/>
          </w:tcPr>
          <w:p w14:paraId="6D48D440">
            <w:r>
              <w:rPr>
                <w:rStyle w:val="10"/>
                <w:rFonts w:hint="eastAsia"/>
              </w:rPr>
              <w:t>毒性及其标识：</w:t>
            </w:r>
            <w:r>
              <w:rPr>
                <w:rFonts w:hint="eastAsia"/>
              </w:rPr>
              <w:t xml:space="preserve"> </w:t>
            </w:r>
            <w:r>
              <w:rPr>
                <w:lang/>
              </w:rPr>
              <w:drawing>
                <wp:inline distT="0" distB="0" distL="114300" distR="114300">
                  <wp:extent cx="476250" cy="323850"/>
                  <wp:effectExtent l="0" t="0" r="0" b="0"/>
                  <wp:docPr id="423" name="图片 42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5A18896">
        <w:tblPrEx>
          <w:tblCellMar>
            <w:top w:w="0" w:type="dxa"/>
            <w:left w:w="0" w:type="dxa"/>
            <w:bottom w:w="0" w:type="dxa"/>
            <w:right w:w="0" w:type="dxa"/>
          </w:tblCellMar>
        </w:tblPrEx>
        <w:trPr>
          <w:wBefore w:w="0" w:type="auto"/>
          <w:tblCellSpacing w:w="0" w:type="dxa"/>
        </w:trPr>
        <w:tc>
          <w:tcPr>
            <w:tcW w:w="0" w:type="auto"/>
            <w:noWrap w:val="0"/>
            <w:vAlign w:val="center"/>
          </w:tcPr>
          <w:p w14:paraId="5C072902">
            <w:r>
              <w:rPr>
                <w:rStyle w:val="10"/>
                <w:rFonts w:hint="eastAsia"/>
              </w:rPr>
              <w:t>总有效成分含量：</w:t>
            </w:r>
            <w:r>
              <w:rPr>
                <w:rFonts w:hint="eastAsia"/>
              </w:rPr>
              <w:t>70%</w:t>
            </w:r>
          </w:p>
        </w:tc>
      </w:tr>
      <w:tr w14:paraId="214DC7DC">
        <w:tblPrEx>
          <w:tblCellMar>
            <w:top w:w="0" w:type="dxa"/>
            <w:left w:w="0" w:type="dxa"/>
            <w:bottom w:w="0" w:type="dxa"/>
            <w:right w:w="0" w:type="dxa"/>
          </w:tblCellMar>
        </w:tblPrEx>
        <w:trPr>
          <w:wBefore w:w="0" w:type="auto"/>
          <w:tblCellSpacing w:w="0" w:type="dxa"/>
        </w:trPr>
        <w:tc>
          <w:tcPr>
            <w:tcW w:w="0" w:type="auto"/>
            <w:noWrap w:val="0"/>
            <w:vAlign w:val="center"/>
          </w:tcPr>
          <w:p w14:paraId="72C32C5B">
            <w:r>
              <w:rPr>
                <w:rFonts w:hint="eastAsia"/>
              </w:rPr>
              <w:t xml:space="preserve">有效成分及其含量： </w:t>
            </w:r>
          </w:p>
          <w:p w14:paraId="1637C42D">
            <w:r>
              <w:rPr>
                <w:rFonts w:hint="eastAsia"/>
              </w:rPr>
              <w:t xml:space="preserve">    氟唑磺隆70%    </w:t>
            </w:r>
          </w:p>
        </w:tc>
      </w:tr>
      <w:tr w14:paraId="76C5E6AA">
        <w:tblPrEx>
          <w:tblCellMar>
            <w:top w:w="0" w:type="dxa"/>
            <w:left w:w="0" w:type="dxa"/>
            <w:bottom w:w="0" w:type="dxa"/>
            <w:right w:w="0" w:type="dxa"/>
          </w:tblCellMar>
        </w:tblPrEx>
        <w:trPr>
          <w:wBefore w:w="0" w:type="auto"/>
          <w:tblCellSpacing w:w="0" w:type="dxa"/>
        </w:trPr>
        <w:tc>
          <w:tcPr>
            <w:tcW w:w="0" w:type="auto"/>
            <w:noWrap w:val="0"/>
            <w:vAlign w:val="center"/>
          </w:tcPr>
          <w:p w14:paraId="37212EC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C55F7F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2BCB6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ACEC0E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D951E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2A65EB">
                  <w:r>
                    <w:rPr>
                      <w:rStyle w:val="11"/>
                      <w:rFonts w:hint="eastAsia"/>
                    </w:rPr>
                    <w:t>施用方式</w:t>
                  </w:r>
                </w:p>
              </w:tc>
            </w:tr>
            <w:tr w14:paraId="19759C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65F6AB">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FCCAF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BCEB34">
                  <w:r>
                    <w:rPr>
                      <w:rStyle w:val="11"/>
                      <w:rFonts w:hint="eastAsia"/>
                    </w:rPr>
                    <w:t>3-4克/亩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732ECF">
                  <w:r>
                    <w:rPr>
                      <w:rStyle w:val="11"/>
                      <w:rFonts w:hint="eastAsia"/>
                    </w:rPr>
                    <w:t>茎叶喷雾</w:t>
                  </w:r>
                </w:p>
              </w:tc>
            </w:tr>
          </w:tbl>
          <w:p w14:paraId="0A43595F">
            <w:pPr>
              <w:rPr>
                <w:rFonts w:ascii="Times New Roman" w:hAnsi="Times New Roman" w:cs="Times New Roman"/>
                <w:sz w:val="20"/>
                <w:szCs w:val="20"/>
              </w:rPr>
            </w:pPr>
          </w:p>
        </w:tc>
      </w:tr>
      <w:tr w14:paraId="68B34C83">
        <w:tblPrEx>
          <w:tblCellMar>
            <w:top w:w="0" w:type="dxa"/>
            <w:left w:w="0" w:type="dxa"/>
            <w:bottom w:w="0" w:type="dxa"/>
            <w:right w:w="0" w:type="dxa"/>
          </w:tblCellMar>
        </w:tblPrEx>
        <w:trPr>
          <w:wBefore w:w="0" w:type="auto"/>
          <w:tblCellSpacing w:w="0" w:type="dxa"/>
        </w:trPr>
        <w:tc>
          <w:tcPr>
            <w:tcW w:w="0" w:type="auto"/>
            <w:noWrap w:val="0"/>
            <w:vAlign w:val="center"/>
          </w:tcPr>
          <w:p w14:paraId="3BCE7070">
            <w:r>
              <w:rPr>
                <w:rStyle w:val="10"/>
                <w:rFonts w:hint="eastAsia"/>
              </w:rPr>
              <w:t>使用技术要求:</w:t>
            </w:r>
            <w:r>
              <w:rPr>
                <w:rFonts w:hint="eastAsia"/>
              </w:rPr>
              <w:br w:type="textWrapping"/>
            </w:r>
            <w:r>
              <w:rPr>
                <w:rStyle w:val="11"/>
                <w:rFonts w:hint="eastAsia"/>
              </w:rPr>
              <w:t>1、在冬小麦返青后到拔节前，春小麦2-3叶期，杂草2-4叶期，以推荐剂量兑水均匀茎叶喷雾施药一次。2、尽量选择无风的天气施药，避免飘移药害；勿在低温及干旱等不良气候条件下施药，避免药害。大风天或预计1小时内下雨，请勿施药。3、本品每季最多使用1次。4、合理安排后茬作物，保证安全间隔期。</w:t>
            </w:r>
          </w:p>
        </w:tc>
      </w:tr>
      <w:tr w14:paraId="2F7D4456">
        <w:tblPrEx>
          <w:tblCellMar>
            <w:top w:w="0" w:type="dxa"/>
            <w:left w:w="0" w:type="dxa"/>
            <w:bottom w:w="0" w:type="dxa"/>
            <w:right w:w="0" w:type="dxa"/>
          </w:tblCellMar>
        </w:tblPrEx>
        <w:trPr>
          <w:wBefore w:w="0" w:type="auto"/>
          <w:tblCellSpacing w:w="0" w:type="dxa"/>
        </w:trPr>
        <w:tc>
          <w:tcPr>
            <w:tcW w:w="0" w:type="auto"/>
            <w:noWrap w:val="0"/>
            <w:vAlign w:val="center"/>
          </w:tcPr>
          <w:p w14:paraId="4C7E5AC9">
            <w:r>
              <w:rPr>
                <w:rStyle w:val="10"/>
                <w:rFonts w:hint="eastAsia"/>
              </w:rPr>
              <w:t>产品性能:</w:t>
            </w:r>
            <w:r>
              <w:rPr>
                <w:rFonts w:hint="eastAsia"/>
              </w:rPr>
              <w:br w:type="textWrapping"/>
            </w:r>
            <w:r>
              <w:rPr>
                <w:rStyle w:val="11"/>
                <w:rFonts w:hint="eastAsia"/>
              </w:rPr>
              <w:t>氟唑磺隆为支链氨基酸的合成（ALS或AHAS）的抑制剂。通过抑制必需氨基酸缬氨酸和异亮氨酸的生物合成，从而阻止细胞分裂和植物生长。可用于防除小麦田一年生杂草。</w:t>
            </w:r>
          </w:p>
        </w:tc>
      </w:tr>
      <w:tr w14:paraId="2BF960C0">
        <w:tblPrEx>
          <w:tblCellMar>
            <w:top w:w="0" w:type="dxa"/>
            <w:left w:w="0" w:type="dxa"/>
            <w:bottom w:w="0" w:type="dxa"/>
            <w:right w:w="0" w:type="dxa"/>
          </w:tblCellMar>
        </w:tblPrEx>
        <w:trPr>
          <w:wBefore w:w="0" w:type="auto"/>
          <w:tblCellSpacing w:w="0" w:type="dxa"/>
        </w:trPr>
        <w:tc>
          <w:tcPr>
            <w:tcW w:w="0" w:type="auto"/>
            <w:noWrap w:val="0"/>
            <w:vAlign w:val="center"/>
          </w:tcPr>
          <w:p w14:paraId="2D6F13BA">
            <w:r>
              <w:rPr>
                <w:rStyle w:val="10"/>
                <w:rFonts w:hint="eastAsia"/>
              </w:rPr>
              <w:t>注意事项：</w:t>
            </w:r>
            <w:r>
              <w:rPr>
                <w:rFonts w:hint="eastAsia"/>
              </w:rPr>
              <w:br w:type="textWrapping"/>
            </w:r>
            <w:r>
              <w:rPr>
                <w:rStyle w:val="11"/>
                <w:rFonts w:hint="eastAsia"/>
              </w:rPr>
              <w:t>1）使用本品应采取相应的安全防护措施，穿防护服，戴防护口罩、手套等，避免皮肤接触及口鼻吸入。使用中不可吸烟、饮水及吃东西，使用后及时用大量清水和肥皂清洗手、脸等暴露部位皮肤并更换衣物。2）本品应远离水产养殖区、河塘等水体施药，禁止在河塘等水体中清洗施药器具。3）建议与其它作用机制的除草剂轮换使用。4）用过的容器应妥善处理，不可做他用，也不可随意丢弃。5）禁止儿童、孕妇及哺乳期的妇女接触。过敏者禁用，使用中有任何不良反应请及时就医。</w:t>
            </w:r>
          </w:p>
        </w:tc>
      </w:tr>
      <w:tr w14:paraId="372F0DF7">
        <w:tblPrEx>
          <w:tblCellMar>
            <w:top w:w="0" w:type="dxa"/>
            <w:left w:w="0" w:type="dxa"/>
            <w:bottom w:w="0" w:type="dxa"/>
            <w:right w:w="0" w:type="dxa"/>
          </w:tblCellMar>
        </w:tblPrEx>
        <w:trPr>
          <w:wBefore w:w="0" w:type="auto"/>
          <w:tblCellSpacing w:w="0" w:type="dxa"/>
        </w:trPr>
        <w:tc>
          <w:tcPr>
            <w:tcW w:w="0" w:type="auto"/>
            <w:noWrap w:val="0"/>
            <w:vAlign w:val="center"/>
          </w:tcPr>
          <w:p w14:paraId="5E6DA978">
            <w:r>
              <w:rPr>
                <w:rStyle w:val="10"/>
                <w:rFonts w:hint="eastAsia"/>
              </w:rPr>
              <w:t>中毒急救措施：</w:t>
            </w:r>
            <w:r>
              <w:rPr>
                <w:rFonts w:hint="eastAsia"/>
              </w:rPr>
              <w:br w:type="textWrapping"/>
            </w:r>
            <w:r>
              <w:rPr>
                <w:rStyle w:val="11"/>
                <w:rFonts w:hint="eastAsia"/>
              </w:rPr>
              <w:t>该产品对眼睛有刺激性，使用时避免接触眼睛。 急救措施：使用中或使用后如果感觉不适，应立即停止工作，采取急救措施，并携带标签送医院就诊。 皮肤接触：立即脱去污染衣物，用软布去除沾染农药，立即用大量清水和肥皂冲洗。 眼睛接触：立即翻开上下眼睑，用流动的清水冲洗至少15分钟。 吸入：立即离开施药现场，转移到空气清新处。 误服：立即停止服用，用清水充分漱口后，携带农药标签到医院就诊。本品尚无特效解毒剂，对症治疗。</w:t>
            </w:r>
          </w:p>
        </w:tc>
      </w:tr>
      <w:tr w14:paraId="3EBA5BB7">
        <w:tblPrEx>
          <w:tblCellMar>
            <w:top w:w="0" w:type="dxa"/>
            <w:left w:w="0" w:type="dxa"/>
            <w:bottom w:w="0" w:type="dxa"/>
            <w:right w:w="0" w:type="dxa"/>
          </w:tblCellMar>
        </w:tblPrEx>
        <w:trPr>
          <w:wBefore w:w="0" w:type="auto"/>
          <w:tblCellSpacing w:w="0" w:type="dxa"/>
        </w:trPr>
        <w:tc>
          <w:tcPr>
            <w:tcW w:w="0" w:type="auto"/>
            <w:noWrap w:val="0"/>
            <w:vAlign w:val="center"/>
          </w:tcPr>
          <w:p w14:paraId="212B921F">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本品应贮存在干燥、阴凉、通风、防雨处，远离火源或热源。置于儿童接触不到的地方。不能与食品、饮料、粮食、饲料等混合储存。</w:t>
            </w:r>
          </w:p>
        </w:tc>
      </w:tr>
      <w:tr w14:paraId="197526B6">
        <w:tblPrEx>
          <w:tblCellMar>
            <w:top w:w="0" w:type="dxa"/>
            <w:left w:w="0" w:type="dxa"/>
            <w:bottom w:w="0" w:type="dxa"/>
            <w:right w:w="0" w:type="dxa"/>
          </w:tblCellMar>
        </w:tblPrEx>
        <w:trPr>
          <w:wBefore w:w="0" w:type="auto"/>
          <w:tblCellSpacing w:w="0" w:type="dxa"/>
        </w:trPr>
        <w:tc>
          <w:tcPr>
            <w:tcW w:w="0" w:type="auto"/>
            <w:noWrap w:val="0"/>
            <w:vAlign w:val="center"/>
          </w:tcPr>
          <w:p w14:paraId="66604290">
            <w:r>
              <w:rPr>
                <w:rStyle w:val="10"/>
                <w:rFonts w:hint="eastAsia"/>
              </w:rPr>
              <w:t>质量保证期：</w:t>
            </w:r>
            <w:r>
              <w:rPr>
                <w:rStyle w:val="11"/>
                <w:rFonts w:hint="eastAsia"/>
              </w:rPr>
              <w:t>2年</w:t>
            </w:r>
          </w:p>
        </w:tc>
      </w:tr>
      <w:tr w14:paraId="445FEA14">
        <w:tblPrEx>
          <w:tblCellMar>
            <w:top w:w="0" w:type="dxa"/>
            <w:left w:w="0" w:type="dxa"/>
            <w:bottom w:w="0" w:type="dxa"/>
            <w:right w:w="0" w:type="dxa"/>
          </w:tblCellMar>
        </w:tblPrEx>
        <w:trPr>
          <w:wBefore w:w="0" w:type="auto"/>
          <w:tblCellSpacing w:w="0" w:type="dxa"/>
        </w:trPr>
        <w:tc>
          <w:tcPr>
            <w:tcW w:w="0" w:type="auto"/>
            <w:noWrap w:val="0"/>
            <w:vAlign w:val="center"/>
          </w:tcPr>
          <w:p w14:paraId="245618B1">
            <w:r>
              <w:rPr>
                <w:rStyle w:val="10"/>
                <w:rFonts w:hint="eastAsia"/>
              </w:rPr>
              <w:t>备注：</w:t>
            </w:r>
          </w:p>
        </w:tc>
      </w:tr>
    </w:tbl>
    <w:p w14:paraId="5CAEC34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286F30">
        <w:tblPrEx>
          <w:tblCellMar>
            <w:top w:w="0" w:type="dxa"/>
            <w:left w:w="0" w:type="dxa"/>
            <w:bottom w:w="0" w:type="dxa"/>
            <w:right w:w="0" w:type="dxa"/>
          </w:tblCellMar>
        </w:tblPrEx>
        <w:trPr>
          <w:wBefore w:w="0" w:type="auto"/>
          <w:tblCellSpacing w:w="0" w:type="dxa"/>
        </w:trPr>
        <w:tc>
          <w:tcPr>
            <w:tcW w:w="0" w:type="auto"/>
            <w:noWrap w:val="0"/>
            <w:vAlign w:val="center"/>
          </w:tcPr>
          <w:p w14:paraId="714F7C4B">
            <w:r>
              <w:rPr>
                <w:rStyle w:val="10"/>
                <w:rFonts w:hint="eastAsia"/>
              </w:rPr>
              <w:t>登记证号：</w:t>
            </w:r>
            <w:r>
              <w:rPr>
                <w:rFonts w:hint="eastAsia"/>
              </w:rPr>
              <w:t>PD20211859</w:t>
            </w:r>
          </w:p>
        </w:tc>
      </w:tr>
      <w:tr w14:paraId="28538BAA">
        <w:tblPrEx>
          <w:tblCellMar>
            <w:top w:w="0" w:type="dxa"/>
            <w:left w:w="0" w:type="dxa"/>
            <w:bottom w:w="0" w:type="dxa"/>
            <w:right w:w="0" w:type="dxa"/>
          </w:tblCellMar>
        </w:tblPrEx>
        <w:trPr>
          <w:wBefore w:w="0" w:type="auto"/>
          <w:tblCellSpacing w:w="0" w:type="dxa"/>
        </w:trPr>
        <w:tc>
          <w:tcPr>
            <w:tcW w:w="0" w:type="auto"/>
            <w:noWrap w:val="0"/>
            <w:vAlign w:val="center"/>
          </w:tcPr>
          <w:p w14:paraId="78A6DB1C">
            <w:r>
              <w:rPr>
                <w:rStyle w:val="10"/>
                <w:rFonts w:hint="eastAsia"/>
              </w:rPr>
              <w:t>登记证持有人：</w:t>
            </w:r>
            <w:r>
              <w:rPr>
                <w:rFonts w:hint="eastAsia"/>
              </w:rPr>
              <w:t>河北威远生物化工有限公司</w:t>
            </w:r>
          </w:p>
        </w:tc>
      </w:tr>
      <w:tr w14:paraId="73D1E2F2">
        <w:tblPrEx>
          <w:tblCellMar>
            <w:top w:w="0" w:type="dxa"/>
            <w:left w:w="0" w:type="dxa"/>
            <w:bottom w:w="0" w:type="dxa"/>
            <w:right w:w="0" w:type="dxa"/>
          </w:tblCellMar>
        </w:tblPrEx>
        <w:trPr>
          <w:wBefore w:w="0" w:type="auto"/>
          <w:tblCellSpacing w:w="0" w:type="dxa"/>
        </w:trPr>
        <w:tc>
          <w:tcPr>
            <w:tcW w:w="0" w:type="auto"/>
            <w:noWrap w:val="0"/>
            <w:vAlign w:val="center"/>
          </w:tcPr>
          <w:p w14:paraId="005293E9">
            <w:r>
              <w:rPr>
                <w:rStyle w:val="10"/>
                <w:rFonts w:hint="eastAsia"/>
              </w:rPr>
              <w:t>农药名称：</w:t>
            </w:r>
            <w:r>
              <w:rPr>
                <w:rFonts w:hint="eastAsia"/>
              </w:rPr>
              <w:t>噻虫·毒死蜱</w:t>
            </w:r>
          </w:p>
        </w:tc>
      </w:tr>
      <w:tr w14:paraId="4AD99358">
        <w:tblPrEx>
          <w:tblCellMar>
            <w:top w:w="0" w:type="dxa"/>
            <w:left w:w="0" w:type="dxa"/>
            <w:bottom w:w="0" w:type="dxa"/>
            <w:right w:w="0" w:type="dxa"/>
          </w:tblCellMar>
        </w:tblPrEx>
        <w:trPr>
          <w:wBefore w:w="0" w:type="auto"/>
          <w:tblCellSpacing w:w="0" w:type="dxa"/>
        </w:trPr>
        <w:tc>
          <w:tcPr>
            <w:tcW w:w="0" w:type="auto"/>
            <w:noWrap w:val="0"/>
            <w:vAlign w:val="center"/>
          </w:tcPr>
          <w:p w14:paraId="1716DD47">
            <w:r>
              <w:rPr>
                <w:rStyle w:val="10"/>
                <w:rFonts w:hint="eastAsia"/>
              </w:rPr>
              <w:t>剂型：</w:t>
            </w:r>
            <w:r>
              <w:rPr>
                <w:rFonts w:hint="eastAsia"/>
              </w:rPr>
              <w:t>颗粒剂</w:t>
            </w:r>
          </w:p>
        </w:tc>
      </w:tr>
      <w:tr w14:paraId="36AC6002">
        <w:tblPrEx>
          <w:tblCellMar>
            <w:top w:w="0" w:type="dxa"/>
            <w:left w:w="0" w:type="dxa"/>
            <w:bottom w:w="0" w:type="dxa"/>
            <w:right w:w="0" w:type="dxa"/>
          </w:tblCellMar>
        </w:tblPrEx>
        <w:trPr>
          <w:wBefore w:w="0" w:type="auto"/>
          <w:tblCellSpacing w:w="0" w:type="dxa"/>
        </w:trPr>
        <w:tc>
          <w:tcPr>
            <w:tcW w:w="0" w:type="auto"/>
            <w:noWrap w:val="0"/>
            <w:vAlign w:val="center"/>
          </w:tcPr>
          <w:p w14:paraId="09A047A3">
            <w:r>
              <w:rPr>
                <w:rStyle w:val="10"/>
                <w:rFonts w:hint="eastAsia"/>
              </w:rPr>
              <w:t>毒性及其标识：</w:t>
            </w:r>
            <w:r>
              <w:rPr>
                <w:rFonts w:hint="eastAsia"/>
              </w:rPr>
              <w:t xml:space="preserve"> </w:t>
            </w:r>
            <w:r>
              <w:rPr>
                <w:lang/>
              </w:rPr>
              <w:drawing>
                <wp:inline distT="0" distB="0" distL="114300" distR="114300">
                  <wp:extent cx="476250" cy="323850"/>
                  <wp:effectExtent l="0" t="0" r="0" b="0"/>
                  <wp:docPr id="424" name="图片 42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DBBA237">
        <w:tblPrEx>
          <w:tblCellMar>
            <w:top w:w="0" w:type="dxa"/>
            <w:left w:w="0" w:type="dxa"/>
            <w:bottom w:w="0" w:type="dxa"/>
            <w:right w:w="0" w:type="dxa"/>
          </w:tblCellMar>
        </w:tblPrEx>
        <w:trPr>
          <w:wBefore w:w="0" w:type="auto"/>
          <w:tblCellSpacing w:w="0" w:type="dxa"/>
        </w:trPr>
        <w:tc>
          <w:tcPr>
            <w:tcW w:w="0" w:type="auto"/>
            <w:noWrap w:val="0"/>
            <w:vAlign w:val="center"/>
          </w:tcPr>
          <w:p w14:paraId="0640EFA5">
            <w:r>
              <w:rPr>
                <w:rStyle w:val="10"/>
                <w:rFonts w:hint="eastAsia"/>
              </w:rPr>
              <w:t>总有效成分含量：</w:t>
            </w:r>
            <w:r>
              <w:rPr>
                <w:rFonts w:hint="eastAsia"/>
              </w:rPr>
              <w:t>9%</w:t>
            </w:r>
          </w:p>
        </w:tc>
      </w:tr>
      <w:tr w14:paraId="12FA0278">
        <w:tblPrEx>
          <w:tblCellMar>
            <w:top w:w="0" w:type="dxa"/>
            <w:left w:w="0" w:type="dxa"/>
            <w:bottom w:w="0" w:type="dxa"/>
            <w:right w:w="0" w:type="dxa"/>
          </w:tblCellMar>
        </w:tblPrEx>
        <w:trPr>
          <w:wBefore w:w="0" w:type="auto"/>
          <w:tblCellSpacing w:w="0" w:type="dxa"/>
        </w:trPr>
        <w:tc>
          <w:tcPr>
            <w:tcW w:w="0" w:type="auto"/>
            <w:noWrap w:val="0"/>
            <w:vAlign w:val="center"/>
          </w:tcPr>
          <w:p w14:paraId="33B32A23">
            <w:r>
              <w:rPr>
                <w:rFonts w:hint="eastAsia"/>
              </w:rPr>
              <w:t xml:space="preserve">有效成分及其含量： </w:t>
            </w:r>
          </w:p>
          <w:p w14:paraId="06512B0B">
            <w:r>
              <w:rPr>
                <w:rFonts w:hint="eastAsia"/>
              </w:rPr>
              <w:t xml:space="preserve">    噻虫胺1%    毒死蜱8%    </w:t>
            </w:r>
          </w:p>
        </w:tc>
      </w:tr>
      <w:tr w14:paraId="5ADC41DB">
        <w:tblPrEx>
          <w:tblCellMar>
            <w:top w:w="0" w:type="dxa"/>
            <w:left w:w="0" w:type="dxa"/>
            <w:bottom w:w="0" w:type="dxa"/>
            <w:right w:w="0" w:type="dxa"/>
          </w:tblCellMar>
        </w:tblPrEx>
        <w:trPr>
          <w:wBefore w:w="0" w:type="auto"/>
          <w:tblCellSpacing w:w="0" w:type="dxa"/>
        </w:trPr>
        <w:tc>
          <w:tcPr>
            <w:tcW w:w="0" w:type="auto"/>
            <w:noWrap w:val="0"/>
            <w:vAlign w:val="center"/>
          </w:tcPr>
          <w:p w14:paraId="7CA64FE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32E28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0257CA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69AE51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4E9C17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619710B">
                  <w:r>
                    <w:rPr>
                      <w:rStyle w:val="11"/>
                      <w:rFonts w:hint="eastAsia"/>
                    </w:rPr>
                    <w:t>施用方式</w:t>
                  </w:r>
                </w:p>
              </w:tc>
            </w:tr>
            <w:tr w14:paraId="32AA01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E50A7C1">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0539FD">
                  <w:r>
                    <w:rPr>
                      <w:rStyle w:val="11"/>
                      <w:rFonts w:hint="eastAsia"/>
                    </w:rPr>
                    <w:t>蔗龟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378123">
                  <w:r>
                    <w:rPr>
                      <w:rStyle w:val="11"/>
                      <w:rFonts w:hint="eastAsia"/>
                    </w:rPr>
                    <w:t>500-660克/亩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AC2768">
                  <w:r>
                    <w:rPr>
                      <w:rStyle w:val="11"/>
                      <w:rFonts w:hint="eastAsia"/>
                    </w:rPr>
                    <w:t>沟施</w:t>
                  </w:r>
                </w:p>
              </w:tc>
            </w:tr>
          </w:tbl>
          <w:p w14:paraId="11CD326C">
            <w:pPr>
              <w:rPr>
                <w:rFonts w:ascii="Times New Roman" w:hAnsi="Times New Roman" w:cs="Times New Roman"/>
                <w:sz w:val="20"/>
                <w:szCs w:val="20"/>
              </w:rPr>
            </w:pPr>
          </w:p>
        </w:tc>
      </w:tr>
      <w:tr w14:paraId="6775F327">
        <w:tblPrEx>
          <w:tblCellMar>
            <w:top w:w="0" w:type="dxa"/>
            <w:left w:w="0" w:type="dxa"/>
            <w:bottom w:w="0" w:type="dxa"/>
            <w:right w:w="0" w:type="dxa"/>
          </w:tblCellMar>
        </w:tblPrEx>
        <w:trPr>
          <w:wBefore w:w="0" w:type="auto"/>
          <w:tblCellSpacing w:w="0" w:type="dxa"/>
        </w:trPr>
        <w:tc>
          <w:tcPr>
            <w:tcW w:w="0" w:type="auto"/>
            <w:noWrap w:val="0"/>
            <w:vAlign w:val="center"/>
          </w:tcPr>
          <w:p w14:paraId="642C0400">
            <w:r>
              <w:rPr>
                <w:rStyle w:val="10"/>
                <w:rFonts w:hint="eastAsia"/>
              </w:rPr>
              <w:t>使用技术要求:</w:t>
            </w:r>
            <w:r>
              <w:rPr>
                <w:rFonts w:hint="eastAsia"/>
              </w:rPr>
              <w:br w:type="textWrapping"/>
            </w:r>
            <w:r>
              <w:rPr>
                <w:rStyle w:val="11"/>
                <w:rFonts w:hint="eastAsia"/>
              </w:rPr>
              <w:t>1.本品在甘蔗上每季最多使用1次。2. 本品的适宜施药时期为在甘蔗下种或苗期，蔗龟产卵盛期用药。将药剂均匀撒施于种植沟内，施药后覆土。3.施药后须保持一定的土壤湿润以利于有效成分的释放和均匀分布。4.大风天或预计1小时有大雨，请勿施药。施药后设立警示标志，24小时内禁止人畜进入。</w:t>
            </w:r>
          </w:p>
        </w:tc>
      </w:tr>
      <w:tr w14:paraId="2E3A121A">
        <w:tblPrEx>
          <w:tblCellMar>
            <w:top w:w="0" w:type="dxa"/>
            <w:left w:w="0" w:type="dxa"/>
            <w:bottom w:w="0" w:type="dxa"/>
            <w:right w:w="0" w:type="dxa"/>
          </w:tblCellMar>
        </w:tblPrEx>
        <w:trPr>
          <w:wBefore w:w="0" w:type="auto"/>
          <w:tblCellSpacing w:w="0" w:type="dxa"/>
        </w:trPr>
        <w:tc>
          <w:tcPr>
            <w:tcW w:w="0" w:type="auto"/>
            <w:noWrap w:val="0"/>
            <w:vAlign w:val="center"/>
          </w:tcPr>
          <w:p w14:paraId="6A09CD91">
            <w:r>
              <w:rPr>
                <w:rStyle w:val="10"/>
                <w:rFonts w:hint="eastAsia"/>
              </w:rPr>
              <w:t>产品性能:</w:t>
            </w:r>
            <w:r>
              <w:rPr>
                <w:rFonts w:hint="eastAsia"/>
              </w:rPr>
              <w:br w:type="textWrapping"/>
            </w:r>
            <w:r>
              <w:rPr>
                <w:rStyle w:val="11"/>
                <w:rFonts w:hint="eastAsia"/>
              </w:rPr>
              <w:t>毒死蜱是硫代磷酸酯类杀虫剂，具有触杀、胃毒和熏蒸作用。该药在土壤中持效期长，因此，对地下害虫有很好的防治作用。噻虫胺的作用与烟碱乙酰胆碱受体类似，具有触杀、胃毒和内吸活性。两者复配可充分发挥毒死蜱和噻虫胺杀虫活性，扩大了防治谱，同时可减少毒死蜱和噻虫胺的使用量，延缓抗性，从而达到农药减量的目的。按推荐剂量使用，可有效防治甘蔗蔗龟。</w:t>
            </w:r>
          </w:p>
        </w:tc>
      </w:tr>
      <w:tr w14:paraId="0CC185C9">
        <w:tblPrEx>
          <w:tblCellMar>
            <w:top w:w="0" w:type="dxa"/>
            <w:left w:w="0" w:type="dxa"/>
            <w:bottom w:w="0" w:type="dxa"/>
            <w:right w:w="0" w:type="dxa"/>
          </w:tblCellMar>
        </w:tblPrEx>
        <w:trPr>
          <w:wBefore w:w="0" w:type="auto"/>
          <w:tblCellSpacing w:w="0" w:type="dxa"/>
        </w:trPr>
        <w:tc>
          <w:tcPr>
            <w:tcW w:w="0" w:type="auto"/>
            <w:noWrap w:val="0"/>
            <w:vAlign w:val="center"/>
          </w:tcPr>
          <w:p w14:paraId="0116C9E6">
            <w:r>
              <w:rPr>
                <w:rStyle w:val="10"/>
                <w:rFonts w:hint="eastAsia"/>
              </w:rPr>
              <w:t>注意事项：</w:t>
            </w:r>
            <w:r>
              <w:rPr>
                <w:rFonts w:hint="eastAsia"/>
              </w:rPr>
              <w:br w:type="textWrapping"/>
            </w:r>
            <w:r>
              <w:rPr>
                <w:rStyle w:val="11"/>
                <w:rFonts w:hint="eastAsia"/>
              </w:rPr>
              <w:t>1．本品对皮肤有刺激性，使用时穿戴长衣、长裤、帽子、口罩、手套等防护措施，避免皮肤接触。使用中不可吸烟、饮水及吃东西，使用后及时清洗手、脸等暴露部位皮肤并更换衣物。 2．本品对鱼、蜜蜂等有毒，不可直接撒施在水塘、湖泊、河流等水体中或沼泽湿地。从施药区被风吹散或雨水冲走的药剂可能对附近的水生生物造成危险。勿在水源处处理剩余药剂，以免造成水质污染。远离水产养殖区、河塘等水体施药。禁止在河塘等水体中清洗施药器具。 4．用过的容器要妥善处理，不可作他用，也不可随意丢弃。农药包装废弃物应当及时交回经营者。 5.孕妇及哺乳期妇女禁止接触。 6.本品禁止在蔬菜上使用。</w:t>
            </w:r>
          </w:p>
        </w:tc>
      </w:tr>
      <w:tr w14:paraId="4655ADA7">
        <w:tblPrEx>
          <w:tblCellMar>
            <w:top w:w="0" w:type="dxa"/>
            <w:left w:w="0" w:type="dxa"/>
            <w:bottom w:w="0" w:type="dxa"/>
            <w:right w:w="0" w:type="dxa"/>
          </w:tblCellMar>
        </w:tblPrEx>
        <w:trPr>
          <w:wBefore w:w="0" w:type="auto"/>
          <w:tblCellSpacing w:w="0" w:type="dxa"/>
        </w:trPr>
        <w:tc>
          <w:tcPr>
            <w:tcW w:w="0" w:type="auto"/>
            <w:noWrap w:val="0"/>
            <w:vAlign w:val="center"/>
          </w:tcPr>
          <w:p w14:paraId="23B0AE01">
            <w:r>
              <w:rPr>
                <w:rStyle w:val="10"/>
                <w:rFonts w:hint="eastAsia"/>
              </w:rPr>
              <w:t>中毒急救措施：</w:t>
            </w:r>
            <w:r>
              <w:rPr>
                <w:rFonts w:hint="eastAsia"/>
              </w:rPr>
              <w:br w:type="textWrapping"/>
            </w:r>
            <w:r>
              <w:rPr>
                <w:rStyle w:val="11"/>
                <w:rFonts w:hint="eastAsia"/>
              </w:rPr>
              <w:t xml:space="preserve">使用中或使用后如果感觉不适，应立即停止工作，采取急救措施，并携带标签送医院就诊。 1.皮肤接触：脱去污染的衣物，用软布去除沾染农药，立即用大量清水和肥皂冲洗。 2．眼睛溅入：立即用大量水冲洗不少于15分钟。 3.吸入：立即离开施药现场，转移到空气清新处。 4.误食：立即停止服用，用清水充分漱口后，立即携带农药标签到医院就诊。 </w:t>
            </w:r>
          </w:p>
        </w:tc>
      </w:tr>
      <w:tr w14:paraId="06CCE19F">
        <w:tblPrEx>
          <w:tblCellMar>
            <w:top w:w="0" w:type="dxa"/>
            <w:left w:w="0" w:type="dxa"/>
            <w:bottom w:w="0" w:type="dxa"/>
            <w:right w:w="0" w:type="dxa"/>
          </w:tblCellMar>
        </w:tblPrEx>
        <w:trPr>
          <w:wBefore w:w="0" w:type="auto"/>
          <w:tblCellSpacing w:w="0" w:type="dxa"/>
        </w:trPr>
        <w:tc>
          <w:tcPr>
            <w:tcW w:w="0" w:type="auto"/>
            <w:noWrap w:val="0"/>
            <w:vAlign w:val="center"/>
          </w:tcPr>
          <w:p w14:paraId="6152601B">
            <w:r>
              <w:rPr>
                <w:rStyle w:val="10"/>
                <w:rFonts w:hint="eastAsia"/>
              </w:rPr>
              <w:t>储存和运输方法：</w:t>
            </w:r>
            <w:r>
              <w:rPr>
                <w:rFonts w:hint="eastAsia"/>
              </w:rPr>
              <w:br w:type="textWrapping"/>
            </w:r>
            <w:r>
              <w:rPr>
                <w:rStyle w:val="11"/>
                <w:rFonts w:hint="eastAsia"/>
              </w:rPr>
              <w:t>1.本品应当置于儿童、无关人员触及不到之处，并加锁保存；2.本品应储存在干燥、阴凉、通风、防雨处，远离火源或热源。3.勿与食物、饮料、粮食和动物饲料在一起存放或运输。</w:t>
            </w:r>
          </w:p>
        </w:tc>
      </w:tr>
      <w:tr w14:paraId="3E2EF7DA">
        <w:tblPrEx>
          <w:tblCellMar>
            <w:top w:w="0" w:type="dxa"/>
            <w:left w:w="0" w:type="dxa"/>
            <w:bottom w:w="0" w:type="dxa"/>
            <w:right w:w="0" w:type="dxa"/>
          </w:tblCellMar>
        </w:tblPrEx>
        <w:trPr>
          <w:wBefore w:w="0" w:type="auto"/>
          <w:tblCellSpacing w:w="0" w:type="dxa"/>
        </w:trPr>
        <w:tc>
          <w:tcPr>
            <w:tcW w:w="0" w:type="auto"/>
            <w:noWrap w:val="0"/>
            <w:vAlign w:val="center"/>
          </w:tcPr>
          <w:p w14:paraId="20976C55">
            <w:r>
              <w:rPr>
                <w:rStyle w:val="10"/>
                <w:rFonts w:hint="eastAsia"/>
              </w:rPr>
              <w:t>质量保证期：</w:t>
            </w:r>
            <w:r>
              <w:rPr>
                <w:rStyle w:val="11"/>
                <w:rFonts w:hint="eastAsia"/>
              </w:rPr>
              <w:t>2年</w:t>
            </w:r>
          </w:p>
        </w:tc>
      </w:tr>
      <w:tr w14:paraId="629BC21E">
        <w:tblPrEx>
          <w:tblCellMar>
            <w:top w:w="0" w:type="dxa"/>
            <w:left w:w="0" w:type="dxa"/>
            <w:bottom w:w="0" w:type="dxa"/>
            <w:right w:w="0" w:type="dxa"/>
          </w:tblCellMar>
        </w:tblPrEx>
        <w:trPr>
          <w:wBefore w:w="0" w:type="auto"/>
          <w:tblCellSpacing w:w="0" w:type="dxa"/>
        </w:trPr>
        <w:tc>
          <w:tcPr>
            <w:tcW w:w="0" w:type="auto"/>
            <w:noWrap w:val="0"/>
            <w:vAlign w:val="center"/>
          </w:tcPr>
          <w:p w14:paraId="3E9F666C">
            <w:r>
              <w:rPr>
                <w:rStyle w:val="10"/>
                <w:rFonts w:hint="eastAsia"/>
              </w:rPr>
              <w:t>备注：</w:t>
            </w:r>
            <w:r>
              <w:rPr>
                <w:rFonts w:hint="eastAsia"/>
              </w:rPr>
              <w:br w:type="textWrapping"/>
            </w:r>
            <w:r>
              <w:rPr>
                <w:rStyle w:val="11"/>
                <w:rFonts w:hint="eastAsia"/>
              </w:rPr>
              <w:t>标注“限制使用”字样</w:t>
            </w:r>
          </w:p>
        </w:tc>
      </w:tr>
    </w:tbl>
    <w:p w14:paraId="6904A8B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78C9C39">
        <w:tblPrEx>
          <w:tblCellMar>
            <w:top w:w="0" w:type="dxa"/>
            <w:left w:w="0" w:type="dxa"/>
            <w:bottom w:w="0" w:type="dxa"/>
            <w:right w:w="0" w:type="dxa"/>
          </w:tblCellMar>
        </w:tblPrEx>
        <w:trPr>
          <w:wBefore w:w="0" w:type="auto"/>
          <w:tblCellSpacing w:w="0" w:type="dxa"/>
        </w:trPr>
        <w:tc>
          <w:tcPr>
            <w:tcW w:w="0" w:type="auto"/>
            <w:noWrap w:val="0"/>
            <w:vAlign w:val="center"/>
          </w:tcPr>
          <w:p w14:paraId="2FC9C05A">
            <w:r>
              <w:rPr>
                <w:rStyle w:val="10"/>
                <w:rFonts w:hint="eastAsia"/>
              </w:rPr>
              <w:t>登记证号：</w:t>
            </w:r>
            <w:r>
              <w:rPr>
                <w:rFonts w:hint="eastAsia"/>
              </w:rPr>
              <w:t>PD20212104</w:t>
            </w:r>
          </w:p>
        </w:tc>
      </w:tr>
      <w:tr w14:paraId="7D3E67B6">
        <w:tblPrEx>
          <w:tblCellMar>
            <w:top w:w="0" w:type="dxa"/>
            <w:left w:w="0" w:type="dxa"/>
            <w:bottom w:w="0" w:type="dxa"/>
            <w:right w:w="0" w:type="dxa"/>
          </w:tblCellMar>
        </w:tblPrEx>
        <w:trPr>
          <w:wBefore w:w="0" w:type="auto"/>
          <w:tblCellSpacing w:w="0" w:type="dxa"/>
        </w:trPr>
        <w:tc>
          <w:tcPr>
            <w:tcW w:w="0" w:type="auto"/>
            <w:noWrap w:val="0"/>
            <w:vAlign w:val="center"/>
          </w:tcPr>
          <w:p w14:paraId="022021E6">
            <w:r>
              <w:rPr>
                <w:rStyle w:val="10"/>
                <w:rFonts w:hint="eastAsia"/>
              </w:rPr>
              <w:t>登记证持有人：</w:t>
            </w:r>
            <w:r>
              <w:rPr>
                <w:rFonts w:hint="eastAsia"/>
              </w:rPr>
              <w:t>佳木斯黑龙农药有限公司</w:t>
            </w:r>
          </w:p>
        </w:tc>
      </w:tr>
      <w:tr w14:paraId="72EAFD36">
        <w:tblPrEx>
          <w:tblCellMar>
            <w:top w:w="0" w:type="dxa"/>
            <w:left w:w="0" w:type="dxa"/>
            <w:bottom w:w="0" w:type="dxa"/>
            <w:right w:w="0" w:type="dxa"/>
          </w:tblCellMar>
        </w:tblPrEx>
        <w:trPr>
          <w:wBefore w:w="0" w:type="auto"/>
          <w:tblCellSpacing w:w="0" w:type="dxa"/>
        </w:trPr>
        <w:tc>
          <w:tcPr>
            <w:tcW w:w="0" w:type="auto"/>
            <w:noWrap w:val="0"/>
            <w:vAlign w:val="center"/>
          </w:tcPr>
          <w:p w14:paraId="3288AB38">
            <w:r>
              <w:rPr>
                <w:rStyle w:val="10"/>
                <w:rFonts w:hint="eastAsia"/>
              </w:rPr>
              <w:t>农药名称：</w:t>
            </w:r>
            <w:r>
              <w:rPr>
                <w:rFonts w:hint="eastAsia"/>
              </w:rPr>
              <w:t>高效氟吡甲禾灵</w:t>
            </w:r>
          </w:p>
        </w:tc>
      </w:tr>
      <w:tr w14:paraId="40FD5087">
        <w:tblPrEx>
          <w:tblCellMar>
            <w:top w:w="0" w:type="dxa"/>
            <w:left w:w="0" w:type="dxa"/>
            <w:bottom w:w="0" w:type="dxa"/>
            <w:right w:w="0" w:type="dxa"/>
          </w:tblCellMar>
        </w:tblPrEx>
        <w:trPr>
          <w:wBefore w:w="0" w:type="auto"/>
          <w:tblCellSpacing w:w="0" w:type="dxa"/>
        </w:trPr>
        <w:tc>
          <w:tcPr>
            <w:tcW w:w="0" w:type="auto"/>
            <w:noWrap w:val="0"/>
            <w:vAlign w:val="center"/>
          </w:tcPr>
          <w:p w14:paraId="5BE80E61">
            <w:r>
              <w:rPr>
                <w:rStyle w:val="10"/>
                <w:rFonts w:hint="eastAsia"/>
              </w:rPr>
              <w:t>剂型：</w:t>
            </w:r>
            <w:r>
              <w:rPr>
                <w:rFonts w:hint="eastAsia"/>
              </w:rPr>
              <w:t>乳油</w:t>
            </w:r>
          </w:p>
        </w:tc>
      </w:tr>
      <w:tr w14:paraId="55C70D85">
        <w:tblPrEx>
          <w:tblCellMar>
            <w:top w:w="0" w:type="dxa"/>
            <w:left w:w="0" w:type="dxa"/>
            <w:bottom w:w="0" w:type="dxa"/>
            <w:right w:w="0" w:type="dxa"/>
          </w:tblCellMar>
        </w:tblPrEx>
        <w:trPr>
          <w:wBefore w:w="0" w:type="auto"/>
          <w:tblCellSpacing w:w="0" w:type="dxa"/>
        </w:trPr>
        <w:tc>
          <w:tcPr>
            <w:tcW w:w="0" w:type="auto"/>
            <w:noWrap w:val="0"/>
            <w:vAlign w:val="center"/>
          </w:tcPr>
          <w:p w14:paraId="01B1156C">
            <w:r>
              <w:rPr>
                <w:rStyle w:val="10"/>
                <w:rFonts w:hint="eastAsia"/>
              </w:rPr>
              <w:t>毒性及其标识：</w:t>
            </w:r>
            <w:r>
              <w:rPr>
                <w:rFonts w:hint="eastAsia"/>
              </w:rPr>
              <w:t xml:space="preserve"> </w:t>
            </w:r>
            <w:r>
              <w:rPr>
                <w:lang/>
              </w:rPr>
              <w:drawing>
                <wp:inline distT="0" distB="0" distL="114300" distR="114300">
                  <wp:extent cx="476250" cy="323850"/>
                  <wp:effectExtent l="0" t="0" r="0" b="0"/>
                  <wp:docPr id="425" name="图片 42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686EE5A">
        <w:tblPrEx>
          <w:tblCellMar>
            <w:top w:w="0" w:type="dxa"/>
            <w:left w:w="0" w:type="dxa"/>
            <w:bottom w:w="0" w:type="dxa"/>
            <w:right w:w="0" w:type="dxa"/>
          </w:tblCellMar>
        </w:tblPrEx>
        <w:trPr>
          <w:wBefore w:w="0" w:type="auto"/>
          <w:tblCellSpacing w:w="0" w:type="dxa"/>
        </w:trPr>
        <w:tc>
          <w:tcPr>
            <w:tcW w:w="0" w:type="auto"/>
            <w:noWrap w:val="0"/>
            <w:vAlign w:val="center"/>
          </w:tcPr>
          <w:p w14:paraId="6F96ED8B">
            <w:r>
              <w:rPr>
                <w:rStyle w:val="10"/>
                <w:rFonts w:hint="eastAsia"/>
              </w:rPr>
              <w:t>总有效成分含量：</w:t>
            </w:r>
            <w:r>
              <w:rPr>
                <w:rFonts w:hint="eastAsia"/>
              </w:rPr>
              <w:t>108克/升</w:t>
            </w:r>
          </w:p>
        </w:tc>
      </w:tr>
      <w:tr w14:paraId="2AFDCE85">
        <w:tblPrEx>
          <w:tblCellMar>
            <w:top w:w="0" w:type="dxa"/>
            <w:left w:w="0" w:type="dxa"/>
            <w:bottom w:w="0" w:type="dxa"/>
            <w:right w:w="0" w:type="dxa"/>
          </w:tblCellMar>
        </w:tblPrEx>
        <w:trPr>
          <w:wBefore w:w="0" w:type="auto"/>
          <w:tblCellSpacing w:w="0" w:type="dxa"/>
        </w:trPr>
        <w:tc>
          <w:tcPr>
            <w:tcW w:w="0" w:type="auto"/>
            <w:noWrap w:val="0"/>
            <w:vAlign w:val="center"/>
          </w:tcPr>
          <w:p w14:paraId="2BD1E8A9">
            <w:r>
              <w:rPr>
                <w:rFonts w:hint="eastAsia"/>
              </w:rPr>
              <w:t xml:space="preserve">有效成分及其含量： </w:t>
            </w:r>
          </w:p>
          <w:p w14:paraId="0D016325">
            <w:r>
              <w:rPr>
                <w:rFonts w:hint="eastAsia"/>
              </w:rPr>
              <w:t xml:space="preserve">    高效氟吡甲禾灵108克/升    </w:t>
            </w:r>
          </w:p>
        </w:tc>
      </w:tr>
      <w:tr w14:paraId="645295A7">
        <w:tblPrEx>
          <w:tblCellMar>
            <w:top w:w="0" w:type="dxa"/>
            <w:left w:w="0" w:type="dxa"/>
            <w:bottom w:w="0" w:type="dxa"/>
            <w:right w:w="0" w:type="dxa"/>
          </w:tblCellMar>
        </w:tblPrEx>
        <w:trPr>
          <w:wBefore w:w="0" w:type="auto"/>
          <w:tblCellSpacing w:w="0" w:type="dxa"/>
        </w:trPr>
        <w:tc>
          <w:tcPr>
            <w:tcW w:w="0" w:type="auto"/>
            <w:noWrap w:val="0"/>
            <w:vAlign w:val="center"/>
          </w:tcPr>
          <w:p w14:paraId="2310B38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DDBA4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08636C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E68F0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4735A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5E9C423">
                  <w:r>
                    <w:rPr>
                      <w:rStyle w:val="11"/>
                      <w:rFonts w:hint="eastAsia"/>
                    </w:rPr>
                    <w:t>施用方式</w:t>
                  </w:r>
                </w:p>
              </w:tc>
            </w:tr>
            <w:tr w14:paraId="0128A5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3A909E5">
                  <w:r>
                    <w:rPr>
                      <w:rStyle w:val="11"/>
                      <w:rFonts w:hint="eastAsia"/>
                    </w:rPr>
                    <w:t>春大豆田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33ADCE">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B6E5F3">
                  <w:r>
                    <w:rPr>
                      <w:rStyle w:val="11"/>
                      <w:rFonts w:hint="eastAsia"/>
                    </w:rPr>
                    <w:t>30-40 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9168F5">
                  <w:r>
                    <w:rPr>
                      <w:rStyle w:val="11"/>
                      <w:rFonts w:hint="eastAsia"/>
                    </w:rPr>
                    <w:t>茎叶喷雾</w:t>
                  </w:r>
                </w:p>
              </w:tc>
            </w:tr>
          </w:tbl>
          <w:p w14:paraId="1509D2C3">
            <w:pPr>
              <w:rPr>
                <w:rFonts w:ascii="Times New Roman" w:hAnsi="Times New Roman" w:cs="Times New Roman"/>
                <w:sz w:val="20"/>
                <w:szCs w:val="20"/>
              </w:rPr>
            </w:pPr>
          </w:p>
        </w:tc>
      </w:tr>
      <w:tr w14:paraId="111AE7EE">
        <w:tblPrEx>
          <w:tblCellMar>
            <w:top w:w="0" w:type="dxa"/>
            <w:left w:w="0" w:type="dxa"/>
            <w:bottom w:w="0" w:type="dxa"/>
            <w:right w:w="0" w:type="dxa"/>
          </w:tblCellMar>
        </w:tblPrEx>
        <w:trPr>
          <w:wBefore w:w="0" w:type="auto"/>
          <w:tblCellSpacing w:w="0" w:type="dxa"/>
        </w:trPr>
        <w:tc>
          <w:tcPr>
            <w:tcW w:w="0" w:type="auto"/>
            <w:noWrap w:val="0"/>
            <w:vAlign w:val="center"/>
          </w:tcPr>
          <w:p w14:paraId="0ED29662">
            <w:r>
              <w:rPr>
                <w:rStyle w:val="10"/>
                <w:rFonts w:hint="eastAsia"/>
              </w:rPr>
              <w:t>使用技术要求:</w:t>
            </w:r>
            <w:r>
              <w:rPr>
                <w:rFonts w:hint="eastAsia"/>
              </w:rPr>
              <w:br w:type="textWrapping"/>
            </w:r>
            <w:r>
              <w:rPr>
                <w:rStyle w:val="11"/>
                <w:rFonts w:hint="eastAsia"/>
              </w:rPr>
              <w:t>1. 于春大豆苗后2-3片复叶期，一年生禾本科杂草3-5叶期，针对杂草植株喷雾施药进行茎叶处理。每亩用药量兑水30～40公斤，均匀茎叶喷雾。2. 本品每季节最多使用1次。</w:t>
            </w:r>
          </w:p>
        </w:tc>
      </w:tr>
      <w:tr w14:paraId="29F51D87">
        <w:tblPrEx>
          <w:tblCellMar>
            <w:top w:w="0" w:type="dxa"/>
            <w:left w:w="0" w:type="dxa"/>
            <w:bottom w:w="0" w:type="dxa"/>
            <w:right w:w="0" w:type="dxa"/>
          </w:tblCellMar>
        </w:tblPrEx>
        <w:trPr>
          <w:wBefore w:w="0" w:type="auto"/>
          <w:tblCellSpacing w:w="0" w:type="dxa"/>
        </w:trPr>
        <w:tc>
          <w:tcPr>
            <w:tcW w:w="0" w:type="auto"/>
            <w:noWrap w:val="0"/>
            <w:vAlign w:val="center"/>
          </w:tcPr>
          <w:p w14:paraId="40819815">
            <w:r>
              <w:rPr>
                <w:rStyle w:val="10"/>
                <w:rFonts w:hint="eastAsia"/>
              </w:rPr>
              <w:t>产品性能:</w:t>
            </w:r>
            <w:r>
              <w:rPr>
                <w:rFonts w:hint="eastAsia"/>
              </w:rPr>
              <w:br w:type="textWrapping"/>
            </w:r>
            <w:r>
              <w:rPr>
                <w:rStyle w:val="11"/>
                <w:rFonts w:hint="eastAsia"/>
              </w:rPr>
              <w:t>本剂是一种芳氧苯氧丙酸类内苗后选择性除草剂。茎叶处理后能很快被禾本科类杂草的叶子吸收，传导至整个植株，抑制植物分生组织而防除杂草。用于防除春大豆田中的稗草、狗尾草、野糜子及芦苇等禾本科杂草。</w:t>
            </w:r>
          </w:p>
        </w:tc>
      </w:tr>
      <w:tr w14:paraId="3BB1FD14">
        <w:tblPrEx>
          <w:tblCellMar>
            <w:top w:w="0" w:type="dxa"/>
            <w:left w:w="0" w:type="dxa"/>
            <w:bottom w:w="0" w:type="dxa"/>
            <w:right w:w="0" w:type="dxa"/>
          </w:tblCellMar>
        </w:tblPrEx>
        <w:trPr>
          <w:wBefore w:w="0" w:type="auto"/>
          <w:tblCellSpacing w:w="0" w:type="dxa"/>
        </w:trPr>
        <w:tc>
          <w:tcPr>
            <w:tcW w:w="0" w:type="auto"/>
            <w:noWrap w:val="0"/>
            <w:vAlign w:val="center"/>
          </w:tcPr>
          <w:p w14:paraId="1D8748A4">
            <w:r>
              <w:rPr>
                <w:rStyle w:val="10"/>
                <w:rFonts w:hint="eastAsia"/>
              </w:rPr>
              <w:t>注意事项：</w:t>
            </w:r>
            <w:r>
              <w:rPr>
                <w:rFonts w:hint="eastAsia"/>
              </w:rPr>
              <w:br w:type="textWrapping"/>
            </w:r>
            <w:r>
              <w:rPr>
                <w:rStyle w:val="11"/>
                <w:rFonts w:hint="eastAsia"/>
              </w:rPr>
              <w:t>1. 气候干旱、杂草较大时应在推荐剂量范围内适当加大用药量。2. 避免药液飘移到邻近的小麦、玉米、高粱、水稻等禾本科作物田。与禾本科作物间、混、套种的田块，不能作用本品。3. 施药最好选择风速小于４米／秒、空气相对湿度大于65％，气温低于28℃的气候条件下进行或晴天上午8点钟前下午5点钟以后进行。4. 本品对眼睛有刺激性，使用时避免接触眼睛。如：在开启包装物和使用过程中要注意防护，穿长袖衣裤、胶鞋，配戴防护手套、口罩、护目镜、防护帽等。避免吸入药液；施药期间不可吃东西、吸烟、饮水等；施药后应及时洗手、洗脸等。5. 本品对水生生物有毒，水产养殖区、河塘等水体附近禁用，仅限于在地下水位较深的区域使用。6. 禁止河塘等水域内清洗施药器具或将清洗施药器具的废水倒入河流、池塘等水源。用过的容器等废弃物应妥善处理，不可做它用，也不可随意丢弃。7. 孕妇及哺乳期妇女避免接触此药。8. 结合当地实际情况，在农业技术人员指导下使用。</w:t>
            </w:r>
          </w:p>
        </w:tc>
      </w:tr>
      <w:tr w14:paraId="3C792B5E">
        <w:tblPrEx>
          <w:tblCellMar>
            <w:top w:w="0" w:type="dxa"/>
            <w:left w:w="0" w:type="dxa"/>
            <w:bottom w:w="0" w:type="dxa"/>
            <w:right w:w="0" w:type="dxa"/>
          </w:tblCellMar>
        </w:tblPrEx>
        <w:trPr>
          <w:wBefore w:w="0" w:type="auto"/>
          <w:tblCellSpacing w:w="0" w:type="dxa"/>
        </w:trPr>
        <w:tc>
          <w:tcPr>
            <w:tcW w:w="0" w:type="auto"/>
            <w:noWrap w:val="0"/>
            <w:vAlign w:val="center"/>
          </w:tcPr>
          <w:p w14:paraId="2F8EC868">
            <w:r>
              <w:rPr>
                <w:rStyle w:val="10"/>
                <w:rFonts w:hint="eastAsia"/>
              </w:rPr>
              <w:t>中毒急救措施：</w:t>
            </w:r>
            <w:r>
              <w:rPr>
                <w:rFonts w:hint="eastAsia"/>
              </w:rPr>
              <w:br w:type="textWrapping"/>
            </w:r>
            <w:r>
              <w:rPr>
                <w:rStyle w:val="11"/>
                <w:rFonts w:hint="eastAsia"/>
              </w:rPr>
              <w:t>本品对眼睛有中度刺激性。①.若溅入眼睛，应用大量清水冲洗至少15分钟。严重时送医院诊治。②.如不慎接触皮肤，脱除受污染的衣服，并用肥皂和大量清水冲洗。③.不慎吸入，应将病人移到通风处。不慎接触皮肤，应用大量清水冲洗干净。 ④.如误服，立即带标签送医院诊治。 无特效解毒剂，对症治疗。</w:t>
            </w:r>
          </w:p>
        </w:tc>
      </w:tr>
      <w:tr w14:paraId="46C3F980">
        <w:tblPrEx>
          <w:tblCellMar>
            <w:top w:w="0" w:type="dxa"/>
            <w:left w:w="0" w:type="dxa"/>
            <w:bottom w:w="0" w:type="dxa"/>
            <w:right w:w="0" w:type="dxa"/>
          </w:tblCellMar>
        </w:tblPrEx>
        <w:trPr>
          <w:wBefore w:w="0" w:type="auto"/>
          <w:tblCellSpacing w:w="0" w:type="dxa"/>
        </w:trPr>
        <w:tc>
          <w:tcPr>
            <w:tcW w:w="0" w:type="auto"/>
            <w:noWrap w:val="0"/>
            <w:vAlign w:val="center"/>
          </w:tcPr>
          <w:p w14:paraId="43D1E0D8">
            <w:r>
              <w:rPr>
                <w:rStyle w:val="10"/>
                <w:rFonts w:hint="eastAsia"/>
              </w:rPr>
              <w:t>储存和运输方法：</w:t>
            </w:r>
            <w:r>
              <w:rPr>
                <w:rFonts w:hint="eastAsia"/>
              </w:rPr>
              <w:br w:type="textWrapping"/>
            </w:r>
            <w:r>
              <w:rPr>
                <w:rStyle w:val="11"/>
                <w:rFonts w:hint="eastAsia"/>
              </w:rPr>
              <w:t>应储存在通风、干燥的库房中。储运时，严防潮湿和日晒。置于儿童、无关人员触及不到之处，并加锁。勿与食品、饮料、饲料、粮食等同贮同运。</w:t>
            </w:r>
          </w:p>
        </w:tc>
      </w:tr>
      <w:tr w14:paraId="328963F7">
        <w:tblPrEx>
          <w:tblCellMar>
            <w:top w:w="0" w:type="dxa"/>
            <w:left w:w="0" w:type="dxa"/>
            <w:bottom w:w="0" w:type="dxa"/>
            <w:right w:w="0" w:type="dxa"/>
          </w:tblCellMar>
        </w:tblPrEx>
        <w:trPr>
          <w:wBefore w:w="0" w:type="auto"/>
          <w:tblCellSpacing w:w="0" w:type="dxa"/>
        </w:trPr>
        <w:tc>
          <w:tcPr>
            <w:tcW w:w="0" w:type="auto"/>
            <w:noWrap w:val="0"/>
            <w:vAlign w:val="center"/>
          </w:tcPr>
          <w:p w14:paraId="4C2A6549">
            <w:r>
              <w:rPr>
                <w:rStyle w:val="10"/>
                <w:rFonts w:hint="eastAsia"/>
              </w:rPr>
              <w:t>质量保证期：</w:t>
            </w:r>
            <w:r>
              <w:rPr>
                <w:rStyle w:val="11"/>
                <w:rFonts w:hint="eastAsia"/>
              </w:rPr>
              <w:t>2年</w:t>
            </w:r>
          </w:p>
        </w:tc>
      </w:tr>
      <w:tr w14:paraId="422CF3D3">
        <w:tblPrEx>
          <w:tblCellMar>
            <w:top w:w="0" w:type="dxa"/>
            <w:left w:w="0" w:type="dxa"/>
            <w:bottom w:w="0" w:type="dxa"/>
            <w:right w:w="0" w:type="dxa"/>
          </w:tblCellMar>
        </w:tblPrEx>
        <w:trPr>
          <w:wBefore w:w="0" w:type="auto"/>
          <w:tblCellSpacing w:w="0" w:type="dxa"/>
        </w:trPr>
        <w:tc>
          <w:tcPr>
            <w:tcW w:w="0" w:type="auto"/>
            <w:noWrap w:val="0"/>
            <w:vAlign w:val="center"/>
          </w:tcPr>
          <w:p w14:paraId="1A2D9126">
            <w:r>
              <w:rPr>
                <w:rStyle w:val="10"/>
                <w:rFonts w:hint="eastAsia"/>
              </w:rPr>
              <w:t>备注：</w:t>
            </w:r>
            <w:r>
              <w:rPr>
                <w:rFonts w:hint="eastAsia"/>
              </w:rPr>
              <w:br w:type="textWrapping"/>
            </w:r>
            <w:r>
              <w:rPr>
                <w:rStyle w:val="11"/>
                <w:rFonts w:hint="eastAsia"/>
              </w:rPr>
              <w:t>质量分数11.4%</w:t>
            </w:r>
          </w:p>
        </w:tc>
      </w:tr>
    </w:tbl>
    <w:p w14:paraId="1B7A13A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1074814">
        <w:tblPrEx>
          <w:tblCellMar>
            <w:top w:w="0" w:type="dxa"/>
            <w:left w:w="0" w:type="dxa"/>
            <w:bottom w:w="0" w:type="dxa"/>
            <w:right w:w="0" w:type="dxa"/>
          </w:tblCellMar>
        </w:tblPrEx>
        <w:trPr>
          <w:wBefore w:w="0" w:type="auto"/>
          <w:tblCellSpacing w:w="0" w:type="dxa"/>
        </w:trPr>
        <w:tc>
          <w:tcPr>
            <w:tcW w:w="0" w:type="auto"/>
            <w:noWrap w:val="0"/>
            <w:vAlign w:val="center"/>
          </w:tcPr>
          <w:p w14:paraId="3A795F6A">
            <w:r>
              <w:rPr>
                <w:rStyle w:val="10"/>
                <w:rFonts w:hint="eastAsia"/>
              </w:rPr>
              <w:t>登记证号：</w:t>
            </w:r>
            <w:r>
              <w:rPr>
                <w:rFonts w:hint="eastAsia"/>
              </w:rPr>
              <w:t>PD20211832</w:t>
            </w:r>
          </w:p>
        </w:tc>
      </w:tr>
      <w:tr w14:paraId="401D82F1">
        <w:tblPrEx>
          <w:tblCellMar>
            <w:top w:w="0" w:type="dxa"/>
            <w:left w:w="0" w:type="dxa"/>
            <w:bottom w:w="0" w:type="dxa"/>
            <w:right w:w="0" w:type="dxa"/>
          </w:tblCellMar>
        </w:tblPrEx>
        <w:trPr>
          <w:wBefore w:w="0" w:type="auto"/>
          <w:tblCellSpacing w:w="0" w:type="dxa"/>
        </w:trPr>
        <w:tc>
          <w:tcPr>
            <w:tcW w:w="0" w:type="auto"/>
            <w:noWrap w:val="0"/>
            <w:vAlign w:val="center"/>
          </w:tcPr>
          <w:p w14:paraId="5B84F952">
            <w:r>
              <w:rPr>
                <w:rStyle w:val="10"/>
                <w:rFonts w:hint="eastAsia"/>
              </w:rPr>
              <w:t>登记证持有人：</w:t>
            </w:r>
            <w:r>
              <w:rPr>
                <w:rFonts w:hint="eastAsia"/>
              </w:rPr>
              <w:t>河南省周口市中科化工有限公司</w:t>
            </w:r>
          </w:p>
        </w:tc>
      </w:tr>
      <w:tr w14:paraId="6CCBFF0E">
        <w:tblPrEx>
          <w:tblCellMar>
            <w:top w:w="0" w:type="dxa"/>
            <w:left w:w="0" w:type="dxa"/>
            <w:bottom w:w="0" w:type="dxa"/>
            <w:right w:w="0" w:type="dxa"/>
          </w:tblCellMar>
        </w:tblPrEx>
        <w:trPr>
          <w:wBefore w:w="0" w:type="auto"/>
          <w:tblCellSpacing w:w="0" w:type="dxa"/>
        </w:trPr>
        <w:tc>
          <w:tcPr>
            <w:tcW w:w="0" w:type="auto"/>
            <w:noWrap w:val="0"/>
            <w:vAlign w:val="center"/>
          </w:tcPr>
          <w:p w14:paraId="62F12F41">
            <w:r>
              <w:rPr>
                <w:rStyle w:val="10"/>
                <w:rFonts w:hint="eastAsia"/>
              </w:rPr>
              <w:t>农药名称：</w:t>
            </w:r>
            <w:r>
              <w:rPr>
                <w:rFonts w:hint="eastAsia"/>
              </w:rPr>
              <w:t>甲维·虫螨腈</w:t>
            </w:r>
          </w:p>
        </w:tc>
      </w:tr>
      <w:tr w14:paraId="0101AA79">
        <w:tblPrEx>
          <w:tblCellMar>
            <w:top w:w="0" w:type="dxa"/>
            <w:left w:w="0" w:type="dxa"/>
            <w:bottom w:w="0" w:type="dxa"/>
            <w:right w:w="0" w:type="dxa"/>
          </w:tblCellMar>
        </w:tblPrEx>
        <w:trPr>
          <w:wBefore w:w="0" w:type="auto"/>
          <w:tblCellSpacing w:w="0" w:type="dxa"/>
        </w:trPr>
        <w:tc>
          <w:tcPr>
            <w:tcW w:w="0" w:type="auto"/>
            <w:noWrap w:val="0"/>
            <w:vAlign w:val="center"/>
          </w:tcPr>
          <w:p w14:paraId="59BC10AD">
            <w:r>
              <w:rPr>
                <w:rStyle w:val="10"/>
                <w:rFonts w:hint="eastAsia"/>
              </w:rPr>
              <w:t>剂型：</w:t>
            </w:r>
            <w:r>
              <w:rPr>
                <w:rFonts w:hint="eastAsia"/>
              </w:rPr>
              <w:t>悬浮剂</w:t>
            </w:r>
          </w:p>
        </w:tc>
      </w:tr>
      <w:tr w14:paraId="3A7C3FF3">
        <w:tblPrEx>
          <w:tblCellMar>
            <w:top w:w="0" w:type="dxa"/>
            <w:left w:w="0" w:type="dxa"/>
            <w:bottom w:w="0" w:type="dxa"/>
            <w:right w:w="0" w:type="dxa"/>
          </w:tblCellMar>
        </w:tblPrEx>
        <w:trPr>
          <w:wBefore w:w="0" w:type="auto"/>
          <w:tblCellSpacing w:w="0" w:type="dxa"/>
        </w:trPr>
        <w:tc>
          <w:tcPr>
            <w:tcW w:w="0" w:type="auto"/>
            <w:noWrap w:val="0"/>
            <w:vAlign w:val="center"/>
          </w:tcPr>
          <w:p w14:paraId="31ED1CAA">
            <w:r>
              <w:rPr>
                <w:rStyle w:val="10"/>
                <w:rFonts w:hint="eastAsia"/>
              </w:rPr>
              <w:t>毒性及其标识：</w:t>
            </w:r>
            <w:r>
              <w:rPr>
                <w:rFonts w:hint="eastAsia"/>
              </w:rPr>
              <w:t xml:space="preserve"> </w:t>
            </w:r>
            <w:r>
              <w:rPr>
                <w:lang/>
              </w:rPr>
              <w:drawing>
                <wp:inline distT="0" distB="0" distL="114300" distR="114300">
                  <wp:extent cx="476250" cy="323850"/>
                  <wp:effectExtent l="0" t="0" r="0" b="0"/>
                  <wp:docPr id="426" name="图片 42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8BDE04A">
        <w:tblPrEx>
          <w:tblCellMar>
            <w:top w:w="0" w:type="dxa"/>
            <w:left w:w="0" w:type="dxa"/>
            <w:bottom w:w="0" w:type="dxa"/>
            <w:right w:w="0" w:type="dxa"/>
          </w:tblCellMar>
        </w:tblPrEx>
        <w:trPr>
          <w:wBefore w:w="0" w:type="auto"/>
          <w:tblCellSpacing w:w="0" w:type="dxa"/>
        </w:trPr>
        <w:tc>
          <w:tcPr>
            <w:tcW w:w="0" w:type="auto"/>
            <w:noWrap w:val="0"/>
            <w:vAlign w:val="center"/>
          </w:tcPr>
          <w:p w14:paraId="6D3FFAEA">
            <w:r>
              <w:rPr>
                <w:rStyle w:val="10"/>
                <w:rFonts w:hint="eastAsia"/>
              </w:rPr>
              <w:t>总有效成分含量：</w:t>
            </w:r>
            <w:r>
              <w:rPr>
                <w:rFonts w:hint="eastAsia"/>
              </w:rPr>
              <w:t>5.9%</w:t>
            </w:r>
          </w:p>
        </w:tc>
      </w:tr>
      <w:tr w14:paraId="4F3F5E2D">
        <w:tblPrEx>
          <w:tblCellMar>
            <w:top w:w="0" w:type="dxa"/>
            <w:left w:w="0" w:type="dxa"/>
            <w:bottom w:w="0" w:type="dxa"/>
            <w:right w:w="0" w:type="dxa"/>
          </w:tblCellMar>
        </w:tblPrEx>
        <w:trPr>
          <w:wBefore w:w="0" w:type="auto"/>
          <w:tblCellSpacing w:w="0" w:type="dxa"/>
        </w:trPr>
        <w:tc>
          <w:tcPr>
            <w:tcW w:w="0" w:type="auto"/>
            <w:noWrap w:val="0"/>
            <w:vAlign w:val="center"/>
          </w:tcPr>
          <w:p w14:paraId="67C3852F">
            <w:r>
              <w:rPr>
                <w:rFonts w:hint="eastAsia"/>
              </w:rPr>
              <w:t xml:space="preserve">有效成分及其含量： </w:t>
            </w:r>
          </w:p>
          <w:p w14:paraId="3EE7E628">
            <w:r>
              <w:rPr>
                <w:rFonts w:hint="eastAsia"/>
              </w:rPr>
              <w:t xml:space="preserve">    甲氨基阿维菌素0.9%    虫螨腈5%    </w:t>
            </w:r>
          </w:p>
        </w:tc>
      </w:tr>
      <w:tr w14:paraId="5BBC61B3">
        <w:tblPrEx>
          <w:tblCellMar>
            <w:top w:w="0" w:type="dxa"/>
            <w:left w:w="0" w:type="dxa"/>
            <w:bottom w:w="0" w:type="dxa"/>
            <w:right w:w="0" w:type="dxa"/>
          </w:tblCellMar>
        </w:tblPrEx>
        <w:trPr>
          <w:wBefore w:w="0" w:type="auto"/>
          <w:tblCellSpacing w:w="0" w:type="dxa"/>
        </w:trPr>
        <w:tc>
          <w:tcPr>
            <w:tcW w:w="0" w:type="auto"/>
            <w:noWrap w:val="0"/>
            <w:vAlign w:val="center"/>
          </w:tcPr>
          <w:p w14:paraId="5CC179D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28564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6A918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EB9F6B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D7187A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627458">
                  <w:r>
                    <w:rPr>
                      <w:rStyle w:val="11"/>
                      <w:rFonts w:hint="eastAsia"/>
                    </w:rPr>
                    <w:t>施用方式</w:t>
                  </w:r>
                </w:p>
              </w:tc>
            </w:tr>
            <w:tr w14:paraId="656EAA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D82F8C">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32455E">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1217E2">
                  <w:r>
                    <w:rPr>
                      <w:rStyle w:val="11"/>
                      <w:rFonts w:hint="eastAsia"/>
                    </w:rPr>
                    <w:t>20-30毫升/亩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8F9FA8">
                  <w:r>
                    <w:rPr>
                      <w:rStyle w:val="11"/>
                      <w:rFonts w:hint="eastAsia"/>
                    </w:rPr>
                    <w:t>喷雾</w:t>
                  </w:r>
                </w:p>
              </w:tc>
            </w:tr>
          </w:tbl>
          <w:p w14:paraId="0C3C9611">
            <w:pPr>
              <w:rPr>
                <w:rFonts w:ascii="Times New Roman" w:hAnsi="Times New Roman" w:cs="Times New Roman"/>
                <w:sz w:val="20"/>
                <w:szCs w:val="20"/>
              </w:rPr>
            </w:pPr>
          </w:p>
        </w:tc>
      </w:tr>
      <w:tr w14:paraId="2986D025">
        <w:tblPrEx>
          <w:tblCellMar>
            <w:top w:w="0" w:type="dxa"/>
            <w:left w:w="0" w:type="dxa"/>
            <w:bottom w:w="0" w:type="dxa"/>
            <w:right w:w="0" w:type="dxa"/>
          </w:tblCellMar>
        </w:tblPrEx>
        <w:trPr>
          <w:wBefore w:w="0" w:type="auto"/>
          <w:tblCellSpacing w:w="0" w:type="dxa"/>
        </w:trPr>
        <w:tc>
          <w:tcPr>
            <w:tcW w:w="0" w:type="auto"/>
            <w:noWrap w:val="0"/>
            <w:vAlign w:val="center"/>
          </w:tcPr>
          <w:p w14:paraId="36512D22">
            <w:r>
              <w:rPr>
                <w:rStyle w:val="10"/>
                <w:rFonts w:hint="eastAsia"/>
              </w:rPr>
              <w:t>使用技术要求:</w:t>
            </w:r>
            <w:r>
              <w:rPr>
                <w:rFonts w:hint="eastAsia"/>
              </w:rPr>
              <w:br w:type="textWrapping"/>
            </w:r>
            <w:r>
              <w:rPr>
                <w:rStyle w:val="11"/>
                <w:rFonts w:hint="eastAsia"/>
              </w:rPr>
              <w:t>1. 于甜菜夜蛾低龄幼虫发生期均匀喷雾，每亩兑水45-50公斤。 2. 本品在甘蓝上使用的安全间隔期为14天，每个作物周期的最多使用1次。 3. 大风天或预计1小时内降雨，请勿施药。</w:t>
            </w:r>
          </w:p>
        </w:tc>
      </w:tr>
      <w:tr w14:paraId="11A8A0BB">
        <w:tblPrEx>
          <w:tblCellMar>
            <w:top w:w="0" w:type="dxa"/>
            <w:left w:w="0" w:type="dxa"/>
            <w:bottom w:w="0" w:type="dxa"/>
            <w:right w:w="0" w:type="dxa"/>
          </w:tblCellMar>
        </w:tblPrEx>
        <w:trPr>
          <w:wBefore w:w="0" w:type="auto"/>
          <w:tblCellSpacing w:w="0" w:type="dxa"/>
        </w:trPr>
        <w:tc>
          <w:tcPr>
            <w:tcW w:w="0" w:type="auto"/>
            <w:noWrap w:val="0"/>
            <w:vAlign w:val="center"/>
          </w:tcPr>
          <w:p w14:paraId="512C9FFE">
            <w:r>
              <w:rPr>
                <w:rStyle w:val="10"/>
                <w:rFonts w:hint="eastAsia"/>
              </w:rPr>
              <w:t>产品性能:</w:t>
            </w:r>
            <w:r>
              <w:rPr>
                <w:rFonts w:hint="eastAsia"/>
              </w:rPr>
              <w:br w:type="textWrapping"/>
            </w:r>
            <w:r>
              <w:rPr>
                <w:rStyle w:val="11"/>
                <w:rFonts w:hint="eastAsia"/>
              </w:rPr>
              <w:t>本品由甲氨基阿维菌素和虫螨腈复配而成，具有胃毒和触杀作用。虫螨腈是一种芳基取代吡咯类化合物，具有独特的作用机制，主要作用于昆虫体内细胞的线粒体上，干扰呼吸链上的电子传递，影响昆虫体内能量转化；甲氨基阿维菌素是一种半合成抗生素类杀虫剂。两者混配可增加防治效果，降低使用量，延缓抗性产生，对甘蓝甜菜夜蛾有较好的防效。</w:t>
            </w:r>
          </w:p>
        </w:tc>
      </w:tr>
      <w:tr w14:paraId="1E0266AF">
        <w:tblPrEx>
          <w:tblCellMar>
            <w:top w:w="0" w:type="dxa"/>
            <w:left w:w="0" w:type="dxa"/>
            <w:bottom w:w="0" w:type="dxa"/>
            <w:right w:w="0" w:type="dxa"/>
          </w:tblCellMar>
        </w:tblPrEx>
        <w:trPr>
          <w:wBefore w:w="0" w:type="auto"/>
          <w:tblCellSpacing w:w="0" w:type="dxa"/>
        </w:trPr>
        <w:tc>
          <w:tcPr>
            <w:tcW w:w="0" w:type="auto"/>
            <w:noWrap w:val="0"/>
            <w:vAlign w:val="center"/>
          </w:tcPr>
          <w:p w14:paraId="6CD33C86">
            <w:r>
              <w:rPr>
                <w:rStyle w:val="10"/>
                <w:rFonts w:hint="eastAsia"/>
              </w:rPr>
              <w:t>注意事项：</w:t>
            </w:r>
            <w:r>
              <w:rPr>
                <w:rFonts w:hint="eastAsia"/>
              </w:rPr>
              <w:br w:type="textWrapping"/>
            </w:r>
            <w:r>
              <w:rPr>
                <w:rStyle w:val="11"/>
                <w:rFonts w:hint="eastAsia"/>
              </w:rPr>
              <w:t>1. 本品对鸟类、蜜蜂、家蚕有毒，（周围）开花作物花期、蚕室及桑园附近禁用，施药期间应密切关注对附近蜂群的影响；远离水产养殖区、河塘等水体施药，禁止在河塘等水域内清洗施药器具；鸟类保护区禁用，赤眼蜂等天敌放飞区禁用。2. 本品对眼睛有刺激性，使用时避免接触眼睛，穿戴长衣、长裤、帽子、口罩、手套等防护措施。避免皮肤接触及口鼻吸入。使用中不可吸烟、饮水及吃东西，使用后及时清洗手、脸等暴露部位皮肤并更换衣物。3. 建议与其他作用机制不同的杀虫剂轮换使用，以延缓抗药性。4. 用过的容器应妥善处理，不可做他用，也不可随意丢弃。5. 避免孕妇及哺乳期妇女接触本品。</w:t>
            </w:r>
          </w:p>
        </w:tc>
      </w:tr>
      <w:tr w14:paraId="5610E51A">
        <w:tblPrEx>
          <w:tblCellMar>
            <w:top w:w="0" w:type="dxa"/>
            <w:left w:w="0" w:type="dxa"/>
            <w:bottom w:w="0" w:type="dxa"/>
            <w:right w:w="0" w:type="dxa"/>
          </w:tblCellMar>
        </w:tblPrEx>
        <w:trPr>
          <w:wBefore w:w="0" w:type="auto"/>
          <w:tblCellSpacing w:w="0" w:type="dxa"/>
        </w:trPr>
        <w:tc>
          <w:tcPr>
            <w:tcW w:w="0" w:type="auto"/>
            <w:noWrap w:val="0"/>
            <w:vAlign w:val="center"/>
          </w:tcPr>
          <w:p w14:paraId="79B07DA7">
            <w:r>
              <w:rPr>
                <w:rStyle w:val="10"/>
                <w:rFonts w:hint="eastAsia"/>
              </w:rPr>
              <w:t>中毒急救措施：</w:t>
            </w:r>
            <w:r>
              <w:rPr>
                <w:rFonts w:hint="eastAsia"/>
              </w:rPr>
              <w:br w:type="textWrapping"/>
            </w:r>
            <w:r>
              <w:rPr>
                <w:rStyle w:val="11"/>
                <w:rFonts w:hint="eastAsia"/>
              </w:rPr>
              <w:t>中毒症状：本品对眼睛有刺激作用。急救措施：使用中或使用后如果感觉不适，应立即停止工作，采取急救措施，并携带标签送医院就诊。1. 皮肤接触：脱去污染的衣物，用软布去除沾染农药，立即用大量清水和肥皂冲洗；2. 眼睛接触：立即用流动的清水至少冲洗15分钟，仍有不适应立即就医；3. 吸入：立即离开施药现场，转移到空气清新处。4. 如误服，立即停止服用，用清水充分漱口后，立即携带标签到医院对症治疗。</w:t>
            </w:r>
          </w:p>
        </w:tc>
      </w:tr>
      <w:tr w14:paraId="206D1DAA">
        <w:tblPrEx>
          <w:tblCellMar>
            <w:top w:w="0" w:type="dxa"/>
            <w:left w:w="0" w:type="dxa"/>
            <w:bottom w:w="0" w:type="dxa"/>
            <w:right w:w="0" w:type="dxa"/>
          </w:tblCellMar>
        </w:tblPrEx>
        <w:trPr>
          <w:wBefore w:w="0" w:type="auto"/>
          <w:tblCellSpacing w:w="0" w:type="dxa"/>
        </w:trPr>
        <w:tc>
          <w:tcPr>
            <w:tcW w:w="0" w:type="auto"/>
            <w:noWrap w:val="0"/>
            <w:vAlign w:val="center"/>
          </w:tcPr>
          <w:p w14:paraId="4F03B241">
            <w:r>
              <w:rPr>
                <w:rStyle w:val="10"/>
                <w:rFonts w:hint="eastAsia"/>
              </w:rPr>
              <w:t>储存和运输方法：</w:t>
            </w:r>
            <w:r>
              <w:rPr>
                <w:rFonts w:hint="eastAsia"/>
              </w:rPr>
              <w:br w:type="textWrapping"/>
            </w:r>
            <w:r>
              <w:rPr>
                <w:rStyle w:val="11"/>
                <w:rFonts w:hint="eastAsia"/>
              </w:rPr>
              <w:t>本品应贮存在阴凉、干燥、通风、防雨处，远离火源或热源，置于儿童触及不到之处，并加锁；不能与食品、饮料、粮食、饲料等物品同贮同运。装卸运输时注意检查包装是否密封完整，轻拿轻放。</w:t>
            </w:r>
          </w:p>
        </w:tc>
      </w:tr>
      <w:tr w14:paraId="4EE8AC7D">
        <w:tblPrEx>
          <w:tblCellMar>
            <w:top w:w="0" w:type="dxa"/>
            <w:left w:w="0" w:type="dxa"/>
            <w:bottom w:w="0" w:type="dxa"/>
            <w:right w:w="0" w:type="dxa"/>
          </w:tblCellMar>
        </w:tblPrEx>
        <w:trPr>
          <w:wBefore w:w="0" w:type="auto"/>
          <w:tblCellSpacing w:w="0" w:type="dxa"/>
        </w:trPr>
        <w:tc>
          <w:tcPr>
            <w:tcW w:w="0" w:type="auto"/>
            <w:noWrap w:val="0"/>
            <w:vAlign w:val="center"/>
          </w:tcPr>
          <w:p w14:paraId="5604C0E1">
            <w:r>
              <w:rPr>
                <w:rStyle w:val="10"/>
                <w:rFonts w:hint="eastAsia"/>
              </w:rPr>
              <w:t>质量保证期：</w:t>
            </w:r>
            <w:r>
              <w:rPr>
                <w:rStyle w:val="11"/>
                <w:rFonts w:hint="eastAsia"/>
              </w:rPr>
              <w:t>2年</w:t>
            </w:r>
          </w:p>
        </w:tc>
      </w:tr>
      <w:tr w14:paraId="23EE129A">
        <w:tblPrEx>
          <w:tblCellMar>
            <w:top w:w="0" w:type="dxa"/>
            <w:left w:w="0" w:type="dxa"/>
            <w:bottom w:w="0" w:type="dxa"/>
            <w:right w:w="0" w:type="dxa"/>
          </w:tblCellMar>
        </w:tblPrEx>
        <w:trPr>
          <w:wBefore w:w="0" w:type="auto"/>
          <w:tblCellSpacing w:w="0" w:type="dxa"/>
        </w:trPr>
        <w:tc>
          <w:tcPr>
            <w:tcW w:w="0" w:type="auto"/>
            <w:noWrap w:val="0"/>
            <w:vAlign w:val="center"/>
          </w:tcPr>
          <w:p w14:paraId="0558CDFD">
            <w:r>
              <w:rPr>
                <w:rStyle w:val="10"/>
                <w:rFonts w:hint="eastAsia"/>
              </w:rPr>
              <w:t>备注：</w:t>
            </w:r>
            <w:r>
              <w:rPr>
                <w:rFonts w:hint="eastAsia"/>
              </w:rPr>
              <w:br w:type="textWrapping"/>
            </w:r>
            <w:r>
              <w:rPr>
                <w:rStyle w:val="11"/>
                <w:rFonts w:hint="eastAsia"/>
              </w:rPr>
              <w:t>甲氨基阿维菌素苯甲酸盐1%。</w:t>
            </w:r>
          </w:p>
        </w:tc>
      </w:tr>
    </w:tbl>
    <w:p w14:paraId="6189D02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F97224C">
        <w:tblPrEx>
          <w:tblCellMar>
            <w:top w:w="0" w:type="dxa"/>
            <w:left w:w="0" w:type="dxa"/>
            <w:bottom w:w="0" w:type="dxa"/>
            <w:right w:w="0" w:type="dxa"/>
          </w:tblCellMar>
        </w:tblPrEx>
        <w:trPr>
          <w:wBefore w:w="0" w:type="auto"/>
          <w:tblCellSpacing w:w="0" w:type="dxa"/>
        </w:trPr>
        <w:tc>
          <w:tcPr>
            <w:tcW w:w="0" w:type="auto"/>
            <w:noWrap w:val="0"/>
            <w:vAlign w:val="center"/>
          </w:tcPr>
          <w:p w14:paraId="0053CC24">
            <w:r>
              <w:rPr>
                <w:rStyle w:val="10"/>
                <w:rFonts w:hint="eastAsia"/>
              </w:rPr>
              <w:t>登记证号：</w:t>
            </w:r>
            <w:r>
              <w:rPr>
                <w:rFonts w:hint="eastAsia"/>
              </w:rPr>
              <w:t>PD20211797</w:t>
            </w:r>
          </w:p>
        </w:tc>
      </w:tr>
      <w:tr w14:paraId="6D552BF6">
        <w:tblPrEx>
          <w:tblCellMar>
            <w:top w:w="0" w:type="dxa"/>
            <w:left w:w="0" w:type="dxa"/>
            <w:bottom w:w="0" w:type="dxa"/>
            <w:right w:w="0" w:type="dxa"/>
          </w:tblCellMar>
        </w:tblPrEx>
        <w:trPr>
          <w:wBefore w:w="0" w:type="auto"/>
          <w:tblCellSpacing w:w="0" w:type="dxa"/>
        </w:trPr>
        <w:tc>
          <w:tcPr>
            <w:tcW w:w="0" w:type="auto"/>
            <w:noWrap w:val="0"/>
            <w:vAlign w:val="center"/>
          </w:tcPr>
          <w:p w14:paraId="1EA00077">
            <w:r>
              <w:rPr>
                <w:rStyle w:val="10"/>
                <w:rFonts w:hint="eastAsia"/>
              </w:rPr>
              <w:t>登记证持有人：</w:t>
            </w:r>
            <w:r>
              <w:rPr>
                <w:rFonts w:hint="eastAsia"/>
              </w:rPr>
              <w:t>济南约克农化有限公司</w:t>
            </w:r>
          </w:p>
        </w:tc>
      </w:tr>
      <w:tr w14:paraId="4E022310">
        <w:tblPrEx>
          <w:tblCellMar>
            <w:top w:w="0" w:type="dxa"/>
            <w:left w:w="0" w:type="dxa"/>
            <w:bottom w:w="0" w:type="dxa"/>
            <w:right w:w="0" w:type="dxa"/>
          </w:tblCellMar>
        </w:tblPrEx>
        <w:trPr>
          <w:wBefore w:w="0" w:type="auto"/>
          <w:tblCellSpacing w:w="0" w:type="dxa"/>
        </w:trPr>
        <w:tc>
          <w:tcPr>
            <w:tcW w:w="0" w:type="auto"/>
            <w:noWrap w:val="0"/>
            <w:vAlign w:val="center"/>
          </w:tcPr>
          <w:p w14:paraId="4F7B41FF">
            <w:r>
              <w:rPr>
                <w:rStyle w:val="10"/>
                <w:rFonts w:hint="eastAsia"/>
              </w:rPr>
              <w:t>农药名称：</w:t>
            </w:r>
            <w:r>
              <w:rPr>
                <w:rFonts w:hint="eastAsia"/>
              </w:rPr>
              <w:t>噻虫胺</w:t>
            </w:r>
          </w:p>
        </w:tc>
      </w:tr>
      <w:tr w14:paraId="1C48F164">
        <w:tblPrEx>
          <w:tblCellMar>
            <w:top w:w="0" w:type="dxa"/>
            <w:left w:w="0" w:type="dxa"/>
            <w:bottom w:w="0" w:type="dxa"/>
            <w:right w:w="0" w:type="dxa"/>
          </w:tblCellMar>
        </w:tblPrEx>
        <w:trPr>
          <w:wBefore w:w="0" w:type="auto"/>
          <w:tblCellSpacing w:w="0" w:type="dxa"/>
        </w:trPr>
        <w:tc>
          <w:tcPr>
            <w:tcW w:w="0" w:type="auto"/>
            <w:noWrap w:val="0"/>
            <w:vAlign w:val="center"/>
          </w:tcPr>
          <w:p w14:paraId="47408096">
            <w:r>
              <w:rPr>
                <w:rStyle w:val="10"/>
                <w:rFonts w:hint="eastAsia"/>
              </w:rPr>
              <w:t>剂型：</w:t>
            </w:r>
            <w:r>
              <w:rPr>
                <w:rFonts w:hint="eastAsia"/>
              </w:rPr>
              <w:t>颗粒剂</w:t>
            </w:r>
          </w:p>
        </w:tc>
      </w:tr>
      <w:tr w14:paraId="284BCC35">
        <w:tblPrEx>
          <w:tblCellMar>
            <w:top w:w="0" w:type="dxa"/>
            <w:left w:w="0" w:type="dxa"/>
            <w:bottom w:w="0" w:type="dxa"/>
            <w:right w:w="0" w:type="dxa"/>
          </w:tblCellMar>
        </w:tblPrEx>
        <w:trPr>
          <w:wBefore w:w="0" w:type="auto"/>
          <w:tblCellSpacing w:w="0" w:type="dxa"/>
        </w:trPr>
        <w:tc>
          <w:tcPr>
            <w:tcW w:w="0" w:type="auto"/>
            <w:noWrap w:val="0"/>
            <w:vAlign w:val="center"/>
          </w:tcPr>
          <w:p w14:paraId="4A6FF1BE">
            <w:r>
              <w:rPr>
                <w:rStyle w:val="10"/>
                <w:rFonts w:hint="eastAsia"/>
              </w:rPr>
              <w:t>毒性及其标识：</w:t>
            </w:r>
            <w:r>
              <w:rPr>
                <w:rFonts w:hint="eastAsia"/>
              </w:rPr>
              <w:t xml:space="preserve"> 微毒 </w:t>
            </w:r>
          </w:p>
        </w:tc>
      </w:tr>
      <w:tr w14:paraId="79D29DF5">
        <w:tblPrEx>
          <w:tblCellMar>
            <w:top w:w="0" w:type="dxa"/>
            <w:left w:w="0" w:type="dxa"/>
            <w:bottom w:w="0" w:type="dxa"/>
            <w:right w:w="0" w:type="dxa"/>
          </w:tblCellMar>
        </w:tblPrEx>
        <w:trPr>
          <w:wBefore w:w="0" w:type="auto"/>
          <w:tblCellSpacing w:w="0" w:type="dxa"/>
        </w:trPr>
        <w:tc>
          <w:tcPr>
            <w:tcW w:w="0" w:type="auto"/>
            <w:noWrap w:val="0"/>
            <w:vAlign w:val="center"/>
          </w:tcPr>
          <w:p w14:paraId="2698D21A">
            <w:r>
              <w:rPr>
                <w:rStyle w:val="10"/>
                <w:rFonts w:hint="eastAsia"/>
              </w:rPr>
              <w:t>总有效成分含量：</w:t>
            </w:r>
            <w:r>
              <w:rPr>
                <w:rFonts w:hint="eastAsia"/>
              </w:rPr>
              <w:t>0.5%</w:t>
            </w:r>
          </w:p>
        </w:tc>
      </w:tr>
      <w:tr w14:paraId="2154FABF">
        <w:tblPrEx>
          <w:tblCellMar>
            <w:top w:w="0" w:type="dxa"/>
            <w:left w:w="0" w:type="dxa"/>
            <w:bottom w:w="0" w:type="dxa"/>
            <w:right w:w="0" w:type="dxa"/>
          </w:tblCellMar>
        </w:tblPrEx>
        <w:trPr>
          <w:wBefore w:w="0" w:type="auto"/>
          <w:tblCellSpacing w:w="0" w:type="dxa"/>
        </w:trPr>
        <w:tc>
          <w:tcPr>
            <w:tcW w:w="0" w:type="auto"/>
            <w:noWrap w:val="0"/>
            <w:vAlign w:val="center"/>
          </w:tcPr>
          <w:p w14:paraId="40053AA9">
            <w:r>
              <w:rPr>
                <w:rFonts w:hint="eastAsia"/>
              </w:rPr>
              <w:t xml:space="preserve">有效成分及其含量： </w:t>
            </w:r>
          </w:p>
          <w:p w14:paraId="71851504">
            <w:r>
              <w:rPr>
                <w:rFonts w:hint="eastAsia"/>
              </w:rPr>
              <w:t xml:space="preserve">    噻虫胺0.5%    </w:t>
            </w:r>
          </w:p>
        </w:tc>
      </w:tr>
      <w:tr w14:paraId="568E4F8F">
        <w:tblPrEx>
          <w:tblCellMar>
            <w:top w:w="0" w:type="dxa"/>
            <w:left w:w="0" w:type="dxa"/>
            <w:bottom w:w="0" w:type="dxa"/>
            <w:right w:w="0" w:type="dxa"/>
          </w:tblCellMar>
        </w:tblPrEx>
        <w:trPr>
          <w:wBefore w:w="0" w:type="auto"/>
          <w:tblCellSpacing w:w="0" w:type="dxa"/>
        </w:trPr>
        <w:tc>
          <w:tcPr>
            <w:tcW w:w="0" w:type="auto"/>
            <w:noWrap w:val="0"/>
            <w:vAlign w:val="center"/>
          </w:tcPr>
          <w:p w14:paraId="40AC246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53AB9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3693CD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FCED0E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3ED28A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03BB598">
                  <w:r>
                    <w:rPr>
                      <w:rStyle w:val="11"/>
                      <w:rFonts w:hint="eastAsia"/>
                    </w:rPr>
                    <w:t>施用方式</w:t>
                  </w:r>
                </w:p>
              </w:tc>
            </w:tr>
            <w:tr w14:paraId="149163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DD8FC53">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9C7532">
                  <w:r>
                    <w:rPr>
                      <w:rStyle w:val="11"/>
                      <w:rFonts w:hint="eastAsia"/>
                    </w:rPr>
                    <w:t>蔗龟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0FBD3B">
                  <w:r>
                    <w:rPr>
                      <w:rStyle w:val="11"/>
                      <w:rFonts w:hint="eastAsia"/>
                    </w:rPr>
                    <w:t>2000-3000克/亩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25DE7F">
                  <w:r>
                    <w:rPr>
                      <w:rStyle w:val="11"/>
                      <w:rFonts w:hint="eastAsia"/>
                    </w:rPr>
                    <w:t>沟施</w:t>
                  </w:r>
                </w:p>
              </w:tc>
            </w:tr>
          </w:tbl>
          <w:p w14:paraId="16871AD6">
            <w:pPr>
              <w:rPr>
                <w:rFonts w:ascii="Times New Roman" w:hAnsi="Times New Roman" w:cs="Times New Roman"/>
                <w:sz w:val="20"/>
                <w:szCs w:val="20"/>
              </w:rPr>
            </w:pPr>
          </w:p>
        </w:tc>
      </w:tr>
      <w:tr w14:paraId="1C54F391">
        <w:tblPrEx>
          <w:tblCellMar>
            <w:top w:w="0" w:type="dxa"/>
            <w:left w:w="0" w:type="dxa"/>
            <w:bottom w:w="0" w:type="dxa"/>
            <w:right w:w="0" w:type="dxa"/>
          </w:tblCellMar>
        </w:tblPrEx>
        <w:trPr>
          <w:wBefore w:w="0" w:type="auto"/>
          <w:tblCellSpacing w:w="0" w:type="dxa"/>
        </w:trPr>
        <w:tc>
          <w:tcPr>
            <w:tcW w:w="0" w:type="auto"/>
            <w:noWrap w:val="0"/>
            <w:vAlign w:val="center"/>
          </w:tcPr>
          <w:p w14:paraId="4ECBB48B">
            <w:r>
              <w:rPr>
                <w:rStyle w:val="10"/>
                <w:rFonts w:hint="eastAsia"/>
              </w:rPr>
              <w:t>使用技术要求:</w:t>
            </w:r>
            <w:r>
              <w:rPr>
                <w:rFonts w:hint="eastAsia"/>
              </w:rPr>
              <w:br w:type="textWrapping"/>
            </w:r>
            <w:r>
              <w:rPr>
                <w:rStyle w:val="11"/>
                <w:rFonts w:hint="eastAsia"/>
              </w:rPr>
              <w:t>1.本品在甘蔗上每季使用1次。 2.在甘蔗下种或培土时施药，将药剂按40千克/亩的标准补足细土，混合均匀，施于甘蔗附近的植沟，然后覆土。 3.大风天或预计1小时内有大雨，请勿施药。</w:t>
            </w:r>
          </w:p>
        </w:tc>
      </w:tr>
      <w:tr w14:paraId="32B8EA76">
        <w:tblPrEx>
          <w:tblCellMar>
            <w:top w:w="0" w:type="dxa"/>
            <w:left w:w="0" w:type="dxa"/>
            <w:bottom w:w="0" w:type="dxa"/>
            <w:right w:w="0" w:type="dxa"/>
          </w:tblCellMar>
        </w:tblPrEx>
        <w:trPr>
          <w:wBefore w:w="0" w:type="auto"/>
          <w:tblCellSpacing w:w="0" w:type="dxa"/>
        </w:trPr>
        <w:tc>
          <w:tcPr>
            <w:tcW w:w="0" w:type="auto"/>
            <w:noWrap w:val="0"/>
            <w:vAlign w:val="center"/>
          </w:tcPr>
          <w:p w14:paraId="5842DF2C">
            <w:r>
              <w:rPr>
                <w:rStyle w:val="10"/>
                <w:rFonts w:hint="eastAsia"/>
              </w:rPr>
              <w:t>产品性能:</w:t>
            </w:r>
            <w:r>
              <w:rPr>
                <w:rFonts w:hint="eastAsia"/>
              </w:rPr>
              <w:br w:type="textWrapping"/>
            </w:r>
            <w:r>
              <w:rPr>
                <w:rStyle w:val="11"/>
                <w:rFonts w:hint="eastAsia"/>
              </w:rPr>
              <w:t>噻虫胺为新烟碱类杀虫剂，烟碱乙酰胆碱受体拮抗体，可影响昆虫中枢神经系统的突触，具有触杀、胃毒和根部内吸活性。对甘蔗蔗龟有良好的防效。</w:t>
            </w:r>
          </w:p>
        </w:tc>
      </w:tr>
      <w:tr w14:paraId="7C9BDFE7">
        <w:tblPrEx>
          <w:tblCellMar>
            <w:top w:w="0" w:type="dxa"/>
            <w:left w:w="0" w:type="dxa"/>
            <w:bottom w:w="0" w:type="dxa"/>
            <w:right w:w="0" w:type="dxa"/>
          </w:tblCellMar>
        </w:tblPrEx>
        <w:trPr>
          <w:wBefore w:w="0" w:type="auto"/>
          <w:tblCellSpacing w:w="0" w:type="dxa"/>
        </w:trPr>
        <w:tc>
          <w:tcPr>
            <w:tcW w:w="0" w:type="auto"/>
            <w:noWrap w:val="0"/>
            <w:vAlign w:val="center"/>
          </w:tcPr>
          <w:p w14:paraId="032F5861">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 2.远离水产养殖区、河塘等水体施药，禁止在河塘等水体中清洗施药器具。3.（周围）开花植物花期禁用，使用期间应密切关注对附近蜂群的影响；鸟类保护区附近禁用。4.本品不可与碱性物质混用。建议与其他作用机制不同的杀虫剂轮换使用，以延缓抗性产生。 5.用过的容器应妥善处理，不可以做他用，也不可随意丢弃。 6. 孕妇及哺乳期妇女禁止接触本品。</w:t>
            </w:r>
          </w:p>
        </w:tc>
      </w:tr>
      <w:tr w14:paraId="3932C754">
        <w:tblPrEx>
          <w:tblCellMar>
            <w:top w:w="0" w:type="dxa"/>
            <w:left w:w="0" w:type="dxa"/>
            <w:bottom w:w="0" w:type="dxa"/>
            <w:right w:w="0" w:type="dxa"/>
          </w:tblCellMar>
        </w:tblPrEx>
        <w:trPr>
          <w:wBefore w:w="0" w:type="auto"/>
          <w:tblCellSpacing w:w="0" w:type="dxa"/>
        </w:trPr>
        <w:tc>
          <w:tcPr>
            <w:tcW w:w="0" w:type="auto"/>
            <w:noWrap w:val="0"/>
            <w:vAlign w:val="center"/>
          </w:tcPr>
          <w:p w14:paraId="150D456C">
            <w:r>
              <w:rPr>
                <w:rStyle w:val="10"/>
                <w:rFonts w:hint="eastAsia"/>
              </w:rPr>
              <w:t>中毒急救措施：</w:t>
            </w:r>
            <w:r>
              <w:rPr>
                <w:rFonts w:hint="eastAsia"/>
              </w:rPr>
              <w:br w:type="textWrapping"/>
            </w:r>
            <w:r>
              <w:rPr>
                <w:rStyle w:val="11"/>
                <w:rFonts w:hint="eastAsia"/>
              </w:rPr>
              <w:t>本品对眼睛有刺激性。急救措施：1.用药时如果感觉不适，立即停止工作，采取急救，并携此标签送医就诊。 2.皮肤接触：立即脱掉被污染的衣物，用肥皂和大量清水彻底清洗受污染的皮肤。必要时请医生诊治。 3.眼睛溅药：用清水冲洗至少15分钟，再请医生诊治。 4.发生吸入：立即将吸入者转移到空气新鲜处。如果停止呼吸，需进行人工呼吸。 5.发生误服，立即停止服用，用清水充分漱口后，立即携带农药标签送医院就诊。本品无特殊解毒药剂，对症治疗。大量吞服时可洗胃，不能催吐。</w:t>
            </w:r>
          </w:p>
        </w:tc>
      </w:tr>
      <w:tr w14:paraId="385CC142">
        <w:tblPrEx>
          <w:tblCellMar>
            <w:top w:w="0" w:type="dxa"/>
            <w:left w:w="0" w:type="dxa"/>
            <w:bottom w:w="0" w:type="dxa"/>
            <w:right w:w="0" w:type="dxa"/>
          </w:tblCellMar>
        </w:tblPrEx>
        <w:trPr>
          <w:wBefore w:w="0" w:type="auto"/>
          <w:tblCellSpacing w:w="0" w:type="dxa"/>
        </w:trPr>
        <w:tc>
          <w:tcPr>
            <w:tcW w:w="0" w:type="auto"/>
            <w:noWrap w:val="0"/>
            <w:vAlign w:val="center"/>
          </w:tcPr>
          <w:p w14:paraId="045C92A8">
            <w:r>
              <w:rPr>
                <w:rStyle w:val="10"/>
                <w:rFonts w:hint="eastAsia"/>
              </w:rPr>
              <w:t>储存和运输方法：</w:t>
            </w:r>
            <w:r>
              <w:rPr>
                <w:rFonts w:hint="eastAsia"/>
              </w:rPr>
              <w:br w:type="textWrapping"/>
            </w:r>
            <w:r>
              <w:rPr>
                <w:rStyle w:val="11"/>
                <w:rFonts w:hint="eastAsia"/>
              </w:rPr>
              <w:t>本品应贮存于阴凉、通风、干燥、防雨处，远离火源、热源。放置于小孩接触不到的地方，并加锁保存。不能与食品、粮食、饮料、饲料等混合储存。</w:t>
            </w:r>
          </w:p>
        </w:tc>
      </w:tr>
      <w:tr w14:paraId="5B1B43EA">
        <w:tblPrEx>
          <w:tblCellMar>
            <w:top w:w="0" w:type="dxa"/>
            <w:left w:w="0" w:type="dxa"/>
            <w:bottom w:w="0" w:type="dxa"/>
            <w:right w:w="0" w:type="dxa"/>
          </w:tblCellMar>
        </w:tblPrEx>
        <w:trPr>
          <w:wBefore w:w="0" w:type="auto"/>
          <w:tblCellSpacing w:w="0" w:type="dxa"/>
        </w:trPr>
        <w:tc>
          <w:tcPr>
            <w:tcW w:w="0" w:type="auto"/>
            <w:noWrap w:val="0"/>
            <w:vAlign w:val="center"/>
          </w:tcPr>
          <w:p w14:paraId="3F1D8FA2">
            <w:r>
              <w:rPr>
                <w:rStyle w:val="10"/>
                <w:rFonts w:hint="eastAsia"/>
              </w:rPr>
              <w:t>质量保证期：</w:t>
            </w:r>
            <w:r>
              <w:rPr>
                <w:rStyle w:val="11"/>
                <w:rFonts w:hint="eastAsia"/>
              </w:rPr>
              <w:t>2年</w:t>
            </w:r>
          </w:p>
        </w:tc>
      </w:tr>
      <w:tr w14:paraId="482BE39E">
        <w:tblPrEx>
          <w:tblCellMar>
            <w:top w:w="0" w:type="dxa"/>
            <w:left w:w="0" w:type="dxa"/>
            <w:bottom w:w="0" w:type="dxa"/>
            <w:right w:w="0" w:type="dxa"/>
          </w:tblCellMar>
        </w:tblPrEx>
        <w:trPr>
          <w:wBefore w:w="0" w:type="auto"/>
          <w:tblCellSpacing w:w="0" w:type="dxa"/>
        </w:trPr>
        <w:tc>
          <w:tcPr>
            <w:tcW w:w="0" w:type="auto"/>
            <w:noWrap w:val="0"/>
            <w:vAlign w:val="center"/>
          </w:tcPr>
          <w:p w14:paraId="4DF801C1">
            <w:r>
              <w:rPr>
                <w:rStyle w:val="10"/>
                <w:rFonts w:hint="eastAsia"/>
              </w:rPr>
              <w:t>备注：</w:t>
            </w:r>
          </w:p>
        </w:tc>
      </w:tr>
    </w:tbl>
    <w:p w14:paraId="3E77455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EF9E182">
        <w:tblPrEx>
          <w:tblCellMar>
            <w:top w:w="0" w:type="dxa"/>
            <w:left w:w="0" w:type="dxa"/>
            <w:bottom w:w="0" w:type="dxa"/>
            <w:right w:w="0" w:type="dxa"/>
          </w:tblCellMar>
        </w:tblPrEx>
        <w:trPr>
          <w:wBefore w:w="0" w:type="auto"/>
          <w:tblCellSpacing w:w="0" w:type="dxa"/>
        </w:trPr>
        <w:tc>
          <w:tcPr>
            <w:tcW w:w="0" w:type="auto"/>
            <w:noWrap w:val="0"/>
            <w:vAlign w:val="center"/>
          </w:tcPr>
          <w:p w14:paraId="29E61FC5">
            <w:r>
              <w:rPr>
                <w:rStyle w:val="10"/>
                <w:rFonts w:hint="eastAsia"/>
              </w:rPr>
              <w:t>登记证号：</w:t>
            </w:r>
            <w:r>
              <w:rPr>
                <w:rFonts w:hint="eastAsia"/>
              </w:rPr>
              <w:t>PD20211848</w:t>
            </w:r>
          </w:p>
        </w:tc>
      </w:tr>
      <w:tr w14:paraId="6299FD05">
        <w:tblPrEx>
          <w:tblCellMar>
            <w:top w:w="0" w:type="dxa"/>
            <w:left w:w="0" w:type="dxa"/>
            <w:bottom w:w="0" w:type="dxa"/>
            <w:right w:w="0" w:type="dxa"/>
          </w:tblCellMar>
        </w:tblPrEx>
        <w:trPr>
          <w:wBefore w:w="0" w:type="auto"/>
          <w:tblCellSpacing w:w="0" w:type="dxa"/>
        </w:trPr>
        <w:tc>
          <w:tcPr>
            <w:tcW w:w="0" w:type="auto"/>
            <w:noWrap w:val="0"/>
            <w:vAlign w:val="center"/>
          </w:tcPr>
          <w:p w14:paraId="33886EF2">
            <w:r>
              <w:rPr>
                <w:rStyle w:val="10"/>
                <w:rFonts w:hint="eastAsia"/>
              </w:rPr>
              <w:t>登记证持有人：</w:t>
            </w:r>
            <w:r>
              <w:rPr>
                <w:rFonts w:hint="eastAsia"/>
              </w:rPr>
              <w:t>江西中迅农化有限公司</w:t>
            </w:r>
          </w:p>
        </w:tc>
      </w:tr>
      <w:tr w14:paraId="3D6C6E4E">
        <w:tblPrEx>
          <w:tblCellMar>
            <w:top w:w="0" w:type="dxa"/>
            <w:left w:w="0" w:type="dxa"/>
            <w:bottom w:w="0" w:type="dxa"/>
            <w:right w:w="0" w:type="dxa"/>
          </w:tblCellMar>
        </w:tblPrEx>
        <w:trPr>
          <w:wBefore w:w="0" w:type="auto"/>
          <w:tblCellSpacing w:w="0" w:type="dxa"/>
        </w:trPr>
        <w:tc>
          <w:tcPr>
            <w:tcW w:w="0" w:type="auto"/>
            <w:noWrap w:val="0"/>
            <w:vAlign w:val="center"/>
          </w:tcPr>
          <w:p w14:paraId="67EF14AA">
            <w:r>
              <w:rPr>
                <w:rStyle w:val="10"/>
                <w:rFonts w:hint="eastAsia"/>
              </w:rPr>
              <w:t>农药名称：</w:t>
            </w:r>
            <w:r>
              <w:rPr>
                <w:rFonts w:hint="eastAsia"/>
              </w:rPr>
              <w:t>氯虫·噻虫胺</w:t>
            </w:r>
          </w:p>
        </w:tc>
      </w:tr>
      <w:tr w14:paraId="04CC0A67">
        <w:tblPrEx>
          <w:tblCellMar>
            <w:top w:w="0" w:type="dxa"/>
            <w:left w:w="0" w:type="dxa"/>
            <w:bottom w:w="0" w:type="dxa"/>
            <w:right w:w="0" w:type="dxa"/>
          </w:tblCellMar>
        </w:tblPrEx>
        <w:trPr>
          <w:wBefore w:w="0" w:type="auto"/>
          <w:tblCellSpacing w:w="0" w:type="dxa"/>
        </w:trPr>
        <w:tc>
          <w:tcPr>
            <w:tcW w:w="0" w:type="auto"/>
            <w:noWrap w:val="0"/>
            <w:vAlign w:val="center"/>
          </w:tcPr>
          <w:p w14:paraId="50A1D968">
            <w:r>
              <w:rPr>
                <w:rStyle w:val="10"/>
                <w:rFonts w:hint="eastAsia"/>
              </w:rPr>
              <w:t>剂型：</w:t>
            </w:r>
            <w:r>
              <w:rPr>
                <w:rFonts w:hint="eastAsia"/>
              </w:rPr>
              <w:t>种子处理悬浮剂</w:t>
            </w:r>
          </w:p>
        </w:tc>
      </w:tr>
      <w:tr w14:paraId="69ACF293">
        <w:tblPrEx>
          <w:tblCellMar>
            <w:top w:w="0" w:type="dxa"/>
            <w:left w:w="0" w:type="dxa"/>
            <w:bottom w:w="0" w:type="dxa"/>
            <w:right w:w="0" w:type="dxa"/>
          </w:tblCellMar>
        </w:tblPrEx>
        <w:trPr>
          <w:wBefore w:w="0" w:type="auto"/>
          <w:tblCellSpacing w:w="0" w:type="dxa"/>
        </w:trPr>
        <w:tc>
          <w:tcPr>
            <w:tcW w:w="0" w:type="auto"/>
            <w:noWrap w:val="0"/>
            <w:vAlign w:val="center"/>
          </w:tcPr>
          <w:p w14:paraId="020B4A63">
            <w:r>
              <w:rPr>
                <w:rStyle w:val="10"/>
                <w:rFonts w:hint="eastAsia"/>
              </w:rPr>
              <w:t>毒性及其标识：</w:t>
            </w:r>
            <w:r>
              <w:rPr>
                <w:rFonts w:hint="eastAsia"/>
              </w:rPr>
              <w:t xml:space="preserve"> </w:t>
            </w:r>
            <w:r>
              <w:rPr>
                <w:lang/>
              </w:rPr>
              <w:drawing>
                <wp:inline distT="0" distB="0" distL="114300" distR="114300">
                  <wp:extent cx="476250" cy="323850"/>
                  <wp:effectExtent l="0" t="0" r="0" b="0"/>
                  <wp:docPr id="427" name="图片 42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47ECEB6">
        <w:tblPrEx>
          <w:tblCellMar>
            <w:top w:w="0" w:type="dxa"/>
            <w:left w:w="0" w:type="dxa"/>
            <w:bottom w:w="0" w:type="dxa"/>
            <w:right w:w="0" w:type="dxa"/>
          </w:tblCellMar>
        </w:tblPrEx>
        <w:trPr>
          <w:wBefore w:w="0" w:type="auto"/>
          <w:tblCellSpacing w:w="0" w:type="dxa"/>
        </w:trPr>
        <w:tc>
          <w:tcPr>
            <w:tcW w:w="0" w:type="auto"/>
            <w:noWrap w:val="0"/>
            <w:vAlign w:val="center"/>
          </w:tcPr>
          <w:p w14:paraId="53EB0642">
            <w:r>
              <w:rPr>
                <w:rStyle w:val="10"/>
                <w:rFonts w:hint="eastAsia"/>
              </w:rPr>
              <w:t>总有效成分含量：</w:t>
            </w:r>
            <w:r>
              <w:rPr>
                <w:rFonts w:hint="eastAsia"/>
              </w:rPr>
              <w:t>45%</w:t>
            </w:r>
          </w:p>
        </w:tc>
      </w:tr>
      <w:tr w14:paraId="0577B412">
        <w:tblPrEx>
          <w:tblCellMar>
            <w:top w:w="0" w:type="dxa"/>
            <w:left w:w="0" w:type="dxa"/>
            <w:bottom w:w="0" w:type="dxa"/>
            <w:right w:w="0" w:type="dxa"/>
          </w:tblCellMar>
        </w:tblPrEx>
        <w:trPr>
          <w:wBefore w:w="0" w:type="auto"/>
          <w:tblCellSpacing w:w="0" w:type="dxa"/>
        </w:trPr>
        <w:tc>
          <w:tcPr>
            <w:tcW w:w="0" w:type="auto"/>
            <w:noWrap w:val="0"/>
            <w:vAlign w:val="center"/>
          </w:tcPr>
          <w:p w14:paraId="565F9DC1">
            <w:r>
              <w:rPr>
                <w:rFonts w:hint="eastAsia"/>
              </w:rPr>
              <w:t xml:space="preserve">有效成分及其含量： </w:t>
            </w:r>
          </w:p>
          <w:p w14:paraId="41C68AC4">
            <w:r>
              <w:rPr>
                <w:rFonts w:hint="eastAsia"/>
              </w:rPr>
              <w:t xml:space="preserve">    噻虫胺18%    氯虫苯甲酰胺27%    </w:t>
            </w:r>
          </w:p>
        </w:tc>
      </w:tr>
      <w:tr w14:paraId="6FA1C0A0">
        <w:tblPrEx>
          <w:tblCellMar>
            <w:top w:w="0" w:type="dxa"/>
            <w:left w:w="0" w:type="dxa"/>
            <w:bottom w:w="0" w:type="dxa"/>
            <w:right w:w="0" w:type="dxa"/>
          </w:tblCellMar>
        </w:tblPrEx>
        <w:trPr>
          <w:wBefore w:w="0" w:type="auto"/>
          <w:tblCellSpacing w:w="0" w:type="dxa"/>
        </w:trPr>
        <w:tc>
          <w:tcPr>
            <w:tcW w:w="0" w:type="auto"/>
            <w:noWrap w:val="0"/>
            <w:vAlign w:val="center"/>
          </w:tcPr>
          <w:p w14:paraId="2A8D923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4DFB9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C16DB0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6F92AF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18C5C9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500BCB">
                  <w:r>
                    <w:rPr>
                      <w:rStyle w:val="11"/>
                      <w:rFonts w:hint="eastAsia"/>
                    </w:rPr>
                    <w:t>施用方式</w:t>
                  </w:r>
                </w:p>
              </w:tc>
            </w:tr>
            <w:tr w14:paraId="6B19C9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CB1F5B3">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B27816">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4DFC62">
                  <w:r>
                    <w:rPr>
                      <w:rStyle w:val="11"/>
                      <w:rFonts w:hint="eastAsia"/>
                    </w:rPr>
                    <w:t>600-800毫升/100千克种子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BA2E00">
                  <w:r>
                    <w:rPr>
                      <w:rStyle w:val="11"/>
                      <w:rFonts w:hint="eastAsia"/>
                    </w:rPr>
                    <w:t>拌种</w:t>
                  </w:r>
                </w:p>
              </w:tc>
            </w:tr>
          </w:tbl>
          <w:p w14:paraId="24B7753E">
            <w:pPr>
              <w:rPr>
                <w:rFonts w:ascii="Times New Roman" w:hAnsi="Times New Roman" w:cs="Times New Roman"/>
                <w:sz w:val="20"/>
                <w:szCs w:val="20"/>
              </w:rPr>
            </w:pPr>
          </w:p>
        </w:tc>
      </w:tr>
      <w:tr w14:paraId="47674145">
        <w:tblPrEx>
          <w:tblCellMar>
            <w:top w:w="0" w:type="dxa"/>
            <w:left w:w="0" w:type="dxa"/>
            <w:bottom w:w="0" w:type="dxa"/>
            <w:right w:w="0" w:type="dxa"/>
          </w:tblCellMar>
        </w:tblPrEx>
        <w:trPr>
          <w:wBefore w:w="0" w:type="auto"/>
          <w:tblCellSpacing w:w="0" w:type="dxa"/>
        </w:trPr>
        <w:tc>
          <w:tcPr>
            <w:tcW w:w="0" w:type="auto"/>
            <w:noWrap w:val="0"/>
            <w:vAlign w:val="center"/>
          </w:tcPr>
          <w:p w14:paraId="2E21CB7E">
            <w:r>
              <w:rPr>
                <w:rStyle w:val="10"/>
                <w:rFonts w:hint="eastAsia"/>
              </w:rPr>
              <w:t>使用技术要求:</w:t>
            </w:r>
            <w:r>
              <w:rPr>
                <w:rFonts w:hint="eastAsia"/>
              </w:rPr>
              <w:br w:type="textWrapping"/>
            </w:r>
            <w:r>
              <w:rPr>
                <w:rStyle w:val="11"/>
                <w:rFonts w:hint="eastAsia"/>
              </w:rPr>
              <w:t>1. 花生播种前，按推荐用药量，将药剂加少量水稀释，每千克种子用药液量以20毫升为宜，使药剂均匀附着在种子表面，晾干后即可播种。 2. 配好的药液应在24小时内使用。</w:t>
            </w:r>
          </w:p>
        </w:tc>
      </w:tr>
      <w:tr w14:paraId="6B2DE7A4">
        <w:tblPrEx>
          <w:tblCellMar>
            <w:top w:w="0" w:type="dxa"/>
            <w:left w:w="0" w:type="dxa"/>
            <w:bottom w:w="0" w:type="dxa"/>
            <w:right w:w="0" w:type="dxa"/>
          </w:tblCellMar>
        </w:tblPrEx>
        <w:trPr>
          <w:wBefore w:w="0" w:type="auto"/>
          <w:tblCellSpacing w:w="0" w:type="dxa"/>
        </w:trPr>
        <w:tc>
          <w:tcPr>
            <w:tcW w:w="0" w:type="auto"/>
            <w:noWrap w:val="0"/>
            <w:vAlign w:val="center"/>
          </w:tcPr>
          <w:p w14:paraId="652CAE05">
            <w:r>
              <w:rPr>
                <w:rStyle w:val="10"/>
                <w:rFonts w:hint="eastAsia"/>
              </w:rPr>
              <w:t>产品性能:</w:t>
            </w:r>
            <w:r>
              <w:rPr>
                <w:rFonts w:hint="eastAsia"/>
              </w:rPr>
              <w:br w:type="textWrapping"/>
            </w:r>
            <w:r>
              <w:rPr>
                <w:rStyle w:val="11"/>
                <w:rFonts w:hint="eastAsia"/>
              </w:rPr>
              <w:t>本品是由氯虫苯甲酰胺和噻虫胺混配而成的种衣剂，具有触杀、胃毒和根部内吸作用。可有效防治花生蛴螬。</w:t>
            </w:r>
          </w:p>
        </w:tc>
      </w:tr>
      <w:tr w14:paraId="3A94D2EB">
        <w:tblPrEx>
          <w:tblCellMar>
            <w:top w:w="0" w:type="dxa"/>
            <w:left w:w="0" w:type="dxa"/>
            <w:bottom w:w="0" w:type="dxa"/>
            <w:right w:w="0" w:type="dxa"/>
          </w:tblCellMar>
        </w:tblPrEx>
        <w:trPr>
          <w:wBefore w:w="0" w:type="auto"/>
          <w:tblCellSpacing w:w="0" w:type="dxa"/>
        </w:trPr>
        <w:tc>
          <w:tcPr>
            <w:tcW w:w="0" w:type="auto"/>
            <w:noWrap w:val="0"/>
            <w:vAlign w:val="center"/>
          </w:tcPr>
          <w:p w14:paraId="76B2D403">
            <w:r>
              <w:rPr>
                <w:rStyle w:val="10"/>
                <w:rFonts w:hint="eastAsia"/>
              </w:rPr>
              <w:t>注意事项：</w:t>
            </w:r>
            <w:r>
              <w:rPr>
                <w:rFonts w:hint="eastAsia"/>
              </w:rPr>
              <w:br w:type="textWrapping"/>
            </w:r>
            <w:r>
              <w:rPr>
                <w:rStyle w:val="11"/>
                <w:rFonts w:hint="eastAsia"/>
              </w:rPr>
              <w:t>1. 请按照农药安全使用准则使用本品。在种子处理过程中，避免药液接触皮肤、眼睛和污染衣物，避免吸入药液。切勿在施药现场抽烟或饮食。在饮水、进食和抽烟前，应先洗手、洗脸。2.本品对眼睛有刺激性，使用时避免接触眼睛。 配药和种子处理应在通风处进行，操作人员应戴口罩，防渗手套，穿长袖衣、长裤和靴子等防护用具。3. 种子处理结束后，彻底清洗防护用具，洗澡，并更换和清洗工作服。4. 处理过的种子必须放置在有明显标签的容器内。勿与食物、饲料放在一起，不得饲喂禽畜，更不得用来加工饲料或食品。5. 应远离水产养殖区、河塘等水体施药，禁止在河塘等水体中清洗施药用具，清洗施药器具的水也不能排入河塘等水体。6. 施药期间应避免对周围蜂群的影响，（周围）开花植物花期禁用；播种后应立即覆土，鸟类保护区禁用。7. 废弃物应妥善处理，不可做他用，也不可随意丢弃。8. 孕妇及哺乳期妇女禁止接触本品。</w:t>
            </w:r>
          </w:p>
        </w:tc>
      </w:tr>
      <w:tr w14:paraId="01FBFB99">
        <w:tblPrEx>
          <w:tblCellMar>
            <w:top w:w="0" w:type="dxa"/>
            <w:left w:w="0" w:type="dxa"/>
            <w:bottom w:w="0" w:type="dxa"/>
            <w:right w:w="0" w:type="dxa"/>
          </w:tblCellMar>
        </w:tblPrEx>
        <w:trPr>
          <w:wBefore w:w="0" w:type="auto"/>
          <w:tblCellSpacing w:w="0" w:type="dxa"/>
        </w:trPr>
        <w:tc>
          <w:tcPr>
            <w:tcW w:w="0" w:type="auto"/>
            <w:noWrap w:val="0"/>
            <w:vAlign w:val="center"/>
          </w:tcPr>
          <w:p w14:paraId="60597A1A">
            <w:r>
              <w:rPr>
                <w:rStyle w:val="10"/>
                <w:rFonts w:hint="eastAsia"/>
              </w:rPr>
              <w:t>中毒急救措施：</w:t>
            </w:r>
            <w:r>
              <w:rPr>
                <w:rFonts w:hint="eastAsia"/>
              </w:rPr>
              <w:br w:type="textWrapping"/>
            </w:r>
            <w:r>
              <w:rPr>
                <w:rStyle w:val="11"/>
                <w:rFonts w:hint="eastAsia"/>
              </w:rPr>
              <w:t>使用中或使用后若感觉不适，立即停止工作，采取急救措施。不慎接触皮肤或溅入眼睛，应用大量清水冲洗；误服，不能催吐，应立即携标签送医院对症治疗。</w:t>
            </w:r>
          </w:p>
        </w:tc>
      </w:tr>
      <w:tr w14:paraId="69C4A577">
        <w:tblPrEx>
          <w:tblCellMar>
            <w:top w:w="0" w:type="dxa"/>
            <w:left w:w="0" w:type="dxa"/>
            <w:bottom w:w="0" w:type="dxa"/>
            <w:right w:w="0" w:type="dxa"/>
          </w:tblCellMar>
        </w:tblPrEx>
        <w:trPr>
          <w:wBefore w:w="0" w:type="auto"/>
          <w:tblCellSpacing w:w="0" w:type="dxa"/>
        </w:trPr>
        <w:tc>
          <w:tcPr>
            <w:tcW w:w="0" w:type="auto"/>
            <w:noWrap w:val="0"/>
            <w:vAlign w:val="center"/>
          </w:tcPr>
          <w:p w14:paraId="49675EB8">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本品应贮存在干燥、阴凉、通风、防雨处，远离火源或热源。置于儿童、无关人员触及不到之处，并加锁。勿与食品、饮料、饲料、粮食等同贮同运。</w:t>
            </w:r>
          </w:p>
        </w:tc>
      </w:tr>
      <w:tr w14:paraId="368ABE93">
        <w:tblPrEx>
          <w:tblCellMar>
            <w:top w:w="0" w:type="dxa"/>
            <w:left w:w="0" w:type="dxa"/>
            <w:bottom w:w="0" w:type="dxa"/>
            <w:right w:w="0" w:type="dxa"/>
          </w:tblCellMar>
        </w:tblPrEx>
        <w:trPr>
          <w:wBefore w:w="0" w:type="auto"/>
          <w:tblCellSpacing w:w="0" w:type="dxa"/>
        </w:trPr>
        <w:tc>
          <w:tcPr>
            <w:tcW w:w="0" w:type="auto"/>
            <w:noWrap w:val="0"/>
            <w:vAlign w:val="center"/>
          </w:tcPr>
          <w:p w14:paraId="35C89DCE">
            <w:r>
              <w:rPr>
                <w:rStyle w:val="10"/>
                <w:rFonts w:hint="eastAsia"/>
              </w:rPr>
              <w:t>质量保证期：</w:t>
            </w:r>
            <w:r>
              <w:rPr>
                <w:rStyle w:val="11"/>
                <w:rFonts w:hint="eastAsia"/>
              </w:rPr>
              <w:t>2年</w:t>
            </w:r>
          </w:p>
        </w:tc>
      </w:tr>
      <w:tr w14:paraId="6CAA5272">
        <w:tblPrEx>
          <w:tblCellMar>
            <w:top w:w="0" w:type="dxa"/>
            <w:left w:w="0" w:type="dxa"/>
            <w:bottom w:w="0" w:type="dxa"/>
            <w:right w:w="0" w:type="dxa"/>
          </w:tblCellMar>
        </w:tblPrEx>
        <w:trPr>
          <w:wBefore w:w="0" w:type="auto"/>
          <w:tblCellSpacing w:w="0" w:type="dxa"/>
        </w:trPr>
        <w:tc>
          <w:tcPr>
            <w:tcW w:w="0" w:type="auto"/>
            <w:noWrap w:val="0"/>
            <w:vAlign w:val="center"/>
          </w:tcPr>
          <w:p w14:paraId="71D19452">
            <w:r>
              <w:rPr>
                <w:rStyle w:val="10"/>
                <w:rFonts w:hint="eastAsia"/>
              </w:rPr>
              <w:t>备注：</w:t>
            </w:r>
          </w:p>
        </w:tc>
      </w:tr>
    </w:tbl>
    <w:p w14:paraId="01406FC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C3E886">
        <w:tblPrEx>
          <w:tblCellMar>
            <w:top w:w="0" w:type="dxa"/>
            <w:left w:w="0" w:type="dxa"/>
            <w:bottom w:w="0" w:type="dxa"/>
            <w:right w:w="0" w:type="dxa"/>
          </w:tblCellMar>
        </w:tblPrEx>
        <w:trPr>
          <w:wBefore w:w="0" w:type="auto"/>
          <w:tblCellSpacing w:w="0" w:type="dxa"/>
        </w:trPr>
        <w:tc>
          <w:tcPr>
            <w:tcW w:w="0" w:type="auto"/>
            <w:noWrap w:val="0"/>
            <w:vAlign w:val="center"/>
          </w:tcPr>
          <w:p w14:paraId="2044D4F9">
            <w:r>
              <w:rPr>
                <w:rStyle w:val="10"/>
                <w:rFonts w:hint="eastAsia"/>
              </w:rPr>
              <w:t>登记证号：</w:t>
            </w:r>
            <w:r>
              <w:rPr>
                <w:rFonts w:hint="eastAsia"/>
              </w:rPr>
              <w:t>PD20211922</w:t>
            </w:r>
          </w:p>
        </w:tc>
      </w:tr>
      <w:tr w14:paraId="40C692BF">
        <w:tblPrEx>
          <w:tblCellMar>
            <w:top w:w="0" w:type="dxa"/>
            <w:left w:w="0" w:type="dxa"/>
            <w:bottom w:w="0" w:type="dxa"/>
            <w:right w:w="0" w:type="dxa"/>
          </w:tblCellMar>
        </w:tblPrEx>
        <w:trPr>
          <w:wBefore w:w="0" w:type="auto"/>
          <w:tblCellSpacing w:w="0" w:type="dxa"/>
        </w:trPr>
        <w:tc>
          <w:tcPr>
            <w:tcW w:w="0" w:type="auto"/>
            <w:noWrap w:val="0"/>
            <w:vAlign w:val="center"/>
          </w:tcPr>
          <w:p w14:paraId="750FF546">
            <w:r>
              <w:rPr>
                <w:rStyle w:val="10"/>
                <w:rFonts w:hint="eastAsia"/>
              </w:rPr>
              <w:t>登记证持有人：</w:t>
            </w:r>
            <w:r>
              <w:rPr>
                <w:rFonts w:hint="eastAsia"/>
              </w:rPr>
              <w:t>上海绿泽生物科技有限责任公司</w:t>
            </w:r>
          </w:p>
        </w:tc>
      </w:tr>
      <w:tr w14:paraId="09EAA269">
        <w:tblPrEx>
          <w:tblCellMar>
            <w:top w:w="0" w:type="dxa"/>
            <w:left w:w="0" w:type="dxa"/>
            <w:bottom w:w="0" w:type="dxa"/>
            <w:right w:w="0" w:type="dxa"/>
          </w:tblCellMar>
        </w:tblPrEx>
        <w:trPr>
          <w:wBefore w:w="0" w:type="auto"/>
          <w:tblCellSpacing w:w="0" w:type="dxa"/>
        </w:trPr>
        <w:tc>
          <w:tcPr>
            <w:tcW w:w="0" w:type="auto"/>
            <w:noWrap w:val="0"/>
            <w:vAlign w:val="center"/>
          </w:tcPr>
          <w:p w14:paraId="2FC82CB5">
            <w:r>
              <w:rPr>
                <w:rStyle w:val="10"/>
                <w:rFonts w:hint="eastAsia"/>
              </w:rPr>
              <w:t>农药名称：</w:t>
            </w:r>
            <w:r>
              <w:rPr>
                <w:rFonts w:hint="eastAsia"/>
              </w:rPr>
              <w:t>吡唑醚菌酯</w:t>
            </w:r>
          </w:p>
        </w:tc>
      </w:tr>
      <w:tr w14:paraId="5E30514C">
        <w:tblPrEx>
          <w:tblCellMar>
            <w:top w:w="0" w:type="dxa"/>
            <w:left w:w="0" w:type="dxa"/>
            <w:bottom w:w="0" w:type="dxa"/>
            <w:right w:w="0" w:type="dxa"/>
          </w:tblCellMar>
        </w:tblPrEx>
        <w:trPr>
          <w:wBefore w:w="0" w:type="auto"/>
          <w:tblCellSpacing w:w="0" w:type="dxa"/>
        </w:trPr>
        <w:tc>
          <w:tcPr>
            <w:tcW w:w="0" w:type="auto"/>
            <w:noWrap w:val="0"/>
            <w:vAlign w:val="center"/>
          </w:tcPr>
          <w:p w14:paraId="4C9A4A2D">
            <w:r>
              <w:rPr>
                <w:rStyle w:val="10"/>
                <w:rFonts w:hint="eastAsia"/>
              </w:rPr>
              <w:t>剂型：</w:t>
            </w:r>
            <w:r>
              <w:rPr>
                <w:rFonts w:hint="eastAsia"/>
              </w:rPr>
              <w:t>微囊悬浮剂</w:t>
            </w:r>
          </w:p>
        </w:tc>
      </w:tr>
      <w:tr w14:paraId="0EAC7BE4">
        <w:tblPrEx>
          <w:tblCellMar>
            <w:top w:w="0" w:type="dxa"/>
            <w:left w:w="0" w:type="dxa"/>
            <w:bottom w:w="0" w:type="dxa"/>
            <w:right w:w="0" w:type="dxa"/>
          </w:tblCellMar>
        </w:tblPrEx>
        <w:trPr>
          <w:wBefore w:w="0" w:type="auto"/>
          <w:tblCellSpacing w:w="0" w:type="dxa"/>
        </w:trPr>
        <w:tc>
          <w:tcPr>
            <w:tcW w:w="0" w:type="auto"/>
            <w:noWrap w:val="0"/>
            <w:vAlign w:val="center"/>
          </w:tcPr>
          <w:p w14:paraId="276BA3D9">
            <w:r>
              <w:rPr>
                <w:rStyle w:val="10"/>
                <w:rFonts w:hint="eastAsia"/>
              </w:rPr>
              <w:t>毒性及其标识：</w:t>
            </w:r>
            <w:r>
              <w:rPr>
                <w:rFonts w:hint="eastAsia"/>
              </w:rPr>
              <w:t xml:space="preserve"> </w:t>
            </w:r>
            <w:r>
              <w:rPr>
                <w:lang/>
              </w:rPr>
              <w:drawing>
                <wp:inline distT="0" distB="0" distL="114300" distR="114300">
                  <wp:extent cx="476250" cy="323850"/>
                  <wp:effectExtent l="0" t="0" r="0" b="0"/>
                  <wp:docPr id="428" name="图片 42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05D611C">
        <w:tblPrEx>
          <w:tblCellMar>
            <w:top w:w="0" w:type="dxa"/>
            <w:left w:w="0" w:type="dxa"/>
            <w:bottom w:w="0" w:type="dxa"/>
            <w:right w:w="0" w:type="dxa"/>
          </w:tblCellMar>
        </w:tblPrEx>
        <w:trPr>
          <w:wBefore w:w="0" w:type="auto"/>
          <w:tblCellSpacing w:w="0" w:type="dxa"/>
        </w:trPr>
        <w:tc>
          <w:tcPr>
            <w:tcW w:w="0" w:type="auto"/>
            <w:noWrap w:val="0"/>
            <w:vAlign w:val="center"/>
          </w:tcPr>
          <w:p w14:paraId="6912DC37">
            <w:r>
              <w:rPr>
                <w:rStyle w:val="10"/>
                <w:rFonts w:hint="eastAsia"/>
              </w:rPr>
              <w:t>总有效成分含量：</w:t>
            </w:r>
            <w:r>
              <w:rPr>
                <w:rFonts w:hint="eastAsia"/>
              </w:rPr>
              <w:t>9%</w:t>
            </w:r>
          </w:p>
        </w:tc>
      </w:tr>
      <w:tr w14:paraId="06DC21D4">
        <w:tblPrEx>
          <w:tblCellMar>
            <w:top w:w="0" w:type="dxa"/>
            <w:left w:w="0" w:type="dxa"/>
            <w:bottom w:w="0" w:type="dxa"/>
            <w:right w:w="0" w:type="dxa"/>
          </w:tblCellMar>
        </w:tblPrEx>
        <w:trPr>
          <w:wBefore w:w="0" w:type="auto"/>
          <w:tblCellSpacing w:w="0" w:type="dxa"/>
        </w:trPr>
        <w:tc>
          <w:tcPr>
            <w:tcW w:w="0" w:type="auto"/>
            <w:noWrap w:val="0"/>
            <w:vAlign w:val="center"/>
          </w:tcPr>
          <w:p w14:paraId="4F022D2B">
            <w:r>
              <w:rPr>
                <w:rFonts w:hint="eastAsia"/>
              </w:rPr>
              <w:t xml:space="preserve">有效成分及其含量： </w:t>
            </w:r>
          </w:p>
          <w:p w14:paraId="738E3BDF">
            <w:r>
              <w:rPr>
                <w:rFonts w:hint="eastAsia"/>
              </w:rPr>
              <w:t xml:space="preserve">    吡唑醚菌酯9%    </w:t>
            </w:r>
          </w:p>
        </w:tc>
      </w:tr>
      <w:tr w14:paraId="4A782408">
        <w:tblPrEx>
          <w:tblCellMar>
            <w:top w:w="0" w:type="dxa"/>
            <w:left w:w="0" w:type="dxa"/>
            <w:bottom w:w="0" w:type="dxa"/>
            <w:right w:w="0" w:type="dxa"/>
          </w:tblCellMar>
        </w:tblPrEx>
        <w:trPr>
          <w:wBefore w:w="0" w:type="auto"/>
          <w:tblCellSpacing w:w="0" w:type="dxa"/>
        </w:trPr>
        <w:tc>
          <w:tcPr>
            <w:tcW w:w="0" w:type="auto"/>
            <w:noWrap w:val="0"/>
            <w:vAlign w:val="center"/>
          </w:tcPr>
          <w:p w14:paraId="1DA05F5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D971D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DBE453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E2E797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17A1C2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CC2ACD">
                  <w:r>
                    <w:rPr>
                      <w:rStyle w:val="11"/>
                      <w:rFonts w:hint="eastAsia"/>
                    </w:rPr>
                    <w:t>施用方式</w:t>
                  </w:r>
                </w:p>
              </w:tc>
            </w:tr>
            <w:tr w14:paraId="510C5C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E7633D5">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D81F60">
                  <w:r>
                    <w:rPr>
                      <w:rStyle w:val="11"/>
                      <w:rFonts w:hint="eastAsia"/>
                    </w:rPr>
                    <w:t>稻瘟病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70F5D5">
                  <w:r>
                    <w:rPr>
                      <w:rStyle w:val="11"/>
                      <w:rFonts w:hint="eastAsia"/>
                    </w:rPr>
                    <w:t>50-70毫升/亩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EAFCF2">
                  <w:r>
                    <w:rPr>
                      <w:rStyle w:val="11"/>
                      <w:rFonts w:hint="eastAsia"/>
                    </w:rPr>
                    <w:t>喷雾</w:t>
                  </w:r>
                </w:p>
              </w:tc>
            </w:tr>
            <w:tr w14:paraId="17C7EC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AB4A923">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1E4614">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9D749B">
                  <w:r>
                    <w:rPr>
                      <w:rStyle w:val="11"/>
                      <w:rFonts w:hint="eastAsia"/>
                    </w:rPr>
                    <w:t>60-100毫升/亩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1324A6">
                  <w:r>
                    <w:rPr>
                      <w:rStyle w:val="11"/>
                      <w:rFonts w:hint="eastAsia"/>
                    </w:rPr>
                    <w:t>喷雾</w:t>
                  </w:r>
                </w:p>
              </w:tc>
            </w:tr>
          </w:tbl>
          <w:p w14:paraId="4B1FEA8A">
            <w:pPr>
              <w:rPr>
                <w:rFonts w:ascii="Times New Roman" w:hAnsi="Times New Roman" w:cs="Times New Roman"/>
                <w:sz w:val="20"/>
                <w:szCs w:val="20"/>
              </w:rPr>
            </w:pPr>
          </w:p>
        </w:tc>
      </w:tr>
      <w:tr w14:paraId="61962797">
        <w:tblPrEx>
          <w:tblCellMar>
            <w:top w:w="0" w:type="dxa"/>
            <w:left w:w="0" w:type="dxa"/>
            <w:bottom w:w="0" w:type="dxa"/>
            <w:right w:w="0" w:type="dxa"/>
          </w:tblCellMar>
        </w:tblPrEx>
        <w:trPr>
          <w:wBefore w:w="0" w:type="auto"/>
          <w:tblCellSpacing w:w="0" w:type="dxa"/>
        </w:trPr>
        <w:tc>
          <w:tcPr>
            <w:tcW w:w="0" w:type="auto"/>
            <w:noWrap w:val="0"/>
            <w:vAlign w:val="center"/>
          </w:tcPr>
          <w:p w14:paraId="29839927">
            <w:r>
              <w:rPr>
                <w:rStyle w:val="10"/>
                <w:rFonts w:hint="eastAsia"/>
              </w:rPr>
              <w:t>使用技术要求:</w:t>
            </w:r>
            <w:r>
              <w:rPr>
                <w:rFonts w:hint="eastAsia"/>
              </w:rPr>
              <w:br w:type="textWrapping"/>
            </w:r>
            <w:r>
              <w:rPr>
                <w:rStyle w:val="11"/>
                <w:rFonts w:hint="eastAsia"/>
              </w:rPr>
              <w:t>1.防治水稻稻瘟病应于破口期、齐穗期分别喷雾施药1次，施药间隔期7-10天，共用药2次。 2.防治黄瓜霜霉病在发病前或初期施药，间隔7-14天，连续施药。3.在水稻上每季最多使用2次，安全间隔期28天。在黄瓜上每季最多使用3次，安全间隔期2天。</w:t>
            </w:r>
          </w:p>
        </w:tc>
      </w:tr>
      <w:tr w14:paraId="1E4F859C">
        <w:tblPrEx>
          <w:tblCellMar>
            <w:top w:w="0" w:type="dxa"/>
            <w:left w:w="0" w:type="dxa"/>
            <w:bottom w:w="0" w:type="dxa"/>
            <w:right w:w="0" w:type="dxa"/>
          </w:tblCellMar>
        </w:tblPrEx>
        <w:trPr>
          <w:wBefore w:w="0" w:type="auto"/>
          <w:tblCellSpacing w:w="0" w:type="dxa"/>
        </w:trPr>
        <w:tc>
          <w:tcPr>
            <w:tcW w:w="0" w:type="auto"/>
            <w:noWrap w:val="0"/>
            <w:vAlign w:val="center"/>
          </w:tcPr>
          <w:p w14:paraId="4FE48665">
            <w:r>
              <w:rPr>
                <w:rStyle w:val="10"/>
                <w:rFonts w:hint="eastAsia"/>
              </w:rPr>
              <w:t>产品性能:</w:t>
            </w:r>
            <w:r>
              <w:rPr>
                <w:rFonts w:hint="eastAsia"/>
              </w:rPr>
              <w:br w:type="textWrapping"/>
            </w:r>
            <w:r>
              <w:rPr>
                <w:rStyle w:val="11"/>
                <w:rFonts w:hint="eastAsia"/>
              </w:rPr>
              <w:t>本品对水稻稻瘟病、黄瓜霜霉病等具有较好的防治效果。</w:t>
            </w:r>
          </w:p>
        </w:tc>
      </w:tr>
      <w:tr w14:paraId="20FBAE4E">
        <w:tblPrEx>
          <w:tblCellMar>
            <w:top w:w="0" w:type="dxa"/>
            <w:left w:w="0" w:type="dxa"/>
            <w:bottom w:w="0" w:type="dxa"/>
            <w:right w:w="0" w:type="dxa"/>
          </w:tblCellMar>
        </w:tblPrEx>
        <w:trPr>
          <w:wBefore w:w="0" w:type="auto"/>
          <w:tblCellSpacing w:w="0" w:type="dxa"/>
        </w:trPr>
        <w:tc>
          <w:tcPr>
            <w:tcW w:w="0" w:type="auto"/>
            <w:noWrap w:val="0"/>
            <w:vAlign w:val="center"/>
          </w:tcPr>
          <w:p w14:paraId="541BBE46">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2.远离水产养殖区、河塘等水体施药；禁止在河塘等水体中清洗施药器具；鱼或虾蟹套养稻田禁用；施药后的田水不得直接排入水体；蚕室及桑园附近禁用。3.用过的容器和废弃包装应妥善处理。4.孕妇与哺乳期妇女禁止接触本品。</w:t>
            </w:r>
          </w:p>
        </w:tc>
      </w:tr>
      <w:tr w14:paraId="77C618EE">
        <w:tblPrEx>
          <w:tblCellMar>
            <w:top w:w="0" w:type="dxa"/>
            <w:left w:w="0" w:type="dxa"/>
            <w:bottom w:w="0" w:type="dxa"/>
            <w:right w:w="0" w:type="dxa"/>
          </w:tblCellMar>
        </w:tblPrEx>
        <w:trPr>
          <w:wBefore w:w="0" w:type="auto"/>
          <w:tblCellSpacing w:w="0" w:type="dxa"/>
        </w:trPr>
        <w:tc>
          <w:tcPr>
            <w:tcW w:w="0" w:type="auto"/>
            <w:noWrap w:val="0"/>
            <w:vAlign w:val="center"/>
          </w:tcPr>
          <w:p w14:paraId="41B79201">
            <w:r>
              <w:rPr>
                <w:rStyle w:val="10"/>
                <w:rFonts w:hint="eastAsia"/>
              </w:rPr>
              <w:t>中毒急救措施：</w:t>
            </w:r>
            <w:r>
              <w:rPr>
                <w:rFonts w:hint="eastAsia"/>
              </w:rPr>
              <w:br w:type="textWrapping"/>
            </w:r>
            <w:r>
              <w:rPr>
                <w:rStyle w:val="11"/>
                <w:rFonts w:hint="eastAsia"/>
              </w:rPr>
              <w:t>1.皮肤接触：立即脱掉被污染的衣服，用肥皂和大量清水彻底清洗受污染的皮肤。 2.眼睛溅入：立即将眼睑翻开，用清水冲洗至少15分钟。3.误服：请勿引吐，立即携标签请医生诊治。对症治疗，无特效解毒剂。 4.吸入：立即将吸入者转移至空气清新处，请医生诊治。</w:t>
            </w:r>
          </w:p>
        </w:tc>
      </w:tr>
      <w:tr w14:paraId="0A3E15A7">
        <w:tblPrEx>
          <w:tblCellMar>
            <w:top w:w="0" w:type="dxa"/>
            <w:left w:w="0" w:type="dxa"/>
            <w:bottom w:w="0" w:type="dxa"/>
            <w:right w:w="0" w:type="dxa"/>
          </w:tblCellMar>
        </w:tblPrEx>
        <w:trPr>
          <w:wBefore w:w="0" w:type="auto"/>
          <w:tblCellSpacing w:w="0" w:type="dxa"/>
        </w:trPr>
        <w:tc>
          <w:tcPr>
            <w:tcW w:w="0" w:type="auto"/>
            <w:noWrap w:val="0"/>
            <w:vAlign w:val="center"/>
          </w:tcPr>
          <w:p w14:paraId="5CAADB10">
            <w:r>
              <w:rPr>
                <w:rStyle w:val="10"/>
                <w:rFonts w:hint="eastAsia"/>
              </w:rPr>
              <w:t>储存和运输方法：</w:t>
            </w:r>
            <w:r>
              <w:rPr>
                <w:rFonts w:hint="eastAsia"/>
              </w:rPr>
              <w:br w:type="textWrapping"/>
            </w:r>
            <w:r>
              <w:rPr>
                <w:rStyle w:val="11"/>
                <w:rFonts w:hint="eastAsia"/>
              </w:rPr>
              <w:t>1.本品应密封贮存在干燥、阴凉、通风、防雨处，远离火源或热源。 2.存放于儿童触及不到之处，并加锁。 3.勿与食品、饮料、粮食、饲料等同贮同运。贮存或运输时注意轻拿轻放，以免损坏包装，导致产品泄漏。</w:t>
            </w:r>
          </w:p>
        </w:tc>
      </w:tr>
      <w:tr w14:paraId="30336F90">
        <w:tblPrEx>
          <w:tblCellMar>
            <w:top w:w="0" w:type="dxa"/>
            <w:left w:w="0" w:type="dxa"/>
            <w:bottom w:w="0" w:type="dxa"/>
            <w:right w:w="0" w:type="dxa"/>
          </w:tblCellMar>
        </w:tblPrEx>
        <w:trPr>
          <w:wBefore w:w="0" w:type="auto"/>
          <w:tblCellSpacing w:w="0" w:type="dxa"/>
        </w:trPr>
        <w:tc>
          <w:tcPr>
            <w:tcW w:w="0" w:type="auto"/>
            <w:noWrap w:val="0"/>
            <w:vAlign w:val="center"/>
          </w:tcPr>
          <w:p w14:paraId="1F84A432">
            <w:r>
              <w:rPr>
                <w:rStyle w:val="10"/>
                <w:rFonts w:hint="eastAsia"/>
              </w:rPr>
              <w:t>质量保证期：</w:t>
            </w:r>
            <w:r>
              <w:rPr>
                <w:rStyle w:val="11"/>
                <w:rFonts w:hint="eastAsia"/>
              </w:rPr>
              <w:t>3年</w:t>
            </w:r>
          </w:p>
        </w:tc>
      </w:tr>
      <w:tr w14:paraId="4B93E7FC">
        <w:tblPrEx>
          <w:tblCellMar>
            <w:top w:w="0" w:type="dxa"/>
            <w:left w:w="0" w:type="dxa"/>
            <w:bottom w:w="0" w:type="dxa"/>
            <w:right w:w="0" w:type="dxa"/>
          </w:tblCellMar>
        </w:tblPrEx>
        <w:trPr>
          <w:wBefore w:w="0" w:type="auto"/>
          <w:tblCellSpacing w:w="0" w:type="dxa"/>
        </w:trPr>
        <w:tc>
          <w:tcPr>
            <w:tcW w:w="0" w:type="auto"/>
            <w:noWrap w:val="0"/>
            <w:vAlign w:val="center"/>
          </w:tcPr>
          <w:p w14:paraId="7437FBFF">
            <w:r>
              <w:rPr>
                <w:rStyle w:val="10"/>
                <w:rFonts w:hint="eastAsia"/>
              </w:rPr>
              <w:t>备注：</w:t>
            </w:r>
          </w:p>
        </w:tc>
      </w:tr>
    </w:tbl>
    <w:p w14:paraId="3571A90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86AB0CB">
        <w:tblPrEx>
          <w:tblCellMar>
            <w:top w:w="0" w:type="dxa"/>
            <w:left w:w="0" w:type="dxa"/>
            <w:bottom w:w="0" w:type="dxa"/>
            <w:right w:w="0" w:type="dxa"/>
          </w:tblCellMar>
        </w:tblPrEx>
        <w:trPr>
          <w:wBefore w:w="0" w:type="auto"/>
          <w:tblCellSpacing w:w="0" w:type="dxa"/>
        </w:trPr>
        <w:tc>
          <w:tcPr>
            <w:tcW w:w="0" w:type="auto"/>
            <w:noWrap w:val="0"/>
            <w:vAlign w:val="center"/>
          </w:tcPr>
          <w:p w14:paraId="042B1BB9">
            <w:r>
              <w:rPr>
                <w:rStyle w:val="10"/>
                <w:rFonts w:hint="eastAsia"/>
              </w:rPr>
              <w:t>登记证号：</w:t>
            </w:r>
            <w:r>
              <w:rPr>
                <w:rFonts w:hint="eastAsia"/>
              </w:rPr>
              <w:t>PD20212118</w:t>
            </w:r>
          </w:p>
        </w:tc>
      </w:tr>
      <w:tr w14:paraId="0D820633">
        <w:tblPrEx>
          <w:tblCellMar>
            <w:top w:w="0" w:type="dxa"/>
            <w:left w:w="0" w:type="dxa"/>
            <w:bottom w:w="0" w:type="dxa"/>
            <w:right w:w="0" w:type="dxa"/>
          </w:tblCellMar>
        </w:tblPrEx>
        <w:trPr>
          <w:wBefore w:w="0" w:type="auto"/>
          <w:tblCellSpacing w:w="0" w:type="dxa"/>
        </w:trPr>
        <w:tc>
          <w:tcPr>
            <w:tcW w:w="0" w:type="auto"/>
            <w:noWrap w:val="0"/>
            <w:vAlign w:val="center"/>
          </w:tcPr>
          <w:p w14:paraId="5B732619">
            <w:r>
              <w:rPr>
                <w:rStyle w:val="10"/>
                <w:rFonts w:hint="eastAsia"/>
              </w:rPr>
              <w:t>登记证持有人：</w:t>
            </w:r>
            <w:r>
              <w:rPr>
                <w:rFonts w:hint="eastAsia"/>
              </w:rPr>
              <w:t>山东乐邦化学品有限公司</w:t>
            </w:r>
          </w:p>
        </w:tc>
      </w:tr>
      <w:tr w14:paraId="1ED49042">
        <w:tblPrEx>
          <w:tblCellMar>
            <w:top w:w="0" w:type="dxa"/>
            <w:left w:w="0" w:type="dxa"/>
            <w:bottom w:w="0" w:type="dxa"/>
            <w:right w:w="0" w:type="dxa"/>
          </w:tblCellMar>
        </w:tblPrEx>
        <w:trPr>
          <w:wBefore w:w="0" w:type="auto"/>
          <w:tblCellSpacing w:w="0" w:type="dxa"/>
        </w:trPr>
        <w:tc>
          <w:tcPr>
            <w:tcW w:w="0" w:type="auto"/>
            <w:noWrap w:val="0"/>
            <w:vAlign w:val="center"/>
          </w:tcPr>
          <w:p w14:paraId="3B4813A2">
            <w:r>
              <w:rPr>
                <w:rStyle w:val="10"/>
                <w:rFonts w:hint="eastAsia"/>
              </w:rPr>
              <w:t>农药名称：</w:t>
            </w:r>
            <w:r>
              <w:rPr>
                <w:rFonts w:hint="eastAsia"/>
              </w:rPr>
              <w:t>丙噁·丁草胺</w:t>
            </w:r>
          </w:p>
        </w:tc>
      </w:tr>
      <w:tr w14:paraId="21F70213">
        <w:tblPrEx>
          <w:tblCellMar>
            <w:top w:w="0" w:type="dxa"/>
            <w:left w:w="0" w:type="dxa"/>
            <w:bottom w:w="0" w:type="dxa"/>
            <w:right w:w="0" w:type="dxa"/>
          </w:tblCellMar>
        </w:tblPrEx>
        <w:trPr>
          <w:wBefore w:w="0" w:type="auto"/>
          <w:tblCellSpacing w:w="0" w:type="dxa"/>
        </w:trPr>
        <w:tc>
          <w:tcPr>
            <w:tcW w:w="0" w:type="auto"/>
            <w:noWrap w:val="0"/>
            <w:vAlign w:val="center"/>
          </w:tcPr>
          <w:p w14:paraId="338CB333">
            <w:r>
              <w:rPr>
                <w:rStyle w:val="10"/>
                <w:rFonts w:hint="eastAsia"/>
              </w:rPr>
              <w:t>剂型：</w:t>
            </w:r>
            <w:r>
              <w:rPr>
                <w:rFonts w:hint="eastAsia"/>
              </w:rPr>
              <w:t>水乳剂</w:t>
            </w:r>
          </w:p>
        </w:tc>
      </w:tr>
      <w:tr w14:paraId="032D5FA3">
        <w:tblPrEx>
          <w:tblCellMar>
            <w:top w:w="0" w:type="dxa"/>
            <w:left w:w="0" w:type="dxa"/>
            <w:bottom w:w="0" w:type="dxa"/>
            <w:right w:w="0" w:type="dxa"/>
          </w:tblCellMar>
        </w:tblPrEx>
        <w:trPr>
          <w:wBefore w:w="0" w:type="auto"/>
          <w:tblCellSpacing w:w="0" w:type="dxa"/>
        </w:trPr>
        <w:tc>
          <w:tcPr>
            <w:tcW w:w="0" w:type="auto"/>
            <w:noWrap w:val="0"/>
            <w:vAlign w:val="center"/>
          </w:tcPr>
          <w:p w14:paraId="7E9A73C0">
            <w:r>
              <w:rPr>
                <w:rStyle w:val="10"/>
                <w:rFonts w:hint="eastAsia"/>
              </w:rPr>
              <w:t>毒性及其标识：</w:t>
            </w:r>
            <w:r>
              <w:rPr>
                <w:rFonts w:hint="eastAsia"/>
              </w:rPr>
              <w:t xml:space="preserve"> </w:t>
            </w:r>
            <w:r>
              <w:rPr>
                <w:lang/>
              </w:rPr>
              <w:drawing>
                <wp:inline distT="0" distB="0" distL="114300" distR="114300">
                  <wp:extent cx="476250" cy="323850"/>
                  <wp:effectExtent l="0" t="0" r="0" b="0"/>
                  <wp:docPr id="429" name="图片 42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724ACD7">
        <w:tblPrEx>
          <w:tblCellMar>
            <w:top w:w="0" w:type="dxa"/>
            <w:left w:w="0" w:type="dxa"/>
            <w:bottom w:w="0" w:type="dxa"/>
            <w:right w:w="0" w:type="dxa"/>
          </w:tblCellMar>
        </w:tblPrEx>
        <w:trPr>
          <w:wBefore w:w="0" w:type="auto"/>
          <w:tblCellSpacing w:w="0" w:type="dxa"/>
        </w:trPr>
        <w:tc>
          <w:tcPr>
            <w:tcW w:w="0" w:type="auto"/>
            <w:noWrap w:val="0"/>
            <w:vAlign w:val="center"/>
          </w:tcPr>
          <w:p w14:paraId="0DAE463B">
            <w:r>
              <w:rPr>
                <w:rStyle w:val="10"/>
                <w:rFonts w:hint="eastAsia"/>
              </w:rPr>
              <w:t>总有效成分含量：</w:t>
            </w:r>
            <w:r>
              <w:rPr>
                <w:rFonts w:hint="eastAsia"/>
              </w:rPr>
              <w:t>35%</w:t>
            </w:r>
          </w:p>
        </w:tc>
      </w:tr>
      <w:tr w14:paraId="6B86380E">
        <w:tblPrEx>
          <w:tblCellMar>
            <w:top w:w="0" w:type="dxa"/>
            <w:left w:w="0" w:type="dxa"/>
            <w:bottom w:w="0" w:type="dxa"/>
            <w:right w:w="0" w:type="dxa"/>
          </w:tblCellMar>
        </w:tblPrEx>
        <w:trPr>
          <w:wBefore w:w="0" w:type="auto"/>
          <w:tblCellSpacing w:w="0" w:type="dxa"/>
        </w:trPr>
        <w:tc>
          <w:tcPr>
            <w:tcW w:w="0" w:type="auto"/>
            <w:noWrap w:val="0"/>
            <w:vAlign w:val="center"/>
          </w:tcPr>
          <w:p w14:paraId="1F5F8A35">
            <w:r>
              <w:rPr>
                <w:rFonts w:hint="eastAsia"/>
              </w:rPr>
              <w:t xml:space="preserve">有效成分及其含量： </w:t>
            </w:r>
          </w:p>
          <w:p w14:paraId="713F4947">
            <w:r>
              <w:rPr>
                <w:rFonts w:hint="eastAsia"/>
              </w:rPr>
              <w:t xml:space="preserve">    丙炔噁草酮5%    丁草胺30%    </w:t>
            </w:r>
          </w:p>
        </w:tc>
      </w:tr>
      <w:tr w14:paraId="692CF1AA">
        <w:tblPrEx>
          <w:tblCellMar>
            <w:top w:w="0" w:type="dxa"/>
            <w:left w:w="0" w:type="dxa"/>
            <w:bottom w:w="0" w:type="dxa"/>
            <w:right w:w="0" w:type="dxa"/>
          </w:tblCellMar>
        </w:tblPrEx>
        <w:trPr>
          <w:wBefore w:w="0" w:type="auto"/>
          <w:tblCellSpacing w:w="0" w:type="dxa"/>
        </w:trPr>
        <w:tc>
          <w:tcPr>
            <w:tcW w:w="0" w:type="auto"/>
            <w:noWrap w:val="0"/>
            <w:vAlign w:val="center"/>
          </w:tcPr>
          <w:p w14:paraId="47BFC88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0072B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49188A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9D5396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B29180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EC55F86">
                  <w:r>
                    <w:rPr>
                      <w:rStyle w:val="11"/>
                      <w:rFonts w:hint="eastAsia"/>
                    </w:rPr>
                    <w:t>施用方式</w:t>
                  </w:r>
                </w:p>
              </w:tc>
            </w:tr>
            <w:tr w14:paraId="6E7D8B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2343CC9">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AB71D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43239B">
                  <w:r>
                    <w:rPr>
                      <w:rStyle w:val="11"/>
                      <w:rFonts w:hint="eastAsia"/>
                    </w:rPr>
                    <w:t>110-120毫升/亩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D65467">
                  <w:r>
                    <w:rPr>
                      <w:rStyle w:val="11"/>
                      <w:rFonts w:hint="eastAsia"/>
                    </w:rPr>
                    <w:t>土壤喷雾</w:t>
                  </w:r>
                </w:p>
              </w:tc>
            </w:tr>
          </w:tbl>
          <w:p w14:paraId="78068062">
            <w:pPr>
              <w:rPr>
                <w:rFonts w:ascii="Times New Roman" w:hAnsi="Times New Roman" w:cs="Times New Roman"/>
                <w:sz w:val="20"/>
                <w:szCs w:val="20"/>
              </w:rPr>
            </w:pPr>
          </w:p>
        </w:tc>
      </w:tr>
      <w:tr w14:paraId="2D026FEB">
        <w:tblPrEx>
          <w:tblCellMar>
            <w:top w:w="0" w:type="dxa"/>
            <w:left w:w="0" w:type="dxa"/>
            <w:bottom w:w="0" w:type="dxa"/>
            <w:right w:w="0" w:type="dxa"/>
          </w:tblCellMar>
        </w:tblPrEx>
        <w:trPr>
          <w:wBefore w:w="0" w:type="auto"/>
          <w:tblCellSpacing w:w="0" w:type="dxa"/>
        </w:trPr>
        <w:tc>
          <w:tcPr>
            <w:tcW w:w="0" w:type="auto"/>
            <w:noWrap w:val="0"/>
            <w:vAlign w:val="center"/>
          </w:tcPr>
          <w:p w14:paraId="517B954B">
            <w:r>
              <w:rPr>
                <w:rStyle w:val="10"/>
                <w:rFonts w:hint="eastAsia"/>
              </w:rPr>
              <w:t>使用技术要求:</w:t>
            </w:r>
            <w:r>
              <w:rPr>
                <w:rFonts w:hint="eastAsia"/>
              </w:rPr>
              <w:br w:type="textWrapping"/>
            </w:r>
            <w:r>
              <w:rPr>
                <w:rStyle w:val="11"/>
                <w:rFonts w:hint="eastAsia"/>
              </w:rPr>
              <w:t>1.每季最多使用1次。2. 在水稻移栽前，采用土壤喷雾施药一次。3.施药后至移栽后7天内只灌不排，保持3～5厘米水层，勿使水层淹没稻苗心叶，之后进行正常田间管理。</w:t>
            </w:r>
          </w:p>
        </w:tc>
      </w:tr>
      <w:tr w14:paraId="68D49028">
        <w:tblPrEx>
          <w:tblCellMar>
            <w:top w:w="0" w:type="dxa"/>
            <w:left w:w="0" w:type="dxa"/>
            <w:bottom w:w="0" w:type="dxa"/>
            <w:right w:w="0" w:type="dxa"/>
          </w:tblCellMar>
        </w:tblPrEx>
        <w:trPr>
          <w:wBefore w:w="0" w:type="auto"/>
          <w:tblCellSpacing w:w="0" w:type="dxa"/>
        </w:trPr>
        <w:tc>
          <w:tcPr>
            <w:tcW w:w="0" w:type="auto"/>
            <w:noWrap w:val="0"/>
            <w:vAlign w:val="center"/>
          </w:tcPr>
          <w:p w14:paraId="1211EE29">
            <w:r>
              <w:rPr>
                <w:rStyle w:val="10"/>
                <w:rFonts w:hint="eastAsia"/>
              </w:rPr>
              <w:t>产品性能:</w:t>
            </w:r>
            <w:r>
              <w:rPr>
                <w:rFonts w:hint="eastAsia"/>
              </w:rPr>
              <w:br w:type="textWrapping"/>
            </w:r>
            <w:r>
              <w:rPr>
                <w:rStyle w:val="11"/>
                <w:rFonts w:hint="eastAsia"/>
              </w:rPr>
              <w:t>本剂是由除草机理不同的两种除草剂丙炔噁草酮和丁草胺复配而成的水田芽前期除草剂。施用后其有效成分可在水面沉入土壤表层，形成封闭药膜，从而将靶标杂草消灭在萌芽状态，具有除草安全、杀草广谱，持效期较长，对抗磺酰脲类靶标杂草防效优异等特点。</w:t>
            </w:r>
          </w:p>
        </w:tc>
      </w:tr>
      <w:tr w14:paraId="2AC615A2">
        <w:tblPrEx>
          <w:tblCellMar>
            <w:top w:w="0" w:type="dxa"/>
            <w:left w:w="0" w:type="dxa"/>
            <w:bottom w:w="0" w:type="dxa"/>
            <w:right w:w="0" w:type="dxa"/>
          </w:tblCellMar>
        </w:tblPrEx>
        <w:trPr>
          <w:wBefore w:w="0" w:type="auto"/>
          <w:tblCellSpacing w:w="0" w:type="dxa"/>
        </w:trPr>
        <w:tc>
          <w:tcPr>
            <w:tcW w:w="0" w:type="auto"/>
            <w:noWrap w:val="0"/>
            <w:vAlign w:val="center"/>
          </w:tcPr>
          <w:p w14:paraId="6F1013E1">
            <w:r>
              <w:rPr>
                <w:rStyle w:val="10"/>
                <w:rFonts w:hint="eastAsia"/>
              </w:rPr>
              <w:t>注意事项：</w:t>
            </w:r>
            <w:r>
              <w:rPr>
                <w:rFonts w:hint="eastAsia"/>
              </w:rPr>
              <w:br w:type="textWrapping"/>
            </w:r>
            <w:r>
              <w:rPr>
                <w:rStyle w:val="11"/>
                <w:rFonts w:hint="eastAsia"/>
              </w:rPr>
              <w:t>1. 使用前请详细阅读产品标签，严格按标签推荐的剂量和方法施用。2. 移栽时勿将稻苗淹没在施用本剂的稻田水中，以免产生药害。3. 施用时应戴防护服、口罩和手套等防护用具，施药时不得饮食、吸烟、饮水等；施药后应用肥皂和清水彻底清洗暴露在外的皮肤。4.本剂对水生藻类和鱼高毒。残夜或清洗液不得污染水源、沟渠和鱼塘。水产养殖区、河塘等水体附近禁用，禁止在河塘等水域清洗施药器具，鱼或虾蟹套养稻田禁用，施药后的田水不得直接排入水体。5. 蚕室及桑园附近禁用。6. 用过的容器应妥善处理，不可做他用，也不可随意丢弃。7. 孕妇及哺乳期的妇女避免接触本品。</w:t>
            </w:r>
          </w:p>
        </w:tc>
      </w:tr>
      <w:tr w14:paraId="4B50D896">
        <w:tblPrEx>
          <w:tblCellMar>
            <w:top w:w="0" w:type="dxa"/>
            <w:left w:w="0" w:type="dxa"/>
            <w:bottom w:w="0" w:type="dxa"/>
            <w:right w:w="0" w:type="dxa"/>
          </w:tblCellMar>
        </w:tblPrEx>
        <w:trPr>
          <w:wBefore w:w="0" w:type="auto"/>
          <w:tblCellSpacing w:w="0" w:type="dxa"/>
        </w:trPr>
        <w:tc>
          <w:tcPr>
            <w:tcW w:w="0" w:type="auto"/>
            <w:noWrap w:val="0"/>
            <w:vAlign w:val="center"/>
          </w:tcPr>
          <w:p w14:paraId="3094D94F">
            <w:r>
              <w:rPr>
                <w:rStyle w:val="10"/>
                <w:rFonts w:hint="eastAsia"/>
              </w:rPr>
              <w:t>中毒急救措施：</w:t>
            </w:r>
            <w:r>
              <w:rPr>
                <w:rFonts w:hint="eastAsia"/>
              </w:rPr>
              <w:br w:type="textWrapping"/>
            </w:r>
            <w:r>
              <w:rPr>
                <w:rStyle w:val="11"/>
                <w:rFonts w:hint="eastAsia"/>
              </w:rPr>
              <w:t>1. 眼睛溅药：立即翻开眼睑，用清水冲洗至少15min，再请医生诊治。2. 误服：则应立即催吐，并携此标签立即就医。 3. 皮肤接触：立即脱去污染的衣物，用肥皂和大量清水冲洗皮肤暴露部位，请医生诊治。4 发生吸入：立即将吸入者转移到空气新鲜处，保持呼吸畅通，请医生诊治。5. 解毒剂：无专用解毒剂，对症治疗。</w:t>
            </w:r>
          </w:p>
        </w:tc>
      </w:tr>
      <w:tr w14:paraId="1187C977">
        <w:tblPrEx>
          <w:tblCellMar>
            <w:top w:w="0" w:type="dxa"/>
            <w:left w:w="0" w:type="dxa"/>
            <w:bottom w:w="0" w:type="dxa"/>
            <w:right w:w="0" w:type="dxa"/>
          </w:tblCellMar>
        </w:tblPrEx>
        <w:trPr>
          <w:wBefore w:w="0" w:type="auto"/>
          <w:tblCellSpacing w:w="0" w:type="dxa"/>
        </w:trPr>
        <w:tc>
          <w:tcPr>
            <w:tcW w:w="0" w:type="auto"/>
            <w:noWrap w:val="0"/>
            <w:vAlign w:val="center"/>
          </w:tcPr>
          <w:p w14:paraId="64F69765">
            <w:r>
              <w:rPr>
                <w:rStyle w:val="10"/>
                <w:rFonts w:hint="eastAsia"/>
              </w:rPr>
              <w:t>储存和运输方法：</w:t>
            </w:r>
            <w:r>
              <w:rPr>
                <w:rFonts w:hint="eastAsia"/>
              </w:rPr>
              <w:br w:type="textWrapping"/>
            </w:r>
            <w:r>
              <w:rPr>
                <w:rStyle w:val="11"/>
                <w:rFonts w:hint="eastAsia"/>
              </w:rPr>
              <w:t>1. 本品应密封贮存在干燥、阴凉、通风、防雨处，远离火源或热源，避免与氧化剂接触，贮存温度宜在0～30℃。2. 本品应置于儿童、无关人员触及不到之处，并加锁保存。3. 勿与食品、饮料、粮食、饲料等其他商品同贮同运。4. 贮存或运输时堆高不得超过规定，注意轻拿轻放，以免损坏包装，导致产品泄漏。</w:t>
            </w:r>
          </w:p>
        </w:tc>
      </w:tr>
      <w:tr w14:paraId="2E035971">
        <w:tblPrEx>
          <w:tblCellMar>
            <w:top w:w="0" w:type="dxa"/>
            <w:left w:w="0" w:type="dxa"/>
            <w:bottom w:w="0" w:type="dxa"/>
            <w:right w:w="0" w:type="dxa"/>
          </w:tblCellMar>
        </w:tblPrEx>
        <w:trPr>
          <w:wBefore w:w="0" w:type="auto"/>
          <w:tblCellSpacing w:w="0" w:type="dxa"/>
        </w:trPr>
        <w:tc>
          <w:tcPr>
            <w:tcW w:w="0" w:type="auto"/>
            <w:noWrap w:val="0"/>
            <w:vAlign w:val="center"/>
          </w:tcPr>
          <w:p w14:paraId="016AEBA7">
            <w:r>
              <w:rPr>
                <w:rStyle w:val="10"/>
                <w:rFonts w:hint="eastAsia"/>
              </w:rPr>
              <w:t>质量保证期：</w:t>
            </w:r>
            <w:r>
              <w:rPr>
                <w:rStyle w:val="11"/>
                <w:rFonts w:hint="eastAsia"/>
              </w:rPr>
              <w:t>2年</w:t>
            </w:r>
          </w:p>
        </w:tc>
      </w:tr>
      <w:tr w14:paraId="0A6D81D0">
        <w:tblPrEx>
          <w:tblCellMar>
            <w:top w:w="0" w:type="dxa"/>
            <w:left w:w="0" w:type="dxa"/>
            <w:bottom w:w="0" w:type="dxa"/>
            <w:right w:w="0" w:type="dxa"/>
          </w:tblCellMar>
        </w:tblPrEx>
        <w:trPr>
          <w:wBefore w:w="0" w:type="auto"/>
          <w:tblCellSpacing w:w="0" w:type="dxa"/>
        </w:trPr>
        <w:tc>
          <w:tcPr>
            <w:tcW w:w="0" w:type="auto"/>
            <w:noWrap w:val="0"/>
            <w:vAlign w:val="center"/>
          </w:tcPr>
          <w:p w14:paraId="0D8595DD">
            <w:r>
              <w:rPr>
                <w:rStyle w:val="10"/>
                <w:rFonts w:hint="eastAsia"/>
              </w:rPr>
              <w:t>备注：</w:t>
            </w:r>
          </w:p>
        </w:tc>
      </w:tr>
    </w:tbl>
    <w:p w14:paraId="041AB2C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D742F0C">
        <w:tblPrEx>
          <w:tblCellMar>
            <w:top w:w="0" w:type="dxa"/>
            <w:left w:w="0" w:type="dxa"/>
            <w:bottom w:w="0" w:type="dxa"/>
            <w:right w:w="0" w:type="dxa"/>
          </w:tblCellMar>
        </w:tblPrEx>
        <w:trPr>
          <w:wBefore w:w="0" w:type="auto"/>
          <w:tblCellSpacing w:w="0" w:type="dxa"/>
        </w:trPr>
        <w:tc>
          <w:tcPr>
            <w:tcW w:w="0" w:type="auto"/>
            <w:noWrap w:val="0"/>
            <w:vAlign w:val="center"/>
          </w:tcPr>
          <w:p w14:paraId="185D0EB2">
            <w:r>
              <w:rPr>
                <w:rStyle w:val="10"/>
                <w:rFonts w:hint="eastAsia"/>
              </w:rPr>
              <w:t>登记证号：</w:t>
            </w:r>
            <w:r>
              <w:rPr>
                <w:rFonts w:hint="eastAsia"/>
              </w:rPr>
              <w:t>PD20211898</w:t>
            </w:r>
          </w:p>
        </w:tc>
      </w:tr>
      <w:tr w14:paraId="5211D2D4">
        <w:tblPrEx>
          <w:tblCellMar>
            <w:top w:w="0" w:type="dxa"/>
            <w:left w:w="0" w:type="dxa"/>
            <w:bottom w:w="0" w:type="dxa"/>
            <w:right w:w="0" w:type="dxa"/>
          </w:tblCellMar>
        </w:tblPrEx>
        <w:trPr>
          <w:wBefore w:w="0" w:type="auto"/>
          <w:tblCellSpacing w:w="0" w:type="dxa"/>
        </w:trPr>
        <w:tc>
          <w:tcPr>
            <w:tcW w:w="0" w:type="auto"/>
            <w:noWrap w:val="0"/>
            <w:vAlign w:val="center"/>
          </w:tcPr>
          <w:p w14:paraId="488F4C8A">
            <w:r>
              <w:rPr>
                <w:rStyle w:val="10"/>
                <w:rFonts w:hint="eastAsia"/>
              </w:rPr>
              <w:t>登记证持有人：</w:t>
            </w:r>
            <w:r>
              <w:rPr>
                <w:rFonts w:hint="eastAsia"/>
              </w:rPr>
              <w:t>河北威远生物化工有限公司</w:t>
            </w:r>
          </w:p>
        </w:tc>
      </w:tr>
      <w:tr w14:paraId="4606A927">
        <w:tblPrEx>
          <w:tblCellMar>
            <w:top w:w="0" w:type="dxa"/>
            <w:left w:w="0" w:type="dxa"/>
            <w:bottom w:w="0" w:type="dxa"/>
            <w:right w:w="0" w:type="dxa"/>
          </w:tblCellMar>
        </w:tblPrEx>
        <w:trPr>
          <w:wBefore w:w="0" w:type="auto"/>
          <w:tblCellSpacing w:w="0" w:type="dxa"/>
        </w:trPr>
        <w:tc>
          <w:tcPr>
            <w:tcW w:w="0" w:type="auto"/>
            <w:noWrap w:val="0"/>
            <w:vAlign w:val="center"/>
          </w:tcPr>
          <w:p w14:paraId="5C03502B">
            <w:r>
              <w:rPr>
                <w:rStyle w:val="10"/>
                <w:rFonts w:hint="eastAsia"/>
              </w:rPr>
              <w:t>农药名称：</w:t>
            </w:r>
            <w:r>
              <w:rPr>
                <w:rFonts w:hint="eastAsia"/>
              </w:rPr>
              <w:t>噻呋·吡唑酯</w:t>
            </w:r>
          </w:p>
        </w:tc>
      </w:tr>
      <w:tr w14:paraId="3865EC5A">
        <w:tblPrEx>
          <w:tblCellMar>
            <w:top w:w="0" w:type="dxa"/>
            <w:left w:w="0" w:type="dxa"/>
            <w:bottom w:w="0" w:type="dxa"/>
            <w:right w:w="0" w:type="dxa"/>
          </w:tblCellMar>
        </w:tblPrEx>
        <w:trPr>
          <w:wBefore w:w="0" w:type="auto"/>
          <w:tblCellSpacing w:w="0" w:type="dxa"/>
        </w:trPr>
        <w:tc>
          <w:tcPr>
            <w:tcW w:w="0" w:type="auto"/>
            <w:noWrap w:val="0"/>
            <w:vAlign w:val="center"/>
          </w:tcPr>
          <w:p w14:paraId="42106C24">
            <w:r>
              <w:rPr>
                <w:rStyle w:val="10"/>
                <w:rFonts w:hint="eastAsia"/>
              </w:rPr>
              <w:t>剂型：</w:t>
            </w:r>
            <w:r>
              <w:rPr>
                <w:rFonts w:hint="eastAsia"/>
              </w:rPr>
              <w:t>悬浮剂</w:t>
            </w:r>
          </w:p>
        </w:tc>
      </w:tr>
      <w:tr w14:paraId="7AF1A724">
        <w:tblPrEx>
          <w:tblCellMar>
            <w:top w:w="0" w:type="dxa"/>
            <w:left w:w="0" w:type="dxa"/>
            <w:bottom w:w="0" w:type="dxa"/>
            <w:right w:w="0" w:type="dxa"/>
          </w:tblCellMar>
        </w:tblPrEx>
        <w:trPr>
          <w:wBefore w:w="0" w:type="auto"/>
          <w:tblCellSpacing w:w="0" w:type="dxa"/>
        </w:trPr>
        <w:tc>
          <w:tcPr>
            <w:tcW w:w="0" w:type="auto"/>
            <w:noWrap w:val="0"/>
            <w:vAlign w:val="center"/>
          </w:tcPr>
          <w:p w14:paraId="3603F5E1">
            <w:r>
              <w:rPr>
                <w:rStyle w:val="10"/>
                <w:rFonts w:hint="eastAsia"/>
              </w:rPr>
              <w:t>毒性及其标识：</w:t>
            </w:r>
            <w:r>
              <w:rPr>
                <w:rFonts w:hint="eastAsia"/>
              </w:rPr>
              <w:t xml:space="preserve"> </w:t>
            </w:r>
            <w:r>
              <w:rPr>
                <w:lang/>
              </w:rPr>
              <w:drawing>
                <wp:inline distT="0" distB="0" distL="114300" distR="114300">
                  <wp:extent cx="476250" cy="323850"/>
                  <wp:effectExtent l="0" t="0" r="0" b="0"/>
                  <wp:docPr id="430" name="图片 43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316A9D3">
        <w:tblPrEx>
          <w:tblCellMar>
            <w:top w:w="0" w:type="dxa"/>
            <w:left w:w="0" w:type="dxa"/>
            <w:bottom w:w="0" w:type="dxa"/>
            <w:right w:w="0" w:type="dxa"/>
          </w:tblCellMar>
        </w:tblPrEx>
        <w:trPr>
          <w:wBefore w:w="0" w:type="auto"/>
          <w:tblCellSpacing w:w="0" w:type="dxa"/>
        </w:trPr>
        <w:tc>
          <w:tcPr>
            <w:tcW w:w="0" w:type="auto"/>
            <w:noWrap w:val="0"/>
            <w:vAlign w:val="center"/>
          </w:tcPr>
          <w:p w14:paraId="08CAC0A2">
            <w:r>
              <w:rPr>
                <w:rStyle w:val="10"/>
                <w:rFonts w:hint="eastAsia"/>
              </w:rPr>
              <w:t>总有效成分含量：</w:t>
            </w:r>
            <w:r>
              <w:rPr>
                <w:rFonts w:hint="eastAsia"/>
              </w:rPr>
              <w:t>35%</w:t>
            </w:r>
          </w:p>
        </w:tc>
      </w:tr>
      <w:tr w14:paraId="3635A926">
        <w:tblPrEx>
          <w:tblCellMar>
            <w:top w:w="0" w:type="dxa"/>
            <w:left w:w="0" w:type="dxa"/>
            <w:bottom w:w="0" w:type="dxa"/>
            <w:right w:w="0" w:type="dxa"/>
          </w:tblCellMar>
        </w:tblPrEx>
        <w:trPr>
          <w:wBefore w:w="0" w:type="auto"/>
          <w:tblCellSpacing w:w="0" w:type="dxa"/>
        </w:trPr>
        <w:tc>
          <w:tcPr>
            <w:tcW w:w="0" w:type="auto"/>
            <w:noWrap w:val="0"/>
            <w:vAlign w:val="center"/>
          </w:tcPr>
          <w:p w14:paraId="2F942A30">
            <w:r>
              <w:rPr>
                <w:rFonts w:hint="eastAsia"/>
              </w:rPr>
              <w:t xml:space="preserve">有效成分及其含量： </w:t>
            </w:r>
          </w:p>
          <w:p w14:paraId="5854E974">
            <w:r>
              <w:rPr>
                <w:rFonts w:hint="eastAsia"/>
              </w:rPr>
              <w:t xml:space="preserve">    噻呋酰胺20%    吡唑醚菌酯15%    </w:t>
            </w:r>
          </w:p>
        </w:tc>
      </w:tr>
      <w:tr w14:paraId="6E14DBBA">
        <w:tblPrEx>
          <w:tblCellMar>
            <w:top w:w="0" w:type="dxa"/>
            <w:left w:w="0" w:type="dxa"/>
            <w:bottom w:w="0" w:type="dxa"/>
            <w:right w:w="0" w:type="dxa"/>
          </w:tblCellMar>
        </w:tblPrEx>
        <w:trPr>
          <w:wBefore w:w="0" w:type="auto"/>
          <w:tblCellSpacing w:w="0" w:type="dxa"/>
        </w:trPr>
        <w:tc>
          <w:tcPr>
            <w:tcW w:w="0" w:type="auto"/>
            <w:noWrap w:val="0"/>
            <w:vAlign w:val="center"/>
          </w:tcPr>
          <w:p w14:paraId="0F0ECDB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F68B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102A2F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0B8182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CA10B7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4DF263D">
                  <w:r>
                    <w:rPr>
                      <w:rStyle w:val="11"/>
                      <w:rFonts w:hint="eastAsia"/>
                    </w:rPr>
                    <w:t>施用方式</w:t>
                  </w:r>
                </w:p>
              </w:tc>
            </w:tr>
            <w:tr w14:paraId="07EFCB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665111">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1ED689">
                  <w:r>
                    <w:rPr>
                      <w:rStyle w:val="11"/>
                      <w:rFonts w:hint="eastAsia"/>
                    </w:rPr>
                    <w:t>黑痣病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DBF3CE">
                  <w:r>
                    <w:rPr>
                      <w:rStyle w:val="11"/>
                      <w:rFonts w:hint="eastAsia"/>
                    </w:rPr>
                    <w:t>50-75克/亩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FC7204">
                  <w:r>
                    <w:rPr>
                      <w:rStyle w:val="11"/>
                      <w:rFonts w:hint="eastAsia"/>
                    </w:rPr>
                    <w:t>沟施</w:t>
                  </w:r>
                </w:p>
              </w:tc>
            </w:tr>
          </w:tbl>
          <w:p w14:paraId="0752C4D0">
            <w:pPr>
              <w:rPr>
                <w:rFonts w:ascii="Times New Roman" w:hAnsi="Times New Roman" w:cs="Times New Roman"/>
                <w:sz w:val="20"/>
                <w:szCs w:val="20"/>
              </w:rPr>
            </w:pPr>
          </w:p>
        </w:tc>
      </w:tr>
      <w:tr w14:paraId="27FA3AD7">
        <w:tblPrEx>
          <w:tblCellMar>
            <w:top w:w="0" w:type="dxa"/>
            <w:left w:w="0" w:type="dxa"/>
            <w:bottom w:w="0" w:type="dxa"/>
            <w:right w:w="0" w:type="dxa"/>
          </w:tblCellMar>
        </w:tblPrEx>
        <w:trPr>
          <w:wBefore w:w="0" w:type="auto"/>
          <w:tblCellSpacing w:w="0" w:type="dxa"/>
        </w:trPr>
        <w:tc>
          <w:tcPr>
            <w:tcW w:w="0" w:type="auto"/>
            <w:noWrap w:val="0"/>
            <w:vAlign w:val="center"/>
          </w:tcPr>
          <w:p w14:paraId="4E0B5A12">
            <w:r>
              <w:rPr>
                <w:rStyle w:val="10"/>
                <w:rFonts w:hint="eastAsia"/>
              </w:rPr>
              <w:t>使用技术要求:</w:t>
            </w:r>
            <w:r>
              <w:rPr>
                <w:rFonts w:hint="eastAsia"/>
              </w:rPr>
              <w:br w:type="textWrapping"/>
            </w:r>
            <w:r>
              <w:rPr>
                <w:rStyle w:val="11"/>
                <w:rFonts w:hint="eastAsia"/>
              </w:rPr>
              <w:t>1、于开沟播种后将药液喷淋在块茎和周围的土壤上，使其沾满药液后覆土。 2、大风天或预计1小时内降雨，请勿施药； 3、每季最多使用1次。</w:t>
            </w:r>
          </w:p>
        </w:tc>
      </w:tr>
      <w:tr w14:paraId="00336564">
        <w:tblPrEx>
          <w:tblCellMar>
            <w:top w:w="0" w:type="dxa"/>
            <w:left w:w="0" w:type="dxa"/>
            <w:bottom w:w="0" w:type="dxa"/>
            <w:right w:w="0" w:type="dxa"/>
          </w:tblCellMar>
        </w:tblPrEx>
        <w:trPr>
          <w:wBefore w:w="0" w:type="auto"/>
          <w:tblCellSpacing w:w="0" w:type="dxa"/>
        </w:trPr>
        <w:tc>
          <w:tcPr>
            <w:tcW w:w="0" w:type="auto"/>
            <w:noWrap w:val="0"/>
            <w:vAlign w:val="center"/>
          </w:tcPr>
          <w:p w14:paraId="65B0FB6D">
            <w:r>
              <w:rPr>
                <w:rStyle w:val="10"/>
                <w:rFonts w:hint="eastAsia"/>
              </w:rPr>
              <w:t>产品性能:</w:t>
            </w:r>
            <w:r>
              <w:rPr>
                <w:rFonts w:hint="eastAsia"/>
              </w:rPr>
              <w:br w:type="textWrapping"/>
            </w:r>
            <w:r>
              <w:rPr>
                <w:rStyle w:val="11"/>
                <w:rFonts w:hint="eastAsia"/>
              </w:rPr>
              <w:t>本品是由甲氧基丙烯酸酯类吡唑醚菌酯和琥珀酸酯脱氢酶抑制剂噻呋酰胺复配而成，作用机理不同，具有增效作用。并可以有效延缓病原菌抗药性的产生。有强內吸传导和渗透作用,可迅速被植物吸收，在植物体内传导，且持效期长。对于马铃薯黑痣病同时具有预防和治疗活性。</w:t>
            </w:r>
          </w:p>
        </w:tc>
      </w:tr>
      <w:tr w14:paraId="27D19320">
        <w:tblPrEx>
          <w:tblCellMar>
            <w:top w:w="0" w:type="dxa"/>
            <w:left w:w="0" w:type="dxa"/>
            <w:bottom w:w="0" w:type="dxa"/>
            <w:right w:w="0" w:type="dxa"/>
          </w:tblCellMar>
        </w:tblPrEx>
        <w:trPr>
          <w:wBefore w:w="0" w:type="auto"/>
          <w:tblCellSpacing w:w="0" w:type="dxa"/>
        </w:trPr>
        <w:tc>
          <w:tcPr>
            <w:tcW w:w="0" w:type="auto"/>
            <w:noWrap w:val="0"/>
            <w:vAlign w:val="center"/>
          </w:tcPr>
          <w:p w14:paraId="394112EA">
            <w:r>
              <w:rPr>
                <w:rStyle w:val="10"/>
                <w:rFonts w:hint="eastAsia"/>
              </w:rPr>
              <w:t>注意事项：</w:t>
            </w:r>
            <w:r>
              <w:rPr>
                <w:rFonts w:hint="eastAsia"/>
              </w:rPr>
              <w:br w:type="textWrapping"/>
            </w:r>
            <w:r>
              <w:rPr>
                <w:rStyle w:val="11"/>
                <w:rFonts w:hint="eastAsia"/>
              </w:rPr>
              <w:t>1. 使用本品应采取相应的安全防护措施，使用时穿戴长衣、长裤、帽子、口罩、手套等安全防护措施。避免皮肤接触及口鼻吸入。使用中不可吸烟、饮水及吃东西，使用后及时清洗手、脸等暴露部位皮肤并更换衣物。 2. 禁止在河塘等水体中清洗施药器具；远离水产养殖工、河塘等水体施药或水产养殖区、河塘等水体附近禁用；鱼或虾蟹套养稻田禁用、施药后的田水不得直接排入水体。蚕室和桑园附近禁用。 3. 用过的容器应妥善处理，不可做他用，也不可随意丢弃。农药包装废弃物应及时交回农药经营者。 4．孕妇及哺乳期妇女避免接触。</w:t>
            </w:r>
          </w:p>
        </w:tc>
      </w:tr>
      <w:tr w14:paraId="6090AFDA">
        <w:tblPrEx>
          <w:tblCellMar>
            <w:top w:w="0" w:type="dxa"/>
            <w:left w:w="0" w:type="dxa"/>
            <w:bottom w:w="0" w:type="dxa"/>
            <w:right w:w="0" w:type="dxa"/>
          </w:tblCellMar>
        </w:tblPrEx>
        <w:trPr>
          <w:wBefore w:w="0" w:type="auto"/>
          <w:tblCellSpacing w:w="0" w:type="dxa"/>
        </w:trPr>
        <w:tc>
          <w:tcPr>
            <w:tcW w:w="0" w:type="auto"/>
            <w:noWrap w:val="0"/>
            <w:vAlign w:val="center"/>
          </w:tcPr>
          <w:p w14:paraId="291775F1">
            <w:r>
              <w:rPr>
                <w:rStyle w:val="10"/>
                <w:rFonts w:hint="eastAsia"/>
              </w:rPr>
              <w:t>中毒急救措施：</w:t>
            </w:r>
            <w:r>
              <w:rPr>
                <w:rFonts w:hint="eastAsia"/>
              </w:rPr>
              <w:br w:type="textWrapping"/>
            </w:r>
            <w:r>
              <w:rPr>
                <w:rStyle w:val="11"/>
                <w:rFonts w:hint="eastAsia"/>
              </w:rPr>
              <w:t xml:space="preserve">使用中或使用后如果感觉不适，应立即停止工作，采取急救措施，并携带标签送医院就诊。 1. 皮肤接触：脱去污染的衣物，用软布去除沾染农药，立即用大量清水和肥皂冲洗。 2. 眼睛溅入：立即用流动清水冲洗不少于15分钟。 3. 吸入：立即离开施药现场，转移到空气清新处。 4. 误食：立即停止服用，用清水充分漱口后，立即携带农药标签到医院就诊。 5.解毒剂：无专用解毒剂，对症治疗。 </w:t>
            </w:r>
          </w:p>
        </w:tc>
      </w:tr>
      <w:tr w14:paraId="2A705CAE">
        <w:tblPrEx>
          <w:tblCellMar>
            <w:top w:w="0" w:type="dxa"/>
            <w:left w:w="0" w:type="dxa"/>
            <w:bottom w:w="0" w:type="dxa"/>
            <w:right w:w="0" w:type="dxa"/>
          </w:tblCellMar>
        </w:tblPrEx>
        <w:trPr>
          <w:wBefore w:w="0" w:type="auto"/>
          <w:tblCellSpacing w:w="0" w:type="dxa"/>
        </w:trPr>
        <w:tc>
          <w:tcPr>
            <w:tcW w:w="0" w:type="auto"/>
            <w:noWrap w:val="0"/>
            <w:vAlign w:val="center"/>
          </w:tcPr>
          <w:p w14:paraId="794084DE">
            <w:r>
              <w:rPr>
                <w:rStyle w:val="10"/>
                <w:rFonts w:hint="eastAsia"/>
              </w:rPr>
              <w:t>储存和运输方法：</w:t>
            </w:r>
            <w:r>
              <w:rPr>
                <w:rFonts w:hint="eastAsia"/>
              </w:rPr>
              <w:br w:type="textWrapping"/>
            </w:r>
            <w:r>
              <w:rPr>
                <w:rStyle w:val="11"/>
                <w:rFonts w:hint="eastAsia"/>
              </w:rPr>
              <w:t>本品应储存在干燥、阴凉、通风、防雨处，远离火源或热源。应当置于儿童、无关人员触及不到之处，并加锁保存；勿与食物、饮料、粮食和动物饲料在一起存放或运输。</w:t>
            </w:r>
          </w:p>
        </w:tc>
      </w:tr>
      <w:tr w14:paraId="6BCAA4C9">
        <w:tblPrEx>
          <w:tblCellMar>
            <w:top w:w="0" w:type="dxa"/>
            <w:left w:w="0" w:type="dxa"/>
            <w:bottom w:w="0" w:type="dxa"/>
            <w:right w:w="0" w:type="dxa"/>
          </w:tblCellMar>
        </w:tblPrEx>
        <w:trPr>
          <w:wBefore w:w="0" w:type="auto"/>
          <w:tblCellSpacing w:w="0" w:type="dxa"/>
        </w:trPr>
        <w:tc>
          <w:tcPr>
            <w:tcW w:w="0" w:type="auto"/>
            <w:noWrap w:val="0"/>
            <w:vAlign w:val="center"/>
          </w:tcPr>
          <w:p w14:paraId="0BCAA14F">
            <w:r>
              <w:rPr>
                <w:rStyle w:val="10"/>
                <w:rFonts w:hint="eastAsia"/>
              </w:rPr>
              <w:t>质量保证期：</w:t>
            </w:r>
            <w:r>
              <w:rPr>
                <w:rStyle w:val="11"/>
                <w:rFonts w:hint="eastAsia"/>
              </w:rPr>
              <w:t>2年</w:t>
            </w:r>
          </w:p>
        </w:tc>
      </w:tr>
      <w:tr w14:paraId="3CEF3D05">
        <w:tblPrEx>
          <w:tblCellMar>
            <w:top w:w="0" w:type="dxa"/>
            <w:left w:w="0" w:type="dxa"/>
            <w:bottom w:w="0" w:type="dxa"/>
            <w:right w:w="0" w:type="dxa"/>
          </w:tblCellMar>
        </w:tblPrEx>
        <w:trPr>
          <w:wBefore w:w="0" w:type="auto"/>
          <w:tblCellSpacing w:w="0" w:type="dxa"/>
        </w:trPr>
        <w:tc>
          <w:tcPr>
            <w:tcW w:w="0" w:type="auto"/>
            <w:noWrap w:val="0"/>
            <w:vAlign w:val="center"/>
          </w:tcPr>
          <w:p w14:paraId="2DE41D43">
            <w:r>
              <w:rPr>
                <w:rStyle w:val="10"/>
                <w:rFonts w:hint="eastAsia"/>
              </w:rPr>
              <w:t>备注：</w:t>
            </w:r>
          </w:p>
        </w:tc>
      </w:tr>
    </w:tbl>
    <w:p w14:paraId="0413D56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CF954B7">
        <w:tblPrEx>
          <w:tblCellMar>
            <w:top w:w="0" w:type="dxa"/>
            <w:left w:w="0" w:type="dxa"/>
            <w:bottom w:w="0" w:type="dxa"/>
            <w:right w:w="0" w:type="dxa"/>
          </w:tblCellMar>
        </w:tblPrEx>
        <w:trPr>
          <w:wBefore w:w="0" w:type="auto"/>
          <w:tblCellSpacing w:w="0" w:type="dxa"/>
        </w:trPr>
        <w:tc>
          <w:tcPr>
            <w:tcW w:w="0" w:type="auto"/>
            <w:noWrap w:val="0"/>
            <w:vAlign w:val="center"/>
          </w:tcPr>
          <w:p w14:paraId="73065F0A">
            <w:r>
              <w:rPr>
                <w:rStyle w:val="10"/>
                <w:rFonts w:hint="eastAsia"/>
              </w:rPr>
              <w:t>登记证号：</w:t>
            </w:r>
            <w:r>
              <w:rPr>
                <w:rFonts w:hint="eastAsia"/>
              </w:rPr>
              <w:t>PD20212035</w:t>
            </w:r>
          </w:p>
        </w:tc>
      </w:tr>
      <w:tr w14:paraId="4D78952B">
        <w:tblPrEx>
          <w:tblCellMar>
            <w:top w:w="0" w:type="dxa"/>
            <w:left w:w="0" w:type="dxa"/>
            <w:bottom w:w="0" w:type="dxa"/>
            <w:right w:w="0" w:type="dxa"/>
          </w:tblCellMar>
        </w:tblPrEx>
        <w:trPr>
          <w:wBefore w:w="0" w:type="auto"/>
          <w:tblCellSpacing w:w="0" w:type="dxa"/>
        </w:trPr>
        <w:tc>
          <w:tcPr>
            <w:tcW w:w="0" w:type="auto"/>
            <w:noWrap w:val="0"/>
            <w:vAlign w:val="center"/>
          </w:tcPr>
          <w:p w14:paraId="42ECC8CA">
            <w:r>
              <w:rPr>
                <w:rStyle w:val="10"/>
                <w:rFonts w:hint="eastAsia"/>
              </w:rPr>
              <w:t>登记证持有人：</w:t>
            </w:r>
            <w:r>
              <w:rPr>
                <w:rFonts w:hint="eastAsia"/>
              </w:rPr>
              <w:t>海南利蒙特生物科技有限公司</w:t>
            </w:r>
          </w:p>
        </w:tc>
      </w:tr>
      <w:tr w14:paraId="0CF42845">
        <w:tblPrEx>
          <w:tblCellMar>
            <w:top w:w="0" w:type="dxa"/>
            <w:left w:w="0" w:type="dxa"/>
            <w:bottom w:w="0" w:type="dxa"/>
            <w:right w:w="0" w:type="dxa"/>
          </w:tblCellMar>
        </w:tblPrEx>
        <w:trPr>
          <w:wBefore w:w="0" w:type="auto"/>
          <w:tblCellSpacing w:w="0" w:type="dxa"/>
        </w:trPr>
        <w:tc>
          <w:tcPr>
            <w:tcW w:w="0" w:type="auto"/>
            <w:noWrap w:val="0"/>
            <w:vAlign w:val="center"/>
          </w:tcPr>
          <w:p w14:paraId="68A12FCF">
            <w:r>
              <w:rPr>
                <w:rStyle w:val="10"/>
                <w:rFonts w:hint="eastAsia"/>
              </w:rPr>
              <w:t>农药名称：</w:t>
            </w:r>
            <w:r>
              <w:rPr>
                <w:rFonts w:hint="eastAsia"/>
              </w:rPr>
              <w:t>24-表芸·赤霉酸</w:t>
            </w:r>
          </w:p>
        </w:tc>
      </w:tr>
      <w:tr w14:paraId="20F9F8D1">
        <w:tblPrEx>
          <w:tblCellMar>
            <w:top w:w="0" w:type="dxa"/>
            <w:left w:w="0" w:type="dxa"/>
            <w:bottom w:w="0" w:type="dxa"/>
            <w:right w:w="0" w:type="dxa"/>
          </w:tblCellMar>
        </w:tblPrEx>
        <w:trPr>
          <w:wBefore w:w="0" w:type="auto"/>
          <w:tblCellSpacing w:w="0" w:type="dxa"/>
        </w:trPr>
        <w:tc>
          <w:tcPr>
            <w:tcW w:w="0" w:type="auto"/>
            <w:noWrap w:val="0"/>
            <w:vAlign w:val="center"/>
          </w:tcPr>
          <w:p w14:paraId="1BCD9B66">
            <w:r>
              <w:rPr>
                <w:rStyle w:val="10"/>
                <w:rFonts w:hint="eastAsia"/>
              </w:rPr>
              <w:t>剂型：</w:t>
            </w:r>
            <w:r>
              <w:rPr>
                <w:rFonts w:hint="eastAsia"/>
              </w:rPr>
              <w:t>可溶液剂</w:t>
            </w:r>
          </w:p>
        </w:tc>
      </w:tr>
      <w:tr w14:paraId="7D29F678">
        <w:tblPrEx>
          <w:tblCellMar>
            <w:top w:w="0" w:type="dxa"/>
            <w:left w:w="0" w:type="dxa"/>
            <w:bottom w:w="0" w:type="dxa"/>
            <w:right w:w="0" w:type="dxa"/>
          </w:tblCellMar>
        </w:tblPrEx>
        <w:trPr>
          <w:wBefore w:w="0" w:type="auto"/>
          <w:tblCellSpacing w:w="0" w:type="dxa"/>
        </w:trPr>
        <w:tc>
          <w:tcPr>
            <w:tcW w:w="0" w:type="auto"/>
            <w:noWrap w:val="0"/>
            <w:vAlign w:val="center"/>
          </w:tcPr>
          <w:p w14:paraId="5F9C9630">
            <w:r>
              <w:rPr>
                <w:rStyle w:val="10"/>
                <w:rFonts w:hint="eastAsia"/>
              </w:rPr>
              <w:t>毒性及其标识：</w:t>
            </w:r>
            <w:r>
              <w:rPr>
                <w:rFonts w:hint="eastAsia"/>
              </w:rPr>
              <w:t xml:space="preserve"> </w:t>
            </w:r>
            <w:r>
              <w:rPr>
                <w:lang/>
              </w:rPr>
              <w:drawing>
                <wp:inline distT="0" distB="0" distL="114300" distR="114300">
                  <wp:extent cx="476250" cy="323850"/>
                  <wp:effectExtent l="0" t="0" r="0" b="0"/>
                  <wp:docPr id="431" name="图片 43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DB0341">
        <w:tblPrEx>
          <w:tblCellMar>
            <w:top w:w="0" w:type="dxa"/>
            <w:left w:w="0" w:type="dxa"/>
            <w:bottom w:w="0" w:type="dxa"/>
            <w:right w:w="0" w:type="dxa"/>
          </w:tblCellMar>
        </w:tblPrEx>
        <w:trPr>
          <w:wBefore w:w="0" w:type="auto"/>
          <w:tblCellSpacing w:w="0" w:type="dxa"/>
        </w:trPr>
        <w:tc>
          <w:tcPr>
            <w:tcW w:w="0" w:type="auto"/>
            <w:noWrap w:val="0"/>
            <w:vAlign w:val="center"/>
          </w:tcPr>
          <w:p w14:paraId="266F5230">
            <w:r>
              <w:rPr>
                <w:rStyle w:val="10"/>
                <w:rFonts w:hint="eastAsia"/>
              </w:rPr>
              <w:t>总有效成分含量：</w:t>
            </w:r>
            <w:r>
              <w:rPr>
                <w:rFonts w:hint="eastAsia"/>
              </w:rPr>
              <w:t>0.4%</w:t>
            </w:r>
          </w:p>
        </w:tc>
      </w:tr>
      <w:tr w14:paraId="16C0821A">
        <w:tblPrEx>
          <w:tblCellMar>
            <w:top w:w="0" w:type="dxa"/>
            <w:left w:w="0" w:type="dxa"/>
            <w:bottom w:w="0" w:type="dxa"/>
            <w:right w:w="0" w:type="dxa"/>
          </w:tblCellMar>
        </w:tblPrEx>
        <w:trPr>
          <w:wBefore w:w="0" w:type="auto"/>
          <w:tblCellSpacing w:w="0" w:type="dxa"/>
        </w:trPr>
        <w:tc>
          <w:tcPr>
            <w:tcW w:w="0" w:type="auto"/>
            <w:noWrap w:val="0"/>
            <w:vAlign w:val="center"/>
          </w:tcPr>
          <w:p w14:paraId="466E2415">
            <w:r>
              <w:rPr>
                <w:rFonts w:hint="eastAsia"/>
              </w:rPr>
              <w:t xml:space="preserve">有效成分及其含量： </w:t>
            </w:r>
          </w:p>
          <w:p w14:paraId="4B2AA863">
            <w:r>
              <w:rPr>
                <w:rFonts w:hint="eastAsia"/>
              </w:rPr>
              <w:t xml:space="preserve">    24-表芸苔素内酯0.002%    赤霉酸0.398%    </w:t>
            </w:r>
          </w:p>
        </w:tc>
      </w:tr>
      <w:tr w14:paraId="69CF37CB">
        <w:tblPrEx>
          <w:tblCellMar>
            <w:top w:w="0" w:type="dxa"/>
            <w:left w:w="0" w:type="dxa"/>
            <w:bottom w:w="0" w:type="dxa"/>
            <w:right w:w="0" w:type="dxa"/>
          </w:tblCellMar>
        </w:tblPrEx>
        <w:trPr>
          <w:wBefore w:w="0" w:type="auto"/>
          <w:tblCellSpacing w:w="0" w:type="dxa"/>
        </w:trPr>
        <w:tc>
          <w:tcPr>
            <w:tcW w:w="0" w:type="auto"/>
            <w:noWrap w:val="0"/>
            <w:vAlign w:val="center"/>
          </w:tcPr>
          <w:p w14:paraId="717C7C9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438D4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D5E87A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D11A8D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EDB987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8029246">
                  <w:r>
                    <w:rPr>
                      <w:rStyle w:val="11"/>
                      <w:rFonts w:hint="eastAsia"/>
                    </w:rPr>
                    <w:t>施用方式</w:t>
                  </w:r>
                </w:p>
              </w:tc>
            </w:tr>
            <w:tr w14:paraId="1F041C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79AC5EC">
                  <w:r>
                    <w:rPr>
                      <w:rStyle w:val="11"/>
                      <w:rFonts w:hint="eastAsia"/>
                    </w:rPr>
                    <w:t>豇豆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35EDBF">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76A685">
                  <w:r>
                    <w:rPr>
                      <w:rStyle w:val="11"/>
                      <w:rFonts w:hint="eastAsia"/>
                    </w:rPr>
                    <w:t>1000-2000倍液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3D3CA5">
                  <w:r>
                    <w:rPr>
                      <w:rStyle w:val="11"/>
                      <w:rFonts w:hint="eastAsia"/>
                    </w:rPr>
                    <w:t>喷雾</w:t>
                  </w:r>
                </w:p>
              </w:tc>
            </w:tr>
          </w:tbl>
          <w:p w14:paraId="7115F63B">
            <w:pPr>
              <w:rPr>
                <w:rFonts w:ascii="Times New Roman" w:hAnsi="Times New Roman" w:cs="Times New Roman"/>
                <w:sz w:val="20"/>
                <w:szCs w:val="20"/>
              </w:rPr>
            </w:pPr>
          </w:p>
        </w:tc>
      </w:tr>
      <w:tr w14:paraId="2C1D4CCA">
        <w:tblPrEx>
          <w:tblCellMar>
            <w:top w:w="0" w:type="dxa"/>
            <w:left w:w="0" w:type="dxa"/>
            <w:bottom w:w="0" w:type="dxa"/>
            <w:right w:w="0" w:type="dxa"/>
          </w:tblCellMar>
        </w:tblPrEx>
        <w:trPr>
          <w:wBefore w:w="0" w:type="auto"/>
          <w:tblCellSpacing w:w="0" w:type="dxa"/>
        </w:trPr>
        <w:tc>
          <w:tcPr>
            <w:tcW w:w="0" w:type="auto"/>
            <w:noWrap w:val="0"/>
            <w:vAlign w:val="center"/>
          </w:tcPr>
          <w:p w14:paraId="674550ED">
            <w:r>
              <w:rPr>
                <w:rStyle w:val="10"/>
                <w:rFonts w:hint="eastAsia"/>
              </w:rPr>
              <w:t>使用技术要求:</w:t>
            </w:r>
            <w:r>
              <w:rPr>
                <w:rFonts w:hint="eastAsia"/>
              </w:rPr>
              <w:br w:type="textWrapping"/>
            </w:r>
            <w:r>
              <w:rPr>
                <w:rStyle w:val="11"/>
                <w:rFonts w:hint="eastAsia"/>
              </w:rPr>
              <w:t>1.于豇豆豆荚生长初期施药，间隔7天施药1次，连续施药2次，兑水常规均匀喷雾。 2. 大风或预计4个小时内下雨，请勿施药。</w:t>
            </w:r>
          </w:p>
        </w:tc>
      </w:tr>
      <w:tr w14:paraId="78DA6F4B">
        <w:tblPrEx>
          <w:tblCellMar>
            <w:top w:w="0" w:type="dxa"/>
            <w:left w:w="0" w:type="dxa"/>
            <w:bottom w:w="0" w:type="dxa"/>
            <w:right w:w="0" w:type="dxa"/>
          </w:tblCellMar>
        </w:tblPrEx>
        <w:trPr>
          <w:wBefore w:w="0" w:type="auto"/>
          <w:tblCellSpacing w:w="0" w:type="dxa"/>
        </w:trPr>
        <w:tc>
          <w:tcPr>
            <w:tcW w:w="0" w:type="auto"/>
            <w:noWrap w:val="0"/>
            <w:vAlign w:val="center"/>
          </w:tcPr>
          <w:p w14:paraId="520F52F2">
            <w:r>
              <w:rPr>
                <w:rStyle w:val="10"/>
                <w:rFonts w:hint="eastAsia"/>
              </w:rPr>
              <w:t>产品性能:</w:t>
            </w:r>
            <w:r>
              <w:rPr>
                <w:rFonts w:hint="eastAsia"/>
              </w:rPr>
              <w:br w:type="textWrapping"/>
            </w:r>
            <w:r>
              <w:rPr>
                <w:rStyle w:val="11"/>
                <w:rFonts w:hint="eastAsia"/>
              </w:rPr>
              <w:t>24-表芸苔素内酯是一种新型绿色环保植物生长调节剂，可以促近作物生长。赤霉酸是一种广谱性植物生长调节剂，是促进植物生长发育的重要激素之一，是多效唑、矮壮素等生长抑制剂的拮抗剂。该药可促进细胞，茎伸长，叶片扩大，单性结实、果实生长，打破种子休眠，改变雌 、雄花比率，影响开花时间，减少花、果的脱落。二者在功能上相似，复配后明显增效，有效提高两者单剂的作用，在豇豆上可有效促进果实生长，推荐剂量下对作物安全。</w:t>
            </w:r>
          </w:p>
        </w:tc>
      </w:tr>
      <w:tr w14:paraId="000439EC">
        <w:tblPrEx>
          <w:tblCellMar>
            <w:top w:w="0" w:type="dxa"/>
            <w:left w:w="0" w:type="dxa"/>
            <w:bottom w:w="0" w:type="dxa"/>
            <w:right w:w="0" w:type="dxa"/>
          </w:tblCellMar>
        </w:tblPrEx>
        <w:trPr>
          <w:wBefore w:w="0" w:type="auto"/>
          <w:tblCellSpacing w:w="0" w:type="dxa"/>
        </w:trPr>
        <w:tc>
          <w:tcPr>
            <w:tcW w:w="0" w:type="auto"/>
            <w:noWrap w:val="0"/>
            <w:vAlign w:val="center"/>
          </w:tcPr>
          <w:p w14:paraId="458AB7B2">
            <w:r>
              <w:rPr>
                <w:rStyle w:val="10"/>
                <w:rFonts w:hint="eastAsia"/>
              </w:rPr>
              <w:t>注意事项：</w:t>
            </w:r>
            <w:r>
              <w:rPr>
                <w:rFonts w:hint="eastAsia"/>
              </w:rPr>
              <w:br w:type="textWrapping"/>
            </w:r>
            <w:r>
              <w:rPr>
                <w:rStyle w:val="11"/>
                <w:rFonts w:hint="eastAsia"/>
              </w:rPr>
              <w:t>1. 本品为植物生长调节剂，使用时加强作物的水肥管理以便能更好的生 长。 2. 禁止在河塘等水体中清洗施药器具，避免污染水源。 3. 使用本品时，应穿防护服，戴口罩或防毒面具以及胶皮手套，避免吸 入药液，污染皮肤和眼睛，施药期间不可吃东西和饮水。施药完毕后应 及时换洗衣物，洗净手和脸。 4. 用过的容器应妥善处理，不可做他用，也不可随意丢弃。 5. 孕妇及哺乳期妇女禁止接触本品。 6. 蚕室及桑园附近禁用。使用本品时密切关注对附近蜂群的影响。 7. 避免与氧化剂接触。</w:t>
            </w:r>
          </w:p>
        </w:tc>
      </w:tr>
      <w:tr w14:paraId="25C543DF">
        <w:tblPrEx>
          <w:tblCellMar>
            <w:top w:w="0" w:type="dxa"/>
            <w:left w:w="0" w:type="dxa"/>
            <w:bottom w:w="0" w:type="dxa"/>
            <w:right w:w="0" w:type="dxa"/>
          </w:tblCellMar>
        </w:tblPrEx>
        <w:trPr>
          <w:wBefore w:w="0" w:type="auto"/>
          <w:tblCellSpacing w:w="0" w:type="dxa"/>
        </w:trPr>
        <w:tc>
          <w:tcPr>
            <w:tcW w:w="0" w:type="auto"/>
            <w:noWrap w:val="0"/>
            <w:vAlign w:val="center"/>
          </w:tcPr>
          <w:p w14:paraId="10BB9880">
            <w:r>
              <w:rPr>
                <w:rStyle w:val="10"/>
                <w:rFonts w:hint="eastAsia"/>
              </w:rPr>
              <w:t>中毒急救措施：</w:t>
            </w:r>
            <w:r>
              <w:rPr>
                <w:rFonts w:hint="eastAsia"/>
              </w:rPr>
              <w:br w:type="textWrapping"/>
            </w:r>
            <w:r>
              <w:rPr>
                <w:rStyle w:val="11"/>
                <w:rFonts w:hint="eastAsia"/>
              </w:rPr>
              <w:t>如接触皮肤，应用肥皂和大量清水彻底清洗皮肤表面。如药液接触眼睛，应用大量清水至少清洗15分钟。如五氟，携带本标签立即就医，无特殊解毒药剂，大量吞服是可洗胃。</w:t>
            </w:r>
          </w:p>
        </w:tc>
      </w:tr>
      <w:tr w14:paraId="7C115336">
        <w:tblPrEx>
          <w:tblCellMar>
            <w:top w:w="0" w:type="dxa"/>
            <w:left w:w="0" w:type="dxa"/>
            <w:bottom w:w="0" w:type="dxa"/>
            <w:right w:w="0" w:type="dxa"/>
          </w:tblCellMar>
        </w:tblPrEx>
        <w:trPr>
          <w:wBefore w:w="0" w:type="auto"/>
          <w:tblCellSpacing w:w="0" w:type="dxa"/>
        </w:trPr>
        <w:tc>
          <w:tcPr>
            <w:tcW w:w="0" w:type="auto"/>
            <w:noWrap w:val="0"/>
            <w:vAlign w:val="center"/>
          </w:tcPr>
          <w:p w14:paraId="64268FA1">
            <w:r>
              <w:rPr>
                <w:rStyle w:val="10"/>
                <w:rFonts w:hint="eastAsia"/>
              </w:rPr>
              <w:t>储存和运输方法：</w:t>
            </w:r>
            <w:r>
              <w:rPr>
                <w:rFonts w:hint="eastAsia"/>
              </w:rPr>
              <w:br w:type="textWrapping"/>
            </w:r>
            <w:r>
              <w:rPr>
                <w:rStyle w:val="11"/>
                <w:rFonts w:hint="eastAsia"/>
              </w:rPr>
              <w:t>本品属易燃液体，应贮存在干燥、阴凉、通风、防雨处，远离火源或热源。置于儿童、无关人员触及不到之处，并加锁。勿与食品、饮料、饲料、粮食等同贮同运。</w:t>
            </w:r>
          </w:p>
        </w:tc>
      </w:tr>
      <w:tr w14:paraId="5F09C6D1">
        <w:tblPrEx>
          <w:tblCellMar>
            <w:top w:w="0" w:type="dxa"/>
            <w:left w:w="0" w:type="dxa"/>
            <w:bottom w:w="0" w:type="dxa"/>
            <w:right w:w="0" w:type="dxa"/>
          </w:tblCellMar>
        </w:tblPrEx>
        <w:trPr>
          <w:wBefore w:w="0" w:type="auto"/>
          <w:tblCellSpacing w:w="0" w:type="dxa"/>
        </w:trPr>
        <w:tc>
          <w:tcPr>
            <w:tcW w:w="0" w:type="auto"/>
            <w:noWrap w:val="0"/>
            <w:vAlign w:val="center"/>
          </w:tcPr>
          <w:p w14:paraId="69C7DF59">
            <w:r>
              <w:rPr>
                <w:rStyle w:val="10"/>
                <w:rFonts w:hint="eastAsia"/>
              </w:rPr>
              <w:t>质量保证期：</w:t>
            </w:r>
            <w:r>
              <w:rPr>
                <w:rStyle w:val="11"/>
                <w:rFonts w:hint="eastAsia"/>
              </w:rPr>
              <w:t>2年</w:t>
            </w:r>
          </w:p>
        </w:tc>
      </w:tr>
      <w:tr w14:paraId="1CE07C06">
        <w:tblPrEx>
          <w:tblCellMar>
            <w:top w:w="0" w:type="dxa"/>
            <w:left w:w="0" w:type="dxa"/>
            <w:bottom w:w="0" w:type="dxa"/>
            <w:right w:w="0" w:type="dxa"/>
          </w:tblCellMar>
        </w:tblPrEx>
        <w:trPr>
          <w:wBefore w:w="0" w:type="auto"/>
          <w:tblCellSpacing w:w="0" w:type="dxa"/>
        </w:trPr>
        <w:tc>
          <w:tcPr>
            <w:tcW w:w="0" w:type="auto"/>
            <w:noWrap w:val="0"/>
            <w:vAlign w:val="center"/>
          </w:tcPr>
          <w:p w14:paraId="2C6891FB">
            <w:r>
              <w:rPr>
                <w:rStyle w:val="10"/>
                <w:rFonts w:hint="eastAsia"/>
              </w:rPr>
              <w:t>备注：</w:t>
            </w:r>
          </w:p>
        </w:tc>
      </w:tr>
    </w:tbl>
    <w:p w14:paraId="2B55C22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99D73AE">
        <w:tblPrEx>
          <w:tblCellMar>
            <w:top w:w="0" w:type="dxa"/>
            <w:left w:w="0" w:type="dxa"/>
            <w:bottom w:w="0" w:type="dxa"/>
            <w:right w:w="0" w:type="dxa"/>
          </w:tblCellMar>
        </w:tblPrEx>
        <w:trPr>
          <w:wBefore w:w="0" w:type="auto"/>
          <w:tblCellSpacing w:w="0" w:type="dxa"/>
        </w:trPr>
        <w:tc>
          <w:tcPr>
            <w:tcW w:w="0" w:type="auto"/>
            <w:noWrap w:val="0"/>
            <w:vAlign w:val="center"/>
          </w:tcPr>
          <w:p w14:paraId="45A14949">
            <w:r>
              <w:rPr>
                <w:rStyle w:val="10"/>
                <w:rFonts w:hint="eastAsia"/>
              </w:rPr>
              <w:t>登记证号：</w:t>
            </w:r>
            <w:r>
              <w:rPr>
                <w:rFonts w:hint="eastAsia"/>
              </w:rPr>
              <w:t>PD20211824</w:t>
            </w:r>
          </w:p>
        </w:tc>
      </w:tr>
      <w:tr w14:paraId="17C1B648">
        <w:tblPrEx>
          <w:tblCellMar>
            <w:top w:w="0" w:type="dxa"/>
            <w:left w:w="0" w:type="dxa"/>
            <w:bottom w:w="0" w:type="dxa"/>
            <w:right w:w="0" w:type="dxa"/>
          </w:tblCellMar>
        </w:tblPrEx>
        <w:trPr>
          <w:wBefore w:w="0" w:type="auto"/>
          <w:tblCellSpacing w:w="0" w:type="dxa"/>
        </w:trPr>
        <w:tc>
          <w:tcPr>
            <w:tcW w:w="0" w:type="auto"/>
            <w:noWrap w:val="0"/>
            <w:vAlign w:val="center"/>
          </w:tcPr>
          <w:p w14:paraId="69E26EEE">
            <w:r>
              <w:rPr>
                <w:rStyle w:val="10"/>
                <w:rFonts w:hint="eastAsia"/>
              </w:rPr>
              <w:t>登记证持有人：</w:t>
            </w:r>
            <w:r>
              <w:rPr>
                <w:rFonts w:hint="eastAsia"/>
              </w:rPr>
              <w:t>吉林省八达农药有限公司</w:t>
            </w:r>
          </w:p>
        </w:tc>
      </w:tr>
      <w:tr w14:paraId="62A02E67">
        <w:tblPrEx>
          <w:tblCellMar>
            <w:top w:w="0" w:type="dxa"/>
            <w:left w:w="0" w:type="dxa"/>
            <w:bottom w:w="0" w:type="dxa"/>
            <w:right w:w="0" w:type="dxa"/>
          </w:tblCellMar>
        </w:tblPrEx>
        <w:trPr>
          <w:wBefore w:w="0" w:type="auto"/>
          <w:tblCellSpacing w:w="0" w:type="dxa"/>
        </w:trPr>
        <w:tc>
          <w:tcPr>
            <w:tcW w:w="0" w:type="auto"/>
            <w:noWrap w:val="0"/>
            <w:vAlign w:val="center"/>
          </w:tcPr>
          <w:p w14:paraId="1C61D751">
            <w:r>
              <w:rPr>
                <w:rStyle w:val="10"/>
                <w:rFonts w:hint="eastAsia"/>
              </w:rPr>
              <w:t>农药名称：</w:t>
            </w:r>
            <w:r>
              <w:rPr>
                <w:rFonts w:hint="eastAsia"/>
              </w:rPr>
              <w:t>联苯肼酯·乙螨唑</w:t>
            </w:r>
          </w:p>
        </w:tc>
      </w:tr>
      <w:tr w14:paraId="6E5898CC">
        <w:tblPrEx>
          <w:tblCellMar>
            <w:top w:w="0" w:type="dxa"/>
            <w:left w:w="0" w:type="dxa"/>
            <w:bottom w:w="0" w:type="dxa"/>
            <w:right w:w="0" w:type="dxa"/>
          </w:tblCellMar>
        </w:tblPrEx>
        <w:trPr>
          <w:wBefore w:w="0" w:type="auto"/>
          <w:tblCellSpacing w:w="0" w:type="dxa"/>
        </w:trPr>
        <w:tc>
          <w:tcPr>
            <w:tcW w:w="0" w:type="auto"/>
            <w:noWrap w:val="0"/>
            <w:vAlign w:val="center"/>
          </w:tcPr>
          <w:p w14:paraId="0FEFB68B">
            <w:r>
              <w:rPr>
                <w:rStyle w:val="10"/>
                <w:rFonts w:hint="eastAsia"/>
              </w:rPr>
              <w:t>剂型：</w:t>
            </w:r>
            <w:r>
              <w:rPr>
                <w:rFonts w:hint="eastAsia"/>
              </w:rPr>
              <w:t>悬浮剂</w:t>
            </w:r>
          </w:p>
        </w:tc>
      </w:tr>
      <w:tr w14:paraId="396B5915">
        <w:tblPrEx>
          <w:tblCellMar>
            <w:top w:w="0" w:type="dxa"/>
            <w:left w:w="0" w:type="dxa"/>
            <w:bottom w:w="0" w:type="dxa"/>
            <w:right w:w="0" w:type="dxa"/>
          </w:tblCellMar>
        </w:tblPrEx>
        <w:trPr>
          <w:wBefore w:w="0" w:type="auto"/>
          <w:tblCellSpacing w:w="0" w:type="dxa"/>
        </w:trPr>
        <w:tc>
          <w:tcPr>
            <w:tcW w:w="0" w:type="auto"/>
            <w:noWrap w:val="0"/>
            <w:vAlign w:val="center"/>
          </w:tcPr>
          <w:p w14:paraId="046C89F6">
            <w:r>
              <w:rPr>
                <w:rStyle w:val="10"/>
                <w:rFonts w:hint="eastAsia"/>
              </w:rPr>
              <w:t>毒性及其标识：</w:t>
            </w:r>
            <w:r>
              <w:rPr>
                <w:rFonts w:hint="eastAsia"/>
              </w:rPr>
              <w:t xml:space="preserve"> </w:t>
            </w:r>
            <w:r>
              <w:rPr>
                <w:lang/>
              </w:rPr>
              <w:drawing>
                <wp:inline distT="0" distB="0" distL="114300" distR="114300">
                  <wp:extent cx="476250" cy="323850"/>
                  <wp:effectExtent l="0" t="0" r="0" b="0"/>
                  <wp:docPr id="432" name="图片 43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98BD280">
        <w:tblPrEx>
          <w:tblCellMar>
            <w:top w:w="0" w:type="dxa"/>
            <w:left w:w="0" w:type="dxa"/>
            <w:bottom w:w="0" w:type="dxa"/>
            <w:right w:w="0" w:type="dxa"/>
          </w:tblCellMar>
        </w:tblPrEx>
        <w:trPr>
          <w:wBefore w:w="0" w:type="auto"/>
          <w:tblCellSpacing w:w="0" w:type="dxa"/>
        </w:trPr>
        <w:tc>
          <w:tcPr>
            <w:tcW w:w="0" w:type="auto"/>
            <w:noWrap w:val="0"/>
            <w:vAlign w:val="center"/>
          </w:tcPr>
          <w:p w14:paraId="13D47CF5">
            <w:r>
              <w:rPr>
                <w:rStyle w:val="10"/>
                <w:rFonts w:hint="eastAsia"/>
              </w:rPr>
              <w:t>总有效成分含量：</w:t>
            </w:r>
            <w:r>
              <w:rPr>
                <w:rFonts w:hint="eastAsia"/>
              </w:rPr>
              <w:t>40%</w:t>
            </w:r>
          </w:p>
        </w:tc>
      </w:tr>
      <w:tr w14:paraId="7CAC0484">
        <w:tblPrEx>
          <w:tblCellMar>
            <w:top w:w="0" w:type="dxa"/>
            <w:left w:w="0" w:type="dxa"/>
            <w:bottom w:w="0" w:type="dxa"/>
            <w:right w:w="0" w:type="dxa"/>
          </w:tblCellMar>
        </w:tblPrEx>
        <w:trPr>
          <w:wBefore w:w="0" w:type="auto"/>
          <w:tblCellSpacing w:w="0" w:type="dxa"/>
        </w:trPr>
        <w:tc>
          <w:tcPr>
            <w:tcW w:w="0" w:type="auto"/>
            <w:noWrap w:val="0"/>
            <w:vAlign w:val="center"/>
          </w:tcPr>
          <w:p w14:paraId="20D97376">
            <w:r>
              <w:rPr>
                <w:rFonts w:hint="eastAsia"/>
              </w:rPr>
              <w:t xml:space="preserve">有效成分及其含量： </w:t>
            </w:r>
          </w:p>
          <w:p w14:paraId="51C5DFA1">
            <w:r>
              <w:rPr>
                <w:rFonts w:hint="eastAsia"/>
              </w:rPr>
              <w:t xml:space="preserve">    联苯肼酯30%    乙螨唑10%    </w:t>
            </w:r>
          </w:p>
        </w:tc>
      </w:tr>
      <w:tr w14:paraId="521ECD1E">
        <w:tblPrEx>
          <w:tblCellMar>
            <w:top w:w="0" w:type="dxa"/>
            <w:left w:w="0" w:type="dxa"/>
            <w:bottom w:w="0" w:type="dxa"/>
            <w:right w:w="0" w:type="dxa"/>
          </w:tblCellMar>
        </w:tblPrEx>
        <w:trPr>
          <w:wBefore w:w="0" w:type="auto"/>
          <w:tblCellSpacing w:w="0" w:type="dxa"/>
        </w:trPr>
        <w:tc>
          <w:tcPr>
            <w:tcW w:w="0" w:type="auto"/>
            <w:noWrap w:val="0"/>
            <w:vAlign w:val="center"/>
          </w:tcPr>
          <w:p w14:paraId="5C047E1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B9005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19437D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6E817E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3355D5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4E88E4E">
                  <w:r>
                    <w:rPr>
                      <w:rStyle w:val="11"/>
                      <w:rFonts w:hint="eastAsia"/>
                    </w:rPr>
                    <w:t>施用方式</w:t>
                  </w:r>
                </w:p>
              </w:tc>
            </w:tr>
            <w:tr w14:paraId="26666E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64F23B">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502509">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44EF3B">
                  <w:r>
                    <w:rPr>
                      <w:rStyle w:val="11"/>
                      <w:rFonts w:hint="eastAsia"/>
                    </w:rPr>
                    <w:t>4000-5000倍液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BC360E">
                  <w:r>
                    <w:rPr>
                      <w:rStyle w:val="11"/>
                      <w:rFonts w:hint="eastAsia"/>
                    </w:rPr>
                    <w:t>喷雾</w:t>
                  </w:r>
                </w:p>
              </w:tc>
            </w:tr>
          </w:tbl>
          <w:p w14:paraId="1B34A4C9">
            <w:pPr>
              <w:rPr>
                <w:rFonts w:ascii="Times New Roman" w:hAnsi="Times New Roman" w:cs="Times New Roman"/>
                <w:sz w:val="20"/>
                <w:szCs w:val="20"/>
              </w:rPr>
            </w:pPr>
          </w:p>
        </w:tc>
      </w:tr>
      <w:tr w14:paraId="18C7239C">
        <w:tblPrEx>
          <w:tblCellMar>
            <w:top w:w="0" w:type="dxa"/>
            <w:left w:w="0" w:type="dxa"/>
            <w:bottom w:w="0" w:type="dxa"/>
            <w:right w:w="0" w:type="dxa"/>
          </w:tblCellMar>
        </w:tblPrEx>
        <w:trPr>
          <w:wBefore w:w="0" w:type="auto"/>
          <w:tblCellSpacing w:w="0" w:type="dxa"/>
        </w:trPr>
        <w:tc>
          <w:tcPr>
            <w:tcW w:w="0" w:type="auto"/>
            <w:noWrap w:val="0"/>
            <w:vAlign w:val="center"/>
          </w:tcPr>
          <w:p w14:paraId="67D8A791">
            <w:r>
              <w:rPr>
                <w:rStyle w:val="10"/>
                <w:rFonts w:hint="eastAsia"/>
              </w:rPr>
              <w:t>使用技术要求:</w:t>
            </w:r>
            <w:r>
              <w:rPr>
                <w:rFonts w:hint="eastAsia"/>
              </w:rPr>
              <w:br w:type="textWrapping"/>
            </w:r>
            <w:r>
              <w:rPr>
                <w:rStyle w:val="11"/>
                <w:rFonts w:hint="eastAsia"/>
              </w:rPr>
              <w:t>1.本品应于在柑橘树红蜘蛛发生始盛期施药1次。使用本品后的柑橘至少间隔20天才能收获，每季最多使用1次。2. 大风天或预计一小时内降雨，请勿施药。</w:t>
            </w:r>
          </w:p>
        </w:tc>
      </w:tr>
      <w:tr w14:paraId="1E617281">
        <w:tblPrEx>
          <w:tblCellMar>
            <w:top w:w="0" w:type="dxa"/>
            <w:left w:w="0" w:type="dxa"/>
            <w:bottom w:w="0" w:type="dxa"/>
            <w:right w:w="0" w:type="dxa"/>
          </w:tblCellMar>
        </w:tblPrEx>
        <w:trPr>
          <w:wBefore w:w="0" w:type="auto"/>
          <w:tblCellSpacing w:w="0" w:type="dxa"/>
        </w:trPr>
        <w:tc>
          <w:tcPr>
            <w:tcW w:w="0" w:type="auto"/>
            <w:noWrap w:val="0"/>
            <w:vAlign w:val="center"/>
          </w:tcPr>
          <w:p w14:paraId="2AF80AF5">
            <w:r>
              <w:rPr>
                <w:rStyle w:val="10"/>
                <w:rFonts w:hint="eastAsia"/>
              </w:rPr>
              <w:t>产品性能:</w:t>
            </w:r>
            <w:r>
              <w:rPr>
                <w:rFonts w:hint="eastAsia"/>
              </w:rPr>
              <w:br w:type="textWrapping"/>
            </w:r>
            <w:r>
              <w:rPr>
                <w:rStyle w:val="11"/>
                <w:rFonts w:hint="eastAsia"/>
              </w:rPr>
              <w:t>联苯肼酯可抑制螨类中枢神经传导系统γ-氨基丁酸受体，对螨的各个生活阶段均有效，主要为触杀作用。乙螨唑属几丁质合成抑制剂，抑制害虫蜕皮，主要为触杀作用。具有杀卵效果，并对各种发育状态的幼、若螨均有良好防效，且能阻止成螨产卵。两者混配可用于防治柑橘树红蜘蛛。</w:t>
            </w:r>
          </w:p>
        </w:tc>
      </w:tr>
      <w:tr w14:paraId="7DD76E7F">
        <w:tblPrEx>
          <w:tblCellMar>
            <w:top w:w="0" w:type="dxa"/>
            <w:left w:w="0" w:type="dxa"/>
            <w:bottom w:w="0" w:type="dxa"/>
            <w:right w:w="0" w:type="dxa"/>
          </w:tblCellMar>
        </w:tblPrEx>
        <w:trPr>
          <w:wBefore w:w="0" w:type="auto"/>
          <w:tblCellSpacing w:w="0" w:type="dxa"/>
        </w:trPr>
        <w:tc>
          <w:tcPr>
            <w:tcW w:w="0" w:type="auto"/>
            <w:noWrap w:val="0"/>
            <w:vAlign w:val="center"/>
          </w:tcPr>
          <w:p w14:paraId="15E5DE2E">
            <w:r>
              <w:rPr>
                <w:rStyle w:val="10"/>
                <w:rFonts w:hint="eastAsia"/>
              </w:rPr>
              <w:t>注意事项：</w:t>
            </w:r>
            <w:r>
              <w:rPr>
                <w:rFonts w:hint="eastAsia"/>
              </w:rPr>
              <w:br w:type="textWrapping"/>
            </w:r>
            <w:r>
              <w:rPr>
                <w:rStyle w:val="11"/>
                <w:rFonts w:hint="eastAsia"/>
              </w:rPr>
              <w:t>1.配药和施药时，应穿防护服，戴口罩或防毒面具以及胶皮手套，以避免污染皮肤和眼睛，施药完毕后应及时换洗衣物，洗净手、脸和被污染的皮肤。2. 鸟类保护区、天敌放飞区及桑园及蚕室附近禁用。3. 本品对鱼类等水生生物有毒，应远离水产养殖区、河塘等附近施药，禁止在河塘等水域中清洗施药器具，避免污染各类水体。4. 施药前、后要彻底清洗喷药器械，未用完的药液应密封后妥善放置；开启封口应小心药液溅出，用药后包装物及用过的容器应妥善处理，不可做他用，也不可随意丢弃。5.孕妇及哺乳期妇女禁止接触本品。6.避免与氧化剂接触。</w:t>
            </w:r>
          </w:p>
        </w:tc>
      </w:tr>
      <w:tr w14:paraId="0ED8B259">
        <w:tblPrEx>
          <w:tblCellMar>
            <w:top w:w="0" w:type="dxa"/>
            <w:left w:w="0" w:type="dxa"/>
            <w:bottom w:w="0" w:type="dxa"/>
            <w:right w:w="0" w:type="dxa"/>
          </w:tblCellMar>
        </w:tblPrEx>
        <w:trPr>
          <w:wBefore w:w="0" w:type="auto"/>
          <w:tblCellSpacing w:w="0" w:type="dxa"/>
        </w:trPr>
        <w:tc>
          <w:tcPr>
            <w:tcW w:w="0" w:type="auto"/>
            <w:noWrap w:val="0"/>
            <w:vAlign w:val="center"/>
          </w:tcPr>
          <w:p w14:paraId="70B694B5">
            <w:r>
              <w:rPr>
                <w:rStyle w:val="10"/>
                <w:rFonts w:hint="eastAsia"/>
              </w:rPr>
              <w:t>中毒急救措施：</w:t>
            </w:r>
            <w:r>
              <w:rPr>
                <w:rFonts w:hint="eastAsia"/>
              </w:rPr>
              <w:br w:type="textWrapping"/>
            </w:r>
            <w:r>
              <w:rPr>
                <w:rStyle w:val="11"/>
                <w:rFonts w:hint="eastAsia"/>
              </w:rPr>
              <w:t>本品低毒。如接触皮肤，用肥皂和清水彻底清洗受污的皮肤，如溅入眼睛，用清水冲洗眼睛至少10分钟；如误服，反复使用医用炭和大量水，并即携带标签，送医就诊。无专用解毒剂，对症治疗。</w:t>
            </w:r>
          </w:p>
        </w:tc>
      </w:tr>
      <w:tr w14:paraId="6499E74A">
        <w:tblPrEx>
          <w:tblCellMar>
            <w:top w:w="0" w:type="dxa"/>
            <w:left w:w="0" w:type="dxa"/>
            <w:bottom w:w="0" w:type="dxa"/>
            <w:right w:w="0" w:type="dxa"/>
          </w:tblCellMar>
        </w:tblPrEx>
        <w:trPr>
          <w:wBefore w:w="0" w:type="auto"/>
          <w:tblCellSpacing w:w="0" w:type="dxa"/>
        </w:trPr>
        <w:tc>
          <w:tcPr>
            <w:tcW w:w="0" w:type="auto"/>
            <w:noWrap w:val="0"/>
            <w:vAlign w:val="center"/>
          </w:tcPr>
          <w:p w14:paraId="31A6D30A">
            <w:r>
              <w:rPr>
                <w:rStyle w:val="10"/>
                <w:rFonts w:hint="eastAsia"/>
              </w:rPr>
              <w:t>储存和运输方法：</w:t>
            </w:r>
            <w:r>
              <w:rPr>
                <w:rFonts w:hint="eastAsia"/>
              </w:rPr>
              <w:br w:type="textWrapping"/>
            </w:r>
            <w:r>
              <w:rPr>
                <w:rStyle w:val="11"/>
                <w:rFonts w:hint="eastAsia"/>
              </w:rPr>
              <w:t>本品应贮存在干燥、阴凉、通风、防雨处，远离火源或热源，避免与氧化剂接触。置于儿童触及不到之处，并加锁。勿与食品、饮料、饲料和粮食等其他商品同贮同运。</w:t>
            </w:r>
          </w:p>
        </w:tc>
      </w:tr>
      <w:tr w14:paraId="6DDE63C4">
        <w:tblPrEx>
          <w:tblCellMar>
            <w:top w:w="0" w:type="dxa"/>
            <w:left w:w="0" w:type="dxa"/>
            <w:bottom w:w="0" w:type="dxa"/>
            <w:right w:w="0" w:type="dxa"/>
          </w:tblCellMar>
        </w:tblPrEx>
        <w:trPr>
          <w:wBefore w:w="0" w:type="auto"/>
          <w:tblCellSpacing w:w="0" w:type="dxa"/>
        </w:trPr>
        <w:tc>
          <w:tcPr>
            <w:tcW w:w="0" w:type="auto"/>
            <w:noWrap w:val="0"/>
            <w:vAlign w:val="center"/>
          </w:tcPr>
          <w:p w14:paraId="23921373">
            <w:r>
              <w:rPr>
                <w:rStyle w:val="10"/>
                <w:rFonts w:hint="eastAsia"/>
              </w:rPr>
              <w:t>质量保证期：</w:t>
            </w:r>
            <w:r>
              <w:rPr>
                <w:rStyle w:val="11"/>
                <w:rFonts w:hint="eastAsia"/>
              </w:rPr>
              <w:t>2年</w:t>
            </w:r>
          </w:p>
        </w:tc>
      </w:tr>
      <w:tr w14:paraId="79718538">
        <w:tblPrEx>
          <w:tblCellMar>
            <w:top w:w="0" w:type="dxa"/>
            <w:left w:w="0" w:type="dxa"/>
            <w:bottom w:w="0" w:type="dxa"/>
            <w:right w:w="0" w:type="dxa"/>
          </w:tblCellMar>
        </w:tblPrEx>
        <w:trPr>
          <w:wBefore w:w="0" w:type="auto"/>
          <w:tblCellSpacing w:w="0" w:type="dxa"/>
        </w:trPr>
        <w:tc>
          <w:tcPr>
            <w:tcW w:w="0" w:type="auto"/>
            <w:noWrap w:val="0"/>
            <w:vAlign w:val="center"/>
          </w:tcPr>
          <w:p w14:paraId="64A10500">
            <w:r>
              <w:rPr>
                <w:rStyle w:val="10"/>
                <w:rFonts w:hint="eastAsia"/>
              </w:rPr>
              <w:t>备注：</w:t>
            </w:r>
          </w:p>
        </w:tc>
      </w:tr>
    </w:tbl>
    <w:p w14:paraId="4184632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016C5AB">
        <w:tblPrEx>
          <w:tblCellMar>
            <w:top w:w="0" w:type="dxa"/>
            <w:left w:w="0" w:type="dxa"/>
            <w:bottom w:w="0" w:type="dxa"/>
            <w:right w:w="0" w:type="dxa"/>
          </w:tblCellMar>
        </w:tblPrEx>
        <w:trPr>
          <w:wBefore w:w="0" w:type="auto"/>
          <w:tblCellSpacing w:w="0" w:type="dxa"/>
        </w:trPr>
        <w:tc>
          <w:tcPr>
            <w:tcW w:w="0" w:type="auto"/>
            <w:noWrap w:val="0"/>
            <w:vAlign w:val="center"/>
          </w:tcPr>
          <w:p w14:paraId="2DBF5162">
            <w:r>
              <w:rPr>
                <w:rStyle w:val="10"/>
                <w:rFonts w:hint="eastAsia"/>
              </w:rPr>
              <w:t>登记证号：</w:t>
            </w:r>
            <w:r>
              <w:rPr>
                <w:rFonts w:hint="eastAsia"/>
              </w:rPr>
              <w:t>PD20211784</w:t>
            </w:r>
          </w:p>
        </w:tc>
      </w:tr>
      <w:tr w14:paraId="038D3BAF">
        <w:tblPrEx>
          <w:tblCellMar>
            <w:top w:w="0" w:type="dxa"/>
            <w:left w:w="0" w:type="dxa"/>
            <w:bottom w:w="0" w:type="dxa"/>
            <w:right w:w="0" w:type="dxa"/>
          </w:tblCellMar>
        </w:tblPrEx>
        <w:trPr>
          <w:wBefore w:w="0" w:type="auto"/>
          <w:tblCellSpacing w:w="0" w:type="dxa"/>
        </w:trPr>
        <w:tc>
          <w:tcPr>
            <w:tcW w:w="0" w:type="auto"/>
            <w:noWrap w:val="0"/>
            <w:vAlign w:val="center"/>
          </w:tcPr>
          <w:p w14:paraId="61AF2BA2">
            <w:r>
              <w:rPr>
                <w:rStyle w:val="10"/>
                <w:rFonts w:hint="eastAsia"/>
              </w:rPr>
              <w:t>登记证持有人：</w:t>
            </w:r>
            <w:r>
              <w:rPr>
                <w:rFonts w:hint="eastAsia"/>
              </w:rPr>
              <w:t>青岛小蜂生物科技有限公司</w:t>
            </w:r>
          </w:p>
        </w:tc>
      </w:tr>
      <w:tr w14:paraId="052CC599">
        <w:tblPrEx>
          <w:tblCellMar>
            <w:top w:w="0" w:type="dxa"/>
            <w:left w:w="0" w:type="dxa"/>
            <w:bottom w:w="0" w:type="dxa"/>
            <w:right w:w="0" w:type="dxa"/>
          </w:tblCellMar>
        </w:tblPrEx>
        <w:trPr>
          <w:wBefore w:w="0" w:type="auto"/>
          <w:tblCellSpacing w:w="0" w:type="dxa"/>
        </w:trPr>
        <w:tc>
          <w:tcPr>
            <w:tcW w:w="0" w:type="auto"/>
            <w:noWrap w:val="0"/>
            <w:vAlign w:val="center"/>
          </w:tcPr>
          <w:p w14:paraId="48533F28">
            <w:r>
              <w:rPr>
                <w:rStyle w:val="10"/>
                <w:rFonts w:hint="eastAsia"/>
              </w:rPr>
              <w:t>农药名称：</w:t>
            </w:r>
            <w:r>
              <w:rPr>
                <w:rFonts w:hint="eastAsia"/>
              </w:rPr>
              <w:t>甲氨基阿维菌素苯甲酸盐</w:t>
            </w:r>
          </w:p>
        </w:tc>
      </w:tr>
      <w:tr w14:paraId="0E83F3E1">
        <w:tblPrEx>
          <w:tblCellMar>
            <w:top w:w="0" w:type="dxa"/>
            <w:left w:w="0" w:type="dxa"/>
            <w:bottom w:w="0" w:type="dxa"/>
            <w:right w:w="0" w:type="dxa"/>
          </w:tblCellMar>
        </w:tblPrEx>
        <w:trPr>
          <w:wBefore w:w="0" w:type="auto"/>
          <w:tblCellSpacing w:w="0" w:type="dxa"/>
        </w:trPr>
        <w:tc>
          <w:tcPr>
            <w:tcW w:w="0" w:type="auto"/>
            <w:noWrap w:val="0"/>
            <w:vAlign w:val="center"/>
          </w:tcPr>
          <w:p w14:paraId="5C81A89D">
            <w:r>
              <w:rPr>
                <w:rStyle w:val="10"/>
                <w:rFonts w:hint="eastAsia"/>
              </w:rPr>
              <w:t>剂型：</w:t>
            </w:r>
            <w:r>
              <w:rPr>
                <w:rFonts w:hint="eastAsia"/>
              </w:rPr>
              <w:t>可溶液剂</w:t>
            </w:r>
          </w:p>
        </w:tc>
      </w:tr>
      <w:tr w14:paraId="36F178F9">
        <w:tblPrEx>
          <w:tblCellMar>
            <w:top w:w="0" w:type="dxa"/>
            <w:left w:w="0" w:type="dxa"/>
            <w:bottom w:w="0" w:type="dxa"/>
            <w:right w:w="0" w:type="dxa"/>
          </w:tblCellMar>
        </w:tblPrEx>
        <w:trPr>
          <w:wBefore w:w="0" w:type="auto"/>
          <w:tblCellSpacing w:w="0" w:type="dxa"/>
        </w:trPr>
        <w:tc>
          <w:tcPr>
            <w:tcW w:w="0" w:type="auto"/>
            <w:noWrap w:val="0"/>
            <w:vAlign w:val="center"/>
          </w:tcPr>
          <w:p w14:paraId="1F8923CE">
            <w:r>
              <w:rPr>
                <w:rStyle w:val="10"/>
                <w:rFonts w:hint="eastAsia"/>
              </w:rPr>
              <w:t>毒性及其标识：</w:t>
            </w:r>
            <w:r>
              <w:rPr>
                <w:rFonts w:hint="eastAsia"/>
              </w:rPr>
              <w:t xml:space="preserve"> </w:t>
            </w:r>
            <w:r>
              <w:rPr>
                <w:lang/>
              </w:rPr>
              <w:drawing>
                <wp:inline distT="0" distB="0" distL="114300" distR="114300">
                  <wp:extent cx="476250" cy="323850"/>
                  <wp:effectExtent l="0" t="0" r="0" b="0"/>
                  <wp:docPr id="433" name="图片 43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4A08872">
        <w:tblPrEx>
          <w:tblCellMar>
            <w:top w:w="0" w:type="dxa"/>
            <w:left w:w="0" w:type="dxa"/>
            <w:bottom w:w="0" w:type="dxa"/>
            <w:right w:w="0" w:type="dxa"/>
          </w:tblCellMar>
        </w:tblPrEx>
        <w:trPr>
          <w:wBefore w:w="0" w:type="auto"/>
          <w:tblCellSpacing w:w="0" w:type="dxa"/>
        </w:trPr>
        <w:tc>
          <w:tcPr>
            <w:tcW w:w="0" w:type="auto"/>
            <w:noWrap w:val="0"/>
            <w:vAlign w:val="center"/>
          </w:tcPr>
          <w:p w14:paraId="7D3191A2">
            <w:r>
              <w:rPr>
                <w:rStyle w:val="10"/>
                <w:rFonts w:hint="eastAsia"/>
              </w:rPr>
              <w:t>总有效成分含量：</w:t>
            </w:r>
            <w:r>
              <w:rPr>
                <w:rFonts w:hint="eastAsia"/>
              </w:rPr>
              <w:t>8%</w:t>
            </w:r>
          </w:p>
        </w:tc>
      </w:tr>
      <w:tr w14:paraId="3D2B7E54">
        <w:tblPrEx>
          <w:tblCellMar>
            <w:top w:w="0" w:type="dxa"/>
            <w:left w:w="0" w:type="dxa"/>
            <w:bottom w:w="0" w:type="dxa"/>
            <w:right w:w="0" w:type="dxa"/>
          </w:tblCellMar>
        </w:tblPrEx>
        <w:trPr>
          <w:wBefore w:w="0" w:type="auto"/>
          <w:tblCellSpacing w:w="0" w:type="dxa"/>
        </w:trPr>
        <w:tc>
          <w:tcPr>
            <w:tcW w:w="0" w:type="auto"/>
            <w:noWrap w:val="0"/>
            <w:vAlign w:val="center"/>
          </w:tcPr>
          <w:p w14:paraId="1D739E6A">
            <w:r>
              <w:rPr>
                <w:rFonts w:hint="eastAsia"/>
              </w:rPr>
              <w:t xml:space="preserve">有效成分及其含量： </w:t>
            </w:r>
          </w:p>
          <w:p w14:paraId="58BCDC39">
            <w:r>
              <w:rPr>
                <w:rFonts w:hint="eastAsia"/>
              </w:rPr>
              <w:t xml:space="preserve">    甲氨基阿维菌素8%    </w:t>
            </w:r>
          </w:p>
        </w:tc>
      </w:tr>
      <w:tr w14:paraId="4810CECF">
        <w:tblPrEx>
          <w:tblCellMar>
            <w:top w:w="0" w:type="dxa"/>
            <w:left w:w="0" w:type="dxa"/>
            <w:bottom w:w="0" w:type="dxa"/>
            <w:right w:w="0" w:type="dxa"/>
          </w:tblCellMar>
        </w:tblPrEx>
        <w:trPr>
          <w:wBefore w:w="0" w:type="auto"/>
          <w:tblCellSpacing w:w="0" w:type="dxa"/>
        </w:trPr>
        <w:tc>
          <w:tcPr>
            <w:tcW w:w="0" w:type="auto"/>
            <w:noWrap w:val="0"/>
            <w:vAlign w:val="center"/>
          </w:tcPr>
          <w:p w14:paraId="5C160B9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3B77B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DA7498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BB34B5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DFAF12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43C9A9">
                  <w:r>
                    <w:rPr>
                      <w:rStyle w:val="11"/>
                      <w:rFonts w:hint="eastAsia"/>
                    </w:rPr>
                    <w:t>施用方式</w:t>
                  </w:r>
                </w:p>
              </w:tc>
            </w:tr>
            <w:tr w14:paraId="6CF986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F55C497">
                  <w:r>
                    <w:rPr>
                      <w:rStyle w:val="11"/>
                      <w:rFonts w:hint="eastAsia"/>
                    </w:rPr>
                    <w:t>豇豆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3733B2">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79D737">
                  <w:r>
                    <w:rPr>
                      <w:rStyle w:val="11"/>
                      <w:rFonts w:hint="eastAsia"/>
                    </w:rPr>
                    <w:t>3-4.5毫升/亩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77AB25">
                  <w:r>
                    <w:rPr>
                      <w:rStyle w:val="11"/>
                      <w:rFonts w:hint="eastAsia"/>
                    </w:rPr>
                    <w:t>喷雾</w:t>
                  </w:r>
                </w:p>
              </w:tc>
            </w:tr>
          </w:tbl>
          <w:p w14:paraId="2D56FA39">
            <w:pPr>
              <w:rPr>
                <w:rFonts w:ascii="Times New Roman" w:hAnsi="Times New Roman" w:cs="Times New Roman"/>
                <w:sz w:val="20"/>
                <w:szCs w:val="20"/>
              </w:rPr>
            </w:pPr>
          </w:p>
        </w:tc>
      </w:tr>
      <w:tr w14:paraId="59F6026D">
        <w:tblPrEx>
          <w:tblCellMar>
            <w:top w:w="0" w:type="dxa"/>
            <w:left w:w="0" w:type="dxa"/>
            <w:bottom w:w="0" w:type="dxa"/>
            <w:right w:w="0" w:type="dxa"/>
          </w:tblCellMar>
        </w:tblPrEx>
        <w:trPr>
          <w:wBefore w:w="0" w:type="auto"/>
          <w:tblCellSpacing w:w="0" w:type="dxa"/>
        </w:trPr>
        <w:tc>
          <w:tcPr>
            <w:tcW w:w="0" w:type="auto"/>
            <w:noWrap w:val="0"/>
            <w:vAlign w:val="center"/>
          </w:tcPr>
          <w:p w14:paraId="6A911A0A">
            <w:r>
              <w:rPr>
                <w:rStyle w:val="10"/>
                <w:rFonts w:hint="eastAsia"/>
              </w:rPr>
              <w:t>使用技术要求:</w:t>
            </w:r>
            <w:r>
              <w:rPr>
                <w:rFonts w:hint="eastAsia"/>
              </w:rPr>
              <w:br w:type="textWrapping"/>
            </w:r>
            <w:r>
              <w:rPr>
                <w:rStyle w:val="11"/>
                <w:rFonts w:hint="eastAsia"/>
              </w:rPr>
              <w:t>1. 本品应于防治豇豆蓟马应于若虫发生期，均匀喷雾。 2. 施药时应避免药液飘移到其他敏感作物上，以防产生药害。在紫外线光照下易降低药效，请于晴天傍晚施药。 3. 大风天或预计1小时内降雨，请勿施药。4. 本品在豇豆上安全间隔期为7天，每季最多使用次数为1次。</w:t>
            </w:r>
          </w:p>
        </w:tc>
      </w:tr>
      <w:tr w14:paraId="0B0320DB">
        <w:tblPrEx>
          <w:tblCellMar>
            <w:top w:w="0" w:type="dxa"/>
            <w:left w:w="0" w:type="dxa"/>
            <w:bottom w:w="0" w:type="dxa"/>
            <w:right w:w="0" w:type="dxa"/>
          </w:tblCellMar>
        </w:tblPrEx>
        <w:trPr>
          <w:wBefore w:w="0" w:type="auto"/>
          <w:tblCellSpacing w:w="0" w:type="dxa"/>
        </w:trPr>
        <w:tc>
          <w:tcPr>
            <w:tcW w:w="0" w:type="auto"/>
            <w:noWrap w:val="0"/>
            <w:vAlign w:val="center"/>
          </w:tcPr>
          <w:p w14:paraId="6EB59FD9">
            <w:r>
              <w:rPr>
                <w:rStyle w:val="10"/>
                <w:rFonts w:hint="eastAsia"/>
              </w:rPr>
              <w:t>产品性能:</w:t>
            </w:r>
            <w:r>
              <w:rPr>
                <w:rFonts w:hint="eastAsia"/>
              </w:rPr>
              <w:br w:type="textWrapping"/>
            </w:r>
            <w:r>
              <w:rPr>
                <w:rStyle w:val="11"/>
                <w:rFonts w:hint="eastAsia"/>
              </w:rPr>
              <w:t>本品对豇豆蓟马有较好的防治效果，其作用机理为阻碍害虫运动神经信息传递而使其身体麻痹死亡。作用方式以胃毒为主兼有触杀作用还有一定的渗透性。</w:t>
            </w:r>
          </w:p>
        </w:tc>
      </w:tr>
      <w:tr w14:paraId="55FFAC81">
        <w:tblPrEx>
          <w:tblCellMar>
            <w:top w:w="0" w:type="dxa"/>
            <w:left w:w="0" w:type="dxa"/>
            <w:bottom w:w="0" w:type="dxa"/>
            <w:right w:w="0" w:type="dxa"/>
          </w:tblCellMar>
        </w:tblPrEx>
        <w:trPr>
          <w:wBefore w:w="0" w:type="auto"/>
          <w:tblCellSpacing w:w="0" w:type="dxa"/>
        </w:trPr>
        <w:tc>
          <w:tcPr>
            <w:tcW w:w="0" w:type="auto"/>
            <w:noWrap w:val="0"/>
            <w:vAlign w:val="center"/>
          </w:tcPr>
          <w:p w14:paraId="5421093F">
            <w:r>
              <w:rPr>
                <w:rStyle w:val="10"/>
                <w:rFonts w:hint="eastAsia"/>
              </w:rPr>
              <w:t>注意事项：</w:t>
            </w:r>
            <w:r>
              <w:rPr>
                <w:rFonts w:hint="eastAsia"/>
              </w:rPr>
              <w:br w:type="textWrapping"/>
            </w:r>
            <w:r>
              <w:rPr>
                <w:rStyle w:val="11"/>
                <w:rFonts w:hint="eastAsia"/>
              </w:rPr>
              <w:t>1. 使用时穿戴长衣、长裤、帽子、口罩、手套等防护措施。避免皮肤接触及口鼻吸入。使用后及时清洗手、脸等暴露部位皮肤并更换衣物。2. 本品不可与呈碱性的农药等物质混合使用，建议与其它作用机制不同的杀虫剂交替使用。3. 本品对蜜蜂等陆生生物、鱼类等水生生物高毒，对天敌风险高，桑园附近禁止使用，（周围）开花植物花期禁用，使用期间应密切关注对附近蜂群的影响；蚕室及桑园附近禁用。4. 远离水产养殖区、河塘等水体施药，禁止在河塘等水体中清洗施药器具，严禁在养虾、蟹、鱼的稻田使用，禁止在河塘等水体中清洗施药器具。5. 用过的容器应妥善处理，不可做他用，也不可随意丢弃。6. 孕妇及哺乳期妇女应避免接触。7. 赤眼蜂等天敌放飞区禁用。7.避免与氧化剂接触。</w:t>
            </w:r>
          </w:p>
        </w:tc>
      </w:tr>
      <w:tr w14:paraId="62B88B0C">
        <w:tblPrEx>
          <w:tblCellMar>
            <w:top w:w="0" w:type="dxa"/>
            <w:left w:w="0" w:type="dxa"/>
            <w:bottom w:w="0" w:type="dxa"/>
            <w:right w:w="0" w:type="dxa"/>
          </w:tblCellMar>
        </w:tblPrEx>
        <w:trPr>
          <w:wBefore w:w="0" w:type="auto"/>
          <w:tblCellSpacing w:w="0" w:type="dxa"/>
        </w:trPr>
        <w:tc>
          <w:tcPr>
            <w:tcW w:w="0" w:type="auto"/>
            <w:noWrap w:val="0"/>
            <w:vAlign w:val="center"/>
          </w:tcPr>
          <w:p w14:paraId="23C13A6D">
            <w:r>
              <w:rPr>
                <w:rStyle w:val="10"/>
                <w:rFonts w:hint="eastAsia"/>
              </w:rPr>
              <w:t>中毒急救措施：</w:t>
            </w:r>
            <w:r>
              <w:rPr>
                <w:rFonts w:hint="eastAsia"/>
              </w:rPr>
              <w:br w:type="textWrapping"/>
            </w:r>
            <w:r>
              <w:rPr>
                <w:rStyle w:val="11"/>
                <w:rFonts w:hint="eastAsia"/>
              </w:rPr>
              <w:t>中毒症状：本品对眼睛有刺激性，使用过程中应注意对眼睛的防护。避免将药剂溅入眼中或吸入药雾；避免药剂接触皮肤，以免经皮肤吸收中毒。 急救措施：使用中或使用后如果感觉不适，应立即停止工作，采取急救措施，并携带标签送医院就诊。 1. 皮肤接触：脱去污染的衣物，用软布去除沾染农药，立即用大量清水和肥皂冲洗。 2. 眼睛溅入：立即用流动清水冲洗至少15分钟。 3. 吸入：立即离开施药现场，转移到空气清新处。 4. 误服：立即停止服用，用清水充分漱口后，立即携本标签送医院就诊。</w:t>
            </w:r>
          </w:p>
        </w:tc>
      </w:tr>
      <w:tr w14:paraId="0FAF9231">
        <w:tblPrEx>
          <w:tblCellMar>
            <w:top w:w="0" w:type="dxa"/>
            <w:left w:w="0" w:type="dxa"/>
            <w:bottom w:w="0" w:type="dxa"/>
            <w:right w:w="0" w:type="dxa"/>
          </w:tblCellMar>
        </w:tblPrEx>
        <w:trPr>
          <w:wBefore w:w="0" w:type="auto"/>
          <w:tblCellSpacing w:w="0" w:type="dxa"/>
        </w:trPr>
        <w:tc>
          <w:tcPr>
            <w:tcW w:w="0" w:type="auto"/>
            <w:noWrap w:val="0"/>
            <w:vAlign w:val="center"/>
          </w:tcPr>
          <w:p w14:paraId="7DC63D9A">
            <w:r>
              <w:rPr>
                <w:rStyle w:val="10"/>
                <w:rFonts w:hint="eastAsia"/>
              </w:rPr>
              <w:t>储存和运输方法：</w:t>
            </w:r>
            <w:r>
              <w:rPr>
                <w:rFonts w:hint="eastAsia"/>
              </w:rPr>
              <w:br w:type="textWrapping"/>
            </w:r>
            <w:r>
              <w:rPr>
                <w:rStyle w:val="11"/>
                <w:rFonts w:hint="eastAsia"/>
              </w:rPr>
              <w:t>1. 本品应贮存在通风、干燥的库房中。2. 贮运时，严防潮湿和日晒。3. 置于儿童、无关人员触及不到之处，并加锁。勿与食品、饮料、饲料、粮食等同贮同运。</w:t>
            </w:r>
          </w:p>
        </w:tc>
      </w:tr>
      <w:tr w14:paraId="39D58202">
        <w:tblPrEx>
          <w:tblCellMar>
            <w:top w:w="0" w:type="dxa"/>
            <w:left w:w="0" w:type="dxa"/>
            <w:bottom w:w="0" w:type="dxa"/>
            <w:right w:w="0" w:type="dxa"/>
          </w:tblCellMar>
        </w:tblPrEx>
        <w:trPr>
          <w:wBefore w:w="0" w:type="auto"/>
          <w:tblCellSpacing w:w="0" w:type="dxa"/>
        </w:trPr>
        <w:tc>
          <w:tcPr>
            <w:tcW w:w="0" w:type="auto"/>
            <w:noWrap w:val="0"/>
            <w:vAlign w:val="center"/>
          </w:tcPr>
          <w:p w14:paraId="60A2C78A">
            <w:r>
              <w:rPr>
                <w:rStyle w:val="10"/>
                <w:rFonts w:hint="eastAsia"/>
              </w:rPr>
              <w:t>质量保证期：</w:t>
            </w:r>
            <w:r>
              <w:rPr>
                <w:rStyle w:val="11"/>
                <w:rFonts w:hint="eastAsia"/>
              </w:rPr>
              <w:t>2年</w:t>
            </w:r>
          </w:p>
        </w:tc>
      </w:tr>
      <w:tr w14:paraId="15ED14F2">
        <w:tblPrEx>
          <w:tblCellMar>
            <w:top w:w="0" w:type="dxa"/>
            <w:left w:w="0" w:type="dxa"/>
            <w:bottom w:w="0" w:type="dxa"/>
            <w:right w:w="0" w:type="dxa"/>
          </w:tblCellMar>
        </w:tblPrEx>
        <w:trPr>
          <w:wBefore w:w="0" w:type="auto"/>
          <w:tblCellSpacing w:w="0" w:type="dxa"/>
        </w:trPr>
        <w:tc>
          <w:tcPr>
            <w:tcW w:w="0" w:type="auto"/>
            <w:noWrap w:val="0"/>
            <w:vAlign w:val="center"/>
          </w:tcPr>
          <w:p w14:paraId="5072FB36">
            <w:r>
              <w:rPr>
                <w:rStyle w:val="10"/>
                <w:rFonts w:hint="eastAsia"/>
              </w:rPr>
              <w:t>备注：</w:t>
            </w:r>
            <w:r>
              <w:rPr>
                <w:rFonts w:hint="eastAsia"/>
              </w:rPr>
              <w:br w:type="textWrapping"/>
            </w:r>
            <w:r>
              <w:rPr>
                <w:rStyle w:val="11"/>
                <w:rFonts w:hint="eastAsia"/>
              </w:rPr>
              <w:t>甲氨基阿维菌素苯甲酸盐9.1%。</w:t>
            </w:r>
          </w:p>
        </w:tc>
      </w:tr>
    </w:tbl>
    <w:p w14:paraId="274617F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4DBCB80">
        <w:tblPrEx>
          <w:tblCellMar>
            <w:top w:w="0" w:type="dxa"/>
            <w:left w:w="0" w:type="dxa"/>
            <w:bottom w:w="0" w:type="dxa"/>
            <w:right w:w="0" w:type="dxa"/>
          </w:tblCellMar>
        </w:tblPrEx>
        <w:trPr>
          <w:wBefore w:w="0" w:type="auto"/>
          <w:tblCellSpacing w:w="0" w:type="dxa"/>
        </w:trPr>
        <w:tc>
          <w:tcPr>
            <w:tcW w:w="0" w:type="auto"/>
            <w:noWrap w:val="0"/>
            <w:vAlign w:val="center"/>
          </w:tcPr>
          <w:p w14:paraId="067490F6">
            <w:r>
              <w:rPr>
                <w:rStyle w:val="10"/>
                <w:rFonts w:hint="eastAsia"/>
              </w:rPr>
              <w:t>登记证号：</w:t>
            </w:r>
            <w:r>
              <w:rPr>
                <w:rFonts w:hint="eastAsia"/>
              </w:rPr>
              <w:t>PD20212186</w:t>
            </w:r>
          </w:p>
        </w:tc>
      </w:tr>
      <w:tr w14:paraId="3E3E50EA">
        <w:tblPrEx>
          <w:tblCellMar>
            <w:top w:w="0" w:type="dxa"/>
            <w:left w:w="0" w:type="dxa"/>
            <w:bottom w:w="0" w:type="dxa"/>
            <w:right w:w="0" w:type="dxa"/>
          </w:tblCellMar>
        </w:tblPrEx>
        <w:trPr>
          <w:wBefore w:w="0" w:type="auto"/>
          <w:tblCellSpacing w:w="0" w:type="dxa"/>
        </w:trPr>
        <w:tc>
          <w:tcPr>
            <w:tcW w:w="0" w:type="auto"/>
            <w:noWrap w:val="0"/>
            <w:vAlign w:val="center"/>
          </w:tcPr>
          <w:p w14:paraId="125C8AC9">
            <w:r>
              <w:rPr>
                <w:rStyle w:val="10"/>
                <w:rFonts w:hint="eastAsia"/>
              </w:rPr>
              <w:t>登记证持有人：</w:t>
            </w:r>
            <w:r>
              <w:rPr>
                <w:rFonts w:hint="eastAsia"/>
              </w:rPr>
              <w:t>安徽辉隆集团银山药业有限责任公司</w:t>
            </w:r>
          </w:p>
        </w:tc>
      </w:tr>
      <w:tr w14:paraId="1F22B19B">
        <w:tblPrEx>
          <w:tblCellMar>
            <w:top w:w="0" w:type="dxa"/>
            <w:left w:w="0" w:type="dxa"/>
            <w:bottom w:w="0" w:type="dxa"/>
            <w:right w:w="0" w:type="dxa"/>
          </w:tblCellMar>
        </w:tblPrEx>
        <w:trPr>
          <w:wBefore w:w="0" w:type="auto"/>
          <w:tblCellSpacing w:w="0" w:type="dxa"/>
        </w:trPr>
        <w:tc>
          <w:tcPr>
            <w:tcW w:w="0" w:type="auto"/>
            <w:noWrap w:val="0"/>
            <w:vAlign w:val="center"/>
          </w:tcPr>
          <w:p w14:paraId="029E9297">
            <w:r>
              <w:rPr>
                <w:rStyle w:val="10"/>
                <w:rFonts w:hint="eastAsia"/>
              </w:rPr>
              <w:t>农药名称：</w:t>
            </w:r>
            <w:r>
              <w:rPr>
                <w:rFonts w:hint="eastAsia"/>
              </w:rPr>
              <w:t>啶磺草胺</w:t>
            </w:r>
          </w:p>
        </w:tc>
      </w:tr>
      <w:tr w14:paraId="71B6682A">
        <w:tblPrEx>
          <w:tblCellMar>
            <w:top w:w="0" w:type="dxa"/>
            <w:left w:w="0" w:type="dxa"/>
            <w:bottom w:w="0" w:type="dxa"/>
            <w:right w:w="0" w:type="dxa"/>
          </w:tblCellMar>
        </w:tblPrEx>
        <w:trPr>
          <w:wBefore w:w="0" w:type="auto"/>
          <w:tblCellSpacing w:w="0" w:type="dxa"/>
        </w:trPr>
        <w:tc>
          <w:tcPr>
            <w:tcW w:w="0" w:type="auto"/>
            <w:noWrap w:val="0"/>
            <w:vAlign w:val="center"/>
          </w:tcPr>
          <w:p w14:paraId="4FD0CCAA">
            <w:r>
              <w:rPr>
                <w:rStyle w:val="10"/>
                <w:rFonts w:hint="eastAsia"/>
              </w:rPr>
              <w:t>剂型：</w:t>
            </w:r>
            <w:r>
              <w:rPr>
                <w:rFonts w:hint="eastAsia"/>
              </w:rPr>
              <w:t>可分散油悬浮剂</w:t>
            </w:r>
          </w:p>
        </w:tc>
      </w:tr>
      <w:tr w14:paraId="11FC4FD3">
        <w:tblPrEx>
          <w:tblCellMar>
            <w:top w:w="0" w:type="dxa"/>
            <w:left w:w="0" w:type="dxa"/>
            <w:bottom w:w="0" w:type="dxa"/>
            <w:right w:w="0" w:type="dxa"/>
          </w:tblCellMar>
        </w:tblPrEx>
        <w:trPr>
          <w:wBefore w:w="0" w:type="auto"/>
          <w:tblCellSpacing w:w="0" w:type="dxa"/>
        </w:trPr>
        <w:tc>
          <w:tcPr>
            <w:tcW w:w="0" w:type="auto"/>
            <w:noWrap w:val="0"/>
            <w:vAlign w:val="center"/>
          </w:tcPr>
          <w:p w14:paraId="0CFE590C">
            <w:r>
              <w:rPr>
                <w:rStyle w:val="10"/>
                <w:rFonts w:hint="eastAsia"/>
              </w:rPr>
              <w:t>毒性及其标识：</w:t>
            </w:r>
            <w:r>
              <w:rPr>
                <w:rFonts w:hint="eastAsia"/>
              </w:rPr>
              <w:t xml:space="preserve"> </w:t>
            </w:r>
            <w:r>
              <w:rPr>
                <w:lang/>
              </w:rPr>
              <w:drawing>
                <wp:inline distT="0" distB="0" distL="114300" distR="114300">
                  <wp:extent cx="476250" cy="323850"/>
                  <wp:effectExtent l="0" t="0" r="0" b="0"/>
                  <wp:docPr id="434" name="图片 43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9F25D00">
        <w:tblPrEx>
          <w:tblCellMar>
            <w:top w:w="0" w:type="dxa"/>
            <w:left w:w="0" w:type="dxa"/>
            <w:bottom w:w="0" w:type="dxa"/>
            <w:right w:w="0" w:type="dxa"/>
          </w:tblCellMar>
        </w:tblPrEx>
        <w:trPr>
          <w:wBefore w:w="0" w:type="auto"/>
          <w:tblCellSpacing w:w="0" w:type="dxa"/>
        </w:trPr>
        <w:tc>
          <w:tcPr>
            <w:tcW w:w="0" w:type="auto"/>
            <w:noWrap w:val="0"/>
            <w:vAlign w:val="center"/>
          </w:tcPr>
          <w:p w14:paraId="346D9D76">
            <w:r>
              <w:rPr>
                <w:rStyle w:val="10"/>
                <w:rFonts w:hint="eastAsia"/>
              </w:rPr>
              <w:t>总有效成分含量：</w:t>
            </w:r>
            <w:r>
              <w:rPr>
                <w:rFonts w:hint="eastAsia"/>
              </w:rPr>
              <w:t>8%</w:t>
            </w:r>
          </w:p>
        </w:tc>
      </w:tr>
      <w:tr w14:paraId="5CE66E59">
        <w:tblPrEx>
          <w:tblCellMar>
            <w:top w:w="0" w:type="dxa"/>
            <w:left w:w="0" w:type="dxa"/>
            <w:bottom w:w="0" w:type="dxa"/>
            <w:right w:w="0" w:type="dxa"/>
          </w:tblCellMar>
        </w:tblPrEx>
        <w:trPr>
          <w:wBefore w:w="0" w:type="auto"/>
          <w:tblCellSpacing w:w="0" w:type="dxa"/>
        </w:trPr>
        <w:tc>
          <w:tcPr>
            <w:tcW w:w="0" w:type="auto"/>
            <w:noWrap w:val="0"/>
            <w:vAlign w:val="center"/>
          </w:tcPr>
          <w:p w14:paraId="6520E2AA">
            <w:r>
              <w:rPr>
                <w:rFonts w:hint="eastAsia"/>
              </w:rPr>
              <w:t xml:space="preserve">有效成分及其含量： </w:t>
            </w:r>
          </w:p>
          <w:p w14:paraId="32922201">
            <w:r>
              <w:rPr>
                <w:rFonts w:hint="eastAsia"/>
              </w:rPr>
              <w:t xml:space="preserve">    啶磺草胺8%    </w:t>
            </w:r>
          </w:p>
        </w:tc>
      </w:tr>
      <w:tr w14:paraId="772E4A79">
        <w:tblPrEx>
          <w:tblCellMar>
            <w:top w:w="0" w:type="dxa"/>
            <w:left w:w="0" w:type="dxa"/>
            <w:bottom w:w="0" w:type="dxa"/>
            <w:right w:w="0" w:type="dxa"/>
          </w:tblCellMar>
        </w:tblPrEx>
        <w:trPr>
          <w:wBefore w:w="0" w:type="auto"/>
          <w:tblCellSpacing w:w="0" w:type="dxa"/>
        </w:trPr>
        <w:tc>
          <w:tcPr>
            <w:tcW w:w="0" w:type="auto"/>
            <w:noWrap w:val="0"/>
            <w:vAlign w:val="center"/>
          </w:tcPr>
          <w:p w14:paraId="0C94D62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B968E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B1349C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1962A7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683FB9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6BFCA6E">
                  <w:r>
                    <w:rPr>
                      <w:rStyle w:val="11"/>
                      <w:rFonts w:hint="eastAsia"/>
                    </w:rPr>
                    <w:t>施用方式</w:t>
                  </w:r>
                </w:p>
              </w:tc>
            </w:tr>
            <w:tr w14:paraId="7A2EF5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091C40">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875B71">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F67811">
                  <w:r>
                    <w:rPr>
                      <w:rStyle w:val="11"/>
                      <w:rFonts w:hint="eastAsia"/>
                    </w:rPr>
                    <w:t>7.5-12.5毫升/亩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8CE534">
                  <w:r>
                    <w:rPr>
                      <w:rStyle w:val="11"/>
                      <w:rFonts w:hint="eastAsia"/>
                    </w:rPr>
                    <w:t>茎叶喷雾</w:t>
                  </w:r>
                </w:p>
              </w:tc>
            </w:tr>
          </w:tbl>
          <w:p w14:paraId="29FF5723">
            <w:pPr>
              <w:rPr>
                <w:rFonts w:ascii="Times New Roman" w:hAnsi="Times New Roman" w:cs="Times New Roman"/>
                <w:sz w:val="20"/>
                <w:szCs w:val="20"/>
              </w:rPr>
            </w:pPr>
          </w:p>
        </w:tc>
      </w:tr>
      <w:tr w14:paraId="7023585B">
        <w:tblPrEx>
          <w:tblCellMar>
            <w:top w:w="0" w:type="dxa"/>
            <w:left w:w="0" w:type="dxa"/>
            <w:bottom w:w="0" w:type="dxa"/>
            <w:right w:w="0" w:type="dxa"/>
          </w:tblCellMar>
        </w:tblPrEx>
        <w:trPr>
          <w:wBefore w:w="0" w:type="auto"/>
          <w:tblCellSpacing w:w="0" w:type="dxa"/>
        </w:trPr>
        <w:tc>
          <w:tcPr>
            <w:tcW w:w="0" w:type="auto"/>
            <w:noWrap w:val="0"/>
            <w:vAlign w:val="center"/>
          </w:tcPr>
          <w:p w14:paraId="169EFDD0">
            <w:r>
              <w:rPr>
                <w:rStyle w:val="10"/>
                <w:rFonts w:hint="eastAsia"/>
              </w:rPr>
              <w:t>使用技术要求:</w:t>
            </w:r>
            <w:r>
              <w:rPr>
                <w:rFonts w:hint="eastAsia"/>
              </w:rPr>
              <w:br w:type="textWrapping"/>
            </w:r>
            <w:r>
              <w:rPr>
                <w:rStyle w:val="11"/>
                <w:rFonts w:hint="eastAsia"/>
              </w:rPr>
              <w:t xml:space="preserve">施药时间：冬小麦区宜在冬前或早春、春小麦区宜在小麦苗后4-6叶期，田间一年生杂草2-5叶期，针对杂草全株均匀喷雾施药。 正确使用方法：1.杂草出齐后用药越早越好，用水量15公升/亩，茎叶均匀喷雾。小麦起身拔节后不得施用。2. 严格按推荐剂量、时期和方法施用，喷雾时应恒速、均匀喷雾，避免重喷、漏喷或超范围施用。3. 不宜在霜冻低温(最低气温低于2℃)等恶劣天气前后施药，不宜在遭受干旱、涝害、冻害、盐害、病害及营养不良的麦田施用本剂，施用前后2天内也不可大水漫灌麦田。4. 施药后麦苗有时会出现临时性黄化或蹲苗现象，正常使用条件下小麦返青后黄化消失，一般不影响产量。请勿在制种田施用本剂。5. 施药后杂草即停止生长，一般2-4周后死亡；干旱、低温时杂草枯死速度稍慢；施药1小时后降雨不显著影响药效。5.每季作物最多使用1次。 </w:t>
            </w:r>
          </w:p>
        </w:tc>
      </w:tr>
      <w:tr w14:paraId="32EC0896">
        <w:tblPrEx>
          <w:tblCellMar>
            <w:top w:w="0" w:type="dxa"/>
            <w:left w:w="0" w:type="dxa"/>
            <w:bottom w:w="0" w:type="dxa"/>
            <w:right w:w="0" w:type="dxa"/>
          </w:tblCellMar>
        </w:tblPrEx>
        <w:trPr>
          <w:wBefore w:w="0" w:type="auto"/>
          <w:tblCellSpacing w:w="0" w:type="dxa"/>
        </w:trPr>
        <w:tc>
          <w:tcPr>
            <w:tcW w:w="0" w:type="auto"/>
            <w:noWrap w:val="0"/>
            <w:vAlign w:val="center"/>
          </w:tcPr>
          <w:p w14:paraId="74888B1D">
            <w:r>
              <w:rPr>
                <w:rStyle w:val="10"/>
                <w:rFonts w:hint="eastAsia"/>
              </w:rPr>
              <w:t>产品性能:</w:t>
            </w:r>
            <w:r>
              <w:rPr>
                <w:rFonts w:hint="eastAsia"/>
              </w:rPr>
              <w:br w:type="textWrapping"/>
            </w:r>
            <w:r>
              <w:rPr>
                <w:rStyle w:val="11"/>
                <w:rFonts w:hint="eastAsia"/>
              </w:rPr>
              <w:t>本品为内吸传导型冬小麦田苗后除草剂，可有效防除看麦娘、日本看麦娘、硬草、雀麦、野燕麦、野老鹤草、婆婆纳,并可抑制早熟禾、猪殃殃、泽漆、播娘蒿、荠菜、繁缕、米瓦罐、稻槎菜等杂草。低温下仍有较好的防效。</w:t>
            </w:r>
          </w:p>
        </w:tc>
      </w:tr>
      <w:tr w14:paraId="401EB372">
        <w:tblPrEx>
          <w:tblCellMar>
            <w:top w:w="0" w:type="dxa"/>
            <w:left w:w="0" w:type="dxa"/>
            <w:bottom w:w="0" w:type="dxa"/>
            <w:right w:w="0" w:type="dxa"/>
          </w:tblCellMar>
        </w:tblPrEx>
        <w:trPr>
          <w:wBefore w:w="0" w:type="auto"/>
          <w:tblCellSpacing w:w="0" w:type="dxa"/>
        </w:trPr>
        <w:tc>
          <w:tcPr>
            <w:tcW w:w="0" w:type="auto"/>
            <w:noWrap w:val="0"/>
            <w:vAlign w:val="center"/>
          </w:tcPr>
          <w:p w14:paraId="09FDB2C7">
            <w:r>
              <w:rPr>
                <w:rStyle w:val="10"/>
                <w:rFonts w:hint="eastAsia"/>
              </w:rPr>
              <w:t>注意事项：</w:t>
            </w:r>
            <w:r>
              <w:rPr>
                <w:rFonts w:hint="eastAsia"/>
              </w:rPr>
              <w:br w:type="textWrapping"/>
            </w:r>
            <w:r>
              <w:rPr>
                <w:rStyle w:val="11"/>
                <w:rFonts w:hint="eastAsia"/>
              </w:rPr>
              <w:t>1. 使用本品前请先摇匀。请勿将本品和其他药剂混用。2. 喷雾器械专桶专用，用过的施药器械清洗干净，避免残留药剂对其他作物产生药害。3. 使用本品时应穿戴防护服和手套、口罩。施药期间不可吃东西和饮水。施药后应及时洗手和洗脸。4. 远离水产养殖区、河塘等水体附近施药，禁止在河塘等水体中清洗施药器具。5.废弃物要妥善处理，不能随意丢弃，也不能做他用。6. 避免孕妇及哺乳期的妇女接触本品。</w:t>
            </w:r>
          </w:p>
        </w:tc>
      </w:tr>
      <w:tr w14:paraId="185B1B1D">
        <w:tblPrEx>
          <w:tblCellMar>
            <w:top w:w="0" w:type="dxa"/>
            <w:left w:w="0" w:type="dxa"/>
            <w:bottom w:w="0" w:type="dxa"/>
            <w:right w:w="0" w:type="dxa"/>
          </w:tblCellMar>
        </w:tblPrEx>
        <w:trPr>
          <w:wBefore w:w="0" w:type="auto"/>
          <w:tblCellSpacing w:w="0" w:type="dxa"/>
        </w:trPr>
        <w:tc>
          <w:tcPr>
            <w:tcW w:w="0" w:type="auto"/>
            <w:noWrap w:val="0"/>
            <w:vAlign w:val="center"/>
          </w:tcPr>
          <w:p w14:paraId="5E1F4D71">
            <w:r>
              <w:rPr>
                <w:rStyle w:val="10"/>
                <w:rFonts w:hint="eastAsia"/>
              </w:rPr>
              <w:t>中毒急救措施：</w:t>
            </w:r>
            <w:r>
              <w:rPr>
                <w:rFonts w:hint="eastAsia"/>
              </w:rPr>
              <w:br w:type="textWrapping"/>
            </w:r>
            <w:r>
              <w:rPr>
                <w:rStyle w:val="11"/>
                <w:rFonts w:hint="eastAsia"/>
              </w:rPr>
              <w:t>对眼睛和皮肤有刺激性，使用时避免接触眼睛和皮肤。 1. 皮肤接触：脱掉受污染衣物，用大量清水彻底清洗受污染的皮肤。2.眼睛溅入：立即用流动清水冲洗至少15分钟。3.吸入：立即离开施药现场，转移到空气清新处。4.误食：立即停止服用，用清水充分漱口后，立即携带本标签送医院治疗。请勿催吐，除非医生或应急中心告知。勿给患者任何液体饮料。勿给失去知觉的人喂食任何东西。本品无特定的解毒药物，请对症治疗。</w:t>
            </w:r>
          </w:p>
        </w:tc>
      </w:tr>
      <w:tr w14:paraId="2D8D5948">
        <w:tblPrEx>
          <w:tblCellMar>
            <w:top w:w="0" w:type="dxa"/>
            <w:left w:w="0" w:type="dxa"/>
            <w:bottom w:w="0" w:type="dxa"/>
            <w:right w:w="0" w:type="dxa"/>
          </w:tblCellMar>
        </w:tblPrEx>
        <w:trPr>
          <w:wBefore w:w="0" w:type="auto"/>
          <w:tblCellSpacing w:w="0" w:type="dxa"/>
        </w:trPr>
        <w:tc>
          <w:tcPr>
            <w:tcW w:w="0" w:type="auto"/>
            <w:noWrap w:val="0"/>
            <w:vAlign w:val="center"/>
          </w:tcPr>
          <w:p w14:paraId="1B67B497">
            <w:r>
              <w:rPr>
                <w:rStyle w:val="10"/>
                <w:rFonts w:hint="eastAsia"/>
              </w:rPr>
              <w:t>储存和运输方法：</w:t>
            </w:r>
            <w:r>
              <w:rPr>
                <w:rFonts w:hint="eastAsia"/>
              </w:rPr>
              <w:br w:type="textWrapping"/>
            </w:r>
            <w:r>
              <w:rPr>
                <w:rStyle w:val="11"/>
                <w:rFonts w:hint="eastAsia"/>
              </w:rPr>
              <w:t>1． 本品应密封贮存在干燥、阴凉、通风、防雨处，远离火源或热源。不使用时保持容器紧闭。请勿储存在食物、粮食、药品或饮用水源附近。 2．存放于儿童触及不到之处，并加锁。3．勿与食品、饮料、粮食、饲料等其他商品同贮同运</w:t>
            </w:r>
          </w:p>
        </w:tc>
      </w:tr>
      <w:tr w14:paraId="219AD85A">
        <w:tblPrEx>
          <w:tblCellMar>
            <w:top w:w="0" w:type="dxa"/>
            <w:left w:w="0" w:type="dxa"/>
            <w:bottom w:w="0" w:type="dxa"/>
            <w:right w:w="0" w:type="dxa"/>
          </w:tblCellMar>
        </w:tblPrEx>
        <w:trPr>
          <w:wBefore w:w="0" w:type="auto"/>
          <w:tblCellSpacing w:w="0" w:type="dxa"/>
        </w:trPr>
        <w:tc>
          <w:tcPr>
            <w:tcW w:w="0" w:type="auto"/>
            <w:noWrap w:val="0"/>
            <w:vAlign w:val="center"/>
          </w:tcPr>
          <w:p w14:paraId="043E1903">
            <w:r>
              <w:rPr>
                <w:rStyle w:val="10"/>
                <w:rFonts w:hint="eastAsia"/>
              </w:rPr>
              <w:t>质量保证期：</w:t>
            </w:r>
            <w:r>
              <w:rPr>
                <w:rStyle w:val="11"/>
                <w:rFonts w:hint="eastAsia"/>
              </w:rPr>
              <w:t>2年</w:t>
            </w:r>
          </w:p>
        </w:tc>
      </w:tr>
      <w:tr w14:paraId="7E7F8E4A">
        <w:tblPrEx>
          <w:tblCellMar>
            <w:top w:w="0" w:type="dxa"/>
            <w:left w:w="0" w:type="dxa"/>
            <w:bottom w:w="0" w:type="dxa"/>
            <w:right w:w="0" w:type="dxa"/>
          </w:tblCellMar>
        </w:tblPrEx>
        <w:trPr>
          <w:wBefore w:w="0" w:type="auto"/>
          <w:tblCellSpacing w:w="0" w:type="dxa"/>
        </w:trPr>
        <w:tc>
          <w:tcPr>
            <w:tcW w:w="0" w:type="auto"/>
            <w:noWrap w:val="0"/>
            <w:vAlign w:val="center"/>
          </w:tcPr>
          <w:p w14:paraId="4ED76005">
            <w:r>
              <w:rPr>
                <w:rStyle w:val="10"/>
                <w:rFonts w:hint="eastAsia"/>
              </w:rPr>
              <w:t>备注：</w:t>
            </w:r>
          </w:p>
        </w:tc>
      </w:tr>
    </w:tbl>
    <w:p w14:paraId="681731D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0D127AF">
        <w:tblPrEx>
          <w:tblCellMar>
            <w:top w:w="0" w:type="dxa"/>
            <w:left w:w="0" w:type="dxa"/>
            <w:bottom w:w="0" w:type="dxa"/>
            <w:right w:w="0" w:type="dxa"/>
          </w:tblCellMar>
        </w:tblPrEx>
        <w:trPr>
          <w:wBefore w:w="0" w:type="auto"/>
          <w:tblCellSpacing w:w="0" w:type="dxa"/>
        </w:trPr>
        <w:tc>
          <w:tcPr>
            <w:tcW w:w="0" w:type="auto"/>
            <w:noWrap w:val="0"/>
            <w:vAlign w:val="center"/>
          </w:tcPr>
          <w:p w14:paraId="06BECAE4">
            <w:r>
              <w:rPr>
                <w:rStyle w:val="10"/>
                <w:rFonts w:hint="eastAsia"/>
              </w:rPr>
              <w:t>登记证号：</w:t>
            </w:r>
            <w:r>
              <w:rPr>
                <w:rFonts w:hint="eastAsia"/>
              </w:rPr>
              <w:t>PD20212074</w:t>
            </w:r>
          </w:p>
        </w:tc>
      </w:tr>
      <w:tr w14:paraId="711A47F2">
        <w:tblPrEx>
          <w:tblCellMar>
            <w:top w:w="0" w:type="dxa"/>
            <w:left w:w="0" w:type="dxa"/>
            <w:bottom w:w="0" w:type="dxa"/>
            <w:right w:w="0" w:type="dxa"/>
          </w:tblCellMar>
        </w:tblPrEx>
        <w:trPr>
          <w:wBefore w:w="0" w:type="auto"/>
          <w:tblCellSpacing w:w="0" w:type="dxa"/>
        </w:trPr>
        <w:tc>
          <w:tcPr>
            <w:tcW w:w="0" w:type="auto"/>
            <w:noWrap w:val="0"/>
            <w:vAlign w:val="center"/>
          </w:tcPr>
          <w:p w14:paraId="5CEC477B">
            <w:r>
              <w:rPr>
                <w:rStyle w:val="10"/>
                <w:rFonts w:hint="eastAsia"/>
              </w:rPr>
              <w:t>登记证持有人：</w:t>
            </w:r>
            <w:r>
              <w:rPr>
                <w:rFonts w:hint="eastAsia"/>
              </w:rPr>
              <w:t>湖南农大海特农化有限公司</w:t>
            </w:r>
          </w:p>
        </w:tc>
      </w:tr>
      <w:tr w14:paraId="69C9D91D">
        <w:tblPrEx>
          <w:tblCellMar>
            <w:top w:w="0" w:type="dxa"/>
            <w:left w:w="0" w:type="dxa"/>
            <w:bottom w:w="0" w:type="dxa"/>
            <w:right w:w="0" w:type="dxa"/>
          </w:tblCellMar>
        </w:tblPrEx>
        <w:trPr>
          <w:wBefore w:w="0" w:type="auto"/>
          <w:tblCellSpacing w:w="0" w:type="dxa"/>
        </w:trPr>
        <w:tc>
          <w:tcPr>
            <w:tcW w:w="0" w:type="auto"/>
            <w:noWrap w:val="0"/>
            <w:vAlign w:val="center"/>
          </w:tcPr>
          <w:p w14:paraId="4071A479">
            <w:r>
              <w:rPr>
                <w:rStyle w:val="10"/>
                <w:rFonts w:hint="eastAsia"/>
              </w:rPr>
              <w:t>农药名称：</w:t>
            </w:r>
            <w:r>
              <w:rPr>
                <w:rFonts w:hint="eastAsia"/>
              </w:rPr>
              <w:t>氟啶胺·联苯肼酯</w:t>
            </w:r>
          </w:p>
        </w:tc>
      </w:tr>
      <w:tr w14:paraId="51DDD6CD">
        <w:tblPrEx>
          <w:tblCellMar>
            <w:top w:w="0" w:type="dxa"/>
            <w:left w:w="0" w:type="dxa"/>
            <w:bottom w:w="0" w:type="dxa"/>
            <w:right w:w="0" w:type="dxa"/>
          </w:tblCellMar>
        </w:tblPrEx>
        <w:trPr>
          <w:wBefore w:w="0" w:type="auto"/>
          <w:tblCellSpacing w:w="0" w:type="dxa"/>
        </w:trPr>
        <w:tc>
          <w:tcPr>
            <w:tcW w:w="0" w:type="auto"/>
            <w:noWrap w:val="0"/>
            <w:vAlign w:val="center"/>
          </w:tcPr>
          <w:p w14:paraId="6CBDE9F4">
            <w:r>
              <w:rPr>
                <w:rStyle w:val="10"/>
                <w:rFonts w:hint="eastAsia"/>
              </w:rPr>
              <w:t>剂型：</w:t>
            </w:r>
            <w:r>
              <w:rPr>
                <w:rFonts w:hint="eastAsia"/>
              </w:rPr>
              <w:t>悬浮剂</w:t>
            </w:r>
          </w:p>
        </w:tc>
      </w:tr>
      <w:tr w14:paraId="06247E84">
        <w:tblPrEx>
          <w:tblCellMar>
            <w:top w:w="0" w:type="dxa"/>
            <w:left w:w="0" w:type="dxa"/>
            <w:bottom w:w="0" w:type="dxa"/>
            <w:right w:w="0" w:type="dxa"/>
          </w:tblCellMar>
        </w:tblPrEx>
        <w:trPr>
          <w:wBefore w:w="0" w:type="auto"/>
          <w:tblCellSpacing w:w="0" w:type="dxa"/>
        </w:trPr>
        <w:tc>
          <w:tcPr>
            <w:tcW w:w="0" w:type="auto"/>
            <w:noWrap w:val="0"/>
            <w:vAlign w:val="center"/>
          </w:tcPr>
          <w:p w14:paraId="5E4C8AB3">
            <w:r>
              <w:rPr>
                <w:rStyle w:val="10"/>
                <w:rFonts w:hint="eastAsia"/>
              </w:rPr>
              <w:t>毒性及其标识：</w:t>
            </w:r>
            <w:r>
              <w:rPr>
                <w:rFonts w:hint="eastAsia"/>
              </w:rPr>
              <w:t xml:space="preserve"> 微毒 </w:t>
            </w:r>
          </w:p>
        </w:tc>
      </w:tr>
      <w:tr w14:paraId="1EC1EB96">
        <w:tblPrEx>
          <w:tblCellMar>
            <w:top w:w="0" w:type="dxa"/>
            <w:left w:w="0" w:type="dxa"/>
            <w:bottom w:w="0" w:type="dxa"/>
            <w:right w:w="0" w:type="dxa"/>
          </w:tblCellMar>
        </w:tblPrEx>
        <w:trPr>
          <w:wBefore w:w="0" w:type="auto"/>
          <w:tblCellSpacing w:w="0" w:type="dxa"/>
        </w:trPr>
        <w:tc>
          <w:tcPr>
            <w:tcW w:w="0" w:type="auto"/>
            <w:noWrap w:val="0"/>
            <w:vAlign w:val="center"/>
          </w:tcPr>
          <w:p w14:paraId="6149BBAB">
            <w:r>
              <w:rPr>
                <w:rStyle w:val="10"/>
                <w:rFonts w:hint="eastAsia"/>
              </w:rPr>
              <w:t>总有效成分含量：</w:t>
            </w:r>
            <w:r>
              <w:rPr>
                <w:rFonts w:hint="eastAsia"/>
              </w:rPr>
              <w:t>41%</w:t>
            </w:r>
          </w:p>
        </w:tc>
      </w:tr>
      <w:tr w14:paraId="638B9A29">
        <w:tblPrEx>
          <w:tblCellMar>
            <w:top w:w="0" w:type="dxa"/>
            <w:left w:w="0" w:type="dxa"/>
            <w:bottom w:w="0" w:type="dxa"/>
            <w:right w:w="0" w:type="dxa"/>
          </w:tblCellMar>
        </w:tblPrEx>
        <w:trPr>
          <w:wBefore w:w="0" w:type="auto"/>
          <w:tblCellSpacing w:w="0" w:type="dxa"/>
        </w:trPr>
        <w:tc>
          <w:tcPr>
            <w:tcW w:w="0" w:type="auto"/>
            <w:noWrap w:val="0"/>
            <w:vAlign w:val="center"/>
          </w:tcPr>
          <w:p w14:paraId="01A4EC81">
            <w:r>
              <w:rPr>
                <w:rFonts w:hint="eastAsia"/>
              </w:rPr>
              <w:t xml:space="preserve">有效成分及其含量： </w:t>
            </w:r>
          </w:p>
          <w:p w14:paraId="46DC987E">
            <w:r>
              <w:rPr>
                <w:rFonts w:hint="eastAsia"/>
              </w:rPr>
              <w:t xml:space="preserve">    氟啶胺22%    联苯肼酯19%    </w:t>
            </w:r>
          </w:p>
        </w:tc>
      </w:tr>
      <w:tr w14:paraId="32085449">
        <w:tblPrEx>
          <w:tblCellMar>
            <w:top w:w="0" w:type="dxa"/>
            <w:left w:w="0" w:type="dxa"/>
            <w:bottom w:w="0" w:type="dxa"/>
            <w:right w:w="0" w:type="dxa"/>
          </w:tblCellMar>
        </w:tblPrEx>
        <w:trPr>
          <w:wBefore w:w="0" w:type="auto"/>
          <w:tblCellSpacing w:w="0" w:type="dxa"/>
        </w:trPr>
        <w:tc>
          <w:tcPr>
            <w:tcW w:w="0" w:type="auto"/>
            <w:noWrap w:val="0"/>
            <w:vAlign w:val="center"/>
          </w:tcPr>
          <w:p w14:paraId="39DBCFB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FDBFC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39EAE2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38D95C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D6EA9B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DFD7B9C">
                  <w:r>
                    <w:rPr>
                      <w:rStyle w:val="11"/>
                      <w:rFonts w:hint="eastAsia"/>
                    </w:rPr>
                    <w:t>施用方式</w:t>
                  </w:r>
                </w:p>
              </w:tc>
            </w:tr>
            <w:tr w14:paraId="29DF3B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6DD7BF">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02CC32">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ED5CA2">
                  <w:r>
                    <w:rPr>
                      <w:rStyle w:val="11"/>
                      <w:rFonts w:hint="eastAsia"/>
                    </w:rPr>
                    <w:t>900-1800倍液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39341B">
                  <w:r>
                    <w:rPr>
                      <w:rStyle w:val="11"/>
                      <w:rFonts w:hint="eastAsia"/>
                    </w:rPr>
                    <w:t>喷雾</w:t>
                  </w:r>
                </w:p>
              </w:tc>
            </w:tr>
          </w:tbl>
          <w:p w14:paraId="006DB496">
            <w:pPr>
              <w:rPr>
                <w:rFonts w:ascii="Times New Roman" w:hAnsi="Times New Roman" w:cs="Times New Roman"/>
                <w:sz w:val="20"/>
                <w:szCs w:val="20"/>
              </w:rPr>
            </w:pPr>
          </w:p>
        </w:tc>
      </w:tr>
      <w:tr w14:paraId="33949125">
        <w:tblPrEx>
          <w:tblCellMar>
            <w:top w:w="0" w:type="dxa"/>
            <w:left w:w="0" w:type="dxa"/>
            <w:bottom w:w="0" w:type="dxa"/>
            <w:right w:w="0" w:type="dxa"/>
          </w:tblCellMar>
        </w:tblPrEx>
        <w:trPr>
          <w:wBefore w:w="0" w:type="auto"/>
          <w:tblCellSpacing w:w="0" w:type="dxa"/>
        </w:trPr>
        <w:tc>
          <w:tcPr>
            <w:tcW w:w="0" w:type="auto"/>
            <w:noWrap w:val="0"/>
            <w:vAlign w:val="center"/>
          </w:tcPr>
          <w:p w14:paraId="6F9A9F96">
            <w:r>
              <w:rPr>
                <w:rStyle w:val="10"/>
                <w:rFonts w:hint="eastAsia"/>
              </w:rPr>
              <w:t>使用技术要求:</w:t>
            </w:r>
            <w:r>
              <w:rPr>
                <w:rFonts w:hint="eastAsia"/>
              </w:rPr>
              <w:br w:type="textWrapping"/>
            </w:r>
            <w:r>
              <w:rPr>
                <w:rStyle w:val="11"/>
                <w:rFonts w:hint="eastAsia"/>
              </w:rPr>
              <w:t>1、本品应于柑橘树红蜘蛛发生初期施药，喷雾时应注意均匀、周到。 2、本品在柑橘上使用的安全间隔期为28天，每季作物使用1次。3、大风天或预计1小时内有降雨，请勿施药。</w:t>
            </w:r>
          </w:p>
        </w:tc>
      </w:tr>
      <w:tr w14:paraId="1D9BF253">
        <w:tblPrEx>
          <w:tblCellMar>
            <w:top w:w="0" w:type="dxa"/>
            <w:left w:w="0" w:type="dxa"/>
            <w:bottom w:w="0" w:type="dxa"/>
            <w:right w:w="0" w:type="dxa"/>
          </w:tblCellMar>
        </w:tblPrEx>
        <w:trPr>
          <w:wBefore w:w="0" w:type="auto"/>
          <w:tblCellSpacing w:w="0" w:type="dxa"/>
        </w:trPr>
        <w:tc>
          <w:tcPr>
            <w:tcW w:w="0" w:type="auto"/>
            <w:noWrap w:val="0"/>
            <w:vAlign w:val="center"/>
          </w:tcPr>
          <w:p w14:paraId="06358B03">
            <w:r>
              <w:rPr>
                <w:rStyle w:val="10"/>
                <w:rFonts w:hint="eastAsia"/>
              </w:rPr>
              <w:t>产品性能:</w:t>
            </w:r>
            <w:r>
              <w:rPr>
                <w:rFonts w:hint="eastAsia"/>
              </w:rPr>
              <w:br w:type="textWrapping"/>
            </w:r>
            <w:r>
              <w:rPr>
                <w:rStyle w:val="11"/>
                <w:rFonts w:hint="eastAsia"/>
              </w:rPr>
              <w:t>本品是由氟啶胺与联苯肼酯混配的一种新型杀螨剂，对红蜘蛛的卵和若螨有较好的防治效果，并且持效期长，安全性高。</w:t>
            </w:r>
          </w:p>
        </w:tc>
      </w:tr>
      <w:tr w14:paraId="1C58B505">
        <w:tblPrEx>
          <w:tblCellMar>
            <w:top w:w="0" w:type="dxa"/>
            <w:left w:w="0" w:type="dxa"/>
            <w:bottom w:w="0" w:type="dxa"/>
            <w:right w:w="0" w:type="dxa"/>
          </w:tblCellMar>
        </w:tblPrEx>
        <w:trPr>
          <w:wBefore w:w="0" w:type="auto"/>
          <w:tblCellSpacing w:w="0" w:type="dxa"/>
        </w:trPr>
        <w:tc>
          <w:tcPr>
            <w:tcW w:w="0" w:type="auto"/>
            <w:noWrap w:val="0"/>
            <w:vAlign w:val="center"/>
          </w:tcPr>
          <w:p w14:paraId="38919CA2">
            <w:r>
              <w:rPr>
                <w:rStyle w:val="10"/>
                <w:rFonts w:hint="eastAsia"/>
              </w:rPr>
              <w:t>注意事项：</w:t>
            </w:r>
            <w:r>
              <w:rPr>
                <w:rFonts w:hint="eastAsia"/>
              </w:rPr>
              <w:br w:type="textWrapping"/>
            </w:r>
            <w:r>
              <w:rPr>
                <w:rStyle w:val="11"/>
                <w:rFonts w:hint="eastAsia"/>
              </w:rPr>
              <w:t>1、本品对鱼类、家蚕、大型溞、藻类生物有毒， 2、施药时应远离水产养殖区、河塘等水体施药，禁止在河塘等水域中清洗施药器具，用过的容器应妥善处理，不可做他用，也不可随意丢弃。3、本品在蚕室及桑园附近禁用，鸟类保护区、鸟类栖息地、养殖场及其附近禁用，天敌放飞区域禁用。4、配药和喷药时穿防护服，戴手套面罩，穿胶靴鞋。严格按照农药安全使用规则操作，避免接触皮肤、眼睛和污染衣物，避免吸入药滴，勿在施药现场抽烟和饮食。 施药后应立即清洗，并更换工作服。 5、孕妇、哺乳期妇女及过敏者禁止接触本品。</w:t>
            </w:r>
          </w:p>
        </w:tc>
      </w:tr>
      <w:tr w14:paraId="25D65A13">
        <w:tblPrEx>
          <w:tblCellMar>
            <w:top w:w="0" w:type="dxa"/>
            <w:left w:w="0" w:type="dxa"/>
            <w:bottom w:w="0" w:type="dxa"/>
            <w:right w:w="0" w:type="dxa"/>
          </w:tblCellMar>
        </w:tblPrEx>
        <w:trPr>
          <w:wBefore w:w="0" w:type="auto"/>
          <w:tblCellSpacing w:w="0" w:type="dxa"/>
        </w:trPr>
        <w:tc>
          <w:tcPr>
            <w:tcW w:w="0" w:type="auto"/>
            <w:noWrap w:val="0"/>
            <w:vAlign w:val="center"/>
          </w:tcPr>
          <w:p w14:paraId="35C1EFEF">
            <w:r>
              <w:rPr>
                <w:rStyle w:val="10"/>
                <w:rFonts w:hint="eastAsia"/>
              </w:rPr>
              <w:t>中毒急救措施：</w:t>
            </w:r>
            <w:r>
              <w:rPr>
                <w:rFonts w:hint="eastAsia"/>
              </w:rPr>
              <w:br w:type="textWrapping"/>
            </w:r>
            <w:r>
              <w:rPr>
                <w:rStyle w:val="11"/>
                <w:rFonts w:hint="eastAsia"/>
              </w:rPr>
              <w:t>本品对兔眼部有刺激性，若不慎溅入眼中，立即用大量清水冲洗至少15分钟，并立即送医院检查；若不慎吸入，应将病人移至空气流通处；若误食，应携带标签及时送医院对症治疗。</w:t>
            </w:r>
          </w:p>
        </w:tc>
      </w:tr>
      <w:tr w14:paraId="5301718D">
        <w:tblPrEx>
          <w:tblCellMar>
            <w:top w:w="0" w:type="dxa"/>
            <w:left w:w="0" w:type="dxa"/>
            <w:bottom w:w="0" w:type="dxa"/>
            <w:right w:w="0" w:type="dxa"/>
          </w:tblCellMar>
        </w:tblPrEx>
        <w:trPr>
          <w:wBefore w:w="0" w:type="auto"/>
          <w:tblCellSpacing w:w="0" w:type="dxa"/>
        </w:trPr>
        <w:tc>
          <w:tcPr>
            <w:tcW w:w="0" w:type="auto"/>
            <w:noWrap w:val="0"/>
            <w:vAlign w:val="center"/>
          </w:tcPr>
          <w:p w14:paraId="2646742E">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饲料、粮食等混合同贮同运。本品在运输途中，严防日晒、雨淋，保持阴凉和通风，确保包装物完好无损。</w:t>
            </w:r>
          </w:p>
        </w:tc>
      </w:tr>
      <w:tr w14:paraId="66B93F75">
        <w:tblPrEx>
          <w:tblCellMar>
            <w:top w:w="0" w:type="dxa"/>
            <w:left w:w="0" w:type="dxa"/>
            <w:bottom w:w="0" w:type="dxa"/>
            <w:right w:w="0" w:type="dxa"/>
          </w:tblCellMar>
        </w:tblPrEx>
        <w:trPr>
          <w:wBefore w:w="0" w:type="auto"/>
          <w:tblCellSpacing w:w="0" w:type="dxa"/>
        </w:trPr>
        <w:tc>
          <w:tcPr>
            <w:tcW w:w="0" w:type="auto"/>
            <w:noWrap w:val="0"/>
            <w:vAlign w:val="center"/>
          </w:tcPr>
          <w:p w14:paraId="5B60D106">
            <w:r>
              <w:rPr>
                <w:rStyle w:val="10"/>
                <w:rFonts w:hint="eastAsia"/>
              </w:rPr>
              <w:t>质量保证期：</w:t>
            </w:r>
            <w:r>
              <w:rPr>
                <w:rStyle w:val="11"/>
                <w:rFonts w:hint="eastAsia"/>
              </w:rPr>
              <w:t>2年</w:t>
            </w:r>
          </w:p>
        </w:tc>
      </w:tr>
      <w:tr w14:paraId="65A99F25">
        <w:tblPrEx>
          <w:tblCellMar>
            <w:top w:w="0" w:type="dxa"/>
            <w:left w:w="0" w:type="dxa"/>
            <w:bottom w:w="0" w:type="dxa"/>
            <w:right w:w="0" w:type="dxa"/>
          </w:tblCellMar>
        </w:tblPrEx>
        <w:trPr>
          <w:wBefore w:w="0" w:type="auto"/>
          <w:tblCellSpacing w:w="0" w:type="dxa"/>
        </w:trPr>
        <w:tc>
          <w:tcPr>
            <w:tcW w:w="0" w:type="auto"/>
            <w:noWrap w:val="0"/>
            <w:vAlign w:val="center"/>
          </w:tcPr>
          <w:p w14:paraId="30AEC49D">
            <w:r>
              <w:rPr>
                <w:rStyle w:val="10"/>
                <w:rFonts w:hint="eastAsia"/>
              </w:rPr>
              <w:t>备注：</w:t>
            </w:r>
          </w:p>
        </w:tc>
      </w:tr>
    </w:tbl>
    <w:p w14:paraId="114BD0A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9DA12CA">
        <w:tblPrEx>
          <w:tblCellMar>
            <w:top w:w="0" w:type="dxa"/>
            <w:left w:w="0" w:type="dxa"/>
            <w:bottom w:w="0" w:type="dxa"/>
            <w:right w:w="0" w:type="dxa"/>
          </w:tblCellMar>
        </w:tblPrEx>
        <w:trPr>
          <w:wBefore w:w="0" w:type="auto"/>
          <w:tblCellSpacing w:w="0" w:type="dxa"/>
        </w:trPr>
        <w:tc>
          <w:tcPr>
            <w:tcW w:w="0" w:type="auto"/>
            <w:noWrap w:val="0"/>
            <w:vAlign w:val="center"/>
          </w:tcPr>
          <w:p w14:paraId="60F2DDEE">
            <w:r>
              <w:rPr>
                <w:rStyle w:val="10"/>
                <w:rFonts w:hint="eastAsia"/>
              </w:rPr>
              <w:t>登记证号：</w:t>
            </w:r>
            <w:r>
              <w:rPr>
                <w:rFonts w:hint="eastAsia"/>
              </w:rPr>
              <w:t>PD20211795</w:t>
            </w:r>
          </w:p>
        </w:tc>
      </w:tr>
      <w:tr w14:paraId="5C53FCD4">
        <w:tblPrEx>
          <w:tblCellMar>
            <w:top w:w="0" w:type="dxa"/>
            <w:left w:w="0" w:type="dxa"/>
            <w:bottom w:w="0" w:type="dxa"/>
            <w:right w:w="0" w:type="dxa"/>
          </w:tblCellMar>
        </w:tblPrEx>
        <w:trPr>
          <w:wBefore w:w="0" w:type="auto"/>
          <w:tblCellSpacing w:w="0" w:type="dxa"/>
        </w:trPr>
        <w:tc>
          <w:tcPr>
            <w:tcW w:w="0" w:type="auto"/>
            <w:noWrap w:val="0"/>
            <w:vAlign w:val="center"/>
          </w:tcPr>
          <w:p w14:paraId="03A07BFA">
            <w:r>
              <w:rPr>
                <w:rStyle w:val="10"/>
                <w:rFonts w:hint="eastAsia"/>
              </w:rPr>
              <w:t>登记证持有人：</w:t>
            </w:r>
            <w:r>
              <w:rPr>
                <w:rFonts w:hint="eastAsia"/>
              </w:rPr>
              <w:t>福建新农大正生物工程有限公司</w:t>
            </w:r>
          </w:p>
        </w:tc>
      </w:tr>
      <w:tr w14:paraId="6F9BECC5">
        <w:tblPrEx>
          <w:tblCellMar>
            <w:top w:w="0" w:type="dxa"/>
            <w:left w:w="0" w:type="dxa"/>
            <w:bottom w:w="0" w:type="dxa"/>
            <w:right w:w="0" w:type="dxa"/>
          </w:tblCellMar>
        </w:tblPrEx>
        <w:trPr>
          <w:wBefore w:w="0" w:type="auto"/>
          <w:tblCellSpacing w:w="0" w:type="dxa"/>
        </w:trPr>
        <w:tc>
          <w:tcPr>
            <w:tcW w:w="0" w:type="auto"/>
            <w:noWrap w:val="0"/>
            <w:vAlign w:val="center"/>
          </w:tcPr>
          <w:p w14:paraId="290DFDE2">
            <w:r>
              <w:rPr>
                <w:rStyle w:val="10"/>
                <w:rFonts w:hint="eastAsia"/>
              </w:rPr>
              <w:t>农药名称：</w:t>
            </w:r>
            <w:r>
              <w:rPr>
                <w:rFonts w:hint="eastAsia"/>
              </w:rPr>
              <w:t>氟啶·螺虫酯</w:t>
            </w:r>
          </w:p>
        </w:tc>
      </w:tr>
      <w:tr w14:paraId="069A06B8">
        <w:tblPrEx>
          <w:tblCellMar>
            <w:top w:w="0" w:type="dxa"/>
            <w:left w:w="0" w:type="dxa"/>
            <w:bottom w:w="0" w:type="dxa"/>
            <w:right w:w="0" w:type="dxa"/>
          </w:tblCellMar>
        </w:tblPrEx>
        <w:trPr>
          <w:wBefore w:w="0" w:type="auto"/>
          <w:tblCellSpacing w:w="0" w:type="dxa"/>
        </w:trPr>
        <w:tc>
          <w:tcPr>
            <w:tcW w:w="0" w:type="auto"/>
            <w:noWrap w:val="0"/>
            <w:vAlign w:val="center"/>
          </w:tcPr>
          <w:p w14:paraId="7B7CD0A8">
            <w:r>
              <w:rPr>
                <w:rStyle w:val="10"/>
                <w:rFonts w:hint="eastAsia"/>
              </w:rPr>
              <w:t>剂型：</w:t>
            </w:r>
            <w:r>
              <w:rPr>
                <w:rFonts w:hint="eastAsia"/>
              </w:rPr>
              <w:t>悬浮剂</w:t>
            </w:r>
          </w:p>
        </w:tc>
      </w:tr>
      <w:tr w14:paraId="4FF64216">
        <w:tblPrEx>
          <w:tblCellMar>
            <w:top w:w="0" w:type="dxa"/>
            <w:left w:w="0" w:type="dxa"/>
            <w:bottom w:w="0" w:type="dxa"/>
            <w:right w:w="0" w:type="dxa"/>
          </w:tblCellMar>
        </w:tblPrEx>
        <w:trPr>
          <w:wBefore w:w="0" w:type="auto"/>
          <w:tblCellSpacing w:w="0" w:type="dxa"/>
        </w:trPr>
        <w:tc>
          <w:tcPr>
            <w:tcW w:w="0" w:type="auto"/>
            <w:noWrap w:val="0"/>
            <w:vAlign w:val="center"/>
          </w:tcPr>
          <w:p w14:paraId="5BD6A901">
            <w:r>
              <w:rPr>
                <w:rStyle w:val="10"/>
                <w:rFonts w:hint="eastAsia"/>
              </w:rPr>
              <w:t>毒性及其标识：</w:t>
            </w:r>
            <w:r>
              <w:rPr>
                <w:rFonts w:hint="eastAsia"/>
              </w:rPr>
              <w:t xml:space="preserve"> </w:t>
            </w:r>
            <w:r>
              <w:rPr>
                <w:lang/>
              </w:rPr>
              <w:drawing>
                <wp:inline distT="0" distB="0" distL="114300" distR="114300">
                  <wp:extent cx="476250" cy="323850"/>
                  <wp:effectExtent l="0" t="0" r="0" b="0"/>
                  <wp:docPr id="435" name="图片 43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1583029">
        <w:tblPrEx>
          <w:tblCellMar>
            <w:top w:w="0" w:type="dxa"/>
            <w:left w:w="0" w:type="dxa"/>
            <w:bottom w:w="0" w:type="dxa"/>
            <w:right w:w="0" w:type="dxa"/>
          </w:tblCellMar>
        </w:tblPrEx>
        <w:trPr>
          <w:wBefore w:w="0" w:type="auto"/>
          <w:tblCellSpacing w:w="0" w:type="dxa"/>
        </w:trPr>
        <w:tc>
          <w:tcPr>
            <w:tcW w:w="0" w:type="auto"/>
            <w:noWrap w:val="0"/>
            <w:vAlign w:val="center"/>
          </w:tcPr>
          <w:p w14:paraId="721813F9">
            <w:r>
              <w:rPr>
                <w:rStyle w:val="10"/>
                <w:rFonts w:hint="eastAsia"/>
              </w:rPr>
              <w:t>总有效成分含量：</w:t>
            </w:r>
            <w:r>
              <w:rPr>
                <w:rFonts w:hint="eastAsia"/>
              </w:rPr>
              <w:t>30%</w:t>
            </w:r>
          </w:p>
        </w:tc>
      </w:tr>
      <w:tr w14:paraId="4891C8EB">
        <w:tblPrEx>
          <w:tblCellMar>
            <w:top w:w="0" w:type="dxa"/>
            <w:left w:w="0" w:type="dxa"/>
            <w:bottom w:w="0" w:type="dxa"/>
            <w:right w:w="0" w:type="dxa"/>
          </w:tblCellMar>
        </w:tblPrEx>
        <w:trPr>
          <w:wBefore w:w="0" w:type="auto"/>
          <w:tblCellSpacing w:w="0" w:type="dxa"/>
        </w:trPr>
        <w:tc>
          <w:tcPr>
            <w:tcW w:w="0" w:type="auto"/>
            <w:noWrap w:val="0"/>
            <w:vAlign w:val="center"/>
          </w:tcPr>
          <w:p w14:paraId="3FDC19C8">
            <w:r>
              <w:rPr>
                <w:rFonts w:hint="eastAsia"/>
              </w:rPr>
              <w:t xml:space="preserve">有效成分及其含量： </w:t>
            </w:r>
          </w:p>
          <w:p w14:paraId="6DC533EE">
            <w:r>
              <w:rPr>
                <w:rFonts w:hint="eastAsia"/>
              </w:rPr>
              <w:t xml:space="preserve">    氟啶虫酰胺10%    螺虫乙酯20%    </w:t>
            </w:r>
          </w:p>
        </w:tc>
      </w:tr>
      <w:tr w14:paraId="63BD0088">
        <w:tblPrEx>
          <w:tblCellMar>
            <w:top w:w="0" w:type="dxa"/>
            <w:left w:w="0" w:type="dxa"/>
            <w:bottom w:w="0" w:type="dxa"/>
            <w:right w:w="0" w:type="dxa"/>
          </w:tblCellMar>
        </w:tblPrEx>
        <w:trPr>
          <w:wBefore w:w="0" w:type="auto"/>
          <w:tblCellSpacing w:w="0" w:type="dxa"/>
        </w:trPr>
        <w:tc>
          <w:tcPr>
            <w:tcW w:w="0" w:type="auto"/>
            <w:noWrap w:val="0"/>
            <w:vAlign w:val="center"/>
          </w:tcPr>
          <w:p w14:paraId="35AF4EC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B1414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AA286E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1C8351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DE39A7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264A9E5">
                  <w:r>
                    <w:rPr>
                      <w:rStyle w:val="11"/>
                      <w:rFonts w:hint="eastAsia"/>
                    </w:rPr>
                    <w:t>施用方式</w:t>
                  </w:r>
                </w:p>
              </w:tc>
            </w:tr>
            <w:tr w14:paraId="216528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4751C25">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E6A5A1">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1FE983">
                  <w:r>
                    <w:rPr>
                      <w:rStyle w:val="11"/>
                      <w:rFonts w:hint="eastAsia"/>
                    </w:rPr>
                    <w:t>10-15毫升/亩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14FBB9">
                  <w:r>
                    <w:rPr>
                      <w:rStyle w:val="11"/>
                      <w:rFonts w:hint="eastAsia"/>
                    </w:rPr>
                    <w:t>喷雾</w:t>
                  </w:r>
                </w:p>
              </w:tc>
            </w:tr>
          </w:tbl>
          <w:p w14:paraId="7788C1E6">
            <w:pPr>
              <w:rPr>
                <w:rFonts w:ascii="Times New Roman" w:hAnsi="Times New Roman" w:cs="Times New Roman"/>
                <w:sz w:val="20"/>
                <w:szCs w:val="20"/>
              </w:rPr>
            </w:pPr>
          </w:p>
        </w:tc>
      </w:tr>
      <w:tr w14:paraId="0B822CF1">
        <w:tblPrEx>
          <w:tblCellMar>
            <w:top w:w="0" w:type="dxa"/>
            <w:left w:w="0" w:type="dxa"/>
            <w:bottom w:w="0" w:type="dxa"/>
            <w:right w:w="0" w:type="dxa"/>
          </w:tblCellMar>
        </w:tblPrEx>
        <w:trPr>
          <w:wBefore w:w="0" w:type="auto"/>
          <w:tblCellSpacing w:w="0" w:type="dxa"/>
        </w:trPr>
        <w:tc>
          <w:tcPr>
            <w:tcW w:w="0" w:type="auto"/>
            <w:noWrap w:val="0"/>
            <w:vAlign w:val="center"/>
          </w:tcPr>
          <w:p w14:paraId="71B1142F">
            <w:r>
              <w:rPr>
                <w:rStyle w:val="10"/>
                <w:rFonts w:hint="eastAsia"/>
              </w:rPr>
              <w:t>使用技术要求:</w:t>
            </w:r>
            <w:r>
              <w:rPr>
                <w:rFonts w:hint="eastAsia"/>
              </w:rPr>
              <w:br w:type="textWrapping"/>
            </w:r>
            <w:r>
              <w:rPr>
                <w:rStyle w:val="11"/>
                <w:rFonts w:hint="eastAsia"/>
              </w:rPr>
              <w:t>在甘蓝蚜虫处于发生初期，兑水喷雾，注意均匀周到与科学轮换用药。本品使用的安全间隔期为7天，每季作物最多使用次数1次。</w:t>
            </w:r>
          </w:p>
        </w:tc>
      </w:tr>
      <w:tr w14:paraId="62127498">
        <w:tblPrEx>
          <w:tblCellMar>
            <w:top w:w="0" w:type="dxa"/>
            <w:left w:w="0" w:type="dxa"/>
            <w:bottom w:w="0" w:type="dxa"/>
            <w:right w:w="0" w:type="dxa"/>
          </w:tblCellMar>
        </w:tblPrEx>
        <w:trPr>
          <w:wBefore w:w="0" w:type="auto"/>
          <w:tblCellSpacing w:w="0" w:type="dxa"/>
        </w:trPr>
        <w:tc>
          <w:tcPr>
            <w:tcW w:w="0" w:type="auto"/>
            <w:noWrap w:val="0"/>
            <w:vAlign w:val="center"/>
          </w:tcPr>
          <w:p w14:paraId="56B5CDE1">
            <w:r>
              <w:rPr>
                <w:rStyle w:val="10"/>
                <w:rFonts w:hint="eastAsia"/>
              </w:rPr>
              <w:t>产品性能:</w:t>
            </w:r>
            <w:r>
              <w:rPr>
                <w:rFonts w:hint="eastAsia"/>
              </w:rPr>
              <w:br w:type="textWrapping"/>
            </w:r>
            <w:r>
              <w:rPr>
                <w:rStyle w:val="11"/>
                <w:rFonts w:hint="eastAsia"/>
              </w:rPr>
              <w:t>本品是氟啶虫酰胺与螺虫乙酯的复配制剂，可以通过阻碍害虫吮吸作用，使害虫摄入药剂后很快停止吮吸，最后饥饿而死；也可通过抑制昆虫脂质的合成使其中毒死亡，具有双向内吸传导性能。具有触杀和胃毒作用。对甘蓝蚜虫有较好的防治效果。</w:t>
            </w:r>
          </w:p>
        </w:tc>
      </w:tr>
      <w:tr w14:paraId="78EF789E">
        <w:tblPrEx>
          <w:tblCellMar>
            <w:top w:w="0" w:type="dxa"/>
            <w:left w:w="0" w:type="dxa"/>
            <w:bottom w:w="0" w:type="dxa"/>
            <w:right w:w="0" w:type="dxa"/>
          </w:tblCellMar>
        </w:tblPrEx>
        <w:trPr>
          <w:wBefore w:w="0" w:type="auto"/>
          <w:tblCellSpacing w:w="0" w:type="dxa"/>
        </w:trPr>
        <w:tc>
          <w:tcPr>
            <w:tcW w:w="0" w:type="auto"/>
            <w:noWrap w:val="0"/>
            <w:vAlign w:val="center"/>
          </w:tcPr>
          <w:p w14:paraId="2B1E7452">
            <w:r>
              <w:rPr>
                <w:rStyle w:val="10"/>
                <w:rFonts w:hint="eastAsia"/>
              </w:rPr>
              <w:t>注意事项：</w:t>
            </w:r>
            <w:r>
              <w:rPr>
                <w:rFonts w:hint="eastAsia"/>
              </w:rPr>
              <w:br w:type="textWrapping"/>
            </w:r>
            <w:r>
              <w:rPr>
                <w:rStyle w:val="11"/>
                <w:rFonts w:hint="eastAsia"/>
              </w:rPr>
              <w:t>1. 请按照农药安全使用准则使用本品。施药时，应尽量避免与喷雾药液直接接触；按照较好的防护水平进行防护，施药时应穿着长衣、长裤、手套、鞋并佩戴帽子和口罩，农药施用人员在施用过程中避免眼睛和皮肤接触到本品。施药时，切勿吸烟或饮食；施药后应洗澡，更换及清洗工作服；空容器应土埋或烧毁，切勿再用。用过后容器应妥善处理，不可做它用，也不可随意丢弃。2. 开启封口应小心药液撒出，废弃包装物应冲洗后深埋或由生产企业回收处理，不可再用。3. 本品对鱼类、藻类等水生生物、鸟类、蜜蜂、家蚕等低毒，施药期间应避免对周围蜂群的影响、开花植物花期禁用，避免污染水源和池塘等，禁止在河塘等水体中清洗施药器具。蚕室及桑园附近禁用，桑园附近使用时以最外围一行桑树作为隔离带，从次外围一行桑树上开始采摘桑叶饲喂家蚕。4. 建议与其它作用机制不同的杀虫剂交替使用，以延缓抗性产生。5. 避免孕妇及哺乳期妇女接触。</w:t>
            </w:r>
          </w:p>
        </w:tc>
      </w:tr>
      <w:tr w14:paraId="741ED734">
        <w:tblPrEx>
          <w:tblCellMar>
            <w:top w:w="0" w:type="dxa"/>
            <w:left w:w="0" w:type="dxa"/>
            <w:bottom w:w="0" w:type="dxa"/>
            <w:right w:w="0" w:type="dxa"/>
          </w:tblCellMar>
        </w:tblPrEx>
        <w:trPr>
          <w:wBefore w:w="0" w:type="auto"/>
          <w:tblCellSpacing w:w="0" w:type="dxa"/>
        </w:trPr>
        <w:tc>
          <w:tcPr>
            <w:tcW w:w="0" w:type="auto"/>
            <w:noWrap w:val="0"/>
            <w:vAlign w:val="center"/>
          </w:tcPr>
          <w:p w14:paraId="214B6CF6">
            <w:r>
              <w:rPr>
                <w:rStyle w:val="10"/>
                <w:rFonts w:hint="eastAsia"/>
              </w:rPr>
              <w:t>中毒急救措施：</w:t>
            </w:r>
            <w:r>
              <w:rPr>
                <w:rFonts w:hint="eastAsia"/>
              </w:rPr>
              <w:br w:type="textWrapping"/>
            </w:r>
            <w:r>
              <w:rPr>
                <w:rStyle w:val="11"/>
                <w:rFonts w:hint="eastAsia"/>
              </w:rPr>
              <w:t>使用中或使用后如果感觉不适，应立即停止工作，并携带标签送医院就诊。皮肤接触：脱去污染的衣物，用软布去除沾染农药，立即用大量清水和肥皂冲洗。眼睛溅入：立即用流动清水冲洗不少于15分钟。 吸入：立即离开施药现场，转移到空气清新处。误服：携带标签或包装立即就医对症状治疗。</w:t>
            </w:r>
          </w:p>
        </w:tc>
      </w:tr>
      <w:tr w14:paraId="0431BE80">
        <w:tblPrEx>
          <w:tblCellMar>
            <w:top w:w="0" w:type="dxa"/>
            <w:left w:w="0" w:type="dxa"/>
            <w:bottom w:w="0" w:type="dxa"/>
            <w:right w:w="0" w:type="dxa"/>
          </w:tblCellMar>
        </w:tblPrEx>
        <w:trPr>
          <w:wBefore w:w="0" w:type="auto"/>
          <w:tblCellSpacing w:w="0" w:type="dxa"/>
        </w:trPr>
        <w:tc>
          <w:tcPr>
            <w:tcW w:w="0" w:type="auto"/>
            <w:noWrap w:val="0"/>
            <w:vAlign w:val="center"/>
          </w:tcPr>
          <w:p w14:paraId="6A3A30BA">
            <w:r>
              <w:rPr>
                <w:rStyle w:val="10"/>
                <w:rFonts w:hint="eastAsia"/>
              </w:rPr>
              <w:t>储存和运输方法：</w:t>
            </w:r>
            <w:r>
              <w:rPr>
                <w:rFonts w:hint="eastAsia"/>
              </w:rPr>
              <w:br w:type="textWrapping"/>
            </w:r>
            <w:r>
              <w:rPr>
                <w:rStyle w:val="11"/>
                <w:rFonts w:hint="eastAsia"/>
              </w:rPr>
              <w:t>贮运时严防日晒雨淋，存放于阴凉、干燥、避光处，保持良好通风，置于儿童、无关人员及动物接触不到之处，并加锁保存。远离火源或热源，不得与食品、饮料、粮食、饲料及易燃易爆品同贮同运。</w:t>
            </w:r>
          </w:p>
        </w:tc>
      </w:tr>
      <w:tr w14:paraId="1B64E941">
        <w:tblPrEx>
          <w:tblCellMar>
            <w:top w:w="0" w:type="dxa"/>
            <w:left w:w="0" w:type="dxa"/>
            <w:bottom w:w="0" w:type="dxa"/>
            <w:right w:w="0" w:type="dxa"/>
          </w:tblCellMar>
        </w:tblPrEx>
        <w:trPr>
          <w:wBefore w:w="0" w:type="auto"/>
          <w:tblCellSpacing w:w="0" w:type="dxa"/>
        </w:trPr>
        <w:tc>
          <w:tcPr>
            <w:tcW w:w="0" w:type="auto"/>
            <w:noWrap w:val="0"/>
            <w:vAlign w:val="center"/>
          </w:tcPr>
          <w:p w14:paraId="1409B3C5">
            <w:r>
              <w:rPr>
                <w:rStyle w:val="10"/>
                <w:rFonts w:hint="eastAsia"/>
              </w:rPr>
              <w:t>质量保证期：</w:t>
            </w:r>
            <w:r>
              <w:rPr>
                <w:rStyle w:val="11"/>
                <w:rFonts w:hint="eastAsia"/>
              </w:rPr>
              <w:t>2年</w:t>
            </w:r>
          </w:p>
        </w:tc>
      </w:tr>
      <w:tr w14:paraId="6AB06D37">
        <w:tblPrEx>
          <w:tblCellMar>
            <w:top w:w="0" w:type="dxa"/>
            <w:left w:w="0" w:type="dxa"/>
            <w:bottom w:w="0" w:type="dxa"/>
            <w:right w:w="0" w:type="dxa"/>
          </w:tblCellMar>
        </w:tblPrEx>
        <w:trPr>
          <w:wBefore w:w="0" w:type="auto"/>
          <w:tblCellSpacing w:w="0" w:type="dxa"/>
        </w:trPr>
        <w:tc>
          <w:tcPr>
            <w:tcW w:w="0" w:type="auto"/>
            <w:noWrap w:val="0"/>
            <w:vAlign w:val="center"/>
          </w:tcPr>
          <w:p w14:paraId="73016E72">
            <w:r>
              <w:rPr>
                <w:rStyle w:val="10"/>
                <w:rFonts w:hint="eastAsia"/>
              </w:rPr>
              <w:t>备注：</w:t>
            </w:r>
          </w:p>
        </w:tc>
      </w:tr>
    </w:tbl>
    <w:p w14:paraId="6A8C32C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EC2C7C">
        <w:tblPrEx>
          <w:tblCellMar>
            <w:top w:w="0" w:type="dxa"/>
            <w:left w:w="0" w:type="dxa"/>
            <w:bottom w:w="0" w:type="dxa"/>
            <w:right w:w="0" w:type="dxa"/>
          </w:tblCellMar>
        </w:tblPrEx>
        <w:trPr>
          <w:wBefore w:w="0" w:type="auto"/>
          <w:tblCellSpacing w:w="0" w:type="dxa"/>
        </w:trPr>
        <w:tc>
          <w:tcPr>
            <w:tcW w:w="0" w:type="auto"/>
            <w:noWrap w:val="0"/>
            <w:vAlign w:val="center"/>
          </w:tcPr>
          <w:p w14:paraId="1992CDD2">
            <w:r>
              <w:rPr>
                <w:rStyle w:val="10"/>
                <w:rFonts w:hint="eastAsia"/>
              </w:rPr>
              <w:t>登记证号：</w:t>
            </w:r>
            <w:r>
              <w:rPr>
                <w:rFonts w:hint="eastAsia"/>
              </w:rPr>
              <w:t>PD20097064</w:t>
            </w:r>
          </w:p>
        </w:tc>
      </w:tr>
      <w:tr w14:paraId="5C7DA668">
        <w:tblPrEx>
          <w:tblCellMar>
            <w:top w:w="0" w:type="dxa"/>
            <w:left w:w="0" w:type="dxa"/>
            <w:bottom w:w="0" w:type="dxa"/>
            <w:right w:w="0" w:type="dxa"/>
          </w:tblCellMar>
        </w:tblPrEx>
        <w:trPr>
          <w:wBefore w:w="0" w:type="auto"/>
          <w:tblCellSpacing w:w="0" w:type="dxa"/>
        </w:trPr>
        <w:tc>
          <w:tcPr>
            <w:tcW w:w="0" w:type="auto"/>
            <w:noWrap w:val="0"/>
            <w:vAlign w:val="center"/>
          </w:tcPr>
          <w:p w14:paraId="3041B8FD">
            <w:r>
              <w:rPr>
                <w:rStyle w:val="10"/>
                <w:rFonts w:hint="eastAsia"/>
              </w:rPr>
              <w:t>登记证持有人：</w:t>
            </w:r>
            <w:r>
              <w:rPr>
                <w:rFonts w:hint="eastAsia"/>
              </w:rPr>
              <w:t>江苏龙灯化学有限公司</w:t>
            </w:r>
          </w:p>
        </w:tc>
      </w:tr>
      <w:tr w14:paraId="3A740C9C">
        <w:tblPrEx>
          <w:tblCellMar>
            <w:top w:w="0" w:type="dxa"/>
            <w:left w:w="0" w:type="dxa"/>
            <w:bottom w:w="0" w:type="dxa"/>
            <w:right w:w="0" w:type="dxa"/>
          </w:tblCellMar>
        </w:tblPrEx>
        <w:trPr>
          <w:wBefore w:w="0" w:type="auto"/>
          <w:tblCellSpacing w:w="0" w:type="dxa"/>
        </w:trPr>
        <w:tc>
          <w:tcPr>
            <w:tcW w:w="0" w:type="auto"/>
            <w:noWrap w:val="0"/>
            <w:vAlign w:val="center"/>
          </w:tcPr>
          <w:p w14:paraId="275D68D4">
            <w:r>
              <w:rPr>
                <w:rStyle w:val="10"/>
                <w:rFonts w:hint="eastAsia"/>
              </w:rPr>
              <w:t>农药名称：</w:t>
            </w:r>
            <w:r>
              <w:rPr>
                <w:rFonts w:hint="eastAsia"/>
              </w:rPr>
              <w:t>烟嘧磺隆</w:t>
            </w:r>
          </w:p>
        </w:tc>
      </w:tr>
      <w:tr w14:paraId="18EBE5DD">
        <w:tblPrEx>
          <w:tblCellMar>
            <w:top w:w="0" w:type="dxa"/>
            <w:left w:w="0" w:type="dxa"/>
            <w:bottom w:w="0" w:type="dxa"/>
            <w:right w:w="0" w:type="dxa"/>
          </w:tblCellMar>
        </w:tblPrEx>
        <w:trPr>
          <w:wBefore w:w="0" w:type="auto"/>
          <w:tblCellSpacing w:w="0" w:type="dxa"/>
        </w:trPr>
        <w:tc>
          <w:tcPr>
            <w:tcW w:w="0" w:type="auto"/>
            <w:noWrap w:val="0"/>
            <w:vAlign w:val="center"/>
          </w:tcPr>
          <w:p w14:paraId="5AFC6F13">
            <w:r>
              <w:rPr>
                <w:rStyle w:val="10"/>
                <w:rFonts w:hint="eastAsia"/>
              </w:rPr>
              <w:t>剂型：</w:t>
            </w:r>
            <w:r>
              <w:rPr>
                <w:rFonts w:hint="eastAsia"/>
              </w:rPr>
              <w:t>可分散油悬浮剂</w:t>
            </w:r>
          </w:p>
        </w:tc>
      </w:tr>
      <w:tr w14:paraId="102B1ADA">
        <w:tblPrEx>
          <w:tblCellMar>
            <w:top w:w="0" w:type="dxa"/>
            <w:left w:w="0" w:type="dxa"/>
            <w:bottom w:w="0" w:type="dxa"/>
            <w:right w:w="0" w:type="dxa"/>
          </w:tblCellMar>
        </w:tblPrEx>
        <w:trPr>
          <w:wBefore w:w="0" w:type="auto"/>
          <w:tblCellSpacing w:w="0" w:type="dxa"/>
        </w:trPr>
        <w:tc>
          <w:tcPr>
            <w:tcW w:w="0" w:type="auto"/>
            <w:noWrap w:val="0"/>
            <w:vAlign w:val="center"/>
          </w:tcPr>
          <w:p w14:paraId="25497CA2">
            <w:r>
              <w:rPr>
                <w:rStyle w:val="10"/>
                <w:rFonts w:hint="eastAsia"/>
              </w:rPr>
              <w:t>毒性及其标识：</w:t>
            </w:r>
            <w:r>
              <w:rPr>
                <w:rFonts w:hint="eastAsia"/>
              </w:rPr>
              <w:t xml:space="preserve"> </w:t>
            </w:r>
            <w:r>
              <w:rPr>
                <w:lang/>
              </w:rPr>
              <w:drawing>
                <wp:inline distT="0" distB="0" distL="114300" distR="114300">
                  <wp:extent cx="476250" cy="323850"/>
                  <wp:effectExtent l="0" t="0" r="0" b="0"/>
                  <wp:docPr id="436" name="图片 43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C61CA56">
        <w:tblPrEx>
          <w:tblCellMar>
            <w:top w:w="0" w:type="dxa"/>
            <w:left w:w="0" w:type="dxa"/>
            <w:bottom w:w="0" w:type="dxa"/>
            <w:right w:w="0" w:type="dxa"/>
          </w:tblCellMar>
        </w:tblPrEx>
        <w:trPr>
          <w:wBefore w:w="0" w:type="auto"/>
          <w:tblCellSpacing w:w="0" w:type="dxa"/>
        </w:trPr>
        <w:tc>
          <w:tcPr>
            <w:tcW w:w="0" w:type="auto"/>
            <w:noWrap w:val="0"/>
            <w:vAlign w:val="center"/>
          </w:tcPr>
          <w:p w14:paraId="54153DF1">
            <w:r>
              <w:rPr>
                <w:rStyle w:val="10"/>
                <w:rFonts w:hint="eastAsia"/>
              </w:rPr>
              <w:t>总有效成分含量：</w:t>
            </w:r>
            <w:r>
              <w:rPr>
                <w:rFonts w:hint="eastAsia"/>
              </w:rPr>
              <w:t>40克/升</w:t>
            </w:r>
          </w:p>
        </w:tc>
      </w:tr>
      <w:tr w14:paraId="1EE8FDBF">
        <w:tblPrEx>
          <w:tblCellMar>
            <w:top w:w="0" w:type="dxa"/>
            <w:left w:w="0" w:type="dxa"/>
            <w:bottom w:w="0" w:type="dxa"/>
            <w:right w:w="0" w:type="dxa"/>
          </w:tblCellMar>
        </w:tblPrEx>
        <w:trPr>
          <w:wBefore w:w="0" w:type="auto"/>
          <w:tblCellSpacing w:w="0" w:type="dxa"/>
        </w:trPr>
        <w:tc>
          <w:tcPr>
            <w:tcW w:w="0" w:type="auto"/>
            <w:noWrap w:val="0"/>
            <w:vAlign w:val="center"/>
          </w:tcPr>
          <w:p w14:paraId="0DD7314E">
            <w:r>
              <w:rPr>
                <w:rFonts w:hint="eastAsia"/>
              </w:rPr>
              <w:t xml:space="preserve">有效成分及其含量： </w:t>
            </w:r>
          </w:p>
          <w:p w14:paraId="07078C2F">
            <w:r>
              <w:rPr>
                <w:rFonts w:hint="eastAsia"/>
              </w:rPr>
              <w:t xml:space="preserve">    烟嘧磺隆40克/升    </w:t>
            </w:r>
          </w:p>
        </w:tc>
      </w:tr>
      <w:tr w14:paraId="43C4DA0D">
        <w:tblPrEx>
          <w:tblCellMar>
            <w:top w:w="0" w:type="dxa"/>
            <w:left w:w="0" w:type="dxa"/>
            <w:bottom w:w="0" w:type="dxa"/>
            <w:right w:w="0" w:type="dxa"/>
          </w:tblCellMar>
        </w:tblPrEx>
        <w:trPr>
          <w:wBefore w:w="0" w:type="auto"/>
          <w:tblCellSpacing w:w="0" w:type="dxa"/>
        </w:trPr>
        <w:tc>
          <w:tcPr>
            <w:tcW w:w="0" w:type="auto"/>
            <w:noWrap w:val="0"/>
            <w:vAlign w:val="center"/>
          </w:tcPr>
          <w:p w14:paraId="750DC6E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9BC71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018E8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822018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AD5D87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6AD596E">
                  <w:r>
                    <w:rPr>
                      <w:rStyle w:val="11"/>
                      <w:rFonts w:hint="eastAsia"/>
                    </w:rPr>
                    <w:t>施用方式</w:t>
                  </w:r>
                </w:p>
              </w:tc>
            </w:tr>
            <w:tr w14:paraId="78870F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46FD430">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A775F6">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DCA4C3">
                  <w:r>
                    <w:rPr>
                      <w:rStyle w:val="11"/>
                      <w:rFonts w:hint="eastAsia"/>
                    </w:rPr>
                    <w:t>66-100毫升/亩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123946">
                  <w:r>
                    <w:rPr>
                      <w:rStyle w:val="11"/>
                      <w:rFonts w:hint="eastAsia"/>
                    </w:rPr>
                    <w:t>茎叶喷雾</w:t>
                  </w:r>
                </w:p>
              </w:tc>
            </w:tr>
          </w:tbl>
          <w:p w14:paraId="2A551F2B">
            <w:pPr>
              <w:rPr>
                <w:rFonts w:ascii="Times New Roman" w:hAnsi="Times New Roman" w:cs="Times New Roman"/>
                <w:sz w:val="20"/>
                <w:szCs w:val="20"/>
              </w:rPr>
            </w:pPr>
          </w:p>
        </w:tc>
      </w:tr>
      <w:tr w14:paraId="366EF5BC">
        <w:tblPrEx>
          <w:tblCellMar>
            <w:top w:w="0" w:type="dxa"/>
            <w:left w:w="0" w:type="dxa"/>
            <w:bottom w:w="0" w:type="dxa"/>
            <w:right w:w="0" w:type="dxa"/>
          </w:tblCellMar>
        </w:tblPrEx>
        <w:trPr>
          <w:wBefore w:w="0" w:type="auto"/>
          <w:tblCellSpacing w:w="0" w:type="dxa"/>
        </w:trPr>
        <w:tc>
          <w:tcPr>
            <w:tcW w:w="0" w:type="auto"/>
            <w:noWrap w:val="0"/>
            <w:vAlign w:val="center"/>
          </w:tcPr>
          <w:p w14:paraId="0FD4CD48">
            <w:r>
              <w:rPr>
                <w:rStyle w:val="10"/>
                <w:rFonts w:hint="eastAsia"/>
              </w:rPr>
              <w:t>使用技术要求:</w:t>
            </w:r>
            <w:r>
              <w:rPr>
                <w:rFonts w:hint="eastAsia"/>
              </w:rPr>
              <w:br w:type="textWrapping"/>
            </w:r>
            <w:r>
              <w:rPr>
                <w:rStyle w:val="11"/>
                <w:rFonts w:hint="eastAsia"/>
              </w:rPr>
              <w:t>1. 每季使用1次，对后茬作物安全间隔期为120天。2. 本剂使用时期为玉米3-5叶期,杂草2-4叶期,每亩兑水量为30-50升,均匀茎叶喷雾。3. 配制药液前，先将药瓶充分摇匀后，按比例将药液稀释，充分搅拌后使用。为避免药害产生,不要重复施药。</w:t>
            </w:r>
          </w:p>
        </w:tc>
      </w:tr>
      <w:tr w14:paraId="3D91888A">
        <w:tblPrEx>
          <w:tblCellMar>
            <w:top w:w="0" w:type="dxa"/>
            <w:left w:w="0" w:type="dxa"/>
            <w:bottom w:w="0" w:type="dxa"/>
            <w:right w:w="0" w:type="dxa"/>
          </w:tblCellMar>
        </w:tblPrEx>
        <w:trPr>
          <w:wBefore w:w="0" w:type="auto"/>
          <w:tblCellSpacing w:w="0" w:type="dxa"/>
        </w:trPr>
        <w:tc>
          <w:tcPr>
            <w:tcW w:w="0" w:type="auto"/>
            <w:noWrap w:val="0"/>
            <w:vAlign w:val="center"/>
          </w:tcPr>
          <w:p w14:paraId="676F2471">
            <w:r>
              <w:rPr>
                <w:rStyle w:val="10"/>
                <w:rFonts w:hint="eastAsia"/>
              </w:rPr>
              <w:t>产品性能:</w:t>
            </w:r>
            <w:r>
              <w:rPr>
                <w:rFonts w:hint="eastAsia"/>
              </w:rPr>
              <w:br w:type="textWrapping"/>
            </w:r>
            <w:r>
              <w:rPr>
                <w:rStyle w:val="11"/>
                <w:rFonts w:hint="eastAsia"/>
              </w:rPr>
              <w:t>本品为磺酰脲类内吸选择性玉米苗后除草剂，芽后使用能有效地防除玉米田中多种一年生禾本科杂草，阔叶杂草及莎草科杂草。其被叶和根迅速吸收，并通过木质部和韧皮部迅速传导。对稗草、马唐、狗尾草等禾本科杂草以及马齿苋、苋菜、蓼等阔叶草有很好的效果。</w:t>
            </w:r>
          </w:p>
        </w:tc>
      </w:tr>
      <w:tr w14:paraId="2A745A4B">
        <w:tblPrEx>
          <w:tblCellMar>
            <w:top w:w="0" w:type="dxa"/>
            <w:left w:w="0" w:type="dxa"/>
            <w:bottom w:w="0" w:type="dxa"/>
            <w:right w:w="0" w:type="dxa"/>
          </w:tblCellMar>
        </w:tblPrEx>
        <w:trPr>
          <w:wBefore w:w="0" w:type="auto"/>
          <w:tblCellSpacing w:w="0" w:type="dxa"/>
        </w:trPr>
        <w:tc>
          <w:tcPr>
            <w:tcW w:w="0" w:type="auto"/>
            <w:noWrap w:val="0"/>
            <w:vAlign w:val="center"/>
          </w:tcPr>
          <w:p w14:paraId="60B0C5EB">
            <w:r>
              <w:rPr>
                <w:rStyle w:val="10"/>
                <w:rFonts w:hint="eastAsia"/>
              </w:rPr>
              <w:t>注意事项：</w:t>
            </w:r>
            <w:r>
              <w:rPr>
                <w:rFonts w:hint="eastAsia"/>
              </w:rPr>
              <w:br w:type="textWrapping"/>
            </w:r>
            <w:r>
              <w:rPr>
                <w:rStyle w:val="11"/>
                <w:rFonts w:hint="eastAsia"/>
              </w:rPr>
              <w:t>1、作物对象玉米为马齿型和硬玉米品种。甜玉米、爆裂玉米、制种田玉米、自留玉米种子不宜使用。初次使用的玉米种子，需经安全性试验确认安全后，方可使用。2、不要和有机磷杀虫剂混用或使用本剂前后7天内，不要使用有机磷类杀虫剂，以免发生药害。 3、施药数日后，有时会出现作物褪色或抑制生长的情况，但不会影响作物的生长和收获。 4、此药剂用在玉米以外的作物上会产生药害，施药时不要把药液洒到或流入周围的其他作物田里。 5、施药后一周内培土会影响除草效果。 6、施药后遇雨会影响除草效果,但如施药6小时后遇降雨,不影响效果,无需重新喷药。 7、遇特殊条件，如高温干旱、低温泥泞、玉米生长弱小时，请慎用。初次使用本剂，需在当地植保部门指导下使用。8、严禁用弥雾机施药，施药应选择在早上或傍晚凉爽时间进行。 9、如在上茬小麦田中使用过长残效除草剂，如甲黄隆、绿黄隆等的玉米田，不宜使用本品。10、施药用具用毕后，将药桶、喷头、管子等充分洗净，以避免使用其他农药时出现药害。 11、严格按照标签内容及技术资料使用本剂。</w:t>
            </w:r>
          </w:p>
        </w:tc>
      </w:tr>
      <w:tr w14:paraId="44AEDA2C">
        <w:tblPrEx>
          <w:tblCellMar>
            <w:top w:w="0" w:type="dxa"/>
            <w:left w:w="0" w:type="dxa"/>
            <w:bottom w:w="0" w:type="dxa"/>
            <w:right w:w="0" w:type="dxa"/>
          </w:tblCellMar>
        </w:tblPrEx>
        <w:trPr>
          <w:wBefore w:w="0" w:type="auto"/>
          <w:tblCellSpacing w:w="0" w:type="dxa"/>
        </w:trPr>
        <w:tc>
          <w:tcPr>
            <w:tcW w:w="0" w:type="auto"/>
            <w:noWrap w:val="0"/>
            <w:vAlign w:val="center"/>
          </w:tcPr>
          <w:p w14:paraId="2A4AC529">
            <w:r>
              <w:rPr>
                <w:rStyle w:val="10"/>
                <w:rFonts w:hint="eastAsia"/>
              </w:rPr>
              <w:t>中毒急救措施：</w:t>
            </w:r>
            <w:r>
              <w:rPr>
                <w:rFonts w:hint="eastAsia"/>
              </w:rPr>
              <w:br w:type="textWrapping"/>
            </w:r>
            <w:r>
              <w:rPr>
                <w:rStyle w:val="11"/>
                <w:rFonts w:hint="eastAsia"/>
              </w:rPr>
              <w:t>1.施药时应戴口罩、手套，穿防护服，严禁吸烟和饮食，不得迎风施药，避免身体直接接触药液。2.施药后用肥皂和清水清洗裸露的皮肤和衣服。3.如药液溅到皮肤，请立即用肥皂和清水冲洗；如药液溅到眼内，应用足量清水冲洗并请医生诊治。4、如误服中毒，应携此标签立即就医。本品无解毒剂，应对症治疗，可催吐。</w:t>
            </w:r>
          </w:p>
        </w:tc>
      </w:tr>
      <w:tr w14:paraId="75F3D063">
        <w:tblPrEx>
          <w:tblCellMar>
            <w:top w:w="0" w:type="dxa"/>
            <w:left w:w="0" w:type="dxa"/>
            <w:bottom w:w="0" w:type="dxa"/>
            <w:right w:w="0" w:type="dxa"/>
          </w:tblCellMar>
        </w:tblPrEx>
        <w:trPr>
          <w:wBefore w:w="0" w:type="auto"/>
          <w:tblCellSpacing w:w="0" w:type="dxa"/>
        </w:trPr>
        <w:tc>
          <w:tcPr>
            <w:tcW w:w="0" w:type="auto"/>
            <w:noWrap w:val="0"/>
            <w:vAlign w:val="center"/>
          </w:tcPr>
          <w:p w14:paraId="597A68FB">
            <w:r>
              <w:rPr>
                <w:rStyle w:val="10"/>
                <w:rFonts w:hint="eastAsia"/>
              </w:rPr>
              <w:t>储存和运输方法：</w:t>
            </w:r>
            <w:r>
              <w:rPr>
                <w:rFonts w:hint="eastAsia"/>
              </w:rPr>
              <w:br w:type="textWrapping"/>
            </w:r>
            <w:r>
              <w:rPr>
                <w:rStyle w:val="11"/>
                <w:rFonts w:hint="eastAsia"/>
              </w:rPr>
              <w:t>1.产品密封后存放在阴凉、干燥、通风处，不要直接置于阳光下,或过热,或低于0℃的地方。2.远离家禽,不能与食品、饮料、粮食、饲料和种子混合贮存及运输。3.贮存于儿童触及不到的地方并加锁。4.本品易燃，远离火种、火源。</w:t>
            </w:r>
          </w:p>
        </w:tc>
      </w:tr>
      <w:tr w14:paraId="54AE33CD">
        <w:tblPrEx>
          <w:tblCellMar>
            <w:top w:w="0" w:type="dxa"/>
            <w:left w:w="0" w:type="dxa"/>
            <w:bottom w:w="0" w:type="dxa"/>
            <w:right w:w="0" w:type="dxa"/>
          </w:tblCellMar>
        </w:tblPrEx>
        <w:trPr>
          <w:wBefore w:w="0" w:type="auto"/>
          <w:tblCellSpacing w:w="0" w:type="dxa"/>
        </w:trPr>
        <w:tc>
          <w:tcPr>
            <w:tcW w:w="0" w:type="auto"/>
            <w:noWrap w:val="0"/>
            <w:vAlign w:val="center"/>
          </w:tcPr>
          <w:p w14:paraId="497A15B9">
            <w:r>
              <w:rPr>
                <w:rStyle w:val="10"/>
                <w:rFonts w:hint="eastAsia"/>
              </w:rPr>
              <w:t>质量保证期：</w:t>
            </w:r>
            <w:r>
              <w:rPr>
                <w:rStyle w:val="11"/>
                <w:rFonts w:hint="eastAsia"/>
              </w:rPr>
              <w:t>2年</w:t>
            </w:r>
          </w:p>
        </w:tc>
      </w:tr>
      <w:tr w14:paraId="3FA6CAC6">
        <w:tblPrEx>
          <w:tblCellMar>
            <w:top w:w="0" w:type="dxa"/>
            <w:left w:w="0" w:type="dxa"/>
            <w:bottom w:w="0" w:type="dxa"/>
            <w:right w:w="0" w:type="dxa"/>
          </w:tblCellMar>
        </w:tblPrEx>
        <w:trPr>
          <w:wBefore w:w="0" w:type="auto"/>
          <w:tblCellSpacing w:w="0" w:type="dxa"/>
        </w:trPr>
        <w:tc>
          <w:tcPr>
            <w:tcW w:w="0" w:type="auto"/>
            <w:noWrap w:val="0"/>
            <w:vAlign w:val="center"/>
          </w:tcPr>
          <w:p w14:paraId="27ACF0B3">
            <w:r>
              <w:rPr>
                <w:rStyle w:val="10"/>
                <w:rFonts w:hint="eastAsia"/>
              </w:rPr>
              <w:t>备注：</w:t>
            </w:r>
            <w:r>
              <w:rPr>
                <w:rFonts w:hint="eastAsia"/>
              </w:rPr>
              <w:br w:type="textWrapping"/>
            </w:r>
            <w:r>
              <w:rPr>
                <w:rStyle w:val="11"/>
                <w:rFonts w:hint="eastAsia"/>
              </w:rPr>
              <w:t>烟嘧磺隆4%。</w:t>
            </w:r>
          </w:p>
        </w:tc>
      </w:tr>
    </w:tbl>
    <w:p w14:paraId="12DD713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F41DCD3">
        <w:tblPrEx>
          <w:tblCellMar>
            <w:top w:w="0" w:type="dxa"/>
            <w:left w:w="0" w:type="dxa"/>
            <w:bottom w:w="0" w:type="dxa"/>
            <w:right w:w="0" w:type="dxa"/>
          </w:tblCellMar>
        </w:tblPrEx>
        <w:trPr>
          <w:wBefore w:w="0" w:type="auto"/>
          <w:tblCellSpacing w:w="0" w:type="dxa"/>
        </w:trPr>
        <w:tc>
          <w:tcPr>
            <w:tcW w:w="0" w:type="auto"/>
            <w:noWrap w:val="0"/>
            <w:vAlign w:val="center"/>
          </w:tcPr>
          <w:p w14:paraId="0BE4BBF3">
            <w:r>
              <w:rPr>
                <w:rStyle w:val="10"/>
                <w:rFonts w:hint="eastAsia"/>
              </w:rPr>
              <w:t>登记证号：</w:t>
            </w:r>
            <w:r>
              <w:rPr>
                <w:rFonts w:hint="eastAsia"/>
              </w:rPr>
              <w:t>PD20210219</w:t>
            </w:r>
          </w:p>
        </w:tc>
      </w:tr>
      <w:tr w14:paraId="6E9116B6">
        <w:tblPrEx>
          <w:tblCellMar>
            <w:top w:w="0" w:type="dxa"/>
            <w:left w:w="0" w:type="dxa"/>
            <w:bottom w:w="0" w:type="dxa"/>
            <w:right w:w="0" w:type="dxa"/>
          </w:tblCellMar>
        </w:tblPrEx>
        <w:trPr>
          <w:wBefore w:w="0" w:type="auto"/>
          <w:tblCellSpacing w:w="0" w:type="dxa"/>
        </w:trPr>
        <w:tc>
          <w:tcPr>
            <w:tcW w:w="0" w:type="auto"/>
            <w:noWrap w:val="0"/>
            <w:vAlign w:val="center"/>
          </w:tcPr>
          <w:p w14:paraId="1578640E">
            <w:r>
              <w:rPr>
                <w:rStyle w:val="10"/>
                <w:rFonts w:hint="eastAsia"/>
              </w:rPr>
              <w:t>登记证持有人：</w:t>
            </w:r>
            <w:r>
              <w:rPr>
                <w:rFonts w:hint="eastAsia"/>
              </w:rPr>
              <w:t>青岛润农化工有限公司</w:t>
            </w:r>
          </w:p>
        </w:tc>
      </w:tr>
      <w:tr w14:paraId="715B5D54">
        <w:tblPrEx>
          <w:tblCellMar>
            <w:top w:w="0" w:type="dxa"/>
            <w:left w:w="0" w:type="dxa"/>
            <w:bottom w:w="0" w:type="dxa"/>
            <w:right w:w="0" w:type="dxa"/>
          </w:tblCellMar>
        </w:tblPrEx>
        <w:trPr>
          <w:wBefore w:w="0" w:type="auto"/>
          <w:tblCellSpacing w:w="0" w:type="dxa"/>
        </w:trPr>
        <w:tc>
          <w:tcPr>
            <w:tcW w:w="0" w:type="auto"/>
            <w:noWrap w:val="0"/>
            <w:vAlign w:val="center"/>
          </w:tcPr>
          <w:p w14:paraId="314CA704">
            <w:r>
              <w:rPr>
                <w:rStyle w:val="10"/>
                <w:rFonts w:hint="eastAsia"/>
              </w:rPr>
              <w:t>农药名称：</w:t>
            </w:r>
            <w:r>
              <w:rPr>
                <w:rFonts w:hint="eastAsia"/>
              </w:rPr>
              <w:t>噻虫嗪</w:t>
            </w:r>
          </w:p>
        </w:tc>
      </w:tr>
      <w:tr w14:paraId="769193F3">
        <w:tblPrEx>
          <w:tblCellMar>
            <w:top w:w="0" w:type="dxa"/>
            <w:left w:w="0" w:type="dxa"/>
            <w:bottom w:w="0" w:type="dxa"/>
            <w:right w:w="0" w:type="dxa"/>
          </w:tblCellMar>
        </w:tblPrEx>
        <w:trPr>
          <w:wBefore w:w="0" w:type="auto"/>
          <w:tblCellSpacing w:w="0" w:type="dxa"/>
        </w:trPr>
        <w:tc>
          <w:tcPr>
            <w:tcW w:w="0" w:type="auto"/>
            <w:noWrap w:val="0"/>
            <w:vAlign w:val="center"/>
          </w:tcPr>
          <w:p w14:paraId="27FB2D5D">
            <w:r>
              <w:rPr>
                <w:rStyle w:val="10"/>
                <w:rFonts w:hint="eastAsia"/>
              </w:rPr>
              <w:t>剂型：</w:t>
            </w:r>
            <w:r>
              <w:rPr>
                <w:rFonts w:hint="eastAsia"/>
              </w:rPr>
              <w:t>种子处理悬浮剂</w:t>
            </w:r>
          </w:p>
        </w:tc>
      </w:tr>
      <w:tr w14:paraId="0C2ED41B">
        <w:tblPrEx>
          <w:tblCellMar>
            <w:top w:w="0" w:type="dxa"/>
            <w:left w:w="0" w:type="dxa"/>
            <w:bottom w:w="0" w:type="dxa"/>
            <w:right w:w="0" w:type="dxa"/>
          </w:tblCellMar>
        </w:tblPrEx>
        <w:trPr>
          <w:wBefore w:w="0" w:type="auto"/>
          <w:tblCellSpacing w:w="0" w:type="dxa"/>
        </w:trPr>
        <w:tc>
          <w:tcPr>
            <w:tcW w:w="0" w:type="auto"/>
            <w:noWrap w:val="0"/>
            <w:vAlign w:val="center"/>
          </w:tcPr>
          <w:p w14:paraId="5130500D">
            <w:r>
              <w:rPr>
                <w:rStyle w:val="10"/>
                <w:rFonts w:hint="eastAsia"/>
              </w:rPr>
              <w:t>毒性及其标识：</w:t>
            </w:r>
            <w:r>
              <w:rPr>
                <w:rFonts w:hint="eastAsia"/>
              </w:rPr>
              <w:t xml:space="preserve"> </w:t>
            </w:r>
            <w:r>
              <w:rPr>
                <w:lang/>
              </w:rPr>
              <w:drawing>
                <wp:inline distT="0" distB="0" distL="114300" distR="114300">
                  <wp:extent cx="476250" cy="323850"/>
                  <wp:effectExtent l="0" t="0" r="0" b="0"/>
                  <wp:docPr id="437" name="图片 43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223E7AF">
        <w:tblPrEx>
          <w:tblCellMar>
            <w:top w:w="0" w:type="dxa"/>
            <w:left w:w="0" w:type="dxa"/>
            <w:bottom w:w="0" w:type="dxa"/>
            <w:right w:w="0" w:type="dxa"/>
          </w:tblCellMar>
        </w:tblPrEx>
        <w:trPr>
          <w:wBefore w:w="0" w:type="auto"/>
          <w:tblCellSpacing w:w="0" w:type="dxa"/>
        </w:trPr>
        <w:tc>
          <w:tcPr>
            <w:tcW w:w="0" w:type="auto"/>
            <w:noWrap w:val="0"/>
            <w:vAlign w:val="center"/>
          </w:tcPr>
          <w:p w14:paraId="5B655F4A">
            <w:r>
              <w:rPr>
                <w:rStyle w:val="10"/>
                <w:rFonts w:hint="eastAsia"/>
              </w:rPr>
              <w:t>总有效成分含量：</w:t>
            </w:r>
            <w:r>
              <w:rPr>
                <w:rFonts w:hint="eastAsia"/>
              </w:rPr>
              <w:t>46%</w:t>
            </w:r>
          </w:p>
        </w:tc>
      </w:tr>
      <w:tr w14:paraId="02277EE4">
        <w:tblPrEx>
          <w:tblCellMar>
            <w:top w:w="0" w:type="dxa"/>
            <w:left w:w="0" w:type="dxa"/>
            <w:bottom w:w="0" w:type="dxa"/>
            <w:right w:w="0" w:type="dxa"/>
          </w:tblCellMar>
        </w:tblPrEx>
        <w:trPr>
          <w:wBefore w:w="0" w:type="auto"/>
          <w:tblCellSpacing w:w="0" w:type="dxa"/>
        </w:trPr>
        <w:tc>
          <w:tcPr>
            <w:tcW w:w="0" w:type="auto"/>
            <w:noWrap w:val="0"/>
            <w:vAlign w:val="center"/>
          </w:tcPr>
          <w:p w14:paraId="06848A84">
            <w:r>
              <w:rPr>
                <w:rFonts w:hint="eastAsia"/>
              </w:rPr>
              <w:t xml:space="preserve">有效成分及其含量： </w:t>
            </w:r>
          </w:p>
          <w:p w14:paraId="03DA0F71">
            <w:r>
              <w:rPr>
                <w:rFonts w:hint="eastAsia"/>
              </w:rPr>
              <w:t xml:space="preserve">    噻虫嗪46%    </w:t>
            </w:r>
          </w:p>
        </w:tc>
      </w:tr>
      <w:tr w14:paraId="41A2C652">
        <w:tblPrEx>
          <w:tblCellMar>
            <w:top w:w="0" w:type="dxa"/>
            <w:left w:w="0" w:type="dxa"/>
            <w:bottom w:w="0" w:type="dxa"/>
            <w:right w:w="0" w:type="dxa"/>
          </w:tblCellMar>
        </w:tblPrEx>
        <w:trPr>
          <w:wBefore w:w="0" w:type="auto"/>
          <w:tblCellSpacing w:w="0" w:type="dxa"/>
        </w:trPr>
        <w:tc>
          <w:tcPr>
            <w:tcW w:w="0" w:type="auto"/>
            <w:noWrap w:val="0"/>
            <w:vAlign w:val="center"/>
          </w:tcPr>
          <w:p w14:paraId="40BA801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CFD85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9E65A8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ECC47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CDE60F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D8B48E9">
                  <w:r>
                    <w:rPr>
                      <w:rStyle w:val="11"/>
                      <w:rFonts w:hint="eastAsia"/>
                    </w:rPr>
                    <w:t>施用方式</w:t>
                  </w:r>
                </w:p>
              </w:tc>
            </w:tr>
            <w:tr w14:paraId="3B6EFA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5FCCFD6">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3AEADF">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F0C85C">
                  <w:r>
                    <w:rPr>
                      <w:rStyle w:val="11"/>
                      <w:rFonts w:hint="eastAsia"/>
                    </w:rPr>
                    <w:t>150-350毫升/100千克种子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2ACFEA">
                  <w:r>
                    <w:rPr>
                      <w:rStyle w:val="11"/>
                      <w:rFonts w:hint="eastAsia"/>
                    </w:rPr>
                    <w:t>种子包衣</w:t>
                  </w:r>
                </w:p>
              </w:tc>
            </w:tr>
          </w:tbl>
          <w:p w14:paraId="4B9A01E4">
            <w:pPr>
              <w:rPr>
                <w:rFonts w:ascii="Times New Roman" w:hAnsi="Times New Roman" w:cs="Times New Roman"/>
                <w:sz w:val="20"/>
                <w:szCs w:val="20"/>
              </w:rPr>
            </w:pPr>
          </w:p>
        </w:tc>
      </w:tr>
      <w:tr w14:paraId="27E7AF5E">
        <w:tblPrEx>
          <w:tblCellMar>
            <w:top w:w="0" w:type="dxa"/>
            <w:left w:w="0" w:type="dxa"/>
            <w:bottom w:w="0" w:type="dxa"/>
            <w:right w:w="0" w:type="dxa"/>
          </w:tblCellMar>
        </w:tblPrEx>
        <w:trPr>
          <w:wBefore w:w="0" w:type="auto"/>
          <w:tblCellSpacing w:w="0" w:type="dxa"/>
        </w:trPr>
        <w:tc>
          <w:tcPr>
            <w:tcW w:w="0" w:type="auto"/>
            <w:noWrap w:val="0"/>
            <w:vAlign w:val="center"/>
          </w:tcPr>
          <w:p w14:paraId="61D25F27">
            <w:r>
              <w:rPr>
                <w:rStyle w:val="10"/>
                <w:rFonts w:hint="eastAsia"/>
              </w:rPr>
              <w:t>使用技术要求:</w:t>
            </w:r>
            <w:r>
              <w:rPr>
                <w:rFonts w:hint="eastAsia"/>
              </w:rPr>
              <w:br w:type="textWrapping"/>
            </w:r>
            <w:r>
              <w:rPr>
                <w:rStyle w:val="11"/>
                <w:rFonts w:hint="eastAsia"/>
              </w:rPr>
              <w:t>用于玉米田防治蚜虫，制剂用药量150-350毫升/100千克种子，使用方法拌种。</w:t>
            </w:r>
          </w:p>
        </w:tc>
      </w:tr>
      <w:tr w14:paraId="6F0268D3">
        <w:tblPrEx>
          <w:tblCellMar>
            <w:top w:w="0" w:type="dxa"/>
            <w:left w:w="0" w:type="dxa"/>
            <w:bottom w:w="0" w:type="dxa"/>
            <w:right w:w="0" w:type="dxa"/>
          </w:tblCellMar>
        </w:tblPrEx>
        <w:trPr>
          <w:wBefore w:w="0" w:type="auto"/>
          <w:tblCellSpacing w:w="0" w:type="dxa"/>
        </w:trPr>
        <w:tc>
          <w:tcPr>
            <w:tcW w:w="0" w:type="auto"/>
            <w:noWrap w:val="0"/>
            <w:vAlign w:val="center"/>
          </w:tcPr>
          <w:p w14:paraId="5A86A775">
            <w:r>
              <w:rPr>
                <w:rStyle w:val="10"/>
                <w:rFonts w:hint="eastAsia"/>
              </w:rPr>
              <w:t>产品性能:</w:t>
            </w:r>
            <w:r>
              <w:rPr>
                <w:rFonts w:hint="eastAsia"/>
              </w:rPr>
              <w:br w:type="textWrapping"/>
            </w:r>
            <w:r>
              <w:rPr>
                <w:rStyle w:val="11"/>
                <w:rFonts w:hint="eastAsia"/>
              </w:rPr>
              <w:t>噻虫嗪是一种烟碱类杀虫剂，具有内吸传导性，兼具胃毒和触杀作用。用于种子处理，可被作物根迅速内吸，并传导到植株各部位，可有效防治玉米苗期蚜虫。</w:t>
            </w:r>
          </w:p>
        </w:tc>
      </w:tr>
      <w:tr w14:paraId="5093C318">
        <w:tblPrEx>
          <w:tblCellMar>
            <w:top w:w="0" w:type="dxa"/>
            <w:left w:w="0" w:type="dxa"/>
            <w:bottom w:w="0" w:type="dxa"/>
            <w:right w:w="0" w:type="dxa"/>
          </w:tblCellMar>
        </w:tblPrEx>
        <w:trPr>
          <w:wBefore w:w="0" w:type="auto"/>
          <w:tblCellSpacing w:w="0" w:type="dxa"/>
        </w:trPr>
        <w:tc>
          <w:tcPr>
            <w:tcW w:w="0" w:type="auto"/>
            <w:noWrap w:val="0"/>
            <w:vAlign w:val="center"/>
          </w:tcPr>
          <w:p w14:paraId="098374A2">
            <w:r>
              <w:rPr>
                <w:rStyle w:val="10"/>
                <w:rFonts w:hint="eastAsia"/>
              </w:rPr>
              <w:t>注意事项：</w:t>
            </w:r>
            <w:r>
              <w:rPr>
                <w:rFonts w:hint="eastAsia"/>
              </w:rPr>
              <w:br w:type="textWrapping"/>
            </w:r>
            <w:r>
              <w:rPr>
                <w:rStyle w:val="11"/>
                <w:rFonts w:hint="eastAsia"/>
              </w:rPr>
              <w:t>1.在种子处理过程中，避免药液接触皮肤、眼睛和污染衣物，避免吸入药液。 2.配药和种子处理应在通风处进行，操作人员应戴防渗手套、口罩、穿长袖衣、长裤、靴子等。 此时不可饮食、吸烟等。种子处理结束后，彻底清洗防护用具，洗澡，并更换和清洗工作服。 3.处理过的种子必须放置在有明显标签的容器内。勿与食物、饲料放在一起，不得饲喂禽畜，更不得用来加工饲料或食品。 4.播种后必须覆土，严禁畜禽进入。 5.鸟类保护区禁用。本品对蜜蜂高毒，开花植物花期禁用，使用时应密切关注对附近蜂群的影响。勿将本品及其废液弃于池塘、河溪、湖泊等，以免污染水源。 禁止在河塘等水域清洗施药器具。 6.未用完的制剂应放在原包装内密封保存，切勿将本品置于饮、食容器内。 7.孕妇及哺乳期的妇女避免接触本品。</w:t>
            </w:r>
          </w:p>
        </w:tc>
      </w:tr>
      <w:tr w14:paraId="3E971DA7">
        <w:tblPrEx>
          <w:tblCellMar>
            <w:top w:w="0" w:type="dxa"/>
            <w:left w:w="0" w:type="dxa"/>
            <w:bottom w:w="0" w:type="dxa"/>
            <w:right w:w="0" w:type="dxa"/>
          </w:tblCellMar>
        </w:tblPrEx>
        <w:trPr>
          <w:wBefore w:w="0" w:type="auto"/>
          <w:tblCellSpacing w:w="0" w:type="dxa"/>
        </w:trPr>
        <w:tc>
          <w:tcPr>
            <w:tcW w:w="0" w:type="auto"/>
            <w:noWrap w:val="0"/>
            <w:vAlign w:val="center"/>
          </w:tcPr>
          <w:p w14:paraId="20F79C1F">
            <w:r>
              <w:rPr>
                <w:rStyle w:val="10"/>
                <w:rFonts w:hint="eastAsia"/>
              </w:rPr>
              <w:t>中毒急救措施：</w:t>
            </w:r>
            <w:r>
              <w:rPr>
                <w:rFonts w:hint="eastAsia"/>
              </w:rPr>
              <w:br w:type="textWrapping"/>
            </w:r>
            <w:r>
              <w:rPr>
                <w:rStyle w:val="11"/>
                <w:rFonts w:hint="eastAsia"/>
              </w:rPr>
              <w:t>1.皮肤接触：立即脱掉被污染的衣物，用肥皂和大量清水彻底清洗受污染的皮肤。必要时请医生诊治。 2.眼睛溅药：立即将眼睑翻开，用清水冲洗至少15分钟，再请医生诊治。 3.发生吸入：立即将吸入者转移到空气新鲜处，注意保暖和休息，请医生诊治。 4.误服：请勿引吐。立即携带标签，送医就诊。紧急医疗措施：使用医用活性炭洗胃，洗胃时注意防止胃容物进入呼吸道。注意：对昏迷病人，切勿经口喂入任何东西或引吐。 解毒剂：无专用解毒剂，对症治疗。</w:t>
            </w:r>
          </w:p>
        </w:tc>
      </w:tr>
      <w:tr w14:paraId="7250794A">
        <w:tblPrEx>
          <w:tblCellMar>
            <w:top w:w="0" w:type="dxa"/>
            <w:left w:w="0" w:type="dxa"/>
            <w:bottom w:w="0" w:type="dxa"/>
            <w:right w:w="0" w:type="dxa"/>
          </w:tblCellMar>
        </w:tblPrEx>
        <w:trPr>
          <w:wBefore w:w="0" w:type="auto"/>
          <w:tblCellSpacing w:w="0" w:type="dxa"/>
        </w:trPr>
        <w:tc>
          <w:tcPr>
            <w:tcW w:w="0" w:type="auto"/>
            <w:noWrap w:val="0"/>
            <w:vAlign w:val="center"/>
          </w:tcPr>
          <w:p w14:paraId="4318F025">
            <w:r>
              <w:rPr>
                <w:rStyle w:val="10"/>
                <w:rFonts w:hint="eastAsia"/>
              </w:rPr>
              <w:t>储存和运输方法：</w:t>
            </w:r>
            <w:r>
              <w:rPr>
                <w:rFonts w:hint="eastAsia"/>
              </w:rPr>
              <w:br w:type="textWrapping"/>
            </w:r>
            <w:r>
              <w:rPr>
                <w:rStyle w:val="11"/>
                <w:rFonts w:hint="eastAsia"/>
              </w:rPr>
              <w:t>1.本品应贮藏在避光、干燥、通风处。勿与食物、饮料、动物饲料等放在一起贮存和运输。 2.贮藏温度应避免低于-10℃或高于35℃。远离火源或热源。 3.运输时应注意避光、防高温、雨淋。</w:t>
            </w:r>
          </w:p>
        </w:tc>
      </w:tr>
      <w:tr w14:paraId="3019420C">
        <w:tblPrEx>
          <w:tblCellMar>
            <w:top w:w="0" w:type="dxa"/>
            <w:left w:w="0" w:type="dxa"/>
            <w:bottom w:w="0" w:type="dxa"/>
            <w:right w:w="0" w:type="dxa"/>
          </w:tblCellMar>
        </w:tblPrEx>
        <w:trPr>
          <w:wBefore w:w="0" w:type="auto"/>
          <w:tblCellSpacing w:w="0" w:type="dxa"/>
        </w:trPr>
        <w:tc>
          <w:tcPr>
            <w:tcW w:w="0" w:type="auto"/>
            <w:noWrap w:val="0"/>
            <w:vAlign w:val="center"/>
          </w:tcPr>
          <w:p w14:paraId="1127990C">
            <w:r>
              <w:rPr>
                <w:rStyle w:val="10"/>
                <w:rFonts w:hint="eastAsia"/>
              </w:rPr>
              <w:t>质量保证期：</w:t>
            </w:r>
            <w:r>
              <w:rPr>
                <w:rStyle w:val="11"/>
                <w:rFonts w:hint="eastAsia"/>
              </w:rPr>
              <w:t>2年</w:t>
            </w:r>
          </w:p>
        </w:tc>
      </w:tr>
      <w:tr w14:paraId="3FD0F4CC">
        <w:tblPrEx>
          <w:tblCellMar>
            <w:top w:w="0" w:type="dxa"/>
            <w:left w:w="0" w:type="dxa"/>
            <w:bottom w:w="0" w:type="dxa"/>
            <w:right w:w="0" w:type="dxa"/>
          </w:tblCellMar>
        </w:tblPrEx>
        <w:trPr>
          <w:wBefore w:w="0" w:type="auto"/>
          <w:tblCellSpacing w:w="0" w:type="dxa"/>
        </w:trPr>
        <w:tc>
          <w:tcPr>
            <w:tcW w:w="0" w:type="auto"/>
            <w:noWrap w:val="0"/>
            <w:vAlign w:val="center"/>
          </w:tcPr>
          <w:p w14:paraId="55B7A587">
            <w:r>
              <w:rPr>
                <w:rStyle w:val="10"/>
                <w:rFonts w:hint="eastAsia"/>
              </w:rPr>
              <w:t>备注：</w:t>
            </w:r>
            <w:r>
              <w:rPr>
                <w:rFonts w:hint="eastAsia"/>
              </w:rPr>
              <w:br w:type="textWrapping"/>
            </w:r>
            <w:r>
              <w:rPr>
                <w:rStyle w:val="11"/>
                <w:rFonts w:hint="eastAsia"/>
              </w:rPr>
              <w:t>噻虫嗪600克/升。</w:t>
            </w:r>
          </w:p>
        </w:tc>
      </w:tr>
    </w:tbl>
    <w:p w14:paraId="3944DDD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3684D6">
        <w:tblPrEx>
          <w:tblCellMar>
            <w:top w:w="0" w:type="dxa"/>
            <w:left w:w="0" w:type="dxa"/>
            <w:bottom w:w="0" w:type="dxa"/>
            <w:right w:w="0" w:type="dxa"/>
          </w:tblCellMar>
        </w:tblPrEx>
        <w:trPr>
          <w:wBefore w:w="0" w:type="auto"/>
          <w:tblCellSpacing w:w="0" w:type="dxa"/>
        </w:trPr>
        <w:tc>
          <w:tcPr>
            <w:tcW w:w="0" w:type="auto"/>
            <w:noWrap w:val="0"/>
            <w:vAlign w:val="center"/>
          </w:tcPr>
          <w:p w14:paraId="516F30BE">
            <w:r>
              <w:rPr>
                <w:rStyle w:val="10"/>
                <w:rFonts w:hint="eastAsia"/>
              </w:rPr>
              <w:t>登记证号：</w:t>
            </w:r>
            <w:r>
              <w:rPr>
                <w:rFonts w:hint="eastAsia"/>
              </w:rPr>
              <w:t>PD20180063</w:t>
            </w:r>
          </w:p>
        </w:tc>
      </w:tr>
      <w:tr w14:paraId="04194B97">
        <w:tblPrEx>
          <w:tblCellMar>
            <w:top w:w="0" w:type="dxa"/>
            <w:left w:w="0" w:type="dxa"/>
            <w:bottom w:w="0" w:type="dxa"/>
            <w:right w:w="0" w:type="dxa"/>
          </w:tblCellMar>
        </w:tblPrEx>
        <w:trPr>
          <w:wBefore w:w="0" w:type="auto"/>
          <w:tblCellSpacing w:w="0" w:type="dxa"/>
        </w:trPr>
        <w:tc>
          <w:tcPr>
            <w:tcW w:w="0" w:type="auto"/>
            <w:noWrap w:val="0"/>
            <w:vAlign w:val="center"/>
          </w:tcPr>
          <w:p w14:paraId="42D30D13">
            <w:r>
              <w:rPr>
                <w:rStyle w:val="10"/>
                <w:rFonts w:hint="eastAsia"/>
              </w:rPr>
              <w:t>登记证持有人：</w:t>
            </w:r>
            <w:r>
              <w:rPr>
                <w:rFonts w:hint="eastAsia"/>
              </w:rPr>
              <w:t>山东潍坊润丰化工股份有限公司</w:t>
            </w:r>
          </w:p>
        </w:tc>
      </w:tr>
      <w:tr w14:paraId="1C1DEC2B">
        <w:tblPrEx>
          <w:tblCellMar>
            <w:top w:w="0" w:type="dxa"/>
            <w:left w:w="0" w:type="dxa"/>
            <w:bottom w:w="0" w:type="dxa"/>
            <w:right w:w="0" w:type="dxa"/>
          </w:tblCellMar>
        </w:tblPrEx>
        <w:trPr>
          <w:wBefore w:w="0" w:type="auto"/>
          <w:tblCellSpacing w:w="0" w:type="dxa"/>
        </w:trPr>
        <w:tc>
          <w:tcPr>
            <w:tcW w:w="0" w:type="auto"/>
            <w:noWrap w:val="0"/>
            <w:vAlign w:val="center"/>
          </w:tcPr>
          <w:p w14:paraId="5E0EFD60">
            <w:r>
              <w:rPr>
                <w:rStyle w:val="10"/>
                <w:rFonts w:hint="eastAsia"/>
              </w:rPr>
              <w:t>农药名称：</w:t>
            </w:r>
            <w:r>
              <w:rPr>
                <w:rFonts w:hint="eastAsia"/>
              </w:rPr>
              <w:t>2甲4氯二甲胺盐</w:t>
            </w:r>
          </w:p>
        </w:tc>
      </w:tr>
      <w:tr w14:paraId="04007A92">
        <w:tblPrEx>
          <w:tblCellMar>
            <w:top w:w="0" w:type="dxa"/>
            <w:left w:w="0" w:type="dxa"/>
            <w:bottom w:w="0" w:type="dxa"/>
            <w:right w:w="0" w:type="dxa"/>
          </w:tblCellMar>
        </w:tblPrEx>
        <w:trPr>
          <w:wBefore w:w="0" w:type="auto"/>
          <w:tblCellSpacing w:w="0" w:type="dxa"/>
        </w:trPr>
        <w:tc>
          <w:tcPr>
            <w:tcW w:w="0" w:type="auto"/>
            <w:noWrap w:val="0"/>
            <w:vAlign w:val="center"/>
          </w:tcPr>
          <w:p w14:paraId="04A75A39">
            <w:r>
              <w:rPr>
                <w:rStyle w:val="10"/>
                <w:rFonts w:hint="eastAsia"/>
              </w:rPr>
              <w:t>剂型：</w:t>
            </w:r>
            <w:r>
              <w:rPr>
                <w:rFonts w:hint="eastAsia"/>
              </w:rPr>
              <w:t>水剂</w:t>
            </w:r>
          </w:p>
        </w:tc>
      </w:tr>
      <w:tr w14:paraId="5A2AB0E2">
        <w:tblPrEx>
          <w:tblCellMar>
            <w:top w:w="0" w:type="dxa"/>
            <w:left w:w="0" w:type="dxa"/>
            <w:bottom w:w="0" w:type="dxa"/>
            <w:right w:w="0" w:type="dxa"/>
          </w:tblCellMar>
        </w:tblPrEx>
        <w:trPr>
          <w:wBefore w:w="0" w:type="auto"/>
          <w:tblCellSpacing w:w="0" w:type="dxa"/>
        </w:trPr>
        <w:tc>
          <w:tcPr>
            <w:tcW w:w="0" w:type="auto"/>
            <w:noWrap w:val="0"/>
            <w:vAlign w:val="center"/>
          </w:tcPr>
          <w:p w14:paraId="0DC480EC">
            <w:r>
              <w:rPr>
                <w:rStyle w:val="10"/>
                <w:rFonts w:hint="eastAsia"/>
              </w:rPr>
              <w:t>毒性及其标识：</w:t>
            </w:r>
            <w:r>
              <w:rPr>
                <w:rFonts w:hint="eastAsia"/>
              </w:rPr>
              <w:t xml:space="preserve"> </w:t>
            </w:r>
            <w:r>
              <w:rPr>
                <w:lang/>
              </w:rPr>
              <w:drawing>
                <wp:inline distT="0" distB="0" distL="114300" distR="114300">
                  <wp:extent cx="476250" cy="323850"/>
                  <wp:effectExtent l="0" t="0" r="0" b="0"/>
                  <wp:docPr id="438" name="图片 43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66ED9AF">
        <w:tblPrEx>
          <w:tblCellMar>
            <w:top w:w="0" w:type="dxa"/>
            <w:left w:w="0" w:type="dxa"/>
            <w:bottom w:w="0" w:type="dxa"/>
            <w:right w:w="0" w:type="dxa"/>
          </w:tblCellMar>
        </w:tblPrEx>
        <w:trPr>
          <w:wBefore w:w="0" w:type="auto"/>
          <w:tblCellSpacing w:w="0" w:type="dxa"/>
        </w:trPr>
        <w:tc>
          <w:tcPr>
            <w:tcW w:w="0" w:type="auto"/>
            <w:noWrap w:val="0"/>
            <w:vAlign w:val="center"/>
          </w:tcPr>
          <w:p w14:paraId="68291B25">
            <w:r>
              <w:rPr>
                <w:rStyle w:val="10"/>
                <w:rFonts w:hint="eastAsia"/>
              </w:rPr>
              <w:t>总有效成分含量：</w:t>
            </w:r>
            <w:r>
              <w:rPr>
                <w:rFonts w:hint="eastAsia"/>
              </w:rPr>
              <w:t>48%</w:t>
            </w:r>
          </w:p>
        </w:tc>
      </w:tr>
      <w:tr w14:paraId="26BB00BF">
        <w:tblPrEx>
          <w:tblCellMar>
            <w:top w:w="0" w:type="dxa"/>
            <w:left w:w="0" w:type="dxa"/>
            <w:bottom w:w="0" w:type="dxa"/>
            <w:right w:w="0" w:type="dxa"/>
          </w:tblCellMar>
        </w:tblPrEx>
        <w:trPr>
          <w:wBefore w:w="0" w:type="auto"/>
          <w:tblCellSpacing w:w="0" w:type="dxa"/>
        </w:trPr>
        <w:tc>
          <w:tcPr>
            <w:tcW w:w="0" w:type="auto"/>
            <w:noWrap w:val="0"/>
            <w:vAlign w:val="center"/>
          </w:tcPr>
          <w:p w14:paraId="49D04516">
            <w:r>
              <w:rPr>
                <w:rFonts w:hint="eastAsia"/>
              </w:rPr>
              <w:t xml:space="preserve">有效成分及其含量： </w:t>
            </w:r>
          </w:p>
          <w:p w14:paraId="7BCFBAB8">
            <w:r>
              <w:rPr>
                <w:rFonts w:hint="eastAsia"/>
              </w:rPr>
              <w:t xml:space="preserve">    2甲4氯48%    </w:t>
            </w:r>
          </w:p>
        </w:tc>
      </w:tr>
      <w:tr w14:paraId="0D2AB819">
        <w:tblPrEx>
          <w:tblCellMar>
            <w:top w:w="0" w:type="dxa"/>
            <w:left w:w="0" w:type="dxa"/>
            <w:bottom w:w="0" w:type="dxa"/>
            <w:right w:w="0" w:type="dxa"/>
          </w:tblCellMar>
        </w:tblPrEx>
        <w:trPr>
          <w:wBefore w:w="0" w:type="auto"/>
          <w:tblCellSpacing w:w="0" w:type="dxa"/>
        </w:trPr>
        <w:tc>
          <w:tcPr>
            <w:tcW w:w="0" w:type="auto"/>
            <w:noWrap w:val="0"/>
            <w:vAlign w:val="center"/>
          </w:tcPr>
          <w:p w14:paraId="0FCFCEB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BF36B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4727EF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B0A01F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E915B8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A2F9EA8">
                  <w:r>
                    <w:rPr>
                      <w:rStyle w:val="11"/>
                      <w:rFonts w:hint="eastAsia"/>
                    </w:rPr>
                    <w:t>施用方式</w:t>
                  </w:r>
                </w:p>
              </w:tc>
            </w:tr>
            <w:tr w14:paraId="56E28E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17F6D84">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33A67C">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E71D8E">
                  <w:r>
                    <w:rPr>
                      <w:rStyle w:val="11"/>
                      <w:rFonts w:hint="eastAsia"/>
                    </w:rPr>
                    <w:t>80-120毫升/亩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960C98">
                  <w:r>
                    <w:rPr>
                      <w:rStyle w:val="11"/>
                      <w:rFonts w:hint="eastAsia"/>
                    </w:rPr>
                    <w:t>茎叶喷雾</w:t>
                  </w:r>
                </w:p>
              </w:tc>
            </w:tr>
          </w:tbl>
          <w:p w14:paraId="3732EE28">
            <w:pPr>
              <w:rPr>
                <w:rFonts w:ascii="Times New Roman" w:hAnsi="Times New Roman" w:cs="Times New Roman"/>
                <w:sz w:val="20"/>
                <w:szCs w:val="20"/>
              </w:rPr>
            </w:pPr>
          </w:p>
        </w:tc>
      </w:tr>
      <w:tr w14:paraId="029F8B13">
        <w:tblPrEx>
          <w:tblCellMar>
            <w:top w:w="0" w:type="dxa"/>
            <w:left w:w="0" w:type="dxa"/>
            <w:bottom w:w="0" w:type="dxa"/>
            <w:right w:w="0" w:type="dxa"/>
          </w:tblCellMar>
        </w:tblPrEx>
        <w:trPr>
          <w:wBefore w:w="0" w:type="auto"/>
          <w:tblCellSpacing w:w="0" w:type="dxa"/>
        </w:trPr>
        <w:tc>
          <w:tcPr>
            <w:tcW w:w="0" w:type="auto"/>
            <w:noWrap w:val="0"/>
            <w:vAlign w:val="center"/>
          </w:tcPr>
          <w:p w14:paraId="05AB3C7B">
            <w:r>
              <w:rPr>
                <w:rStyle w:val="10"/>
                <w:rFonts w:hint="eastAsia"/>
              </w:rPr>
              <w:t>使用技术要求:</w:t>
            </w:r>
            <w:r>
              <w:rPr>
                <w:rFonts w:hint="eastAsia"/>
              </w:rPr>
              <w:br w:type="textWrapping"/>
            </w:r>
            <w:r>
              <w:rPr>
                <w:rStyle w:val="11"/>
                <w:rFonts w:hint="eastAsia"/>
              </w:rPr>
              <w:t xml:space="preserve">用于冬小麦田，防治一年生阔叶杂草，制剂用药量为80-120毫升/亩，使用方法为茎叶喷雾。 </w:t>
            </w:r>
          </w:p>
        </w:tc>
      </w:tr>
      <w:tr w14:paraId="0B25306D">
        <w:tblPrEx>
          <w:tblCellMar>
            <w:top w:w="0" w:type="dxa"/>
            <w:left w:w="0" w:type="dxa"/>
            <w:bottom w:w="0" w:type="dxa"/>
            <w:right w:w="0" w:type="dxa"/>
          </w:tblCellMar>
        </w:tblPrEx>
        <w:trPr>
          <w:wBefore w:w="0" w:type="auto"/>
          <w:tblCellSpacing w:w="0" w:type="dxa"/>
        </w:trPr>
        <w:tc>
          <w:tcPr>
            <w:tcW w:w="0" w:type="auto"/>
            <w:noWrap w:val="0"/>
            <w:vAlign w:val="center"/>
          </w:tcPr>
          <w:p w14:paraId="52755B10">
            <w:r>
              <w:rPr>
                <w:rStyle w:val="10"/>
                <w:rFonts w:hint="eastAsia"/>
              </w:rPr>
              <w:t>产品性能:</w:t>
            </w:r>
            <w:r>
              <w:rPr>
                <w:rFonts w:hint="eastAsia"/>
              </w:rPr>
              <w:br w:type="textWrapping"/>
            </w:r>
            <w:r>
              <w:rPr>
                <w:rStyle w:val="11"/>
                <w:rFonts w:hint="eastAsia"/>
              </w:rPr>
              <w:t>2甲4氯为苯氧羧酸类选择性激素型内吸性除草剂，主要用于防治冬小麦田中的阔叶及莎草科杂草。</w:t>
            </w:r>
          </w:p>
        </w:tc>
      </w:tr>
      <w:tr w14:paraId="77E3E711">
        <w:tblPrEx>
          <w:tblCellMar>
            <w:top w:w="0" w:type="dxa"/>
            <w:left w:w="0" w:type="dxa"/>
            <w:bottom w:w="0" w:type="dxa"/>
            <w:right w:w="0" w:type="dxa"/>
          </w:tblCellMar>
        </w:tblPrEx>
        <w:trPr>
          <w:wBefore w:w="0" w:type="auto"/>
          <w:tblCellSpacing w:w="0" w:type="dxa"/>
        </w:trPr>
        <w:tc>
          <w:tcPr>
            <w:tcW w:w="0" w:type="auto"/>
            <w:noWrap w:val="0"/>
            <w:vAlign w:val="center"/>
          </w:tcPr>
          <w:p w14:paraId="0252D74A">
            <w:r>
              <w:rPr>
                <w:rStyle w:val="10"/>
                <w:rFonts w:hint="eastAsia"/>
              </w:rPr>
              <w:t>注意事项：</w:t>
            </w:r>
            <w:r>
              <w:rPr>
                <w:rFonts w:hint="eastAsia"/>
              </w:rPr>
              <w:br w:type="textWrapping"/>
            </w:r>
            <w:r>
              <w:rPr>
                <w:rStyle w:val="11"/>
                <w:rFonts w:hint="eastAsia"/>
              </w:rPr>
              <w:t>1.该药飘移物对双子叶作物威胁极大，应在无风天气避开双子叶地块施药对本品敏感，用药时应防止药雾飘移到上述植物上。 2.气温在25℃左右除草效果显著，阴天和气温低时药效差。风速大于每秒4米时应停止施药。禁止在河塘等水体清洗器具。 3.施药人员施药时要穿防护衣、裤，戴口罩、手套、护目镜，严禁吸烟、喝水、吃东西，该产品对眼睛具有腐蚀性，注意保护避免眼睛接触。配药、施药后要用肥皂洗手、洗脸。 4.该药与喷雾机接触部分的结合力很强，最好喷雾机专用，否则需彻底清洗干净。 5.使用后的包装物要妥善处理，不应随意丢弃。也不能做他用,由于对大型蚤高毒,施药后注意药液容器及包装物不要污染水源及鱼塘，禁止在河塘等水域清洗施药器具。 6.避免孕妇及哺乳期的妇女接触。</w:t>
            </w:r>
          </w:p>
        </w:tc>
      </w:tr>
      <w:tr w14:paraId="636DE117">
        <w:tblPrEx>
          <w:tblCellMar>
            <w:top w:w="0" w:type="dxa"/>
            <w:left w:w="0" w:type="dxa"/>
            <w:bottom w:w="0" w:type="dxa"/>
            <w:right w:w="0" w:type="dxa"/>
          </w:tblCellMar>
        </w:tblPrEx>
        <w:trPr>
          <w:wBefore w:w="0" w:type="auto"/>
          <w:tblCellSpacing w:w="0" w:type="dxa"/>
        </w:trPr>
        <w:tc>
          <w:tcPr>
            <w:tcW w:w="0" w:type="auto"/>
            <w:noWrap w:val="0"/>
            <w:vAlign w:val="center"/>
          </w:tcPr>
          <w:p w14:paraId="1565B742">
            <w:r>
              <w:rPr>
                <w:rStyle w:val="10"/>
                <w:rFonts w:hint="eastAsia"/>
              </w:rPr>
              <w:t>中毒急救措施：</w:t>
            </w:r>
            <w:r>
              <w:rPr>
                <w:rFonts w:hint="eastAsia"/>
              </w:rPr>
              <w:br w:type="textWrapping"/>
            </w:r>
            <w:r>
              <w:rPr>
                <w:rStyle w:val="11"/>
                <w:rFonts w:hint="eastAsia"/>
              </w:rPr>
              <w:t>1.对皮肤、眼睛、上呼吸道刺激作用。 2.皮肤接触后，用肥皂水和清水彻底冲洗干净。若溅入眼睛，应用大量清水冲洗至少15分钟，仍有不适时就医。 3.误服本剂，用清水将嘴清洗干净，不要自行引吐，携此标签送医诊治，对症治疗。无特效解毒剂。</w:t>
            </w:r>
          </w:p>
        </w:tc>
      </w:tr>
      <w:tr w14:paraId="2F5C0BF5">
        <w:tblPrEx>
          <w:tblCellMar>
            <w:top w:w="0" w:type="dxa"/>
            <w:left w:w="0" w:type="dxa"/>
            <w:bottom w:w="0" w:type="dxa"/>
            <w:right w:w="0" w:type="dxa"/>
          </w:tblCellMar>
        </w:tblPrEx>
        <w:trPr>
          <w:wBefore w:w="0" w:type="auto"/>
          <w:tblCellSpacing w:w="0" w:type="dxa"/>
        </w:trPr>
        <w:tc>
          <w:tcPr>
            <w:tcW w:w="0" w:type="auto"/>
            <w:noWrap w:val="0"/>
            <w:vAlign w:val="center"/>
          </w:tcPr>
          <w:p w14:paraId="45E9D37A">
            <w:r>
              <w:rPr>
                <w:rStyle w:val="10"/>
                <w:rFonts w:hint="eastAsia"/>
              </w:rPr>
              <w:t>储存和运输方法：</w:t>
            </w:r>
            <w:r>
              <w:rPr>
                <w:rFonts w:hint="eastAsia"/>
              </w:rPr>
              <w:br w:type="textWrapping"/>
            </w:r>
            <w:r>
              <w:rPr>
                <w:rStyle w:val="11"/>
                <w:rFonts w:hint="eastAsia"/>
              </w:rPr>
              <w:t>1.本品应贮存在干燥、阴凉、通风、防雨处。远离火源或热源。 2.置于儿童、无关人员触及不到之处,并加锁。 3.不能与食品，饮料、粮食、饲料等同贮存同运。</w:t>
            </w:r>
          </w:p>
        </w:tc>
      </w:tr>
      <w:tr w14:paraId="7CF51C60">
        <w:tblPrEx>
          <w:tblCellMar>
            <w:top w:w="0" w:type="dxa"/>
            <w:left w:w="0" w:type="dxa"/>
            <w:bottom w:w="0" w:type="dxa"/>
            <w:right w:w="0" w:type="dxa"/>
          </w:tblCellMar>
        </w:tblPrEx>
        <w:trPr>
          <w:wBefore w:w="0" w:type="auto"/>
          <w:tblCellSpacing w:w="0" w:type="dxa"/>
        </w:trPr>
        <w:tc>
          <w:tcPr>
            <w:tcW w:w="0" w:type="auto"/>
            <w:noWrap w:val="0"/>
            <w:vAlign w:val="center"/>
          </w:tcPr>
          <w:p w14:paraId="1840651F">
            <w:r>
              <w:rPr>
                <w:rStyle w:val="10"/>
                <w:rFonts w:hint="eastAsia"/>
              </w:rPr>
              <w:t>质量保证期：</w:t>
            </w:r>
            <w:r>
              <w:rPr>
                <w:rStyle w:val="11"/>
                <w:rFonts w:hint="eastAsia"/>
              </w:rPr>
              <w:t>2年</w:t>
            </w:r>
          </w:p>
        </w:tc>
      </w:tr>
      <w:tr w14:paraId="09A7B955">
        <w:tblPrEx>
          <w:tblCellMar>
            <w:top w:w="0" w:type="dxa"/>
            <w:left w:w="0" w:type="dxa"/>
            <w:bottom w:w="0" w:type="dxa"/>
            <w:right w:w="0" w:type="dxa"/>
          </w:tblCellMar>
        </w:tblPrEx>
        <w:trPr>
          <w:wBefore w:w="0" w:type="auto"/>
          <w:tblCellSpacing w:w="0" w:type="dxa"/>
        </w:trPr>
        <w:tc>
          <w:tcPr>
            <w:tcW w:w="0" w:type="auto"/>
            <w:noWrap w:val="0"/>
            <w:vAlign w:val="center"/>
          </w:tcPr>
          <w:p w14:paraId="7D4ADB1F">
            <w:r>
              <w:rPr>
                <w:rStyle w:val="10"/>
                <w:rFonts w:hint="eastAsia"/>
              </w:rPr>
              <w:t>备注：</w:t>
            </w:r>
            <w:r>
              <w:rPr>
                <w:rFonts w:hint="eastAsia"/>
              </w:rPr>
              <w:br w:type="textWrapping"/>
            </w:r>
            <w:r>
              <w:rPr>
                <w:rStyle w:val="11"/>
                <w:rFonts w:hint="eastAsia"/>
              </w:rPr>
              <w:t>2甲4氯二甲胺盐58.8%，质量浓度为612克/升；2甲4氯500克/升。</w:t>
            </w:r>
          </w:p>
        </w:tc>
      </w:tr>
    </w:tbl>
    <w:p w14:paraId="0CC786D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81DD6E">
        <w:tblPrEx>
          <w:tblCellMar>
            <w:top w:w="0" w:type="dxa"/>
            <w:left w:w="0" w:type="dxa"/>
            <w:bottom w:w="0" w:type="dxa"/>
            <w:right w:w="0" w:type="dxa"/>
          </w:tblCellMar>
        </w:tblPrEx>
        <w:trPr>
          <w:wBefore w:w="0" w:type="auto"/>
          <w:tblCellSpacing w:w="0" w:type="dxa"/>
        </w:trPr>
        <w:tc>
          <w:tcPr>
            <w:tcW w:w="0" w:type="auto"/>
            <w:noWrap w:val="0"/>
            <w:vAlign w:val="center"/>
          </w:tcPr>
          <w:p w14:paraId="1F49E78C">
            <w:r>
              <w:rPr>
                <w:rStyle w:val="10"/>
                <w:rFonts w:hint="eastAsia"/>
              </w:rPr>
              <w:t>登记证号：</w:t>
            </w:r>
            <w:r>
              <w:rPr>
                <w:rFonts w:hint="eastAsia"/>
              </w:rPr>
              <w:t>PD20182552</w:t>
            </w:r>
          </w:p>
        </w:tc>
      </w:tr>
      <w:tr w14:paraId="79D40309">
        <w:tblPrEx>
          <w:tblCellMar>
            <w:top w:w="0" w:type="dxa"/>
            <w:left w:w="0" w:type="dxa"/>
            <w:bottom w:w="0" w:type="dxa"/>
            <w:right w:w="0" w:type="dxa"/>
          </w:tblCellMar>
        </w:tblPrEx>
        <w:trPr>
          <w:wBefore w:w="0" w:type="auto"/>
          <w:tblCellSpacing w:w="0" w:type="dxa"/>
        </w:trPr>
        <w:tc>
          <w:tcPr>
            <w:tcW w:w="0" w:type="auto"/>
            <w:noWrap w:val="0"/>
            <w:vAlign w:val="center"/>
          </w:tcPr>
          <w:p w14:paraId="23A5F9BD">
            <w:r>
              <w:rPr>
                <w:rStyle w:val="10"/>
                <w:rFonts w:hint="eastAsia"/>
              </w:rPr>
              <w:t>登记证持有人：</w:t>
            </w:r>
            <w:r>
              <w:rPr>
                <w:rFonts w:hint="eastAsia"/>
              </w:rPr>
              <w:t>山东潍坊润丰化工股份有限公司</w:t>
            </w:r>
          </w:p>
        </w:tc>
      </w:tr>
      <w:tr w14:paraId="10939254">
        <w:tblPrEx>
          <w:tblCellMar>
            <w:top w:w="0" w:type="dxa"/>
            <w:left w:w="0" w:type="dxa"/>
            <w:bottom w:w="0" w:type="dxa"/>
            <w:right w:w="0" w:type="dxa"/>
          </w:tblCellMar>
        </w:tblPrEx>
        <w:trPr>
          <w:wBefore w:w="0" w:type="auto"/>
          <w:tblCellSpacing w:w="0" w:type="dxa"/>
        </w:trPr>
        <w:tc>
          <w:tcPr>
            <w:tcW w:w="0" w:type="auto"/>
            <w:noWrap w:val="0"/>
            <w:vAlign w:val="center"/>
          </w:tcPr>
          <w:p w14:paraId="5EC5C88F">
            <w:r>
              <w:rPr>
                <w:rStyle w:val="10"/>
                <w:rFonts w:hint="eastAsia"/>
              </w:rPr>
              <w:t>农药名称：</w:t>
            </w:r>
            <w:r>
              <w:rPr>
                <w:rFonts w:hint="eastAsia"/>
              </w:rPr>
              <w:t>草甘膦钾盐</w:t>
            </w:r>
          </w:p>
        </w:tc>
      </w:tr>
      <w:tr w14:paraId="147C5C73">
        <w:tblPrEx>
          <w:tblCellMar>
            <w:top w:w="0" w:type="dxa"/>
            <w:left w:w="0" w:type="dxa"/>
            <w:bottom w:w="0" w:type="dxa"/>
            <w:right w:w="0" w:type="dxa"/>
          </w:tblCellMar>
        </w:tblPrEx>
        <w:trPr>
          <w:wBefore w:w="0" w:type="auto"/>
          <w:tblCellSpacing w:w="0" w:type="dxa"/>
        </w:trPr>
        <w:tc>
          <w:tcPr>
            <w:tcW w:w="0" w:type="auto"/>
            <w:noWrap w:val="0"/>
            <w:vAlign w:val="center"/>
          </w:tcPr>
          <w:p w14:paraId="1453AACB">
            <w:r>
              <w:rPr>
                <w:rStyle w:val="10"/>
                <w:rFonts w:hint="eastAsia"/>
              </w:rPr>
              <w:t>剂型：</w:t>
            </w:r>
            <w:r>
              <w:rPr>
                <w:rFonts w:hint="eastAsia"/>
              </w:rPr>
              <w:t>水剂</w:t>
            </w:r>
          </w:p>
        </w:tc>
      </w:tr>
      <w:tr w14:paraId="7F9599ED">
        <w:tblPrEx>
          <w:tblCellMar>
            <w:top w:w="0" w:type="dxa"/>
            <w:left w:w="0" w:type="dxa"/>
            <w:bottom w:w="0" w:type="dxa"/>
            <w:right w:w="0" w:type="dxa"/>
          </w:tblCellMar>
        </w:tblPrEx>
        <w:trPr>
          <w:wBefore w:w="0" w:type="auto"/>
          <w:tblCellSpacing w:w="0" w:type="dxa"/>
        </w:trPr>
        <w:tc>
          <w:tcPr>
            <w:tcW w:w="0" w:type="auto"/>
            <w:noWrap w:val="0"/>
            <w:vAlign w:val="center"/>
          </w:tcPr>
          <w:p w14:paraId="39308C85">
            <w:r>
              <w:rPr>
                <w:rStyle w:val="10"/>
                <w:rFonts w:hint="eastAsia"/>
              </w:rPr>
              <w:t>毒性及其标识：</w:t>
            </w:r>
            <w:r>
              <w:rPr>
                <w:rFonts w:hint="eastAsia"/>
              </w:rPr>
              <w:t xml:space="preserve"> </w:t>
            </w:r>
            <w:r>
              <w:rPr>
                <w:lang/>
              </w:rPr>
              <w:drawing>
                <wp:inline distT="0" distB="0" distL="114300" distR="114300">
                  <wp:extent cx="476250" cy="323850"/>
                  <wp:effectExtent l="0" t="0" r="0" b="0"/>
                  <wp:docPr id="439" name="图片 43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B45371A">
        <w:tblPrEx>
          <w:tblCellMar>
            <w:top w:w="0" w:type="dxa"/>
            <w:left w:w="0" w:type="dxa"/>
            <w:bottom w:w="0" w:type="dxa"/>
            <w:right w:w="0" w:type="dxa"/>
          </w:tblCellMar>
        </w:tblPrEx>
        <w:trPr>
          <w:wBefore w:w="0" w:type="auto"/>
          <w:tblCellSpacing w:w="0" w:type="dxa"/>
        </w:trPr>
        <w:tc>
          <w:tcPr>
            <w:tcW w:w="0" w:type="auto"/>
            <w:noWrap w:val="0"/>
            <w:vAlign w:val="center"/>
          </w:tcPr>
          <w:p w14:paraId="1ADDAD7A">
            <w:r>
              <w:rPr>
                <w:rStyle w:val="10"/>
                <w:rFonts w:hint="eastAsia"/>
              </w:rPr>
              <w:t>总有效成分含量：</w:t>
            </w:r>
            <w:r>
              <w:rPr>
                <w:rFonts w:hint="eastAsia"/>
              </w:rPr>
              <w:t>41%</w:t>
            </w:r>
          </w:p>
        </w:tc>
      </w:tr>
      <w:tr w14:paraId="300F371D">
        <w:tblPrEx>
          <w:tblCellMar>
            <w:top w:w="0" w:type="dxa"/>
            <w:left w:w="0" w:type="dxa"/>
            <w:bottom w:w="0" w:type="dxa"/>
            <w:right w:w="0" w:type="dxa"/>
          </w:tblCellMar>
        </w:tblPrEx>
        <w:trPr>
          <w:wBefore w:w="0" w:type="auto"/>
          <w:tblCellSpacing w:w="0" w:type="dxa"/>
        </w:trPr>
        <w:tc>
          <w:tcPr>
            <w:tcW w:w="0" w:type="auto"/>
            <w:noWrap w:val="0"/>
            <w:vAlign w:val="center"/>
          </w:tcPr>
          <w:p w14:paraId="0E1BA54A">
            <w:r>
              <w:rPr>
                <w:rFonts w:hint="eastAsia"/>
              </w:rPr>
              <w:t xml:space="preserve">有效成分及其含量： </w:t>
            </w:r>
          </w:p>
          <w:p w14:paraId="0F977ABB">
            <w:r>
              <w:rPr>
                <w:rFonts w:hint="eastAsia"/>
              </w:rPr>
              <w:t xml:space="preserve">    草甘膦41%    </w:t>
            </w:r>
          </w:p>
        </w:tc>
      </w:tr>
      <w:tr w14:paraId="1BE55AD8">
        <w:tblPrEx>
          <w:tblCellMar>
            <w:top w:w="0" w:type="dxa"/>
            <w:left w:w="0" w:type="dxa"/>
            <w:bottom w:w="0" w:type="dxa"/>
            <w:right w:w="0" w:type="dxa"/>
          </w:tblCellMar>
        </w:tblPrEx>
        <w:trPr>
          <w:wBefore w:w="0" w:type="auto"/>
          <w:tblCellSpacing w:w="0" w:type="dxa"/>
        </w:trPr>
        <w:tc>
          <w:tcPr>
            <w:tcW w:w="0" w:type="auto"/>
            <w:noWrap w:val="0"/>
            <w:vAlign w:val="center"/>
          </w:tcPr>
          <w:p w14:paraId="7B93AB0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B2423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47ACD2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1D478D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D947D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00BCC4F">
                  <w:r>
                    <w:rPr>
                      <w:rStyle w:val="11"/>
                      <w:rFonts w:hint="eastAsia"/>
                    </w:rPr>
                    <w:t>施用方式</w:t>
                  </w:r>
                </w:p>
              </w:tc>
            </w:tr>
            <w:tr w14:paraId="0109CA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6437EBC">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1A3A5C">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C95CA2">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8CFE61">
                  <w:r>
                    <w:rPr>
                      <w:rStyle w:val="11"/>
                      <w:rFonts w:hint="eastAsia"/>
                    </w:rPr>
                    <w:t>茎叶喷雾</w:t>
                  </w:r>
                </w:p>
              </w:tc>
            </w:tr>
          </w:tbl>
          <w:p w14:paraId="7FB1582B">
            <w:pPr>
              <w:rPr>
                <w:rFonts w:ascii="Times New Roman" w:hAnsi="Times New Roman" w:cs="Times New Roman"/>
                <w:sz w:val="20"/>
                <w:szCs w:val="20"/>
              </w:rPr>
            </w:pPr>
          </w:p>
        </w:tc>
      </w:tr>
      <w:tr w14:paraId="52671648">
        <w:tblPrEx>
          <w:tblCellMar>
            <w:top w:w="0" w:type="dxa"/>
            <w:left w:w="0" w:type="dxa"/>
            <w:bottom w:w="0" w:type="dxa"/>
            <w:right w:w="0" w:type="dxa"/>
          </w:tblCellMar>
        </w:tblPrEx>
        <w:trPr>
          <w:wBefore w:w="0" w:type="auto"/>
          <w:tblCellSpacing w:w="0" w:type="dxa"/>
        </w:trPr>
        <w:tc>
          <w:tcPr>
            <w:tcW w:w="0" w:type="auto"/>
            <w:noWrap w:val="0"/>
            <w:vAlign w:val="center"/>
          </w:tcPr>
          <w:p w14:paraId="1D3E5047">
            <w:r>
              <w:rPr>
                <w:rStyle w:val="10"/>
                <w:rFonts w:hint="eastAsia"/>
              </w:rPr>
              <w:t>使用技术要求:</w:t>
            </w:r>
            <w:r>
              <w:rPr>
                <w:rFonts w:hint="eastAsia"/>
              </w:rPr>
              <w:br w:type="textWrapping"/>
            </w:r>
            <w:r>
              <w:rPr>
                <w:rStyle w:val="11"/>
                <w:rFonts w:hint="eastAsia"/>
              </w:rPr>
              <w:t>用于非耕地，防治杂草，制剂用药量：200-400毫升/亩，使用方法为喷雾。</w:t>
            </w:r>
          </w:p>
        </w:tc>
      </w:tr>
      <w:tr w14:paraId="19950ABA">
        <w:tblPrEx>
          <w:tblCellMar>
            <w:top w:w="0" w:type="dxa"/>
            <w:left w:w="0" w:type="dxa"/>
            <w:bottom w:w="0" w:type="dxa"/>
            <w:right w:w="0" w:type="dxa"/>
          </w:tblCellMar>
        </w:tblPrEx>
        <w:trPr>
          <w:wBefore w:w="0" w:type="auto"/>
          <w:tblCellSpacing w:w="0" w:type="dxa"/>
        </w:trPr>
        <w:tc>
          <w:tcPr>
            <w:tcW w:w="0" w:type="auto"/>
            <w:noWrap w:val="0"/>
            <w:vAlign w:val="center"/>
          </w:tcPr>
          <w:p w14:paraId="262DBB05">
            <w:r>
              <w:rPr>
                <w:rStyle w:val="10"/>
                <w:rFonts w:hint="eastAsia"/>
              </w:rPr>
              <w:t>产品性能:</w:t>
            </w:r>
            <w:r>
              <w:rPr>
                <w:rFonts w:hint="eastAsia"/>
              </w:rPr>
              <w:br w:type="textWrapping"/>
            </w:r>
            <w:r>
              <w:rPr>
                <w:rStyle w:val="11"/>
                <w:rFonts w:hint="eastAsia"/>
              </w:rPr>
              <w:t xml:space="preserve">草甘膦钾盐为灭生性茎叶处理除草剂，具有内吸传导作用。本产品用于防除非耕地杂草。 </w:t>
            </w:r>
          </w:p>
        </w:tc>
      </w:tr>
      <w:tr w14:paraId="1F961881">
        <w:tblPrEx>
          <w:tblCellMar>
            <w:top w:w="0" w:type="dxa"/>
            <w:left w:w="0" w:type="dxa"/>
            <w:bottom w:w="0" w:type="dxa"/>
            <w:right w:w="0" w:type="dxa"/>
          </w:tblCellMar>
        </w:tblPrEx>
        <w:trPr>
          <w:wBefore w:w="0" w:type="auto"/>
          <w:tblCellSpacing w:w="0" w:type="dxa"/>
        </w:trPr>
        <w:tc>
          <w:tcPr>
            <w:tcW w:w="0" w:type="auto"/>
            <w:noWrap w:val="0"/>
            <w:vAlign w:val="center"/>
          </w:tcPr>
          <w:p w14:paraId="43958441">
            <w:r>
              <w:rPr>
                <w:rStyle w:val="10"/>
                <w:rFonts w:hint="eastAsia"/>
              </w:rPr>
              <w:t>注意事项：</w:t>
            </w:r>
            <w:r>
              <w:rPr>
                <w:rFonts w:hint="eastAsia"/>
              </w:rPr>
              <w:br w:type="textWrapping"/>
            </w:r>
            <w:r>
              <w:rPr>
                <w:rStyle w:val="11"/>
                <w:rFonts w:hint="eastAsia"/>
              </w:rPr>
              <w:t>1.本品为非选择性除草剂，施药时避免药液飘移到邻近的作物田。 2.本剂贮存与使用时尽量用塑料容器。低温贮存时会有结晶析出，使用前充分摇动容器，待结晶溶解后再用。 3.本品对蜜蜂、鱼类等水生生物、家蚕有毒，施药期间应避免对周围蜂群的影响，禁止在开花植物花期、蚕室和桑园附近使用。 4.远离水产养殖区、河塘等水域施药。赤眼蜂等天敌放飞区域禁用。鱼、虾、蟹套养稻田禁用，施药后的药水禁止排入水田。禁止在河塘等水体中清洗施药器具。用过的容器应妥善处理，不可做他用，也不可随意丢弃。 5.本剂遇土易钝化失去活性，配制药剂时不能使用浑水尽量使用清水。 6.使用本品时应穿戴防护服和手套，避免吸入药液。施药期间不可吃东西、喝水、吸烟等。施药后应及时洗手、洗脸等。 7.孕妇及哺乳期妇女避免接触本品。</w:t>
            </w:r>
          </w:p>
        </w:tc>
      </w:tr>
      <w:tr w14:paraId="0AE6548D">
        <w:tblPrEx>
          <w:tblCellMar>
            <w:top w:w="0" w:type="dxa"/>
            <w:left w:w="0" w:type="dxa"/>
            <w:bottom w:w="0" w:type="dxa"/>
            <w:right w:w="0" w:type="dxa"/>
          </w:tblCellMar>
        </w:tblPrEx>
        <w:trPr>
          <w:wBefore w:w="0" w:type="auto"/>
          <w:tblCellSpacing w:w="0" w:type="dxa"/>
        </w:trPr>
        <w:tc>
          <w:tcPr>
            <w:tcW w:w="0" w:type="auto"/>
            <w:noWrap w:val="0"/>
            <w:vAlign w:val="center"/>
          </w:tcPr>
          <w:p w14:paraId="6D1C0C02">
            <w:r>
              <w:rPr>
                <w:rStyle w:val="10"/>
                <w:rFonts w:hint="eastAsia"/>
              </w:rPr>
              <w:t>中毒急救措施：</w:t>
            </w:r>
            <w:r>
              <w:rPr>
                <w:rFonts w:hint="eastAsia"/>
              </w:rPr>
              <w:br w:type="textWrapping"/>
            </w:r>
            <w:r>
              <w:rPr>
                <w:rStyle w:val="11"/>
                <w:rFonts w:hint="eastAsia"/>
              </w:rPr>
              <w:t>1.中毒症状表现为皮肤、眼睛、上呼吸道刺激等。 2.皮肤接触后用肥皂水和清水彻底冲洗皮肤。误入眼要及时用清水冲洗至少15分钟，若仍有不适，携标签就医。 3.误服，病人十分清醒，可用吐根糖浆诱吐，还可在服用的活性炭泥中加入山梨醇。 4.尚无特效解毒剂。及时就医。对症治疗。</w:t>
            </w:r>
          </w:p>
        </w:tc>
      </w:tr>
      <w:tr w14:paraId="0C0618FC">
        <w:tblPrEx>
          <w:tblCellMar>
            <w:top w:w="0" w:type="dxa"/>
            <w:left w:w="0" w:type="dxa"/>
            <w:bottom w:w="0" w:type="dxa"/>
            <w:right w:w="0" w:type="dxa"/>
          </w:tblCellMar>
        </w:tblPrEx>
        <w:trPr>
          <w:wBefore w:w="0" w:type="auto"/>
          <w:tblCellSpacing w:w="0" w:type="dxa"/>
        </w:trPr>
        <w:tc>
          <w:tcPr>
            <w:tcW w:w="0" w:type="auto"/>
            <w:noWrap w:val="0"/>
            <w:vAlign w:val="center"/>
          </w:tcPr>
          <w:p w14:paraId="266F782E">
            <w:r>
              <w:rPr>
                <w:rStyle w:val="10"/>
                <w:rFonts w:hint="eastAsia"/>
              </w:rPr>
              <w:t>储存和运输方法：</w:t>
            </w:r>
            <w:r>
              <w:rPr>
                <w:rFonts w:hint="eastAsia"/>
              </w:rPr>
              <w:br w:type="textWrapping"/>
            </w:r>
            <w:r>
              <w:rPr>
                <w:rStyle w:val="11"/>
                <w:rFonts w:hint="eastAsia"/>
              </w:rPr>
              <w:t>1.本品应贮存在干燥、阴凉、通风、防雨处。防止阳光直射。用塑料容器贮存。保持包装密封。应与酸类、碱类分开存放，切忌混储。 2.置于儿童、无关人员触及不到之处,并加锁。 3.远离火源，不能与食品，饮料、粮食、饲料等同贮同运。</w:t>
            </w:r>
          </w:p>
        </w:tc>
      </w:tr>
      <w:tr w14:paraId="3CA3579C">
        <w:tblPrEx>
          <w:tblCellMar>
            <w:top w:w="0" w:type="dxa"/>
            <w:left w:w="0" w:type="dxa"/>
            <w:bottom w:w="0" w:type="dxa"/>
            <w:right w:w="0" w:type="dxa"/>
          </w:tblCellMar>
        </w:tblPrEx>
        <w:trPr>
          <w:wBefore w:w="0" w:type="auto"/>
          <w:tblCellSpacing w:w="0" w:type="dxa"/>
        </w:trPr>
        <w:tc>
          <w:tcPr>
            <w:tcW w:w="0" w:type="auto"/>
            <w:noWrap w:val="0"/>
            <w:vAlign w:val="center"/>
          </w:tcPr>
          <w:p w14:paraId="6F1A667A">
            <w:r>
              <w:rPr>
                <w:rStyle w:val="10"/>
                <w:rFonts w:hint="eastAsia"/>
              </w:rPr>
              <w:t>质量保证期：</w:t>
            </w:r>
            <w:r>
              <w:rPr>
                <w:rStyle w:val="11"/>
                <w:rFonts w:hint="eastAsia"/>
              </w:rPr>
              <w:t>2年</w:t>
            </w:r>
          </w:p>
        </w:tc>
      </w:tr>
      <w:tr w14:paraId="1125D408">
        <w:tblPrEx>
          <w:tblCellMar>
            <w:top w:w="0" w:type="dxa"/>
            <w:left w:w="0" w:type="dxa"/>
            <w:bottom w:w="0" w:type="dxa"/>
            <w:right w:w="0" w:type="dxa"/>
          </w:tblCellMar>
        </w:tblPrEx>
        <w:trPr>
          <w:wBefore w:w="0" w:type="auto"/>
          <w:tblCellSpacing w:w="0" w:type="dxa"/>
        </w:trPr>
        <w:tc>
          <w:tcPr>
            <w:tcW w:w="0" w:type="auto"/>
            <w:noWrap w:val="0"/>
            <w:vAlign w:val="center"/>
          </w:tcPr>
          <w:p w14:paraId="4704FAFC">
            <w:r>
              <w:rPr>
                <w:rStyle w:val="10"/>
                <w:rFonts w:hint="eastAsia"/>
              </w:rPr>
              <w:t>备注：</w:t>
            </w:r>
            <w:r>
              <w:rPr>
                <w:rFonts w:hint="eastAsia"/>
              </w:rPr>
              <w:br w:type="textWrapping"/>
            </w:r>
            <w:r>
              <w:rPr>
                <w:rStyle w:val="11"/>
                <w:rFonts w:hint="eastAsia"/>
              </w:rPr>
              <w:t>草甘膦540克/升，草甘膦钾盐662克/升。</w:t>
            </w:r>
          </w:p>
        </w:tc>
      </w:tr>
    </w:tbl>
    <w:p w14:paraId="3E97554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3AB665">
        <w:tblPrEx>
          <w:tblCellMar>
            <w:top w:w="0" w:type="dxa"/>
            <w:left w:w="0" w:type="dxa"/>
            <w:bottom w:w="0" w:type="dxa"/>
            <w:right w:w="0" w:type="dxa"/>
          </w:tblCellMar>
        </w:tblPrEx>
        <w:trPr>
          <w:wBefore w:w="0" w:type="auto"/>
          <w:tblCellSpacing w:w="0" w:type="dxa"/>
        </w:trPr>
        <w:tc>
          <w:tcPr>
            <w:tcW w:w="0" w:type="auto"/>
            <w:noWrap w:val="0"/>
            <w:vAlign w:val="center"/>
          </w:tcPr>
          <w:p w14:paraId="39950C7B">
            <w:r>
              <w:rPr>
                <w:rStyle w:val="10"/>
                <w:rFonts w:hint="eastAsia"/>
              </w:rPr>
              <w:t>登记证号：</w:t>
            </w:r>
            <w:r>
              <w:rPr>
                <w:rFonts w:hint="eastAsia"/>
              </w:rPr>
              <w:t>PD20150751</w:t>
            </w:r>
          </w:p>
        </w:tc>
      </w:tr>
      <w:tr w14:paraId="7785DDF4">
        <w:tblPrEx>
          <w:tblCellMar>
            <w:top w:w="0" w:type="dxa"/>
            <w:left w:w="0" w:type="dxa"/>
            <w:bottom w:w="0" w:type="dxa"/>
            <w:right w:w="0" w:type="dxa"/>
          </w:tblCellMar>
        </w:tblPrEx>
        <w:trPr>
          <w:wBefore w:w="0" w:type="auto"/>
          <w:tblCellSpacing w:w="0" w:type="dxa"/>
        </w:trPr>
        <w:tc>
          <w:tcPr>
            <w:tcW w:w="0" w:type="auto"/>
            <w:noWrap w:val="0"/>
            <w:vAlign w:val="center"/>
          </w:tcPr>
          <w:p w14:paraId="528DC824">
            <w:r>
              <w:rPr>
                <w:rStyle w:val="10"/>
                <w:rFonts w:hint="eastAsia"/>
              </w:rPr>
              <w:t>登记证持有人：</w:t>
            </w:r>
            <w:r>
              <w:rPr>
                <w:rFonts w:hint="eastAsia"/>
              </w:rPr>
              <w:t>江苏优嘉植物保护有限公司</w:t>
            </w:r>
          </w:p>
        </w:tc>
      </w:tr>
      <w:tr w14:paraId="4F563183">
        <w:tblPrEx>
          <w:tblCellMar>
            <w:top w:w="0" w:type="dxa"/>
            <w:left w:w="0" w:type="dxa"/>
            <w:bottom w:w="0" w:type="dxa"/>
            <w:right w:w="0" w:type="dxa"/>
          </w:tblCellMar>
        </w:tblPrEx>
        <w:trPr>
          <w:wBefore w:w="0" w:type="auto"/>
          <w:tblCellSpacing w:w="0" w:type="dxa"/>
        </w:trPr>
        <w:tc>
          <w:tcPr>
            <w:tcW w:w="0" w:type="auto"/>
            <w:noWrap w:val="0"/>
            <w:vAlign w:val="center"/>
          </w:tcPr>
          <w:p w14:paraId="6A808E4E">
            <w:r>
              <w:rPr>
                <w:rStyle w:val="10"/>
                <w:rFonts w:hint="eastAsia"/>
              </w:rPr>
              <w:t>农药名称：</w:t>
            </w:r>
            <w:r>
              <w:rPr>
                <w:rFonts w:hint="eastAsia"/>
              </w:rPr>
              <w:t>氟啶胺</w:t>
            </w:r>
          </w:p>
        </w:tc>
      </w:tr>
      <w:tr w14:paraId="120E1B1D">
        <w:tblPrEx>
          <w:tblCellMar>
            <w:top w:w="0" w:type="dxa"/>
            <w:left w:w="0" w:type="dxa"/>
            <w:bottom w:w="0" w:type="dxa"/>
            <w:right w:w="0" w:type="dxa"/>
          </w:tblCellMar>
        </w:tblPrEx>
        <w:trPr>
          <w:wBefore w:w="0" w:type="auto"/>
          <w:tblCellSpacing w:w="0" w:type="dxa"/>
        </w:trPr>
        <w:tc>
          <w:tcPr>
            <w:tcW w:w="0" w:type="auto"/>
            <w:noWrap w:val="0"/>
            <w:vAlign w:val="center"/>
          </w:tcPr>
          <w:p w14:paraId="68DDBE9E">
            <w:r>
              <w:rPr>
                <w:rStyle w:val="10"/>
                <w:rFonts w:hint="eastAsia"/>
              </w:rPr>
              <w:t>剂型：</w:t>
            </w:r>
            <w:r>
              <w:rPr>
                <w:rFonts w:hint="eastAsia"/>
              </w:rPr>
              <w:t>悬浮剂</w:t>
            </w:r>
          </w:p>
        </w:tc>
      </w:tr>
      <w:tr w14:paraId="5AFD9571">
        <w:tblPrEx>
          <w:tblCellMar>
            <w:top w:w="0" w:type="dxa"/>
            <w:left w:w="0" w:type="dxa"/>
            <w:bottom w:w="0" w:type="dxa"/>
            <w:right w:w="0" w:type="dxa"/>
          </w:tblCellMar>
        </w:tblPrEx>
        <w:trPr>
          <w:wBefore w:w="0" w:type="auto"/>
          <w:tblCellSpacing w:w="0" w:type="dxa"/>
        </w:trPr>
        <w:tc>
          <w:tcPr>
            <w:tcW w:w="0" w:type="auto"/>
            <w:noWrap w:val="0"/>
            <w:vAlign w:val="center"/>
          </w:tcPr>
          <w:p w14:paraId="37CF4023">
            <w:r>
              <w:rPr>
                <w:rStyle w:val="10"/>
                <w:rFonts w:hint="eastAsia"/>
              </w:rPr>
              <w:t>毒性及其标识：</w:t>
            </w:r>
            <w:r>
              <w:rPr>
                <w:rFonts w:hint="eastAsia"/>
              </w:rPr>
              <w:t xml:space="preserve"> 微毒 </w:t>
            </w:r>
          </w:p>
        </w:tc>
      </w:tr>
      <w:tr w14:paraId="4FCFDCCC">
        <w:tblPrEx>
          <w:tblCellMar>
            <w:top w:w="0" w:type="dxa"/>
            <w:left w:w="0" w:type="dxa"/>
            <w:bottom w:w="0" w:type="dxa"/>
            <w:right w:w="0" w:type="dxa"/>
          </w:tblCellMar>
        </w:tblPrEx>
        <w:trPr>
          <w:wBefore w:w="0" w:type="auto"/>
          <w:tblCellSpacing w:w="0" w:type="dxa"/>
        </w:trPr>
        <w:tc>
          <w:tcPr>
            <w:tcW w:w="0" w:type="auto"/>
            <w:noWrap w:val="0"/>
            <w:vAlign w:val="center"/>
          </w:tcPr>
          <w:p w14:paraId="2100A784">
            <w:r>
              <w:rPr>
                <w:rStyle w:val="10"/>
                <w:rFonts w:hint="eastAsia"/>
              </w:rPr>
              <w:t>总有效成分含量：</w:t>
            </w:r>
            <w:r>
              <w:rPr>
                <w:rFonts w:hint="eastAsia"/>
              </w:rPr>
              <w:t>40%</w:t>
            </w:r>
          </w:p>
        </w:tc>
      </w:tr>
      <w:tr w14:paraId="2C82BEFD">
        <w:tblPrEx>
          <w:tblCellMar>
            <w:top w:w="0" w:type="dxa"/>
            <w:left w:w="0" w:type="dxa"/>
            <w:bottom w:w="0" w:type="dxa"/>
            <w:right w:w="0" w:type="dxa"/>
          </w:tblCellMar>
        </w:tblPrEx>
        <w:trPr>
          <w:wBefore w:w="0" w:type="auto"/>
          <w:tblCellSpacing w:w="0" w:type="dxa"/>
        </w:trPr>
        <w:tc>
          <w:tcPr>
            <w:tcW w:w="0" w:type="auto"/>
            <w:noWrap w:val="0"/>
            <w:vAlign w:val="center"/>
          </w:tcPr>
          <w:p w14:paraId="7F90A40F">
            <w:r>
              <w:rPr>
                <w:rFonts w:hint="eastAsia"/>
              </w:rPr>
              <w:t xml:space="preserve">有效成分及其含量： </w:t>
            </w:r>
          </w:p>
          <w:p w14:paraId="7615B911">
            <w:r>
              <w:rPr>
                <w:rFonts w:hint="eastAsia"/>
              </w:rPr>
              <w:t xml:space="preserve">    氟啶胺40%    </w:t>
            </w:r>
          </w:p>
        </w:tc>
      </w:tr>
      <w:tr w14:paraId="4E78BC83">
        <w:tblPrEx>
          <w:tblCellMar>
            <w:top w:w="0" w:type="dxa"/>
            <w:left w:w="0" w:type="dxa"/>
            <w:bottom w:w="0" w:type="dxa"/>
            <w:right w:w="0" w:type="dxa"/>
          </w:tblCellMar>
        </w:tblPrEx>
        <w:trPr>
          <w:wBefore w:w="0" w:type="auto"/>
          <w:tblCellSpacing w:w="0" w:type="dxa"/>
        </w:trPr>
        <w:tc>
          <w:tcPr>
            <w:tcW w:w="0" w:type="auto"/>
            <w:noWrap w:val="0"/>
            <w:vAlign w:val="center"/>
          </w:tcPr>
          <w:p w14:paraId="0F493FC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8A72F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1C9472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46FE66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12D6FA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9F487CF">
                  <w:r>
                    <w:rPr>
                      <w:rStyle w:val="11"/>
                      <w:rFonts w:hint="eastAsia"/>
                    </w:rPr>
                    <w:t>施用方式</w:t>
                  </w:r>
                </w:p>
              </w:tc>
            </w:tr>
            <w:tr w14:paraId="2A8A37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1DDA59">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632BB5">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F7AC1A">
                  <w:r>
                    <w:rPr>
                      <w:rStyle w:val="11"/>
                      <w:rFonts w:hint="eastAsia"/>
                    </w:rPr>
                    <w:t>35-40毫升/亩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D3BB49">
                  <w:r>
                    <w:rPr>
                      <w:rStyle w:val="11"/>
                      <w:rFonts w:hint="eastAsia"/>
                    </w:rPr>
                    <w:t>喷雾</w:t>
                  </w:r>
                </w:p>
              </w:tc>
            </w:tr>
            <w:tr w14:paraId="129335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969AE6">
                  <w:r>
                    <w:rPr>
                      <w:rStyle w:val="11"/>
                      <w:rFonts w:hint="eastAsia"/>
                    </w:rPr>
                    <w:t>大白菜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0DE7C9">
                  <w:r>
                    <w:rPr>
                      <w:rStyle w:val="11"/>
                      <w:rFonts w:hint="eastAsia"/>
                    </w:rPr>
                    <w:t>根肿病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6F8F55">
                  <w:r>
                    <w:rPr>
                      <w:rStyle w:val="11"/>
                      <w:rFonts w:hint="eastAsia"/>
                    </w:rPr>
                    <w:t>375-417毫升/亩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5C9E8B">
                  <w:r>
                    <w:rPr>
                      <w:rStyle w:val="11"/>
                      <w:rFonts w:hint="eastAsia"/>
                    </w:rPr>
                    <w:t>灌穴</w:t>
                  </w:r>
                </w:p>
              </w:tc>
            </w:tr>
          </w:tbl>
          <w:p w14:paraId="7C67BDE2">
            <w:pPr>
              <w:rPr>
                <w:rFonts w:ascii="Times New Roman" w:hAnsi="Times New Roman" w:cs="Times New Roman"/>
                <w:sz w:val="20"/>
                <w:szCs w:val="20"/>
              </w:rPr>
            </w:pPr>
          </w:p>
        </w:tc>
      </w:tr>
      <w:tr w14:paraId="37CDBC79">
        <w:tblPrEx>
          <w:tblCellMar>
            <w:top w:w="0" w:type="dxa"/>
            <w:left w:w="0" w:type="dxa"/>
            <w:bottom w:w="0" w:type="dxa"/>
            <w:right w:w="0" w:type="dxa"/>
          </w:tblCellMar>
        </w:tblPrEx>
        <w:trPr>
          <w:wBefore w:w="0" w:type="auto"/>
          <w:tblCellSpacing w:w="0" w:type="dxa"/>
        </w:trPr>
        <w:tc>
          <w:tcPr>
            <w:tcW w:w="0" w:type="auto"/>
            <w:noWrap w:val="0"/>
            <w:vAlign w:val="center"/>
          </w:tcPr>
          <w:p w14:paraId="13B44911">
            <w:r>
              <w:rPr>
                <w:rStyle w:val="10"/>
                <w:rFonts w:hint="eastAsia"/>
              </w:rPr>
              <w:t>使用技术要求:</w:t>
            </w:r>
            <w:r>
              <w:rPr>
                <w:rFonts w:hint="eastAsia"/>
              </w:rPr>
              <w:br w:type="textWrapping"/>
            </w:r>
            <w:r>
              <w:rPr>
                <w:rStyle w:val="11"/>
                <w:rFonts w:hint="eastAsia"/>
              </w:rPr>
              <w:t>1、本品应于大白菜定植前使用，灌穴后当天立即进行移栽。每季大白菜仅施药1次。本品在马铃薯晚疫病发病初期施药，每季最多施药4次，安全间隔期7天。2、使用时，注意喷雾要均匀周到。3、大风天或预计1小时内降雨，请勿施药。</w:t>
            </w:r>
          </w:p>
        </w:tc>
      </w:tr>
      <w:tr w14:paraId="1BF67898">
        <w:tblPrEx>
          <w:tblCellMar>
            <w:top w:w="0" w:type="dxa"/>
            <w:left w:w="0" w:type="dxa"/>
            <w:bottom w:w="0" w:type="dxa"/>
            <w:right w:w="0" w:type="dxa"/>
          </w:tblCellMar>
        </w:tblPrEx>
        <w:trPr>
          <w:wBefore w:w="0" w:type="auto"/>
          <w:tblCellSpacing w:w="0" w:type="dxa"/>
        </w:trPr>
        <w:tc>
          <w:tcPr>
            <w:tcW w:w="0" w:type="auto"/>
            <w:noWrap w:val="0"/>
            <w:vAlign w:val="center"/>
          </w:tcPr>
          <w:p w14:paraId="70FF1E4A">
            <w:r>
              <w:rPr>
                <w:rStyle w:val="10"/>
                <w:rFonts w:hint="eastAsia"/>
              </w:rPr>
              <w:t>产品性能:</w:t>
            </w:r>
            <w:r>
              <w:rPr>
                <w:rFonts w:hint="eastAsia"/>
              </w:rPr>
              <w:br w:type="textWrapping"/>
            </w:r>
            <w:r>
              <w:rPr>
                <w:rStyle w:val="11"/>
                <w:rFonts w:hint="eastAsia"/>
              </w:rPr>
              <w:t>该产品为杀菌和杀螨剂，具有保护性，略微有治疗和内吸作用，残效和耐雨水冲刷能力强，对白菜根肿病和马铃薯晚疫病均有较好的效果。</w:t>
            </w:r>
          </w:p>
        </w:tc>
      </w:tr>
      <w:tr w14:paraId="7F3FECB7">
        <w:tblPrEx>
          <w:tblCellMar>
            <w:top w:w="0" w:type="dxa"/>
            <w:left w:w="0" w:type="dxa"/>
            <w:bottom w:w="0" w:type="dxa"/>
            <w:right w:w="0" w:type="dxa"/>
          </w:tblCellMar>
        </w:tblPrEx>
        <w:trPr>
          <w:wBefore w:w="0" w:type="auto"/>
          <w:tblCellSpacing w:w="0" w:type="dxa"/>
        </w:trPr>
        <w:tc>
          <w:tcPr>
            <w:tcW w:w="0" w:type="auto"/>
            <w:noWrap w:val="0"/>
            <w:vAlign w:val="center"/>
          </w:tcPr>
          <w:p w14:paraId="1EFDE35E">
            <w:r>
              <w:rPr>
                <w:rStyle w:val="10"/>
                <w:rFonts w:hint="eastAsia"/>
              </w:rPr>
              <w:t>注意事项：</w:t>
            </w:r>
            <w:r>
              <w:rPr>
                <w:rFonts w:hint="eastAsia"/>
              </w:rPr>
              <w:br w:type="textWrapping"/>
            </w:r>
            <w:r>
              <w:rPr>
                <w:rStyle w:val="11"/>
                <w:rFonts w:hint="eastAsia"/>
              </w:rPr>
              <w:t>1.使用时应穿戴防护服、胶靴、橡胶手套等劳保用品，避免药雾吸入或接触人体。施药期间不可吃东西、饮水等；施药后及时洗手、脸部和裸露部位皮肤。过敏者禁用。2.使用本剂前要充分摇匀。药液及其废液不得污染各类水域、土壤等环境。3.本品对鱼类有毒，应避免药液流入鱼塘、河流和湖泊，禁止在河塘等水体中清洗施药器具。鸟类活动区附近禁用此产品，蚕室及桑园附近禁用，天敌放飞区域禁用此产品。用过的包装物应妥善处理，不可随意丢弃。也不可他用。4.避免孕妇及哺乳期妇女接触本品。</w:t>
            </w:r>
          </w:p>
        </w:tc>
      </w:tr>
      <w:tr w14:paraId="7E63B3AD">
        <w:tblPrEx>
          <w:tblCellMar>
            <w:top w:w="0" w:type="dxa"/>
            <w:left w:w="0" w:type="dxa"/>
            <w:bottom w:w="0" w:type="dxa"/>
            <w:right w:w="0" w:type="dxa"/>
          </w:tblCellMar>
        </w:tblPrEx>
        <w:trPr>
          <w:wBefore w:w="0" w:type="auto"/>
          <w:tblCellSpacing w:w="0" w:type="dxa"/>
        </w:trPr>
        <w:tc>
          <w:tcPr>
            <w:tcW w:w="0" w:type="auto"/>
            <w:noWrap w:val="0"/>
            <w:vAlign w:val="center"/>
          </w:tcPr>
          <w:p w14:paraId="60DB3395">
            <w:r>
              <w:rPr>
                <w:rStyle w:val="10"/>
                <w:rFonts w:hint="eastAsia"/>
              </w:rPr>
              <w:t>中毒急救措施：</w:t>
            </w:r>
            <w:r>
              <w:rPr>
                <w:rFonts w:hint="eastAsia"/>
              </w:rPr>
              <w:br w:type="textWrapping"/>
            </w:r>
            <w:r>
              <w:rPr>
                <w:rStyle w:val="11"/>
                <w:rFonts w:hint="eastAsia"/>
              </w:rPr>
              <w:t>不慎接触皮肤，应用肥皂和大量清水冲洗。接触眼睛，用清水冲洗至少15分钟；不慎吸入，应将患者立即转移至清新空气处。本品无专用解毒药，若误服、中毒或使用中有任何不良反应，应及时携标签送医院就诊。</w:t>
            </w:r>
          </w:p>
        </w:tc>
      </w:tr>
      <w:tr w14:paraId="21134ADF">
        <w:tblPrEx>
          <w:tblCellMar>
            <w:top w:w="0" w:type="dxa"/>
            <w:left w:w="0" w:type="dxa"/>
            <w:bottom w:w="0" w:type="dxa"/>
            <w:right w:w="0" w:type="dxa"/>
          </w:tblCellMar>
        </w:tblPrEx>
        <w:trPr>
          <w:wBefore w:w="0" w:type="auto"/>
          <w:tblCellSpacing w:w="0" w:type="dxa"/>
        </w:trPr>
        <w:tc>
          <w:tcPr>
            <w:tcW w:w="0" w:type="auto"/>
            <w:noWrap w:val="0"/>
            <w:vAlign w:val="center"/>
          </w:tcPr>
          <w:p w14:paraId="01984884">
            <w:r>
              <w:rPr>
                <w:rStyle w:val="10"/>
                <w:rFonts w:hint="eastAsia"/>
              </w:rPr>
              <w:t>储存和运输方法：</w:t>
            </w:r>
            <w:r>
              <w:rPr>
                <w:rFonts w:hint="eastAsia"/>
              </w:rPr>
              <w:br w:type="textWrapping"/>
            </w:r>
            <w:r>
              <w:rPr>
                <w:rStyle w:val="11"/>
                <w:rFonts w:hint="eastAsia"/>
              </w:rPr>
              <w:t>1.本品应贮存在干燥、阴凉、通风、防雨处，远离火源和热源存放。 2.不得与食品、饮料、粮食、饲料、种子等同贮同运。置于儿童接触不到之处，并加锁。 3.运输过程确保包装不泄露、不倒塌、不损坏，防高温曝晒、防雨淋</w:t>
            </w:r>
          </w:p>
        </w:tc>
      </w:tr>
      <w:tr w14:paraId="29F937F5">
        <w:tblPrEx>
          <w:tblCellMar>
            <w:top w:w="0" w:type="dxa"/>
            <w:left w:w="0" w:type="dxa"/>
            <w:bottom w:w="0" w:type="dxa"/>
            <w:right w:w="0" w:type="dxa"/>
          </w:tblCellMar>
        </w:tblPrEx>
        <w:trPr>
          <w:wBefore w:w="0" w:type="auto"/>
          <w:tblCellSpacing w:w="0" w:type="dxa"/>
        </w:trPr>
        <w:tc>
          <w:tcPr>
            <w:tcW w:w="0" w:type="auto"/>
            <w:noWrap w:val="0"/>
            <w:vAlign w:val="center"/>
          </w:tcPr>
          <w:p w14:paraId="12307ABA">
            <w:r>
              <w:rPr>
                <w:rStyle w:val="10"/>
                <w:rFonts w:hint="eastAsia"/>
              </w:rPr>
              <w:t>质量保证期：</w:t>
            </w:r>
            <w:r>
              <w:rPr>
                <w:rStyle w:val="11"/>
                <w:rFonts w:hint="eastAsia"/>
              </w:rPr>
              <w:t>2年</w:t>
            </w:r>
          </w:p>
        </w:tc>
      </w:tr>
      <w:tr w14:paraId="23885A75">
        <w:tblPrEx>
          <w:tblCellMar>
            <w:top w:w="0" w:type="dxa"/>
            <w:left w:w="0" w:type="dxa"/>
            <w:bottom w:w="0" w:type="dxa"/>
            <w:right w:w="0" w:type="dxa"/>
          </w:tblCellMar>
        </w:tblPrEx>
        <w:trPr>
          <w:wBefore w:w="0" w:type="auto"/>
          <w:tblCellSpacing w:w="0" w:type="dxa"/>
        </w:trPr>
        <w:tc>
          <w:tcPr>
            <w:tcW w:w="0" w:type="auto"/>
            <w:noWrap w:val="0"/>
            <w:vAlign w:val="center"/>
          </w:tcPr>
          <w:p w14:paraId="3C72A395">
            <w:r>
              <w:rPr>
                <w:rStyle w:val="10"/>
                <w:rFonts w:hint="eastAsia"/>
              </w:rPr>
              <w:t>备注：</w:t>
            </w:r>
            <w:r>
              <w:rPr>
                <w:rFonts w:hint="eastAsia"/>
              </w:rPr>
              <w:br w:type="textWrapping"/>
            </w:r>
            <w:r>
              <w:rPr>
                <w:rStyle w:val="11"/>
                <w:rFonts w:hint="eastAsia"/>
              </w:rPr>
              <w:t>氟啶胺500克/升。</w:t>
            </w:r>
          </w:p>
        </w:tc>
      </w:tr>
    </w:tbl>
    <w:p w14:paraId="3D070F3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E302F11">
        <w:tblPrEx>
          <w:tblCellMar>
            <w:top w:w="0" w:type="dxa"/>
            <w:left w:w="0" w:type="dxa"/>
            <w:bottom w:w="0" w:type="dxa"/>
            <w:right w:w="0" w:type="dxa"/>
          </w:tblCellMar>
        </w:tblPrEx>
        <w:trPr>
          <w:wBefore w:w="0" w:type="auto"/>
          <w:tblCellSpacing w:w="0" w:type="dxa"/>
        </w:trPr>
        <w:tc>
          <w:tcPr>
            <w:tcW w:w="0" w:type="auto"/>
            <w:noWrap w:val="0"/>
            <w:vAlign w:val="center"/>
          </w:tcPr>
          <w:p w14:paraId="01EB1AA9">
            <w:r>
              <w:rPr>
                <w:rStyle w:val="10"/>
                <w:rFonts w:hint="eastAsia"/>
              </w:rPr>
              <w:t>登记证号：</w:t>
            </w:r>
            <w:r>
              <w:rPr>
                <w:rFonts w:hint="eastAsia"/>
              </w:rPr>
              <w:t>PD20211858</w:t>
            </w:r>
          </w:p>
        </w:tc>
      </w:tr>
      <w:tr w14:paraId="42D249D8">
        <w:tblPrEx>
          <w:tblCellMar>
            <w:top w:w="0" w:type="dxa"/>
            <w:left w:w="0" w:type="dxa"/>
            <w:bottom w:w="0" w:type="dxa"/>
            <w:right w:w="0" w:type="dxa"/>
          </w:tblCellMar>
        </w:tblPrEx>
        <w:trPr>
          <w:wBefore w:w="0" w:type="auto"/>
          <w:tblCellSpacing w:w="0" w:type="dxa"/>
        </w:trPr>
        <w:tc>
          <w:tcPr>
            <w:tcW w:w="0" w:type="auto"/>
            <w:noWrap w:val="0"/>
            <w:vAlign w:val="center"/>
          </w:tcPr>
          <w:p w14:paraId="195593FE">
            <w:r>
              <w:rPr>
                <w:rStyle w:val="10"/>
                <w:rFonts w:hint="eastAsia"/>
              </w:rPr>
              <w:t>登记证持有人：</w:t>
            </w:r>
            <w:r>
              <w:rPr>
                <w:rFonts w:hint="eastAsia"/>
              </w:rPr>
              <w:t>开封一田生物科技有限公司</w:t>
            </w:r>
          </w:p>
        </w:tc>
      </w:tr>
      <w:tr w14:paraId="6EDE9008">
        <w:tblPrEx>
          <w:tblCellMar>
            <w:top w:w="0" w:type="dxa"/>
            <w:left w:w="0" w:type="dxa"/>
            <w:bottom w:w="0" w:type="dxa"/>
            <w:right w:w="0" w:type="dxa"/>
          </w:tblCellMar>
        </w:tblPrEx>
        <w:trPr>
          <w:wBefore w:w="0" w:type="auto"/>
          <w:tblCellSpacing w:w="0" w:type="dxa"/>
        </w:trPr>
        <w:tc>
          <w:tcPr>
            <w:tcW w:w="0" w:type="auto"/>
            <w:noWrap w:val="0"/>
            <w:vAlign w:val="center"/>
          </w:tcPr>
          <w:p w14:paraId="7873E903">
            <w:r>
              <w:rPr>
                <w:rStyle w:val="10"/>
                <w:rFonts w:hint="eastAsia"/>
              </w:rPr>
              <w:t>农药名称：</w:t>
            </w:r>
            <w:r>
              <w:rPr>
                <w:rFonts w:hint="eastAsia"/>
              </w:rPr>
              <w:t>阿维·虱螨脲</w:t>
            </w:r>
          </w:p>
        </w:tc>
      </w:tr>
      <w:tr w14:paraId="1BA1A00D">
        <w:tblPrEx>
          <w:tblCellMar>
            <w:top w:w="0" w:type="dxa"/>
            <w:left w:w="0" w:type="dxa"/>
            <w:bottom w:w="0" w:type="dxa"/>
            <w:right w:w="0" w:type="dxa"/>
          </w:tblCellMar>
        </w:tblPrEx>
        <w:trPr>
          <w:wBefore w:w="0" w:type="auto"/>
          <w:tblCellSpacing w:w="0" w:type="dxa"/>
        </w:trPr>
        <w:tc>
          <w:tcPr>
            <w:tcW w:w="0" w:type="auto"/>
            <w:noWrap w:val="0"/>
            <w:vAlign w:val="center"/>
          </w:tcPr>
          <w:p w14:paraId="5BAD7254">
            <w:r>
              <w:rPr>
                <w:rStyle w:val="10"/>
                <w:rFonts w:hint="eastAsia"/>
              </w:rPr>
              <w:t>剂型：</w:t>
            </w:r>
            <w:r>
              <w:rPr>
                <w:rFonts w:hint="eastAsia"/>
              </w:rPr>
              <w:t>悬浮剂</w:t>
            </w:r>
          </w:p>
        </w:tc>
      </w:tr>
      <w:tr w14:paraId="72ED81A5">
        <w:tblPrEx>
          <w:tblCellMar>
            <w:top w:w="0" w:type="dxa"/>
            <w:left w:w="0" w:type="dxa"/>
            <w:bottom w:w="0" w:type="dxa"/>
            <w:right w:w="0" w:type="dxa"/>
          </w:tblCellMar>
        </w:tblPrEx>
        <w:trPr>
          <w:wBefore w:w="0" w:type="auto"/>
          <w:tblCellSpacing w:w="0" w:type="dxa"/>
        </w:trPr>
        <w:tc>
          <w:tcPr>
            <w:tcW w:w="0" w:type="auto"/>
            <w:noWrap w:val="0"/>
            <w:vAlign w:val="center"/>
          </w:tcPr>
          <w:p w14:paraId="05D22FE5">
            <w:r>
              <w:rPr>
                <w:rStyle w:val="10"/>
                <w:rFonts w:hint="eastAsia"/>
              </w:rPr>
              <w:t>毒性及其标识：</w:t>
            </w:r>
            <w:r>
              <w:rPr>
                <w:rFonts w:hint="eastAsia"/>
              </w:rPr>
              <w:t xml:space="preserve"> </w:t>
            </w:r>
            <w:r>
              <w:rPr>
                <w:lang/>
              </w:rPr>
              <w:drawing>
                <wp:inline distT="0" distB="0" distL="114300" distR="114300">
                  <wp:extent cx="476250" cy="323850"/>
                  <wp:effectExtent l="0" t="0" r="0" b="0"/>
                  <wp:docPr id="440" name="图片 44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6C370C77">
        <w:tblPrEx>
          <w:tblCellMar>
            <w:top w:w="0" w:type="dxa"/>
            <w:left w:w="0" w:type="dxa"/>
            <w:bottom w:w="0" w:type="dxa"/>
            <w:right w:w="0" w:type="dxa"/>
          </w:tblCellMar>
        </w:tblPrEx>
        <w:trPr>
          <w:wBefore w:w="0" w:type="auto"/>
          <w:tblCellSpacing w:w="0" w:type="dxa"/>
        </w:trPr>
        <w:tc>
          <w:tcPr>
            <w:tcW w:w="0" w:type="auto"/>
            <w:noWrap w:val="0"/>
            <w:vAlign w:val="center"/>
          </w:tcPr>
          <w:p w14:paraId="6217BEA0">
            <w:r>
              <w:rPr>
                <w:rStyle w:val="10"/>
                <w:rFonts w:hint="eastAsia"/>
              </w:rPr>
              <w:t>总有效成分含量：</w:t>
            </w:r>
            <w:r>
              <w:rPr>
                <w:rFonts w:hint="eastAsia"/>
              </w:rPr>
              <w:t>12%</w:t>
            </w:r>
          </w:p>
        </w:tc>
      </w:tr>
      <w:tr w14:paraId="4600F324">
        <w:tblPrEx>
          <w:tblCellMar>
            <w:top w:w="0" w:type="dxa"/>
            <w:left w:w="0" w:type="dxa"/>
            <w:bottom w:w="0" w:type="dxa"/>
            <w:right w:w="0" w:type="dxa"/>
          </w:tblCellMar>
        </w:tblPrEx>
        <w:trPr>
          <w:wBefore w:w="0" w:type="auto"/>
          <w:tblCellSpacing w:w="0" w:type="dxa"/>
        </w:trPr>
        <w:tc>
          <w:tcPr>
            <w:tcW w:w="0" w:type="auto"/>
            <w:noWrap w:val="0"/>
            <w:vAlign w:val="center"/>
          </w:tcPr>
          <w:p w14:paraId="7D29E512">
            <w:r>
              <w:rPr>
                <w:rFonts w:hint="eastAsia"/>
              </w:rPr>
              <w:t xml:space="preserve">有效成分及其含量： </w:t>
            </w:r>
          </w:p>
          <w:p w14:paraId="1CB94452">
            <w:r>
              <w:rPr>
                <w:rFonts w:hint="eastAsia"/>
              </w:rPr>
              <w:t xml:space="preserve">    阿维菌素3%    虱螨脲9%    </w:t>
            </w:r>
          </w:p>
        </w:tc>
      </w:tr>
      <w:tr w14:paraId="4C937799">
        <w:tblPrEx>
          <w:tblCellMar>
            <w:top w:w="0" w:type="dxa"/>
            <w:left w:w="0" w:type="dxa"/>
            <w:bottom w:w="0" w:type="dxa"/>
            <w:right w:w="0" w:type="dxa"/>
          </w:tblCellMar>
        </w:tblPrEx>
        <w:trPr>
          <w:wBefore w:w="0" w:type="auto"/>
          <w:tblCellSpacing w:w="0" w:type="dxa"/>
        </w:trPr>
        <w:tc>
          <w:tcPr>
            <w:tcW w:w="0" w:type="auto"/>
            <w:noWrap w:val="0"/>
            <w:vAlign w:val="center"/>
          </w:tcPr>
          <w:p w14:paraId="3DFDE74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FFEB5D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C8B44A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4EFB06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F237DF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1823D8B">
                  <w:r>
                    <w:rPr>
                      <w:rStyle w:val="11"/>
                      <w:rFonts w:hint="eastAsia"/>
                    </w:rPr>
                    <w:t>施用方式</w:t>
                  </w:r>
                </w:p>
              </w:tc>
            </w:tr>
            <w:tr w14:paraId="363910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2911F1">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DBA234">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C24681">
                  <w:r>
                    <w:rPr>
                      <w:rStyle w:val="11"/>
                      <w:rFonts w:hint="eastAsia"/>
                    </w:rPr>
                    <w:t>12-20毫升/亩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15E8CC">
                  <w:r>
                    <w:rPr>
                      <w:rStyle w:val="11"/>
                      <w:rFonts w:hint="eastAsia"/>
                    </w:rPr>
                    <w:t>喷雾</w:t>
                  </w:r>
                </w:p>
              </w:tc>
            </w:tr>
          </w:tbl>
          <w:p w14:paraId="594B4137">
            <w:pPr>
              <w:rPr>
                <w:rFonts w:ascii="Times New Roman" w:hAnsi="Times New Roman" w:cs="Times New Roman"/>
                <w:sz w:val="20"/>
                <w:szCs w:val="20"/>
              </w:rPr>
            </w:pPr>
          </w:p>
        </w:tc>
      </w:tr>
      <w:tr w14:paraId="777CB63B">
        <w:tblPrEx>
          <w:tblCellMar>
            <w:top w:w="0" w:type="dxa"/>
            <w:left w:w="0" w:type="dxa"/>
            <w:bottom w:w="0" w:type="dxa"/>
            <w:right w:w="0" w:type="dxa"/>
          </w:tblCellMar>
        </w:tblPrEx>
        <w:trPr>
          <w:wBefore w:w="0" w:type="auto"/>
          <w:tblCellSpacing w:w="0" w:type="dxa"/>
        </w:trPr>
        <w:tc>
          <w:tcPr>
            <w:tcW w:w="0" w:type="auto"/>
            <w:noWrap w:val="0"/>
            <w:vAlign w:val="center"/>
          </w:tcPr>
          <w:p w14:paraId="2EBC0B17">
            <w:r>
              <w:rPr>
                <w:rStyle w:val="10"/>
                <w:rFonts w:hint="eastAsia"/>
              </w:rPr>
              <w:t>使用技术要求:</w:t>
            </w:r>
            <w:r>
              <w:rPr>
                <w:rFonts w:hint="eastAsia"/>
              </w:rPr>
              <w:br w:type="textWrapping"/>
            </w:r>
            <w:r>
              <w:rPr>
                <w:rStyle w:val="11"/>
                <w:rFonts w:hint="eastAsia"/>
              </w:rPr>
              <w:t>1、在甘蓝甜菜夜蛾卵孵化盛期至低龄幼虫始盛期施药。 2、要适时喷药，喷药太晚，防效差；喷雾时，要求均匀一致，不重喷、漏喷，以免降低防效。 3、本品在甘蓝上使用的安全间隔期为7天，每季作物使用1次。 4、大风天或预计1小时内有降雨，请勿施药。</w:t>
            </w:r>
          </w:p>
        </w:tc>
      </w:tr>
      <w:tr w14:paraId="61EDAA02">
        <w:tblPrEx>
          <w:tblCellMar>
            <w:top w:w="0" w:type="dxa"/>
            <w:left w:w="0" w:type="dxa"/>
            <w:bottom w:w="0" w:type="dxa"/>
            <w:right w:w="0" w:type="dxa"/>
          </w:tblCellMar>
        </w:tblPrEx>
        <w:trPr>
          <w:wBefore w:w="0" w:type="auto"/>
          <w:tblCellSpacing w:w="0" w:type="dxa"/>
        </w:trPr>
        <w:tc>
          <w:tcPr>
            <w:tcW w:w="0" w:type="auto"/>
            <w:noWrap w:val="0"/>
            <w:vAlign w:val="center"/>
          </w:tcPr>
          <w:p w14:paraId="5E6D3DB0">
            <w:r>
              <w:rPr>
                <w:rStyle w:val="10"/>
                <w:rFonts w:hint="eastAsia"/>
              </w:rPr>
              <w:t>产品性能:</w:t>
            </w:r>
            <w:r>
              <w:rPr>
                <w:rFonts w:hint="eastAsia"/>
              </w:rPr>
              <w:br w:type="textWrapping"/>
            </w:r>
            <w:r>
              <w:rPr>
                <w:rStyle w:val="11"/>
                <w:rFonts w:hint="eastAsia"/>
              </w:rPr>
              <w:t xml:space="preserve">本品由阿维菌素和虱螨脲复配而成，具有触杀和胃毒作用，对甘蓝甜菜夜蛾有较好的防治效果，使用推荐剂量，对甘蓝安全。 </w:t>
            </w:r>
          </w:p>
        </w:tc>
      </w:tr>
      <w:tr w14:paraId="638E9C89">
        <w:tblPrEx>
          <w:tblCellMar>
            <w:top w:w="0" w:type="dxa"/>
            <w:left w:w="0" w:type="dxa"/>
            <w:bottom w:w="0" w:type="dxa"/>
            <w:right w:w="0" w:type="dxa"/>
          </w:tblCellMar>
        </w:tblPrEx>
        <w:trPr>
          <w:wBefore w:w="0" w:type="auto"/>
          <w:tblCellSpacing w:w="0" w:type="dxa"/>
        </w:trPr>
        <w:tc>
          <w:tcPr>
            <w:tcW w:w="0" w:type="auto"/>
            <w:noWrap w:val="0"/>
            <w:vAlign w:val="center"/>
          </w:tcPr>
          <w:p w14:paraId="5864F24B">
            <w:r>
              <w:rPr>
                <w:rStyle w:val="10"/>
                <w:rFonts w:hint="eastAsia"/>
              </w:rPr>
              <w:t>注意事项：</w:t>
            </w:r>
            <w:r>
              <w:rPr>
                <w:rFonts w:hint="eastAsia"/>
              </w:rPr>
              <w:br w:type="textWrapping"/>
            </w:r>
            <w:r>
              <w:rPr>
                <w:rStyle w:val="11"/>
                <w:rFonts w:hint="eastAsia"/>
              </w:rPr>
              <w:t>1、本品不可与强碱性类农药混合使用。2、配药和喷药时穿防护服，戴手套面罩，穿胶靴鞋。严格按照农药安全使用规则操作，避免接触皮肤、眼睛和污染衣物，避免吸入药滴，勿在施药现场抽烟和饮食。 施药后应立即清洗，并更换工作服。3、本品对蜜蜂、鱼类等水生生物、家蚕有毒，（周围）开花植物花期、蚕室和桑园附近禁用，施药期间应避免对周围蜂群的影响。赤眼蜂等天敌放飞区禁用。远离水产养殖区、河塘施药，禁止在河塘等水域中清洗施药器具。4、用过的容器应妥善处理，不可做他用，也不可随意丢弃。5、孕妇、哺乳期妇女及过敏者禁止接触本品。</w:t>
            </w:r>
          </w:p>
        </w:tc>
      </w:tr>
      <w:tr w14:paraId="4DD7DF24">
        <w:tblPrEx>
          <w:tblCellMar>
            <w:top w:w="0" w:type="dxa"/>
            <w:left w:w="0" w:type="dxa"/>
            <w:bottom w:w="0" w:type="dxa"/>
            <w:right w:w="0" w:type="dxa"/>
          </w:tblCellMar>
        </w:tblPrEx>
        <w:trPr>
          <w:wBefore w:w="0" w:type="auto"/>
          <w:tblCellSpacing w:w="0" w:type="dxa"/>
        </w:trPr>
        <w:tc>
          <w:tcPr>
            <w:tcW w:w="0" w:type="auto"/>
            <w:noWrap w:val="0"/>
            <w:vAlign w:val="center"/>
          </w:tcPr>
          <w:p w14:paraId="20F808BF">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 1、皮肤接触:脱去污染的衣物，用软布去除沾染农药，立即用大量清水和肥皂冲洗。2、眼睛溅入:立即用流动清水冲洗不少于15分钟。3、吸入:立即离开施药现场,转移到空气清新处。4、误食:立即停止服用,用清水充分漱口后,立即携带农药标签到医院就诊。 </w:t>
            </w:r>
          </w:p>
        </w:tc>
      </w:tr>
      <w:tr w14:paraId="1BFDE09A">
        <w:tblPrEx>
          <w:tblCellMar>
            <w:top w:w="0" w:type="dxa"/>
            <w:left w:w="0" w:type="dxa"/>
            <w:bottom w:w="0" w:type="dxa"/>
            <w:right w:w="0" w:type="dxa"/>
          </w:tblCellMar>
        </w:tblPrEx>
        <w:trPr>
          <w:wBefore w:w="0" w:type="auto"/>
          <w:tblCellSpacing w:w="0" w:type="dxa"/>
        </w:trPr>
        <w:tc>
          <w:tcPr>
            <w:tcW w:w="0" w:type="auto"/>
            <w:noWrap w:val="0"/>
            <w:vAlign w:val="center"/>
          </w:tcPr>
          <w:p w14:paraId="1CB2E0C5">
            <w:r>
              <w:rPr>
                <w:rStyle w:val="10"/>
                <w:rFonts w:hint="eastAsia"/>
              </w:rPr>
              <w:t>储存和运输方法：</w:t>
            </w:r>
            <w:r>
              <w:rPr>
                <w:rFonts w:hint="eastAsia"/>
              </w:rPr>
              <w:br w:type="textWrapping"/>
            </w:r>
            <w:r>
              <w:rPr>
                <w:rStyle w:val="11"/>
                <w:rFonts w:hint="eastAsia"/>
              </w:rPr>
              <w:t xml:space="preserve">本品应贮存在通风、干燥的库房中，贮运时，严防潮湿和日晒，不得与食物、种子、饲料混放，避免与皮肤、眼睛接触，防止由口、鼻吸入。 </w:t>
            </w:r>
          </w:p>
        </w:tc>
      </w:tr>
      <w:tr w14:paraId="57CE98DA">
        <w:tblPrEx>
          <w:tblCellMar>
            <w:top w:w="0" w:type="dxa"/>
            <w:left w:w="0" w:type="dxa"/>
            <w:bottom w:w="0" w:type="dxa"/>
            <w:right w:w="0" w:type="dxa"/>
          </w:tblCellMar>
        </w:tblPrEx>
        <w:trPr>
          <w:wBefore w:w="0" w:type="auto"/>
          <w:tblCellSpacing w:w="0" w:type="dxa"/>
        </w:trPr>
        <w:tc>
          <w:tcPr>
            <w:tcW w:w="0" w:type="auto"/>
            <w:noWrap w:val="0"/>
            <w:vAlign w:val="center"/>
          </w:tcPr>
          <w:p w14:paraId="1A1329B0">
            <w:r>
              <w:rPr>
                <w:rStyle w:val="10"/>
                <w:rFonts w:hint="eastAsia"/>
              </w:rPr>
              <w:t>质量保证期：</w:t>
            </w:r>
            <w:r>
              <w:rPr>
                <w:rStyle w:val="11"/>
                <w:rFonts w:hint="eastAsia"/>
              </w:rPr>
              <w:t>2年</w:t>
            </w:r>
          </w:p>
        </w:tc>
      </w:tr>
      <w:tr w14:paraId="638E311B">
        <w:tblPrEx>
          <w:tblCellMar>
            <w:top w:w="0" w:type="dxa"/>
            <w:left w:w="0" w:type="dxa"/>
            <w:bottom w:w="0" w:type="dxa"/>
            <w:right w:w="0" w:type="dxa"/>
          </w:tblCellMar>
        </w:tblPrEx>
        <w:trPr>
          <w:wBefore w:w="0" w:type="auto"/>
          <w:tblCellSpacing w:w="0" w:type="dxa"/>
        </w:trPr>
        <w:tc>
          <w:tcPr>
            <w:tcW w:w="0" w:type="auto"/>
            <w:noWrap w:val="0"/>
            <w:vAlign w:val="center"/>
          </w:tcPr>
          <w:p w14:paraId="5A824CAF">
            <w:r>
              <w:rPr>
                <w:rStyle w:val="10"/>
                <w:rFonts w:hint="eastAsia"/>
              </w:rPr>
              <w:t>备注：</w:t>
            </w:r>
          </w:p>
        </w:tc>
      </w:tr>
    </w:tbl>
    <w:p w14:paraId="6469E84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6FF84C">
        <w:tblPrEx>
          <w:tblCellMar>
            <w:top w:w="0" w:type="dxa"/>
            <w:left w:w="0" w:type="dxa"/>
            <w:bottom w:w="0" w:type="dxa"/>
            <w:right w:w="0" w:type="dxa"/>
          </w:tblCellMar>
        </w:tblPrEx>
        <w:trPr>
          <w:wBefore w:w="0" w:type="auto"/>
          <w:tblCellSpacing w:w="0" w:type="dxa"/>
        </w:trPr>
        <w:tc>
          <w:tcPr>
            <w:tcW w:w="0" w:type="auto"/>
            <w:noWrap w:val="0"/>
            <w:vAlign w:val="center"/>
          </w:tcPr>
          <w:p w14:paraId="43ACB7B1">
            <w:r>
              <w:rPr>
                <w:rStyle w:val="10"/>
                <w:rFonts w:hint="eastAsia"/>
              </w:rPr>
              <w:t>登记证号：</w:t>
            </w:r>
            <w:r>
              <w:rPr>
                <w:rFonts w:hint="eastAsia"/>
              </w:rPr>
              <w:t>PD20211730</w:t>
            </w:r>
          </w:p>
        </w:tc>
      </w:tr>
      <w:tr w14:paraId="10288682">
        <w:tblPrEx>
          <w:tblCellMar>
            <w:top w:w="0" w:type="dxa"/>
            <w:left w:w="0" w:type="dxa"/>
            <w:bottom w:w="0" w:type="dxa"/>
            <w:right w:w="0" w:type="dxa"/>
          </w:tblCellMar>
        </w:tblPrEx>
        <w:trPr>
          <w:wBefore w:w="0" w:type="auto"/>
          <w:tblCellSpacing w:w="0" w:type="dxa"/>
        </w:trPr>
        <w:tc>
          <w:tcPr>
            <w:tcW w:w="0" w:type="auto"/>
            <w:noWrap w:val="0"/>
            <w:vAlign w:val="center"/>
          </w:tcPr>
          <w:p w14:paraId="6300E9F0">
            <w:r>
              <w:rPr>
                <w:rStyle w:val="10"/>
                <w:rFonts w:hint="eastAsia"/>
              </w:rPr>
              <w:t>登记证持有人：</w:t>
            </w:r>
            <w:r>
              <w:rPr>
                <w:rFonts w:hint="eastAsia"/>
              </w:rPr>
              <w:t>广东立威化工有限公司</w:t>
            </w:r>
          </w:p>
        </w:tc>
      </w:tr>
      <w:tr w14:paraId="5EDD630C">
        <w:tblPrEx>
          <w:tblCellMar>
            <w:top w:w="0" w:type="dxa"/>
            <w:left w:w="0" w:type="dxa"/>
            <w:bottom w:w="0" w:type="dxa"/>
            <w:right w:w="0" w:type="dxa"/>
          </w:tblCellMar>
        </w:tblPrEx>
        <w:trPr>
          <w:wBefore w:w="0" w:type="auto"/>
          <w:tblCellSpacing w:w="0" w:type="dxa"/>
        </w:trPr>
        <w:tc>
          <w:tcPr>
            <w:tcW w:w="0" w:type="auto"/>
            <w:noWrap w:val="0"/>
            <w:vAlign w:val="center"/>
          </w:tcPr>
          <w:p w14:paraId="290845DB">
            <w:r>
              <w:rPr>
                <w:rStyle w:val="10"/>
                <w:rFonts w:hint="eastAsia"/>
              </w:rPr>
              <w:t>农药名称：</w:t>
            </w:r>
            <w:r>
              <w:rPr>
                <w:rFonts w:hint="eastAsia"/>
              </w:rPr>
              <w:t>噻虫胺·氟氯氰菊酯</w:t>
            </w:r>
          </w:p>
        </w:tc>
      </w:tr>
      <w:tr w14:paraId="4644F64A">
        <w:tblPrEx>
          <w:tblCellMar>
            <w:top w:w="0" w:type="dxa"/>
            <w:left w:w="0" w:type="dxa"/>
            <w:bottom w:w="0" w:type="dxa"/>
            <w:right w:w="0" w:type="dxa"/>
          </w:tblCellMar>
        </w:tblPrEx>
        <w:trPr>
          <w:wBefore w:w="0" w:type="auto"/>
          <w:tblCellSpacing w:w="0" w:type="dxa"/>
        </w:trPr>
        <w:tc>
          <w:tcPr>
            <w:tcW w:w="0" w:type="auto"/>
            <w:noWrap w:val="0"/>
            <w:vAlign w:val="center"/>
          </w:tcPr>
          <w:p w14:paraId="28CDE284">
            <w:r>
              <w:rPr>
                <w:rStyle w:val="10"/>
                <w:rFonts w:hint="eastAsia"/>
              </w:rPr>
              <w:t>剂型：</w:t>
            </w:r>
            <w:r>
              <w:rPr>
                <w:rFonts w:hint="eastAsia"/>
              </w:rPr>
              <w:t>颗粒剂</w:t>
            </w:r>
          </w:p>
        </w:tc>
      </w:tr>
      <w:tr w14:paraId="455C9EB4">
        <w:tblPrEx>
          <w:tblCellMar>
            <w:top w:w="0" w:type="dxa"/>
            <w:left w:w="0" w:type="dxa"/>
            <w:bottom w:w="0" w:type="dxa"/>
            <w:right w:w="0" w:type="dxa"/>
          </w:tblCellMar>
        </w:tblPrEx>
        <w:trPr>
          <w:wBefore w:w="0" w:type="auto"/>
          <w:tblCellSpacing w:w="0" w:type="dxa"/>
        </w:trPr>
        <w:tc>
          <w:tcPr>
            <w:tcW w:w="0" w:type="auto"/>
            <w:noWrap w:val="0"/>
            <w:vAlign w:val="center"/>
          </w:tcPr>
          <w:p w14:paraId="19C713E8">
            <w:r>
              <w:rPr>
                <w:rStyle w:val="10"/>
                <w:rFonts w:hint="eastAsia"/>
              </w:rPr>
              <w:t>毒性及其标识：</w:t>
            </w:r>
            <w:r>
              <w:rPr>
                <w:rFonts w:hint="eastAsia"/>
              </w:rPr>
              <w:t xml:space="preserve"> 微毒 </w:t>
            </w:r>
          </w:p>
        </w:tc>
      </w:tr>
      <w:tr w14:paraId="7708AFAB">
        <w:tblPrEx>
          <w:tblCellMar>
            <w:top w:w="0" w:type="dxa"/>
            <w:left w:w="0" w:type="dxa"/>
            <w:bottom w:w="0" w:type="dxa"/>
            <w:right w:w="0" w:type="dxa"/>
          </w:tblCellMar>
        </w:tblPrEx>
        <w:trPr>
          <w:wBefore w:w="0" w:type="auto"/>
          <w:tblCellSpacing w:w="0" w:type="dxa"/>
        </w:trPr>
        <w:tc>
          <w:tcPr>
            <w:tcW w:w="0" w:type="auto"/>
            <w:noWrap w:val="0"/>
            <w:vAlign w:val="center"/>
          </w:tcPr>
          <w:p w14:paraId="50A04CAD">
            <w:r>
              <w:rPr>
                <w:rStyle w:val="10"/>
                <w:rFonts w:hint="eastAsia"/>
              </w:rPr>
              <w:t>总有效成分含量：</w:t>
            </w:r>
            <w:r>
              <w:rPr>
                <w:rFonts w:hint="eastAsia"/>
              </w:rPr>
              <w:t>2%</w:t>
            </w:r>
          </w:p>
        </w:tc>
      </w:tr>
      <w:tr w14:paraId="12DF8341">
        <w:tblPrEx>
          <w:tblCellMar>
            <w:top w:w="0" w:type="dxa"/>
            <w:left w:w="0" w:type="dxa"/>
            <w:bottom w:w="0" w:type="dxa"/>
            <w:right w:w="0" w:type="dxa"/>
          </w:tblCellMar>
        </w:tblPrEx>
        <w:trPr>
          <w:wBefore w:w="0" w:type="auto"/>
          <w:tblCellSpacing w:w="0" w:type="dxa"/>
        </w:trPr>
        <w:tc>
          <w:tcPr>
            <w:tcW w:w="0" w:type="auto"/>
            <w:noWrap w:val="0"/>
            <w:vAlign w:val="center"/>
          </w:tcPr>
          <w:p w14:paraId="511C6DFB">
            <w:r>
              <w:rPr>
                <w:rFonts w:hint="eastAsia"/>
              </w:rPr>
              <w:t xml:space="preserve">有效成分及其含量： </w:t>
            </w:r>
          </w:p>
          <w:p w14:paraId="7017FEE1">
            <w:r>
              <w:rPr>
                <w:rFonts w:hint="eastAsia"/>
              </w:rPr>
              <w:t xml:space="preserve">    氟氯氰菊酯0.5%    噻虫胺1.5%    </w:t>
            </w:r>
          </w:p>
        </w:tc>
      </w:tr>
      <w:tr w14:paraId="71E77717">
        <w:tblPrEx>
          <w:tblCellMar>
            <w:top w:w="0" w:type="dxa"/>
            <w:left w:w="0" w:type="dxa"/>
            <w:bottom w:w="0" w:type="dxa"/>
            <w:right w:w="0" w:type="dxa"/>
          </w:tblCellMar>
        </w:tblPrEx>
        <w:trPr>
          <w:wBefore w:w="0" w:type="auto"/>
          <w:tblCellSpacing w:w="0" w:type="dxa"/>
        </w:trPr>
        <w:tc>
          <w:tcPr>
            <w:tcW w:w="0" w:type="auto"/>
            <w:noWrap w:val="0"/>
            <w:vAlign w:val="center"/>
          </w:tcPr>
          <w:p w14:paraId="41FB38E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CEEEA7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F8D872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77848F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227ED5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307354E">
                  <w:r>
                    <w:rPr>
                      <w:rStyle w:val="11"/>
                      <w:rFonts w:hint="eastAsia"/>
                    </w:rPr>
                    <w:t>施用方式</w:t>
                  </w:r>
                </w:p>
              </w:tc>
            </w:tr>
            <w:tr w14:paraId="493ADA3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40771BC">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3A7768">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06A485">
                  <w:r>
                    <w:rPr>
                      <w:rStyle w:val="11"/>
                      <w:rFonts w:hint="eastAsia"/>
                    </w:rPr>
                    <w:t>1200-1500克/亩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D57CBF">
                  <w:r>
                    <w:rPr>
                      <w:rStyle w:val="11"/>
                      <w:rFonts w:hint="eastAsia"/>
                    </w:rPr>
                    <w:t>沟施</w:t>
                  </w:r>
                </w:p>
              </w:tc>
            </w:tr>
          </w:tbl>
          <w:p w14:paraId="2CDF4A0F">
            <w:pPr>
              <w:rPr>
                <w:rFonts w:ascii="Times New Roman" w:hAnsi="Times New Roman" w:cs="Times New Roman"/>
                <w:sz w:val="20"/>
                <w:szCs w:val="20"/>
              </w:rPr>
            </w:pPr>
          </w:p>
        </w:tc>
      </w:tr>
      <w:tr w14:paraId="27C6E098">
        <w:tblPrEx>
          <w:tblCellMar>
            <w:top w:w="0" w:type="dxa"/>
            <w:left w:w="0" w:type="dxa"/>
            <w:bottom w:w="0" w:type="dxa"/>
            <w:right w:w="0" w:type="dxa"/>
          </w:tblCellMar>
        </w:tblPrEx>
        <w:trPr>
          <w:wBefore w:w="0" w:type="auto"/>
          <w:tblCellSpacing w:w="0" w:type="dxa"/>
        </w:trPr>
        <w:tc>
          <w:tcPr>
            <w:tcW w:w="0" w:type="auto"/>
            <w:noWrap w:val="0"/>
            <w:vAlign w:val="center"/>
          </w:tcPr>
          <w:p w14:paraId="29EA8DEF">
            <w:r>
              <w:rPr>
                <w:rStyle w:val="10"/>
                <w:rFonts w:hint="eastAsia"/>
              </w:rPr>
              <w:t>使用技术要求:</w:t>
            </w:r>
            <w:r>
              <w:rPr>
                <w:rFonts w:hint="eastAsia"/>
              </w:rPr>
              <w:br w:type="textWrapping"/>
            </w:r>
            <w:r>
              <w:rPr>
                <w:rStyle w:val="11"/>
                <w:rFonts w:hint="eastAsia"/>
              </w:rPr>
              <w:t>注:(1)公顷用制剂量=亩用制剂量×15 1.本品于马铃薯播种前，将药剂均匀撒施于种植沟内，施药后覆土。 2. 每季最多使用1次，安全间隔期为马铃薯收获期。 3. 大风天或预计1小时内有大雨，请勿施药。</w:t>
            </w:r>
          </w:p>
        </w:tc>
      </w:tr>
      <w:tr w14:paraId="76429025">
        <w:tblPrEx>
          <w:tblCellMar>
            <w:top w:w="0" w:type="dxa"/>
            <w:left w:w="0" w:type="dxa"/>
            <w:bottom w:w="0" w:type="dxa"/>
            <w:right w:w="0" w:type="dxa"/>
          </w:tblCellMar>
        </w:tblPrEx>
        <w:trPr>
          <w:wBefore w:w="0" w:type="auto"/>
          <w:tblCellSpacing w:w="0" w:type="dxa"/>
        </w:trPr>
        <w:tc>
          <w:tcPr>
            <w:tcW w:w="0" w:type="auto"/>
            <w:noWrap w:val="0"/>
            <w:vAlign w:val="center"/>
          </w:tcPr>
          <w:p w14:paraId="4C876F9F">
            <w:r>
              <w:rPr>
                <w:rStyle w:val="10"/>
                <w:rFonts w:hint="eastAsia"/>
              </w:rPr>
              <w:t>产品性能:</w:t>
            </w:r>
            <w:r>
              <w:rPr>
                <w:rFonts w:hint="eastAsia"/>
              </w:rPr>
              <w:br w:type="textWrapping"/>
            </w:r>
            <w:r>
              <w:rPr>
                <w:rStyle w:val="11"/>
                <w:rFonts w:hint="eastAsia"/>
              </w:rPr>
              <w:t>本品是由两种不同作用机理的有效成分噻虫胺和氟氯氰菊酯复配而成的杀虫颗粒剂，二者混用具有内吸、触杀和胃毒作用，可有效防治马铃薯蛴螬。</w:t>
            </w:r>
          </w:p>
        </w:tc>
      </w:tr>
      <w:tr w14:paraId="6042F43E">
        <w:tblPrEx>
          <w:tblCellMar>
            <w:top w:w="0" w:type="dxa"/>
            <w:left w:w="0" w:type="dxa"/>
            <w:bottom w:w="0" w:type="dxa"/>
            <w:right w:w="0" w:type="dxa"/>
          </w:tblCellMar>
        </w:tblPrEx>
        <w:trPr>
          <w:wBefore w:w="0" w:type="auto"/>
          <w:tblCellSpacing w:w="0" w:type="dxa"/>
        </w:trPr>
        <w:tc>
          <w:tcPr>
            <w:tcW w:w="0" w:type="auto"/>
            <w:noWrap w:val="0"/>
            <w:vAlign w:val="center"/>
          </w:tcPr>
          <w:p w14:paraId="7D1D12A1">
            <w:r>
              <w:rPr>
                <w:rStyle w:val="10"/>
                <w:rFonts w:hint="eastAsia"/>
              </w:rPr>
              <w:t>注意事项：</w:t>
            </w:r>
            <w:r>
              <w:rPr>
                <w:rFonts w:hint="eastAsia"/>
              </w:rPr>
              <w:br w:type="textWrapping"/>
            </w:r>
            <w:r>
              <w:rPr>
                <w:rStyle w:val="11"/>
                <w:rFonts w:hint="eastAsia"/>
              </w:rPr>
              <w:t>1. 施药时应注意个人卫生，穿好工作服，戴好口罩和手套，施药期间不可进食，饮水和吸烟，施药后及时清洗皮肤裸露部分。2. 本品对蜜蜂有毒，避免在蜜源作物开花期使用，使用后应密切关注对附近蜂群的影响。3. 鸟类保护期附近禁用，施药后立即覆土，防止误食。4. 蚕室和桑园附近禁用，赤眼蜂等天敌放飞区禁用。5. 远离水产养殖区、河塘等水体施药，禁止在河塘等水体中清洗施药器具。6. 用过的容器应妥善处理，不可做他用，也不可随意丢弃。7. 禁止儿童、孕妇及哺乳期妇女接触本品。</w:t>
            </w:r>
          </w:p>
        </w:tc>
      </w:tr>
      <w:tr w14:paraId="0F809E31">
        <w:tblPrEx>
          <w:tblCellMar>
            <w:top w:w="0" w:type="dxa"/>
            <w:left w:w="0" w:type="dxa"/>
            <w:bottom w:w="0" w:type="dxa"/>
            <w:right w:w="0" w:type="dxa"/>
          </w:tblCellMar>
        </w:tblPrEx>
        <w:trPr>
          <w:wBefore w:w="0" w:type="auto"/>
          <w:tblCellSpacing w:w="0" w:type="dxa"/>
        </w:trPr>
        <w:tc>
          <w:tcPr>
            <w:tcW w:w="0" w:type="auto"/>
            <w:noWrap w:val="0"/>
            <w:vAlign w:val="center"/>
          </w:tcPr>
          <w:p w14:paraId="13762B9A">
            <w:r>
              <w:rPr>
                <w:rStyle w:val="10"/>
                <w:rFonts w:hint="eastAsia"/>
              </w:rPr>
              <w:t>中毒急救措施：</w:t>
            </w:r>
            <w:r>
              <w:rPr>
                <w:rFonts w:hint="eastAsia"/>
              </w:rPr>
              <w:br w:type="textWrapping"/>
            </w:r>
            <w:r>
              <w:rPr>
                <w:rStyle w:val="11"/>
                <w:rFonts w:hint="eastAsia"/>
              </w:rPr>
              <w:t>用药时如果感觉不适，立即停止工作，采取急救措施，并携此标签送医就诊。中毒急救：皮肤接触：立即脱去被污染的衣物，用肥皂和大量清水冲洗皮肤暴露部位。必要时请医生诊治。眼睛溅入：立即翻开眼睑，用清水冲洗至少15分钟，再请医生诊治。吸入：立即将吸入者转移到空气清新处。如停止呼吸，需进行人工呼吸。误服：请用清水充分漱口后，立即携带标签，送医就诊，误服后未经医生允许，切勿催吐。解毒剂：无特效解毒剂，可按菊酯类农药中毒解救方法对症治疗。大量吞服时可洗胃，不能催吐。</w:t>
            </w:r>
          </w:p>
        </w:tc>
      </w:tr>
      <w:tr w14:paraId="09E21546">
        <w:tblPrEx>
          <w:tblCellMar>
            <w:top w:w="0" w:type="dxa"/>
            <w:left w:w="0" w:type="dxa"/>
            <w:bottom w:w="0" w:type="dxa"/>
            <w:right w:w="0" w:type="dxa"/>
          </w:tblCellMar>
        </w:tblPrEx>
        <w:trPr>
          <w:wBefore w:w="0" w:type="auto"/>
          <w:tblCellSpacing w:w="0" w:type="dxa"/>
        </w:trPr>
        <w:tc>
          <w:tcPr>
            <w:tcW w:w="0" w:type="auto"/>
            <w:noWrap w:val="0"/>
            <w:vAlign w:val="center"/>
          </w:tcPr>
          <w:p w14:paraId="47A7A008">
            <w:r>
              <w:rPr>
                <w:rStyle w:val="10"/>
                <w:rFonts w:hint="eastAsia"/>
              </w:rPr>
              <w:t>储存和运输方法：</w:t>
            </w:r>
            <w:r>
              <w:rPr>
                <w:rFonts w:hint="eastAsia"/>
              </w:rPr>
              <w:br w:type="textWrapping"/>
            </w:r>
            <w:r>
              <w:rPr>
                <w:rStyle w:val="11"/>
                <w:rFonts w:hint="eastAsia"/>
              </w:rPr>
              <w:t>1.本品应贮存在阴凉、干燥、通风、防雨处，远离火源或热源；2.置于儿童、无关人员及动物接触不到的地方，并加锁；3.不得与食物、饮料、种子、饲料等物品同贮同运，运输时要防潮防晒；4.装卸时，注意检查包装是否密封完整。</w:t>
            </w:r>
          </w:p>
        </w:tc>
      </w:tr>
      <w:tr w14:paraId="7E7AD0FB">
        <w:tblPrEx>
          <w:tblCellMar>
            <w:top w:w="0" w:type="dxa"/>
            <w:left w:w="0" w:type="dxa"/>
            <w:bottom w:w="0" w:type="dxa"/>
            <w:right w:w="0" w:type="dxa"/>
          </w:tblCellMar>
        </w:tblPrEx>
        <w:trPr>
          <w:wBefore w:w="0" w:type="auto"/>
          <w:tblCellSpacing w:w="0" w:type="dxa"/>
        </w:trPr>
        <w:tc>
          <w:tcPr>
            <w:tcW w:w="0" w:type="auto"/>
            <w:noWrap w:val="0"/>
            <w:vAlign w:val="center"/>
          </w:tcPr>
          <w:p w14:paraId="39AF62F0">
            <w:r>
              <w:rPr>
                <w:rStyle w:val="10"/>
                <w:rFonts w:hint="eastAsia"/>
              </w:rPr>
              <w:t>质量保证期：</w:t>
            </w:r>
            <w:r>
              <w:rPr>
                <w:rStyle w:val="11"/>
                <w:rFonts w:hint="eastAsia"/>
              </w:rPr>
              <w:t>2年</w:t>
            </w:r>
          </w:p>
        </w:tc>
      </w:tr>
      <w:tr w14:paraId="04D5191B">
        <w:tblPrEx>
          <w:tblCellMar>
            <w:top w:w="0" w:type="dxa"/>
            <w:left w:w="0" w:type="dxa"/>
            <w:bottom w:w="0" w:type="dxa"/>
            <w:right w:w="0" w:type="dxa"/>
          </w:tblCellMar>
        </w:tblPrEx>
        <w:trPr>
          <w:wBefore w:w="0" w:type="auto"/>
          <w:tblCellSpacing w:w="0" w:type="dxa"/>
        </w:trPr>
        <w:tc>
          <w:tcPr>
            <w:tcW w:w="0" w:type="auto"/>
            <w:noWrap w:val="0"/>
            <w:vAlign w:val="center"/>
          </w:tcPr>
          <w:p w14:paraId="090C4CAD">
            <w:r>
              <w:rPr>
                <w:rStyle w:val="10"/>
                <w:rFonts w:hint="eastAsia"/>
              </w:rPr>
              <w:t>备注：</w:t>
            </w:r>
          </w:p>
        </w:tc>
      </w:tr>
    </w:tbl>
    <w:p w14:paraId="10D9D53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9EE063D">
        <w:tblPrEx>
          <w:tblCellMar>
            <w:top w:w="0" w:type="dxa"/>
            <w:left w:w="0" w:type="dxa"/>
            <w:bottom w:w="0" w:type="dxa"/>
            <w:right w:w="0" w:type="dxa"/>
          </w:tblCellMar>
        </w:tblPrEx>
        <w:trPr>
          <w:wBefore w:w="0" w:type="auto"/>
          <w:tblCellSpacing w:w="0" w:type="dxa"/>
        </w:trPr>
        <w:tc>
          <w:tcPr>
            <w:tcW w:w="0" w:type="auto"/>
            <w:noWrap w:val="0"/>
            <w:vAlign w:val="center"/>
          </w:tcPr>
          <w:p w14:paraId="2B039FCA">
            <w:r>
              <w:rPr>
                <w:rStyle w:val="10"/>
                <w:rFonts w:hint="eastAsia"/>
              </w:rPr>
              <w:t>登记证号：</w:t>
            </w:r>
            <w:r>
              <w:rPr>
                <w:rFonts w:hint="eastAsia"/>
              </w:rPr>
              <w:t>PD20211725</w:t>
            </w:r>
          </w:p>
        </w:tc>
      </w:tr>
      <w:tr w14:paraId="55691589">
        <w:tblPrEx>
          <w:tblCellMar>
            <w:top w:w="0" w:type="dxa"/>
            <w:left w:w="0" w:type="dxa"/>
            <w:bottom w:w="0" w:type="dxa"/>
            <w:right w:w="0" w:type="dxa"/>
          </w:tblCellMar>
        </w:tblPrEx>
        <w:trPr>
          <w:wBefore w:w="0" w:type="auto"/>
          <w:tblCellSpacing w:w="0" w:type="dxa"/>
        </w:trPr>
        <w:tc>
          <w:tcPr>
            <w:tcW w:w="0" w:type="auto"/>
            <w:noWrap w:val="0"/>
            <w:vAlign w:val="center"/>
          </w:tcPr>
          <w:p w14:paraId="2C180758">
            <w:r>
              <w:rPr>
                <w:rStyle w:val="10"/>
                <w:rFonts w:hint="eastAsia"/>
              </w:rPr>
              <w:t>登记证持有人：</w:t>
            </w:r>
            <w:r>
              <w:rPr>
                <w:rFonts w:hint="eastAsia"/>
              </w:rPr>
              <w:t>孟州广农汇泽生物科技有限公司</w:t>
            </w:r>
          </w:p>
        </w:tc>
      </w:tr>
      <w:tr w14:paraId="405029EF">
        <w:tblPrEx>
          <w:tblCellMar>
            <w:top w:w="0" w:type="dxa"/>
            <w:left w:w="0" w:type="dxa"/>
            <w:bottom w:w="0" w:type="dxa"/>
            <w:right w:w="0" w:type="dxa"/>
          </w:tblCellMar>
        </w:tblPrEx>
        <w:trPr>
          <w:wBefore w:w="0" w:type="auto"/>
          <w:tblCellSpacing w:w="0" w:type="dxa"/>
        </w:trPr>
        <w:tc>
          <w:tcPr>
            <w:tcW w:w="0" w:type="auto"/>
            <w:noWrap w:val="0"/>
            <w:vAlign w:val="center"/>
          </w:tcPr>
          <w:p w14:paraId="2325FA8F">
            <w:r>
              <w:rPr>
                <w:rStyle w:val="10"/>
                <w:rFonts w:hint="eastAsia"/>
              </w:rPr>
              <w:t>农药名称：</w:t>
            </w:r>
            <w:r>
              <w:rPr>
                <w:rFonts w:hint="eastAsia"/>
              </w:rPr>
              <w:t>联苯·虫螨腈</w:t>
            </w:r>
          </w:p>
        </w:tc>
      </w:tr>
      <w:tr w14:paraId="2FB9B47B">
        <w:tblPrEx>
          <w:tblCellMar>
            <w:top w:w="0" w:type="dxa"/>
            <w:left w:w="0" w:type="dxa"/>
            <w:bottom w:w="0" w:type="dxa"/>
            <w:right w:w="0" w:type="dxa"/>
          </w:tblCellMar>
        </w:tblPrEx>
        <w:trPr>
          <w:wBefore w:w="0" w:type="auto"/>
          <w:tblCellSpacing w:w="0" w:type="dxa"/>
        </w:trPr>
        <w:tc>
          <w:tcPr>
            <w:tcW w:w="0" w:type="auto"/>
            <w:noWrap w:val="0"/>
            <w:vAlign w:val="center"/>
          </w:tcPr>
          <w:p w14:paraId="1989789B">
            <w:r>
              <w:rPr>
                <w:rStyle w:val="10"/>
                <w:rFonts w:hint="eastAsia"/>
              </w:rPr>
              <w:t>剂型：</w:t>
            </w:r>
            <w:r>
              <w:rPr>
                <w:rFonts w:hint="eastAsia"/>
              </w:rPr>
              <w:t>悬浮剂</w:t>
            </w:r>
          </w:p>
        </w:tc>
      </w:tr>
      <w:tr w14:paraId="15D71427">
        <w:tblPrEx>
          <w:tblCellMar>
            <w:top w:w="0" w:type="dxa"/>
            <w:left w:w="0" w:type="dxa"/>
            <w:bottom w:w="0" w:type="dxa"/>
            <w:right w:w="0" w:type="dxa"/>
          </w:tblCellMar>
        </w:tblPrEx>
        <w:trPr>
          <w:wBefore w:w="0" w:type="auto"/>
          <w:tblCellSpacing w:w="0" w:type="dxa"/>
        </w:trPr>
        <w:tc>
          <w:tcPr>
            <w:tcW w:w="0" w:type="auto"/>
            <w:noWrap w:val="0"/>
            <w:vAlign w:val="center"/>
          </w:tcPr>
          <w:p w14:paraId="4E57398A">
            <w:r>
              <w:rPr>
                <w:rStyle w:val="10"/>
                <w:rFonts w:hint="eastAsia"/>
              </w:rPr>
              <w:t>毒性及其标识：</w:t>
            </w:r>
            <w:r>
              <w:rPr>
                <w:rFonts w:hint="eastAsia"/>
              </w:rPr>
              <w:t xml:space="preserve"> </w:t>
            </w:r>
            <w:r>
              <w:rPr>
                <w:lang/>
              </w:rPr>
              <w:drawing>
                <wp:inline distT="0" distB="0" distL="114300" distR="114300">
                  <wp:extent cx="476250" cy="323850"/>
                  <wp:effectExtent l="0" t="0" r="0" b="0"/>
                  <wp:docPr id="441" name="图片 44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558C025">
        <w:tblPrEx>
          <w:tblCellMar>
            <w:top w:w="0" w:type="dxa"/>
            <w:left w:w="0" w:type="dxa"/>
            <w:bottom w:w="0" w:type="dxa"/>
            <w:right w:w="0" w:type="dxa"/>
          </w:tblCellMar>
        </w:tblPrEx>
        <w:trPr>
          <w:wBefore w:w="0" w:type="auto"/>
          <w:tblCellSpacing w:w="0" w:type="dxa"/>
        </w:trPr>
        <w:tc>
          <w:tcPr>
            <w:tcW w:w="0" w:type="auto"/>
            <w:noWrap w:val="0"/>
            <w:vAlign w:val="center"/>
          </w:tcPr>
          <w:p w14:paraId="6720ED0C">
            <w:r>
              <w:rPr>
                <w:rStyle w:val="10"/>
                <w:rFonts w:hint="eastAsia"/>
              </w:rPr>
              <w:t>总有效成分含量：</w:t>
            </w:r>
            <w:r>
              <w:rPr>
                <w:rFonts w:hint="eastAsia"/>
              </w:rPr>
              <w:t>20%</w:t>
            </w:r>
          </w:p>
        </w:tc>
      </w:tr>
      <w:tr w14:paraId="1DA55F21">
        <w:tblPrEx>
          <w:tblCellMar>
            <w:top w:w="0" w:type="dxa"/>
            <w:left w:w="0" w:type="dxa"/>
            <w:bottom w:w="0" w:type="dxa"/>
            <w:right w:w="0" w:type="dxa"/>
          </w:tblCellMar>
        </w:tblPrEx>
        <w:trPr>
          <w:wBefore w:w="0" w:type="auto"/>
          <w:tblCellSpacing w:w="0" w:type="dxa"/>
        </w:trPr>
        <w:tc>
          <w:tcPr>
            <w:tcW w:w="0" w:type="auto"/>
            <w:noWrap w:val="0"/>
            <w:vAlign w:val="center"/>
          </w:tcPr>
          <w:p w14:paraId="09A2120B">
            <w:r>
              <w:rPr>
                <w:rFonts w:hint="eastAsia"/>
              </w:rPr>
              <w:t xml:space="preserve">有效成分及其含量： </w:t>
            </w:r>
          </w:p>
          <w:p w14:paraId="4BA38C52">
            <w:r>
              <w:rPr>
                <w:rFonts w:hint="eastAsia"/>
              </w:rPr>
              <w:t xml:space="preserve">    联苯菊酯6%    虫螨腈14%    </w:t>
            </w:r>
          </w:p>
        </w:tc>
      </w:tr>
      <w:tr w14:paraId="69E41DD4">
        <w:tblPrEx>
          <w:tblCellMar>
            <w:top w:w="0" w:type="dxa"/>
            <w:left w:w="0" w:type="dxa"/>
            <w:bottom w:w="0" w:type="dxa"/>
            <w:right w:w="0" w:type="dxa"/>
          </w:tblCellMar>
        </w:tblPrEx>
        <w:trPr>
          <w:wBefore w:w="0" w:type="auto"/>
          <w:tblCellSpacing w:w="0" w:type="dxa"/>
        </w:trPr>
        <w:tc>
          <w:tcPr>
            <w:tcW w:w="0" w:type="auto"/>
            <w:noWrap w:val="0"/>
            <w:vAlign w:val="center"/>
          </w:tcPr>
          <w:p w14:paraId="2D0DB30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9B70C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7D8B81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C376BF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26F592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357B5C">
                  <w:r>
                    <w:rPr>
                      <w:rStyle w:val="11"/>
                      <w:rFonts w:hint="eastAsia"/>
                    </w:rPr>
                    <w:t>施用方式</w:t>
                  </w:r>
                </w:p>
              </w:tc>
            </w:tr>
            <w:tr w14:paraId="1329FA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5C6ED1">
                  <w:r>
                    <w:rPr>
                      <w:rStyle w:val="11"/>
                      <w:rFonts w:hint="eastAsia"/>
                    </w:rPr>
                    <w:t>茄子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B608BD">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79F5CB">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1BBE3C">
                  <w:r>
                    <w:rPr>
                      <w:rStyle w:val="11"/>
                      <w:rFonts w:hint="eastAsia"/>
                    </w:rPr>
                    <w:t>喷雾</w:t>
                  </w:r>
                </w:p>
              </w:tc>
            </w:tr>
          </w:tbl>
          <w:p w14:paraId="47F87FB9">
            <w:pPr>
              <w:rPr>
                <w:rFonts w:ascii="Times New Roman" w:hAnsi="Times New Roman" w:cs="Times New Roman"/>
                <w:sz w:val="20"/>
                <w:szCs w:val="20"/>
              </w:rPr>
            </w:pPr>
          </w:p>
        </w:tc>
      </w:tr>
      <w:tr w14:paraId="64CA4E90">
        <w:tblPrEx>
          <w:tblCellMar>
            <w:top w:w="0" w:type="dxa"/>
            <w:left w:w="0" w:type="dxa"/>
            <w:bottom w:w="0" w:type="dxa"/>
            <w:right w:w="0" w:type="dxa"/>
          </w:tblCellMar>
        </w:tblPrEx>
        <w:trPr>
          <w:wBefore w:w="0" w:type="auto"/>
          <w:tblCellSpacing w:w="0" w:type="dxa"/>
        </w:trPr>
        <w:tc>
          <w:tcPr>
            <w:tcW w:w="0" w:type="auto"/>
            <w:noWrap w:val="0"/>
            <w:vAlign w:val="center"/>
          </w:tcPr>
          <w:p w14:paraId="2B1AAD4C">
            <w:r>
              <w:rPr>
                <w:rStyle w:val="10"/>
                <w:rFonts w:hint="eastAsia"/>
              </w:rPr>
              <w:t>使用技术要求:</w:t>
            </w:r>
            <w:r>
              <w:rPr>
                <w:rFonts w:hint="eastAsia"/>
              </w:rPr>
              <w:br w:type="textWrapping"/>
            </w:r>
            <w:r>
              <w:rPr>
                <w:rStyle w:val="11"/>
                <w:rFonts w:hint="eastAsia"/>
              </w:rPr>
              <w:t>1.本品应于茄子蓟马发生初期进行喷雾施药1次。注意喷雾均匀、周到，以确保药效。2. 本品在茄子上使用的安全间隔期为7天，每季作物最多使用1次。3.大风天或预计1小时内降雨，请勿施药。</w:t>
            </w:r>
          </w:p>
        </w:tc>
      </w:tr>
      <w:tr w14:paraId="4F361862">
        <w:tblPrEx>
          <w:tblCellMar>
            <w:top w:w="0" w:type="dxa"/>
            <w:left w:w="0" w:type="dxa"/>
            <w:bottom w:w="0" w:type="dxa"/>
            <w:right w:w="0" w:type="dxa"/>
          </w:tblCellMar>
        </w:tblPrEx>
        <w:trPr>
          <w:wBefore w:w="0" w:type="auto"/>
          <w:tblCellSpacing w:w="0" w:type="dxa"/>
        </w:trPr>
        <w:tc>
          <w:tcPr>
            <w:tcW w:w="0" w:type="auto"/>
            <w:noWrap w:val="0"/>
            <w:vAlign w:val="center"/>
          </w:tcPr>
          <w:p w14:paraId="78FBF68D">
            <w:r>
              <w:rPr>
                <w:rStyle w:val="10"/>
                <w:rFonts w:hint="eastAsia"/>
              </w:rPr>
              <w:t>产品性能:</w:t>
            </w:r>
            <w:r>
              <w:rPr>
                <w:rFonts w:hint="eastAsia"/>
              </w:rPr>
              <w:br w:type="textWrapping"/>
            </w:r>
            <w:r>
              <w:rPr>
                <w:rStyle w:val="11"/>
                <w:rFonts w:hint="eastAsia"/>
              </w:rPr>
              <w:t xml:space="preserve">本品由联苯菊酯与虫螨腈复配而成的杀虫剂，具有触杀和胃毒作用，击倒速度快、残效期长，对茄子蓟马有较好防效。 </w:t>
            </w:r>
          </w:p>
        </w:tc>
      </w:tr>
      <w:tr w14:paraId="4AF40AD0">
        <w:tblPrEx>
          <w:tblCellMar>
            <w:top w:w="0" w:type="dxa"/>
            <w:left w:w="0" w:type="dxa"/>
            <w:bottom w:w="0" w:type="dxa"/>
            <w:right w:w="0" w:type="dxa"/>
          </w:tblCellMar>
        </w:tblPrEx>
        <w:trPr>
          <w:wBefore w:w="0" w:type="auto"/>
          <w:tblCellSpacing w:w="0" w:type="dxa"/>
        </w:trPr>
        <w:tc>
          <w:tcPr>
            <w:tcW w:w="0" w:type="auto"/>
            <w:noWrap w:val="0"/>
            <w:vAlign w:val="center"/>
          </w:tcPr>
          <w:p w14:paraId="3A9021CB">
            <w:r>
              <w:rPr>
                <w:rStyle w:val="10"/>
                <w:rFonts w:hint="eastAsia"/>
              </w:rPr>
              <w:t>注意事项：</w:t>
            </w:r>
            <w:r>
              <w:rPr>
                <w:rFonts w:hint="eastAsia"/>
              </w:rPr>
              <w:br w:type="textWrapping"/>
            </w:r>
            <w:r>
              <w:rPr>
                <w:rStyle w:val="11"/>
                <w:rFonts w:hint="eastAsia"/>
              </w:rPr>
              <w:t>1. 本品应避免与氧化剂接触，建议与其他作用机制不同的杀虫剂轮换使用，以延缓抗性产生。 2. 本品不宜与碱性物质混用。 3. 本品对眼睛有刺激性，使用时避免接触眼睛，穿戴长衣、长裤、帽子、口罩、手套等防护措施。不可吸烟、饮水、进食；施药后洗净手、脸及其他裸露部位，洗净工作服。 4. 本品对鸟、鱼等水生生物、蜜蜂、家蚕、非靶标节肢动物等有毒。施药期间对鸟类保护区附近禁用，水产养殖区、河塘等水体附近禁用，禁止在河塘等水体中清洗施药器具；养蜂场所和（周围）开花植物花期禁用，使用时应密切关注对附近蜂群的影响；蚕室和桑园附近禁用，天敌放飞区域禁用此产品，鸟类保护区附近禁用。远离生防区施药。 5. 用过的容器应妥善处理，不可作他用，也不可随意丢弃，药液及其废液不得污染各类水域、土壤等环境。 6. 孕妇及哺乳期妇女避免接触本品。</w:t>
            </w:r>
          </w:p>
        </w:tc>
      </w:tr>
      <w:tr w14:paraId="0AC4F183">
        <w:tblPrEx>
          <w:tblCellMar>
            <w:top w:w="0" w:type="dxa"/>
            <w:left w:w="0" w:type="dxa"/>
            <w:bottom w:w="0" w:type="dxa"/>
            <w:right w:w="0" w:type="dxa"/>
          </w:tblCellMar>
        </w:tblPrEx>
        <w:trPr>
          <w:wBefore w:w="0" w:type="auto"/>
          <w:tblCellSpacing w:w="0" w:type="dxa"/>
        </w:trPr>
        <w:tc>
          <w:tcPr>
            <w:tcW w:w="0" w:type="auto"/>
            <w:noWrap w:val="0"/>
            <w:vAlign w:val="center"/>
          </w:tcPr>
          <w:p w14:paraId="3CEBD512">
            <w:r>
              <w:rPr>
                <w:rStyle w:val="10"/>
                <w:rFonts w:hint="eastAsia"/>
              </w:rPr>
              <w:t>中毒急救措施：</w:t>
            </w:r>
            <w:r>
              <w:rPr>
                <w:rFonts w:hint="eastAsia"/>
              </w:rPr>
              <w:br w:type="textWrapping"/>
            </w:r>
            <w:r>
              <w:rPr>
                <w:rStyle w:val="11"/>
                <w:rFonts w:hint="eastAsia"/>
              </w:rPr>
              <w:t xml:space="preserve">中毒症状：对眼睛有刺激性。 急救措施：不慎吸入，应将病人移至空气流通处。不慎接触皮肤或溅入眼睛，应用大量清水冲洗至少15分钟，仍有不适时，请及时就医。因疏忽或误服而发生中毒现象时，禁止引吐，请速携标签就医，并依据中毒情况对症治疗。无特效解毒剂。 </w:t>
            </w:r>
          </w:p>
        </w:tc>
      </w:tr>
      <w:tr w14:paraId="1E73FF94">
        <w:tblPrEx>
          <w:tblCellMar>
            <w:top w:w="0" w:type="dxa"/>
            <w:left w:w="0" w:type="dxa"/>
            <w:bottom w:w="0" w:type="dxa"/>
            <w:right w:w="0" w:type="dxa"/>
          </w:tblCellMar>
        </w:tblPrEx>
        <w:trPr>
          <w:wBefore w:w="0" w:type="auto"/>
          <w:tblCellSpacing w:w="0" w:type="dxa"/>
        </w:trPr>
        <w:tc>
          <w:tcPr>
            <w:tcW w:w="0" w:type="auto"/>
            <w:noWrap w:val="0"/>
            <w:vAlign w:val="center"/>
          </w:tcPr>
          <w:p w14:paraId="2018FD8C">
            <w:r>
              <w:rPr>
                <w:rStyle w:val="10"/>
                <w:rFonts w:hint="eastAsia"/>
              </w:rPr>
              <w:t>储存和运输方法：</w:t>
            </w:r>
            <w:r>
              <w:rPr>
                <w:rFonts w:hint="eastAsia"/>
              </w:rPr>
              <w:br w:type="textWrapping"/>
            </w:r>
            <w:r>
              <w:rPr>
                <w:rStyle w:val="11"/>
                <w:rFonts w:hint="eastAsia"/>
              </w:rPr>
              <w:t xml:space="preserve">本品应贮存于干燥、阴凉、通风、防雨处；远离火源或热源；存放于儿童、无关人员触及不到之处，并加锁；不能与食品、饮料、粮食、饲料等混合储运；运输时应注意防水防潮，避免雨淋；搬运时轻搬轻放，不可倒置。 </w:t>
            </w:r>
          </w:p>
        </w:tc>
      </w:tr>
      <w:tr w14:paraId="6F374559">
        <w:tblPrEx>
          <w:tblCellMar>
            <w:top w:w="0" w:type="dxa"/>
            <w:left w:w="0" w:type="dxa"/>
            <w:bottom w:w="0" w:type="dxa"/>
            <w:right w:w="0" w:type="dxa"/>
          </w:tblCellMar>
        </w:tblPrEx>
        <w:trPr>
          <w:wBefore w:w="0" w:type="auto"/>
          <w:tblCellSpacing w:w="0" w:type="dxa"/>
        </w:trPr>
        <w:tc>
          <w:tcPr>
            <w:tcW w:w="0" w:type="auto"/>
            <w:noWrap w:val="0"/>
            <w:vAlign w:val="center"/>
          </w:tcPr>
          <w:p w14:paraId="16084DC9">
            <w:r>
              <w:rPr>
                <w:rStyle w:val="10"/>
                <w:rFonts w:hint="eastAsia"/>
              </w:rPr>
              <w:t>质量保证期：</w:t>
            </w:r>
            <w:r>
              <w:rPr>
                <w:rStyle w:val="11"/>
                <w:rFonts w:hint="eastAsia"/>
              </w:rPr>
              <w:t>2年</w:t>
            </w:r>
          </w:p>
        </w:tc>
      </w:tr>
      <w:tr w14:paraId="0408C487">
        <w:tblPrEx>
          <w:tblCellMar>
            <w:top w:w="0" w:type="dxa"/>
            <w:left w:w="0" w:type="dxa"/>
            <w:bottom w:w="0" w:type="dxa"/>
            <w:right w:w="0" w:type="dxa"/>
          </w:tblCellMar>
        </w:tblPrEx>
        <w:trPr>
          <w:wBefore w:w="0" w:type="auto"/>
          <w:tblCellSpacing w:w="0" w:type="dxa"/>
        </w:trPr>
        <w:tc>
          <w:tcPr>
            <w:tcW w:w="0" w:type="auto"/>
            <w:noWrap w:val="0"/>
            <w:vAlign w:val="center"/>
          </w:tcPr>
          <w:p w14:paraId="3C7A6912">
            <w:r>
              <w:rPr>
                <w:rStyle w:val="10"/>
                <w:rFonts w:hint="eastAsia"/>
              </w:rPr>
              <w:t>备注：</w:t>
            </w:r>
          </w:p>
        </w:tc>
      </w:tr>
    </w:tbl>
    <w:p w14:paraId="13E5F4D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8D0582F">
        <w:tblPrEx>
          <w:tblCellMar>
            <w:top w:w="0" w:type="dxa"/>
            <w:left w:w="0" w:type="dxa"/>
            <w:bottom w:w="0" w:type="dxa"/>
            <w:right w:w="0" w:type="dxa"/>
          </w:tblCellMar>
        </w:tblPrEx>
        <w:trPr>
          <w:wBefore w:w="0" w:type="auto"/>
          <w:tblCellSpacing w:w="0" w:type="dxa"/>
        </w:trPr>
        <w:tc>
          <w:tcPr>
            <w:tcW w:w="0" w:type="auto"/>
            <w:noWrap w:val="0"/>
            <w:vAlign w:val="center"/>
          </w:tcPr>
          <w:p w14:paraId="4387D076">
            <w:r>
              <w:rPr>
                <w:rStyle w:val="10"/>
                <w:rFonts w:hint="eastAsia"/>
              </w:rPr>
              <w:t>登记证号：</w:t>
            </w:r>
            <w:r>
              <w:rPr>
                <w:rFonts w:hint="eastAsia"/>
              </w:rPr>
              <w:t>PD20212131</w:t>
            </w:r>
          </w:p>
        </w:tc>
      </w:tr>
      <w:tr w14:paraId="7EDFED12">
        <w:tblPrEx>
          <w:tblCellMar>
            <w:top w:w="0" w:type="dxa"/>
            <w:left w:w="0" w:type="dxa"/>
            <w:bottom w:w="0" w:type="dxa"/>
            <w:right w:w="0" w:type="dxa"/>
          </w:tblCellMar>
        </w:tblPrEx>
        <w:trPr>
          <w:wBefore w:w="0" w:type="auto"/>
          <w:tblCellSpacing w:w="0" w:type="dxa"/>
        </w:trPr>
        <w:tc>
          <w:tcPr>
            <w:tcW w:w="0" w:type="auto"/>
            <w:noWrap w:val="0"/>
            <w:vAlign w:val="center"/>
          </w:tcPr>
          <w:p w14:paraId="43F14438">
            <w:r>
              <w:rPr>
                <w:rStyle w:val="10"/>
                <w:rFonts w:hint="eastAsia"/>
              </w:rPr>
              <w:t>登记证持有人：</w:t>
            </w:r>
            <w:r>
              <w:rPr>
                <w:rFonts w:hint="eastAsia"/>
              </w:rPr>
              <w:t>江苏东宝农化股份有限公司</w:t>
            </w:r>
          </w:p>
        </w:tc>
      </w:tr>
      <w:tr w14:paraId="6EF8D806">
        <w:tblPrEx>
          <w:tblCellMar>
            <w:top w:w="0" w:type="dxa"/>
            <w:left w:w="0" w:type="dxa"/>
            <w:bottom w:w="0" w:type="dxa"/>
            <w:right w:w="0" w:type="dxa"/>
          </w:tblCellMar>
        </w:tblPrEx>
        <w:trPr>
          <w:wBefore w:w="0" w:type="auto"/>
          <w:tblCellSpacing w:w="0" w:type="dxa"/>
        </w:trPr>
        <w:tc>
          <w:tcPr>
            <w:tcW w:w="0" w:type="auto"/>
            <w:noWrap w:val="0"/>
            <w:vAlign w:val="center"/>
          </w:tcPr>
          <w:p w14:paraId="55129B8A">
            <w:r>
              <w:rPr>
                <w:rStyle w:val="10"/>
                <w:rFonts w:hint="eastAsia"/>
              </w:rPr>
              <w:t>农药名称：</w:t>
            </w:r>
            <w:r>
              <w:rPr>
                <w:rFonts w:hint="eastAsia"/>
              </w:rPr>
              <w:t>异丙隆</w:t>
            </w:r>
          </w:p>
        </w:tc>
      </w:tr>
      <w:tr w14:paraId="2FA68B1E">
        <w:tblPrEx>
          <w:tblCellMar>
            <w:top w:w="0" w:type="dxa"/>
            <w:left w:w="0" w:type="dxa"/>
            <w:bottom w:w="0" w:type="dxa"/>
            <w:right w:w="0" w:type="dxa"/>
          </w:tblCellMar>
        </w:tblPrEx>
        <w:trPr>
          <w:wBefore w:w="0" w:type="auto"/>
          <w:tblCellSpacing w:w="0" w:type="dxa"/>
        </w:trPr>
        <w:tc>
          <w:tcPr>
            <w:tcW w:w="0" w:type="auto"/>
            <w:noWrap w:val="0"/>
            <w:vAlign w:val="center"/>
          </w:tcPr>
          <w:p w14:paraId="086EC6DA">
            <w:r>
              <w:rPr>
                <w:rStyle w:val="10"/>
                <w:rFonts w:hint="eastAsia"/>
              </w:rPr>
              <w:t>剂型：</w:t>
            </w:r>
            <w:r>
              <w:rPr>
                <w:rFonts w:hint="eastAsia"/>
              </w:rPr>
              <w:t>悬浮剂</w:t>
            </w:r>
          </w:p>
        </w:tc>
      </w:tr>
      <w:tr w14:paraId="62B8ECDF">
        <w:tblPrEx>
          <w:tblCellMar>
            <w:top w:w="0" w:type="dxa"/>
            <w:left w:w="0" w:type="dxa"/>
            <w:bottom w:w="0" w:type="dxa"/>
            <w:right w:w="0" w:type="dxa"/>
          </w:tblCellMar>
        </w:tblPrEx>
        <w:trPr>
          <w:wBefore w:w="0" w:type="auto"/>
          <w:tblCellSpacing w:w="0" w:type="dxa"/>
        </w:trPr>
        <w:tc>
          <w:tcPr>
            <w:tcW w:w="0" w:type="auto"/>
            <w:noWrap w:val="0"/>
            <w:vAlign w:val="center"/>
          </w:tcPr>
          <w:p w14:paraId="41029377">
            <w:r>
              <w:rPr>
                <w:rStyle w:val="10"/>
                <w:rFonts w:hint="eastAsia"/>
              </w:rPr>
              <w:t>毒性及其标识：</w:t>
            </w:r>
            <w:r>
              <w:rPr>
                <w:rFonts w:hint="eastAsia"/>
              </w:rPr>
              <w:t xml:space="preserve"> </w:t>
            </w:r>
            <w:r>
              <w:rPr>
                <w:lang/>
              </w:rPr>
              <w:drawing>
                <wp:inline distT="0" distB="0" distL="114300" distR="114300">
                  <wp:extent cx="476250" cy="323850"/>
                  <wp:effectExtent l="0" t="0" r="0" b="0"/>
                  <wp:docPr id="442" name="图片 44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E8426CF">
        <w:tblPrEx>
          <w:tblCellMar>
            <w:top w:w="0" w:type="dxa"/>
            <w:left w:w="0" w:type="dxa"/>
            <w:bottom w:w="0" w:type="dxa"/>
            <w:right w:w="0" w:type="dxa"/>
          </w:tblCellMar>
        </w:tblPrEx>
        <w:trPr>
          <w:wBefore w:w="0" w:type="auto"/>
          <w:tblCellSpacing w:w="0" w:type="dxa"/>
        </w:trPr>
        <w:tc>
          <w:tcPr>
            <w:tcW w:w="0" w:type="auto"/>
            <w:noWrap w:val="0"/>
            <w:vAlign w:val="center"/>
          </w:tcPr>
          <w:p w14:paraId="4D548D75">
            <w:r>
              <w:rPr>
                <w:rStyle w:val="10"/>
                <w:rFonts w:hint="eastAsia"/>
              </w:rPr>
              <w:t>总有效成分含量：</w:t>
            </w:r>
            <w:r>
              <w:rPr>
                <w:rFonts w:hint="eastAsia"/>
              </w:rPr>
              <w:t>50%</w:t>
            </w:r>
          </w:p>
        </w:tc>
      </w:tr>
      <w:tr w14:paraId="29848845">
        <w:tblPrEx>
          <w:tblCellMar>
            <w:top w:w="0" w:type="dxa"/>
            <w:left w:w="0" w:type="dxa"/>
            <w:bottom w:w="0" w:type="dxa"/>
            <w:right w:w="0" w:type="dxa"/>
          </w:tblCellMar>
        </w:tblPrEx>
        <w:trPr>
          <w:wBefore w:w="0" w:type="auto"/>
          <w:tblCellSpacing w:w="0" w:type="dxa"/>
        </w:trPr>
        <w:tc>
          <w:tcPr>
            <w:tcW w:w="0" w:type="auto"/>
            <w:noWrap w:val="0"/>
            <w:vAlign w:val="center"/>
          </w:tcPr>
          <w:p w14:paraId="19C0B424">
            <w:r>
              <w:rPr>
                <w:rFonts w:hint="eastAsia"/>
              </w:rPr>
              <w:t xml:space="preserve">有效成分及其含量： </w:t>
            </w:r>
          </w:p>
          <w:p w14:paraId="4FBE9550">
            <w:r>
              <w:rPr>
                <w:rFonts w:hint="eastAsia"/>
              </w:rPr>
              <w:t xml:space="preserve">    异丙隆50%    </w:t>
            </w:r>
          </w:p>
        </w:tc>
      </w:tr>
      <w:tr w14:paraId="106152D1">
        <w:tblPrEx>
          <w:tblCellMar>
            <w:top w:w="0" w:type="dxa"/>
            <w:left w:w="0" w:type="dxa"/>
            <w:bottom w:w="0" w:type="dxa"/>
            <w:right w:w="0" w:type="dxa"/>
          </w:tblCellMar>
        </w:tblPrEx>
        <w:trPr>
          <w:wBefore w:w="0" w:type="auto"/>
          <w:tblCellSpacing w:w="0" w:type="dxa"/>
        </w:trPr>
        <w:tc>
          <w:tcPr>
            <w:tcW w:w="0" w:type="auto"/>
            <w:noWrap w:val="0"/>
            <w:vAlign w:val="center"/>
          </w:tcPr>
          <w:p w14:paraId="6A58922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B5308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87941D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88643F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B06C78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AA15136">
                  <w:r>
                    <w:rPr>
                      <w:rStyle w:val="11"/>
                      <w:rFonts w:hint="eastAsia"/>
                    </w:rPr>
                    <w:t>施用方式</w:t>
                  </w:r>
                </w:p>
              </w:tc>
            </w:tr>
            <w:tr w14:paraId="76B4F3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31CB6FB">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DE8F65">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27B9E9">
                  <w:r>
                    <w:rPr>
                      <w:rStyle w:val="11"/>
                      <w:rFonts w:hint="eastAsia"/>
                    </w:rPr>
                    <w:t>125-150毫升/亩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E4FCF7">
                  <w:r>
                    <w:rPr>
                      <w:rStyle w:val="11"/>
                      <w:rFonts w:hint="eastAsia"/>
                    </w:rPr>
                    <w:t>茎叶喷雾</w:t>
                  </w:r>
                </w:p>
              </w:tc>
            </w:tr>
          </w:tbl>
          <w:p w14:paraId="5CD51811">
            <w:pPr>
              <w:rPr>
                <w:rFonts w:ascii="Times New Roman" w:hAnsi="Times New Roman" w:cs="Times New Roman"/>
                <w:sz w:val="20"/>
                <w:szCs w:val="20"/>
              </w:rPr>
            </w:pPr>
          </w:p>
        </w:tc>
      </w:tr>
      <w:tr w14:paraId="1CD3CB2A">
        <w:tblPrEx>
          <w:tblCellMar>
            <w:top w:w="0" w:type="dxa"/>
            <w:left w:w="0" w:type="dxa"/>
            <w:bottom w:w="0" w:type="dxa"/>
            <w:right w:w="0" w:type="dxa"/>
          </w:tblCellMar>
        </w:tblPrEx>
        <w:trPr>
          <w:wBefore w:w="0" w:type="auto"/>
          <w:tblCellSpacing w:w="0" w:type="dxa"/>
        </w:trPr>
        <w:tc>
          <w:tcPr>
            <w:tcW w:w="0" w:type="auto"/>
            <w:noWrap w:val="0"/>
            <w:vAlign w:val="center"/>
          </w:tcPr>
          <w:p w14:paraId="4BCDC4A9">
            <w:r>
              <w:rPr>
                <w:rStyle w:val="10"/>
                <w:rFonts w:hint="eastAsia"/>
              </w:rPr>
              <w:t>使用技术要求:</w:t>
            </w:r>
            <w:r>
              <w:rPr>
                <w:rFonts w:hint="eastAsia"/>
              </w:rPr>
              <w:br w:type="textWrapping"/>
            </w:r>
            <w:r>
              <w:rPr>
                <w:rStyle w:val="11"/>
                <w:rFonts w:hint="eastAsia"/>
              </w:rPr>
              <w:t>1. 杂草出齐或麦苗返青后至拔节前均可使用，杂草2-4叶期施药效果较好。2. 兑水均匀喷雾，勿重喷或漏喷，以防用药过多产生药害。3. 施药时防止药液飘移到邻近作物，以免产生药害；2、勿在低温及干旱等不良气候条件下施药，避免药害。4. 每季作物最多用药1次。</w:t>
            </w:r>
          </w:p>
        </w:tc>
      </w:tr>
      <w:tr w14:paraId="1EF72EBF">
        <w:tblPrEx>
          <w:tblCellMar>
            <w:top w:w="0" w:type="dxa"/>
            <w:left w:w="0" w:type="dxa"/>
            <w:bottom w:w="0" w:type="dxa"/>
            <w:right w:w="0" w:type="dxa"/>
          </w:tblCellMar>
        </w:tblPrEx>
        <w:trPr>
          <w:wBefore w:w="0" w:type="auto"/>
          <w:tblCellSpacing w:w="0" w:type="dxa"/>
        </w:trPr>
        <w:tc>
          <w:tcPr>
            <w:tcW w:w="0" w:type="auto"/>
            <w:noWrap w:val="0"/>
            <w:vAlign w:val="center"/>
          </w:tcPr>
          <w:p w14:paraId="54420277">
            <w:r>
              <w:rPr>
                <w:rStyle w:val="10"/>
                <w:rFonts w:hint="eastAsia"/>
              </w:rPr>
              <w:t>产品性能:</w:t>
            </w:r>
            <w:r>
              <w:rPr>
                <w:rFonts w:hint="eastAsia"/>
              </w:rPr>
              <w:br w:type="textWrapping"/>
            </w:r>
            <w:r>
              <w:rPr>
                <w:rStyle w:val="11"/>
                <w:rFonts w:hint="eastAsia"/>
              </w:rPr>
              <w:t>本品是一种旱田除草剂，主要用于防除冬小麦田中的硬草、菵草、看麦娘、日本看麦娘、牛繁缕、碎米荠、稻茬菜等杂草及部分阔叶杂草</w:t>
            </w:r>
          </w:p>
        </w:tc>
      </w:tr>
      <w:tr w14:paraId="55BF3095">
        <w:tblPrEx>
          <w:tblCellMar>
            <w:top w:w="0" w:type="dxa"/>
            <w:left w:w="0" w:type="dxa"/>
            <w:bottom w:w="0" w:type="dxa"/>
            <w:right w:w="0" w:type="dxa"/>
          </w:tblCellMar>
        </w:tblPrEx>
        <w:trPr>
          <w:wBefore w:w="0" w:type="auto"/>
          <w:tblCellSpacing w:w="0" w:type="dxa"/>
        </w:trPr>
        <w:tc>
          <w:tcPr>
            <w:tcW w:w="0" w:type="auto"/>
            <w:noWrap w:val="0"/>
            <w:vAlign w:val="center"/>
          </w:tcPr>
          <w:p w14:paraId="4FA3CE6B">
            <w:r>
              <w:rPr>
                <w:rStyle w:val="10"/>
                <w:rFonts w:hint="eastAsia"/>
              </w:rPr>
              <w:t>注意事项：</w:t>
            </w:r>
            <w:r>
              <w:rPr>
                <w:rFonts w:hint="eastAsia"/>
              </w:rPr>
              <w:br w:type="textWrapping"/>
            </w:r>
            <w:r>
              <w:rPr>
                <w:rStyle w:val="11"/>
                <w:rFonts w:hint="eastAsia"/>
              </w:rPr>
              <w:t>1. 对油菜、蚕豆等阔叶作物敏感。喷药时禁止药液飘移到此作物上。施用过磷酸钙的、作物生长势弱或受冻的、漏耕地段及砂性重或排水不良的土壤不宜使用本品。2. 喷药时要遵守国家《农药安全使用规定》手册。使用时穿戴长衣长裤、鞋，戴橡胶手套和口罩并穿工作服等安全防护措施。施药时不得进食、喝水、吸烟。施药后要及时洗澡并更换衣物。避免药液接触皮肤、眼睛和污染衣物，避免吸入雾滴。3. 配药时，应戴防渗手套和面罩，穿长袖衣、长裤和靴子。4. 施药后，彻底清洗防护用具，洗澡，并更换和清洗工作服。5. 使用过的空包装，用清水冲洗三次后妥善处理，切勿重复使用或改作其它用途或丢弃。所有施药器具，用后应立即用清水或适当的洗涤剂清洗。6. 未用完的制剂应放在原包装内密封保存，切勿将本品置于饮、食容器内。7. 水产养殖区、河塘等水体附近禁用，禁止在河塘等水域清洗施药器具 。鸟类保护区附近禁用。桑园及蚕室附近禁用，不可使用最外围和次外围桑树上的桑叶饲喂家蚕。8、孕妇及哺乳期妇女应该避免接触本品。9、本产品避免与氧化剂接触。</w:t>
            </w:r>
          </w:p>
        </w:tc>
      </w:tr>
      <w:tr w14:paraId="67E753A9">
        <w:tblPrEx>
          <w:tblCellMar>
            <w:top w:w="0" w:type="dxa"/>
            <w:left w:w="0" w:type="dxa"/>
            <w:bottom w:w="0" w:type="dxa"/>
            <w:right w:w="0" w:type="dxa"/>
          </w:tblCellMar>
        </w:tblPrEx>
        <w:trPr>
          <w:wBefore w:w="0" w:type="auto"/>
          <w:tblCellSpacing w:w="0" w:type="dxa"/>
        </w:trPr>
        <w:tc>
          <w:tcPr>
            <w:tcW w:w="0" w:type="auto"/>
            <w:noWrap w:val="0"/>
            <w:vAlign w:val="center"/>
          </w:tcPr>
          <w:p w14:paraId="52370358">
            <w:r>
              <w:rPr>
                <w:rStyle w:val="10"/>
                <w:rFonts w:hint="eastAsia"/>
              </w:rPr>
              <w:t>中毒急救措施：</w:t>
            </w:r>
            <w:r>
              <w:rPr>
                <w:rFonts w:hint="eastAsia"/>
              </w:rPr>
              <w:br w:type="textWrapping"/>
            </w:r>
            <w:r>
              <w:rPr>
                <w:rStyle w:val="11"/>
                <w:rFonts w:hint="eastAsia"/>
              </w:rPr>
              <w:t>按标签推荐方法使用，一旦发生中毒，请对症治疗。中毒急救：1.用药时或使用后如感觉不适，立即停止工作，采取急救措施。2.皮肤接触：立即脱掉被污染的衣物，用大量清水冲洗被污染的皮肤。3.眼睛溅药：立即将眼睑翻开，用清水冲洗至少15分钟。4.发生吸入：立即将吸入者转移到空气新鲜处。5.误服：请勿吸吐。出现上述症状，请立即携此标签送医就诊。解毒剂：无专用解毒剂，对症治疗。中毒时，请拨打中国疾病中心中毒控制中心咨询热线：400-650-5726。</w:t>
            </w:r>
          </w:p>
        </w:tc>
      </w:tr>
      <w:tr w14:paraId="5479E055">
        <w:tblPrEx>
          <w:tblCellMar>
            <w:top w:w="0" w:type="dxa"/>
            <w:left w:w="0" w:type="dxa"/>
            <w:bottom w:w="0" w:type="dxa"/>
            <w:right w:w="0" w:type="dxa"/>
          </w:tblCellMar>
        </w:tblPrEx>
        <w:trPr>
          <w:wBefore w:w="0" w:type="auto"/>
          <w:tblCellSpacing w:w="0" w:type="dxa"/>
        </w:trPr>
        <w:tc>
          <w:tcPr>
            <w:tcW w:w="0" w:type="auto"/>
            <w:noWrap w:val="0"/>
            <w:vAlign w:val="center"/>
          </w:tcPr>
          <w:p w14:paraId="684A8ECE">
            <w:r>
              <w:rPr>
                <w:rStyle w:val="10"/>
                <w:rFonts w:hint="eastAsia"/>
              </w:rPr>
              <w:t>储存和运输方法：</w:t>
            </w:r>
            <w:r>
              <w:rPr>
                <w:rFonts w:hint="eastAsia"/>
              </w:rPr>
              <w:br w:type="textWrapping"/>
            </w:r>
            <w:r>
              <w:rPr>
                <w:rStyle w:val="11"/>
                <w:rFonts w:hint="eastAsia"/>
              </w:rPr>
              <w:t>1. 本品应贮存于通风、阴凉、干燥处。远离火源或热源。置于儿童触及不到之处，并加锁。2. 运输时，严防雨淋、日晒，不能与食品、饮料、粮食、饲料等物品同贮同运，避免与皮肤接触，防止由口鼻吸入。</w:t>
            </w:r>
          </w:p>
        </w:tc>
      </w:tr>
      <w:tr w14:paraId="6308BD8D">
        <w:tblPrEx>
          <w:tblCellMar>
            <w:top w:w="0" w:type="dxa"/>
            <w:left w:w="0" w:type="dxa"/>
            <w:bottom w:w="0" w:type="dxa"/>
            <w:right w:w="0" w:type="dxa"/>
          </w:tblCellMar>
        </w:tblPrEx>
        <w:trPr>
          <w:wBefore w:w="0" w:type="auto"/>
          <w:tblCellSpacing w:w="0" w:type="dxa"/>
        </w:trPr>
        <w:tc>
          <w:tcPr>
            <w:tcW w:w="0" w:type="auto"/>
            <w:noWrap w:val="0"/>
            <w:vAlign w:val="center"/>
          </w:tcPr>
          <w:p w14:paraId="0456E676">
            <w:r>
              <w:rPr>
                <w:rStyle w:val="10"/>
                <w:rFonts w:hint="eastAsia"/>
              </w:rPr>
              <w:t>质量保证期：</w:t>
            </w:r>
            <w:r>
              <w:rPr>
                <w:rStyle w:val="11"/>
                <w:rFonts w:hint="eastAsia"/>
              </w:rPr>
              <w:t>2年</w:t>
            </w:r>
          </w:p>
        </w:tc>
      </w:tr>
      <w:tr w14:paraId="06873369">
        <w:tblPrEx>
          <w:tblCellMar>
            <w:top w:w="0" w:type="dxa"/>
            <w:left w:w="0" w:type="dxa"/>
            <w:bottom w:w="0" w:type="dxa"/>
            <w:right w:w="0" w:type="dxa"/>
          </w:tblCellMar>
        </w:tblPrEx>
        <w:trPr>
          <w:wBefore w:w="0" w:type="auto"/>
          <w:tblCellSpacing w:w="0" w:type="dxa"/>
        </w:trPr>
        <w:tc>
          <w:tcPr>
            <w:tcW w:w="0" w:type="auto"/>
            <w:noWrap w:val="0"/>
            <w:vAlign w:val="center"/>
          </w:tcPr>
          <w:p w14:paraId="5991BD64">
            <w:r>
              <w:rPr>
                <w:rStyle w:val="10"/>
                <w:rFonts w:hint="eastAsia"/>
              </w:rPr>
              <w:t>备注：</w:t>
            </w:r>
          </w:p>
        </w:tc>
      </w:tr>
    </w:tbl>
    <w:p w14:paraId="196DCAE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C7BA6E0">
        <w:tblPrEx>
          <w:tblCellMar>
            <w:top w:w="0" w:type="dxa"/>
            <w:left w:w="0" w:type="dxa"/>
            <w:bottom w:w="0" w:type="dxa"/>
            <w:right w:w="0" w:type="dxa"/>
          </w:tblCellMar>
        </w:tblPrEx>
        <w:trPr>
          <w:wBefore w:w="0" w:type="auto"/>
          <w:tblCellSpacing w:w="0" w:type="dxa"/>
        </w:trPr>
        <w:tc>
          <w:tcPr>
            <w:tcW w:w="0" w:type="auto"/>
            <w:noWrap w:val="0"/>
            <w:vAlign w:val="center"/>
          </w:tcPr>
          <w:p w14:paraId="7977F635">
            <w:r>
              <w:rPr>
                <w:rStyle w:val="10"/>
                <w:rFonts w:hint="eastAsia"/>
              </w:rPr>
              <w:t>登记证号：</w:t>
            </w:r>
            <w:r>
              <w:rPr>
                <w:rFonts w:hint="eastAsia"/>
              </w:rPr>
              <w:t>PD20211846</w:t>
            </w:r>
          </w:p>
        </w:tc>
      </w:tr>
      <w:tr w14:paraId="3A4901A0">
        <w:tblPrEx>
          <w:tblCellMar>
            <w:top w:w="0" w:type="dxa"/>
            <w:left w:w="0" w:type="dxa"/>
            <w:bottom w:w="0" w:type="dxa"/>
            <w:right w:w="0" w:type="dxa"/>
          </w:tblCellMar>
        </w:tblPrEx>
        <w:trPr>
          <w:wBefore w:w="0" w:type="auto"/>
          <w:tblCellSpacing w:w="0" w:type="dxa"/>
        </w:trPr>
        <w:tc>
          <w:tcPr>
            <w:tcW w:w="0" w:type="auto"/>
            <w:noWrap w:val="0"/>
            <w:vAlign w:val="center"/>
          </w:tcPr>
          <w:p w14:paraId="390806A0">
            <w:r>
              <w:rPr>
                <w:rStyle w:val="10"/>
                <w:rFonts w:hint="eastAsia"/>
              </w:rPr>
              <w:t>登记证持有人：</w:t>
            </w:r>
            <w:r>
              <w:rPr>
                <w:rFonts w:hint="eastAsia"/>
              </w:rPr>
              <w:t>瑞隆化工（宿州）有限公司</w:t>
            </w:r>
          </w:p>
        </w:tc>
      </w:tr>
      <w:tr w14:paraId="26D9FD05">
        <w:tblPrEx>
          <w:tblCellMar>
            <w:top w:w="0" w:type="dxa"/>
            <w:left w:w="0" w:type="dxa"/>
            <w:bottom w:w="0" w:type="dxa"/>
            <w:right w:w="0" w:type="dxa"/>
          </w:tblCellMar>
        </w:tblPrEx>
        <w:trPr>
          <w:wBefore w:w="0" w:type="auto"/>
          <w:tblCellSpacing w:w="0" w:type="dxa"/>
        </w:trPr>
        <w:tc>
          <w:tcPr>
            <w:tcW w:w="0" w:type="auto"/>
            <w:noWrap w:val="0"/>
            <w:vAlign w:val="center"/>
          </w:tcPr>
          <w:p w14:paraId="6A812733">
            <w:r>
              <w:rPr>
                <w:rStyle w:val="10"/>
                <w:rFonts w:hint="eastAsia"/>
              </w:rPr>
              <w:t>农药名称：</w:t>
            </w:r>
            <w:r>
              <w:rPr>
                <w:rFonts w:hint="eastAsia"/>
              </w:rPr>
              <w:t>辛硫磷</w:t>
            </w:r>
          </w:p>
        </w:tc>
      </w:tr>
      <w:tr w14:paraId="77C135F1">
        <w:tblPrEx>
          <w:tblCellMar>
            <w:top w:w="0" w:type="dxa"/>
            <w:left w:w="0" w:type="dxa"/>
            <w:bottom w:w="0" w:type="dxa"/>
            <w:right w:w="0" w:type="dxa"/>
          </w:tblCellMar>
        </w:tblPrEx>
        <w:trPr>
          <w:wBefore w:w="0" w:type="auto"/>
          <w:tblCellSpacing w:w="0" w:type="dxa"/>
        </w:trPr>
        <w:tc>
          <w:tcPr>
            <w:tcW w:w="0" w:type="auto"/>
            <w:noWrap w:val="0"/>
            <w:vAlign w:val="center"/>
          </w:tcPr>
          <w:p w14:paraId="00A28ED3">
            <w:r>
              <w:rPr>
                <w:rStyle w:val="10"/>
                <w:rFonts w:hint="eastAsia"/>
              </w:rPr>
              <w:t>剂型：</w:t>
            </w:r>
            <w:r>
              <w:rPr>
                <w:rFonts w:hint="eastAsia"/>
              </w:rPr>
              <w:t>微囊悬浮剂</w:t>
            </w:r>
          </w:p>
        </w:tc>
      </w:tr>
      <w:tr w14:paraId="58DBA43D">
        <w:tblPrEx>
          <w:tblCellMar>
            <w:top w:w="0" w:type="dxa"/>
            <w:left w:w="0" w:type="dxa"/>
            <w:bottom w:w="0" w:type="dxa"/>
            <w:right w:w="0" w:type="dxa"/>
          </w:tblCellMar>
        </w:tblPrEx>
        <w:trPr>
          <w:wBefore w:w="0" w:type="auto"/>
          <w:tblCellSpacing w:w="0" w:type="dxa"/>
        </w:trPr>
        <w:tc>
          <w:tcPr>
            <w:tcW w:w="0" w:type="auto"/>
            <w:noWrap w:val="0"/>
            <w:vAlign w:val="center"/>
          </w:tcPr>
          <w:p w14:paraId="6AFD0271">
            <w:r>
              <w:rPr>
                <w:rStyle w:val="10"/>
                <w:rFonts w:hint="eastAsia"/>
              </w:rPr>
              <w:t>毒性及其标识：</w:t>
            </w:r>
            <w:r>
              <w:rPr>
                <w:rFonts w:hint="eastAsia"/>
              </w:rPr>
              <w:t xml:space="preserve"> </w:t>
            </w:r>
            <w:r>
              <w:rPr>
                <w:lang/>
              </w:rPr>
              <w:drawing>
                <wp:inline distT="0" distB="0" distL="114300" distR="114300">
                  <wp:extent cx="476250" cy="323850"/>
                  <wp:effectExtent l="0" t="0" r="0" b="0"/>
                  <wp:docPr id="443" name="图片 44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ECCECCB">
        <w:tblPrEx>
          <w:tblCellMar>
            <w:top w:w="0" w:type="dxa"/>
            <w:left w:w="0" w:type="dxa"/>
            <w:bottom w:w="0" w:type="dxa"/>
            <w:right w:w="0" w:type="dxa"/>
          </w:tblCellMar>
        </w:tblPrEx>
        <w:trPr>
          <w:wBefore w:w="0" w:type="auto"/>
          <w:tblCellSpacing w:w="0" w:type="dxa"/>
        </w:trPr>
        <w:tc>
          <w:tcPr>
            <w:tcW w:w="0" w:type="auto"/>
            <w:noWrap w:val="0"/>
            <w:vAlign w:val="center"/>
          </w:tcPr>
          <w:p w14:paraId="6E33CE56">
            <w:r>
              <w:rPr>
                <w:rStyle w:val="10"/>
                <w:rFonts w:hint="eastAsia"/>
              </w:rPr>
              <w:t>总有效成分含量：</w:t>
            </w:r>
            <w:r>
              <w:rPr>
                <w:rFonts w:hint="eastAsia"/>
              </w:rPr>
              <w:t>30%</w:t>
            </w:r>
          </w:p>
        </w:tc>
      </w:tr>
      <w:tr w14:paraId="6E32DFF4">
        <w:tblPrEx>
          <w:tblCellMar>
            <w:top w:w="0" w:type="dxa"/>
            <w:left w:w="0" w:type="dxa"/>
            <w:bottom w:w="0" w:type="dxa"/>
            <w:right w:w="0" w:type="dxa"/>
          </w:tblCellMar>
        </w:tblPrEx>
        <w:trPr>
          <w:wBefore w:w="0" w:type="auto"/>
          <w:tblCellSpacing w:w="0" w:type="dxa"/>
        </w:trPr>
        <w:tc>
          <w:tcPr>
            <w:tcW w:w="0" w:type="auto"/>
            <w:noWrap w:val="0"/>
            <w:vAlign w:val="center"/>
          </w:tcPr>
          <w:p w14:paraId="385A383B">
            <w:r>
              <w:rPr>
                <w:rFonts w:hint="eastAsia"/>
              </w:rPr>
              <w:t xml:space="preserve">有效成分及其含量： </w:t>
            </w:r>
          </w:p>
          <w:p w14:paraId="051BADCF">
            <w:r>
              <w:rPr>
                <w:rFonts w:hint="eastAsia"/>
              </w:rPr>
              <w:t xml:space="preserve">    辛硫磷30%    </w:t>
            </w:r>
          </w:p>
        </w:tc>
      </w:tr>
      <w:tr w14:paraId="46C85C8E">
        <w:tblPrEx>
          <w:tblCellMar>
            <w:top w:w="0" w:type="dxa"/>
            <w:left w:w="0" w:type="dxa"/>
            <w:bottom w:w="0" w:type="dxa"/>
            <w:right w:w="0" w:type="dxa"/>
          </w:tblCellMar>
        </w:tblPrEx>
        <w:trPr>
          <w:wBefore w:w="0" w:type="auto"/>
          <w:tblCellSpacing w:w="0" w:type="dxa"/>
        </w:trPr>
        <w:tc>
          <w:tcPr>
            <w:tcW w:w="0" w:type="auto"/>
            <w:noWrap w:val="0"/>
            <w:vAlign w:val="center"/>
          </w:tcPr>
          <w:p w14:paraId="18F3412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10059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ADB2C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0DB71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485613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2D44163">
                  <w:r>
                    <w:rPr>
                      <w:rStyle w:val="11"/>
                      <w:rFonts w:hint="eastAsia"/>
                    </w:rPr>
                    <w:t>施用方式</w:t>
                  </w:r>
                </w:p>
              </w:tc>
            </w:tr>
            <w:tr w14:paraId="6E835A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4555F20">
                  <w:r>
                    <w:rPr>
                      <w:rStyle w:val="11"/>
                      <w:rFonts w:hint="eastAsia"/>
                    </w:rPr>
                    <w:t>韭菜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B855CB">
                  <w:r>
                    <w:rPr>
                      <w:rStyle w:val="11"/>
                      <w:rFonts w:hint="eastAsia"/>
                    </w:rPr>
                    <w:t>韭蛆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2096F6">
                  <w:r>
                    <w:rPr>
                      <w:rStyle w:val="11"/>
                      <w:rFonts w:hint="eastAsia"/>
                    </w:rPr>
                    <w:t>620-820毫升/亩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929421">
                  <w:r>
                    <w:rPr>
                      <w:rStyle w:val="11"/>
                      <w:rFonts w:hint="eastAsia"/>
                    </w:rPr>
                    <w:t>灌根</w:t>
                  </w:r>
                </w:p>
              </w:tc>
            </w:tr>
          </w:tbl>
          <w:p w14:paraId="4F32A4F8">
            <w:pPr>
              <w:rPr>
                <w:rFonts w:ascii="Times New Roman" w:hAnsi="Times New Roman" w:cs="Times New Roman"/>
                <w:sz w:val="20"/>
                <w:szCs w:val="20"/>
              </w:rPr>
            </w:pPr>
          </w:p>
        </w:tc>
      </w:tr>
      <w:tr w14:paraId="0EB2FD22">
        <w:tblPrEx>
          <w:tblCellMar>
            <w:top w:w="0" w:type="dxa"/>
            <w:left w:w="0" w:type="dxa"/>
            <w:bottom w:w="0" w:type="dxa"/>
            <w:right w:w="0" w:type="dxa"/>
          </w:tblCellMar>
        </w:tblPrEx>
        <w:trPr>
          <w:wBefore w:w="0" w:type="auto"/>
          <w:tblCellSpacing w:w="0" w:type="dxa"/>
        </w:trPr>
        <w:tc>
          <w:tcPr>
            <w:tcW w:w="0" w:type="auto"/>
            <w:noWrap w:val="0"/>
            <w:vAlign w:val="center"/>
          </w:tcPr>
          <w:p w14:paraId="2203E9C6">
            <w:r>
              <w:rPr>
                <w:rStyle w:val="10"/>
                <w:rFonts w:hint="eastAsia"/>
              </w:rPr>
              <w:t>使用技术要求:</w:t>
            </w:r>
            <w:r>
              <w:rPr>
                <w:rFonts w:hint="eastAsia"/>
              </w:rPr>
              <w:br w:type="textWrapping"/>
            </w:r>
            <w:r>
              <w:rPr>
                <w:rStyle w:val="11"/>
                <w:rFonts w:hint="eastAsia"/>
              </w:rPr>
              <w:t>1、高粱、黄瓜、菜豆和甜菜等都对辛硫磷敏感，使用时应防止漂移。 2、本品使用前应先摇匀，存放时如有分层，摇匀后使用，不影响杀虫效果。 3、药剂兑水稀释、搅拌均匀后灌根。4、在韭菜上的安全间隔期为17天，每季最多使用1次.</w:t>
            </w:r>
          </w:p>
        </w:tc>
      </w:tr>
      <w:tr w14:paraId="175DBA02">
        <w:tblPrEx>
          <w:tblCellMar>
            <w:top w:w="0" w:type="dxa"/>
            <w:left w:w="0" w:type="dxa"/>
            <w:bottom w:w="0" w:type="dxa"/>
            <w:right w:w="0" w:type="dxa"/>
          </w:tblCellMar>
        </w:tblPrEx>
        <w:trPr>
          <w:wBefore w:w="0" w:type="auto"/>
          <w:tblCellSpacing w:w="0" w:type="dxa"/>
        </w:trPr>
        <w:tc>
          <w:tcPr>
            <w:tcW w:w="0" w:type="auto"/>
            <w:noWrap w:val="0"/>
            <w:vAlign w:val="center"/>
          </w:tcPr>
          <w:p w14:paraId="32B829A9">
            <w:r>
              <w:rPr>
                <w:rStyle w:val="10"/>
                <w:rFonts w:hint="eastAsia"/>
              </w:rPr>
              <w:t>产品性能:</w:t>
            </w:r>
            <w:r>
              <w:rPr>
                <w:rFonts w:hint="eastAsia"/>
              </w:rPr>
              <w:br w:type="textWrapping"/>
            </w:r>
            <w:r>
              <w:rPr>
                <w:rStyle w:val="11"/>
                <w:rFonts w:hint="eastAsia"/>
              </w:rPr>
              <w:t>本品为低毒的有机磷类杀虫剂，不但具有触杀、胃毒作用，而且还具有微囊悬浮剂产品所具有的延长农药药效期、降低农药毒性和刺激性等特点。本品作用机制为胆碱酯酶抑制剂。</w:t>
            </w:r>
          </w:p>
        </w:tc>
      </w:tr>
      <w:tr w14:paraId="7EC87996">
        <w:tblPrEx>
          <w:tblCellMar>
            <w:top w:w="0" w:type="dxa"/>
            <w:left w:w="0" w:type="dxa"/>
            <w:bottom w:w="0" w:type="dxa"/>
            <w:right w:w="0" w:type="dxa"/>
          </w:tblCellMar>
        </w:tblPrEx>
        <w:trPr>
          <w:wBefore w:w="0" w:type="auto"/>
          <w:tblCellSpacing w:w="0" w:type="dxa"/>
        </w:trPr>
        <w:tc>
          <w:tcPr>
            <w:tcW w:w="0" w:type="auto"/>
            <w:noWrap w:val="0"/>
            <w:vAlign w:val="center"/>
          </w:tcPr>
          <w:p w14:paraId="472651B3">
            <w:r>
              <w:rPr>
                <w:rStyle w:val="10"/>
                <w:rFonts w:hint="eastAsia"/>
              </w:rPr>
              <w:t>注意事项：</w:t>
            </w:r>
            <w:r>
              <w:rPr>
                <w:rFonts w:hint="eastAsia"/>
              </w:rPr>
              <w:br w:type="textWrapping"/>
            </w:r>
            <w:r>
              <w:rPr>
                <w:rStyle w:val="11"/>
                <w:rFonts w:hint="eastAsia"/>
              </w:rPr>
              <w:t>1、不能与呈碱性的农药等物质混用。 2、本品对鱼和鸟均为中等毒性；对蜜蜂和蚕均为具有高风险性农药，在鸟类保护区、水产养殖区及开花植物开花期和桑园附近的农田禁止使用。不能污染水源。禁止在河塘等水域清洗器具。 3、使用时应穿戴防护服和手套，佩戴防尘面具。避免吸入药液。施药期间不可吃东西和饮水。施药后应及时洗手和洗脸并更衣。4、孕妇及哺乳期妇女禁止接触本品。5、用过的容器应妥善处理，不可做他用，也不可随意丢弃。</w:t>
            </w:r>
          </w:p>
        </w:tc>
      </w:tr>
      <w:tr w14:paraId="3E874430">
        <w:tblPrEx>
          <w:tblCellMar>
            <w:top w:w="0" w:type="dxa"/>
            <w:left w:w="0" w:type="dxa"/>
            <w:bottom w:w="0" w:type="dxa"/>
            <w:right w:w="0" w:type="dxa"/>
          </w:tblCellMar>
        </w:tblPrEx>
        <w:trPr>
          <w:wBefore w:w="0" w:type="auto"/>
          <w:tblCellSpacing w:w="0" w:type="dxa"/>
        </w:trPr>
        <w:tc>
          <w:tcPr>
            <w:tcW w:w="0" w:type="auto"/>
            <w:noWrap w:val="0"/>
            <w:vAlign w:val="center"/>
          </w:tcPr>
          <w:p w14:paraId="5D033201">
            <w:r>
              <w:rPr>
                <w:rStyle w:val="10"/>
                <w:rFonts w:hint="eastAsia"/>
              </w:rPr>
              <w:t>中毒急救措施：</w:t>
            </w:r>
            <w:r>
              <w:rPr>
                <w:rFonts w:hint="eastAsia"/>
              </w:rPr>
              <w:br w:type="textWrapping"/>
            </w:r>
            <w:r>
              <w:rPr>
                <w:rStyle w:val="11"/>
                <w:rFonts w:hint="eastAsia"/>
              </w:rPr>
              <w:t>中毒症状有头痛、头晕、呕吐等典型的有机磷农药中毒症状。不慎吸入，应将病人移至空气流通处。药液如溅入眼中，应立即用大量清水冲洗至少15分钟；如沾到皮肤上，用肥皂水清洗；中毒者立即携本标签送医就诊。可用阿托品。口服中毒者可用清水、肥皂液或小苏打（2%）反复洗胃。</w:t>
            </w:r>
          </w:p>
        </w:tc>
      </w:tr>
      <w:tr w14:paraId="4E0CA565">
        <w:tblPrEx>
          <w:tblCellMar>
            <w:top w:w="0" w:type="dxa"/>
            <w:left w:w="0" w:type="dxa"/>
            <w:bottom w:w="0" w:type="dxa"/>
            <w:right w:w="0" w:type="dxa"/>
          </w:tblCellMar>
        </w:tblPrEx>
        <w:trPr>
          <w:wBefore w:w="0" w:type="auto"/>
          <w:tblCellSpacing w:w="0" w:type="dxa"/>
        </w:trPr>
        <w:tc>
          <w:tcPr>
            <w:tcW w:w="0" w:type="auto"/>
            <w:noWrap w:val="0"/>
            <w:vAlign w:val="center"/>
          </w:tcPr>
          <w:p w14:paraId="3706BB6A">
            <w:r>
              <w:rPr>
                <w:rStyle w:val="10"/>
                <w:rFonts w:hint="eastAsia"/>
              </w:rPr>
              <w:t>储存和运输方法：</w:t>
            </w:r>
            <w:r>
              <w:rPr>
                <w:rFonts w:hint="eastAsia"/>
              </w:rPr>
              <w:br w:type="textWrapping"/>
            </w:r>
            <w:r>
              <w:rPr>
                <w:rStyle w:val="11"/>
                <w:rFonts w:hint="eastAsia"/>
              </w:rPr>
              <w:t>１．本品不宜与食品、饮料、粮食、饲料等同贮同运。２．贮存于阴凉、干燥、通风、防雨处。３．远离火源或热源。置于儿童触及不到之处，并加锁。</w:t>
            </w:r>
          </w:p>
        </w:tc>
      </w:tr>
      <w:tr w14:paraId="02310D73">
        <w:tblPrEx>
          <w:tblCellMar>
            <w:top w:w="0" w:type="dxa"/>
            <w:left w:w="0" w:type="dxa"/>
            <w:bottom w:w="0" w:type="dxa"/>
            <w:right w:w="0" w:type="dxa"/>
          </w:tblCellMar>
        </w:tblPrEx>
        <w:trPr>
          <w:wBefore w:w="0" w:type="auto"/>
          <w:tblCellSpacing w:w="0" w:type="dxa"/>
        </w:trPr>
        <w:tc>
          <w:tcPr>
            <w:tcW w:w="0" w:type="auto"/>
            <w:noWrap w:val="0"/>
            <w:vAlign w:val="center"/>
          </w:tcPr>
          <w:p w14:paraId="4213F0F7">
            <w:r>
              <w:rPr>
                <w:rStyle w:val="10"/>
                <w:rFonts w:hint="eastAsia"/>
              </w:rPr>
              <w:t>质量保证期：</w:t>
            </w:r>
            <w:r>
              <w:rPr>
                <w:rStyle w:val="11"/>
                <w:rFonts w:hint="eastAsia"/>
              </w:rPr>
              <w:t>2年</w:t>
            </w:r>
          </w:p>
        </w:tc>
      </w:tr>
      <w:tr w14:paraId="7BF71954">
        <w:tblPrEx>
          <w:tblCellMar>
            <w:top w:w="0" w:type="dxa"/>
            <w:left w:w="0" w:type="dxa"/>
            <w:bottom w:w="0" w:type="dxa"/>
            <w:right w:w="0" w:type="dxa"/>
          </w:tblCellMar>
        </w:tblPrEx>
        <w:trPr>
          <w:wBefore w:w="0" w:type="auto"/>
          <w:tblCellSpacing w:w="0" w:type="dxa"/>
        </w:trPr>
        <w:tc>
          <w:tcPr>
            <w:tcW w:w="0" w:type="auto"/>
            <w:noWrap w:val="0"/>
            <w:vAlign w:val="center"/>
          </w:tcPr>
          <w:p w14:paraId="129F02C4">
            <w:r>
              <w:rPr>
                <w:rStyle w:val="10"/>
                <w:rFonts w:hint="eastAsia"/>
              </w:rPr>
              <w:t>备注：</w:t>
            </w:r>
          </w:p>
        </w:tc>
      </w:tr>
    </w:tbl>
    <w:p w14:paraId="65A67B9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41D1CB6">
        <w:tblPrEx>
          <w:tblCellMar>
            <w:top w:w="0" w:type="dxa"/>
            <w:left w:w="0" w:type="dxa"/>
            <w:bottom w:w="0" w:type="dxa"/>
            <w:right w:w="0" w:type="dxa"/>
          </w:tblCellMar>
        </w:tblPrEx>
        <w:trPr>
          <w:wBefore w:w="0" w:type="auto"/>
          <w:tblCellSpacing w:w="0" w:type="dxa"/>
        </w:trPr>
        <w:tc>
          <w:tcPr>
            <w:tcW w:w="0" w:type="auto"/>
            <w:noWrap w:val="0"/>
            <w:vAlign w:val="center"/>
          </w:tcPr>
          <w:p w14:paraId="65721E4C">
            <w:r>
              <w:rPr>
                <w:rStyle w:val="10"/>
                <w:rFonts w:hint="eastAsia"/>
              </w:rPr>
              <w:t>登记证号：</w:t>
            </w:r>
            <w:r>
              <w:rPr>
                <w:rFonts w:hint="eastAsia"/>
              </w:rPr>
              <w:t>PD20212177</w:t>
            </w:r>
          </w:p>
        </w:tc>
      </w:tr>
      <w:tr w14:paraId="05D8752C">
        <w:tblPrEx>
          <w:tblCellMar>
            <w:top w:w="0" w:type="dxa"/>
            <w:left w:w="0" w:type="dxa"/>
            <w:bottom w:w="0" w:type="dxa"/>
            <w:right w:w="0" w:type="dxa"/>
          </w:tblCellMar>
        </w:tblPrEx>
        <w:trPr>
          <w:wBefore w:w="0" w:type="auto"/>
          <w:tblCellSpacing w:w="0" w:type="dxa"/>
        </w:trPr>
        <w:tc>
          <w:tcPr>
            <w:tcW w:w="0" w:type="auto"/>
            <w:noWrap w:val="0"/>
            <w:vAlign w:val="center"/>
          </w:tcPr>
          <w:p w14:paraId="24A31DA0">
            <w:r>
              <w:rPr>
                <w:rStyle w:val="10"/>
                <w:rFonts w:hint="eastAsia"/>
              </w:rPr>
              <w:t>登记证持有人：</w:t>
            </w:r>
            <w:r>
              <w:rPr>
                <w:rFonts w:hint="eastAsia"/>
              </w:rPr>
              <w:t>四川省乐山市福华通达农药科技有限公司</w:t>
            </w:r>
          </w:p>
        </w:tc>
      </w:tr>
      <w:tr w14:paraId="402665B2">
        <w:tblPrEx>
          <w:tblCellMar>
            <w:top w:w="0" w:type="dxa"/>
            <w:left w:w="0" w:type="dxa"/>
            <w:bottom w:w="0" w:type="dxa"/>
            <w:right w:w="0" w:type="dxa"/>
          </w:tblCellMar>
        </w:tblPrEx>
        <w:trPr>
          <w:wBefore w:w="0" w:type="auto"/>
          <w:tblCellSpacing w:w="0" w:type="dxa"/>
        </w:trPr>
        <w:tc>
          <w:tcPr>
            <w:tcW w:w="0" w:type="auto"/>
            <w:noWrap w:val="0"/>
            <w:vAlign w:val="center"/>
          </w:tcPr>
          <w:p w14:paraId="5D3E0DE0">
            <w:r>
              <w:rPr>
                <w:rStyle w:val="10"/>
                <w:rFonts w:hint="eastAsia"/>
              </w:rPr>
              <w:t>农药名称：</w:t>
            </w:r>
            <w:r>
              <w:rPr>
                <w:rFonts w:hint="eastAsia"/>
              </w:rPr>
              <w:t>滴酸·草甘膦</w:t>
            </w:r>
          </w:p>
        </w:tc>
      </w:tr>
      <w:tr w14:paraId="76BE5C63">
        <w:tblPrEx>
          <w:tblCellMar>
            <w:top w:w="0" w:type="dxa"/>
            <w:left w:w="0" w:type="dxa"/>
            <w:bottom w:w="0" w:type="dxa"/>
            <w:right w:w="0" w:type="dxa"/>
          </w:tblCellMar>
        </w:tblPrEx>
        <w:trPr>
          <w:wBefore w:w="0" w:type="auto"/>
          <w:tblCellSpacing w:w="0" w:type="dxa"/>
        </w:trPr>
        <w:tc>
          <w:tcPr>
            <w:tcW w:w="0" w:type="auto"/>
            <w:noWrap w:val="0"/>
            <w:vAlign w:val="center"/>
          </w:tcPr>
          <w:p w14:paraId="4C6F946D">
            <w:r>
              <w:rPr>
                <w:rStyle w:val="10"/>
                <w:rFonts w:hint="eastAsia"/>
              </w:rPr>
              <w:t>剂型：</w:t>
            </w:r>
            <w:r>
              <w:rPr>
                <w:rFonts w:hint="eastAsia"/>
              </w:rPr>
              <w:t>可溶粒剂</w:t>
            </w:r>
          </w:p>
        </w:tc>
      </w:tr>
      <w:tr w14:paraId="26A4FBD1">
        <w:tblPrEx>
          <w:tblCellMar>
            <w:top w:w="0" w:type="dxa"/>
            <w:left w:w="0" w:type="dxa"/>
            <w:bottom w:w="0" w:type="dxa"/>
            <w:right w:w="0" w:type="dxa"/>
          </w:tblCellMar>
        </w:tblPrEx>
        <w:trPr>
          <w:wBefore w:w="0" w:type="auto"/>
          <w:tblCellSpacing w:w="0" w:type="dxa"/>
        </w:trPr>
        <w:tc>
          <w:tcPr>
            <w:tcW w:w="0" w:type="auto"/>
            <w:noWrap w:val="0"/>
            <w:vAlign w:val="center"/>
          </w:tcPr>
          <w:p w14:paraId="42C6A09C">
            <w:r>
              <w:rPr>
                <w:rStyle w:val="10"/>
                <w:rFonts w:hint="eastAsia"/>
              </w:rPr>
              <w:t>毒性及其标识：</w:t>
            </w:r>
            <w:r>
              <w:rPr>
                <w:rFonts w:hint="eastAsia"/>
              </w:rPr>
              <w:t xml:space="preserve"> </w:t>
            </w:r>
            <w:r>
              <w:rPr>
                <w:lang/>
              </w:rPr>
              <w:drawing>
                <wp:inline distT="0" distB="0" distL="114300" distR="114300">
                  <wp:extent cx="476250" cy="323850"/>
                  <wp:effectExtent l="0" t="0" r="0" b="0"/>
                  <wp:docPr id="444" name="图片 44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FBC0CDC">
        <w:tblPrEx>
          <w:tblCellMar>
            <w:top w:w="0" w:type="dxa"/>
            <w:left w:w="0" w:type="dxa"/>
            <w:bottom w:w="0" w:type="dxa"/>
            <w:right w:w="0" w:type="dxa"/>
          </w:tblCellMar>
        </w:tblPrEx>
        <w:trPr>
          <w:wBefore w:w="0" w:type="auto"/>
          <w:tblCellSpacing w:w="0" w:type="dxa"/>
        </w:trPr>
        <w:tc>
          <w:tcPr>
            <w:tcW w:w="0" w:type="auto"/>
            <w:noWrap w:val="0"/>
            <w:vAlign w:val="center"/>
          </w:tcPr>
          <w:p w14:paraId="086AD67A">
            <w:r>
              <w:rPr>
                <w:rStyle w:val="10"/>
                <w:rFonts w:hint="eastAsia"/>
              </w:rPr>
              <w:t>总有效成分含量：</w:t>
            </w:r>
            <w:r>
              <w:rPr>
                <w:rFonts w:hint="eastAsia"/>
              </w:rPr>
              <w:t>68.2%</w:t>
            </w:r>
          </w:p>
        </w:tc>
      </w:tr>
      <w:tr w14:paraId="084D512B">
        <w:tblPrEx>
          <w:tblCellMar>
            <w:top w:w="0" w:type="dxa"/>
            <w:left w:w="0" w:type="dxa"/>
            <w:bottom w:w="0" w:type="dxa"/>
            <w:right w:w="0" w:type="dxa"/>
          </w:tblCellMar>
        </w:tblPrEx>
        <w:trPr>
          <w:wBefore w:w="0" w:type="auto"/>
          <w:tblCellSpacing w:w="0" w:type="dxa"/>
        </w:trPr>
        <w:tc>
          <w:tcPr>
            <w:tcW w:w="0" w:type="auto"/>
            <w:noWrap w:val="0"/>
            <w:vAlign w:val="center"/>
          </w:tcPr>
          <w:p w14:paraId="175CDFCC">
            <w:r>
              <w:rPr>
                <w:rFonts w:hint="eastAsia"/>
              </w:rPr>
              <w:t xml:space="preserve">有效成分及其含量： </w:t>
            </w:r>
          </w:p>
          <w:p w14:paraId="05924EAC">
            <w:r>
              <w:rPr>
                <w:rFonts w:hint="eastAsia"/>
              </w:rPr>
              <w:t xml:space="preserve">    草甘膦50%    2,4-滴18.2%    </w:t>
            </w:r>
          </w:p>
        </w:tc>
      </w:tr>
      <w:tr w14:paraId="4A7324AF">
        <w:tblPrEx>
          <w:tblCellMar>
            <w:top w:w="0" w:type="dxa"/>
            <w:left w:w="0" w:type="dxa"/>
            <w:bottom w:w="0" w:type="dxa"/>
            <w:right w:w="0" w:type="dxa"/>
          </w:tblCellMar>
        </w:tblPrEx>
        <w:trPr>
          <w:wBefore w:w="0" w:type="auto"/>
          <w:tblCellSpacing w:w="0" w:type="dxa"/>
        </w:trPr>
        <w:tc>
          <w:tcPr>
            <w:tcW w:w="0" w:type="auto"/>
            <w:noWrap w:val="0"/>
            <w:vAlign w:val="center"/>
          </w:tcPr>
          <w:p w14:paraId="1C160C0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102FF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325EE9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6696BC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C509E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C49B2F6">
                  <w:r>
                    <w:rPr>
                      <w:rStyle w:val="11"/>
                      <w:rFonts w:hint="eastAsia"/>
                    </w:rPr>
                    <w:t>施用方式</w:t>
                  </w:r>
                </w:p>
              </w:tc>
            </w:tr>
            <w:tr w14:paraId="75D678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607484F">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61ECD8">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4D236B">
                  <w:r>
                    <w:rPr>
                      <w:rStyle w:val="11"/>
                      <w:rFonts w:hint="eastAsia"/>
                    </w:rPr>
                    <w:t>100-200克/亩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3C9D46">
                  <w:r>
                    <w:rPr>
                      <w:rStyle w:val="11"/>
                      <w:rFonts w:hint="eastAsia"/>
                    </w:rPr>
                    <w:t>茎叶喷雾</w:t>
                  </w:r>
                </w:p>
              </w:tc>
            </w:tr>
          </w:tbl>
          <w:p w14:paraId="26DD2C90">
            <w:pPr>
              <w:rPr>
                <w:rFonts w:ascii="Times New Roman" w:hAnsi="Times New Roman" w:cs="Times New Roman"/>
                <w:sz w:val="20"/>
                <w:szCs w:val="20"/>
              </w:rPr>
            </w:pPr>
          </w:p>
        </w:tc>
      </w:tr>
      <w:tr w14:paraId="52C6646E">
        <w:tblPrEx>
          <w:tblCellMar>
            <w:top w:w="0" w:type="dxa"/>
            <w:left w:w="0" w:type="dxa"/>
            <w:bottom w:w="0" w:type="dxa"/>
            <w:right w:w="0" w:type="dxa"/>
          </w:tblCellMar>
        </w:tblPrEx>
        <w:trPr>
          <w:wBefore w:w="0" w:type="auto"/>
          <w:tblCellSpacing w:w="0" w:type="dxa"/>
        </w:trPr>
        <w:tc>
          <w:tcPr>
            <w:tcW w:w="0" w:type="auto"/>
            <w:noWrap w:val="0"/>
            <w:vAlign w:val="center"/>
          </w:tcPr>
          <w:p w14:paraId="7E4FBC75">
            <w:r>
              <w:rPr>
                <w:rStyle w:val="10"/>
                <w:rFonts w:hint="eastAsia"/>
              </w:rPr>
              <w:t>使用技术要求:</w:t>
            </w:r>
            <w:r>
              <w:rPr>
                <w:rFonts w:hint="eastAsia"/>
              </w:rPr>
              <w:br w:type="textWrapping"/>
            </w:r>
            <w:r>
              <w:rPr>
                <w:rStyle w:val="11"/>
                <w:rFonts w:hint="eastAsia"/>
              </w:rPr>
              <w:t>1.在非耕地杂草旺盛生长期，以推荐剂量兑水均匀茎叶喷雾施药一次。 2.本品每季最多使用1次；对恶性、草龄大的杂草使用推荐剂量的高剂量，施用时需均匀全面喷雾，不漏喷。 3.使用本品后5天勿割草、放牧、翻地等。</w:t>
            </w:r>
          </w:p>
        </w:tc>
      </w:tr>
      <w:tr w14:paraId="18A63E71">
        <w:tblPrEx>
          <w:tblCellMar>
            <w:top w:w="0" w:type="dxa"/>
            <w:left w:w="0" w:type="dxa"/>
            <w:bottom w:w="0" w:type="dxa"/>
            <w:right w:w="0" w:type="dxa"/>
          </w:tblCellMar>
        </w:tblPrEx>
        <w:trPr>
          <w:wBefore w:w="0" w:type="auto"/>
          <w:tblCellSpacing w:w="0" w:type="dxa"/>
        </w:trPr>
        <w:tc>
          <w:tcPr>
            <w:tcW w:w="0" w:type="auto"/>
            <w:noWrap w:val="0"/>
            <w:vAlign w:val="center"/>
          </w:tcPr>
          <w:p w14:paraId="24BB8292">
            <w:r>
              <w:rPr>
                <w:rStyle w:val="10"/>
                <w:rFonts w:hint="eastAsia"/>
              </w:rPr>
              <w:t>产品性能:</w:t>
            </w:r>
            <w:r>
              <w:rPr>
                <w:rFonts w:hint="eastAsia"/>
              </w:rPr>
              <w:br w:type="textWrapping"/>
            </w:r>
            <w:r>
              <w:rPr>
                <w:rStyle w:val="11"/>
                <w:rFonts w:hint="eastAsia"/>
              </w:rPr>
              <w:t>本品是灭生性内吸传导型茎叶处理除草剂草甘膦与选择性激素型内吸除草剂2,4-滴复配的柱状颗粒制剂，通过植物根部和叶部吸收传导，可以快速除草和长效封闭杂草，适用于非耕地一年生或多年生杂草的防除。</w:t>
            </w:r>
          </w:p>
        </w:tc>
      </w:tr>
      <w:tr w14:paraId="3BEE64DA">
        <w:tblPrEx>
          <w:tblCellMar>
            <w:top w:w="0" w:type="dxa"/>
            <w:left w:w="0" w:type="dxa"/>
            <w:bottom w:w="0" w:type="dxa"/>
            <w:right w:w="0" w:type="dxa"/>
          </w:tblCellMar>
        </w:tblPrEx>
        <w:trPr>
          <w:wBefore w:w="0" w:type="auto"/>
          <w:tblCellSpacing w:w="0" w:type="dxa"/>
        </w:trPr>
        <w:tc>
          <w:tcPr>
            <w:tcW w:w="0" w:type="auto"/>
            <w:noWrap w:val="0"/>
            <w:vAlign w:val="center"/>
          </w:tcPr>
          <w:p w14:paraId="4EA282C3">
            <w:r>
              <w:rPr>
                <w:rStyle w:val="10"/>
                <w:rFonts w:hint="eastAsia"/>
              </w:rPr>
              <w:t>注意事项：</w:t>
            </w:r>
            <w:r>
              <w:rPr>
                <w:rFonts w:hint="eastAsia"/>
              </w:rPr>
              <w:br w:type="textWrapping"/>
            </w:r>
            <w:r>
              <w:rPr>
                <w:rStyle w:val="11"/>
                <w:rFonts w:hint="eastAsia"/>
              </w:rPr>
              <w:t>1.施药时应防止药液飘移到作物茎叶上，以免产生药害。2.草甘膦与土壤接触立即失去活性，请使用硬度较低的清水稀配，使用田间浑水等高硬度的水会使药效降低。3. 大风天或预计1小时内有雨，请勿施药；温暖晴天用药效果优于低温天气，喷药后3-4小时下雨会影响药效，可酌情补施。4.严禁与食物、饲料、种子等混放，对金属容器有腐蚀作用。5.本品对眼睛有刺激性，使用本品时穿戴帽子、口罩、长衣、长裤、手套、鞋等，避免吸入药液，此时不能吸烟、饮水、吃东西，施药后要及时洗干净手脸等。6.蚕室及桑园附近禁用。7.远离水产养殖区施药，禁止在河塘等水体中清洗施药器具。禁止药品及其废品接触水源、土壤等环境。器具用肥皂或洗涤剂刷洗，清洗器具的废水不能排入河流、池塘等水源。8.孕妇及哺乳期妇女禁止接触。9.废弃物要妥善处理，不可做他用，也不可随意丢弃。10.禁止在田间道路、田埂、果树行间、休耕地、林场林地等农林业区域使用。</w:t>
            </w:r>
          </w:p>
        </w:tc>
      </w:tr>
      <w:tr w14:paraId="5137548F">
        <w:tblPrEx>
          <w:tblCellMar>
            <w:top w:w="0" w:type="dxa"/>
            <w:left w:w="0" w:type="dxa"/>
            <w:bottom w:w="0" w:type="dxa"/>
            <w:right w:w="0" w:type="dxa"/>
          </w:tblCellMar>
        </w:tblPrEx>
        <w:trPr>
          <w:wBefore w:w="0" w:type="auto"/>
          <w:tblCellSpacing w:w="0" w:type="dxa"/>
        </w:trPr>
        <w:tc>
          <w:tcPr>
            <w:tcW w:w="0" w:type="auto"/>
            <w:noWrap w:val="0"/>
            <w:vAlign w:val="center"/>
          </w:tcPr>
          <w:p w14:paraId="0C24E333">
            <w:r>
              <w:rPr>
                <w:rStyle w:val="10"/>
                <w:rFonts w:hint="eastAsia"/>
              </w:rPr>
              <w:t>中毒急救措施：</w:t>
            </w:r>
            <w:r>
              <w:rPr>
                <w:rFonts w:hint="eastAsia"/>
              </w:rPr>
              <w:br w:type="textWrapping"/>
            </w:r>
            <w:r>
              <w:rPr>
                <w:rStyle w:val="11"/>
                <w:rFonts w:hint="eastAsia"/>
              </w:rPr>
              <w:t>1.对眼睛、皮肤和上呼吸道有刺激作用；施药人员应穿戴好防护用品。2.不慎吸入，应将病人移至空气流通处；若不慎接触或药液滴入眼睛，用清水冲洗15分钟以上。3.尚无特效解毒剂，误吞本品，用清水将嘴清洗干净，不要自行引吐，并携标签送医院诊治，对症治疗。</w:t>
            </w:r>
          </w:p>
        </w:tc>
      </w:tr>
      <w:tr w14:paraId="55C83AF4">
        <w:tblPrEx>
          <w:tblCellMar>
            <w:top w:w="0" w:type="dxa"/>
            <w:left w:w="0" w:type="dxa"/>
            <w:bottom w:w="0" w:type="dxa"/>
            <w:right w:w="0" w:type="dxa"/>
          </w:tblCellMar>
        </w:tblPrEx>
        <w:trPr>
          <w:wBefore w:w="0" w:type="auto"/>
          <w:tblCellSpacing w:w="0" w:type="dxa"/>
        </w:trPr>
        <w:tc>
          <w:tcPr>
            <w:tcW w:w="0" w:type="auto"/>
            <w:noWrap w:val="0"/>
            <w:vAlign w:val="center"/>
          </w:tcPr>
          <w:p w14:paraId="38963C59">
            <w:r>
              <w:rPr>
                <w:rStyle w:val="10"/>
                <w:rFonts w:hint="eastAsia"/>
              </w:rPr>
              <w:t>储存和运输方法：</w:t>
            </w:r>
            <w:r>
              <w:rPr>
                <w:rFonts w:hint="eastAsia"/>
              </w:rPr>
              <w:br w:type="textWrapping"/>
            </w:r>
            <w:r>
              <w:rPr>
                <w:rStyle w:val="11"/>
                <w:rFonts w:hint="eastAsia"/>
              </w:rPr>
              <w:t>1.不能与食品、饮料、粮食、饲料等混合储存和运输；装卸时，注意轻拿轻放，禁止说笑打闹、吃、喝、抽烟。2.储存时防止潮湿和日光直晒，远离火源或热源。3.置于儿童接触不到的地方，加锁保存。</w:t>
            </w:r>
          </w:p>
        </w:tc>
      </w:tr>
      <w:tr w14:paraId="4E848E2F">
        <w:tblPrEx>
          <w:tblCellMar>
            <w:top w:w="0" w:type="dxa"/>
            <w:left w:w="0" w:type="dxa"/>
            <w:bottom w:w="0" w:type="dxa"/>
            <w:right w:w="0" w:type="dxa"/>
          </w:tblCellMar>
        </w:tblPrEx>
        <w:trPr>
          <w:wBefore w:w="0" w:type="auto"/>
          <w:tblCellSpacing w:w="0" w:type="dxa"/>
        </w:trPr>
        <w:tc>
          <w:tcPr>
            <w:tcW w:w="0" w:type="auto"/>
            <w:noWrap w:val="0"/>
            <w:vAlign w:val="center"/>
          </w:tcPr>
          <w:p w14:paraId="47F56AF1">
            <w:r>
              <w:rPr>
                <w:rStyle w:val="10"/>
                <w:rFonts w:hint="eastAsia"/>
              </w:rPr>
              <w:t>质量保证期：</w:t>
            </w:r>
            <w:r>
              <w:rPr>
                <w:rStyle w:val="11"/>
                <w:rFonts w:hint="eastAsia"/>
              </w:rPr>
              <w:t>2年</w:t>
            </w:r>
          </w:p>
        </w:tc>
      </w:tr>
      <w:tr w14:paraId="3B27FE75">
        <w:tblPrEx>
          <w:tblCellMar>
            <w:top w:w="0" w:type="dxa"/>
            <w:left w:w="0" w:type="dxa"/>
            <w:bottom w:w="0" w:type="dxa"/>
            <w:right w:w="0" w:type="dxa"/>
          </w:tblCellMar>
        </w:tblPrEx>
        <w:trPr>
          <w:wBefore w:w="0" w:type="auto"/>
          <w:tblCellSpacing w:w="0" w:type="dxa"/>
        </w:trPr>
        <w:tc>
          <w:tcPr>
            <w:tcW w:w="0" w:type="auto"/>
            <w:noWrap w:val="0"/>
            <w:vAlign w:val="center"/>
          </w:tcPr>
          <w:p w14:paraId="12C45837">
            <w:r>
              <w:rPr>
                <w:rStyle w:val="10"/>
                <w:rFonts w:hint="eastAsia"/>
              </w:rPr>
              <w:t>备注：</w:t>
            </w:r>
            <w:r>
              <w:rPr>
                <w:rFonts w:hint="eastAsia"/>
              </w:rPr>
              <w:br w:type="textWrapping"/>
            </w:r>
            <w:r>
              <w:rPr>
                <w:rStyle w:val="11"/>
                <w:rFonts w:hint="eastAsia"/>
              </w:rPr>
              <w:t>草甘膦铵盐55%，2,4-滴钠盐20%。</w:t>
            </w:r>
          </w:p>
        </w:tc>
      </w:tr>
    </w:tbl>
    <w:p w14:paraId="0D25967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99B6A03">
        <w:tblPrEx>
          <w:tblCellMar>
            <w:top w:w="0" w:type="dxa"/>
            <w:left w:w="0" w:type="dxa"/>
            <w:bottom w:w="0" w:type="dxa"/>
            <w:right w:w="0" w:type="dxa"/>
          </w:tblCellMar>
        </w:tblPrEx>
        <w:trPr>
          <w:wBefore w:w="0" w:type="auto"/>
          <w:tblCellSpacing w:w="0" w:type="dxa"/>
        </w:trPr>
        <w:tc>
          <w:tcPr>
            <w:tcW w:w="0" w:type="auto"/>
            <w:noWrap w:val="0"/>
            <w:vAlign w:val="center"/>
          </w:tcPr>
          <w:p w14:paraId="1F8D968E">
            <w:r>
              <w:rPr>
                <w:rStyle w:val="10"/>
                <w:rFonts w:hint="eastAsia"/>
              </w:rPr>
              <w:t>登记证号：</w:t>
            </w:r>
            <w:r>
              <w:rPr>
                <w:rFonts w:hint="eastAsia"/>
              </w:rPr>
              <w:t>PD20211928</w:t>
            </w:r>
          </w:p>
        </w:tc>
      </w:tr>
      <w:tr w14:paraId="3FCBA85C">
        <w:tblPrEx>
          <w:tblCellMar>
            <w:top w:w="0" w:type="dxa"/>
            <w:left w:w="0" w:type="dxa"/>
            <w:bottom w:w="0" w:type="dxa"/>
            <w:right w:w="0" w:type="dxa"/>
          </w:tblCellMar>
        </w:tblPrEx>
        <w:trPr>
          <w:wBefore w:w="0" w:type="auto"/>
          <w:tblCellSpacing w:w="0" w:type="dxa"/>
        </w:trPr>
        <w:tc>
          <w:tcPr>
            <w:tcW w:w="0" w:type="auto"/>
            <w:noWrap w:val="0"/>
            <w:vAlign w:val="center"/>
          </w:tcPr>
          <w:p w14:paraId="013952E5">
            <w:r>
              <w:rPr>
                <w:rStyle w:val="10"/>
                <w:rFonts w:hint="eastAsia"/>
              </w:rPr>
              <w:t>登记证持有人：</w:t>
            </w:r>
            <w:r>
              <w:rPr>
                <w:rFonts w:hint="eastAsia"/>
              </w:rPr>
              <w:t>浙江龙游东方阿纳萨克作物科技有限公司</w:t>
            </w:r>
          </w:p>
        </w:tc>
      </w:tr>
      <w:tr w14:paraId="5531F126">
        <w:tblPrEx>
          <w:tblCellMar>
            <w:top w:w="0" w:type="dxa"/>
            <w:left w:w="0" w:type="dxa"/>
            <w:bottom w:w="0" w:type="dxa"/>
            <w:right w:w="0" w:type="dxa"/>
          </w:tblCellMar>
        </w:tblPrEx>
        <w:trPr>
          <w:wBefore w:w="0" w:type="auto"/>
          <w:tblCellSpacing w:w="0" w:type="dxa"/>
        </w:trPr>
        <w:tc>
          <w:tcPr>
            <w:tcW w:w="0" w:type="auto"/>
            <w:noWrap w:val="0"/>
            <w:vAlign w:val="center"/>
          </w:tcPr>
          <w:p w14:paraId="481B923D">
            <w:r>
              <w:rPr>
                <w:rStyle w:val="10"/>
                <w:rFonts w:hint="eastAsia"/>
              </w:rPr>
              <w:t>农药名称：</w:t>
            </w:r>
            <w:r>
              <w:rPr>
                <w:rFonts w:hint="eastAsia"/>
              </w:rPr>
              <w:t>嘧环·咯菌腈</w:t>
            </w:r>
          </w:p>
        </w:tc>
      </w:tr>
      <w:tr w14:paraId="36C647BB">
        <w:tblPrEx>
          <w:tblCellMar>
            <w:top w:w="0" w:type="dxa"/>
            <w:left w:w="0" w:type="dxa"/>
            <w:bottom w:w="0" w:type="dxa"/>
            <w:right w:w="0" w:type="dxa"/>
          </w:tblCellMar>
        </w:tblPrEx>
        <w:trPr>
          <w:wBefore w:w="0" w:type="auto"/>
          <w:tblCellSpacing w:w="0" w:type="dxa"/>
        </w:trPr>
        <w:tc>
          <w:tcPr>
            <w:tcW w:w="0" w:type="auto"/>
            <w:noWrap w:val="0"/>
            <w:vAlign w:val="center"/>
          </w:tcPr>
          <w:p w14:paraId="0230DD19">
            <w:r>
              <w:rPr>
                <w:rStyle w:val="10"/>
                <w:rFonts w:hint="eastAsia"/>
              </w:rPr>
              <w:t>剂型：</w:t>
            </w:r>
            <w:r>
              <w:rPr>
                <w:rFonts w:hint="eastAsia"/>
              </w:rPr>
              <w:t>悬浮剂</w:t>
            </w:r>
          </w:p>
        </w:tc>
      </w:tr>
      <w:tr w14:paraId="7CEA716E">
        <w:tblPrEx>
          <w:tblCellMar>
            <w:top w:w="0" w:type="dxa"/>
            <w:left w:w="0" w:type="dxa"/>
            <w:bottom w:w="0" w:type="dxa"/>
            <w:right w:w="0" w:type="dxa"/>
          </w:tblCellMar>
        </w:tblPrEx>
        <w:trPr>
          <w:wBefore w:w="0" w:type="auto"/>
          <w:tblCellSpacing w:w="0" w:type="dxa"/>
        </w:trPr>
        <w:tc>
          <w:tcPr>
            <w:tcW w:w="0" w:type="auto"/>
            <w:noWrap w:val="0"/>
            <w:vAlign w:val="center"/>
          </w:tcPr>
          <w:p w14:paraId="16B2A6AF">
            <w:r>
              <w:rPr>
                <w:rStyle w:val="10"/>
                <w:rFonts w:hint="eastAsia"/>
              </w:rPr>
              <w:t>毒性及其标识：</w:t>
            </w:r>
            <w:r>
              <w:rPr>
                <w:rFonts w:hint="eastAsia"/>
              </w:rPr>
              <w:t xml:space="preserve"> </w:t>
            </w:r>
            <w:r>
              <w:rPr>
                <w:lang/>
              </w:rPr>
              <w:drawing>
                <wp:inline distT="0" distB="0" distL="114300" distR="114300">
                  <wp:extent cx="476250" cy="323850"/>
                  <wp:effectExtent l="0" t="0" r="0" b="0"/>
                  <wp:docPr id="445" name="图片 44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3A88A89">
        <w:tblPrEx>
          <w:tblCellMar>
            <w:top w:w="0" w:type="dxa"/>
            <w:left w:w="0" w:type="dxa"/>
            <w:bottom w:w="0" w:type="dxa"/>
            <w:right w:w="0" w:type="dxa"/>
          </w:tblCellMar>
        </w:tblPrEx>
        <w:trPr>
          <w:wBefore w:w="0" w:type="auto"/>
          <w:tblCellSpacing w:w="0" w:type="dxa"/>
        </w:trPr>
        <w:tc>
          <w:tcPr>
            <w:tcW w:w="0" w:type="auto"/>
            <w:noWrap w:val="0"/>
            <w:vAlign w:val="center"/>
          </w:tcPr>
          <w:p w14:paraId="21B356FF">
            <w:r>
              <w:rPr>
                <w:rStyle w:val="10"/>
                <w:rFonts w:hint="eastAsia"/>
              </w:rPr>
              <w:t>总有效成分含量：</w:t>
            </w:r>
            <w:r>
              <w:rPr>
                <w:rFonts w:hint="eastAsia"/>
              </w:rPr>
              <w:t>50%</w:t>
            </w:r>
          </w:p>
        </w:tc>
      </w:tr>
      <w:tr w14:paraId="69AD53A0">
        <w:tblPrEx>
          <w:tblCellMar>
            <w:top w:w="0" w:type="dxa"/>
            <w:left w:w="0" w:type="dxa"/>
            <w:bottom w:w="0" w:type="dxa"/>
            <w:right w:w="0" w:type="dxa"/>
          </w:tblCellMar>
        </w:tblPrEx>
        <w:trPr>
          <w:wBefore w:w="0" w:type="auto"/>
          <w:tblCellSpacing w:w="0" w:type="dxa"/>
        </w:trPr>
        <w:tc>
          <w:tcPr>
            <w:tcW w:w="0" w:type="auto"/>
            <w:noWrap w:val="0"/>
            <w:vAlign w:val="center"/>
          </w:tcPr>
          <w:p w14:paraId="7CE51F94">
            <w:r>
              <w:rPr>
                <w:rFonts w:hint="eastAsia"/>
              </w:rPr>
              <w:t xml:space="preserve">有效成分及其含量： </w:t>
            </w:r>
          </w:p>
          <w:p w14:paraId="4378BEFE">
            <w:r>
              <w:rPr>
                <w:rFonts w:hint="eastAsia"/>
              </w:rPr>
              <w:t xml:space="preserve">    嘧菌环胺30%    咯菌腈20%    </w:t>
            </w:r>
          </w:p>
        </w:tc>
      </w:tr>
      <w:tr w14:paraId="58A469A9">
        <w:tblPrEx>
          <w:tblCellMar>
            <w:top w:w="0" w:type="dxa"/>
            <w:left w:w="0" w:type="dxa"/>
            <w:bottom w:w="0" w:type="dxa"/>
            <w:right w:w="0" w:type="dxa"/>
          </w:tblCellMar>
        </w:tblPrEx>
        <w:trPr>
          <w:wBefore w:w="0" w:type="auto"/>
          <w:tblCellSpacing w:w="0" w:type="dxa"/>
        </w:trPr>
        <w:tc>
          <w:tcPr>
            <w:tcW w:w="0" w:type="auto"/>
            <w:noWrap w:val="0"/>
            <w:vAlign w:val="center"/>
          </w:tcPr>
          <w:p w14:paraId="582007F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6D171E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DEABD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4C5058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B15586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5FFB65">
                  <w:r>
                    <w:rPr>
                      <w:rStyle w:val="11"/>
                      <w:rFonts w:hint="eastAsia"/>
                    </w:rPr>
                    <w:t>施用方式</w:t>
                  </w:r>
                </w:p>
              </w:tc>
            </w:tr>
            <w:tr w14:paraId="2A90CF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25928A">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F46BE8">
                  <w:r>
                    <w:rPr>
                      <w:rStyle w:val="11"/>
                      <w:rFonts w:hint="eastAsia"/>
                    </w:rPr>
                    <w:t>灰霉病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3B4DB8">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3A2C65">
                  <w:r>
                    <w:rPr>
                      <w:rStyle w:val="11"/>
                      <w:rFonts w:hint="eastAsia"/>
                    </w:rPr>
                    <w:t>喷雾</w:t>
                  </w:r>
                </w:p>
              </w:tc>
            </w:tr>
          </w:tbl>
          <w:p w14:paraId="50F3E35A">
            <w:pPr>
              <w:rPr>
                <w:rFonts w:ascii="Times New Roman" w:hAnsi="Times New Roman" w:cs="Times New Roman"/>
                <w:sz w:val="20"/>
                <w:szCs w:val="20"/>
              </w:rPr>
            </w:pPr>
          </w:p>
        </w:tc>
      </w:tr>
      <w:tr w14:paraId="359B8428">
        <w:tblPrEx>
          <w:tblCellMar>
            <w:top w:w="0" w:type="dxa"/>
            <w:left w:w="0" w:type="dxa"/>
            <w:bottom w:w="0" w:type="dxa"/>
            <w:right w:w="0" w:type="dxa"/>
          </w:tblCellMar>
        </w:tblPrEx>
        <w:trPr>
          <w:wBefore w:w="0" w:type="auto"/>
          <w:tblCellSpacing w:w="0" w:type="dxa"/>
        </w:trPr>
        <w:tc>
          <w:tcPr>
            <w:tcW w:w="0" w:type="auto"/>
            <w:noWrap w:val="0"/>
            <w:vAlign w:val="center"/>
          </w:tcPr>
          <w:p w14:paraId="052D0883">
            <w:r>
              <w:rPr>
                <w:rStyle w:val="10"/>
                <w:rFonts w:hint="eastAsia"/>
              </w:rPr>
              <w:t>使用技术要求:</w:t>
            </w:r>
            <w:r>
              <w:rPr>
                <w:rFonts w:hint="eastAsia"/>
              </w:rPr>
              <w:br w:type="textWrapping"/>
            </w:r>
            <w:r>
              <w:rPr>
                <w:rStyle w:val="11"/>
                <w:rFonts w:hint="eastAsia"/>
              </w:rPr>
              <w:t>1. 于葡萄灰霉病发生前或发病初期喷雾施药，连续施药2次，间隔7-10天。制剂用药量为2000-3000倍液，施药时注意喷雾要均匀、周到，以确保防效。 2. 大风天或预计1小时内有雨，请勿施药。3、本品在葡萄上的安全间隔期为14天，每季最多施药2次。</w:t>
            </w:r>
          </w:p>
        </w:tc>
      </w:tr>
      <w:tr w14:paraId="43970A89">
        <w:tblPrEx>
          <w:tblCellMar>
            <w:top w:w="0" w:type="dxa"/>
            <w:left w:w="0" w:type="dxa"/>
            <w:bottom w:w="0" w:type="dxa"/>
            <w:right w:w="0" w:type="dxa"/>
          </w:tblCellMar>
        </w:tblPrEx>
        <w:trPr>
          <w:wBefore w:w="0" w:type="auto"/>
          <w:tblCellSpacing w:w="0" w:type="dxa"/>
        </w:trPr>
        <w:tc>
          <w:tcPr>
            <w:tcW w:w="0" w:type="auto"/>
            <w:noWrap w:val="0"/>
            <w:vAlign w:val="center"/>
          </w:tcPr>
          <w:p w14:paraId="4465281A">
            <w:r>
              <w:rPr>
                <w:rStyle w:val="10"/>
                <w:rFonts w:hint="eastAsia"/>
              </w:rPr>
              <w:t>产品性能:</w:t>
            </w:r>
            <w:r>
              <w:rPr>
                <w:rFonts w:hint="eastAsia"/>
              </w:rPr>
              <w:br w:type="textWrapping"/>
            </w:r>
            <w:r>
              <w:rPr>
                <w:rStyle w:val="11"/>
                <w:rFonts w:hint="eastAsia"/>
              </w:rPr>
              <w:t xml:space="preserve">本品由嘧菌环胺与咯菌腈复配而成，兼具保护和治疗活性，持效期长，对葡萄灰霉病有较好的活性。 </w:t>
            </w:r>
          </w:p>
        </w:tc>
      </w:tr>
      <w:tr w14:paraId="01AF9AA0">
        <w:tblPrEx>
          <w:tblCellMar>
            <w:top w:w="0" w:type="dxa"/>
            <w:left w:w="0" w:type="dxa"/>
            <w:bottom w:w="0" w:type="dxa"/>
            <w:right w:w="0" w:type="dxa"/>
          </w:tblCellMar>
        </w:tblPrEx>
        <w:trPr>
          <w:wBefore w:w="0" w:type="auto"/>
          <w:tblCellSpacing w:w="0" w:type="dxa"/>
        </w:trPr>
        <w:tc>
          <w:tcPr>
            <w:tcW w:w="0" w:type="auto"/>
            <w:noWrap w:val="0"/>
            <w:vAlign w:val="center"/>
          </w:tcPr>
          <w:p w14:paraId="07C9E2DF">
            <w:r>
              <w:rPr>
                <w:rStyle w:val="10"/>
                <w:rFonts w:hint="eastAsia"/>
              </w:rPr>
              <w:t>注意事项：</w:t>
            </w:r>
            <w:r>
              <w:rPr>
                <w:rFonts w:hint="eastAsia"/>
              </w:rPr>
              <w:br w:type="textWrapping"/>
            </w:r>
            <w:r>
              <w:rPr>
                <w:rStyle w:val="11"/>
                <w:rFonts w:hint="eastAsia"/>
              </w:rPr>
              <w:t>1. 本品按推荐剂量使用，对作物安全。 2. 本品对鱼和水生生物有毒，远离水产养殖区、河塘等水域施药，禁止在河塘等水体中清洗施药器具，药液及其废液不得污染各类水域。蚕室及桑园附近禁用。 赤眼蜂等天敌放飞区域禁用。 3. 本品不可与呈碱性的农药等物质混合使用。 4. 使用本品应采取相应的安全防护措施，穿防护服、戴防护手套、口罩等，避免皮肤接触及口鼻吸入，使用中不准吸烟、饮水、进食，使用后要及时清洗手、脸等暴露部位并更换衣物。 5. 孕妇及哺乳期妇女避免接触本品。 6. 该产品与中等氧化剂化学不相容，避免与氧化剂接触。</w:t>
            </w:r>
          </w:p>
        </w:tc>
      </w:tr>
      <w:tr w14:paraId="41374D1B">
        <w:tblPrEx>
          <w:tblCellMar>
            <w:top w:w="0" w:type="dxa"/>
            <w:left w:w="0" w:type="dxa"/>
            <w:bottom w:w="0" w:type="dxa"/>
            <w:right w:w="0" w:type="dxa"/>
          </w:tblCellMar>
        </w:tblPrEx>
        <w:trPr>
          <w:wBefore w:w="0" w:type="auto"/>
          <w:tblCellSpacing w:w="0" w:type="dxa"/>
        </w:trPr>
        <w:tc>
          <w:tcPr>
            <w:tcW w:w="0" w:type="auto"/>
            <w:noWrap w:val="0"/>
            <w:vAlign w:val="center"/>
          </w:tcPr>
          <w:p w14:paraId="484E89D3">
            <w:r>
              <w:rPr>
                <w:rStyle w:val="10"/>
                <w:rFonts w:hint="eastAsia"/>
              </w:rPr>
              <w:t>中毒急救措施：</w:t>
            </w:r>
            <w:r>
              <w:rPr>
                <w:rFonts w:hint="eastAsia"/>
              </w:rPr>
              <w:br w:type="textWrapping"/>
            </w:r>
            <w:r>
              <w:rPr>
                <w:rStyle w:val="11"/>
                <w:rFonts w:hint="eastAsia"/>
              </w:rPr>
              <w:t xml:space="preserve">急救措施：本品对眼睛有刺激性。使用中或使用后如果感觉不适，应立即停止工作，采取急救措施，并携带标签送医院就诊。 皮肤接触:立即脱掉被污染的衣物，用大量清水彻底清洗受污染的皮肤，如皮肤刺激感持续，请医生诊治。眼睛溅药：立即将眼睑翻开，用清水冲洗至少15分钟再请医生诊治。 吸入：立即将吸入者转移到空气清新处，如果吸入者停止呼吸，需进行人工呼吸。注意保暖和休息，请医生诊治。不慎误食:立即停止服用，用清水充分漱口后，立即携带农药标签到医院就诊。无特效解毒剂，对症治疗。 </w:t>
            </w:r>
          </w:p>
        </w:tc>
      </w:tr>
      <w:tr w14:paraId="6DA8BC29">
        <w:tblPrEx>
          <w:tblCellMar>
            <w:top w:w="0" w:type="dxa"/>
            <w:left w:w="0" w:type="dxa"/>
            <w:bottom w:w="0" w:type="dxa"/>
            <w:right w:w="0" w:type="dxa"/>
          </w:tblCellMar>
        </w:tblPrEx>
        <w:trPr>
          <w:wBefore w:w="0" w:type="auto"/>
          <w:tblCellSpacing w:w="0" w:type="dxa"/>
        </w:trPr>
        <w:tc>
          <w:tcPr>
            <w:tcW w:w="0" w:type="auto"/>
            <w:noWrap w:val="0"/>
            <w:vAlign w:val="center"/>
          </w:tcPr>
          <w:p w14:paraId="24E8993F">
            <w:r>
              <w:rPr>
                <w:rStyle w:val="10"/>
                <w:rFonts w:hint="eastAsia"/>
              </w:rPr>
              <w:t>储存和运输方法：</w:t>
            </w:r>
            <w:r>
              <w:rPr>
                <w:rFonts w:hint="eastAsia"/>
              </w:rPr>
              <w:br w:type="textWrapping"/>
            </w:r>
            <w:r>
              <w:rPr>
                <w:rStyle w:val="11"/>
                <w:rFonts w:hint="eastAsia"/>
              </w:rPr>
              <w:t xml:space="preserve">本品应贮存在阴暗、低温、干燥、通风的库房中，装卸时，轻拿轻放，严禁倒置或碰翻，储运时，严防潮湿和日晒，远离火源和水源，避免直接暴露在阳光下。置于儿童、无关人员及动物触及不到的地方，并加锁贮存。勿与食品、饮料、粮食、饲料及其他物品同储同运。 </w:t>
            </w:r>
          </w:p>
        </w:tc>
      </w:tr>
      <w:tr w14:paraId="4A8E70B7">
        <w:tblPrEx>
          <w:tblCellMar>
            <w:top w:w="0" w:type="dxa"/>
            <w:left w:w="0" w:type="dxa"/>
            <w:bottom w:w="0" w:type="dxa"/>
            <w:right w:w="0" w:type="dxa"/>
          </w:tblCellMar>
        </w:tblPrEx>
        <w:trPr>
          <w:wBefore w:w="0" w:type="auto"/>
          <w:tblCellSpacing w:w="0" w:type="dxa"/>
        </w:trPr>
        <w:tc>
          <w:tcPr>
            <w:tcW w:w="0" w:type="auto"/>
            <w:noWrap w:val="0"/>
            <w:vAlign w:val="center"/>
          </w:tcPr>
          <w:p w14:paraId="43F4DE60">
            <w:r>
              <w:rPr>
                <w:rStyle w:val="10"/>
                <w:rFonts w:hint="eastAsia"/>
              </w:rPr>
              <w:t>质量保证期：</w:t>
            </w:r>
            <w:r>
              <w:rPr>
                <w:rStyle w:val="11"/>
                <w:rFonts w:hint="eastAsia"/>
              </w:rPr>
              <w:t>2年</w:t>
            </w:r>
          </w:p>
        </w:tc>
      </w:tr>
      <w:tr w14:paraId="617DAAF5">
        <w:tblPrEx>
          <w:tblCellMar>
            <w:top w:w="0" w:type="dxa"/>
            <w:left w:w="0" w:type="dxa"/>
            <w:bottom w:w="0" w:type="dxa"/>
            <w:right w:w="0" w:type="dxa"/>
          </w:tblCellMar>
        </w:tblPrEx>
        <w:trPr>
          <w:wBefore w:w="0" w:type="auto"/>
          <w:tblCellSpacing w:w="0" w:type="dxa"/>
        </w:trPr>
        <w:tc>
          <w:tcPr>
            <w:tcW w:w="0" w:type="auto"/>
            <w:noWrap w:val="0"/>
            <w:vAlign w:val="center"/>
          </w:tcPr>
          <w:p w14:paraId="56C19697">
            <w:r>
              <w:rPr>
                <w:rStyle w:val="10"/>
                <w:rFonts w:hint="eastAsia"/>
              </w:rPr>
              <w:t>备注：</w:t>
            </w:r>
          </w:p>
        </w:tc>
      </w:tr>
    </w:tbl>
    <w:p w14:paraId="7787D13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928D343">
        <w:tblPrEx>
          <w:tblCellMar>
            <w:top w:w="0" w:type="dxa"/>
            <w:left w:w="0" w:type="dxa"/>
            <w:bottom w:w="0" w:type="dxa"/>
            <w:right w:w="0" w:type="dxa"/>
          </w:tblCellMar>
        </w:tblPrEx>
        <w:trPr>
          <w:wBefore w:w="0" w:type="auto"/>
          <w:tblCellSpacing w:w="0" w:type="dxa"/>
        </w:trPr>
        <w:tc>
          <w:tcPr>
            <w:tcW w:w="0" w:type="auto"/>
            <w:noWrap w:val="0"/>
            <w:vAlign w:val="center"/>
          </w:tcPr>
          <w:p w14:paraId="3978CCA8">
            <w:r>
              <w:rPr>
                <w:rStyle w:val="10"/>
                <w:rFonts w:hint="eastAsia"/>
              </w:rPr>
              <w:t>登记证号：</w:t>
            </w:r>
            <w:r>
              <w:rPr>
                <w:rFonts w:hint="eastAsia"/>
              </w:rPr>
              <w:t>PD20152327</w:t>
            </w:r>
          </w:p>
        </w:tc>
      </w:tr>
      <w:tr w14:paraId="35C7572B">
        <w:tblPrEx>
          <w:tblCellMar>
            <w:top w:w="0" w:type="dxa"/>
            <w:left w:w="0" w:type="dxa"/>
            <w:bottom w:w="0" w:type="dxa"/>
            <w:right w:w="0" w:type="dxa"/>
          </w:tblCellMar>
        </w:tblPrEx>
        <w:trPr>
          <w:wBefore w:w="0" w:type="auto"/>
          <w:tblCellSpacing w:w="0" w:type="dxa"/>
        </w:trPr>
        <w:tc>
          <w:tcPr>
            <w:tcW w:w="0" w:type="auto"/>
            <w:noWrap w:val="0"/>
            <w:vAlign w:val="center"/>
          </w:tcPr>
          <w:p w14:paraId="3831B56B">
            <w:r>
              <w:rPr>
                <w:rStyle w:val="10"/>
                <w:rFonts w:hint="eastAsia"/>
              </w:rPr>
              <w:t>登记证持有人：</w:t>
            </w:r>
            <w:r>
              <w:rPr>
                <w:rFonts w:hint="eastAsia"/>
              </w:rPr>
              <w:t>济南绿霸农药有限公司</w:t>
            </w:r>
          </w:p>
        </w:tc>
      </w:tr>
      <w:tr w14:paraId="6CC08495">
        <w:tblPrEx>
          <w:tblCellMar>
            <w:top w:w="0" w:type="dxa"/>
            <w:left w:w="0" w:type="dxa"/>
            <w:bottom w:w="0" w:type="dxa"/>
            <w:right w:w="0" w:type="dxa"/>
          </w:tblCellMar>
        </w:tblPrEx>
        <w:trPr>
          <w:wBefore w:w="0" w:type="auto"/>
          <w:tblCellSpacing w:w="0" w:type="dxa"/>
        </w:trPr>
        <w:tc>
          <w:tcPr>
            <w:tcW w:w="0" w:type="auto"/>
            <w:noWrap w:val="0"/>
            <w:vAlign w:val="center"/>
          </w:tcPr>
          <w:p w14:paraId="5B34F9C7">
            <w:r>
              <w:rPr>
                <w:rStyle w:val="10"/>
                <w:rFonts w:hint="eastAsia"/>
              </w:rPr>
              <w:t>农药名称：</w:t>
            </w:r>
            <w:r>
              <w:rPr>
                <w:rFonts w:hint="eastAsia"/>
              </w:rPr>
              <w:t>咯菌腈</w:t>
            </w:r>
          </w:p>
        </w:tc>
      </w:tr>
      <w:tr w14:paraId="21B9BB6B">
        <w:tblPrEx>
          <w:tblCellMar>
            <w:top w:w="0" w:type="dxa"/>
            <w:left w:w="0" w:type="dxa"/>
            <w:bottom w:w="0" w:type="dxa"/>
            <w:right w:w="0" w:type="dxa"/>
          </w:tblCellMar>
        </w:tblPrEx>
        <w:trPr>
          <w:wBefore w:w="0" w:type="auto"/>
          <w:tblCellSpacing w:w="0" w:type="dxa"/>
        </w:trPr>
        <w:tc>
          <w:tcPr>
            <w:tcW w:w="0" w:type="auto"/>
            <w:noWrap w:val="0"/>
            <w:vAlign w:val="center"/>
          </w:tcPr>
          <w:p w14:paraId="1BB4883A">
            <w:r>
              <w:rPr>
                <w:rStyle w:val="10"/>
                <w:rFonts w:hint="eastAsia"/>
              </w:rPr>
              <w:t>剂型：</w:t>
            </w:r>
            <w:r>
              <w:rPr>
                <w:rFonts w:hint="eastAsia"/>
              </w:rPr>
              <w:t>种子处理悬浮剂</w:t>
            </w:r>
          </w:p>
        </w:tc>
      </w:tr>
      <w:tr w14:paraId="75E4007F">
        <w:tblPrEx>
          <w:tblCellMar>
            <w:top w:w="0" w:type="dxa"/>
            <w:left w:w="0" w:type="dxa"/>
            <w:bottom w:w="0" w:type="dxa"/>
            <w:right w:w="0" w:type="dxa"/>
          </w:tblCellMar>
        </w:tblPrEx>
        <w:trPr>
          <w:wBefore w:w="0" w:type="auto"/>
          <w:tblCellSpacing w:w="0" w:type="dxa"/>
        </w:trPr>
        <w:tc>
          <w:tcPr>
            <w:tcW w:w="0" w:type="auto"/>
            <w:noWrap w:val="0"/>
            <w:vAlign w:val="center"/>
          </w:tcPr>
          <w:p w14:paraId="097BD417">
            <w:r>
              <w:rPr>
                <w:rStyle w:val="10"/>
                <w:rFonts w:hint="eastAsia"/>
              </w:rPr>
              <w:t>毒性及其标识：</w:t>
            </w:r>
            <w:r>
              <w:rPr>
                <w:rFonts w:hint="eastAsia"/>
              </w:rPr>
              <w:t xml:space="preserve"> </w:t>
            </w:r>
            <w:r>
              <w:rPr>
                <w:lang/>
              </w:rPr>
              <w:drawing>
                <wp:inline distT="0" distB="0" distL="114300" distR="114300">
                  <wp:extent cx="476250" cy="323850"/>
                  <wp:effectExtent l="0" t="0" r="0" b="0"/>
                  <wp:docPr id="446" name="图片 44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DB2D20B">
        <w:tblPrEx>
          <w:tblCellMar>
            <w:top w:w="0" w:type="dxa"/>
            <w:left w:w="0" w:type="dxa"/>
            <w:bottom w:w="0" w:type="dxa"/>
            <w:right w:w="0" w:type="dxa"/>
          </w:tblCellMar>
        </w:tblPrEx>
        <w:trPr>
          <w:wBefore w:w="0" w:type="auto"/>
          <w:tblCellSpacing w:w="0" w:type="dxa"/>
        </w:trPr>
        <w:tc>
          <w:tcPr>
            <w:tcW w:w="0" w:type="auto"/>
            <w:noWrap w:val="0"/>
            <w:vAlign w:val="center"/>
          </w:tcPr>
          <w:p w14:paraId="238BEA4E">
            <w:r>
              <w:rPr>
                <w:rStyle w:val="10"/>
                <w:rFonts w:hint="eastAsia"/>
              </w:rPr>
              <w:t>总有效成分含量：</w:t>
            </w:r>
            <w:r>
              <w:rPr>
                <w:rFonts w:hint="eastAsia"/>
              </w:rPr>
              <w:t>25克/升</w:t>
            </w:r>
          </w:p>
        </w:tc>
      </w:tr>
      <w:tr w14:paraId="4B3A54A6">
        <w:tblPrEx>
          <w:tblCellMar>
            <w:top w:w="0" w:type="dxa"/>
            <w:left w:w="0" w:type="dxa"/>
            <w:bottom w:w="0" w:type="dxa"/>
            <w:right w:w="0" w:type="dxa"/>
          </w:tblCellMar>
        </w:tblPrEx>
        <w:trPr>
          <w:wBefore w:w="0" w:type="auto"/>
          <w:tblCellSpacing w:w="0" w:type="dxa"/>
        </w:trPr>
        <w:tc>
          <w:tcPr>
            <w:tcW w:w="0" w:type="auto"/>
            <w:noWrap w:val="0"/>
            <w:vAlign w:val="center"/>
          </w:tcPr>
          <w:p w14:paraId="5CF223EF">
            <w:r>
              <w:rPr>
                <w:rFonts w:hint="eastAsia"/>
              </w:rPr>
              <w:t xml:space="preserve">有效成分及其含量： </w:t>
            </w:r>
          </w:p>
          <w:p w14:paraId="70A9FD3B">
            <w:r>
              <w:rPr>
                <w:rFonts w:hint="eastAsia"/>
              </w:rPr>
              <w:t xml:space="preserve">    咯菌腈25克/升    </w:t>
            </w:r>
          </w:p>
        </w:tc>
      </w:tr>
      <w:tr w14:paraId="1C944E0F">
        <w:tblPrEx>
          <w:tblCellMar>
            <w:top w:w="0" w:type="dxa"/>
            <w:left w:w="0" w:type="dxa"/>
            <w:bottom w:w="0" w:type="dxa"/>
            <w:right w:w="0" w:type="dxa"/>
          </w:tblCellMar>
        </w:tblPrEx>
        <w:trPr>
          <w:wBefore w:w="0" w:type="auto"/>
          <w:tblCellSpacing w:w="0" w:type="dxa"/>
        </w:trPr>
        <w:tc>
          <w:tcPr>
            <w:tcW w:w="0" w:type="auto"/>
            <w:noWrap w:val="0"/>
            <w:vAlign w:val="center"/>
          </w:tcPr>
          <w:p w14:paraId="37610FA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E44AC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22524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0C6F0B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AAE851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77A7A94">
                  <w:r>
                    <w:rPr>
                      <w:rStyle w:val="11"/>
                      <w:rFonts w:hint="eastAsia"/>
                    </w:rPr>
                    <w:t>施用方式</w:t>
                  </w:r>
                </w:p>
              </w:tc>
            </w:tr>
            <w:tr w14:paraId="00C467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EE0F352">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576C74">
                  <w:r>
                    <w:rPr>
                      <w:rStyle w:val="11"/>
                      <w:rFonts w:hint="eastAsia"/>
                    </w:rPr>
                    <w:t>恶苗病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FAB639">
                  <w:r>
                    <w:rPr>
                      <w:rStyle w:val="11"/>
                      <w:rFonts w:hint="eastAsia"/>
                    </w:rPr>
                    <w:t>1）400-600克/100千克种子；2）200-300克/100千克种子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B10E20">
                  <w:r>
                    <w:rPr>
                      <w:rStyle w:val="11"/>
                      <w:rFonts w:hint="eastAsia"/>
                    </w:rPr>
                    <w:t>1)种子包衣；2)浸种</w:t>
                  </w:r>
                </w:p>
              </w:tc>
            </w:tr>
          </w:tbl>
          <w:p w14:paraId="22221DE3">
            <w:pPr>
              <w:rPr>
                <w:rFonts w:ascii="Times New Roman" w:hAnsi="Times New Roman" w:cs="Times New Roman"/>
                <w:sz w:val="20"/>
                <w:szCs w:val="20"/>
              </w:rPr>
            </w:pPr>
          </w:p>
        </w:tc>
      </w:tr>
      <w:tr w14:paraId="650AD18C">
        <w:tblPrEx>
          <w:tblCellMar>
            <w:top w:w="0" w:type="dxa"/>
            <w:left w:w="0" w:type="dxa"/>
            <w:bottom w:w="0" w:type="dxa"/>
            <w:right w:w="0" w:type="dxa"/>
          </w:tblCellMar>
        </w:tblPrEx>
        <w:trPr>
          <w:wBefore w:w="0" w:type="auto"/>
          <w:tblCellSpacing w:w="0" w:type="dxa"/>
        </w:trPr>
        <w:tc>
          <w:tcPr>
            <w:tcW w:w="0" w:type="auto"/>
            <w:noWrap w:val="0"/>
            <w:vAlign w:val="center"/>
          </w:tcPr>
          <w:p w14:paraId="3B4A3641">
            <w:r>
              <w:rPr>
                <w:rStyle w:val="10"/>
                <w:rFonts w:hint="eastAsia"/>
              </w:rPr>
              <w:t>使用技术要求:</w:t>
            </w:r>
            <w:r>
              <w:rPr>
                <w:rFonts w:hint="eastAsia"/>
              </w:rPr>
              <w:br w:type="textWrapping"/>
            </w:r>
            <w:r>
              <w:rPr>
                <w:rStyle w:val="11"/>
                <w:rFonts w:hint="eastAsia"/>
              </w:rPr>
              <w:t>1.本品在作物新品种上大面积应用时，必须先进行小范围的安全性试验。2. 配制好的药液应在24小时内使用。3.种子包衣：将400-600g药浆加水1-2升稀释，与100公斤种子充分搅拌，直到药液均匀分布到种子表面，晾干后即可。4.浸种：将200-300g药浆用水稀释至200升，浸种100千克，24小时后催芽。</w:t>
            </w:r>
          </w:p>
        </w:tc>
      </w:tr>
      <w:tr w14:paraId="61847ED3">
        <w:tblPrEx>
          <w:tblCellMar>
            <w:top w:w="0" w:type="dxa"/>
            <w:left w:w="0" w:type="dxa"/>
            <w:bottom w:w="0" w:type="dxa"/>
            <w:right w:w="0" w:type="dxa"/>
          </w:tblCellMar>
        </w:tblPrEx>
        <w:trPr>
          <w:wBefore w:w="0" w:type="auto"/>
          <w:tblCellSpacing w:w="0" w:type="dxa"/>
        </w:trPr>
        <w:tc>
          <w:tcPr>
            <w:tcW w:w="0" w:type="auto"/>
            <w:noWrap w:val="0"/>
            <w:vAlign w:val="center"/>
          </w:tcPr>
          <w:p w14:paraId="7DB77167">
            <w:r>
              <w:rPr>
                <w:rStyle w:val="10"/>
                <w:rFonts w:hint="eastAsia"/>
              </w:rPr>
              <w:t>产品性能:</w:t>
            </w:r>
            <w:r>
              <w:rPr>
                <w:rFonts w:hint="eastAsia"/>
              </w:rPr>
              <w:br w:type="textWrapping"/>
            </w:r>
            <w:r>
              <w:rPr>
                <w:rStyle w:val="11"/>
                <w:rFonts w:hint="eastAsia"/>
              </w:rPr>
              <w:t>本品属非内吸性广谱杀菌剂，作为种子处理剂用于防治作物的种传及土传病害。</w:t>
            </w:r>
          </w:p>
        </w:tc>
      </w:tr>
      <w:tr w14:paraId="15DD0823">
        <w:tblPrEx>
          <w:tblCellMar>
            <w:top w:w="0" w:type="dxa"/>
            <w:left w:w="0" w:type="dxa"/>
            <w:bottom w:w="0" w:type="dxa"/>
            <w:right w:w="0" w:type="dxa"/>
          </w:tblCellMar>
        </w:tblPrEx>
        <w:trPr>
          <w:wBefore w:w="0" w:type="auto"/>
          <w:tblCellSpacing w:w="0" w:type="dxa"/>
        </w:trPr>
        <w:tc>
          <w:tcPr>
            <w:tcW w:w="0" w:type="auto"/>
            <w:noWrap w:val="0"/>
            <w:vAlign w:val="center"/>
          </w:tcPr>
          <w:p w14:paraId="537DB034">
            <w:r>
              <w:rPr>
                <w:rStyle w:val="10"/>
                <w:rFonts w:hint="eastAsia"/>
              </w:rPr>
              <w:t>注意事项：</w:t>
            </w:r>
            <w:r>
              <w:rPr>
                <w:rFonts w:hint="eastAsia"/>
              </w:rPr>
              <w:br w:type="textWrapping"/>
            </w:r>
            <w:r>
              <w:rPr>
                <w:rStyle w:val="11"/>
                <w:rFonts w:hint="eastAsia"/>
              </w:rPr>
              <w:t>1. 配药与种子处理应在通风处进行，操作人员应戴防渗手套、面罩及护目镜，穿长袖衣、长裤和靴子，避免药液接触皮肤、眼睛和污染衣物，避免吸入药液。切勿在施药现场喝水或饮食。在饮水、进食前应先洗手、洗脸。 2.种子处理结束后，彻底清洗防护用具，洗澡，并更换和清洗工作服。 3.处理过的种子必须放置在有明显标签的容器内。勿与食物、饲料放在一起，不得饲喂禽畜，更不得用来加工饲料或食品。 4.播后必须覆土，严禁畜禽进入。 5.使用过的空包装，用清水冲洗后妥善处理，切勿重复使用或另作它用。所有施药器具，用后应立即用清水或适当的洗涤剂清洗，但不得在河塘中洗涤。 6.勿将本品及其废液弃于池塘、河溪、湖泊等，以免污染水源。7.未用完的制剂应放在原包装内密封保存，切勿将本品置于饮食容器内。8.避免孕妇及哺乳期妇女接触本品。9.远离水产养殖区、河塘等水体施药，禁止在河塘等水体中清洗施药器具，鱼或虾蟹套养稻田禁用，施药后的田水不得直接排入水体。</w:t>
            </w:r>
          </w:p>
        </w:tc>
      </w:tr>
      <w:tr w14:paraId="3D97161A">
        <w:tblPrEx>
          <w:tblCellMar>
            <w:top w:w="0" w:type="dxa"/>
            <w:left w:w="0" w:type="dxa"/>
            <w:bottom w:w="0" w:type="dxa"/>
            <w:right w:w="0" w:type="dxa"/>
          </w:tblCellMar>
        </w:tblPrEx>
        <w:trPr>
          <w:wBefore w:w="0" w:type="auto"/>
          <w:tblCellSpacing w:w="0" w:type="dxa"/>
        </w:trPr>
        <w:tc>
          <w:tcPr>
            <w:tcW w:w="0" w:type="auto"/>
            <w:noWrap w:val="0"/>
            <w:vAlign w:val="center"/>
          </w:tcPr>
          <w:p w14:paraId="3BC1D76D">
            <w:r>
              <w:rPr>
                <w:rStyle w:val="10"/>
                <w:rFonts w:hint="eastAsia"/>
              </w:rPr>
              <w:t>中毒急救措施：</w:t>
            </w:r>
            <w:r>
              <w:rPr>
                <w:rFonts w:hint="eastAsia"/>
              </w:rPr>
              <w:br w:type="textWrapping"/>
            </w:r>
            <w:r>
              <w:rPr>
                <w:rStyle w:val="11"/>
                <w:rFonts w:hint="eastAsia"/>
              </w:rPr>
              <w:t>1.对眼睛有刺激性，使用中或使用后如果感觉不适，应立即停止工作采取急救措施，如发现中毒症状，无特效解毒剂，对症治疗；2.如不慎将药剂粘到皮肤上，立即脱掉污染的衣物，尽快用肥皂水及清水冲洗15分钟以上，严重者，请就医；3.如将药剂溅入眼睛，立即翻开上下眼睑，用流动的清水水冲洗15分钟以上，如有不适感觉，请就医。4.误服，立即携带标签，就医。</w:t>
            </w:r>
          </w:p>
        </w:tc>
      </w:tr>
      <w:tr w14:paraId="3F852460">
        <w:tblPrEx>
          <w:tblCellMar>
            <w:top w:w="0" w:type="dxa"/>
            <w:left w:w="0" w:type="dxa"/>
            <w:bottom w:w="0" w:type="dxa"/>
            <w:right w:w="0" w:type="dxa"/>
          </w:tblCellMar>
        </w:tblPrEx>
        <w:trPr>
          <w:wBefore w:w="0" w:type="auto"/>
          <w:tblCellSpacing w:w="0" w:type="dxa"/>
        </w:trPr>
        <w:tc>
          <w:tcPr>
            <w:tcW w:w="0" w:type="auto"/>
            <w:noWrap w:val="0"/>
            <w:vAlign w:val="center"/>
          </w:tcPr>
          <w:p w14:paraId="1417AF3C">
            <w:r>
              <w:rPr>
                <w:rStyle w:val="10"/>
                <w:rFonts w:hint="eastAsia"/>
              </w:rPr>
              <w:t>储存和运输方法：</w:t>
            </w:r>
            <w:r>
              <w:rPr>
                <w:rFonts w:hint="eastAsia"/>
              </w:rPr>
              <w:br w:type="textWrapping"/>
            </w:r>
            <w:r>
              <w:rPr>
                <w:rStyle w:val="11"/>
                <w:rFonts w:hint="eastAsia"/>
              </w:rPr>
              <w:t>1.包装件应贮存于通风、干燥、阴凉的库房中，远离火源、热源、儿童和其他与生产无关人员，并加锁；2.贮运时严防潮湿和日晒，不得与食物、种子、饲料同贮同运；3.装卸时注意不要磕碰，以免桶体变形或破裂。</w:t>
            </w:r>
          </w:p>
        </w:tc>
      </w:tr>
      <w:tr w14:paraId="4F772833">
        <w:tblPrEx>
          <w:tblCellMar>
            <w:top w:w="0" w:type="dxa"/>
            <w:left w:w="0" w:type="dxa"/>
            <w:bottom w:w="0" w:type="dxa"/>
            <w:right w:w="0" w:type="dxa"/>
          </w:tblCellMar>
        </w:tblPrEx>
        <w:trPr>
          <w:wBefore w:w="0" w:type="auto"/>
          <w:tblCellSpacing w:w="0" w:type="dxa"/>
        </w:trPr>
        <w:tc>
          <w:tcPr>
            <w:tcW w:w="0" w:type="auto"/>
            <w:noWrap w:val="0"/>
            <w:vAlign w:val="center"/>
          </w:tcPr>
          <w:p w14:paraId="2EF04F12">
            <w:r>
              <w:rPr>
                <w:rStyle w:val="10"/>
                <w:rFonts w:hint="eastAsia"/>
              </w:rPr>
              <w:t>质量保证期：</w:t>
            </w:r>
            <w:r>
              <w:rPr>
                <w:rStyle w:val="11"/>
                <w:rFonts w:hint="eastAsia"/>
              </w:rPr>
              <w:t>2年</w:t>
            </w:r>
          </w:p>
        </w:tc>
      </w:tr>
      <w:tr w14:paraId="46C6BB14">
        <w:tblPrEx>
          <w:tblCellMar>
            <w:top w:w="0" w:type="dxa"/>
            <w:left w:w="0" w:type="dxa"/>
            <w:bottom w:w="0" w:type="dxa"/>
            <w:right w:w="0" w:type="dxa"/>
          </w:tblCellMar>
        </w:tblPrEx>
        <w:trPr>
          <w:wBefore w:w="0" w:type="auto"/>
          <w:tblCellSpacing w:w="0" w:type="dxa"/>
        </w:trPr>
        <w:tc>
          <w:tcPr>
            <w:tcW w:w="0" w:type="auto"/>
            <w:noWrap w:val="0"/>
            <w:vAlign w:val="center"/>
          </w:tcPr>
          <w:p w14:paraId="03B589E7">
            <w:r>
              <w:rPr>
                <w:rStyle w:val="10"/>
                <w:rFonts w:hint="eastAsia"/>
              </w:rPr>
              <w:t>备注：</w:t>
            </w:r>
          </w:p>
        </w:tc>
      </w:tr>
    </w:tbl>
    <w:p w14:paraId="000E499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97467E1">
        <w:tblPrEx>
          <w:tblCellMar>
            <w:top w:w="0" w:type="dxa"/>
            <w:left w:w="0" w:type="dxa"/>
            <w:bottom w:w="0" w:type="dxa"/>
            <w:right w:w="0" w:type="dxa"/>
          </w:tblCellMar>
        </w:tblPrEx>
        <w:trPr>
          <w:wBefore w:w="0" w:type="auto"/>
          <w:tblCellSpacing w:w="0" w:type="dxa"/>
        </w:trPr>
        <w:tc>
          <w:tcPr>
            <w:tcW w:w="0" w:type="auto"/>
            <w:noWrap w:val="0"/>
            <w:vAlign w:val="center"/>
          </w:tcPr>
          <w:p w14:paraId="66CE7E67">
            <w:r>
              <w:rPr>
                <w:rStyle w:val="10"/>
                <w:rFonts w:hint="eastAsia"/>
              </w:rPr>
              <w:t>登记证号：</w:t>
            </w:r>
            <w:r>
              <w:rPr>
                <w:rFonts w:hint="eastAsia"/>
              </w:rPr>
              <w:t>PD20211759</w:t>
            </w:r>
          </w:p>
        </w:tc>
      </w:tr>
      <w:tr w14:paraId="38E3EE09">
        <w:tblPrEx>
          <w:tblCellMar>
            <w:top w:w="0" w:type="dxa"/>
            <w:left w:w="0" w:type="dxa"/>
            <w:bottom w:w="0" w:type="dxa"/>
            <w:right w:w="0" w:type="dxa"/>
          </w:tblCellMar>
        </w:tblPrEx>
        <w:trPr>
          <w:wBefore w:w="0" w:type="auto"/>
          <w:tblCellSpacing w:w="0" w:type="dxa"/>
        </w:trPr>
        <w:tc>
          <w:tcPr>
            <w:tcW w:w="0" w:type="auto"/>
            <w:noWrap w:val="0"/>
            <w:vAlign w:val="center"/>
          </w:tcPr>
          <w:p w14:paraId="3B982E82">
            <w:r>
              <w:rPr>
                <w:rStyle w:val="10"/>
                <w:rFonts w:hint="eastAsia"/>
              </w:rPr>
              <w:t>登记证持有人：</w:t>
            </w:r>
            <w:r>
              <w:rPr>
                <w:rFonts w:hint="eastAsia"/>
              </w:rPr>
              <w:t>江西汇和化工有限公司</w:t>
            </w:r>
          </w:p>
        </w:tc>
      </w:tr>
      <w:tr w14:paraId="076EB5CC">
        <w:tblPrEx>
          <w:tblCellMar>
            <w:top w:w="0" w:type="dxa"/>
            <w:left w:w="0" w:type="dxa"/>
            <w:bottom w:w="0" w:type="dxa"/>
            <w:right w:w="0" w:type="dxa"/>
          </w:tblCellMar>
        </w:tblPrEx>
        <w:trPr>
          <w:wBefore w:w="0" w:type="auto"/>
          <w:tblCellSpacing w:w="0" w:type="dxa"/>
        </w:trPr>
        <w:tc>
          <w:tcPr>
            <w:tcW w:w="0" w:type="auto"/>
            <w:noWrap w:val="0"/>
            <w:vAlign w:val="center"/>
          </w:tcPr>
          <w:p w14:paraId="7291D1BD">
            <w:r>
              <w:rPr>
                <w:rStyle w:val="10"/>
                <w:rFonts w:hint="eastAsia"/>
              </w:rPr>
              <w:t>农药名称：</w:t>
            </w:r>
            <w:r>
              <w:rPr>
                <w:rFonts w:hint="eastAsia"/>
              </w:rPr>
              <w:t>虫螨·噻虫胺</w:t>
            </w:r>
          </w:p>
        </w:tc>
      </w:tr>
      <w:tr w14:paraId="377CACFB">
        <w:tblPrEx>
          <w:tblCellMar>
            <w:top w:w="0" w:type="dxa"/>
            <w:left w:w="0" w:type="dxa"/>
            <w:bottom w:w="0" w:type="dxa"/>
            <w:right w:w="0" w:type="dxa"/>
          </w:tblCellMar>
        </w:tblPrEx>
        <w:trPr>
          <w:wBefore w:w="0" w:type="auto"/>
          <w:tblCellSpacing w:w="0" w:type="dxa"/>
        </w:trPr>
        <w:tc>
          <w:tcPr>
            <w:tcW w:w="0" w:type="auto"/>
            <w:noWrap w:val="0"/>
            <w:vAlign w:val="center"/>
          </w:tcPr>
          <w:p w14:paraId="6CFBCEFD">
            <w:r>
              <w:rPr>
                <w:rStyle w:val="10"/>
                <w:rFonts w:hint="eastAsia"/>
              </w:rPr>
              <w:t>剂型：</w:t>
            </w:r>
            <w:r>
              <w:rPr>
                <w:rFonts w:hint="eastAsia"/>
              </w:rPr>
              <w:t>悬浮剂</w:t>
            </w:r>
          </w:p>
        </w:tc>
      </w:tr>
      <w:tr w14:paraId="002D0F46">
        <w:tblPrEx>
          <w:tblCellMar>
            <w:top w:w="0" w:type="dxa"/>
            <w:left w:w="0" w:type="dxa"/>
            <w:bottom w:w="0" w:type="dxa"/>
            <w:right w:w="0" w:type="dxa"/>
          </w:tblCellMar>
        </w:tblPrEx>
        <w:trPr>
          <w:wBefore w:w="0" w:type="auto"/>
          <w:tblCellSpacing w:w="0" w:type="dxa"/>
        </w:trPr>
        <w:tc>
          <w:tcPr>
            <w:tcW w:w="0" w:type="auto"/>
            <w:noWrap w:val="0"/>
            <w:vAlign w:val="center"/>
          </w:tcPr>
          <w:p w14:paraId="48509B7E">
            <w:r>
              <w:rPr>
                <w:rStyle w:val="10"/>
                <w:rFonts w:hint="eastAsia"/>
              </w:rPr>
              <w:t>毒性及其标识：</w:t>
            </w:r>
            <w:r>
              <w:rPr>
                <w:rFonts w:hint="eastAsia"/>
              </w:rPr>
              <w:t xml:space="preserve"> </w:t>
            </w:r>
            <w:r>
              <w:rPr>
                <w:lang/>
              </w:rPr>
              <w:drawing>
                <wp:inline distT="0" distB="0" distL="114300" distR="114300">
                  <wp:extent cx="476250" cy="323850"/>
                  <wp:effectExtent l="0" t="0" r="0" b="0"/>
                  <wp:docPr id="447" name="图片 44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B8F367F">
        <w:tblPrEx>
          <w:tblCellMar>
            <w:top w:w="0" w:type="dxa"/>
            <w:left w:w="0" w:type="dxa"/>
            <w:bottom w:w="0" w:type="dxa"/>
            <w:right w:w="0" w:type="dxa"/>
          </w:tblCellMar>
        </w:tblPrEx>
        <w:trPr>
          <w:wBefore w:w="0" w:type="auto"/>
          <w:tblCellSpacing w:w="0" w:type="dxa"/>
        </w:trPr>
        <w:tc>
          <w:tcPr>
            <w:tcW w:w="0" w:type="auto"/>
            <w:noWrap w:val="0"/>
            <w:vAlign w:val="center"/>
          </w:tcPr>
          <w:p w14:paraId="72D7A78E">
            <w:r>
              <w:rPr>
                <w:rStyle w:val="10"/>
                <w:rFonts w:hint="eastAsia"/>
              </w:rPr>
              <w:t>总有效成分含量：</w:t>
            </w:r>
            <w:r>
              <w:rPr>
                <w:rFonts w:hint="eastAsia"/>
              </w:rPr>
              <w:t>28%</w:t>
            </w:r>
          </w:p>
        </w:tc>
      </w:tr>
      <w:tr w14:paraId="3B952E2E">
        <w:tblPrEx>
          <w:tblCellMar>
            <w:top w:w="0" w:type="dxa"/>
            <w:left w:w="0" w:type="dxa"/>
            <w:bottom w:w="0" w:type="dxa"/>
            <w:right w:w="0" w:type="dxa"/>
          </w:tblCellMar>
        </w:tblPrEx>
        <w:trPr>
          <w:wBefore w:w="0" w:type="auto"/>
          <w:tblCellSpacing w:w="0" w:type="dxa"/>
        </w:trPr>
        <w:tc>
          <w:tcPr>
            <w:tcW w:w="0" w:type="auto"/>
            <w:noWrap w:val="0"/>
            <w:vAlign w:val="center"/>
          </w:tcPr>
          <w:p w14:paraId="317C3DEB">
            <w:r>
              <w:rPr>
                <w:rFonts w:hint="eastAsia"/>
              </w:rPr>
              <w:t xml:space="preserve">有效成分及其含量： </w:t>
            </w:r>
          </w:p>
          <w:p w14:paraId="08AB71A5">
            <w:r>
              <w:rPr>
                <w:rFonts w:hint="eastAsia"/>
              </w:rPr>
              <w:t xml:space="preserve">    噻虫胺20%    虫螨腈8%    </w:t>
            </w:r>
          </w:p>
        </w:tc>
      </w:tr>
      <w:tr w14:paraId="63EA8B36">
        <w:tblPrEx>
          <w:tblCellMar>
            <w:top w:w="0" w:type="dxa"/>
            <w:left w:w="0" w:type="dxa"/>
            <w:bottom w:w="0" w:type="dxa"/>
            <w:right w:w="0" w:type="dxa"/>
          </w:tblCellMar>
        </w:tblPrEx>
        <w:trPr>
          <w:wBefore w:w="0" w:type="auto"/>
          <w:tblCellSpacing w:w="0" w:type="dxa"/>
        </w:trPr>
        <w:tc>
          <w:tcPr>
            <w:tcW w:w="0" w:type="auto"/>
            <w:noWrap w:val="0"/>
            <w:vAlign w:val="center"/>
          </w:tcPr>
          <w:p w14:paraId="42A3E7E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10E89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619E76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BD50D4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49501B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5E92415">
                  <w:r>
                    <w:rPr>
                      <w:rStyle w:val="11"/>
                      <w:rFonts w:hint="eastAsia"/>
                    </w:rPr>
                    <w:t>施用方式</w:t>
                  </w:r>
                </w:p>
              </w:tc>
            </w:tr>
            <w:tr w14:paraId="5931C7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4D57EB">
                  <w:r>
                    <w:rPr>
                      <w:rStyle w:val="11"/>
                      <w:rFonts w:hint="eastAsia"/>
                    </w:rPr>
                    <w:t>韭菜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0D827F">
                  <w:r>
                    <w:rPr>
                      <w:rStyle w:val="11"/>
                      <w:rFonts w:hint="eastAsia"/>
                    </w:rPr>
                    <w:t>韭蛆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870FA8">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1E9D72">
                  <w:r>
                    <w:rPr>
                      <w:rStyle w:val="11"/>
                      <w:rFonts w:hint="eastAsia"/>
                    </w:rPr>
                    <w:t>灌根</w:t>
                  </w:r>
                </w:p>
              </w:tc>
            </w:tr>
          </w:tbl>
          <w:p w14:paraId="52ACE73D">
            <w:pPr>
              <w:rPr>
                <w:rFonts w:ascii="Times New Roman" w:hAnsi="Times New Roman" w:cs="Times New Roman"/>
                <w:sz w:val="20"/>
                <w:szCs w:val="20"/>
              </w:rPr>
            </w:pPr>
          </w:p>
        </w:tc>
      </w:tr>
      <w:tr w14:paraId="472EAF99">
        <w:tblPrEx>
          <w:tblCellMar>
            <w:top w:w="0" w:type="dxa"/>
            <w:left w:w="0" w:type="dxa"/>
            <w:bottom w:w="0" w:type="dxa"/>
            <w:right w:w="0" w:type="dxa"/>
          </w:tblCellMar>
        </w:tblPrEx>
        <w:trPr>
          <w:wBefore w:w="0" w:type="auto"/>
          <w:tblCellSpacing w:w="0" w:type="dxa"/>
        </w:trPr>
        <w:tc>
          <w:tcPr>
            <w:tcW w:w="0" w:type="auto"/>
            <w:noWrap w:val="0"/>
            <w:vAlign w:val="center"/>
          </w:tcPr>
          <w:p w14:paraId="6E464782">
            <w:r>
              <w:rPr>
                <w:rStyle w:val="10"/>
                <w:rFonts w:hint="eastAsia"/>
              </w:rPr>
              <w:t>使用技术要求:</w:t>
            </w:r>
            <w:r>
              <w:rPr>
                <w:rFonts w:hint="eastAsia"/>
              </w:rPr>
              <w:br w:type="textWrapping"/>
            </w:r>
            <w:r>
              <w:rPr>
                <w:rStyle w:val="11"/>
                <w:rFonts w:hint="eastAsia"/>
              </w:rPr>
              <w:t>1、在韭菜零星倒伏时或韭菜韭蛆幼虫盛发初期用药，采用灌根的方法，即将药液喷雾器内，用水稀释后，去掉喷雾器喷头，将药液灌入韭菜根部。 2、每季作物最多使用1次，安全间隔期14天。 3.大风天或预计1小时内降雨，请勿施药。傍晚施药更有利于药效充分发挥。</w:t>
            </w:r>
          </w:p>
        </w:tc>
      </w:tr>
      <w:tr w14:paraId="71E5EA13">
        <w:tblPrEx>
          <w:tblCellMar>
            <w:top w:w="0" w:type="dxa"/>
            <w:left w:w="0" w:type="dxa"/>
            <w:bottom w:w="0" w:type="dxa"/>
            <w:right w:w="0" w:type="dxa"/>
          </w:tblCellMar>
        </w:tblPrEx>
        <w:trPr>
          <w:wBefore w:w="0" w:type="auto"/>
          <w:tblCellSpacing w:w="0" w:type="dxa"/>
        </w:trPr>
        <w:tc>
          <w:tcPr>
            <w:tcW w:w="0" w:type="auto"/>
            <w:noWrap w:val="0"/>
            <w:vAlign w:val="center"/>
          </w:tcPr>
          <w:p w14:paraId="62486170">
            <w:r>
              <w:rPr>
                <w:rStyle w:val="10"/>
                <w:rFonts w:hint="eastAsia"/>
              </w:rPr>
              <w:t>产品性能:</w:t>
            </w:r>
            <w:r>
              <w:rPr>
                <w:rFonts w:hint="eastAsia"/>
              </w:rPr>
              <w:br w:type="textWrapping"/>
            </w:r>
            <w:r>
              <w:rPr>
                <w:rStyle w:val="11"/>
                <w:rFonts w:hint="eastAsia"/>
              </w:rPr>
              <w:t xml:space="preserve">虫螨腈是一种芳基取代吡咯化合物，在植物叶面渗透性较强；噻虫胺一种高效安全、高选择性的新烟碱类杀虫剂。二者结合具有触杀、胃杀和内吸活性强的作用特点， 正常使用条件下对韭蛆有较好的防治效果。 </w:t>
            </w:r>
          </w:p>
        </w:tc>
      </w:tr>
      <w:tr w14:paraId="2015B432">
        <w:tblPrEx>
          <w:tblCellMar>
            <w:top w:w="0" w:type="dxa"/>
            <w:left w:w="0" w:type="dxa"/>
            <w:bottom w:w="0" w:type="dxa"/>
            <w:right w:w="0" w:type="dxa"/>
          </w:tblCellMar>
        </w:tblPrEx>
        <w:trPr>
          <w:wBefore w:w="0" w:type="auto"/>
          <w:tblCellSpacing w:w="0" w:type="dxa"/>
        </w:trPr>
        <w:tc>
          <w:tcPr>
            <w:tcW w:w="0" w:type="auto"/>
            <w:noWrap w:val="0"/>
            <w:vAlign w:val="center"/>
          </w:tcPr>
          <w:p w14:paraId="0F105A81">
            <w:r>
              <w:rPr>
                <w:rStyle w:val="10"/>
                <w:rFonts w:hint="eastAsia"/>
              </w:rPr>
              <w:t>注意事项：</w:t>
            </w:r>
            <w:r>
              <w:rPr>
                <w:rFonts w:hint="eastAsia"/>
              </w:rPr>
              <w:br w:type="textWrapping"/>
            </w:r>
            <w:r>
              <w:rPr>
                <w:rStyle w:val="11"/>
                <w:rFonts w:hint="eastAsia"/>
              </w:rPr>
              <w:t>1、施药时要有防护措施，戴口罩、手套，穿保护性作业服，严禁吸烟和饮食。避免药物与皮肤和眼睛直接接触。施药后要及时洗手洗脸。2、本品对蜜蜂、鱼类等水生生物、家蚕有毒，施药期间应避免对周围蜂 群的影响，禁止在开花植物花期、蚕室和桑园附近使用。3、远离水产养殖区、河塘等水域施药。赤眼蜂等天敌放飞区域禁用。4、用过的容器应妥善处理，不可做他用，也不可随意丢弃，禁止在河塘 等水体中清洗施药器具。5、哺乳期妇女及孕妇避免接触。6、建议与作用机制不同的杀虫剂轮换使用，以延缓抗性产生。本品不可与呈强酸、强碱性物质混用。避免与具有氧化性物质接触或混合。</w:t>
            </w:r>
          </w:p>
        </w:tc>
      </w:tr>
      <w:tr w14:paraId="4A0D0234">
        <w:tblPrEx>
          <w:tblCellMar>
            <w:top w:w="0" w:type="dxa"/>
            <w:left w:w="0" w:type="dxa"/>
            <w:bottom w:w="0" w:type="dxa"/>
            <w:right w:w="0" w:type="dxa"/>
          </w:tblCellMar>
        </w:tblPrEx>
        <w:trPr>
          <w:wBefore w:w="0" w:type="auto"/>
          <w:tblCellSpacing w:w="0" w:type="dxa"/>
        </w:trPr>
        <w:tc>
          <w:tcPr>
            <w:tcW w:w="0" w:type="auto"/>
            <w:noWrap w:val="0"/>
            <w:vAlign w:val="center"/>
          </w:tcPr>
          <w:p w14:paraId="221631AA">
            <w:r>
              <w:rPr>
                <w:rStyle w:val="10"/>
                <w:rFonts w:hint="eastAsia"/>
              </w:rPr>
              <w:t>中毒急救措施：</w:t>
            </w:r>
            <w:r>
              <w:rPr>
                <w:rFonts w:hint="eastAsia"/>
              </w:rPr>
              <w:br w:type="textWrapping"/>
            </w:r>
            <w:r>
              <w:rPr>
                <w:rStyle w:val="11"/>
                <w:rFonts w:hint="eastAsia"/>
              </w:rPr>
              <w:t xml:space="preserve">症状：轻度中毒：头痛、呕吐、出汗等；过量误服，可导致腹泻发生或重者抽搐。用药时如果感觉不适，立即停止工作，采取急救措施，并携此标签送医就诊。如接触皮肤，用肥皂和大量清水彻底清洗受污的皮肤；如溅入眼睛，用大量流动清水冲洗眼睛至少15分钟；严重者送医就诊；如不慎吸入，应将病人移至空气流通处，请医生诊治；如误服，不得催吐，立即携带标签，送医就诊，无专用解毒剂，对症治疗。 </w:t>
            </w:r>
          </w:p>
        </w:tc>
      </w:tr>
      <w:tr w14:paraId="7C98A7F4">
        <w:tblPrEx>
          <w:tblCellMar>
            <w:top w:w="0" w:type="dxa"/>
            <w:left w:w="0" w:type="dxa"/>
            <w:bottom w:w="0" w:type="dxa"/>
            <w:right w:w="0" w:type="dxa"/>
          </w:tblCellMar>
        </w:tblPrEx>
        <w:trPr>
          <w:wBefore w:w="0" w:type="auto"/>
          <w:tblCellSpacing w:w="0" w:type="dxa"/>
        </w:trPr>
        <w:tc>
          <w:tcPr>
            <w:tcW w:w="0" w:type="auto"/>
            <w:noWrap w:val="0"/>
            <w:vAlign w:val="center"/>
          </w:tcPr>
          <w:p w14:paraId="0B625584">
            <w:r>
              <w:rPr>
                <w:rStyle w:val="10"/>
                <w:rFonts w:hint="eastAsia"/>
              </w:rPr>
              <w:t>储存和运输方法：</w:t>
            </w:r>
            <w:r>
              <w:rPr>
                <w:rFonts w:hint="eastAsia"/>
              </w:rPr>
              <w:br w:type="textWrapping"/>
            </w:r>
            <w:r>
              <w:rPr>
                <w:rStyle w:val="11"/>
                <w:rFonts w:hint="eastAsia"/>
              </w:rPr>
              <w:t xml:space="preserve">本品应贮存于阴凉、干燥、通风处，防止受潮，隔热防晒，避免高温避免阳光直接照射。置于儿童、无关人员触及不到之处并加锁。远离火源，不能与食品、饮料、粮食、饲料同贮同运。 </w:t>
            </w:r>
          </w:p>
        </w:tc>
      </w:tr>
      <w:tr w14:paraId="13227FD5">
        <w:tblPrEx>
          <w:tblCellMar>
            <w:top w:w="0" w:type="dxa"/>
            <w:left w:w="0" w:type="dxa"/>
            <w:bottom w:w="0" w:type="dxa"/>
            <w:right w:w="0" w:type="dxa"/>
          </w:tblCellMar>
        </w:tblPrEx>
        <w:trPr>
          <w:wBefore w:w="0" w:type="auto"/>
          <w:tblCellSpacing w:w="0" w:type="dxa"/>
        </w:trPr>
        <w:tc>
          <w:tcPr>
            <w:tcW w:w="0" w:type="auto"/>
            <w:noWrap w:val="0"/>
            <w:vAlign w:val="center"/>
          </w:tcPr>
          <w:p w14:paraId="0B594EA4">
            <w:r>
              <w:rPr>
                <w:rStyle w:val="10"/>
                <w:rFonts w:hint="eastAsia"/>
              </w:rPr>
              <w:t>质量保证期：</w:t>
            </w:r>
            <w:r>
              <w:rPr>
                <w:rStyle w:val="11"/>
                <w:rFonts w:hint="eastAsia"/>
              </w:rPr>
              <w:t>2年</w:t>
            </w:r>
          </w:p>
        </w:tc>
      </w:tr>
      <w:tr w14:paraId="26A4946F">
        <w:tblPrEx>
          <w:tblCellMar>
            <w:top w:w="0" w:type="dxa"/>
            <w:left w:w="0" w:type="dxa"/>
            <w:bottom w:w="0" w:type="dxa"/>
            <w:right w:w="0" w:type="dxa"/>
          </w:tblCellMar>
        </w:tblPrEx>
        <w:trPr>
          <w:wBefore w:w="0" w:type="auto"/>
          <w:tblCellSpacing w:w="0" w:type="dxa"/>
        </w:trPr>
        <w:tc>
          <w:tcPr>
            <w:tcW w:w="0" w:type="auto"/>
            <w:noWrap w:val="0"/>
            <w:vAlign w:val="center"/>
          </w:tcPr>
          <w:p w14:paraId="36793E5A">
            <w:r>
              <w:rPr>
                <w:rStyle w:val="10"/>
                <w:rFonts w:hint="eastAsia"/>
              </w:rPr>
              <w:t>备注：</w:t>
            </w:r>
          </w:p>
        </w:tc>
      </w:tr>
    </w:tbl>
    <w:p w14:paraId="014E0EA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32A49B9">
        <w:tblPrEx>
          <w:tblCellMar>
            <w:top w:w="0" w:type="dxa"/>
            <w:left w:w="0" w:type="dxa"/>
            <w:bottom w:w="0" w:type="dxa"/>
            <w:right w:w="0" w:type="dxa"/>
          </w:tblCellMar>
        </w:tblPrEx>
        <w:trPr>
          <w:wBefore w:w="0" w:type="auto"/>
          <w:tblCellSpacing w:w="0" w:type="dxa"/>
        </w:trPr>
        <w:tc>
          <w:tcPr>
            <w:tcW w:w="0" w:type="auto"/>
            <w:noWrap w:val="0"/>
            <w:vAlign w:val="center"/>
          </w:tcPr>
          <w:p w14:paraId="2E94BB32">
            <w:r>
              <w:rPr>
                <w:rStyle w:val="10"/>
                <w:rFonts w:hint="eastAsia"/>
              </w:rPr>
              <w:t>登记证号：</w:t>
            </w:r>
            <w:r>
              <w:rPr>
                <w:rFonts w:hint="eastAsia"/>
              </w:rPr>
              <w:t>PD20212195</w:t>
            </w:r>
          </w:p>
        </w:tc>
      </w:tr>
      <w:tr w14:paraId="17CB2968">
        <w:tblPrEx>
          <w:tblCellMar>
            <w:top w:w="0" w:type="dxa"/>
            <w:left w:w="0" w:type="dxa"/>
            <w:bottom w:w="0" w:type="dxa"/>
            <w:right w:w="0" w:type="dxa"/>
          </w:tblCellMar>
        </w:tblPrEx>
        <w:trPr>
          <w:wBefore w:w="0" w:type="auto"/>
          <w:tblCellSpacing w:w="0" w:type="dxa"/>
        </w:trPr>
        <w:tc>
          <w:tcPr>
            <w:tcW w:w="0" w:type="auto"/>
            <w:noWrap w:val="0"/>
            <w:vAlign w:val="center"/>
          </w:tcPr>
          <w:p w14:paraId="4DDB771C">
            <w:r>
              <w:rPr>
                <w:rStyle w:val="10"/>
                <w:rFonts w:hint="eastAsia"/>
              </w:rPr>
              <w:t>登记证持有人：</w:t>
            </w:r>
            <w:r>
              <w:rPr>
                <w:rFonts w:hint="eastAsia"/>
              </w:rPr>
              <w:t>山东三农生物科技有限公司</w:t>
            </w:r>
          </w:p>
        </w:tc>
      </w:tr>
      <w:tr w14:paraId="52C10237">
        <w:tblPrEx>
          <w:tblCellMar>
            <w:top w:w="0" w:type="dxa"/>
            <w:left w:w="0" w:type="dxa"/>
            <w:bottom w:w="0" w:type="dxa"/>
            <w:right w:w="0" w:type="dxa"/>
          </w:tblCellMar>
        </w:tblPrEx>
        <w:trPr>
          <w:wBefore w:w="0" w:type="auto"/>
          <w:tblCellSpacing w:w="0" w:type="dxa"/>
        </w:trPr>
        <w:tc>
          <w:tcPr>
            <w:tcW w:w="0" w:type="auto"/>
            <w:noWrap w:val="0"/>
            <w:vAlign w:val="center"/>
          </w:tcPr>
          <w:p w14:paraId="44F831A3">
            <w:r>
              <w:rPr>
                <w:rStyle w:val="10"/>
                <w:rFonts w:hint="eastAsia"/>
              </w:rPr>
              <w:t>农药名称：</w:t>
            </w:r>
            <w:r>
              <w:rPr>
                <w:rFonts w:hint="eastAsia"/>
              </w:rPr>
              <w:t>滴酸·草甘膦</w:t>
            </w:r>
          </w:p>
        </w:tc>
      </w:tr>
      <w:tr w14:paraId="0215C3F2">
        <w:tblPrEx>
          <w:tblCellMar>
            <w:top w:w="0" w:type="dxa"/>
            <w:left w:w="0" w:type="dxa"/>
            <w:bottom w:w="0" w:type="dxa"/>
            <w:right w:w="0" w:type="dxa"/>
          </w:tblCellMar>
        </w:tblPrEx>
        <w:trPr>
          <w:wBefore w:w="0" w:type="auto"/>
          <w:tblCellSpacing w:w="0" w:type="dxa"/>
        </w:trPr>
        <w:tc>
          <w:tcPr>
            <w:tcW w:w="0" w:type="auto"/>
            <w:noWrap w:val="0"/>
            <w:vAlign w:val="center"/>
          </w:tcPr>
          <w:p w14:paraId="1C3287AF">
            <w:r>
              <w:rPr>
                <w:rStyle w:val="10"/>
                <w:rFonts w:hint="eastAsia"/>
              </w:rPr>
              <w:t>剂型：</w:t>
            </w:r>
            <w:r>
              <w:rPr>
                <w:rFonts w:hint="eastAsia"/>
              </w:rPr>
              <w:t>可溶液剂</w:t>
            </w:r>
          </w:p>
        </w:tc>
      </w:tr>
      <w:tr w14:paraId="7B543E63">
        <w:tblPrEx>
          <w:tblCellMar>
            <w:top w:w="0" w:type="dxa"/>
            <w:left w:w="0" w:type="dxa"/>
            <w:bottom w:w="0" w:type="dxa"/>
            <w:right w:w="0" w:type="dxa"/>
          </w:tblCellMar>
        </w:tblPrEx>
        <w:trPr>
          <w:wBefore w:w="0" w:type="auto"/>
          <w:tblCellSpacing w:w="0" w:type="dxa"/>
        </w:trPr>
        <w:tc>
          <w:tcPr>
            <w:tcW w:w="0" w:type="auto"/>
            <w:noWrap w:val="0"/>
            <w:vAlign w:val="center"/>
          </w:tcPr>
          <w:p w14:paraId="5FE8972A">
            <w:r>
              <w:rPr>
                <w:rStyle w:val="10"/>
                <w:rFonts w:hint="eastAsia"/>
              </w:rPr>
              <w:t>毒性及其标识：</w:t>
            </w:r>
            <w:r>
              <w:rPr>
                <w:rFonts w:hint="eastAsia"/>
              </w:rPr>
              <w:t xml:space="preserve"> </w:t>
            </w:r>
            <w:r>
              <w:rPr>
                <w:lang/>
              </w:rPr>
              <w:drawing>
                <wp:inline distT="0" distB="0" distL="114300" distR="114300">
                  <wp:extent cx="476250" cy="323850"/>
                  <wp:effectExtent l="0" t="0" r="0" b="0"/>
                  <wp:docPr id="448" name="图片 44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78E150">
        <w:tblPrEx>
          <w:tblCellMar>
            <w:top w:w="0" w:type="dxa"/>
            <w:left w:w="0" w:type="dxa"/>
            <w:bottom w:w="0" w:type="dxa"/>
            <w:right w:w="0" w:type="dxa"/>
          </w:tblCellMar>
        </w:tblPrEx>
        <w:trPr>
          <w:wBefore w:w="0" w:type="auto"/>
          <w:tblCellSpacing w:w="0" w:type="dxa"/>
        </w:trPr>
        <w:tc>
          <w:tcPr>
            <w:tcW w:w="0" w:type="auto"/>
            <w:noWrap w:val="0"/>
            <w:vAlign w:val="center"/>
          </w:tcPr>
          <w:p w14:paraId="411C850F">
            <w:r>
              <w:rPr>
                <w:rStyle w:val="10"/>
                <w:rFonts w:hint="eastAsia"/>
              </w:rPr>
              <w:t>总有效成分含量：</w:t>
            </w:r>
            <w:r>
              <w:rPr>
                <w:rFonts w:hint="eastAsia"/>
              </w:rPr>
              <w:t>32%</w:t>
            </w:r>
          </w:p>
        </w:tc>
      </w:tr>
      <w:tr w14:paraId="33792515">
        <w:tblPrEx>
          <w:tblCellMar>
            <w:top w:w="0" w:type="dxa"/>
            <w:left w:w="0" w:type="dxa"/>
            <w:bottom w:w="0" w:type="dxa"/>
            <w:right w:w="0" w:type="dxa"/>
          </w:tblCellMar>
        </w:tblPrEx>
        <w:trPr>
          <w:wBefore w:w="0" w:type="auto"/>
          <w:tblCellSpacing w:w="0" w:type="dxa"/>
        </w:trPr>
        <w:tc>
          <w:tcPr>
            <w:tcW w:w="0" w:type="auto"/>
            <w:noWrap w:val="0"/>
            <w:vAlign w:val="center"/>
          </w:tcPr>
          <w:p w14:paraId="49841FC4">
            <w:r>
              <w:rPr>
                <w:rFonts w:hint="eastAsia"/>
              </w:rPr>
              <w:t xml:space="preserve">有效成分及其含量： </w:t>
            </w:r>
          </w:p>
          <w:p w14:paraId="6D1273D6">
            <w:r>
              <w:rPr>
                <w:rFonts w:hint="eastAsia"/>
              </w:rPr>
              <w:t xml:space="preserve">    2,4-滴2%    草甘膦30%    </w:t>
            </w:r>
          </w:p>
        </w:tc>
      </w:tr>
      <w:tr w14:paraId="217EF664">
        <w:tblPrEx>
          <w:tblCellMar>
            <w:top w:w="0" w:type="dxa"/>
            <w:left w:w="0" w:type="dxa"/>
            <w:bottom w:w="0" w:type="dxa"/>
            <w:right w:w="0" w:type="dxa"/>
          </w:tblCellMar>
        </w:tblPrEx>
        <w:trPr>
          <w:wBefore w:w="0" w:type="auto"/>
          <w:tblCellSpacing w:w="0" w:type="dxa"/>
        </w:trPr>
        <w:tc>
          <w:tcPr>
            <w:tcW w:w="0" w:type="auto"/>
            <w:noWrap w:val="0"/>
            <w:vAlign w:val="center"/>
          </w:tcPr>
          <w:p w14:paraId="6167A45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EA81C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D6C650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3D7A82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9E015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81A0434">
                  <w:r>
                    <w:rPr>
                      <w:rStyle w:val="11"/>
                      <w:rFonts w:hint="eastAsia"/>
                    </w:rPr>
                    <w:t>施用方式</w:t>
                  </w:r>
                </w:p>
              </w:tc>
            </w:tr>
            <w:tr w14:paraId="651CDC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3A5A16A">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87FD90">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CEDCA4">
                  <w:r>
                    <w:rPr>
                      <w:rStyle w:val="11"/>
                      <w:rFonts w:hint="eastAsia"/>
                    </w:rPr>
                    <w:t>250-500毫升/亩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A0005B">
                  <w:r>
                    <w:rPr>
                      <w:rStyle w:val="11"/>
                      <w:rFonts w:hint="eastAsia"/>
                    </w:rPr>
                    <w:t>茎叶喷雾</w:t>
                  </w:r>
                </w:p>
              </w:tc>
            </w:tr>
          </w:tbl>
          <w:p w14:paraId="7D8071CD">
            <w:pPr>
              <w:rPr>
                <w:rFonts w:ascii="Times New Roman" w:hAnsi="Times New Roman" w:cs="Times New Roman"/>
                <w:sz w:val="20"/>
                <w:szCs w:val="20"/>
              </w:rPr>
            </w:pPr>
          </w:p>
        </w:tc>
      </w:tr>
      <w:tr w14:paraId="6E86D883">
        <w:tblPrEx>
          <w:tblCellMar>
            <w:top w:w="0" w:type="dxa"/>
            <w:left w:w="0" w:type="dxa"/>
            <w:bottom w:w="0" w:type="dxa"/>
            <w:right w:w="0" w:type="dxa"/>
          </w:tblCellMar>
        </w:tblPrEx>
        <w:trPr>
          <w:wBefore w:w="0" w:type="auto"/>
          <w:tblCellSpacing w:w="0" w:type="dxa"/>
        </w:trPr>
        <w:tc>
          <w:tcPr>
            <w:tcW w:w="0" w:type="auto"/>
            <w:noWrap w:val="0"/>
            <w:vAlign w:val="center"/>
          </w:tcPr>
          <w:p w14:paraId="5F310A41">
            <w:r>
              <w:rPr>
                <w:rStyle w:val="10"/>
                <w:rFonts w:hint="eastAsia"/>
              </w:rPr>
              <w:t>使用技术要求:</w:t>
            </w:r>
            <w:r>
              <w:rPr>
                <w:rFonts w:hint="eastAsia"/>
              </w:rPr>
              <w:br w:type="textWrapping"/>
            </w:r>
            <w:r>
              <w:rPr>
                <w:rStyle w:val="11"/>
                <w:rFonts w:hint="eastAsia"/>
              </w:rPr>
              <w:t>1.在杂草生长盛期施药，每亩兑水40-50公斤，对杂草茎叶均匀喷雾。2.配药时应用清水，污水会降低药效；杂草生长后期、气温较低、杂草叶面灰尘较多时，可使用核准用药量的高限。3.选择晴天施药，大风天或预计短时间内下雨请勿施药。</w:t>
            </w:r>
          </w:p>
        </w:tc>
      </w:tr>
      <w:tr w14:paraId="1E662AAD">
        <w:tblPrEx>
          <w:tblCellMar>
            <w:top w:w="0" w:type="dxa"/>
            <w:left w:w="0" w:type="dxa"/>
            <w:bottom w:w="0" w:type="dxa"/>
            <w:right w:w="0" w:type="dxa"/>
          </w:tblCellMar>
        </w:tblPrEx>
        <w:trPr>
          <w:wBefore w:w="0" w:type="auto"/>
          <w:tblCellSpacing w:w="0" w:type="dxa"/>
        </w:trPr>
        <w:tc>
          <w:tcPr>
            <w:tcW w:w="0" w:type="auto"/>
            <w:noWrap w:val="0"/>
            <w:vAlign w:val="center"/>
          </w:tcPr>
          <w:p w14:paraId="3E02EE2C">
            <w:r>
              <w:rPr>
                <w:rStyle w:val="10"/>
                <w:rFonts w:hint="eastAsia"/>
              </w:rPr>
              <w:t>产品性能:</w:t>
            </w:r>
            <w:r>
              <w:rPr>
                <w:rFonts w:hint="eastAsia"/>
              </w:rPr>
              <w:br w:type="textWrapping"/>
            </w:r>
            <w:r>
              <w:rPr>
                <w:rStyle w:val="11"/>
                <w:rFonts w:hint="eastAsia"/>
              </w:rPr>
              <w:t>本品为灭生性内吸传导型茎叶处理除草剂，由两种作用机理不同的除草剂复配而成。通过杂草绿色部位吸收并迅速传导至根部，连根杀死杂草，能有效防除非耕地一年生及多年生杂草。</w:t>
            </w:r>
          </w:p>
        </w:tc>
      </w:tr>
      <w:tr w14:paraId="22898C43">
        <w:tblPrEx>
          <w:tblCellMar>
            <w:top w:w="0" w:type="dxa"/>
            <w:left w:w="0" w:type="dxa"/>
            <w:bottom w:w="0" w:type="dxa"/>
            <w:right w:w="0" w:type="dxa"/>
          </w:tblCellMar>
        </w:tblPrEx>
        <w:trPr>
          <w:wBefore w:w="0" w:type="auto"/>
          <w:tblCellSpacing w:w="0" w:type="dxa"/>
        </w:trPr>
        <w:tc>
          <w:tcPr>
            <w:tcW w:w="0" w:type="auto"/>
            <w:noWrap w:val="0"/>
            <w:vAlign w:val="center"/>
          </w:tcPr>
          <w:p w14:paraId="261E3E60">
            <w:r>
              <w:rPr>
                <w:rStyle w:val="10"/>
                <w:rFonts w:hint="eastAsia"/>
              </w:rPr>
              <w:t>注意事项：</w:t>
            </w:r>
            <w:r>
              <w:rPr>
                <w:rFonts w:hint="eastAsia"/>
              </w:rPr>
              <w:br w:type="textWrapping"/>
            </w:r>
            <w:r>
              <w:rPr>
                <w:rStyle w:val="11"/>
                <w:rFonts w:hint="eastAsia"/>
              </w:rPr>
              <w:t>1.不能与呈碱性的农药等物质混用。2.使用时应穿长衣长裤、靴子，戴帽子、护目镜、口罩、手套等防护用具；施药期间不可吃东西、饮水、吸烟等；施药后应及时洗手、洗脸并洗涤施药时穿着的衣物。3.避免飘移药害；禁止在田间道路、田埂、果树行间、休耕地、林场林地等农林业区域使用。4.包装物及清洗后的污水和废药液应妥善处理，不得作他用或随地丢弃，禁止在河塘等水域清洗施药器具，以免污染水源。5.桑园及蚕室附近、水产养殖区、河塘等水体附近及赤眼蜂等天敌放飞区域禁用。鸟类保护区附近禁用。6.孕妇及哺乳期妇女避免接触本品。7.施药7天内不能在施药区放牧、割草。</w:t>
            </w:r>
          </w:p>
        </w:tc>
      </w:tr>
      <w:tr w14:paraId="46AE8E03">
        <w:tblPrEx>
          <w:tblCellMar>
            <w:top w:w="0" w:type="dxa"/>
            <w:left w:w="0" w:type="dxa"/>
            <w:bottom w:w="0" w:type="dxa"/>
            <w:right w:w="0" w:type="dxa"/>
          </w:tblCellMar>
        </w:tblPrEx>
        <w:trPr>
          <w:wBefore w:w="0" w:type="auto"/>
          <w:tblCellSpacing w:w="0" w:type="dxa"/>
        </w:trPr>
        <w:tc>
          <w:tcPr>
            <w:tcW w:w="0" w:type="auto"/>
            <w:noWrap w:val="0"/>
            <w:vAlign w:val="center"/>
          </w:tcPr>
          <w:p w14:paraId="486715BB">
            <w:r>
              <w:rPr>
                <w:rStyle w:val="10"/>
                <w:rFonts w:hint="eastAsia"/>
              </w:rPr>
              <w:t>中毒急救措施：</w:t>
            </w:r>
            <w:r>
              <w:rPr>
                <w:rFonts w:hint="eastAsia"/>
              </w:rPr>
              <w:br w:type="textWrapping"/>
            </w:r>
            <w:r>
              <w:rPr>
                <w:rStyle w:val="11"/>
                <w:rFonts w:hint="eastAsia"/>
              </w:rPr>
              <w:t>本品对眼睛有刺激性。1.用药时如感觉不适，应停止工作，携此标签送医就诊。2.中毒症状表现为头晕、恶心、呕吐。 3.不慎吸入，将病人移至空气流通处并就医。4.不慎接触皮肤，立即脱去污染的衣物，用大量肥皂水和清水冲洗，如有不适应就医。 5.不慎溅入眼睛，立即翻开眼睑，用大量清水冲洗至少15分钟，并就医。6. 误服立即持标签送医院对症治疗，无特效解毒剂。</w:t>
            </w:r>
          </w:p>
        </w:tc>
      </w:tr>
      <w:tr w14:paraId="7EDEAC1D">
        <w:tblPrEx>
          <w:tblCellMar>
            <w:top w:w="0" w:type="dxa"/>
            <w:left w:w="0" w:type="dxa"/>
            <w:bottom w:w="0" w:type="dxa"/>
            <w:right w:w="0" w:type="dxa"/>
          </w:tblCellMar>
        </w:tblPrEx>
        <w:trPr>
          <w:wBefore w:w="0" w:type="auto"/>
          <w:tblCellSpacing w:w="0" w:type="dxa"/>
        </w:trPr>
        <w:tc>
          <w:tcPr>
            <w:tcW w:w="0" w:type="auto"/>
            <w:noWrap w:val="0"/>
            <w:vAlign w:val="center"/>
          </w:tcPr>
          <w:p w14:paraId="059801E6">
            <w:r>
              <w:rPr>
                <w:rStyle w:val="10"/>
                <w:rFonts w:hint="eastAsia"/>
              </w:rPr>
              <w:t>储存和运输方法：</w:t>
            </w:r>
            <w:r>
              <w:rPr>
                <w:rFonts w:hint="eastAsia"/>
              </w:rPr>
              <w:br w:type="textWrapping"/>
            </w:r>
            <w:r>
              <w:rPr>
                <w:rStyle w:val="11"/>
                <w:rFonts w:hint="eastAsia"/>
              </w:rPr>
              <w:t>1.应贮存于干燥、阴凉、通风、防雨处，远离火源或热源，置于儿童及无关人员接触不到之处，并加锁。 2.勿与食品、饮料、饲料、粮食、日用品等混合储运。 3.搬运时应注意轻拿轻放，以免破损和污染环境。</w:t>
            </w:r>
          </w:p>
        </w:tc>
      </w:tr>
      <w:tr w14:paraId="735BDEF6">
        <w:tblPrEx>
          <w:tblCellMar>
            <w:top w:w="0" w:type="dxa"/>
            <w:left w:w="0" w:type="dxa"/>
            <w:bottom w:w="0" w:type="dxa"/>
            <w:right w:w="0" w:type="dxa"/>
          </w:tblCellMar>
        </w:tblPrEx>
        <w:trPr>
          <w:wBefore w:w="0" w:type="auto"/>
          <w:tblCellSpacing w:w="0" w:type="dxa"/>
        </w:trPr>
        <w:tc>
          <w:tcPr>
            <w:tcW w:w="0" w:type="auto"/>
            <w:noWrap w:val="0"/>
            <w:vAlign w:val="center"/>
          </w:tcPr>
          <w:p w14:paraId="4C421466">
            <w:r>
              <w:rPr>
                <w:rStyle w:val="10"/>
                <w:rFonts w:hint="eastAsia"/>
              </w:rPr>
              <w:t>质量保证期：</w:t>
            </w:r>
            <w:r>
              <w:rPr>
                <w:rStyle w:val="11"/>
                <w:rFonts w:hint="eastAsia"/>
              </w:rPr>
              <w:t>2年</w:t>
            </w:r>
          </w:p>
        </w:tc>
      </w:tr>
      <w:tr w14:paraId="4D4A901C">
        <w:tblPrEx>
          <w:tblCellMar>
            <w:top w:w="0" w:type="dxa"/>
            <w:left w:w="0" w:type="dxa"/>
            <w:bottom w:w="0" w:type="dxa"/>
            <w:right w:w="0" w:type="dxa"/>
          </w:tblCellMar>
        </w:tblPrEx>
        <w:trPr>
          <w:wBefore w:w="0" w:type="auto"/>
          <w:tblCellSpacing w:w="0" w:type="dxa"/>
        </w:trPr>
        <w:tc>
          <w:tcPr>
            <w:tcW w:w="0" w:type="auto"/>
            <w:noWrap w:val="0"/>
            <w:vAlign w:val="center"/>
          </w:tcPr>
          <w:p w14:paraId="1B746373">
            <w:r>
              <w:rPr>
                <w:rStyle w:val="10"/>
                <w:rFonts w:hint="eastAsia"/>
              </w:rPr>
              <w:t>备注：</w:t>
            </w:r>
            <w:r>
              <w:rPr>
                <w:rFonts w:hint="eastAsia"/>
              </w:rPr>
              <w:br w:type="textWrapping"/>
            </w:r>
            <w:r>
              <w:rPr>
                <w:rStyle w:val="11"/>
                <w:rFonts w:hint="eastAsia"/>
              </w:rPr>
              <w:t>2,4-滴钠盐2.2%；草甘膦铵盐33%。</w:t>
            </w:r>
          </w:p>
        </w:tc>
      </w:tr>
    </w:tbl>
    <w:p w14:paraId="28B6521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74BB9BB">
        <w:tblPrEx>
          <w:tblCellMar>
            <w:top w:w="0" w:type="dxa"/>
            <w:left w:w="0" w:type="dxa"/>
            <w:bottom w:w="0" w:type="dxa"/>
            <w:right w:w="0" w:type="dxa"/>
          </w:tblCellMar>
        </w:tblPrEx>
        <w:trPr>
          <w:wBefore w:w="0" w:type="auto"/>
          <w:tblCellSpacing w:w="0" w:type="dxa"/>
        </w:trPr>
        <w:tc>
          <w:tcPr>
            <w:tcW w:w="0" w:type="auto"/>
            <w:noWrap w:val="0"/>
            <w:vAlign w:val="center"/>
          </w:tcPr>
          <w:p w14:paraId="1A3EEEF5">
            <w:r>
              <w:rPr>
                <w:rStyle w:val="10"/>
                <w:rFonts w:hint="eastAsia"/>
              </w:rPr>
              <w:t>登记证号：</w:t>
            </w:r>
            <w:r>
              <w:rPr>
                <w:rFonts w:hint="eastAsia"/>
              </w:rPr>
              <w:t>PD20212111</w:t>
            </w:r>
          </w:p>
        </w:tc>
      </w:tr>
      <w:tr w14:paraId="70595BA2">
        <w:tblPrEx>
          <w:tblCellMar>
            <w:top w:w="0" w:type="dxa"/>
            <w:left w:w="0" w:type="dxa"/>
            <w:bottom w:w="0" w:type="dxa"/>
            <w:right w:w="0" w:type="dxa"/>
          </w:tblCellMar>
        </w:tblPrEx>
        <w:trPr>
          <w:wBefore w:w="0" w:type="auto"/>
          <w:tblCellSpacing w:w="0" w:type="dxa"/>
        </w:trPr>
        <w:tc>
          <w:tcPr>
            <w:tcW w:w="0" w:type="auto"/>
            <w:noWrap w:val="0"/>
            <w:vAlign w:val="center"/>
          </w:tcPr>
          <w:p w14:paraId="46276BCD">
            <w:r>
              <w:rPr>
                <w:rStyle w:val="10"/>
                <w:rFonts w:hint="eastAsia"/>
              </w:rPr>
              <w:t>登记证持有人：</w:t>
            </w:r>
            <w:r>
              <w:rPr>
                <w:rFonts w:hint="eastAsia"/>
              </w:rPr>
              <w:t>天津市华宇农药有限公司</w:t>
            </w:r>
          </w:p>
        </w:tc>
      </w:tr>
      <w:tr w14:paraId="28515166">
        <w:tblPrEx>
          <w:tblCellMar>
            <w:top w:w="0" w:type="dxa"/>
            <w:left w:w="0" w:type="dxa"/>
            <w:bottom w:w="0" w:type="dxa"/>
            <w:right w:w="0" w:type="dxa"/>
          </w:tblCellMar>
        </w:tblPrEx>
        <w:trPr>
          <w:wBefore w:w="0" w:type="auto"/>
          <w:tblCellSpacing w:w="0" w:type="dxa"/>
        </w:trPr>
        <w:tc>
          <w:tcPr>
            <w:tcW w:w="0" w:type="auto"/>
            <w:noWrap w:val="0"/>
            <w:vAlign w:val="center"/>
          </w:tcPr>
          <w:p w14:paraId="72DB7957">
            <w:r>
              <w:rPr>
                <w:rStyle w:val="10"/>
                <w:rFonts w:hint="eastAsia"/>
              </w:rPr>
              <w:t>农药名称：</w:t>
            </w:r>
            <w:r>
              <w:rPr>
                <w:rFonts w:hint="eastAsia"/>
              </w:rPr>
              <w:t>烯草酮</w:t>
            </w:r>
          </w:p>
        </w:tc>
      </w:tr>
      <w:tr w14:paraId="1F214F6E">
        <w:tblPrEx>
          <w:tblCellMar>
            <w:top w:w="0" w:type="dxa"/>
            <w:left w:w="0" w:type="dxa"/>
            <w:bottom w:w="0" w:type="dxa"/>
            <w:right w:w="0" w:type="dxa"/>
          </w:tblCellMar>
        </w:tblPrEx>
        <w:trPr>
          <w:wBefore w:w="0" w:type="auto"/>
          <w:tblCellSpacing w:w="0" w:type="dxa"/>
        </w:trPr>
        <w:tc>
          <w:tcPr>
            <w:tcW w:w="0" w:type="auto"/>
            <w:noWrap w:val="0"/>
            <w:vAlign w:val="center"/>
          </w:tcPr>
          <w:p w14:paraId="74AD0524">
            <w:r>
              <w:rPr>
                <w:rStyle w:val="10"/>
                <w:rFonts w:hint="eastAsia"/>
              </w:rPr>
              <w:t>剂型：</w:t>
            </w:r>
            <w:r>
              <w:rPr>
                <w:rFonts w:hint="eastAsia"/>
              </w:rPr>
              <w:t>乳油</w:t>
            </w:r>
          </w:p>
        </w:tc>
      </w:tr>
      <w:tr w14:paraId="1E372F83">
        <w:tblPrEx>
          <w:tblCellMar>
            <w:top w:w="0" w:type="dxa"/>
            <w:left w:w="0" w:type="dxa"/>
            <w:bottom w:w="0" w:type="dxa"/>
            <w:right w:w="0" w:type="dxa"/>
          </w:tblCellMar>
        </w:tblPrEx>
        <w:trPr>
          <w:wBefore w:w="0" w:type="auto"/>
          <w:tblCellSpacing w:w="0" w:type="dxa"/>
        </w:trPr>
        <w:tc>
          <w:tcPr>
            <w:tcW w:w="0" w:type="auto"/>
            <w:noWrap w:val="0"/>
            <w:vAlign w:val="center"/>
          </w:tcPr>
          <w:p w14:paraId="3BD97C61">
            <w:r>
              <w:rPr>
                <w:rStyle w:val="10"/>
                <w:rFonts w:hint="eastAsia"/>
              </w:rPr>
              <w:t>毒性及其标识：</w:t>
            </w:r>
            <w:r>
              <w:rPr>
                <w:rFonts w:hint="eastAsia"/>
              </w:rPr>
              <w:t xml:space="preserve"> </w:t>
            </w:r>
            <w:r>
              <w:rPr>
                <w:lang/>
              </w:rPr>
              <w:drawing>
                <wp:inline distT="0" distB="0" distL="114300" distR="114300">
                  <wp:extent cx="476250" cy="323850"/>
                  <wp:effectExtent l="0" t="0" r="0" b="0"/>
                  <wp:docPr id="449" name="图片 44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4C7E41E">
        <w:tblPrEx>
          <w:tblCellMar>
            <w:top w:w="0" w:type="dxa"/>
            <w:left w:w="0" w:type="dxa"/>
            <w:bottom w:w="0" w:type="dxa"/>
            <w:right w:w="0" w:type="dxa"/>
          </w:tblCellMar>
        </w:tblPrEx>
        <w:trPr>
          <w:wBefore w:w="0" w:type="auto"/>
          <w:tblCellSpacing w:w="0" w:type="dxa"/>
        </w:trPr>
        <w:tc>
          <w:tcPr>
            <w:tcW w:w="0" w:type="auto"/>
            <w:noWrap w:val="0"/>
            <w:vAlign w:val="center"/>
          </w:tcPr>
          <w:p w14:paraId="776D8B06">
            <w:r>
              <w:rPr>
                <w:rStyle w:val="10"/>
                <w:rFonts w:hint="eastAsia"/>
              </w:rPr>
              <w:t>总有效成分含量：</w:t>
            </w:r>
            <w:r>
              <w:rPr>
                <w:rFonts w:hint="eastAsia"/>
              </w:rPr>
              <w:t>240克/升</w:t>
            </w:r>
          </w:p>
        </w:tc>
      </w:tr>
      <w:tr w14:paraId="23290048">
        <w:tblPrEx>
          <w:tblCellMar>
            <w:top w:w="0" w:type="dxa"/>
            <w:left w:w="0" w:type="dxa"/>
            <w:bottom w:w="0" w:type="dxa"/>
            <w:right w:w="0" w:type="dxa"/>
          </w:tblCellMar>
        </w:tblPrEx>
        <w:trPr>
          <w:wBefore w:w="0" w:type="auto"/>
          <w:tblCellSpacing w:w="0" w:type="dxa"/>
        </w:trPr>
        <w:tc>
          <w:tcPr>
            <w:tcW w:w="0" w:type="auto"/>
            <w:noWrap w:val="0"/>
            <w:vAlign w:val="center"/>
          </w:tcPr>
          <w:p w14:paraId="1E42C9A2">
            <w:r>
              <w:rPr>
                <w:rFonts w:hint="eastAsia"/>
              </w:rPr>
              <w:t xml:space="preserve">有效成分及其含量： </w:t>
            </w:r>
          </w:p>
          <w:p w14:paraId="194AE8CB">
            <w:r>
              <w:rPr>
                <w:rFonts w:hint="eastAsia"/>
              </w:rPr>
              <w:t xml:space="preserve">    烯草酮240克/升    </w:t>
            </w:r>
          </w:p>
        </w:tc>
      </w:tr>
      <w:tr w14:paraId="2E05A5E2">
        <w:tblPrEx>
          <w:tblCellMar>
            <w:top w:w="0" w:type="dxa"/>
            <w:left w:w="0" w:type="dxa"/>
            <w:bottom w:w="0" w:type="dxa"/>
            <w:right w:w="0" w:type="dxa"/>
          </w:tblCellMar>
        </w:tblPrEx>
        <w:trPr>
          <w:wBefore w:w="0" w:type="auto"/>
          <w:tblCellSpacing w:w="0" w:type="dxa"/>
        </w:trPr>
        <w:tc>
          <w:tcPr>
            <w:tcW w:w="0" w:type="auto"/>
            <w:noWrap w:val="0"/>
            <w:vAlign w:val="center"/>
          </w:tcPr>
          <w:p w14:paraId="0B4B125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08691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B34122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DA3E69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0AF792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BC7163A">
                  <w:r>
                    <w:rPr>
                      <w:rStyle w:val="11"/>
                      <w:rFonts w:hint="eastAsia"/>
                    </w:rPr>
                    <w:t>施用方式</w:t>
                  </w:r>
                </w:p>
              </w:tc>
            </w:tr>
            <w:tr w14:paraId="1E1FC8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3E8E7B6">
                  <w:r>
                    <w:rPr>
                      <w:rStyle w:val="11"/>
                      <w:rFonts w:hint="eastAsia"/>
                    </w:rPr>
                    <w:t>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384947">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BA0C9C">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32CFDE">
                  <w:r>
                    <w:rPr>
                      <w:rStyle w:val="11"/>
                      <w:rFonts w:hint="eastAsia"/>
                    </w:rPr>
                    <w:t>茎叶喷雾</w:t>
                  </w:r>
                </w:p>
              </w:tc>
            </w:tr>
          </w:tbl>
          <w:p w14:paraId="44A4BBF5">
            <w:pPr>
              <w:rPr>
                <w:rFonts w:ascii="Times New Roman" w:hAnsi="Times New Roman" w:cs="Times New Roman"/>
                <w:sz w:val="20"/>
                <w:szCs w:val="20"/>
              </w:rPr>
            </w:pPr>
          </w:p>
        </w:tc>
      </w:tr>
      <w:tr w14:paraId="4D6C0ED4">
        <w:tblPrEx>
          <w:tblCellMar>
            <w:top w:w="0" w:type="dxa"/>
            <w:left w:w="0" w:type="dxa"/>
            <w:bottom w:w="0" w:type="dxa"/>
            <w:right w:w="0" w:type="dxa"/>
          </w:tblCellMar>
        </w:tblPrEx>
        <w:trPr>
          <w:wBefore w:w="0" w:type="auto"/>
          <w:tblCellSpacing w:w="0" w:type="dxa"/>
        </w:trPr>
        <w:tc>
          <w:tcPr>
            <w:tcW w:w="0" w:type="auto"/>
            <w:noWrap w:val="0"/>
            <w:vAlign w:val="center"/>
          </w:tcPr>
          <w:p w14:paraId="697F41EC">
            <w:r>
              <w:rPr>
                <w:rStyle w:val="10"/>
                <w:rFonts w:hint="eastAsia"/>
              </w:rPr>
              <w:t>使用技术要求:</w:t>
            </w:r>
            <w:r>
              <w:rPr>
                <w:rFonts w:hint="eastAsia"/>
              </w:rPr>
              <w:br w:type="textWrapping"/>
            </w:r>
            <w:r>
              <w:rPr>
                <w:rStyle w:val="11"/>
                <w:rFonts w:hint="eastAsia"/>
              </w:rPr>
              <w:t>1.本品应在大豆2-3片复叶期，一年生禾本科杂草2-5叶期施药，每亩兑水量20-50公斤，茎叶喷雾。 2.大风天或预计1小时内降雨，请勿施药。3.每季作物使用1次。</w:t>
            </w:r>
          </w:p>
        </w:tc>
      </w:tr>
      <w:tr w14:paraId="0279FFF7">
        <w:tblPrEx>
          <w:tblCellMar>
            <w:top w:w="0" w:type="dxa"/>
            <w:left w:w="0" w:type="dxa"/>
            <w:bottom w:w="0" w:type="dxa"/>
            <w:right w:w="0" w:type="dxa"/>
          </w:tblCellMar>
        </w:tblPrEx>
        <w:trPr>
          <w:wBefore w:w="0" w:type="auto"/>
          <w:tblCellSpacing w:w="0" w:type="dxa"/>
        </w:trPr>
        <w:tc>
          <w:tcPr>
            <w:tcW w:w="0" w:type="auto"/>
            <w:noWrap w:val="0"/>
            <w:vAlign w:val="center"/>
          </w:tcPr>
          <w:p w14:paraId="5BBEC7DB">
            <w:r>
              <w:rPr>
                <w:rStyle w:val="10"/>
                <w:rFonts w:hint="eastAsia"/>
              </w:rPr>
              <w:t>产品性能:</w:t>
            </w:r>
            <w:r>
              <w:rPr>
                <w:rFonts w:hint="eastAsia"/>
              </w:rPr>
              <w:br w:type="textWrapping"/>
            </w:r>
            <w:r>
              <w:rPr>
                <w:rStyle w:val="11"/>
                <w:rFonts w:hint="eastAsia"/>
              </w:rPr>
              <w:t>本品外观为均匀液体，属环己烯酮类茎叶处理除草剂，具有内吸传导性，很优良的选择性，对一年生禾本科杂草有很强的杀伤作用，对双子叶作物安全。通过抑制支链脂肪酸和黄酮类化合物的生物合成而起作用，破坏细胞分裂，抑制植物分身组织的活性，使植物干枯死亡。可有效防除大豆田一年生禾本科杂草。</w:t>
            </w:r>
          </w:p>
        </w:tc>
      </w:tr>
      <w:tr w14:paraId="67818A95">
        <w:tblPrEx>
          <w:tblCellMar>
            <w:top w:w="0" w:type="dxa"/>
            <w:left w:w="0" w:type="dxa"/>
            <w:bottom w:w="0" w:type="dxa"/>
            <w:right w:w="0" w:type="dxa"/>
          </w:tblCellMar>
        </w:tblPrEx>
        <w:trPr>
          <w:wBefore w:w="0" w:type="auto"/>
          <w:tblCellSpacing w:w="0" w:type="dxa"/>
        </w:trPr>
        <w:tc>
          <w:tcPr>
            <w:tcW w:w="0" w:type="auto"/>
            <w:noWrap w:val="0"/>
            <w:vAlign w:val="center"/>
          </w:tcPr>
          <w:p w14:paraId="4A349C2D">
            <w:r>
              <w:rPr>
                <w:rStyle w:val="10"/>
                <w:rFonts w:hint="eastAsia"/>
              </w:rPr>
              <w:t>注意事项：</w:t>
            </w:r>
            <w:r>
              <w:rPr>
                <w:rFonts w:hint="eastAsia"/>
              </w:rPr>
              <w:br w:type="textWrapping"/>
            </w:r>
            <w:r>
              <w:rPr>
                <w:rStyle w:val="11"/>
                <w:rFonts w:hint="eastAsia"/>
              </w:rPr>
              <w:t>1.本品对鸟类、蜜蜂、鱼类等水生生物、家蚕有毒，施药期间应避免对周围蜂群的影响，禁止在开花植物花期、蚕室和桑园附近使用。远离水产养殖区、河塘等水域施药。禁止在河塘等水域清洗施药器具。赤眼蜂、瓢虫等天敌放飞区域禁用。 2.施用时穿戴帽子、口罩、长衣、长裤、手套、鞋。 不得吸烟、饮食、饮水，使用后应及时清洗皮肤及所穿衣物。 3.喷雾时需定向全面均匀喷雾，勿使药液漂移或接触到其他作物上，以免产生药害。 4.使用完毕后应及时清洗药械。用过的容器应妥善处理，不可做他用，也不可随意丢弃。不可将残留药物、清洗液倒入江河、鱼塘等水域，以免污染水源。 5.本品为环己烯酮类除草剂建议与其他作用机制不同的除草剂轮换使用。 6.孕妇及哺乳期妇女禁止接触本品。</w:t>
            </w:r>
          </w:p>
        </w:tc>
      </w:tr>
      <w:tr w14:paraId="1E21B8D9">
        <w:tblPrEx>
          <w:tblCellMar>
            <w:top w:w="0" w:type="dxa"/>
            <w:left w:w="0" w:type="dxa"/>
            <w:bottom w:w="0" w:type="dxa"/>
            <w:right w:w="0" w:type="dxa"/>
          </w:tblCellMar>
        </w:tblPrEx>
        <w:trPr>
          <w:wBefore w:w="0" w:type="auto"/>
          <w:tblCellSpacing w:w="0" w:type="dxa"/>
        </w:trPr>
        <w:tc>
          <w:tcPr>
            <w:tcW w:w="0" w:type="auto"/>
            <w:noWrap w:val="0"/>
            <w:vAlign w:val="center"/>
          </w:tcPr>
          <w:p w14:paraId="1B0133AB">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溅入眼睛：立即用流动清水冲洗眼睛至少15分钟，仍有不适时，就医。接触皮肤：脱去污染的衣物，用软布去除沾染农药，立即用大量清水和肥皂冲洗。吸入：立即离开施药现场，转移到空气清新处。误服：立即携此标签将病人送医院救治，可对症治疗。</w:t>
            </w:r>
          </w:p>
        </w:tc>
      </w:tr>
      <w:tr w14:paraId="531ECD3F">
        <w:tblPrEx>
          <w:tblCellMar>
            <w:top w:w="0" w:type="dxa"/>
            <w:left w:w="0" w:type="dxa"/>
            <w:bottom w:w="0" w:type="dxa"/>
            <w:right w:w="0" w:type="dxa"/>
          </w:tblCellMar>
        </w:tblPrEx>
        <w:trPr>
          <w:wBefore w:w="0" w:type="auto"/>
          <w:tblCellSpacing w:w="0" w:type="dxa"/>
        </w:trPr>
        <w:tc>
          <w:tcPr>
            <w:tcW w:w="0" w:type="auto"/>
            <w:noWrap w:val="0"/>
            <w:vAlign w:val="center"/>
          </w:tcPr>
          <w:p w14:paraId="39F18F33">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本品应贮存于干燥、阴凉、通风、防雨处。远离火源或热源。置于儿童触及不到之处，并加锁。勿与食品、饮料、饲料、粮食等其它商品同贮同运。</w:t>
            </w:r>
          </w:p>
        </w:tc>
      </w:tr>
      <w:tr w14:paraId="289B8D39">
        <w:tblPrEx>
          <w:tblCellMar>
            <w:top w:w="0" w:type="dxa"/>
            <w:left w:w="0" w:type="dxa"/>
            <w:bottom w:w="0" w:type="dxa"/>
            <w:right w:w="0" w:type="dxa"/>
          </w:tblCellMar>
        </w:tblPrEx>
        <w:trPr>
          <w:wBefore w:w="0" w:type="auto"/>
          <w:tblCellSpacing w:w="0" w:type="dxa"/>
        </w:trPr>
        <w:tc>
          <w:tcPr>
            <w:tcW w:w="0" w:type="auto"/>
            <w:noWrap w:val="0"/>
            <w:vAlign w:val="center"/>
          </w:tcPr>
          <w:p w14:paraId="273C0709">
            <w:r>
              <w:rPr>
                <w:rStyle w:val="10"/>
                <w:rFonts w:hint="eastAsia"/>
              </w:rPr>
              <w:t>质量保证期：</w:t>
            </w:r>
            <w:r>
              <w:rPr>
                <w:rStyle w:val="11"/>
                <w:rFonts w:hint="eastAsia"/>
              </w:rPr>
              <w:t>2年</w:t>
            </w:r>
          </w:p>
        </w:tc>
      </w:tr>
      <w:tr w14:paraId="7B3AE5C6">
        <w:tblPrEx>
          <w:tblCellMar>
            <w:top w:w="0" w:type="dxa"/>
            <w:left w:w="0" w:type="dxa"/>
            <w:bottom w:w="0" w:type="dxa"/>
            <w:right w:w="0" w:type="dxa"/>
          </w:tblCellMar>
        </w:tblPrEx>
        <w:trPr>
          <w:wBefore w:w="0" w:type="auto"/>
          <w:tblCellSpacing w:w="0" w:type="dxa"/>
        </w:trPr>
        <w:tc>
          <w:tcPr>
            <w:tcW w:w="0" w:type="auto"/>
            <w:noWrap w:val="0"/>
            <w:vAlign w:val="center"/>
          </w:tcPr>
          <w:p w14:paraId="7B745FA4">
            <w:r>
              <w:rPr>
                <w:rStyle w:val="10"/>
                <w:rFonts w:hint="eastAsia"/>
              </w:rPr>
              <w:t>备注：</w:t>
            </w:r>
          </w:p>
        </w:tc>
      </w:tr>
    </w:tbl>
    <w:p w14:paraId="120EE12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6C35220">
        <w:tblPrEx>
          <w:tblCellMar>
            <w:top w:w="0" w:type="dxa"/>
            <w:left w:w="0" w:type="dxa"/>
            <w:bottom w:w="0" w:type="dxa"/>
            <w:right w:w="0" w:type="dxa"/>
          </w:tblCellMar>
        </w:tblPrEx>
        <w:trPr>
          <w:wBefore w:w="0" w:type="auto"/>
          <w:tblCellSpacing w:w="0" w:type="dxa"/>
        </w:trPr>
        <w:tc>
          <w:tcPr>
            <w:tcW w:w="0" w:type="auto"/>
            <w:noWrap w:val="0"/>
            <w:vAlign w:val="center"/>
          </w:tcPr>
          <w:p w14:paraId="249782DF">
            <w:r>
              <w:rPr>
                <w:rStyle w:val="10"/>
                <w:rFonts w:hint="eastAsia"/>
              </w:rPr>
              <w:t>登记证号：</w:t>
            </w:r>
            <w:r>
              <w:rPr>
                <w:rFonts w:hint="eastAsia"/>
              </w:rPr>
              <w:t>PD20211877</w:t>
            </w:r>
          </w:p>
        </w:tc>
      </w:tr>
      <w:tr w14:paraId="02EAC682">
        <w:tblPrEx>
          <w:tblCellMar>
            <w:top w:w="0" w:type="dxa"/>
            <w:left w:w="0" w:type="dxa"/>
            <w:bottom w:w="0" w:type="dxa"/>
            <w:right w:w="0" w:type="dxa"/>
          </w:tblCellMar>
        </w:tblPrEx>
        <w:trPr>
          <w:wBefore w:w="0" w:type="auto"/>
          <w:tblCellSpacing w:w="0" w:type="dxa"/>
        </w:trPr>
        <w:tc>
          <w:tcPr>
            <w:tcW w:w="0" w:type="auto"/>
            <w:noWrap w:val="0"/>
            <w:vAlign w:val="center"/>
          </w:tcPr>
          <w:p w14:paraId="36731DBF">
            <w:r>
              <w:rPr>
                <w:rStyle w:val="10"/>
                <w:rFonts w:hint="eastAsia"/>
              </w:rPr>
              <w:t>登记证持有人：</w:t>
            </w:r>
            <w:r>
              <w:rPr>
                <w:rFonts w:hint="eastAsia"/>
              </w:rPr>
              <w:t>四川润尔科技有限公司</w:t>
            </w:r>
          </w:p>
        </w:tc>
      </w:tr>
      <w:tr w14:paraId="0E86CFE4">
        <w:tblPrEx>
          <w:tblCellMar>
            <w:top w:w="0" w:type="dxa"/>
            <w:left w:w="0" w:type="dxa"/>
            <w:bottom w:w="0" w:type="dxa"/>
            <w:right w:w="0" w:type="dxa"/>
          </w:tblCellMar>
        </w:tblPrEx>
        <w:trPr>
          <w:wBefore w:w="0" w:type="auto"/>
          <w:tblCellSpacing w:w="0" w:type="dxa"/>
        </w:trPr>
        <w:tc>
          <w:tcPr>
            <w:tcW w:w="0" w:type="auto"/>
            <w:noWrap w:val="0"/>
            <w:vAlign w:val="center"/>
          </w:tcPr>
          <w:p w14:paraId="3E89AFE5">
            <w:r>
              <w:rPr>
                <w:rStyle w:val="10"/>
                <w:rFonts w:hint="eastAsia"/>
              </w:rPr>
              <w:t>农药名称：</w:t>
            </w:r>
            <w:r>
              <w:rPr>
                <w:rFonts w:hint="eastAsia"/>
              </w:rPr>
              <w:t>阿维·毒死蜱</w:t>
            </w:r>
          </w:p>
        </w:tc>
      </w:tr>
      <w:tr w14:paraId="285D508B">
        <w:tblPrEx>
          <w:tblCellMar>
            <w:top w:w="0" w:type="dxa"/>
            <w:left w:w="0" w:type="dxa"/>
            <w:bottom w:w="0" w:type="dxa"/>
            <w:right w:w="0" w:type="dxa"/>
          </w:tblCellMar>
        </w:tblPrEx>
        <w:trPr>
          <w:wBefore w:w="0" w:type="auto"/>
          <w:tblCellSpacing w:w="0" w:type="dxa"/>
        </w:trPr>
        <w:tc>
          <w:tcPr>
            <w:tcW w:w="0" w:type="auto"/>
            <w:noWrap w:val="0"/>
            <w:vAlign w:val="center"/>
          </w:tcPr>
          <w:p w14:paraId="7BABCDFD">
            <w:r>
              <w:rPr>
                <w:rStyle w:val="10"/>
                <w:rFonts w:hint="eastAsia"/>
              </w:rPr>
              <w:t>剂型：</w:t>
            </w:r>
            <w:r>
              <w:rPr>
                <w:rFonts w:hint="eastAsia"/>
              </w:rPr>
              <w:t>水乳剂</w:t>
            </w:r>
          </w:p>
        </w:tc>
      </w:tr>
      <w:tr w14:paraId="4A8DB3B6">
        <w:tblPrEx>
          <w:tblCellMar>
            <w:top w:w="0" w:type="dxa"/>
            <w:left w:w="0" w:type="dxa"/>
            <w:bottom w:w="0" w:type="dxa"/>
            <w:right w:w="0" w:type="dxa"/>
          </w:tblCellMar>
        </w:tblPrEx>
        <w:trPr>
          <w:wBefore w:w="0" w:type="auto"/>
          <w:tblCellSpacing w:w="0" w:type="dxa"/>
        </w:trPr>
        <w:tc>
          <w:tcPr>
            <w:tcW w:w="0" w:type="auto"/>
            <w:noWrap w:val="0"/>
            <w:vAlign w:val="center"/>
          </w:tcPr>
          <w:p w14:paraId="44D50B2B">
            <w:r>
              <w:rPr>
                <w:rStyle w:val="10"/>
                <w:rFonts w:hint="eastAsia"/>
              </w:rPr>
              <w:t>毒性及其标识：</w:t>
            </w:r>
            <w:r>
              <w:rPr>
                <w:rFonts w:hint="eastAsia"/>
              </w:rPr>
              <w:t xml:space="preserve"> </w:t>
            </w:r>
            <w:r>
              <w:rPr>
                <w:lang/>
              </w:rPr>
              <w:drawing>
                <wp:inline distT="0" distB="0" distL="114300" distR="114300">
                  <wp:extent cx="476250" cy="323850"/>
                  <wp:effectExtent l="0" t="0" r="0" b="0"/>
                  <wp:docPr id="450" name="图片 450"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中等毒 </w:t>
            </w:r>
            <w:r>
              <w:rPr>
                <w:rFonts w:hint="eastAsia"/>
              </w:rPr>
              <w:br w:type="textWrapping"/>
            </w:r>
            <w:r>
              <w:rPr>
                <w:rFonts w:hint="eastAsia"/>
              </w:rPr>
              <w:t xml:space="preserve">(原药高毒) </w:t>
            </w:r>
          </w:p>
        </w:tc>
      </w:tr>
      <w:tr w14:paraId="1E14B98F">
        <w:tblPrEx>
          <w:tblCellMar>
            <w:top w:w="0" w:type="dxa"/>
            <w:left w:w="0" w:type="dxa"/>
            <w:bottom w:w="0" w:type="dxa"/>
            <w:right w:w="0" w:type="dxa"/>
          </w:tblCellMar>
        </w:tblPrEx>
        <w:trPr>
          <w:wBefore w:w="0" w:type="auto"/>
          <w:tblCellSpacing w:w="0" w:type="dxa"/>
        </w:trPr>
        <w:tc>
          <w:tcPr>
            <w:tcW w:w="0" w:type="auto"/>
            <w:noWrap w:val="0"/>
            <w:vAlign w:val="center"/>
          </w:tcPr>
          <w:p w14:paraId="6A20430D">
            <w:r>
              <w:rPr>
                <w:rStyle w:val="10"/>
                <w:rFonts w:hint="eastAsia"/>
              </w:rPr>
              <w:t>总有效成分含量：</w:t>
            </w:r>
            <w:r>
              <w:rPr>
                <w:rFonts w:hint="eastAsia"/>
              </w:rPr>
              <w:t>30%</w:t>
            </w:r>
          </w:p>
        </w:tc>
      </w:tr>
      <w:tr w14:paraId="62D2AD4A">
        <w:tblPrEx>
          <w:tblCellMar>
            <w:top w:w="0" w:type="dxa"/>
            <w:left w:w="0" w:type="dxa"/>
            <w:bottom w:w="0" w:type="dxa"/>
            <w:right w:w="0" w:type="dxa"/>
          </w:tblCellMar>
        </w:tblPrEx>
        <w:trPr>
          <w:wBefore w:w="0" w:type="auto"/>
          <w:tblCellSpacing w:w="0" w:type="dxa"/>
        </w:trPr>
        <w:tc>
          <w:tcPr>
            <w:tcW w:w="0" w:type="auto"/>
            <w:noWrap w:val="0"/>
            <w:vAlign w:val="center"/>
          </w:tcPr>
          <w:p w14:paraId="09C0572F">
            <w:r>
              <w:rPr>
                <w:rFonts w:hint="eastAsia"/>
              </w:rPr>
              <w:t xml:space="preserve">有效成分及其含量： </w:t>
            </w:r>
          </w:p>
          <w:p w14:paraId="621CFB27">
            <w:r>
              <w:rPr>
                <w:rFonts w:hint="eastAsia"/>
              </w:rPr>
              <w:t xml:space="preserve">    阿维菌素1.4%    毒死蜱28.6%    </w:t>
            </w:r>
          </w:p>
        </w:tc>
      </w:tr>
      <w:tr w14:paraId="1BD66BEF">
        <w:tblPrEx>
          <w:tblCellMar>
            <w:top w:w="0" w:type="dxa"/>
            <w:left w:w="0" w:type="dxa"/>
            <w:bottom w:w="0" w:type="dxa"/>
            <w:right w:w="0" w:type="dxa"/>
          </w:tblCellMar>
        </w:tblPrEx>
        <w:trPr>
          <w:wBefore w:w="0" w:type="auto"/>
          <w:tblCellSpacing w:w="0" w:type="dxa"/>
        </w:trPr>
        <w:tc>
          <w:tcPr>
            <w:tcW w:w="0" w:type="auto"/>
            <w:noWrap w:val="0"/>
            <w:vAlign w:val="center"/>
          </w:tcPr>
          <w:p w14:paraId="054BBFE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1564F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D24479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BDE862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99AB22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21D41DE">
                  <w:r>
                    <w:rPr>
                      <w:rStyle w:val="11"/>
                      <w:rFonts w:hint="eastAsia"/>
                    </w:rPr>
                    <w:t>施用方式</w:t>
                  </w:r>
                </w:p>
              </w:tc>
            </w:tr>
            <w:tr w14:paraId="78708E1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B15C866">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AD7150">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385052">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92F769">
                  <w:r>
                    <w:rPr>
                      <w:rStyle w:val="11"/>
                      <w:rFonts w:hint="eastAsia"/>
                    </w:rPr>
                    <w:t>喷雾</w:t>
                  </w:r>
                </w:p>
              </w:tc>
            </w:tr>
          </w:tbl>
          <w:p w14:paraId="19BEBE50">
            <w:pPr>
              <w:rPr>
                <w:rFonts w:ascii="Times New Roman" w:hAnsi="Times New Roman" w:cs="Times New Roman"/>
                <w:sz w:val="20"/>
                <w:szCs w:val="20"/>
              </w:rPr>
            </w:pPr>
          </w:p>
        </w:tc>
      </w:tr>
      <w:tr w14:paraId="7CD6D59D">
        <w:tblPrEx>
          <w:tblCellMar>
            <w:top w:w="0" w:type="dxa"/>
            <w:left w:w="0" w:type="dxa"/>
            <w:bottom w:w="0" w:type="dxa"/>
            <w:right w:w="0" w:type="dxa"/>
          </w:tblCellMar>
        </w:tblPrEx>
        <w:trPr>
          <w:wBefore w:w="0" w:type="auto"/>
          <w:tblCellSpacing w:w="0" w:type="dxa"/>
        </w:trPr>
        <w:tc>
          <w:tcPr>
            <w:tcW w:w="0" w:type="auto"/>
            <w:noWrap w:val="0"/>
            <w:vAlign w:val="center"/>
          </w:tcPr>
          <w:p w14:paraId="07CEF63E">
            <w:r>
              <w:rPr>
                <w:rStyle w:val="10"/>
                <w:rFonts w:hint="eastAsia"/>
              </w:rPr>
              <w:t>使用技术要求:</w:t>
            </w:r>
            <w:r>
              <w:rPr>
                <w:rFonts w:hint="eastAsia"/>
              </w:rPr>
              <w:br w:type="textWrapping"/>
            </w:r>
            <w:r>
              <w:rPr>
                <w:rStyle w:val="11"/>
                <w:rFonts w:hint="eastAsia"/>
              </w:rPr>
              <w:t>1、在水稻稻纵卷叶螟卵孵化盛期至低龄幼虫期施药1次，喷雾应均匀周到打透，以保证药剂充分发挥效果。每公顷兑水600-900升。 2、每季最多使用1次，安全间隔期30天。3、本品对烟草、莴苣、瓜类苗期、某些柑橘品种、樱桃品种较敏感，施药时应避免药液喷洒到以上作物上。4、大风天或预计1小时内降雨，请勿施药。5、施药后设立警示标志，施药后72小时内禁止人畜进入施药区域。</w:t>
            </w:r>
          </w:p>
        </w:tc>
      </w:tr>
      <w:tr w14:paraId="2B5ED423">
        <w:tblPrEx>
          <w:tblCellMar>
            <w:top w:w="0" w:type="dxa"/>
            <w:left w:w="0" w:type="dxa"/>
            <w:bottom w:w="0" w:type="dxa"/>
            <w:right w:w="0" w:type="dxa"/>
          </w:tblCellMar>
        </w:tblPrEx>
        <w:trPr>
          <w:wBefore w:w="0" w:type="auto"/>
          <w:tblCellSpacing w:w="0" w:type="dxa"/>
        </w:trPr>
        <w:tc>
          <w:tcPr>
            <w:tcW w:w="0" w:type="auto"/>
            <w:noWrap w:val="0"/>
            <w:vAlign w:val="center"/>
          </w:tcPr>
          <w:p w14:paraId="15045275">
            <w:r>
              <w:rPr>
                <w:rStyle w:val="10"/>
                <w:rFonts w:hint="eastAsia"/>
              </w:rPr>
              <w:t>产品性能:</w:t>
            </w:r>
            <w:r>
              <w:rPr>
                <w:rFonts w:hint="eastAsia"/>
              </w:rPr>
              <w:br w:type="textWrapping"/>
            </w:r>
            <w:r>
              <w:rPr>
                <w:rStyle w:val="11"/>
                <w:rFonts w:hint="eastAsia"/>
              </w:rPr>
              <w:t>本品是由阿维菌素与毒死蜱复配而成的杀虫剂，具有胃毒、触杀、熏蒸作用。主要作用于害虫神经生理活动，刺激释放γ-氨基丁酸而作用氯离子通道，使氯离子集中进入γ-氨基丁酸细胞轴突区域，使害虫麻痹，停止取食而死亡。防治水稻稻纵卷叶螟效果显著。</w:t>
            </w:r>
          </w:p>
        </w:tc>
      </w:tr>
      <w:tr w14:paraId="63FB98E5">
        <w:tblPrEx>
          <w:tblCellMar>
            <w:top w:w="0" w:type="dxa"/>
            <w:left w:w="0" w:type="dxa"/>
            <w:bottom w:w="0" w:type="dxa"/>
            <w:right w:w="0" w:type="dxa"/>
          </w:tblCellMar>
        </w:tblPrEx>
        <w:trPr>
          <w:wBefore w:w="0" w:type="auto"/>
          <w:tblCellSpacing w:w="0" w:type="dxa"/>
        </w:trPr>
        <w:tc>
          <w:tcPr>
            <w:tcW w:w="0" w:type="auto"/>
            <w:noWrap w:val="0"/>
            <w:vAlign w:val="center"/>
          </w:tcPr>
          <w:p w14:paraId="40763D4A">
            <w:r>
              <w:rPr>
                <w:rStyle w:val="10"/>
                <w:rFonts w:hint="eastAsia"/>
              </w:rPr>
              <w:t>注意事项：</w:t>
            </w:r>
            <w:r>
              <w:rPr>
                <w:rFonts w:hint="eastAsia"/>
              </w:rPr>
              <w:br w:type="textWrapping"/>
            </w:r>
            <w:r>
              <w:rPr>
                <w:rStyle w:val="11"/>
                <w:rFonts w:hint="eastAsia"/>
              </w:rPr>
              <w:t>1、禁止在蔬菜上使用。2、开启封口应小心药液溅出；使用时穿戴长衣、长裤、帽子、口罩、手套等安全防护措施。 以避免污染皮肤和眼睛，施药完毕后应及时换洗衣物，洗净手、脸和被污染的皮肤。3、施药前、后要彻底清洗喷药器械，洗涤后的废水不应污染河流等水源。4、用过的包装物及未用完的药液不能随意丢弃，也不能做他用，应交当地农业部门或环保部门指定的单位进行回收处理。5、本品对鱼有毒，避免污染水源、池塘等水域，水产养殖区、河塘附近、鱼或虾蟹套养稻田禁用，施药后的田水不得直接排入水体。禁止在河塘等水体中清洗施药器具。6、鸟类保护区禁用。施药区应立明显标识，以免人畜等进入。蚕室、桑园附近、赤眼蜂、瓢虫等天敌放飞区禁用。（周围）植物花期禁用，使用时应密切关注对附近蜂群的影响； 施用该产品时，提前3日告知所在地及临近3千米以内的养蜂者。7、为了延缓害虫抗性产生，建议与其它作用机制不同的杀虫剂轮换使用。8、避免孕妇及哺乳期妇女接触。9、禁止在河塘等水域清洗施药器具。10.本品不能与碱性物质混用；为提高喷药质量药液应随配随用，不能久存。</w:t>
            </w:r>
          </w:p>
        </w:tc>
      </w:tr>
      <w:tr w14:paraId="67167C83">
        <w:tblPrEx>
          <w:tblCellMar>
            <w:top w:w="0" w:type="dxa"/>
            <w:left w:w="0" w:type="dxa"/>
            <w:bottom w:w="0" w:type="dxa"/>
            <w:right w:w="0" w:type="dxa"/>
          </w:tblCellMar>
        </w:tblPrEx>
        <w:trPr>
          <w:wBefore w:w="0" w:type="auto"/>
          <w:tblCellSpacing w:w="0" w:type="dxa"/>
        </w:trPr>
        <w:tc>
          <w:tcPr>
            <w:tcW w:w="0" w:type="auto"/>
            <w:noWrap w:val="0"/>
            <w:vAlign w:val="center"/>
          </w:tcPr>
          <w:p w14:paraId="79C2AAFC">
            <w:r>
              <w:rPr>
                <w:rStyle w:val="10"/>
                <w:rFonts w:hint="eastAsia"/>
              </w:rPr>
              <w:t>中毒急救措施：</w:t>
            </w:r>
            <w:r>
              <w:rPr>
                <w:rFonts w:hint="eastAsia"/>
              </w:rPr>
              <w:br w:type="textWrapping"/>
            </w:r>
            <w:r>
              <w:rPr>
                <w:rStyle w:val="11"/>
                <w:rFonts w:hint="eastAsia"/>
              </w:rPr>
              <w:t>1、中毒症状：中毒早期瞳孔放大，行动失调，肌肉颤抖，严重时导致呕吐；毒死蜱特效解毒药：阿托品和吐根糖浆或麻黄素。2、若不慎接触皮肤或溅入眼睛，应立即用清水冲洗干净，并送医院治疗。3、若不慎误食，应立即送医院对症治疗。判断为毒死蜱中毒，可给患者注射阿托品解毒； 抢救时避免给患者服用增强γ-氨基丁酸活性药物，如巴比妥、丙戊酸等。4、本品对人类有毒，不可吞食，吸入，接触皮肤或溅入眼睛。可拨打中国预防医学科学院中毒控制中心24小时急救服务电话010-83132345咨询急救事宜。</w:t>
            </w:r>
          </w:p>
        </w:tc>
      </w:tr>
      <w:tr w14:paraId="71143DA6">
        <w:tblPrEx>
          <w:tblCellMar>
            <w:top w:w="0" w:type="dxa"/>
            <w:left w:w="0" w:type="dxa"/>
            <w:bottom w:w="0" w:type="dxa"/>
            <w:right w:w="0" w:type="dxa"/>
          </w:tblCellMar>
        </w:tblPrEx>
        <w:trPr>
          <w:wBefore w:w="0" w:type="auto"/>
          <w:tblCellSpacing w:w="0" w:type="dxa"/>
        </w:trPr>
        <w:tc>
          <w:tcPr>
            <w:tcW w:w="0" w:type="auto"/>
            <w:noWrap w:val="0"/>
            <w:vAlign w:val="center"/>
          </w:tcPr>
          <w:p w14:paraId="0B692893">
            <w:r>
              <w:rPr>
                <w:rStyle w:val="10"/>
                <w:rFonts w:hint="eastAsia"/>
              </w:rPr>
              <w:t>储存和运输方法：</w:t>
            </w:r>
            <w:r>
              <w:rPr>
                <w:rFonts w:hint="eastAsia"/>
              </w:rPr>
              <w:br w:type="textWrapping"/>
            </w:r>
            <w:r>
              <w:rPr>
                <w:rStyle w:val="11"/>
                <w:rFonts w:hint="eastAsia"/>
              </w:rPr>
              <w:t>本品贮存应注意阴凉、干燥、通风，远离火源，不能与食品、饮料、粮食、饲料等物品同贮同运。远离儿童及家畜并加锁，以免误服。装卸运输时注意检查包装是否密封完整，运输时应注意防水防潮，避免雨淋；搬运时轻搬轻放，不可倒置。</w:t>
            </w:r>
          </w:p>
        </w:tc>
      </w:tr>
      <w:tr w14:paraId="30066930">
        <w:tblPrEx>
          <w:tblCellMar>
            <w:top w:w="0" w:type="dxa"/>
            <w:left w:w="0" w:type="dxa"/>
            <w:bottom w:w="0" w:type="dxa"/>
            <w:right w:w="0" w:type="dxa"/>
          </w:tblCellMar>
        </w:tblPrEx>
        <w:trPr>
          <w:wBefore w:w="0" w:type="auto"/>
          <w:tblCellSpacing w:w="0" w:type="dxa"/>
        </w:trPr>
        <w:tc>
          <w:tcPr>
            <w:tcW w:w="0" w:type="auto"/>
            <w:noWrap w:val="0"/>
            <w:vAlign w:val="center"/>
          </w:tcPr>
          <w:p w14:paraId="6A97E28A">
            <w:r>
              <w:rPr>
                <w:rStyle w:val="10"/>
                <w:rFonts w:hint="eastAsia"/>
              </w:rPr>
              <w:t>质量保证期：</w:t>
            </w:r>
            <w:r>
              <w:rPr>
                <w:rStyle w:val="11"/>
                <w:rFonts w:hint="eastAsia"/>
              </w:rPr>
              <w:t>2年</w:t>
            </w:r>
          </w:p>
        </w:tc>
      </w:tr>
      <w:tr w14:paraId="668D55CF">
        <w:tblPrEx>
          <w:tblCellMar>
            <w:top w:w="0" w:type="dxa"/>
            <w:left w:w="0" w:type="dxa"/>
            <w:bottom w:w="0" w:type="dxa"/>
            <w:right w:w="0" w:type="dxa"/>
          </w:tblCellMar>
        </w:tblPrEx>
        <w:trPr>
          <w:wBefore w:w="0" w:type="auto"/>
          <w:tblCellSpacing w:w="0" w:type="dxa"/>
        </w:trPr>
        <w:tc>
          <w:tcPr>
            <w:tcW w:w="0" w:type="auto"/>
            <w:noWrap w:val="0"/>
            <w:vAlign w:val="center"/>
          </w:tcPr>
          <w:p w14:paraId="5B99B14F">
            <w:r>
              <w:rPr>
                <w:rStyle w:val="10"/>
                <w:rFonts w:hint="eastAsia"/>
              </w:rPr>
              <w:t>备注：</w:t>
            </w:r>
            <w:r>
              <w:rPr>
                <w:rFonts w:hint="eastAsia"/>
              </w:rPr>
              <w:br w:type="textWrapping"/>
            </w:r>
            <w:r>
              <w:rPr>
                <w:rStyle w:val="11"/>
                <w:rFonts w:hint="eastAsia"/>
              </w:rPr>
              <w:t>标注"限制使用"字样</w:t>
            </w:r>
          </w:p>
        </w:tc>
      </w:tr>
    </w:tbl>
    <w:p w14:paraId="2F21C17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E2C5B46">
        <w:tblPrEx>
          <w:tblCellMar>
            <w:top w:w="0" w:type="dxa"/>
            <w:left w:w="0" w:type="dxa"/>
            <w:bottom w:w="0" w:type="dxa"/>
            <w:right w:w="0" w:type="dxa"/>
          </w:tblCellMar>
        </w:tblPrEx>
        <w:trPr>
          <w:wBefore w:w="0" w:type="auto"/>
          <w:tblCellSpacing w:w="0" w:type="dxa"/>
        </w:trPr>
        <w:tc>
          <w:tcPr>
            <w:tcW w:w="0" w:type="auto"/>
            <w:noWrap w:val="0"/>
            <w:vAlign w:val="center"/>
          </w:tcPr>
          <w:p w14:paraId="5D14BF6E">
            <w:r>
              <w:rPr>
                <w:rStyle w:val="10"/>
                <w:rFonts w:hint="eastAsia"/>
              </w:rPr>
              <w:t>登记证号：</w:t>
            </w:r>
            <w:r>
              <w:rPr>
                <w:rFonts w:hint="eastAsia"/>
              </w:rPr>
              <w:t>WP20210269</w:t>
            </w:r>
          </w:p>
        </w:tc>
      </w:tr>
      <w:tr w14:paraId="5A4D2B8D">
        <w:tblPrEx>
          <w:tblCellMar>
            <w:top w:w="0" w:type="dxa"/>
            <w:left w:w="0" w:type="dxa"/>
            <w:bottom w:w="0" w:type="dxa"/>
            <w:right w:w="0" w:type="dxa"/>
          </w:tblCellMar>
        </w:tblPrEx>
        <w:trPr>
          <w:wBefore w:w="0" w:type="auto"/>
          <w:tblCellSpacing w:w="0" w:type="dxa"/>
        </w:trPr>
        <w:tc>
          <w:tcPr>
            <w:tcW w:w="0" w:type="auto"/>
            <w:noWrap w:val="0"/>
            <w:vAlign w:val="center"/>
          </w:tcPr>
          <w:p w14:paraId="7A5A4716">
            <w:r>
              <w:rPr>
                <w:rStyle w:val="10"/>
                <w:rFonts w:hint="eastAsia"/>
              </w:rPr>
              <w:t>登记证持有人：</w:t>
            </w:r>
            <w:r>
              <w:rPr>
                <w:rFonts w:hint="eastAsia"/>
              </w:rPr>
              <w:t>黄山力神日用品有限公司</w:t>
            </w:r>
          </w:p>
        </w:tc>
      </w:tr>
      <w:tr w14:paraId="5B158209">
        <w:tblPrEx>
          <w:tblCellMar>
            <w:top w:w="0" w:type="dxa"/>
            <w:left w:w="0" w:type="dxa"/>
            <w:bottom w:w="0" w:type="dxa"/>
            <w:right w:w="0" w:type="dxa"/>
          </w:tblCellMar>
        </w:tblPrEx>
        <w:trPr>
          <w:wBefore w:w="0" w:type="auto"/>
          <w:tblCellSpacing w:w="0" w:type="dxa"/>
        </w:trPr>
        <w:tc>
          <w:tcPr>
            <w:tcW w:w="0" w:type="auto"/>
            <w:noWrap w:val="0"/>
            <w:vAlign w:val="center"/>
          </w:tcPr>
          <w:p w14:paraId="11DD2FB8">
            <w:r>
              <w:rPr>
                <w:rStyle w:val="10"/>
                <w:rFonts w:hint="eastAsia"/>
              </w:rPr>
              <w:t>农药名称：</w:t>
            </w:r>
            <w:r>
              <w:rPr>
                <w:rFonts w:hint="eastAsia"/>
              </w:rPr>
              <w:t>蚊香</w:t>
            </w:r>
          </w:p>
        </w:tc>
      </w:tr>
      <w:tr w14:paraId="5AFA42C6">
        <w:tblPrEx>
          <w:tblCellMar>
            <w:top w:w="0" w:type="dxa"/>
            <w:left w:w="0" w:type="dxa"/>
            <w:bottom w:w="0" w:type="dxa"/>
            <w:right w:w="0" w:type="dxa"/>
          </w:tblCellMar>
        </w:tblPrEx>
        <w:trPr>
          <w:wBefore w:w="0" w:type="auto"/>
          <w:tblCellSpacing w:w="0" w:type="dxa"/>
        </w:trPr>
        <w:tc>
          <w:tcPr>
            <w:tcW w:w="0" w:type="auto"/>
            <w:noWrap w:val="0"/>
            <w:vAlign w:val="center"/>
          </w:tcPr>
          <w:p w14:paraId="3AFDF83C">
            <w:r>
              <w:rPr>
                <w:rStyle w:val="10"/>
                <w:rFonts w:hint="eastAsia"/>
              </w:rPr>
              <w:t>剂型：</w:t>
            </w:r>
            <w:r>
              <w:rPr>
                <w:rFonts w:hint="eastAsia"/>
              </w:rPr>
              <w:t>蚊香</w:t>
            </w:r>
          </w:p>
        </w:tc>
      </w:tr>
      <w:tr w14:paraId="48D16BAC">
        <w:tblPrEx>
          <w:tblCellMar>
            <w:top w:w="0" w:type="dxa"/>
            <w:left w:w="0" w:type="dxa"/>
            <w:bottom w:w="0" w:type="dxa"/>
            <w:right w:w="0" w:type="dxa"/>
          </w:tblCellMar>
        </w:tblPrEx>
        <w:trPr>
          <w:wBefore w:w="0" w:type="auto"/>
          <w:tblCellSpacing w:w="0" w:type="dxa"/>
        </w:trPr>
        <w:tc>
          <w:tcPr>
            <w:tcW w:w="0" w:type="auto"/>
            <w:noWrap w:val="0"/>
            <w:vAlign w:val="center"/>
          </w:tcPr>
          <w:p w14:paraId="329FFFA6">
            <w:r>
              <w:rPr>
                <w:rStyle w:val="10"/>
                <w:rFonts w:hint="eastAsia"/>
              </w:rPr>
              <w:t>毒性及其标识：</w:t>
            </w:r>
            <w:r>
              <w:rPr>
                <w:rFonts w:hint="eastAsia"/>
              </w:rPr>
              <w:t xml:space="preserve"> 微毒 </w:t>
            </w:r>
          </w:p>
        </w:tc>
      </w:tr>
      <w:tr w14:paraId="40F26168">
        <w:tblPrEx>
          <w:tblCellMar>
            <w:top w:w="0" w:type="dxa"/>
            <w:left w:w="0" w:type="dxa"/>
            <w:bottom w:w="0" w:type="dxa"/>
            <w:right w:w="0" w:type="dxa"/>
          </w:tblCellMar>
        </w:tblPrEx>
        <w:trPr>
          <w:wBefore w:w="0" w:type="auto"/>
          <w:tblCellSpacing w:w="0" w:type="dxa"/>
        </w:trPr>
        <w:tc>
          <w:tcPr>
            <w:tcW w:w="0" w:type="auto"/>
            <w:noWrap w:val="0"/>
            <w:vAlign w:val="center"/>
          </w:tcPr>
          <w:p w14:paraId="26AFBCD9">
            <w:r>
              <w:rPr>
                <w:rStyle w:val="10"/>
                <w:rFonts w:hint="eastAsia"/>
              </w:rPr>
              <w:t>总有效成分含量：</w:t>
            </w:r>
            <w:r>
              <w:rPr>
                <w:rFonts w:hint="eastAsia"/>
              </w:rPr>
              <w:t>0.05%</w:t>
            </w:r>
          </w:p>
        </w:tc>
      </w:tr>
      <w:tr w14:paraId="3B57A0C1">
        <w:tblPrEx>
          <w:tblCellMar>
            <w:top w:w="0" w:type="dxa"/>
            <w:left w:w="0" w:type="dxa"/>
            <w:bottom w:w="0" w:type="dxa"/>
            <w:right w:w="0" w:type="dxa"/>
          </w:tblCellMar>
        </w:tblPrEx>
        <w:trPr>
          <w:wBefore w:w="0" w:type="auto"/>
          <w:tblCellSpacing w:w="0" w:type="dxa"/>
        </w:trPr>
        <w:tc>
          <w:tcPr>
            <w:tcW w:w="0" w:type="auto"/>
            <w:noWrap w:val="0"/>
            <w:vAlign w:val="center"/>
          </w:tcPr>
          <w:p w14:paraId="0850F238">
            <w:r>
              <w:rPr>
                <w:rFonts w:hint="eastAsia"/>
              </w:rPr>
              <w:t xml:space="preserve">有效成分及其含量： </w:t>
            </w:r>
          </w:p>
          <w:p w14:paraId="620A3FAA">
            <w:r>
              <w:rPr>
                <w:rFonts w:hint="eastAsia"/>
              </w:rPr>
              <w:t xml:space="preserve">    四氟苯菊酯0.05%    </w:t>
            </w:r>
          </w:p>
        </w:tc>
      </w:tr>
      <w:tr w14:paraId="470D8108">
        <w:tblPrEx>
          <w:tblCellMar>
            <w:top w:w="0" w:type="dxa"/>
            <w:left w:w="0" w:type="dxa"/>
            <w:bottom w:w="0" w:type="dxa"/>
            <w:right w:w="0" w:type="dxa"/>
          </w:tblCellMar>
        </w:tblPrEx>
        <w:trPr>
          <w:wBefore w:w="0" w:type="auto"/>
          <w:tblCellSpacing w:w="0" w:type="dxa"/>
        </w:trPr>
        <w:tc>
          <w:tcPr>
            <w:tcW w:w="0" w:type="auto"/>
            <w:noWrap w:val="0"/>
            <w:vAlign w:val="center"/>
          </w:tcPr>
          <w:p w14:paraId="024F205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3703A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57BE53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F7BC7F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CE0361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3B94C98">
                  <w:r>
                    <w:rPr>
                      <w:rStyle w:val="11"/>
                      <w:rFonts w:hint="eastAsia"/>
                    </w:rPr>
                    <w:t>施用方式</w:t>
                  </w:r>
                </w:p>
              </w:tc>
            </w:tr>
            <w:tr w14:paraId="0B79A7D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7BA7EE">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7D7FB6">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DEE274">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AA3BAC">
                  <w:r>
                    <w:rPr>
                      <w:rStyle w:val="11"/>
                      <w:rFonts w:hint="eastAsia"/>
                    </w:rPr>
                    <w:t>点燃</w:t>
                  </w:r>
                </w:p>
              </w:tc>
            </w:tr>
          </w:tbl>
          <w:p w14:paraId="45343A18">
            <w:pPr>
              <w:rPr>
                <w:rFonts w:ascii="Times New Roman" w:hAnsi="Times New Roman" w:cs="Times New Roman"/>
                <w:sz w:val="20"/>
                <w:szCs w:val="20"/>
              </w:rPr>
            </w:pPr>
          </w:p>
        </w:tc>
      </w:tr>
      <w:tr w14:paraId="258EBE63">
        <w:tblPrEx>
          <w:tblCellMar>
            <w:top w:w="0" w:type="dxa"/>
            <w:left w:w="0" w:type="dxa"/>
            <w:bottom w:w="0" w:type="dxa"/>
            <w:right w:w="0" w:type="dxa"/>
          </w:tblCellMar>
        </w:tblPrEx>
        <w:trPr>
          <w:wBefore w:w="0" w:type="auto"/>
          <w:tblCellSpacing w:w="0" w:type="dxa"/>
        </w:trPr>
        <w:tc>
          <w:tcPr>
            <w:tcW w:w="0" w:type="auto"/>
            <w:noWrap w:val="0"/>
            <w:vAlign w:val="center"/>
          </w:tcPr>
          <w:p w14:paraId="07F76E03">
            <w:r>
              <w:rPr>
                <w:rStyle w:val="10"/>
                <w:rFonts w:hint="eastAsia"/>
              </w:rPr>
              <w:t>使用技术要求:</w:t>
            </w:r>
            <w:r>
              <w:rPr>
                <w:rFonts w:hint="eastAsia"/>
              </w:rPr>
              <w:br w:type="textWrapping"/>
            </w:r>
            <w:r>
              <w:rPr>
                <w:rStyle w:val="11"/>
                <w:rFonts w:hint="eastAsia"/>
              </w:rPr>
              <w:t>1、将两个一组的蚊香分开。2、将蚊香置于盒内配套的蚊香架上，然后点燃蚊香顶端。3、为使蚊香发挥效力，请将蚊香放置在上风向。燃点时间7小时。</w:t>
            </w:r>
          </w:p>
        </w:tc>
      </w:tr>
      <w:tr w14:paraId="57C6C91F">
        <w:tblPrEx>
          <w:tblCellMar>
            <w:top w:w="0" w:type="dxa"/>
            <w:left w:w="0" w:type="dxa"/>
            <w:bottom w:w="0" w:type="dxa"/>
            <w:right w:w="0" w:type="dxa"/>
          </w:tblCellMar>
        </w:tblPrEx>
        <w:trPr>
          <w:wBefore w:w="0" w:type="auto"/>
          <w:tblCellSpacing w:w="0" w:type="dxa"/>
        </w:trPr>
        <w:tc>
          <w:tcPr>
            <w:tcW w:w="0" w:type="auto"/>
            <w:noWrap w:val="0"/>
            <w:vAlign w:val="center"/>
          </w:tcPr>
          <w:p w14:paraId="67BAC893">
            <w:r>
              <w:rPr>
                <w:rStyle w:val="10"/>
                <w:rFonts w:hint="eastAsia"/>
              </w:rPr>
              <w:t>产品性能:</w:t>
            </w:r>
            <w:r>
              <w:rPr>
                <w:rFonts w:hint="eastAsia"/>
              </w:rPr>
              <w:br w:type="textWrapping"/>
            </w:r>
            <w:r>
              <w:rPr>
                <w:rStyle w:val="11"/>
                <w:rFonts w:hint="eastAsia"/>
              </w:rPr>
              <w:t xml:space="preserve">本产品以拟除虫菊酯、炭粉等原料配制而成，能有效驱蚊。 </w:t>
            </w:r>
          </w:p>
        </w:tc>
      </w:tr>
      <w:tr w14:paraId="7F83CDEC">
        <w:tblPrEx>
          <w:tblCellMar>
            <w:top w:w="0" w:type="dxa"/>
            <w:left w:w="0" w:type="dxa"/>
            <w:bottom w:w="0" w:type="dxa"/>
            <w:right w:w="0" w:type="dxa"/>
          </w:tblCellMar>
        </w:tblPrEx>
        <w:trPr>
          <w:wBefore w:w="0" w:type="auto"/>
          <w:tblCellSpacing w:w="0" w:type="dxa"/>
        </w:trPr>
        <w:tc>
          <w:tcPr>
            <w:tcW w:w="0" w:type="auto"/>
            <w:noWrap w:val="0"/>
            <w:vAlign w:val="center"/>
          </w:tcPr>
          <w:p w14:paraId="32098B81">
            <w:r>
              <w:rPr>
                <w:rStyle w:val="10"/>
                <w:rFonts w:hint="eastAsia"/>
              </w:rPr>
              <w:t>注意事项：</w:t>
            </w:r>
            <w:r>
              <w:rPr>
                <w:rFonts w:hint="eastAsia"/>
              </w:rPr>
              <w:br w:type="textWrapping"/>
            </w:r>
            <w:r>
              <w:rPr>
                <w:rStyle w:val="11"/>
                <w:rFonts w:hint="eastAsia"/>
              </w:rPr>
              <w:t xml:space="preserve">置于儿童接触不到的地方。勿用易燃品做接灰盘；仅用于室内，使用时注意通风；注意防火安全；本品对鱼类、蜂和蚕毒性高，蚕室及其附近禁用；过敏者禁用；用后洗手，拆封后未使用的蚊香要封好保存。使用中有任何不良反应请及时就医。 </w:t>
            </w:r>
          </w:p>
        </w:tc>
      </w:tr>
      <w:tr w14:paraId="4CEB95F5">
        <w:tblPrEx>
          <w:tblCellMar>
            <w:top w:w="0" w:type="dxa"/>
            <w:left w:w="0" w:type="dxa"/>
            <w:bottom w:w="0" w:type="dxa"/>
            <w:right w:w="0" w:type="dxa"/>
          </w:tblCellMar>
        </w:tblPrEx>
        <w:trPr>
          <w:wBefore w:w="0" w:type="auto"/>
          <w:tblCellSpacing w:w="0" w:type="dxa"/>
        </w:trPr>
        <w:tc>
          <w:tcPr>
            <w:tcW w:w="0" w:type="auto"/>
            <w:noWrap w:val="0"/>
            <w:vAlign w:val="center"/>
          </w:tcPr>
          <w:p w14:paraId="5058D389">
            <w:r>
              <w:rPr>
                <w:rStyle w:val="10"/>
                <w:rFonts w:hint="eastAsia"/>
              </w:rPr>
              <w:t>中毒急救措施：</w:t>
            </w:r>
            <w:r>
              <w:rPr>
                <w:rFonts w:hint="eastAsia"/>
              </w:rPr>
              <w:br w:type="textWrapping"/>
            </w:r>
            <w:r>
              <w:rPr>
                <w:rStyle w:val="11"/>
                <w:rFonts w:hint="eastAsia"/>
              </w:rPr>
              <w:t xml:space="preserve">中毒急救措施： 如不慎误食，请携带此标签立即送医院治疗，可洗胃、不能催吐；如不慎吸入，请及时将患者移到空气流通处，并及时就知。 </w:t>
            </w:r>
          </w:p>
        </w:tc>
      </w:tr>
      <w:tr w14:paraId="141AB93D">
        <w:tblPrEx>
          <w:tblCellMar>
            <w:top w:w="0" w:type="dxa"/>
            <w:left w:w="0" w:type="dxa"/>
            <w:bottom w:w="0" w:type="dxa"/>
            <w:right w:w="0" w:type="dxa"/>
          </w:tblCellMar>
        </w:tblPrEx>
        <w:trPr>
          <w:wBefore w:w="0" w:type="auto"/>
          <w:tblCellSpacing w:w="0" w:type="dxa"/>
        </w:trPr>
        <w:tc>
          <w:tcPr>
            <w:tcW w:w="0" w:type="auto"/>
            <w:noWrap w:val="0"/>
            <w:vAlign w:val="center"/>
          </w:tcPr>
          <w:p w14:paraId="7A8DA73B">
            <w:r>
              <w:rPr>
                <w:rStyle w:val="10"/>
                <w:rFonts w:hint="eastAsia"/>
              </w:rPr>
              <w:t>储存和运输方法：</w:t>
            </w:r>
            <w:r>
              <w:rPr>
                <w:rFonts w:hint="eastAsia"/>
              </w:rPr>
              <w:br w:type="textWrapping"/>
            </w:r>
            <w:r>
              <w:rPr>
                <w:rStyle w:val="11"/>
                <w:rFonts w:hint="eastAsia"/>
              </w:rPr>
              <w:t>1、置于儿童接触不到的阴凉干燥处，勿与食品、粮食、饲料、饮料及易燃易爆品混放。2、搬运时要轻取轻放，防止剧烈震动、日晒、雨淋和重压。3、远离火源或热源。</w:t>
            </w:r>
          </w:p>
        </w:tc>
      </w:tr>
      <w:tr w14:paraId="3B63579E">
        <w:tblPrEx>
          <w:tblCellMar>
            <w:top w:w="0" w:type="dxa"/>
            <w:left w:w="0" w:type="dxa"/>
            <w:bottom w:w="0" w:type="dxa"/>
            <w:right w:w="0" w:type="dxa"/>
          </w:tblCellMar>
        </w:tblPrEx>
        <w:trPr>
          <w:wBefore w:w="0" w:type="auto"/>
          <w:tblCellSpacing w:w="0" w:type="dxa"/>
        </w:trPr>
        <w:tc>
          <w:tcPr>
            <w:tcW w:w="0" w:type="auto"/>
            <w:noWrap w:val="0"/>
            <w:vAlign w:val="center"/>
          </w:tcPr>
          <w:p w14:paraId="20275E7D">
            <w:r>
              <w:rPr>
                <w:rStyle w:val="10"/>
                <w:rFonts w:hint="eastAsia"/>
              </w:rPr>
              <w:t>质量保证期：</w:t>
            </w:r>
            <w:r>
              <w:rPr>
                <w:rStyle w:val="11"/>
                <w:rFonts w:hint="eastAsia"/>
              </w:rPr>
              <w:t>2年</w:t>
            </w:r>
          </w:p>
        </w:tc>
      </w:tr>
      <w:tr w14:paraId="1E41C332">
        <w:tblPrEx>
          <w:tblCellMar>
            <w:top w:w="0" w:type="dxa"/>
            <w:left w:w="0" w:type="dxa"/>
            <w:bottom w:w="0" w:type="dxa"/>
            <w:right w:w="0" w:type="dxa"/>
          </w:tblCellMar>
        </w:tblPrEx>
        <w:trPr>
          <w:wBefore w:w="0" w:type="auto"/>
          <w:tblCellSpacing w:w="0" w:type="dxa"/>
        </w:trPr>
        <w:tc>
          <w:tcPr>
            <w:tcW w:w="0" w:type="auto"/>
            <w:noWrap w:val="0"/>
            <w:vAlign w:val="center"/>
          </w:tcPr>
          <w:p w14:paraId="2938B52B">
            <w:r>
              <w:rPr>
                <w:rStyle w:val="10"/>
                <w:rFonts w:hint="eastAsia"/>
              </w:rPr>
              <w:t>备注：</w:t>
            </w:r>
          </w:p>
        </w:tc>
      </w:tr>
    </w:tbl>
    <w:p w14:paraId="07E9F83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C84C09">
        <w:tblPrEx>
          <w:tblCellMar>
            <w:top w:w="0" w:type="dxa"/>
            <w:left w:w="0" w:type="dxa"/>
            <w:bottom w:w="0" w:type="dxa"/>
            <w:right w:w="0" w:type="dxa"/>
          </w:tblCellMar>
        </w:tblPrEx>
        <w:trPr>
          <w:wBefore w:w="0" w:type="auto"/>
          <w:tblCellSpacing w:w="0" w:type="dxa"/>
        </w:trPr>
        <w:tc>
          <w:tcPr>
            <w:tcW w:w="0" w:type="auto"/>
            <w:noWrap w:val="0"/>
            <w:vAlign w:val="center"/>
          </w:tcPr>
          <w:p w14:paraId="0C755778">
            <w:r>
              <w:rPr>
                <w:rStyle w:val="10"/>
                <w:rFonts w:hint="eastAsia"/>
              </w:rPr>
              <w:t>登记证号：</w:t>
            </w:r>
            <w:r>
              <w:rPr>
                <w:rFonts w:hint="eastAsia"/>
              </w:rPr>
              <w:t>WP20210218</w:t>
            </w:r>
          </w:p>
        </w:tc>
      </w:tr>
      <w:tr w14:paraId="5E0B7732">
        <w:tblPrEx>
          <w:tblCellMar>
            <w:top w:w="0" w:type="dxa"/>
            <w:left w:w="0" w:type="dxa"/>
            <w:bottom w:w="0" w:type="dxa"/>
            <w:right w:w="0" w:type="dxa"/>
          </w:tblCellMar>
        </w:tblPrEx>
        <w:trPr>
          <w:wBefore w:w="0" w:type="auto"/>
          <w:tblCellSpacing w:w="0" w:type="dxa"/>
        </w:trPr>
        <w:tc>
          <w:tcPr>
            <w:tcW w:w="0" w:type="auto"/>
            <w:noWrap w:val="0"/>
            <w:vAlign w:val="center"/>
          </w:tcPr>
          <w:p w14:paraId="64DFDB6C">
            <w:r>
              <w:rPr>
                <w:rStyle w:val="10"/>
                <w:rFonts w:hint="eastAsia"/>
              </w:rPr>
              <w:t>登记证持有人：</w:t>
            </w:r>
            <w:r>
              <w:rPr>
                <w:rFonts w:hint="eastAsia"/>
              </w:rPr>
              <w:t>南阳市新丰达生物有限公司</w:t>
            </w:r>
          </w:p>
        </w:tc>
      </w:tr>
      <w:tr w14:paraId="575FD187">
        <w:tblPrEx>
          <w:tblCellMar>
            <w:top w:w="0" w:type="dxa"/>
            <w:left w:w="0" w:type="dxa"/>
            <w:bottom w:w="0" w:type="dxa"/>
            <w:right w:w="0" w:type="dxa"/>
          </w:tblCellMar>
        </w:tblPrEx>
        <w:trPr>
          <w:wBefore w:w="0" w:type="auto"/>
          <w:tblCellSpacing w:w="0" w:type="dxa"/>
        </w:trPr>
        <w:tc>
          <w:tcPr>
            <w:tcW w:w="0" w:type="auto"/>
            <w:noWrap w:val="0"/>
            <w:vAlign w:val="center"/>
          </w:tcPr>
          <w:p w14:paraId="5F398014">
            <w:r>
              <w:rPr>
                <w:rStyle w:val="10"/>
                <w:rFonts w:hint="eastAsia"/>
              </w:rPr>
              <w:t>农药名称：</w:t>
            </w:r>
            <w:r>
              <w:rPr>
                <w:rFonts w:hint="eastAsia"/>
              </w:rPr>
              <w:t>顺式氯氰菊酯</w:t>
            </w:r>
          </w:p>
        </w:tc>
      </w:tr>
      <w:tr w14:paraId="20C09653">
        <w:tblPrEx>
          <w:tblCellMar>
            <w:top w:w="0" w:type="dxa"/>
            <w:left w:w="0" w:type="dxa"/>
            <w:bottom w:w="0" w:type="dxa"/>
            <w:right w:w="0" w:type="dxa"/>
          </w:tblCellMar>
        </w:tblPrEx>
        <w:trPr>
          <w:wBefore w:w="0" w:type="auto"/>
          <w:tblCellSpacing w:w="0" w:type="dxa"/>
        </w:trPr>
        <w:tc>
          <w:tcPr>
            <w:tcW w:w="0" w:type="auto"/>
            <w:noWrap w:val="0"/>
            <w:vAlign w:val="center"/>
          </w:tcPr>
          <w:p w14:paraId="1C230414">
            <w:r>
              <w:rPr>
                <w:rStyle w:val="10"/>
                <w:rFonts w:hint="eastAsia"/>
              </w:rPr>
              <w:t>剂型：</w:t>
            </w:r>
            <w:r>
              <w:rPr>
                <w:rFonts w:hint="eastAsia"/>
              </w:rPr>
              <w:t>悬浮剂</w:t>
            </w:r>
          </w:p>
        </w:tc>
      </w:tr>
      <w:tr w14:paraId="137D2A82">
        <w:tblPrEx>
          <w:tblCellMar>
            <w:top w:w="0" w:type="dxa"/>
            <w:left w:w="0" w:type="dxa"/>
            <w:bottom w:w="0" w:type="dxa"/>
            <w:right w:w="0" w:type="dxa"/>
          </w:tblCellMar>
        </w:tblPrEx>
        <w:trPr>
          <w:wBefore w:w="0" w:type="auto"/>
          <w:tblCellSpacing w:w="0" w:type="dxa"/>
        </w:trPr>
        <w:tc>
          <w:tcPr>
            <w:tcW w:w="0" w:type="auto"/>
            <w:noWrap w:val="0"/>
            <w:vAlign w:val="center"/>
          </w:tcPr>
          <w:p w14:paraId="041C4556">
            <w:r>
              <w:rPr>
                <w:rStyle w:val="10"/>
                <w:rFonts w:hint="eastAsia"/>
              </w:rPr>
              <w:t>毒性及其标识：</w:t>
            </w:r>
            <w:r>
              <w:rPr>
                <w:rFonts w:hint="eastAsia"/>
              </w:rPr>
              <w:t xml:space="preserve"> </w:t>
            </w:r>
            <w:r>
              <w:rPr>
                <w:lang/>
              </w:rPr>
              <w:drawing>
                <wp:inline distT="0" distB="0" distL="114300" distR="114300">
                  <wp:extent cx="476250" cy="323850"/>
                  <wp:effectExtent l="0" t="0" r="0" b="0"/>
                  <wp:docPr id="451" name="图片 45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80197B5">
        <w:tblPrEx>
          <w:tblCellMar>
            <w:top w:w="0" w:type="dxa"/>
            <w:left w:w="0" w:type="dxa"/>
            <w:bottom w:w="0" w:type="dxa"/>
            <w:right w:w="0" w:type="dxa"/>
          </w:tblCellMar>
        </w:tblPrEx>
        <w:trPr>
          <w:wBefore w:w="0" w:type="auto"/>
          <w:tblCellSpacing w:w="0" w:type="dxa"/>
        </w:trPr>
        <w:tc>
          <w:tcPr>
            <w:tcW w:w="0" w:type="auto"/>
            <w:noWrap w:val="0"/>
            <w:vAlign w:val="center"/>
          </w:tcPr>
          <w:p w14:paraId="7A47A9CD">
            <w:r>
              <w:rPr>
                <w:rStyle w:val="10"/>
                <w:rFonts w:hint="eastAsia"/>
              </w:rPr>
              <w:t>总有效成分含量：</w:t>
            </w:r>
            <w:r>
              <w:rPr>
                <w:rFonts w:hint="eastAsia"/>
              </w:rPr>
              <w:t>10%</w:t>
            </w:r>
          </w:p>
        </w:tc>
      </w:tr>
      <w:tr w14:paraId="0211B74A">
        <w:tblPrEx>
          <w:tblCellMar>
            <w:top w:w="0" w:type="dxa"/>
            <w:left w:w="0" w:type="dxa"/>
            <w:bottom w:w="0" w:type="dxa"/>
            <w:right w:w="0" w:type="dxa"/>
          </w:tblCellMar>
        </w:tblPrEx>
        <w:trPr>
          <w:wBefore w:w="0" w:type="auto"/>
          <w:tblCellSpacing w:w="0" w:type="dxa"/>
        </w:trPr>
        <w:tc>
          <w:tcPr>
            <w:tcW w:w="0" w:type="auto"/>
            <w:noWrap w:val="0"/>
            <w:vAlign w:val="center"/>
          </w:tcPr>
          <w:p w14:paraId="018AC8FE">
            <w:r>
              <w:rPr>
                <w:rFonts w:hint="eastAsia"/>
              </w:rPr>
              <w:t xml:space="preserve">有效成分及其含量： </w:t>
            </w:r>
          </w:p>
          <w:p w14:paraId="65654FA0">
            <w:r>
              <w:rPr>
                <w:rFonts w:hint="eastAsia"/>
              </w:rPr>
              <w:t xml:space="preserve">    顺式氯氰菊酯10%    </w:t>
            </w:r>
          </w:p>
        </w:tc>
      </w:tr>
      <w:tr w14:paraId="5973B959">
        <w:tblPrEx>
          <w:tblCellMar>
            <w:top w:w="0" w:type="dxa"/>
            <w:left w:w="0" w:type="dxa"/>
            <w:bottom w:w="0" w:type="dxa"/>
            <w:right w:w="0" w:type="dxa"/>
          </w:tblCellMar>
        </w:tblPrEx>
        <w:trPr>
          <w:wBefore w:w="0" w:type="auto"/>
          <w:tblCellSpacing w:w="0" w:type="dxa"/>
        </w:trPr>
        <w:tc>
          <w:tcPr>
            <w:tcW w:w="0" w:type="auto"/>
            <w:noWrap w:val="0"/>
            <w:vAlign w:val="center"/>
          </w:tcPr>
          <w:p w14:paraId="0620F15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50813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5C69CC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BED4D8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2B55C2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3A27E70">
                  <w:r>
                    <w:rPr>
                      <w:rStyle w:val="11"/>
                      <w:rFonts w:hint="eastAsia"/>
                    </w:rPr>
                    <w:t>施用方式</w:t>
                  </w:r>
                </w:p>
              </w:tc>
            </w:tr>
            <w:tr w14:paraId="736F40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DECCD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51F020">
                  <w:r>
                    <w:rPr>
                      <w:rStyle w:val="11"/>
                      <w:rFonts w:hint="eastAsia"/>
                    </w:rPr>
                    <w:t>蚊、蝇、蜚蠊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867231">
                  <w:r>
                    <w:rPr>
                      <w:rStyle w:val="11"/>
                      <w:rFonts w:hint="eastAsia"/>
                    </w:rPr>
                    <w:t>0.4毫升/平方米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E92AA0">
                  <w:r>
                    <w:rPr>
                      <w:rStyle w:val="11"/>
                      <w:rFonts w:hint="eastAsia"/>
                    </w:rPr>
                    <w:t>滞留喷洒</w:t>
                  </w:r>
                </w:p>
              </w:tc>
            </w:tr>
          </w:tbl>
          <w:p w14:paraId="33C74554">
            <w:pPr>
              <w:rPr>
                <w:rFonts w:ascii="Times New Roman" w:hAnsi="Times New Roman" w:cs="Times New Roman"/>
                <w:sz w:val="20"/>
                <w:szCs w:val="20"/>
              </w:rPr>
            </w:pPr>
          </w:p>
        </w:tc>
      </w:tr>
      <w:tr w14:paraId="5D3B458D">
        <w:tblPrEx>
          <w:tblCellMar>
            <w:top w:w="0" w:type="dxa"/>
            <w:left w:w="0" w:type="dxa"/>
            <w:bottom w:w="0" w:type="dxa"/>
            <w:right w:w="0" w:type="dxa"/>
          </w:tblCellMar>
        </w:tblPrEx>
        <w:trPr>
          <w:wBefore w:w="0" w:type="auto"/>
          <w:tblCellSpacing w:w="0" w:type="dxa"/>
        </w:trPr>
        <w:tc>
          <w:tcPr>
            <w:tcW w:w="0" w:type="auto"/>
            <w:noWrap w:val="0"/>
            <w:vAlign w:val="center"/>
          </w:tcPr>
          <w:p w14:paraId="73BDBFE3">
            <w:r>
              <w:rPr>
                <w:rStyle w:val="10"/>
                <w:rFonts w:hint="eastAsia"/>
              </w:rPr>
              <w:t>使用技术要求:</w:t>
            </w:r>
            <w:r>
              <w:rPr>
                <w:rFonts w:hint="eastAsia"/>
              </w:rPr>
              <w:br w:type="textWrapping"/>
            </w:r>
            <w:r>
              <w:rPr>
                <w:rStyle w:val="11"/>
                <w:rFonts w:hint="eastAsia"/>
              </w:rPr>
              <w:t xml:space="preserve">使用时，按上述制剂用药量用水稀释100～200倍后，使用背负式喷雾器或其它常用的喷洒工具，全面均匀喷洒于墙面、地面、门窗、橱背、房梁等害虫易停留物体表面。喷液量以将物体表面喷透并有少量液体流出为宜，确保均匀覆盖。 </w:t>
            </w:r>
          </w:p>
        </w:tc>
      </w:tr>
      <w:tr w14:paraId="3DC65753">
        <w:tblPrEx>
          <w:tblCellMar>
            <w:top w:w="0" w:type="dxa"/>
            <w:left w:w="0" w:type="dxa"/>
            <w:bottom w:w="0" w:type="dxa"/>
            <w:right w:w="0" w:type="dxa"/>
          </w:tblCellMar>
        </w:tblPrEx>
        <w:trPr>
          <w:wBefore w:w="0" w:type="auto"/>
          <w:tblCellSpacing w:w="0" w:type="dxa"/>
        </w:trPr>
        <w:tc>
          <w:tcPr>
            <w:tcW w:w="0" w:type="auto"/>
            <w:noWrap w:val="0"/>
            <w:vAlign w:val="center"/>
          </w:tcPr>
          <w:p w14:paraId="36304F4E">
            <w:r>
              <w:rPr>
                <w:rStyle w:val="10"/>
                <w:rFonts w:hint="eastAsia"/>
              </w:rPr>
              <w:t>产品性能:</w:t>
            </w:r>
            <w:r>
              <w:rPr>
                <w:rFonts w:hint="eastAsia"/>
              </w:rPr>
              <w:br w:type="textWrapping"/>
            </w:r>
            <w:r>
              <w:rPr>
                <w:rStyle w:val="11"/>
                <w:rFonts w:hint="eastAsia"/>
              </w:rPr>
              <w:t>本品为拟除虫菊酯类卫生杀虫剂，能有效防治蚊、蝇、蜚蠊等卫生害虫。适用于酒店、写字楼、医院、学校、食品厂、养殖厂、餐馆等室内环境公共场所使用。</w:t>
            </w:r>
          </w:p>
        </w:tc>
      </w:tr>
      <w:tr w14:paraId="0FA0108C">
        <w:tblPrEx>
          <w:tblCellMar>
            <w:top w:w="0" w:type="dxa"/>
            <w:left w:w="0" w:type="dxa"/>
            <w:bottom w:w="0" w:type="dxa"/>
            <w:right w:w="0" w:type="dxa"/>
          </w:tblCellMar>
        </w:tblPrEx>
        <w:trPr>
          <w:wBefore w:w="0" w:type="auto"/>
          <w:tblCellSpacing w:w="0" w:type="dxa"/>
        </w:trPr>
        <w:tc>
          <w:tcPr>
            <w:tcW w:w="0" w:type="auto"/>
            <w:noWrap w:val="0"/>
            <w:vAlign w:val="center"/>
          </w:tcPr>
          <w:p w14:paraId="065B320B">
            <w:r>
              <w:rPr>
                <w:rStyle w:val="10"/>
                <w:rFonts w:hint="eastAsia"/>
              </w:rPr>
              <w:t>注意事项：</w:t>
            </w:r>
            <w:r>
              <w:rPr>
                <w:rFonts w:hint="eastAsia"/>
              </w:rPr>
              <w:br w:type="textWrapping"/>
            </w:r>
            <w:r>
              <w:rPr>
                <w:rStyle w:val="11"/>
                <w:rFonts w:hint="eastAsia"/>
              </w:rPr>
              <w:t>1）仅用于室内。使用本品时应采取安全防护措施，穿防护服、胶鞋和戴口罩、手套等，避免药雾吸入。施药期间不可吃东西和饮水。喷药后及时脱下衣服，用肥皂水冲洗裸露部位皮肤。 2）本品对鱼类、家蚕有毒，在蚕室、桑园及其附近禁用。禁止在河塘等水体中清洗施药器具。 3）切勿向人体、食物喷洒。 4）本品不宜与碱性物质混用，以防分解。 5）用过的包装物、废弃物应妥善处理，不可做它用，也不可随意丢弃。 6）敏感体质人士、孕妇及哺乳期妇女请远离本品。过敏者禁用。使用中有任何不良反应，请及时就医。</w:t>
            </w:r>
          </w:p>
        </w:tc>
      </w:tr>
      <w:tr w14:paraId="26942D79">
        <w:tblPrEx>
          <w:tblCellMar>
            <w:top w:w="0" w:type="dxa"/>
            <w:left w:w="0" w:type="dxa"/>
            <w:bottom w:w="0" w:type="dxa"/>
            <w:right w:w="0" w:type="dxa"/>
          </w:tblCellMar>
        </w:tblPrEx>
        <w:trPr>
          <w:wBefore w:w="0" w:type="auto"/>
          <w:tblCellSpacing w:w="0" w:type="dxa"/>
        </w:trPr>
        <w:tc>
          <w:tcPr>
            <w:tcW w:w="0" w:type="auto"/>
            <w:noWrap w:val="0"/>
            <w:vAlign w:val="center"/>
          </w:tcPr>
          <w:p w14:paraId="7D3B1F7F">
            <w:r>
              <w:rPr>
                <w:rStyle w:val="10"/>
                <w:rFonts w:hint="eastAsia"/>
              </w:rPr>
              <w:t>中毒急救措施：</w:t>
            </w:r>
            <w:r>
              <w:rPr>
                <w:rFonts w:hint="eastAsia"/>
              </w:rPr>
              <w:br w:type="textWrapping"/>
            </w:r>
            <w:r>
              <w:rPr>
                <w:rStyle w:val="11"/>
                <w:rFonts w:hint="eastAsia"/>
              </w:rPr>
              <w:t>1.中毒症状：本品属神经毒剂，接触部位皮肤感到刺痛，尤其在口、鼻周围，但无红斑，很少引起全身性中毒，接触量大时会引起头晕、恶心、呕吐、双手颤抖，全身抽搐或惊厥、昏迷、休克。 2.急救治疗：若药液沾染皮肤或眼睛，请即用大量清水冲洗至少15分钟；若不慎吸入，请立即转移至空气清新处。如误服、中毒或使用中有任何不良反应，立即携标签送医院，对症治疗。可洗胃不能催吐，应按拟除虫菊酯类中毒对症治疗。</w:t>
            </w:r>
          </w:p>
        </w:tc>
      </w:tr>
      <w:tr w14:paraId="4A1D4D2B">
        <w:tblPrEx>
          <w:tblCellMar>
            <w:top w:w="0" w:type="dxa"/>
            <w:left w:w="0" w:type="dxa"/>
            <w:bottom w:w="0" w:type="dxa"/>
            <w:right w:w="0" w:type="dxa"/>
          </w:tblCellMar>
        </w:tblPrEx>
        <w:trPr>
          <w:wBefore w:w="0" w:type="auto"/>
          <w:tblCellSpacing w:w="0" w:type="dxa"/>
        </w:trPr>
        <w:tc>
          <w:tcPr>
            <w:tcW w:w="0" w:type="auto"/>
            <w:noWrap w:val="0"/>
            <w:vAlign w:val="center"/>
          </w:tcPr>
          <w:p w14:paraId="042A004E">
            <w:r>
              <w:rPr>
                <w:rStyle w:val="10"/>
                <w:rFonts w:hint="eastAsia"/>
              </w:rPr>
              <w:t>储存和运输方法：</w:t>
            </w:r>
            <w:r>
              <w:rPr>
                <w:rFonts w:hint="eastAsia"/>
              </w:rPr>
              <w:br w:type="textWrapping"/>
            </w:r>
            <w:r>
              <w:rPr>
                <w:rStyle w:val="11"/>
                <w:rFonts w:hint="eastAsia"/>
              </w:rPr>
              <w:t>本品应贮存于干燥、阴凉、通风、防雨处，并远离火源和热源。 应置于儿童及宠物触及不到之处，并加锁。运输时，注意轻拿轻放，不得损坏包装。请勿与食品、饮料、饲料、粮食等其它商品同贮同运。</w:t>
            </w:r>
          </w:p>
        </w:tc>
      </w:tr>
      <w:tr w14:paraId="127B0C7B">
        <w:tblPrEx>
          <w:tblCellMar>
            <w:top w:w="0" w:type="dxa"/>
            <w:left w:w="0" w:type="dxa"/>
            <w:bottom w:w="0" w:type="dxa"/>
            <w:right w:w="0" w:type="dxa"/>
          </w:tblCellMar>
        </w:tblPrEx>
        <w:trPr>
          <w:wBefore w:w="0" w:type="auto"/>
          <w:tblCellSpacing w:w="0" w:type="dxa"/>
        </w:trPr>
        <w:tc>
          <w:tcPr>
            <w:tcW w:w="0" w:type="auto"/>
            <w:noWrap w:val="0"/>
            <w:vAlign w:val="center"/>
          </w:tcPr>
          <w:p w14:paraId="26B2A8C9">
            <w:r>
              <w:rPr>
                <w:rStyle w:val="10"/>
                <w:rFonts w:hint="eastAsia"/>
              </w:rPr>
              <w:t>质量保证期：</w:t>
            </w:r>
            <w:r>
              <w:rPr>
                <w:rStyle w:val="11"/>
                <w:rFonts w:hint="eastAsia"/>
              </w:rPr>
              <w:t>2年</w:t>
            </w:r>
          </w:p>
        </w:tc>
      </w:tr>
      <w:tr w14:paraId="6E309529">
        <w:tblPrEx>
          <w:tblCellMar>
            <w:top w:w="0" w:type="dxa"/>
            <w:left w:w="0" w:type="dxa"/>
            <w:bottom w:w="0" w:type="dxa"/>
            <w:right w:w="0" w:type="dxa"/>
          </w:tblCellMar>
        </w:tblPrEx>
        <w:trPr>
          <w:wBefore w:w="0" w:type="auto"/>
          <w:tblCellSpacing w:w="0" w:type="dxa"/>
        </w:trPr>
        <w:tc>
          <w:tcPr>
            <w:tcW w:w="0" w:type="auto"/>
            <w:noWrap w:val="0"/>
            <w:vAlign w:val="center"/>
          </w:tcPr>
          <w:p w14:paraId="4EA7CC19">
            <w:r>
              <w:rPr>
                <w:rStyle w:val="10"/>
                <w:rFonts w:hint="eastAsia"/>
              </w:rPr>
              <w:t>备注：</w:t>
            </w:r>
          </w:p>
        </w:tc>
      </w:tr>
    </w:tbl>
    <w:p w14:paraId="2D62C1E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54822E3">
        <w:tblPrEx>
          <w:tblCellMar>
            <w:top w:w="0" w:type="dxa"/>
            <w:left w:w="0" w:type="dxa"/>
            <w:bottom w:w="0" w:type="dxa"/>
            <w:right w:w="0" w:type="dxa"/>
          </w:tblCellMar>
        </w:tblPrEx>
        <w:trPr>
          <w:wBefore w:w="0" w:type="auto"/>
          <w:tblCellSpacing w:w="0" w:type="dxa"/>
        </w:trPr>
        <w:tc>
          <w:tcPr>
            <w:tcW w:w="0" w:type="auto"/>
            <w:noWrap w:val="0"/>
            <w:vAlign w:val="center"/>
          </w:tcPr>
          <w:p w14:paraId="664ECFC0">
            <w:r>
              <w:rPr>
                <w:rStyle w:val="10"/>
                <w:rFonts w:hint="eastAsia"/>
              </w:rPr>
              <w:t>登记证号：</w:t>
            </w:r>
            <w:r>
              <w:rPr>
                <w:rFonts w:hint="eastAsia"/>
              </w:rPr>
              <w:t>PD20211920</w:t>
            </w:r>
          </w:p>
        </w:tc>
      </w:tr>
      <w:tr w14:paraId="5C4EF01F">
        <w:tblPrEx>
          <w:tblCellMar>
            <w:top w:w="0" w:type="dxa"/>
            <w:left w:w="0" w:type="dxa"/>
            <w:bottom w:w="0" w:type="dxa"/>
            <w:right w:w="0" w:type="dxa"/>
          </w:tblCellMar>
        </w:tblPrEx>
        <w:trPr>
          <w:wBefore w:w="0" w:type="auto"/>
          <w:tblCellSpacing w:w="0" w:type="dxa"/>
        </w:trPr>
        <w:tc>
          <w:tcPr>
            <w:tcW w:w="0" w:type="auto"/>
            <w:noWrap w:val="0"/>
            <w:vAlign w:val="center"/>
          </w:tcPr>
          <w:p w14:paraId="52147BC3">
            <w:r>
              <w:rPr>
                <w:rStyle w:val="10"/>
                <w:rFonts w:hint="eastAsia"/>
              </w:rPr>
              <w:t>登记证持有人：</w:t>
            </w:r>
            <w:r>
              <w:rPr>
                <w:rFonts w:hint="eastAsia"/>
              </w:rPr>
              <w:t>广东乾佳乐生物科技有限公司</w:t>
            </w:r>
          </w:p>
        </w:tc>
      </w:tr>
      <w:tr w14:paraId="17F5596F">
        <w:tblPrEx>
          <w:tblCellMar>
            <w:top w:w="0" w:type="dxa"/>
            <w:left w:w="0" w:type="dxa"/>
            <w:bottom w:w="0" w:type="dxa"/>
            <w:right w:w="0" w:type="dxa"/>
          </w:tblCellMar>
        </w:tblPrEx>
        <w:trPr>
          <w:wBefore w:w="0" w:type="auto"/>
          <w:tblCellSpacing w:w="0" w:type="dxa"/>
        </w:trPr>
        <w:tc>
          <w:tcPr>
            <w:tcW w:w="0" w:type="auto"/>
            <w:noWrap w:val="0"/>
            <w:vAlign w:val="center"/>
          </w:tcPr>
          <w:p w14:paraId="795A7F43">
            <w:r>
              <w:rPr>
                <w:rStyle w:val="10"/>
                <w:rFonts w:hint="eastAsia"/>
              </w:rPr>
              <w:t>农药名称：</w:t>
            </w:r>
            <w:r>
              <w:rPr>
                <w:rFonts w:hint="eastAsia"/>
              </w:rPr>
              <w:t>咪鲜胺·抑霉唑</w:t>
            </w:r>
          </w:p>
        </w:tc>
      </w:tr>
      <w:tr w14:paraId="26AB9F75">
        <w:tblPrEx>
          <w:tblCellMar>
            <w:top w:w="0" w:type="dxa"/>
            <w:left w:w="0" w:type="dxa"/>
            <w:bottom w:w="0" w:type="dxa"/>
            <w:right w:w="0" w:type="dxa"/>
          </w:tblCellMar>
        </w:tblPrEx>
        <w:trPr>
          <w:wBefore w:w="0" w:type="auto"/>
          <w:tblCellSpacing w:w="0" w:type="dxa"/>
        </w:trPr>
        <w:tc>
          <w:tcPr>
            <w:tcW w:w="0" w:type="auto"/>
            <w:noWrap w:val="0"/>
            <w:vAlign w:val="center"/>
          </w:tcPr>
          <w:p w14:paraId="507DBEA0">
            <w:r>
              <w:rPr>
                <w:rStyle w:val="10"/>
                <w:rFonts w:hint="eastAsia"/>
              </w:rPr>
              <w:t>剂型：</w:t>
            </w:r>
            <w:r>
              <w:rPr>
                <w:rFonts w:hint="eastAsia"/>
              </w:rPr>
              <w:t>乳油</w:t>
            </w:r>
          </w:p>
        </w:tc>
      </w:tr>
      <w:tr w14:paraId="5AE8DD44">
        <w:tblPrEx>
          <w:tblCellMar>
            <w:top w:w="0" w:type="dxa"/>
            <w:left w:w="0" w:type="dxa"/>
            <w:bottom w:w="0" w:type="dxa"/>
            <w:right w:w="0" w:type="dxa"/>
          </w:tblCellMar>
        </w:tblPrEx>
        <w:trPr>
          <w:wBefore w:w="0" w:type="auto"/>
          <w:tblCellSpacing w:w="0" w:type="dxa"/>
        </w:trPr>
        <w:tc>
          <w:tcPr>
            <w:tcW w:w="0" w:type="auto"/>
            <w:noWrap w:val="0"/>
            <w:vAlign w:val="center"/>
          </w:tcPr>
          <w:p w14:paraId="4F920B39">
            <w:r>
              <w:rPr>
                <w:rStyle w:val="10"/>
                <w:rFonts w:hint="eastAsia"/>
              </w:rPr>
              <w:t>毒性及其标识：</w:t>
            </w:r>
            <w:r>
              <w:rPr>
                <w:rFonts w:hint="eastAsia"/>
              </w:rPr>
              <w:t xml:space="preserve"> </w:t>
            </w:r>
            <w:r>
              <w:rPr>
                <w:lang/>
              </w:rPr>
              <w:drawing>
                <wp:inline distT="0" distB="0" distL="114300" distR="114300">
                  <wp:extent cx="476250" cy="323850"/>
                  <wp:effectExtent l="0" t="0" r="0" b="0"/>
                  <wp:docPr id="452" name="图片 45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6EA3281">
        <w:tblPrEx>
          <w:tblCellMar>
            <w:top w:w="0" w:type="dxa"/>
            <w:left w:w="0" w:type="dxa"/>
            <w:bottom w:w="0" w:type="dxa"/>
            <w:right w:w="0" w:type="dxa"/>
          </w:tblCellMar>
        </w:tblPrEx>
        <w:trPr>
          <w:wBefore w:w="0" w:type="auto"/>
          <w:tblCellSpacing w:w="0" w:type="dxa"/>
        </w:trPr>
        <w:tc>
          <w:tcPr>
            <w:tcW w:w="0" w:type="auto"/>
            <w:noWrap w:val="0"/>
            <w:vAlign w:val="center"/>
          </w:tcPr>
          <w:p w14:paraId="048A4970">
            <w:r>
              <w:rPr>
                <w:rStyle w:val="10"/>
                <w:rFonts w:hint="eastAsia"/>
              </w:rPr>
              <w:t>总有效成分含量：</w:t>
            </w:r>
            <w:r>
              <w:rPr>
                <w:rFonts w:hint="eastAsia"/>
              </w:rPr>
              <w:t>28%</w:t>
            </w:r>
          </w:p>
        </w:tc>
      </w:tr>
      <w:tr w14:paraId="76665F8A">
        <w:tblPrEx>
          <w:tblCellMar>
            <w:top w:w="0" w:type="dxa"/>
            <w:left w:w="0" w:type="dxa"/>
            <w:bottom w:w="0" w:type="dxa"/>
            <w:right w:w="0" w:type="dxa"/>
          </w:tblCellMar>
        </w:tblPrEx>
        <w:trPr>
          <w:wBefore w:w="0" w:type="auto"/>
          <w:tblCellSpacing w:w="0" w:type="dxa"/>
        </w:trPr>
        <w:tc>
          <w:tcPr>
            <w:tcW w:w="0" w:type="auto"/>
            <w:noWrap w:val="0"/>
            <w:vAlign w:val="center"/>
          </w:tcPr>
          <w:p w14:paraId="4D0790CE">
            <w:r>
              <w:rPr>
                <w:rFonts w:hint="eastAsia"/>
              </w:rPr>
              <w:t xml:space="preserve">有效成分及其含量： </w:t>
            </w:r>
          </w:p>
          <w:p w14:paraId="4DB17F31">
            <w:r>
              <w:rPr>
                <w:rFonts w:hint="eastAsia"/>
              </w:rPr>
              <w:t xml:space="preserve">    咪鲜胺24%    抑霉唑4%    </w:t>
            </w:r>
          </w:p>
        </w:tc>
      </w:tr>
      <w:tr w14:paraId="5F51E20F">
        <w:tblPrEx>
          <w:tblCellMar>
            <w:top w:w="0" w:type="dxa"/>
            <w:left w:w="0" w:type="dxa"/>
            <w:bottom w:w="0" w:type="dxa"/>
            <w:right w:w="0" w:type="dxa"/>
          </w:tblCellMar>
        </w:tblPrEx>
        <w:trPr>
          <w:wBefore w:w="0" w:type="auto"/>
          <w:tblCellSpacing w:w="0" w:type="dxa"/>
        </w:trPr>
        <w:tc>
          <w:tcPr>
            <w:tcW w:w="0" w:type="auto"/>
            <w:noWrap w:val="0"/>
            <w:vAlign w:val="center"/>
          </w:tcPr>
          <w:p w14:paraId="2AC776D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693CA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121976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83C87A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5E490E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4E91FD">
                  <w:r>
                    <w:rPr>
                      <w:rStyle w:val="11"/>
                      <w:rFonts w:hint="eastAsia"/>
                    </w:rPr>
                    <w:t>施用方式</w:t>
                  </w:r>
                </w:p>
              </w:tc>
            </w:tr>
            <w:tr w14:paraId="4F748FB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D41A40">
                  <w:r>
                    <w:rPr>
                      <w:rStyle w:val="11"/>
                      <w:rFonts w:hint="eastAsia"/>
                    </w:rPr>
                    <w:t>香蕉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A896EA">
                  <w:r>
                    <w:rPr>
                      <w:rStyle w:val="11"/>
                      <w:rFonts w:hint="eastAsia"/>
                    </w:rPr>
                    <w:t>冠腐病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D77072">
                  <w:r>
                    <w:rPr>
                      <w:rStyle w:val="11"/>
                      <w:rFonts w:hint="eastAsia"/>
                    </w:rPr>
                    <w:t>800-1000倍液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84CE24">
                  <w:r>
                    <w:rPr>
                      <w:rStyle w:val="11"/>
                      <w:rFonts w:hint="eastAsia"/>
                    </w:rPr>
                    <w:t>浸果</w:t>
                  </w:r>
                </w:p>
              </w:tc>
            </w:tr>
          </w:tbl>
          <w:p w14:paraId="0EED04C7">
            <w:pPr>
              <w:rPr>
                <w:rFonts w:ascii="Times New Roman" w:hAnsi="Times New Roman" w:cs="Times New Roman"/>
                <w:sz w:val="20"/>
                <w:szCs w:val="20"/>
              </w:rPr>
            </w:pPr>
          </w:p>
        </w:tc>
      </w:tr>
      <w:tr w14:paraId="387219B3">
        <w:tblPrEx>
          <w:tblCellMar>
            <w:top w:w="0" w:type="dxa"/>
            <w:left w:w="0" w:type="dxa"/>
            <w:bottom w:w="0" w:type="dxa"/>
            <w:right w:w="0" w:type="dxa"/>
          </w:tblCellMar>
        </w:tblPrEx>
        <w:trPr>
          <w:wBefore w:w="0" w:type="auto"/>
          <w:tblCellSpacing w:w="0" w:type="dxa"/>
        </w:trPr>
        <w:tc>
          <w:tcPr>
            <w:tcW w:w="0" w:type="auto"/>
            <w:noWrap w:val="0"/>
            <w:vAlign w:val="center"/>
          </w:tcPr>
          <w:p w14:paraId="0B715EFA">
            <w:r>
              <w:rPr>
                <w:rStyle w:val="10"/>
                <w:rFonts w:hint="eastAsia"/>
              </w:rPr>
              <w:t>使用技术要求:</w:t>
            </w:r>
            <w:r>
              <w:rPr>
                <w:rFonts w:hint="eastAsia"/>
              </w:rPr>
              <w:br w:type="textWrapping"/>
            </w:r>
            <w:r>
              <w:rPr>
                <w:rStyle w:val="11"/>
                <w:rFonts w:hint="eastAsia"/>
              </w:rPr>
              <w:t>1. 香蕉采收后贮藏前，香蕉果实成熟度为75%-80%时采收，去掉有机械损伤、有伤疤的香蕉，洗去香蕉指上的尘土，浸果1-2分钟后晾干，常温贮藏。 2. 本品在香蕉上的安全间隔期为7天，最多使用1次。 3. 浸果过程中，要不断搅拌药液，使药液均匀分布并与香蕉果实充分接触。</w:t>
            </w:r>
          </w:p>
        </w:tc>
      </w:tr>
      <w:tr w14:paraId="1E94DA5A">
        <w:tblPrEx>
          <w:tblCellMar>
            <w:top w:w="0" w:type="dxa"/>
            <w:left w:w="0" w:type="dxa"/>
            <w:bottom w:w="0" w:type="dxa"/>
            <w:right w:w="0" w:type="dxa"/>
          </w:tblCellMar>
        </w:tblPrEx>
        <w:trPr>
          <w:wBefore w:w="0" w:type="auto"/>
          <w:tblCellSpacing w:w="0" w:type="dxa"/>
        </w:trPr>
        <w:tc>
          <w:tcPr>
            <w:tcW w:w="0" w:type="auto"/>
            <w:noWrap w:val="0"/>
            <w:vAlign w:val="center"/>
          </w:tcPr>
          <w:p w14:paraId="2747B22C">
            <w:r>
              <w:rPr>
                <w:rStyle w:val="10"/>
                <w:rFonts w:hint="eastAsia"/>
              </w:rPr>
              <w:t>产品性能:</w:t>
            </w:r>
            <w:r>
              <w:rPr>
                <w:rFonts w:hint="eastAsia"/>
              </w:rPr>
              <w:br w:type="textWrapping"/>
            </w:r>
            <w:r>
              <w:rPr>
                <w:rStyle w:val="11"/>
                <w:rFonts w:hint="eastAsia"/>
              </w:rPr>
              <w:t>咪鲜胺具有保护和铲除作用，是麦角甾醇生物合成抑制剂。抑霉唑是内吸性杀菌剂，影响细胞膜的渗透性、生理功能和脂类合成代谢。两者混配可用于防治香蕉冠腐病。</w:t>
            </w:r>
          </w:p>
        </w:tc>
      </w:tr>
      <w:tr w14:paraId="0566A214">
        <w:tblPrEx>
          <w:tblCellMar>
            <w:top w:w="0" w:type="dxa"/>
            <w:left w:w="0" w:type="dxa"/>
            <w:bottom w:w="0" w:type="dxa"/>
            <w:right w:w="0" w:type="dxa"/>
          </w:tblCellMar>
        </w:tblPrEx>
        <w:trPr>
          <w:wBefore w:w="0" w:type="auto"/>
          <w:tblCellSpacing w:w="0" w:type="dxa"/>
        </w:trPr>
        <w:tc>
          <w:tcPr>
            <w:tcW w:w="0" w:type="auto"/>
            <w:noWrap w:val="0"/>
            <w:vAlign w:val="center"/>
          </w:tcPr>
          <w:p w14:paraId="3B850AEC">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本品对眼睛有刺激性，使用时避免接触眼睛，穿戴长衣、长裤、帽子、口罩、手套等防护措施。避免皮肤接触及口鼻吸入，使用中不可吸烟、饮水及吃东西，使用后及时清洗手、脸等暴露部位皮肤并更换衣物。2. 远离水产养殖区施药，禁止在河塘等水体清洗施药器具，避免药液及其废液污染水源地。严禁将浸果后的残余药液倒入江河、湖泊、水渠及水产养殖区域。3. 建议与作用机制不同的杀菌剂轮换使用，以延缓抗性产生。 4. 用过的容器应妥善处理，不可做他用，不可随意丢弃。5. 禁止孕妇和哺乳期妇女接触。过敏者禁用，使用中有任何不良反应请及时就医。</w:t>
            </w:r>
          </w:p>
        </w:tc>
      </w:tr>
      <w:tr w14:paraId="13794330">
        <w:tblPrEx>
          <w:tblCellMar>
            <w:top w:w="0" w:type="dxa"/>
            <w:left w:w="0" w:type="dxa"/>
            <w:bottom w:w="0" w:type="dxa"/>
            <w:right w:w="0" w:type="dxa"/>
          </w:tblCellMar>
        </w:tblPrEx>
        <w:trPr>
          <w:wBefore w:w="0" w:type="auto"/>
          <w:tblCellSpacing w:w="0" w:type="dxa"/>
        </w:trPr>
        <w:tc>
          <w:tcPr>
            <w:tcW w:w="0" w:type="auto"/>
            <w:noWrap w:val="0"/>
            <w:vAlign w:val="center"/>
          </w:tcPr>
          <w:p w14:paraId="6205AF65">
            <w:r>
              <w:rPr>
                <w:rStyle w:val="10"/>
                <w:rFonts w:hint="eastAsia"/>
              </w:rPr>
              <w:t>中毒急救措施：</w:t>
            </w:r>
            <w:r>
              <w:rPr>
                <w:rFonts w:hint="eastAsia"/>
              </w:rPr>
              <w:br w:type="textWrapping"/>
            </w:r>
            <w:r>
              <w:rPr>
                <w:rStyle w:val="11"/>
                <w:rFonts w:hint="eastAsia"/>
              </w:rPr>
              <w:t>中毒症状：对眼睛、皮肤有刺激作用 急救措施：使用中或使用后如果感觉不适，应立即停止工作，采取急救措施，并携带标签送医院就诊。皮肤接触：立即脱掉被污染的衣物，用软布去除沾染农药，大量清水和肥皂冲洗。眼睛接触：立即翻开眼睑，用大量清水冲洗至少15min，及时就医。吸入：立即离开施药现场，转移至空气流通处。误服：立即停止服用，用清水充分漱口后，立即携带农药标签到医院就诊。无专用解毒剂，对症治疗。</w:t>
            </w:r>
          </w:p>
        </w:tc>
      </w:tr>
      <w:tr w14:paraId="227A6B1B">
        <w:tblPrEx>
          <w:tblCellMar>
            <w:top w:w="0" w:type="dxa"/>
            <w:left w:w="0" w:type="dxa"/>
            <w:bottom w:w="0" w:type="dxa"/>
            <w:right w:w="0" w:type="dxa"/>
          </w:tblCellMar>
        </w:tblPrEx>
        <w:trPr>
          <w:wBefore w:w="0" w:type="auto"/>
          <w:tblCellSpacing w:w="0" w:type="dxa"/>
        </w:trPr>
        <w:tc>
          <w:tcPr>
            <w:tcW w:w="0" w:type="auto"/>
            <w:noWrap w:val="0"/>
            <w:vAlign w:val="center"/>
          </w:tcPr>
          <w:p w14:paraId="262BB205">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本品应贮存在干燥、阴凉、通风、防雨处，远离火源或热源。置于儿童、无关人员触及不到之处，并加锁。勿与食品、饮料、饲料、种子、粮食、等其他商品同贮同运。</w:t>
            </w:r>
          </w:p>
        </w:tc>
      </w:tr>
      <w:tr w14:paraId="0EA4C61E">
        <w:tblPrEx>
          <w:tblCellMar>
            <w:top w:w="0" w:type="dxa"/>
            <w:left w:w="0" w:type="dxa"/>
            <w:bottom w:w="0" w:type="dxa"/>
            <w:right w:w="0" w:type="dxa"/>
          </w:tblCellMar>
        </w:tblPrEx>
        <w:trPr>
          <w:wBefore w:w="0" w:type="auto"/>
          <w:tblCellSpacing w:w="0" w:type="dxa"/>
        </w:trPr>
        <w:tc>
          <w:tcPr>
            <w:tcW w:w="0" w:type="auto"/>
            <w:noWrap w:val="0"/>
            <w:vAlign w:val="center"/>
          </w:tcPr>
          <w:p w14:paraId="19C79322">
            <w:r>
              <w:rPr>
                <w:rStyle w:val="10"/>
                <w:rFonts w:hint="eastAsia"/>
              </w:rPr>
              <w:t>质量保证期：</w:t>
            </w:r>
            <w:r>
              <w:rPr>
                <w:rStyle w:val="11"/>
                <w:rFonts w:hint="eastAsia"/>
              </w:rPr>
              <w:t>2年</w:t>
            </w:r>
          </w:p>
        </w:tc>
      </w:tr>
      <w:tr w14:paraId="66AEB9C5">
        <w:tblPrEx>
          <w:tblCellMar>
            <w:top w:w="0" w:type="dxa"/>
            <w:left w:w="0" w:type="dxa"/>
            <w:bottom w:w="0" w:type="dxa"/>
            <w:right w:w="0" w:type="dxa"/>
          </w:tblCellMar>
        </w:tblPrEx>
        <w:trPr>
          <w:wBefore w:w="0" w:type="auto"/>
          <w:tblCellSpacing w:w="0" w:type="dxa"/>
        </w:trPr>
        <w:tc>
          <w:tcPr>
            <w:tcW w:w="0" w:type="auto"/>
            <w:noWrap w:val="0"/>
            <w:vAlign w:val="center"/>
          </w:tcPr>
          <w:p w14:paraId="72B4C37C">
            <w:r>
              <w:rPr>
                <w:rStyle w:val="10"/>
                <w:rFonts w:hint="eastAsia"/>
              </w:rPr>
              <w:t>备注：</w:t>
            </w:r>
          </w:p>
        </w:tc>
      </w:tr>
    </w:tbl>
    <w:p w14:paraId="48EA5D0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791239A">
        <w:tblPrEx>
          <w:tblCellMar>
            <w:top w:w="0" w:type="dxa"/>
            <w:left w:w="0" w:type="dxa"/>
            <w:bottom w:w="0" w:type="dxa"/>
            <w:right w:w="0" w:type="dxa"/>
          </w:tblCellMar>
        </w:tblPrEx>
        <w:trPr>
          <w:wBefore w:w="0" w:type="auto"/>
          <w:tblCellSpacing w:w="0" w:type="dxa"/>
        </w:trPr>
        <w:tc>
          <w:tcPr>
            <w:tcW w:w="0" w:type="auto"/>
            <w:noWrap w:val="0"/>
            <w:vAlign w:val="center"/>
          </w:tcPr>
          <w:p w14:paraId="749EB50C">
            <w:r>
              <w:rPr>
                <w:rStyle w:val="10"/>
                <w:rFonts w:hint="eastAsia"/>
              </w:rPr>
              <w:t>登记证号：</w:t>
            </w:r>
            <w:r>
              <w:rPr>
                <w:rFonts w:hint="eastAsia"/>
              </w:rPr>
              <w:t>WP20210237</w:t>
            </w:r>
          </w:p>
        </w:tc>
      </w:tr>
      <w:tr w14:paraId="5C25F388">
        <w:tblPrEx>
          <w:tblCellMar>
            <w:top w:w="0" w:type="dxa"/>
            <w:left w:w="0" w:type="dxa"/>
            <w:bottom w:w="0" w:type="dxa"/>
            <w:right w:w="0" w:type="dxa"/>
          </w:tblCellMar>
        </w:tblPrEx>
        <w:trPr>
          <w:wBefore w:w="0" w:type="auto"/>
          <w:tblCellSpacing w:w="0" w:type="dxa"/>
        </w:trPr>
        <w:tc>
          <w:tcPr>
            <w:tcW w:w="0" w:type="auto"/>
            <w:noWrap w:val="0"/>
            <w:vAlign w:val="center"/>
          </w:tcPr>
          <w:p w14:paraId="46944211">
            <w:r>
              <w:rPr>
                <w:rStyle w:val="10"/>
                <w:rFonts w:hint="eastAsia"/>
              </w:rPr>
              <w:t>登记证持有人：</w:t>
            </w:r>
            <w:r>
              <w:rPr>
                <w:rFonts w:hint="eastAsia"/>
              </w:rPr>
              <w:t>山西奥赛诺生物科技有限公司</w:t>
            </w:r>
          </w:p>
        </w:tc>
      </w:tr>
      <w:tr w14:paraId="37E1CEC4">
        <w:tblPrEx>
          <w:tblCellMar>
            <w:top w:w="0" w:type="dxa"/>
            <w:left w:w="0" w:type="dxa"/>
            <w:bottom w:w="0" w:type="dxa"/>
            <w:right w:w="0" w:type="dxa"/>
          </w:tblCellMar>
        </w:tblPrEx>
        <w:trPr>
          <w:wBefore w:w="0" w:type="auto"/>
          <w:tblCellSpacing w:w="0" w:type="dxa"/>
        </w:trPr>
        <w:tc>
          <w:tcPr>
            <w:tcW w:w="0" w:type="auto"/>
            <w:noWrap w:val="0"/>
            <w:vAlign w:val="center"/>
          </w:tcPr>
          <w:p w14:paraId="2D90F7A5">
            <w:r>
              <w:rPr>
                <w:rStyle w:val="10"/>
                <w:rFonts w:hint="eastAsia"/>
              </w:rPr>
              <w:t>农药名称：</w:t>
            </w:r>
            <w:r>
              <w:rPr>
                <w:rFonts w:hint="eastAsia"/>
              </w:rPr>
              <w:t>噻虫胺</w:t>
            </w:r>
          </w:p>
        </w:tc>
      </w:tr>
      <w:tr w14:paraId="5A2B3511">
        <w:tblPrEx>
          <w:tblCellMar>
            <w:top w:w="0" w:type="dxa"/>
            <w:left w:w="0" w:type="dxa"/>
            <w:bottom w:w="0" w:type="dxa"/>
            <w:right w:w="0" w:type="dxa"/>
          </w:tblCellMar>
        </w:tblPrEx>
        <w:trPr>
          <w:wBefore w:w="0" w:type="auto"/>
          <w:tblCellSpacing w:w="0" w:type="dxa"/>
        </w:trPr>
        <w:tc>
          <w:tcPr>
            <w:tcW w:w="0" w:type="auto"/>
            <w:noWrap w:val="0"/>
            <w:vAlign w:val="center"/>
          </w:tcPr>
          <w:p w14:paraId="734CE9DF">
            <w:r>
              <w:rPr>
                <w:rStyle w:val="10"/>
                <w:rFonts w:hint="eastAsia"/>
              </w:rPr>
              <w:t>剂型：</w:t>
            </w:r>
            <w:r>
              <w:rPr>
                <w:rFonts w:hint="eastAsia"/>
              </w:rPr>
              <w:t>悬浮剂</w:t>
            </w:r>
          </w:p>
        </w:tc>
      </w:tr>
      <w:tr w14:paraId="7A615B8D">
        <w:tblPrEx>
          <w:tblCellMar>
            <w:top w:w="0" w:type="dxa"/>
            <w:left w:w="0" w:type="dxa"/>
            <w:bottom w:w="0" w:type="dxa"/>
            <w:right w:w="0" w:type="dxa"/>
          </w:tblCellMar>
        </w:tblPrEx>
        <w:trPr>
          <w:wBefore w:w="0" w:type="auto"/>
          <w:tblCellSpacing w:w="0" w:type="dxa"/>
        </w:trPr>
        <w:tc>
          <w:tcPr>
            <w:tcW w:w="0" w:type="auto"/>
            <w:noWrap w:val="0"/>
            <w:vAlign w:val="center"/>
          </w:tcPr>
          <w:p w14:paraId="0C3E1268">
            <w:r>
              <w:rPr>
                <w:rStyle w:val="10"/>
                <w:rFonts w:hint="eastAsia"/>
              </w:rPr>
              <w:t>毒性及其标识：</w:t>
            </w:r>
            <w:r>
              <w:rPr>
                <w:rFonts w:hint="eastAsia"/>
              </w:rPr>
              <w:t xml:space="preserve"> 微毒 </w:t>
            </w:r>
          </w:p>
        </w:tc>
      </w:tr>
      <w:tr w14:paraId="454CC789">
        <w:tblPrEx>
          <w:tblCellMar>
            <w:top w:w="0" w:type="dxa"/>
            <w:left w:w="0" w:type="dxa"/>
            <w:bottom w:w="0" w:type="dxa"/>
            <w:right w:w="0" w:type="dxa"/>
          </w:tblCellMar>
        </w:tblPrEx>
        <w:trPr>
          <w:wBefore w:w="0" w:type="auto"/>
          <w:tblCellSpacing w:w="0" w:type="dxa"/>
        </w:trPr>
        <w:tc>
          <w:tcPr>
            <w:tcW w:w="0" w:type="auto"/>
            <w:noWrap w:val="0"/>
            <w:vAlign w:val="center"/>
          </w:tcPr>
          <w:p w14:paraId="2FB4745D">
            <w:r>
              <w:rPr>
                <w:rStyle w:val="10"/>
                <w:rFonts w:hint="eastAsia"/>
              </w:rPr>
              <w:t>总有效成分含量：</w:t>
            </w:r>
            <w:r>
              <w:rPr>
                <w:rFonts w:hint="eastAsia"/>
              </w:rPr>
              <w:t>10%</w:t>
            </w:r>
          </w:p>
        </w:tc>
      </w:tr>
      <w:tr w14:paraId="10A8AAE2">
        <w:tblPrEx>
          <w:tblCellMar>
            <w:top w:w="0" w:type="dxa"/>
            <w:left w:w="0" w:type="dxa"/>
            <w:bottom w:w="0" w:type="dxa"/>
            <w:right w:w="0" w:type="dxa"/>
          </w:tblCellMar>
        </w:tblPrEx>
        <w:trPr>
          <w:wBefore w:w="0" w:type="auto"/>
          <w:tblCellSpacing w:w="0" w:type="dxa"/>
        </w:trPr>
        <w:tc>
          <w:tcPr>
            <w:tcW w:w="0" w:type="auto"/>
            <w:noWrap w:val="0"/>
            <w:vAlign w:val="center"/>
          </w:tcPr>
          <w:p w14:paraId="73A62D98">
            <w:r>
              <w:rPr>
                <w:rFonts w:hint="eastAsia"/>
              </w:rPr>
              <w:t xml:space="preserve">有效成分及其含量： </w:t>
            </w:r>
          </w:p>
          <w:p w14:paraId="2EC42F4E">
            <w:r>
              <w:rPr>
                <w:rFonts w:hint="eastAsia"/>
              </w:rPr>
              <w:t xml:space="preserve">    噻虫胺10%    </w:t>
            </w:r>
          </w:p>
        </w:tc>
      </w:tr>
      <w:tr w14:paraId="14A786BB">
        <w:tblPrEx>
          <w:tblCellMar>
            <w:top w:w="0" w:type="dxa"/>
            <w:left w:w="0" w:type="dxa"/>
            <w:bottom w:w="0" w:type="dxa"/>
            <w:right w:w="0" w:type="dxa"/>
          </w:tblCellMar>
        </w:tblPrEx>
        <w:trPr>
          <w:wBefore w:w="0" w:type="auto"/>
          <w:tblCellSpacing w:w="0" w:type="dxa"/>
        </w:trPr>
        <w:tc>
          <w:tcPr>
            <w:tcW w:w="0" w:type="auto"/>
            <w:noWrap w:val="0"/>
            <w:vAlign w:val="center"/>
          </w:tcPr>
          <w:p w14:paraId="169DD11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37D973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F71E03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75FB96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66CAE3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19C6013">
                  <w:r>
                    <w:rPr>
                      <w:rStyle w:val="11"/>
                      <w:rFonts w:hint="eastAsia"/>
                    </w:rPr>
                    <w:t>施用方式</w:t>
                  </w:r>
                </w:p>
              </w:tc>
            </w:tr>
            <w:tr w14:paraId="483CFA0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85235C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E1BCA7">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66B211">
                  <w:r>
                    <w:rPr>
                      <w:rStyle w:val="11"/>
                      <w:rFonts w:hint="eastAsia"/>
                    </w:rPr>
                    <w:t>0.8毫升/立方米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92C962">
                  <w:r>
                    <w:rPr>
                      <w:rStyle w:val="11"/>
                      <w:rFonts w:hint="eastAsia"/>
                    </w:rPr>
                    <w:t>喷雾</w:t>
                  </w:r>
                </w:p>
              </w:tc>
            </w:tr>
          </w:tbl>
          <w:p w14:paraId="10A312CB">
            <w:pPr>
              <w:rPr>
                <w:rFonts w:ascii="Times New Roman" w:hAnsi="Times New Roman" w:cs="Times New Roman"/>
                <w:sz w:val="20"/>
                <w:szCs w:val="20"/>
              </w:rPr>
            </w:pPr>
          </w:p>
        </w:tc>
      </w:tr>
      <w:tr w14:paraId="0E2F8FBF">
        <w:tblPrEx>
          <w:tblCellMar>
            <w:top w:w="0" w:type="dxa"/>
            <w:left w:w="0" w:type="dxa"/>
            <w:bottom w:w="0" w:type="dxa"/>
            <w:right w:w="0" w:type="dxa"/>
          </w:tblCellMar>
        </w:tblPrEx>
        <w:trPr>
          <w:wBefore w:w="0" w:type="auto"/>
          <w:tblCellSpacing w:w="0" w:type="dxa"/>
        </w:trPr>
        <w:tc>
          <w:tcPr>
            <w:tcW w:w="0" w:type="auto"/>
            <w:noWrap w:val="0"/>
            <w:vAlign w:val="center"/>
          </w:tcPr>
          <w:p w14:paraId="2B8BB798">
            <w:r>
              <w:rPr>
                <w:rStyle w:val="10"/>
                <w:rFonts w:hint="eastAsia"/>
              </w:rPr>
              <w:t>使用技术要求:</w:t>
            </w:r>
            <w:r>
              <w:rPr>
                <w:rFonts w:hint="eastAsia"/>
              </w:rPr>
              <w:br w:type="textWrapping"/>
            </w:r>
            <w:r>
              <w:rPr>
                <w:rStyle w:val="11"/>
                <w:rFonts w:hint="eastAsia"/>
              </w:rPr>
              <w:t>本品用水稀释后，均匀于蜚蠊出没或栖息处喷雾使用。</w:t>
            </w:r>
          </w:p>
        </w:tc>
      </w:tr>
      <w:tr w14:paraId="259E6805">
        <w:tblPrEx>
          <w:tblCellMar>
            <w:top w:w="0" w:type="dxa"/>
            <w:left w:w="0" w:type="dxa"/>
            <w:bottom w:w="0" w:type="dxa"/>
            <w:right w:w="0" w:type="dxa"/>
          </w:tblCellMar>
        </w:tblPrEx>
        <w:trPr>
          <w:wBefore w:w="0" w:type="auto"/>
          <w:tblCellSpacing w:w="0" w:type="dxa"/>
        </w:trPr>
        <w:tc>
          <w:tcPr>
            <w:tcW w:w="0" w:type="auto"/>
            <w:noWrap w:val="0"/>
            <w:vAlign w:val="center"/>
          </w:tcPr>
          <w:p w14:paraId="1F6D7043">
            <w:r>
              <w:rPr>
                <w:rStyle w:val="10"/>
                <w:rFonts w:hint="eastAsia"/>
              </w:rPr>
              <w:t>产品性能:</w:t>
            </w:r>
            <w:r>
              <w:rPr>
                <w:rFonts w:hint="eastAsia"/>
              </w:rPr>
              <w:br w:type="textWrapping"/>
            </w:r>
            <w:r>
              <w:rPr>
                <w:rStyle w:val="11"/>
                <w:rFonts w:hint="eastAsia"/>
              </w:rPr>
              <w:t>本品是新烟碱类杀虫剂，其作用与烟碱乙酰胆碱受体类似。可应用于室内环境防治蜚蠊。</w:t>
            </w:r>
          </w:p>
        </w:tc>
      </w:tr>
      <w:tr w14:paraId="09F9DAD0">
        <w:tblPrEx>
          <w:tblCellMar>
            <w:top w:w="0" w:type="dxa"/>
            <w:left w:w="0" w:type="dxa"/>
            <w:bottom w:w="0" w:type="dxa"/>
            <w:right w:w="0" w:type="dxa"/>
          </w:tblCellMar>
        </w:tblPrEx>
        <w:trPr>
          <w:wBefore w:w="0" w:type="auto"/>
          <w:tblCellSpacing w:w="0" w:type="dxa"/>
        </w:trPr>
        <w:tc>
          <w:tcPr>
            <w:tcW w:w="0" w:type="auto"/>
            <w:noWrap w:val="0"/>
            <w:vAlign w:val="center"/>
          </w:tcPr>
          <w:p w14:paraId="70770032">
            <w:r>
              <w:rPr>
                <w:rStyle w:val="10"/>
                <w:rFonts w:hint="eastAsia"/>
              </w:rPr>
              <w:t>注意事项：</w:t>
            </w:r>
            <w:r>
              <w:rPr>
                <w:rFonts w:hint="eastAsia"/>
              </w:rPr>
              <w:br w:type="textWrapping"/>
            </w:r>
            <w:r>
              <w:rPr>
                <w:rStyle w:val="11"/>
                <w:rFonts w:hint="eastAsia"/>
              </w:rPr>
              <w:t>1.本品仅用于室内。 切勿污染食品及饮用水。2.勿让儿童玩耍、忌食，放置于儿童接触不到的地方。 3.过敏者禁用。避免孕妇及哺育妇女接触。 4.使用时应穿长衣长裤、靴子，戴帽子、口罩、手套等防护用具；施药期间不可吃东西、饮水、吸烟等；施药后应及时洗手、洗脸并洗涤施药时穿着的衣物。 5.使用后注意通风。6.废弃物应妥善处理，不能乱丢乱放，也不能做他用。</w:t>
            </w:r>
          </w:p>
        </w:tc>
      </w:tr>
      <w:tr w14:paraId="16F235D9">
        <w:tblPrEx>
          <w:tblCellMar>
            <w:top w:w="0" w:type="dxa"/>
            <w:left w:w="0" w:type="dxa"/>
            <w:bottom w:w="0" w:type="dxa"/>
            <w:right w:w="0" w:type="dxa"/>
          </w:tblCellMar>
        </w:tblPrEx>
        <w:trPr>
          <w:wBefore w:w="0" w:type="auto"/>
          <w:tblCellSpacing w:w="0" w:type="dxa"/>
        </w:trPr>
        <w:tc>
          <w:tcPr>
            <w:tcW w:w="0" w:type="auto"/>
            <w:noWrap w:val="0"/>
            <w:vAlign w:val="center"/>
          </w:tcPr>
          <w:p w14:paraId="1B76B042">
            <w:r>
              <w:rPr>
                <w:rStyle w:val="10"/>
                <w:rFonts w:hint="eastAsia"/>
              </w:rPr>
              <w:t>中毒急救措施：</w:t>
            </w:r>
            <w:r>
              <w:rPr>
                <w:rFonts w:hint="eastAsia"/>
              </w:rPr>
              <w:br w:type="textWrapping"/>
            </w:r>
            <w:r>
              <w:rPr>
                <w:rStyle w:val="11"/>
                <w:rFonts w:hint="eastAsia"/>
              </w:rPr>
              <w:t>如果药剂接触皮肤，应用肥皂和大量清水冲洗。如有误服，应立即就医，可洗胃但不能催吐，按杀虫剂中毒处理，对症治疗。</w:t>
            </w:r>
          </w:p>
        </w:tc>
      </w:tr>
      <w:tr w14:paraId="6D82AA2F">
        <w:tblPrEx>
          <w:tblCellMar>
            <w:top w:w="0" w:type="dxa"/>
            <w:left w:w="0" w:type="dxa"/>
            <w:bottom w:w="0" w:type="dxa"/>
            <w:right w:w="0" w:type="dxa"/>
          </w:tblCellMar>
        </w:tblPrEx>
        <w:trPr>
          <w:wBefore w:w="0" w:type="auto"/>
          <w:tblCellSpacing w:w="0" w:type="dxa"/>
        </w:trPr>
        <w:tc>
          <w:tcPr>
            <w:tcW w:w="0" w:type="auto"/>
            <w:noWrap w:val="0"/>
            <w:vAlign w:val="center"/>
          </w:tcPr>
          <w:p w14:paraId="58ED5A47">
            <w:r>
              <w:rPr>
                <w:rStyle w:val="10"/>
                <w:rFonts w:hint="eastAsia"/>
              </w:rPr>
              <w:t>储存和运输方法：</w:t>
            </w:r>
            <w:r>
              <w:rPr>
                <w:rFonts w:hint="eastAsia"/>
              </w:rPr>
              <w:br w:type="textWrapping"/>
            </w:r>
            <w:r>
              <w:rPr>
                <w:rStyle w:val="11"/>
                <w:rFonts w:hint="eastAsia"/>
              </w:rPr>
              <w:t>本品应贮存在干燥、阴凉、通风、防雨处，远离火源或热源。置于儿童及其他无关人员触及不到之处，并加锁。勿与食品、饮料、粮食、饲料等同贮同运。</w:t>
            </w:r>
          </w:p>
        </w:tc>
      </w:tr>
      <w:tr w14:paraId="59EC5E81">
        <w:tblPrEx>
          <w:tblCellMar>
            <w:top w:w="0" w:type="dxa"/>
            <w:left w:w="0" w:type="dxa"/>
            <w:bottom w:w="0" w:type="dxa"/>
            <w:right w:w="0" w:type="dxa"/>
          </w:tblCellMar>
        </w:tblPrEx>
        <w:trPr>
          <w:wBefore w:w="0" w:type="auto"/>
          <w:tblCellSpacing w:w="0" w:type="dxa"/>
        </w:trPr>
        <w:tc>
          <w:tcPr>
            <w:tcW w:w="0" w:type="auto"/>
            <w:noWrap w:val="0"/>
            <w:vAlign w:val="center"/>
          </w:tcPr>
          <w:p w14:paraId="00788A53">
            <w:r>
              <w:rPr>
                <w:rStyle w:val="10"/>
                <w:rFonts w:hint="eastAsia"/>
              </w:rPr>
              <w:t>质量保证期：</w:t>
            </w:r>
            <w:r>
              <w:rPr>
                <w:rStyle w:val="11"/>
                <w:rFonts w:hint="eastAsia"/>
              </w:rPr>
              <w:t>2年</w:t>
            </w:r>
          </w:p>
        </w:tc>
      </w:tr>
      <w:tr w14:paraId="293B5735">
        <w:tblPrEx>
          <w:tblCellMar>
            <w:top w:w="0" w:type="dxa"/>
            <w:left w:w="0" w:type="dxa"/>
            <w:bottom w:w="0" w:type="dxa"/>
            <w:right w:w="0" w:type="dxa"/>
          </w:tblCellMar>
        </w:tblPrEx>
        <w:trPr>
          <w:wBefore w:w="0" w:type="auto"/>
          <w:tblCellSpacing w:w="0" w:type="dxa"/>
        </w:trPr>
        <w:tc>
          <w:tcPr>
            <w:tcW w:w="0" w:type="auto"/>
            <w:noWrap w:val="0"/>
            <w:vAlign w:val="center"/>
          </w:tcPr>
          <w:p w14:paraId="11420695">
            <w:r>
              <w:rPr>
                <w:rStyle w:val="10"/>
                <w:rFonts w:hint="eastAsia"/>
              </w:rPr>
              <w:t>备注：</w:t>
            </w:r>
          </w:p>
        </w:tc>
      </w:tr>
    </w:tbl>
    <w:p w14:paraId="67E61E3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2D5764E">
        <w:tblPrEx>
          <w:tblCellMar>
            <w:top w:w="0" w:type="dxa"/>
            <w:left w:w="0" w:type="dxa"/>
            <w:bottom w:w="0" w:type="dxa"/>
            <w:right w:w="0" w:type="dxa"/>
          </w:tblCellMar>
        </w:tblPrEx>
        <w:trPr>
          <w:wBefore w:w="0" w:type="auto"/>
          <w:tblCellSpacing w:w="0" w:type="dxa"/>
        </w:trPr>
        <w:tc>
          <w:tcPr>
            <w:tcW w:w="0" w:type="auto"/>
            <w:noWrap w:val="0"/>
            <w:vAlign w:val="center"/>
          </w:tcPr>
          <w:p w14:paraId="32C8D4FC">
            <w:r>
              <w:rPr>
                <w:rStyle w:val="10"/>
                <w:rFonts w:hint="eastAsia"/>
              </w:rPr>
              <w:t>登记证号：</w:t>
            </w:r>
            <w:r>
              <w:rPr>
                <w:rFonts w:hint="eastAsia"/>
              </w:rPr>
              <w:t>PD20211924</w:t>
            </w:r>
          </w:p>
        </w:tc>
      </w:tr>
      <w:tr w14:paraId="599BF2CA">
        <w:tblPrEx>
          <w:tblCellMar>
            <w:top w:w="0" w:type="dxa"/>
            <w:left w:w="0" w:type="dxa"/>
            <w:bottom w:w="0" w:type="dxa"/>
            <w:right w:w="0" w:type="dxa"/>
          </w:tblCellMar>
        </w:tblPrEx>
        <w:trPr>
          <w:wBefore w:w="0" w:type="auto"/>
          <w:tblCellSpacing w:w="0" w:type="dxa"/>
        </w:trPr>
        <w:tc>
          <w:tcPr>
            <w:tcW w:w="0" w:type="auto"/>
            <w:noWrap w:val="0"/>
            <w:vAlign w:val="center"/>
          </w:tcPr>
          <w:p w14:paraId="3AD16361">
            <w:r>
              <w:rPr>
                <w:rStyle w:val="10"/>
                <w:rFonts w:hint="eastAsia"/>
              </w:rPr>
              <w:t>登记证持有人：</w:t>
            </w:r>
            <w:r>
              <w:rPr>
                <w:rFonts w:hint="eastAsia"/>
              </w:rPr>
              <w:t>陕西汤普森生物科技有限公司</w:t>
            </w:r>
          </w:p>
        </w:tc>
      </w:tr>
      <w:tr w14:paraId="5D353E4B">
        <w:tblPrEx>
          <w:tblCellMar>
            <w:top w:w="0" w:type="dxa"/>
            <w:left w:w="0" w:type="dxa"/>
            <w:bottom w:w="0" w:type="dxa"/>
            <w:right w:w="0" w:type="dxa"/>
          </w:tblCellMar>
        </w:tblPrEx>
        <w:trPr>
          <w:wBefore w:w="0" w:type="auto"/>
          <w:tblCellSpacing w:w="0" w:type="dxa"/>
        </w:trPr>
        <w:tc>
          <w:tcPr>
            <w:tcW w:w="0" w:type="auto"/>
            <w:noWrap w:val="0"/>
            <w:vAlign w:val="center"/>
          </w:tcPr>
          <w:p w14:paraId="2C92BD94">
            <w:r>
              <w:rPr>
                <w:rStyle w:val="10"/>
                <w:rFonts w:hint="eastAsia"/>
              </w:rPr>
              <w:t>农药名称：</w:t>
            </w:r>
            <w:r>
              <w:rPr>
                <w:rFonts w:hint="eastAsia"/>
              </w:rPr>
              <w:t>吡唑·异菌脲</w:t>
            </w:r>
          </w:p>
        </w:tc>
      </w:tr>
      <w:tr w14:paraId="1D885EDE">
        <w:tblPrEx>
          <w:tblCellMar>
            <w:top w:w="0" w:type="dxa"/>
            <w:left w:w="0" w:type="dxa"/>
            <w:bottom w:w="0" w:type="dxa"/>
            <w:right w:w="0" w:type="dxa"/>
          </w:tblCellMar>
        </w:tblPrEx>
        <w:trPr>
          <w:wBefore w:w="0" w:type="auto"/>
          <w:tblCellSpacing w:w="0" w:type="dxa"/>
        </w:trPr>
        <w:tc>
          <w:tcPr>
            <w:tcW w:w="0" w:type="auto"/>
            <w:noWrap w:val="0"/>
            <w:vAlign w:val="center"/>
          </w:tcPr>
          <w:p w14:paraId="703D3618">
            <w:r>
              <w:rPr>
                <w:rStyle w:val="10"/>
                <w:rFonts w:hint="eastAsia"/>
              </w:rPr>
              <w:t>剂型：</w:t>
            </w:r>
            <w:r>
              <w:rPr>
                <w:rFonts w:hint="eastAsia"/>
              </w:rPr>
              <w:t>悬浮剂</w:t>
            </w:r>
          </w:p>
        </w:tc>
      </w:tr>
      <w:tr w14:paraId="4465BCEB">
        <w:tblPrEx>
          <w:tblCellMar>
            <w:top w:w="0" w:type="dxa"/>
            <w:left w:w="0" w:type="dxa"/>
            <w:bottom w:w="0" w:type="dxa"/>
            <w:right w:w="0" w:type="dxa"/>
          </w:tblCellMar>
        </w:tblPrEx>
        <w:trPr>
          <w:wBefore w:w="0" w:type="auto"/>
          <w:tblCellSpacing w:w="0" w:type="dxa"/>
        </w:trPr>
        <w:tc>
          <w:tcPr>
            <w:tcW w:w="0" w:type="auto"/>
            <w:noWrap w:val="0"/>
            <w:vAlign w:val="center"/>
          </w:tcPr>
          <w:p w14:paraId="2126421B">
            <w:r>
              <w:rPr>
                <w:rStyle w:val="10"/>
                <w:rFonts w:hint="eastAsia"/>
              </w:rPr>
              <w:t>毒性及其标识：</w:t>
            </w:r>
            <w:r>
              <w:rPr>
                <w:rFonts w:hint="eastAsia"/>
              </w:rPr>
              <w:t xml:space="preserve"> </w:t>
            </w:r>
            <w:r>
              <w:rPr>
                <w:lang/>
              </w:rPr>
              <w:drawing>
                <wp:inline distT="0" distB="0" distL="114300" distR="114300">
                  <wp:extent cx="476250" cy="323850"/>
                  <wp:effectExtent l="0" t="0" r="0" b="0"/>
                  <wp:docPr id="453" name="图片 45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C88D885">
        <w:tblPrEx>
          <w:tblCellMar>
            <w:top w:w="0" w:type="dxa"/>
            <w:left w:w="0" w:type="dxa"/>
            <w:bottom w:w="0" w:type="dxa"/>
            <w:right w:w="0" w:type="dxa"/>
          </w:tblCellMar>
        </w:tblPrEx>
        <w:trPr>
          <w:wBefore w:w="0" w:type="auto"/>
          <w:tblCellSpacing w:w="0" w:type="dxa"/>
        </w:trPr>
        <w:tc>
          <w:tcPr>
            <w:tcW w:w="0" w:type="auto"/>
            <w:noWrap w:val="0"/>
            <w:vAlign w:val="center"/>
          </w:tcPr>
          <w:p w14:paraId="625D3264">
            <w:r>
              <w:rPr>
                <w:rStyle w:val="10"/>
                <w:rFonts w:hint="eastAsia"/>
              </w:rPr>
              <w:t>总有效成分含量：</w:t>
            </w:r>
            <w:r>
              <w:rPr>
                <w:rFonts w:hint="eastAsia"/>
              </w:rPr>
              <w:t>35%</w:t>
            </w:r>
          </w:p>
        </w:tc>
      </w:tr>
      <w:tr w14:paraId="5B76D5D3">
        <w:tblPrEx>
          <w:tblCellMar>
            <w:top w:w="0" w:type="dxa"/>
            <w:left w:w="0" w:type="dxa"/>
            <w:bottom w:w="0" w:type="dxa"/>
            <w:right w:w="0" w:type="dxa"/>
          </w:tblCellMar>
        </w:tblPrEx>
        <w:trPr>
          <w:wBefore w:w="0" w:type="auto"/>
          <w:tblCellSpacing w:w="0" w:type="dxa"/>
        </w:trPr>
        <w:tc>
          <w:tcPr>
            <w:tcW w:w="0" w:type="auto"/>
            <w:noWrap w:val="0"/>
            <w:vAlign w:val="center"/>
          </w:tcPr>
          <w:p w14:paraId="59F6C3EB">
            <w:r>
              <w:rPr>
                <w:rFonts w:hint="eastAsia"/>
              </w:rPr>
              <w:t xml:space="preserve">有效成分及其含量： </w:t>
            </w:r>
          </w:p>
          <w:p w14:paraId="2F4FAC19">
            <w:r>
              <w:rPr>
                <w:rFonts w:hint="eastAsia"/>
              </w:rPr>
              <w:t xml:space="preserve">    异菌脲25%    吡唑醚菌酯10%    </w:t>
            </w:r>
          </w:p>
        </w:tc>
      </w:tr>
      <w:tr w14:paraId="332AB4CD">
        <w:tblPrEx>
          <w:tblCellMar>
            <w:top w:w="0" w:type="dxa"/>
            <w:left w:w="0" w:type="dxa"/>
            <w:bottom w:w="0" w:type="dxa"/>
            <w:right w:w="0" w:type="dxa"/>
          </w:tblCellMar>
        </w:tblPrEx>
        <w:trPr>
          <w:wBefore w:w="0" w:type="auto"/>
          <w:tblCellSpacing w:w="0" w:type="dxa"/>
        </w:trPr>
        <w:tc>
          <w:tcPr>
            <w:tcW w:w="0" w:type="auto"/>
            <w:noWrap w:val="0"/>
            <w:vAlign w:val="center"/>
          </w:tcPr>
          <w:p w14:paraId="56D0FE3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85883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46F458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71A96B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25F90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2AE3BAB">
                  <w:r>
                    <w:rPr>
                      <w:rStyle w:val="11"/>
                      <w:rFonts w:hint="eastAsia"/>
                    </w:rPr>
                    <w:t>施用方式</w:t>
                  </w:r>
                </w:p>
              </w:tc>
            </w:tr>
            <w:tr w14:paraId="41B290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2B5C074">
                  <w:r>
                    <w:rPr>
                      <w:rStyle w:val="11"/>
                      <w:rFonts w:hint="eastAsia"/>
                    </w:rPr>
                    <w:t>甜瓜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C0CB24">
                  <w:r>
                    <w:rPr>
                      <w:rStyle w:val="11"/>
                      <w:rFonts w:hint="eastAsia"/>
                    </w:rPr>
                    <w:t>灰霉病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B07D6A">
                  <w:r>
                    <w:rPr>
                      <w:rStyle w:val="11"/>
                      <w:rFonts w:hint="eastAsia"/>
                    </w:rPr>
                    <w:t>32-48毫升/亩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5A3162">
                  <w:r>
                    <w:rPr>
                      <w:rStyle w:val="11"/>
                      <w:rFonts w:hint="eastAsia"/>
                    </w:rPr>
                    <w:t>喷雾</w:t>
                  </w:r>
                </w:p>
              </w:tc>
            </w:tr>
          </w:tbl>
          <w:p w14:paraId="1E8FF643">
            <w:pPr>
              <w:rPr>
                <w:rFonts w:ascii="Times New Roman" w:hAnsi="Times New Roman" w:cs="Times New Roman"/>
                <w:sz w:val="20"/>
                <w:szCs w:val="20"/>
              </w:rPr>
            </w:pPr>
          </w:p>
        </w:tc>
      </w:tr>
      <w:tr w14:paraId="0B05B99B">
        <w:tblPrEx>
          <w:tblCellMar>
            <w:top w:w="0" w:type="dxa"/>
            <w:left w:w="0" w:type="dxa"/>
            <w:bottom w:w="0" w:type="dxa"/>
            <w:right w:w="0" w:type="dxa"/>
          </w:tblCellMar>
        </w:tblPrEx>
        <w:trPr>
          <w:wBefore w:w="0" w:type="auto"/>
          <w:tblCellSpacing w:w="0" w:type="dxa"/>
        </w:trPr>
        <w:tc>
          <w:tcPr>
            <w:tcW w:w="0" w:type="auto"/>
            <w:noWrap w:val="0"/>
            <w:vAlign w:val="center"/>
          </w:tcPr>
          <w:p w14:paraId="66B37061">
            <w:r>
              <w:rPr>
                <w:rStyle w:val="10"/>
                <w:rFonts w:hint="eastAsia"/>
              </w:rPr>
              <w:t>使用技术要求:</w:t>
            </w:r>
            <w:r>
              <w:rPr>
                <w:rFonts w:hint="eastAsia"/>
              </w:rPr>
              <w:br w:type="textWrapping"/>
            </w:r>
            <w:r>
              <w:rPr>
                <w:rStyle w:val="11"/>
                <w:rFonts w:hint="eastAsia"/>
              </w:rPr>
              <w:t>1. 本品适宜施药时期为甜瓜灰霉病发病前或发病初期施药，间隔7-10天左右施药1次，共施药3次，注意喷雾均匀、周到，以确保药效。2. 大风天或预计1小时内降雨，请勿施药。3. 本品在甜瓜上使用时的安全间隔期为7天，每季作物最多使用3次。</w:t>
            </w:r>
          </w:p>
        </w:tc>
      </w:tr>
      <w:tr w14:paraId="112F46F2">
        <w:tblPrEx>
          <w:tblCellMar>
            <w:top w:w="0" w:type="dxa"/>
            <w:left w:w="0" w:type="dxa"/>
            <w:bottom w:w="0" w:type="dxa"/>
            <w:right w:w="0" w:type="dxa"/>
          </w:tblCellMar>
        </w:tblPrEx>
        <w:trPr>
          <w:wBefore w:w="0" w:type="auto"/>
          <w:tblCellSpacing w:w="0" w:type="dxa"/>
        </w:trPr>
        <w:tc>
          <w:tcPr>
            <w:tcW w:w="0" w:type="auto"/>
            <w:noWrap w:val="0"/>
            <w:vAlign w:val="center"/>
          </w:tcPr>
          <w:p w14:paraId="055AF884">
            <w:r>
              <w:rPr>
                <w:rStyle w:val="10"/>
                <w:rFonts w:hint="eastAsia"/>
              </w:rPr>
              <w:t>产品性能:</w:t>
            </w:r>
            <w:r>
              <w:rPr>
                <w:rFonts w:hint="eastAsia"/>
              </w:rPr>
              <w:br w:type="textWrapping"/>
            </w:r>
            <w:r>
              <w:rPr>
                <w:rStyle w:val="11"/>
                <w:rFonts w:hint="eastAsia"/>
              </w:rPr>
              <w:t>本品是由吡唑醚菌酯与异菌脲复配而成的杀菌剂。吡唑醚菌酯为线粒体呼吸抑制剂，具有保护、治疗、叶片渗透传导作用；异菌脲为二羧甲酰亚胺接触性杀菌剂，具有保护和治疗作用。两者混配，优势互补，用于甜瓜灰霉病有较好的防治效果。</w:t>
            </w:r>
          </w:p>
        </w:tc>
      </w:tr>
      <w:tr w14:paraId="7B1BF58A">
        <w:tblPrEx>
          <w:tblCellMar>
            <w:top w:w="0" w:type="dxa"/>
            <w:left w:w="0" w:type="dxa"/>
            <w:bottom w:w="0" w:type="dxa"/>
            <w:right w:w="0" w:type="dxa"/>
          </w:tblCellMar>
        </w:tblPrEx>
        <w:trPr>
          <w:wBefore w:w="0" w:type="auto"/>
          <w:tblCellSpacing w:w="0" w:type="dxa"/>
        </w:trPr>
        <w:tc>
          <w:tcPr>
            <w:tcW w:w="0" w:type="auto"/>
            <w:noWrap w:val="0"/>
            <w:vAlign w:val="center"/>
          </w:tcPr>
          <w:p w14:paraId="6CE36F20">
            <w:r>
              <w:rPr>
                <w:rStyle w:val="10"/>
                <w:rFonts w:hint="eastAsia"/>
              </w:rPr>
              <w:t>注意事项：</w:t>
            </w:r>
            <w:r>
              <w:rPr>
                <w:rFonts w:hint="eastAsia"/>
              </w:rPr>
              <w:br w:type="textWrapping"/>
            </w:r>
            <w:r>
              <w:rPr>
                <w:rStyle w:val="11"/>
                <w:rFonts w:hint="eastAsia"/>
              </w:rPr>
              <w:t>1. 严格按规定用药量和方法使用。 2. 建议与其他作用机制不同的杀菌剂轮换使用，以延缓抗性产生。 3. 本品对鱼、家蚕、大型溞、藻有毒，蚕室及桑园附近禁用；水产养殖区、河塘等水体附近禁用，禁止在河塘等水体中清洗施药器具。 4. 本品对眼睛有刺激性，使用时避免接触眼睛，穿戴长衣、长裤、帽子、口罩、手套等防护措施。施药期间不可吃东西、饮水、吸烟等；施药后应及时洗手、洗脸并洗涤施药时穿着的衣物。 5. 用药后包装物及用过的容器应妥善处理，不可做他用，也不可随意丢弃。 6. 孕妇及哺乳期妇女禁止接触本品。</w:t>
            </w:r>
          </w:p>
        </w:tc>
      </w:tr>
      <w:tr w14:paraId="50C778DD">
        <w:tblPrEx>
          <w:tblCellMar>
            <w:top w:w="0" w:type="dxa"/>
            <w:left w:w="0" w:type="dxa"/>
            <w:bottom w:w="0" w:type="dxa"/>
            <w:right w:w="0" w:type="dxa"/>
          </w:tblCellMar>
        </w:tblPrEx>
        <w:trPr>
          <w:wBefore w:w="0" w:type="auto"/>
          <w:tblCellSpacing w:w="0" w:type="dxa"/>
        </w:trPr>
        <w:tc>
          <w:tcPr>
            <w:tcW w:w="0" w:type="auto"/>
            <w:noWrap w:val="0"/>
            <w:vAlign w:val="center"/>
          </w:tcPr>
          <w:p w14:paraId="5CD38C81">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30DAF724">
        <w:tblPrEx>
          <w:tblCellMar>
            <w:top w:w="0" w:type="dxa"/>
            <w:left w:w="0" w:type="dxa"/>
            <w:bottom w:w="0" w:type="dxa"/>
            <w:right w:w="0" w:type="dxa"/>
          </w:tblCellMar>
        </w:tblPrEx>
        <w:trPr>
          <w:wBefore w:w="0" w:type="auto"/>
          <w:tblCellSpacing w:w="0" w:type="dxa"/>
        </w:trPr>
        <w:tc>
          <w:tcPr>
            <w:tcW w:w="0" w:type="auto"/>
            <w:noWrap w:val="0"/>
            <w:vAlign w:val="center"/>
          </w:tcPr>
          <w:p w14:paraId="0E274C8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08278C10">
        <w:tblPrEx>
          <w:tblCellMar>
            <w:top w:w="0" w:type="dxa"/>
            <w:left w:w="0" w:type="dxa"/>
            <w:bottom w:w="0" w:type="dxa"/>
            <w:right w:w="0" w:type="dxa"/>
          </w:tblCellMar>
        </w:tblPrEx>
        <w:trPr>
          <w:wBefore w:w="0" w:type="auto"/>
          <w:tblCellSpacing w:w="0" w:type="dxa"/>
        </w:trPr>
        <w:tc>
          <w:tcPr>
            <w:tcW w:w="0" w:type="auto"/>
            <w:noWrap w:val="0"/>
            <w:vAlign w:val="center"/>
          </w:tcPr>
          <w:p w14:paraId="7B2C6A88">
            <w:r>
              <w:rPr>
                <w:rStyle w:val="10"/>
                <w:rFonts w:hint="eastAsia"/>
              </w:rPr>
              <w:t>质量保证期：</w:t>
            </w:r>
            <w:r>
              <w:rPr>
                <w:rStyle w:val="11"/>
                <w:rFonts w:hint="eastAsia"/>
              </w:rPr>
              <w:t>2年</w:t>
            </w:r>
          </w:p>
        </w:tc>
      </w:tr>
      <w:tr w14:paraId="6C2F9D8C">
        <w:tblPrEx>
          <w:tblCellMar>
            <w:top w:w="0" w:type="dxa"/>
            <w:left w:w="0" w:type="dxa"/>
            <w:bottom w:w="0" w:type="dxa"/>
            <w:right w:w="0" w:type="dxa"/>
          </w:tblCellMar>
        </w:tblPrEx>
        <w:trPr>
          <w:wBefore w:w="0" w:type="auto"/>
          <w:tblCellSpacing w:w="0" w:type="dxa"/>
        </w:trPr>
        <w:tc>
          <w:tcPr>
            <w:tcW w:w="0" w:type="auto"/>
            <w:noWrap w:val="0"/>
            <w:vAlign w:val="center"/>
          </w:tcPr>
          <w:p w14:paraId="56294213">
            <w:r>
              <w:rPr>
                <w:rStyle w:val="10"/>
                <w:rFonts w:hint="eastAsia"/>
              </w:rPr>
              <w:t>备注：</w:t>
            </w:r>
          </w:p>
        </w:tc>
      </w:tr>
    </w:tbl>
    <w:p w14:paraId="7AA323D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A238B05">
        <w:tblPrEx>
          <w:tblCellMar>
            <w:top w:w="0" w:type="dxa"/>
            <w:left w:w="0" w:type="dxa"/>
            <w:bottom w:w="0" w:type="dxa"/>
            <w:right w:w="0" w:type="dxa"/>
          </w:tblCellMar>
        </w:tblPrEx>
        <w:trPr>
          <w:wBefore w:w="0" w:type="auto"/>
          <w:tblCellSpacing w:w="0" w:type="dxa"/>
        </w:trPr>
        <w:tc>
          <w:tcPr>
            <w:tcW w:w="0" w:type="auto"/>
            <w:noWrap w:val="0"/>
            <w:vAlign w:val="center"/>
          </w:tcPr>
          <w:p w14:paraId="498B7830">
            <w:r>
              <w:rPr>
                <w:rStyle w:val="10"/>
                <w:rFonts w:hint="eastAsia"/>
              </w:rPr>
              <w:t>登记证号：</w:t>
            </w:r>
            <w:r>
              <w:rPr>
                <w:rFonts w:hint="eastAsia"/>
              </w:rPr>
              <w:t>WP20130102</w:t>
            </w:r>
          </w:p>
        </w:tc>
      </w:tr>
      <w:tr w14:paraId="54324B2A">
        <w:tblPrEx>
          <w:tblCellMar>
            <w:top w:w="0" w:type="dxa"/>
            <w:left w:w="0" w:type="dxa"/>
            <w:bottom w:w="0" w:type="dxa"/>
            <w:right w:w="0" w:type="dxa"/>
          </w:tblCellMar>
        </w:tblPrEx>
        <w:trPr>
          <w:wBefore w:w="0" w:type="auto"/>
          <w:tblCellSpacing w:w="0" w:type="dxa"/>
        </w:trPr>
        <w:tc>
          <w:tcPr>
            <w:tcW w:w="0" w:type="auto"/>
            <w:noWrap w:val="0"/>
            <w:vAlign w:val="center"/>
          </w:tcPr>
          <w:p w14:paraId="497F9BE5">
            <w:r>
              <w:rPr>
                <w:rStyle w:val="10"/>
                <w:rFonts w:hint="eastAsia"/>
              </w:rPr>
              <w:t>登记证持有人：</w:t>
            </w:r>
            <w:r>
              <w:rPr>
                <w:rFonts w:hint="eastAsia"/>
              </w:rPr>
              <w:t>江苏龙灯化学有限公司</w:t>
            </w:r>
          </w:p>
        </w:tc>
      </w:tr>
      <w:tr w14:paraId="4D2841BE">
        <w:tblPrEx>
          <w:tblCellMar>
            <w:top w:w="0" w:type="dxa"/>
            <w:left w:w="0" w:type="dxa"/>
            <w:bottom w:w="0" w:type="dxa"/>
            <w:right w:w="0" w:type="dxa"/>
          </w:tblCellMar>
        </w:tblPrEx>
        <w:trPr>
          <w:wBefore w:w="0" w:type="auto"/>
          <w:tblCellSpacing w:w="0" w:type="dxa"/>
        </w:trPr>
        <w:tc>
          <w:tcPr>
            <w:tcW w:w="0" w:type="auto"/>
            <w:noWrap w:val="0"/>
            <w:vAlign w:val="center"/>
          </w:tcPr>
          <w:p w14:paraId="0151B590">
            <w:r>
              <w:rPr>
                <w:rStyle w:val="10"/>
                <w:rFonts w:hint="eastAsia"/>
              </w:rPr>
              <w:t>农药名称：</w:t>
            </w:r>
            <w:r>
              <w:rPr>
                <w:rFonts w:hint="eastAsia"/>
              </w:rPr>
              <w:t>吡丙醚</w:t>
            </w:r>
          </w:p>
        </w:tc>
      </w:tr>
      <w:tr w14:paraId="0240E40D">
        <w:tblPrEx>
          <w:tblCellMar>
            <w:top w:w="0" w:type="dxa"/>
            <w:left w:w="0" w:type="dxa"/>
            <w:bottom w:w="0" w:type="dxa"/>
            <w:right w:w="0" w:type="dxa"/>
          </w:tblCellMar>
        </w:tblPrEx>
        <w:trPr>
          <w:wBefore w:w="0" w:type="auto"/>
          <w:tblCellSpacing w:w="0" w:type="dxa"/>
        </w:trPr>
        <w:tc>
          <w:tcPr>
            <w:tcW w:w="0" w:type="auto"/>
            <w:noWrap w:val="0"/>
            <w:vAlign w:val="center"/>
          </w:tcPr>
          <w:p w14:paraId="4C624DB5">
            <w:r>
              <w:rPr>
                <w:rStyle w:val="10"/>
                <w:rFonts w:hint="eastAsia"/>
              </w:rPr>
              <w:t>剂型：</w:t>
            </w:r>
            <w:r>
              <w:rPr>
                <w:rFonts w:hint="eastAsia"/>
              </w:rPr>
              <w:t>乳油</w:t>
            </w:r>
          </w:p>
        </w:tc>
      </w:tr>
      <w:tr w14:paraId="2B728EE7">
        <w:tblPrEx>
          <w:tblCellMar>
            <w:top w:w="0" w:type="dxa"/>
            <w:left w:w="0" w:type="dxa"/>
            <w:bottom w:w="0" w:type="dxa"/>
            <w:right w:w="0" w:type="dxa"/>
          </w:tblCellMar>
        </w:tblPrEx>
        <w:trPr>
          <w:wBefore w:w="0" w:type="auto"/>
          <w:tblCellSpacing w:w="0" w:type="dxa"/>
        </w:trPr>
        <w:tc>
          <w:tcPr>
            <w:tcW w:w="0" w:type="auto"/>
            <w:noWrap w:val="0"/>
            <w:vAlign w:val="center"/>
          </w:tcPr>
          <w:p w14:paraId="2F3A2BB1">
            <w:r>
              <w:rPr>
                <w:rStyle w:val="10"/>
                <w:rFonts w:hint="eastAsia"/>
              </w:rPr>
              <w:t>毒性及其标识：</w:t>
            </w:r>
            <w:r>
              <w:rPr>
                <w:rFonts w:hint="eastAsia"/>
              </w:rPr>
              <w:t xml:space="preserve"> </w:t>
            </w:r>
            <w:r>
              <w:rPr>
                <w:lang/>
              </w:rPr>
              <w:drawing>
                <wp:inline distT="0" distB="0" distL="114300" distR="114300">
                  <wp:extent cx="476250" cy="323850"/>
                  <wp:effectExtent l="0" t="0" r="0" b="0"/>
                  <wp:docPr id="454" name="图片 45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F9F0EB1">
        <w:tblPrEx>
          <w:tblCellMar>
            <w:top w:w="0" w:type="dxa"/>
            <w:left w:w="0" w:type="dxa"/>
            <w:bottom w:w="0" w:type="dxa"/>
            <w:right w:w="0" w:type="dxa"/>
          </w:tblCellMar>
        </w:tblPrEx>
        <w:trPr>
          <w:wBefore w:w="0" w:type="auto"/>
          <w:tblCellSpacing w:w="0" w:type="dxa"/>
        </w:trPr>
        <w:tc>
          <w:tcPr>
            <w:tcW w:w="0" w:type="auto"/>
            <w:noWrap w:val="0"/>
            <w:vAlign w:val="center"/>
          </w:tcPr>
          <w:p w14:paraId="16B37641">
            <w:r>
              <w:rPr>
                <w:rStyle w:val="10"/>
                <w:rFonts w:hint="eastAsia"/>
              </w:rPr>
              <w:t>总有效成分含量：</w:t>
            </w:r>
            <w:r>
              <w:rPr>
                <w:rFonts w:hint="eastAsia"/>
              </w:rPr>
              <w:t>10%</w:t>
            </w:r>
          </w:p>
        </w:tc>
      </w:tr>
      <w:tr w14:paraId="3CAE2465">
        <w:tblPrEx>
          <w:tblCellMar>
            <w:top w:w="0" w:type="dxa"/>
            <w:left w:w="0" w:type="dxa"/>
            <w:bottom w:w="0" w:type="dxa"/>
            <w:right w:w="0" w:type="dxa"/>
          </w:tblCellMar>
        </w:tblPrEx>
        <w:trPr>
          <w:wBefore w:w="0" w:type="auto"/>
          <w:tblCellSpacing w:w="0" w:type="dxa"/>
        </w:trPr>
        <w:tc>
          <w:tcPr>
            <w:tcW w:w="0" w:type="auto"/>
            <w:noWrap w:val="0"/>
            <w:vAlign w:val="center"/>
          </w:tcPr>
          <w:p w14:paraId="3BC19E85">
            <w:r>
              <w:rPr>
                <w:rFonts w:hint="eastAsia"/>
              </w:rPr>
              <w:t xml:space="preserve">有效成分及其含量： </w:t>
            </w:r>
          </w:p>
          <w:p w14:paraId="309A0392">
            <w:r>
              <w:rPr>
                <w:rFonts w:hint="eastAsia"/>
              </w:rPr>
              <w:t xml:space="preserve">    吡丙醚10%    </w:t>
            </w:r>
          </w:p>
        </w:tc>
      </w:tr>
      <w:tr w14:paraId="11938B40">
        <w:tblPrEx>
          <w:tblCellMar>
            <w:top w:w="0" w:type="dxa"/>
            <w:left w:w="0" w:type="dxa"/>
            <w:bottom w:w="0" w:type="dxa"/>
            <w:right w:w="0" w:type="dxa"/>
          </w:tblCellMar>
        </w:tblPrEx>
        <w:trPr>
          <w:wBefore w:w="0" w:type="auto"/>
          <w:tblCellSpacing w:w="0" w:type="dxa"/>
        </w:trPr>
        <w:tc>
          <w:tcPr>
            <w:tcW w:w="0" w:type="auto"/>
            <w:noWrap w:val="0"/>
            <w:vAlign w:val="center"/>
          </w:tcPr>
          <w:p w14:paraId="4031E0C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5809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74C80A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0102BD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DEDFED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EA04137">
                  <w:r>
                    <w:rPr>
                      <w:rStyle w:val="11"/>
                      <w:rFonts w:hint="eastAsia"/>
                    </w:rPr>
                    <w:t>施用方式</w:t>
                  </w:r>
                </w:p>
              </w:tc>
            </w:tr>
            <w:tr w14:paraId="67503C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F11C75E">
                  <w:r>
                    <w:rPr>
                      <w:rStyle w:val="11"/>
                      <w:rFonts w:hint="eastAsia"/>
                    </w:rPr>
                    <w:t>卫生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224876">
                  <w:r>
                    <w:rPr>
                      <w:rStyle w:val="11"/>
                      <w:rFonts w:hint="eastAsia"/>
                    </w:rPr>
                    <w:t>蝇(幼虫)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6C5101">
                  <w:r>
                    <w:rPr>
                      <w:rStyle w:val="11"/>
                      <w:rFonts w:hint="eastAsia"/>
                    </w:rPr>
                    <w:t>1克/平方米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1944A5">
                  <w:r>
                    <w:rPr>
                      <w:rStyle w:val="11"/>
                      <w:rFonts w:hint="eastAsia"/>
                    </w:rPr>
                    <w:t>喷洒</w:t>
                  </w:r>
                </w:p>
              </w:tc>
            </w:tr>
          </w:tbl>
          <w:p w14:paraId="204227F4">
            <w:pPr>
              <w:rPr>
                <w:rFonts w:ascii="Times New Roman" w:hAnsi="Times New Roman" w:cs="Times New Roman"/>
                <w:sz w:val="20"/>
                <w:szCs w:val="20"/>
              </w:rPr>
            </w:pPr>
          </w:p>
        </w:tc>
      </w:tr>
      <w:tr w14:paraId="45B7C517">
        <w:tblPrEx>
          <w:tblCellMar>
            <w:top w:w="0" w:type="dxa"/>
            <w:left w:w="0" w:type="dxa"/>
            <w:bottom w:w="0" w:type="dxa"/>
            <w:right w:w="0" w:type="dxa"/>
          </w:tblCellMar>
        </w:tblPrEx>
        <w:trPr>
          <w:wBefore w:w="0" w:type="auto"/>
          <w:tblCellSpacing w:w="0" w:type="dxa"/>
        </w:trPr>
        <w:tc>
          <w:tcPr>
            <w:tcW w:w="0" w:type="auto"/>
            <w:noWrap w:val="0"/>
            <w:vAlign w:val="center"/>
          </w:tcPr>
          <w:p w14:paraId="127DFCF5">
            <w:r>
              <w:rPr>
                <w:rStyle w:val="10"/>
                <w:rFonts w:hint="eastAsia"/>
              </w:rPr>
              <w:t>使用技术要求:</w:t>
            </w:r>
            <w:r>
              <w:rPr>
                <w:rFonts w:hint="eastAsia"/>
              </w:rPr>
              <w:br w:type="textWrapping"/>
            </w:r>
            <w:r>
              <w:rPr>
                <w:rStyle w:val="11"/>
                <w:rFonts w:hint="eastAsia"/>
              </w:rPr>
              <w:t>1、将本品按上述用药量，稀释500倍用于蝇幼虫聚集区即可。2、本品不应与碱性物质混合使用。</w:t>
            </w:r>
          </w:p>
        </w:tc>
      </w:tr>
      <w:tr w14:paraId="7D23E5C4">
        <w:tblPrEx>
          <w:tblCellMar>
            <w:top w:w="0" w:type="dxa"/>
            <w:left w:w="0" w:type="dxa"/>
            <w:bottom w:w="0" w:type="dxa"/>
            <w:right w:w="0" w:type="dxa"/>
          </w:tblCellMar>
        </w:tblPrEx>
        <w:trPr>
          <w:wBefore w:w="0" w:type="auto"/>
          <w:tblCellSpacing w:w="0" w:type="dxa"/>
        </w:trPr>
        <w:tc>
          <w:tcPr>
            <w:tcW w:w="0" w:type="auto"/>
            <w:noWrap w:val="0"/>
            <w:vAlign w:val="center"/>
          </w:tcPr>
          <w:p w14:paraId="53652652">
            <w:r>
              <w:rPr>
                <w:rStyle w:val="10"/>
                <w:rFonts w:hint="eastAsia"/>
              </w:rPr>
              <w:t>产品性能:</w:t>
            </w:r>
            <w:r>
              <w:rPr>
                <w:rFonts w:hint="eastAsia"/>
              </w:rPr>
              <w:br w:type="textWrapping"/>
            </w:r>
            <w:r>
              <w:rPr>
                <w:rStyle w:val="11"/>
                <w:rFonts w:hint="eastAsia"/>
              </w:rPr>
              <w:t>本品所含吡丙醚是一种保幼激素类型的几丁质合成抑制剂，具有杀卵作用，还具有内吸性转移活性。</w:t>
            </w:r>
          </w:p>
        </w:tc>
      </w:tr>
      <w:tr w14:paraId="32F8A10D">
        <w:tblPrEx>
          <w:tblCellMar>
            <w:top w:w="0" w:type="dxa"/>
            <w:left w:w="0" w:type="dxa"/>
            <w:bottom w:w="0" w:type="dxa"/>
            <w:right w:w="0" w:type="dxa"/>
          </w:tblCellMar>
        </w:tblPrEx>
        <w:trPr>
          <w:wBefore w:w="0" w:type="auto"/>
          <w:tblCellSpacing w:w="0" w:type="dxa"/>
        </w:trPr>
        <w:tc>
          <w:tcPr>
            <w:tcW w:w="0" w:type="auto"/>
            <w:noWrap w:val="0"/>
            <w:vAlign w:val="center"/>
          </w:tcPr>
          <w:p w14:paraId="16BC374A">
            <w:r>
              <w:rPr>
                <w:rStyle w:val="10"/>
                <w:rFonts w:hint="eastAsia"/>
              </w:rPr>
              <w:t>注意事项：</w:t>
            </w:r>
            <w:r>
              <w:rPr>
                <w:rFonts w:hint="eastAsia"/>
              </w:rPr>
              <w:br w:type="textWrapping"/>
            </w:r>
            <w:r>
              <w:rPr>
                <w:rStyle w:val="11"/>
                <w:rFonts w:hint="eastAsia"/>
              </w:rPr>
              <w:t>1、应现配现用，配好的药液不宜存放太久。2、本品对鱼类等水生生物有毒，喷洒时防止药雾飘移污染，远离水产养殖区、河塘等水域施药，禁止在河塘等水体中清洗施药器具。虽然对家蚕、蜜蜂为低毒，施药期间应密切关注对附近蜂群的影响，在喷洒时注意避开蜜源作物花期、桑园、蚕室附近。本品仅用于室外。3、使用本品时应穿戴防护服和手套，避免吸入药液。严格按照“农药安全使用规定”要求操作。4、施药时严禁吸烟和饮食，不得迎风施药，避免直接接触药液，防止由口鼻吸入；施药后应清洗手、脸及身体被污染部分和衣服。5、勿向人体，食物喷洒。6、过敏者禁用，使用中有任何不良反应请及时就医。7、孕妇及哺乳期妇女避免接触该药剂。</w:t>
            </w:r>
          </w:p>
        </w:tc>
      </w:tr>
      <w:tr w14:paraId="49156051">
        <w:tblPrEx>
          <w:tblCellMar>
            <w:top w:w="0" w:type="dxa"/>
            <w:left w:w="0" w:type="dxa"/>
            <w:bottom w:w="0" w:type="dxa"/>
            <w:right w:w="0" w:type="dxa"/>
          </w:tblCellMar>
        </w:tblPrEx>
        <w:trPr>
          <w:wBefore w:w="0" w:type="auto"/>
          <w:tblCellSpacing w:w="0" w:type="dxa"/>
        </w:trPr>
        <w:tc>
          <w:tcPr>
            <w:tcW w:w="0" w:type="auto"/>
            <w:noWrap w:val="0"/>
            <w:vAlign w:val="center"/>
          </w:tcPr>
          <w:p w14:paraId="276E0E65">
            <w:r>
              <w:rPr>
                <w:rStyle w:val="10"/>
                <w:rFonts w:hint="eastAsia"/>
              </w:rPr>
              <w:t>中毒急救措施：</w:t>
            </w:r>
            <w:r>
              <w:rPr>
                <w:rFonts w:hint="eastAsia"/>
              </w:rPr>
              <w:br w:type="textWrapping"/>
            </w:r>
            <w:r>
              <w:rPr>
                <w:rStyle w:val="11"/>
                <w:rFonts w:hint="eastAsia"/>
              </w:rPr>
              <w:t>眼睛接触：用大量的水冲洗直至刺激消退，如果刺激不退，请立即就医。皮肤接触：用大量的水冲洗，尽可能用肥皂或洗涤剂洗涤，立即脱去受污染的衣服、鞋子，流动的水冲洗干净。吸入：在急救前需戴上合适的呼吸保护器。立即将中毒者转移到有新鲜空气的地方，并就医，如果停止呼吸，进行人工呼吸，若呼吸困难，给氧并就医。 食入：若发生吞服，用水漱嘴。保持休息。不能给中毒者用嘴吃任何东西，勿催吐。立即就医。 无解毒药，对症治疗。如误服或在接触药剂后有不适症状，应立即脱离接触环境，并立即携标签到医院诊治。</w:t>
            </w:r>
          </w:p>
        </w:tc>
      </w:tr>
      <w:tr w14:paraId="06FC63E3">
        <w:tblPrEx>
          <w:tblCellMar>
            <w:top w:w="0" w:type="dxa"/>
            <w:left w:w="0" w:type="dxa"/>
            <w:bottom w:w="0" w:type="dxa"/>
            <w:right w:w="0" w:type="dxa"/>
          </w:tblCellMar>
        </w:tblPrEx>
        <w:trPr>
          <w:wBefore w:w="0" w:type="auto"/>
          <w:tblCellSpacing w:w="0" w:type="dxa"/>
        </w:trPr>
        <w:tc>
          <w:tcPr>
            <w:tcW w:w="0" w:type="auto"/>
            <w:noWrap w:val="0"/>
            <w:vAlign w:val="center"/>
          </w:tcPr>
          <w:p w14:paraId="10D43802">
            <w:r>
              <w:rPr>
                <w:rStyle w:val="10"/>
                <w:rFonts w:hint="eastAsia"/>
              </w:rPr>
              <w:t>储存和运输方法：</w:t>
            </w:r>
            <w:r>
              <w:rPr>
                <w:rFonts w:hint="eastAsia"/>
              </w:rPr>
              <w:br w:type="textWrapping"/>
            </w:r>
            <w:r>
              <w:rPr>
                <w:rStyle w:val="11"/>
                <w:rFonts w:hint="eastAsia"/>
              </w:rPr>
              <w:t>1、产品密封后存放在阴凉、干燥、通风处，不要直接置于阳光下，或过热，或低于0℃的地方。2、远离家禽，不能与食品、饮料、粮食、饲料和种子混合贮存运输。3、远离儿童，贮存于儿童接触不到的地方。搬运及运输过程中，轻拿轻放，不得倒置。</w:t>
            </w:r>
          </w:p>
        </w:tc>
      </w:tr>
      <w:tr w14:paraId="673E67ED">
        <w:tblPrEx>
          <w:tblCellMar>
            <w:top w:w="0" w:type="dxa"/>
            <w:left w:w="0" w:type="dxa"/>
            <w:bottom w:w="0" w:type="dxa"/>
            <w:right w:w="0" w:type="dxa"/>
          </w:tblCellMar>
        </w:tblPrEx>
        <w:trPr>
          <w:wBefore w:w="0" w:type="auto"/>
          <w:tblCellSpacing w:w="0" w:type="dxa"/>
        </w:trPr>
        <w:tc>
          <w:tcPr>
            <w:tcW w:w="0" w:type="auto"/>
            <w:noWrap w:val="0"/>
            <w:vAlign w:val="center"/>
          </w:tcPr>
          <w:p w14:paraId="79EC64E8">
            <w:r>
              <w:rPr>
                <w:rStyle w:val="10"/>
                <w:rFonts w:hint="eastAsia"/>
              </w:rPr>
              <w:t>质量保证期：</w:t>
            </w:r>
            <w:r>
              <w:rPr>
                <w:rStyle w:val="11"/>
                <w:rFonts w:hint="eastAsia"/>
              </w:rPr>
              <w:t>2年</w:t>
            </w:r>
          </w:p>
        </w:tc>
      </w:tr>
      <w:tr w14:paraId="1282BA10">
        <w:tblPrEx>
          <w:tblCellMar>
            <w:top w:w="0" w:type="dxa"/>
            <w:left w:w="0" w:type="dxa"/>
            <w:bottom w:w="0" w:type="dxa"/>
            <w:right w:w="0" w:type="dxa"/>
          </w:tblCellMar>
        </w:tblPrEx>
        <w:trPr>
          <w:wBefore w:w="0" w:type="auto"/>
          <w:tblCellSpacing w:w="0" w:type="dxa"/>
        </w:trPr>
        <w:tc>
          <w:tcPr>
            <w:tcW w:w="0" w:type="auto"/>
            <w:noWrap w:val="0"/>
            <w:vAlign w:val="center"/>
          </w:tcPr>
          <w:p w14:paraId="7115D361">
            <w:r>
              <w:rPr>
                <w:rStyle w:val="10"/>
                <w:rFonts w:hint="eastAsia"/>
              </w:rPr>
              <w:t>备注：</w:t>
            </w:r>
            <w:r>
              <w:rPr>
                <w:rFonts w:hint="eastAsia"/>
              </w:rPr>
              <w:br w:type="textWrapping"/>
            </w:r>
            <w:r>
              <w:rPr>
                <w:rStyle w:val="11"/>
                <w:rFonts w:hint="eastAsia"/>
              </w:rPr>
              <w:t>吡丙醚100克/升。</w:t>
            </w:r>
          </w:p>
        </w:tc>
      </w:tr>
    </w:tbl>
    <w:p w14:paraId="42B4D37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58C398D">
        <w:tblPrEx>
          <w:tblCellMar>
            <w:top w:w="0" w:type="dxa"/>
            <w:left w:w="0" w:type="dxa"/>
            <w:bottom w:w="0" w:type="dxa"/>
            <w:right w:w="0" w:type="dxa"/>
          </w:tblCellMar>
        </w:tblPrEx>
        <w:trPr>
          <w:wBefore w:w="0" w:type="auto"/>
          <w:tblCellSpacing w:w="0" w:type="dxa"/>
        </w:trPr>
        <w:tc>
          <w:tcPr>
            <w:tcW w:w="0" w:type="auto"/>
            <w:noWrap w:val="0"/>
            <w:vAlign w:val="center"/>
          </w:tcPr>
          <w:p w14:paraId="04C68D7A">
            <w:r>
              <w:rPr>
                <w:rStyle w:val="10"/>
                <w:rFonts w:hint="eastAsia"/>
              </w:rPr>
              <w:t>登记证号：</w:t>
            </w:r>
            <w:r>
              <w:rPr>
                <w:rFonts w:hint="eastAsia"/>
              </w:rPr>
              <w:t>PD20092200</w:t>
            </w:r>
          </w:p>
        </w:tc>
      </w:tr>
      <w:tr w14:paraId="67978DCD">
        <w:tblPrEx>
          <w:tblCellMar>
            <w:top w:w="0" w:type="dxa"/>
            <w:left w:w="0" w:type="dxa"/>
            <w:bottom w:w="0" w:type="dxa"/>
            <w:right w:w="0" w:type="dxa"/>
          </w:tblCellMar>
        </w:tblPrEx>
        <w:trPr>
          <w:wBefore w:w="0" w:type="auto"/>
          <w:tblCellSpacing w:w="0" w:type="dxa"/>
        </w:trPr>
        <w:tc>
          <w:tcPr>
            <w:tcW w:w="0" w:type="auto"/>
            <w:noWrap w:val="0"/>
            <w:vAlign w:val="center"/>
          </w:tcPr>
          <w:p w14:paraId="106FD116">
            <w:r>
              <w:rPr>
                <w:rStyle w:val="10"/>
                <w:rFonts w:hint="eastAsia"/>
              </w:rPr>
              <w:t>登记证持有人：</w:t>
            </w:r>
            <w:r>
              <w:rPr>
                <w:rFonts w:hint="eastAsia"/>
              </w:rPr>
              <w:t>江苏龙灯化学有限公司</w:t>
            </w:r>
          </w:p>
        </w:tc>
      </w:tr>
      <w:tr w14:paraId="77DC6365">
        <w:tblPrEx>
          <w:tblCellMar>
            <w:top w:w="0" w:type="dxa"/>
            <w:left w:w="0" w:type="dxa"/>
            <w:bottom w:w="0" w:type="dxa"/>
            <w:right w:w="0" w:type="dxa"/>
          </w:tblCellMar>
        </w:tblPrEx>
        <w:trPr>
          <w:wBefore w:w="0" w:type="auto"/>
          <w:tblCellSpacing w:w="0" w:type="dxa"/>
        </w:trPr>
        <w:tc>
          <w:tcPr>
            <w:tcW w:w="0" w:type="auto"/>
            <w:noWrap w:val="0"/>
            <w:vAlign w:val="center"/>
          </w:tcPr>
          <w:p w14:paraId="7EFD8C6C">
            <w:r>
              <w:rPr>
                <w:rStyle w:val="10"/>
                <w:rFonts w:hint="eastAsia"/>
              </w:rPr>
              <w:t>农药名称：</w:t>
            </w:r>
            <w:r>
              <w:rPr>
                <w:rFonts w:hint="eastAsia"/>
              </w:rPr>
              <w:t>吡虫啉</w:t>
            </w:r>
          </w:p>
        </w:tc>
      </w:tr>
      <w:tr w14:paraId="5F1F6825">
        <w:tblPrEx>
          <w:tblCellMar>
            <w:top w:w="0" w:type="dxa"/>
            <w:left w:w="0" w:type="dxa"/>
            <w:bottom w:w="0" w:type="dxa"/>
            <w:right w:w="0" w:type="dxa"/>
          </w:tblCellMar>
        </w:tblPrEx>
        <w:trPr>
          <w:wBefore w:w="0" w:type="auto"/>
          <w:tblCellSpacing w:w="0" w:type="dxa"/>
        </w:trPr>
        <w:tc>
          <w:tcPr>
            <w:tcW w:w="0" w:type="auto"/>
            <w:noWrap w:val="0"/>
            <w:vAlign w:val="center"/>
          </w:tcPr>
          <w:p w14:paraId="5995892F">
            <w:r>
              <w:rPr>
                <w:rStyle w:val="10"/>
                <w:rFonts w:hint="eastAsia"/>
              </w:rPr>
              <w:t>剂型：</w:t>
            </w:r>
            <w:r>
              <w:rPr>
                <w:rFonts w:hint="eastAsia"/>
              </w:rPr>
              <w:t>悬浮剂</w:t>
            </w:r>
          </w:p>
        </w:tc>
      </w:tr>
      <w:tr w14:paraId="66D18FB9">
        <w:tblPrEx>
          <w:tblCellMar>
            <w:top w:w="0" w:type="dxa"/>
            <w:left w:w="0" w:type="dxa"/>
            <w:bottom w:w="0" w:type="dxa"/>
            <w:right w:w="0" w:type="dxa"/>
          </w:tblCellMar>
        </w:tblPrEx>
        <w:trPr>
          <w:wBefore w:w="0" w:type="auto"/>
          <w:tblCellSpacing w:w="0" w:type="dxa"/>
        </w:trPr>
        <w:tc>
          <w:tcPr>
            <w:tcW w:w="0" w:type="auto"/>
            <w:noWrap w:val="0"/>
            <w:vAlign w:val="center"/>
          </w:tcPr>
          <w:p w14:paraId="54C5FD1F">
            <w:r>
              <w:rPr>
                <w:rStyle w:val="10"/>
                <w:rFonts w:hint="eastAsia"/>
              </w:rPr>
              <w:t>毒性及其标识：</w:t>
            </w:r>
            <w:r>
              <w:rPr>
                <w:rFonts w:hint="eastAsia"/>
              </w:rPr>
              <w:t xml:space="preserve"> </w:t>
            </w:r>
            <w:r>
              <w:rPr>
                <w:lang/>
              </w:rPr>
              <w:drawing>
                <wp:inline distT="0" distB="0" distL="114300" distR="114300">
                  <wp:extent cx="476250" cy="323850"/>
                  <wp:effectExtent l="0" t="0" r="0" b="0"/>
                  <wp:docPr id="455" name="图片 45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1477212">
        <w:tblPrEx>
          <w:tblCellMar>
            <w:top w:w="0" w:type="dxa"/>
            <w:left w:w="0" w:type="dxa"/>
            <w:bottom w:w="0" w:type="dxa"/>
            <w:right w:w="0" w:type="dxa"/>
          </w:tblCellMar>
        </w:tblPrEx>
        <w:trPr>
          <w:wBefore w:w="0" w:type="auto"/>
          <w:tblCellSpacing w:w="0" w:type="dxa"/>
        </w:trPr>
        <w:tc>
          <w:tcPr>
            <w:tcW w:w="0" w:type="auto"/>
            <w:noWrap w:val="0"/>
            <w:vAlign w:val="center"/>
          </w:tcPr>
          <w:p w14:paraId="6793A3B0">
            <w:r>
              <w:rPr>
                <w:rStyle w:val="10"/>
                <w:rFonts w:hint="eastAsia"/>
              </w:rPr>
              <w:t>总有效成分含量：</w:t>
            </w:r>
            <w:r>
              <w:rPr>
                <w:rFonts w:hint="eastAsia"/>
              </w:rPr>
              <w:t>480克/升</w:t>
            </w:r>
          </w:p>
        </w:tc>
      </w:tr>
      <w:tr w14:paraId="3F4CE4F3">
        <w:tblPrEx>
          <w:tblCellMar>
            <w:top w:w="0" w:type="dxa"/>
            <w:left w:w="0" w:type="dxa"/>
            <w:bottom w:w="0" w:type="dxa"/>
            <w:right w:w="0" w:type="dxa"/>
          </w:tblCellMar>
        </w:tblPrEx>
        <w:trPr>
          <w:wBefore w:w="0" w:type="auto"/>
          <w:tblCellSpacing w:w="0" w:type="dxa"/>
        </w:trPr>
        <w:tc>
          <w:tcPr>
            <w:tcW w:w="0" w:type="auto"/>
            <w:noWrap w:val="0"/>
            <w:vAlign w:val="center"/>
          </w:tcPr>
          <w:p w14:paraId="6798CC18">
            <w:r>
              <w:rPr>
                <w:rFonts w:hint="eastAsia"/>
              </w:rPr>
              <w:t xml:space="preserve">有效成分及其含量： </w:t>
            </w:r>
          </w:p>
          <w:p w14:paraId="4C5B5B17">
            <w:r>
              <w:rPr>
                <w:rFonts w:hint="eastAsia"/>
              </w:rPr>
              <w:t xml:space="preserve">    吡虫啉480克/升    </w:t>
            </w:r>
          </w:p>
        </w:tc>
      </w:tr>
      <w:tr w14:paraId="624452BF">
        <w:tblPrEx>
          <w:tblCellMar>
            <w:top w:w="0" w:type="dxa"/>
            <w:left w:w="0" w:type="dxa"/>
            <w:bottom w:w="0" w:type="dxa"/>
            <w:right w:w="0" w:type="dxa"/>
          </w:tblCellMar>
        </w:tblPrEx>
        <w:trPr>
          <w:wBefore w:w="0" w:type="auto"/>
          <w:tblCellSpacing w:w="0" w:type="dxa"/>
        </w:trPr>
        <w:tc>
          <w:tcPr>
            <w:tcW w:w="0" w:type="auto"/>
            <w:noWrap w:val="0"/>
            <w:vAlign w:val="center"/>
          </w:tcPr>
          <w:p w14:paraId="0ED3BCF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B46D4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723074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53F6E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3F1E8C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AEA98DD">
                  <w:r>
                    <w:rPr>
                      <w:rStyle w:val="11"/>
                      <w:rFonts w:hint="eastAsia"/>
                    </w:rPr>
                    <w:t>施用方式</w:t>
                  </w:r>
                </w:p>
              </w:tc>
            </w:tr>
            <w:tr w14:paraId="7B9F71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ECD766">
                  <w:r>
                    <w:rPr>
                      <w:rStyle w:val="11"/>
                      <w:rFonts w:hint="eastAsia"/>
                    </w:rPr>
                    <w:t>十字花科蔬菜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4196A6">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B31FFE">
                  <w:r>
                    <w:rPr>
                      <w:rStyle w:val="11"/>
                      <w:rFonts w:hint="eastAsia"/>
                    </w:rPr>
                    <w:t>2-4克/亩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FFCC26">
                  <w:r>
                    <w:rPr>
                      <w:rStyle w:val="11"/>
                      <w:rFonts w:hint="eastAsia"/>
                    </w:rPr>
                    <w:t>喷雾</w:t>
                  </w:r>
                </w:p>
              </w:tc>
            </w:tr>
          </w:tbl>
          <w:p w14:paraId="0BEB9E59">
            <w:pPr>
              <w:rPr>
                <w:rFonts w:ascii="Times New Roman" w:hAnsi="Times New Roman" w:cs="Times New Roman"/>
                <w:sz w:val="20"/>
                <w:szCs w:val="20"/>
              </w:rPr>
            </w:pPr>
          </w:p>
        </w:tc>
      </w:tr>
      <w:tr w14:paraId="61215446">
        <w:tblPrEx>
          <w:tblCellMar>
            <w:top w:w="0" w:type="dxa"/>
            <w:left w:w="0" w:type="dxa"/>
            <w:bottom w:w="0" w:type="dxa"/>
            <w:right w:w="0" w:type="dxa"/>
          </w:tblCellMar>
        </w:tblPrEx>
        <w:trPr>
          <w:wBefore w:w="0" w:type="auto"/>
          <w:tblCellSpacing w:w="0" w:type="dxa"/>
        </w:trPr>
        <w:tc>
          <w:tcPr>
            <w:tcW w:w="0" w:type="auto"/>
            <w:noWrap w:val="0"/>
            <w:vAlign w:val="center"/>
          </w:tcPr>
          <w:p w14:paraId="2AB777A1">
            <w:r>
              <w:rPr>
                <w:rStyle w:val="10"/>
                <w:rFonts w:hint="eastAsia"/>
              </w:rPr>
              <w:t>使用技术要求:</w:t>
            </w:r>
            <w:r>
              <w:rPr>
                <w:rFonts w:hint="eastAsia"/>
              </w:rPr>
              <w:br w:type="textWrapping"/>
            </w:r>
            <w:r>
              <w:rPr>
                <w:rStyle w:val="11"/>
                <w:rFonts w:hint="eastAsia"/>
              </w:rPr>
              <w:t>在蚜虫虫口上升时开始施药。每亩用水20-50升稀释，均匀喷雾于叶片正反面，早晚气温低、风小时进行。空气相对湿度低时用大喷液量。晴天上午8时至下午5时，空气相对湿度低于65%时，气温大于28℃应停止施药。 在甘蓝和萝卜上安全间隔期：7天，每季节最多用2次。</w:t>
            </w:r>
          </w:p>
        </w:tc>
      </w:tr>
      <w:tr w14:paraId="17A65989">
        <w:tblPrEx>
          <w:tblCellMar>
            <w:top w:w="0" w:type="dxa"/>
            <w:left w:w="0" w:type="dxa"/>
            <w:bottom w:w="0" w:type="dxa"/>
            <w:right w:w="0" w:type="dxa"/>
          </w:tblCellMar>
        </w:tblPrEx>
        <w:trPr>
          <w:wBefore w:w="0" w:type="auto"/>
          <w:tblCellSpacing w:w="0" w:type="dxa"/>
        </w:trPr>
        <w:tc>
          <w:tcPr>
            <w:tcW w:w="0" w:type="auto"/>
            <w:noWrap w:val="0"/>
            <w:vAlign w:val="center"/>
          </w:tcPr>
          <w:p w14:paraId="22CDBA00">
            <w:r>
              <w:rPr>
                <w:rStyle w:val="10"/>
                <w:rFonts w:hint="eastAsia"/>
              </w:rPr>
              <w:t>产品性能:</w:t>
            </w:r>
            <w:r>
              <w:rPr>
                <w:rFonts w:hint="eastAsia"/>
              </w:rPr>
              <w:br w:type="textWrapping"/>
            </w:r>
            <w:r>
              <w:rPr>
                <w:rStyle w:val="11"/>
                <w:rFonts w:hint="eastAsia"/>
              </w:rPr>
              <w:t>吡虫啉是一种内吸杀虫剂，具有触杀和胃毒作用，持效期较长，主要用于防治十字花科蔬菜蚜虫。</w:t>
            </w:r>
          </w:p>
        </w:tc>
      </w:tr>
      <w:tr w14:paraId="0400A3B1">
        <w:tblPrEx>
          <w:tblCellMar>
            <w:top w:w="0" w:type="dxa"/>
            <w:left w:w="0" w:type="dxa"/>
            <w:bottom w:w="0" w:type="dxa"/>
            <w:right w:w="0" w:type="dxa"/>
          </w:tblCellMar>
        </w:tblPrEx>
        <w:trPr>
          <w:wBefore w:w="0" w:type="auto"/>
          <w:tblCellSpacing w:w="0" w:type="dxa"/>
        </w:trPr>
        <w:tc>
          <w:tcPr>
            <w:tcW w:w="0" w:type="auto"/>
            <w:noWrap w:val="0"/>
            <w:vAlign w:val="center"/>
          </w:tcPr>
          <w:p w14:paraId="6983D156">
            <w:r>
              <w:rPr>
                <w:rStyle w:val="10"/>
                <w:rFonts w:hint="eastAsia"/>
              </w:rPr>
              <w:t>注意事项：</w:t>
            </w:r>
            <w:r>
              <w:rPr>
                <w:rFonts w:hint="eastAsia"/>
              </w:rPr>
              <w:br w:type="textWrapping"/>
            </w:r>
            <w:r>
              <w:rPr>
                <w:rStyle w:val="11"/>
                <w:rFonts w:hint="eastAsia"/>
              </w:rPr>
              <w:t>1. 对鸟、蜜蜂和家蚕高毒，蜜源作物花期、鸟类保护区、瓢虫，赤眼蜂等天敌放飞区域、桑园及蚕室附近禁止使用。2. 清洗喷药器械或弃置废料时，切忌污染水源。清洗容器及喷雾器的洗涤水不可流入鱼塘、河道。禁止在河塘等水域内清洗施药器具。3. 使用本品前，请先用力摇匀。4. 本品对人、畜有毒，使用时应穿戴好防护用品，严禁吸烟和饮食，不得迎风施药，避免直接接触药液，防止由口鼻吸入，施药后应清洗手、脸及身体被污染部分和衣服。5. 使用过的空包装不可挪用装其它东西，而应采取焚烧或者掩埋等方法，加以妥善处理。6. 避免孕妇及哺乳期妇女接触。</w:t>
            </w:r>
          </w:p>
        </w:tc>
      </w:tr>
      <w:tr w14:paraId="7273BBCB">
        <w:tblPrEx>
          <w:tblCellMar>
            <w:top w:w="0" w:type="dxa"/>
            <w:left w:w="0" w:type="dxa"/>
            <w:bottom w:w="0" w:type="dxa"/>
            <w:right w:w="0" w:type="dxa"/>
          </w:tblCellMar>
        </w:tblPrEx>
        <w:trPr>
          <w:wBefore w:w="0" w:type="auto"/>
          <w:tblCellSpacing w:w="0" w:type="dxa"/>
        </w:trPr>
        <w:tc>
          <w:tcPr>
            <w:tcW w:w="0" w:type="auto"/>
            <w:noWrap w:val="0"/>
            <w:vAlign w:val="center"/>
          </w:tcPr>
          <w:p w14:paraId="2AE7A932">
            <w:r>
              <w:rPr>
                <w:rStyle w:val="10"/>
                <w:rFonts w:hint="eastAsia"/>
              </w:rPr>
              <w:t>中毒急救措施：</w:t>
            </w:r>
            <w:r>
              <w:rPr>
                <w:rFonts w:hint="eastAsia"/>
              </w:rPr>
              <w:br w:type="textWrapping"/>
            </w:r>
            <w:r>
              <w:rPr>
                <w:rStyle w:val="11"/>
                <w:rFonts w:hint="eastAsia"/>
              </w:rPr>
              <w:t>中毒症状：全身乏力，肌肉感觉僵硬、呼吸障碍、全身发抖，较严重时可能出现肌肉痉挛。1. 如药液溅到皮肤，请立即用肥皂和清水冲洗。2. 如药液溅到眼内，应用足量清水冲洗并请医生诊治。3. 误服：切勿吞服，如误服，应立即携此标签就医，对症治疗。无特殊解毒药。洗胃和盐水轻度腹泻有利于从体内排出有效成分。</w:t>
            </w:r>
          </w:p>
        </w:tc>
      </w:tr>
      <w:tr w14:paraId="5666C00F">
        <w:tblPrEx>
          <w:tblCellMar>
            <w:top w:w="0" w:type="dxa"/>
            <w:left w:w="0" w:type="dxa"/>
            <w:bottom w:w="0" w:type="dxa"/>
            <w:right w:w="0" w:type="dxa"/>
          </w:tblCellMar>
        </w:tblPrEx>
        <w:trPr>
          <w:wBefore w:w="0" w:type="auto"/>
          <w:tblCellSpacing w:w="0" w:type="dxa"/>
        </w:trPr>
        <w:tc>
          <w:tcPr>
            <w:tcW w:w="0" w:type="auto"/>
            <w:noWrap w:val="0"/>
            <w:vAlign w:val="center"/>
          </w:tcPr>
          <w:p w14:paraId="42654EFD">
            <w:r>
              <w:rPr>
                <w:rStyle w:val="10"/>
                <w:rFonts w:hint="eastAsia"/>
              </w:rPr>
              <w:t>储存和运输方法：</w:t>
            </w:r>
            <w:r>
              <w:rPr>
                <w:rFonts w:hint="eastAsia"/>
              </w:rPr>
              <w:br w:type="textWrapping"/>
            </w:r>
            <w:r>
              <w:rPr>
                <w:rStyle w:val="11"/>
                <w:rFonts w:hint="eastAsia"/>
              </w:rPr>
              <w:t>1. 产品密封后存放在阴凉、干燥、通风处，不要直接置于阳光下，或过热，或低于0℃的地方。2. 远离家禽，不能与食品、饮料、粮食、饲料和种子混合贮存及运输。3. 远离儿童，并加锁，贮存于儿童触及不到的地方。</w:t>
            </w:r>
          </w:p>
        </w:tc>
      </w:tr>
      <w:tr w14:paraId="5592F251">
        <w:tblPrEx>
          <w:tblCellMar>
            <w:top w:w="0" w:type="dxa"/>
            <w:left w:w="0" w:type="dxa"/>
            <w:bottom w:w="0" w:type="dxa"/>
            <w:right w:w="0" w:type="dxa"/>
          </w:tblCellMar>
        </w:tblPrEx>
        <w:trPr>
          <w:wBefore w:w="0" w:type="auto"/>
          <w:tblCellSpacing w:w="0" w:type="dxa"/>
        </w:trPr>
        <w:tc>
          <w:tcPr>
            <w:tcW w:w="0" w:type="auto"/>
            <w:noWrap w:val="0"/>
            <w:vAlign w:val="center"/>
          </w:tcPr>
          <w:p w14:paraId="6FDE5F6A">
            <w:r>
              <w:rPr>
                <w:rStyle w:val="10"/>
                <w:rFonts w:hint="eastAsia"/>
              </w:rPr>
              <w:t>质量保证期：</w:t>
            </w:r>
            <w:r>
              <w:rPr>
                <w:rStyle w:val="11"/>
                <w:rFonts w:hint="eastAsia"/>
              </w:rPr>
              <w:t>2年</w:t>
            </w:r>
          </w:p>
        </w:tc>
      </w:tr>
      <w:tr w14:paraId="2D605097">
        <w:tblPrEx>
          <w:tblCellMar>
            <w:top w:w="0" w:type="dxa"/>
            <w:left w:w="0" w:type="dxa"/>
            <w:bottom w:w="0" w:type="dxa"/>
            <w:right w:w="0" w:type="dxa"/>
          </w:tblCellMar>
        </w:tblPrEx>
        <w:trPr>
          <w:wBefore w:w="0" w:type="auto"/>
          <w:tblCellSpacing w:w="0" w:type="dxa"/>
        </w:trPr>
        <w:tc>
          <w:tcPr>
            <w:tcW w:w="0" w:type="auto"/>
            <w:noWrap w:val="0"/>
            <w:vAlign w:val="center"/>
          </w:tcPr>
          <w:p w14:paraId="49276BA7">
            <w:r>
              <w:rPr>
                <w:rStyle w:val="10"/>
                <w:rFonts w:hint="eastAsia"/>
              </w:rPr>
              <w:t>备注：</w:t>
            </w:r>
            <w:r>
              <w:rPr>
                <w:rFonts w:hint="eastAsia"/>
              </w:rPr>
              <w:br w:type="textWrapping"/>
            </w:r>
            <w:r>
              <w:rPr>
                <w:rStyle w:val="11"/>
                <w:rFonts w:hint="eastAsia"/>
              </w:rPr>
              <w:t>质量分数40.6%。</w:t>
            </w:r>
          </w:p>
        </w:tc>
      </w:tr>
    </w:tbl>
    <w:p w14:paraId="2C809A8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6C7A3F4">
        <w:tblPrEx>
          <w:tblCellMar>
            <w:top w:w="0" w:type="dxa"/>
            <w:left w:w="0" w:type="dxa"/>
            <w:bottom w:w="0" w:type="dxa"/>
            <w:right w:w="0" w:type="dxa"/>
          </w:tblCellMar>
        </w:tblPrEx>
        <w:trPr>
          <w:wBefore w:w="0" w:type="auto"/>
          <w:tblCellSpacing w:w="0" w:type="dxa"/>
        </w:trPr>
        <w:tc>
          <w:tcPr>
            <w:tcW w:w="0" w:type="auto"/>
            <w:noWrap w:val="0"/>
            <w:vAlign w:val="center"/>
          </w:tcPr>
          <w:p w14:paraId="15F6686D">
            <w:r>
              <w:rPr>
                <w:rStyle w:val="10"/>
                <w:rFonts w:hint="eastAsia"/>
              </w:rPr>
              <w:t>登记证号：</w:t>
            </w:r>
            <w:r>
              <w:rPr>
                <w:rFonts w:hint="eastAsia"/>
              </w:rPr>
              <w:t>PD20095265</w:t>
            </w:r>
          </w:p>
        </w:tc>
      </w:tr>
      <w:tr w14:paraId="143AC6E8">
        <w:tblPrEx>
          <w:tblCellMar>
            <w:top w:w="0" w:type="dxa"/>
            <w:left w:w="0" w:type="dxa"/>
            <w:bottom w:w="0" w:type="dxa"/>
            <w:right w:w="0" w:type="dxa"/>
          </w:tblCellMar>
        </w:tblPrEx>
        <w:trPr>
          <w:wBefore w:w="0" w:type="auto"/>
          <w:tblCellSpacing w:w="0" w:type="dxa"/>
        </w:trPr>
        <w:tc>
          <w:tcPr>
            <w:tcW w:w="0" w:type="auto"/>
            <w:noWrap w:val="0"/>
            <w:vAlign w:val="center"/>
          </w:tcPr>
          <w:p w14:paraId="3A934691">
            <w:r>
              <w:rPr>
                <w:rStyle w:val="10"/>
                <w:rFonts w:hint="eastAsia"/>
              </w:rPr>
              <w:t>登记证持有人：</w:t>
            </w:r>
            <w:r>
              <w:rPr>
                <w:rFonts w:hint="eastAsia"/>
              </w:rPr>
              <w:t>山东麒麟农化有限公司</w:t>
            </w:r>
          </w:p>
        </w:tc>
      </w:tr>
      <w:tr w14:paraId="5FEE19D5">
        <w:tblPrEx>
          <w:tblCellMar>
            <w:top w:w="0" w:type="dxa"/>
            <w:left w:w="0" w:type="dxa"/>
            <w:bottom w:w="0" w:type="dxa"/>
            <w:right w:w="0" w:type="dxa"/>
          </w:tblCellMar>
        </w:tblPrEx>
        <w:trPr>
          <w:wBefore w:w="0" w:type="auto"/>
          <w:tblCellSpacing w:w="0" w:type="dxa"/>
        </w:trPr>
        <w:tc>
          <w:tcPr>
            <w:tcW w:w="0" w:type="auto"/>
            <w:noWrap w:val="0"/>
            <w:vAlign w:val="center"/>
          </w:tcPr>
          <w:p w14:paraId="022C7624">
            <w:r>
              <w:rPr>
                <w:rStyle w:val="10"/>
                <w:rFonts w:hint="eastAsia"/>
              </w:rPr>
              <w:t>农药名称：</w:t>
            </w:r>
            <w:r>
              <w:rPr>
                <w:rFonts w:hint="eastAsia"/>
              </w:rPr>
              <w:t>异丙草·莠</w:t>
            </w:r>
          </w:p>
        </w:tc>
      </w:tr>
      <w:tr w14:paraId="482A23E5">
        <w:tblPrEx>
          <w:tblCellMar>
            <w:top w:w="0" w:type="dxa"/>
            <w:left w:w="0" w:type="dxa"/>
            <w:bottom w:w="0" w:type="dxa"/>
            <w:right w:w="0" w:type="dxa"/>
          </w:tblCellMar>
        </w:tblPrEx>
        <w:trPr>
          <w:wBefore w:w="0" w:type="auto"/>
          <w:tblCellSpacing w:w="0" w:type="dxa"/>
        </w:trPr>
        <w:tc>
          <w:tcPr>
            <w:tcW w:w="0" w:type="auto"/>
            <w:noWrap w:val="0"/>
            <w:vAlign w:val="center"/>
          </w:tcPr>
          <w:p w14:paraId="2C66CF5F">
            <w:r>
              <w:rPr>
                <w:rStyle w:val="10"/>
                <w:rFonts w:hint="eastAsia"/>
              </w:rPr>
              <w:t>剂型：</w:t>
            </w:r>
            <w:r>
              <w:rPr>
                <w:rFonts w:hint="eastAsia"/>
              </w:rPr>
              <w:t>悬乳剂</w:t>
            </w:r>
          </w:p>
        </w:tc>
      </w:tr>
      <w:tr w14:paraId="32EFC26F">
        <w:tblPrEx>
          <w:tblCellMar>
            <w:top w:w="0" w:type="dxa"/>
            <w:left w:w="0" w:type="dxa"/>
            <w:bottom w:w="0" w:type="dxa"/>
            <w:right w:w="0" w:type="dxa"/>
          </w:tblCellMar>
        </w:tblPrEx>
        <w:trPr>
          <w:wBefore w:w="0" w:type="auto"/>
          <w:tblCellSpacing w:w="0" w:type="dxa"/>
        </w:trPr>
        <w:tc>
          <w:tcPr>
            <w:tcW w:w="0" w:type="auto"/>
            <w:noWrap w:val="0"/>
            <w:vAlign w:val="center"/>
          </w:tcPr>
          <w:p w14:paraId="6BF01C9C">
            <w:r>
              <w:rPr>
                <w:rStyle w:val="10"/>
                <w:rFonts w:hint="eastAsia"/>
              </w:rPr>
              <w:t>毒性及其标识：</w:t>
            </w:r>
            <w:r>
              <w:rPr>
                <w:rFonts w:hint="eastAsia"/>
              </w:rPr>
              <w:t xml:space="preserve"> </w:t>
            </w:r>
            <w:r>
              <w:rPr>
                <w:lang/>
              </w:rPr>
              <w:drawing>
                <wp:inline distT="0" distB="0" distL="114300" distR="114300">
                  <wp:extent cx="476250" cy="323850"/>
                  <wp:effectExtent l="0" t="0" r="0" b="0"/>
                  <wp:docPr id="456" name="图片 45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12E9855">
        <w:tblPrEx>
          <w:tblCellMar>
            <w:top w:w="0" w:type="dxa"/>
            <w:left w:w="0" w:type="dxa"/>
            <w:bottom w:w="0" w:type="dxa"/>
            <w:right w:w="0" w:type="dxa"/>
          </w:tblCellMar>
        </w:tblPrEx>
        <w:trPr>
          <w:wBefore w:w="0" w:type="auto"/>
          <w:tblCellSpacing w:w="0" w:type="dxa"/>
        </w:trPr>
        <w:tc>
          <w:tcPr>
            <w:tcW w:w="0" w:type="auto"/>
            <w:noWrap w:val="0"/>
            <w:vAlign w:val="center"/>
          </w:tcPr>
          <w:p w14:paraId="6BAA7B59">
            <w:r>
              <w:rPr>
                <w:rStyle w:val="10"/>
                <w:rFonts w:hint="eastAsia"/>
              </w:rPr>
              <w:t>总有效成分含量：</w:t>
            </w:r>
            <w:r>
              <w:rPr>
                <w:rFonts w:hint="eastAsia"/>
              </w:rPr>
              <w:t>42%</w:t>
            </w:r>
          </w:p>
        </w:tc>
      </w:tr>
      <w:tr w14:paraId="33F92129">
        <w:tblPrEx>
          <w:tblCellMar>
            <w:top w:w="0" w:type="dxa"/>
            <w:left w:w="0" w:type="dxa"/>
            <w:bottom w:w="0" w:type="dxa"/>
            <w:right w:w="0" w:type="dxa"/>
          </w:tblCellMar>
        </w:tblPrEx>
        <w:trPr>
          <w:wBefore w:w="0" w:type="auto"/>
          <w:tblCellSpacing w:w="0" w:type="dxa"/>
        </w:trPr>
        <w:tc>
          <w:tcPr>
            <w:tcW w:w="0" w:type="auto"/>
            <w:noWrap w:val="0"/>
            <w:vAlign w:val="center"/>
          </w:tcPr>
          <w:p w14:paraId="63BB7006">
            <w:r>
              <w:rPr>
                <w:rFonts w:hint="eastAsia"/>
              </w:rPr>
              <w:t xml:space="preserve">有效成分及其含量： </w:t>
            </w:r>
          </w:p>
          <w:p w14:paraId="2B4940C7">
            <w:r>
              <w:rPr>
                <w:rFonts w:hint="eastAsia"/>
              </w:rPr>
              <w:t xml:space="preserve">    莠去津20%    异丙草胺22%    </w:t>
            </w:r>
          </w:p>
        </w:tc>
      </w:tr>
      <w:tr w14:paraId="30BCB9B4">
        <w:tblPrEx>
          <w:tblCellMar>
            <w:top w:w="0" w:type="dxa"/>
            <w:left w:w="0" w:type="dxa"/>
            <w:bottom w:w="0" w:type="dxa"/>
            <w:right w:w="0" w:type="dxa"/>
          </w:tblCellMar>
        </w:tblPrEx>
        <w:trPr>
          <w:wBefore w:w="0" w:type="auto"/>
          <w:tblCellSpacing w:w="0" w:type="dxa"/>
        </w:trPr>
        <w:tc>
          <w:tcPr>
            <w:tcW w:w="0" w:type="auto"/>
            <w:noWrap w:val="0"/>
            <w:vAlign w:val="center"/>
          </w:tcPr>
          <w:p w14:paraId="3C4D834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B8997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B1863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EBADA2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43BD33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CF5FF33">
                  <w:r>
                    <w:rPr>
                      <w:rStyle w:val="11"/>
                      <w:rFonts w:hint="eastAsia"/>
                    </w:rPr>
                    <w:t>施用方式</w:t>
                  </w:r>
                </w:p>
              </w:tc>
            </w:tr>
            <w:tr w14:paraId="52674F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93D9E6B">
                  <w:r>
                    <w:rPr>
                      <w:rStyle w:val="11"/>
                      <w:rFonts w:hint="eastAsia"/>
                    </w:rPr>
                    <w:t>夏玉米田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A1332C">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0200B8">
                  <w:r>
                    <w:rPr>
                      <w:rStyle w:val="11"/>
                      <w:rFonts w:hint="eastAsia"/>
                    </w:rPr>
                    <w:t>200-250毫升/亩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95CE9A">
                  <w:r>
                    <w:rPr>
                      <w:rStyle w:val="11"/>
                      <w:rFonts w:hint="eastAsia"/>
                    </w:rPr>
                    <w:t>土壤喷雾</w:t>
                  </w:r>
                </w:p>
              </w:tc>
            </w:tr>
          </w:tbl>
          <w:p w14:paraId="7B59A6F9">
            <w:pPr>
              <w:rPr>
                <w:rFonts w:ascii="Times New Roman" w:hAnsi="Times New Roman" w:cs="Times New Roman"/>
                <w:sz w:val="20"/>
                <w:szCs w:val="20"/>
              </w:rPr>
            </w:pPr>
          </w:p>
        </w:tc>
      </w:tr>
      <w:tr w14:paraId="3B877DC9">
        <w:tblPrEx>
          <w:tblCellMar>
            <w:top w:w="0" w:type="dxa"/>
            <w:left w:w="0" w:type="dxa"/>
            <w:bottom w:w="0" w:type="dxa"/>
            <w:right w:w="0" w:type="dxa"/>
          </w:tblCellMar>
        </w:tblPrEx>
        <w:trPr>
          <w:wBefore w:w="0" w:type="auto"/>
          <w:tblCellSpacing w:w="0" w:type="dxa"/>
        </w:trPr>
        <w:tc>
          <w:tcPr>
            <w:tcW w:w="0" w:type="auto"/>
            <w:noWrap w:val="0"/>
            <w:vAlign w:val="center"/>
          </w:tcPr>
          <w:p w14:paraId="42DC2464">
            <w:r>
              <w:rPr>
                <w:rStyle w:val="10"/>
                <w:rFonts w:hint="eastAsia"/>
              </w:rPr>
              <w:t>使用技术要求:</w:t>
            </w:r>
            <w:r>
              <w:rPr>
                <w:rFonts w:hint="eastAsia"/>
              </w:rPr>
              <w:br w:type="textWrapping"/>
            </w:r>
            <w:r>
              <w:rPr>
                <w:rStyle w:val="11"/>
                <w:rFonts w:hint="eastAsia"/>
              </w:rPr>
              <w:t>1、在玉米播后苗前土壤喷雾，每亩用水量40-60升，地要整平。2、施药时应周到、均匀，请勿重喷或漏喷。施药时应避免药液飘移到邻近敏感作物上，以防产生药害。3、大风天或下雨前后，请勿施药。</w:t>
            </w:r>
          </w:p>
        </w:tc>
      </w:tr>
      <w:tr w14:paraId="7A17F716">
        <w:tblPrEx>
          <w:tblCellMar>
            <w:top w:w="0" w:type="dxa"/>
            <w:left w:w="0" w:type="dxa"/>
            <w:bottom w:w="0" w:type="dxa"/>
            <w:right w:w="0" w:type="dxa"/>
          </w:tblCellMar>
        </w:tblPrEx>
        <w:trPr>
          <w:wBefore w:w="0" w:type="auto"/>
          <w:tblCellSpacing w:w="0" w:type="dxa"/>
        </w:trPr>
        <w:tc>
          <w:tcPr>
            <w:tcW w:w="0" w:type="auto"/>
            <w:noWrap w:val="0"/>
            <w:vAlign w:val="center"/>
          </w:tcPr>
          <w:p w14:paraId="49889DBE">
            <w:r>
              <w:rPr>
                <w:rStyle w:val="10"/>
                <w:rFonts w:hint="eastAsia"/>
              </w:rPr>
              <w:t>产品性能:</w:t>
            </w:r>
            <w:r>
              <w:rPr>
                <w:rFonts w:hint="eastAsia"/>
              </w:rPr>
              <w:br w:type="textWrapping"/>
            </w:r>
            <w:r>
              <w:rPr>
                <w:rStyle w:val="11"/>
                <w:rFonts w:hint="eastAsia"/>
              </w:rPr>
              <w:t>本品是异丙草胺和莠去津为有效成分的除草剂，对防治夏玉米一年生杂草药效较好。</w:t>
            </w:r>
          </w:p>
        </w:tc>
      </w:tr>
      <w:tr w14:paraId="5F5AF1BA">
        <w:tblPrEx>
          <w:tblCellMar>
            <w:top w:w="0" w:type="dxa"/>
            <w:left w:w="0" w:type="dxa"/>
            <w:bottom w:w="0" w:type="dxa"/>
            <w:right w:w="0" w:type="dxa"/>
          </w:tblCellMar>
        </w:tblPrEx>
        <w:trPr>
          <w:wBefore w:w="0" w:type="auto"/>
          <w:tblCellSpacing w:w="0" w:type="dxa"/>
        </w:trPr>
        <w:tc>
          <w:tcPr>
            <w:tcW w:w="0" w:type="auto"/>
            <w:noWrap w:val="0"/>
            <w:vAlign w:val="center"/>
          </w:tcPr>
          <w:p w14:paraId="5737237D">
            <w:r>
              <w:rPr>
                <w:rStyle w:val="10"/>
                <w:rFonts w:hint="eastAsia"/>
              </w:rPr>
              <w:t>注意事项：</w:t>
            </w:r>
            <w:r>
              <w:rPr>
                <w:rFonts w:hint="eastAsia"/>
              </w:rPr>
              <w:br w:type="textWrapping"/>
            </w:r>
            <w:r>
              <w:rPr>
                <w:rStyle w:val="11"/>
                <w:rFonts w:hint="eastAsia"/>
              </w:rPr>
              <w:t>1、每季作物最多使用1次。2、豆类、桃树、小麦、水稻、瓜类等作物对此药敏感。3、远离水产养殖区施药，禁止在河塘等水体中清洗施药器具，废弃物应妥善处理，不可做他用，也不可随意丢弃。4、使用本品时应穿戴防护服、手套等，避免吸入药液；施药期间不可吃东西、饮水等；施药后应及时洗手、洗脸等。5、避免孕妇和哺乳期妇女接触本品。6、与其他作物套种的夏玉米田，不能使用本品。</w:t>
            </w:r>
          </w:p>
        </w:tc>
      </w:tr>
      <w:tr w14:paraId="0C028A25">
        <w:tblPrEx>
          <w:tblCellMar>
            <w:top w:w="0" w:type="dxa"/>
            <w:left w:w="0" w:type="dxa"/>
            <w:bottom w:w="0" w:type="dxa"/>
            <w:right w:w="0" w:type="dxa"/>
          </w:tblCellMar>
        </w:tblPrEx>
        <w:trPr>
          <w:wBefore w:w="0" w:type="auto"/>
          <w:tblCellSpacing w:w="0" w:type="dxa"/>
        </w:trPr>
        <w:tc>
          <w:tcPr>
            <w:tcW w:w="0" w:type="auto"/>
            <w:noWrap w:val="0"/>
            <w:vAlign w:val="center"/>
          </w:tcPr>
          <w:p w14:paraId="4E3105F6">
            <w:r>
              <w:rPr>
                <w:rStyle w:val="10"/>
                <w:rFonts w:hint="eastAsia"/>
              </w:rPr>
              <w:t>中毒急救措施：</w:t>
            </w:r>
            <w:r>
              <w:rPr>
                <w:rFonts w:hint="eastAsia"/>
              </w:rPr>
              <w:br w:type="textWrapping"/>
            </w:r>
            <w:r>
              <w:rPr>
                <w:rStyle w:val="11"/>
                <w:rFonts w:hint="eastAsia"/>
              </w:rPr>
              <w:t>中毒症状表现为抽搐、痉挛、恶心、呕吐等。不慎吸入，应将病人移至空气流通处。溅入眼睛，用大量清水冲洗至少15分钟，仍有不适时，立即就医；皮肤接触，用清水和肥皂洗干净；误服，则应立即携带此标签将病人送医院诊治。洗胃时，应注意保护气管和食管。对症治疗，无特效解毒剂。</w:t>
            </w:r>
          </w:p>
        </w:tc>
      </w:tr>
      <w:tr w14:paraId="1B6F653C">
        <w:tblPrEx>
          <w:tblCellMar>
            <w:top w:w="0" w:type="dxa"/>
            <w:left w:w="0" w:type="dxa"/>
            <w:bottom w:w="0" w:type="dxa"/>
            <w:right w:w="0" w:type="dxa"/>
          </w:tblCellMar>
        </w:tblPrEx>
        <w:trPr>
          <w:wBefore w:w="0" w:type="auto"/>
          <w:tblCellSpacing w:w="0" w:type="dxa"/>
        </w:trPr>
        <w:tc>
          <w:tcPr>
            <w:tcW w:w="0" w:type="auto"/>
            <w:noWrap w:val="0"/>
            <w:vAlign w:val="center"/>
          </w:tcPr>
          <w:p w14:paraId="6E0AF08A">
            <w:r>
              <w:rPr>
                <w:rStyle w:val="10"/>
                <w:rFonts w:hint="eastAsia"/>
              </w:rPr>
              <w:t>储存和运输方法：</w:t>
            </w:r>
            <w:r>
              <w:rPr>
                <w:rFonts w:hint="eastAsia"/>
              </w:rPr>
              <w:br w:type="textWrapping"/>
            </w:r>
            <w:r>
              <w:rPr>
                <w:rStyle w:val="11"/>
                <w:rFonts w:hint="eastAsia"/>
              </w:rPr>
              <w:t>本品应贮存在干燥、阴凉、通风、防雨处。远离火源或热源及儿童，并加锁。不能与食品、饮料、粮食、饲料等物品同贮同运</w:t>
            </w:r>
          </w:p>
        </w:tc>
      </w:tr>
      <w:tr w14:paraId="6A2434A3">
        <w:tblPrEx>
          <w:tblCellMar>
            <w:top w:w="0" w:type="dxa"/>
            <w:left w:w="0" w:type="dxa"/>
            <w:bottom w:w="0" w:type="dxa"/>
            <w:right w:w="0" w:type="dxa"/>
          </w:tblCellMar>
        </w:tblPrEx>
        <w:trPr>
          <w:wBefore w:w="0" w:type="auto"/>
          <w:tblCellSpacing w:w="0" w:type="dxa"/>
        </w:trPr>
        <w:tc>
          <w:tcPr>
            <w:tcW w:w="0" w:type="auto"/>
            <w:noWrap w:val="0"/>
            <w:vAlign w:val="center"/>
          </w:tcPr>
          <w:p w14:paraId="7F44CA79">
            <w:r>
              <w:rPr>
                <w:rStyle w:val="10"/>
                <w:rFonts w:hint="eastAsia"/>
              </w:rPr>
              <w:t>质量保证期：</w:t>
            </w:r>
            <w:r>
              <w:rPr>
                <w:rStyle w:val="11"/>
                <w:rFonts w:hint="eastAsia"/>
              </w:rPr>
              <w:t>2年</w:t>
            </w:r>
          </w:p>
        </w:tc>
      </w:tr>
      <w:tr w14:paraId="5EDC9AA4">
        <w:tblPrEx>
          <w:tblCellMar>
            <w:top w:w="0" w:type="dxa"/>
            <w:left w:w="0" w:type="dxa"/>
            <w:bottom w:w="0" w:type="dxa"/>
            <w:right w:w="0" w:type="dxa"/>
          </w:tblCellMar>
        </w:tblPrEx>
        <w:trPr>
          <w:wBefore w:w="0" w:type="auto"/>
          <w:tblCellSpacing w:w="0" w:type="dxa"/>
        </w:trPr>
        <w:tc>
          <w:tcPr>
            <w:tcW w:w="0" w:type="auto"/>
            <w:noWrap w:val="0"/>
            <w:vAlign w:val="center"/>
          </w:tcPr>
          <w:p w14:paraId="0C27E887">
            <w:r>
              <w:rPr>
                <w:rStyle w:val="10"/>
                <w:rFonts w:hint="eastAsia"/>
              </w:rPr>
              <w:t>备注：</w:t>
            </w:r>
          </w:p>
        </w:tc>
      </w:tr>
    </w:tbl>
    <w:p w14:paraId="59F4B4A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A871B39">
        <w:tblPrEx>
          <w:tblCellMar>
            <w:top w:w="0" w:type="dxa"/>
            <w:left w:w="0" w:type="dxa"/>
            <w:bottom w:w="0" w:type="dxa"/>
            <w:right w:w="0" w:type="dxa"/>
          </w:tblCellMar>
        </w:tblPrEx>
        <w:trPr>
          <w:wBefore w:w="0" w:type="auto"/>
          <w:tblCellSpacing w:w="0" w:type="dxa"/>
        </w:trPr>
        <w:tc>
          <w:tcPr>
            <w:tcW w:w="0" w:type="auto"/>
            <w:noWrap w:val="0"/>
            <w:vAlign w:val="center"/>
          </w:tcPr>
          <w:p w14:paraId="6A41525B">
            <w:r>
              <w:rPr>
                <w:rStyle w:val="10"/>
                <w:rFonts w:hint="eastAsia"/>
              </w:rPr>
              <w:t>登记证号：</w:t>
            </w:r>
            <w:r>
              <w:rPr>
                <w:rFonts w:hint="eastAsia"/>
              </w:rPr>
              <w:t>PD20085760</w:t>
            </w:r>
          </w:p>
        </w:tc>
      </w:tr>
      <w:tr w14:paraId="6A15D0B0">
        <w:tblPrEx>
          <w:tblCellMar>
            <w:top w:w="0" w:type="dxa"/>
            <w:left w:w="0" w:type="dxa"/>
            <w:bottom w:w="0" w:type="dxa"/>
            <w:right w:w="0" w:type="dxa"/>
          </w:tblCellMar>
        </w:tblPrEx>
        <w:trPr>
          <w:wBefore w:w="0" w:type="auto"/>
          <w:tblCellSpacing w:w="0" w:type="dxa"/>
        </w:trPr>
        <w:tc>
          <w:tcPr>
            <w:tcW w:w="0" w:type="auto"/>
            <w:noWrap w:val="0"/>
            <w:vAlign w:val="center"/>
          </w:tcPr>
          <w:p w14:paraId="5D2236DB">
            <w:r>
              <w:rPr>
                <w:rStyle w:val="10"/>
                <w:rFonts w:hint="eastAsia"/>
              </w:rPr>
              <w:t>登记证持有人：</w:t>
            </w:r>
            <w:r>
              <w:rPr>
                <w:rFonts w:hint="eastAsia"/>
              </w:rPr>
              <w:t>山东麒麟农化有限公司</w:t>
            </w:r>
          </w:p>
        </w:tc>
      </w:tr>
      <w:tr w14:paraId="798B3B5B">
        <w:tblPrEx>
          <w:tblCellMar>
            <w:top w:w="0" w:type="dxa"/>
            <w:left w:w="0" w:type="dxa"/>
            <w:bottom w:w="0" w:type="dxa"/>
            <w:right w:w="0" w:type="dxa"/>
          </w:tblCellMar>
        </w:tblPrEx>
        <w:trPr>
          <w:wBefore w:w="0" w:type="auto"/>
          <w:tblCellSpacing w:w="0" w:type="dxa"/>
        </w:trPr>
        <w:tc>
          <w:tcPr>
            <w:tcW w:w="0" w:type="auto"/>
            <w:noWrap w:val="0"/>
            <w:vAlign w:val="center"/>
          </w:tcPr>
          <w:p w14:paraId="66E0891B">
            <w:r>
              <w:rPr>
                <w:rStyle w:val="10"/>
                <w:rFonts w:hint="eastAsia"/>
              </w:rPr>
              <w:t>农药名称：</w:t>
            </w:r>
            <w:r>
              <w:rPr>
                <w:rFonts w:hint="eastAsia"/>
              </w:rPr>
              <w:t>辛硫磷</w:t>
            </w:r>
          </w:p>
        </w:tc>
      </w:tr>
      <w:tr w14:paraId="0905920E">
        <w:tblPrEx>
          <w:tblCellMar>
            <w:top w:w="0" w:type="dxa"/>
            <w:left w:w="0" w:type="dxa"/>
            <w:bottom w:w="0" w:type="dxa"/>
            <w:right w:w="0" w:type="dxa"/>
          </w:tblCellMar>
        </w:tblPrEx>
        <w:trPr>
          <w:wBefore w:w="0" w:type="auto"/>
          <w:tblCellSpacing w:w="0" w:type="dxa"/>
        </w:trPr>
        <w:tc>
          <w:tcPr>
            <w:tcW w:w="0" w:type="auto"/>
            <w:noWrap w:val="0"/>
            <w:vAlign w:val="center"/>
          </w:tcPr>
          <w:p w14:paraId="161365E9">
            <w:r>
              <w:rPr>
                <w:rStyle w:val="10"/>
                <w:rFonts w:hint="eastAsia"/>
              </w:rPr>
              <w:t>剂型：</w:t>
            </w:r>
            <w:r>
              <w:rPr>
                <w:rFonts w:hint="eastAsia"/>
              </w:rPr>
              <w:t>颗粒剂</w:t>
            </w:r>
          </w:p>
        </w:tc>
      </w:tr>
      <w:tr w14:paraId="1C9AE08D">
        <w:tblPrEx>
          <w:tblCellMar>
            <w:top w:w="0" w:type="dxa"/>
            <w:left w:w="0" w:type="dxa"/>
            <w:bottom w:w="0" w:type="dxa"/>
            <w:right w:w="0" w:type="dxa"/>
          </w:tblCellMar>
        </w:tblPrEx>
        <w:trPr>
          <w:wBefore w:w="0" w:type="auto"/>
          <w:tblCellSpacing w:w="0" w:type="dxa"/>
        </w:trPr>
        <w:tc>
          <w:tcPr>
            <w:tcW w:w="0" w:type="auto"/>
            <w:noWrap w:val="0"/>
            <w:vAlign w:val="center"/>
          </w:tcPr>
          <w:p w14:paraId="094C72B9">
            <w:r>
              <w:rPr>
                <w:rStyle w:val="10"/>
                <w:rFonts w:hint="eastAsia"/>
              </w:rPr>
              <w:t>毒性及其标识：</w:t>
            </w:r>
            <w:r>
              <w:rPr>
                <w:rFonts w:hint="eastAsia"/>
              </w:rPr>
              <w:t xml:space="preserve"> </w:t>
            </w:r>
            <w:r>
              <w:rPr>
                <w:lang/>
              </w:rPr>
              <w:drawing>
                <wp:inline distT="0" distB="0" distL="114300" distR="114300">
                  <wp:extent cx="476250" cy="323850"/>
                  <wp:effectExtent l="0" t="0" r="0" b="0"/>
                  <wp:docPr id="457" name="图片 45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DA9963A">
        <w:tblPrEx>
          <w:tblCellMar>
            <w:top w:w="0" w:type="dxa"/>
            <w:left w:w="0" w:type="dxa"/>
            <w:bottom w:w="0" w:type="dxa"/>
            <w:right w:w="0" w:type="dxa"/>
          </w:tblCellMar>
        </w:tblPrEx>
        <w:trPr>
          <w:wBefore w:w="0" w:type="auto"/>
          <w:tblCellSpacing w:w="0" w:type="dxa"/>
        </w:trPr>
        <w:tc>
          <w:tcPr>
            <w:tcW w:w="0" w:type="auto"/>
            <w:noWrap w:val="0"/>
            <w:vAlign w:val="center"/>
          </w:tcPr>
          <w:p w14:paraId="34413C4A">
            <w:r>
              <w:rPr>
                <w:rStyle w:val="10"/>
                <w:rFonts w:hint="eastAsia"/>
              </w:rPr>
              <w:t>总有效成分含量：</w:t>
            </w:r>
            <w:r>
              <w:rPr>
                <w:rFonts w:hint="eastAsia"/>
              </w:rPr>
              <w:t>3%</w:t>
            </w:r>
          </w:p>
        </w:tc>
      </w:tr>
      <w:tr w14:paraId="7D6BED9D">
        <w:tblPrEx>
          <w:tblCellMar>
            <w:top w:w="0" w:type="dxa"/>
            <w:left w:w="0" w:type="dxa"/>
            <w:bottom w:w="0" w:type="dxa"/>
            <w:right w:w="0" w:type="dxa"/>
          </w:tblCellMar>
        </w:tblPrEx>
        <w:trPr>
          <w:wBefore w:w="0" w:type="auto"/>
          <w:tblCellSpacing w:w="0" w:type="dxa"/>
        </w:trPr>
        <w:tc>
          <w:tcPr>
            <w:tcW w:w="0" w:type="auto"/>
            <w:noWrap w:val="0"/>
            <w:vAlign w:val="center"/>
          </w:tcPr>
          <w:p w14:paraId="12137C06">
            <w:r>
              <w:rPr>
                <w:rFonts w:hint="eastAsia"/>
              </w:rPr>
              <w:t xml:space="preserve">有效成分及其含量： </w:t>
            </w:r>
          </w:p>
          <w:p w14:paraId="77E3D733">
            <w:r>
              <w:rPr>
                <w:rFonts w:hint="eastAsia"/>
              </w:rPr>
              <w:t xml:space="preserve">    辛硫磷3%    </w:t>
            </w:r>
          </w:p>
        </w:tc>
      </w:tr>
      <w:tr w14:paraId="1E07865D">
        <w:tblPrEx>
          <w:tblCellMar>
            <w:top w:w="0" w:type="dxa"/>
            <w:left w:w="0" w:type="dxa"/>
            <w:bottom w:w="0" w:type="dxa"/>
            <w:right w:w="0" w:type="dxa"/>
          </w:tblCellMar>
        </w:tblPrEx>
        <w:trPr>
          <w:wBefore w:w="0" w:type="auto"/>
          <w:tblCellSpacing w:w="0" w:type="dxa"/>
        </w:trPr>
        <w:tc>
          <w:tcPr>
            <w:tcW w:w="0" w:type="auto"/>
            <w:noWrap w:val="0"/>
            <w:vAlign w:val="center"/>
          </w:tcPr>
          <w:p w14:paraId="47EDB20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29CF6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BB8D10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2BDAC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7B2648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34A775">
                  <w:r>
                    <w:rPr>
                      <w:rStyle w:val="11"/>
                      <w:rFonts w:hint="eastAsia"/>
                    </w:rPr>
                    <w:t>施用方式</w:t>
                  </w:r>
                </w:p>
              </w:tc>
            </w:tr>
            <w:tr w14:paraId="0D2375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68E047">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B8A157">
                  <w:r>
                    <w:rPr>
                      <w:rStyle w:val="11"/>
                      <w:rFonts w:hint="eastAsia"/>
                    </w:rPr>
                    <w:t>金针虫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770948">
                  <w:r>
                    <w:rPr>
                      <w:rStyle w:val="11"/>
                      <w:rFonts w:hint="eastAsia"/>
                    </w:rPr>
                    <w:t>5000-8000克/亩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25E7BF">
                  <w:r>
                    <w:rPr>
                      <w:rStyle w:val="11"/>
                      <w:rFonts w:hint="eastAsia"/>
                    </w:rPr>
                    <w:t>沟施</w:t>
                  </w:r>
                </w:p>
              </w:tc>
            </w:tr>
            <w:tr w14:paraId="3CDC1A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5FAC903">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D6F5F9">
                  <w:r>
                    <w:rPr>
                      <w:rStyle w:val="11"/>
                      <w:rFonts w:hint="eastAsia"/>
                    </w:rPr>
                    <w:t>地老虎</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3A8F7A">
                  <w:r>
                    <w:rPr>
                      <w:rStyle w:val="11"/>
                      <w:rFonts w:hint="eastAsia"/>
                    </w:rPr>
                    <w:t>5000-8000克/亩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D0BC56">
                  <w:r>
                    <w:rPr>
                      <w:rStyle w:val="11"/>
                      <w:rFonts w:hint="eastAsia"/>
                    </w:rPr>
                    <w:t>沟施</w:t>
                  </w:r>
                </w:p>
              </w:tc>
            </w:tr>
            <w:tr w14:paraId="0E4C24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C29B0B4">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A04F53">
                  <w:r>
                    <w:rPr>
                      <w:rStyle w:val="11"/>
                      <w:rFonts w:hint="eastAsia"/>
                    </w:rPr>
                    <w:t>蝼蛄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6F263D">
                  <w:r>
                    <w:rPr>
                      <w:rStyle w:val="11"/>
                      <w:rFonts w:hint="eastAsia"/>
                    </w:rPr>
                    <w:t>5000-8000克/亩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B5C527">
                  <w:r>
                    <w:rPr>
                      <w:rStyle w:val="11"/>
                      <w:rFonts w:hint="eastAsia"/>
                    </w:rPr>
                    <w:t>沟施</w:t>
                  </w:r>
                </w:p>
              </w:tc>
            </w:tr>
            <w:tr w14:paraId="5E428A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45B651">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4CCA46">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9CCD98">
                  <w:r>
                    <w:rPr>
                      <w:rStyle w:val="11"/>
                      <w:rFonts w:hint="eastAsia"/>
                    </w:rPr>
                    <w:t>5000-8000克/亩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D098A5">
                  <w:r>
                    <w:rPr>
                      <w:rStyle w:val="11"/>
                      <w:rFonts w:hint="eastAsia"/>
                    </w:rPr>
                    <w:t>沟施</w:t>
                  </w:r>
                </w:p>
              </w:tc>
            </w:tr>
          </w:tbl>
          <w:p w14:paraId="60E136E3">
            <w:pPr>
              <w:rPr>
                <w:rFonts w:ascii="Times New Roman" w:hAnsi="Times New Roman" w:cs="Times New Roman"/>
                <w:sz w:val="20"/>
                <w:szCs w:val="20"/>
              </w:rPr>
            </w:pPr>
          </w:p>
        </w:tc>
      </w:tr>
      <w:tr w14:paraId="15A8DD84">
        <w:tblPrEx>
          <w:tblCellMar>
            <w:top w:w="0" w:type="dxa"/>
            <w:left w:w="0" w:type="dxa"/>
            <w:bottom w:w="0" w:type="dxa"/>
            <w:right w:w="0" w:type="dxa"/>
          </w:tblCellMar>
        </w:tblPrEx>
        <w:trPr>
          <w:wBefore w:w="0" w:type="auto"/>
          <w:tblCellSpacing w:w="0" w:type="dxa"/>
        </w:trPr>
        <w:tc>
          <w:tcPr>
            <w:tcW w:w="0" w:type="auto"/>
            <w:noWrap w:val="0"/>
            <w:vAlign w:val="center"/>
          </w:tcPr>
          <w:p w14:paraId="1A5F27DE">
            <w:r>
              <w:rPr>
                <w:rStyle w:val="10"/>
                <w:rFonts w:hint="eastAsia"/>
              </w:rPr>
              <w:t>使用技术要求:</w:t>
            </w:r>
            <w:r>
              <w:rPr>
                <w:rFonts w:hint="eastAsia"/>
              </w:rPr>
              <w:br w:type="textWrapping"/>
            </w:r>
            <w:r>
              <w:rPr>
                <w:rStyle w:val="11"/>
                <w:rFonts w:hint="eastAsia"/>
              </w:rPr>
              <w:t>1.于花生播种时沟施（或穴施）施药一次。2.本品见光易分解，注意不要在阳光直射时施药。3.在花生上每季最多使用1次。</w:t>
            </w:r>
          </w:p>
        </w:tc>
      </w:tr>
      <w:tr w14:paraId="6C086630">
        <w:tblPrEx>
          <w:tblCellMar>
            <w:top w:w="0" w:type="dxa"/>
            <w:left w:w="0" w:type="dxa"/>
            <w:bottom w:w="0" w:type="dxa"/>
            <w:right w:w="0" w:type="dxa"/>
          </w:tblCellMar>
        </w:tblPrEx>
        <w:trPr>
          <w:wBefore w:w="0" w:type="auto"/>
          <w:tblCellSpacing w:w="0" w:type="dxa"/>
        </w:trPr>
        <w:tc>
          <w:tcPr>
            <w:tcW w:w="0" w:type="auto"/>
            <w:noWrap w:val="0"/>
            <w:vAlign w:val="center"/>
          </w:tcPr>
          <w:p w14:paraId="26B59F6B">
            <w:r>
              <w:rPr>
                <w:rStyle w:val="10"/>
                <w:rFonts w:hint="eastAsia"/>
              </w:rPr>
              <w:t>产品性能:</w:t>
            </w:r>
            <w:r>
              <w:rPr>
                <w:rFonts w:hint="eastAsia"/>
              </w:rPr>
              <w:br w:type="textWrapping"/>
            </w:r>
            <w:r>
              <w:rPr>
                <w:rStyle w:val="11"/>
                <w:rFonts w:hint="eastAsia"/>
              </w:rPr>
              <w:t>本品是有机磷杀虫剂，具有触杀、胃毒、蒸熏和渗透作用，对花生金针虫、地老虎、蝼蛄、蛴螬有较好的防治效果。</w:t>
            </w:r>
          </w:p>
        </w:tc>
      </w:tr>
      <w:tr w14:paraId="2E7D867C">
        <w:tblPrEx>
          <w:tblCellMar>
            <w:top w:w="0" w:type="dxa"/>
            <w:left w:w="0" w:type="dxa"/>
            <w:bottom w:w="0" w:type="dxa"/>
            <w:right w:w="0" w:type="dxa"/>
          </w:tblCellMar>
        </w:tblPrEx>
        <w:trPr>
          <w:wBefore w:w="0" w:type="auto"/>
          <w:tblCellSpacing w:w="0" w:type="dxa"/>
        </w:trPr>
        <w:tc>
          <w:tcPr>
            <w:tcW w:w="0" w:type="auto"/>
            <w:noWrap w:val="0"/>
            <w:vAlign w:val="center"/>
          </w:tcPr>
          <w:p w14:paraId="6192A9AF">
            <w:r>
              <w:rPr>
                <w:rStyle w:val="10"/>
                <w:rFonts w:hint="eastAsia"/>
              </w:rPr>
              <w:t>注意事项：</w:t>
            </w:r>
            <w:r>
              <w:rPr>
                <w:rFonts w:hint="eastAsia"/>
              </w:rPr>
              <w:br w:type="textWrapping"/>
            </w:r>
            <w:r>
              <w:rPr>
                <w:rStyle w:val="11"/>
                <w:rFonts w:hint="eastAsia"/>
              </w:rPr>
              <w:t>1.不能与呈碱性的农药等物质混合使用以免降低药效。2.本品对蜜蜂、鱼类等水生生物、家蚕有毒，施药期间应避免对周围蜂群的影响、蜜源作物花期、蚕室和桑园、鸟类保护区附近禁用。远离水产养殖区施药，禁止在河塘等水体中清洗施药器具。3.使用本品时应穿戴防护服和手套，避免沾染药粒。施药期间不可以吃东西和饮水。施药后应及时洗手和洗脸。4.建议与作用机制不同的其他杀虫剂轮换使用。5.避免孕妇和哺乳期接触。6.用过的容器和废弃物应妥善处理，不可随意丢弃或做他用。</w:t>
            </w:r>
          </w:p>
        </w:tc>
      </w:tr>
      <w:tr w14:paraId="58D5A244">
        <w:tblPrEx>
          <w:tblCellMar>
            <w:top w:w="0" w:type="dxa"/>
            <w:left w:w="0" w:type="dxa"/>
            <w:bottom w:w="0" w:type="dxa"/>
            <w:right w:w="0" w:type="dxa"/>
          </w:tblCellMar>
        </w:tblPrEx>
        <w:trPr>
          <w:wBefore w:w="0" w:type="auto"/>
          <w:tblCellSpacing w:w="0" w:type="dxa"/>
        </w:trPr>
        <w:tc>
          <w:tcPr>
            <w:tcW w:w="0" w:type="auto"/>
            <w:noWrap w:val="0"/>
            <w:vAlign w:val="center"/>
          </w:tcPr>
          <w:p w14:paraId="3CF4E947">
            <w:r>
              <w:rPr>
                <w:rStyle w:val="10"/>
                <w:rFonts w:hint="eastAsia"/>
              </w:rPr>
              <w:t>中毒急救措施：</w:t>
            </w:r>
            <w:r>
              <w:rPr>
                <w:rFonts w:hint="eastAsia"/>
              </w:rPr>
              <w:br w:type="textWrapping"/>
            </w:r>
            <w:r>
              <w:rPr>
                <w:rStyle w:val="11"/>
                <w:rFonts w:hint="eastAsia"/>
              </w:rPr>
              <w:t>症状：急性中毒多在12小时内发病，口服立即发病。轻度：头疼、头昏、恶心、呕吐、多汗、无力、胸闷、视力模糊、胃口不佳等，全血胆碱酯酶活力一般降至正常值的70-50%。中度：除上述症状外还出现轻度呼吸困难、肌肉震颤、瞳孔缩小、精神恍惚、行走不稳、大汗、流涎、腹疼、腹泻。重者还会出现昏迷、抽搐、呼吸困难、口吐白沫、大小便失禁、惊厥、呼吸麻痹。急救：药物溅到皮肤或衣服上，要用肥皂和清水冲洗；溅到眼中时，应立即用大量清水冲洗至少15分钟；误服时，则应立即携此标签送医院诊治，（1）用阿托品1-5ml皮下或静脉注射（按中毒轻重而定）；（2）用解磷定0.4-1.2g静脉注射（按中毒轻重而定）；（3）禁用吗啡、茶硷、吩噻嗪、利血平。</w:t>
            </w:r>
          </w:p>
        </w:tc>
      </w:tr>
      <w:tr w14:paraId="7FA9BC9B">
        <w:tblPrEx>
          <w:tblCellMar>
            <w:top w:w="0" w:type="dxa"/>
            <w:left w:w="0" w:type="dxa"/>
            <w:bottom w:w="0" w:type="dxa"/>
            <w:right w:w="0" w:type="dxa"/>
          </w:tblCellMar>
        </w:tblPrEx>
        <w:trPr>
          <w:wBefore w:w="0" w:type="auto"/>
          <w:tblCellSpacing w:w="0" w:type="dxa"/>
        </w:trPr>
        <w:tc>
          <w:tcPr>
            <w:tcW w:w="0" w:type="auto"/>
            <w:noWrap w:val="0"/>
            <w:vAlign w:val="center"/>
          </w:tcPr>
          <w:p w14:paraId="0DE2FDD8">
            <w:r>
              <w:rPr>
                <w:rStyle w:val="10"/>
                <w:rFonts w:hint="eastAsia"/>
              </w:rPr>
              <w:t>储存和运输方法：</w:t>
            </w:r>
            <w:r>
              <w:rPr>
                <w:rFonts w:hint="eastAsia"/>
              </w:rPr>
              <w:br w:type="textWrapping"/>
            </w:r>
            <w:r>
              <w:rPr>
                <w:rStyle w:val="11"/>
                <w:rFonts w:hint="eastAsia"/>
              </w:rPr>
              <w:t>1.本品应贮存在阴凉、干燥、通风处，防止受潮，隔热防晒，远离热源或火源。2.不可与食品、饮料、饲料、粮食等同贮同运。3.置于儿童接触不到的地方，并加锁。</w:t>
            </w:r>
          </w:p>
        </w:tc>
      </w:tr>
      <w:tr w14:paraId="10E18243">
        <w:tblPrEx>
          <w:tblCellMar>
            <w:top w:w="0" w:type="dxa"/>
            <w:left w:w="0" w:type="dxa"/>
            <w:bottom w:w="0" w:type="dxa"/>
            <w:right w:w="0" w:type="dxa"/>
          </w:tblCellMar>
        </w:tblPrEx>
        <w:trPr>
          <w:wBefore w:w="0" w:type="auto"/>
          <w:tblCellSpacing w:w="0" w:type="dxa"/>
        </w:trPr>
        <w:tc>
          <w:tcPr>
            <w:tcW w:w="0" w:type="auto"/>
            <w:noWrap w:val="0"/>
            <w:vAlign w:val="center"/>
          </w:tcPr>
          <w:p w14:paraId="4E7627C5">
            <w:r>
              <w:rPr>
                <w:rStyle w:val="10"/>
                <w:rFonts w:hint="eastAsia"/>
              </w:rPr>
              <w:t>质量保证期：</w:t>
            </w:r>
            <w:r>
              <w:rPr>
                <w:rStyle w:val="11"/>
                <w:rFonts w:hint="eastAsia"/>
              </w:rPr>
              <w:t>2年</w:t>
            </w:r>
          </w:p>
        </w:tc>
      </w:tr>
      <w:tr w14:paraId="5067F16C">
        <w:tblPrEx>
          <w:tblCellMar>
            <w:top w:w="0" w:type="dxa"/>
            <w:left w:w="0" w:type="dxa"/>
            <w:bottom w:w="0" w:type="dxa"/>
            <w:right w:w="0" w:type="dxa"/>
          </w:tblCellMar>
        </w:tblPrEx>
        <w:trPr>
          <w:wBefore w:w="0" w:type="auto"/>
          <w:tblCellSpacing w:w="0" w:type="dxa"/>
        </w:trPr>
        <w:tc>
          <w:tcPr>
            <w:tcW w:w="0" w:type="auto"/>
            <w:noWrap w:val="0"/>
            <w:vAlign w:val="center"/>
          </w:tcPr>
          <w:p w14:paraId="21C29087">
            <w:r>
              <w:rPr>
                <w:rStyle w:val="10"/>
                <w:rFonts w:hint="eastAsia"/>
              </w:rPr>
              <w:t>备注：</w:t>
            </w:r>
          </w:p>
        </w:tc>
      </w:tr>
    </w:tbl>
    <w:p w14:paraId="5B015C4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D824F6">
        <w:tblPrEx>
          <w:tblCellMar>
            <w:top w:w="0" w:type="dxa"/>
            <w:left w:w="0" w:type="dxa"/>
            <w:bottom w:w="0" w:type="dxa"/>
            <w:right w:w="0" w:type="dxa"/>
          </w:tblCellMar>
        </w:tblPrEx>
        <w:trPr>
          <w:wBefore w:w="0" w:type="auto"/>
          <w:tblCellSpacing w:w="0" w:type="dxa"/>
        </w:trPr>
        <w:tc>
          <w:tcPr>
            <w:tcW w:w="0" w:type="auto"/>
            <w:noWrap w:val="0"/>
            <w:vAlign w:val="center"/>
          </w:tcPr>
          <w:p w14:paraId="3D5D9015">
            <w:r>
              <w:rPr>
                <w:rStyle w:val="10"/>
                <w:rFonts w:hint="eastAsia"/>
              </w:rPr>
              <w:t>登记证号：</w:t>
            </w:r>
            <w:r>
              <w:rPr>
                <w:rFonts w:hint="eastAsia"/>
              </w:rPr>
              <w:t>PD20083487</w:t>
            </w:r>
          </w:p>
        </w:tc>
      </w:tr>
      <w:tr w14:paraId="390DC636">
        <w:tblPrEx>
          <w:tblCellMar>
            <w:top w:w="0" w:type="dxa"/>
            <w:left w:w="0" w:type="dxa"/>
            <w:bottom w:w="0" w:type="dxa"/>
            <w:right w:w="0" w:type="dxa"/>
          </w:tblCellMar>
        </w:tblPrEx>
        <w:trPr>
          <w:wBefore w:w="0" w:type="auto"/>
          <w:tblCellSpacing w:w="0" w:type="dxa"/>
        </w:trPr>
        <w:tc>
          <w:tcPr>
            <w:tcW w:w="0" w:type="auto"/>
            <w:noWrap w:val="0"/>
            <w:vAlign w:val="center"/>
          </w:tcPr>
          <w:p w14:paraId="080001F7">
            <w:r>
              <w:rPr>
                <w:rStyle w:val="10"/>
                <w:rFonts w:hint="eastAsia"/>
              </w:rPr>
              <w:t>登记证持有人：</w:t>
            </w:r>
            <w:r>
              <w:rPr>
                <w:rFonts w:hint="eastAsia"/>
              </w:rPr>
              <w:t>山东麒麟农化有限公司</w:t>
            </w:r>
          </w:p>
        </w:tc>
      </w:tr>
      <w:tr w14:paraId="7E31F74D">
        <w:tblPrEx>
          <w:tblCellMar>
            <w:top w:w="0" w:type="dxa"/>
            <w:left w:w="0" w:type="dxa"/>
            <w:bottom w:w="0" w:type="dxa"/>
            <w:right w:w="0" w:type="dxa"/>
          </w:tblCellMar>
        </w:tblPrEx>
        <w:trPr>
          <w:wBefore w:w="0" w:type="auto"/>
          <w:tblCellSpacing w:w="0" w:type="dxa"/>
        </w:trPr>
        <w:tc>
          <w:tcPr>
            <w:tcW w:w="0" w:type="auto"/>
            <w:noWrap w:val="0"/>
            <w:vAlign w:val="center"/>
          </w:tcPr>
          <w:p w14:paraId="2239D980">
            <w:r>
              <w:rPr>
                <w:rStyle w:val="10"/>
                <w:rFonts w:hint="eastAsia"/>
              </w:rPr>
              <w:t>农药名称：</w:t>
            </w:r>
            <w:r>
              <w:rPr>
                <w:rFonts w:hint="eastAsia"/>
              </w:rPr>
              <w:t>啶虫脒</w:t>
            </w:r>
          </w:p>
        </w:tc>
      </w:tr>
      <w:tr w14:paraId="1D212766">
        <w:tblPrEx>
          <w:tblCellMar>
            <w:top w:w="0" w:type="dxa"/>
            <w:left w:w="0" w:type="dxa"/>
            <w:bottom w:w="0" w:type="dxa"/>
            <w:right w:w="0" w:type="dxa"/>
          </w:tblCellMar>
        </w:tblPrEx>
        <w:trPr>
          <w:wBefore w:w="0" w:type="auto"/>
          <w:tblCellSpacing w:w="0" w:type="dxa"/>
        </w:trPr>
        <w:tc>
          <w:tcPr>
            <w:tcW w:w="0" w:type="auto"/>
            <w:noWrap w:val="0"/>
            <w:vAlign w:val="center"/>
          </w:tcPr>
          <w:p w14:paraId="5A4AC05B">
            <w:r>
              <w:rPr>
                <w:rStyle w:val="10"/>
                <w:rFonts w:hint="eastAsia"/>
              </w:rPr>
              <w:t>剂型：</w:t>
            </w:r>
            <w:r>
              <w:rPr>
                <w:rFonts w:hint="eastAsia"/>
              </w:rPr>
              <w:t>可溶粉剂</w:t>
            </w:r>
          </w:p>
        </w:tc>
      </w:tr>
      <w:tr w14:paraId="15EA3DE3">
        <w:tblPrEx>
          <w:tblCellMar>
            <w:top w:w="0" w:type="dxa"/>
            <w:left w:w="0" w:type="dxa"/>
            <w:bottom w:w="0" w:type="dxa"/>
            <w:right w:w="0" w:type="dxa"/>
          </w:tblCellMar>
        </w:tblPrEx>
        <w:trPr>
          <w:wBefore w:w="0" w:type="auto"/>
          <w:tblCellSpacing w:w="0" w:type="dxa"/>
        </w:trPr>
        <w:tc>
          <w:tcPr>
            <w:tcW w:w="0" w:type="auto"/>
            <w:noWrap w:val="0"/>
            <w:vAlign w:val="center"/>
          </w:tcPr>
          <w:p w14:paraId="7B8D4437">
            <w:r>
              <w:rPr>
                <w:rStyle w:val="10"/>
                <w:rFonts w:hint="eastAsia"/>
              </w:rPr>
              <w:t>毒性及其标识：</w:t>
            </w:r>
            <w:r>
              <w:rPr>
                <w:rFonts w:hint="eastAsia"/>
              </w:rPr>
              <w:t xml:space="preserve"> </w:t>
            </w:r>
            <w:r>
              <w:rPr>
                <w:lang/>
              </w:rPr>
              <w:drawing>
                <wp:inline distT="0" distB="0" distL="114300" distR="114300">
                  <wp:extent cx="476250" cy="323850"/>
                  <wp:effectExtent l="0" t="0" r="0" b="0"/>
                  <wp:docPr id="458" name="图片 45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776C8FD">
        <w:tblPrEx>
          <w:tblCellMar>
            <w:top w:w="0" w:type="dxa"/>
            <w:left w:w="0" w:type="dxa"/>
            <w:bottom w:w="0" w:type="dxa"/>
            <w:right w:w="0" w:type="dxa"/>
          </w:tblCellMar>
        </w:tblPrEx>
        <w:trPr>
          <w:wBefore w:w="0" w:type="auto"/>
          <w:tblCellSpacing w:w="0" w:type="dxa"/>
        </w:trPr>
        <w:tc>
          <w:tcPr>
            <w:tcW w:w="0" w:type="auto"/>
            <w:noWrap w:val="0"/>
            <w:vAlign w:val="center"/>
          </w:tcPr>
          <w:p w14:paraId="66EE4FED">
            <w:r>
              <w:rPr>
                <w:rStyle w:val="10"/>
                <w:rFonts w:hint="eastAsia"/>
              </w:rPr>
              <w:t>总有效成分含量：</w:t>
            </w:r>
            <w:r>
              <w:rPr>
                <w:rFonts w:hint="eastAsia"/>
              </w:rPr>
              <w:t>20%</w:t>
            </w:r>
          </w:p>
        </w:tc>
      </w:tr>
      <w:tr w14:paraId="7B61DBF5">
        <w:tblPrEx>
          <w:tblCellMar>
            <w:top w:w="0" w:type="dxa"/>
            <w:left w:w="0" w:type="dxa"/>
            <w:bottom w:w="0" w:type="dxa"/>
            <w:right w:w="0" w:type="dxa"/>
          </w:tblCellMar>
        </w:tblPrEx>
        <w:trPr>
          <w:wBefore w:w="0" w:type="auto"/>
          <w:tblCellSpacing w:w="0" w:type="dxa"/>
        </w:trPr>
        <w:tc>
          <w:tcPr>
            <w:tcW w:w="0" w:type="auto"/>
            <w:noWrap w:val="0"/>
            <w:vAlign w:val="center"/>
          </w:tcPr>
          <w:p w14:paraId="22B76C22">
            <w:r>
              <w:rPr>
                <w:rFonts w:hint="eastAsia"/>
              </w:rPr>
              <w:t xml:space="preserve">有效成分及其含量： </w:t>
            </w:r>
          </w:p>
          <w:p w14:paraId="3B9D450D">
            <w:r>
              <w:rPr>
                <w:rFonts w:hint="eastAsia"/>
              </w:rPr>
              <w:t xml:space="preserve">    啶虫脒20%    </w:t>
            </w:r>
          </w:p>
        </w:tc>
      </w:tr>
      <w:tr w14:paraId="6F27D278">
        <w:tblPrEx>
          <w:tblCellMar>
            <w:top w:w="0" w:type="dxa"/>
            <w:left w:w="0" w:type="dxa"/>
            <w:bottom w:w="0" w:type="dxa"/>
            <w:right w:w="0" w:type="dxa"/>
          </w:tblCellMar>
        </w:tblPrEx>
        <w:trPr>
          <w:wBefore w:w="0" w:type="auto"/>
          <w:tblCellSpacing w:w="0" w:type="dxa"/>
        </w:trPr>
        <w:tc>
          <w:tcPr>
            <w:tcW w:w="0" w:type="auto"/>
            <w:noWrap w:val="0"/>
            <w:vAlign w:val="center"/>
          </w:tcPr>
          <w:p w14:paraId="7390AF8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EB3F0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E48F04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870574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E0C7B6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E91700">
                  <w:r>
                    <w:rPr>
                      <w:rStyle w:val="11"/>
                      <w:rFonts w:hint="eastAsia"/>
                    </w:rPr>
                    <w:t>施用方式</w:t>
                  </w:r>
                </w:p>
              </w:tc>
            </w:tr>
            <w:tr w14:paraId="3E422D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1B2983E">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BEF6CA">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CBB341">
                  <w:r>
                    <w:rPr>
                      <w:rStyle w:val="11"/>
                      <w:rFonts w:hint="eastAsia"/>
                    </w:rPr>
                    <w:t>20-30克/亩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82CA0D">
                  <w:r>
                    <w:rPr>
                      <w:rStyle w:val="11"/>
                      <w:rFonts w:hint="eastAsia"/>
                    </w:rPr>
                    <w:t>喷雾</w:t>
                  </w:r>
                </w:p>
              </w:tc>
            </w:tr>
          </w:tbl>
          <w:p w14:paraId="230ED9F1">
            <w:pPr>
              <w:rPr>
                <w:rFonts w:ascii="Times New Roman" w:hAnsi="Times New Roman" w:cs="Times New Roman"/>
                <w:sz w:val="20"/>
                <w:szCs w:val="20"/>
              </w:rPr>
            </w:pPr>
          </w:p>
        </w:tc>
      </w:tr>
      <w:tr w14:paraId="5C48DFA0">
        <w:tblPrEx>
          <w:tblCellMar>
            <w:top w:w="0" w:type="dxa"/>
            <w:left w:w="0" w:type="dxa"/>
            <w:bottom w:w="0" w:type="dxa"/>
            <w:right w:w="0" w:type="dxa"/>
          </w:tblCellMar>
        </w:tblPrEx>
        <w:trPr>
          <w:wBefore w:w="0" w:type="auto"/>
          <w:tblCellSpacing w:w="0" w:type="dxa"/>
        </w:trPr>
        <w:tc>
          <w:tcPr>
            <w:tcW w:w="0" w:type="auto"/>
            <w:noWrap w:val="0"/>
            <w:vAlign w:val="center"/>
          </w:tcPr>
          <w:p w14:paraId="49151C06">
            <w:r>
              <w:rPr>
                <w:rStyle w:val="10"/>
                <w:rFonts w:hint="eastAsia"/>
              </w:rPr>
              <w:t>使用技术要求:</w:t>
            </w:r>
            <w:r>
              <w:rPr>
                <w:rFonts w:hint="eastAsia"/>
              </w:rPr>
              <w:br w:type="textWrapping"/>
            </w:r>
            <w:r>
              <w:rPr>
                <w:rStyle w:val="11"/>
                <w:rFonts w:hint="eastAsia"/>
              </w:rPr>
              <w:t>1. 本品于黄瓜蚜虫盛发期施药。2. 大风天或预计1小时内降雨，请勿施药。3. 本品在黄瓜上的安全间隔期为7天，每季最多使用次数为1次。</w:t>
            </w:r>
          </w:p>
        </w:tc>
      </w:tr>
      <w:tr w14:paraId="5C3AD721">
        <w:tblPrEx>
          <w:tblCellMar>
            <w:top w:w="0" w:type="dxa"/>
            <w:left w:w="0" w:type="dxa"/>
            <w:bottom w:w="0" w:type="dxa"/>
            <w:right w:w="0" w:type="dxa"/>
          </w:tblCellMar>
        </w:tblPrEx>
        <w:trPr>
          <w:wBefore w:w="0" w:type="auto"/>
          <w:tblCellSpacing w:w="0" w:type="dxa"/>
        </w:trPr>
        <w:tc>
          <w:tcPr>
            <w:tcW w:w="0" w:type="auto"/>
            <w:noWrap w:val="0"/>
            <w:vAlign w:val="center"/>
          </w:tcPr>
          <w:p w14:paraId="340BCD2E">
            <w:r>
              <w:rPr>
                <w:rStyle w:val="10"/>
                <w:rFonts w:hint="eastAsia"/>
              </w:rPr>
              <w:t>产品性能:</w:t>
            </w:r>
            <w:r>
              <w:rPr>
                <w:rFonts w:hint="eastAsia"/>
              </w:rPr>
              <w:br w:type="textWrapping"/>
            </w:r>
            <w:r>
              <w:rPr>
                <w:rStyle w:val="11"/>
                <w:rFonts w:hint="eastAsia"/>
              </w:rPr>
              <w:t>本品具有触杀和胃毒作用，并有较强渗透作用；按推荐剂量使用，对黄瓜蚜虫有防治效果。</w:t>
            </w:r>
          </w:p>
        </w:tc>
      </w:tr>
      <w:tr w14:paraId="70B403A4">
        <w:tblPrEx>
          <w:tblCellMar>
            <w:top w:w="0" w:type="dxa"/>
            <w:left w:w="0" w:type="dxa"/>
            <w:bottom w:w="0" w:type="dxa"/>
            <w:right w:w="0" w:type="dxa"/>
          </w:tblCellMar>
        </w:tblPrEx>
        <w:trPr>
          <w:wBefore w:w="0" w:type="auto"/>
          <w:tblCellSpacing w:w="0" w:type="dxa"/>
        </w:trPr>
        <w:tc>
          <w:tcPr>
            <w:tcW w:w="0" w:type="auto"/>
            <w:noWrap w:val="0"/>
            <w:vAlign w:val="center"/>
          </w:tcPr>
          <w:p w14:paraId="657D7C41">
            <w:r>
              <w:rPr>
                <w:rStyle w:val="10"/>
                <w:rFonts w:hint="eastAsia"/>
              </w:rPr>
              <w:t>注意事项：</w:t>
            </w:r>
            <w:r>
              <w:rPr>
                <w:rFonts w:hint="eastAsia"/>
              </w:rPr>
              <w:br w:type="textWrapping"/>
            </w:r>
            <w:r>
              <w:rPr>
                <w:rStyle w:val="11"/>
                <w:rFonts w:hint="eastAsia"/>
              </w:rPr>
              <w:t>1. 本品不可与呈碱性的农药等物质混合使用。2. 建议与其他作用机制不同的杀虫剂轮换使用，以延缓抗性产生。3. 本品对蜜蜂、鱼类等水生生物、家蚕有毒，施药期间应避免对周围蜂群的影响、蜜源作物花期、蚕室和桑园附近禁用。远离水产养殖区施药，禁止在河塘等水体中清洗施药器具。4. 使用本品时应穿戴防护服和手套，避免吸入药液和药粉。施药期间不可以吃东西和饮水。施药后应及时洗手和洗脸。5. 孕妇和哺乳期妇女避免接触。6. 用过的容器应妥善处理，不可做他用，也不可随意丢弃。</w:t>
            </w:r>
          </w:p>
        </w:tc>
      </w:tr>
      <w:tr w14:paraId="2BBD2D64">
        <w:tblPrEx>
          <w:tblCellMar>
            <w:top w:w="0" w:type="dxa"/>
            <w:left w:w="0" w:type="dxa"/>
            <w:bottom w:w="0" w:type="dxa"/>
            <w:right w:w="0" w:type="dxa"/>
          </w:tblCellMar>
        </w:tblPrEx>
        <w:trPr>
          <w:wBefore w:w="0" w:type="auto"/>
          <w:tblCellSpacing w:w="0" w:type="dxa"/>
        </w:trPr>
        <w:tc>
          <w:tcPr>
            <w:tcW w:w="0" w:type="auto"/>
            <w:noWrap w:val="0"/>
            <w:vAlign w:val="center"/>
          </w:tcPr>
          <w:p w14:paraId="07D3737A">
            <w:r>
              <w:rPr>
                <w:rStyle w:val="10"/>
                <w:rFonts w:hint="eastAsia"/>
              </w:rPr>
              <w:t>中毒急救措施：</w:t>
            </w:r>
            <w:r>
              <w:rPr>
                <w:rFonts w:hint="eastAsia"/>
              </w:rPr>
              <w:br w:type="textWrapping"/>
            </w:r>
            <w:r>
              <w:rPr>
                <w:rStyle w:val="11"/>
                <w:rFonts w:hint="eastAsia"/>
              </w:rPr>
              <w:t>中毒症状：有轻微的呕吐与腹泻，无全身中毒症状；不慎吸入，应送至新鲜空气处，松开衣扣，使其呼吸顺畅，必要时送往医院；不慎接触皮肤或溅入眼睛，应用大量清水冲洗至少15分钟，若用大量清水冲洗眼睛后仍有刺激感，要进行眼科专门治疗；若误服，应立即进行催吐，并携带本标签将病人送医院对症治疗，无特殊解毒剂。</w:t>
            </w:r>
          </w:p>
        </w:tc>
      </w:tr>
      <w:tr w14:paraId="159F4460">
        <w:tblPrEx>
          <w:tblCellMar>
            <w:top w:w="0" w:type="dxa"/>
            <w:left w:w="0" w:type="dxa"/>
            <w:bottom w:w="0" w:type="dxa"/>
            <w:right w:w="0" w:type="dxa"/>
          </w:tblCellMar>
        </w:tblPrEx>
        <w:trPr>
          <w:wBefore w:w="0" w:type="auto"/>
          <w:tblCellSpacing w:w="0" w:type="dxa"/>
        </w:trPr>
        <w:tc>
          <w:tcPr>
            <w:tcW w:w="0" w:type="auto"/>
            <w:noWrap w:val="0"/>
            <w:vAlign w:val="center"/>
          </w:tcPr>
          <w:p w14:paraId="5D86F755">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本品应贮存在干燥、阴凉、通风、防雨处，远离火源或热源。置于儿童触及不到之处，并加锁。勿与食物、饮料、饲料等其他商品同贮同运。</w:t>
            </w:r>
          </w:p>
        </w:tc>
      </w:tr>
      <w:tr w14:paraId="0DE7D118">
        <w:tblPrEx>
          <w:tblCellMar>
            <w:top w:w="0" w:type="dxa"/>
            <w:left w:w="0" w:type="dxa"/>
            <w:bottom w:w="0" w:type="dxa"/>
            <w:right w:w="0" w:type="dxa"/>
          </w:tblCellMar>
        </w:tblPrEx>
        <w:trPr>
          <w:wBefore w:w="0" w:type="auto"/>
          <w:tblCellSpacing w:w="0" w:type="dxa"/>
        </w:trPr>
        <w:tc>
          <w:tcPr>
            <w:tcW w:w="0" w:type="auto"/>
            <w:noWrap w:val="0"/>
            <w:vAlign w:val="center"/>
          </w:tcPr>
          <w:p w14:paraId="4A37569F">
            <w:r>
              <w:rPr>
                <w:rStyle w:val="10"/>
                <w:rFonts w:hint="eastAsia"/>
              </w:rPr>
              <w:t>质量保证期：</w:t>
            </w:r>
            <w:r>
              <w:rPr>
                <w:rStyle w:val="11"/>
                <w:rFonts w:hint="eastAsia"/>
              </w:rPr>
              <w:t>2年</w:t>
            </w:r>
          </w:p>
        </w:tc>
      </w:tr>
      <w:tr w14:paraId="6AE338A6">
        <w:tblPrEx>
          <w:tblCellMar>
            <w:top w:w="0" w:type="dxa"/>
            <w:left w:w="0" w:type="dxa"/>
            <w:bottom w:w="0" w:type="dxa"/>
            <w:right w:w="0" w:type="dxa"/>
          </w:tblCellMar>
        </w:tblPrEx>
        <w:trPr>
          <w:wBefore w:w="0" w:type="auto"/>
          <w:tblCellSpacing w:w="0" w:type="dxa"/>
        </w:trPr>
        <w:tc>
          <w:tcPr>
            <w:tcW w:w="0" w:type="auto"/>
            <w:noWrap w:val="0"/>
            <w:vAlign w:val="center"/>
          </w:tcPr>
          <w:p w14:paraId="509F5842">
            <w:r>
              <w:rPr>
                <w:rStyle w:val="10"/>
                <w:rFonts w:hint="eastAsia"/>
              </w:rPr>
              <w:t>备注：</w:t>
            </w:r>
          </w:p>
        </w:tc>
      </w:tr>
    </w:tbl>
    <w:p w14:paraId="6CDF911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C9B8C58">
        <w:tblPrEx>
          <w:tblCellMar>
            <w:top w:w="0" w:type="dxa"/>
            <w:left w:w="0" w:type="dxa"/>
            <w:bottom w:w="0" w:type="dxa"/>
            <w:right w:w="0" w:type="dxa"/>
          </w:tblCellMar>
        </w:tblPrEx>
        <w:trPr>
          <w:wBefore w:w="0" w:type="auto"/>
          <w:tblCellSpacing w:w="0" w:type="dxa"/>
        </w:trPr>
        <w:tc>
          <w:tcPr>
            <w:tcW w:w="0" w:type="auto"/>
            <w:noWrap w:val="0"/>
            <w:vAlign w:val="center"/>
          </w:tcPr>
          <w:p w14:paraId="2409E843">
            <w:r>
              <w:rPr>
                <w:rStyle w:val="10"/>
                <w:rFonts w:hint="eastAsia"/>
              </w:rPr>
              <w:t>登记证号：</w:t>
            </w:r>
            <w:r>
              <w:rPr>
                <w:rFonts w:hint="eastAsia"/>
              </w:rPr>
              <w:t>PD20085092</w:t>
            </w:r>
          </w:p>
        </w:tc>
      </w:tr>
      <w:tr w14:paraId="7ADA4989">
        <w:tblPrEx>
          <w:tblCellMar>
            <w:top w:w="0" w:type="dxa"/>
            <w:left w:w="0" w:type="dxa"/>
            <w:bottom w:w="0" w:type="dxa"/>
            <w:right w:w="0" w:type="dxa"/>
          </w:tblCellMar>
        </w:tblPrEx>
        <w:trPr>
          <w:wBefore w:w="0" w:type="auto"/>
          <w:tblCellSpacing w:w="0" w:type="dxa"/>
        </w:trPr>
        <w:tc>
          <w:tcPr>
            <w:tcW w:w="0" w:type="auto"/>
            <w:noWrap w:val="0"/>
            <w:vAlign w:val="center"/>
          </w:tcPr>
          <w:p w14:paraId="1FE12000">
            <w:r>
              <w:rPr>
                <w:rStyle w:val="10"/>
                <w:rFonts w:hint="eastAsia"/>
              </w:rPr>
              <w:t>登记证持有人：</w:t>
            </w:r>
            <w:r>
              <w:rPr>
                <w:rFonts w:hint="eastAsia"/>
              </w:rPr>
              <w:t>山东麒麟农化有限公司</w:t>
            </w:r>
          </w:p>
        </w:tc>
      </w:tr>
      <w:tr w14:paraId="4905B121">
        <w:tblPrEx>
          <w:tblCellMar>
            <w:top w:w="0" w:type="dxa"/>
            <w:left w:w="0" w:type="dxa"/>
            <w:bottom w:w="0" w:type="dxa"/>
            <w:right w:w="0" w:type="dxa"/>
          </w:tblCellMar>
        </w:tblPrEx>
        <w:trPr>
          <w:wBefore w:w="0" w:type="auto"/>
          <w:tblCellSpacing w:w="0" w:type="dxa"/>
        </w:trPr>
        <w:tc>
          <w:tcPr>
            <w:tcW w:w="0" w:type="auto"/>
            <w:noWrap w:val="0"/>
            <w:vAlign w:val="center"/>
          </w:tcPr>
          <w:p w14:paraId="6E3982DC">
            <w:r>
              <w:rPr>
                <w:rStyle w:val="10"/>
                <w:rFonts w:hint="eastAsia"/>
              </w:rPr>
              <w:t>农药名称：</w:t>
            </w:r>
            <w:r>
              <w:rPr>
                <w:rFonts w:hint="eastAsia"/>
              </w:rPr>
              <w:t>啶虫脒</w:t>
            </w:r>
          </w:p>
        </w:tc>
      </w:tr>
      <w:tr w14:paraId="27B4795A">
        <w:tblPrEx>
          <w:tblCellMar>
            <w:top w:w="0" w:type="dxa"/>
            <w:left w:w="0" w:type="dxa"/>
            <w:bottom w:w="0" w:type="dxa"/>
            <w:right w:w="0" w:type="dxa"/>
          </w:tblCellMar>
        </w:tblPrEx>
        <w:trPr>
          <w:wBefore w:w="0" w:type="auto"/>
          <w:tblCellSpacing w:w="0" w:type="dxa"/>
        </w:trPr>
        <w:tc>
          <w:tcPr>
            <w:tcW w:w="0" w:type="auto"/>
            <w:noWrap w:val="0"/>
            <w:vAlign w:val="center"/>
          </w:tcPr>
          <w:p w14:paraId="27E6775C">
            <w:r>
              <w:rPr>
                <w:rStyle w:val="10"/>
                <w:rFonts w:hint="eastAsia"/>
              </w:rPr>
              <w:t>剂型：</w:t>
            </w:r>
            <w:r>
              <w:rPr>
                <w:rFonts w:hint="eastAsia"/>
              </w:rPr>
              <w:t>乳油</w:t>
            </w:r>
          </w:p>
        </w:tc>
      </w:tr>
      <w:tr w14:paraId="2848A204">
        <w:tblPrEx>
          <w:tblCellMar>
            <w:top w:w="0" w:type="dxa"/>
            <w:left w:w="0" w:type="dxa"/>
            <w:bottom w:w="0" w:type="dxa"/>
            <w:right w:w="0" w:type="dxa"/>
          </w:tblCellMar>
        </w:tblPrEx>
        <w:trPr>
          <w:wBefore w:w="0" w:type="auto"/>
          <w:tblCellSpacing w:w="0" w:type="dxa"/>
        </w:trPr>
        <w:tc>
          <w:tcPr>
            <w:tcW w:w="0" w:type="auto"/>
            <w:noWrap w:val="0"/>
            <w:vAlign w:val="center"/>
          </w:tcPr>
          <w:p w14:paraId="445FC8F0">
            <w:r>
              <w:rPr>
                <w:rStyle w:val="10"/>
                <w:rFonts w:hint="eastAsia"/>
              </w:rPr>
              <w:t>毒性及其标识：</w:t>
            </w:r>
            <w:r>
              <w:rPr>
                <w:rFonts w:hint="eastAsia"/>
              </w:rPr>
              <w:t xml:space="preserve"> </w:t>
            </w:r>
            <w:r>
              <w:rPr>
                <w:lang/>
              </w:rPr>
              <w:drawing>
                <wp:inline distT="0" distB="0" distL="114300" distR="114300">
                  <wp:extent cx="476250" cy="323850"/>
                  <wp:effectExtent l="0" t="0" r="0" b="0"/>
                  <wp:docPr id="459" name="图片 45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6FE5FA4">
        <w:tblPrEx>
          <w:tblCellMar>
            <w:top w:w="0" w:type="dxa"/>
            <w:left w:w="0" w:type="dxa"/>
            <w:bottom w:w="0" w:type="dxa"/>
            <w:right w:w="0" w:type="dxa"/>
          </w:tblCellMar>
        </w:tblPrEx>
        <w:trPr>
          <w:wBefore w:w="0" w:type="auto"/>
          <w:tblCellSpacing w:w="0" w:type="dxa"/>
        </w:trPr>
        <w:tc>
          <w:tcPr>
            <w:tcW w:w="0" w:type="auto"/>
            <w:noWrap w:val="0"/>
            <w:vAlign w:val="center"/>
          </w:tcPr>
          <w:p w14:paraId="3BD7E8C5">
            <w:r>
              <w:rPr>
                <w:rStyle w:val="10"/>
                <w:rFonts w:hint="eastAsia"/>
              </w:rPr>
              <w:t>总有效成分含量：</w:t>
            </w:r>
            <w:r>
              <w:rPr>
                <w:rFonts w:hint="eastAsia"/>
              </w:rPr>
              <w:t>5%</w:t>
            </w:r>
          </w:p>
        </w:tc>
      </w:tr>
      <w:tr w14:paraId="7774D2C8">
        <w:tblPrEx>
          <w:tblCellMar>
            <w:top w:w="0" w:type="dxa"/>
            <w:left w:w="0" w:type="dxa"/>
            <w:bottom w:w="0" w:type="dxa"/>
            <w:right w:w="0" w:type="dxa"/>
          </w:tblCellMar>
        </w:tblPrEx>
        <w:trPr>
          <w:wBefore w:w="0" w:type="auto"/>
          <w:tblCellSpacing w:w="0" w:type="dxa"/>
        </w:trPr>
        <w:tc>
          <w:tcPr>
            <w:tcW w:w="0" w:type="auto"/>
            <w:noWrap w:val="0"/>
            <w:vAlign w:val="center"/>
          </w:tcPr>
          <w:p w14:paraId="4E4D6D38">
            <w:r>
              <w:rPr>
                <w:rFonts w:hint="eastAsia"/>
              </w:rPr>
              <w:t xml:space="preserve">有效成分及其含量： </w:t>
            </w:r>
          </w:p>
          <w:p w14:paraId="61A22B03">
            <w:r>
              <w:rPr>
                <w:rFonts w:hint="eastAsia"/>
              </w:rPr>
              <w:t xml:space="preserve">    啶虫脒5%    </w:t>
            </w:r>
          </w:p>
        </w:tc>
      </w:tr>
      <w:tr w14:paraId="4A09BD35">
        <w:tblPrEx>
          <w:tblCellMar>
            <w:top w:w="0" w:type="dxa"/>
            <w:left w:w="0" w:type="dxa"/>
            <w:bottom w:w="0" w:type="dxa"/>
            <w:right w:w="0" w:type="dxa"/>
          </w:tblCellMar>
        </w:tblPrEx>
        <w:trPr>
          <w:wBefore w:w="0" w:type="auto"/>
          <w:tblCellSpacing w:w="0" w:type="dxa"/>
        </w:trPr>
        <w:tc>
          <w:tcPr>
            <w:tcW w:w="0" w:type="auto"/>
            <w:noWrap w:val="0"/>
            <w:vAlign w:val="center"/>
          </w:tcPr>
          <w:p w14:paraId="3FDC1AB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5D854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A8F52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A8E4D1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E7CC78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E8A076">
                  <w:r>
                    <w:rPr>
                      <w:rStyle w:val="11"/>
                      <w:rFonts w:hint="eastAsia"/>
                    </w:rPr>
                    <w:t>施用方式</w:t>
                  </w:r>
                </w:p>
              </w:tc>
            </w:tr>
            <w:tr w14:paraId="29C08C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C738A54">
                  <w:r>
                    <w:rPr>
                      <w:rStyle w:val="11"/>
                      <w:rFonts w:hint="eastAsia"/>
                    </w:rPr>
                    <w:t>苹果树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7F194D">
                  <w:r>
                    <w:rPr>
                      <w:rStyle w:val="11"/>
                      <w:rFonts w:hint="eastAsia"/>
                    </w:rPr>
                    <w:t>黄蚜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5996F8">
                  <w:r>
                    <w:rPr>
                      <w:rStyle w:val="11"/>
                      <w:rFonts w:hint="eastAsia"/>
                    </w:rPr>
                    <w:t>1500-2500倍液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F3EB41">
                  <w:r>
                    <w:rPr>
                      <w:rStyle w:val="11"/>
                      <w:rFonts w:hint="eastAsia"/>
                    </w:rPr>
                    <w:t>喷雾</w:t>
                  </w:r>
                </w:p>
              </w:tc>
            </w:tr>
          </w:tbl>
          <w:p w14:paraId="49DA8E76">
            <w:pPr>
              <w:rPr>
                <w:rFonts w:ascii="Times New Roman" w:hAnsi="Times New Roman" w:cs="Times New Roman"/>
                <w:sz w:val="20"/>
                <w:szCs w:val="20"/>
              </w:rPr>
            </w:pPr>
          </w:p>
        </w:tc>
      </w:tr>
      <w:tr w14:paraId="1E8CA0FC">
        <w:tblPrEx>
          <w:tblCellMar>
            <w:top w:w="0" w:type="dxa"/>
            <w:left w:w="0" w:type="dxa"/>
            <w:bottom w:w="0" w:type="dxa"/>
            <w:right w:w="0" w:type="dxa"/>
          </w:tblCellMar>
        </w:tblPrEx>
        <w:trPr>
          <w:wBefore w:w="0" w:type="auto"/>
          <w:tblCellSpacing w:w="0" w:type="dxa"/>
        </w:trPr>
        <w:tc>
          <w:tcPr>
            <w:tcW w:w="0" w:type="auto"/>
            <w:noWrap w:val="0"/>
            <w:vAlign w:val="center"/>
          </w:tcPr>
          <w:p w14:paraId="2D2ABA44">
            <w:r>
              <w:rPr>
                <w:rStyle w:val="10"/>
                <w:rFonts w:hint="eastAsia"/>
              </w:rPr>
              <w:t>使用技术要求:</w:t>
            </w:r>
            <w:r>
              <w:rPr>
                <w:rFonts w:hint="eastAsia"/>
              </w:rPr>
              <w:br w:type="textWrapping"/>
            </w:r>
            <w:r>
              <w:rPr>
                <w:rStyle w:val="11"/>
                <w:rFonts w:hint="eastAsia"/>
              </w:rPr>
              <w:t>于苹果黄蚜发生初盛期喷雾施药一次，有效成分含量为12-20毫克/千克，折合制剂用药量为稀释1500-2500倍。</w:t>
            </w:r>
          </w:p>
        </w:tc>
      </w:tr>
      <w:tr w14:paraId="440C5779">
        <w:tblPrEx>
          <w:tblCellMar>
            <w:top w:w="0" w:type="dxa"/>
            <w:left w:w="0" w:type="dxa"/>
            <w:bottom w:w="0" w:type="dxa"/>
            <w:right w:w="0" w:type="dxa"/>
          </w:tblCellMar>
        </w:tblPrEx>
        <w:trPr>
          <w:wBefore w:w="0" w:type="auto"/>
          <w:tblCellSpacing w:w="0" w:type="dxa"/>
        </w:trPr>
        <w:tc>
          <w:tcPr>
            <w:tcW w:w="0" w:type="auto"/>
            <w:noWrap w:val="0"/>
            <w:vAlign w:val="center"/>
          </w:tcPr>
          <w:p w14:paraId="5E731763">
            <w:r>
              <w:rPr>
                <w:rStyle w:val="10"/>
                <w:rFonts w:hint="eastAsia"/>
              </w:rPr>
              <w:t>产品性能:</w:t>
            </w:r>
            <w:r>
              <w:rPr>
                <w:rFonts w:hint="eastAsia"/>
              </w:rPr>
              <w:br w:type="textWrapping"/>
            </w:r>
            <w:r>
              <w:rPr>
                <w:rStyle w:val="11"/>
                <w:rFonts w:hint="eastAsia"/>
              </w:rPr>
              <w:t>该产品有较强的触杀和渗透作用，残效期较长，对苹果黄蚜虫有较好的防治效果。</w:t>
            </w:r>
          </w:p>
        </w:tc>
      </w:tr>
      <w:tr w14:paraId="16ED853C">
        <w:tblPrEx>
          <w:tblCellMar>
            <w:top w:w="0" w:type="dxa"/>
            <w:left w:w="0" w:type="dxa"/>
            <w:bottom w:w="0" w:type="dxa"/>
            <w:right w:w="0" w:type="dxa"/>
          </w:tblCellMar>
        </w:tblPrEx>
        <w:trPr>
          <w:wBefore w:w="0" w:type="auto"/>
          <w:tblCellSpacing w:w="0" w:type="dxa"/>
        </w:trPr>
        <w:tc>
          <w:tcPr>
            <w:tcW w:w="0" w:type="auto"/>
            <w:noWrap w:val="0"/>
            <w:vAlign w:val="center"/>
          </w:tcPr>
          <w:p w14:paraId="3DABDABE">
            <w:r>
              <w:rPr>
                <w:rStyle w:val="10"/>
                <w:rFonts w:hint="eastAsia"/>
              </w:rPr>
              <w:t>注意事项：</w:t>
            </w:r>
            <w:r>
              <w:rPr>
                <w:rFonts w:hint="eastAsia"/>
              </w:rPr>
              <w:br w:type="textWrapping"/>
            </w:r>
            <w:r>
              <w:rPr>
                <w:rStyle w:val="11"/>
                <w:rFonts w:hint="eastAsia"/>
              </w:rPr>
              <w:t>1、本品在苹果上的安全间隔期为30天，每季最多使用1次。2、不能与呈碱性的农药等物质混合使用以免降低药效。3、本品对蜜蜂、鱼类等水生生物、家蚕有毒，施药期间应避免对周围蜂群的影响、蜜源作物花期、蚕室和桑园附近禁用。远离水产养殖区施药，禁止在河塘等水体中清洗施药器具。4、使用本品时应穿戴防护服和手套，避免吸入药液。施药期间不可以吃东西和饮水。施药后应及时洗手和洗脸。5、用剩后药液应妥善处理，禁止倒入池塘，避免对水源和水生生物的影响。6、避免孕妇和哺乳期妇女接触。</w:t>
            </w:r>
          </w:p>
        </w:tc>
      </w:tr>
      <w:tr w14:paraId="07CB904C">
        <w:tblPrEx>
          <w:tblCellMar>
            <w:top w:w="0" w:type="dxa"/>
            <w:left w:w="0" w:type="dxa"/>
            <w:bottom w:w="0" w:type="dxa"/>
            <w:right w:w="0" w:type="dxa"/>
          </w:tblCellMar>
        </w:tblPrEx>
        <w:trPr>
          <w:wBefore w:w="0" w:type="auto"/>
          <w:tblCellSpacing w:w="0" w:type="dxa"/>
        </w:trPr>
        <w:tc>
          <w:tcPr>
            <w:tcW w:w="0" w:type="auto"/>
            <w:noWrap w:val="0"/>
            <w:vAlign w:val="center"/>
          </w:tcPr>
          <w:p w14:paraId="62B0AEEB">
            <w:r>
              <w:rPr>
                <w:rStyle w:val="10"/>
                <w:rFonts w:hint="eastAsia"/>
              </w:rPr>
              <w:t>中毒急救措施：</w:t>
            </w:r>
            <w:r>
              <w:rPr>
                <w:rFonts w:hint="eastAsia"/>
              </w:rPr>
              <w:br w:type="textWrapping"/>
            </w:r>
            <w:r>
              <w:rPr>
                <w:rStyle w:val="11"/>
                <w:rFonts w:hint="eastAsia"/>
              </w:rPr>
              <w:t>中毒症状：本品对人畜低毒。如溅入眼睛中，立刻用大量清水冲洗最少15分钟，送医院诊治。如溅到皮肤上，应除去被溅及衣服并立刻用肥皂和大量清水冲洗，被溅衣服须洗涤后才能使用。万一中毒或误服，携带此标签，立即送医院对症治疗。</w:t>
            </w:r>
          </w:p>
        </w:tc>
      </w:tr>
      <w:tr w14:paraId="12F64927">
        <w:tblPrEx>
          <w:tblCellMar>
            <w:top w:w="0" w:type="dxa"/>
            <w:left w:w="0" w:type="dxa"/>
            <w:bottom w:w="0" w:type="dxa"/>
            <w:right w:w="0" w:type="dxa"/>
          </w:tblCellMar>
        </w:tblPrEx>
        <w:trPr>
          <w:wBefore w:w="0" w:type="auto"/>
          <w:tblCellSpacing w:w="0" w:type="dxa"/>
        </w:trPr>
        <w:tc>
          <w:tcPr>
            <w:tcW w:w="0" w:type="auto"/>
            <w:noWrap w:val="0"/>
            <w:vAlign w:val="center"/>
          </w:tcPr>
          <w:p w14:paraId="6F2C901F">
            <w:r>
              <w:rPr>
                <w:rStyle w:val="10"/>
                <w:rFonts w:hint="eastAsia"/>
              </w:rPr>
              <w:t>储存和运输方法：</w:t>
            </w:r>
            <w:r>
              <w:rPr>
                <w:rFonts w:hint="eastAsia"/>
              </w:rPr>
              <w:br w:type="textWrapping"/>
            </w:r>
            <w:r>
              <w:rPr>
                <w:rStyle w:val="11"/>
                <w:rFonts w:hint="eastAsia"/>
              </w:rPr>
              <w:t>1、要求贮存于阴凉、干燥、通风处，防止受潮，隔热防晒，远离火源。2、不可与粮食、饮料、饲料、食品同贮同运。3、贮存在儿童接触不到的地方。4、用过的容器应妥善处理，不可做他用，也不可随意丢弃。</w:t>
            </w:r>
          </w:p>
        </w:tc>
      </w:tr>
      <w:tr w14:paraId="206C3F7A">
        <w:tblPrEx>
          <w:tblCellMar>
            <w:top w:w="0" w:type="dxa"/>
            <w:left w:w="0" w:type="dxa"/>
            <w:bottom w:w="0" w:type="dxa"/>
            <w:right w:w="0" w:type="dxa"/>
          </w:tblCellMar>
        </w:tblPrEx>
        <w:trPr>
          <w:wBefore w:w="0" w:type="auto"/>
          <w:tblCellSpacing w:w="0" w:type="dxa"/>
        </w:trPr>
        <w:tc>
          <w:tcPr>
            <w:tcW w:w="0" w:type="auto"/>
            <w:noWrap w:val="0"/>
            <w:vAlign w:val="center"/>
          </w:tcPr>
          <w:p w14:paraId="46E31EF4">
            <w:r>
              <w:rPr>
                <w:rStyle w:val="10"/>
                <w:rFonts w:hint="eastAsia"/>
              </w:rPr>
              <w:t>质量保证期：</w:t>
            </w:r>
            <w:r>
              <w:rPr>
                <w:rStyle w:val="11"/>
                <w:rFonts w:hint="eastAsia"/>
              </w:rPr>
              <w:t>2年</w:t>
            </w:r>
          </w:p>
        </w:tc>
      </w:tr>
      <w:tr w14:paraId="015EEC4F">
        <w:tblPrEx>
          <w:tblCellMar>
            <w:top w:w="0" w:type="dxa"/>
            <w:left w:w="0" w:type="dxa"/>
            <w:bottom w:w="0" w:type="dxa"/>
            <w:right w:w="0" w:type="dxa"/>
          </w:tblCellMar>
        </w:tblPrEx>
        <w:trPr>
          <w:wBefore w:w="0" w:type="auto"/>
          <w:tblCellSpacing w:w="0" w:type="dxa"/>
        </w:trPr>
        <w:tc>
          <w:tcPr>
            <w:tcW w:w="0" w:type="auto"/>
            <w:noWrap w:val="0"/>
            <w:vAlign w:val="center"/>
          </w:tcPr>
          <w:p w14:paraId="5BA4208D">
            <w:r>
              <w:rPr>
                <w:rStyle w:val="10"/>
                <w:rFonts w:hint="eastAsia"/>
              </w:rPr>
              <w:t>备注：</w:t>
            </w:r>
          </w:p>
        </w:tc>
      </w:tr>
    </w:tbl>
    <w:p w14:paraId="724D6ED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9BD336">
        <w:tblPrEx>
          <w:tblCellMar>
            <w:top w:w="0" w:type="dxa"/>
            <w:left w:w="0" w:type="dxa"/>
            <w:bottom w:w="0" w:type="dxa"/>
            <w:right w:w="0" w:type="dxa"/>
          </w:tblCellMar>
        </w:tblPrEx>
        <w:trPr>
          <w:wBefore w:w="0" w:type="auto"/>
          <w:tblCellSpacing w:w="0" w:type="dxa"/>
        </w:trPr>
        <w:tc>
          <w:tcPr>
            <w:tcW w:w="0" w:type="auto"/>
            <w:noWrap w:val="0"/>
            <w:vAlign w:val="center"/>
          </w:tcPr>
          <w:p w14:paraId="2E56E6F0">
            <w:r>
              <w:rPr>
                <w:rStyle w:val="10"/>
                <w:rFonts w:hint="eastAsia"/>
              </w:rPr>
              <w:t>登记证号：</w:t>
            </w:r>
            <w:r>
              <w:rPr>
                <w:rFonts w:hint="eastAsia"/>
              </w:rPr>
              <w:t>PD20212065</w:t>
            </w:r>
          </w:p>
        </w:tc>
      </w:tr>
      <w:tr w14:paraId="22C3F124">
        <w:tblPrEx>
          <w:tblCellMar>
            <w:top w:w="0" w:type="dxa"/>
            <w:left w:w="0" w:type="dxa"/>
            <w:bottom w:w="0" w:type="dxa"/>
            <w:right w:w="0" w:type="dxa"/>
          </w:tblCellMar>
        </w:tblPrEx>
        <w:trPr>
          <w:wBefore w:w="0" w:type="auto"/>
          <w:tblCellSpacing w:w="0" w:type="dxa"/>
        </w:trPr>
        <w:tc>
          <w:tcPr>
            <w:tcW w:w="0" w:type="auto"/>
            <w:noWrap w:val="0"/>
            <w:vAlign w:val="center"/>
          </w:tcPr>
          <w:p w14:paraId="74A7C18F">
            <w:r>
              <w:rPr>
                <w:rStyle w:val="10"/>
                <w:rFonts w:hint="eastAsia"/>
              </w:rPr>
              <w:t>登记证持有人：</w:t>
            </w:r>
            <w:r>
              <w:rPr>
                <w:rFonts w:hint="eastAsia"/>
              </w:rPr>
              <w:t>江苏禾裕泰化学有限公司</w:t>
            </w:r>
          </w:p>
        </w:tc>
      </w:tr>
      <w:tr w14:paraId="5C0361DC">
        <w:tblPrEx>
          <w:tblCellMar>
            <w:top w:w="0" w:type="dxa"/>
            <w:left w:w="0" w:type="dxa"/>
            <w:bottom w:w="0" w:type="dxa"/>
            <w:right w:w="0" w:type="dxa"/>
          </w:tblCellMar>
        </w:tblPrEx>
        <w:trPr>
          <w:wBefore w:w="0" w:type="auto"/>
          <w:tblCellSpacing w:w="0" w:type="dxa"/>
        </w:trPr>
        <w:tc>
          <w:tcPr>
            <w:tcW w:w="0" w:type="auto"/>
            <w:noWrap w:val="0"/>
            <w:vAlign w:val="center"/>
          </w:tcPr>
          <w:p w14:paraId="28E29524">
            <w:r>
              <w:rPr>
                <w:rStyle w:val="10"/>
                <w:rFonts w:hint="eastAsia"/>
              </w:rPr>
              <w:t>农药名称：</w:t>
            </w:r>
            <w:r>
              <w:rPr>
                <w:rFonts w:hint="eastAsia"/>
              </w:rPr>
              <w:t>乙烯利</w:t>
            </w:r>
          </w:p>
        </w:tc>
      </w:tr>
      <w:tr w14:paraId="77B9679C">
        <w:tblPrEx>
          <w:tblCellMar>
            <w:top w:w="0" w:type="dxa"/>
            <w:left w:w="0" w:type="dxa"/>
            <w:bottom w:w="0" w:type="dxa"/>
            <w:right w:w="0" w:type="dxa"/>
          </w:tblCellMar>
        </w:tblPrEx>
        <w:trPr>
          <w:wBefore w:w="0" w:type="auto"/>
          <w:tblCellSpacing w:w="0" w:type="dxa"/>
        </w:trPr>
        <w:tc>
          <w:tcPr>
            <w:tcW w:w="0" w:type="auto"/>
            <w:noWrap w:val="0"/>
            <w:vAlign w:val="center"/>
          </w:tcPr>
          <w:p w14:paraId="6A919392">
            <w:r>
              <w:rPr>
                <w:rStyle w:val="10"/>
                <w:rFonts w:hint="eastAsia"/>
              </w:rPr>
              <w:t>剂型：</w:t>
            </w:r>
            <w:r>
              <w:rPr>
                <w:rFonts w:hint="eastAsia"/>
              </w:rPr>
              <w:t>可溶液剂</w:t>
            </w:r>
          </w:p>
        </w:tc>
      </w:tr>
      <w:tr w14:paraId="1F6DC011">
        <w:tblPrEx>
          <w:tblCellMar>
            <w:top w:w="0" w:type="dxa"/>
            <w:left w:w="0" w:type="dxa"/>
            <w:bottom w:w="0" w:type="dxa"/>
            <w:right w:w="0" w:type="dxa"/>
          </w:tblCellMar>
        </w:tblPrEx>
        <w:trPr>
          <w:wBefore w:w="0" w:type="auto"/>
          <w:tblCellSpacing w:w="0" w:type="dxa"/>
        </w:trPr>
        <w:tc>
          <w:tcPr>
            <w:tcW w:w="0" w:type="auto"/>
            <w:noWrap w:val="0"/>
            <w:vAlign w:val="center"/>
          </w:tcPr>
          <w:p w14:paraId="3F1607DA">
            <w:r>
              <w:rPr>
                <w:rStyle w:val="10"/>
                <w:rFonts w:hint="eastAsia"/>
              </w:rPr>
              <w:t>毒性及其标识：</w:t>
            </w:r>
            <w:r>
              <w:rPr>
                <w:rFonts w:hint="eastAsia"/>
              </w:rPr>
              <w:t xml:space="preserve"> </w:t>
            </w:r>
            <w:r>
              <w:rPr>
                <w:lang/>
              </w:rPr>
              <w:drawing>
                <wp:inline distT="0" distB="0" distL="114300" distR="114300">
                  <wp:extent cx="476250" cy="323850"/>
                  <wp:effectExtent l="0" t="0" r="0" b="0"/>
                  <wp:docPr id="460" name="图片 46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12F1A26">
        <w:tblPrEx>
          <w:tblCellMar>
            <w:top w:w="0" w:type="dxa"/>
            <w:left w:w="0" w:type="dxa"/>
            <w:bottom w:w="0" w:type="dxa"/>
            <w:right w:w="0" w:type="dxa"/>
          </w:tblCellMar>
        </w:tblPrEx>
        <w:trPr>
          <w:wBefore w:w="0" w:type="auto"/>
          <w:tblCellSpacing w:w="0" w:type="dxa"/>
        </w:trPr>
        <w:tc>
          <w:tcPr>
            <w:tcW w:w="0" w:type="auto"/>
            <w:noWrap w:val="0"/>
            <w:vAlign w:val="center"/>
          </w:tcPr>
          <w:p w14:paraId="6AF1FBF4">
            <w:r>
              <w:rPr>
                <w:rStyle w:val="10"/>
                <w:rFonts w:hint="eastAsia"/>
              </w:rPr>
              <w:t>总有效成分含量：</w:t>
            </w:r>
            <w:r>
              <w:rPr>
                <w:rFonts w:hint="eastAsia"/>
              </w:rPr>
              <w:t>40%</w:t>
            </w:r>
          </w:p>
        </w:tc>
      </w:tr>
      <w:tr w14:paraId="0C4BA974">
        <w:tblPrEx>
          <w:tblCellMar>
            <w:top w:w="0" w:type="dxa"/>
            <w:left w:w="0" w:type="dxa"/>
            <w:bottom w:w="0" w:type="dxa"/>
            <w:right w:w="0" w:type="dxa"/>
          </w:tblCellMar>
        </w:tblPrEx>
        <w:trPr>
          <w:wBefore w:w="0" w:type="auto"/>
          <w:tblCellSpacing w:w="0" w:type="dxa"/>
        </w:trPr>
        <w:tc>
          <w:tcPr>
            <w:tcW w:w="0" w:type="auto"/>
            <w:noWrap w:val="0"/>
            <w:vAlign w:val="center"/>
          </w:tcPr>
          <w:p w14:paraId="263EF923">
            <w:r>
              <w:rPr>
                <w:rFonts w:hint="eastAsia"/>
              </w:rPr>
              <w:t xml:space="preserve">有效成分及其含量： </w:t>
            </w:r>
          </w:p>
          <w:p w14:paraId="441DF101">
            <w:r>
              <w:rPr>
                <w:rFonts w:hint="eastAsia"/>
              </w:rPr>
              <w:t xml:space="preserve">    乙烯利40%    </w:t>
            </w:r>
          </w:p>
        </w:tc>
      </w:tr>
      <w:tr w14:paraId="28874296">
        <w:tblPrEx>
          <w:tblCellMar>
            <w:top w:w="0" w:type="dxa"/>
            <w:left w:w="0" w:type="dxa"/>
            <w:bottom w:w="0" w:type="dxa"/>
            <w:right w:w="0" w:type="dxa"/>
          </w:tblCellMar>
        </w:tblPrEx>
        <w:trPr>
          <w:wBefore w:w="0" w:type="auto"/>
          <w:tblCellSpacing w:w="0" w:type="dxa"/>
        </w:trPr>
        <w:tc>
          <w:tcPr>
            <w:tcW w:w="0" w:type="auto"/>
            <w:noWrap w:val="0"/>
            <w:vAlign w:val="center"/>
          </w:tcPr>
          <w:p w14:paraId="755184B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DF2D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29E595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B825D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473F3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5877871">
                  <w:r>
                    <w:rPr>
                      <w:rStyle w:val="11"/>
                      <w:rFonts w:hint="eastAsia"/>
                    </w:rPr>
                    <w:t>施用方式</w:t>
                  </w:r>
                </w:p>
              </w:tc>
            </w:tr>
            <w:tr w14:paraId="43EE6B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7F1215C">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EDC4B7">
                  <w:r>
                    <w:rPr>
                      <w:rStyle w:val="11"/>
                      <w:rFonts w:hint="eastAsia"/>
                    </w:rPr>
                    <w:t>催熟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965ED4">
                  <w:r>
                    <w:rPr>
                      <w:rStyle w:val="11"/>
                      <w:rFonts w:hint="eastAsia"/>
                    </w:rPr>
                    <w:t>350-500倍液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F73BBB">
                  <w:r>
                    <w:rPr>
                      <w:rStyle w:val="11"/>
                      <w:rFonts w:hint="eastAsia"/>
                    </w:rPr>
                    <w:t>喷雾</w:t>
                  </w:r>
                </w:p>
              </w:tc>
            </w:tr>
          </w:tbl>
          <w:p w14:paraId="7E5287EC">
            <w:pPr>
              <w:rPr>
                <w:rFonts w:ascii="Times New Roman" w:hAnsi="Times New Roman" w:cs="Times New Roman"/>
                <w:sz w:val="20"/>
                <w:szCs w:val="20"/>
              </w:rPr>
            </w:pPr>
          </w:p>
        </w:tc>
      </w:tr>
      <w:tr w14:paraId="2047991A">
        <w:tblPrEx>
          <w:tblCellMar>
            <w:top w:w="0" w:type="dxa"/>
            <w:left w:w="0" w:type="dxa"/>
            <w:bottom w:w="0" w:type="dxa"/>
            <w:right w:w="0" w:type="dxa"/>
          </w:tblCellMar>
        </w:tblPrEx>
        <w:trPr>
          <w:wBefore w:w="0" w:type="auto"/>
          <w:tblCellSpacing w:w="0" w:type="dxa"/>
        </w:trPr>
        <w:tc>
          <w:tcPr>
            <w:tcW w:w="0" w:type="auto"/>
            <w:noWrap w:val="0"/>
            <w:vAlign w:val="center"/>
          </w:tcPr>
          <w:p w14:paraId="540046FE">
            <w:r>
              <w:rPr>
                <w:rStyle w:val="10"/>
                <w:rFonts w:hint="eastAsia"/>
              </w:rPr>
              <w:t>使用技术要求:</w:t>
            </w:r>
            <w:r>
              <w:rPr>
                <w:rFonts w:hint="eastAsia"/>
              </w:rPr>
              <w:br w:type="textWrapping"/>
            </w:r>
            <w:r>
              <w:rPr>
                <w:rStyle w:val="11"/>
                <w:rFonts w:hint="eastAsia"/>
              </w:rPr>
              <w:t>1.在棉花吐絮率约达40-50%时，以推荐剂量对水均匀喷雾施药一次。2.现配现用，配好的药液切勿放置过久，以免分解失效；大风天或暴雨前，切勿施药。3.最多施药1次，安全间隔期21天。</w:t>
            </w:r>
          </w:p>
        </w:tc>
      </w:tr>
      <w:tr w14:paraId="65B6BD2C">
        <w:tblPrEx>
          <w:tblCellMar>
            <w:top w:w="0" w:type="dxa"/>
            <w:left w:w="0" w:type="dxa"/>
            <w:bottom w:w="0" w:type="dxa"/>
            <w:right w:w="0" w:type="dxa"/>
          </w:tblCellMar>
        </w:tblPrEx>
        <w:trPr>
          <w:wBefore w:w="0" w:type="auto"/>
          <w:tblCellSpacing w:w="0" w:type="dxa"/>
        </w:trPr>
        <w:tc>
          <w:tcPr>
            <w:tcW w:w="0" w:type="auto"/>
            <w:noWrap w:val="0"/>
            <w:vAlign w:val="center"/>
          </w:tcPr>
          <w:p w14:paraId="7E6EE680">
            <w:r>
              <w:rPr>
                <w:rStyle w:val="10"/>
                <w:rFonts w:hint="eastAsia"/>
              </w:rPr>
              <w:t>产品性能:</w:t>
            </w:r>
            <w:r>
              <w:rPr>
                <w:rFonts w:hint="eastAsia"/>
              </w:rPr>
              <w:br w:type="textWrapping"/>
            </w:r>
            <w:r>
              <w:rPr>
                <w:rStyle w:val="11"/>
                <w:rFonts w:hint="eastAsia"/>
              </w:rPr>
              <w:t>乙烯利是一种有机磷类植物生长调节剂，经由植物的叶片、果实和种子进入植物体内，传导至作用部位释放出乙烯，可促进果实成熟及叶片、果实脱落、矮化植株、改变雌雄花比率，诱导某些作物雄性不育等。</w:t>
            </w:r>
          </w:p>
        </w:tc>
      </w:tr>
      <w:tr w14:paraId="217039C6">
        <w:tblPrEx>
          <w:tblCellMar>
            <w:top w:w="0" w:type="dxa"/>
            <w:left w:w="0" w:type="dxa"/>
            <w:bottom w:w="0" w:type="dxa"/>
            <w:right w:w="0" w:type="dxa"/>
          </w:tblCellMar>
        </w:tblPrEx>
        <w:trPr>
          <w:wBefore w:w="0" w:type="auto"/>
          <w:tblCellSpacing w:w="0" w:type="dxa"/>
        </w:trPr>
        <w:tc>
          <w:tcPr>
            <w:tcW w:w="0" w:type="auto"/>
            <w:noWrap w:val="0"/>
            <w:vAlign w:val="center"/>
          </w:tcPr>
          <w:p w14:paraId="5BFD0DA2">
            <w:r>
              <w:rPr>
                <w:rStyle w:val="10"/>
                <w:rFonts w:hint="eastAsia"/>
              </w:rPr>
              <w:t>注意事项：</w:t>
            </w:r>
            <w:r>
              <w:rPr>
                <w:rFonts w:hint="eastAsia"/>
              </w:rPr>
              <w:br w:type="textWrapping"/>
            </w:r>
            <w:r>
              <w:rPr>
                <w:rStyle w:val="11"/>
                <w:rFonts w:hint="eastAsia"/>
              </w:rPr>
              <w:t>1.本品不得与碱性农药、金属盐和金属（铝、铜、铁）混放，以免分解失效。避免与氧化剂接触。2.本品具有腐蚀性，对皮肤、粘膜、眼睛有强烈的刺激性，使用时要穿戴防护服、手套、口罩和护目镜，避免沾染皮肤和眼睛。工作结束后，应用肥皂和清水洗脸、手和裸露部位。3.泄漏处理：隔离泄漏污染区，限制出入、切断火源；建议应急人员穿戴防护服、手套和口罩，切勿直接接触泄漏物。4.禁止在河塘等水体中清洗施药器具。5.产品包装等废弃物须妥善收回，不得随意丢弃，也不可作他用。6.孕妇及哺乳期妇女应避免接触此药。</w:t>
            </w:r>
          </w:p>
        </w:tc>
      </w:tr>
      <w:tr w14:paraId="356F1B16">
        <w:tblPrEx>
          <w:tblCellMar>
            <w:top w:w="0" w:type="dxa"/>
            <w:left w:w="0" w:type="dxa"/>
            <w:bottom w:w="0" w:type="dxa"/>
            <w:right w:w="0" w:type="dxa"/>
          </w:tblCellMar>
        </w:tblPrEx>
        <w:trPr>
          <w:wBefore w:w="0" w:type="auto"/>
          <w:tblCellSpacing w:w="0" w:type="dxa"/>
        </w:trPr>
        <w:tc>
          <w:tcPr>
            <w:tcW w:w="0" w:type="auto"/>
            <w:noWrap w:val="0"/>
            <w:vAlign w:val="center"/>
          </w:tcPr>
          <w:p w14:paraId="42C5B882">
            <w:r>
              <w:rPr>
                <w:rStyle w:val="10"/>
                <w:rFonts w:hint="eastAsia"/>
              </w:rPr>
              <w:t>中毒急救措施：</w:t>
            </w:r>
            <w:r>
              <w:rPr>
                <w:rFonts w:hint="eastAsia"/>
              </w:rPr>
              <w:br w:type="textWrapping"/>
            </w:r>
            <w:r>
              <w:rPr>
                <w:rStyle w:val="11"/>
                <w:rFonts w:hint="eastAsia"/>
              </w:rPr>
              <w:t>中毒症状表现为对皮肤、粘膜、眼睛有强烈的刺激性。1.不慎吸入：立即将吸入者转移到空气新鲜处，保持呼吸畅通。2.不慎接触皮肤：脱去污染的衣着，立即用肥皂和清水彻底清洗。3.不慎溅入眼睛：立即翻转眼睑，用流动清水清洗15分钟以上。4.误服：立即携此标签，送医对症治疗。本品无专用解毒剂。</w:t>
            </w:r>
          </w:p>
        </w:tc>
      </w:tr>
      <w:tr w14:paraId="5D46329E">
        <w:tblPrEx>
          <w:tblCellMar>
            <w:top w:w="0" w:type="dxa"/>
            <w:left w:w="0" w:type="dxa"/>
            <w:bottom w:w="0" w:type="dxa"/>
            <w:right w:w="0" w:type="dxa"/>
          </w:tblCellMar>
        </w:tblPrEx>
        <w:trPr>
          <w:wBefore w:w="0" w:type="auto"/>
          <w:tblCellSpacing w:w="0" w:type="dxa"/>
        </w:trPr>
        <w:tc>
          <w:tcPr>
            <w:tcW w:w="0" w:type="auto"/>
            <w:noWrap w:val="0"/>
            <w:vAlign w:val="center"/>
          </w:tcPr>
          <w:p w14:paraId="2ED91357">
            <w:r>
              <w:rPr>
                <w:rStyle w:val="10"/>
                <w:rFonts w:hint="eastAsia"/>
              </w:rPr>
              <w:t>储存和运输方法：</w:t>
            </w:r>
            <w:r>
              <w:rPr>
                <w:rFonts w:hint="eastAsia"/>
              </w:rPr>
              <w:br w:type="textWrapping"/>
            </w:r>
            <w:r>
              <w:rPr>
                <w:rStyle w:val="11"/>
                <w:rFonts w:hint="eastAsia"/>
              </w:rPr>
              <w:t>1.本品应贮存于干燥、阴凉通风处，远离火源、热源和有禁忌的物质。置于儿童接触不到的地方，并上锁。不能与食品、饮料、粮食、饲料等混合储存。2.运输过程应确保包装不泄露、不倒塌、不损坏，防高温曝晒和雨淋。</w:t>
            </w:r>
          </w:p>
        </w:tc>
      </w:tr>
      <w:tr w14:paraId="11855FDE">
        <w:tblPrEx>
          <w:tblCellMar>
            <w:top w:w="0" w:type="dxa"/>
            <w:left w:w="0" w:type="dxa"/>
            <w:bottom w:w="0" w:type="dxa"/>
            <w:right w:w="0" w:type="dxa"/>
          </w:tblCellMar>
        </w:tblPrEx>
        <w:trPr>
          <w:wBefore w:w="0" w:type="auto"/>
          <w:tblCellSpacing w:w="0" w:type="dxa"/>
        </w:trPr>
        <w:tc>
          <w:tcPr>
            <w:tcW w:w="0" w:type="auto"/>
            <w:noWrap w:val="0"/>
            <w:vAlign w:val="center"/>
          </w:tcPr>
          <w:p w14:paraId="0B4079D8">
            <w:r>
              <w:rPr>
                <w:rStyle w:val="10"/>
                <w:rFonts w:hint="eastAsia"/>
              </w:rPr>
              <w:t>质量保证期：</w:t>
            </w:r>
            <w:r>
              <w:rPr>
                <w:rStyle w:val="11"/>
                <w:rFonts w:hint="eastAsia"/>
              </w:rPr>
              <w:t>2年</w:t>
            </w:r>
          </w:p>
        </w:tc>
      </w:tr>
      <w:tr w14:paraId="33813BF8">
        <w:tblPrEx>
          <w:tblCellMar>
            <w:top w:w="0" w:type="dxa"/>
            <w:left w:w="0" w:type="dxa"/>
            <w:bottom w:w="0" w:type="dxa"/>
            <w:right w:w="0" w:type="dxa"/>
          </w:tblCellMar>
        </w:tblPrEx>
        <w:trPr>
          <w:wBefore w:w="0" w:type="auto"/>
          <w:tblCellSpacing w:w="0" w:type="dxa"/>
        </w:trPr>
        <w:tc>
          <w:tcPr>
            <w:tcW w:w="0" w:type="auto"/>
            <w:noWrap w:val="0"/>
            <w:vAlign w:val="center"/>
          </w:tcPr>
          <w:p w14:paraId="3413FBDC">
            <w:r>
              <w:rPr>
                <w:rStyle w:val="10"/>
                <w:rFonts w:hint="eastAsia"/>
              </w:rPr>
              <w:t>备注：</w:t>
            </w:r>
          </w:p>
        </w:tc>
      </w:tr>
    </w:tbl>
    <w:p w14:paraId="718E748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FF42BE1">
        <w:tblPrEx>
          <w:tblCellMar>
            <w:top w:w="0" w:type="dxa"/>
            <w:left w:w="0" w:type="dxa"/>
            <w:bottom w:w="0" w:type="dxa"/>
            <w:right w:w="0" w:type="dxa"/>
          </w:tblCellMar>
        </w:tblPrEx>
        <w:trPr>
          <w:wBefore w:w="0" w:type="auto"/>
          <w:tblCellSpacing w:w="0" w:type="dxa"/>
        </w:trPr>
        <w:tc>
          <w:tcPr>
            <w:tcW w:w="0" w:type="auto"/>
            <w:noWrap w:val="0"/>
            <w:vAlign w:val="center"/>
          </w:tcPr>
          <w:p w14:paraId="273094AA">
            <w:r>
              <w:rPr>
                <w:rStyle w:val="10"/>
                <w:rFonts w:hint="eastAsia"/>
              </w:rPr>
              <w:t>登记证号：</w:t>
            </w:r>
            <w:r>
              <w:rPr>
                <w:rFonts w:hint="eastAsia"/>
              </w:rPr>
              <w:t>PD20211781</w:t>
            </w:r>
          </w:p>
        </w:tc>
      </w:tr>
      <w:tr w14:paraId="58678DD0">
        <w:tblPrEx>
          <w:tblCellMar>
            <w:top w:w="0" w:type="dxa"/>
            <w:left w:w="0" w:type="dxa"/>
            <w:bottom w:w="0" w:type="dxa"/>
            <w:right w:w="0" w:type="dxa"/>
          </w:tblCellMar>
        </w:tblPrEx>
        <w:trPr>
          <w:wBefore w:w="0" w:type="auto"/>
          <w:tblCellSpacing w:w="0" w:type="dxa"/>
        </w:trPr>
        <w:tc>
          <w:tcPr>
            <w:tcW w:w="0" w:type="auto"/>
            <w:noWrap w:val="0"/>
            <w:vAlign w:val="center"/>
          </w:tcPr>
          <w:p w14:paraId="0FC1F2EB">
            <w:r>
              <w:rPr>
                <w:rStyle w:val="10"/>
                <w:rFonts w:hint="eastAsia"/>
              </w:rPr>
              <w:t>登记证持有人：</w:t>
            </w:r>
            <w:r>
              <w:rPr>
                <w:rFonts w:hint="eastAsia"/>
              </w:rPr>
              <w:t>陕西亿田丰作物科技有限公司</w:t>
            </w:r>
          </w:p>
        </w:tc>
      </w:tr>
      <w:tr w14:paraId="72BB4745">
        <w:tblPrEx>
          <w:tblCellMar>
            <w:top w:w="0" w:type="dxa"/>
            <w:left w:w="0" w:type="dxa"/>
            <w:bottom w:w="0" w:type="dxa"/>
            <w:right w:w="0" w:type="dxa"/>
          </w:tblCellMar>
        </w:tblPrEx>
        <w:trPr>
          <w:wBefore w:w="0" w:type="auto"/>
          <w:tblCellSpacing w:w="0" w:type="dxa"/>
        </w:trPr>
        <w:tc>
          <w:tcPr>
            <w:tcW w:w="0" w:type="auto"/>
            <w:noWrap w:val="0"/>
            <w:vAlign w:val="center"/>
          </w:tcPr>
          <w:p w14:paraId="6D8D5BD0">
            <w:r>
              <w:rPr>
                <w:rStyle w:val="10"/>
                <w:rFonts w:hint="eastAsia"/>
              </w:rPr>
              <w:t>农药名称：</w:t>
            </w:r>
            <w:r>
              <w:rPr>
                <w:rFonts w:hint="eastAsia"/>
              </w:rPr>
              <w:t>联苯·虫螨腈</w:t>
            </w:r>
          </w:p>
        </w:tc>
      </w:tr>
      <w:tr w14:paraId="244544BB">
        <w:tblPrEx>
          <w:tblCellMar>
            <w:top w:w="0" w:type="dxa"/>
            <w:left w:w="0" w:type="dxa"/>
            <w:bottom w:w="0" w:type="dxa"/>
            <w:right w:w="0" w:type="dxa"/>
          </w:tblCellMar>
        </w:tblPrEx>
        <w:trPr>
          <w:wBefore w:w="0" w:type="auto"/>
          <w:tblCellSpacing w:w="0" w:type="dxa"/>
        </w:trPr>
        <w:tc>
          <w:tcPr>
            <w:tcW w:w="0" w:type="auto"/>
            <w:noWrap w:val="0"/>
            <w:vAlign w:val="center"/>
          </w:tcPr>
          <w:p w14:paraId="2920925A">
            <w:r>
              <w:rPr>
                <w:rStyle w:val="10"/>
                <w:rFonts w:hint="eastAsia"/>
              </w:rPr>
              <w:t>剂型：</w:t>
            </w:r>
            <w:r>
              <w:rPr>
                <w:rFonts w:hint="eastAsia"/>
              </w:rPr>
              <w:t>悬浮剂</w:t>
            </w:r>
          </w:p>
        </w:tc>
      </w:tr>
      <w:tr w14:paraId="45961E30">
        <w:tblPrEx>
          <w:tblCellMar>
            <w:top w:w="0" w:type="dxa"/>
            <w:left w:w="0" w:type="dxa"/>
            <w:bottom w:w="0" w:type="dxa"/>
            <w:right w:w="0" w:type="dxa"/>
          </w:tblCellMar>
        </w:tblPrEx>
        <w:trPr>
          <w:wBefore w:w="0" w:type="auto"/>
          <w:tblCellSpacing w:w="0" w:type="dxa"/>
        </w:trPr>
        <w:tc>
          <w:tcPr>
            <w:tcW w:w="0" w:type="auto"/>
            <w:noWrap w:val="0"/>
            <w:vAlign w:val="center"/>
          </w:tcPr>
          <w:p w14:paraId="772D968E">
            <w:r>
              <w:rPr>
                <w:rStyle w:val="10"/>
                <w:rFonts w:hint="eastAsia"/>
              </w:rPr>
              <w:t>毒性及其标识：</w:t>
            </w:r>
            <w:r>
              <w:rPr>
                <w:rFonts w:hint="eastAsia"/>
              </w:rPr>
              <w:t xml:space="preserve"> </w:t>
            </w:r>
            <w:r>
              <w:rPr>
                <w:lang/>
              </w:rPr>
              <w:drawing>
                <wp:inline distT="0" distB="0" distL="114300" distR="114300">
                  <wp:extent cx="476250" cy="323850"/>
                  <wp:effectExtent l="0" t="0" r="0" b="0"/>
                  <wp:docPr id="461" name="图片 46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82ED715">
        <w:tblPrEx>
          <w:tblCellMar>
            <w:top w:w="0" w:type="dxa"/>
            <w:left w:w="0" w:type="dxa"/>
            <w:bottom w:w="0" w:type="dxa"/>
            <w:right w:w="0" w:type="dxa"/>
          </w:tblCellMar>
        </w:tblPrEx>
        <w:trPr>
          <w:wBefore w:w="0" w:type="auto"/>
          <w:tblCellSpacing w:w="0" w:type="dxa"/>
        </w:trPr>
        <w:tc>
          <w:tcPr>
            <w:tcW w:w="0" w:type="auto"/>
            <w:noWrap w:val="0"/>
            <w:vAlign w:val="center"/>
          </w:tcPr>
          <w:p w14:paraId="73050B09">
            <w:r>
              <w:rPr>
                <w:rStyle w:val="10"/>
                <w:rFonts w:hint="eastAsia"/>
              </w:rPr>
              <w:t>总有效成分含量：</w:t>
            </w:r>
            <w:r>
              <w:rPr>
                <w:rFonts w:hint="eastAsia"/>
              </w:rPr>
              <w:t>30%</w:t>
            </w:r>
          </w:p>
        </w:tc>
      </w:tr>
      <w:tr w14:paraId="591DF92D">
        <w:tblPrEx>
          <w:tblCellMar>
            <w:top w:w="0" w:type="dxa"/>
            <w:left w:w="0" w:type="dxa"/>
            <w:bottom w:w="0" w:type="dxa"/>
            <w:right w:w="0" w:type="dxa"/>
          </w:tblCellMar>
        </w:tblPrEx>
        <w:trPr>
          <w:wBefore w:w="0" w:type="auto"/>
          <w:tblCellSpacing w:w="0" w:type="dxa"/>
        </w:trPr>
        <w:tc>
          <w:tcPr>
            <w:tcW w:w="0" w:type="auto"/>
            <w:noWrap w:val="0"/>
            <w:vAlign w:val="center"/>
          </w:tcPr>
          <w:p w14:paraId="184D65F5">
            <w:r>
              <w:rPr>
                <w:rFonts w:hint="eastAsia"/>
              </w:rPr>
              <w:t xml:space="preserve">有效成分及其含量： </w:t>
            </w:r>
          </w:p>
          <w:p w14:paraId="2FB804B7">
            <w:r>
              <w:rPr>
                <w:rFonts w:hint="eastAsia"/>
              </w:rPr>
              <w:t xml:space="preserve">    虫螨腈21%    联苯菊酯9%    </w:t>
            </w:r>
          </w:p>
        </w:tc>
      </w:tr>
      <w:tr w14:paraId="3DCBBD4D">
        <w:tblPrEx>
          <w:tblCellMar>
            <w:top w:w="0" w:type="dxa"/>
            <w:left w:w="0" w:type="dxa"/>
            <w:bottom w:w="0" w:type="dxa"/>
            <w:right w:w="0" w:type="dxa"/>
          </w:tblCellMar>
        </w:tblPrEx>
        <w:trPr>
          <w:wBefore w:w="0" w:type="auto"/>
          <w:tblCellSpacing w:w="0" w:type="dxa"/>
        </w:trPr>
        <w:tc>
          <w:tcPr>
            <w:tcW w:w="0" w:type="auto"/>
            <w:noWrap w:val="0"/>
            <w:vAlign w:val="center"/>
          </w:tcPr>
          <w:p w14:paraId="3C61FF9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4F640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A74E5C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8A22FF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AE808C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0A0BCE">
                  <w:r>
                    <w:rPr>
                      <w:rStyle w:val="11"/>
                      <w:rFonts w:hint="eastAsia"/>
                    </w:rPr>
                    <w:t>施用方式</w:t>
                  </w:r>
                </w:p>
              </w:tc>
            </w:tr>
            <w:tr w14:paraId="7A36F7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3196AD1">
                  <w:r>
                    <w:rPr>
                      <w:rStyle w:val="11"/>
                      <w:rFonts w:hint="eastAsia"/>
                    </w:rPr>
                    <w:t>茄子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E4D313">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E2CD69">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DC488F">
                  <w:r>
                    <w:rPr>
                      <w:rStyle w:val="11"/>
                      <w:rFonts w:hint="eastAsia"/>
                    </w:rPr>
                    <w:t>喷雾</w:t>
                  </w:r>
                </w:p>
              </w:tc>
            </w:tr>
          </w:tbl>
          <w:p w14:paraId="5D741B0C">
            <w:pPr>
              <w:rPr>
                <w:rFonts w:ascii="Times New Roman" w:hAnsi="Times New Roman" w:cs="Times New Roman"/>
                <w:sz w:val="20"/>
                <w:szCs w:val="20"/>
              </w:rPr>
            </w:pPr>
          </w:p>
        </w:tc>
      </w:tr>
      <w:tr w14:paraId="18828471">
        <w:tblPrEx>
          <w:tblCellMar>
            <w:top w:w="0" w:type="dxa"/>
            <w:left w:w="0" w:type="dxa"/>
            <w:bottom w:w="0" w:type="dxa"/>
            <w:right w:w="0" w:type="dxa"/>
          </w:tblCellMar>
        </w:tblPrEx>
        <w:trPr>
          <w:wBefore w:w="0" w:type="auto"/>
          <w:tblCellSpacing w:w="0" w:type="dxa"/>
        </w:trPr>
        <w:tc>
          <w:tcPr>
            <w:tcW w:w="0" w:type="auto"/>
            <w:noWrap w:val="0"/>
            <w:vAlign w:val="center"/>
          </w:tcPr>
          <w:p w14:paraId="084AE597">
            <w:r>
              <w:rPr>
                <w:rStyle w:val="10"/>
                <w:rFonts w:hint="eastAsia"/>
              </w:rPr>
              <w:t>使用技术要求:</w:t>
            </w:r>
            <w:r>
              <w:rPr>
                <w:rFonts w:hint="eastAsia"/>
              </w:rPr>
              <w:br w:type="textWrapping"/>
            </w:r>
            <w:r>
              <w:rPr>
                <w:rStyle w:val="11"/>
                <w:rFonts w:hint="eastAsia"/>
              </w:rPr>
              <w:t>1.本品适宜施药时期为茄子蓟马发生初期，施药一次，注意喷雾均匀、周到，以确保药效。2.大风天或预计1小时内降雨，请勿施药。3.本品在茄子上使用时的安全间隔期为5天，每季作物最多使用1次。</w:t>
            </w:r>
          </w:p>
        </w:tc>
      </w:tr>
      <w:tr w14:paraId="79900034">
        <w:tblPrEx>
          <w:tblCellMar>
            <w:top w:w="0" w:type="dxa"/>
            <w:left w:w="0" w:type="dxa"/>
            <w:bottom w:w="0" w:type="dxa"/>
            <w:right w:w="0" w:type="dxa"/>
          </w:tblCellMar>
        </w:tblPrEx>
        <w:trPr>
          <w:wBefore w:w="0" w:type="auto"/>
          <w:tblCellSpacing w:w="0" w:type="dxa"/>
        </w:trPr>
        <w:tc>
          <w:tcPr>
            <w:tcW w:w="0" w:type="auto"/>
            <w:noWrap w:val="0"/>
            <w:vAlign w:val="center"/>
          </w:tcPr>
          <w:p w14:paraId="549F4219">
            <w:r>
              <w:rPr>
                <w:rStyle w:val="10"/>
                <w:rFonts w:hint="eastAsia"/>
              </w:rPr>
              <w:t>产品性能:</w:t>
            </w:r>
            <w:r>
              <w:rPr>
                <w:rFonts w:hint="eastAsia"/>
              </w:rPr>
              <w:br w:type="textWrapping"/>
            </w:r>
            <w:r>
              <w:rPr>
                <w:rStyle w:val="11"/>
                <w:rFonts w:hint="eastAsia"/>
              </w:rPr>
              <w:t>本品是由虫螨腈与联苯菊酯复配而成的杀虫剂，具有触杀和胃毒作用，击倒速度快、残效期长，对茄子蓟马有较好的防治效果。</w:t>
            </w:r>
          </w:p>
        </w:tc>
      </w:tr>
      <w:tr w14:paraId="76AFF33B">
        <w:tblPrEx>
          <w:tblCellMar>
            <w:top w:w="0" w:type="dxa"/>
            <w:left w:w="0" w:type="dxa"/>
            <w:bottom w:w="0" w:type="dxa"/>
            <w:right w:w="0" w:type="dxa"/>
          </w:tblCellMar>
        </w:tblPrEx>
        <w:trPr>
          <w:wBefore w:w="0" w:type="auto"/>
          <w:tblCellSpacing w:w="0" w:type="dxa"/>
        </w:trPr>
        <w:tc>
          <w:tcPr>
            <w:tcW w:w="0" w:type="auto"/>
            <w:noWrap w:val="0"/>
            <w:vAlign w:val="center"/>
          </w:tcPr>
          <w:p w14:paraId="6E0E0837">
            <w:r>
              <w:rPr>
                <w:rStyle w:val="10"/>
                <w:rFonts w:hint="eastAsia"/>
              </w:rPr>
              <w:t>注意事项：</w:t>
            </w:r>
            <w:r>
              <w:rPr>
                <w:rFonts w:hint="eastAsia"/>
              </w:rPr>
              <w:br w:type="textWrapping"/>
            </w:r>
            <w:r>
              <w:rPr>
                <w:rStyle w:val="11"/>
                <w:rFonts w:hint="eastAsia"/>
              </w:rPr>
              <w:t>（1）严格按规定用药量和方法使用。 （2）建议与其他作用机制不同的杀虫剂轮换使用，以延缓抗性产生。 （3）本品对蜜蜂、鸟、鱼、水蚤、藻类、蚕、赤眼蜂有毒。水产养殖区、河塘等水体附近禁用，禁止在河塘等水体中清洗施药器具；（周围）开花植物花期禁用；鸟类保护区附近、蚕室及桑园附近、天敌放飞区禁用。 （4）使用本品时应穿戴长衣长裤、帽子、口罩、手套、鞋等安全防护措施。施药期间不可吃东西、饮水、吸烟等；施药后应及时洗手、洗脸并洗涤施药时穿着的衣物。 （5）用药后包装物及用过的容器应妥善处理，不可做他用，也不可随意丢弃。 （6）孕妇及哺乳期妇女禁止接触本品。</w:t>
            </w:r>
          </w:p>
        </w:tc>
      </w:tr>
      <w:tr w14:paraId="7557A787">
        <w:tblPrEx>
          <w:tblCellMar>
            <w:top w:w="0" w:type="dxa"/>
            <w:left w:w="0" w:type="dxa"/>
            <w:bottom w:w="0" w:type="dxa"/>
            <w:right w:w="0" w:type="dxa"/>
          </w:tblCellMar>
        </w:tblPrEx>
        <w:trPr>
          <w:wBefore w:w="0" w:type="auto"/>
          <w:tblCellSpacing w:w="0" w:type="dxa"/>
        </w:trPr>
        <w:tc>
          <w:tcPr>
            <w:tcW w:w="0" w:type="auto"/>
            <w:noWrap w:val="0"/>
            <w:vAlign w:val="center"/>
          </w:tcPr>
          <w:p w14:paraId="0FE2A0A6">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立即用大量清水和肥皂冲洗。眼睛溅入：立即用流动清水冲洗不少于15分钟。误服：立即停止服用，用清水充分漱口后，立即携带农药标签到医院就诊。</w:t>
            </w:r>
          </w:p>
        </w:tc>
      </w:tr>
      <w:tr w14:paraId="26302824">
        <w:tblPrEx>
          <w:tblCellMar>
            <w:top w:w="0" w:type="dxa"/>
            <w:left w:w="0" w:type="dxa"/>
            <w:bottom w:w="0" w:type="dxa"/>
            <w:right w:w="0" w:type="dxa"/>
          </w:tblCellMar>
        </w:tblPrEx>
        <w:trPr>
          <w:wBefore w:w="0" w:type="auto"/>
          <w:tblCellSpacing w:w="0" w:type="dxa"/>
        </w:trPr>
        <w:tc>
          <w:tcPr>
            <w:tcW w:w="0" w:type="auto"/>
            <w:noWrap w:val="0"/>
            <w:vAlign w:val="center"/>
          </w:tcPr>
          <w:p w14:paraId="0E348FA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7273F170">
        <w:tblPrEx>
          <w:tblCellMar>
            <w:top w:w="0" w:type="dxa"/>
            <w:left w:w="0" w:type="dxa"/>
            <w:bottom w:w="0" w:type="dxa"/>
            <w:right w:w="0" w:type="dxa"/>
          </w:tblCellMar>
        </w:tblPrEx>
        <w:trPr>
          <w:wBefore w:w="0" w:type="auto"/>
          <w:tblCellSpacing w:w="0" w:type="dxa"/>
        </w:trPr>
        <w:tc>
          <w:tcPr>
            <w:tcW w:w="0" w:type="auto"/>
            <w:noWrap w:val="0"/>
            <w:vAlign w:val="center"/>
          </w:tcPr>
          <w:p w14:paraId="5A84C23A">
            <w:r>
              <w:rPr>
                <w:rStyle w:val="10"/>
                <w:rFonts w:hint="eastAsia"/>
              </w:rPr>
              <w:t>质量保证期：</w:t>
            </w:r>
            <w:r>
              <w:rPr>
                <w:rStyle w:val="11"/>
                <w:rFonts w:hint="eastAsia"/>
              </w:rPr>
              <w:t>2年</w:t>
            </w:r>
          </w:p>
        </w:tc>
      </w:tr>
      <w:tr w14:paraId="0E6FBC76">
        <w:tblPrEx>
          <w:tblCellMar>
            <w:top w:w="0" w:type="dxa"/>
            <w:left w:w="0" w:type="dxa"/>
            <w:bottom w:w="0" w:type="dxa"/>
            <w:right w:w="0" w:type="dxa"/>
          </w:tblCellMar>
        </w:tblPrEx>
        <w:trPr>
          <w:wBefore w:w="0" w:type="auto"/>
          <w:tblCellSpacing w:w="0" w:type="dxa"/>
        </w:trPr>
        <w:tc>
          <w:tcPr>
            <w:tcW w:w="0" w:type="auto"/>
            <w:noWrap w:val="0"/>
            <w:vAlign w:val="center"/>
          </w:tcPr>
          <w:p w14:paraId="27767676">
            <w:r>
              <w:rPr>
                <w:rStyle w:val="10"/>
                <w:rFonts w:hint="eastAsia"/>
              </w:rPr>
              <w:t>备注：</w:t>
            </w:r>
          </w:p>
        </w:tc>
      </w:tr>
    </w:tbl>
    <w:p w14:paraId="2B4A0A2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6A64F5">
        <w:tblPrEx>
          <w:tblCellMar>
            <w:top w:w="0" w:type="dxa"/>
            <w:left w:w="0" w:type="dxa"/>
            <w:bottom w:w="0" w:type="dxa"/>
            <w:right w:w="0" w:type="dxa"/>
          </w:tblCellMar>
        </w:tblPrEx>
        <w:trPr>
          <w:wBefore w:w="0" w:type="auto"/>
          <w:tblCellSpacing w:w="0" w:type="dxa"/>
        </w:trPr>
        <w:tc>
          <w:tcPr>
            <w:tcW w:w="0" w:type="auto"/>
            <w:noWrap w:val="0"/>
            <w:vAlign w:val="center"/>
          </w:tcPr>
          <w:p w14:paraId="06A53409">
            <w:r>
              <w:rPr>
                <w:rStyle w:val="10"/>
                <w:rFonts w:hint="eastAsia"/>
              </w:rPr>
              <w:t>登记证号：</w:t>
            </w:r>
            <w:r>
              <w:rPr>
                <w:rFonts w:hint="eastAsia"/>
              </w:rPr>
              <w:t>WP20210205</w:t>
            </w:r>
          </w:p>
        </w:tc>
      </w:tr>
      <w:tr w14:paraId="53187A5A">
        <w:tblPrEx>
          <w:tblCellMar>
            <w:top w:w="0" w:type="dxa"/>
            <w:left w:w="0" w:type="dxa"/>
            <w:bottom w:w="0" w:type="dxa"/>
            <w:right w:w="0" w:type="dxa"/>
          </w:tblCellMar>
        </w:tblPrEx>
        <w:trPr>
          <w:wBefore w:w="0" w:type="auto"/>
          <w:tblCellSpacing w:w="0" w:type="dxa"/>
        </w:trPr>
        <w:tc>
          <w:tcPr>
            <w:tcW w:w="0" w:type="auto"/>
            <w:noWrap w:val="0"/>
            <w:vAlign w:val="center"/>
          </w:tcPr>
          <w:p w14:paraId="6864CC7E">
            <w:r>
              <w:rPr>
                <w:rStyle w:val="10"/>
                <w:rFonts w:hint="eastAsia"/>
              </w:rPr>
              <w:t>登记证持有人：</w:t>
            </w:r>
            <w:r>
              <w:rPr>
                <w:rFonts w:hint="eastAsia"/>
              </w:rPr>
              <w:t>厦门市胜伟达工贸有限公司</w:t>
            </w:r>
          </w:p>
        </w:tc>
      </w:tr>
      <w:tr w14:paraId="32E13FC1">
        <w:tblPrEx>
          <w:tblCellMar>
            <w:top w:w="0" w:type="dxa"/>
            <w:left w:w="0" w:type="dxa"/>
            <w:bottom w:w="0" w:type="dxa"/>
            <w:right w:w="0" w:type="dxa"/>
          </w:tblCellMar>
        </w:tblPrEx>
        <w:trPr>
          <w:wBefore w:w="0" w:type="auto"/>
          <w:tblCellSpacing w:w="0" w:type="dxa"/>
        </w:trPr>
        <w:tc>
          <w:tcPr>
            <w:tcW w:w="0" w:type="auto"/>
            <w:noWrap w:val="0"/>
            <w:vAlign w:val="center"/>
          </w:tcPr>
          <w:p w14:paraId="0FD085B4">
            <w:r>
              <w:rPr>
                <w:rStyle w:val="10"/>
                <w:rFonts w:hint="eastAsia"/>
              </w:rPr>
              <w:t>农药名称：</w:t>
            </w:r>
            <w:r>
              <w:rPr>
                <w:rFonts w:hint="eastAsia"/>
              </w:rPr>
              <w:t>羟哌酯</w:t>
            </w:r>
          </w:p>
        </w:tc>
      </w:tr>
      <w:tr w14:paraId="36F1F797">
        <w:tblPrEx>
          <w:tblCellMar>
            <w:top w:w="0" w:type="dxa"/>
            <w:left w:w="0" w:type="dxa"/>
            <w:bottom w:w="0" w:type="dxa"/>
            <w:right w:w="0" w:type="dxa"/>
          </w:tblCellMar>
        </w:tblPrEx>
        <w:trPr>
          <w:wBefore w:w="0" w:type="auto"/>
          <w:tblCellSpacing w:w="0" w:type="dxa"/>
        </w:trPr>
        <w:tc>
          <w:tcPr>
            <w:tcW w:w="0" w:type="auto"/>
            <w:noWrap w:val="0"/>
            <w:vAlign w:val="center"/>
          </w:tcPr>
          <w:p w14:paraId="1609FA0E">
            <w:r>
              <w:rPr>
                <w:rStyle w:val="10"/>
                <w:rFonts w:hint="eastAsia"/>
              </w:rPr>
              <w:t>剂型：</w:t>
            </w:r>
            <w:r>
              <w:rPr>
                <w:rFonts w:hint="eastAsia"/>
              </w:rPr>
              <w:t>驱蚊液</w:t>
            </w:r>
          </w:p>
        </w:tc>
      </w:tr>
      <w:tr w14:paraId="3E703726">
        <w:tblPrEx>
          <w:tblCellMar>
            <w:top w:w="0" w:type="dxa"/>
            <w:left w:w="0" w:type="dxa"/>
            <w:bottom w:w="0" w:type="dxa"/>
            <w:right w:w="0" w:type="dxa"/>
          </w:tblCellMar>
        </w:tblPrEx>
        <w:trPr>
          <w:wBefore w:w="0" w:type="auto"/>
          <w:tblCellSpacing w:w="0" w:type="dxa"/>
        </w:trPr>
        <w:tc>
          <w:tcPr>
            <w:tcW w:w="0" w:type="auto"/>
            <w:noWrap w:val="0"/>
            <w:vAlign w:val="center"/>
          </w:tcPr>
          <w:p w14:paraId="12658ECF">
            <w:r>
              <w:rPr>
                <w:rStyle w:val="10"/>
                <w:rFonts w:hint="eastAsia"/>
              </w:rPr>
              <w:t>毒性及其标识：</w:t>
            </w:r>
            <w:r>
              <w:rPr>
                <w:rFonts w:hint="eastAsia"/>
              </w:rPr>
              <w:t xml:space="preserve"> 微毒 </w:t>
            </w:r>
          </w:p>
        </w:tc>
      </w:tr>
      <w:tr w14:paraId="4BEF78EB">
        <w:tblPrEx>
          <w:tblCellMar>
            <w:top w:w="0" w:type="dxa"/>
            <w:left w:w="0" w:type="dxa"/>
            <w:bottom w:w="0" w:type="dxa"/>
            <w:right w:w="0" w:type="dxa"/>
          </w:tblCellMar>
        </w:tblPrEx>
        <w:trPr>
          <w:wBefore w:w="0" w:type="auto"/>
          <w:tblCellSpacing w:w="0" w:type="dxa"/>
        </w:trPr>
        <w:tc>
          <w:tcPr>
            <w:tcW w:w="0" w:type="auto"/>
            <w:noWrap w:val="0"/>
            <w:vAlign w:val="center"/>
          </w:tcPr>
          <w:p w14:paraId="1D2423EE">
            <w:r>
              <w:rPr>
                <w:rStyle w:val="10"/>
                <w:rFonts w:hint="eastAsia"/>
              </w:rPr>
              <w:t>总有效成分含量：</w:t>
            </w:r>
            <w:r>
              <w:rPr>
                <w:rFonts w:hint="eastAsia"/>
              </w:rPr>
              <w:t>15%</w:t>
            </w:r>
          </w:p>
        </w:tc>
      </w:tr>
      <w:tr w14:paraId="2933CBA0">
        <w:tblPrEx>
          <w:tblCellMar>
            <w:top w:w="0" w:type="dxa"/>
            <w:left w:w="0" w:type="dxa"/>
            <w:bottom w:w="0" w:type="dxa"/>
            <w:right w:w="0" w:type="dxa"/>
          </w:tblCellMar>
        </w:tblPrEx>
        <w:trPr>
          <w:wBefore w:w="0" w:type="auto"/>
          <w:tblCellSpacing w:w="0" w:type="dxa"/>
        </w:trPr>
        <w:tc>
          <w:tcPr>
            <w:tcW w:w="0" w:type="auto"/>
            <w:noWrap w:val="0"/>
            <w:vAlign w:val="center"/>
          </w:tcPr>
          <w:p w14:paraId="34A683E0">
            <w:r>
              <w:rPr>
                <w:rFonts w:hint="eastAsia"/>
              </w:rPr>
              <w:t xml:space="preserve">有效成分及其含量： </w:t>
            </w:r>
          </w:p>
          <w:p w14:paraId="76656032">
            <w:r>
              <w:rPr>
                <w:rFonts w:hint="eastAsia"/>
              </w:rPr>
              <w:t xml:space="preserve">    羟哌酯15%    </w:t>
            </w:r>
          </w:p>
        </w:tc>
      </w:tr>
      <w:tr w14:paraId="322078A5">
        <w:tblPrEx>
          <w:tblCellMar>
            <w:top w:w="0" w:type="dxa"/>
            <w:left w:w="0" w:type="dxa"/>
            <w:bottom w:w="0" w:type="dxa"/>
            <w:right w:w="0" w:type="dxa"/>
          </w:tblCellMar>
        </w:tblPrEx>
        <w:trPr>
          <w:wBefore w:w="0" w:type="auto"/>
          <w:tblCellSpacing w:w="0" w:type="dxa"/>
        </w:trPr>
        <w:tc>
          <w:tcPr>
            <w:tcW w:w="0" w:type="auto"/>
            <w:noWrap w:val="0"/>
            <w:vAlign w:val="center"/>
          </w:tcPr>
          <w:p w14:paraId="3EE2CF5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1DA3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9D4875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BE82F7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BFEF1A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3473E9B">
                  <w:r>
                    <w:rPr>
                      <w:rStyle w:val="11"/>
                      <w:rFonts w:hint="eastAsia"/>
                    </w:rPr>
                    <w:t>施用方式</w:t>
                  </w:r>
                </w:p>
              </w:tc>
            </w:tr>
            <w:tr w14:paraId="6E20E2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0513C4C">
                  <w:r>
                    <w:rPr>
                      <w:rStyle w:val="11"/>
                      <w:rFonts w:hint="eastAsia"/>
                    </w:rPr>
                    <w:t>卫生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C4CB9E">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702EFC">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BDF65E">
                  <w:r>
                    <w:rPr>
                      <w:rStyle w:val="11"/>
                      <w:rFonts w:hint="eastAsia"/>
                    </w:rPr>
                    <w:t>涂抹</w:t>
                  </w:r>
                </w:p>
              </w:tc>
            </w:tr>
          </w:tbl>
          <w:p w14:paraId="526AF8B0">
            <w:pPr>
              <w:rPr>
                <w:rFonts w:ascii="Times New Roman" w:hAnsi="Times New Roman" w:cs="Times New Roman"/>
                <w:sz w:val="20"/>
                <w:szCs w:val="20"/>
              </w:rPr>
            </w:pPr>
          </w:p>
        </w:tc>
      </w:tr>
      <w:tr w14:paraId="57DD0C48">
        <w:tblPrEx>
          <w:tblCellMar>
            <w:top w:w="0" w:type="dxa"/>
            <w:left w:w="0" w:type="dxa"/>
            <w:bottom w:w="0" w:type="dxa"/>
            <w:right w:w="0" w:type="dxa"/>
          </w:tblCellMar>
        </w:tblPrEx>
        <w:trPr>
          <w:wBefore w:w="0" w:type="auto"/>
          <w:tblCellSpacing w:w="0" w:type="dxa"/>
        </w:trPr>
        <w:tc>
          <w:tcPr>
            <w:tcW w:w="0" w:type="auto"/>
            <w:noWrap w:val="0"/>
            <w:vAlign w:val="center"/>
          </w:tcPr>
          <w:p w14:paraId="7FAD0FC1">
            <w:r>
              <w:rPr>
                <w:rStyle w:val="10"/>
                <w:rFonts w:hint="eastAsia"/>
              </w:rPr>
              <w:t>使用技术要求:</w:t>
            </w:r>
            <w:r>
              <w:rPr>
                <w:rFonts w:hint="eastAsia"/>
              </w:rPr>
              <w:br w:type="textWrapping"/>
            </w:r>
            <w:r>
              <w:rPr>
                <w:rStyle w:val="11"/>
                <w:rFonts w:hint="eastAsia"/>
              </w:rPr>
              <w:t>适量喷涂于手部、脚部等肌肤裸露部位；使用于面部及颈部可先喷涂于手心，再用手心涂抹面部及颈部。建议3—4小时涂抹一次，防蚊效果更佳。</w:t>
            </w:r>
          </w:p>
        </w:tc>
      </w:tr>
      <w:tr w14:paraId="175E9064">
        <w:tblPrEx>
          <w:tblCellMar>
            <w:top w:w="0" w:type="dxa"/>
            <w:left w:w="0" w:type="dxa"/>
            <w:bottom w:w="0" w:type="dxa"/>
            <w:right w:w="0" w:type="dxa"/>
          </w:tblCellMar>
        </w:tblPrEx>
        <w:trPr>
          <w:wBefore w:w="0" w:type="auto"/>
          <w:tblCellSpacing w:w="0" w:type="dxa"/>
        </w:trPr>
        <w:tc>
          <w:tcPr>
            <w:tcW w:w="0" w:type="auto"/>
            <w:noWrap w:val="0"/>
            <w:vAlign w:val="center"/>
          </w:tcPr>
          <w:p w14:paraId="39B1C6D3">
            <w:r>
              <w:rPr>
                <w:rStyle w:val="10"/>
                <w:rFonts w:hint="eastAsia"/>
              </w:rPr>
              <w:t>产品性能:</w:t>
            </w:r>
            <w:r>
              <w:rPr>
                <w:rFonts w:hint="eastAsia"/>
              </w:rPr>
              <w:br w:type="textWrapping"/>
            </w:r>
            <w:r>
              <w:rPr>
                <w:rStyle w:val="11"/>
                <w:rFonts w:hint="eastAsia"/>
              </w:rPr>
              <w:t>本品以德国进口羟哌酯为有效成份，对蚊虫具有良好的驱避效果，温和配方，通过皮肤刺激性测试，不刺激皮肤，是居家、旅游、户外防护之佳品。</w:t>
            </w:r>
          </w:p>
        </w:tc>
      </w:tr>
      <w:tr w14:paraId="334F6588">
        <w:tblPrEx>
          <w:tblCellMar>
            <w:top w:w="0" w:type="dxa"/>
            <w:left w:w="0" w:type="dxa"/>
            <w:bottom w:w="0" w:type="dxa"/>
            <w:right w:w="0" w:type="dxa"/>
          </w:tblCellMar>
        </w:tblPrEx>
        <w:trPr>
          <w:wBefore w:w="0" w:type="auto"/>
          <w:tblCellSpacing w:w="0" w:type="dxa"/>
        </w:trPr>
        <w:tc>
          <w:tcPr>
            <w:tcW w:w="0" w:type="auto"/>
            <w:noWrap w:val="0"/>
            <w:vAlign w:val="center"/>
          </w:tcPr>
          <w:p w14:paraId="53BD1EC0">
            <w:r>
              <w:rPr>
                <w:rStyle w:val="10"/>
                <w:rFonts w:hint="eastAsia"/>
              </w:rPr>
              <w:t>注意事项：</w:t>
            </w:r>
            <w:r>
              <w:rPr>
                <w:rFonts w:hint="eastAsia"/>
              </w:rPr>
              <w:br w:type="textWrapping"/>
            </w:r>
            <w:r>
              <w:rPr>
                <w:rStyle w:val="11"/>
                <w:rFonts w:hint="eastAsia"/>
              </w:rPr>
              <w:t>1. 本品对眼睛有刺激性，使用时避免眼睛接触，勿用于口、眼睛及其周围皮肤； 2. 有皮炎及皮肤破损者禁用； 3. 用后洗手； 4. 本品忌食。过敏者禁用，使用中有任何不良反应请及时就医。 5. 孕妇及哺乳期妇女禁止接触。</w:t>
            </w:r>
          </w:p>
        </w:tc>
      </w:tr>
      <w:tr w14:paraId="4336BB4D">
        <w:tblPrEx>
          <w:tblCellMar>
            <w:top w:w="0" w:type="dxa"/>
            <w:left w:w="0" w:type="dxa"/>
            <w:bottom w:w="0" w:type="dxa"/>
            <w:right w:w="0" w:type="dxa"/>
          </w:tblCellMar>
        </w:tblPrEx>
        <w:trPr>
          <w:wBefore w:w="0" w:type="auto"/>
          <w:tblCellSpacing w:w="0" w:type="dxa"/>
        </w:trPr>
        <w:tc>
          <w:tcPr>
            <w:tcW w:w="0" w:type="auto"/>
            <w:noWrap w:val="0"/>
            <w:vAlign w:val="center"/>
          </w:tcPr>
          <w:p w14:paraId="1886D77E">
            <w:r>
              <w:rPr>
                <w:rStyle w:val="10"/>
                <w:rFonts w:hint="eastAsia"/>
              </w:rPr>
              <w:t>中毒急救措施：</w:t>
            </w:r>
            <w:r>
              <w:rPr>
                <w:rFonts w:hint="eastAsia"/>
              </w:rPr>
              <w:br w:type="textWrapping"/>
            </w:r>
            <w:r>
              <w:rPr>
                <w:rStyle w:val="11"/>
                <w:rFonts w:hint="eastAsia"/>
              </w:rPr>
              <w:t>1. 若不慎误食请大量饮水，并立即携带此标签就医。 2. 不慎溅入眼睛及皮肤破损处，请立即用水冲洗。 3. 在使用过程中，如呼吸受到影响，请转移到空气清新处。</w:t>
            </w:r>
          </w:p>
        </w:tc>
      </w:tr>
      <w:tr w14:paraId="78377976">
        <w:tblPrEx>
          <w:tblCellMar>
            <w:top w:w="0" w:type="dxa"/>
            <w:left w:w="0" w:type="dxa"/>
            <w:bottom w:w="0" w:type="dxa"/>
            <w:right w:w="0" w:type="dxa"/>
          </w:tblCellMar>
        </w:tblPrEx>
        <w:trPr>
          <w:wBefore w:w="0" w:type="auto"/>
          <w:tblCellSpacing w:w="0" w:type="dxa"/>
        </w:trPr>
        <w:tc>
          <w:tcPr>
            <w:tcW w:w="0" w:type="auto"/>
            <w:noWrap w:val="0"/>
            <w:vAlign w:val="center"/>
          </w:tcPr>
          <w:p w14:paraId="002323E2">
            <w:r>
              <w:rPr>
                <w:rStyle w:val="10"/>
                <w:rFonts w:hint="eastAsia"/>
              </w:rPr>
              <w:t>储存和运输方法：</w:t>
            </w:r>
            <w:r>
              <w:rPr>
                <w:rFonts w:hint="eastAsia"/>
              </w:rPr>
              <w:br w:type="textWrapping"/>
            </w:r>
            <w:r>
              <w:rPr>
                <w:rStyle w:val="11"/>
                <w:rFonts w:hint="eastAsia"/>
              </w:rPr>
              <w:t>1. 本品应存放于阴凉、干燥及儿童未能触及处；远离火源； 2. 搬运时要轻取轻放，防止剧烈震动、日晒、雨淋和重压，不得倒置； 3. 置于儿童、无关人员触及不到之处，并加锁。勿与食品、饮料、饲料、粮食等同贮同运。</w:t>
            </w:r>
          </w:p>
        </w:tc>
      </w:tr>
      <w:tr w14:paraId="466503C2">
        <w:tblPrEx>
          <w:tblCellMar>
            <w:top w:w="0" w:type="dxa"/>
            <w:left w:w="0" w:type="dxa"/>
            <w:bottom w:w="0" w:type="dxa"/>
            <w:right w:w="0" w:type="dxa"/>
          </w:tblCellMar>
        </w:tblPrEx>
        <w:trPr>
          <w:wBefore w:w="0" w:type="auto"/>
          <w:tblCellSpacing w:w="0" w:type="dxa"/>
        </w:trPr>
        <w:tc>
          <w:tcPr>
            <w:tcW w:w="0" w:type="auto"/>
            <w:noWrap w:val="0"/>
            <w:vAlign w:val="center"/>
          </w:tcPr>
          <w:p w14:paraId="7443BA5E">
            <w:r>
              <w:rPr>
                <w:rStyle w:val="10"/>
                <w:rFonts w:hint="eastAsia"/>
              </w:rPr>
              <w:t>质量保证期：</w:t>
            </w:r>
            <w:r>
              <w:rPr>
                <w:rStyle w:val="11"/>
                <w:rFonts w:hint="eastAsia"/>
              </w:rPr>
              <w:t>3年</w:t>
            </w:r>
          </w:p>
        </w:tc>
      </w:tr>
      <w:tr w14:paraId="6FA774B4">
        <w:tblPrEx>
          <w:tblCellMar>
            <w:top w:w="0" w:type="dxa"/>
            <w:left w:w="0" w:type="dxa"/>
            <w:bottom w:w="0" w:type="dxa"/>
            <w:right w:w="0" w:type="dxa"/>
          </w:tblCellMar>
        </w:tblPrEx>
        <w:trPr>
          <w:wBefore w:w="0" w:type="auto"/>
          <w:tblCellSpacing w:w="0" w:type="dxa"/>
        </w:trPr>
        <w:tc>
          <w:tcPr>
            <w:tcW w:w="0" w:type="auto"/>
            <w:noWrap w:val="0"/>
            <w:vAlign w:val="center"/>
          </w:tcPr>
          <w:p w14:paraId="3C2D259D">
            <w:r>
              <w:rPr>
                <w:rStyle w:val="10"/>
                <w:rFonts w:hint="eastAsia"/>
              </w:rPr>
              <w:t>备注：</w:t>
            </w:r>
          </w:p>
        </w:tc>
      </w:tr>
    </w:tbl>
    <w:p w14:paraId="778DCA8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4C12AA8">
        <w:tblPrEx>
          <w:tblCellMar>
            <w:top w:w="0" w:type="dxa"/>
            <w:left w:w="0" w:type="dxa"/>
            <w:bottom w:w="0" w:type="dxa"/>
            <w:right w:w="0" w:type="dxa"/>
          </w:tblCellMar>
        </w:tblPrEx>
        <w:trPr>
          <w:wBefore w:w="0" w:type="auto"/>
          <w:tblCellSpacing w:w="0" w:type="dxa"/>
        </w:trPr>
        <w:tc>
          <w:tcPr>
            <w:tcW w:w="0" w:type="auto"/>
            <w:noWrap w:val="0"/>
            <w:vAlign w:val="center"/>
          </w:tcPr>
          <w:p w14:paraId="0CE3BA78">
            <w:r>
              <w:rPr>
                <w:rStyle w:val="10"/>
                <w:rFonts w:hint="eastAsia"/>
              </w:rPr>
              <w:t>登记证号：</w:t>
            </w:r>
            <w:r>
              <w:rPr>
                <w:rFonts w:hint="eastAsia"/>
              </w:rPr>
              <w:t>PD20211946</w:t>
            </w:r>
          </w:p>
        </w:tc>
      </w:tr>
      <w:tr w14:paraId="26BFF0FF">
        <w:tblPrEx>
          <w:tblCellMar>
            <w:top w:w="0" w:type="dxa"/>
            <w:left w:w="0" w:type="dxa"/>
            <w:bottom w:w="0" w:type="dxa"/>
            <w:right w:w="0" w:type="dxa"/>
          </w:tblCellMar>
        </w:tblPrEx>
        <w:trPr>
          <w:wBefore w:w="0" w:type="auto"/>
          <w:tblCellSpacing w:w="0" w:type="dxa"/>
        </w:trPr>
        <w:tc>
          <w:tcPr>
            <w:tcW w:w="0" w:type="auto"/>
            <w:noWrap w:val="0"/>
            <w:vAlign w:val="center"/>
          </w:tcPr>
          <w:p w14:paraId="0B248434">
            <w:r>
              <w:rPr>
                <w:rStyle w:val="10"/>
                <w:rFonts w:hint="eastAsia"/>
              </w:rPr>
              <w:t>登记证持有人：</w:t>
            </w:r>
            <w:r>
              <w:rPr>
                <w:rFonts w:hint="eastAsia"/>
              </w:rPr>
              <w:t>河南金田地农化有限责任公司</w:t>
            </w:r>
          </w:p>
        </w:tc>
      </w:tr>
      <w:tr w14:paraId="037EC500">
        <w:tblPrEx>
          <w:tblCellMar>
            <w:top w:w="0" w:type="dxa"/>
            <w:left w:w="0" w:type="dxa"/>
            <w:bottom w:w="0" w:type="dxa"/>
            <w:right w:w="0" w:type="dxa"/>
          </w:tblCellMar>
        </w:tblPrEx>
        <w:trPr>
          <w:wBefore w:w="0" w:type="auto"/>
          <w:tblCellSpacing w:w="0" w:type="dxa"/>
        </w:trPr>
        <w:tc>
          <w:tcPr>
            <w:tcW w:w="0" w:type="auto"/>
            <w:noWrap w:val="0"/>
            <w:vAlign w:val="center"/>
          </w:tcPr>
          <w:p w14:paraId="0545C550">
            <w:r>
              <w:rPr>
                <w:rStyle w:val="10"/>
                <w:rFonts w:hint="eastAsia"/>
              </w:rPr>
              <w:t>农药名称：</w:t>
            </w:r>
            <w:r>
              <w:rPr>
                <w:rFonts w:hint="eastAsia"/>
              </w:rPr>
              <w:t>吡唑醚菌酯·氟啶胺</w:t>
            </w:r>
          </w:p>
        </w:tc>
      </w:tr>
      <w:tr w14:paraId="0DB00C72">
        <w:tblPrEx>
          <w:tblCellMar>
            <w:top w:w="0" w:type="dxa"/>
            <w:left w:w="0" w:type="dxa"/>
            <w:bottom w:w="0" w:type="dxa"/>
            <w:right w:w="0" w:type="dxa"/>
          </w:tblCellMar>
        </w:tblPrEx>
        <w:trPr>
          <w:wBefore w:w="0" w:type="auto"/>
          <w:tblCellSpacing w:w="0" w:type="dxa"/>
        </w:trPr>
        <w:tc>
          <w:tcPr>
            <w:tcW w:w="0" w:type="auto"/>
            <w:noWrap w:val="0"/>
            <w:vAlign w:val="center"/>
          </w:tcPr>
          <w:p w14:paraId="0238A8E2">
            <w:r>
              <w:rPr>
                <w:rStyle w:val="10"/>
                <w:rFonts w:hint="eastAsia"/>
              </w:rPr>
              <w:t>剂型：</w:t>
            </w:r>
            <w:r>
              <w:rPr>
                <w:rFonts w:hint="eastAsia"/>
              </w:rPr>
              <w:t>悬浮剂</w:t>
            </w:r>
          </w:p>
        </w:tc>
      </w:tr>
      <w:tr w14:paraId="1E816FFC">
        <w:tblPrEx>
          <w:tblCellMar>
            <w:top w:w="0" w:type="dxa"/>
            <w:left w:w="0" w:type="dxa"/>
            <w:bottom w:w="0" w:type="dxa"/>
            <w:right w:w="0" w:type="dxa"/>
          </w:tblCellMar>
        </w:tblPrEx>
        <w:trPr>
          <w:wBefore w:w="0" w:type="auto"/>
          <w:tblCellSpacing w:w="0" w:type="dxa"/>
        </w:trPr>
        <w:tc>
          <w:tcPr>
            <w:tcW w:w="0" w:type="auto"/>
            <w:noWrap w:val="0"/>
            <w:vAlign w:val="center"/>
          </w:tcPr>
          <w:p w14:paraId="3FE60740">
            <w:r>
              <w:rPr>
                <w:rStyle w:val="10"/>
                <w:rFonts w:hint="eastAsia"/>
              </w:rPr>
              <w:t>毒性及其标识：</w:t>
            </w:r>
            <w:r>
              <w:rPr>
                <w:rFonts w:hint="eastAsia"/>
              </w:rPr>
              <w:t xml:space="preserve"> </w:t>
            </w:r>
            <w:r>
              <w:rPr>
                <w:lang/>
              </w:rPr>
              <w:drawing>
                <wp:inline distT="0" distB="0" distL="114300" distR="114300">
                  <wp:extent cx="476250" cy="323850"/>
                  <wp:effectExtent l="0" t="0" r="0" b="0"/>
                  <wp:docPr id="462" name="图片 46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CE845F4">
        <w:tblPrEx>
          <w:tblCellMar>
            <w:top w:w="0" w:type="dxa"/>
            <w:left w:w="0" w:type="dxa"/>
            <w:bottom w:w="0" w:type="dxa"/>
            <w:right w:w="0" w:type="dxa"/>
          </w:tblCellMar>
        </w:tblPrEx>
        <w:trPr>
          <w:wBefore w:w="0" w:type="auto"/>
          <w:tblCellSpacing w:w="0" w:type="dxa"/>
        </w:trPr>
        <w:tc>
          <w:tcPr>
            <w:tcW w:w="0" w:type="auto"/>
            <w:noWrap w:val="0"/>
            <w:vAlign w:val="center"/>
          </w:tcPr>
          <w:p w14:paraId="3A351413">
            <w:r>
              <w:rPr>
                <w:rStyle w:val="10"/>
                <w:rFonts w:hint="eastAsia"/>
              </w:rPr>
              <w:t>总有效成分含量：</w:t>
            </w:r>
            <w:r>
              <w:rPr>
                <w:rFonts w:hint="eastAsia"/>
              </w:rPr>
              <w:t>18%</w:t>
            </w:r>
          </w:p>
        </w:tc>
      </w:tr>
      <w:tr w14:paraId="556D6578">
        <w:tblPrEx>
          <w:tblCellMar>
            <w:top w:w="0" w:type="dxa"/>
            <w:left w:w="0" w:type="dxa"/>
            <w:bottom w:w="0" w:type="dxa"/>
            <w:right w:w="0" w:type="dxa"/>
          </w:tblCellMar>
        </w:tblPrEx>
        <w:trPr>
          <w:wBefore w:w="0" w:type="auto"/>
          <w:tblCellSpacing w:w="0" w:type="dxa"/>
        </w:trPr>
        <w:tc>
          <w:tcPr>
            <w:tcW w:w="0" w:type="auto"/>
            <w:noWrap w:val="0"/>
            <w:vAlign w:val="center"/>
          </w:tcPr>
          <w:p w14:paraId="46309E94">
            <w:r>
              <w:rPr>
                <w:rFonts w:hint="eastAsia"/>
              </w:rPr>
              <w:t xml:space="preserve">有效成分及其含量： </w:t>
            </w:r>
          </w:p>
          <w:p w14:paraId="0DBD5F65">
            <w:r>
              <w:rPr>
                <w:rFonts w:hint="eastAsia"/>
              </w:rPr>
              <w:t xml:space="preserve">    吡唑醚菌酯6%    氟啶胺12%    </w:t>
            </w:r>
          </w:p>
        </w:tc>
      </w:tr>
      <w:tr w14:paraId="3D837B5F">
        <w:tblPrEx>
          <w:tblCellMar>
            <w:top w:w="0" w:type="dxa"/>
            <w:left w:w="0" w:type="dxa"/>
            <w:bottom w:w="0" w:type="dxa"/>
            <w:right w:w="0" w:type="dxa"/>
          </w:tblCellMar>
        </w:tblPrEx>
        <w:trPr>
          <w:wBefore w:w="0" w:type="auto"/>
          <w:tblCellSpacing w:w="0" w:type="dxa"/>
        </w:trPr>
        <w:tc>
          <w:tcPr>
            <w:tcW w:w="0" w:type="auto"/>
            <w:noWrap w:val="0"/>
            <w:vAlign w:val="center"/>
          </w:tcPr>
          <w:p w14:paraId="7FBB2F6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8532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AD519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9C4A35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F8D88B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4529BE9">
                  <w:r>
                    <w:rPr>
                      <w:rStyle w:val="11"/>
                      <w:rFonts w:hint="eastAsia"/>
                    </w:rPr>
                    <w:t>施用方式</w:t>
                  </w:r>
                </w:p>
              </w:tc>
            </w:tr>
            <w:tr w14:paraId="6CD22B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B82F28">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82F7BE">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1C93A9">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E2E1868">
                  <w:r>
                    <w:rPr>
                      <w:rStyle w:val="11"/>
                      <w:rFonts w:hint="eastAsia"/>
                    </w:rPr>
                    <w:t>喷雾</w:t>
                  </w:r>
                </w:p>
              </w:tc>
            </w:tr>
          </w:tbl>
          <w:p w14:paraId="19B0A86F">
            <w:pPr>
              <w:rPr>
                <w:rFonts w:ascii="Times New Roman" w:hAnsi="Times New Roman" w:cs="Times New Roman"/>
                <w:sz w:val="20"/>
                <w:szCs w:val="20"/>
              </w:rPr>
            </w:pPr>
          </w:p>
        </w:tc>
      </w:tr>
      <w:tr w14:paraId="020D8F44">
        <w:tblPrEx>
          <w:tblCellMar>
            <w:top w:w="0" w:type="dxa"/>
            <w:left w:w="0" w:type="dxa"/>
            <w:bottom w:w="0" w:type="dxa"/>
            <w:right w:w="0" w:type="dxa"/>
          </w:tblCellMar>
        </w:tblPrEx>
        <w:trPr>
          <w:wBefore w:w="0" w:type="auto"/>
          <w:tblCellSpacing w:w="0" w:type="dxa"/>
        </w:trPr>
        <w:tc>
          <w:tcPr>
            <w:tcW w:w="0" w:type="auto"/>
            <w:noWrap w:val="0"/>
            <w:vAlign w:val="center"/>
          </w:tcPr>
          <w:p w14:paraId="44D109DB">
            <w:r>
              <w:rPr>
                <w:rStyle w:val="10"/>
                <w:rFonts w:hint="eastAsia"/>
              </w:rPr>
              <w:t>使用技术要求:</w:t>
            </w:r>
            <w:r>
              <w:rPr>
                <w:rFonts w:hint="eastAsia"/>
              </w:rPr>
              <w:br w:type="textWrapping"/>
            </w:r>
            <w:r>
              <w:rPr>
                <w:rStyle w:val="11"/>
                <w:rFonts w:hint="eastAsia"/>
              </w:rPr>
              <w:t>1. 在马铃薯晚疫病发病前或初期进行常规喷雾，可用药2-3次，间隔7天左右1次。2. 大风天或预计1小时内降雨，请勿施药。3. 安全间隔期为14天，每季作物最多施药3次。</w:t>
            </w:r>
          </w:p>
        </w:tc>
      </w:tr>
      <w:tr w14:paraId="515823EA">
        <w:tblPrEx>
          <w:tblCellMar>
            <w:top w:w="0" w:type="dxa"/>
            <w:left w:w="0" w:type="dxa"/>
            <w:bottom w:w="0" w:type="dxa"/>
            <w:right w:w="0" w:type="dxa"/>
          </w:tblCellMar>
        </w:tblPrEx>
        <w:trPr>
          <w:wBefore w:w="0" w:type="auto"/>
          <w:tblCellSpacing w:w="0" w:type="dxa"/>
        </w:trPr>
        <w:tc>
          <w:tcPr>
            <w:tcW w:w="0" w:type="auto"/>
            <w:noWrap w:val="0"/>
            <w:vAlign w:val="center"/>
          </w:tcPr>
          <w:p w14:paraId="04D4CAA4">
            <w:r>
              <w:rPr>
                <w:rStyle w:val="10"/>
                <w:rFonts w:hint="eastAsia"/>
              </w:rPr>
              <w:t>产品性能:</w:t>
            </w:r>
            <w:r>
              <w:rPr>
                <w:rFonts w:hint="eastAsia"/>
              </w:rPr>
              <w:br w:type="textWrapping"/>
            </w:r>
            <w:r>
              <w:rPr>
                <w:rStyle w:val="11"/>
                <w:rFonts w:hint="eastAsia"/>
              </w:rPr>
              <w:t xml:space="preserve">吡唑醚菌酯是新型广谱杀菌剂，为线粒体呼吸抑制剂，具有保护、治疗、叶片渗透传导作用；氟啶胺是吡啶类杀菌剂，对卵菌和半知菌类具有较好的防治效果，具有较好的触杀和杀孢功能。二者混配，具有较好的保护和治疗效果，主要用于防治马铃薯晚疫病。 </w:t>
            </w:r>
          </w:p>
        </w:tc>
      </w:tr>
      <w:tr w14:paraId="71740E4C">
        <w:tblPrEx>
          <w:tblCellMar>
            <w:top w:w="0" w:type="dxa"/>
            <w:left w:w="0" w:type="dxa"/>
            <w:bottom w:w="0" w:type="dxa"/>
            <w:right w:w="0" w:type="dxa"/>
          </w:tblCellMar>
        </w:tblPrEx>
        <w:trPr>
          <w:wBefore w:w="0" w:type="auto"/>
          <w:tblCellSpacing w:w="0" w:type="dxa"/>
        </w:trPr>
        <w:tc>
          <w:tcPr>
            <w:tcW w:w="0" w:type="auto"/>
            <w:noWrap w:val="0"/>
            <w:vAlign w:val="center"/>
          </w:tcPr>
          <w:p w14:paraId="338112E6">
            <w:r>
              <w:rPr>
                <w:rStyle w:val="10"/>
                <w:rFonts w:hint="eastAsia"/>
              </w:rPr>
              <w:t>注意事项：</w:t>
            </w:r>
            <w:r>
              <w:rPr>
                <w:rFonts w:hint="eastAsia"/>
              </w:rPr>
              <w:br w:type="textWrapping"/>
            </w:r>
            <w:r>
              <w:rPr>
                <w:rStyle w:val="11"/>
                <w:rFonts w:hint="eastAsia"/>
              </w:rPr>
              <w:t>1. 请按照农药安全使用准则使用本品。该产品对眼睛、皮肤有刺激性，使用时避免药液接触眼睛、皮肤，穿戴长衣、长裤、帽子、口罩、手套等防护措施。避免药液污染衣物，避免吸入雾滴。切勿在施药现场抽烟或饮食。在饮水、进食和抽烟前，应先洗手、洗脸。2. 施药后彻底清洗器械，禁止在河塘等水体中清洗施药器具，清洗器具的废水不能排入河流、池塘等水源。3. 远离水产养殖区、河塘等水体施药；蚕室及桑园附近禁用，赤眼蜂、瓢虫等天敌放飞区域禁用。4.未用完的制剂应放在原包装内密封保存，使用过的空包装，用清水冲洗后妥善处理，切勿重复使用或改作其它用途。5.避免孕妇及哺乳期的妇女接触此药。6. 用过的容器应妥善处理，不可做他用，也不可随意丢弃。</w:t>
            </w:r>
          </w:p>
        </w:tc>
      </w:tr>
      <w:tr w14:paraId="3313464A">
        <w:tblPrEx>
          <w:tblCellMar>
            <w:top w:w="0" w:type="dxa"/>
            <w:left w:w="0" w:type="dxa"/>
            <w:bottom w:w="0" w:type="dxa"/>
            <w:right w:w="0" w:type="dxa"/>
          </w:tblCellMar>
        </w:tblPrEx>
        <w:trPr>
          <w:wBefore w:w="0" w:type="auto"/>
          <w:tblCellSpacing w:w="0" w:type="dxa"/>
        </w:trPr>
        <w:tc>
          <w:tcPr>
            <w:tcW w:w="0" w:type="auto"/>
            <w:noWrap w:val="0"/>
            <w:vAlign w:val="center"/>
          </w:tcPr>
          <w:p w14:paraId="0AA07E6A">
            <w:r>
              <w:rPr>
                <w:rStyle w:val="10"/>
                <w:rFonts w:hint="eastAsia"/>
              </w:rPr>
              <w:t>中毒急救措施：</w:t>
            </w:r>
            <w:r>
              <w:rPr>
                <w:rFonts w:hint="eastAsia"/>
              </w:rPr>
              <w:br w:type="textWrapping"/>
            </w:r>
            <w:r>
              <w:rPr>
                <w:rStyle w:val="11"/>
                <w:rFonts w:hint="eastAsia"/>
              </w:rPr>
              <w:t xml:space="preserve">中毒症状表现为皮肤刺痛、头痛、头昏、恶心呕吐，双手颤抖、抽搐、惊厥、昏迷等。用药时如感觉不适，立即停止工作，采取急救措施，并携此标签送医就诊；如溅入眼睛，立即用大量流动清水冲洗至少15分钟，再请医生诊治；如误服，立即停止，用大量的清水充分漱口后，应立即携此标签将病人送医院对症治疗；不慎吸入，立即将吸入者转移到空气新鲜处，严重者携标签就医；如药液沾染皮肤，立即用肥皂水彻底清洗。本品无特效解毒剂。可采取洗胃、活性炭吸附及稀释等办法救治，注意防止胃容物进入呼吸道。注意：切勿对昏迷病人经口喂入任何东西或引吐。 </w:t>
            </w:r>
          </w:p>
        </w:tc>
      </w:tr>
      <w:tr w14:paraId="5CDA76BC">
        <w:tblPrEx>
          <w:tblCellMar>
            <w:top w:w="0" w:type="dxa"/>
            <w:left w:w="0" w:type="dxa"/>
            <w:bottom w:w="0" w:type="dxa"/>
            <w:right w:w="0" w:type="dxa"/>
          </w:tblCellMar>
        </w:tblPrEx>
        <w:trPr>
          <w:wBefore w:w="0" w:type="auto"/>
          <w:tblCellSpacing w:w="0" w:type="dxa"/>
        </w:trPr>
        <w:tc>
          <w:tcPr>
            <w:tcW w:w="0" w:type="auto"/>
            <w:noWrap w:val="0"/>
            <w:vAlign w:val="center"/>
          </w:tcPr>
          <w:p w14:paraId="4C31BA60">
            <w:r>
              <w:rPr>
                <w:rStyle w:val="10"/>
                <w:rFonts w:hint="eastAsia"/>
              </w:rPr>
              <w:t>储存和运输方法：</w:t>
            </w:r>
            <w:r>
              <w:rPr>
                <w:rFonts w:hint="eastAsia"/>
              </w:rPr>
              <w:br w:type="textWrapping"/>
            </w:r>
            <w:r>
              <w:rPr>
                <w:rStyle w:val="11"/>
                <w:rFonts w:hint="eastAsia"/>
              </w:rPr>
              <w:t xml:space="preserve">本品应贮在于干燥、阴凉、通风、防雨处。远离火源或热源。置于儿童触及不到之处，并加锁。勿与食品、饮料、粮食、饲料等其他商品同贮同运。 </w:t>
            </w:r>
          </w:p>
        </w:tc>
      </w:tr>
      <w:tr w14:paraId="6A30C840">
        <w:tblPrEx>
          <w:tblCellMar>
            <w:top w:w="0" w:type="dxa"/>
            <w:left w:w="0" w:type="dxa"/>
            <w:bottom w:w="0" w:type="dxa"/>
            <w:right w:w="0" w:type="dxa"/>
          </w:tblCellMar>
        </w:tblPrEx>
        <w:trPr>
          <w:wBefore w:w="0" w:type="auto"/>
          <w:tblCellSpacing w:w="0" w:type="dxa"/>
        </w:trPr>
        <w:tc>
          <w:tcPr>
            <w:tcW w:w="0" w:type="auto"/>
            <w:noWrap w:val="0"/>
            <w:vAlign w:val="center"/>
          </w:tcPr>
          <w:p w14:paraId="6E180328">
            <w:r>
              <w:rPr>
                <w:rStyle w:val="10"/>
                <w:rFonts w:hint="eastAsia"/>
              </w:rPr>
              <w:t>质量保证期：</w:t>
            </w:r>
            <w:r>
              <w:rPr>
                <w:rStyle w:val="11"/>
                <w:rFonts w:hint="eastAsia"/>
              </w:rPr>
              <w:t>2年</w:t>
            </w:r>
          </w:p>
        </w:tc>
      </w:tr>
      <w:tr w14:paraId="229CE1D8">
        <w:tblPrEx>
          <w:tblCellMar>
            <w:top w:w="0" w:type="dxa"/>
            <w:left w:w="0" w:type="dxa"/>
            <w:bottom w:w="0" w:type="dxa"/>
            <w:right w:w="0" w:type="dxa"/>
          </w:tblCellMar>
        </w:tblPrEx>
        <w:trPr>
          <w:wBefore w:w="0" w:type="auto"/>
          <w:tblCellSpacing w:w="0" w:type="dxa"/>
        </w:trPr>
        <w:tc>
          <w:tcPr>
            <w:tcW w:w="0" w:type="auto"/>
            <w:noWrap w:val="0"/>
            <w:vAlign w:val="center"/>
          </w:tcPr>
          <w:p w14:paraId="5D646D04">
            <w:r>
              <w:rPr>
                <w:rStyle w:val="10"/>
                <w:rFonts w:hint="eastAsia"/>
              </w:rPr>
              <w:t>备注：</w:t>
            </w:r>
          </w:p>
        </w:tc>
      </w:tr>
    </w:tbl>
    <w:p w14:paraId="61CBC36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E2D3308">
        <w:tblPrEx>
          <w:tblCellMar>
            <w:top w:w="0" w:type="dxa"/>
            <w:left w:w="0" w:type="dxa"/>
            <w:bottom w:w="0" w:type="dxa"/>
            <w:right w:w="0" w:type="dxa"/>
          </w:tblCellMar>
        </w:tblPrEx>
        <w:trPr>
          <w:wBefore w:w="0" w:type="auto"/>
          <w:tblCellSpacing w:w="0" w:type="dxa"/>
        </w:trPr>
        <w:tc>
          <w:tcPr>
            <w:tcW w:w="0" w:type="auto"/>
            <w:noWrap w:val="0"/>
            <w:vAlign w:val="center"/>
          </w:tcPr>
          <w:p w14:paraId="41D465CE">
            <w:r>
              <w:rPr>
                <w:rStyle w:val="10"/>
                <w:rFonts w:hint="eastAsia"/>
              </w:rPr>
              <w:t>登记证号：</w:t>
            </w:r>
            <w:r>
              <w:rPr>
                <w:rFonts w:hint="eastAsia"/>
              </w:rPr>
              <w:t>PD20211955</w:t>
            </w:r>
          </w:p>
        </w:tc>
      </w:tr>
      <w:tr w14:paraId="7DDDB359">
        <w:tblPrEx>
          <w:tblCellMar>
            <w:top w:w="0" w:type="dxa"/>
            <w:left w:w="0" w:type="dxa"/>
            <w:bottom w:w="0" w:type="dxa"/>
            <w:right w:w="0" w:type="dxa"/>
          </w:tblCellMar>
        </w:tblPrEx>
        <w:trPr>
          <w:wBefore w:w="0" w:type="auto"/>
          <w:tblCellSpacing w:w="0" w:type="dxa"/>
        </w:trPr>
        <w:tc>
          <w:tcPr>
            <w:tcW w:w="0" w:type="auto"/>
            <w:noWrap w:val="0"/>
            <w:vAlign w:val="center"/>
          </w:tcPr>
          <w:p w14:paraId="4850A522">
            <w:r>
              <w:rPr>
                <w:rStyle w:val="10"/>
                <w:rFonts w:hint="eastAsia"/>
              </w:rPr>
              <w:t>登记证持有人：</w:t>
            </w:r>
            <w:r>
              <w:rPr>
                <w:rFonts w:hint="eastAsia"/>
              </w:rPr>
              <w:t>浙江省杭州宇龙化工有限公司</w:t>
            </w:r>
          </w:p>
        </w:tc>
      </w:tr>
      <w:tr w14:paraId="03040C4D">
        <w:tblPrEx>
          <w:tblCellMar>
            <w:top w:w="0" w:type="dxa"/>
            <w:left w:w="0" w:type="dxa"/>
            <w:bottom w:w="0" w:type="dxa"/>
            <w:right w:w="0" w:type="dxa"/>
          </w:tblCellMar>
        </w:tblPrEx>
        <w:trPr>
          <w:wBefore w:w="0" w:type="auto"/>
          <w:tblCellSpacing w:w="0" w:type="dxa"/>
        </w:trPr>
        <w:tc>
          <w:tcPr>
            <w:tcW w:w="0" w:type="auto"/>
            <w:noWrap w:val="0"/>
            <w:vAlign w:val="center"/>
          </w:tcPr>
          <w:p w14:paraId="0DBFB745">
            <w:r>
              <w:rPr>
                <w:rStyle w:val="10"/>
                <w:rFonts w:hint="eastAsia"/>
              </w:rPr>
              <w:t>农药名称：</w:t>
            </w:r>
            <w:r>
              <w:rPr>
                <w:rFonts w:hint="eastAsia"/>
              </w:rPr>
              <w:t>咯菌腈</w:t>
            </w:r>
          </w:p>
        </w:tc>
      </w:tr>
      <w:tr w14:paraId="2A17C5F6">
        <w:tblPrEx>
          <w:tblCellMar>
            <w:top w:w="0" w:type="dxa"/>
            <w:left w:w="0" w:type="dxa"/>
            <w:bottom w:w="0" w:type="dxa"/>
            <w:right w:w="0" w:type="dxa"/>
          </w:tblCellMar>
        </w:tblPrEx>
        <w:trPr>
          <w:wBefore w:w="0" w:type="auto"/>
          <w:tblCellSpacing w:w="0" w:type="dxa"/>
        </w:trPr>
        <w:tc>
          <w:tcPr>
            <w:tcW w:w="0" w:type="auto"/>
            <w:noWrap w:val="0"/>
            <w:vAlign w:val="center"/>
          </w:tcPr>
          <w:p w14:paraId="7D4D37CB">
            <w:r>
              <w:rPr>
                <w:rStyle w:val="10"/>
                <w:rFonts w:hint="eastAsia"/>
              </w:rPr>
              <w:t>剂型：</w:t>
            </w:r>
            <w:r>
              <w:rPr>
                <w:rFonts w:hint="eastAsia"/>
              </w:rPr>
              <w:t>种子处理悬浮剂</w:t>
            </w:r>
          </w:p>
        </w:tc>
      </w:tr>
      <w:tr w14:paraId="317DB3CA">
        <w:tblPrEx>
          <w:tblCellMar>
            <w:top w:w="0" w:type="dxa"/>
            <w:left w:w="0" w:type="dxa"/>
            <w:bottom w:w="0" w:type="dxa"/>
            <w:right w:w="0" w:type="dxa"/>
          </w:tblCellMar>
        </w:tblPrEx>
        <w:trPr>
          <w:wBefore w:w="0" w:type="auto"/>
          <w:tblCellSpacing w:w="0" w:type="dxa"/>
        </w:trPr>
        <w:tc>
          <w:tcPr>
            <w:tcW w:w="0" w:type="auto"/>
            <w:noWrap w:val="0"/>
            <w:vAlign w:val="center"/>
          </w:tcPr>
          <w:p w14:paraId="546CD351">
            <w:r>
              <w:rPr>
                <w:rStyle w:val="10"/>
                <w:rFonts w:hint="eastAsia"/>
              </w:rPr>
              <w:t>毒性及其标识：</w:t>
            </w:r>
            <w:r>
              <w:rPr>
                <w:rFonts w:hint="eastAsia"/>
              </w:rPr>
              <w:t xml:space="preserve"> 微毒 </w:t>
            </w:r>
          </w:p>
        </w:tc>
      </w:tr>
      <w:tr w14:paraId="15491AC6">
        <w:tblPrEx>
          <w:tblCellMar>
            <w:top w:w="0" w:type="dxa"/>
            <w:left w:w="0" w:type="dxa"/>
            <w:bottom w:w="0" w:type="dxa"/>
            <w:right w:w="0" w:type="dxa"/>
          </w:tblCellMar>
        </w:tblPrEx>
        <w:trPr>
          <w:wBefore w:w="0" w:type="auto"/>
          <w:tblCellSpacing w:w="0" w:type="dxa"/>
        </w:trPr>
        <w:tc>
          <w:tcPr>
            <w:tcW w:w="0" w:type="auto"/>
            <w:noWrap w:val="0"/>
            <w:vAlign w:val="center"/>
          </w:tcPr>
          <w:p w14:paraId="37873E0D">
            <w:r>
              <w:rPr>
                <w:rStyle w:val="10"/>
                <w:rFonts w:hint="eastAsia"/>
              </w:rPr>
              <w:t>总有效成分含量：</w:t>
            </w:r>
            <w:r>
              <w:rPr>
                <w:rFonts w:hint="eastAsia"/>
              </w:rPr>
              <w:t>50克/升</w:t>
            </w:r>
          </w:p>
        </w:tc>
      </w:tr>
      <w:tr w14:paraId="5A4F7860">
        <w:tblPrEx>
          <w:tblCellMar>
            <w:top w:w="0" w:type="dxa"/>
            <w:left w:w="0" w:type="dxa"/>
            <w:bottom w:w="0" w:type="dxa"/>
            <w:right w:w="0" w:type="dxa"/>
          </w:tblCellMar>
        </w:tblPrEx>
        <w:trPr>
          <w:wBefore w:w="0" w:type="auto"/>
          <w:tblCellSpacing w:w="0" w:type="dxa"/>
        </w:trPr>
        <w:tc>
          <w:tcPr>
            <w:tcW w:w="0" w:type="auto"/>
            <w:noWrap w:val="0"/>
            <w:vAlign w:val="center"/>
          </w:tcPr>
          <w:p w14:paraId="1DE5345B">
            <w:r>
              <w:rPr>
                <w:rFonts w:hint="eastAsia"/>
              </w:rPr>
              <w:t xml:space="preserve">有效成分及其含量： </w:t>
            </w:r>
          </w:p>
          <w:p w14:paraId="2E639D6D">
            <w:r>
              <w:rPr>
                <w:rFonts w:hint="eastAsia"/>
              </w:rPr>
              <w:t xml:space="preserve">    咯菌腈50克/升    </w:t>
            </w:r>
          </w:p>
        </w:tc>
      </w:tr>
      <w:tr w14:paraId="2F53F6A7">
        <w:tblPrEx>
          <w:tblCellMar>
            <w:top w:w="0" w:type="dxa"/>
            <w:left w:w="0" w:type="dxa"/>
            <w:bottom w:w="0" w:type="dxa"/>
            <w:right w:w="0" w:type="dxa"/>
          </w:tblCellMar>
        </w:tblPrEx>
        <w:trPr>
          <w:wBefore w:w="0" w:type="auto"/>
          <w:tblCellSpacing w:w="0" w:type="dxa"/>
        </w:trPr>
        <w:tc>
          <w:tcPr>
            <w:tcW w:w="0" w:type="auto"/>
            <w:noWrap w:val="0"/>
            <w:vAlign w:val="center"/>
          </w:tcPr>
          <w:p w14:paraId="04CA7D1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60E10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BA064C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FD4B10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24AA9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627D8A2">
                  <w:r>
                    <w:rPr>
                      <w:rStyle w:val="11"/>
                      <w:rFonts w:hint="eastAsia"/>
                    </w:rPr>
                    <w:t>施用方式</w:t>
                  </w:r>
                </w:p>
              </w:tc>
            </w:tr>
            <w:tr w14:paraId="3B507A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DAA8500">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F7004A">
                  <w:r>
                    <w:rPr>
                      <w:rStyle w:val="11"/>
                      <w:rFonts w:hint="eastAsia"/>
                    </w:rPr>
                    <w:t>茎基腐病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D9F280">
                  <w:r>
                    <w:rPr>
                      <w:rStyle w:val="11"/>
                      <w:rFonts w:hint="eastAsia"/>
                    </w:rPr>
                    <w:t>50-100毫升/100千克种子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6C7A45">
                  <w:r>
                    <w:rPr>
                      <w:rStyle w:val="11"/>
                      <w:rFonts w:hint="eastAsia"/>
                    </w:rPr>
                    <w:t>种子包衣</w:t>
                  </w:r>
                </w:p>
              </w:tc>
            </w:tr>
          </w:tbl>
          <w:p w14:paraId="4431FB01">
            <w:pPr>
              <w:rPr>
                <w:rFonts w:ascii="Times New Roman" w:hAnsi="Times New Roman" w:cs="Times New Roman"/>
                <w:sz w:val="20"/>
                <w:szCs w:val="20"/>
              </w:rPr>
            </w:pPr>
          </w:p>
        </w:tc>
      </w:tr>
      <w:tr w14:paraId="2973C403">
        <w:tblPrEx>
          <w:tblCellMar>
            <w:top w:w="0" w:type="dxa"/>
            <w:left w:w="0" w:type="dxa"/>
            <w:bottom w:w="0" w:type="dxa"/>
            <w:right w:w="0" w:type="dxa"/>
          </w:tblCellMar>
        </w:tblPrEx>
        <w:trPr>
          <w:wBefore w:w="0" w:type="auto"/>
          <w:tblCellSpacing w:w="0" w:type="dxa"/>
        </w:trPr>
        <w:tc>
          <w:tcPr>
            <w:tcW w:w="0" w:type="auto"/>
            <w:noWrap w:val="0"/>
            <w:vAlign w:val="center"/>
          </w:tcPr>
          <w:p w14:paraId="2CE11429">
            <w:r>
              <w:rPr>
                <w:rStyle w:val="10"/>
                <w:rFonts w:hint="eastAsia"/>
              </w:rPr>
              <w:t>使用技术要求:</w:t>
            </w:r>
            <w:r>
              <w:rPr>
                <w:rFonts w:hint="eastAsia"/>
              </w:rPr>
              <w:br w:type="textWrapping"/>
            </w:r>
            <w:r>
              <w:rPr>
                <w:rStyle w:val="11"/>
                <w:rFonts w:hint="eastAsia"/>
              </w:rPr>
              <w:t>于玉米播种前种子包衣，按推荐用药量，加适量清水，混合均匀调成浆状药液，将药浆与种子充分搅拌，直至药液均匀分布到种子表面，阴干后即可。</w:t>
            </w:r>
          </w:p>
        </w:tc>
      </w:tr>
      <w:tr w14:paraId="50C1107E">
        <w:tblPrEx>
          <w:tblCellMar>
            <w:top w:w="0" w:type="dxa"/>
            <w:left w:w="0" w:type="dxa"/>
            <w:bottom w:w="0" w:type="dxa"/>
            <w:right w:w="0" w:type="dxa"/>
          </w:tblCellMar>
        </w:tblPrEx>
        <w:trPr>
          <w:wBefore w:w="0" w:type="auto"/>
          <w:tblCellSpacing w:w="0" w:type="dxa"/>
        </w:trPr>
        <w:tc>
          <w:tcPr>
            <w:tcW w:w="0" w:type="auto"/>
            <w:noWrap w:val="0"/>
            <w:vAlign w:val="center"/>
          </w:tcPr>
          <w:p w14:paraId="1FC72DF7">
            <w:r>
              <w:rPr>
                <w:rStyle w:val="10"/>
                <w:rFonts w:hint="eastAsia"/>
              </w:rPr>
              <w:t>产品性能:</w:t>
            </w:r>
            <w:r>
              <w:rPr>
                <w:rFonts w:hint="eastAsia"/>
              </w:rPr>
              <w:br w:type="textWrapping"/>
            </w:r>
            <w:r>
              <w:rPr>
                <w:rStyle w:val="11"/>
                <w:rFonts w:hint="eastAsia"/>
              </w:rPr>
              <w:t>本品有效成分用于种子处理，可防治作物的种传和土传真菌病害。</w:t>
            </w:r>
          </w:p>
        </w:tc>
      </w:tr>
      <w:tr w14:paraId="0663BBFC">
        <w:tblPrEx>
          <w:tblCellMar>
            <w:top w:w="0" w:type="dxa"/>
            <w:left w:w="0" w:type="dxa"/>
            <w:bottom w:w="0" w:type="dxa"/>
            <w:right w:w="0" w:type="dxa"/>
          </w:tblCellMar>
        </w:tblPrEx>
        <w:trPr>
          <w:wBefore w:w="0" w:type="auto"/>
          <w:tblCellSpacing w:w="0" w:type="dxa"/>
        </w:trPr>
        <w:tc>
          <w:tcPr>
            <w:tcW w:w="0" w:type="auto"/>
            <w:noWrap w:val="0"/>
            <w:vAlign w:val="center"/>
          </w:tcPr>
          <w:p w14:paraId="2CC23D83">
            <w:r>
              <w:rPr>
                <w:rStyle w:val="10"/>
                <w:rFonts w:hint="eastAsia"/>
              </w:rPr>
              <w:t>注意事项：</w:t>
            </w:r>
            <w:r>
              <w:rPr>
                <w:rFonts w:hint="eastAsia"/>
              </w:rPr>
              <w:br w:type="textWrapping"/>
            </w:r>
            <w:r>
              <w:rPr>
                <w:rStyle w:val="11"/>
                <w:rFonts w:hint="eastAsia"/>
              </w:rPr>
              <w:t>1. 请按照农药安全使用准则使用本品。在种子处理过程中，避免药液接触皮肤、眼睛和污染衣物，避免吸入药液。切勿在施药现场抽烟或饮食。在饮水、进食和抽烟前，应先洗手、洗脸。 2. 配药和种子处理应在通风处进行。配药时，操作人员应戴防渗手套和面罩或护目镜，穿长袖衣、长裤和靴子；种子处理时，应戴防渗手套，穿长袖衣、长裤和靴子。 3. 种子处理结束后，彻底清洗防护用具，洗澡，并更换和清洗工作服。 4. 处理过的种子必须放置在有明显标签的容器内。不得饲喂禽畜，更不得用来加工饲料或食品。 5. 本品应避免与氧化剂接触。 6. 使用过的空包装，用清水冲洗三次后妥善处理，切勿重复使用或改作其它用途。所有施药器具，用后应立即用清水或适当的洗涤剂清洗，但不得在河塘等水体中洗涤。 7. 勿将本品及其废液弃于池塘、河溪、湖泊等，以免污染水源。 禁止在河塘等水域清洗施药器具。用过的容器应妥善处理，不可做他用，也不可随意丢弃。8. 未用完的制剂应放在原包装内密封保存，切勿将本品置于饮、食容器内。 9. 孕妇、哺乳期妇女、禁止接触本品。</w:t>
            </w:r>
          </w:p>
        </w:tc>
      </w:tr>
      <w:tr w14:paraId="2B7E7354">
        <w:tblPrEx>
          <w:tblCellMar>
            <w:top w:w="0" w:type="dxa"/>
            <w:left w:w="0" w:type="dxa"/>
            <w:bottom w:w="0" w:type="dxa"/>
            <w:right w:w="0" w:type="dxa"/>
          </w:tblCellMar>
        </w:tblPrEx>
        <w:trPr>
          <w:wBefore w:w="0" w:type="auto"/>
          <w:tblCellSpacing w:w="0" w:type="dxa"/>
        </w:trPr>
        <w:tc>
          <w:tcPr>
            <w:tcW w:w="0" w:type="auto"/>
            <w:noWrap w:val="0"/>
            <w:vAlign w:val="center"/>
          </w:tcPr>
          <w:p w14:paraId="3EE84334">
            <w:r>
              <w:rPr>
                <w:rStyle w:val="10"/>
                <w:rFonts w:hint="eastAsia"/>
              </w:rPr>
              <w:t>中毒急救措施：</w:t>
            </w:r>
            <w:r>
              <w:rPr>
                <w:rFonts w:hint="eastAsia"/>
              </w:rPr>
              <w:br w:type="textWrapping"/>
            </w:r>
            <w:r>
              <w:rPr>
                <w:rStyle w:val="11"/>
                <w:rFonts w:hint="eastAsia"/>
              </w:rPr>
              <w:t>1. 用药时如果感觉不适，立即停止工作，采取急救措施，并携此标签送医就诊。 2. 皮肤接触：立即脱掉被污染的衣物，用肥皂和大量清水彻底清洗受污染的皮肤。必要时请医生诊治。 3. 眼睛溅药：立即将眼睑翻开，用清水冲洗至少15分钟，再请医生诊治。 4. 发生吸入：立即将吸入者转移到空气新鲜处，注意保暖和休息，请医生诊治。 5. 误服：请勿引吐。立即携带标签，送医就诊。紧急医疗措施：使用医用活性炭洗胃，洗胃时注意防止胃容物进入呼吸道。注意：对昏迷病人，切勿经口喂入任何东西或引吐。 6. 解毒剂：无专用解毒剂，对症治疗。</w:t>
            </w:r>
          </w:p>
        </w:tc>
      </w:tr>
      <w:tr w14:paraId="3820CC0B">
        <w:tblPrEx>
          <w:tblCellMar>
            <w:top w:w="0" w:type="dxa"/>
            <w:left w:w="0" w:type="dxa"/>
            <w:bottom w:w="0" w:type="dxa"/>
            <w:right w:w="0" w:type="dxa"/>
          </w:tblCellMar>
        </w:tblPrEx>
        <w:trPr>
          <w:wBefore w:w="0" w:type="auto"/>
          <w:tblCellSpacing w:w="0" w:type="dxa"/>
        </w:trPr>
        <w:tc>
          <w:tcPr>
            <w:tcW w:w="0" w:type="auto"/>
            <w:noWrap w:val="0"/>
            <w:vAlign w:val="center"/>
          </w:tcPr>
          <w:p w14:paraId="53806EBD">
            <w:r>
              <w:rPr>
                <w:rStyle w:val="10"/>
                <w:rFonts w:hint="eastAsia"/>
              </w:rPr>
              <w:t>储存和运输方法：</w:t>
            </w:r>
            <w:r>
              <w:rPr>
                <w:rFonts w:hint="eastAsia"/>
              </w:rPr>
              <w:br w:type="textWrapping"/>
            </w:r>
            <w:r>
              <w:rPr>
                <w:rStyle w:val="11"/>
                <w:rFonts w:hint="eastAsia"/>
              </w:rPr>
              <w:t>本品应贮存于干燥、阴凉、通风、防雨处，远离火源或热源，避免在低于10℃和高于30℃的地方贮存。避免与具有氧化性物质接触或混合。 置于儿童及无关人员触及不到之处，并加锁。勿与食品、饮料、饲料、粮食等其他商品同储同运。</w:t>
            </w:r>
          </w:p>
        </w:tc>
      </w:tr>
      <w:tr w14:paraId="35D73B65">
        <w:tblPrEx>
          <w:tblCellMar>
            <w:top w:w="0" w:type="dxa"/>
            <w:left w:w="0" w:type="dxa"/>
            <w:bottom w:w="0" w:type="dxa"/>
            <w:right w:w="0" w:type="dxa"/>
          </w:tblCellMar>
        </w:tblPrEx>
        <w:trPr>
          <w:wBefore w:w="0" w:type="auto"/>
          <w:tblCellSpacing w:w="0" w:type="dxa"/>
        </w:trPr>
        <w:tc>
          <w:tcPr>
            <w:tcW w:w="0" w:type="auto"/>
            <w:noWrap w:val="0"/>
            <w:vAlign w:val="center"/>
          </w:tcPr>
          <w:p w14:paraId="212220D3">
            <w:r>
              <w:rPr>
                <w:rStyle w:val="10"/>
                <w:rFonts w:hint="eastAsia"/>
              </w:rPr>
              <w:t>质量保证期：</w:t>
            </w:r>
            <w:r>
              <w:rPr>
                <w:rStyle w:val="11"/>
                <w:rFonts w:hint="eastAsia"/>
              </w:rPr>
              <w:t>2年</w:t>
            </w:r>
          </w:p>
        </w:tc>
      </w:tr>
      <w:tr w14:paraId="4F42144E">
        <w:tblPrEx>
          <w:tblCellMar>
            <w:top w:w="0" w:type="dxa"/>
            <w:left w:w="0" w:type="dxa"/>
            <w:bottom w:w="0" w:type="dxa"/>
            <w:right w:w="0" w:type="dxa"/>
          </w:tblCellMar>
        </w:tblPrEx>
        <w:trPr>
          <w:wBefore w:w="0" w:type="auto"/>
          <w:tblCellSpacing w:w="0" w:type="dxa"/>
        </w:trPr>
        <w:tc>
          <w:tcPr>
            <w:tcW w:w="0" w:type="auto"/>
            <w:noWrap w:val="0"/>
            <w:vAlign w:val="center"/>
          </w:tcPr>
          <w:p w14:paraId="0D9F50F0">
            <w:r>
              <w:rPr>
                <w:rStyle w:val="10"/>
                <w:rFonts w:hint="eastAsia"/>
              </w:rPr>
              <w:t>备注：</w:t>
            </w:r>
            <w:r>
              <w:rPr>
                <w:rFonts w:hint="eastAsia"/>
              </w:rPr>
              <w:br w:type="textWrapping"/>
            </w:r>
            <w:r>
              <w:rPr>
                <w:rStyle w:val="11"/>
                <w:rFonts w:hint="eastAsia"/>
              </w:rPr>
              <w:t>质量分数4.8%。</w:t>
            </w:r>
          </w:p>
        </w:tc>
      </w:tr>
    </w:tbl>
    <w:p w14:paraId="5CAC2D5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389305B">
        <w:tblPrEx>
          <w:tblCellMar>
            <w:top w:w="0" w:type="dxa"/>
            <w:left w:w="0" w:type="dxa"/>
            <w:bottom w:w="0" w:type="dxa"/>
            <w:right w:w="0" w:type="dxa"/>
          </w:tblCellMar>
        </w:tblPrEx>
        <w:trPr>
          <w:wBefore w:w="0" w:type="auto"/>
          <w:tblCellSpacing w:w="0" w:type="dxa"/>
        </w:trPr>
        <w:tc>
          <w:tcPr>
            <w:tcW w:w="0" w:type="auto"/>
            <w:noWrap w:val="0"/>
            <w:vAlign w:val="center"/>
          </w:tcPr>
          <w:p w14:paraId="41D7F5EE">
            <w:r>
              <w:rPr>
                <w:rStyle w:val="10"/>
                <w:rFonts w:hint="eastAsia"/>
              </w:rPr>
              <w:t>登记证号：</w:t>
            </w:r>
            <w:r>
              <w:rPr>
                <w:rFonts w:hint="eastAsia"/>
              </w:rPr>
              <w:t>PD20212115</w:t>
            </w:r>
          </w:p>
        </w:tc>
      </w:tr>
      <w:tr w14:paraId="1707B40D">
        <w:tblPrEx>
          <w:tblCellMar>
            <w:top w:w="0" w:type="dxa"/>
            <w:left w:w="0" w:type="dxa"/>
            <w:bottom w:w="0" w:type="dxa"/>
            <w:right w:w="0" w:type="dxa"/>
          </w:tblCellMar>
        </w:tblPrEx>
        <w:trPr>
          <w:wBefore w:w="0" w:type="auto"/>
          <w:tblCellSpacing w:w="0" w:type="dxa"/>
        </w:trPr>
        <w:tc>
          <w:tcPr>
            <w:tcW w:w="0" w:type="auto"/>
            <w:noWrap w:val="0"/>
            <w:vAlign w:val="center"/>
          </w:tcPr>
          <w:p w14:paraId="77E1C98D">
            <w:r>
              <w:rPr>
                <w:rStyle w:val="10"/>
                <w:rFonts w:hint="eastAsia"/>
              </w:rPr>
              <w:t>登记证持有人：</w:t>
            </w:r>
            <w:r>
              <w:rPr>
                <w:rFonts w:hint="eastAsia"/>
              </w:rPr>
              <w:t>济南绿霸农药有限公司</w:t>
            </w:r>
          </w:p>
        </w:tc>
      </w:tr>
      <w:tr w14:paraId="3B31261B">
        <w:tblPrEx>
          <w:tblCellMar>
            <w:top w:w="0" w:type="dxa"/>
            <w:left w:w="0" w:type="dxa"/>
            <w:bottom w:w="0" w:type="dxa"/>
            <w:right w:w="0" w:type="dxa"/>
          </w:tblCellMar>
        </w:tblPrEx>
        <w:trPr>
          <w:wBefore w:w="0" w:type="auto"/>
          <w:tblCellSpacing w:w="0" w:type="dxa"/>
        </w:trPr>
        <w:tc>
          <w:tcPr>
            <w:tcW w:w="0" w:type="auto"/>
            <w:noWrap w:val="0"/>
            <w:vAlign w:val="center"/>
          </w:tcPr>
          <w:p w14:paraId="487D046C">
            <w:r>
              <w:rPr>
                <w:rStyle w:val="10"/>
                <w:rFonts w:hint="eastAsia"/>
              </w:rPr>
              <w:t>农药名称：</w:t>
            </w:r>
            <w:r>
              <w:rPr>
                <w:rFonts w:hint="eastAsia"/>
              </w:rPr>
              <w:t>双氟·唑草酮</w:t>
            </w:r>
          </w:p>
        </w:tc>
      </w:tr>
      <w:tr w14:paraId="7CA004C6">
        <w:tblPrEx>
          <w:tblCellMar>
            <w:top w:w="0" w:type="dxa"/>
            <w:left w:w="0" w:type="dxa"/>
            <w:bottom w:w="0" w:type="dxa"/>
            <w:right w:w="0" w:type="dxa"/>
          </w:tblCellMar>
        </w:tblPrEx>
        <w:trPr>
          <w:wBefore w:w="0" w:type="auto"/>
          <w:tblCellSpacing w:w="0" w:type="dxa"/>
        </w:trPr>
        <w:tc>
          <w:tcPr>
            <w:tcW w:w="0" w:type="auto"/>
            <w:noWrap w:val="0"/>
            <w:vAlign w:val="center"/>
          </w:tcPr>
          <w:p w14:paraId="7E662DE7">
            <w:r>
              <w:rPr>
                <w:rStyle w:val="10"/>
                <w:rFonts w:hint="eastAsia"/>
              </w:rPr>
              <w:t>剂型：</w:t>
            </w:r>
            <w:r>
              <w:rPr>
                <w:rFonts w:hint="eastAsia"/>
              </w:rPr>
              <w:t>悬乳剂</w:t>
            </w:r>
          </w:p>
        </w:tc>
      </w:tr>
      <w:tr w14:paraId="131431E7">
        <w:tblPrEx>
          <w:tblCellMar>
            <w:top w:w="0" w:type="dxa"/>
            <w:left w:w="0" w:type="dxa"/>
            <w:bottom w:w="0" w:type="dxa"/>
            <w:right w:w="0" w:type="dxa"/>
          </w:tblCellMar>
        </w:tblPrEx>
        <w:trPr>
          <w:wBefore w:w="0" w:type="auto"/>
          <w:tblCellSpacing w:w="0" w:type="dxa"/>
        </w:trPr>
        <w:tc>
          <w:tcPr>
            <w:tcW w:w="0" w:type="auto"/>
            <w:noWrap w:val="0"/>
            <w:vAlign w:val="center"/>
          </w:tcPr>
          <w:p w14:paraId="344DCDDA">
            <w:r>
              <w:rPr>
                <w:rStyle w:val="10"/>
                <w:rFonts w:hint="eastAsia"/>
              </w:rPr>
              <w:t>毒性及其标识：</w:t>
            </w:r>
            <w:r>
              <w:rPr>
                <w:rFonts w:hint="eastAsia"/>
              </w:rPr>
              <w:t xml:space="preserve"> </w:t>
            </w:r>
            <w:r>
              <w:rPr>
                <w:lang/>
              </w:rPr>
              <w:drawing>
                <wp:inline distT="0" distB="0" distL="114300" distR="114300">
                  <wp:extent cx="476250" cy="323850"/>
                  <wp:effectExtent l="0" t="0" r="0" b="0"/>
                  <wp:docPr id="463" name="图片 46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042FBCB">
        <w:tblPrEx>
          <w:tblCellMar>
            <w:top w:w="0" w:type="dxa"/>
            <w:left w:w="0" w:type="dxa"/>
            <w:bottom w:w="0" w:type="dxa"/>
            <w:right w:w="0" w:type="dxa"/>
          </w:tblCellMar>
        </w:tblPrEx>
        <w:trPr>
          <w:wBefore w:w="0" w:type="auto"/>
          <w:tblCellSpacing w:w="0" w:type="dxa"/>
        </w:trPr>
        <w:tc>
          <w:tcPr>
            <w:tcW w:w="0" w:type="auto"/>
            <w:noWrap w:val="0"/>
            <w:vAlign w:val="center"/>
          </w:tcPr>
          <w:p w14:paraId="5DF4ABFC">
            <w:r>
              <w:rPr>
                <w:rStyle w:val="10"/>
                <w:rFonts w:hint="eastAsia"/>
              </w:rPr>
              <w:t>总有效成分含量：</w:t>
            </w:r>
            <w:r>
              <w:rPr>
                <w:rFonts w:hint="eastAsia"/>
              </w:rPr>
              <w:t>9%</w:t>
            </w:r>
          </w:p>
        </w:tc>
      </w:tr>
      <w:tr w14:paraId="63CDFB25">
        <w:tblPrEx>
          <w:tblCellMar>
            <w:top w:w="0" w:type="dxa"/>
            <w:left w:w="0" w:type="dxa"/>
            <w:bottom w:w="0" w:type="dxa"/>
            <w:right w:w="0" w:type="dxa"/>
          </w:tblCellMar>
        </w:tblPrEx>
        <w:trPr>
          <w:wBefore w:w="0" w:type="auto"/>
          <w:tblCellSpacing w:w="0" w:type="dxa"/>
        </w:trPr>
        <w:tc>
          <w:tcPr>
            <w:tcW w:w="0" w:type="auto"/>
            <w:noWrap w:val="0"/>
            <w:vAlign w:val="center"/>
          </w:tcPr>
          <w:p w14:paraId="3B8BADCD">
            <w:r>
              <w:rPr>
                <w:rFonts w:hint="eastAsia"/>
              </w:rPr>
              <w:t xml:space="preserve">有效成分及其含量： </w:t>
            </w:r>
          </w:p>
          <w:p w14:paraId="733DC89D">
            <w:r>
              <w:rPr>
                <w:rFonts w:hint="eastAsia"/>
              </w:rPr>
              <w:t xml:space="preserve">    双氟磺草胺3%    唑草酮6%    </w:t>
            </w:r>
          </w:p>
        </w:tc>
      </w:tr>
      <w:tr w14:paraId="2FE5DA45">
        <w:tblPrEx>
          <w:tblCellMar>
            <w:top w:w="0" w:type="dxa"/>
            <w:left w:w="0" w:type="dxa"/>
            <w:bottom w:w="0" w:type="dxa"/>
            <w:right w:w="0" w:type="dxa"/>
          </w:tblCellMar>
        </w:tblPrEx>
        <w:trPr>
          <w:wBefore w:w="0" w:type="auto"/>
          <w:tblCellSpacing w:w="0" w:type="dxa"/>
        </w:trPr>
        <w:tc>
          <w:tcPr>
            <w:tcW w:w="0" w:type="auto"/>
            <w:noWrap w:val="0"/>
            <w:vAlign w:val="center"/>
          </w:tcPr>
          <w:p w14:paraId="513232A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AFB38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8F721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C1850F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B15A06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DA1C433">
                  <w:r>
                    <w:rPr>
                      <w:rStyle w:val="11"/>
                      <w:rFonts w:hint="eastAsia"/>
                    </w:rPr>
                    <w:t>施用方式</w:t>
                  </w:r>
                </w:p>
              </w:tc>
            </w:tr>
            <w:tr w14:paraId="650A7D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5D84806">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D046B7">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389258">
                  <w:r>
                    <w:rPr>
                      <w:rStyle w:val="11"/>
                      <w:rFonts w:hint="eastAsia"/>
                    </w:rPr>
                    <w:t>15-17毫升/亩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024FEA">
                  <w:r>
                    <w:rPr>
                      <w:rStyle w:val="11"/>
                      <w:rFonts w:hint="eastAsia"/>
                    </w:rPr>
                    <w:t>茎叶喷雾</w:t>
                  </w:r>
                </w:p>
              </w:tc>
            </w:tr>
          </w:tbl>
          <w:p w14:paraId="123BA66C">
            <w:pPr>
              <w:rPr>
                <w:rFonts w:ascii="Times New Roman" w:hAnsi="Times New Roman" w:cs="Times New Roman"/>
                <w:sz w:val="20"/>
                <w:szCs w:val="20"/>
              </w:rPr>
            </w:pPr>
          </w:p>
        </w:tc>
      </w:tr>
      <w:tr w14:paraId="0CEE6510">
        <w:tblPrEx>
          <w:tblCellMar>
            <w:top w:w="0" w:type="dxa"/>
            <w:left w:w="0" w:type="dxa"/>
            <w:bottom w:w="0" w:type="dxa"/>
            <w:right w:w="0" w:type="dxa"/>
          </w:tblCellMar>
        </w:tblPrEx>
        <w:trPr>
          <w:wBefore w:w="0" w:type="auto"/>
          <w:tblCellSpacing w:w="0" w:type="dxa"/>
        </w:trPr>
        <w:tc>
          <w:tcPr>
            <w:tcW w:w="0" w:type="auto"/>
            <w:noWrap w:val="0"/>
            <w:vAlign w:val="center"/>
          </w:tcPr>
          <w:p w14:paraId="39AC830E">
            <w:r>
              <w:rPr>
                <w:rStyle w:val="10"/>
                <w:rFonts w:hint="eastAsia"/>
              </w:rPr>
              <w:t>使用技术要求:</w:t>
            </w:r>
            <w:r>
              <w:rPr>
                <w:rFonts w:hint="eastAsia"/>
              </w:rPr>
              <w:br w:type="textWrapping"/>
            </w:r>
            <w:r>
              <w:rPr>
                <w:rStyle w:val="11"/>
                <w:rFonts w:hint="eastAsia"/>
              </w:rPr>
              <w:t>1. 本品应在冬小麦返青后至拔节前，阔叶杂草2-4叶期茎叶喷雾施药一次。 2. 每季作物最多使用1次。</w:t>
            </w:r>
          </w:p>
        </w:tc>
      </w:tr>
      <w:tr w14:paraId="1099456E">
        <w:tblPrEx>
          <w:tblCellMar>
            <w:top w:w="0" w:type="dxa"/>
            <w:left w:w="0" w:type="dxa"/>
            <w:bottom w:w="0" w:type="dxa"/>
            <w:right w:w="0" w:type="dxa"/>
          </w:tblCellMar>
        </w:tblPrEx>
        <w:trPr>
          <w:wBefore w:w="0" w:type="auto"/>
          <w:tblCellSpacing w:w="0" w:type="dxa"/>
        </w:trPr>
        <w:tc>
          <w:tcPr>
            <w:tcW w:w="0" w:type="auto"/>
            <w:noWrap w:val="0"/>
            <w:vAlign w:val="center"/>
          </w:tcPr>
          <w:p w14:paraId="136A14CA">
            <w:r>
              <w:rPr>
                <w:rStyle w:val="10"/>
                <w:rFonts w:hint="eastAsia"/>
              </w:rPr>
              <w:t>产品性能:</w:t>
            </w:r>
            <w:r>
              <w:rPr>
                <w:rFonts w:hint="eastAsia"/>
              </w:rPr>
              <w:br w:type="textWrapping"/>
            </w:r>
            <w:r>
              <w:rPr>
                <w:rStyle w:val="11"/>
                <w:rFonts w:hint="eastAsia"/>
              </w:rPr>
              <w:t>本品是双氟磺草胺和唑草酮的混配制剂。双氟磺草胺属于三唑嘧啶磺酰胺类除草剂，唑草酮为三唑啉酮类除草剂。二者混配可优势互补，显著提高除草效果。本品可用于防除麦田猪殃殃、播娘蒿、繁缕、泽漆、荠菜等多种阔叶杂草。</w:t>
            </w:r>
          </w:p>
        </w:tc>
      </w:tr>
      <w:tr w14:paraId="353482C5">
        <w:tblPrEx>
          <w:tblCellMar>
            <w:top w:w="0" w:type="dxa"/>
            <w:left w:w="0" w:type="dxa"/>
            <w:bottom w:w="0" w:type="dxa"/>
            <w:right w:w="0" w:type="dxa"/>
          </w:tblCellMar>
        </w:tblPrEx>
        <w:trPr>
          <w:wBefore w:w="0" w:type="auto"/>
          <w:tblCellSpacing w:w="0" w:type="dxa"/>
        </w:trPr>
        <w:tc>
          <w:tcPr>
            <w:tcW w:w="0" w:type="auto"/>
            <w:noWrap w:val="0"/>
            <w:vAlign w:val="center"/>
          </w:tcPr>
          <w:p w14:paraId="5B07174E">
            <w:r>
              <w:rPr>
                <w:rStyle w:val="10"/>
                <w:rFonts w:hint="eastAsia"/>
              </w:rPr>
              <w:t>注意事项：</w:t>
            </w:r>
            <w:r>
              <w:rPr>
                <w:rFonts w:hint="eastAsia"/>
              </w:rPr>
              <w:br w:type="textWrapping"/>
            </w:r>
            <w:r>
              <w:rPr>
                <w:rStyle w:val="11"/>
                <w:rFonts w:hint="eastAsia"/>
              </w:rPr>
              <w:t>1. 施药时避免药液飘移到邻近敏感作物上。 2. 使用本品时务必穿戴好帽子、口罩、长衣、长裤、手套和鞋，建议佩戴防护眼镜或防护面罩，施药期间不可吃东西和饮水，施药后应及时洗手和洗脸。 3. 本品对鱼类等水生生物有毒，水产养殖区、河塘等水体附近禁用，禁止在河塘等水域清洗施药器具。避免药液流入湖泊、河流或鱼塘中污染水源。赤眼蜂、瓢虫等天敌放飞区禁用。施用时若周围有桑园，最外围桑树设置为隔离带，不能用于饲养家蚕。 4. 孕妇和哺乳期妇女应避免接触本品。 5. 用过的容器应妥善处理，不可做他用，也不可随意丢弃。</w:t>
            </w:r>
          </w:p>
        </w:tc>
      </w:tr>
      <w:tr w14:paraId="402A6E03">
        <w:tblPrEx>
          <w:tblCellMar>
            <w:top w:w="0" w:type="dxa"/>
            <w:left w:w="0" w:type="dxa"/>
            <w:bottom w:w="0" w:type="dxa"/>
            <w:right w:w="0" w:type="dxa"/>
          </w:tblCellMar>
        </w:tblPrEx>
        <w:trPr>
          <w:wBefore w:w="0" w:type="auto"/>
          <w:tblCellSpacing w:w="0" w:type="dxa"/>
        </w:trPr>
        <w:tc>
          <w:tcPr>
            <w:tcW w:w="0" w:type="auto"/>
            <w:noWrap w:val="0"/>
            <w:vAlign w:val="center"/>
          </w:tcPr>
          <w:p w14:paraId="45079CFB">
            <w:r>
              <w:rPr>
                <w:rStyle w:val="10"/>
                <w:rFonts w:hint="eastAsia"/>
              </w:rPr>
              <w:t>中毒急救措施：</w:t>
            </w:r>
            <w:r>
              <w:rPr>
                <w:rFonts w:hint="eastAsia"/>
              </w:rPr>
              <w:br w:type="textWrapping"/>
            </w:r>
            <w:r>
              <w:rPr>
                <w:rStyle w:val="11"/>
                <w:rFonts w:hint="eastAsia"/>
              </w:rPr>
              <w:t xml:space="preserve">不慎吸入：应立即将病人移至空气流通处。 眼睛溅药：用大量清水清洗15分钟，如仍有刺激感，立即就医。 皮肤沾药：用肥皂水彻底清洗，如仍有刺激感，立即就医。 误服：立即携此标签就医。本品无特定解毒剂，对症治疗。 </w:t>
            </w:r>
          </w:p>
        </w:tc>
      </w:tr>
      <w:tr w14:paraId="26BC6444">
        <w:tblPrEx>
          <w:tblCellMar>
            <w:top w:w="0" w:type="dxa"/>
            <w:left w:w="0" w:type="dxa"/>
            <w:bottom w:w="0" w:type="dxa"/>
            <w:right w:w="0" w:type="dxa"/>
          </w:tblCellMar>
        </w:tblPrEx>
        <w:trPr>
          <w:wBefore w:w="0" w:type="auto"/>
          <w:tblCellSpacing w:w="0" w:type="dxa"/>
        </w:trPr>
        <w:tc>
          <w:tcPr>
            <w:tcW w:w="0" w:type="auto"/>
            <w:noWrap w:val="0"/>
            <w:vAlign w:val="center"/>
          </w:tcPr>
          <w:p w14:paraId="332ED69F">
            <w:r>
              <w:rPr>
                <w:rStyle w:val="10"/>
                <w:rFonts w:hint="eastAsia"/>
              </w:rPr>
              <w:t>储存和运输方法：</w:t>
            </w:r>
            <w:r>
              <w:rPr>
                <w:rFonts w:hint="eastAsia"/>
              </w:rPr>
              <w:br w:type="textWrapping"/>
            </w:r>
            <w:r>
              <w:rPr>
                <w:rStyle w:val="11"/>
                <w:rFonts w:hint="eastAsia"/>
              </w:rPr>
              <w:t>本品应贮存在阴凉、干燥、通风、防雨处。远离火源或热源。置于儿童、无关人员触及不到之处，并加锁。勿与食品、饮料、饲料、粮食等同贮同运。运输时轻拿轻放，严禁倒置。</w:t>
            </w:r>
          </w:p>
        </w:tc>
      </w:tr>
      <w:tr w14:paraId="4D3ADF2C">
        <w:tblPrEx>
          <w:tblCellMar>
            <w:top w:w="0" w:type="dxa"/>
            <w:left w:w="0" w:type="dxa"/>
            <w:bottom w:w="0" w:type="dxa"/>
            <w:right w:w="0" w:type="dxa"/>
          </w:tblCellMar>
        </w:tblPrEx>
        <w:trPr>
          <w:wBefore w:w="0" w:type="auto"/>
          <w:tblCellSpacing w:w="0" w:type="dxa"/>
        </w:trPr>
        <w:tc>
          <w:tcPr>
            <w:tcW w:w="0" w:type="auto"/>
            <w:noWrap w:val="0"/>
            <w:vAlign w:val="center"/>
          </w:tcPr>
          <w:p w14:paraId="1143D9CC">
            <w:r>
              <w:rPr>
                <w:rStyle w:val="10"/>
                <w:rFonts w:hint="eastAsia"/>
              </w:rPr>
              <w:t>质量保证期：</w:t>
            </w:r>
            <w:r>
              <w:rPr>
                <w:rStyle w:val="11"/>
                <w:rFonts w:hint="eastAsia"/>
              </w:rPr>
              <w:t>2年</w:t>
            </w:r>
          </w:p>
        </w:tc>
      </w:tr>
      <w:tr w14:paraId="0C1E81AC">
        <w:tblPrEx>
          <w:tblCellMar>
            <w:top w:w="0" w:type="dxa"/>
            <w:left w:w="0" w:type="dxa"/>
            <w:bottom w:w="0" w:type="dxa"/>
            <w:right w:w="0" w:type="dxa"/>
          </w:tblCellMar>
        </w:tblPrEx>
        <w:trPr>
          <w:wBefore w:w="0" w:type="auto"/>
          <w:tblCellSpacing w:w="0" w:type="dxa"/>
        </w:trPr>
        <w:tc>
          <w:tcPr>
            <w:tcW w:w="0" w:type="auto"/>
            <w:noWrap w:val="0"/>
            <w:vAlign w:val="center"/>
          </w:tcPr>
          <w:p w14:paraId="20BB6257">
            <w:r>
              <w:rPr>
                <w:rStyle w:val="10"/>
                <w:rFonts w:hint="eastAsia"/>
              </w:rPr>
              <w:t>备注：</w:t>
            </w:r>
          </w:p>
        </w:tc>
      </w:tr>
    </w:tbl>
    <w:p w14:paraId="3953B6A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51F0565">
        <w:tblPrEx>
          <w:tblCellMar>
            <w:top w:w="0" w:type="dxa"/>
            <w:left w:w="0" w:type="dxa"/>
            <w:bottom w:w="0" w:type="dxa"/>
            <w:right w:w="0" w:type="dxa"/>
          </w:tblCellMar>
        </w:tblPrEx>
        <w:trPr>
          <w:wBefore w:w="0" w:type="auto"/>
          <w:tblCellSpacing w:w="0" w:type="dxa"/>
        </w:trPr>
        <w:tc>
          <w:tcPr>
            <w:tcW w:w="0" w:type="auto"/>
            <w:noWrap w:val="0"/>
            <w:vAlign w:val="center"/>
          </w:tcPr>
          <w:p w14:paraId="37BA7D35">
            <w:r>
              <w:rPr>
                <w:rStyle w:val="10"/>
                <w:rFonts w:hint="eastAsia"/>
              </w:rPr>
              <w:t>登记证号：</w:t>
            </w:r>
            <w:r>
              <w:rPr>
                <w:rFonts w:hint="eastAsia"/>
              </w:rPr>
              <w:t>PD20211826</w:t>
            </w:r>
          </w:p>
        </w:tc>
      </w:tr>
      <w:tr w14:paraId="51BCC9F4">
        <w:tblPrEx>
          <w:tblCellMar>
            <w:top w:w="0" w:type="dxa"/>
            <w:left w:w="0" w:type="dxa"/>
            <w:bottom w:w="0" w:type="dxa"/>
            <w:right w:w="0" w:type="dxa"/>
          </w:tblCellMar>
        </w:tblPrEx>
        <w:trPr>
          <w:wBefore w:w="0" w:type="auto"/>
          <w:tblCellSpacing w:w="0" w:type="dxa"/>
        </w:trPr>
        <w:tc>
          <w:tcPr>
            <w:tcW w:w="0" w:type="auto"/>
            <w:noWrap w:val="0"/>
            <w:vAlign w:val="center"/>
          </w:tcPr>
          <w:p w14:paraId="78939783">
            <w:r>
              <w:rPr>
                <w:rStyle w:val="10"/>
                <w:rFonts w:hint="eastAsia"/>
              </w:rPr>
              <w:t>登记证持有人：</w:t>
            </w:r>
            <w:r>
              <w:rPr>
                <w:rFonts w:hint="eastAsia"/>
              </w:rPr>
              <w:t>安徽金土地生物科技有限公司</w:t>
            </w:r>
          </w:p>
        </w:tc>
      </w:tr>
      <w:tr w14:paraId="7B9A2D89">
        <w:tblPrEx>
          <w:tblCellMar>
            <w:top w:w="0" w:type="dxa"/>
            <w:left w:w="0" w:type="dxa"/>
            <w:bottom w:w="0" w:type="dxa"/>
            <w:right w:w="0" w:type="dxa"/>
          </w:tblCellMar>
        </w:tblPrEx>
        <w:trPr>
          <w:wBefore w:w="0" w:type="auto"/>
          <w:tblCellSpacing w:w="0" w:type="dxa"/>
        </w:trPr>
        <w:tc>
          <w:tcPr>
            <w:tcW w:w="0" w:type="auto"/>
            <w:noWrap w:val="0"/>
            <w:vAlign w:val="center"/>
          </w:tcPr>
          <w:p w14:paraId="0ED22693">
            <w:r>
              <w:rPr>
                <w:rStyle w:val="10"/>
                <w:rFonts w:hint="eastAsia"/>
              </w:rPr>
              <w:t>农药名称：</w:t>
            </w:r>
            <w:r>
              <w:rPr>
                <w:rFonts w:hint="eastAsia"/>
              </w:rPr>
              <w:t>噻虫胺</w:t>
            </w:r>
          </w:p>
        </w:tc>
      </w:tr>
      <w:tr w14:paraId="2E154F2C">
        <w:tblPrEx>
          <w:tblCellMar>
            <w:top w:w="0" w:type="dxa"/>
            <w:left w:w="0" w:type="dxa"/>
            <w:bottom w:w="0" w:type="dxa"/>
            <w:right w:w="0" w:type="dxa"/>
          </w:tblCellMar>
        </w:tblPrEx>
        <w:trPr>
          <w:wBefore w:w="0" w:type="auto"/>
          <w:tblCellSpacing w:w="0" w:type="dxa"/>
        </w:trPr>
        <w:tc>
          <w:tcPr>
            <w:tcW w:w="0" w:type="auto"/>
            <w:noWrap w:val="0"/>
            <w:vAlign w:val="center"/>
          </w:tcPr>
          <w:p w14:paraId="51AAF626">
            <w:r>
              <w:rPr>
                <w:rStyle w:val="10"/>
                <w:rFonts w:hint="eastAsia"/>
              </w:rPr>
              <w:t>剂型：</w:t>
            </w:r>
            <w:r>
              <w:rPr>
                <w:rFonts w:hint="eastAsia"/>
              </w:rPr>
              <w:t>种子处理悬浮剂</w:t>
            </w:r>
          </w:p>
        </w:tc>
      </w:tr>
      <w:tr w14:paraId="1CA13188">
        <w:tblPrEx>
          <w:tblCellMar>
            <w:top w:w="0" w:type="dxa"/>
            <w:left w:w="0" w:type="dxa"/>
            <w:bottom w:w="0" w:type="dxa"/>
            <w:right w:w="0" w:type="dxa"/>
          </w:tblCellMar>
        </w:tblPrEx>
        <w:trPr>
          <w:wBefore w:w="0" w:type="auto"/>
          <w:tblCellSpacing w:w="0" w:type="dxa"/>
        </w:trPr>
        <w:tc>
          <w:tcPr>
            <w:tcW w:w="0" w:type="auto"/>
            <w:noWrap w:val="0"/>
            <w:vAlign w:val="center"/>
          </w:tcPr>
          <w:p w14:paraId="326533E0">
            <w:r>
              <w:rPr>
                <w:rStyle w:val="10"/>
                <w:rFonts w:hint="eastAsia"/>
              </w:rPr>
              <w:t>毒性及其标识：</w:t>
            </w:r>
            <w:r>
              <w:rPr>
                <w:rFonts w:hint="eastAsia"/>
              </w:rPr>
              <w:t xml:space="preserve"> </w:t>
            </w:r>
            <w:r>
              <w:rPr>
                <w:lang/>
              </w:rPr>
              <w:drawing>
                <wp:inline distT="0" distB="0" distL="114300" distR="114300">
                  <wp:extent cx="476250" cy="323850"/>
                  <wp:effectExtent l="0" t="0" r="0" b="0"/>
                  <wp:docPr id="464" name="图片 46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896592A">
        <w:tblPrEx>
          <w:tblCellMar>
            <w:top w:w="0" w:type="dxa"/>
            <w:left w:w="0" w:type="dxa"/>
            <w:bottom w:w="0" w:type="dxa"/>
            <w:right w:w="0" w:type="dxa"/>
          </w:tblCellMar>
        </w:tblPrEx>
        <w:trPr>
          <w:wBefore w:w="0" w:type="auto"/>
          <w:tblCellSpacing w:w="0" w:type="dxa"/>
        </w:trPr>
        <w:tc>
          <w:tcPr>
            <w:tcW w:w="0" w:type="auto"/>
            <w:noWrap w:val="0"/>
            <w:vAlign w:val="center"/>
          </w:tcPr>
          <w:p w14:paraId="09B9B091">
            <w:r>
              <w:rPr>
                <w:rStyle w:val="10"/>
                <w:rFonts w:hint="eastAsia"/>
              </w:rPr>
              <w:t>总有效成分含量：</w:t>
            </w:r>
            <w:r>
              <w:rPr>
                <w:rFonts w:hint="eastAsia"/>
              </w:rPr>
              <w:t>18%</w:t>
            </w:r>
          </w:p>
        </w:tc>
      </w:tr>
      <w:tr w14:paraId="7A1B9020">
        <w:tblPrEx>
          <w:tblCellMar>
            <w:top w:w="0" w:type="dxa"/>
            <w:left w:w="0" w:type="dxa"/>
            <w:bottom w:w="0" w:type="dxa"/>
            <w:right w:w="0" w:type="dxa"/>
          </w:tblCellMar>
        </w:tblPrEx>
        <w:trPr>
          <w:wBefore w:w="0" w:type="auto"/>
          <w:tblCellSpacing w:w="0" w:type="dxa"/>
        </w:trPr>
        <w:tc>
          <w:tcPr>
            <w:tcW w:w="0" w:type="auto"/>
            <w:noWrap w:val="0"/>
            <w:vAlign w:val="center"/>
          </w:tcPr>
          <w:p w14:paraId="72E1031B">
            <w:r>
              <w:rPr>
                <w:rFonts w:hint="eastAsia"/>
              </w:rPr>
              <w:t xml:space="preserve">有效成分及其含量： </w:t>
            </w:r>
          </w:p>
          <w:p w14:paraId="6E76FD1A">
            <w:r>
              <w:rPr>
                <w:rFonts w:hint="eastAsia"/>
              </w:rPr>
              <w:t xml:space="preserve">    噻虫胺18%    </w:t>
            </w:r>
          </w:p>
        </w:tc>
      </w:tr>
      <w:tr w14:paraId="30684349">
        <w:tblPrEx>
          <w:tblCellMar>
            <w:top w:w="0" w:type="dxa"/>
            <w:left w:w="0" w:type="dxa"/>
            <w:bottom w:w="0" w:type="dxa"/>
            <w:right w:w="0" w:type="dxa"/>
          </w:tblCellMar>
        </w:tblPrEx>
        <w:trPr>
          <w:wBefore w:w="0" w:type="auto"/>
          <w:tblCellSpacing w:w="0" w:type="dxa"/>
        </w:trPr>
        <w:tc>
          <w:tcPr>
            <w:tcW w:w="0" w:type="auto"/>
            <w:noWrap w:val="0"/>
            <w:vAlign w:val="center"/>
          </w:tcPr>
          <w:p w14:paraId="1DBE666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CFCB2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EC27FF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433068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D6BA0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2A7A1E6">
                  <w:r>
                    <w:rPr>
                      <w:rStyle w:val="11"/>
                      <w:rFonts w:hint="eastAsia"/>
                    </w:rPr>
                    <w:t>施用方式</w:t>
                  </w:r>
                </w:p>
              </w:tc>
            </w:tr>
            <w:tr w14:paraId="04F428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85557B9">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370FEA">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5A658F">
                  <w:r>
                    <w:rPr>
                      <w:rStyle w:val="11"/>
                      <w:rFonts w:hint="eastAsia"/>
                    </w:rPr>
                    <w:t>500-900毫升/100千克种子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3DA40B">
                  <w:r>
                    <w:rPr>
                      <w:rStyle w:val="11"/>
                      <w:rFonts w:hint="eastAsia"/>
                    </w:rPr>
                    <w:t>拌种</w:t>
                  </w:r>
                </w:p>
              </w:tc>
            </w:tr>
          </w:tbl>
          <w:p w14:paraId="415A4D14">
            <w:pPr>
              <w:rPr>
                <w:rFonts w:ascii="Times New Roman" w:hAnsi="Times New Roman" w:cs="Times New Roman"/>
                <w:sz w:val="20"/>
                <w:szCs w:val="20"/>
              </w:rPr>
            </w:pPr>
          </w:p>
        </w:tc>
      </w:tr>
      <w:tr w14:paraId="1B66E184">
        <w:tblPrEx>
          <w:tblCellMar>
            <w:top w:w="0" w:type="dxa"/>
            <w:left w:w="0" w:type="dxa"/>
            <w:bottom w:w="0" w:type="dxa"/>
            <w:right w:w="0" w:type="dxa"/>
          </w:tblCellMar>
        </w:tblPrEx>
        <w:trPr>
          <w:wBefore w:w="0" w:type="auto"/>
          <w:tblCellSpacing w:w="0" w:type="dxa"/>
        </w:trPr>
        <w:tc>
          <w:tcPr>
            <w:tcW w:w="0" w:type="auto"/>
            <w:noWrap w:val="0"/>
            <w:vAlign w:val="center"/>
          </w:tcPr>
          <w:p w14:paraId="0D5F1D84">
            <w:r>
              <w:rPr>
                <w:rStyle w:val="10"/>
                <w:rFonts w:hint="eastAsia"/>
              </w:rPr>
              <w:t>使用技术要求:</w:t>
            </w:r>
            <w:r>
              <w:rPr>
                <w:rFonts w:hint="eastAsia"/>
              </w:rPr>
              <w:br w:type="textWrapping"/>
            </w:r>
            <w:r>
              <w:rPr>
                <w:rStyle w:val="11"/>
                <w:rFonts w:hint="eastAsia"/>
              </w:rPr>
              <w:t>1.水稻播种前拌种施药1次。拌种方法：按照播种量，量取推荐用量的药剂，加入适量水稀释并搅拌均匀成药浆，将种子倒入，充分搅拌均匀，晾干后即可播种。2.用于处理的种子应达到国家良种标准。3.配制好的药液应在24小时内使用。4.拌种后的种子应及时催芽播种。</w:t>
            </w:r>
          </w:p>
        </w:tc>
      </w:tr>
      <w:tr w14:paraId="6E701588">
        <w:tblPrEx>
          <w:tblCellMar>
            <w:top w:w="0" w:type="dxa"/>
            <w:left w:w="0" w:type="dxa"/>
            <w:bottom w:w="0" w:type="dxa"/>
            <w:right w:w="0" w:type="dxa"/>
          </w:tblCellMar>
        </w:tblPrEx>
        <w:trPr>
          <w:wBefore w:w="0" w:type="auto"/>
          <w:tblCellSpacing w:w="0" w:type="dxa"/>
        </w:trPr>
        <w:tc>
          <w:tcPr>
            <w:tcW w:w="0" w:type="auto"/>
            <w:noWrap w:val="0"/>
            <w:vAlign w:val="center"/>
          </w:tcPr>
          <w:p w14:paraId="602BC140">
            <w:r>
              <w:rPr>
                <w:rStyle w:val="10"/>
                <w:rFonts w:hint="eastAsia"/>
              </w:rPr>
              <w:t>产品性能:</w:t>
            </w:r>
            <w:r>
              <w:rPr>
                <w:rFonts w:hint="eastAsia"/>
              </w:rPr>
              <w:br w:type="textWrapping"/>
            </w:r>
            <w:r>
              <w:rPr>
                <w:rStyle w:val="11"/>
                <w:rFonts w:hint="eastAsia"/>
              </w:rPr>
              <w:t>本品为新烟碱类杀虫剂，是一种活性高，具有强内吸性、触杀和胃毒作用的广谱杀虫剂，可有效防治水稻稻蓟马</w:t>
            </w:r>
          </w:p>
        </w:tc>
      </w:tr>
      <w:tr w14:paraId="48D67D66">
        <w:tblPrEx>
          <w:tblCellMar>
            <w:top w:w="0" w:type="dxa"/>
            <w:left w:w="0" w:type="dxa"/>
            <w:bottom w:w="0" w:type="dxa"/>
            <w:right w:w="0" w:type="dxa"/>
          </w:tblCellMar>
        </w:tblPrEx>
        <w:trPr>
          <w:wBefore w:w="0" w:type="auto"/>
          <w:tblCellSpacing w:w="0" w:type="dxa"/>
        </w:trPr>
        <w:tc>
          <w:tcPr>
            <w:tcW w:w="0" w:type="auto"/>
            <w:noWrap w:val="0"/>
            <w:vAlign w:val="center"/>
          </w:tcPr>
          <w:p w14:paraId="6D6AF926">
            <w:r>
              <w:rPr>
                <w:rStyle w:val="10"/>
                <w:rFonts w:hint="eastAsia"/>
              </w:rPr>
              <w:t>注意事项：</w:t>
            </w:r>
            <w:r>
              <w:rPr>
                <w:rFonts w:hint="eastAsia"/>
              </w:rPr>
              <w:br w:type="textWrapping"/>
            </w:r>
            <w:r>
              <w:rPr>
                <w:rStyle w:val="11"/>
                <w:rFonts w:hint="eastAsia"/>
              </w:rPr>
              <w:t>1.请按照农药安全使用准则使用本品。药液及其废液不得污染各类水域，土壤等环境。在种子处理过程中，避免药液接触皮肤、眼睛和污染衣物，避免吸入药液。2.配药和种子处理应在通风处进行，操作人员应戴防渗手套、口罩、穿长袖衣、长裤、靴子等。此时不可饮食、吸烟等。种子处理结束后，彻底清洗防护用具，洗澡，并更换和清洗工作服。3.处理过的种子必须放置在有明显标签的容器内。勿与食物、饲料放在一起，不得饲喂禽畜，更不得用来加工饲料或食品。4.鸟类保护区附近禁用，施药后应立即覆土，严禁畜禽进入。5.（周围）开花植物花期禁用。使用时应密切关注对附近蜂群的影响。6.勿将本品及其废液弃于池塘、河溪、湖泊等，以免污染水源。远离水产养殖区施药，禁止在河塘等水体中清洗施药器具，清洗施药器具的水也不能排入河塘等水体。鱼或虾蟹套养稻田禁用。鸟类保护区附近禁用；播种后立即覆土。7.未用完的制剂应放在原包装内密封保存，切勿将本品置于饮食容器内，用过后的空包装应三次清洗并砸烂或划破后妥善处理，切勿重复使用。8.孕妇及哺乳期的妇女避免接触本品。本品对眼睛有刺激性，避免药液接触眼睛。</w:t>
            </w:r>
          </w:p>
        </w:tc>
      </w:tr>
      <w:tr w14:paraId="5B85A230">
        <w:tblPrEx>
          <w:tblCellMar>
            <w:top w:w="0" w:type="dxa"/>
            <w:left w:w="0" w:type="dxa"/>
            <w:bottom w:w="0" w:type="dxa"/>
            <w:right w:w="0" w:type="dxa"/>
          </w:tblCellMar>
        </w:tblPrEx>
        <w:trPr>
          <w:wBefore w:w="0" w:type="auto"/>
          <w:tblCellSpacing w:w="0" w:type="dxa"/>
        </w:trPr>
        <w:tc>
          <w:tcPr>
            <w:tcW w:w="0" w:type="auto"/>
            <w:noWrap w:val="0"/>
            <w:vAlign w:val="center"/>
          </w:tcPr>
          <w:p w14:paraId="38130E74">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 2.皮肤接触：立即脱掉被污染的衣物，用肥皂和大量清水彻底清洗受污染的皮肤。必要时请医生诊治。 3.眼睛溅药：立即将眼睑翻开，用清水冲洗至少15分钟，再请医生诊治。 4.发生吸入：立即将吸入者转移到空气新鲜处，注意保暖和休息，请医生诊治。 5.误服：请勿引吐。立即携带标签，送医就诊。解毒剂：无专用解毒剂，对症治疗。</w:t>
            </w:r>
          </w:p>
        </w:tc>
      </w:tr>
      <w:tr w14:paraId="6F41D4B6">
        <w:tblPrEx>
          <w:tblCellMar>
            <w:top w:w="0" w:type="dxa"/>
            <w:left w:w="0" w:type="dxa"/>
            <w:bottom w:w="0" w:type="dxa"/>
            <w:right w:w="0" w:type="dxa"/>
          </w:tblCellMar>
        </w:tblPrEx>
        <w:trPr>
          <w:wBefore w:w="0" w:type="auto"/>
          <w:tblCellSpacing w:w="0" w:type="dxa"/>
        </w:trPr>
        <w:tc>
          <w:tcPr>
            <w:tcW w:w="0" w:type="auto"/>
            <w:noWrap w:val="0"/>
            <w:vAlign w:val="center"/>
          </w:tcPr>
          <w:p w14:paraId="219A12B4">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本品应贮存在干燥、阴凉、通风、防雨处，远离火源或热源。置于儿童及无关人员触及不到之处，并加锁。不能与食品、饮料、粮食、饲料等混合储运。</w:t>
            </w:r>
          </w:p>
        </w:tc>
      </w:tr>
      <w:tr w14:paraId="7F954C4C">
        <w:tblPrEx>
          <w:tblCellMar>
            <w:top w:w="0" w:type="dxa"/>
            <w:left w:w="0" w:type="dxa"/>
            <w:bottom w:w="0" w:type="dxa"/>
            <w:right w:w="0" w:type="dxa"/>
          </w:tblCellMar>
        </w:tblPrEx>
        <w:trPr>
          <w:wBefore w:w="0" w:type="auto"/>
          <w:tblCellSpacing w:w="0" w:type="dxa"/>
        </w:trPr>
        <w:tc>
          <w:tcPr>
            <w:tcW w:w="0" w:type="auto"/>
            <w:noWrap w:val="0"/>
            <w:vAlign w:val="center"/>
          </w:tcPr>
          <w:p w14:paraId="56865F73">
            <w:r>
              <w:rPr>
                <w:rStyle w:val="10"/>
                <w:rFonts w:hint="eastAsia"/>
              </w:rPr>
              <w:t>质量保证期：</w:t>
            </w:r>
            <w:r>
              <w:rPr>
                <w:rStyle w:val="11"/>
                <w:rFonts w:hint="eastAsia"/>
              </w:rPr>
              <w:t>2年</w:t>
            </w:r>
          </w:p>
        </w:tc>
      </w:tr>
      <w:tr w14:paraId="291FDFCB">
        <w:tblPrEx>
          <w:tblCellMar>
            <w:top w:w="0" w:type="dxa"/>
            <w:left w:w="0" w:type="dxa"/>
            <w:bottom w:w="0" w:type="dxa"/>
            <w:right w:w="0" w:type="dxa"/>
          </w:tblCellMar>
        </w:tblPrEx>
        <w:trPr>
          <w:wBefore w:w="0" w:type="auto"/>
          <w:tblCellSpacing w:w="0" w:type="dxa"/>
        </w:trPr>
        <w:tc>
          <w:tcPr>
            <w:tcW w:w="0" w:type="auto"/>
            <w:noWrap w:val="0"/>
            <w:vAlign w:val="center"/>
          </w:tcPr>
          <w:p w14:paraId="43182EAF">
            <w:r>
              <w:rPr>
                <w:rStyle w:val="10"/>
                <w:rFonts w:hint="eastAsia"/>
              </w:rPr>
              <w:t>备注：</w:t>
            </w:r>
          </w:p>
        </w:tc>
      </w:tr>
    </w:tbl>
    <w:p w14:paraId="19802CB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468D9E4">
        <w:trPr>
          <w:wBefore w:w="0" w:type="auto"/>
          <w:tblCellSpacing w:w="0" w:type="dxa"/>
        </w:trPr>
        <w:tc>
          <w:tcPr>
            <w:tcW w:w="0" w:type="auto"/>
            <w:noWrap w:val="0"/>
            <w:vAlign w:val="center"/>
          </w:tcPr>
          <w:p w14:paraId="1D9CD2C2">
            <w:r>
              <w:rPr>
                <w:rStyle w:val="10"/>
                <w:rFonts w:hint="eastAsia"/>
              </w:rPr>
              <w:t>登记证号：</w:t>
            </w:r>
            <w:r>
              <w:rPr>
                <w:rFonts w:hint="eastAsia"/>
              </w:rPr>
              <w:t>PD20212100</w:t>
            </w:r>
          </w:p>
        </w:tc>
      </w:tr>
      <w:tr w14:paraId="4FECE1BE">
        <w:tblPrEx>
          <w:tblCellMar>
            <w:top w:w="0" w:type="dxa"/>
            <w:left w:w="0" w:type="dxa"/>
            <w:bottom w:w="0" w:type="dxa"/>
            <w:right w:w="0" w:type="dxa"/>
          </w:tblCellMar>
        </w:tblPrEx>
        <w:trPr>
          <w:wBefore w:w="0" w:type="auto"/>
          <w:tblCellSpacing w:w="0" w:type="dxa"/>
        </w:trPr>
        <w:tc>
          <w:tcPr>
            <w:tcW w:w="0" w:type="auto"/>
            <w:noWrap w:val="0"/>
            <w:vAlign w:val="center"/>
          </w:tcPr>
          <w:p w14:paraId="771CB43C">
            <w:r>
              <w:rPr>
                <w:rStyle w:val="10"/>
                <w:rFonts w:hint="eastAsia"/>
              </w:rPr>
              <w:t>登记证持有人：</w:t>
            </w:r>
            <w:r>
              <w:rPr>
                <w:rFonts w:hint="eastAsia"/>
              </w:rPr>
              <w:t>孟州传奇生物科技有限公司</w:t>
            </w:r>
          </w:p>
        </w:tc>
      </w:tr>
      <w:tr w14:paraId="3282B942">
        <w:tblPrEx>
          <w:tblCellMar>
            <w:top w:w="0" w:type="dxa"/>
            <w:left w:w="0" w:type="dxa"/>
            <w:bottom w:w="0" w:type="dxa"/>
            <w:right w:w="0" w:type="dxa"/>
          </w:tblCellMar>
        </w:tblPrEx>
        <w:trPr>
          <w:wBefore w:w="0" w:type="auto"/>
          <w:tblCellSpacing w:w="0" w:type="dxa"/>
        </w:trPr>
        <w:tc>
          <w:tcPr>
            <w:tcW w:w="0" w:type="auto"/>
            <w:noWrap w:val="0"/>
            <w:vAlign w:val="center"/>
          </w:tcPr>
          <w:p w14:paraId="7167FA17">
            <w:r>
              <w:rPr>
                <w:rStyle w:val="10"/>
                <w:rFonts w:hint="eastAsia"/>
              </w:rPr>
              <w:t>农药名称：</w:t>
            </w:r>
            <w:r>
              <w:rPr>
                <w:rFonts w:hint="eastAsia"/>
              </w:rPr>
              <w:t>噁唑酰草胺</w:t>
            </w:r>
          </w:p>
        </w:tc>
      </w:tr>
      <w:tr w14:paraId="3F6C08EE">
        <w:tblPrEx>
          <w:tblCellMar>
            <w:top w:w="0" w:type="dxa"/>
            <w:left w:w="0" w:type="dxa"/>
            <w:bottom w:w="0" w:type="dxa"/>
            <w:right w:w="0" w:type="dxa"/>
          </w:tblCellMar>
        </w:tblPrEx>
        <w:trPr>
          <w:wBefore w:w="0" w:type="auto"/>
          <w:tblCellSpacing w:w="0" w:type="dxa"/>
        </w:trPr>
        <w:tc>
          <w:tcPr>
            <w:tcW w:w="0" w:type="auto"/>
            <w:noWrap w:val="0"/>
            <w:vAlign w:val="center"/>
          </w:tcPr>
          <w:p w14:paraId="3FBB8510">
            <w:r>
              <w:rPr>
                <w:rStyle w:val="10"/>
                <w:rFonts w:hint="eastAsia"/>
              </w:rPr>
              <w:t>剂型：</w:t>
            </w:r>
            <w:r>
              <w:rPr>
                <w:rFonts w:hint="eastAsia"/>
              </w:rPr>
              <w:t>乳油</w:t>
            </w:r>
          </w:p>
        </w:tc>
      </w:tr>
      <w:tr w14:paraId="10682596">
        <w:tblPrEx>
          <w:tblCellMar>
            <w:top w:w="0" w:type="dxa"/>
            <w:left w:w="0" w:type="dxa"/>
            <w:bottom w:w="0" w:type="dxa"/>
            <w:right w:w="0" w:type="dxa"/>
          </w:tblCellMar>
        </w:tblPrEx>
        <w:trPr>
          <w:wBefore w:w="0" w:type="auto"/>
          <w:tblCellSpacing w:w="0" w:type="dxa"/>
        </w:trPr>
        <w:tc>
          <w:tcPr>
            <w:tcW w:w="0" w:type="auto"/>
            <w:noWrap w:val="0"/>
            <w:vAlign w:val="center"/>
          </w:tcPr>
          <w:p w14:paraId="1F485E62">
            <w:r>
              <w:rPr>
                <w:rStyle w:val="10"/>
                <w:rFonts w:hint="eastAsia"/>
              </w:rPr>
              <w:t>毒性及其标识：</w:t>
            </w:r>
            <w:r>
              <w:rPr>
                <w:rFonts w:hint="eastAsia"/>
              </w:rPr>
              <w:t xml:space="preserve"> </w:t>
            </w:r>
            <w:r>
              <w:rPr>
                <w:lang/>
              </w:rPr>
              <w:drawing>
                <wp:inline distT="0" distB="0" distL="114300" distR="114300">
                  <wp:extent cx="476250" cy="323850"/>
                  <wp:effectExtent l="0" t="0" r="0" b="0"/>
                  <wp:docPr id="465" name="图片 46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A6D8E72">
        <w:tblPrEx>
          <w:tblCellMar>
            <w:top w:w="0" w:type="dxa"/>
            <w:left w:w="0" w:type="dxa"/>
            <w:bottom w:w="0" w:type="dxa"/>
            <w:right w:w="0" w:type="dxa"/>
          </w:tblCellMar>
        </w:tblPrEx>
        <w:trPr>
          <w:wBefore w:w="0" w:type="auto"/>
          <w:tblCellSpacing w:w="0" w:type="dxa"/>
        </w:trPr>
        <w:tc>
          <w:tcPr>
            <w:tcW w:w="0" w:type="auto"/>
            <w:noWrap w:val="0"/>
            <w:vAlign w:val="center"/>
          </w:tcPr>
          <w:p w14:paraId="17844091">
            <w:r>
              <w:rPr>
                <w:rStyle w:val="10"/>
                <w:rFonts w:hint="eastAsia"/>
              </w:rPr>
              <w:t>总有效成分含量：</w:t>
            </w:r>
            <w:r>
              <w:rPr>
                <w:rFonts w:hint="eastAsia"/>
              </w:rPr>
              <w:t>10%</w:t>
            </w:r>
          </w:p>
        </w:tc>
      </w:tr>
      <w:tr w14:paraId="1B44D3DF">
        <w:tblPrEx>
          <w:tblCellMar>
            <w:top w:w="0" w:type="dxa"/>
            <w:left w:w="0" w:type="dxa"/>
            <w:bottom w:w="0" w:type="dxa"/>
            <w:right w:w="0" w:type="dxa"/>
          </w:tblCellMar>
        </w:tblPrEx>
        <w:trPr>
          <w:wBefore w:w="0" w:type="auto"/>
          <w:tblCellSpacing w:w="0" w:type="dxa"/>
        </w:trPr>
        <w:tc>
          <w:tcPr>
            <w:tcW w:w="0" w:type="auto"/>
            <w:noWrap w:val="0"/>
            <w:vAlign w:val="center"/>
          </w:tcPr>
          <w:p w14:paraId="416985B4">
            <w:r>
              <w:rPr>
                <w:rFonts w:hint="eastAsia"/>
              </w:rPr>
              <w:t xml:space="preserve">有效成分及其含量： </w:t>
            </w:r>
          </w:p>
          <w:p w14:paraId="1C22CE34">
            <w:r>
              <w:rPr>
                <w:rFonts w:hint="eastAsia"/>
              </w:rPr>
              <w:t xml:space="preserve">    噁唑酰草胺10%    </w:t>
            </w:r>
          </w:p>
        </w:tc>
      </w:tr>
      <w:tr w14:paraId="0487CBC5">
        <w:tblPrEx>
          <w:tblCellMar>
            <w:top w:w="0" w:type="dxa"/>
            <w:left w:w="0" w:type="dxa"/>
            <w:bottom w:w="0" w:type="dxa"/>
            <w:right w:w="0" w:type="dxa"/>
          </w:tblCellMar>
        </w:tblPrEx>
        <w:trPr>
          <w:wBefore w:w="0" w:type="auto"/>
          <w:tblCellSpacing w:w="0" w:type="dxa"/>
        </w:trPr>
        <w:tc>
          <w:tcPr>
            <w:tcW w:w="0" w:type="auto"/>
            <w:noWrap w:val="0"/>
            <w:vAlign w:val="center"/>
          </w:tcPr>
          <w:p w14:paraId="0F58261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19C04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7F2B0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D73027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928802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A98CC80">
                  <w:r>
                    <w:rPr>
                      <w:rStyle w:val="11"/>
                      <w:rFonts w:hint="eastAsia"/>
                    </w:rPr>
                    <w:t>施用方式</w:t>
                  </w:r>
                </w:p>
              </w:tc>
            </w:tr>
            <w:tr w14:paraId="764278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7C51DA">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B5A2D3">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5E1E5A">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222FB9">
                  <w:r>
                    <w:rPr>
                      <w:rStyle w:val="11"/>
                      <w:rFonts w:hint="eastAsia"/>
                    </w:rPr>
                    <w:t>茎叶喷雾</w:t>
                  </w:r>
                </w:p>
              </w:tc>
            </w:tr>
          </w:tbl>
          <w:p w14:paraId="4E978B05">
            <w:pPr>
              <w:rPr>
                <w:rFonts w:ascii="Times New Roman" w:hAnsi="Times New Roman" w:cs="Times New Roman"/>
                <w:sz w:val="20"/>
                <w:szCs w:val="20"/>
              </w:rPr>
            </w:pPr>
          </w:p>
        </w:tc>
      </w:tr>
      <w:tr w14:paraId="3E99ADB8">
        <w:tblPrEx>
          <w:tblCellMar>
            <w:top w:w="0" w:type="dxa"/>
            <w:left w:w="0" w:type="dxa"/>
            <w:bottom w:w="0" w:type="dxa"/>
            <w:right w:w="0" w:type="dxa"/>
          </w:tblCellMar>
        </w:tblPrEx>
        <w:trPr>
          <w:wBefore w:w="0" w:type="auto"/>
          <w:tblCellSpacing w:w="0" w:type="dxa"/>
        </w:trPr>
        <w:tc>
          <w:tcPr>
            <w:tcW w:w="0" w:type="auto"/>
            <w:noWrap w:val="0"/>
            <w:vAlign w:val="center"/>
          </w:tcPr>
          <w:p w14:paraId="0A58E11C">
            <w:r>
              <w:rPr>
                <w:rStyle w:val="10"/>
                <w:rFonts w:hint="eastAsia"/>
              </w:rPr>
              <w:t>使用技术要求:</w:t>
            </w:r>
            <w:r>
              <w:rPr>
                <w:rFonts w:hint="eastAsia"/>
              </w:rPr>
              <w:br w:type="textWrapping"/>
            </w:r>
            <w:r>
              <w:rPr>
                <w:rStyle w:val="11"/>
                <w:rFonts w:hint="eastAsia"/>
              </w:rPr>
              <w:t>1、本品于禾本科杂草齐苗后施药，在稗草、千金子2-6叶期均可使用，以3-5叶期为最佳，茎叶喷雾施药。施药后保持3~5厘米水层7天。注意水层勿淹没水稻心叶，避免药害。2、用前充分摇匀，先制母液，再兑水二次稀释后，均匀喷雾。3、大风天请勿施药，应防止药液漂移到周围敏感作物，以免产生药害。4、每季作物最多使用1次。</w:t>
            </w:r>
          </w:p>
        </w:tc>
      </w:tr>
      <w:tr w14:paraId="5E3DF1EA">
        <w:tblPrEx>
          <w:tblCellMar>
            <w:top w:w="0" w:type="dxa"/>
            <w:left w:w="0" w:type="dxa"/>
            <w:bottom w:w="0" w:type="dxa"/>
            <w:right w:w="0" w:type="dxa"/>
          </w:tblCellMar>
        </w:tblPrEx>
        <w:trPr>
          <w:wBefore w:w="0" w:type="auto"/>
          <w:tblCellSpacing w:w="0" w:type="dxa"/>
        </w:trPr>
        <w:tc>
          <w:tcPr>
            <w:tcW w:w="0" w:type="auto"/>
            <w:noWrap w:val="0"/>
            <w:vAlign w:val="center"/>
          </w:tcPr>
          <w:p w14:paraId="767A4F60">
            <w:r>
              <w:rPr>
                <w:rStyle w:val="10"/>
                <w:rFonts w:hint="eastAsia"/>
              </w:rPr>
              <w:t>产品性能:</w:t>
            </w:r>
            <w:r>
              <w:rPr>
                <w:rFonts w:hint="eastAsia"/>
              </w:rPr>
              <w:br w:type="textWrapping"/>
            </w:r>
            <w:r>
              <w:rPr>
                <w:rStyle w:val="11"/>
                <w:rFonts w:hint="eastAsia"/>
              </w:rPr>
              <w:t xml:space="preserve">本品是芳氧苯氧丙酸类内吸传导型除草剂，其作用机制为乙酰辅酶A羧化酶（ACCase）抑制剂，能抑制植物脂肪酸的合成。本品经茎叶吸收，通过维管束传导至生长点，达到除草效果。可用于直播水稻田茎叶喷雾防除稗草、千金子等多种禾本科杂草。 </w:t>
            </w:r>
          </w:p>
        </w:tc>
      </w:tr>
      <w:tr w14:paraId="740FF440">
        <w:tblPrEx>
          <w:tblCellMar>
            <w:top w:w="0" w:type="dxa"/>
            <w:left w:w="0" w:type="dxa"/>
            <w:bottom w:w="0" w:type="dxa"/>
            <w:right w:w="0" w:type="dxa"/>
          </w:tblCellMar>
        </w:tblPrEx>
        <w:trPr>
          <w:wBefore w:w="0" w:type="auto"/>
          <w:tblCellSpacing w:w="0" w:type="dxa"/>
        </w:trPr>
        <w:tc>
          <w:tcPr>
            <w:tcW w:w="0" w:type="auto"/>
            <w:noWrap w:val="0"/>
            <w:vAlign w:val="center"/>
          </w:tcPr>
          <w:p w14:paraId="7C1ABCF1">
            <w:r>
              <w:rPr>
                <w:rStyle w:val="10"/>
                <w:rFonts w:hint="eastAsia"/>
              </w:rPr>
              <w:t>注意事项：</w:t>
            </w:r>
            <w:r>
              <w:rPr>
                <w:rFonts w:hint="eastAsia"/>
              </w:rPr>
              <w:br w:type="textWrapping"/>
            </w:r>
            <w:r>
              <w:rPr>
                <w:rStyle w:val="11"/>
                <w:rFonts w:hint="eastAsia"/>
              </w:rPr>
              <w:t>1、严格按照规定用药量和方法使用。本品不可与碱性农药等物质混用。 2、建议与其他作用机制不同的除草剂轮换使用，以延缓抗性产生。 3、水产养殖区、河塘等水体附近禁用，禁止在河塘等水域清洗施药器具；鱼或虾蟹套养稻田禁用，施药后的田水不得直接排入水体；桑园及蚕室附近禁用。 4、该产品使用时，穿戴长衣、长裤、帽子、口罩、手套等防护措施。不可吸烟、饮水、进食；施药后洗净手、脸及其他裸露部位，洗净工作服。 5、用过的容器应妥善处理，不可作他用，也不可随意丢弃，药液及其废液不得污染各类水域、土壤等环境。 6、孕妇及哺乳期妇女避免接触本品。</w:t>
            </w:r>
          </w:p>
        </w:tc>
      </w:tr>
      <w:tr w14:paraId="6F1C5AC6">
        <w:tblPrEx>
          <w:tblCellMar>
            <w:top w:w="0" w:type="dxa"/>
            <w:left w:w="0" w:type="dxa"/>
            <w:bottom w:w="0" w:type="dxa"/>
            <w:right w:w="0" w:type="dxa"/>
          </w:tblCellMar>
        </w:tblPrEx>
        <w:trPr>
          <w:wBefore w:w="0" w:type="auto"/>
          <w:tblCellSpacing w:w="0" w:type="dxa"/>
        </w:trPr>
        <w:tc>
          <w:tcPr>
            <w:tcW w:w="0" w:type="auto"/>
            <w:noWrap w:val="0"/>
            <w:vAlign w:val="center"/>
          </w:tcPr>
          <w:p w14:paraId="13808D76">
            <w:r>
              <w:rPr>
                <w:rStyle w:val="10"/>
                <w:rFonts w:hint="eastAsia"/>
              </w:rPr>
              <w:t>中毒急救措施：</w:t>
            </w:r>
            <w:r>
              <w:rPr>
                <w:rFonts w:hint="eastAsia"/>
              </w:rPr>
              <w:br w:type="textWrapping"/>
            </w:r>
            <w:r>
              <w:rPr>
                <w:rStyle w:val="11"/>
                <w:rFonts w:hint="eastAsia"/>
              </w:rPr>
              <w:t xml:space="preserve">中毒症状：对皮肤和眼睛有刺激性。 急救措施：不慎吸入，应将病人移至空气流通处。不慎接触皮肤或溅入眼睛，应用大量清水冲洗至少15分钟，仍有不适时，请及时就医。因疏忽或误服而发生中毒现象时，禁止引吐，请速携标签就医，并依据中毒情况对症治疗。无特效解毒剂。 </w:t>
            </w:r>
          </w:p>
        </w:tc>
      </w:tr>
      <w:tr w14:paraId="32B9222A">
        <w:tblPrEx>
          <w:tblCellMar>
            <w:top w:w="0" w:type="dxa"/>
            <w:left w:w="0" w:type="dxa"/>
            <w:bottom w:w="0" w:type="dxa"/>
            <w:right w:w="0" w:type="dxa"/>
          </w:tblCellMar>
        </w:tblPrEx>
        <w:trPr>
          <w:wBefore w:w="0" w:type="auto"/>
          <w:tblCellSpacing w:w="0" w:type="dxa"/>
        </w:trPr>
        <w:tc>
          <w:tcPr>
            <w:tcW w:w="0" w:type="auto"/>
            <w:noWrap w:val="0"/>
            <w:vAlign w:val="center"/>
          </w:tcPr>
          <w:p w14:paraId="7631CD1D">
            <w:r>
              <w:rPr>
                <w:rStyle w:val="10"/>
                <w:rFonts w:hint="eastAsia"/>
              </w:rPr>
              <w:t>储存和运输方法：</w:t>
            </w:r>
            <w:r>
              <w:rPr>
                <w:rFonts w:hint="eastAsia"/>
              </w:rPr>
              <w:br w:type="textWrapping"/>
            </w:r>
            <w:r>
              <w:rPr>
                <w:rStyle w:val="11"/>
                <w:rFonts w:hint="eastAsia"/>
              </w:rPr>
              <w:t>本品应贮存于干燥、阴凉、通风、防雨处；远离火源或热源；存放于儿童触及不到之处，并加锁；不能与食品、饮料、粮食、饲料等混合储运；运输时应注意防水防潮，避免雨淋；搬运时轻搬轻放，不可倒置。</w:t>
            </w:r>
          </w:p>
        </w:tc>
      </w:tr>
      <w:tr w14:paraId="4F8AB2B6">
        <w:tblPrEx>
          <w:tblCellMar>
            <w:top w:w="0" w:type="dxa"/>
            <w:left w:w="0" w:type="dxa"/>
            <w:bottom w:w="0" w:type="dxa"/>
            <w:right w:w="0" w:type="dxa"/>
          </w:tblCellMar>
        </w:tblPrEx>
        <w:trPr>
          <w:wBefore w:w="0" w:type="auto"/>
          <w:tblCellSpacing w:w="0" w:type="dxa"/>
        </w:trPr>
        <w:tc>
          <w:tcPr>
            <w:tcW w:w="0" w:type="auto"/>
            <w:noWrap w:val="0"/>
            <w:vAlign w:val="center"/>
          </w:tcPr>
          <w:p w14:paraId="2BB59FB5">
            <w:r>
              <w:rPr>
                <w:rStyle w:val="10"/>
                <w:rFonts w:hint="eastAsia"/>
              </w:rPr>
              <w:t>质量保证期：</w:t>
            </w:r>
            <w:r>
              <w:rPr>
                <w:rStyle w:val="11"/>
                <w:rFonts w:hint="eastAsia"/>
              </w:rPr>
              <w:t>2年</w:t>
            </w:r>
          </w:p>
        </w:tc>
      </w:tr>
      <w:tr w14:paraId="4FF1A06B">
        <w:tblPrEx>
          <w:tblCellMar>
            <w:top w:w="0" w:type="dxa"/>
            <w:left w:w="0" w:type="dxa"/>
            <w:bottom w:w="0" w:type="dxa"/>
            <w:right w:w="0" w:type="dxa"/>
          </w:tblCellMar>
        </w:tblPrEx>
        <w:trPr>
          <w:wBefore w:w="0" w:type="auto"/>
          <w:tblCellSpacing w:w="0" w:type="dxa"/>
        </w:trPr>
        <w:tc>
          <w:tcPr>
            <w:tcW w:w="0" w:type="auto"/>
            <w:noWrap w:val="0"/>
            <w:vAlign w:val="center"/>
          </w:tcPr>
          <w:p w14:paraId="3BD69BA3">
            <w:r>
              <w:rPr>
                <w:rStyle w:val="10"/>
                <w:rFonts w:hint="eastAsia"/>
              </w:rPr>
              <w:t>备注：</w:t>
            </w:r>
          </w:p>
        </w:tc>
      </w:tr>
    </w:tbl>
    <w:p w14:paraId="43E7C3D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238ED14">
        <w:tblPrEx>
          <w:tblCellMar>
            <w:top w:w="0" w:type="dxa"/>
            <w:left w:w="0" w:type="dxa"/>
            <w:bottom w:w="0" w:type="dxa"/>
            <w:right w:w="0" w:type="dxa"/>
          </w:tblCellMar>
        </w:tblPrEx>
        <w:trPr>
          <w:wBefore w:w="0" w:type="auto"/>
          <w:tblCellSpacing w:w="0" w:type="dxa"/>
        </w:trPr>
        <w:tc>
          <w:tcPr>
            <w:tcW w:w="0" w:type="auto"/>
            <w:noWrap w:val="0"/>
            <w:vAlign w:val="center"/>
          </w:tcPr>
          <w:p w14:paraId="49932016">
            <w:r>
              <w:rPr>
                <w:rStyle w:val="10"/>
                <w:rFonts w:hint="eastAsia"/>
              </w:rPr>
              <w:t>登记证号：</w:t>
            </w:r>
            <w:r>
              <w:rPr>
                <w:rFonts w:hint="eastAsia"/>
              </w:rPr>
              <w:t>PD20211799</w:t>
            </w:r>
          </w:p>
        </w:tc>
      </w:tr>
      <w:tr w14:paraId="3C15916E">
        <w:tblPrEx>
          <w:tblCellMar>
            <w:top w:w="0" w:type="dxa"/>
            <w:left w:w="0" w:type="dxa"/>
            <w:bottom w:w="0" w:type="dxa"/>
            <w:right w:w="0" w:type="dxa"/>
          </w:tblCellMar>
        </w:tblPrEx>
        <w:trPr>
          <w:wBefore w:w="0" w:type="auto"/>
          <w:tblCellSpacing w:w="0" w:type="dxa"/>
        </w:trPr>
        <w:tc>
          <w:tcPr>
            <w:tcW w:w="0" w:type="auto"/>
            <w:noWrap w:val="0"/>
            <w:vAlign w:val="center"/>
          </w:tcPr>
          <w:p w14:paraId="40460B80">
            <w:r>
              <w:rPr>
                <w:rStyle w:val="10"/>
                <w:rFonts w:hint="eastAsia"/>
              </w:rPr>
              <w:t>登记证持有人：</w:t>
            </w:r>
            <w:r>
              <w:rPr>
                <w:rFonts w:hint="eastAsia"/>
              </w:rPr>
              <w:t>湖南新长山农业发展股份有限公司</w:t>
            </w:r>
          </w:p>
        </w:tc>
      </w:tr>
      <w:tr w14:paraId="52C8A5C0">
        <w:tblPrEx>
          <w:tblCellMar>
            <w:top w:w="0" w:type="dxa"/>
            <w:left w:w="0" w:type="dxa"/>
            <w:bottom w:w="0" w:type="dxa"/>
            <w:right w:w="0" w:type="dxa"/>
          </w:tblCellMar>
        </w:tblPrEx>
        <w:trPr>
          <w:wBefore w:w="0" w:type="auto"/>
          <w:tblCellSpacing w:w="0" w:type="dxa"/>
        </w:trPr>
        <w:tc>
          <w:tcPr>
            <w:tcW w:w="0" w:type="auto"/>
            <w:noWrap w:val="0"/>
            <w:vAlign w:val="center"/>
          </w:tcPr>
          <w:p w14:paraId="1236C8CB">
            <w:r>
              <w:rPr>
                <w:rStyle w:val="10"/>
                <w:rFonts w:hint="eastAsia"/>
              </w:rPr>
              <w:t>农药名称：</w:t>
            </w:r>
            <w:r>
              <w:rPr>
                <w:rFonts w:hint="eastAsia"/>
              </w:rPr>
              <w:t>杀虫·啶虫脒</w:t>
            </w:r>
          </w:p>
        </w:tc>
      </w:tr>
      <w:tr w14:paraId="3B844140">
        <w:tblPrEx>
          <w:tblCellMar>
            <w:top w:w="0" w:type="dxa"/>
            <w:left w:w="0" w:type="dxa"/>
            <w:bottom w:w="0" w:type="dxa"/>
            <w:right w:w="0" w:type="dxa"/>
          </w:tblCellMar>
        </w:tblPrEx>
        <w:trPr>
          <w:wBefore w:w="0" w:type="auto"/>
          <w:tblCellSpacing w:w="0" w:type="dxa"/>
        </w:trPr>
        <w:tc>
          <w:tcPr>
            <w:tcW w:w="0" w:type="auto"/>
            <w:noWrap w:val="0"/>
            <w:vAlign w:val="center"/>
          </w:tcPr>
          <w:p w14:paraId="416D9134">
            <w:r>
              <w:rPr>
                <w:rStyle w:val="10"/>
                <w:rFonts w:hint="eastAsia"/>
              </w:rPr>
              <w:t>剂型：</w:t>
            </w:r>
            <w:r>
              <w:rPr>
                <w:rFonts w:hint="eastAsia"/>
              </w:rPr>
              <w:t>可湿性粉剂</w:t>
            </w:r>
          </w:p>
        </w:tc>
      </w:tr>
      <w:tr w14:paraId="49C7915A">
        <w:tblPrEx>
          <w:tblCellMar>
            <w:top w:w="0" w:type="dxa"/>
            <w:left w:w="0" w:type="dxa"/>
            <w:bottom w:w="0" w:type="dxa"/>
            <w:right w:w="0" w:type="dxa"/>
          </w:tblCellMar>
        </w:tblPrEx>
        <w:trPr>
          <w:wBefore w:w="0" w:type="auto"/>
          <w:tblCellSpacing w:w="0" w:type="dxa"/>
        </w:trPr>
        <w:tc>
          <w:tcPr>
            <w:tcW w:w="0" w:type="auto"/>
            <w:noWrap w:val="0"/>
            <w:vAlign w:val="center"/>
          </w:tcPr>
          <w:p w14:paraId="7C044929">
            <w:r>
              <w:rPr>
                <w:rStyle w:val="10"/>
                <w:rFonts w:hint="eastAsia"/>
              </w:rPr>
              <w:t>毒性及其标识：</w:t>
            </w:r>
            <w:r>
              <w:rPr>
                <w:rFonts w:hint="eastAsia"/>
              </w:rPr>
              <w:t xml:space="preserve"> </w:t>
            </w:r>
            <w:r>
              <w:rPr>
                <w:lang/>
              </w:rPr>
              <w:drawing>
                <wp:inline distT="0" distB="0" distL="114300" distR="114300">
                  <wp:extent cx="476250" cy="323850"/>
                  <wp:effectExtent l="0" t="0" r="0" b="0"/>
                  <wp:docPr id="466" name="图片 46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5423D3C">
        <w:tblPrEx>
          <w:tblCellMar>
            <w:top w:w="0" w:type="dxa"/>
            <w:left w:w="0" w:type="dxa"/>
            <w:bottom w:w="0" w:type="dxa"/>
            <w:right w:w="0" w:type="dxa"/>
          </w:tblCellMar>
        </w:tblPrEx>
        <w:trPr>
          <w:wBefore w:w="0" w:type="auto"/>
          <w:tblCellSpacing w:w="0" w:type="dxa"/>
        </w:trPr>
        <w:tc>
          <w:tcPr>
            <w:tcW w:w="0" w:type="auto"/>
            <w:noWrap w:val="0"/>
            <w:vAlign w:val="center"/>
          </w:tcPr>
          <w:p w14:paraId="1122EE0B">
            <w:r>
              <w:rPr>
                <w:rStyle w:val="10"/>
                <w:rFonts w:hint="eastAsia"/>
              </w:rPr>
              <w:t>总有效成分含量：</w:t>
            </w:r>
            <w:r>
              <w:rPr>
                <w:rFonts w:hint="eastAsia"/>
              </w:rPr>
              <w:t>28%</w:t>
            </w:r>
          </w:p>
        </w:tc>
      </w:tr>
      <w:tr w14:paraId="619F352C">
        <w:tblPrEx>
          <w:tblCellMar>
            <w:top w:w="0" w:type="dxa"/>
            <w:left w:w="0" w:type="dxa"/>
            <w:bottom w:w="0" w:type="dxa"/>
            <w:right w:w="0" w:type="dxa"/>
          </w:tblCellMar>
        </w:tblPrEx>
        <w:trPr>
          <w:wBefore w:w="0" w:type="auto"/>
          <w:tblCellSpacing w:w="0" w:type="dxa"/>
        </w:trPr>
        <w:tc>
          <w:tcPr>
            <w:tcW w:w="0" w:type="auto"/>
            <w:noWrap w:val="0"/>
            <w:vAlign w:val="center"/>
          </w:tcPr>
          <w:p w14:paraId="72D39AF7">
            <w:r>
              <w:rPr>
                <w:rFonts w:hint="eastAsia"/>
              </w:rPr>
              <w:t xml:space="preserve">有效成分及其含量： </w:t>
            </w:r>
          </w:p>
          <w:p w14:paraId="67F1A3CB">
            <w:r>
              <w:rPr>
                <w:rFonts w:hint="eastAsia"/>
              </w:rPr>
              <w:t xml:space="preserve">    啶虫脒3%    杀虫环25%    </w:t>
            </w:r>
          </w:p>
        </w:tc>
      </w:tr>
      <w:tr w14:paraId="3EE30597">
        <w:tblPrEx>
          <w:tblCellMar>
            <w:top w:w="0" w:type="dxa"/>
            <w:left w:w="0" w:type="dxa"/>
            <w:bottom w:w="0" w:type="dxa"/>
            <w:right w:w="0" w:type="dxa"/>
          </w:tblCellMar>
        </w:tblPrEx>
        <w:trPr>
          <w:wBefore w:w="0" w:type="auto"/>
          <w:tblCellSpacing w:w="0" w:type="dxa"/>
        </w:trPr>
        <w:tc>
          <w:tcPr>
            <w:tcW w:w="0" w:type="auto"/>
            <w:noWrap w:val="0"/>
            <w:vAlign w:val="center"/>
          </w:tcPr>
          <w:p w14:paraId="056F240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8C59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F54168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2430D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81F2C0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7A811BC">
                  <w:r>
                    <w:rPr>
                      <w:rStyle w:val="11"/>
                      <w:rFonts w:hint="eastAsia"/>
                    </w:rPr>
                    <w:t>施用方式</w:t>
                  </w:r>
                </w:p>
              </w:tc>
            </w:tr>
            <w:tr w14:paraId="6EF382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C6AFE0E">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1C57B2">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6DBC09">
                  <w:r>
                    <w:rPr>
                      <w:rStyle w:val="11"/>
                      <w:rFonts w:hint="eastAsia"/>
                    </w:rPr>
                    <w:t>30-40克/亩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18E240">
                  <w:r>
                    <w:rPr>
                      <w:rStyle w:val="11"/>
                      <w:rFonts w:hint="eastAsia"/>
                    </w:rPr>
                    <w:t>喷雾</w:t>
                  </w:r>
                </w:p>
              </w:tc>
            </w:tr>
          </w:tbl>
          <w:p w14:paraId="49DBCE78">
            <w:pPr>
              <w:rPr>
                <w:rFonts w:ascii="Times New Roman" w:hAnsi="Times New Roman" w:cs="Times New Roman"/>
                <w:sz w:val="20"/>
                <w:szCs w:val="20"/>
              </w:rPr>
            </w:pPr>
          </w:p>
        </w:tc>
      </w:tr>
      <w:tr w14:paraId="0F18AE02">
        <w:tblPrEx>
          <w:tblCellMar>
            <w:top w:w="0" w:type="dxa"/>
            <w:left w:w="0" w:type="dxa"/>
            <w:bottom w:w="0" w:type="dxa"/>
            <w:right w:w="0" w:type="dxa"/>
          </w:tblCellMar>
        </w:tblPrEx>
        <w:trPr>
          <w:wBefore w:w="0" w:type="auto"/>
          <w:tblCellSpacing w:w="0" w:type="dxa"/>
        </w:trPr>
        <w:tc>
          <w:tcPr>
            <w:tcW w:w="0" w:type="auto"/>
            <w:noWrap w:val="0"/>
            <w:vAlign w:val="center"/>
          </w:tcPr>
          <w:p w14:paraId="60B4AB14">
            <w:r>
              <w:rPr>
                <w:rStyle w:val="10"/>
                <w:rFonts w:hint="eastAsia"/>
              </w:rPr>
              <w:t>使用技术要求:</w:t>
            </w:r>
            <w:r>
              <w:rPr>
                <w:rFonts w:hint="eastAsia"/>
              </w:rPr>
              <w:br w:type="textWrapping"/>
            </w:r>
            <w:r>
              <w:rPr>
                <w:rStyle w:val="11"/>
                <w:rFonts w:hint="eastAsia"/>
              </w:rPr>
              <w:t>1. 防治黄条跳甲，将该品稀释至800-1000倍液，对蔬菜进行均匀喷雾；视虫情间隔7-10天施药。2. 大风天或预计1小时内有雨，请勿施药。3. 本品在甘蓝上的安全间隔期为7天，每个作物周期最多使用2次。</w:t>
            </w:r>
          </w:p>
        </w:tc>
      </w:tr>
      <w:tr w14:paraId="5E666EE9">
        <w:tblPrEx>
          <w:tblCellMar>
            <w:top w:w="0" w:type="dxa"/>
            <w:left w:w="0" w:type="dxa"/>
            <w:bottom w:w="0" w:type="dxa"/>
            <w:right w:w="0" w:type="dxa"/>
          </w:tblCellMar>
        </w:tblPrEx>
        <w:trPr>
          <w:wBefore w:w="0" w:type="auto"/>
          <w:tblCellSpacing w:w="0" w:type="dxa"/>
        </w:trPr>
        <w:tc>
          <w:tcPr>
            <w:tcW w:w="0" w:type="auto"/>
            <w:noWrap w:val="0"/>
            <w:vAlign w:val="center"/>
          </w:tcPr>
          <w:p w14:paraId="38DA96FE">
            <w:r>
              <w:rPr>
                <w:rStyle w:val="10"/>
                <w:rFonts w:hint="eastAsia"/>
              </w:rPr>
              <w:t>产品性能:</w:t>
            </w:r>
            <w:r>
              <w:rPr>
                <w:rFonts w:hint="eastAsia"/>
              </w:rPr>
              <w:br w:type="textWrapping"/>
            </w:r>
            <w:r>
              <w:rPr>
                <w:rStyle w:val="11"/>
                <w:rFonts w:hint="eastAsia"/>
              </w:rPr>
              <w:t>本品是吡啶类、沙蚕毒素类混配制剂，具有触杀和胃毒作用及较强的渗透作用，杀虫较迅速，且能杀卵，且耐雨水冲刷，持效期较长。</w:t>
            </w:r>
          </w:p>
        </w:tc>
      </w:tr>
      <w:tr w14:paraId="5C7C2524">
        <w:tblPrEx>
          <w:tblCellMar>
            <w:top w:w="0" w:type="dxa"/>
            <w:left w:w="0" w:type="dxa"/>
            <w:bottom w:w="0" w:type="dxa"/>
            <w:right w:w="0" w:type="dxa"/>
          </w:tblCellMar>
        </w:tblPrEx>
        <w:trPr>
          <w:wBefore w:w="0" w:type="auto"/>
          <w:tblCellSpacing w:w="0" w:type="dxa"/>
        </w:trPr>
        <w:tc>
          <w:tcPr>
            <w:tcW w:w="0" w:type="auto"/>
            <w:noWrap w:val="0"/>
            <w:vAlign w:val="center"/>
          </w:tcPr>
          <w:p w14:paraId="02021258">
            <w:r>
              <w:rPr>
                <w:rStyle w:val="10"/>
                <w:rFonts w:hint="eastAsia"/>
              </w:rPr>
              <w:t>注意事项：</w:t>
            </w:r>
            <w:r>
              <w:rPr>
                <w:rFonts w:hint="eastAsia"/>
              </w:rPr>
              <w:br w:type="textWrapping"/>
            </w:r>
            <w:r>
              <w:rPr>
                <w:rStyle w:val="11"/>
                <w:rFonts w:hint="eastAsia"/>
              </w:rPr>
              <w:t>1. 建议与其他作用机制不同的杀虫剂轮换使用，以延缓抗性产生；2. 本品对家蚕、赤眼蜂有毒，蚕室和桑园附近禁用，施药期间应避免对周围蜂群的影响，（周围）开花植物花期、赤眼蜂等天敌昆虫放飞区禁用，鸟类保护区附近禁用。远离水产养殖区施药，禁止在河塘等水体中清洗施药器具；3. 开启包装时应选择在无风的条件下，注意药剂不要散逸；4.本品对眼睛有刺激性，使用时避免接触眼睛，穿戴长衣、长裤、帽子、口罩、手套等防护措施。避免吸入药液；施药期间不可吃东西、饮水等；施药后应及时洗手和洗脸；用过的容器应妥善处理，不可做他用，也不可随意丢弃。5. 孕妇及哺乳期妇女避免接触。</w:t>
            </w:r>
          </w:p>
        </w:tc>
      </w:tr>
      <w:tr w14:paraId="565299AA">
        <w:tblPrEx>
          <w:tblCellMar>
            <w:top w:w="0" w:type="dxa"/>
            <w:left w:w="0" w:type="dxa"/>
            <w:bottom w:w="0" w:type="dxa"/>
            <w:right w:w="0" w:type="dxa"/>
          </w:tblCellMar>
        </w:tblPrEx>
        <w:trPr>
          <w:wBefore w:w="0" w:type="auto"/>
          <w:tblCellSpacing w:w="0" w:type="dxa"/>
        </w:trPr>
        <w:tc>
          <w:tcPr>
            <w:tcW w:w="0" w:type="auto"/>
            <w:noWrap w:val="0"/>
            <w:vAlign w:val="center"/>
          </w:tcPr>
          <w:p w14:paraId="1714B598">
            <w:r>
              <w:rPr>
                <w:rStyle w:val="10"/>
                <w:rFonts w:hint="eastAsia"/>
              </w:rPr>
              <w:t>中毒急救措施：</w:t>
            </w:r>
            <w:r>
              <w:rPr>
                <w:rFonts w:hint="eastAsia"/>
              </w:rPr>
              <w:br w:type="textWrapping"/>
            </w:r>
            <w:r>
              <w:rPr>
                <w:rStyle w:val="11"/>
                <w:rFonts w:hint="eastAsia"/>
              </w:rPr>
              <w:t>中毒症状为恶心、呕吐等。对皮肤、眼睛有刺激作用。不慎吸入，应将病人移至空气流通处。不慎接触皮肤或溅入眼睛，应用大量清水冲洗至少15分钟。若误服，立即携此标签将病人送往医院，洗胃，对症治疗。本品无特殊解毒剂。</w:t>
            </w:r>
          </w:p>
        </w:tc>
      </w:tr>
      <w:tr w14:paraId="49DEDF0D">
        <w:tblPrEx>
          <w:tblCellMar>
            <w:top w:w="0" w:type="dxa"/>
            <w:left w:w="0" w:type="dxa"/>
            <w:bottom w:w="0" w:type="dxa"/>
            <w:right w:w="0" w:type="dxa"/>
          </w:tblCellMar>
        </w:tblPrEx>
        <w:trPr>
          <w:wBefore w:w="0" w:type="auto"/>
          <w:tblCellSpacing w:w="0" w:type="dxa"/>
        </w:trPr>
        <w:tc>
          <w:tcPr>
            <w:tcW w:w="0" w:type="auto"/>
            <w:noWrap w:val="0"/>
            <w:vAlign w:val="center"/>
          </w:tcPr>
          <w:p w14:paraId="461B05BB">
            <w:r>
              <w:rPr>
                <w:rStyle w:val="10"/>
                <w:rFonts w:hint="eastAsia"/>
              </w:rPr>
              <w:t>储存和运输方法：</w:t>
            </w:r>
            <w:r>
              <w:rPr>
                <w:rFonts w:hint="eastAsia"/>
              </w:rPr>
              <w:br w:type="textWrapping"/>
            </w:r>
            <w:r>
              <w:rPr>
                <w:rStyle w:val="11"/>
                <w:rFonts w:hint="eastAsia"/>
              </w:rPr>
              <w:t>本品应贮存在避光、通风、干燥防风雨处，远离火源和热源。置于儿童、无关人员及动物接触不到的地方，并加锁保存。勿与食物、饮料、种子、粮食和饲料同贮同运。</w:t>
            </w:r>
          </w:p>
        </w:tc>
      </w:tr>
      <w:tr w14:paraId="76F96138">
        <w:tblPrEx>
          <w:tblCellMar>
            <w:top w:w="0" w:type="dxa"/>
            <w:left w:w="0" w:type="dxa"/>
            <w:bottom w:w="0" w:type="dxa"/>
            <w:right w:w="0" w:type="dxa"/>
          </w:tblCellMar>
        </w:tblPrEx>
        <w:trPr>
          <w:wBefore w:w="0" w:type="auto"/>
          <w:tblCellSpacing w:w="0" w:type="dxa"/>
        </w:trPr>
        <w:tc>
          <w:tcPr>
            <w:tcW w:w="0" w:type="auto"/>
            <w:noWrap w:val="0"/>
            <w:vAlign w:val="center"/>
          </w:tcPr>
          <w:p w14:paraId="062D8090">
            <w:r>
              <w:rPr>
                <w:rStyle w:val="10"/>
                <w:rFonts w:hint="eastAsia"/>
              </w:rPr>
              <w:t>质量保证期：</w:t>
            </w:r>
            <w:r>
              <w:rPr>
                <w:rStyle w:val="11"/>
                <w:rFonts w:hint="eastAsia"/>
              </w:rPr>
              <w:t>2年</w:t>
            </w:r>
          </w:p>
        </w:tc>
      </w:tr>
      <w:tr w14:paraId="03850B8F">
        <w:tblPrEx>
          <w:tblCellMar>
            <w:top w:w="0" w:type="dxa"/>
            <w:left w:w="0" w:type="dxa"/>
            <w:bottom w:w="0" w:type="dxa"/>
            <w:right w:w="0" w:type="dxa"/>
          </w:tblCellMar>
        </w:tblPrEx>
        <w:trPr>
          <w:wBefore w:w="0" w:type="auto"/>
          <w:tblCellSpacing w:w="0" w:type="dxa"/>
        </w:trPr>
        <w:tc>
          <w:tcPr>
            <w:tcW w:w="0" w:type="auto"/>
            <w:noWrap w:val="0"/>
            <w:vAlign w:val="center"/>
          </w:tcPr>
          <w:p w14:paraId="451F2BB0">
            <w:r>
              <w:rPr>
                <w:rStyle w:val="10"/>
                <w:rFonts w:hint="eastAsia"/>
              </w:rPr>
              <w:t>备注：</w:t>
            </w:r>
          </w:p>
        </w:tc>
      </w:tr>
    </w:tbl>
    <w:p w14:paraId="6F7849D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10B854">
        <w:tblPrEx>
          <w:tblCellMar>
            <w:top w:w="0" w:type="dxa"/>
            <w:left w:w="0" w:type="dxa"/>
            <w:bottom w:w="0" w:type="dxa"/>
            <w:right w:w="0" w:type="dxa"/>
          </w:tblCellMar>
        </w:tblPrEx>
        <w:trPr>
          <w:wBefore w:w="0" w:type="auto"/>
          <w:tblCellSpacing w:w="0" w:type="dxa"/>
        </w:trPr>
        <w:tc>
          <w:tcPr>
            <w:tcW w:w="0" w:type="auto"/>
            <w:noWrap w:val="0"/>
            <w:vAlign w:val="center"/>
          </w:tcPr>
          <w:p w14:paraId="13BDD1A7">
            <w:r>
              <w:rPr>
                <w:rStyle w:val="10"/>
                <w:rFonts w:hint="eastAsia"/>
              </w:rPr>
              <w:t>登记证号：</w:t>
            </w:r>
            <w:r>
              <w:rPr>
                <w:rFonts w:hint="eastAsia"/>
              </w:rPr>
              <w:t>PD20211762</w:t>
            </w:r>
          </w:p>
        </w:tc>
      </w:tr>
      <w:tr w14:paraId="3BF32EC4">
        <w:tblPrEx>
          <w:tblCellMar>
            <w:top w:w="0" w:type="dxa"/>
            <w:left w:w="0" w:type="dxa"/>
            <w:bottom w:w="0" w:type="dxa"/>
            <w:right w:w="0" w:type="dxa"/>
          </w:tblCellMar>
        </w:tblPrEx>
        <w:trPr>
          <w:wBefore w:w="0" w:type="auto"/>
          <w:tblCellSpacing w:w="0" w:type="dxa"/>
        </w:trPr>
        <w:tc>
          <w:tcPr>
            <w:tcW w:w="0" w:type="auto"/>
            <w:noWrap w:val="0"/>
            <w:vAlign w:val="center"/>
          </w:tcPr>
          <w:p w14:paraId="67870652">
            <w:r>
              <w:rPr>
                <w:rStyle w:val="10"/>
                <w:rFonts w:hint="eastAsia"/>
              </w:rPr>
              <w:t>登记证持有人：</w:t>
            </w:r>
            <w:r>
              <w:rPr>
                <w:rFonts w:hint="eastAsia"/>
              </w:rPr>
              <w:t>广东宜禾宜农作物科学有限公司</w:t>
            </w:r>
          </w:p>
        </w:tc>
      </w:tr>
      <w:tr w14:paraId="4AB8A08B">
        <w:tblPrEx>
          <w:tblCellMar>
            <w:top w:w="0" w:type="dxa"/>
            <w:left w:w="0" w:type="dxa"/>
            <w:bottom w:w="0" w:type="dxa"/>
            <w:right w:w="0" w:type="dxa"/>
          </w:tblCellMar>
        </w:tblPrEx>
        <w:trPr>
          <w:wBefore w:w="0" w:type="auto"/>
          <w:tblCellSpacing w:w="0" w:type="dxa"/>
        </w:trPr>
        <w:tc>
          <w:tcPr>
            <w:tcW w:w="0" w:type="auto"/>
            <w:noWrap w:val="0"/>
            <w:vAlign w:val="center"/>
          </w:tcPr>
          <w:p w14:paraId="0D7D9252">
            <w:r>
              <w:rPr>
                <w:rStyle w:val="10"/>
                <w:rFonts w:hint="eastAsia"/>
              </w:rPr>
              <w:t>农药名称：</w:t>
            </w:r>
            <w:r>
              <w:rPr>
                <w:rFonts w:hint="eastAsia"/>
              </w:rPr>
              <w:t>甲维·啶虫脒</w:t>
            </w:r>
          </w:p>
        </w:tc>
      </w:tr>
      <w:tr w14:paraId="02BF7A73">
        <w:tblPrEx>
          <w:tblCellMar>
            <w:top w:w="0" w:type="dxa"/>
            <w:left w:w="0" w:type="dxa"/>
            <w:bottom w:w="0" w:type="dxa"/>
            <w:right w:w="0" w:type="dxa"/>
          </w:tblCellMar>
        </w:tblPrEx>
        <w:trPr>
          <w:wBefore w:w="0" w:type="auto"/>
          <w:tblCellSpacing w:w="0" w:type="dxa"/>
        </w:trPr>
        <w:tc>
          <w:tcPr>
            <w:tcW w:w="0" w:type="auto"/>
            <w:noWrap w:val="0"/>
            <w:vAlign w:val="center"/>
          </w:tcPr>
          <w:p w14:paraId="47A9B98D">
            <w:r>
              <w:rPr>
                <w:rStyle w:val="10"/>
                <w:rFonts w:hint="eastAsia"/>
              </w:rPr>
              <w:t>剂型：</w:t>
            </w:r>
            <w:r>
              <w:rPr>
                <w:rFonts w:hint="eastAsia"/>
              </w:rPr>
              <w:t>微乳剂</w:t>
            </w:r>
          </w:p>
        </w:tc>
      </w:tr>
      <w:tr w14:paraId="1144390A">
        <w:tblPrEx>
          <w:tblCellMar>
            <w:top w:w="0" w:type="dxa"/>
            <w:left w:w="0" w:type="dxa"/>
            <w:bottom w:w="0" w:type="dxa"/>
            <w:right w:w="0" w:type="dxa"/>
          </w:tblCellMar>
        </w:tblPrEx>
        <w:trPr>
          <w:wBefore w:w="0" w:type="auto"/>
          <w:tblCellSpacing w:w="0" w:type="dxa"/>
        </w:trPr>
        <w:tc>
          <w:tcPr>
            <w:tcW w:w="0" w:type="auto"/>
            <w:noWrap w:val="0"/>
            <w:vAlign w:val="center"/>
          </w:tcPr>
          <w:p w14:paraId="5F15929D">
            <w:r>
              <w:rPr>
                <w:rStyle w:val="10"/>
                <w:rFonts w:hint="eastAsia"/>
              </w:rPr>
              <w:t>毒性及其标识：</w:t>
            </w:r>
            <w:r>
              <w:rPr>
                <w:rFonts w:hint="eastAsia"/>
              </w:rPr>
              <w:t xml:space="preserve"> </w:t>
            </w:r>
            <w:r>
              <w:rPr>
                <w:lang/>
              </w:rPr>
              <w:drawing>
                <wp:inline distT="0" distB="0" distL="114300" distR="114300">
                  <wp:extent cx="476250" cy="323850"/>
                  <wp:effectExtent l="0" t="0" r="0" b="0"/>
                  <wp:docPr id="467" name="图片 46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5B3FEA6">
        <w:tblPrEx>
          <w:tblCellMar>
            <w:top w:w="0" w:type="dxa"/>
            <w:left w:w="0" w:type="dxa"/>
            <w:bottom w:w="0" w:type="dxa"/>
            <w:right w:w="0" w:type="dxa"/>
          </w:tblCellMar>
        </w:tblPrEx>
        <w:trPr>
          <w:wBefore w:w="0" w:type="auto"/>
          <w:tblCellSpacing w:w="0" w:type="dxa"/>
        </w:trPr>
        <w:tc>
          <w:tcPr>
            <w:tcW w:w="0" w:type="auto"/>
            <w:noWrap w:val="0"/>
            <w:vAlign w:val="center"/>
          </w:tcPr>
          <w:p w14:paraId="76E0D13D">
            <w:r>
              <w:rPr>
                <w:rStyle w:val="10"/>
                <w:rFonts w:hint="eastAsia"/>
              </w:rPr>
              <w:t>总有效成分含量：</w:t>
            </w:r>
            <w:r>
              <w:rPr>
                <w:rFonts w:hint="eastAsia"/>
              </w:rPr>
              <w:t>19.4%</w:t>
            </w:r>
          </w:p>
        </w:tc>
      </w:tr>
      <w:tr w14:paraId="0FA60460">
        <w:tblPrEx>
          <w:tblCellMar>
            <w:top w:w="0" w:type="dxa"/>
            <w:left w:w="0" w:type="dxa"/>
            <w:bottom w:w="0" w:type="dxa"/>
            <w:right w:w="0" w:type="dxa"/>
          </w:tblCellMar>
        </w:tblPrEx>
        <w:trPr>
          <w:wBefore w:w="0" w:type="auto"/>
          <w:tblCellSpacing w:w="0" w:type="dxa"/>
        </w:trPr>
        <w:tc>
          <w:tcPr>
            <w:tcW w:w="0" w:type="auto"/>
            <w:noWrap w:val="0"/>
            <w:vAlign w:val="center"/>
          </w:tcPr>
          <w:p w14:paraId="2C89102E">
            <w:r>
              <w:rPr>
                <w:rFonts w:hint="eastAsia"/>
              </w:rPr>
              <w:t xml:space="preserve">有效成分及其含量： </w:t>
            </w:r>
          </w:p>
          <w:p w14:paraId="3855AFBD">
            <w:r>
              <w:rPr>
                <w:rFonts w:hint="eastAsia"/>
              </w:rPr>
              <w:t xml:space="preserve">    甲氨基阿维菌素4.4%    啶虫脒15%    </w:t>
            </w:r>
          </w:p>
        </w:tc>
      </w:tr>
      <w:tr w14:paraId="07CD937F">
        <w:tblPrEx>
          <w:tblCellMar>
            <w:top w:w="0" w:type="dxa"/>
            <w:left w:w="0" w:type="dxa"/>
            <w:bottom w:w="0" w:type="dxa"/>
            <w:right w:w="0" w:type="dxa"/>
          </w:tblCellMar>
        </w:tblPrEx>
        <w:trPr>
          <w:wBefore w:w="0" w:type="auto"/>
          <w:tblCellSpacing w:w="0" w:type="dxa"/>
        </w:trPr>
        <w:tc>
          <w:tcPr>
            <w:tcW w:w="0" w:type="auto"/>
            <w:noWrap w:val="0"/>
            <w:vAlign w:val="center"/>
          </w:tcPr>
          <w:p w14:paraId="3899688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A9C50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B72F2D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FD9878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659854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666A7F8">
                  <w:r>
                    <w:rPr>
                      <w:rStyle w:val="11"/>
                      <w:rFonts w:hint="eastAsia"/>
                    </w:rPr>
                    <w:t>施用方式</w:t>
                  </w:r>
                </w:p>
              </w:tc>
            </w:tr>
            <w:tr w14:paraId="65A9FF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21EE643">
                  <w:r>
                    <w:rPr>
                      <w:rStyle w:val="11"/>
                      <w:rFonts w:hint="eastAsia"/>
                    </w:rPr>
                    <w:t>节瓜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D56F9D">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392F70">
                  <w:r>
                    <w:rPr>
                      <w:rStyle w:val="11"/>
                      <w:rFonts w:hint="eastAsia"/>
                    </w:rPr>
                    <w:t>4-8毫升/亩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5CB264">
                  <w:r>
                    <w:rPr>
                      <w:rStyle w:val="11"/>
                      <w:rFonts w:hint="eastAsia"/>
                    </w:rPr>
                    <w:t>喷雾</w:t>
                  </w:r>
                </w:p>
              </w:tc>
            </w:tr>
          </w:tbl>
          <w:p w14:paraId="6BCDA7BC">
            <w:pPr>
              <w:rPr>
                <w:rFonts w:ascii="Times New Roman" w:hAnsi="Times New Roman" w:cs="Times New Roman"/>
                <w:sz w:val="20"/>
                <w:szCs w:val="20"/>
              </w:rPr>
            </w:pPr>
          </w:p>
        </w:tc>
      </w:tr>
      <w:tr w14:paraId="7D88F441">
        <w:tblPrEx>
          <w:tblCellMar>
            <w:top w:w="0" w:type="dxa"/>
            <w:left w:w="0" w:type="dxa"/>
            <w:bottom w:w="0" w:type="dxa"/>
            <w:right w:w="0" w:type="dxa"/>
          </w:tblCellMar>
        </w:tblPrEx>
        <w:trPr>
          <w:wBefore w:w="0" w:type="auto"/>
          <w:tblCellSpacing w:w="0" w:type="dxa"/>
        </w:trPr>
        <w:tc>
          <w:tcPr>
            <w:tcW w:w="0" w:type="auto"/>
            <w:noWrap w:val="0"/>
            <w:vAlign w:val="center"/>
          </w:tcPr>
          <w:p w14:paraId="4C059088">
            <w:r>
              <w:rPr>
                <w:rStyle w:val="10"/>
                <w:rFonts w:hint="eastAsia"/>
              </w:rPr>
              <w:t>使用技术要求:</w:t>
            </w:r>
            <w:r>
              <w:rPr>
                <w:rFonts w:hint="eastAsia"/>
              </w:rPr>
              <w:br w:type="textWrapping"/>
            </w:r>
            <w:r>
              <w:rPr>
                <w:rStyle w:val="11"/>
                <w:rFonts w:hint="eastAsia"/>
              </w:rPr>
              <w:t>1.于节瓜蓟马低龄若虫发生始盛期喷雾施药1次，4-8毫升/亩，大风天或1小时内降雨请勿施药； 2.每季作物最多使用两次，安全间隔期7天。</w:t>
            </w:r>
          </w:p>
        </w:tc>
      </w:tr>
      <w:tr w14:paraId="705073BD">
        <w:tblPrEx>
          <w:tblCellMar>
            <w:top w:w="0" w:type="dxa"/>
            <w:left w:w="0" w:type="dxa"/>
            <w:bottom w:w="0" w:type="dxa"/>
            <w:right w:w="0" w:type="dxa"/>
          </w:tblCellMar>
        </w:tblPrEx>
        <w:trPr>
          <w:wBefore w:w="0" w:type="auto"/>
          <w:tblCellSpacing w:w="0" w:type="dxa"/>
        </w:trPr>
        <w:tc>
          <w:tcPr>
            <w:tcW w:w="0" w:type="auto"/>
            <w:noWrap w:val="0"/>
            <w:vAlign w:val="center"/>
          </w:tcPr>
          <w:p w14:paraId="135C19A9">
            <w:r>
              <w:rPr>
                <w:rStyle w:val="10"/>
                <w:rFonts w:hint="eastAsia"/>
              </w:rPr>
              <w:t>产品性能:</w:t>
            </w:r>
            <w:r>
              <w:rPr>
                <w:rFonts w:hint="eastAsia"/>
              </w:rPr>
              <w:br w:type="textWrapping"/>
            </w:r>
            <w:r>
              <w:rPr>
                <w:rStyle w:val="11"/>
                <w:rFonts w:hint="eastAsia"/>
              </w:rPr>
              <w:t>甲氨基阿维菌素为非内吸性杀虫剂，可促进γ-氨基丁酸释放，抑制神经传导，最终激活氯离子通道，啶虫脒属烟碱乙酰胆碱受体激动剂，作用于昆虫中枢神经系统突触，使昆虫异常兴奋，全身痉挛、麻痹而死。两者混配后可以用于防治节瓜蓟马。</w:t>
            </w:r>
          </w:p>
        </w:tc>
      </w:tr>
      <w:tr w14:paraId="48249647">
        <w:tblPrEx>
          <w:tblCellMar>
            <w:top w:w="0" w:type="dxa"/>
            <w:left w:w="0" w:type="dxa"/>
            <w:bottom w:w="0" w:type="dxa"/>
            <w:right w:w="0" w:type="dxa"/>
          </w:tblCellMar>
        </w:tblPrEx>
        <w:trPr>
          <w:wBefore w:w="0" w:type="auto"/>
          <w:tblCellSpacing w:w="0" w:type="dxa"/>
        </w:trPr>
        <w:tc>
          <w:tcPr>
            <w:tcW w:w="0" w:type="auto"/>
            <w:noWrap w:val="0"/>
            <w:vAlign w:val="center"/>
          </w:tcPr>
          <w:p w14:paraId="4AC6463C">
            <w:r>
              <w:rPr>
                <w:rStyle w:val="10"/>
                <w:rFonts w:hint="eastAsia"/>
              </w:rPr>
              <w:t>注意事项：</w:t>
            </w:r>
            <w:r>
              <w:rPr>
                <w:rFonts w:hint="eastAsia"/>
              </w:rPr>
              <w:br w:type="textWrapping"/>
            </w:r>
            <w:r>
              <w:rPr>
                <w:rStyle w:val="11"/>
                <w:rFonts w:hint="eastAsia"/>
              </w:rPr>
              <w:t>1）本品不可与碱性农药混用（波尔多液、石硫合剂）。 2）本品对鱼、藻类等水生生物有毒，水产养殖区、河塘等水体附近禁用，施药后禁止在河塘等水源及鱼塘中清洗药械。 3）本品对蜜蜂、天敌、鸟类有毒，开花植物花期、蜜源期及天敌放飞区、养蜂区、鸟类保护区禁用。 4）蚕对本品敏感，蚕室及桑园附近禁用。 5）本品对眼睛有刺激性，施用时采取严格安全防护措施，穿（戴）长衣、长裤、帽子、口罩、手套、鞋子等。使用时严格按照《农药安全操作规程》作业，做好安全防护，严禁吸烟、禁食，施药完毕及时清洗手、脸及其它裸露部位。 6）与不同作用机理的杀虫剂交替使用。 7）用过的容器应妥善处理，不可做他用，也不可随意丢弃。 8）禁止儿童、孕妇及哺乳期妇女接触本品。</w:t>
            </w:r>
          </w:p>
        </w:tc>
      </w:tr>
      <w:tr w14:paraId="0A07B2FE">
        <w:tblPrEx>
          <w:tblCellMar>
            <w:top w:w="0" w:type="dxa"/>
            <w:left w:w="0" w:type="dxa"/>
            <w:bottom w:w="0" w:type="dxa"/>
            <w:right w:w="0" w:type="dxa"/>
          </w:tblCellMar>
        </w:tblPrEx>
        <w:trPr>
          <w:wBefore w:w="0" w:type="auto"/>
          <w:tblCellSpacing w:w="0" w:type="dxa"/>
        </w:trPr>
        <w:tc>
          <w:tcPr>
            <w:tcW w:w="0" w:type="auto"/>
            <w:noWrap w:val="0"/>
            <w:vAlign w:val="center"/>
          </w:tcPr>
          <w:p w14:paraId="10DAA585">
            <w:r>
              <w:rPr>
                <w:rStyle w:val="10"/>
                <w:rFonts w:hint="eastAsia"/>
              </w:rPr>
              <w:t>中毒急救措施：</w:t>
            </w:r>
            <w:r>
              <w:rPr>
                <w:rFonts w:hint="eastAsia"/>
              </w:rPr>
              <w:br w:type="textWrapping"/>
            </w:r>
            <w:r>
              <w:rPr>
                <w:rStyle w:val="11"/>
                <w:rFonts w:hint="eastAsia"/>
              </w:rPr>
              <w:t xml:space="preserve">中毒症状：早期瞳孔放大，行动失调，肌肉颤抖，严重时呕吐。 不慎吸入：应将病人移至空气流通处。 不慎贱入眼睛或接触皮肤：用大量清水冲洗至少15分钟。 不慎误服：立即携标签送医就诊。建议引吐并给患者服用吐根糖浆或麻黄素，但勿给昏迷患者催吐或灌任何东西。抢救时避免给患者使用增强γ氨基丁酸活性的药物如芭比妥，丙戊酸等。 </w:t>
            </w:r>
          </w:p>
        </w:tc>
      </w:tr>
      <w:tr w14:paraId="4A170C3E">
        <w:tblPrEx>
          <w:tblCellMar>
            <w:top w:w="0" w:type="dxa"/>
            <w:left w:w="0" w:type="dxa"/>
            <w:bottom w:w="0" w:type="dxa"/>
            <w:right w:w="0" w:type="dxa"/>
          </w:tblCellMar>
        </w:tblPrEx>
        <w:trPr>
          <w:wBefore w:w="0" w:type="auto"/>
          <w:tblCellSpacing w:w="0" w:type="dxa"/>
        </w:trPr>
        <w:tc>
          <w:tcPr>
            <w:tcW w:w="0" w:type="auto"/>
            <w:noWrap w:val="0"/>
            <w:vAlign w:val="center"/>
          </w:tcPr>
          <w:p w14:paraId="040E15C9">
            <w:r>
              <w:rPr>
                <w:rStyle w:val="10"/>
                <w:rFonts w:hint="eastAsia"/>
              </w:rPr>
              <w:t>储存和运输方法：</w:t>
            </w:r>
            <w:r>
              <w:rPr>
                <w:rFonts w:hint="eastAsia"/>
              </w:rPr>
              <w:br w:type="textWrapping"/>
            </w:r>
            <w:r>
              <w:rPr>
                <w:rStyle w:val="11"/>
                <w:rFonts w:hint="eastAsia"/>
              </w:rPr>
              <w:t>1.本品应贮存在阴凉、干燥、通风、防雨处，远离火源或热源；夏季应加强仓库通风，最好早晚运输，避免高温； 2.置于儿童、无关人员及动物接触不到的地方，并加锁； 3.不得与氧化剂、食物、饮料、种子、饲料等物品同贮同运，运输时要防潮防晒； 4.装卸时，注意检查包装是否密封完整，轻拿轻放。</w:t>
            </w:r>
          </w:p>
        </w:tc>
      </w:tr>
      <w:tr w14:paraId="0A8F8D4B">
        <w:tblPrEx>
          <w:tblCellMar>
            <w:top w:w="0" w:type="dxa"/>
            <w:left w:w="0" w:type="dxa"/>
            <w:bottom w:w="0" w:type="dxa"/>
            <w:right w:w="0" w:type="dxa"/>
          </w:tblCellMar>
        </w:tblPrEx>
        <w:trPr>
          <w:wBefore w:w="0" w:type="auto"/>
          <w:tblCellSpacing w:w="0" w:type="dxa"/>
        </w:trPr>
        <w:tc>
          <w:tcPr>
            <w:tcW w:w="0" w:type="auto"/>
            <w:noWrap w:val="0"/>
            <w:vAlign w:val="center"/>
          </w:tcPr>
          <w:p w14:paraId="246B45FC">
            <w:r>
              <w:rPr>
                <w:rStyle w:val="10"/>
                <w:rFonts w:hint="eastAsia"/>
              </w:rPr>
              <w:t>质量保证期：</w:t>
            </w:r>
            <w:r>
              <w:rPr>
                <w:rStyle w:val="11"/>
                <w:rFonts w:hint="eastAsia"/>
              </w:rPr>
              <w:t>2年</w:t>
            </w:r>
          </w:p>
        </w:tc>
      </w:tr>
      <w:tr w14:paraId="7A91FA57">
        <w:tblPrEx>
          <w:tblCellMar>
            <w:top w:w="0" w:type="dxa"/>
            <w:left w:w="0" w:type="dxa"/>
            <w:bottom w:w="0" w:type="dxa"/>
            <w:right w:w="0" w:type="dxa"/>
          </w:tblCellMar>
        </w:tblPrEx>
        <w:trPr>
          <w:wBefore w:w="0" w:type="auto"/>
          <w:tblCellSpacing w:w="0" w:type="dxa"/>
        </w:trPr>
        <w:tc>
          <w:tcPr>
            <w:tcW w:w="0" w:type="auto"/>
            <w:noWrap w:val="0"/>
            <w:vAlign w:val="center"/>
          </w:tcPr>
          <w:p w14:paraId="5927BBF8">
            <w:r>
              <w:rPr>
                <w:rStyle w:val="10"/>
                <w:rFonts w:hint="eastAsia"/>
              </w:rPr>
              <w:t>备注：</w:t>
            </w:r>
            <w:r>
              <w:rPr>
                <w:rFonts w:hint="eastAsia"/>
              </w:rPr>
              <w:br w:type="textWrapping"/>
            </w:r>
            <w:r>
              <w:rPr>
                <w:rStyle w:val="11"/>
                <w:rFonts w:hint="eastAsia"/>
              </w:rPr>
              <w:t>甲氨基阿维菌素苯甲酸盐质量分数5%</w:t>
            </w:r>
          </w:p>
        </w:tc>
      </w:tr>
    </w:tbl>
    <w:p w14:paraId="0375758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C67051">
        <w:tblPrEx>
          <w:tblCellMar>
            <w:top w:w="0" w:type="dxa"/>
            <w:left w:w="0" w:type="dxa"/>
            <w:bottom w:w="0" w:type="dxa"/>
            <w:right w:w="0" w:type="dxa"/>
          </w:tblCellMar>
        </w:tblPrEx>
        <w:trPr>
          <w:wBefore w:w="0" w:type="auto"/>
          <w:tblCellSpacing w:w="0" w:type="dxa"/>
        </w:trPr>
        <w:tc>
          <w:tcPr>
            <w:tcW w:w="0" w:type="auto"/>
            <w:noWrap w:val="0"/>
            <w:vAlign w:val="center"/>
          </w:tcPr>
          <w:p w14:paraId="413C6CBB">
            <w:r>
              <w:rPr>
                <w:rStyle w:val="10"/>
                <w:rFonts w:hint="eastAsia"/>
              </w:rPr>
              <w:t>登记证号：</w:t>
            </w:r>
            <w:r>
              <w:rPr>
                <w:rFonts w:hint="eastAsia"/>
              </w:rPr>
              <w:t>PD20212152</w:t>
            </w:r>
          </w:p>
        </w:tc>
      </w:tr>
      <w:tr w14:paraId="3E2D5EC4">
        <w:tblPrEx>
          <w:tblCellMar>
            <w:top w:w="0" w:type="dxa"/>
            <w:left w:w="0" w:type="dxa"/>
            <w:bottom w:w="0" w:type="dxa"/>
            <w:right w:w="0" w:type="dxa"/>
          </w:tblCellMar>
        </w:tblPrEx>
        <w:trPr>
          <w:wBefore w:w="0" w:type="auto"/>
          <w:tblCellSpacing w:w="0" w:type="dxa"/>
        </w:trPr>
        <w:tc>
          <w:tcPr>
            <w:tcW w:w="0" w:type="auto"/>
            <w:noWrap w:val="0"/>
            <w:vAlign w:val="center"/>
          </w:tcPr>
          <w:p w14:paraId="1DC7F514">
            <w:r>
              <w:rPr>
                <w:rStyle w:val="10"/>
                <w:rFonts w:hint="eastAsia"/>
              </w:rPr>
              <w:t>登记证持有人：</w:t>
            </w:r>
            <w:r>
              <w:rPr>
                <w:rFonts w:hint="eastAsia"/>
              </w:rPr>
              <w:t>黑龙江绿丰源生物科技有限公司</w:t>
            </w:r>
          </w:p>
        </w:tc>
      </w:tr>
      <w:tr w14:paraId="1EFDB212">
        <w:tblPrEx>
          <w:tblCellMar>
            <w:top w:w="0" w:type="dxa"/>
            <w:left w:w="0" w:type="dxa"/>
            <w:bottom w:w="0" w:type="dxa"/>
            <w:right w:w="0" w:type="dxa"/>
          </w:tblCellMar>
        </w:tblPrEx>
        <w:trPr>
          <w:wBefore w:w="0" w:type="auto"/>
          <w:tblCellSpacing w:w="0" w:type="dxa"/>
        </w:trPr>
        <w:tc>
          <w:tcPr>
            <w:tcW w:w="0" w:type="auto"/>
            <w:noWrap w:val="0"/>
            <w:vAlign w:val="center"/>
          </w:tcPr>
          <w:p w14:paraId="4F136509">
            <w:r>
              <w:rPr>
                <w:rStyle w:val="10"/>
                <w:rFonts w:hint="eastAsia"/>
              </w:rPr>
              <w:t>农药名称：</w:t>
            </w:r>
            <w:r>
              <w:rPr>
                <w:rFonts w:hint="eastAsia"/>
              </w:rPr>
              <w:t>二甲戊灵</w:t>
            </w:r>
          </w:p>
        </w:tc>
      </w:tr>
      <w:tr w14:paraId="51842B31">
        <w:tblPrEx>
          <w:tblCellMar>
            <w:top w:w="0" w:type="dxa"/>
            <w:left w:w="0" w:type="dxa"/>
            <w:bottom w:w="0" w:type="dxa"/>
            <w:right w:w="0" w:type="dxa"/>
          </w:tblCellMar>
        </w:tblPrEx>
        <w:trPr>
          <w:wBefore w:w="0" w:type="auto"/>
          <w:tblCellSpacing w:w="0" w:type="dxa"/>
        </w:trPr>
        <w:tc>
          <w:tcPr>
            <w:tcW w:w="0" w:type="auto"/>
            <w:noWrap w:val="0"/>
            <w:vAlign w:val="center"/>
          </w:tcPr>
          <w:p w14:paraId="19A7981A">
            <w:r>
              <w:rPr>
                <w:rStyle w:val="10"/>
                <w:rFonts w:hint="eastAsia"/>
              </w:rPr>
              <w:t>剂型：</w:t>
            </w:r>
            <w:r>
              <w:rPr>
                <w:rFonts w:hint="eastAsia"/>
              </w:rPr>
              <w:t>乳油</w:t>
            </w:r>
          </w:p>
        </w:tc>
      </w:tr>
      <w:tr w14:paraId="08641E15">
        <w:tblPrEx>
          <w:tblCellMar>
            <w:top w:w="0" w:type="dxa"/>
            <w:left w:w="0" w:type="dxa"/>
            <w:bottom w:w="0" w:type="dxa"/>
            <w:right w:w="0" w:type="dxa"/>
          </w:tblCellMar>
        </w:tblPrEx>
        <w:trPr>
          <w:wBefore w:w="0" w:type="auto"/>
          <w:tblCellSpacing w:w="0" w:type="dxa"/>
        </w:trPr>
        <w:tc>
          <w:tcPr>
            <w:tcW w:w="0" w:type="auto"/>
            <w:noWrap w:val="0"/>
            <w:vAlign w:val="center"/>
          </w:tcPr>
          <w:p w14:paraId="6B3730CF">
            <w:r>
              <w:rPr>
                <w:rStyle w:val="10"/>
                <w:rFonts w:hint="eastAsia"/>
              </w:rPr>
              <w:t>毒性及其标识：</w:t>
            </w:r>
            <w:r>
              <w:rPr>
                <w:rFonts w:hint="eastAsia"/>
              </w:rPr>
              <w:t xml:space="preserve"> </w:t>
            </w:r>
            <w:r>
              <w:rPr>
                <w:lang/>
              </w:rPr>
              <w:drawing>
                <wp:inline distT="0" distB="0" distL="114300" distR="114300">
                  <wp:extent cx="476250" cy="323850"/>
                  <wp:effectExtent l="0" t="0" r="0" b="0"/>
                  <wp:docPr id="468" name="图片 46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CDAFF0C">
        <w:tblPrEx>
          <w:tblCellMar>
            <w:top w:w="0" w:type="dxa"/>
            <w:left w:w="0" w:type="dxa"/>
            <w:bottom w:w="0" w:type="dxa"/>
            <w:right w:w="0" w:type="dxa"/>
          </w:tblCellMar>
        </w:tblPrEx>
        <w:trPr>
          <w:wBefore w:w="0" w:type="auto"/>
          <w:tblCellSpacing w:w="0" w:type="dxa"/>
        </w:trPr>
        <w:tc>
          <w:tcPr>
            <w:tcW w:w="0" w:type="auto"/>
            <w:noWrap w:val="0"/>
            <w:vAlign w:val="center"/>
          </w:tcPr>
          <w:p w14:paraId="082AC9D0">
            <w:r>
              <w:rPr>
                <w:rStyle w:val="10"/>
                <w:rFonts w:hint="eastAsia"/>
              </w:rPr>
              <w:t>总有效成分含量：</w:t>
            </w:r>
            <w:r>
              <w:rPr>
                <w:rFonts w:hint="eastAsia"/>
              </w:rPr>
              <w:t>330克/升</w:t>
            </w:r>
          </w:p>
        </w:tc>
      </w:tr>
      <w:tr w14:paraId="355050A4">
        <w:tblPrEx>
          <w:tblCellMar>
            <w:top w:w="0" w:type="dxa"/>
            <w:left w:w="0" w:type="dxa"/>
            <w:bottom w:w="0" w:type="dxa"/>
            <w:right w:w="0" w:type="dxa"/>
          </w:tblCellMar>
        </w:tblPrEx>
        <w:trPr>
          <w:wBefore w:w="0" w:type="auto"/>
          <w:tblCellSpacing w:w="0" w:type="dxa"/>
        </w:trPr>
        <w:tc>
          <w:tcPr>
            <w:tcW w:w="0" w:type="auto"/>
            <w:noWrap w:val="0"/>
            <w:vAlign w:val="center"/>
          </w:tcPr>
          <w:p w14:paraId="7AFD2F55">
            <w:r>
              <w:rPr>
                <w:rFonts w:hint="eastAsia"/>
              </w:rPr>
              <w:t xml:space="preserve">有效成分及其含量： </w:t>
            </w:r>
          </w:p>
          <w:p w14:paraId="151017F1">
            <w:r>
              <w:rPr>
                <w:rFonts w:hint="eastAsia"/>
              </w:rPr>
              <w:t xml:space="preserve">    二甲戊灵330克/升    </w:t>
            </w:r>
          </w:p>
        </w:tc>
      </w:tr>
      <w:tr w14:paraId="74CC307C">
        <w:tblPrEx>
          <w:tblCellMar>
            <w:top w:w="0" w:type="dxa"/>
            <w:left w:w="0" w:type="dxa"/>
            <w:bottom w:w="0" w:type="dxa"/>
            <w:right w:w="0" w:type="dxa"/>
          </w:tblCellMar>
        </w:tblPrEx>
        <w:trPr>
          <w:wBefore w:w="0" w:type="auto"/>
          <w:tblCellSpacing w:w="0" w:type="dxa"/>
        </w:trPr>
        <w:tc>
          <w:tcPr>
            <w:tcW w:w="0" w:type="auto"/>
            <w:noWrap w:val="0"/>
            <w:vAlign w:val="center"/>
          </w:tcPr>
          <w:p w14:paraId="5E5F9C8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9E09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1DA51D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9EC370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6508D6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92C984">
                  <w:r>
                    <w:rPr>
                      <w:rStyle w:val="11"/>
                      <w:rFonts w:hint="eastAsia"/>
                    </w:rPr>
                    <w:t>施用方式</w:t>
                  </w:r>
                </w:p>
              </w:tc>
            </w:tr>
            <w:tr w14:paraId="708437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C3B514F">
                  <w:r>
                    <w:rPr>
                      <w:rStyle w:val="11"/>
                      <w:rFonts w:hint="eastAsia"/>
                    </w:rPr>
                    <w:t>水稻旱育秧田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82EC93">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9A0143">
                  <w:r>
                    <w:rPr>
                      <w:rStyle w:val="11"/>
                      <w:rFonts w:hint="eastAsia"/>
                    </w:rPr>
                    <w:t>160-200毫升/亩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780361">
                  <w:r>
                    <w:rPr>
                      <w:rStyle w:val="11"/>
                      <w:rFonts w:hint="eastAsia"/>
                    </w:rPr>
                    <w:t>土壤喷雾</w:t>
                  </w:r>
                </w:p>
              </w:tc>
            </w:tr>
          </w:tbl>
          <w:p w14:paraId="7C5E2803">
            <w:pPr>
              <w:rPr>
                <w:rFonts w:ascii="Times New Roman" w:hAnsi="Times New Roman" w:cs="Times New Roman"/>
                <w:sz w:val="20"/>
                <w:szCs w:val="20"/>
              </w:rPr>
            </w:pPr>
          </w:p>
        </w:tc>
      </w:tr>
      <w:tr w14:paraId="2B068088">
        <w:tblPrEx>
          <w:tblCellMar>
            <w:top w:w="0" w:type="dxa"/>
            <w:left w:w="0" w:type="dxa"/>
            <w:bottom w:w="0" w:type="dxa"/>
            <w:right w:w="0" w:type="dxa"/>
          </w:tblCellMar>
        </w:tblPrEx>
        <w:trPr>
          <w:wBefore w:w="0" w:type="auto"/>
          <w:tblCellSpacing w:w="0" w:type="dxa"/>
        </w:trPr>
        <w:tc>
          <w:tcPr>
            <w:tcW w:w="0" w:type="auto"/>
            <w:noWrap w:val="0"/>
            <w:vAlign w:val="center"/>
          </w:tcPr>
          <w:p w14:paraId="3DC2CBC6">
            <w:r>
              <w:rPr>
                <w:rStyle w:val="10"/>
                <w:rFonts w:hint="eastAsia"/>
              </w:rPr>
              <w:t>使用技术要求:</w:t>
            </w:r>
            <w:r>
              <w:rPr>
                <w:rFonts w:hint="eastAsia"/>
              </w:rPr>
              <w:br w:type="textWrapping"/>
            </w:r>
            <w:r>
              <w:rPr>
                <w:rStyle w:val="11"/>
                <w:rFonts w:hint="eastAsia"/>
              </w:rPr>
              <w:t>1. 在水稻旱育秧田水稻播后苗前，以推荐剂量兑水均匀土壤喷雾施药一次，每亩用水40～50公斤，土壤均匀喷雾。药后一周内保持土壤湿润，无积水。如遇大雨，应及时排水，以免积水造成药害。每季最多使用一次。尽量选择无风的天气施药，避免飘移药害。</w:t>
            </w:r>
          </w:p>
        </w:tc>
      </w:tr>
      <w:tr w14:paraId="6B7FA414">
        <w:tblPrEx>
          <w:tblCellMar>
            <w:top w:w="0" w:type="dxa"/>
            <w:left w:w="0" w:type="dxa"/>
            <w:bottom w:w="0" w:type="dxa"/>
            <w:right w:w="0" w:type="dxa"/>
          </w:tblCellMar>
        </w:tblPrEx>
        <w:trPr>
          <w:wBefore w:w="0" w:type="auto"/>
          <w:tblCellSpacing w:w="0" w:type="dxa"/>
        </w:trPr>
        <w:tc>
          <w:tcPr>
            <w:tcW w:w="0" w:type="auto"/>
            <w:noWrap w:val="0"/>
            <w:vAlign w:val="center"/>
          </w:tcPr>
          <w:p w14:paraId="22F7A20A">
            <w:r>
              <w:rPr>
                <w:rStyle w:val="10"/>
                <w:rFonts w:hint="eastAsia"/>
              </w:rPr>
              <w:t>产品性能:</w:t>
            </w:r>
            <w:r>
              <w:rPr>
                <w:rFonts w:hint="eastAsia"/>
              </w:rPr>
              <w:br w:type="textWrapping"/>
            </w:r>
            <w:r>
              <w:rPr>
                <w:rStyle w:val="11"/>
                <w:rFonts w:hint="eastAsia"/>
              </w:rPr>
              <w:t>本品系选择性内吸型除草剂，主要抑制杂草分生组织细胞分裂，在杂草种子萌发过程中幼芽、茎和根吸收药剂后，抑制幼芽和次生根的形成和生长。</w:t>
            </w:r>
          </w:p>
        </w:tc>
      </w:tr>
      <w:tr w14:paraId="24181991">
        <w:tblPrEx>
          <w:tblCellMar>
            <w:top w:w="0" w:type="dxa"/>
            <w:left w:w="0" w:type="dxa"/>
            <w:bottom w:w="0" w:type="dxa"/>
            <w:right w:w="0" w:type="dxa"/>
          </w:tblCellMar>
        </w:tblPrEx>
        <w:trPr>
          <w:wBefore w:w="0" w:type="auto"/>
          <w:tblCellSpacing w:w="0" w:type="dxa"/>
        </w:trPr>
        <w:tc>
          <w:tcPr>
            <w:tcW w:w="0" w:type="auto"/>
            <w:noWrap w:val="0"/>
            <w:vAlign w:val="center"/>
          </w:tcPr>
          <w:p w14:paraId="56F2D3F0">
            <w:r>
              <w:rPr>
                <w:rStyle w:val="10"/>
                <w:rFonts w:hint="eastAsia"/>
              </w:rPr>
              <w:t>注意事项：</w:t>
            </w:r>
            <w:r>
              <w:rPr>
                <w:rFonts w:hint="eastAsia"/>
              </w:rPr>
              <w:br w:type="textWrapping"/>
            </w:r>
            <w:r>
              <w:rPr>
                <w:rStyle w:val="11"/>
                <w:rFonts w:hint="eastAsia"/>
              </w:rPr>
              <w:t>1. 严格按照施药量、施药方法等进行施药，不要随意增加施药量和施药次数。2.禁止在下雨、高温、刮风、沿海地区遇到有海雾时施药，每次施药时间最好控制在4h以内 3. 本品对眼睛有刺激性，使用时避免接触眼睛，穿戴长衣、长裤、帽子、口罩、手套等防护措施。避免吸入药液。施药期间不可吃东西、饮水、吸烟等。施药后应及时用清水和肥皂水彻底清洗脸部及其他裸露部位。 4.对鱼等水生生物有毒，水产养殖区、荷塘等水体附近禁用，禁止在河塘等水体中清洗施药用具。5.赤眼蜂等天敌昆虫放飞区禁用。鸟类保护区附近禁用。施用时若周围有桑园，最外围桑树设置为隔离带，不能用于饲养家蚕 6.用过的容器应妥善处理，不可做他用，也不可随意丢弃。 7.孕妇及哺乳期妇女禁止接触本品。</w:t>
            </w:r>
          </w:p>
        </w:tc>
      </w:tr>
      <w:tr w14:paraId="22E62FF3">
        <w:tblPrEx>
          <w:tblCellMar>
            <w:top w:w="0" w:type="dxa"/>
            <w:left w:w="0" w:type="dxa"/>
            <w:bottom w:w="0" w:type="dxa"/>
            <w:right w:w="0" w:type="dxa"/>
          </w:tblCellMar>
        </w:tblPrEx>
        <w:trPr>
          <w:wBefore w:w="0" w:type="auto"/>
          <w:tblCellSpacing w:w="0" w:type="dxa"/>
        </w:trPr>
        <w:tc>
          <w:tcPr>
            <w:tcW w:w="0" w:type="auto"/>
            <w:noWrap w:val="0"/>
            <w:vAlign w:val="center"/>
          </w:tcPr>
          <w:p w14:paraId="1637768C">
            <w:r>
              <w:rPr>
                <w:rStyle w:val="10"/>
                <w:rFonts w:hint="eastAsia"/>
              </w:rPr>
              <w:t>中毒急救措施：</w:t>
            </w:r>
            <w:r>
              <w:rPr>
                <w:rFonts w:hint="eastAsia"/>
              </w:rPr>
              <w:br w:type="textWrapping"/>
            </w:r>
            <w:r>
              <w:rPr>
                <w:rStyle w:val="11"/>
                <w:rFonts w:hint="eastAsia"/>
              </w:rPr>
              <w:t>1.皮肤接触：除去被溅及衣物，并立刻用肥皂和大量清水冲洗皮肤表面，如有刺激发生，携此标签去医院就诊。 2.眼睛接触：用清水冲洗眼睛至少15分钟，如有刺激发生，携此标签去医院就诊。 3.误吸：去污染，将吸入者转移至新鲜空气处。如呼吸困难，施行人工呼吸。 4.误服：勿引吐，携此标签送医院就诊。 5.由于有引起化学肺炎及肺水肿的危险，引吐应在专业医师的监督下进行。 6.医生使用：对症治疗（去除污物，注意生命体征），无特效解毒剂。</w:t>
            </w:r>
          </w:p>
        </w:tc>
      </w:tr>
      <w:tr w14:paraId="089DAEDC">
        <w:tblPrEx>
          <w:tblCellMar>
            <w:top w:w="0" w:type="dxa"/>
            <w:left w:w="0" w:type="dxa"/>
            <w:bottom w:w="0" w:type="dxa"/>
            <w:right w:w="0" w:type="dxa"/>
          </w:tblCellMar>
        </w:tblPrEx>
        <w:trPr>
          <w:wBefore w:w="0" w:type="auto"/>
          <w:tblCellSpacing w:w="0" w:type="dxa"/>
        </w:trPr>
        <w:tc>
          <w:tcPr>
            <w:tcW w:w="0" w:type="auto"/>
            <w:noWrap w:val="0"/>
            <w:vAlign w:val="center"/>
          </w:tcPr>
          <w:p w14:paraId="56A15D25">
            <w:r>
              <w:rPr>
                <w:rStyle w:val="10"/>
                <w:rFonts w:hint="eastAsia"/>
              </w:rPr>
              <w:t>储存和运输方法：</w:t>
            </w:r>
            <w:r>
              <w:rPr>
                <w:rFonts w:hint="eastAsia"/>
              </w:rPr>
              <w:br w:type="textWrapping"/>
            </w:r>
            <w:r>
              <w:rPr>
                <w:rStyle w:val="11"/>
                <w:rFonts w:hint="eastAsia"/>
              </w:rPr>
              <w:t>本品为易燃液体，贮存时远离火源和热源，应贮存在通风、干燥的库房内。贮运时，严防潮湿和日晒。不置于儿童、无关人员触及不到之处，并加锁。勿与食品、饮料、饲料、粮食等同贮同运。</w:t>
            </w:r>
          </w:p>
        </w:tc>
      </w:tr>
      <w:tr w14:paraId="7857FB82">
        <w:tblPrEx>
          <w:tblCellMar>
            <w:top w:w="0" w:type="dxa"/>
            <w:left w:w="0" w:type="dxa"/>
            <w:bottom w:w="0" w:type="dxa"/>
            <w:right w:w="0" w:type="dxa"/>
          </w:tblCellMar>
        </w:tblPrEx>
        <w:trPr>
          <w:wBefore w:w="0" w:type="auto"/>
          <w:tblCellSpacing w:w="0" w:type="dxa"/>
        </w:trPr>
        <w:tc>
          <w:tcPr>
            <w:tcW w:w="0" w:type="auto"/>
            <w:noWrap w:val="0"/>
            <w:vAlign w:val="center"/>
          </w:tcPr>
          <w:p w14:paraId="02604892">
            <w:r>
              <w:rPr>
                <w:rStyle w:val="10"/>
                <w:rFonts w:hint="eastAsia"/>
              </w:rPr>
              <w:t>质量保证期：</w:t>
            </w:r>
            <w:r>
              <w:rPr>
                <w:rStyle w:val="11"/>
                <w:rFonts w:hint="eastAsia"/>
              </w:rPr>
              <w:t>2年</w:t>
            </w:r>
          </w:p>
        </w:tc>
      </w:tr>
      <w:tr w14:paraId="70D99151">
        <w:tblPrEx>
          <w:tblCellMar>
            <w:top w:w="0" w:type="dxa"/>
            <w:left w:w="0" w:type="dxa"/>
            <w:bottom w:w="0" w:type="dxa"/>
            <w:right w:w="0" w:type="dxa"/>
          </w:tblCellMar>
        </w:tblPrEx>
        <w:trPr>
          <w:wBefore w:w="0" w:type="auto"/>
          <w:tblCellSpacing w:w="0" w:type="dxa"/>
        </w:trPr>
        <w:tc>
          <w:tcPr>
            <w:tcW w:w="0" w:type="auto"/>
            <w:noWrap w:val="0"/>
            <w:vAlign w:val="center"/>
          </w:tcPr>
          <w:p w14:paraId="42804E64">
            <w:r>
              <w:rPr>
                <w:rStyle w:val="10"/>
                <w:rFonts w:hint="eastAsia"/>
              </w:rPr>
              <w:t>备注：</w:t>
            </w:r>
          </w:p>
        </w:tc>
      </w:tr>
    </w:tbl>
    <w:p w14:paraId="0EDC424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66160D8">
        <w:tblPrEx>
          <w:tblCellMar>
            <w:top w:w="0" w:type="dxa"/>
            <w:left w:w="0" w:type="dxa"/>
            <w:bottom w:w="0" w:type="dxa"/>
            <w:right w:w="0" w:type="dxa"/>
          </w:tblCellMar>
        </w:tblPrEx>
        <w:trPr>
          <w:wBefore w:w="0" w:type="auto"/>
          <w:tblCellSpacing w:w="0" w:type="dxa"/>
        </w:trPr>
        <w:tc>
          <w:tcPr>
            <w:tcW w:w="0" w:type="auto"/>
            <w:noWrap w:val="0"/>
            <w:vAlign w:val="center"/>
          </w:tcPr>
          <w:p w14:paraId="02641C3D">
            <w:r>
              <w:rPr>
                <w:rStyle w:val="10"/>
                <w:rFonts w:hint="eastAsia"/>
              </w:rPr>
              <w:t>登记证号：</w:t>
            </w:r>
            <w:r>
              <w:rPr>
                <w:rFonts w:hint="eastAsia"/>
              </w:rPr>
              <w:t>PD20211976</w:t>
            </w:r>
          </w:p>
        </w:tc>
      </w:tr>
      <w:tr w14:paraId="12DA3E61">
        <w:tblPrEx>
          <w:tblCellMar>
            <w:top w:w="0" w:type="dxa"/>
            <w:left w:w="0" w:type="dxa"/>
            <w:bottom w:w="0" w:type="dxa"/>
            <w:right w:w="0" w:type="dxa"/>
          </w:tblCellMar>
        </w:tblPrEx>
        <w:trPr>
          <w:wBefore w:w="0" w:type="auto"/>
          <w:tblCellSpacing w:w="0" w:type="dxa"/>
        </w:trPr>
        <w:tc>
          <w:tcPr>
            <w:tcW w:w="0" w:type="auto"/>
            <w:noWrap w:val="0"/>
            <w:vAlign w:val="center"/>
          </w:tcPr>
          <w:p w14:paraId="2D9553E7">
            <w:r>
              <w:rPr>
                <w:rStyle w:val="10"/>
                <w:rFonts w:hint="eastAsia"/>
              </w:rPr>
              <w:t>登记证持有人：</w:t>
            </w:r>
            <w:r>
              <w:rPr>
                <w:rFonts w:hint="eastAsia"/>
              </w:rPr>
              <w:t>烟台欧贝斯生物化学有限公司</w:t>
            </w:r>
          </w:p>
        </w:tc>
      </w:tr>
      <w:tr w14:paraId="25FFE22E">
        <w:tblPrEx>
          <w:tblCellMar>
            <w:top w:w="0" w:type="dxa"/>
            <w:left w:w="0" w:type="dxa"/>
            <w:bottom w:w="0" w:type="dxa"/>
            <w:right w:w="0" w:type="dxa"/>
          </w:tblCellMar>
        </w:tblPrEx>
        <w:trPr>
          <w:wBefore w:w="0" w:type="auto"/>
          <w:tblCellSpacing w:w="0" w:type="dxa"/>
        </w:trPr>
        <w:tc>
          <w:tcPr>
            <w:tcW w:w="0" w:type="auto"/>
            <w:noWrap w:val="0"/>
            <w:vAlign w:val="center"/>
          </w:tcPr>
          <w:p w14:paraId="45582577">
            <w:r>
              <w:rPr>
                <w:rStyle w:val="10"/>
                <w:rFonts w:hint="eastAsia"/>
              </w:rPr>
              <w:t>农药名称：</w:t>
            </w:r>
            <w:r>
              <w:rPr>
                <w:rFonts w:hint="eastAsia"/>
              </w:rPr>
              <w:t>多粘类芽孢杆菌</w:t>
            </w:r>
          </w:p>
        </w:tc>
      </w:tr>
      <w:tr w14:paraId="4F0063D6">
        <w:tblPrEx>
          <w:tblCellMar>
            <w:top w:w="0" w:type="dxa"/>
            <w:left w:w="0" w:type="dxa"/>
            <w:bottom w:w="0" w:type="dxa"/>
            <w:right w:w="0" w:type="dxa"/>
          </w:tblCellMar>
        </w:tblPrEx>
        <w:trPr>
          <w:wBefore w:w="0" w:type="auto"/>
          <w:tblCellSpacing w:w="0" w:type="dxa"/>
        </w:trPr>
        <w:tc>
          <w:tcPr>
            <w:tcW w:w="0" w:type="auto"/>
            <w:noWrap w:val="0"/>
            <w:vAlign w:val="center"/>
          </w:tcPr>
          <w:p w14:paraId="2DFEE231">
            <w:r>
              <w:rPr>
                <w:rStyle w:val="10"/>
                <w:rFonts w:hint="eastAsia"/>
              </w:rPr>
              <w:t>剂型：</w:t>
            </w:r>
            <w:r>
              <w:rPr>
                <w:rFonts w:hint="eastAsia"/>
              </w:rPr>
              <w:t>可湿性粉剂</w:t>
            </w:r>
          </w:p>
        </w:tc>
      </w:tr>
      <w:tr w14:paraId="5FE7147D">
        <w:tblPrEx>
          <w:tblCellMar>
            <w:top w:w="0" w:type="dxa"/>
            <w:left w:w="0" w:type="dxa"/>
            <w:bottom w:w="0" w:type="dxa"/>
            <w:right w:w="0" w:type="dxa"/>
          </w:tblCellMar>
        </w:tblPrEx>
        <w:trPr>
          <w:wBefore w:w="0" w:type="auto"/>
          <w:tblCellSpacing w:w="0" w:type="dxa"/>
        </w:trPr>
        <w:tc>
          <w:tcPr>
            <w:tcW w:w="0" w:type="auto"/>
            <w:noWrap w:val="0"/>
            <w:vAlign w:val="center"/>
          </w:tcPr>
          <w:p w14:paraId="033CB6B2">
            <w:r>
              <w:rPr>
                <w:rStyle w:val="10"/>
                <w:rFonts w:hint="eastAsia"/>
              </w:rPr>
              <w:t>毒性及其标识：</w:t>
            </w:r>
            <w:r>
              <w:rPr>
                <w:rFonts w:hint="eastAsia"/>
              </w:rPr>
              <w:t xml:space="preserve"> </w:t>
            </w:r>
            <w:r>
              <w:rPr>
                <w:lang/>
              </w:rPr>
              <w:drawing>
                <wp:inline distT="0" distB="0" distL="114300" distR="114300">
                  <wp:extent cx="476250" cy="323850"/>
                  <wp:effectExtent l="0" t="0" r="0" b="0"/>
                  <wp:docPr id="469" name="图片 46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2F9CC09">
        <w:tblPrEx>
          <w:tblCellMar>
            <w:top w:w="0" w:type="dxa"/>
            <w:left w:w="0" w:type="dxa"/>
            <w:bottom w:w="0" w:type="dxa"/>
            <w:right w:w="0" w:type="dxa"/>
          </w:tblCellMar>
        </w:tblPrEx>
        <w:trPr>
          <w:wBefore w:w="0" w:type="auto"/>
          <w:tblCellSpacing w:w="0" w:type="dxa"/>
        </w:trPr>
        <w:tc>
          <w:tcPr>
            <w:tcW w:w="0" w:type="auto"/>
            <w:noWrap w:val="0"/>
            <w:vAlign w:val="center"/>
          </w:tcPr>
          <w:p w14:paraId="04B026D6">
            <w:r>
              <w:rPr>
                <w:rStyle w:val="10"/>
                <w:rFonts w:hint="eastAsia"/>
              </w:rPr>
              <w:t>总有效成分含量：</w:t>
            </w:r>
            <w:r>
              <w:rPr>
                <w:rFonts w:hint="eastAsia"/>
              </w:rPr>
              <w:t>10亿CFU/克</w:t>
            </w:r>
          </w:p>
        </w:tc>
      </w:tr>
      <w:tr w14:paraId="4EA46175">
        <w:tblPrEx>
          <w:tblCellMar>
            <w:top w:w="0" w:type="dxa"/>
            <w:left w:w="0" w:type="dxa"/>
            <w:bottom w:w="0" w:type="dxa"/>
            <w:right w:w="0" w:type="dxa"/>
          </w:tblCellMar>
        </w:tblPrEx>
        <w:trPr>
          <w:wBefore w:w="0" w:type="auto"/>
          <w:tblCellSpacing w:w="0" w:type="dxa"/>
        </w:trPr>
        <w:tc>
          <w:tcPr>
            <w:tcW w:w="0" w:type="auto"/>
            <w:noWrap w:val="0"/>
            <w:vAlign w:val="center"/>
          </w:tcPr>
          <w:p w14:paraId="49931E7A">
            <w:r>
              <w:rPr>
                <w:rFonts w:hint="eastAsia"/>
              </w:rPr>
              <w:t xml:space="preserve">有效成分及其含量： </w:t>
            </w:r>
          </w:p>
          <w:p w14:paraId="56371288">
            <w:r>
              <w:rPr>
                <w:rFonts w:hint="eastAsia"/>
              </w:rPr>
              <w:t xml:space="preserve">    多粘类芽孢杆菌10亿CFU/克    </w:t>
            </w:r>
          </w:p>
        </w:tc>
      </w:tr>
      <w:tr w14:paraId="5D980A14">
        <w:tblPrEx>
          <w:tblCellMar>
            <w:top w:w="0" w:type="dxa"/>
            <w:left w:w="0" w:type="dxa"/>
            <w:bottom w:w="0" w:type="dxa"/>
            <w:right w:w="0" w:type="dxa"/>
          </w:tblCellMar>
        </w:tblPrEx>
        <w:trPr>
          <w:wBefore w:w="0" w:type="auto"/>
          <w:tblCellSpacing w:w="0" w:type="dxa"/>
        </w:trPr>
        <w:tc>
          <w:tcPr>
            <w:tcW w:w="0" w:type="auto"/>
            <w:noWrap w:val="0"/>
            <w:vAlign w:val="center"/>
          </w:tcPr>
          <w:p w14:paraId="113DC38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F7ED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BE0448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555429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39D022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957A06D">
                  <w:r>
                    <w:rPr>
                      <w:rStyle w:val="11"/>
                      <w:rFonts w:hint="eastAsia"/>
                    </w:rPr>
                    <w:t>施用方式</w:t>
                  </w:r>
                </w:p>
              </w:tc>
            </w:tr>
            <w:tr w14:paraId="1542C5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4004525">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71936D">
                  <w:r>
                    <w:rPr>
                      <w:rStyle w:val="11"/>
                      <w:rFonts w:hint="eastAsia"/>
                    </w:rPr>
                    <w:t>青枯病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CE2426">
                  <w:r>
                    <w:rPr>
                      <w:rStyle w:val="11"/>
                      <w:rFonts w:hint="eastAsia"/>
                    </w:rPr>
                    <w:t>1）600-800倍液 2）150-200克/亩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8F1537">
                  <w:r>
                    <w:rPr>
                      <w:rStyle w:val="11"/>
                      <w:rFonts w:hint="eastAsia"/>
                    </w:rPr>
                    <w:t>1）灌根 2）喷雾</w:t>
                  </w:r>
                </w:p>
              </w:tc>
            </w:tr>
          </w:tbl>
          <w:p w14:paraId="5CBCB8A4">
            <w:pPr>
              <w:rPr>
                <w:rFonts w:ascii="Times New Roman" w:hAnsi="Times New Roman" w:cs="Times New Roman"/>
                <w:sz w:val="20"/>
                <w:szCs w:val="20"/>
              </w:rPr>
            </w:pPr>
          </w:p>
        </w:tc>
      </w:tr>
      <w:tr w14:paraId="13063B69">
        <w:tblPrEx>
          <w:tblCellMar>
            <w:top w:w="0" w:type="dxa"/>
            <w:left w:w="0" w:type="dxa"/>
            <w:bottom w:w="0" w:type="dxa"/>
            <w:right w:w="0" w:type="dxa"/>
          </w:tblCellMar>
        </w:tblPrEx>
        <w:trPr>
          <w:wBefore w:w="0" w:type="auto"/>
          <w:tblCellSpacing w:w="0" w:type="dxa"/>
        </w:trPr>
        <w:tc>
          <w:tcPr>
            <w:tcW w:w="0" w:type="auto"/>
            <w:noWrap w:val="0"/>
            <w:vAlign w:val="center"/>
          </w:tcPr>
          <w:p w14:paraId="22DDCEEC">
            <w:r>
              <w:rPr>
                <w:rStyle w:val="10"/>
                <w:rFonts w:hint="eastAsia"/>
              </w:rPr>
              <w:t>使用技术要求:</w:t>
            </w:r>
            <w:r>
              <w:rPr>
                <w:rFonts w:hint="eastAsia"/>
              </w:rPr>
              <w:br w:type="textWrapping"/>
            </w:r>
            <w:r>
              <w:rPr>
                <w:rStyle w:val="11"/>
                <w:rFonts w:hint="eastAsia"/>
              </w:rPr>
              <w:t>1.于大田移栽定植当天灌根一次，间隔15-20天再灌根一次，发病初期或成株期喷雾喷雾施药1-2次，共施药3-4次，灌根施药液量100毫升/株，喷雾施药时每亩用水量50L左右。 2.在施药时应选择气流稳定的天气，不易在有风的条件下喷药。</w:t>
            </w:r>
          </w:p>
        </w:tc>
      </w:tr>
      <w:tr w14:paraId="357086EB">
        <w:tblPrEx>
          <w:tblCellMar>
            <w:top w:w="0" w:type="dxa"/>
            <w:left w:w="0" w:type="dxa"/>
            <w:bottom w:w="0" w:type="dxa"/>
            <w:right w:w="0" w:type="dxa"/>
          </w:tblCellMar>
        </w:tblPrEx>
        <w:trPr>
          <w:wBefore w:w="0" w:type="auto"/>
          <w:tblCellSpacing w:w="0" w:type="dxa"/>
        </w:trPr>
        <w:tc>
          <w:tcPr>
            <w:tcW w:w="0" w:type="auto"/>
            <w:noWrap w:val="0"/>
            <w:vAlign w:val="center"/>
          </w:tcPr>
          <w:p w14:paraId="625F1DA8">
            <w:r>
              <w:rPr>
                <w:rStyle w:val="10"/>
                <w:rFonts w:hint="eastAsia"/>
              </w:rPr>
              <w:t>产品性能:</w:t>
            </w:r>
            <w:r>
              <w:rPr>
                <w:rFonts w:hint="eastAsia"/>
              </w:rPr>
              <w:br w:type="textWrapping"/>
            </w:r>
            <w:r>
              <w:rPr>
                <w:rStyle w:val="11"/>
                <w:rFonts w:hint="eastAsia"/>
              </w:rPr>
              <w:t>本产品属微生物杀菌剂，通过有效成分多粘类芽孢杆菌产生的抗菌物质和位点竞争、诱导抗病性的作用方式，杀灭和控制病原菌，从而达到防治病害的目的。可用于防治烟草青枯病。</w:t>
            </w:r>
          </w:p>
        </w:tc>
      </w:tr>
      <w:tr w14:paraId="350A8FCE">
        <w:tblPrEx>
          <w:tblCellMar>
            <w:top w:w="0" w:type="dxa"/>
            <w:left w:w="0" w:type="dxa"/>
            <w:bottom w:w="0" w:type="dxa"/>
            <w:right w:w="0" w:type="dxa"/>
          </w:tblCellMar>
        </w:tblPrEx>
        <w:trPr>
          <w:wBefore w:w="0" w:type="auto"/>
          <w:tblCellSpacing w:w="0" w:type="dxa"/>
        </w:trPr>
        <w:tc>
          <w:tcPr>
            <w:tcW w:w="0" w:type="auto"/>
            <w:noWrap w:val="0"/>
            <w:vAlign w:val="center"/>
          </w:tcPr>
          <w:p w14:paraId="0921EA58">
            <w:r>
              <w:rPr>
                <w:rStyle w:val="10"/>
                <w:rFonts w:hint="eastAsia"/>
              </w:rPr>
              <w:t>注意事项：</w:t>
            </w:r>
            <w:r>
              <w:rPr>
                <w:rFonts w:hint="eastAsia"/>
              </w:rPr>
              <w:br w:type="textWrapping"/>
            </w:r>
            <w:r>
              <w:rPr>
                <w:rStyle w:val="11"/>
                <w:rFonts w:hint="eastAsia"/>
              </w:rPr>
              <w:t>1.使用本品应采取相应的安全防护措施，穿长袖上衣、长裤、靴子，戴防护手套、口罩等，避免皮肤接触及口鼻吸入。使用中不可吸烟、饮食，使用后及时用大量清水和肥皂洗手、脸等暴露部位皮肤并更换衣物。2.一旦稀释，应尽快用完，以免影响孢子活力。3.施药应选在傍晚或早晨，不宜在太阳爆晒下或雨前进行；若施药后24小时内遇大雨天气，天晴后应补用一次。4.土壤潮湿时施药，可适当减少稀释倍数（即提高药液的浓度），以确保药液能全部被植物根部土壤吸收。5.本品不宜与化学农药直接混用或同时使用，否则效果可能会有所下降。6.本品对家蚕有毒，蚕室和桑园附近禁用。远离水产养殖区施药，禁止在河塘等水体中清洗施药器具。7.用过的容器应妥善处理，不可做他用，也不可随意丢弃。8.禁止儿童、孕妇及哺乳期的妇女接触。过敏者禁用，使用中有任何不良反应请及时就医。</w:t>
            </w:r>
          </w:p>
        </w:tc>
      </w:tr>
      <w:tr w14:paraId="3632BC36">
        <w:tblPrEx>
          <w:tblCellMar>
            <w:top w:w="0" w:type="dxa"/>
            <w:left w:w="0" w:type="dxa"/>
            <w:bottom w:w="0" w:type="dxa"/>
            <w:right w:w="0" w:type="dxa"/>
          </w:tblCellMar>
        </w:tblPrEx>
        <w:trPr>
          <w:wBefore w:w="0" w:type="auto"/>
          <w:tblCellSpacing w:w="0" w:type="dxa"/>
        </w:trPr>
        <w:tc>
          <w:tcPr>
            <w:tcW w:w="0" w:type="auto"/>
            <w:noWrap w:val="0"/>
            <w:vAlign w:val="center"/>
          </w:tcPr>
          <w:p w14:paraId="333D3461">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立即用大量清水和肥皂冲洗。眼睛溅入：立即用流动清水冲洗不少于15分钟。误服：立即停止服用，用清水充分漱口后，立即携带农药标签到医院就诊。</w:t>
            </w:r>
          </w:p>
        </w:tc>
      </w:tr>
      <w:tr w14:paraId="61AE8C63">
        <w:tblPrEx>
          <w:tblCellMar>
            <w:top w:w="0" w:type="dxa"/>
            <w:left w:w="0" w:type="dxa"/>
            <w:bottom w:w="0" w:type="dxa"/>
            <w:right w:w="0" w:type="dxa"/>
          </w:tblCellMar>
        </w:tblPrEx>
        <w:trPr>
          <w:wBefore w:w="0" w:type="auto"/>
          <w:tblCellSpacing w:w="0" w:type="dxa"/>
        </w:trPr>
        <w:tc>
          <w:tcPr>
            <w:tcW w:w="0" w:type="auto"/>
            <w:noWrap w:val="0"/>
            <w:vAlign w:val="center"/>
          </w:tcPr>
          <w:p w14:paraId="458C613E">
            <w:r>
              <w:rPr>
                <w:rStyle w:val="10"/>
                <w:rFonts w:hint="eastAsia"/>
              </w:rPr>
              <w:t>储存和运输方法：</w:t>
            </w:r>
            <w:r>
              <w:rPr>
                <w:rFonts w:hint="eastAsia"/>
              </w:rPr>
              <w:br w:type="textWrapping"/>
            </w:r>
            <w:r>
              <w:rPr>
                <w:rStyle w:val="11"/>
                <w:rFonts w:hint="eastAsia"/>
              </w:rPr>
              <w:t>本品应贮存于干燥、阴凉、通风的库房中。贮运时，严防潮湿、日晒及35℃以上的高温。置于儿童、无关人员及动物接触不到的地方，并加锁保存。勿与食品、饮料、粮食、饲料等同贮同运。</w:t>
            </w:r>
          </w:p>
        </w:tc>
      </w:tr>
      <w:tr w14:paraId="42E33559">
        <w:tblPrEx>
          <w:tblCellMar>
            <w:top w:w="0" w:type="dxa"/>
            <w:left w:w="0" w:type="dxa"/>
            <w:bottom w:w="0" w:type="dxa"/>
            <w:right w:w="0" w:type="dxa"/>
          </w:tblCellMar>
        </w:tblPrEx>
        <w:trPr>
          <w:wBefore w:w="0" w:type="auto"/>
          <w:tblCellSpacing w:w="0" w:type="dxa"/>
        </w:trPr>
        <w:tc>
          <w:tcPr>
            <w:tcW w:w="0" w:type="auto"/>
            <w:noWrap w:val="0"/>
            <w:vAlign w:val="center"/>
          </w:tcPr>
          <w:p w14:paraId="54BD19D0">
            <w:r>
              <w:rPr>
                <w:rStyle w:val="10"/>
                <w:rFonts w:hint="eastAsia"/>
              </w:rPr>
              <w:t>质量保证期：</w:t>
            </w:r>
            <w:r>
              <w:rPr>
                <w:rStyle w:val="11"/>
                <w:rFonts w:hint="eastAsia"/>
              </w:rPr>
              <w:t>1年</w:t>
            </w:r>
          </w:p>
        </w:tc>
      </w:tr>
      <w:tr w14:paraId="4D27CE58">
        <w:tblPrEx>
          <w:tblCellMar>
            <w:top w:w="0" w:type="dxa"/>
            <w:left w:w="0" w:type="dxa"/>
            <w:bottom w:w="0" w:type="dxa"/>
            <w:right w:w="0" w:type="dxa"/>
          </w:tblCellMar>
        </w:tblPrEx>
        <w:trPr>
          <w:wBefore w:w="0" w:type="auto"/>
          <w:tblCellSpacing w:w="0" w:type="dxa"/>
        </w:trPr>
        <w:tc>
          <w:tcPr>
            <w:tcW w:w="0" w:type="auto"/>
            <w:noWrap w:val="0"/>
            <w:vAlign w:val="center"/>
          </w:tcPr>
          <w:p w14:paraId="4B3BB9B3">
            <w:r>
              <w:rPr>
                <w:rStyle w:val="10"/>
                <w:rFonts w:hint="eastAsia"/>
              </w:rPr>
              <w:t>备注：</w:t>
            </w:r>
          </w:p>
        </w:tc>
      </w:tr>
    </w:tbl>
    <w:p w14:paraId="50BA908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DA458A9">
        <w:tblPrEx>
          <w:tblCellMar>
            <w:top w:w="0" w:type="dxa"/>
            <w:left w:w="0" w:type="dxa"/>
            <w:bottom w:w="0" w:type="dxa"/>
            <w:right w:w="0" w:type="dxa"/>
          </w:tblCellMar>
        </w:tblPrEx>
        <w:trPr>
          <w:wBefore w:w="0" w:type="auto"/>
          <w:tblCellSpacing w:w="0" w:type="dxa"/>
        </w:trPr>
        <w:tc>
          <w:tcPr>
            <w:tcW w:w="0" w:type="auto"/>
            <w:noWrap w:val="0"/>
            <w:vAlign w:val="center"/>
          </w:tcPr>
          <w:p w14:paraId="4CA2DF1E">
            <w:r>
              <w:rPr>
                <w:rStyle w:val="10"/>
                <w:rFonts w:hint="eastAsia"/>
              </w:rPr>
              <w:t>登记证号：</w:t>
            </w:r>
            <w:r>
              <w:rPr>
                <w:rFonts w:hint="eastAsia"/>
              </w:rPr>
              <w:t>PD20212223</w:t>
            </w:r>
          </w:p>
        </w:tc>
      </w:tr>
      <w:tr w14:paraId="7F758228">
        <w:tblPrEx>
          <w:tblCellMar>
            <w:top w:w="0" w:type="dxa"/>
            <w:left w:w="0" w:type="dxa"/>
            <w:bottom w:w="0" w:type="dxa"/>
            <w:right w:w="0" w:type="dxa"/>
          </w:tblCellMar>
        </w:tblPrEx>
        <w:trPr>
          <w:wBefore w:w="0" w:type="auto"/>
          <w:tblCellSpacing w:w="0" w:type="dxa"/>
        </w:trPr>
        <w:tc>
          <w:tcPr>
            <w:tcW w:w="0" w:type="auto"/>
            <w:noWrap w:val="0"/>
            <w:vAlign w:val="center"/>
          </w:tcPr>
          <w:p w14:paraId="52E2F892">
            <w:r>
              <w:rPr>
                <w:rStyle w:val="10"/>
                <w:rFonts w:hint="eastAsia"/>
              </w:rPr>
              <w:t>登记证持有人：</w:t>
            </w:r>
            <w:r>
              <w:rPr>
                <w:rFonts w:hint="eastAsia"/>
              </w:rPr>
              <w:t>侨昌现代农业有限公司</w:t>
            </w:r>
          </w:p>
        </w:tc>
      </w:tr>
      <w:tr w14:paraId="6BE4C573">
        <w:tblPrEx>
          <w:tblCellMar>
            <w:top w:w="0" w:type="dxa"/>
            <w:left w:w="0" w:type="dxa"/>
            <w:bottom w:w="0" w:type="dxa"/>
            <w:right w:w="0" w:type="dxa"/>
          </w:tblCellMar>
        </w:tblPrEx>
        <w:trPr>
          <w:wBefore w:w="0" w:type="auto"/>
          <w:tblCellSpacing w:w="0" w:type="dxa"/>
        </w:trPr>
        <w:tc>
          <w:tcPr>
            <w:tcW w:w="0" w:type="auto"/>
            <w:noWrap w:val="0"/>
            <w:vAlign w:val="center"/>
          </w:tcPr>
          <w:p w14:paraId="75FD49F1">
            <w:r>
              <w:rPr>
                <w:rStyle w:val="10"/>
                <w:rFonts w:hint="eastAsia"/>
              </w:rPr>
              <w:t>农药名称：</w:t>
            </w:r>
            <w:r>
              <w:rPr>
                <w:rFonts w:hint="eastAsia"/>
              </w:rPr>
              <w:t>草铵·草甘膦</w:t>
            </w:r>
          </w:p>
        </w:tc>
      </w:tr>
      <w:tr w14:paraId="1BC344EB">
        <w:tblPrEx>
          <w:tblCellMar>
            <w:top w:w="0" w:type="dxa"/>
            <w:left w:w="0" w:type="dxa"/>
            <w:bottom w:w="0" w:type="dxa"/>
            <w:right w:w="0" w:type="dxa"/>
          </w:tblCellMar>
        </w:tblPrEx>
        <w:trPr>
          <w:wBefore w:w="0" w:type="auto"/>
          <w:tblCellSpacing w:w="0" w:type="dxa"/>
        </w:trPr>
        <w:tc>
          <w:tcPr>
            <w:tcW w:w="0" w:type="auto"/>
            <w:noWrap w:val="0"/>
            <w:vAlign w:val="center"/>
          </w:tcPr>
          <w:p w14:paraId="1DA5F773">
            <w:r>
              <w:rPr>
                <w:rStyle w:val="10"/>
                <w:rFonts w:hint="eastAsia"/>
              </w:rPr>
              <w:t>剂型：</w:t>
            </w:r>
            <w:r>
              <w:rPr>
                <w:rFonts w:hint="eastAsia"/>
              </w:rPr>
              <w:t>可溶液剂</w:t>
            </w:r>
          </w:p>
        </w:tc>
      </w:tr>
      <w:tr w14:paraId="09177ECF">
        <w:tblPrEx>
          <w:tblCellMar>
            <w:top w:w="0" w:type="dxa"/>
            <w:left w:w="0" w:type="dxa"/>
            <w:bottom w:w="0" w:type="dxa"/>
            <w:right w:w="0" w:type="dxa"/>
          </w:tblCellMar>
        </w:tblPrEx>
        <w:trPr>
          <w:wBefore w:w="0" w:type="auto"/>
          <w:tblCellSpacing w:w="0" w:type="dxa"/>
        </w:trPr>
        <w:tc>
          <w:tcPr>
            <w:tcW w:w="0" w:type="auto"/>
            <w:noWrap w:val="0"/>
            <w:vAlign w:val="center"/>
          </w:tcPr>
          <w:p w14:paraId="5D31E708">
            <w:r>
              <w:rPr>
                <w:rStyle w:val="10"/>
                <w:rFonts w:hint="eastAsia"/>
              </w:rPr>
              <w:t>毒性及其标识：</w:t>
            </w:r>
            <w:r>
              <w:rPr>
                <w:rFonts w:hint="eastAsia"/>
              </w:rPr>
              <w:t xml:space="preserve"> </w:t>
            </w:r>
            <w:r>
              <w:rPr>
                <w:lang/>
              </w:rPr>
              <w:drawing>
                <wp:inline distT="0" distB="0" distL="114300" distR="114300">
                  <wp:extent cx="476250" cy="323850"/>
                  <wp:effectExtent l="0" t="0" r="0" b="0"/>
                  <wp:docPr id="470" name="图片 47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7BCB77E">
        <w:tblPrEx>
          <w:tblCellMar>
            <w:top w:w="0" w:type="dxa"/>
            <w:left w:w="0" w:type="dxa"/>
            <w:bottom w:w="0" w:type="dxa"/>
            <w:right w:w="0" w:type="dxa"/>
          </w:tblCellMar>
        </w:tblPrEx>
        <w:trPr>
          <w:wBefore w:w="0" w:type="auto"/>
          <w:tblCellSpacing w:w="0" w:type="dxa"/>
        </w:trPr>
        <w:tc>
          <w:tcPr>
            <w:tcW w:w="0" w:type="auto"/>
            <w:noWrap w:val="0"/>
            <w:vAlign w:val="center"/>
          </w:tcPr>
          <w:p w14:paraId="4285B9C5">
            <w:r>
              <w:rPr>
                <w:rStyle w:val="10"/>
                <w:rFonts w:hint="eastAsia"/>
              </w:rPr>
              <w:t>总有效成分含量：</w:t>
            </w:r>
            <w:r>
              <w:rPr>
                <w:rFonts w:hint="eastAsia"/>
              </w:rPr>
              <w:t>36%</w:t>
            </w:r>
          </w:p>
        </w:tc>
      </w:tr>
      <w:tr w14:paraId="099FE23C">
        <w:tblPrEx>
          <w:tblCellMar>
            <w:top w:w="0" w:type="dxa"/>
            <w:left w:w="0" w:type="dxa"/>
            <w:bottom w:w="0" w:type="dxa"/>
            <w:right w:w="0" w:type="dxa"/>
          </w:tblCellMar>
        </w:tblPrEx>
        <w:trPr>
          <w:wBefore w:w="0" w:type="auto"/>
          <w:tblCellSpacing w:w="0" w:type="dxa"/>
        </w:trPr>
        <w:tc>
          <w:tcPr>
            <w:tcW w:w="0" w:type="auto"/>
            <w:noWrap w:val="0"/>
            <w:vAlign w:val="center"/>
          </w:tcPr>
          <w:p w14:paraId="051FCA55">
            <w:r>
              <w:rPr>
                <w:rFonts w:hint="eastAsia"/>
              </w:rPr>
              <w:t xml:space="preserve">有效成分及其含量： </w:t>
            </w:r>
          </w:p>
          <w:p w14:paraId="7FA2E748">
            <w:r>
              <w:rPr>
                <w:rFonts w:hint="eastAsia"/>
              </w:rPr>
              <w:t xml:space="preserve">    草铵膦6%    草甘膦30%    </w:t>
            </w:r>
          </w:p>
        </w:tc>
      </w:tr>
      <w:tr w14:paraId="6C1F15F9">
        <w:tblPrEx>
          <w:tblCellMar>
            <w:top w:w="0" w:type="dxa"/>
            <w:left w:w="0" w:type="dxa"/>
            <w:bottom w:w="0" w:type="dxa"/>
            <w:right w:w="0" w:type="dxa"/>
          </w:tblCellMar>
        </w:tblPrEx>
        <w:trPr>
          <w:wBefore w:w="0" w:type="auto"/>
          <w:tblCellSpacing w:w="0" w:type="dxa"/>
        </w:trPr>
        <w:tc>
          <w:tcPr>
            <w:tcW w:w="0" w:type="auto"/>
            <w:noWrap w:val="0"/>
            <w:vAlign w:val="center"/>
          </w:tcPr>
          <w:p w14:paraId="27ECA9E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03BC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8CA621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5C369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C2E9BC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133C79">
                  <w:r>
                    <w:rPr>
                      <w:rStyle w:val="11"/>
                      <w:rFonts w:hint="eastAsia"/>
                    </w:rPr>
                    <w:t>施用方式</w:t>
                  </w:r>
                </w:p>
              </w:tc>
            </w:tr>
            <w:tr w14:paraId="66F956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31BBF6F">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5CBE43">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1E06BD">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AC465D">
                  <w:r>
                    <w:rPr>
                      <w:rStyle w:val="11"/>
                      <w:rFonts w:hint="eastAsia"/>
                    </w:rPr>
                    <w:t>茎叶喷雾</w:t>
                  </w:r>
                </w:p>
              </w:tc>
            </w:tr>
          </w:tbl>
          <w:p w14:paraId="5B85AC4C">
            <w:pPr>
              <w:rPr>
                <w:rFonts w:ascii="Times New Roman" w:hAnsi="Times New Roman" w:cs="Times New Roman"/>
                <w:sz w:val="20"/>
                <w:szCs w:val="20"/>
              </w:rPr>
            </w:pPr>
          </w:p>
        </w:tc>
      </w:tr>
      <w:tr w14:paraId="500894DB">
        <w:tblPrEx>
          <w:tblCellMar>
            <w:top w:w="0" w:type="dxa"/>
            <w:left w:w="0" w:type="dxa"/>
            <w:bottom w:w="0" w:type="dxa"/>
            <w:right w:w="0" w:type="dxa"/>
          </w:tblCellMar>
        </w:tblPrEx>
        <w:trPr>
          <w:wBefore w:w="0" w:type="auto"/>
          <w:tblCellSpacing w:w="0" w:type="dxa"/>
        </w:trPr>
        <w:tc>
          <w:tcPr>
            <w:tcW w:w="0" w:type="auto"/>
            <w:noWrap w:val="0"/>
            <w:vAlign w:val="center"/>
          </w:tcPr>
          <w:p w14:paraId="1BFF0BF4">
            <w:r>
              <w:rPr>
                <w:rStyle w:val="10"/>
                <w:rFonts w:hint="eastAsia"/>
              </w:rPr>
              <w:t>使用技术要求:</w:t>
            </w:r>
            <w:r>
              <w:rPr>
                <w:rFonts w:hint="eastAsia"/>
              </w:rPr>
              <w:br w:type="textWrapping"/>
            </w:r>
            <w:r>
              <w:rPr>
                <w:rStyle w:val="11"/>
                <w:rFonts w:hint="eastAsia"/>
              </w:rPr>
              <w:t>1.于非耕地杂草旺盛生长期茎叶喷雾施药一次，每亩兑水20-30公斤，均匀茎叶喷雾。2. 大风天或预计1小时内降雨，请勿施药。3. 施药时注意避免药液飘移到邻近作物。4. 禁止在田间道路、田埂、果树行间、休耕地、林场地等农林区域使用。</w:t>
            </w:r>
          </w:p>
        </w:tc>
      </w:tr>
      <w:tr w14:paraId="566689CD">
        <w:tblPrEx>
          <w:tblCellMar>
            <w:top w:w="0" w:type="dxa"/>
            <w:left w:w="0" w:type="dxa"/>
            <w:bottom w:w="0" w:type="dxa"/>
            <w:right w:w="0" w:type="dxa"/>
          </w:tblCellMar>
        </w:tblPrEx>
        <w:trPr>
          <w:wBefore w:w="0" w:type="auto"/>
          <w:tblCellSpacing w:w="0" w:type="dxa"/>
        </w:trPr>
        <w:tc>
          <w:tcPr>
            <w:tcW w:w="0" w:type="auto"/>
            <w:noWrap w:val="0"/>
            <w:vAlign w:val="center"/>
          </w:tcPr>
          <w:p w14:paraId="369E0340">
            <w:r>
              <w:rPr>
                <w:rStyle w:val="10"/>
                <w:rFonts w:hint="eastAsia"/>
              </w:rPr>
              <w:t>产品性能:</w:t>
            </w:r>
            <w:r>
              <w:rPr>
                <w:rFonts w:hint="eastAsia"/>
              </w:rPr>
              <w:br w:type="textWrapping"/>
            </w:r>
            <w:r>
              <w:rPr>
                <w:rStyle w:val="11"/>
                <w:rFonts w:hint="eastAsia"/>
              </w:rPr>
              <w:t>本品为稳定的均相液体，可有效防除非耕地杂草。</w:t>
            </w:r>
          </w:p>
        </w:tc>
      </w:tr>
      <w:tr w14:paraId="6D1CD74A">
        <w:tblPrEx>
          <w:tblCellMar>
            <w:top w:w="0" w:type="dxa"/>
            <w:left w:w="0" w:type="dxa"/>
            <w:bottom w:w="0" w:type="dxa"/>
            <w:right w:w="0" w:type="dxa"/>
          </w:tblCellMar>
        </w:tblPrEx>
        <w:trPr>
          <w:wBefore w:w="0" w:type="auto"/>
          <w:tblCellSpacing w:w="0" w:type="dxa"/>
        </w:trPr>
        <w:tc>
          <w:tcPr>
            <w:tcW w:w="0" w:type="auto"/>
            <w:noWrap w:val="0"/>
            <w:vAlign w:val="center"/>
          </w:tcPr>
          <w:p w14:paraId="39BB6B68">
            <w:r>
              <w:rPr>
                <w:rStyle w:val="10"/>
                <w:rFonts w:hint="eastAsia"/>
              </w:rPr>
              <w:t>注意事项：</w:t>
            </w:r>
            <w:r>
              <w:rPr>
                <w:rFonts w:hint="eastAsia"/>
              </w:rPr>
              <w:br w:type="textWrapping"/>
            </w:r>
            <w:r>
              <w:rPr>
                <w:rStyle w:val="11"/>
                <w:rFonts w:hint="eastAsia"/>
              </w:rPr>
              <w:t>1. 本品对蜜蜂、鱼类等水生生物、家蚕有毒，施药期间应避免对周围蜂群的影响，禁止在开花植物花期、蚕室和桑园附近使用。赤眼蜂等天敌放飞区域禁用。地下水、饮用水水源地禁用。2. 远离水产养殖区、河塘等水域施药。3. 本品对眼睛有刺激性，使用时避免接触眼睛，穿戴长衣、长裤、帽子、口罩、手套等防护措施。施药期间不可吃东西、喝水、吸烟等。施药后应及时洗手、洗脸等。4. 禁止在河塘等水域内清洗施药器具或将清洗施药器具的废水倒入河流、池塘等水源。5. 用过的容器应妥善处理，不可做他用，也不可随意丢弃。6. 本药剂大面积灭草时，药后杂草成片干枯，应注意防治火灾发生。7. 孕妇及哺乳期妇女避免接触本品。</w:t>
            </w:r>
          </w:p>
        </w:tc>
      </w:tr>
      <w:tr w14:paraId="0C6059BC">
        <w:tblPrEx>
          <w:tblCellMar>
            <w:top w:w="0" w:type="dxa"/>
            <w:left w:w="0" w:type="dxa"/>
            <w:bottom w:w="0" w:type="dxa"/>
            <w:right w:w="0" w:type="dxa"/>
          </w:tblCellMar>
        </w:tblPrEx>
        <w:trPr>
          <w:wBefore w:w="0" w:type="auto"/>
          <w:tblCellSpacing w:w="0" w:type="dxa"/>
        </w:trPr>
        <w:tc>
          <w:tcPr>
            <w:tcW w:w="0" w:type="auto"/>
            <w:noWrap w:val="0"/>
            <w:vAlign w:val="center"/>
          </w:tcPr>
          <w:p w14:paraId="1754EB8D">
            <w:r>
              <w:rPr>
                <w:rStyle w:val="10"/>
                <w:rFonts w:hint="eastAsia"/>
              </w:rPr>
              <w:t>中毒急救措施：</w:t>
            </w:r>
            <w:r>
              <w:rPr>
                <w:rFonts w:hint="eastAsia"/>
              </w:rPr>
              <w:br w:type="textWrapping"/>
            </w:r>
            <w:r>
              <w:rPr>
                <w:rStyle w:val="11"/>
                <w:rFonts w:hint="eastAsia"/>
              </w:rPr>
              <w:t>对眼睛、皮肤和粘膜有刺激作用。如不慎吸入，将病人移至空气流通处；不慎接触皮肤，用大量清水和肥皂冲洗干净；若溅入眼睛，用大量清水冲洗至少15分钟，仍有不适，就医；如误服，立即带标签送医院，对症治疗。应先洗胃，无特效解毒剂。</w:t>
            </w:r>
          </w:p>
        </w:tc>
      </w:tr>
      <w:tr w14:paraId="52773B90">
        <w:tblPrEx>
          <w:tblCellMar>
            <w:top w:w="0" w:type="dxa"/>
            <w:left w:w="0" w:type="dxa"/>
            <w:bottom w:w="0" w:type="dxa"/>
            <w:right w:w="0" w:type="dxa"/>
          </w:tblCellMar>
        </w:tblPrEx>
        <w:trPr>
          <w:wBefore w:w="0" w:type="auto"/>
          <w:tblCellSpacing w:w="0" w:type="dxa"/>
        </w:trPr>
        <w:tc>
          <w:tcPr>
            <w:tcW w:w="0" w:type="auto"/>
            <w:noWrap w:val="0"/>
            <w:vAlign w:val="center"/>
          </w:tcPr>
          <w:p w14:paraId="26E373B7">
            <w:r>
              <w:rPr>
                <w:rStyle w:val="10"/>
                <w:rFonts w:hint="eastAsia"/>
              </w:rPr>
              <w:t>储存和运输方法：</w:t>
            </w:r>
            <w:r>
              <w:rPr>
                <w:rFonts w:hint="eastAsia"/>
              </w:rPr>
              <w:br w:type="textWrapping"/>
            </w:r>
            <w:r>
              <w:rPr>
                <w:rStyle w:val="11"/>
                <w:rFonts w:hint="eastAsia"/>
              </w:rPr>
              <w:t>本品应贮存于阴凉、干燥、通风、防雨处。远离火源和热源，置于儿童及无关人员接触不到之处，并加锁。不能与食品、饮料、粮食、饲料等同贮同运。</w:t>
            </w:r>
          </w:p>
        </w:tc>
      </w:tr>
      <w:tr w14:paraId="7345D335">
        <w:tblPrEx>
          <w:tblCellMar>
            <w:top w:w="0" w:type="dxa"/>
            <w:left w:w="0" w:type="dxa"/>
            <w:bottom w:w="0" w:type="dxa"/>
            <w:right w:w="0" w:type="dxa"/>
          </w:tblCellMar>
        </w:tblPrEx>
        <w:trPr>
          <w:wBefore w:w="0" w:type="auto"/>
          <w:tblCellSpacing w:w="0" w:type="dxa"/>
        </w:trPr>
        <w:tc>
          <w:tcPr>
            <w:tcW w:w="0" w:type="auto"/>
            <w:noWrap w:val="0"/>
            <w:vAlign w:val="center"/>
          </w:tcPr>
          <w:p w14:paraId="41069E57">
            <w:r>
              <w:rPr>
                <w:rStyle w:val="10"/>
                <w:rFonts w:hint="eastAsia"/>
              </w:rPr>
              <w:t>质量保证期：</w:t>
            </w:r>
            <w:r>
              <w:rPr>
                <w:rStyle w:val="11"/>
                <w:rFonts w:hint="eastAsia"/>
              </w:rPr>
              <w:t>2年</w:t>
            </w:r>
          </w:p>
        </w:tc>
      </w:tr>
      <w:tr w14:paraId="691834AA">
        <w:tblPrEx>
          <w:tblCellMar>
            <w:top w:w="0" w:type="dxa"/>
            <w:left w:w="0" w:type="dxa"/>
            <w:bottom w:w="0" w:type="dxa"/>
            <w:right w:w="0" w:type="dxa"/>
          </w:tblCellMar>
        </w:tblPrEx>
        <w:trPr>
          <w:wBefore w:w="0" w:type="auto"/>
          <w:tblCellSpacing w:w="0" w:type="dxa"/>
        </w:trPr>
        <w:tc>
          <w:tcPr>
            <w:tcW w:w="0" w:type="auto"/>
            <w:noWrap w:val="0"/>
            <w:vAlign w:val="center"/>
          </w:tcPr>
          <w:p w14:paraId="1265D14E">
            <w:r>
              <w:rPr>
                <w:rStyle w:val="10"/>
                <w:rFonts w:hint="eastAsia"/>
              </w:rPr>
              <w:t>备注：</w:t>
            </w:r>
            <w:r>
              <w:rPr>
                <w:rFonts w:hint="eastAsia"/>
              </w:rPr>
              <w:br w:type="textWrapping"/>
            </w:r>
            <w:r>
              <w:rPr>
                <w:rStyle w:val="11"/>
                <w:rFonts w:hint="eastAsia"/>
              </w:rPr>
              <w:t>草甘膦异丙胺盐40.5%。</w:t>
            </w:r>
          </w:p>
        </w:tc>
      </w:tr>
    </w:tbl>
    <w:p w14:paraId="54A75BE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E79040">
        <w:tblPrEx>
          <w:tblCellMar>
            <w:top w:w="0" w:type="dxa"/>
            <w:left w:w="0" w:type="dxa"/>
            <w:bottom w:w="0" w:type="dxa"/>
            <w:right w:w="0" w:type="dxa"/>
          </w:tblCellMar>
        </w:tblPrEx>
        <w:trPr>
          <w:wBefore w:w="0" w:type="auto"/>
          <w:tblCellSpacing w:w="0" w:type="dxa"/>
        </w:trPr>
        <w:tc>
          <w:tcPr>
            <w:tcW w:w="0" w:type="auto"/>
            <w:noWrap w:val="0"/>
            <w:vAlign w:val="center"/>
          </w:tcPr>
          <w:p w14:paraId="4C7C71B1">
            <w:r>
              <w:rPr>
                <w:rStyle w:val="10"/>
                <w:rFonts w:hint="eastAsia"/>
              </w:rPr>
              <w:t>登记证号：</w:t>
            </w:r>
            <w:r>
              <w:rPr>
                <w:rFonts w:hint="eastAsia"/>
              </w:rPr>
              <w:t>PD20212238</w:t>
            </w:r>
          </w:p>
        </w:tc>
      </w:tr>
      <w:tr w14:paraId="44B4C070">
        <w:tblPrEx>
          <w:tblCellMar>
            <w:top w:w="0" w:type="dxa"/>
            <w:left w:w="0" w:type="dxa"/>
            <w:bottom w:w="0" w:type="dxa"/>
            <w:right w:w="0" w:type="dxa"/>
          </w:tblCellMar>
        </w:tblPrEx>
        <w:trPr>
          <w:wBefore w:w="0" w:type="auto"/>
          <w:tblCellSpacing w:w="0" w:type="dxa"/>
        </w:trPr>
        <w:tc>
          <w:tcPr>
            <w:tcW w:w="0" w:type="auto"/>
            <w:noWrap w:val="0"/>
            <w:vAlign w:val="center"/>
          </w:tcPr>
          <w:p w14:paraId="57C59DFC">
            <w:r>
              <w:rPr>
                <w:rStyle w:val="10"/>
                <w:rFonts w:hint="eastAsia"/>
              </w:rPr>
              <w:t>登记证持有人：</w:t>
            </w:r>
            <w:r>
              <w:rPr>
                <w:rFonts w:hint="eastAsia"/>
              </w:rPr>
              <w:t>四川龙田丰生化有限公司</w:t>
            </w:r>
          </w:p>
        </w:tc>
      </w:tr>
      <w:tr w14:paraId="072654A4">
        <w:tblPrEx>
          <w:tblCellMar>
            <w:top w:w="0" w:type="dxa"/>
            <w:left w:w="0" w:type="dxa"/>
            <w:bottom w:w="0" w:type="dxa"/>
            <w:right w:w="0" w:type="dxa"/>
          </w:tblCellMar>
        </w:tblPrEx>
        <w:trPr>
          <w:wBefore w:w="0" w:type="auto"/>
          <w:tblCellSpacing w:w="0" w:type="dxa"/>
        </w:trPr>
        <w:tc>
          <w:tcPr>
            <w:tcW w:w="0" w:type="auto"/>
            <w:noWrap w:val="0"/>
            <w:vAlign w:val="center"/>
          </w:tcPr>
          <w:p w14:paraId="4E9748C2">
            <w:r>
              <w:rPr>
                <w:rStyle w:val="10"/>
                <w:rFonts w:hint="eastAsia"/>
              </w:rPr>
              <w:t>农药名称：</w:t>
            </w:r>
            <w:r>
              <w:rPr>
                <w:rFonts w:hint="eastAsia"/>
              </w:rPr>
              <w:t>精草铵膦铵盐</w:t>
            </w:r>
          </w:p>
        </w:tc>
      </w:tr>
      <w:tr w14:paraId="046A7C51">
        <w:tblPrEx>
          <w:tblCellMar>
            <w:top w:w="0" w:type="dxa"/>
            <w:left w:w="0" w:type="dxa"/>
            <w:bottom w:w="0" w:type="dxa"/>
            <w:right w:w="0" w:type="dxa"/>
          </w:tblCellMar>
        </w:tblPrEx>
        <w:trPr>
          <w:wBefore w:w="0" w:type="auto"/>
          <w:tblCellSpacing w:w="0" w:type="dxa"/>
        </w:trPr>
        <w:tc>
          <w:tcPr>
            <w:tcW w:w="0" w:type="auto"/>
            <w:noWrap w:val="0"/>
            <w:vAlign w:val="center"/>
          </w:tcPr>
          <w:p w14:paraId="24C15A81">
            <w:r>
              <w:rPr>
                <w:rStyle w:val="10"/>
                <w:rFonts w:hint="eastAsia"/>
              </w:rPr>
              <w:t>剂型：</w:t>
            </w:r>
            <w:r>
              <w:rPr>
                <w:rFonts w:hint="eastAsia"/>
              </w:rPr>
              <w:t>可溶液剂</w:t>
            </w:r>
          </w:p>
        </w:tc>
      </w:tr>
      <w:tr w14:paraId="40F49753">
        <w:tblPrEx>
          <w:tblCellMar>
            <w:top w:w="0" w:type="dxa"/>
            <w:left w:w="0" w:type="dxa"/>
            <w:bottom w:w="0" w:type="dxa"/>
            <w:right w:w="0" w:type="dxa"/>
          </w:tblCellMar>
        </w:tblPrEx>
        <w:trPr>
          <w:wBefore w:w="0" w:type="auto"/>
          <w:tblCellSpacing w:w="0" w:type="dxa"/>
        </w:trPr>
        <w:tc>
          <w:tcPr>
            <w:tcW w:w="0" w:type="auto"/>
            <w:noWrap w:val="0"/>
            <w:vAlign w:val="center"/>
          </w:tcPr>
          <w:p w14:paraId="79941982">
            <w:r>
              <w:rPr>
                <w:rStyle w:val="10"/>
                <w:rFonts w:hint="eastAsia"/>
              </w:rPr>
              <w:t>毒性及其标识：</w:t>
            </w:r>
            <w:r>
              <w:rPr>
                <w:rFonts w:hint="eastAsia"/>
              </w:rPr>
              <w:t xml:space="preserve"> </w:t>
            </w:r>
            <w:r>
              <w:rPr>
                <w:lang/>
              </w:rPr>
              <w:drawing>
                <wp:inline distT="0" distB="0" distL="114300" distR="114300">
                  <wp:extent cx="476250" cy="323850"/>
                  <wp:effectExtent l="0" t="0" r="0" b="0"/>
                  <wp:docPr id="471" name="图片 47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30AFCF2">
        <w:tblPrEx>
          <w:tblCellMar>
            <w:top w:w="0" w:type="dxa"/>
            <w:left w:w="0" w:type="dxa"/>
            <w:bottom w:w="0" w:type="dxa"/>
            <w:right w:w="0" w:type="dxa"/>
          </w:tblCellMar>
        </w:tblPrEx>
        <w:trPr>
          <w:wBefore w:w="0" w:type="auto"/>
          <w:tblCellSpacing w:w="0" w:type="dxa"/>
        </w:trPr>
        <w:tc>
          <w:tcPr>
            <w:tcW w:w="0" w:type="auto"/>
            <w:noWrap w:val="0"/>
            <w:vAlign w:val="center"/>
          </w:tcPr>
          <w:p w14:paraId="58069DFF">
            <w:r>
              <w:rPr>
                <w:rStyle w:val="10"/>
                <w:rFonts w:hint="eastAsia"/>
              </w:rPr>
              <w:t>总有效成分含量：</w:t>
            </w:r>
            <w:r>
              <w:rPr>
                <w:rFonts w:hint="eastAsia"/>
              </w:rPr>
              <w:t>15%</w:t>
            </w:r>
          </w:p>
        </w:tc>
      </w:tr>
      <w:tr w14:paraId="722B5A68">
        <w:tblPrEx>
          <w:tblCellMar>
            <w:top w:w="0" w:type="dxa"/>
            <w:left w:w="0" w:type="dxa"/>
            <w:bottom w:w="0" w:type="dxa"/>
            <w:right w:w="0" w:type="dxa"/>
          </w:tblCellMar>
        </w:tblPrEx>
        <w:trPr>
          <w:wBefore w:w="0" w:type="auto"/>
          <w:tblCellSpacing w:w="0" w:type="dxa"/>
        </w:trPr>
        <w:tc>
          <w:tcPr>
            <w:tcW w:w="0" w:type="auto"/>
            <w:noWrap w:val="0"/>
            <w:vAlign w:val="center"/>
          </w:tcPr>
          <w:p w14:paraId="4996F9CC">
            <w:r>
              <w:rPr>
                <w:rFonts w:hint="eastAsia"/>
              </w:rPr>
              <w:t xml:space="preserve">有效成分及其含量： </w:t>
            </w:r>
          </w:p>
          <w:p w14:paraId="21AA5951">
            <w:r>
              <w:rPr>
                <w:rFonts w:hint="eastAsia"/>
              </w:rPr>
              <w:t xml:space="preserve">    精草铵膦15%    </w:t>
            </w:r>
          </w:p>
        </w:tc>
      </w:tr>
      <w:tr w14:paraId="3DCA6B2F">
        <w:tblPrEx>
          <w:tblCellMar>
            <w:top w:w="0" w:type="dxa"/>
            <w:left w:w="0" w:type="dxa"/>
            <w:bottom w:w="0" w:type="dxa"/>
            <w:right w:w="0" w:type="dxa"/>
          </w:tblCellMar>
        </w:tblPrEx>
        <w:trPr>
          <w:wBefore w:w="0" w:type="auto"/>
          <w:tblCellSpacing w:w="0" w:type="dxa"/>
        </w:trPr>
        <w:tc>
          <w:tcPr>
            <w:tcW w:w="0" w:type="auto"/>
            <w:noWrap w:val="0"/>
            <w:vAlign w:val="center"/>
          </w:tcPr>
          <w:p w14:paraId="1594B5F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9EB7F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6A0913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4AD3E5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B9A2B5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FCE10C">
                  <w:r>
                    <w:rPr>
                      <w:rStyle w:val="11"/>
                      <w:rFonts w:hint="eastAsia"/>
                    </w:rPr>
                    <w:t>施用方式</w:t>
                  </w:r>
                </w:p>
              </w:tc>
            </w:tr>
            <w:tr w14:paraId="6AC230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D286AB1">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C8BBB4">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E197BF">
                  <w:r>
                    <w:rPr>
                      <w:rStyle w:val="11"/>
                      <w:rFonts w:hint="eastAsia"/>
                    </w:rPr>
                    <w:t>135-200毫升/亩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C865E0">
                  <w:r>
                    <w:rPr>
                      <w:rStyle w:val="11"/>
                      <w:rFonts w:hint="eastAsia"/>
                    </w:rPr>
                    <w:t>茎叶喷雾</w:t>
                  </w:r>
                </w:p>
              </w:tc>
            </w:tr>
          </w:tbl>
          <w:p w14:paraId="46907F4C">
            <w:pPr>
              <w:rPr>
                <w:rFonts w:ascii="Times New Roman" w:hAnsi="Times New Roman" w:cs="Times New Roman"/>
                <w:sz w:val="20"/>
                <w:szCs w:val="20"/>
              </w:rPr>
            </w:pPr>
          </w:p>
        </w:tc>
      </w:tr>
      <w:tr w14:paraId="2F599C24">
        <w:tblPrEx>
          <w:tblCellMar>
            <w:top w:w="0" w:type="dxa"/>
            <w:left w:w="0" w:type="dxa"/>
            <w:bottom w:w="0" w:type="dxa"/>
            <w:right w:w="0" w:type="dxa"/>
          </w:tblCellMar>
        </w:tblPrEx>
        <w:trPr>
          <w:wBefore w:w="0" w:type="auto"/>
          <w:tblCellSpacing w:w="0" w:type="dxa"/>
        </w:trPr>
        <w:tc>
          <w:tcPr>
            <w:tcW w:w="0" w:type="auto"/>
            <w:noWrap w:val="0"/>
            <w:vAlign w:val="center"/>
          </w:tcPr>
          <w:p w14:paraId="620AFF4F">
            <w:r>
              <w:rPr>
                <w:rStyle w:val="10"/>
                <w:rFonts w:hint="eastAsia"/>
              </w:rPr>
              <w:t>使用技术要求:</w:t>
            </w:r>
            <w:r>
              <w:rPr>
                <w:rFonts w:hint="eastAsia"/>
              </w:rPr>
              <w:br w:type="textWrapping"/>
            </w:r>
            <w:r>
              <w:rPr>
                <w:rStyle w:val="11"/>
                <w:rFonts w:hint="eastAsia"/>
              </w:rPr>
              <w:t>在杂草生长旺盛期茎叶均匀喷雾，确保杂草喷湿喷透。若杂草草龄较大或杂草密度较大时应增加用药量。禁止在田间道路、田埂、果树行间、休耕地、林场地等农林区域使用。</w:t>
            </w:r>
          </w:p>
        </w:tc>
      </w:tr>
      <w:tr w14:paraId="627AB586">
        <w:tblPrEx>
          <w:tblCellMar>
            <w:top w:w="0" w:type="dxa"/>
            <w:left w:w="0" w:type="dxa"/>
            <w:bottom w:w="0" w:type="dxa"/>
            <w:right w:w="0" w:type="dxa"/>
          </w:tblCellMar>
        </w:tblPrEx>
        <w:trPr>
          <w:wBefore w:w="0" w:type="auto"/>
          <w:tblCellSpacing w:w="0" w:type="dxa"/>
        </w:trPr>
        <w:tc>
          <w:tcPr>
            <w:tcW w:w="0" w:type="auto"/>
            <w:noWrap w:val="0"/>
            <w:vAlign w:val="center"/>
          </w:tcPr>
          <w:p w14:paraId="26A71436">
            <w:r>
              <w:rPr>
                <w:rStyle w:val="10"/>
                <w:rFonts w:hint="eastAsia"/>
              </w:rPr>
              <w:t>产品性能:</w:t>
            </w:r>
            <w:r>
              <w:rPr>
                <w:rFonts w:hint="eastAsia"/>
              </w:rPr>
              <w:br w:type="textWrapping"/>
            </w:r>
            <w:r>
              <w:rPr>
                <w:rStyle w:val="11"/>
                <w:rFonts w:hint="eastAsia"/>
              </w:rPr>
              <w:t>本品是一种非选择性触杀型除草剂。</w:t>
            </w:r>
          </w:p>
        </w:tc>
      </w:tr>
      <w:tr w14:paraId="0E438F28">
        <w:tblPrEx>
          <w:tblCellMar>
            <w:top w:w="0" w:type="dxa"/>
            <w:left w:w="0" w:type="dxa"/>
            <w:bottom w:w="0" w:type="dxa"/>
            <w:right w:w="0" w:type="dxa"/>
          </w:tblCellMar>
        </w:tblPrEx>
        <w:trPr>
          <w:wBefore w:w="0" w:type="auto"/>
          <w:tblCellSpacing w:w="0" w:type="dxa"/>
        </w:trPr>
        <w:tc>
          <w:tcPr>
            <w:tcW w:w="0" w:type="auto"/>
            <w:noWrap w:val="0"/>
            <w:vAlign w:val="center"/>
          </w:tcPr>
          <w:p w14:paraId="500D6C4F">
            <w:r>
              <w:rPr>
                <w:rStyle w:val="10"/>
                <w:rFonts w:hint="eastAsia"/>
              </w:rPr>
              <w:t>注意事项：</w:t>
            </w:r>
            <w:r>
              <w:rPr>
                <w:rFonts w:hint="eastAsia"/>
              </w:rPr>
              <w:br w:type="textWrapping"/>
            </w:r>
            <w:r>
              <w:rPr>
                <w:rStyle w:val="11"/>
                <w:rFonts w:hint="eastAsia"/>
              </w:rPr>
              <w:t>1、本品为非选择性除草剂，施药过程中若遇大风、大雨、积水等影响喷雾效果的情形应停止施药，并防止雾滴飘移到其他地块。 2、如需与其他助剂或药剂混用，请在当地农技人员指导下，先进行小面积试验确认有效性后，科学合理搭配使用。 3、请在农技人员指导下，根据杂草发生基数、叶龄及种类、施药时天气条件、药械种类等因素科学合理的调整用药剂量、用水量。 4、施用时尽量做好身体各部位科学合理的防护，采取正确的施药方式。注意个人防护，穿长衣长裤、戴手套、眼镜、戴口罩等；施药时不能吸烟、饮水等；施药后清洗干净手脸等。 5、蚕室、桑园附近禁用，禁止在河塘等水体中清洗施药器具。鸟类保护区附近禁用。 施药后及时、细致清洗施药器具，废弃物要妥善处理，不能随意丢弃，也不能做他用。 6、避免孕妇和哺乳期妇女接触本品。 7、使用前请仔细阅读此标签，并严格按照标签说明使用。未尽使用情形，请结合当地实际情况，在农业技术人员指导下使用。</w:t>
            </w:r>
          </w:p>
        </w:tc>
      </w:tr>
      <w:tr w14:paraId="78886542">
        <w:tblPrEx>
          <w:tblCellMar>
            <w:top w:w="0" w:type="dxa"/>
            <w:left w:w="0" w:type="dxa"/>
            <w:bottom w:w="0" w:type="dxa"/>
            <w:right w:w="0" w:type="dxa"/>
          </w:tblCellMar>
        </w:tblPrEx>
        <w:trPr>
          <w:wBefore w:w="0" w:type="auto"/>
          <w:tblCellSpacing w:w="0" w:type="dxa"/>
        </w:trPr>
        <w:tc>
          <w:tcPr>
            <w:tcW w:w="0" w:type="auto"/>
            <w:noWrap w:val="0"/>
            <w:vAlign w:val="center"/>
          </w:tcPr>
          <w:p w14:paraId="74DF10D5">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3375B09E">
        <w:tblPrEx>
          <w:tblCellMar>
            <w:top w:w="0" w:type="dxa"/>
            <w:left w:w="0" w:type="dxa"/>
            <w:bottom w:w="0" w:type="dxa"/>
            <w:right w:w="0" w:type="dxa"/>
          </w:tblCellMar>
        </w:tblPrEx>
        <w:trPr>
          <w:wBefore w:w="0" w:type="auto"/>
          <w:tblCellSpacing w:w="0" w:type="dxa"/>
        </w:trPr>
        <w:tc>
          <w:tcPr>
            <w:tcW w:w="0" w:type="auto"/>
            <w:noWrap w:val="0"/>
            <w:vAlign w:val="center"/>
          </w:tcPr>
          <w:p w14:paraId="6840329F">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物品同贮同运。装卸时，注意轻拿轻放，禁止说笑打闹、吃、喝、抽烟；运输时要防潮防晒。</w:t>
            </w:r>
          </w:p>
        </w:tc>
      </w:tr>
      <w:tr w14:paraId="5B300B27">
        <w:tblPrEx>
          <w:tblCellMar>
            <w:top w:w="0" w:type="dxa"/>
            <w:left w:w="0" w:type="dxa"/>
            <w:bottom w:w="0" w:type="dxa"/>
            <w:right w:w="0" w:type="dxa"/>
          </w:tblCellMar>
        </w:tblPrEx>
        <w:trPr>
          <w:wBefore w:w="0" w:type="auto"/>
          <w:tblCellSpacing w:w="0" w:type="dxa"/>
        </w:trPr>
        <w:tc>
          <w:tcPr>
            <w:tcW w:w="0" w:type="auto"/>
            <w:noWrap w:val="0"/>
            <w:vAlign w:val="center"/>
          </w:tcPr>
          <w:p w14:paraId="008B6C83">
            <w:r>
              <w:rPr>
                <w:rStyle w:val="10"/>
                <w:rFonts w:hint="eastAsia"/>
              </w:rPr>
              <w:t>质量保证期：</w:t>
            </w:r>
            <w:r>
              <w:rPr>
                <w:rStyle w:val="11"/>
                <w:rFonts w:hint="eastAsia"/>
              </w:rPr>
              <w:t>2年</w:t>
            </w:r>
          </w:p>
        </w:tc>
      </w:tr>
      <w:tr w14:paraId="15DEB230">
        <w:tblPrEx>
          <w:tblCellMar>
            <w:top w:w="0" w:type="dxa"/>
            <w:left w:w="0" w:type="dxa"/>
            <w:bottom w:w="0" w:type="dxa"/>
            <w:right w:w="0" w:type="dxa"/>
          </w:tblCellMar>
        </w:tblPrEx>
        <w:trPr>
          <w:wBefore w:w="0" w:type="auto"/>
          <w:tblCellSpacing w:w="0" w:type="dxa"/>
        </w:trPr>
        <w:tc>
          <w:tcPr>
            <w:tcW w:w="0" w:type="auto"/>
            <w:noWrap w:val="0"/>
            <w:vAlign w:val="center"/>
          </w:tcPr>
          <w:p w14:paraId="1062CA74">
            <w:r>
              <w:rPr>
                <w:rStyle w:val="10"/>
                <w:rFonts w:hint="eastAsia"/>
              </w:rPr>
              <w:t>备注：</w:t>
            </w:r>
            <w:r>
              <w:rPr>
                <w:rFonts w:hint="eastAsia"/>
              </w:rPr>
              <w:br w:type="textWrapping"/>
            </w:r>
            <w:r>
              <w:rPr>
                <w:rStyle w:val="11"/>
                <w:rFonts w:hint="eastAsia"/>
              </w:rPr>
              <w:t>精草铵膦铵盐16.4%。</w:t>
            </w:r>
          </w:p>
        </w:tc>
      </w:tr>
    </w:tbl>
    <w:p w14:paraId="5956405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5780291">
        <w:tblPrEx>
          <w:tblCellMar>
            <w:top w:w="0" w:type="dxa"/>
            <w:left w:w="0" w:type="dxa"/>
            <w:bottom w:w="0" w:type="dxa"/>
            <w:right w:w="0" w:type="dxa"/>
          </w:tblCellMar>
        </w:tblPrEx>
        <w:trPr>
          <w:wBefore w:w="0" w:type="auto"/>
          <w:tblCellSpacing w:w="0" w:type="dxa"/>
        </w:trPr>
        <w:tc>
          <w:tcPr>
            <w:tcW w:w="0" w:type="auto"/>
            <w:noWrap w:val="0"/>
            <w:vAlign w:val="center"/>
          </w:tcPr>
          <w:p w14:paraId="139EE141">
            <w:r>
              <w:rPr>
                <w:rStyle w:val="10"/>
                <w:rFonts w:hint="eastAsia"/>
              </w:rPr>
              <w:t>登记证号：</w:t>
            </w:r>
            <w:r>
              <w:rPr>
                <w:rFonts w:hint="eastAsia"/>
              </w:rPr>
              <w:t>PD20211980</w:t>
            </w:r>
          </w:p>
        </w:tc>
      </w:tr>
      <w:tr w14:paraId="29053CB5">
        <w:tblPrEx>
          <w:tblCellMar>
            <w:top w:w="0" w:type="dxa"/>
            <w:left w:w="0" w:type="dxa"/>
            <w:bottom w:w="0" w:type="dxa"/>
            <w:right w:w="0" w:type="dxa"/>
          </w:tblCellMar>
        </w:tblPrEx>
        <w:trPr>
          <w:wBefore w:w="0" w:type="auto"/>
          <w:tblCellSpacing w:w="0" w:type="dxa"/>
        </w:trPr>
        <w:tc>
          <w:tcPr>
            <w:tcW w:w="0" w:type="auto"/>
            <w:noWrap w:val="0"/>
            <w:vAlign w:val="center"/>
          </w:tcPr>
          <w:p w14:paraId="0D696593">
            <w:r>
              <w:rPr>
                <w:rStyle w:val="10"/>
                <w:rFonts w:hint="eastAsia"/>
              </w:rPr>
              <w:t>登记证持有人：</w:t>
            </w:r>
            <w:r>
              <w:rPr>
                <w:rFonts w:hint="eastAsia"/>
              </w:rPr>
              <w:t>山西奥赛诺生物科技有限公司</w:t>
            </w:r>
          </w:p>
        </w:tc>
      </w:tr>
      <w:tr w14:paraId="31EEE9B2">
        <w:tblPrEx>
          <w:tblCellMar>
            <w:top w:w="0" w:type="dxa"/>
            <w:left w:w="0" w:type="dxa"/>
            <w:bottom w:w="0" w:type="dxa"/>
            <w:right w:w="0" w:type="dxa"/>
          </w:tblCellMar>
        </w:tblPrEx>
        <w:trPr>
          <w:wBefore w:w="0" w:type="auto"/>
          <w:tblCellSpacing w:w="0" w:type="dxa"/>
        </w:trPr>
        <w:tc>
          <w:tcPr>
            <w:tcW w:w="0" w:type="auto"/>
            <w:noWrap w:val="0"/>
            <w:vAlign w:val="center"/>
          </w:tcPr>
          <w:p w14:paraId="0E6ADF11">
            <w:r>
              <w:rPr>
                <w:rStyle w:val="10"/>
                <w:rFonts w:hint="eastAsia"/>
              </w:rPr>
              <w:t>农药名称：</w:t>
            </w:r>
            <w:r>
              <w:rPr>
                <w:rFonts w:hint="eastAsia"/>
              </w:rPr>
              <w:t>小檗碱硫酸盐</w:t>
            </w:r>
          </w:p>
        </w:tc>
      </w:tr>
      <w:tr w14:paraId="73ADB14F">
        <w:tblPrEx>
          <w:tblCellMar>
            <w:top w:w="0" w:type="dxa"/>
            <w:left w:w="0" w:type="dxa"/>
            <w:bottom w:w="0" w:type="dxa"/>
            <w:right w:w="0" w:type="dxa"/>
          </w:tblCellMar>
        </w:tblPrEx>
        <w:trPr>
          <w:wBefore w:w="0" w:type="auto"/>
          <w:tblCellSpacing w:w="0" w:type="dxa"/>
        </w:trPr>
        <w:tc>
          <w:tcPr>
            <w:tcW w:w="0" w:type="auto"/>
            <w:noWrap w:val="0"/>
            <w:vAlign w:val="center"/>
          </w:tcPr>
          <w:p w14:paraId="6F97D3C2">
            <w:r>
              <w:rPr>
                <w:rStyle w:val="10"/>
                <w:rFonts w:hint="eastAsia"/>
              </w:rPr>
              <w:t>剂型：</w:t>
            </w:r>
            <w:r>
              <w:rPr>
                <w:rFonts w:hint="eastAsia"/>
              </w:rPr>
              <w:t>可溶液剂</w:t>
            </w:r>
          </w:p>
        </w:tc>
      </w:tr>
      <w:tr w14:paraId="1232BD15">
        <w:tblPrEx>
          <w:tblCellMar>
            <w:top w:w="0" w:type="dxa"/>
            <w:left w:w="0" w:type="dxa"/>
            <w:bottom w:w="0" w:type="dxa"/>
            <w:right w:w="0" w:type="dxa"/>
          </w:tblCellMar>
        </w:tblPrEx>
        <w:trPr>
          <w:wBefore w:w="0" w:type="auto"/>
          <w:tblCellSpacing w:w="0" w:type="dxa"/>
        </w:trPr>
        <w:tc>
          <w:tcPr>
            <w:tcW w:w="0" w:type="auto"/>
            <w:noWrap w:val="0"/>
            <w:vAlign w:val="center"/>
          </w:tcPr>
          <w:p w14:paraId="6222565E">
            <w:r>
              <w:rPr>
                <w:rStyle w:val="10"/>
                <w:rFonts w:hint="eastAsia"/>
              </w:rPr>
              <w:t>毒性及其标识：</w:t>
            </w:r>
            <w:r>
              <w:rPr>
                <w:rFonts w:hint="eastAsia"/>
              </w:rPr>
              <w:t xml:space="preserve"> </w:t>
            </w:r>
            <w:r>
              <w:rPr>
                <w:lang/>
              </w:rPr>
              <w:drawing>
                <wp:inline distT="0" distB="0" distL="114300" distR="114300">
                  <wp:extent cx="476250" cy="323850"/>
                  <wp:effectExtent l="0" t="0" r="0" b="0"/>
                  <wp:docPr id="472" name="图片 47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B99023A">
        <w:tblPrEx>
          <w:tblCellMar>
            <w:top w:w="0" w:type="dxa"/>
            <w:left w:w="0" w:type="dxa"/>
            <w:bottom w:w="0" w:type="dxa"/>
            <w:right w:w="0" w:type="dxa"/>
          </w:tblCellMar>
        </w:tblPrEx>
        <w:trPr>
          <w:wBefore w:w="0" w:type="auto"/>
          <w:tblCellSpacing w:w="0" w:type="dxa"/>
        </w:trPr>
        <w:tc>
          <w:tcPr>
            <w:tcW w:w="0" w:type="auto"/>
            <w:noWrap w:val="0"/>
            <w:vAlign w:val="center"/>
          </w:tcPr>
          <w:p w14:paraId="1970D3B1">
            <w:r>
              <w:rPr>
                <w:rStyle w:val="10"/>
                <w:rFonts w:hint="eastAsia"/>
              </w:rPr>
              <w:t>总有效成分含量：</w:t>
            </w:r>
            <w:r>
              <w:rPr>
                <w:rFonts w:hint="eastAsia"/>
              </w:rPr>
              <w:t>4%</w:t>
            </w:r>
          </w:p>
        </w:tc>
      </w:tr>
      <w:tr w14:paraId="30EE2FE4">
        <w:tblPrEx>
          <w:tblCellMar>
            <w:top w:w="0" w:type="dxa"/>
            <w:left w:w="0" w:type="dxa"/>
            <w:bottom w:w="0" w:type="dxa"/>
            <w:right w:w="0" w:type="dxa"/>
          </w:tblCellMar>
        </w:tblPrEx>
        <w:trPr>
          <w:wBefore w:w="0" w:type="auto"/>
          <w:tblCellSpacing w:w="0" w:type="dxa"/>
        </w:trPr>
        <w:tc>
          <w:tcPr>
            <w:tcW w:w="0" w:type="auto"/>
            <w:noWrap w:val="0"/>
            <w:vAlign w:val="center"/>
          </w:tcPr>
          <w:p w14:paraId="6FE5ED36">
            <w:r>
              <w:rPr>
                <w:rFonts w:hint="eastAsia"/>
              </w:rPr>
              <w:t xml:space="preserve">有效成分及其含量： </w:t>
            </w:r>
          </w:p>
          <w:p w14:paraId="64387148">
            <w:r>
              <w:rPr>
                <w:rFonts w:hint="eastAsia"/>
              </w:rPr>
              <w:t xml:space="preserve">    小檗碱4%    </w:t>
            </w:r>
          </w:p>
        </w:tc>
      </w:tr>
      <w:tr w14:paraId="754E0B37">
        <w:tblPrEx>
          <w:tblCellMar>
            <w:top w:w="0" w:type="dxa"/>
            <w:left w:w="0" w:type="dxa"/>
            <w:bottom w:w="0" w:type="dxa"/>
            <w:right w:w="0" w:type="dxa"/>
          </w:tblCellMar>
        </w:tblPrEx>
        <w:trPr>
          <w:wBefore w:w="0" w:type="auto"/>
          <w:tblCellSpacing w:w="0" w:type="dxa"/>
        </w:trPr>
        <w:tc>
          <w:tcPr>
            <w:tcW w:w="0" w:type="auto"/>
            <w:noWrap w:val="0"/>
            <w:vAlign w:val="center"/>
          </w:tcPr>
          <w:p w14:paraId="31AB8A6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6A420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46451C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D9EF9C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41359E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DCF31CC">
                  <w:r>
                    <w:rPr>
                      <w:rStyle w:val="11"/>
                      <w:rFonts w:hint="eastAsia"/>
                    </w:rPr>
                    <w:t>施用方式</w:t>
                  </w:r>
                </w:p>
              </w:tc>
            </w:tr>
            <w:tr w14:paraId="625A90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9755524">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7B0BC3">
                  <w:r>
                    <w:rPr>
                      <w:rStyle w:val="11"/>
                      <w:rFonts w:hint="eastAsia"/>
                    </w:rPr>
                    <w:t>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7BA2A8">
                  <w:r>
                    <w:rPr>
                      <w:rStyle w:val="11"/>
                      <w:rFonts w:hint="eastAsia"/>
                    </w:rPr>
                    <w:t>100-150毫升/公顷</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780955">
                  <w:r>
                    <w:rPr>
                      <w:rStyle w:val="11"/>
                      <w:rFonts w:hint="eastAsia"/>
                    </w:rPr>
                    <w:t>喷雾</w:t>
                  </w:r>
                </w:p>
              </w:tc>
            </w:tr>
          </w:tbl>
          <w:p w14:paraId="6BFF2714">
            <w:pPr>
              <w:rPr>
                <w:rFonts w:ascii="Times New Roman" w:hAnsi="Times New Roman" w:cs="Times New Roman"/>
                <w:sz w:val="20"/>
                <w:szCs w:val="20"/>
              </w:rPr>
            </w:pPr>
          </w:p>
        </w:tc>
      </w:tr>
      <w:tr w14:paraId="13E84A61">
        <w:tblPrEx>
          <w:tblCellMar>
            <w:top w:w="0" w:type="dxa"/>
            <w:left w:w="0" w:type="dxa"/>
            <w:bottom w:w="0" w:type="dxa"/>
            <w:right w:w="0" w:type="dxa"/>
          </w:tblCellMar>
        </w:tblPrEx>
        <w:trPr>
          <w:wBefore w:w="0" w:type="auto"/>
          <w:tblCellSpacing w:w="0" w:type="dxa"/>
        </w:trPr>
        <w:tc>
          <w:tcPr>
            <w:tcW w:w="0" w:type="auto"/>
            <w:noWrap w:val="0"/>
            <w:vAlign w:val="center"/>
          </w:tcPr>
          <w:p w14:paraId="3F4A03EE">
            <w:r>
              <w:rPr>
                <w:rStyle w:val="10"/>
                <w:rFonts w:hint="eastAsia"/>
              </w:rPr>
              <w:t>使用技术要求:</w:t>
            </w:r>
            <w:r>
              <w:rPr>
                <w:rFonts w:hint="eastAsia"/>
              </w:rPr>
              <w:br w:type="textWrapping"/>
            </w:r>
            <w:r>
              <w:rPr>
                <w:rStyle w:val="11"/>
                <w:rFonts w:hint="eastAsia"/>
              </w:rPr>
              <w:t>1. 在黄瓜角斑病发病前或发病初期施药，可施药2~3次，间隔7天左右。 2. 推荐角斑病发生初期使用本品，施药方法为喷雾。 3. 选择在无风或微风，没有露水的天气条件下施药最佳。</w:t>
            </w:r>
          </w:p>
        </w:tc>
      </w:tr>
      <w:tr w14:paraId="60928F0B">
        <w:tblPrEx>
          <w:tblCellMar>
            <w:top w:w="0" w:type="dxa"/>
            <w:left w:w="0" w:type="dxa"/>
            <w:bottom w:w="0" w:type="dxa"/>
            <w:right w:w="0" w:type="dxa"/>
          </w:tblCellMar>
        </w:tblPrEx>
        <w:trPr>
          <w:wBefore w:w="0" w:type="auto"/>
          <w:tblCellSpacing w:w="0" w:type="dxa"/>
        </w:trPr>
        <w:tc>
          <w:tcPr>
            <w:tcW w:w="0" w:type="auto"/>
            <w:noWrap w:val="0"/>
            <w:vAlign w:val="center"/>
          </w:tcPr>
          <w:p w14:paraId="70BA2985">
            <w:r>
              <w:rPr>
                <w:rStyle w:val="10"/>
                <w:rFonts w:hint="eastAsia"/>
              </w:rPr>
              <w:t>产品性能:</w:t>
            </w:r>
            <w:r>
              <w:rPr>
                <w:rFonts w:hint="eastAsia"/>
              </w:rPr>
              <w:br w:type="textWrapping"/>
            </w:r>
            <w:r>
              <w:rPr>
                <w:rStyle w:val="11"/>
                <w:rFonts w:hint="eastAsia"/>
              </w:rPr>
              <w:t>本品是由植物中提取的生物碱杀菌剂，能迅速渗透到植物体内和病斑部位，通过干扰病原菌体内代谢，而抑制其生长和繁殖。可用于防治黄瓜角斑病。</w:t>
            </w:r>
          </w:p>
        </w:tc>
      </w:tr>
      <w:tr w14:paraId="6A240138">
        <w:tblPrEx>
          <w:tblCellMar>
            <w:top w:w="0" w:type="dxa"/>
            <w:left w:w="0" w:type="dxa"/>
            <w:bottom w:w="0" w:type="dxa"/>
            <w:right w:w="0" w:type="dxa"/>
          </w:tblCellMar>
        </w:tblPrEx>
        <w:trPr>
          <w:wBefore w:w="0" w:type="auto"/>
          <w:tblCellSpacing w:w="0" w:type="dxa"/>
        </w:trPr>
        <w:tc>
          <w:tcPr>
            <w:tcW w:w="0" w:type="auto"/>
            <w:noWrap w:val="0"/>
            <w:vAlign w:val="center"/>
          </w:tcPr>
          <w:p w14:paraId="2C1B96C4">
            <w:r>
              <w:rPr>
                <w:rStyle w:val="10"/>
                <w:rFonts w:hint="eastAsia"/>
              </w:rPr>
              <w:t>注意事项：</w:t>
            </w:r>
            <w:r>
              <w:rPr>
                <w:rFonts w:hint="eastAsia"/>
              </w:rPr>
              <w:br w:type="textWrapping"/>
            </w:r>
            <w:r>
              <w:rPr>
                <w:rStyle w:val="11"/>
                <w:rFonts w:hint="eastAsia"/>
              </w:rPr>
              <w:t>1. 该产品对眼睛有刺激性，使用时避免接触眼睛。施药时应戴防护用具，防止药液从口鼻吸入，施药时不得吸烟、进食、饮水，施药后应清洗手、脸及身体被污染部分。 2. 建议与其他作用机制杀菌剂交替使用，以延缓抗性产生。 3. 不得与碱性农药等物质混用，以免降低药效。 4. 对鱼类等水生生物有毒，远离水产养殖区、河塘等水体施药，禁止在河塘等水域内清洗施药器具。（周围）开花植物花期禁用，施药期间应密切关注对附近蜂群的影响。  5. 孕妇和哺乳期妇女禁止接触本品。 6. 用过的包装物应妥善处理，不可做他用，也不可随意丢弃。</w:t>
            </w:r>
          </w:p>
        </w:tc>
      </w:tr>
      <w:tr w14:paraId="5DBFF944">
        <w:tblPrEx>
          <w:tblCellMar>
            <w:top w:w="0" w:type="dxa"/>
            <w:left w:w="0" w:type="dxa"/>
            <w:bottom w:w="0" w:type="dxa"/>
            <w:right w:w="0" w:type="dxa"/>
          </w:tblCellMar>
        </w:tblPrEx>
        <w:trPr>
          <w:wBefore w:w="0" w:type="auto"/>
          <w:tblCellSpacing w:w="0" w:type="dxa"/>
        </w:trPr>
        <w:tc>
          <w:tcPr>
            <w:tcW w:w="0" w:type="auto"/>
            <w:noWrap w:val="0"/>
            <w:vAlign w:val="center"/>
          </w:tcPr>
          <w:p w14:paraId="66450088">
            <w:r>
              <w:rPr>
                <w:rStyle w:val="10"/>
                <w:rFonts w:hint="eastAsia"/>
              </w:rPr>
              <w:t>中毒急救措施：</w:t>
            </w:r>
            <w:r>
              <w:rPr>
                <w:rFonts w:hint="eastAsia"/>
              </w:rPr>
              <w:br w:type="textWrapping"/>
            </w:r>
            <w:r>
              <w:rPr>
                <w:rStyle w:val="11"/>
                <w:rFonts w:hint="eastAsia"/>
              </w:rPr>
              <w:t>中毒症状：大量服用时可引起腹泻、头痛、恶心、呕吐，引起肌肉麻痹。本品对眼睛有刺激性。 急救措施： 1、皮肤污染或药液溅入眼睛，立即用大量清水冲洗至少15分钟。 2、不慎吸入，立即将吸入者转移到空气新鲜及安静处，病情严重者请医生对症治疗。3、误服中毒，立即携此标签就医，无特效解毒剂，对症治疗。</w:t>
            </w:r>
          </w:p>
        </w:tc>
      </w:tr>
      <w:tr w14:paraId="288E2AB7">
        <w:tblPrEx>
          <w:tblCellMar>
            <w:top w:w="0" w:type="dxa"/>
            <w:left w:w="0" w:type="dxa"/>
            <w:bottom w:w="0" w:type="dxa"/>
            <w:right w:w="0" w:type="dxa"/>
          </w:tblCellMar>
        </w:tblPrEx>
        <w:trPr>
          <w:wBefore w:w="0" w:type="auto"/>
          <w:tblCellSpacing w:w="0" w:type="dxa"/>
        </w:trPr>
        <w:tc>
          <w:tcPr>
            <w:tcW w:w="0" w:type="auto"/>
            <w:noWrap w:val="0"/>
            <w:vAlign w:val="center"/>
          </w:tcPr>
          <w:p w14:paraId="7DD375DC">
            <w:r>
              <w:rPr>
                <w:rStyle w:val="10"/>
                <w:rFonts w:hint="eastAsia"/>
              </w:rPr>
              <w:t>储存和运输方法：</w:t>
            </w:r>
            <w:r>
              <w:rPr>
                <w:rFonts w:hint="eastAsia"/>
              </w:rPr>
              <w:br w:type="textWrapping"/>
            </w:r>
            <w:r>
              <w:rPr>
                <w:rStyle w:val="11"/>
                <w:rFonts w:hint="eastAsia"/>
              </w:rPr>
              <w:t>1. 本品与松节油、中等氧化剂高锰酸钾不具有化学相容性，应贮存在干燥、阴凉、通风、防雨处，远离火源或热源，避免与氧化剂接触。 2. 置于儿童、无关人员触及不到之处，并加锁。勿与食品、饮料、饲料、粮食等同贮同运。</w:t>
            </w:r>
          </w:p>
        </w:tc>
      </w:tr>
      <w:tr w14:paraId="7D064F2A">
        <w:tblPrEx>
          <w:tblCellMar>
            <w:top w:w="0" w:type="dxa"/>
            <w:left w:w="0" w:type="dxa"/>
            <w:bottom w:w="0" w:type="dxa"/>
            <w:right w:w="0" w:type="dxa"/>
          </w:tblCellMar>
        </w:tblPrEx>
        <w:trPr>
          <w:wBefore w:w="0" w:type="auto"/>
          <w:tblCellSpacing w:w="0" w:type="dxa"/>
        </w:trPr>
        <w:tc>
          <w:tcPr>
            <w:tcW w:w="0" w:type="auto"/>
            <w:noWrap w:val="0"/>
            <w:vAlign w:val="center"/>
          </w:tcPr>
          <w:p w14:paraId="32F1A9C8">
            <w:r>
              <w:rPr>
                <w:rStyle w:val="10"/>
                <w:rFonts w:hint="eastAsia"/>
              </w:rPr>
              <w:t>质量保证期：</w:t>
            </w:r>
            <w:r>
              <w:rPr>
                <w:rStyle w:val="11"/>
                <w:rFonts w:hint="eastAsia"/>
              </w:rPr>
              <w:t>2年</w:t>
            </w:r>
          </w:p>
        </w:tc>
      </w:tr>
      <w:tr w14:paraId="5FCEFB99">
        <w:tblPrEx>
          <w:tblCellMar>
            <w:top w:w="0" w:type="dxa"/>
            <w:left w:w="0" w:type="dxa"/>
            <w:bottom w:w="0" w:type="dxa"/>
            <w:right w:w="0" w:type="dxa"/>
          </w:tblCellMar>
        </w:tblPrEx>
        <w:trPr>
          <w:wBefore w:w="0" w:type="auto"/>
          <w:tblCellSpacing w:w="0" w:type="dxa"/>
        </w:trPr>
        <w:tc>
          <w:tcPr>
            <w:tcW w:w="0" w:type="auto"/>
            <w:noWrap w:val="0"/>
            <w:vAlign w:val="center"/>
          </w:tcPr>
          <w:p w14:paraId="132AA0FD">
            <w:r>
              <w:rPr>
                <w:rStyle w:val="10"/>
                <w:rFonts w:hint="eastAsia"/>
              </w:rPr>
              <w:t>备注：</w:t>
            </w:r>
            <w:r>
              <w:rPr>
                <w:rFonts w:hint="eastAsia"/>
              </w:rPr>
              <w:br w:type="textWrapping"/>
            </w:r>
            <w:r>
              <w:rPr>
                <w:rStyle w:val="11"/>
                <w:rFonts w:hint="eastAsia"/>
              </w:rPr>
              <w:t>小檗碱硫酸盐5.1%。</w:t>
            </w:r>
          </w:p>
        </w:tc>
      </w:tr>
    </w:tbl>
    <w:p w14:paraId="7194F19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0E9116E">
        <w:trPr>
          <w:wBefore w:w="0" w:type="auto"/>
          <w:tblCellSpacing w:w="0" w:type="dxa"/>
        </w:trPr>
        <w:tc>
          <w:tcPr>
            <w:tcW w:w="0" w:type="auto"/>
            <w:noWrap w:val="0"/>
            <w:vAlign w:val="center"/>
          </w:tcPr>
          <w:p w14:paraId="418A8E46">
            <w:r>
              <w:rPr>
                <w:rStyle w:val="10"/>
                <w:rFonts w:hint="eastAsia"/>
              </w:rPr>
              <w:t>登记证号：</w:t>
            </w:r>
            <w:r>
              <w:rPr>
                <w:rFonts w:hint="eastAsia"/>
              </w:rPr>
              <w:t>PD20212243</w:t>
            </w:r>
          </w:p>
        </w:tc>
      </w:tr>
      <w:tr w14:paraId="6F619B35">
        <w:tblPrEx>
          <w:tblCellMar>
            <w:top w:w="0" w:type="dxa"/>
            <w:left w:w="0" w:type="dxa"/>
            <w:bottom w:w="0" w:type="dxa"/>
            <w:right w:w="0" w:type="dxa"/>
          </w:tblCellMar>
        </w:tblPrEx>
        <w:trPr>
          <w:wBefore w:w="0" w:type="auto"/>
          <w:tblCellSpacing w:w="0" w:type="dxa"/>
        </w:trPr>
        <w:tc>
          <w:tcPr>
            <w:tcW w:w="0" w:type="auto"/>
            <w:noWrap w:val="0"/>
            <w:vAlign w:val="center"/>
          </w:tcPr>
          <w:p w14:paraId="4439C19C">
            <w:r>
              <w:rPr>
                <w:rStyle w:val="10"/>
                <w:rFonts w:hint="eastAsia"/>
              </w:rPr>
              <w:t>登记证持有人：</w:t>
            </w:r>
            <w:r>
              <w:rPr>
                <w:rFonts w:hint="eastAsia"/>
              </w:rPr>
              <w:t>深圳诺普信农化股份有限公司</w:t>
            </w:r>
          </w:p>
        </w:tc>
      </w:tr>
      <w:tr w14:paraId="016C1C2E">
        <w:tblPrEx>
          <w:tblCellMar>
            <w:top w:w="0" w:type="dxa"/>
            <w:left w:w="0" w:type="dxa"/>
            <w:bottom w:w="0" w:type="dxa"/>
            <w:right w:w="0" w:type="dxa"/>
          </w:tblCellMar>
        </w:tblPrEx>
        <w:trPr>
          <w:wBefore w:w="0" w:type="auto"/>
          <w:tblCellSpacing w:w="0" w:type="dxa"/>
        </w:trPr>
        <w:tc>
          <w:tcPr>
            <w:tcW w:w="0" w:type="auto"/>
            <w:noWrap w:val="0"/>
            <w:vAlign w:val="center"/>
          </w:tcPr>
          <w:p w14:paraId="289E67DF">
            <w:r>
              <w:rPr>
                <w:rStyle w:val="10"/>
                <w:rFonts w:hint="eastAsia"/>
              </w:rPr>
              <w:t>农药名称：</w:t>
            </w:r>
            <w:r>
              <w:rPr>
                <w:rFonts w:hint="eastAsia"/>
              </w:rPr>
              <w:t>氰氟草酯</w:t>
            </w:r>
          </w:p>
        </w:tc>
      </w:tr>
      <w:tr w14:paraId="221FFE18">
        <w:tblPrEx>
          <w:tblCellMar>
            <w:top w:w="0" w:type="dxa"/>
            <w:left w:w="0" w:type="dxa"/>
            <w:bottom w:w="0" w:type="dxa"/>
            <w:right w:w="0" w:type="dxa"/>
          </w:tblCellMar>
        </w:tblPrEx>
        <w:trPr>
          <w:wBefore w:w="0" w:type="auto"/>
          <w:tblCellSpacing w:w="0" w:type="dxa"/>
        </w:trPr>
        <w:tc>
          <w:tcPr>
            <w:tcW w:w="0" w:type="auto"/>
            <w:noWrap w:val="0"/>
            <w:vAlign w:val="center"/>
          </w:tcPr>
          <w:p w14:paraId="7BC5D88D">
            <w:r>
              <w:rPr>
                <w:rStyle w:val="10"/>
                <w:rFonts w:hint="eastAsia"/>
              </w:rPr>
              <w:t>剂型：</w:t>
            </w:r>
            <w:r>
              <w:rPr>
                <w:rFonts w:hint="eastAsia"/>
              </w:rPr>
              <w:t>乳油</w:t>
            </w:r>
          </w:p>
        </w:tc>
      </w:tr>
      <w:tr w14:paraId="16913591">
        <w:tblPrEx>
          <w:tblCellMar>
            <w:top w:w="0" w:type="dxa"/>
            <w:left w:w="0" w:type="dxa"/>
            <w:bottom w:w="0" w:type="dxa"/>
            <w:right w:w="0" w:type="dxa"/>
          </w:tblCellMar>
        </w:tblPrEx>
        <w:trPr>
          <w:wBefore w:w="0" w:type="auto"/>
          <w:tblCellSpacing w:w="0" w:type="dxa"/>
        </w:trPr>
        <w:tc>
          <w:tcPr>
            <w:tcW w:w="0" w:type="auto"/>
            <w:noWrap w:val="0"/>
            <w:vAlign w:val="center"/>
          </w:tcPr>
          <w:p w14:paraId="4810F629">
            <w:r>
              <w:rPr>
                <w:rStyle w:val="10"/>
                <w:rFonts w:hint="eastAsia"/>
              </w:rPr>
              <w:t>毒性及其标识：</w:t>
            </w:r>
            <w:r>
              <w:rPr>
                <w:rFonts w:hint="eastAsia"/>
              </w:rPr>
              <w:t xml:space="preserve"> </w:t>
            </w:r>
            <w:r>
              <w:rPr>
                <w:lang/>
              </w:rPr>
              <w:drawing>
                <wp:inline distT="0" distB="0" distL="114300" distR="114300">
                  <wp:extent cx="476250" cy="323850"/>
                  <wp:effectExtent l="0" t="0" r="0" b="0"/>
                  <wp:docPr id="473" name="图片 47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55BF8C1">
        <w:tblPrEx>
          <w:tblCellMar>
            <w:top w:w="0" w:type="dxa"/>
            <w:left w:w="0" w:type="dxa"/>
            <w:bottom w:w="0" w:type="dxa"/>
            <w:right w:w="0" w:type="dxa"/>
          </w:tblCellMar>
        </w:tblPrEx>
        <w:trPr>
          <w:wBefore w:w="0" w:type="auto"/>
          <w:tblCellSpacing w:w="0" w:type="dxa"/>
        </w:trPr>
        <w:tc>
          <w:tcPr>
            <w:tcW w:w="0" w:type="auto"/>
            <w:noWrap w:val="0"/>
            <w:vAlign w:val="center"/>
          </w:tcPr>
          <w:p w14:paraId="1A3F01B7">
            <w:r>
              <w:rPr>
                <w:rStyle w:val="10"/>
                <w:rFonts w:hint="eastAsia"/>
              </w:rPr>
              <w:t>总有效成分含量：</w:t>
            </w:r>
            <w:r>
              <w:rPr>
                <w:rFonts w:hint="eastAsia"/>
              </w:rPr>
              <w:t>30%</w:t>
            </w:r>
          </w:p>
        </w:tc>
      </w:tr>
      <w:tr w14:paraId="06A6CD9B">
        <w:tblPrEx>
          <w:tblCellMar>
            <w:top w:w="0" w:type="dxa"/>
            <w:left w:w="0" w:type="dxa"/>
            <w:bottom w:w="0" w:type="dxa"/>
            <w:right w:w="0" w:type="dxa"/>
          </w:tblCellMar>
        </w:tblPrEx>
        <w:trPr>
          <w:wBefore w:w="0" w:type="auto"/>
          <w:tblCellSpacing w:w="0" w:type="dxa"/>
        </w:trPr>
        <w:tc>
          <w:tcPr>
            <w:tcW w:w="0" w:type="auto"/>
            <w:noWrap w:val="0"/>
            <w:vAlign w:val="center"/>
          </w:tcPr>
          <w:p w14:paraId="4EB9B36A">
            <w:r>
              <w:rPr>
                <w:rFonts w:hint="eastAsia"/>
              </w:rPr>
              <w:t xml:space="preserve">有效成分及其含量： </w:t>
            </w:r>
          </w:p>
          <w:p w14:paraId="20D2405A">
            <w:r>
              <w:rPr>
                <w:rFonts w:hint="eastAsia"/>
              </w:rPr>
              <w:t xml:space="preserve">    氰氟草酯30%    </w:t>
            </w:r>
          </w:p>
        </w:tc>
      </w:tr>
      <w:tr w14:paraId="46571F56">
        <w:tblPrEx>
          <w:tblCellMar>
            <w:top w:w="0" w:type="dxa"/>
            <w:left w:w="0" w:type="dxa"/>
            <w:bottom w:w="0" w:type="dxa"/>
            <w:right w:w="0" w:type="dxa"/>
          </w:tblCellMar>
        </w:tblPrEx>
        <w:trPr>
          <w:wBefore w:w="0" w:type="auto"/>
          <w:tblCellSpacing w:w="0" w:type="dxa"/>
        </w:trPr>
        <w:tc>
          <w:tcPr>
            <w:tcW w:w="0" w:type="auto"/>
            <w:noWrap w:val="0"/>
            <w:vAlign w:val="center"/>
          </w:tcPr>
          <w:p w14:paraId="790FF84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B0505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3B036A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5F1DC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9B96A9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9F46D69">
                  <w:r>
                    <w:rPr>
                      <w:rStyle w:val="11"/>
                      <w:rFonts w:hint="eastAsia"/>
                    </w:rPr>
                    <w:t>施用方式</w:t>
                  </w:r>
                </w:p>
              </w:tc>
            </w:tr>
            <w:tr w14:paraId="1D9330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1C2B2A">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DEF165">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21EC68">
                  <w:r>
                    <w:rPr>
                      <w:rStyle w:val="11"/>
                      <w:rFonts w:hint="eastAsia"/>
                    </w:rPr>
                    <w:t>25-30毫升/亩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2A0B68">
                  <w:r>
                    <w:rPr>
                      <w:rStyle w:val="11"/>
                      <w:rFonts w:hint="eastAsia"/>
                    </w:rPr>
                    <w:t>茎叶喷雾</w:t>
                  </w:r>
                </w:p>
              </w:tc>
            </w:tr>
          </w:tbl>
          <w:p w14:paraId="42A278FE">
            <w:pPr>
              <w:rPr>
                <w:rFonts w:ascii="Times New Roman" w:hAnsi="Times New Roman" w:cs="Times New Roman"/>
                <w:sz w:val="20"/>
                <w:szCs w:val="20"/>
              </w:rPr>
            </w:pPr>
          </w:p>
        </w:tc>
      </w:tr>
      <w:tr w14:paraId="2B153274">
        <w:tblPrEx>
          <w:tblCellMar>
            <w:top w:w="0" w:type="dxa"/>
            <w:left w:w="0" w:type="dxa"/>
            <w:bottom w:w="0" w:type="dxa"/>
            <w:right w:w="0" w:type="dxa"/>
          </w:tblCellMar>
        </w:tblPrEx>
        <w:trPr>
          <w:wBefore w:w="0" w:type="auto"/>
          <w:tblCellSpacing w:w="0" w:type="dxa"/>
        </w:trPr>
        <w:tc>
          <w:tcPr>
            <w:tcW w:w="0" w:type="auto"/>
            <w:noWrap w:val="0"/>
            <w:vAlign w:val="center"/>
          </w:tcPr>
          <w:p w14:paraId="764F4164">
            <w:r>
              <w:rPr>
                <w:rStyle w:val="10"/>
                <w:rFonts w:hint="eastAsia"/>
              </w:rPr>
              <w:t>使用技术要求:</w:t>
            </w:r>
            <w:r>
              <w:rPr>
                <w:rFonts w:hint="eastAsia"/>
              </w:rPr>
              <w:br w:type="textWrapping"/>
            </w:r>
            <w:r>
              <w:rPr>
                <w:rStyle w:val="11"/>
                <w:rFonts w:hint="eastAsia"/>
              </w:rPr>
              <w:t>1.水稻田稗草、千金子等禾本科杂草2-3叶期，茎叶喷雾处理，注意喷雾均匀。2．施药前排水，使杂草茎叶2/3以上露出水面，施药后24小时至72小时内灌水，保持3-5厘米水层5-7天。3.大风天或预计1小时内降雨，请勿施药。4.在水稻上每季最多使用1次，安全间隔期为收获期。</w:t>
            </w:r>
          </w:p>
        </w:tc>
      </w:tr>
      <w:tr w14:paraId="758C02AB">
        <w:tblPrEx>
          <w:tblCellMar>
            <w:top w:w="0" w:type="dxa"/>
            <w:left w:w="0" w:type="dxa"/>
            <w:bottom w:w="0" w:type="dxa"/>
            <w:right w:w="0" w:type="dxa"/>
          </w:tblCellMar>
        </w:tblPrEx>
        <w:trPr>
          <w:wBefore w:w="0" w:type="auto"/>
          <w:tblCellSpacing w:w="0" w:type="dxa"/>
        </w:trPr>
        <w:tc>
          <w:tcPr>
            <w:tcW w:w="0" w:type="auto"/>
            <w:noWrap w:val="0"/>
            <w:vAlign w:val="center"/>
          </w:tcPr>
          <w:p w14:paraId="6CFFB8F3">
            <w:r>
              <w:rPr>
                <w:rStyle w:val="10"/>
                <w:rFonts w:hint="eastAsia"/>
              </w:rPr>
              <w:t>产品性能:</w:t>
            </w:r>
            <w:r>
              <w:rPr>
                <w:rFonts w:hint="eastAsia"/>
              </w:rPr>
              <w:br w:type="textWrapping"/>
            </w:r>
            <w:r>
              <w:rPr>
                <w:rStyle w:val="11"/>
                <w:rFonts w:hint="eastAsia"/>
              </w:rPr>
              <w:t>本品是芳氧苯氧丙酸类传导型禾本科杂草除草剂，用于水稻田（直播）茎叶处理防除稗草、千金子等禾本科杂草。本品通过茎叶吸收，传导至生长点，达到杀草效果。</w:t>
            </w:r>
          </w:p>
        </w:tc>
      </w:tr>
      <w:tr w14:paraId="68FEF954">
        <w:tblPrEx>
          <w:tblCellMar>
            <w:top w:w="0" w:type="dxa"/>
            <w:left w:w="0" w:type="dxa"/>
            <w:bottom w:w="0" w:type="dxa"/>
            <w:right w:w="0" w:type="dxa"/>
          </w:tblCellMar>
        </w:tblPrEx>
        <w:trPr>
          <w:wBefore w:w="0" w:type="auto"/>
          <w:tblCellSpacing w:w="0" w:type="dxa"/>
        </w:trPr>
        <w:tc>
          <w:tcPr>
            <w:tcW w:w="0" w:type="auto"/>
            <w:noWrap w:val="0"/>
            <w:vAlign w:val="center"/>
          </w:tcPr>
          <w:p w14:paraId="2B86344E">
            <w:r>
              <w:rPr>
                <w:rStyle w:val="10"/>
                <w:rFonts w:hint="eastAsia"/>
              </w:rPr>
              <w:t>注意事项：</w:t>
            </w:r>
            <w:r>
              <w:rPr>
                <w:rFonts w:hint="eastAsia"/>
              </w:rPr>
              <w:br w:type="textWrapping"/>
            </w:r>
            <w:r>
              <w:rPr>
                <w:rStyle w:val="11"/>
                <w:rFonts w:hint="eastAsia"/>
              </w:rPr>
              <w:t>1. 配药和施药过程中操作人员应穿戴长衣、长裤、鞋、手套、帽子、口罩，以避免污染皮肤和眼睛，施药完毕后应及时换洗衣物，洗净手、脸和被污染的皮肤。2.施药前、后要彻底清洗喷药器械，禁止在河塘等水域中清洗施药器具，洗涤后的废水不应污染河流等水源，未用完的药液应密封后妥善放置。 3.开启封口应小心药液溅出，废弃包装物应由生产企业或其他单位回收处理，不可随意丢弃或作他用。4. 本品对水生生物有毒。避免在池塘、河流附近施用，鱼或虾蟹套养田禁用，施药后的田水不得直接排入水体。5.孕妇及哺乳期妇女禁止接触本品。</w:t>
            </w:r>
          </w:p>
        </w:tc>
      </w:tr>
      <w:tr w14:paraId="6AF41C8C">
        <w:tblPrEx>
          <w:tblCellMar>
            <w:top w:w="0" w:type="dxa"/>
            <w:left w:w="0" w:type="dxa"/>
            <w:bottom w:w="0" w:type="dxa"/>
            <w:right w:w="0" w:type="dxa"/>
          </w:tblCellMar>
        </w:tblPrEx>
        <w:trPr>
          <w:wBefore w:w="0" w:type="auto"/>
          <w:tblCellSpacing w:w="0" w:type="dxa"/>
        </w:trPr>
        <w:tc>
          <w:tcPr>
            <w:tcW w:w="0" w:type="auto"/>
            <w:noWrap w:val="0"/>
            <w:vAlign w:val="center"/>
          </w:tcPr>
          <w:p w14:paraId="2564C391">
            <w:r>
              <w:rPr>
                <w:rStyle w:val="10"/>
                <w:rFonts w:hint="eastAsia"/>
              </w:rPr>
              <w:t>中毒急救措施：</w:t>
            </w:r>
            <w:r>
              <w:rPr>
                <w:rFonts w:hint="eastAsia"/>
              </w:rPr>
              <w:br w:type="textWrapping"/>
            </w:r>
            <w:r>
              <w:rPr>
                <w:rStyle w:val="11"/>
                <w:rFonts w:hint="eastAsia"/>
              </w:rPr>
              <w:t>使用中或使用后如感觉不适，应立即采取急救措施。本品如误入眼睛，立即用清水至少冲洗15分钟，仍有不适立即就医；如接触皮肤，立即用清水冲洗并换洗衣物；如误服立即送医院对症治疗，无特殊解毒剂。</w:t>
            </w:r>
          </w:p>
        </w:tc>
      </w:tr>
      <w:tr w14:paraId="3349E37B">
        <w:tblPrEx>
          <w:tblCellMar>
            <w:top w:w="0" w:type="dxa"/>
            <w:left w:w="0" w:type="dxa"/>
            <w:bottom w:w="0" w:type="dxa"/>
            <w:right w:w="0" w:type="dxa"/>
          </w:tblCellMar>
        </w:tblPrEx>
        <w:trPr>
          <w:wBefore w:w="0" w:type="auto"/>
          <w:tblCellSpacing w:w="0" w:type="dxa"/>
        </w:trPr>
        <w:tc>
          <w:tcPr>
            <w:tcW w:w="0" w:type="auto"/>
            <w:noWrap w:val="0"/>
            <w:vAlign w:val="center"/>
          </w:tcPr>
          <w:p w14:paraId="476F29AE">
            <w:r>
              <w:rPr>
                <w:rStyle w:val="10"/>
                <w:rFonts w:hint="eastAsia"/>
              </w:rPr>
              <w:t>储存和运输方法：</w:t>
            </w:r>
            <w:r>
              <w:rPr>
                <w:rFonts w:hint="eastAsia"/>
              </w:rPr>
              <w:br w:type="textWrapping"/>
            </w:r>
            <w:r>
              <w:rPr>
                <w:rStyle w:val="11"/>
                <w:rFonts w:hint="eastAsia"/>
              </w:rPr>
              <w:t>本品储存应注意阴凉、干燥、通风，远离热源火源，不能与食品、饮料、粮食、饲料等物品同储同运。远离儿童无关人员及家畜并加锁，以免误服。避免与皮肤、眼睛接触。装卸运输时注意检查包装是否密封完整，轻拿轻放，不可倒置。</w:t>
            </w:r>
          </w:p>
        </w:tc>
      </w:tr>
      <w:tr w14:paraId="0C6220FA">
        <w:tblPrEx>
          <w:tblCellMar>
            <w:top w:w="0" w:type="dxa"/>
            <w:left w:w="0" w:type="dxa"/>
            <w:bottom w:w="0" w:type="dxa"/>
            <w:right w:w="0" w:type="dxa"/>
          </w:tblCellMar>
        </w:tblPrEx>
        <w:trPr>
          <w:wBefore w:w="0" w:type="auto"/>
          <w:tblCellSpacing w:w="0" w:type="dxa"/>
        </w:trPr>
        <w:tc>
          <w:tcPr>
            <w:tcW w:w="0" w:type="auto"/>
            <w:noWrap w:val="0"/>
            <w:vAlign w:val="center"/>
          </w:tcPr>
          <w:p w14:paraId="0AA4045A">
            <w:r>
              <w:rPr>
                <w:rStyle w:val="10"/>
                <w:rFonts w:hint="eastAsia"/>
              </w:rPr>
              <w:t>质量保证期：</w:t>
            </w:r>
            <w:r>
              <w:rPr>
                <w:rStyle w:val="11"/>
                <w:rFonts w:hint="eastAsia"/>
              </w:rPr>
              <w:t>2年</w:t>
            </w:r>
          </w:p>
        </w:tc>
      </w:tr>
      <w:tr w14:paraId="617E47D4">
        <w:tblPrEx>
          <w:tblCellMar>
            <w:top w:w="0" w:type="dxa"/>
            <w:left w:w="0" w:type="dxa"/>
            <w:bottom w:w="0" w:type="dxa"/>
            <w:right w:w="0" w:type="dxa"/>
          </w:tblCellMar>
        </w:tblPrEx>
        <w:trPr>
          <w:wBefore w:w="0" w:type="auto"/>
          <w:tblCellSpacing w:w="0" w:type="dxa"/>
        </w:trPr>
        <w:tc>
          <w:tcPr>
            <w:tcW w:w="0" w:type="auto"/>
            <w:noWrap w:val="0"/>
            <w:vAlign w:val="center"/>
          </w:tcPr>
          <w:p w14:paraId="19FBE2F3">
            <w:r>
              <w:rPr>
                <w:rStyle w:val="10"/>
                <w:rFonts w:hint="eastAsia"/>
              </w:rPr>
              <w:t>备注：</w:t>
            </w:r>
          </w:p>
        </w:tc>
      </w:tr>
    </w:tbl>
    <w:p w14:paraId="1C265B6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933D11C">
        <w:tblPrEx>
          <w:tblCellMar>
            <w:top w:w="0" w:type="dxa"/>
            <w:left w:w="0" w:type="dxa"/>
            <w:bottom w:w="0" w:type="dxa"/>
            <w:right w:w="0" w:type="dxa"/>
          </w:tblCellMar>
        </w:tblPrEx>
        <w:trPr>
          <w:wBefore w:w="0" w:type="auto"/>
          <w:tblCellSpacing w:w="0" w:type="dxa"/>
        </w:trPr>
        <w:tc>
          <w:tcPr>
            <w:tcW w:w="0" w:type="auto"/>
            <w:noWrap w:val="0"/>
            <w:vAlign w:val="center"/>
          </w:tcPr>
          <w:p w14:paraId="4D0758A3">
            <w:r>
              <w:rPr>
                <w:rStyle w:val="10"/>
                <w:rFonts w:hint="eastAsia"/>
              </w:rPr>
              <w:t>登记证号：</w:t>
            </w:r>
            <w:r>
              <w:rPr>
                <w:rFonts w:hint="eastAsia"/>
              </w:rPr>
              <w:t>PD20211925</w:t>
            </w:r>
          </w:p>
        </w:tc>
      </w:tr>
      <w:tr w14:paraId="32B14899">
        <w:tblPrEx>
          <w:tblCellMar>
            <w:top w:w="0" w:type="dxa"/>
            <w:left w:w="0" w:type="dxa"/>
            <w:bottom w:w="0" w:type="dxa"/>
            <w:right w:w="0" w:type="dxa"/>
          </w:tblCellMar>
        </w:tblPrEx>
        <w:trPr>
          <w:wBefore w:w="0" w:type="auto"/>
          <w:tblCellSpacing w:w="0" w:type="dxa"/>
        </w:trPr>
        <w:tc>
          <w:tcPr>
            <w:tcW w:w="0" w:type="auto"/>
            <w:noWrap w:val="0"/>
            <w:vAlign w:val="center"/>
          </w:tcPr>
          <w:p w14:paraId="11BDF7DB">
            <w:r>
              <w:rPr>
                <w:rStyle w:val="10"/>
                <w:rFonts w:hint="eastAsia"/>
              </w:rPr>
              <w:t>登记证持有人：</w:t>
            </w:r>
            <w:r>
              <w:rPr>
                <w:rFonts w:hint="eastAsia"/>
              </w:rPr>
              <w:t>山东大农药业有限公司</w:t>
            </w:r>
          </w:p>
        </w:tc>
      </w:tr>
      <w:tr w14:paraId="13459D57">
        <w:tblPrEx>
          <w:tblCellMar>
            <w:top w:w="0" w:type="dxa"/>
            <w:left w:w="0" w:type="dxa"/>
            <w:bottom w:w="0" w:type="dxa"/>
            <w:right w:w="0" w:type="dxa"/>
          </w:tblCellMar>
        </w:tblPrEx>
        <w:trPr>
          <w:wBefore w:w="0" w:type="auto"/>
          <w:tblCellSpacing w:w="0" w:type="dxa"/>
        </w:trPr>
        <w:tc>
          <w:tcPr>
            <w:tcW w:w="0" w:type="auto"/>
            <w:noWrap w:val="0"/>
            <w:vAlign w:val="center"/>
          </w:tcPr>
          <w:p w14:paraId="6042069E">
            <w:r>
              <w:rPr>
                <w:rStyle w:val="10"/>
                <w:rFonts w:hint="eastAsia"/>
              </w:rPr>
              <w:t>农药名称：</w:t>
            </w:r>
            <w:r>
              <w:rPr>
                <w:rFonts w:hint="eastAsia"/>
              </w:rPr>
              <w:t>阿维菌素</w:t>
            </w:r>
          </w:p>
        </w:tc>
      </w:tr>
      <w:tr w14:paraId="2CBE7D06">
        <w:tblPrEx>
          <w:tblCellMar>
            <w:top w:w="0" w:type="dxa"/>
            <w:left w:w="0" w:type="dxa"/>
            <w:bottom w:w="0" w:type="dxa"/>
            <w:right w:w="0" w:type="dxa"/>
          </w:tblCellMar>
        </w:tblPrEx>
        <w:trPr>
          <w:wBefore w:w="0" w:type="auto"/>
          <w:tblCellSpacing w:w="0" w:type="dxa"/>
        </w:trPr>
        <w:tc>
          <w:tcPr>
            <w:tcW w:w="0" w:type="auto"/>
            <w:noWrap w:val="0"/>
            <w:vAlign w:val="center"/>
          </w:tcPr>
          <w:p w14:paraId="5B47E1F7">
            <w:r>
              <w:rPr>
                <w:rStyle w:val="10"/>
                <w:rFonts w:hint="eastAsia"/>
              </w:rPr>
              <w:t>剂型：</w:t>
            </w:r>
            <w:r>
              <w:rPr>
                <w:rFonts w:hint="eastAsia"/>
              </w:rPr>
              <w:t>颗粒剂</w:t>
            </w:r>
          </w:p>
        </w:tc>
      </w:tr>
      <w:tr w14:paraId="733BDADD">
        <w:tblPrEx>
          <w:tblCellMar>
            <w:top w:w="0" w:type="dxa"/>
            <w:left w:w="0" w:type="dxa"/>
            <w:bottom w:w="0" w:type="dxa"/>
            <w:right w:w="0" w:type="dxa"/>
          </w:tblCellMar>
        </w:tblPrEx>
        <w:trPr>
          <w:wBefore w:w="0" w:type="auto"/>
          <w:tblCellSpacing w:w="0" w:type="dxa"/>
        </w:trPr>
        <w:tc>
          <w:tcPr>
            <w:tcW w:w="0" w:type="auto"/>
            <w:noWrap w:val="0"/>
            <w:vAlign w:val="center"/>
          </w:tcPr>
          <w:p w14:paraId="0E5FA57E">
            <w:r>
              <w:rPr>
                <w:rStyle w:val="10"/>
                <w:rFonts w:hint="eastAsia"/>
              </w:rPr>
              <w:t>毒性及其标识：</w:t>
            </w:r>
            <w:r>
              <w:rPr>
                <w:rFonts w:hint="eastAsia"/>
              </w:rPr>
              <w:t xml:space="preserve"> </w:t>
            </w:r>
            <w:r>
              <w:rPr>
                <w:lang/>
              </w:rPr>
              <w:drawing>
                <wp:inline distT="0" distB="0" distL="114300" distR="114300">
                  <wp:extent cx="476250" cy="323850"/>
                  <wp:effectExtent l="0" t="0" r="0" b="0"/>
                  <wp:docPr id="474" name="图片 47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350672D2">
        <w:tblPrEx>
          <w:tblCellMar>
            <w:top w:w="0" w:type="dxa"/>
            <w:left w:w="0" w:type="dxa"/>
            <w:bottom w:w="0" w:type="dxa"/>
            <w:right w:w="0" w:type="dxa"/>
          </w:tblCellMar>
        </w:tblPrEx>
        <w:trPr>
          <w:wBefore w:w="0" w:type="auto"/>
          <w:tblCellSpacing w:w="0" w:type="dxa"/>
        </w:trPr>
        <w:tc>
          <w:tcPr>
            <w:tcW w:w="0" w:type="auto"/>
            <w:noWrap w:val="0"/>
            <w:vAlign w:val="center"/>
          </w:tcPr>
          <w:p w14:paraId="027D8EE1">
            <w:r>
              <w:rPr>
                <w:rStyle w:val="10"/>
                <w:rFonts w:hint="eastAsia"/>
              </w:rPr>
              <w:t>总有效成分含量：</w:t>
            </w:r>
            <w:r>
              <w:rPr>
                <w:rFonts w:hint="eastAsia"/>
              </w:rPr>
              <w:t>1%</w:t>
            </w:r>
          </w:p>
        </w:tc>
      </w:tr>
      <w:tr w14:paraId="353B79A0">
        <w:tblPrEx>
          <w:tblCellMar>
            <w:top w:w="0" w:type="dxa"/>
            <w:left w:w="0" w:type="dxa"/>
            <w:bottom w:w="0" w:type="dxa"/>
            <w:right w:w="0" w:type="dxa"/>
          </w:tblCellMar>
        </w:tblPrEx>
        <w:trPr>
          <w:wBefore w:w="0" w:type="auto"/>
          <w:tblCellSpacing w:w="0" w:type="dxa"/>
        </w:trPr>
        <w:tc>
          <w:tcPr>
            <w:tcW w:w="0" w:type="auto"/>
            <w:noWrap w:val="0"/>
            <w:vAlign w:val="center"/>
          </w:tcPr>
          <w:p w14:paraId="27F66C7A">
            <w:r>
              <w:rPr>
                <w:rFonts w:hint="eastAsia"/>
              </w:rPr>
              <w:t xml:space="preserve">有效成分及其含量： </w:t>
            </w:r>
          </w:p>
          <w:p w14:paraId="25E2E7AF">
            <w:r>
              <w:rPr>
                <w:rFonts w:hint="eastAsia"/>
              </w:rPr>
              <w:t xml:space="preserve">    阿维菌素1%    </w:t>
            </w:r>
          </w:p>
        </w:tc>
      </w:tr>
      <w:tr w14:paraId="14E0D909">
        <w:tblPrEx>
          <w:tblCellMar>
            <w:top w:w="0" w:type="dxa"/>
            <w:left w:w="0" w:type="dxa"/>
            <w:bottom w:w="0" w:type="dxa"/>
            <w:right w:w="0" w:type="dxa"/>
          </w:tblCellMar>
        </w:tblPrEx>
        <w:trPr>
          <w:wBefore w:w="0" w:type="auto"/>
          <w:tblCellSpacing w:w="0" w:type="dxa"/>
        </w:trPr>
        <w:tc>
          <w:tcPr>
            <w:tcW w:w="0" w:type="auto"/>
            <w:noWrap w:val="0"/>
            <w:vAlign w:val="center"/>
          </w:tcPr>
          <w:p w14:paraId="5F3B103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B73BB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B6934D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F02AFF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8672D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7506302">
                  <w:r>
                    <w:rPr>
                      <w:rStyle w:val="11"/>
                      <w:rFonts w:hint="eastAsia"/>
                    </w:rPr>
                    <w:t>施用方式</w:t>
                  </w:r>
                </w:p>
              </w:tc>
            </w:tr>
            <w:tr w14:paraId="6A6F7D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12C2739">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BC59A3">
                  <w:r>
                    <w:rPr>
                      <w:rStyle w:val="11"/>
                      <w:rFonts w:hint="eastAsia"/>
                    </w:rPr>
                    <w:t>根结线虫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3CBAE5">
                  <w:r>
                    <w:rPr>
                      <w:rStyle w:val="11"/>
                      <w:rFonts w:hint="eastAsia"/>
                    </w:rPr>
                    <w:t>1500-2000克/亩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568188">
                  <w:r>
                    <w:rPr>
                      <w:rStyle w:val="11"/>
                      <w:rFonts w:hint="eastAsia"/>
                    </w:rPr>
                    <w:t>沟施</w:t>
                  </w:r>
                </w:p>
              </w:tc>
            </w:tr>
          </w:tbl>
          <w:p w14:paraId="4E0CA8AC">
            <w:pPr>
              <w:rPr>
                <w:rFonts w:ascii="Times New Roman" w:hAnsi="Times New Roman" w:cs="Times New Roman"/>
                <w:sz w:val="20"/>
                <w:szCs w:val="20"/>
              </w:rPr>
            </w:pPr>
          </w:p>
        </w:tc>
      </w:tr>
      <w:tr w14:paraId="73BD9F7E">
        <w:tblPrEx>
          <w:tblCellMar>
            <w:top w:w="0" w:type="dxa"/>
            <w:left w:w="0" w:type="dxa"/>
            <w:bottom w:w="0" w:type="dxa"/>
            <w:right w:w="0" w:type="dxa"/>
          </w:tblCellMar>
        </w:tblPrEx>
        <w:trPr>
          <w:wBefore w:w="0" w:type="auto"/>
          <w:tblCellSpacing w:w="0" w:type="dxa"/>
        </w:trPr>
        <w:tc>
          <w:tcPr>
            <w:tcW w:w="0" w:type="auto"/>
            <w:noWrap w:val="0"/>
            <w:vAlign w:val="center"/>
          </w:tcPr>
          <w:p w14:paraId="293BF1AD">
            <w:r>
              <w:rPr>
                <w:rStyle w:val="10"/>
                <w:rFonts w:hint="eastAsia"/>
              </w:rPr>
              <w:t>使用技术要求:</w:t>
            </w:r>
            <w:r>
              <w:rPr>
                <w:rFonts w:hint="eastAsia"/>
              </w:rPr>
              <w:br w:type="textWrapping"/>
            </w:r>
            <w:r>
              <w:rPr>
                <w:rStyle w:val="11"/>
                <w:rFonts w:hint="eastAsia"/>
              </w:rPr>
              <w:t>1.于黄瓜移栽时适量拌土，均匀撒于沟底，覆土。2.大风天或预计1小时内有降雨，请勿施药。作物每季最多施药1次。</w:t>
            </w:r>
          </w:p>
        </w:tc>
      </w:tr>
      <w:tr w14:paraId="4643A4CA">
        <w:tblPrEx>
          <w:tblCellMar>
            <w:top w:w="0" w:type="dxa"/>
            <w:left w:w="0" w:type="dxa"/>
            <w:bottom w:w="0" w:type="dxa"/>
            <w:right w:w="0" w:type="dxa"/>
          </w:tblCellMar>
        </w:tblPrEx>
        <w:trPr>
          <w:wBefore w:w="0" w:type="auto"/>
          <w:tblCellSpacing w:w="0" w:type="dxa"/>
        </w:trPr>
        <w:tc>
          <w:tcPr>
            <w:tcW w:w="0" w:type="auto"/>
            <w:noWrap w:val="0"/>
            <w:vAlign w:val="center"/>
          </w:tcPr>
          <w:p w14:paraId="02932A23">
            <w:r>
              <w:rPr>
                <w:rStyle w:val="10"/>
                <w:rFonts w:hint="eastAsia"/>
              </w:rPr>
              <w:t>产品性能:</w:t>
            </w:r>
            <w:r>
              <w:rPr>
                <w:rFonts w:hint="eastAsia"/>
              </w:rPr>
              <w:br w:type="textWrapping"/>
            </w:r>
            <w:r>
              <w:rPr>
                <w:rStyle w:val="11"/>
                <w:rFonts w:hint="eastAsia"/>
              </w:rPr>
              <w:t>本本品是生物源类根结线虫防治剂，具有触杀和胃毒作用。作用于害虫的神经系统，可有效防治黄瓜根结线虫幼虫。</w:t>
            </w:r>
          </w:p>
        </w:tc>
      </w:tr>
      <w:tr w14:paraId="73032A26">
        <w:tblPrEx>
          <w:tblCellMar>
            <w:top w:w="0" w:type="dxa"/>
            <w:left w:w="0" w:type="dxa"/>
            <w:bottom w:w="0" w:type="dxa"/>
            <w:right w:w="0" w:type="dxa"/>
          </w:tblCellMar>
        </w:tblPrEx>
        <w:trPr>
          <w:wBefore w:w="0" w:type="auto"/>
          <w:tblCellSpacing w:w="0" w:type="dxa"/>
        </w:trPr>
        <w:tc>
          <w:tcPr>
            <w:tcW w:w="0" w:type="auto"/>
            <w:noWrap w:val="0"/>
            <w:vAlign w:val="center"/>
          </w:tcPr>
          <w:p w14:paraId="4EFFBE61">
            <w:r>
              <w:rPr>
                <w:rStyle w:val="10"/>
                <w:rFonts w:hint="eastAsia"/>
              </w:rPr>
              <w:t>注意事项：</w:t>
            </w:r>
            <w:r>
              <w:rPr>
                <w:rFonts w:hint="eastAsia"/>
              </w:rPr>
              <w:br w:type="textWrapping"/>
            </w:r>
            <w:r>
              <w:rPr>
                <w:rStyle w:val="11"/>
                <w:rFonts w:hint="eastAsia"/>
              </w:rPr>
              <w:t>1、本品对眼睛有刺激作用，使用时避免眼睛接触。施药时应穿（戴）长衣、长裤、帽子、口罩、手套等安全防护措施。避免皮肤接触及口鼻吸入。施药期间不可进食或饮水。施药后应及时清洗手、脸等暴露部位皮肤并更换衣物。 2、本品对鱼类等水生生物有毒，避免药液污染水源。远离水产养殖区、河塘等水体附近施药，禁止在河塘等水域中清洗施药器具。鸟类保护区禁用。施药后立即覆土。 4、田间用药时，避免药剂接触到作物叶片上，以防产生药害。 5、孕妇、哺乳期妇女禁止接触本品。 6、建议与其它相同作用机制的杀线虫剂轮换使用。</w:t>
            </w:r>
          </w:p>
        </w:tc>
      </w:tr>
      <w:tr w14:paraId="6C0C7E19">
        <w:tblPrEx>
          <w:tblCellMar>
            <w:top w:w="0" w:type="dxa"/>
            <w:left w:w="0" w:type="dxa"/>
            <w:bottom w:w="0" w:type="dxa"/>
            <w:right w:w="0" w:type="dxa"/>
          </w:tblCellMar>
        </w:tblPrEx>
        <w:trPr>
          <w:wBefore w:w="0" w:type="auto"/>
          <w:tblCellSpacing w:w="0" w:type="dxa"/>
        </w:trPr>
        <w:tc>
          <w:tcPr>
            <w:tcW w:w="0" w:type="auto"/>
            <w:noWrap w:val="0"/>
            <w:vAlign w:val="center"/>
          </w:tcPr>
          <w:p w14:paraId="37A11978">
            <w:r>
              <w:rPr>
                <w:rStyle w:val="10"/>
                <w:rFonts w:hint="eastAsia"/>
              </w:rPr>
              <w:t>中毒急救措施：</w:t>
            </w:r>
            <w:r>
              <w:rPr>
                <w:rFonts w:hint="eastAsia"/>
              </w:rPr>
              <w:br w:type="textWrapping"/>
            </w:r>
            <w:r>
              <w:rPr>
                <w:rStyle w:val="11"/>
                <w:rFonts w:hint="eastAsia"/>
              </w:rPr>
              <w:t>1.中毒症状：早期症状为瞳孔放大，行动失调，肌肉颤抖，严重时导致呕吐。 2.误入眼睛，立即用清水至少冲洗15分钟，仍有不适应立即就医；接触皮肤，立即用清水冲洗并换洗衣物；误服立即送医院对症治疗，无特殊解毒剂。如不慎经口摄入，在病人清醒状态下，立即引吐，并给患者服用吐根糖浆或麻黄素，但勿给昏迷患者催吐或灌任何东西。抢救时避免给患者使用增强γ－氨基丁酸活性的药物。</w:t>
            </w:r>
          </w:p>
        </w:tc>
      </w:tr>
      <w:tr w14:paraId="3512ECEA">
        <w:tblPrEx>
          <w:tblCellMar>
            <w:top w:w="0" w:type="dxa"/>
            <w:left w:w="0" w:type="dxa"/>
            <w:bottom w:w="0" w:type="dxa"/>
            <w:right w:w="0" w:type="dxa"/>
          </w:tblCellMar>
        </w:tblPrEx>
        <w:trPr>
          <w:wBefore w:w="0" w:type="auto"/>
          <w:tblCellSpacing w:w="0" w:type="dxa"/>
        </w:trPr>
        <w:tc>
          <w:tcPr>
            <w:tcW w:w="0" w:type="auto"/>
            <w:noWrap w:val="0"/>
            <w:vAlign w:val="center"/>
          </w:tcPr>
          <w:p w14:paraId="3D30B45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0F3871F5">
        <w:tblPrEx>
          <w:tblCellMar>
            <w:top w:w="0" w:type="dxa"/>
            <w:left w:w="0" w:type="dxa"/>
            <w:bottom w:w="0" w:type="dxa"/>
            <w:right w:w="0" w:type="dxa"/>
          </w:tblCellMar>
        </w:tblPrEx>
        <w:trPr>
          <w:wBefore w:w="0" w:type="auto"/>
          <w:tblCellSpacing w:w="0" w:type="dxa"/>
        </w:trPr>
        <w:tc>
          <w:tcPr>
            <w:tcW w:w="0" w:type="auto"/>
            <w:noWrap w:val="0"/>
            <w:vAlign w:val="center"/>
          </w:tcPr>
          <w:p w14:paraId="5E57EA33">
            <w:r>
              <w:rPr>
                <w:rStyle w:val="10"/>
                <w:rFonts w:hint="eastAsia"/>
              </w:rPr>
              <w:t>质量保证期：</w:t>
            </w:r>
            <w:r>
              <w:rPr>
                <w:rStyle w:val="11"/>
                <w:rFonts w:hint="eastAsia"/>
              </w:rPr>
              <w:t>2年</w:t>
            </w:r>
          </w:p>
        </w:tc>
      </w:tr>
      <w:tr w14:paraId="5A42BE42">
        <w:tblPrEx>
          <w:tblCellMar>
            <w:top w:w="0" w:type="dxa"/>
            <w:left w:w="0" w:type="dxa"/>
            <w:bottom w:w="0" w:type="dxa"/>
            <w:right w:w="0" w:type="dxa"/>
          </w:tblCellMar>
        </w:tblPrEx>
        <w:trPr>
          <w:wBefore w:w="0" w:type="auto"/>
          <w:tblCellSpacing w:w="0" w:type="dxa"/>
        </w:trPr>
        <w:tc>
          <w:tcPr>
            <w:tcW w:w="0" w:type="auto"/>
            <w:noWrap w:val="0"/>
            <w:vAlign w:val="center"/>
          </w:tcPr>
          <w:p w14:paraId="6A372F33">
            <w:r>
              <w:rPr>
                <w:rStyle w:val="10"/>
                <w:rFonts w:hint="eastAsia"/>
              </w:rPr>
              <w:t>备注：</w:t>
            </w:r>
          </w:p>
        </w:tc>
      </w:tr>
    </w:tbl>
    <w:p w14:paraId="69A9919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C7CF558">
        <w:tblPrEx>
          <w:tblCellMar>
            <w:top w:w="0" w:type="dxa"/>
            <w:left w:w="0" w:type="dxa"/>
            <w:bottom w:w="0" w:type="dxa"/>
            <w:right w:w="0" w:type="dxa"/>
          </w:tblCellMar>
        </w:tblPrEx>
        <w:trPr>
          <w:wBefore w:w="0" w:type="auto"/>
          <w:tblCellSpacing w:w="0" w:type="dxa"/>
        </w:trPr>
        <w:tc>
          <w:tcPr>
            <w:tcW w:w="0" w:type="auto"/>
            <w:noWrap w:val="0"/>
            <w:vAlign w:val="center"/>
          </w:tcPr>
          <w:p w14:paraId="105B8F6E">
            <w:r>
              <w:rPr>
                <w:rStyle w:val="10"/>
                <w:rFonts w:hint="eastAsia"/>
              </w:rPr>
              <w:t>登记证号：</w:t>
            </w:r>
            <w:r>
              <w:rPr>
                <w:rFonts w:hint="eastAsia"/>
              </w:rPr>
              <w:t>WP20210233</w:t>
            </w:r>
          </w:p>
        </w:tc>
      </w:tr>
      <w:tr w14:paraId="62E4426D">
        <w:tblPrEx>
          <w:tblCellMar>
            <w:top w:w="0" w:type="dxa"/>
            <w:left w:w="0" w:type="dxa"/>
            <w:bottom w:w="0" w:type="dxa"/>
            <w:right w:w="0" w:type="dxa"/>
          </w:tblCellMar>
        </w:tblPrEx>
        <w:trPr>
          <w:wBefore w:w="0" w:type="auto"/>
          <w:tblCellSpacing w:w="0" w:type="dxa"/>
        </w:trPr>
        <w:tc>
          <w:tcPr>
            <w:tcW w:w="0" w:type="auto"/>
            <w:noWrap w:val="0"/>
            <w:vAlign w:val="center"/>
          </w:tcPr>
          <w:p w14:paraId="0F249AA1">
            <w:r>
              <w:rPr>
                <w:rStyle w:val="10"/>
                <w:rFonts w:hint="eastAsia"/>
              </w:rPr>
              <w:t>登记证持有人：</w:t>
            </w:r>
            <w:r>
              <w:rPr>
                <w:rFonts w:hint="eastAsia"/>
              </w:rPr>
              <w:t>福建省泉州大通日化有限公司</w:t>
            </w:r>
          </w:p>
        </w:tc>
      </w:tr>
      <w:tr w14:paraId="3F099716">
        <w:tblPrEx>
          <w:tblCellMar>
            <w:top w:w="0" w:type="dxa"/>
            <w:left w:w="0" w:type="dxa"/>
            <w:bottom w:w="0" w:type="dxa"/>
            <w:right w:w="0" w:type="dxa"/>
          </w:tblCellMar>
        </w:tblPrEx>
        <w:trPr>
          <w:wBefore w:w="0" w:type="auto"/>
          <w:tblCellSpacing w:w="0" w:type="dxa"/>
        </w:trPr>
        <w:tc>
          <w:tcPr>
            <w:tcW w:w="0" w:type="auto"/>
            <w:noWrap w:val="0"/>
            <w:vAlign w:val="center"/>
          </w:tcPr>
          <w:p w14:paraId="68D2EA96">
            <w:r>
              <w:rPr>
                <w:rStyle w:val="10"/>
                <w:rFonts w:hint="eastAsia"/>
              </w:rPr>
              <w:t>农药名称：</w:t>
            </w:r>
            <w:r>
              <w:rPr>
                <w:rFonts w:hint="eastAsia"/>
              </w:rPr>
              <w:t>蚊香</w:t>
            </w:r>
          </w:p>
        </w:tc>
      </w:tr>
      <w:tr w14:paraId="7C1F6CA9">
        <w:tblPrEx>
          <w:tblCellMar>
            <w:top w:w="0" w:type="dxa"/>
            <w:left w:w="0" w:type="dxa"/>
            <w:bottom w:w="0" w:type="dxa"/>
            <w:right w:w="0" w:type="dxa"/>
          </w:tblCellMar>
        </w:tblPrEx>
        <w:trPr>
          <w:wBefore w:w="0" w:type="auto"/>
          <w:tblCellSpacing w:w="0" w:type="dxa"/>
        </w:trPr>
        <w:tc>
          <w:tcPr>
            <w:tcW w:w="0" w:type="auto"/>
            <w:noWrap w:val="0"/>
            <w:vAlign w:val="center"/>
          </w:tcPr>
          <w:p w14:paraId="18B62538">
            <w:r>
              <w:rPr>
                <w:rStyle w:val="10"/>
                <w:rFonts w:hint="eastAsia"/>
              </w:rPr>
              <w:t>剂型：</w:t>
            </w:r>
            <w:r>
              <w:rPr>
                <w:rFonts w:hint="eastAsia"/>
              </w:rPr>
              <w:t>蚊香</w:t>
            </w:r>
          </w:p>
        </w:tc>
      </w:tr>
      <w:tr w14:paraId="6E8FEE2A">
        <w:tblPrEx>
          <w:tblCellMar>
            <w:top w:w="0" w:type="dxa"/>
            <w:left w:w="0" w:type="dxa"/>
            <w:bottom w:w="0" w:type="dxa"/>
            <w:right w:w="0" w:type="dxa"/>
          </w:tblCellMar>
        </w:tblPrEx>
        <w:trPr>
          <w:wBefore w:w="0" w:type="auto"/>
          <w:tblCellSpacing w:w="0" w:type="dxa"/>
        </w:trPr>
        <w:tc>
          <w:tcPr>
            <w:tcW w:w="0" w:type="auto"/>
            <w:noWrap w:val="0"/>
            <w:vAlign w:val="center"/>
          </w:tcPr>
          <w:p w14:paraId="7554619D">
            <w:r>
              <w:rPr>
                <w:rStyle w:val="10"/>
                <w:rFonts w:hint="eastAsia"/>
              </w:rPr>
              <w:t>毒性及其标识：</w:t>
            </w:r>
            <w:r>
              <w:rPr>
                <w:rFonts w:hint="eastAsia"/>
              </w:rPr>
              <w:t xml:space="preserve"> 微毒 </w:t>
            </w:r>
          </w:p>
        </w:tc>
      </w:tr>
      <w:tr w14:paraId="2C21302D">
        <w:tblPrEx>
          <w:tblCellMar>
            <w:top w:w="0" w:type="dxa"/>
            <w:left w:w="0" w:type="dxa"/>
            <w:bottom w:w="0" w:type="dxa"/>
            <w:right w:w="0" w:type="dxa"/>
          </w:tblCellMar>
        </w:tblPrEx>
        <w:trPr>
          <w:wBefore w:w="0" w:type="auto"/>
          <w:tblCellSpacing w:w="0" w:type="dxa"/>
        </w:trPr>
        <w:tc>
          <w:tcPr>
            <w:tcW w:w="0" w:type="auto"/>
            <w:noWrap w:val="0"/>
            <w:vAlign w:val="center"/>
          </w:tcPr>
          <w:p w14:paraId="1BC2014B">
            <w:r>
              <w:rPr>
                <w:rStyle w:val="10"/>
                <w:rFonts w:hint="eastAsia"/>
              </w:rPr>
              <w:t>总有效成分含量：</w:t>
            </w:r>
            <w:r>
              <w:rPr>
                <w:rFonts w:hint="eastAsia"/>
              </w:rPr>
              <w:t>0.05%</w:t>
            </w:r>
          </w:p>
        </w:tc>
      </w:tr>
      <w:tr w14:paraId="28B4E716">
        <w:tblPrEx>
          <w:tblCellMar>
            <w:top w:w="0" w:type="dxa"/>
            <w:left w:w="0" w:type="dxa"/>
            <w:bottom w:w="0" w:type="dxa"/>
            <w:right w:w="0" w:type="dxa"/>
          </w:tblCellMar>
        </w:tblPrEx>
        <w:trPr>
          <w:wBefore w:w="0" w:type="auto"/>
          <w:tblCellSpacing w:w="0" w:type="dxa"/>
        </w:trPr>
        <w:tc>
          <w:tcPr>
            <w:tcW w:w="0" w:type="auto"/>
            <w:noWrap w:val="0"/>
            <w:vAlign w:val="center"/>
          </w:tcPr>
          <w:p w14:paraId="6AB5792F">
            <w:r>
              <w:rPr>
                <w:rFonts w:hint="eastAsia"/>
              </w:rPr>
              <w:t xml:space="preserve">有效成分及其含量： </w:t>
            </w:r>
          </w:p>
          <w:p w14:paraId="6BB8C27B">
            <w:r>
              <w:rPr>
                <w:rFonts w:hint="eastAsia"/>
              </w:rPr>
              <w:t xml:space="preserve">    氯氟醚菊酯0.05%    </w:t>
            </w:r>
          </w:p>
        </w:tc>
      </w:tr>
      <w:tr w14:paraId="0131ADC7">
        <w:tblPrEx>
          <w:tblCellMar>
            <w:top w:w="0" w:type="dxa"/>
            <w:left w:w="0" w:type="dxa"/>
            <w:bottom w:w="0" w:type="dxa"/>
            <w:right w:w="0" w:type="dxa"/>
          </w:tblCellMar>
        </w:tblPrEx>
        <w:trPr>
          <w:wBefore w:w="0" w:type="auto"/>
          <w:tblCellSpacing w:w="0" w:type="dxa"/>
        </w:trPr>
        <w:tc>
          <w:tcPr>
            <w:tcW w:w="0" w:type="auto"/>
            <w:noWrap w:val="0"/>
            <w:vAlign w:val="center"/>
          </w:tcPr>
          <w:p w14:paraId="497E29F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67CDC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F82F2F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4FDD8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A60EBA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E4D7042">
                  <w:r>
                    <w:rPr>
                      <w:rStyle w:val="11"/>
                      <w:rFonts w:hint="eastAsia"/>
                    </w:rPr>
                    <w:t>施用方式</w:t>
                  </w:r>
                </w:p>
              </w:tc>
            </w:tr>
            <w:tr w14:paraId="0807BA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9A6C8FE">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07CF11">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F35180">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F156F5">
                  <w:r>
                    <w:rPr>
                      <w:rStyle w:val="11"/>
                      <w:rFonts w:hint="eastAsia"/>
                    </w:rPr>
                    <w:t>点燃</w:t>
                  </w:r>
                </w:p>
              </w:tc>
            </w:tr>
          </w:tbl>
          <w:p w14:paraId="37678DFF">
            <w:pPr>
              <w:rPr>
                <w:rFonts w:ascii="Times New Roman" w:hAnsi="Times New Roman" w:cs="Times New Roman"/>
                <w:sz w:val="20"/>
                <w:szCs w:val="20"/>
              </w:rPr>
            </w:pPr>
          </w:p>
        </w:tc>
      </w:tr>
      <w:tr w14:paraId="15A3A77D">
        <w:tblPrEx>
          <w:tblCellMar>
            <w:top w:w="0" w:type="dxa"/>
            <w:left w:w="0" w:type="dxa"/>
            <w:bottom w:w="0" w:type="dxa"/>
            <w:right w:w="0" w:type="dxa"/>
          </w:tblCellMar>
        </w:tblPrEx>
        <w:trPr>
          <w:wBefore w:w="0" w:type="auto"/>
          <w:tblCellSpacing w:w="0" w:type="dxa"/>
        </w:trPr>
        <w:tc>
          <w:tcPr>
            <w:tcW w:w="0" w:type="auto"/>
            <w:noWrap w:val="0"/>
            <w:vAlign w:val="center"/>
          </w:tcPr>
          <w:p w14:paraId="73E9E261">
            <w:r>
              <w:rPr>
                <w:rStyle w:val="10"/>
                <w:rFonts w:hint="eastAsia"/>
              </w:rPr>
              <w:t>使用技术要求:</w:t>
            </w:r>
            <w:r>
              <w:rPr>
                <w:rFonts w:hint="eastAsia"/>
              </w:rPr>
              <w:br w:type="textWrapping"/>
            </w:r>
            <w:r>
              <w:rPr>
                <w:rStyle w:val="11"/>
                <w:rFonts w:hint="eastAsia"/>
              </w:rPr>
              <w:t>1. 将蚊香脱开成两单圈； 2. 点燃香圈末端，插放于铁架上； 3. 单段香体可夹在铁架上正常燃用。</w:t>
            </w:r>
          </w:p>
        </w:tc>
      </w:tr>
      <w:tr w14:paraId="3B95F5C1">
        <w:tblPrEx>
          <w:tblCellMar>
            <w:top w:w="0" w:type="dxa"/>
            <w:left w:w="0" w:type="dxa"/>
            <w:bottom w:w="0" w:type="dxa"/>
            <w:right w:w="0" w:type="dxa"/>
          </w:tblCellMar>
        </w:tblPrEx>
        <w:trPr>
          <w:wBefore w:w="0" w:type="auto"/>
          <w:tblCellSpacing w:w="0" w:type="dxa"/>
        </w:trPr>
        <w:tc>
          <w:tcPr>
            <w:tcW w:w="0" w:type="auto"/>
            <w:noWrap w:val="0"/>
            <w:vAlign w:val="center"/>
          </w:tcPr>
          <w:p w14:paraId="52343EA6">
            <w:r>
              <w:rPr>
                <w:rStyle w:val="10"/>
                <w:rFonts w:hint="eastAsia"/>
              </w:rPr>
              <w:t>产品性能:</w:t>
            </w:r>
            <w:r>
              <w:rPr>
                <w:rFonts w:hint="eastAsia"/>
              </w:rPr>
              <w:br w:type="textWrapping"/>
            </w:r>
            <w:r>
              <w:rPr>
                <w:rStyle w:val="11"/>
                <w:rFonts w:hint="eastAsia"/>
              </w:rPr>
              <w:t>本品以氯氟醚菊酯为有效成分，有效驱蚊。</w:t>
            </w:r>
          </w:p>
        </w:tc>
      </w:tr>
      <w:tr w14:paraId="3FDFA10F">
        <w:tblPrEx>
          <w:tblCellMar>
            <w:top w:w="0" w:type="dxa"/>
            <w:left w:w="0" w:type="dxa"/>
            <w:bottom w:w="0" w:type="dxa"/>
            <w:right w:w="0" w:type="dxa"/>
          </w:tblCellMar>
        </w:tblPrEx>
        <w:trPr>
          <w:wBefore w:w="0" w:type="auto"/>
          <w:tblCellSpacing w:w="0" w:type="dxa"/>
        </w:trPr>
        <w:tc>
          <w:tcPr>
            <w:tcW w:w="0" w:type="auto"/>
            <w:noWrap w:val="0"/>
            <w:vAlign w:val="center"/>
          </w:tcPr>
          <w:p w14:paraId="3EFDA3FB">
            <w:r>
              <w:rPr>
                <w:rStyle w:val="10"/>
                <w:rFonts w:hint="eastAsia"/>
              </w:rPr>
              <w:t>注意事项：</w:t>
            </w:r>
            <w:r>
              <w:rPr>
                <w:rFonts w:hint="eastAsia"/>
              </w:rPr>
              <w:br w:type="textWrapping"/>
            </w:r>
            <w:r>
              <w:rPr>
                <w:rStyle w:val="11"/>
                <w:rFonts w:hint="eastAsia"/>
              </w:rPr>
              <w:t>1. 仅限室内使用，燃点使用时远离可燃物，勿用易燃品做接灰盘； 2. 在铁架上燃点蚊香，以确保最佳效果； 3. 对鱼、蚕有毒，蚕室及其附近禁用，用后请洗手； 4. 使用时注意通风，注意防火安全； 5. 孕妇及哺乳期妇女禁止接触。</w:t>
            </w:r>
          </w:p>
        </w:tc>
      </w:tr>
      <w:tr w14:paraId="60387B07">
        <w:tblPrEx>
          <w:tblCellMar>
            <w:top w:w="0" w:type="dxa"/>
            <w:left w:w="0" w:type="dxa"/>
            <w:bottom w:w="0" w:type="dxa"/>
            <w:right w:w="0" w:type="dxa"/>
          </w:tblCellMar>
        </w:tblPrEx>
        <w:trPr>
          <w:wBefore w:w="0" w:type="auto"/>
          <w:tblCellSpacing w:w="0" w:type="dxa"/>
        </w:trPr>
        <w:tc>
          <w:tcPr>
            <w:tcW w:w="0" w:type="auto"/>
            <w:noWrap w:val="0"/>
            <w:vAlign w:val="center"/>
          </w:tcPr>
          <w:p w14:paraId="1676D303">
            <w:r>
              <w:rPr>
                <w:rStyle w:val="10"/>
                <w:rFonts w:hint="eastAsia"/>
              </w:rPr>
              <w:t>中毒急救措施：</w:t>
            </w:r>
            <w:r>
              <w:rPr>
                <w:rFonts w:hint="eastAsia"/>
              </w:rPr>
              <w:br w:type="textWrapping"/>
            </w:r>
            <w:r>
              <w:rPr>
                <w:rStyle w:val="11"/>
                <w:rFonts w:hint="eastAsia"/>
              </w:rPr>
              <w:t>1.过敏者可能引起头晕、恶心等症状，应将病人移至空气流通处。 2.误食、吸入不适或使用中有任何不良反应请携此标签及时就医，对症治 疗。</w:t>
            </w:r>
          </w:p>
        </w:tc>
      </w:tr>
      <w:tr w14:paraId="65C197DB">
        <w:tblPrEx>
          <w:tblCellMar>
            <w:top w:w="0" w:type="dxa"/>
            <w:left w:w="0" w:type="dxa"/>
            <w:bottom w:w="0" w:type="dxa"/>
            <w:right w:w="0" w:type="dxa"/>
          </w:tblCellMar>
        </w:tblPrEx>
        <w:trPr>
          <w:wBefore w:w="0" w:type="auto"/>
          <w:tblCellSpacing w:w="0" w:type="dxa"/>
        </w:trPr>
        <w:tc>
          <w:tcPr>
            <w:tcW w:w="0" w:type="auto"/>
            <w:noWrap w:val="0"/>
            <w:vAlign w:val="center"/>
          </w:tcPr>
          <w:p w14:paraId="473FC7D8">
            <w:r>
              <w:rPr>
                <w:rStyle w:val="10"/>
                <w:rFonts w:hint="eastAsia"/>
              </w:rPr>
              <w:t>储存和运输方法：</w:t>
            </w:r>
            <w:r>
              <w:rPr>
                <w:rFonts w:hint="eastAsia"/>
              </w:rPr>
              <w:br w:type="textWrapping"/>
            </w:r>
            <w:r>
              <w:rPr>
                <w:rStyle w:val="11"/>
                <w:rFonts w:hint="eastAsia"/>
              </w:rPr>
              <w:t>1.本品应存放于阴凉、干燥处，远离火源或热源； 2.本品应置于儿童、无关人员及动物接触不到的地方，并加锁保存； 3.搬运时要轻取轻放，防止剧烈震动、日晒、雨淋和重压，不得倒置； 4.不能与食物、饮料、粮食、种子、饲料或易燃易爆品等混合贮存运输。</w:t>
            </w:r>
          </w:p>
        </w:tc>
      </w:tr>
      <w:tr w14:paraId="12FB29AF">
        <w:tblPrEx>
          <w:tblCellMar>
            <w:top w:w="0" w:type="dxa"/>
            <w:left w:w="0" w:type="dxa"/>
            <w:bottom w:w="0" w:type="dxa"/>
            <w:right w:w="0" w:type="dxa"/>
          </w:tblCellMar>
        </w:tblPrEx>
        <w:trPr>
          <w:wBefore w:w="0" w:type="auto"/>
          <w:tblCellSpacing w:w="0" w:type="dxa"/>
        </w:trPr>
        <w:tc>
          <w:tcPr>
            <w:tcW w:w="0" w:type="auto"/>
            <w:noWrap w:val="0"/>
            <w:vAlign w:val="center"/>
          </w:tcPr>
          <w:p w14:paraId="0E481902">
            <w:r>
              <w:rPr>
                <w:rStyle w:val="10"/>
                <w:rFonts w:hint="eastAsia"/>
              </w:rPr>
              <w:t>质量保证期：</w:t>
            </w:r>
            <w:r>
              <w:rPr>
                <w:rStyle w:val="11"/>
                <w:rFonts w:hint="eastAsia"/>
              </w:rPr>
              <w:t>2年</w:t>
            </w:r>
          </w:p>
        </w:tc>
      </w:tr>
      <w:tr w14:paraId="3DA6461D">
        <w:tblPrEx>
          <w:tblCellMar>
            <w:top w:w="0" w:type="dxa"/>
            <w:left w:w="0" w:type="dxa"/>
            <w:bottom w:w="0" w:type="dxa"/>
            <w:right w:w="0" w:type="dxa"/>
          </w:tblCellMar>
        </w:tblPrEx>
        <w:trPr>
          <w:wBefore w:w="0" w:type="auto"/>
          <w:tblCellSpacing w:w="0" w:type="dxa"/>
        </w:trPr>
        <w:tc>
          <w:tcPr>
            <w:tcW w:w="0" w:type="auto"/>
            <w:noWrap w:val="0"/>
            <w:vAlign w:val="center"/>
          </w:tcPr>
          <w:p w14:paraId="4CE7F087">
            <w:r>
              <w:rPr>
                <w:rStyle w:val="10"/>
                <w:rFonts w:hint="eastAsia"/>
              </w:rPr>
              <w:t>备注：</w:t>
            </w:r>
          </w:p>
        </w:tc>
      </w:tr>
    </w:tbl>
    <w:p w14:paraId="14600A4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E6B4F13">
        <w:tblPrEx>
          <w:tblCellMar>
            <w:top w:w="0" w:type="dxa"/>
            <w:left w:w="0" w:type="dxa"/>
            <w:bottom w:w="0" w:type="dxa"/>
            <w:right w:w="0" w:type="dxa"/>
          </w:tblCellMar>
        </w:tblPrEx>
        <w:trPr>
          <w:wBefore w:w="0" w:type="auto"/>
          <w:tblCellSpacing w:w="0" w:type="dxa"/>
        </w:trPr>
        <w:tc>
          <w:tcPr>
            <w:tcW w:w="0" w:type="auto"/>
            <w:noWrap w:val="0"/>
            <w:vAlign w:val="center"/>
          </w:tcPr>
          <w:p w14:paraId="0A323DF2">
            <w:r>
              <w:rPr>
                <w:rStyle w:val="10"/>
                <w:rFonts w:hint="eastAsia"/>
              </w:rPr>
              <w:t>登记证号：</w:t>
            </w:r>
            <w:r>
              <w:rPr>
                <w:rFonts w:hint="eastAsia"/>
              </w:rPr>
              <w:t>PD20211950</w:t>
            </w:r>
          </w:p>
        </w:tc>
      </w:tr>
      <w:tr w14:paraId="54FA71D3">
        <w:tblPrEx>
          <w:tblCellMar>
            <w:top w:w="0" w:type="dxa"/>
            <w:left w:w="0" w:type="dxa"/>
            <w:bottom w:w="0" w:type="dxa"/>
            <w:right w:w="0" w:type="dxa"/>
          </w:tblCellMar>
        </w:tblPrEx>
        <w:trPr>
          <w:wBefore w:w="0" w:type="auto"/>
          <w:tblCellSpacing w:w="0" w:type="dxa"/>
        </w:trPr>
        <w:tc>
          <w:tcPr>
            <w:tcW w:w="0" w:type="auto"/>
            <w:noWrap w:val="0"/>
            <w:vAlign w:val="center"/>
          </w:tcPr>
          <w:p w14:paraId="191D7DFF">
            <w:r>
              <w:rPr>
                <w:rStyle w:val="10"/>
                <w:rFonts w:hint="eastAsia"/>
              </w:rPr>
              <w:t>登记证持有人：</w:t>
            </w:r>
            <w:r>
              <w:rPr>
                <w:rFonts w:hint="eastAsia"/>
              </w:rPr>
              <w:t>陕西美邦药业集团股份有限公司</w:t>
            </w:r>
          </w:p>
        </w:tc>
      </w:tr>
      <w:tr w14:paraId="2DC789C7">
        <w:tblPrEx>
          <w:tblCellMar>
            <w:top w:w="0" w:type="dxa"/>
            <w:left w:w="0" w:type="dxa"/>
            <w:bottom w:w="0" w:type="dxa"/>
            <w:right w:w="0" w:type="dxa"/>
          </w:tblCellMar>
        </w:tblPrEx>
        <w:trPr>
          <w:wBefore w:w="0" w:type="auto"/>
          <w:tblCellSpacing w:w="0" w:type="dxa"/>
        </w:trPr>
        <w:tc>
          <w:tcPr>
            <w:tcW w:w="0" w:type="auto"/>
            <w:noWrap w:val="0"/>
            <w:vAlign w:val="center"/>
          </w:tcPr>
          <w:p w14:paraId="40B23DA0">
            <w:r>
              <w:rPr>
                <w:rStyle w:val="10"/>
                <w:rFonts w:hint="eastAsia"/>
              </w:rPr>
              <w:t>农药名称：</w:t>
            </w:r>
            <w:r>
              <w:rPr>
                <w:rFonts w:hint="eastAsia"/>
              </w:rPr>
              <w:t>噁霜灵·氟吡菌胺</w:t>
            </w:r>
          </w:p>
        </w:tc>
      </w:tr>
      <w:tr w14:paraId="0E1B6A2A">
        <w:tblPrEx>
          <w:tblCellMar>
            <w:top w:w="0" w:type="dxa"/>
            <w:left w:w="0" w:type="dxa"/>
            <w:bottom w:w="0" w:type="dxa"/>
            <w:right w:w="0" w:type="dxa"/>
          </w:tblCellMar>
        </w:tblPrEx>
        <w:trPr>
          <w:wBefore w:w="0" w:type="auto"/>
          <w:tblCellSpacing w:w="0" w:type="dxa"/>
        </w:trPr>
        <w:tc>
          <w:tcPr>
            <w:tcW w:w="0" w:type="auto"/>
            <w:noWrap w:val="0"/>
            <w:vAlign w:val="center"/>
          </w:tcPr>
          <w:p w14:paraId="44B6755A">
            <w:r>
              <w:rPr>
                <w:rStyle w:val="10"/>
                <w:rFonts w:hint="eastAsia"/>
              </w:rPr>
              <w:t>剂型：</w:t>
            </w:r>
            <w:r>
              <w:rPr>
                <w:rFonts w:hint="eastAsia"/>
              </w:rPr>
              <w:t>水分散粒剂</w:t>
            </w:r>
          </w:p>
        </w:tc>
      </w:tr>
      <w:tr w14:paraId="1D8371ED">
        <w:tblPrEx>
          <w:tblCellMar>
            <w:top w:w="0" w:type="dxa"/>
            <w:left w:w="0" w:type="dxa"/>
            <w:bottom w:w="0" w:type="dxa"/>
            <w:right w:w="0" w:type="dxa"/>
          </w:tblCellMar>
        </w:tblPrEx>
        <w:trPr>
          <w:wBefore w:w="0" w:type="auto"/>
          <w:tblCellSpacing w:w="0" w:type="dxa"/>
        </w:trPr>
        <w:tc>
          <w:tcPr>
            <w:tcW w:w="0" w:type="auto"/>
            <w:noWrap w:val="0"/>
            <w:vAlign w:val="center"/>
          </w:tcPr>
          <w:p w14:paraId="09E1520A">
            <w:r>
              <w:rPr>
                <w:rStyle w:val="10"/>
                <w:rFonts w:hint="eastAsia"/>
              </w:rPr>
              <w:t>毒性及其标识：</w:t>
            </w:r>
            <w:r>
              <w:rPr>
                <w:rFonts w:hint="eastAsia"/>
              </w:rPr>
              <w:t xml:space="preserve"> </w:t>
            </w:r>
            <w:r>
              <w:rPr>
                <w:lang/>
              </w:rPr>
              <w:drawing>
                <wp:inline distT="0" distB="0" distL="114300" distR="114300">
                  <wp:extent cx="476250" cy="323850"/>
                  <wp:effectExtent l="0" t="0" r="0" b="0"/>
                  <wp:docPr id="475" name="图片 47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531D2C4">
        <w:tblPrEx>
          <w:tblCellMar>
            <w:top w:w="0" w:type="dxa"/>
            <w:left w:w="0" w:type="dxa"/>
            <w:bottom w:w="0" w:type="dxa"/>
            <w:right w:w="0" w:type="dxa"/>
          </w:tblCellMar>
        </w:tblPrEx>
        <w:trPr>
          <w:wBefore w:w="0" w:type="auto"/>
          <w:tblCellSpacing w:w="0" w:type="dxa"/>
        </w:trPr>
        <w:tc>
          <w:tcPr>
            <w:tcW w:w="0" w:type="auto"/>
            <w:noWrap w:val="0"/>
            <w:vAlign w:val="center"/>
          </w:tcPr>
          <w:p w14:paraId="3BA92204">
            <w:r>
              <w:rPr>
                <w:rStyle w:val="10"/>
                <w:rFonts w:hint="eastAsia"/>
              </w:rPr>
              <w:t>总有效成分含量：</w:t>
            </w:r>
            <w:r>
              <w:rPr>
                <w:rFonts w:hint="eastAsia"/>
              </w:rPr>
              <w:t>28%</w:t>
            </w:r>
          </w:p>
        </w:tc>
      </w:tr>
      <w:tr w14:paraId="471AA3A1">
        <w:tblPrEx>
          <w:tblCellMar>
            <w:top w:w="0" w:type="dxa"/>
            <w:left w:w="0" w:type="dxa"/>
            <w:bottom w:w="0" w:type="dxa"/>
            <w:right w:w="0" w:type="dxa"/>
          </w:tblCellMar>
        </w:tblPrEx>
        <w:trPr>
          <w:wBefore w:w="0" w:type="auto"/>
          <w:tblCellSpacing w:w="0" w:type="dxa"/>
        </w:trPr>
        <w:tc>
          <w:tcPr>
            <w:tcW w:w="0" w:type="auto"/>
            <w:noWrap w:val="0"/>
            <w:vAlign w:val="center"/>
          </w:tcPr>
          <w:p w14:paraId="03D03160">
            <w:r>
              <w:rPr>
                <w:rFonts w:hint="eastAsia"/>
              </w:rPr>
              <w:t xml:space="preserve">有效成分及其含量： </w:t>
            </w:r>
          </w:p>
          <w:p w14:paraId="14C18B7C">
            <w:r>
              <w:rPr>
                <w:rFonts w:hint="eastAsia"/>
              </w:rPr>
              <w:t xml:space="preserve">    氟吡菌胺8%    噁霜灵20%    </w:t>
            </w:r>
          </w:p>
        </w:tc>
      </w:tr>
      <w:tr w14:paraId="094B73DE">
        <w:tblPrEx>
          <w:tblCellMar>
            <w:top w:w="0" w:type="dxa"/>
            <w:left w:w="0" w:type="dxa"/>
            <w:bottom w:w="0" w:type="dxa"/>
            <w:right w:w="0" w:type="dxa"/>
          </w:tblCellMar>
        </w:tblPrEx>
        <w:trPr>
          <w:wBefore w:w="0" w:type="auto"/>
          <w:tblCellSpacing w:w="0" w:type="dxa"/>
        </w:trPr>
        <w:tc>
          <w:tcPr>
            <w:tcW w:w="0" w:type="auto"/>
            <w:noWrap w:val="0"/>
            <w:vAlign w:val="center"/>
          </w:tcPr>
          <w:p w14:paraId="523D5B8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5E830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83569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183E92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04E898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0D4697D">
                  <w:r>
                    <w:rPr>
                      <w:rStyle w:val="11"/>
                      <w:rFonts w:hint="eastAsia"/>
                    </w:rPr>
                    <w:t>施用方式</w:t>
                  </w:r>
                </w:p>
              </w:tc>
            </w:tr>
            <w:tr w14:paraId="54ADB3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5CBEBA7">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DDC1F3">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A0FAC5">
                  <w:r>
                    <w:rPr>
                      <w:rStyle w:val="11"/>
                      <w:rFonts w:hint="eastAsia"/>
                    </w:rPr>
                    <w:t>40-50克/亩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D08095">
                  <w:r>
                    <w:rPr>
                      <w:rStyle w:val="11"/>
                      <w:rFonts w:hint="eastAsia"/>
                    </w:rPr>
                    <w:t>喷雾</w:t>
                  </w:r>
                </w:p>
              </w:tc>
            </w:tr>
          </w:tbl>
          <w:p w14:paraId="775E5685">
            <w:pPr>
              <w:rPr>
                <w:rFonts w:ascii="Times New Roman" w:hAnsi="Times New Roman" w:cs="Times New Roman"/>
                <w:sz w:val="20"/>
                <w:szCs w:val="20"/>
              </w:rPr>
            </w:pPr>
          </w:p>
        </w:tc>
      </w:tr>
      <w:tr w14:paraId="055069CC">
        <w:tblPrEx>
          <w:tblCellMar>
            <w:top w:w="0" w:type="dxa"/>
            <w:left w:w="0" w:type="dxa"/>
            <w:bottom w:w="0" w:type="dxa"/>
            <w:right w:w="0" w:type="dxa"/>
          </w:tblCellMar>
        </w:tblPrEx>
        <w:trPr>
          <w:wBefore w:w="0" w:type="auto"/>
          <w:tblCellSpacing w:w="0" w:type="dxa"/>
        </w:trPr>
        <w:tc>
          <w:tcPr>
            <w:tcW w:w="0" w:type="auto"/>
            <w:noWrap w:val="0"/>
            <w:vAlign w:val="center"/>
          </w:tcPr>
          <w:p w14:paraId="43B8CFD2">
            <w:r>
              <w:rPr>
                <w:rStyle w:val="10"/>
                <w:rFonts w:hint="eastAsia"/>
              </w:rPr>
              <w:t>使用技术要求:</w:t>
            </w:r>
            <w:r>
              <w:rPr>
                <w:rFonts w:hint="eastAsia"/>
              </w:rPr>
              <w:br w:type="textWrapping"/>
            </w:r>
            <w:r>
              <w:rPr>
                <w:rStyle w:val="11"/>
                <w:rFonts w:hint="eastAsia"/>
              </w:rPr>
              <w:t>1. 在黄瓜霜霉病发病初期喷雾施药，施药3次，每次间隔7-10天。，注意喷雾均匀、周到，以确保药效。2. 大风天或预计1小时内降雨，请勿施药。3. 本品在黄瓜使用时的安全间隔期为3天，每季作物最多使用3次。</w:t>
            </w:r>
          </w:p>
        </w:tc>
      </w:tr>
      <w:tr w14:paraId="6DAC255B">
        <w:tblPrEx>
          <w:tblCellMar>
            <w:top w:w="0" w:type="dxa"/>
            <w:left w:w="0" w:type="dxa"/>
            <w:bottom w:w="0" w:type="dxa"/>
            <w:right w:w="0" w:type="dxa"/>
          </w:tblCellMar>
        </w:tblPrEx>
        <w:trPr>
          <w:wBefore w:w="0" w:type="auto"/>
          <w:tblCellSpacing w:w="0" w:type="dxa"/>
        </w:trPr>
        <w:tc>
          <w:tcPr>
            <w:tcW w:w="0" w:type="auto"/>
            <w:noWrap w:val="0"/>
            <w:vAlign w:val="center"/>
          </w:tcPr>
          <w:p w14:paraId="3A0F9037">
            <w:r>
              <w:rPr>
                <w:rStyle w:val="10"/>
                <w:rFonts w:hint="eastAsia"/>
              </w:rPr>
              <w:t>产品性能:</w:t>
            </w:r>
            <w:r>
              <w:rPr>
                <w:rFonts w:hint="eastAsia"/>
              </w:rPr>
              <w:br w:type="textWrapping"/>
            </w:r>
            <w:r>
              <w:rPr>
                <w:rStyle w:val="11"/>
                <w:rFonts w:hint="eastAsia"/>
              </w:rPr>
              <w:t>本品是由噁霜灵和氟吡菌胺复配而成的杀菌剂，噁霜灵属于苯基酰胺类内吸杀菌剂，具有触杀和强内吸传导活性，其作用机制为抑制RNA聚合酶从而抑制RNA的生物合成，具有优良的保护、治疗、铲除活性；氟吡菌胺为酰胺类杀菌剂，对卵菌纲病菌有很高的生物活性，具有保护和治疗作用，有较强的渗透性。二者复配对黄瓜霜霉病具有较好的防治效果。</w:t>
            </w:r>
          </w:p>
        </w:tc>
      </w:tr>
      <w:tr w14:paraId="00369240">
        <w:tblPrEx>
          <w:tblCellMar>
            <w:top w:w="0" w:type="dxa"/>
            <w:left w:w="0" w:type="dxa"/>
            <w:bottom w:w="0" w:type="dxa"/>
            <w:right w:w="0" w:type="dxa"/>
          </w:tblCellMar>
        </w:tblPrEx>
        <w:trPr>
          <w:wBefore w:w="0" w:type="auto"/>
          <w:tblCellSpacing w:w="0" w:type="dxa"/>
        </w:trPr>
        <w:tc>
          <w:tcPr>
            <w:tcW w:w="0" w:type="auto"/>
            <w:noWrap w:val="0"/>
            <w:vAlign w:val="center"/>
          </w:tcPr>
          <w:p w14:paraId="2ACE7BE0">
            <w:r>
              <w:rPr>
                <w:rStyle w:val="10"/>
                <w:rFonts w:hint="eastAsia"/>
              </w:rPr>
              <w:t>注意事项：</w:t>
            </w:r>
            <w:r>
              <w:rPr>
                <w:rFonts w:hint="eastAsia"/>
              </w:rPr>
              <w:br w:type="textWrapping"/>
            </w:r>
            <w:r>
              <w:rPr>
                <w:rStyle w:val="11"/>
                <w:rFonts w:hint="eastAsia"/>
              </w:rPr>
              <w:t>1. 严格按照规定用药量和方法使用。 2. 建议与其他作用机制不同的杀菌剂轮换使用，以延缓抗性产生。 3. 本品对鱼、蚕有毒，不可使用最外围桑树上的桑叶饲喂家蚕，蚕室及桑园附近禁用；水产养殖区、河塘等水体附近禁用，禁止在河塘等水体中清洗施药器具。 4. 对眼睛有强刺激性，使用时穿戴长衣长裤、帽子、口罩、手套、鞋等安全防护措施。施药期间不可吃东西、饮水、吸烟等；施药后应及时洗手、洗脸并洗涤施药时穿着的衣物。 5. 用药后包装物及用过的容器应妥善处理，不可做他用，也不可随意丢弃。 6. 孕妇及哺乳期妇女禁止接触本产品。</w:t>
            </w:r>
          </w:p>
        </w:tc>
      </w:tr>
      <w:tr w14:paraId="5AF821C1">
        <w:tblPrEx>
          <w:tblCellMar>
            <w:top w:w="0" w:type="dxa"/>
            <w:left w:w="0" w:type="dxa"/>
            <w:bottom w:w="0" w:type="dxa"/>
            <w:right w:w="0" w:type="dxa"/>
          </w:tblCellMar>
        </w:tblPrEx>
        <w:trPr>
          <w:wBefore w:w="0" w:type="auto"/>
          <w:tblCellSpacing w:w="0" w:type="dxa"/>
        </w:trPr>
        <w:tc>
          <w:tcPr>
            <w:tcW w:w="0" w:type="auto"/>
            <w:noWrap w:val="0"/>
            <w:vAlign w:val="center"/>
          </w:tcPr>
          <w:p w14:paraId="3B8298C3">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1958D64E">
        <w:tblPrEx>
          <w:tblCellMar>
            <w:top w:w="0" w:type="dxa"/>
            <w:left w:w="0" w:type="dxa"/>
            <w:bottom w:w="0" w:type="dxa"/>
            <w:right w:w="0" w:type="dxa"/>
          </w:tblCellMar>
        </w:tblPrEx>
        <w:trPr>
          <w:wBefore w:w="0" w:type="auto"/>
          <w:tblCellSpacing w:w="0" w:type="dxa"/>
        </w:trPr>
        <w:tc>
          <w:tcPr>
            <w:tcW w:w="0" w:type="auto"/>
            <w:noWrap w:val="0"/>
            <w:vAlign w:val="center"/>
          </w:tcPr>
          <w:p w14:paraId="4355931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本品应贮存在干燥、阴凉、通风、防雨处，远离火源或热源。置于儿童、无关人员及动物触及不到之处，并加锁保存。勿与食品、饮料、粮食、饲料、种子等其他商品同贮同运。</w:t>
            </w:r>
          </w:p>
        </w:tc>
      </w:tr>
      <w:tr w14:paraId="06735047">
        <w:tblPrEx>
          <w:tblCellMar>
            <w:top w:w="0" w:type="dxa"/>
            <w:left w:w="0" w:type="dxa"/>
            <w:bottom w:w="0" w:type="dxa"/>
            <w:right w:w="0" w:type="dxa"/>
          </w:tblCellMar>
        </w:tblPrEx>
        <w:trPr>
          <w:wBefore w:w="0" w:type="auto"/>
          <w:tblCellSpacing w:w="0" w:type="dxa"/>
        </w:trPr>
        <w:tc>
          <w:tcPr>
            <w:tcW w:w="0" w:type="auto"/>
            <w:noWrap w:val="0"/>
            <w:vAlign w:val="center"/>
          </w:tcPr>
          <w:p w14:paraId="5E503DB0">
            <w:r>
              <w:rPr>
                <w:rStyle w:val="10"/>
                <w:rFonts w:hint="eastAsia"/>
              </w:rPr>
              <w:t>质量保证期：</w:t>
            </w:r>
            <w:r>
              <w:rPr>
                <w:rStyle w:val="11"/>
                <w:rFonts w:hint="eastAsia"/>
              </w:rPr>
              <w:t>2年</w:t>
            </w:r>
          </w:p>
        </w:tc>
      </w:tr>
      <w:tr w14:paraId="5358B847">
        <w:tblPrEx>
          <w:tblCellMar>
            <w:top w:w="0" w:type="dxa"/>
            <w:left w:w="0" w:type="dxa"/>
            <w:bottom w:w="0" w:type="dxa"/>
            <w:right w:w="0" w:type="dxa"/>
          </w:tblCellMar>
        </w:tblPrEx>
        <w:trPr>
          <w:wBefore w:w="0" w:type="auto"/>
          <w:tblCellSpacing w:w="0" w:type="dxa"/>
        </w:trPr>
        <w:tc>
          <w:tcPr>
            <w:tcW w:w="0" w:type="auto"/>
            <w:noWrap w:val="0"/>
            <w:vAlign w:val="center"/>
          </w:tcPr>
          <w:p w14:paraId="19CFC4EB">
            <w:r>
              <w:rPr>
                <w:rStyle w:val="10"/>
                <w:rFonts w:hint="eastAsia"/>
              </w:rPr>
              <w:t>备注：</w:t>
            </w:r>
          </w:p>
        </w:tc>
      </w:tr>
    </w:tbl>
    <w:p w14:paraId="16D26C6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FB2B700">
        <w:tblPrEx>
          <w:tblCellMar>
            <w:top w:w="0" w:type="dxa"/>
            <w:left w:w="0" w:type="dxa"/>
            <w:bottom w:w="0" w:type="dxa"/>
            <w:right w:w="0" w:type="dxa"/>
          </w:tblCellMar>
        </w:tblPrEx>
        <w:trPr>
          <w:wBefore w:w="0" w:type="auto"/>
          <w:tblCellSpacing w:w="0" w:type="dxa"/>
        </w:trPr>
        <w:tc>
          <w:tcPr>
            <w:tcW w:w="0" w:type="auto"/>
            <w:noWrap w:val="0"/>
            <w:vAlign w:val="center"/>
          </w:tcPr>
          <w:p w14:paraId="38F85FDD">
            <w:r>
              <w:rPr>
                <w:rStyle w:val="10"/>
                <w:rFonts w:hint="eastAsia"/>
              </w:rPr>
              <w:t>登记证号：</w:t>
            </w:r>
            <w:r>
              <w:rPr>
                <w:rFonts w:hint="eastAsia"/>
              </w:rPr>
              <w:t>PD20211905</w:t>
            </w:r>
          </w:p>
        </w:tc>
      </w:tr>
      <w:tr w14:paraId="121ABFEC">
        <w:tblPrEx>
          <w:tblCellMar>
            <w:top w:w="0" w:type="dxa"/>
            <w:left w:w="0" w:type="dxa"/>
            <w:bottom w:w="0" w:type="dxa"/>
            <w:right w:w="0" w:type="dxa"/>
          </w:tblCellMar>
        </w:tblPrEx>
        <w:trPr>
          <w:wBefore w:w="0" w:type="auto"/>
          <w:tblCellSpacing w:w="0" w:type="dxa"/>
        </w:trPr>
        <w:tc>
          <w:tcPr>
            <w:tcW w:w="0" w:type="auto"/>
            <w:noWrap w:val="0"/>
            <w:vAlign w:val="center"/>
          </w:tcPr>
          <w:p w14:paraId="6AB8371E">
            <w:r>
              <w:rPr>
                <w:rStyle w:val="10"/>
                <w:rFonts w:hint="eastAsia"/>
              </w:rPr>
              <w:t>登记证持有人：</w:t>
            </w:r>
            <w:r>
              <w:rPr>
                <w:rFonts w:hint="eastAsia"/>
              </w:rPr>
              <w:t>安徽丰乐农化有限责任公司</w:t>
            </w:r>
          </w:p>
        </w:tc>
      </w:tr>
      <w:tr w14:paraId="46F3EDA8">
        <w:tblPrEx>
          <w:tblCellMar>
            <w:top w:w="0" w:type="dxa"/>
            <w:left w:w="0" w:type="dxa"/>
            <w:bottom w:w="0" w:type="dxa"/>
            <w:right w:w="0" w:type="dxa"/>
          </w:tblCellMar>
        </w:tblPrEx>
        <w:trPr>
          <w:wBefore w:w="0" w:type="auto"/>
          <w:tblCellSpacing w:w="0" w:type="dxa"/>
        </w:trPr>
        <w:tc>
          <w:tcPr>
            <w:tcW w:w="0" w:type="auto"/>
            <w:noWrap w:val="0"/>
            <w:vAlign w:val="center"/>
          </w:tcPr>
          <w:p w14:paraId="1CD78FB9">
            <w:r>
              <w:rPr>
                <w:rStyle w:val="10"/>
                <w:rFonts w:hint="eastAsia"/>
              </w:rPr>
              <w:t>农药名称：</w:t>
            </w:r>
            <w:r>
              <w:rPr>
                <w:rFonts w:hint="eastAsia"/>
              </w:rPr>
              <w:t>氟吡菌胺·氰霜唑</w:t>
            </w:r>
          </w:p>
        </w:tc>
      </w:tr>
      <w:tr w14:paraId="542627F1">
        <w:tblPrEx>
          <w:tblCellMar>
            <w:top w:w="0" w:type="dxa"/>
            <w:left w:w="0" w:type="dxa"/>
            <w:bottom w:w="0" w:type="dxa"/>
            <w:right w:w="0" w:type="dxa"/>
          </w:tblCellMar>
        </w:tblPrEx>
        <w:trPr>
          <w:wBefore w:w="0" w:type="auto"/>
          <w:tblCellSpacing w:w="0" w:type="dxa"/>
        </w:trPr>
        <w:tc>
          <w:tcPr>
            <w:tcW w:w="0" w:type="auto"/>
            <w:noWrap w:val="0"/>
            <w:vAlign w:val="center"/>
          </w:tcPr>
          <w:p w14:paraId="73FA6683">
            <w:r>
              <w:rPr>
                <w:rStyle w:val="10"/>
                <w:rFonts w:hint="eastAsia"/>
              </w:rPr>
              <w:t>剂型：</w:t>
            </w:r>
            <w:r>
              <w:rPr>
                <w:rFonts w:hint="eastAsia"/>
              </w:rPr>
              <w:t>悬浮剂</w:t>
            </w:r>
          </w:p>
        </w:tc>
      </w:tr>
      <w:tr w14:paraId="76C1BA04">
        <w:tblPrEx>
          <w:tblCellMar>
            <w:top w:w="0" w:type="dxa"/>
            <w:left w:w="0" w:type="dxa"/>
            <w:bottom w:w="0" w:type="dxa"/>
            <w:right w:w="0" w:type="dxa"/>
          </w:tblCellMar>
        </w:tblPrEx>
        <w:trPr>
          <w:wBefore w:w="0" w:type="auto"/>
          <w:tblCellSpacing w:w="0" w:type="dxa"/>
        </w:trPr>
        <w:tc>
          <w:tcPr>
            <w:tcW w:w="0" w:type="auto"/>
            <w:noWrap w:val="0"/>
            <w:vAlign w:val="center"/>
          </w:tcPr>
          <w:p w14:paraId="1FC25749">
            <w:r>
              <w:rPr>
                <w:rStyle w:val="10"/>
                <w:rFonts w:hint="eastAsia"/>
              </w:rPr>
              <w:t>毒性及其标识：</w:t>
            </w:r>
            <w:r>
              <w:rPr>
                <w:rFonts w:hint="eastAsia"/>
              </w:rPr>
              <w:t xml:space="preserve"> </w:t>
            </w:r>
            <w:r>
              <w:rPr>
                <w:lang/>
              </w:rPr>
              <w:drawing>
                <wp:inline distT="0" distB="0" distL="114300" distR="114300">
                  <wp:extent cx="476250" cy="323850"/>
                  <wp:effectExtent l="0" t="0" r="0" b="0"/>
                  <wp:docPr id="476" name="图片 47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662CA11">
        <w:tblPrEx>
          <w:tblCellMar>
            <w:top w:w="0" w:type="dxa"/>
            <w:left w:w="0" w:type="dxa"/>
            <w:bottom w:w="0" w:type="dxa"/>
            <w:right w:w="0" w:type="dxa"/>
          </w:tblCellMar>
        </w:tblPrEx>
        <w:trPr>
          <w:wBefore w:w="0" w:type="auto"/>
          <w:tblCellSpacing w:w="0" w:type="dxa"/>
        </w:trPr>
        <w:tc>
          <w:tcPr>
            <w:tcW w:w="0" w:type="auto"/>
            <w:noWrap w:val="0"/>
            <w:vAlign w:val="center"/>
          </w:tcPr>
          <w:p w14:paraId="0B387781">
            <w:r>
              <w:rPr>
                <w:rStyle w:val="10"/>
                <w:rFonts w:hint="eastAsia"/>
              </w:rPr>
              <w:t>总有效成分含量：</w:t>
            </w:r>
            <w:r>
              <w:rPr>
                <w:rFonts w:hint="eastAsia"/>
              </w:rPr>
              <w:t>30%</w:t>
            </w:r>
          </w:p>
        </w:tc>
      </w:tr>
      <w:tr w14:paraId="1460D52D">
        <w:tblPrEx>
          <w:tblCellMar>
            <w:top w:w="0" w:type="dxa"/>
            <w:left w:w="0" w:type="dxa"/>
            <w:bottom w:w="0" w:type="dxa"/>
            <w:right w:w="0" w:type="dxa"/>
          </w:tblCellMar>
        </w:tblPrEx>
        <w:trPr>
          <w:wBefore w:w="0" w:type="auto"/>
          <w:tblCellSpacing w:w="0" w:type="dxa"/>
        </w:trPr>
        <w:tc>
          <w:tcPr>
            <w:tcW w:w="0" w:type="auto"/>
            <w:noWrap w:val="0"/>
            <w:vAlign w:val="center"/>
          </w:tcPr>
          <w:p w14:paraId="6A38C6DB">
            <w:r>
              <w:rPr>
                <w:rFonts w:hint="eastAsia"/>
              </w:rPr>
              <w:t xml:space="preserve">有效成分及其含量： </w:t>
            </w:r>
          </w:p>
          <w:p w14:paraId="115E4B88">
            <w:r>
              <w:rPr>
                <w:rFonts w:hint="eastAsia"/>
              </w:rPr>
              <w:t xml:space="preserve">    氟吡菌胺15%    氰霜唑15%    </w:t>
            </w:r>
          </w:p>
        </w:tc>
      </w:tr>
      <w:tr w14:paraId="6464FE71">
        <w:tblPrEx>
          <w:tblCellMar>
            <w:top w:w="0" w:type="dxa"/>
            <w:left w:w="0" w:type="dxa"/>
            <w:bottom w:w="0" w:type="dxa"/>
            <w:right w:w="0" w:type="dxa"/>
          </w:tblCellMar>
        </w:tblPrEx>
        <w:trPr>
          <w:wBefore w:w="0" w:type="auto"/>
          <w:tblCellSpacing w:w="0" w:type="dxa"/>
        </w:trPr>
        <w:tc>
          <w:tcPr>
            <w:tcW w:w="0" w:type="auto"/>
            <w:noWrap w:val="0"/>
            <w:vAlign w:val="center"/>
          </w:tcPr>
          <w:p w14:paraId="1CECD60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4C81D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FC2E05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A5D9D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2D8E31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CB6B93C">
                  <w:r>
                    <w:rPr>
                      <w:rStyle w:val="11"/>
                      <w:rFonts w:hint="eastAsia"/>
                    </w:rPr>
                    <w:t>施用方式</w:t>
                  </w:r>
                </w:p>
              </w:tc>
            </w:tr>
            <w:tr w14:paraId="3C13C54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B27C28">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35C128">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1E799F">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C88EB5">
                  <w:r>
                    <w:rPr>
                      <w:rStyle w:val="11"/>
                      <w:rFonts w:hint="eastAsia"/>
                    </w:rPr>
                    <w:t>喷雾</w:t>
                  </w:r>
                </w:p>
              </w:tc>
            </w:tr>
          </w:tbl>
          <w:p w14:paraId="7121EF92">
            <w:pPr>
              <w:rPr>
                <w:rFonts w:ascii="Times New Roman" w:hAnsi="Times New Roman" w:cs="Times New Roman"/>
                <w:sz w:val="20"/>
                <w:szCs w:val="20"/>
              </w:rPr>
            </w:pPr>
          </w:p>
        </w:tc>
      </w:tr>
      <w:tr w14:paraId="02A241D7">
        <w:tblPrEx>
          <w:tblCellMar>
            <w:top w:w="0" w:type="dxa"/>
            <w:left w:w="0" w:type="dxa"/>
            <w:bottom w:w="0" w:type="dxa"/>
            <w:right w:w="0" w:type="dxa"/>
          </w:tblCellMar>
        </w:tblPrEx>
        <w:trPr>
          <w:wBefore w:w="0" w:type="auto"/>
          <w:tblCellSpacing w:w="0" w:type="dxa"/>
        </w:trPr>
        <w:tc>
          <w:tcPr>
            <w:tcW w:w="0" w:type="auto"/>
            <w:noWrap w:val="0"/>
            <w:vAlign w:val="center"/>
          </w:tcPr>
          <w:p w14:paraId="267F511C">
            <w:r>
              <w:rPr>
                <w:rStyle w:val="10"/>
                <w:rFonts w:hint="eastAsia"/>
              </w:rPr>
              <w:t>使用技术要求:</w:t>
            </w:r>
            <w:r>
              <w:rPr>
                <w:rFonts w:hint="eastAsia"/>
              </w:rPr>
              <w:br w:type="textWrapping"/>
            </w:r>
            <w:r>
              <w:rPr>
                <w:rStyle w:val="11"/>
                <w:rFonts w:hint="eastAsia"/>
              </w:rPr>
              <w:t>1.于番茄晚疫病发病前或发病初期开始茎叶喷雾施药，连续2次，施药间隔7-10天。2.使用本品前请摇匀，大风或者预计4小时内有雨请勿使用。3.视安全间隔期为7天，每季最多施药2次。</w:t>
            </w:r>
          </w:p>
        </w:tc>
      </w:tr>
      <w:tr w14:paraId="5400E548">
        <w:tblPrEx>
          <w:tblCellMar>
            <w:top w:w="0" w:type="dxa"/>
            <w:left w:w="0" w:type="dxa"/>
            <w:bottom w:w="0" w:type="dxa"/>
            <w:right w:w="0" w:type="dxa"/>
          </w:tblCellMar>
        </w:tblPrEx>
        <w:trPr>
          <w:wBefore w:w="0" w:type="auto"/>
          <w:tblCellSpacing w:w="0" w:type="dxa"/>
        </w:trPr>
        <w:tc>
          <w:tcPr>
            <w:tcW w:w="0" w:type="auto"/>
            <w:noWrap w:val="0"/>
            <w:vAlign w:val="center"/>
          </w:tcPr>
          <w:p w14:paraId="7E238A9B">
            <w:r>
              <w:rPr>
                <w:rStyle w:val="10"/>
                <w:rFonts w:hint="eastAsia"/>
              </w:rPr>
              <w:t>产品性能:</w:t>
            </w:r>
            <w:r>
              <w:rPr>
                <w:rFonts w:hint="eastAsia"/>
              </w:rPr>
              <w:br w:type="textWrapping"/>
            </w:r>
            <w:r>
              <w:rPr>
                <w:rStyle w:val="11"/>
                <w:rFonts w:hint="eastAsia"/>
              </w:rPr>
              <w:t>本品是由酰胺类杀菌剂氟吡菌胺和磺胺咪唑类类杀菌剂氰霜唑混配而成，能有效的防治番茄晚疫病。</w:t>
            </w:r>
          </w:p>
        </w:tc>
      </w:tr>
      <w:tr w14:paraId="55FFF560">
        <w:tblPrEx>
          <w:tblCellMar>
            <w:top w:w="0" w:type="dxa"/>
            <w:left w:w="0" w:type="dxa"/>
            <w:bottom w:w="0" w:type="dxa"/>
            <w:right w:w="0" w:type="dxa"/>
          </w:tblCellMar>
        </w:tblPrEx>
        <w:trPr>
          <w:wBefore w:w="0" w:type="auto"/>
          <w:tblCellSpacing w:w="0" w:type="dxa"/>
        </w:trPr>
        <w:tc>
          <w:tcPr>
            <w:tcW w:w="0" w:type="auto"/>
            <w:noWrap w:val="0"/>
            <w:vAlign w:val="center"/>
          </w:tcPr>
          <w:p w14:paraId="5F1144A7">
            <w:r>
              <w:rPr>
                <w:rStyle w:val="10"/>
                <w:rFonts w:hint="eastAsia"/>
              </w:rPr>
              <w:t>注意事项：</w:t>
            </w:r>
            <w:r>
              <w:rPr>
                <w:rFonts w:hint="eastAsia"/>
              </w:rPr>
              <w:br w:type="textWrapping"/>
            </w:r>
            <w:r>
              <w:rPr>
                <w:rStyle w:val="11"/>
                <w:rFonts w:hint="eastAsia"/>
              </w:rPr>
              <w:t>1.使用本品时应穿戴长衣、长裤、帽子、口罩、手套等防护措施。避免皮肤接触及口鼻吸入。使用中不可吸烟、饮水及吃东西，使用后及时请洗手、脸等暴露部位皮肤并更换衣物。2.本品对鱼类等水生生物有毒，不得污染各类水域，应远离水产养殖区、河塘等水体施药，禁止在河流、池塘等水体中清洗施药器具，严禁将药液倒入湖泊、河流或鱼塘中污染水源。3.如采摘时不可采摘最外层的桑叶，在桑园及其附近禁止施药，桑叶采摘期及大风天气禁止施药。4.建议与其他作用机制不同的杀菌剂轮换使用，以延缓抗性产生。5.用过的容器应妥善处理，不可作他用，也不可随意丢弃。6.孕妇及哺乳期的妇女避免接触本品。7.避免与氧化剂接触。具。</w:t>
            </w:r>
          </w:p>
        </w:tc>
      </w:tr>
      <w:tr w14:paraId="1093E5DC">
        <w:tblPrEx>
          <w:tblCellMar>
            <w:top w:w="0" w:type="dxa"/>
            <w:left w:w="0" w:type="dxa"/>
            <w:bottom w:w="0" w:type="dxa"/>
            <w:right w:w="0" w:type="dxa"/>
          </w:tblCellMar>
        </w:tblPrEx>
        <w:trPr>
          <w:wBefore w:w="0" w:type="auto"/>
          <w:tblCellSpacing w:w="0" w:type="dxa"/>
        </w:trPr>
        <w:tc>
          <w:tcPr>
            <w:tcW w:w="0" w:type="auto"/>
            <w:noWrap w:val="0"/>
            <w:vAlign w:val="center"/>
          </w:tcPr>
          <w:p w14:paraId="6358B5ED">
            <w:r>
              <w:rPr>
                <w:rStyle w:val="10"/>
                <w:rFonts w:hint="eastAsia"/>
              </w:rPr>
              <w:t>中毒急救措施：</w:t>
            </w:r>
            <w:r>
              <w:rPr>
                <w:rFonts w:hint="eastAsia"/>
              </w:rPr>
              <w:br w:type="textWrapping"/>
            </w:r>
            <w:r>
              <w:rPr>
                <w:rStyle w:val="11"/>
                <w:rFonts w:hint="eastAsia"/>
              </w:rPr>
              <w:t>中毒症状：本品各有效成分均无人体中毒相关报道。急救措施：使用中或使用后如果感觉不适，应立即停止工作采取急救措施，并携带标签送医院就诊。1.皮肤接触：脱去污染的衣物，用软布去除沾染农药，用大量清水和肥皂冲洗。2.眼睛溅入：立即用流动清水冲洗不少于15分钟。3.吸入：立即离开施药现场，转移到空气清新处。4.误食：立即停止服用，用清水充分漱口后，立即携带标签送医院就诊。5.无特效解毒剂，对症治疗。</w:t>
            </w:r>
          </w:p>
        </w:tc>
      </w:tr>
      <w:tr w14:paraId="5E36B841">
        <w:tblPrEx>
          <w:tblCellMar>
            <w:top w:w="0" w:type="dxa"/>
            <w:left w:w="0" w:type="dxa"/>
            <w:bottom w:w="0" w:type="dxa"/>
            <w:right w:w="0" w:type="dxa"/>
          </w:tblCellMar>
        </w:tblPrEx>
        <w:trPr>
          <w:wBefore w:w="0" w:type="auto"/>
          <w:tblCellSpacing w:w="0" w:type="dxa"/>
        </w:trPr>
        <w:tc>
          <w:tcPr>
            <w:tcW w:w="0" w:type="auto"/>
            <w:noWrap w:val="0"/>
            <w:vAlign w:val="center"/>
          </w:tcPr>
          <w:p w14:paraId="1AAC5485">
            <w:r>
              <w:rPr>
                <w:rStyle w:val="10"/>
                <w:rFonts w:hint="eastAsia"/>
              </w:rPr>
              <w:t>储存和运输方法：</w:t>
            </w:r>
            <w:r>
              <w:rPr>
                <w:rFonts w:hint="eastAsia"/>
              </w:rPr>
              <w:br w:type="textWrapping"/>
            </w:r>
            <w:r>
              <w:rPr>
                <w:rStyle w:val="11"/>
                <w:rFonts w:hint="eastAsia"/>
              </w:rPr>
              <w:t>本品应储存在干燥、阴凉、通风、防雨处，远离火源或热源。运输时防雨防潮，装卸时轻卸轻放。置于儿童及无关人员接触不到的地方，并加锁。不能与食品、饮料、粮食、饲料等物品混合储存。避免与皮肤、眼睛接触，防止由口鼻吸入。</w:t>
            </w:r>
          </w:p>
        </w:tc>
      </w:tr>
      <w:tr w14:paraId="0DC474EE">
        <w:tblPrEx>
          <w:tblCellMar>
            <w:top w:w="0" w:type="dxa"/>
            <w:left w:w="0" w:type="dxa"/>
            <w:bottom w:w="0" w:type="dxa"/>
            <w:right w:w="0" w:type="dxa"/>
          </w:tblCellMar>
        </w:tblPrEx>
        <w:trPr>
          <w:wBefore w:w="0" w:type="auto"/>
          <w:tblCellSpacing w:w="0" w:type="dxa"/>
        </w:trPr>
        <w:tc>
          <w:tcPr>
            <w:tcW w:w="0" w:type="auto"/>
            <w:noWrap w:val="0"/>
            <w:vAlign w:val="center"/>
          </w:tcPr>
          <w:p w14:paraId="228051F7">
            <w:r>
              <w:rPr>
                <w:rStyle w:val="10"/>
                <w:rFonts w:hint="eastAsia"/>
              </w:rPr>
              <w:t>质量保证期：</w:t>
            </w:r>
            <w:r>
              <w:rPr>
                <w:rStyle w:val="11"/>
                <w:rFonts w:hint="eastAsia"/>
              </w:rPr>
              <w:t>2年</w:t>
            </w:r>
          </w:p>
        </w:tc>
      </w:tr>
      <w:tr w14:paraId="0A6187A6">
        <w:tblPrEx>
          <w:tblCellMar>
            <w:top w:w="0" w:type="dxa"/>
            <w:left w:w="0" w:type="dxa"/>
            <w:bottom w:w="0" w:type="dxa"/>
            <w:right w:w="0" w:type="dxa"/>
          </w:tblCellMar>
        </w:tblPrEx>
        <w:trPr>
          <w:wBefore w:w="0" w:type="auto"/>
          <w:tblCellSpacing w:w="0" w:type="dxa"/>
        </w:trPr>
        <w:tc>
          <w:tcPr>
            <w:tcW w:w="0" w:type="auto"/>
            <w:noWrap w:val="0"/>
            <w:vAlign w:val="center"/>
          </w:tcPr>
          <w:p w14:paraId="6CD6338D">
            <w:r>
              <w:rPr>
                <w:rStyle w:val="10"/>
                <w:rFonts w:hint="eastAsia"/>
              </w:rPr>
              <w:t>备注：</w:t>
            </w:r>
          </w:p>
        </w:tc>
      </w:tr>
    </w:tbl>
    <w:p w14:paraId="699771C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F3F6807">
        <w:tblPrEx>
          <w:tblCellMar>
            <w:top w:w="0" w:type="dxa"/>
            <w:left w:w="0" w:type="dxa"/>
            <w:bottom w:w="0" w:type="dxa"/>
            <w:right w:w="0" w:type="dxa"/>
          </w:tblCellMar>
        </w:tblPrEx>
        <w:trPr>
          <w:wBefore w:w="0" w:type="auto"/>
          <w:tblCellSpacing w:w="0" w:type="dxa"/>
        </w:trPr>
        <w:tc>
          <w:tcPr>
            <w:tcW w:w="0" w:type="auto"/>
            <w:noWrap w:val="0"/>
            <w:vAlign w:val="center"/>
          </w:tcPr>
          <w:p w14:paraId="3F60DDA9">
            <w:r>
              <w:rPr>
                <w:rStyle w:val="10"/>
                <w:rFonts w:hint="eastAsia"/>
              </w:rPr>
              <w:t>登记证号：</w:t>
            </w:r>
            <w:r>
              <w:rPr>
                <w:rFonts w:hint="eastAsia"/>
              </w:rPr>
              <w:t>PD20211796</w:t>
            </w:r>
          </w:p>
        </w:tc>
      </w:tr>
      <w:tr w14:paraId="2D9555FB">
        <w:tblPrEx>
          <w:tblCellMar>
            <w:top w:w="0" w:type="dxa"/>
            <w:left w:w="0" w:type="dxa"/>
            <w:bottom w:w="0" w:type="dxa"/>
            <w:right w:w="0" w:type="dxa"/>
          </w:tblCellMar>
        </w:tblPrEx>
        <w:trPr>
          <w:wBefore w:w="0" w:type="auto"/>
          <w:tblCellSpacing w:w="0" w:type="dxa"/>
        </w:trPr>
        <w:tc>
          <w:tcPr>
            <w:tcW w:w="0" w:type="auto"/>
            <w:noWrap w:val="0"/>
            <w:vAlign w:val="center"/>
          </w:tcPr>
          <w:p w14:paraId="6E5854A1">
            <w:r>
              <w:rPr>
                <w:rStyle w:val="10"/>
                <w:rFonts w:hint="eastAsia"/>
              </w:rPr>
              <w:t>登记证持有人：</w:t>
            </w:r>
            <w:r>
              <w:rPr>
                <w:rFonts w:hint="eastAsia"/>
              </w:rPr>
              <w:t>宁夏泰益欣生物科技有限公司</w:t>
            </w:r>
          </w:p>
        </w:tc>
      </w:tr>
      <w:tr w14:paraId="733761AD">
        <w:tblPrEx>
          <w:tblCellMar>
            <w:top w:w="0" w:type="dxa"/>
            <w:left w:w="0" w:type="dxa"/>
            <w:bottom w:w="0" w:type="dxa"/>
            <w:right w:w="0" w:type="dxa"/>
          </w:tblCellMar>
        </w:tblPrEx>
        <w:trPr>
          <w:wBefore w:w="0" w:type="auto"/>
          <w:tblCellSpacing w:w="0" w:type="dxa"/>
        </w:trPr>
        <w:tc>
          <w:tcPr>
            <w:tcW w:w="0" w:type="auto"/>
            <w:noWrap w:val="0"/>
            <w:vAlign w:val="center"/>
          </w:tcPr>
          <w:p w14:paraId="3A7F8A0D">
            <w:r>
              <w:rPr>
                <w:rStyle w:val="10"/>
                <w:rFonts w:hint="eastAsia"/>
              </w:rPr>
              <w:t>农药名称：</w:t>
            </w:r>
            <w:r>
              <w:rPr>
                <w:rFonts w:hint="eastAsia"/>
              </w:rPr>
              <w:t>阿维菌素</w:t>
            </w:r>
          </w:p>
        </w:tc>
      </w:tr>
      <w:tr w14:paraId="34073E3A">
        <w:tblPrEx>
          <w:tblCellMar>
            <w:top w:w="0" w:type="dxa"/>
            <w:left w:w="0" w:type="dxa"/>
            <w:bottom w:w="0" w:type="dxa"/>
            <w:right w:w="0" w:type="dxa"/>
          </w:tblCellMar>
        </w:tblPrEx>
        <w:trPr>
          <w:wBefore w:w="0" w:type="auto"/>
          <w:tblCellSpacing w:w="0" w:type="dxa"/>
        </w:trPr>
        <w:tc>
          <w:tcPr>
            <w:tcW w:w="0" w:type="auto"/>
            <w:noWrap w:val="0"/>
            <w:vAlign w:val="center"/>
          </w:tcPr>
          <w:p w14:paraId="78E3260A">
            <w:r>
              <w:rPr>
                <w:rStyle w:val="10"/>
                <w:rFonts w:hint="eastAsia"/>
              </w:rPr>
              <w:t>剂型：</w:t>
            </w:r>
            <w:r>
              <w:rPr>
                <w:rFonts w:hint="eastAsia"/>
              </w:rPr>
              <w:t>乳油</w:t>
            </w:r>
          </w:p>
        </w:tc>
      </w:tr>
      <w:tr w14:paraId="509D7E2F">
        <w:tblPrEx>
          <w:tblCellMar>
            <w:top w:w="0" w:type="dxa"/>
            <w:left w:w="0" w:type="dxa"/>
            <w:bottom w:w="0" w:type="dxa"/>
            <w:right w:w="0" w:type="dxa"/>
          </w:tblCellMar>
        </w:tblPrEx>
        <w:trPr>
          <w:wBefore w:w="0" w:type="auto"/>
          <w:tblCellSpacing w:w="0" w:type="dxa"/>
        </w:trPr>
        <w:tc>
          <w:tcPr>
            <w:tcW w:w="0" w:type="auto"/>
            <w:noWrap w:val="0"/>
            <w:vAlign w:val="center"/>
          </w:tcPr>
          <w:p w14:paraId="3D723B9A">
            <w:r>
              <w:rPr>
                <w:rStyle w:val="10"/>
                <w:rFonts w:hint="eastAsia"/>
              </w:rPr>
              <w:t>毒性及其标识：</w:t>
            </w:r>
            <w:r>
              <w:rPr>
                <w:rFonts w:hint="eastAsia"/>
              </w:rPr>
              <w:t xml:space="preserve"> </w:t>
            </w:r>
            <w:r>
              <w:rPr>
                <w:lang/>
              </w:rPr>
              <w:drawing>
                <wp:inline distT="0" distB="0" distL="114300" distR="114300">
                  <wp:extent cx="476250" cy="323850"/>
                  <wp:effectExtent l="0" t="0" r="0" b="0"/>
                  <wp:docPr id="477" name="图片 477"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中等毒 </w:t>
            </w:r>
            <w:r>
              <w:rPr>
                <w:rFonts w:hint="eastAsia"/>
              </w:rPr>
              <w:br w:type="textWrapping"/>
            </w:r>
            <w:r>
              <w:rPr>
                <w:rFonts w:hint="eastAsia"/>
              </w:rPr>
              <w:t xml:space="preserve">(原药高毒) </w:t>
            </w:r>
          </w:p>
        </w:tc>
      </w:tr>
      <w:tr w14:paraId="7AA695F5">
        <w:tblPrEx>
          <w:tblCellMar>
            <w:top w:w="0" w:type="dxa"/>
            <w:left w:w="0" w:type="dxa"/>
            <w:bottom w:w="0" w:type="dxa"/>
            <w:right w:w="0" w:type="dxa"/>
          </w:tblCellMar>
        </w:tblPrEx>
        <w:trPr>
          <w:wBefore w:w="0" w:type="auto"/>
          <w:tblCellSpacing w:w="0" w:type="dxa"/>
        </w:trPr>
        <w:tc>
          <w:tcPr>
            <w:tcW w:w="0" w:type="auto"/>
            <w:noWrap w:val="0"/>
            <w:vAlign w:val="center"/>
          </w:tcPr>
          <w:p w14:paraId="38F6EB03">
            <w:r>
              <w:rPr>
                <w:rStyle w:val="10"/>
                <w:rFonts w:hint="eastAsia"/>
              </w:rPr>
              <w:t>总有效成分含量：</w:t>
            </w:r>
            <w:r>
              <w:rPr>
                <w:rFonts w:hint="eastAsia"/>
              </w:rPr>
              <w:t>3.2%</w:t>
            </w:r>
          </w:p>
        </w:tc>
      </w:tr>
      <w:tr w14:paraId="2A5F8137">
        <w:tblPrEx>
          <w:tblCellMar>
            <w:top w:w="0" w:type="dxa"/>
            <w:left w:w="0" w:type="dxa"/>
            <w:bottom w:w="0" w:type="dxa"/>
            <w:right w:w="0" w:type="dxa"/>
          </w:tblCellMar>
        </w:tblPrEx>
        <w:trPr>
          <w:wBefore w:w="0" w:type="auto"/>
          <w:tblCellSpacing w:w="0" w:type="dxa"/>
        </w:trPr>
        <w:tc>
          <w:tcPr>
            <w:tcW w:w="0" w:type="auto"/>
            <w:noWrap w:val="0"/>
            <w:vAlign w:val="center"/>
          </w:tcPr>
          <w:p w14:paraId="5D9F9160">
            <w:r>
              <w:rPr>
                <w:rFonts w:hint="eastAsia"/>
              </w:rPr>
              <w:t xml:space="preserve">有效成分及其含量： </w:t>
            </w:r>
          </w:p>
          <w:p w14:paraId="201E1A08">
            <w:r>
              <w:rPr>
                <w:rFonts w:hint="eastAsia"/>
              </w:rPr>
              <w:t xml:space="preserve">    阿维菌素3.2%    </w:t>
            </w:r>
          </w:p>
        </w:tc>
      </w:tr>
      <w:tr w14:paraId="4B8B101F">
        <w:tblPrEx>
          <w:tblCellMar>
            <w:top w:w="0" w:type="dxa"/>
            <w:left w:w="0" w:type="dxa"/>
            <w:bottom w:w="0" w:type="dxa"/>
            <w:right w:w="0" w:type="dxa"/>
          </w:tblCellMar>
        </w:tblPrEx>
        <w:trPr>
          <w:wBefore w:w="0" w:type="auto"/>
          <w:tblCellSpacing w:w="0" w:type="dxa"/>
        </w:trPr>
        <w:tc>
          <w:tcPr>
            <w:tcW w:w="0" w:type="auto"/>
            <w:noWrap w:val="0"/>
            <w:vAlign w:val="center"/>
          </w:tcPr>
          <w:p w14:paraId="334751F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9001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276B82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06CDFA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374A41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2919047">
                  <w:r>
                    <w:rPr>
                      <w:rStyle w:val="11"/>
                      <w:rFonts w:hint="eastAsia"/>
                    </w:rPr>
                    <w:t>施用方式</w:t>
                  </w:r>
                </w:p>
              </w:tc>
            </w:tr>
            <w:tr w14:paraId="3B284F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04FCD41">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46E11C">
                  <w:r>
                    <w:rPr>
                      <w:rStyle w:val="11"/>
                      <w:rFonts w:hint="eastAsia"/>
                    </w:rPr>
                    <w:t>稻纵卷叶螟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BBBB8A">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11F0F1">
                  <w:r>
                    <w:rPr>
                      <w:rStyle w:val="11"/>
                      <w:rFonts w:hint="eastAsia"/>
                    </w:rPr>
                    <w:t>喷雾</w:t>
                  </w:r>
                </w:p>
              </w:tc>
            </w:tr>
          </w:tbl>
          <w:p w14:paraId="053AECB9">
            <w:pPr>
              <w:rPr>
                <w:rFonts w:ascii="Times New Roman" w:hAnsi="Times New Roman" w:cs="Times New Roman"/>
                <w:sz w:val="20"/>
                <w:szCs w:val="20"/>
              </w:rPr>
            </w:pPr>
          </w:p>
        </w:tc>
      </w:tr>
      <w:tr w14:paraId="60B8D8A4">
        <w:tblPrEx>
          <w:tblCellMar>
            <w:top w:w="0" w:type="dxa"/>
            <w:left w:w="0" w:type="dxa"/>
            <w:bottom w:w="0" w:type="dxa"/>
            <w:right w:w="0" w:type="dxa"/>
          </w:tblCellMar>
        </w:tblPrEx>
        <w:trPr>
          <w:wBefore w:w="0" w:type="auto"/>
          <w:tblCellSpacing w:w="0" w:type="dxa"/>
        </w:trPr>
        <w:tc>
          <w:tcPr>
            <w:tcW w:w="0" w:type="auto"/>
            <w:noWrap w:val="0"/>
            <w:vAlign w:val="center"/>
          </w:tcPr>
          <w:p w14:paraId="75AC5DAD">
            <w:r>
              <w:rPr>
                <w:rStyle w:val="10"/>
                <w:rFonts w:hint="eastAsia"/>
              </w:rPr>
              <w:t>使用技术要求:</w:t>
            </w:r>
            <w:r>
              <w:rPr>
                <w:rFonts w:hint="eastAsia"/>
              </w:rPr>
              <w:br w:type="textWrapping"/>
            </w:r>
            <w:r>
              <w:rPr>
                <w:rStyle w:val="11"/>
                <w:rFonts w:hint="eastAsia"/>
              </w:rPr>
              <w:t>1. 推荐在水稻稻纵卷叶螟卵孵化盛期至低龄幼虫盛发期施药1次。2. 大风或预计1小时内降雨，请勿施药。3. 安全间隔期14天，每季最多使用1次。</w:t>
            </w:r>
          </w:p>
        </w:tc>
      </w:tr>
      <w:tr w14:paraId="654425E8">
        <w:tblPrEx>
          <w:tblCellMar>
            <w:top w:w="0" w:type="dxa"/>
            <w:left w:w="0" w:type="dxa"/>
            <w:bottom w:w="0" w:type="dxa"/>
            <w:right w:w="0" w:type="dxa"/>
          </w:tblCellMar>
        </w:tblPrEx>
        <w:trPr>
          <w:wBefore w:w="0" w:type="auto"/>
          <w:tblCellSpacing w:w="0" w:type="dxa"/>
        </w:trPr>
        <w:tc>
          <w:tcPr>
            <w:tcW w:w="0" w:type="auto"/>
            <w:noWrap w:val="0"/>
            <w:vAlign w:val="center"/>
          </w:tcPr>
          <w:p w14:paraId="32C71F1D">
            <w:r>
              <w:rPr>
                <w:rStyle w:val="10"/>
                <w:rFonts w:hint="eastAsia"/>
              </w:rPr>
              <w:t>产品性能:</w:t>
            </w:r>
            <w:r>
              <w:rPr>
                <w:rFonts w:hint="eastAsia"/>
              </w:rPr>
              <w:br w:type="textWrapping"/>
            </w:r>
            <w:r>
              <w:rPr>
                <w:rStyle w:val="11"/>
                <w:rFonts w:hint="eastAsia"/>
              </w:rPr>
              <w:t>本品(国际通用名称:abamectin)是一种大环内脂双糖类化合物,作用机制为干扰害虫神经生理活动,释放抑制节肢动物神经传导的γ-氨基丁酸,害虫和药剂接触后即出现麻痹症状,不活动不取食,2-4天后死亡，对水稻稻纵卷叶螟有较好的防效。</w:t>
            </w:r>
          </w:p>
        </w:tc>
      </w:tr>
      <w:tr w14:paraId="2E0C59C5">
        <w:tblPrEx>
          <w:tblCellMar>
            <w:top w:w="0" w:type="dxa"/>
            <w:left w:w="0" w:type="dxa"/>
            <w:bottom w:w="0" w:type="dxa"/>
            <w:right w:w="0" w:type="dxa"/>
          </w:tblCellMar>
        </w:tblPrEx>
        <w:trPr>
          <w:wBefore w:w="0" w:type="auto"/>
          <w:tblCellSpacing w:w="0" w:type="dxa"/>
        </w:trPr>
        <w:tc>
          <w:tcPr>
            <w:tcW w:w="0" w:type="auto"/>
            <w:noWrap w:val="0"/>
            <w:vAlign w:val="center"/>
          </w:tcPr>
          <w:p w14:paraId="0BFE4343">
            <w:r>
              <w:rPr>
                <w:rStyle w:val="10"/>
                <w:rFonts w:hint="eastAsia"/>
              </w:rPr>
              <w:t>注意事项：</w:t>
            </w:r>
            <w:r>
              <w:rPr>
                <w:rFonts w:hint="eastAsia"/>
              </w:rPr>
              <w:br w:type="textWrapping"/>
            </w:r>
            <w:r>
              <w:rPr>
                <w:rStyle w:val="11"/>
                <w:rFonts w:hint="eastAsia"/>
              </w:rPr>
              <w:t>1. 随配随用,勿与碱性农药等物质混用；接触本品应按照农药安全使用规定，做好防护措施，喷药后洗手等。 2. 本品对眼睛、皮肤有刺激性，使用时避免接触眼睛、皮肤，穿戴长衣、长裤、帽子、口罩、手套等防护措施。避免口鼻吸入，施药后用肥皂洗手、洗脸。 3. 本产品对鱼类及水生物敏感, 严禁药液流入河塘,避免污染水源；远离水产养殖区、河塘等水体施药；禁止在河塘等水体中清洗施药器具；鱼或虾蟹套养稻田禁用；施药后的田水不得直接排入水体。 4.（周围）开花植物花期禁用，使用时应密切关注对附近蜂群的影响；蚕室及桑园附近禁用。 5. 建议与不同作用机制的杀虫剂轮换使用。 6. 孕妇及哺乳期妇女禁止接触本品。 7. 用过的容器应妥善处理，不可做他用，也不可随意丢弃。</w:t>
            </w:r>
          </w:p>
        </w:tc>
      </w:tr>
      <w:tr w14:paraId="5D039339">
        <w:tblPrEx>
          <w:tblCellMar>
            <w:top w:w="0" w:type="dxa"/>
            <w:left w:w="0" w:type="dxa"/>
            <w:bottom w:w="0" w:type="dxa"/>
            <w:right w:w="0" w:type="dxa"/>
          </w:tblCellMar>
        </w:tblPrEx>
        <w:trPr>
          <w:wBefore w:w="0" w:type="auto"/>
          <w:tblCellSpacing w:w="0" w:type="dxa"/>
        </w:trPr>
        <w:tc>
          <w:tcPr>
            <w:tcW w:w="0" w:type="auto"/>
            <w:noWrap w:val="0"/>
            <w:vAlign w:val="center"/>
          </w:tcPr>
          <w:p w14:paraId="6E897D09">
            <w:r>
              <w:rPr>
                <w:rStyle w:val="10"/>
                <w:rFonts w:hint="eastAsia"/>
              </w:rPr>
              <w:t>中毒急救措施：</w:t>
            </w:r>
            <w:r>
              <w:rPr>
                <w:rFonts w:hint="eastAsia"/>
              </w:rPr>
              <w:br w:type="textWrapping"/>
            </w:r>
            <w:r>
              <w:rPr>
                <w:rStyle w:val="11"/>
                <w:rFonts w:hint="eastAsia"/>
              </w:rPr>
              <w:t>1. 中毒症状：早期症状为瞳孔放大，行动失调，肌肉颤抖，严重时导致呕吐。 2. 急救治疗：经口：立即引吐并给患者服用吐根糖浆或麻黄素，但勿给昏迷患者催吐或灌任何东西。抢救时避免给患者使用增强γ-氨基丁酸活性的药物，如巴比妥、丙戊酸等。不慎吸入，应将病人移至空气流通处，并就医。不慎接触皮肤或溅入眼睛，应用大量清水冲洗至少15分钟后，就医。</w:t>
            </w:r>
          </w:p>
        </w:tc>
      </w:tr>
      <w:tr w14:paraId="258C065F">
        <w:tblPrEx>
          <w:tblCellMar>
            <w:top w:w="0" w:type="dxa"/>
            <w:left w:w="0" w:type="dxa"/>
            <w:bottom w:w="0" w:type="dxa"/>
            <w:right w:w="0" w:type="dxa"/>
          </w:tblCellMar>
        </w:tblPrEx>
        <w:trPr>
          <w:wBefore w:w="0" w:type="auto"/>
          <w:tblCellSpacing w:w="0" w:type="dxa"/>
        </w:trPr>
        <w:tc>
          <w:tcPr>
            <w:tcW w:w="0" w:type="auto"/>
            <w:noWrap w:val="0"/>
            <w:vAlign w:val="center"/>
          </w:tcPr>
          <w:p w14:paraId="4D14A503">
            <w:r>
              <w:rPr>
                <w:rStyle w:val="10"/>
                <w:rFonts w:hint="eastAsia"/>
              </w:rPr>
              <w:t>储存和运输方法：</w:t>
            </w:r>
            <w:r>
              <w:rPr>
                <w:rFonts w:hint="eastAsia"/>
              </w:rPr>
              <w:br w:type="textWrapping"/>
            </w:r>
            <w:r>
              <w:rPr>
                <w:rStyle w:val="11"/>
                <w:rFonts w:hint="eastAsia"/>
              </w:rPr>
              <w:t>在通风干燥的环境下贮存，干燥、阴凉、通风、防雨处，远离火源或热源。置于儿童、无关人员触及不到之处，并加锁。勿与食品、饮料、饲料、粮食等同贮同运。避免与皮肤、眼睛接触，防止由口鼻吸入。贮存中应注意密封干燥保存。在运输过程中，小心轻放.</w:t>
            </w:r>
          </w:p>
        </w:tc>
      </w:tr>
      <w:tr w14:paraId="513BEB23">
        <w:tblPrEx>
          <w:tblCellMar>
            <w:top w:w="0" w:type="dxa"/>
            <w:left w:w="0" w:type="dxa"/>
            <w:bottom w:w="0" w:type="dxa"/>
            <w:right w:w="0" w:type="dxa"/>
          </w:tblCellMar>
        </w:tblPrEx>
        <w:trPr>
          <w:wBefore w:w="0" w:type="auto"/>
          <w:tblCellSpacing w:w="0" w:type="dxa"/>
        </w:trPr>
        <w:tc>
          <w:tcPr>
            <w:tcW w:w="0" w:type="auto"/>
            <w:noWrap w:val="0"/>
            <w:vAlign w:val="center"/>
          </w:tcPr>
          <w:p w14:paraId="3CBFE11D">
            <w:r>
              <w:rPr>
                <w:rStyle w:val="10"/>
                <w:rFonts w:hint="eastAsia"/>
              </w:rPr>
              <w:t>质量保证期：</w:t>
            </w:r>
            <w:r>
              <w:rPr>
                <w:rStyle w:val="11"/>
                <w:rFonts w:hint="eastAsia"/>
              </w:rPr>
              <w:t>2年</w:t>
            </w:r>
          </w:p>
        </w:tc>
      </w:tr>
      <w:tr w14:paraId="5EC05934">
        <w:tblPrEx>
          <w:tblCellMar>
            <w:top w:w="0" w:type="dxa"/>
            <w:left w:w="0" w:type="dxa"/>
            <w:bottom w:w="0" w:type="dxa"/>
            <w:right w:w="0" w:type="dxa"/>
          </w:tblCellMar>
        </w:tblPrEx>
        <w:trPr>
          <w:wBefore w:w="0" w:type="auto"/>
          <w:tblCellSpacing w:w="0" w:type="dxa"/>
        </w:trPr>
        <w:tc>
          <w:tcPr>
            <w:tcW w:w="0" w:type="auto"/>
            <w:noWrap w:val="0"/>
            <w:vAlign w:val="center"/>
          </w:tcPr>
          <w:p w14:paraId="302299D8">
            <w:r>
              <w:rPr>
                <w:rStyle w:val="10"/>
                <w:rFonts w:hint="eastAsia"/>
              </w:rPr>
              <w:t>备注：</w:t>
            </w:r>
          </w:p>
        </w:tc>
      </w:tr>
    </w:tbl>
    <w:p w14:paraId="2F81DA3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3F7483">
        <w:tblPrEx>
          <w:tblCellMar>
            <w:top w:w="0" w:type="dxa"/>
            <w:left w:w="0" w:type="dxa"/>
            <w:bottom w:w="0" w:type="dxa"/>
            <w:right w:w="0" w:type="dxa"/>
          </w:tblCellMar>
        </w:tblPrEx>
        <w:trPr>
          <w:wBefore w:w="0" w:type="auto"/>
          <w:tblCellSpacing w:w="0" w:type="dxa"/>
        </w:trPr>
        <w:tc>
          <w:tcPr>
            <w:tcW w:w="0" w:type="auto"/>
            <w:noWrap w:val="0"/>
            <w:vAlign w:val="center"/>
          </w:tcPr>
          <w:p w14:paraId="49558464">
            <w:r>
              <w:rPr>
                <w:rStyle w:val="10"/>
                <w:rFonts w:hint="eastAsia"/>
              </w:rPr>
              <w:t>登记证号：</w:t>
            </w:r>
            <w:r>
              <w:rPr>
                <w:rFonts w:hint="eastAsia"/>
              </w:rPr>
              <w:t>PD20211986</w:t>
            </w:r>
          </w:p>
        </w:tc>
      </w:tr>
      <w:tr w14:paraId="57627002">
        <w:tblPrEx>
          <w:tblCellMar>
            <w:top w:w="0" w:type="dxa"/>
            <w:left w:w="0" w:type="dxa"/>
            <w:bottom w:w="0" w:type="dxa"/>
            <w:right w:w="0" w:type="dxa"/>
          </w:tblCellMar>
        </w:tblPrEx>
        <w:trPr>
          <w:wBefore w:w="0" w:type="auto"/>
          <w:tblCellSpacing w:w="0" w:type="dxa"/>
        </w:trPr>
        <w:tc>
          <w:tcPr>
            <w:tcW w:w="0" w:type="auto"/>
            <w:noWrap w:val="0"/>
            <w:vAlign w:val="center"/>
          </w:tcPr>
          <w:p w14:paraId="7818AE3F">
            <w:r>
              <w:rPr>
                <w:rStyle w:val="10"/>
                <w:rFonts w:hint="eastAsia"/>
              </w:rPr>
              <w:t>登记证持有人：</w:t>
            </w:r>
            <w:r>
              <w:rPr>
                <w:rFonts w:hint="eastAsia"/>
              </w:rPr>
              <w:t>连云港立本作物科技有限公司</w:t>
            </w:r>
          </w:p>
        </w:tc>
      </w:tr>
      <w:tr w14:paraId="7550FEF1">
        <w:tblPrEx>
          <w:tblCellMar>
            <w:top w:w="0" w:type="dxa"/>
            <w:left w:w="0" w:type="dxa"/>
            <w:bottom w:w="0" w:type="dxa"/>
            <w:right w:w="0" w:type="dxa"/>
          </w:tblCellMar>
        </w:tblPrEx>
        <w:trPr>
          <w:wBefore w:w="0" w:type="auto"/>
          <w:tblCellSpacing w:w="0" w:type="dxa"/>
        </w:trPr>
        <w:tc>
          <w:tcPr>
            <w:tcW w:w="0" w:type="auto"/>
            <w:noWrap w:val="0"/>
            <w:vAlign w:val="center"/>
          </w:tcPr>
          <w:p w14:paraId="2DE4632A">
            <w:r>
              <w:rPr>
                <w:rStyle w:val="10"/>
                <w:rFonts w:hint="eastAsia"/>
              </w:rPr>
              <w:t>农药名称：</w:t>
            </w:r>
            <w:r>
              <w:rPr>
                <w:rFonts w:hint="eastAsia"/>
              </w:rPr>
              <w:t>吡唑醚菌酯</w:t>
            </w:r>
          </w:p>
        </w:tc>
      </w:tr>
      <w:tr w14:paraId="6FC98548">
        <w:tblPrEx>
          <w:tblCellMar>
            <w:top w:w="0" w:type="dxa"/>
            <w:left w:w="0" w:type="dxa"/>
            <w:bottom w:w="0" w:type="dxa"/>
            <w:right w:w="0" w:type="dxa"/>
          </w:tblCellMar>
        </w:tblPrEx>
        <w:trPr>
          <w:wBefore w:w="0" w:type="auto"/>
          <w:tblCellSpacing w:w="0" w:type="dxa"/>
        </w:trPr>
        <w:tc>
          <w:tcPr>
            <w:tcW w:w="0" w:type="auto"/>
            <w:noWrap w:val="0"/>
            <w:vAlign w:val="center"/>
          </w:tcPr>
          <w:p w14:paraId="38841F85">
            <w:r>
              <w:rPr>
                <w:rStyle w:val="10"/>
                <w:rFonts w:hint="eastAsia"/>
              </w:rPr>
              <w:t>剂型：</w:t>
            </w:r>
            <w:r>
              <w:rPr>
                <w:rFonts w:hint="eastAsia"/>
              </w:rPr>
              <w:t>乳油</w:t>
            </w:r>
          </w:p>
        </w:tc>
      </w:tr>
      <w:tr w14:paraId="711B5CE0">
        <w:tblPrEx>
          <w:tblCellMar>
            <w:top w:w="0" w:type="dxa"/>
            <w:left w:w="0" w:type="dxa"/>
            <w:bottom w:w="0" w:type="dxa"/>
            <w:right w:w="0" w:type="dxa"/>
          </w:tblCellMar>
        </w:tblPrEx>
        <w:trPr>
          <w:wBefore w:w="0" w:type="auto"/>
          <w:tblCellSpacing w:w="0" w:type="dxa"/>
        </w:trPr>
        <w:tc>
          <w:tcPr>
            <w:tcW w:w="0" w:type="auto"/>
            <w:noWrap w:val="0"/>
            <w:vAlign w:val="center"/>
          </w:tcPr>
          <w:p w14:paraId="357DBA54">
            <w:r>
              <w:rPr>
                <w:rStyle w:val="10"/>
                <w:rFonts w:hint="eastAsia"/>
              </w:rPr>
              <w:t>毒性及其标识：</w:t>
            </w:r>
            <w:r>
              <w:rPr>
                <w:rFonts w:hint="eastAsia"/>
              </w:rPr>
              <w:t xml:space="preserve"> </w:t>
            </w:r>
            <w:r>
              <w:rPr>
                <w:lang/>
              </w:rPr>
              <w:drawing>
                <wp:inline distT="0" distB="0" distL="114300" distR="114300">
                  <wp:extent cx="476250" cy="323850"/>
                  <wp:effectExtent l="0" t="0" r="0" b="0"/>
                  <wp:docPr id="478" name="图片 47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1DAE728">
        <w:tblPrEx>
          <w:tblCellMar>
            <w:top w:w="0" w:type="dxa"/>
            <w:left w:w="0" w:type="dxa"/>
            <w:bottom w:w="0" w:type="dxa"/>
            <w:right w:w="0" w:type="dxa"/>
          </w:tblCellMar>
        </w:tblPrEx>
        <w:trPr>
          <w:wBefore w:w="0" w:type="auto"/>
          <w:tblCellSpacing w:w="0" w:type="dxa"/>
        </w:trPr>
        <w:tc>
          <w:tcPr>
            <w:tcW w:w="0" w:type="auto"/>
            <w:noWrap w:val="0"/>
            <w:vAlign w:val="center"/>
          </w:tcPr>
          <w:p w14:paraId="0AEB7A2E">
            <w:r>
              <w:rPr>
                <w:rStyle w:val="10"/>
                <w:rFonts w:hint="eastAsia"/>
              </w:rPr>
              <w:t>总有效成分含量：</w:t>
            </w:r>
            <w:r>
              <w:rPr>
                <w:rFonts w:hint="eastAsia"/>
              </w:rPr>
              <w:t>30%</w:t>
            </w:r>
          </w:p>
        </w:tc>
      </w:tr>
      <w:tr w14:paraId="4076786A">
        <w:tblPrEx>
          <w:tblCellMar>
            <w:top w:w="0" w:type="dxa"/>
            <w:left w:w="0" w:type="dxa"/>
            <w:bottom w:w="0" w:type="dxa"/>
            <w:right w:w="0" w:type="dxa"/>
          </w:tblCellMar>
        </w:tblPrEx>
        <w:trPr>
          <w:wBefore w:w="0" w:type="auto"/>
          <w:tblCellSpacing w:w="0" w:type="dxa"/>
        </w:trPr>
        <w:tc>
          <w:tcPr>
            <w:tcW w:w="0" w:type="auto"/>
            <w:noWrap w:val="0"/>
            <w:vAlign w:val="center"/>
          </w:tcPr>
          <w:p w14:paraId="444AB830">
            <w:r>
              <w:rPr>
                <w:rFonts w:hint="eastAsia"/>
              </w:rPr>
              <w:t xml:space="preserve">有效成分及其含量： </w:t>
            </w:r>
          </w:p>
          <w:p w14:paraId="2583C77B">
            <w:r>
              <w:rPr>
                <w:rFonts w:hint="eastAsia"/>
              </w:rPr>
              <w:t xml:space="preserve">    吡唑醚菌酯30%    </w:t>
            </w:r>
          </w:p>
        </w:tc>
      </w:tr>
      <w:tr w14:paraId="62E73625">
        <w:tblPrEx>
          <w:tblCellMar>
            <w:top w:w="0" w:type="dxa"/>
            <w:left w:w="0" w:type="dxa"/>
            <w:bottom w:w="0" w:type="dxa"/>
            <w:right w:w="0" w:type="dxa"/>
          </w:tblCellMar>
        </w:tblPrEx>
        <w:trPr>
          <w:wBefore w:w="0" w:type="auto"/>
          <w:tblCellSpacing w:w="0" w:type="dxa"/>
        </w:trPr>
        <w:tc>
          <w:tcPr>
            <w:tcW w:w="0" w:type="auto"/>
            <w:noWrap w:val="0"/>
            <w:vAlign w:val="center"/>
          </w:tcPr>
          <w:p w14:paraId="341A1FF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FA781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02A80A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22BA50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33DEB7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76D1391">
                  <w:r>
                    <w:rPr>
                      <w:rStyle w:val="11"/>
                      <w:rFonts w:hint="eastAsia"/>
                    </w:rPr>
                    <w:t>施用方式</w:t>
                  </w:r>
                </w:p>
              </w:tc>
            </w:tr>
            <w:tr w14:paraId="7DA8AE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BFBA62">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6D7434">
                  <w:r>
                    <w:rPr>
                      <w:rStyle w:val="11"/>
                      <w:rFonts w:hint="eastAsia"/>
                    </w:rPr>
                    <w:t>大斑病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533F32">
                  <w:r>
                    <w:rPr>
                      <w:rStyle w:val="11"/>
                      <w:rFonts w:hint="eastAsia"/>
                    </w:rPr>
                    <w:t>30-40毫升/亩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43AC74">
                  <w:r>
                    <w:rPr>
                      <w:rStyle w:val="11"/>
                      <w:rFonts w:hint="eastAsia"/>
                    </w:rPr>
                    <w:t>喷雾</w:t>
                  </w:r>
                </w:p>
              </w:tc>
            </w:tr>
          </w:tbl>
          <w:p w14:paraId="07BCEE3C">
            <w:pPr>
              <w:rPr>
                <w:rFonts w:ascii="Times New Roman" w:hAnsi="Times New Roman" w:cs="Times New Roman"/>
                <w:sz w:val="20"/>
                <w:szCs w:val="20"/>
              </w:rPr>
            </w:pPr>
          </w:p>
        </w:tc>
      </w:tr>
      <w:tr w14:paraId="399294F4">
        <w:tblPrEx>
          <w:tblCellMar>
            <w:top w:w="0" w:type="dxa"/>
            <w:left w:w="0" w:type="dxa"/>
            <w:bottom w:w="0" w:type="dxa"/>
            <w:right w:w="0" w:type="dxa"/>
          </w:tblCellMar>
        </w:tblPrEx>
        <w:trPr>
          <w:wBefore w:w="0" w:type="auto"/>
          <w:tblCellSpacing w:w="0" w:type="dxa"/>
        </w:trPr>
        <w:tc>
          <w:tcPr>
            <w:tcW w:w="0" w:type="auto"/>
            <w:noWrap w:val="0"/>
            <w:vAlign w:val="center"/>
          </w:tcPr>
          <w:p w14:paraId="000875FE">
            <w:r>
              <w:rPr>
                <w:rStyle w:val="10"/>
                <w:rFonts w:hint="eastAsia"/>
              </w:rPr>
              <w:t>使用技术要求:</w:t>
            </w:r>
            <w:r>
              <w:rPr>
                <w:rFonts w:hint="eastAsia"/>
              </w:rPr>
              <w:br w:type="textWrapping"/>
            </w:r>
            <w:r>
              <w:rPr>
                <w:rStyle w:val="11"/>
                <w:rFonts w:hint="eastAsia"/>
              </w:rPr>
              <w:t>1. 本品应于玉米大斑病发病前或发病初期施药，间隔7-14天施药一次，每季作物施药2次，施药时应注意对整株均匀喷雾。 2. 大风天或预计1小时内降雨请勿施药。 3. 本品在玉米上使用的安全间隔期为10天，每季作物最多使用2次。</w:t>
            </w:r>
          </w:p>
        </w:tc>
      </w:tr>
      <w:tr w14:paraId="5E03D43E">
        <w:tblPrEx>
          <w:tblCellMar>
            <w:top w:w="0" w:type="dxa"/>
            <w:left w:w="0" w:type="dxa"/>
            <w:bottom w:w="0" w:type="dxa"/>
            <w:right w:w="0" w:type="dxa"/>
          </w:tblCellMar>
        </w:tblPrEx>
        <w:trPr>
          <w:wBefore w:w="0" w:type="auto"/>
          <w:tblCellSpacing w:w="0" w:type="dxa"/>
        </w:trPr>
        <w:tc>
          <w:tcPr>
            <w:tcW w:w="0" w:type="auto"/>
            <w:noWrap w:val="0"/>
            <w:vAlign w:val="center"/>
          </w:tcPr>
          <w:p w14:paraId="43A65255">
            <w:r>
              <w:rPr>
                <w:rStyle w:val="10"/>
                <w:rFonts w:hint="eastAsia"/>
              </w:rPr>
              <w:t>产品性能:</w:t>
            </w:r>
            <w:r>
              <w:rPr>
                <w:rFonts w:hint="eastAsia"/>
              </w:rPr>
              <w:br w:type="textWrapping"/>
            </w:r>
            <w:r>
              <w:rPr>
                <w:rStyle w:val="11"/>
                <w:rFonts w:hint="eastAsia"/>
              </w:rPr>
              <w:t>吡唑醚菌酯属杀菌剂，具有更宽的杀菌谱和更高的杀菌活性，对玉米大斑病具有较强的防治效果。作用迅速，持效期长，推荐剂量下对作物安全。</w:t>
            </w:r>
          </w:p>
        </w:tc>
      </w:tr>
      <w:tr w14:paraId="7882FC8A">
        <w:tblPrEx>
          <w:tblCellMar>
            <w:top w:w="0" w:type="dxa"/>
            <w:left w:w="0" w:type="dxa"/>
            <w:bottom w:w="0" w:type="dxa"/>
            <w:right w:w="0" w:type="dxa"/>
          </w:tblCellMar>
        </w:tblPrEx>
        <w:trPr>
          <w:wBefore w:w="0" w:type="auto"/>
          <w:tblCellSpacing w:w="0" w:type="dxa"/>
        </w:trPr>
        <w:tc>
          <w:tcPr>
            <w:tcW w:w="0" w:type="auto"/>
            <w:noWrap w:val="0"/>
            <w:vAlign w:val="center"/>
          </w:tcPr>
          <w:p w14:paraId="1C893D5E">
            <w:r>
              <w:rPr>
                <w:rStyle w:val="10"/>
                <w:rFonts w:hint="eastAsia"/>
              </w:rPr>
              <w:t>注意事项：</w:t>
            </w:r>
            <w:r>
              <w:rPr>
                <w:rFonts w:hint="eastAsia"/>
              </w:rPr>
              <w:br w:type="textWrapping"/>
            </w:r>
            <w:r>
              <w:rPr>
                <w:rStyle w:val="11"/>
                <w:rFonts w:hint="eastAsia"/>
              </w:rPr>
              <w:t>1. 请按照农药安全使用准则使用本品。本品对眼睛有刺激性，使用时避免接触眼睛，穿戴长衣、长裤、帽子、口罩、手套等防护措施。施药期间不可吃东西和饮水，施药后应及时洗手和洗脸。2. 本品对蜜蜂、鱼等水生生物、家蚕有毒，施药期间避免对周围蜂群的影响、蜜源/粉源植物花期、蚕室和桑园附近禁用。远离水产养殖区、河塘等水体附近施药，避免药液污染水源，禁止在河塘等水域中清洗施药器具。赤眼蜂等天敌放飞区域禁用。3. 用过的容器应妥善处理，不可做他用，也不可随意丢弃。4. 孕妇及哺乳期妇女应避免接触本品。5. 建议与其它作用机制的杀菌剂轮换使用。</w:t>
            </w:r>
          </w:p>
        </w:tc>
      </w:tr>
      <w:tr w14:paraId="4339164F">
        <w:tblPrEx>
          <w:tblCellMar>
            <w:top w:w="0" w:type="dxa"/>
            <w:left w:w="0" w:type="dxa"/>
            <w:bottom w:w="0" w:type="dxa"/>
            <w:right w:w="0" w:type="dxa"/>
          </w:tblCellMar>
        </w:tblPrEx>
        <w:trPr>
          <w:wBefore w:w="0" w:type="auto"/>
          <w:tblCellSpacing w:w="0" w:type="dxa"/>
        </w:trPr>
        <w:tc>
          <w:tcPr>
            <w:tcW w:w="0" w:type="auto"/>
            <w:noWrap w:val="0"/>
            <w:vAlign w:val="center"/>
          </w:tcPr>
          <w:p w14:paraId="7AB3275D">
            <w:r>
              <w:rPr>
                <w:rStyle w:val="10"/>
                <w:rFonts w:hint="eastAsia"/>
              </w:rPr>
              <w:t>中毒急救措施：</w:t>
            </w:r>
            <w:r>
              <w:rPr>
                <w:rFonts w:hint="eastAsia"/>
              </w:rPr>
              <w:br w:type="textWrapping"/>
            </w:r>
            <w:r>
              <w:rPr>
                <w:rStyle w:val="11"/>
                <w:rFonts w:hint="eastAsia"/>
              </w:rPr>
              <w:t>按标签推荐方法使用，一旦发生中毒，请对症治疗1.用药时或使用后如感觉不适，立即停止工作，采取急救措施。2.皮肤接触：立即脱掉被污染的衣物，用大量清水冲洗被污染的皮肤。3.眼睛溅药：立即将眼睑翻开，用清水冲洗至少15分钟。4.发生吸入：立即将吸入者转移到空气新鲜处。5.误服：请勿吸吐。出现上述症状，请立即携此标签送医就诊。解毒剂：无专用解毒剂，对症治疗。中毒时，请拨打中国疾病中心中毒控制中心咨询热线：400-650-5726。</w:t>
            </w:r>
          </w:p>
        </w:tc>
      </w:tr>
      <w:tr w14:paraId="591AD57D">
        <w:tblPrEx>
          <w:tblCellMar>
            <w:top w:w="0" w:type="dxa"/>
            <w:left w:w="0" w:type="dxa"/>
            <w:bottom w:w="0" w:type="dxa"/>
            <w:right w:w="0" w:type="dxa"/>
          </w:tblCellMar>
        </w:tblPrEx>
        <w:trPr>
          <w:wBefore w:w="0" w:type="auto"/>
          <w:tblCellSpacing w:w="0" w:type="dxa"/>
        </w:trPr>
        <w:tc>
          <w:tcPr>
            <w:tcW w:w="0" w:type="auto"/>
            <w:noWrap w:val="0"/>
            <w:vAlign w:val="center"/>
          </w:tcPr>
          <w:p w14:paraId="53251E84">
            <w:r>
              <w:rPr>
                <w:rStyle w:val="10"/>
                <w:rFonts w:hint="eastAsia"/>
              </w:rPr>
              <w:t>储存和运输方法：</w:t>
            </w:r>
            <w:r>
              <w:rPr>
                <w:rFonts w:hint="eastAsia"/>
              </w:rPr>
              <w:br w:type="textWrapping"/>
            </w:r>
            <w:r>
              <w:rPr>
                <w:rStyle w:val="11"/>
                <w:rFonts w:hint="eastAsia"/>
              </w:rPr>
              <w:t>1. 本品应贮存于通风、阴凉、干燥处。远离火源或热源。置于儿童、无关人员触及不到之处，并加锁。2. 运输时，严防雨淋、日晒，不能与食品、饮料、粮食、饲料等物品同贮同运，避免与皮肤接触，防止由口鼻吸入。</w:t>
            </w:r>
          </w:p>
        </w:tc>
      </w:tr>
      <w:tr w14:paraId="4333AEDD">
        <w:tblPrEx>
          <w:tblCellMar>
            <w:top w:w="0" w:type="dxa"/>
            <w:left w:w="0" w:type="dxa"/>
            <w:bottom w:w="0" w:type="dxa"/>
            <w:right w:w="0" w:type="dxa"/>
          </w:tblCellMar>
        </w:tblPrEx>
        <w:trPr>
          <w:wBefore w:w="0" w:type="auto"/>
          <w:tblCellSpacing w:w="0" w:type="dxa"/>
        </w:trPr>
        <w:tc>
          <w:tcPr>
            <w:tcW w:w="0" w:type="auto"/>
            <w:noWrap w:val="0"/>
            <w:vAlign w:val="center"/>
          </w:tcPr>
          <w:p w14:paraId="3D88B660">
            <w:r>
              <w:rPr>
                <w:rStyle w:val="10"/>
                <w:rFonts w:hint="eastAsia"/>
              </w:rPr>
              <w:t>质量保证期：</w:t>
            </w:r>
            <w:r>
              <w:rPr>
                <w:rStyle w:val="11"/>
                <w:rFonts w:hint="eastAsia"/>
              </w:rPr>
              <w:t>2年</w:t>
            </w:r>
          </w:p>
        </w:tc>
      </w:tr>
      <w:tr w14:paraId="173999C5">
        <w:tblPrEx>
          <w:tblCellMar>
            <w:top w:w="0" w:type="dxa"/>
            <w:left w:w="0" w:type="dxa"/>
            <w:bottom w:w="0" w:type="dxa"/>
            <w:right w:w="0" w:type="dxa"/>
          </w:tblCellMar>
        </w:tblPrEx>
        <w:trPr>
          <w:wBefore w:w="0" w:type="auto"/>
          <w:tblCellSpacing w:w="0" w:type="dxa"/>
        </w:trPr>
        <w:tc>
          <w:tcPr>
            <w:tcW w:w="0" w:type="auto"/>
            <w:noWrap w:val="0"/>
            <w:vAlign w:val="center"/>
          </w:tcPr>
          <w:p w14:paraId="5ECC0180">
            <w:r>
              <w:rPr>
                <w:rStyle w:val="10"/>
                <w:rFonts w:hint="eastAsia"/>
              </w:rPr>
              <w:t>备注：</w:t>
            </w:r>
          </w:p>
        </w:tc>
      </w:tr>
    </w:tbl>
    <w:p w14:paraId="4513CBA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BC71A2E">
        <w:tblPrEx>
          <w:tblCellMar>
            <w:top w:w="0" w:type="dxa"/>
            <w:left w:w="0" w:type="dxa"/>
            <w:bottom w:w="0" w:type="dxa"/>
            <w:right w:w="0" w:type="dxa"/>
          </w:tblCellMar>
        </w:tblPrEx>
        <w:trPr>
          <w:wBefore w:w="0" w:type="auto"/>
          <w:tblCellSpacing w:w="0" w:type="dxa"/>
        </w:trPr>
        <w:tc>
          <w:tcPr>
            <w:tcW w:w="0" w:type="auto"/>
            <w:noWrap w:val="0"/>
            <w:vAlign w:val="center"/>
          </w:tcPr>
          <w:p w14:paraId="0047C86C">
            <w:r>
              <w:rPr>
                <w:rStyle w:val="10"/>
                <w:rFonts w:hint="eastAsia"/>
              </w:rPr>
              <w:t>登记证号：</w:t>
            </w:r>
            <w:r>
              <w:rPr>
                <w:rFonts w:hint="eastAsia"/>
              </w:rPr>
              <w:t>PD20212053</w:t>
            </w:r>
          </w:p>
        </w:tc>
      </w:tr>
      <w:tr w14:paraId="37BBD31E">
        <w:tblPrEx>
          <w:tblCellMar>
            <w:top w:w="0" w:type="dxa"/>
            <w:left w:w="0" w:type="dxa"/>
            <w:bottom w:w="0" w:type="dxa"/>
            <w:right w:w="0" w:type="dxa"/>
          </w:tblCellMar>
        </w:tblPrEx>
        <w:trPr>
          <w:wBefore w:w="0" w:type="auto"/>
          <w:tblCellSpacing w:w="0" w:type="dxa"/>
        </w:trPr>
        <w:tc>
          <w:tcPr>
            <w:tcW w:w="0" w:type="auto"/>
            <w:noWrap w:val="0"/>
            <w:vAlign w:val="center"/>
          </w:tcPr>
          <w:p w14:paraId="143078FA">
            <w:r>
              <w:rPr>
                <w:rStyle w:val="10"/>
                <w:rFonts w:hint="eastAsia"/>
              </w:rPr>
              <w:t>登记证持有人：</w:t>
            </w:r>
            <w:r>
              <w:rPr>
                <w:rFonts w:hint="eastAsia"/>
              </w:rPr>
              <w:t>四川金珠生态农业科技有限公司</w:t>
            </w:r>
          </w:p>
        </w:tc>
      </w:tr>
      <w:tr w14:paraId="67A5AB14">
        <w:tblPrEx>
          <w:tblCellMar>
            <w:top w:w="0" w:type="dxa"/>
            <w:left w:w="0" w:type="dxa"/>
            <w:bottom w:w="0" w:type="dxa"/>
            <w:right w:w="0" w:type="dxa"/>
          </w:tblCellMar>
        </w:tblPrEx>
        <w:trPr>
          <w:wBefore w:w="0" w:type="auto"/>
          <w:tblCellSpacing w:w="0" w:type="dxa"/>
        </w:trPr>
        <w:tc>
          <w:tcPr>
            <w:tcW w:w="0" w:type="auto"/>
            <w:noWrap w:val="0"/>
            <w:vAlign w:val="center"/>
          </w:tcPr>
          <w:p w14:paraId="63D39C9F">
            <w:r>
              <w:rPr>
                <w:rStyle w:val="10"/>
                <w:rFonts w:hint="eastAsia"/>
              </w:rPr>
              <w:t>农药名称：</w:t>
            </w:r>
            <w:r>
              <w:rPr>
                <w:rFonts w:hint="eastAsia"/>
              </w:rPr>
              <w:t>S-诱抗素</w:t>
            </w:r>
          </w:p>
        </w:tc>
      </w:tr>
      <w:tr w14:paraId="4E15FCF4">
        <w:tblPrEx>
          <w:tblCellMar>
            <w:top w:w="0" w:type="dxa"/>
            <w:left w:w="0" w:type="dxa"/>
            <w:bottom w:w="0" w:type="dxa"/>
            <w:right w:w="0" w:type="dxa"/>
          </w:tblCellMar>
        </w:tblPrEx>
        <w:trPr>
          <w:wBefore w:w="0" w:type="auto"/>
          <w:tblCellSpacing w:w="0" w:type="dxa"/>
        </w:trPr>
        <w:tc>
          <w:tcPr>
            <w:tcW w:w="0" w:type="auto"/>
            <w:noWrap w:val="0"/>
            <w:vAlign w:val="center"/>
          </w:tcPr>
          <w:p w14:paraId="136A0065">
            <w:r>
              <w:rPr>
                <w:rStyle w:val="10"/>
                <w:rFonts w:hint="eastAsia"/>
              </w:rPr>
              <w:t>剂型：</w:t>
            </w:r>
            <w:r>
              <w:rPr>
                <w:rFonts w:hint="eastAsia"/>
              </w:rPr>
              <w:t>可溶液剂</w:t>
            </w:r>
          </w:p>
        </w:tc>
      </w:tr>
      <w:tr w14:paraId="6B1A9DE5">
        <w:tblPrEx>
          <w:tblCellMar>
            <w:top w:w="0" w:type="dxa"/>
            <w:left w:w="0" w:type="dxa"/>
            <w:bottom w:w="0" w:type="dxa"/>
            <w:right w:w="0" w:type="dxa"/>
          </w:tblCellMar>
        </w:tblPrEx>
        <w:trPr>
          <w:wBefore w:w="0" w:type="auto"/>
          <w:tblCellSpacing w:w="0" w:type="dxa"/>
        </w:trPr>
        <w:tc>
          <w:tcPr>
            <w:tcW w:w="0" w:type="auto"/>
            <w:noWrap w:val="0"/>
            <w:vAlign w:val="center"/>
          </w:tcPr>
          <w:p w14:paraId="5FA5F183">
            <w:r>
              <w:rPr>
                <w:rStyle w:val="10"/>
                <w:rFonts w:hint="eastAsia"/>
              </w:rPr>
              <w:t>毒性及其标识：</w:t>
            </w:r>
            <w:r>
              <w:rPr>
                <w:rFonts w:hint="eastAsia"/>
              </w:rPr>
              <w:t xml:space="preserve"> </w:t>
            </w:r>
            <w:r>
              <w:rPr>
                <w:lang/>
              </w:rPr>
              <w:drawing>
                <wp:inline distT="0" distB="0" distL="114300" distR="114300">
                  <wp:extent cx="476250" cy="323850"/>
                  <wp:effectExtent l="0" t="0" r="0" b="0"/>
                  <wp:docPr id="479" name="图片 47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A0B8E36">
        <w:tblPrEx>
          <w:tblCellMar>
            <w:top w:w="0" w:type="dxa"/>
            <w:left w:w="0" w:type="dxa"/>
            <w:bottom w:w="0" w:type="dxa"/>
            <w:right w:w="0" w:type="dxa"/>
          </w:tblCellMar>
        </w:tblPrEx>
        <w:trPr>
          <w:wBefore w:w="0" w:type="auto"/>
          <w:tblCellSpacing w:w="0" w:type="dxa"/>
        </w:trPr>
        <w:tc>
          <w:tcPr>
            <w:tcW w:w="0" w:type="auto"/>
            <w:noWrap w:val="0"/>
            <w:vAlign w:val="center"/>
          </w:tcPr>
          <w:p w14:paraId="68ED1C19">
            <w:r>
              <w:rPr>
                <w:rStyle w:val="10"/>
                <w:rFonts w:hint="eastAsia"/>
              </w:rPr>
              <w:t>总有效成分含量：</w:t>
            </w:r>
            <w:r>
              <w:rPr>
                <w:rFonts w:hint="eastAsia"/>
              </w:rPr>
              <w:t>10%</w:t>
            </w:r>
          </w:p>
        </w:tc>
      </w:tr>
      <w:tr w14:paraId="4441BD61">
        <w:tblPrEx>
          <w:tblCellMar>
            <w:top w:w="0" w:type="dxa"/>
            <w:left w:w="0" w:type="dxa"/>
            <w:bottom w:w="0" w:type="dxa"/>
            <w:right w:w="0" w:type="dxa"/>
          </w:tblCellMar>
        </w:tblPrEx>
        <w:trPr>
          <w:wBefore w:w="0" w:type="auto"/>
          <w:tblCellSpacing w:w="0" w:type="dxa"/>
        </w:trPr>
        <w:tc>
          <w:tcPr>
            <w:tcW w:w="0" w:type="auto"/>
            <w:noWrap w:val="0"/>
            <w:vAlign w:val="center"/>
          </w:tcPr>
          <w:p w14:paraId="3927E493">
            <w:r>
              <w:rPr>
                <w:rFonts w:hint="eastAsia"/>
              </w:rPr>
              <w:t xml:space="preserve">有效成分及其含量： </w:t>
            </w:r>
          </w:p>
          <w:p w14:paraId="1B639854">
            <w:r>
              <w:rPr>
                <w:rFonts w:hint="eastAsia"/>
              </w:rPr>
              <w:t xml:space="preserve">    S-诱抗素10%    </w:t>
            </w:r>
          </w:p>
        </w:tc>
      </w:tr>
      <w:tr w14:paraId="6A96DF27">
        <w:tblPrEx>
          <w:tblCellMar>
            <w:top w:w="0" w:type="dxa"/>
            <w:left w:w="0" w:type="dxa"/>
            <w:bottom w:w="0" w:type="dxa"/>
            <w:right w:w="0" w:type="dxa"/>
          </w:tblCellMar>
        </w:tblPrEx>
        <w:trPr>
          <w:wBefore w:w="0" w:type="auto"/>
          <w:tblCellSpacing w:w="0" w:type="dxa"/>
        </w:trPr>
        <w:tc>
          <w:tcPr>
            <w:tcW w:w="0" w:type="auto"/>
            <w:noWrap w:val="0"/>
            <w:vAlign w:val="center"/>
          </w:tcPr>
          <w:p w14:paraId="783D123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795C8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8E96EB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5CCA00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E40EF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9F42AC">
                  <w:r>
                    <w:rPr>
                      <w:rStyle w:val="11"/>
                      <w:rFonts w:hint="eastAsia"/>
                    </w:rPr>
                    <w:t>施用方式</w:t>
                  </w:r>
                </w:p>
              </w:tc>
            </w:tr>
            <w:tr w14:paraId="5C9D10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3E65FFE">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3AB659">
                  <w:r>
                    <w:rPr>
                      <w:rStyle w:val="11"/>
                      <w:rFonts w:hint="eastAsia"/>
                    </w:rPr>
                    <w:t>促进着色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C8272E">
                  <w:r>
                    <w:rPr>
                      <w:rStyle w:val="11"/>
                      <w:rFonts w:hint="eastAsia"/>
                    </w:rPr>
                    <w:t>300-500倍液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23CA68">
                  <w:r>
                    <w:rPr>
                      <w:rStyle w:val="11"/>
                      <w:rFonts w:hint="eastAsia"/>
                    </w:rPr>
                    <w:t>喷果穗</w:t>
                  </w:r>
                </w:p>
              </w:tc>
            </w:tr>
          </w:tbl>
          <w:p w14:paraId="5D948763">
            <w:pPr>
              <w:rPr>
                <w:rFonts w:ascii="Times New Roman" w:hAnsi="Times New Roman" w:cs="Times New Roman"/>
                <w:sz w:val="20"/>
                <w:szCs w:val="20"/>
              </w:rPr>
            </w:pPr>
          </w:p>
        </w:tc>
      </w:tr>
      <w:tr w14:paraId="1C7728AD">
        <w:tblPrEx>
          <w:tblCellMar>
            <w:top w:w="0" w:type="dxa"/>
            <w:left w:w="0" w:type="dxa"/>
            <w:bottom w:w="0" w:type="dxa"/>
            <w:right w:w="0" w:type="dxa"/>
          </w:tblCellMar>
        </w:tblPrEx>
        <w:trPr>
          <w:wBefore w:w="0" w:type="auto"/>
          <w:tblCellSpacing w:w="0" w:type="dxa"/>
        </w:trPr>
        <w:tc>
          <w:tcPr>
            <w:tcW w:w="0" w:type="auto"/>
            <w:noWrap w:val="0"/>
            <w:vAlign w:val="center"/>
          </w:tcPr>
          <w:p w14:paraId="0428A16B">
            <w:r>
              <w:rPr>
                <w:rStyle w:val="10"/>
                <w:rFonts w:hint="eastAsia"/>
              </w:rPr>
              <w:t>使用技术要求:</w:t>
            </w:r>
            <w:r>
              <w:rPr>
                <w:rFonts w:hint="eastAsia"/>
              </w:rPr>
              <w:br w:type="textWrapping"/>
            </w:r>
            <w:r>
              <w:rPr>
                <w:rStyle w:val="11"/>
                <w:rFonts w:hint="eastAsia"/>
              </w:rPr>
              <w:t>1. 于葡萄转色初期（20%-30%开始转色期）喷果穗1次，果穗均匀喷雾，果粒均匀附着且不滴水。2. 大风或者预计一个小时内有雨请勿施药。注意保证施药均匀避免药害。</w:t>
            </w:r>
          </w:p>
        </w:tc>
      </w:tr>
      <w:tr w14:paraId="3D6D4C39">
        <w:tblPrEx>
          <w:tblCellMar>
            <w:top w:w="0" w:type="dxa"/>
            <w:left w:w="0" w:type="dxa"/>
            <w:bottom w:w="0" w:type="dxa"/>
            <w:right w:w="0" w:type="dxa"/>
          </w:tblCellMar>
        </w:tblPrEx>
        <w:trPr>
          <w:wBefore w:w="0" w:type="auto"/>
          <w:tblCellSpacing w:w="0" w:type="dxa"/>
        </w:trPr>
        <w:tc>
          <w:tcPr>
            <w:tcW w:w="0" w:type="auto"/>
            <w:noWrap w:val="0"/>
            <w:vAlign w:val="center"/>
          </w:tcPr>
          <w:p w14:paraId="7BC0ADD6">
            <w:r>
              <w:rPr>
                <w:rStyle w:val="10"/>
                <w:rFonts w:hint="eastAsia"/>
              </w:rPr>
              <w:t>产品性能:</w:t>
            </w:r>
            <w:r>
              <w:rPr>
                <w:rFonts w:hint="eastAsia"/>
              </w:rPr>
              <w:br w:type="textWrapping"/>
            </w:r>
            <w:r>
              <w:rPr>
                <w:rStyle w:val="11"/>
                <w:rFonts w:hint="eastAsia"/>
              </w:rPr>
              <w:t>S-诱抗素是一种植物体内存在的具有倍半萜结构的天然植物生长调节剂，可诱导植物产生抗逆性，提高植株的生理素质，促进种子、果实的贮藏蛋白和糖分的积累。在葡萄上使用，能促进着色，提高果实品质。</w:t>
            </w:r>
          </w:p>
        </w:tc>
      </w:tr>
      <w:tr w14:paraId="19CAFA59">
        <w:tblPrEx>
          <w:tblCellMar>
            <w:top w:w="0" w:type="dxa"/>
            <w:left w:w="0" w:type="dxa"/>
            <w:bottom w:w="0" w:type="dxa"/>
            <w:right w:w="0" w:type="dxa"/>
          </w:tblCellMar>
        </w:tblPrEx>
        <w:trPr>
          <w:wBefore w:w="0" w:type="auto"/>
          <w:tblCellSpacing w:w="0" w:type="dxa"/>
        </w:trPr>
        <w:tc>
          <w:tcPr>
            <w:tcW w:w="0" w:type="auto"/>
            <w:noWrap w:val="0"/>
            <w:vAlign w:val="center"/>
          </w:tcPr>
          <w:p w14:paraId="5B9ECC5F">
            <w:r>
              <w:rPr>
                <w:rStyle w:val="10"/>
                <w:rFonts w:hint="eastAsia"/>
              </w:rPr>
              <w:t>注意事项：</w:t>
            </w:r>
            <w:r>
              <w:rPr>
                <w:rFonts w:hint="eastAsia"/>
              </w:rPr>
              <w:br w:type="textWrapping"/>
            </w:r>
            <w:r>
              <w:rPr>
                <w:rStyle w:val="11"/>
                <w:rFonts w:hint="eastAsia"/>
              </w:rPr>
              <w:t>1. 忌与碱性农药混用，忌用碱性水（PH＞7.0）稀释本产品。 2. 应采用雾化好的喷雾器或者喷头喷洒，雾滴要细小，喷洒要均匀。3. 喷雾的时间应选在无风的清晨或者傍晚为宜，注意避光保存，开启包装后最好一次性用完。 4. 本品对眼睛有刺激性，使用时避免接触眼睛，穿戴长衣、长裤、帽子、口罩、手套等防护措施。避免吸入药液；施药期间不可吃东西、喝水和吸烟等；施药后应及时洗手和洗脸等。 5. 禁止河塘等水域内清洗施药器具或将清洗施药器具的废水倒入河流、池塘等水源。 6. 孕妇及哺乳期妇女避免接触此药。 7. 用过的容器应妥善处理，不可做它用，也不可随意丢弃。8. 请在当地农技植保人员的指导下用药。</w:t>
            </w:r>
          </w:p>
        </w:tc>
      </w:tr>
      <w:tr w14:paraId="10180492">
        <w:tblPrEx>
          <w:tblCellMar>
            <w:top w:w="0" w:type="dxa"/>
            <w:left w:w="0" w:type="dxa"/>
            <w:bottom w:w="0" w:type="dxa"/>
            <w:right w:w="0" w:type="dxa"/>
          </w:tblCellMar>
        </w:tblPrEx>
        <w:trPr>
          <w:wBefore w:w="0" w:type="auto"/>
          <w:tblCellSpacing w:w="0" w:type="dxa"/>
        </w:trPr>
        <w:tc>
          <w:tcPr>
            <w:tcW w:w="0" w:type="auto"/>
            <w:noWrap w:val="0"/>
            <w:vAlign w:val="center"/>
          </w:tcPr>
          <w:p w14:paraId="5EC03FE8">
            <w:r>
              <w:rPr>
                <w:rStyle w:val="10"/>
                <w:rFonts w:hint="eastAsia"/>
              </w:rPr>
              <w:t>中毒急救措施：</w:t>
            </w:r>
            <w:r>
              <w:rPr>
                <w:rFonts w:hint="eastAsia"/>
              </w:rPr>
              <w:br w:type="textWrapping"/>
            </w:r>
            <w:r>
              <w:rPr>
                <w:rStyle w:val="11"/>
                <w:rFonts w:hint="eastAsia"/>
              </w:rPr>
              <w:t>1. 吸入或误食，如有不适症状，立即携此标签前往医院诊治。2. 如不慎接触皮肤，应用大量清水冲洗；若溅入眼睛，应用大量清水冲洗至少15分钟。</w:t>
            </w:r>
          </w:p>
        </w:tc>
      </w:tr>
      <w:tr w14:paraId="4D2096C8">
        <w:tblPrEx>
          <w:tblCellMar>
            <w:top w:w="0" w:type="dxa"/>
            <w:left w:w="0" w:type="dxa"/>
            <w:bottom w:w="0" w:type="dxa"/>
            <w:right w:w="0" w:type="dxa"/>
          </w:tblCellMar>
        </w:tblPrEx>
        <w:trPr>
          <w:wBefore w:w="0" w:type="auto"/>
          <w:tblCellSpacing w:w="0" w:type="dxa"/>
        </w:trPr>
        <w:tc>
          <w:tcPr>
            <w:tcW w:w="0" w:type="auto"/>
            <w:noWrap w:val="0"/>
            <w:vAlign w:val="center"/>
          </w:tcPr>
          <w:p w14:paraId="7B51C329">
            <w:r>
              <w:rPr>
                <w:rStyle w:val="10"/>
                <w:rFonts w:hint="eastAsia"/>
              </w:rPr>
              <w:t>储存和运输方法：</w:t>
            </w:r>
            <w:r>
              <w:rPr>
                <w:rFonts w:hint="eastAsia"/>
              </w:rPr>
              <w:br w:type="textWrapping"/>
            </w:r>
            <w:r>
              <w:rPr>
                <w:rStyle w:val="11"/>
                <w:rFonts w:hint="eastAsia"/>
              </w:rPr>
              <w:t>本品属易燃液体，应密封包装，置于阴凉避光、干燥通风处。远离火源和热源，与强氧化剂分开存放。置于儿童、无关人员触及不到之处，并加锁。勿与食品、饮料、粮食、饲料、种子等物品同贮同运。</w:t>
            </w:r>
          </w:p>
        </w:tc>
      </w:tr>
      <w:tr w14:paraId="1EC9B637">
        <w:tblPrEx>
          <w:tblCellMar>
            <w:top w:w="0" w:type="dxa"/>
            <w:left w:w="0" w:type="dxa"/>
            <w:bottom w:w="0" w:type="dxa"/>
            <w:right w:w="0" w:type="dxa"/>
          </w:tblCellMar>
        </w:tblPrEx>
        <w:trPr>
          <w:wBefore w:w="0" w:type="auto"/>
          <w:tblCellSpacing w:w="0" w:type="dxa"/>
        </w:trPr>
        <w:tc>
          <w:tcPr>
            <w:tcW w:w="0" w:type="auto"/>
            <w:noWrap w:val="0"/>
            <w:vAlign w:val="center"/>
          </w:tcPr>
          <w:p w14:paraId="25317671">
            <w:r>
              <w:rPr>
                <w:rStyle w:val="10"/>
                <w:rFonts w:hint="eastAsia"/>
              </w:rPr>
              <w:t>质量保证期：</w:t>
            </w:r>
            <w:r>
              <w:rPr>
                <w:rStyle w:val="11"/>
                <w:rFonts w:hint="eastAsia"/>
              </w:rPr>
              <w:t>2年</w:t>
            </w:r>
          </w:p>
        </w:tc>
      </w:tr>
      <w:tr w14:paraId="6CD3ACEB">
        <w:tblPrEx>
          <w:tblCellMar>
            <w:top w:w="0" w:type="dxa"/>
            <w:left w:w="0" w:type="dxa"/>
            <w:bottom w:w="0" w:type="dxa"/>
            <w:right w:w="0" w:type="dxa"/>
          </w:tblCellMar>
        </w:tblPrEx>
        <w:trPr>
          <w:wBefore w:w="0" w:type="auto"/>
          <w:tblCellSpacing w:w="0" w:type="dxa"/>
        </w:trPr>
        <w:tc>
          <w:tcPr>
            <w:tcW w:w="0" w:type="auto"/>
            <w:noWrap w:val="0"/>
            <w:vAlign w:val="center"/>
          </w:tcPr>
          <w:p w14:paraId="7E7E3EB0">
            <w:r>
              <w:rPr>
                <w:rStyle w:val="10"/>
                <w:rFonts w:hint="eastAsia"/>
              </w:rPr>
              <w:t>备注：</w:t>
            </w:r>
          </w:p>
        </w:tc>
      </w:tr>
    </w:tbl>
    <w:p w14:paraId="09956C1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5223E5">
        <w:tblPrEx>
          <w:tblCellMar>
            <w:top w:w="0" w:type="dxa"/>
            <w:left w:w="0" w:type="dxa"/>
            <w:bottom w:w="0" w:type="dxa"/>
            <w:right w:w="0" w:type="dxa"/>
          </w:tblCellMar>
        </w:tblPrEx>
        <w:trPr>
          <w:wBefore w:w="0" w:type="auto"/>
          <w:tblCellSpacing w:w="0" w:type="dxa"/>
        </w:trPr>
        <w:tc>
          <w:tcPr>
            <w:tcW w:w="0" w:type="auto"/>
            <w:noWrap w:val="0"/>
            <w:vAlign w:val="center"/>
          </w:tcPr>
          <w:p w14:paraId="486EFAEF">
            <w:r>
              <w:rPr>
                <w:rStyle w:val="10"/>
                <w:rFonts w:hint="eastAsia"/>
              </w:rPr>
              <w:t>登记证号：</w:t>
            </w:r>
            <w:r>
              <w:rPr>
                <w:rFonts w:hint="eastAsia"/>
              </w:rPr>
              <w:t>PD20212225</w:t>
            </w:r>
          </w:p>
        </w:tc>
      </w:tr>
      <w:tr w14:paraId="4DAD1822">
        <w:tblPrEx>
          <w:tblCellMar>
            <w:top w:w="0" w:type="dxa"/>
            <w:left w:w="0" w:type="dxa"/>
            <w:bottom w:w="0" w:type="dxa"/>
            <w:right w:w="0" w:type="dxa"/>
          </w:tblCellMar>
        </w:tblPrEx>
        <w:trPr>
          <w:wBefore w:w="0" w:type="auto"/>
          <w:tblCellSpacing w:w="0" w:type="dxa"/>
        </w:trPr>
        <w:tc>
          <w:tcPr>
            <w:tcW w:w="0" w:type="auto"/>
            <w:noWrap w:val="0"/>
            <w:vAlign w:val="center"/>
          </w:tcPr>
          <w:p w14:paraId="1083BBFF">
            <w:r>
              <w:rPr>
                <w:rStyle w:val="10"/>
                <w:rFonts w:hint="eastAsia"/>
              </w:rPr>
              <w:t>登记证持有人：</w:t>
            </w:r>
            <w:r>
              <w:rPr>
                <w:rFonts w:hint="eastAsia"/>
              </w:rPr>
              <w:t>侨昌现代农业有限公司</w:t>
            </w:r>
          </w:p>
        </w:tc>
      </w:tr>
      <w:tr w14:paraId="4DD6A16E">
        <w:tblPrEx>
          <w:tblCellMar>
            <w:top w:w="0" w:type="dxa"/>
            <w:left w:w="0" w:type="dxa"/>
            <w:bottom w:w="0" w:type="dxa"/>
            <w:right w:w="0" w:type="dxa"/>
          </w:tblCellMar>
        </w:tblPrEx>
        <w:trPr>
          <w:wBefore w:w="0" w:type="auto"/>
          <w:tblCellSpacing w:w="0" w:type="dxa"/>
        </w:trPr>
        <w:tc>
          <w:tcPr>
            <w:tcW w:w="0" w:type="auto"/>
            <w:noWrap w:val="0"/>
            <w:vAlign w:val="center"/>
          </w:tcPr>
          <w:p w14:paraId="0D81970B">
            <w:r>
              <w:rPr>
                <w:rStyle w:val="10"/>
                <w:rFonts w:hint="eastAsia"/>
              </w:rPr>
              <w:t>农药名称：</w:t>
            </w:r>
            <w:r>
              <w:rPr>
                <w:rFonts w:hint="eastAsia"/>
              </w:rPr>
              <w:t>乙羧·草甘膦</w:t>
            </w:r>
          </w:p>
        </w:tc>
      </w:tr>
      <w:tr w14:paraId="1947740B">
        <w:tblPrEx>
          <w:tblCellMar>
            <w:top w:w="0" w:type="dxa"/>
            <w:left w:w="0" w:type="dxa"/>
            <w:bottom w:w="0" w:type="dxa"/>
            <w:right w:w="0" w:type="dxa"/>
          </w:tblCellMar>
        </w:tblPrEx>
        <w:trPr>
          <w:wBefore w:w="0" w:type="auto"/>
          <w:tblCellSpacing w:w="0" w:type="dxa"/>
        </w:trPr>
        <w:tc>
          <w:tcPr>
            <w:tcW w:w="0" w:type="auto"/>
            <w:noWrap w:val="0"/>
            <w:vAlign w:val="center"/>
          </w:tcPr>
          <w:p w14:paraId="3CCE5B46">
            <w:r>
              <w:rPr>
                <w:rStyle w:val="10"/>
                <w:rFonts w:hint="eastAsia"/>
              </w:rPr>
              <w:t>剂型：</w:t>
            </w:r>
            <w:r>
              <w:rPr>
                <w:rFonts w:hint="eastAsia"/>
              </w:rPr>
              <w:t>水分散粒剂</w:t>
            </w:r>
          </w:p>
        </w:tc>
      </w:tr>
      <w:tr w14:paraId="65B3A63E">
        <w:tblPrEx>
          <w:tblCellMar>
            <w:top w:w="0" w:type="dxa"/>
            <w:left w:w="0" w:type="dxa"/>
            <w:bottom w:w="0" w:type="dxa"/>
            <w:right w:w="0" w:type="dxa"/>
          </w:tblCellMar>
        </w:tblPrEx>
        <w:trPr>
          <w:wBefore w:w="0" w:type="auto"/>
          <w:tblCellSpacing w:w="0" w:type="dxa"/>
        </w:trPr>
        <w:tc>
          <w:tcPr>
            <w:tcW w:w="0" w:type="auto"/>
            <w:noWrap w:val="0"/>
            <w:vAlign w:val="center"/>
          </w:tcPr>
          <w:p w14:paraId="750C5927">
            <w:r>
              <w:rPr>
                <w:rStyle w:val="10"/>
                <w:rFonts w:hint="eastAsia"/>
              </w:rPr>
              <w:t>毒性及其标识：</w:t>
            </w:r>
            <w:r>
              <w:rPr>
                <w:rFonts w:hint="eastAsia"/>
              </w:rPr>
              <w:t xml:space="preserve"> </w:t>
            </w:r>
            <w:r>
              <w:rPr>
                <w:lang/>
              </w:rPr>
              <w:drawing>
                <wp:inline distT="0" distB="0" distL="114300" distR="114300">
                  <wp:extent cx="476250" cy="323850"/>
                  <wp:effectExtent l="0" t="0" r="0" b="0"/>
                  <wp:docPr id="480" name="图片 48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886857F">
        <w:tblPrEx>
          <w:tblCellMar>
            <w:top w:w="0" w:type="dxa"/>
            <w:left w:w="0" w:type="dxa"/>
            <w:bottom w:w="0" w:type="dxa"/>
            <w:right w:w="0" w:type="dxa"/>
          </w:tblCellMar>
        </w:tblPrEx>
        <w:trPr>
          <w:wBefore w:w="0" w:type="auto"/>
          <w:tblCellSpacing w:w="0" w:type="dxa"/>
        </w:trPr>
        <w:tc>
          <w:tcPr>
            <w:tcW w:w="0" w:type="auto"/>
            <w:noWrap w:val="0"/>
            <w:vAlign w:val="center"/>
          </w:tcPr>
          <w:p w14:paraId="3AB70357">
            <w:r>
              <w:rPr>
                <w:rStyle w:val="10"/>
                <w:rFonts w:hint="eastAsia"/>
              </w:rPr>
              <w:t>总有效成分含量：</w:t>
            </w:r>
            <w:r>
              <w:rPr>
                <w:rFonts w:hint="eastAsia"/>
              </w:rPr>
              <w:t>73%</w:t>
            </w:r>
          </w:p>
        </w:tc>
      </w:tr>
      <w:tr w14:paraId="6A9C4834">
        <w:tblPrEx>
          <w:tblCellMar>
            <w:top w:w="0" w:type="dxa"/>
            <w:left w:w="0" w:type="dxa"/>
            <w:bottom w:w="0" w:type="dxa"/>
            <w:right w:w="0" w:type="dxa"/>
          </w:tblCellMar>
        </w:tblPrEx>
        <w:trPr>
          <w:wBefore w:w="0" w:type="auto"/>
          <w:tblCellSpacing w:w="0" w:type="dxa"/>
        </w:trPr>
        <w:tc>
          <w:tcPr>
            <w:tcW w:w="0" w:type="auto"/>
            <w:noWrap w:val="0"/>
            <w:vAlign w:val="center"/>
          </w:tcPr>
          <w:p w14:paraId="3763AB5A">
            <w:r>
              <w:rPr>
                <w:rFonts w:hint="eastAsia"/>
              </w:rPr>
              <w:t xml:space="preserve">有效成分及其含量： </w:t>
            </w:r>
          </w:p>
          <w:p w14:paraId="3747044B">
            <w:r>
              <w:rPr>
                <w:rFonts w:hint="eastAsia"/>
              </w:rPr>
              <w:t xml:space="preserve">    草甘膦70%    乙羧氟草醚3%    </w:t>
            </w:r>
          </w:p>
        </w:tc>
      </w:tr>
      <w:tr w14:paraId="39204276">
        <w:tblPrEx>
          <w:tblCellMar>
            <w:top w:w="0" w:type="dxa"/>
            <w:left w:w="0" w:type="dxa"/>
            <w:bottom w:w="0" w:type="dxa"/>
            <w:right w:w="0" w:type="dxa"/>
          </w:tblCellMar>
        </w:tblPrEx>
        <w:trPr>
          <w:wBefore w:w="0" w:type="auto"/>
          <w:tblCellSpacing w:w="0" w:type="dxa"/>
        </w:trPr>
        <w:tc>
          <w:tcPr>
            <w:tcW w:w="0" w:type="auto"/>
            <w:noWrap w:val="0"/>
            <w:vAlign w:val="center"/>
          </w:tcPr>
          <w:p w14:paraId="0F77668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7D6F0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BA2859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EE6237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CDB140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B9D102">
                  <w:r>
                    <w:rPr>
                      <w:rStyle w:val="11"/>
                      <w:rFonts w:hint="eastAsia"/>
                    </w:rPr>
                    <w:t>施用方式</w:t>
                  </w:r>
                </w:p>
              </w:tc>
            </w:tr>
            <w:tr w14:paraId="70A2FC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2492424">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36EEC4">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0C440F">
                  <w:r>
                    <w:rPr>
                      <w:rStyle w:val="11"/>
                      <w:rFonts w:hint="eastAsia"/>
                    </w:rPr>
                    <w:t>100-150克/亩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6892EA">
                  <w:r>
                    <w:rPr>
                      <w:rStyle w:val="11"/>
                      <w:rFonts w:hint="eastAsia"/>
                    </w:rPr>
                    <w:t>茎叶喷雾</w:t>
                  </w:r>
                </w:p>
              </w:tc>
            </w:tr>
          </w:tbl>
          <w:p w14:paraId="5388267C">
            <w:pPr>
              <w:rPr>
                <w:rFonts w:ascii="Times New Roman" w:hAnsi="Times New Roman" w:cs="Times New Roman"/>
                <w:sz w:val="20"/>
                <w:szCs w:val="20"/>
              </w:rPr>
            </w:pPr>
          </w:p>
        </w:tc>
      </w:tr>
      <w:tr w14:paraId="0BEF53A5">
        <w:tblPrEx>
          <w:tblCellMar>
            <w:top w:w="0" w:type="dxa"/>
            <w:left w:w="0" w:type="dxa"/>
            <w:bottom w:w="0" w:type="dxa"/>
            <w:right w:w="0" w:type="dxa"/>
          </w:tblCellMar>
        </w:tblPrEx>
        <w:trPr>
          <w:wBefore w:w="0" w:type="auto"/>
          <w:tblCellSpacing w:w="0" w:type="dxa"/>
        </w:trPr>
        <w:tc>
          <w:tcPr>
            <w:tcW w:w="0" w:type="auto"/>
            <w:noWrap w:val="0"/>
            <w:vAlign w:val="center"/>
          </w:tcPr>
          <w:p w14:paraId="6B141EAF">
            <w:r>
              <w:rPr>
                <w:rStyle w:val="10"/>
                <w:rFonts w:hint="eastAsia"/>
              </w:rPr>
              <w:t>使用技术要求:</w:t>
            </w:r>
            <w:r>
              <w:rPr>
                <w:rFonts w:hint="eastAsia"/>
              </w:rPr>
              <w:br w:type="textWrapping"/>
            </w:r>
            <w:r>
              <w:rPr>
                <w:rStyle w:val="11"/>
                <w:rFonts w:hint="eastAsia"/>
              </w:rPr>
              <w:t>1. 非耕地杂草生长旺盛时期施药，每亩兑水20-30公斤，均匀茎叶喷雾。2. 大风天或预计1小时内降雨，请勿施药。3. 施药时注意避免药液飘移到邻近作物。禁止在田间道路、田埂、果树行间、休耕地、林场地等农林区域使用。</w:t>
            </w:r>
          </w:p>
        </w:tc>
      </w:tr>
      <w:tr w14:paraId="42EC1DE0">
        <w:tblPrEx>
          <w:tblCellMar>
            <w:top w:w="0" w:type="dxa"/>
            <w:left w:w="0" w:type="dxa"/>
            <w:bottom w:w="0" w:type="dxa"/>
            <w:right w:w="0" w:type="dxa"/>
          </w:tblCellMar>
        </w:tblPrEx>
        <w:trPr>
          <w:wBefore w:w="0" w:type="auto"/>
          <w:tblCellSpacing w:w="0" w:type="dxa"/>
        </w:trPr>
        <w:tc>
          <w:tcPr>
            <w:tcW w:w="0" w:type="auto"/>
            <w:noWrap w:val="0"/>
            <w:vAlign w:val="center"/>
          </w:tcPr>
          <w:p w14:paraId="2486A3DD">
            <w:r>
              <w:rPr>
                <w:rStyle w:val="10"/>
                <w:rFonts w:hint="eastAsia"/>
              </w:rPr>
              <w:t>产品性能:</w:t>
            </w:r>
            <w:r>
              <w:rPr>
                <w:rFonts w:hint="eastAsia"/>
              </w:rPr>
              <w:br w:type="textWrapping"/>
            </w:r>
            <w:r>
              <w:rPr>
                <w:rStyle w:val="11"/>
                <w:rFonts w:hint="eastAsia"/>
              </w:rPr>
              <w:t>本品为能够自由流动的颗粒，可有效防除非耕地杂草。</w:t>
            </w:r>
          </w:p>
        </w:tc>
      </w:tr>
      <w:tr w14:paraId="310C863B">
        <w:tblPrEx>
          <w:tblCellMar>
            <w:top w:w="0" w:type="dxa"/>
            <w:left w:w="0" w:type="dxa"/>
            <w:bottom w:w="0" w:type="dxa"/>
            <w:right w:w="0" w:type="dxa"/>
          </w:tblCellMar>
        </w:tblPrEx>
        <w:trPr>
          <w:wBefore w:w="0" w:type="auto"/>
          <w:tblCellSpacing w:w="0" w:type="dxa"/>
        </w:trPr>
        <w:tc>
          <w:tcPr>
            <w:tcW w:w="0" w:type="auto"/>
            <w:noWrap w:val="0"/>
            <w:vAlign w:val="center"/>
          </w:tcPr>
          <w:p w14:paraId="2AAB76F4">
            <w:r>
              <w:rPr>
                <w:rStyle w:val="10"/>
                <w:rFonts w:hint="eastAsia"/>
              </w:rPr>
              <w:t>注意事项：</w:t>
            </w:r>
            <w:r>
              <w:rPr>
                <w:rFonts w:hint="eastAsia"/>
              </w:rPr>
              <w:br w:type="textWrapping"/>
            </w:r>
            <w:r>
              <w:rPr>
                <w:rStyle w:val="11"/>
                <w:rFonts w:hint="eastAsia"/>
              </w:rPr>
              <w:t>1. 本品对蜜蜂、鱼类等水生生物、家蚕有毒，施药期间应避免对周围蜂群的影响，禁止在开花植物花期、蚕室和桑园附近使用。赤眼蜂等天敌放飞区域禁用。地下水、饮用水水源地禁用。2. 远离水产养殖区、河塘等水域施药。禁止在河塘等水域内清洗施药器具或将清洗施药器具的废水倒入河流、池塘等水源。3. 本品对眼睛有刺激性，使用时避免接触眼睛，穿戴长衣、长裤、帽子、口罩、手套等防护措施。避免吸入药液；施药期间不可吃东西、喝水、吸烟等。施药后应及时洗手、洗脸等。4. 废弃物、用过的容器应妥善处理，不可做他用，也不可随意丢弃。5. 本药剂大面积灭草时，药后杂草成片干枯，应注意防治火灾发生。6. 孕妇及哺乳期妇女避免接触本品。</w:t>
            </w:r>
          </w:p>
        </w:tc>
      </w:tr>
      <w:tr w14:paraId="5E78B159">
        <w:tblPrEx>
          <w:tblCellMar>
            <w:top w:w="0" w:type="dxa"/>
            <w:left w:w="0" w:type="dxa"/>
            <w:bottom w:w="0" w:type="dxa"/>
            <w:right w:w="0" w:type="dxa"/>
          </w:tblCellMar>
        </w:tblPrEx>
        <w:trPr>
          <w:wBefore w:w="0" w:type="auto"/>
          <w:tblCellSpacing w:w="0" w:type="dxa"/>
        </w:trPr>
        <w:tc>
          <w:tcPr>
            <w:tcW w:w="0" w:type="auto"/>
            <w:noWrap w:val="0"/>
            <w:vAlign w:val="center"/>
          </w:tcPr>
          <w:p w14:paraId="4F50A447">
            <w:r>
              <w:rPr>
                <w:rStyle w:val="10"/>
                <w:rFonts w:hint="eastAsia"/>
              </w:rPr>
              <w:t>中毒急救措施：</w:t>
            </w:r>
            <w:r>
              <w:rPr>
                <w:rFonts w:hint="eastAsia"/>
              </w:rPr>
              <w:br w:type="textWrapping"/>
            </w:r>
            <w:r>
              <w:rPr>
                <w:rStyle w:val="11"/>
                <w:rFonts w:hint="eastAsia"/>
              </w:rPr>
              <w:t>对眼睛、皮肤和粘膜有刺激作用。如不慎吸入，将病人移至空气流通处；不慎接触皮肤，用大量清水和肥皂冲洗干净；若溅入眼睛，用大量清水冲洗至少15分钟，仍有不适，就医；如误服，立即带标签送医院，对症治疗。应先洗胃，无特效解毒剂。</w:t>
            </w:r>
          </w:p>
        </w:tc>
      </w:tr>
      <w:tr w14:paraId="10C97695">
        <w:tblPrEx>
          <w:tblCellMar>
            <w:top w:w="0" w:type="dxa"/>
            <w:left w:w="0" w:type="dxa"/>
            <w:bottom w:w="0" w:type="dxa"/>
            <w:right w:w="0" w:type="dxa"/>
          </w:tblCellMar>
        </w:tblPrEx>
        <w:trPr>
          <w:wBefore w:w="0" w:type="auto"/>
          <w:tblCellSpacing w:w="0" w:type="dxa"/>
        </w:trPr>
        <w:tc>
          <w:tcPr>
            <w:tcW w:w="0" w:type="auto"/>
            <w:noWrap w:val="0"/>
            <w:vAlign w:val="center"/>
          </w:tcPr>
          <w:p w14:paraId="5915F238">
            <w:r>
              <w:rPr>
                <w:rStyle w:val="10"/>
                <w:rFonts w:hint="eastAsia"/>
              </w:rPr>
              <w:t>储存和运输方法：</w:t>
            </w:r>
            <w:r>
              <w:rPr>
                <w:rFonts w:hint="eastAsia"/>
              </w:rPr>
              <w:br w:type="textWrapping"/>
            </w:r>
            <w:r>
              <w:rPr>
                <w:rStyle w:val="11"/>
                <w:rFonts w:hint="eastAsia"/>
              </w:rPr>
              <w:t>本品应贮存于阴凉、干燥、通风、防雨处。远离火源和热源，置于儿童及无关人员接触不到之处，并加锁。不能与食品、饮料、粮食、饲料等同贮同运。</w:t>
            </w:r>
          </w:p>
        </w:tc>
      </w:tr>
      <w:tr w14:paraId="15C09D29">
        <w:tblPrEx>
          <w:tblCellMar>
            <w:top w:w="0" w:type="dxa"/>
            <w:left w:w="0" w:type="dxa"/>
            <w:bottom w:w="0" w:type="dxa"/>
            <w:right w:w="0" w:type="dxa"/>
          </w:tblCellMar>
        </w:tblPrEx>
        <w:trPr>
          <w:wBefore w:w="0" w:type="auto"/>
          <w:tblCellSpacing w:w="0" w:type="dxa"/>
        </w:trPr>
        <w:tc>
          <w:tcPr>
            <w:tcW w:w="0" w:type="auto"/>
            <w:noWrap w:val="0"/>
            <w:vAlign w:val="center"/>
          </w:tcPr>
          <w:p w14:paraId="4C73BAB0">
            <w:r>
              <w:rPr>
                <w:rStyle w:val="10"/>
                <w:rFonts w:hint="eastAsia"/>
              </w:rPr>
              <w:t>质量保证期：</w:t>
            </w:r>
            <w:r>
              <w:rPr>
                <w:rStyle w:val="11"/>
                <w:rFonts w:hint="eastAsia"/>
              </w:rPr>
              <w:t>2年</w:t>
            </w:r>
          </w:p>
        </w:tc>
      </w:tr>
      <w:tr w14:paraId="005DB0C1">
        <w:tblPrEx>
          <w:tblCellMar>
            <w:top w:w="0" w:type="dxa"/>
            <w:left w:w="0" w:type="dxa"/>
            <w:bottom w:w="0" w:type="dxa"/>
            <w:right w:w="0" w:type="dxa"/>
          </w:tblCellMar>
        </w:tblPrEx>
        <w:trPr>
          <w:wBefore w:w="0" w:type="auto"/>
          <w:tblCellSpacing w:w="0" w:type="dxa"/>
        </w:trPr>
        <w:tc>
          <w:tcPr>
            <w:tcW w:w="0" w:type="auto"/>
            <w:noWrap w:val="0"/>
            <w:vAlign w:val="center"/>
          </w:tcPr>
          <w:p w14:paraId="6250B4BC">
            <w:r>
              <w:rPr>
                <w:rStyle w:val="10"/>
                <w:rFonts w:hint="eastAsia"/>
              </w:rPr>
              <w:t>备注：</w:t>
            </w:r>
            <w:r>
              <w:rPr>
                <w:rFonts w:hint="eastAsia"/>
              </w:rPr>
              <w:br w:type="textWrapping"/>
            </w:r>
            <w:r>
              <w:rPr>
                <w:rStyle w:val="11"/>
                <w:rFonts w:hint="eastAsia"/>
              </w:rPr>
              <w:t>草甘膦铵盐77%。</w:t>
            </w:r>
          </w:p>
        </w:tc>
      </w:tr>
    </w:tbl>
    <w:p w14:paraId="0E1DAD3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E4C4112">
        <w:tblPrEx>
          <w:tblCellMar>
            <w:top w:w="0" w:type="dxa"/>
            <w:left w:w="0" w:type="dxa"/>
            <w:bottom w:w="0" w:type="dxa"/>
            <w:right w:w="0" w:type="dxa"/>
          </w:tblCellMar>
        </w:tblPrEx>
        <w:trPr>
          <w:wBefore w:w="0" w:type="auto"/>
          <w:tblCellSpacing w:w="0" w:type="dxa"/>
        </w:trPr>
        <w:tc>
          <w:tcPr>
            <w:tcW w:w="0" w:type="auto"/>
            <w:noWrap w:val="0"/>
            <w:vAlign w:val="center"/>
          </w:tcPr>
          <w:p w14:paraId="078A33D1">
            <w:r>
              <w:rPr>
                <w:rStyle w:val="10"/>
                <w:rFonts w:hint="eastAsia"/>
              </w:rPr>
              <w:t>登记证号：</w:t>
            </w:r>
            <w:r>
              <w:rPr>
                <w:rFonts w:hint="eastAsia"/>
              </w:rPr>
              <w:t>PD20212040</w:t>
            </w:r>
          </w:p>
        </w:tc>
      </w:tr>
      <w:tr w14:paraId="351DAFD9">
        <w:tblPrEx>
          <w:tblCellMar>
            <w:top w:w="0" w:type="dxa"/>
            <w:left w:w="0" w:type="dxa"/>
            <w:bottom w:w="0" w:type="dxa"/>
            <w:right w:w="0" w:type="dxa"/>
          </w:tblCellMar>
        </w:tblPrEx>
        <w:trPr>
          <w:wBefore w:w="0" w:type="auto"/>
          <w:tblCellSpacing w:w="0" w:type="dxa"/>
        </w:trPr>
        <w:tc>
          <w:tcPr>
            <w:tcW w:w="0" w:type="auto"/>
            <w:noWrap w:val="0"/>
            <w:vAlign w:val="center"/>
          </w:tcPr>
          <w:p w14:paraId="3102EED2">
            <w:r>
              <w:rPr>
                <w:rStyle w:val="10"/>
                <w:rFonts w:hint="eastAsia"/>
              </w:rPr>
              <w:t>登记证持有人：</w:t>
            </w:r>
            <w:r>
              <w:rPr>
                <w:rFonts w:hint="eastAsia"/>
              </w:rPr>
              <w:t>湖南新长山农业发展股份有限公司</w:t>
            </w:r>
          </w:p>
        </w:tc>
      </w:tr>
      <w:tr w14:paraId="384F16F4">
        <w:tblPrEx>
          <w:tblCellMar>
            <w:top w:w="0" w:type="dxa"/>
            <w:left w:w="0" w:type="dxa"/>
            <w:bottom w:w="0" w:type="dxa"/>
            <w:right w:w="0" w:type="dxa"/>
          </w:tblCellMar>
        </w:tblPrEx>
        <w:trPr>
          <w:wBefore w:w="0" w:type="auto"/>
          <w:tblCellSpacing w:w="0" w:type="dxa"/>
        </w:trPr>
        <w:tc>
          <w:tcPr>
            <w:tcW w:w="0" w:type="auto"/>
            <w:noWrap w:val="0"/>
            <w:vAlign w:val="center"/>
          </w:tcPr>
          <w:p w14:paraId="06D3B8AF">
            <w:r>
              <w:rPr>
                <w:rStyle w:val="10"/>
                <w:rFonts w:hint="eastAsia"/>
              </w:rPr>
              <w:t>农药名称：</w:t>
            </w:r>
            <w:r>
              <w:rPr>
                <w:rFonts w:hint="eastAsia"/>
              </w:rPr>
              <w:t>24-表芸苔素内酯·S-诱抗素</w:t>
            </w:r>
          </w:p>
        </w:tc>
      </w:tr>
      <w:tr w14:paraId="0BC3C1FD">
        <w:tblPrEx>
          <w:tblCellMar>
            <w:top w:w="0" w:type="dxa"/>
            <w:left w:w="0" w:type="dxa"/>
            <w:bottom w:w="0" w:type="dxa"/>
            <w:right w:w="0" w:type="dxa"/>
          </w:tblCellMar>
        </w:tblPrEx>
        <w:trPr>
          <w:wBefore w:w="0" w:type="auto"/>
          <w:tblCellSpacing w:w="0" w:type="dxa"/>
        </w:trPr>
        <w:tc>
          <w:tcPr>
            <w:tcW w:w="0" w:type="auto"/>
            <w:noWrap w:val="0"/>
            <w:vAlign w:val="center"/>
          </w:tcPr>
          <w:p w14:paraId="1B787C7F">
            <w:r>
              <w:rPr>
                <w:rStyle w:val="10"/>
                <w:rFonts w:hint="eastAsia"/>
              </w:rPr>
              <w:t>剂型：</w:t>
            </w:r>
            <w:r>
              <w:rPr>
                <w:rFonts w:hint="eastAsia"/>
              </w:rPr>
              <w:t>可溶液剂</w:t>
            </w:r>
          </w:p>
        </w:tc>
      </w:tr>
      <w:tr w14:paraId="61690974">
        <w:tblPrEx>
          <w:tblCellMar>
            <w:top w:w="0" w:type="dxa"/>
            <w:left w:w="0" w:type="dxa"/>
            <w:bottom w:w="0" w:type="dxa"/>
            <w:right w:w="0" w:type="dxa"/>
          </w:tblCellMar>
        </w:tblPrEx>
        <w:trPr>
          <w:wBefore w:w="0" w:type="auto"/>
          <w:tblCellSpacing w:w="0" w:type="dxa"/>
        </w:trPr>
        <w:tc>
          <w:tcPr>
            <w:tcW w:w="0" w:type="auto"/>
            <w:noWrap w:val="0"/>
            <w:vAlign w:val="center"/>
          </w:tcPr>
          <w:p w14:paraId="78698F4D">
            <w:r>
              <w:rPr>
                <w:rStyle w:val="10"/>
                <w:rFonts w:hint="eastAsia"/>
              </w:rPr>
              <w:t>毒性及其标识：</w:t>
            </w:r>
            <w:r>
              <w:rPr>
                <w:rFonts w:hint="eastAsia"/>
              </w:rPr>
              <w:t xml:space="preserve"> </w:t>
            </w:r>
            <w:r>
              <w:rPr>
                <w:lang/>
              </w:rPr>
              <w:drawing>
                <wp:inline distT="0" distB="0" distL="114300" distR="114300">
                  <wp:extent cx="476250" cy="323850"/>
                  <wp:effectExtent l="0" t="0" r="0" b="0"/>
                  <wp:docPr id="481" name="图片 48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3FF0CC9">
        <w:tblPrEx>
          <w:tblCellMar>
            <w:top w:w="0" w:type="dxa"/>
            <w:left w:w="0" w:type="dxa"/>
            <w:bottom w:w="0" w:type="dxa"/>
            <w:right w:w="0" w:type="dxa"/>
          </w:tblCellMar>
        </w:tblPrEx>
        <w:trPr>
          <w:wBefore w:w="0" w:type="auto"/>
          <w:tblCellSpacing w:w="0" w:type="dxa"/>
        </w:trPr>
        <w:tc>
          <w:tcPr>
            <w:tcW w:w="0" w:type="auto"/>
            <w:noWrap w:val="0"/>
            <w:vAlign w:val="center"/>
          </w:tcPr>
          <w:p w14:paraId="06253C30">
            <w:r>
              <w:rPr>
                <w:rStyle w:val="10"/>
                <w:rFonts w:hint="eastAsia"/>
              </w:rPr>
              <w:t>总有效成分含量：</w:t>
            </w:r>
            <w:r>
              <w:rPr>
                <w:rFonts w:hint="eastAsia"/>
              </w:rPr>
              <w:t>0.25%</w:t>
            </w:r>
          </w:p>
        </w:tc>
      </w:tr>
      <w:tr w14:paraId="369594D9">
        <w:tblPrEx>
          <w:tblCellMar>
            <w:top w:w="0" w:type="dxa"/>
            <w:left w:w="0" w:type="dxa"/>
            <w:bottom w:w="0" w:type="dxa"/>
            <w:right w:w="0" w:type="dxa"/>
          </w:tblCellMar>
        </w:tblPrEx>
        <w:trPr>
          <w:wBefore w:w="0" w:type="auto"/>
          <w:tblCellSpacing w:w="0" w:type="dxa"/>
        </w:trPr>
        <w:tc>
          <w:tcPr>
            <w:tcW w:w="0" w:type="auto"/>
            <w:noWrap w:val="0"/>
            <w:vAlign w:val="center"/>
          </w:tcPr>
          <w:p w14:paraId="5986203D">
            <w:r>
              <w:rPr>
                <w:rFonts w:hint="eastAsia"/>
              </w:rPr>
              <w:t xml:space="preserve">有效成分及其含量： </w:t>
            </w:r>
          </w:p>
          <w:p w14:paraId="08C37006">
            <w:r>
              <w:rPr>
                <w:rFonts w:hint="eastAsia"/>
              </w:rPr>
              <w:t xml:space="preserve">    24-表芸苔素内酯0.001%    S-诱抗素0.249%    </w:t>
            </w:r>
          </w:p>
        </w:tc>
      </w:tr>
      <w:tr w14:paraId="5338EC21">
        <w:tblPrEx>
          <w:tblCellMar>
            <w:top w:w="0" w:type="dxa"/>
            <w:left w:w="0" w:type="dxa"/>
            <w:bottom w:w="0" w:type="dxa"/>
            <w:right w:w="0" w:type="dxa"/>
          </w:tblCellMar>
        </w:tblPrEx>
        <w:trPr>
          <w:wBefore w:w="0" w:type="auto"/>
          <w:tblCellSpacing w:w="0" w:type="dxa"/>
        </w:trPr>
        <w:tc>
          <w:tcPr>
            <w:tcW w:w="0" w:type="auto"/>
            <w:noWrap w:val="0"/>
            <w:vAlign w:val="center"/>
          </w:tcPr>
          <w:p w14:paraId="392E41C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79730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312C40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1CDA1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579792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117F044">
                  <w:r>
                    <w:rPr>
                      <w:rStyle w:val="11"/>
                      <w:rFonts w:hint="eastAsia"/>
                    </w:rPr>
                    <w:t>施用方式</w:t>
                  </w:r>
                </w:p>
              </w:tc>
            </w:tr>
            <w:tr w14:paraId="45B91F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37ED23">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50D99E">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651B26">
                  <w:r>
                    <w:rPr>
                      <w:rStyle w:val="11"/>
                      <w:rFonts w:hint="eastAsia"/>
                    </w:rPr>
                    <w:t>1500-2000倍液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1F8437">
                  <w:r>
                    <w:rPr>
                      <w:rStyle w:val="11"/>
                      <w:rFonts w:hint="eastAsia"/>
                    </w:rPr>
                    <w:t>喷雾</w:t>
                  </w:r>
                </w:p>
              </w:tc>
            </w:tr>
          </w:tbl>
          <w:p w14:paraId="24B29FB6">
            <w:pPr>
              <w:rPr>
                <w:rFonts w:ascii="Times New Roman" w:hAnsi="Times New Roman" w:cs="Times New Roman"/>
                <w:sz w:val="20"/>
                <w:szCs w:val="20"/>
              </w:rPr>
            </w:pPr>
          </w:p>
        </w:tc>
      </w:tr>
      <w:tr w14:paraId="51D892BD">
        <w:tblPrEx>
          <w:tblCellMar>
            <w:top w:w="0" w:type="dxa"/>
            <w:left w:w="0" w:type="dxa"/>
            <w:bottom w:w="0" w:type="dxa"/>
            <w:right w:w="0" w:type="dxa"/>
          </w:tblCellMar>
        </w:tblPrEx>
        <w:trPr>
          <w:wBefore w:w="0" w:type="auto"/>
          <w:tblCellSpacing w:w="0" w:type="dxa"/>
        </w:trPr>
        <w:tc>
          <w:tcPr>
            <w:tcW w:w="0" w:type="auto"/>
            <w:noWrap w:val="0"/>
            <w:vAlign w:val="center"/>
          </w:tcPr>
          <w:p w14:paraId="2CC549E3">
            <w:r>
              <w:rPr>
                <w:rStyle w:val="10"/>
                <w:rFonts w:hint="eastAsia"/>
              </w:rPr>
              <w:t>使用技术要求:</w:t>
            </w:r>
            <w:r>
              <w:rPr>
                <w:rFonts w:hint="eastAsia"/>
              </w:rPr>
              <w:br w:type="textWrapping"/>
            </w:r>
            <w:r>
              <w:rPr>
                <w:rStyle w:val="11"/>
                <w:rFonts w:hint="eastAsia"/>
              </w:rPr>
              <w:t>1、应于水稻分蘖期、破口期喷雾各施药一次，施药时应周到、均匀，勿重喷或漏喷。2、使用时间选择在早、晚较凉爽时为宜，喷药4小时内遇雨需重喷。 3、大风天或下雨前后勿施药。</w:t>
            </w:r>
          </w:p>
        </w:tc>
      </w:tr>
      <w:tr w14:paraId="7B8F599A">
        <w:tblPrEx>
          <w:tblCellMar>
            <w:top w:w="0" w:type="dxa"/>
            <w:left w:w="0" w:type="dxa"/>
            <w:bottom w:w="0" w:type="dxa"/>
            <w:right w:w="0" w:type="dxa"/>
          </w:tblCellMar>
        </w:tblPrEx>
        <w:trPr>
          <w:wBefore w:w="0" w:type="auto"/>
          <w:tblCellSpacing w:w="0" w:type="dxa"/>
        </w:trPr>
        <w:tc>
          <w:tcPr>
            <w:tcW w:w="0" w:type="auto"/>
            <w:noWrap w:val="0"/>
            <w:vAlign w:val="center"/>
          </w:tcPr>
          <w:p w14:paraId="27167437">
            <w:r>
              <w:rPr>
                <w:rStyle w:val="10"/>
                <w:rFonts w:hint="eastAsia"/>
              </w:rPr>
              <w:t>产品性能:</w:t>
            </w:r>
            <w:r>
              <w:rPr>
                <w:rFonts w:hint="eastAsia"/>
              </w:rPr>
              <w:br w:type="textWrapping"/>
            </w:r>
            <w:r>
              <w:rPr>
                <w:rStyle w:val="11"/>
                <w:rFonts w:hint="eastAsia"/>
              </w:rPr>
              <w:t>本品是由24-表芸苔素内酯和S-诱抗素复配而成的植物生长调节剂，具有使植物细胞分裂和延长的双重作用，能平衡植物生长，增强光合作用，提高作物叶绿素含量，促进作物对肥料的有效吸收，辅助作物劣势部分良好的生长，有效增强植物抗逆能力。对水稻增产和改善品质有良好效果。</w:t>
            </w:r>
          </w:p>
        </w:tc>
      </w:tr>
      <w:tr w14:paraId="74BC0C54">
        <w:tblPrEx>
          <w:tblCellMar>
            <w:top w:w="0" w:type="dxa"/>
            <w:left w:w="0" w:type="dxa"/>
            <w:bottom w:w="0" w:type="dxa"/>
            <w:right w:w="0" w:type="dxa"/>
          </w:tblCellMar>
        </w:tblPrEx>
        <w:trPr>
          <w:wBefore w:w="0" w:type="auto"/>
          <w:tblCellSpacing w:w="0" w:type="dxa"/>
        </w:trPr>
        <w:tc>
          <w:tcPr>
            <w:tcW w:w="0" w:type="auto"/>
            <w:noWrap w:val="0"/>
            <w:vAlign w:val="center"/>
          </w:tcPr>
          <w:p w14:paraId="1EE541FC">
            <w:r>
              <w:rPr>
                <w:rStyle w:val="10"/>
                <w:rFonts w:hint="eastAsia"/>
              </w:rPr>
              <w:t>注意事项：</w:t>
            </w:r>
            <w:r>
              <w:rPr>
                <w:rFonts w:hint="eastAsia"/>
              </w:rPr>
              <w:br w:type="textWrapping"/>
            </w:r>
            <w:r>
              <w:rPr>
                <w:rStyle w:val="11"/>
                <w:rFonts w:hint="eastAsia"/>
              </w:rPr>
              <w:t>1、本品不可与碱性物质混用。 2、注意避光保存，开启包装后最好一次性用完，配制好的水溶液不易久存，现配现用。 3、使用本品时应穿长衣长裤、戴手套、眼镜、口罩等，此时不可吃东西、喝水和吸烟；施药后应及时清洗干净手脸等。 4、禁止在河塘等水域内清洗施药器具或将清洗施药器具的废水倒入河流、池塘等水源。 5、孕妇及哺乳期女禁止接触本品。 6、用过的包装应妥善处理，不可做他用，也不可随意丢弃。</w:t>
            </w:r>
          </w:p>
        </w:tc>
      </w:tr>
      <w:tr w14:paraId="082342AC">
        <w:tblPrEx>
          <w:tblCellMar>
            <w:top w:w="0" w:type="dxa"/>
            <w:left w:w="0" w:type="dxa"/>
            <w:bottom w:w="0" w:type="dxa"/>
            <w:right w:w="0" w:type="dxa"/>
          </w:tblCellMar>
        </w:tblPrEx>
        <w:trPr>
          <w:wBefore w:w="0" w:type="auto"/>
          <w:tblCellSpacing w:w="0" w:type="dxa"/>
        </w:trPr>
        <w:tc>
          <w:tcPr>
            <w:tcW w:w="0" w:type="auto"/>
            <w:noWrap w:val="0"/>
            <w:vAlign w:val="center"/>
          </w:tcPr>
          <w:p w14:paraId="060E3AC0">
            <w:r>
              <w:rPr>
                <w:rStyle w:val="10"/>
                <w:rFonts w:hint="eastAsia"/>
              </w:rPr>
              <w:t>中毒急救措施：</w:t>
            </w:r>
            <w:r>
              <w:rPr>
                <w:rFonts w:hint="eastAsia"/>
              </w:rPr>
              <w:br w:type="textWrapping"/>
            </w:r>
            <w:r>
              <w:rPr>
                <w:rStyle w:val="11"/>
                <w:rFonts w:hint="eastAsia"/>
              </w:rPr>
              <w:t>无典型症状。急救措施：如不慎溅入眼睛或接触皮肤，应立即用大量清水冲洗至少15分钟；如不慎吸入，应立即转移至空气流通处；如不慎误服，立即携此标签送医治疗。本品无特殊解毒剂，可对症治疗。中毒时，请拨打中国疾病中心中毒控制中心咨询热线：400-650-5726。</w:t>
            </w:r>
          </w:p>
        </w:tc>
      </w:tr>
      <w:tr w14:paraId="4D42CA85">
        <w:tblPrEx>
          <w:tblCellMar>
            <w:top w:w="0" w:type="dxa"/>
            <w:left w:w="0" w:type="dxa"/>
            <w:bottom w:w="0" w:type="dxa"/>
            <w:right w:w="0" w:type="dxa"/>
          </w:tblCellMar>
        </w:tblPrEx>
        <w:trPr>
          <w:wBefore w:w="0" w:type="auto"/>
          <w:tblCellSpacing w:w="0" w:type="dxa"/>
        </w:trPr>
        <w:tc>
          <w:tcPr>
            <w:tcW w:w="0" w:type="auto"/>
            <w:noWrap w:val="0"/>
            <w:vAlign w:val="center"/>
          </w:tcPr>
          <w:p w14:paraId="50F35CBB">
            <w:r>
              <w:rPr>
                <w:rStyle w:val="10"/>
                <w:rFonts w:hint="eastAsia"/>
              </w:rPr>
              <w:t>储存和运输方法：</w:t>
            </w:r>
            <w:r>
              <w:rPr>
                <w:rFonts w:hint="eastAsia"/>
              </w:rPr>
              <w:br w:type="textWrapping"/>
            </w:r>
            <w:r>
              <w:rPr>
                <w:rStyle w:val="11"/>
                <w:rFonts w:hint="eastAsia"/>
              </w:rPr>
              <w:t>本品应密封包装，置于阴凉避光、干燥通风处。远离火源和热源，与强氧化剂分开存放。置于儿童触及不到之处，并加锁。勿与食品、饮料、粮食、饲料等物品同贮同运。</w:t>
            </w:r>
          </w:p>
        </w:tc>
      </w:tr>
      <w:tr w14:paraId="24EE83CF">
        <w:tblPrEx>
          <w:tblCellMar>
            <w:top w:w="0" w:type="dxa"/>
            <w:left w:w="0" w:type="dxa"/>
            <w:bottom w:w="0" w:type="dxa"/>
            <w:right w:w="0" w:type="dxa"/>
          </w:tblCellMar>
        </w:tblPrEx>
        <w:trPr>
          <w:wBefore w:w="0" w:type="auto"/>
          <w:tblCellSpacing w:w="0" w:type="dxa"/>
        </w:trPr>
        <w:tc>
          <w:tcPr>
            <w:tcW w:w="0" w:type="auto"/>
            <w:noWrap w:val="0"/>
            <w:vAlign w:val="center"/>
          </w:tcPr>
          <w:p w14:paraId="5C234E42">
            <w:r>
              <w:rPr>
                <w:rStyle w:val="10"/>
                <w:rFonts w:hint="eastAsia"/>
              </w:rPr>
              <w:t>质量保证期：</w:t>
            </w:r>
            <w:r>
              <w:rPr>
                <w:rStyle w:val="11"/>
                <w:rFonts w:hint="eastAsia"/>
              </w:rPr>
              <w:t>2年</w:t>
            </w:r>
          </w:p>
        </w:tc>
      </w:tr>
      <w:tr w14:paraId="2D6B84FF">
        <w:tblPrEx>
          <w:tblCellMar>
            <w:top w:w="0" w:type="dxa"/>
            <w:left w:w="0" w:type="dxa"/>
            <w:bottom w:w="0" w:type="dxa"/>
            <w:right w:w="0" w:type="dxa"/>
          </w:tblCellMar>
        </w:tblPrEx>
        <w:trPr>
          <w:wBefore w:w="0" w:type="auto"/>
          <w:tblCellSpacing w:w="0" w:type="dxa"/>
        </w:trPr>
        <w:tc>
          <w:tcPr>
            <w:tcW w:w="0" w:type="auto"/>
            <w:noWrap w:val="0"/>
            <w:vAlign w:val="center"/>
          </w:tcPr>
          <w:p w14:paraId="1A6DC250">
            <w:r>
              <w:rPr>
                <w:rStyle w:val="10"/>
                <w:rFonts w:hint="eastAsia"/>
              </w:rPr>
              <w:t>备注：</w:t>
            </w:r>
          </w:p>
        </w:tc>
      </w:tr>
    </w:tbl>
    <w:p w14:paraId="6335849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9370643">
        <w:tblPrEx>
          <w:tblCellMar>
            <w:top w:w="0" w:type="dxa"/>
            <w:left w:w="0" w:type="dxa"/>
            <w:bottom w:w="0" w:type="dxa"/>
            <w:right w:w="0" w:type="dxa"/>
          </w:tblCellMar>
        </w:tblPrEx>
        <w:trPr>
          <w:wBefore w:w="0" w:type="auto"/>
          <w:tblCellSpacing w:w="0" w:type="dxa"/>
        </w:trPr>
        <w:tc>
          <w:tcPr>
            <w:tcW w:w="0" w:type="auto"/>
            <w:noWrap w:val="0"/>
            <w:vAlign w:val="center"/>
          </w:tcPr>
          <w:p w14:paraId="4C504C99">
            <w:r>
              <w:rPr>
                <w:rStyle w:val="10"/>
                <w:rFonts w:hint="eastAsia"/>
              </w:rPr>
              <w:t>登记证号：</w:t>
            </w:r>
            <w:r>
              <w:rPr>
                <w:rFonts w:hint="eastAsia"/>
              </w:rPr>
              <w:t>PD20211789</w:t>
            </w:r>
          </w:p>
        </w:tc>
      </w:tr>
      <w:tr w14:paraId="01449D7E">
        <w:tblPrEx>
          <w:tblCellMar>
            <w:top w:w="0" w:type="dxa"/>
            <w:left w:w="0" w:type="dxa"/>
            <w:bottom w:w="0" w:type="dxa"/>
            <w:right w:w="0" w:type="dxa"/>
          </w:tblCellMar>
        </w:tblPrEx>
        <w:trPr>
          <w:wBefore w:w="0" w:type="auto"/>
          <w:tblCellSpacing w:w="0" w:type="dxa"/>
        </w:trPr>
        <w:tc>
          <w:tcPr>
            <w:tcW w:w="0" w:type="auto"/>
            <w:noWrap w:val="0"/>
            <w:vAlign w:val="center"/>
          </w:tcPr>
          <w:p w14:paraId="7413480D">
            <w:r>
              <w:rPr>
                <w:rStyle w:val="10"/>
                <w:rFonts w:hint="eastAsia"/>
              </w:rPr>
              <w:t>登记证持有人：</w:t>
            </w:r>
            <w:r>
              <w:rPr>
                <w:rFonts w:hint="eastAsia"/>
              </w:rPr>
              <w:t>江苏省盐城利民农化有限公司</w:t>
            </w:r>
          </w:p>
        </w:tc>
      </w:tr>
      <w:tr w14:paraId="04453353">
        <w:tblPrEx>
          <w:tblCellMar>
            <w:top w:w="0" w:type="dxa"/>
            <w:left w:w="0" w:type="dxa"/>
            <w:bottom w:w="0" w:type="dxa"/>
            <w:right w:w="0" w:type="dxa"/>
          </w:tblCellMar>
        </w:tblPrEx>
        <w:trPr>
          <w:wBefore w:w="0" w:type="auto"/>
          <w:tblCellSpacing w:w="0" w:type="dxa"/>
        </w:trPr>
        <w:tc>
          <w:tcPr>
            <w:tcW w:w="0" w:type="auto"/>
            <w:noWrap w:val="0"/>
            <w:vAlign w:val="center"/>
          </w:tcPr>
          <w:p w14:paraId="74F68C20">
            <w:r>
              <w:rPr>
                <w:rStyle w:val="10"/>
                <w:rFonts w:hint="eastAsia"/>
              </w:rPr>
              <w:t>农药名称：</w:t>
            </w:r>
            <w:r>
              <w:rPr>
                <w:rFonts w:hint="eastAsia"/>
              </w:rPr>
              <w:t>阿维菌素</w:t>
            </w:r>
          </w:p>
        </w:tc>
      </w:tr>
      <w:tr w14:paraId="0077C24E">
        <w:tblPrEx>
          <w:tblCellMar>
            <w:top w:w="0" w:type="dxa"/>
            <w:left w:w="0" w:type="dxa"/>
            <w:bottom w:w="0" w:type="dxa"/>
            <w:right w:w="0" w:type="dxa"/>
          </w:tblCellMar>
        </w:tblPrEx>
        <w:trPr>
          <w:wBefore w:w="0" w:type="auto"/>
          <w:tblCellSpacing w:w="0" w:type="dxa"/>
        </w:trPr>
        <w:tc>
          <w:tcPr>
            <w:tcW w:w="0" w:type="auto"/>
            <w:noWrap w:val="0"/>
            <w:vAlign w:val="center"/>
          </w:tcPr>
          <w:p w14:paraId="141392FD">
            <w:r>
              <w:rPr>
                <w:rStyle w:val="10"/>
                <w:rFonts w:hint="eastAsia"/>
              </w:rPr>
              <w:t>剂型：</w:t>
            </w:r>
            <w:r>
              <w:rPr>
                <w:rFonts w:hint="eastAsia"/>
              </w:rPr>
              <w:t>水乳剂</w:t>
            </w:r>
          </w:p>
        </w:tc>
      </w:tr>
      <w:tr w14:paraId="31C58E0E">
        <w:tblPrEx>
          <w:tblCellMar>
            <w:top w:w="0" w:type="dxa"/>
            <w:left w:w="0" w:type="dxa"/>
            <w:bottom w:w="0" w:type="dxa"/>
            <w:right w:w="0" w:type="dxa"/>
          </w:tblCellMar>
        </w:tblPrEx>
        <w:trPr>
          <w:wBefore w:w="0" w:type="auto"/>
          <w:tblCellSpacing w:w="0" w:type="dxa"/>
        </w:trPr>
        <w:tc>
          <w:tcPr>
            <w:tcW w:w="0" w:type="auto"/>
            <w:noWrap w:val="0"/>
            <w:vAlign w:val="center"/>
          </w:tcPr>
          <w:p w14:paraId="48255107">
            <w:r>
              <w:rPr>
                <w:rStyle w:val="10"/>
                <w:rFonts w:hint="eastAsia"/>
              </w:rPr>
              <w:t>毒性及其标识：</w:t>
            </w:r>
            <w:r>
              <w:rPr>
                <w:rFonts w:hint="eastAsia"/>
              </w:rPr>
              <w:t xml:space="preserve"> </w:t>
            </w:r>
            <w:r>
              <w:rPr>
                <w:lang/>
              </w:rPr>
              <w:drawing>
                <wp:inline distT="0" distB="0" distL="114300" distR="114300">
                  <wp:extent cx="476250" cy="323850"/>
                  <wp:effectExtent l="0" t="0" r="0" b="0"/>
                  <wp:docPr id="482" name="图片 482"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中等毒 </w:t>
            </w:r>
            <w:r>
              <w:rPr>
                <w:rFonts w:hint="eastAsia"/>
              </w:rPr>
              <w:br w:type="textWrapping"/>
            </w:r>
            <w:r>
              <w:rPr>
                <w:rFonts w:hint="eastAsia"/>
              </w:rPr>
              <w:t xml:space="preserve">(原药高毒) </w:t>
            </w:r>
          </w:p>
        </w:tc>
      </w:tr>
      <w:tr w14:paraId="6BBEFA11">
        <w:tblPrEx>
          <w:tblCellMar>
            <w:top w:w="0" w:type="dxa"/>
            <w:left w:w="0" w:type="dxa"/>
            <w:bottom w:w="0" w:type="dxa"/>
            <w:right w:w="0" w:type="dxa"/>
          </w:tblCellMar>
        </w:tblPrEx>
        <w:trPr>
          <w:wBefore w:w="0" w:type="auto"/>
          <w:tblCellSpacing w:w="0" w:type="dxa"/>
        </w:trPr>
        <w:tc>
          <w:tcPr>
            <w:tcW w:w="0" w:type="auto"/>
            <w:noWrap w:val="0"/>
            <w:vAlign w:val="center"/>
          </w:tcPr>
          <w:p w14:paraId="712EC627">
            <w:r>
              <w:rPr>
                <w:rStyle w:val="10"/>
                <w:rFonts w:hint="eastAsia"/>
              </w:rPr>
              <w:t>总有效成分含量：</w:t>
            </w:r>
            <w:r>
              <w:rPr>
                <w:rFonts w:hint="eastAsia"/>
              </w:rPr>
              <w:t>5%</w:t>
            </w:r>
          </w:p>
        </w:tc>
      </w:tr>
      <w:tr w14:paraId="5F1053CF">
        <w:tblPrEx>
          <w:tblCellMar>
            <w:top w:w="0" w:type="dxa"/>
            <w:left w:w="0" w:type="dxa"/>
            <w:bottom w:w="0" w:type="dxa"/>
            <w:right w:w="0" w:type="dxa"/>
          </w:tblCellMar>
        </w:tblPrEx>
        <w:trPr>
          <w:wBefore w:w="0" w:type="auto"/>
          <w:tblCellSpacing w:w="0" w:type="dxa"/>
        </w:trPr>
        <w:tc>
          <w:tcPr>
            <w:tcW w:w="0" w:type="auto"/>
            <w:noWrap w:val="0"/>
            <w:vAlign w:val="center"/>
          </w:tcPr>
          <w:p w14:paraId="26F741E2">
            <w:r>
              <w:rPr>
                <w:rFonts w:hint="eastAsia"/>
              </w:rPr>
              <w:t xml:space="preserve">有效成分及其含量： </w:t>
            </w:r>
          </w:p>
          <w:p w14:paraId="7ED1F1D9">
            <w:r>
              <w:rPr>
                <w:rFonts w:hint="eastAsia"/>
              </w:rPr>
              <w:t xml:space="preserve">    阿维菌素5%    </w:t>
            </w:r>
          </w:p>
        </w:tc>
      </w:tr>
      <w:tr w14:paraId="79C6C17E">
        <w:tblPrEx>
          <w:tblCellMar>
            <w:top w:w="0" w:type="dxa"/>
            <w:left w:w="0" w:type="dxa"/>
            <w:bottom w:w="0" w:type="dxa"/>
            <w:right w:w="0" w:type="dxa"/>
          </w:tblCellMar>
        </w:tblPrEx>
        <w:trPr>
          <w:wBefore w:w="0" w:type="auto"/>
          <w:tblCellSpacing w:w="0" w:type="dxa"/>
        </w:trPr>
        <w:tc>
          <w:tcPr>
            <w:tcW w:w="0" w:type="auto"/>
            <w:noWrap w:val="0"/>
            <w:vAlign w:val="center"/>
          </w:tcPr>
          <w:p w14:paraId="1ACBEE0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386E0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1A2D54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C098B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D0D21D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C681347">
                  <w:r>
                    <w:rPr>
                      <w:rStyle w:val="11"/>
                      <w:rFonts w:hint="eastAsia"/>
                    </w:rPr>
                    <w:t>施用方式</w:t>
                  </w:r>
                </w:p>
              </w:tc>
            </w:tr>
            <w:tr w14:paraId="78620F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F6D138F">
                  <w:r>
                    <w:rPr>
                      <w:rStyle w:val="11"/>
                      <w:rFonts w:hint="eastAsia"/>
                    </w:rPr>
                    <w:t>梨树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6361E0">
                  <w:r>
                    <w:rPr>
                      <w:rStyle w:val="11"/>
                      <w:rFonts w:hint="eastAsia"/>
                    </w:rPr>
                    <w:t>梨木虱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1C0778">
                  <w:r>
                    <w:rPr>
                      <w:rStyle w:val="11"/>
                      <w:rFonts w:hint="eastAsia"/>
                    </w:rPr>
                    <w:t>4000-6000倍液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53EA19">
                  <w:r>
                    <w:rPr>
                      <w:rStyle w:val="11"/>
                      <w:rFonts w:hint="eastAsia"/>
                    </w:rPr>
                    <w:t>喷雾</w:t>
                  </w:r>
                </w:p>
              </w:tc>
            </w:tr>
          </w:tbl>
          <w:p w14:paraId="174F322F">
            <w:pPr>
              <w:rPr>
                <w:rFonts w:ascii="Times New Roman" w:hAnsi="Times New Roman" w:cs="Times New Roman"/>
                <w:sz w:val="20"/>
                <w:szCs w:val="20"/>
              </w:rPr>
            </w:pPr>
          </w:p>
        </w:tc>
      </w:tr>
      <w:tr w14:paraId="4451EE7C">
        <w:tblPrEx>
          <w:tblCellMar>
            <w:top w:w="0" w:type="dxa"/>
            <w:left w:w="0" w:type="dxa"/>
            <w:bottom w:w="0" w:type="dxa"/>
            <w:right w:w="0" w:type="dxa"/>
          </w:tblCellMar>
        </w:tblPrEx>
        <w:trPr>
          <w:wBefore w:w="0" w:type="auto"/>
          <w:tblCellSpacing w:w="0" w:type="dxa"/>
        </w:trPr>
        <w:tc>
          <w:tcPr>
            <w:tcW w:w="0" w:type="auto"/>
            <w:noWrap w:val="0"/>
            <w:vAlign w:val="center"/>
          </w:tcPr>
          <w:p w14:paraId="132A4CC0">
            <w:r>
              <w:rPr>
                <w:rStyle w:val="10"/>
                <w:rFonts w:hint="eastAsia"/>
              </w:rPr>
              <w:t>使用技术要求:</w:t>
            </w:r>
            <w:r>
              <w:rPr>
                <w:rFonts w:hint="eastAsia"/>
              </w:rPr>
              <w:br w:type="textWrapping"/>
            </w:r>
            <w:r>
              <w:rPr>
                <w:rStyle w:val="11"/>
                <w:rFonts w:hint="eastAsia"/>
              </w:rPr>
              <w:t>1. 本品应于梨树梨木虱卵孵化盛期施药，注意喷雾均匀。2. 大风天或预计1小时内降雨，请勿施药。 3. 在梨树上使用的安全间隔期为14天，每季作物最多使用2次。</w:t>
            </w:r>
          </w:p>
        </w:tc>
      </w:tr>
      <w:tr w14:paraId="630E3C83">
        <w:tblPrEx>
          <w:tblCellMar>
            <w:top w:w="0" w:type="dxa"/>
            <w:left w:w="0" w:type="dxa"/>
            <w:bottom w:w="0" w:type="dxa"/>
            <w:right w:w="0" w:type="dxa"/>
          </w:tblCellMar>
        </w:tblPrEx>
        <w:trPr>
          <w:wBefore w:w="0" w:type="auto"/>
          <w:tblCellSpacing w:w="0" w:type="dxa"/>
        </w:trPr>
        <w:tc>
          <w:tcPr>
            <w:tcW w:w="0" w:type="auto"/>
            <w:noWrap w:val="0"/>
            <w:vAlign w:val="center"/>
          </w:tcPr>
          <w:p w14:paraId="6134DFA2">
            <w:r>
              <w:rPr>
                <w:rStyle w:val="10"/>
                <w:rFonts w:hint="eastAsia"/>
              </w:rPr>
              <w:t>产品性能:</w:t>
            </w:r>
            <w:r>
              <w:rPr>
                <w:rFonts w:hint="eastAsia"/>
              </w:rPr>
              <w:br w:type="textWrapping"/>
            </w:r>
            <w:r>
              <w:rPr>
                <w:rStyle w:val="11"/>
                <w:rFonts w:hint="eastAsia"/>
              </w:rPr>
              <w:t>本品为经微生物发酵产生的抗生素类杀虫剂，具有触杀和胃毒作用，兼具熏蒸作用，无内吸作用，对叶片有较强的渗透作用，可杀死表皮下的害虫。在推荐剂量下使用，对梨树梨木虱有较好的防治效果。</w:t>
            </w:r>
          </w:p>
        </w:tc>
      </w:tr>
      <w:tr w14:paraId="1BAB4C5C">
        <w:tblPrEx>
          <w:tblCellMar>
            <w:top w:w="0" w:type="dxa"/>
            <w:left w:w="0" w:type="dxa"/>
            <w:bottom w:w="0" w:type="dxa"/>
            <w:right w:w="0" w:type="dxa"/>
          </w:tblCellMar>
        </w:tblPrEx>
        <w:trPr>
          <w:wBefore w:w="0" w:type="auto"/>
          <w:tblCellSpacing w:w="0" w:type="dxa"/>
        </w:trPr>
        <w:tc>
          <w:tcPr>
            <w:tcW w:w="0" w:type="auto"/>
            <w:noWrap w:val="0"/>
            <w:vAlign w:val="center"/>
          </w:tcPr>
          <w:p w14:paraId="5D8C5B0D">
            <w:r>
              <w:rPr>
                <w:rStyle w:val="10"/>
                <w:rFonts w:hint="eastAsia"/>
              </w:rPr>
              <w:t>注意事项：</w:t>
            </w:r>
            <w:r>
              <w:rPr>
                <w:rFonts w:hint="eastAsia"/>
              </w:rPr>
              <w:br w:type="textWrapping"/>
            </w:r>
            <w:r>
              <w:rPr>
                <w:rStyle w:val="11"/>
                <w:rFonts w:hint="eastAsia"/>
              </w:rPr>
              <w:t>1. 严格按照规定用药量和方法使用。2. 建议与其他作用机制不同的杀虫剂轮换使用，以延缓抗性产生。3. 鸟类保护区附近禁用；（周围）开花植物花期禁用，使用时应密切关注对附近蜂群的影响；蚕室及桑园附近禁用，天敌放飞区域禁用。远离水产养殖区施药，禁止在河塘等水体中清洗施药器具。4. 使用过的施药器械，应清洗干净方可用于其它的农药。5. 本品对眼睛有刺激性，使用时避免接触眼睛，穿戴长衣、长裤、帽子、口罩、手套等防护措施。施药中禁止饮食、吸烟、饮水等；施药后应用肥皂和清水彻底清洗暴露在外的皮肤。6. 用药后包装物及用过的容器应妥善处理，不可做他用，也不可随意丢弃。7. 孕妇、哺乳期的妇女禁止接触本产品。</w:t>
            </w:r>
          </w:p>
        </w:tc>
      </w:tr>
      <w:tr w14:paraId="1FA7D1EA">
        <w:tblPrEx>
          <w:tblCellMar>
            <w:top w:w="0" w:type="dxa"/>
            <w:left w:w="0" w:type="dxa"/>
            <w:bottom w:w="0" w:type="dxa"/>
            <w:right w:w="0" w:type="dxa"/>
          </w:tblCellMar>
        </w:tblPrEx>
        <w:trPr>
          <w:wBefore w:w="0" w:type="auto"/>
          <w:tblCellSpacing w:w="0" w:type="dxa"/>
        </w:trPr>
        <w:tc>
          <w:tcPr>
            <w:tcW w:w="0" w:type="auto"/>
            <w:noWrap w:val="0"/>
            <w:vAlign w:val="center"/>
          </w:tcPr>
          <w:p w14:paraId="1BC3024A">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24F8802B">
        <w:tblPrEx>
          <w:tblCellMar>
            <w:top w:w="0" w:type="dxa"/>
            <w:left w:w="0" w:type="dxa"/>
            <w:bottom w:w="0" w:type="dxa"/>
            <w:right w:w="0" w:type="dxa"/>
          </w:tblCellMar>
        </w:tblPrEx>
        <w:trPr>
          <w:wBefore w:w="0" w:type="auto"/>
          <w:tblCellSpacing w:w="0" w:type="dxa"/>
        </w:trPr>
        <w:tc>
          <w:tcPr>
            <w:tcW w:w="0" w:type="auto"/>
            <w:noWrap w:val="0"/>
            <w:vAlign w:val="center"/>
          </w:tcPr>
          <w:p w14:paraId="071A5335">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本品应储存在干燥、阴凉、通风、防雨处，远离火源或热源。置于儿童接触不到的地方，并加锁保存。不能与食品、饮料、粮食、饲料等同贮同运。在装卸、运输时应轻拿轻放。</w:t>
            </w:r>
          </w:p>
        </w:tc>
      </w:tr>
      <w:tr w14:paraId="4D077CD4">
        <w:tblPrEx>
          <w:tblCellMar>
            <w:top w:w="0" w:type="dxa"/>
            <w:left w:w="0" w:type="dxa"/>
            <w:bottom w:w="0" w:type="dxa"/>
            <w:right w:w="0" w:type="dxa"/>
          </w:tblCellMar>
        </w:tblPrEx>
        <w:trPr>
          <w:wBefore w:w="0" w:type="auto"/>
          <w:tblCellSpacing w:w="0" w:type="dxa"/>
        </w:trPr>
        <w:tc>
          <w:tcPr>
            <w:tcW w:w="0" w:type="auto"/>
            <w:noWrap w:val="0"/>
            <w:vAlign w:val="center"/>
          </w:tcPr>
          <w:p w14:paraId="0E0ADF4D">
            <w:r>
              <w:rPr>
                <w:rStyle w:val="10"/>
                <w:rFonts w:hint="eastAsia"/>
              </w:rPr>
              <w:t>质量保证期：</w:t>
            </w:r>
            <w:r>
              <w:rPr>
                <w:rStyle w:val="11"/>
                <w:rFonts w:hint="eastAsia"/>
              </w:rPr>
              <w:t>2年</w:t>
            </w:r>
          </w:p>
        </w:tc>
      </w:tr>
      <w:tr w14:paraId="50529101">
        <w:tblPrEx>
          <w:tblCellMar>
            <w:top w:w="0" w:type="dxa"/>
            <w:left w:w="0" w:type="dxa"/>
            <w:bottom w:w="0" w:type="dxa"/>
            <w:right w:w="0" w:type="dxa"/>
          </w:tblCellMar>
        </w:tblPrEx>
        <w:trPr>
          <w:wBefore w:w="0" w:type="auto"/>
          <w:tblCellSpacing w:w="0" w:type="dxa"/>
        </w:trPr>
        <w:tc>
          <w:tcPr>
            <w:tcW w:w="0" w:type="auto"/>
            <w:noWrap w:val="0"/>
            <w:vAlign w:val="center"/>
          </w:tcPr>
          <w:p w14:paraId="3DB2AF2D">
            <w:r>
              <w:rPr>
                <w:rStyle w:val="10"/>
                <w:rFonts w:hint="eastAsia"/>
              </w:rPr>
              <w:t>备注：</w:t>
            </w:r>
          </w:p>
        </w:tc>
      </w:tr>
    </w:tbl>
    <w:p w14:paraId="4F4E2A6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185179">
        <w:tblPrEx>
          <w:tblCellMar>
            <w:top w:w="0" w:type="dxa"/>
            <w:left w:w="0" w:type="dxa"/>
            <w:bottom w:w="0" w:type="dxa"/>
            <w:right w:w="0" w:type="dxa"/>
          </w:tblCellMar>
        </w:tblPrEx>
        <w:trPr>
          <w:wBefore w:w="0" w:type="auto"/>
          <w:tblCellSpacing w:w="0" w:type="dxa"/>
        </w:trPr>
        <w:tc>
          <w:tcPr>
            <w:tcW w:w="0" w:type="auto"/>
            <w:noWrap w:val="0"/>
            <w:vAlign w:val="center"/>
          </w:tcPr>
          <w:p w14:paraId="23711DE4">
            <w:r>
              <w:rPr>
                <w:rStyle w:val="10"/>
                <w:rFonts w:hint="eastAsia"/>
              </w:rPr>
              <w:t>登记证号：</w:t>
            </w:r>
            <w:r>
              <w:rPr>
                <w:rFonts w:hint="eastAsia"/>
              </w:rPr>
              <w:t>PD20212272</w:t>
            </w:r>
          </w:p>
        </w:tc>
      </w:tr>
      <w:tr w14:paraId="304BFD34">
        <w:tblPrEx>
          <w:tblCellMar>
            <w:top w:w="0" w:type="dxa"/>
            <w:left w:w="0" w:type="dxa"/>
            <w:bottom w:w="0" w:type="dxa"/>
            <w:right w:w="0" w:type="dxa"/>
          </w:tblCellMar>
        </w:tblPrEx>
        <w:trPr>
          <w:wBefore w:w="0" w:type="auto"/>
          <w:tblCellSpacing w:w="0" w:type="dxa"/>
        </w:trPr>
        <w:tc>
          <w:tcPr>
            <w:tcW w:w="0" w:type="auto"/>
            <w:noWrap w:val="0"/>
            <w:vAlign w:val="center"/>
          </w:tcPr>
          <w:p w14:paraId="23D1CBF0">
            <w:r>
              <w:rPr>
                <w:rStyle w:val="10"/>
                <w:rFonts w:hint="eastAsia"/>
              </w:rPr>
              <w:t>登记证持有人：</w:t>
            </w:r>
            <w:r>
              <w:rPr>
                <w:rFonts w:hint="eastAsia"/>
              </w:rPr>
              <w:t>山东奥坤作物科学股份有限公司</w:t>
            </w:r>
          </w:p>
        </w:tc>
      </w:tr>
      <w:tr w14:paraId="17C39044">
        <w:tblPrEx>
          <w:tblCellMar>
            <w:top w:w="0" w:type="dxa"/>
            <w:left w:w="0" w:type="dxa"/>
            <w:bottom w:w="0" w:type="dxa"/>
            <w:right w:w="0" w:type="dxa"/>
          </w:tblCellMar>
        </w:tblPrEx>
        <w:trPr>
          <w:wBefore w:w="0" w:type="auto"/>
          <w:tblCellSpacing w:w="0" w:type="dxa"/>
        </w:trPr>
        <w:tc>
          <w:tcPr>
            <w:tcW w:w="0" w:type="auto"/>
            <w:noWrap w:val="0"/>
            <w:vAlign w:val="center"/>
          </w:tcPr>
          <w:p w14:paraId="3F178925">
            <w:r>
              <w:rPr>
                <w:rStyle w:val="10"/>
                <w:rFonts w:hint="eastAsia"/>
              </w:rPr>
              <w:t>农药名称：</w:t>
            </w:r>
            <w:r>
              <w:rPr>
                <w:rFonts w:hint="eastAsia"/>
              </w:rPr>
              <w:t>滴辛酯·异甲胺</w:t>
            </w:r>
          </w:p>
        </w:tc>
      </w:tr>
      <w:tr w14:paraId="7EA61DF4">
        <w:tblPrEx>
          <w:tblCellMar>
            <w:top w:w="0" w:type="dxa"/>
            <w:left w:w="0" w:type="dxa"/>
            <w:bottom w:w="0" w:type="dxa"/>
            <w:right w:w="0" w:type="dxa"/>
          </w:tblCellMar>
        </w:tblPrEx>
        <w:trPr>
          <w:wBefore w:w="0" w:type="auto"/>
          <w:tblCellSpacing w:w="0" w:type="dxa"/>
        </w:trPr>
        <w:tc>
          <w:tcPr>
            <w:tcW w:w="0" w:type="auto"/>
            <w:noWrap w:val="0"/>
            <w:vAlign w:val="center"/>
          </w:tcPr>
          <w:p w14:paraId="49650310">
            <w:r>
              <w:rPr>
                <w:rStyle w:val="10"/>
                <w:rFonts w:hint="eastAsia"/>
              </w:rPr>
              <w:t>剂型：</w:t>
            </w:r>
            <w:r>
              <w:rPr>
                <w:rFonts w:hint="eastAsia"/>
              </w:rPr>
              <w:t>乳油</w:t>
            </w:r>
          </w:p>
        </w:tc>
      </w:tr>
      <w:tr w14:paraId="1DF1C0E6">
        <w:tblPrEx>
          <w:tblCellMar>
            <w:top w:w="0" w:type="dxa"/>
            <w:left w:w="0" w:type="dxa"/>
            <w:bottom w:w="0" w:type="dxa"/>
            <w:right w:w="0" w:type="dxa"/>
          </w:tblCellMar>
        </w:tblPrEx>
        <w:trPr>
          <w:wBefore w:w="0" w:type="auto"/>
          <w:tblCellSpacing w:w="0" w:type="dxa"/>
        </w:trPr>
        <w:tc>
          <w:tcPr>
            <w:tcW w:w="0" w:type="auto"/>
            <w:noWrap w:val="0"/>
            <w:vAlign w:val="center"/>
          </w:tcPr>
          <w:p w14:paraId="5F606E36">
            <w:r>
              <w:rPr>
                <w:rStyle w:val="10"/>
                <w:rFonts w:hint="eastAsia"/>
              </w:rPr>
              <w:t>毒性及其标识：</w:t>
            </w:r>
            <w:r>
              <w:rPr>
                <w:rFonts w:hint="eastAsia"/>
              </w:rPr>
              <w:t xml:space="preserve"> </w:t>
            </w:r>
            <w:r>
              <w:rPr>
                <w:lang/>
              </w:rPr>
              <w:drawing>
                <wp:inline distT="0" distB="0" distL="114300" distR="114300">
                  <wp:extent cx="476250" cy="323850"/>
                  <wp:effectExtent l="0" t="0" r="0" b="0"/>
                  <wp:docPr id="483" name="图片 48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5359C47">
        <w:tblPrEx>
          <w:tblCellMar>
            <w:top w:w="0" w:type="dxa"/>
            <w:left w:w="0" w:type="dxa"/>
            <w:bottom w:w="0" w:type="dxa"/>
            <w:right w:w="0" w:type="dxa"/>
          </w:tblCellMar>
        </w:tblPrEx>
        <w:trPr>
          <w:wBefore w:w="0" w:type="auto"/>
          <w:tblCellSpacing w:w="0" w:type="dxa"/>
        </w:trPr>
        <w:tc>
          <w:tcPr>
            <w:tcW w:w="0" w:type="auto"/>
            <w:noWrap w:val="0"/>
            <w:vAlign w:val="center"/>
          </w:tcPr>
          <w:p w14:paraId="1DC500F0">
            <w:r>
              <w:rPr>
                <w:rStyle w:val="10"/>
                <w:rFonts w:hint="eastAsia"/>
              </w:rPr>
              <w:t>总有效成分含量：</w:t>
            </w:r>
            <w:r>
              <w:rPr>
                <w:rFonts w:hint="eastAsia"/>
              </w:rPr>
              <w:t>990克/升</w:t>
            </w:r>
          </w:p>
        </w:tc>
      </w:tr>
      <w:tr w14:paraId="18C885D4">
        <w:tblPrEx>
          <w:tblCellMar>
            <w:top w:w="0" w:type="dxa"/>
            <w:left w:w="0" w:type="dxa"/>
            <w:bottom w:w="0" w:type="dxa"/>
            <w:right w:w="0" w:type="dxa"/>
          </w:tblCellMar>
        </w:tblPrEx>
        <w:trPr>
          <w:wBefore w:w="0" w:type="auto"/>
          <w:tblCellSpacing w:w="0" w:type="dxa"/>
        </w:trPr>
        <w:tc>
          <w:tcPr>
            <w:tcW w:w="0" w:type="auto"/>
            <w:noWrap w:val="0"/>
            <w:vAlign w:val="center"/>
          </w:tcPr>
          <w:p w14:paraId="0ADA3A30">
            <w:r>
              <w:rPr>
                <w:rFonts w:hint="eastAsia"/>
              </w:rPr>
              <w:t xml:space="preserve">有效成分及其含量： </w:t>
            </w:r>
          </w:p>
          <w:p w14:paraId="026F2D48">
            <w:r>
              <w:rPr>
                <w:rFonts w:hint="eastAsia"/>
              </w:rPr>
              <w:t xml:space="preserve">    2,4-滴异辛酯330克/升    异丙甲草胺660克/升    </w:t>
            </w:r>
          </w:p>
        </w:tc>
      </w:tr>
      <w:tr w14:paraId="41ED1CA4">
        <w:tblPrEx>
          <w:tblCellMar>
            <w:top w:w="0" w:type="dxa"/>
            <w:left w:w="0" w:type="dxa"/>
            <w:bottom w:w="0" w:type="dxa"/>
            <w:right w:w="0" w:type="dxa"/>
          </w:tblCellMar>
        </w:tblPrEx>
        <w:trPr>
          <w:wBefore w:w="0" w:type="auto"/>
          <w:tblCellSpacing w:w="0" w:type="dxa"/>
        </w:trPr>
        <w:tc>
          <w:tcPr>
            <w:tcW w:w="0" w:type="auto"/>
            <w:noWrap w:val="0"/>
            <w:vAlign w:val="center"/>
          </w:tcPr>
          <w:p w14:paraId="3D39A6B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D9DF0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19B334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16919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682A2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EC1BB48">
                  <w:r>
                    <w:rPr>
                      <w:rStyle w:val="11"/>
                      <w:rFonts w:hint="eastAsia"/>
                    </w:rPr>
                    <w:t>施用方式</w:t>
                  </w:r>
                </w:p>
              </w:tc>
            </w:tr>
            <w:tr w14:paraId="66CAB43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20C29EE">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A7CF69">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2C9267">
                  <w:r>
                    <w:rPr>
                      <w:rStyle w:val="11"/>
                      <w:rFonts w:hint="eastAsia"/>
                    </w:rPr>
                    <w:t>120-140毫升/亩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8B1323">
                  <w:r>
                    <w:rPr>
                      <w:rStyle w:val="11"/>
                      <w:rFonts w:hint="eastAsia"/>
                    </w:rPr>
                    <w:t>土壤喷雾</w:t>
                  </w:r>
                </w:p>
              </w:tc>
            </w:tr>
          </w:tbl>
          <w:p w14:paraId="7C95F5C8">
            <w:pPr>
              <w:rPr>
                <w:rFonts w:ascii="Times New Roman" w:hAnsi="Times New Roman" w:cs="Times New Roman"/>
                <w:sz w:val="20"/>
                <w:szCs w:val="20"/>
              </w:rPr>
            </w:pPr>
          </w:p>
        </w:tc>
      </w:tr>
      <w:tr w14:paraId="7CAB6E91">
        <w:tblPrEx>
          <w:tblCellMar>
            <w:top w:w="0" w:type="dxa"/>
            <w:left w:w="0" w:type="dxa"/>
            <w:bottom w:w="0" w:type="dxa"/>
            <w:right w:w="0" w:type="dxa"/>
          </w:tblCellMar>
        </w:tblPrEx>
        <w:trPr>
          <w:wBefore w:w="0" w:type="auto"/>
          <w:tblCellSpacing w:w="0" w:type="dxa"/>
        </w:trPr>
        <w:tc>
          <w:tcPr>
            <w:tcW w:w="0" w:type="auto"/>
            <w:noWrap w:val="0"/>
            <w:vAlign w:val="center"/>
          </w:tcPr>
          <w:p w14:paraId="31D1316A">
            <w:r>
              <w:rPr>
                <w:rStyle w:val="10"/>
                <w:rFonts w:hint="eastAsia"/>
              </w:rPr>
              <w:t>使用技术要求:</w:t>
            </w:r>
            <w:r>
              <w:rPr>
                <w:rFonts w:hint="eastAsia"/>
              </w:rPr>
              <w:br w:type="textWrapping"/>
            </w:r>
            <w:r>
              <w:rPr>
                <w:rStyle w:val="11"/>
                <w:rFonts w:hint="eastAsia"/>
              </w:rPr>
              <w:t>1.在春玉米播后苗前，以推荐剂量兑水均匀土壤喷雾施药一次；2.尽量选择无风的天气施药，避免飘移药害。3.本品为土壤处理剂，必须在杂草出土前施药。 4.每季作物最多使用1次。</w:t>
            </w:r>
          </w:p>
        </w:tc>
      </w:tr>
      <w:tr w14:paraId="1FEA6D54">
        <w:tblPrEx>
          <w:tblCellMar>
            <w:top w:w="0" w:type="dxa"/>
            <w:left w:w="0" w:type="dxa"/>
            <w:bottom w:w="0" w:type="dxa"/>
            <w:right w:w="0" w:type="dxa"/>
          </w:tblCellMar>
        </w:tblPrEx>
        <w:trPr>
          <w:wBefore w:w="0" w:type="auto"/>
          <w:tblCellSpacing w:w="0" w:type="dxa"/>
        </w:trPr>
        <w:tc>
          <w:tcPr>
            <w:tcW w:w="0" w:type="auto"/>
            <w:noWrap w:val="0"/>
            <w:vAlign w:val="center"/>
          </w:tcPr>
          <w:p w14:paraId="234AB411">
            <w:r>
              <w:rPr>
                <w:rStyle w:val="10"/>
                <w:rFonts w:hint="eastAsia"/>
              </w:rPr>
              <w:t>产品性能:</w:t>
            </w:r>
            <w:r>
              <w:rPr>
                <w:rFonts w:hint="eastAsia"/>
              </w:rPr>
              <w:br w:type="textWrapping"/>
            </w:r>
            <w:r>
              <w:rPr>
                <w:rStyle w:val="11"/>
                <w:rFonts w:hint="eastAsia"/>
              </w:rPr>
              <w:t>本品为春玉米田除草剂，具有一定增效或相加作用。对春玉米田一年生禾本科及阔叶杂草有很 好的防除效果。</w:t>
            </w:r>
          </w:p>
        </w:tc>
      </w:tr>
      <w:tr w14:paraId="49A3B979">
        <w:tblPrEx>
          <w:tblCellMar>
            <w:top w:w="0" w:type="dxa"/>
            <w:left w:w="0" w:type="dxa"/>
            <w:bottom w:w="0" w:type="dxa"/>
            <w:right w:w="0" w:type="dxa"/>
          </w:tblCellMar>
        </w:tblPrEx>
        <w:trPr>
          <w:wBefore w:w="0" w:type="auto"/>
          <w:tblCellSpacing w:w="0" w:type="dxa"/>
        </w:trPr>
        <w:tc>
          <w:tcPr>
            <w:tcW w:w="0" w:type="auto"/>
            <w:noWrap w:val="0"/>
            <w:vAlign w:val="center"/>
          </w:tcPr>
          <w:p w14:paraId="0CD4B7DF">
            <w:r>
              <w:rPr>
                <w:rStyle w:val="10"/>
                <w:rFonts w:hint="eastAsia"/>
              </w:rPr>
              <w:t>注意事项：</w:t>
            </w:r>
            <w:r>
              <w:rPr>
                <w:rFonts w:hint="eastAsia"/>
              </w:rPr>
              <w:br w:type="textWrapping"/>
            </w:r>
            <w:r>
              <w:rPr>
                <w:rStyle w:val="11"/>
                <w:rFonts w:hint="eastAsia"/>
              </w:rPr>
              <w:t>1.使用本品时应佩戴口罩，穿防护衣帽、防护鞋等，避免直接接触眼睛与皮肤，此时不能饮食、吸烟等。施药后用肥皂水洗脸、洗手，并很好地清洗施药器械。 2.整地要平细，避免有大的土块。施药时面积要量准，施药均匀，不重喷、不漏喷。3.远离水产养殖区、河塘等水体施药，禁止在河塘等水体中清洗施药器具；赤眼蜂等天敌放飞区域禁用。4.用过的容器应妥善处理，不可做他用，也不可随意丢弃。5.孕妇和哺乳期的妇女禁止接触药物。</w:t>
            </w:r>
          </w:p>
        </w:tc>
      </w:tr>
      <w:tr w14:paraId="542D9067">
        <w:tblPrEx>
          <w:tblCellMar>
            <w:top w:w="0" w:type="dxa"/>
            <w:left w:w="0" w:type="dxa"/>
            <w:bottom w:w="0" w:type="dxa"/>
            <w:right w:w="0" w:type="dxa"/>
          </w:tblCellMar>
        </w:tblPrEx>
        <w:trPr>
          <w:wBefore w:w="0" w:type="auto"/>
          <w:tblCellSpacing w:w="0" w:type="dxa"/>
        </w:trPr>
        <w:tc>
          <w:tcPr>
            <w:tcW w:w="0" w:type="auto"/>
            <w:noWrap w:val="0"/>
            <w:vAlign w:val="center"/>
          </w:tcPr>
          <w:p w14:paraId="2A38C7D8">
            <w:r>
              <w:rPr>
                <w:rStyle w:val="10"/>
                <w:rFonts w:hint="eastAsia"/>
              </w:rPr>
              <w:t>中毒急救措施：</w:t>
            </w:r>
            <w:r>
              <w:rPr>
                <w:rFonts w:hint="eastAsia"/>
              </w:rPr>
              <w:br w:type="textWrapping"/>
            </w:r>
            <w:r>
              <w:rPr>
                <w:rStyle w:val="11"/>
                <w:rFonts w:hint="eastAsia"/>
              </w:rPr>
              <w:t>本品对眼睛和皮肤有刺激性。进入眼睛，立即用大量水清洗眼睛15分钟，仍有不适时，就医。接触皮肤，用水和肥皂彻底清洗。如吸入肺中，应立即到通风处。误服者应立即催吐、洗胃并就医。对症治疗，无特效解毒剂。</w:t>
            </w:r>
          </w:p>
        </w:tc>
      </w:tr>
      <w:tr w14:paraId="139C7C44">
        <w:tblPrEx>
          <w:tblCellMar>
            <w:top w:w="0" w:type="dxa"/>
            <w:left w:w="0" w:type="dxa"/>
            <w:bottom w:w="0" w:type="dxa"/>
            <w:right w:w="0" w:type="dxa"/>
          </w:tblCellMar>
        </w:tblPrEx>
        <w:trPr>
          <w:wBefore w:w="0" w:type="auto"/>
          <w:tblCellSpacing w:w="0" w:type="dxa"/>
        </w:trPr>
        <w:tc>
          <w:tcPr>
            <w:tcW w:w="0" w:type="auto"/>
            <w:noWrap w:val="0"/>
            <w:vAlign w:val="center"/>
          </w:tcPr>
          <w:p w14:paraId="0A8787DF">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本品应贮存在干燥、阴凉、通风、防雨处，远离火源或热源。置于儿童及无关人员触及不到之处，并加锁保存。勿与食品、饮料、粮食、饲料等同贮同运。</w:t>
            </w:r>
          </w:p>
        </w:tc>
      </w:tr>
      <w:tr w14:paraId="5A1C256D">
        <w:tblPrEx>
          <w:tblCellMar>
            <w:top w:w="0" w:type="dxa"/>
            <w:left w:w="0" w:type="dxa"/>
            <w:bottom w:w="0" w:type="dxa"/>
            <w:right w:w="0" w:type="dxa"/>
          </w:tblCellMar>
        </w:tblPrEx>
        <w:trPr>
          <w:wBefore w:w="0" w:type="auto"/>
          <w:tblCellSpacing w:w="0" w:type="dxa"/>
        </w:trPr>
        <w:tc>
          <w:tcPr>
            <w:tcW w:w="0" w:type="auto"/>
            <w:noWrap w:val="0"/>
            <w:vAlign w:val="center"/>
          </w:tcPr>
          <w:p w14:paraId="5EC7354B">
            <w:r>
              <w:rPr>
                <w:rStyle w:val="10"/>
                <w:rFonts w:hint="eastAsia"/>
              </w:rPr>
              <w:t>质量保证期：</w:t>
            </w:r>
            <w:r>
              <w:rPr>
                <w:rStyle w:val="11"/>
                <w:rFonts w:hint="eastAsia"/>
              </w:rPr>
              <w:t>2年</w:t>
            </w:r>
          </w:p>
        </w:tc>
      </w:tr>
      <w:tr w14:paraId="75B93CE0">
        <w:tblPrEx>
          <w:tblCellMar>
            <w:top w:w="0" w:type="dxa"/>
            <w:left w:w="0" w:type="dxa"/>
            <w:bottom w:w="0" w:type="dxa"/>
            <w:right w:w="0" w:type="dxa"/>
          </w:tblCellMar>
        </w:tblPrEx>
        <w:trPr>
          <w:wBefore w:w="0" w:type="auto"/>
          <w:tblCellSpacing w:w="0" w:type="dxa"/>
        </w:trPr>
        <w:tc>
          <w:tcPr>
            <w:tcW w:w="0" w:type="auto"/>
            <w:noWrap w:val="0"/>
            <w:vAlign w:val="center"/>
          </w:tcPr>
          <w:p w14:paraId="0C030788">
            <w:r>
              <w:rPr>
                <w:rStyle w:val="10"/>
                <w:rFonts w:hint="eastAsia"/>
              </w:rPr>
              <w:t>备注：</w:t>
            </w:r>
            <w:r>
              <w:rPr>
                <w:rFonts w:hint="eastAsia"/>
              </w:rPr>
              <w:br w:type="textWrapping"/>
            </w:r>
            <w:r>
              <w:rPr>
                <w:rStyle w:val="11"/>
                <w:rFonts w:hint="eastAsia"/>
              </w:rPr>
              <w:t>质量分数86.1%（异丙甲草胺57.4%，2,4-滴异辛酯28.7%）</w:t>
            </w:r>
          </w:p>
        </w:tc>
      </w:tr>
    </w:tbl>
    <w:p w14:paraId="383BF7D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70F48A5">
        <w:tblPrEx>
          <w:tblCellMar>
            <w:top w:w="0" w:type="dxa"/>
            <w:left w:w="0" w:type="dxa"/>
            <w:bottom w:w="0" w:type="dxa"/>
            <w:right w:w="0" w:type="dxa"/>
          </w:tblCellMar>
        </w:tblPrEx>
        <w:trPr>
          <w:wBefore w:w="0" w:type="auto"/>
          <w:tblCellSpacing w:w="0" w:type="dxa"/>
        </w:trPr>
        <w:tc>
          <w:tcPr>
            <w:tcW w:w="0" w:type="auto"/>
            <w:noWrap w:val="0"/>
            <w:vAlign w:val="center"/>
          </w:tcPr>
          <w:p w14:paraId="29B522CE">
            <w:r>
              <w:rPr>
                <w:rStyle w:val="10"/>
                <w:rFonts w:hint="eastAsia"/>
              </w:rPr>
              <w:t>登记证号：</w:t>
            </w:r>
            <w:r>
              <w:rPr>
                <w:rFonts w:hint="eastAsia"/>
              </w:rPr>
              <w:t>PD20211740</w:t>
            </w:r>
          </w:p>
        </w:tc>
      </w:tr>
      <w:tr w14:paraId="2C3952BB">
        <w:tblPrEx>
          <w:tblCellMar>
            <w:top w:w="0" w:type="dxa"/>
            <w:left w:w="0" w:type="dxa"/>
            <w:bottom w:w="0" w:type="dxa"/>
            <w:right w:w="0" w:type="dxa"/>
          </w:tblCellMar>
        </w:tblPrEx>
        <w:trPr>
          <w:wBefore w:w="0" w:type="auto"/>
          <w:tblCellSpacing w:w="0" w:type="dxa"/>
        </w:trPr>
        <w:tc>
          <w:tcPr>
            <w:tcW w:w="0" w:type="auto"/>
            <w:noWrap w:val="0"/>
            <w:vAlign w:val="center"/>
          </w:tcPr>
          <w:p w14:paraId="36B65D51">
            <w:r>
              <w:rPr>
                <w:rStyle w:val="10"/>
                <w:rFonts w:hint="eastAsia"/>
              </w:rPr>
              <w:t>登记证持有人：</w:t>
            </w:r>
            <w:r>
              <w:rPr>
                <w:rFonts w:hint="eastAsia"/>
              </w:rPr>
              <w:t>浙江中山化工集团股份有限公司</w:t>
            </w:r>
          </w:p>
        </w:tc>
      </w:tr>
      <w:tr w14:paraId="6DC77694">
        <w:tblPrEx>
          <w:tblCellMar>
            <w:top w:w="0" w:type="dxa"/>
            <w:left w:w="0" w:type="dxa"/>
            <w:bottom w:w="0" w:type="dxa"/>
            <w:right w:w="0" w:type="dxa"/>
          </w:tblCellMar>
        </w:tblPrEx>
        <w:trPr>
          <w:wBefore w:w="0" w:type="auto"/>
          <w:tblCellSpacing w:w="0" w:type="dxa"/>
        </w:trPr>
        <w:tc>
          <w:tcPr>
            <w:tcW w:w="0" w:type="auto"/>
            <w:noWrap w:val="0"/>
            <w:vAlign w:val="center"/>
          </w:tcPr>
          <w:p w14:paraId="13088608">
            <w:r>
              <w:rPr>
                <w:rStyle w:val="10"/>
                <w:rFonts w:hint="eastAsia"/>
              </w:rPr>
              <w:t>农药名称：</w:t>
            </w:r>
            <w:r>
              <w:rPr>
                <w:rFonts w:hint="eastAsia"/>
              </w:rPr>
              <w:t>呋虫胺</w:t>
            </w:r>
          </w:p>
        </w:tc>
      </w:tr>
      <w:tr w14:paraId="43928CFB">
        <w:tblPrEx>
          <w:tblCellMar>
            <w:top w:w="0" w:type="dxa"/>
            <w:left w:w="0" w:type="dxa"/>
            <w:bottom w:w="0" w:type="dxa"/>
            <w:right w:w="0" w:type="dxa"/>
          </w:tblCellMar>
        </w:tblPrEx>
        <w:trPr>
          <w:wBefore w:w="0" w:type="auto"/>
          <w:tblCellSpacing w:w="0" w:type="dxa"/>
        </w:trPr>
        <w:tc>
          <w:tcPr>
            <w:tcW w:w="0" w:type="auto"/>
            <w:noWrap w:val="0"/>
            <w:vAlign w:val="center"/>
          </w:tcPr>
          <w:p w14:paraId="35349002">
            <w:r>
              <w:rPr>
                <w:rStyle w:val="10"/>
                <w:rFonts w:hint="eastAsia"/>
              </w:rPr>
              <w:t>剂型：</w:t>
            </w:r>
            <w:r>
              <w:rPr>
                <w:rFonts w:hint="eastAsia"/>
              </w:rPr>
              <w:t>可分散油悬浮剂</w:t>
            </w:r>
          </w:p>
        </w:tc>
      </w:tr>
      <w:tr w14:paraId="31EE72AC">
        <w:tblPrEx>
          <w:tblCellMar>
            <w:top w:w="0" w:type="dxa"/>
            <w:left w:w="0" w:type="dxa"/>
            <w:bottom w:w="0" w:type="dxa"/>
            <w:right w:w="0" w:type="dxa"/>
          </w:tblCellMar>
        </w:tblPrEx>
        <w:trPr>
          <w:wBefore w:w="0" w:type="auto"/>
          <w:tblCellSpacing w:w="0" w:type="dxa"/>
        </w:trPr>
        <w:tc>
          <w:tcPr>
            <w:tcW w:w="0" w:type="auto"/>
            <w:noWrap w:val="0"/>
            <w:vAlign w:val="center"/>
          </w:tcPr>
          <w:p w14:paraId="4E861EE8">
            <w:r>
              <w:rPr>
                <w:rStyle w:val="10"/>
                <w:rFonts w:hint="eastAsia"/>
              </w:rPr>
              <w:t>毒性及其标识：</w:t>
            </w:r>
            <w:r>
              <w:rPr>
                <w:rFonts w:hint="eastAsia"/>
              </w:rPr>
              <w:t xml:space="preserve"> </w:t>
            </w:r>
            <w:r>
              <w:rPr>
                <w:lang/>
              </w:rPr>
              <w:drawing>
                <wp:inline distT="0" distB="0" distL="114300" distR="114300">
                  <wp:extent cx="476250" cy="323850"/>
                  <wp:effectExtent l="0" t="0" r="0" b="0"/>
                  <wp:docPr id="484" name="图片 48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CCA0415">
        <w:tblPrEx>
          <w:tblCellMar>
            <w:top w:w="0" w:type="dxa"/>
            <w:left w:w="0" w:type="dxa"/>
            <w:bottom w:w="0" w:type="dxa"/>
            <w:right w:w="0" w:type="dxa"/>
          </w:tblCellMar>
        </w:tblPrEx>
        <w:trPr>
          <w:wBefore w:w="0" w:type="auto"/>
          <w:tblCellSpacing w:w="0" w:type="dxa"/>
        </w:trPr>
        <w:tc>
          <w:tcPr>
            <w:tcW w:w="0" w:type="auto"/>
            <w:noWrap w:val="0"/>
            <w:vAlign w:val="center"/>
          </w:tcPr>
          <w:p w14:paraId="4F3A0CA0">
            <w:r>
              <w:rPr>
                <w:rStyle w:val="10"/>
                <w:rFonts w:hint="eastAsia"/>
              </w:rPr>
              <w:t>总有效成分含量：</w:t>
            </w:r>
            <w:r>
              <w:rPr>
                <w:rFonts w:hint="eastAsia"/>
              </w:rPr>
              <w:t>350克/升</w:t>
            </w:r>
          </w:p>
        </w:tc>
      </w:tr>
      <w:tr w14:paraId="00A5C36F">
        <w:tblPrEx>
          <w:tblCellMar>
            <w:top w:w="0" w:type="dxa"/>
            <w:left w:w="0" w:type="dxa"/>
            <w:bottom w:w="0" w:type="dxa"/>
            <w:right w:w="0" w:type="dxa"/>
          </w:tblCellMar>
        </w:tblPrEx>
        <w:trPr>
          <w:wBefore w:w="0" w:type="auto"/>
          <w:tblCellSpacing w:w="0" w:type="dxa"/>
        </w:trPr>
        <w:tc>
          <w:tcPr>
            <w:tcW w:w="0" w:type="auto"/>
            <w:noWrap w:val="0"/>
            <w:vAlign w:val="center"/>
          </w:tcPr>
          <w:p w14:paraId="59688823">
            <w:r>
              <w:rPr>
                <w:rFonts w:hint="eastAsia"/>
              </w:rPr>
              <w:t xml:space="preserve">有效成分及其含量： </w:t>
            </w:r>
          </w:p>
          <w:p w14:paraId="1D740B25">
            <w:r>
              <w:rPr>
                <w:rFonts w:hint="eastAsia"/>
              </w:rPr>
              <w:t xml:space="preserve">    呋虫胺350克/升    </w:t>
            </w:r>
          </w:p>
        </w:tc>
      </w:tr>
      <w:tr w14:paraId="0BA0E1B8">
        <w:tblPrEx>
          <w:tblCellMar>
            <w:top w:w="0" w:type="dxa"/>
            <w:left w:w="0" w:type="dxa"/>
            <w:bottom w:w="0" w:type="dxa"/>
            <w:right w:w="0" w:type="dxa"/>
          </w:tblCellMar>
        </w:tblPrEx>
        <w:trPr>
          <w:wBefore w:w="0" w:type="auto"/>
          <w:tblCellSpacing w:w="0" w:type="dxa"/>
        </w:trPr>
        <w:tc>
          <w:tcPr>
            <w:tcW w:w="0" w:type="auto"/>
            <w:noWrap w:val="0"/>
            <w:vAlign w:val="center"/>
          </w:tcPr>
          <w:p w14:paraId="72EB8E5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8A9D1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E3BC8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45BA69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308B21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1D7C2C4">
                  <w:r>
                    <w:rPr>
                      <w:rStyle w:val="11"/>
                      <w:rFonts w:hint="eastAsia"/>
                    </w:rPr>
                    <w:t>施用方式</w:t>
                  </w:r>
                </w:p>
              </w:tc>
            </w:tr>
            <w:tr w14:paraId="407E45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8D17CF4">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E4BE62">
                  <w:r>
                    <w:rPr>
                      <w:rStyle w:val="11"/>
                      <w:rFonts w:hint="eastAsia"/>
                    </w:rPr>
                    <w:t>稻飞虱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383694">
                  <w:r>
                    <w:rPr>
                      <w:rStyle w:val="11"/>
                      <w:rFonts w:hint="eastAsia"/>
                    </w:rPr>
                    <w:t>18-26毫升/亩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5BB162">
                  <w:r>
                    <w:rPr>
                      <w:rStyle w:val="11"/>
                      <w:rFonts w:hint="eastAsia"/>
                    </w:rPr>
                    <w:t>喷雾</w:t>
                  </w:r>
                </w:p>
              </w:tc>
            </w:tr>
          </w:tbl>
          <w:p w14:paraId="14962323">
            <w:pPr>
              <w:rPr>
                <w:rFonts w:ascii="Times New Roman" w:hAnsi="Times New Roman" w:cs="Times New Roman"/>
                <w:sz w:val="20"/>
                <w:szCs w:val="20"/>
              </w:rPr>
            </w:pPr>
          </w:p>
        </w:tc>
      </w:tr>
      <w:tr w14:paraId="0D08777C">
        <w:tblPrEx>
          <w:tblCellMar>
            <w:top w:w="0" w:type="dxa"/>
            <w:left w:w="0" w:type="dxa"/>
            <w:bottom w:w="0" w:type="dxa"/>
            <w:right w:w="0" w:type="dxa"/>
          </w:tblCellMar>
        </w:tblPrEx>
        <w:trPr>
          <w:wBefore w:w="0" w:type="auto"/>
          <w:tblCellSpacing w:w="0" w:type="dxa"/>
        </w:trPr>
        <w:tc>
          <w:tcPr>
            <w:tcW w:w="0" w:type="auto"/>
            <w:noWrap w:val="0"/>
            <w:vAlign w:val="center"/>
          </w:tcPr>
          <w:p w14:paraId="651F8220">
            <w:r>
              <w:rPr>
                <w:rStyle w:val="10"/>
                <w:rFonts w:hint="eastAsia"/>
              </w:rPr>
              <w:t>使用技术要求:</w:t>
            </w:r>
            <w:r>
              <w:rPr>
                <w:rFonts w:hint="eastAsia"/>
              </w:rPr>
              <w:br w:type="textWrapping"/>
            </w:r>
            <w:r>
              <w:rPr>
                <w:rStyle w:val="11"/>
                <w:rFonts w:hint="eastAsia"/>
              </w:rPr>
              <w:t>1、应根据推荐剂量于水稻稻飞虱低龄若虫盛发期酌情施用。 2、大风天或预计1小时之内有雨，请勿施药。 3、本品每季作物最多使用3次，重复施药间隔7天，安全间隔期为21天，</w:t>
            </w:r>
          </w:p>
        </w:tc>
      </w:tr>
      <w:tr w14:paraId="3EA74CD1">
        <w:tblPrEx>
          <w:tblCellMar>
            <w:top w:w="0" w:type="dxa"/>
            <w:left w:w="0" w:type="dxa"/>
            <w:bottom w:w="0" w:type="dxa"/>
            <w:right w:w="0" w:type="dxa"/>
          </w:tblCellMar>
        </w:tblPrEx>
        <w:trPr>
          <w:wBefore w:w="0" w:type="auto"/>
          <w:tblCellSpacing w:w="0" w:type="dxa"/>
        </w:trPr>
        <w:tc>
          <w:tcPr>
            <w:tcW w:w="0" w:type="auto"/>
            <w:noWrap w:val="0"/>
            <w:vAlign w:val="center"/>
          </w:tcPr>
          <w:p w14:paraId="70F51ABE">
            <w:r>
              <w:rPr>
                <w:rStyle w:val="10"/>
                <w:rFonts w:hint="eastAsia"/>
              </w:rPr>
              <w:t>产品性能:</w:t>
            </w:r>
            <w:r>
              <w:rPr>
                <w:rFonts w:hint="eastAsia"/>
              </w:rPr>
              <w:br w:type="textWrapping"/>
            </w:r>
            <w:r>
              <w:rPr>
                <w:rStyle w:val="11"/>
                <w:rFonts w:hint="eastAsia"/>
              </w:rPr>
              <w:t>本品是第三代烟碱类杀虫剂，通过作用于昆虫神经传递系统和具有触杀、胃毒作用，可以快速被植物吸收并广泛分布于作物体内，从而有效防治水稻稻飞虱。</w:t>
            </w:r>
          </w:p>
        </w:tc>
      </w:tr>
      <w:tr w14:paraId="2D424A01">
        <w:tblPrEx>
          <w:tblCellMar>
            <w:top w:w="0" w:type="dxa"/>
            <w:left w:w="0" w:type="dxa"/>
            <w:bottom w:w="0" w:type="dxa"/>
            <w:right w:w="0" w:type="dxa"/>
          </w:tblCellMar>
        </w:tblPrEx>
        <w:trPr>
          <w:wBefore w:w="0" w:type="auto"/>
          <w:tblCellSpacing w:w="0" w:type="dxa"/>
        </w:trPr>
        <w:tc>
          <w:tcPr>
            <w:tcW w:w="0" w:type="auto"/>
            <w:noWrap w:val="0"/>
            <w:vAlign w:val="center"/>
          </w:tcPr>
          <w:p w14:paraId="33375CC0">
            <w:r>
              <w:rPr>
                <w:rStyle w:val="10"/>
                <w:rFonts w:hint="eastAsia"/>
              </w:rPr>
              <w:t>注意事项：</w:t>
            </w:r>
            <w:r>
              <w:rPr>
                <w:rFonts w:hint="eastAsia"/>
              </w:rPr>
              <w:br w:type="textWrapping"/>
            </w:r>
            <w:r>
              <w:rPr>
                <w:rStyle w:val="11"/>
                <w:rFonts w:hint="eastAsia"/>
              </w:rPr>
              <w:t>1. 请严格按照农药安全使用准则使用本品，每季最多使用3次。2. 本品对眼睛有刺激性，穿戴长衣、长裤、帽子、口罩、手套等防护措施。应避免药液接触皮肤、眼睛等身体部位。3. 本品对蜜蜂、家蚕和部分非靶标节肢动物高毒，（周围）开花植物花期禁用，且使用时应密切关注对附近蜂群的影响，蚕室及桑园附近禁用，赤眼蜂、瓢虫（或其他代表性天敌）等天敌放飞区禁用，谨慎施药。4. 水产养殖区、河塘等水体附近禁用。5. 施用时避免雾滴飘移到临近作物，以免产生药害。6. 操作本品时应禁止饮食、吸烟和饮水等。7. 施药后应及时洗澡，清洗防护用具和衣物等。8. 用过的容器应妥善处理，切勿重复使用或作他用，也不可随意丢弃。9. 药品及废液严禁污染各类水域、土壤等环境；严禁在河塘清洗施药器械。10. 禁止孕妇及哺乳期妇女接触本品。</w:t>
            </w:r>
          </w:p>
        </w:tc>
      </w:tr>
      <w:tr w14:paraId="5EF8FE65">
        <w:tblPrEx>
          <w:tblCellMar>
            <w:top w:w="0" w:type="dxa"/>
            <w:left w:w="0" w:type="dxa"/>
            <w:bottom w:w="0" w:type="dxa"/>
            <w:right w:w="0" w:type="dxa"/>
          </w:tblCellMar>
        </w:tblPrEx>
        <w:trPr>
          <w:wBefore w:w="0" w:type="auto"/>
          <w:tblCellSpacing w:w="0" w:type="dxa"/>
        </w:trPr>
        <w:tc>
          <w:tcPr>
            <w:tcW w:w="0" w:type="auto"/>
            <w:noWrap w:val="0"/>
            <w:vAlign w:val="center"/>
          </w:tcPr>
          <w:p w14:paraId="5D6F2AB4">
            <w:r>
              <w:rPr>
                <w:rStyle w:val="10"/>
                <w:rFonts w:hint="eastAsia"/>
              </w:rPr>
              <w:t>中毒急救措施：</w:t>
            </w:r>
            <w:r>
              <w:rPr>
                <w:rFonts w:hint="eastAsia"/>
              </w:rPr>
              <w:br w:type="textWrapping"/>
            </w:r>
            <w:r>
              <w:rPr>
                <w:rStyle w:val="11"/>
                <w:rFonts w:hint="eastAsia"/>
              </w:rPr>
              <w:t>用药时如果感觉不适，立即停止工作，采取急救措施，并携此标签送医就诊。皮肤接触：立即脱掉被污染的衣物，用大量清水冲洗被污染的皮肤，再用肥皂清洗，然后用清水冲净。如果皮肤发炎，请医生诊治。眼睛溅药：立即将眼睑翻开，用清水冲洗至少15分钟，再请医生诊治。误吸：立即将吸入者转移到空气新鲜处，注意保暖和休息，请医生诊治。误服：请勿引吐，立即携带标签，送医就诊。解毒剂：无专用解毒剂，对症治疗。</w:t>
            </w:r>
          </w:p>
        </w:tc>
      </w:tr>
      <w:tr w14:paraId="34DD7923">
        <w:tblPrEx>
          <w:tblCellMar>
            <w:top w:w="0" w:type="dxa"/>
            <w:left w:w="0" w:type="dxa"/>
            <w:bottom w:w="0" w:type="dxa"/>
            <w:right w:w="0" w:type="dxa"/>
          </w:tblCellMar>
        </w:tblPrEx>
        <w:trPr>
          <w:wBefore w:w="0" w:type="auto"/>
          <w:tblCellSpacing w:w="0" w:type="dxa"/>
        </w:trPr>
        <w:tc>
          <w:tcPr>
            <w:tcW w:w="0" w:type="auto"/>
            <w:noWrap w:val="0"/>
            <w:vAlign w:val="center"/>
          </w:tcPr>
          <w:p w14:paraId="1F30FAFE">
            <w:r>
              <w:rPr>
                <w:rStyle w:val="10"/>
                <w:rFonts w:hint="eastAsia"/>
              </w:rPr>
              <w:t>储存和运输方法：</w:t>
            </w:r>
            <w:r>
              <w:rPr>
                <w:rFonts w:hint="eastAsia"/>
              </w:rPr>
              <w:br w:type="textWrapping"/>
            </w:r>
            <w:r>
              <w:rPr>
                <w:rStyle w:val="11"/>
                <w:rFonts w:hint="eastAsia"/>
              </w:rPr>
              <w:t>1.置于儿童、无关人员触及不到之处，并加锁。 2. 勿与食品、饮料、饲料、粮食等同贮同运。严防潮湿和日晒。避免与具有氧化性物质接触或混合。 3. 应贮存于通风、干燥、阴凉的库房中，远离火源或热源。</w:t>
            </w:r>
          </w:p>
        </w:tc>
      </w:tr>
      <w:tr w14:paraId="319B0169">
        <w:tblPrEx>
          <w:tblCellMar>
            <w:top w:w="0" w:type="dxa"/>
            <w:left w:w="0" w:type="dxa"/>
            <w:bottom w:w="0" w:type="dxa"/>
            <w:right w:w="0" w:type="dxa"/>
          </w:tblCellMar>
        </w:tblPrEx>
        <w:trPr>
          <w:wBefore w:w="0" w:type="auto"/>
          <w:tblCellSpacing w:w="0" w:type="dxa"/>
        </w:trPr>
        <w:tc>
          <w:tcPr>
            <w:tcW w:w="0" w:type="auto"/>
            <w:noWrap w:val="0"/>
            <w:vAlign w:val="center"/>
          </w:tcPr>
          <w:p w14:paraId="5D571C1D">
            <w:r>
              <w:rPr>
                <w:rStyle w:val="10"/>
                <w:rFonts w:hint="eastAsia"/>
              </w:rPr>
              <w:t>质量保证期：</w:t>
            </w:r>
            <w:r>
              <w:rPr>
                <w:rStyle w:val="11"/>
                <w:rFonts w:hint="eastAsia"/>
              </w:rPr>
              <w:t>2年</w:t>
            </w:r>
          </w:p>
        </w:tc>
      </w:tr>
      <w:tr w14:paraId="079C8547">
        <w:tblPrEx>
          <w:tblCellMar>
            <w:top w:w="0" w:type="dxa"/>
            <w:left w:w="0" w:type="dxa"/>
            <w:bottom w:w="0" w:type="dxa"/>
            <w:right w:w="0" w:type="dxa"/>
          </w:tblCellMar>
        </w:tblPrEx>
        <w:trPr>
          <w:wBefore w:w="0" w:type="auto"/>
          <w:tblCellSpacing w:w="0" w:type="dxa"/>
        </w:trPr>
        <w:tc>
          <w:tcPr>
            <w:tcW w:w="0" w:type="auto"/>
            <w:noWrap w:val="0"/>
            <w:vAlign w:val="center"/>
          </w:tcPr>
          <w:p w14:paraId="60D2F7CF">
            <w:r>
              <w:rPr>
                <w:rStyle w:val="10"/>
                <w:rFonts w:hint="eastAsia"/>
              </w:rPr>
              <w:t>备注：</w:t>
            </w:r>
            <w:r>
              <w:rPr>
                <w:rFonts w:hint="eastAsia"/>
              </w:rPr>
              <w:br w:type="textWrapping"/>
            </w:r>
            <w:r>
              <w:rPr>
                <w:rStyle w:val="11"/>
                <w:rFonts w:hint="eastAsia"/>
              </w:rPr>
              <w:t>呋虫胺33.3%。</w:t>
            </w:r>
          </w:p>
        </w:tc>
      </w:tr>
    </w:tbl>
    <w:p w14:paraId="12BB9BD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9FE8BD">
        <w:tblPrEx>
          <w:tblCellMar>
            <w:top w:w="0" w:type="dxa"/>
            <w:left w:w="0" w:type="dxa"/>
            <w:bottom w:w="0" w:type="dxa"/>
            <w:right w:w="0" w:type="dxa"/>
          </w:tblCellMar>
        </w:tblPrEx>
        <w:trPr>
          <w:wBefore w:w="0" w:type="auto"/>
          <w:tblCellSpacing w:w="0" w:type="dxa"/>
        </w:trPr>
        <w:tc>
          <w:tcPr>
            <w:tcW w:w="0" w:type="auto"/>
            <w:noWrap w:val="0"/>
            <w:vAlign w:val="center"/>
          </w:tcPr>
          <w:p w14:paraId="4F6EC2E7">
            <w:r>
              <w:rPr>
                <w:rStyle w:val="10"/>
                <w:rFonts w:hint="eastAsia"/>
              </w:rPr>
              <w:t>登记证号：</w:t>
            </w:r>
            <w:r>
              <w:rPr>
                <w:rFonts w:hint="eastAsia"/>
              </w:rPr>
              <w:t>PD20212084</w:t>
            </w:r>
          </w:p>
        </w:tc>
      </w:tr>
      <w:tr w14:paraId="2C018E16">
        <w:tblPrEx>
          <w:tblCellMar>
            <w:top w:w="0" w:type="dxa"/>
            <w:left w:w="0" w:type="dxa"/>
            <w:bottom w:w="0" w:type="dxa"/>
            <w:right w:w="0" w:type="dxa"/>
          </w:tblCellMar>
        </w:tblPrEx>
        <w:trPr>
          <w:wBefore w:w="0" w:type="auto"/>
          <w:tblCellSpacing w:w="0" w:type="dxa"/>
        </w:trPr>
        <w:tc>
          <w:tcPr>
            <w:tcW w:w="0" w:type="auto"/>
            <w:noWrap w:val="0"/>
            <w:vAlign w:val="center"/>
          </w:tcPr>
          <w:p w14:paraId="25281C0E">
            <w:r>
              <w:rPr>
                <w:rStyle w:val="10"/>
                <w:rFonts w:hint="eastAsia"/>
              </w:rPr>
              <w:t>登记证持有人：</w:t>
            </w:r>
            <w:r>
              <w:rPr>
                <w:rFonts w:hint="eastAsia"/>
              </w:rPr>
              <w:t>祥霖美丰生物科技（淮安）有限公司</w:t>
            </w:r>
          </w:p>
        </w:tc>
      </w:tr>
      <w:tr w14:paraId="01380CB4">
        <w:tblPrEx>
          <w:tblCellMar>
            <w:top w:w="0" w:type="dxa"/>
            <w:left w:w="0" w:type="dxa"/>
            <w:bottom w:w="0" w:type="dxa"/>
            <w:right w:w="0" w:type="dxa"/>
          </w:tblCellMar>
        </w:tblPrEx>
        <w:trPr>
          <w:wBefore w:w="0" w:type="auto"/>
          <w:tblCellSpacing w:w="0" w:type="dxa"/>
        </w:trPr>
        <w:tc>
          <w:tcPr>
            <w:tcW w:w="0" w:type="auto"/>
            <w:noWrap w:val="0"/>
            <w:vAlign w:val="center"/>
          </w:tcPr>
          <w:p w14:paraId="70B3D5B2">
            <w:r>
              <w:rPr>
                <w:rStyle w:val="10"/>
                <w:rFonts w:hint="eastAsia"/>
              </w:rPr>
              <w:t>农药名称：</w:t>
            </w:r>
            <w:r>
              <w:rPr>
                <w:rFonts w:hint="eastAsia"/>
              </w:rPr>
              <w:t>甲基二磺隆·异丙隆</w:t>
            </w:r>
          </w:p>
        </w:tc>
      </w:tr>
      <w:tr w14:paraId="2FB3441E">
        <w:tblPrEx>
          <w:tblCellMar>
            <w:top w:w="0" w:type="dxa"/>
            <w:left w:w="0" w:type="dxa"/>
            <w:bottom w:w="0" w:type="dxa"/>
            <w:right w:w="0" w:type="dxa"/>
          </w:tblCellMar>
        </w:tblPrEx>
        <w:trPr>
          <w:wBefore w:w="0" w:type="auto"/>
          <w:tblCellSpacing w:w="0" w:type="dxa"/>
        </w:trPr>
        <w:tc>
          <w:tcPr>
            <w:tcW w:w="0" w:type="auto"/>
            <w:noWrap w:val="0"/>
            <w:vAlign w:val="center"/>
          </w:tcPr>
          <w:p w14:paraId="7F34D891">
            <w:r>
              <w:rPr>
                <w:rStyle w:val="10"/>
                <w:rFonts w:hint="eastAsia"/>
              </w:rPr>
              <w:t>剂型：</w:t>
            </w:r>
            <w:r>
              <w:rPr>
                <w:rFonts w:hint="eastAsia"/>
              </w:rPr>
              <w:t>可分散油悬浮剂</w:t>
            </w:r>
          </w:p>
        </w:tc>
      </w:tr>
      <w:tr w14:paraId="19A286D3">
        <w:tblPrEx>
          <w:tblCellMar>
            <w:top w:w="0" w:type="dxa"/>
            <w:left w:w="0" w:type="dxa"/>
            <w:bottom w:w="0" w:type="dxa"/>
            <w:right w:w="0" w:type="dxa"/>
          </w:tblCellMar>
        </w:tblPrEx>
        <w:trPr>
          <w:wBefore w:w="0" w:type="auto"/>
          <w:tblCellSpacing w:w="0" w:type="dxa"/>
        </w:trPr>
        <w:tc>
          <w:tcPr>
            <w:tcW w:w="0" w:type="auto"/>
            <w:noWrap w:val="0"/>
            <w:vAlign w:val="center"/>
          </w:tcPr>
          <w:p w14:paraId="4F4820EB">
            <w:r>
              <w:rPr>
                <w:rStyle w:val="10"/>
                <w:rFonts w:hint="eastAsia"/>
              </w:rPr>
              <w:t>毒性及其标识：</w:t>
            </w:r>
            <w:r>
              <w:rPr>
                <w:rFonts w:hint="eastAsia"/>
              </w:rPr>
              <w:t xml:space="preserve"> </w:t>
            </w:r>
            <w:r>
              <w:rPr>
                <w:lang/>
              </w:rPr>
              <w:drawing>
                <wp:inline distT="0" distB="0" distL="114300" distR="114300">
                  <wp:extent cx="476250" cy="323850"/>
                  <wp:effectExtent l="0" t="0" r="0" b="0"/>
                  <wp:docPr id="485" name="图片 48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538EB7">
        <w:tblPrEx>
          <w:tblCellMar>
            <w:top w:w="0" w:type="dxa"/>
            <w:left w:w="0" w:type="dxa"/>
            <w:bottom w:w="0" w:type="dxa"/>
            <w:right w:w="0" w:type="dxa"/>
          </w:tblCellMar>
        </w:tblPrEx>
        <w:trPr>
          <w:wBefore w:w="0" w:type="auto"/>
          <w:tblCellSpacing w:w="0" w:type="dxa"/>
        </w:trPr>
        <w:tc>
          <w:tcPr>
            <w:tcW w:w="0" w:type="auto"/>
            <w:noWrap w:val="0"/>
            <w:vAlign w:val="center"/>
          </w:tcPr>
          <w:p w14:paraId="292C90D2">
            <w:r>
              <w:rPr>
                <w:rStyle w:val="10"/>
                <w:rFonts w:hint="eastAsia"/>
              </w:rPr>
              <w:t>总有效成分含量：</w:t>
            </w:r>
            <w:r>
              <w:rPr>
                <w:rFonts w:hint="eastAsia"/>
              </w:rPr>
              <w:t>20%</w:t>
            </w:r>
          </w:p>
        </w:tc>
      </w:tr>
      <w:tr w14:paraId="602DAE9C">
        <w:tblPrEx>
          <w:tblCellMar>
            <w:top w:w="0" w:type="dxa"/>
            <w:left w:w="0" w:type="dxa"/>
            <w:bottom w:w="0" w:type="dxa"/>
            <w:right w:w="0" w:type="dxa"/>
          </w:tblCellMar>
        </w:tblPrEx>
        <w:trPr>
          <w:wBefore w:w="0" w:type="auto"/>
          <w:tblCellSpacing w:w="0" w:type="dxa"/>
        </w:trPr>
        <w:tc>
          <w:tcPr>
            <w:tcW w:w="0" w:type="auto"/>
            <w:noWrap w:val="0"/>
            <w:vAlign w:val="center"/>
          </w:tcPr>
          <w:p w14:paraId="1F736B89">
            <w:r>
              <w:rPr>
                <w:rFonts w:hint="eastAsia"/>
              </w:rPr>
              <w:t xml:space="preserve">有效成分及其含量： </w:t>
            </w:r>
          </w:p>
          <w:p w14:paraId="72281F6B">
            <w:r>
              <w:rPr>
                <w:rFonts w:hint="eastAsia"/>
              </w:rPr>
              <w:t xml:space="preserve">    甲基二磺隆0.4%    异丙隆19.6%    </w:t>
            </w:r>
          </w:p>
        </w:tc>
      </w:tr>
      <w:tr w14:paraId="7D73B2C6">
        <w:tblPrEx>
          <w:tblCellMar>
            <w:top w:w="0" w:type="dxa"/>
            <w:left w:w="0" w:type="dxa"/>
            <w:bottom w:w="0" w:type="dxa"/>
            <w:right w:w="0" w:type="dxa"/>
          </w:tblCellMar>
        </w:tblPrEx>
        <w:trPr>
          <w:wBefore w:w="0" w:type="auto"/>
          <w:tblCellSpacing w:w="0" w:type="dxa"/>
        </w:trPr>
        <w:tc>
          <w:tcPr>
            <w:tcW w:w="0" w:type="auto"/>
            <w:noWrap w:val="0"/>
            <w:vAlign w:val="center"/>
          </w:tcPr>
          <w:p w14:paraId="12BE6D9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469D8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52594D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320FB1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38AA8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4823EF">
                  <w:r>
                    <w:rPr>
                      <w:rStyle w:val="11"/>
                      <w:rFonts w:hint="eastAsia"/>
                    </w:rPr>
                    <w:t>施用方式</w:t>
                  </w:r>
                </w:p>
              </w:tc>
            </w:tr>
            <w:tr w14:paraId="39D69D9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DE1E619">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A823F0">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833167">
                  <w:r>
                    <w:rPr>
                      <w:rStyle w:val="11"/>
                      <w:rFonts w:hint="eastAsia"/>
                    </w:rPr>
                    <w:t>180-240毫升/亩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6C512D">
                  <w:r>
                    <w:rPr>
                      <w:rStyle w:val="11"/>
                      <w:rFonts w:hint="eastAsia"/>
                    </w:rPr>
                    <w:t>茎叶喷雾</w:t>
                  </w:r>
                </w:p>
              </w:tc>
            </w:tr>
          </w:tbl>
          <w:p w14:paraId="108FBAEE">
            <w:pPr>
              <w:rPr>
                <w:rFonts w:ascii="Times New Roman" w:hAnsi="Times New Roman" w:cs="Times New Roman"/>
                <w:sz w:val="20"/>
                <w:szCs w:val="20"/>
              </w:rPr>
            </w:pPr>
          </w:p>
        </w:tc>
      </w:tr>
      <w:tr w14:paraId="10A6A74C">
        <w:tblPrEx>
          <w:tblCellMar>
            <w:top w:w="0" w:type="dxa"/>
            <w:left w:w="0" w:type="dxa"/>
            <w:bottom w:w="0" w:type="dxa"/>
            <w:right w:w="0" w:type="dxa"/>
          </w:tblCellMar>
        </w:tblPrEx>
        <w:trPr>
          <w:wBefore w:w="0" w:type="auto"/>
          <w:tblCellSpacing w:w="0" w:type="dxa"/>
        </w:trPr>
        <w:tc>
          <w:tcPr>
            <w:tcW w:w="0" w:type="auto"/>
            <w:noWrap w:val="0"/>
            <w:vAlign w:val="center"/>
          </w:tcPr>
          <w:p w14:paraId="6BB092B4">
            <w:r>
              <w:rPr>
                <w:rStyle w:val="10"/>
                <w:rFonts w:hint="eastAsia"/>
              </w:rPr>
              <w:t>使用技术要求:</w:t>
            </w:r>
            <w:r>
              <w:rPr>
                <w:rFonts w:hint="eastAsia"/>
              </w:rPr>
              <w:br w:type="textWrapping"/>
            </w:r>
            <w:r>
              <w:rPr>
                <w:rStyle w:val="11"/>
                <w:rFonts w:hint="eastAsia"/>
              </w:rPr>
              <w:t>1.本品在冬小麦返青至拔节前，杂草2-4叶期，以推荐剂量对水茎叶喷雾施药一次。2.制剂用药量为180-240克/亩，亩用水量在30kg/亩。3.每季作物最多使用1次。4.尽量选择无风的天气施药，避免飘移药害。 5.甲基二磺隆对不同小麦品种安全性存在差异，大面积推广使用前应先开展小范围试验。</w:t>
            </w:r>
          </w:p>
        </w:tc>
      </w:tr>
      <w:tr w14:paraId="067197B0">
        <w:tblPrEx>
          <w:tblCellMar>
            <w:top w:w="0" w:type="dxa"/>
            <w:left w:w="0" w:type="dxa"/>
            <w:bottom w:w="0" w:type="dxa"/>
            <w:right w:w="0" w:type="dxa"/>
          </w:tblCellMar>
        </w:tblPrEx>
        <w:trPr>
          <w:wBefore w:w="0" w:type="auto"/>
          <w:tblCellSpacing w:w="0" w:type="dxa"/>
        </w:trPr>
        <w:tc>
          <w:tcPr>
            <w:tcW w:w="0" w:type="auto"/>
            <w:noWrap w:val="0"/>
            <w:vAlign w:val="center"/>
          </w:tcPr>
          <w:p w14:paraId="6CA75D60">
            <w:r>
              <w:rPr>
                <w:rStyle w:val="10"/>
                <w:rFonts w:hint="eastAsia"/>
              </w:rPr>
              <w:t>产品性能:</w:t>
            </w:r>
            <w:r>
              <w:rPr>
                <w:rFonts w:hint="eastAsia"/>
              </w:rPr>
              <w:br w:type="textWrapping"/>
            </w:r>
            <w:r>
              <w:rPr>
                <w:rStyle w:val="11"/>
                <w:rFonts w:hint="eastAsia"/>
              </w:rPr>
              <w:t>本品是由磺酰脲类的甲基二磺隆和取代脲类异丙隆加上安全剂吡唑解草酯复配而成的冬小麦田茎叶处理除草剂。能有效地防除冬小麦田中野燕麦、看麦娘、马唐、早熟禾、藜、碎米荠、荠菜、黑麦草、牛繁缕、雀舌草等一年生杂草。推荐剂量下使用安全。</w:t>
            </w:r>
          </w:p>
        </w:tc>
      </w:tr>
      <w:tr w14:paraId="4BD12512">
        <w:tblPrEx>
          <w:tblCellMar>
            <w:top w:w="0" w:type="dxa"/>
            <w:left w:w="0" w:type="dxa"/>
            <w:bottom w:w="0" w:type="dxa"/>
            <w:right w:w="0" w:type="dxa"/>
          </w:tblCellMar>
        </w:tblPrEx>
        <w:trPr>
          <w:wBefore w:w="0" w:type="auto"/>
          <w:tblCellSpacing w:w="0" w:type="dxa"/>
        </w:trPr>
        <w:tc>
          <w:tcPr>
            <w:tcW w:w="0" w:type="auto"/>
            <w:noWrap w:val="0"/>
            <w:vAlign w:val="center"/>
          </w:tcPr>
          <w:p w14:paraId="4A839E6B">
            <w:r>
              <w:rPr>
                <w:rStyle w:val="10"/>
                <w:rFonts w:hint="eastAsia"/>
              </w:rPr>
              <w:t>注意事项：</w:t>
            </w:r>
            <w:r>
              <w:rPr>
                <w:rFonts w:hint="eastAsia"/>
              </w:rPr>
              <w:br w:type="textWrapping"/>
            </w:r>
            <w:r>
              <w:rPr>
                <w:rStyle w:val="11"/>
                <w:rFonts w:hint="eastAsia"/>
              </w:rPr>
              <w:t>1、使用本品时，穿戴长衣、长裤、帽子、口罩、手套等安全防护措施，避免农药与皮肤接触或吸入。施药期间不可饮食、吸烟，施药后应及时洗手和洗脸等。2、鸟类保护区附近禁用。3、施用时若周围有桑园，最外围桑树为隔离带，不能用于饲养家蚕。4、赤眼蜂天敌放飞区域禁用。5、施药后彻底清洗施药器械，废水妥善处理，以免污染水源与环境。水产养殖区、河塘等水体附近禁用，禁止在河塘等水域清洗施药器具。 6、用过的包装物应妥善处理，不可另做他用，也不可随意丢弃。7、孕妇及哺乳期的妇女避免接触本品。</w:t>
            </w:r>
          </w:p>
        </w:tc>
      </w:tr>
      <w:tr w14:paraId="4DC9FA12">
        <w:tblPrEx>
          <w:tblCellMar>
            <w:top w:w="0" w:type="dxa"/>
            <w:left w:w="0" w:type="dxa"/>
            <w:bottom w:w="0" w:type="dxa"/>
            <w:right w:w="0" w:type="dxa"/>
          </w:tblCellMar>
        </w:tblPrEx>
        <w:trPr>
          <w:wBefore w:w="0" w:type="auto"/>
          <w:tblCellSpacing w:w="0" w:type="dxa"/>
        </w:trPr>
        <w:tc>
          <w:tcPr>
            <w:tcW w:w="0" w:type="auto"/>
            <w:noWrap w:val="0"/>
            <w:vAlign w:val="center"/>
          </w:tcPr>
          <w:p w14:paraId="1A7191C8">
            <w:r>
              <w:rPr>
                <w:rStyle w:val="10"/>
                <w:rFonts w:hint="eastAsia"/>
              </w:rPr>
              <w:t>中毒急救措施：</w:t>
            </w:r>
            <w:r>
              <w:rPr>
                <w:rFonts w:hint="eastAsia"/>
              </w:rPr>
              <w:br w:type="textWrapping"/>
            </w:r>
            <w:r>
              <w:rPr>
                <w:rStyle w:val="11"/>
                <w:rFonts w:hint="eastAsia"/>
              </w:rPr>
              <w:t>1．对眼睛有刺激性，使用时避免接触眼睛。2．眼睛溅药：对眼睛有刺激作用，溅入眼睛中，立即将眼睑翻开，用清水冲洗至少15分钟，再请医生诊治。不慎吸入应立即离开施药现场，转移到空气新鲜处。 3．皮肤接触：立即脱掉污染衣物，用大量清水冲洗被污染的皮肤，如皮肤刺激感持续，请医生诊治。4.误服：立即携带标签，送医就诊，没有专门的解毒药，根据中毒症状进行治疗。</w:t>
            </w:r>
          </w:p>
        </w:tc>
      </w:tr>
      <w:tr w14:paraId="3FD57FB1">
        <w:tblPrEx>
          <w:tblCellMar>
            <w:top w:w="0" w:type="dxa"/>
            <w:left w:w="0" w:type="dxa"/>
            <w:bottom w:w="0" w:type="dxa"/>
            <w:right w:w="0" w:type="dxa"/>
          </w:tblCellMar>
        </w:tblPrEx>
        <w:trPr>
          <w:wBefore w:w="0" w:type="auto"/>
          <w:tblCellSpacing w:w="0" w:type="dxa"/>
        </w:trPr>
        <w:tc>
          <w:tcPr>
            <w:tcW w:w="0" w:type="auto"/>
            <w:noWrap w:val="0"/>
            <w:vAlign w:val="center"/>
          </w:tcPr>
          <w:p w14:paraId="5A17C61F">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本品应贮存在干燥、阴凉、通风、防雨处，远离火源或热源。置于儿童触及不到之处，并加锁。勿与食品、饮料、粮食、饲料等物品同贮同运。运输时，必须严格执行国家及公司有关安全运输规定。</w:t>
            </w:r>
          </w:p>
        </w:tc>
      </w:tr>
      <w:tr w14:paraId="520E818E">
        <w:tblPrEx>
          <w:tblCellMar>
            <w:top w:w="0" w:type="dxa"/>
            <w:left w:w="0" w:type="dxa"/>
            <w:bottom w:w="0" w:type="dxa"/>
            <w:right w:w="0" w:type="dxa"/>
          </w:tblCellMar>
        </w:tblPrEx>
        <w:trPr>
          <w:wBefore w:w="0" w:type="auto"/>
          <w:tblCellSpacing w:w="0" w:type="dxa"/>
        </w:trPr>
        <w:tc>
          <w:tcPr>
            <w:tcW w:w="0" w:type="auto"/>
            <w:noWrap w:val="0"/>
            <w:vAlign w:val="center"/>
          </w:tcPr>
          <w:p w14:paraId="7DA7B6E2">
            <w:r>
              <w:rPr>
                <w:rStyle w:val="10"/>
                <w:rFonts w:hint="eastAsia"/>
              </w:rPr>
              <w:t>质量保证期：</w:t>
            </w:r>
            <w:r>
              <w:rPr>
                <w:rStyle w:val="11"/>
                <w:rFonts w:hint="eastAsia"/>
              </w:rPr>
              <w:t>2年</w:t>
            </w:r>
          </w:p>
        </w:tc>
      </w:tr>
      <w:tr w14:paraId="63F890AD">
        <w:tblPrEx>
          <w:tblCellMar>
            <w:top w:w="0" w:type="dxa"/>
            <w:left w:w="0" w:type="dxa"/>
            <w:bottom w:w="0" w:type="dxa"/>
            <w:right w:w="0" w:type="dxa"/>
          </w:tblCellMar>
        </w:tblPrEx>
        <w:trPr>
          <w:wBefore w:w="0" w:type="auto"/>
          <w:tblCellSpacing w:w="0" w:type="dxa"/>
        </w:trPr>
        <w:tc>
          <w:tcPr>
            <w:tcW w:w="0" w:type="auto"/>
            <w:noWrap w:val="0"/>
            <w:vAlign w:val="center"/>
          </w:tcPr>
          <w:p w14:paraId="1A5DF632">
            <w:r>
              <w:rPr>
                <w:rStyle w:val="10"/>
                <w:rFonts w:hint="eastAsia"/>
              </w:rPr>
              <w:t>备注：</w:t>
            </w:r>
          </w:p>
        </w:tc>
      </w:tr>
    </w:tbl>
    <w:p w14:paraId="6EDBF9E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4F6779">
        <w:tblPrEx>
          <w:tblCellMar>
            <w:top w:w="0" w:type="dxa"/>
            <w:left w:w="0" w:type="dxa"/>
            <w:bottom w:w="0" w:type="dxa"/>
            <w:right w:w="0" w:type="dxa"/>
          </w:tblCellMar>
        </w:tblPrEx>
        <w:trPr>
          <w:wBefore w:w="0" w:type="auto"/>
          <w:tblCellSpacing w:w="0" w:type="dxa"/>
        </w:trPr>
        <w:tc>
          <w:tcPr>
            <w:tcW w:w="0" w:type="auto"/>
            <w:noWrap w:val="0"/>
            <w:vAlign w:val="center"/>
          </w:tcPr>
          <w:p w14:paraId="0425F80D">
            <w:r>
              <w:rPr>
                <w:rStyle w:val="10"/>
                <w:rFonts w:hint="eastAsia"/>
              </w:rPr>
              <w:t>登记证号：</w:t>
            </w:r>
            <w:r>
              <w:rPr>
                <w:rFonts w:hint="eastAsia"/>
              </w:rPr>
              <w:t>PD20211889</w:t>
            </w:r>
          </w:p>
        </w:tc>
      </w:tr>
      <w:tr w14:paraId="6BD5C621">
        <w:tblPrEx>
          <w:tblCellMar>
            <w:top w:w="0" w:type="dxa"/>
            <w:left w:w="0" w:type="dxa"/>
            <w:bottom w:w="0" w:type="dxa"/>
            <w:right w:w="0" w:type="dxa"/>
          </w:tblCellMar>
        </w:tblPrEx>
        <w:trPr>
          <w:wBefore w:w="0" w:type="auto"/>
          <w:tblCellSpacing w:w="0" w:type="dxa"/>
        </w:trPr>
        <w:tc>
          <w:tcPr>
            <w:tcW w:w="0" w:type="auto"/>
            <w:noWrap w:val="0"/>
            <w:vAlign w:val="center"/>
          </w:tcPr>
          <w:p w14:paraId="3FEA2729">
            <w:r>
              <w:rPr>
                <w:rStyle w:val="10"/>
                <w:rFonts w:hint="eastAsia"/>
              </w:rPr>
              <w:t>登记证持有人：</w:t>
            </w:r>
            <w:r>
              <w:rPr>
                <w:rFonts w:hint="eastAsia"/>
              </w:rPr>
              <w:t>印度科门德国际有限公司</w:t>
            </w:r>
          </w:p>
        </w:tc>
      </w:tr>
      <w:tr w14:paraId="017E98E4">
        <w:tblPrEx>
          <w:tblCellMar>
            <w:top w:w="0" w:type="dxa"/>
            <w:left w:w="0" w:type="dxa"/>
            <w:bottom w:w="0" w:type="dxa"/>
            <w:right w:w="0" w:type="dxa"/>
          </w:tblCellMar>
        </w:tblPrEx>
        <w:trPr>
          <w:wBefore w:w="0" w:type="auto"/>
          <w:tblCellSpacing w:w="0" w:type="dxa"/>
        </w:trPr>
        <w:tc>
          <w:tcPr>
            <w:tcW w:w="0" w:type="auto"/>
            <w:noWrap w:val="0"/>
            <w:vAlign w:val="center"/>
          </w:tcPr>
          <w:p w14:paraId="613CB238">
            <w:r>
              <w:rPr>
                <w:rStyle w:val="10"/>
                <w:rFonts w:hint="eastAsia"/>
              </w:rPr>
              <w:t>农药名称：</w:t>
            </w:r>
            <w:r>
              <w:rPr>
                <w:rFonts w:hint="eastAsia"/>
              </w:rPr>
              <w:t>印楝籽提取物</w:t>
            </w:r>
          </w:p>
        </w:tc>
      </w:tr>
      <w:tr w14:paraId="3E128BFA">
        <w:tblPrEx>
          <w:tblCellMar>
            <w:top w:w="0" w:type="dxa"/>
            <w:left w:w="0" w:type="dxa"/>
            <w:bottom w:w="0" w:type="dxa"/>
            <w:right w:w="0" w:type="dxa"/>
          </w:tblCellMar>
        </w:tblPrEx>
        <w:trPr>
          <w:wBefore w:w="0" w:type="auto"/>
          <w:tblCellSpacing w:w="0" w:type="dxa"/>
        </w:trPr>
        <w:tc>
          <w:tcPr>
            <w:tcW w:w="0" w:type="auto"/>
            <w:noWrap w:val="0"/>
            <w:vAlign w:val="center"/>
          </w:tcPr>
          <w:p w14:paraId="6B952E28">
            <w:r>
              <w:rPr>
                <w:rStyle w:val="10"/>
                <w:rFonts w:hint="eastAsia"/>
              </w:rPr>
              <w:t>剂型：</w:t>
            </w:r>
            <w:r>
              <w:rPr>
                <w:rFonts w:hint="eastAsia"/>
              </w:rPr>
              <w:t>乳油</w:t>
            </w:r>
          </w:p>
        </w:tc>
      </w:tr>
      <w:tr w14:paraId="01996033">
        <w:tblPrEx>
          <w:tblCellMar>
            <w:top w:w="0" w:type="dxa"/>
            <w:left w:w="0" w:type="dxa"/>
            <w:bottom w:w="0" w:type="dxa"/>
            <w:right w:w="0" w:type="dxa"/>
          </w:tblCellMar>
        </w:tblPrEx>
        <w:trPr>
          <w:wBefore w:w="0" w:type="auto"/>
          <w:tblCellSpacing w:w="0" w:type="dxa"/>
        </w:trPr>
        <w:tc>
          <w:tcPr>
            <w:tcW w:w="0" w:type="auto"/>
            <w:noWrap w:val="0"/>
            <w:vAlign w:val="center"/>
          </w:tcPr>
          <w:p w14:paraId="2ABB9C11">
            <w:r>
              <w:rPr>
                <w:rStyle w:val="10"/>
                <w:rFonts w:hint="eastAsia"/>
              </w:rPr>
              <w:t>毒性及其标识：</w:t>
            </w:r>
            <w:r>
              <w:rPr>
                <w:rFonts w:hint="eastAsia"/>
              </w:rPr>
              <w:t xml:space="preserve"> </w:t>
            </w:r>
            <w:r>
              <w:rPr>
                <w:lang/>
              </w:rPr>
              <w:drawing>
                <wp:inline distT="0" distB="0" distL="114300" distR="114300">
                  <wp:extent cx="476250" cy="323850"/>
                  <wp:effectExtent l="0" t="0" r="0" b="0"/>
                  <wp:docPr id="486" name="图片 48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8B59106">
        <w:tblPrEx>
          <w:tblCellMar>
            <w:top w:w="0" w:type="dxa"/>
            <w:left w:w="0" w:type="dxa"/>
            <w:bottom w:w="0" w:type="dxa"/>
            <w:right w:w="0" w:type="dxa"/>
          </w:tblCellMar>
        </w:tblPrEx>
        <w:trPr>
          <w:wBefore w:w="0" w:type="auto"/>
          <w:tblCellSpacing w:w="0" w:type="dxa"/>
        </w:trPr>
        <w:tc>
          <w:tcPr>
            <w:tcW w:w="0" w:type="auto"/>
            <w:noWrap w:val="0"/>
            <w:vAlign w:val="center"/>
          </w:tcPr>
          <w:p w14:paraId="26C039F6">
            <w:r>
              <w:rPr>
                <w:rStyle w:val="10"/>
                <w:rFonts w:hint="eastAsia"/>
              </w:rPr>
              <w:t>总有效成分含量：</w:t>
            </w:r>
            <w:r>
              <w:rPr>
                <w:rFonts w:hint="eastAsia"/>
              </w:rPr>
              <w:t>0.6%</w:t>
            </w:r>
          </w:p>
        </w:tc>
      </w:tr>
      <w:tr w14:paraId="064CA82D">
        <w:tblPrEx>
          <w:tblCellMar>
            <w:top w:w="0" w:type="dxa"/>
            <w:left w:w="0" w:type="dxa"/>
            <w:bottom w:w="0" w:type="dxa"/>
            <w:right w:w="0" w:type="dxa"/>
          </w:tblCellMar>
        </w:tblPrEx>
        <w:trPr>
          <w:wBefore w:w="0" w:type="auto"/>
          <w:tblCellSpacing w:w="0" w:type="dxa"/>
        </w:trPr>
        <w:tc>
          <w:tcPr>
            <w:tcW w:w="0" w:type="auto"/>
            <w:noWrap w:val="0"/>
            <w:vAlign w:val="center"/>
          </w:tcPr>
          <w:p w14:paraId="04DEB0D4">
            <w:r>
              <w:rPr>
                <w:rFonts w:hint="eastAsia"/>
              </w:rPr>
              <w:t xml:space="preserve">有效成分及其含量： </w:t>
            </w:r>
          </w:p>
          <w:p w14:paraId="532EF4FE">
            <w:r>
              <w:rPr>
                <w:rFonts w:hint="eastAsia"/>
              </w:rPr>
              <w:t xml:space="preserve">    印楝素0.6%    </w:t>
            </w:r>
          </w:p>
        </w:tc>
      </w:tr>
      <w:tr w14:paraId="542E0410">
        <w:tblPrEx>
          <w:tblCellMar>
            <w:top w:w="0" w:type="dxa"/>
            <w:left w:w="0" w:type="dxa"/>
            <w:bottom w:w="0" w:type="dxa"/>
            <w:right w:w="0" w:type="dxa"/>
          </w:tblCellMar>
        </w:tblPrEx>
        <w:trPr>
          <w:wBefore w:w="0" w:type="auto"/>
          <w:tblCellSpacing w:w="0" w:type="dxa"/>
        </w:trPr>
        <w:tc>
          <w:tcPr>
            <w:tcW w:w="0" w:type="auto"/>
            <w:noWrap w:val="0"/>
            <w:vAlign w:val="center"/>
          </w:tcPr>
          <w:p w14:paraId="38B53CE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59CE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D307DE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B085F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3F2C74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1D8165">
                  <w:r>
                    <w:rPr>
                      <w:rStyle w:val="11"/>
                      <w:rFonts w:hint="eastAsia"/>
                    </w:rPr>
                    <w:t>施用方式</w:t>
                  </w:r>
                </w:p>
              </w:tc>
            </w:tr>
            <w:tr w14:paraId="411D8F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960BCEB">
                  <w:r>
                    <w:rPr>
                      <w:rStyle w:val="11"/>
                      <w:rFonts w:hint="eastAsia"/>
                    </w:rPr>
                    <w:t>枸杞</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8B3EB7">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81DB20">
                  <w:r>
                    <w:rPr>
                      <w:rStyle w:val="11"/>
                      <w:rFonts w:hint="eastAsia"/>
                    </w:rPr>
                    <w:t>400-600倍液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AEAA13">
                  <w:r>
                    <w:rPr>
                      <w:rStyle w:val="11"/>
                      <w:rFonts w:hint="eastAsia"/>
                    </w:rPr>
                    <w:t>喷雾</w:t>
                  </w:r>
                </w:p>
              </w:tc>
            </w:tr>
          </w:tbl>
          <w:p w14:paraId="62499E44">
            <w:pPr>
              <w:rPr>
                <w:rFonts w:ascii="Times New Roman" w:hAnsi="Times New Roman" w:cs="Times New Roman"/>
                <w:sz w:val="20"/>
                <w:szCs w:val="20"/>
              </w:rPr>
            </w:pPr>
          </w:p>
        </w:tc>
      </w:tr>
      <w:tr w14:paraId="02C66C88">
        <w:tblPrEx>
          <w:tblCellMar>
            <w:top w:w="0" w:type="dxa"/>
            <w:left w:w="0" w:type="dxa"/>
            <w:bottom w:w="0" w:type="dxa"/>
            <w:right w:w="0" w:type="dxa"/>
          </w:tblCellMar>
        </w:tblPrEx>
        <w:trPr>
          <w:wBefore w:w="0" w:type="auto"/>
          <w:tblCellSpacing w:w="0" w:type="dxa"/>
        </w:trPr>
        <w:tc>
          <w:tcPr>
            <w:tcW w:w="0" w:type="auto"/>
            <w:noWrap w:val="0"/>
            <w:vAlign w:val="center"/>
          </w:tcPr>
          <w:p w14:paraId="2B9ECE4A">
            <w:r>
              <w:rPr>
                <w:rStyle w:val="10"/>
                <w:rFonts w:hint="eastAsia"/>
              </w:rPr>
              <w:t>使用技术要求:</w:t>
            </w:r>
            <w:r>
              <w:rPr>
                <w:rFonts w:hint="eastAsia"/>
              </w:rPr>
              <w:br w:type="textWrapping"/>
            </w:r>
            <w:r>
              <w:rPr>
                <w:rStyle w:val="11"/>
                <w:rFonts w:hint="eastAsia"/>
              </w:rPr>
              <w:t>1.本品应于害虫卵孵盛期或低龄幼虫期施药，视虫害发生情况，每7-10天左右施药1次，可连续用药2次。2.摇匀使用，顺风喷雾，均匀喷施， 大风天或预计6小时内降雨，请勿施药。阴天或傍晚施药为宜。3. 安全间隔期为5天，每季最多使用3次。</w:t>
            </w:r>
          </w:p>
        </w:tc>
      </w:tr>
      <w:tr w14:paraId="47B32E01">
        <w:tblPrEx>
          <w:tblCellMar>
            <w:top w:w="0" w:type="dxa"/>
            <w:left w:w="0" w:type="dxa"/>
            <w:bottom w:w="0" w:type="dxa"/>
            <w:right w:w="0" w:type="dxa"/>
          </w:tblCellMar>
        </w:tblPrEx>
        <w:trPr>
          <w:wBefore w:w="0" w:type="auto"/>
          <w:tblCellSpacing w:w="0" w:type="dxa"/>
        </w:trPr>
        <w:tc>
          <w:tcPr>
            <w:tcW w:w="0" w:type="auto"/>
            <w:noWrap w:val="0"/>
            <w:vAlign w:val="center"/>
          </w:tcPr>
          <w:p w14:paraId="3E485CFD">
            <w:r>
              <w:rPr>
                <w:rStyle w:val="10"/>
                <w:rFonts w:hint="eastAsia"/>
              </w:rPr>
              <w:t>产品性能:</w:t>
            </w:r>
            <w:r>
              <w:rPr>
                <w:rFonts w:hint="eastAsia"/>
              </w:rPr>
              <w:br w:type="textWrapping"/>
            </w:r>
            <w:r>
              <w:rPr>
                <w:rStyle w:val="11"/>
                <w:rFonts w:hint="eastAsia"/>
              </w:rPr>
              <w:t>本品属植物源杀虫剂，具有拒食、忌避和抑制昆虫生长发育的作用。</w:t>
            </w:r>
          </w:p>
        </w:tc>
      </w:tr>
      <w:tr w14:paraId="00CB67C2">
        <w:tblPrEx>
          <w:tblCellMar>
            <w:top w:w="0" w:type="dxa"/>
            <w:left w:w="0" w:type="dxa"/>
            <w:bottom w:w="0" w:type="dxa"/>
            <w:right w:w="0" w:type="dxa"/>
          </w:tblCellMar>
        </w:tblPrEx>
        <w:trPr>
          <w:wBefore w:w="0" w:type="auto"/>
          <w:tblCellSpacing w:w="0" w:type="dxa"/>
        </w:trPr>
        <w:tc>
          <w:tcPr>
            <w:tcW w:w="0" w:type="auto"/>
            <w:noWrap w:val="0"/>
            <w:vAlign w:val="center"/>
          </w:tcPr>
          <w:p w14:paraId="21D4D53E">
            <w:r>
              <w:rPr>
                <w:rStyle w:val="10"/>
                <w:rFonts w:hint="eastAsia"/>
              </w:rPr>
              <w:t>注意事项：</w:t>
            </w:r>
            <w:r>
              <w:rPr>
                <w:rFonts w:hint="eastAsia"/>
              </w:rPr>
              <w:br w:type="textWrapping"/>
            </w:r>
            <w:r>
              <w:rPr>
                <w:rStyle w:val="11"/>
                <w:rFonts w:hint="eastAsia"/>
              </w:rPr>
              <w:t>1、本产品不可与碱性农药、碱性肥料和碱性水混合使用。2、使用本品时应穿戴防护服和手套等，避免接触眼睛和吸入药液，施药期间不可吃东西、饮水等。施药后应及时洗手和洗脸等。3、为避免产生抗性，可与其他作用机制不同的杀虫剂轮换使用。4、水产养殖区、河塘等水体附近禁用，禁止在河塘等水域清洗施药器具；桑园及蚕室附近禁用。5、孕妇及哺乳期妇女避免接触本品。6、用过的容器应妥善处理，不可做他用，也不可随意丢弃。</w:t>
            </w:r>
          </w:p>
        </w:tc>
      </w:tr>
      <w:tr w14:paraId="5AD8197E">
        <w:tblPrEx>
          <w:tblCellMar>
            <w:top w:w="0" w:type="dxa"/>
            <w:left w:w="0" w:type="dxa"/>
            <w:bottom w:w="0" w:type="dxa"/>
            <w:right w:w="0" w:type="dxa"/>
          </w:tblCellMar>
        </w:tblPrEx>
        <w:trPr>
          <w:wBefore w:w="0" w:type="auto"/>
          <w:tblCellSpacing w:w="0" w:type="dxa"/>
        </w:trPr>
        <w:tc>
          <w:tcPr>
            <w:tcW w:w="0" w:type="auto"/>
            <w:noWrap w:val="0"/>
            <w:vAlign w:val="center"/>
          </w:tcPr>
          <w:p w14:paraId="2AE09EBF">
            <w:r>
              <w:rPr>
                <w:rStyle w:val="10"/>
                <w:rFonts w:hint="eastAsia"/>
              </w:rPr>
              <w:t>中毒急救措施：</w:t>
            </w:r>
            <w:r>
              <w:rPr>
                <w:rFonts w:hint="eastAsia"/>
              </w:rPr>
              <w:br w:type="textWrapping"/>
            </w:r>
            <w:r>
              <w:rPr>
                <w:rStyle w:val="11"/>
                <w:rFonts w:hint="eastAsia"/>
              </w:rPr>
              <w:t xml:space="preserve">皮肤接触：大量肥皂水和清水冲洗皮肤，如果刺激继续，请就医。 眼睛接触：流动水冲洗，如果严重，需去就医。 吸 入：移到通风处，呼吸新鲜空气。 食 入：送医院对症治疗。 </w:t>
            </w:r>
          </w:p>
        </w:tc>
      </w:tr>
      <w:tr w14:paraId="06D191BD">
        <w:tblPrEx>
          <w:tblCellMar>
            <w:top w:w="0" w:type="dxa"/>
            <w:left w:w="0" w:type="dxa"/>
            <w:bottom w:w="0" w:type="dxa"/>
            <w:right w:w="0" w:type="dxa"/>
          </w:tblCellMar>
        </w:tblPrEx>
        <w:trPr>
          <w:wBefore w:w="0" w:type="auto"/>
          <w:tblCellSpacing w:w="0" w:type="dxa"/>
        </w:trPr>
        <w:tc>
          <w:tcPr>
            <w:tcW w:w="0" w:type="auto"/>
            <w:noWrap w:val="0"/>
            <w:vAlign w:val="center"/>
          </w:tcPr>
          <w:p w14:paraId="5354240C">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本品应贮存在干燥、阴凉、通风、防雨处，远离火源或热源。置于儿童触及不到之处，并加锁。勿与食品、饮料、饲料等其它商品同贮同运。</w:t>
            </w:r>
          </w:p>
        </w:tc>
      </w:tr>
      <w:tr w14:paraId="4B69A053">
        <w:tblPrEx>
          <w:tblCellMar>
            <w:top w:w="0" w:type="dxa"/>
            <w:left w:w="0" w:type="dxa"/>
            <w:bottom w:w="0" w:type="dxa"/>
            <w:right w:w="0" w:type="dxa"/>
          </w:tblCellMar>
        </w:tblPrEx>
        <w:trPr>
          <w:wBefore w:w="0" w:type="auto"/>
          <w:tblCellSpacing w:w="0" w:type="dxa"/>
        </w:trPr>
        <w:tc>
          <w:tcPr>
            <w:tcW w:w="0" w:type="auto"/>
            <w:noWrap w:val="0"/>
            <w:vAlign w:val="center"/>
          </w:tcPr>
          <w:p w14:paraId="2423ED2A">
            <w:r>
              <w:rPr>
                <w:rStyle w:val="10"/>
                <w:rFonts w:hint="eastAsia"/>
              </w:rPr>
              <w:t>质量保证期：</w:t>
            </w:r>
            <w:r>
              <w:rPr>
                <w:rStyle w:val="11"/>
                <w:rFonts w:hint="eastAsia"/>
              </w:rPr>
              <w:t>2年</w:t>
            </w:r>
          </w:p>
        </w:tc>
      </w:tr>
      <w:tr w14:paraId="4FB87D97">
        <w:tblPrEx>
          <w:tblCellMar>
            <w:top w:w="0" w:type="dxa"/>
            <w:left w:w="0" w:type="dxa"/>
            <w:bottom w:w="0" w:type="dxa"/>
            <w:right w:w="0" w:type="dxa"/>
          </w:tblCellMar>
        </w:tblPrEx>
        <w:trPr>
          <w:wBefore w:w="0" w:type="auto"/>
          <w:tblCellSpacing w:w="0" w:type="dxa"/>
        </w:trPr>
        <w:tc>
          <w:tcPr>
            <w:tcW w:w="0" w:type="auto"/>
            <w:noWrap w:val="0"/>
            <w:vAlign w:val="center"/>
          </w:tcPr>
          <w:p w14:paraId="1692744B">
            <w:r>
              <w:rPr>
                <w:rStyle w:val="10"/>
                <w:rFonts w:hint="eastAsia"/>
              </w:rPr>
              <w:t>备注：</w:t>
            </w:r>
          </w:p>
        </w:tc>
      </w:tr>
    </w:tbl>
    <w:p w14:paraId="2FBDF6B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609C7F9">
        <w:tblPrEx>
          <w:tblCellMar>
            <w:top w:w="0" w:type="dxa"/>
            <w:left w:w="0" w:type="dxa"/>
            <w:bottom w:w="0" w:type="dxa"/>
            <w:right w:w="0" w:type="dxa"/>
          </w:tblCellMar>
        </w:tblPrEx>
        <w:trPr>
          <w:wBefore w:w="0" w:type="auto"/>
          <w:tblCellSpacing w:w="0" w:type="dxa"/>
        </w:trPr>
        <w:tc>
          <w:tcPr>
            <w:tcW w:w="0" w:type="auto"/>
            <w:noWrap w:val="0"/>
            <w:vAlign w:val="center"/>
          </w:tcPr>
          <w:p w14:paraId="2B389169">
            <w:r>
              <w:rPr>
                <w:rStyle w:val="10"/>
                <w:rFonts w:hint="eastAsia"/>
              </w:rPr>
              <w:t>登记证号：</w:t>
            </w:r>
            <w:r>
              <w:rPr>
                <w:rFonts w:hint="eastAsia"/>
              </w:rPr>
              <w:t>PD20212229</w:t>
            </w:r>
          </w:p>
        </w:tc>
      </w:tr>
      <w:tr w14:paraId="0C95F6C8">
        <w:tblPrEx>
          <w:tblCellMar>
            <w:top w:w="0" w:type="dxa"/>
            <w:left w:w="0" w:type="dxa"/>
            <w:bottom w:w="0" w:type="dxa"/>
            <w:right w:w="0" w:type="dxa"/>
          </w:tblCellMar>
        </w:tblPrEx>
        <w:trPr>
          <w:wBefore w:w="0" w:type="auto"/>
          <w:tblCellSpacing w:w="0" w:type="dxa"/>
        </w:trPr>
        <w:tc>
          <w:tcPr>
            <w:tcW w:w="0" w:type="auto"/>
            <w:noWrap w:val="0"/>
            <w:vAlign w:val="center"/>
          </w:tcPr>
          <w:p w14:paraId="6ECC32C2">
            <w:r>
              <w:rPr>
                <w:rStyle w:val="10"/>
                <w:rFonts w:hint="eastAsia"/>
              </w:rPr>
              <w:t>登记证持有人：</w:t>
            </w:r>
            <w:r>
              <w:rPr>
                <w:rFonts w:hint="eastAsia"/>
              </w:rPr>
              <w:t>利尔化学股份有限公司</w:t>
            </w:r>
          </w:p>
        </w:tc>
      </w:tr>
      <w:tr w14:paraId="33A57E21">
        <w:tblPrEx>
          <w:tblCellMar>
            <w:top w:w="0" w:type="dxa"/>
            <w:left w:w="0" w:type="dxa"/>
            <w:bottom w:w="0" w:type="dxa"/>
            <w:right w:w="0" w:type="dxa"/>
          </w:tblCellMar>
        </w:tblPrEx>
        <w:trPr>
          <w:wBefore w:w="0" w:type="auto"/>
          <w:tblCellSpacing w:w="0" w:type="dxa"/>
        </w:trPr>
        <w:tc>
          <w:tcPr>
            <w:tcW w:w="0" w:type="auto"/>
            <w:noWrap w:val="0"/>
            <w:vAlign w:val="center"/>
          </w:tcPr>
          <w:p w14:paraId="0555CA33">
            <w:r>
              <w:rPr>
                <w:rStyle w:val="10"/>
                <w:rFonts w:hint="eastAsia"/>
              </w:rPr>
              <w:t>农药名称：</w:t>
            </w:r>
            <w:r>
              <w:rPr>
                <w:rFonts w:hint="eastAsia"/>
              </w:rPr>
              <w:t>精草铵膦铵盐</w:t>
            </w:r>
          </w:p>
        </w:tc>
      </w:tr>
      <w:tr w14:paraId="134FB166">
        <w:tblPrEx>
          <w:tblCellMar>
            <w:top w:w="0" w:type="dxa"/>
            <w:left w:w="0" w:type="dxa"/>
            <w:bottom w:w="0" w:type="dxa"/>
            <w:right w:w="0" w:type="dxa"/>
          </w:tblCellMar>
        </w:tblPrEx>
        <w:trPr>
          <w:wBefore w:w="0" w:type="auto"/>
          <w:tblCellSpacing w:w="0" w:type="dxa"/>
        </w:trPr>
        <w:tc>
          <w:tcPr>
            <w:tcW w:w="0" w:type="auto"/>
            <w:noWrap w:val="0"/>
            <w:vAlign w:val="center"/>
          </w:tcPr>
          <w:p w14:paraId="093F60F5">
            <w:r>
              <w:rPr>
                <w:rStyle w:val="10"/>
                <w:rFonts w:hint="eastAsia"/>
              </w:rPr>
              <w:t>剂型：</w:t>
            </w:r>
            <w:r>
              <w:rPr>
                <w:rFonts w:hint="eastAsia"/>
              </w:rPr>
              <w:t>可溶液剂</w:t>
            </w:r>
          </w:p>
        </w:tc>
      </w:tr>
      <w:tr w14:paraId="53FB9573">
        <w:tblPrEx>
          <w:tblCellMar>
            <w:top w:w="0" w:type="dxa"/>
            <w:left w:w="0" w:type="dxa"/>
            <w:bottom w:w="0" w:type="dxa"/>
            <w:right w:w="0" w:type="dxa"/>
          </w:tblCellMar>
        </w:tblPrEx>
        <w:trPr>
          <w:wBefore w:w="0" w:type="auto"/>
          <w:tblCellSpacing w:w="0" w:type="dxa"/>
        </w:trPr>
        <w:tc>
          <w:tcPr>
            <w:tcW w:w="0" w:type="auto"/>
            <w:noWrap w:val="0"/>
            <w:vAlign w:val="center"/>
          </w:tcPr>
          <w:p w14:paraId="6EC7FDB7">
            <w:r>
              <w:rPr>
                <w:rStyle w:val="10"/>
                <w:rFonts w:hint="eastAsia"/>
              </w:rPr>
              <w:t>毒性及其标识：</w:t>
            </w:r>
            <w:r>
              <w:rPr>
                <w:rFonts w:hint="eastAsia"/>
              </w:rPr>
              <w:t xml:space="preserve"> </w:t>
            </w:r>
            <w:r>
              <w:rPr>
                <w:lang/>
              </w:rPr>
              <w:drawing>
                <wp:inline distT="0" distB="0" distL="114300" distR="114300">
                  <wp:extent cx="476250" cy="323850"/>
                  <wp:effectExtent l="0" t="0" r="0" b="0"/>
                  <wp:docPr id="487" name="图片 48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0F50B2A">
        <w:tblPrEx>
          <w:tblCellMar>
            <w:top w:w="0" w:type="dxa"/>
            <w:left w:w="0" w:type="dxa"/>
            <w:bottom w:w="0" w:type="dxa"/>
            <w:right w:w="0" w:type="dxa"/>
          </w:tblCellMar>
        </w:tblPrEx>
        <w:trPr>
          <w:wBefore w:w="0" w:type="auto"/>
          <w:tblCellSpacing w:w="0" w:type="dxa"/>
        </w:trPr>
        <w:tc>
          <w:tcPr>
            <w:tcW w:w="0" w:type="auto"/>
            <w:noWrap w:val="0"/>
            <w:vAlign w:val="center"/>
          </w:tcPr>
          <w:p w14:paraId="4D78C050">
            <w:r>
              <w:rPr>
                <w:rStyle w:val="10"/>
                <w:rFonts w:hint="eastAsia"/>
              </w:rPr>
              <w:t>总有效成分含量：</w:t>
            </w:r>
            <w:r>
              <w:rPr>
                <w:rFonts w:hint="eastAsia"/>
              </w:rPr>
              <w:t>10%</w:t>
            </w:r>
          </w:p>
        </w:tc>
      </w:tr>
      <w:tr w14:paraId="6313AD6E">
        <w:tblPrEx>
          <w:tblCellMar>
            <w:top w:w="0" w:type="dxa"/>
            <w:left w:w="0" w:type="dxa"/>
            <w:bottom w:w="0" w:type="dxa"/>
            <w:right w:w="0" w:type="dxa"/>
          </w:tblCellMar>
        </w:tblPrEx>
        <w:trPr>
          <w:wBefore w:w="0" w:type="auto"/>
          <w:tblCellSpacing w:w="0" w:type="dxa"/>
        </w:trPr>
        <w:tc>
          <w:tcPr>
            <w:tcW w:w="0" w:type="auto"/>
            <w:noWrap w:val="0"/>
            <w:vAlign w:val="center"/>
          </w:tcPr>
          <w:p w14:paraId="7FC8CDFB">
            <w:r>
              <w:rPr>
                <w:rFonts w:hint="eastAsia"/>
              </w:rPr>
              <w:t xml:space="preserve">有效成分及其含量： </w:t>
            </w:r>
          </w:p>
          <w:p w14:paraId="77787AF6">
            <w:r>
              <w:rPr>
                <w:rFonts w:hint="eastAsia"/>
              </w:rPr>
              <w:t xml:space="preserve">    精草铵膦10%    </w:t>
            </w:r>
          </w:p>
        </w:tc>
      </w:tr>
      <w:tr w14:paraId="594633EA">
        <w:tblPrEx>
          <w:tblCellMar>
            <w:top w:w="0" w:type="dxa"/>
            <w:left w:w="0" w:type="dxa"/>
            <w:bottom w:w="0" w:type="dxa"/>
            <w:right w:w="0" w:type="dxa"/>
          </w:tblCellMar>
        </w:tblPrEx>
        <w:trPr>
          <w:wBefore w:w="0" w:type="auto"/>
          <w:tblCellSpacing w:w="0" w:type="dxa"/>
        </w:trPr>
        <w:tc>
          <w:tcPr>
            <w:tcW w:w="0" w:type="auto"/>
            <w:noWrap w:val="0"/>
            <w:vAlign w:val="center"/>
          </w:tcPr>
          <w:p w14:paraId="71618CE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01022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AF5AB9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BEF28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FE1837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0D53132">
                  <w:r>
                    <w:rPr>
                      <w:rStyle w:val="11"/>
                      <w:rFonts w:hint="eastAsia"/>
                    </w:rPr>
                    <w:t>施用方式</w:t>
                  </w:r>
                </w:p>
              </w:tc>
            </w:tr>
            <w:tr w14:paraId="08E8EB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0D5C873">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23D66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CBDDB2">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1BD0E5">
                  <w:r>
                    <w:rPr>
                      <w:rStyle w:val="11"/>
                      <w:rFonts w:hint="eastAsia"/>
                    </w:rPr>
                    <w:t>茎叶喷雾</w:t>
                  </w:r>
                </w:p>
              </w:tc>
            </w:tr>
          </w:tbl>
          <w:p w14:paraId="3E7CB431">
            <w:pPr>
              <w:rPr>
                <w:rFonts w:ascii="Times New Roman" w:hAnsi="Times New Roman" w:cs="Times New Roman"/>
                <w:sz w:val="20"/>
                <w:szCs w:val="20"/>
              </w:rPr>
            </w:pPr>
          </w:p>
        </w:tc>
      </w:tr>
      <w:tr w14:paraId="3007869A">
        <w:tblPrEx>
          <w:tblCellMar>
            <w:top w:w="0" w:type="dxa"/>
            <w:left w:w="0" w:type="dxa"/>
            <w:bottom w:w="0" w:type="dxa"/>
            <w:right w:w="0" w:type="dxa"/>
          </w:tblCellMar>
        </w:tblPrEx>
        <w:trPr>
          <w:wBefore w:w="0" w:type="auto"/>
          <w:tblCellSpacing w:w="0" w:type="dxa"/>
        </w:trPr>
        <w:tc>
          <w:tcPr>
            <w:tcW w:w="0" w:type="auto"/>
            <w:noWrap w:val="0"/>
            <w:vAlign w:val="center"/>
          </w:tcPr>
          <w:p w14:paraId="376C9E44">
            <w:r>
              <w:rPr>
                <w:rStyle w:val="10"/>
                <w:rFonts w:hint="eastAsia"/>
              </w:rPr>
              <w:t>使用技术要求:</w:t>
            </w:r>
            <w:r>
              <w:rPr>
                <w:rFonts w:hint="eastAsia"/>
              </w:rPr>
              <w:br w:type="textWrapping"/>
            </w:r>
            <w:r>
              <w:rPr>
                <w:rStyle w:val="11"/>
                <w:rFonts w:hint="eastAsia"/>
              </w:rPr>
              <w:t>1. 在非耕地杂草生长旺盛期茎叶均匀喷雾，确保杂草喷湿喷透。若杂草草龄较大或杂草密度较大时应增加用药量。2. 避免飘移药害；禁止在田间道路、田埂、果树行间、休耕地、林场林地等农林业区域使用。</w:t>
            </w:r>
          </w:p>
        </w:tc>
      </w:tr>
      <w:tr w14:paraId="34A2476B">
        <w:tblPrEx>
          <w:tblCellMar>
            <w:top w:w="0" w:type="dxa"/>
            <w:left w:w="0" w:type="dxa"/>
            <w:bottom w:w="0" w:type="dxa"/>
            <w:right w:w="0" w:type="dxa"/>
          </w:tblCellMar>
        </w:tblPrEx>
        <w:trPr>
          <w:wBefore w:w="0" w:type="auto"/>
          <w:tblCellSpacing w:w="0" w:type="dxa"/>
        </w:trPr>
        <w:tc>
          <w:tcPr>
            <w:tcW w:w="0" w:type="auto"/>
            <w:noWrap w:val="0"/>
            <w:vAlign w:val="center"/>
          </w:tcPr>
          <w:p w14:paraId="62603A2C">
            <w:r>
              <w:rPr>
                <w:rStyle w:val="10"/>
                <w:rFonts w:hint="eastAsia"/>
              </w:rPr>
              <w:t>产品性能:</w:t>
            </w:r>
            <w:r>
              <w:rPr>
                <w:rFonts w:hint="eastAsia"/>
              </w:rPr>
              <w:br w:type="textWrapping"/>
            </w:r>
            <w:r>
              <w:rPr>
                <w:rStyle w:val="11"/>
                <w:rFonts w:hint="eastAsia"/>
              </w:rPr>
              <w:t>本品是一种非选择性触杀型除草剂。</w:t>
            </w:r>
          </w:p>
        </w:tc>
      </w:tr>
      <w:tr w14:paraId="7BD229DA">
        <w:tblPrEx>
          <w:tblCellMar>
            <w:top w:w="0" w:type="dxa"/>
            <w:left w:w="0" w:type="dxa"/>
            <w:bottom w:w="0" w:type="dxa"/>
            <w:right w:w="0" w:type="dxa"/>
          </w:tblCellMar>
        </w:tblPrEx>
        <w:trPr>
          <w:wBefore w:w="0" w:type="auto"/>
          <w:tblCellSpacing w:w="0" w:type="dxa"/>
        </w:trPr>
        <w:tc>
          <w:tcPr>
            <w:tcW w:w="0" w:type="auto"/>
            <w:noWrap w:val="0"/>
            <w:vAlign w:val="center"/>
          </w:tcPr>
          <w:p w14:paraId="4BF77E9E">
            <w:r>
              <w:rPr>
                <w:rStyle w:val="10"/>
                <w:rFonts w:hint="eastAsia"/>
              </w:rPr>
              <w:t>注意事项：</w:t>
            </w:r>
            <w:r>
              <w:rPr>
                <w:rFonts w:hint="eastAsia"/>
              </w:rPr>
              <w:br w:type="textWrapping"/>
            </w:r>
            <w:r>
              <w:rPr>
                <w:rStyle w:val="11"/>
                <w:rFonts w:hint="eastAsia"/>
              </w:rPr>
              <w:t>1. 本品为非选择性除草剂，施药过程中若遇大风、大雨、积水等影响喷雾效果的情形应停止施药，并防止雾滴飘移到其他地块。 2. 如需与其他助剂或药剂混用，请在当地农技人员指导下，先进行小面积试验确认有效性后，科学合理搭配使用。 3. 请在农技人员指导下，根据杂草发生基数、叶龄及种类、施药时天气条件、药械种类等因素科学合理的调整用药剂量、用水量。 4. 本品对眼睛有刺激性，使用时避免接触眼睛，穿戴长衣、长裤、帽子、口罩、手套等防护措施；施药时不能吸烟、饮水等；施药后清洗干净手脸等。 5. 蚕室、桑园附近禁用，禁止在河塘等水体中清洗施药器具。施药后及时、细致清洗施药器具，用过的容器要妥善处理，不能随意丢弃，也不能做他用。 6. 避免孕妇和哺乳期妇女接触本品。 7. 使用前请仔细阅读此标签，并严格按照标签说明使用。未尽使用情形，请结合当地实际情况，在农业技术人员指导下使用。</w:t>
            </w:r>
          </w:p>
        </w:tc>
      </w:tr>
      <w:tr w14:paraId="1DCB2221">
        <w:tblPrEx>
          <w:tblCellMar>
            <w:top w:w="0" w:type="dxa"/>
            <w:left w:w="0" w:type="dxa"/>
            <w:bottom w:w="0" w:type="dxa"/>
            <w:right w:w="0" w:type="dxa"/>
          </w:tblCellMar>
        </w:tblPrEx>
        <w:trPr>
          <w:wBefore w:w="0" w:type="auto"/>
          <w:tblCellSpacing w:w="0" w:type="dxa"/>
        </w:trPr>
        <w:tc>
          <w:tcPr>
            <w:tcW w:w="0" w:type="auto"/>
            <w:noWrap w:val="0"/>
            <w:vAlign w:val="center"/>
          </w:tcPr>
          <w:p w14:paraId="1229A432">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29160FDB">
        <w:tblPrEx>
          <w:tblCellMar>
            <w:top w:w="0" w:type="dxa"/>
            <w:left w:w="0" w:type="dxa"/>
            <w:bottom w:w="0" w:type="dxa"/>
            <w:right w:w="0" w:type="dxa"/>
          </w:tblCellMar>
        </w:tblPrEx>
        <w:trPr>
          <w:wBefore w:w="0" w:type="auto"/>
          <w:tblCellSpacing w:w="0" w:type="dxa"/>
        </w:trPr>
        <w:tc>
          <w:tcPr>
            <w:tcW w:w="0" w:type="auto"/>
            <w:noWrap w:val="0"/>
            <w:vAlign w:val="center"/>
          </w:tcPr>
          <w:p w14:paraId="379886DD">
            <w:r>
              <w:rPr>
                <w:rStyle w:val="10"/>
                <w:rFonts w:hint="eastAsia"/>
              </w:rPr>
              <w:t>储存和运输方法：</w:t>
            </w:r>
            <w:r>
              <w:rPr>
                <w:rFonts w:hint="eastAsia"/>
              </w:rPr>
              <w:br w:type="textWrapping"/>
            </w:r>
            <w:r>
              <w:rPr>
                <w:rStyle w:val="11"/>
                <w:rFonts w:hint="eastAsia"/>
              </w:rPr>
              <w:t>本品应贮存于干燥、阴凉、通风、防雨处，远离火源或热源。置于儿童、无关人员触及不到之处，并加锁。勿与食品、饮料、饲料、粮食等同贮同运。装卸时，注意轻拿轻放，禁止说笑打闹、吃、喝、抽烟；运输时要防潮防晒。</w:t>
            </w:r>
          </w:p>
        </w:tc>
      </w:tr>
      <w:tr w14:paraId="4945703F">
        <w:tblPrEx>
          <w:tblCellMar>
            <w:top w:w="0" w:type="dxa"/>
            <w:left w:w="0" w:type="dxa"/>
            <w:bottom w:w="0" w:type="dxa"/>
            <w:right w:w="0" w:type="dxa"/>
          </w:tblCellMar>
        </w:tblPrEx>
        <w:trPr>
          <w:wBefore w:w="0" w:type="auto"/>
          <w:tblCellSpacing w:w="0" w:type="dxa"/>
        </w:trPr>
        <w:tc>
          <w:tcPr>
            <w:tcW w:w="0" w:type="auto"/>
            <w:noWrap w:val="0"/>
            <w:vAlign w:val="center"/>
          </w:tcPr>
          <w:p w14:paraId="75807126">
            <w:r>
              <w:rPr>
                <w:rStyle w:val="10"/>
                <w:rFonts w:hint="eastAsia"/>
              </w:rPr>
              <w:t>质量保证期：</w:t>
            </w:r>
            <w:r>
              <w:rPr>
                <w:rStyle w:val="11"/>
                <w:rFonts w:hint="eastAsia"/>
              </w:rPr>
              <w:t>2年</w:t>
            </w:r>
          </w:p>
        </w:tc>
      </w:tr>
      <w:tr w14:paraId="3FCC9310">
        <w:tblPrEx>
          <w:tblCellMar>
            <w:top w:w="0" w:type="dxa"/>
            <w:left w:w="0" w:type="dxa"/>
            <w:bottom w:w="0" w:type="dxa"/>
            <w:right w:w="0" w:type="dxa"/>
          </w:tblCellMar>
        </w:tblPrEx>
        <w:trPr>
          <w:wBefore w:w="0" w:type="auto"/>
          <w:tblCellSpacing w:w="0" w:type="dxa"/>
        </w:trPr>
        <w:tc>
          <w:tcPr>
            <w:tcW w:w="0" w:type="auto"/>
            <w:noWrap w:val="0"/>
            <w:vAlign w:val="center"/>
          </w:tcPr>
          <w:p w14:paraId="69590F2A">
            <w:r>
              <w:rPr>
                <w:rStyle w:val="10"/>
                <w:rFonts w:hint="eastAsia"/>
              </w:rPr>
              <w:t>备注：</w:t>
            </w:r>
            <w:r>
              <w:rPr>
                <w:rFonts w:hint="eastAsia"/>
              </w:rPr>
              <w:br w:type="textWrapping"/>
            </w:r>
            <w:r>
              <w:rPr>
                <w:rStyle w:val="11"/>
                <w:rFonts w:hint="eastAsia"/>
              </w:rPr>
              <w:t>精草铵膦铵盐11%。</w:t>
            </w:r>
          </w:p>
        </w:tc>
      </w:tr>
    </w:tbl>
    <w:p w14:paraId="2372A0F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C651FE6">
        <w:tblPrEx>
          <w:tblCellMar>
            <w:top w:w="0" w:type="dxa"/>
            <w:left w:w="0" w:type="dxa"/>
            <w:bottom w:w="0" w:type="dxa"/>
            <w:right w:w="0" w:type="dxa"/>
          </w:tblCellMar>
        </w:tblPrEx>
        <w:trPr>
          <w:wBefore w:w="0" w:type="auto"/>
          <w:tblCellSpacing w:w="0" w:type="dxa"/>
        </w:trPr>
        <w:tc>
          <w:tcPr>
            <w:tcW w:w="0" w:type="auto"/>
            <w:noWrap w:val="0"/>
            <w:vAlign w:val="center"/>
          </w:tcPr>
          <w:p w14:paraId="2947DDD0">
            <w:r>
              <w:rPr>
                <w:rStyle w:val="10"/>
                <w:rFonts w:hint="eastAsia"/>
              </w:rPr>
              <w:t>登记证号：</w:t>
            </w:r>
            <w:r>
              <w:rPr>
                <w:rFonts w:hint="eastAsia"/>
              </w:rPr>
              <w:t>PD20212206</w:t>
            </w:r>
          </w:p>
        </w:tc>
      </w:tr>
      <w:tr w14:paraId="57B6B7FA">
        <w:tblPrEx>
          <w:tblCellMar>
            <w:top w:w="0" w:type="dxa"/>
            <w:left w:w="0" w:type="dxa"/>
            <w:bottom w:w="0" w:type="dxa"/>
            <w:right w:w="0" w:type="dxa"/>
          </w:tblCellMar>
        </w:tblPrEx>
        <w:trPr>
          <w:wBefore w:w="0" w:type="auto"/>
          <w:tblCellSpacing w:w="0" w:type="dxa"/>
        </w:trPr>
        <w:tc>
          <w:tcPr>
            <w:tcW w:w="0" w:type="auto"/>
            <w:noWrap w:val="0"/>
            <w:vAlign w:val="center"/>
          </w:tcPr>
          <w:p w14:paraId="3CF15041">
            <w:r>
              <w:rPr>
                <w:rStyle w:val="10"/>
                <w:rFonts w:hint="eastAsia"/>
              </w:rPr>
              <w:t>登记证持有人：</w:t>
            </w:r>
            <w:r>
              <w:rPr>
                <w:rFonts w:hint="eastAsia"/>
              </w:rPr>
              <w:t>济南天邦化工有限公司</w:t>
            </w:r>
          </w:p>
        </w:tc>
      </w:tr>
      <w:tr w14:paraId="2CE7D672">
        <w:tblPrEx>
          <w:tblCellMar>
            <w:top w:w="0" w:type="dxa"/>
            <w:left w:w="0" w:type="dxa"/>
            <w:bottom w:w="0" w:type="dxa"/>
            <w:right w:w="0" w:type="dxa"/>
          </w:tblCellMar>
        </w:tblPrEx>
        <w:trPr>
          <w:wBefore w:w="0" w:type="auto"/>
          <w:tblCellSpacing w:w="0" w:type="dxa"/>
        </w:trPr>
        <w:tc>
          <w:tcPr>
            <w:tcW w:w="0" w:type="auto"/>
            <w:noWrap w:val="0"/>
            <w:vAlign w:val="center"/>
          </w:tcPr>
          <w:p w14:paraId="3340BAF2">
            <w:r>
              <w:rPr>
                <w:rStyle w:val="10"/>
                <w:rFonts w:hint="eastAsia"/>
              </w:rPr>
              <w:t>农药名称：</w:t>
            </w:r>
            <w:r>
              <w:rPr>
                <w:rFonts w:hint="eastAsia"/>
              </w:rPr>
              <w:t>精草铵膦铵盐</w:t>
            </w:r>
          </w:p>
        </w:tc>
      </w:tr>
      <w:tr w14:paraId="10BE7693">
        <w:tblPrEx>
          <w:tblCellMar>
            <w:top w:w="0" w:type="dxa"/>
            <w:left w:w="0" w:type="dxa"/>
            <w:bottom w:w="0" w:type="dxa"/>
            <w:right w:w="0" w:type="dxa"/>
          </w:tblCellMar>
        </w:tblPrEx>
        <w:trPr>
          <w:wBefore w:w="0" w:type="auto"/>
          <w:tblCellSpacing w:w="0" w:type="dxa"/>
        </w:trPr>
        <w:tc>
          <w:tcPr>
            <w:tcW w:w="0" w:type="auto"/>
            <w:noWrap w:val="0"/>
            <w:vAlign w:val="center"/>
          </w:tcPr>
          <w:p w14:paraId="678ACE8D">
            <w:r>
              <w:rPr>
                <w:rStyle w:val="10"/>
                <w:rFonts w:hint="eastAsia"/>
              </w:rPr>
              <w:t>剂型：</w:t>
            </w:r>
            <w:r>
              <w:rPr>
                <w:rFonts w:hint="eastAsia"/>
              </w:rPr>
              <w:t>可溶液剂</w:t>
            </w:r>
          </w:p>
        </w:tc>
      </w:tr>
      <w:tr w14:paraId="4DF644F7">
        <w:tblPrEx>
          <w:tblCellMar>
            <w:top w:w="0" w:type="dxa"/>
            <w:left w:w="0" w:type="dxa"/>
            <w:bottom w:w="0" w:type="dxa"/>
            <w:right w:w="0" w:type="dxa"/>
          </w:tblCellMar>
        </w:tblPrEx>
        <w:trPr>
          <w:wBefore w:w="0" w:type="auto"/>
          <w:tblCellSpacing w:w="0" w:type="dxa"/>
        </w:trPr>
        <w:tc>
          <w:tcPr>
            <w:tcW w:w="0" w:type="auto"/>
            <w:noWrap w:val="0"/>
            <w:vAlign w:val="center"/>
          </w:tcPr>
          <w:p w14:paraId="0F61223E">
            <w:r>
              <w:rPr>
                <w:rStyle w:val="10"/>
                <w:rFonts w:hint="eastAsia"/>
              </w:rPr>
              <w:t>毒性及其标识：</w:t>
            </w:r>
            <w:r>
              <w:rPr>
                <w:rFonts w:hint="eastAsia"/>
              </w:rPr>
              <w:t xml:space="preserve"> </w:t>
            </w:r>
            <w:r>
              <w:rPr>
                <w:lang/>
              </w:rPr>
              <w:drawing>
                <wp:inline distT="0" distB="0" distL="114300" distR="114300">
                  <wp:extent cx="476250" cy="323850"/>
                  <wp:effectExtent l="0" t="0" r="0" b="0"/>
                  <wp:docPr id="488" name="图片 48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C05D680">
        <w:tblPrEx>
          <w:tblCellMar>
            <w:top w:w="0" w:type="dxa"/>
            <w:left w:w="0" w:type="dxa"/>
            <w:bottom w:w="0" w:type="dxa"/>
            <w:right w:w="0" w:type="dxa"/>
          </w:tblCellMar>
        </w:tblPrEx>
        <w:trPr>
          <w:wBefore w:w="0" w:type="auto"/>
          <w:tblCellSpacing w:w="0" w:type="dxa"/>
        </w:trPr>
        <w:tc>
          <w:tcPr>
            <w:tcW w:w="0" w:type="auto"/>
            <w:noWrap w:val="0"/>
            <w:vAlign w:val="center"/>
          </w:tcPr>
          <w:p w14:paraId="3869305B">
            <w:r>
              <w:rPr>
                <w:rStyle w:val="10"/>
                <w:rFonts w:hint="eastAsia"/>
              </w:rPr>
              <w:t>总有效成分含量：</w:t>
            </w:r>
            <w:r>
              <w:rPr>
                <w:rFonts w:hint="eastAsia"/>
              </w:rPr>
              <w:t>10%</w:t>
            </w:r>
          </w:p>
        </w:tc>
      </w:tr>
      <w:tr w14:paraId="21A7674C">
        <w:tblPrEx>
          <w:tblCellMar>
            <w:top w:w="0" w:type="dxa"/>
            <w:left w:w="0" w:type="dxa"/>
            <w:bottom w:w="0" w:type="dxa"/>
            <w:right w:w="0" w:type="dxa"/>
          </w:tblCellMar>
        </w:tblPrEx>
        <w:trPr>
          <w:wBefore w:w="0" w:type="auto"/>
          <w:tblCellSpacing w:w="0" w:type="dxa"/>
        </w:trPr>
        <w:tc>
          <w:tcPr>
            <w:tcW w:w="0" w:type="auto"/>
            <w:noWrap w:val="0"/>
            <w:vAlign w:val="center"/>
          </w:tcPr>
          <w:p w14:paraId="3E53A13D">
            <w:r>
              <w:rPr>
                <w:rFonts w:hint="eastAsia"/>
              </w:rPr>
              <w:t xml:space="preserve">有效成分及其含量： </w:t>
            </w:r>
          </w:p>
          <w:p w14:paraId="3EC3EED4">
            <w:r>
              <w:rPr>
                <w:rFonts w:hint="eastAsia"/>
              </w:rPr>
              <w:t xml:space="preserve">    精草铵膦10%    </w:t>
            </w:r>
          </w:p>
        </w:tc>
      </w:tr>
      <w:tr w14:paraId="49708FB5">
        <w:tblPrEx>
          <w:tblCellMar>
            <w:top w:w="0" w:type="dxa"/>
            <w:left w:w="0" w:type="dxa"/>
            <w:bottom w:w="0" w:type="dxa"/>
            <w:right w:w="0" w:type="dxa"/>
          </w:tblCellMar>
        </w:tblPrEx>
        <w:trPr>
          <w:wBefore w:w="0" w:type="auto"/>
          <w:tblCellSpacing w:w="0" w:type="dxa"/>
        </w:trPr>
        <w:tc>
          <w:tcPr>
            <w:tcW w:w="0" w:type="auto"/>
            <w:noWrap w:val="0"/>
            <w:vAlign w:val="center"/>
          </w:tcPr>
          <w:p w14:paraId="550939C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B74E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0F6BAD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0E91DD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01D8F8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8B247F7">
                  <w:r>
                    <w:rPr>
                      <w:rStyle w:val="11"/>
                      <w:rFonts w:hint="eastAsia"/>
                    </w:rPr>
                    <w:t>施用方式</w:t>
                  </w:r>
                </w:p>
              </w:tc>
            </w:tr>
            <w:tr w14:paraId="396D88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FFEE487">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A5BFF9">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D1214D">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02C9AA">
                  <w:r>
                    <w:rPr>
                      <w:rStyle w:val="11"/>
                      <w:rFonts w:hint="eastAsia"/>
                    </w:rPr>
                    <w:t>茎叶喷雾</w:t>
                  </w:r>
                </w:p>
              </w:tc>
            </w:tr>
          </w:tbl>
          <w:p w14:paraId="1C7B31DE">
            <w:pPr>
              <w:rPr>
                <w:rFonts w:ascii="Times New Roman" w:hAnsi="Times New Roman" w:cs="Times New Roman"/>
                <w:sz w:val="20"/>
                <w:szCs w:val="20"/>
              </w:rPr>
            </w:pPr>
          </w:p>
        </w:tc>
      </w:tr>
      <w:tr w14:paraId="26477C4F">
        <w:tblPrEx>
          <w:tblCellMar>
            <w:top w:w="0" w:type="dxa"/>
            <w:left w:w="0" w:type="dxa"/>
            <w:bottom w:w="0" w:type="dxa"/>
            <w:right w:w="0" w:type="dxa"/>
          </w:tblCellMar>
        </w:tblPrEx>
        <w:trPr>
          <w:wBefore w:w="0" w:type="auto"/>
          <w:tblCellSpacing w:w="0" w:type="dxa"/>
        </w:trPr>
        <w:tc>
          <w:tcPr>
            <w:tcW w:w="0" w:type="auto"/>
            <w:noWrap w:val="0"/>
            <w:vAlign w:val="center"/>
          </w:tcPr>
          <w:p w14:paraId="39D2D311">
            <w:r>
              <w:rPr>
                <w:rStyle w:val="10"/>
                <w:rFonts w:hint="eastAsia"/>
              </w:rPr>
              <w:t>使用技术要求:</w:t>
            </w:r>
            <w:r>
              <w:rPr>
                <w:rFonts w:hint="eastAsia"/>
              </w:rPr>
              <w:br w:type="textWrapping"/>
            </w:r>
            <w:r>
              <w:rPr>
                <w:rStyle w:val="11"/>
                <w:rFonts w:hint="eastAsia"/>
              </w:rPr>
              <w:t>1.杂草生长期施药，每亩兑水量30-40公斤，茎叶喷雾。2.大风天或预计1小时内降雨，请勿施药。</w:t>
            </w:r>
          </w:p>
        </w:tc>
      </w:tr>
      <w:tr w14:paraId="185F0E57">
        <w:tblPrEx>
          <w:tblCellMar>
            <w:top w:w="0" w:type="dxa"/>
            <w:left w:w="0" w:type="dxa"/>
            <w:bottom w:w="0" w:type="dxa"/>
            <w:right w:w="0" w:type="dxa"/>
          </w:tblCellMar>
        </w:tblPrEx>
        <w:trPr>
          <w:wBefore w:w="0" w:type="auto"/>
          <w:tblCellSpacing w:w="0" w:type="dxa"/>
        </w:trPr>
        <w:tc>
          <w:tcPr>
            <w:tcW w:w="0" w:type="auto"/>
            <w:noWrap w:val="0"/>
            <w:vAlign w:val="center"/>
          </w:tcPr>
          <w:p w14:paraId="49A96A85">
            <w:r>
              <w:rPr>
                <w:rStyle w:val="10"/>
                <w:rFonts w:hint="eastAsia"/>
              </w:rPr>
              <w:t>产品性能:</w:t>
            </w:r>
            <w:r>
              <w:rPr>
                <w:rFonts w:hint="eastAsia"/>
              </w:rPr>
              <w:br w:type="textWrapping"/>
            </w:r>
            <w:r>
              <w:rPr>
                <w:rStyle w:val="11"/>
                <w:rFonts w:hint="eastAsia"/>
              </w:rPr>
              <w:t>本品是一种具有部分内吸作用的触杀灭生性除草剂，属于膦酸类除草剂，是谷氨酰胺合成抑制剂。施药后短时间内，植物体内铵代谢陷于紊乱，细胞毒剂铵离子在植物体内累积，与此同时，光合作用被抑制，达到除草目的，适用于防除非耕地杂草。</w:t>
            </w:r>
          </w:p>
        </w:tc>
      </w:tr>
      <w:tr w14:paraId="36D3F404">
        <w:tblPrEx>
          <w:tblCellMar>
            <w:top w:w="0" w:type="dxa"/>
            <w:left w:w="0" w:type="dxa"/>
            <w:bottom w:w="0" w:type="dxa"/>
            <w:right w:w="0" w:type="dxa"/>
          </w:tblCellMar>
        </w:tblPrEx>
        <w:trPr>
          <w:wBefore w:w="0" w:type="auto"/>
          <w:tblCellSpacing w:w="0" w:type="dxa"/>
        </w:trPr>
        <w:tc>
          <w:tcPr>
            <w:tcW w:w="0" w:type="auto"/>
            <w:noWrap w:val="0"/>
            <w:vAlign w:val="center"/>
          </w:tcPr>
          <w:p w14:paraId="658F0916">
            <w:r>
              <w:rPr>
                <w:rStyle w:val="10"/>
                <w:rFonts w:hint="eastAsia"/>
              </w:rPr>
              <w:t>注意事项：</w:t>
            </w:r>
            <w:r>
              <w:rPr>
                <w:rFonts w:hint="eastAsia"/>
              </w:rPr>
              <w:br w:type="textWrapping"/>
            </w:r>
            <w:r>
              <w:rPr>
                <w:rStyle w:val="11"/>
                <w:rFonts w:hint="eastAsia"/>
              </w:rPr>
              <w:t>1、本品为灭生性除草剂，使用时需定向均匀全面喷雾在杂草上，勿使药液漂移或接触到作物上，以免产生药害。2.禁止在田间道路、田埂、果树行间、休耕地、林场地等农林区域使用。3.使用时应穿长衣长裤、靴子，戴帽子、护目镜、口罩、手套等防护用具；施药期间不可吃东西、饮水、吸烟等；施药后应及时洗手、洗脸并洗涤施药时穿着的衣物。4.禁止在河塘等水体中清洗施药器具；蚕室及桑园附近禁用。5.避免孕妇和哺乳期的妇女接触本品。6.用过的容器应妥善处理，不可随意丢弃或作他用。</w:t>
            </w:r>
          </w:p>
        </w:tc>
      </w:tr>
      <w:tr w14:paraId="7D07E398">
        <w:tblPrEx>
          <w:tblCellMar>
            <w:top w:w="0" w:type="dxa"/>
            <w:left w:w="0" w:type="dxa"/>
            <w:bottom w:w="0" w:type="dxa"/>
            <w:right w:w="0" w:type="dxa"/>
          </w:tblCellMar>
        </w:tblPrEx>
        <w:trPr>
          <w:wBefore w:w="0" w:type="auto"/>
          <w:tblCellSpacing w:w="0" w:type="dxa"/>
        </w:trPr>
        <w:tc>
          <w:tcPr>
            <w:tcW w:w="0" w:type="auto"/>
            <w:noWrap w:val="0"/>
            <w:vAlign w:val="center"/>
          </w:tcPr>
          <w:p w14:paraId="78743369">
            <w:r>
              <w:rPr>
                <w:rStyle w:val="10"/>
                <w:rFonts w:hint="eastAsia"/>
              </w:rPr>
              <w:t>中毒急救措施：</w:t>
            </w:r>
            <w:r>
              <w:rPr>
                <w:rFonts w:hint="eastAsia"/>
              </w:rPr>
              <w:br w:type="textWrapping"/>
            </w:r>
            <w:r>
              <w:rPr>
                <w:rStyle w:val="11"/>
                <w:rFonts w:hint="eastAsia"/>
              </w:rPr>
              <w:t>本品对眼睛有刺激性。1.若用药时如果感觉不适，立即停止工作，采取急救措施，并携此标签送医就诊。 2.若溅到皮肤上，应立即用大量清水冲洗，如皮肤疼痛感持续，请医生诊治，并单独清洗被污染的工作服。 3.若不慎溅入眼中，要立即用清水冲洗15分钟以上，并请医生诊治。 4、若误服，立即携此标签将病人送医院救治，可对症治疗。</w:t>
            </w:r>
          </w:p>
        </w:tc>
      </w:tr>
      <w:tr w14:paraId="5798BFC9">
        <w:tblPrEx>
          <w:tblCellMar>
            <w:top w:w="0" w:type="dxa"/>
            <w:left w:w="0" w:type="dxa"/>
            <w:bottom w:w="0" w:type="dxa"/>
            <w:right w:w="0" w:type="dxa"/>
          </w:tblCellMar>
        </w:tblPrEx>
        <w:trPr>
          <w:wBefore w:w="0" w:type="auto"/>
          <w:tblCellSpacing w:w="0" w:type="dxa"/>
        </w:trPr>
        <w:tc>
          <w:tcPr>
            <w:tcW w:w="0" w:type="auto"/>
            <w:noWrap w:val="0"/>
            <w:vAlign w:val="center"/>
          </w:tcPr>
          <w:p w14:paraId="7E38D1E9">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本品应贮存在干燥、阴凉、通风、防雨处，远离火源或热源。置于儿童、无关人员触及不到之处，并加锁保存。勿与食品、饮料、粮食、饲料等同贮同运。</w:t>
            </w:r>
          </w:p>
        </w:tc>
      </w:tr>
      <w:tr w14:paraId="7BD4F0A0">
        <w:tblPrEx>
          <w:tblCellMar>
            <w:top w:w="0" w:type="dxa"/>
            <w:left w:w="0" w:type="dxa"/>
            <w:bottom w:w="0" w:type="dxa"/>
            <w:right w:w="0" w:type="dxa"/>
          </w:tblCellMar>
        </w:tblPrEx>
        <w:trPr>
          <w:wBefore w:w="0" w:type="auto"/>
          <w:tblCellSpacing w:w="0" w:type="dxa"/>
        </w:trPr>
        <w:tc>
          <w:tcPr>
            <w:tcW w:w="0" w:type="auto"/>
            <w:noWrap w:val="0"/>
            <w:vAlign w:val="center"/>
          </w:tcPr>
          <w:p w14:paraId="2BDE4FDD">
            <w:r>
              <w:rPr>
                <w:rStyle w:val="10"/>
                <w:rFonts w:hint="eastAsia"/>
              </w:rPr>
              <w:t>质量保证期：</w:t>
            </w:r>
            <w:r>
              <w:rPr>
                <w:rStyle w:val="11"/>
                <w:rFonts w:hint="eastAsia"/>
              </w:rPr>
              <w:t>2年</w:t>
            </w:r>
          </w:p>
        </w:tc>
      </w:tr>
      <w:tr w14:paraId="02F44149">
        <w:tblPrEx>
          <w:tblCellMar>
            <w:top w:w="0" w:type="dxa"/>
            <w:left w:w="0" w:type="dxa"/>
            <w:bottom w:w="0" w:type="dxa"/>
            <w:right w:w="0" w:type="dxa"/>
          </w:tblCellMar>
        </w:tblPrEx>
        <w:trPr>
          <w:wBefore w:w="0" w:type="auto"/>
          <w:tblCellSpacing w:w="0" w:type="dxa"/>
        </w:trPr>
        <w:tc>
          <w:tcPr>
            <w:tcW w:w="0" w:type="auto"/>
            <w:noWrap w:val="0"/>
            <w:vAlign w:val="center"/>
          </w:tcPr>
          <w:p w14:paraId="539BFC0F">
            <w:r>
              <w:rPr>
                <w:rStyle w:val="10"/>
                <w:rFonts w:hint="eastAsia"/>
              </w:rPr>
              <w:t>备注：</w:t>
            </w:r>
            <w:r>
              <w:rPr>
                <w:rFonts w:hint="eastAsia"/>
              </w:rPr>
              <w:br w:type="textWrapping"/>
            </w:r>
            <w:r>
              <w:rPr>
                <w:rStyle w:val="11"/>
                <w:rFonts w:hint="eastAsia"/>
              </w:rPr>
              <w:t>精草铵膦铵盐10.9%。</w:t>
            </w:r>
          </w:p>
        </w:tc>
      </w:tr>
    </w:tbl>
    <w:p w14:paraId="006B6A2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67C5668">
        <w:tblPrEx>
          <w:tblCellMar>
            <w:top w:w="0" w:type="dxa"/>
            <w:left w:w="0" w:type="dxa"/>
            <w:bottom w:w="0" w:type="dxa"/>
            <w:right w:w="0" w:type="dxa"/>
          </w:tblCellMar>
        </w:tblPrEx>
        <w:trPr>
          <w:wBefore w:w="0" w:type="auto"/>
          <w:tblCellSpacing w:w="0" w:type="dxa"/>
        </w:trPr>
        <w:tc>
          <w:tcPr>
            <w:tcW w:w="0" w:type="auto"/>
            <w:noWrap w:val="0"/>
            <w:vAlign w:val="center"/>
          </w:tcPr>
          <w:p w14:paraId="59F19A8B">
            <w:r>
              <w:rPr>
                <w:rStyle w:val="10"/>
                <w:rFonts w:hint="eastAsia"/>
              </w:rPr>
              <w:t>登记证号：</w:t>
            </w:r>
            <w:r>
              <w:rPr>
                <w:rFonts w:hint="eastAsia"/>
              </w:rPr>
              <w:t>WP20210210</w:t>
            </w:r>
          </w:p>
        </w:tc>
      </w:tr>
      <w:tr w14:paraId="30C88B8F">
        <w:tblPrEx>
          <w:tblCellMar>
            <w:top w:w="0" w:type="dxa"/>
            <w:left w:w="0" w:type="dxa"/>
            <w:bottom w:w="0" w:type="dxa"/>
            <w:right w:w="0" w:type="dxa"/>
          </w:tblCellMar>
        </w:tblPrEx>
        <w:trPr>
          <w:wBefore w:w="0" w:type="auto"/>
          <w:tblCellSpacing w:w="0" w:type="dxa"/>
        </w:trPr>
        <w:tc>
          <w:tcPr>
            <w:tcW w:w="0" w:type="auto"/>
            <w:noWrap w:val="0"/>
            <w:vAlign w:val="center"/>
          </w:tcPr>
          <w:p w14:paraId="3541BD6C">
            <w:r>
              <w:rPr>
                <w:rStyle w:val="10"/>
                <w:rFonts w:hint="eastAsia"/>
              </w:rPr>
              <w:t>登记证持有人：</w:t>
            </w:r>
            <w:r>
              <w:rPr>
                <w:rFonts w:hint="eastAsia"/>
              </w:rPr>
              <w:t>广东茂名绿银农化有限公司</w:t>
            </w:r>
          </w:p>
        </w:tc>
      </w:tr>
      <w:tr w14:paraId="7ADB9D76">
        <w:tblPrEx>
          <w:tblCellMar>
            <w:top w:w="0" w:type="dxa"/>
            <w:left w:w="0" w:type="dxa"/>
            <w:bottom w:w="0" w:type="dxa"/>
            <w:right w:w="0" w:type="dxa"/>
          </w:tblCellMar>
        </w:tblPrEx>
        <w:trPr>
          <w:wBefore w:w="0" w:type="auto"/>
          <w:tblCellSpacing w:w="0" w:type="dxa"/>
        </w:trPr>
        <w:tc>
          <w:tcPr>
            <w:tcW w:w="0" w:type="auto"/>
            <w:noWrap w:val="0"/>
            <w:vAlign w:val="center"/>
          </w:tcPr>
          <w:p w14:paraId="428BD692">
            <w:r>
              <w:rPr>
                <w:rStyle w:val="10"/>
                <w:rFonts w:hint="eastAsia"/>
              </w:rPr>
              <w:t>农药名称：</w:t>
            </w:r>
            <w:r>
              <w:rPr>
                <w:rFonts w:hint="eastAsia"/>
              </w:rPr>
              <w:t>杀蚁饵剂</w:t>
            </w:r>
          </w:p>
        </w:tc>
      </w:tr>
      <w:tr w14:paraId="4ABAEF27">
        <w:tblPrEx>
          <w:tblCellMar>
            <w:top w:w="0" w:type="dxa"/>
            <w:left w:w="0" w:type="dxa"/>
            <w:bottom w:w="0" w:type="dxa"/>
            <w:right w:w="0" w:type="dxa"/>
          </w:tblCellMar>
        </w:tblPrEx>
        <w:trPr>
          <w:wBefore w:w="0" w:type="auto"/>
          <w:tblCellSpacing w:w="0" w:type="dxa"/>
        </w:trPr>
        <w:tc>
          <w:tcPr>
            <w:tcW w:w="0" w:type="auto"/>
            <w:noWrap w:val="0"/>
            <w:vAlign w:val="center"/>
          </w:tcPr>
          <w:p w14:paraId="6948AD3C">
            <w:r>
              <w:rPr>
                <w:rStyle w:val="10"/>
                <w:rFonts w:hint="eastAsia"/>
              </w:rPr>
              <w:t>剂型：</w:t>
            </w:r>
            <w:r>
              <w:rPr>
                <w:rFonts w:hint="eastAsia"/>
              </w:rPr>
              <w:t>饵剂</w:t>
            </w:r>
          </w:p>
        </w:tc>
      </w:tr>
      <w:tr w14:paraId="2CBF8902">
        <w:tblPrEx>
          <w:tblCellMar>
            <w:top w:w="0" w:type="dxa"/>
            <w:left w:w="0" w:type="dxa"/>
            <w:bottom w:w="0" w:type="dxa"/>
            <w:right w:w="0" w:type="dxa"/>
          </w:tblCellMar>
        </w:tblPrEx>
        <w:trPr>
          <w:wBefore w:w="0" w:type="auto"/>
          <w:tblCellSpacing w:w="0" w:type="dxa"/>
        </w:trPr>
        <w:tc>
          <w:tcPr>
            <w:tcW w:w="0" w:type="auto"/>
            <w:noWrap w:val="0"/>
            <w:vAlign w:val="center"/>
          </w:tcPr>
          <w:p w14:paraId="723BB24F">
            <w:r>
              <w:rPr>
                <w:rStyle w:val="10"/>
                <w:rFonts w:hint="eastAsia"/>
              </w:rPr>
              <w:t>毒性及其标识：</w:t>
            </w:r>
            <w:r>
              <w:rPr>
                <w:rFonts w:hint="eastAsia"/>
              </w:rPr>
              <w:t xml:space="preserve"> 微毒 </w:t>
            </w:r>
          </w:p>
        </w:tc>
      </w:tr>
      <w:tr w14:paraId="2C0DD377">
        <w:tblPrEx>
          <w:tblCellMar>
            <w:top w:w="0" w:type="dxa"/>
            <w:left w:w="0" w:type="dxa"/>
            <w:bottom w:w="0" w:type="dxa"/>
            <w:right w:w="0" w:type="dxa"/>
          </w:tblCellMar>
        </w:tblPrEx>
        <w:trPr>
          <w:wBefore w:w="0" w:type="auto"/>
          <w:tblCellSpacing w:w="0" w:type="dxa"/>
        </w:trPr>
        <w:tc>
          <w:tcPr>
            <w:tcW w:w="0" w:type="auto"/>
            <w:noWrap w:val="0"/>
            <w:vAlign w:val="center"/>
          </w:tcPr>
          <w:p w14:paraId="6DE518E1">
            <w:r>
              <w:rPr>
                <w:rStyle w:val="10"/>
                <w:rFonts w:hint="eastAsia"/>
              </w:rPr>
              <w:t>总有效成分含量：</w:t>
            </w:r>
            <w:r>
              <w:rPr>
                <w:rFonts w:hint="eastAsia"/>
              </w:rPr>
              <w:t>0.6%</w:t>
            </w:r>
          </w:p>
        </w:tc>
      </w:tr>
      <w:tr w14:paraId="1EC3BFDA">
        <w:tblPrEx>
          <w:tblCellMar>
            <w:top w:w="0" w:type="dxa"/>
            <w:left w:w="0" w:type="dxa"/>
            <w:bottom w:w="0" w:type="dxa"/>
            <w:right w:w="0" w:type="dxa"/>
          </w:tblCellMar>
        </w:tblPrEx>
        <w:trPr>
          <w:wBefore w:w="0" w:type="auto"/>
          <w:tblCellSpacing w:w="0" w:type="dxa"/>
        </w:trPr>
        <w:tc>
          <w:tcPr>
            <w:tcW w:w="0" w:type="auto"/>
            <w:noWrap w:val="0"/>
            <w:vAlign w:val="center"/>
          </w:tcPr>
          <w:p w14:paraId="6C0B7883">
            <w:r>
              <w:rPr>
                <w:rFonts w:hint="eastAsia"/>
              </w:rPr>
              <w:t xml:space="preserve">有效成分及其含量： </w:t>
            </w:r>
          </w:p>
          <w:p w14:paraId="44B22D69">
            <w:r>
              <w:rPr>
                <w:rFonts w:hint="eastAsia"/>
              </w:rPr>
              <w:t xml:space="preserve">    茚虫威0.2%    呋虫胺0.4%    </w:t>
            </w:r>
          </w:p>
        </w:tc>
      </w:tr>
      <w:tr w14:paraId="2C4345A2">
        <w:tblPrEx>
          <w:tblCellMar>
            <w:top w:w="0" w:type="dxa"/>
            <w:left w:w="0" w:type="dxa"/>
            <w:bottom w:w="0" w:type="dxa"/>
            <w:right w:w="0" w:type="dxa"/>
          </w:tblCellMar>
        </w:tblPrEx>
        <w:trPr>
          <w:wBefore w:w="0" w:type="auto"/>
          <w:tblCellSpacing w:w="0" w:type="dxa"/>
        </w:trPr>
        <w:tc>
          <w:tcPr>
            <w:tcW w:w="0" w:type="auto"/>
            <w:noWrap w:val="0"/>
            <w:vAlign w:val="center"/>
          </w:tcPr>
          <w:p w14:paraId="560633A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C944F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42D24B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F21D6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32B840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1D0E1A7">
                  <w:r>
                    <w:rPr>
                      <w:rStyle w:val="11"/>
                      <w:rFonts w:hint="eastAsia"/>
                    </w:rPr>
                    <w:t>施用方式</w:t>
                  </w:r>
                </w:p>
              </w:tc>
            </w:tr>
            <w:tr w14:paraId="6560C13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E349E1D">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E9D29A">
                  <w:r>
                    <w:rPr>
                      <w:rStyle w:val="11"/>
                      <w:rFonts w:hint="eastAsia"/>
                    </w:rPr>
                    <w:t>红火蚁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250479">
                  <w:r>
                    <w:rPr>
                      <w:rStyle w:val="11"/>
                      <w:rFonts w:hint="eastAsia"/>
                    </w:rPr>
                    <w:t>6-8克/巢</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C3983B">
                  <w:r>
                    <w:rPr>
                      <w:rStyle w:val="11"/>
                      <w:rFonts w:hint="eastAsia"/>
                    </w:rPr>
                    <w:t>投放</w:t>
                  </w:r>
                </w:p>
              </w:tc>
            </w:tr>
          </w:tbl>
          <w:p w14:paraId="049A0B7D">
            <w:pPr>
              <w:rPr>
                <w:rFonts w:ascii="Times New Roman" w:hAnsi="Times New Roman" w:cs="Times New Roman"/>
                <w:sz w:val="20"/>
                <w:szCs w:val="20"/>
              </w:rPr>
            </w:pPr>
          </w:p>
        </w:tc>
      </w:tr>
      <w:tr w14:paraId="2A6CF580">
        <w:tblPrEx>
          <w:tblCellMar>
            <w:top w:w="0" w:type="dxa"/>
            <w:left w:w="0" w:type="dxa"/>
            <w:bottom w:w="0" w:type="dxa"/>
            <w:right w:w="0" w:type="dxa"/>
          </w:tblCellMar>
        </w:tblPrEx>
        <w:trPr>
          <w:wBefore w:w="0" w:type="auto"/>
          <w:tblCellSpacing w:w="0" w:type="dxa"/>
        </w:trPr>
        <w:tc>
          <w:tcPr>
            <w:tcW w:w="0" w:type="auto"/>
            <w:noWrap w:val="0"/>
            <w:vAlign w:val="center"/>
          </w:tcPr>
          <w:p w14:paraId="77CB064C">
            <w:r>
              <w:rPr>
                <w:rStyle w:val="10"/>
                <w:rFonts w:hint="eastAsia"/>
              </w:rPr>
              <w:t>使用技术要求:</w:t>
            </w:r>
            <w:r>
              <w:rPr>
                <w:rFonts w:hint="eastAsia"/>
              </w:rPr>
              <w:br w:type="textWrapping"/>
            </w:r>
            <w:r>
              <w:rPr>
                <w:rStyle w:val="11"/>
                <w:rFonts w:hint="eastAsia"/>
              </w:rPr>
              <w:t>1.按照推荐剂量，在蚁巢表面及附近，环状或点状撒施。 2.一旦饵剂被红火蚁吃尽后，应立即补充施药，以达到最佳防治效果。3.根据红火蚁的发生情况，一般1～2个月后再进行第二次全面防治或重点补治。4.施药时地表要干燥，气温应在20℃～33℃之间或地表温度应在21℃～35℃之间为宜，施药后2天内下雨需重新施药。</w:t>
            </w:r>
          </w:p>
        </w:tc>
      </w:tr>
      <w:tr w14:paraId="3BC421C5">
        <w:tblPrEx>
          <w:tblCellMar>
            <w:top w:w="0" w:type="dxa"/>
            <w:left w:w="0" w:type="dxa"/>
            <w:bottom w:w="0" w:type="dxa"/>
            <w:right w:w="0" w:type="dxa"/>
          </w:tblCellMar>
        </w:tblPrEx>
        <w:trPr>
          <w:wBefore w:w="0" w:type="auto"/>
          <w:tblCellSpacing w:w="0" w:type="dxa"/>
        </w:trPr>
        <w:tc>
          <w:tcPr>
            <w:tcW w:w="0" w:type="auto"/>
            <w:noWrap w:val="0"/>
            <w:vAlign w:val="center"/>
          </w:tcPr>
          <w:p w14:paraId="69FB817D">
            <w:r>
              <w:rPr>
                <w:rStyle w:val="10"/>
                <w:rFonts w:hint="eastAsia"/>
              </w:rPr>
              <w:t>产品性能:</w:t>
            </w:r>
            <w:r>
              <w:rPr>
                <w:rFonts w:hint="eastAsia"/>
              </w:rPr>
              <w:br w:type="textWrapping"/>
            </w:r>
            <w:r>
              <w:rPr>
                <w:rStyle w:val="11"/>
                <w:rFonts w:hint="eastAsia"/>
              </w:rPr>
              <w:t>本产品为呋虫胺与茚虫威复配制剂，内含引诱剂，可吸引红火蚁取食，可用于防治红火蚁。</w:t>
            </w:r>
          </w:p>
        </w:tc>
      </w:tr>
      <w:tr w14:paraId="6ECB37D2">
        <w:tblPrEx>
          <w:tblCellMar>
            <w:top w:w="0" w:type="dxa"/>
            <w:left w:w="0" w:type="dxa"/>
            <w:bottom w:w="0" w:type="dxa"/>
            <w:right w:w="0" w:type="dxa"/>
          </w:tblCellMar>
        </w:tblPrEx>
        <w:trPr>
          <w:wBefore w:w="0" w:type="auto"/>
          <w:tblCellSpacing w:w="0" w:type="dxa"/>
        </w:trPr>
        <w:tc>
          <w:tcPr>
            <w:tcW w:w="0" w:type="auto"/>
            <w:noWrap w:val="0"/>
            <w:vAlign w:val="center"/>
          </w:tcPr>
          <w:p w14:paraId="7720F6A9">
            <w:r>
              <w:rPr>
                <w:rStyle w:val="10"/>
                <w:rFonts w:hint="eastAsia"/>
              </w:rPr>
              <w:t>注意事项：</w:t>
            </w:r>
            <w:r>
              <w:rPr>
                <w:rFonts w:hint="eastAsia"/>
              </w:rPr>
              <w:br w:type="textWrapping"/>
            </w:r>
            <w:r>
              <w:rPr>
                <w:rStyle w:val="11"/>
                <w:rFonts w:hint="eastAsia"/>
              </w:rPr>
              <w:t>1、严格按照规定用药量和方法使用。2、鸟类保护区周围禁用；(周围 )开花植物花期禁用；使用时应密切关注对附近蜂群的影响。3、施药时应避免接触皮肤，施药后应及时洗手。4、用过的包装物应妥善处理，不可作他用，也不可随意丢弃。5、孕妇、哺乳期的妇女禁止接触本产品。6、远离水产养殖区、河塘等水体施药；禁止在河塘等水体中清洗施药器具。</w:t>
            </w:r>
          </w:p>
        </w:tc>
      </w:tr>
      <w:tr w14:paraId="7AEF0D9D">
        <w:tblPrEx>
          <w:tblCellMar>
            <w:top w:w="0" w:type="dxa"/>
            <w:left w:w="0" w:type="dxa"/>
            <w:bottom w:w="0" w:type="dxa"/>
            <w:right w:w="0" w:type="dxa"/>
          </w:tblCellMar>
        </w:tblPrEx>
        <w:trPr>
          <w:wBefore w:w="0" w:type="auto"/>
          <w:tblCellSpacing w:w="0" w:type="dxa"/>
        </w:trPr>
        <w:tc>
          <w:tcPr>
            <w:tcW w:w="0" w:type="auto"/>
            <w:noWrap w:val="0"/>
            <w:vAlign w:val="center"/>
          </w:tcPr>
          <w:p w14:paraId="6C32EF07">
            <w:r>
              <w:rPr>
                <w:rStyle w:val="10"/>
                <w:rFonts w:hint="eastAsia"/>
              </w:rPr>
              <w:t>中毒急救措施：</w:t>
            </w:r>
            <w:r>
              <w:rPr>
                <w:rFonts w:hint="eastAsia"/>
              </w:rPr>
              <w:br w:type="textWrapping"/>
            </w:r>
            <w:r>
              <w:rPr>
                <w:rStyle w:val="11"/>
                <w:rFonts w:hint="eastAsia"/>
              </w:rPr>
              <w:t>对眼睛有刺激性，使用时避免药液接触眼睛。使用中或使用后如果感觉不适，应立即停止工作，采取急救措施，并携带标签送医院就诊。皮肤接触：立即用大量清水和肥皂冲洗。眼睛接触：立即用流动清水冲洗不少于15分钟。误食：立即停止服用，用清水充分漱口后，立即携带农药标签到医院就诊。</w:t>
            </w:r>
          </w:p>
        </w:tc>
      </w:tr>
      <w:tr w14:paraId="64170EDC">
        <w:tblPrEx>
          <w:tblCellMar>
            <w:top w:w="0" w:type="dxa"/>
            <w:left w:w="0" w:type="dxa"/>
            <w:bottom w:w="0" w:type="dxa"/>
            <w:right w:w="0" w:type="dxa"/>
          </w:tblCellMar>
        </w:tblPrEx>
        <w:trPr>
          <w:wBefore w:w="0" w:type="auto"/>
          <w:tblCellSpacing w:w="0" w:type="dxa"/>
        </w:trPr>
        <w:tc>
          <w:tcPr>
            <w:tcW w:w="0" w:type="auto"/>
            <w:noWrap w:val="0"/>
            <w:vAlign w:val="center"/>
          </w:tcPr>
          <w:p w14:paraId="28BA214B">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本品应储存在干燥、阴凉、通风、防雨处，远离火源或热源。置于儿童接触不到的地方，并加锁保存。不能与食品、饮料、粮食、饲料等同储同运。</w:t>
            </w:r>
          </w:p>
        </w:tc>
      </w:tr>
      <w:tr w14:paraId="57002DF7">
        <w:tblPrEx>
          <w:tblCellMar>
            <w:top w:w="0" w:type="dxa"/>
            <w:left w:w="0" w:type="dxa"/>
            <w:bottom w:w="0" w:type="dxa"/>
            <w:right w:w="0" w:type="dxa"/>
          </w:tblCellMar>
        </w:tblPrEx>
        <w:trPr>
          <w:wBefore w:w="0" w:type="auto"/>
          <w:tblCellSpacing w:w="0" w:type="dxa"/>
        </w:trPr>
        <w:tc>
          <w:tcPr>
            <w:tcW w:w="0" w:type="auto"/>
            <w:noWrap w:val="0"/>
            <w:vAlign w:val="center"/>
          </w:tcPr>
          <w:p w14:paraId="6FC56FD8">
            <w:r>
              <w:rPr>
                <w:rStyle w:val="10"/>
                <w:rFonts w:hint="eastAsia"/>
              </w:rPr>
              <w:t>质量保证期：</w:t>
            </w:r>
            <w:r>
              <w:rPr>
                <w:rStyle w:val="11"/>
                <w:rFonts w:hint="eastAsia"/>
              </w:rPr>
              <w:t>2年</w:t>
            </w:r>
          </w:p>
        </w:tc>
      </w:tr>
      <w:tr w14:paraId="4F8A9859">
        <w:tblPrEx>
          <w:tblCellMar>
            <w:top w:w="0" w:type="dxa"/>
            <w:left w:w="0" w:type="dxa"/>
            <w:bottom w:w="0" w:type="dxa"/>
            <w:right w:w="0" w:type="dxa"/>
          </w:tblCellMar>
        </w:tblPrEx>
        <w:trPr>
          <w:wBefore w:w="0" w:type="auto"/>
          <w:tblCellSpacing w:w="0" w:type="dxa"/>
        </w:trPr>
        <w:tc>
          <w:tcPr>
            <w:tcW w:w="0" w:type="auto"/>
            <w:noWrap w:val="0"/>
            <w:vAlign w:val="center"/>
          </w:tcPr>
          <w:p w14:paraId="390313CE">
            <w:r>
              <w:rPr>
                <w:rStyle w:val="10"/>
                <w:rFonts w:hint="eastAsia"/>
              </w:rPr>
              <w:t>备注：</w:t>
            </w:r>
          </w:p>
        </w:tc>
      </w:tr>
    </w:tbl>
    <w:p w14:paraId="29FAEA9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B45D0BD">
        <w:tblPrEx>
          <w:tblCellMar>
            <w:top w:w="0" w:type="dxa"/>
            <w:left w:w="0" w:type="dxa"/>
            <w:bottom w:w="0" w:type="dxa"/>
            <w:right w:w="0" w:type="dxa"/>
          </w:tblCellMar>
        </w:tblPrEx>
        <w:trPr>
          <w:wBefore w:w="0" w:type="auto"/>
          <w:tblCellSpacing w:w="0" w:type="dxa"/>
        </w:trPr>
        <w:tc>
          <w:tcPr>
            <w:tcW w:w="0" w:type="auto"/>
            <w:noWrap w:val="0"/>
            <w:vAlign w:val="center"/>
          </w:tcPr>
          <w:p w14:paraId="3B5F25B8">
            <w:r>
              <w:rPr>
                <w:rStyle w:val="10"/>
                <w:rFonts w:hint="eastAsia"/>
              </w:rPr>
              <w:t>登记证号：</w:t>
            </w:r>
            <w:r>
              <w:rPr>
                <w:rFonts w:hint="eastAsia"/>
              </w:rPr>
              <w:t>PD20212205</w:t>
            </w:r>
          </w:p>
        </w:tc>
      </w:tr>
      <w:tr w14:paraId="69353B92">
        <w:tblPrEx>
          <w:tblCellMar>
            <w:top w:w="0" w:type="dxa"/>
            <w:left w:w="0" w:type="dxa"/>
            <w:bottom w:w="0" w:type="dxa"/>
            <w:right w:w="0" w:type="dxa"/>
          </w:tblCellMar>
        </w:tblPrEx>
        <w:trPr>
          <w:wBefore w:w="0" w:type="auto"/>
          <w:tblCellSpacing w:w="0" w:type="dxa"/>
        </w:trPr>
        <w:tc>
          <w:tcPr>
            <w:tcW w:w="0" w:type="auto"/>
            <w:noWrap w:val="0"/>
            <w:vAlign w:val="center"/>
          </w:tcPr>
          <w:p w14:paraId="747B35C0">
            <w:r>
              <w:rPr>
                <w:rStyle w:val="10"/>
                <w:rFonts w:hint="eastAsia"/>
              </w:rPr>
              <w:t>登记证持有人：</w:t>
            </w:r>
            <w:r>
              <w:rPr>
                <w:rFonts w:hint="eastAsia"/>
              </w:rPr>
              <w:t>湖南新长山农业发展股份有限公司</w:t>
            </w:r>
          </w:p>
        </w:tc>
      </w:tr>
      <w:tr w14:paraId="0105D133">
        <w:tblPrEx>
          <w:tblCellMar>
            <w:top w:w="0" w:type="dxa"/>
            <w:left w:w="0" w:type="dxa"/>
            <w:bottom w:w="0" w:type="dxa"/>
            <w:right w:w="0" w:type="dxa"/>
          </w:tblCellMar>
        </w:tblPrEx>
        <w:trPr>
          <w:wBefore w:w="0" w:type="auto"/>
          <w:tblCellSpacing w:w="0" w:type="dxa"/>
        </w:trPr>
        <w:tc>
          <w:tcPr>
            <w:tcW w:w="0" w:type="auto"/>
            <w:noWrap w:val="0"/>
            <w:vAlign w:val="center"/>
          </w:tcPr>
          <w:p w14:paraId="0FE1CC6D">
            <w:r>
              <w:rPr>
                <w:rStyle w:val="10"/>
                <w:rFonts w:hint="eastAsia"/>
              </w:rPr>
              <w:t>农药名称：</w:t>
            </w:r>
            <w:r>
              <w:rPr>
                <w:rFonts w:hint="eastAsia"/>
              </w:rPr>
              <w:t>草甘·甲·乙羧</w:t>
            </w:r>
          </w:p>
        </w:tc>
      </w:tr>
      <w:tr w14:paraId="501D0E5C">
        <w:tblPrEx>
          <w:tblCellMar>
            <w:top w:w="0" w:type="dxa"/>
            <w:left w:w="0" w:type="dxa"/>
            <w:bottom w:w="0" w:type="dxa"/>
            <w:right w:w="0" w:type="dxa"/>
          </w:tblCellMar>
        </w:tblPrEx>
        <w:trPr>
          <w:wBefore w:w="0" w:type="auto"/>
          <w:tblCellSpacing w:w="0" w:type="dxa"/>
        </w:trPr>
        <w:tc>
          <w:tcPr>
            <w:tcW w:w="0" w:type="auto"/>
            <w:noWrap w:val="0"/>
            <w:vAlign w:val="center"/>
          </w:tcPr>
          <w:p w14:paraId="3DBFC670">
            <w:r>
              <w:rPr>
                <w:rStyle w:val="10"/>
                <w:rFonts w:hint="eastAsia"/>
              </w:rPr>
              <w:t>剂型：</w:t>
            </w:r>
            <w:r>
              <w:rPr>
                <w:rFonts w:hint="eastAsia"/>
              </w:rPr>
              <w:t>可湿性粉剂</w:t>
            </w:r>
          </w:p>
        </w:tc>
      </w:tr>
      <w:tr w14:paraId="4D4BCDEA">
        <w:tblPrEx>
          <w:tblCellMar>
            <w:top w:w="0" w:type="dxa"/>
            <w:left w:w="0" w:type="dxa"/>
            <w:bottom w:w="0" w:type="dxa"/>
            <w:right w:w="0" w:type="dxa"/>
          </w:tblCellMar>
        </w:tblPrEx>
        <w:trPr>
          <w:wBefore w:w="0" w:type="auto"/>
          <w:tblCellSpacing w:w="0" w:type="dxa"/>
        </w:trPr>
        <w:tc>
          <w:tcPr>
            <w:tcW w:w="0" w:type="auto"/>
            <w:noWrap w:val="0"/>
            <w:vAlign w:val="center"/>
          </w:tcPr>
          <w:p w14:paraId="1FCB3F77">
            <w:r>
              <w:rPr>
                <w:rStyle w:val="10"/>
                <w:rFonts w:hint="eastAsia"/>
              </w:rPr>
              <w:t>毒性及其标识：</w:t>
            </w:r>
            <w:r>
              <w:rPr>
                <w:rFonts w:hint="eastAsia"/>
              </w:rPr>
              <w:t xml:space="preserve"> </w:t>
            </w:r>
            <w:r>
              <w:rPr>
                <w:lang/>
              </w:rPr>
              <w:drawing>
                <wp:inline distT="0" distB="0" distL="114300" distR="114300">
                  <wp:extent cx="476250" cy="323850"/>
                  <wp:effectExtent l="0" t="0" r="0" b="0"/>
                  <wp:docPr id="489" name="图片 48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CD15713">
        <w:tblPrEx>
          <w:tblCellMar>
            <w:top w:w="0" w:type="dxa"/>
            <w:left w:w="0" w:type="dxa"/>
            <w:bottom w:w="0" w:type="dxa"/>
            <w:right w:w="0" w:type="dxa"/>
          </w:tblCellMar>
        </w:tblPrEx>
        <w:trPr>
          <w:wBefore w:w="0" w:type="auto"/>
          <w:tblCellSpacing w:w="0" w:type="dxa"/>
        </w:trPr>
        <w:tc>
          <w:tcPr>
            <w:tcW w:w="0" w:type="auto"/>
            <w:noWrap w:val="0"/>
            <w:vAlign w:val="center"/>
          </w:tcPr>
          <w:p w14:paraId="06063BB7">
            <w:r>
              <w:rPr>
                <w:rStyle w:val="10"/>
                <w:rFonts w:hint="eastAsia"/>
              </w:rPr>
              <w:t>总有效成分含量：</w:t>
            </w:r>
            <w:r>
              <w:rPr>
                <w:rFonts w:hint="eastAsia"/>
              </w:rPr>
              <w:t>55%</w:t>
            </w:r>
          </w:p>
        </w:tc>
      </w:tr>
      <w:tr w14:paraId="64FE6DD5">
        <w:tblPrEx>
          <w:tblCellMar>
            <w:top w:w="0" w:type="dxa"/>
            <w:left w:w="0" w:type="dxa"/>
            <w:bottom w:w="0" w:type="dxa"/>
            <w:right w:w="0" w:type="dxa"/>
          </w:tblCellMar>
        </w:tblPrEx>
        <w:trPr>
          <w:wBefore w:w="0" w:type="auto"/>
          <w:tblCellSpacing w:w="0" w:type="dxa"/>
        </w:trPr>
        <w:tc>
          <w:tcPr>
            <w:tcW w:w="0" w:type="auto"/>
            <w:noWrap w:val="0"/>
            <w:vAlign w:val="center"/>
          </w:tcPr>
          <w:p w14:paraId="44CAD1AD">
            <w:r>
              <w:rPr>
                <w:rFonts w:hint="eastAsia"/>
              </w:rPr>
              <w:t xml:space="preserve">有效成分及其含量： </w:t>
            </w:r>
          </w:p>
          <w:p w14:paraId="574C1FD1">
            <w:r>
              <w:rPr>
                <w:rFonts w:hint="eastAsia"/>
              </w:rPr>
              <w:t xml:space="preserve">    草甘膦50%    2甲4氯3%    乙羧氟草醚2%    </w:t>
            </w:r>
          </w:p>
        </w:tc>
      </w:tr>
      <w:tr w14:paraId="6BB8CAF4">
        <w:tblPrEx>
          <w:tblCellMar>
            <w:top w:w="0" w:type="dxa"/>
            <w:left w:w="0" w:type="dxa"/>
            <w:bottom w:w="0" w:type="dxa"/>
            <w:right w:w="0" w:type="dxa"/>
          </w:tblCellMar>
        </w:tblPrEx>
        <w:trPr>
          <w:wBefore w:w="0" w:type="auto"/>
          <w:tblCellSpacing w:w="0" w:type="dxa"/>
        </w:trPr>
        <w:tc>
          <w:tcPr>
            <w:tcW w:w="0" w:type="auto"/>
            <w:noWrap w:val="0"/>
            <w:vAlign w:val="center"/>
          </w:tcPr>
          <w:p w14:paraId="7EB83E1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1F62E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9A338A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6175F1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1DDA97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87C58D1">
                  <w:r>
                    <w:rPr>
                      <w:rStyle w:val="11"/>
                      <w:rFonts w:hint="eastAsia"/>
                    </w:rPr>
                    <w:t>施用方式</w:t>
                  </w:r>
                </w:p>
              </w:tc>
            </w:tr>
            <w:tr w14:paraId="5966A3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E803DD6">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620F3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326F26">
                  <w:r>
                    <w:rPr>
                      <w:rStyle w:val="11"/>
                      <w:rFonts w:hint="eastAsia"/>
                    </w:rPr>
                    <w:t>60-100克/亩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DE548D">
                  <w:r>
                    <w:rPr>
                      <w:rStyle w:val="11"/>
                      <w:rFonts w:hint="eastAsia"/>
                    </w:rPr>
                    <w:t>茎叶喷雾</w:t>
                  </w:r>
                </w:p>
              </w:tc>
            </w:tr>
          </w:tbl>
          <w:p w14:paraId="0933C483">
            <w:pPr>
              <w:rPr>
                <w:rFonts w:ascii="Times New Roman" w:hAnsi="Times New Roman" w:cs="Times New Roman"/>
                <w:sz w:val="20"/>
                <w:szCs w:val="20"/>
              </w:rPr>
            </w:pPr>
          </w:p>
        </w:tc>
      </w:tr>
      <w:tr w14:paraId="13E04219">
        <w:tblPrEx>
          <w:tblCellMar>
            <w:top w:w="0" w:type="dxa"/>
            <w:left w:w="0" w:type="dxa"/>
            <w:bottom w:w="0" w:type="dxa"/>
            <w:right w:w="0" w:type="dxa"/>
          </w:tblCellMar>
        </w:tblPrEx>
        <w:trPr>
          <w:wBefore w:w="0" w:type="auto"/>
          <w:tblCellSpacing w:w="0" w:type="dxa"/>
        </w:trPr>
        <w:tc>
          <w:tcPr>
            <w:tcW w:w="0" w:type="auto"/>
            <w:noWrap w:val="0"/>
            <w:vAlign w:val="center"/>
          </w:tcPr>
          <w:p w14:paraId="667983BB">
            <w:r>
              <w:rPr>
                <w:rStyle w:val="10"/>
                <w:rFonts w:hint="eastAsia"/>
              </w:rPr>
              <w:t>使用技术要求:</w:t>
            </w:r>
            <w:r>
              <w:rPr>
                <w:rFonts w:hint="eastAsia"/>
              </w:rPr>
              <w:br w:type="textWrapping"/>
            </w:r>
            <w:r>
              <w:rPr>
                <w:rStyle w:val="11"/>
                <w:rFonts w:hint="eastAsia"/>
              </w:rPr>
              <w:t>1、在杂草生长旺盛期施药，选择温度较高的晴天，光照较强时，均匀喷雾。2、在杂草生长后期和在气温较低时，应酌情增加施药量。3、大风天请勿施药，注意避免漂移药害。4、禁止在田间道路、田埂、果树行间、休耕地、林场林地等农林业区域使用。</w:t>
            </w:r>
          </w:p>
        </w:tc>
      </w:tr>
      <w:tr w14:paraId="4CAB47C3">
        <w:tblPrEx>
          <w:tblCellMar>
            <w:top w:w="0" w:type="dxa"/>
            <w:left w:w="0" w:type="dxa"/>
            <w:bottom w:w="0" w:type="dxa"/>
            <w:right w:w="0" w:type="dxa"/>
          </w:tblCellMar>
        </w:tblPrEx>
        <w:trPr>
          <w:wBefore w:w="0" w:type="auto"/>
          <w:tblCellSpacing w:w="0" w:type="dxa"/>
        </w:trPr>
        <w:tc>
          <w:tcPr>
            <w:tcW w:w="0" w:type="auto"/>
            <w:noWrap w:val="0"/>
            <w:vAlign w:val="center"/>
          </w:tcPr>
          <w:p w14:paraId="30DAADF9">
            <w:r>
              <w:rPr>
                <w:rStyle w:val="10"/>
                <w:rFonts w:hint="eastAsia"/>
              </w:rPr>
              <w:t>产品性能:</w:t>
            </w:r>
            <w:r>
              <w:rPr>
                <w:rFonts w:hint="eastAsia"/>
              </w:rPr>
              <w:br w:type="textWrapping"/>
            </w:r>
            <w:r>
              <w:rPr>
                <w:rStyle w:val="11"/>
                <w:rFonts w:hint="eastAsia"/>
              </w:rPr>
              <w:t>本品为内吸传导型的灭生性除草剂草甘膦、苯氧羧酸类除草剂2甲4氯与选择性的芽前除草剂乙羧氟草醚的复配剂，用于非耕地杂草生长旺盛期喷雾，一般杂草受药后7-15天枯黄而死，防除非耕地一年生杂草有良好效果。</w:t>
            </w:r>
          </w:p>
        </w:tc>
      </w:tr>
      <w:tr w14:paraId="35748CC2">
        <w:tblPrEx>
          <w:tblCellMar>
            <w:top w:w="0" w:type="dxa"/>
            <w:left w:w="0" w:type="dxa"/>
            <w:bottom w:w="0" w:type="dxa"/>
            <w:right w:w="0" w:type="dxa"/>
          </w:tblCellMar>
        </w:tblPrEx>
        <w:trPr>
          <w:wBefore w:w="0" w:type="auto"/>
          <w:tblCellSpacing w:w="0" w:type="dxa"/>
        </w:trPr>
        <w:tc>
          <w:tcPr>
            <w:tcW w:w="0" w:type="auto"/>
            <w:noWrap w:val="0"/>
            <w:vAlign w:val="center"/>
          </w:tcPr>
          <w:p w14:paraId="44EA0FDA">
            <w:r>
              <w:rPr>
                <w:rStyle w:val="10"/>
                <w:rFonts w:hint="eastAsia"/>
              </w:rPr>
              <w:t>注意事项：</w:t>
            </w:r>
            <w:r>
              <w:rPr>
                <w:rFonts w:hint="eastAsia"/>
              </w:rPr>
              <w:br w:type="textWrapping"/>
            </w:r>
            <w:r>
              <w:rPr>
                <w:rStyle w:val="11"/>
                <w:rFonts w:hint="eastAsia"/>
              </w:rPr>
              <w:t>1、草甘膦与土壤接触失去活性，配置药液勿用浊水以免降低药效，选择晴天喷药。2、施药时应防止药液漂移到苹果树幼嫩茎叶上及邻近作物田。3、本品对鱼虾有一定的毒性，禁止将药液倒入河塘、鱼塘中；水产养殖区、河塘等水体附近禁用，禁止在河塘等水体中清洗施药器具。4、施药时穿戴长衣、长裤、帽子、口罩、手套等安全防护措施；施药时不能饮水、吸烟等；施药后洗干净手脸等。5、废弃物要妥善处理，不能随意丢弃，也不能做他用，并请按相关要求处理。6、避免孕妇及哺乳期妇女接触本品。</w:t>
            </w:r>
          </w:p>
        </w:tc>
      </w:tr>
      <w:tr w14:paraId="0E04B725">
        <w:tblPrEx>
          <w:tblCellMar>
            <w:top w:w="0" w:type="dxa"/>
            <w:left w:w="0" w:type="dxa"/>
            <w:bottom w:w="0" w:type="dxa"/>
            <w:right w:w="0" w:type="dxa"/>
          </w:tblCellMar>
        </w:tblPrEx>
        <w:trPr>
          <w:wBefore w:w="0" w:type="auto"/>
          <w:tblCellSpacing w:w="0" w:type="dxa"/>
        </w:trPr>
        <w:tc>
          <w:tcPr>
            <w:tcW w:w="0" w:type="auto"/>
            <w:noWrap w:val="0"/>
            <w:vAlign w:val="center"/>
          </w:tcPr>
          <w:p w14:paraId="5276836E">
            <w:r>
              <w:rPr>
                <w:rStyle w:val="10"/>
                <w:rFonts w:hint="eastAsia"/>
              </w:rPr>
              <w:t>中毒急救措施：</w:t>
            </w:r>
            <w:r>
              <w:rPr>
                <w:rFonts w:hint="eastAsia"/>
              </w:rPr>
              <w:br w:type="textWrapping"/>
            </w:r>
            <w:r>
              <w:rPr>
                <w:rStyle w:val="11"/>
                <w:rFonts w:hint="eastAsia"/>
              </w:rPr>
              <w:t>对眼睛有刺激性，使用时避免接触眼睛。 如药液溅到皮肤上，应立即用大量清水冲洗；溅入眼睛中，立即用清水冲洗至少15分钟，仍有不适时，就医。如误服本品，无特殊解毒剂，带标签送医院，对症治疗。</w:t>
            </w:r>
          </w:p>
        </w:tc>
      </w:tr>
      <w:tr w14:paraId="4038BA19">
        <w:tblPrEx>
          <w:tblCellMar>
            <w:top w:w="0" w:type="dxa"/>
            <w:left w:w="0" w:type="dxa"/>
            <w:bottom w:w="0" w:type="dxa"/>
            <w:right w:w="0" w:type="dxa"/>
          </w:tblCellMar>
        </w:tblPrEx>
        <w:trPr>
          <w:wBefore w:w="0" w:type="auto"/>
          <w:tblCellSpacing w:w="0" w:type="dxa"/>
        </w:trPr>
        <w:tc>
          <w:tcPr>
            <w:tcW w:w="0" w:type="auto"/>
            <w:noWrap w:val="0"/>
            <w:vAlign w:val="center"/>
          </w:tcPr>
          <w:p w14:paraId="70BA4915">
            <w:r>
              <w:rPr>
                <w:rStyle w:val="10"/>
                <w:rFonts w:hint="eastAsia"/>
              </w:rPr>
              <w:t>储存和运输方法：</w:t>
            </w:r>
            <w:r>
              <w:rPr>
                <w:rFonts w:hint="eastAsia"/>
              </w:rPr>
              <w:br w:type="textWrapping"/>
            </w:r>
            <w:r>
              <w:rPr>
                <w:rStyle w:val="11"/>
                <w:rFonts w:hint="eastAsia"/>
              </w:rPr>
              <w:t>本品应存放在阴凉干燥通风处，避光保存，并远离火源或热源及儿童存放，并加锁。不可与食品、饮料、粮食、饲料等同贮同运。</w:t>
            </w:r>
          </w:p>
        </w:tc>
      </w:tr>
      <w:tr w14:paraId="54C60292">
        <w:tblPrEx>
          <w:tblCellMar>
            <w:top w:w="0" w:type="dxa"/>
            <w:left w:w="0" w:type="dxa"/>
            <w:bottom w:w="0" w:type="dxa"/>
            <w:right w:w="0" w:type="dxa"/>
          </w:tblCellMar>
        </w:tblPrEx>
        <w:trPr>
          <w:wBefore w:w="0" w:type="auto"/>
          <w:tblCellSpacing w:w="0" w:type="dxa"/>
        </w:trPr>
        <w:tc>
          <w:tcPr>
            <w:tcW w:w="0" w:type="auto"/>
            <w:noWrap w:val="0"/>
            <w:vAlign w:val="center"/>
          </w:tcPr>
          <w:p w14:paraId="628FD9C4">
            <w:r>
              <w:rPr>
                <w:rStyle w:val="10"/>
                <w:rFonts w:hint="eastAsia"/>
              </w:rPr>
              <w:t>质量保证期：</w:t>
            </w:r>
            <w:r>
              <w:rPr>
                <w:rStyle w:val="11"/>
                <w:rFonts w:hint="eastAsia"/>
              </w:rPr>
              <w:t>2年</w:t>
            </w:r>
          </w:p>
        </w:tc>
      </w:tr>
      <w:tr w14:paraId="460B50A5">
        <w:tblPrEx>
          <w:tblCellMar>
            <w:top w:w="0" w:type="dxa"/>
            <w:left w:w="0" w:type="dxa"/>
            <w:bottom w:w="0" w:type="dxa"/>
            <w:right w:w="0" w:type="dxa"/>
          </w:tblCellMar>
        </w:tblPrEx>
        <w:trPr>
          <w:wBefore w:w="0" w:type="auto"/>
          <w:tblCellSpacing w:w="0" w:type="dxa"/>
        </w:trPr>
        <w:tc>
          <w:tcPr>
            <w:tcW w:w="0" w:type="auto"/>
            <w:noWrap w:val="0"/>
            <w:vAlign w:val="center"/>
          </w:tcPr>
          <w:p w14:paraId="64C0CF69">
            <w:r>
              <w:rPr>
                <w:rStyle w:val="10"/>
                <w:rFonts w:hint="eastAsia"/>
              </w:rPr>
              <w:t>备注：</w:t>
            </w:r>
            <w:r>
              <w:rPr>
                <w:rFonts w:hint="eastAsia"/>
              </w:rPr>
              <w:br w:type="textWrapping"/>
            </w:r>
            <w:r>
              <w:rPr>
                <w:rStyle w:val="11"/>
                <w:rFonts w:hint="eastAsia"/>
              </w:rPr>
              <w:t>草甘膦铵盐55%；2甲4氯钠盐3.3%</w:t>
            </w:r>
          </w:p>
        </w:tc>
      </w:tr>
    </w:tbl>
    <w:p w14:paraId="1B5385E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6153E42">
        <w:tblPrEx>
          <w:tblCellMar>
            <w:top w:w="0" w:type="dxa"/>
            <w:left w:w="0" w:type="dxa"/>
            <w:bottom w:w="0" w:type="dxa"/>
            <w:right w:w="0" w:type="dxa"/>
          </w:tblCellMar>
        </w:tblPrEx>
        <w:trPr>
          <w:wBefore w:w="0" w:type="auto"/>
          <w:tblCellSpacing w:w="0" w:type="dxa"/>
        </w:trPr>
        <w:tc>
          <w:tcPr>
            <w:tcW w:w="0" w:type="auto"/>
            <w:noWrap w:val="0"/>
            <w:vAlign w:val="center"/>
          </w:tcPr>
          <w:p w14:paraId="73FAD6C7">
            <w:r>
              <w:rPr>
                <w:rStyle w:val="10"/>
                <w:rFonts w:hint="eastAsia"/>
              </w:rPr>
              <w:t>登记证号：</w:t>
            </w:r>
            <w:r>
              <w:rPr>
                <w:rFonts w:hint="eastAsia"/>
              </w:rPr>
              <w:t>PD20211793</w:t>
            </w:r>
          </w:p>
        </w:tc>
      </w:tr>
      <w:tr w14:paraId="247662E8">
        <w:tblPrEx>
          <w:tblCellMar>
            <w:top w:w="0" w:type="dxa"/>
            <w:left w:w="0" w:type="dxa"/>
            <w:bottom w:w="0" w:type="dxa"/>
            <w:right w:w="0" w:type="dxa"/>
          </w:tblCellMar>
        </w:tblPrEx>
        <w:trPr>
          <w:wBefore w:w="0" w:type="auto"/>
          <w:tblCellSpacing w:w="0" w:type="dxa"/>
        </w:trPr>
        <w:tc>
          <w:tcPr>
            <w:tcW w:w="0" w:type="auto"/>
            <w:noWrap w:val="0"/>
            <w:vAlign w:val="center"/>
          </w:tcPr>
          <w:p w14:paraId="39E546C4">
            <w:r>
              <w:rPr>
                <w:rStyle w:val="10"/>
                <w:rFonts w:hint="eastAsia"/>
              </w:rPr>
              <w:t>登记证持有人：</w:t>
            </w:r>
            <w:r>
              <w:rPr>
                <w:rFonts w:hint="eastAsia"/>
              </w:rPr>
              <w:t>史迪克生物科技（河南）有限公司</w:t>
            </w:r>
          </w:p>
        </w:tc>
      </w:tr>
      <w:tr w14:paraId="6FAC89EB">
        <w:tblPrEx>
          <w:tblCellMar>
            <w:top w:w="0" w:type="dxa"/>
            <w:left w:w="0" w:type="dxa"/>
            <w:bottom w:w="0" w:type="dxa"/>
            <w:right w:w="0" w:type="dxa"/>
          </w:tblCellMar>
        </w:tblPrEx>
        <w:trPr>
          <w:wBefore w:w="0" w:type="auto"/>
          <w:tblCellSpacing w:w="0" w:type="dxa"/>
        </w:trPr>
        <w:tc>
          <w:tcPr>
            <w:tcW w:w="0" w:type="auto"/>
            <w:noWrap w:val="0"/>
            <w:vAlign w:val="center"/>
          </w:tcPr>
          <w:p w14:paraId="63D5A80F">
            <w:r>
              <w:rPr>
                <w:rStyle w:val="10"/>
                <w:rFonts w:hint="eastAsia"/>
              </w:rPr>
              <w:t>农药名称：</w:t>
            </w:r>
            <w:r>
              <w:rPr>
                <w:rFonts w:hint="eastAsia"/>
              </w:rPr>
              <w:t>氟啶虫酰胺</w:t>
            </w:r>
          </w:p>
        </w:tc>
      </w:tr>
      <w:tr w14:paraId="20A5F62B">
        <w:tblPrEx>
          <w:tblCellMar>
            <w:top w:w="0" w:type="dxa"/>
            <w:left w:w="0" w:type="dxa"/>
            <w:bottom w:w="0" w:type="dxa"/>
            <w:right w:w="0" w:type="dxa"/>
          </w:tblCellMar>
        </w:tblPrEx>
        <w:trPr>
          <w:wBefore w:w="0" w:type="auto"/>
          <w:tblCellSpacing w:w="0" w:type="dxa"/>
        </w:trPr>
        <w:tc>
          <w:tcPr>
            <w:tcW w:w="0" w:type="auto"/>
            <w:noWrap w:val="0"/>
            <w:vAlign w:val="center"/>
          </w:tcPr>
          <w:p w14:paraId="59A96DC5">
            <w:r>
              <w:rPr>
                <w:rStyle w:val="10"/>
                <w:rFonts w:hint="eastAsia"/>
              </w:rPr>
              <w:t>剂型：</w:t>
            </w:r>
            <w:r>
              <w:rPr>
                <w:rFonts w:hint="eastAsia"/>
              </w:rPr>
              <w:t>水分散粒剂</w:t>
            </w:r>
          </w:p>
        </w:tc>
      </w:tr>
      <w:tr w14:paraId="345B61E3">
        <w:tblPrEx>
          <w:tblCellMar>
            <w:top w:w="0" w:type="dxa"/>
            <w:left w:w="0" w:type="dxa"/>
            <w:bottom w:w="0" w:type="dxa"/>
            <w:right w:w="0" w:type="dxa"/>
          </w:tblCellMar>
        </w:tblPrEx>
        <w:trPr>
          <w:wBefore w:w="0" w:type="auto"/>
          <w:tblCellSpacing w:w="0" w:type="dxa"/>
        </w:trPr>
        <w:tc>
          <w:tcPr>
            <w:tcW w:w="0" w:type="auto"/>
            <w:noWrap w:val="0"/>
            <w:vAlign w:val="center"/>
          </w:tcPr>
          <w:p w14:paraId="4A488A07">
            <w:r>
              <w:rPr>
                <w:rStyle w:val="10"/>
                <w:rFonts w:hint="eastAsia"/>
              </w:rPr>
              <w:t>毒性及其标识：</w:t>
            </w:r>
            <w:r>
              <w:rPr>
                <w:rFonts w:hint="eastAsia"/>
              </w:rPr>
              <w:t xml:space="preserve"> 微毒 </w:t>
            </w:r>
          </w:p>
        </w:tc>
      </w:tr>
      <w:tr w14:paraId="51A1C145">
        <w:tblPrEx>
          <w:tblCellMar>
            <w:top w:w="0" w:type="dxa"/>
            <w:left w:w="0" w:type="dxa"/>
            <w:bottom w:w="0" w:type="dxa"/>
            <w:right w:w="0" w:type="dxa"/>
          </w:tblCellMar>
        </w:tblPrEx>
        <w:trPr>
          <w:wBefore w:w="0" w:type="auto"/>
          <w:tblCellSpacing w:w="0" w:type="dxa"/>
        </w:trPr>
        <w:tc>
          <w:tcPr>
            <w:tcW w:w="0" w:type="auto"/>
            <w:noWrap w:val="0"/>
            <w:vAlign w:val="center"/>
          </w:tcPr>
          <w:p w14:paraId="452E0115">
            <w:r>
              <w:rPr>
                <w:rStyle w:val="10"/>
                <w:rFonts w:hint="eastAsia"/>
              </w:rPr>
              <w:t>总有效成分含量：</w:t>
            </w:r>
            <w:r>
              <w:rPr>
                <w:rFonts w:hint="eastAsia"/>
              </w:rPr>
              <w:t>50%</w:t>
            </w:r>
          </w:p>
        </w:tc>
      </w:tr>
      <w:tr w14:paraId="415C95E8">
        <w:tblPrEx>
          <w:tblCellMar>
            <w:top w:w="0" w:type="dxa"/>
            <w:left w:w="0" w:type="dxa"/>
            <w:bottom w:w="0" w:type="dxa"/>
            <w:right w:w="0" w:type="dxa"/>
          </w:tblCellMar>
        </w:tblPrEx>
        <w:trPr>
          <w:wBefore w:w="0" w:type="auto"/>
          <w:tblCellSpacing w:w="0" w:type="dxa"/>
        </w:trPr>
        <w:tc>
          <w:tcPr>
            <w:tcW w:w="0" w:type="auto"/>
            <w:noWrap w:val="0"/>
            <w:vAlign w:val="center"/>
          </w:tcPr>
          <w:p w14:paraId="1EA15FC9">
            <w:r>
              <w:rPr>
                <w:rFonts w:hint="eastAsia"/>
              </w:rPr>
              <w:t xml:space="preserve">有效成分及其含量： </w:t>
            </w:r>
          </w:p>
          <w:p w14:paraId="572776D7">
            <w:r>
              <w:rPr>
                <w:rFonts w:hint="eastAsia"/>
              </w:rPr>
              <w:t xml:space="preserve">    氟啶虫酰胺50%    </w:t>
            </w:r>
          </w:p>
        </w:tc>
      </w:tr>
      <w:tr w14:paraId="21AF2F9C">
        <w:tblPrEx>
          <w:tblCellMar>
            <w:top w:w="0" w:type="dxa"/>
            <w:left w:w="0" w:type="dxa"/>
            <w:bottom w:w="0" w:type="dxa"/>
            <w:right w:w="0" w:type="dxa"/>
          </w:tblCellMar>
        </w:tblPrEx>
        <w:trPr>
          <w:wBefore w:w="0" w:type="auto"/>
          <w:tblCellSpacing w:w="0" w:type="dxa"/>
        </w:trPr>
        <w:tc>
          <w:tcPr>
            <w:tcW w:w="0" w:type="auto"/>
            <w:noWrap w:val="0"/>
            <w:vAlign w:val="center"/>
          </w:tcPr>
          <w:p w14:paraId="21F981C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11DB9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B5CF9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ADCA72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C7B821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A4A921">
                  <w:r>
                    <w:rPr>
                      <w:rStyle w:val="11"/>
                      <w:rFonts w:hint="eastAsia"/>
                    </w:rPr>
                    <w:t>施用方式</w:t>
                  </w:r>
                </w:p>
              </w:tc>
            </w:tr>
            <w:tr w14:paraId="73414D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BFC83F7">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C13B97">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79C00C">
                  <w:r>
                    <w:rPr>
                      <w:rStyle w:val="11"/>
                      <w:rFonts w:hint="eastAsia"/>
                    </w:rPr>
                    <w:t>6-10克/亩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B3AB33">
                  <w:r>
                    <w:rPr>
                      <w:rStyle w:val="11"/>
                      <w:rFonts w:hint="eastAsia"/>
                    </w:rPr>
                    <w:t>喷雾</w:t>
                  </w:r>
                </w:p>
              </w:tc>
            </w:tr>
          </w:tbl>
          <w:p w14:paraId="68C59314">
            <w:pPr>
              <w:rPr>
                <w:rFonts w:ascii="Times New Roman" w:hAnsi="Times New Roman" w:cs="Times New Roman"/>
                <w:sz w:val="20"/>
                <w:szCs w:val="20"/>
              </w:rPr>
            </w:pPr>
          </w:p>
        </w:tc>
      </w:tr>
      <w:tr w14:paraId="19A76FC9">
        <w:tblPrEx>
          <w:tblCellMar>
            <w:top w:w="0" w:type="dxa"/>
            <w:left w:w="0" w:type="dxa"/>
            <w:bottom w:w="0" w:type="dxa"/>
            <w:right w:w="0" w:type="dxa"/>
          </w:tblCellMar>
        </w:tblPrEx>
        <w:trPr>
          <w:wBefore w:w="0" w:type="auto"/>
          <w:tblCellSpacing w:w="0" w:type="dxa"/>
        </w:trPr>
        <w:tc>
          <w:tcPr>
            <w:tcW w:w="0" w:type="auto"/>
            <w:noWrap w:val="0"/>
            <w:vAlign w:val="center"/>
          </w:tcPr>
          <w:p w14:paraId="22F623D4">
            <w:r>
              <w:rPr>
                <w:rStyle w:val="10"/>
                <w:rFonts w:hint="eastAsia"/>
              </w:rPr>
              <w:t>使用技术要求:</w:t>
            </w:r>
            <w:r>
              <w:rPr>
                <w:rFonts w:hint="eastAsia"/>
              </w:rPr>
              <w:br w:type="textWrapping"/>
            </w:r>
            <w:r>
              <w:rPr>
                <w:rStyle w:val="11"/>
                <w:rFonts w:hint="eastAsia"/>
              </w:rPr>
              <w:t>1.施药时间：于蚜虫低龄幼虫盛发期施药，注意喷雾均匀；大风天或预计1小时之内有雨，请勿施药。2. 每季作物最多使用次数1次，安全间隔期为3天。</w:t>
            </w:r>
          </w:p>
        </w:tc>
      </w:tr>
      <w:tr w14:paraId="59E9E302">
        <w:tblPrEx>
          <w:tblCellMar>
            <w:top w:w="0" w:type="dxa"/>
            <w:left w:w="0" w:type="dxa"/>
            <w:bottom w:w="0" w:type="dxa"/>
            <w:right w:w="0" w:type="dxa"/>
          </w:tblCellMar>
        </w:tblPrEx>
        <w:trPr>
          <w:wBefore w:w="0" w:type="auto"/>
          <w:tblCellSpacing w:w="0" w:type="dxa"/>
        </w:trPr>
        <w:tc>
          <w:tcPr>
            <w:tcW w:w="0" w:type="auto"/>
            <w:noWrap w:val="0"/>
            <w:vAlign w:val="center"/>
          </w:tcPr>
          <w:p w14:paraId="027FD6E3">
            <w:r>
              <w:rPr>
                <w:rStyle w:val="10"/>
                <w:rFonts w:hint="eastAsia"/>
              </w:rPr>
              <w:t>产品性能:</w:t>
            </w:r>
            <w:r>
              <w:rPr>
                <w:rFonts w:hint="eastAsia"/>
              </w:rPr>
              <w:br w:type="textWrapping"/>
            </w:r>
            <w:r>
              <w:rPr>
                <w:rStyle w:val="11"/>
                <w:rFonts w:hint="eastAsia"/>
              </w:rPr>
              <w:t>本品是一种新型低毒吡啶酰胺类昆虫生长调节剂类杀虫剂，除具有触杀和胃毒作用，还具有很好的神经毒剂和快速拒食作用。蚜虫等刺吸式口器害虫取食吸入带有氟啶虫酰胺的植物汁液后，会被迅速阻止吸汁，1小时之内完全没有排泄物出现，最终因饥饿而死亡。</w:t>
            </w:r>
          </w:p>
        </w:tc>
      </w:tr>
      <w:tr w14:paraId="1F7FB004">
        <w:tblPrEx>
          <w:tblCellMar>
            <w:top w:w="0" w:type="dxa"/>
            <w:left w:w="0" w:type="dxa"/>
            <w:bottom w:w="0" w:type="dxa"/>
            <w:right w:w="0" w:type="dxa"/>
          </w:tblCellMar>
        </w:tblPrEx>
        <w:trPr>
          <w:wBefore w:w="0" w:type="auto"/>
          <w:tblCellSpacing w:w="0" w:type="dxa"/>
        </w:trPr>
        <w:tc>
          <w:tcPr>
            <w:tcW w:w="0" w:type="auto"/>
            <w:noWrap w:val="0"/>
            <w:vAlign w:val="center"/>
          </w:tcPr>
          <w:p w14:paraId="4996ECAD">
            <w:r>
              <w:rPr>
                <w:rStyle w:val="10"/>
                <w:rFonts w:hint="eastAsia"/>
              </w:rPr>
              <w:t>注意事项：</w:t>
            </w:r>
            <w:r>
              <w:rPr>
                <w:rFonts w:hint="eastAsia"/>
              </w:rPr>
              <w:br w:type="textWrapping"/>
            </w:r>
            <w:r>
              <w:rPr>
                <w:rStyle w:val="11"/>
                <w:rFonts w:hint="eastAsia"/>
              </w:rPr>
              <w:t>1、根据所需药量调制药液，调制后的药液要一次用完。2、由于该药剂为昆虫拒食剂，因此施药后2-3天肉眼才能看到害虫死亡。注意不要重复施药。3、施药时应避免药液污染河塘等水源地；桑园及蚕室附近禁用。4、建议与其他作用机制不同的杀虫剂轮换使用，以延缓抗性产生。5、使用本品时应穿戴防护服和手套，避免吸入药液。施药期间不可吃东西和饮水。施药后应及时洗手和洗脸。6、用过的容器应妥善处理，不可做他用，也不也随意丢弃。 7、避免孕妇及哺乳期的妇女接触。 严格按照本标签使用、操作、贮藏本品。</w:t>
            </w:r>
          </w:p>
        </w:tc>
      </w:tr>
      <w:tr w14:paraId="5A05379D">
        <w:tblPrEx>
          <w:tblCellMar>
            <w:top w:w="0" w:type="dxa"/>
            <w:left w:w="0" w:type="dxa"/>
            <w:bottom w:w="0" w:type="dxa"/>
            <w:right w:w="0" w:type="dxa"/>
          </w:tblCellMar>
        </w:tblPrEx>
        <w:trPr>
          <w:wBefore w:w="0" w:type="auto"/>
          <w:tblCellSpacing w:w="0" w:type="dxa"/>
        </w:trPr>
        <w:tc>
          <w:tcPr>
            <w:tcW w:w="0" w:type="auto"/>
            <w:noWrap w:val="0"/>
            <w:vAlign w:val="center"/>
          </w:tcPr>
          <w:p w14:paraId="30F5ECC5">
            <w:r>
              <w:rPr>
                <w:rStyle w:val="10"/>
                <w:rFonts w:hint="eastAsia"/>
              </w:rPr>
              <w:t>中毒急救措施：</w:t>
            </w:r>
            <w:r>
              <w:rPr>
                <w:rFonts w:hint="eastAsia"/>
              </w:rPr>
              <w:br w:type="textWrapping"/>
            </w:r>
            <w:r>
              <w:rPr>
                <w:rStyle w:val="11"/>
                <w:rFonts w:hint="eastAsia"/>
              </w:rPr>
              <w:t>中毒症状：抽搐、痉挛、恶心、呕吐等。急救措施：如果药剂溅入眼睛，立即将眼睑翻开，用清水冲洗至少15分钟，再请医生诊治；如果接触皮肤，立即脱掉被污染的衣物，用肥皂和大量清水彻底清洗受污染的皮肤；如误服，喝大量的水，并立即携标签将病人送医院就诊</w:t>
            </w:r>
          </w:p>
        </w:tc>
      </w:tr>
      <w:tr w14:paraId="7134E27D">
        <w:tblPrEx>
          <w:tblCellMar>
            <w:top w:w="0" w:type="dxa"/>
            <w:left w:w="0" w:type="dxa"/>
            <w:bottom w:w="0" w:type="dxa"/>
            <w:right w:w="0" w:type="dxa"/>
          </w:tblCellMar>
        </w:tblPrEx>
        <w:trPr>
          <w:wBefore w:w="0" w:type="auto"/>
          <w:tblCellSpacing w:w="0" w:type="dxa"/>
        </w:trPr>
        <w:tc>
          <w:tcPr>
            <w:tcW w:w="0" w:type="auto"/>
            <w:noWrap w:val="0"/>
            <w:vAlign w:val="center"/>
          </w:tcPr>
          <w:p w14:paraId="3E5E024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本品应贮存在干燥、阴凉、通风、防雨处，远离火源或热源。置于儿童、无关人员触及不到之处，并加锁。不能与食品、饮料、粮食、饲料等物品同贮同存。</w:t>
            </w:r>
          </w:p>
        </w:tc>
      </w:tr>
      <w:tr w14:paraId="53415667">
        <w:tblPrEx>
          <w:tblCellMar>
            <w:top w:w="0" w:type="dxa"/>
            <w:left w:w="0" w:type="dxa"/>
            <w:bottom w:w="0" w:type="dxa"/>
            <w:right w:w="0" w:type="dxa"/>
          </w:tblCellMar>
        </w:tblPrEx>
        <w:trPr>
          <w:wBefore w:w="0" w:type="auto"/>
          <w:tblCellSpacing w:w="0" w:type="dxa"/>
        </w:trPr>
        <w:tc>
          <w:tcPr>
            <w:tcW w:w="0" w:type="auto"/>
            <w:noWrap w:val="0"/>
            <w:vAlign w:val="center"/>
          </w:tcPr>
          <w:p w14:paraId="22938335">
            <w:r>
              <w:rPr>
                <w:rStyle w:val="10"/>
                <w:rFonts w:hint="eastAsia"/>
              </w:rPr>
              <w:t>质量保证期：</w:t>
            </w:r>
            <w:r>
              <w:rPr>
                <w:rStyle w:val="11"/>
                <w:rFonts w:hint="eastAsia"/>
              </w:rPr>
              <w:t>2年</w:t>
            </w:r>
          </w:p>
        </w:tc>
      </w:tr>
      <w:tr w14:paraId="10773F68">
        <w:tblPrEx>
          <w:tblCellMar>
            <w:top w:w="0" w:type="dxa"/>
            <w:left w:w="0" w:type="dxa"/>
            <w:bottom w:w="0" w:type="dxa"/>
            <w:right w:w="0" w:type="dxa"/>
          </w:tblCellMar>
        </w:tblPrEx>
        <w:trPr>
          <w:wBefore w:w="0" w:type="auto"/>
          <w:tblCellSpacing w:w="0" w:type="dxa"/>
        </w:trPr>
        <w:tc>
          <w:tcPr>
            <w:tcW w:w="0" w:type="auto"/>
            <w:noWrap w:val="0"/>
            <w:vAlign w:val="center"/>
          </w:tcPr>
          <w:p w14:paraId="524533B8">
            <w:r>
              <w:rPr>
                <w:rStyle w:val="10"/>
                <w:rFonts w:hint="eastAsia"/>
              </w:rPr>
              <w:t>备注：</w:t>
            </w:r>
          </w:p>
        </w:tc>
      </w:tr>
    </w:tbl>
    <w:p w14:paraId="4012AA1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4CF9970">
        <w:tblPrEx>
          <w:tblCellMar>
            <w:top w:w="0" w:type="dxa"/>
            <w:left w:w="0" w:type="dxa"/>
            <w:bottom w:w="0" w:type="dxa"/>
            <w:right w:w="0" w:type="dxa"/>
          </w:tblCellMar>
        </w:tblPrEx>
        <w:trPr>
          <w:wBefore w:w="0" w:type="auto"/>
          <w:tblCellSpacing w:w="0" w:type="dxa"/>
        </w:trPr>
        <w:tc>
          <w:tcPr>
            <w:tcW w:w="0" w:type="auto"/>
            <w:noWrap w:val="0"/>
            <w:vAlign w:val="center"/>
          </w:tcPr>
          <w:p w14:paraId="59BCA4C7">
            <w:r>
              <w:rPr>
                <w:rStyle w:val="10"/>
                <w:rFonts w:hint="eastAsia"/>
              </w:rPr>
              <w:t>登记证号：</w:t>
            </w:r>
            <w:r>
              <w:rPr>
                <w:rFonts w:hint="eastAsia"/>
              </w:rPr>
              <w:t>PD20212119</w:t>
            </w:r>
          </w:p>
        </w:tc>
      </w:tr>
      <w:tr w14:paraId="3D132BDA">
        <w:tblPrEx>
          <w:tblCellMar>
            <w:top w:w="0" w:type="dxa"/>
            <w:left w:w="0" w:type="dxa"/>
            <w:bottom w:w="0" w:type="dxa"/>
            <w:right w:w="0" w:type="dxa"/>
          </w:tblCellMar>
        </w:tblPrEx>
        <w:trPr>
          <w:wBefore w:w="0" w:type="auto"/>
          <w:tblCellSpacing w:w="0" w:type="dxa"/>
        </w:trPr>
        <w:tc>
          <w:tcPr>
            <w:tcW w:w="0" w:type="auto"/>
            <w:noWrap w:val="0"/>
            <w:vAlign w:val="center"/>
          </w:tcPr>
          <w:p w14:paraId="79EC14A5">
            <w:r>
              <w:rPr>
                <w:rStyle w:val="10"/>
                <w:rFonts w:hint="eastAsia"/>
              </w:rPr>
              <w:t>登记证持有人：</w:t>
            </w:r>
            <w:r>
              <w:rPr>
                <w:rFonts w:hint="eastAsia"/>
              </w:rPr>
              <w:t>江苏省农用激素工程技术研究中心有限公司</w:t>
            </w:r>
          </w:p>
        </w:tc>
      </w:tr>
      <w:tr w14:paraId="32E00CC3">
        <w:tblPrEx>
          <w:tblCellMar>
            <w:top w:w="0" w:type="dxa"/>
            <w:left w:w="0" w:type="dxa"/>
            <w:bottom w:w="0" w:type="dxa"/>
            <w:right w:w="0" w:type="dxa"/>
          </w:tblCellMar>
        </w:tblPrEx>
        <w:trPr>
          <w:wBefore w:w="0" w:type="auto"/>
          <w:tblCellSpacing w:w="0" w:type="dxa"/>
        </w:trPr>
        <w:tc>
          <w:tcPr>
            <w:tcW w:w="0" w:type="auto"/>
            <w:noWrap w:val="0"/>
            <w:vAlign w:val="center"/>
          </w:tcPr>
          <w:p w14:paraId="76D090AF">
            <w:r>
              <w:rPr>
                <w:rStyle w:val="10"/>
                <w:rFonts w:hint="eastAsia"/>
              </w:rPr>
              <w:t>农药名称：</w:t>
            </w:r>
            <w:r>
              <w:rPr>
                <w:rFonts w:hint="eastAsia"/>
              </w:rPr>
              <w:t>甲酰氨基嘧磺隆</w:t>
            </w:r>
          </w:p>
        </w:tc>
      </w:tr>
      <w:tr w14:paraId="14911C28">
        <w:tblPrEx>
          <w:tblCellMar>
            <w:top w:w="0" w:type="dxa"/>
            <w:left w:w="0" w:type="dxa"/>
            <w:bottom w:w="0" w:type="dxa"/>
            <w:right w:w="0" w:type="dxa"/>
          </w:tblCellMar>
        </w:tblPrEx>
        <w:trPr>
          <w:wBefore w:w="0" w:type="auto"/>
          <w:tblCellSpacing w:w="0" w:type="dxa"/>
        </w:trPr>
        <w:tc>
          <w:tcPr>
            <w:tcW w:w="0" w:type="auto"/>
            <w:noWrap w:val="0"/>
            <w:vAlign w:val="center"/>
          </w:tcPr>
          <w:p w14:paraId="2A039DCF">
            <w:r>
              <w:rPr>
                <w:rStyle w:val="10"/>
                <w:rFonts w:hint="eastAsia"/>
              </w:rPr>
              <w:t>剂型：</w:t>
            </w:r>
            <w:r>
              <w:rPr>
                <w:rFonts w:hint="eastAsia"/>
              </w:rPr>
              <w:t>水分散粒剂</w:t>
            </w:r>
          </w:p>
        </w:tc>
      </w:tr>
      <w:tr w14:paraId="0459F675">
        <w:tblPrEx>
          <w:tblCellMar>
            <w:top w:w="0" w:type="dxa"/>
            <w:left w:w="0" w:type="dxa"/>
            <w:bottom w:w="0" w:type="dxa"/>
            <w:right w:w="0" w:type="dxa"/>
          </w:tblCellMar>
        </w:tblPrEx>
        <w:trPr>
          <w:wBefore w:w="0" w:type="auto"/>
          <w:tblCellSpacing w:w="0" w:type="dxa"/>
        </w:trPr>
        <w:tc>
          <w:tcPr>
            <w:tcW w:w="0" w:type="auto"/>
            <w:noWrap w:val="0"/>
            <w:vAlign w:val="center"/>
          </w:tcPr>
          <w:p w14:paraId="5D9BA5DA">
            <w:r>
              <w:rPr>
                <w:rStyle w:val="10"/>
                <w:rFonts w:hint="eastAsia"/>
              </w:rPr>
              <w:t>毒性及其标识：</w:t>
            </w:r>
            <w:r>
              <w:rPr>
                <w:rFonts w:hint="eastAsia"/>
              </w:rPr>
              <w:t xml:space="preserve"> </w:t>
            </w:r>
            <w:r>
              <w:rPr>
                <w:lang/>
              </w:rPr>
              <w:drawing>
                <wp:inline distT="0" distB="0" distL="114300" distR="114300">
                  <wp:extent cx="476250" cy="323850"/>
                  <wp:effectExtent l="0" t="0" r="0" b="0"/>
                  <wp:docPr id="490" name="图片 49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78F5931">
        <w:tblPrEx>
          <w:tblCellMar>
            <w:top w:w="0" w:type="dxa"/>
            <w:left w:w="0" w:type="dxa"/>
            <w:bottom w:w="0" w:type="dxa"/>
            <w:right w:w="0" w:type="dxa"/>
          </w:tblCellMar>
        </w:tblPrEx>
        <w:trPr>
          <w:wBefore w:w="0" w:type="auto"/>
          <w:tblCellSpacing w:w="0" w:type="dxa"/>
        </w:trPr>
        <w:tc>
          <w:tcPr>
            <w:tcW w:w="0" w:type="auto"/>
            <w:noWrap w:val="0"/>
            <w:vAlign w:val="center"/>
          </w:tcPr>
          <w:p w14:paraId="66197489">
            <w:r>
              <w:rPr>
                <w:rStyle w:val="10"/>
                <w:rFonts w:hint="eastAsia"/>
              </w:rPr>
              <w:t>总有效成分含量：</w:t>
            </w:r>
            <w:r>
              <w:rPr>
                <w:rFonts w:hint="eastAsia"/>
              </w:rPr>
              <w:t>30%</w:t>
            </w:r>
          </w:p>
        </w:tc>
      </w:tr>
      <w:tr w14:paraId="1CEC9B56">
        <w:tblPrEx>
          <w:tblCellMar>
            <w:top w:w="0" w:type="dxa"/>
            <w:left w:w="0" w:type="dxa"/>
            <w:bottom w:w="0" w:type="dxa"/>
            <w:right w:w="0" w:type="dxa"/>
          </w:tblCellMar>
        </w:tblPrEx>
        <w:trPr>
          <w:wBefore w:w="0" w:type="auto"/>
          <w:tblCellSpacing w:w="0" w:type="dxa"/>
        </w:trPr>
        <w:tc>
          <w:tcPr>
            <w:tcW w:w="0" w:type="auto"/>
            <w:noWrap w:val="0"/>
            <w:vAlign w:val="center"/>
          </w:tcPr>
          <w:p w14:paraId="0287A3FB">
            <w:r>
              <w:rPr>
                <w:rFonts w:hint="eastAsia"/>
              </w:rPr>
              <w:t xml:space="preserve">有效成分及其含量： </w:t>
            </w:r>
          </w:p>
          <w:p w14:paraId="37E00B06">
            <w:r>
              <w:rPr>
                <w:rFonts w:hint="eastAsia"/>
              </w:rPr>
              <w:t xml:space="preserve">    甲酰氨基嘧磺隆30%    </w:t>
            </w:r>
          </w:p>
        </w:tc>
      </w:tr>
      <w:tr w14:paraId="4832B724">
        <w:tblPrEx>
          <w:tblCellMar>
            <w:top w:w="0" w:type="dxa"/>
            <w:left w:w="0" w:type="dxa"/>
            <w:bottom w:w="0" w:type="dxa"/>
            <w:right w:w="0" w:type="dxa"/>
          </w:tblCellMar>
        </w:tblPrEx>
        <w:trPr>
          <w:wBefore w:w="0" w:type="auto"/>
          <w:tblCellSpacing w:w="0" w:type="dxa"/>
        </w:trPr>
        <w:tc>
          <w:tcPr>
            <w:tcW w:w="0" w:type="auto"/>
            <w:noWrap w:val="0"/>
            <w:vAlign w:val="center"/>
          </w:tcPr>
          <w:p w14:paraId="110B705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15A20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075E97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6AB449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521479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BE44B63">
                  <w:r>
                    <w:rPr>
                      <w:rStyle w:val="11"/>
                      <w:rFonts w:hint="eastAsia"/>
                    </w:rPr>
                    <w:t>施用方式</w:t>
                  </w:r>
                </w:p>
              </w:tc>
            </w:tr>
            <w:tr w14:paraId="0D98C5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ADE921D">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403659">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7533ED">
                  <w:r>
                    <w:rPr>
                      <w:rStyle w:val="11"/>
                      <w:rFonts w:hint="eastAsia"/>
                    </w:rPr>
                    <w:t>10-12克/亩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C59653">
                  <w:r>
                    <w:rPr>
                      <w:rStyle w:val="11"/>
                      <w:rFonts w:hint="eastAsia"/>
                    </w:rPr>
                    <w:t>茎叶喷雾</w:t>
                  </w:r>
                </w:p>
              </w:tc>
            </w:tr>
          </w:tbl>
          <w:p w14:paraId="69C7634E">
            <w:pPr>
              <w:rPr>
                <w:rFonts w:ascii="Times New Roman" w:hAnsi="Times New Roman" w:cs="Times New Roman"/>
                <w:sz w:val="20"/>
                <w:szCs w:val="20"/>
              </w:rPr>
            </w:pPr>
          </w:p>
        </w:tc>
      </w:tr>
      <w:tr w14:paraId="36222EA4">
        <w:tblPrEx>
          <w:tblCellMar>
            <w:top w:w="0" w:type="dxa"/>
            <w:left w:w="0" w:type="dxa"/>
            <w:bottom w:w="0" w:type="dxa"/>
            <w:right w:w="0" w:type="dxa"/>
          </w:tblCellMar>
        </w:tblPrEx>
        <w:trPr>
          <w:wBefore w:w="0" w:type="auto"/>
          <w:tblCellSpacing w:w="0" w:type="dxa"/>
        </w:trPr>
        <w:tc>
          <w:tcPr>
            <w:tcW w:w="0" w:type="auto"/>
            <w:noWrap w:val="0"/>
            <w:vAlign w:val="center"/>
          </w:tcPr>
          <w:p w14:paraId="404CBF8E">
            <w:r>
              <w:rPr>
                <w:rStyle w:val="10"/>
                <w:rFonts w:hint="eastAsia"/>
              </w:rPr>
              <w:t>使用技术要求:</w:t>
            </w:r>
            <w:r>
              <w:rPr>
                <w:rFonts w:hint="eastAsia"/>
              </w:rPr>
              <w:br w:type="textWrapping"/>
            </w:r>
            <w:r>
              <w:rPr>
                <w:rStyle w:val="11"/>
                <w:rFonts w:hint="eastAsia"/>
              </w:rPr>
              <w:t>1. 玉米3-5叶期，杂草2-5叶期，每亩兑水30-50公斤茎叶喷雾一次，不得漏喷或重喷。 2. 大风天或预计1小时内下雨，请勿施药。 3. 每季最多使用1次。合理安排后茬作物，保证安全间隔时间。 4. 合理安排后茬作物，保证安全间隔期。</w:t>
            </w:r>
          </w:p>
        </w:tc>
      </w:tr>
      <w:tr w14:paraId="70066DA9">
        <w:tblPrEx>
          <w:tblCellMar>
            <w:top w:w="0" w:type="dxa"/>
            <w:left w:w="0" w:type="dxa"/>
            <w:bottom w:w="0" w:type="dxa"/>
            <w:right w:w="0" w:type="dxa"/>
          </w:tblCellMar>
        </w:tblPrEx>
        <w:trPr>
          <w:wBefore w:w="0" w:type="auto"/>
          <w:tblCellSpacing w:w="0" w:type="dxa"/>
        </w:trPr>
        <w:tc>
          <w:tcPr>
            <w:tcW w:w="0" w:type="auto"/>
            <w:noWrap w:val="0"/>
            <w:vAlign w:val="center"/>
          </w:tcPr>
          <w:p w14:paraId="26E18DB8">
            <w:r>
              <w:rPr>
                <w:rStyle w:val="10"/>
                <w:rFonts w:hint="eastAsia"/>
              </w:rPr>
              <w:t>产品性能:</w:t>
            </w:r>
            <w:r>
              <w:rPr>
                <w:rFonts w:hint="eastAsia"/>
              </w:rPr>
              <w:br w:type="textWrapping"/>
            </w:r>
            <w:r>
              <w:rPr>
                <w:rStyle w:val="11"/>
                <w:rFonts w:hint="eastAsia"/>
              </w:rPr>
              <w:t>甲酰氨基嘧磺隆为支链氨基酸合成（乙酰乳酸合成酶ALS或乙酰羟基酸合成酶AHAS）抑制剂，玉米体内选择性的迅速代谢。可用于防除玉米田一年生杂草。</w:t>
            </w:r>
          </w:p>
        </w:tc>
      </w:tr>
      <w:tr w14:paraId="7C346029">
        <w:tblPrEx>
          <w:tblCellMar>
            <w:top w:w="0" w:type="dxa"/>
            <w:left w:w="0" w:type="dxa"/>
            <w:bottom w:w="0" w:type="dxa"/>
            <w:right w:w="0" w:type="dxa"/>
          </w:tblCellMar>
        </w:tblPrEx>
        <w:trPr>
          <w:wBefore w:w="0" w:type="auto"/>
          <w:tblCellSpacing w:w="0" w:type="dxa"/>
        </w:trPr>
        <w:tc>
          <w:tcPr>
            <w:tcW w:w="0" w:type="auto"/>
            <w:noWrap w:val="0"/>
            <w:vAlign w:val="center"/>
          </w:tcPr>
          <w:p w14:paraId="748887B2">
            <w:r>
              <w:rPr>
                <w:rStyle w:val="10"/>
                <w:rFonts w:hint="eastAsia"/>
              </w:rPr>
              <w:t>注意事项：</w:t>
            </w:r>
            <w:r>
              <w:rPr>
                <w:rFonts w:hint="eastAsia"/>
              </w:rPr>
              <w:br w:type="textWrapping"/>
            </w:r>
            <w:r>
              <w:rPr>
                <w:rStyle w:val="11"/>
                <w:rFonts w:hint="eastAsia"/>
              </w:rPr>
              <w:t>1. 严格按推荐的使用技术均匀施用，不得超范围使用。本剂仅限于在普通杂交玉米，即硬粒型、粉质型、马齿型及半马齿型杂交玉米上使用。施用后玉米品种幼苗可能出现暂时性白化和矮化现象，但一般1～3周左右消失，最终不影响产量。禁止不同玉米品种对本品安全性存在差异，其中观赏玉米、爆裂玉米、糯玉米等较敏感，不宜使用。禁止在各种类型的玉米自交系上使用；本剂对甜玉米敏感，施用后玉米幼苗会出现严重白化、 扭曲和矮化，故不推荐使用。2. 正常施药对后茬作物油菜、白菜、小麦、大蒜、蚕豆、玉米、大豆的出苗、苗期生长及产量均无影响，安全性好。3. 田间喷药量要均匀一致，严禁“草多处多喷”、重喷和漏喷。勿超剂量使用，以免发生药害。4. 本品对鱼类等水生生物有毒，应远离水产养殖区、河塘等水体施药，禁止在河塘等水体中消洗施药器具。5. 配制和运输该剂时请穿戴必要的防护用具。禁止在河塘等水域清洗施药器具。6. 本品对眼睛有刺激性，使用时避免接触眼睛，穿戴长衣、长裤、帽子、口罩、手套等防护措施。工作结束后，应用肥皂、清水洗脸、手和裸露部位。7. 避免孕妇及哺乳期的妇女接触。8. 严格按照推荐方法使用、操作和贮藏本品。使用时应接受当地农业技术部门的指导。</w:t>
            </w:r>
          </w:p>
        </w:tc>
      </w:tr>
      <w:tr w14:paraId="39944655">
        <w:tblPrEx>
          <w:tblCellMar>
            <w:top w:w="0" w:type="dxa"/>
            <w:left w:w="0" w:type="dxa"/>
            <w:bottom w:w="0" w:type="dxa"/>
            <w:right w:w="0" w:type="dxa"/>
          </w:tblCellMar>
        </w:tblPrEx>
        <w:trPr>
          <w:wBefore w:w="0" w:type="auto"/>
          <w:tblCellSpacing w:w="0" w:type="dxa"/>
        </w:trPr>
        <w:tc>
          <w:tcPr>
            <w:tcW w:w="0" w:type="auto"/>
            <w:noWrap w:val="0"/>
            <w:vAlign w:val="center"/>
          </w:tcPr>
          <w:p w14:paraId="68EB1F7B">
            <w:r>
              <w:rPr>
                <w:rStyle w:val="10"/>
                <w:rFonts w:hint="eastAsia"/>
              </w:rPr>
              <w:t>中毒急救措施：</w:t>
            </w:r>
            <w:r>
              <w:rPr>
                <w:rFonts w:hint="eastAsia"/>
              </w:rPr>
              <w:br w:type="textWrapping"/>
            </w:r>
            <w:r>
              <w:rPr>
                <w:rStyle w:val="11"/>
                <w:rFonts w:hint="eastAsia"/>
              </w:rPr>
              <w:t>如不慎接触皮肤，应用肥皂和大量清水冲洗，若溅入眼内，立即用大量清水冲洗至少15分钟，如还不适请就医。如吸入，立即将吸入者转移到空气清新处，如果吸入者停止呼吸，需要进行人工呼吸。注意保暖和休息，请医生诊治。无特殊解毒剂，若误服饮大量水催吐，保持安静，并送往医院对症治疗。</w:t>
            </w:r>
          </w:p>
        </w:tc>
      </w:tr>
      <w:tr w14:paraId="1C993F96">
        <w:tblPrEx>
          <w:tblCellMar>
            <w:top w:w="0" w:type="dxa"/>
            <w:left w:w="0" w:type="dxa"/>
            <w:bottom w:w="0" w:type="dxa"/>
            <w:right w:w="0" w:type="dxa"/>
          </w:tblCellMar>
        </w:tblPrEx>
        <w:trPr>
          <w:wBefore w:w="0" w:type="auto"/>
          <w:tblCellSpacing w:w="0" w:type="dxa"/>
        </w:trPr>
        <w:tc>
          <w:tcPr>
            <w:tcW w:w="0" w:type="auto"/>
            <w:noWrap w:val="0"/>
            <w:vAlign w:val="center"/>
          </w:tcPr>
          <w:p w14:paraId="548305CD">
            <w:r>
              <w:rPr>
                <w:rStyle w:val="10"/>
                <w:rFonts w:hint="eastAsia"/>
              </w:rPr>
              <w:t>储存和运输方法：</w:t>
            </w:r>
            <w:r>
              <w:rPr>
                <w:rFonts w:hint="eastAsia"/>
              </w:rPr>
              <w:br w:type="textWrapping"/>
            </w:r>
            <w:r>
              <w:rPr>
                <w:rStyle w:val="11"/>
                <w:rFonts w:hint="eastAsia"/>
              </w:rPr>
              <w:t>包装件应贮存于通风、干燥、防雨、阴凉的库房中，远离火源和热源。置于儿童及无关人员接触不到处，并加锁。贮运时，严防潮湿和日晒，远离儿童，不能与食品、饮料、粮食、饲料等物质同贮同运。运输时专人专车，确保不泄漏、不损坏、不倒塌，运输中防曝晒、雨淋、防高温，公路运输时按规定的路线行驶。</w:t>
            </w:r>
          </w:p>
        </w:tc>
      </w:tr>
      <w:tr w14:paraId="525E840B">
        <w:tblPrEx>
          <w:tblCellMar>
            <w:top w:w="0" w:type="dxa"/>
            <w:left w:w="0" w:type="dxa"/>
            <w:bottom w:w="0" w:type="dxa"/>
            <w:right w:w="0" w:type="dxa"/>
          </w:tblCellMar>
        </w:tblPrEx>
        <w:trPr>
          <w:wBefore w:w="0" w:type="auto"/>
          <w:tblCellSpacing w:w="0" w:type="dxa"/>
        </w:trPr>
        <w:tc>
          <w:tcPr>
            <w:tcW w:w="0" w:type="auto"/>
            <w:noWrap w:val="0"/>
            <w:vAlign w:val="center"/>
          </w:tcPr>
          <w:p w14:paraId="11D017E2">
            <w:r>
              <w:rPr>
                <w:rStyle w:val="10"/>
                <w:rFonts w:hint="eastAsia"/>
              </w:rPr>
              <w:t>质量保证期：</w:t>
            </w:r>
            <w:r>
              <w:rPr>
                <w:rStyle w:val="11"/>
                <w:rFonts w:hint="eastAsia"/>
              </w:rPr>
              <w:t>2年</w:t>
            </w:r>
          </w:p>
        </w:tc>
      </w:tr>
      <w:tr w14:paraId="1CAFDA3A">
        <w:tblPrEx>
          <w:tblCellMar>
            <w:top w:w="0" w:type="dxa"/>
            <w:left w:w="0" w:type="dxa"/>
            <w:bottom w:w="0" w:type="dxa"/>
            <w:right w:w="0" w:type="dxa"/>
          </w:tblCellMar>
        </w:tblPrEx>
        <w:trPr>
          <w:wBefore w:w="0" w:type="auto"/>
          <w:tblCellSpacing w:w="0" w:type="dxa"/>
        </w:trPr>
        <w:tc>
          <w:tcPr>
            <w:tcW w:w="0" w:type="auto"/>
            <w:noWrap w:val="0"/>
            <w:vAlign w:val="center"/>
          </w:tcPr>
          <w:p w14:paraId="7CE428EA">
            <w:r>
              <w:rPr>
                <w:rStyle w:val="10"/>
                <w:rFonts w:hint="eastAsia"/>
              </w:rPr>
              <w:t>备注：</w:t>
            </w:r>
          </w:p>
        </w:tc>
      </w:tr>
    </w:tbl>
    <w:p w14:paraId="3F5112A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7126D4B">
        <w:tblPrEx>
          <w:tblCellMar>
            <w:top w:w="0" w:type="dxa"/>
            <w:left w:w="0" w:type="dxa"/>
            <w:bottom w:w="0" w:type="dxa"/>
            <w:right w:w="0" w:type="dxa"/>
          </w:tblCellMar>
        </w:tblPrEx>
        <w:trPr>
          <w:wBefore w:w="0" w:type="auto"/>
          <w:tblCellSpacing w:w="0" w:type="dxa"/>
        </w:trPr>
        <w:tc>
          <w:tcPr>
            <w:tcW w:w="0" w:type="auto"/>
            <w:noWrap w:val="0"/>
            <w:vAlign w:val="center"/>
          </w:tcPr>
          <w:p w14:paraId="2FB3F753">
            <w:r>
              <w:rPr>
                <w:rStyle w:val="10"/>
                <w:rFonts w:hint="eastAsia"/>
              </w:rPr>
              <w:t>登记证号：</w:t>
            </w:r>
            <w:r>
              <w:rPr>
                <w:rFonts w:hint="eastAsia"/>
              </w:rPr>
              <w:t>PD20211706</w:t>
            </w:r>
          </w:p>
        </w:tc>
      </w:tr>
      <w:tr w14:paraId="10B4778E">
        <w:tblPrEx>
          <w:tblCellMar>
            <w:top w:w="0" w:type="dxa"/>
            <w:left w:w="0" w:type="dxa"/>
            <w:bottom w:w="0" w:type="dxa"/>
            <w:right w:w="0" w:type="dxa"/>
          </w:tblCellMar>
        </w:tblPrEx>
        <w:trPr>
          <w:wBefore w:w="0" w:type="auto"/>
          <w:tblCellSpacing w:w="0" w:type="dxa"/>
        </w:trPr>
        <w:tc>
          <w:tcPr>
            <w:tcW w:w="0" w:type="auto"/>
            <w:noWrap w:val="0"/>
            <w:vAlign w:val="center"/>
          </w:tcPr>
          <w:p w14:paraId="2DACBD80">
            <w:r>
              <w:rPr>
                <w:rStyle w:val="10"/>
                <w:rFonts w:hint="eastAsia"/>
              </w:rPr>
              <w:t>登记证持有人：</w:t>
            </w:r>
            <w:r>
              <w:rPr>
                <w:rFonts w:hint="eastAsia"/>
              </w:rPr>
              <w:t>北农(海利)涿州种衣剂有限公司</w:t>
            </w:r>
          </w:p>
        </w:tc>
      </w:tr>
      <w:tr w14:paraId="32766989">
        <w:tblPrEx>
          <w:tblCellMar>
            <w:top w:w="0" w:type="dxa"/>
            <w:left w:w="0" w:type="dxa"/>
            <w:bottom w:w="0" w:type="dxa"/>
            <w:right w:w="0" w:type="dxa"/>
          </w:tblCellMar>
        </w:tblPrEx>
        <w:trPr>
          <w:wBefore w:w="0" w:type="auto"/>
          <w:tblCellSpacing w:w="0" w:type="dxa"/>
        </w:trPr>
        <w:tc>
          <w:tcPr>
            <w:tcW w:w="0" w:type="auto"/>
            <w:noWrap w:val="0"/>
            <w:vAlign w:val="center"/>
          </w:tcPr>
          <w:p w14:paraId="5413D97F">
            <w:r>
              <w:rPr>
                <w:rStyle w:val="10"/>
                <w:rFonts w:hint="eastAsia"/>
              </w:rPr>
              <w:t>农药名称：</w:t>
            </w:r>
            <w:r>
              <w:rPr>
                <w:rFonts w:hint="eastAsia"/>
              </w:rPr>
              <w:t>吡唑酯·精甲霜·甲维</w:t>
            </w:r>
          </w:p>
        </w:tc>
      </w:tr>
      <w:tr w14:paraId="30F4E05E">
        <w:tblPrEx>
          <w:tblCellMar>
            <w:top w:w="0" w:type="dxa"/>
            <w:left w:w="0" w:type="dxa"/>
            <w:bottom w:w="0" w:type="dxa"/>
            <w:right w:w="0" w:type="dxa"/>
          </w:tblCellMar>
        </w:tblPrEx>
        <w:trPr>
          <w:wBefore w:w="0" w:type="auto"/>
          <w:tblCellSpacing w:w="0" w:type="dxa"/>
        </w:trPr>
        <w:tc>
          <w:tcPr>
            <w:tcW w:w="0" w:type="auto"/>
            <w:noWrap w:val="0"/>
            <w:vAlign w:val="center"/>
          </w:tcPr>
          <w:p w14:paraId="7E29C38F">
            <w:r>
              <w:rPr>
                <w:rStyle w:val="10"/>
                <w:rFonts w:hint="eastAsia"/>
              </w:rPr>
              <w:t>剂型：</w:t>
            </w:r>
            <w:r>
              <w:rPr>
                <w:rFonts w:hint="eastAsia"/>
              </w:rPr>
              <w:t>种子处理悬浮剂</w:t>
            </w:r>
          </w:p>
        </w:tc>
      </w:tr>
      <w:tr w14:paraId="0A3B634B">
        <w:tblPrEx>
          <w:tblCellMar>
            <w:top w:w="0" w:type="dxa"/>
            <w:left w:w="0" w:type="dxa"/>
            <w:bottom w:w="0" w:type="dxa"/>
            <w:right w:w="0" w:type="dxa"/>
          </w:tblCellMar>
        </w:tblPrEx>
        <w:trPr>
          <w:wBefore w:w="0" w:type="auto"/>
          <w:tblCellSpacing w:w="0" w:type="dxa"/>
        </w:trPr>
        <w:tc>
          <w:tcPr>
            <w:tcW w:w="0" w:type="auto"/>
            <w:noWrap w:val="0"/>
            <w:vAlign w:val="center"/>
          </w:tcPr>
          <w:p w14:paraId="568B599D">
            <w:r>
              <w:rPr>
                <w:rStyle w:val="10"/>
                <w:rFonts w:hint="eastAsia"/>
              </w:rPr>
              <w:t>毒性及其标识：</w:t>
            </w:r>
            <w:r>
              <w:rPr>
                <w:rFonts w:hint="eastAsia"/>
              </w:rPr>
              <w:t xml:space="preserve"> </w:t>
            </w:r>
            <w:r>
              <w:rPr>
                <w:lang/>
              </w:rPr>
              <w:drawing>
                <wp:inline distT="0" distB="0" distL="114300" distR="114300">
                  <wp:extent cx="476250" cy="323850"/>
                  <wp:effectExtent l="0" t="0" r="0" b="0"/>
                  <wp:docPr id="491" name="图片 49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F5F78F0">
        <w:tblPrEx>
          <w:tblCellMar>
            <w:top w:w="0" w:type="dxa"/>
            <w:left w:w="0" w:type="dxa"/>
            <w:bottom w:w="0" w:type="dxa"/>
            <w:right w:w="0" w:type="dxa"/>
          </w:tblCellMar>
        </w:tblPrEx>
        <w:trPr>
          <w:wBefore w:w="0" w:type="auto"/>
          <w:tblCellSpacing w:w="0" w:type="dxa"/>
        </w:trPr>
        <w:tc>
          <w:tcPr>
            <w:tcW w:w="0" w:type="auto"/>
            <w:noWrap w:val="0"/>
            <w:vAlign w:val="center"/>
          </w:tcPr>
          <w:p w14:paraId="27703C1D">
            <w:r>
              <w:rPr>
                <w:rStyle w:val="10"/>
                <w:rFonts w:hint="eastAsia"/>
              </w:rPr>
              <w:t>总有效成分含量：</w:t>
            </w:r>
            <w:r>
              <w:rPr>
                <w:rFonts w:hint="eastAsia"/>
              </w:rPr>
              <w:t>3%</w:t>
            </w:r>
          </w:p>
        </w:tc>
      </w:tr>
      <w:tr w14:paraId="78945FF7">
        <w:tblPrEx>
          <w:tblCellMar>
            <w:top w:w="0" w:type="dxa"/>
            <w:left w:w="0" w:type="dxa"/>
            <w:bottom w:w="0" w:type="dxa"/>
            <w:right w:w="0" w:type="dxa"/>
          </w:tblCellMar>
        </w:tblPrEx>
        <w:trPr>
          <w:wBefore w:w="0" w:type="auto"/>
          <w:tblCellSpacing w:w="0" w:type="dxa"/>
        </w:trPr>
        <w:tc>
          <w:tcPr>
            <w:tcW w:w="0" w:type="auto"/>
            <w:noWrap w:val="0"/>
            <w:vAlign w:val="center"/>
          </w:tcPr>
          <w:p w14:paraId="228824EE">
            <w:r>
              <w:rPr>
                <w:rFonts w:hint="eastAsia"/>
              </w:rPr>
              <w:t xml:space="preserve">有效成分及其含量： </w:t>
            </w:r>
          </w:p>
          <w:p w14:paraId="193D1137">
            <w:r>
              <w:rPr>
                <w:rFonts w:hint="eastAsia"/>
              </w:rPr>
              <w:t xml:space="preserve">    吡唑醚菌酯1.8%    精甲霜灵0.5%    甲氨基阿维菌素0.6%    </w:t>
            </w:r>
          </w:p>
        </w:tc>
      </w:tr>
      <w:tr w14:paraId="7720FD30">
        <w:tblPrEx>
          <w:tblCellMar>
            <w:top w:w="0" w:type="dxa"/>
            <w:left w:w="0" w:type="dxa"/>
            <w:bottom w:w="0" w:type="dxa"/>
            <w:right w:w="0" w:type="dxa"/>
          </w:tblCellMar>
        </w:tblPrEx>
        <w:trPr>
          <w:wBefore w:w="0" w:type="auto"/>
          <w:tblCellSpacing w:w="0" w:type="dxa"/>
        </w:trPr>
        <w:tc>
          <w:tcPr>
            <w:tcW w:w="0" w:type="auto"/>
            <w:noWrap w:val="0"/>
            <w:vAlign w:val="center"/>
          </w:tcPr>
          <w:p w14:paraId="7006F93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FEBEC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CCFEE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0D7FC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5F2DB7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AB928E">
                  <w:r>
                    <w:rPr>
                      <w:rStyle w:val="11"/>
                      <w:rFonts w:hint="eastAsia"/>
                    </w:rPr>
                    <w:t>施用方式</w:t>
                  </w:r>
                </w:p>
              </w:tc>
            </w:tr>
            <w:tr w14:paraId="39F890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899259D">
                  <w:r>
                    <w:rPr>
                      <w:rStyle w:val="11"/>
                      <w:rFonts w:hint="eastAsia"/>
                    </w:rPr>
                    <w:t>大豆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3CA61B">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D242B4">
                  <w:r>
                    <w:rPr>
                      <w:rStyle w:val="11"/>
                      <w:rFonts w:hint="eastAsia"/>
                    </w:rPr>
                    <w:t>835-1110克/100千克种子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DEF305">
                  <w:r>
                    <w:rPr>
                      <w:rStyle w:val="11"/>
                      <w:rFonts w:hint="eastAsia"/>
                    </w:rPr>
                    <w:t>种子包衣</w:t>
                  </w:r>
                </w:p>
              </w:tc>
            </w:tr>
            <w:tr w14:paraId="0B0DE4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A0AA93F">
                  <w:r>
                    <w:rPr>
                      <w:rStyle w:val="11"/>
                      <w:rFonts w:hint="eastAsia"/>
                    </w:rPr>
                    <w:t>大豆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268246">
                  <w:r>
                    <w:rPr>
                      <w:rStyle w:val="11"/>
                      <w:rFonts w:hint="eastAsia"/>
                    </w:rPr>
                    <w:t>孢囊线虫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940E46">
                  <w:r>
                    <w:rPr>
                      <w:rStyle w:val="11"/>
                      <w:rFonts w:hint="eastAsia"/>
                    </w:rPr>
                    <w:t>835-1110克/100千克种子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11F1F6">
                  <w:r>
                    <w:rPr>
                      <w:rStyle w:val="11"/>
                      <w:rFonts w:hint="eastAsia"/>
                    </w:rPr>
                    <w:t>种子包衣</w:t>
                  </w:r>
                </w:p>
              </w:tc>
            </w:tr>
          </w:tbl>
          <w:p w14:paraId="3F4100D4">
            <w:pPr>
              <w:rPr>
                <w:rFonts w:ascii="Times New Roman" w:hAnsi="Times New Roman" w:cs="Times New Roman"/>
                <w:sz w:val="20"/>
                <w:szCs w:val="20"/>
              </w:rPr>
            </w:pPr>
          </w:p>
        </w:tc>
      </w:tr>
      <w:tr w14:paraId="3EB9D6F4">
        <w:tblPrEx>
          <w:tblCellMar>
            <w:top w:w="0" w:type="dxa"/>
            <w:left w:w="0" w:type="dxa"/>
            <w:bottom w:w="0" w:type="dxa"/>
            <w:right w:w="0" w:type="dxa"/>
          </w:tblCellMar>
        </w:tblPrEx>
        <w:trPr>
          <w:wBefore w:w="0" w:type="auto"/>
          <w:tblCellSpacing w:w="0" w:type="dxa"/>
        </w:trPr>
        <w:tc>
          <w:tcPr>
            <w:tcW w:w="0" w:type="auto"/>
            <w:noWrap w:val="0"/>
            <w:vAlign w:val="center"/>
          </w:tcPr>
          <w:p w14:paraId="1CA199BA">
            <w:r>
              <w:rPr>
                <w:rStyle w:val="10"/>
                <w:rFonts w:hint="eastAsia"/>
              </w:rPr>
              <w:t>使用技术要求:</w:t>
            </w:r>
            <w:r>
              <w:rPr>
                <w:rFonts w:hint="eastAsia"/>
              </w:rPr>
              <w:br w:type="textWrapping"/>
            </w:r>
            <w:r>
              <w:rPr>
                <w:rStyle w:val="11"/>
                <w:rFonts w:hint="eastAsia"/>
              </w:rPr>
              <w:t>1.本品可供种业公司作种子处理，亦可供农户直接包衣。2.用于包衣处理的种子应达到国家良种标准。3.配制好的药液应在24小时内使用。4.使用前充分摇匀，按照推荐剂量（或按药种比1:90-120）进行种子包衣包衣时充分翻搅，使药液均匀包裹在种子表面，阴干后播种。5.经药剂处理的种子应设立警示标识并妥善保管，禁止人畜接触或误食。</w:t>
            </w:r>
          </w:p>
        </w:tc>
      </w:tr>
      <w:tr w14:paraId="41D9EEDD">
        <w:tblPrEx>
          <w:tblCellMar>
            <w:top w:w="0" w:type="dxa"/>
            <w:left w:w="0" w:type="dxa"/>
            <w:bottom w:w="0" w:type="dxa"/>
            <w:right w:w="0" w:type="dxa"/>
          </w:tblCellMar>
        </w:tblPrEx>
        <w:trPr>
          <w:wBefore w:w="0" w:type="auto"/>
          <w:tblCellSpacing w:w="0" w:type="dxa"/>
        </w:trPr>
        <w:tc>
          <w:tcPr>
            <w:tcW w:w="0" w:type="auto"/>
            <w:noWrap w:val="0"/>
            <w:vAlign w:val="center"/>
          </w:tcPr>
          <w:p w14:paraId="64CBA27B">
            <w:r>
              <w:rPr>
                <w:rStyle w:val="10"/>
                <w:rFonts w:hint="eastAsia"/>
              </w:rPr>
              <w:t>产品性能:</w:t>
            </w:r>
            <w:r>
              <w:rPr>
                <w:rFonts w:hint="eastAsia"/>
              </w:rPr>
              <w:br w:type="textWrapping"/>
            </w:r>
            <w:r>
              <w:rPr>
                <w:rStyle w:val="11"/>
                <w:rFonts w:hint="eastAsia"/>
              </w:rPr>
              <w:t>该产品是由吡唑醚菌酯、精甲霜灵和甲氨基阿维菌素苯甲酸盐复配而成的种子处理悬浮剂，兼具杀虫和杀菌的作用，防治大豆孢囊线虫和根腐病。</w:t>
            </w:r>
          </w:p>
        </w:tc>
      </w:tr>
      <w:tr w14:paraId="4BFBA10F">
        <w:tblPrEx>
          <w:tblCellMar>
            <w:top w:w="0" w:type="dxa"/>
            <w:left w:w="0" w:type="dxa"/>
            <w:bottom w:w="0" w:type="dxa"/>
            <w:right w:w="0" w:type="dxa"/>
          </w:tblCellMar>
        </w:tblPrEx>
        <w:trPr>
          <w:wBefore w:w="0" w:type="auto"/>
          <w:tblCellSpacing w:w="0" w:type="dxa"/>
        </w:trPr>
        <w:tc>
          <w:tcPr>
            <w:tcW w:w="0" w:type="auto"/>
            <w:noWrap w:val="0"/>
            <w:vAlign w:val="center"/>
          </w:tcPr>
          <w:p w14:paraId="3123CDD1">
            <w:r>
              <w:rPr>
                <w:rStyle w:val="10"/>
                <w:rFonts w:hint="eastAsia"/>
              </w:rPr>
              <w:t>注意事项：</w:t>
            </w:r>
            <w:r>
              <w:rPr>
                <w:rFonts w:hint="eastAsia"/>
              </w:rPr>
              <w:br w:type="textWrapping"/>
            </w:r>
            <w:r>
              <w:rPr>
                <w:rStyle w:val="11"/>
                <w:rFonts w:hint="eastAsia"/>
              </w:rPr>
              <w:t>1.施用时要远离水源和居民，药剂要有专人看管，药剂不得与食品、饮料和饲料混放。严防药剂被人、畜误食。施用时要穿戴劳保防护用品，要避免药液吸入口中或沾到皮肤上。使用中不可吸烟、饮食；施药后及时用肥皂清洗手和身体裸露的部位。 2.本品在作物品种大面积初次应用时，建议先进行小范围的试验。3.请勿将制剂及其废液弃于池塘、河溪和湖泊等，以免污染水源；</w:t>
            </w:r>
            <w:r>
              <w:rPr>
                <w:rStyle w:val="11"/>
                <w:rFonts w:hint="eastAsia"/>
              </w:rPr>
              <w:t> </w:t>
            </w:r>
            <w:r>
              <w:rPr>
                <w:rStyle w:val="11"/>
                <w:rFonts w:hint="eastAsia"/>
              </w:rPr>
              <w:t>禁止在河塘等水体中清洗施药器具；鸟类保护区附近禁用，播种后立即覆土。4.用过的容器应妥善处理，不可作他用，也不可随意丢弃。5.避免孕妇及哺乳期妇女接触本品。</w:t>
            </w:r>
          </w:p>
        </w:tc>
      </w:tr>
      <w:tr w14:paraId="6C49B480">
        <w:tblPrEx>
          <w:tblCellMar>
            <w:top w:w="0" w:type="dxa"/>
            <w:left w:w="0" w:type="dxa"/>
            <w:bottom w:w="0" w:type="dxa"/>
            <w:right w:w="0" w:type="dxa"/>
          </w:tblCellMar>
        </w:tblPrEx>
        <w:trPr>
          <w:wBefore w:w="0" w:type="auto"/>
          <w:tblCellSpacing w:w="0" w:type="dxa"/>
        </w:trPr>
        <w:tc>
          <w:tcPr>
            <w:tcW w:w="0" w:type="auto"/>
            <w:noWrap w:val="0"/>
            <w:vAlign w:val="center"/>
          </w:tcPr>
          <w:p w14:paraId="625DC9B6">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1.如果药剂接触到皮肤或衣服，一般采用软布除去农药，然后用淡肥皂水和清水冲洗；脱去污染的衣物。2.如溅入眼中立即用流动清水冲洗不少于15分钟。3.吸入：立即离开施药现场，转移至空气清新处，及时更换衣物、清洗皮肤。4.误食：立即停止服用，用清水充分漱口后。并携带农药标签到医院就诊。本品无专用解毒药剂，对症治疗！ </w:t>
            </w:r>
          </w:p>
        </w:tc>
      </w:tr>
      <w:tr w14:paraId="215CF6DE">
        <w:tblPrEx>
          <w:tblCellMar>
            <w:top w:w="0" w:type="dxa"/>
            <w:left w:w="0" w:type="dxa"/>
            <w:bottom w:w="0" w:type="dxa"/>
            <w:right w:w="0" w:type="dxa"/>
          </w:tblCellMar>
        </w:tblPrEx>
        <w:trPr>
          <w:wBefore w:w="0" w:type="auto"/>
          <w:tblCellSpacing w:w="0" w:type="dxa"/>
        </w:trPr>
        <w:tc>
          <w:tcPr>
            <w:tcW w:w="0" w:type="auto"/>
            <w:noWrap w:val="0"/>
            <w:vAlign w:val="center"/>
          </w:tcPr>
          <w:p w14:paraId="508FDA93">
            <w:r>
              <w:rPr>
                <w:rStyle w:val="10"/>
                <w:rFonts w:hint="eastAsia"/>
              </w:rPr>
              <w:t>储存和运输方法：</w:t>
            </w:r>
            <w:r>
              <w:rPr>
                <w:rFonts w:hint="eastAsia"/>
              </w:rPr>
              <w:br w:type="textWrapping"/>
            </w:r>
            <w:r>
              <w:rPr>
                <w:rStyle w:val="11"/>
                <w:rFonts w:hint="eastAsia"/>
              </w:rPr>
              <w:t>1.禁止与食品、饮料、饲料、粮食等混合储运。 2.置于儿童及无关人员接触不到之处，并加锁保存。 3.本品应贮存在干燥、阴凉、通风、防雨处，远离火源或热源。运输时防雨防潮，装卸时轻卸轻放。运输时禁止包装倒置。</w:t>
            </w:r>
          </w:p>
        </w:tc>
      </w:tr>
      <w:tr w14:paraId="2064CC8C">
        <w:tblPrEx>
          <w:tblCellMar>
            <w:top w:w="0" w:type="dxa"/>
            <w:left w:w="0" w:type="dxa"/>
            <w:bottom w:w="0" w:type="dxa"/>
            <w:right w:w="0" w:type="dxa"/>
          </w:tblCellMar>
        </w:tblPrEx>
        <w:trPr>
          <w:wBefore w:w="0" w:type="auto"/>
          <w:tblCellSpacing w:w="0" w:type="dxa"/>
        </w:trPr>
        <w:tc>
          <w:tcPr>
            <w:tcW w:w="0" w:type="auto"/>
            <w:noWrap w:val="0"/>
            <w:vAlign w:val="center"/>
          </w:tcPr>
          <w:p w14:paraId="1AA6C47A">
            <w:r>
              <w:rPr>
                <w:rStyle w:val="10"/>
                <w:rFonts w:hint="eastAsia"/>
              </w:rPr>
              <w:t>质量保证期：</w:t>
            </w:r>
            <w:r>
              <w:rPr>
                <w:rStyle w:val="11"/>
                <w:rFonts w:hint="eastAsia"/>
              </w:rPr>
              <w:t>2年</w:t>
            </w:r>
          </w:p>
        </w:tc>
      </w:tr>
      <w:tr w14:paraId="48B5B125">
        <w:tblPrEx>
          <w:tblCellMar>
            <w:top w:w="0" w:type="dxa"/>
            <w:left w:w="0" w:type="dxa"/>
            <w:bottom w:w="0" w:type="dxa"/>
            <w:right w:w="0" w:type="dxa"/>
          </w:tblCellMar>
        </w:tblPrEx>
        <w:trPr>
          <w:wBefore w:w="0" w:type="auto"/>
          <w:tblCellSpacing w:w="0" w:type="dxa"/>
        </w:trPr>
        <w:tc>
          <w:tcPr>
            <w:tcW w:w="0" w:type="auto"/>
            <w:noWrap w:val="0"/>
            <w:vAlign w:val="center"/>
          </w:tcPr>
          <w:p w14:paraId="048D06D6">
            <w:r>
              <w:rPr>
                <w:rStyle w:val="10"/>
                <w:rFonts w:hint="eastAsia"/>
              </w:rPr>
              <w:t>备注：</w:t>
            </w:r>
            <w:r>
              <w:rPr>
                <w:rFonts w:hint="eastAsia"/>
              </w:rPr>
              <w:br w:type="textWrapping"/>
            </w:r>
            <w:r>
              <w:rPr>
                <w:rStyle w:val="11"/>
                <w:rFonts w:hint="eastAsia"/>
              </w:rPr>
              <w:t>甲氨基阿维菌素苯甲酸盐0.7%。</w:t>
            </w:r>
          </w:p>
        </w:tc>
      </w:tr>
    </w:tbl>
    <w:p w14:paraId="2B97C52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109C7A8">
        <w:tblPrEx>
          <w:tblCellMar>
            <w:top w:w="0" w:type="dxa"/>
            <w:left w:w="0" w:type="dxa"/>
            <w:bottom w:w="0" w:type="dxa"/>
            <w:right w:w="0" w:type="dxa"/>
          </w:tblCellMar>
        </w:tblPrEx>
        <w:trPr>
          <w:wBefore w:w="0" w:type="auto"/>
          <w:tblCellSpacing w:w="0" w:type="dxa"/>
        </w:trPr>
        <w:tc>
          <w:tcPr>
            <w:tcW w:w="0" w:type="auto"/>
            <w:noWrap w:val="0"/>
            <w:vAlign w:val="center"/>
          </w:tcPr>
          <w:p w14:paraId="0E0ECC6E">
            <w:r>
              <w:rPr>
                <w:rStyle w:val="10"/>
                <w:rFonts w:hint="eastAsia"/>
              </w:rPr>
              <w:t>登记证号：</w:t>
            </w:r>
            <w:r>
              <w:rPr>
                <w:rFonts w:hint="eastAsia"/>
              </w:rPr>
              <w:t>PD20212262</w:t>
            </w:r>
          </w:p>
        </w:tc>
      </w:tr>
      <w:tr w14:paraId="1AFAFEDD">
        <w:tblPrEx>
          <w:tblCellMar>
            <w:top w:w="0" w:type="dxa"/>
            <w:left w:w="0" w:type="dxa"/>
            <w:bottom w:w="0" w:type="dxa"/>
            <w:right w:w="0" w:type="dxa"/>
          </w:tblCellMar>
        </w:tblPrEx>
        <w:trPr>
          <w:wBefore w:w="0" w:type="auto"/>
          <w:tblCellSpacing w:w="0" w:type="dxa"/>
        </w:trPr>
        <w:tc>
          <w:tcPr>
            <w:tcW w:w="0" w:type="auto"/>
            <w:noWrap w:val="0"/>
            <w:vAlign w:val="center"/>
          </w:tcPr>
          <w:p w14:paraId="5A33C169">
            <w:r>
              <w:rPr>
                <w:rStyle w:val="10"/>
                <w:rFonts w:hint="eastAsia"/>
              </w:rPr>
              <w:t>登记证持有人：</w:t>
            </w:r>
            <w:r>
              <w:rPr>
                <w:rFonts w:hint="eastAsia"/>
              </w:rPr>
              <w:t>山东奥坤作物科学股份有限公司</w:t>
            </w:r>
          </w:p>
        </w:tc>
      </w:tr>
      <w:tr w14:paraId="1E0F2DEC">
        <w:tblPrEx>
          <w:tblCellMar>
            <w:top w:w="0" w:type="dxa"/>
            <w:left w:w="0" w:type="dxa"/>
            <w:bottom w:w="0" w:type="dxa"/>
            <w:right w:w="0" w:type="dxa"/>
          </w:tblCellMar>
        </w:tblPrEx>
        <w:trPr>
          <w:wBefore w:w="0" w:type="auto"/>
          <w:tblCellSpacing w:w="0" w:type="dxa"/>
        </w:trPr>
        <w:tc>
          <w:tcPr>
            <w:tcW w:w="0" w:type="auto"/>
            <w:noWrap w:val="0"/>
            <w:vAlign w:val="center"/>
          </w:tcPr>
          <w:p w14:paraId="039991D6">
            <w:r>
              <w:rPr>
                <w:rStyle w:val="10"/>
                <w:rFonts w:hint="eastAsia"/>
              </w:rPr>
              <w:t>农药名称：</w:t>
            </w:r>
            <w:r>
              <w:rPr>
                <w:rFonts w:hint="eastAsia"/>
              </w:rPr>
              <w:t>滴辛酯·噻吩隆·精异草</w:t>
            </w:r>
          </w:p>
        </w:tc>
      </w:tr>
      <w:tr w14:paraId="4ADACC8B">
        <w:tblPrEx>
          <w:tblCellMar>
            <w:top w:w="0" w:type="dxa"/>
            <w:left w:w="0" w:type="dxa"/>
            <w:bottom w:w="0" w:type="dxa"/>
            <w:right w:w="0" w:type="dxa"/>
          </w:tblCellMar>
        </w:tblPrEx>
        <w:trPr>
          <w:wBefore w:w="0" w:type="auto"/>
          <w:tblCellSpacing w:w="0" w:type="dxa"/>
        </w:trPr>
        <w:tc>
          <w:tcPr>
            <w:tcW w:w="0" w:type="auto"/>
            <w:noWrap w:val="0"/>
            <w:vAlign w:val="center"/>
          </w:tcPr>
          <w:p w14:paraId="345D8BC5">
            <w:r>
              <w:rPr>
                <w:rStyle w:val="10"/>
                <w:rFonts w:hint="eastAsia"/>
              </w:rPr>
              <w:t>剂型：</w:t>
            </w:r>
            <w:r>
              <w:rPr>
                <w:rFonts w:hint="eastAsia"/>
              </w:rPr>
              <w:t>乳油</w:t>
            </w:r>
          </w:p>
        </w:tc>
      </w:tr>
      <w:tr w14:paraId="0D7A9BD5">
        <w:tblPrEx>
          <w:tblCellMar>
            <w:top w:w="0" w:type="dxa"/>
            <w:left w:w="0" w:type="dxa"/>
            <w:bottom w:w="0" w:type="dxa"/>
            <w:right w:w="0" w:type="dxa"/>
          </w:tblCellMar>
        </w:tblPrEx>
        <w:trPr>
          <w:wBefore w:w="0" w:type="auto"/>
          <w:tblCellSpacing w:w="0" w:type="dxa"/>
        </w:trPr>
        <w:tc>
          <w:tcPr>
            <w:tcW w:w="0" w:type="auto"/>
            <w:noWrap w:val="0"/>
            <w:vAlign w:val="center"/>
          </w:tcPr>
          <w:p w14:paraId="34BADE1A">
            <w:r>
              <w:rPr>
                <w:rStyle w:val="10"/>
                <w:rFonts w:hint="eastAsia"/>
              </w:rPr>
              <w:t>毒性及其标识：</w:t>
            </w:r>
            <w:r>
              <w:rPr>
                <w:rFonts w:hint="eastAsia"/>
              </w:rPr>
              <w:t xml:space="preserve"> </w:t>
            </w:r>
            <w:r>
              <w:rPr>
                <w:lang/>
              </w:rPr>
              <w:drawing>
                <wp:inline distT="0" distB="0" distL="114300" distR="114300">
                  <wp:extent cx="476250" cy="323850"/>
                  <wp:effectExtent l="0" t="0" r="0" b="0"/>
                  <wp:docPr id="492" name="图片 49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FDCBECB">
        <w:tblPrEx>
          <w:tblCellMar>
            <w:top w:w="0" w:type="dxa"/>
            <w:left w:w="0" w:type="dxa"/>
            <w:bottom w:w="0" w:type="dxa"/>
            <w:right w:w="0" w:type="dxa"/>
          </w:tblCellMar>
        </w:tblPrEx>
        <w:trPr>
          <w:wBefore w:w="0" w:type="auto"/>
          <w:tblCellSpacing w:w="0" w:type="dxa"/>
        </w:trPr>
        <w:tc>
          <w:tcPr>
            <w:tcW w:w="0" w:type="auto"/>
            <w:noWrap w:val="0"/>
            <w:vAlign w:val="center"/>
          </w:tcPr>
          <w:p w14:paraId="298F1087">
            <w:r>
              <w:rPr>
                <w:rStyle w:val="10"/>
                <w:rFonts w:hint="eastAsia"/>
              </w:rPr>
              <w:t>总有效成分含量：</w:t>
            </w:r>
            <w:r>
              <w:rPr>
                <w:rFonts w:hint="eastAsia"/>
              </w:rPr>
              <w:t>83%</w:t>
            </w:r>
          </w:p>
        </w:tc>
      </w:tr>
      <w:tr w14:paraId="2B747204">
        <w:tblPrEx>
          <w:tblCellMar>
            <w:top w:w="0" w:type="dxa"/>
            <w:left w:w="0" w:type="dxa"/>
            <w:bottom w:w="0" w:type="dxa"/>
            <w:right w:w="0" w:type="dxa"/>
          </w:tblCellMar>
        </w:tblPrEx>
        <w:trPr>
          <w:wBefore w:w="0" w:type="auto"/>
          <w:tblCellSpacing w:w="0" w:type="dxa"/>
        </w:trPr>
        <w:tc>
          <w:tcPr>
            <w:tcW w:w="0" w:type="auto"/>
            <w:noWrap w:val="0"/>
            <w:vAlign w:val="center"/>
          </w:tcPr>
          <w:p w14:paraId="4D15EA2A">
            <w:r>
              <w:rPr>
                <w:rFonts w:hint="eastAsia"/>
              </w:rPr>
              <w:t xml:space="preserve">有效成分及其含量： </w:t>
            </w:r>
          </w:p>
          <w:p w14:paraId="4FF3238E">
            <w:r>
              <w:rPr>
                <w:rFonts w:hint="eastAsia"/>
              </w:rPr>
              <w:t xml:space="preserve">    2,4-滴异辛酯16.5%    噻吩磺隆0.5%    异丙甲草胺66%    </w:t>
            </w:r>
          </w:p>
        </w:tc>
      </w:tr>
      <w:tr w14:paraId="0B184647">
        <w:tblPrEx>
          <w:tblCellMar>
            <w:top w:w="0" w:type="dxa"/>
            <w:left w:w="0" w:type="dxa"/>
            <w:bottom w:w="0" w:type="dxa"/>
            <w:right w:w="0" w:type="dxa"/>
          </w:tblCellMar>
        </w:tblPrEx>
        <w:trPr>
          <w:wBefore w:w="0" w:type="auto"/>
          <w:tblCellSpacing w:w="0" w:type="dxa"/>
        </w:trPr>
        <w:tc>
          <w:tcPr>
            <w:tcW w:w="0" w:type="auto"/>
            <w:noWrap w:val="0"/>
            <w:vAlign w:val="center"/>
          </w:tcPr>
          <w:p w14:paraId="297CA8B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2EA7F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5F13EB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4B36A4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C66E5D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ADC68CF">
                  <w:r>
                    <w:rPr>
                      <w:rStyle w:val="11"/>
                      <w:rFonts w:hint="eastAsia"/>
                    </w:rPr>
                    <w:t>施用方式</w:t>
                  </w:r>
                </w:p>
              </w:tc>
            </w:tr>
            <w:tr w14:paraId="2C4D60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C675D8">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DCF156">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C2AC42">
                  <w:r>
                    <w:rPr>
                      <w:rStyle w:val="11"/>
                      <w:rFonts w:hint="eastAsia"/>
                    </w:rPr>
                    <w:t>160-200毫升/亩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6DBF76">
                  <w:r>
                    <w:rPr>
                      <w:rStyle w:val="11"/>
                      <w:rFonts w:hint="eastAsia"/>
                    </w:rPr>
                    <w:t>土壤喷雾</w:t>
                  </w:r>
                </w:p>
              </w:tc>
            </w:tr>
          </w:tbl>
          <w:p w14:paraId="651AB888">
            <w:pPr>
              <w:rPr>
                <w:rFonts w:ascii="Times New Roman" w:hAnsi="Times New Roman" w:cs="Times New Roman"/>
                <w:sz w:val="20"/>
                <w:szCs w:val="20"/>
              </w:rPr>
            </w:pPr>
          </w:p>
        </w:tc>
      </w:tr>
      <w:tr w14:paraId="5773A1F4">
        <w:tblPrEx>
          <w:tblCellMar>
            <w:top w:w="0" w:type="dxa"/>
            <w:left w:w="0" w:type="dxa"/>
            <w:bottom w:w="0" w:type="dxa"/>
            <w:right w:w="0" w:type="dxa"/>
          </w:tblCellMar>
        </w:tblPrEx>
        <w:trPr>
          <w:wBefore w:w="0" w:type="auto"/>
          <w:tblCellSpacing w:w="0" w:type="dxa"/>
        </w:trPr>
        <w:tc>
          <w:tcPr>
            <w:tcW w:w="0" w:type="auto"/>
            <w:noWrap w:val="0"/>
            <w:vAlign w:val="center"/>
          </w:tcPr>
          <w:p w14:paraId="6D6FC45C">
            <w:r>
              <w:rPr>
                <w:rStyle w:val="10"/>
                <w:rFonts w:hint="eastAsia"/>
              </w:rPr>
              <w:t>使用技术要求:</w:t>
            </w:r>
            <w:r>
              <w:rPr>
                <w:rFonts w:hint="eastAsia"/>
              </w:rPr>
              <w:br w:type="textWrapping"/>
            </w:r>
            <w:r>
              <w:rPr>
                <w:rStyle w:val="11"/>
                <w:rFonts w:hint="eastAsia"/>
              </w:rPr>
              <w:t>1、于春玉米播后苗前土壤喷雾1次。2.大风天或预计1小时内降雨，请勿施药。 3、本品每季作物最多使用1次。 4、甜玉米、糯玉米、爆裂玉米、自交系玉米及制种玉米田不宜使用。</w:t>
            </w:r>
          </w:p>
        </w:tc>
      </w:tr>
      <w:tr w14:paraId="15A0D7DF">
        <w:tblPrEx>
          <w:tblCellMar>
            <w:top w:w="0" w:type="dxa"/>
            <w:left w:w="0" w:type="dxa"/>
            <w:bottom w:w="0" w:type="dxa"/>
            <w:right w:w="0" w:type="dxa"/>
          </w:tblCellMar>
        </w:tblPrEx>
        <w:trPr>
          <w:wBefore w:w="0" w:type="auto"/>
          <w:tblCellSpacing w:w="0" w:type="dxa"/>
        </w:trPr>
        <w:tc>
          <w:tcPr>
            <w:tcW w:w="0" w:type="auto"/>
            <w:noWrap w:val="0"/>
            <w:vAlign w:val="center"/>
          </w:tcPr>
          <w:p w14:paraId="58BF2B1D">
            <w:r>
              <w:rPr>
                <w:rStyle w:val="10"/>
                <w:rFonts w:hint="eastAsia"/>
              </w:rPr>
              <w:t>产品性能:</w:t>
            </w:r>
            <w:r>
              <w:rPr>
                <w:rFonts w:hint="eastAsia"/>
              </w:rPr>
              <w:br w:type="textWrapping"/>
            </w:r>
            <w:r>
              <w:rPr>
                <w:rStyle w:val="11"/>
                <w:rFonts w:hint="eastAsia"/>
              </w:rPr>
              <w:t>本品为春玉米田苗前除草剂，由2,4-滴异辛酯、噻吩磺隆和异丙甲草胺按混配制剂为选择性芽前封闭处理剂，药剂进入 植物体后，主要抑制核酸和蛋白质的合成、光合作用及植物出现典型激素类除草剂的反应，植株畸形，扭曲，最终枯死。</w:t>
            </w:r>
          </w:p>
        </w:tc>
      </w:tr>
      <w:tr w14:paraId="368E293C">
        <w:tblPrEx>
          <w:tblCellMar>
            <w:top w:w="0" w:type="dxa"/>
            <w:left w:w="0" w:type="dxa"/>
            <w:bottom w:w="0" w:type="dxa"/>
            <w:right w:w="0" w:type="dxa"/>
          </w:tblCellMar>
        </w:tblPrEx>
        <w:trPr>
          <w:wBefore w:w="0" w:type="auto"/>
          <w:tblCellSpacing w:w="0" w:type="dxa"/>
        </w:trPr>
        <w:tc>
          <w:tcPr>
            <w:tcW w:w="0" w:type="auto"/>
            <w:noWrap w:val="0"/>
            <w:vAlign w:val="center"/>
          </w:tcPr>
          <w:p w14:paraId="01F5AC33">
            <w:r>
              <w:rPr>
                <w:rStyle w:val="10"/>
                <w:rFonts w:hint="eastAsia"/>
              </w:rPr>
              <w:t>注意事项：</w:t>
            </w:r>
            <w:r>
              <w:rPr>
                <w:rFonts w:hint="eastAsia"/>
              </w:rPr>
              <w:br w:type="textWrapping"/>
            </w:r>
            <w:r>
              <w:rPr>
                <w:rStyle w:val="11"/>
                <w:rFonts w:hint="eastAsia"/>
              </w:rPr>
              <w:t>1、整地要平细，避免有大的土块。施药时面积要量准，施药均匀，不重喷、不漏喷。2、使用本品时应佩穿戴长衣长裤、帽子、口罩、手套、鞋等，避免直接接触眼睛与皮肤，此时不能饮食、吸烟等。施药后用肥皂水洗脸、洗手，并很好地清洗施药器械。3、对鱼类、藻类有毒，远离水产养殖区、河塘等水体施药，禁止在河塘等水体中清洗施药器具，避免药液进入地表水体；养鱼稻田禁用，施药后的田水不得直接排入河塘等水域。赤眼蜂等天敌放飞区域禁用。蚕室及桑园附近禁用。鸟类保护区附近禁用。4、用过的容器应妥善处理，不可做他用，也不可随意丢弃。5、孕妇和哺乳期妇女避免接触。</w:t>
            </w:r>
          </w:p>
        </w:tc>
      </w:tr>
      <w:tr w14:paraId="7934F4A5">
        <w:tblPrEx>
          <w:tblCellMar>
            <w:top w:w="0" w:type="dxa"/>
            <w:left w:w="0" w:type="dxa"/>
            <w:bottom w:w="0" w:type="dxa"/>
            <w:right w:w="0" w:type="dxa"/>
          </w:tblCellMar>
        </w:tblPrEx>
        <w:trPr>
          <w:wBefore w:w="0" w:type="auto"/>
          <w:tblCellSpacing w:w="0" w:type="dxa"/>
        </w:trPr>
        <w:tc>
          <w:tcPr>
            <w:tcW w:w="0" w:type="auto"/>
            <w:noWrap w:val="0"/>
            <w:vAlign w:val="center"/>
          </w:tcPr>
          <w:p w14:paraId="3C831C1C">
            <w:r>
              <w:rPr>
                <w:rStyle w:val="10"/>
                <w:rFonts w:hint="eastAsia"/>
              </w:rPr>
              <w:t>中毒急救措施：</w:t>
            </w:r>
            <w:r>
              <w:rPr>
                <w:rFonts w:hint="eastAsia"/>
              </w:rPr>
              <w:br w:type="textWrapping"/>
            </w:r>
            <w:r>
              <w:rPr>
                <w:rStyle w:val="11"/>
                <w:rFonts w:hint="eastAsia"/>
              </w:rPr>
              <w:t>进入眼睛，立即用大量水清洗眼睛15分钟，仍有不适时，就医。接触皮肤，用水和肥皂彻底清洗。如吸入肺中，应立即到通风处。误服者应立即催吐、洗胃并就医。对症治疗，无特效解毒剂。</w:t>
            </w:r>
          </w:p>
        </w:tc>
      </w:tr>
      <w:tr w14:paraId="525EA499">
        <w:tblPrEx>
          <w:tblCellMar>
            <w:top w:w="0" w:type="dxa"/>
            <w:left w:w="0" w:type="dxa"/>
            <w:bottom w:w="0" w:type="dxa"/>
            <w:right w:w="0" w:type="dxa"/>
          </w:tblCellMar>
        </w:tblPrEx>
        <w:trPr>
          <w:wBefore w:w="0" w:type="auto"/>
          <w:tblCellSpacing w:w="0" w:type="dxa"/>
        </w:trPr>
        <w:tc>
          <w:tcPr>
            <w:tcW w:w="0" w:type="auto"/>
            <w:noWrap w:val="0"/>
            <w:vAlign w:val="center"/>
          </w:tcPr>
          <w:p w14:paraId="28DD8E0D">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本品应贮存在干燥、阴凉、通风、防雨处，远离火源或热源。置于儿童及无关人员触及不到之处，并加锁保存。勿与食品、饮料、粮食、饲料等物其他商品同贮同运。</w:t>
            </w:r>
          </w:p>
        </w:tc>
      </w:tr>
      <w:tr w14:paraId="26683411">
        <w:tblPrEx>
          <w:tblCellMar>
            <w:top w:w="0" w:type="dxa"/>
            <w:left w:w="0" w:type="dxa"/>
            <w:bottom w:w="0" w:type="dxa"/>
            <w:right w:w="0" w:type="dxa"/>
          </w:tblCellMar>
        </w:tblPrEx>
        <w:trPr>
          <w:wBefore w:w="0" w:type="auto"/>
          <w:tblCellSpacing w:w="0" w:type="dxa"/>
        </w:trPr>
        <w:tc>
          <w:tcPr>
            <w:tcW w:w="0" w:type="auto"/>
            <w:noWrap w:val="0"/>
            <w:vAlign w:val="center"/>
          </w:tcPr>
          <w:p w14:paraId="67EE436F">
            <w:r>
              <w:rPr>
                <w:rStyle w:val="10"/>
                <w:rFonts w:hint="eastAsia"/>
              </w:rPr>
              <w:t>质量保证期：</w:t>
            </w:r>
            <w:r>
              <w:rPr>
                <w:rStyle w:val="11"/>
                <w:rFonts w:hint="eastAsia"/>
              </w:rPr>
              <w:t>2年</w:t>
            </w:r>
          </w:p>
        </w:tc>
      </w:tr>
      <w:tr w14:paraId="08218BC1">
        <w:tblPrEx>
          <w:tblCellMar>
            <w:top w:w="0" w:type="dxa"/>
            <w:left w:w="0" w:type="dxa"/>
            <w:bottom w:w="0" w:type="dxa"/>
            <w:right w:w="0" w:type="dxa"/>
          </w:tblCellMar>
        </w:tblPrEx>
        <w:trPr>
          <w:wBefore w:w="0" w:type="auto"/>
          <w:tblCellSpacing w:w="0" w:type="dxa"/>
        </w:trPr>
        <w:tc>
          <w:tcPr>
            <w:tcW w:w="0" w:type="auto"/>
            <w:noWrap w:val="0"/>
            <w:vAlign w:val="center"/>
          </w:tcPr>
          <w:p w14:paraId="3D626637">
            <w:r>
              <w:rPr>
                <w:rStyle w:val="10"/>
                <w:rFonts w:hint="eastAsia"/>
              </w:rPr>
              <w:t>备注：</w:t>
            </w:r>
          </w:p>
        </w:tc>
      </w:tr>
    </w:tbl>
    <w:p w14:paraId="2ABCB45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5605383">
        <w:tblPrEx>
          <w:tblCellMar>
            <w:top w:w="0" w:type="dxa"/>
            <w:left w:w="0" w:type="dxa"/>
            <w:bottom w:w="0" w:type="dxa"/>
            <w:right w:w="0" w:type="dxa"/>
          </w:tblCellMar>
        </w:tblPrEx>
        <w:trPr>
          <w:wBefore w:w="0" w:type="auto"/>
          <w:tblCellSpacing w:w="0" w:type="dxa"/>
        </w:trPr>
        <w:tc>
          <w:tcPr>
            <w:tcW w:w="0" w:type="auto"/>
            <w:noWrap w:val="0"/>
            <w:vAlign w:val="center"/>
          </w:tcPr>
          <w:p w14:paraId="6B1074E0">
            <w:r>
              <w:rPr>
                <w:rStyle w:val="10"/>
                <w:rFonts w:hint="eastAsia"/>
              </w:rPr>
              <w:t>登记证号：</w:t>
            </w:r>
            <w:r>
              <w:rPr>
                <w:rFonts w:hint="eastAsia"/>
              </w:rPr>
              <w:t>PD20211703</w:t>
            </w:r>
          </w:p>
        </w:tc>
      </w:tr>
      <w:tr w14:paraId="40E7BE87">
        <w:tblPrEx>
          <w:tblCellMar>
            <w:top w:w="0" w:type="dxa"/>
            <w:left w:w="0" w:type="dxa"/>
            <w:bottom w:w="0" w:type="dxa"/>
            <w:right w:w="0" w:type="dxa"/>
          </w:tblCellMar>
        </w:tblPrEx>
        <w:trPr>
          <w:wBefore w:w="0" w:type="auto"/>
          <w:tblCellSpacing w:w="0" w:type="dxa"/>
        </w:trPr>
        <w:tc>
          <w:tcPr>
            <w:tcW w:w="0" w:type="auto"/>
            <w:noWrap w:val="0"/>
            <w:vAlign w:val="center"/>
          </w:tcPr>
          <w:p w14:paraId="5B457042">
            <w:r>
              <w:rPr>
                <w:rStyle w:val="10"/>
                <w:rFonts w:hint="eastAsia"/>
              </w:rPr>
              <w:t>登记证持有人：</w:t>
            </w:r>
            <w:r>
              <w:rPr>
                <w:rFonts w:hint="eastAsia"/>
              </w:rPr>
              <w:t>安徽省四达农药化工有限公司</w:t>
            </w:r>
          </w:p>
        </w:tc>
      </w:tr>
      <w:tr w14:paraId="4234B8FD">
        <w:tblPrEx>
          <w:tblCellMar>
            <w:top w:w="0" w:type="dxa"/>
            <w:left w:w="0" w:type="dxa"/>
            <w:bottom w:w="0" w:type="dxa"/>
            <w:right w:w="0" w:type="dxa"/>
          </w:tblCellMar>
        </w:tblPrEx>
        <w:trPr>
          <w:wBefore w:w="0" w:type="auto"/>
          <w:tblCellSpacing w:w="0" w:type="dxa"/>
        </w:trPr>
        <w:tc>
          <w:tcPr>
            <w:tcW w:w="0" w:type="auto"/>
            <w:noWrap w:val="0"/>
            <w:vAlign w:val="center"/>
          </w:tcPr>
          <w:p w14:paraId="341F5F1F">
            <w:r>
              <w:rPr>
                <w:rStyle w:val="10"/>
                <w:rFonts w:hint="eastAsia"/>
              </w:rPr>
              <w:t>农药名称：</w:t>
            </w:r>
            <w:r>
              <w:rPr>
                <w:rFonts w:hint="eastAsia"/>
              </w:rPr>
              <w:t>苯醚·咯·噻虫</w:t>
            </w:r>
          </w:p>
        </w:tc>
      </w:tr>
      <w:tr w14:paraId="02E65CB0">
        <w:tblPrEx>
          <w:tblCellMar>
            <w:top w:w="0" w:type="dxa"/>
            <w:left w:w="0" w:type="dxa"/>
            <w:bottom w:w="0" w:type="dxa"/>
            <w:right w:w="0" w:type="dxa"/>
          </w:tblCellMar>
        </w:tblPrEx>
        <w:trPr>
          <w:wBefore w:w="0" w:type="auto"/>
          <w:tblCellSpacing w:w="0" w:type="dxa"/>
        </w:trPr>
        <w:tc>
          <w:tcPr>
            <w:tcW w:w="0" w:type="auto"/>
            <w:noWrap w:val="0"/>
            <w:vAlign w:val="center"/>
          </w:tcPr>
          <w:p w14:paraId="7664E59B">
            <w:r>
              <w:rPr>
                <w:rStyle w:val="10"/>
                <w:rFonts w:hint="eastAsia"/>
              </w:rPr>
              <w:t>剂型：</w:t>
            </w:r>
            <w:r>
              <w:rPr>
                <w:rFonts w:hint="eastAsia"/>
              </w:rPr>
              <w:t>种子处理悬浮剂</w:t>
            </w:r>
          </w:p>
        </w:tc>
      </w:tr>
      <w:tr w14:paraId="2E160893">
        <w:tblPrEx>
          <w:tblCellMar>
            <w:top w:w="0" w:type="dxa"/>
            <w:left w:w="0" w:type="dxa"/>
            <w:bottom w:w="0" w:type="dxa"/>
            <w:right w:w="0" w:type="dxa"/>
          </w:tblCellMar>
        </w:tblPrEx>
        <w:trPr>
          <w:wBefore w:w="0" w:type="auto"/>
          <w:tblCellSpacing w:w="0" w:type="dxa"/>
        </w:trPr>
        <w:tc>
          <w:tcPr>
            <w:tcW w:w="0" w:type="auto"/>
            <w:noWrap w:val="0"/>
            <w:vAlign w:val="center"/>
          </w:tcPr>
          <w:p w14:paraId="74F1E802">
            <w:r>
              <w:rPr>
                <w:rStyle w:val="10"/>
                <w:rFonts w:hint="eastAsia"/>
              </w:rPr>
              <w:t>毒性及其标识：</w:t>
            </w:r>
            <w:r>
              <w:rPr>
                <w:rFonts w:hint="eastAsia"/>
              </w:rPr>
              <w:t xml:space="preserve"> </w:t>
            </w:r>
            <w:r>
              <w:rPr>
                <w:lang/>
              </w:rPr>
              <w:drawing>
                <wp:inline distT="0" distB="0" distL="114300" distR="114300">
                  <wp:extent cx="476250" cy="323850"/>
                  <wp:effectExtent l="0" t="0" r="0" b="0"/>
                  <wp:docPr id="493" name="图片 49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679DFEB">
        <w:tblPrEx>
          <w:tblCellMar>
            <w:top w:w="0" w:type="dxa"/>
            <w:left w:w="0" w:type="dxa"/>
            <w:bottom w:w="0" w:type="dxa"/>
            <w:right w:w="0" w:type="dxa"/>
          </w:tblCellMar>
        </w:tblPrEx>
        <w:trPr>
          <w:wBefore w:w="0" w:type="auto"/>
          <w:tblCellSpacing w:w="0" w:type="dxa"/>
        </w:trPr>
        <w:tc>
          <w:tcPr>
            <w:tcW w:w="0" w:type="auto"/>
            <w:noWrap w:val="0"/>
            <w:vAlign w:val="center"/>
          </w:tcPr>
          <w:p w14:paraId="1AFCF677">
            <w:r>
              <w:rPr>
                <w:rStyle w:val="10"/>
                <w:rFonts w:hint="eastAsia"/>
              </w:rPr>
              <w:t>总有效成分含量：</w:t>
            </w:r>
            <w:r>
              <w:rPr>
                <w:rFonts w:hint="eastAsia"/>
              </w:rPr>
              <w:t>27%</w:t>
            </w:r>
          </w:p>
        </w:tc>
      </w:tr>
      <w:tr w14:paraId="4529538D">
        <w:tblPrEx>
          <w:tblCellMar>
            <w:top w:w="0" w:type="dxa"/>
            <w:left w:w="0" w:type="dxa"/>
            <w:bottom w:w="0" w:type="dxa"/>
            <w:right w:w="0" w:type="dxa"/>
          </w:tblCellMar>
        </w:tblPrEx>
        <w:trPr>
          <w:wBefore w:w="0" w:type="auto"/>
          <w:tblCellSpacing w:w="0" w:type="dxa"/>
        </w:trPr>
        <w:tc>
          <w:tcPr>
            <w:tcW w:w="0" w:type="auto"/>
            <w:noWrap w:val="0"/>
            <w:vAlign w:val="center"/>
          </w:tcPr>
          <w:p w14:paraId="5E522B36">
            <w:r>
              <w:rPr>
                <w:rFonts w:hint="eastAsia"/>
              </w:rPr>
              <w:t xml:space="preserve">有效成分及其含量： </w:t>
            </w:r>
          </w:p>
          <w:p w14:paraId="1BD63C1E">
            <w:r>
              <w:rPr>
                <w:rFonts w:hint="eastAsia"/>
              </w:rPr>
              <w:t xml:space="preserve">    咯菌腈2.2%    噻虫嗪22.6%    苯醚甲环唑2.2%    </w:t>
            </w:r>
          </w:p>
        </w:tc>
      </w:tr>
      <w:tr w14:paraId="3A2F27B0">
        <w:tblPrEx>
          <w:tblCellMar>
            <w:top w:w="0" w:type="dxa"/>
            <w:left w:w="0" w:type="dxa"/>
            <w:bottom w:w="0" w:type="dxa"/>
            <w:right w:w="0" w:type="dxa"/>
          </w:tblCellMar>
        </w:tblPrEx>
        <w:trPr>
          <w:wBefore w:w="0" w:type="auto"/>
          <w:tblCellSpacing w:w="0" w:type="dxa"/>
        </w:trPr>
        <w:tc>
          <w:tcPr>
            <w:tcW w:w="0" w:type="auto"/>
            <w:noWrap w:val="0"/>
            <w:vAlign w:val="center"/>
          </w:tcPr>
          <w:p w14:paraId="0A8B31C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0E422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0072F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4494E3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23DC4C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6820242">
                  <w:r>
                    <w:rPr>
                      <w:rStyle w:val="11"/>
                      <w:rFonts w:hint="eastAsia"/>
                    </w:rPr>
                    <w:t>施用方式</w:t>
                  </w:r>
                </w:p>
              </w:tc>
            </w:tr>
            <w:tr w14:paraId="2CFAA6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DB6CDEB">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0DB233">
                  <w:r>
                    <w:rPr>
                      <w:rStyle w:val="11"/>
                      <w:rFonts w:hint="eastAsia"/>
                    </w:rPr>
                    <w:t>金针虫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FAB1C4">
                  <w:r>
                    <w:rPr>
                      <w:rStyle w:val="11"/>
                      <w:rFonts w:hint="eastAsia"/>
                    </w:rPr>
                    <w:t>500-600毫升/100千克种子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F007A5">
                  <w:r>
                    <w:rPr>
                      <w:rStyle w:val="11"/>
                      <w:rFonts w:hint="eastAsia"/>
                    </w:rPr>
                    <w:t>种子包衣</w:t>
                  </w:r>
                </w:p>
              </w:tc>
            </w:tr>
            <w:tr w14:paraId="4B5837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598B21">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EDEBF3">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CFD501">
                  <w:r>
                    <w:rPr>
                      <w:rStyle w:val="11"/>
                      <w:rFonts w:hint="eastAsia"/>
                    </w:rPr>
                    <w:t>500-600毫升/100千克种子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249FFB">
                  <w:r>
                    <w:rPr>
                      <w:rStyle w:val="11"/>
                      <w:rFonts w:hint="eastAsia"/>
                    </w:rPr>
                    <w:t>种子包衣</w:t>
                  </w:r>
                </w:p>
              </w:tc>
            </w:tr>
            <w:tr w14:paraId="04956C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959ABE6">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13D217">
                  <w:r>
                    <w:rPr>
                      <w:rStyle w:val="11"/>
                      <w:rFonts w:hint="eastAsia"/>
                    </w:rPr>
                    <w:t>恶苗病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6B5EDA">
                  <w:r>
                    <w:rPr>
                      <w:rStyle w:val="11"/>
                      <w:rFonts w:hint="eastAsia"/>
                    </w:rPr>
                    <w:t>400-500毫升/100千克种子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0B134C">
                  <w:r>
                    <w:rPr>
                      <w:rStyle w:val="11"/>
                      <w:rFonts w:hint="eastAsia"/>
                    </w:rPr>
                    <w:t>种子包衣</w:t>
                  </w:r>
                </w:p>
              </w:tc>
            </w:tr>
            <w:tr w14:paraId="7A5B42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5132169">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50B31B">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DFB4EA">
                  <w:r>
                    <w:rPr>
                      <w:rStyle w:val="11"/>
                      <w:rFonts w:hint="eastAsia"/>
                    </w:rPr>
                    <w:t>400-500毫升/100千克种子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74AF49">
                  <w:r>
                    <w:rPr>
                      <w:rStyle w:val="11"/>
                      <w:rFonts w:hint="eastAsia"/>
                    </w:rPr>
                    <w:t>种子包衣</w:t>
                  </w:r>
                </w:p>
              </w:tc>
            </w:tr>
          </w:tbl>
          <w:p w14:paraId="1B5284EF">
            <w:pPr>
              <w:rPr>
                <w:rFonts w:ascii="Times New Roman" w:hAnsi="Times New Roman" w:cs="Times New Roman"/>
                <w:sz w:val="20"/>
                <w:szCs w:val="20"/>
              </w:rPr>
            </w:pPr>
          </w:p>
        </w:tc>
      </w:tr>
      <w:tr w14:paraId="7957E95C">
        <w:tblPrEx>
          <w:tblCellMar>
            <w:top w:w="0" w:type="dxa"/>
            <w:left w:w="0" w:type="dxa"/>
            <w:bottom w:w="0" w:type="dxa"/>
            <w:right w:w="0" w:type="dxa"/>
          </w:tblCellMar>
        </w:tblPrEx>
        <w:trPr>
          <w:wBefore w:w="0" w:type="auto"/>
          <w:tblCellSpacing w:w="0" w:type="dxa"/>
        </w:trPr>
        <w:tc>
          <w:tcPr>
            <w:tcW w:w="0" w:type="auto"/>
            <w:noWrap w:val="0"/>
            <w:vAlign w:val="center"/>
          </w:tcPr>
          <w:p w14:paraId="0E379274">
            <w:r>
              <w:rPr>
                <w:rStyle w:val="10"/>
                <w:rFonts w:hint="eastAsia"/>
              </w:rPr>
              <w:t>使用技术要求:</w:t>
            </w:r>
            <w:r>
              <w:rPr>
                <w:rFonts w:hint="eastAsia"/>
              </w:rPr>
              <w:br w:type="textWrapping"/>
            </w:r>
            <w:r>
              <w:rPr>
                <w:rStyle w:val="11"/>
                <w:rFonts w:hint="eastAsia"/>
              </w:rPr>
              <w:t>1.种子包衣方法：按照播种量，量取推荐用量的药剂，加入适量水稀释并搅拌均匀成药浆，将种子倒入，充分搅拌均匀，晾干后即可播种。2.用于处理的种子应达到国家良种标准。3.配制好的药液应在24小时内使用。4.包衣后的种子应及时催芽播种。</w:t>
            </w:r>
          </w:p>
        </w:tc>
      </w:tr>
      <w:tr w14:paraId="661B6A97">
        <w:tblPrEx>
          <w:tblCellMar>
            <w:top w:w="0" w:type="dxa"/>
            <w:left w:w="0" w:type="dxa"/>
            <w:bottom w:w="0" w:type="dxa"/>
            <w:right w:w="0" w:type="dxa"/>
          </w:tblCellMar>
        </w:tblPrEx>
        <w:trPr>
          <w:wBefore w:w="0" w:type="auto"/>
          <w:tblCellSpacing w:w="0" w:type="dxa"/>
        </w:trPr>
        <w:tc>
          <w:tcPr>
            <w:tcW w:w="0" w:type="auto"/>
            <w:noWrap w:val="0"/>
            <w:vAlign w:val="center"/>
          </w:tcPr>
          <w:p w14:paraId="4157E49F">
            <w:r>
              <w:rPr>
                <w:rStyle w:val="10"/>
                <w:rFonts w:hint="eastAsia"/>
              </w:rPr>
              <w:t>产品性能:</w:t>
            </w:r>
            <w:r>
              <w:rPr>
                <w:rFonts w:hint="eastAsia"/>
              </w:rPr>
              <w:br w:type="textWrapping"/>
            </w:r>
            <w:r>
              <w:rPr>
                <w:rStyle w:val="11"/>
                <w:rFonts w:hint="eastAsia"/>
              </w:rPr>
              <w:t>本品为苯醚甲环唑、咯菌腈、噻虫嗪三者混配的产品。可用于防治小麦根腐病/金针虫、水稻恶苗病/蓟马。</w:t>
            </w:r>
          </w:p>
        </w:tc>
      </w:tr>
      <w:tr w14:paraId="519F20CC">
        <w:tblPrEx>
          <w:tblCellMar>
            <w:top w:w="0" w:type="dxa"/>
            <w:left w:w="0" w:type="dxa"/>
            <w:bottom w:w="0" w:type="dxa"/>
            <w:right w:w="0" w:type="dxa"/>
          </w:tblCellMar>
        </w:tblPrEx>
        <w:trPr>
          <w:wBefore w:w="0" w:type="auto"/>
          <w:tblCellSpacing w:w="0" w:type="dxa"/>
        </w:trPr>
        <w:tc>
          <w:tcPr>
            <w:tcW w:w="0" w:type="auto"/>
            <w:noWrap w:val="0"/>
            <w:vAlign w:val="center"/>
          </w:tcPr>
          <w:p w14:paraId="62906F52">
            <w:r>
              <w:rPr>
                <w:rStyle w:val="10"/>
                <w:rFonts w:hint="eastAsia"/>
              </w:rPr>
              <w:t>注意事项：</w:t>
            </w:r>
            <w:r>
              <w:rPr>
                <w:rFonts w:hint="eastAsia"/>
              </w:rPr>
              <w:br w:type="textWrapping"/>
            </w:r>
            <w:r>
              <w:rPr>
                <w:rStyle w:val="11"/>
                <w:rFonts w:hint="eastAsia"/>
              </w:rPr>
              <w:t>1.请按照农药安全使用准则使用本品。药液及其废液不得污染各类水域，土壤等环境。在种子处理过程中，避免药液接触皮肤、眼睛和污染衣物，避免吸入药液。2. 本品对眼睛有刺激性，使用时避免接触眼睛，穿戴长衣、长裤、帽子、口罩、手套等防护措施。配药和种子处理应在通风处进行。此时不可饮食、吸烟等。种子处理结束后，彻底清洗防护用具，洗澡，并更换和清洗工作服。3.处理过的种子必须放置在有明显标签的容器内。勿与食物、饲料放在一起，不得饲喂禽畜，更不得用来加工饲料或食品。4.鸟类保护区附近禁用，播种后应立即覆土，严禁畜禽进入。5.（周围）开花植物花期禁用，使用时应密切关注对附近蜂群的影响。6.勿将本品及其废液弃于池塘、河溪、湖泊等，以免污染水源。远离水产养殖区施药，禁止在河塘等水体中清洗施药器具，清洗施药器具的水也不能排入河塘等水体。鱼或虾蟹套养稻田禁用，施药后的田水不得直接排入水体。 7.未用完的制剂应放在原包装内密封保存，切勿将本品置于饮食容器内，用过后的空包装应三次清洗并砸烂或划破后妥善处理，切勿重复使用。7、用过的容器应妥善处理，不可做他用，也不可随意丢弃。8.孕妇及哺乳期的妇女避免接触本品。</w:t>
            </w:r>
          </w:p>
        </w:tc>
      </w:tr>
      <w:tr w14:paraId="05B8672B">
        <w:tblPrEx>
          <w:tblCellMar>
            <w:top w:w="0" w:type="dxa"/>
            <w:left w:w="0" w:type="dxa"/>
            <w:bottom w:w="0" w:type="dxa"/>
            <w:right w:w="0" w:type="dxa"/>
          </w:tblCellMar>
        </w:tblPrEx>
        <w:trPr>
          <w:wBefore w:w="0" w:type="auto"/>
          <w:tblCellSpacing w:w="0" w:type="dxa"/>
        </w:trPr>
        <w:tc>
          <w:tcPr>
            <w:tcW w:w="0" w:type="auto"/>
            <w:noWrap w:val="0"/>
            <w:vAlign w:val="center"/>
          </w:tcPr>
          <w:p w14:paraId="6E381995">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 2.皮肤接触：立即脱掉被污染的衣物，用肥皂和大量清水彻底清洗受污染的皮肤。必要时请医生诊治。 3.眼睛溅药：立即将眼睑翻开，用清水冲洗至少15分钟，再请医生诊治。 4.发生吸入：立即将吸入者转移到空气新鲜处，注意保暖和休息，请医生诊治。 5.误服：请勿引吐。立即携带标签，送医就诊。解毒剂：无专用解毒剂，对症治疗。</w:t>
            </w:r>
          </w:p>
        </w:tc>
      </w:tr>
      <w:tr w14:paraId="6378957B">
        <w:tblPrEx>
          <w:tblCellMar>
            <w:top w:w="0" w:type="dxa"/>
            <w:left w:w="0" w:type="dxa"/>
            <w:bottom w:w="0" w:type="dxa"/>
            <w:right w:w="0" w:type="dxa"/>
          </w:tblCellMar>
        </w:tblPrEx>
        <w:trPr>
          <w:wBefore w:w="0" w:type="auto"/>
          <w:tblCellSpacing w:w="0" w:type="dxa"/>
        </w:trPr>
        <w:tc>
          <w:tcPr>
            <w:tcW w:w="0" w:type="auto"/>
            <w:noWrap w:val="0"/>
            <w:vAlign w:val="center"/>
          </w:tcPr>
          <w:p w14:paraId="32A415D6">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本品应贮存在干燥、阴凉、通风、防雨处，远离火源或热源。置于儿童及无关人员触及不到之处，并加锁。不能与食品、饮料、粮食、饲料等混合储运。</w:t>
            </w:r>
          </w:p>
        </w:tc>
      </w:tr>
      <w:tr w14:paraId="107397B7">
        <w:tblPrEx>
          <w:tblCellMar>
            <w:top w:w="0" w:type="dxa"/>
            <w:left w:w="0" w:type="dxa"/>
            <w:bottom w:w="0" w:type="dxa"/>
            <w:right w:w="0" w:type="dxa"/>
          </w:tblCellMar>
        </w:tblPrEx>
        <w:trPr>
          <w:wBefore w:w="0" w:type="auto"/>
          <w:tblCellSpacing w:w="0" w:type="dxa"/>
        </w:trPr>
        <w:tc>
          <w:tcPr>
            <w:tcW w:w="0" w:type="auto"/>
            <w:noWrap w:val="0"/>
            <w:vAlign w:val="center"/>
          </w:tcPr>
          <w:p w14:paraId="2DF86DCC">
            <w:r>
              <w:rPr>
                <w:rStyle w:val="10"/>
                <w:rFonts w:hint="eastAsia"/>
              </w:rPr>
              <w:t>质量保证期：</w:t>
            </w:r>
            <w:r>
              <w:rPr>
                <w:rStyle w:val="11"/>
                <w:rFonts w:hint="eastAsia"/>
              </w:rPr>
              <w:t>2年</w:t>
            </w:r>
          </w:p>
        </w:tc>
      </w:tr>
      <w:tr w14:paraId="57F6FE68">
        <w:tblPrEx>
          <w:tblCellMar>
            <w:top w:w="0" w:type="dxa"/>
            <w:left w:w="0" w:type="dxa"/>
            <w:bottom w:w="0" w:type="dxa"/>
            <w:right w:w="0" w:type="dxa"/>
          </w:tblCellMar>
        </w:tblPrEx>
        <w:trPr>
          <w:wBefore w:w="0" w:type="auto"/>
          <w:tblCellSpacing w:w="0" w:type="dxa"/>
        </w:trPr>
        <w:tc>
          <w:tcPr>
            <w:tcW w:w="0" w:type="auto"/>
            <w:noWrap w:val="0"/>
            <w:vAlign w:val="center"/>
          </w:tcPr>
          <w:p w14:paraId="2F84C4EC">
            <w:r>
              <w:rPr>
                <w:rStyle w:val="10"/>
                <w:rFonts w:hint="eastAsia"/>
              </w:rPr>
              <w:t>备注：</w:t>
            </w:r>
          </w:p>
        </w:tc>
      </w:tr>
    </w:tbl>
    <w:p w14:paraId="0E28B75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7F0A6D9">
        <w:tblPrEx>
          <w:tblCellMar>
            <w:top w:w="0" w:type="dxa"/>
            <w:left w:w="0" w:type="dxa"/>
            <w:bottom w:w="0" w:type="dxa"/>
            <w:right w:w="0" w:type="dxa"/>
          </w:tblCellMar>
        </w:tblPrEx>
        <w:trPr>
          <w:wBefore w:w="0" w:type="auto"/>
          <w:tblCellSpacing w:w="0" w:type="dxa"/>
        </w:trPr>
        <w:tc>
          <w:tcPr>
            <w:tcW w:w="0" w:type="auto"/>
            <w:noWrap w:val="0"/>
            <w:vAlign w:val="center"/>
          </w:tcPr>
          <w:p w14:paraId="449355B2">
            <w:r>
              <w:rPr>
                <w:rStyle w:val="10"/>
                <w:rFonts w:hint="eastAsia"/>
              </w:rPr>
              <w:t>登记证号：</w:t>
            </w:r>
            <w:r>
              <w:rPr>
                <w:rFonts w:hint="eastAsia"/>
              </w:rPr>
              <w:t>PD20212142</w:t>
            </w:r>
          </w:p>
        </w:tc>
      </w:tr>
      <w:tr w14:paraId="23958447">
        <w:tblPrEx>
          <w:tblCellMar>
            <w:top w:w="0" w:type="dxa"/>
            <w:left w:w="0" w:type="dxa"/>
            <w:bottom w:w="0" w:type="dxa"/>
            <w:right w:w="0" w:type="dxa"/>
          </w:tblCellMar>
        </w:tblPrEx>
        <w:trPr>
          <w:wBefore w:w="0" w:type="auto"/>
          <w:tblCellSpacing w:w="0" w:type="dxa"/>
        </w:trPr>
        <w:tc>
          <w:tcPr>
            <w:tcW w:w="0" w:type="auto"/>
            <w:noWrap w:val="0"/>
            <w:vAlign w:val="center"/>
          </w:tcPr>
          <w:p w14:paraId="17602548">
            <w:r>
              <w:rPr>
                <w:rStyle w:val="10"/>
                <w:rFonts w:hint="eastAsia"/>
              </w:rPr>
              <w:t>登记证持有人：</w:t>
            </w:r>
            <w:r>
              <w:rPr>
                <w:rFonts w:hint="eastAsia"/>
              </w:rPr>
              <w:t>齐齐哈尔华丰化工有限公司</w:t>
            </w:r>
          </w:p>
        </w:tc>
      </w:tr>
      <w:tr w14:paraId="17A9B0F8">
        <w:tblPrEx>
          <w:tblCellMar>
            <w:top w:w="0" w:type="dxa"/>
            <w:left w:w="0" w:type="dxa"/>
            <w:bottom w:w="0" w:type="dxa"/>
            <w:right w:w="0" w:type="dxa"/>
          </w:tblCellMar>
        </w:tblPrEx>
        <w:trPr>
          <w:wBefore w:w="0" w:type="auto"/>
          <w:tblCellSpacing w:w="0" w:type="dxa"/>
        </w:trPr>
        <w:tc>
          <w:tcPr>
            <w:tcW w:w="0" w:type="auto"/>
            <w:noWrap w:val="0"/>
            <w:vAlign w:val="center"/>
          </w:tcPr>
          <w:p w14:paraId="7B540F3C">
            <w:r>
              <w:rPr>
                <w:rStyle w:val="10"/>
                <w:rFonts w:hint="eastAsia"/>
              </w:rPr>
              <w:t>农药名称：</w:t>
            </w:r>
            <w:r>
              <w:rPr>
                <w:rFonts w:hint="eastAsia"/>
              </w:rPr>
              <w:t>丙噁酮·丁草胺·噁嗪酮</w:t>
            </w:r>
          </w:p>
        </w:tc>
      </w:tr>
      <w:tr w14:paraId="5785FD28">
        <w:tblPrEx>
          <w:tblCellMar>
            <w:top w:w="0" w:type="dxa"/>
            <w:left w:w="0" w:type="dxa"/>
            <w:bottom w:w="0" w:type="dxa"/>
            <w:right w:w="0" w:type="dxa"/>
          </w:tblCellMar>
        </w:tblPrEx>
        <w:trPr>
          <w:wBefore w:w="0" w:type="auto"/>
          <w:tblCellSpacing w:w="0" w:type="dxa"/>
        </w:trPr>
        <w:tc>
          <w:tcPr>
            <w:tcW w:w="0" w:type="auto"/>
            <w:noWrap w:val="0"/>
            <w:vAlign w:val="center"/>
          </w:tcPr>
          <w:p w14:paraId="0DAB27A2">
            <w:r>
              <w:rPr>
                <w:rStyle w:val="10"/>
                <w:rFonts w:hint="eastAsia"/>
              </w:rPr>
              <w:t>剂型：</w:t>
            </w:r>
            <w:r>
              <w:rPr>
                <w:rFonts w:hint="eastAsia"/>
              </w:rPr>
              <w:t>可分散油悬浮剂</w:t>
            </w:r>
          </w:p>
        </w:tc>
      </w:tr>
      <w:tr w14:paraId="1F2DCA5C">
        <w:tblPrEx>
          <w:tblCellMar>
            <w:top w:w="0" w:type="dxa"/>
            <w:left w:w="0" w:type="dxa"/>
            <w:bottom w:w="0" w:type="dxa"/>
            <w:right w:w="0" w:type="dxa"/>
          </w:tblCellMar>
        </w:tblPrEx>
        <w:trPr>
          <w:wBefore w:w="0" w:type="auto"/>
          <w:tblCellSpacing w:w="0" w:type="dxa"/>
        </w:trPr>
        <w:tc>
          <w:tcPr>
            <w:tcW w:w="0" w:type="auto"/>
            <w:noWrap w:val="0"/>
            <w:vAlign w:val="center"/>
          </w:tcPr>
          <w:p w14:paraId="1D73529D">
            <w:r>
              <w:rPr>
                <w:rStyle w:val="10"/>
                <w:rFonts w:hint="eastAsia"/>
              </w:rPr>
              <w:t>毒性及其标识：</w:t>
            </w:r>
            <w:r>
              <w:rPr>
                <w:rFonts w:hint="eastAsia"/>
              </w:rPr>
              <w:t xml:space="preserve"> </w:t>
            </w:r>
            <w:r>
              <w:rPr>
                <w:lang/>
              </w:rPr>
              <w:drawing>
                <wp:inline distT="0" distB="0" distL="114300" distR="114300">
                  <wp:extent cx="476250" cy="323850"/>
                  <wp:effectExtent l="0" t="0" r="0" b="0"/>
                  <wp:docPr id="494" name="图片 49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A6310F8">
        <w:tblPrEx>
          <w:tblCellMar>
            <w:top w:w="0" w:type="dxa"/>
            <w:left w:w="0" w:type="dxa"/>
            <w:bottom w:w="0" w:type="dxa"/>
            <w:right w:w="0" w:type="dxa"/>
          </w:tblCellMar>
        </w:tblPrEx>
        <w:trPr>
          <w:wBefore w:w="0" w:type="auto"/>
          <w:tblCellSpacing w:w="0" w:type="dxa"/>
        </w:trPr>
        <w:tc>
          <w:tcPr>
            <w:tcW w:w="0" w:type="auto"/>
            <w:noWrap w:val="0"/>
            <w:vAlign w:val="center"/>
          </w:tcPr>
          <w:p w14:paraId="4E4016F8">
            <w:r>
              <w:rPr>
                <w:rStyle w:val="10"/>
                <w:rFonts w:hint="eastAsia"/>
              </w:rPr>
              <w:t>总有效成分含量：</w:t>
            </w:r>
            <w:r>
              <w:rPr>
                <w:rFonts w:hint="eastAsia"/>
              </w:rPr>
              <w:t>37%</w:t>
            </w:r>
          </w:p>
        </w:tc>
      </w:tr>
      <w:tr w14:paraId="6BEE0BAB">
        <w:tblPrEx>
          <w:tblCellMar>
            <w:top w:w="0" w:type="dxa"/>
            <w:left w:w="0" w:type="dxa"/>
            <w:bottom w:w="0" w:type="dxa"/>
            <w:right w:w="0" w:type="dxa"/>
          </w:tblCellMar>
        </w:tblPrEx>
        <w:trPr>
          <w:wBefore w:w="0" w:type="auto"/>
          <w:tblCellSpacing w:w="0" w:type="dxa"/>
        </w:trPr>
        <w:tc>
          <w:tcPr>
            <w:tcW w:w="0" w:type="auto"/>
            <w:noWrap w:val="0"/>
            <w:vAlign w:val="center"/>
          </w:tcPr>
          <w:p w14:paraId="6E2C97AC">
            <w:r>
              <w:rPr>
                <w:rFonts w:hint="eastAsia"/>
              </w:rPr>
              <w:t xml:space="preserve">有效成分及其含量： </w:t>
            </w:r>
          </w:p>
          <w:p w14:paraId="28773840">
            <w:r>
              <w:rPr>
                <w:rFonts w:hint="eastAsia"/>
              </w:rPr>
              <w:t xml:space="preserve">    丙炔噁草酮5%    丁草胺30%    噁嗪草酮2%    </w:t>
            </w:r>
          </w:p>
        </w:tc>
      </w:tr>
      <w:tr w14:paraId="119E42B8">
        <w:tblPrEx>
          <w:tblCellMar>
            <w:top w:w="0" w:type="dxa"/>
            <w:left w:w="0" w:type="dxa"/>
            <w:bottom w:w="0" w:type="dxa"/>
            <w:right w:w="0" w:type="dxa"/>
          </w:tblCellMar>
        </w:tblPrEx>
        <w:trPr>
          <w:wBefore w:w="0" w:type="auto"/>
          <w:tblCellSpacing w:w="0" w:type="dxa"/>
        </w:trPr>
        <w:tc>
          <w:tcPr>
            <w:tcW w:w="0" w:type="auto"/>
            <w:noWrap w:val="0"/>
            <w:vAlign w:val="center"/>
          </w:tcPr>
          <w:p w14:paraId="6CD204C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FF2CF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66692A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BE7515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FC8B96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7211FDB">
                  <w:r>
                    <w:rPr>
                      <w:rStyle w:val="11"/>
                      <w:rFonts w:hint="eastAsia"/>
                    </w:rPr>
                    <w:t>施用方式</w:t>
                  </w:r>
                </w:p>
              </w:tc>
            </w:tr>
            <w:tr w14:paraId="0718A2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58A11DA">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9107F5">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C053CB">
                  <w:r>
                    <w:rPr>
                      <w:rStyle w:val="11"/>
                      <w:rFonts w:hint="eastAsia"/>
                    </w:rPr>
                    <w:t>80-100毫升/亩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2BF5CE">
                  <w:r>
                    <w:rPr>
                      <w:rStyle w:val="11"/>
                      <w:rFonts w:hint="eastAsia"/>
                    </w:rPr>
                    <w:t>甩施</w:t>
                  </w:r>
                </w:p>
              </w:tc>
            </w:tr>
          </w:tbl>
          <w:p w14:paraId="1627AB76">
            <w:pPr>
              <w:rPr>
                <w:rFonts w:ascii="Times New Roman" w:hAnsi="Times New Roman" w:cs="Times New Roman"/>
                <w:sz w:val="20"/>
                <w:szCs w:val="20"/>
              </w:rPr>
            </w:pPr>
          </w:p>
        </w:tc>
      </w:tr>
      <w:tr w14:paraId="61A20C45">
        <w:tblPrEx>
          <w:tblCellMar>
            <w:top w:w="0" w:type="dxa"/>
            <w:left w:w="0" w:type="dxa"/>
            <w:bottom w:w="0" w:type="dxa"/>
            <w:right w:w="0" w:type="dxa"/>
          </w:tblCellMar>
        </w:tblPrEx>
        <w:trPr>
          <w:wBefore w:w="0" w:type="auto"/>
          <w:tblCellSpacing w:w="0" w:type="dxa"/>
        </w:trPr>
        <w:tc>
          <w:tcPr>
            <w:tcW w:w="0" w:type="auto"/>
            <w:noWrap w:val="0"/>
            <w:vAlign w:val="center"/>
          </w:tcPr>
          <w:p w14:paraId="525ED1CA">
            <w:r>
              <w:rPr>
                <w:rStyle w:val="10"/>
                <w:rFonts w:hint="eastAsia"/>
              </w:rPr>
              <w:t>使用技术要求:</w:t>
            </w:r>
            <w:r>
              <w:rPr>
                <w:rFonts w:hint="eastAsia"/>
              </w:rPr>
              <w:br w:type="textWrapping"/>
            </w:r>
            <w:r>
              <w:rPr>
                <w:rStyle w:val="11"/>
                <w:rFonts w:hint="eastAsia"/>
              </w:rPr>
              <w:t xml:space="preserve">施药适期：[1]在水稻移栽前3-5天灌水整地后，以推荐剂量均匀甩施一次，药后保水至插秧常规田管。[2]要求施药田块平整，水层3-5厘米，水不可淹没稻苗芯叶，以免产生药害。药后48小时内只灌不排。 [4].秸秆还田（旋耕整地、打浆）的稻田，也需于水稻移栽前3-7天趁清水施药，且秸秆要打碎并彻底与耕层土壤混均，以免因秸秆集中腐烂造成稻苗根部缺氧引起稻苗受害。 [5]注意水层勿淹没水稻心叶避免药害。施药时防止药液飘移到邻近作物，以免产生药害。勿超剂量使用，避免药害。[6]本品每季作物最多施药一次。 </w:t>
            </w:r>
          </w:p>
        </w:tc>
      </w:tr>
      <w:tr w14:paraId="1FFBDCD2">
        <w:tblPrEx>
          <w:tblCellMar>
            <w:top w:w="0" w:type="dxa"/>
            <w:left w:w="0" w:type="dxa"/>
            <w:bottom w:w="0" w:type="dxa"/>
            <w:right w:w="0" w:type="dxa"/>
          </w:tblCellMar>
        </w:tblPrEx>
        <w:trPr>
          <w:wBefore w:w="0" w:type="auto"/>
          <w:tblCellSpacing w:w="0" w:type="dxa"/>
        </w:trPr>
        <w:tc>
          <w:tcPr>
            <w:tcW w:w="0" w:type="auto"/>
            <w:noWrap w:val="0"/>
            <w:vAlign w:val="center"/>
          </w:tcPr>
          <w:p w14:paraId="3A7C9A47">
            <w:r>
              <w:rPr>
                <w:rStyle w:val="10"/>
                <w:rFonts w:hint="eastAsia"/>
              </w:rPr>
              <w:t>产品性能:</w:t>
            </w:r>
            <w:r>
              <w:rPr>
                <w:rFonts w:hint="eastAsia"/>
              </w:rPr>
              <w:br w:type="textWrapping"/>
            </w:r>
            <w:r>
              <w:rPr>
                <w:rStyle w:val="11"/>
                <w:rFonts w:hint="eastAsia"/>
              </w:rPr>
              <w:t>本品是一种广谱性新型除草剂。丙炔噁草酮属于选择性触杀型芽期除草剂，丁草胺为酰胺类选择性内吸传导除草剂，噁嗪草酮为内吸传导性除草剂，三者混配扩大杀草谱，具有协同增效作用。可有效防除移栽水稻田稗草、千金子、稻稗、泽泻、野慈姑、鸭舌草、萤蔺、眼子菜、水绵、雨久花、节节菜、牛毛毡、鲤肠等杂草均有很好的防效。</w:t>
            </w:r>
          </w:p>
        </w:tc>
      </w:tr>
      <w:tr w14:paraId="2D4EE322">
        <w:tblPrEx>
          <w:tblCellMar>
            <w:top w:w="0" w:type="dxa"/>
            <w:left w:w="0" w:type="dxa"/>
            <w:bottom w:w="0" w:type="dxa"/>
            <w:right w:w="0" w:type="dxa"/>
          </w:tblCellMar>
        </w:tblPrEx>
        <w:trPr>
          <w:wBefore w:w="0" w:type="auto"/>
          <w:tblCellSpacing w:w="0" w:type="dxa"/>
        </w:trPr>
        <w:tc>
          <w:tcPr>
            <w:tcW w:w="0" w:type="auto"/>
            <w:noWrap w:val="0"/>
            <w:vAlign w:val="center"/>
          </w:tcPr>
          <w:p w14:paraId="1CF0E8F2">
            <w:r>
              <w:rPr>
                <w:rStyle w:val="10"/>
                <w:rFonts w:hint="eastAsia"/>
              </w:rPr>
              <w:t>注意事项：</w:t>
            </w:r>
            <w:r>
              <w:rPr>
                <w:rFonts w:hint="eastAsia"/>
              </w:rPr>
              <w:br w:type="textWrapping"/>
            </w:r>
            <w:r>
              <w:rPr>
                <w:rStyle w:val="11"/>
                <w:rFonts w:hint="eastAsia"/>
              </w:rPr>
              <w:t>[1]、应在专业植保人员的指导下施药，不能随意增加施药量、施药次数或缩短施药间隔。[2]、沙质土、漏水田应用效果差。[3]、远离水产养殖区河塘等水体施药，禁止在河塘等水体清洗施药器具。鱼或虾蟹套养稻田禁用,施药后的田水不得直接排入水体。[4]用过的容器应妥善处理，不可做他用，也不可随意丢弃。[5]施药时应采取相应的防护措施，穿戴长衣、长裤、帽子、口罩、手套等安全防护措施，避免皮肤接触及口鼻吸入。施药时不可吸烟、吃东西和饮水，施药后应及时洗手洗脸等暴露部位皮肤并更换衣物。[6]、禁止儿童、孕妇及哺乳期的妇女接触。过敏者禁用，使用中有任何不良反应请及时就医。产品属于易燃液体。</w:t>
            </w:r>
          </w:p>
        </w:tc>
      </w:tr>
      <w:tr w14:paraId="3CE96E7C">
        <w:tblPrEx>
          <w:tblCellMar>
            <w:top w:w="0" w:type="dxa"/>
            <w:left w:w="0" w:type="dxa"/>
            <w:bottom w:w="0" w:type="dxa"/>
            <w:right w:w="0" w:type="dxa"/>
          </w:tblCellMar>
        </w:tblPrEx>
        <w:trPr>
          <w:wBefore w:w="0" w:type="auto"/>
          <w:tblCellSpacing w:w="0" w:type="dxa"/>
        </w:trPr>
        <w:tc>
          <w:tcPr>
            <w:tcW w:w="0" w:type="auto"/>
            <w:noWrap w:val="0"/>
            <w:vAlign w:val="center"/>
          </w:tcPr>
          <w:p w14:paraId="4B755ACD">
            <w:r>
              <w:rPr>
                <w:rStyle w:val="10"/>
                <w:rFonts w:hint="eastAsia"/>
              </w:rPr>
              <w:t>中毒急救措施：</w:t>
            </w:r>
            <w:r>
              <w:rPr>
                <w:rFonts w:hint="eastAsia"/>
              </w:rPr>
              <w:br w:type="textWrapping"/>
            </w:r>
            <w:r>
              <w:rPr>
                <w:rStyle w:val="11"/>
                <w:rFonts w:hint="eastAsia"/>
              </w:rPr>
              <w:t>对眼睛有刺激性，使用时避免接触眼睛。 1.皮肤接触：立即脱掉被污染的衣物，用肥皂和大量清水彻底清洗受污染的皮肤。2.眼睛溅药：立即将眼睑翻开，用清水冲洗至少15分钟。3.发生吸入：立即将吸入者转移到空气新鲜处。注意保暖和休息，请医生诊治。 4.误服：请勿引吐，立即携带标签，送医就诊。</w:t>
            </w:r>
          </w:p>
        </w:tc>
      </w:tr>
      <w:tr w14:paraId="667704BD">
        <w:tblPrEx>
          <w:tblCellMar>
            <w:top w:w="0" w:type="dxa"/>
            <w:left w:w="0" w:type="dxa"/>
            <w:bottom w:w="0" w:type="dxa"/>
            <w:right w:w="0" w:type="dxa"/>
          </w:tblCellMar>
        </w:tblPrEx>
        <w:trPr>
          <w:wBefore w:w="0" w:type="auto"/>
          <w:tblCellSpacing w:w="0" w:type="dxa"/>
        </w:trPr>
        <w:tc>
          <w:tcPr>
            <w:tcW w:w="0" w:type="auto"/>
            <w:noWrap w:val="0"/>
            <w:vAlign w:val="center"/>
          </w:tcPr>
          <w:p w14:paraId="76ED906E">
            <w:r>
              <w:rPr>
                <w:rStyle w:val="10"/>
                <w:rFonts w:hint="eastAsia"/>
              </w:rPr>
              <w:t>储存和运输方法：</w:t>
            </w:r>
            <w:r>
              <w:rPr>
                <w:rFonts w:hint="eastAsia"/>
              </w:rPr>
              <w:br w:type="textWrapping"/>
            </w:r>
            <w:r>
              <w:rPr>
                <w:rStyle w:val="11"/>
                <w:rFonts w:hint="eastAsia"/>
              </w:rPr>
              <w:t>1、 本品应贮存在干燥、阴凉、通风、防雨处，远离火源或热源。2、置于儿童及无关人员触不到之处，并加锁。3、勿与食品、饮料、粮食、饲料等商品同贮同运。</w:t>
            </w:r>
          </w:p>
        </w:tc>
      </w:tr>
      <w:tr w14:paraId="5E76DF38">
        <w:tblPrEx>
          <w:tblCellMar>
            <w:top w:w="0" w:type="dxa"/>
            <w:left w:w="0" w:type="dxa"/>
            <w:bottom w:w="0" w:type="dxa"/>
            <w:right w:w="0" w:type="dxa"/>
          </w:tblCellMar>
        </w:tblPrEx>
        <w:trPr>
          <w:wBefore w:w="0" w:type="auto"/>
          <w:tblCellSpacing w:w="0" w:type="dxa"/>
        </w:trPr>
        <w:tc>
          <w:tcPr>
            <w:tcW w:w="0" w:type="auto"/>
            <w:noWrap w:val="0"/>
            <w:vAlign w:val="center"/>
          </w:tcPr>
          <w:p w14:paraId="0AAACBC7">
            <w:r>
              <w:rPr>
                <w:rStyle w:val="10"/>
                <w:rFonts w:hint="eastAsia"/>
              </w:rPr>
              <w:t>质量保证期：</w:t>
            </w:r>
            <w:r>
              <w:rPr>
                <w:rStyle w:val="11"/>
                <w:rFonts w:hint="eastAsia"/>
              </w:rPr>
              <w:t>2年</w:t>
            </w:r>
          </w:p>
        </w:tc>
      </w:tr>
      <w:tr w14:paraId="456D0898">
        <w:tblPrEx>
          <w:tblCellMar>
            <w:top w:w="0" w:type="dxa"/>
            <w:left w:w="0" w:type="dxa"/>
            <w:bottom w:w="0" w:type="dxa"/>
            <w:right w:w="0" w:type="dxa"/>
          </w:tblCellMar>
        </w:tblPrEx>
        <w:trPr>
          <w:wBefore w:w="0" w:type="auto"/>
          <w:tblCellSpacing w:w="0" w:type="dxa"/>
        </w:trPr>
        <w:tc>
          <w:tcPr>
            <w:tcW w:w="0" w:type="auto"/>
            <w:noWrap w:val="0"/>
            <w:vAlign w:val="center"/>
          </w:tcPr>
          <w:p w14:paraId="10C0D169">
            <w:r>
              <w:rPr>
                <w:rStyle w:val="10"/>
                <w:rFonts w:hint="eastAsia"/>
              </w:rPr>
              <w:t>备注：</w:t>
            </w:r>
          </w:p>
        </w:tc>
      </w:tr>
    </w:tbl>
    <w:p w14:paraId="1DD47B4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CA21517">
        <w:tblPrEx>
          <w:tblCellMar>
            <w:top w:w="0" w:type="dxa"/>
            <w:left w:w="0" w:type="dxa"/>
            <w:bottom w:w="0" w:type="dxa"/>
            <w:right w:w="0" w:type="dxa"/>
          </w:tblCellMar>
        </w:tblPrEx>
        <w:trPr>
          <w:wBefore w:w="0" w:type="auto"/>
          <w:tblCellSpacing w:w="0" w:type="dxa"/>
        </w:trPr>
        <w:tc>
          <w:tcPr>
            <w:tcW w:w="0" w:type="auto"/>
            <w:noWrap w:val="0"/>
            <w:vAlign w:val="center"/>
          </w:tcPr>
          <w:p w14:paraId="56D97A19">
            <w:r>
              <w:rPr>
                <w:rStyle w:val="10"/>
                <w:rFonts w:hint="eastAsia"/>
              </w:rPr>
              <w:t>登记证号：</w:t>
            </w:r>
            <w:r>
              <w:rPr>
                <w:rFonts w:hint="eastAsia"/>
              </w:rPr>
              <w:t>PD20211869</w:t>
            </w:r>
          </w:p>
        </w:tc>
      </w:tr>
      <w:tr w14:paraId="551EB059">
        <w:tblPrEx>
          <w:tblCellMar>
            <w:top w:w="0" w:type="dxa"/>
            <w:left w:w="0" w:type="dxa"/>
            <w:bottom w:w="0" w:type="dxa"/>
            <w:right w:w="0" w:type="dxa"/>
          </w:tblCellMar>
        </w:tblPrEx>
        <w:trPr>
          <w:wBefore w:w="0" w:type="auto"/>
          <w:tblCellSpacing w:w="0" w:type="dxa"/>
        </w:trPr>
        <w:tc>
          <w:tcPr>
            <w:tcW w:w="0" w:type="auto"/>
            <w:noWrap w:val="0"/>
            <w:vAlign w:val="center"/>
          </w:tcPr>
          <w:p w14:paraId="08F09A7E">
            <w:r>
              <w:rPr>
                <w:rStyle w:val="10"/>
                <w:rFonts w:hint="eastAsia"/>
              </w:rPr>
              <w:t>登记证持有人：</w:t>
            </w:r>
            <w:r>
              <w:rPr>
                <w:rFonts w:hint="eastAsia"/>
              </w:rPr>
              <w:t>南宁市德丰富化工有限责任公司</w:t>
            </w:r>
          </w:p>
        </w:tc>
      </w:tr>
      <w:tr w14:paraId="64A34C32">
        <w:tblPrEx>
          <w:tblCellMar>
            <w:top w:w="0" w:type="dxa"/>
            <w:left w:w="0" w:type="dxa"/>
            <w:bottom w:w="0" w:type="dxa"/>
            <w:right w:w="0" w:type="dxa"/>
          </w:tblCellMar>
        </w:tblPrEx>
        <w:trPr>
          <w:wBefore w:w="0" w:type="auto"/>
          <w:tblCellSpacing w:w="0" w:type="dxa"/>
        </w:trPr>
        <w:tc>
          <w:tcPr>
            <w:tcW w:w="0" w:type="auto"/>
            <w:noWrap w:val="0"/>
            <w:vAlign w:val="center"/>
          </w:tcPr>
          <w:p w14:paraId="7E746F77">
            <w:r>
              <w:rPr>
                <w:rStyle w:val="10"/>
                <w:rFonts w:hint="eastAsia"/>
              </w:rPr>
              <w:t>农药名称：</w:t>
            </w:r>
            <w:r>
              <w:rPr>
                <w:rFonts w:hint="eastAsia"/>
              </w:rPr>
              <w:t>噻虫嗪</w:t>
            </w:r>
          </w:p>
        </w:tc>
      </w:tr>
      <w:tr w14:paraId="722D2663">
        <w:tblPrEx>
          <w:tblCellMar>
            <w:top w:w="0" w:type="dxa"/>
            <w:left w:w="0" w:type="dxa"/>
            <w:bottom w:w="0" w:type="dxa"/>
            <w:right w:w="0" w:type="dxa"/>
          </w:tblCellMar>
        </w:tblPrEx>
        <w:trPr>
          <w:wBefore w:w="0" w:type="auto"/>
          <w:tblCellSpacing w:w="0" w:type="dxa"/>
        </w:trPr>
        <w:tc>
          <w:tcPr>
            <w:tcW w:w="0" w:type="auto"/>
            <w:noWrap w:val="0"/>
            <w:vAlign w:val="center"/>
          </w:tcPr>
          <w:p w14:paraId="05D5F0C1">
            <w:r>
              <w:rPr>
                <w:rStyle w:val="10"/>
                <w:rFonts w:hint="eastAsia"/>
              </w:rPr>
              <w:t>剂型：</w:t>
            </w:r>
            <w:r>
              <w:rPr>
                <w:rFonts w:hint="eastAsia"/>
              </w:rPr>
              <w:t>颗粒剂</w:t>
            </w:r>
          </w:p>
        </w:tc>
      </w:tr>
      <w:tr w14:paraId="0EBBC569">
        <w:tblPrEx>
          <w:tblCellMar>
            <w:top w:w="0" w:type="dxa"/>
            <w:left w:w="0" w:type="dxa"/>
            <w:bottom w:w="0" w:type="dxa"/>
            <w:right w:w="0" w:type="dxa"/>
          </w:tblCellMar>
        </w:tblPrEx>
        <w:trPr>
          <w:wBefore w:w="0" w:type="auto"/>
          <w:tblCellSpacing w:w="0" w:type="dxa"/>
        </w:trPr>
        <w:tc>
          <w:tcPr>
            <w:tcW w:w="0" w:type="auto"/>
            <w:noWrap w:val="0"/>
            <w:vAlign w:val="center"/>
          </w:tcPr>
          <w:p w14:paraId="3F974A13">
            <w:r>
              <w:rPr>
                <w:rStyle w:val="10"/>
                <w:rFonts w:hint="eastAsia"/>
              </w:rPr>
              <w:t>毒性及其标识：</w:t>
            </w:r>
            <w:r>
              <w:rPr>
                <w:rFonts w:hint="eastAsia"/>
              </w:rPr>
              <w:t xml:space="preserve"> </w:t>
            </w:r>
            <w:r>
              <w:rPr>
                <w:lang/>
              </w:rPr>
              <w:drawing>
                <wp:inline distT="0" distB="0" distL="114300" distR="114300">
                  <wp:extent cx="476250" cy="323850"/>
                  <wp:effectExtent l="0" t="0" r="0" b="0"/>
                  <wp:docPr id="495" name="图片 49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0C4534D">
        <w:tblPrEx>
          <w:tblCellMar>
            <w:top w:w="0" w:type="dxa"/>
            <w:left w:w="0" w:type="dxa"/>
            <w:bottom w:w="0" w:type="dxa"/>
            <w:right w:w="0" w:type="dxa"/>
          </w:tblCellMar>
        </w:tblPrEx>
        <w:trPr>
          <w:wBefore w:w="0" w:type="auto"/>
          <w:tblCellSpacing w:w="0" w:type="dxa"/>
        </w:trPr>
        <w:tc>
          <w:tcPr>
            <w:tcW w:w="0" w:type="auto"/>
            <w:noWrap w:val="0"/>
            <w:vAlign w:val="center"/>
          </w:tcPr>
          <w:p w14:paraId="2E6A9DC1">
            <w:r>
              <w:rPr>
                <w:rStyle w:val="10"/>
                <w:rFonts w:hint="eastAsia"/>
              </w:rPr>
              <w:t>总有效成分含量：</w:t>
            </w:r>
            <w:r>
              <w:rPr>
                <w:rFonts w:hint="eastAsia"/>
              </w:rPr>
              <w:t>0.12%</w:t>
            </w:r>
          </w:p>
        </w:tc>
      </w:tr>
      <w:tr w14:paraId="2CF445CE">
        <w:tblPrEx>
          <w:tblCellMar>
            <w:top w:w="0" w:type="dxa"/>
            <w:left w:w="0" w:type="dxa"/>
            <w:bottom w:w="0" w:type="dxa"/>
            <w:right w:w="0" w:type="dxa"/>
          </w:tblCellMar>
        </w:tblPrEx>
        <w:trPr>
          <w:wBefore w:w="0" w:type="auto"/>
          <w:tblCellSpacing w:w="0" w:type="dxa"/>
        </w:trPr>
        <w:tc>
          <w:tcPr>
            <w:tcW w:w="0" w:type="auto"/>
            <w:noWrap w:val="0"/>
            <w:vAlign w:val="center"/>
          </w:tcPr>
          <w:p w14:paraId="7D642D9E">
            <w:r>
              <w:rPr>
                <w:rFonts w:hint="eastAsia"/>
              </w:rPr>
              <w:t xml:space="preserve">有效成分及其含量： </w:t>
            </w:r>
          </w:p>
          <w:p w14:paraId="4999CF79">
            <w:r>
              <w:rPr>
                <w:rFonts w:hint="eastAsia"/>
              </w:rPr>
              <w:t xml:space="preserve">    噻虫嗪0.12%    </w:t>
            </w:r>
          </w:p>
        </w:tc>
      </w:tr>
      <w:tr w14:paraId="03028E75">
        <w:tblPrEx>
          <w:tblCellMar>
            <w:top w:w="0" w:type="dxa"/>
            <w:left w:w="0" w:type="dxa"/>
            <w:bottom w:w="0" w:type="dxa"/>
            <w:right w:w="0" w:type="dxa"/>
          </w:tblCellMar>
        </w:tblPrEx>
        <w:trPr>
          <w:wBefore w:w="0" w:type="auto"/>
          <w:tblCellSpacing w:w="0" w:type="dxa"/>
        </w:trPr>
        <w:tc>
          <w:tcPr>
            <w:tcW w:w="0" w:type="auto"/>
            <w:noWrap w:val="0"/>
            <w:vAlign w:val="center"/>
          </w:tcPr>
          <w:p w14:paraId="5DE8BE4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576C0E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B993A9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CB11F9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C95311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BC4EF4D">
                  <w:r>
                    <w:rPr>
                      <w:rStyle w:val="11"/>
                      <w:rFonts w:hint="eastAsia"/>
                    </w:rPr>
                    <w:t>施用方式</w:t>
                  </w:r>
                </w:p>
              </w:tc>
            </w:tr>
            <w:tr w14:paraId="3461FAC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FFC925">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A0A00D">
                  <w:r>
                    <w:rPr>
                      <w:rStyle w:val="11"/>
                      <w:rFonts w:hint="eastAsia"/>
                    </w:rPr>
                    <w:t>绵蚜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B42A4D">
                  <w:r>
                    <w:rPr>
                      <w:rStyle w:val="11"/>
                      <w:rFonts w:hint="eastAsia"/>
                    </w:rPr>
                    <w:t>25-50千克/亩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C51077">
                  <w:r>
                    <w:rPr>
                      <w:rStyle w:val="11"/>
                      <w:rFonts w:hint="eastAsia"/>
                    </w:rPr>
                    <w:t>撒施</w:t>
                  </w:r>
                </w:p>
              </w:tc>
            </w:tr>
          </w:tbl>
          <w:p w14:paraId="6BF87A5F">
            <w:pPr>
              <w:rPr>
                <w:rFonts w:ascii="Times New Roman" w:hAnsi="Times New Roman" w:cs="Times New Roman"/>
                <w:sz w:val="20"/>
                <w:szCs w:val="20"/>
              </w:rPr>
            </w:pPr>
          </w:p>
        </w:tc>
      </w:tr>
      <w:tr w14:paraId="73A26908">
        <w:tblPrEx>
          <w:tblCellMar>
            <w:top w:w="0" w:type="dxa"/>
            <w:left w:w="0" w:type="dxa"/>
            <w:bottom w:w="0" w:type="dxa"/>
            <w:right w:w="0" w:type="dxa"/>
          </w:tblCellMar>
        </w:tblPrEx>
        <w:trPr>
          <w:wBefore w:w="0" w:type="auto"/>
          <w:tblCellSpacing w:w="0" w:type="dxa"/>
        </w:trPr>
        <w:tc>
          <w:tcPr>
            <w:tcW w:w="0" w:type="auto"/>
            <w:noWrap w:val="0"/>
            <w:vAlign w:val="center"/>
          </w:tcPr>
          <w:p w14:paraId="35D6F671">
            <w:r>
              <w:rPr>
                <w:rStyle w:val="10"/>
                <w:rFonts w:hint="eastAsia"/>
              </w:rPr>
              <w:t>使用技术要求:</w:t>
            </w:r>
            <w:r>
              <w:rPr>
                <w:rFonts w:hint="eastAsia"/>
              </w:rPr>
              <w:br w:type="textWrapping"/>
            </w:r>
            <w:r>
              <w:rPr>
                <w:rStyle w:val="11"/>
                <w:rFonts w:hint="eastAsia"/>
              </w:rPr>
              <w:t>1.在甘蔗小培土时，将药剂均匀撒施在甘蔗垄旁，然后覆土。 2.施药后须保持一定的土壤湿度以利于有效成分的释放和均匀分布。 3.本品在甘蔗上每季使用1次，施药后须保持一定的土壤湿度。</w:t>
            </w:r>
          </w:p>
        </w:tc>
      </w:tr>
      <w:tr w14:paraId="3D8CD72A">
        <w:tblPrEx>
          <w:tblCellMar>
            <w:top w:w="0" w:type="dxa"/>
            <w:left w:w="0" w:type="dxa"/>
            <w:bottom w:w="0" w:type="dxa"/>
            <w:right w:w="0" w:type="dxa"/>
          </w:tblCellMar>
        </w:tblPrEx>
        <w:trPr>
          <w:wBefore w:w="0" w:type="auto"/>
          <w:tblCellSpacing w:w="0" w:type="dxa"/>
        </w:trPr>
        <w:tc>
          <w:tcPr>
            <w:tcW w:w="0" w:type="auto"/>
            <w:noWrap w:val="0"/>
            <w:vAlign w:val="center"/>
          </w:tcPr>
          <w:p w14:paraId="1FCB7871">
            <w:r>
              <w:rPr>
                <w:rStyle w:val="10"/>
                <w:rFonts w:hint="eastAsia"/>
              </w:rPr>
              <w:t>产品性能:</w:t>
            </w:r>
            <w:r>
              <w:rPr>
                <w:rFonts w:hint="eastAsia"/>
              </w:rPr>
              <w:br w:type="textWrapping"/>
            </w:r>
            <w:r>
              <w:rPr>
                <w:rStyle w:val="11"/>
                <w:rFonts w:hint="eastAsia"/>
              </w:rPr>
              <w:t>噻虫嗪具有内吸、触杀和胃毒的作用，可有效防治甘蔗绵蚜等害虫。</w:t>
            </w:r>
          </w:p>
        </w:tc>
      </w:tr>
      <w:tr w14:paraId="7274FB15">
        <w:tblPrEx>
          <w:tblCellMar>
            <w:top w:w="0" w:type="dxa"/>
            <w:left w:w="0" w:type="dxa"/>
            <w:bottom w:w="0" w:type="dxa"/>
            <w:right w:w="0" w:type="dxa"/>
          </w:tblCellMar>
        </w:tblPrEx>
        <w:trPr>
          <w:wBefore w:w="0" w:type="auto"/>
          <w:tblCellSpacing w:w="0" w:type="dxa"/>
        </w:trPr>
        <w:tc>
          <w:tcPr>
            <w:tcW w:w="0" w:type="auto"/>
            <w:noWrap w:val="0"/>
            <w:vAlign w:val="center"/>
          </w:tcPr>
          <w:p w14:paraId="0A3675A8">
            <w:r>
              <w:rPr>
                <w:rStyle w:val="10"/>
                <w:rFonts w:hint="eastAsia"/>
              </w:rPr>
              <w:t>注意事项：</w:t>
            </w:r>
            <w:r>
              <w:rPr>
                <w:rFonts w:hint="eastAsia"/>
              </w:rPr>
              <w:br w:type="textWrapping"/>
            </w:r>
            <w:r>
              <w:rPr>
                <w:rStyle w:val="11"/>
                <w:rFonts w:hint="eastAsia"/>
              </w:rPr>
              <w:t>1.本品对蜜蜂有毒，使用时应密切关注对附近蜂群的影响，开花植物花期和桑园、蚕室附近禁用，赤眼蜂等天敌放飞区域禁用，远离水产养殖区、河塘等水体施药，禁止在河塘等水域中清洗施药器具，鱼或虾蟹套养的稻田禁用，施药后田水不得直接排入水体。鸟类活动区附近禁用此产品。2.本品不能与碱性农药等物质混用。3.使用时应穿穿戴长衣、长裤、帽子、口罩、手套等安全防护措施，避免药液溅入眼睛和接触皮肤。施药期间不可吃东西和饮水。施药后应及时洗手或洗脸。4.建议与不同作用机制的杀虫剂轮换使用。5.用过的容器应妥善处理，不要做他用，也不可随意丢弃。6.孕妇、哺乳期妇女及过敏者应远离本品。</w:t>
            </w:r>
          </w:p>
        </w:tc>
      </w:tr>
      <w:tr w14:paraId="35DEC68D">
        <w:tblPrEx>
          <w:tblCellMar>
            <w:top w:w="0" w:type="dxa"/>
            <w:left w:w="0" w:type="dxa"/>
            <w:bottom w:w="0" w:type="dxa"/>
            <w:right w:w="0" w:type="dxa"/>
          </w:tblCellMar>
        </w:tblPrEx>
        <w:trPr>
          <w:wBefore w:w="0" w:type="auto"/>
          <w:tblCellSpacing w:w="0" w:type="dxa"/>
        </w:trPr>
        <w:tc>
          <w:tcPr>
            <w:tcW w:w="0" w:type="auto"/>
            <w:noWrap w:val="0"/>
            <w:vAlign w:val="center"/>
          </w:tcPr>
          <w:p w14:paraId="7916CE85">
            <w:r>
              <w:rPr>
                <w:rStyle w:val="10"/>
                <w:rFonts w:hint="eastAsia"/>
              </w:rPr>
              <w:t>中毒急救措施：</w:t>
            </w:r>
            <w:r>
              <w:rPr>
                <w:rFonts w:hint="eastAsia"/>
              </w:rPr>
              <w:br w:type="textWrapping"/>
            </w:r>
            <w:r>
              <w:rPr>
                <w:rStyle w:val="11"/>
                <w:rFonts w:hint="eastAsia"/>
              </w:rPr>
              <w:t>对眼睛有刺激性，使用时避免接触眼睛。 1.用药时如果感觉不适，立即停止工作，采取急救措施，并携此标签送医就诊。 2.皮肤接触：立即脱掉被污染的衣物，用肥皂和大量清水彻底清洗受污染的皮肤。必要时请医生诊治。 3.眼睛溅药：立即将眼睑翻开，用清水冲洗至少15分钟，再请医生诊治。 4.发生吸入：立即将吸入者转移到空气新鲜处，注意保暖和休息，请医生诊治。 5.误服：请勿引吐。立即携带标签，送医就诊。无专用解毒剂，对症治疗。</w:t>
            </w:r>
          </w:p>
        </w:tc>
      </w:tr>
      <w:tr w14:paraId="635A10E9">
        <w:tblPrEx>
          <w:tblCellMar>
            <w:top w:w="0" w:type="dxa"/>
            <w:left w:w="0" w:type="dxa"/>
            <w:bottom w:w="0" w:type="dxa"/>
            <w:right w:w="0" w:type="dxa"/>
          </w:tblCellMar>
        </w:tblPrEx>
        <w:trPr>
          <w:wBefore w:w="0" w:type="auto"/>
          <w:tblCellSpacing w:w="0" w:type="dxa"/>
        </w:trPr>
        <w:tc>
          <w:tcPr>
            <w:tcW w:w="0" w:type="auto"/>
            <w:noWrap w:val="0"/>
            <w:vAlign w:val="center"/>
          </w:tcPr>
          <w:p w14:paraId="2421412F">
            <w:r>
              <w:rPr>
                <w:rStyle w:val="10"/>
                <w:rFonts w:hint="eastAsia"/>
              </w:rPr>
              <w:t>储存和运输方法：</w:t>
            </w:r>
            <w:r>
              <w:rPr>
                <w:rFonts w:hint="eastAsia"/>
              </w:rPr>
              <w:br w:type="textWrapping"/>
            </w:r>
            <w:r>
              <w:rPr>
                <w:rStyle w:val="11"/>
                <w:rFonts w:hint="eastAsia"/>
              </w:rPr>
              <w:t>1、本品应贮存在干燥、阴凉、通风、防雨处，远离火源或热源。 2、本品要放在儿童接触不到的地方，并要远离食品、动物饲料及其容器。 3、不能与食品、饮料、粮食、饲料等混合储运。</w:t>
            </w:r>
          </w:p>
        </w:tc>
      </w:tr>
      <w:tr w14:paraId="20E0409B">
        <w:tblPrEx>
          <w:tblCellMar>
            <w:top w:w="0" w:type="dxa"/>
            <w:left w:w="0" w:type="dxa"/>
            <w:bottom w:w="0" w:type="dxa"/>
            <w:right w:w="0" w:type="dxa"/>
          </w:tblCellMar>
        </w:tblPrEx>
        <w:trPr>
          <w:wBefore w:w="0" w:type="auto"/>
          <w:tblCellSpacing w:w="0" w:type="dxa"/>
        </w:trPr>
        <w:tc>
          <w:tcPr>
            <w:tcW w:w="0" w:type="auto"/>
            <w:noWrap w:val="0"/>
            <w:vAlign w:val="center"/>
          </w:tcPr>
          <w:p w14:paraId="72808182">
            <w:r>
              <w:rPr>
                <w:rStyle w:val="10"/>
                <w:rFonts w:hint="eastAsia"/>
              </w:rPr>
              <w:t>质量保证期：</w:t>
            </w:r>
            <w:r>
              <w:rPr>
                <w:rStyle w:val="11"/>
                <w:rFonts w:hint="eastAsia"/>
              </w:rPr>
              <w:t>2年</w:t>
            </w:r>
          </w:p>
        </w:tc>
      </w:tr>
      <w:tr w14:paraId="588AFE46">
        <w:tblPrEx>
          <w:tblCellMar>
            <w:top w:w="0" w:type="dxa"/>
            <w:left w:w="0" w:type="dxa"/>
            <w:bottom w:w="0" w:type="dxa"/>
            <w:right w:w="0" w:type="dxa"/>
          </w:tblCellMar>
        </w:tblPrEx>
        <w:trPr>
          <w:wBefore w:w="0" w:type="auto"/>
          <w:tblCellSpacing w:w="0" w:type="dxa"/>
        </w:trPr>
        <w:tc>
          <w:tcPr>
            <w:tcW w:w="0" w:type="auto"/>
            <w:noWrap w:val="0"/>
            <w:vAlign w:val="center"/>
          </w:tcPr>
          <w:p w14:paraId="152C8925">
            <w:r>
              <w:rPr>
                <w:rStyle w:val="10"/>
                <w:rFonts w:hint="eastAsia"/>
              </w:rPr>
              <w:t>备注：</w:t>
            </w:r>
          </w:p>
        </w:tc>
      </w:tr>
    </w:tbl>
    <w:p w14:paraId="3D6E2CC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95BDB61">
        <w:tblPrEx>
          <w:tblCellMar>
            <w:top w:w="0" w:type="dxa"/>
            <w:left w:w="0" w:type="dxa"/>
            <w:bottom w:w="0" w:type="dxa"/>
            <w:right w:w="0" w:type="dxa"/>
          </w:tblCellMar>
        </w:tblPrEx>
        <w:trPr>
          <w:wBefore w:w="0" w:type="auto"/>
          <w:tblCellSpacing w:w="0" w:type="dxa"/>
        </w:trPr>
        <w:tc>
          <w:tcPr>
            <w:tcW w:w="0" w:type="auto"/>
            <w:noWrap w:val="0"/>
            <w:vAlign w:val="center"/>
          </w:tcPr>
          <w:p w14:paraId="344BEB81">
            <w:r>
              <w:rPr>
                <w:rStyle w:val="10"/>
                <w:rFonts w:hint="eastAsia"/>
              </w:rPr>
              <w:t>登记证号：</w:t>
            </w:r>
            <w:r>
              <w:rPr>
                <w:rFonts w:hint="eastAsia"/>
              </w:rPr>
              <w:t>PD20211728</w:t>
            </w:r>
          </w:p>
        </w:tc>
      </w:tr>
      <w:tr w14:paraId="054867E6">
        <w:tblPrEx>
          <w:tblCellMar>
            <w:top w:w="0" w:type="dxa"/>
            <w:left w:w="0" w:type="dxa"/>
            <w:bottom w:w="0" w:type="dxa"/>
            <w:right w:w="0" w:type="dxa"/>
          </w:tblCellMar>
        </w:tblPrEx>
        <w:trPr>
          <w:wBefore w:w="0" w:type="auto"/>
          <w:tblCellSpacing w:w="0" w:type="dxa"/>
        </w:trPr>
        <w:tc>
          <w:tcPr>
            <w:tcW w:w="0" w:type="auto"/>
            <w:noWrap w:val="0"/>
            <w:vAlign w:val="center"/>
          </w:tcPr>
          <w:p w14:paraId="2CA98F9D">
            <w:r>
              <w:rPr>
                <w:rStyle w:val="10"/>
                <w:rFonts w:hint="eastAsia"/>
              </w:rPr>
              <w:t>登记证持有人：</w:t>
            </w:r>
            <w:r>
              <w:rPr>
                <w:rFonts w:hint="eastAsia"/>
              </w:rPr>
              <w:t>江苏健神生物农化有限公司</w:t>
            </w:r>
          </w:p>
        </w:tc>
      </w:tr>
      <w:tr w14:paraId="1CC7CFCF">
        <w:tblPrEx>
          <w:tblCellMar>
            <w:top w:w="0" w:type="dxa"/>
            <w:left w:w="0" w:type="dxa"/>
            <w:bottom w:w="0" w:type="dxa"/>
            <w:right w:w="0" w:type="dxa"/>
          </w:tblCellMar>
        </w:tblPrEx>
        <w:trPr>
          <w:wBefore w:w="0" w:type="auto"/>
          <w:tblCellSpacing w:w="0" w:type="dxa"/>
        </w:trPr>
        <w:tc>
          <w:tcPr>
            <w:tcW w:w="0" w:type="auto"/>
            <w:noWrap w:val="0"/>
            <w:vAlign w:val="center"/>
          </w:tcPr>
          <w:p w14:paraId="3105240F">
            <w:r>
              <w:rPr>
                <w:rStyle w:val="10"/>
                <w:rFonts w:hint="eastAsia"/>
              </w:rPr>
              <w:t>农药名称：</w:t>
            </w:r>
            <w:r>
              <w:rPr>
                <w:rFonts w:hint="eastAsia"/>
              </w:rPr>
              <w:t>啶虫脒</w:t>
            </w:r>
          </w:p>
        </w:tc>
      </w:tr>
      <w:tr w14:paraId="0DB540D0">
        <w:tblPrEx>
          <w:tblCellMar>
            <w:top w:w="0" w:type="dxa"/>
            <w:left w:w="0" w:type="dxa"/>
            <w:bottom w:w="0" w:type="dxa"/>
            <w:right w:w="0" w:type="dxa"/>
          </w:tblCellMar>
        </w:tblPrEx>
        <w:trPr>
          <w:wBefore w:w="0" w:type="auto"/>
          <w:tblCellSpacing w:w="0" w:type="dxa"/>
        </w:trPr>
        <w:tc>
          <w:tcPr>
            <w:tcW w:w="0" w:type="auto"/>
            <w:noWrap w:val="0"/>
            <w:vAlign w:val="center"/>
          </w:tcPr>
          <w:p w14:paraId="22DB1187">
            <w:r>
              <w:rPr>
                <w:rStyle w:val="10"/>
                <w:rFonts w:hint="eastAsia"/>
              </w:rPr>
              <w:t>剂型：</w:t>
            </w:r>
            <w:r>
              <w:rPr>
                <w:rFonts w:hint="eastAsia"/>
              </w:rPr>
              <w:t>水分散粒剂</w:t>
            </w:r>
          </w:p>
        </w:tc>
      </w:tr>
      <w:tr w14:paraId="56F93D0A">
        <w:tblPrEx>
          <w:tblCellMar>
            <w:top w:w="0" w:type="dxa"/>
            <w:left w:w="0" w:type="dxa"/>
            <w:bottom w:w="0" w:type="dxa"/>
            <w:right w:w="0" w:type="dxa"/>
          </w:tblCellMar>
        </w:tblPrEx>
        <w:trPr>
          <w:wBefore w:w="0" w:type="auto"/>
          <w:tblCellSpacing w:w="0" w:type="dxa"/>
        </w:trPr>
        <w:tc>
          <w:tcPr>
            <w:tcW w:w="0" w:type="auto"/>
            <w:noWrap w:val="0"/>
            <w:vAlign w:val="center"/>
          </w:tcPr>
          <w:p w14:paraId="5C9FD009">
            <w:r>
              <w:rPr>
                <w:rStyle w:val="10"/>
                <w:rFonts w:hint="eastAsia"/>
              </w:rPr>
              <w:t>毒性及其标识：</w:t>
            </w:r>
            <w:r>
              <w:rPr>
                <w:rFonts w:hint="eastAsia"/>
              </w:rPr>
              <w:t xml:space="preserve"> </w:t>
            </w:r>
            <w:r>
              <w:rPr>
                <w:lang/>
              </w:rPr>
              <w:drawing>
                <wp:inline distT="0" distB="0" distL="114300" distR="114300">
                  <wp:extent cx="476250" cy="323850"/>
                  <wp:effectExtent l="0" t="0" r="0" b="0"/>
                  <wp:docPr id="496" name="图片 49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1CC85DD">
        <w:tblPrEx>
          <w:tblCellMar>
            <w:top w:w="0" w:type="dxa"/>
            <w:left w:w="0" w:type="dxa"/>
            <w:bottom w:w="0" w:type="dxa"/>
            <w:right w:w="0" w:type="dxa"/>
          </w:tblCellMar>
        </w:tblPrEx>
        <w:trPr>
          <w:wBefore w:w="0" w:type="auto"/>
          <w:tblCellSpacing w:w="0" w:type="dxa"/>
        </w:trPr>
        <w:tc>
          <w:tcPr>
            <w:tcW w:w="0" w:type="auto"/>
            <w:noWrap w:val="0"/>
            <w:vAlign w:val="center"/>
          </w:tcPr>
          <w:p w14:paraId="2209DC99">
            <w:r>
              <w:rPr>
                <w:rStyle w:val="10"/>
                <w:rFonts w:hint="eastAsia"/>
              </w:rPr>
              <w:t>总有效成分含量：</w:t>
            </w:r>
            <w:r>
              <w:rPr>
                <w:rFonts w:hint="eastAsia"/>
              </w:rPr>
              <w:t>50%</w:t>
            </w:r>
          </w:p>
        </w:tc>
      </w:tr>
      <w:tr w14:paraId="3BE9948E">
        <w:tblPrEx>
          <w:tblCellMar>
            <w:top w:w="0" w:type="dxa"/>
            <w:left w:w="0" w:type="dxa"/>
            <w:bottom w:w="0" w:type="dxa"/>
            <w:right w:w="0" w:type="dxa"/>
          </w:tblCellMar>
        </w:tblPrEx>
        <w:trPr>
          <w:wBefore w:w="0" w:type="auto"/>
          <w:tblCellSpacing w:w="0" w:type="dxa"/>
        </w:trPr>
        <w:tc>
          <w:tcPr>
            <w:tcW w:w="0" w:type="auto"/>
            <w:noWrap w:val="0"/>
            <w:vAlign w:val="center"/>
          </w:tcPr>
          <w:p w14:paraId="556F46B2">
            <w:r>
              <w:rPr>
                <w:rFonts w:hint="eastAsia"/>
              </w:rPr>
              <w:t xml:space="preserve">有效成分及其含量： </w:t>
            </w:r>
          </w:p>
          <w:p w14:paraId="60106F43">
            <w:r>
              <w:rPr>
                <w:rFonts w:hint="eastAsia"/>
              </w:rPr>
              <w:t xml:space="preserve">    啶虫脒50%    </w:t>
            </w:r>
          </w:p>
        </w:tc>
      </w:tr>
      <w:tr w14:paraId="792A8C17">
        <w:tblPrEx>
          <w:tblCellMar>
            <w:top w:w="0" w:type="dxa"/>
            <w:left w:w="0" w:type="dxa"/>
            <w:bottom w:w="0" w:type="dxa"/>
            <w:right w:w="0" w:type="dxa"/>
          </w:tblCellMar>
        </w:tblPrEx>
        <w:trPr>
          <w:wBefore w:w="0" w:type="auto"/>
          <w:tblCellSpacing w:w="0" w:type="dxa"/>
        </w:trPr>
        <w:tc>
          <w:tcPr>
            <w:tcW w:w="0" w:type="auto"/>
            <w:noWrap w:val="0"/>
            <w:vAlign w:val="center"/>
          </w:tcPr>
          <w:p w14:paraId="617DA89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7AAA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388FD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BC4F38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EA05BE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80E937B">
                  <w:r>
                    <w:rPr>
                      <w:rStyle w:val="11"/>
                      <w:rFonts w:hint="eastAsia"/>
                    </w:rPr>
                    <w:t>施用方式</w:t>
                  </w:r>
                </w:p>
              </w:tc>
            </w:tr>
            <w:tr w14:paraId="7E65FC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ACA7E5">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9530C1">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5BEF4F">
                  <w:r>
                    <w:rPr>
                      <w:rStyle w:val="11"/>
                      <w:rFonts w:hint="eastAsia"/>
                    </w:rPr>
                    <w:t>1-3克/亩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7853CC">
                  <w:r>
                    <w:rPr>
                      <w:rStyle w:val="11"/>
                      <w:rFonts w:hint="eastAsia"/>
                    </w:rPr>
                    <w:t>喷雾</w:t>
                  </w:r>
                </w:p>
              </w:tc>
            </w:tr>
          </w:tbl>
          <w:p w14:paraId="1CC8DE93">
            <w:pPr>
              <w:rPr>
                <w:rFonts w:ascii="Times New Roman" w:hAnsi="Times New Roman" w:cs="Times New Roman"/>
                <w:sz w:val="20"/>
                <w:szCs w:val="20"/>
              </w:rPr>
            </w:pPr>
          </w:p>
        </w:tc>
      </w:tr>
      <w:tr w14:paraId="60DD1CD1">
        <w:tblPrEx>
          <w:tblCellMar>
            <w:top w:w="0" w:type="dxa"/>
            <w:left w:w="0" w:type="dxa"/>
            <w:bottom w:w="0" w:type="dxa"/>
            <w:right w:w="0" w:type="dxa"/>
          </w:tblCellMar>
        </w:tblPrEx>
        <w:trPr>
          <w:wBefore w:w="0" w:type="auto"/>
          <w:tblCellSpacing w:w="0" w:type="dxa"/>
        </w:trPr>
        <w:tc>
          <w:tcPr>
            <w:tcW w:w="0" w:type="auto"/>
            <w:noWrap w:val="0"/>
            <w:vAlign w:val="center"/>
          </w:tcPr>
          <w:p w14:paraId="7FCABF18">
            <w:r>
              <w:rPr>
                <w:rStyle w:val="10"/>
                <w:rFonts w:hint="eastAsia"/>
              </w:rPr>
              <w:t>使用技术要求:</w:t>
            </w:r>
            <w:r>
              <w:rPr>
                <w:rFonts w:hint="eastAsia"/>
              </w:rPr>
              <w:br w:type="textWrapping"/>
            </w:r>
            <w:r>
              <w:rPr>
                <w:rStyle w:val="11"/>
                <w:rFonts w:hint="eastAsia"/>
              </w:rPr>
              <w:t>1. 应于茶树茶小绿叶蝉若虫盛发期使用，注意喷雾均匀。 2.大风天或预计1小时内有雨，请勿施药。 安全使用标准：本品在茶树上使用的安全间隔期为14天，每季最多使用1次。</w:t>
            </w:r>
          </w:p>
        </w:tc>
      </w:tr>
      <w:tr w14:paraId="049ABC0C">
        <w:tblPrEx>
          <w:tblCellMar>
            <w:top w:w="0" w:type="dxa"/>
            <w:left w:w="0" w:type="dxa"/>
            <w:bottom w:w="0" w:type="dxa"/>
            <w:right w:w="0" w:type="dxa"/>
          </w:tblCellMar>
        </w:tblPrEx>
        <w:trPr>
          <w:wBefore w:w="0" w:type="auto"/>
          <w:tblCellSpacing w:w="0" w:type="dxa"/>
        </w:trPr>
        <w:tc>
          <w:tcPr>
            <w:tcW w:w="0" w:type="auto"/>
            <w:noWrap w:val="0"/>
            <w:vAlign w:val="center"/>
          </w:tcPr>
          <w:p w14:paraId="53B43726">
            <w:r>
              <w:rPr>
                <w:rStyle w:val="10"/>
                <w:rFonts w:hint="eastAsia"/>
              </w:rPr>
              <w:t>产品性能:</w:t>
            </w:r>
            <w:r>
              <w:rPr>
                <w:rFonts w:hint="eastAsia"/>
              </w:rPr>
              <w:br w:type="textWrapping"/>
            </w:r>
            <w:r>
              <w:rPr>
                <w:rStyle w:val="11"/>
                <w:rFonts w:hint="eastAsia"/>
              </w:rPr>
              <w:t>本品为烟碱类杀虫剂，可刺激烟碱乙酰胆碱受体，影响害虫中枢神经系统的神经突触。具有胃毒、触杀、内吸作用，可用于防治茶树茶小绿叶蝉。</w:t>
            </w:r>
          </w:p>
        </w:tc>
      </w:tr>
      <w:tr w14:paraId="44FF5F3E">
        <w:tblPrEx>
          <w:tblCellMar>
            <w:top w:w="0" w:type="dxa"/>
            <w:left w:w="0" w:type="dxa"/>
            <w:bottom w:w="0" w:type="dxa"/>
            <w:right w:w="0" w:type="dxa"/>
          </w:tblCellMar>
        </w:tblPrEx>
        <w:trPr>
          <w:wBefore w:w="0" w:type="auto"/>
          <w:tblCellSpacing w:w="0" w:type="dxa"/>
        </w:trPr>
        <w:tc>
          <w:tcPr>
            <w:tcW w:w="0" w:type="auto"/>
            <w:noWrap w:val="0"/>
            <w:vAlign w:val="center"/>
          </w:tcPr>
          <w:p w14:paraId="7B079DC9">
            <w:r>
              <w:rPr>
                <w:rStyle w:val="10"/>
                <w:rFonts w:hint="eastAsia"/>
              </w:rPr>
              <w:t>注意事项：</w:t>
            </w:r>
            <w:r>
              <w:rPr>
                <w:rFonts w:hint="eastAsia"/>
              </w:rPr>
              <w:br w:type="textWrapping"/>
            </w:r>
            <w:r>
              <w:rPr>
                <w:rStyle w:val="11"/>
                <w:rFonts w:hint="eastAsia"/>
              </w:rPr>
              <w:t>1. 严格按照规定用药量和方法使用。 2. 建议与其他不同作用机制的杀虫剂交替使用，以延缓抗性的产生。 3. 本品对家蚕、捕食性天敌有影响，蚕室及桑园附近禁用，瓢虫等天敌放飞区域禁用，远离水产养殖区、河塘等附近施药，禁止在河塘等水体中清洗施药器具。(周围)开花植物花期禁用； 蚕室及桑园附近禁用；瓢虫等天敌放飞区域禁用。用过的容器应妥善处理，不可做他用，也不可随意丢弃。 4. 使用本产品时应穿防护服和戴手套，避免吸入药液。施药期间不可吃东西和饮水，施药后应及时洗手和洗脸。 5. 用药后包装物及用过的容器应妥善处理，不可做他用，也不可随意丢弃。 6. 孕妇及哺乳期妇女禁止接触本产品。</w:t>
            </w:r>
          </w:p>
        </w:tc>
      </w:tr>
      <w:tr w14:paraId="24295373">
        <w:tblPrEx>
          <w:tblCellMar>
            <w:top w:w="0" w:type="dxa"/>
            <w:left w:w="0" w:type="dxa"/>
            <w:bottom w:w="0" w:type="dxa"/>
            <w:right w:w="0" w:type="dxa"/>
          </w:tblCellMar>
        </w:tblPrEx>
        <w:trPr>
          <w:wBefore w:w="0" w:type="auto"/>
          <w:tblCellSpacing w:w="0" w:type="dxa"/>
        </w:trPr>
        <w:tc>
          <w:tcPr>
            <w:tcW w:w="0" w:type="auto"/>
            <w:noWrap w:val="0"/>
            <w:vAlign w:val="center"/>
          </w:tcPr>
          <w:p w14:paraId="4F963C19">
            <w:r>
              <w:rPr>
                <w:rStyle w:val="10"/>
                <w:rFonts w:hint="eastAsia"/>
              </w:rPr>
              <w:t>中毒急救措施：</w:t>
            </w:r>
            <w:r>
              <w:rPr>
                <w:rFonts w:hint="eastAsia"/>
              </w:rPr>
              <w:br w:type="textWrapping"/>
            </w:r>
            <w:r>
              <w:rPr>
                <w:rStyle w:val="11"/>
                <w:rFonts w:hint="eastAsia"/>
              </w:rPr>
              <w:t>对眼睛有刺激性，使用时避免药液接触眼睛。使用中或使用后如果感觉不适，应立即停止工作，采取急救措施，并携带标签送医院就诊。皮肤接触：脱去污染的衣物，用软布去除沾染农药，立即用大量清水和肥皂冲洗。眼睛溅入：立即用流动清水冲洗不少于15分钟。误食：立即停止服用，用清水充分漱口后，立即携带标签到医院就诊。</w:t>
            </w:r>
          </w:p>
        </w:tc>
      </w:tr>
      <w:tr w14:paraId="01D9B76C">
        <w:tblPrEx>
          <w:tblCellMar>
            <w:top w:w="0" w:type="dxa"/>
            <w:left w:w="0" w:type="dxa"/>
            <w:bottom w:w="0" w:type="dxa"/>
            <w:right w:w="0" w:type="dxa"/>
          </w:tblCellMar>
        </w:tblPrEx>
        <w:trPr>
          <w:wBefore w:w="0" w:type="auto"/>
          <w:tblCellSpacing w:w="0" w:type="dxa"/>
        </w:trPr>
        <w:tc>
          <w:tcPr>
            <w:tcW w:w="0" w:type="auto"/>
            <w:noWrap w:val="0"/>
            <w:vAlign w:val="center"/>
          </w:tcPr>
          <w:p w14:paraId="61B8ACC5">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它商品同贮同运。贮存或运输时堆层不得超过规定，注意轻拿轻放，以免损坏包装，导致产品泄露。</w:t>
            </w:r>
          </w:p>
        </w:tc>
      </w:tr>
      <w:tr w14:paraId="52AF6B0D">
        <w:tblPrEx>
          <w:tblCellMar>
            <w:top w:w="0" w:type="dxa"/>
            <w:left w:w="0" w:type="dxa"/>
            <w:bottom w:w="0" w:type="dxa"/>
            <w:right w:w="0" w:type="dxa"/>
          </w:tblCellMar>
        </w:tblPrEx>
        <w:trPr>
          <w:wBefore w:w="0" w:type="auto"/>
          <w:tblCellSpacing w:w="0" w:type="dxa"/>
        </w:trPr>
        <w:tc>
          <w:tcPr>
            <w:tcW w:w="0" w:type="auto"/>
            <w:noWrap w:val="0"/>
            <w:vAlign w:val="center"/>
          </w:tcPr>
          <w:p w14:paraId="1913A521">
            <w:r>
              <w:rPr>
                <w:rStyle w:val="10"/>
                <w:rFonts w:hint="eastAsia"/>
              </w:rPr>
              <w:t>质量保证期：</w:t>
            </w:r>
            <w:r>
              <w:rPr>
                <w:rStyle w:val="11"/>
                <w:rFonts w:hint="eastAsia"/>
              </w:rPr>
              <w:t>2年</w:t>
            </w:r>
          </w:p>
        </w:tc>
      </w:tr>
      <w:tr w14:paraId="130D1ED9">
        <w:tblPrEx>
          <w:tblCellMar>
            <w:top w:w="0" w:type="dxa"/>
            <w:left w:w="0" w:type="dxa"/>
            <w:bottom w:w="0" w:type="dxa"/>
            <w:right w:w="0" w:type="dxa"/>
          </w:tblCellMar>
        </w:tblPrEx>
        <w:trPr>
          <w:wBefore w:w="0" w:type="auto"/>
          <w:tblCellSpacing w:w="0" w:type="dxa"/>
        </w:trPr>
        <w:tc>
          <w:tcPr>
            <w:tcW w:w="0" w:type="auto"/>
            <w:noWrap w:val="0"/>
            <w:vAlign w:val="center"/>
          </w:tcPr>
          <w:p w14:paraId="4DC9A95D">
            <w:r>
              <w:rPr>
                <w:rStyle w:val="10"/>
                <w:rFonts w:hint="eastAsia"/>
              </w:rPr>
              <w:t>备注：</w:t>
            </w:r>
          </w:p>
        </w:tc>
      </w:tr>
    </w:tbl>
    <w:p w14:paraId="2D675B9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C744647">
        <w:tblPrEx>
          <w:tblCellMar>
            <w:top w:w="0" w:type="dxa"/>
            <w:left w:w="0" w:type="dxa"/>
            <w:bottom w:w="0" w:type="dxa"/>
            <w:right w:w="0" w:type="dxa"/>
          </w:tblCellMar>
        </w:tblPrEx>
        <w:trPr>
          <w:wBefore w:w="0" w:type="auto"/>
          <w:tblCellSpacing w:w="0" w:type="dxa"/>
        </w:trPr>
        <w:tc>
          <w:tcPr>
            <w:tcW w:w="0" w:type="auto"/>
            <w:noWrap w:val="0"/>
            <w:vAlign w:val="center"/>
          </w:tcPr>
          <w:p w14:paraId="3CFCA95A">
            <w:r>
              <w:rPr>
                <w:rStyle w:val="10"/>
                <w:rFonts w:hint="eastAsia"/>
              </w:rPr>
              <w:t>登记证号：</w:t>
            </w:r>
            <w:r>
              <w:rPr>
                <w:rFonts w:hint="eastAsia"/>
              </w:rPr>
              <w:t>PD20212302</w:t>
            </w:r>
          </w:p>
        </w:tc>
      </w:tr>
      <w:tr w14:paraId="2CA4AFE2">
        <w:tblPrEx>
          <w:tblCellMar>
            <w:top w:w="0" w:type="dxa"/>
            <w:left w:w="0" w:type="dxa"/>
            <w:bottom w:w="0" w:type="dxa"/>
            <w:right w:w="0" w:type="dxa"/>
          </w:tblCellMar>
        </w:tblPrEx>
        <w:trPr>
          <w:wBefore w:w="0" w:type="auto"/>
          <w:tblCellSpacing w:w="0" w:type="dxa"/>
        </w:trPr>
        <w:tc>
          <w:tcPr>
            <w:tcW w:w="0" w:type="auto"/>
            <w:noWrap w:val="0"/>
            <w:vAlign w:val="center"/>
          </w:tcPr>
          <w:p w14:paraId="7CF70065">
            <w:r>
              <w:rPr>
                <w:rStyle w:val="10"/>
                <w:rFonts w:hint="eastAsia"/>
              </w:rPr>
              <w:t>登记证持有人：</w:t>
            </w:r>
            <w:r>
              <w:rPr>
                <w:rFonts w:hint="eastAsia"/>
              </w:rPr>
              <w:t>陕西西大华特科技实业有限公司</w:t>
            </w:r>
          </w:p>
        </w:tc>
      </w:tr>
      <w:tr w14:paraId="5400F05B">
        <w:tblPrEx>
          <w:tblCellMar>
            <w:top w:w="0" w:type="dxa"/>
            <w:left w:w="0" w:type="dxa"/>
            <w:bottom w:w="0" w:type="dxa"/>
            <w:right w:w="0" w:type="dxa"/>
          </w:tblCellMar>
        </w:tblPrEx>
        <w:trPr>
          <w:wBefore w:w="0" w:type="auto"/>
          <w:tblCellSpacing w:w="0" w:type="dxa"/>
        </w:trPr>
        <w:tc>
          <w:tcPr>
            <w:tcW w:w="0" w:type="auto"/>
            <w:noWrap w:val="0"/>
            <w:vAlign w:val="center"/>
          </w:tcPr>
          <w:p w14:paraId="2AFB9473">
            <w:r>
              <w:rPr>
                <w:rStyle w:val="10"/>
                <w:rFonts w:hint="eastAsia"/>
              </w:rPr>
              <w:t>农药名称：</w:t>
            </w:r>
            <w:r>
              <w:rPr>
                <w:rFonts w:hint="eastAsia"/>
              </w:rPr>
              <w:t>寡糖·噻唑膦</w:t>
            </w:r>
          </w:p>
        </w:tc>
      </w:tr>
      <w:tr w14:paraId="477ED7C3">
        <w:tblPrEx>
          <w:tblCellMar>
            <w:top w:w="0" w:type="dxa"/>
            <w:left w:w="0" w:type="dxa"/>
            <w:bottom w:w="0" w:type="dxa"/>
            <w:right w:w="0" w:type="dxa"/>
          </w:tblCellMar>
        </w:tblPrEx>
        <w:trPr>
          <w:wBefore w:w="0" w:type="auto"/>
          <w:tblCellSpacing w:w="0" w:type="dxa"/>
        </w:trPr>
        <w:tc>
          <w:tcPr>
            <w:tcW w:w="0" w:type="auto"/>
            <w:noWrap w:val="0"/>
            <w:vAlign w:val="center"/>
          </w:tcPr>
          <w:p w14:paraId="665DDB37">
            <w:r>
              <w:rPr>
                <w:rStyle w:val="10"/>
                <w:rFonts w:hint="eastAsia"/>
              </w:rPr>
              <w:t>剂型：</w:t>
            </w:r>
            <w:r>
              <w:rPr>
                <w:rFonts w:hint="eastAsia"/>
              </w:rPr>
              <w:t>水乳剂</w:t>
            </w:r>
          </w:p>
        </w:tc>
      </w:tr>
      <w:tr w14:paraId="655B4179">
        <w:tblPrEx>
          <w:tblCellMar>
            <w:top w:w="0" w:type="dxa"/>
            <w:left w:w="0" w:type="dxa"/>
            <w:bottom w:w="0" w:type="dxa"/>
            <w:right w:w="0" w:type="dxa"/>
          </w:tblCellMar>
        </w:tblPrEx>
        <w:trPr>
          <w:wBefore w:w="0" w:type="auto"/>
          <w:tblCellSpacing w:w="0" w:type="dxa"/>
        </w:trPr>
        <w:tc>
          <w:tcPr>
            <w:tcW w:w="0" w:type="auto"/>
            <w:noWrap w:val="0"/>
            <w:vAlign w:val="center"/>
          </w:tcPr>
          <w:p w14:paraId="051560BE">
            <w:r>
              <w:rPr>
                <w:rStyle w:val="10"/>
                <w:rFonts w:hint="eastAsia"/>
              </w:rPr>
              <w:t>毒性及其标识：</w:t>
            </w:r>
            <w:r>
              <w:rPr>
                <w:rFonts w:hint="eastAsia"/>
              </w:rPr>
              <w:t xml:space="preserve"> </w:t>
            </w:r>
            <w:r>
              <w:rPr>
                <w:lang/>
              </w:rPr>
              <w:drawing>
                <wp:inline distT="0" distB="0" distL="114300" distR="114300">
                  <wp:extent cx="476250" cy="323850"/>
                  <wp:effectExtent l="0" t="0" r="0" b="0"/>
                  <wp:docPr id="497" name="图片 49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DE307BD">
        <w:tblPrEx>
          <w:tblCellMar>
            <w:top w:w="0" w:type="dxa"/>
            <w:left w:w="0" w:type="dxa"/>
            <w:bottom w:w="0" w:type="dxa"/>
            <w:right w:w="0" w:type="dxa"/>
          </w:tblCellMar>
        </w:tblPrEx>
        <w:trPr>
          <w:wBefore w:w="0" w:type="auto"/>
          <w:tblCellSpacing w:w="0" w:type="dxa"/>
        </w:trPr>
        <w:tc>
          <w:tcPr>
            <w:tcW w:w="0" w:type="auto"/>
            <w:noWrap w:val="0"/>
            <w:vAlign w:val="center"/>
          </w:tcPr>
          <w:p w14:paraId="1D79DB90">
            <w:r>
              <w:rPr>
                <w:rStyle w:val="10"/>
                <w:rFonts w:hint="eastAsia"/>
              </w:rPr>
              <w:t>总有效成分含量：</w:t>
            </w:r>
            <w:r>
              <w:rPr>
                <w:rFonts w:hint="eastAsia"/>
              </w:rPr>
              <w:t>6%</w:t>
            </w:r>
          </w:p>
        </w:tc>
      </w:tr>
      <w:tr w14:paraId="5FE22F36">
        <w:tblPrEx>
          <w:tblCellMar>
            <w:top w:w="0" w:type="dxa"/>
            <w:left w:w="0" w:type="dxa"/>
            <w:bottom w:w="0" w:type="dxa"/>
            <w:right w:w="0" w:type="dxa"/>
          </w:tblCellMar>
        </w:tblPrEx>
        <w:trPr>
          <w:wBefore w:w="0" w:type="auto"/>
          <w:tblCellSpacing w:w="0" w:type="dxa"/>
        </w:trPr>
        <w:tc>
          <w:tcPr>
            <w:tcW w:w="0" w:type="auto"/>
            <w:noWrap w:val="0"/>
            <w:vAlign w:val="center"/>
          </w:tcPr>
          <w:p w14:paraId="78218650">
            <w:r>
              <w:rPr>
                <w:rFonts w:hint="eastAsia"/>
              </w:rPr>
              <w:t xml:space="preserve">有效成分及其含量： </w:t>
            </w:r>
          </w:p>
          <w:p w14:paraId="7DAD6D69">
            <w:r>
              <w:rPr>
                <w:rFonts w:hint="eastAsia"/>
              </w:rPr>
              <w:t xml:space="preserve">    氨基寡糖素1%    噻唑膦5%    </w:t>
            </w:r>
          </w:p>
        </w:tc>
      </w:tr>
      <w:tr w14:paraId="665A36E7">
        <w:tblPrEx>
          <w:tblCellMar>
            <w:top w:w="0" w:type="dxa"/>
            <w:left w:w="0" w:type="dxa"/>
            <w:bottom w:w="0" w:type="dxa"/>
            <w:right w:w="0" w:type="dxa"/>
          </w:tblCellMar>
        </w:tblPrEx>
        <w:trPr>
          <w:wBefore w:w="0" w:type="auto"/>
          <w:tblCellSpacing w:w="0" w:type="dxa"/>
        </w:trPr>
        <w:tc>
          <w:tcPr>
            <w:tcW w:w="0" w:type="auto"/>
            <w:noWrap w:val="0"/>
            <w:vAlign w:val="center"/>
          </w:tcPr>
          <w:p w14:paraId="6C6BA7F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87404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ACDEB0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398BA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F03E3F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2C10907">
                  <w:r>
                    <w:rPr>
                      <w:rStyle w:val="11"/>
                      <w:rFonts w:hint="eastAsia"/>
                    </w:rPr>
                    <w:t>施用方式</w:t>
                  </w:r>
                </w:p>
              </w:tc>
            </w:tr>
            <w:tr w14:paraId="743878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32E783">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19C5B8">
                  <w:r>
                    <w:rPr>
                      <w:rStyle w:val="11"/>
                      <w:rFonts w:hint="eastAsia"/>
                    </w:rPr>
                    <w:t>根结线虫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312063">
                  <w:r>
                    <w:rPr>
                      <w:rStyle w:val="11"/>
                      <w:rFonts w:hint="eastAsia"/>
                    </w:rPr>
                    <w:t>1000-2000毫升/亩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BD53A8">
                  <w:r>
                    <w:rPr>
                      <w:rStyle w:val="11"/>
                      <w:rFonts w:hint="eastAsia"/>
                    </w:rPr>
                    <w:t>灌根</w:t>
                  </w:r>
                </w:p>
              </w:tc>
            </w:tr>
          </w:tbl>
          <w:p w14:paraId="7FEDA01B">
            <w:pPr>
              <w:rPr>
                <w:rFonts w:ascii="Times New Roman" w:hAnsi="Times New Roman" w:cs="Times New Roman"/>
                <w:sz w:val="20"/>
                <w:szCs w:val="20"/>
              </w:rPr>
            </w:pPr>
          </w:p>
        </w:tc>
      </w:tr>
      <w:tr w14:paraId="10AE9705">
        <w:tblPrEx>
          <w:tblCellMar>
            <w:top w:w="0" w:type="dxa"/>
            <w:left w:w="0" w:type="dxa"/>
            <w:bottom w:w="0" w:type="dxa"/>
            <w:right w:w="0" w:type="dxa"/>
          </w:tblCellMar>
        </w:tblPrEx>
        <w:trPr>
          <w:wBefore w:w="0" w:type="auto"/>
          <w:tblCellSpacing w:w="0" w:type="dxa"/>
        </w:trPr>
        <w:tc>
          <w:tcPr>
            <w:tcW w:w="0" w:type="auto"/>
            <w:noWrap w:val="0"/>
            <w:vAlign w:val="center"/>
          </w:tcPr>
          <w:p w14:paraId="12C951A7">
            <w:r>
              <w:rPr>
                <w:rStyle w:val="10"/>
                <w:rFonts w:hint="eastAsia"/>
              </w:rPr>
              <w:t>使用技术要求:</w:t>
            </w:r>
            <w:r>
              <w:rPr>
                <w:rFonts w:hint="eastAsia"/>
              </w:rPr>
              <w:br w:type="textWrapping"/>
            </w:r>
            <w:r>
              <w:rPr>
                <w:rStyle w:val="11"/>
                <w:rFonts w:hint="eastAsia"/>
              </w:rPr>
              <w:t>1. 应于黄瓜移栽缓苗后进行灌根，按使用方法将药剂与水混合后围绕黄瓜周围浇灌。2. 本产品在黄瓜上使用的安全间隔期为21天，每季最多使用1次。</w:t>
            </w:r>
          </w:p>
        </w:tc>
      </w:tr>
      <w:tr w14:paraId="7CDFF43C">
        <w:tblPrEx>
          <w:tblCellMar>
            <w:top w:w="0" w:type="dxa"/>
            <w:left w:w="0" w:type="dxa"/>
            <w:bottom w:w="0" w:type="dxa"/>
            <w:right w:w="0" w:type="dxa"/>
          </w:tblCellMar>
        </w:tblPrEx>
        <w:trPr>
          <w:wBefore w:w="0" w:type="auto"/>
          <w:tblCellSpacing w:w="0" w:type="dxa"/>
        </w:trPr>
        <w:tc>
          <w:tcPr>
            <w:tcW w:w="0" w:type="auto"/>
            <w:noWrap w:val="0"/>
            <w:vAlign w:val="center"/>
          </w:tcPr>
          <w:p w14:paraId="4C880736">
            <w:r>
              <w:rPr>
                <w:rStyle w:val="10"/>
                <w:rFonts w:hint="eastAsia"/>
              </w:rPr>
              <w:t>产品性能:</w:t>
            </w:r>
            <w:r>
              <w:rPr>
                <w:rFonts w:hint="eastAsia"/>
              </w:rPr>
              <w:br w:type="textWrapping"/>
            </w:r>
            <w:r>
              <w:rPr>
                <w:rStyle w:val="11"/>
                <w:rFonts w:hint="eastAsia"/>
              </w:rPr>
              <w:t>噻唑膦属于触杀性和内吸传导型杀线虫剂，用低剂量就能阻碍线虫的活动，防止线虫对植物根部的侵入，也能够直接杀死线虫。氨基寡糖素属植物诱导抗病剂，能诱导激发植物产生一系列的防御反应，抑制病原物生长或释放一些寡聚糖素，促使线虫或虫卵死亡。两者混配后可以有效防治黄瓜根结线虫。</w:t>
            </w:r>
          </w:p>
        </w:tc>
      </w:tr>
      <w:tr w14:paraId="19F244D5">
        <w:tblPrEx>
          <w:tblCellMar>
            <w:top w:w="0" w:type="dxa"/>
            <w:left w:w="0" w:type="dxa"/>
            <w:bottom w:w="0" w:type="dxa"/>
            <w:right w:w="0" w:type="dxa"/>
          </w:tblCellMar>
        </w:tblPrEx>
        <w:trPr>
          <w:wBefore w:w="0" w:type="auto"/>
          <w:tblCellSpacing w:w="0" w:type="dxa"/>
        </w:trPr>
        <w:tc>
          <w:tcPr>
            <w:tcW w:w="0" w:type="auto"/>
            <w:noWrap w:val="0"/>
            <w:vAlign w:val="center"/>
          </w:tcPr>
          <w:p w14:paraId="34BF5148">
            <w:r>
              <w:rPr>
                <w:rStyle w:val="10"/>
                <w:rFonts w:hint="eastAsia"/>
              </w:rPr>
              <w:t>注意事项：</w:t>
            </w:r>
            <w:r>
              <w:rPr>
                <w:rFonts w:hint="eastAsia"/>
              </w:rPr>
              <w:br w:type="textWrapping"/>
            </w:r>
            <w:r>
              <w:rPr>
                <w:rStyle w:val="11"/>
                <w:rFonts w:hint="eastAsia"/>
              </w:rPr>
              <w:t>1. 本品对鸟类、蜜蜂、家蚕、鱼类等水生生物有毒，施用3日前告知邻近3千米以内的养蜂者，（周围）开花植物花期禁用，使用时应密切关注对附近蜂群的影响，鸟类保护区附近禁用。2. 水产养殖区、河塘等水体附近禁用，禁止在河塘等水体中清洗施药器具，避免污染水源。3. 本品对眼睛有刺激性，使用时避免接触眼睛，穿戴长衣、长裤、帽子、口罩、手套等防护措施。避免皮肤接触及口鼻吸入。使用中不可吸烟、饮水及进食，使用后及时清洗手、脸等暴露部位皮肤并更换衣物。4. 使用前请仔细阅读标签内容。使用方法不当，超量使用或土壤水分过多时容易引起药害，请按推荐剂量正确使用。5. 建议与其它作用机制不同的杀线虫产品轮换使用，以延缓抗性产生。6. 用过的容器应妥善处理，不可做他用，也不可随意丢弃。 7. 孕妇及哺乳期妇女禁止接触本品。</w:t>
            </w:r>
          </w:p>
        </w:tc>
      </w:tr>
      <w:tr w14:paraId="45F496AE">
        <w:tblPrEx>
          <w:tblCellMar>
            <w:top w:w="0" w:type="dxa"/>
            <w:left w:w="0" w:type="dxa"/>
            <w:bottom w:w="0" w:type="dxa"/>
            <w:right w:w="0" w:type="dxa"/>
          </w:tblCellMar>
        </w:tblPrEx>
        <w:trPr>
          <w:wBefore w:w="0" w:type="auto"/>
          <w:tblCellSpacing w:w="0" w:type="dxa"/>
        </w:trPr>
        <w:tc>
          <w:tcPr>
            <w:tcW w:w="0" w:type="auto"/>
            <w:noWrap w:val="0"/>
            <w:vAlign w:val="center"/>
          </w:tcPr>
          <w:p w14:paraId="653A5210">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误食：立即停止服用，用清水充分漱口后，立即携带农药标签到医院就诊。</w:t>
            </w:r>
          </w:p>
        </w:tc>
      </w:tr>
      <w:tr w14:paraId="14448CF5">
        <w:tblPrEx>
          <w:tblCellMar>
            <w:top w:w="0" w:type="dxa"/>
            <w:left w:w="0" w:type="dxa"/>
            <w:bottom w:w="0" w:type="dxa"/>
            <w:right w:w="0" w:type="dxa"/>
          </w:tblCellMar>
        </w:tblPrEx>
        <w:trPr>
          <w:wBefore w:w="0" w:type="auto"/>
          <w:tblCellSpacing w:w="0" w:type="dxa"/>
        </w:trPr>
        <w:tc>
          <w:tcPr>
            <w:tcW w:w="0" w:type="auto"/>
            <w:noWrap w:val="0"/>
            <w:vAlign w:val="center"/>
          </w:tcPr>
          <w:p w14:paraId="3925399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本品应贮存在干燥、阴凉、通风、防雨处，远离火源或热源。置于儿童、无关人员及动物触及不到之处，并加锁保存。勿与食品、饮料、饲料和粮食等其他商品同贮同运。</w:t>
            </w:r>
          </w:p>
        </w:tc>
      </w:tr>
      <w:tr w14:paraId="56BA5716">
        <w:tblPrEx>
          <w:tblCellMar>
            <w:top w:w="0" w:type="dxa"/>
            <w:left w:w="0" w:type="dxa"/>
            <w:bottom w:w="0" w:type="dxa"/>
            <w:right w:w="0" w:type="dxa"/>
          </w:tblCellMar>
        </w:tblPrEx>
        <w:trPr>
          <w:wBefore w:w="0" w:type="auto"/>
          <w:tblCellSpacing w:w="0" w:type="dxa"/>
        </w:trPr>
        <w:tc>
          <w:tcPr>
            <w:tcW w:w="0" w:type="auto"/>
            <w:noWrap w:val="0"/>
            <w:vAlign w:val="center"/>
          </w:tcPr>
          <w:p w14:paraId="076F3188">
            <w:r>
              <w:rPr>
                <w:rStyle w:val="10"/>
                <w:rFonts w:hint="eastAsia"/>
              </w:rPr>
              <w:t>质量保证期：</w:t>
            </w:r>
            <w:r>
              <w:rPr>
                <w:rStyle w:val="11"/>
                <w:rFonts w:hint="eastAsia"/>
              </w:rPr>
              <w:t>2年</w:t>
            </w:r>
          </w:p>
        </w:tc>
      </w:tr>
      <w:tr w14:paraId="38A14DA6">
        <w:tblPrEx>
          <w:tblCellMar>
            <w:top w:w="0" w:type="dxa"/>
            <w:left w:w="0" w:type="dxa"/>
            <w:bottom w:w="0" w:type="dxa"/>
            <w:right w:w="0" w:type="dxa"/>
          </w:tblCellMar>
        </w:tblPrEx>
        <w:trPr>
          <w:wBefore w:w="0" w:type="auto"/>
          <w:tblCellSpacing w:w="0" w:type="dxa"/>
        </w:trPr>
        <w:tc>
          <w:tcPr>
            <w:tcW w:w="0" w:type="auto"/>
            <w:noWrap w:val="0"/>
            <w:vAlign w:val="center"/>
          </w:tcPr>
          <w:p w14:paraId="4319F334">
            <w:r>
              <w:rPr>
                <w:rStyle w:val="10"/>
                <w:rFonts w:hint="eastAsia"/>
              </w:rPr>
              <w:t>备注：</w:t>
            </w:r>
          </w:p>
        </w:tc>
      </w:tr>
    </w:tbl>
    <w:p w14:paraId="057BAFA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1A9313E">
        <w:tblPrEx>
          <w:tblCellMar>
            <w:top w:w="0" w:type="dxa"/>
            <w:left w:w="0" w:type="dxa"/>
            <w:bottom w:w="0" w:type="dxa"/>
            <w:right w:w="0" w:type="dxa"/>
          </w:tblCellMar>
        </w:tblPrEx>
        <w:trPr>
          <w:wBefore w:w="0" w:type="auto"/>
          <w:tblCellSpacing w:w="0" w:type="dxa"/>
        </w:trPr>
        <w:tc>
          <w:tcPr>
            <w:tcW w:w="0" w:type="auto"/>
            <w:noWrap w:val="0"/>
            <w:vAlign w:val="center"/>
          </w:tcPr>
          <w:p w14:paraId="4ABA31D4">
            <w:r>
              <w:rPr>
                <w:rStyle w:val="10"/>
                <w:rFonts w:hint="eastAsia"/>
              </w:rPr>
              <w:t>登记证号：</w:t>
            </w:r>
            <w:r>
              <w:rPr>
                <w:rFonts w:hint="eastAsia"/>
              </w:rPr>
              <w:t>PD20211702</w:t>
            </w:r>
          </w:p>
        </w:tc>
      </w:tr>
      <w:tr w14:paraId="7D05865D">
        <w:tblPrEx>
          <w:tblCellMar>
            <w:top w:w="0" w:type="dxa"/>
            <w:left w:w="0" w:type="dxa"/>
            <w:bottom w:w="0" w:type="dxa"/>
            <w:right w:w="0" w:type="dxa"/>
          </w:tblCellMar>
        </w:tblPrEx>
        <w:trPr>
          <w:wBefore w:w="0" w:type="auto"/>
          <w:tblCellSpacing w:w="0" w:type="dxa"/>
        </w:trPr>
        <w:tc>
          <w:tcPr>
            <w:tcW w:w="0" w:type="auto"/>
            <w:noWrap w:val="0"/>
            <w:vAlign w:val="center"/>
          </w:tcPr>
          <w:p w14:paraId="75D69759">
            <w:r>
              <w:rPr>
                <w:rStyle w:val="10"/>
                <w:rFonts w:hint="eastAsia"/>
              </w:rPr>
              <w:t>登记证持有人：</w:t>
            </w:r>
            <w:r>
              <w:rPr>
                <w:rFonts w:hint="eastAsia"/>
              </w:rPr>
              <w:t>六夫丁作物保护有限公司</w:t>
            </w:r>
          </w:p>
        </w:tc>
      </w:tr>
      <w:tr w14:paraId="47BF73D3">
        <w:tblPrEx>
          <w:tblCellMar>
            <w:top w:w="0" w:type="dxa"/>
            <w:left w:w="0" w:type="dxa"/>
            <w:bottom w:w="0" w:type="dxa"/>
            <w:right w:w="0" w:type="dxa"/>
          </w:tblCellMar>
        </w:tblPrEx>
        <w:trPr>
          <w:wBefore w:w="0" w:type="auto"/>
          <w:tblCellSpacing w:w="0" w:type="dxa"/>
        </w:trPr>
        <w:tc>
          <w:tcPr>
            <w:tcW w:w="0" w:type="auto"/>
            <w:noWrap w:val="0"/>
            <w:vAlign w:val="center"/>
          </w:tcPr>
          <w:p w14:paraId="64B965CE">
            <w:r>
              <w:rPr>
                <w:rStyle w:val="10"/>
                <w:rFonts w:hint="eastAsia"/>
              </w:rPr>
              <w:t>农药名称：</w:t>
            </w:r>
            <w:r>
              <w:rPr>
                <w:rFonts w:hint="eastAsia"/>
              </w:rPr>
              <w:t>噻虫·咯·霜灵</w:t>
            </w:r>
          </w:p>
        </w:tc>
      </w:tr>
      <w:tr w14:paraId="4D1524D2">
        <w:tblPrEx>
          <w:tblCellMar>
            <w:top w:w="0" w:type="dxa"/>
            <w:left w:w="0" w:type="dxa"/>
            <w:bottom w:w="0" w:type="dxa"/>
            <w:right w:w="0" w:type="dxa"/>
          </w:tblCellMar>
        </w:tblPrEx>
        <w:trPr>
          <w:wBefore w:w="0" w:type="auto"/>
          <w:tblCellSpacing w:w="0" w:type="dxa"/>
        </w:trPr>
        <w:tc>
          <w:tcPr>
            <w:tcW w:w="0" w:type="auto"/>
            <w:noWrap w:val="0"/>
            <w:vAlign w:val="center"/>
          </w:tcPr>
          <w:p w14:paraId="05F821E8">
            <w:r>
              <w:rPr>
                <w:rStyle w:val="10"/>
                <w:rFonts w:hint="eastAsia"/>
              </w:rPr>
              <w:t>剂型：</w:t>
            </w:r>
            <w:r>
              <w:rPr>
                <w:rFonts w:hint="eastAsia"/>
              </w:rPr>
              <w:t>种子处理悬浮剂</w:t>
            </w:r>
          </w:p>
        </w:tc>
      </w:tr>
      <w:tr w14:paraId="77321673">
        <w:tblPrEx>
          <w:tblCellMar>
            <w:top w:w="0" w:type="dxa"/>
            <w:left w:w="0" w:type="dxa"/>
            <w:bottom w:w="0" w:type="dxa"/>
            <w:right w:w="0" w:type="dxa"/>
          </w:tblCellMar>
        </w:tblPrEx>
        <w:trPr>
          <w:wBefore w:w="0" w:type="auto"/>
          <w:tblCellSpacing w:w="0" w:type="dxa"/>
        </w:trPr>
        <w:tc>
          <w:tcPr>
            <w:tcW w:w="0" w:type="auto"/>
            <w:noWrap w:val="0"/>
            <w:vAlign w:val="center"/>
          </w:tcPr>
          <w:p w14:paraId="0121F4D7">
            <w:r>
              <w:rPr>
                <w:rStyle w:val="10"/>
                <w:rFonts w:hint="eastAsia"/>
              </w:rPr>
              <w:t>毒性及其标识：</w:t>
            </w:r>
            <w:r>
              <w:rPr>
                <w:rFonts w:hint="eastAsia"/>
              </w:rPr>
              <w:t xml:space="preserve"> </w:t>
            </w:r>
            <w:r>
              <w:rPr>
                <w:lang/>
              </w:rPr>
              <w:drawing>
                <wp:inline distT="0" distB="0" distL="114300" distR="114300">
                  <wp:extent cx="476250" cy="323850"/>
                  <wp:effectExtent l="0" t="0" r="0" b="0"/>
                  <wp:docPr id="498" name="图片 49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B4831BA">
        <w:tblPrEx>
          <w:tblCellMar>
            <w:top w:w="0" w:type="dxa"/>
            <w:left w:w="0" w:type="dxa"/>
            <w:bottom w:w="0" w:type="dxa"/>
            <w:right w:w="0" w:type="dxa"/>
          </w:tblCellMar>
        </w:tblPrEx>
        <w:trPr>
          <w:wBefore w:w="0" w:type="auto"/>
          <w:tblCellSpacing w:w="0" w:type="dxa"/>
        </w:trPr>
        <w:tc>
          <w:tcPr>
            <w:tcW w:w="0" w:type="auto"/>
            <w:noWrap w:val="0"/>
            <w:vAlign w:val="center"/>
          </w:tcPr>
          <w:p w14:paraId="0B4CDDD9">
            <w:r>
              <w:rPr>
                <w:rStyle w:val="10"/>
                <w:rFonts w:hint="eastAsia"/>
              </w:rPr>
              <w:t>总有效成分含量：</w:t>
            </w:r>
            <w:r>
              <w:rPr>
                <w:rFonts w:hint="eastAsia"/>
              </w:rPr>
              <w:t>26%</w:t>
            </w:r>
          </w:p>
        </w:tc>
      </w:tr>
      <w:tr w14:paraId="6C0B7CA3">
        <w:tblPrEx>
          <w:tblCellMar>
            <w:top w:w="0" w:type="dxa"/>
            <w:left w:w="0" w:type="dxa"/>
            <w:bottom w:w="0" w:type="dxa"/>
            <w:right w:w="0" w:type="dxa"/>
          </w:tblCellMar>
        </w:tblPrEx>
        <w:trPr>
          <w:wBefore w:w="0" w:type="auto"/>
          <w:tblCellSpacing w:w="0" w:type="dxa"/>
        </w:trPr>
        <w:tc>
          <w:tcPr>
            <w:tcW w:w="0" w:type="auto"/>
            <w:noWrap w:val="0"/>
            <w:vAlign w:val="center"/>
          </w:tcPr>
          <w:p w14:paraId="66BB7DE5">
            <w:r>
              <w:rPr>
                <w:rFonts w:hint="eastAsia"/>
              </w:rPr>
              <w:t xml:space="preserve">有效成分及其含量： </w:t>
            </w:r>
          </w:p>
          <w:p w14:paraId="0B34E789">
            <w:r>
              <w:rPr>
                <w:rFonts w:hint="eastAsia"/>
              </w:rPr>
              <w:t xml:space="preserve">    咯菌腈0.7%    精甲霜灵0.3%    噻虫胺25%    </w:t>
            </w:r>
          </w:p>
        </w:tc>
      </w:tr>
      <w:tr w14:paraId="2CCD7A29">
        <w:tblPrEx>
          <w:tblCellMar>
            <w:top w:w="0" w:type="dxa"/>
            <w:left w:w="0" w:type="dxa"/>
            <w:bottom w:w="0" w:type="dxa"/>
            <w:right w:w="0" w:type="dxa"/>
          </w:tblCellMar>
        </w:tblPrEx>
        <w:trPr>
          <w:wBefore w:w="0" w:type="auto"/>
          <w:tblCellSpacing w:w="0" w:type="dxa"/>
        </w:trPr>
        <w:tc>
          <w:tcPr>
            <w:tcW w:w="0" w:type="auto"/>
            <w:noWrap w:val="0"/>
            <w:vAlign w:val="center"/>
          </w:tcPr>
          <w:p w14:paraId="5519707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1FCD1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4520D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9CA48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682E2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8FEBF2">
                  <w:r>
                    <w:rPr>
                      <w:rStyle w:val="11"/>
                      <w:rFonts w:hint="eastAsia"/>
                    </w:rPr>
                    <w:t>施用方式</w:t>
                  </w:r>
                </w:p>
              </w:tc>
            </w:tr>
            <w:tr w14:paraId="2F13ED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F7832B9">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64BF93">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B12769">
                  <w:r>
                    <w:rPr>
                      <w:rStyle w:val="11"/>
                      <w:rFonts w:hint="eastAsia"/>
                    </w:rPr>
                    <w:t>600-740毫升/100千克种子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CD0101">
                  <w:r>
                    <w:rPr>
                      <w:rStyle w:val="11"/>
                      <w:rFonts w:hint="eastAsia"/>
                    </w:rPr>
                    <w:t>种子包衣</w:t>
                  </w:r>
                </w:p>
              </w:tc>
            </w:tr>
            <w:tr w14:paraId="3BD5AF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989F71E">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408FF4">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2CD842">
                  <w:r>
                    <w:rPr>
                      <w:rStyle w:val="11"/>
                      <w:rFonts w:hint="eastAsia"/>
                    </w:rPr>
                    <w:t>600-740毫升/100千克种子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CEEB46">
                  <w:r>
                    <w:rPr>
                      <w:rStyle w:val="11"/>
                      <w:rFonts w:hint="eastAsia"/>
                    </w:rPr>
                    <w:t>种子包衣</w:t>
                  </w:r>
                </w:p>
              </w:tc>
            </w:tr>
          </w:tbl>
          <w:p w14:paraId="3893AA84">
            <w:pPr>
              <w:rPr>
                <w:rFonts w:ascii="Times New Roman" w:hAnsi="Times New Roman" w:cs="Times New Roman"/>
                <w:sz w:val="20"/>
                <w:szCs w:val="20"/>
              </w:rPr>
            </w:pPr>
          </w:p>
        </w:tc>
      </w:tr>
      <w:tr w14:paraId="037F053F">
        <w:tblPrEx>
          <w:tblCellMar>
            <w:top w:w="0" w:type="dxa"/>
            <w:left w:w="0" w:type="dxa"/>
            <w:bottom w:w="0" w:type="dxa"/>
            <w:right w:w="0" w:type="dxa"/>
          </w:tblCellMar>
        </w:tblPrEx>
        <w:trPr>
          <w:wBefore w:w="0" w:type="auto"/>
          <w:tblCellSpacing w:w="0" w:type="dxa"/>
        </w:trPr>
        <w:tc>
          <w:tcPr>
            <w:tcW w:w="0" w:type="auto"/>
            <w:noWrap w:val="0"/>
            <w:vAlign w:val="center"/>
          </w:tcPr>
          <w:p w14:paraId="66C3907F">
            <w:r>
              <w:rPr>
                <w:rStyle w:val="10"/>
                <w:rFonts w:hint="eastAsia"/>
              </w:rPr>
              <w:t>使用技术要求:</w:t>
            </w:r>
            <w:r>
              <w:rPr>
                <w:rFonts w:hint="eastAsia"/>
              </w:rPr>
              <w:br w:type="textWrapping"/>
            </w:r>
            <w:r>
              <w:rPr>
                <w:rStyle w:val="11"/>
                <w:rFonts w:hint="eastAsia"/>
              </w:rPr>
              <w:t>1.种子包衣方法：按照播种量，量取推荐用量的药剂，加入适量水稀释并搅拌均匀成药浆，将种子倒入，充分搅拌均匀，晾干后即可播种。 2. 用于处理的种子应达到国家良种标准。 3. 配制好的药液应在24小时内使用。 4. 包衣后的种子应及时催芽播种。</w:t>
            </w:r>
          </w:p>
        </w:tc>
      </w:tr>
      <w:tr w14:paraId="7147680C">
        <w:tblPrEx>
          <w:tblCellMar>
            <w:top w:w="0" w:type="dxa"/>
            <w:left w:w="0" w:type="dxa"/>
            <w:bottom w:w="0" w:type="dxa"/>
            <w:right w:w="0" w:type="dxa"/>
          </w:tblCellMar>
        </w:tblPrEx>
        <w:trPr>
          <w:wBefore w:w="0" w:type="auto"/>
          <w:tblCellSpacing w:w="0" w:type="dxa"/>
        </w:trPr>
        <w:tc>
          <w:tcPr>
            <w:tcW w:w="0" w:type="auto"/>
            <w:noWrap w:val="0"/>
            <w:vAlign w:val="center"/>
          </w:tcPr>
          <w:p w14:paraId="5A74FD54">
            <w:r>
              <w:rPr>
                <w:rStyle w:val="10"/>
                <w:rFonts w:hint="eastAsia"/>
              </w:rPr>
              <w:t>产品性能:</w:t>
            </w:r>
            <w:r>
              <w:rPr>
                <w:rFonts w:hint="eastAsia"/>
              </w:rPr>
              <w:br w:type="textWrapping"/>
            </w:r>
            <w:r>
              <w:rPr>
                <w:rStyle w:val="11"/>
                <w:rFonts w:hint="eastAsia"/>
              </w:rPr>
              <w:t>本品为三元复配杀虫杀菌剂。其中的噻虫胺是一种结构全新的烟碱类杀虫剂。用于种子处理，可被作物根迅速内吸，并传导到植株各部位。精甲霜灵为内吸性苯胺类化合物，对卵菌纲真菌如腐霉、绵霉等低等真菌引起的多种种传和土传病害有非常好的防效。咯菌腈为非内吸苯吡咯类化合物，高效广谱，对子囊菌、担子菌、半知菌等许多病原菌引起的种传和土传病害有非常好的防效。</w:t>
            </w:r>
          </w:p>
        </w:tc>
      </w:tr>
      <w:tr w14:paraId="7500841B">
        <w:tblPrEx>
          <w:tblCellMar>
            <w:top w:w="0" w:type="dxa"/>
            <w:left w:w="0" w:type="dxa"/>
            <w:bottom w:w="0" w:type="dxa"/>
            <w:right w:w="0" w:type="dxa"/>
          </w:tblCellMar>
        </w:tblPrEx>
        <w:trPr>
          <w:wBefore w:w="0" w:type="auto"/>
          <w:tblCellSpacing w:w="0" w:type="dxa"/>
        </w:trPr>
        <w:tc>
          <w:tcPr>
            <w:tcW w:w="0" w:type="auto"/>
            <w:noWrap w:val="0"/>
            <w:vAlign w:val="center"/>
          </w:tcPr>
          <w:p w14:paraId="5773BAE0">
            <w:r>
              <w:rPr>
                <w:rStyle w:val="10"/>
                <w:rFonts w:hint="eastAsia"/>
              </w:rPr>
              <w:t>注意事项：</w:t>
            </w:r>
            <w:r>
              <w:rPr>
                <w:rFonts w:hint="eastAsia"/>
              </w:rPr>
              <w:br w:type="textWrapping"/>
            </w:r>
            <w:r>
              <w:rPr>
                <w:rStyle w:val="11"/>
                <w:rFonts w:hint="eastAsia"/>
              </w:rPr>
              <w:t>1.请按照农药安全使用准则使用本品。药液及其废液不得污染各类水域，土壤等环境。2.配药和种子处理应在通风处进行，操作人员应戴防渗手套、口罩、穿长袖衣、长裤、靴子等。 此时不可饮食、吸烟等。种子处理结束后，彻底清洗防护用具，洗澡，并更换和清洗工作服。 3.处理过的种子必须放置在有明显标签的容器内。勿与食物、饲料放在一起，不得饲喂禽畜，更不得用来加工饲料或食品。 4.播种后必须覆土，严禁畜禽进入。5.本品对蜜蜂有毒，（周围）开花植物花期禁用；使用时应密切关注对附近蜂群的影响。勿将本品及其废液弃于池塘、河溪、湖泊等，以免污染水源。水产养殖区、河塘等水体附近禁用，禁止在河塘等水域清洗施药器具；鸟类保护区附近禁用，播种后立即覆土。 6.未用完的制剂应放在原包装内密封保存，切勿将本品置于饮食容器内。7.孕妇及哺乳期的妇女避免接触本品。8.废弃物应妥善处理，不能乱丢乱放，也不能做他用。</w:t>
            </w:r>
          </w:p>
        </w:tc>
      </w:tr>
      <w:tr w14:paraId="695A7577">
        <w:tblPrEx>
          <w:tblCellMar>
            <w:top w:w="0" w:type="dxa"/>
            <w:left w:w="0" w:type="dxa"/>
            <w:bottom w:w="0" w:type="dxa"/>
            <w:right w:w="0" w:type="dxa"/>
          </w:tblCellMar>
        </w:tblPrEx>
        <w:trPr>
          <w:wBefore w:w="0" w:type="auto"/>
          <w:tblCellSpacing w:w="0" w:type="dxa"/>
        </w:trPr>
        <w:tc>
          <w:tcPr>
            <w:tcW w:w="0" w:type="auto"/>
            <w:noWrap w:val="0"/>
            <w:vAlign w:val="center"/>
          </w:tcPr>
          <w:p w14:paraId="618A9F7C">
            <w:r>
              <w:rPr>
                <w:rStyle w:val="10"/>
                <w:rFonts w:hint="eastAsia"/>
              </w:rPr>
              <w:t>中毒急救措施：</w:t>
            </w:r>
            <w:r>
              <w:rPr>
                <w:rFonts w:hint="eastAsia"/>
              </w:rPr>
              <w:br w:type="textWrapping"/>
            </w:r>
            <w:r>
              <w:rPr>
                <w:rStyle w:val="11"/>
                <w:rFonts w:hint="eastAsia"/>
              </w:rPr>
              <w:t xml:space="preserve">中毒症状：表明对眼睛和皮肤有刺激性。 急救措施：1.皮肤接触：立即脱掉被污染的衣物，用大量清水冲洗被污染的皮肤，再用肥皂清洗，然后用清水冲净。2.眼睛溅药：立刻用大量清水冲洗至少15 分钟。如配戴隐形眼镜，先冲洗1-2分钟后再摘掉眼镜冲洗。携此标签去医院诊治。3.发生吸入：立即将吸入者转移到空气新鲜处，请尽快就医诊治。4.误服：喝大量的水，并携本标签把患者送医院诊治。 </w:t>
            </w:r>
          </w:p>
        </w:tc>
      </w:tr>
      <w:tr w14:paraId="23DC6DB5">
        <w:tblPrEx>
          <w:tblCellMar>
            <w:top w:w="0" w:type="dxa"/>
            <w:left w:w="0" w:type="dxa"/>
            <w:bottom w:w="0" w:type="dxa"/>
            <w:right w:w="0" w:type="dxa"/>
          </w:tblCellMar>
        </w:tblPrEx>
        <w:trPr>
          <w:wBefore w:w="0" w:type="auto"/>
          <w:tblCellSpacing w:w="0" w:type="dxa"/>
        </w:trPr>
        <w:tc>
          <w:tcPr>
            <w:tcW w:w="0" w:type="auto"/>
            <w:noWrap w:val="0"/>
            <w:vAlign w:val="center"/>
          </w:tcPr>
          <w:p w14:paraId="5DC5EADE">
            <w:r>
              <w:rPr>
                <w:rStyle w:val="10"/>
                <w:rFonts w:hint="eastAsia"/>
              </w:rPr>
              <w:t>储存和运输方法：</w:t>
            </w:r>
            <w:r>
              <w:rPr>
                <w:rFonts w:hint="eastAsia"/>
              </w:rPr>
              <w:br w:type="textWrapping"/>
            </w:r>
            <w:r>
              <w:rPr>
                <w:rStyle w:val="11"/>
                <w:rFonts w:hint="eastAsia"/>
              </w:rPr>
              <w:t xml:space="preserve">本品应贮存在干燥、通风、阴凉、防雨处，远离火源或热源；本品应置于儿童、无关人员及动物接触不到的地方，并加锁保存；勿与食品、饮料、饲料、粮食等其他商品同贮同运；运输时应注意避光、防高温、雨淋。 </w:t>
            </w:r>
          </w:p>
        </w:tc>
      </w:tr>
      <w:tr w14:paraId="5B08071F">
        <w:tblPrEx>
          <w:tblCellMar>
            <w:top w:w="0" w:type="dxa"/>
            <w:left w:w="0" w:type="dxa"/>
            <w:bottom w:w="0" w:type="dxa"/>
            <w:right w:w="0" w:type="dxa"/>
          </w:tblCellMar>
        </w:tblPrEx>
        <w:trPr>
          <w:wBefore w:w="0" w:type="auto"/>
          <w:tblCellSpacing w:w="0" w:type="dxa"/>
        </w:trPr>
        <w:tc>
          <w:tcPr>
            <w:tcW w:w="0" w:type="auto"/>
            <w:noWrap w:val="0"/>
            <w:vAlign w:val="center"/>
          </w:tcPr>
          <w:p w14:paraId="4969DEEC">
            <w:r>
              <w:rPr>
                <w:rStyle w:val="10"/>
                <w:rFonts w:hint="eastAsia"/>
              </w:rPr>
              <w:t>质量保证期：</w:t>
            </w:r>
            <w:r>
              <w:rPr>
                <w:rStyle w:val="11"/>
                <w:rFonts w:hint="eastAsia"/>
              </w:rPr>
              <w:t>2年</w:t>
            </w:r>
          </w:p>
        </w:tc>
      </w:tr>
      <w:tr w14:paraId="433C7EDB">
        <w:tblPrEx>
          <w:tblCellMar>
            <w:top w:w="0" w:type="dxa"/>
            <w:left w:w="0" w:type="dxa"/>
            <w:bottom w:w="0" w:type="dxa"/>
            <w:right w:w="0" w:type="dxa"/>
          </w:tblCellMar>
        </w:tblPrEx>
        <w:trPr>
          <w:wBefore w:w="0" w:type="auto"/>
          <w:tblCellSpacing w:w="0" w:type="dxa"/>
        </w:trPr>
        <w:tc>
          <w:tcPr>
            <w:tcW w:w="0" w:type="auto"/>
            <w:noWrap w:val="0"/>
            <w:vAlign w:val="center"/>
          </w:tcPr>
          <w:p w14:paraId="575A03F6">
            <w:r>
              <w:rPr>
                <w:rStyle w:val="10"/>
                <w:rFonts w:hint="eastAsia"/>
              </w:rPr>
              <w:t>备注：</w:t>
            </w:r>
          </w:p>
        </w:tc>
      </w:tr>
    </w:tbl>
    <w:p w14:paraId="2640011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B5953D">
        <w:tblPrEx>
          <w:tblCellMar>
            <w:top w:w="0" w:type="dxa"/>
            <w:left w:w="0" w:type="dxa"/>
            <w:bottom w:w="0" w:type="dxa"/>
            <w:right w:w="0" w:type="dxa"/>
          </w:tblCellMar>
        </w:tblPrEx>
        <w:trPr>
          <w:wBefore w:w="0" w:type="auto"/>
          <w:tblCellSpacing w:w="0" w:type="dxa"/>
        </w:trPr>
        <w:tc>
          <w:tcPr>
            <w:tcW w:w="0" w:type="auto"/>
            <w:noWrap w:val="0"/>
            <w:vAlign w:val="center"/>
          </w:tcPr>
          <w:p w14:paraId="1D03DEE4">
            <w:r>
              <w:rPr>
                <w:rStyle w:val="10"/>
                <w:rFonts w:hint="eastAsia"/>
              </w:rPr>
              <w:t>登记证号：</w:t>
            </w:r>
            <w:r>
              <w:rPr>
                <w:rFonts w:hint="eastAsia"/>
              </w:rPr>
              <w:t>PD20212089</w:t>
            </w:r>
          </w:p>
        </w:tc>
      </w:tr>
      <w:tr w14:paraId="74EDE6D2">
        <w:tblPrEx>
          <w:tblCellMar>
            <w:top w:w="0" w:type="dxa"/>
            <w:left w:w="0" w:type="dxa"/>
            <w:bottom w:w="0" w:type="dxa"/>
            <w:right w:w="0" w:type="dxa"/>
          </w:tblCellMar>
        </w:tblPrEx>
        <w:trPr>
          <w:wBefore w:w="0" w:type="auto"/>
          <w:tblCellSpacing w:w="0" w:type="dxa"/>
        </w:trPr>
        <w:tc>
          <w:tcPr>
            <w:tcW w:w="0" w:type="auto"/>
            <w:noWrap w:val="0"/>
            <w:vAlign w:val="center"/>
          </w:tcPr>
          <w:p w14:paraId="711E6FEF">
            <w:r>
              <w:rPr>
                <w:rStyle w:val="10"/>
                <w:rFonts w:hint="eastAsia"/>
              </w:rPr>
              <w:t>登记证持有人：</w:t>
            </w:r>
            <w:r>
              <w:rPr>
                <w:rFonts w:hint="eastAsia"/>
              </w:rPr>
              <w:t>江苏百灵农化有限公司</w:t>
            </w:r>
          </w:p>
        </w:tc>
      </w:tr>
      <w:tr w14:paraId="2888D54F">
        <w:tblPrEx>
          <w:tblCellMar>
            <w:top w:w="0" w:type="dxa"/>
            <w:left w:w="0" w:type="dxa"/>
            <w:bottom w:w="0" w:type="dxa"/>
            <w:right w:w="0" w:type="dxa"/>
          </w:tblCellMar>
        </w:tblPrEx>
        <w:trPr>
          <w:wBefore w:w="0" w:type="auto"/>
          <w:tblCellSpacing w:w="0" w:type="dxa"/>
        </w:trPr>
        <w:tc>
          <w:tcPr>
            <w:tcW w:w="0" w:type="auto"/>
            <w:noWrap w:val="0"/>
            <w:vAlign w:val="center"/>
          </w:tcPr>
          <w:p w14:paraId="20EB2822">
            <w:r>
              <w:rPr>
                <w:rStyle w:val="10"/>
                <w:rFonts w:hint="eastAsia"/>
              </w:rPr>
              <w:t>农药名称：</w:t>
            </w:r>
            <w:r>
              <w:rPr>
                <w:rFonts w:hint="eastAsia"/>
              </w:rPr>
              <w:t>硝磺草酮</w:t>
            </w:r>
          </w:p>
        </w:tc>
      </w:tr>
      <w:tr w14:paraId="38049C9B">
        <w:tblPrEx>
          <w:tblCellMar>
            <w:top w:w="0" w:type="dxa"/>
            <w:left w:w="0" w:type="dxa"/>
            <w:bottom w:w="0" w:type="dxa"/>
            <w:right w:w="0" w:type="dxa"/>
          </w:tblCellMar>
        </w:tblPrEx>
        <w:trPr>
          <w:wBefore w:w="0" w:type="auto"/>
          <w:tblCellSpacing w:w="0" w:type="dxa"/>
        </w:trPr>
        <w:tc>
          <w:tcPr>
            <w:tcW w:w="0" w:type="auto"/>
            <w:noWrap w:val="0"/>
            <w:vAlign w:val="center"/>
          </w:tcPr>
          <w:p w14:paraId="2776AF0B">
            <w:r>
              <w:rPr>
                <w:rStyle w:val="10"/>
                <w:rFonts w:hint="eastAsia"/>
              </w:rPr>
              <w:t>剂型：</w:t>
            </w:r>
            <w:r>
              <w:rPr>
                <w:rFonts w:hint="eastAsia"/>
              </w:rPr>
              <w:t>悬浮剂</w:t>
            </w:r>
          </w:p>
        </w:tc>
      </w:tr>
      <w:tr w14:paraId="558DC39D">
        <w:tblPrEx>
          <w:tblCellMar>
            <w:top w:w="0" w:type="dxa"/>
            <w:left w:w="0" w:type="dxa"/>
            <w:bottom w:w="0" w:type="dxa"/>
            <w:right w:w="0" w:type="dxa"/>
          </w:tblCellMar>
        </w:tblPrEx>
        <w:trPr>
          <w:wBefore w:w="0" w:type="auto"/>
          <w:tblCellSpacing w:w="0" w:type="dxa"/>
        </w:trPr>
        <w:tc>
          <w:tcPr>
            <w:tcW w:w="0" w:type="auto"/>
            <w:noWrap w:val="0"/>
            <w:vAlign w:val="center"/>
          </w:tcPr>
          <w:p w14:paraId="4C07C781">
            <w:r>
              <w:rPr>
                <w:rStyle w:val="10"/>
                <w:rFonts w:hint="eastAsia"/>
              </w:rPr>
              <w:t>毒性及其标识：</w:t>
            </w:r>
            <w:r>
              <w:rPr>
                <w:rFonts w:hint="eastAsia"/>
              </w:rPr>
              <w:t xml:space="preserve"> </w:t>
            </w:r>
            <w:r>
              <w:rPr>
                <w:lang/>
              </w:rPr>
              <w:drawing>
                <wp:inline distT="0" distB="0" distL="114300" distR="114300">
                  <wp:extent cx="476250" cy="323850"/>
                  <wp:effectExtent l="0" t="0" r="0" b="0"/>
                  <wp:docPr id="499" name="图片 49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A3AC50A">
        <w:tblPrEx>
          <w:tblCellMar>
            <w:top w:w="0" w:type="dxa"/>
            <w:left w:w="0" w:type="dxa"/>
            <w:bottom w:w="0" w:type="dxa"/>
            <w:right w:w="0" w:type="dxa"/>
          </w:tblCellMar>
        </w:tblPrEx>
        <w:trPr>
          <w:wBefore w:w="0" w:type="auto"/>
          <w:tblCellSpacing w:w="0" w:type="dxa"/>
        </w:trPr>
        <w:tc>
          <w:tcPr>
            <w:tcW w:w="0" w:type="auto"/>
            <w:noWrap w:val="0"/>
            <w:vAlign w:val="center"/>
          </w:tcPr>
          <w:p w14:paraId="07967A8C">
            <w:r>
              <w:rPr>
                <w:rStyle w:val="10"/>
                <w:rFonts w:hint="eastAsia"/>
              </w:rPr>
              <w:t>总有效成分含量：</w:t>
            </w:r>
            <w:r>
              <w:rPr>
                <w:rFonts w:hint="eastAsia"/>
              </w:rPr>
              <w:t>15%</w:t>
            </w:r>
          </w:p>
        </w:tc>
      </w:tr>
      <w:tr w14:paraId="5ACC3CD9">
        <w:tblPrEx>
          <w:tblCellMar>
            <w:top w:w="0" w:type="dxa"/>
            <w:left w:w="0" w:type="dxa"/>
            <w:bottom w:w="0" w:type="dxa"/>
            <w:right w:w="0" w:type="dxa"/>
          </w:tblCellMar>
        </w:tblPrEx>
        <w:trPr>
          <w:wBefore w:w="0" w:type="auto"/>
          <w:tblCellSpacing w:w="0" w:type="dxa"/>
        </w:trPr>
        <w:tc>
          <w:tcPr>
            <w:tcW w:w="0" w:type="auto"/>
            <w:noWrap w:val="0"/>
            <w:vAlign w:val="center"/>
          </w:tcPr>
          <w:p w14:paraId="710F9892">
            <w:r>
              <w:rPr>
                <w:rFonts w:hint="eastAsia"/>
              </w:rPr>
              <w:t xml:space="preserve">有效成分及其含量： </w:t>
            </w:r>
          </w:p>
          <w:p w14:paraId="337BCD7F">
            <w:r>
              <w:rPr>
                <w:rFonts w:hint="eastAsia"/>
              </w:rPr>
              <w:t xml:space="preserve">    硝磺草酮15%    </w:t>
            </w:r>
          </w:p>
        </w:tc>
      </w:tr>
      <w:tr w14:paraId="1DD212C4">
        <w:tblPrEx>
          <w:tblCellMar>
            <w:top w:w="0" w:type="dxa"/>
            <w:left w:w="0" w:type="dxa"/>
            <w:bottom w:w="0" w:type="dxa"/>
            <w:right w:w="0" w:type="dxa"/>
          </w:tblCellMar>
        </w:tblPrEx>
        <w:trPr>
          <w:wBefore w:w="0" w:type="auto"/>
          <w:tblCellSpacing w:w="0" w:type="dxa"/>
        </w:trPr>
        <w:tc>
          <w:tcPr>
            <w:tcW w:w="0" w:type="auto"/>
            <w:noWrap w:val="0"/>
            <w:vAlign w:val="center"/>
          </w:tcPr>
          <w:p w14:paraId="05972EB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A9605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414D0D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7BACD6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38F91A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22637DC">
                  <w:r>
                    <w:rPr>
                      <w:rStyle w:val="11"/>
                      <w:rFonts w:hint="eastAsia"/>
                    </w:rPr>
                    <w:t>施用方式</w:t>
                  </w:r>
                </w:p>
              </w:tc>
            </w:tr>
            <w:tr w14:paraId="3A62C3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334AC90">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D09F0D">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321083">
                  <w:r>
                    <w:rPr>
                      <w:rStyle w:val="11"/>
                      <w:rFonts w:hint="eastAsia"/>
                    </w:rPr>
                    <w:t>50-70毫升/亩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9AF5C2">
                  <w:r>
                    <w:rPr>
                      <w:rStyle w:val="11"/>
                      <w:rFonts w:hint="eastAsia"/>
                    </w:rPr>
                    <w:t>茎叶喷雾</w:t>
                  </w:r>
                </w:p>
              </w:tc>
            </w:tr>
          </w:tbl>
          <w:p w14:paraId="1B9941BD">
            <w:pPr>
              <w:rPr>
                <w:rFonts w:ascii="Times New Roman" w:hAnsi="Times New Roman" w:cs="Times New Roman"/>
                <w:sz w:val="20"/>
                <w:szCs w:val="20"/>
              </w:rPr>
            </w:pPr>
          </w:p>
        </w:tc>
      </w:tr>
      <w:tr w14:paraId="3C81DBB8">
        <w:tblPrEx>
          <w:tblCellMar>
            <w:top w:w="0" w:type="dxa"/>
            <w:left w:w="0" w:type="dxa"/>
            <w:bottom w:w="0" w:type="dxa"/>
            <w:right w:w="0" w:type="dxa"/>
          </w:tblCellMar>
        </w:tblPrEx>
        <w:trPr>
          <w:wBefore w:w="0" w:type="auto"/>
          <w:tblCellSpacing w:w="0" w:type="dxa"/>
        </w:trPr>
        <w:tc>
          <w:tcPr>
            <w:tcW w:w="0" w:type="auto"/>
            <w:noWrap w:val="0"/>
            <w:vAlign w:val="center"/>
          </w:tcPr>
          <w:p w14:paraId="1B7B9D17">
            <w:r>
              <w:rPr>
                <w:rStyle w:val="10"/>
                <w:rFonts w:hint="eastAsia"/>
              </w:rPr>
              <w:t>使用技术要求:</w:t>
            </w:r>
            <w:r>
              <w:rPr>
                <w:rFonts w:hint="eastAsia"/>
              </w:rPr>
              <w:br w:type="textWrapping"/>
            </w:r>
            <w:r>
              <w:rPr>
                <w:rStyle w:val="11"/>
                <w:rFonts w:hint="eastAsia"/>
              </w:rPr>
              <w:t>1、本品于玉米3-5叶期，田间一年生杂草2-5叶期，针对杂草植株喷雾施药进行茎叶处理。2、本品在玉米田使用，每季最多使用1次。3、大风或预计1小时内降雨天气，请勿施药。4、施药时请避免雾滴飘移至邻近作物。本品对豆类、十字花科作物敏感，施药时须防止飘移，以免其它作物发生药害。5、请勿将本品用于自爆裂玉米和观赏玉米。6、正常气候条件下，本品对后茬作物安全，但后茬种植甜菜、苜蓿、烟草、蔬菜、油菜、豆类需先做试验，后种植。 一年两熟制地区，后茬作物不得种植油菜。7、本品不得用于玉米与其它作物间作、混种田。如遇毁（翻、补）种，只可补种玉米，补种后请勿再施用本品。</w:t>
            </w:r>
          </w:p>
        </w:tc>
      </w:tr>
      <w:tr w14:paraId="3570E9A8">
        <w:tblPrEx>
          <w:tblCellMar>
            <w:top w:w="0" w:type="dxa"/>
            <w:left w:w="0" w:type="dxa"/>
            <w:bottom w:w="0" w:type="dxa"/>
            <w:right w:w="0" w:type="dxa"/>
          </w:tblCellMar>
        </w:tblPrEx>
        <w:trPr>
          <w:wBefore w:w="0" w:type="auto"/>
          <w:tblCellSpacing w:w="0" w:type="dxa"/>
        </w:trPr>
        <w:tc>
          <w:tcPr>
            <w:tcW w:w="0" w:type="auto"/>
            <w:noWrap w:val="0"/>
            <w:vAlign w:val="center"/>
          </w:tcPr>
          <w:p w14:paraId="7E08C3B5">
            <w:r>
              <w:rPr>
                <w:rStyle w:val="10"/>
                <w:rFonts w:hint="eastAsia"/>
              </w:rPr>
              <w:t>产品性能:</w:t>
            </w:r>
            <w:r>
              <w:rPr>
                <w:rFonts w:hint="eastAsia"/>
              </w:rPr>
              <w:br w:type="textWrapping"/>
            </w:r>
            <w:r>
              <w:rPr>
                <w:rStyle w:val="11"/>
                <w:rFonts w:hint="eastAsia"/>
              </w:rPr>
              <w:t>本品为一种苗后选择性除草剂，可以有效防除玉米田一年生杂草。</w:t>
            </w:r>
          </w:p>
        </w:tc>
      </w:tr>
      <w:tr w14:paraId="06B582D1">
        <w:tblPrEx>
          <w:tblCellMar>
            <w:top w:w="0" w:type="dxa"/>
            <w:left w:w="0" w:type="dxa"/>
            <w:bottom w:w="0" w:type="dxa"/>
            <w:right w:w="0" w:type="dxa"/>
          </w:tblCellMar>
        </w:tblPrEx>
        <w:trPr>
          <w:wBefore w:w="0" w:type="auto"/>
          <w:tblCellSpacing w:w="0" w:type="dxa"/>
        </w:trPr>
        <w:tc>
          <w:tcPr>
            <w:tcW w:w="0" w:type="auto"/>
            <w:noWrap w:val="0"/>
            <w:vAlign w:val="center"/>
          </w:tcPr>
          <w:p w14:paraId="18C9E946">
            <w:r>
              <w:rPr>
                <w:rStyle w:val="10"/>
                <w:rFonts w:hint="eastAsia"/>
              </w:rPr>
              <w:t>注意事项：</w:t>
            </w:r>
            <w:r>
              <w:rPr>
                <w:rFonts w:hint="eastAsia"/>
              </w:rPr>
              <w:br w:type="textWrapping"/>
            </w:r>
            <w:r>
              <w:rPr>
                <w:rStyle w:val="11"/>
                <w:rFonts w:hint="eastAsia"/>
              </w:rPr>
              <w:t>1、请勿将本品与任何有机磷类、氨基甲酸酯类杀虫剂混用或在间隔7天内使用，请勿通过任何灌溉系统使用本品，请勿将本品与悬浮肥料、乳油剂型的苗后茎叶处理剂混用。2、使用本品时应穿戴长袖衣服、口罩和手套，避免吸入药液，施药期间不能吃东西和饮水，施药后应及时洗手和洗脸。3、本品对家蚕风险性较高，桑园、蚕室附近禁止使用。 4、远离水产养殖区、河塘等水体附近施药，禁止在河塘等水域清洗施药器具。使用过的容器应妥善处理，不可作为它用，也不可随意丢弃。5、禁止儿童、孕妇和哺乳期妇女接触本品。6、避免与氧化剂接触。</w:t>
            </w:r>
          </w:p>
        </w:tc>
      </w:tr>
      <w:tr w14:paraId="3638FD71">
        <w:tblPrEx>
          <w:tblCellMar>
            <w:top w:w="0" w:type="dxa"/>
            <w:left w:w="0" w:type="dxa"/>
            <w:bottom w:w="0" w:type="dxa"/>
            <w:right w:w="0" w:type="dxa"/>
          </w:tblCellMar>
        </w:tblPrEx>
        <w:trPr>
          <w:wBefore w:w="0" w:type="auto"/>
          <w:tblCellSpacing w:w="0" w:type="dxa"/>
        </w:trPr>
        <w:tc>
          <w:tcPr>
            <w:tcW w:w="0" w:type="auto"/>
            <w:noWrap w:val="0"/>
            <w:vAlign w:val="center"/>
          </w:tcPr>
          <w:p w14:paraId="1E0E183E">
            <w:r>
              <w:rPr>
                <w:rStyle w:val="10"/>
                <w:rFonts w:hint="eastAsia"/>
              </w:rPr>
              <w:t>中毒急救措施：</w:t>
            </w:r>
            <w:r>
              <w:rPr>
                <w:rFonts w:hint="eastAsia"/>
              </w:rPr>
              <w:br w:type="textWrapping"/>
            </w:r>
            <w:r>
              <w:rPr>
                <w:rStyle w:val="11"/>
                <w:rFonts w:hint="eastAsia"/>
              </w:rPr>
              <w:t>皮肤接触：立即褪去被污染的衣物，用肥皂与大量清水至少冲洗15分钟，送医就诊；眼睛溅入：立即翻开眼睑，用流动的清水至少冲洗15分钟，送医就诊；吸入：不慎吸入，立即转移至空气清新处，送医就诊；误食：不慎误食，马上停止食用，携带标签送医就诊，无特效解毒剂，应对症治疗。</w:t>
            </w:r>
          </w:p>
        </w:tc>
      </w:tr>
      <w:tr w14:paraId="1F40D8CD">
        <w:tblPrEx>
          <w:tblCellMar>
            <w:top w:w="0" w:type="dxa"/>
            <w:left w:w="0" w:type="dxa"/>
            <w:bottom w:w="0" w:type="dxa"/>
            <w:right w:w="0" w:type="dxa"/>
          </w:tblCellMar>
        </w:tblPrEx>
        <w:trPr>
          <w:wBefore w:w="0" w:type="auto"/>
          <w:tblCellSpacing w:w="0" w:type="dxa"/>
        </w:trPr>
        <w:tc>
          <w:tcPr>
            <w:tcW w:w="0" w:type="auto"/>
            <w:noWrap w:val="0"/>
            <w:vAlign w:val="center"/>
          </w:tcPr>
          <w:p w14:paraId="065FCC67">
            <w:r>
              <w:rPr>
                <w:rStyle w:val="10"/>
                <w:rFonts w:hint="eastAsia"/>
              </w:rPr>
              <w:t>储存和运输方法：</w:t>
            </w:r>
            <w:r>
              <w:rPr>
                <w:rFonts w:hint="eastAsia"/>
              </w:rPr>
              <w:br w:type="textWrapping"/>
            </w:r>
            <w:r>
              <w:rPr>
                <w:rStyle w:val="11"/>
                <w:rFonts w:hint="eastAsia"/>
              </w:rPr>
              <w:t>1、本品与中等氧化剂不具有稳定的化学相容性，严禁与中等氧化剂同储同运。2、本品应贮存在干燥、阴凉、通风、防雨处，远离火源和热源。3、装卸时工人需要穿戴口罩、手套、胶靴，工作结束后用清水清洗裸露的皮肤。4、置于儿童接触不到的地方，并加锁。5、不能与食品、饮料、粮食、饲料等混合储存、运输</w:t>
            </w:r>
          </w:p>
        </w:tc>
      </w:tr>
      <w:tr w14:paraId="6B9A3507">
        <w:tblPrEx>
          <w:tblCellMar>
            <w:top w:w="0" w:type="dxa"/>
            <w:left w:w="0" w:type="dxa"/>
            <w:bottom w:w="0" w:type="dxa"/>
            <w:right w:w="0" w:type="dxa"/>
          </w:tblCellMar>
        </w:tblPrEx>
        <w:trPr>
          <w:wBefore w:w="0" w:type="auto"/>
          <w:tblCellSpacing w:w="0" w:type="dxa"/>
        </w:trPr>
        <w:tc>
          <w:tcPr>
            <w:tcW w:w="0" w:type="auto"/>
            <w:noWrap w:val="0"/>
            <w:vAlign w:val="center"/>
          </w:tcPr>
          <w:p w14:paraId="1070BFE6">
            <w:r>
              <w:rPr>
                <w:rStyle w:val="10"/>
                <w:rFonts w:hint="eastAsia"/>
              </w:rPr>
              <w:t>质量保证期：</w:t>
            </w:r>
            <w:r>
              <w:rPr>
                <w:rStyle w:val="11"/>
                <w:rFonts w:hint="eastAsia"/>
              </w:rPr>
              <w:t>2年</w:t>
            </w:r>
          </w:p>
        </w:tc>
      </w:tr>
      <w:tr w14:paraId="5C044FD9">
        <w:tblPrEx>
          <w:tblCellMar>
            <w:top w:w="0" w:type="dxa"/>
            <w:left w:w="0" w:type="dxa"/>
            <w:bottom w:w="0" w:type="dxa"/>
            <w:right w:w="0" w:type="dxa"/>
          </w:tblCellMar>
        </w:tblPrEx>
        <w:trPr>
          <w:wBefore w:w="0" w:type="auto"/>
          <w:tblCellSpacing w:w="0" w:type="dxa"/>
        </w:trPr>
        <w:tc>
          <w:tcPr>
            <w:tcW w:w="0" w:type="auto"/>
            <w:noWrap w:val="0"/>
            <w:vAlign w:val="center"/>
          </w:tcPr>
          <w:p w14:paraId="04FE2118">
            <w:r>
              <w:rPr>
                <w:rStyle w:val="10"/>
                <w:rFonts w:hint="eastAsia"/>
              </w:rPr>
              <w:t>备注：</w:t>
            </w:r>
          </w:p>
        </w:tc>
      </w:tr>
    </w:tbl>
    <w:p w14:paraId="78AD264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8DFD34">
        <w:tblPrEx>
          <w:tblCellMar>
            <w:top w:w="0" w:type="dxa"/>
            <w:left w:w="0" w:type="dxa"/>
            <w:bottom w:w="0" w:type="dxa"/>
            <w:right w:w="0" w:type="dxa"/>
          </w:tblCellMar>
        </w:tblPrEx>
        <w:trPr>
          <w:wBefore w:w="0" w:type="auto"/>
          <w:tblCellSpacing w:w="0" w:type="dxa"/>
        </w:trPr>
        <w:tc>
          <w:tcPr>
            <w:tcW w:w="0" w:type="auto"/>
            <w:noWrap w:val="0"/>
            <w:vAlign w:val="center"/>
          </w:tcPr>
          <w:p w14:paraId="32F4AE3B">
            <w:r>
              <w:rPr>
                <w:rStyle w:val="10"/>
                <w:rFonts w:hint="eastAsia"/>
              </w:rPr>
              <w:t>登记证号：</w:t>
            </w:r>
            <w:r>
              <w:rPr>
                <w:rFonts w:hint="eastAsia"/>
              </w:rPr>
              <w:t>PD20212105</w:t>
            </w:r>
          </w:p>
        </w:tc>
      </w:tr>
      <w:tr w14:paraId="170839CE">
        <w:tblPrEx>
          <w:tblCellMar>
            <w:top w:w="0" w:type="dxa"/>
            <w:left w:w="0" w:type="dxa"/>
            <w:bottom w:w="0" w:type="dxa"/>
            <w:right w:w="0" w:type="dxa"/>
          </w:tblCellMar>
        </w:tblPrEx>
        <w:trPr>
          <w:wBefore w:w="0" w:type="auto"/>
          <w:tblCellSpacing w:w="0" w:type="dxa"/>
        </w:trPr>
        <w:tc>
          <w:tcPr>
            <w:tcW w:w="0" w:type="auto"/>
            <w:noWrap w:val="0"/>
            <w:vAlign w:val="center"/>
          </w:tcPr>
          <w:p w14:paraId="31D544B2">
            <w:r>
              <w:rPr>
                <w:rStyle w:val="10"/>
                <w:rFonts w:hint="eastAsia"/>
              </w:rPr>
              <w:t>登记证持有人：</w:t>
            </w:r>
            <w:r>
              <w:rPr>
                <w:rFonts w:hint="eastAsia"/>
              </w:rPr>
              <w:t>佳木斯黑龙农药有限公司</w:t>
            </w:r>
          </w:p>
        </w:tc>
      </w:tr>
      <w:tr w14:paraId="43DED43C">
        <w:tblPrEx>
          <w:tblCellMar>
            <w:top w:w="0" w:type="dxa"/>
            <w:left w:w="0" w:type="dxa"/>
            <w:bottom w:w="0" w:type="dxa"/>
            <w:right w:w="0" w:type="dxa"/>
          </w:tblCellMar>
        </w:tblPrEx>
        <w:trPr>
          <w:wBefore w:w="0" w:type="auto"/>
          <w:tblCellSpacing w:w="0" w:type="dxa"/>
        </w:trPr>
        <w:tc>
          <w:tcPr>
            <w:tcW w:w="0" w:type="auto"/>
            <w:noWrap w:val="0"/>
            <w:vAlign w:val="center"/>
          </w:tcPr>
          <w:p w14:paraId="0F48DF5E">
            <w:r>
              <w:rPr>
                <w:rStyle w:val="10"/>
                <w:rFonts w:hint="eastAsia"/>
              </w:rPr>
              <w:t>农药名称：</w:t>
            </w:r>
            <w:r>
              <w:rPr>
                <w:rFonts w:hint="eastAsia"/>
              </w:rPr>
              <w:t>五氟磺草胺</w:t>
            </w:r>
          </w:p>
        </w:tc>
      </w:tr>
      <w:tr w14:paraId="60B73124">
        <w:tblPrEx>
          <w:tblCellMar>
            <w:top w:w="0" w:type="dxa"/>
            <w:left w:w="0" w:type="dxa"/>
            <w:bottom w:w="0" w:type="dxa"/>
            <w:right w:w="0" w:type="dxa"/>
          </w:tblCellMar>
        </w:tblPrEx>
        <w:trPr>
          <w:wBefore w:w="0" w:type="auto"/>
          <w:tblCellSpacing w:w="0" w:type="dxa"/>
        </w:trPr>
        <w:tc>
          <w:tcPr>
            <w:tcW w:w="0" w:type="auto"/>
            <w:noWrap w:val="0"/>
            <w:vAlign w:val="center"/>
          </w:tcPr>
          <w:p w14:paraId="7EFE8871">
            <w:r>
              <w:rPr>
                <w:rStyle w:val="10"/>
                <w:rFonts w:hint="eastAsia"/>
              </w:rPr>
              <w:t>剂型：</w:t>
            </w:r>
            <w:r>
              <w:rPr>
                <w:rFonts w:hint="eastAsia"/>
              </w:rPr>
              <w:t>可分散油悬浮剂</w:t>
            </w:r>
          </w:p>
        </w:tc>
      </w:tr>
      <w:tr w14:paraId="7BDE2901">
        <w:tblPrEx>
          <w:tblCellMar>
            <w:top w:w="0" w:type="dxa"/>
            <w:left w:w="0" w:type="dxa"/>
            <w:bottom w:w="0" w:type="dxa"/>
            <w:right w:w="0" w:type="dxa"/>
          </w:tblCellMar>
        </w:tblPrEx>
        <w:trPr>
          <w:wBefore w:w="0" w:type="auto"/>
          <w:tblCellSpacing w:w="0" w:type="dxa"/>
        </w:trPr>
        <w:tc>
          <w:tcPr>
            <w:tcW w:w="0" w:type="auto"/>
            <w:noWrap w:val="0"/>
            <w:vAlign w:val="center"/>
          </w:tcPr>
          <w:p w14:paraId="4D82D136">
            <w:r>
              <w:rPr>
                <w:rStyle w:val="10"/>
                <w:rFonts w:hint="eastAsia"/>
              </w:rPr>
              <w:t>毒性及其标识：</w:t>
            </w:r>
            <w:r>
              <w:rPr>
                <w:rFonts w:hint="eastAsia"/>
              </w:rPr>
              <w:t xml:space="preserve"> </w:t>
            </w:r>
            <w:r>
              <w:rPr>
                <w:lang/>
              </w:rPr>
              <w:drawing>
                <wp:inline distT="0" distB="0" distL="114300" distR="114300">
                  <wp:extent cx="476250" cy="323850"/>
                  <wp:effectExtent l="0" t="0" r="0" b="0"/>
                  <wp:docPr id="500" name="图片 50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A29FF7C">
        <w:tblPrEx>
          <w:tblCellMar>
            <w:top w:w="0" w:type="dxa"/>
            <w:left w:w="0" w:type="dxa"/>
            <w:bottom w:w="0" w:type="dxa"/>
            <w:right w:w="0" w:type="dxa"/>
          </w:tblCellMar>
        </w:tblPrEx>
        <w:trPr>
          <w:wBefore w:w="0" w:type="auto"/>
          <w:tblCellSpacing w:w="0" w:type="dxa"/>
        </w:trPr>
        <w:tc>
          <w:tcPr>
            <w:tcW w:w="0" w:type="auto"/>
            <w:noWrap w:val="0"/>
            <w:vAlign w:val="center"/>
          </w:tcPr>
          <w:p w14:paraId="551E928E">
            <w:r>
              <w:rPr>
                <w:rStyle w:val="10"/>
                <w:rFonts w:hint="eastAsia"/>
              </w:rPr>
              <w:t>总有效成分含量：</w:t>
            </w:r>
            <w:r>
              <w:rPr>
                <w:rFonts w:hint="eastAsia"/>
              </w:rPr>
              <w:t>25克/升</w:t>
            </w:r>
          </w:p>
        </w:tc>
      </w:tr>
      <w:tr w14:paraId="3B3106F4">
        <w:tblPrEx>
          <w:tblCellMar>
            <w:top w:w="0" w:type="dxa"/>
            <w:left w:w="0" w:type="dxa"/>
            <w:bottom w:w="0" w:type="dxa"/>
            <w:right w:w="0" w:type="dxa"/>
          </w:tblCellMar>
        </w:tblPrEx>
        <w:trPr>
          <w:wBefore w:w="0" w:type="auto"/>
          <w:tblCellSpacing w:w="0" w:type="dxa"/>
        </w:trPr>
        <w:tc>
          <w:tcPr>
            <w:tcW w:w="0" w:type="auto"/>
            <w:noWrap w:val="0"/>
            <w:vAlign w:val="center"/>
          </w:tcPr>
          <w:p w14:paraId="4AABFC7E">
            <w:r>
              <w:rPr>
                <w:rFonts w:hint="eastAsia"/>
              </w:rPr>
              <w:t xml:space="preserve">有效成分及其含量： </w:t>
            </w:r>
          </w:p>
          <w:p w14:paraId="03EB8832">
            <w:r>
              <w:rPr>
                <w:rFonts w:hint="eastAsia"/>
              </w:rPr>
              <w:t xml:space="preserve">    五氟磺草胺25克/升    </w:t>
            </w:r>
          </w:p>
        </w:tc>
      </w:tr>
      <w:tr w14:paraId="1A46B0BE">
        <w:tblPrEx>
          <w:tblCellMar>
            <w:top w:w="0" w:type="dxa"/>
            <w:left w:w="0" w:type="dxa"/>
            <w:bottom w:w="0" w:type="dxa"/>
            <w:right w:w="0" w:type="dxa"/>
          </w:tblCellMar>
        </w:tblPrEx>
        <w:trPr>
          <w:wBefore w:w="0" w:type="auto"/>
          <w:tblCellSpacing w:w="0" w:type="dxa"/>
        </w:trPr>
        <w:tc>
          <w:tcPr>
            <w:tcW w:w="0" w:type="auto"/>
            <w:noWrap w:val="0"/>
            <w:vAlign w:val="center"/>
          </w:tcPr>
          <w:p w14:paraId="7349E3C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5621A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119F5B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F3B75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19EB6E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050EE74">
                  <w:r>
                    <w:rPr>
                      <w:rStyle w:val="11"/>
                      <w:rFonts w:hint="eastAsia"/>
                    </w:rPr>
                    <w:t>施用方式</w:t>
                  </w:r>
                </w:p>
              </w:tc>
            </w:tr>
            <w:tr w14:paraId="2B1B87E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9EEC3F8">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92F9AB">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C343A5">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C9372E">
                  <w:r>
                    <w:rPr>
                      <w:rStyle w:val="11"/>
                      <w:rFonts w:hint="eastAsia"/>
                    </w:rPr>
                    <w:t>茎叶喷雾</w:t>
                  </w:r>
                </w:p>
              </w:tc>
            </w:tr>
          </w:tbl>
          <w:p w14:paraId="6530BD73">
            <w:pPr>
              <w:rPr>
                <w:rFonts w:ascii="Times New Roman" w:hAnsi="Times New Roman" w:cs="Times New Roman"/>
                <w:sz w:val="20"/>
                <w:szCs w:val="20"/>
              </w:rPr>
            </w:pPr>
          </w:p>
        </w:tc>
      </w:tr>
      <w:tr w14:paraId="53B3BB0C">
        <w:tblPrEx>
          <w:tblCellMar>
            <w:top w:w="0" w:type="dxa"/>
            <w:left w:w="0" w:type="dxa"/>
            <w:bottom w:w="0" w:type="dxa"/>
            <w:right w:w="0" w:type="dxa"/>
          </w:tblCellMar>
        </w:tblPrEx>
        <w:trPr>
          <w:wBefore w:w="0" w:type="auto"/>
          <w:tblCellSpacing w:w="0" w:type="dxa"/>
        </w:trPr>
        <w:tc>
          <w:tcPr>
            <w:tcW w:w="0" w:type="auto"/>
            <w:noWrap w:val="0"/>
            <w:vAlign w:val="center"/>
          </w:tcPr>
          <w:p w14:paraId="75299648">
            <w:r>
              <w:rPr>
                <w:rStyle w:val="10"/>
                <w:rFonts w:hint="eastAsia"/>
              </w:rPr>
              <w:t>使用技术要求:</w:t>
            </w:r>
            <w:r>
              <w:rPr>
                <w:rFonts w:hint="eastAsia"/>
              </w:rPr>
              <w:br w:type="textWrapping"/>
            </w:r>
            <w:r>
              <w:rPr>
                <w:rStyle w:val="11"/>
                <w:rFonts w:hint="eastAsia"/>
              </w:rPr>
              <w:t>1. 于水稻移栽后，田间稗草等一年生杂草2-4叶期，茎叶喷雾施药，施药前1-2天排干田水，使杂草2/3露出水面，药后1-2天复水，田内保持3-5厘米水层5-7天后恢复正常管理。2. 本品每季节最多使用1次。</w:t>
            </w:r>
          </w:p>
        </w:tc>
      </w:tr>
      <w:tr w14:paraId="5345DEDD">
        <w:tblPrEx>
          <w:tblCellMar>
            <w:top w:w="0" w:type="dxa"/>
            <w:left w:w="0" w:type="dxa"/>
            <w:bottom w:w="0" w:type="dxa"/>
            <w:right w:w="0" w:type="dxa"/>
          </w:tblCellMar>
        </w:tblPrEx>
        <w:trPr>
          <w:wBefore w:w="0" w:type="auto"/>
          <w:tblCellSpacing w:w="0" w:type="dxa"/>
        </w:trPr>
        <w:tc>
          <w:tcPr>
            <w:tcW w:w="0" w:type="auto"/>
            <w:noWrap w:val="0"/>
            <w:vAlign w:val="center"/>
          </w:tcPr>
          <w:p w14:paraId="5C08C948">
            <w:r>
              <w:rPr>
                <w:rStyle w:val="10"/>
                <w:rFonts w:hint="eastAsia"/>
              </w:rPr>
              <w:t>产品性能:</w:t>
            </w:r>
            <w:r>
              <w:rPr>
                <w:rFonts w:hint="eastAsia"/>
              </w:rPr>
              <w:br w:type="textWrapping"/>
            </w:r>
            <w:r>
              <w:rPr>
                <w:rStyle w:val="11"/>
                <w:rFonts w:hint="eastAsia"/>
              </w:rPr>
              <w:t>本品为磺酰胺类除草剂，经由杂草幼芽、茎叶及根系吸收，通过木质部和韧皮部传导至分生组织，抑制植株生长、黄化，2～4周植株死亡。茎叶喷雾法防治水稻移栽田间稗草、节节菜、异型莎草、矮慈姑、雨久花、泽泻、藨草、鸭舌草、陌上菜、眼子菜等一年生杂草。推荐剂量下对水稻安全。</w:t>
            </w:r>
          </w:p>
        </w:tc>
      </w:tr>
      <w:tr w14:paraId="58FED944">
        <w:tblPrEx>
          <w:tblCellMar>
            <w:top w:w="0" w:type="dxa"/>
            <w:left w:w="0" w:type="dxa"/>
            <w:bottom w:w="0" w:type="dxa"/>
            <w:right w:w="0" w:type="dxa"/>
          </w:tblCellMar>
        </w:tblPrEx>
        <w:trPr>
          <w:wBefore w:w="0" w:type="auto"/>
          <w:tblCellSpacing w:w="0" w:type="dxa"/>
        </w:trPr>
        <w:tc>
          <w:tcPr>
            <w:tcW w:w="0" w:type="auto"/>
            <w:noWrap w:val="0"/>
            <w:vAlign w:val="center"/>
          </w:tcPr>
          <w:p w14:paraId="79F6E8E2">
            <w:r>
              <w:rPr>
                <w:rStyle w:val="10"/>
                <w:rFonts w:hint="eastAsia"/>
              </w:rPr>
              <w:t>注意事项：</w:t>
            </w:r>
            <w:r>
              <w:rPr>
                <w:rFonts w:hint="eastAsia"/>
              </w:rPr>
              <w:br w:type="textWrapping"/>
            </w:r>
            <w:r>
              <w:rPr>
                <w:rStyle w:val="11"/>
                <w:rFonts w:hint="eastAsia"/>
              </w:rPr>
              <w:t>1. 不得与碱性农药、碱性物质混用。严格按照标签说明使用。2. 制种田因品种较多，须根据当地示范结果使用。3. 对非靶标作物如黄瓜、小麦、小白菜等有一定的影响，施药时应防止药液飘移到邻近作物田，以免产生药害；4. 本品对水生生物有毒，水产养殖区、鱼或虾蟹套养稻田禁用。施药后的田水不得直接排入水体。5. 鸟类保护区、赤眼蜂等天敌放飞区域禁用。6. 药后清洗药械的废水不能排入河流、池塘等。用过的容器应妥善处理，不可做它用，也不可随意丢弃。7. 本品对眼睛、皮肤有刺激性，使用时避免接触眼睛，穿戴长衣、长裤、帽子、口罩、手套等防护措施。避免吸入药液；施药期间不可吃东西、饮水等；施药后应及时洗手、洗脸等。8. 避免儿童、孕妇和哺乳期妇女接触。</w:t>
            </w:r>
          </w:p>
        </w:tc>
      </w:tr>
      <w:tr w14:paraId="5FC73A2E">
        <w:tblPrEx>
          <w:tblCellMar>
            <w:top w:w="0" w:type="dxa"/>
            <w:left w:w="0" w:type="dxa"/>
            <w:bottom w:w="0" w:type="dxa"/>
            <w:right w:w="0" w:type="dxa"/>
          </w:tblCellMar>
        </w:tblPrEx>
        <w:trPr>
          <w:wBefore w:w="0" w:type="auto"/>
          <w:tblCellSpacing w:w="0" w:type="dxa"/>
        </w:trPr>
        <w:tc>
          <w:tcPr>
            <w:tcW w:w="0" w:type="auto"/>
            <w:noWrap w:val="0"/>
            <w:vAlign w:val="center"/>
          </w:tcPr>
          <w:p w14:paraId="333DC41C">
            <w:r>
              <w:rPr>
                <w:rStyle w:val="10"/>
                <w:rFonts w:hint="eastAsia"/>
              </w:rPr>
              <w:t>中毒急救措施：</w:t>
            </w:r>
            <w:r>
              <w:rPr>
                <w:rFonts w:hint="eastAsia"/>
              </w:rPr>
              <w:br w:type="textWrapping"/>
            </w:r>
            <w:r>
              <w:rPr>
                <w:rStyle w:val="11"/>
                <w:rFonts w:hint="eastAsia"/>
              </w:rPr>
              <w:t>中毒症状: ①.对眼睛有轻度至中度刺激作用。使用时要注意防护，若溅入眼睛中，用大量清水冲洗至少15分钟，仍有不适时，就医。②.对皮肤有轻度刺激性。如不慎接触皮肤，脱除受污染的衣服，并用肥皂和大量清水冲洗。③.误吸:移至空气清新地方。④.误服：立即带标签送医院，对症治疗，无特效解毒剂。</w:t>
            </w:r>
          </w:p>
        </w:tc>
      </w:tr>
      <w:tr w14:paraId="2976CE4F">
        <w:tblPrEx>
          <w:tblCellMar>
            <w:top w:w="0" w:type="dxa"/>
            <w:left w:w="0" w:type="dxa"/>
            <w:bottom w:w="0" w:type="dxa"/>
            <w:right w:w="0" w:type="dxa"/>
          </w:tblCellMar>
        </w:tblPrEx>
        <w:trPr>
          <w:wBefore w:w="0" w:type="auto"/>
          <w:tblCellSpacing w:w="0" w:type="dxa"/>
        </w:trPr>
        <w:tc>
          <w:tcPr>
            <w:tcW w:w="0" w:type="auto"/>
            <w:noWrap w:val="0"/>
            <w:vAlign w:val="center"/>
          </w:tcPr>
          <w:p w14:paraId="07A79EC4">
            <w:r>
              <w:rPr>
                <w:rStyle w:val="10"/>
                <w:rFonts w:hint="eastAsia"/>
              </w:rPr>
              <w:t>储存和运输方法：</w:t>
            </w:r>
            <w:r>
              <w:rPr>
                <w:rFonts w:hint="eastAsia"/>
              </w:rPr>
              <w:br w:type="textWrapping"/>
            </w:r>
            <w:r>
              <w:rPr>
                <w:rStyle w:val="11"/>
                <w:rFonts w:hint="eastAsia"/>
              </w:rPr>
              <w:t>在正常贮存条件下，将本品密封贮存于阴凉、干燥、避光、通风好之处，加锁放置于儿童不易触及的地方。远离火源或热源，不可与食品、饮料、粮食、饲料同贮同运。</w:t>
            </w:r>
          </w:p>
        </w:tc>
      </w:tr>
      <w:tr w14:paraId="59F1ED20">
        <w:tblPrEx>
          <w:tblCellMar>
            <w:top w:w="0" w:type="dxa"/>
            <w:left w:w="0" w:type="dxa"/>
            <w:bottom w:w="0" w:type="dxa"/>
            <w:right w:w="0" w:type="dxa"/>
          </w:tblCellMar>
        </w:tblPrEx>
        <w:trPr>
          <w:wBefore w:w="0" w:type="auto"/>
          <w:tblCellSpacing w:w="0" w:type="dxa"/>
        </w:trPr>
        <w:tc>
          <w:tcPr>
            <w:tcW w:w="0" w:type="auto"/>
            <w:noWrap w:val="0"/>
            <w:vAlign w:val="center"/>
          </w:tcPr>
          <w:p w14:paraId="42A3776A">
            <w:r>
              <w:rPr>
                <w:rStyle w:val="10"/>
                <w:rFonts w:hint="eastAsia"/>
              </w:rPr>
              <w:t>质量保证期：</w:t>
            </w:r>
            <w:r>
              <w:rPr>
                <w:rStyle w:val="11"/>
                <w:rFonts w:hint="eastAsia"/>
              </w:rPr>
              <w:t>2年</w:t>
            </w:r>
          </w:p>
        </w:tc>
      </w:tr>
      <w:tr w14:paraId="47E66945">
        <w:tblPrEx>
          <w:tblCellMar>
            <w:top w:w="0" w:type="dxa"/>
            <w:left w:w="0" w:type="dxa"/>
            <w:bottom w:w="0" w:type="dxa"/>
            <w:right w:w="0" w:type="dxa"/>
          </w:tblCellMar>
        </w:tblPrEx>
        <w:trPr>
          <w:wBefore w:w="0" w:type="auto"/>
          <w:tblCellSpacing w:w="0" w:type="dxa"/>
        </w:trPr>
        <w:tc>
          <w:tcPr>
            <w:tcW w:w="0" w:type="auto"/>
            <w:noWrap w:val="0"/>
            <w:vAlign w:val="center"/>
          </w:tcPr>
          <w:p w14:paraId="6686FB42">
            <w:r>
              <w:rPr>
                <w:rStyle w:val="10"/>
                <w:rFonts w:hint="eastAsia"/>
              </w:rPr>
              <w:t>备注：</w:t>
            </w:r>
          </w:p>
        </w:tc>
      </w:tr>
    </w:tbl>
    <w:p w14:paraId="625B7B5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E9F289">
        <w:tblPrEx>
          <w:tblCellMar>
            <w:top w:w="0" w:type="dxa"/>
            <w:left w:w="0" w:type="dxa"/>
            <w:bottom w:w="0" w:type="dxa"/>
            <w:right w:w="0" w:type="dxa"/>
          </w:tblCellMar>
        </w:tblPrEx>
        <w:trPr>
          <w:wBefore w:w="0" w:type="auto"/>
          <w:tblCellSpacing w:w="0" w:type="dxa"/>
        </w:trPr>
        <w:tc>
          <w:tcPr>
            <w:tcW w:w="0" w:type="auto"/>
            <w:noWrap w:val="0"/>
            <w:vAlign w:val="center"/>
          </w:tcPr>
          <w:p w14:paraId="3ECA0EF7">
            <w:r>
              <w:rPr>
                <w:rStyle w:val="10"/>
                <w:rFonts w:hint="eastAsia"/>
              </w:rPr>
              <w:t>登记证号：</w:t>
            </w:r>
            <w:r>
              <w:rPr>
                <w:rFonts w:hint="eastAsia"/>
              </w:rPr>
              <w:t>PD20211829</w:t>
            </w:r>
          </w:p>
        </w:tc>
      </w:tr>
      <w:tr w14:paraId="50FB8C43">
        <w:tblPrEx>
          <w:tblCellMar>
            <w:top w:w="0" w:type="dxa"/>
            <w:left w:w="0" w:type="dxa"/>
            <w:bottom w:w="0" w:type="dxa"/>
            <w:right w:w="0" w:type="dxa"/>
          </w:tblCellMar>
        </w:tblPrEx>
        <w:trPr>
          <w:wBefore w:w="0" w:type="auto"/>
          <w:tblCellSpacing w:w="0" w:type="dxa"/>
        </w:trPr>
        <w:tc>
          <w:tcPr>
            <w:tcW w:w="0" w:type="auto"/>
            <w:noWrap w:val="0"/>
            <w:vAlign w:val="center"/>
          </w:tcPr>
          <w:p w14:paraId="180F87A9">
            <w:r>
              <w:rPr>
                <w:rStyle w:val="10"/>
                <w:rFonts w:hint="eastAsia"/>
              </w:rPr>
              <w:t>登记证持有人：</w:t>
            </w:r>
            <w:r>
              <w:rPr>
                <w:rFonts w:hint="eastAsia"/>
              </w:rPr>
              <w:t>新疆锦华农药有限公司</w:t>
            </w:r>
          </w:p>
        </w:tc>
      </w:tr>
      <w:tr w14:paraId="4E6259F1">
        <w:tblPrEx>
          <w:tblCellMar>
            <w:top w:w="0" w:type="dxa"/>
            <w:left w:w="0" w:type="dxa"/>
            <w:bottom w:w="0" w:type="dxa"/>
            <w:right w:w="0" w:type="dxa"/>
          </w:tblCellMar>
        </w:tblPrEx>
        <w:trPr>
          <w:wBefore w:w="0" w:type="auto"/>
          <w:tblCellSpacing w:w="0" w:type="dxa"/>
        </w:trPr>
        <w:tc>
          <w:tcPr>
            <w:tcW w:w="0" w:type="auto"/>
            <w:noWrap w:val="0"/>
            <w:vAlign w:val="center"/>
          </w:tcPr>
          <w:p w14:paraId="4DBFC7F9">
            <w:r>
              <w:rPr>
                <w:rStyle w:val="10"/>
                <w:rFonts w:hint="eastAsia"/>
              </w:rPr>
              <w:t>农药名称：</w:t>
            </w:r>
            <w:r>
              <w:rPr>
                <w:rFonts w:hint="eastAsia"/>
              </w:rPr>
              <w:t>噻虫嗪</w:t>
            </w:r>
          </w:p>
        </w:tc>
      </w:tr>
      <w:tr w14:paraId="6DA2AC40">
        <w:tblPrEx>
          <w:tblCellMar>
            <w:top w:w="0" w:type="dxa"/>
            <w:left w:w="0" w:type="dxa"/>
            <w:bottom w:w="0" w:type="dxa"/>
            <w:right w:w="0" w:type="dxa"/>
          </w:tblCellMar>
        </w:tblPrEx>
        <w:trPr>
          <w:wBefore w:w="0" w:type="auto"/>
          <w:tblCellSpacing w:w="0" w:type="dxa"/>
        </w:trPr>
        <w:tc>
          <w:tcPr>
            <w:tcW w:w="0" w:type="auto"/>
            <w:noWrap w:val="0"/>
            <w:vAlign w:val="center"/>
          </w:tcPr>
          <w:p w14:paraId="4F308D66">
            <w:r>
              <w:rPr>
                <w:rStyle w:val="10"/>
                <w:rFonts w:hint="eastAsia"/>
              </w:rPr>
              <w:t>剂型：</w:t>
            </w:r>
            <w:r>
              <w:rPr>
                <w:rFonts w:hint="eastAsia"/>
              </w:rPr>
              <w:t>种子处理悬浮剂</w:t>
            </w:r>
          </w:p>
        </w:tc>
      </w:tr>
      <w:tr w14:paraId="170E67CB">
        <w:tblPrEx>
          <w:tblCellMar>
            <w:top w:w="0" w:type="dxa"/>
            <w:left w:w="0" w:type="dxa"/>
            <w:bottom w:w="0" w:type="dxa"/>
            <w:right w:w="0" w:type="dxa"/>
          </w:tblCellMar>
        </w:tblPrEx>
        <w:trPr>
          <w:wBefore w:w="0" w:type="auto"/>
          <w:tblCellSpacing w:w="0" w:type="dxa"/>
        </w:trPr>
        <w:tc>
          <w:tcPr>
            <w:tcW w:w="0" w:type="auto"/>
            <w:noWrap w:val="0"/>
            <w:vAlign w:val="center"/>
          </w:tcPr>
          <w:p w14:paraId="1973AF83">
            <w:r>
              <w:rPr>
                <w:rStyle w:val="10"/>
                <w:rFonts w:hint="eastAsia"/>
              </w:rPr>
              <w:t>毒性及其标识：</w:t>
            </w:r>
            <w:r>
              <w:rPr>
                <w:rFonts w:hint="eastAsia"/>
              </w:rPr>
              <w:t xml:space="preserve"> </w:t>
            </w:r>
            <w:r>
              <w:rPr>
                <w:lang/>
              </w:rPr>
              <w:drawing>
                <wp:inline distT="0" distB="0" distL="114300" distR="114300">
                  <wp:extent cx="476250" cy="323850"/>
                  <wp:effectExtent l="0" t="0" r="0" b="0"/>
                  <wp:docPr id="501" name="图片 50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9C4ADA6">
        <w:tblPrEx>
          <w:tblCellMar>
            <w:top w:w="0" w:type="dxa"/>
            <w:left w:w="0" w:type="dxa"/>
            <w:bottom w:w="0" w:type="dxa"/>
            <w:right w:w="0" w:type="dxa"/>
          </w:tblCellMar>
        </w:tblPrEx>
        <w:trPr>
          <w:wBefore w:w="0" w:type="auto"/>
          <w:tblCellSpacing w:w="0" w:type="dxa"/>
        </w:trPr>
        <w:tc>
          <w:tcPr>
            <w:tcW w:w="0" w:type="auto"/>
            <w:noWrap w:val="0"/>
            <w:vAlign w:val="center"/>
          </w:tcPr>
          <w:p w14:paraId="3C5D0EC4">
            <w:r>
              <w:rPr>
                <w:rStyle w:val="10"/>
                <w:rFonts w:hint="eastAsia"/>
              </w:rPr>
              <w:t>总有效成分含量：</w:t>
            </w:r>
            <w:r>
              <w:rPr>
                <w:rFonts w:hint="eastAsia"/>
              </w:rPr>
              <w:t>30%</w:t>
            </w:r>
          </w:p>
        </w:tc>
      </w:tr>
      <w:tr w14:paraId="589A764A">
        <w:tblPrEx>
          <w:tblCellMar>
            <w:top w:w="0" w:type="dxa"/>
            <w:left w:w="0" w:type="dxa"/>
            <w:bottom w:w="0" w:type="dxa"/>
            <w:right w:w="0" w:type="dxa"/>
          </w:tblCellMar>
        </w:tblPrEx>
        <w:trPr>
          <w:wBefore w:w="0" w:type="auto"/>
          <w:tblCellSpacing w:w="0" w:type="dxa"/>
        </w:trPr>
        <w:tc>
          <w:tcPr>
            <w:tcW w:w="0" w:type="auto"/>
            <w:noWrap w:val="0"/>
            <w:vAlign w:val="center"/>
          </w:tcPr>
          <w:p w14:paraId="31582D3F">
            <w:r>
              <w:rPr>
                <w:rFonts w:hint="eastAsia"/>
              </w:rPr>
              <w:t xml:space="preserve">有效成分及其含量： </w:t>
            </w:r>
          </w:p>
          <w:p w14:paraId="3D944C04">
            <w:r>
              <w:rPr>
                <w:rFonts w:hint="eastAsia"/>
              </w:rPr>
              <w:t xml:space="preserve">    噻虫嗪30%    </w:t>
            </w:r>
          </w:p>
        </w:tc>
      </w:tr>
      <w:tr w14:paraId="2D117B75">
        <w:tblPrEx>
          <w:tblCellMar>
            <w:top w:w="0" w:type="dxa"/>
            <w:left w:w="0" w:type="dxa"/>
            <w:bottom w:w="0" w:type="dxa"/>
            <w:right w:w="0" w:type="dxa"/>
          </w:tblCellMar>
        </w:tblPrEx>
        <w:trPr>
          <w:wBefore w:w="0" w:type="auto"/>
          <w:tblCellSpacing w:w="0" w:type="dxa"/>
        </w:trPr>
        <w:tc>
          <w:tcPr>
            <w:tcW w:w="0" w:type="auto"/>
            <w:noWrap w:val="0"/>
            <w:vAlign w:val="center"/>
          </w:tcPr>
          <w:p w14:paraId="3608F3C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06CF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902718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4D3265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19A18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16EDE6">
                  <w:r>
                    <w:rPr>
                      <w:rStyle w:val="11"/>
                      <w:rFonts w:hint="eastAsia"/>
                    </w:rPr>
                    <w:t>施用方式</w:t>
                  </w:r>
                </w:p>
              </w:tc>
            </w:tr>
            <w:tr w14:paraId="108945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690BE8A">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62C218">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3A6971">
                  <w:r>
                    <w:rPr>
                      <w:rStyle w:val="11"/>
                      <w:rFonts w:hint="eastAsia"/>
                    </w:rPr>
                    <w:t>700-1400毫升/100千克种子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96795F">
                  <w:r>
                    <w:rPr>
                      <w:rStyle w:val="11"/>
                      <w:rFonts w:hint="eastAsia"/>
                    </w:rPr>
                    <w:t>种子包衣</w:t>
                  </w:r>
                </w:p>
              </w:tc>
            </w:tr>
          </w:tbl>
          <w:p w14:paraId="2A5E4448">
            <w:pPr>
              <w:rPr>
                <w:rFonts w:ascii="Times New Roman" w:hAnsi="Times New Roman" w:cs="Times New Roman"/>
                <w:sz w:val="20"/>
                <w:szCs w:val="20"/>
              </w:rPr>
            </w:pPr>
          </w:p>
        </w:tc>
      </w:tr>
      <w:tr w14:paraId="44D4D6E1">
        <w:tblPrEx>
          <w:tblCellMar>
            <w:top w:w="0" w:type="dxa"/>
            <w:left w:w="0" w:type="dxa"/>
            <w:bottom w:w="0" w:type="dxa"/>
            <w:right w:w="0" w:type="dxa"/>
          </w:tblCellMar>
        </w:tblPrEx>
        <w:trPr>
          <w:wBefore w:w="0" w:type="auto"/>
          <w:tblCellSpacing w:w="0" w:type="dxa"/>
        </w:trPr>
        <w:tc>
          <w:tcPr>
            <w:tcW w:w="0" w:type="auto"/>
            <w:noWrap w:val="0"/>
            <w:vAlign w:val="center"/>
          </w:tcPr>
          <w:p w14:paraId="1576A0D8">
            <w:r>
              <w:rPr>
                <w:rStyle w:val="10"/>
                <w:rFonts w:hint="eastAsia"/>
              </w:rPr>
              <w:t>使用技术要求:</w:t>
            </w:r>
            <w:r>
              <w:rPr>
                <w:rFonts w:hint="eastAsia"/>
              </w:rPr>
              <w:br w:type="textWrapping"/>
            </w:r>
            <w:r>
              <w:rPr>
                <w:rStyle w:val="11"/>
                <w:rFonts w:hint="eastAsia"/>
              </w:rPr>
              <w:t>1.棉花蚜虫：按推荐用药量，将药剂加少了清水稀释后，与种子充分搅拌，直到药液均匀分布到种子表面，晾干后即可。2.本品不可做叶面喷雾，配制好的药液应在24小时内使用。3.棉花播种前拌种1次。4.按照推荐施药，勿超量施药。</w:t>
            </w:r>
          </w:p>
        </w:tc>
      </w:tr>
      <w:tr w14:paraId="2551EC9F">
        <w:tblPrEx>
          <w:tblCellMar>
            <w:top w:w="0" w:type="dxa"/>
            <w:left w:w="0" w:type="dxa"/>
            <w:bottom w:w="0" w:type="dxa"/>
            <w:right w:w="0" w:type="dxa"/>
          </w:tblCellMar>
        </w:tblPrEx>
        <w:trPr>
          <w:wBefore w:w="0" w:type="auto"/>
          <w:tblCellSpacing w:w="0" w:type="dxa"/>
        </w:trPr>
        <w:tc>
          <w:tcPr>
            <w:tcW w:w="0" w:type="auto"/>
            <w:noWrap w:val="0"/>
            <w:vAlign w:val="center"/>
          </w:tcPr>
          <w:p w14:paraId="17947D89">
            <w:r>
              <w:rPr>
                <w:rStyle w:val="10"/>
                <w:rFonts w:hint="eastAsia"/>
              </w:rPr>
              <w:t>产品性能:</w:t>
            </w:r>
            <w:r>
              <w:rPr>
                <w:rFonts w:hint="eastAsia"/>
              </w:rPr>
              <w:br w:type="textWrapping"/>
            </w:r>
            <w:r>
              <w:rPr>
                <w:rStyle w:val="11"/>
                <w:rFonts w:hint="eastAsia"/>
              </w:rPr>
              <w:t>噻虫嗪是一种烟碱类杀虫剂，具有内吸传导性，兼具胃毒和触杀作用。用于种子处理，可被作物根迅速内吸，并传导到植株各部位，可有效防治棉花棉蚜。</w:t>
            </w:r>
          </w:p>
        </w:tc>
      </w:tr>
      <w:tr w14:paraId="084B1E01">
        <w:tblPrEx>
          <w:tblCellMar>
            <w:top w:w="0" w:type="dxa"/>
            <w:left w:w="0" w:type="dxa"/>
            <w:bottom w:w="0" w:type="dxa"/>
            <w:right w:w="0" w:type="dxa"/>
          </w:tblCellMar>
        </w:tblPrEx>
        <w:trPr>
          <w:wBefore w:w="0" w:type="auto"/>
          <w:tblCellSpacing w:w="0" w:type="dxa"/>
        </w:trPr>
        <w:tc>
          <w:tcPr>
            <w:tcW w:w="0" w:type="auto"/>
            <w:noWrap w:val="0"/>
            <w:vAlign w:val="center"/>
          </w:tcPr>
          <w:p w14:paraId="421A3578">
            <w:r>
              <w:rPr>
                <w:rStyle w:val="10"/>
                <w:rFonts w:hint="eastAsia"/>
              </w:rPr>
              <w:t>注意事项：</w:t>
            </w:r>
            <w:r>
              <w:rPr>
                <w:rFonts w:hint="eastAsia"/>
              </w:rPr>
              <w:br w:type="textWrapping"/>
            </w:r>
            <w:r>
              <w:rPr>
                <w:rStyle w:val="11"/>
                <w:rFonts w:hint="eastAsia"/>
              </w:rPr>
              <w:t>1.使用时穿戴长衣长裤、帽子、口罩、手套、鞋等安全使用防护措施。避免吸入药液；施药期间不可吃东西、饮水等。施药后应及时洗手、洗脸等。2.种子处理结束后，彻底清洗防护用具，洗澡，并更换和清洗工作服。3.处理过的种子必须放置在有明显标签的容器内。4..本品对鸟有较高毒性，禁止在鸟类保护区及其附近使用。在播种后及时覆土，立即清理裸露在土壤表面的染毒种子，本品对蜜蜂有较高毒性不得在开花期植物附近使用，使用时应密切关注对附近蜂群的影响5.本品对水生生物有毒。勿将本品及其废液弃于池塘、河溪、湖泊等，以免污染水源。禁止在河塘等水域清洗施药器具。6.用过的容器应妥当处理，不可他用，也不可随意丢弃。7.孕妇及哺乳期妇女禁止接触本品；8.避免与氧化物接触。</w:t>
            </w:r>
          </w:p>
        </w:tc>
      </w:tr>
      <w:tr w14:paraId="1C8792FF">
        <w:tblPrEx>
          <w:tblCellMar>
            <w:top w:w="0" w:type="dxa"/>
            <w:left w:w="0" w:type="dxa"/>
            <w:bottom w:w="0" w:type="dxa"/>
            <w:right w:w="0" w:type="dxa"/>
          </w:tblCellMar>
        </w:tblPrEx>
        <w:trPr>
          <w:wBefore w:w="0" w:type="auto"/>
          <w:tblCellSpacing w:w="0" w:type="dxa"/>
        </w:trPr>
        <w:tc>
          <w:tcPr>
            <w:tcW w:w="0" w:type="auto"/>
            <w:noWrap w:val="0"/>
            <w:vAlign w:val="center"/>
          </w:tcPr>
          <w:p w14:paraId="5A7F85F6">
            <w:r>
              <w:rPr>
                <w:rStyle w:val="10"/>
                <w:rFonts w:hint="eastAsia"/>
              </w:rPr>
              <w:t>中毒急救措施：</w:t>
            </w:r>
            <w:r>
              <w:rPr>
                <w:rFonts w:hint="eastAsia"/>
              </w:rPr>
              <w:br w:type="textWrapping"/>
            </w:r>
            <w:r>
              <w:rPr>
                <w:rStyle w:val="11"/>
                <w:rFonts w:hint="eastAsia"/>
              </w:rPr>
              <w:t>对眼睛有刺激性，使用时避免药液接触眼睛。1. 用药时如果感觉不适，立即停止工作，采取急救措施，并携此标签送医就诊。2.皮肤接触：立即脱掉污染的衣物，用肥皂和大量清水彻底清洗受污染的皮肤。必要时请医生诊治。3. 眼睛溅入：立即翻开上下眼睑，用流动的清水水冲洗15分钟以上，再请医生诊治。 4. 发生吸入：立即将吸入者转移到空气新鲜处，及时就医。5.误服：请勿自行引吐。立即携带标签，送医就诊。紧急医疗措施：使用医用活性炭洗胃，洗胃时注意防止胃容物进入呼吸道。注意：对昏迷病人，切勿经口喂入任何东西或引吐。 解毒剂：无专用解毒剂，对症治疗。</w:t>
            </w:r>
          </w:p>
        </w:tc>
      </w:tr>
      <w:tr w14:paraId="3EC19065">
        <w:tblPrEx>
          <w:tblCellMar>
            <w:top w:w="0" w:type="dxa"/>
            <w:left w:w="0" w:type="dxa"/>
            <w:bottom w:w="0" w:type="dxa"/>
            <w:right w:w="0" w:type="dxa"/>
          </w:tblCellMar>
        </w:tblPrEx>
        <w:trPr>
          <w:wBefore w:w="0" w:type="auto"/>
          <w:tblCellSpacing w:w="0" w:type="dxa"/>
        </w:trPr>
        <w:tc>
          <w:tcPr>
            <w:tcW w:w="0" w:type="auto"/>
            <w:noWrap w:val="0"/>
            <w:vAlign w:val="center"/>
          </w:tcPr>
          <w:p w14:paraId="50250BEC">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本品应贮存在干燥、阴凉、通风、防雨处，远离火源或热源。置于儿童触及不到之处，并加锁。勿与食品、饮料、饲料等其他商品同贮同运。</w:t>
            </w:r>
          </w:p>
        </w:tc>
      </w:tr>
      <w:tr w14:paraId="610D5493">
        <w:tblPrEx>
          <w:tblCellMar>
            <w:top w:w="0" w:type="dxa"/>
            <w:left w:w="0" w:type="dxa"/>
            <w:bottom w:w="0" w:type="dxa"/>
            <w:right w:w="0" w:type="dxa"/>
          </w:tblCellMar>
        </w:tblPrEx>
        <w:trPr>
          <w:wBefore w:w="0" w:type="auto"/>
          <w:tblCellSpacing w:w="0" w:type="dxa"/>
        </w:trPr>
        <w:tc>
          <w:tcPr>
            <w:tcW w:w="0" w:type="auto"/>
            <w:noWrap w:val="0"/>
            <w:vAlign w:val="center"/>
          </w:tcPr>
          <w:p w14:paraId="0A4C8F3E">
            <w:r>
              <w:rPr>
                <w:rStyle w:val="10"/>
                <w:rFonts w:hint="eastAsia"/>
              </w:rPr>
              <w:t>质量保证期：</w:t>
            </w:r>
            <w:r>
              <w:rPr>
                <w:rStyle w:val="11"/>
                <w:rFonts w:hint="eastAsia"/>
              </w:rPr>
              <w:t>2年</w:t>
            </w:r>
          </w:p>
        </w:tc>
      </w:tr>
      <w:tr w14:paraId="59E41A91">
        <w:tblPrEx>
          <w:tblCellMar>
            <w:top w:w="0" w:type="dxa"/>
            <w:left w:w="0" w:type="dxa"/>
            <w:bottom w:w="0" w:type="dxa"/>
            <w:right w:w="0" w:type="dxa"/>
          </w:tblCellMar>
        </w:tblPrEx>
        <w:trPr>
          <w:wBefore w:w="0" w:type="auto"/>
          <w:tblCellSpacing w:w="0" w:type="dxa"/>
        </w:trPr>
        <w:tc>
          <w:tcPr>
            <w:tcW w:w="0" w:type="auto"/>
            <w:noWrap w:val="0"/>
            <w:vAlign w:val="center"/>
          </w:tcPr>
          <w:p w14:paraId="1523379F">
            <w:r>
              <w:rPr>
                <w:rStyle w:val="10"/>
                <w:rFonts w:hint="eastAsia"/>
              </w:rPr>
              <w:t>备注：</w:t>
            </w:r>
          </w:p>
        </w:tc>
      </w:tr>
    </w:tbl>
    <w:p w14:paraId="325C4CB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DC5B0E5">
        <w:tblPrEx>
          <w:tblCellMar>
            <w:top w:w="0" w:type="dxa"/>
            <w:left w:w="0" w:type="dxa"/>
            <w:bottom w:w="0" w:type="dxa"/>
            <w:right w:w="0" w:type="dxa"/>
          </w:tblCellMar>
        </w:tblPrEx>
        <w:trPr>
          <w:wBefore w:w="0" w:type="auto"/>
          <w:tblCellSpacing w:w="0" w:type="dxa"/>
        </w:trPr>
        <w:tc>
          <w:tcPr>
            <w:tcW w:w="0" w:type="auto"/>
            <w:noWrap w:val="0"/>
            <w:vAlign w:val="center"/>
          </w:tcPr>
          <w:p w14:paraId="677B8BA0">
            <w:r>
              <w:rPr>
                <w:rStyle w:val="10"/>
                <w:rFonts w:hint="eastAsia"/>
              </w:rPr>
              <w:t>登记证号：</w:t>
            </w:r>
            <w:r>
              <w:rPr>
                <w:rFonts w:hint="eastAsia"/>
              </w:rPr>
              <w:t>PD20211767</w:t>
            </w:r>
          </w:p>
        </w:tc>
      </w:tr>
      <w:tr w14:paraId="5B406A3C">
        <w:tblPrEx>
          <w:tblCellMar>
            <w:top w:w="0" w:type="dxa"/>
            <w:left w:w="0" w:type="dxa"/>
            <w:bottom w:w="0" w:type="dxa"/>
            <w:right w:w="0" w:type="dxa"/>
          </w:tblCellMar>
        </w:tblPrEx>
        <w:trPr>
          <w:wBefore w:w="0" w:type="auto"/>
          <w:tblCellSpacing w:w="0" w:type="dxa"/>
        </w:trPr>
        <w:tc>
          <w:tcPr>
            <w:tcW w:w="0" w:type="auto"/>
            <w:noWrap w:val="0"/>
            <w:vAlign w:val="center"/>
          </w:tcPr>
          <w:p w14:paraId="2E375A72">
            <w:r>
              <w:rPr>
                <w:rStyle w:val="10"/>
                <w:rFonts w:hint="eastAsia"/>
              </w:rPr>
              <w:t>登记证持有人：</w:t>
            </w:r>
            <w:r>
              <w:rPr>
                <w:rFonts w:hint="eastAsia"/>
              </w:rPr>
              <w:t>陕西亿田丰作物科技有限公司</w:t>
            </w:r>
          </w:p>
        </w:tc>
      </w:tr>
      <w:tr w14:paraId="1C64FE00">
        <w:tblPrEx>
          <w:tblCellMar>
            <w:top w:w="0" w:type="dxa"/>
            <w:left w:w="0" w:type="dxa"/>
            <w:bottom w:w="0" w:type="dxa"/>
            <w:right w:w="0" w:type="dxa"/>
          </w:tblCellMar>
        </w:tblPrEx>
        <w:trPr>
          <w:wBefore w:w="0" w:type="auto"/>
          <w:tblCellSpacing w:w="0" w:type="dxa"/>
        </w:trPr>
        <w:tc>
          <w:tcPr>
            <w:tcW w:w="0" w:type="auto"/>
            <w:noWrap w:val="0"/>
            <w:vAlign w:val="center"/>
          </w:tcPr>
          <w:p w14:paraId="48B505DF">
            <w:r>
              <w:rPr>
                <w:rStyle w:val="10"/>
                <w:rFonts w:hint="eastAsia"/>
              </w:rPr>
              <w:t>农药名称：</w:t>
            </w:r>
            <w:r>
              <w:rPr>
                <w:rFonts w:hint="eastAsia"/>
              </w:rPr>
              <w:t>螺虫·呋虫胺</w:t>
            </w:r>
          </w:p>
        </w:tc>
      </w:tr>
      <w:tr w14:paraId="269B21D2">
        <w:tblPrEx>
          <w:tblCellMar>
            <w:top w:w="0" w:type="dxa"/>
            <w:left w:w="0" w:type="dxa"/>
            <w:bottom w:w="0" w:type="dxa"/>
            <w:right w:w="0" w:type="dxa"/>
          </w:tblCellMar>
        </w:tblPrEx>
        <w:trPr>
          <w:wBefore w:w="0" w:type="auto"/>
          <w:tblCellSpacing w:w="0" w:type="dxa"/>
        </w:trPr>
        <w:tc>
          <w:tcPr>
            <w:tcW w:w="0" w:type="auto"/>
            <w:noWrap w:val="0"/>
            <w:vAlign w:val="center"/>
          </w:tcPr>
          <w:p w14:paraId="6AFF238B">
            <w:r>
              <w:rPr>
                <w:rStyle w:val="10"/>
                <w:rFonts w:hint="eastAsia"/>
              </w:rPr>
              <w:t>剂型：</w:t>
            </w:r>
            <w:r>
              <w:rPr>
                <w:rFonts w:hint="eastAsia"/>
              </w:rPr>
              <w:t>悬浮剂</w:t>
            </w:r>
          </w:p>
        </w:tc>
      </w:tr>
      <w:tr w14:paraId="43446457">
        <w:tblPrEx>
          <w:tblCellMar>
            <w:top w:w="0" w:type="dxa"/>
            <w:left w:w="0" w:type="dxa"/>
            <w:bottom w:w="0" w:type="dxa"/>
            <w:right w:w="0" w:type="dxa"/>
          </w:tblCellMar>
        </w:tblPrEx>
        <w:trPr>
          <w:wBefore w:w="0" w:type="auto"/>
          <w:tblCellSpacing w:w="0" w:type="dxa"/>
        </w:trPr>
        <w:tc>
          <w:tcPr>
            <w:tcW w:w="0" w:type="auto"/>
            <w:noWrap w:val="0"/>
            <w:vAlign w:val="center"/>
          </w:tcPr>
          <w:p w14:paraId="5BF0F684">
            <w:r>
              <w:rPr>
                <w:rStyle w:val="10"/>
                <w:rFonts w:hint="eastAsia"/>
              </w:rPr>
              <w:t>毒性及其标识：</w:t>
            </w:r>
            <w:r>
              <w:rPr>
                <w:rFonts w:hint="eastAsia"/>
              </w:rPr>
              <w:t xml:space="preserve"> </w:t>
            </w:r>
            <w:r>
              <w:rPr>
                <w:lang/>
              </w:rPr>
              <w:drawing>
                <wp:inline distT="0" distB="0" distL="114300" distR="114300">
                  <wp:extent cx="476250" cy="323850"/>
                  <wp:effectExtent l="0" t="0" r="0" b="0"/>
                  <wp:docPr id="502" name="图片 50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1ECC88A">
        <w:tblPrEx>
          <w:tblCellMar>
            <w:top w:w="0" w:type="dxa"/>
            <w:left w:w="0" w:type="dxa"/>
            <w:bottom w:w="0" w:type="dxa"/>
            <w:right w:w="0" w:type="dxa"/>
          </w:tblCellMar>
        </w:tblPrEx>
        <w:trPr>
          <w:wBefore w:w="0" w:type="auto"/>
          <w:tblCellSpacing w:w="0" w:type="dxa"/>
        </w:trPr>
        <w:tc>
          <w:tcPr>
            <w:tcW w:w="0" w:type="auto"/>
            <w:noWrap w:val="0"/>
            <w:vAlign w:val="center"/>
          </w:tcPr>
          <w:p w14:paraId="07EE4206">
            <w:r>
              <w:rPr>
                <w:rStyle w:val="10"/>
                <w:rFonts w:hint="eastAsia"/>
              </w:rPr>
              <w:t>总有效成分含量：</w:t>
            </w:r>
            <w:r>
              <w:rPr>
                <w:rFonts w:hint="eastAsia"/>
              </w:rPr>
              <w:t>30%</w:t>
            </w:r>
          </w:p>
        </w:tc>
      </w:tr>
      <w:tr w14:paraId="1EDE69FE">
        <w:tblPrEx>
          <w:tblCellMar>
            <w:top w:w="0" w:type="dxa"/>
            <w:left w:w="0" w:type="dxa"/>
            <w:bottom w:w="0" w:type="dxa"/>
            <w:right w:w="0" w:type="dxa"/>
          </w:tblCellMar>
        </w:tblPrEx>
        <w:trPr>
          <w:wBefore w:w="0" w:type="auto"/>
          <w:tblCellSpacing w:w="0" w:type="dxa"/>
        </w:trPr>
        <w:tc>
          <w:tcPr>
            <w:tcW w:w="0" w:type="auto"/>
            <w:noWrap w:val="0"/>
            <w:vAlign w:val="center"/>
          </w:tcPr>
          <w:p w14:paraId="730F4965">
            <w:r>
              <w:rPr>
                <w:rFonts w:hint="eastAsia"/>
              </w:rPr>
              <w:t xml:space="preserve">有效成分及其含量： </w:t>
            </w:r>
          </w:p>
          <w:p w14:paraId="18C70080">
            <w:r>
              <w:rPr>
                <w:rFonts w:hint="eastAsia"/>
              </w:rPr>
              <w:t xml:space="preserve">    呋虫胺15%    螺虫乙酯15%    </w:t>
            </w:r>
          </w:p>
        </w:tc>
      </w:tr>
      <w:tr w14:paraId="3391CE98">
        <w:tblPrEx>
          <w:tblCellMar>
            <w:top w:w="0" w:type="dxa"/>
            <w:left w:w="0" w:type="dxa"/>
            <w:bottom w:w="0" w:type="dxa"/>
            <w:right w:w="0" w:type="dxa"/>
          </w:tblCellMar>
        </w:tblPrEx>
        <w:trPr>
          <w:wBefore w:w="0" w:type="auto"/>
          <w:tblCellSpacing w:w="0" w:type="dxa"/>
        </w:trPr>
        <w:tc>
          <w:tcPr>
            <w:tcW w:w="0" w:type="auto"/>
            <w:noWrap w:val="0"/>
            <w:vAlign w:val="center"/>
          </w:tcPr>
          <w:p w14:paraId="144A846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C1C1A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3676BD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16F5D7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44A53C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834B160">
                  <w:r>
                    <w:rPr>
                      <w:rStyle w:val="11"/>
                      <w:rFonts w:hint="eastAsia"/>
                    </w:rPr>
                    <w:t>施用方式</w:t>
                  </w:r>
                </w:p>
              </w:tc>
            </w:tr>
            <w:tr w14:paraId="61E530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C39640">
                  <w:r>
                    <w:rPr>
                      <w:rStyle w:val="11"/>
                      <w:rFonts w:hint="eastAsia"/>
                    </w:rPr>
                    <w:t>番茄(保护地)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A21E2D">
                  <w:r>
                    <w:rPr>
                      <w:rStyle w:val="11"/>
                      <w:rFonts w:hint="eastAsia"/>
                    </w:rPr>
                    <w:t>烟粉虱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0BA779">
                  <w:r>
                    <w:rPr>
                      <w:rStyle w:val="11"/>
                      <w:rFonts w:hint="eastAsia"/>
                    </w:rPr>
                    <w:t>10-20毫升/亩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1EB963C">
                  <w:r>
                    <w:rPr>
                      <w:rStyle w:val="11"/>
                      <w:rFonts w:hint="eastAsia"/>
                    </w:rPr>
                    <w:t>喷雾</w:t>
                  </w:r>
                </w:p>
              </w:tc>
            </w:tr>
          </w:tbl>
          <w:p w14:paraId="3715F864">
            <w:pPr>
              <w:rPr>
                <w:rFonts w:ascii="Times New Roman" w:hAnsi="Times New Roman" w:cs="Times New Roman"/>
                <w:sz w:val="20"/>
                <w:szCs w:val="20"/>
              </w:rPr>
            </w:pPr>
          </w:p>
        </w:tc>
      </w:tr>
      <w:tr w14:paraId="17AC93B7">
        <w:tblPrEx>
          <w:tblCellMar>
            <w:top w:w="0" w:type="dxa"/>
            <w:left w:w="0" w:type="dxa"/>
            <w:bottom w:w="0" w:type="dxa"/>
            <w:right w:w="0" w:type="dxa"/>
          </w:tblCellMar>
        </w:tblPrEx>
        <w:trPr>
          <w:wBefore w:w="0" w:type="auto"/>
          <w:tblCellSpacing w:w="0" w:type="dxa"/>
        </w:trPr>
        <w:tc>
          <w:tcPr>
            <w:tcW w:w="0" w:type="auto"/>
            <w:noWrap w:val="0"/>
            <w:vAlign w:val="center"/>
          </w:tcPr>
          <w:p w14:paraId="76C022A0">
            <w:r>
              <w:rPr>
                <w:rStyle w:val="10"/>
                <w:rFonts w:hint="eastAsia"/>
              </w:rPr>
              <w:t>使用技术要求:</w:t>
            </w:r>
            <w:r>
              <w:rPr>
                <w:rFonts w:hint="eastAsia"/>
              </w:rPr>
              <w:br w:type="textWrapping"/>
            </w:r>
            <w:r>
              <w:rPr>
                <w:rStyle w:val="11"/>
                <w:rFonts w:hint="eastAsia"/>
              </w:rPr>
              <w:t>1.本品适宜施药时期为番茄（保护地）烟粉虱产卵初期施药，施药一次，注意喷雾均匀、周到，以确保药效。2.大风天或预计1小时内降雨，请勿施药。3.在番茄使用时的安全间隔期为5天，每季作物最多使用1次。</w:t>
            </w:r>
          </w:p>
        </w:tc>
      </w:tr>
      <w:tr w14:paraId="0F08A5F1">
        <w:tblPrEx>
          <w:tblCellMar>
            <w:top w:w="0" w:type="dxa"/>
            <w:left w:w="0" w:type="dxa"/>
            <w:bottom w:w="0" w:type="dxa"/>
            <w:right w:w="0" w:type="dxa"/>
          </w:tblCellMar>
        </w:tblPrEx>
        <w:trPr>
          <w:wBefore w:w="0" w:type="auto"/>
          <w:tblCellSpacing w:w="0" w:type="dxa"/>
        </w:trPr>
        <w:tc>
          <w:tcPr>
            <w:tcW w:w="0" w:type="auto"/>
            <w:noWrap w:val="0"/>
            <w:vAlign w:val="center"/>
          </w:tcPr>
          <w:p w14:paraId="677A058C">
            <w:r>
              <w:rPr>
                <w:rStyle w:val="10"/>
                <w:rFonts w:hint="eastAsia"/>
              </w:rPr>
              <w:t>产品性能:</w:t>
            </w:r>
            <w:r>
              <w:rPr>
                <w:rFonts w:hint="eastAsia"/>
              </w:rPr>
              <w:br w:type="textWrapping"/>
            </w:r>
            <w:r>
              <w:rPr>
                <w:rStyle w:val="11"/>
                <w:rFonts w:hint="eastAsia"/>
              </w:rPr>
              <w:t>本品是由呋虫胺与螺虫乙酯复配而成的杀虫剂。呋虫胺为烟碱乙酰胆碱受体的兴奋剂，影响昆虫中枢神经系统的突触，具有较强的内吸活性，兼具触杀、胃毒作用；螺虫乙酯通过抵制昆虫脂质的合成，造成其中毒死亡，具有双向内吸传导性能。对番茄（保护地）烟粉虱有较好的防治效果。</w:t>
            </w:r>
          </w:p>
        </w:tc>
      </w:tr>
      <w:tr w14:paraId="621FA369">
        <w:tblPrEx>
          <w:tblCellMar>
            <w:top w:w="0" w:type="dxa"/>
            <w:left w:w="0" w:type="dxa"/>
            <w:bottom w:w="0" w:type="dxa"/>
            <w:right w:w="0" w:type="dxa"/>
          </w:tblCellMar>
        </w:tblPrEx>
        <w:trPr>
          <w:wBefore w:w="0" w:type="auto"/>
          <w:tblCellSpacing w:w="0" w:type="dxa"/>
        </w:trPr>
        <w:tc>
          <w:tcPr>
            <w:tcW w:w="0" w:type="auto"/>
            <w:noWrap w:val="0"/>
            <w:vAlign w:val="center"/>
          </w:tcPr>
          <w:p w14:paraId="1BB2AC68">
            <w:r>
              <w:rPr>
                <w:rStyle w:val="10"/>
                <w:rFonts w:hint="eastAsia"/>
              </w:rPr>
              <w:t>注意事项：</w:t>
            </w:r>
            <w:r>
              <w:rPr>
                <w:rFonts w:hint="eastAsia"/>
              </w:rPr>
              <w:br w:type="textWrapping"/>
            </w:r>
            <w:r>
              <w:rPr>
                <w:rStyle w:val="11"/>
                <w:rFonts w:hint="eastAsia"/>
              </w:rPr>
              <w:t>1.严格按规定用药量和方法使用。2.建议与其他作用机制不同的杀虫剂轮换使用，以延缓抗性产生。3.禁止在河塘等水域清洗施药器具；（周围）开花植物花期禁用，施药期间应密切关注对附近蜂群的影响；</w:t>
            </w:r>
            <w:r>
              <w:rPr>
                <w:rStyle w:val="11"/>
                <w:rFonts w:hint="eastAsia"/>
              </w:rPr>
              <w:t> </w:t>
            </w:r>
            <w:r>
              <w:rPr>
                <w:rStyle w:val="11"/>
                <w:rFonts w:hint="eastAsia"/>
              </w:rPr>
              <w:t>桑园及蚕室附近禁用。</w:t>
            </w:r>
            <w:r>
              <w:rPr>
                <w:rStyle w:val="11"/>
                <w:rFonts w:hint="eastAsia"/>
              </w:rPr>
              <w:t> </w:t>
            </w:r>
            <w:r>
              <w:rPr>
                <w:rStyle w:val="11"/>
                <w:rFonts w:hint="eastAsia"/>
              </w:rPr>
              <w:t>4.使用本品时应穿防护服和戴手套，避免吸入药液。施药期间不可吃东西和饮水。施药后应及时洗手和洗脸。5.用药后包装物及用过的容器应妥善处理，不可做他用，也不可随意丢弃。6.孕妇及哺乳期妇女禁止接触本品。</w:t>
            </w:r>
          </w:p>
        </w:tc>
      </w:tr>
      <w:tr w14:paraId="15E01CF5">
        <w:tblPrEx>
          <w:tblCellMar>
            <w:top w:w="0" w:type="dxa"/>
            <w:left w:w="0" w:type="dxa"/>
            <w:bottom w:w="0" w:type="dxa"/>
            <w:right w:w="0" w:type="dxa"/>
          </w:tblCellMar>
        </w:tblPrEx>
        <w:trPr>
          <w:wBefore w:w="0" w:type="auto"/>
          <w:tblCellSpacing w:w="0" w:type="dxa"/>
        </w:trPr>
        <w:tc>
          <w:tcPr>
            <w:tcW w:w="0" w:type="auto"/>
            <w:noWrap w:val="0"/>
            <w:vAlign w:val="center"/>
          </w:tcPr>
          <w:p w14:paraId="0A5D9964">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62316AD2">
        <w:tblPrEx>
          <w:tblCellMar>
            <w:top w:w="0" w:type="dxa"/>
            <w:left w:w="0" w:type="dxa"/>
            <w:bottom w:w="0" w:type="dxa"/>
            <w:right w:w="0" w:type="dxa"/>
          </w:tblCellMar>
        </w:tblPrEx>
        <w:trPr>
          <w:wBefore w:w="0" w:type="auto"/>
          <w:tblCellSpacing w:w="0" w:type="dxa"/>
        </w:trPr>
        <w:tc>
          <w:tcPr>
            <w:tcW w:w="0" w:type="auto"/>
            <w:noWrap w:val="0"/>
            <w:vAlign w:val="center"/>
          </w:tcPr>
          <w:p w14:paraId="03EB7BC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本品应贮存在干燥、阴凉、通风、防雨处，远离火源或热源。置于儿童、无关人员及动物接触不到的地方，并加锁保存。勿与食品、种子、饮料、饲料和粮食等同贮同运。</w:t>
            </w:r>
          </w:p>
        </w:tc>
      </w:tr>
      <w:tr w14:paraId="2960D43C">
        <w:tblPrEx>
          <w:tblCellMar>
            <w:top w:w="0" w:type="dxa"/>
            <w:left w:w="0" w:type="dxa"/>
            <w:bottom w:w="0" w:type="dxa"/>
            <w:right w:w="0" w:type="dxa"/>
          </w:tblCellMar>
        </w:tblPrEx>
        <w:trPr>
          <w:wBefore w:w="0" w:type="auto"/>
          <w:tblCellSpacing w:w="0" w:type="dxa"/>
        </w:trPr>
        <w:tc>
          <w:tcPr>
            <w:tcW w:w="0" w:type="auto"/>
            <w:noWrap w:val="0"/>
            <w:vAlign w:val="center"/>
          </w:tcPr>
          <w:p w14:paraId="478C4ABD">
            <w:r>
              <w:rPr>
                <w:rStyle w:val="10"/>
                <w:rFonts w:hint="eastAsia"/>
              </w:rPr>
              <w:t>质量保证期：</w:t>
            </w:r>
            <w:r>
              <w:rPr>
                <w:rStyle w:val="11"/>
                <w:rFonts w:hint="eastAsia"/>
              </w:rPr>
              <w:t>2年</w:t>
            </w:r>
          </w:p>
        </w:tc>
      </w:tr>
      <w:tr w14:paraId="27C2083D">
        <w:tblPrEx>
          <w:tblCellMar>
            <w:top w:w="0" w:type="dxa"/>
            <w:left w:w="0" w:type="dxa"/>
            <w:bottom w:w="0" w:type="dxa"/>
            <w:right w:w="0" w:type="dxa"/>
          </w:tblCellMar>
        </w:tblPrEx>
        <w:trPr>
          <w:wBefore w:w="0" w:type="auto"/>
          <w:tblCellSpacing w:w="0" w:type="dxa"/>
        </w:trPr>
        <w:tc>
          <w:tcPr>
            <w:tcW w:w="0" w:type="auto"/>
            <w:noWrap w:val="0"/>
            <w:vAlign w:val="center"/>
          </w:tcPr>
          <w:p w14:paraId="577B5023">
            <w:r>
              <w:rPr>
                <w:rStyle w:val="10"/>
                <w:rFonts w:hint="eastAsia"/>
              </w:rPr>
              <w:t>备注：</w:t>
            </w:r>
          </w:p>
        </w:tc>
      </w:tr>
    </w:tbl>
    <w:p w14:paraId="236C2BF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D71EEC9">
        <w:tblPrEx>
          <w:tblCellMar>
            <w:top w:w="0" w:type="dxa"/>
            <w:left w:w="0" w:type="dxa"/>
            <w:bottom w:w="0" w:type="dxa"/>
            <w:right w:w="0" w:type="dxa"/>
          </w:tblCellMar>
        </w:tblPrEx>
        <w:trPr>
          <w:wBefore w:w="0" w:type="auto"/>
          <w:tblCellSpacing w:w="0" w:type="dxa"/>
        </w:trPr>
        <w:tc>
          <w:tcPr>
            <w:tcW w:w="0" w:type="auto"/>
            <w:noWrap w:val="0"/>
            <w:vAlign w:val="center"/>
          </w:tcPr>
          <w:p w14:paraId="3AAEE4E2">
            <w:r>
              <w:rPr>
                <w:rStyle w:val="10"/>
                <w:rFonts w:hint="eastAsia"/>
              </w:rPr>
              <w:t>登记证号：</w:t>
            </w:r>
            <w:r>
              <w:rPr>
                <w:rFonts w:hint="eastAsia"/>
              </w:rPr>
              <w:t>PD20211887</w:t>
            </w:r>
          </w:p>
        </w:tc>
      </w:tr>
      <w:tr w14:paraId="561907FC">
        <w:tblPrEx>
          <w:tblCellMar>
            <w:top w:w="0" w:type="dxa"/>
            <w:left w:w="0" w:type="dxa"/>
            <w:bottom w:w="0" w:type="dxa"/>
            <w:right w:w="0" w:type="dxa"/>
          </w:tblCellMar>
        </w:tblPrEx>
        <w:trPr>
          <w:wBefore w:w="0" w:type="auto"/>
          <w:tblCellSpacing w:w="0" w:type="dxa"/>
        </w:trPr>
        <w:tc>
          <w:tcPr>
            <w:tcW w:w="0" w:type="auto"/>
            <w:noWrap w:val="0"/>
            <w:vAlign w:val="center"/>
          </w:tcPr>
          <w:p w14:paraId="5F3428B2">
            <w:r>
              <w:rPr>
                <w:rStyle w:val="10"/>
                <w:rFonts w:hint="eastAsia"/>
              </w:rPr>
              <w:t>登记证持有人：</w:t>
            </w:r>
            <w:r>
              <w:rPr>
                <w:rFonts w:hint="eastAsia"/>
              </w:rPr>
              <w:t>湖南新长山农业发展股份有限公司</w:t>
            </w:r>
          </w:p>
        </w:tc>
      </w:tr>
      <w:tr w14:paraId="0EF585B1">
        <w:tblPrEx>
          <w:tblCellMar>
            <w:top w:w="0" w:type="dxa"/>
            <w:left w:w="0" w:type="dxa"/>
            <w:bottom w:w="0" w:type="dxa"/>
            <w:right w:w="0" w:type="dxa"/>
          </w:tblCellMar>
        </w:tblPrEx>
        <w:trPr>
          <w:wBefore w:w="0" w:type="auto"/>
          <w:tblCellSpacing w:w="0" w:type="dxa"/>
        </w:trPr>
        <w:tc>
          <w:tcPr>
            <w:tcW w:w="0" w:type="auto"/>
            <w:noWrap w:val="0"/>
            <w:vAlign w:val="center"/>
          </w:tcPr>
          <w:p w14:paraId="7F872065">
            <w:r>
              <w:rPr>
                <w:rStyle w:val="10"/>
                <w:rFonts w:hint="eastAsia"/>
              </w:rPr>
              <w:t>农药名称：</w:t>
            </w:r>
            <w:r>
              <w:rPr>
                <w:rFonts w:hint="eastAsia"/>
              </w:rPr>
              <w:t>高氯·甲嘧磷</w:t>
            </w:r>
          </w:p>
        </w:tc>
      </w:tr>
      <w:tr w14:paraId="1EE03A6A">
        <w:tblPrEx>
          <w:tblCellMar>
            <w:top w:w="0" w:type="dxa"/>
            <w:left w:w="0" w:type="dxa"/>
            <w:bottom w:w="0" w:type="dxa"/>
            <w:right w:w="0" w:type="dxa"/>
          </w:tblCellMar>
        </w:tblPrEx>
        <w:trPr>
          <w:wBefore w:w="0" w:type="auto"/>
          <w:tblCellSpacing w:w="0" w:type="dxa"/>
        </w:trPr>
        <w:tc>
          <w:tcPr>
            <w:tcW w:w="0" w:type="auto"/>
            <w:noWrap w:val="0"/>
            <w:vAlign w:val="center"/>
          </w:tcPr>
          <w:p w14:paraId="5F762272">
            <w:r>
              <w:rPr>
                <w:rStyle w:val="10"/>
                <w:rFonts w:hint="eastAsia"/>
              </w:rPr>
              <w:t>剂型：</w:t>
            </w:r>
            <w:r>
              <w:rPr>
                <w:rFonts w:hint="eastAsia"/>
              </w:rPr>
              <w:t>水乳剂</w:t>
            </w:r>
          </w:p>
        </w:tc>
      </w:tr>
      <w:tr w14:paraId="3BEB97AE">
        <w:tblPrEx>
          <w:tblCellMar>
            <w:top w:w="0" w:type="dxa"/>
            <w:left w:w="0" w:type="dxa"/>
            <w:bottom w:w="0" w:type="dxa"/>
            <w:right w:w="0" w:type="dxa"/>
          </w:tblCellMar>
        </w:tblPrEx>
        <w:trPr>
          <w:wBefore w:w="0" w:type="auto"/>
          <w:tblCellSpacing w:w="0" w:type="dxa"/>
        </w:trPr>
        <w:tc>
          <w:tcPr>
            <w:tcW w:w="0" w:type="auto"/>
            <w:noWrap w:val="0"/>
            <w:vAlign w:val="center"/>
          </w:tcPr>
          <w:p w14:paraId="1A7CA62F">
            <w:r>
              <w:rPr>
                <w:rStyle w:val="10"/>
                <w:rFonts w:hint="eastAsia"/>
              </w:rPr>
              <w:t>毒性及其标识：</w:t>
            </w:r>
            <w:r>
              <w:rPr>
                <w:rFonts w:hint="eastAsia"/>
              </w:rPr>
              <w:t xml:space="preserve"> </w:t>
            </w:r>
            <w:r>
              <w:rPr>
                <w:lang/>
              </w:rPr>
              <w:drawing>
                <wp:inline distT="0" distB="0" distL="114300" distR="114300">
                  <wp:extent cx="476250" cy="323850"/>
                  <wp:effectExtent l="0" t="0" r="0" b="0"/>
                  <wp:docPr id="503" name="图片 50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62C7BC9">
        <w:tblPrEx>
          <w:tblCellMar>
            <w:top w:w="0" w:type="dxa"/>
            <w:left w:w="0" w:type="dxa"/>
            <w:bottom w:w="0" w:type="dxa"/>
            <w:right w:w="0" w:type="dxa"/>
          </w:tblCellMar>
        </w:tblPrEx>
        <w:trPr>
          <w:wBefore w:w="0" w:type="auto"/>
          <w:tblCellSpacing w:w="0" w:type="dxa"/>
        </w:trPr>
        <w:tc>
          <w:tcPr>
            <w:tcW w:w="0" w:type="auto"/>
            <w:noWrap w:val="0"/>
            <w:vAlign w:val="center"/>
          </w:tcPr>
          <w:p w14:paraId="7B2FAE52">
            <w:r>
              <w:rPr>
                <w:rStyle w:val="10"/>
                <w:rFonts w:hint="eastAsia"/>
              </w:rPr>
              <w:t>总有效成分含量：</w:t>
            </w:r>
            <w:r>
              <w:rPr>
                <w:rFonts w:hint="eastAsia"/>
              </w:rPr>
              <w:t>7%</w:t>
            </w:r>
          </w:p>
        </w:tc>
      </w:tr>
      <w:tr w14:paraId="78623042">
        <w:tblPrEx>
          <w:tblCellMar>
            <w:top w:w="0" w:type="dxa"/>
            <w:left w:w="0" w:type="dxa"/>
            <w:bottom w:w="0" w:type="dxa"/>
            <w:right w:w="0" w:type="dxa"/>
          </w:tblCellMar>
        </w:tblPrEx>
        <w:trPr>
          <w:wBefore w:w="0" w:type="auto"/>
          <w:tblCellSpacing w:w="0" w:type="dxa"/>
        </w:trPr>
        <w:tc>
          <w:tcPr>
            <w:tcW w:w="0" w:type="auto"/>
            <w:noWrap w:val="0"/>
            <w:vAlign w:val="center"/>
          </w:tcPr>
          <w:p w14:paraId="59E2A9F1">
            <w:r>
              <w:rPr>
                <w:rFonts w:hint="eastAsia"/>
              </w:rPr>
              <w:t xml:space="preserve">有效成分及其含量： </w:t>
            </w:r>
          </w:p>
          <w:p w14:paraId="72E4B748">
            <w:r>
              <w:rPr>
                <w:rFonts w:hint="eastAsia"/>
              </w:rPr>
              <w:t xml:space="preserve">    高效氯氰菊酯1%    甲基嘧啶磷6%    </w:t>
            </w:r>
          </w:p>
        </w:tc>
      </w:tr>
      <w:tr w14:paraId="39A7B341">
        <w:tblPrEx>
          <w:tblCellMar>
            <w:top w:w="0" w:type="dxa"/>
            <w:left w:w="0" w:type="dxa"/>
            <w:bottom w:w="0" w:type="dxa"/>
            <w:right w:w="0" w:type="dxa"/>
          </w:tblCellMar>
        </w:tblPrEx>
        <w:trPr>
          <w:wBefore w:w="0" w:type="auto"/>
          <w:tblCellSpacing w:w="0" w:type="dxa"/>
        </w:trPr>
        <w:tc>
          <w:tcPr>
            <w:tcW w:w="0" w:type="auto"/>
            <w:noWrap w:val="0"/>
            <w:vAlign w:val="center"/>
          </w:tcPr>
          <w:p w14:paraId="4FF3948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8A91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5E3DB8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AA2FC2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81864A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60B75EA">
                  <w:r>
                    <w:rPr>
                      <w:rStyle w:val="11"/>
                      <w:rFonts w:hint="eastAsia"/>
                    </w:rPr>
                    <w:t>施用方式</w:t>
                  </w:r>
                </w:p>
              </w:tc>
            </w:tr>
            <w:tr w14:paraId="2F73F4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DC209F">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35960D">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893D28">
                  <w:r>
                    <w:rPr>
                      <w:rStyle w:val="11"/>
                      <w:rFonts w:hint="eastAsia"/>
                    </w:rPr>
                    <w:t>0.5毫升/平方米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686134">
                  <w:r>
                    <w:rPr>
                      <w:rStyle w:val="11"/>
                      <w:rFonts w:hint="eastAsia"/>
                    </w:rPr>
                    <w:t>喷雾</w:t>
                  </w:r>
                </w:p>
              </w:tc>
            </w:tr>
          </w:tbl>
          <w:p w14:paraId="0B5A2B7C">
            <w:pPr>
              <w:rPr>
                <w:rFonts w:ascii="Times New Roman" w:hAnsi="Times New Roman" w:cs="Times New Roman"/>
                <w:sz w:val="20"/>
                <w:szCs w:val="20"/>
              </w:rPr>
            </w:pPr>
          </w:p>
        </w:tc>
      </w:tr>
      <w:tr w14:paraId="12DDA8B6">
        <w:tblPrEx>
          <w:tblCellMar>
            <w:top w:w="0" w:type="dxa"/>
            <w:left w:w="0" w:type="dxa"/>
            <w:bottom w:w="0" w:type="dxa"/>
            <w:right w:w="0" w:type="dxa"/>
          </w:tblCellMar>
        </w:tblPrEx>
        <w:trPr>
          <w:wBefore w:w="0" w:type="auto"/>
          <w:tblCellSpacing w:w="0" w:type="dxa"/>
        </w:trPr>
        <w:tc>
          <w:tcPr>
            <w:tcW w:w="0" w:type="auto"/>
            <w:noWrap w:val="0"/>
            <w:vAlign w:val="center"/>
          </w:tcPr>
          <w:p w14:paraId="51C08561">
            <w:r>
              <w:rPr>
                <w:rStyle w:val="10"/>
                <w:rFonts w:hint="eastAsia"/>
              </w:rPr>
              <w:t>使用技术要求:</w:t>
            </w:r>
            <w:r>
              <w:rPr>
                <w:rFonts w:hint="eastAsia"/>
              </w:rPr>
              <w:br w:type="textWrapping"/>
            </w:r>
            <w:r>
              <w:rPr>
                <w:rStyle w:val="11"/>
                <w:rFonts w:hint="eastAsia"/>
              </w:rPr>
              <w:t>将药液与水按1：100稀释，按0.5毫升/平方米均匀喷雾于蜚蠊（俗称蟑螂）身上或其常出没、栖息的表面。本品仅用于室内。</w:t>
            </w:r>
          </w:p>
        </w:tc>
      </w:tr>
      <w:tr w14:paraId="0B7B9BCB">
        <w:tblPrEx>
          <w:tblCellMar>
            <w:top w:w="0" w:type="dxa"/>
            <w:left w:w="0" w:type="dxa"/>
            <w:bottom w:w="0" w:type="dxa"/>
            <w:right w:w="0" w:type="dxa"/>
          </w:tblCellMar>
        </w:tblPrEx>
        <w:trPr>
          <w:wBefore w:w="0" w:type="auto"/>
          <w:tblCellSpacing w:w="0" w:type="dxa"/>
        </w:trPr>
        <w:tc>
          <w:tcPr>
            <w:tcW w:w="0" w:type="auto"/>
            <w:noWrap w:val="0"/>
            <w:vAlign w:val="center"/>
          </w:tcPr>
          <w:p w14:paraId="733F8D2B">
            <w:r>
              <w:rPr>
                <w:rStyle w:val="10"/>
                <w:rFonts w:hint="eastAsia"/>
              </w:rPr>
              <w:t>产品性能:</w:t>
            </w:r>
            <w:r>
              <w:rPr>
                <w:rFonts w:hint="eastAsia"/>
              </w:rPr>
              <w:br w:type="textWrapping"/>
            </w:r>
            <w:r>
              <w:rPr>
                <w:rStyle w:val="11"/>
                <w:rFonts w:hint="eastAsia"/>
              </w:rPr>
              <w:t>本品以高效氯氰菊酯、甲基嘧啶磷为有效成分加以辅料制成，对室内蜚蠊（俗称蟑螂）有较好防治作用。</w:t>
            </w:r>
          </w:p>
        </w:tc>
      </w:tr>
      <w:tr w14:paraId="4A4B8FEB">
        <w:tblPrEx>
          <w:tblCellMar>
            <w:top w:w="0" w:type="dxa"/>
            <w:left w:w="0" w:type="dxa"/>
            <w:bottom w:w="0" w:type="dxa"/>
            <w:right w:w="0" w:type="dxa"/>
          </w:tblCellMar>
        </w:tblPrEx>
        <w:trPr>
          <w:wBefore w:w="0" w:type="auto"/>
          <w:tblCellSpacing w:w="0" w:type="dxa"/>
        </w:trPr>
        <w:tc>
          <w:tcPr>
            <w:tcW w:w="0" w:type="auto"/>
            <w:noWrap w:val="0"/>
            <w:vAlign w:val="center"/>
          </w:tcPr>
          <w:p w14:paraId="2F22F899">
            <w:r>
              <w:rPr>
                <w:rStyle w:val="10"/>
                <w:rFonts w:hint="eastAsia"/>
              </w:rPr>
              <w:t>注意事项：</w:t>
            </w:r>
            <w:r>
              <w:rPr>
                <w:rFonts w:hint="eastAsia"/>
              </w:rPr>
              <w:br w:type="textWrapping"/>
            </w:r>
            <w:r>
              <w:rPr>
                <w:rStyle w:val="11"/>
                <w:rFonts w:hint="eastAsia"/>
              </w:rPr>
              <w:t>1. 本品对眼睛有刺激性，施用时采取严格安全防护措施，穿（戴）长衣、长裤、帽子、口罩、手套、鞋子等。避免药液雾滴进入口、鼻、眼、耳中，不可饮食、吸烟。2. 施药后，立即用肥皂水洗裸露皮肤。勿将药液，清洗液倒入池塘沟渠内，远离水源。3. 过敏者禁用，勿喷于人体、食品、餐具上，避免儿童、孕妇及哺乳期妇女接触。使用中有任何不良反应请及时就医。4. 本品对鱼、蚕有毒，蚕室内及附近禁止使用，以免造成危害。5. 不能与碱性物质混用，未用完的药剂放入原包装内封好避光保存。禁止随意丢弃包装物。6. 孕妇及哺乳期妇女避免接触。7. 用过的容器应妥善处理，不可做他用，也不可随意丢弃。</w:t>
            </w:r>
          </w:p>
        </w:tc>
      </w:tr>
      <w:tr w14:paraId="16A985BD">
        <w:tblPrEx>
          <w:tblCellMar>
            <w:top w:w="0" w:type="dxa"/>
            <w:left w:w="0" w:type="dxa"/>
            <w:bottom w:w="0" w:type="dxa"/>
            <w:right w:w="0" w:type="dxa"/>
          </w:tblCellMar>
        </w:tblPrEx>
        <w:trPr>
          <w:wBefore w:w="0" w:type="auto"/>
          <w:tblCellSpacing w:w="0" w:type="dxa"/>
        </w:trPr>
        <w:tc>
          <w:tcPr>
            <w:tcW w:w="0" w:type="auto"/>
            <w:noWrap w:val="0"/>
            <w:vAlign w:val="center"/>
          </w:tcPr>
          <w:p w14:paraId="7BAE076C">
            <w:r>
              <w:rPr>
                <w:rStyle w:val="10"/>
                <w:rFonts w:hint="eastAsia"/>
              </w:rPr>
              <w:t>中毒急救措施：</w:t>
            </w:r>
            <w:r>
              <w:rPr>
                <w:rFonts w:hint="eastAsia"/>
              </w:rPr>
              <w:br w:type="textWrapping"/>
            </w:r>
            <w:r>
              <w:rPr>
                <w:rStyle w:val="11"/>
                <w:rFonts w:hint="eastAsia"/>
              </w:rPr>
              <w:t>1. 用药时如果感觉不适，立即停止工作，采取急救措施，并携此标签送医就诊。2. 皮肤接触：立即脱掉被污染的衣物，用肥皂和大量清水彻底清洗授污染的皮肤。3. 眼睛溅药：立即将眼睑翻开，用清水冲洗10-15分钟，再请医生诊治。4. 发生吸入：立即将吸入者转移到空气新鲜处，请医生诊治。5. 误服：立即携带标签，送医就诊。</w:t>
            </w:r>
          </w:p>
        </w:tc>
      </w:tr>
      <w:tr w14:paraId="5A121BD3">
        <w:tblPrEx>
          <w:tblCellMar>
            <w:top w:w="0" w:type="dxa"/>
            <w:left w:w="0" w:type="dxa"/>
            <w:bottom w:w="0" w:type="dxa"/>
            <w:right w:w="0" w:type="dxa"/>
          </w:tblCellMar>
        </w:tblPrEx>
        <w:trPr>
          <w:wBefore w:w="0" w:type="auto"/>
          <w:tblCellSpacing w:w="0" w:type="dxa"/>
        </w:trPr>
        <w:tc>
          <w:tcPr>
            <w:tcW w:w="0" w:type="auto"/>
            <w:noWrap w:val="0"/>
            <w:vAlign w:val="center"/>
          </w:tcPr>
          <w:p w14:paraId="56269CCE">
            <w:r>
              <w:rPr>
                <w:rStyle w:val="10"/>
                <w:rFonts w:hint="eastAsia"/>
              </w:rPr>
              <w:t>储存和运输方法：</w:t>
            </w:r>
            <w:r>
              <w:rPr>
                <w:rFonts w:hint="eastAsia"/>
              </w:rPr>
              <w:br w:type="textWrapping"/>
            </w:r>
            <w:r>
              <w:rPr>
                <w:rStyle w:val="11"/>
                <w:rFonts w:hint="eastAsia"/>
              </w:rPr>
              <w:t>1. 本品应贮存在通风、干燥、阴凉处。2. 置于儿童及无关人员触及不到之处，并加锁保存。远离火源或热源。3. 本品不能与食品、饲料、粮食、种子、饮料等同贮同运。4. 避免与具有氧化性物质接触或混合。</w:t>
            </w:r>
          </w:p>
        </w:tc>
      </w:tr>
      <w:tr w14:paraId="2A66B11F">
        <w:tblPrEx>
          <w:tblCellMar>
            <w:top w:w="0" w:type="dxa"/>
            <w:left w:w="0" w:type="dxa"/>
            <w:bottom w:w="0" w:type="dxa"/>
            <w:right w:w="0" w:type="dxa"/>
          </w:tblCellMar>
        </w:tblPrEx>
        <w:trPr>
          <w:wBefore w:w="0" w:type="auto"/>
          <w:tblCellSpacing w:w="0" w:type="dxa"/>
        </w:trPr>
        <w:tc>
          <w:tcPr>
            <w:tcW w:w="0" w:type="auto"/>
            <w:noWrap w:val="0"/>
            <w:vAlign w:val="center"/>
          </w:tcPr>
          <w:p w14:paraId="5691ABEE">
            <w:r>
              <w:rPr>
                <w:rStyle w:val="10"/>
                <w:rFonts w:hint="eastAsia"/>
              </w:rPr>
              <w:t>质量保证期：</w:t>
            </w:r>
            <w:r>
              <w:rPr>
                <w:rStyle w:val="11"/>
                <w:rFonts w:hint="eastAsia"/>
              </w:rPr>
              <w:t>2年</w:t>
            </w:r>
          </w:p>
        </w:tc>
      </w:tr>
      <w:tr w14:paraId="42F45D4D">
        <w:tblPrEx>
          <w:tblCellMar>
            <w:top w:w="0" w:type="dxa"/>
            <w:left w:w="0" w:type="dxa"/>
            <w:bottom w:w="0" w:type="dxa"/>
            <w:right w:w="0" w:type="dxa"/>
          </w:tblCellMar>
        </w:tblPrEx>
        <w:trPr>
          <w:wBefore w:w="0" w:type="auto"/>
          <w:tblCellSpacing w:w="0" w:type="dxa"/>
        </w:trPr>
        <w:tc>
          <w:tcPr>
            <w:tcW w:w="0" w:type="auto"/>
            <w:noWrap w:val="0"/>
            <w:vAlign w:val="center"/>
          </w:tcPr>
          <w:p w14:paraId="5D552D9A">
            <w:r>
              <w:rPr>
                <w:rStyle w:val="10"/>
                <w:rFonts w:hint="eastAsia"/>
              </w:rPr>
              <w:t>备注：</w:t>
            </w:r>
          </w:p>
        </w:tc>
      </w:tr>
    </w:tbl>
    <w:p w14:paraId="10183F7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818B152">
        <w:tblPrEx>
          <w:tblCellMar>
            <w:top w:w="0" w:type="dxa"/>
            <w:left w:w="0" w:type="dxa"/>
            <w:bottom w:w="0" w:type="dxa"/>
            <w:right w:w="0" w:type="dxa"/>
          </w:tblCellMar>
        </w:tblPrEx>
        <w:trPr>
          <w:wBefore w:w="0" w:type="auto"/>
          <w:tblCellSpacing w:w="0" w:type="dxa"/>
        </w:trPr>
        <w:tc>
          <w:tcPr>
            <w:tcW w:w="0" w:type="auto"/>
            <w:noWrap w:val="0"/>
            <w:vAlign w:val="center"/>
          </w:tcPr>
          <w:p w14:paraId="72A453DC">
            <w:r>
              <w:rPr>
                <w:rStyle w:val="10"/>
                <w:rFonts w:hint="eastAsia"/>
              </w:rPr>
              <w:t>登记证号：</w:t>
            </w:r>
            <w:r>
              <w:rPr>
                <w:rFonts w:hint="eastAsia"/>
              </w:rPr>
              <w:t>PD20211917</w:t>
            </w:r>
          </w:p>
        </w:tc>
      </w:tr>
      <w:tr w14:paraId="389D9840">
        <w:tblPrEx>
          <w:tblCellMar>
            <w:top w:w="0" w:type="dxa"/>
            <w:left w:w="0" w:type="dxa"/>
            <w:bottom w:w="0" w:type="dxa"/>
            <w:right w:w="0" w:type="dxa"/>
          </w:tblCellMar>
        </w:tblPrEx>
        <w:trPr>
          <w:wBefore w:w="0" w:type="auto"/>
          <w:tblCellSpacing w:w="0" w:type="dxa"/>
        </w:trPr>
        <w:tc>
          <w:tcPr>
            <w:tcW w:w="0" w:type="auto"/>
            <w:noWrap w:val="0"/>
            <w:vAlign w:val="center"/>
          </w:tcPr>
          <w:p w14:paraId="18563B60">
            <w:r>
              <w:rPr>
                <w:rStyle w:val="10"/>
                <w:rFonts w:hint="eastAsia"/>
              </w:rPr>
              <w:t>登记证持有人：</w:t>
            </w:r>
            <w:r>
              <w:rPr>
                <w:rFonts w:hint="eastAsia"/>
              </w:rPr>
              <w:t>江苏东南植保有限公司</w:t>
            </w:r>
          </w:p>
        </w:tc>
      </w:tr>
      <w:tr w14:paraId="0D82F24E">
        <w:tblPrEx>
          <w:tblCellMar>
            <w:top w:w="0" w:type="dxa"/>
            <w:left w:w="0" w:type="dxa"/>
            <w:bottom w:w="0" w:type="dxa"/>
            <w:right w:w="0" w:type="dxa"/>
          </w:tblCellMar>
        </w:tblPrEx>
        <w:trPr>
          <w:wBefore w:w="0" w:type="auto"/>
          <w:tblCellSpacing w:w="0" w:type="dxa"/>
        </w:trPr>
        <w:tc>
          <w:tcPr>
            <w:tcW w:w="0" w:type="auto"/>
            <w:noWrap w:val="0"/>
            <w:vAlign w:val="center"/>
          </w:tcPr>
          <w:p w14:paraId="47CC932F">
            <w:r>
              <w:rPr>
                <w:rStyle w:val="10"/>
                <w:rFonts w:hint="eastAsia"/>
              </w:rPr>
              <w:t>农药名称：</w:t>
            </w:r>
            <w:r>
              <w:rPr>
                <w:rFonts w:hint="eastAsia"/>
              </w:rPr>
              <w:t>唑醚·戊唑醇</w:t>
            </w:r>
          </w:p>
        </w:tc>
      </w:tr>
      <w:tr w14:paraId="12BBAEE3">
        <w:tblPrEx>
          <w:tblCellMar>
            <w:top w:w="0" w:type="dxa"/>
            <w:left w:w="0" w:type="dxa"/>
            <w:bottom w:w="0" w:type="dxa"/>
            <w:right w:w="0" w:type="dxa"/>
          </w:tblCellMar>
        </w:tblPrEx>
        <w:trPr>
          <w:wBefore w:w="0" w:type="auto"/>
          <w:tblCellSpacing w:w="0" w:type="dxa"/>
        </w:trPr>
        <w:tc>
          <w:tcPr>
            <w:tcW w:w="0" w:type="auto"/>
            <w:noWrap w:val="0"/>
            <w:vAlign w:val="center"/>
          </w:tcPr>
          <w:p w14:paraId="7ABC9CC7">
            <w:r>
              <w:rPr>
                <w:rStyle w:val="10"/>
                <w:rFonts w:hint="eastAsia"/>
              </w:rPr>
              <w:t>剂型：</w:t>
            </w:r>
            <w:r>
              <w:rPr>
                <w:rFonts w:hint="eastAsia"/>
              </w:rPr>
              <w:t>悬浮剂</w:t>
            </w:r>
          </w:p>
        </w:tc>
      </w:tr>
      <w:tr w14:paraId="4CDE605A">
        <w:tblPrEx>
          <w:tblCellMar>
            <w:top w:w="0" w:type="dxa"/>
            <w:left w:w="0" w:type="dxa"/>
            <w:bottom w:w="0" w:type="dxa"/>
            <w:right w:w="0" w:type="dxa"/>
          </w:tblCellMar>
        </w:tblPrEx>
        <w:trPr>
          <w:wBefore w:w="0" w:type="auto"/>
          <w:tblCellSpacing w:w="0" w:type="dxa"/>
        </w:trPr>
        <w:tc>
          <w:tcPr>
            <w:tcW w:w="0" w:type="auto"/>
            <w:noWrap w:val="0"/>
            <w:vAlign w:val="center"/>
          </w:tcPr>
          <w:p w14:paraId="4C669506">
            <w:r>
              <w:rPr>
                <w:rStyle w:val="10"/>
                <w:rFonts w:hint="eastAsia"/>
              </w:rPr>
              <w:t>毒性及其标识：</w:t>
            </w:r>
            <w:r>
              <w:rPr>
                <w:rFonts w:hint="eastAsia"/>
              </w:rPr>
              <w:t xml:space="preserve"> </w:t>
            </w:r>
            <w:r>
              <w:rPr>
                <w:lang/>
              </w:rPr>
              <w:drawing>
                <wp:inline distT="0" distB="0" distL="114300" distR="114300">
                  <wp:extent cx="476250" cy="323850"/>
                  <wp:effectExtent l="0" t="0" r="0" b="0"/>
                  <wp:docPr id="504" name="图片 50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8F114E5">
        <w:tblPrEx>
          <w:tblCellMar>
            <w:top w:w="0" w:type="dxa"/>
            <w:left w:w="0" w:type="dxa"/>
            <w:bottom w:w="0" w:type="dxa"/>
            <w:right w:w="0" w:type="dxa"/>
          </w:tblCellMar>
        </w:tblPrEx>
        <w:trPr>
          <w:wBefore w:w="0" w:type="auto"/>
          <w:tblCellSpacing w:w="0" w:type="dxa"/>
        </w:trPr>
        <w:tc>
          <w:tcPr>
            <w:tcW w:w="0" w:type="auto"/>
            <w:noWrap w:val="0"/>
            <w:vAlign w:val="center"/>
          </w:tcPr>
          <w:p w14:paraId="35BB0F13">
            <w:r>
              <w:rPr>
                <w:rStyle w:val="10"/>
                <w:rFonts w:hint="eastAsia"/>
              </w:rPr>
              <w:t>总有效成分含量：</w:t>
            </w:r>
            <w:r>
              <w:rPr>
                <w:rFonts w:hint="eastAsia"/>
              </w:rPr>
              <w:t>40%</w:t>
            </w:r>
          </w:p>
        </w:tc>
      </w:tr>
      <w:tr w14:paraId="2CEDB535">
        <w:tblPrEx>
          <w:tblCellMar>
            <w:top w:w="0" w:type="dxa"/>
            <w:left w:w="0" w:type="dxa"/>
            <w:bottom w:w="0" w:type="dxa"/>
            <w:right w:w="0" w:type="dxa"/>
          </w:tblCellMar>
        </w:tblPrEx>
        <w:trPr>
          <w:wBefore w:w="0" w:type="auto"/>
          <w:tblCellSpacing w:w="0" w:type="dxa"/>
        </w:trPr>
        <w:tc>
          <w:tcPr>
            <w:tcW w:w="0" w:type="auto"/>
            <w:noWrap w:val="0"/>
            <w:vAlign w:val="center"/>
          </w:tcPr>
          <w:p w14:paraId="554CB411">
            <w:r>
              <w:rPr>
                <w:rFonts w:hint="eastAsia"/>
              </w:rPr>
              <w:t xml:space="preserve">有效成分及其含量： </w:t>
            </w:r>
          </w:p>
          <w:p w14:paraId="71B700A2">
            <w:r>
              <w:rPr>
                <w:rFonts w:hint="eastAsia"/>
              </w:rPr>
              <w:t xml:space="preserve">    吡唑醚菌酯10%    戊唑醇30%    </w:t>
            </w:r>
          </w:p>
        </w:tc>
      </w:tr>
      <w:tr w14:paraId="3FBD983D">
        <w:tblPrEx>
          <w:tblCellMar>
            <w:top w:w="0" w:type="dxa"/>
            <w:left w:w="0" w:type="dxa"/>
            <w:bottom w:w="0" w:type="dxa"/>
            <w:right w:w="0" w:type="dxa"/>
          </w:tblCellMar>
        </w:tblPrEx>
        <w:trPr>
          <w:wBefore w:w="0" w:type="auto"/>
          <w:tblCellSpacing w:w="0" w:type="dxa"/>
        </w:trPr>
        <w:tc>
          <w:tcPr>
            <w:tcW w:w="0" w:type="auto"/>
            <w:noWrap w:val="0"/>
            <w:vAlign w:val="center"/>
          </w:tcPr>
          <w:p w14:paraId="4F164D4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0C08C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3492D2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E332C5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34B60D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ECBF64">
                  <w:r>
                    <w:rPr>
                      <w:rStyle w:val="11"/>
                      <w:rFonts w:hint="eastAsia"/>
                    </w:rPr>
                    <w:t>施用方式</w:t>
                  </w:r>
                </w:p>
              </w:tc>
            </w:tr>
            <w:tr w14:paraId="05C966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DE8BB28">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A591EC">
                  <w:r>
                    <w:rPr>
                      <w:rStyle w:val="11"/>
                      <w:rFonts w:hint="eastAsia"/>
                    </w:rPr>
                    <w:t>赤霉病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02DB81">
                  <w:r>
                    <w:rPr>
                      <w:rStyle w:val="11"/>
                      <w:rFonts w:hint="eastAsia"/>
                    </w:rPr>
                    <w:t>20-25毫升/亩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D42397">
                  <w:r>
                    <w:rPr>
                      <w:rStyle w:val="11"/>
                      <w:rFonts w:hint="eastAsia"/>
                    </w:rPr>
                    <w:t>喷雾</w:t>
                  </w:r>
                </w:p>
              </w:tc>
            </w:tr>
          </w:tbl>
          <w:p w14:paraId="53A03D37">
            <w:pPr>
              <w:rPr>
                <w:rFonts w:ascii="Times New Roman" w:hAnsi="Times New Roman" w:cs="Times New Roman"/>
                <w:sz w:val="20"/>
                <w:szCs w:val="20"/>
              </w:rPr>
            </w:pPr>
          </w:p>
        </w:tc>
      </w:tr>
      <w:tr w14:paraId="33B1B441">
        <w:tblPrEx>
          <w:tblCellMar>
            <w:top w:w="0" w:type="dxa"/>
            <w:left w:w="0" w:type="dxa"/>
            <w:bottom w:w="0" w:type="dxa"/>
            <w:right w:w="0" w:type="dxa"/>
          </w:tblCellMar>
        </w:tblPrEx>
        <w:trPr>
          <w:wBefore w:w="0" w:type="auto"/>
          <w:tblCellSpacing w:w="0" w:type="dxa"/>
        </w:trPr>
        <w:tc>
          <w:tcPr>
            <w:tcW w:w="0" w:type="auto"/>
            <w:noWrap w:val="0"/>
            <w:vAlign w:val="center"/>
          </w:tcPr>
          <w:p w14:paraId="658FB37B">
            <w:r>
              <w:rPr>
                <w:rStyle w:val="10"/>
                <w:rFonts w:hint="eastAsia"/>
              </w:rPr>
              <w:t>使用技术要求:</w:t>
            </w:r>
            <w:r>
              <w:rPr>
                <w:rFonts w:hint="eastAsia"/>
              </w:rPr>
              <w:br w:type="textWrapping"/>
            </w:r>
            <w:r>
              <w:rPr>
                <w:rStyle w:val="11"/>
                <w:rFonts w:hint="eastAsia"/>
              </w:rPr>
              <w:t>1、 本品应于小麦扬花初期，小麦赤霉病发生前喷雾施药1次。 2、 每季作物最多施药1次，安全间隔期为28天。</w:t>
            </w:r>
          </w:p>
        </w:tc>
      </w:tr>
      <w:tr w14:paraId="4118E956">
        <w:tblPrEx>
          <w:tblCellMar>
            <w:top w:w="0" w:type="dxa"/>
            <w:left w:w="0" w:type="dxa"/>
            <w:bottom w:w="0" w:type="dxa"/>
            <w:right w:w="0" w:type="dxa"/>
          </w:tblCellMar>
        </w:tblPrEx>
        <w:trPr>
          <w:wBefore w:w="0" w:type="auto"/>
          <w:tblCellSpacing w:w="0" w:type="dxa"/>
        </w:trPr>
        <w:tc>
          <w:tcPr>
            <w:tcW w:w="0" w:type="auto"/>
            <w:noWrap w:val="0"/>
            <w:vAlign w:val="center"/>
          </w:tcPr>
          <w:p w14:paraId="0988BAA9">
            <w:r>
              <w:rPr>
                <w:rStyle w:val="10"/>
                <w:rFonts w:hint="eastAsia"/>
              </w:rPr>
              <w:t>产品性能:</w:t>
            </w:r>
            <w:r>
              <w:rPr>
                <w:rFonts w:hint="eastAsia"/>
              </w:rPr>
              <w:br w:type="textWrapping"/>
            </w:r>
            <w:r>
              <w:rPr>
                <w:rStyle w:val="11"/>
                <w:rFonts w:hint="eastAsia"/>
              </w:rPr>
              <w:t>吡唑醚菌酯为甲氧基丙烯酸酯类杀菌剂，通过阻碍细胞色素之间的电子传递来抑制线粒体呼吸作用，戊唑醇为抑制病原菌麦角甾醇的生物合成。二者混配后具有预防、保护和治疗作用。两者复配可用于防治小麦赤霉病。</w:t>
            </w:r>
          </w:p>
        </w:tc>
      </w:tr>
      <w:tr w14:paraId="33F536F4">
        <w:tblPrEx>
          <w:tblCellMar>
            <w:top w:w="0" w:type="dxa"/>
            <w:left w:w="0" w:type="dxa"/>
            <w:bottom w:w="0" w:type="dxa"/>
            <w:right w:w="0" w:type="dxa"/>
          </w:tblCellMar>
        </w:tblPrEx>
        <w:trPr>
          <w:wBefore w:w="0" w:type="auto"/>
          <w:tblCellSpacing w:w="0" w:type="dxa"/>
        </w:trPr>
        <w:tc>
          <w:tcPr>
            <w:tcW w:w="0" w:type="auto"/>
            <w:noWrap w:val="0"/>
            <w:vAlign w:val="center"/>
          </w:tcPr>
          <w:p w14:paraId="5D1944D9">
            <w:r>
              <w:rPr>
                <w:rStyle w:val="10"/>
                <w:rFonts w:hint="eastAsia"/>
              </w:rPr>
              <w:t>注意事项：</w:t>
            </w:r>
            <w:r>
              <w:rPr>
                <w:rFonts w:hint="eastAsia"/>
              </w:rPr>
              <w:br w:type="textWrapping"/>
            </w:r>
            <w:r>
              <w:rPr>
                <w:rStyle w:val="11"/>
                <w:rFonts w:hint="eastAsia"/>
              </w:rPr>
              <w:t>1、使用本品应采取相应的安全防护措施，穿戴长衣、长裤、帽子、口罩、手套等防护措施，避免皮肤接触及口鼻吸入。使用中不可吸烟、饮水及吃东西，使用后及时用大量清水和肥皂清洗手、脸等暴露部位皮肤并更换衣物。 2、本品对鱼类等水生生物有毒，远离水产养殖区、河塘等水体施药；禁止在河塘等水体中清洗施药器具, 清洗施药器具的水也不能排入河塘等水体。用过的容器应妥善处理，不可作他用，也不可随意丢弃。 3、桑园及蚕室附近禁用。 4、禁止儿童、孕妇及哺乳期的妇女接触。过敏者禁用，使用中有任何不良反应请及时就医。</w:t>
            </w:r>
          </w:p>
        </w:tc>
      </w:tr>
      <w:tr w14:paraId="7934E934">
        <w:tblPrEx>
          <w:tblCellMar>
            <w:top w:w="0" w:type="dxa"/>
            <w:left w:w="0" w:type="dxa"/>
            <w:bottom w:w="0" w:type="dxa"/>
            <w:right w:w="0" w:type="dxa"/>
          </w:tblCellMar>
        </w:tblPrEx>
        <w:trPr>
          <w:wBefore w:w="0" w:type="auto"/>
          <w:tblCellSpacing w:w="0" w:type="dxa"/>
        </w:trPr>
        <w:tc>
          <w:tcPr>
            <w:tcW w:w="0" w:type="auto"/>
            <w:noWrap w:val="0"/>
            <w:vAlign w:val="center"/>
          </w:tcPr>
          <w:p w14:paraId="37D23AF9">
            <w:r>
              <w:rPr>
                <w:rStyle w:val="10"/>
                <w:rFonts w:hint="eastAsia"/>
              </w:rPr>
              <w:t>中毒急救措施：</w:t>
            </w:r>
            <w:r>
              <w:rPr>
                <w:rFonts w:hint="eastAsia"/>
              </w:rPr>
              <w:br w:type="textWrapping"/>
            </w:r>
            <w:r>
              <w:rPr>
                <w:rStyle w:val="11"/>
                <w:rFonts w:hint="eastAsia"/>
              </w:rPr>
              <w:t xml:space="preserve">该产品对眼睛有刺激性，使用时避免接触眼睛。 急救措施：使用中或使用后如果感觉不适，应立即停止工作，采取急救措施，并携带标签送医院就诊。 皮肤接触：立即脱去污染衣物，用软布去除沾染农药，立即用大量清水和肥皂冲洗。眼睛接触：立即翻开上下眼睑，用流动的清水冲洗至少15分钟。吸入：立即离开施药现场，转移到空气清新处。误服：立即停止服用，用清水充分漱口后，携带农药标签到医院就诊。本品无特效解毒剂，对症治疗。 </w:t>
            </w:r>
          </w:p>
        </w:tc>
      </w:tr>
      <w:tr w14:paraId="16065BB2">
        <w:tblPrEx>
          <w:tblCellMar>
            <w:top w:w="0" w:type="dxa"/>
            <w:left w:w="0" w:type="dxa"/>
            <w:bottom w:w="0" w:type="dxa"/>
            <w:right w:w="0" w:type="dxa"/>
          </w:tblCellMar>
        </w:tblPrEx>
        <w:trPr>
          <w:wBefore w:w="0" w:type="auto"/>
          <w:tblCellSpacing w:w="0" w:type="dxa"/>
        </w:trPr>
        <w:tc>
          <w:tcPr>
            <w:tcW w:w="0" w:type="auto"/>
            <w:noWrap w:val="0"/>
            <w:vAlign w:val="center"/>
          </w:tcPr>
          <w:p w14:paraId="13CCAEDD">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本品应贮存在干燥、阴凉、通风、防雨处，远离火源或热源。置于儿童接触不到的地方。不得与食物、饮料、种子、饲料混放混运。</w:t>
            </w:r>
          </w:p>
        </w:tc>
      </w:tr>
      <w:tr w14:paraId="4DB82310">
        <w:tblPrEx>
          <w:tblCellMar>
            <w:top w:w="0" w:type="dxa"/>
            <w:left w:w="0" w:type="dxa"/>
            <w:bottom w:w="0" w:type="dxa"/>
            <w:right w:w="0" w:type="dxa"/>
          </w:tblCellMar>
        </w:tblPrEx>
        <w:trPr>
          <w:wBefore w:w="0" w:type="auto"/>
          <w:tblCellSpacing w:w="0" w:type="dxa"/>
        </w:trPr>
        <w:tc>
          <w:tcPr>
            <w:tcW w:w="0" w:type="auto"/>
            <w:noWrap w:val="0"/>
            <w:vAlign w:val="center"/>
          </w:tcPr>
          <w:p w14:paraId="24ADF591">
            <w:r>
              <w:rPr>
                <w:rStyle w:val="10"/>
                <w:rFonts w:hint="eastAsia"/>
              </w:rPr>
              <w:t>质量保证期：</w:t>
            </w:r>
            <w:r>
              <w:rPr>
                <w:rStyle w:val="11"/>
                <w:rFonts w:hint="eastAsia"/>
              </w:rPr>
              <w:t>2年</w:t>
            </w:r>
          </w:p>
        </w:tc>
      </w:tr>
      <w:tr w14:paraId="7C1698AC">
        <w:tblPrEx>
          <w:tblCellMar>
            <w:top w:w="0" w:type="dxa"/>
            <w:left w:w="0" w:type="dxa"/>
            <w:bottom w:w="0" w:type="dxa"/>
            <w:right w:w="0" w:type="dxa"/>
          </w:tblCellMar>
        </w:tblPrEx>
        <w:trPr>
          <w:wBefore w:w="0" w:type="auto"/>
          <w:tblCellSpacing w:w="0" w:type="dxa"/>
        </w:trPr>
        <w:tc>
          <w:tcPr>
            <w:tcW w:w="0" w:type="auto"/>
            <w:noWrap w:val="0"/>
            <w:vAlign w:val="center"/>
          </w:tcPr>
          <w:p w14:paraId="5D531C38">
            <w:r>
              <w:rPr>
                <w:rStyle w:val="10"/>
                <w:rFonts w:hint="eastAsia"/>
              </w:rPr>
              <w:t>备注：</w:t>
            </w:r>
          </w:p>
        </w:tc>
      </w:tr>
    </w:tbl>
    <w:p w14:paraId="2B02B63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E0DC304">
        <w:tblPrEx>
          <w:tblCellMar>
            <w:top w:w="0" w:type="dxa"/>
            <w:left w:w="0" w:type="dxa"/>
            <w:bottom w:w="0" w:type="dxa"/>
            <w:right w:w="0" w:type="dxa"/>
          </w:tblCellMar>
        </w:tblPrEx>
        <w:trPr>
          <w:wBefore w:w="0" w:type="auto"/>
          <w:tblCellSpacing w:w="0" w:type="dxa"/>
        </w:trPr>
        <w:tc>
          <w:tcPr>
            <w:tcW w:w="0" w:type="auto"/>
            <w:noWrap w:val="0"/>
            <w:vAlign w:val="center"/>
          </w:tcPr>
          <w:p w14:paraId="562C7826">
            <w:r>
              <w:rPr>
                <w:rStyle w:val="10"/>
                <w:rFonts w:hint="eastAsia"/>
              </w:rPr>
              <w:t>登记证号：</w:t>
            </w:r>
            <w:r>
              <w:rPr>
                <w:rFonts w:hint="eastAsia"/>
              </w:rPr>
              <w:t>PD20212252</w:t>
            </w:r>
          </w:p>
        </w:tc>
      </w:tr>
      <w:tr w14:paraId="2482D7DC">
        <w:tblPrEx>
          <w:tblCellMar>
            <w:top w:w="0" w:type="dxa"/>
            <w:left w:w="0" w:type="dxa"/>
            <w:bottom w:w="0" w:type="dxa"/>
            <w:right w:w="0" w:type="dxa"/>
          </w:tblCellMar>
        </w:tblPrEx>
        <w:trPr>
          <w:wBefore w:w="0" w:type="auto"/>
          <w:tblCellSpacing w:w="0" w:type="dxa"/>
        </w:trPr>
        <w:tc>
          <w:tcPr>
            <w:tcW w:w="0" w:type="auto"/>
            <w:noWrap w:val="0"/>
            <w:vAlign w:val="center"/>
          </w:tcPr>
          <w:p w14:paraId="7B086E5A">
            <w:r>
              <w:rPr>
                <w:rStyle w:val="10"/>
                <w:rFonts w:hint="eastAsia"/>
              </w:rPr>
              <w:t>登记证持有人：</w:t>
            </w:r>
            <w:r>
              <w:rPr>
                <w:rFonts w:hint="eastAsia"/>
              </w:rPr>
              <w:t>江苏省激素研究所股份有限公司</w:t>
            </w:r>
          </w:p>
        </w:tc>
      </w:tr>
      <w:tr w14:paraId="3C7DBD0E">
        <w:tblPrEx>
          <w:tblCellMar>
            <w:top w:w="0" w:type="dxa"/>
            <w:left w:w="0" w:type="dxa"/>
            <w:bottom w:w="0" w:type="dxa"/>
            <w:right w:w="0" w:type="dxa"/>
          </w:tblCellMar>
        </w:tblPrEx>
        <w:trPr>
          <w:wBefore w:w="0" w:type="auto"/>
          <w:tblCellSpacing w:w="0" w:type="dxa"/>
        </w:trPr>
        <w:tc>
          <w:tcPr>
            <w:tcW w:w="0" w:type="auto"/>
            <w:noWrap w:val="0"/>
            <w:vAlign w:val="center"/>
          </w:tcPr>
          <w:p w14:paraId="5FE43B8D">
            <w:r>
              <w:rPr>
                <w:rStyle w:val="10"/>
                <w:rFonts w:hint="eastAsia"/>
              </w:rPr>
              <w:t>农药名称：</w:t>
            </w:r>
            <w:r>
              <w:rPr>
                <w:rFonts w:hint="eastAsia"/>
              </w:rPr>
              <w:t>炔草酯</w:t>
            </w:r>
          </w:p>
        </w:tc>
      </w:tr>
      <w:tr w14:paraId="4726FE81">
        <w:tblPrEx>
          <w:tblCellMar>
            <w:top w:w="0" w:type="dxa"/>
            <w:left w:w="0" w:type="dxa"/>
            <w:bottom w:w="0" w:type="dxa"/>
            <w:right w:w="0" w:type="dxa"/>
          </w:tblCellMar>
        </w:tblPrEx>
        <w:trPr>
          <w:wBefore w:w="0" w:type="auto"/>
          <w:tblCellSpacing w:w="0" w:type="dxa"/>
        </w:trPr>
        <w:tc>
          <w:tcPr>
            <w:tcW w:w="0" w:type="auto"/>
            <w:noWrap w:val="0"/>
            <w:vAlign w:val="center"/>
          </w:tcPr>
          <w:p w14:paraId="32FC6CD5">
            <w:r>
              <w:rPr>
                <w:rStyle w:val="10"/>
                <w:rFonts w:hint="eastAsia"/>
              </w:rPr>
              <w:t>剂型：</w:t>
            </w:r>
            <w:r>
              <w:rPr>
                <w:rFonts w:hint="eastAsia"/>
              </w:rPr>
              <w:t>微乳剂</w:t>
            </w:r>
          </w:p>
        </w:tc>
      </w:tr>
      <w:tr w14:paraId="048541A2">
        <w:tblPrEx>
          <w:tblCellMar>
            <w:top w:w="0" w:type="dxa"/>
            <w:left w:w="0" w:type="dxa"/>
            <w:bottom w:w="0" w:type="dxa"/>
            <w:right w:w="0" w:type="dxa"/>
          </w:tblCellMar>
        </w:tblPrEx>
        <w:trPr>
          <w:wBefore w:w="0" w:type="auto"/>
          <w:tblCellSpacing w:w="0" w:type="dxa"/>
        </w:trPr>
        <w:tc>
          <w:tcPr>
            <w:tcW w:w="0" w:type="auto"/>
            <w:noWrap w:val="0"/>
            <w:vAlign w:val="center"/>
          </w:tcPr>
          <w:p w14:paraId="6AF14D77">
            <w:r>
              <w:rPr>
                <w:rStyle w:val="10"/>
                <w:rFonts w:hint="eastAsia"/>
              </w:rPr>
              <w:t>毒性及其标识：</w:t>
            </w:r>
            <w:r>
              <w:rPr>
                <w:rFonts w:hint="eastAsia"/>
              </w:rPr>
              <w:t xml:space="preserve"> </w:t>
            </w:r>
            <w:r>
              <w:rPr>
                <w:lang/>
              </w:rPr>
              <w:drawing>
                <wp:inline distT="0" distB="0" distL="114300" distR="114300">
                  <wp:extent cx="476250" cy="323850"/>
                  <wp:effectExtent l="0" t="0" r="0" b="0"/>
                  <wp:docPr id="505" name="图片 50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86B1EBA">
        <w:tblPrEx>
          <w:tblCellMar>
            <w:top w:w="0" w:type="dxa"/>
            <w:left w:w="0" w:type="dxa"/>
            <w:bottom w:w="0" w:type="dxa"/>
            <w:right w:w="0" w:type="dxa"/>
          </w:tblCellMar>
        </w:tblPrEx>
        <w:trPr>
          <w:wBefore w:w="0" w:type="auto"/>
          <w:tblCellSpacing w:w="0" w:type="dxa"/>
        </w:trPr>
        <w:tc>
          <w:tcPr>
            <w:tcW w:w="0" w:type="auto"/>
            <w:noWrap w:val="0"/>
            <w:vAlign w:val="center"/>
          </w:tcPr>
          <w:p w14:paraId="3C3859FE">
            <w:r>
              <w:rPr>
                <w:rStyle w:val="10"/>
                <w:rFonts w:hint="eastAsia"/>
              </w:rPr>
              <w:t>总有效成分含量：</w:t>
            </w:r>
            <w:r>
              <w:rPr>
                <w:rFonts w:hint="eastAsia"/>
              </w:rPr>
              <w:t>15%</w:t>
            </w:r>
          </w:p>
        </w:tc>
      </w:tr>
      <w:tr w14:paraId="556EBFCF">
        <w:tblPrEx>
          <w:tblCellMar>
            <w:top w:w="0" w:type="dxa"/>
            <w:left w:w="0" w:type="dxa"/>
            <w:bottom w:w="0" w:type="dxa"/>
            <w:right w:w="0" w:type="dxa"/>
          </w:tblCellMar>
        </w:tblPrEx>
        <w:trPr>
          <w:wBefore w:w="0" w:type="auto"/>
          <w:tblCellSpacing w:w="0" w:type="dxa"/>
        </w:trPr>
        <w:tc>
          <w:tcPr>
            <w:tcW w:w="0" w:type="auto"/>
            <w:noWrap w:val="0"/>
            <w:vAlign w:val="center"/>
          </w:tcPr>
          <w:p w14:paraId="10A6F839">
            <w:r>
              <w:rPr>
                <w:rFonts w:hint="eastAsia"/>
              </w:rPr>
              <w:t xml:space="preserve">有效成分及其含量： </w:t>
            </w:r>
          </w:p>
          <w:p w14:paraId="2D04C1E8">
            <w:r>
              <w:rPr>
                <w:rFonts w:hint="eastAsia"/>
              </w:rPr>
              <w:t xml:space="preserve">    炔草酯15%    </w:t>
            </w:r>
          </w:p>
        </w:tc>
      </w:tr>
      <w:tr w14:paraId="63A9A487">
        <w:tblPrEx>
          <w:tblCellMar>
            <w:top w:w="0" w:type="dxa"/>
            <w:left w:w="0" w:type="dxa"/>
            <w:bottom w:w="0" w:type="dxa"/>
            <w:right w:w="0" w:type="dxa"/>
          </w:tblCellMar>
        </w:tblPrEx>
        <w:trPr>
          <w:wBefore w:w="0" w:type="auto"/>
          <w:tblCellSpacing w:w="0" w:type="dxa"/>
        </w:trPr>
        <w:tc>
          <w:tcPr>
            <w:tcW w:w="0" w:type="auto"/>
            <w:noWrap w:val="0"/>
            <w:vAlign w:val="center"/>
          </w:tcPr>
          <w:p w14:paraId="646549F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ECA31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F2FAAF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F6C7CB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C7591B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A52D16">
                  <w:r>
                    <w:rPr>
                      <w:rStyle w:val="11"/>
                      <w:rFonts w:hint="eastAsia"/>
                    </w:rPr>
                    <w:t>施用方式</w:t>
                  </w:r>
                </w:p>
              </w:tc>
            </w:tr>
            <w:tr w14:paraId="2EB5EF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7DF54D6">
                  <w:r>
                    <w:rPr>
                      <w:rStyle w:val="11"/>
                      <w:rFonts w:hint="eastAsia"/>
                    </w:rPr>
                    <w:t>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82F954">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6CE89A">
                  <w:r>
                    <w:rPr>
                      <w:rStyle w:val="11"/>
                      <w:rFonts w:hint="eastAsia"/>
                    </w:rPr>
                    <w:t>25-30毫升/亩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DDB702">
                  <w:r>
                    <w:rPr>
                      <w:rStyle w:val="11"/>
                      <w:rFonts w:hint="eastAsia"/>
                    </w:rPr>
                    <w:t>茎叶喷雾</w:t>
                  </w:r>
                </w:p>
              </w:tc>
            </w:tr>
          </w:tbl>
          <w:p w14:paraId="78F44764">
            <w:pPr>
              <w:rPr>
                <w:rFonts w:ascii="Times New Roman" w:hAnsi="Times New Roman" w:cs="Times New Roman"/>
                <w:sz w:val="20"/>
                <w:szCs w:val="20"/>
              </w:rPr>
            </w:pPr>
          </w:p>
        </w:tc>
      </w:tr>
      <w:tr w14:paraId="655FFC72">
        <w:tblPrEx>
          <w:tblCellMar>
            <w:top w:w="0" w:type="dxa"/>
            <w:left w:w="0" w:type="dxa"/>
            <w:bottom w:w="0" w:type="dxa"/>
            <w:right w:w="0" w:type="dxa"/>
          </w:tblCellMar>
        </w:tblPrEx>
        <w:trPr>
          <w:wBefore w:w="0" w:type="auto"/>
          <w:tblCellSpacing w:w="0" w:type="dxa"/>
        </w:trPr>
        <w:tc>
          <w:tcPr>
            <w:tcW w:w="0" w:type="auto"/>
            <w:noWrap w:val="0"/>
            <w:vAlign w:val="center"/>
          </w:tcPr>
          <w:p w14:paraId="15701237">
            <w:r>
              <w:rPr>
                <w:rStyle w:val="10"/>
                <w:rFonts w:hint="eastAsia"/>
              </w:rPr>
              <w:t>使用技术要求:</w:t>
            </w:r>
            <w:r>
              <w:rPr>
                <w:rFonts w:hint="eastAsia"/>
              </w:rPr>
              <w:br w:type="textWrapping"/>
            </w:r>
            <w:r>
              <w:rPr>
                <w:rStyle w:val="11"/>
                <w:rFonts w:hint="eastAsia"/>
              </w:rPr>
              <w:t>1. 小麦3叶期后，禾本科杂草2-5叶期每亩兑水30公斤，茎叶喷雾一次。 2. 大风天或预计6小时内降雨，请勿施药。 3. 小麦拔节后勿用药。 4. 每季最多使用1次。</w:t>
            </w:r>
          </w:p>
        </w:tc>
      </w:tr>
      <w:tr w14:paraId="3EE5F3FC">
        <w:tblPrEx>
          <w:tblCellMar>
            <w:top w:w="0" w:type="dxa"/>
            <w:left w:w="0" w:type="dxa"/>
            <w:bottom w:w="0" w:type="dxa"/>
            <w:right w:w="0" w:type="dxa"/>
          </w:tblCellMar>
        </w:tblPrEx>
        <w:trPr>
          <w:wBefore w:w="0" w:type="auto"/>
          <w:tblCellSpacing w:w="0" w:type="dxa"/>
        </w:trPr>
        <w:tc>
          <w:tcPr>
            <w:tcW w:w="0" w:type="auto"/>
            <w:noWrap w:val="0"/>
            <w:vAlign w:val="center"/>
          </w:tcPr>
          <w:p w14:paraId="62C56426">
            <w:r>
              <w:rPr>
                <w:rStyle w:val="10"/>
                <w:rFonts w:hint="eastAsia"/>
              </w:rPr>
              <w:t>产品性能:</w:t>
            </w:r>
            <w:r>
              <w:rPr>
                <w:rFonts w:hint="eastAsia"/>
              </w:rPr>
              <w:br w:type="textWrapping"/>
            </w:r>
            <w:r>
              <w:rPr>
                <w:rStyle w:val="11"/>
                <w:rFonts w:hint="eastAsia"/>
              </w:rPr>
              <w:t>本品是一种乙酰辅酶A羧化酶抑制剂，对野燕麦、看麦娘、硬草、菵草、棒头草等大多数重要的一年生禾本科杂草有较好防效，对小麦和后茬作物安全等特点。</w:t>
            </w:r>
          </w:p>
        </w:tc>
      </w:tr>
      <w:tr w14:paraId="270A797D">
        <w:tblPrEx>
          <w:tblCellMar>
            <w:top w:w="0" w:type="dxa"/>
            <w:left w:w="0" w:type="dxa"/>
            <w:bottom w:w="0" w:type="dxa"/>
            <w:right w:w="0" w:type="dxa"/>
          </w:tblCellMar>
        </w:tblPrEx>
        <w:trPr>
          <w:wBefore w:w="0" w:type="auto"/>
          <w:tblCellSpacing w:w="0" w:type="dxa"/>
        </w:trPr>
        <w:tc>
          <w:tcPr>
            <w:tcW w:w="0" w:type="auto"/>
            <w:noWrap w:val="0"/>
            <w:vAlign w:val="center"/>
          </w:tcPr>
          <w:p w14:paraId="50368674">
            <w:r>
              <w:rPr>
                <w:rStyle w:val="10"/>
                <w:rFonts w:hint="eastAsia"/>
              </w:rPr>
              <w:t>注意事项：</w:t>
            </w:r>
            <w:r>
              <w:rPr>
                <w:rFonts w:hint="eastAsia"/>
              </w:rPr>
              <w:br w:type="textWrapping"/>
            </w:r>
            <w:r>
              <w:rPr>
                <w:rStyle w:val="11"/>
                <w:rFonts w:hint="eastAsia"/>
              </w:rPr>
              <w:t>1. 大麦或燕麦田禁止使用本品。2. 本品对眼睛有刺激性，使用时避免接触眼睛，穿戴长衣、长裤、帽子、口罩、手套等防护措施。工作结束后，应用肥皂、清水洗脸、手和裸露部位。3. 包装容器不可挪作他用或随便丢弃。4. 本品对水生生物和鸟类有毒，鸟类栖息地、水产养殖区和河塘等水体附近禁用，禁止在河塘等水体中清洗施药器具。瓢虫、赤眼蜂等天敌放飞区域禁用。5. 施药后器具应彻底清洗，剩余的药液和洗刷施药用具的水，不要倒入田间、河流。6. 配制和运输该剂时请穿戴必要的防护用具。7. 避免孕妇及哺乳期的妇女接触。8. 严格按照推荐方法使用、操作和贮藏本品。使用时应接受当地农业技术部门的指导。</w:t>
            </w:r>
          </w:p>
        </w:tc>
      </w:tr>
      <w:tr w14:paraId="7D5AA0AE">
        <w:tblPrEx>
          <w:tblCellMar>
            <w:top w:w="0" w:type="dxa"/>
            <w:left w:w="0" w:type="dxa"/>
            <w:bottom w:w="0" w:type="dxa"/>
            <w:right w:w="0" w:type="dxa"/>
          </w:tblCellMar>
        </w:tblPrEx>
        <w:trPr>
          <w:wBefore w:w="0" w:type="auto"/>
          <w:tblCellSpacing w:w="0" w:type="dxa"/>
        </w:trPr>
        <w:tc>
          <w:tcPr>
            <w:tcW w:w="0" w:type="auto"/>
            <w:noWrap w:val="0"/>
            <w:vAlign w:val="center"/>
          </w:tcPr>
          <w:p w14:paraId="54D0F174">
            <w:r>
              <w:rPr>
                <w:rStyle w:val="10"/>
                <w:rFonts w:hint="eastAsia"/>
              </w:rPr>
              <w:t>中毒急救措施：</w:t>
            </w:r>
            <w:r>
              <w:rPr>
                <w:rFonts w:hint="eastAsia"/>
              </w:rPr>
              <w:br w:type="textWrapping"/>
            </w:r>
            <w:r>
              <w:rPr>
                <w:rStyle w:val="11"/>
                <w:rFonts w:hint="eastAsia"/>
              </w:rPr>
              <w:t>1. 中毒症状：本品对眼睛有刺激作用，一旦发生中毒，请对症治疗。2. 如不慎接触皮肤，应用肥皂和大量清水冲洗，若溅入眼内，立即用大量清水冲洗至少15分钟，如还不适请就医。3. 如吸入，立即将吸入者转移到空气清新处，如果吸入者停止呼吸，需要进行人工呼吸。注意保暖和休息，请医生诊治。4. 无特殊解毒剂，若误服饮大量水催吐，保持安静，并送往医院对症治疗。</w:t>
            </w:r>
          </w:p>
        </w:tc>
      </w:tr>
      <w:tr w14:paraId="5B38D234">
        <w:tblPrEx>
          <w:tblCellMar>
            <w:top w:w="0" w:type="dxa"/>
            <w:left w:w="0" w:type="dxa"/>
            <w:bottom w:w="0" w:type="dxa"/>
            <w:right w:w="0" w:type="dxa"/>
          </w:tblCellMar>
        </w:tblPrEx>
        <w:trPr>
          <w:wBefore w:w="0" w:type="auto"/>
          <w:tblCellSpacing w:w="0" w:type="dxa"/>
        </w:trPr>
        <w:tc>
          <w:tcPr>
            <w:tcW w:w="0" w:type="auto"/>
            <w:noWrap w:val="0"/>
            <w:vAlign w:val="center"/>
          </w:tcPr>
          <w:p w14:paraId="235E5B1A">
            <w:r>
              <w:rPr>
                <w:rStyle w:val="10"/>
                <w:rFonts w:hint="eastAsia"/>
              </w:rPr>
              <w:t>储存和运输方法：</w:t>
            </w:r>
            <w:r>
              <w:rPr>
                <w:rFonts w:hint="eastAsia"/>
              </w:rPr>
              <w:br w:type="textWrapping"/>
            </w:r>
            <w:r>
              <w:rPr>
                <w:rStyle w:val="11"/>
                <w:rFonts w:hint="eastAsia"/>
              </w:rPr>
              <w:t>包装件应贮存于通风、干燥、防雨、阴凉的库房中，本品为易燃液体，远离火源和热源。置于儿童及无关人员接触不到处，并加锁。贮运时，严防潮湿和日晒，远离儿童，不能与食品、饮料、粮食、饲料等物质同贮同运。运输时专人专车，确保不泄漏、不损坏、不倒塌，运输中防曝晒、雨淋、防高温，公路运输时按规定的路线行驶。</w:t>
            </w:r>
          </w:p>
        </w:tc>
      </w:tr>
      <w:tr w14:paraId="4BB8D243">
        <w:tblPrEx>
          <w:tblCellMar>
            <w:top w:w="0" w:type="dxa"/>
            <w:left w:w="0" w:type="dxa"/>
            <w:bottom w:w="0" w:type="dxa"/>
            <w:right w:w="0" w:type="dxa"/>
          </w:tblCellMar>
        </w:tblPrEx>
        <w:trPr>
          <w:wBefore w:w="0" w:type="auto"/>
          <w:tblCellSpacing w:w="0" w:type="dxa"/>
        </w:trPr>
        <w:tc>
          <w:tcPr>
            <w:tcW w:w="0" w:type="auto"/>
            <w:noWrap w:val="0"/>
            <w:vAlign w:val="center"/>
          </w:tcPr>
          <w:p w14:paraId="312CA74A">
            <w:r>
              <w:rPr>
                <w:rStyle w:val="10"/>
                <w:rFonts w:hint="eastAsia"/>
              </w:rPr>
              <w:t>质量保证期：</w:t>
            </w:r>
            <w:r>
              <w:rPr>
                <w:rStyle w:val="11"/>
                <w:rFonts w:hint="eastAsia"/>
              </w:rPr>
              <w:t>2年</w:t>
            </w:r>
          </w:p>
        </w:tc>
      </w:tr>
      <w:tr w14:paraId="5BD65F63">
        <w:tblPrEx>
          <w:tblCellMar>
            <w:top w:w="0" w:type="dxa"/>
            <w:left w:w="0" w:type="dxa"/>
            <w:bottom w:w="0" w:type="dxa"/>
            <w:right w:w="0" w:type="dxa"/>
          </w:tblCellMar>
        </w:tblPrEx>
        <w:trPr>
          <w:wBefore w:w="0" w:type="auto"/>
          <w:tblCellSpacing w:w="0" w:type="dxa"/>
        </w:trPr>
        <w:tc>
          <w:tcPr>
            <w:tcW w:w="0" w:type="auto"/>
            <w:noWrap w:val="0"/>
            <w:vAlign w:val="center"/>
          </w:tcPr>
          <w:p w14:paraId="65DE9D42">
            <w:r>
              <w:rPr>
                <w:rStyle w:val="10"/>
                <w:rFonts w:hint="eastAsia"/>
              </w:rPr>
              <w:t>备注：</w:t>
            </w:r>
          </w:p>
        </w:tc>
      </w:tr>
    </w:tbl>
    <w:p w14:paraId="700B4AD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091970">
        <w:trPr>
          <w:wBefore w:w="0" w:type="auto"/>
          <w:tblCellSpacing w:w="0" w:type="dxa"/>
        </w:trPr>
        <w:tc>
          <w:tcPr>
            <w:tcW w:w="0" w:type="auto"/>
            <w:noWrap w:val="0"/>
            <w:vAlign w:val="center"/>
          </w:tcPr>
          <w:p w14:paraId="5963E602">
            <w:r>
              <w:rPr>
                <w:rStyle w:val="10"/>
                <w:rFonts w:hint="eastAsia"/>
              </w:rPr>
              <w:t>登记证号：</w:t>
            </w:r>
            <w:r>
              <w:rPr>
                <w:rFonts w:hint="eastAsia"/>
              </w:rPr>
              <w:t>PD20211808</w:t>
            </w:r>
          </w:p>
        </w:tc>
      </w:tr>
      <w:tr w14:paraId="04DB5A7E">
        <w:tblPrEx>
          <w:tblCellMar>
            <w:top w:w="0" w:type="dxa"/>
            <w:left w:w="0" w:type="dxa"/>
            <w:bottom w:w="0" w:type="dxa"/>
            <w:right w:w="0" w:type="dxa"/>
          </w:tblCellMar>
        </w:tblPrEx>
        <w:trPr>
          <w:wBefore w:w="0" w:type="auto"/>
          <w:tblCellSpacing w:w="0" w:type="dxa"/>
        </w:trPr>
        <w:tc>
          <w:tcPr>
            <w:tcW w:w="0" w:type="auto"/>
            <w:noWrap w:val="0"/>
            <w:vAlign w:val="center"/>
          </w:tcPr>
          <w:p w14:paraId="11715E6A">
            <w:r>
              <w:rPr>
                <w:rStyle w:val="10"/>
                <w:rFonts w:hint="eastAsia"/>
              </w:rPr>
              <w:t>登记证持有人：</w:t>
            </w:r>
            <w:r>
              <w:rPr>
                <w:rFonts w:hint="eastAsia"/>
              </w:rPr>
              <w:t>陕西美邦药业集团股份有限公司</w:t>
            </w:r>
          </w:p>
        </w:tc>
      </w:tr>
      <w:tr w14:paraId="2AB389BF">
        <w:tblPrEx>
          <w:tblCellMar>
            <w:top w:w="0" w:type="dxa"/>
            <w:left w:w="0" w:type="dxa"/>
            <w:bottom w:w="0" w:type="dxa"/>
            <w:right w:w="0" w:type="dxa"/>
          </w:tblCellMar>
        </w:tblPrEx>
        <w:trPr>
          <w:wBefore w:w="0" w:type="auto"/>
          <w:tblCellSpacing w:w="0" w:type="dxa"/>
        </w:trPr>
        <w:tc>
          <w:tcPr>
            <w:tcW w:w="0" w:type="auto"/>
            <w:noWrap w:val="0"/>
            <w:vAlign w:val="center"/>
          </w:tcPr>
          <w:p w14:paraId="20D379E5">
            <w:r>
              <w:rPr>
                <w:rStyle w:val="10"/>
                <w:rFonts w:hint="eastAsia"/>
              </w:rPr>
              <w:t>农药名称：</w:t>
            </w:r>
            <w:r>
              <w:rPr>
                <w:rFonts w:hint="eastAsia"/>
              </w:rPr>
              <w:t>吡丙·噻嗪酮</w:t>
            </w:r>
          </w:p>
        </w:tc>
      </w:tr>
      <w:tr w14:paraId="4260E00F">
        <w:tblPrEx>
          <w:tblCellMar>
            <w:top w:w="0" w:type="dxa"/>
            <w:left w:w="0" w:type="dxa"/>
            <w:bottom w:w="0" w:type="dxa"/>
            <w:right w:w="0" w:type="dxa"/>
          </w:tblCellMar>
        </w:tblPrEx>
        <w:trPr>
          <w:wBefore w:w="0" w:type="auto"/>
          <w:tblCellSpacing w:w="0" w:type="dxa"/>
        </w:trPr>
        <w:tc>
          <w:tcPr>
            <w:tcW w:w="0" w:type="auto"/>
            <w:noWrap w:val="0"/>
            <w:vAlign w:val="center"/>
          </w:tcPr>
          <w:p w14:paraId="3D2FACD2">
            <w:r>
              <w:rPr>
                <w:rStyle w:val="10"/>
                <w:rFonts w:hint="eastAsia"/>
              </w:rPr>
              <w:t>剂型：</w:t>
            </w:r>
            <w:r>
              <w:rPr>
                <w:rFonts w:hint="eastAsia"/>
              </w:rPr>
              <w:t>悬浮剂</w:t>
            </w:r>
          </w:p>
        </w:tc>
      </w:tr>
      <w:tr w14:paraId="0F7CBB22">
        <w:tblPrEx>
          <w:tblCellMar>
            <w:top w:w="0" w:type="dxa"/>
            <w:left w:w="0" w:type="dxa"/>
            <w:bottom w:w="0" w:type="dxa"/>
            <w:right w:w="0" w:type="dxa"/>
          </w:tblCellMar>
        </w:tblPrEx>
        <w:trPr>
          <w:wBefore w:w="0" w:type="auto"/>
          <w:tblCellSpacing w:w="0" w:type="dxa"/>
        </w:trPr>
        <w:tc>
          <w:tcPr>
            <w:tcW w:w="0" w:type="auto"/>
            <w:noWrap w:val="0"/>
            <w:vAlign w:val="center"/>
          </w:tcPr>
          <w:p w14:paraId="401F1242">
            <w:r>
              <w:rPr>
                <w:rStyle w:val="10"/>
                <w:rFonts w:hint="eastAsia"/>
              </w:rPr>
              <w:t>毒性及其标识：</w:t>
            </w:r>
            <w:r>
              <w:rPr>
                <w:rFonts w:hint="eastAsia"/>
              </w:rPr>
              <w:t xml:space="preserve"> </w:t>
            </w:r>
            <w:r>
              <w:rPr>
                <w:lang/>
              </w:rPr>
              <w:drawing>
                <wp:inline distT="0" distB="0" distL="114300" distR="114300">
                  <wp:extent cx="476250" cy="323850"/>
                  <wp:effectExtent l="0" t="0" r="0" b="0"/>
                  <wp:docPr id="506" name="图片 50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DA4E203">
        <w:tblPrEx>
          <w:tblCellMar>
            <w:top w:w="0" w:type="dxa"/>
            <w:left w:w="0" w:type="dxa"/>
            <w:bottom w:w="0" w:type="dxa"/>
            <w:right w:w="0" w:type="dxa"/>
          </w:tblCellMar>
        </w:tblPrEx>
        <w:trPr>
          <w:wBefore w:w="0" w:type="auto"/>
          <w:tblCellSpacing w:w="0" w:type="dxa"/>
        </w:trPr>
        <w:tc>
          <w:tcPr>
            <w:tcW w:w="0" w:type="auto"/>
            <w:noWrap w:val="0"/>
            <w:vAlign w:val="center"/>
          </w:tcPr>
          <w:p w14:paraId="7D7BA75A">
            <w:r>
              <w:rPr>
                <w:rStyle w:val="10"/>
                <w:rFonts w:hint="eastAsia"/>
              </w:rPr>
              <w:t>总有效成分含量：</w:t>
            </w:r>
            <w:r>
              <w:rPr>
                <w:rFonts w:hint="eastAsia"/>
              </w:rPr>
              <w:t>30%</w:t>
            </w:r>
          </w:p>
        </w:tc>
      </w:tr>
      <w:tr w14:paraId="0C655070">
        <w:tblPrEx>
          <w:tblCellMar>
            <w:top w:w="0" w:type="dxa"/>
            <w:left w:w="0" w:type="dxa"/>
            <w:bottom w:w="0" w:type="dxa"/>
            <w:right w:w="0" w:type="dxa"/>
          </w:tblCellMar>
        </w:tblPrEx>
        <w:trPr>
          <w:wBefore w:w="0" w:type="auto"/>
          <w:tblCellSpacing w:w="0" w:type="dxa"/>
        </w:trPr>
        <w:tc>
          <w:tcPr>
            <w:tcW w:w="0" w:type="auto"/>
            <w:noWrap w:val="0"/>
            <w:vAlign w:val="center"/>
          </w:tcPr>
          <w:p w14:paraId="209FE5F1">
            <w:r>
              <w:rPr>
                <w:rFonts w:hint="eastAsia"/>
              </w:rPr>
              <w:t xml:space="preserve">有效成分及其含量： </w:t>
            </w:r>
          </w:p>
          <w:p w14:paraId="2DD52781">
            <w:r>
              <w:rPr>
                <w:rFonts w:hint="eastAsia"/>
              </w:rPr>
              <w:t xml:space="preserve">    噻嗪酮27.6%    吡丙醚2.4%    </w:t>
            </w:r>
          </w:p>
        </w:tc>
      </w:tr>
      <w:tr w14:paraId="34B8604B">
        <w:tblPrEx>
          <w:tblCellMar>
            <w:top w:w="0" w:type="dxa"/>
            <w:left w:w="0" w:type="dxa"/>
            <w:bottom w:w="0" w:type="dxa"/>
            <w:right w:w="0" w:type="dxa"/>
          </w:tblCellMar>
        </w:tblPrEx>
        <w:trPr>
          <w:wBefore w:w="0" w:type="auto"/>
          <w:tblCellSpacing w:w="0" w:type="dxa"/>
        </w:trPr>
        <w:tc>
          <w:tcPr>
            <w:tcW w:w="0" w:type="auto"/>
            <w:noWrap w:val="0"/>
            <w:vAlign w:val="center"/>
          </w:tcPr>
          <w:p w14:paraId="360F080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97E2A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593936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F34AB4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8A3B46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B055E8F">
                  <w:r>
                    <w:rPr>
                      <w:rStyle w:val="11"/>
                      <w:rFonts w:hint="eastAsia"/>
                    </w:rPr>
                    <w:t>施用方式</w:t>
                  </w:r>
                </w:p>
              </w:tc>
            </w:tr>
            <w:tr w14:paraId="5DC5B0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85967EB">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FA9B68">
                  <w:r>
                    <w:rPr>
                      <w:rStyle w:val="11"/>
                      <w:rFonts w:hint="eastAsia"/>
                    </w:rPr>
                    <w:t>木虱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4FF08A">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E80AC7">
                  <w:r>
                    <w:rPr>
                      <w:rStyle w:val="11"/>
                      <w:rFonts w:hint="eastAsia"/>
                    </w:rPr>
                    <w:t>喷雾</w:t>
                  </w:r>
                </w:p>
              </w:tc>
            </w:tr>
          </w:tbl>
          <w:p w14:paraId="2D1CA167">
            <w:pPr>
              <w:rPr>
                <w:rFonts w:ascii="Times New Roman" w:hAnsi="Times New Roman" w:cs="Times New Roman"/>
                <w:sz w:val="20"/>
                <w:szCs w:val="20"/>
              </w:rPr>
            </w:pPr>
          </w:p>
        </w:tc>
      </w:tr>
      <w:tr w14:paraId="2E97BDB6">
        <w:tblPrEx>
          <w:tblCellMar>
            <w:top w:w="0" w:type="dxa"/>
            <w:left w:w="0" w:type="dxa"/>
            <w:bottom w:w="0" w:type="dxa"/>
            <w:right w:w="0" w:type="dxa"/>
          </w:tblCellMar>
        </w:tblPrEx>
        <w:trPr>
          <w:wBefore w:w="0" w:type="auto"/>
          <w:tblCellSpacing w:w="0" w:type="dxa"/>
        </w:trPr>
        <w:tc>
          <w:tcPr>
            <w:tcW w:w="0" w:type="auto"/>
            <w:noWrap w:val="0"/>
            <w:vAlign w:val="center"/>
          </w:tcPr>
          <w:p w14:paraId="4FF675D5">
            <w:r>
              <w:rPr>
                <w:rStyle w:val="10"/>
                <w:rFonts w:hint="eastAsia"/>
              </w:rPr>
              <w:t>使用技术要求:</w:t>
            </w:r>
            <w:r>
              <w:rPr>
                <w:rFonts w:hint="eastAsia"/>
              </w:rPr>
              <w:br w:type="textWrapping"/>
            </w:r>
            <w:r>
              <w:rPr>
                <w:rStyle w:val="11"/>
                <w:rFonts w:hint="eastAsia"/>
              </w:rPr>
              <w:t>1.本品于柑橘木虱卵孵盛期至低龄若虫期喷雾施药1次，注意喷雾均匀、周到，以确保药效。2. 大风天或预计1小时内降雨，请勿施药。3.本品在柑橘树使用时的安全间隔期为28天，每季作物最多使用1次。</w:t>
            </w:r>
          </w:p>
        </w:tc>
      </w:tr>
      <w:tr w14:paraId="20960846">
        <w:tblPrEx>
          <w:tblCellMar>
            <w:top w:w="0" w:type="dxa"/>
            <w:left w:w="0" w:type="dxa"/>
            <w:bottom w:w="0" w:type="dxa"/>
            <w:right w:w="0" w:type="dxa"/>
          </w:tblCellMar>
        </w:tblPrEx>
        <w:trPr>
          <w:wBefore w:w="0" w:type="auto"/>
          <w:tblCellSpacing w:w="0" w:type="dxa"/>
        </w:trPr>
        <w:tc>
          <w:tcPr>
            <w:tcW w:w="0" w:type="auto"/>
            <w:noWrap w:val="0"/>
            <w:vAlign w:val="center"/>
          </w:tcPr>
          <w:p w14:paraId="3F687B03">
            <w:r>
              <w:rPr>
                <w:rStyle w:val="10"/>
                <w:rFonts w:hint="eastAsia"/>
              </w:rPr>
              <w:t>产品性能:</w:t>
            </w:r>
            <w:r>
              <w:rPr>
                <w:rFonts w:hint="eastAsia"/>
              </w:rPr>
              <w:br w:type="textWrapping"/>
            </w:r>
            <w:r>
              <w:rPr>
                <w:rStyle w:val="11"/>
                <w:rFonts w:hint="eastAsia"/>
              </w:rPr>
              <w:t>本品是吡丙醚与噻嗪酮的复配制剂，吡丙醚是保幼激素类型的几丁质合成抑制剂，具有杀卵作用及内吸性转移活性，可以影响隐藏在叶片背后的幼虫。对昆虫的抑制作用表现在影响昆虫蜕变和繁殖。噻嗪酮是抑制昆虫生长发育的选择性杀虫剂，具有触杀作用及胃毒作用。按推荐剂量使用，对柑橘树木虱有较好的防治效果。</w:t>
            </w:r>
          </w:p>
        </w:tc>
      </w:tr>
      <w:tr w14:paraId="3D1FB8B4">
        <w:tblPrEx>
          <w:tblCellMar>
            <w:top w:w="0" w:type="dxa"/>
            <w:left w:w="0" w:type="dxa"/>
            <w:bottom w:w="0" w:type="dxa"/>
            <w:right w:w="0" w:type="dxa"/>
          </w:tblCellMar>
        </w:tblPrEx>
        <w:trPr>
          <w:wBefore w:w="0" w:type="auto"/>
          <w:tblCellSpacing w:w="0" w:type="dxa"/>
        </w:trPr>
        <w:tc>
          <w:tcPr>
            <w:tcW w:w="0" w:type="auto"/>
            <w:noWrap w:val="0"/>
            <w:vAlign w:val="center"/>
          </w:tcPr>
          <w:p w14:paraId="35BCE949">
            <w:r>
              <w:rPr>
                <w:rStyle w:val="10"/>
                <w:rFonts w:hint="eastAsia"/>
              </w:rPr>
              <w:t>注意事项：</w:t>
            </w:r>
            <w:r>
              <w:rPr>
                <w:rFonts w:hint="eastAsia"/>
              </w:rPr>
              <w:br w:type="textWrapping"/>
            </w:r>
            <w:r>
              <w:rPr>
                <w:rStyle w:val="11"/>
                <w:rFonts w:hint="eastAsia"/>
              </w:rPr>
              <w:t>1、严格按规定用药量和方法使用。 2、建议与其他作用机制不同的杀虫剂轮换使用，以延缓抗性产生。 3、本品对鱼、溞、藻有毒；不可使用最外围桑树上的叶片饲喂家蚕，瓢虫（或其他代表性天敌）等天敌放飞区域禁用，水产养殖区、河塘等水体附近禁用，禁止在河塘等水体中清洗施药器具。 4、使用本品时应穿戴长衣、长裤、帽子、口罩、手套等安全防护措施。，避免吸入药液。施药期间不可吃东西和饮水。施药后应及时洗手和洗脸。 5、用药后包装物及用过的容器应妥善处理，不可做他用，也不可随意丢弃。 6、孕妇及哺乳期妇女禁止接触本品。</w:t>
            </w:r>
          </w:p>
        </w:tc>
      </w:tr>
      <w:tr w14:paraId="18B9B653">
        <w:tblPrEx>
          <w:tblCellMar>
            <w:top w:w="0" w:type="dxa"/>
            <w:left w:w="0" w:type="dxa"/>
            <w:bottom w:w="0" w:type="dxa"/>
            <w:right w:w="0" w:type="dxa"/>
          </w:tblCellMar>
        </w:tblPrEx>
        <w:trPr>
          <w:wBefore w:w="0" w:type="auto"/>
          <w:tblCellSpacing w:w="0" w:type="dxa"/>
        </w:trPr>
        <w:tc>
          <w:tcPr>
            <w:tcW w:w="0" w:type="auto"/>
            <w:noWrap w:val="0"/>
            <w:vAlign w:val="center"/>
          </w:tcPr>
          <w:p w14:paraId="3EDF4F6C">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62A82A60">
        <w:tblPrEx>
          <w:tblCellMar>
            <w:top w:w="0" w:type="dxa"/>
            <w:left w:w="0" w:type="dxa"/>
            <w:bottom w:w="0" w:type="dxa"/>
            <w:right w:w="0" w:type="dxa"/>
          </w:tblCellMar>
        </w:tblPrEx>
        <w:trPr>
          <w:wBefore w:w="0" w:type="auto"/>
          <w:tblCellSpacing w:w="0" w:type="dxa"/>
        </w:trPr>
        <w:tc>
          <w:tcPr>
            <w:tcW w:w="0" w:type="auto"/>
            <w:noWrap w:val="0"/>
            <w:vAlign w:val="center"/>
          </w:tcPr>
          <w:p w14:paraId="48D4A459">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本品应贮存在干燥、阴凉、通风、防雨处，远离火源或热源。置于儿童、无关人员及动物触及不到之处，并加锁保存。勿与食品、饮料、粮食、饲料、种子等其他商品同贮同运。</w:t>
            </w:r>
          </w:p>
        </w:tc>
      </w:tr>
      <w:tr w14:paraId="67D2A355">
        <w:tblPrEx>
          <w:tblCellMar>
            <w:top w:w="0" w:type="dxa"/>
            <w:left w:w="0" w:type="dxa"/>
            <w:bottom w:w="0" w:type="dxa"/>
            <w:right w:w="0" w:type="dxa"/>
          </w:tblCellMar>
        </w:tblPrEx>
        <w:trPr>
          <w:wBefore w:w="0" w:type="auto"/>
          <w:tblCellSpacing w:w="0" w:type="dxa"/>
        </w:trPr>
        <w:tc>
          <w:tcPr>
            <w:tcW w:w="0" w:type="auto"/>
            <w:noWrap w:val="0"/>
            <w:vAlign w:val="center"/>
          </w:tcPr>
          <w:p w14:paraId="3369FD48">
            <w:r>
              <w:rPr>
                <w:rStyle w:val="10"/>
                <w:rFonts w:hint="eastAsia"/>
              </w:rPr>
              <w:t>质量保证期：</w:t>
            </w:r>
            <w:r>
              <w:rPr>
                <w:rStyle w:val="11"/>
                <w:rFonts w:hint="eastAsia"/>
              </w:rPr>
              <w:t>2年</w:t>
            </w:r>
          </w:p>
        </w:tc>
      </w:tr>
      <w:tr w14:paraId="0366A660">
        <w:tblPrEx>
          <w:tblCellMar>
            <w:top w:w="0" w:type="dxa"/>
            <w:left w:w="0" w:type="dxa"/>
            <w:bottom w:w="0" w:type="dxa"/>
            <w:right w:w="0" w:type="dxa"/>
          </w:tblCellMar>
        </w:tblPrEx>
        <w:trPr>
          <w:wBefore w:w="0" w:type="auto"/>
          <w:tblCellSpacing w:w="0" w:type="dxa"/>
        </w:trPr>
        <w:tc>
          <w:tcPr>
            <w:tcW w:w="0" w:type="auto"/>
            <w:noWrap w:val="0"/>
            <w:vAlign w:val="center"/>
          </w:tcPr>
          <w:p w14:paraId="4B47155F">
            <w:r>
              <w:rPr>
                <w:rStyle w:val="10"/>
                <w:rFonts w:hint="eastAsia"/>
              </w:rPr>
              <w:t>备注：</w:t>
            </w:r>
          </w:p>
        </w:tc>
      </w:tr>
    </w:tbl>
    <w:p w14:paraId="5C2B48F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C187DBC">
        <w:tblPrEx>
          <w:tblCellMar>
            <w:top w:w="0" w:type="dxa"/>
            <w:left w:w="0" w:type="dxa"/>
            <w:bottom w:w="0" w:type="dxa"/>
            <w:right w:w="0" w:type="dxa"/>
          </w:tblCellMar>
        </w:tblPrEx>
        <w:trPr>
          <w:wBefore w:w="0" w:type="auto"/>
          <w:tblCellSpacing w:w="0" w:type="dxa"/>
        </w:trPr>
        <w:tc>
          <w:tcPr>
            <w:tcW w:w="0" w:type="auto"/>
            <w:noWrap w:val="0"/>
            <w:vAlign w:val="center"/>
          </w:tcPr>
          <w:p w14:paraId="40A62CDF">
            <w:r>
              <w:rPr>
                <w:rStyle w:val="10"/>
                <w:rFonts w:hint="eastAsia"/>
              </w:rPr>
              <w:t>登记证号：</w:t>
            </w:r>
            <w:r>
              <w:rPr>
                <w:rFonts w:hint="eastAsia"/>
              </w:rPr>
              <w:t>PD20212300</w:t>
            </w:r>
          </w:p>
        </w:tc>
      </w:tr>
      <w:tr w14:paraId="6C8282B0">
        <w:tblPrEx>
          <w:tblCellMar>
            <w:top w:w="0" w:type="dxa"/>
            <w:left w:w="0" w:type="dxa"/>
            <w:bottom w:w="0" w:type="dxa"/>
            <w:right w:w="0" w:type="dxa"/>
          </w:tblCellMar>
        </w:tblPrEx>
        <w:trPr>
          <w:wBefore w:w="0" w:type="auto"/>
          <w:tblCellSpacing w:w="0" w:type="dxa"/>
        </w:trPr>
        <w:tc>
          <w:tcPr>
            <w:tcW w:w="0" w:type="auto"/>
            <w:noWrap w:val="0"/>
            <w:vAlign w:val="center"/>
          </w:tcPr>
          <w:p w14:paraId="59548853">
            <w:r>
              <w:rPr>
                <w:rStyle w:val="10"/>
                <w:rFonts w:hint="eastAsia"/>
              </w:rPr>
              <w:t>登记证持有人：</w:t>
            </w:r>
            <w:r>
              <w:rPr>
                <w:rFonts w:hint="eastAsia"/>
              </w:rPr>
              <w:t>安徽华星化工有限公司</w:t>
            </w:r>
          </w:p>
        </w:tc>
      </w:tr>
      <w:tr w14:paraId="61C27EDD">
        <w:tblPrEx>
          <w:tblCellMar>
            <w:top w:w="0" w:type="dxa"/>
            <w:left w:w="0" w:type="dxa"/>
            <w:bottom w:w="0" w:type="dxa"/>
            <w:right w:w="0" w:type="dxa"/>
          </w:tblCellMar>
        </w:tblPrEx>
        <w:trPr>
          <w:wBefore w:w="0" w:type="auto"/>
          <w:tblCellSpacing w:w="0" w:type="dxa"/>
        </w:trPr>
        <w:tc>
          <w:tcPr>
            <w:tcW w:w="0" w:type="auto"/>
            <w:noWrap w:val="0"/>
            <w:vAlign w:val="center"/>
          </w:tcPr>
          <w:p w14:paraId="0383AB30">
            <w:r>
              <w:rPr>
                <w:rStyle w:val="10"/>
                <w:rFonts w:hint="eastAsia"/>
              </w:rPr>
              <w:t>农药名称：</w:t>
            </w:r>
            <w:r>
              <w:rPr>
                <w:rFonts w:hint="eastAsia"/>
              </w:rPr>
              <w:t>异丙隆</w:t>
            </w:r>
          </w:p>
        </w:tc>
      </w:tr>
      <w:tr w14:paraId="42F83148">
        <w:tblPrEx>
          <w:tblCellMar>
            <w:top w:w="0" w:type="dxa"/>
            <w:left w:w="0" w:type="dxa"/>
            <w:bottom w:w="0" w:type="dxa"/>
            <w:right w:w="0" w:type="dxa"/>
          </w:tblCellMar>
        </w:tblPrEx>
        <w:trPr>
          <w:wBefore w:w="0" w:type="auto"/>
          <w:tblCellSpacing w:w="0" w:type="dxa"/>
        </w:trPr>
        <w:tc>
          <w:tcPr>
            <w:tcW w:w="0" w:type="auto"/>
            <w:noWrap w:val="0"/>
            <w:vAlign w:val="center"/>
          </w:tcPr>
          <w:p w14:paraId="14A698B1">
            <w:r>
              <w:rPr>
                <w:rStyle w:val="10"/>
                <w:rFonts w:hint="eastAsia"/>
              </w:rPr>
              <w:t>剂型：</w:t>
            </w:r>
            <w:r>
              <w:rPr>
                <w:rFonts w:hint="eastAsia"/>
              </w:rPr>
              <w:t>悬浮剂</w:t>
            </w:r>
          </w:p>
        </w:tc>
      </w:tr>
      <w:tr w14:paraId="0ED05C1B">
        <w:tblPrEx>
          <w:tblCellMar>
            <w:top w:w="0" w:type="dxa"/>
            <w:left w:w="0" w:type="dxa"/>
            <w:bottom w:w="0" w:type="dxa"/>
            <w:right w:w="0" w:type="dxa"/>
          </w:tblCellMar>
        </w:tblPrEx>
        <w:trPr>
          <w:wBefore w:w="0" w:type="auto"/>
          <w:tblCellSpacing w:w="0" w:type="dxa"/>
        </w:trPr>
        <w:tc>
          <w:tcPr>
            <w:tcW w:w="0" w:type="auto"/>
            <w:noWrap w:val="0"/>
            <w:vAlign w:val="center"/>
          </w:tcPr>
          <w:p w14:paraId="0E93F2C2">
            <w:r>
              <w:rPr>
                <w:rStyle w:val="10"/>
                <w:rFonts w:hint="eastAsia"/>
              </w:rPr>
              <w:t>毒性及其标识：</w:t>
            </w:r>
            <w:r>
              <w:rPr>
                <w:rFonts w:hint="eastAsia"/>
              </w:rPr>
              <w:t xml:space="preserve"> </w:t>
            </w:r>
            <w:r>
              <w:rPr>
                <w:lang/>
              </w:rPr>
              <w:drawing>
                <wp:inline distT="0" distB="0" distL="114300" distR="114300">
                  <wp:extent cx="476250" cy="323850"/>
                  <wp:effectExtent l="0" t="0" r="0" b="0"/>
                  <wp:docPr id="507" name="图片 50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611B0CD">
        <w:tblPrEx>
          <w:tblCellMar>
            <w:top w:w="0" w:type="dxa"/>
            <w:left w:w="0" w:type="dxa"/>
            <w:bottom w:w="0" w:type="dxa"/>
            <w:right w:w="0" w:type="dxa"/>
          </w:tblCellMar>
        </w:tblPrEx>
        <w:trPr>
          <w:wBefore w:w="0" w:type="auto"/>
          <w:tblCellSpacing w:w="0" w:type="dxa"/>
        </w:trPr>
        <w:tc>
          <w:tcPr>
            <w:tcW w:w="0" w:type="auto"/>
            <w:noWrap w:val="0"/>
            <w:vAlign w:val="center"/>
          </w:tcPr>
          <w:p w14:paraId="19F190C1">
            <w:r>
              <w:rPr>
                <w:rStyle w:val="10"/>
                <w:rFonts w:hint="eastAsia"/>
              </w:rPr>
              <w:t>总有效成分含量：</w:t>
            </w:r>
            <w:r>
              <w:rPr>
                <w:rFonts w:hint="eastAsia"/>
              </w:rPr>
              <w:t>50%</w:t>
            </w:r>
          </w:p>
        </w:tc>
      </w:tr>
      <w:tr w14:paraId="5C0DFD49">
        <w:tblPrEx>
          <w:tblCellMar>
            <w:top w:w="0" w:type="dxa"/>
            <w:left w:w="0" w:type="dxa"/>
            <w:bottom w:w="0" w:type="dxa"/>
            <w:right w:w="0" w:type="dxa"/>
          </w:tblCellMar>
        </w:tblPrEx>
        <w:trPr>
          <w:wBefore w:w="0" w:type="auto"/>
          <w:tblCellSpacing w:w="0" w:type="dxa"/>
        </w:trPr>
        <w:tc>
          <w:tcPr>
            <w:tcW w:w="0" w:type="auto"/>
            <w:noWrap w:val="0"/>
            <w:vAlign w:val="center"/>
          </w:tcPr>
          <w:p w14:paraId="291894C7">
            <w:r>
              <w:rPr>
                <w:rFonts w:hint="eastAsia"/>
              </w:rPr>
              <w:t xml:space="preserve">有效成分及其含量： </w:t>
            </w:r>
          </w:p>
          <w:p w14:paraId="7504C6F5">
            <w:r>
              <w:rPr>
                <w:rFonts w:hint="eastAsia"/>
              </w:rPr>
              <w:t xml:space="preserve">    异丙隆50%    </w:t>
            </w:r>
          </w:p>
        </w:tc>
      </w:tr>
      <w:tr w14:paraId="31D4C53D">
        <w:tblPrEx>
          <w:tblCellMar>
            <w:top w:w="0" w:type="dxa"/>
            <w:left w:w="0" w:type="dxa"/>
            <w:bottom w:w="0" w:type="dxa"/>
            <w:right w:w="0" w:type="dxa"/>
          </w:tblCellMar>
        </w:tblPrEx>
        <w:trPr>
          <w:wBefore w:w="0" w:type="auto"/>
          <w:tblCellSpacing w:w="0" w:type="dxa"/>
        </w:trPr>
        <w:tc>
          <w:tcPr>
            <w:tcW w:w="0" w:type="auto"/>
            <w:noWrap w:val="0"/>
            <w:vAlign w:val="center"/>
          </w:tcPr>
          <w:p w14:paraId="0DC45CB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36450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1465A3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F8617E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BCFC5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8268B55">
                  <w:r>
                    <w:rPr>
                      <w:rStyle w:val="11"/>
                      <w:rFonts w:hint="eastAsia"/>
                    </w:rPr>
                    <w:t>施用方式</w:t>
                  </w:r>
                </w:p>
              </w:tc>
            </w:tr>
            <w:tr w14:paraId="217213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062007D">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DE026C">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407341">
                  <w:r>
                    <w:rPr>
                      <w:rStyle w:val="11"/>
                      <w:rFonts w:hint="eastAsia"/>
                    </w:rPr>
                    <w:t>100-150毫升/亩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E0D39D">
                  <w:r>
                    <w:rPr>
                      <w:rStyle w:val="11"/>
                      <w:rFonts w:hint="eastAsia"/>
                    </w:rPr>
                    <w:t>茎叶喷雾</w:t>
                  </w:r>
                </w:p>
              </w:tc>
            </w:tr>
          </w:tbl>
          <w:p w14:paraId="0B8F6D9E">
            <w:pPr>
              <w:rPr>
                <w:rFonts w:ascii="Times New Roman" w:hAnsi="Times New Roman" w:cs="Times New Roman"/>
                <w:sz w:val="20"/>
                <w:szCs w:val="20"/>
              </w:rPr>
            </w:pPr>
          </w:p>
        </w:tc>
      </w:tr>
      <w:tr w14:paraId="5A1DAE70">
        <w:tblPrEx>
          <w:tblCellMar>
            <w:top w:w="0" w:type="dxa"/>
            <w:left w:w="0" w:type="dxa"/>
            <w:bottom w:w="0" w:type="dxa"/>
            <w:right w:w="0" w:type="dxa"/>
          </w:tblCellMar>
        </w:tblPrEx>
        <w:trPr>
          <w:wBefore w:w="0" w:type="auto"/>
          <w:tblCellSpacing w:w="0" w:type="dxa"/>
        </w:trPr>
        <w:tc>
          <w:tcPr>
            <w:tcW w:w="0" w:type="auto"/>
            <w:noWrap w:val="0"/>
            <w:vAlign w:val="center"/>
          </w:tcPr>
          <w:p w14:paraId="55E10766">
            <w:r>
              <w:rPr>
                <w:rStyle w:val="10"/>
                <w:rFonts w:hint="eastAsia"/>
              </w:rPr>
              <w:t>使用技术要求:</w:t>
            </w:r>
            <w:r>
              <w:rPr>
                <w:rFonts w:hint="eastAsia"/>
              </w:rPr>
              <w:br w:type="textWrapping"/>
            </w:r>
            <w:r>
              <w:rPr>
                <w:rStyle w:val="11"/>
                <w:rFonts w:hint="eastAsia"/>
              </w:rPr>
              <w:t>1、在冬小麦返青后至拔节前，杂草2-5叶期茎叶喷雾施药一次。2、推荐用水量为30-40升/亩，根据当地实际情况而定，喷药应均匀透彻，细雾。3、用药量要正确，喷雾要均匀，以防用药过多产生药害。冬季遇寒流时不能施药。,4、大风天或预计1小时内降雨，请勿施药。5、每季最多用药1次。</w:t>
            </w:r>
          </w:p>
        </w:tc>
      </w:tr>
      <w:tr w14:paraId="613218F5">
        <w:tblPrEx>
          <w:tblCellMar>
            <w:top w:w="0" w:type="dxa"/>
            <w:left w:w="0" w:type="dxa"/>
            <w:bottom w:w="0" w:type="dxa"/>
            <w:right w:w="0" w:type="dxa"/>
          </w:tblCellMar>
        </w:tblPrEx>
        <w:trPr>
          <w:wBefore w:w="0" w:type="auto"/>
          <w:tblCellSpacing w:w="0" w:type="dxa"/>
        </w:trPr>
        <w:tc>
          <w:tcPr>
            <w:tcW w:w="0" w:type="auto"/>
            <w:noWrap w:val="0"/>
            <w:vAlign w:val="center"/>
          </w:tcPr>
          <w:p w14:paraId="6F2ECCBB">
            <w:r>
              <w:rPr>
                <w:rStyle w:val="10"/>
                <w:rFonts w:hint="eastAsia"/>
              </w:rPr>
              <w:t>产品性能:</w:t>
            </w:r>
            <w:r>
              <w:rPr>
                <w:rFonts w:hint="eastAsia"/>
              </w:rPr>
              <w:br w:type="textWrapping"/>
            </w:r>
            <w:r>
              <w:rPr>
                <w:rStyle w:val="11"/>
                <w:rFonts w:hint="eastAsia"/>
              </w:rPr>
              <w:t>本品是一种内吸传导型选择性除草剂，通过杂草根系和幼叶吸收。可用于冬小麦田防除看麦娘、日本看麦娘、菵草、硬草等禾本科杂草及繁缕、牛繁缕、碎米荠等部分阔叶杂草。</w:t>
            </w:r>
          </w:p>
        </w:tc>
      </w:tr>
      <w:tr w14:paraId="75815026">
        <w:tblPrEx>
          <w:tblCellMar>
            <w:top w:w="0" w:type="dxa"/>
            <w:left w:w="0" w:type="dxa"/>
            <w:bottom w:w="0" w:type="dxa"/>
            <w:right w:w="0" w:type="dxa"/>
          </w:tblCellMar>
        </w:tblPrEx>
        <w:trPr>
          <w:wBefore w:w="0" w:type="auto"/>
          <w:tblCellSpacing w:w="0" w:type="dxa"/>
        </w:trPr>
        <w:tc>
          <w:tcPr>
            <w:tcW w:w="0" w:type="auto"/>
            <w:noWrap w:val="0"/>
            <w:vAlign w:val="center"/>
          </w:tcPr>
          <w:p w14:paraId="0BD9DA05">
            <w:r>
              <w:rPr>
                <w:rStyle w:val="10"/>
                <w:rFonts w:hint="eastAsia"/>
              </w:rPr>
              <w:t>注意事项：</w:t>
            </w:r>
            <w:r>
              <w:rPr>
                <w:rFonts w:hint="eastAsia"/>
              </w:rPr>
              <w:br w:type="textWrapping"/>
            </w:r>
            <w:r>
              <w:rPr>
                <w:rStyle w:val="11"/>
                <w:rFonts w:hint="eastAsia"/>
              </w:rPr>
              <w:t>1、本品对一些作物敏感，不宜用于套种或间作玉米、棉花、油菜、花生、豆类、瓜类甜菜等阔叶作物的小麦田，也不得用于以上述作物为后茬的小麦田；2、施用过磷酸钙的、作物生长势弱或受冻的、漏耕地段及砂性重或排水不良的土壤不宜使用本品；3、远离水产养殖区施药，禁止在河塘等水体中清洗施药器具。避免在蚕室和桑园附近使用药剂，延长药后桑叶采摘间隔期。鸟类保护区禁用。4、施药时应穿戴长衣长裤、帽子、口罩、手套、鞋等，避免吸入药液。施药期间不可吃东西、喝水和吸烟。施药后应及时洗手、洗脸并洗涤施药时穿着的衣物。5、孕妇和哺乳期妇女避免接触本品。6、用过的容器应妥善处理，不可另做他用，也不可随意丢弃。7、避免与氧化剂接触。</w:t>
            </w:r>
          </w:p>
        </w:tc>
      </w:tr>
      <w:tr w14:paraId="62BD50D6">
        <w:tblPrEx>
          <w:tblCellMar>
            <w:top w:w="0" w:type="dxa"/>
            <w:left w:w="0" w:type="dxa"/>
            <w:bottom w:w="0" w:type="dxa"/>
            <w:right w:w="0" w:type="dxa"/>
          </w:tblCellMar>
        </w:tblPrEx>
        <w:trPr>
          <w:wBefore w:w="0" w:type="auto"/>
          <w:tblCellSpacing w:w="0" w:type="dxa"/>
        </w:trPr>
        <w:tc>
          <w:tcPr>
            <w:tcW w:w="0" w:type="auto"/>
            <w:noWrap w:val="0"/>
            <w:vAlign w:val="center"/>
          </w:tcPr>
          <w:p w14:paraId="5738321D">
            <w:r>
              <w:rPr>
                <w:rStyle w:val="10"/>
                <w:rFonts w:hint="eastAsia"/>
              </w:rPr>
              <w:t>中毒急救措施：</w:t>
            </w:r>
            <w:r>
              <w:rPr>
                <w:rFonts w:hint="eastAsia"/>
              </w:rPr>
              <w:br w:type="textWrapping"/>
            </w:r>
            <w:r>
              <w:rPr>
                <w:rStyle w:val="11"/>
                <w:rFonts w:hint="eastAsia"/>
              </w:rPr>
              <w:t xml:space="preserve">中毒症状：对眼睛、皮肤和粘膜有刺激作用，一 般不会引起全身毒性。急救措施：尚无特效解毒剂。 不慎接触皮肤或溅入眼睛，应用大量的流动清水冲洗至少15分钟。误服，若摄入量大，病人十分清醒，则应立即携此标签将病人送医院，可用吐根糖浆诱吐，还可在服用的活性炭泥中加入山梨醇，并对症治疗。 </w:t>
            </w:r>
          </w:p>
        </w:tc>
      </w:tr>
      <w:tr w14:paraId="5D1DF2CB">
        <w:tblPrEx>
          <w:tblCellMar>
            <w:top w:w="0" w:type="dxa"/>
            <w:left w:w="0" w:type="dxa"/>
            <w:bottom w:w="0" w:type="dxa"/>
            <w:right w:w="0" w:type="dxa"/>
          </w:tblCellMar>
        </w:tblPrEx>
        <w:trPr>
          <w:wBefore w:w="0" w:type="auto"/>
          <w:tblCellSpacing w:w="0" w:type="dxa"/>
        </w:trPr>
        <w:tc>
          <w:tcPr>
            <w:tcW w:w="0" w:type="auto"/>
            <w:noWrap w:val="0"/>
            <w:vAlign w:val="center"/>
          </w:tcPr>
          <w:p w14:paraId="115C9E8B">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本品应贮存在干燥、阴凉、通风、防雨处,远离火源或热源。置于儿童触及不到之处,并加锁。勿与食品、饮料、饲料、粮食等混合储运。本品在运输途中，避免日晒、雨淋，确保包装物完好无损。</w:t>
            </w:r>
          </w:p>
        </w:tc>
      </w:tr>
      <w:tr w14:paraId="5EC3D52B">
        <w:tblPrEx>
          <w:tblCellMar>
            <w:top w:w="0" w:type="dxa"/>
            <w:left w:w="0" w:type="dxa"/>
            <w:bottom w:w="0" w:type="dxa"/>
            <w:right w:w="0" w:type="dxa"/>
          </w:tblCellMar>
        </w:tblPrEx>
        <w:trPr>
          <w:wBefore w:w="0" w:type="auto"/>
          <w:tblCellSpacing w:w="0" w:type="dxa"/>
        </w:trPr>
        <w:tc>
          <w:tcPr>
            <w:tcW w:w="0" w:type="auto"/>
            <w:noWrap w:val="0"/>
            <w:vAlign w:val="center"/>
          </w:tcPr>
          <w:p w14:paraId="6BF730B1">
            <w:r>
              <w:rPr>
                <w:rStyle w:val="10"/>
                <w:rFonts w:hint="eastAsia"/>
              </w:rPr>
              <w:t>质量保证期：</w:t>
            </w:r>
            <w:r>
              <w:rPr>
                <w:rStyle w:val="11"/>
                <w:rFonts w:hint="eastAsia"/>
              </w:rPr>
              <w:t>2年</w:t>
            </w:r>
          </w:p>
        </w:tc>
      </w:tr>
      <w:tr w14:paraId="5AF0008A">
        <w:tblPrEx>
          <w:tblCellMar>
            <w:top w:w="0" w:type="dxa"/>
            <w:left w:w="0" w:type="dxa"/>
            <w:bottom w:w="0" w:type="dxa"/>
            <w:right w:w="0" w:type="dxa"/>
          </w:tblCellMar>
        </w:tblPrEx>
        <w:trPr>
          <w:wBefore w:w="0" w:type="auto"/>
          <w:tblCellSpacing w:w="0" w:type="dxa"/>
        </w:trPr>
        <w:tc>
          <w:tcPr>
            <w:tcW w:w="0" w:type="auto"/>
            <w:noWrap w:val="0"/>
            <w:vAlign w:val="center"/>
          </w:tcPr>
          <w:p w14:paraId="1712D353">
            <w:r>
              <w:rPr>
                <w:rStyle w:val="10"/>
                <w:rFonts w:hint="eastAsia"/>
              </w:rPr>
              <w:t>备注：</w:t>
            </w:r>
          </w:p>
        </w:tc>
      </w:tr>
    </w:tbl>
    <w:p w14:paraId="3A9A36B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CB51946">
        <w:tblPrEx>
          <w:tblCellMar>
            <w:top w:w="0" w:type="dxa"/>
            <w:left w:w="0" w:type="dxa"/>
            <w:bottom w:w="0" w:type="dxa"/>
            <w:right w:w="0" w:type="dxa"/>
          </w:tblCellMar>
        </w:tblPrEx>
        <w:trPr>
          <w:wBefore w:w="0" w:type="auto"/>
          <w:tblCellSpacing w:w="0" w:type="dxa"/>
        </w:trPr>
        <w:tc>
          <w:tcPr>
            <w:tcW w:w="0" w:type="auto"/>
            <w:noWrap w:val="0"/>
            <w:vAlign w:val="center"/>
          </w:tcPr>
          <w:p w14:paraId="77E2BD11">
            <w:r>
              <w:rPr>
                <w:rStyle w:val="10"/>
                <w:rFonts w:hint="eastAsia"/>
              </w:rPr>
              <w:t>登记证号：</w:t>
            </w:r>
            <w:r>
              <w:rPr>
                <w:rFonts w:hint="eastAsia"/>
              </w:rPr>
              <w:t>WP20150191</w:t>
            </w:r>
          </w:p>
        </w:tc>
      </w:tr>
      <w:tr w14:paraId="15B384EF">
        <w:tblPrEx>
          <w:tblCellMar>
            <w:top w:w="0" w:type="dxa"/>
            <w:left w:w="0" w:type="dxa"/>
            <w:bottom w:w="0" w:type="dxa"/>
            <w:right w:w="0" w:type="dxa"/>
          </w:tblCellMar>
        </w:tblPrEx>
        <w:trPr>
          <w:wBefore w:w="0" w:type="auto"/>
          <w:tblCellSpacing w:w="0" w:type="dxa"/>
        </w:trPr>
        <w:tc>
          <w:tcPr>
            <w:tcW w:w="0" w:type="auto"/>
            <w:noWrap w:val="0"/>
            <w:vAlign w:val="center"/>
          </w:tcPr>
          <w:p w14:paraId="403385D6">
            <w:r>
              <w:rPr>
                <w:rStyle w:val="10"/>
                <w:rFonts w:hint="eastAsia"/>
              </w:rPr>
              <w:t>登记证持有人：</w:t>
            </w:r>
            <w:r>
              <w:rPr>
                <w:rFonts w:hint="eastAsia"/>
              </w:rPr>
              <w:t>佛山市南海添惠日化有限公司</w:t>
            </w:r>
          </w:p>
        </w:tc>
      </w:tr>
      <w:tr w14:paraId="03A28BAD">
        <w:tblPrEx>
          <w:tblCellMar>
            <w:top w:w="0" w:type="dxa"/>
            <w:left w:w="0" w:type="dxa"/>
            <w:bottom w:w="0" w:type="dxa"/>
            <w:right w:w="0" w:type="dxa"/>
          </w:tblCellMar>
        </w:tblPrEx>
        <w:trPr>
          <w:wBefore w:w="0" w:type="auto"/>
          <w:tblCellSpacing w:w="0" w:type="dxa"/>
        </w:trPr>
        <w:tc>
          <w:tcPr>
            <w:tcW w:w="0" w:type="auto"/>
            <w:noWrap w:val="0"/>
            <w:vAlign w:val="center"/>
          </w:tcPr>
          <w:p w14:paraId="4905AAE7">
            <w:r>
              <w:rPr>
                <w:rStyle w:val="10"/>
                <w:rFonts w:hint="eastAsia"/>
              </w:rPr>
              <w:t>农药名称：</w:t>
            </w:r>
            <w:r>
              <w:rPr>
                <w:rFonts w:hint="eastAsia"/>
              </w:rPr>
              <w:t>杀蟑饵剂</w:t>
            </w:r>
          </w:p>
        </w:tc>
      </w:tr>
      <w:tr w14:paraId="1BB97DDD">
        <w:tblPrEx>
          <w:tblCellMar>
            <w:top w:w="0" w:type="dxa"/>
            <w:left w:w="0" w:type="dxa"/>
            <w:bottom w:w="0" w:type="dxa"/>
            <w:right w:w="0" w:type="dxa"/>
          </w:tblCellMar>
        </w:tblPrEx>
        <w:trPr>
          <w:wBefore w:w="0" w:type="auto"/>
          <w:tblCellSpacing w:w="0" w:type="dxa"/>
        </w:trPr>
        <w:tc>
          <w:tcPr>
            <w:tcW w:w="0" w:type="auto"/>
            <w:noWrap w:val="0"/>
            <w:vAlign w:val="center"/>
          </w:tcPr>
          <w:p w14:paraId="28D7288E">
            <w:r>
              <w:rPr>
                <w:rStyle w:val="10"/>
                <w:rFonts w:hint="eastAsia"/>
              </w:rPr>
              <w:t>剂型：</w:t>
            </w:r>
            <w:r>
              <w:rPr>
                <w:rFonts w:hint="eastAsia"/>
              </w:rPr>
              <w:t>饵剂</w:t>
            </w:r>
          </w:p>
        </w:tc>
      </w:tr>
      <w:tr w14:paraId="784C3801">
        <w:tblPrEx>
          <w:tblCellMar>
            <w:top w:w="0" w:type="dxa"/>
            <w:left w:w="0" w:type="dxa"/>
            <w:bottom w:w="0" w:type="dxa"/>
            <w:right w:w="0" w:type="dxa"/>
          </w:tblCellMar>
        </w:tblPrEx>
        <w:trPr>
          <w:wBefore w:w="0" w:type="auto"/>
          <w:tblCellSpacing w:w="0" w:type="dxa"/>
        </w:trPr>
        <w:tc>
          <w:tcPr>
            <w:tcW w:w="0" w:type="auto"/>
            <w:noWrap w:val="0"/>
            <w:vAlign w:val="center"/>
          </w:tcPr>
          <w:p w14:paraId="702EAAD4">
            <w:r>
              <w:rPr>
                <w:rStyle w:val="10"/>
                <w:rFonts w:hint="eastAsia"/>
              </w:rPr>
              <w:t>毒性及其标识：</w:t>
            </w:r>
            <w:r>
              <w:rPr>
                <w:rFonts w:hint="eastAsia"/>
              </w:rPr>
              <w:t xml:space="preserve"> 微毒 </w:t>
            </w:r>
          </w:p>
        </w:tc>
      </w:tr>
      <w:tr w14:paraId="22F8504E">
        <w:tblPrEx>
          <w:tblCellMar>
            <w:top w:w="0" w:type="dxa"/>
            <w:left w:w="0" w:type="dxa"/>
            <w:bottom w:w="0" w:type="dxa"/>
            <w:right w:w="0" w:type="dxa"/>
          </w:tblCellMar>
        </w:tblPrEx>
        <w:trPr>
          <w:wBefore w:w="0" w:type="auto"/>
          <w:tblCellSpacing w:w="0" w:type="dxa"/>
        </w:trPr>
        <w:tc>
          <w:tcPr>
            <w:tcW w:w="0" w:type="auto"/>
            <w:noWrap w:val="0"/>
            <w:vAlign w:val="center"/>
          </w:tcPr>
          <w:p w14:paraId="7B5181B9">
            <w:r>
              <w:rPr>
                <w:rStyle w:val="10"/>
                <w:rFonts w:hint="eastAsia"/>
              </w:rPr>
              <w:t>总有效成分含量：</w:t>
            </w:r>
            <w:r>
              <w:rPr>
                <w:rFonts w:hint="eastAsia"/>
              </w:rPr>
              <w:t>0.05%</w:t>
            </w:r>
          </w:p>
        </w:tc>
      </w:tr>
      <w:tr w14:paraId="220DA19F">
        <w:tblPrEx>
          <w:tblCellMar>
            <w:top w:w="0" w:type="dxa"/>
            <w:left w:w="0" w:type="dxa"/>
            <w:bottom w:w="0" w:type="dxa"/>
            <w:right w:w="0" w:type="dxa"/>
          </w:tblCellMar>
        </w:tblPrEx>
        <w:trPr>
          <w:wBefore w:w="0" w:type="auto"/>
          <w:tblCellSpacing w:w="0" w:type="dxa"/>
        </w:trPr>
        <w:tc>
          <w:tcPr>
            <w:tcW w:w="0" w:type="auto"/>
            <w:noWrap w:val="0"/>
            <w:vAlign w:val="center"/>
          </w:tcPr>
          <w:p w14:paraId="007A3116">
            <w:r>
              <w:rPr>
                <w:rFonts w:hint="eastAsia"/>
              </w:rPr>
              <w:t xml:space="preserve">有效成分及其含量： </w:t>
            </w:r>
          </w:p>
          <w:p w14:paraId="7A6652C8">
            <w:r>
              <w:rPr>
                <w:rFonts w:hint="eastAsia"/>
              </w:rPr>
              <w:t xml:space="preserve">    氟虫腈0.05%    </w:t>
            </w:r>
          </w:p>
        </w:tc>
      </w:tr>
      <w:tr w14:paraId="23226817">
        <w:tblPrEx>
          <w:tblCellMar>
            <w:top w:w="0" w:type="dxa"/>
            <w:left w:w="0" w:type="dxa"/>
            <w:bottom w:w="0" w:type="dxa"/>
            <w:right w:w="0" w:type="dxa"/>
          </w:tblCellMar>
        </w:tblPrEx>
        <w:trPr>
          <w:wBefore w:w="0" w:type="auto"/>
          <w:tblCellSpacing w:w="0" w:type="dxa"/>
        </w:trPr>
        <w:tc>
          <w:tcPr>
            <w:tcW w:w="0" w:type="auto"/>
            <w:noWrap w:val="0"/>
            <w:vAlign w:val="center"/>
          </w:tcPr>
          <w:p w14:paraId="30449CF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58BB9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2F81F2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9DAFA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30DB31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14CBFC2">
                  <w:r>
                    <w:rPr>
                      <w:rStyle w:val="11"/>
                      <w:rFonts w:hint="eastAsia"/>
                    </w:rPr>
                    <w:t>施用方式</w:t>
                  </w:r>
                </w:p>
              </w:tc>
            </w:tr>
            <w:tr w14:paraId="340B76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2D586B1">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3BE597">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8ED152">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C4FC2F">
                  <w:r>
                    <w:rPr>
                      <w:rStyle w:val="11"/>
                      <w:rFonts w:hint="eastAsia"/>
                    </w:rPr>
                    <w:t>投放</w:t>
                  </w:r>
                </w:p>
              </w:tc>
            </w:tr>
          </w:tbl>
          <w:p w14:paraId="4BDEC767">
            <w:pPr>
              <w:rPr>
                <w:rFonts w:ascii="Times New Roman" w:hAnsi="Times New Roman" w:cs="Times New Roman"/>
                <w:sz w:val="20"/>
                <w:szCs w:val="20"/>
              </w:rPr>
            </w:pPr>
          </w:p>
        </w:tc>
      </w:tr>
      <w:tr w14:paraId="65D4A6C2">
        <w:tblPrEx>
          <w:tblCellMar>
            <w:top w:w="0" w:type="dxa"/>
            <w:left w:w="0" w:type="dxa"/>
            <w:bottom w:w="0" w:type="dxa"/>
            <w:right w:w="0" w:type="dxa"/>
          </w:tblCellMar>
        </w:tblPrEx>
        <w:trPr>
          <w:wBefore w:w="0" w:type="auto"/>
          <w:tblCellSpacing w:w="0" w:type="dxa"/>
        </w:trPr>
        <w:tc>
          <w:tcPr>
            <w:tcW w:w="0" w:type="auto"/>
            <w:noWrap w:val="0"/>
            <w:vAlign w:val="center"/>
          </w:tcPr>
          <w:p w14:paraId="022E9969">
            <w:r>
              <w:rPr>
                <w:rStyle w:val="10"/>
                <w:rFonts w:hint="eastAsia"/>
              </w:rPr>
              <w:t>使用技术要求:</w:t>
            </w:r>
            <w:r>
              <w:rPr>
                <w:rFonts w:hint="eastAsia"/>
              </w:rPr>
              <w:br w:type="textWrapping"/>
            </w:r>
            <w:r>
              <w:rPr>
                <w:rStyle w:val="11"/>
                <w:rFonts w:hint="eastAsia"/>
              </w:rPr>
              <w:t xml:space="preserve">将饵剂投放于蜚蠊经常活动、栖息处，如缝隙、空洞、走道等。也可使用浅口器皿盛放饵剂。 </w:t>
            </w:r>
          </w:p>
        </w:tc>
      </w:tr>
      <w:tr w14:paraId="5D3D1A58">
        <w:tblPrEx>
          <w:tblCellMar>
            <w:top w:w="0" w:type="dxa"/>
            <w:left w:w="0" w:type="dxa"/>
            <w:bottom w:w="0" w:type="dxa"/>
            <w:right w:w="0" w:type="dxa"/>
          </w:tblCellMar>
        </w:tblPrEx>
        <w:trPr>
          <w:wBefore w:w="0" w:type="auto"/>
          <w:tblCellSpacing w:w="0" w:type="dxa"/>
        </w:trPr>
        <w:tc>
          <w:tcPr>
            <w:tcW w:w="0" w:type="auto"/>
            <w:noWrap w:val="0"/>
            <w:vAlign w:val="center"/>
          </w:tcPr>
          <w:p w14:paraId="54321495">
            <w:r>
              <w:rPr>
                <w:rStyle w:val="10"/>
                <w:rFonts w:hint="eastAsia"/>
              </w:rPr>
              <w:t>产品性能:</w:t>
            </w:r>
            <w:r>
              <w:rPr>
                <w:rFonts w:hint="eastAsia"/>
              </w:rPr>
              <w:br w:type="textWrapping"/>
            </w:r>
            <w:r>
              <w:rPr>
                <w:rStyle w:val="11"/>
                <w:rFonts w:hint="eastAsia"/>
              </w:rPr>
              <w:t>本品以氟虫腈为有效成分，是目前安全有效灭除蟑螂的方法之一，适用于家庭、宾馆、餐厅、办公室等室内场所。</w:t>
            </w:r>
          </w:p>
        </w:tc>
      </w:tr>
      <w:tr w14:paraId="4F5A47B0">
        <w:tblPrEx>
          <w:tblCellMar>
            <w:top w:w="0" w:type="dxa"/>
            <w:left w:w="0" w:type="dxa"/>
            <w:bottom w:w="0" w:type="dxa"/>
            <w:right w:w="0" w:type="dxa"/>
          </w:tblCellMar>
        </w:tblPrEx>
        <w:trPr>
          <w:wBefore w:w="0" w:type="auto"/>
          <w:tblCellSpacing w:w="0" w:type="dxa"/>
        </w:trPr>
        <w:tc>
          <w:tcPr>
            <w:tcW w:w="0" w:type="auto"/>
            <w:noWrap w:val="0"/>
            <w:vAlign w:val="center"/>
          </w:tcPr>
          <w:p w14:paraId="6D104C57">
            <w:r>
              <w:rPr>
                <w:rStyle w:val="10"/>
                <w:rFonts w:hint="eastAsia"/>
              </w:rPr>
              <w:t>注意事项：</w:t>
            </w:r>
            <w:r>
              <w:rPr>
                <w:rFonts w:hint="eastAsia"/>
              </w:rPr>
              <w:br w:type="textWrapping"/>
            </w:r>
            <w:r>
              <w:rPr>
                <w:rStyle w:val="11"/>
                <w:rFonts w:hint="eastAsia"/>
              </w:rPr>
              <w:t xml:space="preserve">1、置于儿童接触不到的地方； 2、用后洗手，过敏者禁用； 3、使用中有任何不良反应立即携标签到医院就医对症治疗； 4、对鱼、蚕有毒，严禁蚕室、蚕房及附近使用，以免造成危害。 </w:t>
            </w:r>
          </w:p>
        </w:tc>
      </w:tr>
      <w:tr w14:paraId="5E1C5C9D">
        <w:tblPrEx>
          <w:tblCellMar>
            <w:top w:w="0" w:type="dxa"/>
            <w:left w:w="0" w:type="dxa"/>
            <w:bottom w:w="0" w:type="dxa"/>
            <w:right w:w="0" w:type="dxa"/>
          </w:tblCellMar>
        </w:tblPrEx>
        <w:trPr>
          <w:wBefore w:w="0" w:type="auto"/>
          <w:tblCellSpacing w:w="0" w:type="dxa"/>
        </w:trPr>
        <w:tc>
          <w:tcPr>
            <w:tcW w:w="0" w:type="auto"/>
            <w:noWrap w:val="0"/>
            <w:vAlign w:val="center"/>
          </w:tcPr>
          <w:p w14:paraId="513E7DC8">
            <w:r>
              <w:rPr>
                <w:rStyle w:val="10"/>
                <w:rFonts w:hint="eastAsia"/>
              </w:rPr>
              <w:t>中毒急救措施：</w:t>
            </w:r>
            <w:r>
              <w:rPr>
                <w:rFonts w:hint="eastAsia"/>
              </w:rPr>
              <w:br w:type="textWrapping"/>
            </w:r>
            <w:r>
              <w:rPr>
                <w:rStyle w:val="11"/>
                <w:rFonts w:hint="eastAsia"/>
              </w:rPr>
              <w:t>若有皮肤或眼睛接触请及时用清水冲洗，如不慎误食或使用中出现任何不良反应立即写标签就医，对症治疗。</w:t>
            </w:r>
          </w:p>
        </w:tc>
      </w:tr>
      <w:tr w14:paraId="23285643">
        <w:tblPrEx>
          <w:tblCellMar>
            <w:top w:w="0" w:type="dxa"/>
            <w:left w:w="0" w:type="dxa"/>
            <w:bottom w:w="0" w:type="dxa"/>
            <w:right w:w="0" w:type="dxa"/>
          </w:tblCellMar>
        </w:tblPrEx>
        <w:trPr>
          <w:wBefore w:w="0" w:type="auto"/>
          <w:tblCellSpacing w:w="0" w:type="dxa"/>
        </w:trPr>
        <w:tc>
          <w:tcPr>
            <w:tcW w:w="0" w:type="auto"/>
            <w:noWrap w:val="0"/>
            <w:vAlign w:val="center"/>
          </w:tcPr>
          <w:p w14:paraId="7B1BA928">
            <w:r>
              <w:rPr>
                <w:rStyle w:val="10"/>
                <w:rFonts w:hint="eastAsia"/>
              </w:rPr>
              <w:t>储存和运输方法：</w:t>
            </w:r>
            <w:r>
              <w:rPr>
                <w:rFonts w:hint="eastAsia"/>
              </w:rPr>
              <w:br w:type="textWrapping"/>
            </w:r>
            <w:r>
              <w:rPr>
                <w:rStyle w:val="11"/>
                <w:rFonts w:hint="eastAsia"/>
              </w:rPr>
              <w:t xml:space="preserve">1、本品应贮存于通风干燥仓库内，并堆放在地仓板上，不得倒置，远离热源。 2、置于儿童触及不到处，勿与食品、饮料、饲料、种子及易燃易爆品同贮同运。 3、运输时必须轻装轻卸，按箭头标志堆放，不得日晒雨淋。 </w:t>
            </w:r>
          </w:p>
        </w:tc>
      </w:tr>
      <w:tr w14:paraId="660FE42C">
        <w:tblPrEx>
          <w:tblCellMar>
            <w:top w:w="0" w:type="dxa"/>
            <w:left w:w="0" w:type="dxa"/>
            <w:bottom w:w="0" w:type="dxa"/>
            <w:right w:w="0" w:type="dxa"/>
          </w:tblCellMar>
        </w:tblPrEx>
        <w:trPr>
          <w:wBefore w:w="0" w:type="auto"/>
          <w:tblCellSpacing w:w="0" w:type="dxa"/>
        </w:trPr>
        <w:tc>
          <w:tcPr>
            <w:tcW w:w="0" w:type="auto"/>
            <w:noWrap w:val="0"/>
            <w:vAlign w:val="center"/>
          </w:tcPr>
          <w:p w14:paraId="591F6610">
            <w:r>
              <w:rPr>
                <w:rStyle w:val="10"/>
                <w:rFonts w:hint="eastAsia"/>
              </w:rPr>
              <w:t>质量保证期：</w:t>
            </w:r>
            <w:r>
              <w:rPr>
                <w:rStyle w:val="11"/>
                <w:rFonts w:hint="eastAsia"/>
              </w:rPr>
              <w:t>2年</w:t>
            </w:r>
          </w:p>
        </w:tc>
      </w:tr>
      <w:tr w14:paraId="6A61F3FC">
        <w:tblPrEx>
          <w:tblCellMar>
            <w:top w:w="0" w:type="dxa"/>
            <w:left w:w="0" w:type="dxa"/>
            <w:bottom w:w="0" w:type="dxa"/>
            <w:right w:w="0" w:type="dxa"/>
          </w:tblCellMar>
        </w:tblPrEx>
        <w:trPr>
          <w:wBefore w:w="0" w:type="auto"/>
          <w:tblCellSpacing w:w="0" w:type="dxa"/>
        </w:trPr>
        <w:tc>
          <w:tcPr>
            <w:tcW w:w="0" w:type="auto"/>
            <w:noWrap w:val="0"/>
            <w:vAlign w:val="center"/>
          </w:tcPr>
          <w:p w14:paraId="1601B9D2">
            <w:r>
              <w:rPr>
                <w:rStyle w:val="10"/>
                <w:rFonts w:hint="eastAsia"/>
              </w:rPr>
              <w:t>备注：</w:t>
            </w:r>
          </w:p>
        </w:tc>
      </w:tr>
    </w:tbl>
    <w:p w14:paraId="2A6EC16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25B6F4A">
        <w:tblPrEx>
          <w:tblCellMar>
            <w:top w:w="0" w:type="dxa"/>
            <w:left w:w="0" w:type="dxa"/>
            <w:bottom w:w="0" w:type="dxa"/>
            <w:right w:w="0" w:type="dxa"/>
          </w:tblCellMar>
        </w:tblPrEx>
        <w:trPr>
          <w:wBefore w:w="0" w:type="auto"/>
          <w:tblCellSpacing w:w="0" w:type="dxa"/>
        </w:trPr>
        <w:tc>
          <w:tcPr>
            <w:tcW w:w="0" w:type="auto"/>
            <w:noWrap w:val="0"/>
            <w:vAlign w:val="center"/>
          </w:tcPr>
          <w:p w14:paraId="2946BA98">
            <w:r>
              <w:rPr>
                <w:rStyle w:val="10"/>
                <w:rFonts w:hint="eastAsia"/>
              </w:rPr>
              <w:t>登记证号：</w:t>
            </w:r>
            <w:r>
              <w:rPr>
                <w:rFonts w:hint="eastAsia"/>
              </w:rPr>
              <w:t>PD20172829</w:t>
            </w:r>
          </w:p>
        </w:tc>
      </w:tr>
      <w:tr w14:paraId="3CC2DE2F">
        <w:tblPrEx>
          <w:tblCellMar>
            <w:top w:w="0" w:type="dxa"/>
            <w:left w:w="0" w:type="dxa"/>
            <w:bottom w:w="0" w:type="dxa"/>
            <w:right w:w="0" w:type="dxa"/>
          </w:tblCellMar>
        </w:tblPrEx>
        <w:trPr>
          <w:wBefore w:w="0" w:type="auto"/>
          <w:tblCellSpacing w:w="0" w:type="dxa"/>
        </w:trPr>
        <w:tc>
          <w:tcPr>
            <w:tcW w:w="0" w:type="auto"/>
            <w:noWrap w:val="0"/>
            <w:vAlign w:val="center"/>
          </w:tcPr>
          <w:p w14:paraId="59E71328">
            <w:r>
              <w:rPr>
                <w:rStyle w:val="10"/>
                <w:rFonts w:hint="eastAsia"/>
              </w:rPr>
              <w:t>登记证持有人：</w:t>
            </w:r>
            <w:r>
              <w:rPr>
                <w:rFonts w:hint="eastAsia"/>
              </w:rPr>
              <w:t>一帆生物科技集团有限公司</w:t>
            </w:r>
          </w:p>
        </w:tc>
      </w:tr>
      <w:tr w14:paraId="453EE18E">
        <w:tblPrEx>
          <w:tblCellMar>
            <w:top w:w="0" w:type="dxa"/>
            <w:left w:w="0" w:type="dxa"/>
            <w:bottom w:w="0" w:type="dxa"/>
            <w:right w:w="0" w:type="dxa"/>
          </w:tblCellMar>
        </w:tblPrEx>
        <w:trPr>
          <w:wBefore w:w="0" w:type="auto"/>
          <w:tblCellSpacing w:w="0" w:type="dxa"/>
        </w:trPr>
        <w:tc>
          <w:tcPr>
            <w:tcW w:w="0" w:type="auto"/>
            <w:noWrap w:val="0"/>
            <w:vAlign w:val="center"/>
          </w:tcPr>
          <w:p w14:paraId="726DA7B9">
            <w:r>
              <w:rPr>
                <w:rStyle w:val="10"/>
                <w:rFonts w:hint="eastAsia"/>
              </w:rPr>
              <w:t>农药名称：</w:t>
            </w:r>
            <w:r>
              <w:rPr>
                <w:rFonts w:hint="eastAsia"/>
              </w:rPr>
              <w:t>苯甲·丙环唑</w:t>
            </w:r>
          </w:p>
        </w:tc>
      </w:tr>
      <w:tr w14:paraId="1129875A">
        <w:tblPrEx>
          <w:tblCellMar>
            <w:top w:w="0" w:type="dxa"/>
            <w:left w:w="0" w:type="dxa"/>
            <w:bottom w:w="0" w:type="dxa"/>
            <w:right w:w="0" w:type="dxa"/>
          </w:tblCellMar>
        </w:tblPrEx>
        <w:trPr>
          <w:wBefore w:w="0" w:type="auto"/>
          <w:tblCellSpacing w:w="0" w:type="dxa"/>
        </w:trPr>
        <w:tc>
          <w:tcPr>
            <w:tcW w:w="0" w:type="auto"/>
            <w:noWrap w:val="0"/>
            <w:vAlign w:val="center"/>
          </w:tcPr>
          <w:p w14:paraId="15461710">
            <w:r>
              <w:rPr>
                <w:rStyle w:val="10"/>
                <w:rFonts w:hint="eastAsia"/>
              </w:rPr>
              <w:t>剂型：</w:t>
            </w:r>
            <w:r>
              <w:rPr>
                <w:rFonts w:hint="eastAsia"/>
              </w:rPr>
              <w:t>水乳剂</w:t>
            </w:r>
          </w:p>
        </w:tc>
      </w:tr>
      <w:tr w14:paraId="61847419">
        <w:tblPrEx>
          <w:tblCellMar>
            <w:top w:w="0" w:type="dxa"/>
            <w:left w:w="0" w:type="dxa"/>
            <w:bottom w:w="0" w:type="dxa"/>
            <w:right w:w="0" w:type="dxa"/>
          </w:tblCellMar>
        </w:tblPrEx>
        <w:trPr>
          <w:wBefore w:w="0" w:type="auto"/>
          <w:tblCellSpacing w:w="0" w:type="dxa"/>
        </w:trPr>
        <w:tc>
          <w:tcPr>
            <w:tcW w:w="0" w:type="auto"/>
            <w:noWrap w:val="0"/>
            <w:vAlign w:val="center"/>
          </w:tcPr>
          <w:p w14:paraId="24EFC39D">
            <w:r>
              <w:rPr>
                <w:rStyle w:val="10"/>
                <w:rFonts w:hint="eastAsia"/>
              </w:rPr>
              <w:t>毒性及其标识：</w:t>
            </w:r>
            <w:r>
              <w:rPr>
                <w:rFonts w:hint="eastAsia"/>
              </w:rPr>
              <w:t xml:space="preserve"> </w:t>
            </w:r>
            <w:r>
              <w:rPr>
                <w:lang/>
              </w:rPr>
              <w:drawing>
                <wp:inline distT="0" distB="0" distL="114300" distR="114300">
                  <wp:extent cx="476250" cy="323850"/>
                  <wp:effectExtent l="0" t="0" r="0" b="0"/>
                  <wp:docPr id="508" name="图片 50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2CFAAAE">
        <w:tblPrEx>
          <w:tblCellMar>
            <w:top w:w="0" w:type="dxa"/>
            <w:left w:w="0" w:type="dxa"/>
            <w:bottom w:w="0" w:type="dxa"/>
            <w:right w:w="0" w:type="dxa"/>
          </w:tblCellMar>
        </w:tblPrEx>
        <w:trPr>
          <w:wBefore w:w="0" w:type="auto"/>
          <w:tblCellSpacing w:w="0" w:type="dxa"/>
        </w:trPr>
        <w:tc>
          <w:tcPr>
            <w:tcW w:w="0" w:type="auto"/>
            <w:noWrap w:val="0"/>
            <w:vAlign w:val="center"/>
          </w:tcPr>
          <w:p w14:paraId="55BF6256">
            <w:r>
              <w:rPr>
                <w:rStyle w:val="10"/>
                <w:rFonts w:hint="eastAsia"/>
              </w:rPr>
              <w:t>总有效成分含量：</w:t>
            </w:r>
            <w:r>
              <w:rPr>
                <w:rFonts w:hint="eastAsia"/>
              </w:rPr>
              <w:t>300克/升</w:t>
            </w:r>
          </w:p>
        </w:tc>
      </w:tr>
      <w:tr w14:paraId="4C1DBC2F">
        <w:tblPrEx>
          <w:tblCellMar>
            <w:top w:w="0" w:type="dxa"/>
            <w:left w:w="0" w:type="dxa"/>
            <w:bottom w:w="0" w:type="dxa"/>
            <w:right w:w="0" w:type="dxa"/>
          </w:tblCellMar>
        </w:tblPrEx>
        <w:trPr>
          <w:wBefore w:w="0" w:type="auto"/>
          <w:tblCellSpacing w:w="0" w:type="dxa"/>
        </w:trPr>
        <w:tc>
          <w:tcPr>
            <w:tcW w:w="0" w:type="auto"/>
            <w:noWrap w:val="0"/>
            <w:vAlign w:val="center"/>
          </w:tcPr>
          <w:p w14:paraId="3587AA8A">
            <w:r>
              <w:rPr>
                <w:rFonts w:hint="eastAsia"/>
              </w:rPr>
              <w:t xml:space="preserve">有效成分及其含量： </w:t>
            </w:r>
          </w:p>
          <w:p w14:paraId="6E51E631">
            <w:r>
              <w:rPr>
                <w:rFonts w:hint="eastAsia"/>
              </w:rPr>
              <w:t xml:space="preserve">    苯醚甲环唑150克/升    丙环唑150克/升    </w:t>
            </w:r>
          </w:p>
        </w:tc>
      </w:tr>
      <w:tr w14:paraId="7773500B">
        <w:tblPrEx>
          <w:tblCellMar>
            <w:top w:w="0" w:type="dxa"/>
            <w:left w:w="0" w:type="dxa"/>
            <w:bottom w:w="0" w:type="dxa"/>
            <w:right w:w="0" w:type="dxa"/>
          </w:tblCellMar>
        </w:tblPrEx>
        <w:trPr>
          <w:wBefore w:w="0" w:type="auto"/>
          <w:tblCellSpacing w:w="0" w:type="dxa"/>
        </w:trPr>
        <w:tc>
          <w:tcPr>
            <w:tcW w:w="0" w:type="auto"/>
            <w:noWrap w:val="0"/>
            <w:vAlign w:val="center"/>
          </w:tcPr>
          <w:p w14:paraId="312B0EE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E0A3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4337E2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859056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670129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24B3035">
                  <w:r>
                    <w:rPr>
                      <w:rStyle w:val="11"/>
                      <w:rFonts w:hint="eastAsia"/>
                    </w:rPr>
                    <w:t>施用方式</w:t>
                  </w:r>
                </w:p>
              </w:tc>
            </w:tr>
            <w:tr w14:paraId="6AE4D3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A16B937">
                  <w:r>
                    <w:rPr>
                      <w:rStyle w:val="11"/>
                      <w:rFonts w:hint="eastAsia"/>
                    </w:rPr>
                    <w:t>猕猴桃</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039C81">
                  <w:r>
                    <w:rPr>
                      <w:rStyle w:val="11"/>
                      <w:rFonts w:hint="eastAsia"/>
                    </w:rPr>
                    <w:t>褐斑病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CFC331">
                  <w:r>
                    <w:rPr>
                      <w:rStyle w:val="11"/>
                      <w:rFonts w:hint="eastAsia"/>
                    </w:rPr>
                    <w:t>2000-2500倍液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7A935B">
                  <w:r>
                    <w:rPr>
                      <w:rStyle w:val="11"/>
                      <w:rFonts w:hint="eastAsia"/>
                    </w:rPr>
                    <w:t>喷雾</w:t>
                  </w:r>
                </w:p>
              </w:tc>
            </w:tr>
          </w:tbl>
          <w:p w14:paraId="1A8C6435">
            <w:pPr>
              <w:rPr>
                <w:rFonts w:ascii="Times New Roman" w:hAnsi="Times New Roman" w:cs="Times New Roman"/>
                <w:sz w:val="20"/>
                <w:szCs w:val="20"/>
              </w:rPr>
            </w:pPr>
          </w:p>
        </w:tc>
      </w:tr>
      <w:tr w14:paraId="1D80D766">
        <w:tblPrEx>
          <w:tblCellMar>
            <w:top w:w="0" w:type="dxa"/>
            <w:left w:w="0" w:type="dxa"/>
            <w:bottom w:w="0" w:type="dxa"/>
            <w:right w:w="0" w:type="dxa"/>
          </w:tblCellMar>
        </w:tblPrEx>
        <w:trPr>
          <w:wBefore w:w="0" w:type="auto"/>
          <w:tblCellSpacing w:w="0" w:type="dxa"/>
        </w:trPr>
        <w:tc>
          <w:tcPr>
            <w:tcW w:w="0" w:type="auto"/>
            <w:noWrap w:val="0"/>
            <w:vAlign w:val="center"/>
          </w:tcPr>
          <w:p w14:paraId="1E15F966">
            <w:r>
              <w:rPr>
                <w:rStyle w:val="10"/>
                <w:rFonts w:hint="eastAsia"/>
              </w:rPr>
              <w:t>使用技术要求:</w:t>
            </w:r>
            <w:r>
              <w:rPr>
                <w:rFonts w:hint="eastAsia"/>
              </w:rPr>
              <w:br w:type="textWrapping"/>
            </w:r>
            <w:r>
              <w:rPr>
                <w:rStyle w:val="11"/>
                <w:rFonts w:hint="eastAsia"/>
              </w:rPr>
              <w:t>1.在水稻纹枯病发病初期施药，视天气和病情的发展情况决定喷药次数，一般重病田需喷2-3次，间隔7-10天。用于猕猴桃褐斑病：发病前或发病初期喷雾施药2次，间隔7-10天， 2.大风天或预计1小时内降雨，请勿施药。 3.本品每季水稻最多使用3次，安全间隔期14天。在猕猴桃每季作物最多使用2次，安全间隔期14天。</w:t>
            </w:r>
          </w:p>
        </w:tc>
      </w:tr>
      <w:tr w14:paraId="1FC203F4">
        <w:tblPrEx>
          <w:tblCellMar>
            <w:top w:w="0" w:type="dxa"/>
            <w:left w:w="0" w:type="dxa"/>
            <w:bottom w:w="0" w:type="dxa"/>
            <w:right w:w="0" w:type="dxa"/>
          </w:tblCellMar>
        </w:tblPrEx>
        <w:trPr>
          <w:wBefore w:w="0" w:type="auto"/>
          <w:tblCellSpacing w:w="0" w:type="dxa"/>
        </w:trPr>
        <w:tc>
          <w:tcPr>
            <w:tcW w:w="0" w:type="auto"/>
            <w:noWrap w:val="0"/>
            <w:vAlign w:val="center"/>
          </w:tcPr>
          <w:p w14:paraId="163E32F9">
            <w:r>
              <w:rPr>
                <w:rStyle w:val="10"/>
                <w:rFonts w:hint="eastAsia"/>
              </w:rPr>
              <w:t>产品性能:</w:t>
            </w:r>
            <w:r>
              <w:rPr>
                <w:rFonts w:hint="eastAsia"/>
              </w:rPr>
              <w:br w:type="textWrapping"/>
            </w:r>
            <w:r>
              <w:rPr>
                <w:rStyle w:val="11"/>
                <w:rFonts w:hint="eastAsia"/>
              </w:rPr>
              <w:t>本品是由苯醚甲环唑和丙环唑两种三唑类杀菌剂复配而成的内吸性杀菌剂。可用于防治水稻纹枯病、猕猴桃褐斑病。</w:t>
            </w:r>
          </w:p>
        </w:tc>
      </w:tr>
      <w:tr w14:paraId="10EF913F">
        <w:tblPrEx>
          <w:tblCellMar>
            <w:top w:w="0" w:type="dxa"/>
            <w:left w:w="0" w:type="dxa"/>
            <w:bottom w:w="0" w:type="dxa"/>
            <w:right w:w="0" w:type="dxa"/>
          </w:tblCellMar>
        </w:tblPrEx>
        <w:trPr>
          <w:wBefore w:w="0" w:type="auto"/>
          <w:tblCellSpacing w:w="0" w:type="dxa"/>
        </w:trPr>
        <w:tc>
          <w:tcPr>
            <w:tcW w:w="0" w:type="auto"/>
            <w:noWrap w:val="0"/>
            <w:vAlign w:val="center"/>
          </w:tcPr>
          <w:p w14:paraId="27CCF263">
            <w:r>
              <w:rPr>
                <w:rStyle w:val="10"/>
                <w:rFonts w:hint="eastAsia"/>
              </w:rPr>
              <w:t>注意事项：</w:t>
            </w:r>
            <w:r>
              <w:rPr>
                <w:rFonts w:hint="eastAsia"/>
              </w:rPr>
              <w:br w:type="textWrapping"/>
            </w:r>
            <w:r>
              <w:rPr>
                <w:rStyle w:val="11"/>
                <w:rFonts w:hint="eastAsia"/>
              </w:rPr>
              <w:t>1.不能与碱性的农药等物质混用。本品建议与其他作物机制不同的杀菌剂轮换使用，以延缓抗性产生。 2.本品对鱼及水生物有毒，不得污染各类水域，远离水产养殖区、河塘等水体施药，禁止在河塘等水体中清洗施药器具，避免污染水源。鱼或虾蟹套养稻田禁用，施药后的田水不得直接直接排入水体。 3.使用本品时应穿戴防护服和手套，避免吸入药液。施药期间不可吃东西和饮水。施药后应及时洗手和洗脸。 4.用过的包装袋应妥善处理，不可做他用，也不可随意丢弃。 5.避免孕妇及哺乳期的妇女接触。</w:t>
            </w:r>
          </w:p>
        </w:tc>
      </w:tr>
      <w:tr w14:paraId="1B58637E">
        <w:tblPrEx>
          <w:tblCellMar>
            <w:top w:w="0" w:type="dxa"/>
            <w:left w:w="0" w:type="dxa"/>
            <w:bottom w:w="0" w:type="dxa"/>
            <w:right w:w="0" w:type="dxa"/>
          </w:tblCellMar>
        </w:tblPrEx>
        <w:trPr>
          <w:wBefore w:w="0" w:type="auto"/>
          <w:tblCellSpacing w:w="0" w:type="dxa"/>
        </w:trPr>
        <w:tc>
          <w:tcPr>
            <w:tcW w:w="0" w:type="auto"/>
            <w:noWrap w:val="0"/>
            <w:vAlign w:val="center"/>
          </w:tcPr>
          <w:p w14:paraId="4CFE4621">
            <w:r>
              <w:rPr>
                <w:rStyle w:val="10"/>
                <w:rFonts w:hint="eastAsia"/>
              </w:rPr>
              <w:t>中毒急救措施：</w:t>
            </w:r>
            <w:r>
              <w:rPr>
                <w:rFonts w:hint="eastAsia"/>
              </w:rPr>
              <w:br w:type="textWrapping"/>
            </w:r>
            <w:r>
              <w:rPr>
                <w:rStyle w:val="11"/>
                <w:rFonts w:hint="eastAsia"/>
              </w:rPr>
              <w:t>本品对皮肤和眼有刺激作用，如接触皮肤，用肥皂和清水彻底清洗受污的皮肤；如溅及眼睛，用清水冲洗眼睛。如误服，反复使用医用炭和大量水，并携带标签，送医就诊。无专用解毒剂，对症状治疗。</w:t>
            </w:r>
          </w:p>
        </w:tc>
      </w:tr>
      <w:tr w14:paraId="433A5B8A">
        <w:tblPrEx>
          <w:tblCellMar>
            <w:top w:w="0" w:type="dxa"/>
            <w:left w:w="0" w:type="dxa"/>
            <w:bottom w:w="0" w:type="dxa"/>
            <w:right w:w="0" w:type="dxa"/>
          </w:tblCellMar>
        </w:tblPrEx>
        <w:trPr>
          <w:wBefore w:w="0" w:type="auto"/>
          <w:tblCellSpacing w:w="0" w:type="dxa"/>
        </w:trPr>
        <w:tc>
          <w:tcPr>
            <w:tcW w:w="0" w:type="auto"/>
            <w:noWrap w:val="0"/>
            <w:vAlign w:val="center"/>
          </w:tcPr>
          <w:p w14:paraId="37626AFC">
            <w:r>
              <w:rPr>
                <w:rStyle w:val="10"/>
                <w:rFonts w:hint="eastAsia"/>
              </w:rPr>
              <w:t>储存和运输方法：</w:t>
            </w:r>
            <w:r>
              <w:rPr>
                <w:rFonts w:hint="eastAsia"/>
              </w:rPr>
              <w:br w:type="textWrapping"/>
            </w:r>
            <w:r>
              <w:rPr>
                <w:rStyle w:val="11"/>
                <w:rFonts w:hint="eastAsia"/>
              </w:rPr>
              <w:t>应贮存于干燥、阴凉、通风、防雨处，远离火源、热源。置于儿童、无关人员触及不到之处，并加锁。不能与食品、饮料、粮食、饲料等同贮同运。</w:t>
            </w:r>
          </w:p>
        </w:tc>
      </w:tr>
      <w:tr w14:paraId="72A546D4">
        <w:tblPrEx>
          <w:tblCellMar>
            <w:top w:w="0" w:type="dxa"/>
            <w:left w:w="0" w:type="dxa"/>
            <w:bottom w:w="0" w:type="dxa"/>
            <w:right w:w="0" w:type="dxa"/>
          </w:tblCellMar>
        </w:tblPrEx>
        <w:trPr>
          <w:wBefore w:w="0" w:type="auto"/>
          <w:tblCellSpacing w:w="0" w:type="dxa"/>
        </w:trPr>
        <w:tc>
          <w:tcPr>
            <w:tcW w:w="0" w:type="auto"/>
            <w:noWrap w:val="0"/>
            <w:vAlign w:val="center"/>
          </w:tcPr>
          <w:p w14:paraId="6B988D23">
            <w:r>
              <w:rPr>
                <w:rStyle w:val="10"/>
                <w:rFonts w:hint="eastAsia"/>
              </w:rPr>
              <w:t>质量保证期：</w:t>
            </w:r>
            <w:r>
              <w:rPr>
                <w:rStyle w:val="11"/>
                <w:rFonts w:hint="eastAsia"/>
              </w:rPr>
              <w:t>2年</w:t>
            </w:r>
          </w:p>
        </w:tc>
      </w:tr>
      <w:tr w14:paraId="18D87E02">
        <w:tblPrEx>
          <w:tblCellMar>
            <w:top w:w="0" w:type="dxa"/>
            <w:left w:w="0" w:type="dxa"/>
            <w:bottom w:w="0" w:type="dxa"/>
            <w:right w:w="0" w:type="dxa"/>
          </w:tblCellMar>
        </w:tblPrEx>
        <w:trPr>
          <w:wBefore w:w="0" w:type="auto"/>
          <w:tblCellSpacing w:w="0" w:type="dxa"/>
        </w:trPr>
        <w:tc>
          <w:tcPr>
            <w:tcW w:w="0" w:type="auto"/>
            <w:noWrap w:val="0"/>
            <w:vAlign w:val="center"/>
          </w:tcPr>
          <w:p w14:paraId="5565E45D">
            <w:r>
              <w:rPr>
                <w:rStyle w:val="10"/>
                <w:rFonts w:hint="eastAsia"/>
              </w:rPr>
              <w:t>备注：</w:t>
            </w:r>
          </w:p>
        </w:tc>
      </w:tr>
    </w:tbl>
    <w:p w14:paraId="652F188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79983FE">
        <w:tblPrEx>
          <w:tblCellMar>
            <w:top w:w="0" w:type="dxa"/>
            <w:left w:w="0" w:type="dxa"/>
            <w:bottom w:w="0" w:type="dxa"/>
            <w:right w:w="0" w:type="dxa"/>
          </w:tblCellMar>
        </w:tblPrEx>
        <w:trPr>
          <w:wBefore w:w="0" w:type="auto"/>
          <w:tblCellSpacing w:w="0" w:type="dxa"/>
        </w:trPr>
        <w:tc>
          <w:tcPr>
            <w:tcW w:w="0" w:type="auto"/>
            <w:noWrap w:val="0"/>
            <w:vAlign w:val="center"/>
          </w:tcPr>
          <w:p w14:paraId="68556270">
            <w:r>
              <w:rPr>
                <w:rStyle w:val="10"/>
                <w:rFonts w:hint="eastAsia"/>
              </w:rPr>
              <w:t>登记证号：</w:t>
            </w:r>
            <w:r>
              <w:rPr>
                <w:rFonts w:hint="eastAsia"/>
              </w:rPr>
              <w:t>PD20211885</w:t>
            </w:r>
          </w:p>
        </w:tc>
      </w:tr>
      <w:tr w14:paraId="5F73FB4E">
        <w:tblPrEx>
          <w:tblCellMar>
            <w:top w:w="0" w:type="dxa"/>
            <w:left w:w="0" w:type="dxa"/>
            <w:bottom w:w="0" w:type="dxa"/>
            <w:right w:w="0" w:type="dxa"/>
          </w:tblCellMar>
        </w:tblPrEx>
        <w:trPr>
          <w:wBefore w:w="0" w:type="auto"/>
          <w:tblCellSpacing w:w="0" w:type="dxa"/>
        </w:trPr>
        <w:tc>
          <w:tcPr>
            <w:tcW w:w="0" w:type="auto"/>
            <w:noWrap w:val="0"/>
            <w:vAlign w:val="center"/>
          </w:tcPr>
          <w:p w14:paraId="605C7FA7">
            <w:r>
              <w:rPr>
                <w:rStyle w:val="10"/>
                <w:rFonts w:hint="eastAsia"/>
              </w:rPr>
              <w:t>登记证持有人：</w:t>
            </w:r>
            <w:r>
              <w:rPr>
                <w:rFonts w:hint="eastAsia"/>
              </w:rPr>
              <w:t>浙江迪乐化学品有限公司</w:t>
            </w:r>
          </w:p>
        </w:tc>
      </w:tr>
      <w:tr w14:paraId="503A0048">
        <w:tblPrEx>
          <w:tblCellMar>
            <w:top w:w="0" w:type="dxa"/>
            <w:left w:w="0" w:type="dxa"/>
            <w:bottom w:w="0" w:type="dxa"/>
            <w:right w:w="0" w:type="dxa"/>
          </w:tblCellMar>
        </w:tblPrEx>
        <w:trPr>
          <w:wBefore w:w="0" w:type="auto"/>
          <w:tblCellSpacing w:w="0" w:type="dxa"/>
        </w:trPr>
        <w:tc>
          <w:tcPr>
            <w:tcW w:w="0" w:type="auto"/>
            <w:noWrap w:val="0"/>
            <w:vAlign w:val="center"/>
          </w:tcPr>
          <w:p w14:paraId="1BF006D1">
            <w:r>
              <w:rPr>
                <w:rStyle w:val="10"/>
                <w:rFonts w:hint="eastAsia"/>
              </w:rPr>
              <w:t>农药名称：</w:t>
            </w:r>
            <w:r>
              <w:rPr>
                <w:rFonts w:hint="eastAsia"/>
              </w:rPr>
              <w:t>杀蟑饵剂</w:t>
            </w:r>
          </w:p>
        </w:tc>
      </w:tr>
      <w:tr w14:paraId="2715357C">
        <w:tblPrEx>
          <w:tblCellMar>
            <w:top w:w="0" w:type="dxa"/>
            <w:left w:w="0" w:type="dxa"/>
            <w:bottom w:w="0" w:type="dxa"/>
            <w:right w:w="0" w:type="dxa"/>
          </w:tblCellMar>
        </w:tblPrEx>
        <w:trPr>
          <w:wBefore w:w="0" w:type="auto"/>
          <w:tblCellSpacing w:w="0" w:type="dxa"/>
        </w:trPr>
        <w:tc>
          <w:tcPr>
            <w:tcW w:w="0" w:type="auto"/>
            <w:noWrap w:val="0"/>
            <w:vAlign w:val="center"/>
          </w:tcPr>
          <w:p w14:paraId="4D8C4E7E">
            <w:r>
              <w:rPr>
                <w:rStyle w:val="10"/>
                <w:rFonts w:hint="eastAsia"/>
              </w:rPr>
              <w:t>剂型：</w:t>
            </w:r>
            <w:r>
              <w:rPr>
                <w:rFonts w:hint="eastAsia"/>
              </w:rPr>
              <w:t>饵剂</w:t>
            </w:r>
          </w:p>
        </w:tc>
      </w:tr>
      <w:tr w14:paraId="72E26EEF">
        <w:tblPrEx>
          <w:tblCellMar>
            <w:top w:w="0" w:type="dxa"/>
            <w:left w:w="0" w:type="dxa"/>
            <w:bottom w:w="0" w:type="dxa"/>
            <w:right w:w="0" w:type="dxa"/>
          </w:tblCellMar>
        </w:tblPrEx>
        <w:trPr>
          <w:wBefore w:w="0" w:type="auto"/>
          <w:tblCellSpacing w:w="0" w:type="dxa"/>
        </w:trPr>
        <w:tc>
          <w:tcPr>
            <w:tcW w:w="0" w:type="auto"/>
            <w:noWrap w:val="0"/>
            <w:vAlign w:val="center"/>
          </w:tcPr>
          <w:p w14:paraId="6C2E4084">
            <w:r>
              <w:rPr>
                <w:rStyle w:val="10"/>
                <w:rFonts w:hint="eastAsia"/>
              </w:rPr>
              <w:t>毒性及其标识：</w:t>
            </w:r>
            <w:r>
              <w:rPr>
                <w:rFonts w:hint="eastAsia"/>
              </w:rPr>
              <w:t xml:space="preserve"> </w:t>
            </w:r>
            <w:r>
              <w:rPr>
                <w:lang/>
              </w:rPr>
              <w:drawing>
                <wp:inline distT="0" distB="0" distL="114300" distR="114300">
                  <wp:extent cx="476250" cy="323850"/>
                  <wp:effectExtent l="0" t="0" r="0" b="0"/>
                  <wp:docPr id="509" name="图片 50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BECFC5">
        <w:tblPrEx>
          <w:tblCellMar>
            <w:top w:w="0" w:type="dxa"/>
            <w:left w:w="0" w:type="dxa"/>
            <w:bottom w:w="0" w:type="dxa"/>
            <w:right w:w="0" w:type="dxa"/>
          </w:tblCellMar>
        </w:tblPrEx>
        <w:trPr>
          <w:wBefore w:w="0" w:type="auto"/>
          <w:tblCellSpacing w:w="0" w:type="dxa"/>
        </w:trPr>
        <w:tc>
          <w:tcPr>
            <w:tcW w:w="0" w:type="auto"/>
            <w:noWrap w:val="0"/>
            <w:vAlign w:val="center"/>
          </w:tcPr>
          <w:p w14:paraId="69F8424D">
            <w:r>
              <w:rPr>
                <w:rStyle w:val="10"/>
                <w:rFonts w:hint="eastAsia"/>
              </w:rPr>
              <w:t>总有效成分含量：</w:t>
            </w:r>
            <w:r>
              <w:rPr>
                <w:rFonts w:hint="eastAsia"/>
              </w:rPr>
              <w:t>0.15%</w:t>
            </w:r>
          </w:p>
        </w:tc>
      </w:tr>
      <w:tr w14:paraId="2212DCF5">
        <w:tblPrEx>
          <w:tblCellMar>
            <w:top w:w="0" w:type="dxa"/>
            <w:left w:w="0" w:type="dxa"/>
            <w:bottom w:w="0" w:type="dxa"/>
            <w:right w:w="0" w:type="dxa"/>
          </w:tblCellMar>
        </w:tblPrEx>
        <w:trPr>
          <w:wBefore w:w="0" w:type="auto"/>
          <w:tblCellSpacing w:w="0" w:type="dxa"/>
        </w:trPr>
        <w:tc>
          <w:tcPr>
            <w:tcW w:w="0" w:type="auto"/>
            <w:noWrap w:val="0"/>
            <w:vAlign w:val="center"/>
          </w:tcPr>
          <w:p w14:paraId="06F47164">
            <w:r>
              <w:rPr>
                <w:rFonts w:hint="eastAsia"/>
              </w:rPr>
              <w:t xml:space="preserve">有效成分及其含量： </w:t>
            </w:r>
          </w:p>
          <w:p w14:paraId="4A3E03F5">
            <w:r>
              <w:rPr>
                <w:rFonts w:hint="eastAsia"/>
              </w:rPr>
              <w:t xml:space="preserve">    呋虫胺0.15%    </w:t>
            </w:r>
          </w:p>
        </w:tc>
      </w:tr>
      <w:tr w14:paraId="234C4E18">
        <w:tblPrEx>
          <w:tblCellMar>
            <w:top w:w="0" w:type="dxa"/>
            <w:left w:w="0" w:type="dxa"/>
            <w:bottom w:w="0" w:type="dxa"/>
            <w:right w:w="0" w:type="dxa"/>
          </w:tblCellMar>
        </w:tblPrEx>
        <w:trPr>
          <w:wBefore w:w="0" w:type="auto"/>
          <w:tblCellSpacing w:w="0" w:type="dxa"/>
        </w:trPr>
        <w:tc>
          <w:tcPr>
            <w:tcW w:w="0" w:type="auto"/>
            <w:noWrap w:val="0"/>
            <w:vAlign w:val="center"/>
          </w:tcPr>
          <w:p w14:paraId="4F4ACCA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DC651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3B52F1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BFD068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AFDA26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365055E">
                  <w:r>
                    <w:rPr>
                      <w:rStyle w:val="11"/>
                      <w:rFonts w:hint="eastAsia"/>
                    </w:rPr>
                    <w:t>施用方式</w:t>
                  </w:r>
                </w:p>
              </w:tc>
            </w:tr>
            <w:tr w14:paraId="288620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9BE1C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4A48F7">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5850BB">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4A3F9E">
                  <w:r>
                    <w:rPr>
                      <w:rStyle w:val="11"/>
                      <w:rFonts w:hint="eastAsia"/>
                    </w:rPr>
                    <w:t>投放</w:t>
                  </w:r>
                </w:p>
              </w:tc>
            </w:tr>
          </w:tbl>
          <w:p w14:paraId="272B75CF">
            <w:pPr>
              <w:rPr>
                <w:rFonts w:ascii="Times New Roman" w:hAnsi="Times New Roman" w:cs="Times New Roman"/>
                <w:sz w:val="20"/>
                <w:szCs w:val="20"/>
              </w:rPr>
            </w:pPr>
          </w:p>
        </w:tc>
      </w:tr>
      <w:tr w14:paraId="1C082014">
        <w:tblPrEx>
          <w:tblCellMar>
            <w:top w:w="0" w:type="dxa"/>
            <w:left w:w="0" w:type="dxa"/>
            <w:bottom w:w="0" w:type="dxa"/>
            <w:right w:w="0" w:type="dxa"/>
          </w:tblCellMar>
        </w:tblPrEx>
        <w:trPr>
          <w:wBefore w:w="0" w:type="auto"/>
          <w:tblCellSpacing w:w="0" w:type="dxa"/>
        </w:trPr>
        <w:tc>
          <w:tcPr>
            <w:tcW w:w="0" w:type="auto"/>
            <w:noWrap w:val="0"/>
            <w:vAlign w:val="center"/>
          </w:tcPr>
          <w:p w14:paraId="51622CCD">
            <w:r>
              <w:rPr>
                <w:rStyle w:val="10"/>
                <w:rFonts w:hint="eastAsia"/>
              </w:rPr>
              <w:t>使用技术要求:</w:t>
            </w:r>
            <w:r>
              <w:rPr>
                <w:rFonts w:hint="eastAsia"/>
              </w:rPr>
              <w:br w:type="textWrapping"/>
            </w:r>
            <w:r>
              <w:rPr>
                <w:rStyle w:val="11"/>
                <w:rFonts w:hint="eastAsia"/>
              </w:rPr>
              <w:t>1、将本品投放于蟑螂经常出没处和隐蔽处，如孔洞、缝隙、边角等人不易接触、擦抹的位置；2、避免用于潮湿的地方，以免影响药效。</w:t>
            </w:r>
          </w:p>
        </w:tc>
      </w:tr>
      <w:tr w14:paraId="3A20E5F6">
        <w:tblPrEx>
          <w:tblCellMar>
            <w:top w:w="0" w:type="dxa"/>
            <w:left w:w="0" w:type="dxa"/>
            <w:bottom w:w="0" w:type="dxa"/>
            <w:right w:w="0" w:type="dxa"/>
          </w:tblCellMar>
        </w:tblPrEx>
        <w:trPr>
          <w:wBefore w:w="0" w:type="auto"/>
          <w:tblCellSpacing w:w="0" w:type="dxa"/>
        </w:trPr>
        <w:tc>
          <w:tcPr>
            <w:tcW w:w="0" w:type="auto"/>
            <w:noWrap w:val="0"/>
            <w:vAlign w:val="center"/>
          </w:tcPr>
          <w:p w14:paraId="2FD9C5C3">
            <w:r>
              <w:rPr>
                <w:rStyle w:val="10"/>
                <w:rFonts w:hint="eastAsia"/>
              </w:rPr>
              <w:t>产品性能:</w:t>
            </w:r>
            <w:r>
              <w:rPr>
                <w:rFonts w:hint="eastAsia"/>
              </w:rPr>
              <w:br w:type="textWrapping"/>
            </w:r>
            <w:r>
              <w:rPr>
                <w:rStyle w:val="11"/>
                <w:rFonts w:hint="eastAsia"/>
              </w:rPr>
              <w:t>呋虫胺为烟碱乙酰胆碱受体的兴奋剂，影响昆虫中枢神经系统的突触，具有触杀和胃毒作用，可以用于防治室内蜚蠊，室内场所如家居、酒店、办公室、商店等。</w:t>
            </w:r>
          </w:p>
        </w:tc>
      </w:tr>
      <w:tr w14:paraId="56E82D40">
        <w:tblPrEx>
          <w:tblCellMar>
            <w:top w:w="0" w:type="dxa"/>
            <w:left w:w="0" w:type="dxa"/>
            <w:bottom w:w="0" w:type="dxa"/>
            <w:right w:w="0" w:type="dxa"/>
          </w:tblCellMar>
        </w:tblPrEx>
        <w:trPr>
          <w:wBefore w:w="0" w:type="auto"/>
          <w:tblCellSpacing w:w="0" w:type="dxa"/>
        </w:trPr>
        <w:tc>
          <w:tcPr>
            <w:tcW w:w="0" w:type="auto"/>
            <w:noWrap w:val="0"/>
            <w:vAlign w:val="center"/>
          </w:tcPr>
          <w:p w14:paraId="09D6E693">
            <w:r>
              <w:rPr>
                <w:rStyle w:val="10"/>
                <w:rFonts w:hint="eastAsia"/>
              </w:rPr>
              <w:t>注意事项：</w:t>
            </w:r>
            <w:r>
              <w:rPr>
                <w:rFonts w:hint="eastAsia"/>
              </w:rPr>
              <w:br w:type="textWrapping"/>
            </w:r>
            <w:r>
              <w:rPr>
                <w:rStyle w:val="11"/>
                <w:rFonts w:hint="eastAsia"/>
              </w:rPr>
              <w:t>1）本品仅用于室内，切勿污染食品及饮用水。 2）使用时，不要让药剂沾染皮肤和眼睛，施药期间不可饮食。 3）使用后，及时洗手、洗脸，并清洗暴露在外的皮肤。 4）置于儿童及宠物接触不到的地方，避免误服。 5）禁止儿童、孕妇及哺乳期妇女接触。 6）过敏者禁用，使用中有任何不良反应请及时就医。</w:t>
            </w:r>
          </w:p>
        </w:tc>
      </w:tr>
      <w:tr w14:paraId="74F0CC31">
        <w:tblPrEx>
          <w:tblCellMar>
            <w:top w:w="0" w:type="dxa"/>
            <w:left w:w="0" w:type="dxa"/>
            <w:bottom w:w="0" w:type="dxa"/>
            <w:right w:w="0" w:type="dxa"/>
          </w:tblCellMar>
        </w:tblPrEx>
        <w:trPr>
          <w:wBefore w:w="0" w:type="auto"/>
          <w:tblCellSpacing w:w="0" w:type="dxa"/>
        </w:trPr>
        <w:tc>
          <w:tcPr>
            <w:tcW w:w="0" w:type="auto"/>
            <w:noWrap w:val="0"/>
            <w:vAlign w:val="center"/>
          </w:tcPr>
          <w:p w14:paraId="508FC8BC">
            <w:r>
              <w:rPr>
                <w:rStyle w:val="10"/>
                <w:rFonts w:hint="eastAsia"/>
              </w:rPr>
              <w:t>中毒急救措施：</w:t>
            </w:r>
            <w:r>
              <w:rPr>
                <w:rFonts w:hint="eastAsia"/>
              </w:rPr>
              <w:br w:type="textWrapping"/>
            </w:r>
            <w:r>
              <w:rPr>
                <w:rStyle w:val="11"/>
                <w:rFonts w:hint="eastAsia"/>
              </w:rPr>
              <w:t xml:space="preserve">对眼睛有刺激性，使用时避免接触眼睛。 本品无专用解毒药，使用中如有不良反应，请及时就医。 皮肤接触：用肥皂和清水冲洗。 眼睛溅入：对眼睛有刺激性，若不慎接触，立即用肥皂和大量清水冲洗干净。 误食：用清水充分漱口后，勿催吐，携带农药标签到医院就诊。 </w:t>
            </w:r>
          </w:p>
        </w:tc>
      </w:tr>
      <w:tr w14:paraId="7BA072BE">
        <w:tblPrEx>
          <w:tblCellMar>
            <w:top w:w="0" w:type="dxa"/>
            <w:left w:w="0" w:type="dxa"/>
            <w:bottom w:w="0" w:type="dxa"/>
            <w:right w:w="0" w:type="dxa"/>
          </w:tblCellMar>
        </w:tblPrEx>
        <w:trPr>
          <w:wBefore w:w="0" w:type="auto"/>
          <w:tblCellSpacing w:w="0" w:type="dxa"/>
        </w:trPr>
        <w:tc>
          <w:tcPr>
            <w:tcW w:w="0" w:type="auto"/>
            <w:noWrap w:val="0"/>
            <w:vAlign w:val="center"/>
          </w:tcPr>
          <w:p w14:paraId="46AD3B2A">
            <w:r>
              <w:rPr>
                <w:rStyle w:val="10"/>
                <w:rFonts w:hint="eastAsia"/>
              </w:rPr>
              <w:t>储存和运输方法：</w:t>
            </w:r>
            <w:r>
              <w:rPr>
                <w:rFonts w:hint="eastAsia"/>
              </w:rPr>
              <w:br w:type="textWrapping"/>
            </w:r>
            <w:r>
              <w:rPr>
                <w:rStyle w:val="11"/>
                <w:rFonts w:hint="eastAsia"/>
              </w:rPr>
              <w:t>本品应贮存在干燥、阴凉、通风、防雨处，严防潮湿和日晒。置于儿童、无关人员及动物接触不到的地方，并加锁保存。不能与食品、饮料、粮食、饲料等混合储存。</w:t>
            </w:r>
          </w:p>
        </w:tc>
      </w:tr>
      <w:tr w14:paraId="592F7C6E">
        <w:tblPrEx>
          <w:tblCellMar>
            <w:top w:w="0" w:type="dxa"/>
            <w:left w:w="0" w:type="dxa"/>
            <w:bottom w:w="0" w:type="dxa"/>
            <w:right w:w="0" w:type="dxa"/>
          </w:tblCellMar>
        </w:tblPrEx>
        <w:trPr>
          <w:wBefore w:w="0" w:type="auto"/>
          <w:tblCellSpacing w:w="0" w:type="dxa"/>
        </w:trPr>
        <w:tc>
          <w:tcPr>
            <w:tcW w:w="0" w:type="auto"/>
            <w:noWrap w:val="0"/>
            <w:vAlign w:val="center"/>
          </w:tcPr>
          <w:p w14:paraId="7CFB6B34">
            <w:r>
              <w:rPr>
                <w:rStyle w:val="10"/>
                <w:rFonts w:hint="eastAsia"/>
              </w:rPr>
              <w:t>质量保证期：</w:t>
            </w:r>
            <w:r>
              <w:rPr>
                <w:rStyle w:val="11"/>
                <w:rFonts w:hint="eastAsia"/>
              </w:rPr>
              <w:t>2年</w:t>
            </w:r>
          </w:p>
        </w:tc>
      </w:tr>
      <w:tr w14:paraId="325C2CE5">
        <w:tblPrEx>
          <w:tblCellMar>
            <w:top w:w="0" w:type="dxa"/>
            <w:left w:w="0" w:type="dxa"/>
            <w:bottom w:w="0" w:type="dxa"/>
            <w:right w:w="0" w:type="dxa"/>
          </w:tblCellMar>
        </w:tblPrEx>
        <w:trPr>
          <w:wBefore w:w="0" w:type="auto"/>
          <w:tblCellSpacing w:w="0" w:type="dxa"/>
        </w:trPr>
        <w:tc>
          <w:tcPr>
            <w:tcW w:w="0" w:type="auto"/>
            <w:noWrap w:val="0"/>
            <w:vAlign w:val="center"/>
          </w:tcPr>
          <w:p w14:paraId="5BE28D40">
            <w:r>
              <w:rPr>
                <w:rStyle w:val="10"/>
                <w:rFonts w:hint="eastAsia"/>
              </w:rPr>
              <w:t>备注：</w:t>
            </w:r>
          </w:p>
        </w:tc>
      </w:tr>
    </w:tbl>
    <w:p w14:paraId="5DB52E5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71685E8">
        <w:tblPrEx>
          <w:tblCellMar>
            <w:top w:w="0" w:type="dxa"/>
            <w:left w:w="0" w:type="dxa"/>
            <w:bottom w:w="0" w:type="dxa"/>
            <w:right w:w="0" w:type="dxa"/>
          </w:tblCellMar>
        </w:tblPrEx>
        <w:trPr>
          <w:wBefore w:w="0" w:type="auto"/>
          <w:tblCellSpacing w:w="0" w:type="dxa"/>
        </w:trPr>
        <w:tc>
          <w:tcPr>
            <w:tcW w:w="0" w:type="auto"/>
            <w:noWrap w:val="0"/>
            <w:vAlign w:val="center"/>
          </w:tcPr>
          <w:p w14:paraId="0747CEA3">
            <w:r>
              <w:rPr>
                <w:rStyle w:val="10"/>
                <w:rFonts w:hint="eastAsia"/>
              </w:rPr>
              <w:t>登记证号：</w:t>
            </w:r>
            <w:r>
              <w:rPr>
                <w:rFonts w:hint="eastAsia"/>
              </w:rPr>
              <w:t>PD20211757</w:t>
            </w:r>
          </w:p>
        </w:tc>
      </w:tr>
      <w:tr w14:paraId="2BA42EE2">
        <w:tblPrEx>
          <w:tblCellMar>
            <w:top w:w="0" w:type="dxa"/>
            <w:left w:w="0" w:type="dxa"/>
            <w:bottom w:w="0" w:type="dxa"/>
            <w:right w:w="0" w:type="dxa"/>
          </w:tblCellMar>
        </w:tblPrEx>
        <w:trPr>
          <w:wBefore w:w="0" w:type="auto"/>
          <w:tblCellSpacing w:w="0" w:type="dxa"/>
        </w:trPr>
        <w:tc>
          <w:tcPr>
            <w:tcW w:w="0" w:type="auto"/>
            <w:noWrap w:val="0"/>
            <w:vAlign w:val="center"/>
          </w:tcPr>
          <w:p w14:paraId="2A8FEA17">
            <w:r>
              <w:rPr>
                <w:rStyle w:val="10"/>
                <w:rFonts w:hint="eastAsia"/>
              </w:rPr>
              <w:t>登记证持有人：</w:t>
            </w:r>
            <w:r>
              <w:rPr>
                <w:rFonts w:hint="eastAsia"/>
              </w:rPr>
              <w:t>湖南泽丰农化有限公司</w:t>
            </w:r>
          </w:p>
        </w:tc>
      </w:tr>
      <w:tr w14:paraId="66929BAD">
        <w:tblPrEx>
          <w:tblCellMar>
            <w:top w:w="0" w:type="dxa"/>
            <w:left w:w="0" w:type="dxa"/>
            <w:bottom w:w="0" w:type="dxa"/>
            <w:right w:w="0" w:type="dxa"/>
          </w:tblCellMar>
        </w:tblPrEx>
        <w:trPr>
          <w:wBefore w:w="0" w:type="auto"/>
          <w:tblCellSpacing w:w="0" w:type="dxa"/>
        </w:trPr>
        <w:tc>
          <w:tcPr>
            <w:tcW w:w="0" w:type="auto"/>
            <w:noWrap w:val="0"/>
            <w:vAlign w:val="center"/>
          </w:tcPr>
          <w:p w14:paraId="211A13E2">
            <w:r>
              <w:rPr>
                <w:rStyle w:val="10"/>
                <w:rFonts w:hint="eastAsia"/>
              </w:rPr>
              <w:t>农药名称：</w:t>
            </w:r>
            <w:r>
              <w:rPr>
                <w:rFonts w:hint="eastAsia"/>
              </w:rPr>
              <w:t>呋虫·哒螨灵</w:t>
            </w:r>
          </w:p>
        </w:tc>
      </w:tr>
      <w:tr w14:paraId="66C7C6D0">
        <w:tblPrEx>
          <w:tblCellMar>
            <w:top w:w="0" w:type="dxa"/>
            <w:left w:w="0" w:type="dxa"/>
            <w:bottom w:w="0" w:type="dxa"/>
            <w:right w:w="0" w:type="dxa"/>
          </w:tblCellMar>
        </w:tblPrEx>
        <w:trPr>
          <w:wBefore w:w="0" w:type="auto"/>
          <w:tblCellSpacing w:w="0" w:type="dxa"/>
        </w:trPr>
        <w:tc>
          <w:tcPr>
            <w:tcW w:w="0" w:type="auto"/>
            <w:noWrap w:val="0"/>
            <w:vAlign w:val="center"/>
          </w:tcPr>
          <w:p w14:paraId="79B4D25E">
            <w:r>
              <w:rPr>
                <w:rStyle w:val="10"/>
                <w:rFonts w:hint="eastAsia"/>
              </w:rPr>
              <w:t>剂型：</w:t>
            </w:r>
            <w:r>
              <w:rPr>
                <w:rFonts w:hint="eastAsia"/>
              </w:rPr>
              <w:t>可溶液剂</w:t>
            </w:r>
          </w:p>
        </w:tc>
      </w:tr>
      <w:tr w14:paraId="2BCD3F6D">
        <w:tblPrEx>
          <w:tblCellMar>
            <w:top w:w="0" w:type="dxa"/>
            <w:left w:w="0" w:type="dxa"/>
            <w:bottom w:w="0" w:type="dxa"/>
            <w:right w:w="0" w:type="dxa"/>
          </w:tblCellMar>
        </w:tblPrEx>
        <w:trPr>
          <w:wBefore w:w="0" w:type="auto"/>
          <w:tblCellSpacing w:w="0" w:type="dxa"/>
        </w:trPr>
        <w:tc>
          <w:tcPr>
            <w:tcW w:w="0" w:type="auto"/>
            <w:noWrap w:val="0"/>
            <w:vAlign w:val="center"/>
          </w:tcPr>
          <w:p w14:paraId="5F1674F0">
            <w:r>
              <w:rPr>
                <w:rStyle w:val="10"/>
                <w:rFonts w:hint="eastAsia"/>
              </w:rPr>
              <w:t>毒性及其标识：</w:t>
            </w:r>
            <w:r>
              <w:rPr>
                <w:rFonts w:hint="eastAsia"/>
              </w:rPr>
              <w:t xml:space="preserve"> </w:t>
            </w:r>
            <w:r>
              <w:rPr>
                <w:lang/>
              </w:rPr>
              <w:drawing>
                <wp:inline distT="0" distB="0" distL="114300" distR="114300">
                  <wp:extent cx="476250" cy="323850"/>
                  <wp:effectExtent l="0" t="0" r="0" b="0"/>
                  <wp:docPr id="510" name="图片 51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443AE5A">
        <w:tblPrEx>
          <w:tblCellMar>
            <w:top w:w="0" w:type="dxa"/>
            <w:left w:w="0" w:type="dxa"/>
            <w:bottom w:w="0" w:type="dxa"/>
            <w:right w:w="0" w:type="dxa"/>
          </w:tblCellMar>
        </w:tblPrEx>
        <w:trPr>
          <w:wBefore w:w="0" w:type="auto"/>
          <w:tblCellSpacing w:w="0" w:type="dxa"/>
        </w:trPr>
        <w:tc>
          <w:tcPr>
            <w:tcW w:w="0" w:type="auto"/>
            <w:noWrap w:val="0"/>
            <w:vAlign w:val="center"/>
          </w:tcPr>
          <w:p w14:paraId="00D6FF6B">
            <w:r>
              <w:rPr>
                <w:rStyle w:val="10"/>
                <w:rFonts w:hint="eastAsia"/>
              </w:rPr>
              <w:t>总有效成分含量：</w:t>
            </w:r>
            <w:r>
              <w:rPr>
                <w:rFonts w:hint="eastAsia"/>
              </w:rPr>
              <w:t>30%</w:t>
            </w:r>
          </w:p>
        </w:tc>
      </w:tr>
      <w:tr w14:paraId="00FEB556">
        <w:tblPrEx>
          <w:tblCellMar>
            <w:top w:w="0" w:type="dxa"/>
            <w:left w:w="0" w:type="dxa"/>
            <w:bottom w:w="0" w:type="dxa"/>
            <w:right w:w="0" w:type="dxa"/>
          </w:tblCellMar>
        </w:tblPrEx>
        <w:trPr>
          <w:wBefore w:w="0" w:type="auto"/>
          <w:tblCellSpacing w:w="0" w:type="dxa"/>
        </w:trPr>
        <w:tc>
          <w:tcPr>
            <w:tcW w:w="0" w:type="auto"/>
            <w:noWrap w:val="0"/>
            <w:vAlign w:val="center"/>
          </w:tcPr>
          <w:p w14:paraId="6FD14A0E">
            <w:r>
              <w:rPr>
                <w:rFonts w:hint="eastAsia"/>
              </w:rPr>
              <w:t xml:space="preserve">有效成分及其含量： </w:t>
            </w:r>
          </w:p>
          <w:p w14:paraId="4872923F">
            <w:r>
              <w:rPr>
                <w:rFonts w:hint="eastAsia"/>
              </w:rPr>
              <w:t xml:space="preserve">    呋虫胺7.5%    哒螨灵22.5%    </w:t>
            </w:r>
          </w:p>
        </w:tc>
      </w:tr>
      <w:tr w14:paraId="6CA5B9BC">
        <w:tblPrEx>
          <w:tblCellMar>
            <w:top w:w="0" w:type="dxa"/>
            <w:left w:w="0" w:type="dxa"/>
            <w:bottom w:w="0" w:type="dxa"/>
            <w:right w:w="0" w:type="dxa"/>
          </w:tblCellMar>
        </w:tblPrEx>
        <w:trPr>
          <w:wBefore w:w="0" w:type="auto"/>
          <w:tblCellSpacing w:w="0" w:type="dxa"/>
        </w:trPr>
        <w:tc>
          <w:tcPr>
            <w:tcW w:w="0" w:type="auto"/>
            <w:noWrap w:val="0"/>
            <w:vAlign w:val="center"/>
          </w:tcPr>
          <w:p w14:paraId="7C7298E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97C970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1DFEC4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0CCDAF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B7B113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24933A0">
                  <w:r>
                    <w:rPr>
                      <w:rStyle w:val="11"/>
                      <w:rFonts w:hint="eastAsia"/>
                    </w:rPr>
                    <w:t>施用方式</w:t>
                  </w:r>
                </w:p>
              </w:tc>
            </w:tr>
            <w:tr w14:paraId="05D8EF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42FB871">
                  <w:r>
                    <w:rPr>
                      <w:rStyle w:val="11"/>
                      <w:rFonts w:hint="eastAsia"/>
                    </w:rPr>
                    <w:t>大白菜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DD72F6">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3B40B4">
                  <w:r>
                    <w:rPr>
                      <w:rStyle w:val="11"/>
                      <w:rFonts w:hint="eastAsia"/>
                    </w:rPr>
                    <w:t>50-60毫升/亩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DDA47A">
                  <w:r>
                    <w:rPr>
                      <w:rStyle w:val="11"/>
                      <w:rFonts w:hint="eastAsia"/>
                    </w:rPr>
                    <w:t>喷雾</w:t>
                  </w:r>
                </w:p>
              </w:tc>
            </w:tr>
          </w:tbl>
          <w:p w14:paraId="791E39FE">
            <w:pPr>
              <w:rPr>
                <w:rFonts w:ascii="Times New Roman" w:hAnsi="Times New Roman" w:cs="Times New Roman"/>
                <w:sz w:val="20"/>
                <w:szCs w:val="20"/>
              </w:rPr>
            </w:pPr>
          </w:p>
        </w:tc>
      </w:tr>
      <w:tr w14:paraId="0F7149AA">
        <w:tblPrEx>
          <w:tblCellMar>
            <w:top w:w="0" w:type="dxa"/>
            <w:left w:w="0" w:type="dxa"/>
            <w:bottom w:w="0" w:type="dxa"/>
            <w:right w:w="0" w:type="dxa"/>
          </w:tblCellMar>
        </w:tblPrEx>
        <w:trPr>
          <w:wBefore w:w="0" w:type="auto"/>
          <w:tblCellSpacing w:w="0" w:type="dxa"/>
        </w:trPr>
        <w:tc>
          <w:tcPr>
            <w:tcW w:w="0" w:type="auto"/>
            <w:noWrap w:val="0"/>
            <w:vAlign w:val="center"/>
          </w:tcPr>
          <w:p w14:paraId="3C6F78D8">
            <w:r>
              <w:rPr>
                <w:rStyle w:val="10"/>
                <w:rFonts w:hint="eastAsia"/>
              </w:rPr>
              <w:t>使用技术要求:</w:t>
            </w:r>
            <w:r>
              <w:rPr>
                <w:rFonts w:hint="eastAsia"/>
              </w:rPr>
              <w:br w:type="textWrapping"/>
            </w:r>
            <w:r>
              <w:rPr>
                <w:rStyle w:val="11"/>
                <w:rFonts w:hint="eastAsia"/>
              </w:rPr>
              <w:t>1.于大白菜黄条跳甲低龄幼虫盛发期施药，注意喷雾均匀。2.大风天或预计1小时内降雨，请勿施药。3.在大白菜上每季作物最多使用1次，安全间隔期为7天。</w:t>
            </w:r>
          </w:p>
        </w:tc>
      </w:tr>
      <w:tr w14:paraId="6C0F5E83">
        <w:tblPrEx>
          <w:tblCellMar>
            <w:top w:w="0" w:type="dxa"/>
            <w:left w:w="0" w:type="dxa"/>
            <w:bottom w:w="0" w:type="dxa"/>
            <w:right w:w="0" w:type="dxa"/>
          </w:tblCellMar>
        </w:tblPrEx>
        <w:trPr>
          <w:wBefore w:w="0" w:type="auto"/>
          <w:tblCellSpacing w:w="0" w:type="dxa"/>
        </w:trPr>
        <w:tc>
          <w:tcPr>
            <w:tcW w:w="0" w:type="auto"/>
            <w:noWrap w:val="0"/>
            <w:vAlign w:val="center"/>
          </w:tcPr>
          <w:p w14:paraId="32B13AEF">
            <w:r>
              <w:rPr>
                <w:rStyle w:val="10"/>
                <w:rFonts w:hint="eastAsia"/>
              </w:rPr>
              <w:t>产品性能:</w:t>
            </w:r>
            <w:r>
              <w:rPr>
                <w:rFonts w:hint="eastAsia"/>
              </w:rPr>
              <w:br w:type="textWrapping"/>
            </w:r>
            <w:r>
              <w:rPr>
                <w:rStyle w:val="11"/>
                <w:rFonts w:hint="eastAsia"/>
              </w:rPr>
              <w:t>本品是由呋虫胺和哒螨灵复配而成的杀虫剂，对黄条跳甲的整个生长期即卵、幼虫、若虫和成虫都有较好的效果，是通过作用于昆虫神经传递系统和具有触杀、胃毒作用的杀虫剂，可以快速被植物吸收并广泛分布于作物体内，对大白菜黄条跳甲有较好的防治效果。</w:t>
            </w:r>
          </w:p>
        </w:tc>
      </w:tr>
      <w:tr w14:paraId="533C3772">
        <w:tblPrEx>
          <w:tblCellMar>
            <w:top w:w="0" w:type="dxa"/>
            <w:left w:w="0" w:type="dxa"/>
            <w:bottom w:w="0" w:type="dxa"/>
            <w:right w:w="0" w:type="dxa"/>
          </w:tblCellMar>
        </w:tblPrEx>
        <w:trPr>
          <w:wBefore w:w="0" w:type="auto"/>
          <w:tblCellSpacing w:w="0" w:type="dxa"/>
        </w:trPr>
        <w:tc>
          <w:tcPr>
            <w:tcW w:w="0" w:type="auto"/>
            <w:noWrap w:val="0"/>
            <w:vAlign w:val="center"/>
          </w:tcPr>
          <w:p w14:paraId="48F5D663">
            <w:r>
              <w:rPr>
                <w:rStyle w:val="10"/>
                <w:rFonts w:hint="eastAsia"/>
              </w:rPr>
              <w:t>注意事项：</w:t>
            </w:r>
            <w:r>
              <w:rPr>
                <w:rFonts w:hint="eastAsia"/>
              </w:rPr>
              <w:br w:type="textWrapping"/>
            </w:r>
            <w:r>
              <w:rPr>
                <w:rStyle w:val="11"/>
                <w:rFonts w:hint="eastAsia"/>
              </w:rPr>
              <w:t>1、严格按照规定用药量和方法使用。2、建议与其他作用机制不同的杀虫剂轮换使用，以延缓抗性产生。3、养蜂场所和周围开花植物花期禁用；使用时应密切关注对附近蜂群的影响；蚕室及桑园附近禁用。4、使用过的施药器械，应清洗干净方可用于其它的农药。5、施用时应戴防护镜、口罩和手套，穿长衣、长裤；施药中禁止饮食、吸烟、饮水等；施药后应用肥皂和清水彻底清洗暴露在外的皮肤。6、用药后包装物及用过的容器应妥善处理，不可做他用，也不可随意丢弃。7、孕妇、哺乳期的妇女禁止接触本产品。</w:t>
            </w:r>
          </w:p>
        </w:tc>
      </w:tr>
      <w:tr w14:paraId="45C9874E">
        <w:tblPrEx>
          <w:tblCellMar>
            <w:top w:w="0" w:type="dxa"/>
            <w:left w:w="0" w:type="dxa"/>
            <w:bottom w:w="0" w:type="dxa"/>
            <w:right w:w="0" w:type="dxa"/>
          </w:tblCellMar>
        </w:tblPrEx>
        <w:trPr>
          <w:wBefore w:w="0" w:type="auto"/>
          <w:tblCellSpacing w:w="0" w:type="dxa"/>
        </w:trPr>
        <w:tc>
          <w:tcPr>
            <w:tcW w:w="0" w:type="auto"/>
            <w:noWrap w:val="0"/>
            <w:vAlign w:val="center"/>
          </w:tcPr>
          <w:p w14:paraId="28B78551">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60B8A090">
        <w:tblPrEx>
          <w:tblCellMar>
            <w:top w:w="0" w:type="dxa"/>
            <w:left w:w="0" w:type="dxa"/>
            <w:bottom w:w="0" w:type="dxa"/>
            <w:right w:w="0" w:type="dxa"/>
          </w:tblCellMar>
        </w:tblPrEx>
        <w:trPr>
          <w:wBefore w:w="0" w:type="auto"/>
          <w:tblCellSpacing w:w="0" w:type="dxa"/>
        </w:trPr>
        <w:tc>
          <w:tcPr>
            <w:tcW w:w="0" w:type="auto"/>
            <w:noWrap w:val="0"/>
            <w:vAlign w:val="center"/>
          </w:tcPr>
          <w:p w14:paraId="514A558E">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本品应储存在干燥、阴凉、通风、防雨处，远离火源或热源。置于儿童接触不到的地方，并加锁保存。不能与食品、饮料、粮食、饲料等同储同运。在装卸、运输时应轻拿轻放。</w:t>
            </w:r>
          </w:p>
        </w:tc>
      </w:tr>
      <w:tr w14:paraId="4EC4AFE9">
        <w:tblPrEx>
          <w:tblCellMar>
            <w:top w:w="0" w:type="dxa"/>
            <w:left w:w="0" w:type="dxa"/>
            <w:bottom w:w="0" w:type="dxa"/>
            <w:right w:w="0" w:type="dxa"/>
          </w:tblCellMar>
        </w:tblPrEx>
        <w:trPr>
          <w:wBefore w:w="0" w:type="auto"/>
          <w:tblCellSpacing w:w="0" w:type="dxa"/>
        </w:trPr>
        <w:tc>
          <w:tcPr>
            <w:tcW w:w="0" w:type="auto"/>
            <w:noWrap w:val="0"/>
            <w:vAlign w:val="center"/>
          </w:tcPr>
          <w:p w14:paraId="386F7993">
            <w:r>
              <w:rPr>
                <w:rStyle w:val="10"/>
                <w:rFonts w:hint="eastAsia"/>
              </w:rPr>
              <w:t>质量保证期：</w:t>
            </w:r>
            <w:r>
              <w:rPr>
                <w:rStyle w:val="11"/>
                <w:rFonts w:hint="eastAsia"/>
              </w:rPr>
              <w:t>2年</w:t>
            </w:r>
          </w:p>
        </w:tc>
      </w:tr>
      <w:tr w14:paraId="2BE53B17">
        <w:tblPrEx>
          <w:tblCellMar>
            <w:top w:w="0" w:type="dxa"/>
            <w:left w:w="0" w:type="dxa"/>
            <w:bottom w:w="0" w:type="dxa"/>
            <w:right w:w="0" w:type="dxa"/>
          </w:tblCellMar>
        </w:tblPrEx>
        <w:trPr>
          <w:wBefore w:w="0" w:type="auto"/>
          <w:tblCellSpacing w:w="0" w:type="dxa"/>
        </w:trPr>
        <w:tc>
          <w:tcPr>
            <w:tcW w:w="0" w:type="auto"/>
            <w:noWrap w:val="0"/>
            <w:vAlign w:val="center"/>
          </w:tcPr>
          <w:p w14:paraId="0F9FE91F">
            <w:r>
              <w:rPr>
                <w:rStyle w:val="10"/>
                <w:rFonts w:hint="eastAsia"/>
              </w:rPr>
              <w:t>备注：</w:t>
            </w:r>
          </w:p>
        </w:tc>
      </w:tr>
    </w:tbl>
    <w:p w14:paraId="652EF6D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9FACEA">
        <w:tblPrEx>
          <w:tblCellMar>
            <w:top w:w="0" w:type="dxa"/>
            <w:left w:w="0" w:type="dxa"/>
            <w:bottom w:w="0" w:type="dxa"/>
            <w:right w:w="0" w:type="dxa"/>
          </w:tblCellMar>
        </w:tblPrEx>
        <w:trPr>
          <w:wBefore w:w="0" w:type="auto"/>
          <w:tblCellSpacing w:w="0" w:type="dxa"/>
        </w:trPr>
        <w:tc>
          <w:tcPr>
            <w:tcW w:w="0" w:type="auto"/>
            <w:noWrap w:val="0"/>
            <w:vAlign w:val="center"/>
          </w:tcPr>
          <w:p w14:paraId="769B1E36">
            <w:r>
              <w:rPr>
                <w:rStyle w:val="10"/>
                <w:rFonts w:hint="eastAsia"/>
              </w:rPr>
              <w:t>登记证号：</w:t>
            </w:r>
            <w:r>
              <w:rPr>
                <w:rFonts w:hint="eastAsia"/>
              </w:rPr>
              <w:t>PD20212013</w:t>
            </w:r>
          </w:p>
        </w:tc>
      </w:tr>
      <w:tr w14:paraId="240CAAAD">
        <w:tblPrEx>
          <w:tblCellMar>
            <w:top w:w="0" w:type="dxa"/>
            <w:left w:w="0" w:type="dxa"/>
            <w:bottom w:w="0" w:type="dxa"/>
            <w:right w:w="0" w:type="dxa"/>
          </w:tblCellMar>
        </w:tblPrEx>
        <w:trPr>
          <w:wBefore w:w="0" w:type="auto"/>
          <w:tblCellSpacing w:w="0" w:type="dxa"/>
        </w:trPr>
        <w:tc>
          <w:tcPr>
            <w:tcW w:w="0" w:type="auto"/>
            <w:noWrap w:val="0"/>
            <w:vAlign w:val="center"/>
          </w:tcPr>
          <w:p w14:paraId="2393A10B">
            <w:r>
              <w:rPr>
                <w:rStyle w:val="10"/>
                <w:rFonts w:hint="eastAsia"/>
              </w:rPr>
              <w:t>登记证持有人：</w:t>
            </w:r>
            <w:r>
              <w:rPr>
                <w:rFonts w:hint="eastAsia"/>
              </w:rPr>
              <w:t>河北成悦化工有限公司</w:t>
            </w:r>
          </w:p>
        </w:tc>
      </w:tr>
      <w:tr w14:paraId="73739B91">
        <w:tblPrEx>
          <w:tblCellMar>
            <w:top w:w="0" w:type="dxa"/>
            <w:left w:w="0" w:type="dxa"/>
            <w:bottom w:w="0" w:type="dxa"/>
            <w:right w:w="0" w:type="dxa"/>
          </w:tblCellMar>
        </w:tblPrEx>
        <w:trPr>
          <w:wBefore w:w="0" w:type="auto"/>
          <w:tblCellSpacing w:w="0" w:type="dxa"/>
        </w:trPr>
        <w:tc>
          <w:tcPr>
            <w:tcW w:w="0" w:type="auto"/>
            <w:noWrap w:val="0"/>
            <w:vAlign w:val="center"/>
          </w:tcPr>
          <w:p w14:paraId="0F395813">
            <w:r>
              <w:rPr>
                <w:rStyle w:val="10"/>
                <w:rFonts w:hint="eastAsia"/>
              </w:rPr>
              <w:t>农药名称：</w:t>
            </w:r>
            <w:r>
              <w:rPr>
                <w:rFonts w:hint="eastAsia"/>
              </w:rPr>
              <w:t>唑醚·氟环唑</w:t>
            </w:r>
          </w:p>
        </w:tc>
      </w:tr>
      <w:tr w14:paraId="2994D5B4">
        <w:tblPrEx>
          <w:tblCellMar>
            <w:top w:w="0" w:type="dxa"/>
            <w:left w:w="0" w:type="dxa"/>
            <w:bottom w:w="0" w:type="dxa"/>
            <w:right w:w="0" w:type="dxa"/>
          </w:tblCellMar>
        </w:tblPrEx>
        <w:trPr>
          <w:wBefore w:w="0" w:type="auto"/>
          <w:tblCellSpacing w:w="0" w:type="dxa"/>
        </w:trPr>
        <w:tc>
          <w:tcPr>
            <w:tcW w:w="0" w:type="auto"/>
            <w:noWrap w:val="0"/>
            <w:vAlign w:val="center"/>
          </w:tcPr>
          <w:p w14:paraId="62B9E7CD">
            <w:r>
              <w:rPr>
                <w:rStyle w:val="10"/>
                <w:rFonts w:hint="eastAsia"/>
              </w:rPr>
              <w:t>剂型：</w:t>
            </w:r>
            <w:r>
              <w:rPr>
                <w:rFonts w:hint="eastAsia"/>
              </w:rPr>
              <w:t>悬浮剂</w:t>
            </w:r>
          </w:p>
        </w:tc>
      </w:tr>
      <w:tr w14:paraId="5A0D2F2E">
        <w:tblPrEx>
          <w:tblCellMar>
            <w:top w:w="0" w:type="dxa"/>
            <w:left w:w="0" w:type="dxa"/>
            <w:bottom w:w="0" w:type="dxa"/>
            <w:right w:w="0" w:type="dxa"/>
          </w:tblCellMar>
        </w:tblPrEx>
        <w:trPr>
          <w:wBefore w:w="0" w:type="auto"/>
          <w:tblCellSpacing w:w="0" w:type="dxa"/>
        </w:trPr>
        <w:tc>
          <w:tcPr>
            <w:tcW w:w="0" w:type="auto"/>
            <w:noWrap w:val="0"/>
            <w:vAlign w:val="center"/>
          </w:tcPr>
          <w:p w14:paraId="51791D80">
            <w:r>
              <w:rPr>
                <w:rStyle w:val="10"/>
                <w:rFonts w:hint="eastAsia"/>
              </w:rPr>
              <w:t>毒性及其标识：</w:t>
            </w:r>
            <w:r>
              <w:rPr>
                <w:rFonts w:hint="eastAsia"/>
              </w:rPr>
              <w:t xml:space="preserve"> </w:t>
            </w:r>
            <w:r>
              <w:rPr>
                <w:lang/>
              </w:rPr>
              <w:drawing>
                <wp:inline distT="0" distB="0" distL="114300" distR="114300">
                  <wp:extent cx="476250" cy="323850"/>
                  <wp:effectExtent l="0" t="0" r="0" b="0"/>
                  <wp:docPr id="511" name="图片 51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1671E17">
        <w:tblPrEx>
          <w:tblCellMar>
            <w:top w:w="0" w:type="dxa"/>
            <w:left w:w="0" w:type="dxa"/>
            <w:bottom w:w="0" w:type="dxa"/>
            <w:right w:w="0" w:type="dxa"/>
          </w:tblCellMar>
        </w:tblPrEx>
        <w:trPr>
          <w:wBefore w:w="0" w:type="auto"/>
          <w:tblCellSpacing w:w="0" w:type="dxa"/>
        </w:trPr>
        <w:tc>
          <w:tcPr>
            <w:tcW w:w="0" w:type="auto"/>
            <w:noWrap w:val="0"/>
            <w:vAlign w:val="center"/>
          </w:tcPr>
          <w:p w14:paraId="288AFAD1">
            <w:r>
              <w:rPr>
                <w:rStyle w:val="10"/>
                <w:rFonts w:hint="eastAsia"/>
              </w:rPr>
              <w:t>总有效成分含量：</w:t>
            </w:r>
            <w:r>
              <w:rPr>
                <w:rFonts w:hint="eastAsia"/>
              </w:rPr>
              <w:t>17%</w:t>
            </w:r>
          </w:p>
        </w:tc>
      </w:tr>
      <w:tr w14:paraId="50841483">
        <w:tblPrEx>
          <w:tblCellMar>
            <w:top w:w="0" w:type="dxa"/>
            <w:left w:w="0" w:type="dxa"/>
            <w:bottom w:w="0" w:type="dxa"/>
            <w:right w:w="0" w:type="dxa"/>
          </w:tblCellMar>
        </w:tblPrEx>
        <w:trPr>
          <w:wBefore w:w="0" w:type="auto"/>
          <w:tblCellSpacing w:w="0" w:type="dxa"/>
        </w:trPr>
        <w:tc>
          <w:tcPr>
            <w:tcW w:w="0" w:type="auto"/>
            <w:noWrap w:val="0"/>
            <w:vAlign w:val="center"/>
          </w:tcPr>
          <w:p w14:paraId="0B6DBE51">
            <w:r>
              <w:rPr>
                <w:rFonts w:hint="eastAsia"/>
              </w:rPr>
              <w:t xml:space="preserve">有效成分及其含量： </w:t>
            </w:r>
          </w:p>
          <w:p w14:paraId="2F1E11E1">
            <w:r>
              <w:rPr>
                <w:rFonts w:hint="eastAsia"/>
              </w:rPr>
              <w:t xml:space="preserve">    氟环唑4.7%    吡唑醚菌酯12.3%    </w:t>
            </w:r>
          </w:p>
        </w:tc>
      </w:tr>
      <w:tr w14:paraId="42534124">
        <w:tblPrEx>
          <w:tblCellMar>
            <w:top w:w="0" w:type="dxa"/>
            <w:left w:w="0" w:type="dxa"/>
            <w:bottom w:w="0" w:type="dxa"/>
            <w:right w:w="0" w:type="dxa"/>
          </w:tblCellMar>
        </w:tblPrEx>
        <w:trPr>
          <w:wBefore w:w="0" w:type="auto"/>
          <w:tblCellSpacing w:w="0" w:type="dxa"/>
        </w:trPr>
        <w:tc>
          <w:tcPr>
            <w:tcW w:w="0" w:type="auto"/>
            <w:noWrap w:val="0"/>
            <w:vAlign w:val="center"/>
          </w:tcPr>
          <w:p w14:paraId="78B4D5C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FFE9D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5DD56B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B08297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71330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B1BCEE2">
                  <w:r>
                    <w:rPr>
                      <w:rStyle w:val="11"/>
                      <w:rFonts w:hint="eastAsia"/>
                    </w:rPr>
                    <w:t>施用方式</w:t>
                  </w:r>
                </w:p>
              </w:tc>
            </w:tr>
            <w:tr w14:paraId="3CE265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72066D2">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3B064D">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FB898E">
                  <w:r>
                    <w:rPr>
                      <w:rStyle w:val="11"/>
                      <w:rFonts w:hint="eastAsia"/>
                    </w:rPr>
                    <w:t>40-60毫升/亩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0F7010">
                  <w:r>
                    <w:rPr>
                      <w:rStyle w:val="11"/>
                      <w:rFonts w:hint="eastAsia"/>
                    </w:rPr>
                    <w:t>喷雾</w:t>
                  </w:r>
                </w:p>
              </w:tc>
            </w:tr>
          </w:tbl>
          <w:p w14:paraId="05139AD2">
            <w:pPr>
              <w:rPr>
                <w:rFonts w:ascii="Times New Roman" w:hAnsi="Times New Roman" w:cs="Times New Roman"/>
                <w:sz w:val="20"/>
                <w:szCs w:val="20"/>
              </w:rPr>
            </w:pPr>
          </w:p>
        </w:tc>
      </w:tr>
      <w:tr w14:paraId="4EBB1E96">
        <w:tblPrEx>
          <w:tblCellMar>
            <w:top w:w="0" w:type="dxa"/>
            <w:left w:w="0" w:type="dxa"/>
            <w:bottom w:w="0" w:type="dxa"/>
            <w:right w:w="0" w:type="dxa"/>
          </w:tblCellMar>
        </w:tblPrEx>
        <w:trPr>
          <w:wBefore w:w="0" w:type="auto"/>
          <w:tblCellSpacing w:w="0" w:type="dxa"/>
        </w:trPr>
        <w:tc>
          <w:tcPr>
            <w:tcW w:w="0" w:type="auto"/>
            <w:noWrap w:val="0"/>
            <w:vAlign w:val="center"/>
          </w:tcPr>
          <w:p w14:paraId="44E25FBC">
            <w:r>
              <w:rPr>
                <w:rStyle w:val="10"/>
                <w:rFonts w:hint="eastAsia"/>
              </w:rPr>
              <w:t>使用技术要求:</w:t>
            </w:r>
            <w:r>
              <w:rPr>
                <w:rFonts w:hint="eastAsia"/>
              </w:rPr>
              <w:br w:type="textWrapping"/>
            </w:r>
            <w:r>
              <w:rPr>
                <w:rStyle w:val="11"/>
                <w:rFonts w:hint="eastAsia"/>
              </w:rPr>
              <w:t>于小麦白粉病发生前或发病初期喷雾施药，连续施药2次，间隔7-10天。每季作物最多使用2次，安全间隔期30天。</w:t>
            </w:r>
          </w:p>
        </w:tc>
      </w:tr>
      <w:tr w14:paraId="4B591447">
        <w:tblPrEx>
          <w:tblCellMar>
            <w:top w:w="0" w:type="dxa"/>
            <w:left w:w="0" w:type="dxa"/>
            <w:bottom w:w="0" w:type="dxa"/>
            <w:right w:w="0" w:type="dxa"/>
          </w:tblCellMar>
        </w:tblPrEx>
        <w:trPr>
          <w:wBefore w:w="0" w:type="auto"/>
          <w:tblCellSpacing w:w="0" w:type="dxa"/>
        </w:trPr>
        <w:tc>
          <w:tcPr>
            <w:tcW w:w="0" w:type="auto"/>
            <w:noWrap w:val="0"/>
            <w:vAlign w:val="center"/>
          </w:tcPr>
          <w:p w14:paraId="64536913">
            <w:r>
              <w:rPr>
                <w:rStyle w:val="10"/>
                <w:rFonts w:hint="eastAsia"/>
              </w:rPr>
              <w:t>产品性能:</w:t>
            </w:r>
            <w:r>
              <w:rPr>
                <w:rFonts w:hint="eastAsia"/>
              </w:rPr>
              <w:br w:type="textWrapping"/>
            </w:r>
            <w:r>
              <w:rPr>
                <w:rStyle w:val="11"/>
                <w:rFonts w:hint="eastAsia"/>
              </w:rPr>
              <w:t>本品由吡唑醚菌酯和氟环唑复配而成。其中吡唑醚菌酯属甲氧基丙烯酸酯类杀菌剂，具有良好的保护和治疗作用。氟环唑是一种具有内吸、治疗作用的三唑类广谱性杀菌剂，能被植物的茎、叶吸收，并向上、向外传导。推荐剂量下，对小麦白粉病有较好的防效。</w:t>
            </w:r>
          </w:p>
        </w:tc>
      </w:tr>
      <w:tr w14:paraId="3BA6556C">
        <w:tblPrEx>
          <w:tblCellMar>
            <w:top w:w="0" w:type="dxa"/>
            <w:left w:w="0" w:type="dxa"/>
            <w:bottom w:w="0" w:type="dxa"/>
            <w:right w:w="0" w:type="dxa"/>
          </w:tblCellMar>
        </w:tblPrEx>
        <w:trPr>
          <w:wBefore w:w="0" w:type="auto"/>
          <w:tblCellSpacing w:w="0" w:type="dxa"/>
        </w:trPr>
        <w:tc>
          <w:tcPr>
            <w:tcW w:w="0" w:type="auto"/>
            <w:noWrap w:val="0"/>
            <w:vAlign w:val="center"/>
          </w:tcPr>
          <w:p w14:paraId="338EF845">
            <w:r>
              <w:rPr>
                <w:rStyle w:val="10"/>
                <w:rFonts w:hint="eastAsia"/>
              </w:rPr>
              <w:t>注意事项：</w:t>
            </w:r>
            <w:r>
              <w:rPr>
                <w:rFonts w:hint="eastAsia"/>
              </w:rPr>
              <w:br w:type="textWrapping"/>
            </w:r>
            <w:r>
              <w:rPr>
                <w:rStyle w:val="11"/>
                <w:rFonts w:hint="eastAsia"/>
              </w:rPr>
              <w:t>1. 使用时应远离蜂场、桑园、蚕室、水源、水产养殖区及河塘，禁止在河塘等水域清洗施药器具。剩余药液要妥善保管，不要污染水源及其它非目标区域。 2. 本品不可与呈碱性的农药等物质混合使用。3. 开启时应戴用必要的防护器具，要小心谨慎防止撒漏和人身伤害。 4. 使用本品应采取相应的安全防护措施，施用人员在配药和施药时，务必穿着长衣长裤和鞋袜，并佩戴帽子、口罩和手套，使用中不准吸烟、饮水、进食，作业结束后应及时冲洗、更衣。5. 使用过的空包装，用清水冲洗三次后按国家相关要求妥善处理，切勿重复使用或改作其它用途。6. 用过的容器应妥善处理，不可做他用，也不可随意丢弃。7. 孕妇及哺乳期妇女避免接触本品。8. 避免与氧化剂接触。</w:t>
            </w:r>
          </w:p>
        </w:tc>
      </w:tr>
      <w:tr w14:paraId="2DB1AB6B">
        <w:tblPrEx>
          <w:tblCellMar>
            <w:top w:w="0" w:type="dxa"/>
            <w:left w:w="0" w:type="dxa"/>
            <w:bottom w:w="0" w:type="dxa"/>
            <w:right w:w="0" w:type="dxa"/>
          </w:tblCellMar>
        </w:tblPrEx>
        <w:trPr>
          <w:wBefore w:w="0" w:type="auto"/>
          <w:tblCellSpacing w:w="0" w:type="dxa"/>
        </w:trPr>
        <w:tc>
          <w:tcPr>
            <w:tcW w:w="0" w:type="auto"/>
            <w:noWrap w:val="0"/>
            <w:vAlign w:val="center"/>
          </w:tcPr>
          <w:p w14:paraId="6D184942">
            <w:r>
              <w:rPr>
                <w:rStyle w:val="10"/>
                <w:rFonts w:hint="eastAsia"/>
              </w:rPr>
              <w:t>中毒急救措施：</w:t>
            </w:r>
            <w:r>
              <w:rPr>
                <w:rFonts w:hint="eastAsia"/>
              </w:rPr>
              <w:br w:type="textWrapping"/>
            </w:r>
            <w:r>
              <w:rPr>
                <w:rStyle w:val="11"/>
                <w:rFonts w:hint="eastAsia"/>
              </w:rPr>
              <w:t>皮肤接触：脱去污染的衣物，立即用大量清水和肥皂清洗并就医。眼睛溅入：立即用流动清水冲洗不少于15分钟并就医。吸入：立即转移至空气清新处并就医。误服：立即停止服用并携标签就医，本品无特殊解毒剂,对症治疗。</w:t>
            </w:r>
          </w:p>
        </w:tc>
      </w:tr>
      <w:tr w14:paraId="27ECC3F2">
        <w:tblPrEx>
          <w:tblCellMar>
            <w:top w:w="0" w:type="dxa"/>
            <w:left w:w="0" w:type="dxa"/>
            <w:bottom w:w="0" w:type="dxa"/>
            <w:right w:w="0" w:type="dxa"/>
          </w:tblCellMar>
        </w:tblPrEx>
        <w:trPr>
          <w:wBefore w:w="0" w:type="auto"/>
          <w:tblCellSpacing w:w="0" w:type="dxa"/>
        </w:trPr>
        <w:tc>
          <w:tcPr>
            <w:tcW w:w="0" w:type="auto"/>
            <w:noWrap w:val="0"/>
            <w:vAlign w:val="center"/>
          </w:tcPr>
          <w:p w14:paraId="34964721">
            <w:r>
              <w:rPr>
                <w:rStyle w:val="10"/>
                <w:rFonts w:hint="eastAsia"/>
              </w:rPr>
              <w:t>储存和运输方法：</w:t>
            </w:r>
            <w:r>
              <w:rPr>
                <w:rFonts w:hint="eastAsia"/>
              </w:rPr>
              <w:br w:type="textWrapping"/>
            </w:r>
            <w:r>
              <w:rPr>
                <w:rStyle w:val="11"/>
                <w:rFonts w:hint="eastAsia"/>
              </w:rPr>
              <w:t>本品应储存在干燥、阴凉、通风、防雨处，远离火源或热源。置于儿童、无关人员接触不到的地方，并加锁。不能与食品、饮料、粮食、饲料等同贮同运。在装卸、运输时轻拿轻放。</w:t>
            </w:r>
          </w:p>
        </w:tc>
      </w:tr>
      <w:tr w14:paraId="290AB7ED">
        <w:tblPrEx>
          <w:tblCellMar>
            <w:top w:w="0" w:type="dxa"/>
            <w:left w:w="0" w:type="dxa"/>
            <w:bottom w:w="0" w:type="dxa"/>
            <w:right w:w="0" w:type="dxa"/>
          </w:tblCellMar>
        </w:tblPrEx>
        <w:trPr>
          <w:wBefore w:w="0" w:type="auto"/>
          <w:tblCellSpacing w:w="0" w:type="dxa"/>
        </w:trPr>
        <w:tc>
          <w:tcPr>
            <w:tcW w:w="0" w:type="auto"/>
            <w:noWrap w:val="0"/>
            <w:vAlign w:val="center"/>
          </w:tcPr>
          <w:p w14:paraId="67D62659">
            <w:r>
              <w:rPr>
                <w:rStyle w:val="10"/>
                <w:rFonts w:hint="eastAsia"/>
              </w:rPr>
              <w:t>质量保证期：</w:t>
            </w:r>
            <w:r>
              <w:rPr>
                <w:rStyle w:val="11"/>
                <w:rFonts w:hint="eastAsia"/>
              </w:rPr>
              <w:t>2年</w:t>
            </w:r>
          </w:p>
        </w:tc>
      </w:tr>
      <w:tr w14:paraId="551FEB1B">
        <w:tblPrEx>
          <w:tblCellMar>
            <w:top w:w="0" w:type="dxa"/>
            <w:left w:w="0" w:type="dxa"/>
            <w:bottom w:w="0" w:type="dxa"/>
            <w:right w:w="0" w:type="dxa"/>
          </w:tblCellMar>
        </w:tblPrEx>
        <w:trPr>
          <w:wBefore w:w="0" w:type="auto"/>
          <w:tblCellSpacing w:w="0" w:type="dxa"/>
        </w:trPr>
        <w:tc>
          <w:tcPr>
            <w:tcW w:w="0" w:type="auto"/>
            <w:noWrap w:val="0"/>
            <w:vAlign w:val="center"/>
          </w:tcPr>
          <w:p w14:paraId="66CB18B9">
            <w:r>
              <w:rPr>
                <w:rStyle w:val="10"/>
                <w:rFonts w:hint="eastAsia"/>
              </w:rPr>
              <w:t>备注：</w:t>
            </w:r>
          </w:p>
        </w:tc>
      </w:tr>
    </w:tbl>
    <w:p w14:paraId="341B535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10D988B">
        <w:tblPrEx>
          <w:tblCellMar>
            <w:top w:w="0" w:type="dxa"/>
            <w:left w:w="0" w:type="dxa"/>
            <w:bottom w:w="0" w:type="dxa"/>
            <w:right w:w="0" w:type="dxa"/>
          </w:tblCellMar>
        </w:tblPrEx>
        <w:trPr>
          <w:wBefore w:w="0" w:type="auto"/>
          <w:tblCellSpacing w:w="0" w:type="dxa"/>
        </w:trPr>
        <w:tc>
          <w:tcPr>
            <w:tcW w:w="0" w:type="auto"/>
            <w:noWrap w:val="0"/>
            <w:vAlign w:val="center"/>
          </w:tcPr>
          <w:p w14:paraId="76ED920C">
            <w:r>
              <w:rPr>
                <w:rStyle w:val="10"/>
                <w:rFonts w:hint="eastAsia"/>
              </w:rPr>
              <w:t>登记证号：</w:t>
            </w:r>
            <w:r>
              <w:rPr>
                <w:rFonts w:hint="eastAsia"/>
              </w:rPr>
              <w:t>PD20151167</w:t>
            </w:r>
          </w:p>
        </w:tc>
      </w:tr>
      <w:tr w14:paraId="7F2FC650">
        <w:tblPrEx>
          <w:tblCellMar>
            <w:top w:w="0" w:type="dxa"/>
            <w:left w:w="0" w:type="dxa"/>
            <w:bottom w:w="0" w:type="dxa"/>
            <w:right w:w="0" w:type="dxa"/>
          </w:tblCellMar>
        </w:tblPrEx>
        <w:trPr>
          <w:wBefore w:w="0" w:type="auto"/>
          <w:tblCellSpacing w:w="0" w:type="dxa"/>
        </w:trPr>
        <w:tc>
          <w:tcPr>
            <w:tcW w:w="0" w:type="auto"/>
            <w:noWrap w:val="0"/>
            <w:vAlign w:val="center"/>
          </w:tcPr>
          <w:p w14:paraId="51A0A20A">
            <w:r>
              <w:rPr>
                <w:rStyle w:val="10"/>
                <w:rFonts w:hint="eastAsia"/>
              </w:rPr>
              <w:t>登记证持有人：</w:t>
            </w:r>
            <w:r>
              <w:rPr>
                <w:rFonts w:hint="eastAsia"/>
              </w:rPr>
              <w:t>陕西康禾立丰生物科技药业有限公司</w:t>
            </w:r>
          </w:p>
        </w:tc>
      </w:tr>
      <w:tr w14:paraId="219C6BC1">
        <w:tblPrEx>
          <w:tblCellMar>
            <w:top w:w="0" w:type="dxa"/>
            <w:left w:w="0" w:type="dxa"/>
            <w:bottom w:w="0" w:type="dxa"/>
            <w:right w:w="0" w:type="dxa"/>
          </w:tblCellMar>
        </w:tblPrEx>
        <w:trPr>
          <w:wBefore w:w="0" w:type="auto"/>
          <w:tblCellSpacing w:w="0" w:type="dxa"/>
        </w:trPr>
        <w:tc>
          <w:tcPr>
            <w:tcW w:w="0" w:type="auto"/>
            <w:noWrap w:val="0"/>
            <w:vAlign w:val="center"/>
          </w:tcPr>
          <w:p w14:paraId="6BFD09E0">
            <w:r>
              <w:rPr>
                <w:rStyle w:val="10"/>
                <w:rFonts w:hint="eastAsia"/>
              </w:rPr>
              <w:t>农药名称：</w:t>
            </w:r>
            <w:r>
              <w:rPr>
                <w:rFonts w:hint="eastAsia"/>
              </w:rPr>
              <w:t>苦参·藜芦根茎提取物</w:t>
            </w:r>
          </w:p>
        </w:tc>
      </w:tr>
      <w:tr w14:paraId="11A50CC1">
        <w:tblPrEx>
          <w:tblCellMar>
            <w:top w:w="0" w:type="dxa"/>
            <w:left w:w="0" w:type="dxa"/>
            <w:bottom w:w="0" w:type="dxa"/>
            <w:right w:w="0" w:type="dxa"/>
          </w:tblCellMar>
        </w:tblPrEx>
        <w:trPr>
          <w:wBefore w:w="0" w:type="auto"/>
          <w:tblCellSpacing w:w="0" w:type="dxa"/>
        </w:trPr>
        <w:tc>
          <w:tcPr>
            <w:tcW w:w="0" w:type="auto"/>
            <w:noWrap w:val="0"/>
            <w:vAlign w:val="center"/>
          </w:tcPr>
          <w:p w14:paraId="447807D0">
            <w:r>
              <w:rPr>
                <w:rStyle w:val="10"/>
                <w:rFonts w:hint="eastAsia"/>
              </w:rPr>
              <w:t>剂型：</w:t>
            </w:r>
            <w:r>
              <w:rPr>
                <w:rFonts w:hint="eastAsia"/>
              </w:rPr>
              <w:t>可溶液剂</w:t>
            </w:r>
          </w:p>
        </w:tc>
      </w:tr>
      <w:tr w14:paraId="3A6F34E7">
        <w:tblPrEx>
          <w:tblCellMar>
            <w:top w:w="0" w:type="dxa"/>
            <w:left w:w="0" w:type="dxa"/>
            <w:bottom w:w="0" w:type="dxa"/>
            <w:right w:w="0" w:type="dxa"/>
          </w:tblCellMar>
        </w:tblPrEx>
        <w:trPr>
          <w:wBefore w:w="0" w:type="auto"/>
          <w:tblCellSpacing w:w="0" w:type="dxa"/>
        </w:trPr>
        <w:tc>
          <w:tcPr>
            <w:tcW w:w="0" w:type="auto"/>
            <w:noWrap w:val="0"/>
            <w:vAlign w:val="center"/>
          </w:tcPr>
          <w:p w14:paraId="49874ED8">
            <w:r>
              <w:rPr>
                <w:rStyle w:val="10"/>
                <w:rFonts w:hint="eastAsia"/>
              </w:rPr>
              <w:t>毒性及其标识：</w:t>
            </w:r>
            <w:r>
              <w:rPr>
                <w:rFonts w:hint="eastAsia"/>
              </w:rPr>
              <w:t xml:space="preserve"> </w:t>
            </w:r>
            <w:r>
              <w:rPr>
                <w:lang/>
              </w:rPr>
              <w:drawing>
                <wp:inline distT="0" distB="0" distL="114300" distR="114300">
                  <wp:extent cx="476250" cy="323850"/>
                  <wp:effectExtent l="0" t="0" r="0" b="0"/>
                  <wp:docPr id="512" name="图片 51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D7FD5D1">
        <w:tblPrEx>
          <w:tblCellMar>
            <w:top w:w="0" w:type="dxa"/>
            <w:left w:w="0" w:type="dxa"/>
            <w:bottom w:w="0" w:type="dxa"/>
            <w:right w:w="0" w:type="dxa"/>
          </w:tblCellMar>
        </w:tblPrEx>
        <w:trPr>
          <w:wBefore w:w="0" w:type="auto"/>
          <w:tblCellSpacing w:w="0" w:type="dxa"/>
        </w:trPr>
        <w:tc>
          <w:tcPr>
            <w:tcW w:w="0" w:type="auto"/>
            <w:noWrap w:val="0"/>
            <w:vAlign w:val="center"/>
          </w:tcPr>
          <w:p w14:paraId="795CF9B9">
            <w:r>
              <w:rPr>
                <w:rStyle w:val="10"/>
                <w:rFonts w:hint="eastAsia"/>
              </w:rPr>
              <w:t>总有效成分含量：</w:t>
            </w:r>
            <w:r>
              <w:rPr>
                <w:rFonts w:hint="eastAsia"/>
              </w:rPr>
              <w:t>0.6%</w:t>
            </w:r>
          </w:p>
        </w:tc>
      </w:tr>
      <w:tr w14:paraId="2BAC10CF">
        <w:tblPrEx>
          <w:tblCellMar>
            <w:top w:w="0" w:type="dxa"/>
            <w:left w:w="0" w:type="dxa"/>
            <w:bottom w:w="0" w:type="dxa"/>
            <w:right w:w="0" w:type="dxa"/>
          </w:tblCellMar>
        </w:tblPrEx>
        <w:trPr>
          <w:wBefore w:w="0" w:type="auto"/>
          <w:tblCellSpacing w:w="0" w:type="dxa"/>
        </w:trPr>
        <w:tc>
          <w:tcPr>
            <w:tcW w:w="0" w:type="auto"/>
            <w:noWrap w:val="0"/>
            <w:vAlign w:val="center"/>
          </w:tcPr>
          <w:p w14:paraId="6B05B938">
            <w:r>
              <w:rPr>
                <w:rFonts w:hint="eastAsia"/>
              </w:rPr>
              <w:t xml:space="preserve">有效成分及其含量： </w:t>
            </w:r>
          </w:p>
          <w:p w14:paraId="71797262">
            <w:r>
              <w:rPr>
                <w:rFonts w:hint="eastAsia"/>
              </w:rPr>
              <w:t xml:space="preserve">    藜芦胺0.3%    苦参碱0.3%    </w:t>
            </w:r>
          </w:p>
        </w:tc>
      </w:tr>
      <w:tr w14:paraId="464290F8">
        <w:tblPrEx>
          <w:tblCellMar>
            <w:top w:w="0" w:type="dxa"/>
            <w:left w:w="0" w:type="dxa"/>
            <w:bottom w:w="0" w:type="dxa"/>
            <w:right w:w="0" w:type="dxa"/>
          </w:tblCellMar>
        </w:tblPrEx>
        <w:trPr>
          <w:wBefore w:w="0" w:type="auto"/>
          <w:tblCellSpacing w:w="0" w:type="dxa"/>
        </w:trPr>
        <w:tc>
          <w:tcPr>
            <w:tcW w:w="0" w:type="auto"/>
            <w:noWrap w:val="0"/>
            <w:vAlign w:val="center"/>
          </w:tcPr>
          <w:p w14:paraId="7A72FF6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BFE7A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98CAE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D68FF4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8D66F9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76B511D">
                  <w:r>
                    <w:rPr>
                      <w:rStyle w:val="11"/>
                      <w:rFonts w:hint="eastAsia"/>
                    </w:rPr>
                    <w:t>施用方式</w:t>
                  </w:r>
                </w:p>
              </w:tc>
            </w:tr>
            <w:tr w14:paraId="5EBE75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0AFF51">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3616E6">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A025D8">
                  <w:r>
                    <w:rPr>
                      <w:rStyle w:val="11"/>
                      <w:rFonts w:hint="eastAsia"/>
                    </w:rPr>
                    <w:t>50-70克/亩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BAADCB">
                  <w:r>
                    <w:rPr>
                      <w:rStyle w:val="11"/>
                      <w:rFonts w:hint="eastAsia"/>
                    </w:rPr>
                    <w:t>喷雾</w:t>
                  </w:r>
                </w:p>
              </w:tc>
            </w:tr>
            <w:tr w14:paraId="021B98A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CA3BA3">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CE5264">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C77C68">
                  <w:r>
                    <w:rPr>
                      <w:rStyle w:val="11"/>
                      <w:rFonts w:hint="eastAsia"/>
                    </w:rPr>
                    <w:t>60-75毫升/亩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46C113">
                  <w:r>
                    <w:rPr>
                      <w:rStyle w:val="11"/>
                      <w:rFonts w:hint="eastAsia"/>
                    </w:rPr>
                    <w:t>喷雾</w:t>
                  </w:r>
                </w:p>
              </w:tc>
            </w:tr>
          </w:tbl>
          <w:p w14:paraId="228DA6D6">
            <w:pPr>
              <w:rPr>
                <w:rFonts w:ascii="Times New Roman" w:hAnsi="Times New Roman" w:cs="Times New Roman"/>
                <w:sz w:val="20"/>
                <w:szCs w:val="20"/>
              </w:rPr>
            </w:pPr>
          </w:p>
        </w:tc>
      </w:tr>
      <w:tr w14:paraId="7A88F4F4">
        <w:tblPrEx>
          <w:tblCellMar>
            <w:top w:w="0" w:type="dxa"/>
            <w:left w:w="0" w:type="dxa"/>
            <w:bottom w:w="0" w:type="dxa"/>
            <w:right w:w="0" w:type="dxa"/>
          </w:tblCellMar>
        </w:tblPrEx>
        <w:trPr>
          <w:wBefore w:w="0" w:type="auto"/>
          <w:tblCellSpacing w:w="0" w:type="dxa"/>
        </w:trPr>
        <w:tc>
          <w:tcPr>
            <w:tcW w:w="0" w:type="auto"/>
            <w:noWrap w:val="0"/>
            <w:vAlign w:val="center"/>
          </w:tcPr>
          <w:p w14:paraId="0102BBEF">
            <w:r>
              <w:rPr>
                <w:rStyle w:val="10"/>
                <w:rFonts w:hint="eastAsia"/>
              </w:rPr>
              <w:t>使用技术要求:</w:t>
            </w:r>
            <w:r>
              <w:rPr>
                <w:rFonts w:hint="eastAsia"/>
              </w:rPr>
              <w:br w:type="textWrapping"/>
            </w:r>
            <w:r>
              <w:rPr>
                <w:rStyle w:val="11"/>
                <w:rFonts w:hint="eastAsia"/>
              </w:rPr>
              <w:t>1、本品应于害虫低龄期或虫害初期用药，用药前充分摇匀本品。施药时注意均匀、周到，特别注意对叶片背面的喷雾。 2、施药时间宜下午4点后喷施，遇雨重喷。 3、大风天或预计1小时内有降雨，请勿施药。</w:t>
            </w:r>
          </w:p>
        </w:tc>
      </w:tr>
      <w:tr w14:paraId="3BF5ADB5">
        <w:tblPrEx>
          <w:tblCellMar>
            <w:top w:w="0" w:type="dxa"/>
            <w:left w:w="0" w:type="dxa"/>
            <w:bottom w:w="0" w:type="dxa"/>
            <w:right w:w="0" w:type="dxa"/>
          </w:tblCellMar>
        </w:tblPrEx>
        <w:trPr>
          <w:wBefore w:w="0" w:type="auto"/>
          <w:tblCellSpacing w:w="0" w:type="dxa"/>
        </w:trPr>
        <w:tc>
          <w:tcPr>
            <w:tcW w:w="0" w:type="auto"/>
            <w:noWrap w:val="0"/>
            <w:vAlign w:val="center"/>
          </w:tcPr>
          <w:p w14:paraId="58420C4B">
            <w:r>
              <w:rPr>
                <w:rStyle w:val="10"/>
                <w:rFonts w:hint="eastAsia"/>
              </w:rPr>
              <w:t>产品性能:</w:t>
            </w:r>
            <w:r>
              <w:rPr>
                <w:rFonts w:hint="eastAsia"/>
              </w:rPr>
              <w:br w:type="textWrapping"/>
            </w:r>
            <w:r>
              <w:rPr>
                <w:rStyle w:val="11"/>
                <w:rFonts w:hint="eastAsia"/>
              </w:rPr>
              <w:t>本品是用中草药苦参提取物和藜芦根茎提取物复配的天然植物源杀虫剂。对人畜低毒、杀虫谱较广，对害虫有较强的触杀和胃毒功能，可防治茶树上茶小绿叶蝉和甘蓝小菜蛾。</w:t>
            </w:r>
          </w:p>
        </w:tc>
      </w:tr>
      <w:tr w14:paraId="3ADEC8D2">
        <w:tblPrEx>
          <w:tblCellMar>
            <w:top w:w="0" w:type="dxa"/>
            <w:left w:w="0" w:type="dxa"/>
            <w:bottom w:w="0" w:type="dxa"/>
            <w:right w:w="0" w:type="dxa"/>
          </w:tblCellMar>
        </w:tblPrEx>
        <w:trPr>
          <w:wBefore w:w="0" w:type="auto"/>
          <w:tblCellSpacing w:w="0" w:type="dxa"/>
        </w:trPr>
        <w:tc>
          <w:tcPr>
            <w:tcW w:w="0" w:type="auto"/>
            <w:noWrap w:val="0"/>
            <w:vAlign w:val="center"/>
          </w:tcPr>
          <w:p w14:paraId="648560F0">
            <w:r>
              <w:rPr>
                <w:rStyle w:val="10"/>
                <w:rFonts w:hint="eastAsia"/>
              </w:rPr>
              <w:t>注意事项：</w:t>
            </w:r>
            <w:r>
              <w:rPr>
                <w:rFonts w:hint="eastAsia"/>
              </w:rPr>
              <w:br w:type="textWrapping"/>
            </w:r>
            <w:r>
              <w:rPr>
                <w:rStyle w:val="11"/>
                <w:rFonts w:hint="eastAsia"/>
              </w:rPr>
              <w:t>1、本品严禁与碱性物质混用。以防酸碱中和影响药效； 2、远离水产养殖区、河塘等水体施药； 3、禁止在河塘等水体中清洗施药器具； 4、开花植物花期禁用，施药期间应密切关注对附近蜂群的影响； 5、蚕室及桑园附近禁用； 6、鸟类保护区附近禁用； 7、使用本品应注意劳动保护，施药期间不可吃东西和饮水，施药后应及时洗手和洗脸； 8、孕妇和哺乳期妇女应避免接触本品； 9、用过的容器应妥善处理，不可做他用，也不可随意丢弃。</w:t>
            </w:r>
          </w:p>
        </w:tc>
      </w:tr>
      <w:tr w14:paraId="2D04ED25">
        <w:tblPrEx>
          <w:tblCellMar>
            <w:top w:w="0" w:type="dxa"/>
            <w:left w:w="0" w:type="dxa"/>
            <w:bottom w:w="0" w:type="dxa"/>
            <w:right w:w="0" w:type="dxa"/>
          </w:tblCellMar>
        </w:tblPrEx>
        <w:trPr>
          <w:wBefore w:w="0" w:type="auto"/>
          <w:tblCellSpacing w:w="0" w:type="dxa"/>
        </w:trPr>
        <w:tc>
          <w:tcPr>
            <w:tcW w:w="0" w:type="auto"/>
            <w:noWrap w:val="0"/>
            <w:vAlign w:val="center"/>
          </w:tcPr>
          <w:p w14:paraId="57577BB6">
            <w:r>
              <w:rPr>
                <w:rStyle w:val="10"/>
                <w:rFonts w:hint="eastAsia"/>
              </w:rPr>
              <w:t>中毒急救措施：</w:t>
            </w:r>
            <w:r>
              <w:rPr>
                <w:rFonts w:hint="eastAsia"/>
              </w:rPr>
              <w:br w:type="textWrapping"/>
            </w:r>
            <w:r>
              <w:rPr>
                <w:rStyle w:val="11"/>
                <w:rFonts w:hint="eastAsia"/>
              </w:rPr>
              <w:t>中毒症状早期表现为流涎、头痛、恶心、呕吐和腹泻，剂量高时迅速出现循环衰竭、呼吸困难、紫绀和意识丧失。 1、不慎接触皮肤或溅入眼睛，应用大量清水冲洗至少15分钟。 2、误服则应立即携本标签将病人送医院用清水洗胃，无特殊解毒剂，对症治疗。禁服吐根糖浆。洗胃时，应注意保护气管和食管。</w:t>
            </w:r>
          </w:p>
        </w:tc>
      </w:tr>
      <w:tr w14:paraId="6BEA8E8F">
        <w:tblPrEx>
          <w:tblCellMar>
            <w:top w:w="0" w:type="dxa"/>
            <w:left w:w="0" w:type="dxa"/>
            <w:bottom w:w="0" w:type="dxa"/>
            <w:right w:w="0" w:type="dxa"/>
          </w:tblCellMar>
        </w:tblPrEx>
        <w:trPr>
          <w:wBefore w:w="0" w:type="auto"/>
          <w:tblCellSpacing w:w="0" w:type="dxa"/>
        </w:trPr>
        <w:tc>
          <w:tcPr>
            <w:tcW w:w="0" w:type="auto"/>
            <w:noWrap w:val="0"/>
            <w:vAlign w:val="center"/>
          </w:tcPr>
          <w:p w14:paraId="36D73BD0">
            <w:r>
              <w:rPr>
                <w:rStyle w:val="10"/>
                <w:rFonts w:hint="eastAsia"/>
              </w:rPr>
              <w:t>储存和运输方法：</w:t>
            </w:r>
            <w:r>
              <w:rPr>
                <w:rFonts w:hint="eastAsia"/>
              </w:rPr>
              <w:br w:type="textWrapping"/>
            </w:r>
            <w:r>
              <w:rPr>
                <w:rStyle w:val="11"/>
                <w:rFonts w:hint="eastAsia"/>
              </w:rPr>
              <w:t>1、贮存在儿童及无关人员不宜接触到的地方并加锁，贮存在通风、阴凉、避光处。不可与食品、饮料、粮食、饲料等物品同贮同运。 2、运输时确保不损坏、不泄漏，防高温雨淋。</w:t>
            </w:r>
          </w:p>
        </w:tc>
      </w:tr>
      <w:tr w14:paraId="5750630A">
        <w:tblPrEx>
          <w:tblCellMar>
            <w:top w:w="0" w:type="dxa"/>
            <w:left w:w="0" w:type="dxa"/>
            <w:bottom w:w="0" w:type="dxa"/>
            <w:right w:w="0" w:type="dxa"/>
          </w:tblCellMar>
        </w:tblPrEx>
        <w:trPr>
          <w:wBefore w:w="0" w:type="auto"/>
          <w:tblCellSpacing w:w="0" w:type="dxa"/>
        </w:trPr>
        <w:tc>
          <w:tcPr>
            <w:tcW w:w="0" w:type="auto"/>
            <w:noWrap w:val="0"/>
            <w:vAlign w:val="center"/>
          </w:tcPr>
          <w:p w14:paraId="2C974816">
            <w:r>
              <w:rPr>
                <w:rStyle w:val="10"/>
                <w:rFonts w:hint="eastAsia"/>
              </w:rPr>
              <w:t>质量保证期：</w:t>
            </w:r>
            <w:r>
              <w:rPr>
                <w:rStyle w:val="11"/>
                <w:rFonts w:hint="eastAsia"/>
              </w:rPr>
              <w:t>2年</w:t>
            </w:r>
          </w:p>
        </w:tc>
      </w:tr>
      <w:tr w14:paraId="7546C271">
        <w:tblPrEx>
          <w:tblCellMar>
            <w:top w:w="0" w:type="dxa"/>
            <w:left w:w="0" w:type="dxa"/>
            <w:bottom w:w="0" w:type="dxa"/>
            <w:right w:w="0" w:type="dxa"/>
          </w:tblCellMar>
        </w:tblPrEx>
        <w:trPr>
          <w:wBefore w:w="0" w:type="auto"/>
          <w:tblCellSpacing w:w="0" w:type="dxa"/>
        </w:trPr>
        <w:tc>
          <w:tcPr>
            <w:tcW w:w="0" w:type="auto"/>
            <w:noWrap w:val="0"/>
            <w:vAlign w:val="center"/>
          </w:tcPr>
          <w:p w14:paraId="5E927791">
            <w:r>
              <w:rPr>
                <w:rStyle w:val="10"/>
                <w:rFonts w:hint="eastAsia"/>
              </w:rPr>
              <w:t>备注：</w:t>
            </w:r>
          </w:p>
        </w:tc>
      </w:tr>
    </w:tbl>
    <w:p w14:paraId="25BB427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98A72C">
        <w:tblPrEx>
          <w:tblCellMar>
            <w:top w:w="0" w:type="dxa"/>
            <w:left w:w="0" w:type="dxa"/>
            <w:bottom w:w="0" w:type="dxa"/>
            <w:right w:w="0" w:type="dxa"/>
          </w:tblCellMar>
        </w:tblPrEx>
        <w:trPr>
          <w:wBefore w:w="0" w:type="auto"/>
          <w:tblCellSpacing w:w="0" w:type="dxa"/>
        </w:trPr>
        <w:tc>
          <w:tcPr>
            <w:tcW w:w="0" w:type="auto"/>
            <w:noWrap w:val="0"/>
            <w:vAlign w:val="center"/>
          </w:tcPr>
          <w:p w14:paraId="458D975D">
            <w:r>
              <w:rPr>
                <w:rStyle w:val="10"/>
                <w:rFonts w:hint="eastAsia"/>
              </w:rPr>
              <w:t>登记证号：</w:t>
            </w:r>
            <w:r>
              <w:rPr>
                <w:rFonts w:hint="eastAsia"/>
              </w:rPr>
              <w:t>PD20097043</w:t>
            </w:r>
          </w:p>
        </w:tc>
      </w:tr>
      <w:tr w14:paraId="7CD39169">
        <w:tblPrEx>
          <w:tblCellMar>
            <w:top w:w="0" w:type="dxa"/>
            <w:left w:w="0" w:type="dxa"/>
            <w:bottom w:w="0" w:type="dxa"/>
            <w:right w:w="0" w:type="dxa"/>
          </w:tblCellMar>
        </w:tblPrEx>
        <w:trPr>
          <w:wBefore w:w="0" w:type="auto"/>
          <w:tblCellSpacing w:w="0" w:type="dxa"/>
        </w:trPr>
        <w:tc>
          <w:tcPr>
            <w:tcW w:w="0" w:type="auto"/>
            <w:noWrap w:val="0"/>
            <w:vAlign w:val="center"/>
          </w:tcPr>
          <w:p w14:paraId="11C9AA77">
            <w:r>
              <w:rPr>
                <w:rStyle w:val="10"/>
                <w:rFonts w:hint="eastAsia"/>
              </w:rPr>
              <w:t>登记证持有人：</w:t>
            </w:r>
            <w:r>
              <w:rPr>
                <w:rFonts w:hint="eastAsia"/>
              </w:rPr>
              <w:t>广东真格生物科技有限公司</w:t>
            </w:r>
          </w:p>
        </w:tc>
      </w:tr>
      <w:tr w14:paraId="79918AF0">
        <w:tblPrEx>
          <w:tblCellMar>
            <w:top w:w="0" w:type="dxa"/>
            <w:left w:w="0" w:type="dxa"/>
            <w:bottom w:w="0" w:type="dxa"/>
            <w:right w:w="0" w:type="dxa"/>
          </w:tblCellMar>
        </w:tblPrEx>
        <w:trPr>
          <w:wBefore w:w="0" w:type="auto"/>
          <w:tblCellSpacing w:w="0" w:type="dxa"/>
        </w:trPr>
        <w:tc>
          <w:tcPr>
            <w:tcW w:w="0" w:type="auto"/>
            <w:noWrap w:val="0"/>
            <w:vAlign w:val="center"/>
          </w:tcPr>
          <w:p w14:paraId="28E44760">
            <w:r>
              <w:rPr>
                <w:rStyle w:val="10"/>
                <w:rFonts w:hint="eastAsia"/>
              </w:rPr>
              <w:t>农药名称：</w:t>
            </w:r>
            <w:r>
              <w:rPr>
                <w:rFonts w:hint="eastAsia"/>
              </w:rPr>
              <w:t>阿维菌素</w:t>
            </w:r>
          </w:p>
        </w:tc>
      </w:tr>
      <w:tr w14:paraId="44AD6E79">
        <w:tblPrEx>
          <w:tblCellMar>
            <w:top w:w="0" w:type="dxa"/>
            <w:left w:w="0" w:type="dxa"/>
            <w:bottom w:w="0" w:type="dxa"/>
            <w:right w:w="0" w:type="dxa"/>
          </w:tblCellMar>
        </w:tblPrEx>
        <w:trPr>
          <w:wBefore w:w="0" w:type="auto"/>
          <w:tblCellSpacing w:w="0" w:type="dxa"/>
        </w:trPr>
        <w:tc>
          <w:tcPr>
            <w:tcW w:w="0" w:type="auto"/>
            <w:noWrap w:val="0"/>
            <w:vAlign w:val="center"/>
          </w:tcPr>
          <w:p w14:paraId="051F9CDA">
            <w:r>
              <w:rPr>
                <w:rStyle w:val="10"/>
                <w:rFonts w:hint="eastAsia"/>
              </w:rPr>
              <w:t>剂型：</w:t>
            </w:r>
            <w:r>
              <w:rPr>
                <w:rFonts w:hint="eastAsia"/>
              </w:rPr>
              <w:t>乳油</w:t>
            </w:r>
          </w:p>
        </w:tc>
      </w:tr>
      <w:tr w14:paraId="12573CF8">
        <w:tblPrEx>
          <w:tblCellMar>
            <w:top w:w="0" w:type="dxa"/>
            <w:left w:w="0" w:type="dxa"/>
            <w:bottom w:w="0" w:type="dxa"/>
            <w:right w:w="0" w:type="dxa"/>
          </w:tblCellMar>
        </w:tblPrEx>
        <w:trPr>
          <w:wBefore w:w="0" w:type="auto"/>
          <w:tblCellSpacing w:w="0" w:type="dxa"/>
        </w:trPr>
        <w:tc>
          <w:tcPr>
            <w:tcW w:w="0" w:type="auto"/>
            <w:noWrap w:val="0"/>
            <w:vAlign w:val="center"/>
          </w:tcPr>
          <w:p w14:paraId="7A3D70C8">
            <w:r>
              <w:rPr>
                <w:rStyle w:val="10"/>
                <w:rFonts w:hint="eastAsia"/>
              </w:rPr>
              <w:t>毒性及其标识：</w:t>
            </w:r>
            <w:r>
              <w:rPr>
                <w:rFonts w:hint="eastAsia"/>
              </w:rPr>
              <w:t xml:space="preserve"> </w:t>
            </w:r>
            <w:r>
              <w:rPr>
                <w:lang/>
              </w:rPr>
              <w:drawing>
                <wp:inline distT="0" distB="0" distL="114300" distR="114300">
                  <wp:extent cx="476250" cy="323850"/>
                  <wp:effectExtent l="0" t="0" r="0" b="0"/>
                  <wp:docPr id="513" name="图片 51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(原药高毒) </w:t>
            </w:r>
          </w:p>
        </w:tc>
      </w:tr>
      <w:tr w14:paraId="7A8627A5">
        <w:tblPrEx>
          <w:tblCellMar>
            <w:top w:w="0" w:type="dxa"/>
            <w:left w:w="0" w:type="dxa"/>
            <w:bottom w:w="0" w:type="dxa"/>
            <w:right w:w="0" w:type="dxa"/>
          </w:tblCellMar>
        </w:tblPrEx>
        <w:trPr>
          <w:wBefore w:w="0" w:type="auto"/>
          <w:tblCellSpacing w:w="0" w:type="dxa"/>
        </w:trPr>
        <w:tc>
          <w:tcPr>
            <w:tcW w:w="0" w:type="auto"/>
            <w:noWrap w:val="0"/>
            <w:vAlign w:val="center"/>
          </w:tcPr>
          <w:p w14:paraId="2A1DAF4B">
            <w:r>
              <w:rPr>
                <w:rStyle w:val="10"/>
                <w:rFonts w:hint="eastAsia"/>
              </w:rPr>
              <w:t>总有效成分含量：</w:t>
            </w:r>
            <w:r>
              <w:rPr>
                <w:rFonts w:hint="eastAsia"/>
              </w:rPr>
              <w:t>18克/升</w:t>
            </w:r>
          </w:p>
        </w:tc>
      </w:tr>
      <w:tr w14:paraId="4377B570">
        <w:tblPrEx>
          <w:tblCellMar>
            <w:top w:w="0" w:type="dxa"/>
            <w:left w:w="0" w:type="dxa"/>
            <w:bottom w:w="0" w:type="dxa"/>
            <w:right w:w="0" w:type="dxa"/>
          </w:tblCellMar>
        </w:tblPrEx>
        <w:trPr>
          <w:wBefore w:w="0" w:type="auto"/>
          <w:tblCellSpacing w:w="0" w:type="dxa"/>
        </w:trPr>
        <w:tc>
          <w:tcPr>
            <w:tcW w:w="0" w:type="auto"/>
            <w:noWrap w:val="0"/>
            <w:vAlign w:val="center"/>
          </w:tcPr>
          <w:p w14:paraId="36BA812F">
            <w:r>
              <w:rPr>
                <w:rFonts w:hint="eastAsia"/>
              </w:rPr>
              <w:t xml:space="preserve">有效成分及其含量： </w:t>
            </w:r>
          </w:p>
          <w:p w14:paraId="0FD7B88D">
            <w:r>
              <w:rPr>
                <w:rFonts w:hint="eastAsia"/>
              </w:rPr>
              <w:t xml:space="preserve">    阿维菌素18克/升    </w:t>
            </w:r>
          </w:p>
        </w:tc>
      </w:tr>
      <w:tr w14:paraId="3C5A89F2">
        <w:tblPrEx>
          <w:tblCellMar>
            <w:top w:w="0" w:type="dxa"/>
            <w:left w:w="0" w:type="dxa"/>
            <w:bottom w:w="0" w:type="dxa"/>
            <w:right w:w="0" w:type="dxa"/>
          </w:tblCellMar>
        </w:tblPrEx>
        <w:trPr>
          <w:wBefore w:w="0" w:type="auto"/>
          <w:tblCellSpacing w:w="0" w:type="dxa"/>
        </w:trPr>
        <w:tc>
          <w:tcPr>
            <w:tcW w:w="0" w:type="auto"/>
            <w:noWrap w:val="0"/>
            <w:vAlign w:val="center"/>
          </w:tcPr>
          <w:p w14:paraId="1E8864B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FED12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6695A8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6ABBBB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E511FC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FD16E9">
                  <w:r>
                    <w:rPr>
                      <w:rStyle w:val="11"/>
                      <w:rFonts w:hint="eastAsia"/>
                    </w:rPr>
                    <w:t>施用方式</w:t>
                  </w:r>
                </w:p>
              </w:tc>
            </w:tr>
            <w:tr w14:paraId="080E6F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BD0C947">
                  <w:r>
                    <w:rPr>
                      <w:rStyle w:val="11"/>
                      <w:rFonts w:hint="eastAsia"/>
                    </w:rPr>
                    <w:t>松树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53B983">
                  <w:r>
                    <w:rPr>
                      <w:rStyle w:val="11"/>
                      <w:rFonts w:hint="eastAsia"/>
                    </w:rPr>
                    <w:t>松材线虫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133781">
                  <w:r>
                    <w:rPr>
                      <w:rStyle w:val="11"/>
                      <w:rFonts w:hint="eastAsia"/>
                    </w:rPr>
                    <w:t>7.5-10毫升/厘米胸径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E100DB">
                  <w:r>
                    <w:rPr>
                      <w:rStyle w:val="11"/>
                      <w:rFonts w:hint="eastAsia"/>
                    </w:rPr>
                    <w:t>树干打孔注射</w:t>
                  </w:r>
                </w:p>
              </w:tc>
            </w:tr>
          </w:tbl>
          <w:p w14:paraId="0517E231">
            <w:pPr>
              <w:rPr>
                <w:rFonts w:ascii="Times New Roman" w:hAnsi="Times New Roman" w:cs="Times New Roman"/>
                <w:sz w:val="20"/>
                <w:szCs w:val="20"/>
              </w:rPr>
            </w:pPr>
          </w:p>
        </w:tc>
      </w:tr>
      <w:tr w14:paraId="5CDF0318">
        <w:tblPrEx>
          <w:tblCellMar>
            <w:top w:w="0" w:type="dxa"/>
            <w:left w:w="0" w:type="dxa"/>
            <w:bottom w:w="0" w:type="dxa"/>
            <w:right w:w="0" w:type="dxa"/>
          </w:tblCellMar>
        </w:tblPrEx>
        <w:trPr>
          <w:wBefore w:w="0" w:type="auto"/>
          <w:tblCellSpacing w:w="0" w:type="dxa"/>
        </w:trPr>
        <w:tc>
          <w:tcPr>
            <w:tcW w:w="0" w:type="auto"/>
            <w:noWrap w:val="0"/>
            <w:vAlign w:val="center"/>
          </w:tcPr>
          <w:p w14:paraId="15A446D0">
            <w:r>
              <w:rPr>
                <w:rStyle w:val="10"/>
                <w:rFonts w:hint="eastAsia"/>
              </w:rPr>
              <w:t>使用技术要求:</w:t>
            </w:r>
            <w:r>
              <w:rPr>
                <w:rFonts w:hint="eastAsia"/>
              </w:rPr>
              <w:br w:type="textWrapping"/>
            </w:r>
            <w:r>
              <w:rPr>
                <w:rStyle w:val="11"/>
                <w:rFonts w:hint="eastAsia"/>
              </w:rPr>
              <w:t>1.于小菜蛾低龄时使用，每亩用30-50克，兑水50公斤喷雾。在甘蓝上的安全间隔期7天，每季最多使用1次。2. 于松树松材线虫发生前，树干打孔注射1次。 3.大风天或预计1小时内降雨，请勿施药。</w:t>
            </w:r>
          </w:p>
        </w:tc>
      </w:tr>
      <w:tr w14:paraId="14A9A50F">
        <w:tblPrEx>
          <w:tblCellMar>
            <w:top w:w="0" w:type="dxa"/>
            <w:left w:w="0" w:type="dxa"/>
            <w:bottom w:w="0" w:type="dxa"/>
            <w:right w:w="0" w:type="dxa"/>
          </w:tblCellMar>
        </w:tblPrEx>
        <w:trPr>
          <w:wBefore w:w="0" w:type="auto"/>
          <w:tblCellSpacing w:w="0" w:type="dxa"/>
        </w:trPr>
        <w:tc>
          <w:tcPr>
            <w:tcW w:w="0" w:type="auto"/>
            <w:noWrap w:val="0"/>
            <w:vAlign w:val="center"/>
          </w:tcPr>
          <w:p w14:paraId="659D9BE3">
            <w:r>
              <w:rPr>
                <w:rStyle w:val="10"/>
                <w:rFonts w:hint="eastAsia"/>
              </w:rPr>
              <w:t>产品性能:</w:t>
            </w:r>
            <w:r>
              <w:rPr>
                <w:rFonts w:hint="eastAsia"/>
              </w:rPr>
              <w:br w:type="textWrapping"/>
            </w:r>
            <w:r>
              <w:rPr>
                <w:rStyle w:val="11"/>
                <w:rFonts w:hint="eastAsia"/>
              </w:rPr>
              <w:t>本品系由阿维菌素原粉加适宜助剂配制的低毒生物杀虫剂，对昆虫具有触杀和胃毒作用，对植物叶片有渗透作用，可用于防治甘蓝小菜蛾、松树松材线虫。</w:t>
            </w:r>
          </w:p>
        </w:tc>
      </w:tr>
      <w:tr w14:paraId="20281036">
        <w:tblPrEx>
          <w:tblCellMar>
            <w:top w:w="0" w:type="dxa"/>
            <w:left w:w="0" w:type="dxa"/>
            <w:bottom w:w="0" w:type="dxa"/>
            <w:right w:w="0" w:type="dxa"/>
          </w:tblCellMar>
        </w:tblPrEx>
        <w:trPr>
          <w:wBefore w:w="0" w:type="auto"/>
          <w:tblCellSpacing w:w="0" w:type="dxa"/>
        </w:trPr>
        <w:tc>
          <w:tcPr>
            <w:tcW w:w="0" w:type="auto"/>
            <w:noWrap w:val="0"/>
            <w:vAlign w:val="center"/>
          </w:tcPr>
          <w:p w14:paraId="3F20167B">
            <w:r>
              <w:rPr>
                <w:rStyle w:val="10"/>
                <w:rFonts w:hint="eastAsia"/>
              </w:rPr>
              <w:t>注意事项：</w:t>
            </w:r>
            <w:r>
              <w:rPr>
                <w:rFonts w:hint="eastAsia"/>
              </w:rPr>
              <w:br w:type="textWrapping"/>
            </w:r>
            <w:r>
              <w:rPr>
                <w:rStyle w:val="11"/>
                <w:rFonts w:hint="eastAsia"/>
              </w:rPr>
              <w:t>1不能与碱性农药混用，避免强光、高温下施药。 2.对蜜蜂和鱼类有毒，不药在开花期施用，蜜源作物花期、蚕室和桑园附近禁用。施药时不要使药液污染河流、水塘。禁止在河塘等水域附近清洗施药器具。 3.避免药剂接触皮肤，以免皮肤吸收发生中毒。 4.建议作用机制不用的杀虫剂轮换使用，以延缓抗药性。5、孕妇及哺乳期妇女禁止接触本品。 6、用过的容器应妥善处理，不可做他用，也不可随意丢弃。</w:t>
            </w:r>
          </w:p>
        </w:tc>
      </w:tr>
      <w:tr w14:paraId="38B2FE28">
        <w:tblPrEx>
          <w:tblCellMar>
            <w:top w:w="0" w:type="dxa"/>
            <w:left w:w="0" w:type="dxa"/>
            <w:bottom w:w="0" w:type="dxa"/>
            <w:right w:w="0" w:type="dxa"/>
          </w:tblCellMar>
        </w:tblPrEx>
        <w:trPr>
          <w:wBefore w:w="0" w:type="auto"/>
          <w:tblCellSpacing w:w="0" w:type="dxa"/>
        </w:trPr>
        <w:tc>
          <w:tcPr>
            <w:tcW w:w="0" w:type="auto"/>
            <w:noWrap w:val="0"/>
            <w:vAlign w:val="center"/>
          </w:tcPr>
          <w:p w14:paraId="2EC6772A">
            <w:r>
              <w:rPr>
                <w:rStyle w:val="10"/>
                <w:rFonts w:hint="eastAsia"/>
              </w:rPr>
              <w:t>中毒急救措施：</w:t>
            </w:r>
            <w:r>
              <w:rPr>
                <w:rFonts w:hint="eastAsia"/>
              </w:rPr>
              <w:br w:type="textWrapping"/>
            </w:r>
            <w:r>
              <w:rPr>
                <w:rStyle w:val="11"/>
                <w:rFonts w:hint="eastAsia"/>
              </w:rPr>
              <w:t>经口：立即引吐并给患者服用吐根糖浆或麻黄素，但勿给昏迷患者催吐或灌任何东西。抢救时避免给患者使用增强γ－氨基丁酸活性的药物，如巴比妥、丙戊酸等。</w:t>
            </w:r>
          </w:p>
        </w:tc>
      </w:tr>
      <w:tr w14:paraId="677C5B80">
        <w:tblPrEx>
          <w:tblCellMar>
            <w:top w:w="0" w:type="dxa"/>
            <w:left w:w="0" w:type="dxa"/>
            <w:bottom w:w="0" w:type="dxa"/>
            <w:right w:w="0" w:type="dxa"/>
          </w:tblCellMar>
        </w:tblPrEx>
        <w:trPr>
          <w:wBefore w:w="0" w:type="auto"/>
          <w:tblCellSpacing w:w="0" w:type="dxa"/>
        </w:trPr>
        <w:tc>
          <w:tcPr>
            <w:tcW w:w="0" w:type="auto"/>
            <w:noWrap w:val="0"/>
            <w:vAlign w:val="center"/>
          </w:tcPr>
          <w:p w14:paraId="130E597A">
            <w:r>
              <w:rPr>
                <w:rStyle w:val="10"/>
                <w:rFonts w:hint="eastAsia"/>
              </w:rPr>
              <w:t>储存和运输方法：</w:t>
            </w:r>
            <w:r>
              <w:rPr>
                <w:rFonts w:hint="eastAsia"/>
              </w:rPr>
              <w:br w:type="textWrapping"/>
            </w:r>
            <w:r>
              <w:rPr>
                <w:rStyle w:val="11"/>
                <w:rFonts w:hint="eastAsia"/>
              </w:rPr>
              <w:t>1.本品应贮存于通风、阴凉、干燥处，严防潮湿和日晒，远离火源或热源。2、置于儿童、无关人员触及不到之处，并加锁。3.勿与食品、饮料、饲料、粮食等同贮同运。</w:t>
            </w:r>
          </w:p>
        </w:tc>
      </w:tr>
      <w:tr w14:paraId="14469C65">
        <w:tblPrEx>
          <w:tblCellMar>
            <w:top w:w="0" w:type="dxa"/>
            <w:left w:w="0" w:type="dxa"/>
            <w:bottom w:w="0" w:type="dxa"/>
            <w:right w:w="0" w:type="dxa"/>
          </w:tblCellMar>
        </w:tblPrEx>
        <w:trPr>
          <w:wBefore w:w="0" w:type="auto"/>
          <w:tblCellSpacing w:w="0" w:type="dxa"/>
        </w:trPr>
        <w:tc>
          <w:tcPr>
            <w:tcW w:w="0" w:type="auto"/>
            <w:noWrap w:val="0"/>
            <w:vAlign w:val="center"/>
          </w:tcPr>
          <w:p w14:paraId="7144AA8B">
            <w:r>
              <w:rPr>
                <w:rStyle w:val="10"/>
                <w:rFonts w:hint="eastAsia"/>
              </w:rPr>
              <w:t>质量保证期：</w:t>
            </w:r>
            <w:r>
              <w:rPr>
                <w:rStyle w:val="11"/>
                <w:rFonts w:hint="eastAsia"/>
              </w:rPr>
              <w:t>2年</w:t>
            </w:r>
          </w:p>
        </w:tc>
      </w:tr>
      <w:tr w14:paraId="17371354">
        <w:tblPrEx>
          <w:tblCellMar>
            <w:top w:w="0" w:type="dxa"/>
            <w:left w:w="0" w:type="dxa"/>
            <w:bottom w:w="0" w:type="dxa"/>
            <w:right w:w="0" w:type="dxa"/>
          </w:tblCellMar>
        </w:tblPrEx>
        <w:trPr>
          <w:wBefore w:w="0" w:type="auto"/>
          <w:tblCellSpacing w:w="0" w:type="dxa"/>
        </w:trPr>
        <w:tc>
          <w:tcPr>
            <w:tcW w:w="0" w:type="auto"/>
            <w:noWrap w:val="0"/>
            <w:vAlign w:val="center"/>
          </w:tcPr>
          <w:p w14:paraId="496006E1">
            <w:r>
              <w:rPr>
                <w:rStyle w:val="10"/>
                <w:rFonts w:hint="eastAsia"/>
              </w:rPr>
              <w:t>备注：</w:t>
            </w:r>
          </w:p>
        </w:tc>
      </w:tr>
    </w:tbl>
    <w:p w14:paraId="2549F58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0920629">
        <w:tblPrEx>
          <w:tblCellMar>
            <w:top w:w="0" w:type="dxa"/>
            <w:left w:w="0" w:type="dxa"/>
            <w:bottom w:w="0" w:type="dxa"/>
            <w:right w:w="0" w:type="dxa"/>
          </w:tblCellMar>
        </w:tblPrEx>
        <w:trPr>
          <w:wBefore w:w="0" w:type="auto"/>
          <w:tblCellSpacing w:w="0" w:type="dxa"/>
        </w:trPr>
        <w:tc>
          <w:tcPr>
            <w:tcW w:w="0" w:type="auto"/>
            <w:noWrap w:val="0"/>
            <w:vAlign w:val="center"/>
          </w:tcPr>
          <w:p w14:paraId="0F7EED36">
            <w:r>
              <w:rPr>
                <w:rStyle w:val="10"/>
                <w:rFonts w:hint="eastAsia"/>
              </w:rPr>
              <w:t>登记证号：</w:t>
            </w:r>
            <w:r>
              <w:rPr>
                <w:rFonts w:hint="eastAsia"/>
              </w:rPr>
              <w:t>PD20121599</w:t>
            </w:r>
          </w:p>
        </w:tc>
      </w:tr>
      <w:tr w14:paraId="4ED70F34">
        <w:tblPrEx>
          <w:tblCellMar>
            <w:top w:w="0" w:type="dxa"/>
            <w:left w:w="0" w:type="dxa"/>
            <w:bottom w:w="0" w:type="dxa"/>
            <w:right w:w="0" w:type="dxa"/>
          </w:tblCellMar>
        </w:tblPrEx>
        <w:trPr>
          <w:wBefore w:w="0" w:type="auto"/>
          <w:tblCellSpacing w:w="0" w:type="dxa"/>
        </w:trPr>
        <w:tc>
          <w:tcPr>
            <w:tcW w:w="0" w:type="auto"/>
            <w:noWrap w:val="0"/>
            <w:vAlign w:val="center"/>
          </w:tcPr>
          <w:p w14:paraId="4E7070E7">
            <w:r>
              <w:rPr>
                <w:rStyle w:val="10"/>
                <w:rFonts w:hint="eastAsia"/>
              </w:rPr>
              <w:t>登记证持有人：</w:t>
            </w:r>
            <w:r>
              <w:rPr>
                <w:rFonts w:hint="eastAsia"/>
              </w:rPr>
              <w:t>山东麒麟农化有限公司</w:t>
            </w:r>
          </w:p>
        </w:tc>
      </w:tr>
      <w:tr w14:paraId="581CDEE4">
        <w:tblPrEx>
          <w:tblCellMar>
            <w:top w:w="0" w:type="dxa"/>
            <w:left w:w="0" w:type="dxa"/>
            <w:bottom w:w="0" w:type="dxa"/>
            <w:right w:w="0" w:type="dxa"/>
          </w:tblCellMar>
        </w:tblPrEx>
        <w:trPr>
          <w:wBefore w:w="0" w:type="auto"/>
          <w:tblCellSpacing w:w="0" w:type="dxa"/>
        </w:trPr>
        <w:tc>
          <w:tcPr>
            <w:tcW w:w="0" w:type="auto"/>
            <w:noWrap w:val="0"/>
            <w:vAlign w:val="center"/>
          </w:tcPr>
          <w:p w14:paraId="46735D64">
            <w:r>
              <w:rPr>
                <w:rStyle w:val="10"/>
                <w:rFonts w:hint="eastAsia"/>
              </w:rPr>
              <w:t>农药名称：</w:t>
            </w:r>
            <w:r>
              <w:rPr>
                <w:rFonts w:hint="eastAsia"/>
              </w:rPr>
              <w:t>吡虫啉</w:t>
            </w:r>
          </w:p>
        </w:tc>
      </w:tr>
      <w:tr w14:paraId="5AA20C5A">
        <w:tblPrEx>
          <w:tblCellMar>
            <w:top w:w="0" w:type="dxa"/>
            <w:left w:w="0" w:type="dxa"/>
            <w:bottom w:w="0" w:type="dxa"/>
            <w:right w:w="0" w:type="dxa"/>
          </w:tblCellMar>
        </w:tblPrEx>
        <w:trPr>
          <w:wBefore w:w="0" w:type="auto"/>
          <w:tblCellSpacing w:w="0" w:type="dxa"/>
        </w:trPr>
        <w:tc>
          <w:tcPr>
            <w:tcW w:w="0" w:type="auto"/>
            <w:noWrap w:val="0"/>
            <w:vAlign w:val="center"/>
          </w:tcPr>
          <w:p w14:paraId="2D838A39">
            <w:r>
              <w:rPr>
                <w:rStyle w:val="10"/>
                <w:rFonts w:hint="eastAsia"/>
              </w:rPr>
              <w:t>剂型：</w:t>
            </w:r>
            <w:r>
              <w:rPr>
                <w:rFonts w:hint="eastAsia"/>
              </w:rPr>
              <w:t>水分散粒剂</w:t>
            </w:r>
          </w:p>
        </w:tc>
      </w:tr>
      <w:tr w14:paraId="3461E2E8">
        <w:tblPrEx>
          <w:tblCellMar>
            <w:top w:w="0" w:type="dxa"/>
            <w:left w:w="0" w:type="dxa"/>
            <w:bottom w:w="0" w:type="dxa"/>
            <w:right w:w="0" w:type="dxa"/>
          </w:tblCellMar>
        </w:tblPrEx>
        <w:trPr>
          <w:wBefore w:w="0" w:type="auto"/>
          <w:tblCellSpacing w:w="0" w:type="dxa"/>
        </w:trPr>
        <w:tc>
          <w:tcPr>
            <w:tcW w:w="0" w:type="auto"/>
            <w:noWrap w:val="0"/>
            <w:vAlign w:val="center"/>
          </w:tcPr>
          <w:p w14:paraId="3A4C5EE1">
            <w:r>
              <w:rPr>
                <w:rStyle w:val="10"/>
                <w:rFonts w:hint="eastAsia"/>
              </w:rPr>
              <w:t>毒性及其标识：</w:t>
            </w:r>
            <w:r>
              <w:rPr>
                <w:rFonts w:hint="eastAsia"/>
              </w:rPr>
              <w:t xml:space="preserve"> </w:t>
            </w:r>
            <w:r>
              <w:rPr>
                <w:lang/>
              </w:rPr>
              <w:drawing>
                <wp:inline distT="0" distB="0" distL="114300" distR="114300">
                  <wp:extent cx="476250" cy="323850"/>
                  <wp:effectExtent l="0" t="0" r="0" b="0"/>
                  <wp:docPr id="514" name="图片 51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43A90BE">
        <w:tblPrEx>
          <w:tblCellMar>
            <w:top w:w="0" w:type="dxa"/>
            <w:left w:w="0" w:type="dxa"/>
            <w:bottom w:w="0" w:type="dxa"/>
            <w:right w:w="0" w:type="dxa"/>
          </w:tblCellMar>
        </w:tblPrEx>
        <w:trPr>
          <w:wBefore w:w="0" w:type="auto"/>
          <w:tblCellSpacing w:w="0" w:type="dxa"/>
        </w:trPr>
        <w:tc>
          <w:tcPr>
            <w:tcW w:w="0" w:type="auto"/>
            <w:noWrap w:val="0"/>
            <w:vAlign w:val="center"/>
          </w:tcPr>
          <w:p w14:paraId="52C0B8A8">
            <w:r>
              <w:rPr>
                <w:rStyle w:val="10"/>
                <w:rFonts w:hint="eastAsia"/>
              </w:rPr>
              <w:t>总有效成分含量：</w:t>
            </w:r>
            <w:r>
              <w:rPr>
                <w:rFonts w:hint="eastAsia"/>
              </w:rPr>
              <w:t>70%</w:t>
            </w:r>
          </w:p>
        </w:tc>
      </w:tr>
      <w:tr w14:paraId="44F34490">
        <w:tblPrEx>
          <w:tblCellMar>
            <w:top w:w="0" w:type="dxa"/>
            <w:left w:w="0" w:type="dxa"/>
            <w:bottom w:w="0" w:type="dxa"/>
            <w:right w:w="0" w:type="dxa"/>
          </w:tblCellMar>
        </w:tblPrEx>
        <w:trPr>
          <w:wBefore w:w="0" w:type="auto"/>
          <w:tblCellSpacing w:w="0" w:type="dxa"/>
        </w:trPr>
        <w:tc>
          <w:tcPr>
            <w:tcW w:w="0" w:type="auto"/>
            <w:noWrap w:val="0"/>
            <w:vAlign w:val="center"/>
          </w:tcPr>
          <w:p w14:paraId="6FA09C86">
            <w:r>
              <w:rPr>
                <w:rFonts w:hint="eastAsia"/>
              </w:rPr>
              <w:t xml:space="preserve">有效成分及其含量： </w:t>
            </w:r>
          </w:p>
          <w:p w14:paraId="05E71996">
            <w:r>
              <w:rPr>
                <w:rFonts w:hint="eastAsia"/>
              </w:rPr>
              <w:t xml:space="preserve">    吡虫啉70%    </w:t>
            </w:r>
          </w:p>
        </w:tc>
      </w:tr>
      <w:tr w14:paraId="0C994399">
        <w:tblPrEx>
          <w:tblCellMar>
            <w:top w:w="0" w:type="dxa"/>
            <w:left w:w="0" w:type="dxa"/>
            <w:bottom w:w="0" w:type="dxa"/>
            <w:right w:w="0" w:type="dxa"/>
          </w:tblCellMar>
        </w:tblPrEx>
        <w:trPr>
          <w:wBefore w:w="0" w:type="auto"/>
          <w:tblCellSpacing w:w="0" w:type="dxa"/>
        </w:trPr>
        <w:tc>
          <w:tcPr>
            <w:tcW w:w="0" w:type="auto"/>
            <w:noWrap w:val="0"/>
            <w:vAlign w:val="center"/>
          </w:tcPr>
          <w:p w14:paraId="0EF5EE5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702B1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F3D41B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2B44E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4BFAD0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9B583FE">
                  <w:r>
                    <w:rPr>
                      <w:rStyle w:val="11"/>
                      <w:rFonts w:hint="eastAsia"/>
                    </w:rPr>
                    <w:t>施用方式</w:t>
                  </w:r>
                </w:p>
              </w:tc>
            </w:tr>
            <w:tr w14:paraId="76CE57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74D140C">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F3EA9F">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4961B6">
                  <w:r>
                    <w:rPr>
                      <w:rStyle w:val="11"/>
                      <w:rFonts w:hint="eastAsia"/>
                    </w:rPr>
                    <w:t>1.3-1.9克/亩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F77A08">
                  <w:r>
                    <w:rPr>
                      <w:rStyle w:val="11"/>
                      <w:rFonts w:hint="eastAsia"/>
                    </w:rPr>
                    <w:t>喷雾</w:t>
                  </w:r>
                </w:p>
              </w:tc>
            </w:tr>
          </w:tbl>
          <w:p w14:paraId="39DED4FF">
            <w:pPr>
              <w:rPr>
                <w:rFonts w:ascii="Times New Roman" w:hAnsi="Times New Roman" w:cs="Times New Roman"/>
                <w:sz w:val="20"/>
                <w:szCs w:val="20"/>
              </w:rPr>
            </w:pPr>
          </w:p>
        </w:tc>
      </w:tr>
      <w:tr w14:paraId="54F0208C">
        <w:tblPrEx>
          <w:tblCellMar>
            <w:top w:w="0" w:type="dxa"/>
            <w:left w:w="0" w:type="dxa"/>
            <w:bottom w:w="0" w:type="dxa"/>
            <w:right w:w="0" w:type="dxa"/>
          </w:tblCellMar>
        </w:tblPrEx>
        <w:trPr>
          <w:wBefore w:w="0" w:type="auto"/>
          <w:tblCellSpacing w:w="0" w:type="dxa"/>
        </w:trPr>
        <w:tc>
          <w:tcPr>
            <w:tcW w:w="0" w:type="auto"/>
            <w:noWrap w:val="0"/>
            <w:vAlign w:val="center"/>
          </w:tcPr>
          <w:p w14:paraId="0379C67A">
            <w:r>
              <w:rPr>
                <w:rStyle w:val="10"/>
                <w:rFonts w:hint="eastAsia"/>
              </w:rPr>
              <w:t>使用技术要求:</w:t>
            </w:r>
            <w:r>
              <w:rPr>
                <w:rFonts w:hint="eastAsia"/>
              </w:rPr>
              <w:br w:type="textWrapping"/>
            </w:r>
            <w:r>
              <w:rPr>
                <w:rStyle w:val="11"/>
                <w:rFonts w:hint="eastAsia"/>
              </w:rPr>
              <w:t>在十字花科蔬菜甘蓝蚜虫发生盛期施药。大风天或预计1小时内降雨，请勿施药。本品在甘蓝上每季最多使用2次，安全间隔期7天。</w:t>
            </w:r>
          </w:p>
        </w:tc>
      </w:tr>
      <w:tr w14:paraId="4D1C5622">
        <w:tblPrEx>
          <w:tblCellMar>
            <w:top w:w="0" w:type="dxa"/>
            <w:left w:w="0" w:type="dxa"/>
            <w:bottom w:w="0" w:type="dxa"/>
            <w:right w:w="0" w:type="dxa"/>
          </w:tblCellMar>
        </w:tblPrEx>
        <w:trPr>
          <w:wBefore w:w="0" w:type="auto"/>
          <w:tblCellSpacing w:w="0" w:type="dxa"/>
        </w:trPr>
        <w:tc>
          <w:tcPr>
            <w:tcW w:w="0" w:type="auto"/>
            <w:noWrap w:val="0"/>
            <w:vAlign w:val="center"/>
          </w:tcPr>
          <w:p w14:paraId="372E0078">
            <w:r>
              <w:rPr>
                <w:rStyle w:val="10"/>
                <w:rFonts w:hint="eastAsia"/>
              </w:rPr>
              <w:t>产品性能:</w:t>
            </w:r>
            <w:r>
              <w:rPr>
                <w:rFonts w:hint="eastAsia"/>
              </w:rPr>
              <w:br w:type="textWrapping"/>
            </w:r>
            <w:r>
              <w:rPr>
                <w:rStyle w:val="11"/>
                <w:rFonts w:hint="eastAsia"/>
              </w:rPr>
              <w:t>本品是由吡虫啉原药、助剂和填料经气流粉碎加工而成，具有内吸传导、触杀、胃毒三种毒杀功能。作用机理为药剂进入虫体后通过干扰害虫神经系统，使害虫的中枢神经麻痹、阻断而迅速死亡；速效性较好，持效期较长。</w:t>
            </w:r>
          </w:p>
        </w:tc>
      </w:tr>
      <w:tr w14:paraId="608066B2">
        <w:tblPrEx>
          <w:tblCellMar>
            <w:top w:w="0" w:type="dxa"/>
            <w:left w:w="0" w:type="dxa"/>
            <w:bottom w:w="0" w:type="dxa"/>
            <w:right w:w="0" w:type="dxa"/>
          </w:tblCellMar>
        </w:tblPrEx>
        <w:trPr>
          <w:wBefore w:w="0" w:type="auto"/>
          <w:tblCellSpacing w:w="0" w:type="dxa"/>
        </w:trPr>
        <w:tc>
          <w:tcPr>
            <w:tcW w:w="0" w:type="auto"/>
            <w:noWrap w:val="0"/>
            <w:vAlign w:val="center"/>
          </w:tcPr>
          <w:p w14:paraId="7DBA124D">
            <w:r>
              <w:rPr>
                <w:rStyle w:val="10"/>
                <w:rFonts w:hint="eastAsia"/>
              </w:rPr>
              <w:t>注意事项：</w:t>
            </w:r>
            <w:r>
              <w:rPr>
                <w:rFonts w:hint="eastAsia"/>
              </w:rPr>
              <w:br w:type="textWrapping"/>
            </w:r>
            <w:r>
              <w:rPr>
                <w:rStyle w:val="11"/>
                <w:rFonts w:hint="eastAsia"/>
              </w:rPr>
              <w:t>1、不可与碱性农药等物质混用或紧接使用。 2、建议与其他作用机制不同的杀虫剂轮换使用，以延缓抗性产生。 3、本品对蜜蜂、家蚕、鸟、鱼类等水生生物有毒，施药期间应避开蜜源作物花期、有授粉蜂群及其它有蜂群采粉区。避免该药在桑园使用和飘移至桑叶上。避免在珍贵鸟类万事如意区及其觅食区使用。远离水产养殖区施药，药液及施药用水避免进入鱼类养殖区、产卵场、越冬场、洄游通道、仔稚幼鱼的索饵场等敏感水区及保护区，禁止在河塘等水体中清洗施药器具。 4、使用本品时应穿防护服、防护眼镜、戴手套和口罩，避免吸入药液。施药期间不可吃东西和饮水。施药后应及时洗手和洗脸。5、避免孕妇及哺乳期妇女接触本品。6、用过的容器应妥善处理，不可做他用，也不可随意丢弃。</w:t>
            </w:r>
          </w:p>
        </w:tc>
      </w:tr>
      <w:tr w14:paraId="7135FB5C">
        <w:tblPrEx>
          <w:tblCellMar>
            <w:top w:w="0" w:type="dxa"/>
            <w:left w:w="0" w:type="dxa"/>
            <w:bottom w:w="0" w:type="dxa"/>
            <w:right w:w="0" w:type="dxa"/>
          </w:tblCellMar>
        </w:tblPrEx>
        <w:trPr>
          <w:wBefore w:w="0" w:type="auto"/>
          <w:tblCellSpacing w:w="0" w:type="dxa"/>
        </w:trPr>
        <w:tc>
          <w:tcPr>
            <w:tcW w:w="0" w:type="auto"/>
            <w:noWrap w:val="0"/>
            <w:vAlign w:val="center"/>
          </w:tcPr>
          <w:p w14:paraId="2B6C2AC9">
            <w:r>
              <w:rPr>
                <w:rStyle w:val="10"/>
                <w:rFonts w:hint="eastAsia"/>
              </w:rPr>
              <w:t>中毒急救措施：</w:t>
            </w:r>
            <w:r>
              <w:rPr>
                <w:rFonts w:hint="eastAsia"/>
              </w:rPr>
              <w:br w:type="textWrapping"/>
            </w:r>
            <w:r>
              <w:rPr>
                <w:rStyle w:val="11"/>
                <w:rFonts w:hint="eastAsia"/>
              </w:rPr>
              <w:t>中毒症状：全身乏力，肌肉感觉僵硬，呼吸障碍，全身发抖，较严重时可能出现肌肉痉挛.急救措施：如药物溅到皮肤或衣物上，要用肥皂和清水冲洗；如溅到眼中时，应立即用大量清水冲洗；误服：立即携带此标签送医院对症治疗。无特效解毒剂，对症治疗。</w:t>
            </w:r>
          </w:p>
        </w:tc>
      </w:tr>
      <w:tr w14:paraId="156F2B4C">
        <w:tblPrEx>
          <w:tblCellMar>
            <w:top w:w="0" w:type="dxa"/>
            <w:left w:w="0" w:type="dxa"/>
            <w:bottom w:w="0" w:type="dxa"/>
            <w:right w:w="0" w:type="dxa"/>
          </w:tblCellMar>
        </w:tblPrEx>
        <w:trPr>
          <w:wBefore w:w="0" w:type="auto"/>
          <w:tblCellSpacing w:w="0" w:type="dxa"/>
        </w:trPr>
        <w:tc>
          <w:tcPr>
            <w:tcW w:w="0" w:type="auto"/>
            <w:noWrap w:val="0"/>
            <w:vAlign w:val="center"/>
          </w:tcPr>
          <w:p w14:paraId="638BD1C0">
            <w:r>
              <w:rPr>
                <w:rStyle w:val="10"/>
                <w:rFonts w:hint="eastAsia"/>
              </w:rPr>
              <w:t>储存和运输方法：</w:t>
            </w:r>
            <w:r>
              <w:rPr>
                <w:rFonts w:hint="eastAsia"/>
              </w:rPr>
              <w:br w:type="textWrapping"/>
            </w:r>
            <w:r>
              <w:rPr>
                <w:rStyle w:val="11"/>
                <w:rFonts w:hint="eastAsia"/>
              </w:rPr>
              <w:t>1、应贮存在通风、干燥（低温）的室内仓库中。 2、装卸、运输时严防潮湿和日晒，远离火源。 3、远离儿童，并加锁保管。不能与食品、饮料、粮食、饲料等物品同贮同运。</w:t>
            </w:r>
          </w:p>
        </w:tc>
      </w:tr>
      <w:tr w14:paraId="72BDE2D3">
        <w:tblPrEx>
          <w:tblCellMar>
            <w:top w:w="0" w:type="dxa"/>
            <w:left w:w="0" w:type="dxa"/>
            <w:bottom w:w="0" w:type="dxa"/>
            <w:right w:w="0" w:type="dxa"/>
          </w:tblCellMar>
        </w:tblPrEx>
        <w:trPr>
          <w:wBefore w:w="0" w:type="auto"/>
          <w:tblCellSpacing w:w="0" w:type="dxa"/>
        </w:trPr>
        <w:tc>
          <w:tcPr>
            <w:tcW w:w="0" w:type="auto"/>
            <w:noWrap w:val="0"/>
            <w:vAlign w:val="center"/>
          </w:tcPr>
          <w:p w14:paraId="776EBFC8">
            <w:r>
              <w:rPr>
                <w:rStyle w:val="10"/>
                <w:rFonts w:hint="eastAsia"/>
              </w:rPr>
              <w:t>质量保证期：</w:t>
            </w:r>
            <w:r>
              <w:rPr>
                <w:rStyle w:val="11"/>
                <w:rFonts w:hint="eastAsia"/>
              </w:rPr>
              <w:t>2年</w:t>
            </w:r>
          </w:p>
        </w:tc>
      </w:tr>
      <w:tr w14:paraId="58DA059B">
        <w:tblPrEx>
          <w:tblCellMar>
            <w:top w:w="0" w:type="dxa"/>
            <w:left w:w="0" w:type="dxa"/>
            <w:bottom w:w="0" w:type="dxa"/>
            <w:right w:w="0" w:type="dxa"/>
          </w:tblCellMar>
        </w:tblPrEx>
        <w:trPr>
          <w:wBefore w:w="0" w:type="auto"/>
          <w:tblCellSpacing w:w="0" w:type="dxa"/>
        </w:trPr>
        <w:tc>
          <w:tcPr>
            <w:tcW w:w="0" w:type="auto"/>
            <w:noWrap w:val="0"/>
            <w:vAlign w:val="center"/>
          </w:tcPr>
          <w:p w14:paraId="186265C9">
            <w:r>
              <w:rPr>
                <w:rStyle w:val="10"/>
                <w:rFonts w:hint="eastAsia"/>
              </w:rPr>
              <w:t>备注：</w:t>
            </w:r>
          </w:p>
        </w:tc>
      </w:tr>
    </w:tbl>
    <w:p w14:paraId="058A71B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18947BC">
        <w:tblPrEx>
          <w:tblCellMar>
            <w:top w:w="0" w:type="dxa"/>
            <w:left w:w="0" w:type="dxa"/>
            <w:bottom w:w="0" w:type="dxa"/>
            <w:right w:w="0" w:type="dxa"/>
          </w:tblCellMar>
        </w:tblPrEx>
        <w:trPr>
          <w:wBefore w:w="0" w:type="auto"/>
          <w:tblCellSpacing w:w="0" w:type="dxa"/>
        </w:trPr>
        <w:tc>
          <w:tcPr>
            <w:tcW w:w="0" w:type="auto"/>
            <w:noWrap w:val="0"/>
            <w:vAlign w:val="center"/>
          </w:tcPr>
          <w:p w14:paraId="5D448466">
            <w:r>
              <w:rPr>
                <w:rStyle w:val="10"/>
                <w:rFonts w:hint="eastAsia"/>
              </w:rPr>
              <w:t>登记证号：</w:t>
            </w:r>
            <w:r>
              <w:rPr>
                <w:rFonts w:hint="eastAsia"/>
              </w:rPr>
              <w:t>WP20210235</w:t>
            </w:r>
          </w:p>
        </w:tc>
      </w:tr>
      <w:tr w14:paraId="6D113EB5">
        <w:tblPrEx>
          <w:tblCellMar>
            <w:top w:w="0" w:type="dxa"/>
            <w:left w:w="0" w:type="dxa"/>
            <w:bottom w:w="0" w:type="dxa"/>
            <w:right w:w="0" w:type="dxa"/>
          </w:tblCellMar>
        </w:tblPrEx>
        <w:trPr>
          <w:wBefore w:w="0" w:type="auto"/>
          <w:tblCellSpacing w:w="0" w:type="dxa"/>
        </w:trPr>
        <w:tc>
          <w:tcPr>
            <w:tcW w:w="0" w:type="auto"/>
            <w:noWrap w:val="0"/>
            <w:vAlign w:val="center"/>
          </w:tcPr>
          <w:p w14:paraId="7BD0558F">
            <w:r>
              <w:rPr>
                <w:rStyle w:val="10"/>
                <w:rFonts w:hint="eastAsia"/>
              </w:rPr>
              <w:t>登记证持有人：</w:t>
            </w:r>
            <w:r>
              <w:rPr>
                <w:rFonts w:hint="eastAsia"/>
              </w:rPr>
              <w:t>山东天道生物工程有限公司</w:t>
            </w:r>
          </w:p>
        </w:tc>
      </w:tr>
      <w:tr w14:paraId="7D24F7C1">
        <w:tblPrEx>
          <w:tblCellMar>
            <w:top w:w="0" w:type="dxa"/>
            <w:left w:w="0" w:type="dxa"/>
            <w:bottom w:w="0" w:type="dxa"/>
            <w:right w:w="0" w:type="dxa"/>
          </w:tblCellMar>
        </w:tblPrEx>
        <w:trPr>
          <w:wBefore w:w="0" w:type="auto"/>
          <w:tblCellSpacing w:w="0" w:type="dxa"/>
        </w:trPr>
        <w:tc>
          <w:tcPr>
            <w:tcW w:w="0" w:type="auto"/>
            <w:noWrap w:val="0"/>
            <w:vAlign w:val="center"/>
          </w:tcPr>
          <w:p w14:paraId="4038D90E">
            <w:r>
              <w:rPr>
                <w:rStyle w:val="10"/>
                <w:rFonts w:hint="eastAsia"/>
              </w:rPr>
              <w:t>农药名称：</w:t>
            </w:r>
            <w:r>
              <w:rPr>
                <w:rFonts w:hint="eastAsia"/>
              </w:rPr>
              <w:t>吡丙醚</w:t>
            </w:r>
          </w:p>
        </w:tc>
      </w:tr>
      <w:tr w14:paraId="339E63A8">
        <w:tblPrEx>
          <w:tblCellMar>
            <w:top w:w="0" w:type="dxa"/>
            <w:left w:w="0" w:type="dxa"/>
            <w:bottom w:w="0" w:type="dxa"/>
            <w:right w:w="0" w:type="dxa"/>
          </w:tblCellMar>
        </w:tblPrEx>
        <w:trPr>
          <w:wBefore w:w="0" w:type="auto"/>
          <w:tblCellSpacing w:w="0" w:type="dxa"/>
        </w:trPr>
        <w:tc>
          <w:tcPr>
            <w:tcW w:w="0" w:type="auto"/>
            <w:noWrap w:val="0"/>
            <w:vAlign w:val="center"/>
          </w:tcPr>
          <w:p w14:paraId="0A41FA41">
            <w:r>
              <w:rPr>
                <w:rStyle w:val="10"/>
                <w:rFonts w:hint="eastAsia"/>
              </w:rPr>
              <w:t>剂型：</w:t>
            </w:r>
            <w:r>
              <w:rPr>
                <w:rFonts w:hint="eastAsia"/>
              </w:rPr>
              <w:t>悬浮剂</w:t>
            </w:r>
          </w:p>
        </w:tc>
      </w:tr>
      <w:tr w14:paraId="674DC4A7">
        <w:tblPrEx>
          <w:tblCellMar>
            <w:top w:w="0" w:type="dxa"/>
            <w:left w:w="0" w:type="dxa"/>
            <w:bottom w:w="0" w:type="dxa"/>
            <w:right w:w="0" w:type="dxa"/>
          </w:tblCellMar>
        </w:tblPrEx>
        <w:trPr>
          <w:wBefore w:w="0" w:type="auto"/>
          <w:tblCellSpacing w:w="0" w:type="dxa"/>
        </w:trPr>
        <w:tc>
          <w:tcPr>
            <w:tcW w:w="0" w:type="auto"/>
            <w:noWrap w:val="0"/>
            <w:vAlign w:val="center"/>
          </w:tcPr>
          <w:p w14:paraId="6531957A">
            <w:r>
              <w:rPr>
                <w:rStyle w:val="10"/>
                <w:rFonts w:hint="eastAsia"/>
              </w:rPr>
              <w:t>毒性及其标识：</w:t>
            </w:r>
            <w:r>
              <w:rPr>
                <w:rFonts w:hint="eastAsia"/>
              </w:rPr>
              <w:t xml:space="preserve"> </w:t>
            </w:r>
            <w:r>
              <w:rPr>
                <w:lang/>
              </w:rPr>
              <w:drawing>
                <wp:inline distT="0" distB="0" distL="114300" distR="114300">
                  <wp:extent cx="476250" cy="323850"/>
                  <wp:effectExtent l="0" t="0" r="0" b="0"/>
                  <wp:docPr id="515" name="图片 51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50B9D7E">
        <w:tblPrEx>
          <w:tblCellMar>
            <w:top w:w="0" w:type="dxa"/>
            <w:left w:w="0" w:type="dxa"/>
            <w:bottom w:w="0" w:type="dxa"/>
            <w:right w:w="0" w:type="dxa"/>
          </w:tblCellMar>
        </w:tblPrEx>
        <w:trPr>
          <w:wBefore w:w="0" w:type="auto"/>
          <w:tblCellSpacing w:w="0" w:type="dxa"/>
        </w:trPr>
        <w:tc>
          <w:tcPr>
            <w:tcW w:w="0" w:type="auto"/>
            <w:noWrap w:val="0"/>
            <w:vAlign w:val="center"/>
          </w:tcPr>
          <w:p w14:paraId="6261A603">
            <w:r>
              <w:rPr>
                <w:rStyle w:val="10"/>
                <w:rFonts w:hint="eastAsia"/>
              </w:rPr>
              <w:t>总有效成分含量：</w:t>
            </w:r>
            <w:r>
              <w:rPr>
                <w:rFonts w:hint="eastAsia"/>
              </w:rPr>
              <w:t>10%</w:t>
            </w:r>
          </w:p>
        </w:tc>
      </w:tr>
      <w:tr w14:paraId="43D0E658">
        <w:tblPrEx>
          <w:tblCellMar>
            <w:top w:w="0" w:type="dxa"/>
            <w:left w:w="0" w:type="dxa"/>
            <w:bottom w:w="0" w:type="dxa"/>
            <w:right w:w="0" w:type="dxa"/>
          </w:tblCellMar>
        </w:tblPrEx>
        <w:trPr>
          <w:wBefore w:w="0" w:type="auto"/>
          <w:tblCellSpacing w:w="0" w:type="dxa"/>
        </w:trPr>
        <w:tc>
          <w:tcPr>
            <w:tcW w:w="0" w:type="auto"/>
            <w:noWrap w:val="0"/>
            <w:vAlign w:val="center"/>
          </w:tcPr>
          <w:p w14:paraId="70487748">
            <w:r>
              <w:rPr>
                <w:rFonts w:hint="eastAsia"/>
              </w:rPr>
              <w:t xml:space="preserve">有效成分及其含量： </w:t>
            </w:r>
          </w:p>
          <w:p w14:paraId="26047402">
            <w:r>
              <w:rPr>
                <w:rFonts w:hint="eastAsia"/>
              </w:rPr>
              <w:t xml:space="preserve">    吡丙醚10%    </w:t>
            </w:r>
          </w:p>
        </w:tc>
      </w:tr>
      <w:tr w14:paraId="73ABB084">
        <w:tblPrEx>
          <w:tblCellMar>
            <w:top w:w="0" w:type="dxa"/>
            <w:left w:w="0" w:type="dxa"/>
            <w:bottom w:w="0" w:type="dxa"/>
            <w:right w:w="0" w:type="dxa"/>
          </w:tblCellMar>
        </w:tblPrEx>
        <w:trPr>
          <w:wBefore w:w="0" w:type="auto"/>
          <w:tblCellSpacing w:w="0" w:type="dxa"/>
        </w:trPr>
        <w:tc>
          <w:tcPr>
            <w:tcW w:w="0" w:type="auto"/>
            <w:noWrap w:val="0"/>
            <w:vAlign w:val="center"/>
          </w:tcPr>
          <w:p w14:paraId="4229034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34390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97823C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EB65A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391F11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B9CAFC2">
                  <w:r>
                    <w:rPr>
                      <w:rStyle w:val="11"/>
                      <w:rFonts w:hint="eastAsia"/>
                    </w:rPr>
                    <w:t>施用方式</w:t>
                  </w:r>
                </w:p>
              </w:tc>
            </w:tr>
            <w:tr w14:paraId="749C11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6123745">
                  <w:r>
                    <w:rPr>
                      <w:rStyle w:val="11"/>
                      <w:rFonts w:hint="eastAsia"/>
                    </w:rPr>
                    <w:t>室外（孳生地）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857E46">
                  <w:r>
                    <w:rPr>
                      <w:rStyle w:val="11"/>
                      <w:rFonts w:hint="eastAsia"/>
                    </w:rPr>
                    <w:t>蚊(幼虫)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5184FE">
                  <w:r>
                    <w:rPr>
                      <w:rStyle w:val="11"/>
                      <w:rFonts w:hint="eastAsia"/>
                    </w:rPr>
                    <w:t>1毫升/平方米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6F24BC">
                  <w:r>
                    <w:rPr>
                      <w:rStyle w:val="11"/>
                      <w:rFonts w:hint="eastAsia"/>
                    </w:rPr>
                    <w:t>喷洒</w:t>
                  </w:r>
                </w:p>
              </w:tc>
            </w:tr>
          </w:tbl>
          <w:p w14:paraId="5F9CD426">
            <w:pPr>
              <w:rPr>
                <w:rFonts w:ascii="Times New Roman" w:hAnsi="Times New Roman" w:cs="Times New Roman"/>
                <w:sz w:val="20"/>
                <w:szCs w:val="20"/>
              </w:rPr>
            </w:pPr>
          </w:p>
        </w:tc>
      </w:tr>
      <w:tr w14:paraId="09B2089B">
        <w:tblPrEx>
          <w:tblCellMar>
            <w:top w:w="0" w:type="dxa"/>
            <w:left w:w="0" w:type="dxa"/>
            <w:bottom w:w="0" w:type="dxa"/>
            <w:right w:w="0" w:type="dxa"/>
          </w:tblCellMar>
        </w:tblPrEx>
        <w:trPr>
          <w:wBefore w:w="0" w:type="auto"/>
          <w:tblCellSpacing w:w="0" w:type="dxa"/>
        </w:trPr>
        <w:tc>
          <w:tcPr>
            <w:tcW w:w="0" w:type="auto"/>
            <w:noWrap w:val="0"/>
            <w:vAlign w:val="center"/>
          </w:tcPr>
          <w:p w14:paraId="36930B7E">
            <w:r>
              <w:rPr>
                <w:rStyle w:val="10"/>
                <w:rFonts w:hint="eastAsia"/>
              </w:rPr>
              <w:t>使用技术要求:</w:t>
            </w:r>
            <w:r>
              <w:rPr>
                <w:rFonts w:hint="eastAsia"/>
              </w:rPr>
              <w:br w:type="textWrapping"/>
            </w:r>
            <w:r>
              <w:rPr>
                <w:rStyle w:val="11"/>
                <w:rFonts w:hint="eastAsia"/>
              </w:rPr>
              <w:t>用清水稀释后喷洒于室外蚊幼虫孳生地。</w:t>
            </w:r>
          </w:p>
        </w:tc>
      </w:tr>
      <w:tr w14:paraId="413E0EE7">
        <w:tblPrEx>
          <w:tblCellMar>
            <w:top w:w="0" w:type="dxa"/>
            <w:left w:w="0" w:type="dxa"/>
            <w:bottom w:w="0" w:type="dxa"/>
            <w:right w:w="0" w:type="dxa"/>
          </w:tblCellMar>
        </w:tblPrEx>
        <w:trPr>
          <w:wBefore w:w="0" w:type="auto"/>
          <w:tblCellSpacing w:w="0" w:type="dxa"/>
        </w:trPr>
        <w:tc>
          <w:tcPr>
            <w:tcW w:w="0" w:type="auto"/>
            <w:noWrap w:val="0"/>
            <w:vAlign w:val="center"/>
          </w:tcPr>
          <w:p w14:paraId="32AC4107">
            <w:r>
              <w:rPr>
                <w:rStyle w:val="10"/>
                <w:rFonts w:hint="eastAsia"/>
              </w:rPr>
              <w:t>产品性能:</w:t>
            </w:r>
            <w:r>
              <w:rPr>
                <w:rFonts w:hint="eastAsia"/>
              </w:rPr>
              <w:br w:type="textWrapping"/>
            </w:r>
            <w:r>
              <w:rPr>
                <w:rStyle w:val="11"/>
                <w:rFonts w:hint="eastAsia"/>
              </w:rPr>
              <w:t>本品所含吡丙醚是一种保幼激素类型的几丁质合成抑制剂，具有杀卵作用。还具有内吸性转移活性。本品适用于室外蚊幼虫（孑孓）的防治。</w:t>
            </w:r>
          </w:p>
        </w:tc>
      </w:tr>
      <w:tr w14:paraId="5617B2AF">
        <w:tblPrEx>
          <w:tblCellMar>
            <w:top w:w="0" w:type="dxa"/>
            <w:left w:w="0" w:type="dxa"/>
            <w:bottom w:w="0" w:type="dxa"/>
            <w:right w:w="0" w:type="dxa"/>
          </w:tblCellMar>
        </w:tblPrEx>
        <w:trPr>
          <w:wBefore w:w="0" w:type="auto"/>
          <w:tblCellSpacing w:w="0" w:type="dxa"/>
        </w:trPr>
        <w:tc>
          <w:tcPr>
            <w:tcW w:w="0" w:type="auto"/>
            <w:noWrap w:val="0"/>
            <w:vAlign w:val="center"/>
          </w:tcPr>
          <w:p w14:paraId="66BDC48A">
            <w:r>
              <w:rPr>
                <w:rStyle w:val="10"/>
                <w:rFonts w:hint="eastAsia"/>
              </w:rPr>
              <w:t>注意事项：</w:t>
            </w:r>
            <w:r>
              <w:rPr>
                <w:rFonts w:hint="eastAsia"/>
              </w:rPr>
              <w:br w:type="textWrapping"/>
            </w:r>
            <w:r>
              <w:rPr>
                <w:rStyle w:val="11"/>
                <w:rFonts w:hint="eastAsia"/>
              </w:rPr>
              <w:t>1. 本品对鱼类、水蚤类、藻类等水生生物有毒，水产养殖区，河塘等水体附近禁用。禁止在河塘等水体中清洗施药器具。2. 用药时穿戴好个人防护用品， 使用本品时应穿戴防护服和手套，避免吸入药液。 3. 施药期间不可吃东西和饮水。 4. 施药后应及时用肥皂水洗手和洗脸及暴露部位皮肤。切勿向人体、食物使用。 5. 本产品在鸟类保护区附近禁用；在蚕室及桑园附近禁用。 6. 过敏者禁用，孕妇及哺乳期妇女避免接触；使用中有任何不良反应请及时就医。 7. 用过的容器应妥善处理，不可做他用，也不可随意丢弃。8. 避免与氧化剂接触。</w:t>
            </w:r>
          </w:p>
        </w:tc>
      </w:tr>
      <w:tr w14:paraId="4B1E3AB9">
        <w:tblPrEx>
          <w:tblCellMar>
            <w:top w:w="0" w:type="dxa"/>
            <w:left w:w="0" w:type="dxa"/>
            <w:bottom w:w="0" w:type="dxa"/>
            <w:right w:w="0" w:type="dxa"/>
          </w:tblCellMar>
        </w:tblPrEx>
        <w:trPr>
          <w:wBefore w:w="0" w:type="auto"/>
          <w:tblCellSpacing w:w="0" w:type="dxa"/>
        </w:trPr>
        <w:tc>
          <w:tcPr>
            <w:tcW w:w="0" w:type="auto"/>
            <w:noWrap w:val="0"/>
            <w:vAlign w:val="center"/>
          </w:tcPr>
          <w:p w14:paraId="20AE4D94">
            <w:r>
              <w:rPr>
                <w:rStyle w:val="10"/>
                <w:rFonts w:hint="eastAsia"/>
              </w:rPr>
              <w:t>中毒急救措施：</w:t>
            </w:r>
            <w:r>
              <w:rPr>
                <w:rFonts w:hint="eastAsia"/>
              </w:rPr>
              <w:br w:type="textWrapping"/>
            </w:r>
            <w:r>
              <w:rPr>
                <w:rStyle w:val="11"/>
                <w:rFonts w:hint="eastAsia"/>
              </w:rPr>
              <w:t>本品对变态发育的低等生物有毒性，而对高等动物几乎无毒，一般不产生全身毒性。在接触药剂后如有不适症状，应立即脱离接触环境，并尽快到医院诊治。皮肤接触：脱去污染衣物，用软布除去污染农药，立即用大量清水和肥皂水冲洗。眼睛溅入：立即用流动清水清洗不少于15分钟。吸入：立即离开施药现场，转移到空气清新处。误食：立即停止服用，用清水充分漱口后，立即携带农药标签就诊。</w:t>
            </w:r>
          </w:p>
        </w:tc>
      </w:tr>
      <w:tr w14:paraId="50EC7BDD">
        <w:tblPrEx>
          <w:tblCellMar>
            <w:top w:w="0" w:type="dxa"/>
            <w:left w:w="0" w:type="dxa"/>
            <w:bottom w:w="0" w:type="dxa"/>
            <w:right w:w="0" w:type="dxa"/>
          </w:tblCellMar>
        </w:tblPrEx>
        <w:trPr>
          <w:wBefore w:w="0" w:type="auto"/>
          <w:tblCellSpacing w:w="0" w:type="dxa"/>
        </w:trPr>
        <w:tc>
          <w:tcPr>
            <w:tcW w:w="0" w:type="auto"/>
            <w:noWrap w:val="0"/>
            <w:vAlign w:val="center"/>
          </w:tcPr>
          <w:p w14:paraId="357B8645">
            <w:r>
              <w:rPr>
                <w:rStyle w:val="10"/>
                <w:rFonts w:hint="eastAsia"/>
              </w:rPr>
              <w:t>储存和运输方法：</w:t>
            </w:r>
            <w:r>
              <w:rPr>
                <w:rFonts w:hint="eastAsia"/>
              </w:rPr>
              <w:br w:type="textWrapping"/>
            </w:r>
            <w:r>
              <w:rPr>
                <w:rStyle w:val="11"/>
                <w:rFonts w:hint="eastAsia"/>
              </w:rPr>
              <w:t>1. 本产品贮存于干燥、阴凉通风处。 2. 不能与食品、饮料、粮食、饲料等物品同贮同运。 3. 放置于儿童接触不到的位置，并上锁保管。</w:t>
            </w:r>
          </w:p>
        </w:tc>
      </w:tr>
      <w:tr w14:paraId="09F85F12">
        <w:tblPrEx>
          <w:tblCellMar>
            <w:top w:w="0" w:type="dxa"/>
            <w:left w:w="0" w:type="dxa"/>
            <w:bottom w:w="0" w:type="dxa"/>
            <w:right w:w="0" w:type="dxa"/>
          </w:tblCellMar>
        </w:tblPrEx>
        <w:trPr>
          <w:wBefore w:w="0" w:type="auto"/>
          <w:tblCellSpacing w:w="0" w:type="dxa"/>
        </w:trPr>
        <w:tc>
          <w:tcPr>
            <w:tcW w:w="0" w:type="auto"/>
            <w:noWrap w:val="0"/>
            <w:vAlign w:val="center"/>
          </w:tcPr>
          <w:p w14:paraId="2F376027">
            <w:r>
              <w:rPr>
                <w:rStyle w:val="10"/>
                <w:rFonts w:hint="eastAsia"/>
              </w:rPr>
              <w:t>质量保证期：</w:t>
            </w:r>
            <w:r>
              <w:rPr>
                <w:rStyle w:val="11"/>
                <w:rFonts w:hint="eastAsia"/>
              </w:rPr>
              <w:t>2年</w:t>
            </w:r>
          </w:p>
        </w:tc>
      </w:tr>
      <w:tr w14:paraId="4B24115B">
        <w:tblPrEx>
          <w:tblCellMar>
            <w:top w:w="0" w:type="dxa"/>
            <w:left w:w="0" w:type="dxa"/>
            <w:bottom w:w="0" w:type="dxa"/>
            <w:right w:w="0" w:type="dxa"/>
          </w:tblCellMar>
        </w:tblPrEx>
        <w:trPr>
          <w:wBefore w:w="0" w:type="auto"/>
          <w:tblCellSpacing w:w="0" w:type="dxa"/>
        </w:trPr>
        <w:tc>
          <w:tcPr>
            <w:tcW w:w="0" w:type="auto"/>
            <w:noWrap w:val="0"/>
            <w:vAlign w:val="center"/>
          </w:tcPr>
          <w:p w14:paraId="06FCDAB3">
            <w:r>
              <w:rPr>
                <w:rStyle w:val="10"/>
                <w:rFonts w:hint="eastAsia"/>
              </w:rPr>
              <w:t>备注：</w:t>
            </w:r>
          </w:p>
        </w:tc>
      </w:tr>
    </w:tbl>
    <w:p w14:paraId="7C0E329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7E9C71F">
        <w:tblPrEx>
          <w:tblCellMar>
            <w:top w:w="0" w:type="dxa"/>
            <w:left w:w="0" w:type="dxa"/>
            <w:bottom w:w="0" w:type="dxa"/>
            <w:right w:w="0" w:type="dxa"/>
          </w:tblCellMar>
        </w:tblPrEx>
        <w:trPr>
          <w:wBefore w:w="0" w:type="auto"/>
          <w:tblCellSpacing w:w="0" w:type="dxa"/>
        </w:trPr>
        <w:tc>
          <w:tcPr>
            <w:tcW w:w="0" w:type="auto"/>
            <w:noWrap w:val="0"/>
            <w:vAlign w:val="center"/>
          </w:tcPr>
          <w:p w14:paraId="595D261B">
            <w:r>
              <w:rPr>
                <w:rStyle w:val="10"/>
                <w:rFonts w:hint="eastAsia"/>
              </w:rPr>
              <w:t>登记证号：</w:t>
            </w:r>
            <w:r>
              <w:rPr>
                <w:rFonts w:hint="eastAsia"/>
              </w:rPr>
              <w:t>PD20212144</w:t>
            </w:r>
          </w:p>
        </w:tc>
      </w:tr>
      <w:tr w14:paraId="58265090">
        <w:tblPrEx>
          <w:tblCellMar>
            <w:top w:w="0" w:type="dxa"/>
            <w:left w:w="0" w:type="dxa"/>
            <w:bottom w:w="0" w:type="dxa"/>
            <w:right w:w="0" w:type="dxa"/>
          </w:tblCellMar>
        </w:tblPrEx>
        <w:trPr>
          <w:wBefore w:w="0" w:type="auto"/>
          <w:tblCellSpacing w:w="0" w:type="dxa"/>
        </w:trPr>
        <w:tc>
          <w:tcPr>
            <w:tcW w:w="0" w:type="auto"/>
            <w:noWrap w:val="0"/>
            <w:vAlign w:val="center"/>
          </w:tcPr>
          <w:p w14:paraId="09C5C6B0">
            <w:r>
              <w:rPr>
                <w:rStyle w:val="10"/>
                <w:rFonts w:hint="eastAsia"/>
              </w:rPr>
              <w:t>登记证持有人：</w:t>
            </w:r>
            <w:r>
              <w:rPr>
                <w:rFonts w:hint="eastAsia"/>
              </w:rPr>
              <w:t>西安近代科技实业有限公司</w:t>
            </w:r>
          </w:p>
        </w:tc>
      </w:tr>
      <w:tr w14:paraId="5C8BA359">
        <w:tblPrEx>
          <w:tblCellMar>
            <w:top w:w="0" w:type="dxa"/>
            <w:left w:w="0" w:type="dxa"/>
            <w:bottom w:w="0" w:type="dxa"/>
            <w:right w:w="0" w:type="dxa"/>
          </w:tblCellMar>
        </w:tblPrEx>
        <w:trPr>
          <w:wBefore w:w="0" w:type="auto"/>
          <w:tblCellSpacing w:w="0" w:type="dxa"/>
        </w:trPr>
        <w:tc>
          <w:tcPr>
            <w:tcW w:w="0" w:type="auto"/>
            <w:noWrap w:val="0"/>
            <w:vAlign w:val="center"/>
          </w:tcPr>
          <w:p w14:paraId="7F9ACD86">
            <w:r>
              <w:rPr>
                <w:rStyle w:val="10"/>
                <w:rFonts w:hint="eastAsia"/>
              </w:rPr>
              <w:t>农药名称：</w:t>
            </w:r>
            <w:r>
              <w:rPr>
                <w:rFonts w:hint="eastAsia"/>
              </w:rPr>
              <w:t>精异丙甲草胺</w:t>
            </w:r>
          </w:p>
        </w:tc>
      </w:tr>
      <w:tr w14:paraId="2AF45FEB">
        <w:tblPrEx>
          <w:tblCellMar>
            <w:top w:w="0" w:type="dxa"/>
            <w:left w:w="0" w:type="dxa"/>
            <w:bottom w:w="0" w:type="dxa"/>
            <w:right w:w="0" w:type="dxa"/>
          </w:tblCellMar>
        </w:tblPrEx>
        <w:trPr>
          <w:wBefore w:w="0" w:type="auto"/>
          <w:tblCellSpacing w:w="0" w:type="dxa"/>
        </w:trPr>
        <w:tc>
          <w:tcPr>
            <w:tcW w:w="0" w:type="auto"/>
            <w:noWrap w:val="0"/>
            <w:vAlign w:val="center"/>
          </w:tcPr>
          <w:p w14:paraId="369D4DE9">
            <w:r>
              <w:rPr>
                <w:rStyle w:val="10"/>
                <w:rFonts w:hint="eastAsia"/>
              </w:rPr>
              <w:t>剂型：</w:t>
            </w:r>
            <w:r>
              <w:rPr>
                <w:rFonts w:hint="eastAsia"/>
              </w:rPr>
              <w:t>乳油</w:t>
            </w:r>
          </w:p>
        </w:tc>
      </w:tr>
      <w:tr w14:paraId="27F73268">
        <w:tblPrEx>
          <w:tblCellMar>
            <w:top w:w="0" w:type="dxa"/>
            <w:left w:w="0" w:type="dxa"/>
            <w:bottom w:w="0" w:type="dxa"/>
            <w:right w:w="0" w:type="dxa"/>
          </w:tblCellMar>
        </w:tblPrEx>
        <w:trPr>
          <w:wBefore w:w="0" w:type="auto"/>
          <w:tblCellSpacing w:w="0" w:type="dxa"/>
        </w:trPr>
        <w:tc>
          <w:tcPr>
            <w:tcW w:w="0" w:type="auto"/>
            <w:noWrap w:val="0"/>
            <w:vAlign w:val="center"/>
          </w:tcPr>
          <w:p w14:paraId="2DC46D58">
            <w:r>
              <w:rPr>
                <w:rStyle w:val="10"/>
                <w:rFonts w:hint="eastAsia"/>
              </w:rPr>
              <w:t>毒性及其标识：</w:t>
            </w:r>
            <w:r>
              <w:rPr>
                <w:rFonts w:hint="eastAsia"/>
              </w:rPr>
              <w:t xml:space="preserve"> </w:t>
            </w:r>
            <w:r>
              <w:rPr>
                <w:lang/>
              </w:rPr>
              <w:drawing>
                <wp:inline distT="0" distB="0" distL="114300" distR="114300">
                  <wp:extent cx="476250" cy="323850"/>
                  <wp:effectExtent l="0" t="0" r="0" b="0"/>
                  <wp:docPr id="516" name="图片 51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EAD1270">
        <w:tblPrEx>
          <w:tblCellMar>
            <w:top w:w="0" w:type="dxa"/>
            <w:left w:w="0" w:type="dxa"/>
            <w:bottom w:w="0" w:type="dxa"/>
            <w:right w:w="0" w:type="dxa"/>
          </w:tblCellMar>
        </w:tblPrEx>
        <w:trPr>
          <w:wBefore w:w="0" w:type="auto"/>
          <w:tblCellSpacing w:w="0" w:type="dxa"/>
        </w:trPr>
        <w:tc>
          <w:tcPr>
            <w:tcW w:w="0" w:type="auto"/>
            <w:noWrap w:val="0"/>
            <w:vAlign w:val="center"/>
          </w:tcPr>
          <w:p w14:paraId="52886D58">
            <w:r>
              <w:rPr>
                <w:rStyle w:val="10"/>
                <w:rFonts w:hint="eastAsia"/>
              </w:rPr>
              <w:t>总有效成分含量：</w:t>
            </w:r>
            <w:r>
              <w:rPr>
                <w:rFonts w:hint="eastAsia"/>
              </w:rPr>
              <w:t>960克/升</w:t>
            </w:r>
          </w:p>
        </w:tc>
      </w:tr>
      <w:tr w14:paraId="58CEEA4C">
        <w:tblPrEx>
          <w:tblCellMar>
            <w:top w:w="0" w:type="dxa"/>
            <w:left w:w="0" w:type="dxa"/>
            <w:bottom w:w="0" w:type="dxa"/>
            <w:right w:w="0" w:type="dxa"/>
          </w:tblCellMar>
        </w:tblPrEx>
        <w:trPr>
          <w:wBefore w:w="0" w:type="auto"/>
          <w:tblCellSpacing w:w="0" w:type="dxa"/>
        </w:trPr>
        <w:tc>
          <w:tcPr>
            <w:tcW w:w="0" w:type="auto"/>
            <w:noWrap w:val="0"/>
            <w:vAlign w:val="center"/>
          </w:tcPr>
          <w:p w14:paraId="5B784ABD">
            <w:r>
              <w:rPr>
                <w:rFonts w:hint="eastAsia"/>
              </w:rPr>
              <w:t xml:space="preserve">有效成分及其含量： </w:t>
            </w:r>
          </w:p>
          <w:p w14:paraId="294D6661">
            <w:r>
              <w:rPr>
                <w:rFonts w:hint="eastAsia"/>
              </w:rPr>
              <w:t xml:space="preserve">    精异丙甲草胺960克/升    </w:t>
            </w:r>
          </w:p>
        </w:tc>
      </w:tr>
      <w:tr w14:paraId="5570297F">
        <w:tblPrEx>
          <w:tblCellMar>
            <w:top w:w="0" w:type="dxa"/>
            <w:left w:w="0" w:type="dxa"/>
            <w:bottom w:w="0" w:type="dxa"/>
            <w:right w:w="0" w:type="dxa"/>
          </w:tblCellMar>
        </w:tblPrEx>
        <w:trPr>
          <w:wBefore w:w="0" w:type="auto"/>
          <w:tblCellSpacing w:w="0" w:type="dxa"/>
        </w:trPr>
        <w:tc>
          <w:tcPr>
            <w:tcW w:w="0" w:type="auto"/>
            <w:noWrap w:val="0"/>
            <w:vAlign w:val="center"/>
          </w:tcPr>
          <w:p w14:paraId="0F026C1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83F81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19631C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12353D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C0602E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55B6A9A">
                  <w:r>
                    <w:rPr>
                      <w:rStyle w:val="11"/>
                      <w:rFonts w:hint="eastAsia"/>
                    </w:rPr>
                    <w:t>施用方式</w:t>
                  </w:r>
                </w:p>
              </w:tc>
            </w:tr>
            <w:tr w14:paraId="6BB4EC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5A834CA">
                  <w:r>
                    <w:rPr>
                      <w:rStyle w:val="11"/>
                      <w:rFonts w:hint="eastAsia"/>
                    </w:rPr>
                    <w:t>夏玉米田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04BCAC">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895694">
                  <w:r>
                    <w:rPr>
                      <w:rStyle w:val="11"/>
                      <w:rFonts w:hint="eastAsia"/>
                    </w:rPr>
                    <w:t>60-85毫升/亩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8A1AD1">
                  <w:r>
                    <w:rPr>
                      <w:rStyle w:val="11"/>
                      <w:rFonts w:hint="eastAsia"/>
                    </w:rPr>
                    <w:t>土壤喷雾</w:t>
                  </w:r>
                </w:p>
              </w:tc>
            </w:tr>
            <w:tr w14:paraId="6B5D08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6709B5">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A368D7">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03FF07">
                  <w:r>
                    <w:rPr>
                      <w:rStyle w:val="11"/>
                      <w:rFonts w:hint="eastAsia"/>
                    </w:rPr>
                    <w:t>120-150毫升/亩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FF4DCF">
                  <w:r>
                    <w:rPr>
                      <w:rStyle w:val="11"/>
                      <w:rFonts w:hint="eastAsia"/>
                    </w:rPr>
                    <w:t>土壤喷雾</w:t>
                  </w:r>
                </w:p>
              </w:tc>
            </w:tr>
          </w:tbl>
          <w:p w14:paraId="5290CF45">
            <w:pPr>
              <w:rPr>
                <w:rFonts w:ascii="Times New Roman" w:hAnsi="Times New Roman" w:cs="Times New Roman"/>
                <w:sz w:val="20"/>
                <w:szCs w:val="20"/>
              </w:rPr>
            </w:pPr>
          </w:p>
        </w:tc>
      </w:tr>
      <w:tr w14:paraId="5F6B373C">
        <w:tblPrEx>
          <w:tblCellMar>
            <w:top w:w="0" w:type="dxa"/>
            <w:left w:w="0" w:type="dxa"/>
            <w:bottom w:w="0" w:type="dxa"/>
            <w:right w:w="0" w:type="dxa"/>
          </w:tblCellMar>
        </w:tblPrEx>
        <w:trPr>
          <w:wBefore w:w="0" w:type="auto"/>
          <w:tblCellSpacing w:w="0" w:type="dxa"/>
        </w:trPr>
        <w:tc>
          <w:tcPr>
            <w:tcW w:w="0" w:type="auto"/>
            <w:noWrap w:val="0"/>
            <w:vAlign w:val="center"/>
          </w:tcPr>
          <w:p w14:paraId="01FCD2CD">
            <w:r>
              <w:rPr>
                <w:rStyle w:val="10"/>
                <w:rFonts w:hint="eastAsia"/>
              </w:rPr>
              <w:t>使用技术要求:</w:t>
            </w:r>
            <w:r>
              <w:rPr>
                <w:rFonts w:hint="eastAsia"/>
              </w:rPr>
              <w:br w:type="textWrapping"/>
            </w:r>
            <w:r>
              <w:rPr>
                <w:rStyle w:val="11"/>
                <w:rFonts w:hint="eastAsia"/>
              </w:rPr>
              <w:t>在玉米播后苗前进行土壤喷雾。产品每季最多使用1次。</w:t>
            </w:r>
          </w:p>
        </w:tc>
      </w:tr>
      <w:tr w14:paraId="4C1DEE28">
        <w:tblPrEx>
          <w:tblCellMar>
            <w:top w:w="0" w:type="dxa"/>
            <w:left w:w="0" w:type="dxa"/>
            <w:bottom w:w="0" w:type="dxa"/>
            <w:right w:w="0" w:type="dxa"/>
          </w:tblCellMar>
        </w:tblPrEx>
        <w:trPr>
          <w:wBefore w:w="0" w:type="auto"/>
          <w:tblCellSpacing w:w="0" w:type="dxa"/>
        </w:trPr>
        <w:tc>
          <w:tcPr>
            <w:tcW w:w="0" w:type="auto"/>
            <w:noWrap w:val="0"/>
            <w:vAlign w:val="center"/>
          </w:tcPr>
          <w:p w14:paraId="0C3D265D">
            <w:r>
              <w:rPr>
                <w:rStyle w:val="10"/>
                <w:rFonts w:hint="eastAsia"/>
              </w:rPr>
              <w:t>产品性能:</w:t>
            </w:r>
            <w:r>
              <w:rPr>
                <w:rFonts w:hint="eastAsia"/>
              </w:rPr>
              <w:br w:type="textWrapping"/>
            </w:r>
            <w:r>
              <w:rPr>
                <w:rStyle w:val="11"/>
                <w:rFonts w:hint="eastAsia"/>
              </w:rPr>
              <w:t>本品属于酰胺类选择性芽前除草剂，主要抑制发芽种子的蛋白质合成，其次抑制胆碱渗入磷脂，干扰软磷脂形成。能有效防除玉米田一年生禾本科杂草及阔叶杂草。</w:t>
            </w:r>
          </w:p>
        </w:tc>
      </w:tr>
      <w:tr w14:paraId="480062A3">
        <w:tblPrEx>
          <w:tblCellMar>
            <w:top w:w="0" w:type="dxa"/>
            <w:left w:w="0" w:type="dxa"/>
            <w:bottom w:w="0" w:type="dxa"/>
            <w:right w:w="0" w:type="dxa"/>
          </w:tblCellMar>
        </w:tblPrEx>
        <w:trPr>
          <w:wBefore w:w="0" w:type="auto"/>
          <w:tblCellSpacing w:w="0" w:type="dxa"/>
        </w:trPr>
        <w:tc>
          <w:tcPr>
            <w:tcW w:w="0" w:type="auto"/>
            <w:noWrap w:val="0"/>
            <w:vAlign w:val="center"/>
          </w:tcPr>
          <w:p w14:paraId="74667B9F">
            <w:r>
              <w:rPr>
                <w:rStyle w:val="10"/>
                <w:rFonts w:hint="eastAsia"/>
              </w:rPr>
              <w:t>注意事项：</w:t>
            </w:r>
            <w:r>
              <w:rPr>
                <w:rFonts w:hint="eastAsia"/>
              </w:rPr>
              <w:br w:type="textWrapping"/>
            </w:r>
            <w:r>
              <w:rPr>
                <w:rStyle w:val="11"/>
                <w:rFonts w:hint="eastAsia"/>
              </w:rPr>
              <w:t>1、喷雾器械专桶专用，用过的施药器械清洗干净，避免残留药剂对其他作物产生药害。2、使用本品时应穿戴防护服和手套、口罩。施药期间不可吃东西和饮水。施药后应及时洗手和洗脸。3、避免污染水塘等水体，水产养殖区，河塘等水体附近禁用。不要在水体中清洗施药器具。4、对家蚕外围初级风险不可接受，次外围风险可接受，桑园最外围一排作为隔离带降低风险。5、未用完的制剂应放在原包装内密封保存，切勿将本品置于饮食容器内。6、避免孕妇及哺乳期的妇女接触。</w:t>
            </w:r>
          </w:p>
        </w:tc>
      </w:tr>
      <w:tr w14:paraId="520451E8">
        <w:tblPrEx>
          <w:tblCellMar>
            <w:top w:w="0" w:type="dxa"/>
            <w:left w:w="0" w:type="dxa"/>
            <w:bottom w:w="0" w:type="dxa"/>
            <w:right w:w="0" w:type="dxa"/>
          </w:tblCellMar>
        </w:tblPrEx>
        <w:trPr>
          <w:wBefore w:w="0" w:type="auto"/>
          <w:tblCellSpacing w:w="0" w:type="dxa"/>
        </w:trPr>
        <w:tc>
          <w:tcPr>
            <w:tcW w:w="0" w:type="auto"/>
            <w:noWrap w:val="0"/>
            <w:vAlign w:val="center"/>
          </w:tcPr>
          <w:p w14:paraId="355C6CDB">
            <w:r>
              <w:rPr>
                <w:rStyle w:val="10"/>
                <w:rFonts w:hint="eastAsia"/>
              </w:rPr>
              <w:t>中毒急救措施：</w:t>
            </w:r>
            <w:r>
              <w:rPr>
                <w:rFonts w:hint="eastAsia"/>
              </w:rPr>
              <w:br w:type="textWrapping"/>
            </w:r>
            <w:r>
              <w:rPr>
                <w:rStyle w:val="11"/>
                <w:rFonts w:hint="eastAsia"/>
              </w:rPr>
              <w:t>中毒症状：表现为恶心、呕吐等，一旦发生中毒，请对症治疗。 急救措施：1.皮肤接触：立即用肥皂和清水冲洗干净，并换洗被污染的衣服；2.眼睛接触：用足量清水冲洗20分钟，仍有不适，就医；3.吸入：立即漱口，并请医生治疗；4.食入：携带标签立即去医院诊治，无特效解毒剂。</w:t>
            </w:r>
          </w:p>
        </w:tc>
      </w:tr>
      <w:tr w14:paraId="2BC423F5">
        <w:tblPrEx>
          <w:tblCellMar>
            <w:top w:w="0" w:type="dxa"/>
            <w:left w:w="0" w:type="dxa"/>
            <w:bottom w:w="0" w:type="dxa"/>
            <w:right w:w="0" w:type="dxa"/>
          </w:tblCellMar>
        </w:tblPrEx>
        <w:trPr>
          <w:wBefore w:w="0" w:type="auto"/>
          <w:tblCellSpacing w:w="0" w:type="dxa"/>
        </w:trPr>
        <w:tc>
          <w:tcPr>
            <w:tcW w:w="0" w:type="auto"/>
            <w:noWrap w:val="0"/>
            <w:vAlign w:val="center"/>
          </w:tcPr>
          <w:p w14:paraId="731A03A9">
            <w:r>
              <w:rPr>
                <w:rStyle w:val="10"/>
                <w:rFonts w:hint="eastAsia"/>
              </w:rPr>
              <w:t>储存和运输方法：</w:t>
            </w:r>
            <w:r>
              <w:rPr>
                <w:rFonts w:hint="eastAsia"/>
              </w:rPr>
              <w:br w:type="textWrapping"/>
            </w:r>
            <w:r>
              <w:rPr>
                <w:rStyle w:val="11"/>
                <w:rFonts w:hint="eastAsia"/>
              </w:rPr>
              <w:t>1.本品应贮存在干燥、阴凉、通风、防雨处，远离火源或热源。2.本品应置于儿童接触不到的地方，并加锁保存。3.勿与食品、饮料、粮食、饲料等其他商品同贮同运。4.运输时，防雨防潮；装卸时，轻卸轻放。</w:t>
            </w:r>
          </w:p>
        </w:tc>
      </w:tr>
      <w:tr w14:paraId="689C02CA">
        <w:tblPrEx>
          <w:tblCellMar>
            <w:top w:w="0" w:type="dxa"/>
            <w:left w:w="0" w:type="dxa"/>
            <w:bottom w:w="0" w:type="dxa"/>
            <w:right w:w="0" w:type="dxa"/>
          </w:tblCellMar>
        </w:tblPrEx>
        <w:trPr>
          <w:wBefore w:w="0" w:type="auto"/>
          <w:tblCellSpacing w:w="0" w:type="dxa"/>
        </w:trPr>
        <w:tc>
          <w:tcPr>
            <w:tcW w:w="0" w:type="auto"/>
            <w:noWrap w:val="0"/>
            <w:vAlign w:val="center"/>
          </w:tcPr>
          <w:p w14:paraId="3BE52DF0">
            <w:r>
              <w:rPr>
                <w:rStyle w:val="10"/>
                <w:rFonts w:hint="eastAsia"/>
              </w:rPr>
              <w:t>质量保证期：</w:t>
            </w:r>
            <w:r>
              <w:rPr>
                <w:rStyle w:val="11"/>
                <w:rFonts w:hint="eastAsia"/>
              </w:rPr>
              <w:t>2年</w:t>
            </w:r>
          </w:p>
        </w:tc>
      </w:tr>
      <w:tr w14:paraId="238385CC">
        <w:tblPrEx>
          <w:tblCellMar>
            <w:top w:w="0" w:type="dxa"/>
            <w:left w:w="0" w:type="dxa"/>
            <w:bottom w:w="0" w:type="dxa"/>
            <w:right w:w="0" w:type="dxa"/>
          </w:tblCellMar>
        </w:tblPrEx>
        <w:trPr>
          <w:wBefore w:w="0" w:type="auto"/>
          <w:tblCellSpacing w:w="0" w:type="dxa"/>
        </w:trPr>
        <w:tc>
          <w:tcPr>
            <w:tcW w:w="0" w:type="auto"/>
            <w:noWrap w:val="0"/>
            <w:vAlign w:val="center"/>
          </w:tcPr>
          <w:p w14:paraId="535F73FF">
            <w:r>
              <w:rPr>
                <w:rStyle w:val="10"/>
                <w:rFonts w:hint="eastAsia"/>
              </w:rPr>
              <w:t>备注：</w:t>
            </w:r>
          </w:p>
        </w:tc>
      </w:tr>
    </w:tbl>
    <w:p w14:paraId="3264CD0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0296638">
        <w:tblPrEx>
          <w:tblCellMar>
            <w:top w:w="0" w:type="dxa"/>
            <w:left w:w="0" w:type="dxa"/>
            <w:bottom w:w="0" w:type="dxa"/>
            <w:right w:w="0" w:type="dxa"/>
          </w:tblCellMar>
        </w:tblPrEx>
        <w:trPr>
          <w:wBefore w:w="0" w:type="auto"/>
          <w:tblCellSpacing w:w="0" w:type="dxa"/>
        </w:trPr>
        <w:tc>
          <w:tcPr>
            <w:tcW w:w="0" w:type="auto"/>
            <w:noWrap w:val="0"/>
            <w:vAlign w:val="center"/>
          </w:tcPr>
          <w:p w14:paraId="29FBDA9B">
            <w:r>
              <w:rPr>
                <w:rStyle w:val="10"/>
                <w:rFonts w:hint="eastAsia"/>
              </w:rPr>
              <w:t>登记证号：</w:t>
            </w:r>
            <w:r>
              <w:rPr>
                <w:rFonts w:hint="eastAsia"/>
              </w:rPr>
              <w:t>WP20210249</w:t>
            </w:r>
          </w:p>
        </w:tc>
      </w:tr>
      <w:tr w14:paraId="7FEA0BC1">
        <w:tblPrEx>
          <w:tblCellMar>
            <w:top w:w="0" w:type="dxa"/>
            <w:left w:w="0" w:type="dxa"/>
            <w:bottom w:w="0" w:type="dxa"/>
            <w:right w:w="0" w:type="dxa"/>
          </w:tblCellMar>
        </w:tblPrEx>
        <w:trPr>
          <w:wBefore w:w="0" w:type="auto"/>
          <w:tblCellSpacing w:w="0" w:type="dxa"/>
        </w:trPr>
        <w:tc>
          <w:tcPr>
            <w:tcW w:w="0" w:type="auto"/>
            <w:noWrap w:val="0"/>
            <w:vAlign w:val="center"/>
          </w:tcPr>
          <w:p w14:paraId="5387E3A2">
            <w:r>
              <w:rPr>
                <w:rStyle w:val="10"/>
                <w:rFonts w:hint="eastAsia"/>
              </w:rPr>
              <w:t>登记证持有人：</w:t>
            </w:r>
            <w:r>
              <w:rPr>
                <w:rFonts w:hint="eastAsia"/>
              </w:rPr>
              <w:t>陕西汤普森生物科技有限公司</w:t>
            </w:r>
          </w:p>
        </w:tc>
      </w:tr>
      <w:tr w14:paraId="42907D8F">
        <w:tblPrEx>
          <w:tblCellMar>
            <w:top w:w="0" w:type="dxa"/>
            <w:left w:w="0" w:type="dxa"/>
            <w:bottom w:w="0" w:type="dxa"/>
            <w:right w:w="0" w:type="dxa"/>
          </w:tblCellMar>
        </w:tblPrEx>
        <w:trPr>
          <w:wBefore w:w="0" w:type="auto"/>
          <w:tblCellSpacing w:w="0" w:type="dxa"/>
        </w:trPr>
        <w:tc>
          <w:tcPr>
            <w:tcW w:w="0" w:type="auto"/>
            <w:noWrap w:val="0"/>
            <w:vAlign w:val="center"/>
          </w:tcPr>
          <w:p w14:paraId="42EC514F">
            <w:r>
              <w:rPr>
                <w:rStyle w:val="10"/>
                <w:rFonts w:hint="eastAsia"/>
              </w:rPr>
              <w:t>农药名称：</w:t>
            </w:r>
            <w:r>
              <w:rPr>
                <w:rFonts w:hint="eastAsia"/>
              </w:rPr>
              <w:t>吡丙醚</w:t>
            </w:r>
          </w:p>
        </w:tc>
      </w:tr>
      <w:tr w14:paraId="053C23D4">
        <w:tblPrEx>
          <w:tblCellMar>
            <w:top w:w="0" w:type="dxa"/>
            <w:left w:w="0" w:type="dxa"/>
            <w:bottom w:w="0" w:type="dxa"/>
            <w:right w:w="0" w:type="dxa"/>
          </w:tblCellMar>
        </w:tblPrEx>
        <w:trPr>
          <w:wBefore w:w="0" w:type="auto"/>
          <w:tblCellSpacing w:w="0" w:type="dxa"/>
        </w:trPr>
        <w:tc>
          <w:tcPr>
            <w:tcW w:w="0" w:type="auto"/>
            <w:noWrap w:val="0"/>
            <w:vAlign w:val="center"/>
          </w:tcPr>
          <w:p w14:paraId="45A398F3">
            <w:r>
              <w:rPr>
                <w:rStyle w:val="10"/>
                <w:rFonts w:hint="eastAsia"/>
              </w:rPr>
              <w:t>剂型：</w:t>
            </w:r>
            <w:r>
              <w:rPr>
                <w:rFonts w:hint="eastAsia"/>
              </w:rPr>
              <w:t>水分散粒剂</w:t>
            </w:r>
          </w:p>
        </w:tc>
      </w:tr>
      <w:tr w14:paraId="7E114151">
        <w:tblPrEx>
          <w:tblCellMar>
            <w:top w:w="0" w:type="dxa"/>
            <w:left w:w="0" w:type="dxa"/>
            <w:bottom w:w="0" w:type="dxa"/>
            <w:right w:w="0" w:type="dxa"/>
          </w:tblCellMar>
        </w:tblPrEx>
        <w:trPr>
          <w:wBefore w:w="0" w:type="auto"/>
          <w:tblCellSpacing w:w="0" w:type="dxa"/>
        </w:trPr>
        <w:tc>
          <w:tcPr>
            <w:tcW w:w="0" w:type="auto"/>
            <w:noWrap w:val="0"/>
            <w:vAlign w:val="center"/>
          </w:tcPr>
          <w:p w14:paraId="222253D6">
            <w:r>
              <w:rPr>
                <w:rStyle w:val="10"/>
                <w:rFonts w:hint="eastAsia"/>
              </w:rPr>
              <w:t>毒性及其标识：</w:t>
            </w:r>
            <w:r>
              <w:rPr>
                <w:rFonts w:hint="eastAsia"/>
              </w:rPr>
              <w:t xml:space="preserve"> </w:t>
            </w:r>
            <w:r>
              <w:rPr>
                <w:lang/>
              </w:rPr>
              <w:drawing>
                <wp:inline distT="0" distB="0" distL="114300" distR="114300">
                  <wp:extent cx="476250" cy="323850"/>
                  <wp:effectExtent l="0" t="0" r="0" b="0"/>
                  <wp:docPr id="517" name="图片 51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AFDCAD4">
        <w:tblPrEx>
          <w:tblCellMar>
            <w:top w:w="0" w:type="dxa"/>
            <w:left w:w="0" w:type="dxa"/>
            <w:bottom w:w="0" w:type="dxa"/>
            <w:right w:w="0" w:type="dxa"/>
          </w:tblCellMar>
        </w:tblPrEx>
        <w:trPr>
          <w:wBefore w:w="0" w:type="auto"/>
          <w:tblCellSpacing w:w="0" w:type="dxa"/>
        </w:trPr>
        <w:tc>
          <w:tcPr>
            <w:tcW w:w="0" w:type="auto"/>
            <w:noWrap w:val="0"/>
            <w:vAlign w:val="center"/>
          </w:tcPr>
          <w:p w14:paraId="7FD7068B">
            <w:r>
              <w:rPr>
                <w:rStyle w:val="10"/>
                <w:rFonts w:hint="eastAsia"/>
              </w:rPr>
              <w:t>总有效成分含量：</w:t>
            </w:r>
            <w:r>
              <w:rPr>
                <w:rFonts w:hint="eastAsia"/>
              </w:rPr>
              <w:t>20%</w:t>
            </w:r>
          </w:p>
        </w:tc>
      </w:tr>
      <w:tr w14:paraId="7DFDA9EB">
        <w:tblPrEx>
          <w:tblCellMar>
            <w:top w:w="0" w:type="dxa"/>
            <w:left w:w="0" w:type="dxa"/>
            <w:bottom w:w="0" w:type="dxa"/>
            <w:right w:w="0" w:type="dxa"/>
          </w:tblCellMar>
        </w:tblPrEx>
        <w:trPr>
          <w:wBefore w:w="0" w:type="auto"/>
          <w:tblCellSpacing w:w="0" w:type="dxa"/>
        </w:trPr>
        <w:tc>
          <w:tcPr>
            <w:tcW w:w="0" w:type="auto"/>
            <w:noWrap w:val="0"/>
            <w:vAlign w:val="center"/>
          </w:tcPr>
          <w:p w14:paraId="529936CD">
            <w:r>
              <w:rPr>
                <w:rFonts w:hint="eastAsia"/>
              </w:rPr>
              <w:t xml:space="preserve">有效成分及其含量： </w:t>
            </w:r>
          </w:p>
          <w:p w14:paraId="23ADD3DB">
            <w:r>
              <w:rPr>
                <w:rFonts w:hint="eastAsia"/>
              </w:rPr>
              <w:t xml:space="preserve">    吡丙醚20%    </w:t>
            </w:r>
          </w:p>
        </w:tc>
      </w:tr>
      <w:tr w14:paraId="322FA16A">
        <w:tblPrEx>
          <w:tblCellMar>
            <w:top w:w="0" w:type="dxa"/>
            <w:left w:w="0" w:type="dxa"/>
            <w:bottom w:w="0" w:type="dxa"/>
            <w:right w:w="0" w:type="dxa"/>
          </w:tblCellMar>
        </w:tblPrEx>
        <w:trPr>
          <w:wBefore w:w="0" w:type="auto"/>
          <w:tblCellSpacing w:w="0" w:type="dxa"/>
        </w:trPr>
        <w:tc>
          <w:tcPr>
            <w:tcW w:w="0" w:type="auto"/>
            <w:noWrap w:val="0"/>
            <w:vAlign w:val="center"/>
          </w:tcPr>
          <w:p w14:paraId="0671FF9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CB51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5D3E90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736D5F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281E3F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39E89CB">
                  <w:r>
                    <w:rPr>
                      <w:rStyle w:val="11"/>
                      <w:rFonts w:hint="eastAsia"/>
                    </w:rPr>
                    <w:t>施用方式</w:t>
                  </w:r>
                </w:p>
              </w:tc>
            </w:tr>
            <w:tr w14:paraId="393DDF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B19596">
                  <w:r>
                    <w:rPr>
                      <w:rStyle w:val="11"/>
                      <w:rFonts w:hint="eastAsia"/>
                    </w:rPr>
                    <w:t>室外（孳生地）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5FA576">
                  <w:r>
                    <w:rPr>
                      <w:rStyle w:val="11"/>
                      <w:rFonts w:hint="eastAsia"/>
                    </w:rPr>
                    <w:t>蝇(幼虫)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FEF12C">
                  <w:r>
                    <w:rPr>
                      <w:rStyle w:val="11"/>
                      <w:rFonts w:hint="eastAsia"/>
                    </w:rPr>
                    <w:t>1克/平方米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A94764">
                  <w:r>
                    <w:rPr>
                      <w:rStyle w:val="11"/>
                      <w:rFonts w:hint="eastAsia"/>
                    </w:rPr>
                    <w:t>喷洒</w:t>
                  </w:r>
                </w:p>
              </w:tc>
            </w:tr>
          </w:tbl>
          <w:p w14:paraId="6E815749">
            <w:pPr>
              <w:rPr>
                <w:rFonts w:ascii="Times New Roman" w:hAnsi="Times New Roman" w:cs="Times New Roman"/>
                <w:sz w:val="20"/>
                <w:szCs w:val="20"/>
              </w:rPr>
            </w:pPr>
          </w:p>
        </w:tc>
      </w:tr>
      <w:tr w14:paraId="696A6D85">
        <w:tblPrEx>
          <w:tblCellMar>
            <w:top w:w="0" w:type="dxa"/>
            <w:left w:w="0" w:type="dxa"/>
            <w:bottom w:w="0" w:type="dxa"/>
            <w:right w:w="0" w:type="dxa"/>
          </w:tblCellMar>
        </w:tblPrEx>
        <w:trPr>
          <w:wBefore w:w="0" w:type="auto"/>
          <w:tblCellSpacing w:w="0" w:type="dxa"/>
        </w:trPr>
        <w:tc>
          <w:tcPr>
            <w:tcW w:w="0" w:type="auto"/>
            <w:noWrap w:val="0"/>
            <w:vAlign w:val="center"/>
          </w:tcPr>
          <w:p w14:paraId="61537260">
            <w:r>
              <w:rPr>
                <w:rStyle w:val="10"/>
                <w:rFonts w:hint="eastAsia"/>
              </w:rPr>
              <w:t>使用技术要求:</w:t>
            </w:r>
            <w:r>
              <w:rPr>
                <w:rFonts w:hint="eastAsia"/>
              </w:rPr>
              <w:br w:type="textWrapping"/>
            </w:r>
            <w:r>
              <w:rPr>
                <w:rStyle w:val="11"/>
                <w:rFonts w:hint="eastAsia"/>
              </w:rPr>
              <w:t>将本品按照登记用药量，稀释后全面均匀喷洒于蝇幼虫聚集区或所需处理的苍蝇孳生地。</w:t>
            </w:r>
          </w:p>
        </w:tc>
      </w:tr>
      <w:tr w14:paraId="51CC7D1E">
        <w:tblPrEx>
          <w:tblCellMar>
            <w:top w:w="0" w:type="dxa"/>
            <w:left w:w="0" w:type="dxa"/>
            <w:bottom w:w="0" w:type="dxa"/>
            <w:right w:w="0" w:type="dxa"/>
          </w:tblCellMar>
        </w:tblPrEx>
        <w:trPr>
          <w:wBefore w:w="0" w:type="auto"/>
          <w:tblCellSpacing w:w="0" w:type="dxa"/>
        </w:trPr>
        <w:tc>
          <w:tcPr>
            <w:tcW w:w="0" w:type="auto"/>
            <w:noWrap w:val="0"/>
            <w:vAlign w:val="center"/>
          </w:tcPr>
          <w:p w14:paraId="2273A776">
            <w:r>
              <w:rPr>
                <w:rStyle w:val="10"/>
                <w:rFonts w:hint="eastAsia"/>
              </w:rPr>
              <w:t>产品性能:</w:t>
            </w:r>
            <w:r>
              <w:rPr>
                <w:rFonts w:hint="eastAsia"/>
              </w:rPr>
              <w:br w:type="textWrapping"/>
            </w:r>
            <w:r>
              <w:rPr>
                <w:rStyle w:val="11"/>
                <w:rFonts w:hint="eastAsia"/>
              </w:rPr>
              <w:t>本品是保幼激素类型的几丁质合成抑制剂，具有杀卵作用，可以抑制胚胎发育及卵的孵化或生成没有生活能力的卵。对蝇幼虫有较好的防治效果。</w:t>
            </w:r>
          </w:p>
        </w:tc>
      </w:tr>
      <w:tr w14:paraId="41160FD4">
        <w:tblPrEx>
          <w:tblCellMar>
            <w:top w:w="0" w:type="dxa"/>
            <w:left w:w="0" w:type="dxa"/>
            <w:bottom w:w="0" w:type="dxa"/>
            <w:right w:w="0" w:type="dxa"/>
          </w:tblCellMar>
        </w:tblPrEx>
        <w:trPr>
          <w:wBefore w:w="0" w:type="auto"/>
          <w:tblCellSpacing w:w="0" w:type="dxa"/>
        </w:trPr>
        <w:tc>
          <w:tcPr>
            <w:tcW w:w="0" w:type="auto"/>
            <w:noWrap w:val="0"/>
            <w:vAlign w:val="center"/>
          </w:tcPr>
          <w:p w14:paraId="51B724BE">
            <w:r>
              <w:rPr>
                <w:rStyle w:val="10"/>
                <w:rFonts w:hint="eastAsia"/>
              </w:rPr>
              <w:t>注意事项：</w:t>
            </w:r>
            <w:r>
              <w:rPr>
                <w:rFonts w:hint="eastAsia"/>
              </w:rPr>
              <w:br w:type="textWrapping"/>
            </w:r>
            <w:r>
              <w:rPr>
                <w:rStyle w:val="11"/>
                <w:rFonts w:hint="eastAsia"/>
              </w:rPr>
              <w:t>1.应现配现用，配好的药液不宜存放太久。 2.严格按规定用药量和方法使用。 3.本品对鱼、水溞、藻类有毒，蚕室及桑园附近禁用；水产养殖区、河塘等水体附近禁用，禁止在河塘等水体中清洗施药器具。 4.（周围）开花植物花期禁用；鸟类保护区附近禁用。 5.对眼睛有轻度至中度刺激性，使用时穿戴长衣长裤、帽子、口罩、手套、鞋等安全防护措施。施药期间不可吃东西、饮水、吸烟等；施药后应及时洗手、洗脸并洗涤施药时穿着的衣物。 6.使用本品时应穿防护服和戴手套，避免吸入药液。施药期间不可东西和饮水。施药后应及时洗手和洗脸。 7.孕妇及哺乳期妇女禁止接触本品。 8. 用过的容器应妥善处理，不可做他用，也不可随意丢弃。</w:t>
            </w:r>
          </w:p>
        </w:tc>
      </w:tr>
      <w:tr w14:paraId="75F2E156">
        <w:tblPrEx>
          <w:tblCellMar>
            <w:top w:w="0" w:type="dxa"/>
            <w:left w:w="0" w:type="dxa"/>
            <w:bottom w:w="0" w:type="dxa"/>
            <w:right w:w="0" w:type="dxa"/>
          </w:tblCellMar>
        </w:tblPrEx>
        <w:trPr>
          <w:wBefore w:w="0" w:type="auto"/>
          <w:tblCellSpacing w:w="0" w:type="dxa"/>
        </w:trPr>
        <w:tc>
          <w:tcPr>
            <w:tcW w:w="0" w:type="auto"/>
            <w:noWrap w:val="0"/>
            <w:vAlign w:val="center"/>
          </w:tcPr>
          <w:p w14:paraId="01EA603D">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272E9364">
        <w:tblPrEx>
          <w:tblCellMar>
            <w:top w:w="0" w:type="dxa"/>
            <w:left w:w="0" w:type="dxa"/>
            <w:bottom w:w="0" w:type="dxa"/>
            <w:right w:w="0" w:type="dxa"/>
          </w:tblCellMar>
        </w:tblPrEx>
        <w:trPr>
          <w:wBefore w:w="0" w:type="auto"/>
          <w:tblCellSpacing w:w="0" w:type="dxa"/>
        </w:trPr>
        <w:tc>
          <w:tcPr>
            <w:tcW w:w="0" w:type="auto"/>
            <w:noWrap w:val="0"/>
            <w:vAlign w:val="center"/>
          </w:tcPr>
          <w:p w14:paraId="720B52DE">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本品应贮存在干燥、阴凉、通风、防雨处，远离火源或热源。置于儿童、无关人员及动物触及不到之处，并加锁保存。勿与食品、种子、饮料、粮食、饲料等其他商品同贮同运。</w:t>
            </w:r>
          </w:p>
        </w:tc>
      </w:tr>
      <w:tr w14:paraId="1AF68D28">
        <w:tblPrEx>
          <w:tblCellMar>
            <w:top w:w="0" w:type="dxa"/>
            <w:left w:w="0" w:type="dxa"/>
            <w:bottom w:w="0" w:type="dxa"/>
            <w:right w:w="0" w:type="dxa"/>
          </w:tblCellMar>
        </w:tblPrEx>
        <w:trPr>
          <w:wBefore w:w="0" w:type="auto"/>
          <w:tblCellSpacing w:w="0" w:type="dxa"/>
        </w:trPr>
        <w:tc>
          <w:tcPr>
            <w:tcW w:w="0" w:type="auto"/>
            <w:noWrap w:val="0"/>
            <w:vAlign w:val="center"/>
          </w:tcPr>
          <w:p w14:paraId="0F31FED4">
            <w:r>
              <w:rPr>
                <w:rStyle w:val="10"/>
                <w:rFonts w:hint="eastAsia"/>
              </w:rPr>
              <w:t>质量保证期：</w:t>
            </w:r>
            <w:r>
              <w:rPr>
                <w:rStyle w:val="11"/>
                <w:rFonts w:hint="eastAsia"/>
              </w:rPr>
              <w:t>2年</w:t>
            </w:r>
          </w:p>
        </w:tc>
      </w:tr>
      <w:tr w14:paraId="578E2300">
        <w:tblPrEx>
          <w:tblCellMar>
            <w:top w:w="0" w:type="dxa"/>
            <w:left w:w="0" w:type="dxa"/>
            <w:bottom w:w="0" w:type="dxa"/>
            <w:right w:w="0" w:type="dxa"/>
          </w:tblCellMar>
        </w:tblPrEx>
        <w:trPr>
          <w:wBefore w:w="0" w:type="auto"/>
          <w:tblCellSpacing w:w="0" w:type="dxa"/>
        </w:trPr>
        <w:tc>
          <w:tcPr>
            <w:tcW w:w="0" w:type="auto"/>
            <w:noWrap w:val="0"/>
            <w:vAlign w:val="center"/>
          </w:tcPr>
          <w:p w14:paraId="6519A4FE">
            <w:r>
              <w:rPr>
                <w:rStyle w:val="10"/>
                <w:rFonts w:hint="eastAsia"/>
              </w:rPr>
              <w:t>备注：</w:t>
            </w:r>
          </w:p>
        </w:tc>
      </w:tr>
    </w:tbl>
    <w:p w14:paraId="5D11C53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2EF590F">
        <w:tblPrEx>
          <w:tblCellMar>
            <w:top w:w="0" w:type="dxa"/>
            <w:left w:w="0" w:type="dxa"/>
            <w:bottom w:w="0" w:type="dxa"/>
            <w:right w:w="0" w:type="dxa"/>
          </w:tblCellMar>
        </w:tblPrEx>
        <w:trPr>
          <w:wBefore w:w="0" w:type="auto"/>
          <w:tblCellSpacing w:w="0" w:type="dxa"/>
        </w:trPr>
        <w:tc>
          <w:tcPr>
            <w:tcW w:w="0" w:type="auto"/>
            <w:noWrap w:val="0"/>
            <w:vAlign w:val="center"/>
          </w:tcPr>
          <w:p w14:paraId="3523B4F2">
            <w:r>
              <w:rPr>
                <w:rStyle w:val="10"/>
                <w:rFonts w:hint="eastAsia"/>
              </w:rPr>
              <w:t>登记证号：</w:t>
            </w:r>
            <w:r>
              <w:rPr>
                <w:rFonts w:hint="eastAsia"/>
              </w:rPr>
              <w:t>PD20212234</w:t>
            </w:r>
          </w:p>
        </w:tc>
      </w:tr>
      <w:tr w14:paraId="6D2B9A30">
        <w:tblPrEx>
          <w:tblCellMar>
            <w:top w:w="0" w:type="dxa"/>
            <w:left w:w="0" w:type="dxa"/>
            <w:bottom w:w="0" w:type="dxa"/>
            <w:right w:w="0" w:type="dxa"/>
          </w:tblCellMar>
        </w:tblPrEx>
        <w:trPr>
          <w:wBefore w:w="0" w:type="auto"/>
          <w:tblCellSpacing w:w="0" w:type="dxa"/>
        </w:trPr>
        <w:tc>
          <w:tcPr>
            <w:tcW w:w="0" w:type="auto"/>
            <w:noWrap w:val="0"/>
            <w:vAlign w:val="center"/>
          </w:tcPr>
          <w:p w14:paraId="10B65A2A">
            <w:r>
              <w:rPr>
                <w:rStyle w:val="10"/>
                <w:rFonts w:hint="eastAsia"/>
              </w:rPr>
              <w:t>登记证持有人：</w:t>
            </w:r>
            <w:r>
              <w:rPr>
                <w:rFonts w:hint="eastAsia"/>
              </w:rPr>
              <w:t>四川龙田丰生化有限公司</w:t>
            </w:r>
          </w:p>
        </w:tc>
      </w:tr>
      <w:tr w14:paraId="72112053">
        <w:tblPrEx>
          <w:tblCellMar>
            <w:top w:w="0" w:type="dxa"/>
            <w:left w:w="0" w:type="dxa"/>
            <w:bottom w:w="0" w:type="dxa"/>
            <w:right w:w="0" w:type="dxa"/>
          </w:tblCellMar>
        </w:tblPrEx>
        <w:trPr>
          <w:wBefore w:w="0" w:type="auto"/>
          <w:tblCellSpacing w:w="0" w:type="dxa"/>
        </w:trPr>
        <w:tc>
          <w:tcPr>
            <w:tcW w:w="0" w:type="auto"/>
            <w:noWrap w:val="0"/>
            <w:vAlign w:val="center"/>
          </w:tcPr>
          <w:p w14:paraId="6DE003D4">
            <w:r>
              <w:rPr>
                <w:rStyle w:val="10"/>
                <w:rFonts w:hint="eastAsia"/>
              </w:rPr>
              <w:t>农药名称：</w:t>
            </w:r>
            <w:r>
              <w:rPr>
                <w:rFonts w:hint="eastAsia"/>
              </w:rPr>
              <w:t>精草铵膦铵盐</w:t>
            </w:r>
          </w:p>
        </w:tc>
      </w:tr>
      <w:tr w14:paraId="3DA4FD61">
        <w:tblPrEx>
          <w:tblCellMar>
            <w:top w:w="0" w:type="dxa"/>
            <w:left w:w="0" w:type="dxa"/>
            <w:bottom w:w="0" w:type="dxa"/>
            <w:right w:w="0" w:type="dxa"/>
          </w:tblCellMar>
        </w:tblPrEx>
        <w:trPr>
          <w:wBefore w:w="0" w:type="auto"/>
          <w:tblCellSpacing w:w="0" w:type="dxa"/>
        </w:trPr>
        <w:tc>
          <w:tcPr>
            <w:tcW w:w="0" w:type="auto"/>
            <w:noWrap w:val="0"/>
            <w:vAlign w:val="center"/>
          </w:tcPr>
          <w:p w14:paraId="4A3A4574">
            <w:r>
              <w:rPr>
                <w:rStyle w:val="10"/>
                <w:rFonts w:hint="eastAsia"/>
              </w:rPr>
              <w:t>剂型：</w:t>
            </w:r>
            <w:r>
              <w:rPr>
                <w:rFonts w:hint="eastAsia"/>
              </w:rPr>
              <w:t>可溶液剂</w:t>
            </w:r>
          </w:p>
        </w:tc>
      </w:tr>
      <w:tr w14:paraId="3F1B3FA5">
        <w:tblPrEx>
          <w:tblCellMar>
            <w:top w:w="0" w:type="dxa"/>
            <w:left w:w="0" w:type="dxa"/>
            <w:bottom w:w="0" w:type="dxa"/>
            <w:right w:w="0" w:type="dxa"/>
          </w:tblCellMar>
        </w:tblPrEx>
        <w:trPr>
          <w:wBefore w:w="0" w:type="auto"/>
          <w:tblCellSpacing w:w="0" w:type="dxa"/>
        </w:trPr>
        <w:tc>
          <w:tcPr>
            <w:tcW w:w="0" w:type="auto"/>
            <w:noWrap w:val="0"/>
            <w:vAlign w:val="center"/>
          </w:tcPr>
          <w:p w14:paraId="79967E9A">
            <w:r>
              <w:rPr>
                <w:rStyle w:val="10"/>
                <w:rFonts w:hint="eastAsia"/>
              </w:rPr>
              <w:t>毒性及其标识：</w:t>
            </w:r>
            <w:r>
              <w:rPr>
                <w:rFonts w:hint="eastAsia"/>
              </w:rPr>
              <w:t xml:space="preserve"> </w:t>
            </w:r>
            <w:r>
              <w:rPr>
                <w:lang/>
              </w:rPr>
              <w:drawing>
                <wp:inline distT="0" distB="0" distL="114300" distR="114300">
                  <wp:extent cx="476250" cy="323850"/>
                  <wp:effectExtent l="0" t="0" r="0" b="0"/>
                  <wp:docPr id="518" name="图片 51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C2F12E0">
        <w:tblPrEx>
          <w:tblCellMar>
            <w:top w:w="0" w:type="dxa"/>
            <w:left w:w="0" w:type="dxa"/>
            <w:bottom w:w="0" w:type="dxa"/>
            <w:right w:w="0" w:type="dxa"/>
          </w:tblCellMar>
        </w:tblPrEx>
        <w:trPr>
          <w:wBefore w:w="0" w:type="auto"/>
          <w:tblCellSpacing w:w="0" w:type="dxa"/>
        </w:trPr>
        <w:tc>
          <w:tcPr>
            <w:tcW w:w="0" w:type="auto"/>
            <w:noWrap w:val="0"/>
            <w:vAlign w:val="center"/>
          </w:tcPr>
          <w:p w14:paraId="3996BD06">
            <w:r>
              <w:rPr>
                <w:rStyle w:val="10"/>
                <w:rFonts w:hint="eastAsia"/>
              </w:rPr>
              <w:t>总有效成分含量：</w:t>
            </w:r>
            <w:r>
              <w:rPr>
                <w:rFonts w:hint="eastAsia"/>
              </w:rPr>
              <w:t>20%</w:t>
            </w:r>
          </w:p>
        </w:tc>
      </w:tr>
      <w:tr w14:paraId="30330532">
        <w:tblPrEx>
          <w:tblCellMar>
            <w:top w:w="0" w:type="dxa"/>
            <w:left w:w="0" w:type="dxa"/>
            <w:bottom w:w="0" w:type="dxa"/>
            <w:right w:w="0" w:type="dxa"/>
          </w:tblCellMar>
        </w:tblPrEx>
        <w:trPr>
          <w:wBefore w:w="0" w:type="auto"/>
          <w:tblCellSpacing w:w="0" w:type="dxa"/>
        </w:trPr>
        <w:tc>
          <w:tcPr>
            <w:tcW w:w="0" w:type="auto"/>
            <w:noWrap w:val="0"/>
            <w:vAlign w:val="center"/>
          </w:tcPr>
          <w:p w14:paraId="64DEEBFC">
            <w:r>
              <w:rPr>
                <w:rFonts w:hint="eastAsia"/>
              </w:rPr>
              <w:t xml:space="preserve">有效成分及其含量： </w:t>
            </w:r>
          </w:p>
          <w:p w14:paraId="0AB31F66">
            <w:r>
              <w:rPr>
                <w:rFonts w:hint="eastAsia"/>
              </w:rPr>
              <w:t xml:space="preserve">    精草铵膦20%    </w:t>
            </w:r>
          </w:p>
        </w:tc>
      </w:tr>
      <w:tr w14:paraId="5339C272">
        <w:tblPrEx>
          <w:tblCellMar>
            <w:top w:w="0" w:type="dxa"/>
            <w:left w:w="0" w:type="dxa"/>
            <w:bottom w:w="0" w:type="dxa"/>
            <w:right w:w="0" w:type="dxa"/>
          </w:tblCellMar>
        </w:tblPrEx>
        <w:trPr>
          <w:wBefore w:w="0" w:type="auto"/>
          <w:tblCellSpacing w:w="0" w:type="dxa"/>
        </w:trPr>
        <w:tc>
          <w:tcPr>
            <w:tcW w:w="0" w:type="auto"/>
            <w:noWrap w:val="0"/>
            <w:vAlign w:val="center"/>
          </w:tcPr>
          <w:p w14:paraId="2873BCA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93ED7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9C09EB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DBB6F2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EEBFAB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B00E01E">
                  <w:r>
                    <w:rPr>
                      <w:rStyle w:val="11"/>
                      <w:rFonts w:hint="eastAsia"/>
                    </w:rPr>
                    <w:t>施用方式</w:t>
                  </w:r>
                </w:p>
              </w:tc>
            </w:tr>
            <w:tr w14:paraId="1832F2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67DE992">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942ABB">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8A7A1A">
                  <w:r>
                    <w:rPr>
                      <w:rStyle w:val="11"/>
                      <w:rFonts w:hint="eastAsia"/>
                    </w:rPr>
                    <w:t>100-150毫升/亩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312422">
                  <w:r>
                    <w:rPr>
                      <w:rStyle w:val="11"/>
                      <w:rFonts w:hint="eastAsia"/>
                    </w:rPr>
                    <w:t>茎叶喷雾</w:t>
                  </w:r>
                </w:p>
              </w:tc>
            </w:tr>
          </w:tbl>
          <w:p w14:paraId="6CE87C36">
            <w:pPr>
              <w:rPr>
                <w:rFonts w:ascii="Times New Roman" w:hAnsi="Times New Roman" w:cs="Times New Roman"/>
                <w:sz w:val="20"/>
                <w:szCs w:val="20"/>
              </w:rPr>
            </w:pPr>
          </w:p>
        </w:tc>
      </w:tr>
      <w:tr w14:paraId="01E39D45">
        <w:tblPrEx>
          <w:tblCellMar>
            <w:top w:w="0" w:type="dxa"/>
            <w:left w:w="0" w:type="dxa"/>
            <w:bottom w:w="0" w:type="dxa"/>
            <w:right w:w="0" w:type="dxa"/>
          </w:tblCellMar>
        </w:tblPrEx>
        <w:trPr>
          <w:wBefore w:w="0" w:type="auto"/>
          <w:tblCellSpacing w:w="0" w:type="dxa"/>
        </w:trPr>
        <w:tc>
          <w:tcPr>
            <w:tcW w:w="0" w:type="auto"/>
            <w:noWrap w:val="0"/>
            <w:vAlign w:val="center"/>
          </w:tcPr>
          <w:p w14:paraId="42BD3613">
            <w:r>
              <w:rPr>
                <w:rStyle w:val="10"/>
                <w:rFonts w:hint="eastAsia"/>
              </w:rPr>
              <w:t>使用技术要求:</w:t>
            </w:r>
            <w:r>
              <w:rPr>
                <w:rFonts w:hint="eastAsia"/>
              </w:rPr>
              <w:br w:type="textWrapping"/>
            </w:r>
            <w:r>
              <w:rPr>
                <w:rStyle w:val="11"/>
                <w:rFonts w:hint="eastAsia"/>
              </w:rPr>
              <w:t>于非耕地杂草生长旺盛期，定向茎叶喷雾施药。确保杂草喷湿喷透。若杂草草龄较大或杂草密度较大时应使用高剂量。禁止在田间道路、田埂、果树行间、休耕地、林场林地等农林业区域使用。</w:t>
            </w:r>
          </w:p>
        </w:tc>
      </w:tr>
      <w:tr w14:paraId="69729611">
        <w:tblPrEx>
          <w:tblCellMar>
            <w:top w:w="0" w:type="dxa"/>
            <w:left w:w="0" w:type="dxa"/>
            <w:bottom w:w="0" w:type="dxa"/>
            <w:right w:w="0" w:type="dxa"/>
          </w:tblCellMar>
        </w:tblPrEx>
        <w:trPr>
          <w:wBefore w:w="0" w:type="auto"/>
          <w:tblCellSpacing w:w="0" w:type="dxa"/>
        </w:trPr>
        <w:tc>
          <w:tcPr>
            <w:tcW w:w="0" w:type="auto"/>
            <w:noWrap w:val="0"/>
            <w:vAlign w:val="center"/>
          </w:tcPr>
          <w:p w14:paraId="63490B07">
            <w:r>
              <w:rPr>
                <w:rStyle w:val="10"/>
                <w:rFonts w:hint="eastAsia"/>
              </w:rPr>
              <w:t>产品性能:</w:t>
            </w:r>
            <w:r>
              <w:rPr>
                <w:rFonts w:hint="eastAsia"/>
              </w:rPr>
              <w:br w:type="textWrapping"/>
            </w:r>
            <w:r>
              <w:rPr>
                <w:rStyle w:val="11"/>
                <w:rFonts w:hint="eastAsia"/>
              </w:rPr>
              <w:t>本品是一种非选择性触杀型除草剂。</w:t>
            </w:r>
          </w:p>
        </w:tc>
      </w:tr>
      <w:tr w14:paraId="26EDECBE">
        <w:tblPrEx>
          <w:tblCellMar>
            <w:top w:w="0" w:type="dxa"/>
            <w:left w:w="0" w:type="dxa"/>
            <w:bottom w:w="0" w:type="dxa"/>
            <w:right w:w="0" w:type="dxa"/>
          </w:tblCellMar>
        </w:tblPrEx>
        <w:trPr>
          <w:wBefore w:w="0" w:type="auto"/>
          <w:tblCellSpacing w:w="0" w:type="dxa"/>
        </w:trPr>
        <w:tc>
          <w:tcPr>
            <w:tcW w:w="0" w:type="auto"/>
            <w:noWrap w:val="0"/>
            <w:vAlign w:val="center"/>
          </w:tcPr>
          <w:p w14:paraId="4C59C8D5">
            <w:r>
              <w:rPr>
                <w:rStyle w:val="10"/>
                <w:rFonts w:hint="eastAsia"/>
              </w:rPr>
              <w:t>注意事项：</w:t>
            </w:r>
            <w:r>
              <w:rPr>
                <w:rFonts w:hint="eastAsia"/>
              </w:rPr>
              <w:br w:type="textWrapping"/>
            </w:r>
            <w:r>
              <w:rPr>
                <w:rStyle w:val="11"/>
                <w:rFonts w:hint="eastAsia"/>
              </w:rPr>
              <w:t>1. 本品为非选择性除草剂，施药过程中若遇大风、大雨、积水等影响喷雾效果的情形应停止施药，并防止雾滴飘移到其他地块。 2. 如需与其他助剂或药剂混用，请在当地农技人员指导下，先进行小面积试验确认有效性后，科学合理搭配使用。 3. 请在农技人员指导下，根据杂草发生基数、叶龄及种类、施药时天气条件、药械种类等因素科学合理的调整用药剂量、用水量。 4. 施用时尽量做好身体各部位科学合理的防护，采取正确的施药方式。使用时避免接触眼睛，穿戴长衣、长裤、帽子、口罩、手套等安全防护措施。 施药时不能吸烟、饮水等；施药后清洗干净手脸等。 5. 远离水产养殖区、河塘等水体施药；禁止在河塘等水体中清洗施药器具；蚕室、桑园附近禁用；鸟类保护区附近禁用。施药后及时、细致清洗施药器具，废弃物要妥善处理，不能随意丢弃，也不能做他用。 6. 避免孕妇和哺乳期妇女接触本品。 7. 使用前请仔细阅读此标签，并严格按照标签说明使用。未尽使用情形，请结合当地实际情况，在农业技术人员指导下使用。</w:t>
            </w:r>
          </w:p>
        </w:tc>
      </w:tr>
      <w:tr w14:paraId="4689666B">
        <w:tblPrEx>
          <w:tblCellMar>
            <w:top w:w="0" w:type="dxa"/>
            <w:left w:w="0" w:type="dxa"/>
            <w:bottom w:w="0" w:type="dxa"/>
            <w:right w:w="0" w:type="dxa"/>
          </w:tblCellMar>
        </w:tblPrEx>
        <w:trPr>
          <w:wBefore w:w="0" w:type="auto"/>
          <w:tblCellSpacing w:w="0" w:type="dxa"/>
        </w:trPr>
        <w:tc>
          <w:tcPr>
            <w:tcW w:w="0" w:type="auto"/>
            <w:noWrap w:val="0"/>
            <w:vAlign w:val="center"/>
          </w:tcPr>
          <w:p w14:paraId="25176FA4">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1ECD3718">
        <w:tblPrEx>
          <w:tblCellMar>
            <w:top w:w="0" w:type="dxa"/>
            <w:left w:w="0" w:type="dxa"/>
            <w:bottom w:w="0" w:type="dxa"/>
            <w:right w:w="0" w:type="dxa"/>
          </w:tblCellMar>
        </w:tblPrEx>
        <w:trPr>
          <w:wBefore w:w="0" w:type="auto"/>
          <w:tblCellSpacing w:w="0" w:type="dxa"/>
        </w:trPr>
        <w:tc>
          <w:tcPr>
            <w:tcW w:w="0" w:type="auto"/>
            <w:noWrap w:val="0"/>
            <w:vAlign w:val="center"/>
          </w:tcPr>
          <w:p w14:paraId="320EE890">
            <w:r>
              <w:rPr>
                <w:rStyle w:val="10"/>
                <w:rFonts w:hint="eastAsia"/>
              </w:rPr>
              <w:t>储存和运输方法：</w:t>
            </w:r>
            <w:r>
              <w:rPr>
                <w:rFonts w:hint="eastAsia"/>
              </w:rPr>
              <w:br w:type="textWrapping"/>
            </w:r>
            <w:r>
              <w:rPr>
                <w:rStyle w:val="11"/>
                <w:rFonts w:hint="eastAsia"/>
              </w:rPr>
              <w:t>本品应贮存于干燥、阴凉、通风、防雨处，远离火源或热源。置于儿童、无关人员触及不到之处，应加锁保存。不能与食品、饮料、种子、粮食、饲料等物品同贮同运。装卸时，注意轻拿轻放，禁止说笑打闹、吃、喝、抽烟；运输时要防潮防晒。</w:t>
            </w:r>
          </w:p>
        </w:tc>
      </w:tr>
      <w:tr w14:paraId="071ECEAE">
        <w:tblPrEx>
          <w:tblCellMar>
            <w:top w:w="0" w:type="dxa"/>
            <w:left w:w="0" w:type="dxa"/>
            <w:bottom w:w="0" w:type="dxa"/>
            <w:right w:w="0" w:type="dxa"/>
          </w:tblCellMar>
        </w:tblPrEx>
        <w:trPr>
          <w:wBefore w:w="0" w:type="auto"/>
          <w:tblCellSpacing w:w="0" w:type="dxa"/>
        </w:trPr>
        <w:tc>
          <w:tcPr>
            <w:tcW w:w="0" w:type="auto"/>
            <w:noWrap w:val="0"/>
            <w:vAlign w:val="center"/>
          </w:tcPr>
          <w:p w14:paraId="3AD8A796">
            <w:r>
              <w:rPr>
                <w:rStyle w:val="10"/>
                <w:rFonts w:hint="eastAsia"/>
              </w:rPr>
              <w:t>质量保证期：</w:t>
            </w:r>
            <w:r>
              <w:rPr>
                <w:rStyle w:val="11"/>
                <w:rFonts w:hint="eastAsia"/>
              </w:rPr>
              <w:t>2年</w:t>
            </w:r>
          </w:p>
        </w:tc>
      </w:tr>
      <w:tr w14:paraId="1DC0C774">
        <w:tblPrEx>
          <w:tblCellMar>
            <w:top w:w="0" w:type="dxa"/>
            <w:left w:w="0" w:type="dxa"/>
            <w:bottom w:w="0" w:type="dxa"/>
            <w:right w:w="0" w:type="dxa"/>
          </w:tblCellMar>
        </w:tblPrEx>
        <w:trPr>
          <w:wBefore w:w="0" w:type="auto"/>
          <w:tblCellSpacing w:w="0" w:type="dxa"/>
        </w:trPr>
        <w:tc>
          <w:tcPr>
            <w:tcW w:w="0" w:type="auto"/>
            <w:noWrap w:val="0"/>
            <w:vAlign w:val="center"/>
          </w:tcPr>
          <w:p w14:paraId="0EC38760">
            <w:r>
              <w:rPr>
                <w:rStyle w:val="10"/>
                <w:rFonts w:hint="eastAsia"/>
              </w:rPr>
              <w:t>备注：</w:t>
            </w:r>
            <w:r>
              <w:rPr>
                <w:rFonts w:hint="eastAsia"/>
              </w:rPr>
              <w:br w:type="textWrapping"/>
            </w:r>
            <w:r>
              <w:rPr>
                <w:rStyle w:val="11"/>
                <w:rFonts w:hint="eastAsia"/>
              </w:rPr>
              <w:t>精草铵膦铵盐21.9%。</w:t>
            </w:r>
          </w:p>
        </w:tc>
      </w:tr>
    </w:tbl>
    <w:p w14:paraId="4642CAF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2C746B5">
        <w:tblPrEx>
          <w:tblCellMar>
            <w:top w:w="0" w:type="dxa"/>
            <w:left w:w="0" w:type="dxa"/>
            <w:bottom w:w="0" w:type="dxa"/>
            <w:right w:w="0" w:type="dxa"/>
          </w:tblCellMar>
        </w:tblPrEx>
        <w:trPr>
          <w:wBefore w:w="0" w:type="auto"/>
          <w:tblCellSpacing w:w="0" w:type="dxa"/>
        </w:trPr>
        <w:tc>
          <w:tcPr>
            <w:tcW w:w="0" w:type="auto"/>
            <w:noWrap w:val="0"/>
            <w:vAlign w:val="center"/>
          </w:tcPr>
          <w:p w14:paraId="5FCB5AEC">
            <w:r>
              <w:rPr>
                <w:rStyle w:val="10"/>
                <w:rFonts w:hint="eastAsia"/>
              </w:rPr>
              <w:t>登记证号：</w:t>
            </w:r>
            <w:r>
              <w:rPr>
                <w:rFonts w:hint="eastAsia"/>
              </w:rPr>
              <w:t>PD20212183</w:t>
            </w:r>
          </w:p>
        </w:tc>
      </w:tr>
      <w:tr w14:paraId="171501AD">
        <w:tblPrEx>
          <w:tblCellMar>
            <w:top w:w="0" w:type="dxa"/>
            <w:left w:w="0" w:type="dxa"/>
            <w:bottom w:w="0" w:type="dxa"/>
            <w:right w:w="0" w:type="dxa"/>
          </w:tblCellMar>
        </w:tblPrEx>
        <w:trPr>
          <w:wBefore w:w="0" w:type="auto"/>
          <w:tblCellSpacing w:w="0" w:type="dxa"/>
        </w:trPr>
        <w:tc>
          <w:tcPr>
            <w:tcW w:w="0" w:type="auto"/>
            <w:noWrap w:val="0"/>
            <w:vAlign w:val="center"/>
          </w:tcPr>
          <w:p w14:paraId="3AEC7278">
            <w:r>
              <w:rPr>
                <w:rStyle w:val="10"/>
                <w:rFonts w:hint="eastAsia"/>
              </w:rPr>
              <w:t>登记证持有人：</w:t>
            </w:r>
            <w:r>
              <w:rPr>
                <w:rFonts w:hint="eastAsia"/>
              </w:rPr>
              <w:t>安徽辉隆集团银山药业有限责任公司</w:t>
            </w:r>
          </w:p>
        </w:tc>
      </w:tr>
      <w:tr w14:paraId="7A2C1209">
        <w:tblPrEx>
          <w:tblCellMar>
            <w:top w:w="0" w:type="dxa"/>
            <w:left w:w="0" w:type="dxa"/>
            <w:bottom w:w="0" w:type="dxa"/>
            <w:right w:w="0" w:type="dxa"/>
          </w:tblCellMar>
        </w:tblPrEx>
        <w:trPr>
          <w:wBefore w:w="0" w:type="auto"/>
          <w:tblCellSpacing w:w="0" w:type="dxa"/>
        </w:trPr>
        <w:tc>
          <w:tcPr>
            <w:tcW w:w="0" w:type="auto"/>
            <w:noWrap w:val="0"/>
            <w:vAlign w:val="center"/>
          </w:tcPr>
          <w:p w14:paraId="1EEC9AB2">
            <w:r>
              <w:rPr>
                <w:rStyle w:val="10"/>
                <w:rFonts w:hint="eastAsia"/>
              </w:rPr>
              <w:t>农药名称：</w:t>
            </w:r>
            <w:r>
              <w:rPr>
                <w:rFonts w:hint="eastAsia"/>
              </w:rPr>
              <w:t>苯嘧·草甘膦</w:t>
            </w:r>
          </w:p>
        </w:tc>
      </w:tr>
      <w:tr w14:paraId="5109270E">
        <w:tblPrEx>
          <w:tblCellMar>
            <w:top w:w="0" w:type="dxa"/>
            <w:left w:w="0" w:type="dxa"/>
            <w:bottom w:w="0" w:type="dxa"/>
            <w:right w:w="0" w:type="dxa"/>
          </w:tblCellMar>
        </w:tblPrEx>
        <w:trPr>
          <w:wBefore w:w="0" w:type="auto"/>
          <w:tblCellSpacing w:w="0" w:type="dxa"/>
        </w:trPr>
        <w:tc>
          <w:tcPr>
            <w:tcW w:w="0" w:type="auto"/>
            <w:noWrap w:val="0"/>
            <w:vAlign w:val="center"/>
          </w:tcPr>
          <w:p w14:paraId="11271FD5">
            <w:r>
              <w:rPr>
                <w:rStyle w:val="10"/>
                <w:rFonts w:hint="eastAsia"/>
              </w:rPr>
              <w:t>剂型：</w:t>
            </w:r>
            <w:r>
              <w:rPr>
                <w:rFonts w:hint="eastAsia"/>
              </w:rPr>
              <w:t>悬浮剂</w:t>
            </w:r>
          </w:p>
        </w:tc>
      </w:tr>
      <w:tr w14:paraId="7B5DFFCD">
        <w:tblPrEx>
          <w:tblCellMar>
            <w:top w:w="0" w:type="dxa"/>
            <w:left w:w="0" w:type="dxa"/>
            <w:bottom w:w="0" w:type="dxa"/>
            <w:right w:w="0" w:type="dxa"/>
          </w:tblCellMar>
        </w:tblPrEx>
        <w:trPr>
          <w:wBefore w:w="0" w:type="auto"/>
          <w:tblCellSpacing w:w="0" w:type="dxa"/>
        </w:trPr>
        <w:tc>
          <w:tcPr>
            <w:tcW w:w="0" w:type="auto"/>
            <w:noWrap w:val="0"/>
            <w:vAlign w:val="center"/>
          </w:tcPr>
          <w:p w14:paraId="2590C245">
            <w:r>
              <w:rPr>
                <w:rStyle w:val="10"/>
                <w:rFonts w:hint="eastAsia"/>
              </w:rPr>
              <w:t>毒性及其标识：</w:t>
            </w:r>
            <w:r>
              <w:rPr>
                <w:rFonts w:hint="eastAsia"/>
              </w:rPr>
              <w:t xml:space="preserve"> </w:t>
            </w:r>
            <w:r>
              <w:rPr>
                <w:lang/>
              </w:rPr>
              <w:drawing>
                <wp:inline distT="0" distB="0" distL="114300" distR="114300">
                  <wp:extent cx="476250" cy="323850"/>
                  <wp:effectExtent l="0" t="0" r="0" b="0"/>
                  <wp:docPr id="519" name="图片 51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0999471">
        <w:tblPrEx>
          <w:tblCellMar>
            <w:top w:w="0" w:type="dxa"/>
            <w:left w:w="0" w:type="dxa"/>
            <w:bottom w:w="0" w:type="dxa"/>
            <w:right w:w="0" w:type="dxa"/>
          </w:tblCellMar>
        </w:tblPrEx>
        <w:trPr>
          <w:wBefore w:w="0" w:type="auto"/>
          <w:tblCellSpacing w:w="0" w:type="dxa"/>
        </w:trPr>
        <w:tc>
          <w:tcPr>
            <w:tcW w:w="0" w:type="auto"/>
            <w:noWrap w:val="0"/>
            <w:vAlign w:val="center"/>
          </w:tcPr>
          <w:p w14:paraId="30D16DB6">
            <w:r>
              <w:rPr>
                <w:rStyle w:val="10"/>
                <w:rFonts w:hint="eastAsia"/>
              </w:rPr>
              <w:t>总有效成分含量：</w:t>
            </w:r>
            <w:r>
              <w:rPr>
                <w:rFonts w:hint="eastAsia"/>
              </w:rPr>
              <w:t>31%</w:t>
            </w:r>
          </w:p>
        </w:tc>
      </w:tr>
      <w:tr w14:paraId="171E8237">
        <w:tblPrEx>
          <w:tblCellMar>
            <w:top w:w="0" w:type="dxa"/>
            <w:left w:w="0" w:type="dxa"/>
            <w:bottom w:w="0" w:type="dxa"/>
            <w:right w:w="0" w:type="dxa"/>
          </w:tblCellMar>
        </w:tblPrEx>
        <w:trPr>
          <w:wBefore w:w="0" w:type="auto"/>
          <w:tblCellSpacing w:w="0" w:type="dxa"/>
        </w:trPr>
        <w:tc>
          <w:tcPr>
            <w:tcW w:w="0" w:type="auto"/>
            <w:noWrap w:val="0"/>
            <w:vAlign w:val="center"/>
          </w:tcPr>
          <w:p w14:paraId="476E8EAA">
            <w:r>
              <w:rPr>
                <w:rFonts w:hint="eastAsia"/>
              </w:rPr>
              <w:t xml:space="preserve">有效成分及其含量： </w:t>
            </w:r>
          </w:p>
          <w:p w14:paraId="0D3C4498">
            <w:r>
              <w:rPr>
                <w:rFonts w:hint="eastAsia"/>
              </w:rPr>
              <w:t xml:space="preserve">    苯嘧磺草胺1%    草甘膦30%    </w:t>
            </w:r>
          </w:p>
        </w:tc>
      </w:tr>
      <w:tr w14:paraId="72240774">
        <w:tblPrEx>
          <w:tblCellMar>
            <w:top w:w="0" w:type="dxa"/>
            <w:left w:w="0" w:type="dxa"/>
            <w:bottom w:w="0" w:type="dxa"/>
            <w:right w:w="0" w:type="dxa"/>
          </w:tblCellMar>
        </w:tblPrEx>
        <w:trPr>
          <w:wBefore w:w="0" w:type="auto"/>
          <w:tblCellSpacing w:w="0" w:type="dxa"/>
        </w:trPr>
        <w:tc>
          <w:tcPr>
            <w:tcW w:w="0" w:type="auto"/>
            <w:noWrap w:val="0"/>
            <w:vAlign w:val="center"/>
          </w:tcPr>
          <w:p w14:paraId="0435E88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B53C4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D4B12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8075F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7E1D4A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B89990">
                  <w:r>
                    <w:rPr>
                      <w:rStyle w:val="11"/>
                      <w:rFonts w:hint="eastAsia"/>
                    </w:rPr>
                    <w:t>施用方式</w:t>
                  </w:r>
                </w:p>
              </w:tc>
            </w:tr>
            <w:tr w14:paraId="4B5454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F8ED0C">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B3B8CA">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FA5E33">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B43D222">
                  <w:r>
                    <w:rPr>
                      <w:rStyle w:val="11"/>
                      <w:rFonts w:hint="eastAsia"/>
                    </w:rPr>
                    <w:t>茎叶喷雾</w:t>
                  </w:r>
                </w:p>
              </w:tc>
            </w:tr>
          </w:tbl>
          <w:p w14:paraId="2605C54E">
            <w:pPr>
              <w:rPr>
                <w:rFonts w:ascii="Times New Roman" w:hAnsi="Times New Roman" w:cs="Times New Roman"/>
                <w:sz w:val="20"/>
                <w:szCs w:val="20"/>
              </w:rPr>
            </w:pPr>
          </w:p>
        </w:tc>
      </w:tr>
      <w:tr w14:paraId="3BE6C907">
        <w:tblPrEx>
          <w:tblCellMar>
            <w:top w:w="0" w:type="dxa"/>
            <w:left w:w="0" w:type="dxa"/>
            <w:bottom w:w="0" w:type="dxa"/>
            <w:right w:w="0" w:type="dxa"/>
          </w:tblCellMar>
        </w:tblPrEx>
        <w:trPr>
          <w:wBefore w:w="0" w:type="auto"/>
          <w:tblCellSpacing w:w="0" w:type="dxa"/>
        </w:trPr>
        <w:tc>
          <w:tcPr>
            <w:tcW w:w="0" w:type="auto"/>
            <w:noWrap w:val="0"/>
            <w:vAlign w:val="center"/>
          </w:tcPr>
          <w:p w14:paraId="368A2066">
            <w:r>
              <w:rPr>
                <w:rStyle w:val="10"/>
                <w:rFonts w:hint="eastAsia"/>
              </w:rPr>
              <w:t>使用技术要求:</w:t>
            </w:r>
            <w:r>
              <w:rPr>
                <w:rFonts w:hint="eastAsia"/>
              </w:rPr>
              <w:br w:type="textWrapping"/>
            </w:r>
            <w:r>
              <w:rPr>
                <w:rStyle w:val="11"/>
                <w:rFonts w:hint="eastAsia"/>
              </w:rPr>
              <w:t>1. 在非耕地杂草旺盛生长期，以推荐剂量兑水均匀茎叶喷雾施药一次。2. 注意事项：避免飘移药害；禁止在田间道路、田埂、果树行间、休耕地、林场林地等农林业区域使用。均匀细致茎叶喷雾，喷雾均匀一致，不重喷、多喷和漏喷。3.在大风时或大雨前不要施药。</w:t>
            </w:r>
          </w:p>
        </w:tc>
      </w:tr>
      <w:tr w14:paraId="2B61D4F0">
        <w:tblPrEx>
          <w:tblCellMar>
            <w:top w:w="0" w:type="dxa"/>
            <w:left w:w="0" w:type="dxa"/>
            <w:bottom w:w="0" w:type="dxa"/>
            <w:right w:w="0" w:type="dxa"/>
          </w:tblCellMar>
        </w:tblPrEx>
        <w:trPr>
          <w:wBefore w:w="0" w:type="auto"/>
          <w:tblCellSpacing w:w="0" w:type="dxa"/>
        </w:trPr>
        <w:tc>
          <w:tcPr>
            <w:tcW w:w="0" w:type="auto"/>
            <w:noWrap w:val="0"/>
            <w:vAlign w:val="center"/>
          </w:tcPr>
          <w:p w14:paraId="722EE29E">
            <w:r>
              <w:rPr>
                <w:rStyle w:val="10"/>
                <w:rFonts w:hint="eastAsia"/>
              </w:rPr>
              <w:t>产品性能:</w:t>
            </w:r>
            <w:r>
              <w:rPr>
                <w:rFonts w:hint="eastAsia"/>
              </w:rPr>
              <w:br w:type="textWrapping"/>
            </w:r>
            <w:r>
              <w:rPr>
                <w:rStyle w:val="11"/>
                <w:rFonts w:hint="eastAsia"/>
              </w:rPr>
              <w:t>本品是苯嘧磺草胺与草甘膦两种作用机理不同的药剂混配而成的苗后茎叶处理除草剂，苯嘧磺草胺可弥补草甘膦对多种抗性及耐药阔叶杂草防效不足的缺点，草甘膦可弥补苯嘧磺草胺对禾本科杂草防效不足的缺点。使防治谱更为全面，综合控制一年生及多年生禾本科和阔叶杂草，增强防效，同时可延缓杂草抗药性，并有效治理生产上对草甘膦产生抗性的杂草。本品用于防治非耕地-杂草。</w:t>
            </w:r>
          </w:p>
        </w:tc>
      </w:tr>
      <w:tr w14:paraId="57896147">
        <w:tblPrEx>
          <w:tblCellMar>
            <w:top w:w="0" w:type="dxa"/>
            <w:left w:w="0" w:type="dxa"/>
            <w:bottom w:w="0" w:type="dxa"/>
            <w:right w:w="0" w:type="dxa"/>
          </w:tblCellMar>
        </w:tblPrEx>
        <w:trPr>
          <w:wBefore w:w="0" w:type="auto"/>
          <w:tblCellSpacing w:w="0" w:type="dxa"/>
        </w:trPr>
        <w:tc>
          <w:tcPr>
            <w:tcW w:w="0" w:type="auto"/>
            <w:noWrap w:val="0"/>
            <w:vAlign w:val="center"/>
          </w:tcPr>
          <w:p w14:paraId="367741C0">
            <w:r>
              <w:rPr>
                <w:rStyle w:val="10"/>
                <w:rFonts w:hint="eastAsia"/>
              </w:rPr>
              <w:t>注意事项：</w:t>
            </w:r>
            <w:r>
              <w:rPr>
                <w:rFonts w:hint="eastAsia"/>
              </w:rPr>
              <w:br w:type="textWrapping"/>
            </w:r>
            <w:r>
              <w:rPr>
                <w:rStyle w:val="11"/>
                <w:rFonts w:hint="eastAsia"/>
              </w:rPr>
              <w:t>1. 施药时应防止药液飘移到邻近作物上，以免发生药害。2. 施药时穿戴长衣、长裤、帽子、口罩、手套等防护措施。避免吸入药液。施药期间不可吃东西、饮水等。3. 施药后，进食前用清水和肥皂洗手、脸，身体和衣物。4. 使用时避免直接喷洒液于水源、溪流、水渠等。 远离水产养殖区、河塘等水体施药，禁止在河塘等水域清洗施药器具。5. 用过的容器应妥善处理，不可做他用，也不可随意丢弃。6. 使用过的药械需清洗三遍，在洗涤药械或处置废弃物时不要污染水源。7. 避免孕妇及哺乳期的妇女接触本品。</w:t>
            </w:r>
          </w:p>
        </w:tc>
      </w:tr>
      <w:tr w14:paraId="28B71CFE">
        <w:tblPrEx>
          <w:tblCellMar>
            <w:top w:w="0" w:type="dxa"/>
            <w:left w:w="0" w:type="dxa"/>
            <w:bottom w:w="0" w:type="dxa"/>
            <w:right w:w="0" w:type="dxa"/>
          </w:tblCellMar>
        </w:tblPrEx>
        <w:trPr>
          <w:wBefore w:w="0" w:type="auto"/>
          <w:tblCellSpacing w:w="0" w:type="dxa"/>
        </w:trPr>
        <w:tc>
          <w:tcPr>
            <w:tcW w:w="0" w:type="auto"/>
            <w:noWrap w:val="0"/>
            <w:vAlign w:val="center"/>
          </w:tcPr>
          <w:p w14:paraId="0D60A45D">
            <w:r>
              <w:rPr>
                <w:rStyle w:val="10"/>
                <w:rFonts w:hint="eastAsia"/>
              </w:rPr>
              <w:t>中毒急救措施：</w:t>
            </w:r>
            <w:r>
              <w:rPr>
                <w:rFonts w:hint="eastAsia"/>
              </w:rPr>
              <w:br w:type="textWrapping"/>
            </w:r>
            <w:r>
              <w:rPr>
                <w:rStyle w:val="11"/>
                <w:rFonts w:hint="eastAsia"/>
              </w:rPr>
              <w:t>中毒症状：按标签推荐方法使用。一旦发生中毒，请对症治疗。 中毒急救： 1.皮肤接触：立即用大量的清水和肥皂清洗污染处。 2.眼睛溅药：用清水冲洗眼睛至少15分钟，如有刺激发生，携此标签请医院诊治。 3.发生吸入：立即将吸入者转移至新鲜空气处。 4.误服：饮用两大杯水后，用手指触压喉咙后部，引吐，并将病人及时送医院就诊。 5.解毒剂：无特效解毒剂，对症治疗。</w:t>
            </w:r>
          </w:p>
        </w:tc>
      </w:tr>
      <w:tr w14:paraId="04472ADC">
        <w:tblPrEx>
          <w:tblCellMar>
            <w:top w:w="0" w:type="dxa"/>
            <w:left w:w="0" w:type="dxa"/>
            <w:bottom w:w="0" w:type="dxa"/>
            <w:right w:w="0" w:type="dxa"/>
          </w:tblCellMar>
        </w:tblPrEx>
        <w:trPr>
          <w:wBefore w:w="0" w:type="auto"/>
          <w:tblCellSpacing w:w="0" w:type="dxa"/>
        </w:trPr>
        <w:tc>
          <w:tcPr>
            <w:tcW w:w="0" w:type="auto"/>
            <w:noWrap w:val="0"/>
            <w:vAlign w:val="center"/>
          </w:tcPr>
          <w:p w14:paraId="71A2E38C">
            <w:r>
              <w:rPr>
                <w:rStyle w:val="10"/>
                <w:rFonts w:hint="eastAsia"/>
              </w:rPr>
              <w:t>储存和运输方法：</w:t>
            </w:r>
            <w:r>
              <w:rPr>
                <w:rFonts w:hint="eastAsia"/>
              </w:rPr>
              <w:br w:type="textWrapping"/>
            </w:r>
            <w:r>
              <w:rPr>
                <w:rStyle w:val="11"/>
                <w:rFonts w:hint="eastAsia"/>
              </w:rPr>
              <w:t>1.本品因贮存在干燥、阴凉、通风、防雨处，远离火源或热源。置于儿童触及不到之处，并加锁。 2.勿与食品、饮料、饲料、粮食等其他商品同贮同运。 3.不要直接贮存于阳光下，避免存放于过热或过冷（≤0℃）的地方。</w:t>
            </w:r>
          </w:p>
        </w:tc>
      </w:tr>
      <w:tr w14:paraId="7016C3DD">
        <w:tblPrEx>
          <w:tblCellMar>
            <w:top w:w="0" w:type="dxa"/>
            <w:left w:w="0" w:type="dxa"/>
            <w:bottom w:w="0" w:type="dxa"/>
            <w:right w:w="0" w:type="dxa"/>
          </w:tblCellMar>
        </w:tblPrEx>
        <w:trPr>
          <w:wBefore w:w="0" w:type="auto"/>
          <w:tblCellSpacing w:w="0" w:type="dxa"/>
        </w:trPr>
        <w:tc>
          <w:tcPr>
            <w:tcW w:w="0" w:type="auto"/>
            <w:noWrap w:val="0"/>
            <w:vAlign w:val="center"/>
          </w:tcPr>
          <w:p w14:paraId="6896B4E8">
            <w:r>
              <w:rPr>
                <w:rStyle w:val="10"/>
                <w:rFonts w:hint="eastAsia"/>
              </w:rPr>
              <w:t>质量保证期：</w:t>
            </w:r>
            <w:r>
              <w:rPr>
                <w:rStyle w:val="11"/>
                <w:rFonts w:hint="eastAsia"/>
              </w:rPr>
              <w:t>2年</w:t>
            </w:r>
          </w:p>
        </w:tc>
      </w:tr>
      <w:tr w14:paraId="04D10607">
        <w:tblPrEx>
          <w:tblCellMar>
            <w:top w:w="0" w:type="dxa"/>
            <w:left w:w="0" w:type="dxa"/>
            <w:bottom w:w="0" w:type="dxa"/>
            <w:right w:w="0" w:type="dxa"/>
          </w:tblCellMar>
        </w:tblPrEx>
        <w:trPr>
          <w:wBefore w:w="0" w:type="auto"/>
          <w:tblCellSpacing w:w="0" w:type="dxa"/>
        </w:trPr>
        <w:tc>
          <w:tcPr>
            <w:tcW w:w="0" w:type="auto"/>
            <w:noWrap w:val="0"/>
            <w:vAlign w:val="center"/>
          </w:tcPr>
          <w:p w14:paraId="7F96FAA8">
            <w:r>
              <w:rPr>
                <w:rStyle w:val="10"/>
                <w:rFonts w:hint="eastAsia"/>
              </w:rPr>
              <w:t>备注：</w:t>
            </w:r>
          </w:p>
        </w:tc>
      </w:tr>
    </w:tbl>
    <w:p w14:paraId="7064F86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477D1C7">
        <w:tblPrEx>
          <w:tblCellMar>
            <w:top w:w="0" w:type="dxa"/>
            <w:left w:w="0" w:type="dxa"/>
            <w:bottom w:w="0" w:type="dxa"/>
            <w:right w:w="0" w:type="dxa"/>
          </w:tblCellMar>
        </w:tblPrEx>
        <w:trPr>
          <w:wBefore w:w="0" w:type="auto"/>
          <w:tblCellSpacing w:w="0" w:type="dxa"/>
        </w:trPr>
        <w:tc>
          <w:tcPr>
            <w:tcW w:w="0" w:type="auto"/>
            <w:noWrap w:val="0"/>
            <w:vAlign w:val="center"/>
          </w:tcPr>
          <w:p w14:paraId="7B92935F">
            <w:r>
              <w:rPr>
                <w:rStyle w:val="10"/>
                <w:rFonts w:hint="eastAsia"/>
              </w:rPr>
              <w:t>登记证号：</w:t>
            </w:r>
            <w:r>
              <w:rPr>
                <w:rFonts w:hint="eastAsia"/>
              </w:rPr>
              <w:t>PD20212063</w:t>
            </w:r>
          </w:p>
        </w:tc>
      </w:tr>
      <w:tr w14:paraId="22ECC5ED">
        <w:tblPrEx>
          <w:tblCellMar>
            <w:top w:w="0" w:type="dxa"/>
            <w:left w:w="0" w:type="dxa"/>
            <w:bottom w:w="0" w:type="dxa"/>
            <w:right w:w="0" w:type="dxa"/>
          </w:tblCellMar>
        </w:tblPrEx>
        <w:trPr>
          <w:wBefore w:w="0" w:type="auto"/>
          <w:tblCellSpacing w:w="0" w:type="dxa"/>
        </w:trPr>
        <w:tc>
          <w:tcPr>
            <w:tcW w:w="0" w:type="auto"/>
            <w:noWrap w:val="0"/>
            <w:vAlign w:val="center"/>
          </w:tcPr>
          <w:p w14:paraId="08EF7A8C">
            <w:r>
              <w:rPr>
                <w:rStyle w:val="10"/>
                <w:rFonts w:hint="eastAsia"/>
              </w:rPr>
              <w:t>登记证持有人：</w:t>
            </w:r>
            <w:r>
              <w:rPr>
                <w:rFonts w:hint="eastAsia"/>
              </w:rPr>
              <w:t>许昌市建安区昌盛日化实业有限公司</w:t>
            </w:r>
          </w:p>
        </w:tc>
      </w:tr>
      <w:tr w14:paraId="3D3FE158">
        <w:tblPrEx>
          <w:tblCellMar>
            <w:top w:w="0" w:type="dxa"/>
            <w:left w:w="0" w:type="dxa"/>
            <w:bottom w:w="0" w:type="dxa"/>
            <w:right w:w="0" w:type="dxa"/>
          </w:tblCellMar>
        </w:tblPrEx>
        <w:trPr>
          <w:wBefore w:w="0" w:type="auto"/>
          <w:tblCellSpacing w:w="0" w:type="dxa"/>
        </w:trPr>
        <w:tc>
          <w:tcPr>
            <w:tcW w:w="0" w:type="auto"/>
            <w:noWrap w:val="0"/>
            <w:vAlign w:val="center"/>
          </w:tcPr>
          <w:p w14:paraId="2930E612">
            <w:r>
              <w:rPr>
                <w:rStyle w:val="10"/>
                <w:rFonts w:hint="eastAsia"/>
              </w:rPr>
              <w:t>农药名称：</w:t>
            </w:r>
            <w:r>
              <w:rPr>
                <w:rFonts w:hint="eastAsia"/>
              </w:rPr>
              <w:t>苄氨基嘌呤</w:t>
            </w:r>
          </w:p>
        </w:tc>
      </w:tr>
      <w:tr w14:paraId="45516A53">
        <w:tblPrEx>
          <w:tblCellMar>
            <w:top w:w="0" w:type="dxa"/>
            <w:left w:w="0" w:type="dxa"/>
            <w:bottom w:w="0" w:type="dxa"/>
            <w:right w:w="0" w:type="dxa"/>
          </w:tblCellMar>
        </w:tblPrEx>
        <w:trPr>
          <w:wBefore w:w="0" w:type="auto"/>
          <w:tblCellSpacing w:w="0" w:type="dxa"/>
        </w:trPr>
        <w:tc>
          <w:tcPr>
            <w:tcW w:w="0" w:type="auto"/>
            <w:noWrap w:val="0"/>
            <w:vAlign w:val="center"/>
          </w:tcPr>
          <w:p w14:paraId="2271D1CB">
            <w:r>
              <w:rPr>
                <w:rStyle w:val="10"/>
                <w:rFonts w:hint="eastAsia"/>
              </w:rPr>
              <w:t>剂型：</w:t>
            </w:r>
            <w:r>
              <w:rPr>
                <w:rFonts w:hint="eastAsia"/>
              </w:rPr>
              <w:t>可溶液剂</w:t>
            </w:r>
          </w:p>
        </w:tc>
      </w:tr>
      <w:tr w14:paraId="2E06E45E">
        <w:tblPrEx>
          <w:tblCellMar>
            <w:top w:w="0" w:type="dxa"/>
            <w:left w:w="0" w:type="dxa"/>
            <w:bottom w:w="0" w:type="dxa"/>
            <w:right w:w="0" w:type="dxa"/>
          </w:tblCellMar>
        </w:tblPrEx>
        <w:trPr>
          <w:wBefore w:w="0" w:type="auto"/>
          <w:tblCellSpacing w:w="0" w:type="dxa"/>
        </w:trPr>
        <w:tc>
          <w:tcPr>
            <w:tcW w:w="0" w:type="auto"/>
            <w:noWrap w:val="0"/>
            <w:vAlign w:val="center"/>
          </w:tcPr>
          <w:p w14:paraId="3C8B0763">
            <w:r>
              <w:rPr>
                <w:rStyle w:val="10"/>
                <w:rFonts w:hint="eastAsia"/>
              </w:rPr>
              <w:t>毒性及其标识：</w:t>
            </w:r>
            <w:r>
              <w:rPr>
                <w:rFonts w:hint="eastAsia"/>
              </w:rPr>
              <w:t xml:space="preserve"> </w:t>
            </w:r>
            <w:r>
              <w:rPr>
                <w:lang/>
              </w:rPr>
              <w:drawing>
                <wp:inline distT="0" distB="0" distL="114300" distR="114300">
                  <wp:extent cx="476250" cy="323850"/>
                  <wp:effectExtent l="0" t="0" r="0" b="0"/>
                  <wp:docPr id="520" name="图片 52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AB596EA">
        <w:tblPrEx>
          <w:tblCellMar>
            <w:top w:w="0" w:type="dxa"/>
            <w:left w:w="0" w:type="dxa"/>
            <w:bottom w:w="0" w:type="dxa"/>
            <w:right w:w="0" w:type="dxa"/>
          </w:tblCellMar>
        </w:tblPrEx>
        <w:trPr>
          <w:wBefore w:w="0" w:type="auto"/>
          <w:tblCellSpacing w:w="0" w:type="dxa"/>
        </w:trPr>
        <w:tc>
          <w:tcPr>
            <w:tcW w:w="0" w:type="auto"/>
            <w:noWrap w:val="0"/>
            <w:vAlign w:val="center"/>
          </w:tcPr>
          <w:p w14:paraId="43CFBAFD">
            <w:r>
              <w:rPr>
                <w:rStyle w:val="10"/>
                <w:rFonts w:hint="eastAsia"/>
              </w:rPr>
              <w:t>总有效成分含量：</w:t>
            </w:r>
            <w:r>
              <w:rPr>
                <w:rFonts w:hint="eastAsia"/>
              </w:rPr>
              <w:t>2%</w:t>
            </w:r>
          </w:p>
        </w:tc>
      </w:tr>
      <w:tr w14:paraId="075BC441">
        <w:tblPrEx>
          <w:tblCellMar>
            <w:top w:w="0" w:type="dxa"/>
            <w:left w:w="0" w:type="dxa"/>
            <w:bottom w:w="0" w:type="dxa"/>
            <w:right w:w="0" w:type="dxa"/>
          </w:tblCellMar>
        </w:tblPrEx>
        <w:trPr>
          <w:wBefore w:w="0" w:type="auto"/>
          <w:tblCellSpacing w:w="0" w:type="dxa"/>
        </w:trPr>
        <w:tc>
          <w:tcPr>
            <w:tcW w:w="0" w:type="auto"/>
            <w:noWrap w:val="0"/>
            <w:vAlign w:val="center"/>
          </w:tcPr>
          <w:p w14:paraId="35CEFD3F">
            <w:r>
              <w:rPr>
                <w:rFonts w:hint="eastAsia"/>
              </w:rPr>
              <w:t xml:space="preserve">有效成分及其含量： </w:t>
            </w:r>
          </w:p>
          <w:p w14:paraId="16E7181A">
            <w:r>
              <w:rPr>
                <w:rFonts w:hint="eastAsia"/>
              </w:rPr>
              <w:t xml:space="preserve">    苄氨基嘌呤2%    </w:t>
            </w:r>
          </w:p>
        </w:tc>
      </w:tr>
      <w:tr w14:paraId="089BAE7B">
        <w:tblPrEx>
          <w:tblCellMar>
            <w:top w:w="0" w:type="dxa"/>
            <w:left w:w="0" w:type="dxa"/>
            <w:bottom w:w="0" w:type="dxa"/>
            <w:right w:w="0" w:type="dxa"/>
          </w:tblCellMar>
        </w:tblPrEx>
        <w:trPr>
          <w:wBefore w:w="0" w:type="auto"/>
          <w:tblCellSpacing w:w="0" w:type="dxa"/>
        </w:trPr>
        <w:tc>
          <w:tcPr>
            <w:tcW w:w="0" w:type="auto"/>
            <w:noWrap w:val="0"/>
            <w:vAlign w:val="center"/>
          </w:tcPr>
          <w:p w14:paraId="27E1275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B269FC4">
              <w:tblPrEx>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A34DFA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320B2D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B3D623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8260468">
                  <w:r>
                    <w:rPr>
                      <w:rStyle w:val="11"/>
                      <w:rFonts w:hint="eastAsia"/>
                    </w:rPr>
                    <w:t>施用方式</w:t>
                  </w:r>
                </w:p>
              </w:tc>
            </w:tr>
            <w:tr w14:paraId="6A3EC8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B9EC42">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73784DD">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2C72D1">
                  <w:r>
                    <w:rPr>
                      <w:rStyle w:val="11"/>
                      <w:rFonts w:hint="eastAsia"/>
                    </w:rPr>
                    <w:t>400-600倍液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C515B7">
                  <w:r>
                    <w:rPr>
                      <w:rStyle w:val="11"/>
                      <w:rFonts w:hint="eastAsia"/>
                    </w:rPr>
                    <w:t>喷雾</w:t>
                  </w:r>
                </w:p>
              </w:tc>
            </w:tr>
          </w:tbl>
          <w:p w14:paraId="0458A11A">
            <w:pPr>
              <w:rPr>
                <w:rFonts w:ascii="Times New Roman" w:hAnsi="Times New Roman" w:cs="Times New Roman"/>
                <w:sz w:val="20"/>
                <w:szCs w:val="20"/>
              </w:rPr>
            </w:pPr>
          </w:p>
        </w:tc>
      </w:tr>
      <w:tr w14:paraId="773B2F84">
        <w:tblPrEx>
          <w:tblCellMar>
            <w:top w:w="0" w:type="dxa"/>
            <w:left w:w="0" w:type="dxa"/>
            <w:bottom w:w="0" w:type="dxa"/>
            <w:right w:w="0" w:type="dxa"/>
          </w:tblCellMar>
        </w:tblPrEx>
        <w:trPr>
          <w:wBefore w:w="0" w:type="auto"/>
          <w:tblCellSpacing w:w="0" w:type="dxa"/>
        </w:trPr>
        <w:tc>
          <w:tcPr>
            <w:tcW w:w="0" w:type="auto"/>
            <w:noWrap w:val="0"/>
            <w:vAlign w:val="center"/>
          </w:tcPr>
          <w:p w14:paraId="11E46AA8">
            <w:r>
              <w:rPr>
                <w:rStyle w:val="10"/>
                <w:rFonts w:hint="eastAsia"/>
              </w:rPr>
              <w:t>使用技术要求:</w:t>
            </w:r>
            <w:r>
              <w:rPr>
                <w:rFonts w:hint="eastAsia"/>
              </w:rPr>
              <w:br w:type="textWrapping"/>
            </w:r>
            <w:r>
              <w:rPr>
                <w:rStyle w:val="11"/>
                <w:rFonts w:hint="eastAsia"/>
              </w:rPr>
              <w:t>1.于柑橘树谢花后5-7天喷雾施药一次，间隔10-15天再喷施一次。 2.大风天或预计1小时内降雨，请勿施药。</w:t>
            </w:r>
          </w:p>
        </w:tc>
      </w:tr>
      <w:tr w14:paraId="46D6A7D7">
        <w:tblPrEx>
          <w:tblCellMar>
            <w:top w:w="0" w:type="dxa"/>
            <w:left w:w="0" w:type="dxa"/>
            <w:bottom w:w="0" w:type="dxa"/>
            <w:right w:w="0" w:type="dxa"/>
          </w:tblCellMar>
        </w:tblPrEx>
        <w:trPr>
          <w:wBefore w:w="0" w:type="auto"/>
          <w:tblCellSpacing w:w="0" w:type="dxa"/>
        </w:trPr>
        <w:tc>
          <w:tcPr>
            <w:tcW w:w="0" w:type="auto"/>
            <w:noWrap w:val="0"/>
            <w:vAlign w:val="center"/>
          </w:tcPr>
          <w:p w14:paraId="0845E396">
            <w:r>
              <w:rPr>
                <w:rStyle w:val="10"/>
                <w:rFonts w:hint="eastAsia"/>
              </w:rPr>
              <w:t>产品性能:</w:t>
            </w:r>
            <w:r>
              <w:rPr>
                <w:rFonts w:hint="eastAsia"/>
              </w:rPr>
              <w:br w:type="textWrapping"/>
            </w:r>
            <w:r>
              <w:rPr>
                <w:rStyle w:val="11"/>
                <w:rFonts w:hint="eastAsia"/>
              </w:rPr>
              <w:t xml:space="preserve">本品为高活性细胞分裂素，活性高，能增加叶绿素，提高光合效率，有效促进植株细胞分裂和分化，促进花芽分化，加速生长和发育，强化植株，壮果膨果，有利于调节柑橘生产、并增产。 </w:t>
            </w:r>
          </w:p>
        </w:tc>
      </w:tr>
      <w:tr w14:paraId="245C768E">
        <w:tblPrEx>
          <w:tblCellMar>
            <w:top w:w="0" w:type="dxa"/>
            <w:left w:w="0" w:type="dxa"/>
            <w:bottom w:w="0" w:type="dxa"/>
            <w:right w:w="0" w:type="dxa"/>
          </w:tblCellMar>
        </w:tblPrEx>
        <w:trPr>
          <w:wBefore w:w="0" w:type="auto"/>
          <w:tblCellSpacing w:w="0" w:type="dxa"/>
        </w:trPr>
        <w:tc>
          <w:tcPr>
            <w:tcW w:w="0" w:type="auto"/>
            <w:noWrap w:val="0"/>
            <w:vAlign w:val="center"/>
          </w:tcPr>
          <w:p w14:paraId="2019B04E">
            <w:r>
              <w:rPr>
                <w:rStyle w:val="10"/>
                <w:rFonts w:hint="eastAsia"/>
              </w:rPr>
              <w:t>注意事项：</w:t>
            </w:r>
            <w:r>
              <w:rPr>
                <w:rFonts w:hint="eastAsia"/>
              </w:rPr>
              <w:br w:type="textWrapping"/>
            </w:r>
            <w:r>
              <w:rPr>
                <w:rStyle w:val="11"/>
                <w:rFonts w:hint="eastAsia"/>
              </w:rPr>
              <w:t>1.本品对鱼类有毒，施药期间应远离水产养殖区施药，禁止在河塘等水体中清洗施药器具；对蜜蜂有毒，避免对周围蜂群的影响，开花作物花期禁用；2.对鸟类有毒，鸟类觅食区慎用。3. 使用本品时应戴防护手套，口罩，穿防护服。避免与皮肤、眼睛直接接触，防止由口、鼻吸入，不能吸烟、饮水等；施药后应及时用肥皂和清水清洗裸露的皮肤和衣服。5.用过的容器应妥善处理，不可作他用，也不可随意丢弃。6.避免孕妇及哺乳期的妇女接触本品。7.避免与氧化剂接触。</w:t>
            </w:r>
          </w:p>
        </w:tc>
      </w:tr>
      <w:tr w14:paraId="35823EC4">
        <w:tblPrEx>
          <w:tblCellMar>
            <w:top w:w="0" w:type="dxa"/>
            <w:left w:w="0" w:type="dxa"/>
            <w:bottom w:w="0" w:type="dxa"/>
            <w:right w:w="0" w:type="dxa"/>
          </w:tblCellMar>
        </w:tblPrEx>
        <w:trPr>
          <w:wBefore w:w="0" w:type="auto"/>
          <w:tblCellSpacing w:w="0" w:type="dxa"/>
        </w:trPr>
        <w:tc>
          <w:tcPr>
            <w:tcW w:w="0" w:type="auto"/>
            <w:noWrap w:val="0"/>
            <w:vAlign w:val="center"/>
          </w:tcPr>
          <w:p w14:paraId="30D45930">
            <w:r>
              <w:rPr>
                <w:rStyle w:val="10"/>
                <w:rFonts w:hint="eastAsia"/>
              </w:rPr>
              <w:t>中毒急救措施：</w:t>
            </w:r>
            <w:r>
              <w:rPr>
                <w:rFonts w:hint="eastAsia"/>
              </w:rPr>
              <w:br w:type="textWrapping"/>
            </w:r>
            <w:r>
              <w:rPr>
                <w:rStyle w:val="11"/>
                <w:rFonts w:hint="eastAsia"/>
              </w:rPr>
              <w:t xml:space="preserve">中毒症状：未见中毒报道。 使用中或使用后如果感觉不适，应立即停止工作，采取急救措施，并携带标签送医院就诊。皮肤接触：脱去污染的衣物，用软布去除沾染农药，立即用大量清水和肥皂冲洗。眼睛溅入：立即用清水彻底冲洗干净。仍有不适，应携此标签送医院对症治疗。吸入：将吸入着转移至空气清新处。误食：立即停止服用，用清水充分漱口后，立即携带农药标签到医院就诊。 </w:t>
            </w:r>
          </w:p>
        </w:tc>
      </w:tr>
      <w:tr w14:paraId="4923B198">
        <w:tblPrEx>
          <w:tblCellMar>
            <w:top w:w="0" w:type="dxa"/>
            <w:left w:w="0" w:type="dxa"/>
            <w:bottom w:w="0" w:type="dxa"/>
            <w:right w:w="0" w:type="dxa"/>
          </w:tblCellMar>
        </w:tblPrEx>
        <w:trPr>
          <w:wBefore w:w="0" w:type="auto"/>
          <w:tblCellSpacing w:w="0" w:type="dxa"/>
        </w:trPr>
        <w:tc>
          <w:tcPr>
            <w:tcW w:w="0" w:type="auto"/>
            <w:noWrap w:val="0"/>
            <w:vAlign w:val="center"/>
          </w:tcPr>
          <w:p w14:paraId="15A448F8">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本品应贮存在干燥、阴凉、通风、防雨处，远离火源或热源。置于儿童、无关人员及动物触及不到之处，并加锁保存。勿与食品、饮料、饲料和粮食等其他商品同贮同运。 </w:t>
            </w:r>
          </w:p>
        </w:tc>
      </w:tr>
      <w:tr w14:paraId="34F62CF4">
        <w:tblPrEx>
          <w:tblCellMar>
            <w:top w:w="0" w:type="dxa"/>
            <w:left w:w="0" w:type="dxa"/>
            <w:bottom w:w="0" w:type="dxa"/>
            <w:right w:w="0" w:type="dxa"/>
          </w:tblCellMar>
        </w:tblPrEx>
        <w:trPr>
          <w:wBefore w:w="0" w:type="auto"/>
          <w:tblCellSpacing w:w="0" w:type="dxa"/>
        </w:trPr>
        <w:tc>
          <w:tcPr>
            <w:tcW w:w="0" w:type="auto"/>
            <w:noWrap w:val="0"/>
            <w:vAlign w:val="center"/>
          </w:tcPr>
          <w:p w14:paraId="6BA8B0AB">
            <w:r>
              <w:rPr>
                <w:rStyle w:val="10"/>
                <w:rFonts w:hint="eastAsia"/>
              </w:rPr>
              <w:t>质量保证期：</w:t>
            </w:r>
            <w:r>
              <w:rPr>
                <w:rStyle w:val="11"/>
                <w:rFonts w:hint="eastAsia"/>
              </w:rPr>
              <w:t>2年</w:t>
            </w:r>
          </w:p>
        </w:tc>
      </w:tr>
      <w:tr w14:paraId="665A5748">
        <w:tblPrEx>
          <w:tblCellMar>
            <w:top w:w="0" w:type="dxa"/>
            <w:left w:w="0" w:type="dxa"/>
            <w:bottom w:w="0" w:type="dxa"/>
            <w:right w:w="0" w:type="dxa"/>
          </w:tblCellMar>
        </w:tblPrEx>
        <w:trPr>
          <w:wBefore w:w="0" w:type="auto"/>
          <w:tblCellSpacing w:w="0" w:type="dxa"/>
        </w:trPr>
        <w:tc>
          <w:tcPr>
            <w:tcW w:w="0" w:type="auto"/>
            <w:noWrap w:val="0"/>
            <w:vAlign w:val="center"/>
          </w:tcPr>
          <w:p w14:paraId="02F0E8D8">
            <w:r>
              <w:rPr>
                <w:rStyle w:val="10"/>
                <w:rFonts w:hint="eastAsia"/>
              </w:rPr>
              <w:t>备注：</w:t>
            </w:r>
          </w:p>
        </w:tc>
      </w:tr>
    </w:tbl>
    <w:p w14:paraId="0D65C14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6DBF04E">
        <w:tblPrEx>
          <w:tblCellMar>
            <w:top w:w="0" w:type="dxa"/>
            <w:left w:w="0" w:type="dxa"/>
            <w:bottom w:w="0" w:type="dxa"/>
            <w:right w:w="0" w:type="dxa"/>
          </w:tblCellMar>
        </w:tblPrEx>
        <w:trPr>
          <w:wBefore w:w="0" w:type="auto"/>
          <w:tblCellSpacing w:w="0" w:type="dxa"/>
        </w:trPr>
        <w:tc>
          <w:tcPr>
            <w:tcW w:w="0" w:type="auto"/>
            <w:noWrap w:val="0"/>
            <w:vAlign w:val="center"/>
          </w:tcPr>
          <w:p w14:paraId="1AD6578C">
            <w:r>
              <w:rPr>
                <w:rStyle w:val="10"/>
                <w:rFonts w:hint="eastAsia"/>
              </w:rPr>
              <w:t>登记证号：</w:t>
            </w:r>
            <w:r>
              <w:rPr>
                <w:rFonts w:hint="eastAsia"/>
              </w:rPr>
              <w:t>PD20211813</w:t>
            </w:r>
          </w:p>
        </w:tc>
      </w:tr>
      <w:tr w14:paraId="1D1A0520">
        <w:tblPrEx>
          <w:tblCellMar>
            <w:top w:w="0" w:type="dxa"/>
            <w:left w:w="0" w:type="dxa"/>
            <w:bottom w:w="0" w:type="dxa"/>
            <w:right w:w="0" w:type="dxa"/>
          </w:tblCellMar>
        </w:tblPrEx>
        <w:trPr>
          <w:wBefore w:w="0" w:type="auto"/>
          <w:tblCellSpacing w:w="0" w:type="dxa"/>
        </w:trPr>
        <w:tc>
          <w:tcPr>
            <w:tcW w:w="0" w:type="auto"/>
            <w:noWrap w:val="0"/>
            <w:vAlign w:val="center"/>
          </w:tcPr>
          <w:p w14:paraId="7EC09DFF">
            <w:r>
              <w:rPr>
                <w:rStyle w:val="10"/>
                <w:rFonts w:hint="eastAsia"/>
              </w:rPr>
              <w:t>登记证持有人：</w:t>
            </w:r>
            <w:r>
              <w:rPr>
                <w:rFonts w:hint="eastAsia"/>
              </w:rPr>
              <w:t>南阳新卧龙生物化工有限公司</w:t>
            </w:r>
          </w:p>
        </w:tc>
      </w:tr>
      <w:tr w14:paraId="0BA8082A">
        <w:tblPrEx>
          <w:tblCellMar>
            <w:top w:w="0" w:type="dxa"/>
            <w:left w:w="0" w:type="dxa"/>
            <w:bottom w:w="0" w:type="dxa"/>
            <w:right w:w="0" w:type="dxa"/>
          </w:tblCellMar>
        </w:tblPrEx>
        <w:trPr>
          <w:wBefore w:w="0" w:type="auto"/>
          <w:tblCellSpacing w:w="0" w:type="dxa"/>
        </w:trPr>
        <w:tc>
          <w:tcPr>
            <w:tcW w:w="0" w:type="auto"/>
            <w:noWrap w:val="0"/>
            <w:vAlign w:val="center"/>
          </w:tcPr>
          <w:p w14:paraId="28DF8F22">
            <w:r>
              <w:rPr>
                <w:rStyle w:val="10"/>
                <w:rFonts w:hint="eastAsia"/>
              </w:rPr>
              <w:t>农药名称：</w:t>
            </w:r>
            <w:r>
              <w:rPr>
                <w:rFonts w:hint="eastAsia"/>
              </w:rPr>
              <w:t>氟啶虫酰胺·联苯菊酯</w:t>
            </w:r>
          </w:p>
        </w:tc>
      </w:tr>
      <w:tr w14:paraId="6DE6897C">
        <w:tblPrEx>
          <w:tblCellMar>
            <w:top w:w="0" w:type="dxa"/>
            <w:left w:w="0" w:type="dxa"/>
            <w:bottom w:w="0" w:type="dxa"/>
            <w:right w:w="0" w:type="dxa"/>
          </w:tblCellMar>
        </w:tblPrEx>
        <w:trPr>
          <w:wBefore w:w="0" w:type="auto"/>
          <w:tblCellSpacing w:w="0" w:type="dxa"/>
        </w:trPr>
        <w:tc>
          <w:tcPr>
            <w:tcW w:w="0" w:type="auto"/>
            <w:noWrap w:val="0"/>
            <w:vAlign w:val="center"/>
          </w:tcPr>
          <w:p w14:paraId="3E17D867">
            <w:r>
              <w:rPr>
                <w:rStyle w:val="10"/>
                <w:rFonts w:hint="eastAsia"/>
              </w:rPr>
              <w:t>剂型：</w:t>
            </w:r>
            <w:r>
              <w:rPr>
                <w:rFonts w:hint="eastAsia"/>
              </w:rPr>
              <w:t>悬浮剂</w:t>
            </w:r>
          </w:p>
        </w:tc>
      </w:tr>
      <w:tr w14:paraId="2D9F2772">
        <w:tblPrEx>
          <w:tblCellMar>
            <w:top w:w="0" w:type="dxa"/>
            <w:left w:w="0" w:type="dxa"/>
            <w:bottom w:w="0" w:type="dxa"/>
            <w:right w:w="0" w:type="dxa"/>
          </w:tblCellMar>
        </w:tblPrEx>
        <w:trPr>
          <w:wBefore w:w="0" w:type="auto"/>
          <w:tblCellSpacing w:w="0" w:type="dxa"/>
        </w:trPr>
        <w:tc>
          <w:tcPr>
            <w:tcW w:w="0" w:type="auto"/>
            <w:noWrap w:val="0"/>
            <w:vAlign w:val="center"/>
          </w:tcPr>
          <w:p w14:paraId="5914CDB1">
            <w:r>
              <w:rPr>
                <w:rStyle w:val="10"/>
                <w:rFonts w:hint="eastAsia"/>
              </w:rPr>
              <w:t>毒性及其标识：</w:t>
            </w:r>
            <w:r>
              <w:rPr>
                <w:rFonts w:hint="eastAsia"/>
              </w:rPr>
              <w:t xml:space="preserve"> </w:t>
            </w:r>
            <w:r>
              <w:rPr>
                <w:lang/>
              </w:rPr>
              <w:drawing>
                <wp:inline distT="0" distB="0" distL="114300" distR="114300">
                  <wp:extent cx="476250" cy="323850"/>
                  <wp:effectExtent l="0" t="0" r="0" b="0"/>
                  <wp:docPr id="521" name="图片 52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5B2E0FA">
        <w:tblPrEx>
          <w:tblCellMar>
            <w:top w:w="0" w:type="dxa"/>
            <w:left w:w="0" w:type="dxa"/>
            <w:bottom w:w="0" w:type="dxa"/>
            <w:right w:w="0" w:type="dxa"/>
          </w:tblCellMar>
        </w:tblPrEx>
        <w:trPr>
          <w:wBefore w:w="0" w:type="auto"/>
          <w:tblCellSpacing w:w="0" w:type="dxa"/>
        </w:trPr>
        <w:tc>
          <w:tcPr>
            <w:tcW w:w="0" w:type="auto"/>
            <w:noWrap w:val="0"/>
            <w:vAlign w:val="center"/>
          </w:tcPr>
          <w:p w14:paraId="392FF3C2">
            <w:r>
              <w:rPr>
                <w:rStyle w:val="10"/>
                <w:rFonts w:hint="eastAsia"/>
              </w:rPr>
              <w:t>总有效成分含量：</w:t>
            </w:r>
            <w:r>
              <w:rPr>
                <w:rFonts w:hint="eastAsia"/>
              </w:rPr>
              <w:t>15%</w:t>
            </w:r>
          </w:p>
        </w:tc>
      </w:tr>
      <w:tr w14:paraId="0F90CAB2">
        <w:tblPrEx>
          <w:tblCellMar>
            <w:top w:w="0" w:type="dxa"/>
            <w:left w:w="0" w:type="dxa"/>
            <w:bottom w:w="0" w:type="dxa"/>
            <w:right w:w="0" w:type="dxa"/>
          </w:tblCellMar>
        </w:tblPrEx>
        <w:trPr>
          <w:wBefore w:w="0" w:type="auto"/>
          <w:tblCellSpacing w:w="0" w:type="dxa"/>
        </w:trPr>
        <w:tc>
          <w:tcPr>
            <w:tcW w:w="0" w:type="auto"/>
            <w:noWrap w:val="0"/>
            <w:vAlign w:val="center"/>
          </w:tcPr>
          <w:p w14:paraId="6F3A2287">
            <w:r>
              <w:rPr>
                <w:rFonts w:hint="eastAsia"/>
              </w:rPr>
              <w:t xml:space="preserve">有效成分及其含量： </w:t>
            </w:r>
          </w:p>
          <w:p w14:paraId="38C1072F">
            <w:r>
              <w:rPr>
                <w:rFonts w:hint="eastAsia"/>
              </w:rPr>
              <w:t xml:space="preserve">    联苯菊酯5%    氟啶虫酰胺10%    </w:t>
            </w:r>
          </w:p>
        </w:tc>
      </w:tr>
      <w:tr w14:paraId="68D7DCC2">
        <w:tblPrEx>
          <w:tblCellMar>
            <w:top w:w="0" w:type="dxa"/>
            <w:left w:w="0" w:type="dxa"/>
            <w:bottom w:w="0" w:type="dxa"/>
            <w:right w:w="0" w:type="dxa"/>
          </w:tblCellMar>
        </w:tblPrEx>
        <w:trPr>
          <w:wBefore w:w="0" w:type="auto"/>
          <w:tblCellSpacing w:w="0" w:type="dxa"/>
        </w:trPr>
        <w:tc>
          <w:tcPr>
            <w:tcW w:w="0" w:type="auto"/>
            <w:noWrap w:val="0"/>
            <w:vAlign w:val="center"/>
          </w:tcPr>
          <w:p w14:paraId="5BA6070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546A4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6C5F4A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006375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80C15D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85AA7FF">
                  <w:r>
                    <w:rPr>
                      <w:rStyle w:val="11"/>
                      <w:rFonts w:hint="eastAsia"/>
                    </w:rPr>
                    <w:t>施用方式</w:t>
                  </w:r>
                </w:p>
              </w:tc>
            </w:tr>
            <w:tr w14:paraId="30F37E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55EE639">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A594D9">
                  <w:r>
                    <w:rPr>
                      <w:rStyle w:val="11"/>
                      <w:rFonts w:hint="eastAsia"/>
                    </w:rPr>
                    <w:t>桃蚜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9A5781">
                  <w:r>
                    <w:rPr>
                      <w:rStyle w:val="11"/>
                      <w:rFonts w:hint="eastAsia"/>
                    </w:rPr>
                    <w:t>4000-5000倍液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2AC4E0">
                  <w:r>
                    <w:rPr>
                      <w:rStyle w:val="11"/>
                      <w:rFonts w:hint="eastAsia"/>
                    </w:rPr>
                    <w:t>喷雾</w:t>
                  </w:r>
                </w:p>
              </w:tc>
            </w:tr>
          </w:tbl>
          <w:p w14:paraId="32D8C155">
            <w:pPr>
              <w:rPr>
                <w:rFonts w:ascii="Times New Roman" w:hAnsi="Times New Roman" w:cs="Times New Roman"/>
                <w:sz w:val="20"/>
                <w:szCs w:val="20"/>
              </w:rPr>
            </w:pPr>
          </w:p>
        </w:tc>
      </w:tr>
      <w:tr w14:paraId="49CA142F">
        <w:tblPrEx>
          <w:tblCellMar>
            <w:top w:w="0" w:type="dxa"/>
            <w:left w:w="0" w:type="dxa"/>
            <w:bottom w:w="0" w:type="dxa"/>
            <w:right w:w="0" w:type="dxa"/>
          </w:tblCellMar>
        </w:tblPrEx>
        <w:trPr>
          <w:wBefore w:w="0" w:type="auto"/>
          <w:tblCellSpacing w:w="0" w:type="dxa"/>
        </w:trPr>
        <w:tc>
          <w:tcPr>
            <w:tcW w:w="0" w:type="auto"/>
            <w:noWrap w:val="0"/>
            <w:vAlign w:val="center"/>
          </w:tcPr>
          <w:p w14:paraId="397C3D89">
            <w:r>
              <w:rPr>
                <w:rStyle w:val="10"/>
                <w:rFonts w:hint="eastAsia"/>
              </w:rPr>
              <w:t>使用技术要求:</w:t>
            </w:r>
            <w:r>
              <w:rPr>
                <w:rFonts w:hint="eastAsia"/>
              </w:rPr>
              <w:br w:type="textWrapping"/>
            </w:r>
            <w:r>
              <w:rPr>
                <w:rStyle w:val="11"/>
                <w:rFonts w:hint="eastAsia"/>
              </w:rPr>
              <w:t>1. 本品应于桃树桃蚜始盛期施药1次，注意喷雾均匀、周到，以确保防效。 2. 本品在桃树上使用时的安全间隔期为14天，每季作物最多使用1次。 3. 大风天或预计1小时内降雨，请勿施药。</w:t>
            </w:r>
          </w:p>
        </w:tc>
      </w:tr>
      <w:tr w14:paraId="0CDC77A1">
        <w:tblPrEx>
          <w:tblCellMar>
            <w:top w:w="0" w:type="dxa"/>
            <w:left w:w="0" w:type="dxa"/>
            <w:bottom w:w="0" w:type="dxa"/>
            <w:right w:w="0" w:type="dxa"/>
          </w:tblCellMar>
        </w:tblPrEx>
        <w:trPr>
          <w:wBefore w:w="0" w:type="auto"/>
          <w:tblCellSpacing w:w="0" w:type="dxa"/>
        </w:trPr>
        <w:tc>
          <w:tcPr>
            <w:tcW w:w="0" w:type="auto"/>
            <w:noWrap w:val="0"/>
            <w:vAlign w:val="center"/>
          </w:tcPr>
          <w:p w14:paraId="5D9DEC1D">
            <w:r>
              <w:rPr>
                <w:rStyle w:val="10"/>
                <w:rFonts w:hint="eastAsia"/>
              </w:rPr>
              <w:t>产品性能:</w:t>
            </w:r>
            <w:r>
              <w:rPr>
                <w:rFonts w:hint="eastAsia"/>
              </w:rPr>
              <w:br w:type="textWrapping"/>
            </w:r>
            <w:r>
              <w:rPr>
                <w:rStyle w:val="11"/>
                <w:rFonts w:hint="eastAsia"/>
              </w:rPr>
              <w:t>联苯菊酯属拟除虫菊酯类杀虫剂，具有触杀、胃毒作用，杀虫谱广、作用迅速。氟啶虫酰胺是一种新型低毒吡啶酰胺类昆虫生长调节剂类杀虫剂，除具有触杀和胃毒作用，还具有很好的神经毒剂和快速拒食作用。该产品可以使得两种药剂的速效性和持效性产生互补效果，降低单剂的用药量，有效提高防治效果。</w:t>
            </w:r>
          </w:p>
        </w:tc>
      </w:tr>
      <w:tr w14:paraId="6C5795EC">
        <w:tblPrEx>
          <w:tblCellMar>
            <w:top w:w="0" w:type="dxa"/>
            <w:left w:w="0" w:type="dxa"/>
            <w:bottom w:w="0" w:type="dxa"/>
            <w:right w:w="0" w:type="dxa"/>
          </w:tblCellMar>
        </w:tblPrEx>
        <w:trPr>
          <w:wBefore w:w="0" w:type="auto"/>
          <w:tblCellSpacing w:w="0" w:type="dxa"/>
        </w:trPr>
        <w:tc>
          <w:tcPr>
            <w:tcW w:w="0" w:type="auto"/>
            <w:noWrap w:val="0"/>
            <w:vAlign w:val="center"/>
          </w:tcPr>
          <w:p w14:paraId="5E029406">
            <w:r>
              <w:rPr>
                <w:rStyle w:val="10"/>
                <w:rFonts w:hint="eastAsia"/>
              </w:rPr>
              <w:t>注意事项：</w:t>
            </w:r>
            <w:r>
              <w:rPr>
                <w:rFonts w:hint="eastAsia"/>
              </w:rPr>
              <w:br w:type="textWrapping"/>
            </w:r>
            <w:r>
              <w:rPr>
                <w:rStyle w:val="11"/>
                <w:rFonts w:hint="eastAsia"/>
              </w:rPr>
              <w:t>1. 本品不可与呈碱性的农药等物质混合使用。2. 使用时穿戴长衣、长裤、帽子、口罩、手套等安全防护措施，避免皮肤接触及口鼻吸入药液。施药期间不可吃东西和饮水，施药后应及时洗手和洗脸。3. 本品对蜜蜂、鱼等水生生物、家蚕有毒，（周围）开花植物花期禁用，使用期间应密切关注对附近蜂群的影响；蚕室及桑园附近禁用；瓢虫、赤眼蜂等天敌放飞区域禁用。远离水产养殖区、河塘等水体附近施药，避免药液污染水源，禁止在河塘等水域中清洗施药器具。4. 用过的容器应妥善处理，不可做他用，也不可随意丢弃。5. 孕妇及哺乳期妇女应避免接触本品。6. 建议与其他作用机制不同的杀虫剂轮换使用，以延缓抗性的产生。</w:t>
            </w:r>
          </w:p>
        </w:tc>
      </w:tr>
      <w:tr w14:paraId="4696617A">
        <w:tblPrEx>
          <w:tblCellMar>
            <w:top w:w="0" w:type="dxa"/>
            <w:left w:w="0" w:type="dxa"/>
            <w:bottom w:w="0" w:type="dxa"/>
            <w:right w:w="0" w:type="dxa"/>
          </w:tblCellMar>
        </w:tblPrEx>
        <w:trPr>
          <w:wBefore w:w="0" w:type="auto"/>
          <w:tblCellSpacing w:w="0" w:type="dxa"/>
        </w:trPr>
        <w:tc>
          <w:tcPr>
            <w:tcW w:w="0" w:type="auto"/>
            <w:noWrap w:val="0"/>
            <w:vAlign w:val="center"/>
          </w:tcPr>
          <w:p w14:paraId="272323AB">
            <w:r>
              <w:rPr>
                <w:rStyle w:val="10"/>
                <w:rFonts w:hint="eastAsia"/>
              </w:rPr>
              <w:t>中毒急救措施：</w:t>
            </w:r>
            <w:r>
              <w:rPr>
                <w:rFonts w:hint="eastAsia"/>
              </w:rPr>
              <w:br w:type="textWrapping"/>
            </w:r>
            <w:r>
              <w:rPr>
                <w:rStyle w:val="11"/>
                <w:rFonts w:hint="eastAsia"/>
              </w:rPr>
              <w:t>用药时如果感觉不适，立即停止工作，采取急救措施，并携此标签送医就诊。2.皮肤接触：立即脱掉被污染的衣物，用大量清水冲洗被污染的皮肤，再用肥皂清洗，然后用清水冲净。3.眼睛溅药：立即将眼睑翻开，用清水冲洗至少15分钟，再请医生诊治。4. 发生吸入：立即将吸入者转移到空气新鲜处，如果吸入者停止呼吸，需进行人工呼吸。请医生诊治。5. 误服：请勿引吐，立即携此标签，送医就诊。</w:t>
            </w:r>
          </w:p>
        </w:tc>
      </w:tr>
      <w:tr w14:paraId="1A5B783A">
        <w:tblPrEx>
          <w:tblCellMar>
            <w:top w:w="0" w:type="dxa"/>
            <w:left w:w="0" w:type="dxa"/>
            <w:bottom w:w="0" w:type="dxa"/>
            <w:right w:w="0" w:type="dxa"/>
          </w:tblCellMar>
        </w:tblPrEx>
        <w:trPr>
          <w:wBefore w:w="0" w:type="auto"/>
          <w:tblCellSpacing w:w="0" w:type="dxa"/>
        </w:trPr>
        <w:tc>
          <w:tcPr>
            <w:tcW w:w="0" w:type="auto"/>
            <w:noWrap w:val="0"/>
            <w:vAlign w:val="center"/>
          </w:tcPr>
          <w:p w14:paraId="27DA702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本品应贮存在干燥、阴凉、通风、防雨处，远离火源或热源。置于儿童、无关人员及动物触及不到之处，并加锁保存。勿与食品、饮料、饲料、粮食等其他商品同贮同运。</w:t>
            </w:r>
          </w:p>
        </w:tc>
      </w:tr>
      <w:tr w14:paraId="60B7A330">
        <w:tblPrEx>
          <w:tblCellMar>
            <w:top w:w="0" w:type="dxa"/>
            <w:left w:w="0" w:type="dxa"/>
            <w:bottom w:w="0" w:type="dxa"/>
            <w:right w:w="0" w:type="dxa"/>
          </w:tblCellMar>
        </w:tblPrEx>
        <w:trPr>
          <w:wBefore w:w="0" w:type="auto"/>
          <w:tblCellSpacing w:w="0" w:type="dxa"/>
        </w:trPr>
        <w:tc>
          <w:tcPr>
            <w:tcW w:w="0" w:type="auto"/>
            <w:noWrap w:val="0"/>
            <w:vAlign w:val="center"/>
          </w:tcPr>
          <w:p w14:paraId="6C6BF5F1">
            <w:r>
              <w:rPr>
                <w:rStyle w:val="10"/>
                <w:rFonts w:hint="eastAsia"/>
              </w:rPr>
              <w:t>质量保证期：</w:t>
            </w:r>
            <w:r>
              <w:rPr>
                <w:rStyle w:val="11"/>
                <w:rFonts w:hint="eastAsia"/>
              </w:rPr>
              <w:t>2年</w:t>
            </w:r>
          </w:p>
        </w:tc>
      </w:tr>
      <w:tr w14:paraId="003EC499">
        <w:tblPrEx>
          <w:tblCellMar>
            <w:top w:w="0" w:type="dxa"/>
            <w:left w:w="0" w:type="dxa"/>
            <w:bottom w:w="0" w:type="dxa"/>
            <w:right w:w="0" w:type="dxa"/>
          </w:tblCellMar>
        </w:tblPrEx>
        <w:trPr>
          <w:wBefore w:w="0" w:type="auto"/>
          <w:tblCellSpacing w:w="0" w:type="dxa"/>
        </w:trPr>
        <w:tc>
          <w:tcPr>
            <w:tcW w:w="0" w:type="auto"/>
            <w:noWrap w:val="0"/>
            <w:vAlign w:val="center"/>
          </w:tcPr>
          <w:p w14:paraId="73A74563">
            <w:r>
              <w:rPr>
                <w:rStyle w:val="10"/>
                <w:rFonts w:hint="eastAsia"/>
              </w:rPr>
              <w:t>备注：</w:t>
            </w:r>
          </w:p>
        </w:tc>
      </w:tr>
    </w:tbl>
    <w:p w14:paraId="7E120D2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ED8C48">
        <w:tblPrEx>
          <w:tblCellMar>
            <w:top w:w="0" w:type="dxa"/>
            <w:left w:w="0" w:type="dxa"/>
            <w:bottom w:w="0" w:type="dxa"/>
            <w:right w:w="0" w:type="dxa"/>
          </w:tblCellMar>
        </w:tblPrEx>
        <w:trPr>
          <w:wBefore w:w="0" w:type="auto"/>
          <w:tblCellSpacing w:w="0" w:type="dxa"/>
        </w:trPr>
        <w:tc>
          <w:tcPr>
            <w:tcW w:w="0" w:type="auto"/>
            <w:noWrap w:val="0"/>
            <w:vAlign w:val="center"/>
          </w:tcPr>
          <w:p w14:paraId="4A41229C">
            <w:r>
              <w:rPr>
                <w:rStyle w:val="10"/>
                <w:rFonts w:hint="eastAsia"/>
              </w:rPr>
              <w:t>登记证号：</w:t>
            </w:r>
            <w:r>
              <w:rPr>
                <w:rFonts w:hint="eastAsia"/>
              </w:rPr>
              <w:t>EX20210105</w:t>
            </w:r>
          </w:p>
        </w:tc>
      </w:tr>
      <w:tr w14:paraId="5AB4C716">
        <w:tblPrEx>
          <w:tblCellMar>
            <w:top w:w="0" w:type="dxa"/>
            <w:left w:w="0" w:type="dxa"/>
            <w:bottom w:w="0" w:type="dxa"/>
            <w:right w:w="0" w:type="dxa"/>
          </w:tblCellMar>
        </w:tblPrEx>
        <w:trPr>
          <w:wBefore w:w="0" w:type="auto"/>
          <w:tblCellSpacing w:w="0" w:type="dxa"/>
        </w:trPr>
        <w:tc>
          <w:tcPr>
            <w:tcW w:w="0" w:type="auto"/>
            <w:noWrap w:val="0"/>
            <w:vAlign w:val="center"/>
          </w:tcPr>
          <w:p w14:paraId="3078803B">
            <w:r>
              <w:rPr>
                <w:rStyle w:val="10"/>
                <w:rFonts w:hint="eastAsia"/>
              </w:rPr>
              <w:t>登记证持有人：</w:t>
            </w:r>
            <w:r>
              <w:rPr>
                <w:rFonts w:hint="eastAsia"/>
              </w:rPr>
              <w:t>江苏中旗科技股份有限公司</w:t>
            </w:r>
          </w:p>
        </w:tc>
      </w:tr>
      <w:tr w14:paraId="7F210DDE">
        <w:tblPrEx>
          <w:tblCellMar>
            <w:top w:w="0" w:type="dxa"/>
            <w:left w:w="0" w:type="dxa"/>
            <w:bottom w:w="0" w:type="dxa"/>
            <w:right w:w="0" w:type="dxa"/>
          </w:tblCellMar>
        </w:tblPrEx>
        <w:trPr>
          <w:wBefore w:w="0" w:type="auto"/>
          <w:tblCellSpacing w:w="0" w:type="dxa"/>
        </w:trPr>
        <w:tc>
          <w:tcPr>
            <w:tcW w:w="0" w:type="auto"/>
            <w:noWrap w:val="0"/>
            <w:vAlign w:val="center"/>
          </w:tcPr>
          <w:p w14:paraId="47946E63">
            <w:r>
              <w:rPr>
                <w:rStyle w:val="10"/>
                <w:rFonts w:hint="eastAsia"/>
              </w:rPr>
              <w:t>农药名称：</w:t>
            </w:r>
            <w:r>
              <w:rPr>
                <w:rFonts w:hint="eastAsia"/>
              </w:rPr>
              <w:t>高效氟吡甲禾灵</w:t>
            </w:r>
          </w:p>
        </w:tc>
      </w:tr>
      <w:tr w14:paraId="67238FC5">
        <w:tblPrEx>
          <w:tblCellMar>
            <w:top w:w="0" w:type="dxa"/>
            <w:left w:w="0" w:type="dxa"/>
            <w:bottom w:w="0" w:type="dxa"/>
            <w:right w:w="0" w:type="dxa"/>
          </w:tblCellMar>
        </w:tblPrEx>
        <w:trPr>
          <w:wBefore w:w="0" w:type="auto"/>
          <w:tblCellSpacing w:w="0" w:type="dxa"/>
        </w:trPr>
        <w:tc>
          <w:tcPr>
            <w:tcW w:w="0" w:type="auto"/>
            <w:noWrap w:val="0"/>
            <w:vAlign w:val="center"/>
          </w:tcPr>
          <w:p w14:paraId="693D1867">
            <w:r>
              <w:rPr>
                <w:rStyle w:val="10"/>
                <w:rFonts w:hint="eastAsia"/>
              </w:rPr>
              <w:t>剂型：</w:t>
            </w:r>
            <w:r>
              <w:rPr>
                <w:rFonts w:hint="eastAsia"/>
              </w:rPr>
              <w:t>乳油</w:t>
            </w:r>
          </w:p>
        </w:tc>
      </w:tr>
      <w:tr w14:paraId="768B3848">
        <w:tblPrEx>
          <w:tblCellMar>
            <w:top w:w="0" w:type="dxa"/>
            <w:left w:w="0" w:type="dxa"/>
            <w:bottom w:w="0" w:type="dxa"/>
            <w:right w:w="0" w:type="dxa"/>
          </w:tblCellMar>
        </w:tblPrEx>
        <w:trPr>
          <w:wBefore w:w="0" w:type="auto"/>
          <w:tblCellSpacing w:w="0" w:type="dxa"/>
        </w:trPr>
        <w:tc>
          <w:tcPr>
            <w:tcW w:w="0" w:type="auto"/>
            <w:noWrap w:val="0"/>
            <w:vAlign w:val="center"/>
          </w:tcPr>
          <w:p w14:paraId="7BEF7453">
            <w:r>
              <w:rPr>
                <w:rStyle w:val="10"/>
                <w:rFonts w:hint="eastAsia"/>
              </w:rPr>
              <w:t>毒性及其标识：</w:t>
            </w:r>
            <w:r>
              <w:rPr>
                <w:rFonts w:hint="eastAsia"/>
              </w:rPr>
              <w:t xml:space="preserve"> </w:t>
            </w:r>
            <w:r>
              <w:rPr>
                <w:lang/>
              </w:rPr>
              <w:drawing>
                <wp:inline distT="0" distB="0" distL="114300" distR="114300">
                  <wp:extent cx="476250" cy="323850"/>
                  <wp:effectExtent l="0" t="0" r="0" b="0"/>
                  <wp:docPr id="522" name="图片 52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F25EB22">
        <w:tblPrEx>
          <w:tblCellMar>
            <w:top w:w="0" w:type="dxa"/>
            <w:left w:w="0" w:type="dxa"/>
            <w:bottom w:w="0" w:type="dxa"/>
            <w:right w:w="0" w:type="dxa"/>
          </w:tblCellMar>
        </w:tblPrEx>
        <w:trPr>
          <w:wBefore w:w="0" w:type="auto"/>
          <w:tblCellSpacing w:w="0" w:type="dxa"/>
        </w:trPr>
        <w:tc>
          <w:tcPr>
            <w:tcW w:w="0" w:type="auto"/>
            <w:noWrap w:val="0"/>
            <w:vAlign w:val="center"/>
          </w:tcPr>
          <w:p w14:paraId="787FE6C8">
            <w:r>
              <w:rPr>
                <w:rStyle w:val="10"/>
                <w:rFonts w:hint="eastAsia"/>
              </w:rPr>
              <w:t>总有效成分含量：</w:t>
            </w:r>
            <w:r>
              <w:rPr>
                <w:rFonts w:hint="eastAsia"/>
              </w:rPr>
              <w:t>240克/升</w:t>
            </w:r>
          </w:p>
        </w:tc>
      </w:tr>
      <w:tr w14:paraId="033DADC6">
        <w:tblPrEx>
          <w:tblCellMar>
            <w:top w:w="0" w:type="dxa"/>
            <w:left w:w="0" w:type="dxa"/>
            <w:bottom w:w="0" w:type="dxa"/>
            <w:right w:w="0" w:type="dxa"/>
          </w:tblCellMar>
        </w:tblPrEx>
        <w:trPr>
          <w:wBefore w:w="0" w:type="auto"/>
          <w:tblCellSpacing w:w="0" w:type="dxa"/>
        </w:trPr>
        <w:tc>
          <w:tcPr>
            <w:tcW w:w="0" w:type="auto"/>
            <w:noWrap w:val="0"/>
            <w:vAlign w:val="center"/>
          </w:tcPr>
          <w:p w14:paraId="42648C99">
            <w:r>
              <w:rPr>
                <w:rFonts w:hint="eastAsia"/>
              </w:rPr>
              <w:t xml:space="preserve">有效成分及其含量： </w:t>
            </w:r>
          </w:p>
          <w:p w14:paraId="7531E2C7">
            <w:r>
              <w:rPr>
                <w:rFonts w:hint="eastAsia"/>
              </w:rPr>
              <w:t xml:space="preserve">    </w:t>
            </w:r>
          </w:p>
        </w:tc>
      </w:tr>
      <w:tr w14:paraId="1AF2773C">
        <w:tblPrEx>
          <w:tblCellMar>
            <w:top w:w="0" w:type="dxa"/>
            <w:left w:w="0" w:type="dxa"/>
            <w:bottom w:w="0" w:type="dxa"/>
            <w:right w:w="0" w:type="dxa"/>
          </w:tblCellMar>
        </w:tblPrEx>
        <w:trPr>
          <w:wBefore w:w="0" w:type="auto"/>
          <w:tblCellSpacing w:w="0" w:type="dxa"/>
        </w:trPr>
        <w:tc>
          <w:tcPr>
            <w:tcW w:w="0" w:type="auto"/>
            <w:noWrap w:val="0"/>
            <w:vAlign w:val="center"/>
          </w:tcPr>
          <w:p w14:paraId="73F869C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FB043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9D238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F175D5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20DE78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EE87DB7">
                  <w:r>
                    <w:rPr>
                      <w:rStyle w:val="11"/>
                      <w:rFonts w:hint="eastAsia"/>
                    </w:rPr>
                    <w:t>施用方式</w:t>
                  </w:r>
                </w:p>
              </w:tc>
            </w:tr>
          </w:tbl>
          <w:p w14:paraId="36BFA3B0">
            <w:pPr>
              <w:rPr>
                <w:rFonts w:ascii="Times New Roman" w:hAnsi="Times New Roman" w:cs="Times New Roman"/>
                <w:sz w:val="20"/>
                <w:szCs w:val="20"/>
              </w:rPr>
            </w:pPr>
          </w:p>
        </w:tc>
      </w:tr>
      <w:tr w14:paraId="162E7C50">
        <w:tblPrEx>
          <w:tblCellMar>
            <w:top w:w="0" w:type="dxa"/>
            <w:left w:w="0" w:type="dxa"/>
            <w:bottom w:w="0" w:type="dxa"/>
            <w:right w:w="0" w:type="dxa"/>
          </w:tblCellMar>
        </w:tblPrEx>
        <w:trPr>
          <w:wBefore w:w="0" w:type="auto"/>
          <w:tblCellSpacing w:w="0" w:type="dxa"/>
        </w:trPr>
        <w:tc>
          <w:tcPr>
            <w:tcW w:w="0" w:type="auto"/>
            <w:noWrap w:val="0"/>
            <w:vAlign w:val="center"/>
          </w:tcPr>
          <w:p w14:paraId="362722B3">
            <w:r>
              <w:rPr>
                <w:rStyle w:val="10"/>
                <w:rFonts w:hint="eastAsia"/>
              </w:rPr>
              <w:t>使用技术要求:</w:t>
            </w:r>
            <w:r>
              <w:rPr>
                <w:rFonts w:hint="eastAsia"/>
              </w:rPr>
              <w:br w:type="textWrapping"/>
            </w:r>
          </w:p>
        </w:tc>
      </w:tr>
      <w:tr w14:paraId="6953A5C9">
        <w:tblPrEx>
          <w:tblCellMar>
            <w:top w:w="0" w:type="dxa"/>
            <w:left w:w="0" w:type="dxa"/>
            <w:bottom w:w="0" w:type="dxa"/>
            <w:right w:w="0" w:type="dxa"/>
          </w:tblCellMar>
        </w:tblPrEx>
        <w:trPr>
          <w:wBefore w:w="0" w:type="auto"/>
          <w:tblCellSpacing w:w="0" w:type="dxa"/>
        </w:trPr>
        <w:tc>
          <w:tcPr>
            <w:tcW w:w="0" w:type="auto"/>
            <w:noWrap w:val="0"/>
            <w:vAlign w:val="center"/>
          </w:tcPr>
          <w:p w14:paraId="67531421">
            <w:r>
              <w:rPr>
                <w:rStyle w:val="10"/>
                <w:rFonts w:hint="eastAsia"/>
              </w:rPr>
              <w:t>产品性能:</w:t>
            </w:r>
          </w:p>
        </w:tc>
      </w:tr>
      <w:tr w14:paraId="3E832BD2">
        <w:tblPrEx>
          <w:tblCellMar>
            <w:top w:w="0" w:type="dxa"/>
            <w:left w:w="0" w:type="dxa"/>
            <w:bottom w:w="0" w:type="dxa"/>
            <w:right w:w="0" w:type="dxa"/>
          </w:tblCellMar>
        </w:tblPrEx>
        <w:trPr>
          <w:wBefore w:w="0" w:type="auto"/>
          <w:tblCellSpacing w:w="0" w:type="dxa"/>
        </w:trPr>
        <w:tc>
          <w:tcPr>
            <w:tcW w:w="0" w:type="auto"/>
            <w:noWrap w:val="0"/>
            <w:vAlign w:val="center"/>
          </w:tcPr>
          <w:p w14:paraId="53252988">
            <w:r>
              <w:rPr>
                <w:rStyle w:val="10"/>
                <w:rFonts w:hint="eastAsia"/>
              </w:rPr>
              <w:t>注意事项：</w:t>
            </w:r>
          </w:p>
        </w:tc>
      </w:tr>
      <w:tr w14:paraId="7E823413">
        <w:tblPrEx>
          <w:tblCellMar>
            <w:top w:w="0" w:type="dxa"/>
            <w:left w:w="0" w:type="dxa"/>
            <w:bottom w:w="0" w:type="dxa"/>
            <w:right w:w="0" w:type="dxa"/>
          </w:tblCellMar>
        </w:tblPrEx>
        <w:trPr>
          <w:wBefore w:w="0" w:type="auto"/>
          <w:tblCellSpacing w:w="0" w:type="dxa"/>
        </w:trPr>
        <w:tc>
          <w:tcPr>
            <w:tcW w:w="0" w:type="auto"/>
            <w:noWrap w:val="0"/>
            <w:vAlign w:val="center"/>
          </w:tcPr>
          <w:p w14:paraId="7CE67328">
            <w:r>
              <w:rPr>
                <w:rStyle w:val="10"/>
                <w:rFonts w:hint="eastAsia"/>
              </w:rPr>
              <w:t>中毒急救措施：</w:t>
            </w:r>
          </w:p>
        </w:tc>
      </w:tr>
      <w:tr w14:paraId="03EF7B78">
        <w:tblPrEx>
          <w:tblCellMar>
            <w:top w:w="0" w:type="dxa"/>
            <w:left w:w="0" w:type="dxa"/>
            <w:bottom w:w="0" w:type="dxa"/>
            <w:right w:w="0" w:type="dxa"/>
          </w:tblCellMar>
        </w:tblPrEx>
        <w:trPr>
          <w:wBefore w:w="0" w:type="auto"/>
          <w:tblCellSpacing w:w="0" w:type="dxa"/>
        </w:trPr>
        <w:tc>
          <w:tcPr>
            <w:tcW w:w="0" w:type="auto"/>
            <w:noWrap w:val="0"/>
            <w:vAlign w:val="center"/>
          </w:tcPr>
          <w:p w14:paraId="07A71F54">
            <w:r>
              <w:rPr>
                <w:rStyle w:val="10"/>
                <w:rFonts w:hint="eastAsia"/>
              </w:rPr>
              <w:t>储存和运输方法：</w:t>
            </w:r>
          </w:p>
        </w:tc>
      </w:tr>
      <w:tr w14:paraId="238B3129">
        <w:tblPrEx>
          <w:tblCellMar>
            <w:top w:w="0" w:type="dxa"/>
            <w:left w:w="0" w:type="dxa"/>
            <w:bottom w:w="0" w:type="dxa"/>
            <w:right w:w="0" w:type="dxa"/>
          </w:tblCellMar>
        </w:tblPrEx>
        <w:trPr>
          <w:wBefore w:w="0" w:type="auto"/>
          <w:tblCellSpacing w:w="0" w:type="dxa"/>
        </w:trPr>
        <w:tc>
          <w:tcPr>
            <w:tcW w:w="0" w:type="auto"/>
            <w:noWrap w:val="0"/>
            <w:vAlign w:val="center"/>
          </w:tcPr>
          <w:p w14:paraId="14DA7556">
            <w:r>
              <w:rPr>
                <w:rStyle w:val="10"/>
                <w:rFonts w:hint="eastAsia"/>
              </w:rPr>
              <w:t>质量保证期：</w:t>
            </w:r>
          </w:p>
        </w:tc>
      </w:tr>
      <w:tr w14:paraId="40B62841">
        <w:tblPrEx>
          <w:tblCellMar>
            <w:top w:w="0" w:type="dxa"/>
            <w:left w:w="0" w:type="dxa"/>
            <w:bottom w:w="0" w:type="dxa"/>
            <w:right w:w="0" w:type="dxa"/>
          </w:tblCellMar>
        </w:tblPrEx>
        <w:trPr>
          <w:wBefore w:w="0" w:type="auto"/>
          <w:tblCellSpacing w:w="0" w:type="dxa"/>
        </w:trPr>
        <w:tc>
          <w:tcPr>
            <w:tcW w:w="0" w:type="auto"/>
            <w:noWrap w:val="0"/>
            <w:vAlign w:val="center"/>
          </w:tcPr>
          <w:p w14:paraId="1CBD9CFE">
            <w:r>
              <w:rPr>
                <w:rStyle w:val="10"/>
                <w:rFonts w:hint="eastAsia"/>
              </w:rPr>
              <w:t>备注：</w:t>
            </w:r>
          </w:p>
        </w:tc>
      </w:tr>
    </w:tbl>
    <w:p w14:paraId="2F6A0F8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CE74AD4">
        <w:tblPrEx>
          <w:tblCellMar>
            <w:top w:w="0" w:type="dxa"/>
            <w:left w:w="0" w:type="dxa"/>
            <w:bottom w:w="0" w:type="dxa"/>
            <w:right w:w="0" w:type="dxa"/>
          </w:tblCellMar>
        </w:tblPrEx>
        <w:trPr>
          <w:wBefore w:w="0" w:type="auto"/>
          <w:tblCellSpacing w:w="0" w:type="dxa"/>
        </w:trPr>
        <w:tc>
          <w:tcPr>
            <w:tcW w:w="0" w:type="auto"/>
            <w:noWrap w:val="0"/>
            <w:vAlign w:val="center"/>
          </w:tcPr>
          <w:p w14:paraId="7C095DB4">
            <w:r>
              <w:rPr>
                <w:rStyle w:val="10"/>
                <w:rFonts w:hint="eastAsia"/>
              </w:rPr>
              <w:t>登记证号：</w:t>
            </w:r>
            <w:r>
              <w:rPr>
                <w:rFonts w:hint="eastAsia"/>
              </w:rPr>
              <w:t>PD20211819</w:t>
            </w:r>
          </w:p>
        </w:tc>
      </w:tr>
      <w:tr w14:paraId="2D2E9164">
        <w:tblPrEx>
          <w:tblCellMar>
            <w:top w:w="0" w:type="dxa"/>
            <w:left w:w="0" w:type="dxa"/>
            <w:bottom w:w="0" w:type="dxa"/>
            <w:right w:w="0" w:type="dxa"/>
          </w:tblCellMar>
        </w:tblPrEx>
        <w:trPr>
          <w:wBefore w:w="0" w:type="auto"/>
          <w:tblCellSpacing w:w="0" w:type="dxa"/>
        </w:trPr>
        <w:tc>
          <w:tcPr>
            <w:tcW w:w="0" w:type="auto"/>
            <w:noWrap w:val="0"/>
            <w:vAlign w:val="center"/>
          </w:tcPr>
          <w:p w14:paraId="784C6FAA">
            <w:r>
              <w:rPr>
                <w:rStyle w:val="10"/>
                <w:rFonts w:hint="eastAsia"/>
              </w:rPr>
              <w:t>登记证持有人：</w:t>
            </w:r>
            <w:r>
              <w:rPr>
                <w:rFonts w:hint="eastAsia"/>
              </w:rPr>
              <w:t>郑州先利达化工有限公司</w:t>
            </w:r>
          </w:p>
        </w:tc>
      </w:tr>
      <w:tr w14:paraId="1E2327EF">
        <w:tblPrEx>
          <w:tblCellMar>
            <w:top w:w="0" w:type="dxa"/>
            <w:left w:w="0" w:type="dxa"/>
            <w:bottom w:w="0" w:type="dxa"/>
            <w:right w:w="0" w:type="dxa"/>
          </w:tblCellMar>
        </w:tblPrEx>
        <w:trPr>
          <w:wBefore w:w="0" w:type="auto"/>
          <w:tblCellSpacing w:w="0" w:type="dxa"/>
        </w:trPr>
        <w:tc>
          <w:tcPr>
            <w:tcW w:w="0" w:type="auto"/>
            <w:noWrap w:val="0"/>
            <w:vAlign w:val="center"/>
          </w:tcPr>
          <w:p w14:paraId="5DD084B2">
            <w:r>
              <w:rPr>
                <w:rStyle w:val="10"/>
                <w:rFonts w:hint="eastAsia"/>
              </w:rPr>
              <w:t>农药名称：</w:t>
            </w:r>
            <w:r>
              <w:rPr>
                <w:rFonts w:hint="eastAsia"/>
              </w:rPr>
              <w:t>噻虫胺</w:t>
            </w:r>
          </w:p>
        </w:tc>
      </w:tr>
      <w:tr w14:paraId="360E994E">
        <w:tblPrEx>
          <w:tblCellMar>
            <w:top w:w="0" w:type="dxa"/>
            <w:left w:w="0" w:type="dxa"/>
            <w:bottom w:w="0" w:type="dxa"/>
            <w:right w:w="0" w:type="dxa"/>
          </w:tblCellMar>
        </w:tblPrEx>
        <w:trPr>
          <w:wBefore w:w="0" w:type="auto"/>
          <w:tblCellSpacing w:w="0" w:type="dxa"/>
        </w:trPr>
        <w:tc>
          <w:tcPr>
            <w:tcW w:w="0" w:type="auto"/>
            <w:noWrap w:val="0"/>
            <w:vAlign w:val="center"/>
          </w:tcPr>
          <w:p w14:paraId="20EA2123">
            <w:r>
              <w:rPr>
                <w:rStyle w:val="10"/>
                <w:rFonts w:hint="eastAsia"/>
              </w:rPr>
              <w:t>剂型：</w:t>
            </w:r>
            <w:r>
              <w:rPr>
                <w:rFonts w:hint="eastAsia"/>
              </w:rPr>
              <w:t>种子处理悬浮剂</w:t>
            </w:r>
          </w:p>
        </w:tc>
      </w:tr>
      <w:tr w14:paraId="14271C14">
        <w:tblPrEx>
          <w:tblCellMar>
            <w:top w:w="0" w:type="dxa"/>
            <w:left w:w="0" w:type="dxa"/>
            <w:bottom w:w="0" w:type="dxa"/>
            <w:right w:w="0" w:type="dxa"/>
          </w:tblCellMar>
        </w:tblPrEx>
        <w:trPr>
          <w:wBefore w:w="0" w:type="auto"/>
          <w:tblCellSpacing w:w="0" w:type="dxa"/>
        </w:trPr>
        <w:tc>
          <w:tcPr>
            <w:tcW w:w="0" w:type="auto"/>
            <w:noWrap w:val="0"/>
            <w:vAlign w:val="center"/>
          </w:tcPr>
          <w:p w14:paraId="7703855B">
            <w:r>
              <w:rPr>
                <w:rStyle w:val="10"/>
                <w:rFonts w:hint="eastAsia"/>
              </w:rPr>
              <w:t>毒性及其标识：</w:t>
            </w:r>
            <w:r>
              <w:rPr>
                <w:rFonts w:hint="eastAsia"/>
              </w:rPr>
              <w:t xml:space="preserve"> </w:t>
            </w:r>
            <w:r>
              <w:rPr>
                <w:lang/>
              </w:rPr>
              <w:drawing>
                <wp:inline distT="0" distB="0" distL="114300" distR="114300">
                  <wp:extent cx="476250" cy="323850"/>
                  <wp:effectExtent l="0" t="0" r="0" b="0"/>
                  <wp:docPr id="523" name="图片 52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1917368">
        <w:tblPrEx>
          <w:tblCellMar>
            <w:top w:w="0" w:type="dxa"/>
            <w:left w:w="0" w:type="dxa"/>
            <w:bottom w:w="0" w:type="dxa"/>
            <w:right w:w="0" w:type="dxa"/>
          </w:tblCellMar>
        </w:tblPrEx>
        <w:trPr>
          <w:wBefore w:w="0" w:type="auto"/>
          <w:tblCellSpacing w:w="0" w:type="dxa"/>
        </w:trPr>
        <w:tc>
          <w:tcPr>
            <w:tcW w:w="0" w:type="auto"/>
            <w:noWrap w:val="0"/>
            <w:vAlign w:val="center"/>
          </w:tcPr>
          <w:p w14:paraId="0433A82C">
            <w:r>
              <w:rPr>
                <w:rStyle w:val="10"/>
                <w:rFonts w:hint="eastAsia"/>
              </w:rPr>
              <w:t>总有效成分含量：</w:t>
            </w:r>
            <w:r>
              <w:rPr>
                <w:rFonts w:hint="eastAsia"/>
              </w:rPr>
              <w:t>8%</w:t>
            </w:r>
          </w:p>
        </w:tc>
      </w:tr>
      <w:tr w14:paraId="3B5180D1">
        <w:tblPrEx>
          <w:tblCellMar>
            <w:top w:w="0" w:type="dxa"/>
            <w:left w:w="0" w:type="dxa"/>
            <w:bottom w:w="0" w:type="dxa"/>
            <w:right w:w="0" w:type="dxa"/>
          </w:tblCellMar>
        </w:tblPrEx>
        <w:trPr>
          <w:wBefore w:w="0" w:type="auto"/>
          <w:tblCellSpacing w:w="0" w:type="dxa"/>
        </w:trPr>
        <w:tc>
          <w:tcPr>
            <w:tcW w:w="0" w:type="auto"/>
            <w:noWrap w:val="0"/>
            <w:vAlign w:val="center"/>
          </w:tcPr>
          <w:p w14:paraId="709AFEFE">
            <w:r>
              <w:rPr>
                <w:rFonts w:hint="eastAsia"/>
              </w:rPr>
              <w:t xml:space="preserve">有效成分及其含量： </w:t>
            </w:r>
          </w:p>
          <w:p w14:paraId="5118A9DA">
            <w:r>
              <w:rPr>
                <w:rFonts w:hint="eastAsia"/>
              </w:rPr>
              <w:t xml:space="preserve">    噻虫胺8%    </w:t>
            </w:r>
          </w:p>
        </w:tc>
      </w:tr>
      <w:tr w14:paraId="3D9788EA">
        <w:tblPrEx>
          <w:tblCellMar>
            <w:top w:w="0" w:type="dxa"/>
            <w:left w:w="0" w:type="dxa"/>
            <w:bottom w:w="0" w:type="dxa"/>
            <w:right w:w="0" w:type="dxa"/>
          </w:tblCellMar>
        </w:tblPrEx>
        <w:trPr>
          <w:wBefore w:w="0" w:type="auto"/>
          <w:tblCellSpacing w:w="0" w:type="dxa"/>
        </w:trPr>
        <w:tc>
          <w:tcPr>
            <w:tcW w:w="0" w:type="auto"/>
            <w:noWrap w:val="0"/>
            <w:vAlign w:val="center"/>
          </w:tcPr>
          <w:p w14:paraId="7676ADD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4D20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1A1733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27252D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0B665C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B7A32A3">
                  <w:r>
                    <w:rPr>
                      <w:rStyle w:val="11"/>
                      <w:rFonts w:hint="eastAsia"/>
                    </w:rPr>
                    <w:t>施用方式</w:t>
                  </w:r>
                </w:p>
              </w:tc>
            </w:tr>
            <w:tr w14:paraId="7DE2E3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2214A71">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008F8E">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6703AF">
                  <w:r>
                    <w:rPr>
                      <w:rStyle w:val="11"/>
                      <w:rFonts w:hint="eastAsia"/>
                    </w:rPr>
                    <w:t>1500-2500毫升/100千克种子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57AE63">
                  <w:r>
                    <w:rPr>
                      <w:rStyle w:val="11"/>
                      <w:rFonts w:hint="eastAsia"/>
                    </w:rPr>
                    <w:t>种子包衣</w:t>
                  </w:r>
                </w:p>
              </w:tc>
            </w:tr>
          </w:tbl>
          <w:p w14:paraId="555EBC14">
            <w:pPr>
              <w:rPr>
                <w:rFonts w:ascii="Times New Roman" w:hAnsi="Times New Roman" w:cs="Times New Roman"/>
                <w:sz w:val="20"/>
                <w:szCs w:val="20"/>
              </w:rPr>
            </w:pPr>
          </w:p>
        </w:tc>
      </w:tr>
      <w:tr w14:paraId="0765F654">
        <w:tblPrEx>
          <w:tblCellMar>
            <w:top w:w="0" w:type="dxa"/>
            <w:left w:w="0" w:type="dxa"/>
            <w:bottom w:w="0" w:type="dxa"/>
            <w:right w:w="0" w:type="dxa"/>
          </w:tblCellMar>
        </w:tblPrEx>
        <w:trPr>
          <w:wBefore w:w="0" w:type="auto"/>
          <w:tblCellSpacing w:w="0" w:type="dxa"/>
        </w:trPr>
        <w:tc>
          <w:tcPr>
            <w:tcW w:w="0" w:type="auto"/>
            <w:noWrap w:val="0"/>
            <w:vAlign w:val="center"/>
          </w:tcPr>
          <w:p w14:paraId="2AD795CD">
            <w:r>
              <w:rPr>
                <w:rStyle w:val="10"/>
                <w:rFonts w:hint="eastAsia"/>
              </w:rPr>
              <w:t>使用技术要求:</w:t>
            </w:r>
            <w:r>
              <w:rPr>
                <w:rFonts w:hint="eastAsia"/>
              </w:rPr>
              <w:br w:type="textWrapping"/>
            </w:r>
            <w:r>
              <w:rPr>
                <w:rStyle w:val="11"/>
                <w:rFonts w:hint="eastAsia"/>
              </w:rPr>
              <w:t>1.根据花生种子量确定制剂用药量，加入适量清水（每100千克干种子加水约1.0～2.0升）混合均匀，与种子充分搅拌，直到药液均匀分布到种子表面，晾干后即可播种。2.播种时需考虑低温、大雨等不良环境影响，适时播种。3.每季最多使用次数为1次。</w:t>
            </w:r>
          </w:p>
        </w:tc>
      </w:tr>
      <w:tr w14:paraId="20723104">
        <w:tblPrEx>
          <w:tblCellMar>
            <w:top w:w="0" w:type="dxa"/>
            <w:left w:w="0" w:type="dxa"/>
            <w:bottom w:w="0" w:type="dxa"/>
            <w:right w:w="0" w:type="dxa"/>
          </w:tblCellMar>
        </w:tblPrEx>
        <w:trPr>
          <w:wBefore w:w="0" w:type="auto"/>
          <w:tblCellSpacing w:w="0" w:type="dxa"/>
        </w:trPr>
        <w:tc>
          <w:tcPr>
            <w:tcW w:w="0" w:type="auto"/>
            <w:noWrap w:val="0"/>
            <w:vAlign w:val="center"/>
          </w:tcPr>
          <w:p w14:paraId="6AE89685">
            <w:r>
              <w:rPr>
                <w:rStyle w:val="10"/>
                <w:rFonts w:hint="eastAsia"/>
              </w:rPr>
              <w:t>产品性能:</w:t>
            </w:r>
            <w:r>
              <w:rPr>
                <w:rFonts w:hint="eastAsia"/>
              </w:rPr>
              <w:br w:type="textWrapping"/>
            </w:r>
            <w:r>
              <w:rPr>
                <w:rStyle w:val="11"/>
                <w:rFonts w:hint="eastAsia"/>
              </w:rPr>
              <w:t>噻虫胺为属于新烟碱类杀虫剂。主要作用方式是刺激烟碱乙酰胆碱受体，影响昆虫中枢神经系统中的神经突触，具有内吸性，根吸收并传导，可用于防治花生蛴螬。</w:t>
            </w:r>
          </w:p>
        </w:tc>
      </w:tr>
      <w:tr w14:paraId="0C88617B">
        <w:tblPrEx>
          <w:tblCellMar>
            <w:top w:w="0" w:type="dxa"/>
            <w:left w:w="0" w:type="dxa"/>
            <w:bottom w:w="0" w:type="dxa"/>
            <w:right w:w="0" w:type="dxa"/>
          </w:tblCellMar>
        </w:tblPrEx>
        <w:trPr>
          <w:wBefore w:w="0" w:type="auto"/>
          <w:tblCellSpacing w:w="0" w:type="dxa"/>
        </w:trPr>
        <w:tc>
          <w:tcPr>
            <w:tcW w:w="0" w:type="auto"/>
            <w:noWrap w:val="0"/>
            <w:vAlign w:val="center"/>
          </w:tcPr>
          <w:p w14:paraId="1E1BE724">
            <w:r>
              <w:rPr>
                <w:rStyle w:val="10"/>
                <w:rFonts w:hint="eastAsia"/>
              </w:rPr>
              <w:t>注意事项：</w:t>
            </w:r>
            <w:r>
              <w:rPr>
                <w:rFonts w:hint="eastAsia"/>
              </w:rPr>
              <w:br w:type="textWrapping"/>
            </w:r>
            <w:r>
              <w:rPr>
                <w:rStyle w:val="11"/>
                <w:rFonts w:hint="eastAsia"/>
              </w:rPr>
              <w:t>1.严格按农药安全使用规则正确使用，未用完的液体就保存在原包装内，盖紧瓶盖，并远离儿童、饮料和食物。2.配药和种子处理应在通风处进行，操作人 员应戴防渗手套、口罩、穿长袖衣、长裤、靴子等，不可饮食、吸烟等。避免药液接触皮肤、眼睛和污染衣物，避免吸收药液。种子处理结束后，彻底清洗防护用具，洗澡，并更换和清洗工作服。3.处理过的种子必须放置在有明显标签的容器内。勿与食物、饲料放在一起，不得饲喂禽兽，更不得用来加工饲料或食品。 4.周围开花植物花期禁止使用；施药3日前告知所在地及邻近3000米以内的养蜂者；产品施用期间密切关注对附近蜂群的影响；施用期间密切关注对土壤生物的风险。5.对鱼等水生生物有毒，禁止在河塘等水体中清洗施药器具。6.所有施药器具，用后应立即清洗， 洗涤后的废水不应污染河流等水源，未用完的药液应密封后妥善放置。7.用过的容器应妥善处理，不可做他用，也不可随意丢弃。8.孕妇及哺乳期妇女禁止接触此药。</w:t>
            </w:r>
          </w:p>
        </w:tc>
      </w:tr>
      <w:tr w14:paraId="353CD2E9">
        <w:tblPrEx>
          <w:tblCellMar>
            <w:top w:w="0" w:type="dxa"/>
            <w:left w:w="0" w:type="dxa"/>
            <w:bottom w:w="0" w:type="dxa"/>
            <w:right w:w="0" w:type="dxa"/>
          </w:tblCellMar>
        </w:tblPrEx>
        <w:trPr>
          <w:wBefore w:w="0" w:type="auto"/>
          <w:tblCellSpacing w:w="0" w:type="dxa"/>
        </w:trPr>
        <w:tc>
          <w:tcPr>
            <w:tcW w:w="0" w:type="auto"/>
            <w:noWrap w:val="0"/>
            <w:vAlign w:val="center"/>
          </w:tcPr>
          <w:p w14:paraId="3847397C">
            <w:r>
              <w:rPr>
                <w:rStyle w:val="10"/>
                <w:rFonts w:hint="eastAsia"/>
              </w:rPr>
              <w:t>中毒急救措施：</w:t>
            </w:r>
            <w:r>
              <w:rPr>
                <w:rFonts w:hint="eastAsia"/>
              </w:rPr>
              <w:br w:type="textWrapping"/>
            </w:r>
            <w:r>
              <w:rPr>
                <w:rStyle w:val="11"/>
                <w:rFonts w:hint="eastAsia"/>
              </w:rPr>
              <w:t>不慎药液接触皮肤，立即脱掉被污染的衣物，用肥皂和清水彻底清洗皮肤表面。不慎药液接触眼睛，立即将眼睑翻开，用清水彻底冲洗至少15分钟，并请医生诊治。不慎吸入：立即将吸入者转移到空气新鲜处，并请医生诊治。5、不慎误服，应立即催吐、洗胃、清洗口腔，还应携带此标签尽快去医院就诊，对症治疗（去除污物，注意生命体征），无特效解毒剂。</w:t>
            </w:r>
          </w:p>
        </w:tc>
      </w:tr>
      <w:tr w14:paraId="3CAE37A1">
        <w:tblPrEx>
          <w:tblCellMar>
            <w:top w:w="0" w:type="dxa"/>
            <w:left w:w="0" w:type="dxa"/>
            <w:bottom w:w="0" w:type="dxa"/>
            <w:right w:w="0" w:type="dxa"/>
          </w:tblCellMar>
        </w:tblPrEx>
        <w:trPr>
          <w:wBefore w:w="0" w:type="auto"/>
          <w:tblCellSpacing w:w="0" w:type="dxa"/>
        </w:trPr>
        <w:tc>
          <w:tcPr>
            <w:tcW w:w="0" w:type="auto"/>
            <w:noWrap w:val="0"/>
            <w:vAlign w:val="center"/>
          </w:tcPr>
          <w:p w14:paraId="3CA49351">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本品应贮存在干燥、阴凉、通风、防雨处，远离火源或热源。置于儿童触及不到之处，并加锁。不能与种子、食品、饮料、饲料等同贮同运。运输时应注意防水防潮，避免雨淋；搬运时轻搬轻放，不可倒置。</w:t>
            </w:r>
          </w:p>
        </w:tc>
      </w:tr>
      <w:tr w14:paraId="7B0573C6">
        <w:tblPrEx>
          <w:tblCellMar>
            <w:top w:w="0" w:type="dxa"/>
            <w:left w:w="0" w:type="dxa"/>
            <w:bottom w:w="0" w:type="dxa"/>
            <w:right w:w="0" w:type="dxa"/>
          </w:tblCellMar>
        </w:tblPrEx>
        <w:trPr>
          <w:wBefore w:w="0" w:type="auto"/>
          <w:tblCellSpacing w:w="0" w:type="dxa"/>
        </w:trPr>
        <w:tc>
          <w:tcPr>
            <w:tcW w:w="0" w:type="auto"/>
            <w:noWrap w:val="0"/>
            <w:vAlign w:val="center"/>
          </w:tcPr>
          <w:p w14:paraId="627E1651">
            <w:r>
              <w:rPr>
                <w:rStyle w:val="10"/>
                <w:rFonts w:hint="eastAsia"/>
              </w:rPr>
              <w:t>质量保证期：</w:t>
            </w:r>
            <w:r>
              <w:rPr>
                <w:rStyle w:val="11"/>
                <w:rFonts w:hint="eastAsia"/>
              </w:rPr>
              <w:t>2年</w:t>
            </w:r>
          </w:p>
        </w:tc>
      </w:tr>
      <w:tr w14:paraId="3FD256F7">
        <w:tblPrEx>
          <w:tblCellMar>
            <w:top w:w="0" w:type="dxa"/>
            <w:left w:w="0" w:type="dxa"/>
            <w:bottom w:w="0" w:type="dxa"/>
            <w:right w:w="0" w:type="dxa"/>
          </w:tblCellMar>
        </w:tblPrEx>
        <w:trPr>
          <w:wBefore w:w="0" w:type="auto"/>
          <w:tblCellSpacing w:w="0" w:type="dxa"/>
        </w:trPr>
        <w:tc>
          <w:tcPr>
            <w:tcW w:w="0" w:type="auto"/>
            <w:noWrap w:val="0"/>
            <w:vAlign w:val="center"/>
          </w:tcPr>
          <w:p w14:paraId="1E88813A">
            <w:r>
              <w:rPr>
                <w:rStyle w:val="10"/>
                <w:rFonts w:hint="eastAsia"/>
              </w:rPr>
              <w:t>备注：</w:t>
            </w:r>
          </w:p>
        </w:tc>
      </w:tr>
    </w:tbl>
    <w:p w14:paraId="579597B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9776D29">
        <w:tblPrEx>
          <w:tblCellMar>
            <w:top w:w="0" w:type="dxa"/>
            <w:left w:w="0" w:type="dxa"/>
            <w:bottom w:w="0" w:type="dxa"/>
            <w:right w:w="0" w:type="dxa"/>
          </w:tblCellMar>
        </w:tblPrEx>
        <w:trPr>
          <w:wBefore w:w="0" w:type="auto"/>
          <w:tblCellSpacing w:w="0" w:type="dxa"/>
        </w:trPr>
        <w:tc>
          <w:tcPr>
            <w:tcW w:w="0" w:type="auto"/>
            <w:noWrap w:val="0"/>
            <w:vAlign w:val="center"/>
          </w:tcPr>
          <w:p w14:paraId="68C738E5">
            <w:r>
              <w:rPr>
                <w:rStyle w:val="10"/>
                <w:rFonts w:hint="eastAsia"/>
              </w:rPr>
              <w:t>登记证号：</w:t>
            </w:r>
            <w:r>
              <w:rPr>
                <w:rFonts w:hint="eastAsia"/>
              </w:rPr>
              <w:t>PD20212092</w:t>
            </w:r>
          </w:p>
        </w:tc>
      </w:tr>
      <w:tr w14:paraId="3AAFB7F9">
        <w:tblPrEx>
          <w:tblCellMar>
            <w:top w:w="0" w:type="dxa"/>
            <w:left w:w="0" w:type="dxa"/>
            <w:bottom w:w="0" w:type="dxa"/>
            <w:right w:w="0" w:type="dxa"/>
          </w:tblCellMar>
        </w:tblPrEx>
        <w:trPr>
          <w:wBefore w:w="0" w:type="auto"/>
          <w:tblCellSpacing w:w="0" w:type="dxa"/>
        </w:trPr>
        <w:tc>
          <w:tcPr>
            <w:tcW w:w="0" w:type="auto"/>
            <w:noWrap w:val="0"/>
            <w:vAlign w:val="center"/>
          </w:tcPr>
          <w:p w14:paraId="0F8BBF9B">
            <w:r>
              <w:rPr>
                <w:rStyle w:val="10"/>
                <w:rFonts w:hint="eastAsia"/>
              </w:rPr>
              <w:t>登记证持有人：</w:t>
            </w:r>
            <w:r>
              <w:rPr>
                <w:rFonts w:hint="eastAsia"/>
              </w:rPr>
              <w:t>广东立威化工有限公司</w:t>
            </w:r>
          </w:p>
        </w:tc>
      </w:tr>
      <w:tr w14:paraId="5566EB1D">
        <w:tblPrEx>
          <w:tblCellMar>
            <w:top w:w="0" w:type="dxa"/>
            <w:left w:w="0" w:type="dxa"/>
            <w:bottom w:w="0" w:type="dxa"/>
            <w:right w:w="0" w:type="dxa"/>
          </w:tblCellMar>
        </w:tblPrEx>
        <w:trPr>
          <w:wBefore w:w="0" w:type="auto"/>
          <w:tblCellSpacing w:w="0" w:type="dxa"/>
        </w:trPr>
        <w:tc>
          <w:tcPr>
            <w:tcW w:w="0" w:type="auto"/>
            <w:noWrap w:val="0"/>
            <w:vAlign w:val="center"/>
          </w:tcPr>
          <w:p w14:paraId="432D54F8">
            <w:r>
              <w:rPr>
                <w:rStyle w:val="10"/>
                <w:rFonts w:hint="eastAsia"/>
              </w:rPr>
              <w:t>农药名称：</w:t>
            </w:r>
            <w:r>
              <w:rPr>
                <w:rFonts w:hint="eastAsia"/>
              </w:rPr>
              <w:t>双草醚</w:t>
            </w:r>
          </w:p>
        </w:tc>
      </w:tr>
      <w:tr w14:paraId="27EFC16F">
        <w:tblPrEx>
          <w:tblCellMar>
            <w:top w:w="0" w:type="dxa"/>
            <w:left w:w="0" w:type="dxa"/>
            <w:bottom w:w="0" w:type="dxa"/>
            <w:right w:w="0" w:type="dxa"/>
          </w:tblCellMar>
        </w:tblPrEx>
        <w:trPr>
          <w:wBefore w:w="0" w:type="auto"/>
          <w:tblCellSpacing w:w="0" w:type="dxa"/>
        </w:trPr>
        <w:tc>
          <w:tcPr>
            <w:tcW w:w="0" w:type="auto"/>
            <w:noWrap w:val="0"/>
            <w:vAlign w:val="center"/>
          </w:tcPr>
          <w:p w14:paraId="2E4FC7FC">
            <w:r>
              <w:rPr>
                <w:rStyle w:val="10"/>
                <w:rFonts w:hint="eastAsia"/>
              </w:rPr>
              <w:t>剂型：</w:t>
            </w:r>
            <w:r>
              <w:rPr>
                <w:rFonts w:hint="eastAsia"/>
              </w:rPr>
              <w:t>悬浮剂</w:t>
            </w:r>
          </w:p>
        </w:tc>
      </w:tr>
      <w:tr w14:paraId="6A85C7EA">
        <w:tblPrEx>
          <w:tblCellMar>
            <w:top w:w="0" w:type="dxa"/>
            <w:left w:w="0" w:type="dxa"/>
            <w:bottom w:w="0" w:type="dxa"/>
            <w:right w:w="0" w:type="dxa"/>
          </w:tblCellMar>
        </w:tblPrEx>
        <w:trPr>
          <w:wBefore w:w="0" w:type="auto"/>
          <w:tblCellSpacing w:w="0" w:type="dxa"/>
        </w:trPr>
        <w:tc>
          <w:tcPr>
            <w:tcW w:w="0" w:type="auto"/>
            <w:noWrap w:val="0"/>
            <w:vAlign w:val="center"/>
          </w:tcPr>
          <w:p w14:paraId="0333FEE8">
            <w:r>
              <w:rPr>
                <w:rStyle w:val="10"/>
                <w:rFonts w:hint="eastAsia"/>
              </w:rPr>
              <w:t>毒性及其标识：</w:t>
            </w:r>
            <w:r>
              <w:rPr>
                <w:rFonts w:hint="eastAsia"/>
              </w:rPr>
              <w:t xml:space="preserve"> </w:t>
            </w:r>
            <w:r>
              <w:rPr>
                <w:lang/>
              </w:rPr>
              <w:drawing>
                <wp:inline distT="0" distB="0" distL="114300" distR="114300">
                  <wp:extent cx="476250" cy="323850"/>
                  <wp:effectExtent l="0" t="0" r="0" b="0"/>
                  <wp:docPr id="524" name="图片 52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D14A505">
        <w:tblPrEx>
          <w:tblCellMar>
            <w:top w:w="0" w:type="dxa"/>
            <w:left w:w="0" w:type="dxa"/>
            <w:bottom w:w="0" w:type="dxa"/>
            <w:right w:w="0" w:type="dxa"/>
          </w:tblCellMar>
        </w:tblPrEx>
        <w:trPr>
          <w:wBefore w:w="0" w:type="auto"/>
          <w:tblCellSpacing w:w="0" w:type="dxa"/>
        </w:trPr>
        <w:tc>
          <w:tcPr>
            <w:tcW w:w="0" w:type="auto"/>
            <w:noWrap w:val="0"/>
            <w:vAlign w:val="center"/>
          </w:tcPr>
          <w:p w14:paraId="6C24822D">
            <w:r>
              <w:rPr>
                <w:rStyle w:val="10"/>
                <w:rFonts w:hint="eastAsia"/>
              </w:rPr>
              <w:t>总有效成分含量：</w:t>
            </w:r>
            <w:r>
              <w:rPr>
                <w:rFonts w:hint="eastAsia"/>
              </w:rPr>
              <w:t>40%</w:t>
            </w:r>
          </w:p>
        </w:tc>
      </w:tr>
      <w:tr w14:paraId="1D14E7C2">
        <w:tblPrEx>
          <w:tblCellMar>
            <w:top w:w="0" w:type="dxa"/>
            <w:left w:w="0" w:type="dxa"/>
            <w:bottom w:w="0" w:type="dxa"/>
            <w:right w:w="0" w:type="dxa"/>
          </w:tblCellMar>
        </w:tblPrEx>
        <w:trPr>
          <w:wBefore w:w="0" w:type="auto"/>
          <w:tblCellSpacing w:w="0" w:type="dxa"/>
        </w:trPr>
        <w:tc>
          <w:tcPr>
            <w:tcW w:w="0" w:type="auto"/>
            <w:noWrap w:val="0"/>
            <w:vAlign w:val="center"/>
          </w:tcPr>
          <w:p w14:paraId="42E692C4">
            <w:r>
              <w:rPr>
                <w:rFonts w:hint="eastAsia"/>
              </w:rPr>
              <w:t xml:space="preserve">有效成分及其含量： </w:t>
            </w:r>
          </w:p>
          <w:p w14:paraId="36CCEF73">
            <w:r>
              <w:rPr>
                <w:rFonts w:hint="eastAsia"/>
              </w:rPr>
              <w:t xml:space="preserve">    双草醚40%    </w:t>
            </w:r>
          </w:p>
        </w:tc>
      </w:tr>
      <w:tr w14:paraId="19357F9A">
        <w:tblPrEx>
          <w:tblCellMar>
            <w:top w:w="0" w:type="dxa"/>
            <w:left w:w="0" w:type="dxa"/>
            <w:bottom w:w="0" w:type="dxa"/>
            <w:right w:w="0" w:type="dxa"/>
          </w:tblCellMar>
        </w:tblPrEx>
        <w:trPr>
          <w:wBefore w:w="0" w:type="auto"/>
          <w:tblCellSpacing w:w="0" w:type="dxa"/>
        </w:trPr>
        <w:tc>
          <w:tcPr>
            <w:tcW w:w="0" w:type="auto"/>
            <w:noWrap w:val="0"/>
            <w:vAlign w:val="center"/>
          </w:tcPr>
          <w:p w14:paraId="4C4E3AA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78CDF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1B7EF5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DD67A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859445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452F1DD">
                  <w:r>
                    <w:rPr>
                      <w:rStyle w:val="11"/>
                      <w:rFonts w:hint="eastAsia"/>
                    </w:rPr>
                    <w:t>施用方式</w:t>
                  </w:r>
                </w:p>
              </w:tc>
            </w:tr>
            <w:tr w14:paraId="3F3998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E19BFEC">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32686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08AB3D">
                  <w:r>
                    <w:rPr>
                      <w:rStyle w:val="11"/>
                      <w:rFonts w:hint="eastAsia"/>
                    </w:rPr>
                    <w:t>5-7毫升/亩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32B452">
                  <w:r>
                    <w:rPr>
                      <w:rStyle w:val="11"/>
                      <w:rFonts w:hint="eastAsia"/>
                    </w:rPr>
                    <w:t>茎叶喷雾</w:t>
                  </w:r>
                </w:p>
              </w:tc>
            </w:tr>
          </w:tbl>
          <w:p w14:paraId="7DD25306">
            <w:pPr>
              <w:rPr>
                <w:rFonts w:ascii="Times New Roman" w:hAnsi="Times New Roman" w:cs="Times New Roman"/>
                <w:sz w:val="20"/>
                <w:szCs w:val="20"/>
              </w:rPr>
            </w:pPr>
          </w:p>
        </w:tc>
      </w:tr>
      <w:tr w14:paraId="53457C3C">
        <w:tblPrEx>
          <w:tblCellMar>
            <w:top w:w="0" w:type="dxa"/>
            <w:left w:w="0" w:type="dxa"/>
            <w:bottom w:w="0" w:type="dxa"/>
            <w:right w:w="0" w:type="dxa"/>
          </w:tblCellMar>
        </w:tblPrEx>
        <w:trPr>
          <w:wBefore w:w="0" w:type="auto"/>
          <w:tblCellSpacing w:w="0" w:type="dxa"/>
        </w:trPr>
        <w:tc>
          <w:tcPr>
            <w:tcW w:w="0" w:type="auto"/>
            <w:noWrap w:val="0"/>
            <w:vAlign w:val="center"/>
          </w:tcPr>
          <w:p w14:paraId="293C4872">
            <w:r>
              <w:rPr>
                <w:rStyle w:val="10"/>
                <w:rFonts w:hint="eastAsia"/>
              </w:rPr>
              <w:t>使用技术要求:</w:t>
            </w:r>
            <w:r>
              <w:rPr>
                <w:rFonts w:hint="eastAsia"/>
              </w:rPr>
              <w:br w:type="textWrapping"/>
            </w:r>
            <w:r>
              <w:rPr>
                <w:rStyle w:val="11"/>
                <w:rFonts w:hint="eastAsia"/>
              </w:rPr>
              <w:t>1. 于水稻秧苗2叶1心后，杂草2～4叶期时，茎叶喷雾处理。 2. 施药前排干田间水，但保持田间湿润，喷药后1-2天上水，保持浅水层3-5厘米，水层不能淹没稻心避免药害，并坚持保水一周左右。 3. 每季最多施药1次，至收获时安全。</w:t>
            </w:r>
          </w:p>
        </w:tc>
      </w:tr>
      <w:tr w14:paraId="7AF51641">
        <w:tblPrEx>
          <w:tblCellMar>
            <w:top w:w="0" w:type="dxa"/>
            <w:left w:w="0" w:type="dxa"/>
            <w:bottom w:w="0" w:type="dxa"/>
            <w:right w:w="0" w:type="dxa"/>
          </w:tblCellMar>
        </w:tblPrEx>
        <w:trPr>
          <w:wBefore w:w="0" w:type="auto"/>
          <w:tblCellSpacing w:w="0" w:type="dxa"/>
        </w:trPr>
        <w:tc>
          <w:tcPr>
            <w:tcW w:w="0" w:type="auto"/>
            <w:noWrap w:val="0"/>
            <w:vAlign w:val="center"/>
          </w:tcPr>
          <w:p w14:paraId="4BC80267">
            <w:r>
              <w:rPr>
                <w:rStyle w:val="10"/>
                <w:rFonts w:hint="eastAsia"/>
              </w:rPr>
              <w:t>产品性能:</w:t>
            </w:r>
            <w:r>
              <w:rPr>
                <w:rFonts w:hint="eastAsia"/>
              </w:rPr>
              <w:br w:type="textWrapping"/>
            </w:r>
            <w:r>
              <w:rPr>
                <w:rStyle w:val="11"/>
                <w:rFonts w:hint="eastAsia"/>
              </w:rPr>
              <w:t>双草醚属于嘧啶水杨酸类除草剂，一种高活性的乙酰乳酸合成酶（ALS）抑制剂。其施药后能很快被杂草的茎叶吸收，并传导至整个植株，抑制植物分生组织生长，从而杀死杂草。可有效防治水稻直播田一年生杂草。</w:t>
            </w:r>
          </w:p>
        </w:tc>
      </w:tr>
      <w:tr w14:paraId="2F0843B3">
        <w:tblPrEx>
          <w:tblCellMar>
            <w:top w:w="0" w:type="dxa"/>
            <w:left w:w="0" w:type="dxa"/>
            <w:bottom w:w="0" w:type="dxa"/>
            <w:right w:w="0" w:type="dxa"/>
          </w:tblCellMar>
        </w:tblPrEx>
        <w:trPr>
          <w:wBefore w:w="0" w:type="auto"/>
          <w:tblCellSpacing w:w="0" w:type="dxa"/>
        </w:trPr>
        <w:tc>
          <w:tcPr>
            <w:tcW w:w="0" w:type="auto"/>
            <w:noWrap w:val="0"/>
            <w:vAlign w:val="center"/>
          </w:tcPr>
          <w:p w14:paraId="74A98175">
            <w:r>
              <w:rPr>
                <w:rStyle w:val="10"/>
                <w:rFonts w:hint="eastAsia"/>
              </w:rPr>
              <w:t>注意事项：</w:t>
            </w:r>
            <w:r>
              <w:rPr>
                <w:rFonts w:hint="eastAsia"/>
              </w:rPr>
              <w:br w:type="textWrapping"/>
            </w:r>
            <w:r>
              <w:rPr>
                <w:rStyle w:val="11"/>
                <w:rFonts w:hint="eastAsia"/>
              </w:rPr>
              <w:t>1. 尽量在无风无雨时施药，避免雾滴漂移，危害周围作物。2. 本品对水生植物有毒，水产养殖区、河塘等水体附近禁用，禁止在河塘等水体中清洗施药器具，鱼或虾蟹套养稻田禁用、施药后的田水不得直接排入水体。3. 使用本品应采取相应的安全防护措施，配药和施药时穿防护服，戴防护手套、专用防毒口罩等，避免皮肤接触及口鼻吸入。使用中不可吸烟、饮水及吃东西，使用后及时清洗手、脸等暴露部位皮肤并更换衣物。4. 用过的容器应妥善处理，不可做他用，也不可随意丢弃。5. 建议与其它作用机制不同的除草剂轮换使用，以延缓抗性产生。6. 禁止儿童、孕妇和哺乳期妇女接触。7. 过敏者禁用，使用中有任何不良反应请及时就医。</w:t>
            </w:r>
          </w:p>
        </w:tc>
      </w:tr>
      <w:tr w14:paraId="5E2DDE5F">
        <w:tblPrEx>
          <w:tblCellMar>
            <w:top w:w="0" w:type="dxa"/>
            <w:left w:w="0" w:type="dxa"/>
            <w:bottom w:w="0" w:type="dxa"/>
            <w:right w:w="0" w:type="dxa"/>
          </w:tblCellMar>
        </w:tblPrEx>
        <w:trPr>
          <w:wBefore w:w="0" w:type="auto"/>
          <w:tblCellSpacing w:w="0" w:type="dxa"/>
        </w:trPr>
        <w:tc>
          <w:tcPr>
            <w:tcW w:w="0" w:type="auto"/>
            <w:noWrap w:val="0"/>
            <w:vAlign w:val="center"/>
          </w:tcPr>
          <w:p w14:paraId="28745D94">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 皮肤接触：立即脱掉被污染的衣物，用软布去除沾染农药，大量清水和肥皂冲洗。眼睛接触：立即翻开眼睑，用大量清水冲洗至少15分钟，及时就医。吸入：立即离开施药现场，转移至空气流通处。如呼吸停止，立即进行人工呼吸并请医生诊治。误服：停止服用，用清水充分漱口后，立即携带农药标签到医院就诊。无专用解毒剂，对症治疗。 </w:t>
            </w:r>
          </w:p>
        </w:tc>
      </w:tr>
      <w:tr w14:paraId="7CEB6492">
        <w:tblPrEx>
          <w:tblCellMar>
            <w:top w:w="0" w:type="dxa"/>
            <w:left w:w="0" w:type="dxa"/>
            <w:bottom w:w="0" w:type="dxa"/>
            <w:right w:w="0" w:type="dxa"/>
          </w:tblCellMar>
        </w:tblPrEx>
        <w:trPr>
          <w:wBefore w:w="0" w:type="auto"/>
          <w:tblCellSpacing w:w="0" w:type="dxa"/>
        </w:trPr>
        <w:tc>
          <w:tcPr>
            <w:tcW w:w="0" w:type="auto"/>
            <w:noWrap w:val="0"/>
            <w:vAlign w:val="center"/>
          </w:tcPr>
          <w:p w14:paraId="4269CAA0">
            <w:r>
              <w:rPr>
                <w:rStyle w:val="10"/>
                <w:rFonts w:hint="eastAsia"/>
              </w:rPr>
              <w:t>储存和运输方法：</w:t>
            </w:r>
            <w:r>
              <w:rPr>
                <w:rFonts w:hint="eastAsia"/>
              </w:rPr>
              <w:br w:type="textWrapping"/>
            </w:r>
            <w:r>
              <w:rPr>
                <w:rStyle w:val="11"/>
                <w:rFonts w:hint="eastAsia"/>
              </w:rPr>
              <w:t>本品应贮存在通风、干燥的库房中。贮运时，严防潮湿和日晒，远离火源或热源。置于儿童、无关人员及动物接触不到的地方，并加锁保存。不能与食品、饮料、粮食、饲料等混合储存。</w:t>
            </w:r>
          </w:p>
        </w:tc>
      </w:tr>
      <w:tr w14:paraId="3B1C3F2A">
        <w:tblPrEx>
          <w:tblCellMar>
            <w:top w:w="0" w:type="dxa"/>
            <w:left w:w="0" w:type="dxa"/>
            <w:bottom w:w="0" w:type="dxa"/>
            <w:right w:w="0" w:type="dxa"/>
          </w:tblCellMar>
        </w:tblPrEx>
        <w:trPr>
          <w:wBefore w:w="0" w:type="auto"/>
          <w:tblCellSpacing w:w="0" w:type="dxa"/>
        </w:trPr>
        <w:tc>
          <w:tcPr>
            <w:tcW w:w="0" w:type="auto"/>
            <w:noWrap w:val="0"/>
            <w:vAlign w:val="center"/>
          </w:tcPr>
          <w:p w14:paraId="5C311479">
            <w:r>
              <w:rPr>
                <w:rStyle w:val="10"/>
                <w:rFonts w:hint="eastAsia"/>
              </w:rPr>
              <w:t>质量保证期：</w:t>
            </w:r>
            <w:r>
              <w:rPr>
                <w:rStyle w:val="11"/>
                <w:rFonts w:hint="eastAsia"/>
              </w:rPr>
              <w:t>2年</w:t>
            </w:r>
          </w:p>
        </w:tc>
      </w:tr>
      <w:tr w14:paraId="107B3F9F">
        <w:tblPrEx>
          <w:tblCellMar>
            <w:top w:w="0" w:type="dxa"/>
            <w:left w:w="0" w:type="dxa"/>
            <w:bottom w:w="0" w:type="dxa"/>
            <w:right w:w="0" w:type="dxa"/>
          </w:tblCellMar>
        </w:tblPrEx>
        <w:trPr>
          <w:wBefore w:w="0" w:type="auto"/>
          <w:tblCellSpacing w:w="0" w:type="dxa"/>
        </w:trPr>
        <w:tc>
          <w:tcPr>
            <w:tcW w:w="0" w:type="auto"/>
            <w:noWrap w:val="0"/>
            <w:vAlign w:val="center"/>
          </w:tcPr>
          <w:p w14:paraId="3EA93E0B">
            <w:r>
              <w:rPr>
                <w:rStyle w:val="10"/>
                <w:rFonts w:hint="eastAsia"/>
              </w:rPr>
              <w:t>备注：</w:t>
            </w:r>
          </w:p>
        </w:tc>
      </w:tr>
    </w:tbl>
    <w:p w14:paraId="4CCA89C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02A597">
        <w:tblPrEx>
          <w:tblCellMar>
            <w:top w:w="0" w:type="dxa"/>
            <w:left w:w="0" w:type="dxa"/>
            <w:bottom w:w="0" w:type="dxa"/>
            <w:right w:w="0" w:type="dxa"/>
          </w:tblCellMar>
        </w:tblPrEx>
        <w:trPr>
          <w:wBefore w:w="0" w:type="auto"/>
          <w:tblCellSpacing w:w="0" w:type="dxa"/>
        </w:trPr>
        <w:tc>
          <w:tcPr>
            <w:tcW w:w="0" w:type="auto"/>
            <w:noWrap w:val="0"/>
            <w:vAlign w:val="center"/>
          </w:tcPr>
          <w:p w14:paraId="1DF4B1B6">
            <w:r>
              <w:rPr>
                <w:rStyle w:val="10"/>
                <w:rFonts w:hint="eastAsia"/>
              </w:rPr>
              <w:t>登记证号：</w:t>
            </w:r>
            <w:r>
              <w:rPr>
                <w:rFonts w:hint="eastAsia"/>
              </w:rPr>
              <w:t>PD20211763</w:t>
            </w:r>
          </w:p>
        </w:tc>
      </w:tr>
      <w:tr w14:paraId="246EA3DD">
        <w:tblPrEx>
          <w:tblCellMar>
            <w:top w:w="0" w:type="dxa"/>
            <w:left w:w="0" w:type="dxa"/>
            <w:bottom w:w="0" w:type="dxa"/>
            <w:right w:w="0" w:type="dxa"/>
          </w:tblCellMar>
        </w:tblPrEx>
        <w:trPr>
          <w:wBefore w:w="0" w:type="auto"/>
          <w:tblCellSpacing w:w="0" w:type="dxa"/>
        </w:trPr>
        <w:tc>
          <w:tcPr>
            <w:tcW w:w="0" w:type="auto"/>
            <w:noWrap w:val="0"/>
            <w:vAlign w:val="center"/>
          </w:tcPr>
          <w:p w14:paraId="3F3BDBC8">
            <w:r>
              <w:rPr>
                <w:rStyle w:val="10"/>
                <w:rFonts w:hint="eastAsia"/>
              </w:rPr>
              <w:t>登记证持有人：</w:t>
            </w:r>
            <w:r>
              <w:rPr>
                <w:rFonts w:hint="eastAsia"/>
              </w:rPr>
              <w:t>江西众和化工有限公司</w:t>
            </w:r>
          </w:p>
        </w:tc>
      </w:tr>
      <w:tr w14:paraId="5868CE84">
        <w:tblPrEx>
          <w:tblCellMar>
            <w:top w:w="0" w:type="dxa"/>
            <w:left w:w="0" w:type="dxa"/>
            <w:bottom w:w="0" w:type="dxa"/>
            <w:right w:w="0" w:type="dxa"/>
          </w:tblCellMar>
        </w:tblPrEx>
        <w:trPr>
          <w:wBefore w:w="0" w:type="auto"/>
          <w:tblCellSpacing w:w="0" w:type="dxa"/>
        </w:trPr>
        <w:tc>
          <w:tcPr>
            <w:tcW w:w="0" w:type="auto"/>
            <w:noWrap w:val="0"/>
            <w:vAlign w:val="center"/>
          </w:tcPr>
          <w:p w14:paraId="5FEAAF1E">
            <w:r>
              <w:rPr>
                <w:rStyle w:val="10"/>
                <w:rFonts w:hint="eastAsia"/>
              </w:rPr>
              <w:t>农药名称：</w:t>
            </w:r>
            <w:r>
              <w:rPr>
                <w:rFonts w:hint="eastAsia"/>
              </w:rPr>
              <w:t>噻虫·氟氯氰</w:t>
            </w:r>
          </w:p>
        </w:tc>
      </w:tr>
      <w:tr w14:paraId="5045674D">
        <w:tblPrEx>
          <w:tblCellMar>
            <w:top w:w="0" w:type="dxa"/>
            <w:left w:w="0" w:type="dxa"/>
            <w:bottom w:w="0" w:type="dxa"/>
            <w:right w:w="0" w:type="dxa"/>
          </w:tblCellMar>
        </w:tblPrEx>
        <w:trPr>
          <w:wBefore w:w="0" w:type="auto"/>
          <w:tblCellSpacing w:w="0" w:type="dxa"/>
        </w:trPr>
        <w:tc>
          <w:tcPr>
            <w:tcW w:w="0" w:type="auto"/>
            <w:noWrap w:val="0"/>
            <w:vAlign w:val="center"/>
          </w:tcPr>
          <w:p w14:paraId="700333FD">
            <w:r>
              <w:rPr>
                <w:rStyle w:val="10"/>
                <w:rFonts w:hint="eastAsia"/>
              </w:rPr>
              <w:t>剂型：</w:t>
            </w:r>
            <w:r>
              <w:rPr>
                <w:rFonts w:hint="eastAsia"/>
              </w:rPr>
              <w:t>颗粒剂</w:t>
            </w:r>
          </w:p>
        </w:tc>
      </w:tr>
      <w:tr w14:paraId="2E0A09D6">
        <w:tblPrEx>
          <w:tblCellMar>
            <w:top w:w="0" w:type="dxa"/>
            <w:left w:w="0" w:type="dxa"/>
            <w:bottom w:w="0" w:type="dxa"/>
            <w:right w:w="0" w:type="dxa"/>
          </w:tblCellMar>
        </w:tblPrEx>
        <w:trPr>
          <w:wBefore w:w="0" w:type="auto"/>
          <w:tblCellSpacing w:w="0" w:type="dxa"/>
        </w:trPr>
        <w:tc>
          <w:tcPr>
            <w:tcW w:w="0" w:type="auto"/>
            <w:noWrap w:val="0"/>
            <w:vAlign w:val="center"/>
          </w:tcPr>
          <w:p w14:paraId="0823CB9F">
            <w:r>
              <w:rPr>
                <w:rStyle w:val="10"/>
                <w:rFonts w:hint="eastAsia"/>
              </w:rPr>
              <w:t>毒性及其标识：</w:t>
            </w:r>
            <w:r>
              <w:rPr>
                <w:rFonts w:hint="eastAsia"/>
              </w:rPr>
              <w:t xml:space="preserve"> </w:t>
            </w:r>
            <w:r>
              <w:rPr>
                <w:lang/>
              </w:rPr>
              <w:drawing>
                <wp:inline distT="0" distB="0" distL="114300" distR="114300">
                  <wp:extent cx="476250" cy="323850"/>
                  <wp:effectExtent l="0" t="0" r="0" b="0"/>
                  <wp:docPr id="525" name="图片 52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7EB3FC1">
        <w:tblPrEx>
          <w:tblCellMar>
            <w:top w:w="0" w:type="dxa"/>
            <w:left w:w="0" w:type="dxa"/>
            <w:bottom w:w="0" w:type="dxa"/>
            <w:right w:w="0" w:type="dxa"/>
          </w:tblCellMar>
        </w:tblPrEx>
        <w:trPr>
          <w:wBefore w:w="0" w:type="auto"/>
          <w:tblCellSpacing w:w="0" w:type="dxa"/>
        </w:trPr>
        <w:tc>
          <w:tcPr>
            <w:tcW w:w="0" w:type="auto"/>
            <w:noWrap w:val="0"/>
            <w:vAlign w:val="center"/>
          </w:tcPr>
          <w:p w14:paraId="17979E01">
            <w:r>
              <w:rPr>
                <w:rStyle w:val="10"/>
                <w:rFonts w:hint="eastAsia"/>
              </w:rPr>
              <w:t>总有效成分含量：</w:t>
            </w:r>
            <w:r>
              <w:rPr>
                <w:rFonts w:hint="eastAsia"/>
              </w:rPr>
              <w:t>2.0%</w:t>
            </w:r>
          </w:p>
        </w:tc>
      </w:tr>
      <w:tr w14:paraId="7BE722B9">
        <w:tblPrEx>
          <w:tblCellMar>
            <w:top w:w="0" w:type="dxa"/>
            <w:left w:w="0" w:type="dxa"/>
            <w:bottom w:w="0" w:type="dxa"/>
            <w:right w:w="0" w:type="dxa"/>
          </w:tblCellMar>
        </w:tblPrEx>
        <w:trPr>
          <w:wBefore w:w="0" w:type="auto"/>
          <w:tblCellSpacing w:w="0" w:type="dxa"/>
        </w:trPr>
        <w:tc>
          <w:tcPr>
            <w:tcW w:w="0" w:type="auto"/>
            <w:noWrap w:val="0"/>
            <w:vAlign w:val="center"/>
          </w:tcPr>
          <w:p w14:paraId="0F91FF01">
            <w:r>
              <w:rPr>
                <w:rFonts w:hint="eastAsia"/>
              </w:rPr>
              <w:t xml:space="preserve">有效成分及其含量： </w:t>
            </w:r>
          </w:p>
          <w:p w14:paraId="4670B86D">
            <w:r>
              <w:rPr>
                <w:rFonts w:hint="eastAsia"/>
              </w:rPr>
              <w:t xml:space="preserve">    氟氯氰菊酯0.5%    噻虫胺1.5%    </w:t>
            </w:r>
          </w:p>
        </w:tc>
      </w:tr>
      <w:tr w14:paraId="137617A5">
        <w:tblPrEx>
          <w:tblCellMar>
            <w:top w:w="0" w:type="dxa"/>
            <w:left w:w="0" w:type="dxa"/>
            <w:bottom w:w="0" w:type="dxa"/>
            <w:right w:w="0" w:type="dxa"/>
          </w:tblCellMar>
        </w:tblPrEx>
        <w:trPr>
          <w:wBefore w:w="0" w:type="auto"/>
          <w:tblCellSpacing w:w="0" w:type="dxa"/>
        </w:trPr>
        <w:tc>
          <w:tcPr>
            <w:tcW w:w="0" w:type="auto"/>
            <w:noWrap w:val="0"/>
            <w:vAlign w:val="center"/>
          </w:tcPr>
          <w:p w14:paraId="453CCE8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3948F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CF029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D58E5D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4F131D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803A3F0">
                  <w:r>
                    <w:rPr>
                      <w:rStyle w:val="11"/>
                      <w:rFonts w:hint="eastAsia"/>
                    </w:rPr>
                    <w:t>施用方式</w:t>
                  </w:r>
                </w:p>
              </w:tc>
            </w:tr>
            <w:tr w14:paraId="23177C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DB18079">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E6A21A">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B6CA83">
                  <w:r>
                    <w:rPr>
                      <w:rStyle w:val="11"/>
                      <w:rFonts w:hint="eastAsia"/>
                    </w:rPr>
                    <w:t>700-1000克/亩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C5BE2A">
                  <w:r>
                    <w:rPr>
                      <w:rStyle w:val="11"/>
                      <w:rFonts w:hint="eastAsia"/>
                    </w:rPr>
                    <w:t>撒施</w:t>
                  </w:r>
                </w:p>
              </w:tc>
            </w:tr>
          </w:tbl>
          <w:p w14:paraId="58E48783">
            <w:pPr>
              <w:rPr>
                <w:rFonts w:ascii="Times New Roman" w:hAnsi="Times New Roman" w:cs="Times New Roman"/>
                <w:sz w:val="20"/>
                <w:szCs w:val="20"/>
              </w:rPr>
            </w:pPr>
          </w:p>
        </w:tc>
      </w:tr>
      <w:tr w14:paraId="5DDB51BF">
        <w:tblPrEx>
          <w:tblCellMar>
            <w:top w:w="0" w:type="dxa"/>
            <w:left w:w="0" w:type="dxa"/>
            <w:bottom w:w="0" w:type="dxa"/>
            <w:right w:w="0" w:type="dxa"/>
          </w:tblCellMar>
        </w:tblPrEx>
        <w:trPr>
          <w:wBefore w:w="0" w:type="auto"/>
          <w:tblCellSpacing w:w="0" w:type="dxa"/>
        </w:trPr>
        <w:tc>
          <w:tcPr>
            <w:tcW w:w="0" w:type="auto"/>
            <w:noWrap w:val="0"/>
            <w:vAlign w:val="center"/>
          </w:tcPr>
          <w:p w14:paraId="2324ECBA">
            <w:r>
              <w:rPr>
                <w:rStyle w:val="10"/>
                <w:rFonts w:hint="eastAsia"/>
              </w:rPr>
              <w:t>使用技术要求:</w:t>
            </w:r>
            <w:r>
              <w:rPr>
                <w:rFonts w:hint="eastAsia"/>
              </w:rPr>
              <w:br w:type="textWrapping"/>
            </w:r>
            <w:r>
              <w:rPr>
                <w:rStyle w:val="11"/>
                <w:rFonts w:hint="eastAsia"/>
              </w:rPr>
              <w:t>1、甘蓝移栽前将药剂均匀撒施于种植沟内，施药后覆土。2.施药后须保持一定的土壤湿润以有利于有效成分的释放和均匀分布。3.大风天或预计1小时内有大雨，请勿施药。4.本品每季最多使用1次。</w:t>
            </w:r>
          </w:p>
        </w:tc>
      </w:tr>
      <w:tr w14:paraId="68B2E7FE">
        <w:tblPrEx>
          <w:tblCellMar>
            <w:top w:w="0" w:type="dxa"/>
            <w:left w:w="0" w:type="dxa"/>
            <w:bottom w:w="0" w:type="dxa"/>
            <w:right w:w="0" w:type="dxa"/>
          </w:tblCellMar>
        </w:tblPrEx>
        <w:trPr>
          <w:wBefore w:w="0" w:type="auto"/>
          <w:tblCellSpacing w:w="0" w:type="dxa"/>
        </w:trPr>
        <w:tc>
          <w:tcPr>
            <w:tcW w:w="0" w:type="auto"/>
            <w:noWrap w:val="0"/>
            <w:vAlign w:val="center"/>
          </w:tcPr>
          <w:p w14:paraId="59A1A5FD">
            <w:r>
              <w:rPr>
                <w:rStyle w:val="10"/>
                <w:rFonts w:hint="eastAsia"/>
              </w:rPr>
              <w:t>产品性能:</w:t>
            </w:r>
            <w:r>
              <w:rPr>
                <w:rFonts w:hint="eastAsia"/>
              </w:rPr>
              <w:br w:type="textWrapping"/>
            </w:r>
            <w:r>
              <w:rPr>
                <w:rStyle w:val="11"/>
                <w:rFonts w:hint="eastAsia"/>
              </w:rPr>
              <w:t>本品是由两种不同作用机理的有效成分氟氯氰菊酯和噻虫胺复配而成的杀虫颗粒剂，二者混用具有内吸、触杀和胃毒作用，可有效防治甘蓝蛴螬。</w:t>
            </w:r>
          </w:p>
        </w:tc>
      </w:tr>
      <w:tr w14:paraId="34CC9C2A">
        <w:tblPrEx>
          <w:tblCellMar>
            <w:top w:w="0" w:type="dxa"/>
            <w:left w:w="0" w:type="dxa"/>
            <w:bottom w:w="0" w:type="dxa"/>
            <w:right w:w="0" w:type="dxa"/>
          </w:tblCellMar>
        </w:tblPrEx>
        <w:trPr>
          <w:wBefore w:w="0" w:type="auto"/>
          <w:tblCellSpacing w:w="0" w:type="dxa"/>
        </w:trPr>
        <w:tc>
          <w:tcPr>
            <w:tcW w:w="0" w:type="auto"/>
            <w:noWrap w:val="0"/>
            <w:vAlign w:val="center"/>
          </w:tcPr>
          <w:p w14:paraId="1CBCD928">
            <w:r>
              <w:rPr>
                <w:rStyle w:val="10"/>
                <w:rFonts w:hint="eastAsia"/>
              </w:rPr>
              <w:t>注意事项：</w:t>
            </w:r>
            <w:r>
              <w:rPr>
                <w:rFonts w:hint="eastAsia"/>
              </w:rPr>
              <w:br w:type="textWrapping"/>
            </w:r>
            <w:r>
              <w:rPr>
                <w:rStyle w:val="11"/>
                <w:rFonts w:hint="eastAsia"/>
              </w:rPr>
              <w:t>1.施药时应穿戴防护服，戴口罩、手套、眼镜等，施药期间不可吸烟、饮水和进食。2.施药后及时用肥皂和清水洗手、脸及裸露皮肤，被污染的防护服，戴口罩、手套等要及时换洗。3. 本品对鸟类、赤眼蜂有毒，鸟类保护区和天敌放飞区禁用；对蜜蜂有毒，施药期间应避免对周围蜂群的影响，避免在周围植物花期时使用。4.对家蚕有毒，蚕室及桑园附近禁用；对鱼类等水生生物有毒，注意远离水产养殖区施药。5.禁止在河塘等水体中清洗施药器具，清洗器具后的废水不得随意排入河塘等水体，以免污染水源。6.用过的空包装应妥善处理，不可随意丢弃.7.孕妇及哺乳期妇女避免接触。</w:t>
            </w:r>
          </w:p>
        </w:tc>
      </w:tr>
      <w:tr w14:paraId="67321EF3">
        <w:tblPrEx>
          <w:tblCellMar>
            <w:top w:w="0" w:type="dxa"/>
            <w:left w:w="0" w:type="dxa"/>
            <w:bottom w:w="0" w:type="dxa"/>
            <w:right w:w="0" w:type="dxa"/>
          </w:tblCellMar>
        </w:tblPrEx>
        <w:trPr>
          <w:wBefore w:w="0" w:type="auto"/>
          <w:tblCellSpacing w:w="0" w:type="dxa"/>
        </w:trPr>
        <w:tc>
          <w:tcPr>
            <w:tcW w:w="0" w:type="auto"/>
            <w:noWrap w:val="0"/>
            <w:vAlign w:val="center"/>
          </w:tcPr>
          <w:p w14:paraId="5FDDED2F">
            <w:r>
              <w:rPr>
                <w:rStyle w:val="10"/>
                <w:rFonts w:hint="eastAsia"/>
              </w:rPr>
              <w:t>中毒急救措施：</w:t>
            </w:r>
            <w:r>
              <w:rPr>
                <w:rFonts w:hint="eastAsia"/>
              </w:rPr>
              <w:br w:type="textWrapping"/>
            </w:r>
            <w:r>
              <w:rPr>
                <w:rStyle w:val="11"/>
                <w:rFonts w:hint="eastAsia"/>
              </w:rPr>
              <w:t>使用中或使用后若感觉不适，应立即采取急救措施。皮肤污染要立即更换衣服，用肥皂和清水洗皮肤；眼睛接触，应立即用大量清水冲洗15分钟；如不慎吸入，应将病人移至空气流通处；误服：立即携此标签将病人送医院诊治。本品尚无特效解毒剂，请对症治疗。</w:t>
            </w:r>
          </w:p>
        </w:tc>
      </w:tr>
      <w:tr w14:paraId="0D4F4AF2">
        <w:tblPrEx>
          <w:tblCellMar>
            <w:top w:w="0" w:type="dxa"/>
            <w:left w:w="0" w:type="dxa"/>
            <w:bottom w:w="0" w:type="dxa"/>
            <w:right w:w="0" w:type="dxa"/>
          </w:tblCellMar>
        </w:tblPrEx>
        <w:trPr>
          <w:wBefore w:w="0" w:type="auto"/>
          <w:tblCellSpacing w:w="0" w:type="dxa"/>
        </w:trPr>
        <w:tc>
          <w:tcPr>
            <w:tcW w:w="0" w:type="auto"/>
            <w:noWrap w:val="0"/>
            <w:vAlign w:val="center"/>
          </w:tcPr>
          <w:p w14:paraId="12DB4C31">
            <w:r>
              <w:rPr>
                <w:rStyle w:val="10"/>
                <w:rFonts w:hint="eastAsia"/>
              </w:rPr>
              <w:t>储存和运输方法：</w:t>
            </w:r>
            <w:r>
              <w:rPr>
                <w:rFonts w:hint="eastAsia"/>
              </w:rPr>
              <w:br w:type="textWrapping"/>
            </w:r>
            <w:r>
              <w:rPr>
                <w:rStyle w:val="11"/>
                <w:rFonts w:hint="eastAsia"/>
              </w:rPr>
              <w:t>本品应密封贮存在干燥、阴凉、通风、防雨处，远离火源和热源。置于儿童触及不到之处，并加锁。勿与食品、饮料、粮食、饲料、种子等其他商品同贮同运。</w:t>
            </w:r>
          </w:p>
        </w:tc>
      </w:tr>
      <w:tr w14:paraId="7F2CC9B7">
        <w:tblPrEx>
          <w:tblCellMar>
            <w:top w:w="0" w:type="dxa"/>
            <w:left w:w="0" w:type="dxa"/>
            <w:bottom w:w="0" w:type="dxa"/>
            <w:right w:w="0" w:type="dxa"/>
          </w:tblCellMar>
        </w:tblPrEx>
        <w:trPr>
          <w:wBefore w:w="0" w:type="auto"/>
          <w:tblCellSpacing w:w="0" w:type="dxa"/>
        </w:trPr>
        <w:tc>
          <w:tcPr>
            <w:tcW w:w="0" w:type="auto"/>
            <w:noWrap w:val="0"/>
            <w:vAlign w:val="center"/>
          </w:tcPr>
          <w:p w14:paraId="0AAE7CA5">
            <w:r>
              <w:rPr>
                <w:rStyle w:val="10"/>
                <w:rFonts w:hint="eastAsia"/>
              </w:rPr>
              <w:t>质量保证期：</w:t>
            </w:r>
            <w:r>
              <w:rPr>
                <w:rStyle w:val="11"/>
                <w:rFonts w:hint="eastAsia"/>
              </w:rPr>
              <w:t>2年</w:t>
            </w:r>
          </w:p>
        </w:tc>
      </w:tr>
      <w:tr w14:paraId="38588440">
        <w:tblPrEx>
          <w:tblCellMar>
            <w:top w:w="0" w:type="dxa"/>
            <w:left w:w="0" w:type="dxa"/>
            <w:bottom w:w="0" w:type="dxa"/>
            <w:right w:w="0" w:type="dxa"/>
          </w:tblCellMar>
        </w:tblPrEx>
        <w:trPr>
          <w:wBefore w:w="0" w:type="auto"/>
          <w:tblCellSpacing w:w="0" w:type="dxa"/>
        </w:trPr>
        <w:tc>
          <w:tcPr>
            <w:tcW w:w="0" w:type="auto"/>
            <w:noWrap w:val="0"/>
            <w:vAlign w:val="center"/>
          </w:tcPr>
          <w:p w14:paraId="4089612C">
            <w:r>
              <w:rPr>
                <w:rStyle w:val="10"/>
                <w:rFonts w:hint="eastAsia"/>
              </w:rPr>
              <w:t>备注：</w:t>
            </w:r>
          </w:p>
        </w:tc>
      </w:tr>
    </w:tbl>
    <w:p w14:paraId="4FF6C28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285FC06">
        <w:tblPrEx>
          <w:tblCellMar>
            <w:top w:w="0" w:type="dxa"/>
            <w:left w:w="0" w:type="dxa"/>
            <w:bottom w:w="0" w:type="dxa"/>
            <w:right w:w="0" w:type="dxa"/>
          </w:tblCellMar>
        </w:tblPrEx>
        <w:trPr>
          <w:wBefore w:w="0" w:type="auto"/>
          <w:tblCellSpacing w:w="0" w:type="dxa"/>
        </w:trPr>
        <w:tc>
          <w:tcPr>
            <w:tcW w:w="0" w:type="auto"/>
            <w:noWrap w:val="0"/>
            <w:vAlign w:val="center"/>
          </w:tcPr>
          <w:p w14:paraId="223064C9">
            <w:r>
              <w:rPr>
                <w:rStyle w:val="10"/>
                <w:rFonts w:hint="eastAsia"/>
              </w:rPr>
              <w:t>登记证号：</w:t>
            </w:r>
            <w:r>
              <w:rPr>
                <w:rFonts w:hint="eastAsia"/>
              </w:rPr>
              <w:t>PD20212006</w:t>
            </w:r>
          </w:p>
        </w:tc>
      </w:tr>
      <w:tr w14:paraId="65944771">
        <w:tblPrEx>
          <w:tblCellMar>
            <w:top w:w="0" w:type="dxa"/>
            <w:left w:w="0" w:type="dxa"/>
            <w:bottom w:w="0" w:type="dxa"/>
            <w:right w:w="0" w:type="dxa"/>
          </w:tblCellMar>
        </w:tblPrEx>
        <w:trPr>
          <w:wBefore w:w="0" w:type="auto"/>
          <w:tblCellSpacing w:w="0" w:type="dxa"/>
        </w:trPr>
        <w:tc>
          <w:tcPr>
            <w:tcW w:w="0" w:type="auto"/>
            <w:noWrap w:val="0"/>
            <w:vAlign w:val="center"/>
          </w:tcPr>
          <w:p w14:paraId="1AF32B4F">
            <w:r>
              <w:rPr>
                <w:rStyle w:val="10"/>
                <w:rFonts w:hint="eastAsia"/>
              </w:rPr>
              <w:t>登记证持有人：</w:t>
            </w:r>
            <w:r>
              <w:rPr>
                <w:rFonts w:hint="eastAsia"/>
              </w:rPr>
              <w:t>陕西康禾立丰生物科技药业有限公司</w:t>
            </w:r>
          </w:p>
        </w:tc>
      </w:tr>
      <w:tr w14:paraId="6143FFC7">
        <w:tblPrEx>
          <w:tblCellMar>
            <w:top w:w="0" w:type="dxa"/>
            <w:left w:w="0" w:type="dxa"/>
            <w:bottom w:w="0" w:type="dxa"/>
            <w:right w:w="0" w:type="dxa"/>
          </w:tblCellMar>
        </w:tblPrEx>
        <w:trPr>
          <w:wBefore w:w="0" w:type="auto"/>
          <w:tblCellSpacing w:w="0" w:type="dxa"/>
        </w:trPr>
        <w:tc>
          <w:tcPr>
            <w:tcW w:w="0" w:type="auto"/>
            <w:noWrap w:val="0"/>
            <w:vAlign w:val="center"/>
          </w:tcPr>
          <w:p w14:paraId="55100729">
            <w:r>
              <w:rPr>
                <w:rStyle w:val="10"/>
                <w:rFonts w:hint="eastAsia"/>
              </w:rPr>
              <w:t>农药名称：</w:t>
            </w:r>
            <w:r>
              <w:rPr>
                <w:rFonts w:hint="eastAsia"/>
              </w:rPr>
              <w:t>苯甲·溴菌腈</w:t>
            </w:r>
          </w:p>
        </w:tc>
      </w:tr>
      <w:tr w14:paraId="73D79E6D">
        <w:tblPrEx>
          <w:tblCellMar>
            <w:top w:w="0" w:type="dxa"/>
            <w:left w:w="0" w:type="dxa"/>
            <w:bottom w:w="0" w:type="dxa"/>
            <w:right w:w="0" w:type="dxa"/>
          </w:tblCellMar>
        </w:tblPrEx>
        <w:trPr>
          <w:wBefore w:w="0" w:type="auto"/>
          <w:tblCellSpacing w:w="0" w:type="dxa"/>
        </w:trPr>
        <w:tc>
          <w:tcPr>
            <w:tcW w:w="0" w:type="auto"/>
            <w:noWrap w:val="0"/>
            <w:vAlign w:val="center"/>
          </w:tcPr>
          <w:p w14:paraId="4602EC97">
            <w:r>
              <w:rPr>
                <w:rStyle w:val="10"/>
                <w:rFonts w:hint="eastAsia"/>
              </w:rPr>
              <w:t>剂型：</w:t>
            </w:r>
            <w:r>
              <w:rPr>
                <w:rFonts w:hint="eastAsia"/>
              </w:rPr>
              <w:t>可湿性粉剂</w:t>
            </w:r>
          </w:p>
        </w:tc>
      </w:tr>
      <w:tr w14:paraId="72F3F391">
        <w:tblPrEx>
          <w:tblCellMar>
            <w:top w:w="0" w:type="dxa"/>
            <w:left w:w="0" w:type="dxa"/>
            <w:bottom w:w="0" w:type="dxa"/>
            <w:right w:w="0" w:type="dxa"/>
          </w:tblCellMar>
        </w:tblPrEx>
        <w:trPr>
          <w:wBefore w:w="0" w:type="auto"/>
          <w:tblCellSpacing w:w="0" w:type="dxa"/>
        </w:trPr>
        <w:tc>
          <w:tcPr>
            <w:tcW w:w="0" w:type="auto"/>
            <w:noWrap w:val="0"/>
            <w:vAlign w:val="center"/>
          </w:tcPr>
          <w:p w14:paraId="3EB3924B">
            <w:r>
              <w:rPr>
                <w:rStyle w:val="10"/>
                <w:rFonts w:hint="eastAsia"/>
              </w:rPr>
              <w:t>毒性及其标识：</w:t>
            </w:r>
            <w:r>
              <w:rPr>
                <w:rFonts w:hint="eastAsia"/>
              </w:rPr>
              <w:t xml:space="preserve"> </w:t>
            </w:r>
            <w:r>
              <w:rPr>
                <w:lang/>
              </w:rPr>
              <w:drawing>
                <wp:inline distT="0" distB="0" distL="114300" distR="114300">
                  <wp:extent cx="476250" cy="323850"/>
                  <wp:effectExtent l="0" t="0" r="0" b="0"/>
                  <wp:docPr id="526" name="图片 52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81D360D">
        <w:tblPrEx>
          <w:tblCellMar>
            <w:top w:w="0" w:type="dxa"/>
            <w:left w:w="0" w:type="dxa"/>
            <w:bottom w:w="0" w:type="dxa"/>
            <w:right w:w="0" w:type="dxa"/>
          </w:tblCellMar>
        </w:tblPrEx>
        <w:trPr>
          <w:wBefore w:w="0" w:type="auto"/>
          <w:tblCellSpacing w:w="0" w:type="dxa"/>
        </w:trPr>
        <w:tc>
          <w:tcPr>
            <w:tcW w:w="0" w:type="auto"/>
            <w:noWrap w:val="0"/>
            <w:vAlign w:val="center"/>
          </w:tcPr>
          <w:p w14:paraId="08A3BB1A">
            <w:r>
              <w:rPr>
                <w:rStyle w:val="10"/>
                <w:rFonts w:hint="eastAsia"/>
              </w:rPr>
              <w:t>总有效成分含量：</w:t>
            </w:r>
            <w:r>
              <w:rPr>
                <w:rFonts w:hint="eastAsia"/>
              </w:rPr>
              <w:t>35%</w:t>
            </w:r>
          </w:p>
        </w:tc>
      </w:tr>
      <w:tr w14:paraId="705BEF3A">
        <w:tblPrEx>
          <w:tblCellMar>
            <w:top w:w="0" w:type="dxa"/>
            <w:left w:w="0" w:type="dxa"/>
            <w:bottom w:w="0" w:type="dxa"/>
            <w:right w:w="0" w:type="dxa"/>
          </w:tblCellMar>
        </w:tblPrEx>
        <w:trPr>
          <w:wBefore w:w="0" w:type="auto"/>
          <w:tblCellSpacing w:w="0" w:type="dxa"/>
        </w:trPr>
        <w:tc>
          <w:tcPr>
            <w:tcW w:w="0" w:type="auto"/>
            <w:noWrap w:val="0"/>
            <w:vAlign w:val="center"/>
          </w:tcPr>
          <w:p w14:paraId="7EF527A5">
            <w:r>
              <w:rPr>
                <w:rFonts w:hint="eastAsia"/>
              </w:rPr>
              <w:t xml:space="preserve">有效成分及其含量： </w:t>
            </w:r>
          </w:p>
          <w:p w14:paraId="6AD74B4C">
            <w:r>
              <w:rPr>
                <w:rFonts w:hint="eastAsia"/>
              </w:rPr>
              <w:t xml:space="preserve">    溴菌腈25%    苯醚甲环唑10%    </w:t>
            </w:r>
          </w:p>
        </w:tc>
      </w:tr>
      <w:tr w14:paraId="55EFA199">
        <w:tblPrEx>
          <w:tblCellMar>
            <w:top w:w="0" w:type="dxa"/>
            <w:left w:w="0" w:type="dxa"/>
            <w:bottom w:w="0" w:type="dxa"/>
            <w:right w:w="0" w:type="dxa"/>
          </w:tblCellMar>
        </w:tblPrEx>
        <w:trPr>
          <w:wBefore w:w="0" w:type="auto"/>
          <w:tblCellSpacing w:w="0" w:type="dxa"/>
        </w:trPr>
        <w:tc>
          <w:tcPr>
            <w:tcW w:w="0" w:type="auto"/>
            <w:noWrap w:val="0"/>
            <w:vAlign w:val="center"/>
          </w:tcPr>
          <w:p w14:paraId="3E2EC7C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03A4B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EC0EF5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1FD3A6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9BDDD6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8643551">
                  <w:r>
                    <w:rPr>
                      <w:rStyle w:val="11"/>
                      <w:rFonts w:hint="eastAsia"/>
                    </w:rPr>
                    <w:t>施用方式</w:t>
                  </w:r>
                </w:p>
              </w:tc>
            </w:tr>
            <w:tr w14:paraId="467D58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E52212">
                  <w:r>
                    <w:rPr>
                      <w:rStyle w:val="11"/>
                      <w:rFonts w:hint="eastAsia"/>
                    </w:rPr>
                    <w:t>西瓜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976431">
                  <w:r>
                    <w:rPr>
                      <w:rStyle w:val="11"/>
                      <w:rFonts w:hint="eastAsia"/>
                    </w:rPr>
                    <w:t>蔓枯病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6B4925">
                  <w:r>
                    <w:rPr>
                      <w:rStyle w:val="11"/>
                      <w:rFonts w:hint="eastAsia"/>
                    </w:rPr>
                    <w:t>20-40克/亩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F7562C">
                  <w:r>
                    <w:rPr>
                      <w:rStyle w:val="11"/>
                      <w:rFonts w:hint="eastAsia"/>
                    </w:rPr>
                    <w:t>喷雾</w:t>
                  </w:r>
                </w:p>
              </w:tc>
            </w:tr>
          </w:tbl>
          <w:p w14:paraId="2F75DC6D">
            <w:pPr>
              <w:rPr>
                <w:rFonts w:ascii="Times New Roman" w:hAnsi="Times New Roman" w:cs="Times New Roman"/>
                <w:sz w:val="20"/>
                <w:szCs w:val="20"/>
              </w:rPr>
            </w:pPr>
          </w:p>
        </w:tc>
      </w:tr>
      <w:tr w14:paraId="44359B90">
        <w:tblPrEx>
          <w:tblCellMar>
            <w:top w:w="0" w:type="dxa"/>
            <w:left w:w="0" w:type="dxa"/>
            <w:bottom w:w="0" w:type="dxa"/>
            <w:right w:w="0" w:type="dxa"/>
          </w:tblCellMar>
        </w:tblPrEx>
        <w:trPr>
          <w:wBefore w:w="0" w:type="auto"/>
          <w:tblCellSpacing w:w="0" w:type="dxa"/>
        </w:trPr>
        <w:tc>
          <w:tcPr>
            <w:tcW w:w="0" w:type="auto"/>
            <w:noWrap w:val="0"/>
            <w:vAlign w:val="center"/>
          </w:tcPr>
          <w:p w14:paraId="77A16517">
            <w:r>
              <w:rPr>
                <w:rStyle w:val="10"/>
                <w:rFonts w:hint="eastAsia"/>
              </w:rPr>
              <w:t>使用技术要求:</w:t>
            </w:r>
            <w:r>
              <w:rPr>
                <w:rFonts w:hint="eastAsia"/>
              </w:rPr>
              <w:br w:type="textWrapping"/>
            </w:r>
            <w:r>
              <w:rPr>
                <w:rStyle w:val="11"/>
                <w:rFonts w:hint="eastAsia"/>
              </w:rPr>
              <w:t>1.在西瓜上使用的安全间隔期为7天，每季使用3次。2.于病害发生前或发病初期喷雾施药，连续施药2-3次，间隔7-10天。3.大风天或预计 1 小时内降雨，请勿施药。</w:t>
            </w:r>
          </w:p>
        </w:tc>
      </w:tr>
      <w:tr w14:paraId="284E84D8">
        <w:tblPrEx>
          <w:tblCellMar>
            <w:top w:w="0" w:type="dxa"/>
            <w:left w:w="0" w:type="dxa"/>
            <w:bottom w:w="0" w:type="dxa"/>
            <w:right w:w="0" w:type="dxa"/>
          </w:tblCellMar>
        </w:tblPrEx>
        <w:trPr>
          <w:wBefore w:w="0" w:type="auto"/>
          <w:tblCellSpacing w:w="0" w:type="dxa"/>
        </w:trPr>
        <w:tc>
          <w:tcPr>
            <w:tcW w:w="0" w:type="auto"/>
            <w:noWrap w:val="0"/>
            <w:vAlign w:val="center"/>
          </w:tcPr>
          <w:p w14:paraId="23583DF1">
            <w:r>
              <w:rPr>
                <w:rStyle w:val="10"/>
                <w:rFonts w:hint="eastAsia"/>
              </w:rPr>
              <w:t>产品性能:</w:t>
            </w:r>
            <w:r>
              <w:rPr>
                <w:rFonts w:hint="eastAsia"/>
              </w:rPr>
              <w:br w:type="textWrapping"/>
            </w:r>
            <w:r>
              <w:rPr>
                <w:rStyle w:val="11"/>
                <w:rFonts w:hint="eastAsia"/>
              </w:rPr>
              <w:t>苯醚甲环唑为三唑类杀菌剂，具内吸作用，药液喷施后可迅速被作物吸收，并传送到植物各部位。溴菌腈兼有杀菌、防霉、灭藻性能，能抑制和铲除病菌生长，该产品为苯醚甲环唑和溴菌腈复配而成，对西瓜蔓枯病有较好效果。</w:t>
            </w:r>
          </w:p>
        </w:tc>
      </w:tr>
      <w:tr w14:paraId="5D100021">
        <w:tblPrEx>
          <w:tblCellMar>
            <w:top w:w="0" w:type="dxa"/>
            <w:left w:w="0" w:type="dxa"/>
            <w:bottom w:w="0" w:type="dxa"/>
            <w:right w:w="0" w:type="dxa"/>
          </w:tblCellMar>
        </w:tblPrEx>
        <w:trPr>
          <w:wBefore w:w="0" w:type="auto"/>
          <w:tblCellSpacing w:w="0" w:type="dxa"/>
        </w:trPr>
        <w:tc>
          <w:tcPr>
            <w:tcW w:w="0" w:type="auto"/>
            <w:noWrap w:val="0"/>
            <w:vAlign w:val="center"/>
          </w:tcPr>
          <w:p w14:paraId="3C2891AC">
            <w:r>
              <w:rPr>
                <w:rStyle w:val="10"/>
                <w:rFonts w:hint="eastAsia"/>
              </w:rPr>
              <w:t>注意事项：</w:t>
            </w:r>
            <w:r>
              <w:rPr>
                <w:rFonts w:hint="eastAsia"/>
              </w:rPr>
              <w:br w:type="textWrapping"/>
            </w:r>
            <w:r>
              <w:rPr>
                <w:rStyle w:val="11"/>
                <w:rFonts w:hint="eastAsia"/>
              </w:rPr>
              <w:t>1.严格按照规定用药量和方法使用。 2.本品不能与碱性农药等物质混用，建议与其他作用机制不同的杀菌剂轮换使用，以延缓抗性产生。 3.远离水产养殖区、河塘等水体施药；禁止在河塘等水体中清洗施药器具；</w:t>
            </w:r>
            <w:r>
              <w:rPr>
                <w:rStyle w:val="11"/>
                <w:rFonts w:hint="eastAsia"/>
              </w:rPr>
              <w:t> </w:t>
            </w:r>
            <w:r>
              <w:rPr>
                <w:rStyle w:val="11"/>
                <w:rFonts w:hint="eastAsia"/>
              </w:rPr>
              <w:t>赤眼蜂等天敌放飞区域禁用。 4.使用本品时应穿防护服和戴手套、护目镜，避免吸入药液。施药期间不可吃东西和饮水。施药后应及时洗手和洗脸。 5.用药后包装物及用过的容器应妥善处理，不可做他用，也不可随意丢弃。6.孕妇及哺乳期妇女禁止接触本品。</w:t>
            </w:r>
          </w:p>
        </w:tc>
      </w:tr>
      <w:tr w14:paraId="5943B565">
        <w:tblPrEx>
          <w:tblCellMar>
            <w:top w:w="0" w:type="dxa"/>
            <w:left w:w="0" w:type="dxa"/>
            <w:bottom w:w="0" w:type="dxa"/>
            <w:right w:w="0" w:type="dxa"/>
          </w:tblCellMar>
        </w:tblPrEx>
        <w:trPr>
          <w:wBefore w:w="0" w:type="auto"/>
          <w:tblCellSpacing w:w="0" w:type="dxa"/>
        </w:trPr>
        <w:tc>
          <w:tcPr>
            <w:tcW w:w="0" w:type="auto"/>
            <w:noWrap w:val="0"/>
            <w:vAlign w:val="center"/>
          </w:tcPr>
          <w:p w14:paraId="5E5EB5BF">
            <w:r>
              <w:rPr>
                <w:rStyle w:val="10"/>
                <w:rFonts w:hint="eastAsia"/>
              </w:rPr>
              <w:t>中毒急救措施：</w:t>
            </w:r>
            <w:r>
              <w:rPr>
                <w:rFonts w:hint="eastAsia"/>
              </w:rPr>
              <w:br w:type="textWrapping"/>
            </w:r>
            <w:r>
              <w:rPr>
                <w:rStyle w:val="11"/>
                <w:rFonts w:hint="eastAsia"/>
              </w:rPr>
              <w:t>1.本品对眼睛有刺激性，使用中或使用后如果感觉不适，应立即停止工作，采取急救措施，并携带标签送医院就诊。2.皮肤接触：脱去污染的衣物，立即用软布去除沾染农药，立即用大量清水和肥皂冲洗。3.眼睛溅入：立即用流动清水冲洗不少于15分钟。 4.吸入：立即离开施药现场，转移到空气清新处。 6.误服：立即停止服用，用清水充分漱口后，立即携带农药标签到医院就诊。</w:t>
            </w:r>
          </w:p>
        </w:tc>
      </w:tr>
      <w:tr w14:paraId="1F0056DB">
        <w:tblPrEx>
          <w:tblCellMar>
            <w:top w:w="0" w:type="dxa"/>
            <w:left w:w="0" w:type="dxa"/>
            <w:bottom w:w="0" w:type="dxa"/>
            <w:right w:w="0" w:type="dxa"/>
          </w:tblCellMar>
        </w:tblPrEx>
        <w:trPr>
          <w:wBefore w:w="0" w:type="auto"/>
          <w:tblCellSpacing w:w="0" w:type="dxa"/>
        </w:trPr>
        <w:tc>
          <w:tcPr>
            <w:tcW w:w="0" w:type="auto"/>
            <w:noWrap w:val="0"/>
            <w:vAlign w:val="center"/>
          </w:tcPr>
          <w:p w14:paraId="7D137E1D">
            <w:r>
              <w:rPr>
                <w:rStyle w:val="10"/>
                <w:rFonts w:hint="eastAsia"/>
              </w:rPr>
              <w:t>储存和运输方法：</w:t>
            </w:r>
            <w:r>
              <w:rPr>
                <w:rFonts w:hint="eastAsia"/>
              </w:rPr>
              <w:br w:type="textWrapping"/>
            </w:r>
            <w:r>
              <w:rPr>
                <w:rStyle w:val="11"/>
                <w:rFonts w:hint="eastAsia"/>
              </w:rPr>
              <w:t>1.本品应以原包装贮存于阴凉、干燥和通风处。 远离热源或者火源。 2.本品勿与食物、饲料、饮料和种子等同贮同运，并放置于儿童接触不到的地方，加锁保管。 3.运输时应注意防水防潮，避免雨淋；搬运时轻搬轻放，不可倒置。</w:t>
            </w:r>
          </w:p>
        </w:tc>
      </w:tr>
      <w:tr w14:paraId="07B4F6B2">
        <w:tblPrEx>
          <w:tblCellMar>
            <w:top w:w="0" w:type="dxa"/>
            <w:left w:w="0" w:type="dxa"/>
            <w:bottom w:w="0" w:type="dxa"/>
            <w:right w:w="0" w:type="dxa"/>
          </w:tblCellMar>
        </w:tblPrEx>
        <w:trPr>
          <w:wBefore w:w="0" w:type="auto"/>
          <w:tblCellSpacing w:w="0" w:type="dxa"/>
        </w:trPr>
        <w:tc>
          <w:tcPr>
            <w:tcW w:w="0" w:type="auto"/>
            <w:noWrap w:val="0"/>
            <w:vAlign w:val="center"/>
          </w:tcPr>
          <w:p w14:paraId="4ADDAB0E">
            <w:r>
              <w:rPr>
                <w:rStyle w:val="10"/>
                <w:rFonts w:hint="eastAsia"/>
              </w:rPr>
              <w:t>质量保证期：</w:t>
            </w:r>
            <w:r>
              <w:rPr>
                <w:rStyle w:val="11"/>
                <w:rFonts w:hint="eastAsia"/>
              </w:rPr>
              <w:t>2年</w:t>
            </w:r>
          </w:p>
        </w:tc>
      </w:tr>
      <w:tr w14:paraId="6274872F">
        <w:tblPrEx>
          <w:tblCellMar>
            <w:top w:w="0" w:type="dxa"/>
            <w:left w:w="0" w:type="dxa"/>
            <w:bottom w:w="0" w:type="dxa"/>
            <w:right w:w="0" w:type="dxa"/>
          </w:tblCellMar>
        </w:tblPrEx>
        <w:trPr>
          <w:wBefore w:w="0" w:type="auto"/>
          <w:tblCellSpacing w:w="0" w:type="dxa"/>
        </w:trPr>
        <w:tc>
          <w:tcPr>
            <w:tcW w:w="0" w:type="auto"/>
            <w:noWrap w:val="0"/>
            <w:vAlign w:val="center"/>
          </w:tcPr>
          <w:p w14:paraId="34699348">
            <w:r>
              <w:rPr>
                <w:rStyle w:val="10"/>
                <w:rFonts w:hint="eastAsia"/>
              </w:rPr>
              <w:t>备注：</w:t>
            </w:r>
          </w:p>
        </w:tc>
      </w:tr>
    </w:tbl>
    <w:p w14:paraId="382047F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5BE7CB5">
        <w:tblPrEx>
          <w:tblCellMar>
            <w:top w:w="0" w:type="dxa"/>
            <w:left w:w="0" w:type="dxa"/>
            <w:bottom w:w="0" w:type="dxa"/>
            <w:right w:w="0" w:type="dxa"/>
          </w:tblCellMar>
        </w:tblPrEx>
        <w:trPr>
          <w:wBefore w:w="0" w:type="auto"/>
          <w:tblCellSpacing w:w="0" w:type="dxa"/>
        </w:trPr>
        <w:tc>
          <w:tcPr>
            <w:tcW w:w="0" w:type="auto"/>
            <w:noWrap w:val="0"/>
            <w:vAlign w:val="center"/>
          </w:tcPr>
          <w:p w14:paraId="5042D218">
            <w:r>
              <w:rPr>
                <w:rStyle w:val="10"/>
                <w:rFonts w:hint="eastAsia"/>
              </w:rPr>
              <w:t>登记证号：</w:t>
            </w:r>
            <w:r>
              <w:rPr>
                <w:rFonts w:hint="eastAsia"/>
              </w:rPr>
              <w:t>PD20212267</w:t>
            </w:r>
          </w:p>
        </w:tc>
      </w:tr>
      <w:tr w14:paraId="7CF850BC">
        <w:tblPrEx>
          <w:tblCellMar>
            <w:top w:w="0" w:type="dxa"/>
            <w:left w:w="0" w:type="dxa"/>
            <w:bottom w:w="0" w:type="dxa"/>
            <w:right w:w="0" w:type="dxa"/>
          </w:tblCellMar>
        </w:tblPrEx>
        <w:trPr>
          <w:wBefore w:w="0" w:type="auto"/>
          <w:tblCellSpacing w:w="0" w:type="dxa"/>
        </w:trPr>
        <w:tc>
          <w:tcPr>
            <w:tcW w:w="0" w:type="auto"/>
            <w:noWrap w:val="0"/>
            <w:vAlign w:val="center"/>
          </w:tcPr>
          <w:p w14:paraId="677B4DEA">
            <w:r>
              <w:rPr>
                <w:rStyle w:val="10"/>
                <w:rFonts w:hint="eastAsia"/>
              </w:rPr>
              <w:t>登记证持有人：</w:t>
            </w:r>
            <w:r>
              <w:rPr>
                <w:rFonts w:hint="eastAsia"/>
              </w:rPr>
              <w:t>广西瑞施特生物科技有限公司</w:t>
            </w:r>
          </w:p>
        </w:tc>
      </w:tr>
      <w:tr w14:paraId="0B8EB05A">
        <w:tblPrEx>
          <w:tblCellMar>
            <w:top w:w="0" w:type="dxa"/>
            <w:left w:w="0" w:type="dxa"/>
            <w:bottom w:w="0" w:type="dxa"/>
            <w:right w:w="0" w:type="dxa"/>
          </w:tblCellMar>
        </w:tblPrEx>
        <w:trPr>
          <w:wBefore w:w="0" w:type="auto"/>
          <w:tblCellSpacing w:w="0" w:type="dxa"/>
        </w:trPr>
        <w:tc>
          <w:tcPr>
            <w:tcW w:w="0" w:type="auto"/>
            <w:noWrap w:val="0"/>
            <w:vAlign w:val="center"/>
          </w:tcPr>
          <w:p w14:paraId="1C529E90">
            <w:r>
              <w:rPr>
                <w:rStyle w:val="10"/>
                <w:rFonts w:hint="eastAsia"/>
              </w:rPr>
              <w:t>农药名称：</w:t>
            </w:r>
            <w:r>
              <w:rPr>
                <w:rFonts w:hint="eastAsia"/>
              </w:rPr>
              <w:t>2,4-滴·草铵膦</w:t>
            </w:r>
          </w:p>
        </w:tc>
      </w:tr>
      <w:tr w14:paraId="21CD0674">
        <w:tblPrEx>
          <w:tblCellMar>
            <w:top w:w="0" w:type="dxa"/>
            <w:left w:w="0" w:type="dxa"/>
            <w:bottom w:w="0" w:type="dxa"/>
            <w:right w:w="0" w:type="dxa"/>
          </w:tblCellMar>
        </w:tblPrEx>
        <w:trPr>
          <w:wBefore w:w="0" w:type="auto"/>
          <w:tblCellSpacing w:w="0" w:type="dxa"/>
        </w:trPr>
        <w:tc>
          <w:tcPr>
            <w:tcW w:w="0" w:type="auto"/>
            <w:noWrap w:val="0"/>
            <w:vAlign w:val="center"/>
          </w:tcPr>
          <w:p w14:paraId="64941D64">
            <w:r>
              <w:rPr>
                <w:rStyle w:val="10"/>
                <w:rFonts w:hint="eastAsia"/>
              </w:rPr>
              <w:t>剂型：</w:t>
            </w:r>
            <w:r>
              <w:rPr>
                <w:rFonts w:hint="eastAsia"/>
              </w:rPr>
              <w:t>可溶液剂</w:t>
            </w:r>
          </w:p>
        </w:tc>
      </w:tr>
      <w:tr w14:paraId="22F6199B">
        <w:tblPrEx>
          <w:tblCellMar>
            <w:top w:w="0" w:type="dxa"/>
            <w:left w:w="0" w:type="dxa"/>
            <w:bottom w:w="0" w:type="dxa"/>
            <w:right w:w="0" w:type="dxa"/>
          </w:tblCellMar>
        </w:tblPrEx>
        <w:trPr>
          <w:wBefore w:w="0" w:type="auto"/>
          <w:tblCellSpacing w:w="0" w:type="dxa"/>
        </w:trPr>
        <w:tc>
          <w:tcPr>
            <w:tcW w:w="0" w:type="auto"/>
            <w:noWrap w:val="0"/>
            <w:vAlign w:val="center"/>
          </w:tcPr>
          <w:p w14:paraId="391FF962">
            <w:r>
              <w:rPr>
                <w:rStyle w:val="10"/>
                <w:rFonts w:hint="eastAsia"/>
              </w:rPr>
              <w:t>毒性及其标识：</w:t>
            </w:r>
            <w:r>
              <w:rPr>
                <w:rFonts w:hint="eastAsia"/>
              </w:rPr>
              <w:t xml:space="preserve"> 微毒 </w:t>
            </w:r>
          </w:p>
        </w:tc>
      </w:tr>
      <w:tr w14:paraId="4F344746">
        <w:tblPrEx>
          <w:tblCellMar>
            <w:top w:w="0" w:type="dxa"/>
            <w:left w:w="0" w:type="dxa"/>
            <w:bottom w:w="0" w:type="dxa"/>
            <w:right w:w="0" w:type="dxa"/>
          </w:tblCellMar>
        </w:tblPrEx>
        <w:trPr>
          <w:wBefore w:w="0" w:type="auto"/>
          <w:tblCellSpacing w:w="0" w:type="dxa"/>
        </w:trPr>
        <w:tc>
          <w:tcPr>
            <w:tcW w:w="0" w:type="auto"/>
            <w:noWrap w:val="0"/>
            <w:vAlign w:val="center"/>
          </w:tcPr>
          <w:p w14:paraId="65B619A5">
            <w:r>
              <w:rPr>
                <w:rStyle w:val="10"/>
                <w:rFonts w:hint="eastAsia"/>
              </w:rPr>
              <w:t>总有效成分含量：</w:t>
            </w:r>
            <w:r>
              <w:rPr>
                <w:rFonts w:hint="eastAsia"/>
              </w:rPr>
              <w:t>12%</w:t>
            </w:r>
          </w:p>
        </w:tc>
      </w:tr>
      <w:tr w14:paraId="733DB91A">
        <w:tblPrEx>
          <w:tblCellMar>
            <w:top w:w="0" w:type="dxa"/>
            <w:left w:w="0" w:type="dxa"/>
            <w:bottom w:w="0" w:type="dxa"/>
            <w:right w:w="0" w:type="dxa"/>
          </w:tblCellMar>
        </w:tblPrEx>
        <w:trPr>
          <w:wBefore w:w="0" w:type="auto"/>
          <w:tblCellSpacing w:w="0" w:type="dxa"/>
        </w:trPr>
        <w:tc>
          <w:tcPr>
            <w:tcW w:w="0" w:type="auto"/>
            <w:noWrap w:val="0"/>
            <w:vAlign w:val="center"/>
          </w:tcPr>
          <w:p w14:paraId="1FC00AEA">
            <w:r>
              <w:rPr>
                <w:rFonts w:hint="eastAsia"/>
              </w:rPr>
              <w:t xml:space="preserve">有效成分及其含量： </w:t>
            </w:r>
          </w:p>
          <w:p w14:paraId="5C67B678">
            <w:r>
              <w:rPr>
                <w:rFonts w:hint="eastAsia"/>
              </w:rPr>
              <w:t xml:space="preserve">    草铵膦10%    2,4-滴2%    </w:t>
            </w:r>
          </w:p>
        </w:tc>
      </w:tr>
      <w:tr w14:paraId="029BC8F9">
        <w:tblPrEx>
          <w:tblCellMar>
            <w:top w:w="0" w:type="dxa"/>
            <w:left w:w="0" w:type="dxa"/>
            <w:bottom w:w="0" w:type="dxa"/>
            <w:right w:w="0" w:type="dxa"/>
          </w:tblCellMar>
        </w:tblPrEx>
        <w:trPr>
          <w:wBefore w:w="0" w:type="auto"/>
          <w:tblCellSpacing w:w="0" w:type="dxa"/>
        </w:trPr>
        <w:tc>
          <w:tcPr>
            <w:tcW w:w="0" w:type="auto"/>
            <w:noWrap w:val="0"/>
            <w:vAlign w:val="center"/>
          </w:tcPr>
          <w:p w14:paraId="5C392B8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34CEA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A55BD7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FE5448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61DB19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E1D82A">
                  <w:r>
                    <w:rPr>
                      <w:rStyle w:val="11"/>
                      <w:rFonts w:hint="eastAsia"/>
                    </w:rPr>
                    <w:t>施用方式</w:t>
                  </w:r>
                </w:p>
              </w:tc>
            </w:tr>
            <w:tr w14:paraId="1BEE0F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5D3C4F8">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27FAEC">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8FE668">
                  <w:r>
                    <w:rPr>
                      <w:rStyle w:val="11"/>
                      <w:rFonts w:hint="eastAsia"/>
                    </w:rPr>
                    <w:t>400-600毫升/亩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D51229">
                  <w:r>
                    <w:rPr>
                      <w:rStyle w:val="11"/>
                      <w:rFonts w:hint="eastAsia"/>
                    </w:rPr>
                    <w:t>茎叶喷雾</w:t>
                  </w:r>
                </w:p>
              </w:tc>
            </w:tr>
          </w:tbl>
          <w:p w14:paraId="4670DC52">
            <w:pPr>
              <w:rPr>
                <w:rFonts w:ascii="Times New Roman" w:hAnsi="Times New Roman" w:cs="Times New Roman"/>
                <w:sz w:val="20"/>
                <w:szCs w:val="20"/>
              </w:rPr>
            </w:pPr>
          </w:p>
        </w:tc>
      </w:tr>
      <w:tr w14:paraId="27D3464A">
        <w:tblPrEx>
          <w:tblCellMar>
            <w:top w:w="0" w:type="dxa"/>
            <w:left w:w="0" w:type="dxa"/>
            <w:bottom w:w="0" w:type="dxa"/>
            <w:right w:w="0" w:type="dxa"/>
          </w:tblCellMar>
        </w:tblPrEx>
        <w:trPr>
          <w:wBefore w:w="0" w:type="auto"/>
          <w:tblCellSpacing w:w="0" w:type="dxa"/>
        </w:trPr>
        <w:tc>
          <w:tcPr>
            <w:tcW w:w="0" w:type="auto"/>
            <w:noWrap w:val="0"/>
            <w:vAlign w:val="center"/>
          </w:tcPr>
          <w:p w14:paraId="7841E9B9">
            <w:r>
              <w:rPr>
                <w:rStyle w:val="10"/>
                <w:rFonts w:hint="eastAsia"/>
              </w:rPr>
              <w:t>使用技术要求:</w:t>
            </w:r>
            <w:r>
              <w:rPr>
                <w:rFonts w:hint="eastAsia"/>
              </w:rPr>
              <w:br w:type="textWrapping"/>
            </w:r>
            <w:r>
              <w:rPr>
                <w:rStyle w:val="11"/>
                <w:rFonts w:hint="eastAsia"/>
              </w:rPr>
              <w:t>1.杂草旺盛生长为适宜施药时期，喷雾时要在无风或微风天气进行，切勿喷到或飘移到敏感作物中去，以免发生药害。 2.大风或预计1小时内降雨，请勿施药。3.每季最多使用1次。4.禁止在田间道路、田埂、果树行间、休耕地、林场林地等农林业区域使用。</w:t>
            </w:r>
          </w:p>
        </w:tc>
      </w:tr>
      <w:tr w14:paraId="2FD21C5B">
        <w:tblPrEx>
          <w:tblCellMar>
            <w:top w:w="0" w:type="dxa"/>
            <w:left w:w="0" w:type="dxa"/>
            <w:bottom w:w="0" w:type="dxa"/>
            <w:right w:w="0" w:type="dxa"/>
          </w:tblCellMar>
        </w:tblPrEx>
        <w:trPr>
          <w:wBefore w:w="0" w:type="auto"/>
          <w:tblCellSpacing w:w="0" w:type="dxa"/>
        </w:trPr>
        <w:tc>
          <w:tcPr>
            <w:tcW w:w="0" w:type="auto"/>
            <w:noWrap w:val="0"/>
            <w:vAlign w:val="center"/>
          </w:tcPr>
          <w:p w14:paraId="79115351">
            <w:r>
              <w:rPr>
                <w:rStyle w:val="10"/>
                <w:rFonts w:hint="eastAsia"/>
              </w:rPr>
              <w:t>产品性能:</w:t>
            </w:r>
            <w:r>
              <w:rPr>
                <w:rFonts w:hint="eastAsia"/>
              </w:rPr>
              <w:br w:type="textWrapping"/>
            </w:r>
            <w:r>
              <w:rPr>
                <w:rStyle w:val="11"/>
                <w:rFonts w:hint="eastAsia"/>
              </w:rPr>
              <w:t>草铵膦是非选择性触杀型除草剂，谷氨酰胺合成抑制剂，有一定内吸活性。2,4-滴是苯氧乙酸类激素型选择性除草剂，具有较强的内吸传导性。本品能有效防除非耕地杂草。</w:t>
            </w:r>
          </w:p>
        </w:tc>
      </w:tr>
      <w:tr w14:paraId="575F8E04">
        <w:tblPrEx>
          <w:tblCellMar>
            <w:top w:w="0" w:type="dxa"/>
            <w:left w:w="0" w:type="dxa"/>
            <w:bottom w:w="0" w:type="dxa"/>
            <w:right w:w="0" w:type="dxa"/>
          </w:tblCellMar>
        </w:tblPrEx>
        <w:trPr>
          <w:wBefore w:w="0" w:type="auto"/>
          <w:tblCellSpacing w:w="0" w:type="dxa"/>
        </w:trPr>
        <w:tc>
          <w:tcPr>
            <w:tcW w:w="0" w:type="auto"/>
            <w:noWrap w:val="0"/>
            <w:vAlign w:val="center"/>
          </w:tcPr>
          <w:p w14:paraId="5093D7A9">
            <w:r>
              <w:rPr>
                <w:rStyle w:val="10"/>
                <w:rFonts w:hint="eastAsia"/>
              </w:rPr>
              <w:t>注意事项：</w:t>
            </w:r>
            <w:r>
              <w:rPr>
                <w:rFonts w:hint="eastAsia"/>
              </w:rPr>
              <w:br w:type="textWrapping"/>
            </w:r>
            <w:r>
              <w:rPr>
                <w:rStyle w:val="11"/>
                <w:rFonts w:hint="eastAsia"/>
              </w:rPr>
              <w:t>1.严格按规定用药量和方法使用。2.施药时应避免对周围蜂群的影响，蜜源作物花期、鸟类保护区附近慎用；远离水产养殖区施药，禁止在河塘等水体中清洗施药器具，蚕室及桑园附近、赤眼蜂等天敌放飞区域禁用。3.配药和施药时，应穿戴防护服和手套、口罩等，避免皮肤和眼睛接触到本品；施药期间不可吃东西和饮水，施药后应及时洗手和洗脸。4.施药后要彻底清洗喷药器械，洗涤后的废水不应污染河流等水源，未用完的药液应密封后妥善放置。用过的容器应妥善处理，不可做他用，也不可随意丢弃。5.为减缓杂草的抗药性，请注意与其他农药轮换使用。6.孕妇及哺乳期妇女禁止接触本品。</w:t>
            </w:r>
          </w:p>
        </w:tc>
      </w:tr>
      <w:tr w14:paraId="650329A2">
        <w:tblPrEx>
          <w:tblCellMar>
            <w:top w:w="0" w:type="dxa"/>
            <w:left w:w="0" w:type="dxa"/>
            <w:bottom w:w="0" w:type="dxa"/>
            <w:right w:w="0" w:type="dxa"/>
          </w:tblCellMar>
        </w:tblPrEx>
        <w:trPr>
          <w:wBefore w:w="0" w:type="auto"/>
          <w:tblCellSpacing w:w="0" w:type="dxa"/>
        </w:trPr>
        <w:tc>
          <w:tcPr>
            <w:tcW w:w="0" w:type="auto"/>
            <w:noWrap w:val="0"/>
            <w:vAlign w:val="center"/>
          </w:tcPr>
          <w:p w14:paraId="62D669B4">
            <w:r>
              <w:rPr>
                <w:rStyle w:val="10"/>
                <w:rFonts w:hint="eastAsia"/>
              </w:rPr>
              <w:t>中毒急救措施：</w:t>
            </w:r>
            <w:r>
              <w:rPr>
                <w:rFonts w:hint="eastAsia"/>
              </w:rPr>
              <w:br w:type="textWrapping"/>
            </w:r>
            <w:r>
              <w:rPr>
                <w:rStyle w:val="11"/>
                <w:rFonts w:hint="eastAsia"/>
              </w:rPr>
              <w:t>本品对眼睛有刺激。不慎溅入眼睛，提起眼睑，用流动清水或生理盐水冲洗，就医。不慎接触皮肤，应用大量清水冲洗至少15分钟。不慎吸入，应将病人移至空气流通处。如发生误服，应及时携标签将病人送医院对症治疗。</w:t>
            </w:r>
          </w:p>
        </w:tc>
      </w:tr>
      <w:tr w14:paraId="424687CC">
        <w:tblPrEx>
          <w:tblCellMar>
            <w:top w:w="0" w:type="dxa"/>
            <w:left w:w="0" w:type="dxa"/>
            <w:bottom w:w="0" w:type="dxa"/>
            <w:right w:w="0" w:type="dxa"/>
          </w:tblCellMar>
        </w:tblPrEx>
        <w:trPr>
          <w:wBefore w:w="0" w:type="auto"/>
          <w:tblCellSpacing w:w="0" w:type="dxa"/>
        </w:trPr>
        <w:tc>
          <w:tcPr>
            <w:tcW w:w="0" w:type="auto"/>
            <w:noWrap w:val="0"/>
            <w:vAlign w:val="center"/>
          </w:tcPr>
          <w:p w14:paraId="74C52A8F">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本品应储存在干燥、阴凉、通风、防雨处，远离火源或热源。置于儿童接触不到的地方，并加锁。不能与食品、饮料、粮食、饲料等同贮同运。在装卸、运输时应轻拿轻放。</w:t>
            </w:r>
          </w:p>
        </w:tc>
      </w:tr>
      <w:tr w14:paraId="4FEAB150">
        <w:tblPrEx>
          <w:tblCellMar>
            <w:top w:w="0" w:type="dxa"/>
            <w:left w:w="0" w:type="dxa"/>
            <w:bottom w:w="0" w:type="dxa"/>
            <w:right w:w="0" w:type="dxa"/>
          </w:tblCellMar>
        </w:tblPrEx>
        <w:trPr>
          <w:wBefore w:w="0" w:type="auto"/>
          <w:tblCellSpacing w:w="0" w:type="dxa"/>
        </w:trPr>
        <w:tc>
          <w:tcPr>
            <w:tcW w:w="0" w:type="auto"/>
            <w:noWrap w:val="0"/>
            <w:vAlign w:val="center"/>
          </w:tcPr>
          <w:p w14:paraId="523ED72B">
            <w:r>
              <w:rPr>
                <w:rStyle w:val="10"/>
                <w:rFonts w:hint="eastAsia"/>
              </w:rPr>
              <w:t>质量保证期：</w:t>
            </w:r>
            <w:r>
              <w:rPr>
                <w:rStyle w:val="11"/>
                <w:rFonts w:hint="eastAsia"/>
              </w:rPr>
              <w:t>2年</w:t>
            </w:r>
          </w:p>
        </w:tc>
      </w:tr>
      <w:tr w14:paraId="1B745240">
        <w:tblPrEx>
          <w:tblCellMar>
            <w:top w:w="0" w:type="dxa"/>
            <w:left w:w="0" w:type="dxa"/>
            <w:bottom w:w="0" w:type="dxa"/>
            <w:right w:w="0" w:type="dxa"/>
          </w:tblCellMar>
        </w:tblPrEx>
        <w:trPr>
          <w:wBefore w:w="0" w:type="auto"/>
          <w:tblCellSpacing w:w="0" w:type="dxa"/>
        </w:trPr>
        <w:tc>
          <w:tcPr>
            <w:tcW w:w="0" w:type="auto"/>
            <w:noWrap w:val="0"/>
            <w:vAlign w:val="center"/>
          </w:tcPr>
          <w:p w14:paraId="777DDE40">
            <w:r>
              <w:rPr>
                <w:rStyle w:val="10"/>
                <w:rFonts w:hint="eastAsia"/>
              </w:rPr>
              <w:t>备注：</w:t>
            </w:r>
            <w:r>
              <w:rPr>
                <w:rFonts w:hint="eastAsia"/>
              </w:rPr>
              <w:br w:type="textWrapping"/>
            </w:r>
            <w:r>
              <w:rPr>
                <w:rStyle w:val="11"/>
                <w:rFonts w:hint="eastAsia"/>
              </w:rPr>
              <w:t>2,4-滴二甲胺盐2.4%。</w:t>
            </w:r>
          </w:p>
        </w:tc>
      </w:tr>
    </w:tbl>
    <w:p w14:paraId="11B9ECF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EFF60B">
        <w:tblPrEx>
          <w:tblCellMar>
            <w:top w:w="0" w:type="dxa"/>
            <w:left w:w="0" w:type="dxa"/>
            <w:bottom w:w="0" w:type="dxa"/>
            <w:right w:w="0" w:type="dxa"/>
          </w:tblCellMar>
        </w:tblPrEx>
        <w:trPr>
          <w:wBefore w:w="0" w:type="auto"/>
          <w:tblCellSpacing w:w="0" w:type="dxa"/>
        </w:trPr>
        <w:tc>
          <w:tcPr>
            <w:tcW w:w="0" w:type="auto"/>
            <w:noWrap w:val="0"/>
            <w:vAlign w:val="center"/>
          </w:tcPr>
          <w:p w14:paraId="7948F005">
            <w:r>
              <w:rPr>
                <w:rStyle w:val="10"/>
                <w:rFonts w:hint="eastAsia"/>
              </w:rPr>
              <w:t>登记证号：</w:t>
            </w:r>
            <w:r>
              <w:rPr>
                <w:rFonts w:hint="eastAsia"/>
              </w:rPr>
              <w:t>PD20211816</w:t>
            </w:r>
          </w:p>
        </w:tc>
      </w:tr>
      <w:tr w14:paraId="3A2798DC">
        <w:tblPrEx>
          <w:tblCellMar>
            <w:top w:w="0" w:type="dxa"/>
            <w:left w:w="0" w:type="dxa"/>
            <w:bottom w:w="0" w:type="dxa"/>
            <w:right w:w="0" w:type="dxa"/>
          </w:tblCellMar>
        </w:tblPrEx>
        <w:trPr>
          <w:wBefore w:w="0" w:type="auto"/>
          <w:tblCellSpacing w:w="0" w:type="dxa"/>
        </w:trPr>
        <w:tc>
          <w:tcPr>
            <w:tcW w:w="0" w:type="auto"/>
            <w:noWrap w:val="0"/>
            <w:vAlign w:val="center"/>
          </w:tcPr>
          <w:p w14:paraId="32BFF3C7">
            <w:r>
              <w:rPr>
                <w:rStyle w:val="10"/>
                <w:rFonts w:hint="eastAsia"/>
              </w:rPr>
              <w:t>登记证持有人：</w:t>
            </w:r>
            <w:r>
              <w:rPr>
                <w:rFonts w:hint="eastAsia"/>
              </w:rPr>
              <w:t>浙江省杭州宇龙化工有限公司</w:t>
            </w:r>
          </w:p>
        </w:tc>
      </w:tr>
      <w:tr w14:paraId="30D6D6DE">
        <w:tblPrEx>
          <w:tblCellMar>
            <w:top w:w="0" w:type="dxa"/>
            <w:left w:w="0" w:type="dxa"/>
            <w:bottom w:w="0" w:type="dxa"/>
            <w:right w:w="0" w:type="dxa"/>
          </w:tblCellMar>
        </w:tblPrEx>
        <w:trPr>
          <w:wBefore w:w="0" w:type="auto"/>
          <w:tblCellSpacing w:w="0" w:type="dxa"/>
        </w:trPr>
        <w:tc>
          <w:tcPr>
            <w:tcW w:w="0" w:type="auto"/>
            <w:noWrap w:val="0"/>
            <w:vAlign w:val="center"/>
          </w:tcPr>
          <w:p w14:paraId="3B210A48">
            <w:r>
              <w:rPr>
                <w:rStyle w:val="10"/>
                <w:rFonts w:hint="eastAsia"/>
              </w:rPr>
              <w:t>农药名称：</w:t>
            </w:r>
            <w:r>
              <w:rPr>
                <w:rFonts w:hint="eastAsia"/>
              </w:rPr>
              <w:t>噻虫嗪</w:t>
            </w:r>
          </w:p>
        </w:tc>
      </w:tr>
      <w:tr w14:paraId="5A642312">
        <w:tblPrEx>
          <w:tblCellMar>
            <w:top w:w="0" w:type="dxa"/>
            <w:left w:w="0" w:type="dxa"/>
            <w:bottom w:w="0" w:type="dxa"/>
            <w:right w:w="0" w:type="dxa"/>
          </w:tblCellMar>
        </w:tblPrEx>
        <w:trPr>
          <w:wBefore w:w="0" w:type="auto"/>
          <w:tblCellSpacing w:w="0" w:type="dxa"/>
        </w:trPr>
        <w:tc>
          <w:tcPr>
            <w:tcW w:w="0" w:type="auto"/>
            <w:noWrap w:val="0"/>
            <w:vAlign w:val="center"/>
          </w:tcPr>
          <w:p w14:paraId="683F36E1">
            <w:r>
              <w:rPr>
                <w:rStyle w:val="10"/>
                <w:rFonts w:hint="eastAsia"/>
              </w:rPr>
              <w:t>剂型：</w:t>
            </w:r>
            <w:r>
              <w:rPr>
                <w:rFonts w:hint="eastAsia"/>
              </w:rPr>
              <w:t>种子处理悬浮剂</w:t>
            </w:r>
          </w:p>
        </w:tc>
      </w:tr>
      <w:tr w14:paraId="69A994C4">
        <w:tblPrEx>
          <w:tblCellMar>
            <w:top w:w="0" w:type="dxa"/>
            <w:left w:w="0" w:type="dxa"/>
            <w:bottom w:w="0" w:type="dxa"/>
            <w:right w:w="0" w:type="dxa"/>
          </w:tblCellMar>
        </w:tblPrEx>
        <w:trPr>
          <w:wBefore w:w="0" w:type="auto"/>
          <w:tblCellSpacing w:w="0" w:type="dxa"/>
        </w:trPr>
        <w:tc>
          <w:tcPr>
            <w:tcW w:w="0" w:type="auto"/>
            <w:noWrap w:val="0"/>
            <w:vAlign w:val="center"/>
          </w:tcPr>
          <w:p w14:paraId="616FE78E">
            <w:r>
              <w:rPr>
                <w:rStyle w:val="10"/>
                <w:rFonts w:hint="eastAsia"/>
              </w:rPr>
              <w:t>毒性及其标识：</w:t>
            </w:r>
            <w:r>
              <w:rPr>
                <w:rFonts w:hint="eastAsia"/>
              </w:rPr>
              <w:t xml:space="preserve"> </w:t>
            </w:r>
            <w:r>
              <w:rPr>
                <w:lang/>
              </w:rPr>
              <w:drawing>
                <wp:inline distT="0" distB="0" distL="114300" distR="114300">
                  <wp:extent cx="476250" cy="323850"/>
                  <wp:effectExtent l="0" t="0" r="0" b="0"/>
                  <wp:docPr id="527" name="图片 52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496D87E">
        <w:tblPrEx>
          <w:tblCellMar>
            <w:top w:w="0" w:type="dxa"/>
            <w:left w:w="0" w:type="dxa"/>
            <w:bottom w:w="0" w:type="dxa"/>
            <w:right w:w="0" w:type="dxa"/>
          </w:tblCellMar>
        </w:tblPrEx>
        <w:trPr>
          <w:wBefore w:w="0" w:type="auto"/>
          <w:tblCellSpacing w:w="0" w:type="dxa"/>
        </w:trPr>
        <w:tc>
          <w:tcPr>
            <w:tcW w:w="0" w:type="auto"/>
            <w:noWrap w:val="0"/>
            <w:vAlign w:val="center"/>
          </w:tcPr>
          <w:p w14:paraId="2993856D">
            <w:r>
              <w:rPr>
                <w:rStyle w:val="10"/>
                <w:rFonts w:hint="eastAsia"/>
              </w:rPr>
              <w:t>总有效成分含量：</w:t>
            </w:r>
            <w:r>
              <w:rPr>
                <w:rFonts w:hint="eastAsia"/>
              </w:rPr>
              <w:t>40%</w:t>
            </w:r>
          </w:p>
        </w:tc>
      </w:tr>
      <w:tr w14:paraId="12C2F6DC">
        <w:tblPrEx>
          <w:tblCellMar>
            <w:top w:w="0" w:type="dxa"/>
            <w:left w:w="0" w:type="dxa"/>
            <w:bottom w:w="0" w:type="dxa"/>
            <w:right w:w="0" w:type="dxa"/>
          </w:tblCellMar>
        </w:tblPrEx>
        <w:trPr>
          <w:wBefore w:w="0" w:type="auto"/>
          <w:tblCellSpacing w:w="0" w:type="dxa"/>
        </w:trPr>
        <w:tc>
          <w:tcPr>
            <w:tcW w:w="0" w:type="auto"/>
            <w:noWrap w:val="0"/>
            <w:vAlign w:val="center"/>
          </w:tcPr>
          <w:p w14:paraId="1D5FB147">
            <w:r>
              <w:rPr>
                <w:rFonts w:hint="eastAsia"/>
              </w:rPr>
              <w:t xml:space="preserve">有效成分及其含量： </w:t>
            </w:r>
          </w:p>
          <w:p w14:paraId="68C46686">
            <w:r>
              <w:rPr>
                <w:rFonts w:hint="eastAsia"/>
              </w:rPr>
              <w:t xml:space="preserve">    噻虫嗪40%    </w:t>
            </w:r>
          </w:p>
        </w:tc>
      </w:tr>
      <w:tr w14:paraId="10F726B0">
        <w:tblPrEx>
          <w:tblCellMar>
            <w:top w:w="0" w:type="dxa"/>
            <w:left w:w="0" w:type="dxa"/>
            <w:bottom w:w="0" w:type="dxa"/>
            <w:right w:w="0" w:type="dxa"/>
          </w:tblCellMar>
        </w:tblPrEx>
        <w:trPr>
          <w:wBefore w:w="0" w:type="auto"/>
          <w:tblCellSpacing w:w="0" w:type="dxa"/>
        </w:trPr>
        <w:tc>
          <w:tcPr>
            <w:tcW w:w="0" w:type="auto"/>
            <w:noWrap w:val="0"/>
            <w:vAlign w:val="center"/>
          </w:tcPr>
          <w:p w14:paraId="21A4939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054A2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1D69F7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5E6FF1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DF4584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55EA4EF">
                  <w:r>
                    <w:rPr>
                      <w:rStyle w:val="11"/>
                      <w:rFonts w:hint="eastAsia"/>
                    </w:rPr>
                    <w:t>施用方式</w:t>
                  </w:r>
                </w:p>
              </w:tc>
            </w:tr>
            <w:tr w14:paraId="3F8559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37DE543">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AFE525">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277024">
                  <w:r>
                    <w:rPr>
                      <w:rStyle w:val="11"/>
                      <w:rFonts w:hint="eastAsia"/>
                    </w:rPr>
                    <w:t>200-350毫升/100千克种子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58E846">
                  <w:r>
                    <w:rPr>
                      <w:rStyle w:val="11"/>
                      <w:rFonts w:hint="eastAsia"/>
                    </w:rPr>
                    <w:t>拌种</w:t>
                  </w:r>
                </w:p>
              </w:tc>
            </w:tr>
            <w:tr w14:paraId="02EBC6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346EE67">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790FDD">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32F65C">
                  <w:r>
                    <w:rPr>
                      <w:rStyle w:val="11"/>
                      <w:rFonts w:hint="eastAsia"/>
                    </w:rPr>
                    <w:t>225-700毫升/100千克种子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6B783B">
                  <w:r>
                    <w:rPr>
                      <w:rStyle w:val="11"/>
                      <w:rFonts w:hint="eastAsia"/>
                    </w:rPr>
                    <w:t>拌种</w:t>
                  </w:r>
                </w:p>
              </w:tc>
            </w:tr>
          </w:tbl>
          <w:p w14:paraId="44C363BD">
            <w:pPr>
              <w:rPr>
                <w:rFonts w:ascii="Times New Roman" w:hAnsi="Times New Roman" w:cs="Times New Roman"/>
                <w:sz w:val="20"/>
                <w:szCs w:val="20"/>
              </w:rPr>
            </w:pPr>
          </w:p>
        </w:tc>
      </w:tr>
      <w:tr w14:paraId="126F8DB9">
        <w:tblPrEx>
          <w:tblCellMar>
            <w:top w:w="0" w:type="dxa"/>
            <w:left w:w="0" w:type="dxa"/>
            <w:bottom w:w="0" w:type="dxa"/>
            <w:right w:w="0" w:type="dxa"/>
          </w:tblCellMar>
        </w:tblPrEx>
        <w:trPr>
          <w:wBefore w:w="0" w:type="auto"/>
          <w:tblCellSpacing w:w="0" w:type="dxa"/>
        </w:trPr>
        <w:tc>
          <w:tcPr>
            <w:tcW w:w="0" w:type="auto"/>
            <w:noWrap w:val="0"/>
            <w:vAlign w:val="center"/>
          </w:tcPr>
          <w:p w14:paraId="71E7CF69">
            <w:r>
              <w:rPr>
                <w:rStyle w:val="10"/>
                <w:rFonts w:hint="eastAsia"/>
              </w:rPr>
              <w:t>使用技术要求:</w:t>
            </w:r>
            <w:r>
              <w:rPr>
                <w:rFonts w:hint="eastAsia"/>
              </w:rPr>
              <w:br w:type="textWrapping"/>
            </w:r>
            <w:r>
              <w:rPr>
                <w:rStyle w:val="11"/>
                <w:rFonts w:hint="eastAsia"/>
              </w:rPr>
              <w:t>1. 本品适用于玉米或水稻播种前拌种，按推荐用药量，按每100千克种子加水约1.5-2升稀释后，与种子充分搅拌，直到药液均匀分布到种子表面，晾干后即可，不可作叶面喷雾。2. 用于处理的种子应达到国家良种标准。3. 配制好的药液应在24小时内使用。4. 本品在作物新品种上大面积应用时，必须先进行小范围的安全性试验。</w:t>
            </w:r>
          </w:p>
        </w:tc>
      </w:tr>
      <w:tr w14:paraId="33512368">
        <w:tblPrEx>
          <w:tblCellMar>
            <w:top w:w="0" w:type="dxa"/>
            <w:left w:w="0" w:type="dxa"/>
            <w:bottom w:w="0" w:type="dxa"/>
            <w:right w:w="0" w:type="dxa"/>
          </w:tblCellMar>
        </w:tblPrEx>
        <w:trPr>
          <w:wBefore w:w="0" w:type="auto"/>
          <w:tblCellSpacing w:w="0" w:type="dxa"/>
        </w:trPr>
        <w:tc>
          <w:tcPr>
            <w:tcW w:w="0" w:type="auto"/>
            <w:noWrap w:val="0"/>
            <w:vAlign w:val="center"/>
          </w:tcPr>
          <w:p w14:paraId="6BBEFBD6">
            <w:r>
              <w:rPr>
                <w:rStyle w:val="10"/>
                <w:rFonts w:hint="eastAsia"/>
              </w:rPr>
              <w:t>产品性能:</w:t>
            </w:r>
            <w:r>
              <w:rPr>
                <w:rFonts w:hint="eastAsia"/>
              </w:rPr>
              <w:br w:type="textWrapping"/>
            </w:r>
            <w:r>
              <w:rPr>
                <w:rStyle w:val="11"/>
                <w:rFonts w:hint="eastAsia"/>
              </w:rPr>
              <w:t>本品有效成分噻虫嗪，是一种烟碱类杀虫剂，具有内吸传导性，兼具胃毒和触杀作用。用于种子处理，可被作物根迅速内吸，并传导到植株各部位，可有效防治玉米蚜虫和水稻蓟马。</w:t>
            </w:r>
          </w:p>
        </w:tc>
      </w:tr>
      <w:tr w14:paraId="0663A777">
        <w:tblPrEx>
          <w:tblCellMar>
            <w:top w:w="0" w:type="dxa"/>
            <w:left w:w="0" w:type="dxa"/>
            <w:bottom w:w="0" w:type="dxa"/>
            <w:right w:w="0" w:type="dxa"/>
          </w:tblCellMar>
        </w:tblPrEx>
        <w:trPr>
          <w:wBefore w:w="0" w:type="auto"/>
          <w:tblCellSpacing w:w="0" w:type="dxa"/>
        </w:trPr>
        <w:tc>
          <w:tcPr>
            <w:tcW w:w="0" w:type="auto"/>
            <w:noWrap w:val="0"/>
            <w:vAlign w:val="center"/>
          </w:tcPr>
          <w:p w14:paraId="6ED038DA">
            <w:r>
              <w:rPr>
                <w:rStyle w:val="10"/>
                <w:rFonts w:hint="eastAsia"/>
              </w:rPr>
              <w:t>注意事项：</w:t>
            </w:r>
            <w:r>
              <w:rPr>
                <w:rFonts w:hint="eastAsia"/>
              </w:rPr>
              <w:br w:type="textWrapping"/>
            </w:r>
            <w:r>
              <w:rPr>
                <w:rStyle w:val="11"/>
                <w:rFonts w:hint="eastAsia"/>
              </w:rPr>
              <w:t>1. 请按照农药安全使用准则使用本品。在种子处理过程中，避免药液接触皮肤、眼睛和污染衣物。切勿在施药现场抽烟或饮食。2. 配药和种子处理应在通风处进行。配药时，操作人员应戴防渗手套和面罩，穿长袖衣、长裤和靴子；种子处理时，应戴防渗手套，穿长袖衣、长裤和靴子。 3. 种子处理结束后，彻底清洗防护用具，洗澡，并更换和清洗工作服。4. 处理过的种子必须放置在有明显标签的容器内。不得饲喂禽畜，更不得用来加工饲料或食品。5. 使用过的空包装，用清水冲洗三次后妥善处理，切勿重复使用或改作其它用途。6. 勿将本品及其废液弃于池塘、河溪、湖泊等，以免污染水源。 7. 未用完的制剂应放在原包装内密封保存，切勿将本品置于饮、食容器内。8. 孕妇、哺乳期妇女、禁止接触本品。 9. 避免染毒玉米和水稻暴露在室外及其染毒种子裸露在土壤表面。10. 远离水产养殖区、河塘等水体施药；禁止在河塘等水域清洗施药器具；鱼或虾蟹套养稻田禁用，施药后的田水不得直接排入水体； （周围）开花植物花期禁用，使用时应密切关注对附近蜂群的影响； 鸟类保护区附近禁用，播种、施药后立即覆土。11. 避免与氧化剂接触。</w:t>
            </w:r>
          </w:p>
        </w:tc>
      </w:tr>
      <w:tr w14:paraId="496BFA7C">
        <w:tblPrEx>
          <w:tblCellMar>
            <w:top w:w="0" w:type="dxa"/>
            <w:left w:w="0" w:type="dxa"/>
            <w:bottom w:w="0" w:type="dxa"/>
            <w:right w:w="0" w:type="dxa"/>
          </w:tblCellMar>
        </w:tblPrEx>
        <w:trPr>
          <w:wBefore w:w="0" w:type="auto"/>
          <w:tblCellSpacing w:w="0" w:type="dxa"/>
        </w:trPr>
        <w:tc>
          <w:tcPr>
            <w:tcW w:w="0" w:type="auto"/>
            <w:noWrap w:val="0"/>
            <w:vAlign w:val="center"/>
          </w:tcPr>
          <w:p w14:paraId="43D01F74">
            <w:r>
              <w:rPr>
                <w:rStyle w:val="10"/>
                <w:rFonts w:hint="eastAsia"/>
              </w:rPr>
              <w:t>中毒急救措施：</w:t>
            </w:r>
            <w:r>
              <w:rPr>
                <w:rFonts w:hint="eastAsia"/>
              </w:rPr>
              <w:br w:type="textWrapping"/>
            </w:r>
            <w:r>
              <w:rPr>
                <w:rStyle w:val="11"/>
                <w:rFonts w:hint="eastAsia"/>
              </w:rPr>
              <w:t>1. 用药时如果感觉不适，立即停止工作，采取急救措施，并携此标签送医就诊。2. 不慎吸入，应将病人移至空气清新处；3. 皮肤接触：应立即脱掉污染的衣物，尽快用肥皂水及清水冲洗15分钟以上，严重者，请就医；4. 溅入眼睛，应立即翻开上下眼睑，用流动的自来水冲洗15分钟以上，如又不适感觉，请就医；5. 误服，应立即携带标签，就医。紧急医疗措施：使用医用活性炭洗胃，洗胃时注意防止胃容物进入呼吸道。注意：对昏迷病人，切勿经口喂入任何东西或引吐。6. 无特效解毒剂，对症治疗。</w:t>
            </w:r>
          </w:p>
        </w:tc>
      </w:tr>
      <w:tr w14:paraId="75131736">
        <w:tblPrEx>
          <w:tblCellMar>
            <w:top w:w="0" w:type="dxa"/>
            <w:left w:w="0" w:type="dxa"/>
            <w:bottom w:w="0" w:type="dxa"/>
            <w:right w:w="0" w:type="dxa"/>
          </w:tblCellMar>
        </w:tblPrEx>
        <w:trPr>
          <w:wBefore w:w="0" w:type="auto"/>
          <w:tblCellSpacing w:w="0" w:type="dxa"/>
        </w:trPr>
        <w:tc>
          <w:tcPr>
            <w:tcW w:w="0" w:type="auto"/>
            <w:noWrap w:val="0"/>
            <w:vAlign w:val="center"/>
          </w:tcPr>
          <w:p w14:paraId="636FBB3B">
            <w:r>
              <w:rPr>
                <w:rStyle w:val="10"/>
                <w:rFonts w:hint="eastAsia"/>
              </w:rPr>
              <w:t>储存和运输方法：</w:t>
            </w:r>
            <w:r>
              <w:rPr>
                <w:rFonts w:hint="eastAsia"/>
              </w:rPr>
              <w:br w:type="textWrapping"/>
            </w:r>
            <w:r>
              <w:rPr>
                <w:rStyle w:val="11"/>
                <w:rFonts w:hint="eastAsia"/>
              </w:rPr>
              <w:t>本品应贮存在干燥、阴凉、通风处，远离火源或热源。置于儿童、无关人员触及不到之处，并加锁。勿与食品、饮料、饲料、粮食等同贮同运。</w:t>
            </w:r>
          </w:p>
        </w:tc>
      </w:tr>
      <w:tr w14:paraId="660637C1">
        <w:tblPrEx>
          <w:tblCellMar>
            <w:top w:w="0" w:type="dxa"/>
            <w:left w:w="0" w:type="dxa"/>
            <w:bottom w:w="0" w:type="dxa"/>
            <w:right w:w="0" w:type="dxa"/>
          </w:tblCellMar>
        </w:tblPrEx>
        <w:trPr>
          <w:wBefore w:w="0" w:type="auto"/>
          <w:tblCellSpacing w:w="0" w:type="dxa"/>
        </w:trPr>
        <w:tc>
          <w:tcPr>
            <w:tcW w:w="0" w:type="auto"/>
            <w:noWrap w:val="0"/>
            <w:vAlign w:val="center"/>
          </w:tcPr>
          <w:p w14:paraId="21698818">
            <w:r>
              <w:rPr>
                <w:rStyle w:val="10"/>
                <w:rFonts w:hint="eastAsia"/>
              </w:rPr>
              <w:t>质量保证期：</w:t>
            </w:r>
            <w:r>
              <w:rPr>
                <w:rStyle w:val="11"/>
                <w:rFonts w:hint="eastAsia"/>
              </w:rPr>
              <w:t>2年</w:t>
            </w:r>
          </w:p>
        </w:tc>
      </w:tr>
      <w:tr w14:paraId="132D2B8A">
        <w:tblPrEx>
          <w:tblCellMar>
            <w:top w:w="0" w:type="dxa"/>
            <w:left w:w="0" w:type="dxa"/>
            <w:bottom w:w="0" w:type="dxa"/>
            <w:right w:w="0" w:type="dxa"/>
          </w:tblCellMar>
        </w:tblPrEx>
        <w:trPr>
          <w:wBefore w:w="0" w:type="auto"/>
          <w:tblCellSpacing w:w="0" w:type="dxa"/>
        </w:trPr>
        <w:tc>
          <w:tcPr>
            <w:tcW w:w="0" w:type="auto"/>
            <w:noWrap w:val="0"/>
            <w:vAlign w:val="center"/>
          </w:tcPr>
          <w:p w14:paraId="49C1A6D5">
            <w:r>
              <w:rPr>
                <w:rStyle w:val="10"/>
                <w:rFonts w:hint="eastAsia"/>
              </w:rPr>
              <w:t>备注：</w:t>
            </w:r>
          </w:p>
        </w:tc>
      </w:tr>
    </w:tbl>
    <w:p w14:paraId="22B588D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ED2DF9E">
        <w:tblPrEx>
          <w:tblCellMar>
            <w:top w:w="0" w:type="dxa"/>
            <w:left w:w="0" w:type="dxa"/>
            <w:bottom w:w="0" w:type="dxa"/>
            <w:right w:w="0" w:type="dxa"/>
          </w:tblCellMar>
        </w:tblPrEx>
        <w:trPr>
          <w:wBefore w:w="0" w:type="auto"/>
          <w:tblCellSpacing w:w="0" w:type="dxa"/>
        </w:trPr>
        <w:tc>
          <w:tcPr>
            <w:tcW w:w="0" w:type="auto"/>
            <w:noWrap w:val="0"/>
            <w:vAlign w:val="center"/>
          </w:tcPr>
          <w:p w14:paraId="5E5758EA">
            <w:r>
              <w:rPr>
                <w:rStyle w:val="10"/>
                <w:rFonts w:hint="eastAsia"/>
              </w:rPr>
              <w:t>登记证号：</w:t>
            </w:r>
            <w:r>
              <w:rPr>
                <w:rFonts w:hint="eastAsia"/>
              </w:rPr>
              <w:t>PD20211941</w:t>
            </w:r>
          </w:p>
        </w:tc>
      </w:tr>
      <w:tr w14:paraId="43D262C3">
        <w:tblPrEx>
          <w:tblCellMar>
            <w:top w:w="0" w:type="dxa"/>
            <w:left w:w="0" w:type="dxa"/>
            <w:bottom w:w="0" w:type="dxa"/>
            <w:right w:w="0" w:type="dxa"/>
          </w:tblCellMar>
        </w:tblPrEx>
        <w:trPr>
          <w:wBefore w:w="0" w:type="auto"/>
          <w:tblCellSpacing w:w="0" w:type="dxa"/>
        </w:trPr>
        <w:tc>
          <w:tcPr>
            <w:tcW w:w="0" w:type="auto"/>
            <w:noWrap w:val="0"/>
            <w:vAlign w:val="center"/>
          </w:tcPr>
          <w:p w14:paraId="4B7D28EB">
            <w:r>
              <w:rPr>
                <w:rStyle w:val="10"/>
                <w:rFonts w:hint="eastAsia"/>
              </w:rPr>
              <w:t>登记证持有人：</w:t>
            </w:r>
            <w:r>
              <w:rPr>
                <w:rFonts w:hint="eastAsia"/>
              </w:rPr>
              <w:t>海南博士威农用化学有限公司</w:t>
            </w:r>
          </w:p>
        </w:tc>
      </w:tr>
      <w:tr w14:paraId="3DD279ED">
        <w:tblPrEx>
          <w:tblCellMar>
            <w:top w:w="0" w:type="dxa"/>
            <w:left w:w="0" w:type="dxa"/>
            <w:bottom w:w="0" w:type="dxa"/>
            <w:right w:w="0" w:type="dxa"/>
          </w:tblCellMar>
        </w:tblPrEx>
        <w:trPr>
          <w:wBefore w:w="0" w:type="auto"/>
          <w:tblCellSpacing w:w="0" w:type="dxa"/>
        </w:trPr>
        <w:tc>
          <w:tcPr>
            <w:tcW w:w="0" w:type="auto"/>
            <w:noWrap w:val="0"/>
            <w:vAlign w:val="center"/>
          </w:tcPr>
          <w:p w14:paraId="61D38DAB">
            <w:r>
              <w:rPr>
                <w:rStyle w:val="10"/>
                <w:rFonts w:hint="eastAsia"/>
              </w:rPr>
              <w:t>农药名称：</w:t>
            </w:r>
            <w:r>
              <w:rPr>
                <w:rFonts w:hint="eastAsia"/>
              </w:rPr>
              <w:t>春雷霉素·松脂酸铜</w:t>
            </w:r>
          </w:p>
        </w:tc>
      </w:tr>
      <w:tr w14:paraId="180AA08B">
        <w:tblPrEx>
          <w:tblCellMar>
            <w:top w:w="0" w:type="dxa"/>
            <w:left w:w="0" w:type="dxa"/>
            <w:bottom w:w="0" w:type="dxa"/>
            <w:right w:w="0" w:type="dxa"/>
          </w:tblCellMar>
        </w:tblPrEx>
        <w:trPr>
          <w:wBefore w:w="0" w:type="auto"/>
          <w:tblCellSpacing w:w="0" w:type="dxa"/>
        </w:trPr>
        <w:tc>
          <w:tcPr>
            <w:tcW w:w="0" w:type="auto"/>
            <w:noWrap w:val="0"/>
            <w:vAlign w:val="center"/>
          </w:tcPr>
          <w:p w14:paraId="3BA706AC">
            <w:r>
              <w:rPr>
                <w:rStyle w:val="10"/>
                <w:rFonts w:hint="eastAsia"/>
              </w:rPr>
              <w:t>剂型：</w:t>
            </w:r>
            <w:r>
              <w:rPr>
                <w:rFonts w:hint="eastAsia"/>
              </w:rPr>
              <w:t>悬浮剂</w:t>
            </w:r>
          </w:p>
        </w:tc>
      </w:tr>
      <w:tr w14:paraId="534AF4FB">
        <w:tblPrEx>
          <w:tblCellMar>
            <w:top w:w="0" w:type="dxa"/>
            <w:left w:w="0" w:type="dxa"/>
            <w:bottom w:w="0" w:type="dxa"/>
            <w:right w:w="0" w:type="dxa"/>
          </w:tblCellMar>
        </w:tblPrEx>
        <w:trPr>
          <w:wBefore w:w="0" w:type="auto"/>
          <w:tblCellSpacing w:w="0" w:type="dxa"/>
        </w:trPr>
        <w:tc>
          <w:tcPr>
            <w:tcW w:w="0" w:type="auto"/>
            <w:noWrap w:val="0"/>
            <w:vAlign w:val="center"/>
          </w:tcPr>
          <w:p w14:paraId="24A0B830">
            <w:r>
              <w:rPr>
                <w:rStyle w:val="10"/>
                <w:rFonts w:hint="eastAsia"/>
              </w:rPr>
              <w:t>毒性及其标识：</w:t>
            </w:r>
            <w:r>
              <w:rPr>
                <w:rFonts w:hint="eastAsia"/>
              </w:rPr>
              <w:t xml:space="preserve"> </w:t>
            </w:r>
            <w:r>
              <w:rPr>
                <w:lang/>
              </w:rPr>
              <w:drawing>
                <wp:inline distT="0" distB="0" distL="114300" distR="114300">
                  <wp:extent cx="476250" cy="323850"/>
                  <wp:effectExtent l="0" t="0" r="0" b="0"/>
                  <wp:docPr id="528" name="图片 52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22CBF28">
        <w:tblPrEx>
          <w:tblCellMar>
            <w:top w:w="0" w:type="dxa"/>
            <w:left w:w="0" w:type="dxa"/>
            <w:bottom w:w="0" w:type="dxa"/>
            <w:right w:w="0" w:type="dxa"/>
          </w:tblCellMar>
        </w:tblPrEx>
        <w:trPr>
          <w:wBefore w:w="0" w:type="auto"/>
          <w:tblCellSpacing w:w="0" w:type="dxa"/>
        </w:trPr>
        <w:tc>
          <w:tcPr>
            <w:tcW w:w="0" w:type="auto"/>
            <w:noWrap w:val="0"/>
            <w:vAlign w:val="center"/>
          </w:tcPr>
          <w:p w14:paraId="57177955">
            <w:r>
              <w:rPr>
                <w:rStyle w:val="10"/>
                <w:rFonts w:hint="eastAsia"/>
              </w:rPr>
              <w:t>总有效成分含量：</w:t>
            </w:r>
            <w:r>
              <w:rPr>
                <w:rFonts w:hint="eastAsia"/>
              </w:rPr>
              <w:t>18%</w:t>
            </w:r>
          </w:p>
        </w:tc>
      </w:tr>
      <w:tr w14:paraId="1A18649C">
        <w:tblPrEx>
          <w:tblCellMar>
            <w:top w:w="0" w:type="dxa"/>
            <w:left w:w="0" w:type="dxa"/>
            <w:bottom w:w="0" w:type="dxa"/>
            <w:right w:w="0" w:type="dxa"/>
          </w:tblCellMar>
        </w:tblPrEx>
        <w:trPr>
          <w:wBefore w:w="0" w:type="auto"/>
          <w:tblCellSpacing w:w="0" w:type="dxa"/>
        </w:trPr>
        <w:tc>
          <w:tcPr>
            <w:tcW w:w="0" w:type="auto"/>
            <w:noWrap w:val="0"/>
            <w:vAlign w:val="center"/>
          </w:tcPr>
          <w:p w14:paraId="0A7255B2">
            <w:r>
              <w:rPr>
                <w:rFonts w:hint="eastAsia"/>
              </w:rPr>
              <w:t xml:space="preserve">有效成分及其含量： </w:t>
            </w:r>
          </w:p>
          <w:p w14:paraId="53DF22E5">
            <w:r>
              <w:rPr>
                <w:rFonts w:hint="eastAsia"/>
              </w:rPr>
              <w:t xml:space="preserve">    春雷霉素3%    松脂酸铜15%    </w:t>
            </w:r>
          </w:p>
        </w:tc>
      </w:tr>
      <w:tr w14:paraId="50974245">
        <w:tblPrEx>
          <w:tblCellMar>
            <w:top w:w="0" w:type="dxa"/>
            <w:left w:w="0" w:type="dxa"/>
            <w:bottom w:w="0" w:type="dxa"/>
            <w:right w:w="0" w:type="dxa"/>
          </w:tblCellMar>
        </w:tblPrEx>
        <w:trPr>
          <w:wBefore w:w="0" w:type="auto"/>
          <w:tblCellSpacing w:w="0" w:type="dxa"/>
        </w:trPr>
        <w:tc>
          <w:tcPr>
            <w:tcW w:w="0" w:type="auto"/>
            <w:noWrap w:val="0"/>
            <w:vAlign w:val="center"/>
          </w:tcPr>
          <w:p w14:paraId="3A1F6B1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3A671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86F745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901AEC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A91542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20B485D">
                  <w:r>
                    <w:rPr>
                      <w:rStyle w:val="11"/>
                      <w:rFonts w:hint="eastAsia"/>
                    </w:rPr>
                    <w:t>施用方式</w:t>
                  </w:r>
                </w:p>
              </w:tc>
            </w:tr>
            <w:tr w14:paraId="024D22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B5488C">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9BB110">
                  <w:r>
                    <w:rPr>
                      <w:rStyle w:val="11"/>
                      <w:rFonts w:hint="eastAsia"/>
                    </w:rPr>
                    <w:t>细菌性角斑病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B2C444">
                  <w:r>
                    <w:rPr>
                      <w:rStyle w:val="11"/>
                      <w:rFonts w:hint="eastAsia"/>
                    </w:rPr>
                    <w:t>100-120毫升/亩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3D09A8">
                  <w:r>
                    <w:rPr>
                      <w:rStyle w:val="11"/>
                      <w:rFonts w:hint="eastAsia"/>
                    </w:rPr>
                    <w:t>喷雾</w:t>
                  </w:r>
                </w:p>
              </w:tc>
            </w:tr>
          </w:tbl>
          <w:p w14:paraId="25965253">
            <w:pPr>
              <w:rPr>
                <w:rFonts w:ascii="Times New Roman" w:hAnsi="Times New Roman" w:cs="Times New Roman"/>
                <w:sz w:val="20"/>
                <w:szCs w:val="20"/>
              </w:rPr>
            </w:pPr>
          </w:p>
        </w:tc>
      </w:tr>
      <w:tr w14:paraId="350A9E4B">
        <w:tblPrEx>
          <w:tblCellMar>
            <w:top w:w="0" w:type="dxa"/>
            <w:left w:w="0" w:type="dxa"/>
            <w:bottom w:w="0" w:type="dxa"/>
            <w:right w:w="0" w:type="dxa"/>
          </w:tblCellMar>
        </w:tblPrEx>
        <w:trPr>
          <w:wBefore w:w="0" w:type="auto"/>
          <w:tblCellSpacing w:w="0" w:type="dxa"/>
        </w:trPr>
        <w:tc>
          <w:tcPr>
            <w:tcW w:w="0" w:type="auto"/>
            <w:noWrap w:val="0"/>
            <w:vAlign w:val="center"/>
          </w:tcPr>
          <w:p w14:paraId="1960A3FB">
            <w:r>
              <w:rPr>
                <w:rStyle w:val="10"/>
                <w:rFonts w:hint="eastAsia"/>
              </w:rPr>
              <w:t>使用技术要求:</w:t>
            </w:r>
            <w:r>
              <w:rPr>
                <w:rFonts w:hint="eastAsia"/>
              </w:rPr>
              <w:br w:type="textWrapping"/>
            </w:r>
            <w:r>
              <w:rPr>
                <w:rStyle w:val="11"/>
                <w:rFonts w:hint="eastAsia"/>
              </w:rPr>
              <w:t>1. 于病害发生前或发病初期喷雾施药，连续施药2-3次，每次间隔7-10天。2.每季最多使用3次，安全间隔期为3天。</w:t>
            </w:r>
          </w:p>
        </w:tc>
      </w:tr>
      <w:tr w14:paraId="1ADA9B61">
        <w:tblPrEx>
          <w:tblCellMar>
            <w:top w:w="0" w:type="dxa"/>
            <w:left w:w="0" w:type="dxa"/>
            <w:bottom w:w="0" w:type="dxa"/>
            <w:right w:w="0" w:type="dxa"/>
          </w:tblCellMar>
        </w:tblPrEx>
        <w:trPr>
          <w:wBefore w:w="0" w:type="auto"/>
          <w:tblCellSpacing w:w="0" w:type="dxa"/>
        </w:trPr>
        <w:tc>
          <w:tcPr>
            <w:tcW w:w="0" w:type="auto"/>
            <w:noWrap w:val="0"/>
            <w:vAlign w:val="center"/>
          </w:tcPr>
          <w:p w14:paraId="225F27B8">
            <w:r>
              <w:rPr>
                <w:rStyle w:val="10"/>
                <w:rFonts w:hint="eastAsia"/>
              </w:rPr>
              <w:t>产品性能:</w:t>
            </w:r>
            <w:r>
              <w:rPr>
                <w:rFonts w:hint="eastAsia"/>
              </w:rPr>
              <w:br w:type="textWrapping"/>
            </w:r>
            <w:r>
              <w:rPr>
                <w:rStyle w:val="11"/>
                <w:rFonts w:hint="eastAsia"/>
              </w:rPr>
              <w:t>春雷霉素为农用抗菌素，主要干扰氨基酸的代谢酯酶系统，从而影响蛋白质的合成，抑制菌丝生长和造成细胞颗粒化，具有保护、治疗及较强内吸性。松脂酸铜属非特异性多作用位点杀菌剂，不具有内吸性，对病害仅有预防作用，无治疗作用。用于防治黄瓜细菌性角斑病。</w:t>
            </w:r>
          </w:p>
        </w:tc>
      </w:tr>
      <w:tr w14:paraId="7A80F483">
        <w:tblPrEx>
          <w:tblCellMar>
            <w:top w:w="0" w:type="dxa"/>
            <w:left w:w="0" w:type="dxa"/>
            <w:bottom w:w="0" w:type="dxa"/>
            <w:right w:w="0" w:type="dxa"/>
          </w:tblCellMar>
        </w:tblPrEx>
        <w:trPr>
          <w:wBefore w:w="0" w:type="auto"/>
          <w:tblCellSpacing w:w="0" w:type="dxa"/>
        </w:trPr>
        <w:tc>
          <w:tcPr>
            <w:tcW w:w="0" w:type="auto"/>
            <w:noWrap w:val="0"/>
            <w:vAlign w:val="center"/>
          </w:tcPr>
          <w:p w14:paraId="17BEA909">
            <w:r>
              <w:rPr>
                <w:rStyle w:val="10"/>
                <w:rFonts w:hint="eastAsia"/>
              </w:rPr>
              <w:t>注意事项：</w:t>
            </w:r>
            <w:r>
              <w:rPr>
                <w:rFonts w:hint="eastAsia"/>
              </w:rPr>
              <w:br w:type="textWrapping"/>
            </w:r>
            <w:r>
              <w:rPr>
                <w:rStyle w:val="11"/>
                <w:rFonts w:hint="eastAsia"/>
              </w:rPr>
              <w:t>1.使用时穿戴长衣长裤、帽子、口罩、手套、鞋等安全使用防护措施。 避免皮肤接触及口鼻吸入。使用中不可吸烟、饮水及吃东西，使用后及时清洗手、脸等暴露部位皮肤并更换衣物。2.本品对鱼类等水生生物有毒，远离水产养殖区施药，禁止在河塘等水体中清洗施药器具。蚕室及桑园附近禁用，不可使用最外围桑树上的桑叶饲喂家蚕。3.建议与其他作用机制不同的杀菌剂轮换使用，以延缓抗药性产生。4.用过的容器应妥善处理，不可作他用，也不可随意丢弃。5.禁止过敏者、儿童、孕妇及哺乳期妇女接触本品。</w:t>
            </w:r>
          </w:p>
        </w:tc>
      </w:tr>
      <w:tr w14:paraId="0F37F03C">
        <w:tblPrEx>
          <w:tblCellMar>
            <w:top w:w="0" w:type="dxa"/>
            <w:left w:w="0" w:type="dxa"/>
            <w:bottom w:w="0" w:type="dxa"/>
            <w:right w:w="0" w:type="dxa"/>
          </w:tblCellMar>
        </w:tblPrEx>
        <w:trPr>
          <w:wBefore w:w="0" w:type="auto"/>
          <w:tblCellSpacing w:w="0" w:type="dxa"/>
        </w:trPr>
        <w:tc>
          <w:tcPr>
            <w:tcW w:w="0" w:type="auto"/>
            <w:noWrap w:val="0"/>
            <w:vAlign w:val="center"/>
          </w:tcPr>
          <w:p w14:paraId="445229AE">
            <w:r>
              <w:rPr>
                <w:rStyle w:val="10"/>
                <w:rFonts w:hint="eastAsia"/>
              </w:rPr>
              <w:t>中毒急救措施：</w:t>
            </w:r>
            <w:r>
              <w:rPr>
                <w:rFonts w:hint="eastAsia"/>
              </w:rPr>
              <w:br w:type="textWrapping"/>
            </w:r>
            <w:r>
              <w:rPr>
                <w:rStyle w:val="11"/>
                <w:rFonts w:hint="eastAsia"/>
              </w:rPr>
              <w:t>对眼睛有刺激性，使用时避免接触眼睛。急救措施：使用中或使用后如果感觉不适，应立即停止工作，采取急救措施，并携带标签送医院就诊。 皮肤接触：立即脱去污染的衣物，用软布去除沾染农药，用大量清水和肥皂冲洗。 眼睛溅入：立即用流动清水冲洗不少于15分钟。吸入：立即离开施药现场，转移到空气清新处。 误食：立即停止服用，用清水充分漱口后，携带农药标签到医院就诊。</w:t>
            </w:r>
          </w:p>
        </w:tc>
      </w:tr>
      <w:tr w14:paraId="72A53A74">
        <w:tblPrEx>
          <w:tblCellMar>
            <w:top w:w="0" w:type="dxa"/>
            <w:left w:w="0" w:type="dxa"/>
            <w:bottom w:w="0" w:type="dxa"/>
            <w:right w:w="0" w:type="dxa"/>
          </w:tblCellMar>
        </w:tblPrEx>
        <w:trPr>
          <w:wBefore w:w="0" w:type="auto"/>
          <w:tblCellSpacing w:w="0" w:type="dxa"/>
        </w:trPr>
        <w:tc>
          <w:tcPr>
            <w:tcW w:w="0" w:type="auto"/>
            <w:noWrap w:val="0"/>
            <w:vAlign w:val="center"/>
          </w:tcPr>
          <w:p w14:paraId="38ECC396">
            <w:r>
              <w:rPr>
                <w:rStyle w:val="10"/>
                <w:rFonts w:hint="eastAsia"/>
              </w:rPr>
              <w:t>储存和运输方法：</w:t>
            </w:r>
            <w:r>
              <w:rPr>
                <w:rFonts w:hint="eastAsia"/>
              </w:rPr>
              <w:br w:type="textWrapping"/>
            </w:r>
            <w:r>
              <w:rPr>
                <w:rStyle w:val="11"/>
                <w:rFonts w:hint="eastAsia"/>
              </w:rPr>
              <w:t>本品应贮存在干燥、阴凉、通风、防雨处，远离火源或热源。置于儿童接触不到的地方，并加锁。不能与食品、饮料、粮食、饲料等混合储存。</w:t>
            </w:r>
          </w:p>
        </w:tc>
      </w:tr>
      <w:tr w14:paraId="112CE3BA">
        <w:tblPrEx>
          <w:tblCellMar>
            <w:top w:w="0" w:type="dxa"/>
            <w:left w:w="0" w:type="dxa"/>
            <w:bottom w:w="0" w:type="dxa"/>
            <w:right w:w="0" w:type="dxa"/>
          </w:tblCellMar>
        </w:tblPrEx>
        <w:trPr>
          <w:wBefore w:w="0" w:type="auto"/>
          <w:tblCellSpacing w:w="0" w:type="dxa"/>
        </w:trPr>
        <w:tc>
          <w:tcPr>
            <w:tcW w:w="0" w:type="auto"/>
            <w:noWrap w:val="0"/>
            <w:vAlign w:val="center"/>
          </w:tcPr>
          <w:p w14:paraId="5D6FD0E4">
            <w:r>
              <w:rPr>
                <w:rStyle w:val="10"/>
                <w:rFonts w:hint="eastAsia"/>
              </w:rPr>
              <w:t>质量保证期：</w:t>
            </w:r>
            <w:r>
              <w:rPr>
                <w:rStyle w:val="11"/>
                <w:rFonts w:hint="eastAsia"/>
              </w:rPr>
              <w:t>2年</w:t>
            </w:r>
          </w:p>
        </w:tc>
      </w:tr>
      <w:tr w14:paraId="264FF934">
        <w:tblPrEx>
          <w:tblCellMar>
            <w:top w:w="0" w:type="dxa"/>
            <w:left w:w="0" w:type="dxa"/>
            <w:bottom w:w="0" w:type="dxa"/>
            <w:right w:w="0" w:type="dxa"/>
          </w:tblCellMar>
        </w:tblPrEx>
        <w:trPr>
          <w:wBefore w:w="0" w:type="auto"/>
          <w:tblCellSpacing w:w="0" w:type="dxa"/>
        </w:trPr>
        <w:tc>
          <w:tcPr>
            <w:tcW w:w="0" w:type="auto"/>
            <w:noWrap w:val="0"/>
            <w:vAlign w:val="center"/>
          </w:tcPr>
          <w:p w14:paraId="3462A6CE">
            <w:r>
              <w:rPr>
                <w:rStyle w:val="10"/>
                <w:rFonts w:hint="eastAsia"/>
              </w:rPr>
              <w:t>备注：</w:t>
            </w:r>
          </w:p>
        </w:tc>
      </w:tr>
    </w:tbl>
    <w:p w14:paraId="574DA90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4A21264">
        <w:tblPrEx>
          <w:tblCellMar>
            <w:top w:w="0" w:type="dxa"/>
            <w:left w:w="0" w:type="dxa"/>
            <w:bottom w:w="0" w:type="dxa"/>
            <w:right w:w="0" w:type="dxa"/>
          </w:tblCellMar>
        </w:tblPrEx>
        <w:trPr>
          <w:wBefore w:w="0" w:type="auto"/>
          <w:tblCellSpacing w:w="0" w:type="dxa"/>
        </w:trPr>
        <w:tc>
          <w:tcPr>
            <w:tcW w:w="0" w:type="auto"/>
            <w:noWrap w:val="0"/>
            <w:vAlign w:val="center"/>
          </w:tcPr>
          <w:p w14:paraId="238BF40B">
            <w:r>
              <w:rPr>
                <w:rStyle w:val="10"/>
                <w:rFonts w:hint="eastAsia"/>
              </w:rPr>
              <w:t>登记证号：</w:t>
            </w:r>
            <w:r>
              <w:rPr>
                <w:rFonts w:hint="eastAsia"/>
              </w:rPr>
              <w:t>PD20211741</w:t>
            </w:r>
          </w:p>
        </w:tc>
      </w:tr>
      <w:tr w14:paraId="7A88D4B3">
        <w:tblPrEx>
          <w:tblCellMar>
            <w:top w:w="0" w:type="dxa"/>
            <w:left w:w="0" w:type="dxa"/>
            <w:bottom w:w="0" w:type="dxa"/>
            <w:right w:w="0" w:type="dxa"/>
          </w:tblCellMar>
        </w:tblPrEx>
        <w:trPr>
          <w:wBefore w:w="0" w:type="auto"/>
          <w:tblCellSpacing w:w="0" w:type="dxa"/>
        </w:trPr>
        <w:tc>
          <w:tcPr>
            <w:tcW w:w="0" w:type="auto"/>
            <w:noWrap w:val="0"/>
            <w:vAlign w:val="center"/>
          </w:tcPr>
          <w:p w14:paraId="2832CD75">
            <w:r>
              <w:rPr>
                <w:rStyle w:val="10"/>
                <w:rFonts w:hint="eastAsia"/>
              </w:rPr>
              <w:t>登记证持有人：</w:t>
            </w:r>
            <w:r>
              <w:rPr>
                <w:rFonts w:hint="eastAsia"/>
              </w:rPr>
              <w:t>河南波尔森农业科技有限公司</w:t>
            </w:r>
          </w:p>
        </w:tc>
      </w:tr>
      <w:tr w14:paraId="6DA984FF">
        <w:tblPrEx>
          <w:tblCellMar>
            <w:top w:w="0" w:type="dxa"/>
            <w:left w:w="0" w:type="dxa"/>
            <w:bottom w:w="0" w:type="dxa"/>
            <w:right w:w="0" w:type="dxa"/>
          </w:tblCellMar>
        </w:tblPrEx>
        <w:trPr>
          <w:wBefore w:w="0" w:type="auto"/>
          <w:tblCellSpacing w:w="0" w:type="dxa"/>
        </w:trPr>
        <w:tc>
          <w:tcPr>
            <w:tcW w:w="0" w:type="auto"/>
            <w:noWrap w:val="0"/>
            <w:vAlign w:val="center"/>
          </w:tcPr>
          <w:p w14:paraId="2571D715">
            <w:r>
              <w:rPr>
                <w:rStyle w:val="10"/>
                <w:rFonts w:hint="eastAsia"/>
              </w:rPr>
              <w:t>农药名称：</w:t>
            </w:r>
            <w:r>
              <w:rPr>
                <w:rFonts w:hint="eastAsia"/>
              </w:rPr>
              <w:t>虫螨腈·虱螨脲</w:t>
            </w:r>
          </w:p>
        </w:tc>
      </w:tr>
      <w:tr w14:paraId="72BDFCD9">
        <w:tblPrEx>
          <w:tblCellMar>
            <w:top w:w="0" w:type="dxa"/>
            <w:left w:w="0" w:type="dxa"/>
            <w:bottom w:w="0" w:type="dxa"/>
            <w:right w:w="0" w:type="dxa"/>
          </w:tblCellMar>
        </w:tblPrEx>
        <w:trPr>
          <w:wBefore w:w="0" w:type="auto"/>
          <w:tblCellSpacing w:w="0" w:type="dxa"/>
        </w:trPr>
        <w:tc>
          <w:tcPr>
            <w:tcW w:w="0" w:type="auto"/>
            <w:noWrap w:val="0"/>
            <w:vAlign w:val="center"/>
          </w:tcPr>
          <w:p w14:paraId="41CEA717">
            <w:r>
              <w:rPr>
                <w:rStyle w:val="10"/>
                <w:rFonts w:hint="eastAsia"/>
              </w:rPr>
              <w:t>剂型：</w:t>
            </w:r>
            <w:r>
              <w:rPr>
                <w:rFonts w:hint="eastAsia"/>
              </w:rPr>
              <w:t>悬浮剂</w:t>
            </w:r>
          </w:p>
        </w:tc>
      </w:tr>
      <w:tr w14:paraId="3B594335">
        <w:tblPrEx>
          <w:tblCellMar>
            <w:top w:w="0" w:type="dxa"/>
            <w:left w:w="0" w:type="dxa"/>
            <w:bottom w:w="0" w:type="dxa"/>
            <w:right w:w="0" w:type="dxa"/>
          </w:tblCellMar>
        </w:tblPrEx>
        <w:trPr>
          <w:wBefore w:w="0" w:type="auto"/>
          <w:tblCellSpacing w:w="0" w:type="dxa"/>
        </w:trPr>
        <w:tc>
          <w:tcPr>
            <w:tcW w:w="0" w:type="auto"/>
            <w:noWrap w:val="0"/>
            <w:vAlign w:val="center"/>
          </w:tcPr>
          <w:p w14:paraId="08C7BA69">
            <w:r>
              <w:rPr>
                <w:rStyle w:val="10"/>
                <w:rFonts w:hint="eastAsia"/>
              </w:rPr>
              <w:t>毒性及其标识：</w:t>
            </w:r>
            <w:r>
              <w:rPr>
                <w:rFonts w:hint="eastAsia"/>
              </w:rPr>
              <w:t xml:space="preserve"> </w:t>
            </w:r>
            <w:r>
              <w:rPr>
                <w:lang/>
              </w:rPr>
              <w:drawing>
                <wp:inline distT="0" distB="0" distL="114300" distR="114300">
                  <wp:extent cx="476250" cy="323850"/>
                  <wp:effectExtent l="0" t="0" r="0" b="0"/>
                  <wp:docPr id="529" name="图片 52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A634495">
        <w:tblPrEx>
          <w:tblCellMar>
            <w:top w:w="0" w:type="dxa"/>
            <w:left w:w="0" w:type="dxa"/>
            <w:bottom w:w="0" w:type="dxa"/>
            <w:right w:w="0" w:type="dxa"/>
          </w:tblCellMar>
        </w:tblPrEx>
        <w:trPr>
          <w:wBefore w:w="0" w:type="auto"/>
          <w:tblCellSpacing w:w="0" w:type="dxa"/>
        </w:trPr>
        <w:tc>
          <w:tcPr>
            <w:tcW w:w="0" w:type="auto"/>
            <w:noWrap w:val="0"/>
            <w:vAlign w:val="center"/>
          </w:tcPr>
          <w:p w14:paraId="28F8400B">
            <w:r>
              <w:rPr>
                <w:rStyle w:val="10"/>
                <w:rFonts w:hint="eastAsia"/>
              </w:rPr>
              <w:t>总有效成分含量：</w:t>
            </w:r>
            <w:r>
              <w:rPr>
                <w:rFonts w:hint="eastAsia"/>
              </w:rPr>
              <w:t>12%</w:t>
            </w:r>
          </w:p>
        </w:tc>
      </w:tr>
      <w:tr w14:paraId="764505ED">
        <w:tblPrEx>
          <w:tblCellMar>
            <w:top w:w="0" w:type="dxa"/>
            <w:left w:w="0" w:type="dxa"/>
            <w:bottom w:w="0" w:type="dxa"/>
            <w:right w:w="0" w:type="dxa"/>
          </w:tblCellMar>
        </w:tblPrEx>
        <w:trPr>
          <w:wBefore w:w="0" w:type="auto"/>
          <w:tblCellSpacing w:w="0" w:type="dxa"/>
        </w:trPr>
        <w:tc>
          <w:tcPr>
            <w:tcW w:w="0" w:type="auto"/>
            <w:noWrap w:val="0"/>
            <w:vAlign w:val="center"/>
          </w:tcPr>
          <w:p w14:paraId="294A63D4">
            <w:r>
              <w:rPr>
                <w:rFonts w:hint="eastAsia"/>
              </w:rPr>
              <w:t xml:space="preserve">有效成分及其含量： </w:t>
            </w:r>
          </w:p>
          <w:p w14:paraId="0B768F4C">
            <w:r>
              <w:rPr>
                <w:rFonts w:hint="eastAsia"/>
              </w:rPr>
              <w:t xml:space="preserve">    虫螨腈9.5%    虱螨脲2.5%    </w:t>
            </w:r>
          </w:p>
        </w:tc>
      </w:tr>
      <w:tr w14:paraId="25D3522D">
        <w:tblPrEx>
          <w:tblCellMar>
            <w:top w:w="0" w:type="dxa"/>
            <w:left w:w="0" w:type="dxa"/>
            <w:bottom w:w="0" w:type="dxa"/>
            <w:right w:w="0" w:type="dxa"/>
          </w:tblCellMar>
        </w:tblPrEx>
        <w:trPr>
          <w:wBefore w:w="0" w:type="auto"/>
          <w:tblCellSpacing w:w="0" w:type="dxa"/>
        </w:trPr>
        <w:tc>
          <w:tcPr>
            <w:tcW w:w="0" w:type="auto"/>
            <w:noWrap w:val="0"/>
            <w:vAlign w:val="center"/>
          </w:tcPr>
          <w:p w14:paraId="7BAF4AD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DC741C7">
              <w:tblPrEx>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B605DC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40954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4DAC49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EB57DD">
                  <w:r>
                    <w:rPr>
                      <w:rStyle w:val="11"/>
                      <w:rFonts w:hint="eastAsia"/>
                    </w:rPr>
                    <w:t>施用方式</w:t>
                  </w:r>
                </w:p>
              </w:tc>
            </w:tr>
            <w:tr w14:paraId="35A1D8B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841A61B">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0B1664">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B334DF">
                  <w:r>
                    <w:rPr>
                      <w:rStyle w:val="11"/>
                      <w:rFonts w:hint="eastAsia"/>
                    </w:rPr>
                    <w:t>30-50毫升/亩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7AC69B">
                  <w:r>
                    <w:rPr>
                      <w:rStyle w:val="11"/>
                      <w:rFonts w:hint="eastAsia"/>
                    </w:rPr>
                    <w:t>喷雾</w:t>
                  </w:r>
                </w:p>
              </w:tc>
            </w:tr>
          </w:tbl>
          <w:p w14:paraId="2E0EB3FD">
            <w:pPr>
              <w:rPr>
                <w:rFonts w:ascii="Times New Roman" w:hAnsi="Times New Roman" w:cs="Times New Roman"/>
                <w:sz w:val="20"/>
                <w:szCs w:val="20"/>
              </w:rPr>
            </w:pPr>
          </w:p>
        </w:tc>
      </w:tr>
      <w:tr w14:paraId="5BA3E638">
        <w:tblPrEx>
          <w:tblCellMar>
            <w:top w:w="0" w:type="dxa"/>
            <w:left w:w="0" w:type="dxa"/>
            <w:bottom w:w="0" w:type="dxa"/>
            <w:right w:w="0" w:type="dxa"/>
          </w:tblCellMar>
        </w:tblPrEx>
        <w:trPr>
          <w:wBefore w:w="0" w:type="auto"/>
          <w:tblCellSpacing w:w="0" w:type="dxa"/>
        </w:trPr>
        <w:tc>
          <w:tcPr>
            <w:tcW w:w="0" w:type="auto"/>
            <w:noWrap w:val="0"/>
            <w:vAlign w:val="center"/>
          </w:tcPr>
          <w:p w14:paraId="5F2E5F59">
            <w:r>
              <w:rPr>
                <w:rStyle w:val="10"/>
                <w:rFonts w:hint="eastAsia"/>
              </w:rPr>
              <w:t>使用技术要求:</w:t>
            </w:r>
            <w:r>
              <w:rPr>
                <w:rFonts w:hint="eastAsia"/>
              </w:rPr>
              <w:br w:type="textWrapping"/>
            </w:r>
            <w:r>
              <w:rPr>
                <w:rStyle w:val="11"/>
                <w:rFonts w:hint="eastAsia"/>
              </w:rPr>
              <w:t>1.在甘蓝甜菜夜蛾低龄幼虫期（1-2龄），以推荐剂量对水均匀喷雾施药一次。甘蓝叶片正反两面均匀喷雾。2.大风天或预计1小时内降雨，请勿施药。3.在甘蓝上每季最多使用1次，安全间隔期为14天。</w:t>
            </w:r>
          </w:p>
        </w:tc>
      </w:tr>
      <w:tr w14:paraId="72BD36F5">
        <w:tblPrEx>
          <w:tblCellMar>
            <w:top w:w="0" w:type="dxa"/>
            <w:left w:w="0" w:type="dxa"/>
            <w:bottom w:w="0" w:type="dxa"/>
            <w:right w:w="0" w:type="dxa"/>
          </w:tblCellMar>
        </w:tblPrEx>
        <w:trPr>
          <w:wBefore w:w="0" w:type="auto"/>
          <w:tblCellSpacing w:w="0" w:type="dxa"/>
        </w:trPr>
        <w:tc>
          <w:tcPr>
            <w:tcW w:w="0" w:type="auto"/>
            <w:noWrap w:val="0"/>
            <w:vAlign w:val="center"/>
          </w:tcPr>
          <w:p w14:paraId="507AA60F">
            <w:r>
              <w:rPr>
                <w:rStyle w:val="10"/>
                <w:rFonts w:hint="eastAsia"/>
              </w:rPr>
              <w:t>产品性能:</w:t>
            </w:r>
            <w:r>
              <w:rPr>
                <w:rFonts w:hint="eastAsia"/>
              </w:rPr>
              <w:br w:type="textWrapping"/>
            </w:r>
            <w:r>
              <w:rPr>
                <w:rStyle w:val="11"/>
                <w:rFonts w:hint="eastAsia"/>
              </w:rPr>
              <w:t>本品是新型吡咯类化合物和取代脲类复配杀虫剂，具有胃毒、触杀和内吸作用，在叶面渗透性强，对甘蓝甜菜夜蛾有较好的防治效果。</w:t>
            </w:r>
          </w:p>
        </w:tc>
      </w:tr>
      <w:tr w14:paraId="3D7FDFC2">
        <w:tblPrEx>
          <w:tblCellMar>
            <w:top w:w="0" w:type="dxa"/>
            <w:left w:w="0" w:type="dxa"/>
            <w:bottom w:w="0" w:type="dxa"/>
            <w:right w:w="0" w:type="dxa"/>
          </w:tblCellMar>
        </w:tblPrEx>
        <w:trPr>
          <w:wBefore w:w="0" w:type="auto"/>
          <w:tblCellSpacing w:w="0" w:type="dxa"/>
        </w:trPr>
        <w:tc>
          <w:tcPr>
            <w:tcW w:w="0" w:type="auto"/>
            <w:noWrap w:val="0"/>
            <w:vAlign w:val="center"/>
          </w:tcPr>
          <w:p w14:paraId="12DF8732">
            <w:r>
              <w:rPr>
                <w:rStyle w:val="10"/>
                <w:rFonts w:hint="eastAsia"/>
              </w:rPr>
              <w:t>注意事项：</w:t>
            </w:r>
            <w:r>
              <w:rPr>
                <w:rFonts w:hint="eastAsia"/>
              </w:rPr>
              <w:br w:type="textWrapping"/>
            </w:r>
            <w:r>
              <w:rPr>
                <w:rStyle w:val="11"/>
                <w:rFonts w:hint="eastAsia"/>
              </w:rPr>
              <w:t>1.严格按照规定用药量和方法使用。使用本品时要穿戴防护镜和胶皮手套、防护衣物等防护用品。避免皮肤、眼睛接触及口鼻吸入。使用中不可吸烟、饮水及吃东西，使用后及时清洗手、脸等暴露部位皮肤并更换衣物。2.本品不宜与碱性农药混合使用，建议与其他不同作用机制的杀虫剂交替使用，以延缓抗性的产生。3.远离水产养殖区、河塘等水体施药；禁止在河塘等水体中清洗施药器具。4.（周围）开花植物花期禁用，使用时应密切关注对附近蜂群的影响；赤眼蜂等天敌放飞区域禁用。5.蚕室及桑园附近禁用；鸟类保护区附近禁用。</w:t>
            </w:r>
            <w:r>
              <w:rPr>
                <w:rStyle w:val="11"/>
                <w:rFonts w:hint="eastAsia"/>
              </w:rPr>
              <w:t> </w:t>
            </w:r>
            <w:r>
              <w:rPr>
                <w:rStyle w:val="11"/>
                <w:rFonts w:hint="eastAsia"/>
              </w:rPr>
              <w:t>6.用药后包装物及用过的容器请妥善处理，不可用作他用，也不可随意丢弃。7.孕妇和哺乳期妇女禁止接触本品。8.避免与氧化剂接触。</w:t>
            </w:r>
          </w:p>
        </w:tc>
      </w:tr>
      <w:tr w14:paraId="4A0F9E0E">
        <w:tblPrEx>
          <w:tblCellMar>
            <w:top w:w="0" w:type="dxa"/>
            <w:left w:w="0" w:type="dxa"/>
            <w:bottom w:w="0" w:type="dxa"/>
            <w:right w:w="0" w:type="dxa"/>
          </w:tblCellMar>
        </w:tblPrEx>
        <w:trPr>
          <w:wBefore w:w="0" w:type="auto"/>
          <w:tblCellSpacing w:w="0" w:type="dxa"/>
        </w:trPr>
        <w:tc>
          <w:tcPr>
            <w:tcW w:w="0" w:type="auto"/>
            <w:noWrap w:val="0"/>
            <w:vAlign w:val="center"/>
          </w:tcPr>
          <w:p w14:paraId="3264EBBF">
            <w:r>
              <w:rPr>
                <w:rStyle w:val="10"/>
                <w:rFonts w:hint="eastAsia"/>
              </w:rPr>
              <w:t>中毒急救措施：</w:t>
            </w:r>
            <w:r>
              <w:rPr>
                <w:rFonts w:hint="eastAsia"/>
              </w:rPr>
              <w:br w:type="textWrapping"/>
            </w:r>
            <w:r>
              <w:rPr>
                <w:rStyle w:val="11"/>
                <w:rFonts w:hint="eastAsia"/>
              </w:rPr>
              <w:t>本品对眼睛有刺激性。中毒症状表现为皮肤刺痛、头痛、头昏、恶心呕吐，双手颤抖、抽搐、惊厥、昏迷等。如皮肤接触，用肥皂和大量的清水冲洗并换洗衣物；如接触眼睛，用清水冲洗眼睛至少15分钟，仍有不适应立即就医，若吸入：立即离开施药现场，转移至空气流通处；若误服，立即停止服用，用大量清水漱口后，立即携此标签送中毒者到医院对症治疗，不能引吐。</w:t>
            </w:r>
          </w:p>
        </w:tc>
      </w:tr>
      <w:tr w14:paraId="1573FA81">
        <w:tblPrEx>
          <w:tblCellMar>
            <w:top w:w="0" w:type="dxa"/>
            <w:left w:w="0" w:type="dxa"/>
            <w:bottom w:w="0" w:type="dxa"/>
            <w:right w:w="0" w:type="dxa"/>
          </w:tblCellMar>
        </w:tblPrEx>
        <w:trPr>
          <w:wBefore w:w="0" w:type="auto"/>
          <w:tblCellSpacing w:w="0" w:type="dxa"/>
        </w:trPr>
        <w:tc>
          <w:tcPr>
            <w:tcW w:w="0" w:type="auto"/>
            <w:noWrap w:val="0"/>
            <w:vAlign w:val="center"/>
          </w:tcPr>
          <w:p w14:paraId="2ECA30E8">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本品应贮存在干燥、阴凉、通风、防雨处，远离火源或热源。置于儿童触及不到之处，并加锁。勿与食品、饮料、粮食、饲料等同贮同运。</w:t>
            </w:r>
          </w:p>
        </w:tc>
      </w:tr>
      <w:tr w14:paraId="7DF40BFC">
        <w:tblPrEx>
          <w:tblCellMar>
            <w:top w:w="0" w:type="dxa"/>
            <w:left w:w="0" w:type="dxa"/>
            <w:bottom w:w="0" w:type="dxa"/>
            <w:right w:w="0" w:type="dxa"/>
          </w:tblCellMar>
        </w:tblPrEx>
        <w:trPr>
          <w:wBefore w:w="0" w:type="auto"/>
          <w:tblCellSpacing w:w="0" w:type="dxa"/>
        </w:trPr>
        <w:tc>
          <w:tcPr>
            <w:tcW w:w="0" w:type="auto"/>
            <w:noWrap w:val="0"/>
            <w:vAlign w:val="center"/>
          </w:tcPr>
          <w:p w14:paraId="3204C961">
            <w:r>
              <w:rPr>
                <w:rStyle w:val="10"/>
                <w:rFonts w:hint="eastAsia"/>
              </w:rPr>
              <w:t>质量保证期：</w:t>
            </w:r>
            <w:r>
              <w:rPr>
                <w:rStyle w:val="11"/>
                <w:rFonts w:hint="eastAsia"/>
              </w:rPr>
              <w:t>2年</w:t>
            </w:r>
          </w:p>
        </w:tc>
      </w:tr>
      <w:tr w14:paraId="64FCB59F">
        <w:tblPrEx>
          <w:tblCellMar>
            <w:top w:w="0" w:type="dxa"/>
            <w:left w:w="0" w:type="dxa"/>
            <w:bottom w:w="0" w:type="dxa"/>
            <w:right w:w="0" w:type="dxa"/>
          </w:tblCellMar>
        </w:tblPrEx>
        <w:trPr>
          <w:wBefore w:w="0" w:type="auto"/>
          <w:tblCellSpacing w:w="0" w:type="dxa"/>
        </w:trPr>
        <w:tc>
          <w:tcPr>
            <w:tcW w:w="0" w:type="auto"/>
            <w:noWrap w:val="0"/>
            <w:vAlign w:val="center"/>
          </w:tcPr>
          <w:p w14:paraId="3FACAACD">
            <w:r>
              <w:rPr>
                <w:rStyle w:val="10"/>
                <w:rFonts w:hint="eastAsia"/>
              </w:rPr>
              <w:t>备注：</w:t>
            </w:r>
          </w:p>
        </w:tc>
      </w:tr>
    </w:tbl>
    <w:p w14:paraId="27B6661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48BC8C">
        <w:tblPrEx>
          <w:tblCellMar>
            <w:top w:w="0" w:type="dxa"/>
            <w:left w:w="0" w:type="dxa"/>
            <w:bottom w:w="0" w:type="dxa"/>
            <w:right w:w="0" w:type="dxa"/>
          </w:tblCellMar>
        </w:tblPrEx>
        <w:trPr>
          <w:wBefore w:w="0" w:type="auto"/>
          <w:tblCellSpacing w:w="0" w:type="dxa"/>
        </w:trPr>
        <w:tc>
          <w:tcPr>
            <w:tcW w:w="0" w:type="auto"/>
            <w:noWrap w:val="0"/>
            <w:vAlign w:val="center"/>
          </w:tcPr>
          <w:p w14:paraId="6C5FC7F1">
            <w:r>
              <w:rPr>
                <w:rStyle w:val="10"/>
                <w:rFonts w:hint="eastAsia"/>
              </w:rPr>
              <w:t>登记证号：</w:t>
            </w:r>
            <w:r>
              <w:rPr>
                <w:rFonts w:hint="eastAsia"/>
              </w:rPr>
              <w:t>PD20211754</w:t>
            </w:r>
          </w:p>
        </w:tc>
      </w:tr>
      <w:tr w14:paraId="724E6F06">
        <w:tblPrEx>
          <w:tblCellMar>
            <w:top w:w="0" w:type="dxa"/>
            <w:left w:w="0" w:type="dxa"/>
            <w:bottom w:w="0" w:type="dxa"/>
            <w:right w:w="0" w:type="dxa"/>
          </w:tblCellMar>
        </w:tblPrEx>
        <w:trPr>
          <w:wBefore w:w="0" w:type="auto"/>
          <w:tblCellSpacing w:w="0" w:type="dxa"/>
        </w:trPr>
        <w:tc>
          <w:tcPr>
            <w:tcW w:w="0" w:type="auto"/>
            <w:noWrap w:val="0"/>
            <w:vAlign w:val="center"/>
          </w:tcPr>
          <w:p w14:paraId="23CEA193">
            <w:r>
              <w:rPr>
                <w:rStyle w:val="10"/>
                <w:rFonts w:hint="eastAsia"/>
              </w:rPr>
              <w:t>登记证持有人：</w:t>
            </w:r>
            <w:r>
              <w:rPr>
                <w:rFonts w:hint="eastAsia"/>
              </w:rPr>
              <w:t>陕西上格之路生物科学有限公司</w:t>
            </w:r>
          </w:p>
        </w:tc>
      </w:tr>
      <w:tr w14:paraId="30FFBCD2">
        <w:tblPrEx>
          <w:tblCellMar>
            <w:top w:w="0" w:type="dxa"/>
            <w:left w:w="0" w:type="dxa"/>
            <w:bottom w:w="0" w:type="dxa"/>
            <w:right w:w="0" w:type="dxa"/>
          </w:tblCellMar>
        </w:tblPrEx>
        <w:trPr>
          <w:wBefore w:w="0" w:type="auto"/>
          <w:tblCellSpacing w:w="0" w:type="dxa"/>
        </w:trPr>
        <w:tc>
          <w:tcPr>
            <w:tcW w:w="0" w:type="auto"/>
            <w:noWrap w:val="0"/>
            <w:vAlign w:val="center"/>
          </w:tcPr>
          <w:p w14:paraId="1714023E">
            <w:r>
              <w:rPr>
                <w:rStyle w:val="10"/>
                <w:rFonts w:hint="eastAsia"/>
              </w:rPr>
              <w:t>农药名称：</w:t>
            </w:r>
            <w:r>
              <w:rPr>
                <w:rFonts w:hint="eastAsia"/>
              </w:rPr>
              <w:t>甲氧肼·氯虫苯</w:t>
            </w:r>
          </w:p>
        </w:tc>
      </w:tr>
      <w:tr w14:paraId="667AF117">
        <w:tblPrEx>
          <w:tblCellMar>
            <w:top w:w="0" w:type="dxa"/>
            <w:left w:w="0" w:type="dxa"/>
            <w:bottom w:w="0" w:type="dxa"/>
            <w:right w:w="0" w:type="dxa"/>
          </w:tblCellMar>
        </w:tblPrEx>
        <w:trPr>
          <w:wBefore w:w="0" w:type="auto"/>
          <w:tblCellSpacing w:w="0" w:type="dxa"/>
        </w:trPr>
        <w:tc>
          <w:tcPr>
            <w:tcW w:w="0" w:type="auto"/>
            <w:noWrap w:val="0"/>
            <w:vAlign w:val="center"/>
          </w:tcPr>
          <w:p w14:paraId="6F6D7659">
            <w:r>
              <w:rPr>
                <w:rStyle w:val="10"/>
                <w:rFonts w:hint="eastAsia"/>
              </w:rPr>
              <w:t>剂型：</w:t>
            </w:r>
            <w:r>
              <w:rPr>
                <w:rFonts w:hint="eastAsia"/>
              </w:rPr>
              <w:t>悬浮剂</w:t>
            </w:r>
          </w:p>
        </w:tc>
      </w:tr>
      <w:tr w14:paraId="7F129FE0">
        <w:tblPrEx>
          <w:tblCellMar>
            <w:top w:w="0" w:type="dxa"/>
            <w:left w:w="0" w:type="dxa"/>
            <w:bottom w:w="0" w:type="dxa"/>
            <w:right w:w="0" w:type="dxa"/>
          </w:tblCellMar>
        </w:tblPrEx>
        <w:trPr>
          <w:wBefore w:w="0" w:type="auto"/>
          <w:tblCellSpacing w:w="0" w:type="dxa"/>
        </w:trPr>
        <w:tc>
          <w:tcPr>
            <w:tcW w:w="0" w:type="auto"/>
            <w:noWrap w:val="0"/>
            <w:vAlign w:val="center"/>
          </w:tcPr>
          <w:p w14:paraId="3518B8E3">
            <w:r>
              <w:rPr>
                <w:rStyle w:val="10"/>
                <w:rFonts w:hint="eastAsia"/>
              </w:rPr>
              <w:t>毒性及其标识：</w:t>
            </w:r>
            <w:r>
              <w:rPr>
                <w:rFonts w:hint="eastAsia"/>
              </w:rPr>
              <w:t xml:space="preserve"> </w:t>
            </w:r>
            <w:r>
              <w:rPr>
                <w:lang/>
              </w:rPr>
              <w:drawing>
                <wp:inline distT="0" distB="0" distL="114300" distR="114300">
                  <wp:extent cx="476250" cy="323850"/>
                  <wp:effectExtent l="0" t="0" r="0" b="0"/>
                  <wp:docPr id="530" name="图片 53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088208C">
        <w:tblPrEx>
          <w:tblCellMar>
            <w:top w:w="0" w:type="dxa"/>
            <w:left w:w="0" w:type="dxa"/>
            <w:bottom w:w="0" w:type="dxa"/>
            <w:right w:w="0" w:type="dxa"/>
          </w:tblCellMar>
        </w:tblPrEx>
        <w:trPr>
          <w:wBefore w:w="0" w:type="auto"/>
          <w:tblCellSpacing w:w="0" w:type="dxa"/>
        </w:trPr>
        <w:tc>
          <w:tcPr>
            <w:tcW w:w="0" w:type="auto"/>
            <w:noWrap w:val="0"/>
            <w:vAlign w:val="center"/>
          </w:tcPr>
          <w:p w14:paraId="604874EB">
            <w:r>
              <w:rPr>
                <w:rStyle w:val="10"/>
                <w:rFonts w:hint="eastAsia"/>
              </w:rPr>
              <w:t>总有效成分含量：</w:t>
            </w:r>
            <w:r>
              <w:rPr>
                <w:rFonts w:hint="eastAsia"/>
              </w:rPr>
              <w:t>22%</w:t>
            </w:r>
          </w:p>
        </w:tc>
      </w:tr>
      <w:tr w14:paraId="698B1597">
        <w:tblPrEx>
          <w:tblCellMar>
            <w:top w:w="0" w:type="dxa"/>
            <w:left w:w="0" w:type="dxa"/>
            <w:bottom w:w="0" w:type="dxa"/>
            <w:right w:w="0" w:type="dxa"/>
          </w:tblCellMar>
        </w:tblPrEx>
        <w:trPr>
          <w:wBefore w:w="0" w:type="auto"/>
          <w:tblCellSpacing w:w="0" w:type="dxa"/>
        </w:trPr>
        <w:tc>
          <w:tcPr>
            <w:tcW w:w="0" w:type="auto"/>
            <w:noWrap w:val="0"/>
            <w:vAlign w:val="center"/>
          </w:tcPr>
          <w:p w14:paraId="3548BB6D">
            <w:r>
              <w:rPr>
                <w:rFonts w:hint="eastAsia"/>
              </w:rPr>
              <w:t xml:space="preserve">有效成分及其含量： </w:t>
            </w:r>
          </w:p>
          <w:p w14:paraId="06D1791A">
            <w:r>
              <w:rPr>
                <w:rFonts w:hint="eastAsia"/>
              </w:rPr>
              <w:t xml:space="preserve">    氯虫苯甲酰胺4%    甲氧虫酰肼18%    </w:t>
            </w:r>
          </w:p>
        </w:tc>
      </w:tr>
      <w:tr w14:paraId="52B3CA8B">
        <w:tblPrEx>
          <w:tblCellMar>
            <w:top w:w="0" w:type="dxa"/>
            <w:left w:w="0" w:type="dxa"/>
            <w:bottom w:w="0" w:type="dxa"/>
            <w:right w:w="0" w:type="dxa"/>
          </w:tblCellMar>
        </w:tblPrEx>
        <w:trPr>
          <w:wBefore w:w="0" w:type="auto"/>
          <w:tblCellSpacing w:w="0" w:type="dxa"/>
        </w:trPr>
        <w:tc>
          <w:tcPr>
            <w:tcW w:w="0" w:type="auto"/>
            <w:noWrap w:val="0"/>
            <w:vAlign w:val="center"/>
          </w:tcPr>
          <w:p w14:paraId="7258518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8B60F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8F106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424B0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359C70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F4EE75F">
                  <w:r>
                    <w:rPr>
                      <w:rStyle w:val="11"/>
                      <w:rFonts w:hint="eastAsia"/>
                    </w:rPr>
                    <w:t>施用方式</w:t>
                  </w:r>
                </w:p>
              </w:tc>
            </w:tr>
            <w:tr w14:paraId="38C3297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E796722">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3677A2">
                  <w:r>
                    <w:rPr>
                      <w:rStyle w:val="11"/>
                      <w:rFonts w:hint="eastAsia"/>
                    </w:rPr>
                    <w:t>二化螟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EAC62C">
                  <w:r>
                    <w:rPr>
                      <w:rStyle w:val="11"/>
                      <w:rFonts w:hint="eastAsia"/>
                    </w:rPr>
                    <w:t>30-35毫升/亩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07E0A3">
                  <w:r>
                    <w:rPr>
                      <w:rStyle w:val="11"/>
                      <w:rFonts w:hint="eastAsia"/>
                    </w:rPr>
                    <w:t>喷雾</w:t>
                  </w:r>
                </w:p>
              </w:tc>
            </w:tr>
          </w:tbl>
          <w:p w14:paraId="4085177D">
            <w:pPr>
              <w:rPr>
                <w:rFonts w:ascii="Times New Roman" w:hAnsi="Times New Roman" w:cs="Times New Roman"/>
                <w:sz w:val="20"/>
                <w:szCs w:val="20"/>
              </w:rPr>
            </w:pPr>
          </w:p>
        </w:tc>
      </w:tr>
      <w:tr w14:paraId="21753D52">
        <w:tblPrEx>
          <w:tblCellMar>
            <w:top w:w="0" w:type="dxa"/>
            <w:left w:w="0" w:type="dxa"/>
            <w:bottom w:w="0" w:type="dxa"/>
            <w:right w:w="0" w:type="dxa"/>
          </w:tblCellMar>
        </w:tblPrEx>
        <w:trPr>
          <w:wBefore w:w="0" w:type="auto"/>
          <w:tblCellSpacing w:w="0" w:type="dxa"/>
        </w:trPr>
        <w:tc>
          <w:tcPr>
            <w:tcW w:w="0" w:type="auto"/>
            <w:noWrap w:val="0"/>
            <w:vAlign w:val="center"/>
          </w:tcPr>
          <w:p w14:paraId="610362F7">
            <w:r>
              <w:rPr>
                <w:rStyle w:val="10"/>
                <w:rFonts w:hint="eastAsia"/>
              </w:rPr>
              <w:t>使用技术要求:</w:t>
            </w:r>
            <w:r>
              <w:rPr>
                <w:rFonts w:hint="eastAsia"/>
              </w:rPr>
              <w:br w:type="textWrapping"/>
            </w:r>
            <w:r>
              <w:rPr>
                <w:rStyle w:val="11"/>
                <w:rFonts w:hint="eastAsia"/>
              </w:rPr>
              <w:t>1. 在水稻二化螟孵化盛期至低龄幼虫期施药1次，使用时应注意喷雾均匀、周到； 2. 建议用水量30-45升/亩，施药后田间保持浅水层； 3. 本品在水稻上的安全间隔期为45天，每季最多使用1次。</w:t>
            </w:r>
          </w:p>
        </w:tc>
      </w:tr>
      <w:tr w14:paraId="7880C43C">
        <w:tblPrEx>
          <w:tblCellMar>
            <w:top w:w="0" w:type="dxa"/>
            <w:left w:w="0" w:type="dxa"/>
            <w:bottom w:w="0" w:type="dxa"/>
            <w:right w:w="0" w:type="dxa"/>
          </w:tblCellMar>
        </w:tblPrEx>
        <w:trPr>
          <w:wBefore w:w="0" w:type="auto"/>
          <w:tblCellSpacing w:w="0" w:type="dxa"/>
        </w:trPr>
        <w:tc>
          <w:tcPr>
            <w:tcW w:w="0" w:type="auto"/>
            <w:noWrap w:val="0"/>
            <w:vAlign w:val="center"/>
          </w:tcPr>
          <w:p w14:paraId="34D4DF1D">
            <w:r>
              <w:rPr>
                <w:rStyle w:val="10"/>
                <w:rFonts w:hint="eastAsia"/>
              </w:rPr>
              <w:t>产品性能:</w:t>
            </w:r>
            <w:r>
              <w:rPr>
                <w:rFonts w:hint="eastAsia"/>
              </w:rPr>
              <w:br w:type="textWrapping"/>
            </w:r>
            <w:r>
              <w:rPr>
                <w:rStyle w:val="11"/>
                <w:rFonts w:hint="eastAsia"/>
              </w:rPr>
              <w:t>本品是内吸性酰胺类新型杀虫剂和特异性苯酰肼类杀虫剂复配的制剂，具有胃毒、触杀及内吸作用，对低龄幼虫持效期较长，能够有效防治水稻二化螟等鳞翅目害虫。</w:t>
            </w:r>
          </w:p>
        </w:tc>
      </w:tr>
      <w:tr w14:paraId="485C13A0">
        <w:tblPrEx>
          <w:tblCellMar>
            <w:top w:w="0" w:type="dxa"/>
            <w:left w:w="0" w:type="dxa"/>
            <w:bottom w:w="0" w:type="dxa"/>
            <w:right w:w="0" w:type="dxa"/>
          </w:tblCellMar>
        </w:tblPrEx>
        <w:trPr>
          <w:wBefore w:w="0" w:type="auto"/>
          <w:tblCellSpacing w:w="0" w:type="dxa"/>
        </w:trPr>
        <w:tc>
          <w:tcPr>
            <w:tcW w:w="0" w:type="auto"/>
            <w:noWrap w:val="0"/>
            <w:vAlign w:val="center"/>
          </w:tcPr>
          <w:p w14:paraId="2742B048">
            <w:r>
              <w:rPr>
                <w:rStyle w:val="10"/>
                <w:rFonts w:hint="eastAsia"/>
              </w:rPr>
              <w:t>注意事项：</w:t>
            </w:r>
            <w:r>
              <w:rPr>
                <w:rFonts w:hint="eastAsia"/>
              </w:rPr>
              <w:br w:type="textWrapping"/>
            </w:r>
            <w:r>
              <w:rPr>
                <w:rStyle w:val="11"/>
                <w:rFonts w:hint="eastAsia"/>
              </w:rPr>
              <w:t>1. 与其他作用机制不同的杀虫剂轮换使用，以延缓抗性产生； 2. 本品不可与强碱性农药等物质混合使用； 3. 使用本品时应避免吸入药液；施药期间不可吃东西和饮水；施药后，彻底清洗防护用具，洗澡并更换和清洗工作服； 4. 本品对蜜蜂、鱼类等水生生物、家蚕有毒，施药期间避免对周围蜂群的影响，蚕室及桑园附近禁用。远离水产养殖区、河塘等水体附近施药。水产养殖区、河塘等水体附近禁用，鱼或虾蟹套养稻田禁用，施药后的田水不得直接排入水体，避免药液污染水源地，禁止在河塘等水体中清洗施药器具； 5. 孕妇及哺乳期妇女应避免接触本品； 6. 用过的容器应妥善处理，不可做他用，也不可随意丢弃。</w:t>
            </w:r>
          </w:p>
        </w:tc>
      </w:tr>
      <w:tr w14:paraId="60762EB5">
        <w:tblPrEx>
          <w:tblCellMar>
            <w:top w:w="0" w:type="dxa"/>
            <w:left w:w="0" w:type="dxa"/>
            <w:bottom w:w="0" w:type="dxa"/>
            <w:right w:w="0" w:type="dxa"/>
          </w:tblCellMar>
        </w:tblPrEx>
        <w:trPr>
          <w:wBefore w:w="0" w:type="auto"/>
          <w:tblCellSpacing w:w="0" w:type="dxa"/>
        </w:trPr>
        <w:tc>
          <w:tcPr>
            <w:tcW w:w="0" w:type="auto"/>
            <w:noWrap w:val="0"/>
            <w:vAlign w:val="center"/>
          </w:tcPr>
          <w:p w14:paraId="4C030088">
            <w:r>
              <w:rPr>
                <w:rStyle w:val="10"/>
                <w:rFonts w:hint="eastAsia"/>
              </w:rPr>
              <w:t>中毒急救措施：</w:t>
            </w:r>
            <w:r>
              <w:rPr>
                <w:rFonts w:hint="eastAsia"/>
              </w:rPr>
              <w:br w:type="textWrapping"/>
            </w:r>
            <w:r>
              <w:rPr>
                <w:rStyle w:val="11"/>
                <w:rFonts w:hint="eastAsia"/>
              </w:rPr>
              <w:t>不慎吸入，应将病人移至空气流通处。不慎接触皮肤或溅入眼睛，应用大量清水冲洗至少15分钟。无特殊解毒剂，误服则应立即携此标签将病人送医院对症治疗，大量吞服时可洗胃，但不能催吐。</w:t>
            </w:r>
          </w:p>
        </w:tc>
      </w:tr>
      <w:tr w14:paraId="529EB9C7">
        <w:tblPrEx>
          <w:tblCellMar>
            <w:top w:w="0" w:type="dxa"/>
            <w:left w:w="0" w:type="dxa"/>
            <w:bottom w:w="0" w:type="dxa"/>
            <w:right w:w="0" w:type="dxa"/>
          </w:tblCellMar>
        </w:tblPrEx>
        <w:trPr>
          <w:wBefore w:w="0" w:type="auto"/>
          <w:tblCellSpacing w:w="0" w:type="dxa"/>
        </w:trPr>
        <w:tc>
          <w:tcPr>
            <w:tcW w:w="0" w:type="auto"/>
            <w:noWrap w:val="0"/>
            <w:vAlign w:val="center"/>
          </w:tcPr>
          <w:p w14:paraId="1A2B2D5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本品应贮存在干燥、阴凉、通风、防雨处，远离火源或热源。置于儿童、无关人员触及不到之处，并加锁。勿与食品、饮料、饲料、粮食等其它商品同贮同运。</w:t>
            </w:r>
          </w:p>
        </w:tc>
      </w:tr>
      <w:tr w14:paraId="10EFAE6C">
        <w:tblPrEx>
          <w:tblCellMar>
            <w:top w:w="0" w:type="dxa"/>
            <w:left w:w="0" w:type="dxa"/>
            <w:bottom w:w="0" w:type="dxa"/>
            <w:right w:w="0" w:type="dxa"/>
          </w:tblCellMar>
        </w:tblPrEx>
        <w:trPr>
          <w:wBefore w:w="0" w:type="auto"/>
          <w:tblCellSpacing w:w="0" w:type="dxa"/>
        </w:trPr>
        <w:tc>
          <w:tcPr>
            <w:tcW w:w="0" w:type="auto"/>
            <w:noWrap w:val="0"/>
            <w:vAlign w:val="center"/>
          </w:tcPr>
          <w:p w14:paraId="296EA70B">
            <w:r>
              <w:rPr>
                <w:rStyle w:val="10"/>
                <w:rFonts w:hint="eastAsia"/>
              </w:rPr>
              <w:t>质量保证期：</w:t>
            </w:r>
            <w:r>
              <w:rPr>
                <w:rStyle w:val="11"/>
                <w:rFonts w:hint="eastAsia"/>
              </w:rPr>
              <w:t>2年</w:t>
            </w:r>
          </w:p>
        </w:tc>
      </w:tr>
      <w:tr w14:paraId="32B07725">
        <w:tblPrEx>
          <w:tblCellMar>
            <w:top w:w="0" w:type="dxa"/>
            <w:left w:w="0" w:type="dxa"/>
            <w:bottom w:w="0" w:type="dxa"/>
            <w:right w:w="0" w:type="dxa"/>
          </w:tblCellMar>
        </w:tblPrEx>
        <w:trPr>
          <w:wBefore w:w="0" w:type="auto"/>
          <w:tblCellSpacing w:w="0" w:type="dxa"/>
        </w:trPr>
        <w:tc>
          <w:tcPr>
            <w:tcW w:w="0" w:type="auto"/>
            <w:noWrap w:val="0"/>
            <w:vAlign w:val="center"/>
          </w:tcPr>
          <w:p w14:paraId="61B69A14">
            <w:r>
              <w:rPr>
                <w:rStyle w:val="10"/>
                <w:rFonts w:hint="eastAsia"/>
              </w:rPr>
              <w:t>备注：</w:t>
            </w:r>
          </w:p>
        </w:tc>
      </w:tr>
    </w:tbl>
    <w:p w14:paraId="18FF560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6A03227">
        <w:tblPrEx>
          <w:tblCellMar>
            <w:top w:w="0" w:type="dxa"/>
            <w:left w:w="0" w:type="dxa"/>
            <w:bottom w:w="0" w:type="dxa"/>
            <w:right w:w="0" w:type="dxa"/>
          </w:tblCellMar>
        </w:tblPrEx>
        <w:trPr>
          <w:wBefore w:w="0" w:type="auto"/>
          <w:tblCellSpacing w:w="0" w:type="dxa"/>
        </w:trPr>
        <w:tc>
          <w:tcPr>
            <w:tcW w:w="0" w:type="auto"/>
            <w:noWrap w:val="0"/>
            <w:vAlign w:val="center"/>
          </w:tcPr>
          <w:p w14:paraId="57534F87">
            <w:r>
              <w:rPr>
                <w:rStyle w:val="10"/>
                <w:rFonts w:hint="eastAsia"/>
              </w:rPr>
              <w:t>登记证号：</w:t>
            </w:r>
            <w:r>
              <w:rPr>
                <w:rFonts w:hint="eastAsia"/>
              </w:rPr>
              <w:t>PD20211934</w:t>
            </w:r>
          </w:p>
        </w:tc>
      </w:tr>
      <w:tr w14:paraId="0D58386B">
        <w:tblPrEx>
          <w:tblCellMar>
            <w:top w:w="0" w:type="dxa"/>
            <w:left w:w="0" w:type="dxa"/>
            <w:bottom w:w="0" w:type="dxa"/>
            <w:right w:w="0" w:type="dxa"/>
          </w:tblCellMar>
        </w:tblPrEx>
        <w:trPr>
          <w:wBefore w:w="0" w:type="auto"/>
          <w:tblCellSpacing w:w="0" w:type="dxa"/>
        </w:trPr>
        <w:tc>
          <w:tcPr>
            <w:tcW w:w="0" w:type="auto"/>
            <w:noWrap w:val="0"/>
            <w:vAlign w:val="center"/>
          </w:tcPr>
          <w:p w14:paraId="1D3C0957">
            <w:r>
              <w:rPr>
                <w:rStyle w:val="10"/>
                <w:rFonts w:hint="eastAsia"/>
              </w:rPr>
              <w:t>登记证持有人：</w:t>
            </w:r>
            <w:r>
              <w:rPr>
                <w:rFonts w:hint="eastAsia"/>
              </w:rPr>
              <w:t>四川百事东旺生物科技有限公司</w:t>
            </w:r>
          </w:p>
        </w:tc>
      </w:tr>
      <w:tr w14:paraId="459F1404">
        <w:tblPrEx>
          <w:tblCellMar>
            <w:top w:w="0" w:type="dxa"/>
            <w:left w:w="0" w:type="dxa"/>
            <w:bottom w:w="0" w:type="dxa"/>
            <w:right w:w="0" w:type="dxa"/>
          </w:tblCellMar>
        </w:tblPrEx>
        <w:trPr>
          <w:wBefore w:w="0" w:type="auto"/>
          <w:tblCellSpacing w:w="0" w:type="dxa"/>
        </w:trPr>
        <w:tc>
          <w:tcPr>
            <w:tcW w:w="0" w:type="auto"/>
            <w:noWrap w:val="0"/>
            <w:vAlign w:val="center"/>
          </w:tcPr>
          <w:p w14:paraId="3B13068E">
            <w:r>
              <w:rPr>
                <w:rStyle w:val="10"/>
                <w:rFonts w:hint="eastAsia"/>
              </w:rPr>
              <w:t>农药名称：</w:t>
            </w:r>
            <w:r>
              <w:rPr>
                <w:rFonts w:hint="eastAsia"/>
              </w:rPr>
              <w:t>吡唑酯·乙嘧酯</w:t>
            </w:r>
          </w:p>
        </w:tc>
      </w:tr>
      <w:tr w14:paraId="482D04FF">
        <w:tblPrEx>
          <w:tblCellMar>
            <w:top w:w="0" w:type="dxa"/>
            <w:left w:w="0" w:type="dxa"/>
            <w:bottom w:w="0" w:type="dxa"/>
            <w:right w:w="0" w:type="dxa"/>
          </w:tblCellMar>
        </w:tblPrEx>
        <w:trPr>
          <w:wBefore w:w="0" w:type="auto"/>
          <w:tblCellSpacing w:w="0" w:type="dxa"/>
        </w:trPr>
        <w:tc>
          <w:tcPr>
            <w:tcW w:w="0" w:type="auto"/>
            <w:noWrap w:val="0"/>
            <w:vAlign w:val="center"/>
          </w:tcPr>
          <w:p w14:paraId="65E32475">
            <w:r>
              <w:rPr>
                <w:rStyle w:val="10"/>
                <w:rFonts w:hint="eastAsia"/>
              </w:rPr>
              <w:t>剂型：</w:t>
            </w:r>
            <w:r>
              <w:rPr>
                <w:rFonts w:hint="eastAsia"/>
              </w:rPr>
              <w:t>微乳剂</w:t>
            </w:r>
          </w:p>
        </w:tc>
      </w:tr>
      <w:tr w14:paraId="6BF140E1">
        <w:tblPrEx>
          <w:tblCellMar>
            <w:top w:w="0" w:type="dxa"/>
            <w:left w:w="0" w:type="dxa"/>
            <w:bottom w:w="0" w:type="dxa"/>
            <w:right w:w="0" w:type="dxa"/>
          </w:tblCellMar>
        </w:tblPrEx>
        <w:trPr>
          <w:wBefore w:w="0" w:type="auto"/>
          <w:tblCellSpacing w:w="0" w:type="dxa"/>
        </w:trPr>
        <w:tc>
          <w:tcPr>
            <w:tcW w:w="0" w:type="auto"/>
            <w:noWrap w:val="0"/>
            <w:vAlign w:val="center"/>
          </w:tcPr>
          <w:p w14:paraId="4647F3E6">
            <w:r>
              <w:rPr>
                <w:rStyle w:val="10"/>
                <w:rFonts w:hint="eastAsia"/>
              </w:rPr>
              <w:t>毒性及其标识：</w:t>
            </w:r>
            <w:r>
              <w:rPr>
                <w:rFonts w:hint="eastAsia"/>
              </w:rPr>
              <w:t xml:space="preserve"> 微毒 </w:t>
            </w:r>
          </w:p>
        </w:tc>
      </w:tr>
      <w:tr w14:paraId="24EFB566">
        <w:tblPrEx>
          <w:tblCellMar>
            <w:top w:w="0" w:type="dxa"/>
            <w:left w:w="0" w:type="dxa"/>
            <w:bottom w:w="0" w:type="dxa"/>
            <w:right w:w="0" w:type="dxa"/>
          </w:tblCellMar>
        </w:tblPrEx>
        <w:trPr>
          <w:wBefore w:w="0" w:type="auto"/>
          <w:tblCellSpacing w:w="0" w:type="dxa"/>
        </w:trPr>
        <w:tc>
          <w:tcPr>
            <w:tcW w:w="0" w:type="auto"/>
            <w:noWrap w:val="0"/>
            <w:vAlign w:val="center"/>
          </w:tcPr>
          <w:p w14:paraId="4544B8D9">
            <w:r>
              <w:rPr>
                <w:rStyle w:val="10"/>
                <w:rFonts w:hint="eastAsia"/>
              </w:rPr>
              <w:t>总有效成分含量：</w:t>
            </w:r>
            <w:r>
              <w:rPr>
                <w:rFonts w:hint="eastAsia"/>
              </w:rPr>
              <w:t>25%</w:t>
            </w:r>
          </w:p>
        </w:tc>
      </w:tr>
      <w:tr w14:paraId="285D3701">
        <w:tblPrEx>
          <w:tblCellMar>
            <w:top w:w="0" w:type="dxa"/>
            <w:left w:w="0" w:type="dxa"/>
            <w:bottom w:w="0" w:type="dxa"/>
            <w:right w:w="0" w:type="dxa"/>
          </w:tblCellMar>
        </w:tblPrEx>
        <w:trPr>
          <w:wBefore w:w="0" w:type="auto"/>
          <w:tblCellSpacing w:w="0" w:type="dxa"/>
        </w:trPr>
        <w:tc>
          <w:tcPr>
            <w:tcW w:w="0" w:type="auto"/>
            <w:noWrap w:val="0"/>
            <w:vAlign w:val="center"/>
          </w:tcPr>
          <w:p w14:paraId="28FF5851">
            <w:r>
              <w:rPr>
                <w:rFonts w:hint="eastAsia"/>
              </w:rPr>
              <w:t xml:space="preserve">有效成分及其含量： </w:t>
            </w:r>
          </w:p>
          <w:p w14:paraId="22743EFE">
            <w:r>
              <w:rPr>
                <w:rFonts w:hint="eastAsia"/>
              </w:rPr>
              <w:t xml:space="preserve">    乙嘧酚磺酸酯20%    吡唑醚菌酯5%    </w:t>
            </w:r>
          </w:p>
        </w:tc>
      </w:tr>
      <w:tr w14:paraId="74B4CF76">
        <w:tblPrEx>
          <w:tblCellMar>
            <w:top w:w="0" w:type="dxa"/>
            <w:left w:w="0" w:type="dxa"/>
            <w:bottom w:w="0" w:type="dxa"/>
            <w:right w:w="0" w:type="dxa"/>
          </w:tblCellMar>
        </w:tblPrEx>
        <w:trPr>
          <w:wBefore w:w="0" w:type="auto"/>
          <w:tblCellSpacing w:w="0" w:type="dxa"/>
        </w:trPr>
        <w:tc>
          <w:tcPr>
            <w:tcW w:w="0" w:type="auto"/>
            <w:noWrap w:val="0"/>
            <w:vAlign w:val="center"/>
          </w:tcPr>
          <w:p w14:paraId="6300D81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ACC1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D1559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888748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5D54AC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59DD3D">
                  <w:r>
                    <w:rPr>
                      <w:rStyle w:val="11"/>
                      <w:rFonts w:hint="eastAsia"/>
                    </w:rPr>
                    <w:t>施用方式</w:t>
                  </w:r>
                </w:p>
              </w:tc>
            </w:tr>
            <w:tr w14:paraId="6B1601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CE98174">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8E9678">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EC9359">
                  <w:r>
                    <w:rPr>
                      <w:rStyle w:val="11"/>
                      <w:rFonts w:hint="eastAsia"/>
                    </w:rPr>
                    <w:t>1000-1500倍液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196FF0">
                  <w:r>
                    <w:rPr>
                      <w:rStyle w:val="11"/>
                      <w:rFonts w:hint="eastAsia"/>
                    </w:rPr>
                    <w:t>喷雾</w:t>
                  </w:r>
                </w:p>
              </w:tc>
            </w:tr>
          </w:tbl>
          <w:p w14:paraId="59A1AA1A">
            <w:pPr>
              <w:rPr>
                <w:rFonts w:ascii="Times New Roman" w:hAnsi="Times New Roman" w:cs="Times New Roman"/>
                <w:sz w:val="20"/>
                <w:szCs w:val="20"/>
              </w:rPr>
            </w:pPr>
          </w:p>
        </w:tc>
      </w:tr>
      <w:tr w14:paraId="1D84B01D">
        <w:tblPrEx>
          <w:tblCellMar>
            <w:top w:w="0" w:type="dxa"/>
            <w:left w:w="0" w:type="dxa"/>
            <w:bottom w:w="0" w:type="dxa"/>
            <w:right w:w="0" w:type="dxa"/>
          </w:tblCellMar>
        </w:tblPrEx>
        <w:trPr>
          <w:wBefore w:w="0" w:type="auto"/>
          <w:tblCellSpacing w:w="0" w:type="dxa"/>
        </w:trPr>
        <w:tc>
          <w:tcPr>
            <w:tcW w:w="0" w:type="auto"/>
            <w:noWrap w:val="0"/>
            <w:vAlign w:val="center"/>
          </w:tcPr>
          <w:p w14:paraId="109204B8">
            <w:r>
              <w:rPr>
                <w:rStyle w:val="10"/>
                <w:rFonts w:hint="eastAsia"/>
              </w:rPr>
              <w:t>使用技术要求:</w:t>
            </w:r>
            <w:r>
              <w:rPr>
                <w:rFonts w:hint="eastAsia"/>
              </w:rPr>
              <w:br w:type="textWrapping"/>
            </w:r>
            <w:r>
              <w:rPr>
                <w:rStyle w:val="11"/>
                <w:rFonts w:hint="eastAsia"/>
              </w:rPr>
              <w:t>1、本品于葡萄白粉病发病初期喷雾使用，间隔 10 天施药一次，注意喷雾均匀。 2、大风天或预计1小时内降雨，请勿施药。 3、本品在葡萄上使用的安全间隔期为14天，每季作物最多使用3次。</w:t>
            </w:r>
          </w:p>
        </w:tc>
      </w:tr>
      <w:tr w14:paraId="1DE33A76">
        <w:tblPrEx>
          <w:tblCellMar>
            <w:top w:w="0" w:type="dxa"/>
            <w:left w:w="0" w:type="dxa"/>
            <w:bottom w:w="0" w:type="dxa"/>
            <w:right w:w="0" w:type="dxa"/>
          </w:tblCellMar>
        </w:tblPrEx>
        <w:trPr>
          <w:wBefore w:w="0" w:type="auto"/>
          <w:tblCellSpacing w:w="0" w:type="dxa"/>
        </w:trPr>
        <w:tc>
          <w:tcPr>
            <w:tcW w:w="0" w:type="auto"/>
            <w:noWrap w:val="0"/>
            <w:vAlign w:val="center"/>
          </w:tcPr>
          <w:p w14:paraId="246573BB">
            <w:r>
              <w:rPr>
                <w:rStyle w:val="10"/>
                <w:rFonts w:hint="eastAsia"/>
              </w:rPr>
              <w:t>产品性能:</w:t>
            </w:r>
            <w:r>
              <w:rPr>
                <w:rFonts w:hint="eastAsia"/>
              </w:rPr>
              <w:br w:type="textWrapping"/>
            </w:r>
            <w:r>
              <w:rPr>
                <w:rStyle w:val="11"/>
                <w:rFonts w:hint="eastAsia"/>
              </w:rPr>
              <w:t>本品为吡唑醚菌酯和乙嘧酚磺酸酯复配产品，其中吡唑醚菌酯属于甲氧基丙烯酸酯类杀菌剂，是一种线粒体呼吸抑制剂，通过抑制孢子萌发和菌丝生长而发挥药效。乙嘧酚磺酸酯为羟基（2-氨基）-嘧啶类杀菌剂，是腺苷脱氨酶抑制剂，对菌丝体、分生孢子、受精丝等都有极强的杀灭效果，杀菌效果全面彻底。二者复配可有效防治葡萄白粉病。</w:t>
            </w:r>
          </w:p>
        </w:tc>
      </w:tr>
      <w:tr w14:paraId="0ED1951F">
        <w:tblPrEx>
          <w:tblCellMar>
            <w:top w:w="0" w:type="dxa"/>
            <w:left w:w="0" w:type="dxa"/>
            <w:bottom w:w="0" w:type="dxa"/>
            <w:right w:w="0" w:type="dxa"/>
          </w:tblCellMar>
        </w:tblPrEx>
        <w:trPr>
          <w:wBefore w:w="0" w:type="auto"/>
          <w:tblCellSpacing w:w="0" w:type="dxa"/>
        </w:trPr>
        <w:tc>
          <w:tcPr>
            <w:tcW w:w="0" w:type="auto"/>
            <w:noWrap w:val="0"/>
            <w:vAlign w:val="center"/>
          </w:tcPr>
          <w:p w14:paraId="75C91D3B">
            <w:r>
              <w:rPr>
                <w:rStyle w:val="10"/>
                <w:rFonts w:hint="eastAsia"/>
              </w:rPr>
              <w:t>注意事项：</w:t>
            </w:r>
            <w:r>
              <w:rPr>
                <w:rFonts w:hint="eastAsia"/>
              </w:rPr>
              <w:br w:type="textWrapping"/>
            </w:r>
            <w:r>
              <w:rPr>
                <w:rStyle w:val="11"/>
                <w:rFonts w:hint="eastAsia"/>
              </w:rPr>
              <w:t>1、建议与其他不同作用机制的杀菌剂轮换使用，以延缓抗性产生。2、配药时应在通风处进行，使用时避免接触眼睛，穿戴长衣、长裤、帽子、口罩、手套等安全防护措施。严禁抽烟或饮食；在施药过程中，避免药液接触皮肤、眼睛和污染衣物，避免吸入药液；施药后应用肥皂和清水彻底清洗暴露在外的皮肤，并及时更换衣物。3、水产养殖区、河塘等水体附近禁用，禁止在河塘等水域清洗施药器具。4、桑园及蚕室附近禁用，并避免使用施用范围附近的桑叶饲喂家蚕。5、本品对蜜蜂、鸟等有毒，应避免在花期植物花园、鸟类保护区附近使用。6、用过的容器应妥善处理，不可做他用，也不可随意丢弃。7、孕妇及哺乳期妇女避免接触本产品。</w:t>
            </w:r>
          </w:p>
        </w:tc>
      </w:tr>
      <w:tr w14:paraId="631F6B31">
        <w:tblPrEx>
          <w:tblCellMar>
            <w:top w:w="0" w:type="dxa"/>
            <w:left w:w="0" w:type="dxa"/>
            <w:bottom w:w="0" w:type="dxa"/>
            <w:right w:w="0" w:type="dxa"/>
          </w:tblCellMar>
        </w:tblPrEx>
        <w:trPr>
          <w:wBefore w:w="0" w:type="auto"/>
          <w:tblCellSpacing w:w="0" w:type="dxa"/>
        </w:trPr>
        <w:tc>
          <w:tcPr>
            <w:tcW w:w="0" w:type="auto"/>
            <w:noWrap w:val="0"/>
            <w:vAlign w:val="center"/>
          </w:tcPr>
          <w:p w14:paraId="0B9B05C8">
            <w:r>
              <w:rPr>
                <w:rStyle w:val="10"/>
                <w:rFonts w:hint="eastAsia"/>
              </w:rPr>
              <w:t>中毒急救措施：</w:t>
            </w:r>
            <w:r>
              <w:rPr>
                <w:rFonts w:hint="eastAsia"/>
              </w:rPr>
              <w:br w:type="textWrapping"/>
            </w:r>
            <w:r>
              <w:rPr>
                <w:rStyle w:val="11"/>
                <w:rFonts w:hint="eastAsia"/>
              </w:rPr>
              <w:t>1.用药时如果感觉不适，立即停止工作，采取急救措施，并携此标签送医就诊；2.皮肤接触：立即脱掉被污染的衣物，用肥皂和大量清水彻底清洗受污染的皮肤。必要时请医生诊治；3.眼睛溅药：立即将眼睑翻开，用清水冲洗至少15分钟，再请医生诊治；4.发生吸入：立即将吸入者转移到空气新鲜处，注意保暖和休息，请医生诊治；5.误服：请勿引吐。立即携带标签，送医就诊。 紧急医疗措施：使用医用活性炭洗胃，洗胃时注意防止胃容物进入呼吸道。注意：对昏迷病人，切勿经口喂入任何东西或引吐。 解毒剂：无专用解毒剂，对症治疗。</w:t>
            </w:r>
          </w:p>
        </w:tc>
      </w:tr>
      <w:tr w14:paraId="45AE2BE6">
        <w:tblPrEx>
          <w:tblCellMar>
            <w:top w:w="0" w:type="dxa"/>
            <w:left w:w="0" w:type="dxa"/>
            <w:bottom w:w="0" w:type="dxa"/>
            <w:right w:w="0" w:type="dxa"/>
          </w:tblCellMar>
        </w:tblPrEx>
        <w:trPr>
          <w:wBefore w:w="0" w:type="auto"/>
          <w:tblCellSpacing w:w="0" w:type="dxa"/>
        </w:trPr>
        <w:tc>
          <w:tcPr>
            <w:tcW w:w="0" w:type="auto"/>
            <w:noWrap w:val="0"/>
            <w:vAlign w:val="center"/>
          </w:tcPr>
          <w:p w14:paraId="3385DD0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本品应贮存在干燥、阴凉、通风、防雨处，远离火源或热源。置于儿童、无关人员触及不到之处，并加锁保存。勿与食品、饮料、粮食、饲料等其他商品同贮同运。</w:t>
            </w:r>
          </w:p>
        </w:tc>
      </w:tr>
      <w:tr w14:paraId="4827CA7F">
        <w:tblPrEx>
          <w:tblCellMar>
            <w:top w:w="0" w:type="dxa"/>
            <w:left w:w="0" w:type="dxa"/>
            <w:bottom w:w="0" w:type="dxa"/>
            <w:right w:w="0" w:type="dxa"/>
          </w:tblCellMar>
        </w:tblPrEx>
        <w:trPr>
          <w:wBefore w:w="0" w:type="auto"/>
          <w:tblCellSpacing w:w="0" w:type="dxa"/>
        </w:trPr>
        <w:tc>
          <w:tcPr>
            <w:tcW w:w="0" w:type="auto"/>
            <w:noWrap w:val="0"/>
            <w:vAlign w:val="center"/>
          </w:tcPr>
          <w:p w14:paraId="2D7034EB">
            <w:r>
              <w:rPr>
                <w:rStyle w:val="10"/>
                <w:rFonts w:hint="eastAsia"/>
              </w:rPr>
              <w:t>质量保证期：</w:t>
            </w:r>
            <w:r>
              <w:rPr>
                <w:rStyle w:val="11"/>
                <w:rFonts w:hint="eastAsia"/>
              </w:rPr>
              <w:t>2年</w:t>
            </w:r>
          </w:p>
        </w:tc>
      </w:tr>
      <w:tr w14:paraId="5380E66D">
        <w:tblPrEx>
          <w:tblCellMar>
            <w:top w:w="0" w:type="dxa"/>
            <w:left w:w="0" w:type="dxa"/>
            <w:bottom w:w="0" w:type="dxa"/>
            <w:right w:w="0" w:type="dxa"/>
          </w:tblCellMar>
        </w:tblPrEx>
        <w:trPr>
          <w:wBefore w:w="0" w:type="auto"/>
          <w:tblCellSpacing w:w="0" w:type="dxa"/>
        </w:trPr>
        <w:tc>
          <w:tcPr>
            <w:tcW w:w="0" w:type="auto"/>
            <w:noWrap w:val="0"/>
            <w:vAlign w:val="center"/>
          </w:tcPr>
          <w:p w14:paraId="6FFB5773">
            <w:r>
              <w:rPr>
                <w:rStyle w:val="10"/>
                <w:rFonts w:hint="eastAsia"/>
              </w:rPr>
              <w:t>备注：</w:t>
            </w:r>
          </w:p>
        </w:tc>
      </w:tr>
    </w:tbl>
    <w:p w14:paraId="6B4492E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40D553">
        <w:tblPrEx>
          <w:tblCellMar>
            <w:top w:w="0" w:type="dxa"/>
            <w:left w:w="0" w:type="dxa"/>
            <w:bottom w:w="0" w:type="dxa"/>
            <w:right w:w="0" w:type="dxa"/>
          </w:tblCellMar>
        </w:tblPrEx>
        <w:trPr>
          <w:wBefore w:w="0" w:type="auto"/>
          <w:tblCellSpacing w:w="0" w:type="dxa"/>
        </w:trPr>
        <w:tc>
          <w:tcPr>
            <w:tcW w:w="0" w:type="auto"/>
            <w:noWrap w:val="0"/>
            <w:vAlign w:val="center"/>
          </w:tcPr>
          <w:p w14:paraId="21501157">
            <w:r>
              <w:rPr>
                <w:rStyle w:val="10"/>
                <w:rFonts w:hint="eastAsia"/>
              </w:rPr>
              <w:t>登记证号：</w:t>
            </w:r>
            <w:r>
              <w:rPr>
                <w:rFonts w:hint="eastAsia"/>
              </w:rPr>
              <w:t>PD20211854</w:t>
            </w:r>
          </w:p>
        </w:tc>
      </w:tr>
      <w:tr w14:paraId="0489B7C1">
        <w:tblPrEx>
          <w:tblCellMar>
            <w:top w:w="0" w:type="dxa"/>
            <w:left w:w="0" w:type="dxa"/>
            <w:bottom w:w="0" w:type="dxa"/>
            <w:right w:w="0" w:type="dxa"/>
          </w:tblCellMar>
        </w:tblPrEx>
        <w:trPr>
          <w:wBefore w:w="0" w:type="auto"/>
          <w:tblCellSpacing w:w="0" w:type="dxa"/>
        </w:trPr>
        <w:tc>
          <w:tcPr>
            <w:tcW w:w="0" w:type="auto"/>
            <w:noWrap w:val="0"/>
            <w:vAlign w:val="center"/>
          </w:tcPr>
          <w:p w14:paraId="19DA6AFD">
            <w:r>
              <w:rPr>
                <w:rStyle w:val="10"/>
                <w:rFonts w:hint="eastAsia"/>
              </w:rPr>
              <w:t>登记证持有人：</w:t>
            </w:r>
            <w:r>
              <w:rPr>
                <w:rFonts w:hint="eastAsia"/>
              </w:rPr>
              <w:t>湖北省阳新县泰鑫化工有限公司</w:t>
            </w:r>
          </w:p>
        </w:tc>
      </w:tr>
      <w:tr w14:paraId="281D5398">
        <w:tblPrEx>
          <w:tblCellMar>
            <w:top w:w="0" w:type="dxa"/>
            <w:left w:w="0" w:type="dxa"/>
            <w:bottom w:w="0" w:type="dxa"/>
            <w:right w:w="0" w:type="dxa"/>
          </w:tblCellMar>
        </w:tblPrEx>
        <w:trPr>
          <w:wBefore w:w="0" w:type="auto"/>
          <w:tblCellSpacing w:w="0" w:type="dxa"/>
        </w:trPr>
        <w:tc>
          <w:tcPr>
            <w:tcW w:w="0" w:type="auto"/>
            <w:noWrap w:val="0"/>
            <w:vAlign w:val="center"/>
          </w:tcPr>
          <w:p w14:paraId="41BFFE14">
            <w:r>
              <w:rPr>
                <w:rStyle w:val="10"/>
                <w:rFonts w:hint="eastAsia"/>
              </w:rPr>
              <w:t>农药名称：</w:t>
            </w:r>
            <w:r>
              <w:rPr>
                <w:rFonts w:hint="eastAsia"/>
              </w:rPr>
              <w:t>球孢白僵菌</w:t>
            </w:r>
          </w:p>
        </w:tc>
      </w:tr>
      <w:tr w14:paraId="3E4DF1E2">
        <w:tblPrEx>
          <w:tblCellMar>
            <w:top w:w="0" w:type="dxa"/>
            <w:left w:w="0" w:type="dxa"/>
            <w:bottom w:w="0" w:type="dxa"/>
            <w:right w:w="0" w:type="dxa"/>
          </w:tblCellMar>
        </w:tblPrEx>
        <w:trPr>
          <w:wBefore w:w="0" w:type="auto"/>
          <w:tblCellSpacing w:w="0" w:type="dxa"/>
        </w:trPr>
        <w:tc>
          <w:tcPr>
            <w:tcW w:w="0" w:type="auto"/>
            <w:noWrap w:val="0"/>
            <w:vAlign w:val="center"/>
          </w:tcPr>
          <w:p w14:paraId="626332E8">
            <w:r>
              <w:rPr>
                <w:rStyle w:val="10"/>
                <w:rFonts w:hint="eastAsia"/>
              </w:rPr>
              <w:t>剂型：</w:t>
            </w:r>
            <w:r>
              <w:rPr>
                <w:rFonts w:hint="eastAsia"/>
              </w:rPr>
              <w:t>可湿性粉剂</w:t>
            </w:r>
          </w:p>
        </w:tc>
      </w:tr>
      <w:tr w14:paraId="1AD7EE1C">
        <w:tblPrEx>
          <w:tblCellMar>
            <w:top w:w="0" w:type="dxa"/>
            <w:left w:w="0" w:type="dxa"/>
            <w:bottom w:w="0" w:type="dxa"/>
            <w:right w:w="0" w:type="dxa"/>
          </w:tblCellMar>
        </w:tblPrEx>
        <w:trPr>
          <w:wBefore w:w="0" w:type="auto"/>
          <w:tblCellSpacing w:w="0" w:type="dxa"/>
        </w:trPr>
        <w:tc>
          <w:tcPr>
            <w:tcW w:w="0" w:type="auto"/>
            <w:noWrap w:val="0"/>
            <w:vAlign w:val="center"/>
          </w:tcPr>
          <w:p w14:paraId="2E6B2DCE">
            <w:r>
              <w:rPr>
                <w:rStyle w:val="10"/>
                <w:rFonts w:hint="eastAsia"/>
              </w:rPr>
              <w:t>毒性及其标识：</w:t>
            </w:r>
            <w:r>
              <w:rPr>
                <w:rFonts w:hint="eastAsia"/>
              </w:rPr>
              <w:t xml:space="preserve"> </w:t>
            </w:r>
            <w:r>
              <w:rPr>
                <w:lang/>
              </w:rPr>
              <w:drawing>
                <wp:inline distT="0" distB="0" distL="114300" distR="114300">
                  <wp:extent cx="476250" cy="323850"/>
                  <wp:effectExtent l="0" t="0" r="0" b="0"/>
                  <wp:docPr id="531" name="图片 53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0B8A233">
        <w:tblPrEx>
          <w:tblCellMar>
            <w:top w:w="0" w:type="dxa"/>
            <w:left w:w="0" w:type="dxa"/>
            <w:bottom w:w="0" w:type="dxa"/>
            <w:right w:w="0" w:type="dxa"/>
          </w:tblCellMar>
        </w:tblPrEx>
        <w:trPr>
          <w:wBefore w:w="0" w:type="auto"/>
          <w:tblCellSpacing w:w="0" w:type="dxa"/>
        </w:trPr>
        <w:tc>
          <w:tcPr>
            <w:tcW w:w="0" w:type="auto"/>
            <w:noWrap w:val="0"/>
            <w:vAlign w:val="center"/>
          </w:tcPr>
          <w:p w14:paraId="4C9C719D">
            <w:r>
              <w:rPr>
                <w:rStyle w:val="10"/>
                <w:rFonts w:hint="eastAsia"/>
              </w:rPr>
              <w:t>总有效成分含量：</w:t>
            </w:r>
            <w:r>
              <w:rPr>
                <w:rFonts w:hint="eastAsia"/>
              </w:rPr>
              <w:t>400亿孢子/克</w:t>
            </w:r>
          </w:p>
        </w:tc>
      </w:tr>
      <w:tr w14:paraId="19BD59E1">
        <w:tblPrEx>
          <w:tblCellMar>
            <w:top w:w="0" w:type="dxa"/>
            <w:left w:w="0" w:type="dxa"/>
            <w:bottom w:w="0" w:type="dxa"/>
            <w:right w:w="0" w:type="dxa"/>
          </w:tblCellMar>
        </w:tblPrEx>
        <w:trPr>
          <w:wBefore w:w="0" w:type="auto"/>
          <w:tblCellSpacing w:w="0" w:type="dxa"/>
        </w:trPr>
        <w:tc>
          <w:tcPr>
            <w:tcW w:w="0" w:type="auto"/>
            <w:noWrap w:val="0"/>
            <w:vAlign w:val="center"/>
          </w:tcPr>
          <w:p w14:paraId="10B579DC">
            <w:r>
              <w:rPr>
                <w:rFonts w:hint="eastAsia"/>
              </w:rPr>
              <w:t xml:space="preserve">有效成分及其含量： </w:t>
            </w:r>
          </w:p>
          <w:p w14:paraId="69BD7842">
            <w:r>
              <w:rPr>
                <w:rFonts w:hint="eastAsia"/>
              </w:rPr>
              <w:t xml:space="preserve">    球孢白僵菌400亿孢子/克    </w:t>
            </w:r>
          </w:p>
        </w:tc>
      </w:tr>
      <w:tr w14:paraId="187EC10C">
        <w:tblPrEx>
          <w:tblCellMar>
            <w:top w:w="0" w:type="dxa"/>
            <w:left w:w="0" w:type="dxa"/>
            <w:bottom w:w="0" w:type="dxa"/>
            <w:right w:w="0" w:type="dxa"/>
          </w:tblCellMar>
        </w:tblPrEx>
        <w:trPr>
          <w:wBefore w:w="0" w:type="auto"/>
          <w:tblCellSpacing w:w="0" w:type="dxa"/>
        </w:trPr>
        <w:tc>
          <w:tcPr>
            <w:tcW w:w="0" w:type="auto"/>
            <w:noWrap w:val="0"/>
            <w:vAlign w:val="center"/>
          </w:tcPr>
          <w:p w14:paraId="4879B96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571C3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208F13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6F5A19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76C6A9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7FB0A0D">
                  <w:r>
                    <w:rPr>
                      <w:rStyle w:val="11"/>
                      <w:rFonts w:hint="eastAsia"/>
                    </w:rPr>
                    <w:t>施用方式</w:t>
                  </w:r>
                </w:p>
              </w:tc>
            </w:tr>
            <w:tr w14:paraId="5BB97A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BC584B">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F1844D">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BF428D">
                  <w:r>
                    <w:rPr>
                      <w:rStyle w:val="11"/>
                      <w:rFonts w:hint="eastAsia"/>
                    </w:rPr>
                    <w:t>25-30克/亩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0082F6">
                  <w:r>
                    <w:rPr>
                      <w:rStyle w:val="11"/>
                      <w:rFonts w:hint="eastAsia"/>
                    </w:rPr>
                    <w:t>喷雾</w:t>
                  </w:r>
                </w:p>
              </w:tc>
            </w:tr>
            <w:tr w14:paraId="2FFA968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26515D6">
                  <w:r>
                    <w:rPr>
                      <w:rStyle w:val="11"/>
                      <w:rFonts w:hint="eastAsia"/>
                    </w:rPr>
                    <w:t>马尾松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BB13BF">
                  <w:r>
                    <w:rPr>
                      <w:rStyle w:val="11"/>
                      <w:rFonts w:hint="eastAsia"/>
                    </w:rPr>
                    <w:t>松毛虫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46E8A8">
                  <w:r>
                    <w:rPr>
                      <w:rStyle w:val="11"/>
                      <w:rFonts w:hint="eastAsia"/>
                    </w:rPr>
                    <w:t>80-100克/亩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DCD1FC">
                  <w:r>
                    <w:rPr>
                      <w:rStyle w:val="11"/>
                      <w:rFonts w:hint="eastAsia"/>
                    </w:rPr>
                    <w:t>喷雾</w:t>
                  </w:r>
                </w:p>
              </w:tc>
            </w:tr>
          </w:tbl>
          <w:p w14:paraId="6D855D74">
            <w:pPr>
              <w:rPr>
                <w:rFonts w:ascii="Times New Roman" w:hAnsi="Times New Roman" w:cs="Times New Roman"/>
                <w:sz w:val="20"/>
                <w:szCs w:val="20"/>
              </w:rPr>
            </w:pPr>
          </w:p>
        </w:tc>
      </w:tr>
      <w:tr w14:paraId="2C745337">
        <w:tblPrEx>
          <w:tblCellMar>
            <w:top w:w="0" w:type="dxa"/>
            <w:left w:w="0" w:type="dxa"/>
            <w:bottom w:w="0" w:type="dxa"/>
            <w:right w:w="0" w:type="dxa"/>
          </w:tblCellMar>
        </w:tblPrEx>
        <w:trPr>
          <w:wBefore w:w="0" w:type="auto"/>
          <w:tblCellSpacing w:w="0" w:type="dxa"/>
        </w:trPr>
        <w:tc>
          <w:tcPr>
            <w:tcW w:w="0" w:type="auto"/>
            <w:noWrap w:val="0"/>
            <w:vAlign w:val="center"/>
          </w:tcPr>
          <w:p w14:paraId="24085BE3">
            <w:r>
              <w:rPr>
                <w:rStyle w:val="10"/>
                <w:rFonts w:hint="eastAsia"/>
              </w:rPr>
              <w:t>使用技术要求:</w:t>
            </w:r>
            <w:r>
              <w:rPr>
                <w:rFonts w:hint="eastAsia"/>
              </w:rPr>
              <w:br w:type="textWrapping"/>
            </w:r>
            <w:r>
              <w:rPr>
                <w:rStyle w:val="11"/>
                <w:rFonts w:hint="eastAsia"/>
              </w:rPr>
              <w:t>1、防治马尾松松毛虫在松毛虫卵孵盛期至低龄幼虫期均匀喷雾施药1次。 2、防治茶树茶小绿叶蝉在茶小绿叶蝉若虫发生始盛期喷雾施药1次。 3、高温天气、大风或预计1小时内降雨，请勿施药，宜在下午4点后或阴天施药。</w:t>
            </w:r>
          </w:p>
        </w:tc>
      </w:tr>
      <w:tr w14:paraId="597F8D41">
        <w:tblPrEx>
          <w:tblCellMar>
            <w:top w:w="0" w:type="dxa"/>
            <w:left w:w="0" w:type="dxa"/>
            <w:bottom w:w="0" w:type="dxa"/>
            <w:right w:w="0" w:type="dxa"/>
          </w:tblCellMar>
        </w:tblPrEx>
        <w:trPr>
          <w:wBefore w:w="0" w:type="auto"/>
          <w:tblCellSpacing w:w="0" w:type="dxa"/>
        </w:trPr>
        <w:tc>
          <w:tcPr>
            <w:tcW w:w="0" w:type="auto"/>
            <w:noWrap w:val="0"/>
            <w:vAlign w:val="center"/>
          </w:tcPr>
          <w:p w14:paraId="4B5392BA">
            <w:r>
              <w:rPr>
                <w:rStyle w:val="10"/>
                <w:rFonts w:hint="eastAsia"/>
              </w:rPr>
              <w:t>产品性能:</w:t>
            </w:r>
            <w:r>
              <w:rPr>
                <w:rFonts w:hint="eastAsia"/>
              </w:rPr>
              <w:br w:type="textWrapping"/>
            </w:r>
            <w:r>
              <w:rPr>
                <w:rStyle w:val="11"/>
                <w:rFonts w:hint="eastAsia"/>
              </w:rPr>
              <w:t>本品是一种真菌类微生物杀虫剂，作用方式是球孢白僵接触虫体感染，孢子侵入虫体内破坏其组织，使其致死。用于防治茶树茶小绿叶蝉和马尾松松毛虫有较好的防治效果。</w:t>
            </w:r>
          </w:p>
        </w:tc>
      </w:tr>
      <w:tr w14:paraId="77F1893A">
        <w:tblPrEx>
          <w:tblCellMar>
            <w:top w:w="0" w:type="dxa"/>
            <w:left w:w="0" w:type="dxa"/>
            <w:bottom w:w="0" w:type="dxa"/>
            <w:right w:w="0" w:type="dxa"/>
          </w:tblCellMar>
        </w:tblPrEx>
        <w:trPr>
          <w:wBefore w:w="0" w:type="auto"/>
          <w:tblCellSpacing w:w="0" w:type="dxa"/>
        </w:trPr>
        <w:tc>
          <w:tcPr>
            <w:tcW w:w="0" w:type="auto"/>
            <w:noWrap w:val="0"/>
            <w:vAlign w:val="center"/>
          </w:tcPr>
          <w:p w14:paraId="4378E3A6">
            <w:r>
              <w:rPr>
                <w:rStyle w:val="10"/>
                <w:rFonts w:hint="eastAsia"/>
              </w:rPr>
              <w:t>注意事项：</w:t>
            </w:r>
            <w:r>
              <w:rPr>
                <w:rFonts w:hint="eastAsia"/>
              </w:rPr>
              <w:br w:type="textWrapping"/>
            </w:r>
            <w:r>
              <w:rPr>
                <w:rStyle w:val="11"/>
                <w:rFonts w:hint="eastAsia"/>
              </w:rPr>
              <w:t>1、本品对眼睛有轻度刺激，使用本品时应穿戴防护服和手套，避免吸入药液。施药期间不可吃东西和饮水。施药后应及时洗手和洗脸。 2、本品包装一旦开启，应尽快用完，以免影响孢子活力。 3、本品不可与杀菌剂混用。 4、禁止在河塘等水域中清洗施药器具，避免药液污染水源地。 5、施药后的田水不得直接排入河塘等水体。 6、建议与其他不同作用机制的杀虫剂轮换使用，以延缓抗性产生。 7、孕妇及哺乳期的妇女应避免接触本品。 8、尽可能避免在蚕室及桑园周边用药，如必须用药，则须避开养蚕期。 9、用过的容器应妥善处理，不可做他用，也不可随意丢弃。</w:t>
            </w:r>
          </w:p>
        </w:tc>
      </w:tr>
      <w:tr w14:paraId="64E0C430">
        <w:tblPrEx>
          <w:tblCellMar>
            <w:top w:w="0" w:type="dxa"/>
            <w:left w:w="0" w:type="dxa"/>
            <w:bottom w:w="0" w:type="dxa"/>
            <w:right w:w="0" w:type="dxa"/>
          </w:tblCellMar>
        </w:tblPrEx>
        <w:trPr>
          <w:wBefore w:w="0" w:type="auto"/>
          <w:tblCellSpacing w:w="0" w:type="dxa"/>
        </w:trPr>
        <w:tc>
          <w:tcPr>
            <w:tcW w:w="0" w:type="auto"/>
            <w:noWrap w:val="0"/>
            <w:vAlign w:val="center"/>
          </w:tcPr>
          <w:p w14:paraId="7AE652F6">
            <w:r>
              <w:rPr>
                <w:rStyle w:val="10"/>
                <w:rFonts w:hint="eastAsia"/>
              </w:rPr>
              <w:t>中毒急救措施：</w:t>
            </w:r>
            <w:r>
              <w:rPr>
                <w:rFonts w:hint="eastAsia"/>
              </w:rPr>
              <w:br w:type="textWrapping"/>
            </w:r>
            <w:r>
              <w:rPr>
                <w:rStyle w:val="11"/>
                <w:rFonts w:hint="eastAsia"/>
              </w:rPr>
              <w:t>使用中或使用后若感觉不适，应立即停止工作，采取急救措施，并携标签到医院诊治。皮肤接触，用清水和肥皂彻底清洗干净。如果误食，在病人清醒状态下，喝大量水后用手指压喉催吐并及时携标签就医。本品对眼睛有轻度刺激，如不慎接触眼睛请即该用大量清水冲洗至少15分钟，如还不适就医治疗。</w:t>
            </w:r>
          </w:p>
        </w:tc>
      </w:tr>
      <w:tr w14:paraId="65A94FC4">
        <w:tblPrEx>
          <w:tblCellMar>
            <w:top w:w="0" w:type="dxa"/>
            <w:left w:w="0" w:type="dxa"/>
            <w:bottom w:w="0" w:type="dxa"/>
            <w:right w:w="0" w:type="dxa"/>
          </w:tblCellMar>
        </w:tblPrEx>
        <w:trPr>
          <w:wBefore w:w="0" w:type="auto"/>
          <w:tblCellSpacing w:w="0" w:type="dxa"/>
        </w:trPr>
        <w:tc>
          <w:tcPr>
            <w:tcW w:w="0" w:type="auto"/>
            <w:noWrap w:val="0"/>
            <w:vAlign w:val="center"/>
          </w:tcPr>
          <w:p w14:paraId="6C63769D">
            <w:r>
              <w:rPr>
                <w:rStyle w:val="10"/>
                <w:rFonts w:hint="eastAsia"/>
              </w:rPr>
              <w:t>储存和运输方法：</w:t>
            </w:r>
            <w:r>
              <w:rPr>
                <w:rFonts w:hint="eastAsia"/>
              </w:rPr>
              <w:br w:type="textWrapping"/>
            </w:r>
            <w:r>
              <w:rPr>
                <w:rStyle w:val="11"/>
                <w:rFonts w:hint="eastAsia"/>
              </w:rPr>
              <w:t>本品应贮存在干燥、阴凉、低温、通风、防雨处，避免阳光直射，远离火源或热源。置于儿童触及不到之处，并加锁。勿与食品、饮料、粮食、饲料等其他商品同贮同运。</w:t>
            </w:r>
          </w:p>
        </w:tc>
      </w:tr>
      <w:tr w14:paraId="1E80FFFF">
        <w:tblPrEx>
          <w:tblCellMar>
            <w:top w:w="0" w:type="dxa"/>
            <w:left w:w="0" w:type="dxa"/>
            <w:bottom w:w="0" w:type="dxa"/>
            <w:right w:w="0" w:type="dxa"/>
          </w:tblCellMar>
        </w:tblPrEx>
        <w:trPr>
          <w:wBefore w:w="0" w:type="auto"/>
          <w:tblCellSpacing w:w="0" w:type="dxa"/>
        </w:trPr>
        <w:tc>
          <w:tcPr>
            <w:tcW w:w="0" w:type="auto"/>
            <w:noWrap w:val="0"/>
            <w:vAlign w:val="center"/>
          </w:tcPr>
          <w:p w14:paraId="274024EC">
            <w:r>
              <w:rPr>
                <w:rStyle w:val="10"/>
                <w:rFonts w:hint="eastAsia"/>
              </w:rPr>
              <w:t>质量保证期：</w:t>
            </w:r>
            <w:r>
              <w:rPr>
                <w:rStyle w:val="11"/>
                <w:rFonts w:hint="eastAsia"/>
              </w:rPr>
              <w:t>1年</w:t>
            </w:r>
          </w:p>
        </w:tc>
      </w:tr>
      <w:tr w14:paraId="7B576D04">
        <w:tblPrEx>
          <w:tblCellMar>
            <w:top w:w="0" w:type="dxa"/>
            <w:left w:w="0" w:type="dxa"/>
            <w:bottom w:w="0" w:type="dxa"/>
            <w:right w:w="0" w:type="dxa"/>
          </w:tblCellMar>
        </w:tblPrEx>
        <w:trPr>
          <w:wBefore w:w="0" w:type="auto"/>
          <w:tblCellSpacing w:w="0" w:type="dxa"/>
        </w:trPr>
        <w:tc>
          <w:tcPr>
            <w:tcW w:w="0" w:type="auto"/>
            <w:noWrap w:val="0"/>
            <w:vAlign w:val="center"/>
          </w:tcPr>
          <w:p w14:paraId="5BAF4DE4">
            <w:r>
              <w:rPr>
                <w:rStyle w:val="10"/>
                <w:rFonts w:hint="eastAsia"/>
              </w:rPr>
              <w:t>备注：</w:t>
            </w:r>
          </w:p>
        </w:tc>
      </w:tr>
    </w:tbl>
    <w:p w14:paraId="6D81940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9DEF49">
        <w:tblPrEx>
          <w:tblCellMar>
            <w:top w:w="0" w:type="dxa"/>
            <w:left w:w="0" w:type="dxa"/>
            <w:bottom w:w="0" w:type="dxa"/>
            <w:right w:w="0" w:type="dxa"/>
          </w:tblCellMar>
        </w:tblPrEx>
        <w:trPr>
          <w:wBefore w:w="0" w:type="auto"/>
          <w:tblCellSpacing w:w="0" w:type="dxa"/>
        </w:trPr>
        <w:tc>
          <w:tcPr>
            <w:tcW w:w="0" w:type="auto"/>
            <w:noWrap w:val="0"/>
            <w:vAlign w:val="center"/>
          </w:tcPr>
          <w:p w14:paraId="1B4DC0A3">
            <w:r>
              <w:rPr>
                <w:rStyle w:val="10"/>
                <w:rFonts w:hint="eastAsia"/>
              </w:rPr>
              <w:t>登记证号：</w:t>
            </w:r>
            <w:r>
              <w:rPr>
                <w:rFonts w:hint="eastAsia"/>
              </w:rPr>
              <w:t>WP20210216</w:t>
            </w:r>
          </w:p>
        </w:tc>
      </w:tr>
      <w:tr w14:paraId="71B0C85D">
        <w:tblPrEx>
          <w:tblCellMar>
            <w:top w:w="0" w:type="dxa"/>
            <w:left w:w="0" w:type="dxa"/>
            <w:bottom w:w="0" w:type="dxa"/>
            <w:right w:w="0" w:type="dxa"/>
          </w:tblCellMar>
        </w:tblPrEx>
        <w:trPr>
          <w:wBefore w:w="0" w:type="auto"/>
          <w:tblCellSpacing w:w="0" w:type="dxa"/>
        </w:trPr>
        <w:tc>
          <w:tcPr>
            <w:tcW w:w="0" w:type="auto"/>
            <w:noWrap w:val="0"/>
            <w:vAlign w:val="center"/>
          </w:tcPr>
          <w:p w14:paraId="553CF453">
            <w:r>
              <w:rPr>
                <w:rStyle w:val="10"/>
                <w:rFonts w:hint="eastAsia"/>
              </w:rPr>
              <w:t>登记证持有人：</w:t>
            </w:r>
            <w:r>
              <w:rPr>
                <w:rFonts w:hint="eastAsia"/>
              </w:rPr>
              <w:t>湖南新长山农业发展股份有限公司</w:t>
            </w:r>
          </w:p>
        </w:tc>
      </w:tr>
      <w:tr w14:paraId="2BF2C9B0">
        <w:tblPrEx>
          <w:tblCellMar>
            <w:top w:w="0" w:type="dxa"/>
            <w:left w:w="0" w:type="dxa"/>
            <w:bottom w:w="0" w:type="dxa"/>
            <w:right w:w="0" w:type="dxa"/>
          </w:tblCellMar>
        </w:tblPrEx>
        <w:trPr>
          <w:wBefore w:w="0" w:type="auto"/>
          <w:tblCellSpacing w:w="0" w:type="dxa"/>
        </w:trPr>
        <w:tc>
          <w:tcPr>
            <w:tcW w:w="0" w:type="auto"/>
            <w:noWrap w:val="0"/>
            <w:vAlign w:val="center"/>
          </w:tcPr>
          <w:p w14:paraId="2A5A404F">
            <w:r>
              <w:rPr>
                <w:rStyle w:val="10"/>
                <w:rFonts w:hint="eastAsia"/>
              </w:rPr>
              <w:t>农药名称：</w:t>
            </w:r>
            <w:r>
              <w:rPr>
                <w:rFonts w:hint="eastAsia"/>
              </w:rPr>
              <w:t>残杀·溴氰</w:t>
            </w:r>
          </w:p>
        </w:tc>
      </w:tr>
      <w:tr w14:paraId="13EAFEB3">
        <w:tblPrEx>
          <w:tblCellMar>
            <w:top w:w="0" w:type="dxa"/>
            <w:left w:w="0" w:type="dxa"/>
            <w:bottom w:w="0" w:type="dxa"/>
            <w:right w:w="0" w:type="dxa"/>
          </w:tblCellMar>
        </w:tblPrEx>
        <w:trPr>
          <w:wBefore w:w="0" w:type="auto"/>
          <w:tblCellSpacing w:w="0" w:type="dxa"/>
        </w:trPr>
        <w:tc>
          <w:tcPr>
            <w:tcW w:w="0" w:type="auto"/>
            <w:noWrap w:val="0"/>
            <w:vAlign w:val="center"/>
          </w:tcPr>
          <w:p w14:paraId="04656BDD">
            <w:r>
              <w:rPr>
                <w:rStyle w:val="10"/>
                <w:rFonts w:hint="eastAsia"/>
              </w:rPr>
              <w:t>剂型：</w:t>
            </w:r>
            <w:r>
              <w:rPr>
                <w:rFonts w:hint="eastAsia"/>
              </w:rPr>
              <w:t>水乳剂</w:t>
            </w:r>
          </w:p>
        </w:tc>
      </w:tr>
      <w:tr w14:paraId="09CC8361">
        <w:tblPrEx>
          <w:tblCellMar>
            <w:top w:w="0" w:type="dxa"/>
            <w:left w:w="0" w:type="dxa"/>
            <w:bottom w:w="0" w:type="dxa"/>
            <w:right w:w="0" w:type="dxa"/>
          </w:tblCellMar>
        </w:tblPrEx>
        <w:trPr>
          <w:wBefore w:w="0" w:type="auto"/>
          <w:tblCellSpacing w:w="0" w:type="dxa"/>
        </w:trPr>
        <w:tc>
          <w:tcPr>
            <w:tcW w:w="0" w:type="auto"/>
            <w:noWrap w:val="0"/>
            <w:vAlign w:val="center"/>
          </w:tcPr>
          <w:p w14:paraId="6FAF6C2D">
            <w:r>
              <w:rPr>
                <w:rStyle w:val="10"/>
                <w:rFonts w:hint="eastAsia"/>
              </w:rPr>
              <w:t>毒性及其标识：</w:t>
            </w:r>
            <w:r>
              <w:rPr>
                <w:rFonts w:hint="eastAsia"/>
              </w:rPr>
              <w:t xml:space="preserve"> </w:t>
            </w:r>
            <w:r>
              <w:rPr>
                <w:lang/>
              </w:rPr>
              <w:drawing>
                <wp:inline distT="0" distB="0" distL="114300" distR="114300">
                  <wp:extent cx="476250" cy="323850"/>
                  <wp:effectExtent l="0" t="0" r="0" b="0"/>
                  <wp:docPr id="532" name="图片 53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510C4FF">
        <w:tblPrEx>
          <w:tblCellMar>
            <w:top w:w="0" w:type="dxa"/>
            <w:left w:w="0" w:type="dxa"/>
            <w:bottom w:w="0" w:type="dxa"/>
            <w:right w:w="0" w:type="dxa"/>
          </w:tblCellMar>
        </w:tblPrEx>
        <w:trPr>
          <w:wBefore w:w="0" w:type="auto"/>
          <w:tblCellSpacing w:w="0" w:type="dxa"/>
        </w:trPr>
        <w:tc>
          <w:tcPr>
            <w:tcW w:w="0" w:type="auto"/>
            <w:noWrap w:val="0"/>
            <w:vAlign w:val="center"/>
          </w:tcPr>
          <w:p w14:paraId="030EC782">
            <w:r>
              <w:rPr>
                <w:rStyle w:val="10"/>
                <w:rFonts w:hint="eastAsia"/>
              </w:rPr>
              <w:t>总有效成分含量：</w:t>
            </w:r>
            <w:r>
              <w:rPr>
                <w:rFonts w:hint="eastAsia"/>
              </w:rPr>
              <w:t>8%</w:t>
            </w:r>
          </w:p>
        </w:tc>
      </w:tr>
      <w:tr w14:paraId="54C3E19A">
        <w:tblPrEx>
          <w:tblCellMar>
            <w:top w:w="0" w:type="dxa"/>
            <w:left w:w="0" w:type="dxa"/>
            <w:bottom w:w="0" w:type="dxa"/>
            <w:right w:w="0" w:type="dxa"/>
          </w:tblCellMar>
        </w:tblPrEx>
        <w:trPr>
          <w:wBefore w:w="0" w:type="auto"/>
          <w:tblCellSpacing w:w="0" w:type="dxa"/>
        </w:trPr>
        <w:tc>
          <w:tcPr>
            <w:tcW w:w="0" w:type="auto"/>
            <w:noWrap w:val="0"/>
            <w:vAlign w:val="center"/>
          </w:tcPr>
          <w:p w14:paraId="7E8A0851">
            <w:r>
              <w:rPr>
                <w:rFonts w:hint="eastAsia"/>
              </w:rPr>
              <w:t xml:space="preserve">有效成分及其含量： </w:t>
            </w:r>
          </w:p>
          <w:p w14:paraId="6FFE4CD4">
            <w:r>
              <w:rPr>
                <w:rFonts w:hint="eastAsia"/>
              </w:rPr>
              <w:t xml:space="preserve">    残杀威7%    溴氰菊酯1%    </w:t>
            </w:r>
          </w:p>
        </w:tc>
      </w:tr>
      <w:tr w14:paraId="26BF18BF">
        <w:tblPrEx>
          <w:tblCellMar>
            <w:top w:w="0" w:type="dxa"/>
            <w:left w:w="0" w:type="dxa"/>
            <w:bottom w:w="0" w:type="dxa"/>
            <w:right w:w="0" w:type="dxa"/>
          </w:tblCellMar>
        </w:tblPrEx>
        <w:trPr>
          <w:wBefore w:w="0" w:type="auto"/>
          <w:tblCellSpacing w:w="0" w:type="dxa"/>
        </w:trPr>
        <w:tc>
          <w:tcPr>
            <w:tcW w:w="0" w:type="auto"/>
            <w:noWrap w:val="0"/>
            <w:vAlign w:val="center"/>
          </w:tcPr>
          <w:p w14:paraId="66E5A21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7BD19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498C4C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0D9DE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ADF033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01A8E4">
                  <w:r>
                    <w:rPr>
                      <w:rStyle w:val="11"/>
                      <w:rFonts w:hint="eastAsia"/>
                    </w:rPr>
                    <w:t>施用方式</w:t>
                  </w:r>
                </w:p>
              </w:tc>
            </w:tr>
            <w:tr w14:paraId="3C48E6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BA98189">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FAFCFC">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544328">
                  <w:r>
                    <w:rPr>
                      <w:rStyle w:val="11"/>
                      <w:rFonts w:hint="eastAsia"/>
                    </w:rPr>
                    <w:t>1.5毫升/平方米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8FCB0F">
                  <w:r>
                    <w:rPr>
                      <w:rStyle w:val="11"/>
                      <w:rFonts w:hint="eastAsia"/>
                    </w:rPr>
                    <w:t>滞留喷洒</w:t>
                  </w:r>
                </w:p>
              </w:tc>
            </w:tr>
          </w:tbl>
          <w:p w14:paraId="56E35DCC">
            <w:pPr>
              <w:rPr>
                <w:rFonts w:ascii="Times New Roman" w:hAnsi="Times New Roman" w:cs="Times New Roman"/>
                <w:sz w:val="20"/>
                <w:szCs w:val="20"/>
              </w:rPr>
            </w:pPr>
          </w:p>
        </w:tc>
      </w:tr>
      <w:tr w14:paraId="4B999AA4">
        <w:tblPrEx>
          <w:tblCellMar>
            <w:top w:w="0" w:type="dxa"/>
            <w:left w:w="0" w:type="dxa"/>
            <w:bottom w:w="0" w:type="dxa"/>
            <w:right w:w="0" w:type="dxa"/>
          </w:tblCellMar>
        </w:tblPrEx>
        <w:trPr>
          <w:wBefore w:w="0" w:type="auto"/>
          <w:tblCellSpacing w:w="0" w:type="dxa"/>
        </w:trPr>
        <w:tc>
          <w:tcPr>
            <w:tcW w:w="0" w:type="auto"/>
            <w:noWrap w:val="0"/>
            <w:vAlign w:val="center"/>
          </w:tcPr>
          <w:p w14:paraId="4A10F86F">
            <w:r>
              <w:rPr>
                <w:rStyle w:val="10"/>
                <w:rFonts w:hint="eastAsia"/>
              </w:rPr>
              <w:t>使用技术要求:</w:t>
            </w:r>
            <w:r>
              <w:rPr>
                <w:rFonts w:hint="eastAsia"/>
              </w:rPr>
              <w:br w:type="textWrapping"/>
            </w:r>
            <w:r>
              <w:rPr>
                <w:rStyle w:val="11"/>
                <w:rFonts w:hint="eastAsia"/>
              </w:rPr>
              <w:t>先关闭门窗，在距离墙壁及物体约1米处，用水稀释50-120倍向空中喷射，平均每10平方米喷射5秒左右。关闭门窗期间，人不要留在室内，20分钟后，打开门窗充分通风后方可再次进入房间。</w:t>
            </w:r>
          </w:p>
        </w:tc>
      </w:tr>
      <w:tr w14:paraId="67BDDDAF">
        <w:tblPrEx>
          <w:tblCellMar>
            <w:top w:w="0" w:type="dxa"/>
            <w:left w:w="0" w:type="dxa"/>
            <w:bottom w:w="0" w:type="dxa"/>
            <w:right w:w="0" w:type="dxa"/>
          </w:tblCellMar>
        </w:tblPrEx>
        <w:trPr>
          <w:wBefore w:w="0" w:type="auto"/>
          <w:tblCellSpacing w:w="0" w:type="dxa"/>
        </w:trPr>
        <w:tc>
          <w:tcPr>
            <w:tcW w:w="0" w:type="auto"/>
            <w:noWrap w:val="0"/>
            <w:vAlign w:val="center"/>
          </w:tcPr>
          <w:p w14:paraId="47EBA1CC">
            <w:r>
              <w:rPr>
                <w:rStyle w:val="10"/>
                <w:rFonts w:hint="eastAsia"/>
              </w:rPr>
              <w:t>产品性能:</w:t>
            </w:r>
            <w:r>
              <w:rPr>
                <w:rFonts w:hint="eastAsia"/>
              </w:rPr>
              <w:br w:type="textWrapping"/>
            </w:r>
            <w:r>
              <w:rPr>
                <w:rStyle w:val="11"/>
                <w:rFonts w:hint="eastAsia"/>
              </w:rPr>
              <w:t>本品是采用氨基甲酸酯类和菊酯类农药配制而成的卫生杀虫剂，具有胃毒、熏杀和击倒作用。能有效驱杀蚊子等害虫。</w:t>
            </w:r>
          </w:p>
        </w:tc>
      </w:tr>
      <w:tr w14:paraId="0CCFE8D3">
        <w:tblPrEx>
          <w:tblCellMar>
            <w:top w:w="0" w:type="dxa"/>
            <w:left w:w="0" w:type="dxa"/>
            <w:bottom w:w="0" w:type="dxa"/>
            <w:right w:w="0" w:type="dxa"/>
          </w:tblCellMar>
        </w:tblPrEx>
        <w:trPr>
          <w:wBefore w:w="0" w:type="auto"/>
          <w:tblCellSpacing w:w="0" w:type="dxa"/>
        </w:trPr>
        <w:tc>
          <w:tcPr>
            <w:tcW w:w="0" w:type="auto"/>
            <w:noWrap w:val="0"/>
            <w:vAlign w:val="center"/>
          </w:tcPr>
          <w:p w14:paraId="2B9195E4">
            <w:r>
              <w:rPr>
                <w:rStyle w:val="10"/>
                <w:rFonts w:hint="eastAsia"/>
              </w:rPr>
              <w:t>注意事项：</w:t>
            </w:r>
            <w:r>
              <w:rPr>
                <w:rFonts w:hint="eastAsia"/>
              </w:rPr>
              <w:br w:type="textWrapping"/>
            </w:r>
            <w:r>
              <w:rPr>
                <w:rStyle w:val="11"/>
                <w:rFonts w:hint="eastAsia"/>
              </w:rPr>
              <w:t>1. 本品仅限室内使用。2. 使用时切勿污染食物、餐具及饮用水。3. 使用本品时应注意避免吸入接触皮肤，喷施后应及时洗手或洗脸。4. 本品存放日久可能出现分层，请摇匀后使用，不影响药效。5. 水产养殖区、河塘等水体附近禁用，禁止在河塘等水域清洗施药器具；施药期间应密切关注对附近蜂群的影响。6. 用过的容器应妥善处理，不可做他用，也不可随意丢弃。7. 避免孕妇及哺乳期妇女接触。</w:t>
            </w:r>
          </w:p>
        </w:tc>
      </w:tr>
      <w:tr w14:paraId="42496CBE">
        <w:tblPrEx>
          <w:tblCellMar>
            <w:top w:w="0" w:type="dxa"/>
            <w:left w:w="0" w:type="dxa"/>
            <w:bottom w:w="0" w:type="dxa"/>
            <w:right w:w="0" w:type="dxa"/>
          </w:tblCellMar>
        </w:tblPrEx>
        <w:trPr>
          <w:wBefore w:w="0" w:type="auto"/>
          <w:tblCellSpacing w:w="0" w:type="dxa"/>
        </w:trPr>
        <w:tc>
          <w:tcPr>
            <w:tcW w:w="0" w:type="auto"/>
            <w:noWrap w:val="0"/>
            <w:vAlign w:val="center"/>
          </w:tcPr>
          <w:p w14:paraId="6CDC013E">
            <w:r>
              <w:rPr>
                <w:rStyle w:val="10"/>
                <w:rFonts w:hint="eastAsia"/>
              </w:rPr>
              <w:t>中毒急救措施：</w:t>
            </w:r>
            <w:r>
              <w:rPr>
                <w:rFonts w:hint="eastAsia"/>
              </w:rPr>
              <w:br w:type="textWrapping"/>
            </w:r>
            <w:r>
              <w:rPr>
                <w:rStyle w:val="11"/>
                <w:rFonts w:hint="eastAsia"/>
              </w:rPr>
              <w:t>1. 要严格遵守农药安全使用操作规程，避免药剂接触皮肤、眼睛。如不慎药剂入眼、误触皮肤，立即用清水冲洗至少15分钟。2. 无特殊解毒剂，发现误食应及时就医。3. 大量吞服时可洗胃。4. 不能催吐，禁用解磷定、氯磷定、双复磷、吗啡。</w:t>
            </w:r>
          </w:p>
        </w:tc>
      </w:tr>
      <w:tr w14:paraId="0330C152">
        <w:tblPrEx>
          <w:tblCellMar>
            <w:top w:w="0" w:type="dxa"/>
            <w:left w:w="0" w:type="dxa"/>
            <w:bottom w:w="0" w:type="dxa"/>
            <w:right w:w="0" w:type="dxa"/>
          </w:tblCellMar>
        </w:tblPrEx>
        <w:trPr>
          <w:wBefore w:w="0" w:type="auto"/>
          <w:tblCellSpacing w:w="0" w:type="dxa"/>
        </w:trPr>
        <w:tc>
          <w:tcPr>
            <w:tcW w:w="0" w:type="auto"/>
            <w:noWrap w:val="0"/>
            <w:vAlign w:val="center"/>
          </w:tcPr>
          <w:p w14:paraId="2426288C">
            <w:r>
              <w:rPr>
                <w:rStyle w:val="10"/>
                <w:rFonts w:hint="eastAsia"/>
              </w:rPr>
              <w:t>储存和运输方法：</w:t>
            </w:r>
            <w:r>
              <w:rPr>
                <w:rFonts w:hint="eastAsia"/>
              </w:rPr>
              <w:br w:type="textWrapping"/>
            </w:r>
            <w:r>
              <w:rPr>
                <w:rStyle w:val="11"/>
                <w:rFonts w:hint="eastAsia"/>
              </w:rPr>
              <w:t>1. 本品应贮存在干燥、阴凉、通风、防雨处，远离火源和热源。2.置于儿童、无关人员触及不到之处，并加锁。勿与食品、饮料、饲料、粮食等同贮同运。3. 运输过程确保包装不倒塌、不损坏，防高温曝晒、防雨淋。</w:t>
            </w:r>
          </w:p>
        </w:tc>
      </w:tr>
      <w:tr w14:paraId="4527D0AB">
        <w:tblPrEx>
          <w:tblCellMar>
            <w:top w:w="0" w:type="dxa"/>
            <w:left w:w="0" w:type="dxa"/>
            <w:bottom w:w="0" w:type="dxa"/>
            <w:right w:w="0" w:type="dxa"/>
          </w:tblCellMar>
        </w:tblPrEx>
        <w:trPr>
          <w:wBefore w:w="0" w:type="auto"/>
          <w:tblCellSpacing w:w="0" w:type="dxa"/>
        </w:trPr>
        <w:tc>
          <w:tcPr>
            <w:tcW w:w="0" w:type="auto"/>
            <w:noWrap w:val="0"/>
            <w:vAlign w:val="center"/>
          </w:tcPr>
          <w:p w14:paraId="17B80A73">
            <w:r>
              <w:rPr>
                <w:rStyle w:val="10"/>
                <w:rFonts w:hint="eastAsia"/>
              </w:rPr>
              <w:t>质量保证期：</w:t>
            </w:r>
            <w:r>
              <w:rPr>
                <w:rStyle w:val="11"/>
                <w:rFonts w:hint="eastAsia"/>
              </w:rPr>
              <w:t>2年</w:t>
            </w:r>
          </w:p>
        </w:tc>
      </w:tr>
      <w:tr w14:paraId="714D72D5">
        <w:tblPrEx>
          <w:tblCellMar>
            <w:top w:w="0" w:type="dxa"/>
            <w:left w:w="0" w:type="dxa"/>
            <w:bottom w:w="0" w:type="dxa"/>
            <w:right w:w="0" w:type="dxa"/>
          </w:tblCellMar>
        </w:tblPrEx>
        <w:trPr>
          <w:wBefore w:w="0" w:type="auto"/>
          <w:tblCellSpacing w:w="0" w:type="dxa"/>
        </w:trPr>
        <w:tc>
          <w:tcPr>
            <w:tcW w:w="0" w:type="auto"/>
            <w:noWrap w:val="0"/>
            <w:vAlign w:val="center"/>
          </w:tcPr>
          <w:p w14:paraId="50B59F5F">
            <w:r>
              <w:rPr>
                <w:rStyle w:val="10"/>
                <w:rFonts w:hint="eastAsia"/>
              </w:rPr>
              <w:t>备注：</w:t>
            </w:r>
          </w:p>
        </w:tc>
      </w:tr>
    </w:tbl>
    <w:p w14:paraId="34837A5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8C8EDF7">
        <w:tblPrEx>
          <w:tblCellMar>
            <w:top w:w="0" w:type="dxa"/>
            <w:left w:w="0" w:type="dxa"/>
            <w:bottom w:w="0" w:type="dxa"/>
            <w:right w:w="0" w:type="dxa"/>
          </w:tblCellMar>
        </w:tblPrEx>
        <w:trPr>
          <w:wBefore w:w="0" w:type="auto"/>
          <w:tblCellSpacing w:w="0" w:type="dxa"/>
        </w:trPr>
        <w:tc>
          <w:tcPr>
            <w:tcW w:w="0" w:type="auto"/>
            <w:noWrap w:val="0"/>
            <w:vAlign w:val="center"/>
          </w:tcPr>
          <w:p w14:paraId="67D248A2">
            <w:r>
              <w:rPr>
                <w:rStyle w:val="10"/>
                <w:rFonts w:hint="eastAsia"/>
              </w:rPr>
              <w:t>登记证号：</w:t>
            </w:r>
            <w:r>
              <w:rPr>
                <w:rFonts w:hint="eastAsia"/>
              </w:rPr>
              <w:t>PD20211772</w:t>
            </w:r>
          </w:p>
        </w:tc>
      </w:tr>
      <w:tr w14:paraId="02303615">
        <w:tblPrEx>
          <w:tblCellMar>
            <w:top w:w="0" w:type="dxa"/>
            <w:left w:w="0" w:type="dxa"/>
            <w:bottom w:w="0" w:type="dxa"/>
            <w:right w:w="0" w:type="dxa"/>
          </w:tblCellMar>
        </w:tblPrEx>
        <w:trPr>
          <w:wBefore w:w="0" w:type="auto"/>
          <w:tblCellSpacing w:w="0" w:type="dxa"/>
        </w:trPr>
        <w:tc>
          <w:tcPr>
            <w:tcW w:w="0" w:type="auto"/>
            <w:noWrap w:val="0"/>
            <w:vAlign w:val="center"/>
          </w:tcPr>
          <w:p w14:paraId="36F12E7B">
            <w:r>
              <w:rPr>
                <w:rStyle w:val="10"/>
                <w:rFonts w:hint="eastAsia"/>
              </w:rPr>
              <w:t>登记证持有人：</w:t>
            </w:r>
            <w:r>
              <w:rPr>
                <w:rFonts w:hint="eastAsia"/>
              </w:rPr>
              <w:t>汝阳自强生物科技有限公司</w:t>
            </w:r>
          </w:p>
        </w:tc>
      </w:tr>
      <w:tr w14:paraId="68FC4B4B">
        <w:tblPrEx>
          <w:tblCellMar>
            <w:top w:w="0" w:type="dxa"/>
            <w:left w:w="0" w:type="dxa"/>
            <w:bottom w:w="0" w:type="dxa"/>
            <w:right w:w="0" w:type="dxa"/>
          </w:tblCellMar>
        </w:tblPrEx>
        <w:trPr>
          <w:wBefore w:w="0" w:type="auto"/>
          <w:tblCellSpacing w:w="0" w:type="dxa"/>
        </w:trPr>
        <w:tc>
          <w:tcPr>
            <w:tcW w:w="0" w:type="auto"/>
            <w:noWrap w:val="0"/>
            <w:vAlign w:val="center"/>
          </w:tcPr>
          <w:p w14:paraId="414699AF">
            <w:r>
              <w:rPr>
                <w:rStyle w:val="10"/>
                <w:rFonts w:hint="eastAsia"/>
              </w:rPr>
              <w:t>农药名称：</w:t>
            </w:r>
            <w:r>
              <w:rPr>
                <w:rFonts w:hint="eastAsia"/>
              </w:rPr>
              <w:t>高效氯氰菊酯</w:t>
            </w:r>
          </w:p>
        </w:tc>
      </w:tr>
      <w:tr w14:paraId="1B73639A">
        <w:tblPrEx>
          <w:tblCellMar>
            <w:top w:w="0" w:type="dxa"/>
            <w:left w:w="0" w:type="dxa"/>
            <w:bottom w:w="0" w:type="dxa"/>
            <w:right w:w="0" w:type="dxa"/>
          </w:tblCellMar>
        </w:tblPrEx>
        <w:trPr>
          <w:wBefore w:w="0" w:type="auto"/>
          <w:tblCellSpacing w:w="0" w:type="dxa"/>
        </w:trPr>
        <w:tc>
          <w:tcPr>
            <w:tcW w:w="0" w:type="auto"/>
            <w:noWrap w:val="0"/>
            <w:vAlign w:val="center"/>
          </w:tcPr>
          <w:p w14:paraId="32439529">
            <w:r>
              <w:rPr>
                <w:rStyle w:val="10"/>
                <w:rFonts w:hint="eastAsia"/>
              </w:rPr>
              <w:t>剂型：</w:t>
            </w:r>
            <w:r>
              <w:rPr>
                <w:rFonts w:hint="eastAsia"/>
              </w:rPr>
              <w:t>颗粒剂</w:t>
            </w:r>
          </w:p>
        </w:tc>
      </w:tr>
      <w:tr w14:paraId="75D4BCC4">
        <w:tblPrEx>
          <w:tblCellMar>
            <w:top w:w="0" w:type="dxa"/>
            <w:left w:w="0" w:type="dxa"/>
            <w:bottom w:w="0" w:type="dxa"/>
            <w:right w:w="0" w:type="dxa"/>
          </w:tblCellMar>
        </w:tblPrEx>
        <w:trPr>
          <w:wBefore w:w="0" w:type="auto"/>
          <w:tblCellSpacing w:w="0" w:type="dxa"/>
        </w:trPr>
        <w:tc>
          <w:tcPr>
            <w:tcW w:w="0" w:type="auto"/>
            <w:noWrap w:val="0"/>
            <w:vAlign w:val="center"/>
          </w:tcPr>
          <w:p w14:paraId="6D7E91D2">
            <w:r>
              <w:rPr>
                <w:rStyle w:val="10"/>
                <w:rFonts w:hint="eastAsia"/>
              </w:rPr>
              <w:t>毒性及其标识：</w:t>
            </w:r>
            <w:r>
              <w:rPr>
                <w:rFonts w:hint="eastAsia"/>
              </w:rPr>
              <w:t xml:space="preserve"> </w:t>
            </w:r>
            <w:r>
              <w:rPr>
                <w:lang/>
              </w:rPr>
              <w:drawing>
                <wp:inline distT="0" distB="0" distL="114300" distR="114300">
                  <wp:extent cx="476250" cy="323850"/>
                  <wp:effectExtent l="0" t="0" r="0" b="0"/>
                  <wp:docPr id="533" name="图片 53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9415FB">
        <w:tblPrEx>
          <w:tblCellMar>
            <w:top w:w="0" w:type="dxa"/>
            <w:left w:w="0" w:type="dxa"/>
            <w:bottom w:w="0" w:type="dxa"/>
            <w:right w:w="0" w:type="dxa"/>
          </w:tblCellMar>
        </w:tblPrEx>
        <w:trPr>
          <w:wBefore w:w="0" w:type="auto"/>
          <w:tblCellSpacing w:w="0" w:type="dxa"/>
        </w:trPr>
        <w:tc>
          <w:tcPr>
            <w:tcW w:w="0" w:type="auto"/>
            <w:noWrap w:val="0"/>
            <w:vAlign w:val="center"/>
          </w:tcPr>
          <w:p w14:paraId="0456E125">
            <w:r>
              <w:rPr>
                <w:rStyle w:val="10"/>
                <w:rFonts w:hint="eastAsia"/>
              </w:rPr>
              <w:t>总有效成分含量：</w:t>
            </w:r>
            <w:r>
              <w:rPr>
                <w:rFonts w:hint="eastAsia"/>
              </w:rPr>
              <w:t>1%</w:t>
            </w:r>
          </w:p>
        </w:tc>
      </w:tr>
      <w:tr w14:paraId="27BCD578">
        <w:tblPrEx>
          <w:tblCellMar>
            <w:top w:w="0" w:type="dxa"/>
            <w:left w:w="0" w:type="dxa"/>
            <w:bottom w:w="0" w:type="dxa"/>
            <w:right w:w="0" w:type="dxa"/>
          </w:tblCellMar>
        </w:tblPrEx>
        <w:trPr>
          <w:wBefore w:w="0" w:type="auto"/>
          <w:tblCellSpacing w:w="0" w:type="dxa"/>
        </w:trPr>
        <w:tc>
          <w:tcPr>
            <w:tcW w:w="0" w:type="auto"/>
            <w:noWrap w:val="0"/>
            <w:vAlign w:val="center"/>
          </w:tcPr>
          <w:p w14:paraId="69D0DC4A">
            <w:r>
              <w:rPr>
                <w:rFonts w:hint="eastAsia"/>
              </w:rPr>
              <w:t xml:space="preserve">有效成分及其含量： </w:t>
            </w:r>
          </w:p>
          <w:p w14:paraId="7E16825E">
            <w:r>
              <w:rPr>
                <w:rFonts w:hint="eastAsia"/>
              </w:rPr>
              <w:t xml:space="preserve">    高效氯氰菊酯1%    </w:t>
            </w:r>
          </w:p>
        </w:tc>
      </w:tr>
      <w:tr w14:paraId="753145BB">
        <w:tblPrEx>
          <w:tblCellMar>
            <w:top w:w="0" w:type="dxa"/>
            <w:left w:w="0" w:type="dxa"/>
            <w:bottom w:w="0" w:type="dxa"/>
            <w:right w:w="0" w:type="dxa"/>
          </w:tblCellMar>
        </w:tblPrEx>
        <w:trPr>
          <w:wBefore w:w="0" w:type="auto"/>
          <w:tblCellSpacing w:w="0" w:type="dxa"/>
        </w:trPr>
        <w:tc>
          <w:tcPr>
            <w:tcW w:w="0" w:type="auto"/>
            <w:noWrap w:val="0"/>
            <w:vAlign w:val="center"/>
          </w:tcPr>
          <w:p w14:paraId="4D4857A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88792C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256F9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401593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7A7291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720BA1A">
                  <w:r>
                    <w:rPr>
                      <w:rStyle w:val="11"/>
                      <w:rFonts w:hint="eastAsia"/>
                    </w:rPr>
                    <w:t>施用方式</w:t>
                  </w:r>
                </w:p>
              </w:tc>
            </w:tr>
            <w:tr w14:paraId="6A541D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59A62F5">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6155F8">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F38A39">
                  <w:r>
                    <w:rPr>
                      <w:rStyle w:val="11"/>
                      <w:rFonts w:hint="eastAsia"/>
                    </w:rPr>
                    <w:t>5000-7000克/亩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A61D91">
                  <w:r>
                    <w:rPr>
                      <w:rStyle w:val="11"/>
                      <w:rFonts w:hint="eastAsia"/>
                    </w:rPr>
                    <w:t>沟施或穴施</w:t>
                  </w:r>
                </w:p>
              </w:tc>
            </w:tr>
          </w:tbl>
          <w:p w14:paraId="709B096B">
            <w:pPr>
              <w:rPr>
                <w:rFonts w:ascii="Times New Roman" w:hAnsi="Times New Roman" w:cs="Times New Roman"/>
                <w:sz w:val="20"/>
                <w:szCs w:val="20"/>
              </w:rPr>
            </w:pPr>
          </w:p>
        </w:tc>
      </w:tr>
      <w:tr w14:paraId="1121F646">
        <w:tblPrEx>
          <w:tblCellMar>
            <w:top w:w="0" w:type="dxa"/>
            <w:left w:w="0" w:type="dxa"/>
            <w:bottom w:w="0" w:type="dxa"/>
            <w:right w:w="0" w:type="dxa"/>
          </w:tblCellMar>
        </w:tblPrEx>
        <w:trPr>
          <w:wBefore w:w="0" w:type="auto"/>
          <w:tblCellSpacing w:w="0" w:type="dxa"/>
        </w:trPr>
        <w:tc>
          <w:tcPr>
            <w:tcW w:w="0" w:type="auto"/>
            <w:noWrap w:val="0"/>
            <w:vAlign w:val="center"/>
          </w:tcPr>
          <w:p w14:paraId="0BF7A60D">
            <w:r>
              <w:rPr>
                <w:rStyle w:val="10"/>
                <w:rFonts w:hint="eastAsia"/>
              </w:rPr>
              <w:t>使用技术要求:</w:t>
            </w:r>
            <w:r>
              <w:rPr>
                <w:rFonts w:hint="eastAsia"/>
              </w:rPr>
              <w:br w:type="textWrapping"/>
            </w:r>
            <w:r>
              <w:rPr>
                <w:rStyle w:val="11"/>
                <w:rFonts w:hint="eastAsia"/>
              </w:rPr>
              <w:t>1.施药时间：移栽时使用。2.正确使用方法: 本品应于甘蓝移栽时拌细土沟施或 穴施，然后覆土；大田期可于行侧开沟施药，然后覆土。3.每季甘蓝作物最多 使用1次。</w:t>
            </w:r>
          </w:p>
        </w:tc>
      </w:tr>
      <w:tr w14:paraId="1622A83F">
        <w:tblPrEx>
          <w:tblCellMar>
            <w:top w:w="0" w:type="dxa"/>
            <w:left w:w="0" w:type="dxa"/>
            <w:bottom w:w="0" w:type="dxa"/>
            <w:right w:w="0" w:type="dxa"/>
          </w:tblCellMar>
        </w:tblPrEx>
        <w:trPr>
          <w:wBefore w:w="0" w:type="auto"/>
          <w:tblCellSpacing w:w="0" w:type="dxa"/>
        </w:trPr>
        <w:tc>
          <w:tcPr>
            <w:tcW w:w="0" w:type="auto"/>
            <w:noWrap w:val="0"/>
            <w:vAlign w:val="center"/>
          </w:tcPr>
          <w:p w14:paraId="7AB1A94D">
            <w:r>
              <w:rPr>
                <w:rStyle w:val="10"/>
                <w:rFonts w:hint="eastAsia"/>
              </w:rPr>
              <w:t>产品性能:</w:t>
            </w:r>
            <w:r>
              <w:rPr>
                <w:rFonts w:hint="eastAsia"/>
              </w:rPr>
              <w:br w:type="textWrapping"/>
            </w:r>
            <w:r>
              <w:rPr>
                <w:rStyle w:val="11"/>
                <w:rFonts w:hint="eastAsia"/>
              </w:rPr>
              <w:t>本品是一种拟除虫菊酯类杀虫剂，主要通过昆虫体内钠通道相互作用，破坏中枢神经系统功能，导致害虫死亡。具有胃毒和触杀双重作用，生物活性高，击倒速度快，持效期长，对危害甘蓝的地下害虫蛴螬有优良的防治效果。</w:t>
            </w:r>
          </w:p>
        </w:tc>
      </w:tr>
      <w:tr w14:paraId="208F13D5">
        <w:tblPrEx>
          <w:tblCellMar>
            <w:top w:w="0" w:type="dxa"/>
            <w:left w:w="0" w:type="dxa"/>
            <w:bottom w:w="0" w:type="dxa"/>
            <w:right w:w="0" w:type="dxa"/>
          </w:tblCellMar>
        </w:tblPrEx>
        <w:trPr>
          <w:wBefore w:w="0" w:type="auto"/>
          <w:tblCellSpacing w:w="0" w:type="dxa"/>
        </w:trPr>
        <w:tc>
          <w:tcPr>
            <w:tcW w:w="0" w:type="auto"/>
            <w:noWrap w:val="0"/>
            <w:vAlign w:val="center"/>
          </w:tcPr>
          <w:p w14:paraId="2BE7163A">
            <w:r>
              <w:rPr>
                <w:rStyle w:val="10"/>
                <w:rFonts w:hint="eastAsia"/>
              </w:rPr>
              <w:t>注意事项：</w:t>
            </w:r>
            <w:r>
              <w:rPr>
                <w:rFonts w:hint="eastAsia"/>
              </w:rPr>
              <w:br w:type="textWrapping"/>
            </w:r>
            <w:r>
              <w:rPr>
                <w:rStyle w:val="11"/>
                <w:rFonts w:hint="eastAsia"/>
              </w:rPr>
              <w:t>1. 使用前请详细阅读产品标签，严格按标签推荐的剂量和方法施用。 2. 本品对鱼类、水蚤类等水生生物高风险，使用本品时应远离水产养殖区、河塘等水体。严禁在河塘等水体中清洗施药器具，禁止将残液倒入湖泊、河流或池塘等，以免污染水源。禁止在水田中使用本剂。鸟类保护区及附近禁用，施药后立即覆土。3. 建议与其他不同作用机制的杀虫剂轮换使用，以延缓抗性。4. 本品对眼睛有刺激性，使用本品时应穿防护服、戴防护手套和口罩等防护衣物；使用中禁止饮食、喝水和吸烟；使用后及时用肥皂和清水彻底清洗皮肤暴露部位并更换衣物。5. 未用完的制剂应放在原包装内密封保存，切勿将本品置于饮食容器内。用过的容器或空包装应妥善处置，不可做他用，也不可随意丢弃。6. 避免孕妇及哺乳期妇女接触。</w:t>
            </w:r>
          </w:p>
        </w:tc>
      </w:tr>
      <w:tr w14:paraId="05692C96">
        <w:tblPrEx>
          <w:tblCellMar>
            <w:top w:w="0" w:type="dxa"/>
            <w:left w:w="0" w:type="dxa"/>
            <w:bottom w:w="0" w:type="dxa"/>
            <w:right w:w="0" w:type="dxa"/>
          </w:tblCellMar>
        </w:tblPrEx>
        <w:trPr>
          <w:wBefore w:w="0" w:type="auto"/>
          <w:tblCellSpacing w:w="0" w:type="dxa"/>
        </w:trPr>
        <w:tc>
          <w:tcPr>
            <w:tcW w:w="0" w:type="auto"/>
            <w:noWrap w:val="0"/>
            <w:vAlign w:val="center"/>
          </w:tcPr>
          <w:p w14:paraId="777B9E32">
            <w:r>
              <w:rPr>
                <w:rStyle w:val="10"/>
                <w:rFonts w:hint="eastAsia"/>
              </w:rPr>
              <w:t>中毒急救措施：</w:t>
            </w:r>
            <w:r>
              <w:rPr>
                <w:rFonts w:hint="eastAsia"/>
              </w:rPr>
              <w:br w:type="textWrapping"/>
            </w:r>
            <w:r>
              <w:rPr>
                <w:rStyle w:val="11"/>
                <w:rFonts w:hint="eastAsia"/>
              </w:rPr>
              <w:t>中毒症状：头晕、头痛、恶心、呕吐等。急救措施：皮肤接触：立即脱去被污染的衣物，用肥皂和大量清水冲洗皮肤暴露部位。如皮肤刺激感持续，请医生诊治。眼睛溅入：立即翻开眼睑，用清水冲洗至少15分钟，及时请医生诊治。吸入：立即将吸入者转移到空气清新处，若吸入者停止呼吸，需要进行人工呼吸。注意保暖和休息，请医生诊治。误食：严禁引吐，应先立即用清水漱口，再携带产品标签送医就诊，对症治疗。注意：对昏迷病人，切勿经口喂入任何东西。</w:t>
            </w:r>
          </w:p>
        </w:tc>
      </w:tr>
      <w:tr w14:paraId="653C0B71">
        <w:tblPrEx>
          <w:tblCellMar>
            <w:top w:w="0" w:type="dxa"/>
            <w:left w:w="0" w:type="dxa"/>
            <w:bottom w:w="0" w:type="dxa"/>
            <w:right w:w="0" w:type="dxa"/>
          </w:tblCellMar>
        </w:tblPrEx>
        <w:trPr>
          <w:wBefore w:w="0" w:type="auto"/>
          <w:tblCellSpacing w:w="0" w:type="dxa"/>
        </w:trPr>
        <w:tc>
          <w:tcPr>
            <w:tcW w:w="0" w:type="auto"/>
            <w:noWrap w:val="0"/>
            <w:vAlign w:val="center"/>
          </w:tcPr>
          <w:p w14:paraId="205DA32A">
            <w:r>
              <w:rPr>
                <w:rStyle w:val="10"/>
                <w:rFonts w:hint="eastAsia"/>
              </w:rPr>
              <w:t>储存和运输方法：</w:t>
            </w:r>
            <w:r>
              <w:rPr>
                <w:rFonts w:hint="eastAsia"/>
              </w:rPr>
              <w:br w:type="textWrapping"/>
            </w:r>
            <w:r>
              <w:rPr>
                <w:rStyle w:val="11"/>
                <w:rFonts w:hint="eastAsia"/>
              </w:rPr>
              <w:t>1.本品应贮存在阴凉、干燥、通风、防雨处，严防潮湿和日晒；2.远离火源与热源；3.置于儿童、无关人员及动物接触不到的地方，并加锁保存；4.不得与食物、饮料、种子、饲料等物品同贮同运。5.搬运时轻拿轻放，严禁脚踏或重压。</w:t>
            </w:r>
          </w:p>
        </w:tc>
      </w:tr>
      <w:tr w14:paraId="2747C1E1">
        <w:tblPrEx>
          <w:tblCellMar>
            <w:top w:w="0" w:type="dxa"/>
            <w:left w:w="0" w:type="dxa"/>
            <w:bottom w:w="0" w:type="dxa"/>
            <w:right w:w="0" w:type="dxa"/>
          </w:tblCellMar>
        </w:tblPrEx>
        <w:trPr>
          <w:wBefore w:w="0" w:type="auto"/>
          <w:tblCellSpacing w:w="0" w:type="dxa"/>
        </w:trPr>
        <w:tc>
          <w:tcPr>
            <w:tcW w:w="0" w:type="auto"/>
            <w:noWrap w:val="0"/>
            <w:vAlign w:val="center"/>
          </w:tcPr>
          <w:p w14:paraId="3F9BD317">
            <w:r>
              <w:rPr>
                <w:rStyle w:val="10"/>
                <w:rFonts w:hint="eastAsia"/>
              </w:rPr>
              <w:t>质量保证期：</w:t>
            </w:r>
            <w:r>
              <w:rPr>
                <w:rStyle w:val="11"/>
                <w:rFonts w:hint="eastAsia"/>
              </w:rPr>
              <w:t>2年</w:t>
            </w:r>
          </w:p>
        </w:tc>
      </w:tr>
      <w:tr w14:paraId="4BE7FEA9">
        <w:tblPrEx>
          <w:tblCellMar>
            <w:top w:w="0" w:type="dxa"/>
            <w:left w:w="0" w:type="dxa"/>
            <w:bottom w:w="0" w:type="dxa"/>
            <w:right w:w="0" w:type="dxa"/>
          </w:tblCellMar>
        </w:tblPrEx>
        <w:trPr>
          <w:wBefore w:w="0" w:type="auto"/>
          <w:tblCellSpacing w:w="0" w:type="dxa"/>
        </w:trPr>
        <w:tc>
          <w:tcPr>
            <w:tcW w:w="0" w:type="auto"/>
            <w:noWrap w:val="0"/>
            <w:vAlign w:val="center"/>
          </w:tcPr>
          <w:p w14:paraId="71C40AF3">
            <w:r>
              <w:rPr>
                <w:rStyle w:val="10"/>
                <w:rFonts w:hint="eastAsia"/>
              </w:rPr>
              <w:t>备注：</w:t>
            </w:r>
          </w:p>
        </w:tc>
      </w:tr>
    </w:tbl>
    <w:p w14:paraId="090A023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BA3E6BB">
        <w:tblPrEx>
          <w:tblCellMar>
            <w:top w:w="0" w:type="dxa"/>
            <w:left w:w="0" w:type="dxa"/>
            <w:bottom w:w="0" w:type="dxa"/>
            <w:right w:w="0" w:type="dxa"/>
          </w:tblCellMar>
        </w:tblPrEx>
        <w:trPr>
          <w:wBefore w:w="0" w:type="auto"/>
          <w:tblCellSpacing w:w="0" w:type="dxa"/>
        </w:trPr>
        <w:tc>
          <w:tcPr>
            <w:tcW w:w="0" w:type="auto"/>
            <w:noWrap w:val="0"/>
            <w:vAlign w:val="center"/>
          </w:tcPr>
          <w:p w14:paraId="60B03CF4">
            <w:r>
              <w:rPr>
                <w:rStyle w:val="10"/>
                <w:rFonts w:hint="eastAsia"/>
              </w:rPr>
              <w:t>登记证号：</w:t>
            </w:r>
            <w:r>
              <w:rPr>
                <w:rFonts w:hint="eastAsia"/>
              </w:rPr>
              <w:t>PD20212128</w:t>
            </w:r>
          </w:p>
        </w:tc>
      </w:tr>
      <w:tr w14:paraId="36829289">
        <w:tblPrEx>
          <w:tblCellMar>
            <w:top w:w="0" w:type="dxa"/>
            <w:left w:w="0" w:type="dxa"/>
            <w:bottom w:w="0" w:type="dxa"/>
            <w:right w:w="0" w:type="dxa"/>
          </w:tblCellMar>
        </w:tblPrEx>
        <w:trPr>
          <w:wBefore w:w="0" w:type="auto"/>
          <w:tblCellSpacing w:w="0" w:type="dxa"/>
        </w:trPr>
        <w:tc>
          <w:tcPr>
            <w:tcW w:w="0" w:type="auto"/>
            <w:noWrap w:val="0"/>
            <w:vAlign w:val="center"/>
          </w:tcPr>
          <w:p w14:paraId="6C6C72E9">
            <w:r>
              <w:rPr>
                <w:rStyle w:val="10"/>
                <w:rFonts w:hint="eastAsia"/>
              </w:rPr>
              <w:t>登记证持有人：</w:t>
            </w:r>
            <w:r>
              <w:rPr>
                <w:rFonts w:hint="eastAsia"/>
              </w:rPr>
              <w:t>菏泽茂泰瑞农生物科技有限公司</w:t>
            </w:r>
          </w:p>
        </w:tc>
      </w:tr>
      <w:tr w14:paraId="45A8D270">
        <w:tblPrEx>
          <w:tblCellMar>
            <w:top w:w="0" w:type="dxa"/>
            <w:left w:w="0" w:type="dxa"/>
            <w:bottom w:w="0" w:type="dxa"/>
            <w:right w:w="0" w:type="dxa"/>
          </w:tblCellMar>
        </w:tblPrEx>
        <w:trPr>
          <w:wBefore w:w="0" w:type="auto"/>
          <w:tblCellSpacing w:w="0" w:type="dxa"/>
        </w:trPr>
        <w:tc>
          <w:tcPr>
            <w:tcW w:w="0" w:type="auto"/>
            <w:noWrap w:val="0"/>
            <w:vAlign w:val="center"/>
          </w:tcPr>
          <w:p w14:paraId="217E8A68">
            <w:r>
              <w:rPr>
                <w:rStyle w:val="10"/>
                <w:rFonts w:hint="eastAsia"/>
              </w:rPr>
              <w:t>农药名称：</w:t>
            </w:r>
            <w:r>
              <w:rPr>
                <w:rFonts w:hint="eastAsia"/>
              </w:rPr>
              <w:t>硝·烟·莠去津</w:t>
            </w:r>
          </w:p>
        </w:tc>
      </w:tr>
      <w:tr w14:paraId="5ACFBE8A">
        <w:tblPrEx>
          <w:tblCellMar>
            <w:top w:w="0" w:type="dxa"/>
            <w:left w:w="0" w:type="dxa"/>
            <w:bottom w:w="0" w:type="dxa"/>
            <w:right w:w="0" w:type="dxa"/>
          </w:tblCellMar>
        </w:tblPrEx>
        <w:trPr>
          <w:wBefore w:w="0" w:type="auto"/>
          <w:tblCellSpacing w:w="0" w:type="dxa"/>
        </w:trPr>
        <w:tc>
          <w:tcPr>
            <w:tcW w:w="0" w:type="auto"/>
            <w:noWrap w:val="0"/>
            <w:vAlign w:val="center"/>
          </w:tcPr>
          <w:p w14:paraId="746AB2CD">
            <w:r>
              <w:rPr>
                <w:rStyle w:val="10"/>
                <w:rFonts w:hint="eastAsia"/>
              </w:rPr>
              <w:t>剂型：</w:t>
            </w:r>
            <w:r>
              <w:rPr>
                <w:rFonts w:hint="eastAsia"/>
              </w:rPr>
              <w:t>可分散油悬浮剂</w:t>
            </w:r>
          </w:p>
        </w:tc>
      </w:tr>
      <w:tr w14:paraId="38F3AB37">
        <w:tblPrEx>
          <w:tblCellMar>
            <w:top w:w="0" w:type="dxa"/>
            <w:left w:w="0" w:type="dxa"/>
            <w:bottom w:w="0" w:type="dxa"/>
            <w:right w:w="0" w:type="dxa"/>
          </w:tblCellMar>
        </w:tblPrEx>
        <w:trPr>
          <w:wBefore w:w="0" w:type="auto"/>
          <w:tblCellSpacing w:w="0" w:type="dxa"/>
        </w:trPr>
        <w:tc>
          <w:tcPr>
            <w:tcW w:w="0" w:type="auto"/>
            <w:noWrap w:val="0"/>
            <w:vAlign w:val="center"/>
          </w:tcPr>
          <w:p w14:paraId="7DE6877A">
            <w:r>
              <w:rPr>
                <w:rStyle w:val="10"/>
                <w:rFonts w:hint="eastAsia"/>
              </w:rPr>
              <w:t>毒性及其标识：</w:t>
            </w:r>
            <w:r>
              <w:rPr>
                <w:rFonts w:hint="eastAsia"/>
              </w:rPr>
              <w:t xml:space="preserve"> </w:t>
            </w:r>
            <w:r>
              <w:rPr>
                <w:lang/>
              </w:rPr>
              <w:drawing>
                <wp:inline distT="0" distB="0" distL="114300" distR="114300">
                  <wp:extent cx="476250" cy="323850"/>
                  <wp:effectExtent l="0" t="0" r="0" b="0"/>
                  <wp:docPr id="534" name="图片 53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72B47ED">
        <w:tblPrEx>
          <w:tblCellMar>
            <w:top w:w="0" w:type="dxa"/>
            <w:left w:w="0" w:type="dxa"/>
            <w:bottom w:w="0" w:type="dxa"/>
            <w:right w:w="0" w:type="dxa"/>
          </w:tblCellMar>
        </w:tblPrEx>
        <w:trPr>
          <w:wBefore w:w="0" w:type="auto"/>
          <w:tblCellSpacing w:w="0" w:type="dxa"/>
        </w:trPr>
        <w:tc>
          <w:tcPr>
            <w:tcW w:w="0" w:type="auto"/>
            <w:noWrap w:val="0"/>
            <w:vAlign w:val="center"/>
          </w:tcPr>
          <w:p w14:paraId="46519511">
            <w:r>
              <w:rPr>
                <w:rStyle w:val="10"/>
                <w:rFonts w:hint="eastAsia"/>
              </w:rPr>
              <w:t>总有效成分含量：</w:t>
            </w:r>
            <w:r>
              <w:rPr>
                <w:rFonts w:hint="eastAsia"/>
              </w:rPr>
              <w:t>30%</w:t>
            </w:r>
          </w:p>
        </w:tc>
      </w:tr>
      <w:tr w14:paraId="044A4BC3">
        <w:tblPrEx>
          <w:tblCellMar>
            <w:top w:w="0" w:type="dxa"/>
            <w:left w:w="0" w:type="dxa"/>
            <w:bottom w:w="0" w:type="dxa"/>
            <w:right w:w="0" w:type="dxa"/>
          </w:tblCellMar>
        </w:tblPrEx>
        <w:trPr>
          <w:wBefore w:w="0" w:type="auto"/>
          <w:tblCellSpacing w:w="0" w:type="dxa"/>
        </w:trPr>
        <w:tc>
          <w:tcPr>
            <w:tcW w:w="0" w:type="auto"/>
            <w:noWrap w:val="0"/>
            <w:vAlign w:val="center"/>
          </w:tcPr>
          <w:p w14:paraId="249A703A">
            <w:r>
              <w:rPr>
                <w:rFonts w:hint="eastAsia"/>
              </w:rPr>
              <w:t xml:space="preserve">有效成分及其含量： </w:t>
            </w:r>
          </w:p>
          <w:p w14:paraId="69622D7C">
            <w:r>
              <w:rPr>
                <w:rFonts w:hint="eastAsia"/>
              </w:rPr>
              <w:t xml:space="preserve">    硝磺草酮6%    烟嘧磺隆4%    莠去津20%    </w:t>
            </w:r>
          </w:p>
        </w:tc>
      </w:tr>
      <w:tr w14:paraId="689FFF1E">
        <w:tblPrEx>
          <w:tblCellMar>
            <w:top w:w="0" w:type="dxa"/>
            <w:left w:w="0" w:type="dxa"/>
            <w:bottom w:w="0" w:type="dxa"/>
            <w:right w:w="0" w:type="dxa"/>
          </w:tblCellMar>
        </w:tblPrEx>
        <w:trPr>
          <w:wBefore w:w="0" w:type="auto"/>
          <w:tblCellSpacing w:w="0" w:type="dxa"/>
        </w:trPr>
        <w:tc>
          <w:tcPr>
            <w:tcW w:w="0" w:type="auto"/>
            <w:noWrap w:val="0"/>
            <w:vAlign w:val="center"/>
          </w:tcPr>
          <w:p w14:paraId="30C00F1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C7CC5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4F5F7F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459B23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75D80F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172ECDB">
                  <w:r>
                    <w:rPr>
                      <w:rStyle w:val="11"/>
                      <w:rFonts w:hint="eastAsia"/>
                    </w:rPr>
                    <w:t>施用方式</w:t>
                  </w:r>
                </w:p>
              </w:tc>
            </w:tr>
            <w:tr w14:paraId="0B2E4FF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5DA0C30">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4C24C6">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3983FA">
                  <w:r>
                    <w:rPr>
                      <w:rStyle w:val="11"/>
                      <w:rFonts w:hint="eastAsia"/>
                    </w:rPr>
                    <w:t>90-100毫升/亩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773452">
                  <w:r>
                    <w:rPr>
                      <w:rStyle w:val="11"/>
                      <w:rFonts w:hint="eastAsia"/>
                    </w:rPr>
                    <w:t>茎叶喷雾</w:t>
                  </w:r>
                </w:p>
              </w:tc>
            </w:tr>
          </w:tbl>
          <w:p w14:paraId="4C43D4E8">
            <w:pPr>
              <w:rPr>
                <w:rFonts w:ascii="Times New Roman" w:hAnsi="Times New Roman" w:cs="Times New Roman"/>
                <w:sz w:val="20"/>
                <w:szCs w:val="20"/>
              </w:rPr>
            </w:pPr>
          </w:p>
        </w:tc>
      </w:tr>
      <w:tr w14:paraId="3BD7B466">
        <w:tblPrEx>
          <w:tblCellMar>
            <w:top w:w="0" w:type="dxa"/>
            <w:left w:w="0" w:type="dxa"/>
            <w:bottom w:w="0" w:type="dxa"/>
            <w:right w:w="0" w:type="dxa"/>
          </w:tblCellMar>
        </w:tblPrEx>
        <w:trPr>
          <w:wBefore w:w="0" w:type="auto"/>
          <w:tblCellSpacing w:w="0" w:type="dxa"/>
        </w:trPr>
        <w:tc>
          <w:tcPr>
            <w:tcW w:w="0" w:type="auto"/>
            <w:noWrap w:val="0"/>
            <w:vAlign w:val="center"/>
          </w:tcPr>
          <w:p w14:paraId="04ECF7A6">
            <w:r>
              <w:rPr>
                <w:rStyle w:val="10"/>
                <w:rFonts w:hint="eastAsia"/>
              </w:rPr>
              <w:t>使用技术要求:</w:t>
            </w:r>
            <w:r>
              <w:rPr>
                <w:rFonts w:hint="eastAsia"/>
              </w:rPr>
              <w:br w:type="textWrapping"/>
            </w:r>
            <w:r>
              <w:rPr>
                <w:rStyle w:val="11"/>
                <w:rFonts w:hint="eastAsia"/>
              </w:rPr>
              <w:t>1. 在玉米苗后3-5叶期，杂草2-5叶期，以推荐剂量兑水均匀茎叶喷雾施药一次。2. 每亩兑水30升左右。 3. 施药时间应在上午或傍晚，中午前后气温高时喷药易蒸发影响药效。4. 本品每季只用1次。5. 尽量选择无风的天气施药，避免飘移药害。合理安排后茬作物，保证安全间隔期。</w:t>
            </w:r>
          </w:p>
        </w:tc>
      </w:tr>
      <w:tr w14:paraId="6B78199A">
        <w:tblPrEx>
          <w:tblCellMar>
            <w:top w:w="0" w:type="dxa"/>
            <w:left w:w="0" w:type="dxa"/>
            <w:bottom w:w="0" w:type="dxa"/>
            <w:right w:w="0" w:type="dxa"/>
          </w:tblCellMar>
        </w:tblPrEx>
        <w:trPr>
          <w:wBefore w:w="0" w:type="auto"/>
          <w:tblCellSpacing w:w="0" w:type="dxa"/>
        </w:trPr>
        <w:tc>
          <w:tcPr>
            <w:tcW w:w="0" w:type="auto"/>
            <w:noWrap w:val="0"/>
            <w:vAlign w:val="center"/>
          </w:tcPr>
          <w:p w14:paraId="1A81AE34">
            <w:r>
              <w:rPr>
                <w:rStyle w:val="10"/>
                <w:rFonts w:hint="eastAsia"/>
              </w:rPr>
              <w:t>产品性能:</w:t>
            </w:r>
            <w:r>
              <w:rPr>
                <w:rFonts w:hint="eastAsia"/>
              </w:rPr>
              <w:br w:type="textWrapping"/>
            </w:r>
            <w:r>
              <w:rPr>
                <w:rStyle w:val="11"/>
                <w:rFonts w:hint="eastAsia"/>
              </w:rPr>
              <w:t>本剂为玉米田专用茎叶除草剂，具有杀草谱广、持效期长、杀草速度快等特点，能有效防除玉米田一年生及多年生禾本科和阔叶杂草。如：稗草、狗尾草、马唐、牛筋草、鸭趾草、苘麻、藜、马齿苋、反枝苋、铁苋菜、自生麦苗等多种杂草。</w:t>
            </w:r>
          </w:p>
        </w:tc>
      </w:tr>
      <w:tr w14:paraId="1A736840">
        <w:tblPrEx>
          <w:tblCellMar>
            <w:top w:w="0" w:type="dxa"/>
            <w:left w:w="0" w:type="dxa"/>
            <w:bottom w:w="0" w:type="dxa"/>
            <w:right w:w="0" w:type="dxa"/>
          </w:tblCellMar>
        </w:tblPrEx>
        <w:trPr>
          <w:wBefore w:w="0" w:type="auto"/>
          <w:tblCellSpacing w:w="0" w:type="dxa"/>
        </w:trPr>
        <w:tc>
          <w:tcPr>
            <w:tcW w:w="0" w:type="auto"/>
            <w:noWrap w:val="0"/>
            <w:vAlign w:val="center"/>
          </w:tcPr>
          <w:p w14:paraId="5AC0B190">
            <w:r>
              <w:rPr>
                <w:rStyle w:val="10"/>
                <w:rFonts w:hint="eastAsia"/>
              </w:rPr>
              <w:t>注意事项：</w:t>
            </w:r>
            <w:r>
              <w:rPr>
                <w:rFonts w:hint="eastAsia"/>
              </w:rPr>
              <w:br w:type="textWrapping"/>
            </w:r>
            <w:r>
              <w:rPr>
                <w:rStyle w:val="11"/>
                <w:rFonts w:hint="eastAsia"/>
              </w:rPr>
              <w:t>1. 使用前，请详细阅读本标签并按推荐方法和剂量使用。 2. 本剂不能与有机磷类农药混用；如使用有机磷类农药，间隔期必须在7天以上。 3. 施药后，玉米个别品种或个别叶片出现白化条纹，属于正常药性反应，对玉米生长无不良反应。 4. 本剂如在玉米5叶期以后用药，应压低喷头顺垄喷雾，防止药液喷洒在小喇叭口内。 5. 本剂不能用弥雾机施药，以免产生药害。 6. 不同玉米品种对本品安全性存在差异，其中观赏玉米、爆裂玉米、糯玉米、甜玉米等较敏感，不宜使用。 自交系及制种田不宜使用，个别玉米新品种对烟嘧磺隆敏感，使用时应注意对玉米的安全性。 7. 用药前要充分摇匀，喷药不要漏喷、重喷。药液量过少喷不均匀或过多落入地面都影响药效。 8. 异常的高温高湿天气不宜用药。 9. 因本品含莠去津，对豆类、水稻、瓜类、杨树、桃树敏感，防止药液飘移。 10. 本品对蜜蜂、鱼类等水生生物、家蚕有毒，施药期间应避免对周围蜂群的影响，禁止在开花植物花期、蚕室和桑园附近使用；赤眼蜂等天敌放飞区域禁用。 11. 远离水产养殖区、河塘等水域施药。禁止在河塘等水体中清洗施药器具；地下水饮用水源禁用。 12. 本品对眼睛有刺激性，使用时避免接触眼睛，穿戴长衣、长裤、帽子、口罩、手套等防护措施，避免吸入药液；施药期间不可吃东西和饮水；施药后应及时洗手和洗脸；孕妇及哺乳期妇女应避免接触；本品用过的容器应妥善处理，不可做他用，也不可随意丢弃。</w:t>
            </w:r>
          </w:p>
        </w:tc>
      </w:tr>
      <w:tr w14:paraId="3ED5D7E6">
        <w:tblPrEx>
          <w:tblCellMar>
            <w:top w:w="0" w:type="dxa"/>
            <w:left w:w="0" w:type="dxa"/>
            <w:bottom w:w="0" w:type="dxa"/>
            <w:right w:w="0" w:type="dxa"/>
          </w:tblCellMar>
        </w:tblPrEx>
        <w:trPr>
          <w:wBefore w:w="0" w:type="auto"/>
          <w:tblCellSpacing w:w="0" w:type="dxa"/>
        </w:trPr>
        <w:tc>
          <w:tcPr>
            <w:tcW w:w="0" w:type="auto"/>
            <w:noWrap w:val="0"/>
            <w:vAlign w:val="center"/>
          </w:tcPr>
          <w:p w14:paraId="0DEB9DCA">
            <w:r>
              <w:rPr>
                <w:rStyle w:val="10"/>
                <w:rFonts w:hint="eastAsia"/>
              </w:rPr>
              <w:t>中毒急救措施：</w:t>
            </w:r>
            <w:r>
              <w:rPr>
                <w:rFonts w:hint="eastAsia"/>
              </w:rPr>
              <w:br w:type="textWrapping"/>
            </w:r>
            <w:r>
              <w:rPr>
                <w:rStyle w:val="11"/>
                <w:rFonts w:hint="eastAsia"/>
              </w:rPr>
              <w:t>1. 中毒症状：对眼、皮肤及呼吸道有刺激作用，一般不会产生全身中毒。 2. 皮肤接触：立即脱掉被污染的衣物，用肥皂和大量清水彻底清洗受污染的皮肤。 3. 眼睛溅药：立即将眼睑翻开，用清水冲洗至少10-15分钟，再请医生诊治。 4. 不慎吸入：立即将吸入者转移到空气新鲜处，请医生诊治。 5. 如误服，应立即携带此标签去医院诊治。无解毒剂，对症治疗。</w:t>
            </w:r>
          </w:p>
        </w:tc>
      </w:tr>
      <w:tr w14:paraId="07C3DE7B">
        <w:tblPrEx>
          <w:tblCellMar>
            <w:top w:w="0" w:type="dxa"/>
            <w:left w:w="0" w:type="dxa"/>
            <w:bottom w:w="0" w:type="dxa"/>
            <w:right w:w="0" w:type="dxa"/>
          </w:tblCellMar>
        </w:tblPrEx>
        <w:trPr>
          <w:wBefore w:w="0" w:type="auto"/>
          <w:tblCellSpacing w:w="0" w:type="dxa"/>
        </w:trPr>
        <w:tc>
          <w:tcPr>
            <w:tcW w:w="0" w:type="auto"/>
            <w:noWrap w:val="0"/>
            <w:vAlign w:val="center"/>
          </w:tcPr>
          <w:p w14:paraId="300771C6">
            <w:r>
              <w:rPr>
                <w:rStyle w:val="10"/>
                <w:rFonts w:hint="eastAsia"/>
              </w:rPr>
              <w:t>储存和运输方法：</w:t>
            </w:r>
            <w:r>
              <w:rPr>
                <w:rFonts w:hint="eastAsia"/>
              </w:rPr>
              <w:br w:type="textWrapping"/>
            </w:r>
            <w:r>
              <w:rPr>
                <w:rStyle w:val="11"/>
                <w:rFonts w:hint="eastAsia"/>
              </w:rPr>
              <w:t>1. 本品应贮存在干燥、阴凉、通风、防雨处，远离火源或热源。2. 置于儿童及无关人员触及不到之处，并加锁。3. 勿与食品、饮料、粮食、饲料等物品同贮同运。</w:t>
            </w:r>
          </w:p>
        </w:tc>
      </w:tr>
      <w:tr w14:paraId="3A9291DB">
        <w:tblPrEx>
          <w:tblCellMar>
            <w:top w:w="0" w:type="dxa"/>
            <w:left w:w="0" w:type="dxa"/>
            <w:bottom w:w="0" w:type="dxa"/>
            <w:right w:w="0" w:type="dxa"/>
          </w:tblCellMar>
        </w:tblPrEx>
        <w:trPr>
          <w:wBefore w:w="0" w:type="auto"/>
          <w:tblCellSpacing w:w="0" w:type="dxa"/>
        </w:trPr>
        <w:tc>
          <w:tcPr>
            <w:tcW w:w="0" w:type="auto"/>
            <w:noWrap w:val="0"/>
            <w:vAlign w:val="center"/>
          </w:tcPr>
          <w:p w14:paraId="0C9E8F31">
            <w:r>
              <w:rPr>
                <w:rStyle w:val="10"/>
                <w:rFonts w:hint="eastAsia"/>
              </w:rPr>
              <w:t>质量保证期：</w:t>
            </w:r>
            <w:r>
              <w:rPr>
                <w:rStyle w:val="11"/>
                <w:rFonts w:hint="eastAsia"/>
              </w:rPr>
              <w:t>2年</w:t>
            </w:r>
          </w:p>
        </w:tc>
      </w:tr>
      <w:tr w14:paraId="19AF8E4A">
        <w:tblPrEx>
          <w:tblCellMar>
            <w:top w:w="0" w:type="dxa"/>
            <w:left w:w="0" w:type="dxa"/>
            <w:bottom w:w="0" w:type="dxa"/>
            <w:right w:w="0" w:type="dxa"/>
          </w:tblCellMar>
        </w:tblPrEx>
        <w:trPr>
          <w:wBefore w:w="0" w:type="auto"/>
          <w:tblCellSpacing w:w="0" w:type="dxa"/>
        </w:trPr>
        <w:tc>
          <w:tcPr>
            <w:tcW w:w="0" w:type="auto"/>
            <w:noWrap w:val="0"/>
            <w:vAlign w:val="center"/>
          </w:tcPr>
          <w:p w14:paraId="75A33DC2">
            <w:r>
              <w:rPr>
                <w:rStyle w:val="10"/>
                <w:rFonts w:hint="eastAsia"/>
              </w:rPr>
              <w:t>备注：</w:t>
            </w:r>
          </w:p>
        </w:tc>
      </w:tr>
    </w:tbl>
    <w:p w14:paraId="173589A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92975A1">
        <w:tblPrEx>
          <w:tblCellMar>
            <w:top w:w="0" w:type="dxa"/>
            <w:left w:w="0" w:type="dxa"/>
            <w:bottom w:w="0" w:type="dxa"/>
            <w:right w:w="0" w:type="dxa"/>
          </w:tblCellMar>
        </w:tblPrEx>
        <w:trPr>
          <w:wBefore w:w="0" w:type="auto"/>
          <w:tblCellSpacing w:w="0" w:type="dxa"/>
        </w:trPr>
        <w:tc>
          <w:tcPr>
            <w:tcW w:w="0" w:type="auto"/>
            <w:noWrap w:val="0"/>
            <w:vAlign w:val="center"/>
          </w:tcPr>
          <w:p w14:paraId="4B2A016A">
            <w:r>
              <w:rPr>
                <w:rStyle w:val="10"/>
                <w:rFonts w:hint="eastAsia"/>
              </w:rPr>
              <w:t>登记证号：</w:t>
            </w:r>
            <w:r>
              <w:rPr>
                <w:rFonts w:hint="eastAsia"/>
              </w:rPr>
              <w:t>PD20211788</w:t>
            </w:r>
          </w:p>
        </w:tc>
      </w:tr>
      <w:tr w14:paraId="54A8075A">
        <w:tblPrEx>
          <w:tblCellMar>
            <w:top w:w="0" w:type="dxa"/>
            <w:left w:w="0" w:type="dxa"/>
            <w:bottom w:w="0" w:type="dxa"/>
            <w:right w:w="0" w:type="dxa"/>
          </w:tblCellMar>
        </w:tblPrEx>
        <w:trPr>
          <w:wBefore w:w="0" w:type="auto"/>
          <w:tblCellSpacing w:w="0" w:type="dxa"/>
        </w:trPr>
        <w:tc>
          <w:tcPr>
            <w:tcW w:w="0" w:type="auto"/>
            <w:noWrap w:val="0"/>
            <w:vAlign w:val="center"/>
          </w:tcPr>
          <w:p w14:paraId="39B1E3EC">
            <w:r>
              <w:rPr>
                <w:rStyle w:val="10"/>
                <w:rFonts w:hint="eastAsia"/>
              </w:rPr>
              <w:t>登记证持有人：</w:t>
            </w:r>
            <w:r>
              <w:rPr>
                <w:rFonts w:hint="eastAsia"/>
              </w:rPr>
              <w:t>山东曹达化工有限公司</w:t>
            </w:r>
          </w:p>
        </w:tc>
      </w:tr>
      <w:tr w14:paraId="58E51BEF">
        <w:tblPrEx>
          <w:tblCellMar>
            <w:top w:w="0" w:type="dxa"/>
            <w:left w:w="0" w:type="dxa"/>
            <w:bottom w:w="0" w:type="dxa"/>
            <w:right w:w="0" w:type="dxa"/>
          </w:tblCellMar>
        </w:tblPrEx>
        <w:trPr>
          <w:wBefore w:w="0" w:type="auto"/>
          <w:tblCellSpacing w:w="0" w:type="dxa"/>
        </w:trPr>
        <w:tc>
          <w:tcPr>
            <w:tcW w:w="0" w:type="auto"/>
            <w:noWrap w:val="0"/>
            <w:vAlign w:val="center"/>
          </w:tcPr>
          <w:p w14:paraId="24B5363E">
            <w:r>
              <w:rPr>
                <w:rStyle w:val="10"/>
                <w:rFonts w:hint="eastAsia"/>
              </w:rPr>
              <w:t>农药名称：</w:t>
            </w:r>
            <w:r>
              <w:rPr>
                <w:rFonts w:hint="eastAsia"/>
              </w:rPr>
              <w:t>丁醚·茚虫威</w:t>
            </w:r>
          </w:p>
        </w:tc>
      </w:tr>
      <w:tr w14:paraId="0EAD4D18">
        <w:tblPrEx>
          <w:tblCellMar>
            <w:top w:w="0" w:type="dxa"/>
            <w:left w:w="0" w:type="dxa"/>
            <w:bottom w:w="0" w:type="dxa"/>
            <w:right w:w="0" w:type="dxa"/>
          </w:tblCellMar>
        </w:tblPrEx>
        <w:trPr>
          <w:wBefore w:w="0" w:type="auto"/>
          <w:tblCellSpacing w:w="0" w:type="dxa"/>
        </w:trPr>
        <w:tc>
          <w:tcPr>
            <w:tcW w:w="0" w:type="auto"/>
            <w:noWrap w:val="0"/>
            <w:vAlign w:val="center"/>
          </w:tcPr>
          <w:p w14:paraId="5B117BE3">
            <w:r>
              <w:rPr>
                <w:rStyle w:val="10"/>
                <w:rFonts w:hint="eastAsia"/>
              </w:rPr>
              <w:t>剂型：</w:t>
            </w:r>
            <w:r>
              <w:rPr>
                <w:rFonts w:hint="eastAsia"/>
              </w:rPr>
              <w:t>悬浮剂</w:t>
            </w:r>
          </w:p>
        </w:tc>
      </w:tr>
      <w:tr w14:paraId="0C764E62">
        <w:tblPrEx>
          <w:tblCellMar>
            <w:top w:w="0" w:type="dxa"/>
            <w:left w:w="0" w:type="dxa"/>
            <w:bottom w:w="0" w:type="dxa"/>
            <w:right w:w="0" w:type="dxa"/>
          </w:tblCellMar>
        </w:tblPrEx>
        <w:trPr>
          <w:wBefore w:w="0" w:type="auto"/>
          <w:tblCellSpacing w:w="0" w:type="dxa"/>
        </w:trPr>
        <w:tc>
          <w:tcPr>
            <w:tcW w:w="0" w:type="auto"/>
            <w:noWrap w:val="0"/>
            <w:vAlign w:val="center"/>
          </w:tcPr>
          <w:p w14:paraId="23E1AFC6">
            <w:r>
              <w:rPr>
                <w:rStyle w:val="10"/>
                <w:rFonts w:hint="eastAsia"/>
              </w:rPr>
              <w:t>毒性及其标识：</w:t>
            </w:r>
            <w:r>
              <w:rPr>
                <w:rFonts w:hint="eastAsia"/>
              </w:rPr>
              <w:t xml:space="preserve"> </w:t>
            </w:r>
            <w:r>
              <w:rPr>
                <w:lang/>
              </w:rPr>
              <w:drawing>
                <wp:inline distT="0" distB="0" distL="114300" distR="114300">
                  <wp:extent cx="476250" cy="323850"/>
                  <wp:effectExtent l="0" t="0" r="0" b="0"/>
                  <wp:docPr id="535" name="图片 53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23E587C">
        <w:tblPrEx>
          <w:tblCellMar>
            <w:top w:w="0" w:type="dxa"/>
            <w:left w:w="0" w:type="dxa"/>
            <w:bottom w:w="0" w:type="dxa"/>
            <w:right w:w="0" w:type="dxa"/>
          </w:tblCellMar>
        </w:tblPrEx>
        <w:trPr>
          <w:wBefore w:w="0" w:type="auto"/>
          <w:tblCellSpacing w:w="0" w:type="dxa"/>
        </w:trPr>
        <w:tc>
          <w:tcPr>
            <w:tcW w:w="0" w:type="auto"/>
            <w:noWrap w:val="0"/>
            <w:vAlign w:val="center"/>
          </w:tcPr>
          <w:p w14:paraId="3C880363">
            <w:r>
              <w:rPr>
                <w:rStyle w:val="10"/>
                <w:rFonts w:hint="eastAsia"/>
              </w:rPr>
              <w:t>总有效成分含量：</w:t>
            </w:r>
            <w:r>
              <w:rPr>
                <w:rFonts w:hint="eastAsia"/>
              </w:rPr>
              <w:t>42%</w:t>
            </w:r>
          </w:p>
        </w:tc>
      </w:tr>
      <w:tr w14:paraId="21E32490">
        <w:tblPrEx>
          <w:tblCellMar>
            <w:top w:w="0" w:type="dxa"/>
            <w:left w:w="0" w:type="dxa"/>
            <w:bottom w:w="0" w:type="dxa"/>
            <w:right w:w="0" w:type="dxa"/>
          </w:tblCellMar>
        </w:tblPrEx>
        <w:trPr>
          <w:wBefore w:w="0" w:type="auto"/>
          <w:tblCellSpacing w:w="0" w:type="dxa"/>
        </w:trPr>
        <w:tc>
          <w:tcPr>
            <w:tcW w:w="0" w:type="auto"/>
            <w:noWrap w:val="0"/>
            <w:vAlign w:val="center"/>
          </w:tcPr>
          <w:p w14:paraId="6C33E8FB">
            <w:r>
              <w:rPr>
                <w:rFonts w:hint="eastAsia"/>
              </w:rPr>
              <w:t xml:space="preserve">有效成分及其含量： </w:t>
            </w:r>
          </w:p>
          <w:p w14:paraId="12E1C903">
            <w:r>
              <w:rPr>
                <w:rFonts w:hint="eastAsia"/>
              </w:rPr>
              <w:t xml:space="preserve">    茚虫威35%    丁醚脲7%    </w:t>
            </w:r>
          </w:p>
        </w:tc>
      </w:tr>
      <w:tr w14:paraId="55A2D729">
        <w:tblPrEx>
          <w:tblCellMar>
            <w:top w:w="0" w:type="dxa"/>
            <w:left w:w="0" w:type="dxa"/>
            <w:bottom w:w="0" w:type="dxa"/>
            <w:right w:w="0" w:type="dxa"/>
          </w:tblCellMar>
        </w:tblPrEx>
        <w:trPr>
          <w:wBefore w:w="0" w:type="auto"/>
          <w:tblCellSpacing w:w="0" w:type="dxa"/>
        </w:trPr>
        <w:tc>
          <w:tcPr>
            <w:tcW w:w="0" w:type="auto"/>
            <w:noWrap w:val="0"/>
            <w:vAlign w:val="center"/>
          </w:tcPr>
          <w:p w14:paraId="7AB1453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AB442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56180E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E9B67A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F6CB7D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D698117">
                  <w:r>
                    <w:rPr>
                      <w:rStyle w:val="11"/>
                      <w:rFonts w:hint="eastAsia"/>
                    </w:rPr>
                    <w:t>施用方式</w:t>
                  </w:r>
                </w:p>
              </w:tc>
            </w:tr>
            <w:tr w14:paraId="791F98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5F1B4F">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DC9951">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FBD791">
                  <w:r>
                    <w:rPr>
                      <w:rStyle w:val="11"/>
                      <w:rFonts w:hint="eastAsia"/>
                    </w:rPr>
                    <w:t>20-30毫升/亩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4CE07C">
                  <w:r>
                    <w:rPr>
                      <w:rStyle w:val="11"/>
                      <w:rFonts w:hint="eastAsia"/>
                    </w:rPr>
                    <w:t>喷雾</w:t>
                  </w:r>
                </w:p>
              </w:tc>
            </w:tr>
          </w:tbl>
          <w:p w14:paraId="4511DA89">
            <w:pPr>
              <w:rPr>
                <w:rFonts w:ascii="Times New Roman" w:hAnsi="Times New Roman" w:cs="Times New Roman"/>
                <w:sz w:val="20"/>
                <w:szCs w:val="20"/>
              </w:rPr>
            </w:pPr>
          </w:p>
        </w:tc>
      </w:tr>
      <w:tr w14:paraId="2CB87765">
        <w:tblPrEx>
          <w:tblCellMar>
            <w:top w:w="0" w:type="dxa"/>
            <w:left w:w="0" w:type="dxa"/>
            <w:bottom w:w="0" w:type="dxa"/>
            <w:right w:w="0" w:type="dxa"/>
          </w:tblCellMar>
        </w:tblPrEx>
        <w:trPr>
          <w:wBefore w:w="0" w:type="auto"/>
          <w:tblCellSpacing w:w="0" w:type="dxa"/>
        </w:trPr>
        <w:tc>
          <w:tcPr>
            <w:tcW w:w="0" w:type="auto"/>
            <w:noWrap w:val="0"/>
            <w:vAlign w:val="center"/>
          </w:tcPr>
          <w:p w14:paraId="75C67CCC">
            <w:r>
              <w:rPr>
                <w:rStyle w:val="10"/>
                <w:rFonts w:hint="eastAsia"/>
              </w:rPr>
              <w:t>使用技术要求:</w:t>
            </w:r>
            <w:r>
              <w:rPr>
                <w:rFonts w:hint="eastAsia"/>
              </w:rPr>
              <w:br w:type="textWrapping"/>
            </w:r>
            <w:r>
              <w:rPr>
                <w:rStyle w:val="11"/>
                <w:rFonts w:hint="eastAsia"/>
              </w:rPr>
              <w:t>1、在茶树茶小绿叶蝉低龄若虫发生盛期喷雾施药；注意喷雾均匀周到。2、每季作物最多使用1次，安全间隔期10天。3.大风天或预计1小时内降雨，请勿施药。傍晚施药更有利于药效充分发挥。</w:t>
            </w:r>
          </w:p>
        </w:tc>
      </w:tr>
      <w:tr w14:paraId="456911CF">
        <w:tblPrEx>
          <w:tblCellMar>
            <w:top w:w="0" w:type="dxa"/>
            <w:left w:w="0" w:type="dxa"/>
            <w:bottom w:w="0" w:type="dxa"/>
            <w:right w:w="0" w:type="dxa"/>
          </w:tblCellMar>
        </w:tblPrEx>
        <w:trPr>
          <w:wBefore w:w="0" w:type="auto"/>
          <w:tblCellSpacing w:w="0" w:type="dxa"/>
        </w:trPr>
        <w:tc>
          <w:tcPr>
            <w:tcW w:w="0" w:type="auto"/>
            <w:noWrap w:val="0"/>
            <w:vAlign w:val="center"/>
          </w:tcPr>
          <w:p w14:paraId="1BBB1903">
            <w:r>
              <w:rPr>
                <w:rStyle w:val="10"/>
                <w:rFonts w:hint="eastAsia"/>
              </w:rPr>
              <w:t>产品性能:</w:t>
            </w:r>
            <w:r>
              <w:rPr>
                <w:rFonts w:hint="eastAsia"/>
              </w:rPr>
              <w:br w:type="textWrapping"/>
            </w:r>
            <w:r>
              <w:rPr>
                <w:rStyle w:val="11"/>
                <w:rFonts w:hint="eastAsia"/>
              </w:rPr>
              <w:t>丁醚脲为硫脲类杀虫剂，具有触杀、胃毒作用，且具有一定的杀卵效果。茚虫威为钠通道抑制剂，主要是阻断害虫神经细胞中的钠离子通道，使神经细胞丧失功能，具有触杀和胃毒作用。二者混配可用于防治茶树茶小绿叶蝉。</w:t>
            </w:r>
          </w:p>
        </w:tc>
      </w:tr>
      <w:tr w14:paraId="30665281">
        <w:tblPrEx>
          <w:tblCellMar>
            <w:top w:w="0" w:type="dxa"/>
            <w:left w:w="0" w:type="dxa"/>
            <w:bottom w:w="0" w:type="dxa"/>
            <w:right w:w="0" w:type="dxa"/>
          </w:tblCellMar>
        </w:tblPrEx>
        <w:trPr>
          <w:wBefore w:w="0" w:type="auto"/>
          <w:tblCellSpacing w:w="0" w:type="dxa"/>
        </w:trPr>
        <w:tc>
          <w:tcPr>
            <w:tcW w:w="0" w:type="auto"/>
            <w:noWrap w:val="0"/>
            <w:vAlign w:val="center"/>
          </w:tcPr>
          <w:p w14:paraId="6443952D">
            <w:r>
              <w:rPr>
                <w:rStyle w:val="10"/>
                <w:rFonts w:hint="eastAsia"/>
              </w:rPr>
              <w:t>注意事项：</w:t>
            </w:r>
            <w:r>
              <w:rPr>
                <w:rFonts w:hint="eastAsia"/>
              </w:rPr>
              <w:br w:type="textWrapping"/>
            </w:r>
            <w:r>
              <w:rPr>
                <w:rStyle w:val="11"/>
                <w:rFonts w:hint="eastAsia"/>
              </w:rPr>
              <w:t>1）使用本品应采取相应的安全防护措施，配药和施药时，穿防护服、穿胶鞋，戴口罩及手套，以避免污染皮肤和眼睛，施药完毕后及时换洗衣物，洗净手、脸和被污染的皮肤。2）施药前、后要彻底清洗喷药器械，洗涤后的废水不应污染河流等水源，未用完的药液应密封后妥善放置。3）用药后包装物及用过的容器应妥善处理，不可做他用，也不可随意丢弃。4）使用时不得污染各类水域、土壤等环境。5）本品对蜜蜂、家蚕、天敌有影响。应远离水产养殖区、河塘等水体施药，禁止在河塘等水域中清洗施药器具。周围植物开花期附近禁用、蚕室及桑园附近禁用，或采用最外围桑树作为隔离带，以降低对家蚕的风险。天敌放飞区域禁用。6）孕妇及哺乳期妇女禁止接触。7）为避免产生抗药性，建议与其它作用机理不同的杀虫剂轮换或交替使用。</w:t>
            </w:r>
          </w:p>
        </w:tc>
      </w:tr>
      <w:tr w14:paraId="4F377644">
        <w:tblPrEx>
          <w:tblCellMar>
            <w:top w:w="0" w:type="dxa"/>
            <w:left w:w="0" w:type="dxa"/>
            <w:bottom w:w="0" w:type="dxa"/>
            <w:right w:w="0" w:type="dxa"/>
          </w:tblCellMar>
        </w:tblPrEx>
        <w:trPr>
          <w:wBefore w:w="0" w:type="auto"/>
          <w:tblCellSpacing w:w="0" w:type="dxa"/>
        </w:trPr>
        <w:tc>
          <w:tcPr>
            <w:tcW w:w="0" w:type="auto"/>
            <w:noWrap w:val="0"/>
            <w:vAlign w:val="center"/>
          </w:tcPr>
          <w:p w14:paraId="7F93B3E0">
            <w:r>
              <w:rPr>
                <w:rStyle w:val="10"/>
                <w:rFonts w:hint="eastAsia"/>
              </w:rPr>
              <w:t>中毒急救措施：</w:t>
            </w:r>
            <w:r>
              <w:rPr>
                <w:rFonts w:hint="eastAsia"/>
              </w:rPr>
              <w:br w:type="textWrapping"/>
            </w:r>
            <w:r>
              <w:rPr>
                <w:rStyle w:val="11"/>
                <w:rFonts w:hint="eastAsia"/>
              </w:rPr>
              <w:t>用药时如果感觉不适，立即停止工作，采取急救措施，并携此标签送医就诊。如接触皮肤，用肥皂和大量清水彻底清洗受污的皮肤；如溅及眼睛，用大量流动清水冲洗眼睛至少15分钟；严重者送医就诊；如不慎吸入，应将病人移至空气流通处，请医生诊治；如误服，不得催吐，立即携带标签，送医就诊，无专用解毒剂，对症治疗。</w:t>
            </w:r>
          </w:p>
        </w:tc>
      </w:tr>
      <w:tr w14:paraId="33DC73C2">
        <w:tblPrEx>
          <w:tblCellMar>
            <w:top w:w="0" w:type="dxa"/>
            <w:left w:w="0" w:type="dxa"/>
            <w:bottom w:w="0" w:type="dxa"/>
            <w:right w:w="0" w:type="dxa"/>
          </w:tblCellMar>
        </w:tblPrEx>
        <w:trPr>
          <w:wBefore w:w="0" w:type="auto"/>
          <w:tblCellSpacing w:w="0" w:type="dxa"/>
        </w:trPr>
        <w:tc>
          <w:tcPr>
            <w:tcW w:w="0" w:type="auto"/>
            <w:noWrap w:val="0"/>
            <w:vAlign w:val="center"/>
          </w:tcPr>
          <w:p w14:paraId="5356D87B">
            <w:r>
              <w:rPr>
                <w:rStyle w:val="10"/>
                <w:rFonts w:hint="eastAsia"/>
              </w:rPr>
              <w:t>储存和运输方法：</w:t>
            </w:r>
            <w:r>
              <w:rPr>
                <w:rFonts w:hint="eastAsia"/>
              </w:rPr>
              <w:br w:type="textWrapping"/>
            </w:r>
            <w:r>
              <w:rPr>
                <w:rStyle w:val="11"/>
                <w:rFonts w:hint="eastAsia"/>
              </w:rPr>
              <w:t>本品应贮存在阴凉、干燥、通风、防雨处，远离火源和热源。置于儿童触及不到之处，并加锁保存。勿与食品、饮料、粮食、饲料等物品同贮同运。</w:t>
            </w:r>
          </w:p>
        </w:tc>
      </w:tr>
      <w:tr w14:paraId="67E0446E">
        <w:tblPrEx>
          <w:tblCellMar>
            <w:top w:w="0" w:type="dxa"/>
            <w:left w:w="0" w:type="dxa"/>
            <w:bottom w:w="0" w:type="dxa"/>
            <w:right w:w="0" w:type="dxa"/>
          </w:tblCellMar>
        </w:tblPrEx>
        <w:trPr>
          <w:wBefore w:w="0" w:type="auto"/>
          <w:tblCellSpacing w:w="0" w:type="dxa"/>
        </w:trPr>
        <w:tc>
          <w:tcPr>
            <w:tcW w:w="0" w:type="auto"/>
            <w:noWrap w:val="0"/>
            <w:vAlign w:val="center"/>
          </w:tcPr>
          <w:p w14:paraId="2670421E">
            <w:r>
              <w:rPr>
                <w:rStyle w:val="10"/>
                <w:rFonts w:hint="eastAsia"/>
              </w:rPr>
              <w:t>质量保证期：</w:t>
            </w:r>
            <w:r>
              <w:rPr>
                <w:rStyle w:val="11"/>
                <w:rFonts w:hint="eastAsia"/>
              </w:rPr>
              <w:t>2年</w:t>
            </w:r>
          </w:p>
        </w:tc>
      </w:tr>
      <w:tr w14:paraId="2D518678">
        <w:tblPrEx>
          <w:tblCellMar>
            <w:top w:w="0" w:type="dxa"/>
            <w:left w:w="0" w:type="dxa"/>
            <w:bottom w:w="0" w:type="dxa"/>
            <w:right w:w="0" w:type="dxa"/>
          </w:tblCellMar>
        </w:tblPrEx>
        <w:trPr>
          <w:wBefore w:w="0" w:type="auto"/>
          <w:tblCellSpacing w:w="0" w:type="dxa"/>
        </w:trPr>
        <w:tc>
          <w:tcPr>
            <w:tcW w:w="0" w:type="auto"/>
            <w:noWrap w:val="0"/>
            <w:vAlign w:val="center"/>
          </w:tcPr>
          <w:p w14:paraId="47842926">
            <w:r>
              <w:rPr>
                <w:rStyle w:val="10"/>
                <w:rFonts w:hint="eastAsia"/>
              </w:rPr>
              <w:t>备注：</w:t>
            </w:r>
          </w:p>
        </w:tc>
      </w:tr>
    </w:tbl>
    <w:p w14:paraId="1577D07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D4BCCFC">
        <w:tblPrEx>
          <w:tblCellMar>
            <w:top w:w="0" w:type="dxa"/>
            <w:left w:w="0" w:type="dxa"/>
            <w:bottom w:w="0" w:type="dxa"/>
            <w:right w:w="0" w:type="dxa"/>
          </w:tblCellMar>
        </w:tblPrEx>
        <w:trPr>
          <w:wBefore w:w="0" w:type="auto"/>
          <w:tblCellSpacing w:w="0" w:type="dxa"/>
        </w:trPr>
        <w:tc>
          <w:tcPr>
            <w:tcW w:w="0" w:type="auto"/>
            <w:noWrap w:val="0"/>
            <w:vAlign w:val="center"/>
          </w:tcPr>
          <w:p w14:paraId="02550CCC">
            <w:r>
              <w:rPr>
                <w:rStyle w:val="10"/>
                <w:rFonts w:hint="eastAsia"/>
              </w:rPr>
              <w:t>登记证号：</w:t>
            </w:r>
            <w:r>
              <w:rPr>
                <w:rFonts w:hint="eastAsia"/>
              </w:rPr>
              <w:t>WP20210198</w:t>
            </w:r>
          </w:p>
        </w:tc>
      </w:tr>
      <w:tr w14:paraId="55B7A03C">
        <w:tblPrEx>
          <w:tblCellMar>
            <w:top w:w="0" w:type="dxa"/>
            <w:left w:w="0" w:type="dxa"/>
            <w:bottom w:w="0" w:type="dxa"/>
            <w:right w:w="0" w:type="dxa"/>
          </w:tblCellMar>
        </w:tblPrEx>
        <w:trPr>
          <w:wBefore w:w="0" w:type="auto"/>
          <w:tblCellSpacing w:w="0" w:type="dxa"/>
        </w:trPr>
        <w:tc>
          <w:tcPr>
            <w:tcW w:w="0" w:type="auto"/>
            <w:noWrap w:val="0"/>
            <w:vAlign w:val="center"/>
          </w:tcPr>
          <w:p w14:paraId="2659A523">
            <w:r>
              <w:rPr>
                <w:rStyle w:val="10"/>
                <w:rFonts w:hint="eastAsia"/>
              </w:rPr>
              <w:t>登记证持有人：</w:t>
            </w:r>
            <w:r>
              <w:rPr>
                <w:rFonts w:hint="eastAsia"/>
              </w:rPr>
              <w:t>安徽正峰日化有限公司</w:t>
            </w:r>
          </w:p>
        </w:tc>
      </w:tr>
      <w:tr w14:paraId="1837D2DD">
        <w:tblPrEx>
          <w:tblCellMar>
            <w:top w:w="0" w:type="dxa"/>
            <w:left w:w="0" w:type="dxa"/>
            <w:bottom w:w="0" w:type="dxa"/>
            <w:right w:w="0" w:type="dxa"/>
          </w:tblCellMar>
        </w:tblPrEx>
        <w:trPr>
          <w:wBefore w:w="0" w:type="auto"/>
          <w:tblCellSpacing w:w="0" w:type="dxa"/>
        </w:trPr>
        <w:tc>
          <w:tcPr>
            <w:tcW w:w="0" w:type="auto"/>
            <w:noWrap w:val="0"/>
            <w:vAlign w:val="center"/>
          </w:tcPr>
          <w:p w14:paraId="193DCB9D">
            <w:r>
              <w:rPr>
                <w:rStyle w:val="10"/>
                <w:rFonts w:hint="eastAsia"/>
              </w:rPr>
              <w:t>农药名称：</w:t>
            </w:r>
            <w:r>
              <w:rPr>
                <w:rFonts w:hint="eastAsia"/>
              </w:rPr>
              <w:t>蚊香</w:t>
            </w:r>
          </w:p>
        </w:tc>
      </w:tr>
      <w:tr w14:paraId="60AA88F0">
        <w:tblPrEx>
          <w:tblCellMar>
            <w:top w:w="0" w:type="dxa"/>
            <w:left w:w="0" w:type="dxa"/>
            <w:bottom w:w="0" w:type="dxa"/>
            <w:right w:w="0" w:type="dxa"/>
          </w:tblCellMar>
        </w:tblPrEx>
        <w:trPr>
          <w:wBefore w:w="0" w:type="auto"/>
          <w:tblCellSpacing w:w="0" w:type="dxa"/>
        </w:trPr>
        <w:tc>
          <w:tcPr>
            <w:tcW w:w="0" w:type="auto"/>
            <w:noWrap w:val="0"/>
            <w:vAlign w:val="center"/>
          </w:tcPr>
          <w:p w14:paraId="5D7D7C43">
            <w:r>
              <w:rPr>
                <w:rStyle w:val="10"/>
                <w:rFonts w:hint="eastAsia"/>
              </w:rPr>
              <w:t>剂型：</w:t>
            </w:r>
            <w:r>
              <w:rPr>
                <w:rFonts w:hint="eastAsia"/>
              </w:rPr>
              <w:t>蚊香</w:t>
            </w:r>
          </w:p>
        </w:tc>
      </w:tr>
      <w:tr w14:paraId="2AD478CD">
        <w:tblPrEx>
          <w:tblCellMar>
            <w:top w:w="0" w:type="dxa"/>
            <w:left w:w="0" w:type="dxa"/>
            <w:bottom w:w="0" w:type="dxa"/>
            <w:right w:w="0" w:type="dxa"/>
          </w:tblCellMar>
        </w:tblPrEx>
        <w:trPr>
          <w:wBefore w:w="0" w:type="auto"/>
          <w:tblCellSpacing w:w="0" w:type="dxa"/>
        </w:trPr>
        <w:tc>
          <w:tcPr>
            <w:tcW w:w="0" w:type="auto"/>
            <w:noWrap w:val="0"/>
            <w:vAlign w:val="center"/>
          </w:tcPr>
          <w:p w14:paraId="108F75EC">
            <w:r>
              <w:rPr>
                <w:rStyle w:val="10"/>
                <w:rFonts w:hint="eastAsia"/>
              </w:rPr>
              <w:t>毒性及其标识：</w:t>
            </w:r>
            <w:r>
              <w:rPr>
                <w:rFonts w:hint="eastAsia"/>
              </w:rPr>
              <w:t xml:space="preserve"> 微毒 </w:t>
            </w:r>
          </w:p>
        </w:tc>
      </w:tr>
      <w:tr w14:paraId="4B5B7281">
        <w:tblPrEx>
          <w:tblCellMar>
            <w:top w:w="0" w:type="dxa"/>
            <w:left w:w="0" w:type="dxa"/>
            <w:bottom w:w="0" w:type="dxa"/>
            <w:right w:w="0" w:type="dxa"/>
          </w:tblCellMar>
        </w:tblPrEx>
        <w:trPr>
          <w:wBefore w:w="0" w:type="auto"/>
          <w:tblCellSpacing w:w="0" w:type="dxa"/>
        </w:trPr>
        <w:tc>
          <w:tcPr>
            <w:tcW w:w="0" w:type="auto"/>
            <w:noWrap w:val="0"/>
            <w:vAlign w:val="center"/>
          </w:tcPr>
          <w:p w14:paraId="4D6A2111">
            <w:r>
              <w:rPr>
                <w:rStyle w:val="10"/>
                <w:rFonts w:hint="eastAsia"/>
              </w:rPr>
              <w:t>总有效成分含量：</w:t>
            </w:r>
            <w:r>
              <w:rPr>
                <w:rFonts w:hint="eastAsia"/>
              </w:rPr>
              <w:t>0.08%</w:t>
            </w:r>
          </w:p>
        </w:tc>
      </w:tr>
      <w:tr w14:paraId="5856E20E">
        <w:tblPrEx>
          <w:tblCellMar>
            <w:top w:w="0" w:type="dxa"/>
            <w:left w:w="0" w:type="dxa"/>
            <w:bottom w:w="0" w:type="dxa"/>
            <w:right w:w="0" w:type="dxa"/>
          </w:tblCellMar>
        </w:tblPrEx>
        <w:trPr>
          <w:wBefore w:w="0" w:type="auto"/>
          <w:tblCellSpacing w:w="0" w:type="dxa"/>
        </w:trPr>
        <w:tc>
          <w:tcPr>
            <w:tcW w:w="0" w:type="auto"/>
            <w:noWrap w:val="0"/>
            <w:vAlign w:val="center"/>
          </w:tcPr>
          <w:p w14:paraId="7019EF14">
            <w:r>
              <w:rPr>
                <w:rFonts w:hint="eastAsia"/>
              </w:rPr>
              <w:t xml:space="preserve">有效成分及其含量： </w:t>
            </w:r>
          </w:p>
          <w:p w14:paraId="561FEA7F">
            <w:r>
              <w:rPr>
                <w:rFonts w:hint="eastAsia"/>
              </w:rPr>
              <w:t xml:space="preserve">    氯氟醚菊酯0.08%    </w:t>
            </w:r>
          </w:p>
        </w:tc>
      </w:tr>
      <w:tr w14:paraId="2699EEC4">
        <w:tblPrEx>
          <w:tblCellMar>
            <w:top w:w="0" w:type="dxa"/>
            <w:left w:w="0" w:type="dxa"/>
            <w:bottom w:w="0" w:type="dxa"/>
            <w:right w:w="0" w:type="dxa"/>
          </w:tblCellMar>
        </w:tblPrEx>
        <w:trPr>
          <w:wBefore w:w="0" w:type="auto"/>
          <w:tblCellSpacing w:w="0" w:type="dxa"/>
        </w:trPr>
        <w:tc>
          <w:tcPr>
            <w:tcW w:w="0" w:type="auto"/>
            <w:noWrap w:val="0"/>
            <w:vAlign w:val="center"/>
          </w:tcPr>
          <w:p w14:paraId="708503E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36441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E01F44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CFF98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8D4A91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EF1434D">
                  <w:r>
                    <w:rPr>
                      <w:rStyle w:val="11"/>
                      <w:rFonts w:hint="eastAsia"/>
                    </w:rPr>
                    <w:t>施用方式</w:t>
                  </w:r>
                </w:p>
              </w:tc>
            </w:tr>
            <w:tr w14:paraId="1E7310E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FACEC5A">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51882B">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BAA7DE">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5960F6">
                  <w:r>
                    <w:rPr>
                      <w:rStyle w:val="11"/>
                      <w:rFonts w:hint="eastAsia"/>
                    </w:rPr>
                    <w:t>点燃</w:t>
                  </w:r>
                </w:p>
              </w:tc>
            </w:tr>
          </w:tbl>
          <w:p w14:paraId="5CEED0C2">
            <w:pPr>
              <w:rPr>
                <w:rFonts w:ascii="Times New Roman" w:hAnsi="Times New Roman" w:cs="Times New Roman"/>
                <w:sz w:val="20"/>
                <w:szCs w:val="20"/>
              </w:rPr>
            </w:pPr>
          </w:p>
        </w:tc>
      </w:tr>
      <w:tr w14:paraId="350D47DC">
        <w:tblPrEx>
          <w:tblCellMar>
            <w:top w:w="0" w:type="dxa"/>
            <w:left w:w="0" w:type="dxa"/>
            <w:bottom w:w="0" w:type="dxa"/>
            <w:right w:w="0" w:type="dxa"/>
          </w:tblCellMar>
        </w:tblPrEx>
        <w:trPr>
          <w:wBefore w:w="0" w:type="auto"/>
          <w:tblCellSpacing w:w="0" w:type="dxa"/>
        </w:trPr>
        <w:tc>
          <w:tcPr>
            <w:tcW w:w="0" w:type="auto"/>
            <w:noWrap w:val="0"/>
            <w:vAlign w:val="center"/>
          </w:tcPr>
          <w:p w14:paraId="104F13D9">
            <w:r>
              <w:rPr>
                <w:rStyle w:val="10"/>
                <w:rFonts w:hint="eastAsia"/>
              </w:rPr>
              <w:t>使用技术要求:</w:t>
            </w:r>
            <w:r>
              <w:rPr>
                <w:rFonts w:hint="eastAsia"/>
              </w:rPr>
              <w:br w:type="textWrapping"/>
            </w:r>
            <w:r>
              <w:rPr>
                <w:rStyle w:val="11"/>
                <w:rFonts w:hint="eastAsia"/>
              </w:rPr>
              <w:t>使用时，将一双盘蚊香拆分成两单盘，用支架固定，点燃后置于风向上方即可。</w:t>
            </w:r>
          </w:p>
        </w:tc>
      </w:tr>
      <w:tr w14:paraId="77D6CE13">
        <w:tblPrEx>
          <w:tblCellMar>
            <w:top w:w="0" w:type="dxa"/>
            <w:left w:w="0" w:type="dxa"/>
            <w:bottom w:w="0" w:type="dxa"/>
            <w:right w:w="0" w:type="dxa"/>
          </w:tblCellMar>
        </w:tblPrEx>
        <w:trPr>
          <w:wBefore w:w="0" w:type="auto"/>
          <w:tblCellSpacing w:w="0" w:type="dxa"/>
        </w:trPr>
        <w:tc>
          <w:tcPr>
            <w:tcW w:w="0" w:type="auto"/>
            <w:noWrap w:val="0"/>
            <w:vAlign w:val="center"/>
          </w:tcPr>
          <w:p w14:paraId="2EBD9813">
            <w:r>
              <w:rPr>
                <w:rStyle w:val="10"/>
                <w:rFonts w:hint="eastAsia"/>
              </w:rPr>
              <w:t>产品性能:</w:t>
            </w:r>
            <w:r>
              <w:rPr>
                <w:rFonts w:hint="eastAsia"/>
              </w:rPr>
              <w:br w:type="textWrapping"/>
            </w:r>
            <w:r>
              <w:rPr>
                <w:rStyle w:val="11"/>
                <w:rFonts w:hint="eastAsia"/>
              </w:rPr>
              <w:t>本品采用拟除虫菊酯为主要原料配制而成，使用方便。</w:t>
            </w:r>
          </w:p>
        </w:tc>
      </w:tr>
      <w:tr w14:paraId="27CB41A0">
        <w:tblPrEx>
          <w:tblCellMar>
            <w:top w:w="0" w:type="dxa"/>
            <w:left w:w="0" w:type="dxa"/>
            <w:bottom w:w="0" w:type="dxa"/>
            <w:right w:w="0" w:type="dxa"/>
          </w:tblCellMar>
        </w:tblPrEx>
        <w:trPr>
          <w:wBefore w:w="0" w:type="auto"/>
          <w:tblCellSpacing w:w="0" w:type="dxa"/>
        </w:trPr>
        <w:tc>
          <w:tcPr>
            <w:tcW w:w="0" w:type="auto"/>
            <w:noWrap w:val="0"/>
            <w:vAlign w:val="center"/>
          </w:tcPr>
          <w:p w14:paraId="16FBE864">
            <w:r>
              <w:rPr>
                <w:rStyle w:val="10"/>
                <w:rFonts w:hint="eastAsia"/>
              </w:rPr>
              <w:t>注意事项：</w:t>
            </w:r>
            <w:r>
              <w:rPr>
                <w:rFonts w:hint="eastAsia"/>
              </w:rPr>
              <w:br w:type="textWrapping"/>
            </w:r>
            <w:r>
              <w:rPr>
                <w:rStyle w:val="11"/>
                <w:rFonts w:hint="eastAsia"/>
              </w:rPr>
              <w:t>1. 置于儿童接触不到的地方，勿用易燃品做接灰盘。 2. 使用时注意通风，注意防火安全。 3. 本品对鱼类、蜂和蚕毒性高，蚕室及其附近禁用；过敏者禁用。 4. 用后洗手，拆封后未使用的蚊香要封好保存。 5. 使用过程中有任何不良反应请及时就医。 6. 仅限室内使用。</w:t>
            </w:r>
          </w:p>
        </w:tc>
      </w:tr>
      <w:tr w14:paraId="3BE735CF">
        <w:tblPrEx>
          <w:tblCellMar>
            <w:top w:w="0" w:type="dxa"/>
            <w:left w:w="0" w:type="dxa"/>
            <w:bottom w:w="0" w:type="dxa"/>
            <w:right w:w="0" w:type="dxa"/>
          </w:tblCellMar>
        </w:tblPrEx>
        <w:trPr>
          <w:wBefore w:w="0" w:type="auto"/>
          <w:tblCellSpacing w:w="0" w:type="dxa"/>
        </w:trPr>
        <w:tc>
          <w:tcPr>
            <w:tcW w:w="0" w:type="auto"/>
            <w:noWrap w:val="0"/>
            <w:vAlign w:val="center"/>
          </w:tcPr>
          <w:p w14:paraId="326A374C">
            <w:r>
              <w:rPr>
                <w:rStyle w:val="10"/>
                <w:rFonts w:hint="eastAsia"/>
              </w:rPr>
              <w:t>中毒急救措施：</w:t>
            </w:r>
            <w:r>
              <w:rPr>
                <w:rFonts w:hint="eastAsia"/>
              </w:rPr>
              <w:br w:type="textWrapping"/>
            </w:r>
            <w:r>
              <w:rPr>
                <w:rStyle w:val="11"/>
                <w:rFonts w:hint="eastAsia"/>
              </w:rPr>
              <w:t>若吸入或使用中有任何不适，请速携标签就医。</w:t>
            </w:r>
          </w:p>
        </w:tc>
      </w:tr>
      <w:tr w14:paraId="14573ABF">
        <w:tblPrEx>
          <w:tblCellMar>
            <w:top w:w="0" w:type="dxa"/>
            <w:left w:w="0" w:type="dxa"/>
            <w:bottom w:w="0" w:type="dxa"/>
            <w:right w:w="0" w:type="dxa"/>
          </w:tblCellMar>
        </w:tblPrEx>
        <w:trPr>
          <w:wBefore w:w="0" w:type="auto"/>
          <w:tblCellSpacing w:w="0" w:type="dxa"/>
        </w:trPr>
        <w:tc>
          <w:tcPr>
            <w:tcW w:w="0" w:type="auto"/>
            <w:noWrap w:val="0"/>
            <w:vAlign w:val="center"/>
          </w:tcPr>
          <w:p w14:paraId="1FE5FE36">
            <w:r>
              <w:rPr>
                <w:rStyle w:val="10"/>
                <w:rFonts w:hint="eastAsia"/>
              </w:rPr>
              <w:t>储存和运输方法：</w:t>
            </w:r>
            <w:r>
              <w:rPr>
                <w:rFonts w:hint="eastAsia"/>
              </w:rPr>
              <w:br w:type="textWrapping"/>
            </w:r>
            <w:r>
              <w:rPr>
                <w:rStyle w:val="11"/>
                <w:rFonts w:hint="eastAsia"/>
              </w:rPr>
              <w:t>本品应贮存在干燥、通风、避光的仓库内，置于儿童、无关人员触及不到之处，并加锁。勿与食品、饮料、饲料、粮食等同贮同运。 装卸运输时要轻拿轻放，防止剧烈震动、日晒、雨淋和重压。</w:t>
            </w:r>
          </w:p>
        </w:tc>
      </w:tr>
      <w:tr w14:paraId="2EF723E2">
        <w:tblPrEx>
          <w:tblCellMar>
            <w:top w:w="0" w:type="dxa"/>
            <w:left w:w="0" w:type="dxa"/>
            <w:bottom w:w="0" w:type="dxa"/>
            <w:right w:w="0" w:type="dxa"/>
          </w:tblCellMar>
        </w:tblPrEx>
        <w:trPr>
          <w:wBefore w:w="0" w:type="auto"/>
          <w:tblCellSpacing w:w="0" w:type="dxa"/>
        </w:trPr>
        <w:tc>
          <w:tcPr>
            <w:tcW w:w="0" w:type="auto"/>
            <w:noWrap w:val="0"/>
            <w:vAlign w:val="center"/>
          </w:tcPr>
          <w:p w14:paraId="0C57F557">
            <w:r>
              <w:rPr>
                <w:rStyle w:val="10"/>
                <w:rFonts w:hint="eastAsia"/>
              </w:rPr>
              <w:t>质量保证期：</w:t>
            </w:r>
            <w:r>
              <w:rPr>
                <w:rStyle w:val="11"/>
                <w:rFonts w:hint="eastAsia"/>
              </w:rPr>
              <w:t>3年</w:t>
            </w:r>
          </w:p>
        </w:tc>
      </w:tr>
      <w:tr w14:paraId="06094545">
        <w:tblPrEx>
          <w:tblCellMar>
            <w:top w:w="0" w:type="dxa"/>
            <w:left w:w="0" w:type="dxa"/>
            <w:bottom w:w="0" w:type="dxa"/>
            <w:right w:w="0" w:type="dxa"/>
          </w:tblCellMar>
        </w:tblPrEx>
        <w:trPr>
          <w:wBefore w:w="0" w:type="auto"/>
          <w:tblCellSpacing w:w="0" w:type="dxa"/>
        </w:trPr>
        <w:tc>
          <w:tcPr>
            <w:tcW w:w="0" w:type="auto"/>
            <w:noWrap w:val="0"/>
            <w:vAlign w:val="center"/>
          </w:tcPr>
          <w:p w14:paraId="1003318D">
            <w:r>
              <w:rPr>
                <w:rStyle w:val="10"/>
                <w:rFonts w:hint="eastAsia"/>
              </w:rPr>
              <w:t>备注：</w:t>
            </w:r>
          </w:p>
        </w:tc>
      </w:tr>
    </w:tbl>
    <w:p w14:paraId="0272999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71AC927">
        <w:tblPrEx>
          <w:tblCellMar>
            <w:top w:w="0" w:type="dxa"/>
            <w:left w:w="0" w:type="dxa"/>
            <w:bottom w:w="0" w:type="dxa"/>
            <w:right w:w="0" w:type="dxa"/>
          </w:tblCellMar>
        </w:tblPrEx>
        <w:trPr>
          <w:wBefore w:w="0" w:type="auto"/>
          <w:tblCellSpacing w:w="0" w:type="dxa"/>
        </w:trPr>
        <w:tc>
          <w:tcPr>
            <w:tcW w:w="0" w:type="auto"/>
            <w:noWrap w:val="0"/>
            <w:vAlign w:val="center"/>
          </w:tcPr>
          <w:p w14:paraId="5FC806E1">
            <w:r>
              <w:rPr>
                <w:rStyle w:val="10"/>
                <w:rFonts w:hint="eastAsia"/>
              </w:rPr>
              <w:t>登记证号：</w:t>
            </w:r>
            <w:r>
              <w:rPr>
                <w:rFonts w:hint="eastAsia"/>
              </w:rPr>
              <w:t>PD20212051</w:t>
            </w:r>
          </w:p>
        </w:tc>
      </w:tr>
      <w:tr w14:paraId="768D41DD">
        <w:tblPrEx>
          <w:tblCellMar>
            <w:top w:w="0" w:type="dxa"/>
            <w:left w:w="0" w:type="dxa"/>
            <w:bottom w:w="0" w:type="dxa"/>
            <w:right w:w="0" w:type="dxa"/>
          </w:tblCellMar>
        </w:tblPrEx>
        <w:trPr>
          <w:wBefore w:w="0" w:type="auto"/>
          <w:tblCellSpacing w:w="0" w:type="dxa"/>
        </w:trPr>
        <w:tc>
          <w:tcPr>
            <w:tcW w:w="0" w:type="auto"/>
            <w:noWrap w:val="0"/>
            <w:vAlign w:val="center"/>
          </w:tcPr>
          <w:p w14:paraId="69CDA0F3">
            <w:r>
              <w:rPr>
                <w:rStyle w:val="10"/>
                <w:rFonts w:hint="eastAsia"/>
              </w:rPr>
              <w:t>登记证持有人：</w:t>
            </w:r>
            <w:r>
              <w:rPr>
                <w:rFonts w:hint="eastAsia"/>
              </w:rPr>
              <w:t>黑龙江谱农丰生物科技开发有限公司</w:t>
            </w:r>
          </w:p>
        </w:tc>
      </w:tr>
      <w:tr w14:paraId="19B11424">
        <w:tblPrEx>
          <w:tblCellMar>
            <w:top w:w="0" w:type="dxa"/>
            <w:left w:w="0" w:type="dxa"/>
            <w:bottom w:w="0" w:type="dxa"/>
            <w:right w:w="0" w:type="dxa"/>
          </w:tblCellMar>
        </w:tblPrEx>
        <w:trPr>
          <w:wBefore w:w="0" w:type="auto"/>
          <w:tblCellSpacing w:w="0" w:type="dxa"/>
        </w:trPr>
        <w:tc>
          <w:tcPr>
            <w:tcW w:w="0" w:type="auto"/>
            <w:noWrap w:val="0"/>
            <w:vAlign w:val="center"/>
          </w:tcPr>
          <w:p w14:paraId="659E5FF5">
            <w:r>
              <w:rPr>
                <w:rStyle w:val="10"/>
                <w:rFonts w:hint="eastAsia"/>
              </w:rPr>
              <w:t>农药名称：</w:t>
            </w:r>
            <w:r>
              <w:rPr>
                <w:rFonts w:hint="eastAsia"/>
              </w:rPr>
              <w:t>24-表芸苔素内酯·S-诱抗素</w:t>
            </w:r>
          </w:p>
        </w:tc>
      </w:tr>
      <w:tr w14:paraId="44D566B5">
        <w:tblPrEx>
          <w:tblCellMar>
            <w:top w:w="0" w:type="dxa"/>
            <w:left w:w="0" w:type="dxa"/>
            <w:bottom w:w="0" w:type="dxa"/>
            <w:right w:w="0" w:type="dxa"/>
          </w:tblCellMar>
        </w:tblPrEx>
        <w:trPr>
          <w:wBefore w:w="0" w:type="auto"/>
          <w:tblCellSpacing w:w="0" w:type="dxa"/>
        </w:trPr>
        <w:tc>
          <w:tcPr>
            <w:tcW w:w="0" w:type="auto"/>
            <w:noWrap w:val="0"/>
            <w:vAlign w:val="center"/>
          </w:tcPr>
          <w:p w14:paraId="61E1D66B">
            <w:r>
              <w:rPr>
                <w:rStyle w:val="10"/>
                <w:rFonts w:hint="eastAsia"/>
              </w:rPr>
              <w:t>剂型：</w:t>
            </w:r>
            <w:r>
              <w:rPr>
                <w:rFonts w:hint="eastAsia"/>
              </w:rPr>
              <w:t>可溶液剂</w:t>
            </w:r>
          </w:p>
        </w:tc>
      </w:tr>
      <w:tr w14:paraId="7283D463">
        <w:tblPrEx>
          <w:tblCellMar>
            <w:top w:w="0" w:type="dxa"/>
            <w:left w:w="0" w:type="dxa"/>
            <w:bottom w:w="0" w:type="dxa"/>
            <w:right w:w="0" w:type="dxa"/>
          </w:tblCellMar>
        </w:tblPrEx>
        <w:trPr>
          <w:wBefore w:w="0" w:type="auto"/>
          <w:tblCellSpacing w:w="0" w:type="dxa"/>
        </w:trPr>
        <w:tc>
          <w:tcPr>
            <w:tcW w:w="0" w:type="auto"/>
            <w:noWrap w:val="0"/>
            <w:vAlign w:val="center"/>
          </w:tcPr>
          <w:p w14:paraId="034495E6">
            <w:r>
              <w:rPr>
                <w:rStyle w:val="10"/>
                <w:rFonts w:hint="eastAsia"/>
              </w:rPr>
              <w:t>毒性及其标识：</w:t>
            </w:r>
            <w:r>
              <w:rPr>
                <w:rFonts w:hint="eastAsia"/>
              </w:rPr>
              <w:t xml:space="preserve"> </w:t>
            </w:r>
            <w:r>
              <w:rPr>
                <w:lang/>
              </w:rPr>
              <w:drawing>
                <wp:inline distT="0" distB="0" distL="114300" distR="114300">
                  <wp:extent cx="476250" cy="323850"/>
                  <wp:effectExtent l="0" t="0" r="0" b="0"/>
                  <wp:docPr id="536" name="图片 53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A0FD4C3">
        <w:tblPrEx>
          <w:tblCellMar>
            <w:top w:w="0" w:type="dxa"/>
            <w:left w:w="0" w:type="dxa"/>
            <w:bottom w:w="0" w:type="dxa"/>
            <w:right w:w="0" w:type="dxa"/>
          </w:tblCellMar>
        </w:tblPrEx>
        <w:trPr>
          <w:wBefore w:w="0" w:type="auto"/>
          <w:tblCellSpacing w:w="0" w:type="dxa"/>
        </w:trPr>
        <w:tc>
          <w:tcPr>
            <w:tcW w:w="0" w:type="auto"/>
            <w:noWrap w:val="0"/>
            <w:vAlign w:val="center"/>
          </w:tcPr>
          <w:p w14:paraId="042EB5B5">
            <w:r>
              <w:rPr>
                <w:rStyle w:val="10"/>
                <w:rFonts w:hint="eastAsia"/>
              </w:rPr>
              <w:t>总有效成分含量：</w:t>
            </w:r>
            <w:r>
              <w:rPr>
                <w:rFonts w:hint="eastAsia"/>
              </w:rPr>
              <w:t>0.25%</w:t>
            </w:r>
          </w:p>
        </w:tc>
      </w:tr>
      <w:tr w14:paraId="65E6AEAA">
        <w:tblPrEx>
          <w:tblCellMar>
            <w:top w:w="0" w:type="dxa"/>
            <w:left w:w="0" w:type="dxa"/>
            <w:bottom w:w="0" w:type="dxa"/>
            <w:right w:w="0" w:type="dxa"/>
          </w:tblCellMar>
        </w:tblPrEx>
        <w:trPr>
          <w:wBefore w:w="0" w:type="auto"/>
          <w:tblCellSpacing w:w="0" w:type="dxa"/>
        </w:trPr>
        <w:tc>
          <w:tcPr>
            <w:tcW w:w="0" w:type="auto"/>
            <w:noWrap w:val="0"/>
            <w:vAlign w:val="center"/>
          </w:tcPr>
          <w:p w14:paraId="3EC0C254">
            <w:r>
              <w:rPr>
                <w:rFonts w:hint="eastAsia"/>
              </w:rPr>
              <w:t xml:space="preserve">有效成分及其含量： </w:t>
            </w:r>
          </w:p>
          <w:p w14:paraId="1FC77664">
            <w:r>
              <w:rPr>
                <w:rFonts w:hint="eastAsia"/>
              </w:rPr>
              <w:t xml:space="preserve">    24-表芸苔素内酯0.001%    S-诱抗素0.249%    </w:t>
            </w:r>
          </w:p>
        </w:tc>
      </w:tr>
      <w:tr w14:paraId="3D34DFC1">
        <w:tblPrEx>
          <w:tblCellMar>
            <w:top w:w="0" w:type="dxa"/>
            <w:left w:w="0" w:type="dxa"/>
            <w:bottom w:w="0" w:type="dxa"/>
            <w:right w:w="0" w:type="dxa"/>
          </w:tblCellMar>
        </w:tblPrEx>
        <w:trPr>
          <w:wBefore w:w="0" w:type="auto"/>
          <w:tblCellSpacing w:w="0" w:type="dxa"/>
        </w:trPr>
        <w:tc>
          <w:tcPr>
            <w:tcW w:w="0" w:type="auto"/>
            <w:noWrap w:val="0"/>
            <w:vAlign w:val="center"/>
          </w:tcPr>
          <w:p w14:paraId="7C3AE95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7DE0D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4F25B7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A78ED0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3ACD97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1D8F0C2">
                  <w:r>
                    <w:rPr>
                      <w:rStyle w:val="11"/>
                      <w:rFonts w:hint="eastAsia"/>
                    </w:rPr>
                    <w:t>施用方式</w:t>
                  </w:r>
                </w:p>
              </w:tc>
            </w:tr>
            <w:tr w14:paraId="505FEF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839FDD4">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2F3D54">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33DBC3C">
                  <w:r>
                    <w:rPr>
                      <w:rStyle w:val="11"/>
                      <w:rFonts w:hint="eastAsia"/>
                    </w:rPr>
                    <w:t>1500-2000倍液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C2FE5C">
                  <w:r>
                    <w:rPr>
                      <w:rStyle w:val="11"/>
                      <w:rFonts w:hint="eastAsia"/>
                    </w:rPr>
                    <w:t>喷雾</w:t>
                  </w:r>
                </w:p>
              </w:tc>
            </w:tr>
          </w:tbl>
          <w:p w14:paraId="6D7A64C8">
            <w:pPr>
              <w:rPr>
                <w:rFonts w:ascii="Times New Roman" w:hAnsi="Times New Roman" w:cs="Times New Roman"/>
                <w:sz w:val="20"/>
                <w:szCs w:val="20"/>
              </w:rPr>
            </w:pPr>
          </w:p>
        </w:tc>
      </w:tr>
      <w:tr w14:paraId="40DDCD8F">
        <w:tblPrEx>
          <w:tblCellMar>
            <w:top w:w="0" w:type="dxa"/>
            <w:left w:w="0" w:type="dxa"/>
            <w:bottom w:w="0" w:type="dxa"/>
            <w:right w:w="0" w:type="dxa"/>
          </w:tblCellMar>
        </w:tblPrEx>
        <w:trPr>
          <w:wBefore w:w="0" w:type="auto"/>
          <w:tblCellSpacing w:w="0" w:type="dxa"/>
        </w:trPr>
        <w:tc>
          <w:tcPr>
            <w:tcW w:w="0" w:type="auto"/>
            <w:noWrap w:val="0"/>
            <w:vAlign w:val="center"/>
          </w:tcPr>
          <w:p w14:paraId="7E4FDDB5">
            <w:r>
              <w:rPr>
                <w:rStyle w:val="10"/>
                <w:rFonts w:hint="eastAsia"/>
              </w:rPr>
              <w:t>使用技术要求:</w:t>
            </w:r>
            <w:r>
              <w:rPr>
                <w:rFonts w:hint="eastAsia"/>
              </w:rPr>
              <w:br w:type="textWrapping"/>
            </w:r>
            <w:r>
              <w:rPr>
                <w:rStyle w:val="11"/>
                <w:rFonts w:hint="eastAsia"/>
              </w:rPr>
              <w:t>1、于水稻分蘖期、破口期各对水均匀喷雾一次，施药时应周到、均匀，勿重喷或漏喷。2、使用时间选择在早、晚较凉爽时为宜，喷药4小时内遇雨需重喷。 3、大风天或下雨前后勿施药。4、每季作物最多使用2次，安全间隔期为收获期。</w:t>
            </w:r>
          </w:p>
        </w:tc>
      </w:tr>
      <w:tr w14:paraId="1167F551">
        <w:tblPrEx>
          <w:tblCellMar>
            <w:top w:w="0" w:type="dxa"/>
            <w:left w:w="0" w:type="dxa"/>
            <w:bottom w:w="0" w:type="dxa"/>
            <w:right w:w="0" w:type="dxa"/>
          </w:tblCellMar>
        </w:tblPrEx>
        <w:trPr>
          <w:wBefore w:w="0" w:type="auto"/>
          <w:tblCellSpacing w:w="0" w:type="dxa"/>
        </w:trPr>
        <w:tc>
          <w:tcPr>
            <w:tcW w:w="0" w:type="auto"/>
            <w:noWrap w:val="0"/>
            <w:vAlign w:val="center"/>
          </w:tcPr>
          <w:p w14:paraId="7A24FA37">
            <w:r>
              <w:rPr>
                <w:rStyle w:val="10"/>
                <w:rFonts w:hint="eastAsia"/>
              </w:rPr>
              <w:t>产品性能:</w:t>
            </w:r>
            <w:r>
              <w:rPr>
                <w:rFonts w:hint="eastAsia"/>
              </w:rPr>
              <w:br w:type="textWrapping"/>
            </w:r>
            <w:r>
              <w:rPr>
                <w:rStyle w:val="11"/>
                <w:rFonts w:hint="eastAsia"/>
              </w:rPr>
              <w:t>本品是由24-表芸苔素内酯和S-诱抗素复配而成的植物生长调节剂，具有使植物细胞分裂和延长的双重作用，能平衡植物生长，增强光合作用，提高作物叶绿素含量，促进作物对肥料的有效吸收，辅助作物劣势部分良好的生长，有效增强植物抗逆能力。对水稻增产和改善品质有良好效果。</w:t>
            </w:r>
          </w:p>
        </w:tc>
      </w:tr>
      <w:tr w14:paraId="2A6E9F58">
        <w:tblPrEx>
          <w:tblCellMar>
            <w:top w:w="0" w:type="dxa"/>
            <w:left w:w="0" w:type="dxa"/>
            <w:bottom w:w="0" w:type="dxa"/>
            <w:right w:w="0" w:type="dxa"/>
          </w:tblCellMar>
        </w:tblPrEx>
        <w:trPr>
          <w:wBefore w:w="0" w:type="auto"/>
          <w:tblCellSpacing w:w="0" w:type="dxa"/>
        </w:trPr>
        <w:tc>
          <w:tcPr>
            <w:tcW w:w="0" w:type="auto"/>
            <w:noWrap w:val="0"/>
            <w:vAlign w:val="center"/>
          </w:tcPr>
          <w:p w14:paraId="09EC9BE2">
            <w:r>
              <w:rPr>
                <w:rStyle w:val="10"/>
                <w:rFonts w:hint="eastAsia"/>
              </w:rPr>
              <w:t>注意事项：</w:t>
            </w:r>
            <w:r>
              <w:rPr>
                <w:rFonts w:hint="eastAsia"/>
              </w:rPr>
              <w:br w:type="textWrapping"/>
            </w:r>
            <w:r>
              <w:rPr>
                <w:rStyle w:val="11"/>
                <w:rFonts w:hint="eastAsia"/>
              </w:rPr>
              <w:t>1、本品不可与碱性物质混用。 2、注意避光保存，开启包装后最好一次性用完，配制好的水溶液不易久存，现配现用。 3、本品对眼睛有刺激性，避免眼睛和皮肤接触。使用本品时应穿长衣长裤、戴手套、眼镜、口罩等安全防护措施，此时不可吃东西、喝水和吸烟；施药后应及时清洗干净手脸等。 4、远离水产养殖区、河塘等水体施药；禁止在河塘等水体中清洗施药器具；施药后的田水不得直接排入水体。5、.鱼或虾蟹套养稻田禁用。6、孕妇及哺乳期女禁止接触本品。7、用过的包装应妥善处理，不可做他用，也不可随意丢弃。8、避免与具有氧化性物质接触或混合。</w:t>
            </w:r>
          </w:p>
        </w:tc>
      </w:tr>
      <w:tr w14:paraId="60A48857">
        <w:tblPrEx>
          <w:tblCellMar>
            <w:top w:w="0" w:type="dxa"/>
            <w:left w:w="0" w:type="dxa"/>
            <w:bottom w:w="0" w:type="dxa"/>
            <w:right w:w="0" w:type="dxa"/>
          </w:tblCellMar>
        </w:tblPrEx>
        <w:trPr>
          <w:wBefore w:w="0" w:type="auto"/>
          <w:tblCellSpacing w:w="0" w:type="dxa"/>
        </w:trPr>
        <w:tc>
          <w:tcPr>
            <w:tcW w:w="0" w:type="auto"/>
            <w:noWrap w:val="0"/>
            <w:vAlign w:val="center"/>
          </w:tcPr>
          <w:p w14:paraId="6CB5A84B">
            <w:r>
              <w:rPr>
                <w:rStyle w:val="10"/>
                <w:rFonts w:hint="eastAsia"/>
              </w:rPr>
              <w:t>中毒急救措施：</w:t>
            </w:r>
            <w:r>
              <w:rPr>
                <w:rFonts w:hint="eastAsia"/>
              </w:rPr>
              <w:br w:type="textWrapping"/>
            </w:r>
            <w:r>
              <w:rPr>
                <w:rStyle w:val="11"/>
                <w:rFonts w:hint="eastAsia"/>
              </w:rPr>
              <w:t>中毒症状：无典型症状。急救措施：如不慎溅入眼睛或接触皮肤，应立即用大量清水冲洗至少15分钟；如不慎吸入，应立即转移至空气流通处；如不慎误服，立即携此标签送医治疗。本品无特殊解毒剂，可对症治疗。</w:t>
            </w:r>
          </w:p>
        </w:tc>
      </w:tr>
      <w:tr w14:paraId="56481AB7">
        <w:tblPrEx>
          <w:tblCellMar>
            <w:top w:w="0" w:type="dxa"/>
            <w:left w:w="0" w:type="dxa"/>
            <w:bottom w:w="0" w:type="dxa"/>
            <w:right w:w="0" w:type="dxa"/>
          </w:tblCellMar>
        </w:tblPrEx>
        <w:trPr>
          <w:wBefore w:w="0" w:type="auto"/>
          <w:tblCellSpacing w:w="0" w:type="dxa"/>
        </w:trPr>
        <w:tc>
          <w:tcPr>
            <w:tcW w:w="0" w:type="auto"/>
            <w:noWrap w:val="0"/>
            <w:vAlign w:val="center"/>
          </w:tcPr>
          <w:p w14:paraId="3ACA6E48">
            <w:r>
              <w:rPr>
                <w:rStyle w:val="10"/>
                <w:rFonts w:hint="eastAsia"/>
              </w:rPr>
              <w:t>储存和运输方法：</w:t>
            </w:r>
            <w:r>
              <w:rPr>
                <w:rFonts w:hint="eastAsia"/>
              </w:rPr>
              <w:br w:type="textWrapping"/>
            </w:r>
            <w:r>
              <w:rPr>
                <w:rStyle w:val="11"/>
                <w:rFonts w:hint="eastAsia"/>
              </w:rPr>
              <w:t>本品应密封包装，置于阴凉避光、干燥通风处。远离火源和热源，与强氧化剂分开存放。置于儿童触及不到之处，并加锁。勿与食品、饮料、粮食、饲料等物品同贮同运。避免与氧化剂接触。</w:t>
            </w:r>
          </w:p>
        </w:tc>
      </w:tr>
      <w:tr w14:paraId="11EA7C77">
        <w:tblPrEx>
          <w:tblCellMar>
            <w:top w:w="0" w:type="dxa"/>
            <w:left w:w="0" w:type="dxa"/>
            <w:bottom w:w="0" w:type="dxa"/>
            <w:right w:w="0" w:type="dxa"/>
          </w:tblCellMar>
        </w:tblPrEx>
        <w:trPr>
          <w:wBefore w:w="0" w:type="auto"/>
          <w:tblCellSpacing w:w="0" w:type="dxa"/>
        </w:trPr>
        <w:tc>
          <w:tcPr>
            <w:tcW w:w="0" w:type="auto"/>
            <w:noWrap w:val="0"/>
            <w:vAlign w:val="center"/>
          </w:tcPr>
          <w:p w14:paraId="5F00ED8C">
            <w:r>
              <w:rPr>
                <w:rStyle w:val="10"/>
                <w:rFonts w:hint="eastAsia"/>
              </w:rPr>
              <w:t>质量保证期：</w:t>
            </w:r>
            <w:r>
              <w:rPr>
                <w:rStyle w:val="11"/>
                <w:rFonts w:hint="eastAsia"/>
              </w:rPr>
              <w:t>2年</w:t>
            </w:r>
          </w:p>
        </w:tc>
      </w:tr>
      <w:tr w14:paraId="7748776A">
        <w:tblPrEx>
          <w:tblCellMar>
            <w:top w:w="0" w:type="dxa"/>
            <w:left w:w="0" w:type="dxa"/>
            <w:bottom w:w="0" w:type="dxa"/>
            <w:right w:w="0" w:type="dxa"/>
          </w:tblCellMar>
        </w:tblPrEx>
        <w:trPr>
          <w:wBefore w:w="0" w:type="auto"/>
          <w:tblCellSpacing w:w="0" w:type="dxa"/>
        </w:trPr>
        <w:tc>
          <w:tcPr>
            <w:tcW w:w="0" w:type="auto"/>
            <w:noWrap w:val="0"/>
            <w:vAlign w:val="center"/>
          </w:tcPr>
          <w:p w14:paraId="0DB9C9FD">
            <w:r>
              <w:rPr>
                <w:rStyle w:val="10"/>
                <w:rFonts w:hint="eastAsia"/>
              </w:rPr>
              <w:t>备注：</w:t>
            </w:r>
          </w:p>
        </w:tc>
      </w:tr>
    </w:tbl>
    <w:p w14:paraId="10223FD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D12DAEA">
        <w:tblPrEx>
          <w:tblCellMar>
            <w:top w:w="0" w:type="dxa"/>
            <w:left w:w="0" w:type="dxa"/>
            <w:bottom w:w="0" w:type="dxa"/>
            <w:right w:w="0" w:type="dxa"/>
          </w:tblCellMar>
        </w:tblPrEx>
        <w:trPr>
          <w:wBefore w:w="0" w:type="auto"/>
          <w:tblCellSpacing w:w="0" w:type="dxa"/>
        </w:trPr>
        <w:tc>
          <w:tcPr>
            <w:tcW w:w="0" w:type="auto"/>
            <w:noWrap w:val="0"/>
            <w:vAlign w:val="center"/>
          </w:tcPr>
          <w:p w14:paraId="3E051EAC">
            <w:r>
              <w:rPr>
                <w:rStyle w:val="10"/>
                <w:rFonts w:hint="eastAsia"/>
              </w:rPr>
              <w:t>登记证号：</w:t>
            </w:r>
            <w:r>
              <w:rPr>
                <w:rFonts w:hint="eastAsia"/>
              </w:rPr>
              <w:t>PD20212073</w:t>
            </w:r>
          </w:p>
        </w:tc>
      </w:tr>
      <w:tr w14:paraId="35040B00">
        <w:tblPrEx>
          <w:tblCellMar>
            <w:top w:w="0" w:type="dxa"/>
            <w:left w:w="0" w:type="dxa"/>
            <w:bottom w:w="0" w:type="dxa"/>
            <w:right w:w="0" w:type="dxa"/>
          </w:tblCellMar>
        </w:tblPrEx>
        <w:trPr>
          <w:wBefore w:w="0" w:type="auto"/>
          <w:tblCellSpacing w:w="0" w:type="dxa"/>
        </w:trPr>
        <w:tc>
          <w:tcPr>
            <w:tcW w:w="0" w:type="auto"/>
            <w:noWrap w:val="0"/>
            <w:vAlign w:val="center"/>
          </w:tcPr>
          <w:p w14:paraId="72E91AA4">
            <w:r>
              <w:rPr>
                <w:rStyle w:val="10"/>
                <w:rFonts w:hint="eastAsia"/>
              </w:rPr>
              <w:t>登记证持有人：</w:t>
            </w:r>
            <w:r>
              <w:rPr>
                <w:rFonts w:hint="eastAsia"/>
              </w:rPr>
              <w:t>江西红土地化工有限公司</w:t>
            </w:r>
          </w:p>
        </w:tc>
      </w:tr>
      <w:tr w14:paraId="210D7986">
        <w:tblPrEx>
          <w:tblCellMar>
            <w:top w:w="0" w:type="dxa"/>
            <w:left w:w="0" w:type="dxa"/>
            <w:bottom w:w="0" w:type="dxa"/>
            <w:right w:w="0" w:type="dxa"/>
          </w:tblCellMar>
        </w:tblPrEx>
        <w:trPr>
          <w:wBefore w:w="0" w:type="auto"/>
          <w:tblCellSpacing w:w="0" w:type="dxa"/>
        </w:trPr>
        <w:tc>
          <w:tcPr>
            <w:tcW w:w="0" w:type="auto"/>
            <w:noWrap w:val="0"/>
            <w:vAlign w:val="center"/>
          </w:tcPr>
          <w:p w14:paraId="3BFC8D7C">
            <w:r>
              <w:rPr>
                <w:rStyle w:val="10"/>
                <w:rFonts w:hint="eastAsia"/>
              </w:rPr>
              <w:t>农药名称：</w:t>
            </w:r>
            <w:r>
              <w:rPr>
                <w:rFonts w:hint="eastAsia"/>
              </w:rPr>
              <w:t>24-表芸苔素内酯</w:t>
            </w:r>
          </w:p>
        </w:tc>
      </w:tr>
      <w:tr w14:paraId="7099D3D3">
        <w:tblPrEx>
          <w:tblCellMar>
            <w:top w:w="0" w:type="dxa"/>
            <w:left w:w="0" w:type="dxa"/>
            <w:bottom w:w="0" w:type="dxa"/>
            <w:right w:w="0" w:type="dxa"/>
          </w:tblCellMar>
        </w:tblPrEx>
        <w:trPr>
          <w:wBefore w:w="0" w:type="auto"/>
          <w:tblCellSpacing w:w="0" w:type="dxa"/>
        </w:trPr>
        <w:tc>
          <w:tcPr>
            <w:tcW w:w="0" w:type="auto"/>
            <w:noWrap w:val="0"/>
            <w:vAlign w:val="center"/>
          </w:tcPr>
          <w:p w14:paraId="7C25B218">
            <w:r>
              <w:rPr>
                <w:rStyle w:val="10"/>
                <w:rFonts w:hint="eastAsia"/>
              </w:rPr>
              <w:t>剂型：</w:t>
            </w:r>
            <w:r>
              <w:rPr>
                <w:rFonts w:hint="eastAsia"/>
              </w:rPr>
              <w:t>可溶液剂</w:t>
            </w:r>
          </w:p>
        </w:tc>
      </w:tr>
      <w:tr w14:paraId="0A1C984B">
        <w:tblPrEx>
          <w:tblCellMar>
            <w:top w:w="0" w:type="dxa"/>
            <w:left w:w="0" w:type="dxa"/>
            <w:bottom w:w="0" w:type="dxa"/>
            <w:right w:w="0" w:type="dxa"/>
          </w:tblCellMar>
        </w:tblPrEx>
        <w:trPr>
          <w:wBefore w:w="0" w:type="auto"/>
          <w:tblCellSpacing w:w="0" w:type="dxa"/>
        </w:trPr>
        <w:tc>
          <w:tcPr>
            <w:tcW w:w="0" w:type="auto"/>
            <w:noWrap w:val="0"/>
            <w:vAlign w:val="center"/>
          </w:tcPr>
          <w:p w14:paraId="2E771F39">
            <w:r>
              <w:rPr>
                <w:rStyle w:val="10"/>
                <w:rFonts w:hint="eastAsia"/>
              </w:rPr>
              <w:t>毒性及其标识：</w:t>
            </w:r>
            <w:r>
              <w:rPr>
                <w:rFonts w:hint="eastAsia"/>
              </w:rPr>
              <w:t xml:space="preserve"> </w:t>
            </w:r>
            <w:r>
              <w:rPr>
                <w:lang/>
              </w:rPr>
              <w:drawing>
                <wp:inline distT="0" distB="0" distL="114300" distR="114300">
                  <wp:extent cx="476250" cy="323850"/>
                  <wp:effectExtent l="0" t="0" r="0" b="0"/>
                  <wp:docPr id="537" name="图片 53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18306D">
        <w:tblPrEx>
          <w:tblCellMar>
            <w:top w:w="0" w:type="dxa"/>
            <w:left w:w="0" w:type="dxa"/>
            <w:bottom w:w="0" w:type="dxa"/>
            <w:right w:w="0" w:type="dxa"/>
          </w:tblCellMar>
        </w:tblPrEx>
        <w:trPr>
          <w:wBefore w:w="0" w:type="auto"/>
          <w:tblCellSpacing w:w="0" w:type="dxa"/>
        </w:trPr>
        <w:tc>
          <w:tcPr>
            <w:tcW w:w="0" w:type="auto"/>
            <w:noWrap w:val="0"/>
            <w:vAlign w:val="center"/>
          </w:tcPr>
          <w:p w14:paraId="0654ABC7">
            <w:r>
              <w:rPr>
                <w:rStyle w:val="10"/>
                <w:rFonts w:hint="eastAsia"/>
              </w:rPr>
              <w:t>总有效成分含量：</w:t>
            </w:r>
            <w:r>
              <w:rPr>
                <w:rFonts w:hint="eastAsia"/>
              </w:rPr>
              <w:t>0.01%</w:t>
            </w:r>
          </w:p>
        </w:tc>
      </w:tr>
      <w:tr w14:paraId="4894750B">
        <w:tblPrEx>
          <w:tblCellMar>
            <w:top w:w="0" w:type="dxa"/>
            <w:left w:w="0" w:type="dxa"/>
            <w:bottom w:w="0" w:type="dxa"/>
            <w:right w:w="0" w:type="dxa"/>
          </w:tblCellMar>
        </w:tblPrEx>
        <w:trPr>
          <w:wBefore w:w="0" w:type="auto"/>
          <w:tblCellSpacing w:w="0" w:type="dxa"/>
        </w:trPr>
        <w:tc>
          <w:tcPr>
            <w:tcW w:w="0" w:type="auto"/>
            <w:noWrap w:val="0"/>
            <w:vAlign w:val="center"/>
          </w:tcPr>
          <w:p w14:paraId="0DE527F2">
            <w:r>
              <w:rPr>
                <w:rFonts w:hint="eastAsia"/>
              </w:rPr>
              <w:t xml:space="preserve">有效成分及其含量： </w:t>
            </w:r>
          </w:p>
          <w:p w14:paraId="4E778A4A">
            <w:r>
              <w:rPr>
                <w:rFonts w:hint="eastAsia"/>
              </w:rPr>
              <w:t xml:space="preserve">    24-表芸苔素内酯0.01%    </w:t>
            </w:r>
          </w:p>
        </w:tc>
      </w:tr>
      <w:tr w14:paraId="3BA0D51E">
        <w:tblPrEx>
          <w:tblCellMar>
            <w:top w:w="0" w:type="dxa"/>
            <w:left w:w="0" w:type="dxa"/>
            <w:bottom w:w="0" w:type="dxa"/>
            <w:right w:w="0" w:type="dxa"/>
          </w:tblCellMar>
        </w:tblPrEx>
        <w:trPr>
          <w:wBefore w:w="0" w:type="auto"/>
          <w:tblCellSpacing w:w="0" w:type="dxa"/>
        </w:trPr>
        <w:tc>
          <w:tcPr>
            <w:tcW w:w="0" w:type="auto"/>
            <w:noWrap w:val="0"/>
            <w:vAlign w:val="center"/>
          </w:tcPr>
          <w:p w14:paraId="754D0D0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BB7A57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30B65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58B72E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89114B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4DD058D">
                  <w:r>
                    <w:rPr>
                      <w:rStyle w:val="11"/>
                      <w:rFonts w:hint="eastAsia"/>
                    </w:rPr>
                    <w:t>施用方式</w:t>
                  </w:r>
                </w:p>
              </w:tc>
            </w:tr>
            <w:tr w14:paraId="6BE7CA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2E4D00">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2D642B">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31C56A">
                  <w:r>
                    <w:rPr>
                      <w:rStyle w:val="11"/>
                      <w:rFonts w:hint="eastAsia"/>
                    </w:rPr>
                    <w:t>2000-3300倍液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6DCCA5F">
                  <w:r>
                    <w:rPr>
                      <w:rStyle w:val="11"/>
                      <w:rFonts w:hint="eastAsia"/>
                    </w:rPr>
                    <w:t>喷雾</w:t>
                  </w:r>
                </w:p>
              </w:tc>
            </w:tr>
          </w:tbl>
          <w:p w14:paraId="440138C5">
            <w:pPr>
              <w:rPr>
                <w:rFonts w:ascii="Times New Roman" w:hAnsi="Times New Roman" w:cs="Times New Roman"/>
                <w:sz w:val="20"/>
                <w:szCs w:val="20"/>
              </w:rPr>
            </w:pPr>
          </w:p>
        </w:tc>
      </w:tr>
      <w:tr w14:paraId="0A866230">
        <w:tblPrEx>
          <w:tblCellMar>
            <w:top w:w="0" w:type="dxa"/>
            <w:left w:w="0" w:type="dxa"/>
            <w:bottom w:w="0" w:type="dxa"/>
            <w:right w:w="0" w:type="dxa"/>
          </w:tblCellMar>
        </w:tblPrEx>
        <w:trPr>
          <w:wBefore w:w="0" w:type="auto"/>
          <w:tblCellSpacing w:w="0" w:type="dxa"/>
        </w:trPr>
        <w:tc>
          <w:tcPr>
            <w:tcW w:w="0" w:type="auto"/>
            <w:noWrap w:val="0"/>
            <w:vAlign w:val="center"/>
          </w:tcPr>
          <w:p w14:paraId="2A1FD50C">
            <w:r>
              <w:rPr>
                <w:rStyle w:val="10"/>
                <w:rFonts w:hint="eastAsia"/>
              </w:rPr>
              <w:t>使用技术要求:</w:t>
            </w:r>
            <w:r>
              <w:rPr>
                <w:rFonts w:hint="eastAsia"/>
              </w:rPr>
              <w:br w:type="textWrapping"/>
            </w:r>
            <w:r>
              <w:rPr>
                <w:rStyle w:val="11"/>
                <w:rFonts w:hint="eastAsia"/>
              </w:rPr>
              <w:t>1、于黄瓜苗期和开花期各施药一次，共施药2次，黄瓜全株常规均匀喷雾施药，喷雾均匀周到。 2、大风天或预计1小时内降雨，请勿施药。</w:t>
            </w:r>
          </w:p>
        </w:tc>
      </w:tr>
      <w:tr w14:paraId="441C5618">
        <w:tblPrEx>
          <w:tblCellMar>
            <w:top w:w="0" w:type="dxa"/>
            <w:left w:w="0" w:type="dxa"/>
            <w:bottom w:w="0" w:type="dxa"/>
            <w:right w:w="0" w:type="dxa"/>
          </w:tblCellMar>
        </w:tblPrEx>
        <w:trPr>
          <w:wBefore w:w="0" w:type="auto"/>
          <w:tblCellSpacing w:w="0" w:type="dxa"/>
        </w:trPr>
        <w:tc>
          <w:tcPr>
            <w:tcW w:w="0" w:type="auto"/>
            <w:noWrap w:val="0"/>
            <w:vAlign w:val="center"/>
          </w:tcPr>
          <w:p w14:paraId="6B3CA94B">
            <w:r>
              <w:rPr>
                <w:rStyle w:val="10"/>
                <w:rFonts w:hint="eastAsia"/>
              </w:rPr>
              <w:t>产品性能:</w:t>
            </w:r>
            <w:r>
              <w:rPr>
                <w:rFonts w:hint="eastAsia"/>
              </w:rPr>
              <w:br w:type="textWrapping"/>
            </w:r>
            <w:r>
              <w:rPr>
                <w:rStyle w:val="11"/>
                <w:rFonts w:hint="eastAsia"/>
              </w:rPr>
              <w:t>本品属于甾醇类植物生长调节剂。</w:t>
            </w:r>
          </w:p>
        </w:tc>
      </w:tr>
      <w:tr w14:paraId="2F72D4A7">
        <w:tblPrEx>
          <w:tblCellMar>
            <w:top w:w="0" w:type="dxa"/>
            <w:left w:w="0" w:type="dxa"/>
            <w:bottom w:w="0" w:type="dxa"/>
            <w:right w:w="0" w:type="dxa"/>
          </w:tblCellMar>
        </w:tblPrEx>
        <w:trPr>
          <w:wBefore w:w="0" w:type="auto"/>
          <w:tblCellSpacing w:w="0" w:type="dxa"/>
        </w:trPr>
        <w:tc>
          <w:tcPr>
            <w:tcW w:w="0" w:type="auto"/>
            <w:noWrap w:val="0"/>
            <w:vAlign w:val="center"/>
          </w:tcPr>
          <w:p w14:paraId="49D954B3">
            <w:r>
              <w:rPr>
                <w:rStyle w:val="10"/>
                <w:rFonts w:hint="eastAsia"/>
              </w:rPr>
              <w:t>注意事项：</w:t>
            </w:r>
            <w:r>
              <w:rPr>
                <w:rFonts w:hint="eastAsia"/>
              </w:rPr>
              <w:br w:type="textWrapping"/>
            </w:r>
            <w:r>
              <w:rPr>
                <w:rStyle w:val="11"/>
                <w:rFonts w:hint="eastAsia"/>
              </w:rPr>
              <w:t>不可和碱性物质混用。2、使用本品时应穿防护服、戴防护手套、眼镜；工作时禁止吸烟、进食和饮水；工作完毕用肥皂水清洗双手及皮肤暴露部位并漱口，沐浴更衣。3、远离水产养殖区、河塘等水体施药，禁止在河塘等水体中清洗施药器具。禁止在蚕室及桑园附近使用。4、禁止孕妇及哺乳期妇女接触本品。5、用过的包装容器应妥善处理，不可作它用，也不可随意丢弃。6、该产品为易燃液体。</w:t>
            </w:r>
          </w:p>
        </w:tc>
      </w:tr>
      <w:tr w14:paraId="3BA20793">
        <w:tblPrEx>
          <w:tblCellMar>
            <w:top w:w="0" w:type="dxa"/>
            <w:left w:w="0" w:type="dxa"/>
            <w:bottom w:w="0" w:type="dxa"/>
            <w:right w:w="0" w:type="dxa"/>
          </w:tblCellMar>
        </w:tblPrEx>
        <w:trPr>
          <w:wBefore w:w="0" w:type="auto"/>
          <w:tblCellSpacing w:w="0" w:type="dxa"/>
        </w:trPr>
        <w:tc>
          <w:tcPr>
            <w:tcW w:w="0" w:type="auto"/>
            <w:noWrap w:val="0"/>
            <w:vAlign w:val="center"/>
          </w:tcPr>
          <w:p w14:paraId="7A561AFF">
            <w:r>
              <w:rPr>
                <w:rStyle w:val="10"/>
                <w:rFonts w:hint="eastAsia"/>
              </w:rPr>
              <w:t>中毒急救措施：</w:t>
            </w:r>
            <w:r>
              <w:rPr>
                <w:rFonts w:hint="eastAsia"/>
              </w:rPr>
              <w:br w:type="textWrapping"/>
            </w:r>
            <w:r>
              <w:rPr>
                <w:rStyle w:val="11"/>
                <w:rFonts w:hint="eastAsia"/>
              </w:rPr>
              <w:t>本品对皮肤和眼睛有刺激作用，使用中或使用后如果感觉不适，应立即携带标签送医院就诊。 1、皮肤接触：脱去污染的衣物，立即用肥皂水冲洗干净。 2、眼睛溅入：立即提起眼睑，用流动清水冲洗至少15分钟，如还不适，请就医。 3、吸入：迅速脱离现场，至空气清新处。 4、误食：用清水漱口，携带标签到医院就诊。本品无特效解毒药，应对症治疗。</w:t>
            </w:r>
          </w:p>
        </w:tc>
      </w:tr>
      <w:tr w14:paraId="26286479">
        <w:tblPrEx>
          <w:tblCellMar>
            <w:top w:w="0" w:type="dxa"/>
            <w:left w:w="0" w:type="dxa"/>
            <w:bottom w:w="0" w:type="dxa"/>
            <w:right w:w="0" w:type="dxa"/>
          </w:tblCellMar>
        </w:tblPrEx>
        <w:trPr>
          <w:wBefore w:w="0" w:type="auto"/>
          <w:tblCellSpacing w:w="0" w:type="dxa"/>
        </w:trPr>
        <w:tc>
          <w:tcPr>
            <w:tcW w:w="0" w:type="auto"/>
            <w:noWrap w:val="0"/>
            <w:vAlign w:val="center"/>
          </w:tcPr>
          <w:p w14:paraId="73EE1C0E">
            <w:r>
              <w:rPr>
                <w:rStyle w:val="10"/>
                <w:rFonts w:hint="eastAsia"/>
              </w:rPr>
              <w:t>储存和运输方法：</w:t>
            </w:r>
            <w:r>
              <w:rPr>
                <w:rFonts w:hint="eastAsia"/>
              </w:rPr>
              <w:br w:type="textWrapping"/>
            </w:r>
            <w:r>
              <w:rPr>
                <w:rStyle w:val="11"/>
                <w:rFonts w:hint="eastAsia"/>
              </w:rPr>
              <w:t>1、不能与食品、饮料、粮食、饲料等物品同贮同运。 2、本品属易燃物品，应贮存在干燥、阴凉、通风处，严防雨淋和日晒，远离热源及火源。 3、运输时严防雨淋和日晒，轻搬轻放。 4、置于儿童触及不到之处，并加锁。</w:t>
            </w:r>
          </w:p>
        </w:tc>
      </w:tr>
      <w:tr w14:paraId="53538FCB">
        <w:tblPrEx>
          <w:tblCellMar>
            <w:top w:w="0" w:type="dxa"/>
            <w:left w:w="0" w:type="dxa"/>
            <w:bottom w:w="0" w:type="dxa"/>
            <w:right w:w="0" w:type="dxa"/>
          </w:tblCellMar>
        </w:tblPrEx>
        <w:trPr>
          <w:wBefore w:w="0" w:type="auto"/>
          <w:tblCellSpacing w:w="0" w:type="dxa"/>
        </w:trPr>
        <w:tc>
          <w:tcPr>
            <w:tcW w:w="0" w:type="auto"/>
            <w:noWrap w:val="0"/>
            <w:vAlign w:val="center"/>
          </w:tcPr>
          <w:p w14:paraId="6C2A736A">
            <w:r>
              <w:rPr>
                <w:rStyle w:val="10"/>
                <w:rFonts w:hint="eastAsia"/>
              </w:rPr>
              <w:t>质量保证期：</w:t>
            </w:r>
            <w:r>
              <w:rPr>
                <w:rStyle w:val="11"/>
                <w:rFonts w:hint="eastAsia"/>
              </w:rPr>
              <w:t>2年</w:t>
            </w:r>
          </w:p>
        </w:tc>
      </w:tr>
      <w:tr w14:paraId="76E6E504">
        <w:tblPrEx>
          <w:tblCellMar>
            <w:top w:w="0" w:type="dxa"/>
            <w:left w:w="0" w:type="dxa"/>
            <w:bottom w:w="0" w:type="dxa"/>
            <w:right w:w="0" w:type="dxa"/>
          </w:tblCellMar>
        </w:tblPrEx>
        <w:trPr>
          <w:wBefore w:w="0" w:type="auto"/>
          <w:tblCellSpacing w:w="0" w:type="dxa"/>
        </w:trPr>
        <w:tc>
          <w:tcPr>
            <w:tcW w:w="0" w:type="auto"/>
            <w:noWrap w:val="0"/>
            <w:vAlign w:val="center"/>
          </w:tcPr>
          <w:p w14:paraId="5AA7795D">
            <w:r>
              <w:rPr>
                <w:rStyle w:val="10"/>
                <w:rFonts w:hint="eastAsia"/>
              </w:rPr>
              <w:t>备注：</w:t>
            </w:r>
          </w:p>
        </w:tc>
      </w:tr>
    </w:tbl>
    <w:p w14:paraId="17614C9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38D33FB">
        <w:tblPrEx>
          <w:tblCellMar>
            <w:top w:w="0" w:type="dxa"/>
            <w:left w:w="0" w:type="dxa"/>
            <w:bottom w:w="0" w:type="dxa"/>
            <w:right w:w="0" w:type="dxa"/>
          </w:tblCellMar>
        </w:tblPrEx>
        <w:trPr>
          <w:wBefore w:w="0" w:type="auto"/>
          <w:tblCellSpacing w:w="0" w:type="dxa"/>
        </w:trPr>
        <w:tc>
          <w:tcPr>
            <w:tcW w:w="0" w:type="auto"/>
            <w:noWrap w:val="0"/>
            <w:vAlign w:val="center"/>
          </w:tcPr>
          <w:p w14:paraId="143282D1">
            <w:r>
              <w:rPr>
                <w:rStyle w:val="10"/>
                <w:rFonts w:hint="eastAsia"/>
              </w:rPr>
              <w:t>登记证号：</w:t>
            </w:r>
            <w:r>
              <w:rPr>
                <w:rFonts w:hint="eastAsia"/>
              </w:rPr>
              <w:t>WP20210252</w:t>
            </w:r>
          </w:p>
        </w:tc>
      </w:tr>
      <w:tr w14:paraId="33F40518">
        <w:tblPrEx>
          <w:tblCellMar>
            <w:top w:w="0" w:type="dxa"/>
            <w:left w:w="0" w:type="dxa"/>
            <w:bottom w:w="0" w:type="dxa"/>
            <w:right w:w="0" w:type="dxa"/>
          </w:tblCellMar>
        </w:tblPrEx>
        <w:trPr>
          <w:wBefore w:w="0" w:type="auto"/>
          <w:tblCellSpacing w:w="0" w:type="dxa"/>
        </w:trPr>
        <w:tc>
          <w:tcPr>
            <w:tcW w:w="0" w:type="auto"/>
            <w:noWrap w:val="0"/>
            <w:vAlign w:val="center"/>
          </w:tcPr>
          <w:p w14:paraId="7E4028C5">
            <w:r>
              <w:rPr>
                <w:rStyle w:val="10"/>
                <w:rFonts w:hint="eastAsia"/>
              </w:rPr>
              <w:t>登记证持有人：</w:t>
            </w:r>
            <w:r>
              <w:rPr>
                <w:rFonts w:hint="eastAsia"/>
              </w:rPr>
              <w:t>广州超威日用化学用品有限公司</w:t>
            </w:r>
          </w:p>
        </w:tc>
      </w:tr>
      <w:tr w14:paraId="3FB6EFE4">
        <w:tblPrEx>
          <w:tblCellMar>
            <w:top w:w="0" w:type="dxa"/>
            <w:left w:w="0" w:type="dxa"/>
            <w:bottom w:w="0" w:type="dxa"/>
            <w:right w:w="0" w:type="dxa"/>
          </w:tblCellMar>
        </w:tblPrEx>
        <w:trPr>
          <w:wBefore w:w="0" w:type="auto"/>
          <w:tblCellSpacing w:w="0" w:type="dxa"/>
        </w:trPr>
        <w:tc>
          <w:tcPr>
            <w:tcW w:w="0" w:type="auto"/>
            <w:noWrap w:val="0"/>
            <w:vAlign w:val="center"/>
          </w:tcPr>
          <w:p w14:paraId="5669E019">
            <w:r>
              <w:rPr>
                <w:rStyle w:val="10"/>
                <w:rFonts w:hint="eastAsia"/>
              </w:rPr>
              <w:t>农药名称：</w:t>
            </w:r>
            <w:r>
              <w:rPr>
                <w:rFonts w:hint="eastAsia"/>
              </w:rPr>
              <w:t>杀虫饵剂</w:t>
            </w:r>
          </w:p>
        </w:tc>
      </w:tr>
      <w:tr w14:paraId="437681C8">
        <w:tblPrEx>
          <w:tblCellMar>
            <w:top w:w="0" w:type="dxa"/>
            <w:left w:w="0" w:type="dxa"/>
            <w:bottom w:w="0" w:type="dxa"/>
            <w:right w:w="0" w:type="dxa"/>
          </w:tblCellMar>
        </w:tblPrEx>
        <w:trPr>
          <w:wBefore w:w="0" w:type="auto"/>
          <w:tblCellSpacing w:w="0" w:type="dxa"/>
        </w:trPr>
        <w:tc>
          <w:tcPr>
            <w:tcW w:w="0" w:type="auto"/>
            <w:noWrap w:val="0"/>
            <w:vAlign w:val="center"/>
          </w:tcPr>
          <w:p w14:paraId="32B0B0DD">
            <w:r>
              <w:rPr>
                <w:rStyle w:val="10"/>
                <w:rFonts w:hint="eastAsia"/>
              </w:rPr>
              <w:t>剂型：</w:t>
            </w:r>
            <w:r>
              <w:rPr>
                <w:rFonts w:hint="eastAsia"/>
              </w:rPr>
              <w:t>饵剂</w:t>
            </w:r>
          </w:p>
        </w:tc>
      </w:tr>
      <w:tr w14:paraId="3E500ED0">
        <w:tblPrEx>
          <w:tblCellMar>
            <w:top w:w="0" w:type="dxa"/>
            <w:left w:w="0" w:type="dxa"/>
            <w:bottom w:w="0" w:type="dxa"/>
            <w:right w:w="0" w:type="dxa"/>
          </w:tblCellMar>
        </w:tblPrEx>
        <w:trPr>
          <w:wBefore w:w="0" w:type="auto"/>
          <w:tblCellSpacing w:w="0" w:type="dxa"/>
        </w:trPr>
        <w:tc>
          <w:tcPr>
            <w:tcW w:w="0" w:type="auto"/>
            <w:noWrap w:val="0"/>
            <w:vAlign w:val="center"/>
          </w:tcPr>
          <w:p w14:paraId="073A567F">
            <w:r>
              <w:rPr>
                <w:rStyle w:val="10"/>
                <w:rFonts w:hint="eastAsia"/>
              </w:rPr>
              <w:t>毒性及其标识：</w:t>
            </w:r>
            <w:r>
              <w:rPr>
                <w:rFonts w:hint="eastAsia"/>
              </w:rPr>
              <w:t xml:space="preserve"> </w:t>
            </w:r>
            <w:r>
              <w:rPr>
                <w:lang/>
              </w:rPr>
              <w:drawing>
                <wp:inline distT="0" distB="0" distL="114300" distR="114300">
                  <wp:extent cx="476250" cy="323850"/>
                  <wp:effectExtent l="0" t="0" r="0" b="0"/>
                  <wp:docPr id="538" name="图片 53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1AFA885">
        <w:tblPrEx>
          <w:tblCellMar>
            <w:top w:w="0" w:type="dxa"/>
            <w:left w:w="0" w:type="dxa"/>
            <w:bottom w:w="0" w:type="dxa"/>
            <w:right w:w="0" w:type="dxa"/>
          </w:tblCellMar>
        </w:tblPrEx>
        <w:trPr>
          <w:wBefore w:w="0" w:type="auto"/>
          <w:tblCellSpacing w:w="0" w:type="dxa"/>
        </w:trPr>
        <w:tc>
          <w:tcPr>
            <w:tcW w:w="0" w:type="auto"/>
            <w:noWrap w:val="0"/>
            <w:vAlign w:val="center"/>
          </w:tcPr>
          <w:p w14:paraId="079EC7A6">
            <w:r>
              <w:rPr>
                <w:rStyle w:val="10"/>
                <w:rFonts w:hint="eastAsia"/>
              </w:rPr>
              <w:t>总有效成分含量：</w:t>
            </w:r>
            <w:r>
              <w:rPr>
                <w:rFonts w:hint="eastAsia"/>
              </w:rPr>
              <w:t>2%</w:t>
            </w:r>
          </w:p>
        </w:tc>
      </w:tr>
      <w:tr w14:paraId="2F8C9485">
        <w:tblPrEx>
          <w:tblCellMar>
            <w:top w:w="0" w:type="dxa"/>
            <w:left w:w="0" w:type="dxa"/>
            <w:bottom w:w="0" w:type="dxa"/>
            <w:right w:w="0" w:type="dxa"/>
          </w:tblCellMar>
        </w:tblPrEx>
        <w:trPr>
          <w:wBefore w:w="0" w:type="auto"/>
          <w:tblCellSpacing w:w="0" w:type="dxa"/>
        </w:trPr>
        <w:tc>
          <w:tcPr>
            <w:tcW w:w="0" w:type="auto"/>
            <w:noWrap w:val="0"/>
            <w:vAlign w:val="center"/>
          </w:tcPr>
          <w:p w14:paraId="50E2C471">
            <w:r>
              <w:rPr>
                <w:rFonts w:hint="eastAsia"/>
              </w:rPr>
              <w:t xml:space="preserve">有效成分及其含量： </w:t>
            </w:r>
          </w:p>
          <w:p w14:paraId="14E55CFE">
            <w:r>
              <w:rPr>
                <w:rFonts w:hint="eastAsia"/>
              </w:rPr>
              <w:t xml:space="preserve">    氟蚁腙2%    </w:t>
            </w:r>
          </w:p>
        </w:tc>
      </w:tr>
      <w:tr w14:paraId="560A4CEE">
        <w:tblPrEx>
          <w:tblCellMar>
            <w:top w:w="0" w:type="dxa"/>
            <w:left w:w="0" w:type="dxa"/>
            <w:bottom w:w="0" w:type="dxa"/>
            <w:right w:w="0" w:type="dxa"/>
          </w:tblCellMar>
        </w:tblPrEx>
        <w:trPr>
          <w:wBefore w:w="0" w:type="auto"/>
          <w:tblCellSpacing w:w="0" w:type="dxa"/>
        </w:trPr>
        <w:tc>
          <w:tcPr>
            <w:tcW w:w="0" w:type="auto"/>
            <w:noWrap w:val="0"/>
            <w:vAlign w:val="center"/>
          </w:tcPr>
          <w:p w14:paraId="4C877B6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27D9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6B5589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05F90A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8833B7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A680B86">
                  <w:r>
                    <w:rPr>
                      <w:rStyle w:val="11"/>
                      <w:rFonts w:hint="eastAsia"/>
                    </w:rPr>
                    <w:t>施用方式</w:t>
                  </w:r>
                </w:p>
              </w:tc>
            </w:tr>
            <w:tr w14:paraId="08CEBF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25B60B5">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CD5921">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3F1538">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7AE65C">
                  <w:r>
                    <w:rPr>
                      <w:rStyle w:val="11"/>
                      <w:rFonts w:hint="eastAsia"/>
                    </w:rPr>
                    <w:t>投放</w:t>
                  </w:r>
                </w:p>
              </w:tc>
            </w:tr>
            <w:tr w14:paraId="7439FCE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DFD61D">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F86077">
                  <w:r>
                    <w:rPr>
                      <w:rStyle w:val="11"/>
                      <w:rFonts w:hint="eastAsia"/>
                    </w:rPr>
                    <w:t>蚂蚁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6A7BD6">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014BFD">
                  <w:r>
                    <w:rPr>
                      <w:rStyle w:val="11"/>
                      <w:rFonts w:hint="eastAsia"/>
                    </w:rPr>
                    <w:t>投放</w:t>
                  </w:r>
                </w:p>
              </w:tc>
            </w:tr>
          </w:tbl>
          <w:p w14:paraId="01225C3A">
            <w:pPr>
              <w:rPr>
                <w:rFonts w:ascii="Times New Roman" w:hAnsi="Times New Roman" w:cs="Times New Roman"/>
                <w:sz w:val="20"/>
                <w:szCs w:val="20"/>
              </w:rPr>
            </w:pPr>
          </w:p>
        </w:tc>
      </w:tr>
      <w:tr w14:paraId="6C7CD728">
        <w:tblPrEx>
          <w:tblCellMar>
            <w:top w:w="0" w:type="dxa"/>
            <w:left w:w="0" w:type="dxa"/>
            <w:bottom w:w="0" w:type="dxa"/>
            <w:right w:w="0" w:type="dxa"/>
          </w:tblCellMar>
        </w:tblPrEx>
        <w:trPr>
          <w:wBefore w:w="0" w:type="auto"/>
          <w:tblCellSpacing w:w="0" w:type="dxa"/>
        </w:trPr>
        <w:tc>
          <w:tcPr>
            <w:tcW w:w="0" w:type="auto"/>
            <w:noWrap w:val="0"/>
            <w:vAlign w:val="center"/>
          </w:tcPr>
          <w:p w14:paraId="0153D4F8">
            <w:r>
              <w:rPr>
                <w:rStyle w:val="10"/>
                <w:rFonts w:hint="eastAsia"/>
              </w:rPr>
              <w:t>使用技术要求:</w:t>
            </w:r>
            <w:r>
              <w:rPr>
                <w:rFonts w:hint="eastAsia"/>
              </w:rPr>
              <w:br w:type="textWrapping"/>
            </w:r>
            <w:r>
              <w:rPr>
                <w:rStyle w:val="11"/>
                <w:rFonts w:hint="eastAsia"/>
              </w:rPr>
              <w:t>使用时将饵剂投放于蟑螂和蚂蚁经常出没的地方。可根据蟑螂和蚂蚁的数量和活动范围适当增加饵剂的使用量。</w:t>
            </w:r>
          </w:p>
        </w:tc>
      </w:tr>
      <w:tr w14:paraId="5C0F6CFB">
        <w:tblPrEx>
          <w:tblCellMar>
            <w:top w:w="0" w:type="dxa"/>
            <w:left w:w="0" w:type="dxa"/>
            <w:bottom w:w="0" w:type="dxa"/>
            <w:right w:w="0" w:type="dxa"/>
          </w:tblCellMar>
        </w:tblPrEx>
        <w:trPr>
          <w:wBefore w:w="0" w:type="auto"/>
          <w:tblCellSpacing w:w="0" w:type="dxa"/>
        </w:trPr>
        <w:tc>
          <w:tcPr>
            <w:tcW w:w="0" w:type="auto"/>
            <w:noWrap w:val="0"/>
            <w:vAlign w:val="center"/>
          </w:tcPr>
          <w:p w14:paraId="6392D032">
            <w:r>
              <w:rPr>
                <w:rStyle w:val="10"/>
                <w:rFonts w:hint="eastAsia"/>
              </w:rPr>
              <w:t>产品性能:</w:t>
            </w:r>
            <w:r>
              <w:rPr>
                <w:rFonts w:hint="eastAsia"/>
              </w:rPr>
              <w:br w:type="textWrapping"/>
            </w:r>
            <w:r>
              <w:rPr>
                <w:rStyle w:val="11"/>
                <w:rFonts w:hint="eastAsia"/>
              </w:rPr>
              <w:t>1、本品含引诱成分，能有效引诱蟑螂和蚂蚁取食并起到杀灭效果。 2、本品无刺激性气味，清洁卫生。适用于厨房、餐厅、卫生间、卧室等场所。</w:t>
            </w:r>
          </w:p>
        </w:tc>
      </w:tr>
      <w:tr w14:paraId="7767584D">
        <w:tblPrEx>
          <w:tblCellMar>
            <w:top w:w="0" w:type="dxa"/>
            <w:left w:w="0" w:type="dxa"/>
            <w:bottom w:w="0" w:type="dxa"/>
            <w:right w:w="0" w:type="dxa"/>
          </w:tblCellMar>
        </w:tblPrEx>
        <w:trPr>
          <w:wBefore w:w="0" w:type="auto"/>
          <w:tblCellSpacing w:w="0" w:type="dxa"/>
        </w:trPr>
        <w:tc>
          <w:tcPr>
            <w:tcW w:w="0" w:type="auto"/>
            <w:noWrap w:val="0"/>
            <w:vAlign w:val="center"/>
          </w:tcPr>
          <w:p w14:paraId="65ECFF82">
            <w:r>
              <w:rPr>
                <w:rStyle w:val="10"/>
                <w:rFonts w:hint="eastAsia"/>
              </w:rPr>
              <w:t>注意事项：</w:t>
            </w:r>
            <w:r>
              <w:rPr>
                <w:rFonts w:hint="eastAsia"/>
              </w:rPr>
              <w:br w:type="textWrapping"/>
            </w:r>
            <w:r>
              <w:rPr>
                <w:rStyle w:val="11"/>
                <w:rFonts w:hint="eastAsia"/>
              </w:rPr>
              <w:t>仅限室内使用。本品对眼睛有刺激性，使用中注意安全防护。切勿污染食品及饮用水；蚕室及其附近禁用；用后洗手。过敏者禁用；使用中有任何不良反应请及时就医。不要在饵剂周围施用其它杀虫剂以免引起蟑螂和蚂蚁的拒食。孕妇及哺乳期妇女禁止接触。</w:t>
            </w:r>
          </w:p>
        </w:tc>
      </w:tr>
      <w:tr w14:paraId="7D4F8772">
        <w:tblPrEx>
          <w:tblCellMar>
            <w:top w:w="0" w:type="dxa"/>
            <w:left w:w="0" w:type="dxa"/>
            <w:bottom w:w="0" w:type="dxa"/>
            <w:right w:w="0" w:type="dxa"/>
          </w:tblCellMar>
        </w:tblPrEx>
        <w:trPr>
          <w:wBefore w:w="0" w:type="auto"/>
          <w:tblCellSpacing w:w="0" w:type="dxa"/>
        </w:trPr>
        <w:tc>
          <w:tcPr>
            <w:tcW w:w="0" w:type="auto"/>
            <w:noWrap w:val="0"/>
            <w:vAlign w:val="center"/>
          </w:tcPr>
          <w:p w14:paraId="334E0986">
            <w:r>
              <w:rPr>
                <w:rStyle w:val="10"/>
                <w:rFonts w:hint="eastAsia"/>
              </w:rPr>
              <w:t>中毒急救措施：</w:t>
            </w:r>
            <w:r>
              <w:rPr>
                <w:rFonts w:hint="eastAsia"/>
              </w:rPr>
              <w:br w:type="textWrapping"/>
            </w:r>
            <w:r>
              <w:rPr>
                <w:rStyle w:val="11"/>
                <w:rFonts w:hint="eastAsia"/>
              </w:rPr>
              <w:t>使用本品若不慎误食，请速携本标签就医。</w:t>
            </w:r>
          </w:p>
        </w:tc>
      </w:tr>
      <w:tr w14:paraId="144537D0">
        <w:tblPrEx>
          <w:tblCellMar>
            <w:top w:w="0" w:type="dxa"/>
            <w:left w:w="0" w:type="dxa"/>
            <w:bottom w:w="0" w:type="dxa"/>
            <w:right w:w="0" w:type="dxa"/>
          </w:tblCellMar>
        </w:tblPrEx>
        <w:trPr>
          <w:wBefore w:w="0" w:type="auto"/>
          <w:tblCellSpacing w:w="0" w:type="dxa"/>
        </w:trPr>
        <w:tc>
          <w:tcPr>
            <w:tcW w:w="0" w:type="auto"/>
            <w:noWrap w:val="0"/>
            <w:vAlign w:val="center"/>
          </w:tcPr>
          <w:p w14:paraId="429A8437">
            <w:r>
              <w:rPr>
                <w:rStyle w:val="10"/>
                <w:rFonts w:hint="eastAsia"/>
              </w:rPr>
              <w:t>储存和运输方法：</w:t>
            </w:r>
            <w:r>
              <w:rPr>
                <w:rFonts w:hint="eastAsia"/>
              </w:rPr>
              <w:br w:type="textWrapping"/>
            </w:r>
            <w:r>
              <w:rPr>
                <w:rStyle w:val="11"/>
                <w:rFonts w:hint="eastAsia"/>
              </w:rPr>
              <w:t>本品应贮存在干燥、阴凉、通风、防雨处。防止重压。置于儿童、无关人员触及不到之处，并加锁。勿与食品、饮料、饲料、粮食等同贮同运。</w:t>
            </w:r>
          </w:p>
        </w:tc>
      </w:tr>
      <w:tr w14:paraId="3E4B1860">
        <w:tblPrEx>
          <w:tblCellMar>
            <w:top w:w="0" w:type="dxa"/>
            <w:left w:w="0" w:type="dxa"/>
            <w:bottom w:w="0" w:type="dxa"/>
            <w:right w:w="0" w:type="dxa"/>
          </w:tblCellMar>
        </w:tblPrEx>
        <w:trPr>
          <w:wBefore w:w="0" w:type="auto"/>
          <w:tblCellSpacing w:w="0" w:type="dxa"/>
        </w:trPr>
        <w:tc>
          <w:tcPr>
            <w:tcW w:w="0" w:type="auto"/>
            <w:noWrap w:val="0"/>
            <w:vAlign w:val="center"/>
          </w:tcPr>
          <w:p w14:paraId="180400C2">
            <w:r>
              <w:rPr>
                <w:rStyle w:val="10"/>
                <w:rFonts w:hint="eastAsia"/>
              </w:rPr>
              <w:t>质量保证期：</w:t>
            </w:r>
            <w:r>
              <w:rPr>
                <w:rStyle w:val="11"/>
                <w:rFonts w:hint="eastAsia"/>
              </w:rPr>
              <w:t>2年</w:t>
            </w:r>
          </w:p>
        </w:tc>
      </w:tr>
      <w:tr w14:paraId="6BFDBB56">
        <w:tblPrEx>
          <w:tblCellMar>
            <w:top w:w="0" w:type="dxa"/>
            <w:left w:w="0" w:type="dxa"/>
            <w:bottom w:w="0" w:type="dxa"/>
            <w:right w:w="0" w:type="dxa"/>
          </w:tblCellMar>
        </w:tblPrEx>
        <w:trPr>
          <w:wBefore w:w="0" w:type="auto"/>
          <w:tblCellSpacing w:w="0" w:type="dxa"/>
        </w:trPr>
        <w:tc>
          <w:tcPr>
            <w:tcW w:w="0" w:type="auto"/>
            <w:noWrap w:val="0"/>
            <w:vAlign w:val="center"/>
          </w:tcPr>
          <w:p w14:paraId="272E9CE9">
            <w:r>
              <w:rPr>
                <w:rStyle w:val="10"/>
                <w:rFonts w:hint="eastAsia"/>
              </w:rPr>
              <w:t>备注：</w:t>
            </w:r>
          </w:p>
        </w:tc>
      </w:tr>
    </w:tbl>
    <w:p w14:paraId="056D5E0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EE80CB7">
        <w:tblPrEx>
          <w:tblCellMar>
            <w:top w:w="0" w:type="dxa"/>
            <w:left w:w="0" w:type="dxa"/>
            <w:bottom w:w="0" w:type="dxa"/>
            <w:right w:w="0" w:type="dxa"/>
          </w:tblCellMar>
        </w:tblPrEx>
        <w:trPr>
          <w:wBefore w:w="0" w:type="auto"/>
          <w:tblCellSpacing w:w="0" w:type="dxa"/>
        </w:trPr>
        <w:tc>
          <w:tcPr>
            <w:tcW w:w="0" w:type="auto"/>
            <w:noWrap w:val="0"/>
            <w:vAlign w:val="center"/>
          </w:tcPr>
          <w:p w14:paraId="5BC6BD64">
            <w:r>
              <w:rPr>
                <w:rStyle w:val="10"/>
                <w:rFonts w:hint="eastAsia"/>
              </w:rPr>
              <w:t>登记证号：</w:t>
            </w:r>
            <w:r>
              <w:rPr>
                <w:rFonts w:hint="eastAsia"/>
              </w:rPr>
              <w:t>WP20210267</w:t>
            </w:r>
          </w:p>
        </w:tc>
      </w:tr>
      <w:tr w14:paraId="62F9C101">
        <w:tblPrEx>
          <w:tblCellMar>
            <w:top w:w="0" w:type="dxa"/>
            <w:left w:w="0" w:type="dxa"/>
            <w:bottom w:w="0" w:type="dxa"/>
            <w:right w:w="0" w:type="dxa"/>
          </w:tblCellMar>
        </w:tblPrEx>
        <w:trPr>
          <w:wBefore w:w="0" w:type="auto"/>
          <w:tblCellSpacing w:w="0" w:type="dxa"/>
        </w:trPr>
        <w:tc>
          <w:tcPr>
            <w:tcW w:w="0" w:type="auto"/>
            <w:noWrap w:val="0"/>
            <w:vAlign w:val="center"/>
          </w:tcPr>
          <w:p w14:paraId="6DB7B8E7">
            <w:r>
              <w:rPr>
                <w:rStyle w:val="10"/>
                <w:rFonts w:hint="eastAsia"/>
              </w:rPr>
              <w:t>登记证持有人：</w:t>
            </w:r>
            <w:r>
              <w:rPr>
                <w:rFonts w:hint="eastAsia"/>
              </w:rPr>
              <w:t>山东惠民中联生物科技有限公司</w:t>
            </w:r>
          </w:p>
        </w:tc>
      </w:tr>
      <w:tr w14:paraId="7FE89D34">
        <w:tblPrEx>
          <w:tblCellMar>
            <w:top w:w="0" w:type="dxa"/>
            <w:left w:w="0" w:type="dxa"/>
            <w:bottom w:w="0" w:type="dxa"/>
            <w:right w:w="0" w:type="dxa"/>
          </w:tblCellMar>
        </w:tblPrEx>
        <w:trPr>
          <w:wBefore w:w="0" w:type="auto"/>
          <w:tblCellSpacing w:w="0" w:type="dxa"/>
        </w:trPr>
        <w:tc>
          <w:tcPr>
            <w:tcW w:w="0" w:type="auto"/>
            <w:noWrap w:val="0"/>
            <w:vAlign w:val="center"/>
          </w:tcPr>
          <w:p w14:paraId="7FA1B4A7">
            <w:r>
              <w:rPr>
                <w:rStyle w:val="10"/>
                <w:rFonts w:hint="eastAsia"/>
              </w:rPr>
              <w:t>农药名称：</w:t>
            </w:r>
            <w:r>
              <w:rPr>
                <w:rFonts w:hint="eastAsia"/>
              </w:rPr>
              <w:t>呋虫胺</w:t>
            </w:r>
          </w:p>
        </w:tc>
      </w:tr>
      <w:tr w14:paraId="42453DE3">
        <w:tblPrEx>
          <w:tblCellMar>
            <w:top w:w="0" w:type="dxa"/>
            <w:left w:w="0" w:type="dxa"/>
            <w:bottom w:w="0" w:type="dxa"/>
            <w:right w:w="0" w:type="dxa"/>
          </w:tblCellMar>
        </w:tblPrEx>
        <w:trPr>
          <w:wBefore w:w="0" w:type="auto"/>
          <w:tblCellSpacing w:w="0" w:type="dxa"/>
        </w:trPr>
        <w:tc>
          <w:tcPr>
            <w:tcW w:w="0" w:type="auto"/>
            <w:noWrap w:val="0"/>
            <w:vAlign w:val="center"/>
          </w:tcPr>
          <w:p w14:paraId="0AA31076">
            <w:r>
              <w:rPr>
                <w:rStyle w:val="10"/>
                <w:rFonts w:hint="eastAsia"/>
              </w:rPr>
              <w:t>剂型：</w:t>
            </w:r>
            <w:r>
              <w:rPr>
                <w:rFonts w:hint="eastAsia"/>
              </w:rPr>
              <w:t>可溶粒剂</w:t>
            </w:r>
          </w:p>
        </w:tc>
      </w:tr>
      <w:tr w14:paraId="0BE70B68">
        <w:tblPrEx>
          <w:tblCellMar>
            <w:top w:w="0" w:type="dxa"/>
            <w:left w:w="0" w:type="dxa"/>
            <w:bottom w:w="0" w:type="dxa"/>
            <w:right w:w="0" w:type="dxa"/>
          </w:tblCellMar>
        </w:tblPrEx>
        <w:trPr>
          <w:wBefore w:w="0" w:type="auto"/>
          <w:tblCellSpacing w:w="0" w:type="dxa"/>
        </w:trPr>
        <w:tc>
          <w:tcPr>
            <w:tcW w:w="0" w:type="auto"/>
            <w:noWrap w:val="0"/>
            <w:vAlign w:val="center"/>
          </w:tcPr>
          <w:p w14:paraId="2664C876">
            <w:r>
              <w:rPr>
                <w:rStyle w:val="10"/>
                <w:rFonts w:hint="eastAsia"/>
              </w:rPr>
              <w:t>毒性及其标识：</w:t>
            </w:r>
            <w:r>
              <w:rPr>
                <w:rFonts w:hint="eastAsia"/>
              </w:rPr>
              <w:t xml:space="preserve"> </w:t>
            </w:r>
            <w:r>
              <w:rPr>
                <w:lang/>
              </w:rPr>
              <w:drawing>
                <wp:inline distT="0" distB="0" distL="114300" distR="114300">
                  <wp:extent cx="476250" cy="323850"/>
                  <wp:effectExtent l="0" t="0" r="0" b="0"/>
                  <wp:docPr id="539" name="图片 53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BF9F6A">
        <w:tblPrEx>
          <w:tblCellMar>
            <w:top w:w="0" w:type="dxa"/>
            <w:left w:w="0" w:type="dxa"/>
            <w:bottom w:w="0" w:type="dxa"/>
            <w:right w:w="0" w:type="dxa"/>
          </w:tblCellMar>
        </w:tblPrEx>
        <w:trPr>
          <w:wBefore w:w="0" w:type="auto"/>
          <w:tblCellSpacing w:w="0" w:type="dxa"/>
        </w:trPr>
        <w:tc>
          <w:tcPr>
            <w:tcW w:w="0" w:type="auto"/>
            <w:noWrap w:val="0"/>
            <w:vAlign w:val="center"/>
          </w:tcPr>
          <w:p w14:paraId="3F1BE45F">
            <w:r>
              <w:rPr>
                <w:rStyle w:val="10"/>
                <w:rFonts w:hint="eastAsia"/>
              </w:rPr>
              <w:t>总有效成分含量：</w:t>
            </w:r>
            <w:r>
              <w:rPr>
                <w:rFonts w:hint="eastAsia"/>
              </w:rPr>
              <w:t>20%</w:t>
            </w:r>
          </w:p>
        </w:tc>
      </w:tr>
      <w:tr w14:paraId="53B4C0BA">
        <w:tblPrEx>
          <w:tblCellMar>
            <w:top w:w="0" w:type="dxa"/>
            <w:left w:w="0" w:type="dxa"/>
            <w:bottom w:w="0" w:type="dxa"/>
            <w:right w:w="0" w:type="dxa"/>
          </w:tblCellMar>
        </w:tblPrEx>
        <w:trPr>
          <w:wBefore w:w="0" w:type="auto"/>
          <w:tblCellSpacing w:w="0" w:type="dxa"/>
        </w:trPr>
        <w:tc>
          <w:tcPr>
            <w:tcW w:w="0" w:type="auto"/>
            <w:noWrap w:val="0"/>
            <w:vAlign w:val="center"/>
          </w:tcPr>
          <w:p w14:paraId="022AC7A5">
            <w:r>
              <w:rPr>
                <w:rFonts w:hint="eastAsia"/>
              </w:rPr>
              <w:t xml:space="preserve">有效成分及其含量： </w:t>
            </w:r>
          </w:p>
          <w:p w14:paraId="167D04F5">
            <w:r>
              <w:rPr>
                <w:rFonts w:hint="eastAsia"/>
              </w:rPr>
              <w:t xml:space="preserve">    呋虫胺20%    </w:t>
            </w:r>
          </w:p>
        </w:tc>
      </w:tr>
      <w:tr w14:paraId="26BB7881">
        <w:tblPrEx>
          <w:tblCellMar>
            <w:top w:w="0" w:type="dxa"/>
            <w:left w:w="0" w:type="dxa"/>
            <w:bottom w:w="0" w:type="dxa"/>
            <w:right w:w="0" w:type="dxa"/>
          </w:tblCellMar>
        </w:tblPrEx>
        <w:trPr>
          <w:wBefore w:w="0" w:type="auto"/>
          <w:tblCellSpacing w:w="0" w:type="dxa"/>
        </w:trPr>
        <w:tc>
          <w:tcPr>
            <w:tcW w:w="0" w:type="auto"/>
            <w:noWrap w:val="0"/>
            <w:vAlign w:val="center"/>
          </w:tcPr>
          <w:p w14:paraId="525D766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CE030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26284F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A6372D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07146B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7CB7777">
                  <w:r>
                    <w:rPr>
                      <w:rStyle w:val="11"/>
                      <w:rFonts w:hint="eastAsia"/>
                    </w:rPr>
                    <w:t>施用方式</w:t>
                  </w:r>
                </w:p>
              </w:tc>
            </w:tr>
            <w:tr w14:paraId="331B20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9FB485E">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AAA804">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752531">
                  <w:r>
                    <w:rPr>
                      <w:rStyle w:val="11"/>
                      <w:rFonts w:hint="eastAsia"/>
                    </w:rPr>
                    <w:t>3克/平方米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470CA0">
                  <w:r>
                    <w:rPr>
                      <w:rStyle w:val="11"/>
                      <w:rFonts w:hint="eastAsia"/>
                    </w:rPr>
                    <w:t>滞留喷洒</w:t>
                  </w:r>
                </w:p>
              </w:tc>
            </w:tr>
            <w:tr w14:paraId="4C67A6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254DD74">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861CAA">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4AE3AE">
                  <w:r>
                    <w:rPr>
                      <w:rStyle w:val="11"/>
                      <w:rFonts w:hint="eastAsia"/>
                    </w:rPr>
                    <w:t>3克/平方米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D7D464">
                  <w:r>
                    <w:rPr>
                      <w:rStyle w:val="11"/>
                      <w:rFonts w:hint="eastAsia"/>
                    </w:rPr>
                    <w:t>滞留喷洒</w:t>
                  </w:r>
                </w:p>
              </w:tc>
            </w:tr>
          </w:tbl>
          <w:p w14:paraId="67CC8C78">
            <w:pPr>
              <w:rPr>
                <w:rFonts w:ascii="Times New Roman" w:hAnsi="Times New Roman" w:cs="Times New Roman"/>
                <w:sz w:val="20"/>
                <w:szCs w:val="20"/>
              </w:rPr>
            </w:pPr>
          </w:p>
        </w:tc>
      </w:tr>
      <w:tr w14:paraId="5EDE436A">
        <w:tblPrEx>
          <w:tblCellMar>
            <w:top w:w="0" w:type="dxa"/>
            <w:left w:w="0" w:type="dxa"/>
            <w:bottom w:w="0" w:type="dxa"/>
            <w:right w:w="0" w:type="dxa"/>
          </w:tblCellMar>
        </w:tblPrEx>
        <w:trPr>
          <w:wBefore w:w="0" w:type="auto"/>
          <w:tblCellSpacing w:w="0" w:type="dxa"/>
        </w:trPr>
        <w:tc>
          <w:tcPr>
            <w:tcW w:w="0" w:type="auto"/>
            <w:noWrap w:val="0"/>
            <w:vAlign w:val="center"/>
          </w:tcPr>
          <w:p w14:paraId="15CE2299">
            <w:r>
              <w:rPr>
                <w:rStyle w:val="10"/>
                <w:rFonts w:hint="eastAsia"/>
              </w:rPr>
              <w:t>使用技术要求:</w:t>
            </w:r>
            <w:r>
              <w:rPr>
                <w:rFonts w:hint="eastAsia"/>
              </w:rPr>
              <w:br w:type="textWrapping"/>
            </w:r>
            <w:r>
              <w:rPr>
                <w:rStyle w:val="11"/>
                <w:rFonts w:hint="eastAsia"/>
              </w:rPr>
              <w:t>防治蝇制剂用药量6克/立方米，防治蜚蠊制剂用药量6克/平方米 注意： 1.先在喷雾器内倒入所需清水量的一半，把量好的药剂倒入喷雾器中，再往喷雾器内加入另一半所需清水。（按1：20比例进行稀释）盖好喷雾器盖，充分混匀喷雾器内的药液。 2.本品用于防治蚊、蝇、蜚蠊，将喷雾器加压至工作压力，按推荐剂量，进行空间喷雾。</w:t>
            </w:r>
          </w:p>
        </w:tc>
      </w:tr>
      <w:tr w14:paraId="5FB92243">
        <w:tblPrEx>
          <w:tblCellMar>
            <w:top w:w="0" w:type="dxa"/>
            <w:left w:w="0" w:type="dxa"/>
            <w:bottom w:w="0" w:type="dxa"/>
            <w:right w:w="0" w:type="dxa"/>
          </w:tblCellMar>
        </w:tblPrEx>
        <w:trPr>
          <w:wBefore w:w="0" w:type="auto"/>
          <w:tblCellSpacing w:w="0" w:type="dxa"/>
        </w:trPr>
        <w:tc>
          <w:tcPr>
            <w:tcW w:w="0" w:type="auto"/>
            <w:noWrap w:val="0"/>
            <w:vAlign w:val="center"/>
          </w:tcPr>
          <w:p w14:paraId="7649BACA">
            <w:r>
              <w:rPr>
                <w:rStyle w:val="10"/>
                <w:rFonts w:hint="eastAsia"/>
              </w:rPr>
              <w:t>产品性能:</w:t>
            </w:r>
            <w:r>
              <w:rPr>
                <w:rFonts w:hint="eastAsia"/>
              </w:rPr>
              <w:br w:type="textWrapping"/>
            </w:r>
            <w:r>
              <w:rPr>
                <w:rStyle w:val="11"/>
                <w:rFonts w:hint="eastAsia"/>
              </w:rPr>
              <w:t>呋虫胺是第三代烟碱类杀虫剂，是通过作用于昆虫神经传递系统和具有触杀、胃毒作用的杀虫剂，可以快速杀死蚊、蝇、蜚蠊。呋虫胺是烟碱乙酰胆碱受体的兴奋剂，可影响昆虫中枢神经系统的突触。本品对蝇、蜚蠊有较好的防治效果。</w:t>
            </w:r>
          </w:p>
        </w:tc>
      </w:tr>
      <w:tr w14:paraId="28E0C3C1">
        <w:tblPrEx>
          <w:tblCellMar>
            <w:top w:w="0" w:type="dxa"/>
            <w:left w:w="0" w:type="dxa"/>
            <w:bottom w:w="0" w:type="dxa"/>
            <w:right w:w="0" w:type="dxa"/>
          </w:tblCellMar>
        </w:tblPrEx>
        <w:trPr>
          <w:wBefore w:w="0" w:type="auto"/>
          <w:tblCellSpacing w:w="0" w:type="dxa"/>
        </w:trPr>
        <w:tc>
          <w:tcPr>
            <w:tcW w:w="0" w:type="auto"/>
            <w:noWrap w:val="0"/>
            <w:vAlign w:val="center"/>
          </w:tcPr>
          <w:p w14:paraId="1F75F002">
            <w:r>
              <w:rPr>
                <w:rStyle w:val="10"/>
                <w:rFonts w:hint="eastAsia"/>
              </w:rPr>
              <w:t>注意事项：</w:t>
            </w:r>
            <w:r>
              <w:rPr>
                <w:rFonts w:hint="eastAsia"/>
              </w:rPr>
              <w:br w:type="textWrapping"/>
            </w:r>
            <w:r>
              <w:rPr>
                <w:rStyle w:val="11"/>
                <w:rFonts w:hint="eastAsia"/>
              </w:rPr>
              <w:t>1. 仅用于室内。使用前请将暴露在施药区域的食物、餐具等物品移走或覆盖。 2. 使用本品时应穿戴防护服、防护眼镜。和手套、口罩，避免接触和吸入药液。 3. 施药期间不可吃东西和饮水。施药后及时洗手和脸等暴露部位。 4. 本品对蜜蜂、鱼类和家蚕有毒，养蚕室、养蜂室、水产养殖区及其附近禁用。仅用于室内。 5. 用过的容器应妥善处理，不可他用，也不可随意丢弃。 6. 避免儿童、孕妇及哺乳期妇女接触本品。 7. 过敏者禁用。使用中任何不良反应请及时就医。</w:t>
            </w:r>
          </w:p>
        </w:tc>
      </w:tr>
      <w:tr w14:paraId="3DD002DA">
        <w:tblPrEx>
          <w:tblCellMar>
            <w:top w:w="0" w:type="dxa"/>
            <w:left w:w="0" w:type="dxa"/>
            <w:bottom w:w="0" w:type="dxa"/>
            <w:right w:w="0" w:type="dxa"/>
          </w:tblCellMar>
        </w:tblPrEx>
        <w:trPr>
          <w:wBefore w:w="0" w:type="auto"/>
          <w:tblCellSpacing w:w="0" w:type="dxa"/>
        </w:trPr>
        <w:tc>
          <w:tcPr>
            <w:tcW w:w="0" w:type="auto"/>
            <w:noWrap w:val="0"/>
            <w:vAlign w:val="center"/>
          </w:tcPr>
          <w:p w14:paraId="2F81444F">
            <w:r>
              <w:rPr>
                <w:rStyle w:val="10"/>
                <w:rFonts w:hint="eastAsia"/>
              </w:rPr>
              <w:t>中毒急救措施：</w:t>
            </w:r>
            <w:r>
              <w:rPr>
                <w:rFonts w:hint="eastAsia"/>
              </w:rPr>
              <w:br w:type="textWrapping"/>
            </w:r>
            <w:r>
              <w:rPr>
                <w:rStyle w:val="11"/>
                <w:rFonts w:hint="eastAsia"/>
              </w:rPr>
              <w:t>不慎接触到皮肤或溅入眼睛，用大量水清洗皮肤或眼睛15-20分钟；不慎吸入，应将病人移至空气流通处；如病人停止呼吸，应立即进行人工呼吸；误服后未经医生允许，切勿催吐，如病人可吞咽，可适量饮水。中毒后，应立即携容器或此标签就医。</w:t>
            </w:r>
          </w:p>
        </w:tc>
      </w:tr>
      <w:tr w14:paraId="752BD642">
        <w:tblPrEx>
          <w:tblCellMar>
            <w:top w:w="0" w:type="dxa"/>
            <w:left w:w="0" w:type="dxa"/>
            <w:bottom w:w="0" w:type="dxa"/>
            <w:right w:w="0" w:type="dxa"/>
          </w:tblCellMar>
        </w:tblPrEx>
        <w:trPr>
          <w:wBefore w:w="0" w:type="auto"/>
          <w:tblCellSpacing w:w="0" w:type="dxa"/>
        </w:trPr>
        <w:tc>
          <w:tcPr>
            <w:tcW w:w="0" w:type="auto"/>
            <w:noWrap w:val="0"/>
            <w:vAlign w:val="center"/>
          </w:tcPr>
          <w:p w14:paraId="4BC664FE">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本品应贮存在干燥、阴凉、通风、防雨处，远离火源或热源。置于儿童、无关人员及动物触及不到之处，并加锁保存。勿与食品、饮料、饲料和粮食等及其它易燃易爆物品同贮同运。</w:t>
            </w:r>
          </w:p>
        </w:tc>
      </w:tr>
      <w:tr w14:paraId="363373D1">
        <w:tblPrEx>
          <w:tblCellMar>
            <w:top w:w="0" w:type="dxa"/>
            <w:left w:w="0" w:type="dxa"/>
            <w:bottom w:w="0" w:type="dxa"/>
            <w:right w:w="0" w:type="dxa"/>
          </w:tblCellMar>
        </w:tblPrEx>
        <w:trPr>
          <w:wBefore w:w="0" w:type="auto"/>
          <w:tblCellSpacing w:w="0" w:type="dxa"/>
        </w:trPr>
        <w:tc>
          <w:tcPr>
            <w:tcW w:w="0" w:type="auto"/>
            <w:noWrap w:val="0"/>
            <w:vAlign w:val="center"/>
          </w:tcPr>
          <w:p w14:paraId="7956A70E">
            <w:r>
              <w:rPr>
                <w:rStyle w:val="10"/>
                <w:rFonts w:hint="eastAsia"/>
              </w:rPr>
              <w:t>质量保证期：</w:t>
            </w:r>
            <w:r>
              <w:rPr>
                <w:rStyle w:val="11"/>
                <w:rFonts w:hint="eastAsia"/>
              </w:rPr>
              <w:t>2年</w:t>
            </w:r>
          </w:p>
        </w:tc>
      </w:tr>
      <w:tr w14:paraId="37F4A160">
        <w:tblPrEx>
          <w:tblCellMar>
            <w:top w:w="0" w:type="dxa"/>
            <w:left w:w="0" w:type="dxa"/>
            <w:bottom w:w="0" w:type="dxa"/>
            <w:right w:w="0" w:type="dxa"/>
          </w:tblCellMar>
        </w:tblPrEx>
        <w:trPr>
          <w:wBefore w:w="0" w:type="auto"/>
          <w:tblCellSpacing w:w="0" w:type="dxa"/>
        </w:trPr>
        <w:tc>
          <w:tcPr>
            <w:tcW w:w="0" w:type="auto"/>
            <w:noWrap w:val="0"/>
            <w:vAlign w:val="center"/>
          </w:tcPr>
          <w:p w14:paraId="43CABF8D">
            <w:r>
              <w:rPr>
                <w:rStyle w:val="10"/>
                <w:rFonts w:hint="eastAsia"/>
              </w:rPr>
              <w:t>备注：</w:t>
            </w:r>
          </w:p>
        </w:tc>
      </w:tr>
    </w:tbl>
    <w:p w14:paraId="09EC04C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1F6979D">
        <w:tblPrEx>
          <w:tblCellMar>
            <w:top w:w="0" w:type="dxa"/>
            <w:left w:w="0" w:type="dxa"/>
            <w:bottom w:w="0" w:type="dxa"/>
            <w:right w:w="0" w:type="dxa"/>
          </w:tblCellMar>
        </w:tblPrEx>
        <w:trPr>
          <w:wBefore w:w="0" w:type="auto"/>
          <w:tblCellSpacing w:w="0" w:type="dxa"/>
        </w:trPr>
        <w:tc>
          <w:tcPr>
            <w:tcW w:w="0" w:type="auto"/>
            <w:noWrap w:val="0"/>
            <w:vAlign w:val="center"/>
          </w:tcPr>
          <w:p w14:paraId="56A515FF">
            <w:r>
              <w:rPr>
                <w:rStyle w:val="10"/>
                <w:rFonts w:hint="eastAsia"/>
              </w:rPr>
              <w:t>登记证号：</w:t>
            </w:r>
            <w:r>
              <w:rPr>
                <w:rFonts w:hint="eastAsia"/>
              </w:rPr>
              <w:t>WP20210272</w:t>
            </w:r>
          </w:p>
        </w:tc>
      </w:tr>
      <w:tr w14:paraId="5B9911A0">
        <w:tblPrEx>
          <w:tblCellMar>
            <w:top w:w="0" w:type="dxa"/>
            <w:left w:w="0" w:type="dxa"/>
            <w:bottom w:w="0" w:type="dxa"/>
            <w:right w:w="0" w:type="dxa"/>
          </w:tblCellMar>
        </w:tblPrEx>
        <w:trPr>
          <w:wBefore w:w="0" w:type="auto"/>
          <w:tblCellSpacing w:w="0" w:type="dxa"/>
        </w:trPr>
        <w:tc>
          <w:tcPr>
            <w:tcW w:w="0" w:type="auto"/>
            <w:noWrap w:val="0"/>
            <w:vAlign w:val="center"/>
          </w:tcPr>
          <w:p w14:paraId="058DE70D">
            <w:r>
              <w:rPr>
                <w:rStyle w:val="10"/>
                <w:rFonts w:hint="eastAsia"/>
              </w:rPr>
              <w:t>登记证持有人：</w:t>
            </w:r>
            <w:r>
              <w:rPr>
                <w:rFonts w:hint="eastAsia"/>
              </w:rPr>
              <w:t>河北赛丰生物科技有限公司</w:t>
            </w:r>
          </w:p>
        </w:tc>
      </w:tr>
      <w:tr w14:paraId="7955FDAF">
        <w:tblPrEx>
          <w:tblCellMar>
            <w:top w:w="0" w:type="dxa"/>
            <w:left w:w="0" w:type="dxa"/>
            <w:bottom w:w="0" w:type="dxa"/>
            <w:right w:w="0" w:type="dxa"/>
          </w:tblCellMar>
        </w:tblPrEx>
        <w:trPr>
          <w:wBefore w:w="0" w:type="auto"/>
          <w:tblCellSpacing w:w="0" w:type="dxa"/>
        </w:trPr>
        <w:tc>
          <w:tcPr>
            <w:tcW w:w="0" w:type="auto"/>
            <w:noWrap w:val="0"/>
            <w:vAlign w:val="center"/>
          </w:tcPr>
          <w:p w14:paraId="7CB32A93">
            <w:r>
              <w:rPr>
                <w:rStyle w:val="10"/>
                <w:rFonts w:hint="eastAsia"/>
              </w:rPr>
              <w:t>农药名称：</w:t>
            </w:r>
            <w:r>
              <w:rPr>
                <w:rFonts w:hint="eastAsia"/>
              </w:rPr>
              <w:t>联苯菊酯</w:t>
            </w:r>
          </w:p>
        </w:tc>
      </w:tr>
      <w:tr w14:paraId="6CDBB38E">
        <w:tblPrEx>
          <w:tblCellMar>
            <w:top w:w="0" w:type="dxa"/>
            <w:left w:w="0" w:type="dxa"/>
            <w:bottom w:w="0" w:type="dxa"/>
            <w:right w:w="0" w:type="dxa"/>
          </w:tblCellMar>
        </w:tblPrEx>
        <w:trPr>
          <w:wBefore w:w="0" w:type="auto"/>
          <w:tblCellSpacing w:w="0" w:type="dxa"/>
        </w:trPr>
        <w:tc>
          <w:tcPr>
            <w:tcW w:w="0" w:type="auto"/>
            <w:noWrap w:val="0"/>
            <w:vAlign w:val="center"/>
          </w:tcPr>
          <w:p w14:paraId="01BFFEE1">
            <w:r>
              <w:rPr>
                <w:rStyle w:val="10"/>
                <w:rFonts w:hint="eastAsia"/>
              </w:rPr>
              <w:t>剂型：</w:t>
            </w:r>
            <w:r>
              <w:rPr>
                <w:rFonts w:hint="eastAsia"/>
              </w:rPr>
              <w:t>微囊悬浮剂</w:t>
            </w:r>
          </w:p>
        </w:tc>
      </w:tr>
      <w:tr w14:paraId="513F6883">
        <w:tblPrEx>
          <w:tblCellMar>
            <w:top w:w="0" w:type="dxa"/>
            <w:left w:w="0" w:type="dxa"/>
            <w:bottom w:w="0" w:type="dxa"/>
            <w:right w:w="0" w:type="dxa"/>
          </w:tblCellMar>
        </w:tblPrEx>
        <w:trPr>
          <w:wBefore w:w="0" w:type="auto"/>
          <w:tblCellSpacing w:w="0" w:type="dxa"/>
        </w:trPr>
        <w:tc>
          <w:tcPr>
            <w:tcW w:w="0" w:type="auto"/>
            <w:noWrap w:val="0"/>
            <w:vAlign w:val="center"/>
          </w:tcPr>
          <w:p w14:paraId="0E71D2E4">
            <w:r>
              <w:rPr>
                <w:rStyle w:val="10"/>
                <w:rFonts w:hint="eastAsia"/>
              </w:rPr>
              <w:t>毒性及其标识：</w:t>
            </w:r>
            <w:r>
              <w:rPr>
                <w:rFonts w:hint="eastAsia"/>
              </w:rPr>
              <w:t xml:space="preserve"> </w:t>
            </w:r>
            <w:r>
              <w:rPr>
                <w:lang/>
              </w:rPr>
              <w:drawing>
                <wp:inline distT="0" distB="0" distL="114300" distR="114300">
                  <wp:extent cx="476250" cy="323850"/>
                  <wp:effectExtent l="0" t="0" r="0" b="0"/>
                  <wp:docPr id="540" name="图片 54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86395B6">
        <w:tblPrEx>
          <w:tblCellMar>
            <w:top w:w="0" w:type="dxa"/>
            <w:left w:w="0" w:type="dxa"/>
            <w:bottom w:w="0" w:type="dxa"/>
            <w:right w:w="0" w:type="dxa"/>
          </w:tblCellMar>
        </w:tblPrEx>
        <w:trPr>
          <w:wBefore w:w="0" w:type="auto"/>
          <w:tblCellSpacing w:w="0" w:type="dxa"/>
        </w:trPr>
        <w:tc>
          <w:tcPr>
            <w:tcW w:w="0" w:type="auto"/>
            <w:noWrap w:val="0"/>
            <w:vAlign w:val="center"/>
          </w:tcPr>
          <w:p w14:paraId="2CEB3DCB">
            <w:r>
              <w:rPr>
                <w:rStyle w:val="10"/>
                <w:rFonts w:hint="eastAsia"/>
              </w:rPr>
              <w:t>总有效成分含量：</w:t>
            </w:r>
            <w:r>
              <w:rPr>
                <w:rFonts w:hint="eastAsia"/>
              </w:rPr>
              <w:t>10%</w:t>
            </w:r>
          </w:p>
        </w:tc>
      </w:tr>
      <w:tr w14:paraId="62ECE253">
        <w:tblPrEx>
          <w:tblCellMar>
            <w:top w:w="0" w:type="dxa"/>
            <w:left w:w="0" w:type="dxa"/>
            <w:bottom w:w="0" w:type="dxa"/>
            <w:right w:w="0" w:type="dxa"/>
          </w:tblCellMar>
        </w:tblPrEx>
        <w:trPr>
          <w:wBefore w:w="0" w:type="auto"/>
          <w:tblCellSpacing w:w="0" w:type="dxa"/>
        </w:trPr>
        <w:tc>
          <w:tcPr>
            <w:tcW w:w="0" w:type="auto"/>
            <w:noWrap w:val="0"/>
            <w:vAlign w:val="center"/>
          </w:tcPr>
          <w:p w14:paraId="2FA14252">
            <w:r>
              <w:rPr>
                <w:rFonts w:hint="eastAsia"/>
              </w:rPr>
              <w:t xml:space="preserve">有效成分及其含量： </w:t>
            </w:r>
          </w:p>
          <w:p w14:paraId="33D2D2F7">
            <w:r>
              <w:rPr>
                <w:rFonts w:hint="eastAsia"/>
              </w:rPr>
              <w:t xml:space="preserve">    联苯菊酯10%    </w:t>
            </w:r>
          </w:p>
        </w:tc>
      </w:tr>
      <w:tr w14:paraId="3A80B2DA">
        <w:tblPrEx>
          <w:tblCellMar>
            <w:top w:w="0" w:type="dxa"/>
            <w:left w:w="0" w:type="dxa"/>
            <w:bottom w:w="0" w:type="dxa"/>
            <w:right w:w="0" w:type="dxa"/>
          </w:tblCellMar>
        </w:tblPrEx>
        <w:trPr>
          <w:wBefore w:w="0" w:type="auto"/>
          <w:tblCellSpacing w:w="0" w:type="dxa"/>
        </w:trPr>
        <w:tc>
          <w:tcPr>
            <w:tcW w:w="0" w:type="auto"/>
            <w:noWrap w:val="0"/>
            <w:vAlign w:val="center"/>
          </w:tcPr>
          <w:p w14:paraId="592CF49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672AF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10A15D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5C838A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E82B44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C82E5A7">
                  <w:r>
                    <w:rPr>
                      <w:rStyle w:val="11"/>
                      <w:rFonts w:hint="eastAsia"/>
                    </w:rPr>
                    <w:t>施用方式</w:t>
                  </w:r>
                </w:p>
              </w:tc>
            </w:tr>
            <w:tr w14:paraId="15CDE01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66F384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B50824">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E8F079">
                  <w:r>
                    <w:rPr>
                      <w:rStyle w:val="11"/>
                      <w:rFonts w:hint="eastAsia"/>
                    </w:rPr>
                    <w:t>0.6毫升/平方米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7D4C08">
                  <w:r>
                    <w:rPr>
                      <w:rStyle w:val="11"/>
                      <w:rFonts w:hint="eastAsia"/>
                    </w:rPr>
                    <w:t>滞留喷洒</w:t>
                  </w:r>
                </w:p>
              </w:tc>
            </w:tr>
            <w:tr w14:paraId="2DB05F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156824C">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1C53B0">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F7F356">
                  <w:r>
                    <w:rPr>
                      <w:rStyle w:val="11"/>
                      <w:rFonts w:hint="eastAsia"/>
                    </w:rPr>
                    <w:t>0.6毫升/平方米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E5FFF2">
                  <w:r>
                    <w:rPr>
                      <w:rStyle w:val="11"/>
                      <w:rFonts w:hint="eastAsia"/>
                    </w:rPr>
                    <w:t>滞留喷洒</w:t>
                  </w:r>
                </w:p>
              </w:tc>
            </w:tr>
          </w:tbl>
          <w:p w14:paraId="08F60B99">
            <w:pPr>
              <w:rPr>
                <w:rFonts w:ascii="Times New Roman" w:hAnsi="Times New Roman" w:cs="Times New Roman"/>
                <w:sz w:val="20"/>
                <w:szCs w:val="20"/>
              </w:rPr>
            </w:pPr>
          </w:p>
        </w:tc>
      </w:tr>
      <w:tr w14:paraId="0D195B2B">
        <w:tblPrEx>
          <w:tblCellMar>
            <w:top w:w="0" w:type="dxa"/>
            <w:left w:w="0" w:type="dxa"/>
            <w:bottom w:w="0" w:type="dxa"/>
            <w:right w:w="0" w:type="dxa"/>
          </w:tblCellMar>
        </w:tblPrEx>
        <w:trPr>
          <w:wBefore w:w="0" w:type="auto"/>
          <w:tblCellSpacing w:w="0" w:type="dxa"/>
        </w:trPr>
        <w:tc>
          <w:tcPr>
            <w:tcW w:w="0" w:type="auto"/>
            <w:noWrap w:val="0"/>
            <w:vAlign w:val="center"/>
          </w:tcPr>
          <w:p w14:paraId="48ED67D3">
            <w:r>
              <w:rPr>
                <w:rStyle w:val="10"/>
                <w:rFonts w:hint="eastAsia"/>
              </w:rPr>
              <w:t>使用技术要求:</w:t>
            </w:r>
            <w:r>
              <w:rPr>
                <w:rFonts w:hint="eastAsia"/>
              </w:rPr>
              <w:br w:type="textWrapping"/>
            </w:r>
            <w:r>
              <w:rPr>
                <w:rStyle w:val="11"/>
                <w:rFonts w:hint="eastAsia"/>
              </w:rPr>
              <w:t>1. 使用时，将本品按60毫克/平米制剂用药量，按100-150倍液用水稀释并混匀后，全面均匀喷洒于卫生蚊、蝇出没或栖息地。</w:t>
            </w:r>
          </w:p>
        </w:tc>
      </w:tr>
      <w:tr w14:paraId="5BA7D225">
        <w:tblPrEx>
          <w:tblCellMar>
            <w:top w:w="0" w:type="dxa"/>
            <w:left w:w="0" w:type="dxa"/>
            <w:bottom w:w="0" w:type="dxa"/>
            <w:right w:w="0" w:type="dxa"/>
          </w:tblCellMar>
        </w:tblPrEx>
        <w:trPr>
          <w:wBefore w:w="0" w:type="auto"/>
          <w:tblCellSpacing w:w="0" w:type="dxa"/>
        </w:trPr>
        <w:tc>
          <w:tcPr>
            <w:tcW w:w="0" w:type="auto"/>
            <w:noWrap w:val="0"/>
            <w:vAlign w:val="center"/>
          </w:tcPr>
          <w:p w14:paraId="3B9BFACD">
            <w:r>
              <w:rPr>
                <w:rStyle w:val="10"/>
                <w:rFonts w:hint="eastAsia"/>
              </w:rPr>
              <w:t>产品性能:</w:t>
            </w:r>
            <w:r>
              <w:rPr>
                <w:rFonts w:hint="eastAsia"/>
              </w:rPr>
              <w:br w:type="textWrapping"/>
            </w:r>
            <w:r>
              <w:rPr>
                <w:rStyle w:val="11"/>
                <w:rFonts w:hint="eastAsia"/>
              </w:rPr>
              <w:t>本品是拟除虫菊酯类卫生杀虫剂。具预防、灭治双重防效，可有效防治卫生蚊、蝇。</w:t>
            </w:r>
          </w:p>
        </w:tc>
      </w:tr>
      <w:tr w14:paraId="2D59668B">
        <w:tblPrEx>
          <w:tblCellMar>
            <w:top w:w="0" w:type="dxa"/>
            <w:left w:w="0" w:type="dxa"/>
            <w:bottom w:w="0" w:type="dxa"/>
            <w:right w:w="0" w:type="dxa"/>
          </w:tblCellMar>
        </w:tblPrEx>
        <w:trPr>
          <w:wBefore w:w="0" w:type="auto"/>
          <w:tblCellSpacing w:w="0" w:type="dxa"/>
        </w:trPr>
        <w:tc>
          <w:tcPr>
            <w:tcW w:w="0" w:type="auto"/>
            <w:noWrap w:val="0"/>
            <w:vAlign w:val="center"/>
          </w:tcPr>
          <w:p w14:paraId="6D388A5C">
            <w:r>
              <w:rPr>
                <w:rStyle w:val="10"/>
                <w:rFonts w:hint="eastAsia"/>
              </w:rPr>
              <w:t>注意事项：</w:t>
            </w:r>
            <w:r>
              <w:rPr>
                <w:rFonts w:hint="eastAsia"/>
              </w:rPr>
              <w:br w:type="textWrapping"/>
            </w:r>
            <w:r>
              <w:rPr>
                <w:rStyle w:val="11"/>
                <w:rFonts w:hint="eastAsia"/>
              </w:rPr>
              <w:t>1.本品仅用于家庭、宾馆、饭店、养殖场等室内卫生场所，应置于儿童接触不到的地方，避免误食。2.本品使用时，避免药剂直接接触眼睛、皮肤或衣物。应佩戴防护眼镜、穿防护服、带橡胶手套、口罩、现配现用，加水稀释后请勿久置，不能与强酸或强碱性物质混用。3.使用后及时洗手、洗脸、清洗暴露在外的皮肤和工作服。4.本品对鱼、蚕、蜜蜂等有毒，施药时避免对周围蜂群的影响，开花植物花期、蚕室内及桑园附近禁用，远离水产养殖区及河塘等水域施药，禁止在河塘等水体中清洗施药器具。使用时避免接触鱼缸。鸟类放飞区禁用。5.过敏者禁用，使用中有任何不良反应请及时就医。6.未用完的制剂应放在原包装内密封保存，切勿将本品置于饮食容器内。用过的容器或空包装应妥善处置，不可做他用，也不可随意丢弃。避免与氧化剂接触。7.孕妇及哺乳期妇女禁止接触本品。</w:t>
            </w:r>
          </w:p>
        </w:tc>
      </w:tr>
      <w:tr w14:paraId="1B0E1FB1">
        <w:tblPrEx>
          <w:tblCellMar>
            <w:top w:w="0" w:type="dxa"/>
            <w:left w:w="0" w:type="dxa"/>
            <w:bottom w:w="0" w:type="dxa"/>
            <w:right w:w="0" w:type="dxa"/>
          </w:tblCellMar>
        </w:tblPrEx>
        <w:trPr>
          <w:wBefore w:w="0" w:type="auto"/>
          <w:tblCellSpacing w:w="0" w:type="dxa"/>
        </w:trPr>
        <w:tc>
          <w:tcPr>
            <w:tcW w:w="0" w:type="auto"/>
            <w:noWrap w:val="0"/>
            <w:vAlign w:val="center"/>
          </w:tcPr>
          <w:p w14:paraId="46ECA4B0">
            <w:r>
              <w:rPr>
                <w:rStyle w:val="10"/>
                <w:rFonts w:hint="eastAsia"/>
              </w:rPr>
              <w:t>中毒急救措施：</w:t>
            </w:r>
            <w:r>
              <w:rPr>
                <w:rFonts w:hint="eastAsia"/>
              </w:rPr>
              <w:br w:type="textWrapping"/>
            </w:r>
            <w:r>
              <w:rPr>
                <w:rStyle w:val="11"/>
                <w:rFonts w:hint="eastAsia"/>
              </w:rPr>
              <w:t>中毒症状：表现为抽搐、痉挛、恶心、呕吐等。用药时如果感觉不适，立即停止工作，采取急救措施，并携此标签送医就诊。 不慎接触皮肤：立即脱去被污染的衣物，用肥皂和大量清水冲洗皮肤暴露部位，请医生诊治。不慎接触眼睛：立即翻开眼睑，用流动清水或生理盐水冲洗至少15分钟，请医生诊治。吸入：立即将吸入者转移到空气清新处，如吸入者停止呼吸，立即进行人工呼吸，请医生诊治。不慎误食：立即用清水漱口，再携带产品标签送医就诊，对症治疗。</w:t>
            </w:r>
          </w:p>
        </w:tc>
      </w:tr>
      <w:tr w14:paraId="49B52A22">
        <w:tblPrEx>
          <w:tblCellMar>
            <w:top w:w="0" w:type="dxa"/>
            <w:left w:w="0" w:type="dxa"/>
            <w:bottom w:w="0" w:type="dxa"/>
            <w:right w:w="0" w:type="dxa"/>
          </w:tblCellMar>
        </w:tblPrEx>
        <w:trPr>
          <w:wBefore w:w="0" w:type="auto"/>
          <w:tblCellSpacing w:w="0" w:type="dxa"/>
        </w:trPr>
        <w:tc>
          <w:tcPr>
            <w:tcW w:w="0" w:type="auto"/>
            <w:noWrap w:val="0"/>
            <w:vAlign w:val="center"/>
          </w:tcPr>
          <w:p w14:paraId="65847BF9">
            <w:r>
              <w:rPr>
                <w:rStyle w:val="10"/>
                <w:rFonts w:hint="eastAsia"/>
              </w:rPr>
              <w:t>储存和运输方法：</w:t>
            </w:r>
            <w:r>
              <w:rPr>
                <w:rFonts w:hint="eastAsia"/>
              </w:rPr>
              <w:br w:type="textWrapping"/>
            </w:r>
            <w:r>
              <w:rPr>
                <w:rStyle w:val="11"/>
                <w:rFonts w:hint="eastAsia"/>
              </w:rPr>
              <w:t>1.本品应贮存在阴凉、干燥、通风、防雨处，严防潮湿和日晒；2.远离火源与热源；3.置于儿童、无关人员及动物接触不到的地方，并加锁保存；4.勿与食物、饮料、种子、粮食、饲料、易爆品、强氧化剂等同贮同运。</w:t>
            </w:r>
          </w:p>
        </w:tc>
      </w:tr>
      <w:tr w14:paraId="288539FF">
        <w:tblPrEx>
          <w:tblCellMar>
            <w:top w:w="0" w:type="dxa"/>
            <w:left w:w="0" w:type="dxa"/>
            <w:bottom w:w="0" w:type="dxa"/>
            <w:right w:w="0" w:type="dxa"/>
          </w:tblCellMar>
        </w:tblPrEx>
        <w:trPr>
          <w:wBefore w:w="0" w:type="auto"/>
          <w:tblCellSpacing w:w="0" w:type="dxa"/>
        </w:trPr>
        <w:tc>
          <w:tcPr>
            <w:tcW w:w="0" w:type="auto"/>
            <w:noWrap w:val="0"/>
            <w:vAlign w:val="center"/>
          </w:tcPr>
          <w:p w14:paraId="31860C8D">
            <w:r>
              <w:rPr>
                <w:rStyle w:val="10"/>
                <w:rFonts w:hint="eastAsia"/>
              </w:rPr>
              <w:t>质量保证期：</w:t>
            </w:r>
            <w:r>
              <w:rPr>
                <w:rStyle w:val="11"/>
                <w:rFonts w:hint="eastAsia"/>
              </w:rPr>
              <w:t>2</w:t>
            </w:r>
          </w:p>
        </w:tc>
      </w:tr>
      <w:tr w14:paraId="13B4BB53">
        <w:tblPrEx>
          <w:tblCellMar>
            <w:top w:w="0" w:type="dxa"/>
            <w:left w:w="0" w:type="dxa"/>
            <w:bottom w:w="0" w:type="dxa"/>
            <w:right w:w="0" w:type="dxa"/>
          </w:tblCellMar>
        </w:tblPrEx>
        <w:trPr>
          <w:wBefore w:w="0" w:type="auto"/>
          <w:tblCellSpacing w:w="0" w:type="dxa"/>
        </w:trPr>
        <w:tc>
          <w:tcPr>
            <w:tcW w:w="0" w:type="auto"/>
            <w:noWrap w:val="0"/>
            <w:vAlign w:val="center"/>
          </w:tcPr>
          <w:p w14:paraId="75A17C5C">
            <w:r>
              <w:rPr>
                <w:rStyle w:val="10"/>
                <w:rFonts w:hint="eastAsia"/>
              </w:rPr>
              <w:t>备注：</w:t>
            </w:r>
          </w:p>
        </w:tc>
      </w:tr>
    </w:tbl>
    <w:p w14:paraId="32B11E7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BD03B46">
        <w:tblPrEx>
          <w:tblCellMar>
            <w:top w:w="0" w:type="dxa"/>
            <w:left w:w="0" w:type="dxa"/>
            <w:bottom w:w="0" w:type="dxa"/>
            <w:right w:w="0" w:type="dxa"/>
          </w:tblCellMar>
        </w:tblPrEx>
        <w:trPr>
          <w:wBefore w:w="0" w:type="auto"/>
          <w:tblCellSpacing w:w="0" w:type="dxa"/>
        </w:trPr>
        <w:tc>
          <w:tcPr>
            <w:tcW w:w="0" w:type="auto"/>
            <w:noWrap w:val="0"/>
            <w:vAlign w:val="center"/>
          </w:tcPr>
          <w:p w14:paraId="41C50178">
            <w:r>
              <w:rPr>
                <w:rStyle w:val="10"/>
                <w:rFonts w:hint="eastAsia"/>
              </w:rPr>
              <w:t>登记证号：</w:t>
            </w:r>
            <w:r>
              <w:rPr>
                <w:rFonts w:hint="eastAsia"/>
              </w:rPr>
              <w:t>PD20211707</w:t>
            </w:r>
          </w:p>
        </w:tc>
      </w:tr>
      <w:tr w14:paraId="2CA09FB3">
        <w:tblPrEx>
          <w:tblCellMar>
            <w:top w:w="0" w:type="dxa"/>
            <w:left w:w="0" w:type="dxa"/>
            <w:bottom w:w="0" w:type="dxa"/>
            <w:right w:w="0" w:type="dxa"/>
          </w:tblCellMar>
        </w:tblPrEx>
        <w:trPr>
          <w:wBefore w:w="0" w:type="auto"/>
          <w:tblCellSpacing w:w="0" w:type="dxa"/>
        </w:trPr>
        <w:tc>
          <w:tcPr>
            <w:tcW w:w="0" w:type="auto"/>
            <w:noWrap w:val="0"/>
            <w:vAlign w:val="center"/>
          </w:tcPr>
          <w:p w14:paraId="53AAA0DE">
            <w:r>
              <w:rPr>
                <w:rStyle w:val="10"/>
                <w:rFonts w:hint="eastAsia"/>
              </w:rPr>
              <w:t>登记证持有人：</w:t>
            </w:r>
            <w:r>
              <w:rPr>
                <w:rFonts w:hint="eastAsia"/>
              </w:rPr>
              <w:t>河南小龙人农业科技有限公司</w:t>
            </w:r>
          </w:p>
        </w:tc>
      </w:tr>
      <w:tr w14:paraId="397C7B92">
        <w:tblPrEx>
          <w:tblCellMar>
            <w:top w:w="0" w:type="dxa"/>
            <w:left w:w="0" w:type="dxa"/>
            <w:bottom w:w="0" w:type="dxa"/>
            <w:right w:w="0" w:type="dxa"/>
          </w:tblCellMar>
        </w:tblPrEx>
        <w:trPr>
          <w:wBefore w:w="0" w:type="auto"/>
          <w:tblCellSpacing w:w="0" w:type="dxa"/>
        </w:trPr>
        <w:tc>
          <w:tcPr>
            <w:tcW w:w="0" w:type="auto"/>
            <w:noWrap w:val="0"/>
            <w:vAlign w:val="center"/>
          </w:tcPr>
          <w:p w14:paraId="5A3A8F39">
            <w:r>
              <w:rPr>
                <w:rStyle w:val="10"/>
                <w:rFonts w:hint="eastAsia"/>
              </w:rPr>
              <w:t>农药名称：</w:t>
            </w:r>
            <w:r>
              <w:rPr>
                <w:rFonts w:hint="eastAsia"/>
              </w:rPr>
              <w:t>苯醚·咯·噻虫</w:t>
            </w:r>
          </w:p>
        </w:tc>
      </w:tr>
      <w:tr w14:paraId="493F96DB">
        <w:tblPrEx>
          <w:tblCellMar>
            <w:top w:w="0" w:type="dxa"/>
            <w:left w:w="0" w:type="dxa"/>
            <w:bottom w:w="0" w:type="dxa"/>
            <w:right w:w="0" w:type="dxa"/>
          </w:tblCellMar>
        </w:tblPrEx>
        <w:trPr>
          <w:wBefore w:w="0" w:type="auto"/>
          <w:tblCellSpacing w:w="0" w:type="dxa"/>
        </w:trPr>
        <w:tc>
          <w:tcPr>
            <w:tcW w:w="0" w:type="auto"/>
            <w:noWrap w:val="0"/>
            <w:vAlign w:val="center"/>
          </w:tcPr>
          <w:p w14:paraId="613EB2C1">
            <w:r>
              <w:rPr>
                <w:rStyle w:val="10"/>
                <w:rFonts w:hint="eastAsia"/>
              </w:rPr>
              <w:t>剂型：</w:t>
            </w:r>
            <w:r>
              <w:rPr>
                <w:rFonts w:hint="eastAsia"/>
              </w:rPr>
              <w:t>种子处理悬浮剂</w:t>
            </w:r>
          </w:p>
        </w:tc>
      </w:tr>
      <w:tr w14:paraId="0C84D8B8">
        <w:tblPrEx>
          <w:tblCellMar>
            <w:top w:w="0" w:type="dxa"/>
            <w:left w:w="0" w:type="dxa"/>
            <w:bottom w:w="0" w:type="dxa"/>
            <w:right w:w="0" w:type="dxa"/>
          </w:tblCellMar>
        </w:tblPrEx>
        <w:trPr>
          <w:wBefore w:w="0" w:type="auto"/>
          <w:tblCellSpacing w:w="0" w:type="dxa"/>
        </w:trPr>
        <w:tc>
          <w:tcPr>
            <w:tcW w:w="0" w:type="auto"/>
            <w:noWrap w:val="0"/>
            <w:vAlign w:val="center"/>
          </w:tcPr>
          <w:p w14:paraId="59EFEC3C">
            <w:r>
              <w:rPr>
                <w:rStyle w:val="10"/>
                <w:rFonts w:hint="eastAsia"/>
              </w:rPr>
              <w:t>毒性及其标识：</w:t>
            </w:r>
            <w:r>
              <w:rPr>
                <w:rFonts w:hint="eastAsia"/>
              </w:rPr>
              <w:t xml:space="preserve"> </w:t>
            </w:r>
            <w:r>
              <w:rPr>
                <w:lang/>
              </w:rPr>
              <w:drawing>
                <wp:inline distT="0" distB="0" distL="114300" distR="114300">
                  <wp:extent cx="476250" cy="323850"/>
                  <wp:effectExtent l="0" t="0" r="0" b="0"/>
                  <wp:docPr id="541" name="图片 54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64AA3BE">
        <w:tblPrEx>
          <w:tblCellMar>
            <w:top w:w="0" w:type="dxa"/>
            <w:left w:w="0" w:type="dxa"/>
            <w:bottom w:w="0" w:type="dxa"/>
            <w:right w:w="0" w:type="dxa"/>
          </w:tblCellMar>
        </w:tblPrEx>
        <w:trPr>
          <w:wBefore w:w="0" w:type="auto"/>
          <w:tblCellSpacing w:w="0" w:type="dxa"/>
        </w:trPr>
        <w:tc>
          <w:tcPr>
            <w:tcW w:w="0" w:type="auto"/>
            <w:noWrap w:val="0"/>
            <w:vAlign w:val="center"/>
          </w:tcPr>
          <w:p w14:paraId="7AF4465E">
            <w:r>
              <w:rPr>
                <w:rStyle w:val="10"/>
                <w:rFonts w:hint="eastAsia"/>
              </w:rPr>
              <w:t>总有效成分含量：</w:t>
            </w:r>
            <w:r>
              <w:rPr>
                <w:rFonts w:hint="eastAsia"/>
              </w:rPr>
              <w:t>12%</w:t>
            </w:r>
          </w:p>
        </w:tc>
      </w:tr>
      <w:tr w14:paraId="76C135DE">
        <w:tblPrEx>
          <w:tblCellMar>
            <w:top w:w="0" w:type="dxa"/>
            <w:left w:w="0" w:type="dxa"/>
            <w:bottom w:w="0" w:type="dxa"/>
            <w:right w:w="0" w:type="dxa"/>
          </w:tblCellMar>
        </w:tblPrEx>
        <w:trPr>
          <w:wBefore w:w="0" w:type="auto"/>
          <w:tblCellSpacing w:w="0" w:type="dxa"/>
        </w:trPr>
        <w:tc>
          <w:tcPr>
            <w:tcW w:w="0" w:type="auto"/>
            <w:noWrap w:val="0"/>
            <w:vAlign w:val="center"/>
          </w:tcPr>
          <w:p w14:paraId="4F931EB7">
            <w:r>
              <w:rPr>
                <w:rFonts w:hint="eastAsia"/>
              </w:rPr>
              <w:t xml:space="preserve">有效成分及其含量： </w:t>
            </w:r>
          </w:p>
          <w:p w14:paraId="65078D4B">
            <w:r>
              <w:rPr>
                <w:rFonts w:hint="eastAsia"/>
              </w:rPr>
              <w:t xml:space="preserve">    苯醚甲环唑0.3%    咯菌腈0.3%    噻虫嗪11.4%    </w:t>
            </w:r>
          </w:p>
        </w:tc>
      </w:tr>
      <w:tr w14:paraId="65FFE56C">
        <w:tblPrEx>
          <w:tblCellMar>
            <w:top w:w="0" w:type="dxa"/>
            <w:left w:w="0" w:type="dxa"/>
            <w:bottom w:w="0" w:type="dxa"/>
            <w:right w:w="0" w:type="dxa"/>
          </w:tblCellMar>
        </w:tblPrEx>
        <w:trPr>
          <w:wBefore w:w="0" w:type="auto"/>
          <w:tblCellSpacing w:w="0" w:type="dxa"/>
        </w:trPr>
        <w:tc>
          <w:tcPr>
            <w:tcW w:w="0" w:type="auto"/>
            <w:noWrap w:val="0"/>
            <w:vAlign w:val="center"/>
          </w:tcPr>
          <w:p w14:paraId="3BAB2F8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38C48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274DAE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8E40D5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FBAFE9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137165C">
                  <w:r>
                    <w:rPr>
                      <w:rStyle w:val="11"/>
                      <w:rFonts w:hint="eastAsia"/>
                    </w:rPr>
                    <w:t>施用方式</w:t>
                  </w:r>
                </w:p>
              </w:tc>
            </w:tr>
            <w:tr w14:paraId="49381C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BDDDBCA">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07106EF">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277AC3">
                  <w:r>
                    <w:rPr>
                      <w:rStyle w:val="11"/>
                      <w:rFonts w:hint="eastAsia"/>
                    </w:rPr>
                    <w:t>1325-1650毫升/100千克种子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0A51A9">
                  <w:r>
                    <w:rPr>
                      <w:rStyle w:val="11"/>
                      <w:rFonts w:hint="eastAsia"/>
                    </w:rPr>
                    <w:t>种衣包衣</w:t>
                  </w:r>
                </w:p>
              </w:tc>
            </w:tr>
            <w:tr w14:paraId="2D6416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586014">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7D19E6">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12D261">
                  <w:r>
                    <w:rPr>
                      <w:rStyle w:val="11"/>
                      <w:rFonts w:hint="eastAsia"/>
                    </w:rPr>
                    <w:t>1325-1650毫升/100千克种子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F288B2">
                  <w:r>
                    <w:rPr>
                      <w:rStyle w:val="11"/>
                      <w:rFonts w:hint="eastAsia"/>
                    </w:rPr>
                    <w:t>种子包衣</w:t>
                  </w:r>
                </w:p>
              </w:tc>
            </w:tr>
          </w:tbl>
          <w:p w14:paraId="0A78707C">
            <w:pPr>
              <w:rPr>
                <w:rFonts w:ascii="Times New Roman" w:hAnsi="Times New Roman" w:cs="Times New Roman"/>
                <w:sz w:val="20"/>
                <w:szCs w:val="20"/>
              </w:rPr>
            </w:pPr>
          </w:p>
        </w:tc>
      </w:tr>
      <w:tr w14:paraId="6ECD9723">
        <w:tblPrEx>
          <w:tblCellMar>
            <w:top w:w="0" w:type="dxa"/>
            <w:left w:w="0" w:type="dxa"/>
            <w:bottom w:w="0" w:type="dxa"/>
            <w:right w:w="0" w:type="dxa"/>
          </w:tblCellMar>
        </w:tblPrEx>
        <w:trPr>
          <w:wBefore w:w="0" w:type="auto"/>
          <w:tblCellSpacing w:w="0" w:type="dxa"/>
        </w:trPr>
        <w:tc>
          <w:tcPr>
            <w:tcW w:w="0" w:type="auto"/>
            <w:noWrap w:val="0"/>
            <w:vAlign w:val="center"/>
          </w:tcPr>
          <w:p w14:paraId="292AEDEF">
            <w:r>
              <w:rPr>
                <w:rStyle w:val="10"/>
                <w:rFonts w:hint="eastAsia"/>
              </w:rPr>
              <w:t>使用技术要求:</w:t>
            </w:r>
            <w:r>
              <w:rPr>
                <w:rFonts w:hint="eastAsia"/>
              </w:rPr>
              <w:br w:type="textWrapping"/>
            </w:r>
            <w:r>
              <w:rPr>
                <w:rStyle w:val="11"/>
                <w:rFonts w:hint="eastAsia"/>
              </w:rPr>
              <w:t>1.施药方法为种子包衣，建议播种前施药1次，将药剂用适量清水稀释后与种子混合均匀，自然晾干后播种。 2. 播种时需考虑低温、大雨等不良环境影响，适时播种。</w:t>
            </w:r>
          </w:p>
        </w:tc>
      </w:tr>
      <w:tr w14:paraId="01593B77">
        <w:tblPrEx>
          <w:tblCellMar>
            <w:top w:w="0" w:type="dxa"/>
            <w:left w:w="0" w:type="dxa"/>
            <w:bottom w:w="0" w:type="dxa"/>
            <w:right w:w="0" w:type="dxa"/>
          </w:tblCellMar>
        </w:tblPrEx>
        <w:trPr>
          <w:wBefore w:w="0" w:type="auto"/>
          <w:tblCellSpacing w:w="0" w:type="dxa"/>
        </w:trPr>
        <w:tc>
          <w:tcPr>
            <w:tcW w:w="0" w:type="auto"/>
            <w:noWrap w:val="0"/>
            <w:vAlign w:val="center"/>
          </w:tcPr>
          <w:p w14:paraId="60A2D5C9">
            <w:r>
              <w:rPr>
                <w:rStyle w:val="10"/>
                <w:rFonts w:hint="eastAsia"/>
              </w:rPr>
              <w:t>产品性能:</w:t>
            </w:r>
            <w:r>
              <w:rPr>
                <w:rFonts w:hint="eastAsia"/>
              </w:rPr>
              <w:br w:type="textWrapping"/>
            </w:r>
            <w:r>
              <w:rPr>
                <w:rStyle w:val="11"/>
                <w:rFonts w:hint="eastAsia"/>
              </w:rPr>
              <w:t xml:space="preserve">本品由苯醚甲环唑、咯菌腈和噻虫嗪三元复配而成。其中的噻虫嗪具有内吸向顶传导作用，可被作物根迅速内吸，并传导到植株各部位。咯菌腈对子囊菌、担子菌、半知菌等病原菌引起的种传和土传病害有较好的防效。苯醚甲环唑具有内吸传导，兼具预防和治疗活性，通过抑制真菌的麦角甾醇生物合成，使细胞膜形成受阻，从而导致真菌细胞死亡。本品用于种子包衣处理可有效防治小麦根腐病、蚜虫。 </w:t>
            </w:r>
          </w:p>
        </w:tc>
      </w:tr>
      <w:tr w14:paraId="00988952">
        <w:tblPrEx>
          <w:tblCellMar>
            <w:top w:w="0" w:type="dxa"/>
            <w:left w:w="0" w:type="dxa"/>
            <w:bottom w:w="0" w:type="dxa"/>
            <w:right w:w="0" w:type="dxa"/>
          </w:tblCellMar>
        </w:tblPrEx>
        <w:trPr>
          <w:wBefore w:w="0" w:type="auto"/>
          <w:tblCellSpacing w:w="0" w:type="dxa"/>
        </w:trPr>
        <w:tc>
          <w:tcPr>
            <w:tcW w:w="0" w:type="auto"/>
            <w:noWrap w:val="0"/>
            <w:vAlign w:val="center"/>
          </w:tcPr>
          <w:p w14:paraId="030293D0">
            <w:r>
              <w:rPr>
                <w:rStyle w:val="10"/>
                <w:rFonts w:hint="eastAsia"/>
              </w:rPr>
              <w:t>注意事项：</w:t>
            </w:r>
            <w:r>
              <w:rPr>
                <w:rFonts w:hint="eastAsia"/>
              </w:rPr>
              <w:br w:type="textWrapping"/>
            </w:r>
            <w:r>
              <w:rPr>
                <w:rStyle w:val="11"/>
                <w:rFonts w:hint="eastAsia"/>
              </w:rPr>
              <w:t>1.请按照农药安全使用准则使用本品。药液及其废液不得污染各类水域，土壤等环境。在种子处理过程中，避免药液接触皮肤、眼睛和污染衣物，避免吸入药液。 2.配药和种子处理应在通风处进行，使用时穿戴长衣、长裤、帽子、口罩、手套等安全防护措施。此时不可饮食、吸烟等。种子处理结束后，彻底清洗防护用具，洗澡，并更换和清洗工作服。 3.处理过的种子必须放置在有明显标签的容器内。勿与食物、饲料放在一起，不得饲喂禽畜，更不得用来加工饲料或食品。 4.鸟类保护区附近禁用，药剂拌种播种后必须覆土，严禁畜禽进入。 5.禁止在河塘等水域清洗施药器具。6.使用过的包装物应妥善处理，不可做他用，也不可随意丢弃。所有施药器具，用后应立即用清水或适当的洗涤剂清洗。7.未用完的制剂应放在原包装内密封保存，切勿将本品置于饮、食容器内。 8.孕妇及哺乳期的妇女避免接触本品。9.避免与氧化剂接触。</w:t>
            </w:r>
          </w:p>
        </w:tc>
      </w:tr>
      <w:tr w14:paraId="10FE4E80">
        <w:tblPrEx>
          <w:tblCellMar>
            <w:top w:w="0" w:type="dxa"/>
            <w:left w:w="0" w:type="dxa"/>
            <w:bottom w:w="0" w:type="dxa"/>
            <w:right w:w="0" w:type="dxa"/>
          </w:tblCellMar>
        </w:tblPrEx>
        <w:trPr>
          <w:wBefore w:w="0" w:type="auto"/>
          <w:tblCellSpacing w:w="0" w:type="dxa"/>
        </w:trPr>
        <w:tc>
          <w:tcPr>
            <w:tcW w:w="0" w:type="auto"/>
            <w:noWrap w:val="0"/>
            <w:vAlign w:val="center"/>
          </w:tcPr>
          <w:p w14:paraId="2C501B01">
            <w:r>
              <w:rPr>
                <w:rStyle w:val="10"/>
                <w:rFonts w:hint="eastAsia"/>
              </w:rPr>
              <w:t>中毒急救措施：</w:t>
            </w:r>
            <w:r>
              <w:rPr>
                <w:rFonts w:hint="eastAsia"/>
              </w:rPr>
              <w:br w:type="textWrapping"/>
            </w:r>
            <w:r>
              <w:rPr>
                <w:rStyle w:val="11"/>
                <w:rFonts w:hint="eastAsia"/>
              </w:rPr>
              <w:t xml:space="preserve">急救措施：使用中或使用后如果感觉不适，应立即停止工作，采取急救措施，并携带标签送医院就诊。 皮肤接触：立即脱去污染的衣物，用软布去除沾染农药，用大量清水和肥皂冲洗。 眼睛溅入：立即用流动清水冲洗不少于15分钟。 吸入：立即离开施药现场，转移到空气清新处。 误食：立即停止服用，用清水充分漱口后，携带农药标签到医院就诊。无特效解毒剂，对症治疗。紧急医疗措施：使用医用活性炭洗胃，洗胃时注意防止胃容物进入呼吸道。 </w:t>
            </w:r>
          </w:p>
        </w:tc>
      </w:tr>
      <w:tr w14:paraId="0C52CF8A">
        <w:tblPrEx>
          <w:tblCellMar>
            <w:top w:w="0" w:type="dxa"/>
            <w:left w:w="0" w:type="dxa"/>
            <w:bottom w:w="0" w:type="dxa"/>
            <w:right w:w="0" w:type="dxa"/>
          </w:tblCellMar>
        </w:tblPrEx>
        <w:trPr>
          <w:wBefore w:w="0" w:type="auto"/>
          <w:tblCellSpacing w:w="0" w:type="dxa"/>
        </w:trPr>
        <w:tc>
          <w:tcPr>
            <w:tcW w:w="0" w:type="auto"/>
            <w:noWrap w:val="0"/>
            <w:vAlign w:val="center"/>
          </w:tcPr>
          <w:p w14:paraId="30094B51">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本品应贮存在干燥、阴凉、通风、防雨处，远离火源或热源。置于儿童及无关人员触及不到的地方，并加锁保存。勿与食品、饮料、粮食、饲料等同贮同运。 </w:t>
            </w:r>
          </w:p>
        </w:tc>
      </w:tr>
      <w:tr w14:paraId="63305311">
        <w:tblPrEx>
          <w:tblCellMar>
            <w:top w:w="0" w:type="dxa"/>
            <w:left w:w="0" w:type="dxa"/>
            <w:bottom w:w="0" w:type="dxa"/>
            <w:right w:w="0" w:type="dxa"/>
          </w:tblCellMar>
        </w:tblPrEx>
        <w:trPr>
          <w:wBefore w:w="0" w:type="auto"/>
          <w:tblCellSpacing w:w="0" w:type="dxa"/>
        </w:trPr>
        <w:tc>
          <w:tcPr>
            <w:tcW w:w="0" w:type="auto"/>
            <w:noWrap w:val="0"/>
            <w:vAlign w:val="center"/>
          </w:tcPr>
          <w:p w14:paraId="071E182D">
            <w:r>
              <w:rPr>
                <w:rStyle w:val="10"/>
                <w:rFonts w:hint="eastAsia"/>
              </w:rPr>
              <w:t>质量保证期：</w:t>
            </w:r>
            <w:r>
              <w:rPr>
                <w:rStyle w:val="11"/>
                <w:rFonts w:hint="eastAsia"/>
              </w:rPr>
              <w:t>2年</w:t>
            </w:r>
          </w:p>
        </w:tc>
      </w:tr>
      <w:tr w14:paraId="6432E657">
        <w:tblPrEx>
          <w:tblCellMar>
            <w:top w:w="0" w:type="dxa"/>
            <w:left w:w="0" w:type="dxa"/>
            <w:bottom w:w="0" w:type="dxa"/>
            <w:right w:w="0" w:type="dxa"/>
          </w:tblCellMar>
        </w:tblPrEx>
        <w:trPr>
          <w:wBefore w:w="0" w:type="auto"/>
          <w:tblCellSpacing w:w="0" w:type="dxa"/>
        </w:trPr>
        <w:tc>
          <w:tcPr>
            <w:tcW w:w="0" w:type="auto"/>
            <w:noWrap w:val="0"/>
            <w:vAlign w:val="center"/>
          </w:tcPr>
          <w:p w14:paraId="4F4DB421">
            <w:r>
              <w:rPr>
                <w:rStyle w:val="10"/>
                <w:rFonts w:hint="eastAsia"/>
              </w:rPr>
              <w:t>备注：</w:t>
            </w:r>
          </w:p>
        </w:tc>
      </w:tr>
    </w:tbl>
    <w:p w14:paraId="64A0523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BBDEDE">
        <w:tblPrEx>
          <w:tblCellMar>
            <w:top w:w="0" w:type="dxa"/>
            <w:left w:w="0" w:type="dxa"/>
            <w:bottom w:w="0" w:type="dxa"/>
            <w:right w:w="0" w:type="dxa"/>
          </w:tblCellMar>
        </w:tblPrEx>
        <w:trPr>
          <w:wBefore w:w="0" w:type="auto"/>
          <w:tblCellSpacing w:w="0" w:type="dxa"/>
        </w:trPr>
        <w:tc>
          <w:tcPr>
            <w:tcW w:w="0" w:type="auto"/>
            <w:noWrap w:val="0"/>
            <w:vAlign w:val="center"/>
          </w:tcPr>
          <w:p w14:paraId="1C1077A1">
            <w:r>
              <w:rPr>
                <w:rStyle w:val="10"/>
                <w:rFonts w:hint="eastAsia"/>
              </w:rPr>
              <w:t>登记证号：</w:t>
            </w:r>
            <w:r>
              <w:rPr>
                <w:rFonts w:hint="eastAsia"/>
              </w:rPr>
              <w:t>WP20210236</w:t>
            </w:r>
          </w:p>
        </w:tc>
      </w:tr>
      <w:tr w14:paraId="389B1CA4">
        <w:tblPrEx>
          <w:tblCellMar>
            <w:top w:w="0" w:type="dxa"/>
            <w:left w:w="0" w:type="dxa"/>
            <w:bottom w:w="0" w:type="dxa"/>
            <w:right w:w="0" w:type="dxa"/>
          </w:tblCellMar>
        </w:tblPrEx>
        <w:trPr>
          <w:wBefore w:w="0" w:type="auto"/>
          <w:tblCellSpacing w:w="0" w:type="dxa"/>
        </w:trPr>
        <w:tc>
          <w:tcPr>
            <w:tcW w:w="0" w:type="auto"/>
            <w:noWrap w:val="0"/>
            <w:vAlign w:val="center"/>
          </w:tcPr>
          <w:p w14:paraId="38D0564E">
            <w:r>
              <w:rPr>
                <w:rStyle w:val="10"/>
                <w:rFonts w:hint="eastAsia"/>
              </w:rPr>
              <w:t>登记证持有人：</w:t>
            </w:r>
            <w:r>
              <w:rPr>
                <w:rFonts w:hint="eastAsia"/>
              </w:rPr>
              <w:t>浙江省义乌市稠城夏宝日化厂</w:t>
            </w:r>
          </w:p>
        </w:tc>
      </w:tr>
      <w:tr w14:paraId="697BE3FD">
        <w:tblPrEx>
          <w:tblCellMar>
            <w:top w:w="0" w:type="dxa"/>
            <w:left w:w="0" w:type="dxa"/>
            <w:bottom w:w="0" w:type="dxa"/>
            <w:right w:w="0" w:type="dxa"/>
          </w:tblCellMar>
        </w:tblPrEx>
        <w:trPr>
          <w:wBefore w:w="0" w:type="auto"/>
          <w:tblCellSpacing w:w="0" w:type="dxa"/>
        </w:trPr>
        <w:tc>
          <w:tcPr>
            <w:tcW w:w="0" w:type="auto"/>
            <w:noWrap w:val="0"/>
            <w:vAlign w:val="center"/>
          </w:tcPr>
          <w:p w14:paraId="4A055F3E">
            <w:r>
              <w:rPr>
                <w:rStyle w:val="10"/>
                <w:rFonts w:hint="eastAsia"/>
              </w:rPr>
              <w:t>农药名称：</w:t>
            </w:r>
            <w:r>
              <w:rPr>
                <w:rFonts w:hint="eastAsia"/>
              </w:rPr>
              <w:t>驱蚊液</w:t>
            </w:r>
          </w:p>
        </w:tc>
      </w:tr>
      <w:tr w14:paraId="22DE9CC8">
        <w:tblPrEx>
          <w:tblCellMar>
            <w:top w:w="0" w:type="dxa"/>
            <w:left w:w="0" w:type="dxa"/>
            <w:bottom w:w="0" w:type="dxa"/>
            <w:right w:w="0" w:type="dxa"/>
          </w:tblCellMar>
        </w:tblPrEx>
        <w:trPr>
          <w:wBefore w:w="0" w:type="auto"/>
          <w:tblCellSpacing w:w="0" w:type="dxa"/>
        </w:trPr>
        <w:tc>
          <w:tcPr>
            <w:tcW w:w="0" w:type="auto"/>
            <w:noWrap w:val="0"/>
            <w:vAlign w:val="center"/>
          </w:tcPr>
          <w:p w14:paraId="2D7F412D">
            <w:r>
              <w:rPr>
                <w:rStyle w:val="10"/>
                <w:rFonts w:hint="eastAsia"/>
              </w:rPr>
              <w:t>剂型：</w:t>
            </w:r>
            <w:r>
              <w:rPr>
                <w:rFonts w:hint="eastAsia"/>
              </w:rPr>
              <w:t>驱蚊液</w:t>
            </w:r>
          </w:p>
        </w:tc>
      </w:tr>
      <w:tr w14:paraId="1933A038">
        <w:tblPrEx>
          <w:tblCellMar>
            <w:top w:w="0" w:type="dxa"/>
            <w:left w:w="0" w:type="dxa"/>
            <w:bottom w:w="0" w:type="dxa"/>
            <w:right w:w="0" w:type="dxa"/>
          </w:tblCellMar>
        </w:tblPrEx>
        <w:trPr>
          <w:wBefore w:w="0" w:type="auto"/>
          <w:tblCellSpacing w:w="0" w:type="dxa"/>
        </w:trPr>
        <w:tc>
          <w:tcPr>
            <w:tcW w:w="0" w:type="auto"/>
            <w:noWrap w:val="0"/>
            <w:vAlign w:val="center"/>
          </w:tcPr>
          <w:p w14:paraId="20DFA361">
            <w:r>
              <w:rPr>
                <w:rStyle w:val="10"/>
                <w:rFonts w:hint="eastAsia"/>
              </w:rPr>
              <w:t>毒性及其标识：</w:t>
            </w:r>
            <w:r>
              <w:rPr>
                <w:rFonts w:hint="eastAsia"/>
              </w:rPr>
              <w:t xml:space="preserve"> 微毒 </w:t>
            </w:r>
          </w:p>
        </w:tc>
      </w:tr>
      <w:tr w14:paraId="3D517A34">
        <w:tblPrEx>
          <w:tblCellMar>
            <w:top w:w="0" w:type="dxa"/>
            <w:left w:w="0" w:type="dxa"/>
            <w:bottom w:w="0" w:type="dxa"/>
            <w:right w:w="0" w:type="dxa"/>
          </w:tblCellMar>
        </w:tblPrEx>
        <w:trPr>
          <w:wBefore w:w="0" w:type="auto"/>
          <w:tblCellSpacing w:w="0" w:type="dxa"/>
        </w:trPr>
        <w:tc>
          <w:tcPr>
            <w:tcW w:w="0" w:type="auto"/>
            <w:noWrap w:val="0"/>
            <w:vAlign w:val="center"/>
          </w:tcPr>
          <w:p w14:paraId="5228EE5C">
            <w:r>
              <w:rPr>
                <w:rStyle w:val="10"/>
                <w:rFonts w:hint="eastAsia"/>
              </w:rPr>
              <w:t>总有效成分含量：</w:t>
            </w:r>
            <w:r>
              <w:rPr>
                <w:rFonts w:hint="eastAsia"/>
              </w:rPr>
              <w:t>9%</w:t>
            </w:r>
          </w:p>
        </w:tc>
      </w:tr>
      <w:tr w14:paraId="61A28759">
        <w:tblPrEx>
          <w:tblCellMar>
            <w:top w:w="0" w:type="dxa"/>
            <w:left w:w="0" w:type="dxa"/>
            <w:bottom w:w="0" w:type="dxa"/>
            <w:right w:w="0" w:type="dxa"/>
          </w:tblCellMar>
        </w:tblPrEx>
        <w:trPr>
          <w:wBefore w:w="0" w:type="auto"/>
          <w:tblCellSpacing w:w="0" w:type="dxa"/>
        </w:trPr>
        <w:tc>
          <w:tcPr>
            <w:tcW w:w="0" w:type="auto"/>
            <w:noWrap w:val="0"/>
            <w:vAlign w:val="center"/>
          </w:tcPr>
          <w:p w14:paraId="5F528FBE">
            <w:r>
              <w:rPr>
                <w:rFonts w:hint="eastAsia"/>
              </w:rPr>
              <w:t xml:space="preserve">有效成分及其含量： </w:t>
            </w:r>
          </w:p>
          <w:p w14:paraId="62032DD9">
            <w:r>
              <w:rPr>
                <w:rFonts w:hint="eastAsia"/>
              </w:rPr>
              <w:t xml:space="preserve">    避蚊胺9%    </w:t>
            </w:r>
          </w:p>
        </w:tc>
      </w:tr>
      <w:tr w14:paraId="54161BC9">
        <w:tblPrEx>
          <w:tblCellMar>
            <w:top w:w="0" w:type="dxa"/>
            <w:left w:w="0" w:type="dxa"/>
            <w:bottom w:w="0" w:type="dxa"/>
            <w:right w:w="0" w:type="dxa"/>
          </w:tblCellMar>
        </w:tblPrEx>
        <w:trPr>
          <w:wBefore w:w="0" w:type="auto"/>
          <w:tblCellSpacing w:w="0" w:type="dxa"/>
        </w:trPr>
        <w:tc>
          <w:tcPr>
            <w:tcW w:w="0" w:type="auto"/>
            <w:noWrap w:val="0"/>
            <w:vAlign w:val="center"/>
          </w:tcPr>
          <w:p w14:paraId="534B3F0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EBFF3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F753E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2E6EF4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062AF4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EA8A618">
                  <w:r>
                    <w:rPr>
                      <w:rStyle w:val="11"/>
                      <w:rFonts w:hint="eastAsia"/>
                    </w:rPr>
                    <w:t>施用方式</w:t>
                  </w:r>
                </w:p>
              </w:tc>
            </w:tr>
            <w:tr w14:paraId="09AB21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DB30DE">
                  <w:r>
                    <w:rPr>
                      <w:rStyle w:val="11"/>
                      <w:rFonts w:hint="eastAsia"/>
                    </w:rPr>
                    <w:t>卫生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AB09DB">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A47DEA">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475E04">
                  <w:r>
                    <w:rPr>
                      <w:rStyle w:val="11"/>
                      <w:rFonts w:hint="eastAsia"/>
                    </w:rPr>
                    <w:t>涂抹</w:t>
                  </w:r>
                </w:p>
              </w:tc>
            </w:tr>
          </w:tbl>
          <w:p w14:paraId="48D96F04">
            <w:pPr>
              <w:rPr>
                <w:rFonts w:ascii="Times New Roman" w:hAnsi="Times New Roman" w:cs="Times New Roman"/>
                <w:sz w:val="20"/>
                <w:szCs w:val="20"/>
              </w:rPr>
            </w:pPr>
          </w:p>
        </w:tc>
      </w:tr>
      <w:tr w14:paraId="32D590DB">
        <w:tblPrEx>
          <w:tblCellMar>
            <w:top w:w="0" w:type="dxa"/>
            <w:left w:w="0" w:type="dxa"/>
            <w:bottom w:w="0" w:type="dxa"/>
            <w:right w:w="0" w:type="dxa"/>
          </w:tblCellMar>
        </w:tblPrEx>
        <w:trPr>
          <w:wBefore w:w="0" w:type="auto"/>
          <w:tblCellSpacing w:w="0" w:type="dxa"/>
        </w:trPr>
        <w:tc>
          <w:tcPr>
            <w:tcW w:w="0" w:type="auto"/>
            <w:noWrap w:val="0"/>
            <w:vAlign w:val="center"/>
          </w:tcPr>
          <w:p w14:paraId="6990F2AA">
            <w:r>
              <w:rPr>
                <w:rStyle w:val="10"/>
                <w:rFonts w:hint="eastAsia"/>
              </w:rPr>
              <w:t>使用技术要求:</w:t>
            </w:r>
            <w:r>
              <w:rPr>
                <w:rFonts w:hint="eastAsia"/>
              </w:rPr>
              <w:br w:type="textWrapping"/>
            </w:r>
            <w:r>
              <w:rPr>
                <w:rStyle w:val="11"/>
                <w:rFonts w:hint="eastAsia"/>
              </w:rPr>
              <w:t>将本品直接涂抹于颈部、手、脚踝等皮肤裸露部位，即可避免蚊子 叮咬。 也可先喷少量于手掌，然后涂抹于手臂等皮肤裸露部位。</w:t>
            </w:r>
          </w:p>
        </w:tc>
      </w:tr>
      <w:tr w14:paraId="3E31631F">
        <w:tblPrEx>
          <w:tblCellMar>
            <w:top w:w="0" w:type="dxa"/>
            <w:left w:w="0" w:type="dxa"/>
            <w:bottom w:w="0" w:type="dxa"/>
            <w:right w:w="0" w:type="dxa"/>
          </w:tblCellMar>
        </w:tblPrEx>
        <w:trPr>
          <w:wBefore w:w="0" w:type="auto"/>
          <w:tblCellSpacing w:w="0" w:type="dxa"/>
        </w:trPr>
        <w:tc>
          <w:tcPr>
            <w:tcW w:w="0" w:type="auto"/>
            <w:noWrap w:val="0"/>
            <w:vAlign w:val="center"/>
          </w:tcPr>
          <w:p w14:paraId="73C97345">
            <w:r>
              <w:rPr>
                <w:rStyle w:val="10"/>
                <w:rFonts w:hint="eastAsia"/>
              </w:rPr>
              <w:t>产品性能:</w:t>
            </w:r>
            <w:r>
              <w:rPr>
                <w:rFonts w:hint="eastAsia"/>
              </w:rPr>
              <w:br w:type="textWrapping"/>
            </w:r>
            <w:r>
              <w:rPr>
                <w:rStyle w:val="11"/>
                <w:rFonts w:hint="eastAsia"/>
              </w:rPr>
              <w:t xml:space="preserve">本品由避蚊胺配制而成，对蚊子具有良好的驱避效果。 </w:t>
            </w:r>
          </w:p>
        </w:tc>
      </w:tr>
      <w:tr w14:paraId="14114E69">
        <w:tblPrEx>
          <w:tblCellMar>
            <w:top w:w="0" w:type="dxa"/>
            <w:left w:w="0" w:type="dxa"/>
            <w:bottom w:w="0" w:type="dxa"/>
            <w:right w:w="0" w:type="dxa"/>
          </w:tblCellMar>
        </w:tblPrEx>
        <w:trPr>
          <w:wBefore w:w="0" w:type="auto"/>
          <w:tblCellSpacing w:w="0" w:type="dxa"/>
        </w:trPr>
        <w:tc>
          <w:tcPr>
            <w:tcW w:w="0" w:type="auto"/>
            <w:noWrap w:val="0"/>
            <w:vAlign w:val="center"/>
          </w:tcPr>
          <w:p w14:paraId="2DE00C10">
            <w:r>
              <w:rPr>
                <w:rStyle w:val="10"/>
                <w:rFonts w:hint="eastAsia"/>
              </w:rPr>
              <w:t>注意事项：</w:t>
            </w:r>
            <w:r>
              <w:rPr>
                <w:rFonts w:hint="eastAsia"/>
              </w:rPr>
              <w:br w:type="textWrapping"/>
            </w:r>
            <w:r>
              <w:rPr>
                <w:rStyle w:val="11"/>
                <w:rFonts w:hint="eastAsia"/>
              </w:rPr>
              <w:t>1. 过敏者禁用。使用中若有任何不良反应请及时就医。 2. 本品含酒精，注意避火使用。 3. 勿用于皮肤破损处、过敏皮肤、眼睛、嘴巴及其周围皮肤。 4. 蚕室及其附近禁用。 5. 置于儿童接触不到的地方。 6. 孕妇及哺乳期妇女禁止接触。</w:t>
            </w:r>
          </w:p>
        </w:tc>
      </w:tr>
      <w:tr w14:paraId="6097FE54">
        <w:tblPrEx>
          <w:tblCellMar>
            <w:top w:w="0" w:type="dxa"/>
            <w:left w:w="0" w:type="dxa"/>
            <w:bottom w:w="0" w:type="dxa"/>
            <w:right w:w="0" w:type="dxa"/>
          </w:tblCellMar>
        </w:tblPrEx>
        <w:trPr>
          <w:wBefore w:w="0" w:type="auto"/>
          <w:tblCellSpacing w:w="0" w:type="dxa"/>
        </w:trPr>
        <w:tc>
          <w:tcPr>
            <w:tcW w:w="0" w:type="auto"/>
            <w:noWrap w:val="0"/>
            <w:vAlign w:val="center"/>
          </w:tcPr>
          <w:p w14:paraId="34E27716">
            <w:r>
              <w:rPr>
                <w:rStyle w:val="10"/>
                <w:rFonts w:hint="eastAsia"/>
              </w:rPr>
              <w:t>中毒急救措施：</w:t>
            </w:r>
            <w:r>
              <w:rPr>
                <w:rFonts w:hint="eastAsia"/>
              </w:rPr>
              <w:br w:type="textWrapping"/>
            </w:r>
            <w:r>
              <w:rPr>
                <w:rStyle w:val="11"/>
                <w:rFonts w:hint="eastAsia"/>
              </w:rPr>
              <w:t xml:space="preserve">若不慎沾染眼睛，请用清水冲洗并就医。误服则应立即携此 标签将病人送医院诊治。本品无特殊解毒剂，请医生对症治 疗。 </w:t>
            </w:r>
          </w:p>
        </w:tc>
      </w:tr>
      <w:tr w14:paraId="2BD93C3B">
        <w:tblPrEx>
          <w:tblCellMar>
            <w:top w:w="0" w:type="dxa"/>
            <w:left w:w="0" w:type="dxa"/>
            <w:bottom w:w="0" w:type="dxa"/>
            <w:right w:w="0" w:type="dxa"/>
          </w:tblCellMar>
        </w:tblPrEx>
        <w:trPr>
          <w:wBefore w:w="0" w:type="auto"/>
          <w:tblCellSpacing w:w="0" w:type="dxa"/>
        </w:trPr>
        <w:tc>
          <w:tcPr>
            <w:tcW w:w="0" w:type="auto"/>
            <w:noWrap w:val="0"/>
            <w:vAlign w:val="center"/>
          </w:tcPr>
          <w:p w14:paraId="37E2661C">
            <w:r>
              <w:rPr>
                <w:rStyle w:val="10"/>
                <w:rFonts w:hint="eastAsia"/>
              </w:rPr>
              <w:t>储存和运输方法：</w:t>
            </w:r>
            <w:r>
              <w:rPr>
                <w:rFonts w:hint="eastAsia"/>
              </w:rPr>
              <w:br w:type="textWrapping"/>
            </w:r>
            <w:r>
              <w:rPr>
                <w:rStyle w:val="11"/>
                <w:rFonts w:hint="eastAsia"/>
              </w:rPr>
              <w:t xml:space="preserve">本品应贮存在干燥、阴凉、通风、防雨处，远离火源或热 源。置于儿童接触不到的地方，不能与食品、饮料、粮食、 饲料等混合储存和运输。运输和装卸时注意轻拿轻放。 </w:t>
            </w:r>
          </w:p>
        </w:tc>
      </w:tr>
      <w:tr w14:paraId="5559BE38">
        <w:tblPrEx>
          <w:tblCellMar>
            <w:top w:w="0" w:type="dxa"/>
            <w:left w:w="0" w:type="dxa"/>
            <w:bottom w:w="0" w:type="dxa"/>
            <w:right w:w="0" w:type="dxa"/>
          </w:tblCellMar>
        </w:tblPrEx>
        <w:trPr>
          <w:wBefore w:w="0" w:type="auto"/>
          <w:tblCellSpacing w:w="0" w:type="dxa"/>
        </w:trPr>
        <w:tc>
          <w:tcPr>
            <w:tcW w:w="0" w:type="auto"/>
            <w:noWrap w:val="0"/>
            <w:vAlign w:val="center"/>
          </w:tcPr>
          <w:p w14:paraId="222D6A68">
            <w:r>
              <w:rPr>
                <w:rStyle w:val="10"/>
                <w:rFonts w:hint="eastAsia"/>
              </w:rPr>
              <w:t>质量保证期：</w:t>
            </w:r>
            <w:r>
              <w:rPr>
                <w:rStyle w:val="11"/>
                <w:rFonts w:hint="eastAsia"/>
              </w:rPr>
              <w:t>2年</w:t>
            </w:r>
          </w:p>
        </w:tc>
      </w:tr>
      <w:tr w14:paraId="6545E01E">
        <w:tblPrEx>
          <w:tblCellMar>
            <w:top w:w="0" w:type="dxa"/>
            <w:left w:w="0" w:type="dxa"/>
            <w:bottom w:w="0" w:type="dxa"/>
            <w:right w:w="0" w:type="dxa"/>
          </w:tblCellMar>
        </w:tblPrEx>
        <w:trPr>
          <w:wBefore w:w="0" w:type="auto"/>
          <w:tblCellSpacing w:w="0" w:type="dxa"/>
        </w:trPr>
        <w:tc>
          <w:tcPr>
            <w:tcW w:w="0" w:type="auto"/>
            <w:noWrap w:val="0"/>
            <w:vAlign w:val="center"/>
          </w:tcPr>
          <w:p w14:paraId="40FA442F">
            <w:r>
              <w:rPr>
                <w:rStyle w:val="10"/>
                <w:rFonts w:hint="eastAsia"/>
              </w:rPr>
              <w:t>备注：</w:t>
            </w:r>
          </w:p>
        </w:tc>
      </w:tr>
    </w:tbl>
    <w:p w14:paraId="1C8F8B4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E009A93">
        <w:tblPrEx>
          <w:tblCellMar>
            <w:top w:w="0" w:type="dxa"/>
            <w:left w:w="0" w:type="dxa"/>
            <w:bottom w:w="0" w:type="dxa"/>
            <w:right w:w="0" w:type="dxa"/>
          </w:tblCellMar>
        </w:tblPrEx>
        <w:trPr>
          <w:wBefore w:w="0" w:type="auto"/>
          <w:tblCellSpacing w:w="0" w:type="dxa"/>
        </w:trPr>
        <w:tc>
          <w:tcPr>
            <w:tcW w:w="0" w:type="auto"/>
            <w:noWrap w:val="0"/>
            <w:vAlign w:val="center"/>
          </w:tcPr>
          <w:p w14:paraId="4668BBBB">
            <w:r>
              <w:rPr>
                <w:rStyle w:val="10"/>
                <w:rFonts w:hint="eastAsia"/>
              </w:rPr>
              <w:t>登记证号：</w:t>
            </w:r>
            <w:r>
              <w:rPr>
                <w:rFonts w:hint="eastAsia"/>
              </w:rPr>
              <w:t>PD20211977</w:t>
            </w:r>
          </w:p>
        </w:tc>
      </w:tr>
      <w:tr w14:paraId="39F93A89">
        <w:tblPrEx>
          <w:tblCellMar>
            <w:top w:w="0" w:type="dxa"/>
            <w:left w:w="0" w:type="dxa"/>
            <w:bottom w:w="0" w:type="dxa"/>
            <w:right w:w="0" w:type="dxa"/>
          </w:tblCellMar>
        </w:tblPrEx>
        <w:trPr>
          <w:wBefore w:w="0" w:type="auto"/>
          <w:tblCellSpacing w:w="0" w:type="dxa"/>
        </w:trPr>
        <w:tc>
          <w:tcPr>
            <w:tcW w:w="0" w:type="auto"/>
            <w:noWrap w:val="0"/>
            <w:vAlign w:val="center"/>
          </w:tcPr>
          <w:p w14:paraId="2F4E3180">
            <w:r>
              <w:rPr>
                <w:rStyle w:val="10"/>
                <w:rFonts w:hint="eastAsia"/>
              </w:rPr>
              <w:t>登记证持有人：</w:t>
            </w:r>
            <w:r>
              <w:rPr>
                <w:rFonts w:hint="eastAsia"/>
              </w:rPr>
              <w:t>陕西汤普森生物科技有限公司</w:t>
            </w:r>
          </w:p>
        </w:tc>
      </w:tr>
      <w:tr w14:paraId="014CCB0C">
        <w:tblPrEx>
          <w:tblCellMar>
            <w:top w:w="0" w:type="dxa"/>
            <w:left w:w="0" w:type="dxa"/>
            <w:bottom w:w="0" w:type="dxa"/>
            <w:right w:w="0" w:type="dxa"/>
          </w:tblCellMar>
        </w:tblPrEx>
        <w:trPr>
          <w:wBefore w:w="0" w:type="auto"/>
          <w:tblCellSpacing w:w="0" w:type="dxa"/>
        </w:trPr>
        <w:tc>
          <w:tcPr>
            <w:tcW w:w="0" w:type="auto"/>
            <w:noWrap w:val="0"/>
            <w:vAlign w:val="center"/>
          </w:tcPr>
          <w:p w14:paraId="656EFAF1">
            <w:r>
              <w:rPr>
                <w:rStyle w:val="10"/>
                <w:rFonts w:hint="eastAsia"/>
              </w:rPr>
              <w:t>农药名称：</w:t>
            </w:r>
            <w:r>
              <w:rPr>
                <w:rFonts w:hint="eastAsia"/>
              </w:rPr>
              <w:t>氢铜·王铜</w:t>
            </w:r>
          </w:p>
        </w:tc>
      </w:tr>
      <w:tr w14:paraId="7A54E36F">
        <w:tblPrEx>
          <w:tblCellMar>
            <w:top w:w="0" w:type="dxa"/>
            <w:left w:w="0" w:type="dxa"/>
            <w:bottom w:w="0" w:type="dxa"/>
            <w:right w:w="0" w:type="dxa"/>
          </w:tblCellMar>
        </w:tblPrEx>
        <w:trPr>
          <w:wBefore w:w="0" w:type="auto"/>
          <w:tblCellSpacing w:w="0" w:type="dxa"/>
        </w:trPr>
        <w:tc>
          <w:tcPr>
            <w:tcW w:w="0" w:type="auto"/>
            <w:noWrap w:val="0"/>
            <w:vAlign w:val="center"/>
          </w:tcPr>
          <w:p w14:paraId="588B9DDE">
            <w:r>
              <w:rPr>
                <w:rStyle w:val="10"/>
                <w:rFonts w:hint="eastAsia"/>
              </w:rPr>
              <w:t>剂型：</w:t>
            </w:r>
            <w:r>
              <w:rPr>
                <w:rFonts w:hint="eastAsia"/>
              </w:rPr>
              <w:t>悬浮剂</w:t>
            </w:r>
          </w:p>
        </w:tc>
      </w:tr>
      <w:tr w14:paraId="431A65BB">
        <w:tblPrEx>
          <w:tblCellMar>
            <w:top w:w="0" w:type="dxa"/>
            <w:left w:w="0" w:type="dxa"/>
            <w:bottom w:w="0" w:type="dxa"/>
            <w:right w:w="0" w:type="dxa"/>
          </w:tblCellMar>
        </w:tblPrEx>
        <w:trPr>
          <w:wBefore w:w="0" w:type="auto"/>
          <w:tblCellSpacing w:w="0" w:type="dxa"/>
        </w:trPr>
        <w:tc>
          <w:tcPr>
            <w:tcW w:w="0" w:type="auto"/>
            <w:noWrap w:val="0"/>
            <w:vAlign w:val="center"/>
          </w:tcPr>
          <w:p w14:paraId="4A7F9B72">
            <w:r>
              <w:rPr>
                <w:rStyle w:val="10"/>
                <w:rFonts w:hint="eastAsia"/>
              </w:rPr>
              <w:t>毒性及其标识：</w:t>
            </w:r>
            <w:r>
              <w:rPr>
                <w:rFonts w:hint="eastAsia"/>
              </w:rPr>
              <w:t xml:space="preserve"> </w:t>
            </w:r>
            <w:r>
              <w:rPr>
                <w:lang/>
              </w:rPr>
              <w:drawing>
                <wp:inline distT="0" distB="0" distL="114300" distR="114300">
                  <wp:extent cx="476250" cy="323850"/>
                  <wp:effectExtent l="0" t="0" r="0" b="0"/>
                  <wp:docPr id="542" name="图片 54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102125C">
        <w:tblPrEx>
          <w:tblCellMar>
            <w:top w:w="0" w:type="dxa"/>
            <w:left w:w="0" w:type="dxa"/>
            <w:bottom w:w="0" w:type="dxa"/>
            <w:right w:w="0" w:type="dxa"/>
          </w:tblCellMar>
        </w:tblPrEx>
        <w:trPr>
          <w:wBefore w:w="0" w:type="auto"/>
          <w:tblCellSpacing w:w="0" w:type="dxa"/>
        </w:trPr>
        <w:tc>
          <w:tcPr>
            <w:tcW w:w="0" w:type="auto"/>
            <w:noWrap w:val="0"/>
            <w:vAlign w:val="center"/>
          </w:tcPr>
          <w:p w14:paraId="22CB269B">
            <w:r>
              <w:rPr>
                <w:rStyle w:val="10"/>
                <w:rFonts w:hint="eastAsia"/>
              </w:rPr>
              <w:t>总有效成分含量：</w:t>
            </w:r>
            <w:r>
              <w:rPr>
                <w:rFonts w:hint="eastAsia"/>
              </w:rPr>
              <w:t>34%</w:t>
            </w:r>
          </w:p>
        </w:tc>
      </w:tr>
      <w:tr w14:paraId="322DC95B">
        <w:tblPrEx>
          <w:tblCellMar>
            <w:top w:w="0" w:type="dxa"/>
            <w:left w:w="0" w:type="dxa"/>
            <w:bottom w:w="0" w:type="dxa"/>
            <w:right w:w="0" w:type="dxa"/>
          </w:tblCellMar>
        </w:tblPrEx>
        <w:trPr>
          <w:wBefore w:w="0" w:type="auto"/>
          <w:tblCellSpacing w:w="0" w:type="dxa"/>
        </w:trPr>
        <w:tc>
          <w:tcPr>
            <w:tcW w:w="0" w:type="auto"/>
            <w:noWrap w:val="0"/>
            <w:vAlign w:val="center"/>
          </w:tcPr>
          <w:p w14:paraId="757EF509">
            <w:r>
              <w:rPr>
                <w:rFonts w:hint="eastAsia"/>
              </w:rPr>
              <w:t xml:space="preserve">有效成分及其含量： </w:t>
            </w:r>
          </w:p>
          <w:p w14:paraId="5D58126D">
            <w:r>
              <w:rPr>
                <w:rFonts w:hint="eastAsia"/>
              </w:rPr>
              <w:t xml:space="preserve">    王铜17.5%    氢氧化铜16.5%    </w:t>
            </w:r>
          </w:p>
        </w:tc>
      </w:tr>
      <w:tr w14:paraId="23E7171A">
        <w:tblPrEx>
          <w:tblCellMar>
            <w:top w:w="0" w:type="dxa"/>
            <w:left w:w="0" w:type="dxa"/>
            <w:bottom w:w="0" w:type="dxa"/>
            <w:right w:w="0" w:type="dxa"/>
          </w:tblCellMar>
        </w:tblPrEx>
        <w:trPr>
          <w:wBefore w:w="0" w:type="auto"/>
          <w:tblCellSpacing w:w="0" w:type="dxa"/>
        </w:trPr>
        <w:tc>
          <w:tcPr>
            <w:tcW w:w="0" w:type="auto"/>
            <w:noWrap w:val="0"/>
            <w:vAlign w:val="center"/>
          </w:tcPr>
          <w:p w14:paraId="6023DDA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3F21A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A1C329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47C928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4B79F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CDF7ABB">
                  <w:r>
                    <w:rPr>
                      <w:rStyle w:val="11"/>
                      <w:rFonts w:hint="eastAsia"/>
                    </w:rPr>
                    <w:t>施用方式</w:t>
                  </w:r>
                </w:p>
              </w:tc>
            </w:tr>
            <w:tr w14:paraId="58B22B9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43570F7">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AFAA86">
                  <w:r>
                    <w:rPr>
                      <w:rStyle w:val="11"/>
                      <w:rFonts w:hint="eastAsia"/>
                    </w:rPr>
                    <w:t>角斑病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FF6709">
                  <w:r>
                    <w:rPr>
                      <w:rStyle w:val="11"/>
                      <w:rFonts w:hint="eastAsia"/>
                    </w:rPr>
                    <w:t>53-67克/亩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8BC248">
                  <w:r>
                    <w:rPr>
                      <w:rStyle w:val="11"/>
                      <w:rFonts w:hint="eastAsia"/>
                    </w:rPr>
                    <w:t>喷雾</w:t>
                  </w:r>
                </w:p>
              </w:tc>
            </w:tr>
          </w:tbl>
          <w:p w14:paraId="20BF54E0">
            <w:pPr>
              <w:rPr>
                <w:rFonts w:ascii="Times New Roman" w:hAnsi="Times New Roman" w:cs="Times New Roman"/>
                <w:sz w:val="20"/>
                <w:szCs w:val="20"/>
              </w:rPr>
            </w:pPr>
          </w:p>
        </w:tc>
      </w:tr>
      <w:tr w14:paraId="6144EA8C">
        <w:tblPrEx>
          <w:tblCellMar>
            <w:top w:w="0" w:type="dxa"/>
            <w:left w:w="0" w:type="dxa"/>
            <w:bottom w:w="0" w:type="dxa"/>
            <w:right w:w="0" w:type="dxa"/>
          </w:tblCellMar>
        </w:tblPrEx>
        <w:trPr>
          <w:wBefore w:w="0" w:type="auto"/>
          <w:tblCellSpacing w:w="0" w:type="dxa"/>
        </w:trPr>
        <w:tc>
          <w:tcPr>
            <w:tcW w:w="0" w:type="auto"/>
            <w:noWrap w:val="0"/>
            <w:vAlign w:val="center"/>
          </w:tcPr>
          <w:p w14:paraId="4008373E">
            <w:r>
              <w:rPr>
                <w:rStyle w:val="10"/>
                <w:rFonts w:hint="eastAsia"/>
              </w:rPr>
              <w:t>使用技术要求:</w:t>
            </w:r>
            <w:r>
              <w:rPr>
                <w:rFonts w:hint="eastAsia"/>
              </w:rPr>
              <w:br w:type="textWrapping"/>
            </w:r>
            <w:r>
              <w:rPr>
                <w:rStyle w:val="11"/>
                <w:rFonts w:hint="eastAsia"/>
              </w:rPr>
              <w:t>1.本品应于黄瓜角斑病发病初期进行施药，间隔7天左右施药一次，连续施药2次。施药时采用叶片均匀喷雾，喷液量以均匀喷湿叶片正反面，药液欲滴未滴为度。2.大风天或预计1小时内降雨，请勿施药。</w:t>
            </w:r>
          </w:p>
        </w:tc>
      </w:tr>
      <w:tr w14:paraId="4D5CB77D">
        <w:tblPrEx>
          <w:tblCellMar>
            <w:top w:w="0" w:type="dxa"/>
            <w:left w:w="0" w:type="dxa"/>
            <w:bottom w:w="0" w:type="dxa"/>
            <w:right w:w="0" w:type="dxa"/>
          </w:tblCellMar>
        </w:tblPrEx>
        <w:trPr>
          <w:wBefore w:w="0" w:type="auto"/>
          <w:tblCellSpacing w:w="0" w:type="dxa"/>
        </w:trPr>
        <w:tc>
          <w:tcPr>
            <w:tcW w:w="0" w:type="auto"/>
            <w:noWrap w:val="0"/>
            <w:vAlign w:val="center"/>
          </w:tcPr>
          <w:p w14:paraId="1A51EFD2">
            <w:r>
              <w:rPr>
                <w:rStyle w:val="10"/>
                <w:rFonts w:hint="eastAsia"/>
              </w:rPr>
              <w:t>产品性能:</w:t>
            </w:r>
            <w:r>
              <w:rPr>
                <w:rFonts w:hint="eastAsia"/>
              </w:rPr>
              <w:br w:type="textWrapping"/>
            </w:r>
            <w:r>
              <w:rPr>
                <w:rStyle w:val="11"/>
                <w:rFonts w:hint="eastAsia"/>
              </w:rPr>
              <w:t>本品是由氢氧化铜与王铜两种铜剂复配而成的新型铜制剂杀菌剂，能够快速稳定释放铜离子，迅速杀灭病菌，同时延长产品持效期，大大提高铜制剂对作物的安全性，按登记剂量使用时，对黄瓜角斑病有较好的防治效果。</w:t>
            </w:r>
          </w:p>
        </w:tc>
      </w:tr>
      <w:tr w14:paraId="2DD3774C">
        <w:tblPrEx>
          <w:tblCellMar>
            <w:top w:w="0" w:type="dxa"/>
            <w:left w:w="0" w:type="dxa"/>
            <w:bottom w:w="0" w:type="dxa"/>
            <w:right w:w="0" w:type="dxa"/>
          </w:tblCellMar>
        </w:tblPrEx>
        <w:trPr>
          <w:wBefore w:w="0" w:type="auto"/>
          <w:tblCellSpacing w:w="0" w:type="dxa"/>
        </w:trPr>
        <w:tc>
          <w:tcPr>
            <w:tcW w:w="0" w:type="auto"/>
            <w:noWrap w:val="0"/>
            <w:vAlign w:val="center"/>
          </w:tcPr>
          <w:p w14:paraId="4FBDC6A6">
            <w:r>
              <w:rPr>
                <w:rStyle w:val="10"/>
                <w:rFonts w:hint="eastAsia"/>
              </w:rPr>
              <w:t>注意事项：</w:t>
            </w:r>
            <w:r>
              <w:rPr>
                <w:rFonts w:hint="eastAsia"/>
              </w:rPr>
              <w:br w:type="textWrapping"/>
            </w:r>
            <w:r>
              <w:rPr>
                <w:rStyle w:val="11"/>
                <w:rFonts w:hint="eastAsia"/>
              </w:rPr>
              <w:t>1．严格按规定用药量和方法使用。 2．建议与其他作用机制不同的杀菌剂轮换使用，以延缓抗性产生。 3．本品对鱼、水溞有毒，水产养殖区、河塘等水体附近禁用，禁止在河塘等水体中清洗施药器具。 4．对眼睛有中度刺激性，使用本品时应穿戴长衣长裤、护目镜、帽子、口罩、手套、鞋等安全防护措施。施药期间不可吃东西、饮水、吸烟等；施药后应及时洗手、洗脸并洗涤施药时穿着的衣物。 5．用药后包装物及用过的容器应妥善处理，不可做他用，也不可随意丢弃。 6．孕妇及哺乳期妇女禁止接触本品。</w:t>
            </w:r>
          </w:p>
        </w:tc>
      </w:tr>
      <w:tr w14:paraId="1EB21953">
        <w:tblPrEx>
          <w:tblCellMar>
            <w:top w:w="0" w:type="dxa"/>
            <w:left w:w="0" w:type="dxa"/>
            <w:bottom w:w="0" w:type="dxa"/>
            <w:right w:w="0" w:type="dxa"/>
          </w:tblCellMar>
        </w:tblPrEx>
        <w:trPr>
          <w:wBefore w:w="0" w:type="auto"/>
          <w:tblCellSpacing w:w="0" w:type="dxa"/>
        </w:trPr>
        <w:tc>
          <w:tcPr>
            <w:tcW w:w="0" w:type="auto"/>
            <w:noWrap w:val="0"/>
            <w:vAlign w:val="center"/>
          </w:tcPr>
          <w:p w14:paraId="3F85053A">
            <w:r>
              <w:rPr>
                <w:rStyle w:val="10"/>
                <w:rFonts w:hint="eastAsia"/>
              </w:rPr>
              <w:t>中毒急救措施：</w:t>
            </w:r>
            <w:r>
              <w:rPr>
                <w:rFonts w:hint="eastAsia"/>
              </w:rPr>
              <w:br w:type="textWrapping"/>
            </w:r>
            <w:r>
              <w:rPr>
                <w:rStyle w:val="11"/>
                <w:rFonts w:hint="eastAsia"/>
              </w:rPr>
              <w:t>对眼睛有刺激性，使用时避免药液接触眼睛。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26176D06">
        <w:tblPrEx>
          <w:tblCellMar>
            <w:top w:w="0" w:type="dxa"/>
            <w:left w:w="0" w:type="dxa"/>
            <w:bottom w:w="0" w:type="dxa"/>
            <w:right w:w="0" w:type="dxa"/>
          </w:tblCellMar>
        </w:tblPrEx>
        <w:trPr>
          <w:wBefore w:w="0" w:type="auto"/>
          <w:tblCellSpacing w:w="0" w:type="dxa"/>
        </w:trPr>
        <w:tc>
          <w:tcPr>
            <w:tcW w:w="0" w:type="auto"/>
            <w:noWrap w:val="0"/>
            <w:vAlign w:val="center"/>
          </w:tcPr>
          <w:p w14:paraId="3D0334B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本品应贮存在干燥、阴凉、通风、防雨处，远离火源或热源。置于儿童、无关人员及动物触及不到之处，并加锁保存。勿与食品、饮料、粮食、饲料等其他商品同贮同运。</w:t>
            </w:r>
          </w:p>
        </w:tc>
      </w:tr>
      <w:tr w14:paraId="0B7A64DB">
        <w:tblPrEx>
          <w:tblCellMar>
            <w:top w:w="0" w:type="dxa"/>
            <w:left w:w="0" w:type="dxa"/>
            <w:bottom w:w="0" w:type="dxa"/>
            <w:right w:w="0" w:type="dxa"/>
          </w:tblCellMar>
        </w:tblPrEx>
        <w:trPr>
          <w:wBefore w:w="0" w:type="auto"/>
          <w:tblCellSpacing w:w="0" w:type="dxa"/>
        </w:trPr>
        <w:tc>
          <w:tcPr>
            <w:tcW w:w="0" w:type="auto"/>
            <w:noWrap w:val="0"/>
            <w:vAlign w:val="center"/>
          </w:tcPr>
          <w:p w14:paraId="72492CBC">
            <w:r>
              <w:rPr>
                <w:rStyle w:val="10"/>
                <w:rFonts w:hint="eastAsia"/>
              </w:rPr>
              <w:t>质量保证期：</w:t>
            </w:r>
            <w:r>
              <w:rPr>
                <w:rStyle w:val="11"/>
                <w:rFonts w:hint="eastAsia"/>
              </w:rPr>
              <w:t>2年</w:t>
            </w:r>
          </w:p>
        </w:tc>
      </w:tr>
      <w:tr w14:paraId="12D28380">
        <w:tblPrEx>
          <w:tblCellMar>
            <w:top w:w="0" w:type="dxa"/>
            <w:left w:w="0" w:type="dxa"/>
            <w:bottom w:w="0" w:type="dxa"/>
            <w:right w:w="0" w:type="dxa"/>
          </w:tblCellMar>
        </w:tblPrEx>
        <w:trPr>
          <w:wBefore w:w="0" w:type="auto"/>
          <w:tblCellSpacing w:w="0" w:type="dxa"/>
        </w:trPr>
        <w:tc>
          <w:tcPr>
            <w:tcW w:w="0" w:type="auto"/>
            <w:noWrap w:val="0"/>
            <w:vAlign w:val="center"/>
          </w:tcPr>
          <w:p w14:paraId="7EA107AB">
            <w:r>
              <w:rPr>
                <w:rStyle w:val="10"/>
                <w:rFonts w:hint="eastAsia"/>
              </w:rPr>
              <w:t>备注：</w:t>
            </w:r>
          </w:p>
        </w:tc>
      </w:tr>
    </w:tbl>
    <w:p w14:paraId="3975869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023B573">
        <w:tblPrEx>
          <w:tblCellMar>
            <w:top w:w="0" w:type="dxa"/>
            <w:left w:w="0" w:type="dxa"/>
            <w:bottom w:w="0" w:type="dxa"/>
            <w:right w:w="0" w:type="dxa"/>
          </w:tblCellMar>
        </w:tblPrEx>
        <w:trPr>
          <w:wBefore w:w="0" w:type="auto"/>
          <w:tblCellSpacing w:w="0" w:type="dxa"/>
        </w:trPr>
        <w:tc>
          <w:tcPr>
            <w:tcW w:w="0" w:type="auto"/>
            <w:noWrap w:val="0"/>
            <w:vAlign w:val="center"/>
          </w:tcPr>
          <w:p w14:paraId="0115FAB5">
            <w:r>
              <w:rPr>
                <w:rStyle w:val="10"/>
                <w:rFonts w:hint="eastAsia"/>
              </w:rPr>
              <w:t>登记证号：</w:t>
            </w:r>
            <w:r>
              <w:rPr>
                <w:rFonts w:hint="eastAsia"/>
              </w:rPr>
              <w:t>WP20210241</w:t>
            </w:r>
          </w:p>
        </w:tc>
      </w:tr>
      <w:tr w14:paraId="2DE1DE77">
        <w:tblPrEx>
          <w:tblCellMar>
            <w:top w:w="0" w:type="dxa"/>
            <w:left w:w="0" w:type="dxa"/>
            <w:bottom w:w="0" w:type="dxa"/>
            <w:right w:w="0" w:type="dxa"/>
          </w:tblCellMar>
        </w:tblPrEx>
        <w:trPr>
          <w:wBefore w:w="0" w:type="auto"/>
          <w:tblCellSpacing w:w="0" w:type="dxa"/>
        </w:trPr>
        <w:tc>
          <w:tcPr>
            <w:tcW w:w="0" w:type="auto"/>
            <w:noWrap w:val="0"/>
            <w:vAlign w:val="center"/>
          </w:tcPr>
          <w:p w14:paraId="0CC095A7">
            <w:r>
              <w:rPr>
                <w:rStyle w:val="10"/>
                <w:rFonts w:hint="eastAsia"/>
              </w:rPr>
              <w:t>登记证持有人：</w:t>
            </w:r>
            <w:r>
              <w:rPr>
                <w:rFonts w:hint="eastAsia"/>
              </w:rPr>
              <w:t>杭州萧山钱潮日化有限公司</w:t>
            </w:r>
          </w:p>
        </w:tc>
      </w:tr>
      <w:tr w14:paraId="6D72A46B">
        <w:tblPrEx>
          <w:tblCellMar>
            <w:top w:w="0" w:type="dxa"/>
            <w:left w:w="0" w:type="dxa"/>
            <w:bottom w:w="0" w:type="dxa"/>
            <w:right w:w="0" w:type="dxa"/>
          </w:tblCellMar>
        </w:tblPrEx>
        <w:trPr>
          <w:wBefore w:w="0" w:type="auto"/>
          <w:tblCellSpacing w:w="0" w:type="dxa"/>
        </w:trPr>
        <w:tc>
          <w:tcPr>
            <w:tcW w:w="0" w:type="auto"/>
            <w:noWrap w:val="0"/>
            <w:vAlign w:val="center"/>
          </w:tcPr>
          <w:p w14:paraId="43849124">
            <w:r>
              <w:rPr>
                <w:rStyle w:val="10"/>
                <w:rFonts w:hint="eastAsia"/>
              </w:rPr>
              <w:t>农药名称：</w:t>
            </w:r>
            <w:r>
              <w:rPr>
                <w:rFonts w:hint="eastAsia"/>
              </w:rPr>
              <w:t>杀蟑饵剂</w:t>
            </w:r>
          </w:p>
        </w:tc>
      </w:tr>
      <w:tr w14:paraId="65C6CB5D">
        <w:tblPrEx>
          <w:tblCellMar>
            <w:top w:w="0" w:type="dxa"/>
            <w:left w:w="0" w:type="dxa"/>
            <w:bottom w:w="0" w:type="dxa"/>
            <w:right w:w="0" w:type="dxa"/>
          </w:tblCellMar>
        </w:tblPrEx>
        <w:trPr>
          <w:wBefore w:w="0" w:type="auto"/>
          <w:tblCellSpacing w:w="0" w:type="dxa"/>
        </w:trPr>
        <w:tc>
          <w:tcPr>
            <w:tcW w:w="0" w:type="auto"/>
            <w:noWrap w:val="0"/>
            <w:vAlign w:val="center"/>
          </w:tcPr>
          <w:p w14:paraId="598BF4F1">
            <w:r>
              <w:rPr>
                <w:rStyle w:val="10"/>
                <w:rFonts w:hint="eastAsia"/>
              </w:rPr>
              <w:t>剂型：</w:t>
            </w:r>
            <w:r>
              <w:rPr>
                <w:rFonts w:hint="eastAsia"/>
              </w:rPr>
              <w:t>饵剂</w:t>
            </w:r>
          </w:p>
        </w:tc>
      </w:tr>
      <w:tr w14:paraId="21D572EE">
        <w:tblPrEx>
          <w:tblCellMar>
            <w:top w:w="0" w:type="dxa"/>
            <w:left w:w="0" w:type="dxa"/>
            <w:bottom w:w="0" w:type="dxa"/>
            <w:right w:w="0" w:type="dxa"/>
          </w:tblCellMar>
        </w:tblPrEx>
        <w:trPr>
          <w:wBefore w:w="0" w:type="auto"/>
          <w:tblCellSpacing w:w="0" w:type="dxa"/>
        </w:trPr>
        <w:tc>
          <w:tcPr>
            <w:tcW w:w="0" w:type="auto"/>
            <w:noWrap w:val="0"/>
            <w:vAlign w:val="center"/>
          </w:tcPr>
          <w:p w14:paraId="2C59F1FF">
            <w:r>
              <w:rPr>
                <w:rStyle w:val="10"/>
                <w:rFonts w:hint="eastAsia"/>
              </w:rPr>
              <w:t>毒性及其标识：</w:t>
            </w:r>
            <w:r>
              <w:rPr>
                <w:rFonts w:hint="eastAsia"/>
              </w:rPr>
              <w:t xml:space="preserve"> </w:t>
            </w:r>
            <w:r>
              <w:rPr>
                <w:lang/>
              </w:rPr>
              <w:drawing>
                <wp:inline distT="0" distB="0" distL="114300" distR="114300">
                  <wp:extent cx="476250" cy="323850"/>
                  <wp:effectExtent l="0" t="0" r="0" b="0"/>
                  <wp:docPr id="543" name="图片 54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0CB3837">
        <w:tblPrEx>
          <w:tblCellMar>
            <w:top w:w="0" w:type="dxa"/>
            <w:left w:w="0" w:type="dxa"/>
            <w:bottom w:w="0" w:type="dxa"/>
            <w:right w:w="0" w:type="dxa"/>
          </w:tblCellMar>
        </w:tblPrEx>
        <w:trPr>
          <w:wBefore w:w="0" w:type="auto"/>
          <w:tblCellSpacing w:w="0" w:type="dxa"/>
        </w:trPr>
        <w:tc>
          <w:tcPr>
            <w:tcW w:w="0" w:type="auto"/>
            <w:noWrap w:val="0"/>
            <w:vAlign w:val="center"/>
          </w:tcPr>
          <w:p w14:paraId="29F96067">
            <w:r>
              <w:rPr>
                <w:rStyle w:val="10"/>
                <w:rFonts w:hint="eastAsia"/>
              </w:rPr>
              <w:t>总有效成分含量：</w:t>
            </w:r>
            <w:r>
              <w:rPr>
                <w:rFonts w:hint="eastAsia"/>
              </w:rPr>
              <w:t>0.5%</w:t>
            </w:r>
          </w:p>
        </w:tc>
      </w:tr>
      <w:tr w14:paraId="6D764283">
        <w:tblPrEx>
          <w:tblCellMar>
            <w:top w:w="0" w:type="dxa"/>
            <w:left w:w="0" w:type="dxa"/>
            <w:bottom w:w="0" w:type="dxa"/>
            <w:right w:w="0" w:type="dxa"/>
          </w:tblCellMar>
        </w:tblPrEx>
        <w:trPr>
          <w:wBefore w:w="0" w:type="auto"/>
          <w:tblCellSpacing w:w="0" w:type="dxa"/>
        </w:trPr>
        <w:tc>
          <w:tcPr>
            <w:tcW w:w="0" w:type="auto"/>
            <w:noWrap w:val="0"/>
            <w:vAlign w:val="center"/>
          </w:tcPr>
          <w:p w14:paraId="53DD156C">
            <w:r>
              <w:rPr>
                <w:rFonts w:hint="eastAsia"/>
              </w:rPr>
              <w:t xml:space="preserve">有效成分及其含量： </w:t>
            </w:r>
          </w:p>
          <w:p w14:paraId="706B2EDE">
            <w:r>
              <w:rPr>
                <w:rFonts w:hint="eastAsia"/>
              </w:rPr>
              <w:t xml:space="preserve">    呋虫胺0.5%    </w:t>
            </w:r>
          </w:p>
        </w:tc>
      </w:tr>
      <w:tr w14:paraId="2CE9302C">
        <w:tblPrEx>
          <w:tblCellMar>
            <w:top w:w="0" w:type="dxa"/>
            <w:left w:w="0" w:type="dxa"/>
            <w:bottom w:w="0" w:type="dxa"/>
            <w:right w:w="0" w:type="dxa"/>
          </w:tblCellMar>
        </w:tblPrEx>
        <w:trPr>
          <w:wBefore w:w="0" w:type="auto"/>
          <w:tblCellSpacing w:w="0" w:type="dxa"/>
        </w:trPr>
        <w:tc>
          <w:tcPr>
            <w:tcW w:w="0" w:type="auto"/>
            <w:noWrap w:val="0"/>
            <w:vAlign w:val="center"/>
          </w:tcPr>
          <w:p w14:paraId="16A0AD0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3F50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A1CB02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82F084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7F40E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16CF9F0">
                  <w:r>
                    <w:rPr>
                      <w:rStyle w:val="11"/>
                      <w:rFonts w:hint="eastAsia"/>
                    </w:rPr>
                    <w:t>施用方式</w:t>
                  </w:r>
                </w:p>
              </w:tc>
            </w:tr>
            <w:tr w14:paraId="391821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FFEA83D">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9AB447">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7EDE4F">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00EAEF">
                  <w:r>
                    <w:rPr>
                      <w:rStyle w:val="11"/>
                      <w:rFonts w:hint="eastAsia"/>
                    </w:rPr>
                    <w:t>投放</w:t>
                  </w:r>
                </w:p>
              </w:tc>
            </w:tr>
          </w:tbl>
          <w:p w14:paraId="05B3E090">
            <w:pPr>
              <w:rPr>
                <w:rFonts w:ascii="Times New Roman" w:hAnsi="Times New Roman" w:cs="Times New Roman"/>
                <w:sz w:val="20"/>
                <w:szCs w:val="20"/>
              </w:rPr>
            </w:pPr>
          </w:p>
        </w:tc>
      </w:tr>
      <w:tr w14:paraId="01EDE1EE">
        <w:tblPrEx>
          <w:tblCellMar>
            <w:top w:w="0" w:type="dxa"/>
            <w:left w:w="0" w:type="dxa"/>
            <w:bottom w:w="0" w:type="dxa"/>
            <w:right w:w="0" w:type="dxa"/>
          </w:tblCellMar>
        </w:tblPrEx>
        <w:trPr>
          <w:wBefore w:w="0" w:type="auto"/>
          <w:tblCellSpacing w:w="0" w:type="dxa"/>
        </w:trPr>
        <w:tc>
          <w:tcPr>
            <w:tcW w:w="0" w:type="auto"/>
            <w:noWrap w:val="0"/>
            <w:vAlign w:val="center"/>
          </w:tcPr>
          <w:p w14:paraId="3D86F97F">
            <w:r>
              <w:rPr>
                <w:rStyle w:val="10"/>
                <w:rFonts w:hint="eastAsia"/>
              </w:rPr>
              <w:t>使用技术要求:</w:t>
            </w:r>
            <w:r>
              <w:rPr>
                <w:rFonts w:hint="eastAsia"/>
              </w:rPr>
              <w:br w:type="textWrapping"/>
            </w:r>
            <w:r>
              <w:rPr>
                <w:rStyle w:val="11"/>
                <w:rFonts w:hint="eastAsia"/>
              </w:rPr>
              <w:t>1、将本品点施于蟑螂经常出没处和隐蔽处，如孔洞、缝隙、边角等人不易接触、擦抹的位置；2、每10克可均匀布施40-50点，在蟑螂密度较低的场所，按1-2点/平方米点施处理；在蟑螂滋生密度较高的场所，按2-3点/平方米点施处理；3、避免用于较潮湿的地方，以免影响防效。</w:t>
            </w:r>
          </w:p>
        </w:tc>
      </w:tr>
      <w:tr w14:paraId="02A4E539">
        <w:tblPrEx>
          <w:tblCellMar>
            <w:top w:w="0" w:type="dxa"/>
            <w:left w:w="0" w:type="dxa"/>
            <w:bottom w:w="0" w:type="dxa"/>
            <w:right w:w="0" w:type="dxa"/>
          </w:tblCellMar>
        </w:tblPrEx>
        <w:trPr>
          <w:wBefore w:w="0" w:type="auto"/>
          <w:tblCellSpacing w:w="0" w:type="dxa"/>
        </w:trPr>
        <w:tc>
          <w:tcPr>
            <w:tcW w:w="0" w:type="auto"/>
            <w:noWrap w:val="0"/>
            <w:vAlign w:val="center"/>
          </w:tcPr>
          <w:p w14:paraId="5A21B7CA">
            <w:r>
              <w:rPr>
                <w:rStyle w:val="10"/>
                <w:rFonts w:hint="eastAsia"/>
              </w:rPr>
              <w:t>产品性能:</w:t>
            </w:r>
            <w:r>
              <w:rPr>
                <w:rFonts w:hint="eastAsia"/>
              </w:rPr>
              <w:br w:type="textWrapping"/>
            </w:r>
            <w:r>
              <w:rPr>
                <w:rStyle w:val="11"/>
                <w:rFonts w:hint="eastAsia"/>
              </w:rPr>
              <w:t>呋虫胺为烟碱乙酰胆碱受体的兴奋剂，影响昆虫中枢神经系统的突触，具有触杀和胃毒作用，可以用于防治室内蜚蠊，室内场所如家居、酒店、办公室、商店等。</w:t>
            </w:r>
          </w:p>
        </w:tc>
      </w:tr>
      <w:tr w14:paraId="117C7A02">
        <w:tblPrEx>
          <w:tblCellMar>
            <w:top w:w="0" w:type="dxa"/>
            <w:left w:w="0" w:type="dxa"/>
            <w:bottom w:w="0" w:type="dxa"/>
            <w:right w:w="0" w:type="dxa"/>
          </w:tblCellMar>
        </w:tblPrEx>
        <w:trPr>
          <w:wBefore w:w="0" w:type="auto"/>
          <w:tblCellSpacing w:w="0" w:type="dxa"/>
        </w:trPr>
        <w:tc>
          <w:tcPr>
            <w:tcW w:w="0" w:type="auto"/>
            <w:noWrap w:val="0"/>
            <w:vAlign w:val="center"/>
          </w:tcPr>
          <w:p w14:paraId="6CD73715">
            <w:r>
              <w:rPr>
                <w:rStyle w:val="10"/>
                <w:rFonts w:hint="eastAsia"/>
              </w:rPr>
              <w:t>注意事项：</w:t>
            </w:r>
            <w:r>
              <w:rPr>
                <w:rFonts w:hint="eastAsia"/>
              </w:rPr>
              <w:br w:type="textWrapping"/>
            </w:r>
            <w:r>
              <w:rPr>
                <w:rStyle w:val="11"/>
                <w:rFonts w:hint="eastAsia"/>
              </w:rPr>
              <w:t>1）本品仅用于室内，切勿污染食品及饮用水。 2）使用时，不要让药剂沾染皮肤和眼睛，施药期间不可饮食。 3）使用后，及时洗手、洗脸，并清洗暴露在外的皮肤。 4）置于儿童及宠物接触不到的地方，避免误服。 5）禁止儿童、孕妇及哺乳期妇女接触。 6）过敏者禁用，使用中有任何不良反应请及时就医。 7）用过的容器应妥善处理，不可他用，也不可随意丢弃。</w:t>
            </w:r>
          </w:p>
        </w:tc>
      </w:tr>
      <w:tr w14:paraId="4447A435">
        <w:tblPrEx>
          <w:tblCellMar>
            <w:top w:w="0" w:type="dxa"/>
            <w:left w:w="0" w:type="dxa"/>
            <w:bottom w:w="0" w:type="dxa"/>
            <w:right w:w="0" w:type="dxa"/>
          </w:tblCellMar>
        </w:tblPrEx>
        <w:trPr>
          <w:wBefore w:w="0" w:type="auto"/>
          <w:tblCellSpacing w:w="0" w:type="dxa"/>
        </w:trPr>
        <w:tc>
          <w:tcPr>
            <w:tcW w:w="0" w:type="auto"/>
            <w:noWrap w:val="0"/>
            <w:vAlign w:val="center"/>
          </w:tcPr>
          <w:p w14:paraId="60397BE5">
            <w:r>
              <w:rPr>
                <w:rStyle w:val="10"/>
                <w:rFonts w:hint="eastAsia"/>
              </w:rPr>
              <w:t>中毒急救措施：</w:t>
            </w:r>
            <w:r>
              <w:rPr>
                <w:rFonts w:hint="eastAsia"/>
              </w:rPr>
              <w:br w:type="textWrapping"/>
            </w:r>
            <w:r>
              <w:rPr>
                <w:rStyle w:val="11"/>
                <w:rFonts w:hint="eastAsia"/>
              </w:rPr>
              <w:t xml:space="preserve">中毒症状：对眼睛有刺激性。 本品无专用解毒药，使用中如有不良反应，请及时就医。 皮肤接触：用肥皂和清水冲洗。 眼睛溅入：对眼睛有刺激性，若不慎接触，立即用肥皂和大量清水冲洗干净。 误食：用清水充分漱口后，勿催吐，携带农药标签到医院就诊。 </w:t>
            </w:r>
          </w:p>
        </w:tc>
      </w:tr>
      <w:tr w14:paraId="1440F79A">
        <w:tblPrEx>
          <w:tblCellMar>
            <w:top w:w="0" w:type="dxa"/>
            <w:left w:w="0" w:type="dxa"/>
            <w:bottom w:w="0" w:type="dxa"/>
            <w:right w:w="0" w:type="dxa"/>
          </w:tblCellMar>
        </w:tblPrEx>
        <w:trPr>
          <w:wBefore w:w="0" w:type="auto"/>
          <w:tblCellSpacing w:w="0" w:type="dxa"/>
        </w:trPr>
        <w:tc>
          <w:tcPr>
            <w:tcW w:w="0" w:type="auto"/>
            <w:noWrap w:val="0"/>
            <w:vAlign w:val="center"/>
          </w:tcPr>
          <w:p w14:paraId="1872D97F">
            <w:r>
              <w:rPr>
                <w:rStyle w:val="10"/>
                <w:rFonts w:hint="eastAsia"/>
              </w:rPr>
              <w:t>储存和运输方法：</w:t>
            </w:r>
            <w:r>
              <w:rPr>
                <w:rFonts w:hint="eastAsia"/>
              </w:rPr>
              <w:br w:type="textWrapping"/>
            </w:r>
            <w:r>
              <w:rPr>
                <w:rStyle w:val="11"/>
                <w:rFonts w:hint="eastAsia"/>
              </w:rPr>
              <w:t>本品应贮存在干燥、阴凉、通风、防雨处，严防潮湿和日晒。置于儿童、无关人员及动物接触不到的地方，并加锁保存。不能与食品、饮料、粮食、饲料等混合储存。</w:t>
            </w:r>
          </w:p>
        </w:tc>
      </w:tr>
      <w:tr w14:paraId="7B0F533A">
        <w:tblPrEx>
          <w:tblCellMar>
            <w:top w:w="0" w:type="dxa"/>
            <w:left w:w="0" w:type="dxa"/>
            <w:bottom w:w="0" w:type="dxa"/>
            <w:right w:w="0" w:type="dxa"/>
          </w:tblCellMar>
        </w:tblPrEx>
        <w:trPr>
          <w:wBefore w:w="0" w:type="auto"/>
          <w:tblCellSpacing w:w="0" w:type="dxa"/>
        </w:trPr>
        <w:tc>
          <w:tcPr>
            <w:tcW w:w="0" w:type="auto"/>
            <w:noWrap w:val="0"/>
            <w:vAlign w:val="center"/>
          </w:tcPr>
          <w:p w14:paraId="4B5F99DB">
            <w:r>
              <w:rPr>
                <w:rStyle w:val="10"/>
                <w:rFonts w:hint="eastAsia"/>
              </w:rPr>
              <w:t>质量保证期：</w:t>
            </w:r>
            <w:r>
              <w:rPr>
                <w:rStyle w:val="11"/>
                <w:rFonts w:hint="eastAsia"/>
              </w:rPr>
              <w:t>2年</w:t>
            </w:r>
          </w:p>
        </w:tc>
      </w:tr>
      <w:tr w14:paraId="03B06CAA">
        <w:tblPrEx>
          <w:tblCellMar>
            <w:top w:w="0" w:type="dxa"/>
            <w:left w:w="0" w:type="dxa"/>
            <w:bottom w:w="0" w:type="dxa"/>
            <w:right w:w="0" w:type="dxa"/>
          </w:tblCellMar>
        </w:tblPrEx>
        <w:trPr>
          <w:wBefore w:w="0" w:type="auto"/>
          <w:tblCellSpacing w:w="0" w:type="dxa"/>
        </w:trPr>
        <w:tc>
          <w:tcPr>
            <w:tcW w:w="0" w:type="auto"/>
            <w:noWrap w:val="0"/>
            <w:vAlign w:val="center"/>
          </w:tcPr>
          <w:p w14:paraId="6D993B62">
            <w:r>
              <w:rPr>
                <w:rStyle w:val="10"/>
                <w:rFonts w:hint="eastAsia"/>
              </w:rPr>
              <w:t>备注：</w:t>
            </w:r>
          </w:p>
        </w:tc>
      </w:tr>
    </w:tbl>
    <w:p w14:paraId="2FB70AA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442F557">
        <w:tblPrEx>
          <w:tblCellMar>
            <w:top w:w="0" w:type="dxa"/>
            <w:left w:w="0" w:type="dxa"/>
            <w:bottom w:w="0" w:type="dxa"/>
            <w:right w:w="0" w:type="dxa"/>
          </w:tblCellMar>
        </w:tblPrEx>
        <w:trPr>
          <w:wBefore w:w="0" w:type="auto"/>
          <w:tblCellSpacing w:w="0" w:type="dxa"/>
        </w:trPr>
        <w:tc>
          <w:tcPr>
            <w:tcW w:w="0" w:type="auto"/>
            <w:noWrap w:val="0"/>
            <w:vAlign w:val="center"/>
          </w:tcPr>
          <w:p w14:paraId="344F74C7">
            <w:r>
              <w:rPr>
                <w:rStyle w:val="10"/>
                <w:rFonts w:hint="eastAsia"/>
              </w:rPr>
              <w:t>登记证号：</w:t>
            </w:r>
            <w:r>
              <w:rPr>
                <w:rFonts w:hint="eastAsia"/>
              </w:rPr>
              <w:t>PD20212093</w:t>
            </w:r>
          </w:p>
        </w:tc>
      </w:tr>
      <w:tr w14:paraId="38AAB716">
        <w:tblPrEx>
          <w:tblCellMar>
            <w:top w:w="0" w:type="dxa"/>
            <w:left w:w="0" w:type="dxa"/>
            <w:bottom w:w="0" w:type="dxa"/>
            <w:right w:w="0" w:type="dxa"/>
          </w:tblCellMar>
        </w:tblPrEx>
        <w:trPr>
          <w:wBefore w:w="0" w:type="auto"/>
          <w:tblCellSpacing w:w="0" w:type="dxa"/>
        </w:trPr>
        <w:tc>
          <w:tcPr>
            <w:tcW w:w="0" w:type="auto"/>
            <w:noWrap w:val="0"/>
            <w:vAlign w:val="center"/>
          </w:tcPr>
          <w:p w14:paraId="7DDD30EB">
            <w:r>
              <w:rPr>
                <w:rStyle w:val="10"/>
                <w:rFonts w:hint="eastAsia"/>
              </w:rPr>
              <w:t>登记证持有人：</w:t>
            </w:r>
            <w:r>
              <w:rPr>
                <w:rFonts w:hint="eastAsia"/>
              </w:rPr>
              <w:t>天津市华宇农药有限公司</w:t>
            </w:r>
          </w:p>
        </w:tc>
      </w:tr>
      <w:tr w14:paraId="7D8F088E">
        <w:tblPrEx>
          <w:tblCellMar>
            <w:top w:w="0" w:type="dxa"/>
            <w:left w:w="0" w:type="dxa"/>
            <w:bottom w:w="0" w:type="dxa"/>
            <w:right w:w="0" w:type="dxa"/>
          </w:tblCellMar>
        </w:tblPrEx>
        <w:trPr>
          <w:wBefore w:w="0" w:type="auto"/>
          <w:tblCellSpacing w:w="0" w:type="dxa"/>
        </w:trPr>
        <w:tc>
          <w:tcPr>
            <w:tcW w:w="0" w:type="auto"/>
            <w:noWrap w:val="0"/>
            <w:vAlign w:val="center"/>
          </w:tcPr>
          <w:p w14:paraId="1E6F6412">
            <w:r>
              <w:rPr>
                <w:rStyle w:val="10"/>
                <w:rFonts w:hint="eastAsia"/>
              </w:rPr>
              <w:t>农药名称：</w:t>
            </w:r>
            <w:r>
              <w:rPr>
                <w:rFonts w:hint="eastAsia"/>
              </w:rPr>
              <w:t>2,4-滴异辛酯</w:t>
            </w:r>
          </w:p>
        </w:tc>
      </w:tr>
      <w:tr w14:paraId="04BF9C79">
        <w:tblPrEx>
          <w:tblCellMar>
            <w:top w:w="0" w:type="dxa"/>
            <w:left w:w="0" w:type="dxa"/>
            <w:bottom w:w="0" w:type="dxa"/>
            <w:right w:w="0" w:type="dxa"/>
          </w:tblCellMar>
        </w:tblPrEx>
        <w:trPr>
          <w:wBefore w:w="0" w:type="auto"/>
          <w:tblCellSpacing w:w="0" w:type="dxa"/>
        </w:trPr>
        <w:tc>
          <w:tcPr>
            <w:tcW w:w="0" w:type="auto"/>
            <w:noWrap w:val="0"/>
            <w:vAlign w:val="center"/>
          </w:tcPr>
          <w:p w14:paraId="2DFB6342">
            <w:r>
              <w:rPr>
                <w:rStyle w:val="10"/>
                <w:rFonts w:hint="eastAsia"/>
              </w:rPr>
              <w:t>剂型：</w:t>
            </w:r>
            <w:r>
              <w:rPr>
                <w:rFonts w:hint="eastAsia"/>
              </w:rPr>
              <w:t>乳油</w:t>
            </w:r>
          </w:p>
        </w:tc>
      </w:tr>
      <w:tr w14:paraId="13CD47FC">
        <w:tblPrEx>
          <w:tblCellMar>
            <w:top w:w="0" w:type="dxa"/>
            <w:left w:w="0" w:type="dxa"/>
            <w:bottom w:w="0" w:type="dxa"/>
            <w:right w:w="0" w:type="dxa"/>
          </w:tblCellMar>
        </w:tblPrEx>
        <w:trPr>
          <w:wBefore w:w="0" w:type="auto"/>
          <w:tblCellSpacing w:w="0" w:type="dxa"/>
        </w:trPr>
        <w:tc>
          <w:tcPr>
            <w:tcW w:w="0" w:type="auto"/>
            <w:noWrap w:val="0"/>
            <w:vAlign w:val="center"/>
          </w:tcPr>
          <w:p w14:paraId="4829B887">
            <w:r>
              <w:rPr>
                <w:rStyle w:val="10"/>
                <w:rFonts w:hint="eastAsia"/>
              </w:rPr>
              <w:t>毒性及其标识：</w:t>
            </w:r>
            <w:r>
              <w:rPr>
                <w:rFonts w:hint="eastAsia"/>
              </w:rPr>
              <w:t xml:space="preserve"> </w:t>
            </w:r>
            <w:r>
              <w:rPr>
                <w:lang/>
              </w:rPr>
              <w:drawing>
                <wp:inline distT="0" distB="0" distL="114300" distR="114300">
                  <wp:extent cx="476250" cy="323850"/>
                  <wp:effectExtent l="0" t="0" r="0" b="0"/>
                  <wp:docPr id="544" name="图片 54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2EF2D45">
        <w:tblPrEx>
          <w:tblCellMar>
            <w:top w:w="0" w:type="dxa"/>
            <w:left w:w="0" w:type="dxa"/>
            <w:bottom w:w="0" w:type="dxa"/>
            <w:right w:w="0" w:type="dxa"/>
          </w:tblCellMar>
        </w:tblPrEx>
        <w:trPr>
          <w:wBefore w:w="0" w:type="auto"/>
          <w:tblCellSpacing w:w="0" w:type="dxa"/>
        </w:trPr>
        <w:tc>
          <w:tcPr>
            <w:tcW w:w="0" w:type="auto"/>
            <w:noWrap w:val="0"/>
            <w:vAlign w:val="center"/>
          </w:tcPr>
          <w:p w14:paraId="2B900AFB">
            <w:r>
              <w:rPr>
                <w:rStyle w:val="10"/>
                <w:rFonts w:hint="eastAsia"/>
              </w:rPr>
              <w:t>总有效成分含量：</w:t>
            </w:r>
            <w:r>
              <w:rPr>
                <w:rFonts w:hint="eastAsia"/>
              </w:rPr>
              <w:t>77%</w:t>
            </w:r>
          </w:p>
        </w:tc>
      </w:tr>
      <w:tr w14:paraId="0CFBD9CA">
        <w:tblPrEx>
          <w:tblCellMar>
            <w:top w:w="0" w:type="dxa"/>
            <w:left w:w="0" w:type="dxa"/>
            <w:bottom w:w="0" w:type="dxa"/>
            <w:right w:w="0" w:type="dxa"/>
          </w:tblCellMar>
        </w:tblPrEx>
        <w:trPr>
          <w:wBefore w:w="0" w:type="auto"/>
          <w:tblCellSpacing w:w="0" w:type="dxa"/>
        </w:trPr>
        <w:tc>
          <w:tcPr>
            <w:tcW w:w="0" w:type="auto"/>
            <w:noWrap w:val="0"/>
            <w:vAlign w:val="center"/>
          </w:tcPr>
          <w:p w14:paraId="2497A34E">
            <w:r>
              <w:rPr>
                <w:rFonts w:hint="eastAsia"/>
              </w:rPr>
              <w:t xml:space="preserve">有效成分及其含量： </w:t>
            </w:r>
          </w:p>
          <w:p w14:paraId="4F3FC8DE">
            <w:r>
              <w:rPr>
                <w:rFonts w:hint="eastAsia"/>
              </w:rPr>
              <w:t xml:space="preserve">    2,4-滴异辛酯77%    </w:t>
            </w:r>
          </w:p>
        </w:tc>
      </w:tr>
      <w:tr w14:paraId="795C1A45">
        <w:tblPrEx>
          <w:tblCellMar>
            <w:top w:w="0" w:type="dxa"/>
            <w:left w:w="0" w:type="dxa"/>
            <w:bottom w:w="0" w:type="dxa"/>
            <w:right w:w="0" w:type="dxa"/>
          </w:tblCellMar>
        </w:tblPrEx>
        <w:trPr>
          <w:wBefore w:w="0" w:type="auto"/>
          <w:tblCellSpacing w:w="0" w:type="dxa"/>
        </w:trPr>
        <w:tc>
          <w:tcPr>
            <w:tcW w:w="0" w:type="auto"/>
            <w:noWrap w:val="0"/>
            <w:vAlign w:val="center"/>
          </w:tcPr>
          <w:p w14:paraId="2471155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D49DC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9E437E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5F1E34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FCB9AC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97DD28A">
                  <w:r>
                    <w:rPr>
                      <w:rStyle w:val="11"/>
                      <w:rFonts w:hint="eastAsia"/>
                    </w:rPr>
                    <w:t>施用方式</w:t>
                  </w:r>
                </w:p>
              </w:tc>
            </w:tr>
            <w:tr w14:paraId="0009E1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3968F35">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FB792C">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32ECF2">
                  <w:r>
                    <w:rPr>
                      <w:rStyle w:val="11"/>
                      <w:rFonts w:hint="eastAsia"/>
                    </w:rPr>
                    <w:t>50-58毫升/亩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D0993F">
                  <w:r>
                    <w:rPr>
                      <w:rStyle w:val="11"/>
                      <w:rFonts w:hint="eastAsia"/>
                    </w:rPr>
                    <w:t>土壤喷雾</w:t>
                  </w:r>
                </w:p>
              </w:tc>
            </w:tr>
          </w:tbl>
          <w:p w14:paraId="283F780D">
            <w:pPr>
              <w:rPr>
                <w:rFonts w:ascii="Times New Roman" w:hAnsi="Times New Roman" w:cs="Times New Roman"/>
                <w:sz w:val="20"/>
                <w:szCs w:val="20"/>
              </w:rPr>
            </w:pPr>
          </w:p>
        </w:tc>
      </w:tr>
      <w:tr w14:paraId="784571EC">
        <w:tblPrEx>
          <w:tblCellMar>
            <w:top w:w="0" w:type="dxa"/>
            <w:left w:w="0" w:type="dxa"/>
            <w:bottom w:w="0" w:type="dxa"/>
            <w:right w:w="0" w:type="dxa"/>
          </w:tblCellMar>
        </w:tblPrEx>
        <w:trPr>
          <w:wBefore w:w="0" w:type="auto"/>
          <w:tblCellSpacing w:w="0" w:type="dxa"/>
        </w:trPr>
        <w:tc>
          <w:tcPr>
            <w:tcW w:w="0" w:type="auto"/>
            <w:noWrap w:val="0"/>
            <w:vAlign w:val="center"/>
          </w:tcPr>
          <w:p w14:paraId="04222C53">
            <w:r>
              <w:rPr>
                <w:rStyle w:val="10"/>
                <w:rFonts w:hint="eastAsia"/>
              </w:rPr>
              <w:t>使用技术要求:</w:t>
            </w:r>
            <w:r>
              <w:rPr>
                <w:rFonts w:hint="eastAsia"/>
              </w:rPr>
              <w:br w:type="textWrapping"/>
            </w:r>
            <w:r>
              <w:rPr>
                <w:rStyle w:val="11"/>
                <w:rFonts w:hint="eastAsia"/>
              </w:rPr>
              <w:t>1.本品应在春玉米播后苗前土壤喷雾 2.玉米自交系和某些单交种对本品敏感。3.施药时注意风向，防止药剂飘移到邻近的阔叶作物、蔬菜和果树上，以防产生药害。4.风速＞4米/秒时及降雨前，勿施药5.每季作物最多使用1次。</w:t>
            </w:r>
          </w:p>
        </w:tc>
      </w:tr>
      <w:tr w14:paraId="2E204AD7">
        <w:tblPrEx>
          <w:tblCellMar>
            <w:top w:w="0" w:type="dxa"/>
            <w:left w:w="0" w:type="dxa"/>
            <w:bottom w:w="0" w:type="dxa"/>
            <w:right w:w="0" w:type="dxa"/>
          </w:tblCellMar>
        </w:tblPrEx>
        <w:trPr>
          <w:wBefore w:w="0" w:type="auto"/>
          <w:tblCellSpacing w:w="0" w:type="dxa"/>
        </w:trPr>
        <w:tc>
          <w:tcPr>
            <w:tcW w:w="0" w:type="auto"/>
            <w:noWrap w:val="0"/>
            <w:vAlign w:val="center"/>
          </w:tcPr>
          <w:p w14:paraId="4C19DCC7">
            <w:r>
              <w:rPr>
                <w:rStyle w:val="10"/>
                <w:rFonts w:hint="eastAsia"/>
              </w:rPr>
              <w:t>产品性能:</w:t>
            </w:r>
            <w:r>
              <w:rPr>
                <w:rFonts w:hint="eastAsia"/>
              </w:rPr>
              <w:br w:type="textWrapping"/>
            </w:r>
            <w:r>
              <w:rPr>
                <w:rStyle w:val="11"/>
                <w:rFonts w:hint="eastAsia"/>
              </w:rPr>
              <w:t>本品外观为均匀液体，是春玉米田播后苗前土壤封闭处理选择性除草剂。正常使用条件下，对春玉米田中的一年生阔叶杂草如反枝苋、藜、苘麻、鸭跖草等有较好的防效。</w:t>
            </w:r>
          </w:p>
        </w:tc>
      </w:tr>
      <w:tr w14:paraId="57A546C1">
        <w:tblPrEx>
          <w:tblCellMar>
            <w:top w:w="0" w:type="dxa"/>
            <w:left w:w="0" w:type="dxa"/>
            <w:bottom w:w="0" w:type="dxa"/>
            <w:right w:w="0" w:type="dxa"/>
          </w:tblCellMar>
        </w:tblPrEx>
        <w:trPr>
          <w:wBefore w:w="0" w:type="auto"/>
          <w:tblCellSpacing w:w="0" w:type="dxa"/>
        </w:trPr>
        <w:tc>
          <w:tcPr>
            <w:tcW w:w="0" w:type="auto"/>
            <w:noWrap w:val="0"/>
            <w:vAlign w:val="center"/>
          </w:tcPr>
          <w:p w14:paraId="65DEE036">
            <w:r>
              <w:rPr>
                <w:rStyle w:val="10"/>
                <w:rFonts w:hint="eastAsia"/>
              </w:rPr>
              <w:t>注意事项：</w:t>
            </w:r>
            <w:r>
              <w:rPr>
                <w:rFonts w:hint="eastAsia"/>
              </w:rPr>
              <w:br w:type="textWrapping"/>
            </w:r>
            <w:r>
              <w:rPr>
                <w:rStyle w:val="11"/>
                <w:rFonts w:hint="eastAsia"/>
              </w:rPr>
              <w:t>1. 使用本品时应注意风向，应在无风或微风（风力不大于2级）时用药,下风向有敏感作物田或在100米内种植了棉花、豆类、蔬菜、瓜类、中药材、葡萄、马铃薯及果树、林木等阔叶作物，不得使用该产品。 2.此药避免与强酸性和呈碱性的农药等物质接触或混用，喷施药械要专用。 3.本品为苯氧乙酸类除草剂，建议与其他类型除草剂轮换使用，以免使杂草产生抗药性。 4.应严格按照推荐剂量，采用标准的喷雾器压低喷头减压使用，禁止使用弥雾机或超低容量喷雾。 5.土壤干旱影响药效的发挥，最好先浇水后施药；土壤有机质含量高时，用推荐剂量上限，反之用推荐剂量下限。 6.使用本品时应穿戴防护服、口罩、手套等防护用具，避免吸入药液。施药期间不可吃东西、喝水、吸烟等。施药后应及时洗手、洗脸等。 7.本产品对家蚕风险较大，蚕室及桑园附近禁用。本品对鱼类等水生生物有毒远离水产养殖区、河塘等水体施药。禁止在河塘等水域内清洗施药器具或将清洗施药器具的废水倒入河流、池塘等水源。 8.用过的废弃物要妥善处理，不可做它用，也不可随意丢弃。 9.孕妇及哺乳期妇女避免接触此药。 10.本品为易燃液体。</w:t>
            </w:r>
          </w:p>
        </w:tc>
      </w:tr>
      <w:tr w14:paraId="1EFAF445">
        <w:tblPrEx>
          <w:tblCellMar>
            <w:top w:w="0" w:type="dxa"/>
            <w:left w:w="0" w:type="dxa"/>
            <w:bottom w:w="0" w:type="dxa"/>
            <w:right w:w="0" w:type="dxa"/>
          </w:tblCellMar>
        </w:tblPrEx>
        <w:trPr>
          <w:wBefore w:w="0" w:type="auto"/>
          <w:tblCellSpacing w:w="0" w:type="dxa"/>
        </w:trPr>
        <w:tc>
          <w:tcPr>
            <w:tcW w:w="0" w:type="auto"/>
            <w:noWrap w:val="0"/>
            <w:vAlign w:val="center"/>
          </w:tcPr>
          <w:p w14:paraId="450AA7F2">
            <w:r>
              <w:rPr>
                <w:rStyle w:val="10"/>
                <w:rFonts w:hint="eastAsia"/>
              </w:rPr>
              <w:t>中毒急救措施：</w:t>
            </w:r>
            <w:r>
              <w:rPr>
                <w:rFonts w:hint="eastAsia"/>
              </w:rPr>
              <w:br w:type="textWrapping"/>
            </w:r>
            <w:r>
              <w:rPr>
                <w:rStyle w:val="11"/>
                <w:rFonts w:hint="eastAsia"/>
              </w:rPr>
              <w:t>本品中毒后会出现消化道症状，严重时对肝、肾损伤。皮肤接触：立即脱掉被污染的衣物，用大量清水冲洗被污染的皮肤，再用肥皂清洗，然后用清水冲净。眼睛溅入：立即将眼睑翻开，用清水冲洗至少15分钟，如仍有不适再请医生诊治。发生吸入：立即将吸入者转移到空气新鲜处，请医生诊治。误服：立即携本标签及时把病人送往医院对症治疗，本品无特效解毒剂。</w:t>
            </w:r>
          </w:p>
        </w:tc>
      </w:tr>
      <w:tr w14:paraId="3DE60C4F">
        <w:tblPrEx>
          <w:tblCellMar>
            <w:top w:w="0" w:type="dxa"/>
            <w:left w:w="0" w:type="dxa"/>
            <w:bottom w:w="0" w:type="dxa"/>
            <w:right w:w="0" w:type="dxa"/>
          </w:tblCellMar>
        </w:tblPrEx>
        <w:trPr>
          <w:wBefore w:w="0" w:type="auto"/>
          <w:tblCellSpacing w:w="0" w:type="dxa"/>
        </w:trPr>
        <w:tc>
          <w:tcPr>
            <w:tcW w:w="0" w:type="auto"/>
            <w:noWrap w:val="0"/>
            <w:vAlign w:val="center"/>
          </w:tcPr>
          <w:p w14:paraId="1333150C">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本品应贮存于干燥、阴凉、通风、防雨处。远离火源或热源。置于儿童触及不到之处，并加锁。勿与食品、饮料、饲料、粮食等其它商品同贮同运。</w:t>
            </w:r>
          </w:p>
        </w:tc>
      </w:tr>
      <w:tr w14:paraId="73A61F1A">
        <w:tblPrEx>
          <w:tblCellMar>
            <w:top w:w="0" w:type="dxa"/>
            <w:left w:w="0" w:type="dxa"/>
            <w:bottom w:w="0" w:type="dxa"/>
            <w:right w:w="0" w:type="dxa"/>
          </w:tblCellMar>
        </w:tblPrEx>
        <w:trPr>
          <w:wBefore w:w="0" w:type="auto"/>
          <w:tblCellSpacing w:w="0" w:type="dxa"/>
        </w:trPr>
        <w:tc>
          <w:tcPr>
            <w:tcW w:w="0" w:type="auto"/>
            <w:noWrap w:val="0"/>
            <w:vAlign w:val="center"/>
          </w:tcPr>
          <w:p w14:paraId="2B1A51FA">
            <w:r>
              <w:rPr>
                <w:rStyle w:val="10"/>
                <w:rFonts w:hint="eastAsia"/>
              </w:rPr>
              <w:t>质量保证期：</w:t>
            </w:r>
            <w:r>
              <w:rPr>
                <w:rStyle w:val="11"/>
                <w:rFonts w:hint="eastAsia"/>
              </w:rPr>
              <w:t>2年</w:t>
            </w:r>
          </w:p>
        </w:tc>
      </w:tr>
      <w:tr w14:paraId="0CEE71DA">
        <w:tblPrEx>
          <w:tblCellMar>
            <w:top w:w="0" w:type="dxa"/>
            <w:left w:w="0" w:type="dxa"/>
            <w:bottom w:w="0" w:type="dxa"/>
            <w:right w:w="0" w:type="dxa"/>
          </w:tblCellMar>
        </w:tblPrEx>
        <w:trPr>
          <w:wBefore w:w="0" w:type="auto"/>
          <w:tblCellSpacing w:w="0" w:type="dxa"/>
        </w:trPr>
        <w:tc>
          <w:tcPr>
            <w:tcW w:w="0" w:type="auto"/>
            <w:noWrap w:val="0"/>
            <w:vAlign w:val="center"/>
          </w:tcPr>
          <w:p w14:paraId="25BD6A08">
            <w:r>
              <w:rPr>
                <w:rStyle w:val="10"/>
                <w:rFonts w:hint="eastAsia"/>
              </w:rPr>
              <w:t>备注：</w:t>
            </w:r>
          </w:p>
        </w:tc>
      </w:tr>
    </w:tbl>
    <w:p w14:paraId="5E0F9A2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1DD1B28">
        <w:tblPrEx>
          <w:tblCellMar>
            <w:top w:w="0" w:type="dxa"/>
            <w:left w:w="0" w:type="dxa"/>
            <w:bottom w:w="0" w:type="dxa"/>
            <w:right w:w="0" w:type="dxa"/>
          </w:tblCellMar>
        </w:tblPrEx>
        <w:trPr>
          <w:wBefore w:w="0" w:type="auto"/>
          <w:tblCellSpacing w:w="0" w:type="dxa"/>
        </w:trPr>
        <w:tc>
          <w:tcPr>
            <w:tcW w:w="0" w:type="auto"/>
            <w:noWrap w:val="0"/>
            <w:vAlign w:val="center"/>
          </w:tcPr>
          <w:p w14:paraId="0506FDD7">
            <w:r>
              <w:rPr>
                <w:rStyle w:val="10"/>
                <w:rFonts w:hint="eastAsia"/>
              </w:rPr>
              <w:t>登记证号：</w:t>
            </w:r>
            <w:r>
              <w:rPr>
                <w:rFonts w:hint="eastAsia"/>
              </w:rPr>
              <w:t>PD20212254</w:t>
            </w:r>
          </w:p>
        </w:tc>
      </w:tr>
      <w:tr w14:paraId="126AADD0">
        <w:tblPrEx>
          <w:tblCellMar>
            <w:top w:w="0" w:type="dxa"/>
            <w:left w:w="0" w:type="dxa"/>
            <w:bottom w:w="0" w:type="dxa"/>
            <w:right w:w="0" w:type="dxa"/>
          </w:tblCellMar>
        </w:tblPrEx>
        <w:trPr>
          <w:wBefore w:w="0" w:type="auto"/>
          <w:tblCellSpacing w:w="0" w:type="dxa"/>
        </w:trPr>
        <w:tc>
          <w:tcPr>
            <w:tcW w:w="0" w:type="auto"/>
            <w:noWrap w:val="0"/>
            <w:vAlign w:val="center"/>
          </w:tcPr>
          <w:p w14:paraId="1DF385B4">
            <w:r>
              <w:rPr>
                <w:rStyle w:val="10"/>
                <w:rFonts w:hint="eastAsia"/>
              </w:rPr>
              <w:t>登记证持有人：</w:t>
            </w:r>
            <w:r>
              <w:rPr>
                <w:rFonts w:hint="eastAsia"/>
              </w:rPr>
              <w:t>黑龙江双盈生物科技有限公司</w:t>
            </w:r>
          </w:p>
        </w:tc>
      </w:tr>
      <w:tr w14:paraId="3E7E6A16">
        <w:tblPrEx>
          <w:tblCellMar>
            <w:top w:w="0" w:type="dxa"/>
            <w:left w:w="0" w:type="dxa"/>
            <w:bottom w:w="0" w:type="dxa"/>
            <w:right w:w="0" w:type="dxa"/>
          </w:tblCellMar>
        </w:tblPrEx>
        <w:trPr>
          <w:wBefore w:w="0" w:type="auto"/>
          <w:tblCellSpacing w:w="0" w:type="dxa"/>
        </w:trPr>
        <w:tc>
          <w:tcPr>
            <w:tcW w:w="0" w:type="auto"/>
            <w:noWrap w:val="0"/>
            <w:vAlign w:val="center"/>
          </w:tcPr>
          <w:p w14:paraId="6BB2BA82">
            <w:r>
              <w:rPr>
                <w:rStyle w:val="10"/>
                <w:rFonts w:hint="eastAsia"/>
              </w:rPr>
              <w:t>农药名称：</w:t>
            </w:r>
            <w:r>
              <w:rPr>
                <w:rFonts w:hint="eastAsia"/>
              </w:rPr>
              <w:t>硝·烟·莠去津</w:t>
            </w:r>
          </w:p>
        </w:tc>
      </w:tr>
      <w:tr w14:paraId="70FF7218">
        <w:tblPrEx>
          <w:tblCellMar>
            <w:top w:w="0" w:type="dxa"/>
            <w:left w:w="0" w:type="dxa"/>
            <w:bottom w:w="0" w:type="dxa"/>
            <w:right w:w="0" w:type="dxa"/>
          </w:tblCellMar>
        </w:tblPrEx>
        <w:trPr>
          <w:wBefore w:w="0" w:type="auto"/>
          <w:tblCellSpacing w:w="0" w:type="dxa"/>
        </w:trPr>
        <w:tc>
          <w:tcPr>
            <w:tcW w:w="0" w:type="auto"/>
            <w:noWrap w:val="0"/>
            <w:vAlign w:val="center"/>
          </w:tcPr>
          <w:p w14:paraId="02CCC21E">
            <w:r>
              <w:rPr>
                <w:rStyle w:val="10"/>
                <w:rFonts w:hint="eastAsia"/>
              </w:rPr>
              <w:t>剂型：</w:t>
            </w:r>
            <w:r>
              <w:rPr>
                <w:rFonts w:hint="eastAsia"/>
              </w:rPr>
              <w:t>可分散油悬浮剂</w:t>
            </w:r>
          </w:p>
        </w:tc>
      </w:tr>
      <w:tr w14:paraId="4B8862AA">
        <w:tblPrEx>
          <w:tblCellMar>
            <w:top w:w="0" w:type="dxa"/>
            <w:left w:w="0" w:type="dxa"/>
            <w:bottom w:w="0" w:type="dxa"/>
            <w:right w:w="0" w:type="dxa"/>
          </w:tblCellMar>
        </w:tblPrEx>
        <w:trPr>
          <w:wBefore w:w="0" w:type="auto"/>
          <w:tblCellSpacing w:w="0" w:type="dxa"/>
        </w:trPr>
        <w:tc>
          <w:tcPr>
            <w:tcW w:w="0" w:type="auto"/>
            <w:noWrap w:val="0"/>
            <w:vAlign w:val="center"/>
          </w:tcPr>
          <w:p w14:paraId="54E41BD8">
            <w:r>
              <w:rPr>
                <w:rStyle w:val="10"/>
                <w:rFonts w:hint="eastAsia"/>
              </w:rPr>
              <w:t>毒性及其标识：</w:t>
            </w:r>
            <w:r>
              <w:rPr>
                <w:rFonts w:hint="eastAsia"/>
              </w:rPr>
              <w:t xml:space="preserve"> </w:t>
            </w:r>
            <w:r>
              <w:rPr>
                <w:lang/>
              </w:rPr>
              <w:drawing>
                <wp:inline distT="0" distB="0" distL="114300" distR="114300">
                  <wp:extent cx="476250" cy="323850"/>
                  <wp:effectExtent l="0" t="0" r="0" b="0"/>
                  <wp:docPr id="545" name="图片 54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5559A7A">
        <w:tblPrEx>
          <w:tblCellMar>
            <w:top w:w="0" w:type="dxa"/>
            <w:left w:w="0" w:type="dxa"/>
            <w:bottom w:w="0" w:type="dxa"/>
            <w:right w:w="0" w:type="dxa"/>
          </w:tblCellMar>
        </w:tblPrEx>
        <w:trPr>
          <w:wBefore w:w="0" w:type="auto"/>
          <w:tblCellSpacing w:w="0" w:type="dxa"/>
        </w:trPr>
        <w:tc>
          <w:tcPr>
            <w:tcW w:w="0" w:type="auto"/>
            <w:noWrap w:val="0"/>
            <w:vAlign w:val="center"/>
          </w:tcPr>
          <w:p w14:paraId="1D2B2403">
            <w:r>
              <w:rPr>
                <w:rStyle w:val="10"/>
                <w:rFonts w:hint="eastAsia"/>
              </w:rPr>
              <w:t>总有效成分含量：</w:t>
            </w:r>
            <w:r>
              <w:rPr>
                <w:rFonts w:hint="eastAsia"/>
              </w:rPr>
              <w:t>36%</w:t>
            </w:r>
          </w:p>
        </w:tc>
      </w:tr>
      <w:tr w14:paraId="39FEB7B8">
        <w:tblPrEx>
          <w:tblCellMar>
            <w:top w:w="0" w:type="dxa"/>
            <w:left w:w="0" w:type="dxa"/>
            <w:bottom w:w="0" w:type="dxa"/>
            <w:right w:w="0" w:type="dxa"/>
          </w:tblCellMar>
        </w:tblPrEx>
        <w:trPr>
          <w:wBefore w:w="0" w:type="auto"/>
          <w:tblCellSpacing w:w="0" w:type="dxa"/>
        </w:trPr>
        <w:tc>
          <w:tcPr>
            <w:tcW w:w="0" w:type="auto"/>
            <w:noWrap w:val="0"/>
            <w:vAlign w:val="center"/>
          </w:tcPr>
          <w:p w14:paraId="661E0B9B">
            <w:r>
              <w:rPr>
                <w:rFonts w:hint="eastAsia"/>
              </w:rPr>
              <w:t xml:space="preserve">有效成分及其含量： </w:t>
            </w:r>
          </w:p>
          <w:p w14:paraId="0BCBB06A">
            <w:r>
              <w:rPr>
                <w:rFonts w:hint="eastAsia"/>
              </w:rPr>
              <w:t xml:space="preserve">    硝磺草酮6%    烟嘧磺隆4%    莠去津26%    </w:t>
            </w:r>
          </w:p>
        </w:tc>
      </w:tr>
      <w:tr w14:paraId="23DA50E6">
        <w:tblPrEx>
          <w:tblCellMar>
            <w:top w:w="0" w:type="dxa"/>
            <w:left w:w="0" w:type="dxa"/>
            <w:bottom w:w="0" w:type="dxa"/>
            <w:right w:w="0" w:type="dxa"/>
          </w:tblCellMar>
        </w:tblPrEx>
        <w:trPr>
          <w:wBefore w:w="0" w:type="auto"/>
          <w:tblCellSpacing w:w="0" w:type="dxa"/>
        </w:trPr>
        <w:tc>
          <w:tcPr>
            <w:tcW w:w="0" w:type="auto"/>
            <w:noWrap w:val="0"/>
            <w:vAlign w:val="center"/>
          </w:tcPr>
          <w:p w14:paraId="755D1B6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D314C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0CC043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9D2AF3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5C98F2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B3B2385">
                  <w:r>
                    <w:rPr>
                      <w:rStyle w:val="11"/>
                      <w:rFonts w:hint="eastAsia"/>
                    </w:rPr>
                    <w:t>施用方式</w:t>
                  </w:r>
                </w:p>
              </w:tc>
            </w:tr>
            <w:tr w14:paraId="4FBB46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E0E64E6">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723289">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FA1B89">
                  <w:r>
                    <w:rPr>
                      <w:rStyle w:val="11"/>
                      <w:rFonts w:hint="eastAsia"/>
                    </w:rPr>
                    <w:t>70-100毫升/亩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E4BC22">
                  <w:r>
                    <w:rPr>
                      <w:rStyle w:val="11"/>
                      <w:rFonts w:hint="eastAsia"/>
                    </w:rPr>
                    <w:t>茎叶喷雾</w:t>
                  </w:r>
                </w:p>
              </w:tc>
            </w:tr>
          </w:tbl>
          <w:p w14:paraId="1580E421">
            <w:pPr>
              <w:rPr>
                <w:rFonts w:ascii="Times New Roman" w:hAnsi="Times New Roman" w:cs="Times New Roman"/>
                <w:sz w:val="20"/>
                <w:szCs w:val="20"/>
              </w:rPr>
            </w:pPr>
          </w:p>
        </w:tc>
      </w:tr>
      <w:tr w14:paraId="0FC2EFE8">
        <w:tblPrEx>
          <w:tblCellMar>
            <w:top w:w="0" w:type="dxa"/>
            <w:left w:w="0" w:type="dxa"/>
            <w:bottom w:w="0" w:type="dxa"/>
            <w:right w:w="0" w:type="dxa"/>
          </w:tblCellMar>
        </w:tblPrEx>
        <w:trPr>
          <w:wBefore w:w="0" w:type="auto"/>
          <w:tblCellSpacing w:w="0" w:type="dxa"/>
        </w:trPr>
        <w:tc>
          <w:tcPr>
            <w:tcW w:w="0" w:type="auto"/>
            <w:noWrap w:val="0"/>
            <w:vAlign w:val="center"/>
          </w:tcPr>
          <w:p w14:paraId="448AECFF">
            <w:r>
              <w:rPr>
                <w:rStyle w:val="10"/>
                <w:rFonts w:hint="eastAsia"/>
              </w:rPr>
              <w:t>使用技术要求:</w:t>
            </w:r>
            <w:r>
              <w:rPr>
                <w:rFonts w:hint="eastAsia"/>
              </w:rPr>
              <w:br w:type="textWrapping"/>
            </w:r>
            <w:r>
              <w:rPr>
                <w:rStyle w:val="11"/>
                <w:rFonts w:hint="eastAsia"/>
              </w:rPr>
              <w:t>1、在春玉米苗后3-5叶期，杂草2-5叶期，以推荐剂量兑水均匀茎叶喷雾施药一次.2、每亩兑水40升左右。3、尽量选择无风的天气施药，避免飘移药害。大风天或预计1小时内降雨请勿施药，根据草相选用高或低量，勿超量使用，喷雾均匀勿重喷，漏喷。4、每季使用1次。5、合理安排后茬作物，保证安全间隔期。6、不同玉米品种对本品安全性存在差异，其中观赏玉米、爆裂玉米、糯玉米、甜玉米等较敏感，不宜使用。</w:t>
            </w:r>
          </w:p>
        </w:tc>
      </w:tr>
      <w:tr w14:paraId="0E9CB7A2">
        <w:tblPrEx>
          <w:tblCellMar>
            <w:top w:w="0" w:type="dxa"/>
            <w:left w:w="0" w:type="dxa"/>
            <w:bottom w:w="0" w:type="dxa"/>
            <w:right w:w="0" w:type="dxa"/>
          </w:tblCellMar>
        </w:tblPrEx>
        <w:trPr>
          <w:wBefore w:w="0" w:type="auto"/>
          <w:tblCellSpacing w:w="0" w:type="dxa"/>
        </w:trPr>
        <w:tc>
          <w:tcPr>
            <w:tcW w:w="0" w:type="auto"/>
            <w:noWrap w:val="0"/>
            <w:vAlign w:val="center"/>
          </w:tcPr>
          <w:p w14:paraId="198FB041">
            <w:r>
              <w:rPr>
                <w:rStyle w:val="10"/>
                <w:rFonts w:hint="eastAsia"/>
              </w:rPr>
              <w:t>产品性能:</w:t>
            </w:r>
            <w:r>
              <w:rPr>
                <w:rFonts w:hint="eastAsia"/>
              </w:rPr>
              <w:br w:type="textWrapping"/>
            </w:r>
            <w:r>
              <w:rPr>
                <w:rStyle w:val="11"/>
                <w:rFonts w:hint="eastAsia"/>
              </w:rPr>
              <w:t>本品为土黄色悬浮液体，无刺激性气味，为玉米田专用茎叶除草剂。能有效防除春玉米田一年生及多年生禾本科和阔叶杂草。在推荐剂量下对下茬作物安全。</w:t>
            </w:r>
          </w:p>
        </w:tc>
      </w:tr>
      <w:tr w14:paraId="7EA3CE35">
        <w:tblPrEx>
          <w:tblCellMar>
            <w:top w:w="0" w:type="dxa"/>
            <w:left w:w="0" w:type="dxa"/>
            <w:bottom w:w="0" w:type="dxa"/>
            <w:right w:w="0" w:type="dxa"/>
          </w:tblCellMar>
        </w:tblPrEx>
        <w:trPr>
          <w:wBefore w:w="0" w:type="auto"/>
          <w:tblCellSpacing w:w="0" w:type="dxa"/>
        </w:trPr>
        <w:tc>
          <w:tcPr>
            <w:tcW w:w="0" w:type="auto"/>
            <w:noWrap w:val="0"/>
            <w:vAlign w:val="center"/>
          </w:tcPr>
          <w:p w14:paraId="009C2F48">
            <w:r>
              <w:rPr>
                <w:rStyle w:val="10"/>
                <w:rFonts w:hint="eastAsia"/>
              </w:rPr>
              <w:t>注意事项：</w:t>
            </w:r>
            <w:r>
              <w:rPr>
                <w:rFonts w:hint="eastAsia"/>
              </w:rPr>
              <w:br w:type="textWrapping"/>
            </w:r>
            <w:r>
              <w:rPr>
                <w:rStyle w:val="11"/>
                <w:rFonts w:hint="eastAsia"/>
              </w:rPr>
              <w:t>1、使用前，请详细阅读本标签并按推荐方法和剂量使用。 2、本剂不能与有机磷类农药混用：如使用有机磷类农药，间隔期必须在7天以上。 3、施药后，玉米个别品种或个别叶片出现白化条纹，属于正常药性反应，对玉米生长无不良影响。 4、本剂如在玉米5叶期以后用药，应压低喷头顺垄喷雾，防止药液喷洒在小喇叭口内。 5、本剂不能用弥雾机施药，以免产生药害。 6、甜玉米、粘玉米、爆裂玉米、自交系及制种田不宜使用，个别玉米新品种对烟嘧磺隆敏感，使用时应注意对玉米的安全性。 7、用药前要充分摇匀，喷药不要漏喷、重喷。药液量过少喷不均匀或过多落入地面都影响药效。 8、异常的高温高湿天气不宜用药。 9、因本品含莠去津，对豆类、水稻、瓜类、杨树、桃树敏感，防止药液飘移。 10、本品对鱼类等水生生物、家蚕有毒。禁止在蚕室和桑园附近使用。远离水产养殖区、河塘等水域施药；禁止在河塘等水体中清洗施药器具。 11、使用本品时应穿戴防护服和手套，避免吸入药液；施药期间不可吃东西和饮水，施药后应及时洗手和洗脸；孕妇及哺乳期妇女应避免接触；用过的容器应妥善处理，不可做他用，也不可随意丢弃。</w:t>
            </w:r>
          </w:p>
        </w:tc>
      </w:tr>
      <w:tr w14:paraId="66159FDA">
        <w:tblPrEx>
          <w:tblCellMar>
            <w:top w:w="0" w:type="dxa"/>
            <w:left w:w="0" w:type="dxa"/>
            <w:bottom w:w="0" w:type="dxa"/>
            <w:right w:w="0" w:type="dxa"/>
          </w:tblCellMar>
        </w:tblPrEx>
        <w:trPr>
          <w:wBefore w:w="0" w:type="auto"/>
          <w:tblCellSpacing w:w="0" w:type="dxa"/>
        </w:trPr>
        <w:tc>
          <w:tcPr>
            <w:tcW w:w="0" w:type="auto"/>
            <w:noWrap w:val="0"/>
            <w:vAlign w:val="center"/>
          </w:tcPr>
          <w:p w14:paraId="24BBC311">
            <w:r>
              <w:rPr>
                <w:rStyle w:val="10"/>
                <w:rFonts w:hint="eastAsia"/>
              </w:rPr>
              <w:t>中毒急救措施：</w:t>
            </w:r>
            <w:r>
              <w:rPr>
                <w:rFonts w:hint="eastAsia"/>
              </w:rPr>
              <w:br w:type="textWrapping"/>
            </w:r>
            <w:r>
              <w:rPr>
                <w:rStyle w:val="11"/>
                <w:rFonts w:hint="eastAsia"/>
              </w:rPr>
              <w:t>本品对皮肤和眼睛有刺激性，使用时应避免药液接触皮肤、眼睛，黏膜和伤口等。 1、中毒症状：对眼、皮肤及呼吸道有刺激作用，一般不会产生全身中毒。 2、皮肤接触：立即脱掉被污染的衣物，用肥皂和大量清水彻底清洗受污染的皮肤。 3、眼睛溅药：立即将眼睑翻开，用清水冲洗至少10-15分钟，再请医生诊治。 4、不慎吸入：立即将吸入者转移到空气新鲜处，请医生诊治。 5、如误服，应立即携带此标签去医院诊治。无解毒剂，对症治疗。</w:t>
            </w:r>
          </w:p>
        </w:tc>
      </w:tr>
      <w:tr w14:paraId="3A782E4A">
        <w:tblPrEx>
          <w:tblCellMar>
            <w:top w:w="0" w:type="dxa"/>
            <w:left w:w="0" w:type="dxa"/>
            <w:bottom w:w="0" w:type="dxa"/>
            <w:right w:w="0" w:type="dxa"/>
          </w:tblCellMar>
        </w:tblPrEx>
        <w:trPr>
          <w:wBefore w:w="0" w:type="auto"/>
          <w:tblCellSpacing w:w="0" w:type="dxa"/>
        </w:trPr>
        <w:tc>
          <w:tcPr>
            <w:tcW w:w="0" w:type="auto"/>
            <w:noWrap w:val="0"/>
            <w:vAlign w:val="center"/>
          </w:tcPr>
          <w:p w14:paraId="6F3795F9">
            <w:r>
              <w:rPr>
                <w:rStyle w:val="10"/>
                <w:rFonts w:hint="eastAsia"/>
              </w:rPr>
              <w:t>储存和运输方法：</w:t>
            </w:r>
            <w:r>
              <w:rPr>
                <w:rFonts w:hint="eastAsia"/>
              </w:rPr>
              <w:br w:type="textWrapping"/>
            </w:r>
            <w:r>
              <w:rPr>
                <w:rStyle w:val="11"/>
                <w:rFonts w:hint="eastAsia"/>
              </w:rPr>
              <w:t>本品对皮肤有刺激性，使用时应避免药液接触皮肤，黏膜和伤口等。 1、中毒症状：对眼、皮肤及呼吸道有刺激作用，一般不会产生全身中毒。 2、皮肤接触：立即脱掉被污染的衣物，用肥皂和大量清水彻底清洗受污染的皮肤。 3、眼睛溅药：立即将眼睑翻开，用清水冲洗至少10-15分钟，再请医生诊治。 4、不慎吸入：立即将吸入者转移到空气新鲜处，请医生诊治。 5、如误服，应立即携带此标签去医院诊治。无解毒剂，对症治疗。</w:t>
            </w:r>
          </w:p>
        </w:tc>
      </w:tr>
      <w:tr w14:paraId="6CB0A217">
        <w:tblPrEx>
          <w:tblCellMar>
            <w:top w:w="0" w:type="dxa"/>
            <w:left w:w="0" w:type="dxa"/>
            <w:bottom w:w="0" w:type="dxa"/>
            <w:right w:w="0" w:type="dxa"/>
          </w:tblCellMar>
        </w:tblPrEx>
        <w:trPr>
          <w:wBefore w:w="0" w:type="auto"/>
          <w:tblCellSpacing w:w="0" w:type="dxa"/>
        </w:trPr>
        <w:tc>
          <w:tcPr>
            <w:tcW w:w="0" w:type="auto"/>
            <w:noWrap w:val="0"/>
            <w:vAlign w:val="center"/>
          </w:tcPr>
          <w:p w14:paraId="26C5CCDF">
            <w:r>
              <w:rPr>
                <w:rStyle w:val="10"/>
                <w:rFonts w:hint="eastAsia"/>
              </w:rPr>
              <w:t>质量保证期：</w:t>
            </w:r>
            <w:r>
              <w:rPr>
                <w:rStyle w:val="11"/>
                <w:rFonts w:hint="eastAsia"/>
              </w:rPr>
              <w:t>2年</w:t>
            </w:r>
          </w:p>
        </w:tc>
      </w:tr>
      <w:tr w14:paraId="788402E4">
        <w:tblPrEx>
          <w:tblCellMar>
            <w:top w:w="0" w:type="dxa"/>
            <w:left w:w="0" w:type="dxa"/>
            <w:bottom w:w="0" w:type="dxa"/>
            <w:right w:w="0" w:type="dxa"/>
          </w:tblCellMar>
        </w:tblPrEx>
        <w:trPr>
          <w:wBefore w:w="0" w:type="auto"/>
          <w:tblCellSpacing w:w="0" w:type="dxa"/>
        </w:trPr>
        <w:tc>
          <w:tcPr>
            <w:tcW w:w="0" w:type="auto"/>
            <w:noWrap w:val="0"/>
            <w:vAlign w:val="center"/>
          </w:tcPr>
          <w:p w14:paraId="756510B9">
            <w:r>
              <w:rPr>
                <w:rStyle w:val="10"/>
                <w:rFonts w:hint="eastAsia"/>
              </w:rPr>
              <w:t>备注：</w:t>
            </w:r>
          </w:p>
        </w:tc>
      </w:tr>
    </w:tbl>
    <w:p w14:paraId="2F7684E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90E7F52">
        <w:tblPrEx>
          <w:tblCellMar>
            <w:top w:w="0" w:type="dxa"/>
            <w:left w:w="0" w:type="dxa"/>
            <w:bottom w:w="0" w:type="dxa"/>
            <w:right w:w="0" w:type="dxa"/>
          </w:tblCellMar>
        </w:tblPrEx>
        <w:trPr>
          <w:wBefore w:w="0" w:type="auto"/>
          <w:tblCellSpacing w:w="0" w:type="dxa"/>
        </w:trPr>
        <w:tc>
          <w:tcPr>
            <w:tcW w:w="0" w:type="auto"/>
            <w:noWrap w:val="0"/>
            <w:vAlign w:val="center"/>
          </w:tcPr>
          <w:p w14:paraId="5D4F2BBE">
            <w:r>
              <w:rPr>
                <w:rStyle w:val="10"/>
                <w:rFonts w:hint="eastAsia"/>
              </w:rPr>
              <w:t>登记证号：</w:t>
            </w:r>
            <w:r>
              <w:rPr>
                <w:rFonts w:hint="eastAsia"/>
              </w:rPr>
              <w:t>PD20212256</w:t>
            </w:r>
          </w:p>
        </w:tc>
      </w:tr>
      <w:tr w14:paraId="15D0DE6E">
        <w:tblPrEx>
          <w:tblCellMar>
            <w:top w:w="0" w:type="dxa"/>
            <w:left w:w="0" w:type="dxa"/>
            <w:bottom w:w="0" w:type="dxa"/>
            <w:right w:w="0" w:type="dxa"/>
          </w:tblCellMar>
        </w:tblPrEx>
        <w:trPr>
          <w:wBefore w:w="0" w:type="auto"/>
          <w:tblCellSpacing w:w="0" w:type="dxa"/>
        </w:trPr>
        <w:tc>
          <w:tcPr>
            <w:tcW w:w="0" w:type="auto"/>
            <w:noWrap w:val="0"/>
            <w:vAlign w:val="center"/>
          </w:tcPr>
          <w:p w14:paraId="4C45C98C">
            <w:r>
              <w:rPr>
                <w:rStyle w:val="10"/>
                <w:rFonts w:hint="eastAsia"/>
              </w:rPr>
              <w:t>登记证持有人：</w:t>
            </w:r>
            <w:r>
              <w:rPr>
                <w:rFonts w:hint="eastAsia"/>
              </w:rPr>
              <w:t>哈尔滨汇丰生物农化有限公司</w:t>
            </w:r>
          </w:p>
        </w:tc>
      </w:tr>
      <w:tr w14:paraId="4CA73AC2">
        <w:tblPrEx>
          <w:tblCellMar>
            <w:top w:w="0" w:type="dxa"/>
            <w:left w:w="0" w:type="dxa"/>
            <w:bottom w:w="0" w:type="dxa"/>
            <w:right w:w="0" w:type="dxa"/>
          </w:tblCellMar>
        </w:tblPrEx>
        <w:trPr>
          <w:wBefore w:w="0" w:type="auto"/>
          <w:tblCellSpacing w:w="0" w:type="dxa"/>
        </w:trPr>
        <w:tc>
          <w:tcPr>
            <w:tcW w:w="0" w:type="auto"/>
            <w:noWrap w:val="0"/>
            <w:vAlign w:val="center"/>
          </w:tcPr>
          <w:p w14:paraId="111D9BDA">
            <w:r>
              <w:rPr>
                <w:rStyle w:val="10"/>
                <w:rFonts w:hint="eastAsia"/>
              </w:rPr>
              <w:t>农药名称：</w:t>
            </w:r>
            <w:r>
              <w:rPr>
                <w:rFonts w:hint="eastAsia"/>
              </w:rPr>
              <w:t>乙草·滴辛酯</w:t>
            </w:r>
          </w:p>
        </w:tc>
      </w:tr>
      <w:tr w14:paraId="02396984">
        <w:tblPrEx>
          <w:tblCellMar>
            <w:top w:w="0" w:type="dxa"/>
            <w:left w:w="0" w:type="dxa"/>
            <w:bottom w:w="0" w:type="dxa"/>
            <w:right w:w="0" w:type="dxa"/>
          </w:tblCellMar>
        </w:tblPrEx>
        <w:trPr>
          <w:wBefore w:w="0" w:type="auto"/>
          <w:tblCellSpacing w:w="0" w:type="dxa"/>
        </w:trPr>
        <w:tc>
          <w:tcPr>
            <w:tcW w:w="0" w:type="auto"/>
            <w:noWrap w:val="0"/>
            <w:vAlign w:val="center"/>
          </w:tcPr>
          <w:p w14:paraId="682B1ABB">
            <w:r>
              <w:rPr>
                <w:rStyle w:val="10"/>
                <w:rFonts w:hint="eastAsia"/>
              </w:rPr>
              <w:t>剂型：</w:t>
            </w:r>
            <w:r>
              <w:rPr>
                <w:rFonts w:hint="eastAsia"/>
              </w:rPr>
              <w:t>乳油</w:t>
            </w:r>
          </w:p>
        </w:tc>
      </w:tr>
      <w:tr w14:paraId="2460CCA4">
        <w:tblPrEx>
          <w:tblCellMar>
            <w:top w:w="0" w:type="dxa"/>
            <w:left w:w="0" w:type="dxa"/>
            <w:bottom w:w="0" w:type="dxa"/>
            <w:right w:w="0" w:type="dxa"/>
          </w:tblCellMar>
        </w:tblPrEx>
        <w:trPr>
          <w:wBefore w:w="0" w:type="auto"/>
          <w:tblCellSpacing w:w="0" w:type="dxa"/>
        </w:trPr>
        <w:tc>
          <w:tcPr>
            <w:tcW w:w="0" w:type="auto"/>
            <w:noWrap w:val="0"/>
            <w:vAlign w:val="center"/>
          </w:tcPr>
          <w:p w14:paraId="77081062">
            <w:r>
              <w:rPr>
                <w:rStyle w:val="10"/>
                <w:rFonts w:hint="eastAsia"/>
              </w:rPr>
              <w:t>毒性及其标识：</w:t>
            </w:r>
            <w:r>
              <w:rPr>
                <w:rFonts w:hint="eastAsia"/>
              </w:rPr>
              <w:t xml:space="preserve"> </w:t>
            </w:r>
            <w:r>
              <w:rPr>
                <w:lang/>
              </w:rPr>
              <w:drawing>
                <wp:inline distT="0" distB="0" distL="114300" distR="114300">
                  <wp:extent cx="476250" cy="323850"/>
                  <wp:effectExtent l="0" t="0" r="0" b="0"/>
                  <wp:docPr id="546" name="图片 54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D8F837">
        <w:tblPrEx>
          <w:tblCellMar>
            <w:top w:w="0" w:type="dxa"/>
            <w:left w:w="0" w:type="dxa"/>
            <w:bottom w:w="0" w:type="dxa"/>
            <w:right w:w="0" w:type="dxa"/>
          </w:tblCellMar>
        </w:tblPrEx>
        <w:trPr>
          <w:wBefore w:w="0" w:type="auto"/>
          <w:tblCellSpacing w:w="0" w:type="dxa"/>
        </w:trPr>
        <w:tc>
          <w:tcPr>
            <w:tcW w:w="0" w:type="auto"/>
            <w:noWrap w:val="0"/>
            <w:vAlign w:val="center"/>
          </w:tcPr>
          <w:p w14:paraId="4763EE07">
            <w:r>
              <w:rPr>
                <w:rStyle w:val="10"/>
                <w:rFonts w:hint="eastAsia"/>
              </w:rPr>
              <w:t>总有效成分含量：</w:t>
            </w:r>
            <w:r>
              <w:rPr>
                <w:rFonts w:hint="eastAsia"/>
              </w:rPr>
              <w:t>72%</w:t>
            </w:r>
          </w:p>
        </w:tc>
      </w:tr>
      <w:tr w14:paraId="13DA4581">
        <w:tblPrEx>
          <w:tblCellMar>
            <w:top w:w="0" w:type="dxa"/>
            <w:left w:w="0" w:type="dxa"/>
            <w:bottom w:w="0" w:type="dxa"/>
            <w:right w:w="0" w:type="dxa"/>
          </w:tblCellMar>
        </w:tblPrEx>
        <w:trPr>
          <w:wBefore w:w="0" w:type="auto"/>
          <w:tblCellSpacing w:w="0" w:type="dxa"/>
        </w:trPr>
        <w:tc>
          <w:tcPr>
            <w:tcW w:w="0" w:type="auto"/>
            <w:noWrap w:val="0"/>
            <w:vAlign w:val="center"/>
          </w:tcPr>
          <w:p w14:paraId="5C13F45F">
            <w:r>
              <w:rPr>
                <w:rFonts w:hint="eastAsia"/>
              </w:rPr>
              <w:t xml:space="preserve">有效成分及其含量： </w:t>
            </w:r>
          </w:p>
          <w:p w14:paraId="12FE158B">
            <w:r>
              <w:rPr>
                <w:rFonts w:hint="eastAsia"/>
              </w:rPr>
              <w:t xml:space="preserve">    乙草胺48%    2,4-滴异辛酯24%    </w:t>
            </w:r>
          </w:p>
        </w:tc>
      </w:tr>
      <w:tr w14:paraId="21D68262">
        <w:tblPrEx>
          <w:tblCellMar>
            <w:top w:w="0" w:type="dxa"/>
            <w:left w:w="0" w:type="dxa"/>
            <w:bottom w:w="0" w:type="dxa"/>
            <w:right w:w="0" w:type="dxa"/>
          </w:tblCellMar>
        </w:tblPrEx>
        <w:trPr>
          <w:wBefore w:w="0" w:type="auto"/>
          <w:tblCellSpacing w:w="0" w:type="dxa"/>
        </w:trPr>
        <w:tc>
          <w:tcPr>
            <w:tcW w:w="0" w:type="auto"/>
            <w:noWrap w:val="0"/>
            <w:vAlign w:val="center"/>
          </w:tcPr>
          <w:p w14:paraId="0F810E9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F5EC3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F997A0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0FB910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D8A59F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905B6DB">
                  <w:r>
                    <w:rPr>
                      <w:rStyle w:val="11"/>
                      <w:rFonts w:hint="eastAsia"/>
                    </w:rPr>
                    <w:t>施用方式</w:t>
                  </w:r>
                </w:p>
              </w:tc>
            </w:tr>
            <w:tr w14:paraId="20F2D5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39AA6D3">
                  <w:r>
                    <w:rPr>
                      <w:rStyle w:val="11"/>
                      <w:rFonts w:hint="eastAsia"/>
                    </w:rPr>
                    <w:t>春玉米田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DF8848E">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E3C114">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F46779">
                  <w:r>
                    <w:rPr>
                      <w:rStyle w:val="11"/>
                      <w:rFonts w:hint="eastAsia"/>
                    </w:rPr>
                    <w:t>喷雾</w:t>
                  </w:r>
                </w:p>
              </w:tc>
            </w:tr>
          </w:tbl>
          <w:p w14:paraId="3909BC73">
            <w:pPr>
              <w:rPr>
                <w:rFonts w:ascii="Times New Roman" w:hAnsi="Times New Roman" w:cs="Times New Roman"/>
                <w:sz w:val="20"/>
                <w:szCs w:val="20"/>
              </w:rPr>
            </w:pPr>
          </w:p>
        </w:tc>
      </w:tr>
      <w:tr w14:paraId="3A603A6B">
        <w:tblPrEx>
          <w:tblCellMar>
            <w:top w:w="0" w:type="dxa"/>
            <w:left w:w="0" w:type="dxa"/>
            <w:bottom w:w="0" w:type="dxa"/>
            <w:right w:w="0" w:type="dxa"/>
          </w:tblCellMar>
        </w:tblPrEx>
        <w:trPr>
          <w:wBefore w:w="0" w:type="auto"/>
          <w:tblCellSpacing w:w="0" w:type="dxa"/>
        </w:trPr>
        <w:tc>
          <w:tcPr>
            <w:tcW w:w="0" w:type="auto"/>
            <w:noWrap w:val="0"/>
            <w:vAlign w:val="center"/>
          </w:tcPr>
          <w:p w14:paraId="3838E5E3">
            <w:r>
              <w:rPr>
                <w:rStyle w:val="10"/>
                <w:rFonts w:hint="eastAsia"/>
              </w:rPr>
              <w:t>使用技术要求:</w:t>
            </w:r>
            <w:r>
              <w:rPr>
                <w:rFonts w:hint="eastAsia"/>
              </w:rPr>
              <w:br w:type="textWrapping"/>
            </w:r>
            <w:r>
              <w:rPr>
                <w:rStyle w:val="11"/>
                <w:rFonts w:hint="eastAsia"/>
              </w:rPr>
              <w:t>1、本品应于春玉米播后苗前土壤喷雾处理，施药一次，每亩兑水45-60公斤均匀喷雾。注意喷雾均匀周到，切勿漏喷或重喷。2、大风天或预计1小时内降雨，请勿施药。3、每季作物最多使用1次。</w:t>
            </w:r>
          </w:p>
        </w:tc>
      </w:tr>
      <w:tr w14:paraId="72C780F2">
        <w:tblPrEx>
          <w:tblCellMar>
            <w:top w:w="0" w:type="dxa"/>
            <w:left w:w="0" w:type="dxa"/>
            <w:bottom w:w="0" w:type="dxa"/>
            <w:right w:w="0" w:type="dxa"/>
          </w:tblCellMar>
        </w:tblPrEx>
        <w:trPr>
          <w:wBefore w:w="0" w:type="auto"/>
          <w:tblCellSpacing w:w="0" w:type="dxa"/>
        </w:trPr>
        <w:tc>
          <w:tcPr>
            <w:tcW w:w="0" w:type="auto"/>
            <w:noWrap w:val="0"/>
            <w:vAlign w:val="center"/>
          </w:tcPr>
          <w:p w14:paraId="35AAAAE7">
            <w:r>
              <w:rPr>
                <w:rStyle w:val="10"/>
                <w:rFonts w:hint="eastAsia"/>
              </w:rPr>
              <w:t>产品性能:</w:t>
            </w:r>
            <w:r>
              <w:rPr>
                <w:rFonts w:hint="eastAsia"/>
              </w:rPr>
              <w:br w:type="textWrapping"/>
            </w:r>
            <w:r>
              <w:rPr>
                <w:rStyle w:val="11"/>
                <w:rFonts w:hint="eastAsia"/>
              </w:rPr>
              <w:t>本品由乙草胺和2, 4-滴异辛酯复配而成。乙草胺为酰胺类选择性芽前封闭除草剂，通过阻碍蛋白质合成来抑制杂草细胞分裂，使杂草幼芽、幼根生长停止；2,4-滴异辛酯为苯氧乙酸类选择性内吸性除草剂，可使杂草植株表现畸形，严重破坏其生理功能，进而导致杂草死亡。两者混配可有效防除春玉米田一年生杂草。</w:t>
            </w:r>
          </w:p>
        </w:tc>
      </w:tr>
      <w:tr w14:paraId="0BFEDC01">
        <w:tblPrEx>
          <w:tblCellMar>
            <w:top w:w="0" w:type="dxa"/>
            <w:left w:w="0" w:type="dxa"/>
            <w:bottom w:w="0" w:type="dxa"/>
            <w:right w:w="0" w:type="dxa"/>
          </w:tblCellMar>
        </w:tblPrEx>
        <w:trPr>
          <w:wBefore w:w="0" w:type="auto"/>
          <w:tblCellSpacing w:w="0" w:type="dxa"/>
        </w:trPr>
        <w:tc>
          <w:tcPr>
            <w:tcW w:w="0" w:type="auto"/>
            <w:noWrap w:val="0"/>
            <w:vAlign w:val="center"/>
          </w:tcPr>
          <w:p w14:paraId="6C3F545E">
            <w:r>
              <w:rPr>
                <w:rStyle w:val="10"/>
                <w:rFonts w:hint="eastAsia"/>
              </w:rPr>
              <w:t>注意事项：</w:t>
            </w:r>
            <w:r>
              <w:rPr>
                <w:rFonts w:hint="eastAsia"/>
              </w:rPr>
              <w:br w:type="textWrapping"/>
            </w:r>
            <w:r>
              <w:rPr>
                <w:rStyle w:val="11"/>
                <w:rFonts w:hint="eastAsia"/>
              </w:rPr>
              <w:t>1、本品不可与呈碱性的农药等物质混用。2、本品应于无风或微风（风力不大于二级）、温度在15-28℃的晴天施药，避免药液飘移至邻近棉花、豆类、蔬菜、瓜类、葡萄、马铃薯及果树、林木等敏感作物上。3、本品受土壤水分、有机质含量和质地影响，土壤干旱、有机质含量高、质地重的地块应根据具体情况在登记用量范围内适当增加用药量和兑水量。4、鸟类保护区、赤眼蜂等天敌放飞区禁用。蚕室和桑园附近禁用，或采用最外围桑树作为隔离带。5、施药时远离水产养殖区、河塘等水体附近施药，禁止在河塘等水体中清洗施药器具，避免药液流入河塘等水体中污染水源。6、施药时应穿戴长衣、长裤、帽子、口罩、手套等防护措施，切勿在施药时抽烟或饮食等，施药后应及时清洗皮肤并更换衣物。7、废弃物要妥善处理，不可做他用，也不可随意丢弃。8、儿童、孕妇及哺乳期妇女避免接触本品。</w:t>
            </w:r>
          </w:p>
        </w:tc>
      </w:tr>
      <w:tr w14:paraId="6038E60E">
        <w:tblPrEx>
          <w:tblCellMar>
            <w:top w:w="0" w:type="dxa"/>
            <w:left w:w="0" w:type="dxa"/>
            <w:bottom w:w="0" w:type="dxa"/>
            <w:right w:w="0" w:type="dxa"/>
          </w:tblCellMar>
        </w:tblPrEx>
        <w:trPr>
          <w:wBefore w:w="0" w:type="auto"/>
          <w:tblCellSpacing w:w="0" w:type="dxa"/>
        </w:trPr>
        <w:tc>
          <w:tcPr>
            <w:tcW w:w="0" w:type="auto"/>
            <w:noWrap w:val="0"/>
            <w:vAlign w:val="center"/>
          </w:tcPr>
          <w:p w14:paraId="55A90718">
            <w:r>
              <w:rPr>
                <w:rStyle w:val="10"/>
                <w:rFonts w:hint="eastAsia"/>
              </w:rPr>
              <w:t>中毒急救措施：</w:t>
            </w:r>
            <w:r>
              <w:rPr>
                <w:rFonts w:hint="eastAsia"/>
              </w:rPr>
              <w:br w:type="textWrapping"/>
            </w:r>
            <w:r>
              <w:rPr>
                <w:rStyle w:val="11"/>
                <w:rFonts w:hint="eastAsia"/>
              </w:rPr>
              <w:t>该产品对眼睛、皮肤有刺激性，使用时避免接触眼睛、皮肤。 急救措施：使用中或使用后如果感觉不适，立即停止工作，采取急救措施，并携此标签送医就诊。皮肤接触：立即脱掉被污染的衣物，用大量清水和肥皂彻底冲洗受污染皮肤。眼睛溅入：立即将眼睑翻开，用清水冲洗至少15分钟。仍有不适时，就医。不慎吸入：立即转移至空气清新处，保持呼吸畅通。误服：立即停止服用，用清水充分漱口后，携带农药标签到医院就诊。若摄入量大，病人十分清醒，可用吐根糖浆诱吐，还可在服用的活性炭泥中加入山梨醇。</w:t>
            </w:r>
          </w:p>
        </w:tc>
      </w:tr>
      <w:tr w14:paraId="3CD35E8A">
        <w:tblPrEx>
          <w:tblCellMar>
            <w:top w:w="0" w:type="dxa"/>
            <w:left w:w="0" w:type="dxa"/>
            <w:bottom w:w="0" w:type="dxa"/>
            <w:right w:w="0" w:type="dxa"/>
          </w:tblCellMar>
        </w:tblPrEx>
        <w:trPr>
          <w:wBefore w:w="0" w:type="auto"/>
          <w:tblCellSpacing w:w="0" w:type="dxa"/>
        </w:trPr>
        <w:tc>
          <w:tcPr>
            <w:tcW w:w="0" w:type="auto"/>
            <w:noWrap w:val="0"/>
            <w:vAlign w:val="center"/>
          </w:tcPr>
          <w:p w14:paraId="5A9FAB1E">
            <w:r>
              <w:rPr>
                <w:rStyle w:val="10"/>
                <w:rFonts w:hint="eastAsia"/>
              </w:rPr>
              <w:t>储存和运输方法：</w:t>
            </w:r>
            <w:r>
              <w:rPr>
                <w:rFonts w:hint="eastAsia"/>
              </w:rPr>
              <w:br w:type="textWrapping"/>
            </w:r>
            <w:r>
              <w:rPr>
                <w:rStyle w:val="11"/>
                <w:rFonts w:hint="eastAsia"/>
              </w:rPr>
              <w:t>本品应贮存在通风、干燥的库房中，堆码方式应符合安全、搬运方便的原则。贮存时，严防潮湿和日晒，不能与食品、饮料、粮食、饲料等混合储运，避免与皮肤、眼睛接触，防止由口鼻吸入。</w:t>
            </w:r>
          </w:p>
        </w:tc>
      </w:tr>
      <w:tr w14:paraId="6CD30A4D">
        <w:tblPrEx>
          <w:tblCellMar>
            <w:top w:w="0" w:type="dxa"/>
            <w:left w:w="0" w:type="dxa"/>
            <w:bottom w:w="0" w:type="dxa"/>
            <w:right w:w="0" w:type="dxa"/>
          </w:tblCellMar>
        </w:tblPrEx>
        <w:trPr>
          <w:wBefore w:w="0" w:type="auto"/>
          <w:tblCellSpacing w:w="0" w:type="dxa"/>
        </w:trPr>
        <w:tc>
          <w:tcPr>
            <w:tcW w:w="0" w:type="auto"/>
            <w:noWrap w:val="0"/>
            <w:vAlign w:val="center"/>
          </w:tcPr>
          <w:p w14:paraId="4A27E238">
            <w:r>
              <w:rPr>
                <w:rStyle w:val="10"/>
                <w:rFonts w:hint="eastAsia"/>
              </w:rPr>
              <w:t>质量保证期：</w:t>
            </w:r>
            <w:r>
              <w:rPr>
                <w:rStyle w:val="11"/>
                <w:rFonts w:hint="eastAsia"/>
              </w:rPr>
              <w:t>2年</w:t>
            </w:r>
          </w:p>
        </w:tc>
      </w:tr>
      <w:tr w14:paraId="1504B432">
        <w:tblPrEx>
          <w:tblCellMar>
            <w:top w:w="0" w:type="dxa"/>
            <w:left w:w="0" w:type="dxa"/>
            <w:bottom w:w="0" w:type="dxa"/>
            <w:right w:w="0" w:type="dxa"/>
          </w:tblCellMar>
        </w:tblPrEx>
        <w:trPr>
          <w:wBefore w:w="0" w:type="auto"/>
          <w:tblCellSpacing w:w="0" w:type="dxa"/>
        </w:trPr>
        <w:tc>
          <w:tcPr>
            <w:tcW w:w="0" w:type="auto"/>
            <w:noWrap w:val="0"/>
            <w:vAlign w:val="center"/>
          </w:tcPr>
          <w:p w14:paraId="4A68FDF7">
            <w:r>
              <w:rPr>
                <w:rStyle w:val="10"/>
                <w:rFonts w:hint="eastAsia"/>
              </w:rPr>
              <w:t>备注：</w:t>
            </w:r>
          </w:p>
        </w:tc>
      </w:tr>
    </w:tbl>
    <w:p w14:paraId="23105B8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355442">
        <w:tblPrEx>
          <w:tblCellMar>
            <w:top w:w="0" w:type="dxa"/>
            <w:left w:w="0" w:type="dxa"/>
            <w:bottom w:w="0" w:type="dxa"/>
            <w:right w:w="0" w:type="dxa"/>
          </w:tblCellMar>
        </w:tblPrEx>
        <w:trPr>
          <w:wBefore w:w="0" w:type="auto"/>
          <w:tblCellSpacing w:w="0" w:type="dxa"/>
        </w:trPr>
        <w:tc>
          <w:tcPr>
            <w:tcW w:w="0" w:type="auto"/>
            <w:noWrap w:val="0"/>
            <w:vAlign w:val="center"/>
          </w:tcPr>
          <w:p w14:paraId="55D530DE">
            <w:r>
              <w:rPr>
                <w:rStyle w:val="10"/>
                <w:rFonts w:hint="eastAsia"/>
              </w:rPr>
              <w:t>登记证号：</w:t>
            </w:r>
            <w:r>
              <w:rPr>
                <w:rFonts w:hint="eastAsia"/>
              </w:rPr>
              <w:t>PD20211875</w:t>
            </w:r>
          </w:p>
        </w:tc>
      </w:tr>
      <w:tr w14:paraId="6E349810">
        <w:tblPrEx>
          <w:tblCellMar>
            <w:top w:w="0" w:type="dxa"/>
            <w:left w:w="0" w:type="dxa"/>
            <w:bottom w:w="0" w:type="dxa"/>
            <w:right w:w="0" w:type="dxa"/>
          </w:tblCellMar>
        </w:tblPrEx>
        <w:trPr>
          <w:wBefore w:w="0" w:type="auto"/>
          <w:tblCellSpacing w:w="0" w:type="dxa"/>
        </w:trPr>
        <w:tc>
          <w:tcPr>
            <w:tcW w:w="0" w:type="auto"/>
            <w:noWrap w:val="0"/>
            <w:vAlign w:val="center"/>
          </w:tcPr>
          <w:p w14:paraId="300B5F27">
            <w:r>
              <w:rPr>
                <w:rStyle w:val="10"/>
                <w:rFonts w:hint="eastAsia"/>
              </w:rPr>
              <w:t>登记证持有人：</w:t>
            </w:r>
            <w:r>
              <w:rPr>
                <w:rFonts w:hint="eastAsia"/>
              </w:rPr>
              <w:t>山东海利尔化工有限公司</w:t>
            </w:r>
          </w:p>
        </w:tc>
      </w:tr>
      <w:tr w14:paraId="60CF1143">
        <w:tblPrEx>
          <w:tblCellMar>
            <w:top w:w="0" w:type="dxa"/>
            <w:left w:w="0" w:type="dxa"/>
            <w:bottom w:w="0" w:type="dxa"/>
            <w:right w:w="0" w:type="dxa"/>
          </w:tblCellMar>
        </w:tblPrEx>
        <w:trPr>
          <w:wBefore w:w="0" w:type="auto"/>
          <w:tblCellSpacing w:w="0" w:type="dxa"/>
        </w:trPr>
        <w:tc>
          <w:tcPr>
            <w:tcW w:w="0" w:type="auto"/>
            <w:noWrap w:val="0"/>
            <w:vAlign w:val="center"/>
          </w:tcPr>
          <w:p w14:paraId="126423A0">
            <w:r>
              <w:rPr>
                <w:rStyle w:val="10"/>
                <w:rFonts w:hint="eastAsia"/>
              </w:rPr>
              <w:t>农药名称：</w:t>
            </w:r>
            <w:r>
              <w:rPr>
                <w:rFonts w:hint="eastAsia"/>
              </w:rPr>
              <w:t>多杀霉素·唑虫酰胺</w:t>
            </w:r>
          </w:p>
        </w:tc>
      </w:tr>
      <w:tr w14:paraId="2297B6D2">
        <w:tblPrEx>
          <w:tblCellMar>
            <w:top w:w="0" w:type="dxa"/>
            <w:left w:w="0" w:type="dxa"/>
            <w:bottom w:w="0" w:type="dxa"/>
            <w:right w:w="0" w:type="dxa"/>
          </w:tblCellMar>
        </w:tblPrEx>
        <w:trPr>
          <w:wBefore w:w="0" w:type="auto"/>
          <w:tblCellSpacing w:w="0" w:type="dxa"/>
        </w:trPr>
        <w:tc>
          <w:tcPr>
            <w:tcW w:w="0" w:type="auto"/>
            <w:noWrap w:val="0"/>
            <w:vAlign w:val="center"/>
          </w:tcPr>
          <w:p w14:paraId="57D955A0">
            <w:r>
              <w:rPr>
                <w:rStyle w:val="10"/>
                <w:rFonts w:hint="eastAsia"/>
              </w:rPr>
              <w:t>剂型：</w:t>
            </w:r>
            <w:r>
              <w:rPr>
                <w:rFonts w:hint="eastAsia"/>
              </w:rPr>
              <w:t>悬浮剂</w:t>
            </w:r>
          </w:p>
        </w:tc>
      </w:tr>
      <w:tr w14:paraId="21D844F3">
        <w:tblPrEx>
          <w:tblCellMar>
            <w:top w:w="0" w:type="dxa"/>
            <w:left w:w="0" w:type="dxa"/>
            <w:bottom w:w="0" w:type="dxa"/>
            <w:right w:w="0" w:type="dxa"/>
          </w:tblCellMar>
        </w:tblPrEx>
        <w:trPr>
          <w:wBefore w:w="0" w:type="auto"/>
          <w:tblCellSpacing w:w="0" w:type="dxa"/>
        </w:trPr>
        <w:tc>
          <w:tcPr>
            <w:tcW w:w="0" w:type="auto"/>
            <w:noWrap w:val="0"/>
            <w:vAlign w:val="center"/>
          </w:tcPr>
          <w:p w14:paraId="7CA824AD">
            <w:r>
              <w:rPr>
                <w:rStyle w:val="10"/>
                <w:rFonts w:hint="eastAsia"/>
              </w:rPr>
              <w:t>毒性及其标识：</w:t>
            </w:r>
            <w:r>
              <w:rPr>
                <w:rFonts w:hint="eastAsia"/>
              </w:rPr>
              <w:t xml:space="preserve"> </w:t>
            </w:r>
            <w:r>
              <w:rPr>
                <w:lang/>
              </w:rPr>
              <w:drawing>
                <wp:inline distT="0" distB="0" distL="114300" distR="114300">
                  <wp:extent cx="476250" cy="323850"/>
                  <wp:effectExtent l="0" t="0" r="0" b="0"/>
                  <wp:docPr id="547" name="图片 547"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365029A1">
        <w:tblPrEx>
          <w:tblCellMar>
            <w:top w:w="0" w:type="dxa"/>
            <w:left w:w="0" w:type="dxa"/>
            <w:bottom w:w="0" w:type="dxa"/>
            <w:right w:w="0" w:type="dxa"/>
          </w:tblCellMar>
        </w:tblPrEx>
        <w:trPr>
          <w:wBefore w:w="0" w:type="auto"/>
          <w:tblCellSpacing w:w="0" w:type="dxa"/>
        </w:trPr>
        <w:tc>
          <w:tcPr>
            <w:tcW w:w="0" w:type="auto"/>
            <w:noWrap w:val="0"/>
            <w:vAlign w:val="center"/>
          </w:tcPr>
          <w:p w14:paraId="1A5D262E">
            <w:r>
              <w:rPr>
                <w:rStyle w:val="10"/>
                <w:rFonts w:hint="eastAsia"/>
              </w:rPr>
              <w:t>总有效成分含量：</w:t>
            </w:r>
            <w:r>
              <w:rPr>
                <w:rFonts w:hint="eastAsia"/>
              </w:rPr>
              <w:t>15%</w:t>
            </w:r>
          </w:p>
        </w:tc>
      </w:tr>
      <w:tr w14:paraId="310A7DCC">
        <w:tblPrEx>
          <w:tblCellMar>
            <w:top w:w="0" w:type="dxa"/>
            <w:left w:w="0" w:type="dxa"/>
            <w:bottom w:w="0" w:type="dxa"/>
            <w:right w:w="0" w:type="dxa"/>
          </w:tblCellMar>
        </w:tblPrEx>
        <w:trPr>
          <w:wBefore w:w="0" w:type="auto"/>
          <w:tblCellSpacing w:w="0" w:type="dxa"/>
        </w:trPr>
        <w:tc>
          <w:tcPr>
            <w:tcW w:w="0" w:type="auto"/>
            <w:noWrap w:val="0"/>
            <w:vAlign w:val="center"/>
          </w:tcPr>
          <w:p w14:paraId="06BD0ED1">
            <w:r>
              <w:rPr>
                <w:rFonts w:hint="eastAsia"/>
              </w:rPr>
              <w:t xml:space="preserve">有效成分及其含量： </w:t>
            </w:r>
          </w:p>
          <w:p w14:paraId="30D03255">
            <w:r>
              <w:rPr>
                <w:rFonts w:hint="eastAsia"/>
              </w:rPr>
              <w:t xml:space="preserve">    多杀霉素3%    唑虫酰胺12%    </w:t>
            </w:r>
          </w:p>
        </w:tc>
      </w:tr>
      <w:tr w14:paraId="78C42A50">
        <w:tblPrEx>
          <w:tblCellMar>
            <w:top w:w="0" w:type="dxa"/>
            <w:left w:w="0" w:type="dxa"/>
            <w:bottom w:w="0" w:type="dxa"/>
            <w:right w:w="0" w:type="dxa"/>
          </w:tblCellMar>
        </w:tblPrEx>
        <w:trPr>
          <w:wBefore w:w="0" w:type="auto"/>
          <w:tblCellSpacing w:w="0" w:type="dxa"/>
        </w:trPr>
        <w:tc>
          <w:tcPr>
            <w:tcW w:w="0" w:type="auto"/>
            <w:noWrap w:val="0"/>
            <w:vAlign w:val="center"/>
          </w:tcPr>
          <w:p w14:paraId="4FB23E1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7B9D6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6054BE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082D9A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F30E5C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CDD5722">
                  <w:r>
                    <w:rPr>
                      <w:rStyle w:val="11"/>
                      <w:rFonts w:hint="eastAsia"/>
                    </w:rPr>
                    <w:t>施用方式</w:t>
                  </w:r>
                </w:p>
              </w:tc>
            </w:tr>
            <w:tr w14:paraId="5870F8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2AA5544">
                  <w:r>
                    <w:rPr>
                      <w:rStyle w:val="11"/>
                      <w:rFonts w:hint="eastAsia"/>
                    </w:rPr>
                    <w:t>茄子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EFB959">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9EB7C67">
                  <w:r>
                    <w:rPr>
                      <w:rStyle w:val="11"/>
                      <w:rFonts w:hint="eastAsia"/>
                    </w:rPr>
                    <w:t>25-40毫升/亩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25087E">
                  <w:r>
                    <w:rPr>
                      <w:rStyle w:val="11"/>
                      <w:rFonts w:hint="eastAsia"/>
                    </w:rPr>
                    <w:t>喷雾</w:t>
                  </w:r>
                </w:p>
              </w:tc>
            </w:tr>
          </w:tbl>
          <w:p w14:paraId="734FFE99">
            <w:pPr>
              <w:rPr>
                <w:rFonts w:ascii="Times New Roman" w:hAnsi="Times New Roman" w:cs="Times New Roman"/>
                <w:sz w:val="20"/>
                <w:szCs w:val="20"/>
              </w:rPr>
            </w:pPr>
          </w:p>
        </w:tc>
      </w:tr>
      <w:tr w14:paraId="527FA29A">
        <w:tblPrEx>
          <w:tblCellMar>
            <w:top w:w="0" w:type="dxa"/>
            <w:left w:w="0" w:type="dxa"/>
            <w:bottom w:w="0" w:type="dxa"/>
            <w:right w:w="0" w:type="dxa"/>
          </w:tblCellMar>
        </w:tblPrEx>
        <w:trPr>
          <w:wBefore w:w="0" w:type="auto"/>
          <w:tblCellSpacing w:w="0" w:type="dxa"/>
        </w:trPr>
        <w:tc>
          <w:tcPr>
            <w:tcW w:w="0" w:type="auto"/>
            <w:noWrap w:val="0"/>
            <w:vAlign w:val="center"/>
          </w:tcPr>
          <w:p w14:paraId="21D5CBB5">
            <w:r>
              <w:rPr>
                <w:rStyle w:val="10"/>
                <w:rFonts w:hint="eastAsia"/>
              </w:rPr>
              <w:t>使用技术要求:</w:t>
            </w:r>
            <w:r>
              <w:rPr>
                <w:rFonts w:hint="eastAsia"/>
              </w:rPr>
              <w:br w:type="textWrapping"/>
            </w:r>
            <w:r>
              <w:rPr>
                <w:rStyle w:val="11"/>
                <w:rFonts w:hint="eastAsia"/>
              </w:rPr>
              <w:t>1. 于茄子蓟马发生始盛期开始施药。2. 大风或预计1小时内降雨，请勿施药。3. 本品在茄子上使用的安全间隔期为5天，每季作物使用1次。</w:t>
            </w:r>
          </w:p>
        </w:tc>
      </w:tr>
      <w:tr w14:paraId="2B1904D9">
        <w:tblPrEx>
          <w:tblCellMar>
            <w:top w:w="0" w:type="dxa"/>
            <w:left w:w="0" w:type="dxa"/>
            <w:bottom w:w="0" w:type="dxa"/>
            <w:right w:w="0" w:type="dxa"/>
          </w:tblCellMar>
        </w:tblPrEx>
        <w:trPr>
          <w:wBefore w:w="0" w:type="auto"/>
          <w:tblCellSpacing w:w="0" w:type="dxa"/>
        </w:trPr>
        <w:tc>
          <w:tcPr>
            <w:tcW w:w="0" w:type="auto"/>
            <w:noWrap w:val="0"/>
            <w:vAlign w:val="center"/>
          </w:tcPr>
          <w:p w14:paraId="57712C9C">
            <w:r>
              <w:rPr>
                <w:rStyle w:val="10"/>
                <w:rFonts w:hint="eastAsia"/>
              </w:rPr>
              <w:t>产品性能:</w:t>
            </w:r>
            <w:r>
              <w:rPr>
                <w:rFonts w:hint="eastAsia"/>
              </w:rPr>
              <w:br w:type="textWrapping"/>
            </w:r>
            <w:r>
              <w:rPr>
                <w:rStyle w:val="11"/>
                <w:rFonts w:hint="eastAsia"/>
              </w:rPr>
              <w:t>本品是由多杀霉素和唑虫酰胺混配而成的杀虫剂，多杀霉素是多杀菌素类杀虫剂，激活烟碱乙酰胆碱受体，但作用机理不同于烟碱或新烟碱类杀虫剂，通过接触或经口摄入引起系统瘫痪；唑虫酰胺是作用于位点I的呼吸链电子传递抑制剂，具有触杀作用的杀虫剂，二者混配对茄子蓟马有较好的防治效果。</w:t>
            </w:r>
          </w:p>
        </w:tc>
      </w:tr>
      <w:tr w14:paraId="3E27C2AE">
        <w:tblPrEx>
          <w:tblCellMar>
            <w:top w:w="0" w:type="dxa"/>
            <w:left w:w="0" w:type="dxa"/>
            <w:bottom w:w="0" w:type="dxa"/>
            <w:right w:w="0" w:type="dxa"/>
          </w:tblCellMar>
        </w:tblPrEx>
        <w:trPr>
          <w:wBefore w:w="0" w:type="auto"/>
          <w:tblCellSpacing w:w="0" w:type="dxa"/>
        </w:trPr>
        <w:tc>
          <w:tcPr>
            <w:tcW w:w="0" w:type="auto"/>
            <w:noWrap w:val="0"/>
            <w:vAlign w:val="center"/>
          </w:tcPr>
          <w:p w14:paraId="74E97184">
            <w:r>
              <w:rPr>
                <w:rStyle w:val="10"/>
                <w:rFonts w:hint="eastAsia"/>
              </w:rPr>
              <w:t>注意事项：</w:t>
            </w:r>
            <w:r>
              <w:rPr>
                <w:rFonts w:hint="eastAsia"/>
              </w:rPr>
              <w:br w:type="textWrapping"/>
            </w:r>
            <w:r>
              <w:rPr>
                <w:rStyle w:val="11"/>
                <w:rFonts w:hint="eastAsia"/>
              </w:rPr>
              <w:t>1. 本品对鸟类、蜜蜂高毒，鸟类保护区附近禁用，（周围）开花作物花期禁用，密切关注对周围蜂群的影响，蚕室和桑园附近禁用。瓢虫（或其他代表性天敌）等天敌放飞区域禁用。避免污染水塘等水体，水产养殖区、河塘等水体附近禁用，禁止在河塘等水域清洗施药器具。2.本品对眼睛有刺激性，使用时避免接触眼睛，穿戴长衣、长裤、帽子、口罩、手套等防护措施，避免皮肤接触及口鼻吸入。使用中不可吸烟、饮水及吃东西，使用后及时清洗手、脸等暴露部位皮肤并更换衣物。3. 避免本品与氧化剂接触。4. 建议与作用机制不同的杀虫剂轮换使用，以延缓抗性产生。5. 用过的容器应妥善处理、不可作他用，也不可随意丢弃。6. 孕妇及哺乳期妇女禁止接触。</w:t>
            </w:r>
          </w:p>
        </w:tc>
      </w:tr>
      <w:tr w14:paraId="07D2C3C4">
        <w:tblPrEx>
          <w:tblCellMar>
            <w:top w:w="0" w:type="dxa"/>
            <w:left w:w="0" w:type="dxa"/>
            <w:bottom w:w="0" w:type="dxa"/>
            <w:right w:w="0" w:type="dxa"/>
          </w:tblCellMar>
        </w:tblPrEx>
        <w:trPr>
          <w:wBefore w:w="0" w:type="auto"/>
          <w:tblCellSpacing w:w="0" w:type="dxa"/>
        </w:trPr>
        <w:tc>
          <w:tcPr>
            <w:tcW w:w="0" w:type="auto"/>
            <w:noWrap w:val="0"/>
            <w:vAlign w:val="center"/>
          </w:tcPr>
          <w:p w14:paraId="5BE24753">
            <w:r>
              <w:rPr>
                <w:rStyle w:val="10"/>
                <w:rFonts w:hint="eastAsia"/>
              </w:rPr>
              <w:t>中毒急救措施：</w:t>
            </w:r>
            <w:r>
              <w:rPr>
                <w:rFonts w:hint="eastAsia"/>
              </w:rPr>
              <w:br w:type="textWrapping"/>
            </w:r>
            <w:r>
              <w:rPr>
                <w:rStyle w:val="11"/>
                <w:rFonts w:hint="eastAsia"/>
              </w:rPr>
              <w:t>中毒症状：对眼睛有刺激作用。 急救措施：使用中或使用后如果感觉不适，应立即停止工作，采取急救措施，并携带标签送医院就诊。皮肤接触：立即脱掉被污染的衣物，用大量清水彻底清洗受污染的皮肤。眼睛溅药：立即将眼睑翻开，用清水冲洗至少15分钟，再请医生诊治。吸入：立即将吸入者转移到空气清新处，如果吸入者停止呼吸，需进行人工呼吸。不慎误食：立即停止服用，用清水充分漱口后，立即携带农药标签到医院就诊。无特效解毒剂，对症治疗。</w:t>
            </w:r>
          </w:p>
        </w:tc>
      </w:tr>
      <w:tr w14:paraId="5EEB5FDB">
        <w:tblPrEx>
          <w:tblCellMar>
            <w:top w:w="0" w:type="dxa"/>
            <w:left w:w="0" w:type="dxa"/>
            <w:bottom w:w="0" w:type="dxa"/>
            <w:right w:w="0" w:type="dxa"/>
          </w:tblCellMar>
        </w:tblPrEx>
        <w:trPr>
          <w:wBefore w:w="0" w:type="auto"/>
          <w:tblCellSpacing w:w="0" w:type="dxa"/>
        </w:trPr>
        <w:tc>
          <w:tcPr>
            <w:tcW w:w="0" w:type="auto"/>
            <w:noWrap w:val="0"/>
            <w:vAlign w:val="center"/>
          </w:tcPr>
          <w:p w14:paraId="2E1B4855">
            <w:r>
              <w:rPr>
                <w:rStyle w:val="10"/>
                <w:rFonts w:hint="eastAsia"/>
              </w:rPr>
              <w:t>储存和运输方法：</w:t>
            </w:r>
            <w:r>
              <w:rPr>
                <w:rFonts w:hint="eastAsia"/>
              </w:rPr>
              <w:br w:type="textWrapping"/>
            </w:r>
            <w:r>
              <w:rPr>
                <w:rStyle w:val="11"/>
                <w:rFonts w:hint="eastAsia"/>
              </w:rPr>
              <w:t>本品应贮存于阴凉、干燥、通风、防雨处，远离火源或热源。置于儿童、无关人员及动物触及不到之处并加锁。勿与食品、饮料、粮食、饲料等其他商品同贮同运。</w:t>
            </w:r>
          </w:p>
        </w:tc>
      </w:tr>
      <w:tr w14:paraId="259C090F">
        <w:tblPrEx>
          <w:tblCellMar>
            <w:top w:w="0" w:type="dxa"/>
            <w:left w:w="0" w:type="dxa"/>
            <w:bottom w:w="0" w:type="dxa"/>
            <w:right w:w="0" w:type="dxa"/>
          </w:tblCellMar>
        </w:tblPrEx>
        <w:trPr>
          <w:wBefore w:w="0" w:type="auto"/>
          <w:tblCellSpacing w:w="0" w:type="dxa"/>
        </w:trPr>
        <w:tc>
          <w:tcPr>
            <w:tcW w:w="0" w:type="auto"/>
            <w:noWrap w:val="0"/>
            <w:vAlign w:val="center"/>
          </w:tcPr>
          <w:p w14:paraId="1538AC46">
            <w:r>
              <w:rPr>
                <w:rStyle w:val="10"/>
                <w:rFonts w:hint="eastAsia"/>
              </w:rPr>
              <w:t>质量保证期：</w:t>
            </w:r>
            <w:r>
              <w:rPr>
                <w:rStyle w:val="11"/>
                <w:rFonts w:hint="eastAsia"/>
              </w:rPr>
              <w:t>2年</w:t>
            </w:r>
          </w:p>
        </w:tc>
      </w:tr>
      <w:tr w14:paraId="06AEE0C0">
        <w:tblPrEx>
          <w:tblCellMar>
            <w:top w:w="0" w:type="dxa"/>
            <w:left w:w="0" w:type="dxa"/>
            <w:bottom w:w="0" w:type="dxa"/>
            <w:right w:w="0" w:type="dxa"/>
          </w:tblCellMar>
        </w:tblPrEx>
        <w:trPr>
          <w:wBefore w:w="0" w:type="auto"/>
          <w:tblCellSpacing w:w="0" w:type="dxa"/>
        </w:trPr>
        <w:tc>
          <w:tcPr>
            <w:tcW w:w="0" w:type="auto"/>
            <w:noWrap w:val="0"/>
            <w:vAlign w:val="center"/>
          </w:tcPr>
          <w:p w14:paraId="447D9222">
            <w:r>
              <w:rPr>
                <w:rStyle w:val="10"/>
                <w:rFonts w:hint="eastAsia"/>
              </w:rPr>
              <w:t>备注：</w:t>
            </w:r>
          </w:p>
        </w:tc>
      </w:tr>
    </w:tbl>
    <w:p w14:paraId="5DA6F1F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A79D3C0">
        <w:tblPrEx>
          <w:tblCellMar>
            <w:top w:w="0" w:type="dxa"/>
            <w:left w:w="0" w:type="dxa"/>
            <w:bottom w:w="0" w:type="dxa"/>
            <w:right w:w="0" w:type="dxa"/>
          </w:tblCellMar>
        </w:tblPrEx>
        <w:trPr>
          <w:wBefore w:w="0" w:type="auto"/>
          <w:tblCellSpacing w:w="0" w:type="dxa"/>
        </w:trPr>
        <w:tc>
          <w:tcPr>
            <w:tcW w:w="0" w:type="auto"/>
            <w:noWrap w:val="0"/>
            <w:vAlign w:val="center"/>
          </w:tcPr>
          <w:p w14:paraId="30E1EF28">
            <w:r>
              <w:rPr>
                <w:rStyle w:val="10"/>
                <w:rFonts w:hint="eastAsia"/>
              </w:rPr>
              <w:t>登记证号：</w:t>
            </w:r>
            <w:r>
              <w:rPr>
                <w:rFonts w:hint="eastAsia"/>
              </w:rPr>
              <w:t>PD20211838</w:t>
            </w:r>
          </w:p>
        </w:tc>
      </w:tr>
      <w:tr w14:paraId="13AB7899">
        <w:tblPrEx>
          <w:tblCellMar>
            <w:top w:w="0" w:type="dxa"/>
            <w:left w:w="0" w:type="dxa"/>
            <w:bottom w:w="0" w:type="dxa"/>
            <w:right w:w="0" w:type="dxa"/>
          </w:tblCellMar>
        </w:tblPrEx>
        <w:trPr>
          <w:wBefore w:w="0" w:type="auto"/>
          <w:tblCellSpacing w:w="0" w:type="dxa"/>
        </w:trPr>
        <w:tc>
          <w:tcPr>
            <w:tcW w:w="0" w:type="auto"/>
            <w:noWrap w:val="0"/>
            <w:vAlign w:val="center"/>
          </w:tcPr>
          <w:p w14:paraId="43153700">
            <w:r>
              <w:rPr>
                <w:rStyle w:val="10"/>
                <w:rFonts w:hint="eastAsia"/>
              </w:rPr>
              <w:t>登记证持有人：</w:t>
            </w:r>
            <w:r>
              <w:rPr>
                <w:rFonts w:hint="eastAsia"/>
              </w:rPr>
              <w:t>广东省佛山市盈辉作物科学有限公司</w:t>
            </w:r>
          </w:p>
        </w:tc>
      </w:tr>
      <w:tr w14:paraId="48F925B1">
        <w:tblPrEx>
          <w:tblCellMar>
            <w:top w:w="0" w:type="dxa"/>
            <w:left w:w="0" w:type="dxa"/>
            <w:bottom w:w="0" w:type="dxa"/>
            <w:right w:w="0" w:type="dxa"/>
          </w:tblCellMar>
        </w:tblPrEx>
        <w:trPr>
          <w:wBefore w:w="0" w:type="auto"/>
          <w:tblCellSpacing w:w="0" w:type="dxa"/>
        </w:trPr>
        <w:tc>
          <w:tcPr>
            <w:tcW w:w="0" w:type="auto"/>
            <w:noWrap w:val="0"/>
            <w:vAlign w:val="center"/>
          </w:tcPr>
          <w:p w14:paraId="1C41E402">
            <w:r>
              <w:rPr>
                <w:rStyle w:val="10"/>
                <w:rFonts w:hint="eastAsia"/>
              </w:rPr>
              <w:t>农药名称：</w:t>
            </w:r>
            <w:r>
              <w:rPr>
                <w:rFonts w:hint="eastAsia"/>
              </w:rPr>
              <w:t>茚虫威</w:t>
            </w:r>
          </w:p>
        </w:tc>
      </w:tr>
      <w:tr w14:paraId="7E2C33A5">
        <w:tblPrEx>
          <w:tblCellMar>
            <w:top w:w="0" w:type="dxa"/>
            <w:left w:w="0" w:type="dxa"/>
            <w:bottom w:w="0" w:type="dxa"/>
            <w:right w:w="0" w:type="dxa"/>
          </w:tblCellMar>
        </w:tblPrEx>
        <w:trPr>
          <w:wBefore w:w="0" w:type="auto"/>
          <w:tblCellSpacing w:w="0" w:type="dxa"/>
        </w:trPr>
        <w:tc>
          <w:tcPr>
            <w:tcW w:w="0" w:type="auto"/>
            <w:noWrap w:val="0"/>
            <w:vAlign w:val="center"/>
          </w:tcPr>
          <w:p w14:paraId="44FD95DF">
            <w:r>
              <w:rPr>
                <w:rStyle w:val="10"/>
                <w:rFonts w:hint="eastAsia"/>
              </w:rPr>
              <w:t>剂型：</w:t>
            </w:r>
            <w:r>
              <w:rPr>
                <w:rFonts w:hint="eastAsia"/>
              </w:rPr>
              <w:t>悬浮剂</w:t>
            </w:r>
          </w:p>
        </w:tc>
      </w:tr>
      <w:tr w14:paraId="72C215A9">
        <w:tblPrEx>
          <w:tblCellMar>
            <w:top w:w="0" w:type="dxa"/>
            <w:left w:w="0" w:type="dxa"/>
            <w:bottom w:w="0" w:type="dxa"/>
            <w:right w:w="0" w:type="dxa"/>
          </w:tblCellMar>
        </w:tblPrEx>
        <w:trPr>
          <w:wBefore w:w="0" w:type="auto"/>
          <w:tblCellSpacing w:w="0" w:type="dxa"/>
        </w:trPr>
        <w:tc>
          <w:tcPr>
            <w:tcW w:w="0" w:type="auto"/>
            <w:noWrap w:val="0"/>
            <w:vAlign w:val="center"/>
          </w:tcPr>
          <w:p w14:paraId="1140D770">
            <w:r>
              <w:rPr>
                <w:rStyle w:val="10"/>
                <w:rFonts w:hint="eastAsia"/>
              </w:rPr>
              <w:t>毒性及其标识：</w:t>
            </w:r>
            <w:r>
              <w:rPr>
                <w:rFonts w:hint="eastAsia"/>
              </w:rPr>
              <w:t xml:space="preserve"> </w:t>
            </w:r>
            <w:r>
              <w:rPr>
                <w:lang/>
              </w:rPr>
              <w:drawing>
                <wp:inline distT="0" distB="0" distL="114300" distR="114300">
                  <wp:extent cx="476250" cy="323850"/>
                  <wp:effectExtent l="0" t="0" r="0" b="0"/>
                  <wp:docPr id="548" name="图片 54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E6F209F">
        <w:tblPrEx>
          <w:tblCellMar>
            <w:top w:w="0" w:type="dxa"/>
            <w:left w:w="0" w:type="dxa"/>
            <w:bottom w:w="0" w:type="dxa"/>
            <w:right w:w="0" w:type="dxa"/>
          </w:tblCellMar>
        </w:tblPrEx>
        <w:trPr>
          <w:wBefore w:w="0" w:type="auto"/>
          <w:tblCellSpacing w:w="0" w:type="dxa"/>
        </w:trPr>
        <w:tc>
          <w:tcPr>
            <w:tcW w:w="0" w:type="auto"/>
            <w:noWrap w:val="0"/>
            <w:vAlign w:val="center"/>
          </w:tcPr>
          <w:p w14:paraId="2C3591D9">
            <w:r>
              <w:rPr>
                <w:rStyle w:val="10"/>
                <w:rFonts w:hint="eastAsia"/>
              </w:rPr>
              <w:t>总有效成分含量：</w:t>
            </w:r>
            <w:r>
              <w:rPr>
                <w:rFonts w:hint="eastAsia"/>
              </w:rPr>
              <w:t>15%</w:t>
            </w:r>
          </w:p>
        </w:tc>
      </w:tr>
      <w:tr w14:paraId="36A8FE40">
        <w:tblPrEx>
          <w:tblCellMar>
            <w:top w:w="0" w:type="dxa"/>
            <w:left w:w="0" w:type="dxa"/>
            <w:bottom w:w="0" w:type="dxa"/>
            <w:right w:w="0" w:type="dxa"/>
          </w:tblCellMar>
        </w:tblPrEx>
        <w:trPr>
          <w:wBefore w:w="0" w:type="auto"/>
          <w:tblCellSpacing w:w="0" w:type="dxa"/>
        </w:trPr>
        <w:tc>
          <w:tcPr>
            <w:tcW w:w="0" w:type="auto"/>
            <w:noWrap w:val="0"/>
            <w:vAlign w:val="center"/>
          </w:tcPr>
          <w:p w14:paraId="3FBFD27C">
            <w:r>
              <w:rPr>
                <w:rFonts w:hint="eastAsia"/>
              </w:rPr>
              <w:t xml:space="preserve">有效成分及其含量： </w:t>
            </w:r>
          </w:p>
          <w:p w14:paraId="1B8AC138">
            <w:r>
              <w:rPr>
                <w:rFonts w:hint="eastAsia"/>
              </w:rPr>
              <w:t xml:space="preserve">    茚虫威15%    </w:t>
            </w:r>
          </w:p>
        </w:tc>
      </w:tr>
      <w:tr w14:paraId="0F3EFA3B">
        <w:tblPrEx>
          <w:tblCellMar>
            <w:top w:w="0" w:type="dxa"/>
            <w:left w:w="0" w:type="dxa"/>
            <w:bottom w:w="0" w:type="dxa"/>
            <w:right w:w="0" w:type="dxa"/>
          </w:tblCellMar>
        </w:tblPrEx>
        <w:trPr>
          <w:wBefore w:w="0" w:type="auto"/>
          <w:tblCellSpacing w:w="0" w:type="dxa"/>
        </w:trPr>
        <w:tc>
          <w:tcPr>
            <w:tcW w:w="0" w:type="auto"/>
            <w:noWrap w:val="0"/>
            <w:vAlign w:val="center"/>
          </w:tcPr>
          <w:p w14:paraId="0F8DF33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058A7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B455E9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0D3260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00F1CF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24A9F1F">
                  <w:r>
                    <w:rPr>
                      <w:rStyle w:val="11"/>
                      <w:rFonts w:hint="eastAsia"/>
                    </w:rPr>
                    <w:t>施用方式</w:t>
                  </w:r>
                </w:p>
              </w:tc>
            </w:tr>
            <w:tr w14:paraId="2C570E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B494012">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2BA2FF">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1D03FC">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7A757F">
                  <w:r>
                    <w:rPr>
                      <w:rStyle w:val="11"/>
                      <w:rFonts w:hint="eastAsia"/>
                    </w:rPr>
                    <w:t>喷雾</w:t>
                  </w:r>
                </w:p>
              </w:tc>
            </w:tr>
          </w:tbl>
          <w:p w14:paraId="241B3850">
            <w:pPr>
              <w:rPr>
                <w:rFonts w:ascii="Times New Roman" w:hAnsi="Times New Roman" w:cs="Times New Roman"/>
                <w:sz w:val="20"/>
                <w:szCs w:val="20"/>
              </w:rPr>
            </w:pPr>
          </w:p>
        </w:tc>
      </w:tr>
      <w:tr w14:paraId="5F58D2C5">
        <w:tblPrEx>
          <w:tblCellMar>
            <w:top w:w="0" w:type="dxa"/>
            <w:left w:w="0" w:type="dxa"/>
            <w:bottom w:w="0" w:type="dxa"/>
            <w:right w:w="0" w:type="dxa"/>
          </w:tblCellMar>
        </w:tblPrEx>
        <w:trPr>
          <w:wBefore w:w="0" w:type="auto"/>
          <w:tblCellSpacing w:w="0" w:type="dxa"/>
        </w:trPr>
        <w:tc>
          <w:tcPr>
            <w:tcW w:w="0" w:type="auto"/>
            <w:noWrap w:val="0"/>
            <w:vAlign w:val="center"/>
          </w:tcPr>
          <w:p w14:paraId="4F9940BF">
            <w:r>
              <w:rPr>
                <w:rStyle w:val="10"/>
                <w:rFonts w:hint="eastAsia"/>
              </w:rPr>
              <w:t>使用技术要求:</w:t>
            </w:r>
            <w:r>
              <w:rPr>
                <w:rFonts w:hint="eastAsia"/>
              </w:rPr>
              <w:br w:type="textWrapping"/>
            </w:r>
            <w:r>
              <w:rPr>
                <w:rStyle w:val="11"/>
                <w:rFonts w:hint="eastAsia"/>
              </w:rPr>
              <w:t>1.于甘蓝小菜蛾卵孵化盛期至1-2龄幼虫期高峰期施药，每季作物不超过2次，间隔5～7天。2. 根据小菜蛾的活动习性，宜选择早晚风小，气温较低时用药。3.先配母液，搅拌均匀后稀释，对作物的顶尖和叶片正反两面喷雾，确保覆盖全株。大风天或预计1小时内降雨，请勿施药。4. 安全间隔期：7天，每季最多使用2次。</w:t>
            </w:r>
          </w:p>
        </w:tc>
      </w:tr>
      <w:tr w14:paraId="711593F0">
        <w:tblPrEx>
          <w:tblCellMar>
            <w:top w:w="0" w:type="dxa"/>
            <w:left w:w="0" w:type="dxa"/>
            <w:bottom w:w="0" w:type="dxa"/>
            <w:right w:w="0" w:type="dxa"/>
          </w:tblCellMar>
        </w:tblPrEx>
        <w:trPr>
          <w:wBefore w:w="0" w:type="auto"/>
          <w:tblCellSpacing w:w="0" w:type="dxa"/>
        </w:trPr>
        <w:tc>
          <w:tcPr>
            <w:tcW w:w="0" w:type="auto"/>
            <w:noWrap w:val="0"/>
            <w:vAlign w:val="center"/>
          </w:tcPr>
          <w:p w14:paraId="72A09005">
            <w:r>
              <w:rPr>
                <w:rStyle w:val="10"/>
                <w:rFonts w:hint="eastAsia"/>
              </w:rPr>
              <w:t>产品性能:</w:t>
            </w:r>
            <w:r>
              <w:rPr>
                <w:rFonts w:hint="eastAsia"/>
              </w:rPr>
              <w:br w:type="textWrapping"/>
            </w:r>
            <w:r>
              <w:rPr>
                <w:rStyle w:val="11"/>
                <w:rFonts w:hint="eastAsia"/>
              </w:rPr>
              <w:t>本品是一种噁二嗪类高效低毒杀虫剂，通过干扰钠离子通道导致害虫中毒，随即麻痹直至僵死。以胃毒作用为主兼有触杀活性，施药后害虫停止取食，对作物保护效果优越且耐雨水冲刷。对小菜蛾抗性大龄害虫也有较好防效</w:t>
            </w:r>
          </w:p>
        </w:tc>
      </w:tr>
      <w:tr w14:paraId="0D3DE4E8">
        <w:tblPrEx>
          <w:tblCellMar>
            <w:top w:w="0" w:type="dxa"/>
            <w:left w:w="0" w:type="dxa"/>
            <w:bottom w:w="0" w:type="dxa"/>
            <w:right w:w="0" w:type="dxa"/>
          </w:tblCellMar>
        </w:tblPrEx>
        <w:trPr>
          <w:wBefore w:w="0" w:type="auto"/>
          <w:tblCellSpacing w:w="0" w:type="dxa"/>
        </w:trPr>
        <w:tc>
          <w:tcPr>
            <w:tcW w:w="0" w:type="auto"/>
            <w:noWrap w:val="0"/>
            <w:vAlign w:val="center"/>
          </w:tcPr>
          <w:p w14:paraId="3877A1FF">
            <w:r>
              <w:rPr>
                <w:rStyle w:val="10"/>
                <w:rFonts w:hint="eastAsia"/>
              </w:rPr>
              <w:t>注意事项：</w:t>
            </w:r>
            <w:r>
              <w:rPr>
                <w:rFonts w:hint="eastAsia"/>
              </w:rPr>
              <w:br w:type="textWrapping"/>
            </w:r>
            <w:r>
              <w:rPr>
                <w:rStyle w:val="11"/>
                <w:rFonts w:hint="eastAsia"/>
              </w:rPr>
              <w:t>1、本品对眼睛有刺激性，使用本品时应穿戴防护服、手套等，避免接触眼睛、吸入药液；施药期间不可吃东西、饮水等。施药后应及时洗手、洗脸等。2、清洗施药器具的废水不能排入河流、池塘等水源。废弃物应妥善处理，不可做他用，也不可随意丢弃。3、本品对鱼类等水生生物有毒，远离水产养殖区、河塘等水域施药，禁止河塘等水体清洗施药器械。鱼或虾蟹套养稻田禁用。4、孕妇及哺乳期妇女应避免接触本品。5.避免与具有氧化性物质接触或混合。</w:t>
            </w:r>
          </w:p>
        </w:tc>
      </w:tr>
      <w:tr w14:paraId="2CA98D83">
        <w:tblPrEx>
          <w:tblCellMar>
            <w:top w:w="0" w:type="dxa"/>
            <w:left w:w="0" w:type="dxa"/>
            <w:bottom w:w="0" w:type="dxa"/>
            <w:right w:w="0" w:type="dxa"/>
          </w:tblCellMar>
        </w:tblPrEx>
        <w:trPr>
          <w:wBefore w:w="0" w:type="auto"/>
          <w:tblCellSpacing w:w="0" w:type="dxa"/>
        </w:trPr>
        <w:tc>
          <w:tcPr>
            <w:tcW w:w="0" w:type="auto"/>
            <w:noWrap w:val="0"/>
            <w:vAlign w:val="center"/>
          </w:tcPr>
          <w:p w14:paraId="37E43AF4">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应立即用清水漱口，严禁引吐，避免呕吐物吸入肺部，立即携带标签到对症治疗。</w:t>
            </w:r>
          </w:p>
        </w:tc>
      </w:tr>
      <w:tr w14:paraId="30CB22E6">
        <w:tblPrEx>
          <w:tblCellMar>
            <w:top w:w="0" w:type="dxa"/>
            <w:left w:w="0" w:type="dxa"/>
            <w:bottom w:w="0" w:type="dxa"/>
            <w:right w:w="0" w:type="dxa"/>
          </w:tblCellMar>
        </w:tblPrEx>
        <w:trPr>
          <w:wBefore w:w="0" w:type="auto"/>
          <w:tblCellSpacing w:w="0" w:type="dxa"/>
        </w:trPr>
        <w:tc>
          <w:tcPr>
            <w:tcW w:w="0" w:type="auto"/>
            <w:noWrap w:val="0"/>
            <w:vAlign w:val="center"/>
          </w:tcPr>
          <w:p w14:paraId="43395392">
            <w:r>
              <w:rPr>
                <w:rStyle w:val="10"/>
                <w:rFonts w:hint="eastAsia"/>
              </w:rPr>
              <w:t>储存和运输方法：</w:t>
            </w:r>
            <w:r>
              <w:rPr>
                <w:rFonts w:hint="eastAsia"/>
              </w:rPr>
              <w:br w:type="textWrapping"/>
            </w:r>
            <w:r>
              <w:rPr>
                <w:rStyle w:val="11"/>
                <w:rFonts w:hint="eastAsia"/>
              </w:rPr>
              <w:t>贮运时应严防潮湿和日晒，保持良好通风，置于儿童、无关人员及动物接触不到的地方，并加锁保存；避免与食物、种子、粮食、饮料、饲料混放混运。</w:t>
            </w:r>
          </w:p>
        </w:tc>
      </w:tr>
      <w:tr w14:paraId="0B09FC2A">
        <w:tblPrEx>
          <w:tblCellMar>
            <w:top w:w="0" w:type="dxa"/>
            <w:left w:w="0" w:type="dxa"/>
            <w:bottom w:w="0" w:type="dxa"/>
            <w:right w:w="0" w:type="dxa"/>
          </w:tblCellMar>
        </w:tblPrEx>
        <w:trPr>
          <w:wBefore w:w="0" w:type="auto"/>
          <w:tblCellSpacing w:w="0" w:type="dxa"/>
        </w:trPr>
        <w:tc>
          <w:tcPr>
            <w:tcW w:w="0" w:type="auto"/>
            <w:noWrap w:val="0"/>
            <w:vAlign w:val="center"/>
          </w:tcPr>
          <w:p w14:paraId="0E566556">
            <w:r>
              <w:rPr>
                <w:rStyle w:val="10"/>
                <w:rFonts w:hint="eastAsia"/>
              </w:rPr>
              <w:t>质量保证期：</w:t>
            </w:r>
            <w:r>
              <w:rPr>
                <w:rStyle w:val="11"/>
                <w:rFonts w:hint="eastAsia"/>
              </w:rPr>
              <w:t>2年</w:t>
            </w:r>
          </w:p>
        </w:tc>
      </w:tr>
      <w:tr w14:paraId="0A93150B">
        <w:tblPrEx>
          <w:tblCellMar>
            <w:top w:w="0" w:type="dxa"/>
            <w:left w:w="0" w:type="dxa"/>
            <w:bottom w:w="0" w:type="dxa"/>
            <w:right w:w="0" w:type="dxa"/>
          </w:tblCellMar>
        </w:tblPrEx>
        <w:trPr>
          <w:wBefore w:w="0" w:type="auto"/>
          <w:tblCellSpacing w:w="0" w:type="dxa"/>
        </w:trPr>
        <w:tc>
          <w:tcPr>
            <w:tcW w:w="0" w:type="auto"/>
            <w:noWrap w:val="0"/>
            <w:vAlign w:val="center"/>
          </w:tcPr>
          <w:p w14:paraId="4629CF64">
            <w:r>
              <w:rPr>
                <w:rStyle w:val="10"/>
                <w:rFonts w:hint="eastAsia"/>
              </w:rPr>
              <w:t>备注：</w:t>
            </w:r>
          </w:p>
        </w:tc>
      </w:tr>
    </w:tbl>
    <w:p w14:paraId="709D2DB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2188699">
        <w:tblPrEx>
          <w:tblCellMar>
            <w:top w:w="0" w:type="dxa"/>
            <w:left w:w="0" w:type="dxa"/>
            <w:bottom w:w="0" w:type="dxa"/>
            <w:right w:w="0" w:type="dxa"/>
          </w:tblCellMar>
        </w:tblPrEx>
        <w:trPr>
          <w:wBefore w:w="0" w:type="auto"/>
          <w:tblCellSpacing w:w="0" w:type="dxa"/>
        </w:trPr>
        <w:tc>
          <w:tcPr>
            <w:tcW w:w="0" w:type="auto"/>
            <w:noWrap w:val="0"/>
            <w:vAlign w:val="center"/>
          </w:tcPr>
          <w:p w14:paraId="4FED365A">
            <w:r>
              <w:rPr>
                <w:rStyle w:val="10"/>
                <w:rFonts w:hint="eastAsia"/>
              </w:rPr>
              <w:t>登记证号：</w:t>
            </w:r>
            <w:r>
              <w:rPr>
                <w:rFonts w:hint="eastAsia"/>
              </w:rPr>
              <w:t>PD20211690</w:t>
            </w:r>
          </w:p>
        </w:tc>
      </w:tr>
      <w:tr w14:paraId="01A6B1FC">
        <w:tblPrEx>
          <w:tblCellMar>
            <w:top w:w="0" w:type="dxa"/>
            <w:left w:w="0" w:type="dxa"/>
            <w:bottom w:w="0" w:type="dxa"/>
            <w:right w:w="0" w:type="dxa"/>
          </w:tblCellMar>
        </w:tblPrEx>
        <w:trPr>
          <w:wBefore w:w="0" w:type="auto"/>
          <w:tblCellSpacing w:w="0" w:type="dxa"/>
        </w:trPr>
        <w:tc>
          <w:tcPr>
            <w:tcW w:w="0" w:type="auto"/>
            <w:noWrap w:val="0"/>
            <w:vAlign w:val="center"/>
          </w:tcPr>
          <w:p w14:paraId="48A262AC">
            <w:r>
              <w:rPr>
                <w:rStyle w:val="10"/>
                <w:rFonts w:hint="eastAsia"/>
              </w:rPr>
              <w:t>登记证持有人：</w:t>
            </w:r>
            <w:r>
              <w:rPr>
                <w:rFonts w:hint="eastAsia"/>
              </w:rPr>
              <w:t>禹城联合利农生物科技有限公司</w:t>
            </w:r>
          </w:p>
        </w:tc>
      </w:tr>
      <w:tr w14:paraId="0ACC56B0">
        <w:tblPrEx>
          <w:tblCellMar>
            <w:top w:w="0" w:type="dxa"/>
            <w:left w:w="0" w:type="dxa"/>
            <w:bottom w:w="0" w:type="dxa"/>
            <w:right w:w="0" w:type="dxa"/>
          </w:tblCellMar>
        </w:tblPrEx>
        <w:trPr>
          <w:wBefore w:w="0" w:type="auto"/>
          <w:tblCellSpacing w:w="0" w:type="dxa"/>
        </w:trPr>
        <w:tc>
          <w:tcPr>
            <w:tcW w:w="0" w:type="auto"/>
            <w:noWrap w:val="0"/>
            <w:vAlign w:val="center"/>
          </w:tcPr>
          <w:p w14:paraId="17762B43">
            <w:r>
              <w:rPr>
                <w:rStyle w:val="10"/>
                <w:rFonts w:hint="eastAsia"/>
              </w:rPr>
              <w:t>农药名称：</w:t>
            </w:r>
            <w:r>
              <w:rPr>
                <w:rFonts w:hint="eastAsia"/>
              </w:rPr>
              <w:t>柠檬烯</w:t>
            </w:r>
          </w:p>
        </w:tc>
      </w:tr>
      <w:tr w14:paraId="1E9CDF5B">
        <w:tblPrEx>
          <w:tblCellMar>
            <w:top w:w="0" w:type="dxa"/>
            <w:left w:w="0" w:type="dxa"/>
            <w:bottom w:w="0" w:type="dxa"/>
            <w:right w:w="0" w:type="dxa"/>
          </w:tblCellMar>
        </w:tblPrEx>
        <w:trPr>
          <w:wBefore w:w="0" w:type="auto"/>
          <w:tblCellSpacing w:w="0" w:type="dxa"/>
        </w:trPr>
        <w:tc>
          <w:tcPr>
            <w:tcW w:w="0" w:type="auto"/>
            <w:noWrap w:val="0"/>
            <w:vAlign w:val="center"/>
          </w:tcPr>
          <w:p w14:paraId="683F6274">
            <w:r>
              <w:rPr>
                <w:rStyle w:val="10"/>
                <w:rFonts w:hint="eastAsia"/>
              </w:rPr>
              <w:t>剂型：</w:t>
            </w:r>
            <w:r>
              <w:rPr>
                <w:rFonts w:hint="eastAsia"/>
              </w:rPr>
              <w:t>原药</w:t>
            </w:r>
          </w:p>
        </w:tc>
      </w:tr>
      <w:tr w14:paraId="55228FEB">
        <w:tblPrEx>
          <w:tblCellMar>
            <w:top w:w="0" w:type="dxa"/>
            <w:left w:w="0" w:type="dxa"/>
            <w:bottom w:w="0" w:type="dxa"/>
            <w:right w:w="0" w:type="dxa"/>
          </w:tblCellMar>
        </w:tblPrEx>
        <w:trPr>
          <w:wBefore w:w="0" w:type="auto"/>
          <w:tblCellSpacing w:w="0" w:type="dxa"/>
        </w:trPr>
        <w:tc>
          <w:tcPr>
            <w:tcW w:w="0" w:type="auto"/>
            <w:noWrap w:val="0"/>
            <w:vAlign w:val="center"/>
          </w:tcPr>
          <w:p w14:paraId="19D72A61">
            <w:r>
              <w:rPr>
                <w:rStyle w:val="10"/>
                <w:rFonts w:hint="eastAsia"/>
              </w:rPr>
              <w:t>毒性及其标识：</w:t>
            </w:r>
            <w:r>
              <w:rPr>
                <w:rFonts w:hint="eastAsia"/>
              </w:rPr>
              <w:t xml:space="preserve"> </w:t>
            </w:r>
            <w:r>
              <w:rPr>
                <w:lang/>
              </w:rPr>
              <w:drawing>
                <wp:inline distT="0" distB="0" distL="114300" distR="114300">
                  <wp:extent cx="476250" cy="323850"/>
                  <wp:effectExtent l="0" t="0" r="0" b="0"/>
                  <wp:docPr id="549" name="图片 54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34846D">
        <w:tblPrEx>
          <w:tblCellMar>
            <w:top w:w="0" w:type="dxa"/>
            <w:left w:w="0" w:type="dxa"/>
            <w:bottom w:w="0" w:type="dxa"/>
            <w:right w:w="0" w:type="dxa"/>
          </w:tblCellMar>
        </w:tblPrEx>
        <w:trPr>
          <w:wBefore w:w="0" w:type="auto"/>
          <w:tblCellSpacing w:w="0" w:type="dxa"/>
        </w:trPr>
        <w:tc>
          <w:tcPr>
            <w:tcW w:w="0" w:type="auto"/>
            <w:noWrap w:val="0"/>
            <w:vAlign w:val="center"/>
          </w:tcPr>
          <w:p w14:paraId="1FBB5A86">
            <w:r>
              <w:rPr>
                <w:rStyle w:val="10"/>
                <w:rFonts w:hint="eastAsia"/>
              </w:rPr>
              <w:t>总有效成分含量：</w:t>
            </w:r>
            <w:r>
              <w:rPr>
                <w:rFonts w:hint="eastAsia"/>
              </w:rPr>
              <w:t>93%</w:t>
            </w:r>
          </w:p>
        </w:tc>
      </w:tr>
      <w:tr w14:paraId="2E0DB952">
        <w:tblPrEx>
          <w:tblCellMar>
            <w:top w:w="0" w:type="dxa"/>
            <w:left w:w="0" w:type="dxa"/>
            <w:bottom w:w="0" w:type="dxa"/>
            <w:right w:w="0" w:type="dxa"/>
          </w:tblCellMar>
        </w:tblPrEx>
        <w:trPr>
          <w:wBefore w:w="0" w:type="auto"/>
          <w:tblCellSpacing w:w="0" w:type="dxa"/>
        </w:trPr>
        <w:tc>
          <w:tcPr>
            <w:tcW w:w="0" w:type="auto"/>
            <w:noWrap w:val="0"/>
            <w:vAlign w:val="center"/>
          </w:tcPr>
          <w:p w14:paraId="1A7AEB8B">
            <w:r>
              <w:rPr>
                <w:rFonts w:hint="eastAsia"/>
              </w:rPr>
              <w:t xml:space="preserve">有效成分及其含量： </w:t>
            </w:r>
          </w:p>
          <w:p w14:paraId="17DF179D">
            <w:r>
              <w:rPr>
                <w:rFonts w:hint="eastAsia"/>
              </w:rPr>
              <w:t xml:space="preserve">    d-柠檬烯93%    </w:t>
            </w:r>
          </w:p>
        </w:tc>
      </w:tr>
      <w:tr w14:paraId="5517B3B2">
        <w:tblPrEx>
          <w:tblCellMar>
            <w:top w:w="0" w:type="dxa"/>
            <w:left w:w="0" w:type="dxa"/>
            <w:bottom w:w="0" w:type="dxa"/>
            <w:right w:w="0" w:type="dxa"/>
          </w:tblCellMar>
        </w:tblPrEx>
        <w:trPr>
          <w:wBefore w:w="0" w:type="auto"/>
          <w:tblCellSpacing w:w="0" w:type="dxa"/>
        </w:trPr>
        <w:tc>
          <w:tcPr>
            <w:tcW w:w="0" w:type="auto"/>
            <w:noWrap w:val="0"/>
            <w:vAlign w:val="center"/>
          </w:tcPr>
          <w:p w14:paraId="72DF583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C9E5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193779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1B9A63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DA47B0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4F27CFB">
                  <w:r>
                    <w:rPr>
                      <w:rStyle w:val="11"/>
                      <w:rFonts w:hint="eastAsia"/>
                    </w:rPr>
                    <w:t>施用方式</w:t>
                  </w:r>
                </w:p>
              </w:tc>
            </w:tr>
          </w:tbl>
          <w:p w14:paraId="4C3EBFD4">
            <w:pPr>
              <w:rPr>
                <w:rFonts w:ascii="Times New Roman" w:hAnsi="Times New Roman" w:cs="Times New Roman"/>
                <w:sz w:val="20"/>
                <w:szCs w:val="20"/>
              </w:rPr>
            </w:pPr>
          </w:p>
        </w:tc>
      </w:tr>
      <w:tr w14:paraId="04026BDF">
        <w:tblPrEx>
          <w:tblCellMar>
            <w:top w:w="0" w:type="dxa"/>
            <w:left w:w="0" w:type="dxa"/>
            <w:bottom w:w="0" w:type="dxa"/>
            <w:right w:w="0" w:type="dxa"/>
          </w:tblCellMar>
        </w:tblPrEx>
        <w:trPr>
          <w:wBefore w:w="0" w:type="auto"/>
          <w:tblCellSpacing w:w="0" w:type="dxa"/>
        </w:trPr>
        <w:tc>
          <w:tcPr>
            <w:tcW w:w="0" w:type="auto"/>
            <w:noWrap w:val="0"/>
            <w:vAlign w:val="center"/>
          </w:tcPr>
          <w:p w14:paraId="44AB7950">
            <w:r>
              <w:rPr>
                <w:rStyle w:val="10"/>
                <w:rFonts w:hint="eastAsia"/>
              </w:rPr>
              <w:t>使用技术要求:</w:t>
            </w:r>
            <w:r>
              <w:rPr>
                <w:rFonts w:hint="eastAsia"/>
              </w:rPr>
              <w:br w:type="textWrapping"/>
            </w:r>
            <w:r>
              <w:rPr>
                <w:rStyle w:val="11"/>
                <w:rFonts w:hint="eastAsia"/>
              </w:rPr>
              <w:t>/</w:t>
            </w:r>
          </w:p>
        </w:tc>
      </w:tr>
      <w:tr w14:paraId="0EDD0716">
        <w:tblPrEx>
          <w:tblCellMar>
            <w:top w:w="0" w:type="dxa"/>
            <w:left w:w="0" w:type="dxa"/>
            <w:bottom w:w="0" w:type="dxa"/>
            <w:right w:w="0" w:type="dxa"/>
          </w:tblCellMar>
        </w:tblPrEx>
        <w:trPr>
          <w:wBefore w:w="0" w:type="auto"/>
          <w:tblCellSpacing w:w="0" w:type="dxa"/>
        </w:trPr>
        <w:tc>
          <w:tcPr>
            <w:tcW w:w="0" w:type="auto"/>
            <w:noWrap w:val="0"/>
            <w:vAlign w:val="center"/>
          </w:tcPr>
          <w:p w14:paraId="7343921B">
            <w:r>
              <w:rPr>
                <w:rStyle w:val="10"/>
                <w:rFonts w:hint="eastAsia"/>
              </w:rPr>
              <w:t>产品性能:</w:t>
            </w:r>
            <w:r>
              <w:rPr>
                <w:rFonts w:hint="eastAsia"/>
              </w:rPr>
              <w:br w:type="textWrapping"/>
            </w:r>
            <w:r>
              <w:rPr>
                <w:rStyle w:val="11"/>
                <w:rFonts w:hint="eastAsia"/>
              </w:rPr>
              <w:t>本品是采用蒸馏技术从橙皮中提取的橙油，属于天然的植物源农药，对害虫作用方式为物理触杀作用，与常用的化学农药无交互抗性，杀虫机理是溶解害虫体表蜡质层，使害虫呈现快速击倒，呈明显的失水状态而死。本品是农药制剂加工的原材料，不得用于农作物或者其他场所。</w:t>
            </w:r>
          </w:p>
        </w:tc>
      </w:tr>
      <w:tr w14:paraId="6BCD9C49">
        <w:tblPrEx>
          <w:tblCellMar>
            <w:top w:w="0" w:type="dxa"/>
            <w:left w:w="0" w:type="dxa"/>
            <w:bottom w:w="0" w:type="dxa"/>
            <w:right w:w="0" w:type="dxa"/>
          </w:tblCellMar>
        </w:tblPrEx>
        <w:trPr>
          <w:wBefore w:w="0" w:type="auto"/>
          <w:tblCellSpacing w:w="0" w:type="dxa"/>
        </w:trPr>
        <w:tc>
          <w:tcPr>
            <w:tcW w:w="0" w:type="auto"/>
            <w:noWrap w:val="0"/>
            <w:vAlign w:val="center"/>
          </w:tcPr>
          <w:p w14:paraId="12F4B342">
            <w:r>
              <w:rPr>
                <w:rStyle w:val="10"/>
                <w:rFonts w:hint="eastAsia"/>
              </w:rPr>
              <w:t>注意事项：</w:t>
            </w:r>
            <w:r>
              <w:rPr>
                <w:rFonts w:hint="eastAsia"/>
              </w:rPr>
              <w:br w:type="textWrapping"/>
            </w:r>
            <w:r>
              <w:rPr>
                <w:rStyle w:val="11"/>
                <w:rFonts w:hint="eastAsia"/>
              </w:rPr>
              <w:t>1.使用后的容器不可重新使用，也不可随意丢弃。 2.使用本产品时应穿戴防护服和手套，施药时要避免接触皮肤、眼睛和衣服。 3.不慎泄露，应立即让无关人员离开，清理泄漏物，并转移到废弃物处理箱中，交专业处理机构处理。 4. 本品对鱼、溞中等毒，切勿将本品及其废液弃于池塘、河溪和湖泊等，以免污染水源。</w:t>
            </w:r>
          </w:p>
        </w:tc>
      </w:tr>
      <w:tr w14:paraId="7BBA49F9">
        <w:tblPrEx>
          <w:tblCellMar>
            <w:top w:w="0" w:type="dxa"/>
            <w:left w:w="0" w:type="dxa"/>
            <w:bottom w:w="0" w:type="dxa"/>
            <w:right w:w="0" w:type="dxa"/>
          </w:tblCellMar>
        </w:tblPrEx>
        <w:trPr>
          <w:wBefore w:w="0" w:type="auto"/>
          <w:tblCellSpacing w:w="0" w:type="dxa"/>
        </w:trPr>
        <w:tc>
          <w:tcPr>
            <w:tcW w:w="0" w:type="auto"/>
            <w:noWrap w:val="0"/>
            <w:vAlign w:val="center"/>
          </w:tcPr>
          <w:p w14:paraId="39E43A1A">
            <w:r>
              <w:rPr>
                <w:rStyle w:val="10"/>
                <w:rFonts w:hint="eastAsia"/>
              </w:rPr>
              <w:t>中毒急救措施：</w:t>
            </w:r>
            <w:r>
              <w:rPr>
                <w:rFonts w:hint="eastAsia"/>
              </w:rPr>
              <w:br w:type="textWrapping"/>
            </w:r>
            <w:r>
              <w:rPr>
                <w:rStyle w:val="11"/>
                <w:rFonts w:hint="eastAsia"/>
              </w:rPr>
              <w:t>1.皮肤接触：立即脱掉被污染的衣物，用肥皂和大量清水彻底清洗受污染的皮肤。 2.眼睛溅药：立即将眼睑翻开，用清水冲洗10-15分钟，再请医生诊治。 3.发生吸入：立即将吸入者转移到空气新鲜处，请医生诊治。 4.误服：请勿引吐，立即携带标签，送医就诊。 5.解毒剂：无专用解毒剂，对症治疗。</w:t>
            </w:r>
          </w:p>
        </w:tc>
      </w:tr>
      <w:tr w14:paraId="030D9AF6">
        <w:tblPrEx>
          <w:tblCellMar>
            <w:top w:w="0" w:type="dxa"/>
            <w:left w:w="0" w:type="dxa"/>
            <w:bottom w:w="0" w:type="dxa"/>
            <w:right w:w="0" w:type="dxa"/>
          </w:tblCellMar>
        </w:tblPrEx>
        <w:trPr>
          <w:wBefore w:w="0" w:type="auto"/>
          <w:tblCellSpacing w:w="0" w:type="dxa"/>
        </w:trPr>
        <w:tc>
          <w:tcPr>
            <w:tcW w:w="0" w:type="auto"/>
            <w:noWrap w:val="0"/>
            <w:vAlign w:val="center"/>
          </w:tcPr>
          <w:p w14:paraId="43A03F5F">
            <w:r>
              <w:rPr>
                <w:rStyle w:val="10"/>
                <w:rFonts w:hint="eastAsia"/>
              </w:rPr>
              <w:t>储存和运输方法：</w:t>
            </w:r>
            <w:r>
              <w:rPr>
                <w:rFonts w:hint="eastAsia"/>
              </w:rPr>
              <w:br w:type="textWrapping"/>
            </w:r>
            <w:r>
              <w:rPr>
                <w:rStyle w:val="11"/>
                <w:rFonts w:hint="eastAsia"/>
              </w:rPr>
              <w:t>本品贮存在干燥、阴凉、通风、防雨处，远离火源或热源。置于儿童、无关人员触及不到地方，并加锁保存。勿与食品、饮料、粮食、饲料等其他商品同贮同运。</w:t>
            </w:r>
          </w:p>
        </w:tc>
      </w:tr>
      <w:tr w14:paraId="012DC830">
        <w:tblPrEx>
          <w:tblCellMar>
            <w:top w:w="0" w:type="dxa"/>
            <w:left w:w="0" w:type="dxa"/>
            <w:bottom w:w="0" w:type="dxa"/>
            <w:right w:w="0" w:type="dxa"/>
          </w:tblCellMar>
        </w:tblPrEx>
        <w:trPr>
          <w:wBefore w:w="0" w:type="auto"/>
          <w:tblCellSpacing w:w="0" w:type="dxa"/>
        </w:trPr>
        <w:tc>
          <w:tcPr>
            <w:tcW w:w="0" w:type="auto"/>
            <w:noWrap w:val="0"/>
            <w:vAlign w:val="center"/>
          </w:tcPr>
          <w:p w14:paraId="74688B87">
            <w:r>
              <w:rPr>
                <w:rStyle w:val="10"/>
                <w:rFonts w:hint="eastAsia"/>
              </w:rPr>
              <w:t>质量保证期：</w:t>
            </w:r>
            <w:r>
              <w:rPr>
                <w:rStyle w:val="11"/>
                <w:rFonts w:hint="eastAsia"/>
              </w:rPr>
              <w:t>2年</w:t>
            </w:r>
          </w:p>
        </w:tc>
      </w:tr>
      <w:tr w14:paraId="099553BE">
        <w:tblPrEx>
          <w:tblCellMar>
            <w:top w:w="0" w:type="dxa"/>
            <w:left w:w="0" w:type="dxa"/>
            <w:bottom w:w="0" w:type="dxa"/>
            <w:right w:w="0" w:type="dxa"/>
          </w:tblCellMar>
        </w:tblPrEx>
        <w:trPr>
          <w:wBefore w:w="0" w:type="auto"/>
          <w:tblCellSpacing w:w="0" w:type="dxa"/>
        </w:trPr>
        <w:tc>
          <w:tcPr>
            <w:tcW w:w="0" w:type="auto"/>
            <w:noWrap w:val="0"/>
            <w:vAlign w:val="center"/>
          </w:tcPr>
          <w:p w14:paraId="2A3FB54C">
            <w:r>
              <w:rPr>
                <w:rStyle w:val="10"/>
                <w:rFonts w:hint="eastAsia"/>
              </w:rPr>
              <w:t>备注：</w:t>
            </w:r>
          </w:p>
        </w:tc>
      </w:tr>
    </w:tbl>
    <w:p w14:paraId="09B46BC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1AD370F">
        <w:tblPrEx>
          <w:tblCellMar>
            <w:top w:w="0" w:type="dxa"/>
            <w:left w:w="0" w:type="dxa"/>
            <w:bottom w:w="0" w:type="dxa"/>
            <w:right w:w="0" w:type="dxa"/>
          </w:tblCellMar>
        </w:tblPrEx>
        <w:trPr>
          <w:wBefore w:w="0" w:type="auto"/>
          <w:tblCellSpacing w:w="0" w:type="dxa"/>
        </w:trPr>
        <w:tc>
          <w:tcPr>
            <w:tcW w:w="0" w:type="auto"/>
            <w:noWrap w:val="0"/>
            <w:vAlign w:val="center"/>
          </w:tcPr>
          <w:p w14:paraId="3E5243B1">
            <w:r>
              <w:rPr>
                <w:rStyle w:val="10"/>
                <w:rFonts w:hint="eastAsia"/>
              </w:rPr>
              <w:t>登记证号：</w:t>
            </w:r>
            <w:r>
              <w:rPr>
                <w:rFonts w:hint="eastAsia"/>
              </w:rPr>
              <w:t>PD20212214</w:t>
            </w:r>
          </w:p>
        </w:tc>
      </w:tr>
      <w:tr w14:paraId="16F56735">
        <w:tblPrEx>
          <w:tblCellMar>
            <w:top w:w="0" w:type="dxa"/>
            <w:left w:w="0" w:type="dxa"/>
            <w:bottom w:w="0" w:type="dxa"/>
            <w:right w:w="0" w:type="dxa"/>
          </w:tblCellMar>
        </w:tblPrEx>
        <w:trPr>
          <w:wBefore w:w="0" w:type="auto"/>
          <w:tblCellSpacing w:w="0" w:type="dxa"/>
        </w:trPr>
        <w:tc>
          <w:tcPr>
            <w:tcW w:w="0" w:type="auto"/>
            <w:noWrap w:val="0"/>
            <w:vAlign w:val="center"/>
          </w:tcPr>
          <w:p w14:paraId="009FF798">
            <w:r>
              <w:rPr>
                <w:rStyle w:val="10"/>
                <w:rFonts w:hint="eastAsia"/>
              </w:rPr>
              <w:t>登记证持有人：</w:t>
            </w:r>
            <w:r>
              <w:rPr>
                <w:rFonts w:hint="eastAsia"/>
              </w:rPr>
              <w:t>广西瑞施特生物科技有限公司</w:t>
            </w:r>
          </w:p>
        </w:tc>
      </w:tr>
      <w:tr w14:paraId="5706C63E">
        <w:tblPrEx>
          <w:tblCellMar>
            <w:top w:w="0" w:type="dxa"/>
            <w:left w:w="0" w:type="dxa"/>
            <w:bottom w:w="0" w:type="dxa"/>
            <w:right w:w="0" w:type="dxa"/>
          </w:tblCellMar>
        </w:tblPrEx>
        <w:trPr>
          <w:wBefore w:w="0" w:type="auto"/>
          <w:tblCellSpacing w:w="0" w:type="dxa"/>
        </w:trPr>
        <w:tc>
          <w:tcPr>
            <w:tcW w:w="0" w:type="auto"/>
            <w:noWrap w:val="0"/>
            <w:vAlign w:val="center"/>
          </w:tcPr>
          <w:p w14:paraId="181AD2E7">
            <w:r>
              <w:rPr>
                <w:rStyle w:val="10"/>
                <w:rFonts w:hint="eastAsia"/>
              </w:rPr>
              <w:t>农药名称：</w:t>
            </w:r>
            <w:r>
              <w:rPr>
                <w:rFonts w:hint="eastAsia"/>
              </w:rPr>
              <w:t>环嗪酮</w:t>
            </w:r>
          </w:p>
        </w:tc>
      </w:tr>
      <w:tr w14:paraId="4C185CCF">
        <w:tblPrEx>
          <w:tblCellMar>
            <w:top w:w="0" w:type="dxa"/>
            <w:left w:w="0" w:type="dxa"/>
            <w:bottom w:w="0" w:type="dxa"/>
            <w:right w:w="0" w:type="dxa"/>
          </w:tblCellMar>
        </w:tblPrEx>
        <w:trPr>
          <w:wBefore w:w="0" w:type="auto"/>
          <w:tblCellSpacing w:w="0" w:type="dxa"/>
        </w:trPr>
        <w:tc>
          <w:tcPr>
            <w:tcW w:w="0" w:type="auto"/>
            <w:noWrap w:val="0"/>
            <w:vAlign w:val="center"/>
          </w:tcPr>
          <w:p w14:paraId="3ACF70D4">
            <w:r>
              <w:rPr>
                <w:rStyle w:val="10"/>
                <w:rFonts w:hint="eastAsia"/>
              </w:rPr>
              <w:t>剂型：</w:t>
            </w:r>
            <w:r>
              <w:rPr>
                <w:rFonts w:hint="eastAsia"/>
              </w:rPr>
              <w:t>可溶液剂</w:t>
            </w:r>
          </w:p>
        </w:tc>
      </w:tr>
      <w:tr w14:paraId="681B8552">
        <w:tblPrEx>
          <w:tblCellMar>
            <w:top w:w="0" w:type="dxa"/>
            <w:left w:w="0" w:type="dxa"/>
            <w:bottom w:w="0" w:type="dxa"/>
            <w:right w:w="0" w:type="dxa"/>
          </w:tblCellMar>
        </w:tblPrEx>
        <w:trPr>
          <w:wBefore w:w="0" w:type="auto"/>
          <w:tblCellSpacing w:w="0" w:type="dxa"/>
        </w:trPr>
        <w:tc>
          <w:tcPr>
            <w:tcW w:w="0" w:type="auto"/>
            <w:noWrap w:val="0"/>
            <w:vAlign w:val="center"/>
          </w:tcPr>
          <w:p w14:paraId="54B95755">
            <w:r>
              <w:rPr>
                <w:rStyle w:val="10"/>
                <w:rFonts w:hint="eastAsia"/>
              </w:rPr>
              <w:t>毒性及其标识：</w:t>
            </w:r>
            <w:r>
              <w:rPr>
                <w:rFonts w:hint="eastAsia"/>
              </w:rPr>
              <w:t xml:space="preserve"> </w:t>
            </w:r>
            <w:r>
              <w:rPr>
                <w:lang/>
              </w:rPr>
              <w:drawing>
                <wp:inline distT="0" distB="0" distL="114300" distR="114300">
                  <wp:extent cx="476250" cy="323850"/>
                  <wp:effectExtent l="0" t="0" r="0" b="0"/>
                  <wp:docPr id="550" name="图片 55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1511BFA">
        <w:tblPrEx>
          <w:tblCellMar>
            <w:top w:w="0" w:type="dxa"/>
            <w:left w:w="0" w:type="dxa"/>
            <w:bottom w:w="0" w:type="dxa"/>
            <w:right w:w="0" w:type="dxa"/>
          </w:tblCellMar>
        </w:tblPrEx>
        <w:trPr>
          <w:wBefore w:w="0" w:type="auto"/>
          <w:tblCellSpacing w:w="0" w:type="dxa"/>
        </w:trPr>
        <w:tc>
          <w:tcPr>
            <w:tcW w:w="0" w:type="auto"/>
            <w:noWrap w:val="0"/>
            <w:vAlign w:val="center"/>
          </w:tcPr>
          <w:p w14:paraId="3A3C738C">
            <w:r>
              <w:rPr>
                <w:rStyle w:val="10"/>
                <w:rFonts w:hint="eastAsia"/>
              </w:rPr>
              <w:t>总有效成分含量：</w:t>
            </w:r>
            <w:r>
              <w:rPr>
                <w:rFonts w:hint="eastAsia"/>
              </w:rPr>
              <w:t>25%</w:t>
            </w:r>
          </w:p>
        </w:tc>
      </w:tr>
      <w:tr w14:paraId="52A11B66">
        <w:tblPrEx>
          <w:tblCellMar>
            <w:top w:w="0" w:type="dxa"/>
            <w:left w:w="0" w:type="dxa"/>
            <w:bottom w:w="0" w:type="dxa"/>
            <w:right w:w="0" w:type="dxa"/>
          </w:tblCellMar>
        </w:tblPrEx>
        <w:trPr>
          <w:wBefore w:w="0" w:type="auto"/>
          <w:tblCellSpacing w:w="0" w:type="dxa"/>
        </w:trPr>
        <w:tc>
          <w:tcPr>
            <w:tcW w:w="0" w:type="auto"/>
            <w:noWrap w:val="0"/>
            <w:vAlign w:val="center"/>
          </w:tcPr>
          <w:p w14:paraId="2E95E4C1">
            <w:r>
              <w:rPr>
                <w:rFonts w:hint="eastAsia"/>
              </w:rPr>
              <w:t xml:space="preserve">有效成分及其含量： </w:t>
            </w:r>
          </w:p>
          <w:p w14:paraId="55E18B19">
            <w:r>
              <w:rPr>
                <w:rFonts w:hint="eastAsia"/>
              </w:rPr>
              <w:t xml:space="preserve">    环嗪酮25%    </w:t>
            </w:r>
          </w:p>
        </w:tc>
      </w:tr>
      <w:tr w14:paraId="06AB67DC">
        <w:tblPrEx>
          <w:tblCellMar>
            <w:top w:w="0" w:type="dxa"/>
            <w:left w:w="0" w:type="dxa"/>
            <w:bottom w:w="0" w:type="dxa"/>
            <w:right w:w="0" w:type="dxa"/>
          </w:tblCellMar>
        </w:tblPrEx>
        <w:trPr>
          <w:wBefore w:w="0" w:type="auto"/>
          <w:tblCellSpacing w:w="0" w:type="dxa"/>
        </w:trPr>
        <w:tc>
          <w:tcPr>
            <w:tcW w:w="0" w:type="auto"/>
            <w:noWrap w:val="0"/>
            <w:vAlign w:val="center"/>
          </w:tcPr>
          <w:p w14:paraId="6E814B8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DEEC6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0DB03A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4F7217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8C845C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52F231A">
                  <w:r>
                    <w:rPr>
                      <w:rStyle w:val="11"/>
                      <w:rFonts w:hint="eastAsia"/>
                    </w:rPr>
                    <w:t>施用方式</w:t>
                  </w:r>
                </w:p>
              </w:tc>
            </w:tr>
            <w:tr w14:paraId="34D671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2736F88">
                  <w:r>
                    <w:rPr>
                      <w:rStyle w:val="11"/>
                      <w:rFonts w:hint="eastAsia"/>
                    </w:rPr>
                    <w:t>森林防火道</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0E800B1">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D9F488">
                  <w:r>
                    <w:rPr>
                      <w:rStyle w:val="11"/>
                      <w:rFonts w:hint="eastAsia"/>
                    </w:rPr>
                    <w:t>300-500毫升/亩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E9FA00">
                  <w:r>
                    <w:rPr>
                      <w:rStyle w:val="11"/>
                      <w:rFonts w:hint="eastAsia"/>
                    </w:rPr>
                    <w:t>茎叶喷雾</w:t>
                  </w:r>
                </w:p>
              </w:tc>
            </w:tr>
          </w:tbl>
          <w:p w14:paraId="4182E561">
            <w:pPr>
              <w:rPr>
                <w:rFonts w:ascii="Times New Roman" w:hAnsi="Times New Roman" w:cs="Times New Roman"/>
                <w:sz w:val="20"/>
                <w:szCs w:val="20"/>
              </w:rPr>
            </w:pPr>
          </w:p>
        </w:tc>
      </w:tr>
      <w:tr w14:paraId="49A468E7">
        <w:tblPrEx>
          <w:tblCellMar>
            <w:top w:w="0" w:type="dxa"/>
            <w:left w:w="0" w:type="dxa"/>
            <w:bottom w:w="0" w:type="dxa"/>
            <w:right w:w="0" w:type="dxa"/>
          </w:tblCellMar>
        </w:tblPrEx>
        <w:trPr>
          <w:wBefore w:w="0" w:type="auto"/>
          <w:tblCellSpacing w:w="0" w:type="dxa"/>
        </w:trPr>
        <w:tc>
          <w:tcPr>
            <w:tcW w:w="0" w:type="auto"/>
            <w:noWrap w:val="0"/>
            <w:vAlign w:val="center"/>
          </w:tcPr>
          <w:p w14:paraId="324E4018">
            <w:r>
              <w:rPr>
                <w:rStyle w:val="10"/>
                <w:rFonts w:hint="eastAsia"/>
              </w:rPr>
              <w:t>使用技术要求:</w:t>
            </w:r>
            <w:r>
              <w:rPr>
                <w:rFonts w:hint="eastAsia"/>
              </w:rPr>
              <w:br w:type="textWrapping"/>
            </w:r>
            <w:r>
              <w:rPr>
                <w:rStyle w:val="11"/>
                <w:rFonts w:hint="eastAsia"/>
              </w:rPr>
              <w:t>1. 本品用于森林防火道防除杂草及杂灌，于杂草生长旺盛期，茎叶喷雾施药。2. 施药时尽可能做到均匀，最好在雨前施用。</w:t>
            </w:r>
          </w:p>
        </w:tc>
      </w:tr>
      <w:tr w14:paraId="26A035C1">
        <w:tblPrEx>
          <w:tblCellMar>
            <w:top w:w="0" w:type="dxa"/>
            <w:left w:w="0" w:type="dxa"/>
            <w:bottom w:w="0" w:type="dxa"/>
            <w:right w:w="0" w:type="dxa"/>
          </w:tblCellMar>
        </w:tblPrEx>
        <w:trPr>
          <w:wBefore w:w="0" w:type="auto"/>
          <w:tblCellSpacing w:w="0" w:type="dxa"/>
        </w:trPr>
        <w:tc>
          <w:tcPr>
            <w:tcW w:w="0" w:type="auto"/>
            <w:noWrap w:val="0"/>
            <w:vAlign w:val="center"/>
          </w:tcPr>
          <w:p w14:paraId="7DF12C76">
            <w:r>
              <w:rPr>
                <w:rStyle w:val="10"/>
                <w:rFonts w:hint="eastAsia"/>
              </w:rPr>
              <w:t>产品性能:</w:t>
            </w:r>
            <w:r>
              <w:rPr>
                <w:rFonts w:hint="eastAsia"/>
              </w:rPr>
              <w:br w:type="textWrapping"/>
            </w:r>
            <w:r>
              <w:rPr>
                <w:rStyle w:val="11"/>
                <w:rFonts w:hint="eastAsia"/>
              </w:rPr>
              <w:t>本品为林用除草剂，主要抑制植物的光合作用，使代谢紊乱，导致死亡。植物根系和叶面都能吸收环嗪酮，主要通过木质部运输。进入土壤后能被土壤微生物分解。主要用于开辟森林防火道。？</w:t>
            </w:r>
          </w:p>
        </w:tc>
      </w:tr>
      <w:tr w14:paraId="48F8FED3">
        <w:tblPrEx>
          <w:tblCellMar>
            <w:top w:w="0" w:type="dxa"/>
            <w:left w:w="0" w:type="dxa"/>
            <w:bottom w:w="0" w:type="dxa"/>
            <w:right w:w="0" w:type="dxa"/>
          </w:tblCellMar>
        </w:tblPrEx>
        <w:trPr>
          <w:wBefore w:w="0" w:type="auto"/>
          <w:tblCellSpacing w:w="0" w:type="dxa"/>
        </w:trPr>
        <w:tc>
          <w:tcPr>
            <w:tcW w:w="0" w:type="auto"/>
            <w:noWrap w:val="0"/>
            <w:vAlign w:val="center"/>
          </w:tcPr>
          <w:p w14:paraId="06EDEC18">
            <w:r>
              <w:rPr>
                <w:rStyle w:val="10"/>
                <w:rFonts w:hint="eastAsia"/>
              </w:rPr>
              <w:t>注意事项：</w:t>
            </w:r>
            <w:r>
              <w:rPr>
                <w:rFonts w:hint="eastAsia"/>
              </w:rPr>
              <w:br w:type="textWrapping"/>
            </w:r>
            <w:r>
              <w:rPr>
                <w:rStyle w:val="11"/>
                <w:rFonts w:hint="eastAsia"/>
              </w:rPr>
              <w:t>1、开启包装物及施药时施药人员穿戴防护服装、防护靴、口罩及手套等防护用品。避免与口眼及皮肤接触；喷药时不要吸烟或饮食，工作完毕后，应清洗手及裸露的皮肤。2、本品药效的发挥与降雨有密切关系，最好在雨季前用药。如果施药后15天不降雨，应想法在施药处浇水，否则药效较差。3、本品忌在暴雨前使用，导致药剂被雨水冲走。4、避免污染水源。5、孕妇及哺乳期妇女禁止接触本品。6、用过的容器应妥善处理，不可做他用，也不可随意丢弃。7、避免与氧化剂接触。8、产品属于易燃液体。 9.鸟类保护区附近禁用；桑园及蚕室附近禁用；地下水、饮用水水源地附近禁用；水产养殖区、河塘等水体附近禁用，禁止在河塘等水域清洗施药器具。</w:t>
            </w:r>
          </w:p>
        </w:tc>
      </w:tr>
      <w:tr w14:paraId="554A350A">
        <w:tblPrEx>
          <w:tblCellMar>
            <w:top w:w="0" w:type="dxa"/>
            <w:left w:w="0" w:type="dxa"/>
            <w:bottom w:w="0" w:type="dxa"/>
            <w:right w:w="0" w:type="dxa"/>
          </w:tblCellMar>
        </w:tblPrEx>
        <w:trPr>
          <w:wBefore w:w="0" w:type="auto"/>
          <w:tblCellSpacing w:w="0" w:type="dxa"/>
        </w:trPr>
        <w:tc>
          <w:tcPr>
            <w:tcW w:w="0" w:type="auto"/>
            <w:noWrap w:val="0"/>
            <w:vAlign w:val="center"/>
          </w:tcPr>
          <w:p w14:paraId="05B2B06D">
            <w:r>
              <w:rPr>
                <w:rStyle w:val="10"/>
                <w:rFonts w:hint="eastAsia"/>
              </w:rPr>
              <w:t>中毒急救措施：</w:t>
            </w:r>
            <w:r>
              <w:rPr>
                <w:rFonts w:hint="eastAsia"/>
              </w:rPr>
              <w:br w:type="textWrapping"/>
            </w:r>
            <w:r>
              <w:rPr>
                <w:rStyle w:val="11"/>
                <w:rFonts w:hint="eastAsia"/>
              </w:rPr>
              <w:t>1、吸入后：提供新鲜空气；如有症状求教医生。皮肤接触后：立即用水和肥皂清洗，并彻冲洗干净。眼睛接触后：使眼睛打开流水冲洗几分钟，如有持续的症状，求教医生。2、如误服应立即催吐。呕吐停止后服用活性炭，如果还没有腹泻，可在炭泥中加入山梨醇。失水和电解质严重紊乱时，需要补充口服液或静脉液。 对症治疗，无解毒剂。</w:t>
            </w:r>
          </w:p>
        </w:tc>
      </w:tr>
      <w:tr w14:paraId="46B7B36E">
        <w:tblPrEx>
          <w:tblCellMar>
            <w:top w:w="0" w:type="dxa"/>
            <w:left w:w="0" w:type="dxa"/>
            <w:bottom w:w="0" w:type="dxa"/>
            <w:right w:w="0" w:type="dxa"/>
          </w:tblCellMar>
        </w:tblPrEx>
        <w:trPr>
          <w:wBefore w:w="0" w:type="auto"/>
          <w:tblCellSpacing w:w="0" w:type="dxa"/>
        </w:trPr>
        <w:tc>
          <w:tcPr>
            <w:tcW w:w="0" w:type="auto"/>
            <w:noWrap w:val="0"/>
            <w:vAlign w:val="center"/>
          </w:tcPr>
          <w:p w14:paraId="371EC5BF">
            <w:r>
              <w:rPr>
                <w:rStyle w:val="10"/>
                <w:rFonts w:hint="eastAsia"/>
              </w:rPr>
              <w:t>储存和运输方法：</w:t>
            </w:r>
            <w:r>
              <w:rPr>
                <w:rFonts w:hint="eastAsia"/>
              </w:rPr>
              <w:br w:type="textWrapping"/>
            </w:r>
            <w:r>
              <w:rPr>
                <w:rStyle w:val="11"/>
                <w:rFonts w:hint="eastAsia"/>
              </w:rPr>
              <w:t>1、包装件应贮存在通风、干燥的仓库中。 2、贮运时，严防潮湿和日晒，不能与食品、饮料、粮食、饲料等混合储运，置于儿童接触不到的地方，并加锁保存。搬运及运输过程中，轻拿轻放，运输过程中严禁雨淋，避免烈日直晒。</w:t>
            </w:r>
          </w:p>
        </w:tc>
      </w:tr>
      <w:tr w14:paraId="72B6DC7C">
        <w:tblPrEx>
          <w:tblCellMar>
            <w:top w:w="0" w:type="dxa"/>
            <w:left w:w="0" w:type="dxa"/>
            <w:bottom w:w="0" w:type="dxa"/>
            <w:right w:w="0" w:type="dxa"/>
          </w:tblCellMar>
        </w:tblPrEx>
        <w:trPr>
          <w:wBefore w:w="0" w:type="auto"/>
          <w:tblCellSpacing w:w="0" w:type="dxa"/>
        </w:trPr>
        <w:tc>
          <w:tcPr>
            <w:tcW w:w="0" w:type="auto"/>
            <w:noWrap w:val="0"/>
            <w:vAlign w:val="center"/>
          </w:tcPr>
          <w:p w14:paraId="0C7F4C87">
            <w:r>
              <w:rPr>
                <w:rStyle w:val="10"/>
                <w:rFonts w:hint="eastAsia"/>
              </w:rPr>
              <w:t>质量保证期：</w:t>
            </w:r>
            <w:r>
              <w:rPr>
                <w:rStyle w:val="11"/>
                <w:rFonts w:hint="eastAsia"/>
              </w:rPr>
              <w:t>2年</w:t>
            </w:r>
          </w:p>
        </w:tc>
      </w:tr>
      <w:tr w14:paraId="14B163A5">
        <w:tblPrEx>
          <w:tblCellMar>
            <w:top w:w="0" w:type="dxa"/>
            <w:left w:w="0" w:type="dxa"/>
            <w:bottom w:w="0" w:type="dxa"/>
            <w:right w:w="0" w:type="dxa"/>
          </w:tblCellMar>
        </w:tblPrEx>
        <w:trPr>
          <w:wBefore w:w="0" w:type="auto"/>
          <w:tblCellSpacing w:w="0" w:type="dxa"/>
        </w:trPr>
        <w:tc>
          <w:tcPr>
            <w:tcW w:w="0" w:type="auto"/>
            <w:noWrap w:val="0"/>
            <w:vAlign w:val="center"/>
          </w:tcPr>
          <w:p w14:paraId="0783B751">
            <w:r>
              <w:rPr>
                <w:rStyle w:val="10"/>
                <w:rFonts w:hint="eastAsia"/>
              </w:rPr>
              <w:t>备注：</w:t>
            </w:r>
          </w:p>
        </w:tc>
      </w:tr>
    </w:tbl>
    <w:p w14:paraId="4FA7BC2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8FB0E4A">
        <w:tblPrEx>
          <w:tblCellMar>
            <w:top w:w="0" w:type="dxa"/>
            <w:left w:w="0" w:type="dxa"/>
            <w:bottom w:w="0" w:type="dxa"/>
            <w:right w:w="0" w:type="dxa"/>
          </w:tblCellMar>
        </w:tblPrEx>
        <w:trPr>
          <w:wBefore w:w="0" w:type="auto"/>
          <w:tblCellSpacing w:w="0" w:type="dxa"/>
        </w:trPr>
        <w:tc>
          <w:tcPr>
            <w:tcW w:w="0" w:type="auto"/>
            <w:noWrap w:val="0"/>
            <w:vAlign w:val="center"/>
          </w:tcPr>
          <w:p w14:paraId="3597FF88">
            <w:r>
              <w:rPr>
                <w:rStyle w:val="10"/>
                <w:rFonts w:hint="eastAsia"/>
              </w:rPr>
              <w:t>登记证号：</w:t>
            </w:r>
            <w:r>
              <w:rPr>
                <w:rFonts w:hint="eastAsia"/>
              </w:rPr>
              <w:t>PD20212237</w:t>
            </w:r>
          </w:p>
        </w:tc>
      </w:tr>
      <w:tr w14:paraId="41C6F084">
        <w:tblPrEx>
          <w:tblCellMar>
            <w:top w:w="0" w:type="dxa"/>
            <w:left w:w="0" w:type="dxa"/>
            <w:bottom w:w="0" w:type="dxa"/>
            <w:right w:w="0" w:type="dxa"/>
          </w:tblCellMar>
        </w:tblPrEx>
        <w:trPr>
          <w:wBefore w:w="0" w:type="auto"/>
          <w:tblCellSpacing w:w="0" w:type="dxa"/>
        </w:trPr>
        <w:tc>
          <w:tcPr>
            <w:tcW w:w="0" w:type="auto"/>
            <w:noWrap w:val="0"/>
            <w:vAlign w:val="center"/>
          </w:tcPr>
          <w:p w14:paraId="416DC208">
            <w:r>
              <w:rPr>
                <w:rStyle w:val="10"/>
                <w:rFonts w:hint="eastAsia"/>
              </w:rPr>
              <w:t>登记证持有人：</w:t>
            </w:r>
            <w:r>
              <w:rPr>
                <w:rFonts w:hint="eastAsia"/>
              </w:rPr>
              <w:t>广安利尔化学有限公司</w:t>
            </w:r>
          </w:p>
        </w:tc>
      </w:tr>
      <w:tr w14:paraId="4A2F4B58">
        <w:tblPrEx>
          <w:tblCellMar>
            <w:top w:w="0" w:type="dxa"/>
            <w:left w:w="0" w:type="dxa"/>
            <w:bottom w:w="0" w:type="dxa"/>
            <w:right w:w="0" w:type="dxa"/>
          </w:tblCellMar>
        </w:tblPrEx>
        <w:trPr>
          <w:wBefore w:w="0" w:type="auto"/>
          <w:tblCellSpacing w:w="0" w:type="dxa"/>
        </w:trPr>
        <w:tc>
          <w:tcPr>
            <w:tcW w:w="0" w:type="auto"/>
            <w:noWrap w:val="0"/>
            <w:vAlign w:val="center"/>
          </w:tcPr>
          <w:p w14:paraId="3630F109">
            <w:r>
              <w:rPr>
                <w:rStyle w:val="10"/>
                <w:rFonts w:hint="eastAsia"/>
              </w:rPr>
              <w:t>农药名称：</w:t>
            </w:r>
            <w:r>
              <w:rPr>
                <w:rFonts w:hint="eastAsia"/>
              </w:rPr>
              <w:t>精草铵膦铵盐</w:t>
            </w:r>
          </w:p>
        </w:tc>
      </w:tr>
      <w:tr w14:paraId="5623F21C">
        <w:tblPrEx>
          <w:tblCellMar>
            <w:top w:w="0" w:type="dxa"/>
            <w:left w:w="0" w:type="dxa"/>
            <w:bottom w:w="0" w:type="dxa"/>
            <w:right w:w="0" w:type="dxa"/>
          </w:tblCellMar>
        </w:tblPrEx>
        <w:trPr>
          <w:wBefore w:w="0" w:type="auto"/>
          <w:tblCellSpacing w:w="0" w:type="dxa"/>
        </w:trPr>
        <w:tc>
          <w:tcPr>
            <w:tcW w:w="0" w:type="auto"/>
            <w:noWrap w:val="0"/>
            <w:vAlign w:val="center"/>
          </w:tcPr>
          <w:p w14:paraId="5B5377A0">
            <w:r>
              <w:rPr>
                <w:rStyle w:val="10"/>
                <w:rFonts w:hint="eastAsia"/>
              </w:rPr>
              <w:t>剂型：</w:t>
            </w:r>
            <w:r>
              <w:rPr>
                <w:rFonts w:hint="eastAsia"/>
              </w:rPr>
              <w:t>可溶液剂</w:t>
            </w:r>
          </w:p>
        </w:tc>
      </w:tr>
      <w:tr w14:paraId="5F0C7916">
        <w:tblPrEx>
          <w:tblCellMar>
            <w:top w:w="0" w:type="dxa"/>
            <w:left w:w="0" w:type="dxa"/>
            <w:bottom w:w="0" w:type="dxa"/>
            <w:right w:w="0" w:type="dxa"/>
          </w:tblCellMar>
        </w:tblPrEx>
        <w:trPr>
          <w:wBefore w:w="0" w:type="auto"/>
          <w:tblCellSpacing w:w="0" w:type="dxa"/>
        </w:trPr>
        <w:tc>
          <w:tcPr>
            <w:tcW w:w="0" w:type="auto"/>
            <w:noWrap w:val="0"/>
            <w:vAlign w:val="center"/>
          </w:tcPr>
          <w:p w14:paraId="5E137994">
            <w:r>
              <w:rPr>
                <w:rStyle w:val="10"/>
                <w:rFonts w:hint="eastAsia"/>
              </w:rPr>
              <w:t>毒性及其标识：</w:t>
            </w:r>
            <w:r>
              <w:rPr>
                <w:rFonts w:hint="eastAsia"/>
              </w:rPr>
              <w:t xml:space="preserve"> </w:t>
            </w:r>
            <w:r>
              <w:rPr>
                <w:lang/>
              </w:rPr>
              <w:drawing>
                <wp:inline distT="0" distB="0" distL="114300" distR="114300">
                  <wp:extent cx="476250" cy="323850"/>
                  <wp:effectExtent l="0" t="0" r="0" b="0"/>
                  <wp:docPr id="551" name="图片 55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87FFF87">
        <w:tblPrEx>
          <w:tblCellMar>
            <w:top w:w="0" w:type="dxa"/>
            <w:left w:w="0" w:type="dxa"/>
            <w:bottom w:w="0" w:type="dxa"/>
            <w:right w:w="0" w:type="dxa"/>
          </w:tblCellMar>
        </w:tblPrEx>
        <w:trPr>
          <w:wBefore w:w="0" w:type="auto"/>
          <w:tblCellSpacing w:w="0" w:type="dxa"/>
        </w:trPr>
        <w:tc>
          <w:tcPr>
            <w:tcW w:w="0" w:type="auto"/>
            <w:noWrap w:val="0"/>
            <w:vAlign w:val="center"/>
          </w:tcPr>
          <w:p w14:paraId="691AF7CE">
            <w:r>
              <w:rPr>
                <w:rStyle w:val="10"/>
                <w:rFonts w:hint="eastAsia"/>
              </w:rPr>
              <w:t>总有效成分含量：</w:t>
            </w:r>
            <w:r>
              <w:rPr>
                <w:rFonts w:hint="eastAsia"/>
              </w:rPr>
              <w:t>15%</w:t>
            </w:r>
          </w:p>
        </w:tc>
      </w:tr>
      <w:tr w14:paraId="53D28717">
        <w:tblPrEx>
          <w:tblCellMar>
            <w:top w:w="0" w:type="dxa"/>
            <w:left w:w="0" w:type="dxa"/>
            <w:bottom w:w="0" w:type="dxa"/>
            <w:right w:w="0" w:type="dxa"/>
          </w:tblCellMar>
        </w:tblPrEx>
        <w:trPr>
          <w:wBefore w:w="0" w:type="auto"/>
          <w:tblCellSpacing w:w="0" w:type="dxa"/>
        </w:trPr>
        <w:tc>
          <w:tcPr>
            <w:tcW w:w="0" w:type="auto"/>
            <w:noWrap w:val="0"/>
            <w:vAlign w:val="center"/>
          </w:tcPr>
          <w:p w14:paraId="7095865B">
            <w:r>
              <w:rPr>
                <w:rFonts w:hint="eastAsia"/>
              </w:rPr>
              <w:t xml:space="preserve">有效成分及其含量： </w:t>
            </w:r>
          </w:p>
          <w:p w14:paraId="73303EE1">
            <w:r>
              <w:rPr>
                <w:rFonts w:hint="eastAsia"/>
              </w:rPr>
              <w:t xml:space="preserve">    精草铵膦15%    </w:t>
            </w:r>
          </w:p>
        </w:tc>
      </w:tr>
      <w:tr w14:paraId="06FB8FB6">
        <w:tblPrEx>
          <w:tblCellMar>
            <w:top w:w="0" w:type="dxa"/>
            <w:left w:w="0" w:type="dxa"/>
            <w:bottom w:w="0" w:type="dxa"/>
            <w:right w:w="0" w:type="dxa"/>
          </w:tblCellMar>
        </w:tblPrEx>
        <w:trPr>
          <w:wBefore w:w="0" w:type="auto"/>
          <w:tblCellSpacing w:w="0" w:type="dxa"/>
        </w:trPr>
        <w:tc>
          <w:tcPr>
            <w:tcW w:w="0" w:type="auto"/>
            <w:noWrap w:val="0"/>
            <w:vAlign w:val="center"/>
          </w:tcPr>
          <w:p w14:paraId="57EC66B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F9E620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D4B856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489E13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966F27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D5B7580">
                  <w:r>
                    <w:rPr>
                      <w:rStyle w:val="11"/>
                      <w:rFonts w:hint="eastAsia"/>
                    </w:rPr>
                    <w:t>施用方式</w:t>
                  </w:r>
                </w:p>
              </w:tc>
            </w:tr>
            <w:tr w14:paraId="1C7ED0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98A5C30">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C9241F">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2E0A9D">
                  <w:r>
                    <w:rPr>
                      <w:rStyle w:val="11"/>
                      <w:rFonts w:hint="eastAsia"/>
                    </w:rPr>
                    <w:t>133-200毫升/亩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4CD6B6">
                  <w:r>
                    <w:rPr>
                      <w:rStyle w:val="11"/>
                      <w:rFonts w:hint="eastAsia"/>
                    </w:rPr>
                    <w:t>茎叶喷雾</w:t>
                  </w:r>
                </w:p>
              </w:tc>
            </w:tr>
          </w:tbl>
          <w:p w14:paraId="22B91ED9">
            <w:pPr>
              <w:rPr>
                <w:rFonts w:ascii="Times New Roman" w:hAnsi="Times New Roman" w:cs="Times New Roman"/>
                <w:sz w:val="20"/>
                <w:szCs w:val="20"/>
              </w:rPr>
            </w:pPr>
          </w:p>
        </w:tc>
      </w:tr>
      <w:tr w14:paraId="7385A100">
        <w:tblPrEx>
          <w:tblCellMar>
            <w:top w:w="0" w:type="dxa"/>
            <w:left w:w="0" w:type="dxa"/>
            <w:bottom w:w="0" w:type="dxa"/>
            <w:right w:w="0" w:type="dxa"/>
          </w:tblCellMar>
        </w:tblPrEx>
        <w:trPr>
          <w:wBefore w:w="0" w:type="auto"/>
          <w:tblCellSpacing w:w="0" w:type="dxa"/>
        </w:trPr>
        <w:tc>
          <w:tcPr>
            <w:tcW w:w="0" w:type="auto"/>
            <w:noWrap w:val="0"/>
            <w:vAlign w:val="center"/>
          </w:tcPr>
          <w:p w14:paraId="63AC2937">
            <w:r>
              <w:rPr>
                <w:rStyle w:val="10"/>
                <w:rFonts w:hint="eastAsia"/>
              </w:rPr>
              <w:t>使用技术要求:</w:t>
            </w:r>
            <w:r>
              <w:rPr>
                <w:rFonts w:hint="eastAsia"/>
              </w:rPr>
              <w:br w:type="textWrapping"/>
            </w:r>
            <w:r>
              <w:rPr>
                <w:rStyle w:val="11"/>
                <w:rFonts w:hint="eastAsia"/>
              </w:rPr>
              <w:t>在杂草生长旺盛期茎叶均匀喷雾，确保杂草喷湿喷透。若杂草草龄较大或杂草密度较大时应增加用药量。禁止在田间道路、田埂、果树行间、休耕地、林场林地等农林业区域使用。</w:t>
            </w:r>
          </w:p>
        </w:tc>
      </w:tr>
      <w:tr w14:paraId="1A684F3D">
        <w:tblPrEx>
          <w:tblCellMar>
            <w:top w:w="0" w:type="dxa"/>
            <w:left w:w="0" w:type="dxa"/>
            <w:bottom w:w="0" w:type="dxa"/>
            <w:right w:w="0" w:type="dxa"/>
          </w:tblCellMar>
        </w:tblPrEx>
        <w:trPr>
          <w:wBefore w:w="0" w:type="auto"/>
          <w:tblCellSpacing w:w="0" w:type="dxa"/>
        </w:trPr>
        <w:tc>
          <w:tcPr>
            <w:tcW w:w="0" w:type="auto"/>
            <w:noWrap w:val="0"/>
            <w:vAlign w:val="center"/>
          </w:tcPr>
          <w:p w14:paraId="68CA480C">
            <w:r>
              <w:rPr>
                <w:rStyle w:val="10"/>
                <w:rFonts w:hint="eastAsia"/>
              </w:rPr>
              <w:t>产品性能:</w:t>
            </w:r>
            <w:r>
              <w:rPr>
                <w:rFonts w:hint="eastAsia"/>
              </w:rPr>
              <w:br w:type="textWrapping"/>
            </w:r>
            <w:r>
              <w:rPr>
                <w:rStyle w:val="11"/>
                <w:rFonts w:hint="eastAsia"/>
              </w:rPr>
              <w:t>本品是一种非选择性触杀型除草剂。</w:t>
            </w:r>
          </w:p>
        </w:tc>
      </w:tr>
      <w:tr w14:paraId="73FD59A2">
        <w:tblPrEx>
          <w:tblCellMar>
            <w:top w:w="0" w:type="dxa"/>
            <w:left w:w="0" w:type="dxa"/>
            <w:bottom w:w="0" w:type="dxa"/>
            <w:right w:w="0" w:type="dxa"/>
          </w:tblCellMar>
        </w:tblPrEx>
        <w:trPr>
          <w:wBefore w:w="0" w:type="auto"/>
          <w:tblCellSpacing w:w="0" w:type="dxa"/>
        </w:trPr>
        <w:tc>
          <w:tcPr>
            <w:tcW w:w="0" w:type="auto"/>
            <w:noWrap w:val="0"/>
            <w:vAlign w:val="center"/>
          </w:tcPr>
          <w:p w14:paraId="181D4016">
            <w:r>
              <w:rPr>
                <w:rStyle w:val="10"/>
                <w:rFonts w:hint="eastAsia"/>
              </w:rPr>
              <w:t>注意事项：</w:t>
            </w:r>
            <w:r>
              <w:rPr>
                <w:rFonts w:hint="eastAsia"/>
              </w:rPr>
              <w:br w:type="textWrapping"/>
            </w:r>
            <w:r>
              <w:rPr>
                <w:rStyle w:val="11"/>
                <w:rFonts w:hint="eastAsia"/>
              </w:rPr>
              <w:t>1、本品为非选择性除草剂，施药过程中若遇大风、大雨、积水等影响喷雾效果的情形应停止施药，并防止雾滴飘移到其他地块。 2、如需与其他助剂或药剂混用，请在当地农技人员指导下，先进行小面积试验确认有效性后，科学合理搭配使用。 3、请在农技人员指导下，根据杂草发生基数、叶龄及种类、施药时天气条件、药械种类等因素科学合理的调整用药剂量、用水量。 4、施用时尽量做好身体各部位科学合理的防护，采取正确的施药方式。注意个人防护，使用时穿戴长衣长裤、帽子、口罩、手套、鞋等安全使用防护措施。 ；施药时不能吸烟、饮水等；施药后清洗干净手脸等。 5、蚕室、桑园附近禁用，禁止在河塘等水体中清洗施药器具。鸟类保护区附近禁用。 施药后及时、细致清洗施药器具，废弃物要妥善处理，不能随意丢弃，也不能做他用。 6、避免孕妇和哺乳期妇女接触本品。 7、使用前请仔细阅读此标签，并严格按照标签说明使用。未尽使用情形，请结合当地实际情况，在农业技术人员指导下使用。</w:t>
            </w:r>
          </w:p>
        </w:tc>
      </w:tr>
      <w:tr w14:paraId="5AECCDBD">
        <w:tblPrEx>
          <w:tblCellMar>
            <w:top w:w="0" w:type="dxa"/>
            <w:left w:w="0" w:type="dxa"/>
            <w:bottom w:w="0" w:type="dxa"/>
            <w:right w:w="0" w:type="dxa"/>
          </w:tblCellMar>
        </w:tblPrEx>
        <w:trPr>
          <w:wBefore w:w="0" w:type="auto"/>
          <w:tblCellSpacing w:w="0" w:type="dxa"/>
        </w:trPr>
        <w:tc>
          <w:tcPr>
            <w:tcW w:w="0" w:type="auto"/>
            <w:noWrap w:val="0"/>
            <w:vAlign w:val="center"/>
          </w:tcPr>
          <w:p w14:paraId="320108EF">
            <w:r>
              <w:rPr>
                <w:rStyle w:val="10"/>
                <w:rFonts w:hint="eastAsia"/>
              </w:rPr>
              <w:t>中毒急救措施：</w:t>
            </w:r>
            <w:r>
              <w:rPr>
                <w:rFonts w:hint="eastAsia"/>
              </w:rPr>
              <w:br w:type="textWrapping"/>
            </w:r>
            <w:r>
              <w:rPr>
                <w:rStyle w:val="11"/>
                <w:rFonts w:hint="eastAsia"/>
              </w:rPr>
              <w:t>对眼睛有刺激性。不慎误服：用清水将嘴清洗干净，不要自行引吐，携此标签送医诊治。医生洗胃时，应注意保护气管和食管；不慎吸入，应将病人移至空气流通处；不慎眼睛溅入或接触皮肤，应用大量清水冲洗至少15分钟。</w:t>
            </w:r>
          </w:p>
        </w:tc>
      </w:tr>
      <w:tr w14:paraId="233C2DF3">
        <w:tblPrEx>
          <w:tblCellMar>
            <w:top w:w="0" w:type="dxa"/>
            <w:left w:w="0" w:type="dxa"/>
            <w:bottom w:w="0" w:type="dxa"/>
            <w:right w:w="0" w:type="dxa"/>
          </w:tblCellMar>
        </w:tblPrEx>
        <w:trPr>
          <w:wBefore w:w="0" w:type="auto"/>
          <w:tblCellSpacing w:w="0" w:type="dxa"/>
        </w:trPr>
        <w:tc>
          <w:tcPr>
            <w:tcW w:w="0" w:type="auto"/>
            <w:noWrap w:val="0"/>
            <w:vAlign w:val="center"/>
          </w:tcPr>
          <w:p w14:paraId="2C080B60">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物品同贮同运。装卸时，注意轻拿轻放，禁止说笑打闹、吃、喝、抽烟；运输时要防潮防晒。</w:t>
            </w:r>
          </w:p>
        </w:tc>
      </w:tr>
      <w:tr w14:paraId="079ABF14">
        <w:tblPrEx>
          <w:tblCellMar>
            <w:top w:w="0" w:type="dxa"/>
            <w:left w:w="0" w:type="dxa"/>
            <w:bottom w:w="0" w:type="dxa"/>
            <w:right w:w="0" w:type="dxa"/>
          </w:tblCellMar>
        </w:tblPrEx>
        <w:trPr>
          <w:wBefore w:w="0" w:type="auto"/>
          <w:tblCellSpacing w:w="0" w:type="dxa"/>
        </w:trPr>
        <w:tc>
          <w:tcPr>
            <w:tcW w:w="0" w:type="auto"/>
            <w:noWrap w:val="0"/>
            <w:vAlign w:val="center"/>
          </w:tcPr>
          <w:p w14:paraId="4850AE10">
            <w:r>
              <w:rPr>
                <w:rStyle w:val="10"/>
                <w:rFonts w:hint="eastAsia"/>
              </w:rPr>
              <w:t>质量保证期：</w:t>
            </w:r>
            <w:r>
              <w:rPr>
                <w:rStyle w:val="11"/>
                <w:rFonts w:hint="eastAsia"/>
              </w:rPr>
              <w:t>2年</w:t>
            </w:r>
          </w:p>
        </w:tc>
      </w:tr>
      <w:tr w14:paraId="08626D84">
        <w:tblPrEx>
          <w:tblCellMar>
            <w:top w:w="0" w:type="dxa"/>
            <w:left w:w="0" w:type="dxa"/>
            <w:bottom w:w="0" w:type="dxa"/>
            <w:right w:w="0" w:type="dxa"/>
          </w:tblCellMar>
        </w:tblPrEx>
        <w:trPr>
          <w:wBefore w:w="0" w:type="auto"/>
          <w:tblCellSpacing w:w="0" w:type="dxa"/>
        </w:trPr>
        <w:tc>
          <w:tcPr>
            <w:tcW w:w="0" w:type="auto"/>
            <w:noWrap w:val="0"/>
            <w:vAlign w:val="center"/>
          </w:tcPr>
          <w:p w14:paraId="03BB168E">
            <w:r>
              <w:rPr>
                <w:rStyle w:val="10"/>
                <w:rFonts w:hint="eastAsia"/>
              </w:rPr>
              <w:t>备注：</w:t>
            </w:r>
          </w:p>
        </w:tc>
      </w:tr>
    </w:tbl>
    <w:p w14:paraId="1B38A4D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D879C6C">
        <w:tblPrEx>
          <w:tblCellMar>
            <w:top w:w="0" w:type="dxa"/>
            <w:left w:w="0" w:type="dxa"/>
            <w:bottom w:w="0" w:type="dxa"/>
            <w:right w:w="0" w:type="dxa"/>
          </w:tblCellMar>
        </w:tblPrEx>
        <w:trPr>
          <w:wBefore w:w="0" w:type="auto"/>
          <w:tblCellSpacing w:w="0" w:type="dxa"/>
        </w:trPr>
        <w:tc>
          <w:tcPr>
            <w:tcW w:w="0" w:type="auto"/>
            <w:noWrap w:val="0"/>
            <w:vAlign w:val="center"/>
          </w:tcPr>
          <w:p w14:paraId="6FA1A1DA">
            <w:r>
              <w:rPr>
                <w:rStyle w:val="10"/>
                <w:rFonts w:hint="eastAsia"/>
              </w:rPr>
              <w:t>登记证号：</w:t>
            </w:r>
            <w:r>
              <w:rPr>
                <w:rFonts w:hint="eastAsia"/>
              </w:rPr>
              <w:t>WP20210234</w:t>
            </w:r>
          </w:p>
        </w:tc>
      </w:tr>
      <w:tr w14:paraId="0829628C">
        <w:tblPrEx>
          <w:tblCellMar>
            <w:top w:w="0" w:type="dxa"/>
            <w:left w:w="0" w:type="dxa"/>
            <w:bottom w:w="0" w:type="dxa"/>
            <w:right w:w="0" w:type="dxa"/>
          </w:tblCellMar>
        </w:tblPrEx>
        <w:trPr>
          <w:wBefore w:w="0" w:type="auto"/>
          <w:tblCellSpacing w:w="0" w:type="dxa"/>
        </w:trPr>
        <w:tc>
          <w:tcPr>
            <w:tcW w:w="0" w:type="auto"/>
            <w:noWrap w:val="0"/>
            <w:vAlign w:val="center"/>
          </w:tcPr>
          <w:p w14:paraId="7D23FBCD">
            <w:r>
              <w:rPr>
                <w:rStyle w:val="10"/>
                <w:rFonts w:hint="eastAsia"/>
              </w:rPr>
              <w:t>登记证持有人：</w:t>
            </w:r>
            <w:r>
              <w:rPr>
                <w:rFonts w:hint="eastAsia"/>
              </w:rPr>
              <w:t>广西壮族自治区柳州市万友家庭卫生害虫防治所</w:t>
            </w:r>
          </w:p>
        </w:tc>
      </w:tr>
      <w:tr w14:paraId="4C91B574">
        <w:tblPrEx>
          <w:tblCellMar>
            <w:top w:w="0" w:type="dxa"/>
            <w:left w:w="0" w:type="dxa"/>
            <w:bottom w:w="0" w:type="dxa"/>
            <w:right w:w="0" w:type="dxa"/>
          </w:tblCellMar>
        </w:tblPrEx>
        <w:trPr>
          <w:wBefore w:w="0" w:type="auto"/>
          <w:tblCellSpacing w:w="0" w:type="dxa"/>
        </w:trPr>
        <w:tc>
          <w:tcPr>
            <w:tcW w:w="0" w:type="auto"/>
            <w:noWrap w:val="0"/>
            <w:vAlign w:val="center"/>
          </w:tcPr>
          <w:p w14:paraId="6DC24090">
            <w:r>
              <w:rPr>
                <w:rStyle w:val="10"/>
                <w:rFonts w:hint="eastAsia"/>
              </w:rPr>
              <w:t>农药名称：</w:t>
            </w:r>
            <w:r>
              <w:rPr>
                <w:rFonts w:hint="eastAsia"/>
              </w:rPr>
              <w:t>茚虫威</w:t>
            </w:r>
          </w:p>
        </w:tc>
      </w:tr>
      <w:tr w14:paraId="24E23EE4">
        <w:tblPrEx>
          <w:tblCellMar>
            <w:top w:w="0" w:type="dxa"/>
            <w:left w:w="0" w:type="dxa"/>
            <w:bottom w:w="0" w:type="dxa"/>
            <w:right w:w="0" w:type="dxa"/>
          </w:tblCellMar>
        </w:tblPrEx>
        <w:trPr>
          <w:wBefore w:w="0" w:type="auto"/>
          <w:tblCellSpacing w:w="0" w:type="dxa"/>
        </w:trPr>
        <w:tc>
          <w:tcPr>
            <w:tcW w:w="0" w:type="auto"/>
            <w:noWrap w:val="0"/>
            <w:vAlign w:val="center"/>
          </w:tcPr>
          <w:p w14:paraId="19FCD2C1">
            <w:r>
              <w:rPr>
                <w:rStyle w:val="10"/>
                <w:rFonts w:hint="eastAsia"/>
              </w:rPr>
              <w:t>剂型：</w:t>
            </w:r>
            <w:r>
              <w:rPr>
                <w:rFonts w:hint="eastAsia"/>
              </w:rPr>
              <w:t>饵剂</w:t>
            </w:r>
          </w:p>
        </w:tc>
      </w:tr>
      <w:tr w14:paraId="295D35ED">
        <w:tblPrEx>
          <w:tblCellMar>
            <w:top w:w="0" w:type="dxa"/>
            <w:left w:w="0" w:type="dxa"/>
            <w:bottom w:w="0" w:type="dxa"/>
            <w:right w:w="0" w:type="dxa"/>
          </w:tblCellMar>
        </w:tblPrEx>
        <w:trPr>
          <w:wBefore w:w="0" w:type="auto"/>
          <w:tblCellSpacing w:w="0" w:type="dxa"/>
        </w:trPr>
        <w:tc>
          <w:tcPr>
            <w:tcW w:w="0" w:type="auto"/>
            <w:noWrap w:val="0"/>
            <w:vAlign w:val="center"/>
          </w:tcPr>
          <w:p w14:paraId="05FDC4B8">
            <w:r>
              <w:rPr>
                <w:rStyle w:val="10"/>
                <w:rFonts w:hint="eastAsia"/>
              </w:rPr>
              <w:t>毒性及其标识：</w:t>
            </w:r>
            <w:r>
              <w:rPr>
                <w:rFonts w:hint="eastAsia"/>
              </w:rPr>
              <w:t xml:space="preserve"> 微毒 </w:t>
            </w:r>
          </w:p>
        </w:tc>
      </w:tr>
      <w:tr w14:paraId="7E221854">
        <w:tblPrEx>
          <w:tblCellMar>
            <w:top w:w="0" w:type="dxa"/>
            <w:left w:w="0" w:type="dxa"/>
            <w:bottom w:w="0" w:type="dxa"/>
            <w:right w:w="0" w:type="dxa"/>
          </w:tblCellMar>
        </w:tblPrEx>
        <w:trPr>
          <w:wBefore w:w="0" w:type="auto"/>
          <w:tblCellSpacing w:w="0" w:type="dxa"/>
        </w:trPr>
        <w:tc>
          <w:tcPr>
            <w:tcW w:w="0" w:type="auto"/>
            <w:noWrap w:val="0"/>
            <w:vAlign w:val="center"/>
          </w:tcPr>
          <w:p w14:paraId="1D14C763">
            <w:r>
              <w:rPr>
                <w:rStyle w:val="10"/>
                <w:rFonts w:hint="eastAsia"/>
              </w:rPr>
              <w:t>总有效成分含量：</w:t>
            </w:r>
            <w:r>
              <w:rPr>
                <w:rFonts w:hint="eastAsia"/>
              </w:rPr>
              <w:t>0.1%</w:t>
            </w:r>
          </w:p>
        </w:tc>
      </w:tr>
      <w:tr w14:paraId="1DE5B2D3">
        <w:tblPrEx>
          <w:tblCellMar>
            <w:top w:w="0" w:type="dxa"/>
            <w:left w:w="0" w:type="dxa"/>
            <w:bottom w:w="0" w:type="dxa"/>
            <w:right w:w="0" w:type="dxa"/>
          </w:tblCellMar>
        </w:tblPrEx>
        <w:trPr>
          <w:wBefore w:w="0" w:type="auto"/>
          <w:tblCellSpacing w:w="0" w:type="dxa"/>
        </w:trPr>
        <w:tc>
          <w:tcPr>
            <w:tcW w:w="0" w:type="auto"/>
            <w:noWrap w:val="0"/>
            <w:vAlign w:val="center"/>
          </w:tcPr>
          <w:p w14:paraId="021FD061">
            <w:r>
              <w:rPr>
                <w:rFonts w:hint="eastAsia"/>
              </w:rPr>
              <w:t xml:space="preserve">有效成分及其含量： </w:t>
            </w:r>
          </w:p>
          <w:p w14:paraId="53889ABB">
            <w:r>
              <w:rPr>
                <w:rFonts w:hint="eastAsia"/>
              </w:rPr>
              <w:t xml:space="preserve">    茚虫威0.1%    </w:t>
            </w:r>
          </w:p>
        </w:tc>
      </w:tr>
      <w:tr w14:paraId="270CF767">
        <w:tblPrEx>
          <w:tblCellMar>
            <w:top w:w="0" w:type="dxa"/>
            <w:left w:w="0" w:type="dxa"/>
            <w:bottom w:w="0" w:type="dxa"/>
            <w:right w:w="0" w:type="dxa"/>
          </w:tblCellMar>
        </w:tblPrEx>
        <w:trPr>
          <w:wBefore w:w="0" w:type="auto"/>
          <w:tblCellSpacing w:w="0" w:type="dxa"/>
        </w:trPr>
        <w:tc>
          <w:tcPr>
            <w:tcW w:w="0" w:type="auto"/>
            <w:noWrap w:val="0"/>
            <w:vAlign w:val="center"/>
          </w:tcPr>
          <w:p w14:paraId="5F29319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A823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D7BC57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0A72E4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2FBC21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A644346">
                  <w:r>
                    <w:rPr>
                      <w:rStyle w:val="11"/>
                      <w:rFonts w:hint="eastAsia"/>
                    </w:rPr>
                    <w:t>施用方式</w:t>
                  </w:r>
                </w:p>
              </w:tc>
            </w:tr>
            <w:tr w14:paraId="10D1E4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73F425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0773C7">
                  <w:r>
                    <w:rPr>
                      <w:rStyle w:val="11"/>
                      <w:rFonts w:hint="eastAsia"/>
                    </w:rPr>
                    <w:t>蚂蚁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6DD14B">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07E41E">
                  <w:r>
                    <w:rPr>
                      <w:rStyle w:val="11"/>
                      <w:rFonts w:hint="eastAsia"/>
                    </w:rPr>
                    <w:t>投放</w:t>
                  </w:r>
                </w:p>
              </w:tc>
            </w:tr>
            <w:tr w14:paraId="6622C6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07AC4C7">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375F7F">
                  <w:r>
                    <w:rPr>
                      <w:rStyle w:val="11"/>
                      <w:rFonts w:hint="eastAsia"/>
                    </w:rPr>
                    <w:t>红火蚁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5FEA4E">
                  <w:r>
                    <w:rPr>
                      <w:rStyle w:val="11"/>
                      <w:rFonts w:hint="eastAsia"/>
                    </w:rPr>
                    <w:t>15-20克/巢</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5238A3">
                  <w:r>
                    <w:rPr>
                      <w:rStyle w:val="11"/>
                      <w:rFonts w:hint="eastAsia"/>
                    </w:rPr>
                    <w:t>投放</w:t>
                  </w:r>
                </w:p>
              </w:tc>
            </w:tr>
          </w:tbl>
          <w:p w14:paraId="30D45EE8">
            <w:pPr>
              <w:rPr>
                <w:rFonts w:ascii="Times New Roman" w:hAnsi="Times New Roman" w:cs="Times New Roman"/>
                <w:sz w:val="20"/>
                <w:szCs w:val="20"/>
              </w:rPr>
            </w:pPr>
          </w:p>
        </w:tc>
      </w:tr>
      <w:tr w14:paraId="78CA4954">
        <w:tblPrEx>
          <w:tblCellMar>
            <w:top w:w="0" w:type="dxa"/>
            <w:left w:w="0" w:type="dxa"/>
            <w:bottom w:w="0" w:type="dxa"/>
            <w:right w:w="0" w:type="dxa"/>
          </w:tblCellMar>
        </w:tblPrEx>
        <w:trPr>
          <w:wBefore w:w="0" w:type="auto"/>
          <w:tblCellSpacing w:w="0" w:type="dxa"/>
        </w:trPr>
        <w:tc>
          <w:tcPr>
            <w:tcW w:w="0" w:type="auto"/>
            <w:noWrap w:val="0"/>
            <w:vAlign w:val="center"/>
          </w:tcPr>
          <w:p w14:paraId="6BB2B5B1">
            <w:r>
              <w:rPr>
                <w:rStyle w:val="10"/>
                <w:rFonts w:hint="eastAsia"/>
              </w:rPr>
              <w:t>使用技术要求:</w:t>
            </w:r>
            <w:r>
              <w:rPr>
                <w:rFonts w:hint="eastAsia"/>
              </w:rPr>
              <w:br w:type="textWrapping"/>
            </w:r>
            <w:r>
              <w:rPr>
                <w:rStyle w:val="11"/>
                <w:rFonts w:hint="eastAsia"/>
              </w:rPr>
              <w:t>1、防治蚂蚁时将饵剂投放在蚂蚁频繁出没的地方。 2、在红火蚁蚁巢表面及附近，环状或点状撒施。防治红火蚁时，蚁巢密度较小时，单个蚁巢环状撒施本品15～20克，蚁巢密度较大时，可采用全面撒施的方法进行防治。 3、施药时地表要干燥，气温应在20℃～33℃之间或地表温度应在21℃～35℃之间为宜，施药后2天内下雨需重新施药。</w:t>
            </w:r>
          </w:p>
        </w:tc>
      </w:tr>
      <w:tr w14:paraId="2D7A4660">
        <w:tblPrEx>
          <w:tblCellMar>
            <w:top w:w="0" w:type="dxa"/>
            <w:left w:w="0" w:type="dxa"/>
            <w:bottom w:w="0" w:type="dxa"/>
            <w:right w:w="0" w:type="dxa"/>
          </w:tblCellMar>
        </w:tblPrEx>
        <w:trPr>
          <w:wBefore w:w="0" w:type="auto"/>
          <w:tblCellSpacing w:w="0" w:type="dxa"/>
        </w:trPr>
        <w:tc>
          <w:tcPr>
            <w:tcW w:w="0" w:type="auto"/>
            <w:noWrap w:val="0"/>
            <w:vAlign w:val="center"/>
          </w:tcPr>
          <w:p w14:paraId="03F02F80">
            <w:r>
              <w:rPr>
                <w:rStyle w:val="10"/>
                <w:rFonts w:hint="eastAsia"/>
              </w:rPr>
              <w:t>产品性能:</w:t>
            </w:r>
            <w:r>
              <w:rPr>
                <w:rFonts w:hint="eastAsia"/>
              </w:rPr>
              <w:br w:type="textWrapping"/>
            </w:r>
            <w:r>
              <w:rPr>
                <w:rStyle w:val="11"/>
                <w:rFonts w:hint="eastAsia"/>
              </w:rPr>
              <w:t>茚虫威为昆虫神经细胞钠离子通道抑制剂，具有触杀和胃毒作用，作用于昆虫神经系统，可引起害虫停止取食，最终导致其麻痹、死亡。可用于防治室内蚂蚁和卫生红火蚁。</w:t>
            </w:r>
          </w:p>
        </w:tc>
      </w:tr>
      <w:tr w14:paraId="1335094E">
        <w:tblPrEx>
          <w:tblCellMar>
            <w:top w:w="0" w:type="dxa"/>
            <w:left w:w="0" w:type="dxa"/>
            <w:bottom w:w="0" w:type="dxa"/>
            <w:right w:w="0" w:type="dxa"/>
          </w:tblCellMar>
        </w:tblPrEx>
        <w:trPr>
          <w:wBefore w:w="0" w:type="auto"/>
          <w:tblCellSpacing w:w="0" w:type="dxa"/>
        </w:trPr>
        <w:tc>
          <w:tcPr>
            <w:tcW w:w="0" w:type="auto"/>
            <w:noWrap w:val="0"/>
            <w:vAlign w:val="center"/>
          </w:tcPr>
          <w:p w14:paraId="042E7536">
            <w:r>
              <w:rPr>
                <w:rStyle w:val="10"/>
                <w:rFonts w:hint="eastAsia"/>
              </w:rPr>
              <w:t>注意事项：</w:t>
            </w:r>
            <w:r>
              <w:rPr>
                <w:rFonts w:hint="eastAsia"/>
              </w:rPr>
              <w:br w:type="textWrapping"/>
            </w:r>
            <w:r>
              <w:rPr>
                <w:rStyle w:val="11"/>
                <w:rFonts w:hint="eastAsia"/>
              </w:rPr>
              <w:t>1.请勿食用，远离火源，产品使用及贮存时，勿污染食品及餐具和饮用水。 2.本产品对鱼类等水生生物、蜜蜂和家蚕有毒，开花植物花期禁用，使用时应密切关注对附近蜂群的影响，蚕室及桑园附近禁用。水产养殖区、河塘等水体附近禁用，禁止在河塘等水域清洗施药用具；对鸟类有毒，鸟类保护区及附近禁用或限用。 3.使用时应避免接触皮肤，用后请洗手。 4.用过的包装物应妥善处理，不可随意丢弃。 5.置于儿童接触不到的地方以免误服。禁止儿童、孕妇及哺乳期妇女接触，过敏者禁用，使用中有任何不良反应请及时就医。</w:t>
            </w:r>
          </w:p>
        </w:tc>
      </w:tr>
      <w:tr w14:paraId="6E605FE6">
        <w:tblPrEx>
          <w:tblCellMar>
            <w:top w:w="0" w:type="dxa"/>
            <w:left w:w="0" w:type="dxa"/>
            <w:bottom w:w="0" w:type="dxa"/>
            <w:right w:w="0" w:type="dxa"/>
          </w:tblCellMar>
        </w:tblPrEx>
        <w:trPr>
          <w:wBefore w:w="0" w:type="auto"/>
          <w:tblCellSpacing w:w="0" w:type="dxa"/>
        </w:trPr>
        <w:tc>
          <w:tcPr>
            <w:tcW w:w="0" w:type="auto"/>
            <w:noWrap w:val="0"/>
            <w:vAlign w:val="center"/>
          </w:tcPr>
          <w:p w14:paraId="2D96FD5E">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 皮肤接触：立即用肥皂和大量清水清洗。如症状持续就医。 眼睛接触：若溅入眼内，用大量清水清洗并就医。 吸入：将患者移到空气新鲜处休息，如果持续出现中毒症状，立即就医。 误服：不要引吐，漱口并就医。无特殊解毒剂，对症治疗。</w:t>
            </w:r>
          </w:p>
        </w:tc>
      </w:tr>
      <w:tr w14:paraId="1EEC7F78">
        <w:tblPrEx>
          <w:tblCellMar>
            <w:top w:w="0" w:type="dxa"/>
            <w:left w:w="0" w:type="dxa"/>
            <w:bottom w:w="0" w:type="dxa"/>
            <w:right w:w="0" w:type="dxa"/>
          </w:tblCellMar>
        </w:tblPrEx>
        <w:trPr>
          <w:wBefore w:w="0" w:type="auto"/>
          <w:tblCellSpacing w:w="0" w:type="dxa"/>
        </w:trPr>
        <w:tc>
          <w:tcPr>
            <w:tcW w:w="0" w:type="auto"/>
            <w:noWrap w:val="0"/>
            <w:vAlign w:val="center"/>
          </w:tcPr>
          <w:p w14:paraId="310F93DC">
            <w:r>
              <w:rPr>
                <w:rStyle w:val="10"/>
                <w:rFonts w:hint="eastAsia"/>
              </w:rPr>
              <w:t>储存和运输方法：</w:t>
            </w:r>
            <w:r>
              <w:rPr>
                <w:rFonts w:hint="eastAsia"/>
              </w:rPr>
              <w:br w:type="textWrapping"/>
            </w:r>
            <w:r>
              <w:rPr>
                <w:rStyle w:val="11"/>
                <w:rFonts w:hint="eastAsia"/>
              </w:rPr>
              <w:t>本品应贮藏在避光、干燥、通风处。运输时，严防潮湿和日晒。置于儿童、无关人员及动物接触不到的地方，并加锁保存。不得与食物、饮料、种子、粮食、饲料等同贮同运。</w:t>
            </w:r>
          </w:p>
        </w:tc>
      </w:tr>
      <w:tr w14:paraId="272BB9C7">
        <w:tblPrEx>
          <w:tblCellMar>
            <w:top w:w="0" w:type="dxa"/>
            <w:left w:w="0" w:type="dxa"/>
            <w:bottom w:w="0" w:type="dxa"/>
            <w:right w:w="0" w:type="dxa"/>
          </w:tblCellMar>
        </w:tblPrEx>
        <w:trPr>
          <w:wBefore w:w="0" w:type="auto"/>
          <w:tblCellSpacing w:w="0" w:type="dxa"/>
        </w:trPr>
        <w:tc>
          <w:tcPr>
            <w:tcW w:w="0" w:type="auto"/>
            <w:noWrap w:val="0"/>
            <w:vAlign w:val="center"/>
          </w:tcPr>
          <w:p w14:paraId="099B2437">
            <w:r>
              <w:rPr>
                <w:rStyle w:val="10"/>
                <w:rFonts w:hint="eastAsia"/>
              </w:rPr>
              <w:t>质量保证期：</w:t>
            </w:r>
            <w:r>
              <w:rPr>
                <w:rStyle w:val="11"/>
                <w:rFonts w:hint="eastAsia"/>
              </w:rPr>
              <w:t>2年</w:t>
            </w:r>
          </w:p>
        </w:tc>
      </w:tr>
      <w:tr w14:paraId="7F33CC20">
        <w:tblPrEx>
          <w:tblCellMar>
            <w:top w:w="0" w:type="dxa"/>
            <w:left w:w="0" w:type="dxa"/>
            <w:bottom w:w="0" w:type="dxa"/>
            <w:right w:w="0" w:type="dxa"/>
          </w:tblCellMar>
        </w:tblPrEx>
        <w:trPr>
          <w:wBefore w:w="0" w:type="auto"/>
          <w:tblCellSpacing w:w="0" w:type="dxa"/>
        </w:trPr>
        <w:tc>
          <w:tcPr>
            <w:tcW w:w="0" w:type="auto"/>
            <w:noWrap w:val="0"/>
            <w:vAlign w:val="center"/>
          </w:tcPr>
          <w:p w14:paraId="3B5A5449">
            <w:r>
              <w:rPr>
                <w:rStyle w:val="10"/>
                <w:rFonts w:hint="eastAsia"/>
              </w:rPr>
              <w:t>备注：</w:t>
            </w:r>
          </w:p>
        </w:tc>
      </w:tr>
    </w:tbl>
    <w:p w14:paraId="62CF411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311B4E">
        <w:tblPrEx>
          <w:tblCellMar>
            <w:top w:w="0" w:type="dxa"/>
            <w:left w:w="0" w:type="dxa"/>
            <w:bottom w:w="0" w:type="dxa"/>
            <w:right w:w="0" w:type="dxa"/>
          </w:tblCellMar>
        </w:tblPrEx>
        <w:trPr>
          <w:wBefore w:w="0" w:type="auto"/>
          <w:tblCellSpacing w:w="0" w:type="dxa"/>
        </w:trPr>
        <w:tc>
          <w:tcPr>
            <w:tcW w:w="0" w:type="auto"/>
            <w:noWrap w:val="0"/>
            <w:vAlign w:val="center"/>
          </w:tcPr>
          <w:p w14:paraId="5F82A163">
            <w:r>
              <w:rPr>
                <w:rStyle w:val="10"/>
                <w:rFonts w:hint="eastAsia"/>
              </w:rPr>
              <w:t>登记证号：</w:t>
            </w:r>
            <w:r>
              <w:rPr>
                <w:rFonts w:hint="eastAsia"/>
              </w:rPr>
              <w:t>PD20211758</w:t>
            </w:r>
          </w:p>
        </w:tc>
      </w:tr>
      <w:tr w14:paraId="0D949CA5">
        <w:tblPrEx>
          <w:tblCellMar>
            <w:top w:w="0" w:type="dxa"/>
            <w:left w:w="0" w:type="dxa"/>
            <w:bottom w:w="0" w:type="dxa"/>
            <w:right w:w="0" w:type="dxa"/>
          </w:tblCellMar>
        </w:tblPrEx>
        <w:trPr>
          <w:wBefore w:w="0" w:type="auto"/>
          <w:tblCellSpacing w:w="0" w:type="dxa"/>
        </w:trPr>
        <w:tc>
          <w:tcPr>
            <w:tcW w:w="0" w:type="auto"/>
            <w:noWrap w:val="0"/>
            <w:vAlign w:val="center"/>
          </w:tcPr>
          <w:p w14:paraId="7C976E30">
            <w:r>
              <w:rPr>
                <w:rStyle w:val="10"/>
                <w:rFonts w:hint="eastAsia"/>
              </w:rPr>
              <w:t>登记证持有人：</w:t>
            </w:r>
            <w:r>
              <w:rPr>
                <w:rFonts w:hint="eastAsia"/>
              </w:rPr>
              <w:t>天津市华宇农药有限公司</w:t>
            </w:r>
          </w:p>
        </w:tc>
      </w:tr>
      <w:tr w14:paraId="375F5893">
        <w:tblPrEx>
          <w:tblCellMar>
            <w:top w:w="0" w:type="dxa"/>
            <w:left w:w="0" w:type="dxa"/>
            <w:bottom w:w="0" w:type="dxa"/>
            <w:right w:w="0" w:type="dxa"/>
          </w:tblCellMar>
        </w:tblPrEx>
        <w:trPr>
          <w:wBefore w:w="0" w:type="auto"/>
          <w:tblCellSpacing w:w="0" w:type="dxa"/>
        </w:trPr>
        <w:tc>
          <w:tcPr>
            <w:tcW w:w="0" w:type="auto"/>
            <w:noWrap w:val="0"/>
            <w:vAlign w:val="center"/>
          </w:tcPr>
          <w:p w14:paraId="74658425">
            <w:r>
              <w:rPr>
                <w:rStyle w:val="10"/>
                <w:rFonts w:hint="eastAsia"/>
              </w:rPr>
              <w:t>农药名称：</w:t>
            </w:r>
            <w:r>
              <w:rPr>
                <w:rFonts w:hint="eastAsia"/>
              </w:rPr>
              <w:t>螺虫·噻虫啉</w:t>
            </w:r>
          </w:p>
        </w:tc>
      </w:tr>
      <w:tr w14:paraId="40F5E190">
        <w:tblPrEx>
          <w:tblCellMar>
            <w:top w:w="0" w:type="dxa"/>
            <w:left w:w="0" w:type="dxa"/>
            <w:bottom w:w="0" w:type="dxa"/>
            <w:right w:w="0" w:type="dxa"/>
          </w:tblCellMar>
        </w:tblPrEx>
        <w:trPr>
          <w:wBefore w:w="0" w:type="auto"/>
          <w:tblCellSpacing w:w="0" w:type="dxa"/>
        </w:trPr>
        <w:tc>
          <w:tcPr>
            <w:tcW w:w="0" w:type="auto"/>
            <w:noWrap w:val="0"/>
            <w:vAlign w:val="center"/>
          </w:tcPr>
          <w:p w14:paraId="7167CA65">
            <w:r>
              <w:rPr>
                <w:rStyle w:val="10"/>
                <w:rFonts w:hint="eastAsia"/>
              </w:rPr>
              <w:t>剂型：</w:t>
            </w:r>
            <w:r>
              <w:rPr>
                <w:rFonts w:hint="eastAsia"/>
              </w:rPr>
              <w:t>悬浮剂</w:t>
            </w:r>
          </w:p>
        </w:tc>
      </w:tr>
      <w:tr w14:paraId="06CB95A4">
        <w:tblPrEx>
          <w:tblCellMar>
            <w:top w:w="0" w:type="dxa"/>
            <w:left w:w="0" w:type="dxa"/>
            <w:bottom w:w="0" w:type="dxa"/>
            <w:right w:w="0" w:type="dxa"/>
          </w:tblCellMar>
        </w:tblPrEx>
        <w:trPr>
          <w:wBefore w:w="0" w:type="auto"/>
          <w:tblCellSpacing w:w="0" w:type="dxa"/>
        </w:trPr>
        <w:tc>
          <w:tcPr>
            <w:tcW w:w="0" w:type="auto"/>
            <w:noWrap w:val="0"/>
            <w:vAlign w:val="center"/>
          </w:tcPr>
          <w:p w14:paraId="14D4E023">
            <w:r>
              <w:rPr>
                <w:rStyle w:val="10"/>
                <w:rFonts w:hint="eastAsia"/>
              </w:rPr>
              <w:t>毒性及其标识：</w:t>
            </w:r>
            <w:r>
              <w:rPr>
                <w:rFonts w:hint="eastAsia"/>
              </w:rPr>
              <w:t xml:space="preserve"> </w:t>
            </w:r>
            <w:r>
              <w:rPr>
                <w:lang/>
              </w:rPr>
              <w:drawing>
                <wp:inline distT="0" distB="0" distL="114300" distR="114300">
                  <wp:extent cx="476250" cy="323850"/>
                  <wp:effectExtent l="0" t="0" r="0" b="0"/>
                  <wp:docPr id="552" name="图片 55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47D944A">
        <w:tblPrEx>
          <w:tblCellMar>
            <w:top w:w="0" w:type="dxa"/>
            <w:left w:w="0" w:type="dxa"/>
            <w:bottom w:w="0" w:type="dxa"/>
            <w:right w:w="0" w:type="dxa"/>
          </w:tblCellMar>
        </w:tblPrEx>
        <w:trPr>
          <w:wBefore w:w="0" w:type="auto"/>
          <w:tblCellSpacing w:w="0" w:type="dxa"/>
        </w:trPr>
        <w:tc>
          <w:tcPr>
            <w:tcW w:w="0" w:type="auto"/>
            <w:noWrap w:val="0"/>
            <w:vAlign w:val="center"/>
          </w:tcPr>
          <w:p w14:paraId="3EA09EA1">
            <w:r>
              <w:rPr>
                <w:rStyle w:val="10"/>
                <w:rFonts w:hint="eastAsia"/>
              </w:rPr>
              <w:t>总有效成分含量：</w:t>
            </w:r>
            <w:r>
              <w:rPr>
                <w:rFonts w:hint="eastAsia"/>
              </w:rPr>
              <w:t>22%</w:t>
            </w:r>
          </w:p>
        </w:tc>
      </w:tr>
      <w:tr w14:paraId="15308984">
        <w:tblPrEx>
          <w:tblCellMar>
            <w:top w:w="0" w:type="dxa"/>
            <w:left w:w="0" w:type="dxa"/>
            <w:bottom w:w="0" w:type="dxa"/>
            <w:right w:w="0" w:type="dxa"/>
          </w:tblCellMar>
        </w:tblPrEx>
        <w:trPr>
          <w:wBefore w:w="0" w:type="auto"/>
          <w:tblCellSpacing w:w="0" w:type="dxa"/>
        </w:trPr>
        <w:tc>
          <w:tcPr>
            <w:tcW w:w="0" w:type="auto"/>
            <w:noWrap w:val="0"/>
            <w:vAlign w:val="center"/>
          </w:tcPr>
          <w:p w14:paraId="416DB0D5">
            <w:r>
              <w:rPr>
                <w:rFonts w:hint="eastAsia"/>
              </w:rPr>
              <w:t xml:space="preserve">有效成分及其含量： </w:t>
            </w:r>
          </w:p>
          <w:p w14:paraId="350EC5FD">
            <w:r>
              <w:rPr>
                <w:rFonts w:hint="eastAsia"/>
              </w:rPr>
              <w:t xml:space="preserve">    螺虫乙酯11%    噻虫啉11%    </w:t>
            </w:r>
          </w:p>
        </w:tc>
      </w:tr>
      <w:tr w14:paraId="01712873">
        <w:tblPrEx>
          <w:tblCellMar>
            <w:top w:w="0" w:type="dxa"/>
            <w:left w:w="0" w:type="dxa"/>
            <w:bottom w:w="0" w:type="dxa"/>
            <w:right w:w="0" w:type="dxa"/>
          </w:tblCellMar>
        </w:tblPrEx>
        <w:trPr>
          <w:wBefore w:w="0" w:type="auto"/>
          <w:tblCellSpacing w:w="0" w:type="dxa"/>
        </w:trPr>
        <w:tc>
          <w:tcPr>
            <w:tcW w:w="0" w:type="auto"/>
            <w:noWrap w:val="0"/>
            <w:vAlign w:val="center"/>
          </w:tcPr>
          <w:p w14:paraId="76FA05A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290A0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F654C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F6A677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308EDA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A7B6EF9">
                  <w:r>
                    <w:rPr>
                      <w:rStyle w:val="11"/>
                      <w:rFonts w:hint="eastAsia"/>
                    </w:rPr>
                    <w:t>施用方式</w:t>
                  </w:r>
                </w:p>
              </w:tc>
            </w:tr>
            <w:tr w14:paraId="3FB4A31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767AFF8">
                  <w:r>
                    <w:rPr>
                      <w:rStyle w:val="11"/>
                      <w:rFonts w:hint="eastAsia"/>
                    </w:rPr>
                    <w:t>梨树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2893CB">
                  <w:r>
                    <w:rPr>
                      <w:rStyle w:val="11"/>
                      <w:rFonts w:hint="eastAsia"/>
                    </w:rPr>
                    <w:t>梨木虱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69DAE8">
                  <w:r>
                    <w:rPr>
                      <w:rStyle w:val="11"/>
                      <w:rFonts w:hint="eastAsia"/>
                    </w:rPr>
                    <w:t>3000-5000倍液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16CFA7">
                  <w:r>
                    <w:rPr>
                      <w:rStyle w:val="11"/>
                      <w:rFonts w:hint="eastAsia"/>
                    </w:rPr>
                    <w:t>喷雾</w:t>
                  </w:r>
                </w:p>
              </w:tc>
            </w:tr>
          </w:tbl>
          <w:p w14:paraId="1CF47B76">
            <w:pPr>
              <w:rPr>
                <w:rFonts w:ascii="Times New Roman" w:hAnsi="Times New Roman" w:cs="Times New Roman"/>
                <w:sz w:val="20"/>
                <w:szCs w:val="20"/>
              </w:rPr>
            </w:pPr>
          </w:p>
        </w:tc>
      </w:tr>
      <w:tr w14:paraId="3BB474E4">
        <w:tblPrEx>
          <w:tblCellMar>
            <w:top w:w="0" w:type="dxa"/>
            <w:left w:w="0" w:type="dxa"/>
            <w:bottom w:w="0" w:type="dxa"/>
            <w:right w:w="0" w:type="dxa"/>
          </w:tblCellMar>
        </w:tblPrEx>
        <w:trPr>
          <w:wBefore w:w="0" w:type="auto"/>
          <w:tblCellSpacing w:w="0" w:type="dxa"/>
        </w:trPr>
        <w:tc>
          <w:tcPr>
            <w:tcW w:w="0" w:type="auto"/>
            <w:noWrap w:val="0"/>
            <w:vAlign w:val="center"/>
          </w:tcPr>
          <w:p w14:paraId="2B51F371">
            <w:r>
              <w:rPr>
                <w:rStyle w:val="10"/>
                <w:rFonts w:hint="eastAsia"/>
              </w:rPr>
              <w:t>使用技术要求:</w:t>
            </w:r>
            <w:r>
              <w:rPr>
                <w:rFonts w:hint="eastAsia"/>
              </w:rPr>
              <w:br w:type="textWrapping"/>
            </w:r>
            <w:r>
              <w:rPr>
                <w:rStyle w:val="11"/>
                <w:rFonts w:hint="eastAsia"/>
              </w:rPr>
              <w:t>1.配药前按农药科学使用规范原包装摇匀，采用二次稀释法配药。2. 梨树落花后梨木虱卵孵盛期用药，喷雾时应注意均匀、周到。3.每季最多使用1次，安全间隔期为21天。</w:t>
            </w:r>
          </w:p>
        </w:tc>
      </w:tr>
      <w:tr w14:paraId="15F555E5">
        <w:tblPrEx>
          <w:tblCellMar>
            <w:top w:w="0" w:type="dxa"/>
            <w:left w:w="0" w:type="dxa"/>
            <w:bottom w:w="0" w:type="dxa"/>
            <w:right w:w="0" w:type="dxa"/>
          </w:tblCellMar>
        </w:tblPrEx>
        <w:trPr>
          <w:wBefore w:w="0" w:type="auto"/>
          <w:tblCellSpacing w:w="0" w:type="dxa"/>
        </w:trPr>
        <w:tc>
          <w:tcPr>
            <w:tcW w:w="0" w:type="auto"/>
            <w:noWrap w:val="0"/>
            <w:vAlign w:val="center"/>
          </w:tcPr>
          <w:p w14:paraId="0C5B2D47">
            <w:r>
              <w:rPr>
                <w:rStyle w:val="10"/>
                <w:rFonts w:hint="eastAsia"/>
              </w:rPr>
              <w:t>产品性能:</w:t>
            </w:r>
            <w:r>
              <w:rPr>
                <w:rFonts w:hint="eastAsia"/>
              </w:rPr>
              <w:br w:type="textWrapping"/>
            </w:r>
            <w:r>
              <w:rPr>
                <w:rStyle w:val="11"/>
                <w:rFonts w:hint="eastAsia"/>
              </w:rPr>
              <w:t>本产品为均匀的悬浮液体，是螺虫乙酯和噻虫啉的混剂。螺虫乙酯是特窗酸类杀虫、杀螨剂，以胃毒作用为主，具有优异的内吸活性，能在植物体内双向传导。噻虫啉是新烟碱类杀虫剂，具有胃毒和触杀作用，内吸活性高。该产品对梨木虱有较好的防效，持效期较长。正常使用技术条件下，对环境友好，对作物安全。</w:t>
            </w:r>
          </w:p>
        </w:tc>
      </w:tr>
      <w:tr w14:paraId="55D06DA7">
        <w:tblPrEx>
          <w:tblCellMar>
            <w:top w:w="0" w:type="dxa"/>
            <w:left w:w="0" w:type="dxa"/>
            <w:bottom w:w="0" w:type="dxa"/>
            <w:right w:w="0" w:type="dxa"/>
          </w:tblCellMar>
        </w:tblPrEx>
        <w:trPr>
          <w:wBefore w:w="0" w:type="auto"/>
          <w:tblCellSpacing w:w="0" w:type="dxa"/>
        </w:trPr>
        <w:tc>
          <w:tcPr>
            <w:tcW w:w="0" w:type="auto"/>
            <w:noWrap w:val="0"/>
            <w:vAlign w:val="center"/>
          </w:tcPr>
          <w:p w14:paraId="0F31F2F8">
            <w:r>
              <w:rPr>
                <w:rStyle w:val="10"/>
                <w:rFonts w:hint="eastAsia"/>
              </w:rPr>
              <w:t>注意事项：</w:t>
            </w:r>
            <w:r>
              <w:rPr>
                <w:rFonts w:hint="eastAsia"/>
              </w:rPr>
              <w:br w:type="textWrapping"/>
            </w:r>
            <w:r>
              <w:rPr>
                <w:rStyle w:val="11"/>
                <w:rFonts w:hint="eastAsia"/>
              </w:rPr>
              <w:t>1.严格按照规定用药量和方法使用。 2.本产品不能与呈强碱性的农药等物质混合使用。建议与其他作用机制不同的杀虫剂轮换使用，以延缓抗性产生。 3.本品对蜜蜂、鸟、家蚕有毒，养蜂场所和周围开花植物花期禁用，使用时应密切关注对附近蜂群的影响；蚕室和桑园附近禁用；赤眼蜂等天敌放飞区禁用；鸟类保护区禁用；禁止在河塘等水体中清洗施药器具。 4. 使用本品时应穿戴长衣、长裤、鞋、帽子、口罩和手套等，避免吸入药液。施药期间不可吃东西和饮水，施药后应及时洗手和洗脸。 5.用药后包装物及用过的容器应妥善处理，不可做他用，也不可随意丢弃。 6.孕妇及哺乳期妇女禁止接触本品。</w:t>
            </w:r>
          </w:p>
        </w:tc>
      </w:tr>
      <w:tr w14:paraId="36A3A966">
        <w:tblPrEx>
          <w:tblCellMar>
            <w:top w:w="0" w:type="dxa"/>
            <w:left w:w="0" w:type="dxa"/>
            <w:bottom w:w="0" w:type="dxa"/>
            <w:right w:w="0" w:type="dxa"/>
          </w:tblCellMar>
        </w:tblPrEx>
        <w:trPr>
          <w:wBefore w:w="0" w:type="auto"/>
          <w:tblCellSpacing w:w="0" w:type="dxa"/>
        </w:trPr>
        <w:tc>
          <w:tcPr>
            <w:tcW w:w="0" w:type="auto"/>
            <w:noWrap w:val="0"/>
            <w:vAlign w:val="center"/>
          </w:tcPr>
          <w:p w14:paraId="6A3664F0">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至少15分钟。误服：立即停止服用，用清水充分漱口后，携带农药标签到医院就诊。</w:t>
            </w:r>
          </w:p>
        </w:tc>
      </w:tr>
      <w:tr w14:paraId="33B28B78">
        <w:tblPrEx>
          <w:tblCellMar>
            <w:top w:w="0" w:type="dxa"/>
            <w:left w:w="0" w:type="dxa"/>
            <w:bottom w:w="0" w:type="dxa"/>
            <w:right w:w="0" w:type="dxa"/>
          </w:tblCellMar>
        </w:tblPrEx>
        <w:trPr>
          <w:wBefore w:w="0" w:type="auto"/>
          <w:tblCellSpacing w:w="0" w:type="dxa"/>
        </w:trPr>
        <w:tc>
          <w:tcPr>
            <w:tcW w:w="0" w:type="auto"/>
            <w:noWrap w:val="0"/>
            <w:vAlign w:val="center"/>
          </w:tcPr>
          <w:p w14:paraId="0C3C0407">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本品应贮存在干燥、阴凉、通风、防雨处，远离火源或热源。置于儿童、无关人员及动物触及不到之处，并加锁保存。勿与食品、饮料、饲料和粮食等其他商品同贮同运。</w:t>
            </w:r>
          </w:p>
        </w:tc>
      </w:tr>
      <w:tr w14:paraId="48AB5CF1">
        <w:tblPrEx>
          <w:tblCellMar>
            <w:top w:w="0" w:type="dxa"/>
            <w:left w:w="0" w:type="dxa"/>
            <w:bottom w:w="0" w:type="dxa"/>
            <w:right w:w="0" w:type="dxa"/>
          </w:tblCellMar>
        </w:tblPrEx>
        <w:trPr>
          <w:wBefore w:w="0" w:type="auto"/>
          <w:tblCellSpacing w:w="0" w:type="dxa"/>
        </w:trPr>
        <w:tc>
          <w:tcPr>
            <w:tcW w:w="0" w:type="auto"/>
            <w:noWrap w:val="0"/>
            <w:vAlign w:val="center"/>
          </w:tcPr>
          <w:p w14:paraId="2FD6FC01">
            <w:r>
              <w:rPr>
                <w:rStyle w:val="10"/>
                <w:rFonts w:hint="eastAsia"/>
              </w:rPr>
              <w:t>质量保证期：</w:t>
            </w:r>
            <w:r>
              <w:rPr>
                <w:rStyle w:val="11"/>
                <w:rFonts w:hint="eastAsia"/>
              </w:rPr>
              <w:t>2年</w:t>
            </w:r>
          </w:p>
        </w:tc>
      </w:tr>
      <w:tr w14:paraId="39FEA943">
        <w:tblPrEx>
          <w:tblCellMar>
            <w:top w:w="0" w:type="dxa"/>
            <w:left w:w="0" w:type="dxa"/>
            <w:bottom w:w="0" w:type="dxa"/>
            <w:right w:w="0" w:type="dxa"/>
          </w:tblCellMar>
        </w:tblPrEx>
        <w:trPr>
          <w:wBefore w:w="0" w:type="auto"/>
          <w:tblCellSpacing w:w="0" w:type="dxa"/>
        </w:trPr>
        <w:tc>
          <w:tcPr>
            <w:tcW w:w="0" w:type="auto"/>
            <w:noWrap w:val="0"/>
            <w:vAlign w:val="center"/>
          </w:tcPr>
          <w:p w14:paraId="3F099303">
            <w:r>
              <w:rPr>
                <w:rStyle w:val="10"/>
                <w:rFonts w:hint="eastAsia"/>
              </w:rPr>
              <w:t>备注：</w:t>
            </w:r>
          </w:p>
        </w:tc>
      </w:tr>
    </w:tbl>
    <w:p w14:paraId="38A9E81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26907F7">
        <w:tblPrEx>
          <w:tblCellMar>
            <w:top w:w="0" w:type="dxa"/>
            <w:left w:w="0" w:type="dxa"/>
            <w:bottom w:w="0" w:type="dxa"/>
            <w:right w:w="0" w:type="dxa"/>
          </w:tblCellMar>
        </w:tblPrEx>
        <w:trPr>
          <w:wBefore w:w="0" w:type="auto"/>
          <w:tblCellSpacing w:w="0" w:type="dxa"/>
        </w:trPr>
        <w:tc>
          <w:tcPr>
            <w:tcW w:w="0" w:type="auto"/>
            <w:noWrap w:val="0"/>
            <w:vAlign w:val="center"/>
          </w:tcPr>
          <w:p w14:paraId="08ED28C6">
            <w:r>
              <w:rPr>
                <w:rStyle w:val="10"/>
                <w:rFonts w:hint="eastAsia"/>
              </w:rPr>
              <w:t>登记证号：</w:t>
            </w:r>
            <w:r>
              <w:rPr>
                <w:rFonts w:hint="eastAsia"/>
              </w:rPr>
              <w:t>PD20211731</w:t>
            </w:r>
          </w:p>
        </w:tc>
      </w:tr>
      <w:tr w14:paraId="0DE89680">
        <w:tblPrEx>
          <w:tblCellMar>
            <w:top w:w="0" w:type="dxa"/>
            <w:left w:w="0" w:type="dxa"/>
            <w:bottom w:w="0" w:type="dxa"/>
            <w:right w:w="0" w:type="dxa"/>
          </w:tblCellMar>
        </w:tblPrEx>
        <w:trPr>
          <w:wBefore w:w="0" w:type="auto"/>
          <w:tblCellSpacing w:w="0" w:type="dxa"/>
        </w:trPr>
        <w:tc>
          <w:tcPr>
            <w:tcW w:w="0" w:type="auto"/>
            <w:noWrap w:val="0"/>
            <w:vAlign w:val="center"/>
          </w:tcPr>
          <w:p w14:paraId="23A3B914">
            <w:r>
              <w:rPr>
                <w:rStyle w:val="10"/>
                <w:rFonts w:hint="eastAsia"/>
              </w:rPr>
              <w:t>登记证持有人：</w:t>
            </w:r>
            <w:r>
              <w:rPr>
                <w:rFonts w:hint="eastAsia"/>
              </w:rPr>
              <w:t>广东立威化工有限公司</w:t>
            </w:r>
          </w:p>
        </w:tc>
      </w:tr>
      <w:tr w14:paraId="59A9375F">
        <w:tblPrEx>
          <w:tblCellMar>
            <w:top w:w="0" w:type="dxa"/>
            <w:left w:w="0" w:type="dxa"/>
            <w:bottom w:w="0" w:type="dxa"/>
            <w:right w:w="0" w:type="dxa"/>
          </w:tblCellMar>
        </w:tblPrEx>
        <w:trPr>
          <w:wBefore w:w="0" w:type="auto"/>
          <w:tblCellSpacing w:w="0" w:type="dxa"/>
        </w:trPr>
        <w:tc>
          <w:tcPr>
            <w:tcW w:w="0" w:type="auto"/>
            <w:noWrap w:val="0"/>
            <w:vAlign w:val="center"/>
          </w:tcPr>
          <w:p w14:paraId="5BD23358">
            <w:r>
              <w:rPr>
                <w:rStyle w:val="10"/>
                <w:rFonts w:hint="eastAsia"/>
              </w:rPr>
              <w:t>农药名称：</w:t>
            </w:r>
            <w:r>
              <w:rPr>
                <w:rFonts w:hint="eastAsia"/>
              </w:rPr>
              <w:t>吡蚜·螺虫酯</w:t>
            </w:r>
          </w:p>
        </w:tc>
      </w:tr>
      <w:tr w14:paraId="1B6F4257">
        <w:tblPrEx>
          <w:tblCellMar>
            <w:top w:w="0" w:type="dxa"/>
            <w:left w:w="0" w:type="dxa"/>
            <w:bottom w:w="0" w:type="dxa"/>
            <w:right w:w="0" w:type="dxa"/>
          </w:tblCellMar>
        </w:tblPrEx>
        <w:trPr>
          <w:wBefore w:w="0" w:type="auto"/>
          <w:tblCellSpacing w:w="0" w:type="dxa"/>
        </w:trPr>
        <w:tc>
          <w:tcPr>
            <w:tcW w:w="0" w:type="auto"/>
            <w:noWrap w:val="0"/>
            <w:vAlign w:val="center"/>
          </w:tcPr>
          <w:p w14:paraId="1570FA19">
            <w:r>
              <w:rPr>
                <w:rStyle w:val="10"/>
                <w:rFonts w:hint="eastAsia"/>
              </w:rPr>
              <w:t>剂型：</w:t>
            </w:r>
            <w:r>
              <w:rPr>
                <w:rFonts w:hint="eastAsia"/>
              </w:rPr>
              <w:t>悬浮剂</w:t>
            </w:r>
          </w:p>
        </w:tc>
      </w:tr>
      <w:tr w14:paraId="495DFED3">
        <w:tblPrEx>
          <w:tblCellMar>
            <w:top w:w="0" w:type="dxa"/>
            <w:left w:w="0" w:type="dxa"/>
            <w:bottom w:w="0" w:type="dxa"/>
            <w:right w:w="0" w:type="dxa"/>
          </w:tblCellMar>
        </w:tblPrEx>
        <w:trPr>
          <w:wBefore w:w="0" w:type="auto"/>
          <w:tblCellSpacing w:w="0" w:type="dxa"/>
        </w:trPr>
        <w:tc>
          <w:tcPr>
            <w:tcW w:w="0" w:type="auto"/>
            <w:noWrap w:val="0"/>
            <w:vAlign w:val="center"/>
          </w:tcPr>
          <w:p w14:paraId="748EE672">
            <w:r>
              <w:rPr>
                <w:rStyle w:val="10"/>
                <w:rFonts w:hint="eastAsia"/>
              </w:rPr>
              <w:t>毒性及其标识：</w:t>
            </w:r>
            <w:r>
              <w:rPr>
                <w:rFonts w:hint="eastAsia"/>
              </w:rPr>
              <w:t xml:space="preserve"> 微毒 </w:t>
            </w:r>
          </w:p>
        </w:tc>
      </w:tr>
      <w:tr w14:paraId="5FDF6EC5">
        <w:tblPrEx>
          <w:tblCellMar>
            <w:top w:w="0" w:type="dxa"/>
            <w:left w:w="0" w:type="dxa"/>
            <w:bottom w:w="0" w:type="dxa"/>
            <w:right w:w="0" w:type="dxa"/>
          </w:tblCellMar>
        </w:tblPrEx>
        <w:trPr>
          <w:wBefore w:w="0" w:type="auto"/>
          <w:tblCellSpacing w:w="0" w:type="dxa"/>
        </w:trPr>
        <w:tc>
          <w:tcPr>
            <w:tcW w:w="0" w:type="auto"/>
            <w:noWrap w:val="0"/>
            <w:vAlign w:val="center"/>
          </w:tcPr>
          <w:p w14:paraId="728CB92C">
            <w:r>
              <w:rPr>
                <w:rStyle w:val="10"/>
                <w:rFonts w:hint="eastAsia"/>
              </w:rPr>
              <w:t>总有效成分含量：</w:t>
            </w:r>
            <w:r>
              <w:rPr>
                <w:rFonts w:hint="eastAsia"/>
              </w:rPr>
              <w:t>30%</w:t>
            </w:r>
          </w:p>
        </w:tc>
      </w:tr>
      <w:tr w14:paraId="7A904F36">
        <w:tblPrEx>
          <w:tblCellMar>
            <w:top w:w="0" w:type="dxa"/>
            <w:left w:w="0" w:type="dxa"/>
            <w:bottom w:w="0" w:type="dxa"/>
            <w:right w:w="0" w:type="dxa"/>
          </w:tblCellMar>
        </w:tblPrEx>
        <w:trPr>
          <w:wBefore w:w="0" w:type="auto"/>
          <w:tblCellSpacing w:w="0" w:type="dxa"/>
        </w:trPr>
        <w:tc>
          <w:tcPr>
            <w:tcW w:w="0" w:type="auto"/>
            <w:noWrap w:val="0"/>
            <w:vAlign w:val="center"/>
          </w:tcPr>
          <w:p w14:paraId="76C7A6E8">
            <w:r>
              <w:rPr>
                <w:rFonts w:hint="eastAsia"/>
              </w:rPr>
              <w:t xml:space="preserve">有效成分及其含量： </w:t>
            </w:r>
          </w:p>
          <w:p w14:paraId="76CB7C93">
            <w:r>
              <w:rPr>
                <w:rFonts w:hint="eastAsia"/>
              </w:rPr>
              <w:t xml:space="preserve">    吡蚜酮20%    螺虫乙酯10%    </w:t>
            </w:r>
          </w:p>
        </w:tc>
      </w:tr>
      <w:tr w14:paraId="4975BEE5">
        <w:tblPrEx>
          <w:tblCellMar>
            <w:top w:w="0" w:type="dxa"/>
            <w:left w:w="0" w:type="dxa"/>
            <w:bottom w:w="0" w:type="dxa"/>
            <w:right w:w="0" w:type="dxa"/>
          </w:tblCellMar>
        </w:tblPrEx>
        <w:trPr>
          <w:wBefore w:w="0" w:type="auto"/>
          <w:tblCellSpacing w:w="0" w:type="dxa"/>
        </w:trPr>
        <w:tc>
          <w:tcPr>
            <w:tcW w:w="0" w:type="auto"/>
            <w:noWrap w:val="0"/>
            <w:vAlign w:val="center"/>
          </w:tcPr>
          <w:p w14:paraId="0063147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0ADE4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0860C7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E39C4D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FF9803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955E3E9">
                  <w:r>
                    <w:rPr>
                      <w:rStyle w:val="11"/>
                      <w:rFonts w:hint="eastAsia"/>
                    </w:rPr>
                    <w:t>施用方式</w:t>
                  </w:r>
                </w:p>
              </w:tc>
            </w:tr>
            <w:tr w14:paraId="1C7D463C">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E101C2">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4359D4">
                  <w:r>
                    <w:rPr>
                      <w:rStyle w:val="11"/>
                      <w:rFonts w:hint="eastAsia"/>
                    </w:rPr>
                    <w:t>烟粉虱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F4DBA0">
                  <w:r>
                    <w:rPr>
                      <w:rStyle w:val="11"/>
                      <w:rFonts w:hint="eastAsia"/>
                    </w:rPr>
                    <w:t>20-30毫升/亩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819CF5">
                  <w:r>
                    <w:rPr>
                      <w:rStyle w:val="11"/>
                      <w:rFonts w:hint="eastAsia"/>
                    </w:rPr>
                    <w:t>喷雾</w:t>
                  </w:r>
                </w:p>
              </w:tc>
            </w:tr>
          </w:tbl>
          <w:p w14:paraId="462EAD23">
            <w:pPr>
              <w:rPr>
                <w:rFonts w:ascii="Times New Roman" w:hAnsi="Times New Roman" w:cs="Times New Roman"/>
                <w:sz w:val="20"/>
                <w:szCs w:val="20"/>
              </w:rPr>
            </w:pPr>
          </w:p>
        </w:tc>
      </w:tr>
      <w:tr w14:paraId="4F0ACB7F">
        <w:tblPrEx>
          <w:tblCellMar>
            <w:top w:w="0" w:type="dxa"/>
            <w:left w:w="0" w:type="dxa"/>
            <w:bottom w:w="0" w:type="dxa"/>
            <w:right w:w="0" w:type="dxa"/>
          </w:tblCellMar>
        </w:tblPrEx>
        <w:trPr>
          <w:wBefore w:w="0" w:type="auto"/>
          <w:tblCellSpacing w:w="0" w:type="dxa"/>
        </w:trPr>
        <w:tc>
          <w:tcPr>
            <w:tcW w:w="0" w:type="auto"/>
            <w:noWrap w:val="0"/>
            <w:vAlign w:val="center"/>
          </w:tcPr>
          <w:p w14:paraId="203EEDA4">
            <w:r>
              <w:rPr>
                <w:rStyle w:val="10"/>
                <w:rFonts w:hint="eastAsia"/>
              </w:rPr>
              <w:t>使用技术要求:</w:t>
            </w:r>
            <w:r>
              <w:rPr>
                <w:rFonts w:hint="eastAsia"/>
              </w:rPr>
              <w:br w:type="textWrapping"/>
            </w:r>
            <w:r>
              <w:rPr>
                <w:rStyle w:val="11"/>
                <w:rFonts w:hint="eastAsia"/>
              </w:rPr>
              <w:t>1. 本品应于黄瓜烟粉虱若虫发生始盛期施药1次。注意喷雾均匀周到，以确保防效。2. 大风天或预计1小时内有雨，请勿施药。3. 每季作物最多使用1次，安全间隔期为3天。</w:t>
            </w:r>
          </w:p>
        </w:tc>
      </w:tr>
      <w:tr w14:paraId="4C284DD6">
        <w:tblPrEx>
          <w:tblCellMar>
            <w:top w:w="0" w:type="dxa"/>
            <w:left w:w="0" w:type="dxa"/>
            <w:bottom w:w="0" w:type="dxa"/>
            <w:right w:w="0" w:type="dxa"/>
          </w:tblCellMar>
        </w:tblPrEx>
        <w:trPr>
          <w:wBefore w:w="0" w:type="auto"/>
          <w:tblCellSpacing w:w="0" w:type="dxa"/>
        </w:trPr>
        <w:tc>
          <w:tcPr>
            <w:tcW w:w="0" w:type="auto"/>
            <w:noWrap w:val="0"/>
            <w:vAlign w:val="center"/>
          </w:tcPr>
          <w:p w14:paraId="4CF80635">
            <w:r>
              <w:rPr>
                <w:rStyle w:val="10"/>
                <w:rFonts w:hint="eastAsia"/>
              </w:rPr>
              <w:t>产品性能:</w:t>
            </w:r>
            <w:r>
              <w:rPr>
                <w:rFonts w:hint="eastAsia"/>
              </w:rPr>
              <w:br w:type="textWrapping"/>
            </w:r>
            <w:r>
              <w:rPr>
                <w:rStyle w:val="11"/>
                <w:rFonts w:hint="eastAsia"/>
              </w:rPr>
              <w:t>本品是由吡蚜酮和螺虫乙酯复配而成的杀虫剂，螺虫乙酯通过干扰昆虫的脂肪生物合成导致幼虫死亡，降低成虫的繁殖能力，杀虫谱广，持效期长。吡蚜酮可用于防治大部分同翅目害虫，尤其是蚜虫科、粉虱科等害虫，按登记剂量使用时，对黄瓜烟粉虱具有良好的防治效果。</w:t>
            </w:r>
          </w:p>
        </w:tc>
      </w:tr>
      <w:tr w14:paraId="0709F179">
        <w:tblPrEx>
          <w:tblCellMar>
            <w:top w:w="0" w:type="dxa"/>
            <w:left w:w="0" w:type="dxa"/>
            <w:bottom w:w="0" w:type="dxa"/>
            <w:right w:w="0" w:type="dxa"/>
          </w:tblCellMar>
        </w:tblPrEx>
        <w:trPr>
          <w:wBefore w:w="0" w:type="auto"/>
          <w:tblCellSpacing w:w="0" w:type="dxa"/>
        </w:trPr>
        <w:tc>
          <w:tcPr>
            <w:tcW w:w="0" w:type="auto"/>
            <w:noWrap w:val="0"/>
            <w:vAlign w:val="center"/>
          </w:tcPr>
          <w:p w14:paraId="1A486884">
            <w:r>
              <w:rPr>
                <w:rStyle w:val="10"/>
                <w:rFonts w:hint="eastAsia"/>
              </w:rPr>
              <w:t>注意事项：</w:t>
            </w:r>
            <w:r>
              <w:rPr>
                <w:rFonts w:hint="eastAsia"/>
              </w:rPr>
              <w:br w:type="textWrapping"/>
            </w:r>
            <w:r>
              <w:rPr>
                <w:rStyle w:val="11"/>
                <w:rFonts w:hint="eastAsia"/>
              </w:rPr>
              <w:t>1.请按照农药安全使用准则使用本品，建议与其他作用机制不同的杀虫剂轮换使用，以延缓抗性产生。2. 本品对眼睛有刺激性，使用时避免接触眼睛，使用本品时应采取相应的安全防护措施，穿长衣长裤、靴子，戴手套、口罩等，避免药液接触皮肤、眼睛和污染衣物，避免吸入。3.使用中不可吸烟、饮水及吃东西，使用后彻底清洗防护用具，及时清洗手、脸等暴露部位的皮肤，并及时更换衣物、清洗工作服等。4.施药时避免对水源、鱼塘的影响，水产养殖区、河塘等水体附近禁用；药后及时清洗药械；禁止在河塘等水体中清洗施药器具；废弃物切勿污染水源或水体。5.鸟类保护区、天敌放飞区及其附近禁用本品。施药时注意对周围蜂群的影响。蚕室和桑园附近禁止施用本品，禁止采摘最外围桑叶饲喂家蚕。6.用过的容器要妥善处理，不可做他用，也不可随意丢弃。7.孕妇及哺乳期妇女禁止接触本品。8. 避免与氧化剂接触。</w:t>
            </w:r>
          </w:p>
        </w:tc>
      </w:tr>
      <w:tr w14:paraId="2272E424">
        <w:tblPrEx>
          <w:tblCellMar>
            <w:top w:w="0" w:type="dxa"/>
            <w:left w:w="0" w:type="dxa"/>
            <w:bottom w:w="0" w:type="dxa"/>
            <w:right w:w="0" w:type="dxa"/>
          </w:tblCellMar>
        </w:tblPrEx>
        <w:trPr>
          <w:wBefore w:w="0" w:type="auto"/>
          <w:tblCellSpacing w:w="0" w:type="dxa"/>
        </w:trPr>
        <w:tc>
          <w:tcPr>
            <w:tcW w:w="0" w:type="auto"/>
            <w:noWrap w:val="0"/>
            <w:vAlign w:val="center"/>
          </w:tcPr>
          <w:p w14:paraId="6F054AD1">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立即脱去被污染的衣物，用肥皂和大量清水冲洗皮肤暴露部位。眼睛溅入：立即翻开眼睑，用清水冲洗至少15分钟，再请医生诊治。吸入：立即将吸入者转移到空气清新处。误服：请勿自行引吐，立即携带农药标签到医院就诊。注意：对昏迷病人，切勿经口喂入任何东西。</w:t>
            </w:r>
          </w:p>
        </w:tc>
      </w:tr>
      <w:tr w14:paraId="6151BDC3">
        <w:tblPrEx>
          <w:tblCellMar>
            <w:top w:w="0" w:type="dxa"/>
            <w:left w:w="0" w:type="dxa"/>
            <w:bottom w:w="0" w:type="dxa"/>
            <w:right w:w="0" w:type="dxa"/>
          </w:tblCellMar>
        </w:tblPrEx>
        <w:trPr>
          <w:wBefore w:w="0" w:type="auto"/>
          <w:tblCellSpacing w:w="0" w:type="dxa"/>
        </w:trPr>
        <w:tc>
          <w:tcPr>
            <w:tcW w:w="0" w:type="auto"/>
            <w:noWrap w:val="0"/>
            <w:vAlign w:val="center"/>
          </w:tcPr>
          <w:p w14:paraId="40392F68">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装卸、运输过程中，需专门车辆运输，轻拿轻放，确保包装不泄露、不损坏。勿与食品、饮料、饲料和粮食等同贮同运。</w:t>
            </w:r>
          </w:p>
        </w:tc>
      </w:tr>
      <w:tr w14:paraId="3EF663DC">
        <w:tblPrEx>
          <w:tblCellMar>
            <w:top w:w="0" w:type="dxa"/>
            <w:left w:w="0" w:type="dxa"/>
            <w:bottom w:w="0" w:type="dxa"/>
            <w:right w:w="0" w:type="dxa"/>
          </w:tblCellMar>
        </w:tblPrEx>
        <w:trPr>
          <w:wBefore w:w="0" w:type="auto"/>
          <w:tblCellSpacing w:w="0" w:type="dxa"/>
        </w:trPr>
        <w:tc>
          <w:tcPr>
            <w:tcW w:w="0" w:type="auto"/>
            <w:noWrap w:val="0"/>
            <w:vAlign w:val="center"/>
          </w:tcPr>
          <w:p w14:paraId="1DA3F5DC">
            <w:r>
              <w:rPr>
                <w:rStyle w:val="10"/>
                <w:rFonts w:hint="eastAsia"/>
              </w:rPr>
              <w:t>质量保证期：</w:t>
            </w:r>
            <w:r>
              <w:rPr>
                <w:rStyle w:val="11"/>
                <w:rFonts w:hint="eastAsia"/>
              </w:rPr>
              <w:t>2年</w:t>
            </w:r>
          </w:p>
        </w:tc>
      </w:tr>
      <w:tr w14:paraId="7603FF24">
        <w:tblPrEx>
          <w:tblCellMar>
            <w:top w:w="0" w:type="dxa"/>
            <w:left w:w="0" w:type="dxa"/>
            <w:bottom w:w="0" w:type="dxa"/>
            <w:right w:w="0" w:type="dxa"/>
          </w:tblCellMar>
        </w:tblPrEx>
        <w:trPr>
          <w:wBefore w:w="0" w:type="auto"/>
          <w:tblCellSpacing w:w="0" w:type="dxa"/>
        </w:trPr>
        <w:tc>
          <w:tcPr>
            <w:tcW w:w="0" w:type="auto"/>
            <w:noWrap w:val="0"/>
            <w:vAlign w:val="center"/>
          </w:tcPr>
          <w:p w14:paraId="62A64056">
            <w:r>
              <w:rPr>
                <w:rStyle w:val="10"/>
                <w:rFonts w:hint="eastAsia"/>
              </w:rPr>
              <w:t>备注：</w:t>
            </w:r>
          </w:p>
        </w:tc>
      </w:tr>
    </w:tbl>
    <w:p w14:paraId="53210D7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CCB62D4">
        <w:tblPrEx>
          <w:tblCellMar>
            <w:top w:w="0" w:type="dxa"/>
            <w:left w:w="0" w:type="dxa"/>
            <w:bottom w:w="0" w:type="dxa"/>
            <w:right w:w="0" w:type="dxa"/>
          </w:tblCellMar>
        </w:tblPrEx>
        <w:trPr>
          <w:wBefore w:w="0" w:type="auto"/>
          <w:tblCellSpacing w:w="0" w:type="dxa"/>
        </w:trPr>
        <w:tc>
          <w:tcPr>
            <w:tcW w:w="0" w:type="auto"/>
            <w:noWrap w:val="0"/>
            <w:vAlign w:val="center"/>
          </w:tcPr>
          <w:p w14:paraId="0FFB5BFA">
            <w:r>
              <w:rPr>
                <w:rStyle w:val="10"/>
                <w:rFonts w:hint="eastAsia"/>
              </w:rPr>
              <w:t>登记证号：</w:t>
            </w:r>
            <w:r>
              <w:rPr>
                <w:rFonts w:hint="eastAsia"/>
              </w:rPr>
              <w:t>PD20212139</w:t>
            </w:r>
          </w:p>
        </w:tc>
      </w:tr>
      <w:tr w14:paraId="1ADB26DC">
        <w:tblPrEx>
          <w:tblCellMar>
            <w:top w:w="0" w:type="dxa"/>
            <w:left w:w="0" w:type="dxa"/>
            <w:bottom w:w="0" w:type="dxa"/>
            <w:right w:w="0" w:type="dxa"/>
          </w:tblCellMar>
        </w:tblPrEx>
        <w:trPr>
          <w:wBefore w:w="0" w:type="auto"/>
          <w:tblCellSpacing w:w="0" w:type="dxa"/>
        </w:trPr>
        <w:tc>
          <w:tcPr>
            <w:tcW w:w="0" w:type="auto"/>
            <w:noWrap w:val="0"/>
            <w:vAlign w:val="center"/>
          </w:tcPr>
          <w:p w14:paraId="5607BD46">
            <w:r>
              <w:rPr>
                <w:rStyle w:val="10"/>
                <w:rFonts w:hint="eastAsia"/>
              </w:rPr>
              <w:t>登记证持有人：</w:t>
            </w:r>
            <w:r>
              <w:rPr>
                <w:rFonts w:hint="eastAsia"/>
              </w:rPr>
              <w:t>江苏中旗科技股份有限公司</w:t>
            </w:r>
          </w:p>
        </w:tc>
      </w:tr>
      <w:tr w14:paraId="406F7A71">
        <w:tblPrEx>
          <w:tblCellMar>
            <w:top w:w="0" w:type="dxa"/>
            <w:left w:w="0" w:type="dxa"/>
            <w:bottom w:w="0" w:type="dxa"/>
            <w:right w:w="0" w:type="dxa"/>
          </w:tblCellMar>
        </w:tblPrEx>
        <w:trPr>
          <w:wBefore w:w="0" w:type="auto"/>
          <w:tblCellSpacing w:w="0" w:type="dxa"/>
        </w:trPr>
        <w:tc>
          <w:tcPr>
            <w:tcW w:w="0" w:type="auto"/>
            <w:noWrap w:val="0"/>
            <w:vAlign w:val="center"/>
          </w:tcPr>
          <w:p w14:paraId="687FAD12">
            <w:r>
              <w:rPr>
                <w:rStyle w:val="10"/>
                <w:rFonts w:hint="eastAsia"/>
              </w:rPr>
              <w:t>农药名称：</w:t>
            </w:r>
            <w:r>
              <w:rPr>
                <w:rFonts w:hint="eastAsia"/>
              </w:rPr>
              <w:t>噁唑·氰氟</w:t>
            </w:r>
          </w:p>
        </w:tc>
      </w:tr>
      <w:tr w14:paraId="7E87E63B">
        <w:tblPrEx>
          <w:tblCellMar>
            <w:top w:w="0" w:type="dxa"/>
            <w:left w:w="0" w:type="dxa"/>
            <w:bottom w:w="0" w:type="dxa"/>
            <w:right w:w="0" w:type="dxa"/>
          </w:tblCellMar>
        </w:tblPrEx>
        <w:trPr>
          <w:wBefore w:w="0" w:type="auto"/>
          <w:tblCellSpacing w:w="0" w:type="dxa"/>
        </w:trPr>
        <w:tc>
          <w:tcPr>
            <w:tcW w:w="0" w:type="auto"/>
            <w:noWrap w:val="0"/>
            <w:vAlign w:val="center"/>
          </w:tcPr>
          <w:p w14:paraId="27F913E7">
            <w:r>
              <w:rPr>
                <w:rStyle w:val="10"/>
                <w:rFonts w:hint="eastAsia"/>
              </w:rPr>
              <w:t>剂型：</w:t>
            </w:r>
            <w:r>
              <w:rPr>
                <w:rFonts w:hint="eastAsia"/>
              </w:rPr>
              <w:t>可分散油悬浮剂</w:t>
            </w:r>
          </w:p>
        </w:tc>
      </w:tr>
      <w:tr w14:paraId="1A9FB1D2">
        <w:tblPrEx>
          <w:tblCellMar>
            <w:top w:w="0" w:type="dxa"/>
            <w:left w:w="0" w:type="dxa"/>
            <w:bottom w:w="0" w:type="dxa"/>
            <w:right w:w="0" w:type="dxa"/>
          </w:tblCellMar>
        </w:tblPrEx>
        <w:trPr>
          <w:wBefore w:w="0" w:type="auto"/>
          <w:tblCellSpacing w:w="0" w:type="dxa"/>
        </w:trPr>
        <w:tc>
          <w:tcPr>
            <w:tcW w:w="0" w:type="auto"/>
            <w:noWrap w:val="0"/>
            <w:vAlign w:val="center"/>
          </w:tcPr>
          <w:p w14:paraId="1368650C">
            <w:r>
              <w:rPr>
                <w:rStyle w:val="10"/>
                <w:rFonts w:hint="eastAsia"/>
              </w:rPr>
              <w:t>毒性及其标识：</w:t>
            </w:r>
            <w:r>
              <w:rPr>
                <w:rFonts w:hint="eastAsia"/>
              </w:rPr>
              <w:t xml:space="preserve"> </w:t>
            </w:r>
            <w:r>
              <w:rPr>
                <w:lang/>
              </w:rPr>
              <w:drawing>
                <wp:inline distT="0" distB="0" distL="114300" distR="114300">
                  <wp:extent cx="476250" cy="323850"/>
                  <wp:effectExtent l="0" t="0" r="0" b="0"/>
                  <wp:docPr id="553" name="图片 55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EBD3A12">
        <w:tblPrEx>
          <w:tblCellMar>
            <w:top w:w="0" w:type="dxa"/>
            <w:left w:w="0" w:type="dxa"/>
            <w:bottom w:w="0" w:type="dxa"/>
            <w:right w:w="0" w:type="dxa"/>
          </w:tblCellMar>
        </w:tblPrEx>
        <w:trPr>
          <w:wBefore w:w="0" w:type="auto"/>
          <w:tblCellSpacing w:w="0" w:type="dxa"/>
        </w:trPr>
        <w:tc>
          <w:tcPr>
            <w:tcW w:w="0" w:type="auto"/>
            <w:noWrap w:val="0"/>
            <w:vAlign w:val="center"/>
          </w:tcPr>
          <w:p w14:paraId="3A9275CA">
            <w:r>
              <w:rPr>
                <w:rStyle w:val="10"/>
                <w:rFonts w:hint="eastAsia"/>
              </w:rPr>
              <w:t>总有效成分含量：</w:t>
            </w:r>
            <w:r>
              <w:rPr>
                <w:rFonts w:hint="eastAsia"/>
              </w:rPr>
              <w:t>20%</w:t>
            </w:r>
          </w:p>
        </w:tc>
      </w:tr>
      <w:tr w14:paraId="6C9D6CA6">
        <w:tblPrEx>
          <w:tblCellMar>
            <w:top w:w="0" w:type="dxa"/>
            <w:left w:w="0" w:type="dxa"/>
            <w:bottom w:w="0" w:type="dxa"/>
            <w:right w:w="0" w:type="dxa"/>
          </w:tblCellMar>
        </w:tblPrEx>
        <w:trPr>
          <w:wBefore w:w="0" w:type="auto"/>
          <w:tblCellSpacing w:w="0" w:type="dxa"/>
        </w:trPr>
        <w:tc>
          <w:tcPr>
            <w:tcW w:w="0" w:type="auto"/>
            <w:noWrap w:val="0"/>
            <w:vAlign w:val="center"/>
          </w:tcPr>
          <w:p w14:paraId="0DD51A45">
            <w:r>
              <w:rPr>
                <w:rFonts w:hint="eastAsia"/>
              </w:rPr>
              <w:t xml:space="preserve">有效成分及其含量： </w:t>
            </w:r>
          </w:p>
          <w:p w14:paraId="42CA4C92">
            <w:r>
              <w:rPr>
                <w:rFonts w:hint="eastAsia"/>
              </w:rPr>
              <w:t xml:space="preserve">    噁唑酰草胺10%    氰氟草酯10%    </w:t>
            </w:r>
          </w:p>
        </w:tc>
      </w:tr>
      <w:tr w14:paraId="163AA898">
        <w:tblPrEx>
          <w:tblCellMar>
            <w:top w:w="0" w:type="dxa"/>
            <w:left w:w="0" w:type="dxa"/>
            <w:bottom w:w="0" w:type="dxa"/>
            <w:right w:w="0" w:type="dxa"/>
          </w:tblCellMar>
        </w:tblPrEx>
        <w:trPr>
          <w:wBefore w:w="0" w:type="auto"/>
          <w:tblCellSpacing w:w="0" w:type="dxa"/>
        </w:trPr>
        <w:tc>
          <w:tcPr>
            <w:tcW w:w="0" w:type="auto"/>
            <w:noWrap w:val="0"/>
            <w:vAlign w:val="center"/>
          </w:tcPr>
          <w:p w14:paraId="0B75BE6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1CFE51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10FFB7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71D505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014353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4D37A63">
                  <w:r>
                    <w:rPr>
                      <w:rStyle w:val="11"/>
                      <w:rFonts w:hint="eastAsia"/>
                    </w:rPr>
                    <w:t>施用方式</w:t>
                  </w:r>
                </w:p>
              </w:tc>
            </w:tr>
            <w:tr w14:paraId="3B17F8B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0AA7848">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150FF5">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341C42">
                  <w:r>
                    <w:rPr>
                      <w:rStyle w:val="11"/>
                      <w:rFonts w:hint="eastAsia"/>
                    </w:rPr>
                    <w:t>45-75毫升/亩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39D46F">
                  <w:r>
                    <w:rPr>
                      <w:rStyle w:val="11"/>
                      <w:rFonts w:hint="eastAsia"/>
                    </w:rPr>
                    <w:t>茎叶喷雾</w:t>
                  </w:r>
                </w:p>
              </w:tc>
            </w:tr>
          </w:tbl>
          <w:p w14:paraId="0277E374">
            <w:pPr>
              <w:rPr>
                <w:rFonts w:ascii="Times New Roman" w:hAnsi="Times New Roman" w:cs="Times New Roman"/>
                <w:sz w:val="20"/>
                <w:szCs w:val="20"/>
              </w:rPr>
            </w:pPr>
          </w:p>
        </w:tc>
      </w:tr>
      <w:tr w14:paraId="1E148C96">
        <w:tblPrEx>
          <w:tblCellMar>
            <w:top w:w="0" w:type="dxa"/>
            <w:left w:w="0" w:type="dxa"/>
            <w:bottom w:w="0" w:type="dxa"/>
            <w:right w:w="0" w:type="dxa"/>
          </w:tblCellMar>
        </w:tblPrEx>
        <w:trPr>
          <w:wBefore w:w="0" w:type="auto"/>
          <w:tblCellSpacing w:w="0" w:type="dxa"/>
        </w:trPr>
        <w:tc>
          <w:tcPr>
            <w:tcW w:w="0" w:type="auto"/>
            <w:noWrap w:val="0"/>
            <w:vAlign w:val="center"/>
          </w:tcPr>
          <w:p w14:paraId="5AF7A6BC">
            <w:r>
              <w:rPr>
                <w:rStyle w:val="10"/>
                <w:rFonts w:hint="eastAsia"/>
              </w:rPr>
              <w:t>使用技术要求:</w:t>
            </w:r>
            <w:r>
              <w:rPr>
                <w:rFonts w:hint="eastAsia"/>
              </w:rPr>
              <w:br w:type="textWrapping"/>
            </w:r>
            <w:r>
              <w:rPr>
                <w:rStyle w:val="11"/>
                <w:rFonts w:hint="eastAsia"/>
              </w:rPr>
              <w:t>1.在直播稻田杂草2-3叶期，施药前排田水，以推荐剂量兑水均匀茎叶喷雾施药一次，药后1-2天灌水回田，保浅水层5-7天。2. 勿淹没水稻心叶，避免药害。施药时防止药液飘移到邻近作物，以免产生药害。3. 推荐喷液量：30升/亩，根据当地实际情况而定，喷药应均匀透彻，细雾。4. 每季最多使用1次。</w:t>
            </w:r>
          </w:p>
        </w:tc>
      </w:tr>
      <w:tr w14:paraId="4CEDE7A9">
        <w:tblPrEx>
          <w:tblCellMar>
            <w:top w:w="0" w:type="dxa"/>
            <w:left w:w="0" w:type="dxa"/>
            <w:bottom w:w="0" w:type="dxa"/>
            <w:right w:w="0" w:type="dxa"/>
          </w:tblCellMar>
        </w:tblPrEx>
        <w:trPr>
          <w:wBefore w:w="0" w:type="auto"/>
          <w:tblCellSpacing w:w="0" w:type="dxa"/>
        </w:trPr>
        <w:tc>
          <w:tcPr>
            <w:tcW w:w="0" w:type="auto"/>
            <w:noWrap w:val="0"/>
            <w:vAlign w:val="center"/>
          </w:tcPr>
          <w:p w14:paraId="2AD57392">
            <w:r>
              <w:rPr>
                <w:rStyle w:val="10"/>
                <w:rFonts w:hint="eastAsia"/>
              </w:rPr>
              <w:t>产品性能:</w:t>
            </w:r>
            <w:r>
              <w:rPr>
                <w:rFonts w:hint="eastAsia"/>
              </w:rPr>
              <w:br w:type="textWrapping"/>
            </w:r>
            <w:r>
              <w:rPr>
                <w:rStyle w:val="11"/>
                <w:rFonts w:hint="eastAsia"/>
              </w:rPr>
              <w:t>本品是噁唑酰草胺和氰氟草酯混配制剂，为内吸传导型除草剂，属乙酰辅酶A羧化酶（ACCase）抑制剂，能抑制植物脂肪酸的合成。经茎叶吸收，通过维管束传导至生长点，达到除草效果。推荐剂量下对水稻安全。</w:t>
            </w:r>
          </w:p>
        </w:tc>
      </w:tr>
      <w:tr w14:paraId="57D91B46">
        <w:tblPrEx>
          <w:tblCellMar>
            <w:top w:w="0" w:type="dxa"/>
            <w:left w:w="0" w:type="dxa"/>
            <w:bottom w:w="0" w:type="dxa"/>
            <w:right w:w="0" w:type="dxa"/>
          </w:tblCellMar>
        </w:tblPrEx>
        <w:trPr>
          <w:wBefore w:w="0" w:type="auto"/>
          <w:tblCellSpacing w:w="0" w:type="dxa"/>
        </w:trPr>
        <w:tc>
          <w:tcPr>
            <w:tcW w:w="0" w:type="auto"/>
            <w:noWrap w:val="0"/>
            <w:vAlign w:val="center"/>
          </w:tcPr>
          <w:p w14:paraId="65225874">
            <w:r>
              <w:rPr>
                <w:rStyle w:val="10"/>
                <w:rFonts w:hint="eastAsia"/>
              </w:rPr>
              <w:t>注意事项：</w:t>
            </w:r>
            <w:r>
              <w:rPr>
                <w:rFonts w:hint="eastAsia"/>
              </w:rPr>
              <w:br w:type="textWrapping"/>
            </w:r>
            <w:r>
              <w:rPr>
                <w:rStyle w:val="11"/>
                <w:rFonts w:hint="eastAsia"/>
              </w:rPr>
              <w:t>1. 喷药时要遵守国家《农药安全使用规定》手册。本品对眼睛有刺激性，使用时避免接触眼睛，穿戴长衣、长裤、帽子、口罩、手套等防护措施。施药时不得进食、喝水、吸烟。施药后要及时清洗。避免药液接触皮肤、眼睛和污染衣物，避免吸入雾滴。2. 配药时，应戴防渗手套和面罩，穿长袖衣、长裤和靴子。3. 施药后，彻底清洗防护用具，洗澡，并更换和清洗工作服。4. 使用过的空包装，用清水冲洗三次后妥善处理，切勿重复使用或改作其它用途或丢弃。所有施药器具，用后应立即用清水或适当的洗涤剂清洗。5. 未用完的制剂应放在原包装内密封保存，切勿将本品置于饮、食容器内。6. 本品对水生生物有毒，应远离水产养殖区、河塘等水体施药，勿将药剂及废液弃于池塘、河流、湖泊中，以免污染水源。禁止在河塘等水域中清洗施药器具。鱼或虾蟹套养稻田禁用，施药后的田水不得直接排入水体。7. 赤眼蜂等天敌放飞区禁用。蚕室及桑园附近禁用。8. 孕妇及哺乳期妇女应该避免接触本品。</w:t>
            </w:r>
          </w:p>
        </w:tc>
      </w:tr>
      <w:tr w14:paraId="26497B6F">
        <w:tblPrEx>
          <w:tblCellMar>
            <w:top w:w="0" w:type="dxa"/>
            <w:left w:w="0" w:type="dxa"/>
            <w:bottom w:w="0" w:type="dxa"/>
            <w:right w:w="0" w:type="dxa"/>
          </w:tblCellMar>
        </w:tblPrEx>
        <w:trPr>
          <w:wBefore w:w="0" w:type="auto"/>
          <w:tblCellSpacing w:w="0" w:type="dxa"/>
        </w:trPr>
        <w:tc>
          <w:tcPr>
            <w:tcW w:w="0" w:type="auto"/>
            <w:noWrap w:val="0"/>
            <w:vAlign w:val="center"/>
          </w:tcPr>
          <w:p w14:paraId="552E9418">
            <w:r>
              <w:rPr>
                <w:rStyle w:val="10"/>
                <w:rFonts w:hint="eastAsia"/>
              </w:rPr>
              <w:t>中毒急救措施：</w:t>
            </w:r>
            <w:r>
              <w:rPr>
                <w:rFonts w:hint="eastAsia"/>
              </w:rPr>
              <w:br w:type="textWrapping"/>
            </w:r>
            <w:r>
              <w:rPr>
                <w:rStyle w:val="11"/>
                <w:rFonts w:hint="eastAsia"/>
              </w:rPr>
              <w:t>中毒症状：动物试验表明可能造成眼和皮肤刺激。1.皮肤接触：立即脱掉被污染的衣物，用大量清水冲洗被污染的皮肤，再用肥皂清洗，然后用清水冲净。2.眼睛溅药：立刻用大量清水冲洗至少15 分钟。如配戴隐形眼镜，先冲洗5分钟后再摘掉眼镜冲洗。携此标签去医院诊治。3.发生吸入：立即将吸入者转移到空气新鲜处，尽快就医诊治。4.误服：立即饮用一杯或两杯水，用一只手指按住咽喉的后面部位，引吐。任何时候，不要试图让失去知觉的人呕吐或通过口部为其喂食。立即携带标签，送医就诊。</w:t>
            </w:r>
          </w:p>
        </w:tc>
      </w:tr>
      <w:tr w14:paraId="23E6C215">
        <w:tblPrEx>
          <w:tblCellMar>
            <w:top w:w="0" w:type="dxa"/>
            <w:left w:w="0" w:type="dxa"/>
            <w:bottom w:w="0" w:type="dxa"/>
            <w:right w:w="0" w:type="dxa"/>
          </w:tblCellMar>
        </w:tblPrEx>
        <w:trPr>
          <w:wBefore w:w="0" w:type="auto"/>
          <w:tblCellSpacing w:w="0" w:type="dxa"/>
        </w:trPr>
        <w:tc>
          <w:tcPr>
            <w:tcW w:w="0" w:type="auto"/>
            <w:noWrap w:val="0"/>
            <w:vAlign w:val="center"/>
          </w:tcPr>
          <w:p w14:paraId="34DF0BB7">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不能与食品、饮料、粮食、饲料等混合储存。运输前应先检查包装容器是否完整、密封，运输过程中要确保容器不泄漏、不倒塌、不坠落、不损坏。运输途中应防曝晒、雨淋，防高温。</w:t>
            </w:r>
          </w:p>
        </w:tc>
      </w:tr>
      <w:tr w14:paraId="1BBBAB32">
        <w:tblPrEx>
          <w:tblCellMar>
            <w:top w:w="0" w:type="dxa"/>
            <w:left w:w="0" w:type="dxa"/>
            <w:bottom w:w="0" w:type="dxa"/>
            <w:right w:w="0" w:type="dxa"/>
          </w:tblCellMar>
        </w:tblPrEx>
        <w:trPr>
          <w:wBefore w:w="0" w:type="auto"/>
          <w:tblCellSpacing w:w="0" w:type="dxa"/>
        </w:trPr>
        <w:tc>
          <w:tcPr>
            <w:tcW w:w="0" w:type="auto"/>
            <w:noWrap w:val="0"/>
            <w:vAlign w:val="center"/>
          </w:tcPr>
          <w:p w14:paraId="32E453FE">
            <w:r>
              <w:rPr>
                <w:rStyle w:val="10"/>
                <w:rFonts w:hint="eastAsia"/>
              </w:rPr>
              <w:t>质量保证期：</w:t>
            </w:r>
            <w:r>
              <w:rPr>
                <w:rStyle w:val="11"/>
                <w:rFonts w:hint="eastAsia"/>
              </w:rPr>
              <w:t>2年</w:t>
            </w:r>
          </w:p>
        </w:tc>
      </w:tr>
      <w:tr w14:paraId="6A65C2DB">
        <w:tblPrEx>
          <w:tblCellMar>
            <w:top w:w="0" w:type="dxa"/>
            <w:left w:w="0" w:type="dxa"/>
            <w:bottom w:w="0" w:type="dxa"/>
            <w:right w:w="0" w:type="dxa"/>
          </w:tblCellMar>
        </w:tblPrEx>
        <w:trPr>
          <w:wBefore w:w="0" w:type="auto"/>
          <w:tblCellSpacing w:w="0" w:type="dxa"/>
        </w:trPr>
        <w:tc>
          <w:tcPr>
            <w:tcW w:w="0" w:type="auto"/>
            <w:noWrap w:val="0"/>
            <w:vAlign w:val="center"/>
          </w:tcPr>
          <w:p w14:paraId="0D285A47">
            <w:r>
              <w:rPr>
                <w:rStyle w:val="10"/>
                <w:rFonts w:hint="eastAsia"/>
              </w:rPr>
              <w:t>备注：</w:t>
            </w:r>
          </w:p>
        </w:tc>
      </w:tr>
    </w:tbl>
    <w:p w14:paraId="7827011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99D2B8">
        <w:tblPrEx>
          <w:tblCellMar>
            <w:top w:w="0" w:type="dxa"/>
            <w:left w:w="0" w:type="dxa"/>
            <w:bottom w:w="0" w:type="dxa"/>
            <w:right w:w="0" w:type="dxa"/>
          </w:tblCellMar>
        </w:tblPrEx>
        <w:trPr>
          <w:wBefore w:w="0" w:type="auto"/>
          <w:tblCellSpacing w:w="0" w:type="dxa"/>
        </w:trPr>
        <w:tc>
          <w:tcPr>
            <w:tcW w:w="0" w:type="auto"/>
            <w:noWrap w:val="0"/>
            <w:vAlign w:val="center"/>
          </w:tcPr>
          <w:p w14:paraId="0E960D66">
            <w:r>
              <w:rPr>
                <w:rStyle w:val="10"/>
                <w:rFonts w:hint="eastAsia"/>
              </w:rPr>
              <w:t>登记证号：</w:t>
            </w:r>
            <w:r>
              <w:rPr>
                <w:rFonts w:hint="eastAsia"/>
              </w:rPr>
              <w:t>PD20211835</w:t>
            </w:r>
          </w:p>
        </w:tc>
      </w:tr>
      <w:tr w14:paraId="4867D70D">
        <w:tblPrEx>
          <w:tblCellMar>
            <w:top w:w="0" w:type="dxa"/>
            <w:left w:w="0" w:type="dxa"/>
            <w:bottom w:w="0" w:type="dxa"/>
            <w:right w:w="0" w:type="dxa"/>
          </w:tblCellMar>
        </w:tblPrEx>
        <w:trPr>
          <w:wBefore w:w="0" w:type="auto"/>
          <w:tblCellSpacing w:w="0" w:type="dxa"/>
        </w:trPr>
        <w:tc>
          <w:tcPr>
            <w:tcW w:w="0" w:type="auto"/>
            <w:noWrap w:val="0"/>
            <w:vAlign w:val="center"/>
          </w:tcPr>
          <w:p w14:paraId="2D11A487">
            <w:r>
              <w:rPr>
                <w:rStyle w:val="10"/>
                <w:rFonts w:hint="eastAsia"/>
              </w:rPr>
              <w:t>登记证持有人：</w:t>
            </w:r>
            <w:r>
              <w:rPr>
                <w:rFonts w:hint="eastAsia"/>
              </w:rPr>
              <w:t>河南省安阳市安林生物化工有限责任公司</w:t>
            </w:r>
          </w:p>
        </w:tc>
      </w:tr>
      <w:tr w14:paraId="41F9698A">
        <w:tblPrEx>
          <w:tblCellMar>
            <w:top w:w="0" w:type="dxa"/>
            <w:left w:w="0" w:type="dxa"/>
            <w:bottom w:w="0" w:type="dxa"/>
            <w:right w:w="0" w:type="dxa"/>
          </w:tblCellMar>
        </w:tblPrEx>
        <w:trPr>
          <w:wBefore w:w="0" w:type="auto"/>
          <w:tblCellSpacing w:w="0" w:type="dxa"/>
        </w:trPr>
        <w:tc>
          <w:tcPr>
            <w:tcW w:w="0" w:type="auto"/>
            <w:noWrap w:val="0"/>
            <w:vAlign w:val="center"/>
          </w:tcPr>
          <w:p w14:paraId="6BF3F511">
            <w:r>
              <w:rPr>
                <w:rStyle w:val="10"/>
                <w:rFonts w:hint="eastAsia"/>
              </w:rPr>
              <w:t>农药名称：</w:t>
            </w:r>
            <w:r>
              <w:rPr>
                <w:rFonts w:hint="eastAsia"/>
              </w:rPr>
              <w:t>苦皮藤提取物</w:t>
            </w:r>
          </w:p>
        </w:tc>
      </w:tr>
      <w:tr w14:paraId="4EEDD0B1">
        <w:tblPrEx>
          <w:tblCellMar>
            <w:top w:w="0" w:type="dxa"/>
            <w:left w:w="0" w:type="dxa"/>
            <w:bottom w:w="0" w:type="dxa"/>
            <w:right w:w="0" w:type="dxa"/>
          </w:tblCellMar>
        </w:tblPrEx>
        <w:trPr>
          <w:wBefore w:w="0" w:type="auto"/>
          <w:tblCellSpacing w:w="0" w:type="dxa"/>
        </w:trPr>
        <w:tc>
          <w:tcPr>
            <w:tcW w:w="0" w:type="auto"/>
            <w:noWrap w:val="0"/>
            <w:vAlign w:val="center"/>
          </w:tcPr>
          <w:p w14:paraId="367F4971">
            <w:r>
              <w:rPr>
                <w:rStyle w:val="10"/>
                <w:rFonts w:hint="eastAsia"/>
              </w:rPr>
              <w:t>剂型：</w:t>
            </w:r>
            <w:r>
              <w:rPr>
                <w:rFonts w:hint="eastAsia"/>
              </w:rPr>
              <w:t>烟剂</w:t>
            </w:r>
          </w:p>
        </w:tc>
      </w:tr>
      <w:tr w14:paraId="4BFBB51D">
        <w:tblPrEx>
          <w:tblCellMar>
            <w:top w:w="0" w:type="dxa"/>
            <w:left w:w="0" w:type="dxa"/>
            <w:bottom w:w="0" w:type="dxa"/>
            <w:right w:w="0" w:type="dxa"/>
          </w:tblCellMar>
        </w:tblPrEx>
        <w:trPr>
          <w:wBefore w:w="0" w:type="auto"/>
          <w:tblCellSpacing w:w="0" w:type="dxa"/>
        </w:trPr>
        <w:tc>
          <w:tcPr>
            <w:tcW w:w="0" w:type="auto"/>
            <w:noWrap w:val="0"/>
            <w:vAlign w:val="center"/>
          </w:tcPr>
          <w:p w14:paraId="7BEF4EB9">
            <w:r>
              <w:rPr>
                <w:rStyle w:val="10"/>
                <w:rFonts w:hint="eastAsia"/>
              </w:rPr>
              <w:t>毒性及其标识：</w:t>
            </w:r>
            <w:r>
              <w:rPr>
                <w:rFonts w:hint="eastAsia"/>
              </w:rPr>
              <w:t xml:space="preserve"> 微毒 </w:t>
            </w:r>
          </w:p>
        </w:tc>
      </w:tr>
      <w:tr w14:paraId="5EFA98EC">
        <w:tblPrEx>
          <w:tblCellMar>
            <w:top w:w="0" w:type="dxa"/>
            <w:left w:w="0" w:type="dxa"/>
            <w:bottom w:w="0" w:type="dxa"/>
            <w:right w:w="0" w:type="dxa"/>
          </w:tblCellMar>
        </w:tblPrEx>
        <w:trPr>
          <w:wBefore w:w="0" w:type="auto"/>
          <w:tblCellSpacing w:w="0" w:type="dxa"/>
        </w:trPr>
        <w:tc>
          <w:tcPr>
            <w:tcW w:w="0" w:type="auto"/>
            <w:noWrap w:val="0"/>
            <w:vAlign w:val="center"/>
          </w:tcPr>
          <w:p w14:paraId="210E0706">
            <w:r>
              <w:rPr>
                <w:rStyle w:val="10"/>
                <w:rFonts w:hint="eastAsia"/>
              </w:rPr>
              <w:t>总有效成分含量：</w:t>
            </w:r>
            <w:r>
              <w:rPr>
                <w:rFonts w:hint="eastAsia"/>
              </w:rPr>
              <w:t>0.5%</w:t>
            </w:r>
          </w:p>
        </w:tc>
      </w:tr>
      <w:tr w14:paraId="606066A5">
        <w:tblPrEx>
          <w:tblCellMar>
            <w:top w:w="0" w:type="dxa"/>
            <w:left w:w="0" w:type="dxa"/>
            <w:bottom w:w="0" w:type="dxa"/>
            <w:right w:w="0" w:type="dxa"/>
          </w:tblCellMar>
        </w:tblPrEx>
        <w:trPr>
          <w:wBefore w:w="0" w:type="auto"/>
          <w:tblCellSpacing w:w="0" w:type="dxa"/>
        </w:trPr>
        <w:tc>
          <w:tcPr>
            <w:tcW w:w="0" w:type="auto"/>
            <w:noWrap w:val="0"/>
            <w:vAlign w:val="center"/>
          </w:tcPr>
          <w:p w14:paraId="5C0AEB6F">
            <w:r>
              <w:rPr>
                <w:rFonts w:hint="eastAsia"/>
              </w:rPr>
              <w:t xml:space="preserve">有效成分及其含量： </w:t>
            </w:r>
          </w:p>
          <w:p w14:paraId="289390F9">
            <w:r>
              <w:rPr>
                <w:rFonts w:hint="eastAsia"/>
              </w:rPr>
              <w:t xml:space="preserve">    苦皮藤素0.5%    </w:t>
            </w:r>
          </w:p>
        </w:tc>
      </w:tr>
      <w:tr w14:paraId="050E6DB8">
        <w:tblPrEx>
          <w:tblCellMar>
            <w:top w:w="0" w:type="dxa"/>
            <w:left w:w="0" w:type="dxa"/>
            <w:bottom w:w="0" w:type="dxa"/>
            <w:right w:w="0" w:type="dxa"/>
          </w:tblCellMar>
        </w:tblPrEx>
        <w:trPr>
          <w:wBefore w:w="0" w:type="auto"/>
          <w:tblCellSpacing w:w="0" w:type="dxa"/>
        </w:trPr>
        <w:tc>
          <w:tcPr>
            <w:tcW w:w="0" w:type="auto"/>
            <w:noWrap w:val="0"/>
            <w:vAlign w:val="center"/>
          </w:tcPr>
          <w:p w14:paraId="62E789A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DC0BC7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6D89FD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6A5456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4AE873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F9C71AE">
                  <w:r>
                    <w:rPr>
                      <w:rStyle w:val="11"/>
                      <w:rFonts w:hint="eastAsia"/>
                    </w:rPr>
                    <w:t>施用方式</w:t>
                  </w:r>
                </w:p>
              </w:tc>
            </w:tr>
            <w:tr w14:paraId="00BFFF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8273CB1">
                  <w:r>
                    <w:rPr>
                      <w:rStyle w:val="11"/>
                      <w:rFonts w:hint="eastAsia"/>
                    </w:rPr>
                    <w:t>黄瓜(保护地)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6CF979">
                  <w:r>
                    <w:rPr>
                      <w:rStyle w:val="11"/>
                      <w:rFonts w:hint="eastAsia"/>
                    </w:rPr>
                    <w:t>白粉虱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E5BAD7">
                  <w:r>
                    <w:rPr>
                      <w:rStyle w:val="11"/>
                      <w:rFonts w:hint="eastAsia"/>
                    </w:rPr>
                    <w:t>350-400克/亩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851D8F8">
                  <w:r>
                    <w:rPr>
                      <w:rStyle w:val="11"/>
                      <w:rFonts w:hint="eastAsia"/>
                    </w:rPr>
                    <w:t>点燃放烟</w:t>
                  </w:r>
                </w:p>
              </w:tc>
            </w:tr>
            <w:tr w14:paraId="3CDFE5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9B7DEC">
                  <w:r>
                    <w:rPr>
                      <w:rStyle w:val="11"/>
                      <w:rFonts w:hint="eastAsia"/>
                    </w:rPr>
                    <w:t>松树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0C84BC">
                  <w:r>
                    <w:rPr>
                      <w:rStyle w:val="11"/>
                      <w:rFonts w:hint="eastAsia"/>
                    </w:rPr>
                    <w:t>松毛虫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9D0C45">
                  <w:r>
                    <w:rPr>
                      <w:rStyle w:val="11"/>
                      <w:rFonts w:hint="eastAsia"/>
                    </w:rPr>
                    <w:t>650-800克/亩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14036E2">
                  <w:r>
                    <w:rPr>
                      <w:rStyle w:val="11"/>
                      <w:rFonts w:hint="eastAsia"/>
                    </w:rPr>
                    <w:t>点燃放烟</w:t>
                  </w:r>
                </w:p>
              </w:tc>
            </w:tr>
          </w:tbl>
          <w:p w14:paraId="786C89E1">
            <w:pPr>
              <w:rPr>
                <w:rFonts w:ascii="Times New Roman" w:hAnsi="Times New Roman" w:cs="Times New Roman"/>
                <w:sz w:val="20"/>
                <w:szCs w:val="20"/>
              </w:rPr>
            </w:pPr>
          </w:p>
        </w:tc>
      </w:tr>
      <w:tr w14:paraId="77784940">
        <w:tblPrEx>
          <w:tblCellMar>
            <w:top w:w="0" w:type="dxa"/>
            <w:left w:w="0" w:type="dxa"/>
            <w:bottom w:w="0" w:type="dxa"/>
            <w:right w:w="0" w:type="dxa"/>
          </w:tblCellMar>
        </w:tblPrEx>
        <w:trPr>
          <w:wBefore w:w="0" w:type="auto"/>
          <w:tblCellSpacing w:w="0" w:type="dxa"/>
        </w:trPr>
        <w:tc>
          <w:tcPr>
            <w:tcW w:w="0" w:type="auto"/>
            <w:noWrap w:val="0"/>
            <w:vAlign w:val="center"/>
          </w:tcPr>
          <w:p w14:paraId="35410AC4">
            <w:r>
              <w:rPr>
                <w:rStyle w:val="10"/>
                <w:rFonts w:hint="eastAsia"/>
              </w:rPr>
              <w:t>使用技术要求:</w:t>
            </w:r>
            <w:r>
              <w:rPr>
                <w:rFonts w:hint="eastAsia"/>
              </w:rPr>
              <w:br w:type="textWrapping"/>
            </w:r>
            <w:r>
              <w:rPr>
                <w:rStyle w:val="11"/>
                <w:rFonts w:hint="eastAsia"/>
              </w:rPr>
              <w:t>本品应在白粉虱发生初盛期、松毛虫低龄幼虫盛发初期使用 安全使用标准：每季最多使用1次。</w:t>
            </w:r>
          </w:p>
        </w:tc>
      </w:tr>
      <w:tr w14:paraId="756E1347">
        <w:tblPrEx>
          <w:tblCellMar>
            <w:top w:w="0" w:type="dxa"/>
            <w:left w:w="0" w:type="dxa"/>
            <w:bottom w:w="0" w:type="dxa"/>
            <w:right w:w="0" w:type="dxa"/>
          </w:tblCellMar>
        </w:tblPrEx>
        <w:trPr>
          <w:wBefore w:w="0" w:type="auto"/>
          <w:tblCellSpacing w:w="0" w:type="dxa"/>
        </w:trPr>
        <w:tc>
          <w:tcPr>
            <w:tcW w:w="0" w:type="auto"/>
            <w:noWrap w:val="0"/>
            <w:vAlign w:val="center"/>
          </w:tcPr>
          <w:p w14:paraId="416DC0C6">
            <w:r>
              <w:rPr>
                <w:rStyle w:val="10"/>
                <w:rFonts w:hint="eastAsia"/>
              </w:rPr>
              <w:t>产品性能:</w:t>
            </w:r>
            <w:r>
              <w:rPr>
                <w:rFonts w:hint="eastAsia"/>
              </w:rPr>
              <w:br w:type="textWrapping"/>
            </w:r>
            <w:r>
              <w:rPr>
                <w:rStyle w:val="11"/>
                <w:rFonts w:hint="eastAsia"/>
              </w:rPr>
              <w:t>本品属植物源杀虫剂。具有胃毒、触杀和麻醉、拒食的作用，以胃毒为主。主要作用于昆虫消化道组织，破坏其消化系统正常功能，导致昆虫进食困难，饥饿而死。可用于防治黄瓜（保护地）白粉虱和松树松毛虫</w:t>
            </w:r>
          </w:p>
        </w:tc>
      </w:tr>
      <w:tr w14:paraId="0A370BFF">
        <w:tblPrEx>
          <w:tblCellMar>
            <w:top w:w="0" w:type="dxa"/>
            <w:left w:w="0" w:type="dxa"/>
            <w:bottom w:w="0" w:type="dxa"/>
            <w:right w:w="0" w:type="dxa"/>
          </w:tblCellMar>
        </w:tblPrEx>
        <w:trPr>
          <w:wBefore w:w="0" w:type="auto"/>
          <w:tblCellSpacing w:w="0" w:type="dxa"/>
        </w:trPr>
        <w:tc>
          <w:tcPr>
            <w:tcW w:w="0" w:type="auto"/>
            <w:noWrap w:val="0"/>
            <w:vAlign w:val="center"/>
          </w:tcPr>
          <w:p w14:paraId="696713F7">
            <w:r>
              <w:rPr>
                <w:rStyle w:val="10"/>
                <w:rFonts w:hint="eastAsia"/>
              </w:rPr>
              <w:t>注意事项：</w:t>
            </w:r>
            <w:r>
              <w:rPr>
                <w:rFonts w:hint="eastAsia"/>
              </w:rPr>
              <w:br w:type="textWrapping"/>
            </w:r>
            <w:r>
              <w:rPr>
                <w:rStyle w:val="11"/>
                <w:rFonts w:hint="eastAsia"/>
              </w:rPr>
              <w:t>1.使用本品应采取相应的安全防护措施，穿防护服，戴防护手套、口罩等，避免皮肤接触及口鼻吸入。使用中不可吸烟、饮水及吃东西，使用后及时用大量清水和肥皂清洗手、脸等暴露部位皮肤并更换衣物。 2.使用过的包装物应妥善处理，不可再用，也不可随意丢弃。 3.本品对鱼类、溞类等水生生物有毒，远离水产养殖区施药，禁止在河塘等水体中清洗施药器具。清洗施药器具的水也不能排入河塘等水体。4.本品对家蚕有毒，家蚕及桑园附近禁用。 5.建议与其他作用机制不同的杀虫剂轮换使用，以延缓抗性产生。 6.禁止儿童、孕妇及哺乳期妇女接触。过敏者禁用，使用中有任何不良反应请及时就医。</w:t>
            </w:r>
          </w:p>
        </w:tc>
      </w:tr>
      <w:tr w14:paraId="5EB39B24">
        <w:tblPrEx>
          <w:tblCellMar>
            <w:top w:w="0" w:type="dxa"/>
            <w:left w:w="0" w:type="dxa"/>
            <w:bottom w:w="0" w:type="dxa"/>
            <w:right w:w="0" w:type="dxa"/>
          </w:tblCellMar>
        </w:tblPrEx>
        <w:trPr>
          <w:wBefore w:w="0" w:type="auto"/>
          <w:tblCellSpacing w:w="0" w:type="dxa"/>
        </w:trPr>
        <w:tc>
          <w:tcPr>
            <w:tcW w:w="0" w:type="auto"/>
            <w:noWrap w:val="0"/>
            <w:vAlign w:val="center"/>
          </w:tcPr>
          <w:p w14:paraId="08B3DB67">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急救措施：使用中或使用后如果感觉不适，应立即停止工作，采取急救措施，并携带标签送医就诊。 1.皮肤接触：脱去污染的衣物，用软布去除沾染的农药，立即用大量清水和肥皂冲洗。 2.眼睛溅入：立即用流动清水冲洗不少于15分钟。 3.吸入：立即离开施药现场，转移到空气清新处。 4.误食：立即停止服用，用清水充分漱口后，立即携带农药标签到医院就诊。</w:t>
            </w:r>
          </w:p>
        </w:tc>
      </w:tr>
      <w:tr w14:paraId="7AF48249">
        <w:tblPrEx>
          <w:tblCellMar>
            <w:top w:w="0" w:type="dxa"/>
            <w:left w:w="0" w:type="dxa"/>
            <w:bottom w:w="0" w:type="dxa"/>
            <w:right w:w="0" w:type="dxa"/>
          </w:tblCellMar>
        </w:tblPrEx>
        <w:trPr>
          <w:wBefore w:w="0" w:type="auto"/>
          <w:tblCellSpacing w:w="0" w:type="dxa"/>
        </w:trPr>
        <w:tc>
          <w:tcPr>
            <w:tcW w:w="0" w:type="auto"/>
            <w:noWrap w:val="0"/>
            <w:vAlign w:val="center"/>
          </w:tcPr>
          <w:p w14:paraId="47533CF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本品应贮存在干燥、阴凉、通风、防雨处，远离火源或热源。置于儿童、无关人员触及不到之处，并加锁保存。勿与粮食、食品、饮料、饲料等其他商品同贮同运。</w:t>
            </w:r>
          </w:p>
        </w:tc>
      </w:tr>
      <w:tr w14:paraId="1C1EBD4B">
        <w:tblPrEx>
          <w:tblCellMar>
            <w:top w:w="0" w:type="dxa"/>
            <w:left w:w="0" w:type="dxa"/>
            <w:bottom w:w="0" w:type="dxa"/>
            <w:right w:w="0" w:type="dxa"/>
          </w:tblCellMar>
        </w:tblPrEx>
        <w:trPr>
          <w:wBefore w:w="0" w:type="auto"/>
          <w:tblCellSpacing w:w="0" w:type="dxa"/>
        </w:trPr>
        <w:tc>
          <w:tcPr>
            <w:tcW w:w="0" w:type="auto"/>
            <w:noWrap w:val="0"/>
            <w:vAlign w:val="center"/>
          </w:tcPr>
          <w:p w14:paraId="0C1C8A11">
            <w:r>
              <w:rPr>
                <w:rStyle w:val="10"/>
                <w:rFonts w:hint="eastAsia"/>
              </w:rPr>
              <w:t>质量保证期：</w:t>
            </w:r>
            <w:r>
              <w:rPr>
                <w:rStyle w:val="11"/>
                <w:rFonts w:hint="eastAsia"/>
              </w:rPr>
              <w:t>2年</w:t>
            </w:r>
          </w:p>
        </w:tc>
      </w:tr>
      <w:tr w14:paraId="5313BFEA">
        <w:tblPrEx>
          <w:tblCellMar>
            <w:top w:w="0" w:type="dxa"/>
            <w:left w:w="0" w:type="dxa"/>
            <w:bottom w:w="0" w:type="dxa"/>
            <w:right w:w="0" w:type="dxa"/>
          </w:tblCellMar>
        </w:tblPrEx>
        <w:trPr>
          <w:wBefore w:w="0" w:type="auto"/>
          <w:tblCellSpacing w:w="0" w:type="dxa"/>
        </w:trPr>
        <w:tc>
          <w:tcPr>
            <w:tcW w:w="0" w:type="auto"/>
            <w:noWrap w:val="0"/>
            <w:vAlign w:val="center"/>
          </w:tcPr>
          <w:p w14:paraId="77FCBFEE">
            <w:r>
              <w:rPr>
                <w:rStyle w:val="10"/>
                <w:rFonts w:hint="eastAsia"/>
              </w:rPr>
              <w:t>备注：</w:t>
            </w:r>
          </w:p>
        </w:tc>
      </w:tr>
    </w:tbl>
    <w:p w14:paraId="0CAADE5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EAEAC52">
        <w:tblPrEx>
          <w:tblCellMar>
            <w:top w:w="0" w:type="dxa"/>
            <w:left w:w="0" w:type="dxa"/>
            <w:bottom w:w="0" w:type="dxa"/>
            <w:right w:w="0" w:type="dxa"/>
          </w:tblCellMar>
        </w:tblPrEx>
        <w:trPr>
          <w:wBefore w:w="0" w:type="auto"/>
          <w:tblCellSpacing w:w="0" w:type="dxa"/>
        </w:trPr>
        <w:tc>
          <w:tcPr>
            <w:tcW w:w="0" w:type="auto"/>
            <w:noWrap w:val="0"/>
            <w:vAlign w:val="center"/>
          </w:tcPr>
          <w:p w14:paraId="00651BED">
            <w:r>
              <w:rPr>
                <w:rStyle w:val="10"/>
                <w:rFonts w:hint="eastAsia"/>
              </w:rPr>
              <w:t>登记证号：</w:t>
            </w:r>
            <w:r>
              <w:rPr>
                <w:rFonts w:hint="eastAsia"/>
              </w:rPr>
              <w:t>PD20212191</w:t>
            </w:r>
          </w:p>
        </w:tc>
      </w:tr>
      <w:tr w14:paraId="49A8DDB0">
        <w:tblPrEx>
          <w:tblCellMar>
            <w:top w:w="0" w:type="dxa"/>
            <w:left w:w="0" w:type="dxa"/>
            <w:bottom w:w="0" w:type="dxa"/>
            <w:right w:w="0" w:type="dxa"/>
          </w:tblCellMar>
        </w:tblPrEx>
        <w:trPr>
          <w:wBefore w:w="0" w:type="auto"/>
          <w:tblCellSpacing w:w="0" w:type="dxa"/>
        </w:trPr>
        <w:tc>
          <w:tcPr>
            <w:tcW w:w="0" w:type="auto"/>
            <w:noWrap w:val="0"/>
            <w:vAlign w:val="center"/>
          </w:tcPr>
          <w:p w14:paraId="45802841">
            <w:r>
              <w:rPr>
                <w:rStyle w:val="10"/>
                <w:rFonts w:hint="eastAsia"/>
              </w:rPr>
              <w:t>登记证持有人：</w:t>
            </w:r>
            <w:r>
              <w:rPr>
                <w:rFonts w:hint="eastAsia"/>
              </w:rPr>
              <w:t>山东万豪化工股份有限公司</w:t>
            </w:r>
          </w:p>
        </w:tc>
      </w:tr>
      <w:tr w14:paraId="1B647291">
        <w:tblPrEx>
          <w:tblCellMar>
            <w:top w:w="0" w:type="dxa"/>
            <w:left w:w="0" w:type="dxa"/>
            <w:bottom w:w="0" w:type="dxa"/>
            <w:right w:w="0" w:type="dxa"/>
          </w:tblCellMar>
        </w:tblPrEx>
        <w:trPr>
          <w:wBefore w:w="0" w:type="auto"/>
          <w:tblCellSpacing w:w="0" w:type="dxa"/>
        </w:trPr>
        <w:tc>
          <w:tcPr>
            <w:tcW w:w="0" w:type="auto"/>
            <w:noWrap w:val="0"/>
            <w:vAlign w:val="center"/>
          </w:tcPr>
          <w:p w14:paraId="4F205A85">
            <w:r>
              <w:rPr>
                <w:rStyle w:val="10"/>
                <w:rFonts w:hint="eastAsia"/>
              </w:rPr>
              <w:t>农药名称：</w:t>
            </w:r>
            <w:r>
              <w:rPr>
                <w:rFonts w:hint="eastAsia"/>
              </w:rPr>
              <w:t>乙羧·草甘膦</w:t>
            </w:r>
          </w:p>
        </w:tc>
      </w:tr>
      <w:tr w14:paraId="0EA54C61">
        <w:tblPrEx>
          <w:tblCellMar>
            <w:top w:w="0" w:type="dxa"/>
            <w:left w:w="0" w:type="dxa"/>
            <w:bottom w:w="0" w:type="dxa"/>
            <w:right w:w="0" w:type="dxa"/>
          </w:tblCellMar>
        </w:tblPrEx>
        <w:trPr>
          <w:wBefore w:w="0" w:type="auto"/>
          <w:tblCellSpacing w:w="0" w:type="dxa"/>
        </w:trPr>
        <w:tc>
          <w:tcPr>
            <w:tcW w:w="0" w:type="auto"/>
            <w:noWrap w:val="0"/>
            <w:vAlign w:val="center"/>
          </w:tcPr>
          <w:p w14:paraId="64D83264">
            <w:r>
              <w:rPr>
                <w:rStyle w:val="10"/>
                <w:rFonts w:hint="eastAsia"/>
              </w:rPr>
              <w:t>剂型：</w:t>
            </w:r>
            <w:r>
              <w:rPr>
                <w:rFonts w:hint="eastAsia"/>
              </w:rPr>
              <w:t>可湿性粉剂</w:t>
            </w:r>
          </w:p>
        </w:tc>
      </w:tr>
      <w:tr w14:paraId="4234B25C">
        <w:tblPrEx>
          <w:tblCellMar>
            <w:top w:w="0" w:type="dxa"/>
            <w:left w:w="0" w:type="dxa"/>
            <w:bottom w:w="0" w:type="dxa"/>
            <w:right w:w="0" w:type="dxa"/>
          </w:tblCellMar>
        </w:tblPrEx>
        <w:trPr>
          <w:wBefore w:w="0" w:type="auto"/>
          <w:tblCellSpacing w:w="0" w:type="dxa"/>
        </w:trPr>
        <w:tc>
          <w:tcPr>
            <w:tcW w:w="0" w:type="auto"/>
            <w:noWrap w:val="0"/>
            <w:vAlign w:val="center"/>
          </w:tcPr>
          <w:p w14:paraId="4E220EE6">
            <w:r>
              <w:rPr>
                <w:rStyle w:val="10"/>
                <w:rFonts w:hint="eastAsia"/>
              </w:rPr>
              <w:t>毒性及其标识：</w:t>
            </w:r>
            <w:r>
              <w:rPr>
                <w:rFonts w:hint="eastAsia"/>
              </w:rPr>
              <w:t xml:space="preserve"> </w:t>
            </w:r>
            <w:r>
              <w:rPr>
                <w:lang/>
              </w:rPr>
              <w:drawing>
                <wp:inline distT="0" distB="0" distL="114300" distR="114300">
                  <wp:extent cx="476250" cy="323850"/>
                  <wp:effectExtent l="0" t="0" r="0" b="0"/>
                  <wp:docPr id="554" name="图片 55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10DD4F2">
        <w:tblPrEx>
          <w:tblCellMar>
            <w:top w:w="0" w:type="dxa"/>
            <w:left w:w="0" w:type="dxa"/>
            <w:bottom w:w="0" w:type="dxa"/>
            <w:right w:w="0" w:type="dxa"/>
          </w:tblCellMar>
        </w:tblPrEx>
        <w:trPr>
          <w:wBefore w:w="0" w:type="auto"/>
          <w:tblCellSpacing w:w="0" w:type="dxa"/>
        </w:trPr>
        <w:tc>
          <w:tcPr>
            <w:tcW w:w="0" w:type="auto"/>
            <w:noWrap w:val="0"/>
            <w:vAlign w:val="center"/>
          </w:tcPr>
          <w:p w14:paraId="45166F8F">
            <w:r>
              <w:rPr>
                <w:rStyle w:val="10"/>
                <w:rFonts w:hint="eastAsia"/>
              </w:rPr>
              <w:t>总有效成分含量：</w:t>
            </w:r>
            <w:r>
              <w:rPr>
                <w:rFonts w:hint="eastAsia"/>
              </w:rPr>
              <w:t>74.7%</w:t>
            </w:r>
          </w:p>
        </w:tc>
      </w:tr>
      <w:tr w14:paraId="360765B7">
        <w:tblPrEx>
          <w:tblCellMar>
            <w:top w:w="0" w:type="dxa"/>
            <w:left w:w="0" w:type="dxa"/>
            <w:bottom w:w="0" w:type="dxa"/>
            <w:right w:w="0" w:type="dxa"/>
          </w:tblCellMar>
        </w:tblPrEx>
        <w:trPr>
          <w:wBefore w:w="0" w:type="auto"/>
          <w:tblCellSpacing w:w="0" w:type="dxa"/>
        </w:trPr>
        <w:tc>
          <w:tcPr>
            <w:tcW w:w="0" w:type="auto"/>
            <w:noWrap w:val="0"/>
            <w:vAlign w:val="center"/>
          </w:tcPr>
          <w:p w14:paraId="44C8B66B">
            <w:r>
              <w:rPr>
                <w:rFonts w:hint="eastAsia"/>
              </w:rPr>
              <w:t xml:space="preserve">有效成分及其含量： </w:t>
            </w:r>
          </w:p>
          <w:p w14:paraId="598CEC62">
            <w:r>
              <w:rPr>
                <w:rFonts w:hint="eastAsia"/>
              </w:rPr>
              <w:t xml:space="preserve">    乙羧氟草醚2%    草甘膦72.7%    </w:t>
            </w:r>
          </w:p>
        </w:tc>
      </w:tr>
      <w:tr w14:paraId="18982EF2">
        <w:tblPrEx>
          <w:tblCellMar>
            <w:top w:w="0" w:type="dxa"/>
            <w:left w:w="0" w:type="dxa"/>
            <w:bottom w:w="0" w:type="dxa"/>
            <w:right w:w="0" w:type="dxa"/>
          </w:tblCellMar>
        </w:tblPrEx>
        <w:trPr>
          <w:wBefore w:w="0" w:type="auto"/>
          <w:tblCellSpacing w:w="0" w:type="dxa"/>
        </w:trPr>
        <w:tc>
          <w:tcPr>
            <w:tcW w:w="0" w:type="auto"/>
            <w:noWrap w:val="0"/>
            <w:vAlign w:val="center"/>
          </w:tcPr>
          <w:p w14:paraId="5DD7CC3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9AA27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775A12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F92B84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86814B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967905E">
                  <w:r>
                    <w:rPr>
                      <w:rStyle w:val="11"/>
                      <w:rFonts w:hint="eastAsia"/>
                    </w:rPr>
                    <w:t>施用方式</w:t>
                  </w:r>
                </w:p>
              </w:tc>
            </w:tr>
            <w:tr w14:paraId="1C1098B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0F08AE1">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C07138">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D33B36">
                  <w:r>
                    <w:rPr>
                      <w:rStyle w:val="11"/>
                      <w:rFonts w:hint="eastAsia"/>
                    </w:rPr>
                    <w:t>90-155克/亩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96CD4BB">
                  <w:r>
                    <w:rPr>
                      <w:rStyle w:val="11"/>
                      <w:rFonts w:hint="eastAsia"/>
                    </w:rPr>
                    <w:t>茎叶喷雾</w:t>
                  </w:r>
                </w:p>
              </w:tc>
            </w:tr>
          </w:tbl>
          <w:p w14:paraId="0CEF2CA5">
            <w:pPr>
              <w:rPr>
                <w:rFonts w:ascii="Times New Roman" w:hAnsi="Times New Roman" w:cs="Times New Roman"/>
                <w:sz w:val="20"/>
                <w:szCs w:val="20"/>
              </w:rPr>
            </w:pPr>
          </w:p>
        </w:tc>
      </w:tr>
      <w:tr w14:paraId="352E87EB">
        <w:tblPrEx>
          <w:tblCellMar>
            <w:top w:w="0" w:type="dxa"/>
            <w:left w:w="0" w:type="dxa"/>
            <w:bottom w:w="0" w:type="dxa"/>
            <w:right w:w="0" w:type="dxa"/>
          </w:tblCellMar>
        </w:tblPrEx>
        <w:trPr>
          <w:wBefore w:w="0" w:type="auto"/>
          <w:tblCellSpacing w:w="0" w:type="dxa"/>
        </w:trPr>
        <w:tc>
          <w:tcPr>
            <w:tcW w:w="0" w:type="auto"/>
            <w:noWrap w:val="0"/>
            <w:vAlign w:val="center"/>
          </w:tcPr>
          <w:p w14:paraId="61C1B247">
            <w:r>
              <w:rPr>
                <w:rStyle w:val="10"/>
                <w:rFonts w:hint="eastAsia"/>
              </w:rPr>
              <w:t>使用技术要求:</w:t>
            </w:r>
            <w:r>
              <w:rPr>
                <w:rFonts w:hint="eastAsia"/>
              </w:rPr>
              <w:br w:type="textWrapping"/>
            </w:r>
            <w:r>
              <w:rPr>
                <w:rStyle w:val="11"/>
                <w:rFonts w:hint="eastAsia"/>
              </w:rPr>
              <w:t>1.杂草生长期施药，每亩兑水30-40公斤，均匀定向喷雾。 2.大风天或降雨前，请勿施药。施药后4-8小时降雨，会降低药效，应补喷。 3.注意风向，防止药雾飘移到附近作物上造成药害。</w:t>
            </w:r>
          </w:p>
        </w:tc>
      </w:tr>
      <w:tr w14:paraId="10E5AA0B">
        <w:tblPrEx>
          <w:tblCellMar>
            <w:top w:w="0" w:type="dxa"/>
            <w:left w:w="0" w:type="dxa"/>
            <w:bottom w:w="0" w:type="dxa"/>
            <w:right w:w="0" w:type="dxa"/>
          </w:tblCellMar>
        </w:tblPrEx>
        <w:trPr>
          <w:wBefore w:w="0" w:type="auto"/>
          <w:tblCellSpacing w:w="0" w:type="dxa"/>
        </w:trPr>
        <w:tc>
          <w:tcPr>
            <w:tcW w:w="0" w:type="auto"/>
            <w:noWrap w:val="0"/>
            <w:vAlign w:val="center"/>
          </w:tcPr>
          <w:p w14:paraId="61438EA3">
            <w:r>
              <w:rPr>
                <w:rStyle w:val="10"/>
                <w:rFonts w:hint="eastAsia"/>
              </w:rPr>
              <w:t>产品性能:</w:t>
            </w:r>
            <w:r>
              <w:rPr>
                <w:rFonts w:hint="eastAsia"/>
              </w:rPr>
              <w:br w:type="textWrapping"/>
            </w:r>
            <w:r>
              <w:rPr>
                <w:rStyle w:val="11"/>
                <w:rFonts w:hint="eastAsia"/>
              </w:rPr>
              <w:t>本品是由二苯醚类除草剂乙羧氟草醚与灭生性的内吸传导性除草剂草甘膦复配而成，药剂接触土壤后很快钝化失活。本品对非耕地杂草有良好的防效。</w:t>
            </w:r>
          </w:p>
        </w:tc>
      </w:tr>
      <w:tr w14:paraId="3F20E906">
        <w:tblPrEx>
          <w:tblCellMar>
            <w:top w:w="0" w:type="dxa"/>
            <w:left w:w="0" w:type="dxa"/>
            <w:bottom w:w="0" w:type="dxa"/>
            <w:right w:w="0" w:type="dxa"/>
          </w:tblCellMar>
        </w:tblPrEx>
        <w:trPr>
          <w:wBefore w:w="0" w:type="auto"/>
          <w:tblCellSpacing w:w="0" w:type="dxa"/>
        </w:trPr>
        <w:tc>
          <w:tcPr>
            <w:tcW w:w="0" w:type="auto"/>
            <w:noWrap w:val="0"/>
            <w:vAlign w:val="center"/>
          </w:tcPr>
          <w:p w14:paraId="616251FD">
            <w:r>
              <w:rPr>
                <w:rStyle w:val="10"/>
                <w:rFonts w:hint="eastAsia"/>
              </w:rPr>
              <w:t>注意事项：</w:t>
            </w:r>
            <w:r>
              <w:rPr>
                <w:rFonts w:hint="eastAsia"/>
              </w:rPr>
              <w:br w:type="textWrapping"/>
            </w:r>
            <w:r>
              <w:rPr>
                <w:rStyle w:val="11"/>
                <w:rFonts w:hint="eastAsia"/>
              </w:rPr>
              <w:t>1.喷雾时需定向均匀全面喷在杂草上，勿使药液漂移或接触到作物上，以免产生药害。2.禁止在田间道路、田埂、果树行间、休耕地、林场地等农林区域使用。3.施药时应穿长衣、长裤，佩戴口罩、护目镜、手套等防护用品，避免药液接触皮肤、眼睛和污染衣物，避免吸入雾滴。使用后应及时清洗皮肤及所穿衣物。切勿在施药现场抽烟或饮食。4.远离水产养殖区、河塘等水体施药，禁止在河塘等水体中清洗施药器具；蚕室及桑园附近禁用。5.避免孕妇和哺乳期的妇女接触本品。6.用过的容器应妥善处理，不可随意丢弃或作他用。</w:t>
            </w:r>
          </w:p>
        </w:tc>
      </w:tr>
      <w:tr w14:paraId="36B7A1D3">
        <w:tblPrEx>
          <w:tblCellMar>
            <w:top w:w="0" w:type="dxa"/>
            <w:left w:w="0" w:type="dxa"/>
            <w:bottom w:w="0" w:type="dxa"/>
            <w:right w:w="0" w:type="dxa"/>
          </w:tblCellMar>
        </w:tblPrEx>
        <w:trPr>
          <w:wBefore w:w="0" w:type="auto"/>
          <w:tblCellSpacing w:w="0" w:type="dxa"/>
        </w:trPr>
        <w:tc>
          <w:tcPr>
            <w:tcW w:w="0" w:type="auto"/>
            <w:noWrap w:val="0"/>
            <w:vAlign w:val="center"/>
          </w:tcPr>
          <w:p w14:paraId="3814D45D">
            <w:r>
              <w:rPr>
                <w:rStyle w:val="10"/>
                <w:rFonts w:hint="eastAsia"/>
              </w:rPr>
              <w:t>中毒急救措施：</w:t>
            </w:r>
            <w:r>
              <w:rPr>
                <w:rFonts w:hint="eastAsia"/>
              </w:rPr>
              <w:br w:type="textWrapping"/>
            </w:r>
            <w:r>
              <w:rPr>
                <w:rStyle w:val="11"/>
                <w:rFonts w:hint="eastAsia"/>
              </w:rPr>
              <w:t>本品对眼睛有刺激性。1.中毒症状表现为头晕、恶心、呕吐等。2.用药时感觉不适,应立即停止工作,采用急救措施,并携带标签送医院就诊；3.若本产品溅到皮肤上，应立即用大量清水冲洗，是药剂对皮肤的影响减到最小，如皮肤疼痛感持续，请医生诊治，并单独清洗被污染的工作服。4.若溅入眼睛中，立即用清水冲洗至少15分钟，仍有不适时，就医。5.如不慎吸入，立即离开施药场地，到空气清新的地方，保持呼吸畅通，若刺激性大请医生诊治；6.若误服，立即催吐，并带标签送医诊治，进行对症治疗。用电话通知医院预计到达时间，提前做好急救准备工作，以免延误治疗时间，本品无特效解毒剂。</w:t>
            </w:r>
          </w:p>
        </w:tc>
      </w:tr>
      <w:tr w14:paraId="6E481F0C">
        <w:tblPrEx>
          <w:tblCellMar>
            <w:top w:w="0" w:type="dxa"/>
            <w:left w:w="0" w:type="dxa"/>
            <w:bottom w:w="0" w:type="dxa"/>
            <w:right w:w="0" w:type="dxa"/>
          </w:tblCellMar>
        </w:tblPrEx>
        <w:trPr>
          <w:wBefore w:w="0" w:type="auto"/>
          <w:tblCellSpacing w:w="0" w:type="dxa"/>
        </w:trPr>
        <w:tc>
          <w:tcPr>
            <w:tcW w:w="0" w:type="auto"/>
            <w:noWrap w:val="0"/>
            <w:vAlign w:val="center"/>
          </w:tcPr>
          <w:p w14:paraId="5E0549B6">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本品应贮存在干燥、阴凉、通风、防雨处，远离火源或热源。置于儿童、无关人员触及不到之处，并加锁保存。勿与食品、饮料、粮食、饲料等同贮同运。</w:t>
            </w:r>
          </w:p>
        </w:tc>
      </w:tr>
      <w:tr w14:paraId="30225DBF">
        <w:tblPrEx>
          <w:tblCellMar>
            <w:top w:w="0" w:type="dxa"/>
            <w:left w:w="0" w:type="dxa"/>
            <w:bottom w:w="0" w:type="dxa"/>
            <w:right w:w="0" w:type="dxa"/>
          </w:tblCellMar>
        </w:tblPrEx>
        <w:trPr>
          <w:wBefore w:w="0" w:type="auto"/>
          <w:tblCellSpacing w:w="0" w:type="dxa"/>
        </w:trPr>
        <w:tc>
          <w:tcPr>
            <w:tcW w:w="0" w:type="auto"/>
            <w:noWrap w:val="0"/>
            <w:vAlign w:val="center"/>
          </w:tcPr>
          <w:p w14:paraId="355E8F13">
            <w:r>
              <w:rPr>
                <w:rStyle w:val="10"/>
                <w:rFonts w:hint="eastAsia"/>
              </w:rPr>
              <w:t>质量保证期：</w:t>
            </w:r>
            <w:r>
              <w:rPr>
                <w:rStyle w:val="11"/>
                <w:rFonts w:hint="eastAsia"/>
              </w:rPr>
              <w:t>2年</w:t>
            </w:r>
          </w:p>
        </w:tc>
      </w:tr>
      <w:tr w14:paraId="0DEA3D7B">
        <w:tblPrEx>
          <w:tblCellMar>
            <w:top w:w="0" w:type="dxa"/>
            <w:left w:w="0" w:type="dxa"/>
            <w:bottom w:w="0" w:type="dxa"/>
            <w:right w:w="0" w:type="dxa"/>
          </w:tblCellMar>
        </w:tblPrEx>
        <w:trPr>
          <w:wBefore w:w="0" w:type="auto"/>
          <w:tblCellSpacing w:w="0" w:type="dxa"/>
        </w:trPr>
        <w:tc>
          <w:tcPr>
            <w:tcW w:w="0" w:type="auto"/>
            <w:noWrap w:val="0"/>
            <w:vAlign w:val="center"/>
          </w:tcPr>
          <w:p w14:paraId="62FD37FF">
            <w:r>
              <w:rPr>
                <w:rStyle w:val="10"/>
                <w:rFonts w:hint="eastAsia"/>
              </w:rPr>
              <w:t>备注：</w:t>
            </w:r>
            <w:r>
              <w:rPr>
                <w:rFonts w:hint="eastAsia"/>
              </w:rPr>
              <w:br w:type="textWrapping"/>
            </w:r>
            <w:r>
              <w:rPr>
                <w:rStyle w:val="11"/>
                <w:rFonts w:hint="eastAsia"/>
              </w:rPr>
              <w:t>草甘膦铵盐80%。</w:t>
            </w:r>
          </w:p>
        </w:tc>
      </w:tr>
    </w:tbl>
    <w:p w14:paraId="487F956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FE4A44">
        <w:tblPrEx>
          <w:tblCellMar>
            <w:top w:w="0" w:type="dxa"/>
            <w:left w:w="0" w:type="dxa"/>
            <w:bottom w:w="0" w:type="dxa"/>
            <w:right w:w="0" w:type="dxa"/>
          </w:tblCellMar>
        </w:tblPrEx>
        <w:trPr>
          <w:wBefore w:w="0" w:type="auto"/>
          <w:tblCellSpacing w:w="0" w:type="dxa"/>
        </w:trPr>
        <w:tc>
          <w:tcPr>
            <w:tcW w:w="0" w:type="auto"/>
            <w:noWrap w:val="0"/>
            <w:vAlign w:val="center"/>
          </w:tcPr>
          <w:p w14:paraId="02776E35">
            <w:r>
              <w:rPr>
                <w:rStyle w:val="10"/>
                <w:rFonts w:hint="eastAsia"/>
              </w:rPr>
              <w:t>登记证号：</w:t>
            </w:r>
            <w:r>
              <w:rPr>
                <w:rFonts w:hint="eastAsia"/>
              </w:rPr>
              <w:t>PD20212110</w:t>
            </w:r>
          </w:p>
        </w:tc>
      </w:tr>
      <w:tr w14:paraId="4B51A192">
        <w:tblPrEx>
          <w:tblCellMar>
            <w:top w:w="0" w:type="dxa"/>
            <w:left w:w="0" w:type="dxa"/>
            <w:bottom w:w="0" w:type="dxa"/>
            <w:right w:w="0" w:type="dxa"/>
          </w:tblCellMar>
        </w:tblPrEx>
        <w:trPr>
          <w:wBefore w:w="0" w:type="auto"/>
          <w:tblCellSpacing w:w="0" w:type="dxa"/>
        </w:trPr>
        <w:tc>
          <w:tcPr>
            <w:tcW w:w="0" w:type="auto"/>
            <w:noWrap w:val="0"/>
            <w:vAlign w:val="center"/>
          </w:tcPr>
          <w:p w14:paraId="7E6C1CEA">
            <w:r>
              <w:rPr>
                <w:rStyle w:val="10"/>
                <w:rFonts w:hint="eastAsia"/>
              </w:rPr>
              <w:t>登记证持有人：</w:t>
            </w:r>
            <w:r>
              <w:rPr>
                <w:rFonts w:hint="eastAsia"/>
              </w:rPr>
              <w:t>山东省青岛金尔农化研制开发有限公司</w:t>
            </w:r>
          </w:p>
        </w:tc>
      </w:tr>
      <w:tr w14:paraId="6608C1F4">
        <w:tblPrEx>
          <w:tblCellMar>
            <w:top w:w="0" w:type="dxa"/>
            <w:left w:w="0" w:type="dxa"/>
            <w:bottom w:w="0" w:type="dxa"/>
            <w:right w:w="0" w:type="dxa"/>
          </w:tblCellMar>
        </w:tblPrEx>
        <w:trPr>
          <w:wBefore w:w="0" w:type="auto"/>
          <w:tblCellSpacing w:w="0" w:type="dxa"/>
        </w:trPr>
        <w:tc>
          <w:tcPr>
            <w:tcW w:w="0" w:type="auto"/>
            <w:noWrap w:val="0"/>
            <w:vAlign w:val="center"/>
          </w:tcPr>
          <w:p w14:paraId="189BCF9D">
            <w:r>
              <w:rPr>
                <w:rStyle w:val="10"/>
                <w:rFonts w:hint="eastAsia"/>
              </w:rPr>
              <w:t>农药名称：</w:t>
            </w:r>
            <w:r>
              <w:rPr>
                <w:rFonts w:hint="eastAsia"/>
              </w:rPr>
              <w:t>二氯·莠去津</w:t>
            </w:r>
          </w:p>
        </w:tc>
      </w:tr>
      <w:tr w14:paraId="4DFD069B">
        <w:tblPrEx>
          <w:tblCellMar>
            <w:top w:w="0" w:type="dxa"/>
            <w:left w:w="0" w:type="dxa"/>
            <w:bottom w:w="0" w:type="dxa"/>
            <w:right w:w="0" w:type="dxa"/>
          </w:tblCellMar>
        </w:tblPrEx>
        <w:trPr>
          <w:wBefore w:w="0" w:type="auto"/>
          <w:tblCellSpacing w:w="0" w:type="dxa"/>
        </w:trPr>
        <w:tc>
          <w:tcPr>
            <w:tcW w:w="0" w:type="auto"/>
            <w:noWrap w:val="0"/>
            <w:vAlign w:val="center"/>
          </w:tcPr>
          <w:p w14:paraId="4901CE9F">
            <w:r>
              <w:rPr>
                <w:rStyle w:val="10"/>
                <w:rFonts w:hint="eastAsia"/>
              </w:rPr>
              <w:t>剂型：</w:t>
            </w:r>
            <w:r>
              <w:rPr>
                <w:rFonts w:hint="eastAsia"/>
              </w:rPr>
              <w:t>可分散油悬浮剂</w:t>
            </w:r>
          </w:p>
        </w:tc>
      </w:tr>
      <w:tr w14:paraId="3A473272">
        <w:tblPrEx>
          <w:tblCellMar>
            <w:top w:w="0" w:type="dxa"/>
            <w:left w:w="0" w:type="dxa"/>
            <w:bottom w:w="0" w:type="dxa"/>
            <w:right w:w="0" w:type="dxa"/>
          </w:tblCellMar>
        </w:tblPrEx>
        <w:trPr>
          <w:wBefore w:w="0" w:type="auto"/>
          <w:tblCellSpacing w:w="0" w:type="dxa"/>
        </w:trPr>
        <w:tc>
          <w:tcPr>
            <w:tcW w:w="0" w:type="auto"/>
            <w:noWrap w:val="0"/>
            <w:vAlign w:val="center"/>
          </w:tcPr>
          <w:p w14:paraId="4B370AE3">
            <w:r>
              <w:rPr>
                <w:rStyle w:val="10"/>
                <w:rFonts w:hint="eastAsia"/>
              </w:rPr>
              <w:t>毒性及其标识：</w:t>
            </w:r>
            <w:r>
              <w:rPr>
                <w:rFonts w:hint="eastAsia"/>
              </w:rPr>
              <w:t xml:space="preserve"> </w:t>
            </w:r>
            <w:r>
              <w:rPr>
                <w:lang/>
              </w:rPr>
              <w:drawing>
                <wp:inline distT="0" distB="0" distL="114300" distR="114300">
                  <wp:extent cx="476250" cy="323850"/>
                  <wp:effectExtent l="0" t="0" r="0" b="0"/>
                  <wp:docPr id="555" name="图片 55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B4934C9">
        <w:tblPrEx>
          <w:tblCellMar>
            <w:top w:w="0" w:type="dxa"/>
            <w:left w:w="0" w:type="dxa"/>
            <w:bottom w:w="0" w:type="dxa"/>
            <w:right w:w="0" w:type="dxa"/>
          </w:tblCellMar>
        </w:tblPrEx>
        <w:trPr>
          <w:wBefore w:w="0" w:type="auto"/>
          <w:tblCellSpacing w:w="0" w:type="dxa"/>
        </w:trPr>
        <w:tc>
          <w:tcPr>
            <w:tcW w:w="0" w:type="auto"/>
            <w:noWrap w:val="0"/>
            <w:vAlign w:val="center"/>
          </w:tcPr>
          <w:p w14:paraId="1282F6C7">
            <w:r>
              <w:rPr>
                <w:rStyle w:val="10"/>
                <w:rFonts w:hint="eastAsia"/>
              </w:rPr>
              <w:t>总有效成分含量：</w:t>
            </w:r>
            <w:r>
              <w:rPr>
                <w:rFonts w:hint="eastAsia"/>
              </w:rPr>
              <w:t>30%</w:t>
            </w:r>
          </w:p>
        </w:tc>
      </w:tr>
      <w:tr w14:paraId="19C94104">
        <w:tblPrEx>
          <w:tblCellMar>
            <w:top w:w="0" w:type="dxa"/>
            <w:left w:w="0" w:type="dxa"/>
            <w:bottom w:w="0" w:type="dxa"/>
            <w:right w:w="0" w:type="dxa"/>
          </w:tblCellMar>
        </w:tblPrEx>
        <w:trPr>
          <w:wBefore w:w="0" w:type="auto"/>
          <w:tblCellSpacing w:w="0" w:type="dxa"/>
        </w:trPr>
        <w:tc>
          <w:tcPr>
            <w:tcW w:w="0" w:type="auto"/>
            <w:noWrap w:val="0"/>
            <w:vAlign w:val="center"/>
          </w:tcPr>
          <w:p w14:paraId="55CF814E">
            <w:r>
              <w:rPr>
                <w:rFonts w:hint="eastAsia"/>
              </w:rPr>
              <w:t xml:space="preserve">有效成分及其含量： </w:t>
            </w:r>
          </w:p>
          <w:p w14:paraId="3521F470">
            <w:r>
              <w:rPr>
                <w:rFonts w:hint="eastAsia"/>
              </w:rPr>
              <w:t xml:space="preserve">    二氯喹啉酸10%    莠去津20%    </w:t>
            </w:r>
          </w:p>
        </w:tc>
      </w:tr>
      <w:tr w14:paraId="431DCA2A">
        <w:tblPrEx>
          <w:tblCellMar>
            <w:top w:w="0" w:type="dxa"/>
            <w:left w:w="0" w:type="dxa"/>
            <w:bottom w:w="0" w:type="dxa"/>
            <w:right w:w="0" w:type="dxa"/>
          </w:tblCellMar>
        </w:tblPrEx>
        <w:trPr>
          <w:wBefore w:w="0" w:type="auto"/>
          <w:tblCellSpacing w:w="0" w:type="dxa"/>
        </w:trPr>
        <w:tc>
          <w:tcPr>
            <w:tcW w:w="0" w:type="auto"/>
            <w:noWrap w:val="0"/>
            <w:vAlign w:val="center"/>
          </w:tcPr>
          <w:p w14:paraId="1540572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99050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9C2EB1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D812B4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3E4809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D4A6EC5">
                  <w:r>
                    <w:rPr>
                      <w:rStyle w:val="11"/>
                      <w:rFonts w:hint="eastAsia"/>
                    </w:rPr>
                    <w:t>施用方式</w:t>
                  </w:r>
                </w:p>
              </w:tc>
            </w:tr>
            <w:tr w14:paraId="4C310D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2C8D95">
                  <w:r>
                    <w:rPr>
                      <w:rStyle w:val="11"/>
                      <w:rFonts w:hint="eastAsia"/>
                    </w:rPr>
                    <w:t>高粱田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74188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7C4F2F">
                  <w:r>
                    <w:rPr>
                      <w:rStyle w:val="11"/>
                      <w:rFonts w:hint="eastAsia"/>
                    </w:rPr>
                    <w:t>140-180毫升/亩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B1D73C">
                  <w:r>
                    <w:rPr>
                      <w:rStyle w:val="11"/>
                      <w:rFonts w:hint="eastAsia"/>
                    </w:rPr>
                    <w:t>茎叶喷雾</w:t>
                  </w:r>
                </w:p>
              </w:tc>
            </w:tr>
          </w:tbl>
          <w:p w14:paraId="59A0CCFF">
            <w:pPr>
              <w:rPr>
                <w:rFonts w:ascii="Times New Roman" w:hAnsi="Times New Roman" w:cs="Times New Roman"/>
                <w:sz w:val="20"/>
                <w:szCs w:val="20"/>
              </w:rPr>
            </w:pPr>
          </w:p>
        </w:tc>
      </w:tr>
      <w:tr w14:paraId="27082D06">
        <w:tblPrEx>
          <w:tblCellMar>
            <w:top w:w="0" w:type="dxa"/>
            <w:left w:w="0" w:type="dxa"/>
            <w:bottom w:w="0" w:type="dxa"/>
            <w:right w:w="0" w:type="dxa"/>
          </w:tblCellMar>
        </w:tblPrEx>
        <w:trPr>
          <w:wBefore w:w="0" w:type="auto"/>
          <w:tblCellSpacing w:w="0" w:type="dxa"/>
        </w:trPr>
        <w:tc>
          <w:tcPr>
            <w:tcW w:w="0" w:type="auto"/>
            <w:noWrap w:val="0"/>
            <w:vAlign w:val="center"/>
          </w:tcPr>
          <w:p w14:paraId="49AA2F83">
            <w:r>
              <w:rPr>
                <w:rStyle w:val="10"/>
                <w:rFonts w:hint="eastAsia"/>
              </w:rPr>
              <w:t>使用技术要求:</w:t>
            </w:r>
            <w:r>
              <w:rPr>
                <w:rFonts w:hint="eastAsia"/>
              </w:rPr>
              <w:br w:type="textWrapping"/>
            </w:r>
            <w:r>
              <w:rPr>
                <w:rStyle w:val="11"/>
                <w:rFonts w:hint="eastAsia"/>
              </w:rPr>
              <w:t>1. 使用前充分摇匀，先加入少量水配成母液，然后按每亩30-45公斤兑水，充分搅拌。 2. 本品应在高粱3-5叶期，杂草2-5叶期用药。3. 大风天或预计1小时内降雨，请勿施药。 4. 每季作物最多使用1次。5. 尽量选择无风的天气施药，避免飘移药害。6. 二氯喹啉酸在土壤中有积累作用，注意合理安排后茬作物，保证安全间隔期。</w:t>
            </w:r>
          </w:p>
        </w:tc>
      </w:tr>
      <w:tr w14:paraId="05BE3B74">
        <w:tblPrEx>
          <w:tblCellMar>
            <w:top w:w="0" w:type="dxa"/>
            <w:left w:w="0" w:type="dxa"/>
            <w:bottom w:w="0" w:type="dxa"/>
            <w:right w:w="0" w:type="dxa"/>
          </w:tblCellMar>
        </w:tblPrEx>
        <w:trPr>
          <w:wBefore w:w="0" w:type="auto"/>
          <w:tblCellSpacing w:w="0" w:type="dxa"/>
        </w:trPr>
        <w:tc>
          <w:tcPr>
            <w:tcW w:w="0" w:type="auto"/>
            <w:noWrap w:val="0"/>
            <w:vAlign w:val="center"/>
          </w:tcPr>
          <w:p w14:paraId="0BE25586">
            <w:r>
              <w:rPr>
                <w:rStyle w:val="10"/>
                <w:rFonts w:hint="eastAsia"/>
              </w:rPr>
              <w:t>产品性能:</w:t>
            </w:r>
            <w:r>
              <w:rPr>
                <w:rFonts w:hint="eastAsia"/>
              </w:rPr>
              <w:br w:type="textWrapping"/>
            </w:r>
            <w:r>
              <w:rPr>
                <w:rStyle w:val="11"/>
                <w:rFonts w:hint="eastAsia"/>
              </w:rPr>
              <w:t>本品为二氯喹啉酸和莠去津复配的选择性内吸传导型除草剂，用于防除高粱一年生杂草。</w:t>
            </w:r>
          </w:p>
        </w:tc>
      </w:tr>
      <w:tr w14:paraId="0A2B1626">
        <w:tblPrEx>
          <w:tblCellMar>
            <w:top w:w="0" w:type="dxa"/>
            <w:left w:w="0" w:type="dxa"/>
            <w:bottom w:w="0" w:type="dxa"/>
            <w:right w:w="0" w:type="dxa"/>
          </w:tblCellMar>
        </w:tblPrEx>
        <w:trPr>
          <w:wBefore w:w="0" w:type="auto"/>
          <w:tblCellSpacing w:w="0" w:type="dxa"/>
        </w:trPr>
        <w:tc>
          <w:tcPr>
            <w:tcW w:w="0" w:type="auto"/>
            <w:noWrap w:val="0"/>
            <w:vAlign w:val="center"/>
          </w:tcPr>
          <w:p w14:paraId="12177832">
            <w:r>
              <w:rPr>
                <w:rStyle w:val="10"/>
                <w:rFonts w:hint="eastAsia"/>
              </w:rPr>
              <w:t>注意事项：</w:t>
            </w:r>
            <w:r>
              <w:rPr>
                <w:rFonts w:hint="eastAsia"/>
              </w:rPr>
              <w:br w:type="textWrapping"/>
            </w:r>
            <w:r>
              <w:rPr>
                <w:rStyle w:val="11"/>
                <w:rFonts w:hint="eastAsia"/>
              </w:rPr>
              <w:t>1. 勿超剂量使用避免药害；在不同地区大面积推广前建议开展小范围试验研究，明确对不同高粱品种的安全性。2. 积水严重的田块禁止使用本品。3. 本品残效期较长，豆类、麦类、棉花、水稻、蔬菜、桃树等对该药敏感。4. 勿将本品与任何有机磷类，氨基甲酸酯类杀虫剂混用或在间隔7天使用。5. 本品对眼睛有刺激性，使用时避免接触眼睛，穿戴长衣、长裤、帽子、口罩、手套等防护措施。施药期间不可吃东西和饮水，施药后应及时洗手和洗脸。6. 本品对蜜蜂、鱼类等水生生物、家蚕有毒，施药期间应避免对周围蜂群的影响，蜜源作物花期、蚕室和桑园附近禁用。赤眼蜂、瓢虫等天敌放飞区禁用。鸟类保护区附近禁用。7. 远离水产养殖区、河塘等水体施药，禁止在河塘等水体中清洗施药器具。 8. 孕妇和哺乳期妇女应避免接触本品。9. 用过的容器应妥善处理，不可做他用，也不可随意丢弃。</w:t>
            </w:r>
          </w:p>
        </w:tc>
      </w:tr>
      <w:tr w14:paraId="59A28D5F">
        <w:tblPrEx>
          <w:tblCellMar>
            <w:top w:w="0" w:type="dxa"/>
            <w:left w:w="0" w:type="dxa"/>
            <w:bottom w:w="0" w:type="dxa"/>
            <w:right w:w="0" w:type="dxa"/>
          </w:tblCellMar>
        </w:tblPrEx>
        <w:trPr>
          <w:wBefore w:w="0" w:type="auto"/>
          <w:tblCellSpacing w:w="0" w:type="dxa"/>
        </w:trPr>
        <w:tc>
          <w:tcPr>
            <w:tcW w:w="0" w:type="auto"/>
            <w:noWrap w:val="0"/>
            <w:vAlign w:val="center"/>
          </w:tcPr>
          <w:p w14:paraId="049E6FBB">
            <w:r>
              <w:rPr>
                <w:rStyle w:val="10"/>
                <w:rFonts w:hint="eastAsia"/>
              </w:rPr>
              <w:t>中毒急救措施：</w:t>
            </w:r>
            <w:r>
              <w:rPr>
                <w:rFonts w:hint="eastAsia"/>
              </w:rPr>
              <w:br w:type="textWrapping"/>
            </w:r>
            <w:r>
              <w:rPr>
                <w:rStyle w:val="11"/>
                <w:rFonts w:hint="eastAsia"/>
              </w:rPr>
              <w:t>如不慎吸入，应立即将病人移至空气流通处；如不慎接触皮肤或溅入眼内，立即用大量清水冲洗至少15分钟，并就医；如误服，携此标签迅速将误服者送医院急救，无特殊解毒剂，对症治疗。</w:t>
            </w:r>
          </w:p>
        </w:tc>
      </w:tr>
      <w:tr w14:paraId="03144C54">
        <w:tblPrEx>
          <w:tblCellMar>
            <w:top w:w="0" w:type="dxa"/>
            <w:left w:w="0" w:type="dxa"/>
            <w:bottom w:w="0" w:type="dxa"/>
            <w:right w:w="0" w:type="dxa"/>
          </w:tblCellMar>
        </w:tblPrEx>
        <w:trPr>
          <w:wBefore w:w="0" w:type="auto"/>
          <w:tblCellSpacing w:w="0" w:type="dxa"/>
        </w:trPr>
        <w:tc>
          <w:tcPr>
            <w:tcW w:w="0" w:type="auto"/>
            <w:noWrap w:val="0"/>
            <w:vAlign w:val="center"/>
          </w:tcPr>
          <w:p w14:paraId="17BC0B35">
            <w:r>
              <w:rPr>
                <w:rStyle w:val="10"/>
                <w:rFonts w:hint="eastAsia"/>
              </w:rPr>
              <w:t>储存和运输方法：</w:t>
            </w:r>
            <w:r>
              <w:rPr>
                <w:rFonts w:hint="eastAsia"/>
              </w:rPr>
              <w:br w:type="textWrapping"/>
            </w:r>
            <w:r>
              <w:rPr>
                <w:rStyle w:val="11"/>
                <w:rFonts w:hint="eastAsia"/>
              </w:rPr>
              <w:t>本品应贮存在阴凉、干燥、通风、防雨处。远离火源或热源。置于儿童、无关人员触及不到之处，并加锁保存。勿与食品、饮料、饲料、粮食等同贮同运。</w:t>
            </w:r>
          </w:p>
        </w:tc>
      </w:tr>
      <w:tr w14:paraId="0336551B">
        <w:tblPrEx>
          <w:tblCellMar>
            <w:top w:w="0" w:type="dxa"/>
            <w:left w:w="0" w:type="dxa"/>
            <w:bottom w:w="0" w:type="dxa"/>
            <w:right w:w="0" w:type="dxa"/>
          </w:tblCellMar>
        </w:tblPrEx>
        <w:trPr>
          <w:wBefore w:w="0" w:type="auto"/>
          <w:tblCellSpacing w:w="0" w:type="dxa"/>
        </w:trPr>
        <w:tc>
          <w:tcPr>
            <w:tcW w:w="0" w:type="auto"/>
            <w:noWrap w:val="0"/>
            <w:vAlign w:val="center"/>
          </w:tcPr>
          <w:p w14:paraId="6ED56CC6">
            <w:r>
              <w:rPr>
                <w:rStyle w:val="10"/>
                <w:rFonts w:hint="eastAsia"/>
              </w:rPr>
              <w:t>质量保证期：</w:t>
            </w:r>
            <w:r>
              <w:rPr>
                <w:rStyle w:val="11"/>
                <w:rFonts w:hint="eastAsia"/>
              </w:rPr>
              <w:t>2年</w:t>
            </w:r>
          </w:p>
        </w:tc>
      </w:tr>
      <w:tr w14:paraId="004D5513">
        <w:tblPrEx>
          <w:tblCellMar>
            <w:top w:w="0" w:type="dxa"/>
            <w:left w:w="0" w:type="dxa"/>
            <w:bottom w:w="0" w:type="dxa"/>
            <w:right w:w="0" w:type="dxa"/>
          </w:tblCellMar>
        </w:tblPrEx>
        <w:trPr>
          <w:wBefore w:w="0" w:type="auto"/>
          <w:tblCellSpacing w:w="0" w:type="dxa"/>
        </w:trPr>
        <w:tc>
          <w:tcPr>
            <w:tcW w:w="0" w:type="auto"/>
            <w:noWrap w:val="0"/>
            <w:vAlign w:val="center"/>
          </w:tcPr>
          <w:p w14:paraId="2BC26508">
            <w:r>
              <w:rPr>
                <w:rStyle w:val="10"/>
                <w:rFonts w:hint="eastAsia"/>
              </w:rPr>
              <w:t>备注：</w:t>
            </w:r>
          </w:p>
        </w:tc>
      </w:tr>
    </w:tbl>
    <w:p w14:paraId="4B13E4C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93F030B">
        <w:tblPrEx>
          <w:tblCellMar>
            <w:top w:w="0" w:type="dxa"/>
            <w:left w:w="0" w:type="dxa"/>
            <w:bottom w:w="0" w:type="dxa"/>
            <w:right w:w="0" w:type="dxa"/>
          </w:tblCellMar>
        </w:tblPrEx>
        <w:trPr>
          <w:wBefore w:w="0" w:type="auto"/>
          <w:tblCellSpacing w:w="0" w:type="dxa"/>
        </w:trPr>
        <w:tc>
          <w:tcPr>
            <w:tcW w:w="0" w:type="auto"/>
            <w:noWrap w:val="0"/>
            <w:vAlign w:val="center"/>
          </w:tcPr>
          <w:p w14:paraId="0D65417B">
            <w:r>
              <w:rPr>
                <w:rStyle w:val="10"/>
                <w:rFonts w:hint="eastAsia"/>
              </w:rPr>
              <w:t>登记证号：</w:t>
            </w:r>
            <w:r>
              <w:rPr>
                <w:rFonts w:hint="eastAsia"/>
              </w:rPr>
              <w:t>PD20212070</w:t>
            </w:r>
          </w:p>
        </w:tc>
      </w:tr>
      <w:tr w14:paraId="3FEE3F84">
        <w:tblPrEx>
          <w:tblCellMar>
            <w:top w:w="0" w:type="dxa"/>
            <w:left w:w="0" w:type="dxa"/>
            <w:bottom w:w="0" w:type="dxa"/>
            <w:right w:w="0" w:type="dxa"/>
          </w:tblCellMar>
        </w:tblPrEx>
        <w:trPr>
          <w:wBefore w:w="0" w:type="auto"/>
          <w:tblCellSpacing w:w="0" w:type="dxa"/>
        </w:trPr>
        <w:tc>
          <w:tcPr>
            <w:tcW w:w="0" w:type="auto"/>
            <w:noWrap w:val="0"/>
            <w:vAlign w:val="center"/>
          </w:tcPr>
          <w:p w14:paraId="3FD19D67">
            <w:r>
              <w:rPr>
                <w:rStyle w:val="10"/>
                <w:rFonts w:hint="eastAsia"/>
              </w:rPr>
              <w:t>登记证持有人：</w:t>
            </w:r>
            <w:r>
              <w:rPr>
                <w:rFonts w:hint="eastAsia"/>
              </w:rPr>
              <w:t>山东大成生物化工有限公司</w:t>
            </w:r>
          </w:p>
        </w:tc>
      </w:tr>
      <w:tr w14:paraId="15B0D6E7">
        <w:tblPrEx>
          <w:tblCellMar>
            <w:top w:w="0" w:type="dxa"/>
            <w:left w:w="0" w:type="dxa"/>
            <w:bottom w:w="0" w:type="dxa"/>
            <w:right w:w="0" w:type="dxa"/>
          </w:tblCellMar>
        </w:tblPrEx>
        <w:trPr>
          <w:wBefore w:w="0" w:type="auto"/>
          <w:tblCellSpacing w:w="0" w:type="dxa"/>
        </w:trPr>
        <w:tc>
          <w:tcPr>
            <w:tcW w:w="0" w:type="auto"/>
            <w:noWrap w:val="0"/>
            <w:vAlign w:val="center"/>
          </w:tcPr>
          <w:p w14:paraId="58CDCACB">
            <w:r>
              <w:rPr>
                <w:rStyle w:val="10"/>
                <w:rFonts w:hint="eastAsia"/>
              </w:rPr>
              <w:t>农药名称：</w:t>
            </w:r>
            <w:r>
              <w:rPr>
                <w:rFonts w:hint="eastAsia"/>
              </w:rPr>
              <w:t>28-高芸苔素内酯</w:t>
            </w:r>
          </w:p>
        </w:tc>
      </w:tr>
      <w:tr w14:paraId="61FEFB8D">
        <w:tblPrEx>
          <w:tblCellMar>
            <w:top w:w="0" w:type="dxa"/>
            <w:left w:w="0" w:type="dxa"/>
            <w:bottom w:w="0" w:type="dxa"/>
            <w:right w:w="0" w:type="dxa"/>
          </w:tblCellMar>
        </w:tblPrEx>
        <w:trPr>
          <w:wBefore w:w="0" w:type="auto"/>
          <w:tblCellSpacing w:w="0" w:type="dxa"/>
        </w:trPr>
        <w:tc>
          <w:tcPr>
            <w:tcW w:w="0" w:type="auto"/>
            <w:noWrap w:val="0"/>
            <w:vAlign w:val="center"/>
          </w:tcPr>
          <w:p w14:paraId="653C1B25">
            <w:r>
              <w:rPr>
                <w:rStyle w:val="10"/>
                <w:rFonts w:hint="eastAsia"/>
              </w:rPr>
              <w:t>剂型：</w:t>
            </w:r>
            <w:r>
              <w:rPr>
                <w:rFonts w:hint="eastAsia"/>
              </w:rPr>
              <w:t>可溶液剂</w:t>
            </w:r>
          </w:p>
        </w:tc>
      </w:tr>
      <w:tr w14:paraId="36D93CE5">
        <w:tblPrEx>
          <w:tblCellMar>
            <w:top w:w="0" w:type="dxa"/>
            <w:left w:w="0" w:type="dxa"/>
            <w:bottom w:w="0" w:type="dxa"/>
            <w:right w:w="0" w:type="dxa"/>
          </w:tblCellMar>
        </w:tblPrEx>
        <w:trPr>
          <w:wBefore w:w="0" w:type="auto"/>
          <w:tblCellSpacing w:w="0" w:type="dxa"/>
        </w:trPr>
        <w:tc>
          <w:tcPr>
            <w:tcW w:w="0" w:type="auto"/>
            <w:noWrap w:val="0"/>
            <w:vAlign w:val="center"/>
          </w:tcPr>
          <w:p w14:paraId="34B1A9B9">
            <w:r>
              <w:rPr>
                <w:rStyle w:val="10"/>
                <w:rFonts w:hint="eastAsia"/>
              </w:rPr>
              <w:t>毒性及其标识：</w:t>
            </w:r>
            <w:r>
              <w:rPr>
                <w:rFonts w:hint="eastAsia"/>
              </w:rPr>
              <w:t xml:space="preserve"> </w:t>
            </w:r>
            <w:r>
              <w:rPr>
                <w:lang/>
              </w:rPr>
              <w:drawing>
                <wp:inline distT="0" distB="0" distL="114300" distR="114300">
                  <wp:extent cx="476250" cy="323850"/>
                  <wp:effectExtent l="0" t="0" r="0" b="0"/>
                  <wp:docPr id="556" name="图片 55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55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7BE4691">
        <w:tblPrEx>
          <w:tblCellMar>
            <w:top w:w="0" w:type="dxa"/>
            <w:left w:w="0" w:type="dxa"/>
            <w:bottom w:w="0" w:type="dxa"/>
            <w:right w:w="0" w:type="dxa"/>
          </w:tblCellMar>
        </w:tblPrEx>
        <w:trPr>
          <w:wBefore w:w="0" w:type="auto"/>
          <w:tblCellSpacing w:w="0" w:type="dxa"/>
        </w:trPr>
        <w:tc>
          <w:tcPr>
            <w:tcW w:w="0" w:type="auto"/>
            <w:noWrap w:val="0"/>
            <w:vAlign w:val="center"/>
          </w:tcPr>
          <w:p w14:paraId="5B8B8C5C">
            <w:r>
              <w:rPr>
                <w:rStyle w:val="10"/>
                <w:rFonts w:hint="eastAsia"/>
              </w:rPr>
              <w:t>总有效成分含量：</w:t>
            </w:r>
            <w:r>
              <w:rPr>
                <w:rFonts w:hint="eastAsia"/>
              </w:rPr>
              <w:t>0.01%</w:t>
            </w:r>
          </w:p>
        </w:tc>
      </w:tr>
      <w:tr w14:paraId="117A1C47">
        <w:tblPrEx>
          <w:tblCellMar>
            <w:top w:w="0" w:type="dxa"/>
            <w:left w:w="0" w:type="dxa"/>
            <w:bottom w:w="0" w:type="dxa"/>
            <w:right w:w="0" w:type="dxa"/>
          </w:tblCellMar>
        </w:tblPrEx>
        <w:trPr>
          <w:wBefore w:w="0" w:type="auto"/>
          <w:tblCellSpacing w:w="0" w:type="dxa"/>
        </w:trPr>
        <w:tc>
          <w:tcPr>
            <w:tcW w:w="0" w:type="auto"/>
            <w:noWrap w:val="0"/>
            <w:vAlign w:val="center"/>
          </w:tcPr>
          <w:p w14:paraId="611121E4">
            <w:r>
              <w:rPr>
                <w:rFonts w:hint="eastAsia"/>
              </w:rPr>
              <w:t xml:space="preserve">有效成分及其含量： </w:t>
            </w:r>
          </w:p>
          <w:p w14:paraId="4B87B9DB">
            <w:r>
              <w:rPr>
                <w:rFonts w:hint="eastAsia"/>
              </w:rPr>
              <w:t xml:space="preserve">    28-高芸苔素内酯0.01%    </w:t>
            </w:r>
          </w:p>
        </w:tc>
      </w:tr>
      <w:tr w14:paraId="18768169">
        <w:tblPrEx>
          <w:tblCellMar>
            <w:top w:w="0" w:type="dxa"/>
            <w:left w:w="0" w:type="dxa"/>
            <w:bottom w:w="0" w:type="dxa"/>
            <w:right w:w="0" w:type="dxa"/>
          </w:tblCellMar>
        </w:tblPrEx>
        <w:trPr>
          <w:wBefore w:w="0" w:type="auto"/>
          <w:tblCellSpacing w:w="0" w:type="dxa"/>
        </w:trPr>
        <w:tc>
          <w:tcPr>
            <w:tcW w:w="0" w:type="auto"/>
            <w:noWrap w:val="0"/>
            <w:vAlign w:val="center"/>
          </w:tcPr>
          <w:p w14:paraId="6A07911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AD3AF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0739F1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BF30D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CA4B28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A44DED4">
                  <w:r>
                    <w:rPr>
                      <w:rStyle w:val="11"/>
                      <w:rFonts w:hint="eastAsia"/>
                    </w:rPr>
                    <w:t>施用方式</w:t>
                  </w:r>
                </w:p>
              </w:tc>
            </w:tr>
            <w:tr w14:paraId="1EE1BE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81C227">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E32D70">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D74263">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4C74B1">
                  <w:r>
                    <w:rPr>
                      <w:rStyle w:val="11"/>
                      <w:rFonts w:hint="eastAsia"/>
                    </w:rPr>
                    <w:t>喷雾</w:t>
                  </w:r>
                </w:p>
              </w:tc>
            </w:tr>
          </w:tbl>
          <w:p w14:paraId="6DF0B093">
            <w:pPr>
              <w:rPr>
                <w:rFonts w:ascii="Times New Roman" w:hAnsi="Times New Roman" w:cs="Times New Roman"/>
                <w:sz w:val="20"/>
                <w:szCs w:val="20"/>
              </w:rPr>
            </w:pPr>
          </w:p>
        </w:tc>
      </w:tr>
      <w:tr w14:paraId="6CB6B65D">
        <w:tblPrEx>
          <w:tblCellMar>
            <w:top w:w="0" w:type="dxa"/>
            <w:left w:w="0" w:type="dxa"/>
            <w:bottom w:w="0" w:type="dxa"/>
            <w:right w:w="0" w:type="dxa"/>
          </w:tblCellMar>
        </w:tblPrEx>
        <w:trPr>
          <w:wBefore w:w="0" w:type="auto"/>
          <w:tblCellSpacing w:w="0" w:type="dxa"/>
        </w:trPr>
        <w:tc>
          <w:tcPr>
            <w:tcW w:w="0" w:type="auto"/>
            <w:noWrap w:val="0"/>
            <w:vAlign w:val="center"/>
          </w:tcPr>
          <w:p w14:paraId="66A266DA">
            <w:r>
              <w:rPr>
                <w:rStyle w:val="10"/>
                <w:rFonts w:hint="eastAsia"/>
              </w:rPr>
              <w:t>使用技术要求:</w:t>
            </w:r>
            <w:r>
              <w:rPr>
                <w:rFonts w:hint="eastAsia"/>
              </w:rPr>
              <w:br w:type="textWrapping"/>
            </w:r>
            <w:r>
              <w:rPr>
                <w:rStyle w:val="11"/>
                <w:rFonts w:hint="eastAsia"/>
              </w:rPr>
              <w:t>1.在黄瓜初花期、幼果期喷雾施药各一次。23. 大风天气或预计1小时内有降雨时请勿施药。</w:t>
            </w:r>
          </w:p>
        </w:tc>
      </w:tr>
      <w:tr w14:paraId="4CE38931">
        <w:tblPrEx>
          <w:tblCellMar>
            <w:top w:w="0" w:type="dxa"/>
            <w:left w:w="0" w:type="dxa"/>
            <w:bottom w:w="0" w:type="dxa"/>
            <w:right w:w="0" w:type="dxa"/>
          </w:tblCellMar>
        </w:tblPrEx>
        <w:trPr>
          <w:wBefore w:w="0" w:type="auto"/>
          <w:tblCellSpacing w:w="0" w:type="dxa"/>
        </w:trPr>
        <w:tc>
          <w:tcPr>
            <w:tcW w:w="0" w:type="auto"/>
            <w:noWrap w:val="0"/>
            <w:vAlign w:val="center"/>
          </w:tcPr>
          <w:p w14:paraId="50482B7B">
            <w:r>
              <w:rPr>
                <w:rStyle w:val="10"/>
                <w:rFonts w:hint="eastAsia"/>
              </w:rPr>
              <w:t>产品性能:</w:t>
            </w:r>
            <w:r>
              <w:rPr>
                <w:rFonts w:hint="eastAsia"/>
              </w:rPr>
              <w:br w:type="textWrapping"/>
            </w:r>
            <w:r>
              <w:rPr>
                <w:rStyle w:val="11"/>
                <w:rFonts w:hint="eastAsia"/>
              </w:rPr>
              <w:t xml:space="preserve">本品属于甾醇类植物生长调节剂，具有使植物细胞分裂和延长的双重作用，可促进根系发达，增强光合作用，提高作物叶绿素含量，促进作物对肥料的有效吸收，辅助作物劣势部分的良好生长。 </w:t>
            </w:r>
          </w:p>
        </w:tc>
      </w:tr>
      <w:tr w14:paraId="46CA4810">
        <w:tblPrEx>
          <w:tblCellMar>
            <w:top w:w="0" w:type="dxa"/>
            <w:left w:w="0" w:type="dxa"/>
            <w:bottom w:w="0" w:type="dxa"/>
            <w:right w:w="0" w:type="dxa"/>
          </w:tblCellMar>
        </w:tblPrEx>
        <w:trPr>
          <w:wBefore w:w="0" w:type="auto"/>
          <w:tblCellSpacing w:w="0" w:type="dxa"/>
        </w:trPr>
        <w:tc>
          <w:tcPr>
            <w:tcW w:w="0" w:type="auto"/>
            <w:noWrap w:val="0"/>
            <w:vAlign w:val="center"/>
          </w:tcPr>
          <w:p w14:paraId="4C1CF605">
            <w:r>
              <w:rPr>
                <w:rStyle w:val="10"/>
                <w:rFonts w:hint="eastAsia"/>
              </w:rPr>
              <w:t>注意事项：</w:t>
            </w:r>
            <w:r>
              <w:rPr>
                <w:rFonts w:hint="eastAsia"/>
              </w:rPr>
              <w:br w:type="textWrapping"/>
            </w:r>
            <w:r>
              <w:rPr>
                <w:rStyle w:val="11"/>
                <w:rFonts w:hint="eastAsia"/>
              </w:rPr>
              <w:t>1、使用本品时应采取安全防护措施，穿防护服，戴口罩和手套，避免刺激眼睛、皮肤接触及口鼻吸入，切勿吸烟或饮食。施药后用肥皂洗净身体暴露部分。2、施药期间应密切关注对附近蜂群的影响，周围开花植物花期禁用，蚕室和桑园附近禁用。远离水产养殖区施药，禁止在河塘等水浴清洗施药器具,天敌放飞区域禁用。3、孕妇及哺乳期妇女禁用。使用中有任何不良反应，请及时送医就诊。4、用过的容器应妥善处理，不可做他用，也不可随意丢弃。5、避免与氧化剂接触。</w:t>
            </w:r>
          </w:p>
        </w:tc>
      </w:tr>
      <w:tr w14:paraId="624C768B">
        <w:tblPrEx>
          <w:tblCellMar>
            <w:top w:w="0" w:type="dxa"/>
            <w:left w:w="0" w:type="dxa"/>
            <w:bottom w:w="0" w:type="dxa"/>
            <w:right w:w="0" w:type="dxa"/>
          </w:tblCellMar>
        </w:tblPrEx>
        <w:trPr>
          <w:wBefore w:w="0" w:type="auto"/>
          <w:tblCellSpacing w:w="0" w:type="dxa"/>
        </w:trPr>
        <w:tc>
          <w:tcPr>
            <w:tcW w:w="0" w:type="auto"/>
            <w:noWrap w:val="0"/>
            <w:vAlign w:val="center"/>
          </w:tcPr>
          <w:p w14:paraId="21DA05D1">
            <w:r>
              <w:rPr>
                <w:rStyle w:val="10"/>
                <w:rFonts w:hint="eastAsia"/>
              </w:rPr>
              <w:t>中毒急救措施：</w:t>
            </w:r>
            <w:r>
              <w:rPr>
                <w:rFonts w:hint="eastAsia"/>
              </w:rPr>
              <w:br w:type="textWrapping"/>
            </w:r>
            <w:r>
              <w:rPr>
                <w:rStyle w:val="11"/>
                <w:rFonts w:hint="eastAsia"/>
              </w:rPr>
              <w:t>皮肤接触：立即脱掉被污染的衣物，用大量清水彻底冲洗受污染皮肤，如皮肤刺激感持续，请医生诊治。 眼睛溅药：立即将眼睑翻开，用清水冲洗至少15分钟，再请医生诊治。 发生吸入：立即将吸入者转移到空气清新处，如果吸入者停止呼吸，需要进行人工呼吸。注意保暖和休息。请医生诊治。 误服：请勿引吐，及时去医院检查治疗。</w:t>
            </w:r>
          </w:p>
        </w:tc>
      </w:tr>
      <w:tr w14:paraId="7957867B">
        <w:tblPrEx>
          <w:tblCellMar>
            <w:top w:w="0" w:type="dxa"/>
            <w:left w:w="0" w:type="dxa"/>
            <w:bottom w:w="0" w:type="dxa"/>
            <w:right w:w="0" w:type="dxa"/>
          </w:tblCellMar>
        </w:tblPrEx>
        <w:trPr>
          <w:wBefore w:w="0" w:type="auto"/>
          <w:tblCellSpacing w:w="0" w:type="dxa"/>
        </w:trPr>
        <w:tc>
          <w:tcPr>
            <w:tcW w:w="0" w:type="auto"/>
            <w:noWrap w:val="0"/>
            <w:vAlign w:val="center"/>
          </w:tcPr>
          <w:p w14:paraId="688C6D3C">
            <w:r>
              <w:rPr>
                <w:rStyle w:val="10"/>
                <w:rFonts w:hint="eastAsia"/>
              </w:rPr>
              <w:t>储存和运输方法：</w:t>
            </w:r>
            <w:r>
              <w:rPr>
                <w:rFonts w:hint="eastAsia"/>
              </w:rPr>
              <w:br w:type="textWrapping"/>
            </w:r>
            <w:r>
              <w:rPr>
                <w:rStyle w:val="11"/>
                <w:rFonts w:hint="eastAsia"/>
              </w:rPr>
              <w:t>本品应贮存在干燥、阴凉、通风、防雨处，远离火源或热源。且应妥善保管，慎防误用。置于儿童触及不到之处，并加锁。勿与食品、饮料、粮食、饲料等同贮同运。运输搬运时应轻拿轻放，不可倒置。</w:t>
            </w:r>
          </w:p>
        </w:tc>
      </w:tr>
      <w:tr w14:paraId="64792F2D">
        <w:tblPrEx>
          <w:tblCellMar>
            <w:top w:w="0" w:type="dxa"/>
            <w:left w:w="0" w:type="dxa"/>
            <w:bottom w:w="0" w:type="dxa"/>
            <w:right w:w="0" w:type="dxa"/>
          </w:tblCellMar>
        </w:tblPrEx>
        <w:trPr>
          <w:wBefore w:w="0" w:type="auto"/>
          <w:tblCellSpacing w:w="0" w:type="dxa"/>
        </w:trPr>
        <w:tc>
          <w:tcPr>
            <w:tcW w:w="0" w:type="auto"/>
            <w:noWrap w:val="0"/>
            <w:vAlign w:val="center"/>
          </w:tcPr>
          <w:p w14:paraId="341EA3C3">
            <w:r>
              <w:rPr>
                <w:rStyle w:val="10"/>
                <w:rFonts w:hint="eastAsia"/>
              </w:rPr>
              <w:t>质量保证期：</w:t>
            </w:r>
            <w:r>
              <w:rPr>
                <w:rStyle w:val="11"/>
                <w:rFonts w:hint="eastAsia"/>
              </w:rPr>
              <w:t>2年</w:t>
            </w:r>
          </w:p>
        </w:tc>
      </w:tr>
      <w:tr w14:paraId="20C41BE7">
        <w:tblPrEx>
          <w:tblCellMar>
            <w:top w:w="0" w:type="dxa"/>
            <w:left w:w="0" w:type="dxa"/>
            <w:bottom w:w="0" w:type="dxa"/>
            <w:right w:w="0" w:type="dxa"/>
          </w:tblCellMar>
        </w:tblPrEx>
        <w:trPr>
          <w:wBefore w:w="0" w:type="auto"/>
          <w:tblCellSpacing w:w="0" w:type="dxa"/>
        </w:trPr>
        <w:tc>
          <w:tcPr>
            <w:tcW w:w="0" w:type="auto"/>
            <w:noWrap w:val="0"/>
            <w:vAlign w:val="center"/>
          </w:tcPr>
          <w:p w14:paraId="75890BD4">
            <w:r>
              <w:rPr>
                <w:rStyle w:val="10"/>
                <w:rFonts w:hint="eastAsia"/>
              </w:rPr>
              <w:t>备注：</w:t>
            </w:r>
          </w:p>
        </w:tc>
      </w:tr>
    </w:tbl>
    <w:p w14:paraId="7F211B0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A22D828">
        <w:tblPrEx>
          <w:tblCellMar>
            <w:top w:w="0" w:type="dxa"/>
            <w:left w:w="0" w:type="dxa"/>
            <w:bottom w:w="0" w:type="dxa"/>
            <w:right w:w="0" w:type="dxa"/>
          </w:tblCellMar>
        </w:tblPrEx>
        <w:trPr>
          <w:wBefore w:w="0" w:type="auto"/>
          <w:tblCellSpacing w:w="0" w:type="dxa"/>
        </w:trPr>
        <w:tc>
          <w:tcPr>
            <w:tcW w:w="0" w:type="auto"/>
            <w:noWrap w:val="0"/>
            <w:vAlign w:val="center"/>
          </w:tcPr>
          <w:p w14:paraId="57822737">
            <w:r>
              <w:rPr>
                <w:rStyle w:val="10"/>
                <w:rFonts w:hint="eastAsia"/>
              </w:rPr>
              <w:t>登记证号：</w:t>
            </w:r>
            <w:r>
              <w:rPr>
                <w:rFonts w:hint="eastAsia"/>
              </w:rPr>
              <w:t>PD20211761</w:t>
            </w:r>
          </w:p>
        </w:tc>
      </w:tr>
      <w:tr w14:paraId="02D6F9F5">
        <w:tblPrEx>
          <w:tblCellMar>
            <w:top w:w="0" w:type="dxa"/>
            <w:left w:w="0" w:type="dxa"/>
            <w:bottom w:w="0" w:type="dxa"/>
            <w:right w:w="0" w:type="dxa"/>
          </w:tblCellMar>
        </w:tblPrEx>
        <w:trPr>
          <w:wBefore w:w="0" w:type="auto"/>
          <w:tblCellSpacing w:w="0" w:type="dxa"/>
        </w:trPr>
        <w:tc>
          <w:tcPr>
            <w:tcW w:w="0" w:type="auto"/>
            <w:noWrap w:val="0"/>
            <w:vAlign w:val="center"/>
          </w:tcPr>
          <w:p w14:paraId="5E2E59DA">
            <w:r>
              <w:rPr>
                <w:rStyle w:val="10"/>
                <w:rFonts w:hint="eastAsia"/>
              </w:rPr>
              <w:t>登记证持有人：</w:t>
            </w:r>
            <w:r>
              <w:rPr>
                <w:rFonts w:hint="eastAsia"/>
              </w:rPr>
              <w:t>成都科利隆生化有限公司</w:t>
            </w:r>
          </w:p>
        </w:tc>
      </w:tr>
      <w:tr w14:paraId="3442740C">
        <w:tblPrEx>
          <w:tblCellMar>
            <w:top w:w="0" w:type="dxa"/>
            <w:left w:w="0" w:type="dxa"/>
            <w:bottom w:w="0" w:type="dxa"/>
            <w:right w:w="0" w:type="dxa"/>
          </w:tblCellMar>
        </w:tblPrEx>
        <w:trPr>
          <w:wBefore w:w="0" w:type="auto"/>
          <w:tblCellSpacing w:w="0" w:type="dxa"/>
        </w:trPr>
        <w:tc>
          <w:tcPr>
            <w:tcW w:w="0" w:type="auto"/>
            <w:noWrap w:val="0"/>
            <w:vAlign w:val="center"/>
          </w:tcPr>
          <w:p w14:paraId="3F4BA9BC">
            <w:r>
              <w:rPr>
                <w:rStyle w:val="10"/>
                <w:rFonts w:hint="eastAsia"/>
              </w:rPr>
              <w:t>农药名称：</w:t>
            </w:r>
            <w:r>
              <w:rPr>
                <w:rFonts w:hint="eastAsia"/>
              </w:rPr>
              <w:t>丁醚脲·唑虫酰胺</w:t>
            </w:r>
          </w:p>
        </w:tc>
      </w:tr>
      <w:tr w14:paraId="71BE3386">
        <w:tblPrEx>
          <w:tblCellMar>
            <w:top w:w="0" w:type="dxa"/>
            <w:left w:w="0" w:type="dxa"/>
            <w:bottom w:w="0" w:type="dxa"/>
            <w:right w:w="0" w:type="dxa"/>
          </w:tblCellMar>
        </w:tblPrEx>
        <w:trPr>
          <w:wBefore w:w="0" w:type="auto"/>
          <w:tblCellSpacing w:w="0" w:type="dxa"/>
        </w:trPr>
        <w:tc>
          <w:tcPr>
            <w:tcW w:w="0" w:type="auto"/>
            <w:noWrap w:val="0"/>
            <w:vAlign w:val="center"/>
          </w:tcPr>
          <w:p w14:paraId="0B390448">
            <w:r>
              <w:rPr>
                <w:rStyle w:val="10"/>
                <w:rFonts w:hint="eastAsia"/>
              </w:rPr>
              <w:t>剂型：</w:t>
            </w:r>
            <w:r>
              <w:rPr>
                <w:rFonts w:hint="eastAsia"/>
              </w:rPr>
              <w:t>悬浮剂</w:t>
            </w:r>
          </w:p>
        </w:tc>
      </w:tr>
      <w:tr w14:paraId="6C329460">
        <w:tblPrEx>
          <w:tblCellMar>
            <w:top w:w="0" w:type="dxa"/>
            <w:left w:w="0" w:type="dxa"/>
            <w:bottom w:w="0" w:type="dxa"/>
            <w:right w:w="0" w:type="dxa"/>
          </w:tblCellMar>
        </w:tblPrEx>
        <w:trPr>
          <w:wBefore w:w="0" w:type="auto"/>
          <w:tblCellSpacing w:w="0" w:type="dxa"/>
        </w:trPr>
        <w:tc>
          <w:tcPr>
            <w:tcW w:w="0" w:type="auto"/>
            <w:noWrap w:val="0"/>
            <w:vAlign w:val="center"/>
          </w:tcPr>
          <w:p w14:paraId="66B777AE">
            <w:r>
              <w:rPr>
                <w:rStyle w:val="10"/>
                <w:rFonts w:hint="eastAsia"/>
              </w:rPr>
              <w:t>毒性及其标识：</w:t>
            </w:r>
            <w:r>
              <w:rPr>
                <w:rFonts w:hint="eastAsia"/>
              </w:rPr>
              <w:t xml:space="preserve"> </w:t>
            </w:r>
            <w:r>
              <w:rPr>
                <w:lang/>
              </w:rPr>
              <w:drawing>
                <wp:inline distT="0" distB="0" distL="114300" distR="114300">
                  <wp:extent cx="476250" cy="323850"/>
                  <wp:effectExtent l="0" t="0" r="0" b="0"/>
                  <wp:docPr id="557" name="图片 557"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36B441DA">
        <w:tblPrEx>
          <w:tblCellMar>
            <w:top w:w="0" w:type="dxa"/>
            <w:left w:w="0" w:type="dxa"/>
            <w:bottom w:w="0" w:type="dxa"/>
            <w:right w:w="0" w:type="dxa"/>
          </w:tblCellMar>
        </w:tblPrEx>
        <w:trPr>
          <w:wBefore w:w="0" w:type="auto"/>
          <w:tblCellSpacing w:w="0" w:type="dxa"/>
        </w:trPr>
        <w:tc>
          <w:tcPr>
            <w:tcW w:w="0" w:type="auto"/>
            <w:noWrap w:val="0"/>
            <w:vAlign w:val="center"/>
          </w:tcPr>
          <w:p w14:paraId="22DCB159">
            <w:r>
              <w:rPr>
                <w:rStyle w:val="10"/>
                <w:rFonts w:hint="eastAsia"/>
              </w:rPr>
              <w:t>总有效成分含量：</w:t>
            </w:r>
            <w:r>
              <w:rPr>
                <w:rFonts w:hint="eastAsia"/>
              </w:rPr>
              <w:t>40%</w:t>
            </w:r>
          </w:p>
        </w:tc>
      </w:tr>
      <w:tr w14:paraId="67B8B272">
        <w:tblPrEx>
          <w:tblCellMar>
            <w:top w:w="0" w:type="dxa"/>
            <w:left w:w="0" w:type="dxa"/>
            <w:bottom w:w="0" w:type="dxa"/>
            <w:right w:w="0" w:type="dxa"/>
          </w:tblCellMar>
        </w:tblPrEx>
        <w:trPr>
          <w:wBefore w:w="0" w:type="auto"/>
          <w:tblCellSpacing w:w="0" w:type="dxa"/>
        </w:trPr>
        <w:tc>
          <w:tcPr>
            <w:tcW w:w="0" w:type="auto"/>
            <w:noWrap w:val="0"/>
            <w:vAlign w:val="center"/>
          </w:tcPr>
          <w:p w14:paraId="5E20D1AF">
            <w:r>
              <w:rPr>
                <w:rFonts w:hint="eastAsia"/>
              </w:rPr>
              <w:t xml:space="preserve">有效成分及其含量： </w:t>
            </w:r>
          </w:p>
          <w:p w14:paraId="6074AB38">
            <w:r>
              <w:rPr>
                <w:rFonts w:hint="eastAsia"/>
              </w:rPr>
              <w:t xml:space="preserve">    丁醚脲30%    唑虫酰胺10%    </w:t>
            </w:r>
          </w:p>
        </w:tc>
      </w:tr>
      <w:tr w14:paraId="334C7B5A">
        <w:tblPrEx>
          <w:tblCellMar>
            <w:top w:w="0" w:type="dxa"/>
            <w:left w:w="0" w:type="dxa"/>
            <w:bottom w:w="0" w:type="dxa"/>
            <w:right w:w="0" w:type="dxa"/>
          </w:tblCellMar>
        </w:tblPrEx>
        <w:trPr>
          <w:wBefore w:w="0" w:type="auto"/>
          <w:tblCellSpacing w:w="0" w:type="dxa"/>
        </w:trPr>
        <w:tc>
          <w:tcPr>
            <w:tcW w:w="0" w:type="auto"/>
            <w:noWrap w:val="0"/>
            <w:vAlign w:val="center"/>
          </w:tcPr>
          <w:p w14:paraId="5332481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960D1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23E628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E4F562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2D5C22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30576E9">
                  <w:r>
                    <w:rPr>
                      <w:rStyle w:val="11"/>
                      <w:rFonts w:hint="eastAsia"/>
                    </w:rPr>
                    <w:t>施用方式</w:t>
                  </w:r>
                </w:p>
              </w:tc>
            </w:tr>
            <w:tr w14:paraId="536909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895E014">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0882D4">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41421A">
                  <w:r>
                    <w:rPr>
                      <w:rStyle w:val="11"/>
                      <w:rFonts w:hint="eastAsia"/>
                    </w:rPr>
                    <w:t>50-70毫升/亩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08C25D">
                  <w:r>
                    <w:rPr>
                      <w:rStyle w:val="11"/>
                      <w:rFonts w:hint="eastAsia"/>
                    </w:rPr>
                    <w:t>喷雾</w:t>
                  </w:r>
                </w:p>
              </w:tc>
            </w:tr>
          </w:tbl>
          <w:p w14:paraId="10F2427E">
            <w:pPr>
              <w:rPr>
                <w:rFonts w:ascii="Times New Roman" w:hAnsi="Times New Roman" w:cs="Times New Roman"/>
                <w:sz w:val="20"/>
                <w:szCs w:val="20"/>
              </w:rPr>
            </w:pPr>
          </w:p>
        </w:tc>
      </w:tr>
      <w:tr w14:paraId="31CC1744">
        <w:tblPrEx>
          <w:tblCellMar>
            <w:top w:w="0" w:type="dxa"/>
            <w:left w:w="0" w:type="dxa"/>
            <w:bottom w:w="0" w:type="dxa"/>
            <w:right w:w="0" w:type="dxa"/>
          </w:tblCellMar>
        </w:tblPrEx>
        <w:trPr>
          <w:wBefore w:w="0" w:type="auto"/>
          <w:tblCellSpacing w:w="0" w:type="dxa"/>
        </w:trPr>
        <w:tc>
          <w:tcPr>
            <w:tcW w:w="0" w:type="auto"/>
            <w:noWrap w:val="0"/>
            <w:vAlign w:val="center"/>
          </w:tcPr>
          <w:p w14:paraId="4181549C">
            <w:r>
              <w:rPr>
                <w:rStyle w:val="10"/>
                <w:rFonts w:hint="eastAsia"/>
              </w:rPr>
              <w:t>使用技术要求:</w:t>
            </w:r>
            <w:r>
              <w:rPr>
                <w:rFonts w:hint="eastAsia"/>
              </w:rPr>
              <w:br w:type="textWrapping"/>
            </w:r>
            <w:r>
              <w:rPr>
                <w:rStyle w:val="11"/>
                <w:rFonts w:hint="eastAsia"/>
              </w:rPr>
              <w:t>1、于茶树茶小绿叶蝉发生初期使用，均匀喷雾。 2、大风天或者预计1小时内下雨请勿施药； 3、每个作物周期最多使用1次。</w:t>
            </w:r>
          </w:p>
        </w:tc>
      </w:tr>
      <w:tr w14:paraId="7AF5CA81">
        <w:tblPrEx>
          <w:tblCellMar>
            <w:top w:w="0" w:type="dxa"/>
            <w:left w:w="0" w:type="dxa"/>
            <w:bottom w:w="0" w:type="dxa"/>
            <w:right w:w="0" w:type="dxa"/>
          </w:tblCellMar>
        </w:tblPrEx>
        <w:trPr>
          <w:wBefore w:w="0" w:type="auto"/>
          <w:tblCellSpacing w:w="0" w:type="dxa"/>
        </w:trPr>
        <w:tc>
          <w:tcPr>
            <w:tcW w:w="0" w:type="auto"/>
            <w:noWrap w:val="0"/>
            <w:vAlign w:val="center"/>
          </w:tcPr>
          <w:p w14:paraId="2C47B9EB">
            <w:r>
              <w:rPr>
                <w:rStyle w:val="10"/>
                <w:rFonts w:hint="eastAsia"/>
              </w:rPr>
              <w:t>产品性能:</w:t>
            </w:r>
            <w:r>
              <w:rPr>
                <w:rFonts w:hint="eastAsia"/>
              </w:rPr>
              <w:br w:type="textWrapping"/>
            </w:r>
            <w:r>
              <w:rPr>
                <w:rStyle w:val="11"/>
                <w:rFonts w:hint="eastAsia"/>
              </w:rPr>
              <w:t>唑虫酰胺是一种新型高效广谱吡唑杂环类杀虫杀螨剂，主要作用机制是阻止昆虫的氧化磷酸化作用，还具有杀卵、抑食、抑制产卵及杀菌作用；丁醚脲是一种高效、低毒、低残留的新型硫脲类杀虫、杀螨剂，具有内吸和熏蒸作用，具有阻碍害虫体内神经细胞线粒体的功能，使害虫僵死。两个有效成分科学混配后可以有效防治茶树茶小绿叶蝉。</w:t>
            </w:r>
          </w:p>
        </w:tc>
      </w:tr>
      <w:tr w14:paraId="40EBB344">
        <w:tblPrEx>
          <w:tblCellMar>
            <w:top w:w="0" w:type="dxa"/>
            <w:left w:w="0" w:type="dxa"/>
            <w:bottom w:w="0" w:type="dxa"/>
            <w:right w:w="0" w:type="dxa"/>
          </w:tblCellMar>
        </w:tblPrEx>
        <w:trPr>
          <w:wBefore w:w="0" w:type="auto"/>
          <w:tblCellSpacing w:w="0" w:type="dxa"/>
        </w:trPr>
        <w:tc>
          <w:tcPr>
            <w:tcW w:w="0" w:type="auto"/>
            <w:noWrap w:val="0"/>
            <w:vAlign w:val="center"/>
          </w:tcPr>
          <w:p w14:paraId="28E46873">
            <w:r>
              <w:rPr>
                <w:rStyle w:val="10"/>
                <w:rFonts w:hint="eastAsia"/>
              </w:rPr>
              <w:t>注意事项：</w:t>
            </w:r>
            <w:r>
              <w:rPr>
                <w:rFonts w:hint="eastAsia"/>
              </w:rPr>
              <w:br w:type="textWrapping"/>
            </w:r>
            <w:r>
              <w:rPr>
                <w:rStyle w:val="11"/>
                <w:rFonts w:hint="eastAsia"/>
              </w:rPr>
              <w:t>1.建议与其他不同作用机理的杀虫剂轮换使用。 2.（周围）开花植物花期禁用；蚕室及桑园附近禁用；瓢虫等天敌放飞区域禁用。 3.水产养殖区、河塘等水体附近禁用，禁止在河塘等水域清洗施药器具；施药后的田水不得直接排入水体。 4.使用本品时采取相应的安全防护措施，穿防护服、防护鞋、戴手套、口罩等。施药期间不可吃东西、饮水和吸烟，施药后应及时洗手和洗脸。 5.用过的容器应妥善处理，不可做他用，也不可随意丢弃。 6.孕妇及哺乳期妇女禁止接触。7.有皮肤和眼睛刺激性。</w:t>
            </w:r>
          </w:p>
        </w:tc>
      </w:tr>
      <w:tr w14:paraId="48D1E629">
        <w:tblPrEx>
          <w:tblCellMar>
            <w:top w:w="0" w:type="dxa"/>
            <w:left w:w="0" w:type="dxa"/>
            <w:bottom w:w="0" w:type="dxa"/>
            <w:right w:w="0" w:type="dxa"/>
          </w:tblCellMar>
        </w:tblPrEx>
        <w:trPr>
          <w:wBefore w:w="0" w:type="auto"/>
          <w:tblCellSpacing w:w="0" w:type="dxa"/>
        </w:trPr>
        <w:tc>
          <w:tcPr>
            <w:tcW w:w="0" w:type="auto"/>
            <w:noWrap w:val="0"/>
            <w:vAlign w:val="center"/>
          </w:tcPr>
          <w:p w14:paraId="6B7481C8">
            <w:r>
              <w:rPr>
                <w:rStyle w:val="10"/>
                <w:rFonts w:hint="eastAsia"/>
              </w:rPr>
              <w:t>中毒急救措施：</w:t>
            </w:r>
            <w:r>
              <w:rPr>
                <w:rFonts w:hint="eastAsia"/>
              </w:rPr>
              <w:br w:type="textWrapping"/>
            </w:r>
            <w:r>
              <w:rPr>
                <w:rStyle w:val="11"/>
                <w:rFonts w:hint="eastAsia"/>
              </w:rPr>
              <w:t>使用中或使用后如果感觉不适，应立即停止工作，采取急救措施；如接触皮肤，用肥皂和清水彻底清洗；若溅入眼睛，用清水冲洗眼睛至少15分钟，仍不适，送医就诊；若误服，立即携标签送医就诊，对症治疗。</w:t>
            </w:r>
          </w:p>
        </w:tc>
      </w:tr>
      <w:tr w14:paraId="7838F7AA">
        <w:tblPrEx>
          <w:tblCellMar>
            <w:top w:w="0" w:type="dxa"/>
            <w:left w:w="0" w:type="dxa"/>
            <w:bottom w:w="0" w:type="dxa"/>
            <w:right w:w="0" w:type="dxa"/>
          </w:tblCellMar>
        </w:tblPrEx>
        <w:trPr>
          <w:wBefore w:w="0" w:type="auto"/>
          <w:tblCellSpacing w:w="0" w:type="dxa"/>
        </w:trPr>
        <w:tc>
          <w:tcPr>
            <w:tcW w:w="0" w:type="auto"/>
            <w:noWrap w:val="0"/>
            <w:vAlign w:val="center"/>
          </w:tcPr>
          <w:p w14:paraId="6626B011">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本品应贮存在干燥、阴凉、通风、防雨处，远离火源或热源。置于儿童、无关人员及动物接触不到的地方，并加锁保存。勿与食品、饮料、饲料和粮食等其他商品同贮同运。</w:t>
            </w:r>
          </w:p>
        </w:tc>
      </w:tr>
      <w:tr w14:paraId="5DE7210C">
        <w:tblPrEx>
          <w:tblCellMar>
            <w:top w:w="0" w:type="dxa"/>
            <w:left w:w="0" w:type="dxa"/>
            <w:bottom w:w="0" w:type="dxa"/>
            <w:right w:w="0" w:type="dxa"/>
          </w:tblCellMar>
        </w:tblPrEx>
        <w:trPr>
          <w:wBefore w:w="0" w:type="auto"/>
          <w:tblCellSpacing w:w="0" w:type="dxa"/>
        </w:trPr>
        <w:tc>
          <w:tcPr>
            <w:tcW w:w="0" w:type="auto"/>
            <w:noWrap w:val="0"/>
            <w:vAlign w:val="center"/>
          </w:tcPr>
          <w:p w14:paraId="14652E38">
            <w:r>
              <w:rPr>
                <w:rStyle w:val="10"/>
                <w:rFonts w:hint="eastAsia"/>
              </w:rPr>
              <w:t>质量保证期：</w:t>
            </w:r>
            <w:r>
              <w:rPr>
                <w:rStyle w:val="11"/>
                <w:rFonts w:hint="eastAsia"/>
              </w:rPr>
              <w:t>2年</w:t>
            </w:r>
          </w:p>
        </w:tc>
      </w:tr>
      <w:tr w14:paraId="0671F13B">
        <w:tblPrEx>
          <w:tblCellMar>
            <w:top w:w="0" w:type="dxa"/>
            <w:left w:w="0" w:type="dxa"/>
            <w:bottom w:w="0" w:type="dxa"/>
            <w:right w:w="0" w:type="dxa"/>
          </w:tblCellMar>
        </w:tblPrEx>
        <w:trPr>
          <w:wBefore w:w="0" w:type="auto"/>
          <w:tblCellSpacing w:w="0" w:type="dxa"/>
        </w:trPr>
        <w:tc>
          <w:tcPr>
            <w:tcW w:w="0" w:type="auto"/>
            <w:noWrap w:val="0"/>
            <w:vAlign w:val="center"/>
          </w:tcPr>
          <w:p w14:paraId="0E3BE906">
            <w:r>
              <w:rPr>
                <w:rStyle w:val="10"/>
                <w:rFonts w:hint="eastAsia"/>
              </w:rPr>
              <w:t>备注：</w:t>
            </w:r>
          </w:p>
        </w:tc>
      </w:tr>
    </w:tbl>
    <w:p w14:paraId="60BFAF1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4709E8D">
        <w:tblPrEx>
          <w:tblCellMar>
            <w:top w:w="0" w:type="dxa"/>
            <w:left w:w="0" w:type="dxa"/>
            <w:bottom w:w="0" w:type="dxa"/>
            <w:right w:w="0" w:type="dxa"/>
          </w:tblCellMar>
        </w:tblPrEx>
        <w:trPr>
          <w:wBefore w:w="0" w:type="auto"/>
          <w:tblCellSpacing w:w="0" w:type="dxa"/>
        </w:trPr>
        <w:tc>
          <w:tcPr>
            <w:tcW w:w="0" w:type="auto"/>
            <w:noWrap w:val="0"/>
            <w:vAlign w:val="center"/>
          </w:tcPr>
          <w:p w14:paraId="0F8E6D0B">
            <w:r>
              <w:rPr>
                <w:rStyle w:val="10"/>
                <w:rFonts w:hint="eastAsia"/>
              </w:rPr>
              <w:t>登记证号：</w:t>
            </w:r>
            <w:r>
              <w:rPr>
                <w:rFonts w:hint="eastAsia"/>
              </w:rPr>
              <w:t>PD20212293</w:t>
            </w:r>
          </w:p>
        </w:tc>
      </w:tr>
      <w:tr w14:paraId="06550835">
        <w:tblPrEx>
          <w:tblCellMar>
            <w:top w:w="0" w:type="dxa"/>
            <w:left w:w="0" w:type="dxa"/>
            <w:bottom w:w="0" w:type="dxa"/>
            <w:right w:w="0" w:type="dxa"/>
          </w:tblCellMar>
        </w:tblPrEx>
        <w:trPr>
          <w:wBefore w:w="0" w:type="auto"/>
          <w:tblCellSpacing w:w="0" w:type="dxa"/>
        </w:trPr>
        <w:tc>
          <w:tcPr>
            <w:tcW w:w="0" w:type="auto"/>
            <w:noWrap w:val="0"/>
            <w:vAlign w:val="center"/>
          </w:tcPr>
          <w:p w14:paraId="1AF28576">
            <w:r>
              <w:rPr>
                <w:rStyle w:val="10"/>
                <w:rFonts w:hint="eastAsia"/>
              </w:rPr>
              <w:t>登记证持有人：</w:t>
            </w:r>
            <w:r>
              <w:rPr>
                <w:rFonts w:hint="eastAsia"/>
              </w:rPr>
              <w:t>广西威牛农化有限公司</w:t>
            </w:r>
          </w:p>
        </w:tc>
      </w:tr>
      <w:tr w14:paraId="5E92093C">
        <w:tblPrEx>
          <w:tblCellMar>
            <w:top w:w="0" w:type="dxa"/>
            <w:left w:w="0" w:type="dxa"/>
            <w:bottom w:w="0" w:type="dxa"/>
            <w:right w:w="0" w:type="dxa"/>
          </w:tblCellMar>
        </w:tblPrEx>
        <w:trPr>
          <w:wBefore w:w="0" w:type="auto"/>
          <w:tblCellSpacing w:w="0" w:type="dxa"/>
        </w:trPr>
        <w:tc>
          <w:tcPr>
            <w:tcW w:w="0" w:type="auto"/>
            <w:noWrap w:val="0"/>
            <w:vAlign w:val="center"/>
          </w:tcPr>
          <w:p w14:paraId="4B05DBB8">
            <w:r>
              <w:rPr>
                <w:rStyle w:val="10"/>
                <w:rFonts w:hint="eastAsia"/>
              </w:rPr>
              <w:t>农药名称：</w:t>
            </w:r>
            <w:r>
              <w:rPr>
                <w:rFonts w:hint="eastAsia"/>
              </w:rPr>
              <w:t>精草铵膦铵盐</w:t>
            </w:r>
          </w:p>
        </w:tc>
      </w:tr>
      <w:tr w14:paraId="1B7A9A03">
        <w:tblPrEx>
          <w:tblCellMar>
            <w:top w:w="0" w:type="dxa"/>
            <w:left w:w="0" w:type="dxa"/>
            <w:bottom w:w="0" w:type="dxa"/>
            <w:right w:w="0" w:type="dxa"/>
          </w:tblCellMar>
        </w:tblPrEx>
        <w:trPr>
          <w:wBefore w:w="0" w:type="auto"/>
          <w:tblCellSpacing w:w="0" w:type="dxa"/>
        </w:trPr>
        <w:tc>
          <w:tcPr>
            <w:tcW w:w="0" w:type="auto"/>
            <w:noWrap w:val="0"/>
            <w:vAlign w:val="center"/>
          </w:tcPr>
          <w:p w14:paraId="0A142E1D">
            <w:r>
              <w:rPr>
                <w:rStyle w:val="10"/>
                <w:rFonts w:hint="eastAsia"/>
              </w:rPr>
              <w:t>剂型：</w:t>
            </w:r>
            <w:r>
              <w:rPr>
                <w:rFonts w:hint="eastAsia"/>
              </w:rPr>
              <w:t>可溶液剂</w:t>
            </w:r>
          </w:p>
        </w:tc>
      </w:tr>
      <w:tr w14:paraId="3DB6E3B0">
        <w:tblPrEx>
          <w:tblCellMar>
            <w:top w:w="0" w:type="dxa"/>
            <w:left w:w="0" w:type="dxa"/>
            <w:bottom w:w="0" w:type="dxa"/>
            <w:right w:w="0" w:type="dxa"/>
          </w:tblCellMar>
        </w:tblPrEx>
        <w:trPr>
          <w:wBefore w:w="0" w:type="auto"/>
          <w:tblCellSpacing w:w="0" w:type="dxa"/>
        </w:trPr>
        <w:tc>
          <w:tcPr>
            <w:tcW w:w="0" w:type="auto"/>
            <w:noWrap w:val="0"/>
            <w:vAlign w:val="center"/>
          </w:tcPr>
          <w:p w14:paraId="1BC52FA3">
            <w:r>
              <w:rPr>
                <w:rStyle w:val="10"/>
                <w:rFonts w:hint="eastAsia"/>
              </w:rPr>
              <w:t>毒性及其标识：</w:t>
            </w:r>
            <w:r>
              <w:rPr>
                <w:rFonts w:hint="eastAsia"/>
              </w:rPr>
              <w:t xml:space="preserve"> </w:t>
            </w:r>
            <w:r>
              <w:rPr>
                <w:lang/>
              </w:rPr>
              <w:drawing>
                <wp:inline distT="0" distB="0" distL="114300" distR="114300">
                  <wp:extent cx="476250" cy="323850"/>
                  <wp:effectExtent l="0" t="0" r="0" b="0"/>
                  <wp:docPr id="558" name="图片 55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B789957">
        <w:tblPrEx>
          <w:tblCellMar>
            <w:top w:w="0" w:type="dxa"/>
            <w:left w:w="0" w:type="dxa"/>
            <w:bottom w:w="0" w:type="dxa"/>
            <w:right w:w="0" w:type="dxa"/>
          </w:tblCellMar>
        </w:tblPrEx>
        <w:trPr>
          <w:wBefore w:w="0" w:type="auto"/>
          <w:tblCellSpacing w:w="0" w:type="dxa"/>
        </w:trPr>
        <w:tc>
          <w:tcPr>
            <w:tcW w:w="0" w:type="auto"/>
            <w:noWrap w:val="0"/>
            <w:vAlign w:val="center"/>
          </w:tcPr>
          <w:p w14:paraId="08584F03">
            <w:r>
              <w:rPr>
                <w:rStyle w:val="10"/>
                <w:rFonts w:hint="eastAsia"/>
              </w:rPr>
              <w:t>总有效成分含量：</w:t>
            </w:r>
            <w:r>
              <w:rPr>
                <w:rFonts w:hint="eastAsia"/>
              </w:rPr>
              <w:t>10%</w:t>
            </w:r>
          </w:p>
        </w:tc>
      </w:tr>
      <w:tr w14:paraId="60E31651">
        <w:tblPrEx>
          <w:tblCellMar>
            <w:top w:w="0" w:type="dxa"/>
            <w:left w:w="0" w:type="dxa"/>
            <w:bottom w:w="0" w:type="dxa"/>
            <w:right w:w="0" w:type="dxa"/>
          </w:tblCellMar>
        </w:tblPrEx>
        <w:trPr>
          <w:wBefore w:w="0" w:type="auto"/>
          <w:tblCellSpacing w:w="0" w:type="dxa"/>
        </w:trPr>
        <w:tc>
          <w:tcPr>
            <w:tcW w:w="0" w:type="auto"/>
            <w:noWrap w:val="0"/>
            <w:vAlign w:val="center"/>
          </w:tcPr>
          <w:p w14:paraId="6E6598D9">
            <w:r>
              <w:rPr>
                <w:rFonts w:hint="eastAsia"/>
              </w:rPr>
              <w:t xml:space="preserve">有效成分及其含量： </w:t>
            </w:r>
          </w:p>
          <w:p w14:paraId="751B8DB0">
            <w:r>
              <w:rPr>
                <w:rFonts w:hint="eastAsia"/>
              </w:rPr>
              <w:t xml:space="preserve">    精草铵膦10%    </w:t>
            </w:r>
          </w:p>
        </w:tc>
      </w:tr>
      <w:tr w14:paraId="321BCE9B">
        <w:tblPrEx>
          <w:tblCellMar>
            <w:top w:w="0" w:type="dxa"/>
            <w:left w:w="0" w:type="dxa"/>
            <w:bottom w:w="0" w:type="dxa"/>
            <w:right w:w="0" w:type="dxa"/>
          </w:tblCellMar>
        </w:tblPrEx>
        <w:trPr>
          <w:wBefore w:w="0" w:type="auto"/>
          <w:tblCellSpacing w:w="0" w:type="dxa"/>
        </w:trPr>
        <w:tc>
          <w:tcPr>
            <w:tcW w:w="0" w:type="auto"/>
            <w:noWrap w:val="0"/>
            <w:vAlign w:val="center"/>
          </w:tcPr>
          <w:p w14:paraId="6C1FCFA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0F986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139D5F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01EF9D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3E10D9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C3DA3C9">
                  <w:r>
                    <w:rPr>
                      <w:rStyle w:val="11"/>
                      <w:rFonts w:hint="eastAsia"/>
                    </w:rPr>
                    <w:t>施用方式</w:t>
                  </w:r>
                </w:p>
              </w:tc>
            </w:tr>
            <w:tr w14:paraId="2A4574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A52A82C">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486B1D">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A7C79B">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599C06">
                  <w:r>
                    <w:rPr>
                      <w:rStyle w:val="11"/>
                      <w:rFonts w:hint="eastAsia"/>
                    </w:rPr>
                    <w:t>茎叶喷雾</w:t>
                  </w:r>
                </w:p>
              </w:tc>
            </w:tr>
          </w:tbl>
          <w:p w14:paraId="3B21883D">
            <w:pPr>
              <w:rPr>
                <w:rFonts w:ascii="Times New Roman" w:hAnsi="Times New Roman" w:cs="Times New Roman"/>
                <w:sz w:val="20"/>
                <w:szCs w:val="20"/>
              </w:rPr>
            </w:pPr>
          </w:p>
        </w:tc>
      </w:tr>
      <w:tr w14:paraId="65A8BBCB">
        <w:tblPrEx>
          <w:tblCellMar>
            <w:top w:w="0" w:type="dxa"/>
            <w:left w:w="0" w:type="dxa"/>
            <w:bottom w:w="0" w:type="dxa"/>
            <w:right w:w="0" w:type="dxa"/>
          </w:tblCellMar>
        </w:tblPrEx>
        <w:trPr>
          <w:wBefore w:w="0" w:type="auto"/>
          <w:tblCellSpacing w:w="0" w:type="dxa"/>
        </w:trPr>
        <w:tc>
          <w:tcPr>
            <w:tcW w:w="0" w:type="auto"/>
            <w:noWrap w:val="0"/>
            <w:vAlign w:val="center"/>
          </w:tcPr>
          <w:p w14:paraId="1B7A456B">
            <w:r>
              <w:rPr>
                <w:rStyle w:val="10"/>
                <w:rFonts w:hint="eastAsia"/>
              </w:rPr>
              <w:t>使用技术要求:</w:t>
            </w:r>
            <w:r>
              <w:rPr>
                <w:rFonts w:hint="eastAsia"/>
              </w:rPr>
              <w:br w:type="textWrapping"/>
            </w:r>
            <w:r>
              <w:rPr>
                <w:rStyle w:val="11"/>
                <w:rFonts w:hint="eastAsia"/>
              </w:rPr>
              <w:t>1. 在非耕地杂草生长旺盛期,茎叶均匀喷雾施药一次。每公顷兑水量600升，注意均匀喷雾到杂草茎叶上，以保证除草效果。2. 本品为灭生性除草剂，施药时防止药液漂移到果木和临近作物上，以免发生药害。禁止在田间道路、田埂、果树行间、休耕地、林场林地等农林业区域使用。3. 大风天或预计1小时之内有降雨，请勿使用。4. 施药后5天内勿割草、放牧、翻地等。5.每季最多使用次数为1次。</w:t>
            </w:r>
          </w:p>
        </w:tc>
      </w:tr>
      <w:tr w14:paraId="15DEEC5D">
        <w:tblPrEx>
          <w:tblCellMar>
            <w:top w:w="0" w:type="dxa"/>
            <w:left w:w="0" w:type="dxa"/>
            <w:bottom w:w="0" w:type="dxa"/>
            <w:right w:w="0" w:type="dxa"/>
          </w:tblCellMar>
        </w:tblPrEx>
        <w:trPr>
          <w:wBefore w:w="0" w:type="auto"/>
          <w:tblCellSpacing w:w="0" w:type="dxa"/>
        </w:trPr>
        <w:tc>
          <w:tcPr>
            <w:tcW w:w="0" w:type="auto"/>
            <w:noWrap w:val="0"/>
            <w:vAlign w:val="center"/>
          </w:tcPr>
          <w:p w14:paraId="2964CE9A">
            <w:r>
              <w:rPr>
                <w:rStyle w:val="10"/>
                <w:rFonts w:hint="eastAsia"/>
              </w:rPr>
              <w:t>产品性能:</w:t>
            </w:r>
            <w:r>
              <w:rPr>
                <w:rFonts w:hint="eastAsia"/>
              </w:rPr>
              <w:br w:type="textWrapping"/>
            </w:r>
            <w:r>
              <w:rPr>
                <w:rStyle w:val="11"/>
                <w:rFonts w:hint="eastAsia"/>
              </w:rPr>
              <w:t xml:space="preserve">本品是一种具有部分内吸作用的触杀灭生性除草剂，属于膦酸类除草剂，是谷氨酰胺合成抑制剂，施药后短时间内，植物体内铵代谢陷于絮乱，细胞毒剂铵离子在植物体内累积，与此同时，光合作用被抑制，达到除草目的，适用于防除非耕地杂草。 </w:t>
            </w:r>
          </w:p>
        </w:tc>
      </w:tr>
      <w:tr w14:paraId="5A78C0E8">
        <w:tblPrEx>
          <w:tblCellMar>
            <w:top w:w="0" w:type="dxa"/>
            <w:left w:w="0" w:type="dxa"/>
            <w:bottom w:w="0" w:type="dxa"/>
            <w:right w:w="0" w:type="dxa"/>
          </w:tblCellMar>
        </w:tblPrEx>
        <w:trPr>
          <w:wBefore w:w="0" w:type="auto"/>
          <w:tblCellSpacing w:w="0" w:type="dxa"/>
        </w:trPr>
        <w:tc>
          <w:tcPr>
            <w:tcW w:w="0" w:type="auto"/>
            <w:noWrap w:val="0"/>
            <w:vAlign w:val="center"/>
          </w:tcPr>
          <w:p w14:paraId="5889AAD2">
            <w:r>
              <w:rPr>
                <w:rStyle w:val="10"/>
                <w:rFonts w:hint="eastAsia"/>
              </w:rPr>
              <w:t>注意事项：</w:t>
            </w:r>
            <w:r>
              <w:rPr>
                <w:rFonts w:hint="eastAsia"/>
              </w:rPr>
              <w:br w:type="textWrapping"/>
            </w:r>
            <w:r>
              <w:rPr>
                <w:rStyle w:val="11"/>
                <w:rFonts w:hint="eastAsia"/>
              </w:rPr>
              <w:t>1. 严格按农药安全使用规则正确使用，未用完的液体就保存在原包装内，盖紧瓶盖，并远离儿童、饮料和食物。2. 本品遇土钝化，因此在稀释和配制本品药液时，应使用清水，禁止用浑浊的河水或沟渠水配药，以最大限度地提高除草的效果。禁止在河塘等水体清洗施药器具。3. 喷雾器使用后彻底清洗干净。如有其他疑问，请咨询当地植保部门或生产厂家。4. 使用本品时应采取相应的安全防护措施，使用时穿戴长衣、长裤、帽子、口罩、手套等防护措施，避免皮肤接触。使用中不可吸烟、饮水及吃东西，使用后及时清洗手、脸等暴露部位的皮肤并更换衣物。5. 用过的容器要妥善处理，不可作他用，也不可随意丢弃。6. 蚕室和桑园附近禁止施用本产品。7. 本品对非靶标植物有毒，用于防治非耕地杂草，不可随意扩大使用范围。8. 本品避免与氧化剂接触。9. 孕妇及哺乳期妇女避免接触此药。</w:t>
            </w:r>
          </w:p>
        </w:tc>
      </w:tr>
      <w:tr w14:paraId="57A88242">
        <w:tblPrEx>
          <w:tblCellMar>
            <w:top w:w="0" w:type="dxa"/>
            <w:left w:w="0" w:type="dxa"/>
            <w:bottom w:w="0" w:type="dxa"/>
            <w:right w:w="0" w:type="dxa"/>
          </w:tblCellMar>
        </w:tblPrEx>
        <w:trPr>
          <w:wBefore w:w="0" w:type="auto"/>
          <w:tblCellSpacing w:w="0" w:type="dxa"/>
        </w:trPr>
        <w:tc>
          <w:tcPr>
            <w:tcW w:w="0" w:type="auto"/>
            <w:noWrap w:val="0"/>
            <w:vAlign w:val="center"/>
          </w:tcPr>
          <w:p w14:paraId="346E5CDB">
            <w:r>
              <w:rPr>
                <w:rStyle w:val="10"/>
                <w:rFonts w:hint="eastAsia"/>
              </w:rPr>
              <w:t>中毒急救措施：</w:t>
            </w:r>
            <w:r>
              <w:rPr>
                <w:rFonts w:hint="eastAsia"/>
              </w:rPr>
              <w:br w:type="textWrapping"/>
            </w:r>
            <w:r>
              <w:rPr>
                <w:rStyle w:val="11"/>
                <w:rFonts w:hint="eastAsia"/>
              </w:rPr>
              <w:t xml:space="preserve">中毒症状：按照标签推荐方法使用，无典型中毒症状。皮肤接触：立即脱去被污染的衣物，用肥皂和大量清水冲洗皮肤暴露部位。如皮肤刺激感持续，请医生诊治。眼睛溅入：立即翻开眼睑，用清水冲洗至少15分钟，再请医生诊治。吸 入：立即将吸入者转移到空气清新处，若吸入者停止呼吸，需要进行人工呼吸。注意保暖和休息，请医生诊治。误 食：严禁引吐，应先立即用清水漱口，再携带产品标签送医就诊，对症治疗。注意：对昏迷病人，切勿经口喂入任何东西。 </w:t>
            </w:r>
          </w:p>
        </w:tc>
      </w:tr>
      <w:tr w14:paraId="7F6433AC">
        <w:tblPrEx>
          <w:tblCellMar>
            <w:top w:w="0" w:type="dxa"/>
            <w:left w:w="0" w:type="dxa"/>
            <w:bottom w:w="0" w:type="dxa"/>
            <w:right w:w="0" w:type="dxa"/>
          </w:tblCellMar>
        </w:tblPrEx>
        <w:trPr>
          <w:wBefore w:w="0" w:type="auto"/>
          <w:tblCellSpacing w:w="0" w:type="dxa"/>
        </w:trPr>
        <w:tc>
          <w:tcPr>
            <w:tcW w:w="0" w:type="auto"/>
            <w:noWrap w:val="0"/>
            <w:vAlign w:val="center"/>
          </w:tcPr>
          <w:p w14:paraId="1B086C9D">
            <w:r>
              <w:rPr>
                <w:rStyle w:val="10"/>
                <w:rFonts w:hint="eastAsia"/>
              </w:rPr>
              <w:t>储存和运输方法：</w:t>
            </w:r>
            <w:r>
              <w:rPr>
                <w:rFonts w:hint="eastAsia"/>
              </w:rPr>
              <w:br w:type="textWrapping"/>
            </w:r>
            <w:r>
              <w:rPr>
                <w:rStyle w:val="11"/>
                <w:rFonts w:hint="eastAsia"/>
              </w:rPr>
              <w:t xml:space="preserve">本品应储存在干燥、阴凉、通风、防雨处，远离火源或热源，置于儿童、无关人员触及不到的地方，并加锁。装卸、运输过程中，需专门车辆运输，轻拿轻放，确保包装不泄露、不损坏。不能与食品、饮料、粮食、饲料等混合储存。 </w:t>
            </w:r>
          </w:p>
        </w:tc>
      </w:tr>
      <w:tr w14:paraId="16798038">
        <w:tblPrEx>
          <w:tblCellMar>
            <w:top w:w="0" w:type="dxa"/>
            <w:left w:w="0" w:type="dxa"/>
            <w:bottom w:w="0" w:type="dxa"/>
            <w:right w:w="0" w:type="dxa"/>
          </w:tblCellMar>
        </w:tblPrEx>
        <w:trPr>
          <w:wBefore w:w="0" w:type="auto"/>
          <w:tblCellSpacing w:w="0" w:type="dxa"/>
        </w:trPr>
        <w:tc>
          <w:tcPr>
            <w:tcW w:w="0" w:type="auto"/>
            <w:noWrap w:val="0"/>
            <w:vAlign w:val="center"/>
          </w:tcPr>
          <w:p w14:paraId="5D7C3C54">
            <w:r>
              <w:rPr>
                <w:rStyle w:val="10"/>
                <w:rFonts w:hint="eastAsia"/>
              </w:rPr>
              <w:t>质量保证期：</w:t>
            </w:r>
            <w:r>
              <w:rPr>
                <w:rStyle w:val="11"/>
                <w:rFonts w:hint="eastAsia"/>
              </w:rPr>
              <w:t>2年</w:t>
            </w:r>
          </w:p>
        </w:tc>
      </w:tr>
      <w:tr w14:paraId="33617821">
        <w:tblPrEx>
          <w:tblCellMar>
            <w:top w:w="0" w:type="dxa"/>
            <w:left w:w="0" w:type="dxa"/>
            <w:bottom w:w="0" w:type="dxa"/>
            <w:right w:w="0" w:type="dxa"/>
          </w:tblCellMar>
        </w:tblPrEx>
        <w:trPr>
          <w:wBefore w:w="0" w:type="auto"/>
          <w:tblCellSpacing w:w="0" w:type="dxa"/>
        </w:trPr>
        <w:tc>
          <w:tcPr>
            <w:tcW w:w="0" w:type="auto"/>
            <w:noWrap w:val="0"/>
            <w:vAlign w:val="center"/>
          </w:tcPr>
          <w:p w14:paraId="732A142C">
            <w:r>
              <w:rPr>
                <w:rStyle w:val="10"/>
                <w:rFonts w:hint="eastAsia"/>
              </w:rPr>
              <w:t>备注：</w:t>
            </w:r>
            <w:r>
              <w:rPr>
                <w:rFonts w:hint="eastAsia"/>
              </w:rPr>
              <w:br w:type="textWrapping"/>
            </w:r>
            <w:r>
              <w:rPr>
                <w:rStyle w:val="11"/>
                <w:rFonts w:hint="eastAsia"/>
              </w:rPr>
              <w:t>精草铵膦铵盐10.9%。</w:t>
            </w:r>
          </w:p>
        </w:tc>
      </w:tr>
    </w:tbl>
    <w:p w14:paraId="0CAB9C8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4D8D115">
        <w:tblPrEx>
          <w:tblCellMar>
            <w:top w:w="0" w:type="dxa"/>
            <w:left w:w="0" w:type="dxa"/>
            <w:bottom w:w="0" w:type="dxa"/>
            <w:right w:w="0" w:type="dxa"/>
          </w:tblCellMar>
        </w:tblPrEx>
        <w:trPr>
          <w:wBefore w:w="0" w:type="auto"/>
          <w:tblCellSpacing w:w="0" w:type="dxa"/>
        </w:trPr>
        <w:tc>
          <w:tcPr>
            <w:tcW w:w="0" w:type="auto"/>
            <w:noWrap w:val="0"/>
            <w:vAlign w:val="center"/>
          </w:tcPr>
          <w:p w14:paraId="77C53004">
            <w:r>
              <w:rPr>
                <w:rStyle w:val="10"/>
                <w:rFonts w:hint="eastAsia"/>
              </w:rPr>
              <w:t>登记证号：</w:t>
            </w:r>
            <w:r>
              <w:rPr>
                <w:rFonts w:hint="eastAsia"/>
              </w:rPr>
              <w:t>PD20211839</w:t>
            </w:r>
          </w:p>
        </w:tc>
      </w:tr>
      <w:tr w14:paraId="3AE42599">
        <w:tblPrEx>
          <w:tblCellMar>
            <w:top w:w="0" w:type="dxa"/>
            <w:left w:w="0" w:type="dxa"/>
            <w:bottom w:w="0" w:type="dxa"/>
            <w:right w:w="0" w:type="dxa"/>
          </w:tblCellMar>
        </w:tblPrEx>
        <w:trPr>
          <w:wBefore w:w="0" w:type="auto"/>
          <w:tblCellSpacing w:w="0" w:type="dxa"/>
        </w:trPr>
        <w:tc>
          <w:tcPr>
            <w:tcW w:w="0" w:type="auto"/>
            <w:noWrap w:val="0"/>
            <w:vAlign w:val="center"/>
          </w:tcPr>
          <w:p w14:paraId="1C2EB681">
            <w:r>
              <w:rPr>
                <w:rStyle w:val="10"/>
                <w:rFonts w:hint="eastAsia"/>
              </w:rPr>
              <w:t>登记证持有人：</w:t>
            </w:r>
            <w:r>
              <w:rPr>
                <w:rFonts w:hint="eastAsia"/>
              </w:rPr>
              <w:t>天津市华宇农药有限公司</w:t>
            </w:r>
          </w:p>
        </w:tc>
      </w:tr>
      <w:tr w14:paraId="290AE44F">
        <w:tblPrEx>
          <w:tblCellMar>
            <w:top w:w="0" w:type="dxa"/>
            <w:left w:w="0" w:type="dxa"/>
            <w:bottom w:w="0" w:type="dxa"/>
            <w:right w:w="0" w:type="dxa"/>
          </w:tblCellMar>
        </w:tblPrEx>
        <w:trPr>
          <w:wBefore w:w="0" w:type="auto"/>
          <w:tblCellSpacing w:w="0" w:type="dxa"/>
        </w:trPr>
        <w:tc>
          <w:tcPr>
            <w:tcW w:w="0" w:type="auto"/>
            <w:noWrap w:val="0"/>
            <w:vAlign w:val="center"/>
          </w:tcPr>
          <w:p w14:paraId="081800AC">
            <w:r>
              <w:rPr>
                <w:rStyle w:val="10"/>
                <w:rFonts w:hint="eastAsia"/>
              </w:rPr>
              <w:t>农药名称：</w:t>
            </w:r>
            <w:r>
              <w:rPr>
                <w:rFonts w:hint="eastAsia"/>
              </w:rPr>
              <w:t>噻虫·高氯氟</w:t>
            </w:r>
          </w:p>
        </w:tc>
      </w:tr>
      <w:tr w14:paraId="75723B00">
        <w:tblPrEx>
          <w:tblCellMar>
            <w:top w:w="0" w:type="dxa"/>
            <w:left w:w="0" w:type="dxa"/>
            <w:bottom w:w="0" w:type="dxa"/>
            <w:right w:w="0" w:type="dxa"/>
          </w:tblCellMar>
        </w:tblPrEx>
        <w:trPr>
          <w:wBefore w:w="0" w:type="auto"/>
          <w:tblCellSpacing w:w="0" w:type="dxa"/>
        </w:trPr>
        <w:tc>
          <w:tcPr>
            <w:tcW w:w="0" w:type="auto"/>
            <w:noWrap w:val="0"/>
            <w:vAlign w:val="center"/>
          </w:tcPr>
          <w:p w14:paraId="36B3ACA6">
            <w:r>
              <w:rPr>
                <w:rStyle w:val="10"/>
                <w:rFonts w:hint="eastAsia"/>
              </w:rPr>
              <w:t>剂型：</w:t>
            </w:r>
            <w:r>
              <w:rPr>
                <w:rFonts w:hint="eastAsia"/>
              </w:rPr>
              <w:t>悬浮剂</w:t>
            </w:r>
          </w:p>
        </w:tc>
      </w:tr>
      <w:tr w14:paraId="59391BE8">
        <w:tblPrEx>
          <w:tblCellMar>
            <w:top w:w="0" w:type="dxa"/>
            <w:left w:w="0" w:type="dxa"/>
            <w:bottom w:w="0" w:type="dxa"/>
            <w:right w:w="0" w:type="dxa"/>
          </w:tblCellMar>
        </w:tblPrEx>
        <w:trPr>
          <w:wBefore w:w="0" w:type="auto"/>
          <w:tblCellSpacing w:w="0" w:type="dxa"/>
        </w:trPr>
        <w:tc>
          <w:tcPr>
            <w:tcW w:w="0" w:type="auto"/>
            <w:noWrap w:val="0"/>
            <w:vAlign w:val="center"/>
          </w:tcPr>
          <w:p w14:paraId="3BF4B0EF">
            <w:r>
              <w:rPr>
                <w:rStyle w:val="10"/>
                <w:rFonts w:hint="eastAsia"/>
              </w:rPr>
              <w:t>毒性及其标识：</w:t>
            </w:r>
            <w:r>
              <w:rPr>
                <w:rFonts w:hint="eastAsia"/>
              </w:rPr>
              <w:t xml:space="preserve"> </w:t>
            </w:r>
            <w:r>
              <w:rPr>
                <w:lang/>
              </w:rPr>
              <w:drawing>
                <wp:inline distT="0" distB="0" distL="114300" distR="114300">
                  <wp:extent cx="476250" cy="323850"/>
                  <wp:effectExtent l="0" t="0" r="0" b="0"/>
                  <wp:docPr id="559" name="图片 559"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t xml:space="preserve">中等毒 </w:t>
            </w:r>
          </w:p>
        </w:tc>
      </w:tr>
      <w:tr w14:paraId="1AE862C1">
        <w:tblPrEx>
          <w:tblCellMar>
            <w:top w:w="0" w:type="dxa"/>
            <w:left w:w="0" w:type="dxa"/>
            <w:bottom w:w="0" w:type="dxa"/>
            <w:right w:w="0" w:type="dxa"/>
          </w:tblCellMar>
        </w:tblPrEx>
        <w:trPr>
          <w:wBefore w:w="0" w:type="auto"/>
          <w:tblCellSpacing w:w="0" w:type="dxa"/>
        </w:trPr>
        <w:tc>
          <w:tcPr>
            <w:tcW w:w="0" w:type="auto"/>
            <w:noWrap w:val="0"/>
            <w:vAlign w:val="center"/>
          </w:tcPr>
          <w:p w14:paraId="439BD8FB">
            <w:r>
              <w:rPr>
                <w:rStyle w:val="10"/>
                <w:rFonts w:hint="eastAsia"/>
              </w:rPr>
              <w:t>总有效成分含量：</w:t>
            </w:r>
            <w:r>
              <w:rPr>
                <w:rFonts w:hint="eastAsia"/>
              </w:rPr>
              <w:t>22%</w:t>
            </w:r>
          </w:p>
        </w:tc>
      </w:tr>
      <w:tr w14:paraId="2AC64AEC">
        <w:tblPrEx>
          <w:tblCellMar>
            <w:top w:w="0" w:type="dxa"/>
            <w:left w:w="0" w:type="dxa"/>
            <w:bottom w:w="0" w:type="dxa"/>
            <w:right w:w="0" w:type="dxa"/>
          </w:tblCellMar>
        </w:tblPrEx>
        <w:trPr>
          <w:wBefore w:w="0" w:type="auto"/>
          <w:tblCellSpacing w:w="0" w:type="dxa"/>
        </w:trPr>
        <w:tc>
          <w:tcPr>
            <w:tcW w:w="0" w:type="auto"/>
            <w:noWrap w:val="0"/>
            <w:vAlign w:val="center"/>
          </w:tcPr>
          <w:p w14:paraId="6E8CD337">
            <w:r>
              <w:rPr>
                <w:rFonts w:hint="eastAsia"/>
              </w:rPr>
              <w:t xml:space="preserve">有效成分及其含量： </w:t>
            </w:r>
          </w:p>
          <w:p w14:paraId="0BEED3DE">
            <w:r>
              <w:rPr>
                <w:rFonts w:hint="eastAsia"/>
              </w:rPr>
              <w:t xml:space="preserve">    噻虫嗪12.6%    高效氯氟氰菊酯9.4%    </w:t>
            </w:r>
          </w:p>
        </w:tc>
      </w:tr>
      <w:tr w14:paraId="0BF91157">
        <w:tblPrEx>
          <w:tblCellMar>
            <w:top w:w="0" w:type="dxa"/>
            <w:left w:w="0" w:type="dxa"/>
            <w:bottom w:w="0" w:type="dxa"/>
            <w:right w:w="0" w:type="dxa"/>
          </w:tblCellMar>
        </w:tblPrEx>
        <w:trPr>
          <w:wBefore w:w="0" w:type="auto"/>
          <w:tblCellSpacing w:w="0" w:type="dxa"/>
        </w:trPr>
        <w:tc>
          <w:tcPr>
            <w:tcW w:w="0" w:type="auto"/>
            <w:noWrap w:val="0"/>
            <w:vAlign w:val="center"/>
          </w:tcPr>
          <w:p w14:paraId="3DAB266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B65B7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E3DE37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3C7F4E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1FE199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7CBF481">
                  <w:r>
                    <w:rPr>
                      <w:rStyle w:val="11"/>
                      <w:rFonts w:hint="eastAsia"/>
                    </w:rPr>
                    <w:t>施用方式</w:t>
                  </w:r>
                </w:p>
              </w:tc>
            </w:tr>
            <w:tr w14:paraId="3BCAAE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808B04F">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C2485F">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17DB5F">
                  <w:r>
                    <w:rPr>
                      <w:rStyle w:val="11"/>
                      <w:rFonts w:hint="eastAsia"/>
                    </w:rPr>
                    <w:t>6-11毫升/亩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032A34">
                  <w:r>
                    <w:rPr>
                      <w:rStyle w:val="11"/>
                      <w:rFonts w:hint="eastAsia"/>
                    </w:rPr>
                    <w:t>喷雾</w:t>
                  </w:r>
                </w:p>
              </w:tc>
            </w:tr>
          </w:tbl>
          <w:p w14:paraId="4F9F82FF">
            <w:pPr>
              <w:rPr>
                <w:rFonts w:ascii="Times New Roman" w:hAnsi="Times New Roman" w:cs="Times New Roman"/>
                <w:sz w:val="20"/>
                <w:szCs w:val="20"/>
              </w:rPr>
            </w:pPr>
          </w:p>
        </w:tc>
      </w:tr>
      <w:tr w14:paraId="31C19D0D">
        <w:tblPrEx>
          <w:tblCellMar>
            <w:top w:w="0" w:type="dxa"/>
            <w:left w:w="0" w:type="dxa"/>
            <w:bottom w:w="0" w:type="dxa"/>
            <w:right w:w="0" w:type="dxa"/>
          </w:tblCellMar>
        </w:tblPrEx>
        <w:trPr>
          <w:wBefore w:w="0" w:type="auto"/>
          <w:tblCellSpacing w:w="0" w:type="dxa"/>
        </w:trPr>
        <w:tc>
          <w:tcPr>
            <w:tcW w:w="0" w:type="auto"/>
            <w:noWrap w:val="0"/>
            <w:vAlign w:val="center"/>
          </w:tcPr>
          <w:p w14:paraId="77182217">
            <w:r>
              <w:rPr>
                <w:rStyle w:val="10"/>
                <w:rFonts w:hint="eastAsia"/>
              </w:rPr>
              <w:t>使用技术要求:</w:t>
            </w:r>
            <w:r>
              <w:rPr>
                <w:rFonts w:hint="eastAsia"/>
              </w:rPr>
              <w:br w:type="textWrapping"/>
            </w:r>
            <w:r>
              <w:rPr>
                <w:rStyle w:val="11"/>
                <w:rFonts w:hint="eastAsia"/>
              </w:rPr>
              <w:t>1.于甘蓝蚜虫发生初期喷雾施药。2.宜于早上及傍晚用药，大风天或预计1小时内降雨，请勿用药。3. 在甘蓝上的安全间隔期为7天，每季作物使用1次。</w:t>
            </w:r>
          </w:p>
        </w:tc>
      </w:tr>
      <w:tr w14:paraId="2A7B968F">
        <w:tblPrEx>
          <w:tblCellMar>
            <w:top w:w="0" w:type="dxa"/>
            <w:left w:w="0" w:type="dxa"/>
            <w:bottom w:w="0" w:type="dxa"/>
            <w:right w:w="0" w:type="dxa"/>
          </w:tblCellMar>
        </w:tblPrEx>
        <w:trPr>
          <w:wBefore w:w="0" w:type="auto"/>
          <w:tblCellSpacing w:w="0" w:type="dxa"/>
        </w:trPr>
        <w:tc>
          <w:tcPr>
            <w:tcW w:w="0" w:type="auto"/>
            <w:noWrap w:val="0"/>
            <w:vAlign w:val="center"/>
          </w:tcPr>
          <w:p w14:paraId="7EE663F6">
            <w:r>
              <w:rPr>
                <w:rStyle w:val="10"/>
                <w:rFonts w:hint="eastAsia"/>
              </w:rPr>
              <w:t>产品性能:</w:t>
            </w:r>
            <w:r>
              <w:rPr>
                <w:rFonts w:hint="eastAsia"/>
              </w:rPr>
              <w:br w:type="textWrapping"/>
            </w:r>
            <w:r>
              <w:rPr>
                <w:rStyle w:val="11"/>
                <w:rFonts w:hint="eastAsia"/>
              </w:rPr>
              <w:t>本品为均匀的悬浮液体。噻虫嗪是具内吸作用的第二代新烟碱类杀虫剂，具有胃毒和触杀活性；高效氯氟氰菊酯是拟除虫菊酯类杀虫剂，具有胃毒和触杀作用。本品对甘蓝蚜虫有较好的防效。</w:t>
            </w:r>
          </w:p>
        </w:tc>
      </w:tr>
      <w:tr w14:paraId="15E47B22">
        <w:tblPrEx>
          <w:tblCellMar>
            <w:top w:w="0" w:type="dxa"/>
            <w:left w:w="0" w:type="dxa"/>
            <w:bottom w:w="0" w:type="dxa"/>
            <w:right w:w="0" w:type="dxa"/>
          </w:tblCellMar>
        </w:tblPrEx>
        <w:trPr>
          <w:wBefore w:w="0" w:type="auto"/>
          <w:tblCellSpacing w:w="0" w:type="dxa"/>
        </w:trPr>
        <w:tc>
          <w:tcPr>
            <w:tcW w:w="0" w:type="auto"/>
            <w:noWrap w:val="0"/>
            <w:vAlign w:val="center"/>
          </w:tcPr>
          <w:p w14:paraId="3A42098D">
            <w:r>
              <w:rPr>
                <w:rStyle w:val="10"/>
                <w:rFonts w:hint="eastAsia"/>
              </w:rPr>
              <w:t>注意事项：</w:t>
            </w:r>
            <w:r>
              <w:rPr>
                <w:rFonts w:hint="eastAsia"/>
              </w:rPr>
              <w:br w:type="textWrapping"/>
            </w:r>
            <w:r>
              <w:rPr>
                <w:rStyle w:val="11"/>
                <w:rFonts w:hint="eastAsia"/>
              </w:rPr>
              <w:t>1、本品对鱼、家蚕剧毒，对蜜蜂和水生生物高毒，施药期间应密切关注对附近蜂群的影响，周围开花植物花期、蚕室和桑园附近禁用。施用农药3日前告知所在地及邻近3000米以内的养蜂者。远离水产养殖区、河塘等水体施药，禁止在河塘等水体中清洗施药器具。.鸟类保护区附近禁用；赤眼蜂、瓢虫等天敌放飞区域禁用。 2、施用应注意安全防护，施用时穿戴帽子、口罩、长衣、长裤、手套、鞋。 3、施药期间不可吃东西、饮水等；施药后应及时洗手、洗脸等。 4、废弃物应妥善处理，不可做他用，也不可随意丢弃。 5、建议与其他作用机制不同的杀虫剂轮换使用，以延缓抗性产生。 6、孕妇和哺乳期妇女避免接触本品。</w:t>
            </w:r>
          </w:p>
        </w:tc>
      </w:tr>
      <w:tr w14:paraId="28186C91">
        <w:tblPrEx>
          <w:tblCellMar>
            <w:top w:w="0" w:type="dxa"/>
            <w:left w:w="0" w:type="dxa"/>
            <w:bottom w:w="0" w:type="dxa"/>
            <w:right w:w="0" w:type="dxa"/>
          </w:tblCellMar>
        </w:tblPrEx>
        <w:trPr>
          <w:wBefore w:w="0" w:type="auto"/>
          <w:tblCellSpacing w:w="0" w:type="dxa"/>
        </w:trPr>
        <w:tc>
          <w:tcPr>
            <w:tcW w:w="0" w:type="auto"/>
            <w:noWrap w:val="0"/>
            <w:vAlign w:val="center"/>
          </w:tcPr>
          <w:p w14:paraId="015ED35F">
            <w:r>
              <w:rPr>
                <w:rStyle w:val="10"/>
                <w:rFonts w:hint="eastAsia"/>
              </w:rPr>
              <w:t>中毒急救措施：</w:t>
            </w:r>
            <w:r>
              <w:rPr>
                <w:rFonts w:hint="eastAsia"/>
              </w:rPr>
              <w:br w:type="textWrapping"/>
            </w:r>
            <w:r>
              <w:rPr>
                <w:rStyle w:val="11"/>
                <w:rFonts w:hint="eastAsia"/>
              </w:rPr>
              <w:t>中毒症状：可引起皮肤刺激，接触量大时会引起头痛、头昏、恶心、呕吐、双手颤抖，甚至出现全身抽搐或惊厥、昏迷、休克等症状。 中毒急救：1.用药时如果感觉不适，立即停止工作，采取急救措施，并携标签将病人送医院就诊。2.皮肤接触：立即脱掉被污染的衣物，用肥皂和大量清水彻底清洗受污染的皮肤。必要时请医生诊治。3.眼睛溅药：立即将眼睑翻开，用清水冲洗至少15分钟，再请医生诊治。4.发生吸入：立即将吸入者转移到空气新鲜处，注意保暖和休息，请医生诊治。5.误服：请勿引吐。立即携带标签，送医就诊。紧急医疗措施：使用医用活性炭洗胃，洗胃时注意防止胃容物进入呼吸道。注意：对昏迷病人，切勿经口喂入任何东西或引吐。6.解毒剂：无专用解毒剂，对症治疗。</w:t>
            </w:r>
          </w:p>
        </w:tc>
      </w:tr>
      <w:tr w14:paraId="4950C4D3">
        <w:tblPrEx>
          <w:tblCellMar>
            <w:top w:w="0" w:type="dxa"/>
            <w:left w:w="0" w:type="dxa"/>
            <w:bottom w:w="0" w:type="dxa"/>
            <w:right w:w="0" w:type="dxa"/>
          </w:tblCellMar>
        </w:tblPrEx>
        <w:trPr>
          <w:wBefore w:w="0" w:type="auto"/>
          <w:tblCellSpacing w:w="0" w:type="dxa"/>
        </w:trPr>
        <w:tc>
          <w:tcPr>
            <w:tcW w:w="0" w:type="auto"/>
            <w:noWrap w:val="0"/>
            <w:vAlign w:val="center"/>
          </w:tcPr>
          <w:p w14:paraId="39CA11BF">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本品应贮存于干燥、阴凉、通风、防雨处。远离火源或热源。置于儿童触及不到之处，并加锁。勿与食品、饮料、饲料、粮食等其它商品同贮同运。</w:t>
            </w:r>
          </w:p>
        </w:tc>
      </w:tr>
      <w:tr w14:paraId="653B74A7">
        <w:tblPrEx>
          <w:tblCellMar>
            <w:top w:w="0" w:type="dxa"/>
            <w:left w:w="0" w:type="dxa"/>
            <w:bottom w:w="0" w:type="dxa"/>
            <w:right w:w="0" w:type="dxa"/>
          </w:tblCellMar>
        </w:tblPrEx>
        <w:trPr>
          <w:wBefore w:w="0" w:type="auto"/>
          <w:tblCellSpacing w:w="0" w:type="dxa"/>
        </w:trPr>
        <w:tc>
          <w:tcPr>
            <w:tcW w:w="0" w:type="auto"/>
            <w:noWrap w:val="0"/>
            <w:vAlign w:val="center"/>
          </w:tcPr>
          <w:p w14:paraId="4AB7599C">
            <w:r>
              <w:rPr>
                <w:rStyle w:val="10"/>
                <w:rFonts w:hint="eastAsia"/>
              </w:rPr>
              <w:t>质量保证期：</w:t>
            </w:r>
            <w:r>
              <w:rPr>
                <w:rStyle w:val="11"/>
                <w:rFonts w:hint="eastAsia"/>
              </w:rPr>
              <w:t>2年</w:t>
            </w:r>
          </w:p>
        </w:tc>
      </w:tr>
      <w:tr w14:paraId="1FA23359">
        <w:tblPrEx>
          <w:tblCellMar>
            <w:top w:w="0" w:type="dxa"/>
            <w:left w:w="0" w:type="dxa"/>
            <w:bottom w:w="0" w:type="dxa"/>
            <w:right w:w="0" w:type="dxa"/>
          </w:tblCellMar>
        </w:tblPrEx>
        <w:trPr>
          <w:wBefore w:w="0" w:type="auto"/>
          <w:tblCellSpacing w:w="0" w:type="dxa"/>
        </w:trPr>
        <w:tc>
          <w:tcPr>
            <w:tcW w:w="0" w:type="auto"/>
            <w:noWrap w:val="0"/>
            <w:vAlign w:val="center"/>
          </w:tcPr>
          <w:p w14:paraId="399B69FE">
            <w:r>
              <w:rPr>
                <w:rStyle w:val="10"/>
                <w:rFonts w:hint="eastAsia"/>
              </w:rPr>
              <w:t>备注：</w:t>
            </w:r>
          </w:p>
        </w:tc>
      </w:tr>
    </w:tbl>
    <w:p w14:paraId="1932701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4B86D53">
        <w:tblPrEx>
          <w:tblCellMar>
            <w:top w:w="0" w:type="dxa"/>
            <w:left w:w="0" w:type="dxa"/>
            <w:bottom w:w="0" w:type="dxa"/>
            <w:right w:w="0" w:type="dxa"/>
          </w:tblCellMar>
        </w:tblPrEx>
        <w:trPr>
          <w:wBefore w:w="0" w:type="auto"/>
          <w:tblCellSpacing w:w="0" w:type="dxa"/>
        </w:trPr>
        <w:tc>
          <w:tcPr>
            <w:tcW w:w="0" w:type="auto"/>
            <w:noWrap w:val="0"/>
            <w:vAlign w:val="center"/>
          </w:tcPr>
          <w:p w14:paraId="2DD05B7D">
            <w:r>
              <w:rPr>
                <w:rStyle w:val="10"/>
                <w:rFonts w:hint="eastAsia"/>
              </w:rPr>
              <w:t>登记证号：</w:t>
            </w:r>
            <w:r>
              <w:rPr>
                <w:rFonts w:hint="eastAsia"/>
              </w:rPr>
              <w:t>PD20212045</w:t>
            </w:r>
          </w:p>
        </w:tc>
      </w:tr>
      <w:tr w14:paraId="19CD8F86">
        <w:tblPrEx>
          <w:tblCellMar>
            <w:top w:w="0" w:type="dxa"/>
            <w:left w:w="0" w:type="dxa"/>
            <w:bottom w:w="0" w:type="dxa"/>
            <w:right w:w="0" w:type="dxa"/>
          </w:tblCellMar>
        </w:tblPrEx>
        <w:trPr>
          <w:wBefore w:w="0" w:type="auto"/>
          <w:tblCellSpacing w:w="0" w:type="dxa"/>
        </w:trPr>
        <w:tc>
          <w:tcPr>
            <w:tcW w:w="0" w:type="auto"/>
            <w:noWrap w:val="0"/>
            <w:vAlign w:val="center"/>
          </w:tcPr>
          <w:p w14:paraId="00A64FB4">
            <w:r>
              <w:rPr>
                <w:rStyle w:val="10"/>
                <w:rFonts w:hint="eastAsia"/>
              </w:rPr>
              <w:t>登记证持有人：</w:t>
            </w:r>
            <w:r>
              <w:rPr>
                <w:rFonts w:hint="eastAsia"/>
              </w:rPr>
              <w:t>上海沪联生物药业（夏邑）股份有限公司</w:t>
            </w:r>
          </w:p>
        </w:tc>
      </w:tr>
      <w:tr w14:paraId="37843186">
        <w:tblPrEx>
          <w:tblCellMar>
            <w:top w:w="0" w:type="dxa"/>
            <w:left w:w="0" w:type="dxa"/>
            <w:bottom w:w="0" w:type="dxa"/>
            <w:right w:w="0" w:type="dxa"/>
          </w:tblCellMar>
        </w:tblPrEx>
        <w:trPr>
          <w:wBefore w:w="0" w:type="auto"/>
          <w:tblCellSpacing w:w="0" w:type="dxa"/>
        </w:trPr>
        <w:tc>
          <w:tcPr>
            <w:tcW w:w="0" w:type="auto"/>
            <w:noWrap w:val="0"/>
            <w:vAlign w:val="center"/>
          </w:tcPr>
          <w:p w14:paraId="11169590">
            <w:r>
              <w:rPr>
                <w:rStyle w:val="10"/>
                <w:rFonts w:hint="eastAsia"/>
              </w:rPr>
              <w:t>农药名称：</w:t>
            </w:r>
            <w:r>
              <w:rPr>
                <w:rFonts w:hint="eastAsia"/>
              </w:rPr>
              <w:t>苄氨·赤霉酸</w:t>
            </w:r>
          </w:p>
        </w:tc>
      </w:tr>
      <w:tr w14:paraId="5EEFA781">
        <w:tblPrEx>
          <w:tblCellMar>
            <w:top w:w="0" w:type="dxa"/>
            <w:left w:w="0" w:type="dxa"/>
            <w:bottom w:w="0" w:type="dxa"/>
            <w:right w:w="0" w:type="dxa"/>
          </w:tblCellMar>
        </w:tblPrEx>
        <w:trPr>
          <w:wBefore w:w="0" w:type="auto"/>
          <w:tblCellSpacing w:w="0" w:type="dxa"/>
        </w:trPr>
        <w:tc>
          <w:tcPr>
            <w:tcW w:w="0" w:type="auto"/>
            <w:noWrap w:val="0"/>
            <w:vAlign w:val="center"/>
          </w:tcPr>
          <w:p w14:paraId="5CB39456">
            <w:r>
              <w:rPr>
                <w:rStyle w:val="10"/>
                <w:rFonts w:hint="eastAsia"/>
              </w:rPr>
              <w:t>剂型：</w:t>
            </w:r>
            <w:r>
              <w:rPr>
                <w:rFonts w:hint="eastAsia"/>
              </w:rPr>
              <w:t>可溶液剂</w:t>
            </w:r>
          </w:p>
        </w:tc>
      </w:tr>
      <w:tr w14:paraId="51D85E6F">
        <w:tblPrEx>
          <w:tblCellMar>
            <w:top w:w="0" w:type="dxa"/>
            <w:left w:w="0" w:type="dxa"/>
            <w:bottom w:w="0" w:type="dxa"/>
            <w:right w:w="0" w:type="dxa"/>
          </w:tblCellMar>
        </w:tblPrEx>
        <w:trPr>
          <w:wBefore w:w="0" w:type="auto"/>
          <w:tblCellSpacing w:w="0" w:type="dxa"/>
        </w:trPr>
        <w:tc>
          <w:tcPr>
            <w:tcW w:w="0" w:type="auto"/>
            <w:noWrap w:val="0"/>
            <w:vAlign w:val="center"/>
          </w:tcPr>
          <w:p w14:paraId="2A29523E">
            <w:r>
              <w:rPr>
                <w:rStyle w:val="10"/>
                <w:rFonts w:hint="eastAsia"/>
              </w:rPr>
              <w:t>毒性及其标识：</w:t>
            </w:r>
            <w:r>
              <w:rPr>
                <w:rFonts w:hint="eastAsia"/>
              </w:rPr>
              <w:t xml:space="preserve"> </w:t>
            </w:r>
            <w:r>
              <w:rPr>
                <w:lang/>
              </w:rPr>
              <w:drawing>
                <wp:inline distT="0" distB="0" distL="114300" distR="114300">
                  <wp:extent cx="476250" cy="323850"/>
                  <wp:effectExtent l="0" t="0" r="0" b="0"/>
                  <wp:docPr id="560" name="图片 56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11B1718">
        <w:tblPrEx>
          <w:tblCellMar>
            <w:top w:w="0" w:type="dxa"/>
            <w:left w:w="0" w:type="dxa"/>
            <w:bottom w:w="0" w:type="dxa"/>
            <w:right w:w="0" w:type="dxa"/>
          </w:tblCellMar>
        </w:tblPrEx>
        <w:trPr>
          <w:wBefore w:w="0" w:type="auto"/>
          <w:tblCellSpacing w:w="0" w:type="dxa"/>
        </w:trPr>
        <w:tc>
          <w:tcPr>
            <w:tcW w:w="0" w:type="auto"/>
            <w:noWrap w:val="0"/>
            <w:vAlign w:val="center"/>
          </w:tcPr>
          <w:p w14:paraId="0C5A72B1">
            <w:r>
              <w:rPr>
                <w:rStyle w:val="10"/>
                <w:rFonts w:hint="eastAsia"/>
              </w:rPr>
              <w:t>总有效成分含量：</w:t>
            </w:r>
            <w:r>
              <w:rPr>
                <w:rFonts w:hint="eastAsia"/>
              </w:rPr>
              <w:t>4%</w:t>
            </w:r>
          </w:p>
        </w:tc>
      </w:tr>
      <w:tr w14:paraId="163C79C4">
        <w:tblPrEx>
          <w:tblCellMar>
            <w:top w:w="0" w:type="dxa"/>
            <w:left w:w="0" w:type="dxa"/>
            <w:bottom w:w="0" w:type="dxa"/>
            <w:right w:w="0" w:type="dxa"/>
          </w:tblCellMar>
        </w:tblPrEx>
        <w:trPr>
          <w:wBefore w:w="0" w:type="auto"/>
          <w:tblCellSpacing w:w="0" w:type="dxa"/>
        </w:trPr>
        <w:tc>
          <w:tcPr>
            <w:tcW w:w="0" w:type="auto"/>
            <w:noWrap w:val="0"/>
            <w:vAlign w:val="center"/>
          </w:tcPr>
          <w:p w14:paraId="0E1C16D5">
            <w:r>
              <w:rPr>
                <w:rFonts w:hint="eastAsia"/>
              </w:rPr>
              <w:t xml:space="preserve">有效成分及其含量： </w:t>
            </w:r>
          </w:p>
          <w:p w14:paraId="4CA827CB">
            <w:r>
              <w:rPr>
                <w:rFonts w:hint="eastAsia"/>
              </w:rPr>
              <w:t xml:space="preserve">    赤霉酸2%    苄氨基嘌呤2%    </w:t>
            </w:r>
          </w:p>
        </w:tc>
      </w:tr>
      <w:tr w14:paraId="36943C64">
        <w:tblPrEx>
          <w:tblCellMar>
            <w:top w:w="0" w:type="dxa"/>
            <w:left w:w="0" w:type="dxa"/>
            <w:bottom w:w="0" w:type="dxa"/>
            <w:right w:w="0" w:type="dxa"/>
          </w:tblCellMar>
        </w:tblPrEx>
        <w:trPr>
          <w:wBefore w:w="0" w:type="auto"/>
          <w:tblCellSpacing w:w="0" w:type="dxa"/>
        </w:trPr>
        <w:tc>
          <w:tcPr>
            <w:tcW w:w="0" w:type="auto"/>
            <w:noWrap w:val="0"/>
            <w:vAlign w:val="center"/>
          </w:tcPr>
          <w:p w14:paraId="6C99CBF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1E584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9BD90B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4B1712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C2B1AC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9C1E3B5">
                  <w:r>
                    <w:rPr>
                      <w:rStyle w:val="11"/>
                      <w:rFonts w:hint="eastAsia"/>
                    </w:rPr>
                    <w:t>施用方式</w:t>
                  </w:r>
                </w:p>
              </w:tc>
            </w:tr>
            <w:tr w14:paraId="46289E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383745E">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CC6816">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0AC963">
                  <w:r>
                    <w:rPr>
                      <w:rStyle w:val="11"/>
                      <w:rFonts w:hint="eastAsia"/>
                    </w:rPr>
                    <w:t>800-1000倍液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7D81D0">
                  <w:r>
                    <w:rPr>
                      <w:rStyle w:val="11"/>
                      <w:rFonts w:hint="eastAsia"/>
                    </w:rPr>
                    <w:t>浸果穗</w:t>
                  </w:r>
                </w:p>
              </w:tc>
            </w:tr>
          </w:tbl>
          <w:p w14:paraId="5BE7D53C">
            <w:pPr>
              <w:rPr>
                <w:rFonts w:ascii="Times New Roman" w:hAnsi="Times New Roman" w:cs="Times New Roman"/>
                <w:sz w:val="20"/>
                <w:szCs w:val="20"/>
              </w:rPr>
            </w:pPr>
          </w:p>
        </w:tc>
      </w:tr>
      <w:tr w14:paraId="47D60D33">
        <w:tblPrEx>
          <w:tblCellMar>
            <w:top w:w="0" w:type="dxa"/>
            <w:left w:w="0" w:type="dxa"/>
            <w:bottom w:w="0" w:type="dxa"/>
            <w:right w:w="0" w:type="dxa"/>
          </w:tblCellMar>
        </w:tblPrEx>
        <w:trPr>
          <w:wBefore w:w="0" w:type="auto"/>
          <w:tblCellSpacing w:w="0" w:type="dxa"/>
        </w:trPr>
        <w:tc>
          <w:tcPr>
            <w:tcW w:w="0" w:type="auto"/>
            <w:noWrap w:val="0"/>
            <w:vAlign w:val="center"/>
          </w:tcPr>
          <w:p w14:paraId="3655A193">
            <w:r>
              <w:rPr>
                <w:rStyle w:val="10"/>
                <w:rFonts w:hint="eastAsia"/>
              </w:rPr>
              <w:t>使用技术要求:</w:t>
            </w:r>
            <w:r>
              <w:rPr>
                <w:rFonts w:hint="eastAsia"/>
              </w:rPr>
              <w:br w:type="textWrapping"/>
            </w:r>
            <w:r>
              <w:rPr>
                <w:rStyle w:val="11"/>
                <w:rFonts w:hint="eastAsia"/>
              </w:rPr>
              <w:t>1、 在葡萄幼果横径12-14毫米（谢花后20-25天左右），浸果穗施药1次。2．预计1小时内降雨，请勿施药。</w:t>
            </w:r>
          </w:p>
        </w:tc>
      </w:tr>
      <w:tr w14:paraId="62FC4802">
        <w:tblPrEx>
          <w:tblCellMar>
            <w:top w:w="0" w:type="dxa"/>
            <w:left w:w="0" w:type="dxa"/>
            <w:bottom w:w="0" w:type="dxa"/>
            <w:right w:w="0" w:type="dxa"/>
          </w:tblCellMar>
        </w:tblPrEx>
        <w:trPr>
          <w:wBefore w:w="0" w:type="auto"/>
          <w:tblCellSpacing w:w="0" w:type="dxa"/>
        </w:trPr>
        <w:tc>
          <w:tcPr>
            <w:tcW w:w="0" w:type="auto"/>
            <w:noWrap w:val="0"/>
            <w:vAlign w:val="center"/>
          </w:tcPr>
          <w:p w14:paraId="2FFB7B05">
            <w:r>
              <w:rPr>
                <w:rStyle w:val="10"/>
                <w:rFonts w:hint="eastAsia"/>
              </w:rPr>
              <w:t>产品性能:</w:t>
            </w:r>
            <w:r>
              <w:rPr>
                <w:rFonts w:hint="eastAsia"/>
              </w:rPr>
              <w:br w:type="textWrapping"/>
            </w:r>
            <w:r>
              <w:rPr>
                <w:rStyle w:val="11"/>
                <w:rFonts w:hint="eastAsia"/>
              </w:rPr>
              <w:t>本品为无色透明液体，无刺激性气味。本品由苄氨基嘌呤和赤霉素科学复配而成的植物生长调节剂，具有将氨基酸、生长素、无机盐等向处理部位调运等多种效能。可促进细胞，茎伸长，叶片扩大，单性结实、果实生长，改变雌、雄花比率，影响开花时间，减少花、果的脱落，达到调节生长的效果。</w:t>
            </w:r>
          </w:p>
        </w:tc>
      </w:tr>
      <w:tr w14:paraId="51693592">
        <w:tblPrEx>
          <w:tblCellMar>
            <w:top w:w="0" w:type="dxa"/>
            <w:left w:w="0" w:type="dxa"/>
            <w:bottom w:w="0" w:type="dxa"/>
            <w:right w:w="0" w:type="dxa"/>
          </w:tblCellMar>
        </w:tblPrEx>
        <w:trPr>
          <w:wBefore w:w="0" w:type="auto"/>
          <w:tblCellSpacing w:w="0" w:type="dxa"/>
        </w:trPr>
        <w:tc>
          <w:tcPr>
            <w:tcW w:w="0" w:type="auto"/>
            <w:noWrap w:val="0"/>
            <w:vAlign w:val="center"/>
          </w:tcPr>
          <w:p w14:paraId="0211C702">
            <w:r>
              <w:rPr>
                <w:rStyle w:val="10"/>
                <w:rFonts w:hint="eastAsia"/>
              </w:rPr>
              <w:t>注意事项：</w:t>
            </w:r>
            <w:r>
              <w:rPr>
                <w:rFonts w:hint="eastAsia"/>
              </w:rPr>
              <w:br w:type="textWrapping"/>
            </w:r>
            <w:r>
              <w:rPr>
                <w:rStyle w:val="11"/>
                <w:rFonts w:hint="eastAsia"/>
              </w:rPr>
              <w:t>1、严格按照规定用药量和方法使用。药液及其废液不得污染各类水域、土壤等环境。2、本品不可与碱性农药等物质混用。3、使用本品应采取相应的安全防护措施，穿防护服，戴防护手套、口罩等，避免皮肤接触及口鼻吸入。使用中不可吸烟、饮水及吃东西，使用后及时清洗手、脸等暴露部位皮肤并及时更换衣物。4.禁止河塘等水域内清洗施药器具或将清洗施药器具的废水倒入河流、池塘等水源。5、用药后包装物及用过的容器应妥善处理，不可做他用，也不可随意丢弃。6、孕妇及哺乳期妇女禁止接触。</w:t>
            </w:r>
          </w:p>
        </w:tc>
      </w:tr>
      <w:tr w14:paraId="001F87B2">
        <w:tblPrEx>
          <w:tblCellMar>
            <w:top w:w="0" w:type="dxa"/>
            <w:left w:w="0" w:type="dxa"/>
            <w:bottom w:w="0" w:type="dxa"/>
            <w:right w:w="0" w:type="dxa"/>
          </w:tblCellMar>
        </w:tblPrEx>
        <w:trPr>
          <w:wBefore w:w="0" w:type="auto"/>
          <w:tblCellSpacing w:w="0" w:type="dxa"/>
        </w:trPr>
        <w:tc>
          <w:tcPr>
            <w:tcW w:w="0" w:type="auto"/>
            <w:noWrap w:val="0"/>
            <w:vAlign w:val="center"/>
          </w:tcPr>
          <w:p w14:paraId="692C8178">
            <w:r>
              <w:rPr>
                <w:rStyle w:val="10"/>
                <w:rFonts w:hint="eastAsia"/>
              </w:rPr>
              <w:t>中毒急救措施：</w:t>
            </w:r>
            <w:r>
              <w:rPr>
                <w:rFonts w:hint="eastAsia"/>
              </w:rPr>
              <w:br w:type="textWrapping"/>
            </w:r>
            <w:r>
              <w:rPr>
                <w:rStyle w:val="11"/>
                <w:rFonts w:hint="eastAsia"/>
              </w:rPr>
              <w:t>对眼睛、皮肤有刺激性，使用时避免药液接触眼睛、皮肤。1.吸入或误食，如有不适症状，立即携此标签前往医院诊治。2.如不慎接触皮肤，应用大量清水冲洗；若溅入眼睛，应用大量清水冲洗至少15分钟。</w:t>
            </w:r>
          </w:p>
        </w:tc>
      </w:tr>
      <w:tr w14:paraId="49A07ECF">
        <w:tblPrEx>
          <w:tblCellMar>
            <w:top w:w="0" w:type="dxa"/>
            <w:left w:w="0" w:type="dxa"/>
            <w:bottom w:w="0" w:type="dxa"/>
            <w:right w:w="0" w:type="dxa"/>
          </w:tblCellMar>
        </w:tblPrEx>
        <w:trPr>
          <w:wBefore w:w="0" w:type="auto"/>
          <w:tblCellSpacing w:w="0" w:type="dxa"/>
        </w:trPr>
        <w:tc>
          <w:tcPr>
            <w:tcW w:w="0" w:type="auto"/>
            <w:noWrap w:val="0"/>
            <w:vAlign w:val="center"/>
          </w:tcPr>
          <w:p w14:paraId="03B8F952">
            <w:r>
              <w:rPr>
                <w:rStyle w:val="10"/>
                <w:rFonts w:hint="eastAsia"/>
              </w:rPr>
              <w:t>储存和运输方法：</w:t>
            </w:r>
            <w:r>
              <w:rPr>
                <w:rFonts w:hint="eastAsia"/>
              </w:rPr>
              <w:br w:type="textWrapping"/>
            </w:r>
            <w:r>
              <w:rPr>
                <w:rStyle w:val="11"/>
                <w:rFonts w:hint="eastAsia"/>
              </w:rPr>
              <w:t>本品应密封包装，置于阴凉避光、干燥通风处。远离火源和热源，与强氧化剂分开存放。置于儿童触及不到之处，并加锁。勿与食品、饮料、粮食、饲料、种子等物品同贮同运。</w:t>
            </w:r>
          </w:p>
        </w:tc>
      </w:tr>
      <w:tr w14:paraId="08163F9D">
        <w:tblPrEx>
          <w:tblCellMar>
            <w:top w:w="0" w:type="dxa"/>
            <w:left w:w="0" w:type="dxa"/>
            <w:bottom w:w="0" w:type="dxa"/>
            <w:right w:w="0" w:type="dxa"/>
          </w:tblCellMar>
        </w:tblPrEx>
        <w:trPr>
          <w:wBefore w:w="0" w:type="auto"/>
          <w:tblCellSpacing w:w="0" w:type="dxa"/>
        </w:trPr>
        <w:tc>
          <w:tcPr>
            <w:tcW w:w="0" w:type="auto"/>
            <w:noWrap w:val="0"/>
            <w:vAlign w:val="center"/>
          </w:tcPr>
          <w:p w14:paraId="6515AD50">
            <w:r>
              <w:rPr>
                <w:rStyle w:val="10"/>
                <w:rFonts w:hint="eastAsia"/>
              </w:rPr>
              <w:t>质量保证期：</w:t>
            </w:r>
            <w:r>
              <w:rPr>
                <w:rStyle w:val="11"/>
                <w:rFonts w:hint="eastAsia"/>
              </w:rPr>
              <w:t>2年</w:t>
            </w:r>
          </w:p>
        </w:tc>
      </w:tr>
      <w:tr w14:paraId="6C72ABC0">
        <w:tblPrEx>
          <w:tblCellMar>
            <w:top w:w="0" w:type="dxa"/>
            <w:left w:w="0" w:type="dxa"/>
            <w:bottom w:w="0" w:type="dxa"/>
            <w:right w:w="0" w:type="dxa"/>
          </w:tblCellMar>
        </w:tblPrEx>
        <w:trPr>
          <w:wBefore w:w="0" w:type="auto"/>
          <w:tblCellSpacing w:w="0" w:type="dxa"/>
        </w:trPr>
        <w:tc>
          <w:tcPr>
            <w:tcW w:w="0" w:type="auto"/>
            <w:noWrap w:val="0"/>
            <w:vAlign w:val="center"/>
          </w:tcPr>
          <w:p w14:paraId="7B644782">
            <w:r>
              <w:rPr>
                <w:rStyle w:val="10"/>
                <w:rFonts w:hint="eastAsia"/>
              </w:rPr>
              <w:t>备注：</w:t>
            </w:r>
          </w:p>
        </w:tc>
      </w:tr>
    </w:tbl>
    <w:p w14:paraId="598FE4F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0A3D01F">
        <w:tblPrEx>
          <w:tblCellMar>
            <w:top w:w="0" w:type="dxa"/>
            <w:left w:w="0" w:type="dxa"/>
            <w:bottom w:w="0" w:type="dxa"/>
            <w:right w:w="0" w:type="dxa"/>
          </w:tblCellMar>
        </w:tblPrEx>
        <w:trPr>
          <w:wBefore w:w="0" w:type="auto"/>
          <w:tblCellSpacing w:w="0" w:type="dxa"/>
        </w:trPr>
        <w:tc>
          <w:tcPr>
            <w:tcW w:w="0" w:type="auto"/>
            <w:noWrap w:val="0"/>
            <w:vAlign w:val="center"/>
          </w:tcPr>
          <w:p w14:paraId="2FB3D312">
            <w:r>
              <w:rPr>
                <w:rStyle w:val="10"/>
                <w:rFonts w:hint="eastAsia"/>
              </w:rPr>
              <w:t>登记证号：</w:t>
            </w:r>
            <w:r>
              <w:rPr>
                <w:rFonts w:hint="eastAsia"/>
              </w:rPr>
              <w:t>PD20211861</w:t>
            </w:r>
          </w:p>
        </w:tc>
      </w:tr>
      <w:tr w14:paraId="73A3CF74">
        <w:tblPrEx>
          <w:tblCellMar>
            <w:top w:w="0" w:type="dxa"/>
            <w:left w:w="0" w:type="dxa"/>
            <w:bottom w:w="0" w:type="dxa"/>
            <w:right w:w="0" w:type="dxa"/>
          </w:tblCellMar>
        </w:tblPrEx>
        <w:trPr>
          <w:wBefore w:w="0" w:type="auto"/>
          <w:tblCellSpacing w:w="0" w:type="dxa"/>
        </w:trPr>
        <w:tc>
          <w:tcPr>
            <w:tcW w:w="0" w:type="auto"/>
            <w:noWrap w:val="0"/>
            <w:vAlign w:val="center"/>
          </w:tcPr>
          <w:p w14:paraId="5D6DC1C5">
            <w:r>
              <w:rPr>
                <w:rStyle w:val="10"/>
                <w:rFonts w:hint="eastAsia"/>
              </w:rPr>
              <w:t>登记证持有人：</w:t>
            </w:r>
            <w:r>
              <w:rPr>
                <w:rFonts w:hint="eastAsia"/>
              </w:rPr>
              <w:t>陕西美邦药业集团股份有限公司</w:t>
            </w:r>
          </w:p>
        </w:tc>
      </w:tr>
      <w:tr w14:paraId="1844132B">
        <w:tblPrEx>
          <w:tblCellMar>
            <w:top w:w="0" w:type="dxa"/>
            <w:left w:w="0" w:type="dxa"/>
            <w:bottom w:w="0" w:type="dxa"/>
            <w:right w:w="0" w:type="dxa"/>
          </w:tblCellMar>
        </w:tblPrEx>
        <w:trPr>
          <w:wBefore w:w="0" w:type="auto"/>
          <w:tblCellSpacing w:w="0" w:type="dxa"/>
        </w:trPr>
        <w:tc>
          <w:tcPr>
            <w:tcW w:w="0" w:type="auto"/>
            <w:noWrap w:val="0"/>
            <w:vAlign w:val="center"/>
          </w:tcPr>
          <w:p w14:paraId="03242682">
            <w:r>
              <w:rPr>
                <w:rStyle w:val="10"/>
                <w:rFonts w:hint="eastAsia"/>
              </w:rPr>
              <w:t>农药名称：</w:t>
            </w:r>
            <w:r>
              <w:rPr>
                <w:rFonts w:hint="eastAsia"/>
              </w:rPr>
              <w:t>螺虫·毒死蜱</w:t>
            </w:r>
          </w:p>
        </w:tc>
      </w:tr>
      <w:tr w14:paraId="59CDA71F">
        <w:tblPrEx>
          <w:tblCellMar>
            <w:top w:w="0" w:type="dxa"/>
            <w:left w:w="0" w:type="dxa"/>
            <w:bottom w:w="0" w:type="dxa"/>
            <w:right w:w="0" w:type="dxa"/>
          </w:tblCellMar>
        </w:tblPrEx>
        <w:trPr>
          <w:wBefore w:w="0" w:type="auto"/>
          <w:tblCellSpacing w:w="0" w:type="dxa"/>
        </w:trPr>
        <w:tc>
          <w:tcPr>
            <w:tcW w:w="0" w:type="auto"/>
            <w:noWrap w:val="0"/>
            <w:vAlign w:val="center"/>
          </w:tcPr>
          <w:p w14:paraId="5230670C">
            <w:r>
              <w:rPr>
                <w:rStyle w:val="10"/>
                <w:rFonts w:hint="eastAsia"/>
              </w:rPr>
              <w:t>剂型：</w:t>
            </w:r>
            <w:r>
              <w:rPr>
                <w:rFonts w:hint="eastAsia"/>
              </w:rPr>
              <w:t>乳油</w:t>
            </w:r>
          </w:p>
        </w:tc>
      </w:tr>
      <w:tr w14:paraId="2E6B9205">
        <w:tblPrEx>
          <w:tblCellMar>
            <w:top w:w="0" w:type="dxa"/>
            <w:left w:w="0" w:type="dxa"/>
            <w:bottom w:w="0" w:type="dxa"/>
            <w:right w:w="0" w:type="dxa"/>
          </w:tblCellMar>
        </w:tblPrEx>
        <w:trPr>
          <w:wBefore w:w="0" w:type="auto"/>
          <w:tblCellSpacing w:w="0" w:type="dxa"/>
        </w:trPr>
        <w:tc>
          <w:tcPr>
            <w:tcW w:w="0" w:type="auto"/>
            <w:noWrap w:val="0"/>
            <w:vAlign w:val="center"/>
          </w:tcPr>
          <w:p w14:paraId="7B71B679">
            <w:r>
              <w:rPr>
                <w:rStyle w:val="10"/>
                <w:rFonts w:hint="eastAsia"/>
              </w:rPr>
              <w:t>毒性及其标识：</w:t>
            </w:r>
            <w:r>
              <w:rPr>
                <w:rFonts w:hint="eastAsia"/>
              </w:rPr>
              <w:t xml:space="preserve"> </w:t>
            </w:r>
            <w:r>
              <w:rPr>
                <w:lang/>
              </w:rPr>
              <w:drawing>
                <wp:inline distT="0" distB="0" distL="114300" distR="114300">
                  <wp:extent cx="476250" cy="323850"/>
                  <wp:effectExtent l="0" t="0" r="0" b="0"/>
                  <wp:docPr id="561" name="图片 56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526A8CB">
        <w:tblPrEx>
          <w:tblCellMar>
            <w:top w:w="0" w:type="dxa"/>
            <w:left w:w="0" w:type="dxa"/>
            <w:bottom w:w="0" w:type="dxa"/>
            <w:right w:w="0" w:type="dxa"/>
          </w:tblCellMar>
        </w:tblPrEx>
        <w:trPr>
          <w:wBefore w:w="0" w:type="auto"/>
          <w:tblCellSpacing w:w="0" w:type="dxa"/>
        </w:trPr>
        <w:tc>
          <w:tcPr>
            <w:tcW w:w="0" w:type="auto"/>
            <w:noWrap w:val="0"/>
            <w:vAlign w:val="center"/>
          </w:tcPr>
          <w:p w14:paraId="17101C9D">
            <w:r>
              <w:rPr>
                <w:rStyle w:val="10"/>
                <w:rFonts w:hint="eastAsia"/>
              </w:rPr>
              <w:t>总有效成分含量：</w:t>
            </w:r>
            <w:r>
              <w:rPr>
                <w:rFonts w:hint="eastAsia"/>
              </w:rPr>
              <w:t>40%</w:t>
            </w:r>
          </w:p>
        </w:tc>
      </w:tr>
      <w:tr w14:paraId="34F1C777">
        <w:tblPrEx>
          <w:tblCellMar>
            <w:top w:w="0" w:type="dxa"/>
            <w:left w:w="0" w:type="dxa"/>
            <w:bottom w:w="0" w:type="dxa"/>
            <w:right w:w="0" w:type="dxa"/>
          </w:tblCellMar>
        </w:tblPrEx>
        <w:trPr>
          <w:wBefore w:w="0" w:type="auto"/>
          <w:tblCellSpacing w:w="0" w:type="dxa"/>
        </w:trPr>
        <w:tc>
          <w:tcPr>
            <w:tcW w:w="0" w:type="auto"/>
            <w:noWrap w:val="0"/>
            <w:vAlign w:val="center"/>
          </w:tcPr>
          <w:p w14:paraId="6E351304">
            <w:r>
              <w:rPr>
                <w:rFonts w:hint="eastAsia"/>
              </w:rPr>
              <w:t xml:space="preserve">有效成分及其含量： </w:t>
            </w:r>
          </w:p>
          <w:p w14:paraId="09CAD2EA">
            <w:r>
              <w:rPr>
                <w:rFonts w:hint="eastAsia"/>
              </w:rPr>
              <w:t xml:space="preserve">    螺虫乙酯10%    毒死蜱30%    </w:t>
            </w:r>
          </w:p>
        </w:tc>
      </w:tr>
      <w:tr w14:paraId="2C8F89D2">
        <w:tblPrEx>
          <w:tblCellMar>
            <w:top w:w="0" w:type="dxa"/>
            <w:left w:w="0" w:type="dxa"/>
            <w:bottom w:w="0" w:type="dxa"/>
            <w:right w:w="0" w:type="dxa"/>
          </w:tblCellMar>
        </w:tblPrEx>
        <w:trPr>
          <w:wBefore w:w="0" w:type="auto"/>
          <w:tblCellSpacing w:w="0" w:type="dxa"/>
        </w:trPr>
        <w:tc>
          <w:tcPr>
            <w:tcW w:w="0" w:type="auto"/>
            <w:noWrap w:val="0"/>
            <w:vAlign w:val="center"/>
          </w:tcPr>
          <w:p w14:paraId="4B5D3E2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8881D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BD05B0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770668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5B4719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CF84B0F">
                  <w:r>
                    <w:rPr>
                      <w:rStyle w:val="11"/>
                      <w:rFonts w:hint="eastAsia"/>
                    </w:rPr>
                    <w:t>施用方式</w:t>
                  </w:r>
                </w:p>
              </w:tc>
            </w:tr>
            <w:tr w14:paraId="2A6822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3FB5DB">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7E3FBA">
                  <w:r>
                    <w:rPr>
                      <w:rStyle w:val="11"/>
                      <w:rFonts w:hint="eastAsia"/>
                    </w:rPr>
                    <w:t>介壳虫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6FD070">
                  <w:r>
                    <w:rPr>
                      <w:rStyle w:val="11"/>
                      <w:rFonts w:hint="eastAsia"/>
                    </w:rPr>
                    <w:t>2000-3000倍</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3B68D1">
                  <w:r>
                    <w:rPr>
                      <w:rStyle w:val="11"/>
                      <w:rFonts w:hint="eastAsia"/>
                    </w:rPr>
                    <w:t>喷雾</w:t>
                  </w:r>
                </w:p>
              </w:tc>
            </w:tr>
            <w:tr w14:paraId="66CF89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136FD0E">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631E93">
                  <w:r>
                    <w:rPr>
                      <w:rStyle w:val="11"/>
                      <w:rFonts w:hint="eastAsia"/>
                    </w:rPr>
                    <w:t>木虱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0D3BAA">
                  <w:r>
                    <w:rPr>
                      <w:rStyle w:val="11"/>
                      <w:rFonts w:hint="eastAsia"/>
                    </w:rPr>
                    <w:t>2000-3000倍</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B835C7">
                  <w:r>
                    <w:rPr>
                      <w:rStyle w:val="11"/>
                      <w:rFonts w:hint="eastAsia"/>
                    </w:rPr>
                    <w:t>喷雾</w:t>
                  </w:r>
                </w:p>
              </w:tc>
            </w:tr>
          </w:tbl>
          <w:p w14:paraId="714EFBFF">
            <w:pPr>
              <w:rPr>
                <w:rFonts w:ascii="Times New Roman" w:hAnsi="Times New Roman" w:cs="Times New Roman"/>
                <w:sz w:val="20"/>
                <w:szCs w:val="20"/>
              </w:rPr>
            </w:pPr>
          </w:p>
        </w:tc>
      </w:tr>
      <w:tr w14:paraId="5C3EAFE6">
        <w:tblPrEx>
          <w:tblCellMar>
            <w:top w:w="0" w:type="dxa"/>
            <w:left w:w="0" w:type="dxa"/>
            <w:bottom w:w="0" w:type="dxa"/>
            <w:right w:w="0" w:type="dxa"/>
          </w:tblCellMar>
        </w:tblPrEx>
        <w:trPr>
          <w:wBefore w:w="0" w:type="auto"/>
          <w:tblCellSpacing w:w="0" w:type="dxa"/>
        </w:trPr>
        <w:tc>
          <w:tcPr>
            <w:tcW w:w="0" w:type="auto"/>
            <w:noWrap w:val="0"/>
            <w:vAlign w:val="center"/>
          </w:tcPr>
          <w:p w14:paraId="7098256C">
            <w:r>
              <w:rPr>
                <w:rStyle w:val="10"/>
                <w:rFonts w:hint="eastAsia"/>
              </w:rPr>
              <w:t>使用技术要求:</w:t>
            </w:r>
            <w:r>
              <w:rPr>
                <w:rFonts w:hint="eastAsia"/>
              </w:rPr>
              <w:br w:type="textWrapping"/>
            </w:r>
            <w:r>
              <w:rPr>
                <w:rStyle w:val="11"/>
                <w:rFonts w:hint="eastAsia"/>
              </w:rPr>
              <w:t>1.本品适宜施药时期为柑橘树介壳虫和柑橘树木虱若虫盛发期，施药一次，注意喷雾均匀、周到，以确保药效。2. 大风天或预计1小时内降雨，请勿施药。3.本品在柑橘树使用时的安全间隔期为20天，每季作物最多使用1次。</w:t>
            </w:r>
          </w:p>
        </w:tc>
      </w:tr>
      <w:tr w14:paraId="44074808">
        <w:tblPrEx>
          <w:tblCellMar>
            <w:top w:w="0" w:type="dxa"/>
            <w:left w:w="0" w:type="dxa"/>
            <w:bottom w:w="0" w:type="dxa"/>
            <w:right w:w="0" w:type="dxa"/>
          </w:tblCellMar>
        </w:tblPrEx>
        <w:trPr>
          <w:wBefore w:w="0" w:type="auto"/>
          <w:tblCellSpacing w:w="0" w:type="dxa"/>
        </w:trPr>
        <w:tc>
          <w:tcPr>
            <w:tcW w:w="0" w:type="auto"/>
            <w:noWrap w:val="0"/>
            <w:vAlign w:val="center"/>
          </w:tcPr>
          <w:p w14:paraId="7EDD2C60">
            <w:r>
              <w:rPr>
                <w:rStyle w:val="10"/>
                <w:rFonts w:hint="eastAsia"/>
              </w:rPr>
              <w:t>产品性能:</w:t>
            </w:r>
            <w:r>
              <w:rPr>
                <w:rFonts w:hint="eastAsia"/>
              </w:rPr>
              <w:br w:type="textWrapping"/>
            </w:r>
            <w:r>
              <w:rPr>
                <w:rStyle w:val="11"/>
                <w:rFonts w:hint="eastAsia"/>
              </w:rPr>
              <w:t>本品是由毒死蜱与螺虫乙酯复配而成的杀虫剂。毒死蜱通过抑制乙酰胆碱酯酶使害虫中毒死亡，具有触杀、胃毒和熏蒸作用；螺虫乙酯通过抵制昆虫脂质的合成，造成其中毒死亡，具有双向内吸传导性能。两者混配，优势互补，用于柑橘树介壳虫和柑橘树木虱有较好的防治效果。</w:t>
            </w:r>
          </w:p>
        </w:tc>
      </w:tr>
      <w:tr w14:paraId="10E30DFD">
        <w:tblPrEx>
          <w:tblCellMar>
            <w:top w:w="0" w:type="dxa"/>
            <w:left w:w="0" w:type="dxa"/>
            <w:bottom w:w="0" w:type="dxa"/>
            <w:right w:w="0" w:type="dxa"/>
          </w:tblCellMar>
        </w:tblPrEx>
        <w:trPr>
          <w:wBefore w:w="0" w:type="auto"/>
          <w:tblCellSpacing w:w="0" w:type="dxa"/>
        </w:trPr>
        <w:tc>
          <w:tcPr>
            <w:tcW w:w="0" w:type="auto"/>
            <w:noWrap w:val="0"/>
            <w:vAlign w:val="center"/>
          </w:tcPr>
          <w:p w14:paraId="6D00BF94">
            <w:r>
              <w:rPr>
                <w:rStyle w:val="10"/>
                <w:rFonts w:hint="eastAsia"/>
              </w:rPr>
              <w:t>注意事项：</w:t>
            </w:r>
            <w:r>
              <w:rPr>
                <w:rFonts w:hint="eastAsia"/>
              </w:rPr>
              <w:br w:type="textWrapping"/>
            </w:r>
            <w:r>
              <w:rPr>
                <w:rStyle w:val="11"/>
                <w:rFonts w:hint="eastAsia"/>
              </w:rPr>
              <w:t>1、严格按规定用药量和方法使用。 2、建议与其他作用机制不同的杀虫剂轮换使用，以延缓抗性产生。 3、本品对蜜蜂、鸟、鱼、家蚕、大型溞和藻有毒，施药期间应避免对周围蜂群的影响，（周围）开花植物花期、鸟类保护区附近、蚕室及桑园附近禁用；水产养殖区、河塘等水体附近禁用，禁止在河塘等水体中清洗施药器具；赤眼蜂（或其他代表性天敌）等天敌放飞区域禁用。 4、对眼睛有轻度至中度刺激性，使用时穿戴长衣长裤、帽子、口罩、手套、鞋等安全防护措施。施药期间不可吃东西、饮水、吸烟等；施药后应及时洗手、洗脸并洗涤施药时穿着的衣物。 5、用药后包装物及用过的容器应妥善处理，不可做他用，也不可随意丢弃。 6、孕妇及哺乳期妇女禁止接触本品。</w:t>
            </w:r>
          </w:p>
        </w:tc>
      </w:tr>
      <w:tr w14:paraId="5A0DBF77">
        <w:tblPrEx>
          <w:tblCellMar>
            <w:top w:w="0" w:type="dxa"/>
            <w:left w:w="0" w:type="dxa"/>
            <w:bottom w:w="0" w:type="dxa"/>
            <w:right w:w="0" w:type="dxa"/>
          </w:tblCellMar>
        </w:tblPrEx>
        <w:trPr>
          <w:wBefore w:w="0" w:type="auto"/>
          <w:tblCellSpacing w:w="0" w:type="dxa"/>
        </w:trPr>
        <w:tc>
          <w:tcPr>
            <w:tcW w:w="0" w:type="auto"/>
            <w:noWrap w:val="0"/>
            <w:vAlign w:val="center"/>
          </w:tcPr>
          <w:p w14:paraId="2D7BF139">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69D93717">
        <w:tblPrEx>
          <w:tblCellMar>
            <w:top w:w="0" w:type="dxa"/>
            <w:left w:w="0" w:type="dxa"/>
            <w:bottom w:w="0" w:type="dxa"/>
            <w:right w:w="0" w:type="dxa"/>
          </w:tblCellMar>
        </w:tblPrEx>
        <w:trPr>
          <w:wBefore w:w="0" w:type="auto"/>
          <w:tblCellSpacing w:w="0" w:type="dxa"/>
        </w:trPr>
        <w:tc>
          <w:tcPr>
            <w:tcW w:w="0" w:type="auto"/>
            <w:noWrap w:val="0"/>
            <w:vAlign w:val="center"/>
          </w:tcPr>
          <w:p w14:paraId="1BE451F8">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本品应贮存在干燥、阴凉、通风、防雨处，远离火源或热源。置于儿童、无关人员及动物触及不到之处，并加锁保存。勿与食品、饮料、粮食、饲料、种子等其他商品同贮同运。</w:t>
            </w:r>
          </w:p>
        </w:tc>
      </w:tr>
      <w:tr w14:paraId="07A00BFF">
        <w:tblPrEx>
          <w:tblCellMar>
            <w:top w:w="0" w:type="dxa"/>
            <w:left w:w="0" w:type="dxa"/>
            <w:bottom w:w="0" w:type="dxa"/>
            <w:right w:w="0" w:type="dxa"/>
          </w:tblCellMar>
        </w:tblPrEx>
        <w:trPr>
          <w:wBefore w:w="0" w:type="auto"/>
          <w:tblCellSpacing w:w="0" w:type="dxa"/>
        </w:trPr>
        <w:tc>
          <w:tcPr>
            <w:tcW w:w="0" w:type="auto"/>
            <w:noWrap w:val="0"/>
            <w:vAlign w:val="center"/>
          </w:tcPr>
          <w:p w14:paraId="19EAD8BB">
            <w:r>
              <w:rPr>
                <w:rStyle w:val="10"/>
                <w:rFonts w:hint="eastAsia"/>
              </w:rPr>
              <w:t>质量保证期：</w:t>
            </w:r>
            <w:r>
              <w:rPr>
                <w:rStyle w:val="11"/>
                <w:rFonts w:hint="eastAsia"/>
              </w:rPr>
              <w:t>2年</w:t>
            </w:r>
          </w:p>
        </w:tc>
      </w:tr>
      <w:tr w14:paraId="15576F05">
        <w:tblPrEx>
          <w:tblCellMar>
            <w:top w:w="0" w:type="dxa"/>
            <w:left w:w="0" w:type="dxa"/>
            <w:bottom w:w="0" w:type="dxa"/>
            <w:right w:w="0" w:type="dxa"/>
          </w:tblCellMar>
        </w:tblPrEx>
        <w:trPr>
          <w:wBefore w:w="0" w:type="auto"/>
          <w:tblCellSpacing w:w="0" w:type="dxa"/>
        </w:trPr>
        <w:tc>
          <w:tcPr>
            <w:tcW w:w="0" w:type="auto"/>
            <w:noWrap w:val="0"/>
            <w:vAlign w:val="center"/>
          </w:tcPr>
          <w:p w14:paraId="6A739924">
            <w:r>
              <w:rPr>
                <w:rStyle w:val="10"/>
                <w:rFonts w:hint="eastAsia"/>
              </w:rPr>
              <w:t>备注：</w:t>
            </w:r>
          </w:p>
        </w:tc>
      </w:tr>
    </w:tbl>
    <w:p w14:paraId="1A17BF6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C1DA75">
        <w:tblPrEx>
          <w:tblCellMar>
            <w:top w:w="0" w:type="dxa"/>
            <w:left w:w="0" w:type="dxa"/>
            <w:bottom w:w="0" w:type="dxa"/>
            <w:right w:w="0" w:type="dxa"/>
          </w:tblCellMar>
        </w:tblPrEx>
        <w:trPr>
          <w:wBefore w:w="0" w:type="auto"/>
          <w:tblCellSpacing w:w="0" w:type="dxa"/>
        </w:trPr>
        <w:tc>
          <w:tcPr>
            <w:tcW w:w="0" w:type="auto"/>
            <w:noWrap w:val="0"/>
            <w:vAlign w:val="center"/>
          </w:tcPr>
          <w:p w14:paraId="51199E8D">
            <w:r>
              <w:rPr>
                <w:rStyle w:val="10"/>
                <w:rFonts w:hint="eastAsia"/>
              </w:rPr>
              <w:t>登记证号：</w:t>
            </w:r>
            <w:r>
              <w:rPr>
                <w:rFonts w:hint="eastAsia"/>
              </w:rPr>
              <w:t>PD20211849</w:t>
            </w:r>
          </w:p>
        </w:tc>
      </w:tr>
      <w:tr w14:paraId="6905745C">
        <w:tblPrEx>
          <w:tblCellMar>
            <w:top w:w="0" w:type="dxa"/>
            <w:left w:w="0" w:type="dxa"/>
            <w:bottom w:w="0" w:type="dxa"/>
            <w:right w:w="0" w:type="dxa"/>
          </w:tblCellMar>
        </w:tblPrEx>
        <w:trPr>
          <w:wBefore w:w="0" w:type="auto"/>
          <w:tblCellSpacing w:w="0" w:type="dxa"/>
        </w:trPr>
        <w:tc>
          <w:tcPr>
            <w:tcW w:w="0" w:type="auto"/>
            <w:noWrap w:val="0"/>
            <w:vAlign w:val="center"/>
          </w:tcPr>
          <w:p w14:paraId="1B584CD8">
            <w:r>
              <w:rPr>
                <w:rStyle w:val="10"/>
                <w:rFonts w:hint="eastAsia"/>
              </w:rPr>
              <w:t>登记证持有人：</w:t>
            </w:r>
            <w:r>
              <w:rPr>
                <w:rFonts w:hint="eastAsia"/>
              </w:rPr>
              <w:t>深圳诺普信农化股份有限公司</w:t>
            </w:r>
          </w:p>
        </w:tc>
      </w:tr>
      <w:tr w14:paraId="5BD817C3">
        <w:tblPrEx>
          <w:tblCellMar>
            <w:top w:w="0" w:type="dxa"/>
            <w:left w:w="0" w:type="dxa"/>
            <w:bottom w:w="0" w:type="dxa"/>
            <w:right w:w="0" w:type="dxa"/>
          </w:tblCellMar>
        </w:tblPrEx>
        <w:trPr>
          <w:wBefore w:w="0" w:type="auto"/>
          <w:tblCellSpacing w:w="0" w:type="dxa"/>
        </w:trPr>
        <w:tc>
          <w:tcPr>
            <w:tcW w:w="0" w:type="auto"/>
            <w:noWrap w:val="0"/>
            <w:vAlign w:val="center"/>
          </w:tcPr>
          <w:p w14:paraId="19BD10B0">
            <w:r>
              <w:rPr>
                <w:rStyle w:val="10"/>
                <w:rFonts w:hint="eastAsia"/>
              </w:rPr>
              <w:t>农药名称：</w:t>
            </w:r>
            <w:r>
              <w:rPr>
                <w:rFonts w:hint="eastAsia"/>
              </w:rPr>
              <w:t>氟啶虫酰胺</w:t>
            </w:r>
          </w:p>
        </w:tc>
      </w:tr>
      <w:tr w14:paraId="651134B1">
        <w:tblPrEx>
          <w:tblCellMar>
            <w:top w:w="0" w:type="dxa"/>
            <w:left w:w="0" w:type="dxa"/>
            <w:bottom w:w="0" w:type="dxa"/>
            <w:right w:w="0" w:type="dxa"/>
          </w:tblCellMar>
        </w:tblPrEx>
        <w:trPr>
          <w:wBefore w:w="0" w:type="auto"/>
          <w:tblCellSpacing w:w="0" w:type="dxa"/>
        </w:trPr>
        <w:tc>
          <w:tcPr>
            <w:tcW w:w="0" w:type="auto"/>
            <w:noWrap w:val="0"/>
            <w:vAlign w:val="center"/>
          </w:tcPr>
          <w:p w14:paraId="5CD262FE">
            <w:r>
              <w:rPr>
                <w:rStyle w:val="10"/>
                <w:rFonts w:hint="eastAsia"/>
              </w:rPr>
              <w:t>剂型：</w:t>
            </w:r>
            <w:r>
              <w:rPr>
                <w:rFonts w:hint="eastAsia"/>
              </w:rPr>
              <w:t>悬浮剂</w:t>
            </w:r>
          </w:p>
        </w:tc>
      </w:tr>
      <w:tr w14:paraId="311197F7">
        <w:tblPrEx>
          <w:tblCellMar>
            <w:top w:w="0" w:type="dxa"/>
            <w:left w:w="0" w:type="dxa"/>
            <w:bottom w:w="0" w:type="dxa"/>
            <w:right w:w="0" w:type="dxa"/>
          </w:tblCellMar>
        </w:tblPrEx>
        <w:trPr>
          <w:wBefore w:w="0" w:type="auto"/>
          <w:tblCellSpacing w:w="0" w:type="dxa"/>
        </w:trPr>
        <w:tc>
          <w:tcPr>
            <w:tcW w:w="0" w:type="auto"/>
            <w:noWrap w:val="0"/>
            <w:vAlign w:val="center"/>
          </w:tcPr>
          <w:p w14:paraId="3FC30A1D">
            <w:r>
              <w:rPr>
                <w:rStyle w:val="10"/>
                <w:rFonts w:hint="eastAsia"/>
              </w:rPr>
              <w:t>毒性及其标识：</w:t>
            </w:r>
            <w:r>
              <w:rPr>
                <w:rFonts w:hint="eastAsia"/>
              </w:rPr>
              <w:t xml:space="preserve"> 微毒 </w:t>
            </w:r>
          </w:p>
        </w:tc>
      </w:tr>
      <w:tr w14:paraId="1494D587">
        <w:tblPrEx>
          <w:tblCellMar>
            <w:top w:w="0" w:type="dxa"/>
            <w:left w:w="0" w:type="dxa"/>
            <w:bottom w:w="0" w:type="dxa"/>
            <w:right w:w="0" w:type="dxa"/>
          </w:tblCellMar>
        </w:tblPrEx>
        <w:trPr>
          <w:wBefore w:w="0" w:type="auto"/>
          <w:tblCellSpacing w:w="0" w:type="dxa"/>
        </w:trPr>
        <w:tc>
          <w:tcPr>
            <w:tcW w:w="0" w:type="auto"/>
            <w:noWrap w:val="0"/>
            <w:vAlign w:val="center"/>
          </w:tcPr>
          <w:p w14:paraId="070575EA">
            <w:r>
              <w:rPr>
                <w:rStyle w:val="10"/>
                <w:rFonts w:hint="eastAsia"/>
              </w:rPr>
              <w:t>总有效成分含量：</w:t>
            </w:r>
            <w:r>
              <w:rPr>
                <w:rFonts w:hint="eastAsia"/>
              </w:rPr>
              <w:t>10%</w:t>
            </w:r>
          </w:p>
        </w:tc>
      </w:tr>
      <w:tr w14:paraId="4272AC3E">
        <w:tblPrEx>
          <w:tblCellMar>
            <w:top w:w="0" w:type="dxa"/>
            <w:left w:w="0" w:type="dxa"/>
            <w:bottom w:w="0" w:type="dxa"/>
            <w:right w:w="0" w:type="dxa"/>
          </w:tblCellMar>
        </w:tblPrEx>
        <w:trPr>
          <w:wBefore w:w="0" w:type="auto"/>
          <w:tblCellSpacing w:w="0" w:type="dxa"/>
        </w:trPr>
        <w:tc>
          <w:tcPr>
            <w:tcW w:w="0" w:type="auto"/>
            <w:noWrap w:val="0"/>
            <w:vAlign w:val="center"/>
          </w:tcPr>
          <w:p w14:paraId="653AF832">
            <w:r>
              <w:rPr>
                <w:rFonts w:hint="eastAsia"/>
              </w:rPr>
              <w:t xml:space="preserve">有效成分及其含量： </w:t>
            </w:r>
          </w:p>
          <w:p w14:paraId="0120A0EC">
            <w:r>
              <w:rPr>
                <w:rFonts w:hint="eastAsia"/>
              </w:rPr>
              <w:t xml:space="preserve">    氟啶虫酰胺10%    </w:t>
            </w:r>
          </w:p>
        </w:tc>
      </w:tr>
      <w:tr w14:paraId="2F0FA0C5">
        <w:tblPrEx>
          <w:tblCellMar>
            <w:top w:w="0" w:type="dxa"/>
            <w:left w:w="0" w:type="dxa"/>
            <w:bottom w:w="0" w:type="dxa"/>
            <w:right w:w="0" w:type="dxa"/>
          </w:tblCellMar>
        </w:tblPrEx>
        <w:trPr>
          <w:wBefore w:w="0" w:type="auto"/>
          <w:tblCellSpacing w:w="0" w:type="dxa"/>
        </w:trPr>
        <w:tc>
          <w:tcPr>
            <w:tcW w:w="0" w:type="auto"/>
            <w:noWrap w:val="0"/>
            <w:vAlign w:val="center"/>
          </w:tcPr>
          <w:p w14:paraId="6E4C266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B5E410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FFCD49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339BFE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851891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37D6872">
                  <w:r>
                    <w:rPr>
                      <w:rStyle w:val="11"/>
                      <w:rFonts w:hint="eastAsia"/>
                    </w:rPr>
                    <w:t>施用方式</w:t>
                  </w:r>
                </w:p>
              </w:tc>
            </w:tr>
            <w:tr w14:paraId="52DD44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461F572">
                  <w:r>
                    <w:rPr>
                      <w:rStyle w:val="11"/>
                      <w:rFonts w:hint="eastAsia"/>
                    </w:rPr>
                    <w:t>桃树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7B57AD8">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04FD8F6">
                  <w:r>
                    <w:rPr>
                      <w:rStyle w:val="11"/>
                      <w:rFonts w:hint="eastAsia"/>
                    </w:rPr>
                    <w:t>2500-3300倍液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662F05">
                  <w:r>
                    <w:rPr>
                      <w:rStyle w:val="11"/>
                      <w:rFonts w:hint="eastAsia"/>
                    </w:rPr>
                    <w:t>喷雾</w:t>
                  </w:r>
                </w:p>
              </w:tc>
            </w:tr>
          </w:tbl>
          <w:p w14:paraId="531D2D6B">
            <w:pPr>
              <w:rPr>
                <w:rFonts w:ascii="Times New Roman" w:hAnsi="Times New Roman" w:cs="Times New Roman"/>
                <w:sz w:val="20"/>
                <w:szCs w:val="20"/>
              </w:rPr>
            </w:pPr>
          </w:p>
        </w:tc>
      </w:tr>
      <w:tr w14:paraId="0B15BF8C">
        <w:tblPrEx>
          <w:tblCellMar>
            <w:top w:w="0" w:type="dxa"/>
            <w:left w:w="0" w:type="dxa"/>
            <w:bottom w:w="0" w:type="dxa"/>
            <w:right w:w="0" w:type="dxa"/>
          </w:tblCellMar>
        </w:tblPrEx>
        <w:trPr>
          <w:wBefore w:w="0" w:type="auto"/>
          <w:tblCellSpacing w:w="0" w:type="dxa"/>
        </w:trPr>
        <w:tc>
          <w:tcPr>
            <w:tcW w:w="0" w:type="auto"/>
            <w:noWrap w:val="0"/>
            <w:vAlign w:val="center"/>
          </w:tcPr>
          <w:p w14:paraId="7665B2BB">
            <w:r>
              <w:rPr>
                <w:rStyle w:val="10"/>
                <w:rFonts w:hint="eastAsia"/>
              </w:rPr>
              <w:t>使用技术要求:</w:t>
            </w:r>
            <w:r>
              <w:rPr>
                <w:rFonts w:hint="eastAsia"/>
              </w:rPr>
              <w:br w:type="textWrapping"/>
            </w:r>
            <w:r>
              <w:rPr>
                <w:rStyle w:val="11"/>
                <w:rFonts w:hint="eastAsia"/>
              </w:rPr>
              <w:t>1. 桃树蚜虫发生始盛期，以推荐剂量对水均匀喷雾施药一次，注意喷雾均匀。2. 用清水配制药液，现配现用，不宜久置。3. 大风天或预计1小时内降雨，请勿施药。4. 在桃树上每季最多使用1次，安全间隔期14天。</w:t>
            </w:r>
          </w:p>
        </w:tc>
      </w:tr>
      <w:tr w14:paraId="09092B2A">
        <w:tblPrEx>
          <w:tblCellMar>
            <w:top w:w="0" w:type="dxa"/>
            <w:left w:w="0" w:type="dxa"/>
            <w:bottom w:w="0" w:type="dxa"/>
            <w:right w:w="0" w:type="dxa"/>
          </w:tblCellMar>
        </w:tblPrEx>
        <w:trPr>
          <w:wBefore w:w="0" w:type="auto"/>
          <w:tblCellSpacing w:w="0" w:type="dxa"/>
        </w:trPr>
        <w:tc>
          <w:tcPr>
            <w:tcW w:w="0" w:type="auto"/>
            <w:noWrap w:val="0"/>
            <w:vAlign w:val="center"/>
          </w:tcPr>
          <w:p w14:paraId="1E9BFE74">
            <w:r>
              <w:rPr>
                <w:rStyle w:val="10"/>
                <w:rFonts w:hint="eastAsia"/>
              </w:rPr>
              <w:t>产品性能:</w:t>
            </w:r>
            <w:r>
              <w:rPr>
                <w:rFonts w:hint="eastAsia"/>
              </w:rPr>
              <w:br w:type="textWrapping"/>
            </w:r>
            <w:r>
              <w:rPr>
                <w:rStyle w:val="11"/>
                <w:rFonts w:hint="eastAsia"/>
              </w:rPr>
              <w:t>1. 氟啶虫酰胺是一种昆虫拒食剂，昆虫取食后拒食而死亡，与其它药剂作用机理不同，对桃树蚜虫有很好的防治效果。2. 氟啶虫酰胺具有内吸性，在植物体内渗透性较强，可以防治桃树不同部位蚜虫。3. 本品耐雨水冲刷，持效期长。</w:t>
            </w:r>
          </w:p>
        </w:tc>
      </w:tr>
      <w:tr w14:paraId="7267AC5A">
        <w:tblPrEx>
          <w:tblCellMar>
            <w:top w:w="0" w:type="dxa"/>
            <w:left w:w="0" w:type="dxa"/>
            <w:bottom w:w="0" w:type="dxa"/>
            <w:right w:w="0" w:type="dxa"/>
          </w:tblCellMar>
        </w:tblPrEx>
        <w:trPr>
          <w:wBefore w:w="0" w:type="auto"/>
          <w:tblCellSpacing w:w="0" w:type="dxa"/>
        </w:trPr>
        <w:tc>
          <w:tcPr>
            <w:tcW w:w="0" w:type="auto"/>
            <w:noWrap w:val="0"/>
            <w:vAlign w:val="center"/>
          </w:tcPr>
          <w:p w14:paraId="684E661F">
            <w:r>
              <w:rPr>
                <w:rStyle w:val="10"/>
                <w:rFonts w:hint="eastAsia"/>
              </w:rPr>
              <w:t>注意事项：</w:t>
            </w:r>
            <w:r>
              <w:rPr>
                <w:rFonts w:hint="eastAsia"/>
              </w:rPr>
              <w:br w:type="textWrapping"/>
            </w:r>
            <w:r>
              <w:rPr>
                <w:rStyle w:val="11"/>
                <w:rFonts w:hint="eastAsia"/>
              </w:rPr>
              <w:t>1. 本品对眼睛有刺激性，使用时穿戴长衣、长裤、帽子、口罩、手套等防护措施。避免污染皮肤和眼睛，施药完毕后应及时换洗衣物，洗净手、脸和被污染的皮肤。2. 施药前、后要彻底清洗喷药器械，禁止在河塘等水域中清洗施药器具，洗涤后的废水不应污染河流等水源，未用完的药液应密封后妥善放置。 3. 开启封口应小心药液溅出，用过的容器和废弃包装应妥善处理，不可随意丢弃或作他用。4. 孕妇及哺乳期妇女禁止接触本品。5. 避免与氧化剂接触</w:t>
            </w:r>
          </w:p>
        </w:tc>
      </w:tr>
      <w:tr w14:paraId="4F5B864B">
        <w:tblPrEx>
          <w:tblCellMar>
            <w:top w:w="0" w:type="dxa"/>
            <w:left w:w="0" w:type="dxa"/>
            <w:bottom w:w="0" w:type="dxa"/>
            <w:right w:w="0" w:type="dxa"/>
          </w:tblCellMar>
        </w:tblPrEx>
        <w:trPr>
          <w:wBefore w:w="0" w:type="auto"/>
          <w:tblCellSpacing w:w="0" w:type="dxa"/>
        </w:trPr>
        <w:tc>
          <w:tcPr>
            <w:tcW w:w="0" w:type="auto"/>
            <w:noWrap w:val="0"/>
            <w:vAlign w:val="center"/>
          </w:tcPr>
          <w:p w14:paraId="02554695">
            <w:r>
              <w:rPr>
                <w:rStyle w:val="10"/>
                <w:rFonts w:hint="eastAsia"/>
              </w:rPr>
              <w:t>中毒急救措施：</w:t>
            </w:r>
            <w:r>
              <w:rPr>
                <w:rFonts w:hint="eastAsia"/>
              </w:rPr>
              <w:br w:type="textWrapping"/>
            </w:r>
            <w:r>
              <w:rPr>
                <w:rStyle w:val="11"/>
                <w:rFonts w:hint="eastAsia"/>
              </w:rPr>
              <w:t>使用中或使用后如感觉不适，应立即采取急救措施。本品如误入眼睛，立即用清水至少冲洗15分钟，仍有不适立即就医；如接触皮肤，立即用清水冲洗并换洗衣物；如误服立即送医院对症治疗，无特殊解毒剂。</w:t>
            </w:r>
          </w:p>
        </w:tc>
      </w:tr>
      <w:tr w14:paraId="06D4E7D4">
        <w:tblPrEx>
          <w:tblCellMar>
            <w:top w:w="0" w:type="dxa"/>
            <w:left w:w="0" w:type="dxa"/>
            <w:bottom w:w="0" w:type="dxa"/>
            <w:right w:w="0" w:type="dxa"/>
          </w:tblCellMar>
        </w:tblPrEx>
        <w:trPr>
          <w:wBefore w:w="0" w:type="auto"/>
          <w:tblCellSpacing w:w="0" w:type="dxa"/>
        </w:trPr>
        <w:tc>
          <w:tcPr>
            <w:tcW w:w="0" w:type="auto"/>
            <w:noWrap w:val="0"/>
            <w:vAlign w:val="center"/>
          </w:tcPr>
          <w:p w14:paraId="3663AD4A">
            <w:r>
              <w:rPr>
                <w:rStyle w:val="10"/>
                <w:rFonts w:hint="eastAsia"/>
              </w:rPr>
              <w:t>储存和运输方法：</w:t>
            </w:r>
            <w:r>
              <w:rPr>
                <w:rFonts w:hint="eastAsia"/>
              </w:rPr>
              <w:br w:type="textWrapping"/>
            </w:r>
            <w:r>
              <w:rPr>
                <w:rStyle w:val="11"/>
                <w:rFonts w:hint="eastAsia"/>
              </w:rPr>
              <w:t>本品储存应注意阴凉、干燥、通风，远离热源火源，不能与食品、饮料、粮食、饲料等物品同储同运。远离儿童无关人员及家畜并加锁，以免误服。避免与皮肤、眼睛接触。装卸运输时注意检查包装是否密封完整，轻拿轻放，不可倒置。</w:t>
            </w:r>
          </w:p>
        </w:tc>
      </w:tr>
      <w:tr w14:paraId="69131E64">
        <w:tblPrEx>
          <w:tblCellMar>
            <w:top w:w="0" w:type="dxa"/>
            <w:left w:w="0" w:type="dxa"/>
            <w:bottom w:w="0" w:type="dxa"/>
            <w:right w:w="0" w:type="dxa"/>
          </w:tblCellMar>
        </w:tblPrEx>
        <w:trPr>
          <w:wBefore w:w="0" w:type="auto"/>
          <w:tblCellSpacing w:w="0" w:type="dxa"/>
        </w:trPr>
        <w:tc>
          <w:tcPr>
            <w:tcW w:w="0" w:type="auto"/>
            <w:noWrap w:val="0"/>
            <w:vAlign w:val="center"/>
          </w:tcPr>
          <w:p w14:paraId="5EFA45DC">
            <w:r>
              <w:rPr>
                <w:rStyle w:val="10"/>
                <w:rFonts w:hint="eastAsia"/>
              </w:rPr>
              <w:t>质量保证期：</w:t>
            </w:r>
            <w:r>
              <w:rPr>
                <w:rStyle w:val="11"/>
                <w:rFonts w:hint="eastAsia"/>
              </w:rPr>
              <w:t>2年</w:t>
            </w:r>
          </w:p>
        </w:tc>
      </w:tr>
      <w:tr w14:paraId="4291F708">
        <w:tblPrEx>
          <w:tblCellMar>
            <w:top w:w="0" w:type="dxa"/>
            <w:left w:w="0" w:type="dxa"/>
            <w:bottom w:w="0" w:type="dxa"/>
            <w:right w:w="0" w:type="dxa"/>
          </w:tblCellMar>
        </w:tblPrEx>
        <w:trPr>
          <w:wBefore w:w="0" w:type="auto"/>
          <w:tblCellSpacing w:w="0" w:type="dxa"/>
        </w:trPr>
        <w:tc>
          <w:tcPr>
            <w:tcW w:w="0" w:type="auto"/>
            <w:noWrap w:val="0"/>
            <w:vAlign w:val="center"/>
          </w:tcPr>
          <w:p w14:paraId="35AE7B69">
            <w:r>
              <w:rPr>
                <w:rStyle w:val="10"/>
                <w:rFonts w:hint="eastAsia"/>
              </w:rPr>
              <w:t>备注：</w:t>
            </w:r>
          </w:p>
        </w:tc>
      </w:tr>
    </w:tbl>
    <w:p w14:paraId="2B78371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CE16120">
        <w:tblPrEx>
          <w:tblCellMar>
            <w:top w:w="0" w:type="dxa"/>
            <w:left w:w="0" w:type="dxa"/>
            <w:bottom w:w="0" w:type="dxa"/>
            <w:right w:w="0" w:type="dxa"/>
          </w:tblCellMar>
        </w:tblPrEx>
        <w:trPr>
          <w:wBefore w:w="0" w:type="auto"/>
          <w:tblCellSpacing w:w="0" w:type="dxa"/>
        </w:trPr>
        <w:tc>
          <w:tcPr>
            <w:tcW w:w="0" w:type="auto"/>
            <w:noWrap w:val="0"/>
            <w:vAlign w:val="center"/>
          </w:tcPr>
          <w:p w14:paraId="3E4F7BD8">
            <w:r>
              <w:rPr>
                <w:rStyle w:val="10"/>
                <w:rFonts w:hint="eastAsia"/>
              </w:rPr>
              <w:t>登记证号：</w:t>
            </w:r>
            <w:r>
              <w:rPr>
                <w:rFonts w:hint="eastAsia"/>
              </w:rPr>
              <w:t>PD20212072</w:t>
            </w:r>
          </w:p>
        </w:tc>
      </w:tr>
      <w:tr w14:paraId="1580F2D9">
        <w:tblPrEx>
          <w:tblCellMar>
            <w:top w:w="0" w:type="dxa"/>
            <w:left w:w="0" w:type="dxa"/>
            <w:bottom w:w="0" w:type="dxa"/>
            <w:right w:w="0" w:type="dxa"/>
          </w:tblCellMar>
        </w:tblPrEx>
        <w:trPr>
          <w:wBefore w:w="0" w:type="auto"/>
          <w:tblCellSpacing w:w="0" w:type="dxa"/>
        </w:trPr>
        <w:tc>
          <w:tcPr>
            <w:tcW w:w="0" w:type="auto"/>
            <w:noWrap w:val="0"/>
            <w:vAlign w:val="center"/>
          </w:tcPr>
          <w:p w14:paraId="2DD4E220">
            <w:r>
              <w:rPr>
                <w:rStyle w:val="10"/>
                <w:rFonts w:hint="eastAsia"/>
              </w:rPr>
              <w:t>登记证持有人：</w:t>
            </w:r>
            <w:r>
              <w:rPr>
                <w:rFonts w:hint="eastAsia"/>
              </w:rPr>
              <w:t>山东大成生物化工有限公司</w:t>
            </w:r>
          </w:p>
        </w:tc>
      </w:tr>
      <w:tr w14:paraId="22E440C6">
        <w:tblPrEx>
          <w:tblCellMar>
            <w:top w:w="0" w:type="dxa"/>
            <w:left w:w="0" w:type="dxa"/>
            <w:bottom w:w="0" w:type="dxa"/>
            <w:right w:w="0" w:type="dxa"/>
          </w:tblCellMar>
        </w:tblPrEx>
        <w:trPr>
          <w:wBefore w:w="0" w:type="auto"/>
          <w:tblCellSpacing w:w="0" w:type="dxa"/>
        </w:trPr>
        <w:tc>
          <w:tcPr>
            <w:tcW w:w="0" w:type="auto"/>
            <w:noWrap w:val="0"/>
            <w:vAlign w:val="center"/>
          </w:tcPr>
          <w:p w14:paraId="53040379">
            <w:r>
              <w:rPr>
                <w:rStyle w:val="10"/>
                <w:rFonts w:hint="eastAsia"/>
              </w:rPr>
              <w:t>农药名称：</w:t>
            </w:r>
            <w:r>
              <w:rPr>
                <w:rFonts w:hint="eastAsia"/>
              </w:rPr>
              <w:t>28-高芸苔素内酯</w:t>
            </w:r>
          </w:p>
        </w:tc>
      </w:tr>
      <w:tr w14:paraId="4032A995">
        <w:tblPrEx>
          <w:tblCellMar>
            <w:top w:w="0" w:type="dxa"/>
            <w:left w:w="0" w:type="dxa"/>
            <w:bottom w:w="0" w:type="dxa"/>
            <w:right w:w="0" w:type="dxa"/>
          </w:tblCellMar>
        </w:tblPrEx>
        <w:trPr>
          <w:wBefore w:w="0" w:type="auto"/>
          <w:tblCellSpacing w:w="0" w:type="dxa"/>
        </w:trPr>
        <w:tc>
          <w:tcPr>
            <w:tcW w:w="0" w:type="auto"/>
            <w:noWrap w:val="0"/>
            <w:vAlign w:val="center"/>
          </w:tcPr>
          <w:p w14:paraId="2C84D0DC">
            <w:r>
              <w:rPr>
                <w:rStyle w:val="10"/>
                <w:rFonts w:hint="eastAsia"/>
              </w:rPr>
              <w:t>剂型：</w:t>
            </w:r>
            <w:r>
              <w:rPr>
                <w:rFonts w:hint="eastAsia"/>
              </w:rPr>
              <w:t>可溶粉剂</w:t>
            </w:r>
          </w:p>
        </w:tc>
      </w:tr>
      <w:tr w14:paraId="7F88D029">
        <w:tblPrEx>
          <w:tblCellMar>
            <w:top w:w="0" w:type="dxa"/>
            <w:left w:w="0" w:type="dxa"/>
            <w:bottom w:w="0" w:type="dxa"/>
            <w:right w:w="0" w:type="dxa"/>
          </w:tblCellMar>
        </w:tblPrEx>
        <w:trPr>
          <w:wBefore w:w="0" w:type="auto"/>
          <w:tblCellSpacing w:w="0" w:type="dxa"/>
        </w:trPr>
        <w:tc>
          <w:tcPr>
            <w:tcW w:w="0" w:type="auto"/>
            <w:noWrap w:val="0"/>
            <w:vAlign w:val="center"/>
          </w:tcPr>
          <w:p w14:paraId="368A012A">
            <w:r>
              <w:rPr>
                <w:rStyle w:val="10"/>
                <w:rFonts w:hint="eastAsia"/>
              </w:rPr>
              <w:t>毒性及其标识：</w:t>
            </w:r>
            <w:r>
              <w:rPr>
                <w:rFonts w:hint="eastAsia"/>
              </w:rPr>
              <w:t xml:space="preserve"> </w:t>
            </w:r>
            <w:r>
              <w:rPr>
                <w:lang/>
              </w:rPr>
              <w:drawing>
                <wp:inline distT="0" distB="0" distL="114300" distR="114300">
                  <wp:extent cx="476250" cy="323850"/>
                  <wp:effectExtent l="0" t="0" r="0" b="0"/>
                  <wp:docPr id="562" name="图片 56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264E628">
        <w:tblPrEx>
          <w:tblCellMar>
            <w:top w:w="0" w:type="dxa"/>
            <w:left w:w="0" w:type="dxa"/>
            <w:bottom w:w="0" w:type="dxa"/>
            <w:right w:w="0" w:type="dxa"/>
          </w:tblCellMar>
        </w:tblPrEx>
        <w:trPr>
          <w:wBefore w:w="0" w:type="auto"/>
          <w:tblCellSpacing w:w="0" w:type="dxa"/>
        </w:trPr>
        <w:tc>
          <w:tcPr>
            <w:tcW w:w="0" w:type="auto"/>
            <w:noWrap w:val="0"/>
            <w:vAlign w:val="center"/>
          </w:tcPr>
          <w:p w14:paraId="547EED1A">
            <w:r>
              <w:rPr>
                <w:rStyle w:val="10"/>
                <w:rFonts w:hint="eastAsia"/>
              </w:rPr>
              <w:t>总有效成分含量：</w:t>
            </w:r>
            <w:r>
              <w:rPr>
                <w:rFonts w:hint="eastAsia"/>
              </w:rPr>
              <w:t>0.0002%</w:t>
            </w:r>
          </w:p>
        </w:tc>
      </w:tr>
      <w:tr w14:paraId="662170BB">
        <w:tblPrEx>
          <w:tblCellMar>
            <w:top w:w="0" w:type="dxa"/>
            <w:left w:w="0" w:type="dxa"/>
            <w:bottom w:w="0" w:type="dxa"/>
            <w:right w:w="0" w:type="dxa"/>
          </w:tblCellMar>
        </w:tblPrEx>
        <w:trPr>
          <w:wBefore w:w="0" w:type="auto"/>
          <w:tblCellSpacing w:w="0" w:type="dxa"/>
        </w:trPr>
        <w:tc>
          <w:tcPr>
            <w:tcW w:w="0" w:type="auto"/>
            <w:noWrap w:val="0"/>
            <w:vAlign w:val="center"/>
          </w:tcPr>
          <w:p w14:paraId="768383EF">
            <w:r>
              <w:rPr>
                <w:rFonts w:hint="eastAsia"/>
              </w:rPr>
              <w:t xml:space="preserve">有效成分及其含量： </w:t>
            </w:r>
          </w:p>
          <w:p w14:paraId="04286743">
            <w:r>
              <w:rPr>
                <w:rFonts w:hint="eastAsia"/>
              </w:rPr>
              <w:t xml:space="preserve">    28-高芸苔素内酯0.0002%    </w:t>
            </w:r>
          </w:p>
        </w:tc>
      </w:tr>
      <w:tr w14:paraId="6A6F7232">
        <w:tblPrEx>
          <w:tblCellMar>
            <w:top w:w="0" w:type="dxa"/>
            <w:left w:w="0" w:type="dxa"/>
            <w:bottom w:w="0" w:type="dxa"/>
            <w:right w:w="0" w:type="dxa"/>
          </w:tblCellMar>
        </w:tblPrEx>
        <w:trPr>
          <w:wBefore w:w="0" w:type="auto"/>
          <w:tblCellSpacing w:w="0" w:type="dxa"/>
        </w:trPr>
        <w:tc>
          <w:tcPr>
            <w:tcW w:w="0" w:type="auto"/>
            <w:noWrap w:val="0"/>
            <w:vAlign w:val="center"/>
          </w:tcPr>
          <w:p w14:paraId="1D95B34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68135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B74914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634A65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EBF34B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8E32B78">
                  <w:r>
                    <w:rPr>
                      <w:rStyle w:val="11"/>
                      <w:rFonts w:hint="eastAsia"/>
                    </w:rPr>
                    <w:t>施用方式</w:t>
                  </w:r>
                </w:p>
              </w:tc>
            </w:tr>
            <w:tr w14:paraId="121DB1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63CF983">
                  <w:r>
                    <w:rPr>
                      <w:rStyle w:val="11"/>
                      <w:rFonts w:hint="eastAsia"/>
                    </w:rPr>
                    <w:t>小白菜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BFFD14">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B362AA">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A76DE2">
                  <w:r>
                    <w:rPr>
                      <w:rStyle w:val="11"/>
                      <w:rFonts w:hint="eastAsia"/>
                    </w:rPr>
                    <w:t>喷雾</w:t>
                  </w:r>
                </w:p>
              </w:tc>
            </w:tr>
          </w:tbl>
          <w:p w14:paraId="5C01E1E9">
            <w:pPr>
              <w:rPr>
                <w:rFonts w:ascii="Times New Roman" w:hAnsi="Times New Roman" w:cs="Times New Roman"/>
                <w:sz w:val="20"/>
                <w:szCs w:val="20"/>
              </w:rPr>
            </w:pPr>
          </w:p>
        </w:tc>
      </w:tr>
      <w:tr w14:paraId="19E4CC14">
        <w:tblPrEx>
          <w:tblCellMar>
            <w:top w:w="0" w:type="dxa"/>
            <w:left w:w="0" w:type="dxa"/>
            <w:bottom w:w="0" w:type="dxa"/>
            <w:right w:w="0" w:type="dxa"/>
          </w:tblCellMar>
        </w:tblPrEx>
        <w:trPr>
          <w:wBefore w:w="0" w:type="auto"/>
          <w:tblCellSpacing w:w="0" w:type="dxa"/>
        </w:trPr>
        <w:tc>
          <w:tcPr>
            <w:tcW w:w="0" w:type="auto"/>
            <w:noWrap w:val="0"/>
            <w:vAlign w:val="center"/>
          </w:tcPr>
          <w:p w14:paraId="1DF73CF5">
            <w:r>
              <w:rPr>
                <w:rStyle w:val="10"/>
                <w:rFonts w:hint="eastAsia"/>
              </w:rPr>
              <w:t>使用技术要求:</w:t>
            </w:r>
            <w:r>
              <w:rPr>
                <w:rFonts w:hint="eastAsia"/>
              </w:rPr>
              <w:br w:type="textWrapping"/>
            </w:r>
            <w:r>
              <w:rPr>
                <w:rStyle w:val="11"/>
                <w:rFonts w:hint="eastAsia"/>
              </w:rPr>
              <w:t>1.于小白菜旺长期，兑水均匀喷雾施药1次，间隔7-10天再喷一次。2. 大风天气或预计1小时内有降雨时请勿施药。</w:t>
            </w:r>
          </w:p>
        </w:tc>
      </w:tr>
      <w:tr w14:paraId="6248F44B">
        <w:tblPrEx>
          <w:tblCellMar>
            <w:top w:w="0" w:type="dxa"/>
            <w:left w:w="0" w:type="dxa"/>
            <w:bottom w:w="0" w:type="dxa"/>
            <w:right w:w="0" w:type="dxa"/>
          </w:tblCellMar>
        </w:tblPrEx>
        <w:trPr>
          <w:wBefore w:w="0" w:type="auto"/>
          <w:tblCellSpacing w:w="0" w:type="dxa"/>
        </w:trPr>
        <w:tc>
          <w:tcPr>
            <w:tcW w:w="0" w:type="auto"/>
            <w:noWrap w:val="0"/>
            <w:vAlign w:val="center"/>
          </w:tcPr>
          <w:p w14:paraId="0E19734C">
            <w:r>
              <w:rPr>
                <w:rStyle w:val="10"/>
                <w:rFonts w:hint="eastAsia"/>
              </w:rPr>
              <w:t>产品性能:</w:t>
            </w:r>
            <w:r>
              <w:rPr>
                <w:rFonts w:hint="eastAsia"/>
              </w:rPr>
              <w:br w:type="textWrapping"/>
            </w:r>
            <w:r>
              <w:rPr>
                <w:rStyle w:val="11"/>
                <w:rFonts w:hint="eastAsia"/>
              </w:rPr>
              <w:t>本品属于甾醇类植物生长调节剂，具有使植物细胞分裂和延长的双重作用，可促进根系发达，增强光合作用，提高作物叶绿素含量，促进作物对肥料的有效吸收，辅助作物劣势部分的良好生长。 可用于小白菜调节生长。</w:t>
            </w:r>
          </w:p>
        </w:tc>
      </w:tr>
      <w:tr w14:paraId="26F7EE02">
        <w:tblPrEx>
          <w:tblCellMar>
            <w:top w:w="0" w:type="dxa"/>
            <w:left w:w="0" w:type="dxa"/>
            <w:bottom w:w="0" w:type="dxa"/>
            <w:right w:w="0" w:type="dxa"/>
          </w:tblCellMar>
        </w:tblPrEx>
        <w:trPr>
          <w:wBefore w:w="0" w:type="auto"/>
          <w:tblCellSpacing w:w="0" w:type="dxa"/>
        </w:trPr>
        <w:tc>
          <w:tcPr>
            <w:tcW w:w="0" w:type="auto"/>
            <w:noWrap w:val="0"/>
            <w:vAlign w:val="center"/>
          </w:tcPr>
          <w:p w14:paraId="649D568E">
            <w:r>
              <w:rPr>
                <w:rStyle w:val="10"/>
                <w:rFonts w:hint="eastAsia"/>
              </w:rPr>
              <w:t>注意事项：</w:t>
            </w:r>
            <w:r>
              <w:rPr>
                <w:rFonts w:hint="eastAsia"/>
              </w:rPr>
              <w:br w:type="textWrapping"/>
            </w:r>
            <w:r>
              <w:rPr>
                <w:rStyle w:val="11"/>
                <w:rFonts w:hint="eastAsia"/>
              </w:rPr>
              <w:t>1、使用本品时应采取安全防护措施，穿防护服，护目镜，戴口罩和手套，避免刺激眼睛、皮肤接触及口鼻吸入，切勿吸烟或饮食。施药后用肥皂洗净身体暴露部分。2、施药期间应密切关注对附近蜂群的影响，周围开花植物花期禁用，蚕室和桑园附近禁用。远离水产养殖区施药，禁止在河塘等水浴清洗施药器具,天敌放飞区域禁用。3、孕妇及哺乳期妇女禁用。使用中有任何不良反应，请及时送医就诊。4、用过的容器应妥善处理，不可做他用，也不可随意丢弃。</w:t>
            </w:r>
          </w:p>
        </w:tc>
      </w:tr>
      <w:tr w14:paraId="6D91EF43">
        <w:tblPrEx>
          <w:tblCellMar>
            <w:top w:w="0" w:type="dxa"/>
            <w:left w:w="0" w:type="dxa"/>
            <w:bottom w:w="0" w:type="dxa"/>
            <w:right w:w="0" w:type="dxa"/>
          </w:tblCellMar>
        </w:tblPrEx>
        <w:trPr>
          <w:wBefore w:w="0" w:type="auto"/>
          <w:tblCellSpacing w:w="0" w:type="dxa"/>
        </w:trPr>
        <w:tc>
          <w:tcPr>
            <w:tcW w:w="0" w:type="auto"/>
            <w:noWrap w:val="0"/>
            <w:vAlign w:val="center"/>
          </w:tcPr>
          <w:p w14:paraId="65D64EEE">
            <w:r>
              <w:rPr>
                <w:rStyle w:val="10"/>
                <w:rFonts w:hint="eastAsia"/>
              </w:rPr>
              <w:t>中毒急救措施：</w:t>
            </w:r>
            <w:r>
              <w:rPr>
                <w:rFonts w:hint="eastAsia"/>
              </w:rPr>
              <w:br w:type="textWrapping"/>
            </w:r>
            <w:r>
              <w:rPr>
                <w:rStyle w:val="11"/>
                <w:rFonts w:hint="eastAsia"/>
              </w:rPr>
              <w:t>皮肤接触：立即脱掉被污染的衣物，用大量清水彻底冲洗受污染皮肤，如皮肤刺激感持续，请医生诊治。 本品对眼睛有刺激性，若眼睛溅药：立即将眼睑翻开，用清水冲洗至少15分钟，再请医生诊治。 发生吸入：立即将吸入者转移到空气清新处，如果吸入者停止呼吸，需要进行人工呼吸。注意保暖和休息。请医生诊治。 误服：请勿引吐，及时去医院检查治疗。</w:t>
            </w:r>
          </w:p>
        </w:tc>
      </w:tr>
      <w:tr w14:paraId="18607927">
        <w:tblPrEx>
          <w:tblCellMar>
            <w:top w:w="0" w:type="dxa"/>
            <w:left w:w="0" w:type="dxa"/>
            <w:bottom w:w="0" w:type="dxa"/>
            <w:right w:w="0" w:type="dxa"/>
          </w:tblCellMar>
        </w:tblPrEx>
        <w:trPr>
          <w:wBefore w:w="0" w:type="auto"/>
          <w:tblCellSpacing w:w="0" w:type="dxa"/>
        </w:trPr>
        <w:tc>
          <w:tcPr>
            <w:tcW w:w="0" w:type="auto"/>
            <w:noWrap w:val="0"/>
            <w:vAlign w:val="center"/>
          </w:tcPr>
          <w:p w14:paraId="2E5048C2">
            <w:r>
              <w:rPr>
                <w:rStyle w:val="10"/>
                <w:rFonts w:hint="eastAsia"/>
              </w:rPr>
              <w:t>储存和运输方法：</w:t>
            </w:r>
            <w:r>
              <w:rPr>
                <w:rFonts w:hint="eastAsia"/>
              </w:rPr>
              <w:br w:type="textWrapping"/>
            </w:r>
            <w:r>
              <w:rPr>
                <w:rStyle w:val="11"/>
                <w:rFonts w:hint="eastAsia"/>
              </w:rPr>
              <w:t xml:space="preserve">本品应贮存在干燥、阴凉、通风、防雨处，远离火源或热源。且应妥善保管，慎防误用。置于儿童触及不到之处，并加锁。勿与食品、饮料、粮食、饲料等同贮同运。运输搬运时应轻拿轻放，不可倒置。 </w:t>
            </w:r>
          </w:p>
        </w:tc>
      </w:tr>
      <w:tr w14:paraId="23340983">
        <w:tblPrEx>
          <w:tblCellMar>
            <w:top w:w="0" w:type="dxa"/>
            <w:left w:w="0" w:type="dxa"/>
            <w:bottom w:w="0" w:type="dxa"/>
            <w:right w:w="0" w:type="dxa"/>
          </w:tblCellMar>
        </w:tblPrEx>
        <w:trPr>
          <w:wBefore w:w="0" w:type="auto"/>
          <w:tblCellSpacing w:w="0" w:type="dxa"/>
        </w:trPr>
        <w:tc>
          <w:tcPr>
            <w:tcW w:w="0" w:type="auto"/>
            <w:noWrap w:val="0"/>
            <w:vAlign w:val="center"/>
          </w:tcPr>
          <w:p w14:paraId="5BFA4963">
            <w:r>
              <w:rPr>
                <w:rStyle w:val="10"/>
                <w:rFonts w:hint="eastAsia"/>
              </w:rPr>
              <w:t>质量保证期：</w:t>
            </w:r>
            <w:r>
              <w:rPr>
                <w:rStyle w:val="11"/>
                <w:rFonts w:hint="eastAsia"/>
              </w:rPr>
              <w:t>2年</w:t>
            </w:r>
          </w:p>
        </w:tc>
      </w:tr>
      <w:tr w14:paraId="577165D9">
        <w:tblPrEx>
          <w:tblCellMar>
            <w:top w:w="0" w:type="dxa"/>
            <w:left w:w="0" w:type="dxa"/>
            <w:bottom w:w="0" w:type="dxa"/>
            <w:right w:w="0" w:type="dxa"/>
          </w:tblCellMar>
        </w:tblPrEx>
        <w:trPr>
          <w:wBefore w:w="0" w:type="auto"/>
          <w:tblCellSpacing w:w="0" w:type="dxa"/>
        </w:trPr>
        <w:tc>
          <w:tcPr>
            <w:tcW w:w="0" w:type="auto"/>
            <w:noWrap w:val="0"/>
            <w:vAlign w:val="center"/>
          </w:tcPr>
          <w:p w14:paraId="507548BD">
            <w:r>
              <w:rPr>
                <w:rStyle w:val="10"/>
                <w:rFonts w:hint="eastAsia"/>
              </w:rPr>
              <w:t>备注：</w:t>
            </w:r>
          </w:p>
        </w:tc>
      </w:tr>
    </w:tbl>
    <w:p w14:paraId="298D0A3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AF5CD0">
        <w:tblPrEx>
          <w:tblCellMar>
            <w:top w:w="0" w:type="dxa"/>
            <w:left w:w="0" w:type="dxa"/>
            <w:bottom w:w="0" w:type="dxa"/>
            <w:right w:w="0" w:type="dxa"/>
          </w:tblCellMar>
        </w:tblPrEx>
        <w:trPr>
          <w:wBefore w:w="0" w:type="auto"/>
          <w:tblCellSpacing w:w="0" w:type="dxa"/>
        </w:trPr>
        <w:tc>
          <w:tcPr>
            <w:tcW w:w="0" w:type="auto"/>
            <w:noWrap w:val="0"/>
            <w:vAlign w:val="center"/>
          </w:tcPr>
          <w:p w14:paraId="40A9926B">
            <w:r>
              <w:rPr>
                <w:rStyle w:val="10"/>
                <w:rFonts w:hint="eastAsia"/>
              </w:rPr>
              <w:t>登记证号：</w:t>
            </w:r>
            <w:r>
              <w:rPr>
                <w:rFonts w:hint="eastAsia"/>
              </w:rPr>
              <w:t>PD20211870</w:t>
            </w:r>
          </w:p>
        </w:tc>
      </w:tr>
      <w:tr w14:paraId="29A34B05">
        <w:tblPrEx>
          <w:tblCellMar>
            <w:top w:w="0" w:type="dxa"/>
            <w:left w:w="0" w:type="dxa"/>
            <w:bottom w:w="0" w:type="dxa"/>
            <w:right w:w="0" w:type="dxa"/>
          </w:tblCellMar>
        </w:tblPrEx>
        <w:trPr>
          <w:wBefore w:w="0" w:type="auto"/>
          <w:tblCellSpacing w:w="0" w:type="dxa"/>
        </w:trPr>
        <w:tc>
          <w:tcPr>
            <w:tcW w:w="0" w:type="auto"/>
            <w:noWrap w:val="0"/>
            <w:vAlign w:val="center"/>
          </w:tcPr>
          <w:p w14:paraId="3233C097">
            <w:r>
              <w:rPr>
                <w:rStyle w:val="10"/>
                <w:rFonts w:hint="eastAsia"/>
              </w:rPr>
              <w:t>登记证持有人：</w:t>
            </w:r>
            <w:r>
              <w:rPr>
                <w:rFonts w:hint="eastAsia"/>
              </w:rPr>
              <w:t>河北赛丰生物科技有限公司</w:t>
            </w:r>
          </w:p>
        </w:tc>
      </w:tr>
      <w:tr w14:paraId="7A6141AD">
        <w:tblPrEx>
          <w:tblCellMar>
            <w:top w:w="0" w:type="dxa"/>
            <w:left w:w="0" w:type="dxa"/>
            <w:bottom w:w="0" w:type="dxa"/>
            <w:right w:w="0" w:type="dxa"/>
          </w:tblCellMar>
        </w:tblPrEx>
        <w:trPr>
          <w:wBefore w:w="0" w:type="auto"/>
          <w:tblCellSpacing w:w="0" w:type="dxa"/>
        </w:trPr>
        <w:tc>
          <w:tcPr>
            <w:tcW w:w="0" w:type="auto"/>
            <w:noWrap w:val="0"/>
            <w:vAlign w:val="center"/>
          </w:tcPr>
          <w:p w14:paraId="3F382896">
            <w:r>
              <w:rPr>
                <w:rStyle w:val="10"/>
                <w:rFonts w:hint="eastAsia"/>
              </w:rPr>
              <w:t>农药名称：</w:t>
            </w:r>
            <w:r>
              <w:rPr>
                <w:rFonts w:hint="eastAsia"/>
              </w:rPr>
              <w:t>氟啶虫酰胺·联苯菊酯</w:t>
            </w:r>
          </w:p>
        </w:tc>
      </w:tr>
      <w:tr w14:paraId="6458F108">
        <w:tblPrEx>
          <w:tblCellMar>
            <w:top w:w="0" w:type="dxa"/>
            <w:left w:w="0" w:type="dxa"/>
            <w:bottom w:w="0" w:type="dxa"/>
            <w:right w:w="0" w:type="dxa"/>
          </w:tblCellMar>
        </w:tblPrEx>
        <w:trPr>
          <w:wBefore w:w="0" w:type="auto"/>
          <w:tblCellSpacing w:w="0" w:type="dxa"/>
        </w:trPr>
        <w:tc>
          <w:tcPr>
            <w:tcW w:w="0" w:type="auto"/>
            <w:noWrap w:val="0"/>
            <w:vAlign w:val="center"/>
          </w:tcPr>
          <w:p w14:paraId="75AFEBDD">
            <w:r>
              <w:rPr>
                <w:rStyle w:val="10"/>
                <w:rFonts w:hint="eastAsia"/>
              </w:rPr>
              <w:t>剂型：</w:t>
            </w:r>
            <w:r>
              <w:rPr>
                <w:rFonts w:hint="eastAsia"/>
              </w:rPr>
              <w:t>悬浮剂</w:t>
            </w:r>
          </w:p>
        </w:tc>
      </w:tr>
      <w:tr w14:paraId="792EDBA9">
        <w:tblPrEx>
          <w:tblCellMar>
            <w:top w:w="0" w:type="dxa"/>
            <w:left w:w="0" w:type="dxa"/>
            <w:bottom w:w="0" w:type="dxa"/>
            <w:right w:w="0" w:type="dxa"/>
          </w:tblCellMar>
        </w:tblPrEx>
        <w:trPr>
          <w:wBefore w:w="0" w:type="auto"/>
          <w:tblCellSpacing w:w="0" w:type="dxa"/>
        </w:trPr>
        <w:tc>
          <w:tcPr>
            <w:tcW w:w="0" w:type="auto"/>
            <w:noWrap w:val="0"/>
            <w:vAlign w:val="center"/>
          </w:tcPr>
          <w:p w14:paraId="4C1FCF7B">
            <w:r>
              <w:rPr>
                <w:rStyle w:val="10"/>
                <w:rFonts w:hint="eastAsia"/>
              </w:rPr>
              <w:t>毒性及其标识：</w:t>
            </w:r>
            <w:r>
              <w:rPr>
                <w:rFonts w:hint="eastAsia"/>
              </w:rPr>
              <w:t xml:space="preserve"> </w:t>
            </w:r>
            <w:r>
              <w:rPr>
                <w:lang/>
              </w:rPr>
              <w:drawing>
                <wp:inline distT="0" distB="0" distL="114300" distR="114300">
                  <wp:extent cx="476250" cy="323850"/>
                  <wp:effectExtent l="0" t="0" r="0" b="0"/>
                  <wp:docPr id="563" name="图片 56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6D2A93B">
        <w:tblPrEx>
          <w:tblCellMar>
            <w:top w:w="0" w:type="dxa"/>
            <w:left w:w="0" w:type="dxa"/>
            <w:bottom w:w="0" w:type="dxa"/>
            <w:right w:w="0" w:type="dxa"/>
          </w:tblCellMar>
        </w:tblPrEx>
        <w:trPr>
          <w:wBefore w:w="0" w:type="auto"/>
          <w:tblCellSpacing w:w="0" w:type="dxa"/>
        </w:trPr>
        <w:tc>
          <w:tcPr>
            <w:tcW w:w="0" w:type="auto"/>
            <w:noWrap w:val="0"/>
            <w:vAlign w:val="center"/>
          </w:tcPr>
          <w:p w14:paraId="2BBA365A">
            <w:r>
              <w:rPr>
                <w:rStyle w:val="10"/>
                <w:rFonts w:hint="eastAsia"/>
              </w:rPr>
              <w:t>总有效成分含量：</w:t>
            </w:r>
            <w:r>
              <w:rPr>
                <w:rFonts w:hint="eastAsia"/>
              </w:rPr>
              <w:t>30%</w:t>
            </w:r>
          </w:p>
        </w:tc>
      </w:tr>
      <w:tr w14:paraId="4631EB90">
        <w:tblPrEx>
          <w:tblCellMar>
            <w:top w:w="0" w:type="dxa"/>
            <w:left w:w="0" w:type="dxa"/>
            <w:bottom w:w="0" w:type="dxa"/>
            <w:right w:w="0" w:type="dxa"/>
          </w:tblCellMar>
        </w:tblPrEx>
        <w:trPr>
          <w:wBefore w:w="0" w:type="auto"/>
          <w:tblCellSpacing w:w="0" w:type="dxa"/>
        </w:trPr>
        <w:tc>
          <w:tcPr>
            <w:tcW w:w="0" w:type="auto"/>
            <w:noWrap w:val="0"/>
            <w:vAlign w:val="center"/>
          </w:tcPr>
          <w:p w14:paraId="242FC863">
            <w:r>
              <w:rPr>
                <w:rFonts w:hint="eastAsia"/>
              </w:rPr>
              <w:t xml:space="preserve">有效成分及其含量： </w:t>
            </w:r>
          </w:p>
          <w:p w14:paraId="5AB4DCD9">
            <w:r>
              <w:rPr>
                <w:rFonts w:hint="eastAsia"/>
              </w:rPr>
              <w:t xml:space="preserve">    氟啶虫酰胺15%    联苯菊酯15%    </w:t>
            </w:r>
          </w:p>
        </w:tc>
      </w:tr>
      <w:tr w14:paraId="437E2F2F">
        <w:tblPrEx>
          <w:tblCellMar>
            <w:top w:w="0" w:type="dxa"/>
            <w:left w:w="0" w:type="dxa"/>
            <w:bottom w:w="0" w:type="dxa"/>
            <w:right w:w="0" w:type="dxa"/>
          </w:tblCellMar>
        </w:tblPrEx>
        <w:trPr>
          <w:wBefore w:w="0" w:type="auto"/>
          <w:tblCellSpacing w:w="0" w:type="dxa"/>
        </w:trPr>
        <w:tc>
          <w:tcPr>
            <w:tcW w:w="0" w:type="auto"/>
            <w:noWrap w:val="0"/>
            <w:vAlign w:val="center"/>
          </w:tcPr>
          <w:p w14:paraId="26472A5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D0B9B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F95373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A615A9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FAC471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9AE195">
                  <w:r>
                    <w:rPr>
                      <w:rStyle w:val="11"/>
                      <w:rFonts w:hint="eastAsia"/>
                    </w:rPr>
                    <w:t>施用方式</w:t>
                  </w:r>
                </w:p>
              </w:tc>
            </w:tr>
            <w:tr w14:paraId="19C5CE2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97EBDF6">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E0AB19">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68AB150">
                  <w:r>
                    <w:rPr>
                      <w:rStyle w:val="11"/>
                      <w:rFonts w:hint="eastAsia"/>
                    </w:rPr>
                    <w:t>9-15毫升/亩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874465">
                  <w:r>
                    <w:rPr>
                      <w:rStyle w:val="11"/>
                      <w:rFonts w:hint="eastAsia"/>
                    </w:rPr>
                    <w:t>喷雾</w:t>
                  </w:r>
                </w:p>
              </w:tc>
            </w:tr>
          </w:tbl>
          <w:p w14:paraId="7A5E6727">
            <w:pPr>
              <w:rPr>
                <w:rFonts w:ascii="Times New Roman" w:hAnsi="Times New Roman" w:cs="Times New Roman"/>
                <w:sz w:val="20"/>
                <w:szCs w:val="20"/>
              </w:rPr>
            </w:pPr>
          </w:p>
        </w:tc>
      </w:tr>
      <w:tr w14:paraId="6E716700">
        <w:tblPrEx>
          <w:tblCellMar>
            <w:top w:w="0" w:type="dxa"/>
            <w:left w:w="0" w:type="dxa"/>
            <w:bottom w:w="0" w:type="dxa"/>
            <w:right w:w="0" w:type="dxa"/>
          </w:tblCellMar>
        </w:tblPrEx>
        <w:trPr>
          <w:wBefore w:w="0" w:type="auto"/>
          <w:tblCellSpacing w:w="0" w:type="dxa"/>
        </w:trPr>
        <w:tc>
          <w:tcPr>
            <w:tcW w:w="0" w:type="auto"/>
            <w:noWrap w:val="0"/>
            <w:vAlign w:val="center"/>
          </w:tcPr>
          <w:p w14:paraId="1DBD5BE9">
            <w:r>
              <w:rPr>
                <w:rStyle w:val="10"/>
                <w:rFonts w:hint="eastAsia"/>
              </w:rPr>
              <w:t>使用技术要求:</w:t>
            </w:r>
            <w:r>
              <w:rPr>
                <w:rFonts w:hint="eastAsia"/>
              </w:rPr>
              <w:br w:type="textWrapping"/>
            </w:r>
            <w:r>
              <w:rPr>
                <w:rStyle w:val="11"/>
                <w:rFonts w:hint="eastAsia"/>
              </w:rPr>
              <w:t>1. 本品于茶树茶小绿叶蝉低龄若虫始盛发期喷雾1次，注意喷雾均匀。 2. 每季作物最多使用1次，安全间隔期为5天。 3. 大风天或预计1小时内降雨，请勿施药。</w:t>
            </w:r>
          </w:p>
        </w:tc>
      </w:tr>
      <w:tr w14:paraId="15A2A794">
        <w:tblPrEx>
          <w:tblCellMar>
            <w:top w:w="0" w:type="dxa"/>
            <w:left w:w="0" w:type="dxa"/>
            <w:bottom w:w="0" w:type="dxa"/>
            <w:right w:w="0" w:type="dxa"/>
          </w:tblCellMar>
        </w:tblPrEx>
        <w:trPr>
          <w:wBefore w:w="0" w:type="auto"/>
          <w:tblCellSpacing w:w="0" w:type="dxa"/>
        </w:trPr>
        <w:tc>
          <w:tcPr>
            <w:tcW w:w="0" w:type="auto"/>
            <w:noWrap w:val="0"/>
            <w:vAlign w:val="center"/>
          </w:tcPr>
          <w:p w14:paraId="0F4499B0">
            <w:r>
              <w:rPr>
                <w:rStyle w:val="10"/>
                <w:rFonts w:hint="eastAsia"/>
              </w:rPr>
              <w:t>产品性能:</w:t>
            </w:r>
            <w:r>
              <w:rPr>
                <w:rFonts w:hint="eastAsia"/>
              </w:rPr>
              <w:br w:type="textWrapping"/>
            </w:r>
            <w:r>
              <w:rPr>
                <w:rStyle w:val="11"/>
                <w:rFonts w:hint="eastAsia"/>
              </w:rPr>
              <w:t>联苯菊酯属拟除虫菊酯类杀虫剂，具触杀、胃毒作用，杀虫谱广，作用迅速。氟啶虫酰胺是一种新型低毒吡啶酰胺类昆虫生长调节剂类杀虫剂，具很好神经毒剂和快速拒食作用，还具良好渗透作用。二者混配可有效防治茶树茶小绿叶蝉。</w:t>
            </w:r>
          </w:p>
        </w:tc>
      </w:tr>
      <w:tr w14:paraId="58CF3823">
        <w:tblPrEx>
          <w:tblCellMar>
            <w:top w:w="0" w:type="dxa"/>
            <w:left w:w="0" w:type="dxa"/>
            <w:bottom w:w="0" w:type="dxa"/>
            <w:right w:w="0" w:type="dxa"/>
          </w:tblCellMar>
        </w:tblPrEx>
        <w:trPr>
          <w:wBefore w:w="0" w:type="auto"/>
          <w:tblCellSpacing w:w="0" w:type="dxa"/>
        </w:trPr>
        <w:tc>
          <w:tcPr>
            <w:tcW w:w="0" w:type="auto"/>
            <w:noWrap w:val="0"/>
            <w:vAlign w:val="center"/>
          </w:tcPr>
          <w:p w14:paraId="4CE6557E">
            <w:r>
              <w:rPr>
                <w:rStyle w:val="10"/>
                <w:rFonts w:hint="eastAsia"/>
              </w:rPr>
              <w:t>注意事项：</w:t>
            </w:r>
            <w:r>
              <w:rPr>
                <w:rFonts w:hint="eastAsia"/>
              </w:rPr>
              <w:br w:type="textWrapping"/>
            </w:r>
            <w:r>
              <w:rPr>
                <w:rStyle w:val="11"/>
                <w:rFonts w:hint="eastAsia"/>
              </w:rPr>
              <w:t>1.严格按照规定用药量和方法使用。2.施药时应按照农药使用规则进行操作，穿戴防护服、口罩、眼罩和手套，避免吸入药液。施药期间禁止吃东西和饮水，施药后应及时洗脸、洗手。3.本品对鱼类、溞类及藻类等水生生物有毒，水产养殖区、河塘等水体附近禁用，禁止在河塘等水体中清洗施药器具，药液及其废液不得随意排放，避免污染水源。4.本品对家蚕有毒，蚕室及桑园附近禁用。5.对鸟类、非靶标节肢动物有毒，鸟类、天敌等放飞区禁用；周围开花植物花期禁用，施药时应密切关注附近蜂群的影响。6.建议与其他不同作用机理的杀虫剂交替使用。7.用过的容器应妥善处理，不可做他用，也不可随意丢弃。8. 禁止儿童、孕妇及哺乳期妇女接触本品。</w:t>
            </w:r>
          </w:p>
        </w:tc>
      </w:tr>
      <w:tr w14:paraId="133470F7">
        <w:tblPrEx>
          <w:tblCellMar>
            <w:top w:w="0" w:type="dxa"/>
            <w:left w:w="0" w:type="dxa"/>
            <w:bottom w:w="0" w:type="dxa"/>
            <w:right w:w="0" w:type="dxa"/>
          </w:tblCellMar>
        </w:tblPrEx>
        <w:trPr>
          <w:wBefore w:w="0" w:type="auto"/>
          <w:tblCellSpacing w:w="0" w:type="dxa"/>
        </w:trPr>
        <w:tc>
          <w:tcPr>
            <w:tcW w:w="0" w:type="auto"/>
            <w:noWrap w:val="0"/>
            <w:vAlign w:val="center"/>
          </w:tcPr>
          <w:p w14:paraId="5D7E2AD7">
            <w:r>
              <w:rPr>
                <w:rStyle w:val="10"/>
                <w:rFonts w:hint="eastAsia"/>
              </w:rPr>
              <w:t>中毒急救措施：</w:t>
            </w:r>
            <w:r>
              <w:rPr>
                <w:rFonts w:hint="eastAsia"/>
              </w:rPr>
              <w:br w:type="textWrapping"/>
            </w:r>
            <w:r>
              <w:rPr>
                <w:rStyle w:val="11"/>
                <w:rFonts w:hint="eastAsia"/>
              </w:rPr>
              <w:t>中毒症状：使用中或使用后感觉不适，应立即停止工作，采取急救措施，并携带标签送医院就诊。不慎吸入：立即将病人移至空气流通处，注意保暖和休息，请医生诊治。不慎溅入眼睛或接触皮肤：用大量清水冲洗至少15分钟，再请医生诊治。不慎误服：请勿引吐，立即携标签送医诊治。紧急医疗措施：使用医用活性炭洗胃，洗胃时注意防治胃容物进入呼吸道。注意：对昏迷病人，切勿经口喂入任何东西或引吐。无专用解毒剂，对症治疗。</w:t>
            </w:r>
          </w:p>
        </w:tc>
      </w:tr>
      <w:tr w14:paraId="4F63557A">
        <w:tblPrEx>
          <w:tblCellMar>
            <w:top w:w="0" w:type="dxa"/>
            <w:left w:w="0" w:type="dxa"/>
            <w:bottom w:w="0" w:type="dxa"/>
            <w:right w:w="0" w:type="dxa"/>
          </w:tblCellMar>
        </w:tblPrEx>
        <w:trPr>
          <w:wBefore w:w="0" w:type="auto"/>
          <w:tblCellSpacing w:w="0" w:type="dxa"/>
        </w:trPr>
        <w:tc>
          <w:tcPr>
            <w:tcW w:w="0" w:type="auto"/>
            <w:noWrap w:val="0"/>
            <w:vAlign w:val="center"/>
          </w:tcPr>
          <w:p w14:paraId="34388C10">
            <w:r>
              <w:rPr>
                <w:rStyle w:val="10"/>
                <w:rFonts w:hint="eastAsia"/>
              </w:rPr>
              <w:t>储存和运输方法：</w:t>
            </w:r>
            <w:r>
              <w:rPr>
                <w:rFonts w:hint="eastAsia"/>
              </w:rPr>
              <w:br w:type="textWrapping"/>
            </w:r>
            <w:r>
              <w:rPr>
                <w:rStyle w:val="11"/>
                <w:rFonts w:hint="eastAsia"/>
              </w:rPr>
              <w:t>1.本品应贮存在阴凉、干燥、通风、防雨处，远离火源或热源；2.置于儿童、无关人员及动物接触不到的地方，并加锁；3.不得与食物、饮料、种子、饲料等物品同贮同运，运输时要防潮防晒；4.装卸时，注意检查包装是否密封完整，轻拿轻放。</w:t>
            </w:r>
          </w:p>
        </w:tc>
      </w:tr>
      <w:tr w14:paraId="726230B3">
        <w:tblPrEx>
          <w:tblCellMar>
            <w:top w:w="0" w:type="dxa"/>
            <w:left w:w="0" w:type="dxa"/>
            <w:bottom w:w="0" w:type="dxa"/>
            <w:right w:w="0" w:type="dxa"/>
          </w:tblCellMar>
        </w:tblPrEx>
        <w:trPr>
          <w:wBefore w:w="0" w:type="auto"/>
          <w:tblCellSpacing w:w="0" w:type="dxa"/>
        </w:trPr>
        <w:tc>
          <w:tcPr>
            <w:tcW w:w="0" w:type="auto"/>
            <w:noWrap w:val="0"/>
            <w:vAlign w:val="center"/>
          </w:tcPr>
          <w:p w14:paraId="4D7F28E3">
            <w:r>
              <w:rPr>
                <w:rStyle w:val="10"/>
                <w:rFonts w:hint="eastAsia"/>
              </w:rPr>
              <w:t>质量保证期：</w:t>
            </w:r>
            <w:r>
              <w:rPr>
                <w:rStyle w:val="11"/>
                <w:rFonts w:hint="eastAsia"/>
              </w:rPr>
              <w:t>2</w:t>
            </w:r>
          </w:p>
        </w:tc>
      </w:tr>
      <w:tr w14:paraId="60FEBE28">
        <w:tblPrEx>
          <w:tblCellMar>
            <w:top w:w="0" w:type="dxa"/>
            <w:left w:w="0" w:type="dxa"/>
            <w:bottom w:w="0" w:type="dxa"/>
            <w:right w:w="0" w:type="dxa"/>
          </w:tblCellMar>
        </w:tblPrEx>
        <w:trPr>
          <w:wBefore w:w="0" w:type="auto"/>
          <w:tblCellSpacing w:w="0" w:type="dxa"/>
        </w:trPr>
        <w:tc>
          <w:tcPr>
            <w:tcW w:w="0" w:type="auto"/>
            <w:noWrap w:val="0"/>
            <w:vAlign w:val="center"/>
          </w:tcPr>
          <w:p w14:paraId="483BD35B">
            <w:r>
              <w:rPr>
                <w:rStyle w:val="10"/>
                <w:rFonts w:hint="eastAsia"/>
              </w:rPr>
              <w:t>备注：</w:t>
            </w:r>
          </w:p>
        </w:tc>
      </w:tr>
    </w:tbl>
    <w:p w14:paraId="505118F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82B7E3">
        <w:tblPrEx>
          <w:tblCellMar>
            <w:top w:w="0" w:type="dxa"/>
            <w:left w:w="0" w:type="dxa"/>
            <w:bottom w:w="0" w:type="dxa"/>
            <w:right w:w="0" w:type="dxa"/>
          </w:tblCellMar>
        </w:tblPrEx>
        <w:trPr>
          <w:wBefore w:w="0" w:type="auto"/>
          <w:tblCellSpacing w:w="0" w:type="dxa"/>
        </w:trPr>
        <w:tc>
          <w:tcPr>
            <w:tcW w:w="0" w:type="auto"/>
            <w:noWrap w:val="0"/>
            <w:vAlign w:val="center"/>
          </w:tcPr>
          <w:p w14:paraId="0EAE238F">
            <w:r>
              <w:rPr>
                <w:rStyle w:val="10"/>
                <w:rFonts w:hint="eastAsia"/>
              </w:rPr>
              <w:t>登记证号：</w:t>
            </w:r>
            <w:r>
              <w:rPr>
                <w:rFonts w:hint="eastAsia"/>
              </w:rPr>
              <w:t>PD20212198</w:t>
            </w:r>
          </w:p>
        </w:tc>
      </w:tr>
      <w:tr w14:paraId="653D58AC">
        <w:tblPrEx>
          <w:tblCellMar>
            <w:top w:w="0" w:type="dxa"/>
            <w:left w:w="0" w:type="dxa"/>
            <w:bottom w:w="0" w:type="dxa"/>
            <w:right w:w="0" w:type="dxa"/>
          </w:tblCellMar>
        </w:tblPrEx>
        <w:trPr>
          <w:wBefore w:w="0" w:type="auto"/>
          <w:tblCellSpacing w:w="0" w:type="dxa"/>
        </w:trPr>
        <w:tc>
          <w:tcPr>
            <w:tcW w:w="0" w:type="auto"/>
            <w:noWrap w:val="0"/>
            <w:vAlign w:val="center"/>
          </w:tcPr>
          <w:p w14:paraId="6254D7C8">
            <w:r>
              <w:rPr>
                <w:rStyle w:val="10"/>
                <w:rFonts w:hint="eastAsia"/>
              </w:rPr>
              <w:t>登记证持有人：</w:t>
            </w:r>
            <w:r>
              <w:rPr>
                <w:rFonts w:hint="eastAsia"/>
              </w:rPr>
              <w:t>安徽瑞辰植保工程有限公司</w:t>
            </w:r>
          </w:p>
        </w:tc>
      </w:tr>
      <w:tr w14:paraId="34BA5EBC">
        <w:tblPrEx>
          <w:tblCellMar>
            <w:top w:w="0" w:type="dxa"/>
            <w:left w:w="0" w:type="dxa"/>
            <w:bottom w:w="0" w:type="dxa"/>
            <w:right w:w="0" w:type="dxa"/>
          </w:tblCellMar>
        </w:tblPrEx>
        <w:trPr>
          <w:wBefore w:w="0" w:type="auto"/>
          <w:tblCellSpacing w:w="0" w:type="dxa"/>
        </w:trPr>
        <w:tc>
          <w:tcPr>
            <w:tcW w:w="0" w:type="auto"/>
            <w:noWrap w:val="0"/>
            <w:vAlign w:val="center"/>
          </w:tcPr>
          <w:p w14:paraId="16012C5D">
            <w:r>
              <w:rPr>
                <w:rStyle w:val="10"/>
                <w:rFonts w:hint="eastAsia"/>
              </w:rPr>
              <w:t>农药名称：</w:t>
            </w:r>
            <w:r>
              <w:rPr>
                <w:rFonts w:hint="eastAsia"/>
              </w:rPr>
              <w:t>2甲·草甘膦</w:t>
            </w:r>
          </w:p>
        </w:tc>
      </w:tr>
      <w:tr w14:paraId="425DD230">
        <w:tblPrEx>
          <w:tblCellMar>
            <w:top w:w="0" w:type="dxa"/>
            <w:left w:w="0" w:type="dxa"/>
            <w:bottom w:w="0" w:type="dxa"/>
            <w:right w:w="0" w:type="dxa"/>
          </w:tblCellMar>
        </w:tblPrEx>
        <w:trPr>
          <w:wBefore w:w="0" w:type="auto"/>
          <w:tblCellSpacing w:w="0" w:type="dxa"/>
        </w:trPr>
        <w:tc>
          <w:tcPr>
            <w:tcW w:w="0" w:type="auto"/>
            <w:noWrap w:val="0"/>
            <w:vAlign w:val="center"/>
          </w:tcPr>
          <w:p w14:paraId="5A4365D7">
            <w:r>
              <w:rPr>
                <w:rStyle w:val="10"/>
                <w:rFonts w:hint="eastAsia"/>
              </w:rPr>
              <w:t>剂型：</w:t>
            </w:r>
            <w:r>
              <w:rPr>
                <w:rFonts w:hint="eastAsia"/>
              </w:rPr>
              <w:t>可溶液剂</w:t>
            </w:r>
          </w:p>
        </w:tc>
      </w:tr>
      <w:tr w14:paraId="46ADFBD2">
        <w:tblPrEx>
          <w:tblCellMar>
            <w:top w:w="0" w:type="dxa"/>
            <w:left w:w="0" w:type="dxa"/>
            <w:bottom w:w="0" w:type="dxa"/>
            <w:right w:w="0" w:type="dxa"/>
          </w:tblCellMar>
        </w:tblPrEx>
        <w:trPr>
          <w:wBefore w:w="0" w:type="auto"/>
          <w:tblCellSpacing w:w="0" w:type="dxa"/>
        </w:trPr>
        <w:tc>
          <w:tcPr>
            <w:tcW w:w="0" w:type="auto"/>
            <w:noWrap w:val="0"/>
            <w:vAlign w:val="center"/>
          </w:tcPr>
          <w:p w14:paraId="6E0AF7F8">
            <w:r>
              <w:rPr>
                <w:rStyle w:val="10"/>
                <w:rFonts w:hint="eastAsia"/>
              </w:rPr>
              <w:t>毒性及其标识：</w:t>
            </w:r>
            <w:r>
              <w:rPr>
                <w:rFonts w:hint="eastAsia"/>
              </w:rPr>
              <w:t xml:space="preserve"> </w:t>
            </w:r>
            <w:r>
              <w:rPr>
                <w:lang/>
              </w:rPr>
              <w:drawing>
                <wp:inline distT="0" distB="0" distL="114300" distR="114300">
                  <wp:extent cx="476250" cy="323850"/>
                  <wp:effectExtent l="0" t="0" r="0" b="0"/>
                  <wp:docPr id="564" name="图片 56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0AAB1AB">
        <w:tblPrEx>
          <w:tblCellMar>
            <w:top w:w="0" w:type="dxa"/>
            <w:left w:w="0" w:type="dxa"/>
            <w:bottom w:w="0" w:type="dxa"/>
            <w:right w:w="0" w:type="dxa"/>
          </w:tblCellMar>
        </w:tblPrEx>
        <w:trPr>
          <w:wBefore w:w="0" w:type="auto"/>
          <w:tblCellSpacing w:w="0" w:type="dxa"/>
        </w:trPr>
        <w:tc>
          <w:tcPr>
            <w:tcW w:w="0" w:type="auto"/>
            <w:noWrap w:val="0"/>
            <w:vAlign w:val="center"/>
          </w:tcPr>
          <w:p w14:paraId="450EB0F0">
            <w:r>
              <w:rPr>
                <w:rStyle w:val="10"/>
                <w:rFonts w:hint="eastAsia"/>
              </w:rPr>
              <w:t>总有效成分含量：</w:t>
            </w:r>
            <w:r>
              <w:rPr>
                <w:rFonts w:hint="eastAsia"/>
              </w:rPr>
              <w:t>36%</w:t>
            </w:r>
          </w:p>
        </w:tc>
      </w:tr>
      <w:tr w14:paraId="6A63D2B7">
        <w:tblPrEx>
          <w:tblCellMar>
            <w:top w:w="0" w:type="dxa"/>
            <w:left w:w="0" w:type="dxa"/>
            <w:bottom w:w="0" w:type="dxa"/>
            <w:right w:w="0" w:type="dxa"/>
          </w:tblCellMar>
        </w:tblPrEx>
        <w:trPr>
          <w:wBefore w:w="0" w:type="auto"/>
          <w:tblCellSpacing w:w="0" w:type="dxa"/>
        </w:trPr>
        <w:tc>
          <w:tcPr>
            <w:tcW w:w="0" w:type="auto"/>
            <w:noWrap w:val="0"/>
            <w:vAlign w:val="center"/>
          </w:tcPr>
          <w:p w14:paraId="728602A1">
            <w:r>
              <w:rPr>
                <w:rFonts w:hint="eastAsia"/>
              </w:rPr>
              <w:t xml:space="preserve">有效成分及其含量： </w:t>
            </w:r>
          </w:p>
          <w:p w14:paraId="72BAB22F">
            <w:r>
              <w:rPr>
                <w:rFonts w:hint="eastAsia"/>
              </w:rPr>
              <w:t xml:space="preserve">    草甘膦30.4%    2甲4氯5.6%    </w:t>
            </w:r>
          </w:p>
        </w:tc>
      </w:tr>
      <w:tr w14:paraId="66E1FD23">
        <w:tblPrEx>
          <w:tblCellMar>
            <w:top w:w="0" w:type="dxa"/>
            <w:left w:w="0" w:type="dxa"/>
            <w:bottom w:w="0" w:type="dxa"/>
            <w:right w:w="0" w:type="dxa"/>
          </w:tblCellMar>
        </w:tblPrEx>
        <w:trPr>
          <w:wBefore w:w="0" w:type="auto"/>
          <w:tblCellSpacing w:w="0" w:type="dxa"/>
        </w:trPr>
        <w:tc>
          <w:tcPr>
            <w:tcW w:w="0" w:type="auto"/>
            <w:noWrap w:val="0"/>
            <w:vAlign w:val="center"/>
          </w:tcPr>
          <w:p w14:paraId="77939CE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B345FD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FAB5ED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290F10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DBED59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36C317B">
                  <w:r>
                    <w:rPr>
                      <w:rStyle w:val="11"/>
                      <w:rFonts w:hint="eastAsia"/>
                    </w:rPr>
                    <w:t>施用方式</w:t>
                  </w:r>
                </w:p>
              </w:tc>
            </w:tr>
            <w:tr w14:paraId="5A068E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EFD6010">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581B5D">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61668C">
                  <w:r>
                    <w:rPr>
                      <w:rStyle w:val="11"/>
                      <w:rFonts w:hint="eastAsia"/>
                    </w:rPr>
                    <w:t>200-300毫升/亩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55820E">
                  <w:r>
                    <w:rPr>
                      <w:rStyle w:val="11"/>
                      <w:rFonts w:hint="eastAsia"/>
                    </w:rPr>
                    <w:t>茎叶喷雾</w:t>
                  </w:r>
                </w:p>
              </w:tc>
            </w:tr>
          </w:tbl>
          <w:p w14:paraId="06C6FECB">
            <w:pPr>
              <w:rPr>
                <w:rFonts w:ascii="Times New Roman" w:hAnsi="Times New Roman" w:cs="Times New Roman"/>
                <w:sz w:val="20"/>
                <w:szCs w:val="20"/>
              </w:rPr>
            </w:pPr>
          </w:p>
        </w:tc>
      </w:tr>
      <w:tr w14:paraId="716CDC4B">
        <w:tblPrEx>
          <w:tblCellMar>
            <w:top w:w="0" w:type="dxa"/>
            <w:left w:w="0" w:type="dxa"/>
            <w:bottom w:w="0" w:type="dxa"/>
            <w:right w:w="0" w:type="dxa"/>
          </w:tblCellMar>
        </w:tblPrEx>
        <w:trPr>
          <w:wBefore w:w="0" w:type="auto"/>
          <w:tblCellSpacing w:w="0" w:type="dxa"/>
        </w:trPr>
        <w:tc>
          <w:tcPr>
            <w:tcW w:w="0" w:type="auto"/>
            <w:noWrap w:val="0"/>
            <w:vAlign w:val="center"/>
          </w:tcPr>
          <w:p w14:paraId="1C8B9202">
            <w:r>
              <w:rPr>
                <w:rStyle w:val="10"/>
                <w:rFonts w:hint="eastAsia"/>
              </w:rPr>
              <w:t>使用技术要求:</w:t>
            </w:r>
            <w:r>
              <w:rPr>
                <w:rFonts w:hint="eastAsia"/>
              </w:rPr>
              <w:br w:type="textWrapping"/>
            </w:r>
            <w:r>
              <w:rPr>
                <w:rStyle w:val="11"/>
                <w:rFonts w:hint="eastAsia"/>
              </w:rPr>
              <w:t>应于杂草生长旺盛期进行茎叶喷雾。安全使用标准：每季最多用药1次。</w:t>
            </w:r>
          </w:p>
        </w:tc>
      </w:tr>
      <w:tr w14:paraId="7CAD6930">
        <w:tblPrEx>
          <w:tblCellMar>
            <w:top w:w="0" w:type="dxa"/>
            <w:left w:w="0" w:type="dxa"/>
            <w:bottom w:w="0" w:type="dxa"/>
            <w:right w:w="0" w:type="dxa"/>
          </w:tblCellMar>
        </w:tblPrEx>
        <w:trPr>
          <w:wBefore w:w="0" w:type="auto"/>
          <w:tblCellSpacing w:w="0" w:type="dxa"/>
        </w:trPr>
        <w:tc>
          <w:tcPr>
            <w:tcW w:w="0" w:type="auto"/>
            <w:noWrap w:val="0"/>
            <w:vAlign w:val="center"/>
          </w:tcPr>
          <w:p w14:paraId="7D2C6903">
            <w:r>
              <w:rPr>
                <w:rStyle w:val="10"/>
                <w:rFonts w:hint="eastAsia"/>
              </w:rPr>
              <w:t>产品性能:</w:t>
            </w:r>
            <w:r>
              <w:rPr>
                <w:rFonts w:hint="eastAsia"/>
              </w:rPr>
              <w:br w:type="textWrapping"/>
            </w:r>
            <w:r>
              <w:rPr>
                <w:rStyle w:val="11"/>
                <w:rFonts w:hint="eastAsia"/>
              </w:rPr>
              <w:t>本产品是由非选择性触杀型杂草茎叶处理除草剂草甘膦和苯氧乙酸类选择性内吸传导激素型除草剂2甲4氯复配而成的灭生性除草剂。用于防除非耕地杂草，包括单子叶和双子叶、一年生和多年生杂草。</w:t>
            </w:r>
          </w:p>
        </w:tc>
      </w:tr>
      <w:tr w14:paraId="470D702C">
        <w:tblPrEx>
          <w:tblCellMar>
            <w:top w:w="0" w:type="dxa"/>
            <w:left w:w="0" w:type="dxa"/>
            <w:bottom w:w="0" w:type="dxa"/>
            <w:right w:w="0" w:type="dxa"/>
          </w:tblCellMar>
        </w:tblPrEx>
        <w:trPr>
          <w:wBefore w:w="0" w:type="auto"/>
          <w:tblCellSpacing w:w="0" w:type="dxa"/>
        </w:trPr>
        <w:tc>
          <w:tcPr>
            <w:tcW w:w="0" w:type="auto"/>
            <w:noWrap w:val="0"/>
            <w:vAlign w:val="center"/>
          </w:tcPr>
          <w:p w14:paraId="266A7CF2">
            <w:r>
              <w:rPr>
                <w:rStyle w:val="10"/>
                <w:rFonts w:hint="eastAsia"/>
              </w:rPr>
              <w:t>注意事项：</w:t>
            </w:r>
            <w:r>
              <w:rPr>
                <w:rFonts w:hint="eastAsia"/>
              </w:rPr>
              <w:br w:type="textWrapping"/>
            </w:r>
            <w:r>
              <w:rPr>
                <w:rStyle w:val="11"/>
                <w:rFonts w:hint="eastAsia"/>
              </w:rPr>
              <w:t>1.干旱及杂草密度、蒸发量和喷头流量较大或防除大龄杂草及多年生恶性杂草时，采用较高的推荐制剂用量和对水量。选无风、湿润的晴天施用，避免在连续霜冻和严重干旱时施用，以免药效减低。施用后6小时后下雨不影响药效。2.本品对眼睛有刺激，避免溅入眼睛。应在通风处开启包装物，避免污染。3.配药和施药时，应戴手套，穿防护服、雨靴等，操作本品时禁止饮食、吸烟和饮水。4.配药时，用清水对盛过药剂的包装瓶冲洗3次，并将冲洗液倒入喷雾器中。用过的空包装应压烂或划破后妥善处理，切勿重复使用或它用；使用后的施药器具应及时清洗。5. 施药后应及时用肥皂和足量清水冲洗手部、面部和其它身体裸露部位以及受药剂污染的衣物等。 6. 避免孕妇及哺乳期的妇女接触。7、本品对蜜蜂、家蚕有毒，施药期间应避免对周围蜂群的影响，禁止在开花植物花期、蚕室和桑园附近使用。禁止在河塘等水域清洗施药器具。8.禁止在田间道路、田埂、果树行间、休耕地、林场林地等农林业区域使用。</w:t>
            </w:r>
          </w:p>
        </w:tc>
      </w:tr>
      <w:tr w14:paraId="393072A9">
        <w:tblPrEx>
          <w:tblCellMar>
            <w:top w:w="0" w:type="dxa"/>
            <w:left w:w="0" w:type="dxa"/>
            <w:bottom w:w="0" w:type="dxa"/>
            <w:right w:w="0" w:type="dxa"/>
          </w:tblCellMar>
        </w:tblPrEx>
        <w:trPr>
          <w:wBefore w:w="0" w:type="auto"/>
          <w:tblCellSpacing w:w="0" w:type="dxa"/>
        </w:trPr>
        <w:tc>
          <w:tcPr>
            <w:tcW w:w="0" w:type="auto"/>
            <w:noWrap w:val="0"/>
            <w:vAlign w:val="center"/>
          </w:tcPr>
          <w:p w14:paraId="0F06F129">
            <w:r>
              <w:rPr>
                <w:rStyle w:val="10"/>
                <w:rFonts w:hint="eastAsia"/>
              </w:rPr>
              <w:t>中毒急救措施：</w:t>
            </w:r>
            <w:r>
              <w:rPr>
                <w:rFonts w:hint="eastAsia"/>
              </w:rPr>
              <w:br w:type="textWrapping"/>
            </w:r>
            <w:r>
              <w:rPr>
                <w:rStyle w:val="11"/>
                <w:rFonts w:hint="eastAsia"/>
              </w:rPr>
              <w:t>中毒症状表现为：对眼睛有刺激作用。不慎溅入眼睛或接触皮肤：用大量清水冲洗至少15分钟。不慎误服：立即用清水漱口，严禁自行引吐，携此标签送医诊治。医生洗胃时，应注意保护气管和食管。不慎吸入：应将病人移至空气流通处，并请医生治疗。</w:t>
            </w:r>
          </w:p>
        </w:tc>
      </w:tr>
      <w:tr w14:paraId="4BEEA652">
        <w:tblPrEx>
          <w:tblCellMar>
            <w:top w:w="0" w:type="dxa"/>
            <w:left w:w="0" w:type="dxa"/>
            <w:bottom w:w="0" w:type="dxa"/>
            <w:right w:w="0" w:type="dxa"/>
          </w:tblCellMar>
        </w:tblPrEx>
        <w:trPr>
          <w:wBefore w:w="0" w:type="auto"/>
          <w:tblCellSpacing w:w="0" w:type="dxa"/>
        </w:trPr>
        <w:tc>
          <w:tcPr>
            <w:tcW w:w="0" w:type="auto"/>
            <w:noWrap w:val="0"/>
            <w:vAlign w:val="center"/>
          </w:tcPr>
          <w:p w14:paraId="20908B83">
            <w:r>
              <w:rPr>
                <w:rStyle w:val="10"/>
                <w:rFonts w:hint="eastAsia"/>
              </w:rPr>
              <w:t>储存和运输方法：</w:t>
            </w:r>
            <w:r>
              <w:rPr>
                <w:rFonts w:hint="eastAsia"/>
              </w:rPr>
              <w:br w:type="textWrapping"/>
            </w:r>
            <w:r>
              <w:rPr>
                <w:rStyle w:val="11"/>
                <w:rFonts w:hint="eastAsia"/>
              </w:rPr>
              <w:t>产品包装件应贮存在通风、阴凉、干燥的库房中；贮运时，严防潮湿和日晒。不得与食物、种子、饲料混放，堆放方式应符合安全、搬运方便的原则。避免与皮肤、眼睛接触，防止由口鼻吸入。避免与氧化剂接触。</w:t>
            </w:r>
          </w:p>
        </w:tc>
      </w:tr>
      <w:tr w14:paraId="6B8D09F3">
        <w:tblPrEx>
          <w:tblCellMar>
            <w:top w:w="0" w:type="dxa"/>
            <w:left w:w="0" w:type="dxa"/>
            <w:bottom w:w="0" w:type="dxa"/>
            <w:right w:w="0" w:type="dxa"/>
          </w:tblCellMar>
        </w:tblPrEx>
        <w:trPr>
          <w:wBefore w:w="0" w:type="auto"/>
          <w:tblCellSpacing w:w="0" w:type="dxa"/>
        </w:trPr>
        <w:tc>
          <w:tcPr>
            <w:tcW w:w="0" w:type="auto"/>
            <w:noWrap w:val="0"/>
            <w:vAlign w:val="center"/>
          </w:tcPr>
          <w:p w14:paraId="0A73460F">
            <w:r>
              <w:rPr>
                <w:rStyle w:val="10"/>
                <w:rFonts w:hint="eastAsia"/>
              </w:rPr>
              <w:t>质量保证期：</w:t>
            </w:r>
            <w:r>
              <w:rPr>
                <w:rStyle w:val="11"/>
                <w:rFonts w:hint="eastAsia"/>
              </w:rPr>
              <w:t>2年</w:t>
            </w:r>
          </w:p>
        </w:tc>
      </w:tr>
      <w:tr w14:paraId="405C17F5">
        <w:tblPrEx>
          <w:tblCellMar>
            <w:top w:w="0" w:type="dxa"/>
            <w:left w:w="0" w:type="dxa"/>
            <w:bottom w:w="0" w:type="dxa"/>
            <w:right w:w="0" w:type="dxa"/>
          </w:tblCellMar>
        </w:tblPrEx>
        <w:trPr>
          <w:wBefore w:w="0" w:type="auto"/>
          <w:tblCellSpacing w:w="0" w:type="dxa"/>
        </w:trPr>
        <w:tc>
          <w:tcPr>
            <w:tcW w:w="0" w:type="auto"/>
            <w:noWrap w:val="0"/>
            <w:vAlign w:val="center"/>
          </w:tcPr>
          <w:p w14:paraId="255974F4">
            <w:r>
              <w:rPr>
                <w:rStyle w:val="10"/>
                <w:rFonts w:hint="eastAsia"/>
              </w:rPr>
              <w:t>备注：</w:t>
            </w:r>
          </w:p>
        </w:tc>
      </w:tr>
    </w:tbl>
    <w:p w14:paraId="03E7BA8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DC1D2AF">
        <w:tblPrEx>
          <w:tblCellMar>
            <w:top w:w="0" w:type="dxa"/>
            <w:left w:w="0" w:type="dxa"/>
            <w:bottom w:w="0" w:type="dxa"/>
            <w:right w:w="0" w:type="dxa"/>
          </w:tblCellMar>
        </w:tblPrEx>
        <w:trPr>
          <w:wBefore w:w="0" w:type="auto"/>
          <w:tblCellSpacing w:w="0" w:type="dxa"/>
        </w:trPr>
        <w:tc>
          <w:tcPr>
            <w:tcW w:w="0" w:type="auto"/>
            <w:noWrap w:val="0"/>
            <w:vAlign w:val="center"/>
          </w:tcPr>
          <w:p w14:paraId="2056366E">
            <w:r>
              <w:rPr>
                <w:rStyle w:val="10"/>
                <w:rFonts w:hint="eastAsia"/>
              </w:rPr>
              <w:t>登记证号：</w:t>
            </w:r>
            <w:r>
              <w:rPr>
                <w:rFonts w:hint="eastAsia"/>
              </w:rPr>
              <w:t>PD20212222</w:t>
            </w:r>
          </w:p>
        </w:tc>
      </w:tr>
      <w:tr w14:paraId="586CCD6E">
        <w:tblPrEx>
          <w:tblCellMar>
            <w:top w:w="0" w:type="dxa"/>
            <w:left w:w="0" w:type="dxa"/>
            <w:bottom w:w="0" w:type="dxa"/>
            <w:right w:w="0" w:type="dxa"/>
          </w:tblCellMar>
        </w:tblPrEx>
        <w:trPr>
          <w:wBefore w:w="0" w:type="auto"/>
          <w:tblCellSpacing w:w="0" w:type="dxa"/>
        </w:trPr>
        <w:tc>
          <w:tcPr>
            <w:tcW w:w="0" w:type="auto"/>
            <w:noWrap w:val="0"/>
            <w:vAlign w:val="center"/>
          </w:tcPr>
          <w:p w14:paraId="13805C03">
            <w:r>
              <w:rPr>
                <w:rStyle w:val="10"/>
                <w:rFonts w:hint="eastAsia"/>
              </w:rPr>
              <w:t>登记证持有人：</w:t>
            </w:r>
            <w:r>
              <w:rPr>
                <w:rFonts w:hint="eastAsia"/>
              </w:rPr>
              <w:t>侨昌现代农业有限公司</w:t>
            </w:r>
          </w:p>
        </w:tc>
      </w:tr>
      <w:tr w14:paraId="3181146A">
        <w:tblPrEx>
          <w:tblCellMar>
            <w:top w:w="0" w:type="dxa"/>
            <w:left w:w="0" w:type="dxa"/>
            <w:bottom w:w="0" w:type="dxa"/>
            <w:right w:w="0" w:type="dxa"/>
          </w:tblCellMar>
        </w:tblPrEx>
        <w:trPr>
          <w:wBefore w:w="0" w:type="auto"/>
          <w:tblCellSpacing w:w="0" w:type="dxa"/>
        </w:trPr>
        <w:tc>
          <w:tcPr>
            <w:tcW w:w="0" w:type="auto"/>
            <w:noWrap w:val="0"/>
            <w:vAlign w:val="center"/>
          </w:tcPr>
          <w:p w14:paraId="6786DCEE">
            <w:r>
              <w:rPr>
                <w:rStyle w:val="10"/>
                <w:rFonts w:hint="eastAsia"/>
              </w:rPr>
              <w:t>农药名称：</w:t>
            </w:r>
            <w:r>
              <w:rPr>
                <w:rFonts w:hint="eastAsia"/>
              </w:rPr>
              <w:t>乙羧·草铵膦</w:t>
            </w:r>
          </w:p>
        </w:tc>
      </w:tr>
      <w:tr w14:paraId="6CBF166A">
        <w:tblPrEx>
          <w:tblCellMar>
            <w:top w:w="0" w:type="dxa"/>
            <w:left w:w="0" w:type="dxa"/>
            <w:bottom w:w="0" w:type="dxa"/>
            <w:right w:w="0" w:type="dxa"/>
          </w:tblCellMar>
        </w:tblPrEx>
        <w:trPr>
          <w:wBefore w:w="0" w:type="auto"/>
          <w:tblCellSpacing w:w="0" w:type="dxa"/>
        </w:trPr>
        <w:tc>
          <w:tcPr>
            <w:tcW w:w="0" w:type="auto"/>
            <w:noWrap w:val="0"/>
            <w:vAlign w:val="center"/>
          </w:tcPr>
          <w:p w14:paraId="458F8677">
            <w:r>
              <w:rPr>
                <w:rStyle w:val="10"/>
                <w:rFonts w:hint="eastAsia"/>
              </w:rPr>
              <w:t>剂型：</w:t>
            </w:r>
            <w:r>
              <w:rPr>
                <w:rFonts w:hint="eastAsia"/>
              </w:rPr>
              <w:t>微乳剂</w:t>
            </w:r>
          </w:p>
        </w:tc>
      </w:tr>
      <w:tr w14:paraId="419B3F50">
        <w:tblPrEx>
          <w:tblCellMar>
            <w:top w:w="0" w:type="dxa"/>
            <w:left w:w="0" w:type="dxa"/>
            <w:bottom w:w="0" w:type="dxa"/>
            <w:right w:w="0" w:type="dxa"/>
          </w:tblCellMar>
        </w:tblPrEx>
        <w:trPr>
          <w:wBefore w:w="0" w:type="auto"/>
          <w:tblCellSpacing w:w="0" w:type="dxa"/>
        </w:trPr>
        <w:tc>
          <w:tcPr>
            <w:tcW w:w="0" w:type="auto"/>
            <w:noWrap w:val="0"/>
            <w:vAlign w:val="center"/>
          </w:tcPr>
          <w:p w14:paraId="1DDBF61E">
            <w:r>
              <w:rPr>
                <w:rStyle w:val="10"/>
                <w:rFonts w:hint="eastAsia"/>
              </w:rPr>
              <w:t>毒性及其标识：</w:t>
            </w:r>
            <w:r>
              <w:rPr>
                <w:rFonts w:hint="eastAsia"/>
              </w:rPr>
              <w:t xml:space="preserve"> </w:t>
            </w:r>
            <w:r>
              <w:rPr>
                <w:lang/>
              </w:rPr>
              <w:drawing>
                <wp:inline distT="0" distB="0" distL="114300" distR="114300">
                  <wp:extent cx="476250" cy="323850"/>
                  <wp:effectExtent l="0" t="0" r="0" b="0"/>
                  <wp:docPr id="565" name="图片 56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20425DE">
        <w:tblPrEx>
          <w:tblCellMar>
            <w:top w:w="0" w:type="dxa"/>
            <w:left w:w="0" w:type="dxa"/>
            <w:bottom w:w="0" w:type="dxa"/>
            <w:right w:w="0" w:type="dxa"/>
          </w:tblCellMar>
        </w:tblPrEx>
        <w:trPr>
          <w:wBefore w:w="0" w:type="auto"/>
          <w:tblCellSpacing w:w="0" w:type="dxa"/>
        </w:trPr>
        <w:tc>
          <w:tcPr>
            <w:tcW w:w="0" w:type="auto"/>
            <w:noWrap w:val="0"/>
            <w:vAlign w:val="center"/>
          </w:tcPr>
          <w:p w14:paraId="32805928">
            <w:r>
              <w:rPr>
                <w:rStyle w:val="10"/>
                <w:rFonts w:hint="eastAsia"/>
              </w:rPr>
              <w:t>总有效成分含量：</w:t>
            </w:r>
            <w:r>
              <w:rPr>
                <w:rFonts w:hint="eastAsia"/>
              </w:rPr>
              <w:t>20%</w:t>
            </w:r>
          </w:p>
        </w:tc>
      </w:tr>
      <w:tr w14:paraId="5E643DB2">
        <w:tblPrEx>
          <w:tblCellMar>
            <w:top w:w="0" w:type="dxa"/>
            <w:left w:w="0" w:type="dxa"/>
            <w:bottom w:w="0" w:type="dxa"/>
            <w:right w:w="0" w:type="dxa"/>
          </w:tblCellMar>
        </w:tblPrEx>
        <w:trPr>
          <w:wBefore w:w="0" w:type="auto"/>
          <w:tblCellSpacing w:w="0" w:type="dxa"/>
        </w:trPr>
        <w:tc>
          <w:tcPr>
            <w:tcW w:w="0" w:type="auto"/>
            <w:noWrap w:val="0"/>
            <w:vAlign w:val="center"/>
          </w:tcPr>
          <w:p w14:paraId="19BCB891">
            <w:r>
              <w:rPr>
                <w:rFonts w:hint="eastAsia"/>
              </w:rPr>
              <w:t xml:space="preserve">有效成分及其含量： </w:t>
            </w:r>
          </w:p>
          <w:p w14:paraId="47CE3595">
            <w:r>
              <w:rPr>
                <w:rFonts w:hint="eastAsia"/>
              </w:rPr>
              <w:t xml:space="preserve">    乙羧氟草醚1%    草铵膦19%    </w:t>
            </w:r>
          </w:p>
        </w:tc>
      </w:tr>
      <w:tr w14:paraId="1C6F4B86">
        <w:tblPrEx>
          <w:tblCellMar>
            <w:top w:w="0" w:type="dxa"/>
            <w:left w:w="0" w:type="dxa"/>
            <w:bottom w:w="0" w:type="dxa"/>
            <w:right w:w="0" w:type="dxa"/>
          </w:tblCellMar>
        </w:tblPrEx>
        <w:trPr>
          <w:wBefore w:w="0" w:type="auto"/>
          <w:tblCellSpacing w:w="0" w:type="dxa"/>
        </w:trPr>
        <w:tc>
          <w:tcPr>
            <w:tcW w:w="0" w:type="auto"/>
            <w:noWrap w:val="0"/>
            <w:vAlign w:val="center"/>
          </w:tcPr>
          <w:p w14:paraId="0FE1795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4B0E3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52A99F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0E5EFC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8B87CA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E880DDF">
                  <w:r>
                    <w:rPr>
                      <w:rStyle w:val="11"/>
                      <w:rFonts w:hint="eastAsia"/>
                    </w:rPr>
                    <w:t>施用方式</w:t>
                  </w:r>
                </w:p>
              </w:tc>
            </w:tr>
            <w:tr w14:paraId="198AE2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9FDD99F">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654B04">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C4A7C85">
                  <w:r>
                    <w:rPr>
                      <w:rStyle w:val="11"/>
                      <w:rFonts w:hint="eastAsia"/>
                    </w:rPr>
                    <w:t>240-350毫升/亩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11558B">
                  <w:r>
                    <w:rPr>
                      <w:rStyle w:val="11"/>
                      <w:rFonts w:hint="eastAsia"/>
                    </w:rPr>
                    <w:t>茎叶喷雾</w:t>
                  </w:r>
                </w:p>
              </w:tc>
            </w:tr>
          </w:tbl>
          <w:p w14:paraId="2169DAA1">
            <w:pPr>
              <w:rPr>
                <w:rFonts w:ascii="Times New Roman" w:hAnsi="Times New Roman" w:cs="Times New Roman"/>
                <w:sz w:val="20"/>
                <w:szCs w:val="20"/>
              </w:rPr>
            </w:pPr>
          </w:p>
        </w:tc>
      </w:tr>
      <w:tr w14:paraId="79D62E7B">
        <w:tblPrEx>
          <w:tblCellMar>
            <w:top w:w="0" w:type="dxa"/>
            <w:left w:w="0" w:type="dxa"/>
            <w:bottom w:w="0" w:type="dxa"/>
            <w:right w:w="0" w:type="dxa"/>
          </w:tblCellMar>
        </w:tblPrEx>
        <w:trPr>
          <w:wBefore w:w="0" w:type="auto"/>
          <w:tblCellSpacing w:w="0" w:type="dxa"/>
        </w:trPr>
        <w:tc>
          <w:tcPr>
            <w:tcW w:w="0" w:type="auto"/>
            <w:noWrap w:val="0"/>
            <w:vAlign w:val="center"/>
          </w:tcPr>
          <w:p w14:paraId="374C3049">
            <w:r>
              <w:rPr>
                <w:rStyle w:val="10"/>
                <w:rFonts w:hint="eastAsia"/>
              </w:rPr>
              <w:t>使用技术要求:</w:t>
            </w:r>
            <w:r>
              <w:rPr>
                <w:rFonts w:hint="eastAsia"/>
              </w:rPr>
              <w:br w:type="textWrapping"/>
            </w:r>
            <w:r>
              <w:rPr>
                <w:rStyle w:val="11"/>
                <w:rFonts w:hint="eastAsia"/>
              </w:rPr>
              <w:t>1. 在非耕地杂草旺盛生长期茎叶喷雾施药一次，每亩兑水20-30公斤，茎叶喷雾。2. 大风天或预计1小时内降雨，请勿施药。3. 施药时注意避免药液飘移到邻近作物。4. 禁止在田间道路、田埂、果树行间、休耕地、林场林地等农林业区域使用。 </w:t>
            </w:r>
          </w:p>
        </w:tc>
      </w:tr>
      <w:tr w14:paraId="6E7DAD42">
        <w:tblPrEx>
          <w:tblCellMar>
            <w:top w:w="0" w:type="dxa"/>
            <w:left w:w="0" w:type="dxa"/>
            <w:bottom w:w="0" w:type="dxa"/>
            <w:right w:w="0" w:type="dxa"/>
          </w:tblCellMar>
        </w:tblPrEx>
        <w:trPr>
          <w:wBefore w:w="0" w:type="auto"/>
          <w:tblCellSpacing w:w="0" w:type="dxa"/>
        </w:trPr>
        <w:tc>
          <w:tcPr>
            <w:tcW w:w="0" w:type="auto"/>
            <w:noWrap w:val="0"/>
            <w:vAlign w:val="center"/>
          </w:tcPr>
          <w:p w14:paraId="3FC0E643">
            <w:r>
              <w:rPr>
                <w:rStyle w:val="10"/>
                <w:rFonts w:hint="eastAsia"/>
              </w:rPr>
              <w:t>产品性能:</w:t>
            </w:r>
            <w:r>
              <w:rPr>
                <w:rFonts w:hint="eastAsia"/>
              </w:rPr>
              <w:br w:type="textWrapping"/>
            </w:r>
            <w:r>
              <w:rPr>
                <w:rStyle w:val="11"/>
                <w:rFonts w:hint="eastAsia"/>
              </w:rPr>
              <w:t>本品为稳定的均相液体，可有效防除非耕地杂草</w:t>
            </w:r>
          </w:p>
        </w:tc>
      </w:tr>
      <w:tr w14:paraId="431C72C1">
        <w:tblPrEx>
          <w:tblCellMar>
            <w:top w:w="0" w:type="dxa"/>
            <w:left w:w="0" w:type="dxa"/>
            <w:bottom w:w="0" w:type="dxa"/>
            <w:right w:w="0" w:type="dxa"/>
          </w:tblCellMar>
        </w:tblPrEx>
        <w:trPr>
          <w:wBefore w:w="0" w:type="auto"/>
          <w:tblCellSpacing w:w="0" w:type="dxa"/>
        </w:trPr>
        <w:tc>
          <w:tcPr>
            <w:tcW w:w="0" w:type="auto"/>
            <w:noWrap w:val="0"/>
            <w:vAlign w:val="center"/>
          </w:tcPr>
          <w:p w14:paraId="41E5B163">
            <w:r>
              <w:rPr>
                <w:rStyle w:val="10"/>
                <w:rFonts w:hint="eastAsia"/>
              </w:rPr>
              <w:t>注意事项：</w:t>
            </w:r>
            <w:r>
              <w:rPr>
                <w:rFonts w:hint="eastAsia"/>
              </w:rPr>
              <w:br w:type="textWrapping"/>
            </w:r>
            <w:r>
              <w:rPr>
                <w:rStyle w:val="11"/>
                <w:rFonts w:hint="eastAsia"/>
              </w:rPr>
              <w:t>1. 本品对蜜蜂、鱼类等水生生物、家蚕有毒，施药期间应避免对周围蜂群的影响，（周围）开花植物花期禁用；桑园及蚕室附近禁用。赤眼蜂等天敌放飞区域禁用。地下水、饮用水水源地禁用。2. 远离水产养殖区、河塘等水域施药。3. 使用本品时应穿防护服、戴口罩、手套等防护用具，避免吸入药液；施药期间不可吃东西、喝水、吸烟等。施药后应及时洗手、洗脸等。4. 禁止在河塘等水域内清洗施药器具或将清洗施药器具的废水倒入河流、池塘等水源。5. 废弃物应妥善处理，不可做他用，也不可随意丢弃。6. 本药剂大面积灭草时，药后杂草成片干枯，应注意防治火灾发生。7. 孕妇及哺乳期妇女避免接触本品。</w:t>
            </w:r>
          </w:p>
        </w:tc>
      </w:tr>
      <w:tr w14:paraId="3D7DAE2E">
        <w:tblPrEx>
          <w:tblCellMar>
            <w:top w:w="0" w:type="dxa"/>
            <w:left w:w="0" w:type="dxa"/>
            <w:bottom w:w="0" w:type="dxa"/>
            <w:right w:w="0" w:type="dxa"/>
          </w:tblCellMar>
        </w:tblPrEx>
        <w:trPr>
          <w:wBefore w:w="0" w:type="auto"/>
          <w:tblCellSpacing w:w="0" w:type="dxa"/>
        </w:trPr>
        <w:tc>
          <w:tcPr>
            <w:tcW w:w="0" w:type="auto"/>
            <w:noWrap w:val="0"/>
            <w:vAlign w:val="center"/>
          </w:tcPr>
          <w:p w14:paraId="7A5C0310">
            <w:r>
              <w:rPr>
                <w:rStyle w:val="10"/>
                <w:rFonts w:hint="eastAsia"/>
              </w:rPr>
              <w:t>中毒急救措施：</w:t>
            </w:r>
            <w:r>
              <w:rPr>
                <w:rFonts w:hint="eastAsia"/>
              </w:rPr>
              <w:br w:type="textWrapping"/>
            </w:r>
            <w:r>
              <w:rPr>
                <w:rStyle w:val="11"/>
                <w:rFonts w:hint="eastAsia"/>
              </w:rPr>
              <w:t>对眼睛、皮肤和粘膜有刺激作用。如不慎吸入，将病人移至空气流通处；不慎接触皮肤，用大量清水和肥皂冲洗干净；若溅入眼睛，用大量清水冲洗至少15分钟，仍有不适，就医；如误服，立即带标签送医院，对症治疗。应先洗胃，无特效解毒剂。</w:t>
            </w:r>
          </w:p>
        </w:tc>
      </w:tr>
      <w:tr w14:paraId="7B651E23">
        <w:tblPrEx>
          <w:tblCellMar>
            <w:top w:w="0" w:type="dxa"/>
            <w:left w:w="0" w:type="dxa"/>
            <w:bottom w:w="0" w:type="dxa"/>
            <w:right w:w="0" w:type="dxa"/>
          </w:tblCellMar>
        </w:tblPrEx>
        <w:trPr>
          <w:wBefore w:w="0" w:type="auto"/>
          <w:tblCellSpacing w:w="0" w:type="dxa"/>
        </w:trPr>
        <w:tc>
          <w:tcPr>
            <w:tcW w:w="0" w:type="auto"/>
            <w:noWrap w:val="0"/>
            <w:vAlign w:val="center"/>
          </w:tcPr>
          <w:p w14:paraId="471D63F4">
            <w:r>
              <w:rPr>
                <w:rStyle w:val="10"/>
                <w:rFonts w:hint="eastAsia"/>
              </w:rPr>
              <w:t>储存和运输方法：</w:t>
            </w:r>
            <w:r>
              <w:rPr>
                <w:rFonts w:hint="eastAsia"/>
              </w:rPr>
              <w:br w:type="textWrapping"/>
            </w:r>
            <w:r>
              <w:rPr>
                <w:rStyle w:val="11"/>
                <w:rFonts w:hint="eastAsia"/>
              </w:rPr>
              <w:t>本品应贮存于阴凉、干燥、通风、防雨处。远离火源和热源，置于儿童及无关人员接触不到之处，并加锁。不能与食品、饮料、粮食、饲料等同贮同运。</w:t>
            </w:r>
          </w:p>
        </w:tc>
      </w:tr>
      <w:tr w14:paraId="6B21EFD4">
        <w:tblPrEx>
          <w:tblCellMar>
            <w:top w:w="0" w:type="dxa"/>
            <w:left w:w="0" w:type="dxa"/>
            <w:bottom w:w="0" w:type="dxa"/>
            <w:right w:w="0" w:type="dxa"/>
          </w:tblCellMar>
        </w:tblPrEx>
        <w:trPr>
          <w:wBefore w:w="0" w:type="auto"/>
          <w:tblCellSpacing w:w="0" w:type="dxa"/>
        </w:trPr>
        <w:tc>
          <w:tcPr>
            <w:tcW w:w="0" w:type="auto"/>
            <w:noWrap w:val="0"/>
            <w:vAlign w:val="center"/>
          </w:tcPr>
          <w:p w14:paraId="4EAEA31E">
            <w:r>
              <w:rPr>
                <w:rStyle w:val="10"/>
                <w:rFonts w:hint="eastAsia"/>
              </w:rPr>
              <w:t>质量保证期：</w:t>
            </w:r>
            <w:r>
              <w:rPr>
                <w:rStyle w:val="11"/>
                <w:rFonts w:hint="eastAsia"/>
              </w:rPr>
              <w:t>2年</w:t>
            </w:r>
          </w:p>
        </w:tc>
      </w:tr>
      <w:tr w14:paraId="3095A5D4">
        <w:tblPrEx>
          <w:tblCellMar>
            <w:top w:w="0" w:type="dxa"/>
            <w:left w:w="0" w:type="dxa"/>
            <w:bottom w:w="0" w:type="dxa"/>
            <w:right w:w="0" w:type="dxa"/>
          </w:tblCellMar>
        </w:tblPrEx>
        <w:trPr>
          <w:wBefore w:w="0" w:type="auto"/>
          <w:tblCellSpacing w:w="0" w:type="dxa"/>
        </w:trPr>
        <w:tc>
          <w:tcPr>
            <w:tcW w:w="0" w:type="auto"/>
            <w:noWrap w:val="0"/>
            <w:vAlign w:val="center"/>
          </w:tcPr>
          <w:p w14:paraId="49AC41A5">
            <w:r>
              <w:rPr>
                <w:rStyle w:val="10"/>
                <w:rFonts w:hint="eastAsia"/>
              </w:rPr>
              <w:t>备注：</w:t>
            </w:r>
          </w:p>
        </w:tc>
      </w:tr>
    </w:tbl>
    <w:p w14:paraId="08835FA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BF70179">
        <w:tblPrEx>
          <w:tblCellMar>
            <w:top w:w="0" w:type="dxa"/>
            <w:left w:w="0" w:type="dxa"/>
            <w:bottom w:w="0" w:type="dxa"/>
            <w:right w:w="0" w:type="dxa"/>
          </w:tblCellMar>
        </w:tblPrEx>
        <w:trPr>
          <w:wBefore w:w="0" w:type="auto"/>
          <w:tblCellSpacing w:w="0" w:type="dxa"/>
        </w:trPr>
        <w:tc>
          <w:tcPr>
            <w:tcW w:w="0" w:type="auto"/>
            <w:noWrap w:val="0"/>
            <w:vAlign w:val="center"/>
          </w:tcPr>
          <w:p w14:paraId="1690E4C2">
            <w:r>
              <w:rPr>
                <w:rStyle w:val="10"/>
                <w:rFonts w:hint="eastAsia"/>
              </w:rPr>
              <w:t>登记证号：</w:t>
            </w:r>
            <w:r>
              <w:rPr>
                <w:rFonts w:hint="eastAsia"/>
              </w:rPr>
              <w:t>PD20211990</w:t>
            </w:r>
          </w:p>
        </w:tc>
      </w:tr>
      <w:tr w14:paraId="49F95001">
        <w:tblPrEx>
          <w:tblCellMar>
            <w:top w:w="0" w:type="dxa"/>
            <w:left w:w="0" w:type="dxa"/>
            <w:bottom w:w="0" w:type="dxa"/>
            <w:right w:w="0" w:type="dxa"/>
          </w:tblCellMar>
        </w:tblPrEx>
        <w:trPr>
          <w:wBefore w:w="0" w:type="auto"/>
          <w:tblCellSpacing w:w="0" w:type="dxa"/>
        </w:trPr>
        <w:tc>
          <w:tcPr>
            <w:tcW w:w="0" w:type="auto"/>
            <w:noWrap w:val="0"/>
            <w:vAlign w:val="center"/>
          </w:tcPr>
          <w:p w14:paraId="17E95796">
            <w:r>
              <w:rPr>
                <w:rStyle w:val="10"/>
                <w:rFonts w:hint="eastAsia"/>
              </w:rPr>
              <w:t>登记证持有人：</w:t>
            </w:r>
            <w:r>
              <w:rPr>
                <w:rFonts w:hint="eastAsia"/>
              </w:rPr>
              <w:t>四川年年丰生物技术有限公司</w:t>
            </w:r>
          </w:p>
        </w:tc>
      </w:tr>
      <w:tr w14:paraId="4DAE20DB">
        <w:tblPrEx>
          <w:tblCellMar>
            <w:top w:w="0" w:type="dxa"/>
            <w:left w:w="0" w:type="dxa"/>
            <w:bottom w:w="0" w:type="dxa"/>
            <w:right w:w="0" w:type="dxa"/>
          </w:tblCellMar>
        </w:tblPrEx>
        <w:trPr>
          <w:wBefore w:w="0" w:type="auto"/>
          <w:tblCellSpacing w:w="0" w:type="dxa"/>
        </w:trPr>
        <w:tc>
          <w:tcPr>
            <w:tcW w:w="0" w:type="auto"/>
            <w:noWrap w:val="0"/>
            <w:vAlign w:val="center"/>
          </w:tcPr>
          <w:p w14:paraId="7C10F16C">
            <w:r>
              <w:rPr>
                <w:rStyle w:val="10"/>
                <w:rFonts w:hint="eastAsia"/>
              </w:rPr>
              <w:t>农药名称：</w:t>
            </w:r>
            <w:r>
              <w:rPr>
                <w:rFonts w:hint="eastAsia"/>
              </w:rPr>
              <w:t>大蒜提取物</w:t>
            </w:r>
          </w:p>
        </w:tc>
      </w:tr>
      <w:tr w14:paraId="38B2F5A7">
        <w:tblPrEx>
          <w:tblCellMar>
            <w:top w:w="0" w:type="dxa"/>
            <w:left w:w="0" w:type="dxa"/>
            <w:bottom w:w="0" w:type="dxa"/>
            <w:right w:w="0" w:type="dxa"/>
          </w:tblCellMar>
        </w:tblPrEx>
        <w:trPr>
          <w:wBefore w:w="0" w:type="auto"/>
          <w:tblCellSpacing w:w="0" w:type="dxa"/>
        </w:trPr>
        <w:tc>
          <w:tcPr>
            <w:tcW w:w="0" w:type="auto"/>
            <w:noWrap w:val="0"/>
            <w:vAlign w:val="center"/>
          </w:tcPr>
          <w:p w14:paraId="7F0004ED">
            <w:r>
              <w:rPr>
                <w:rStyle w:val="10"/>
                <w:rFonts w:hint="eastAsia"/>
              </w:rPr>
              <w:t>剂型：</w:t>
            </w:r>
            <w:r>
              <w:rPr>
                <w:rFonts w:hint="eastAsia"/>
              </w:rPr>
              <w:t>微乳剂</w:t>
            </w:r>
          </w:p>
        </w:tc>
      </w:tr>
      <w:tr w14:paraId="6AA48AA0">
        <w:tblPrEx>
          <w:tblCellMar>
            <w:top w:w="0" w:type="dxa"/>
            <w:left w:w="0" w:type="dxa"/>
            <w:bottom w:w="0" w:type="dxa"/>
            <w:right w:w="0" w:type="dxa"/>
          </w:tblCellMar>
        </w:tblPrEx>
        <w:trPr>
          <w:wBefore w:w="0" w:type="auto"/>
          <w:tblCellSpacing w:w="0" w:type="dxa"/>
        </w:trPr>
        <w:tc>
          <w:tcPr>
            <w:tcW w:w="0" w:type="auto"/>
            <w:noWrap w:val="0"/>
            <w:vAlign w:val="center"/>
          </w:tcPr>
          <w:p w14:paraId="3F2288BC">
            <w:r>
              <w:rPr>
                <w:rStyle w:val="10"/>
                <w:rFonts w:hint="eastAsia"/>
              </w:rPr>
              <w:t>毒性及其标识：</w:t>
            </w:r>
            <w:r>
              <w:rPr>
                <w:rFonts w:hint="eastAsia"/>
              </w:rPr>
              <w:t xml:space="preserve"> </w:t>
            </w:r>
            <w:r>
              <w:rPr>
                <w:lang/>
              </w:rPr>
              <w:drawing>
                <wp:inline distT="0" distB="0" distL="114300" distR="114300">
                  <wp:extent cx="476250" cy="323850"/>
                  <wp:effectExtent l="0" t="0" r="0" b="0"/>
                  <wp:docPr id="566" name="图片 56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645B5CA">
        <w:tblPrEx>
          <w:tblCellMar>
            <w:top w:w="0" w:type="dxa"/>
            <w:left w:w="0" w:type="dxa"/>
            <w:bottom w:w="0" w:type="dxa"/>
            <w:right w:w="0" w:type="dxa"/>
          </w:tblCellMar>
        </w:tblPrEx>
        <w:trPr>
          <w:wBefore w:w="0" w:type="auto"/>
          <w:tblCellSpacing w:w="0" w:type="dxa"/>
        </w:trPr>
        <w:tc>
          <w:tcPr>
            <w:tcW w:w="0" w:type="auto"/>
            <w:noWrap w:val="0"/>
            <w:vAlign w:val="center"/>
          </w:tcPr>
          <w:p w14:paraId="2A194E61">
            <w:r>
              <w:rPr>
                <w:rStyle w:val="10"/>
                <w:rFonts w:hint="eastAsia"/>
              </w:rPr>
              <w:t>总有效成分含量：</w:t>
            </w:r>
            <w:r>
              <w:rPr>
                <w:rFonts w:hint="eastAsia"/>
              </w:rPr>
              <w:t>5%</w:t>
            </w:r>
          </w:p>
        </w:tc>
      </w:tr>
      <w:tr w14:paraId="25ACEA2B">
        <w:tblPrEx>
          <w:tblCellMar>
            <w:top w:w="0" w:type="dxa"/>
            <w:left w:w="0" w:type="dxa"/>
            <w:bottom w:w="0" w:type="dxa"/>
            <w:right w:w="0" w:type="dxa"/>
          </w:tblCellMar>
        </w:tblPrEx>
        <w:trPr>
          <w:wBefore w:w="0" w:type="auto"/>
          <w:tblCellSpacing w:w="0" w:type="dxa"/>
        </w:trPr>
        <w:tc>
          <w:tcPr>
            <w:tcW w:w="0" w:type="auto"/>
            <w:noWrap w:val="0"/>
            <w:vAlign w:val="center"/>
          </w:tcPr>
          <w:p w14:paraId="259A1BD2">
            <w:r>
              <w:rPr>
                <w:rFonts w:hint="eastAsia"/>
              </w:rPr>
              <w:t xml:space="preserve">有效成分及其含量： </w:t>
            </w:r>
          </w:p>
          <w:p w14:paraId="314A9809">
            <w:r>
              <w:rPr>
                <w:rFonts w:hint="eastAsia"/>
              </w:rPr>
              <w:t xml:space="preserve">    大蒜素5%    </w:t>
            </w:r>
          </w:p>
        </w:tc>
      </w:tr>
      <w:tr w14:paraId="1FCDB201">
        <w:tblPrEx>
          <w:tblCellMar>
            <w:top w:w="0" w:type="dxa"/>
            <w:left w:w="0" w:type="dxa"/>
            <w:bottom w:w="0" w:type="dxa"/>
            <w:right w:w="0" w:type="dxa"/>
          </w:tblCellMar>
        </w:tblPrEx>
        <w:trPr>
          <w:wBefore w:w="0" w:type="auto"/>
          <w:tblCellSpacing w:w="0" w:type="dxa"/>
        </w:trPr>
        <w:tc>
          <w:tcPr>
            <w:tcW w:w="0" w:type="auto"/>
            <w:noWrap w:val="0"/>
            <w:vAlign w:val="center"/>
          </w:tcPr>
          <w:p w14:paraId="578E3B7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82098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B076D7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E3FBA9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A5E6FF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883B0C">
                  <w:r>
                    <w:rPr>
                      <w:rStyle w:val="11"/>
                      <w:rFonts w:hint="eastAsia"/>
                    </w:rPr>
                    <w:t>施用方式</w:t>
                  </w:r>
                </w:p>
              </w:tc>
            </w:tr>
            <w:tr w14:paraId="56B66BE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72B2F68">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457619">
                  <w:r>
                    <w:rPr>
                      <w:rStyle w:val="11"/>
                      <w:rFonts w:hint="eastAsia"/>
                    </w:rPr>
                    <w:t>软腐病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2115FF">
                  <w:r>
                    <w:rPr>
                      <w:rStyle w:val="11"/>
                      <w:rFonts w:hint="eastAsia"/>
                    </w:rPr>
                    <w:t>60-80克/亩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5CBCA76">
                  <w:r>
                    <w:rPr>
                      <w:rStyle w:val="11"/>
                      <w:rFonts w:hint="eastAsia"/>
                    </w:rPr>
                    <w:t>喷雾</w:t>
                  </w:r>
                </w:p>
              </w:tc>
            </w:tr>
          </w:tbl>
          <w:p w14:paraId="44811AAF">
            <w:pPr>
              <w:rPr>
                <w:rFonts w:ascii="Times New Roman" w:hAnsi="Times New Roman" w:cs="Times New Roman"/>
                <w:sz w:val="20"/>
                <w:szCs w:val="20"/>
              </w:rPr>
            </w:pPr>
          </w:p>
        </w:tc>
      </w:tr>
      <w:tr w14:paraId="49FDB999">
        <w:tblPrEx>
          <w:tblCellMar>
            <w:top w:w="0" w:type="dxa"/>
            <w:left w:w="0" w:type="dxa"/>
            <w:bottom w:w="0" w:type="dxa"/>
            <w:right w:w="0" w:type="dxa"/>
          </w:tblCellMar>
        </w:tblPrEx>
        <w:trPr>
          <w:wBefore w:w="0" w:type="auto"/>
          <w:tblCellSpacing w:w="0" w:type="dxa"/>
        </w:trPr>
        <w:tc>
          <w:tcPr>
            <w:tcW w:w="0" w:type="auto"/>
            <w:noWrap w:val="0"/>
            <w:vAlign w:val="center"/>
          </w:tcPr>
          <w:p w14:paraId="09B4D30A">
            <w:r>
              <w:rPr>
                <w:rStyle w:val="10"/>
                <w:rFonts w:hint="eastAsia"/>
              </w:rPr>
              <w:t>使用技术要求:</w:t>
            </w:r>
            <w:r>
              <w:rPr>
                <w:rFonts w:hint="eastAsia"/>
              </w:rPr>
              <w:br w:type="textWrapping"/>
            </w:r>
            <w:r>
              <w:rPr>
                <w:rStyle w:val="11"/>
                <w:rFonts w:hint="eastAsia"/>
              </w:rPr>
              <w:t>1. 于甘蓝软腐病发病前或发病初期施药，注意喷雾要均匀，视病害发生情况，每7-10天左右施药一次，可连续用药2-3次。 2. 大风天或预计1小时内降雨，请勿施药。</w:t>
            </w:r>
          </w:p>
        </w:tc>
      </w:tr>
      <w:tr w14:paraId="6EC65635">
        <w:tblPrEx>
          <w:tblCellMar>
            <w:top w:w="0" w:type="dxa"/>
            <w:left w:w="0" w:type="dxa"/>
            <w:bottom w:w="0" w:type="dxa"/>
            <w:right w:w="0" w:type="dxa"/>
          </w:tblCellMar>
        </w:tblPrEx>
        <w:trPr>
          <w:wBefore w:w="0" w:type="auto"/>
          <w:tblCellSpacing w:w="0" w:type="dxa"/>
        </w:trPr>
        <w:tc>
          <w:tcPr>
            <w:tcW w:w="0" w:type="auto"/>
            <w:noWrap w:val="0"/>
            <w:vAlign w:val="center"/>
          </w:tcPr>
          <w:p w14:paraId="708CAF1D">
            <w:r>
              <w:rPr>
                <w:rStyle w:val="10"/>
                <w:rFonts w:hint="eastAsia"/>
              </w:rPr>
              <w:t>产品性能:</w:t>
            </w:r>
            <w:r>
              <w:rPr>
                <w:rFonts w:hint="eastAsia"/>
              </w:rPr>
              <w:br w:type="textWrapping"/>
            </w:r>
            <w:r>
              <w:rPr>
                <w:rStyle w:val="11"/>
                <w:rFonts w:hint="eastAsia"/>
              </w:rPr>
              <w:t>本品为植物源杀菌剂，兼具杀菌和抑菌功能。能对含巯基的化合物发生竞争性抑制，能通过对细菌生长繁殖所必需的半胱氨酸分子中巯基的氧化使蛋白质失活，从而抑制病菌的生长和繁殖。本品可用于防治甘蓝软腐病。</w:t>
            </w:r>
          </w:p>
        </w:tc>
      </w:tr>
      <w:tr w14:paraId="08279FBC">
        <w:tblPrEx>
          <w:tblCellMar>
            <w:top w:w="0" w:type="dxa"/>
            <w:left w:w="0" w:type="dxa"/>
            <w:bottom w:w="0" w:type="dxa"/>
            <w:right w:w="0" w:type="dxa"/>
          </w:tblCellMar>
        </w:tblPrEx>
        <w:trPr>
          <w:wBefore w:w="0" w:type="auto"/>
          <w:tblCellSpacing w:w="0" w:type="dxa"/>
        </w:trPr>
        <w:tc>
          <w:tcPr>
            <w:tcW w:w="0" w:type="auto"/>
            <w:noWrap w:val="0"/>
            <w:vAlign w:val="center"/>
          </w:tcPr>
          <w:p w14:paraId="1CC4C7D3">
            <w:r>
              <w:rPr>
                <w:rStyle w:val="10"/>
                <w:rFonts w:hint="eastAsia"/>
              </w:rPr>
              <w:t>注意事项：</w:t>
            </w:r>
            <w:r>
              <w:rPr>
                <w:rFonts w:hint="eastAsia"/>
              </w:rPr>
              <w:br w:type="textWrapping"/>
            </w:r>
            <w:r>
              <w:rPr>
                <w:rStyle w:val="11"/>
                <w:rFonts w:hint="eastAsia"/>
              </w:rPr>
              <w:t>1. 建议与其他作用机制不同的杀菌剂轮换使用，以延缓抗性产生。2. 本品对鸟类、蜜蜂、鱼类等水生生物有毒，施药期间应避免对周围蜂群的影响，开花作物花期、鸟类保护区附近禁用。远离水产养殖区施药，禁止在河塘等水体中清洗施药器具。清洗施药器具的水也不能排入河塘等水体。 3. 本品对眼睛有刺激性，使用时避免接触眼睛，穿戴长衣、长裤、帽子、口罩、手套等防护措施。避免皮肤接触及口鼻吸入。使用中不可吸烟、饮水及吃东西，使用后及时清洗手、脸等暴露部位皮肤并更换衣物。 4. 用过的容器应妥善处理，不可做他用，也不可随意丢弃。药液及其废液不得污染各类水域。 5. 禁止儿童、孕妇及哺乳期妇女接触。过敏者禁用，使用中有任何不良反应请及时就医。</w:t>
            </w:r>
          </w:p>
        </w:tc>
      </w:tr>
      <w:tr w14:paraId="7DD953DF">
        <w:tblPrEx>
          <w:tblCellMar>
            <w:top w:w="0" w:type="dxa"/>
            <w:left w:w="0" w:type="dxa"/>
            <w:bottom w:w="0" w:type="dxa"/>
            <w:right w:w="0" w:type="dxa"/>
          </w:tblCellMar>
        </w:tblPrEx>
        <w:trPr>
          <w:wBefore w:w="0" w:type="auto"/>
          <w:tblCellSpacing w:w="0" w:type="dxa"/>
        </w:trPr>
        <w:tc>
          <w:tcPr>
            <w:tcW w:w="0" w:type="auto"/>
            <w:noWrap w:val="0"/>
            <w:vAlign w:val="center"/>
          </w:tcPr>
          <w:p w14:paraId="7BA8D428">
            <w:r>
              <w:rPr>
                <w:rStyle w:val="10"/>
                <w:rFonts w:hint="eastAsia"/>
              </w:rPr>
              <w:t>中毒急救措施：</w:t>
            </w:r>
            <w:r>
              <w:rPr>
                <w:rFonts w:hint="eastAsia"/>
              </w:rPr>
              <w:br w:type="textWrapping"/>
            </w:r>
            <w:r>
              <w:rPr>
                <w:rStyle w:val="11"/>
                <w:rFonts w:hint="eastAsia"/>
              </w:rPr>
              <w:t>本品为低毒，不慎吸入，应将病人移至空气流通处。不慎接触皮肤或溅入眼睛，用大量清水冲洗至少15分钟。如有误服，立即引吐，并迅速携本标签就医，医务人员可给患者洗胃，但要防止胃存物进入呼吸道。</w:t>
            </w:r>
          </w:p>
        </w:tc>
      </w:tr>
      <w:tr w14:paraId="27A9F90C">
        <w:tblPrEx>
          <w:tblCellMar>
            <w:top w:w="0" w:type="dxa"/>
            <w:left w:w="0" w:type="dxa"/>
            <w:bottom w:w="0" w:type="dxa"/>
            <w:right w:w="0" w:type="dxa"/>
          </w:tblCellMar>
        </w:tblPrEx>
        <w:trPr>
          <w:wBefore w:w="0" w:type="auto"/>
          <w:tblCellSpacing w:w="0" w:type="dxa"/>
        </w:trPr>
        <w:tc>
          <w:tcPr>
            <w:tcW w:w="0" w:type="auto"/>
            <w:noWrap w:val="0"/>
            <w:vAlign w:val="center"/>
          </w:tcPr>
          <w:p w14:paraId="6A30F2A2">
            <w:r>
              <w:rPr>
                <w:rStyle w:val="10"/>
                <w:rFonts w:hint="eastAsia"/>
              </w:rPr>
              <w:t>储存和运输方法：</w:t>
            </w:r>
            <w:r>
              <w:rPr>
                <w:rFonts w:hint="eastAsia"/>
              </w:rPr>
              <w:br w:type="textWrapping"/>
            </w:r>
            <w:r>
              <w:rPr>
                <w:rStyle w:val="11"/>
                <w:rFonts w:hint="eastAsia"/>
              </w:rPr>
              <w:t>本品属易燃液体，应贮存在干燥、阴凉、通风、防雨处，远离火源或热源。置于儿童、无关人员触及不到之处，并加锁。勿与食品、饮料、饲料等其他商品同贮同运。严禁倒置。</w:t>
            </w:r>
          </w:p>
        </w:tc>
      </w:tr>
      <w:tr w14:paraId="0E37497E">
        <w:tblPrEx>
          <w:tblCellMar>
            <w:top w:w="0" w:type="dxa"/>
            <w:left w:w="0" w:type="dxa"/>
            <w:bottom w:w="0" w:type="dxa"/>
            <w:right w:w="0" w:type="dxa"/>
          </w:tblCellMar>
        </w:tblPrEx>
        <w:trPr>
          <w:wBefore w:w="0" w:type="auto"/>
          <w:tblCellSpacing w:w="0" w:type="dxa"/>
        </w:trPr>
        <w:tc>
          <w:tcPr>
            <w:tcW w:w="0" w:type="auto"/>
            <w:noWrap w:val="0"/>
            <w:vAlign w:val="center"/>
          </w:tcPr>
          <w:p w14:paraId="56B3657A">
            <w:r>
              <w:rPr>
                <w:rStyle w:val="10"/>
                <w:rFonts w:hint="eastAsia"/>
              </w:rPr>
              <w:t>质量保证期：</w:t>
            </w:r>
            <w:r>
              <w:rPr>
                <w:rStyle w:val="11"/>
                <w:rFonts w:hint="eastAsia"/>
              </w:rPr>
              <w:t>2年</w:t>
            </w:r>
          </w:p>
        </w:tc>
      </w:tr>
      <w:tr w14:paraId="73FE8950">
        <w:tblPrEx>
          <w:tblCellMar>
            <w:top w:w="0" w:type="dxa"/>
            <w:left w:w="0" w:type="dxa"/>
            <w:bottom w:w="0" w:type="dxa"/>
            <w:right w:w="0" w:type="dxa"/>
          </w:tblCellMar>
        </w:tblPrEx>
        <w:trPr>
          <w:wBefore w:w="0" w:type="auto"/>
          <w:tblCellSpacing w:w="0" w:type="dxa"/>
        </w:trPr>
        <w:tc>
          <w:tcPr>
            <w:tcW w:w="0" w:type="auto"/>
            <w:noWrap w:val="0"/>
            <w:vAlign w:val="center"/>
          </w:tcPr>
          <w:p w14:paraId="1765244D">
            <w:r>
              <w:rPr>
                <w:rStyle w:val="10"/>
                <w:rFonts w:hint="eastAsia"/>
              </w:rPr>
              <w:t>备注：</w:t>
            </w:r>
          </w:p>
        </w:tc>
      </w:tr>
    </w:tbl>
    <w:p w14:paraId="4817343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B80B50">
        <w:tblPrEx>
          <w:tblCellMar>
            <w:top w:w="0" w:type="dxa"/>
            <w:left w:w="0" w:type="dxa"/>
            <w:bottom w:w="0" w:type="dxa"/>
            <w:right w:w="0" w:type="dxa"/>
          </w:tblCellMar>
        </w:tblPrEx>
        <w:trPr>
          <w:wBefore w:w="0" w:type="auto"/>
          <w:tblCellSpacing w:w="0" w:type="dxa"/>
        </w:trPr>
        <w:tc>
          <w:tcPr>
            <w:tcW w:w="0" w:type="auto"/>
            <w:noWrap w:val="0"/>
            <w:vAlign w:val="center"/>
          </w:tcPr>
          <w:p w14:paraId="545D356D">
            <w:r>
              <w:rPr>
                <w:rStyle w:val="10"/>
                <w:rFonts w:hint="eastAsia"/>
              </w:rPr>
              <w:t>登记证号：</w:t>
            </w:r>
            <w:r>
              <w:rPr>
                <w:rFonts w:hint="eastAsia"/>
              </w:rPr>
              <w:t>PD20211857</w:t>
            </w:r>
          </w:p>
        </w:tc>
      </w:tr>
      <w:tr w14:paraId="79E278BF">
        <w:tblPrEx>
          <w:tblCellMar>
            <w:top w:w="0" w:type="dxa"/>
            <w:left w:w="0" w:type="dxa"/>
            <w:bottom w:w="0" w:type="dxa"/>
            <w:right w:w="0" w:type="dxa"/>
          </w:tblCellMar>
        </w:tblPrEx>
        <w:trPr>
          <w:wBefore w:w="0" w:type="auto"/>
          <w:tblCellSpacing w:w="0" w:type="dxa"/>
        </w:trPr>
        <w:tc>
          <w:tcPr>
            <w:tcW w:w="0" w:type="auto"/>
            <w:noWrap w:val="0"/>
            <w:vAlign w:val="center"/>
          </w:tcPr>
          <w:p w14:paraId="32730FB7">
            <w:r>
              <w:rPr>
                <w:rStyle w:val="10"/>
                <w:rFonts w:hint="eastAsia"/>
              </w:rPr>
              <w:t>登记证持有人：</w:t>
            </w:r>
            <w:r>
              <w:rPr>
                <w:rFonts w:hint="eastAsia"/>
              </w:rPr>
              <w:t>开封一田生物科技有限公司</w:t>
            </w:r>
          </w:p>
        </w:tc>
      </w:tr>
      <w:tr w14:paraId="6F4B8E5C">
        <w:tblPrEx>
          <w:tblCellMar>
            <w:top w:w="0" w:type="dxa"/>
            <w:left w:w="0" w:type="dxa"/>
            <w:bottom w:w="0" w:type="dxa"/>
            <w:right w:w="0" w:type="dxa"/>
          </w:tblCellMar>
        </w:tblPrEx>
        <w:trPr>
          <w:wBefore w:w="0" w:type="auto"/>
          <w:tblCellSpacing w:w="0" w:type="dxa"/>
        </w:trPr>
        <w:tc>
          <w:tcPr>
            <w:tcW w:w="0" w:type="auto"/>
            <w:noWrap w:val="0"/>
            <w:vAlign w:val="center"/>
          </w:tcPr>
          <w:p w14:paraId="55DD67B6">
            <w:r>
              <w:rPr>
                <w:rStyle w:val="10"/>
                <w:rFonts w:hint="eastAsia"/>
              </w:rPr>
              <w:t>农药名称：</w:t>
            </w:r>
            <w:r>
              <w:rPr>
                <w:rFonts w:hint="eastAsia"/>
              </w:rPr>
              <w:t>虱螨脲</w:t>
            </w:r>
          </w:p>
        </w:tc>
      </w:tr>
      <w:tr w14:paraId="55ABC5B5">
        <w:tblPrEx>
          <w:tblCellMar>
            <w:top w:w="0" w:type="dxa"/>
            <w:left w:w="0" w:type="dxa"/>
            <w:bottom w:w="0" w:type="dxa"/>
            <w:right w:w="0" w:type="dxa"/>
          </w:tblCellMar>
        </w:tblPrEx>
        <w:trPr>
          <w:wBefore w:w="0" w:type="auto"/>
          <w:tblCellSpacing w:w="0" w:type="dxa"/>
        </w:trPr>
        <w:tc>
          <w:tcPr>
            <w:tcW w:w="0" w:type="auto"/>
            <w:noWrap w:val="0"/>
            <w:vAlign w:val="center"/>
          </w:tcPr>
          <w:p w14:paraId="2337B64F">
            <w:r>
              <w:rPr>
                <w:rStyle w:val="10"/>
                <w:rFonts w:hint="eastAsia"/>
              </w:rPr>
              <w:t>剂型：</w:t>
            </w:r>
            <w:r>
              <w:rPr>
                <w:rFonts w:hint="eastAsia"/>
              </w:rPr>
              <w:t>悬浮剂</w:t>
            </w:r>
          </w:p>
        </w:tc>
      </w:tr>
      <w:tr w14:paraId="6467A2B8">
        <w:tblPrEx>
          <w:tblCellMar>
            <w:top w:w="0" w:type="dxa"/>
            <w:left w:w="0" w:type="dxa"/>
            <w:bottom w:w="0" w:type="dxa"/>
            <w:right w:w="0" w:type="dxa"/>
          </w:tblCellMar>
        </w:tblPrEx>
        <w:trPr>
          <w:wBefore w:w="0" w:type="auto"/>
          <w:tblCellSpacing w:w="0" w:type="dxa"/>
        </w:trPr>
        <w:tc>
          <w:tcPr>
            <w:tcW w:w="0" w:type="auto"/>
            <w:noWrap w:val="0"/>
            <w:vAlign w:val="center"/>
          </w:tcPr>
          <w:p w14:paraId="6F9116A9">
            <w:r>
              <w:rPr>
                <w:rStyle w:val="10"/>
                <w:rFonts w:hint="eastAsia"/>
              </w:rPr>
              <w:t>毒性及其标识：</w:t>
            </w:r>
            <w:r>
              <w:rPr>
                <w:rFonts w:hint="eastAsia"/>
              </w:rPr>
              <w:t xml:space="preserve"> </w:t>
            </w:r>
            <w:r>
              <w:rPr>
                <w:lang/>
              </w:rPr>
              <w:drawing>
                <wp:inline distT="0" distB="0" distL="114300" distR="114300">
                  <wp:extent cx="476250" cy="323850"/>
                  <wp:effectExtent l="0" t="0" r="0" b="0"/>
                  <wp:docPr id="567" name="图片 56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3BE2294">
        <w:tblPrEx>
          <w:tblCellMar>
            <w:top w:w="0" w:type="dxa"/>
            <w:left w:w="0" w:type="dxa"/>
            <w:bottom w:w="0" w:type="dxa"/>
            <w:right w:w="0" w:type="dxa"/>
          </w:tblCellMar>
        </w:tblPrEx>
        <w:trPr>
          <w:wBefore w:w="0" w:type="auto"/>
          <w:tblCellSpacing w:w="0" w:type="dxa"/>
        </w:trPr>
        <w:tc>
          <w:tcPr>
            <w:tcW w:w="0" w:type="auto"/>
            <w:noWrap w:val="0"/>
            <w:vAlign w:val="center"/>
          </w:tcPr>
          <w:p w14:paraId="5608D4FC">
            <w:r>
              <w:rPr>
                <w:rStyle w:val="10"/>
                <w:rFonts w:hint="eastAsia"/>
              </w:rPr>
              <w:t>总有效成分含量：</w:t>
            </w:r>
            <w:r>
              <w:rPr>
                <w:rFonts w:hint="eastAsia"/>
              </w:rPr>
              <w:t>10%</w:t>
            </w:r>
          </w:p>
        </w:tc>
      </w:tr>
      <w:tr w14:paraId="360874EC">
        <w:tblPrEx>
          <w:tblCellMar>
            <w:top w:w="0" w:type="dxa"/>
            <w:left w:w="0" w:type="dxa"/>
            <w:bottom w:w="0" w:type="dxa"/>
            <w:right w:w="0" w:type="dxa"/>
          </w:tblCellMar>
        </w:tblPrEx>
        <w:trPr>
          <w:wBefore w:w="0" w:type="auto"/>
          <w:tblCellSpacing w:w="0" w:type="dxa"/>
        </w:trPr>
        <w:tc>
          <w:tcPr>
            <w:tcW w:w="0" w:type="auto"/>
            <w:noWrap w:val="0"/>
            <w:vAlign w:val="center"/>
          </w:tcPr>
          <w:p w14:paraId="3A9DFEFA">
            <w:r>
              <w:rPr>
                <w:rFonts w:hint="eastAsia"/>
              </w:rPr>
              <w:t xml:space="preserve">有效成分及其含量： </w:t>
            </w:r>
          </w:p>
          <w:p w14:paraId="040340BA">
            <w:r>
              <w:rPr>
                <w:rFonts w:hint="eastAsia"/>
              </w:rPr>
              <w:t xml:space="preserve">    虱螨脲10%    </w:t>
            </w:r>
          </w:p>
        </w:tc>
      </w:tr>
      <w:tr w14:paraId="108DCEA7">
        <w:tblPrEx>
          <w:tblCellMar>
            <w:top w:w="0" w:type="dxa"/>
            <w:left w:w="0" w:type="dxa"/>
            <w:bottom w:w="0" w:type="dxa"/>
            <w:right w:w="0" w:type="dxa"/>
          </w:tblCellMar>
        </w:tblPrEx>
        <w:trPr>
          <w:wBefore w:w="0" w:type="auto"/>
          <w:tblCellSpacing w:w="0" w:type="dxa"/>
        </w:trPr>
        <w:tc>
          <w:tcPr>
            <w:tcW w:w="0" w:type="auto"/>
            <w:noWrap w:val="0"/>
            <w:vAlign w:val="center"/>
          </w:tcPr>
          <w:p w14:paraId="652BD82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210D5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2C6B4D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716BB2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B0592C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F8AE7F7">
                  <w:r>
                    <w:rPr>
                      <w:rStyle w:val="11"/>
                      <w:rFonts w:hint="eastAsia"/>
                    </w:rPr>
                    <w:t>施用方式</w:t>
                  </w:r>
                </w:p>
              </w:tc>
            </w:tr>
            <w:tr w14:paraId="3C15CA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7F9CBA2">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FDE7EED">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EB94D8">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200045">
                  <w:r>
                    <w:rPr>
                      <w:rStyle w:val="11"/>
                      <w:rFonts w:hint="eastAsia"/>
                    </w:rPr>
                    <w:t>喷雾</w:t>
                  </w:r>
                </w:p>
              </w:tc>
            </w:tr>
          </w:tbl>
          <w:p w14:paraId="69518C1A">
            <w:pPr>
              <w:rPr>
                <w:rFonts w:ascii="Times New Roman" w:hAnsi="Times New Roman" w:cs="Times New Roman"/>
                <w:sz w:val="20"/>
                <w:szCs w:val="20"/>
              </w:rPr>
            </w:pPr>
          </w:p>
        </w:tc>
      </w:tr>
      <w:tr w14:paraId="00A88E4E">
        <w:tblPrEx>
          <w:tblCellMar>
            <w:top w:w="0" w:type="dxa"/>
            <w:left w:w="0" w:type="dxa"/>
            <w:bottom w:w="0" w:type="dxa"/>
            <w:right w:w="0" w:type="dxa"/>
          </w:tblCellMar>
        </w:tblPrEx>
        <w:trPr>
          <w:wBefore w:w="0" w:type="auto"/>
          <w:tblCellSpacing w:w="0" w:type="dxa"/>
        </w:trPr>
        <w:tc>
          <w:tcPr>
            <w:tcW w:w="0" w:type="auto"/>
            <w:noWrap w:val="0"/>
            <w:vAlign w:val="center"/>
          </w:tcPr>
          <w:p w14:paraId="1930171F">
            <w:r>
              <w:rPr>
                <w:rStyle w:val="10"/>
                <w:rFonts w:hint="eastAsia"/>
              </w:rPr>
              <w:t>使用技术要求:</w:t>
            </w:r>
            <w:r>
              <w:rPr>
                <w:rFonts w:hint="eastAsia"/>
              </w:rPr>
              <w:br w:type="textWrapping"/>
            </w:r>
            <w:r>
              <w:rPr>
                <w:rStyle w:val="11"/>
                <w:rFonts w:hint="eastAsia"/>
              </w:rPr>
              <w:t>1、于甘蓝甜菜夜蛾产卵初期至3龄幼虫前开始施药，施药时雾滴要细，喷雾要均匀。 2、本品在甘蓝上使用的安全间隔期为7天，每季作物使用1次。3、大风天或预计1小时内有降雨，请勿施药。</w:t>
            </w:r>
          </w:p>
        </w:tc>
      </w:tr>
      <w:tr w14:paraId="60811C4F">
        <w:tblPrEx>
          <w:tblCellMar>
            <w:top w:w="0" w:type="dxa"/>
            <w:left w:w="0" w:type="dxa"/>
            <w:bottom w:w="0" w:type="dxa"/>
            <w:right w:w="0" w:type="dxa"/>
          </w:tblCellMar>
        </w:tblPrEx>
        <w:trPr>
          <w:wBefore w:w="0" w:type="auto"/>
          <w:tblCellSpacing w:w="0" w:type="dxa"/>
        </w:trPr>
        <w:tc>
          <w:tcPr>
            <w:tcW w:w="0" w:type="auto"/>
            <w:noWrap w:val="0"/>
            <w:vAlign w:val="center"/>
          </w:tcPr>
          <w:p w14:paraId="18F6CCFC">
            <w:r>
              <w:rPr>
                <w:rStyle w:val="10"/>
                <w:rFonts w:hint="eastAsia"/>
              </w:rPr>
              <w:t>产品性能:</w:t>
            </w:r>
            <w:r>
              <w:rPr>
                <w:rFonts w:hint="eastAsia"/>
              </w:rPr>
              <w:br w:type="textWrapping"/>
            </w:r>
            <w:r>
              <w:rPr>
                <w:rStyle w:val="11"/>
                <w:rFonts w:hint="eastAsia"/>
              </w:rPr>
              <w:t xml:space="preserve">本品为取代脲类杀虫剂，主要通过抑制几丁质生物合成，阻止幼虫脱皮从而杀死害虫，兼具胃毒和触杀作用。对已产生抗性的害虫有较好的防治效果，同时也具有杀卵效果。 </w:t>
            </w:r>
          </w:p>
        </w:tc>
      </w:tr>
      <w:tr w14:paraId="6D658133">
        <w:tblPrEx>
          <w:tblCellMar>
            <w:top w:w="0" w:type="dxa"/>
            <w:left w:w="0" w:type="dxa"/>
            <w:bottom w:w="0" w:type="dxa"/>
            <w:right w:w="0" w:type="dxa"/>
          </w:tblCellMar>
        </w:tblPrEx>
        <w:trPr>
          <w:wBefore w:w="0" w:type="auto"/>
          <w:tblCellSpacing w:w="0" w:type="dxa"/>
        </w:trPr>
        <w:tc>
          <w:tcPr>
            <w:tcW w:w="0" w:type="auto"/>
            <w:noWrap w:val="0"/>
            <w:vAlign w:val="center"/>
          </w:tcPr>
          <w:p w14:paraId="351EEB42">
            <w:r>
              <w:rPr>
                <w:rStyle w:val="10"/>
                <w:rFonts w:hint="eastAsia"/>
              </w:rPr>
              <w:t>注意事项：</w:t>
            </w:r>
            <w:r>
              <w:rPr>
                <w:rFonts w:hint="eastAsia"/>
              </w:rPr>
              <w:br w:type="textWrapping"/>
            </w:r>
            <w:r>
              <w:rPr>
                <w:rStyle w:val="11"/>
                <w:rFonts w:hint="eastAsia"/>
              </w:rPr>
              <w:t>1、本品不可与呈碱性的农药等物质混合使用。 2、建议与其他作用机制不同的杀虫剂轮换使用，以延缓抗性产生。3、水产养殖区、河塘等水体附近禁用，禁止在河塘等水体中清洗施药器具。4、本品对蜜蜂、鱼类等水生生物、家蚕有毒，施药期间应避免对周围蜂群的影响，蜜源作物花期、蚕室和桑园附近禁用。5、本品对眼睛有刺激性，使用时避免接触眼睛。施药时应穿（戴）长衣、长裤、帽子、口罩和手套等安全防护措施，避免吸入药液。施药时不可饮水、进食和吸烟。施药后应及时洗手和洗脸等暴露皮肤。6、孕妇及哺乳期妇女禁止接触。7、用过的容器应妥善处理，不可做他用，也不可随意丢弃。8、避免与具有氧化性物质接触或混合。</w:t>
            </w:r>
          </w:p>
        </w:tc>
      </w:tr>
      <w:tr w14:paraId="7BF31BA1">
        <w:tblPrEx>
          <w:tblCellMar>
            <w:top w:w="0" w:type="dxa"/>
            <w:left w:w="0" w:type="dxa"/>
            <w:bottom w:w="0" w:type="dxa"/>
            <w:right w:w="0" w:type="dxa"/>
          </w:tblCellMar>
        </w:tblPrEx>
        <w:trPr>
          <w:wBefore w:w="0" w:type="auto"/>
          <w:tblCellSpacing w:w="0" w:type="dxa"/>
        </w:trPr>
        <w:tc>
          <w:tcPr>
            <w:tcW w:w="0" w:type="auto"/>
            <w:noWrap w:val="0"/>
            <w:vAlign w:val="center"/>
          </w:tcPr>
          <w:p w14:paraId="23CA1B30">
            <w:r>
              <w:rPr>
                <w:rStyle w:val="10"/>
                <w:rFonts w:hint="eastAsia"/>
              </w:rPr>
              <w:t>中毒急救措施：</w:t>
            </w:r>
            <w:r>
              <w:rPr>
                <w:rFonts w:hint="eastAsia"/>
              </w:rPr>
              <w:br w:type="textWrapping"/>
            </w:r>
            <w:r>
              <w:rPr>
                <w:rStyle w:val="11"/>
                <w:rFonts w:hint="eastAsia"/>
              </w:rPr>
              <w:t>中毒症状：无典型中毒症状。 急救措施：不慎接触皮肤或溅入眼睛，应用大量清水冲洗至少15分钟。若不慎吸入，应将病人移至空气流通处。如误服中毒，迅速携带本标签送往医院对症治疗。紧急医疗措施：使用医用活性炭洗胃，洗胃时应防止胃容物进入呼吸道。注意：对昏迷病人，切勿经口喂入任何东西或引吐。解毒剂：无专用解毒剂，对症治疗。</w:t>
            </w:r>
          </w:p>
        </w:tc>
      </w:tr>
      <w:tr w14:paraId="6306391C">
        <w:tblPrEx>
          <w:tblCellMar>
            <w:top w:w="0" w:type="dxa"/>
            <w:left w:w="0" w:type="dxa"/>
            <w:bottom w:w="0" w:type="dxa"/>
            <w:right w:w="0" w:type="dxa"/>
          </w:tblCellMar>
        </w:tblPrEx>
        <w:trPr>
          <w:wBefore w:w="0" w:type="auto"/>
          <w:tblCellSpacing w:w="0" w:type="dxa"/>
        </w:trPr>
        <w:tc>
          <w:tcPr>
            <w:tcW w:w="0" w:type="auto"/>
            <w:noWrap w:val="0"/>
            <w:vAlign w:val="center"/>
          </w:tcPr>
          <w:p w14:paraId="0D06162B">
            <w:r>
              <w:rPr>
                <w:rStyle w:val="10"/>
                <w:rFonts w:hint="eastAsia"/>
              </w:rPr>
              <w:t>储存和运输方法：</w:t>
            </w:r>
            <w:r>
              <w:rPr>
                <w:rFonts w:hint="eastAsia"/>
              </w:rPr>
              <w:br w:type="textWrapping"/>
            </w:r>
            <w:r>
              <w:rPr>
                <w:rStyle w:val="11"/>
                <w:rFonts w:hint="eastAsia"/>
              </w:rPr>
              <w:t xml:space="preserve">包装件应贮存在通风、干燥的库房中。贮运时，严防潮湿和日晒，不得与食物、种子、饲料混放，避免与皮肤、眼睛接触，防止由口鼻吸入。置于儿童不宜触及之处，并加锁。 </w:t>
            </w:r>
          </w:p>
        </w:tc>
      </w:tr>
      <w:tr w14:paraId="10CB7078">
        <w:tblPrEx>
          <w:tblCellMar>
            <w:top w:w="0" w:type="dxa"/>
            <w:left w:w="0" w:type="dxa"/>
            <w:bottom w:w="0" w:type="dxa"/>
            <w:right w:w="0" w:type="dxa"/>
          </w:tblCellMar>
        </w:tblPrEx>
        <w:trPr>
          <w:wBefore w:w="0" w:type="auto"/>
          <w:tblCellSpacing w:w="0" w:type="dxa"/>
        </w:trPr>
        <w:tc>
          <w:tcPr>
            <w:tcW w:w="0" w:type="auto"/>
            <w:noWrap w:val="0"/>
            <w:vAlign w:val="center"/>
          </w:tcPr>
          <w:p w14:paraId="3A2D12E7">
            <w:r>
              <w:rPr>
                <w:rStyle w:val="10"/>
                <w:rFonts w:hint="eastAsia"/>
              </w:rPr>
              <w:t>质量保证期：</w:t>
            </w:r>
            <w:r>
              <w:rPr>
                <w:rStyle w:val="11"/>
                <w:rFonts w:hint="eastAsia"/>
              </w:rPr>
              <w:t>2年</w:t>
            </w:r>
          </w:p>
        </w:tc>
      </w:tr>
      <w:tr w14:paraId="5C220523">
        <w:tblPrEx>
          <w:tblCellMar>
            <w:top w:w="0" w:type="dxa"/>
            <w:left w:w="0" w:type="dxa"/>
            <w:bottom w:w="0" w:type="dxa"/>
            <w:right w:w="0" w:type="dxa"/>
          </w:tblCellMar>
        </w:tblPrEx>
        <w:trPr>
          <w:wBefore w:w="0" w:type="auto"/>
          <w:tblCellSpacing w:w="0" w:type="dxa"/>
        </w:trPr>
        <w:tc>
          <w:tcPr>
            <w:tcW w:w="0" w:type="auto"/>
            <w:noWrap w:val="0"/>
            <w:vAlign w:val="center"/>
          </w:tcPr>
          <w:p w14:paraId="531DC4C7">
            <w:r>
              <w:rPr>
                <w:rStyle w:val="10"/>
                <w:rFonts w:hint="eastAsia"/>
              </w:rPr>
              <w:t>备注：</w:t>
            </w:r>
          </w:p>
        </w:tc>
      </w:tr>
    </w:tbl>
    <w:p w14:paraId="2BFE293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375B68E">
        <w:tblPrEx>
          <w:tblCellMar>
            <w:top w:w="0" w:type="dxa"/>
            <w:left w:w="0" w:type="dxa"/>
            <w:bottom w:w="0" w:type="dxa"/>
            <w:right w:w="0" w:type="dxa"/>
          </w:tblCellMar>
        </w:tblPrEx>
        <w:trPr>
          <w:wBefore w:w="0" w:type="auto"/>
          <w:tblCellSpacing w:w="0" w:type="dxa"/>
        </w:trPr>
        <w:tc>
          <w:tcPr>
            <w:tcW w:w="0" w:type="auto"/>
            <w:noWrap w:val="0"/>
            <w:vAlign w:val="center"/>
          </w:tcPr>
          <w:p w14:paraId="52E6E5D0">
            <w:r>
              <w:rPr>
                <w:rStyle w:val="10"/>
                <w:rFonts w:hint="eastAsia"/>
              </w:rPr>
              <w:t>登记证号：</w:t>
            </w:r>
            <w:r>
              <w:rPr>
                <w:rFonts w:hint="eastAsia"/>
              </w:rPr>
              <w:t>PD20212296</w:t>
            </w:r>
          </w:p>
        </w:tc>
      </w:tr>
      <w:tr w14:paraId="0430583A">
        <w:tblPrEx>
          <w:tblCellMar>
            <w:top w:w="0" w:type="dxa"/>
            <w:left w:w="0" w:type="dxa"/>
            <w:bottom w:w="0" w:type="dxa"/>
            <w:right w:w="0" w:type="dxa"/>
          </w:tblCellMar>
        </w:tblPrEx>
        <w:trPr>
          <w:wBefore w:w="0" w:type="auto"/>
          <w:tblCellSpacing w:w="0" w:type="dxa"/>
        </w:trPr>
        <w:tc>
          <w:tcPr>
            <w:tcW w:w="0" w:type="auto"/>
            <w:noWrap w:val="0"/>
            <w:vAlign w:val="center"/>
          </w:tcPr>
          <w:p w14:paraId="7349553E">
            <w:r>
              <w:rPr>
                <w:rStyle w:val="10"/>
                <w:rFonts w:hint="eastAsia"/>
              </w:rPr>
              <w:t>登记证持有人：</w:t>
            </w:r>
            <w:r>
              <w:rPr>
                <w:rFonts w:hint="eastAsia"/>
              </w:rPr>
              <w:t>黑龙江绿丰源生物科技有限公司</w:t>
            </w:r>
          </w:p>
        </w:tc>
      </w:tr>
      <w:tr w14:paraId="2388E237">
        <w:tblPrEx>
          <w:tblCellMar>
            <w:top w:w="0" w:type="dxa"/>
            <w:left w:w="0" w:type="dxa"/>
            <w:bottom w:w="0" w:type="dxa"/>
            <w:right w:w="0" w:type="dxa"/>
          </w:tblCellMar>
        </w:tblPrEx>
        <w:trPr>
          <w:wBefore w:w="0" w:type="auto"/>
          <w:tblCellSpacing w:w="0" w:type="dxa"/>
        </w:trPr>
        <w:tc>
          <w:tcPr>
            <w:tcW w:w="0" w:type="auto"/>
            <w:noWrap w:val="0"/>
            <w:vAlign w:val="center"/>
          </w:tcPr>
          <w:p w14:paraId="2BC9D984">
            <w:r>
              <w:rPr>
                <w:rStyle w:val="10"/>
                <w:rFonts w:hint="eastAsia"/>
              </w:rPr>
              <w:t>农药名称：</w:t>
            </w:r>
            <w:r>
              <w:rPr>
                <w:rFonts w:hint="eastAsia"/>
              </w:rPr>
              <w:t>异噁草松</w:t>
            </w:r>
          </w:p>
        </w:tc>
      </w:tr>
      <w:tr w14:paraId="6F997BD8">
        <w:tblPrEx>
          <w:tblCellMar>
            <w:top w:w="0" w:type="dxa"/>
            <w:left w:w="0" w:type="dxa"/>
            <w:bottom w:w="0" w:type="dxa"/>
            <w:right w:w="0" w:type="dxa"/>
          </w:tblCellMar>
        </w:tblPrEx>
        <w:trPr>
          <w:wBefore w:w="0" w:type="auto"/>
          <w:tblCellSpacing w:w="0" w:type="dxa"/>
        </w:trPr>
        <w:tc>
          <w:tcPr>
            <w:tcW w:w="0" w:type="auto"/>
            <w:noWrap w:val="0"/>
            <w:vAlign w:val="center"/>
          </w:tcPr>
          <w:p w14:paraId="6D4A1390">
            <w:r>
              <w:rPr>
                <w:rStyle w:val="10"/>
                <w:rFonts w:hint="eastAsia"/>
              </w:rPr>
              <w:t>剂型：</w:t>
            </w:r>
            <w:r>
              <w:rPr>
                <w:rFonts w:hint="eastAsia"/>
              </w:rPr>
              <w:t>乳油</w:t>
            </w:r>
          </w:p>
        </w:tc>
      </w:tr>
      <w:tr w14:paraId="18DD5F5E">
        <w:tblPrEx>
          <w:tblCellMar>
            <w:top w:w="0" w:type="dxa"/>
            <w:left w:w="0" w:type="dxa"/>
            <w:bottom w:w="0" w:type="dxa"/>
            <w:right w:w="0" w:type="dxa"/>
          </w:tblCellMar>
        </w:tblPrEx>
        <w:trPr>
          <w:wBefore w:w="0" w:type="auto"/>
          <w:tblCellSpacing w:w="0" w:type="dxa"/>
        </w:trPr>
        <w:tc>
          <w:tcPr>
            <w:tcW w:w="0" w:type="auto"/>
            <w:noWrap w:val="0"/>
            <w:vAlign w:val="center"/>
          </w:tcPr>
          <w:p w14:paraId="26603E8D">
            <w:r>
              <w:rPr>
                <w:rStyle w:val="10"/>
                <w:rFonts w:hint="eastAsia"/>
              </w:rPr>
              <w:t>毒性及其标识：</w:t>
            </w:r>
            <w:r>
              <w:rPr>
                <w:rFonts w:hint="eastAsia"/>
              </w:rPr>
              <w:t xml:space="preserve"> </w:t>
            </w:r>
            <w:r>
              <w:rPr>
                <w:lang/>
              </w:rPr>
              <w:drawing>
                <wp:inline distT="0" distB="0" distL="114300" distR="114300">
                  <wp:extent cx="476250" cy="323850"/>
                  <wp:effectExtent l="0" t="0" r="0" b="0"/>
                  <wp:docPr id="568" name="图片 56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4C25182">
        <w:tblPrEx>
          <w:tblCellMar>
            <w:top w:w="0" w:type="dxa"/>
            <w:left w:w="0" w:type="dxa"/>
            <w:bottom w:w="0" w:type="dxa"/>
            <w:right w:w="0" w:type="dxa"/>
          </w:tblCellMar>
        </w:tblPrEx>
        <w:trPr>
          <w:wBefore w:w="0" w:type="auto"/>
          <w:tblCellSpacing w:w="0" w:type="dxa"/>
        </w:trPr>
        <w:tc>
          <w:tcPr>
            <w:tcW w:w="0" w:type="auto"/>
            <w:noWrap w:val="0"/>
            <w:vAlign w:val="center"/>
          </w:tcPr>
          <w:p w14:paraId="0A8A5380">
            <w:r>
              <w:rPr>
                <w:rStyle w:val="10"/>
                <w:rFonts w:hint="eastAsia"/>
              </w:rPr>
              <w:t>总有效成分含量：</w:t>
            </w:r>
            <w:r>
              <w:rPr>
                <w:rFonts w:hint="eastAsia"/>
              </w:rPr>
              <w:t>480克/升</w:t>
            </w:r>
          </w:p>
        </w:tc>
      </w:tr>
      <w:tr w14:paraId="1A6C5D04">
        <w:tblPrEx>
          <w:tblCellMar>
            <w:top w:w="0" w:type="dxa"/>
            <w:left w:w="0" w:type="dxa"/>
            <w:bottom w:w="0" w:type="dxa"/>
            <w:right w:w="0" w:type="dxa"/>
          </w:tblCellMar>
        </w:tblPrEx>
        <w:trPr>
          <w:wBefore w:w="0" w:type="auto"/>
          <w:tblCellSpacing w:w="0" w:type="dxa"/>
        </w:trPr>
        <w:tc>
          <w:tcPr>
            <w:tcW w:w="0" w:type="auto"/>
            <w:noWrap w:val="0"/>
            <w:vAlign w:val="center"/>
          </w:tcPr>
          <w:p w14:paraId="23B2470E">
            <w:r>
              <w:rPr>
                <w:rFonts w:hint="eastAsia"/>
              </w:rPr>
              <w:t xml:space="preserve">有效成分及其含量： </w:t>
            </w:r>
          </w:p>
          <w:p w14:paraId="244BEB11">
            <w:r>
              <w:rPr>
                <w:rFonts w:hint="eastAsia"/>
              </w:rPr>
              <w:t xml:space="preserve">    异噁草松480克/升    </w:t>
            </w:r>
          </w:p>
        </w:tc>
      </w:tr>
      <w:tr w14:paraId="75E04EAC">
        <w:tblPrEx>
          <w:tblCellMar>
            <w:top w:w="0" w:type="dxa"/>
            <w:left w:w="0" w:type="dxa"/>
            <w:bottom w:w="0" w:type="dxa"/>
            <w:right w:w="0" w:type="dxa"/>
          </w:tblCellMar>
        </w:tblPrEx>
        <w:trPr>
          <w:wBefore w:w="0" w:type="auto"/>
          <w:tblCellSpacing w:w="0" w:type="dxa"/>
        </w:trPr>
        <w:tc>
          <w:tcPr>
            <w:tcW w:w="0" w:type="auto"/>
            <w:noWrap w:val="0"/>
            <w:vAlign w:val="center"/>
          </w:tcPr>
          <w:p w14:paraId="378A5A3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84E28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E65E3E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AB31CE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1750AF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66407A8">
                  <w:r>
                    <w:rPr>
                      <w:rStyle w:val="11"/>
                      <w:rFonts w:hint="eastAsia"/>
                    </w:rPr>
                    <w:t>施用方式</w:t>
                  </w:r>
                </w:p>
              </w:tc>
            </w:tr>
            <w:tr w14:paraId="220D89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B592408">
                  <w:r>
                    <w:rPr>
                      <w:rStyle w:val="11"/>
                      <w:rFonts w:hint="eastAsia"/>
                    </w:rPr>
                    <w:t>春大豆田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8C2FB5">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AC6767C">
                  <w:r>
                    <w:rPr>
                      <w:rStyle w:val="11"/>
                      <w:rFonts w:hint="eastAsia"/>
                    </w:rPr>
                    <w:t>145-170毫升/亩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DFF088">
                  <w:r>
                    <w:rPr>
                      <w:rStyle w:val="11"/>
                      <w:rFonts w:hint="eastAsia"/>
                    </w:rPr>
                    <w:t>土壤喷雾</w:t>
                  </w:r>
                </w:p>
              </w:tc>
            </w:tr>
          </w:tbl>
          <w:p w14:paraId="4602289C">
            <w:pPr>
              <w:rPr>
                <w:rFonts w:ascii="Times New Roman" w:hAnsi="Times New Roman" w:cs="Times New Roman"/>
                <w:sz w:val="20"/>
                <w:szCs w:val="20"/>
              </w:rPr>
            </w:pPr>
          </w:p>
        </w:tc>
      </w:tr>
      <w:tr w14:paraId="560EA081">
        <w:tblPrEx>
          <w:tblCellMar>
            <w:top w:w="0" w:type="dxa"/>
            <w:left w:w="0" w:type="dxa"/>
            <w:bottom w:w="0" w:type="dxa"/>
            <w:right w:w="0" w:type="dxa"/>
          </w:tblCellMar>
        </w:tblPrEx>
        <w:trPr>
          <w:wBefore w:w="0" w:type="auto"/>
          <w:tblCellSpacing w:w="0" w:type="dxa"/>
        </w:trPr>
        <w:tc>
          <w:tcPr>
            <w:tcW w:w="0" w:type="auto"/>
            <w:noWrap w:val="0"/>
            <w:vAlign w:val="center"/>
          </w:tcPr>
          <w:p w14:paraId="0ED9E22C">
            <w:r>
              <w:rPr>
                <w:rStyle w:val="10"/>
                <w:rFonts w:hint="eastAsia"/>
              </w:rPr>
              <w:t>使用技术要求:</w:t>
            </w:r>
            <w:r>
              <w:rPr>
                <w:rFonts w:hint="eastAsia"/>
              </w:rPr>
              <w:br w:type="textWrapping"/>
            </w:r>
            <w:r>
              <w:rPr>
                <w:rStyle w:val="11"/>
                <w:rFonts w:hint="eastAsia"/>
              </w:rPr>
              <w:t>1. 春大豆播种后出苗前土壤均匀喷雾，不能重喷或漏喷。在杂草出土前，选无风天气，按亩用药量兑水30～50升，全田均匀喷雾。2. 大风天或预计4小时降雨请勿施药。每季最多使用1次。 3. 施药时防止药液飘移到邻近作物，以免产生药害。4. 合理安排后茬作物，保证安全间隔期。</w:t>
            </w:r>
          </w:p>
        </w:tc>
      </w:tr>
      <w:tr w14:paraId="6671F9F4">
        <w:tblPrEx>
          <w:tblCellMar>
            <w:top w:w="0" w:type="dxa"/>
            <w:left w:w="0" w:type="dxa"/>
            <w:bottom w:w="0" w:type="dxa"/>
            <w:right w:w="0" w:type="dxa"/>
          </w:tblCellMar>
        </w:tblPrEx>
        <w:trPr>
          <w:wBefore w:w="0" w:type="auto"/>
          <w:tblCellSpacing w:w="0" w:type="dxa"/>
        </w:trPr>
        <w:tc>
          <w:tcPr>
            <w:tcW w:w="0" w:type="auto"/>
            <w:noWrap w:val="0"/>
            <w:vAlign w:val="center"/>
          </w:tcPr>
          <w:p w14:paraId="6AF74E20">
            <w:r>
              <w:rPr>
                <w:rStyle w:val="10"/>
                <w:rFonts w:hint="eastAsia"/>
              </w:rPr>
              <w:t>产品性能:</w:t>
            </w:r>
            <w:r>
              <w:rPr>
                <w:rFonts w:hint="eastAsia"/>
              </w:rPr>
              <w:br w:type="textWrapping"/>
            </w:r>
            <w:r>
              <w:rPr>
                <w:rStyle w:val="11"/>
                <w:rFonts w:hint="eastAsia"/>
              </w:rPr>
              <w:t>本品为杂环类，选择性芽前除草剂除草剂，可控制敏感植物（杂草）叶绿素的合成，使植物在短期内死亡。主要用于大豆田防除马唐、稗草、牛筋草、狗尾草、苍耳、苘麻、龙葵、鸭跖草、蓼、藜、马齿苋等一年生杂草。</w:t>
            </w:r>
          </w:p>
        </w:tc>
      </w:tr>
      <w:tr w14:paraId="743696F1">
        <w:tblPrEx>
          <w:tblCellMar>
            <w:top w:w="0" w:type="dxa"/>
            <w:left w:w="0" w:type="dxa"/>
            <w:bottom w:w="0" w:type="dxa"/>
            <w:right w:w="0" w:type="dxa"/>
          </w:tblCellMar>
        </w:tblPrEx>
        <w:trPr>
          <w:wBefore w:w="0" w:type="auto"/>
          <w:tblCellSpacing w:w="0" w:type="dxa"/>
        </w:trPr>
        <w:tc>
          <w:tcPr>
            <w:tcW w:w="0" w:type="auto"/>
            <w:noWrap w:val="0"/>
            <w:vAlign w:val="center"/>
          </w:tcPr>
          <w:p w14:paraId="38950523">
            <w:r>
              <w:rPr>
                <w:rStyle w:val="10"/>
                <w:rFonts w:hint="eastAsia"/>
              </w:rPr>
              <w:t>注意事项：</w:t>
            </w:r>
            <w:r>
              <w:rPr>
                <w:rFonts w:hint="eastAsia"/>
              </w:rPr>
              <w:br w:type="textWrapping"/>
            </w:r>
            <w:r>
              <w:rPr>
                <w:rStyle w:val="11"/>
                <w:rFonts w:hint="eastAsia"/>
              </w:rPr>
              <w:t>1. 仅限于非豆麦轮作区使用。药剂在土壤中的生物活性可持续6个月以上，使用该药当年秋天（即施药后4-5个月）或次年春天（即施药后6-10个月），不宜种植小麦、大麦、燕麦、黑麦、谷子、苜蓿。施药后的次年春季，可以种植水稻、玉米、棉花、花生、向日葵等作物。 2. 当土壤砂性过强、有机含量过低或土壤偏碱性时，不宜与赛克混用，否则会使大豆产生药害。 3. 本品对眼睛有刺激性，使用时避免接触眼睛，穿戴长衣、长裤、帽子、口罩、手套等防护措施。避免皮肤接触药液，施药期间不可吃东西、饮水和吸烟。施药后应及时洗手和洗脸。 4. 本品对蜜蜂、鱼类等水生生物、家蚕有毒，远离水产养殖区、河塘等水体施药，禁止河塘等水域内清洗施药器具或将清洗施药器具的废水倒入河流、池塘等水源。5. 施药期间应避免对周围蜂群的影响，赤眼蜂等天敌放飞区域禁用，禁止在开花植物花期、蚕室和桑园附近使用。施用时若周围有桑园，最外围桑树设置为隔离带，不能用于饲养家蚕。6. 用过的容器应妥善处理，不可做他用，也不可随意丢弃。 7. 孕妇和哺乳期妇女避免接触此药。</w:t>
            </w:r>
          </w:p>
        </w:tc>
      </w:tr>
      <w:tr w14:paraId="62706C16">
        <w:tblPrEx>
          <w:tblCellMar>
            <w:top w:w="0" w:type="dxa"/>
            <w:left w:w="0" w:type="dxa"/>
            <w:bottom w:w="0" w:type="dxa"/>
            <w:right w:w="0" w:type="dxa"/>
          </w:tblCellMar>
        </w:tblPrEx>
        <w:trPr>
          <w:wBefore w:w="0" w:type="auto"/>
          <w:tblCellSpacing w:w="0" w:type="dxa"/>
        </w:trPr>
        <w:tc>
          <w:tcPr>
            <w:tcW w:w="0" w:type="auto"/>
            <w:noWrap w:val="0"/>
            <w:vAlign w:val="center"/>
          </w:tcPr>
          <w:p w14:paraId="7D5F8A3B">
            <w:r>
              <w:rPr>
                <w:rStyle w:val="10"/>
                <w:rFonts w:hint="eastAsia"/>
              </w:rPr>
              <w:t>中毒急救措施：</w:t>
            </w:r>
            <w:r>
              <w:rPr>
                <w:rFonts w:hint="eastAsia"/>
              </w:rPr>
              <w:br w:type="textWrapping"/>
            </w:r>
            <w:r>
              <w:rPr>
                <w:rStyle w:val="11"/>
                <w:rFonts w:hint="eastAsia"/>
              </w:rPr>
              <w:t>中毒症状：药液接触眼睛会使角膜暂时不透明，肺部有异常反应。1.不慎皮肤接触：脱除受污衣物，立即用大量肥皂和清水冲洗受污皮肤。2.不慎溅入眼睛:立即将眼睑翻开，用大量清水冲洗至少15分钟，如仍有不适，请医生诊治。 3.不慎吸入：立即将吸入者移至空气清新处，并即请医生诊治。4.不慎误服:立即携带本标签请医生诊治，不要催吐，应使病人静卧勿动，并对症治疗。无专用解毒剂，对症治疗。</w:t>
            </w:r>
          </w:p>
        </w:tc>
      </w:tr>
      <w:tr w14:paraId="7D03F1D3">
        <w:tblPrEx>
          <w:tblCellMar>
            <w:top w:w="0" w:type="dxa"/>
            <w:left w:w="0" w:type="dxa"/>
            <w:bottom w:w="0" w:type="dxa"/>
            <w:right w:w="0" w:type="dxa"/>
          </w:tblCellMar>
        </w:tblPrEx>
        <w:trPr>
          <w:wBefore w:w="0" w:type="auto"/>
          <w:tblCellSpacing w:w="0" w:type="dxa"/>
        </w:trPr>
        <w:tc>
          <w:tcPr>
            <w:tcW w:w="0" w:type="auto"/>
            <w:noWrap w:val="0"/>
            <w:vAlign w:val="center"/>
          </w:tcPr>
          <w:p w14:paraId="52E8290D">
            <w:r>
              <w:rPr>
                <w:rStyle w:val="10"/>
                <w:rFonts w:hint="eastAsia"/>
              </w:rPr>
              <w:t>储存和运输方法：</w:t>
            </w:r>
            <w:r>
              <w:rPr>
                <w:rFonts w:hint="eastAsia"/>
              </w:rPr>
              <w:br w:type="textWrapping"/>
            </w:r>
            <w:r>
              <w:rPr>
                <w:rStyle w:val="11"/>
                <w:rFonts w:hint="eastAsia"/>
              </w:rPr>
              <w:t>本品应贮存在干燥、阴凉、通风、防雨处，本品属于易燃液体，远离火源或热源。远离家禽，置于儿童触及不到之处，并加锁。勿与食物、饮料、粮食、饲料等其他商品同贮同运。</w:t>
            </w:r>
          </w:p>
        </w:tc>
      </w:tr>
      <w:tr w14:paraId="728CB10D">
        <w:tblPrEx>
          <w:tblCellMar>
            <w:top w:w="0" w:type="dxa"/>
            <w:left w:w="0" w:type="dxa"/>
            <w:bottom w:w="0" w:type="dxa"/>
            <w:right w:w="0" w:type="dxa"/>
          </w:tblCellMar>
        </w:tblPrEx>
        <w:trPr>
          <w:wBefore w:w="0" w:type="auto"/>
          <w:tblCellSpacing w:w="0" w:type="dxa"/>
        </w:trPr>
        <w:tc>
          <w:tcPr>
            <w:tcW w:w="0" w:type="auto"/>
            <w:noWrap w:val="0"/>
            <w:vAlign w:val="center"/>
          </w:tcPr>
          <w:p w14:paraId="2C0ED077">
            <w:r>
              <w:rPr>
                <w:rStyle w:val="10"/>
                <w:rFonts w:hint="eastAsia"/>
              </w:rPr>
              <w:t>质量保证期：</w:t>
            </w:r>
            <w:r>
              <w:rPr>
                <w:rStyle w:val="11"/>
                <w:rFonts w:hint="eastAsia"/>
              </w:rPr>
              <w:t>2年</w:t>
            </w:r>
          </w:p>
        </w:tc>
      </w:tr>
      <w:tr w14:paraId="76ED0820">
        <w:tblPrEx>
          <w:tblCellMar>
            <w:top w:w="0" w:type="dxa"/>
            <w:left w:w="0" w:type="dxa"/>
            <w:bottom w:w="0" w:type="dxa"/>
            <w:right w:w="0" w:type="dxa"/>
          </w:tblCellMar>
        </w:tblPrEx>
        <w:trPr>
          <w:wBefore w:w="0" w:type="auto"/>
          <w:tblCellSpacing w:w="0" w:type="dxa"/>
        </w:trPr>
        <w:tc>
          <w:tcPr>
            <w:tcW w:w="0" w:type="auto"/>
            <w:noWrap w:val="0"/>
            <w:vAlign w:val="center"/>
          </w:tcPr>
          <w:p w14:paraId="4A56D4EF">
            <w:r>
              <w:rPr>
                <w:rStyle w:val="10"/>
                <w:rFonts w:hint="eastAsia"/>
              </w:rPr>
              <w:t>备注：</w:t>
            </w:r>
            <w:r>
              <w:rPr>
                <w:rFonts w:hint="eastAsia"/>
              </w:rPr>
              <w:br w:type="textWrapping"/>
            </w:r>
            <w:r>
              <w:rPr>
                <w:rStyle w:val="11"/>
                <w:rFonts w:hint="eastAsia"/>
              </w:rPr>
              <w:t>异噁草松45%。</w:t>
            </w:r>
          </w:p>
        </w:tc>
      </w:tr>
    </w:tbl>
    <w:p w14:paraId="3506B38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CE105F7">
        <w:tblPrEx>
          <w:tblCellMar>
            <w:top w:w="0" w:type="dxa"/>
            <w:left w:w="0" w:type="dxa"/>
            <w:bottom w:w="0" w:type="dxa"/>
            <w:right w:w="0" w:type="dxa"/>
          </w:tblCellMar>
        </w:tblPrEx>
        <w:trPr>
          <w:wBefore w:w="0" w:type="auto"/>
          <w:tblCellSpacing w:w="0" w:type="dxa"/>
        </w:trPr>
        <w:tc>
          <w:tcPr>
            <w:tcW w:w="0" w:type="auto"/>
            <w:noWrap w:val="0"/>
            <w:vAlign w:val="center"/>
          </w:tcPr>
          <w:p w14:paraId="40E86381">
            <w:r>
              <w:rPr>
                <w:rStyle w:val="10"/>
                <w:rFonts w:hint="eastAsia"/>
              </w:rPr>
              <w:t>登记证号：</w:t>
            </w:r>
            <w:r>
              <w:rPr>
                <w:rFonts w:hint="eastAsia"/>
              </w:rPr>
              <w:t>PD20212158</w:t>
            </w:r>
          </w:p>
        </w:tc>
      </w:tr>
      <w:tr w14:paraId="035F806A">
        <w:tblPrEx>
          <w:tblCellMar>
            <w:top w:w="0" w:type="dxa"/>
            <w:left w:w="0" w:type="dxa"/>
            <w:bottom w:w="0" w:type="dxa"/>
            <w:right w:w="0" w:type="dxa"/>
          </w:tblCellMar>
        </w:tblPrEx>
        <w:trPr>
          <w:wBefore w:w="0" w:type="auto"/>
          <w:tblCellSpacing w:w="0" w:type="dxa"/>
        </w:trPr>
        <w:tc>
          <w:tcPr>
            <w:tcW w:w="0" w:type="auto"/>
            <w:noWrap w:val="0"/>
            <w:vAlign w:val="center"/>
          </w:tcPr>
          <w:p w14:paraId="743C93FD">
            <w:r>
              <w:rPr>
                <w:rStyle w:val="10"/>
                <w:rFonts w:hint="eastAsia"/>
              </w:rPr>
              <w:t>登记证持有人：</w:t>
            </w:r>
            <w:r>
              <w:rPr>
                <w:rFonts w:hint="eastAsia"/>
              </w:rPr>
              <w:t>京博农化科技有限公司</w:t>
            </w:r>
          </w:p>
        </w:tc>
      </w:tr>
      <w:tr w14:paraId="506E12C2">
        <w:tblPrEx>
          <w:tblCellMar>
            <w:top w:w="0" w:type="dxa"/>
            <w:left w:w="0" w:type="dxa"/>
            <w:bottom w:w="0" w:type="dxa"/>
            <w:right w:w="0" w:type="dxa"/>
          </w:tblCellMar>
        </w:tblPrEx>
        <w:trPr>
          <w:wBefore w:w="0" w:type="auto"/>
          <w:tblCellSpacing w:w="0" w:type="dxa"/>
        </w:trPr>
        <w:tc>
          <w:tcPr>
            <w:tcW w:w="0" w:type="auto"/>
            <w:noWrap w:val="0"/>
            <w:vAlign w:val="center"/>
          </w:tcPr>
          <w:p w14:paraId="457E6FAA">
            <w:r>
              <w:rPr>
                <w:rStyle w:val="10"/>
                <w:rFonts w:hint="eastAsia"/>
              </w:rPr>
              <w:t>农药名称：</w:t>
            </w:r>
            <w:r>
              <w:rPr>
                <w:rFonts w:hint="eastAsia"/>
              </w:rPr>
              <w:t>噁唑酰草胺</w:t>
            </w:r>
          </w:p>
        </w:tc>
      </w:tr>
      <w:tr w14:paraId="38C68570">
        <w:tblPrEx>
          <w:tblCellMar>
            <w:top w:w="0" w:type="dxa"/>
            <w:left w:w="0" w:type="dxa"/>
            <w:bottom w:w="0" w:type="dxa"/>
            <w:right w:w="0" w:type="dxa"/>
          </w:tblCellMar>
        </w:tblPrEx>
        <w:trPr>
          <w:wBefore w:w="0" w:type="auto"/>
          <w:tblCellSpacing w:w="0" w:type="dxa"/>
        </w:trPr>
        <w:tc>
          <w:tcPr>
            <w:tcW w:w="0" w:type="auto"/>
            <w:noWrap w:val="0"/>
            <w:vAlign w:val="center"/>
          </w:tcPr>
          <w:p w14:paraId="2494B96A">
            <w:r>
              <w:rPr>
                <w:rStyle w:val="10"/>
                <w:rFonts w:hint="eastAsia"/>
              </w:rPr>
              <w:t>剂型：</w:t>
            </w:r>
            <w:r>
              <w:rPr>
                <w:rFonts w:hint="eastAsia"/>
              </w:rPr>
              <w:t>乳油</w:t>
            </w:r>
          </w:p>
        </w:tc>
      </w:tr>
      <w:tr w14:paraId="09018FDC">
        <w:tblPrEx>
          <w:tblCellMar>
            <w:top w:w="0" w:type="dxa"/>
            <w:left w:w="0" w:type="dxa"/>
            <w:bottom w:w="0" w:type="dxa"/>
            <w:right w:w="0" w:type="dxa"/>
          </w:tblCellMar>
        </w:tblPrEx>
        <w:trPr>
          <w:wBefore w:w="0" w:type="auto"/>
          <w:tblCellSpacing w:w="0" w:type="dxa"/>
        </w:trPr>
        <w:tc>
          <w:tcPr>
            <w:tcW w:w="0" w:type="auto"/>
            <w:noWrap w:val="0"/>
            <w:vAlign w:val="center"/>
          </w:tcPr>
          <w:p w14:paraId="796085C4">
            <w:r>
              <w:rPr>
                <w:rStyle w:val="10"/>
                <w:rFonts w:hint="eastAsia"/>
              </w:rPr>
              <w:t>毒性及其标识：</w:t>
            </w:r>
            <w:r>
              <w:rPr>
                <w:rFonts w:hint="eastAsia"/>
              </w:rPr>
              <w:t xml:space="preserve"> </w:t>
            </w:r>
            <w:r>
              <w:rPr>
                <w:lang/>
              </w:rPr>
              <w:drawing>
                <wp:inline distT="0" distB="0" distL="114300" distR="114300">
                  <wp:extent cx="476250" cy="323850"/>
                  <wp:effectExtent l="0" t="0" r="0" b="0"/>
                  <wp:docPr id="569" name="图片 56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66BED6A">
        <w:tblPrEx>
          <w:tblCellMar>
            <w:top w:w="0" w:type="dxa"/>
            <w:left w:w="0" w:type="dxa"/>
            <w:bottom w:w="0" w:type="dxa"/>
            <w:right w:w="0" w:type="dxa"/>
          </w:tblCellMar>
        </w:tblPrEx>
        <w:trPr>
          <w:wBefore w:w="0" w:type="auto"/>
          <w:tblCellSpacing w:w="0" w:type="dxa"/>
        </w:trPr>
        <w:tc>
          <w:tcPr>
            <w:tcW w:w="0" w:type="auto"/>
            <w:noWrap w:val="0"/>
            <w:vAlign w:val="center"/>
          </w:tcPr>
          <w:p w14:paraId="19D4F14F">
            <w:r>
              <w:rPr>
                <w:rStyle w:val="10"/>
                <w:rFonts w:hint="eastAsia"/>
              </w:rPr>
              <w:t>总有效成分含量：</w:t>
            </w:r>
            <w:r>
              <w:rPr>
                <w:rFonts w:hint="eastAsia"/>
              </w:rPr>
              <w:t>10%</w:t>
            </w:r>
          </w:p>
        </w:tc>
      </w:tr>
      <w:tr w14:paraId="2BE268C0">
        <w:tblPrEx>
          <w:tblCellMar>
            <w:top w:w="0" w:type="dxa"/>
            <w:left w:w="0" w:type="dxa"/>
            <w:bottom w:w="0" w:type="dxa"/>
            <w:right w:w="0" w:type="dxa"/>
          </w:tblCellMar>
        </w:tblPrEx>
        <w:trPr>
          <w:wBefore w:w="0" w:type="auto"/>
          <w:tblCellSpacing w:w="0" w:type="dxa"/>
        </w:trPr>
        <w:tc>
          <w:tcPr>
            <w:tcW w:w="0" w:type="auto"/>
            <w:noWrap w:val="0"/>
            <w:vAlign w:val="center"/>
          </w:tcPr>
          <w:p w14:paraId="7199FFA3">
            <w:r>
              <w:rPr>
                <w:rFonts w:hint="eastAsia"/>
              </w:rPr>
              <w:t xml:space="preserve">有效成分及其含量： </w:t>
            </w:r>
          </w:p>
          <w:p w14:paraId="1965847B">
            <w:r>
              <w:rPr>
                <w:rFonts w:hint="eastAsia"/>
              </w:rPr>
              <w:t xml:space="preserve">    噁唑酰草胺10%    </w:t>
            </w:r>
          </w:p>
        </w:tc>
      </w:tr>
      <w:tr w14:paraId="3AAAA0E0">
        <w:tblPrEx>
          <w:tblCellMar>
            <w:top w:w="0" w:type="dxa"/>
            <w:left w:w="0" w:type="dxa"/>
            <w:bottom w:w="0" w:type="dxa"/>
            <w:right w:w="0" w:type="dxa"/>
          </w:tblCellMar>
        </w:tblPrEx>
        <w:trPr>
          <w:wBefore w:w="0" w:type="auto"/>
          <w:tblCellSpacing w:w="0" w:type="dxa"/>
        </w:trPr>
        <w:tc>
          <w:tcPr>
            <w:tcW w:w="0" w:type="auto"/>
            <w:noWrap w:val="0"/>
            <w:vAlign w:val="center"/>
          </w:tcPr>
          <w:p w14:paraId="76ED5D6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8F991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822794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41B094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63B759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AA1221D">
                  <w:r>
                    <w:rPr>
                      <w:rStyle w:val="11"/>
                      <w:rFonts w:hint="eastAsia"/>
                    </w:rPr>
                    <w:t>施用方式</w:t>
                  </w:r>
                </w:p>
              </w:tc>
            </w:tr>
            <w:tr w14:paraId="4A7C81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C6A7A3A">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DD9B82">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18F186">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46522C">
                  <w:r>
                    <w:rPr>
                      <w:rStyle w:val="11"/>
                      <w:rFonts w:hint="eastAsia"/>
                    </w:rPr>
                    <w:t>茎叶喷雾</w:t>
                  </w:r>
                </w:p>
              </w:tc>
            </w:tr>
          </w:tbl>
          <w:p w14:paraId="02C05EBD">
            <w:pPr>
              <w:rPr>
                <w:rFonts w:ascii="Times New Roman" w:hAnsi="Times New Roman" w:cs="Times New Roman"/>
                <w:sz w:val="20"/>
                <w:szCs w:val="20"/>
              </w:rPr>
            </w:pPr>
          </w:p>
        </w:tc>
      </w:tr>
      <w:tr w14:paraId="33D7CF1C">
        <w:tblPrEx>
          <w:tblCellMar>
            <w:top w:w="0" w:type="dxa"/>
            <w:left w:w="0" w:type="dxa"/>
            <w:bottom w:w="0" w:type="dxa"/>
            <w:right w:w="0" w:type="dxa"/>
          </w:tblCellMar>
        </w:tblPrEx>
        <w:trPr>
          <w:wBefore w:w="0" w:type="auto"/>
          <w:tblCellSpacing w:w="0" w:type="dxa"/>
        </w:trPr>
        <w:tc>
          <w:tcPr>
            <w:tcW w:w="0" w:type="auto"/>
            <w:noWrap w:val="0"/>
            <w:vAlign w:val="center"/>
          </w:tcPr>
          <w:p w14:paraId="3995FED1">
            <w:r>
              <w:rPr>
                <w:rStyle w:val="10"/>
                <w:rFonts w:hint="eastAsia"/>
              </w:rPr>
              <w:t>使用技术要求:</w:t>
            </w:r>
            <w:r>
              <w:rPr>
                <w:rFonts w:hint="eastAsia"/>
              </w:rPr>
              <w:br w:type="textWrapping"/>
            </w:r>
            <w:r>
              <w:rPr>
                <w:rStyle w:val="11"/>
                <w:rFonts w:hint="eastAsia"/>
              </w:rPr>
              <w:t>1.在直播稻田杂草2-5叶期，施药前排田水，以推荐剂量兑水均匀茎叶喷雾施药一次，药后1-2天灌水回田，保浅水层5-7天。按照每亩兑水20-30公斤均匀喷雾。2. 注意事项：勿淹没水稻心叶，避免药害；施药时防止药液飘移到邻近作物，以免产生药害；每季作物最多使用1次。</w:t>
            </w:r>
          </w:p>
        </w:tc>
      </w:tr>
      <w:tr w14:paraId="013E3DDD">
        <w:tblPrEx>
          <w:tblCellMar>
            <w:top w:w="0" w:type="dxa"/>
            <w:left w:w="0" w:type="dxa"/>
            <w:bottom w:w="0" w:type="dxa"/>
            <w:right w:w="0" w:type="dxa"/>
          </w:tblCellMar>
        </w:tblPrEx>
        <w:trPr>
          <w:wBefore w:w="0" w:type="auto"/>
          <w:tblCellSpacing w:w="0" w:type="dxa"/>
        </w:trPr>
        <w:tc>
          <w:tcPr>
            <w:tcW w:w="0" w:type="auto"/>
            <w:noWrap w:val="0"/>
            <w:vAlign w:val="center"/>
          </w:tcPr>
          <w:p w14:paraId="48E5ADBD">
            <w:r>
              <w:rPr>
                <w:rStyle w:val="10"/>
                <w:rFonts w:hint="eastAsia"/>
              </w:rPr>
              <w:t>产品性能:</w:t>
            </w:r>
            <w:r>
              <w:rPr>
                <w:rFonts w:hint="eastAsia"/>
              </w:rPr>
              <w:br w:type="textWrapping"/>
            </w:r>
            <w:r>
              <w:rPr>
                <w:rStyle w:val="11"/>
                <w:rFonts w:hint="eastAsia"/>
              </w:rPr>
              <w:t>本品是芳氧苯氧丙酸类内吸传导型除草剂，经茎叶吸收，通过维管束传导至生长点，抑制植物体内脂肪酸的合成，从而达到除草效果。可用于水稻田防除稗草、千金子、马唐等多种禾本科杂草。推荐剂量下使用安全。</w:t>
            </w:r>
          </w:p>
        </w:tc>
      </w:tr>
      <w:tr w14:paraId="55878642">
        <w:tblPrEx>
          <w:tblCellMar>
            <w:top w:w="0" w:type="dxa"/>
            <w:left w:w="0" w:type="dxa"/>
            <w:bottom w:w="0" w:type="dxa"/>
            <w:right w:w="0" w:type="dxa"/>
          </w:tblCellMar>
        </w:tblPrEx>
        <w:trPr>
          <w:wBefore w:w="0" w:type="auto"/>
          <w:tblCellSpacing w:w="0" w:type="dxa"/>
        </w:trPr>
        <w:tc>
          <w:tcPr>
            <w:tcW w:w="0" w:type="auto"/>
            <w:noWrap w:val="0"/>
            <w:vAlign w:val="center"/>
          </w:tcPr>
          <w:p w14:paraId="7F725D47">
            <w:r>
              <w:rPr>
                <w:rStyle w:val="10"/>
                <w:rFonts w:hint="eastAsia"/>
              </w:rPr>
              <w:t>注意事项：</w:t>
            </w:r>
            <w:r>
              <w:rPr>
                <w:rFonts w:hint="eastAsia"/>
              </w:rPr>
              <w:br w:type="textWrapping"/>
            </w:r>
            <w:r>
              <w:rPr>
                <w:rStyle w:val="11"/>
                <w:rFonts w:hint="eastAsia"/>
              </w:rPr>
              <w:t>1. 本品对眼睛、皮肤有刺激性，使用时避免接触眼睛、皮肤，穿戴长衣、长裤、帽子、口罩、手套等防护措施。避免农药与皮肤接触或吸入。施药期间不可饮食、吸烟，施药后应及时洗手和洗脸等。 2. 避免药液飘移到邻近的禾本科作物田。 3. 施药后彻底清洗施药器械，废水妥善处理，以免污染水源与环境。禁止在河塘等水体中清洗施药器具。 4. 用过的包装物、容器应妥善处理，不可另做他用，也不可随意丢弃。 5. 远离水产养殖区、河塘等水体设施施药，禁止在河塘等水域清洗施药器具；鱼或虾蟹套养稻田禁用；施药后的田水不得直接排入水体。 6. 孕妇及哺乳期的妇女避免接触本品。</w:t>
            </w:r>
          </w:p>
        </w:tc>
      </w:tr>
      <w:tr w14:paraId="192F5621">
        <w:tblPrEx>
          <w:tblCellMar>
            <w:top w:w="0" w:type="dxa"/>
            <w:left w:w="0" w:type="dxa"/>
            <w:bottom w:w="0" w:type="dxa"/>
            <w:right w:w="0" w:type="dxa"/>
          </w:tblCellMar>
        </w:tblPrEx>
        <w:trPr>
          <w:wBefore w:w="0" w:type="auto"/>
          <w:tblCellSpacing w:w="0" w:type="dxa"/>
        </w:trPr>
        <w:tc>
          <w:tcPr>
            <w:tcW w:w="0" w:type="auto"/>
            <w:noWrap w:val="0"/>
            <w:vAlign w:val="center"/>
          </w:tcPr>
          <w:p w14:paraId="24199363">
            <w:r>
              <w:rPr>
                <w:rStyle w:val="10"/>
                <w:rFonts w:hint="eastAsia"/>
              </w:rPr>
              <w:t>中毒急救措施：</w:t>
            </w:r>
            <w:r>
              <w:rPr>
                <w:rFonts w:hint="eastAsia"/>
              </w:rPr>
              <w:br w:type="textWrapping"/>
            </w:r>
            <w:r>
              <w:rPr>
                <w:rStyle w:val="11"/>
                <w:rFonts w:hint="eastAsia"/>
              </w:rPr>
              <w:t>1. 中毒症状：对眼睛、皮肤和粘膜有刺激作用。 2. 、皮肤接触：立即脱掉被污染的衣物，用肥皂和大量清水彻底清洗受污染的皮肤。 3. 眼睛溅药：对眼睛有刺激作用，溅入眼睛中，立即将眼睑翻开，用清水冲洗至少15分钟，再请医生诊治。4. 不慎吸入，应将病人移到空气清新处。5. 误服，立即携标签就医。6. 本品尚无特效解毒剂，应对症治疗。</w:t>
            </w:r>
          </w:p>
        </w:tc>
      </w:tr>
      <w:tr w14:paraId="334B990C">
        <w:tblPrEx>
          <w:tblCellMar>
            <w:top w:w="0" w:type="dxa"/>
            <w:left w:w="0" w:type="dxa"/>
            <w:bottom w:w="0" w:type="dxa"/>
            <w:right w:w="0" w:type="dxa"/>
          </w:tblCellMar>
        </w:tblPrEx>
        <w:trPr>
          <w:wBefore w:w="0" w:type="auto"/>
          <w:tblCellSpacing w:w="0" w:type="dxa"/>
        </w:trPr>
        <w:tc>
          <w:tcPr>
            <w:tcW w:w="0" w:type="auto"/>
            <w:noWrap w:val="0"/>
            <w:vAlign w:val="center"/>
          </w:tcPr>
          <w:p w14:paraId="6155A5E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本品应贮存在干燥、阴凉、通风、防雨处，远离火源或热源。置于儿童、无关人员及动物触及不到之处，并加锁保存。勿与食品、饮料、饲料、粮食等其他商品同贮同运。</w:t>
            </w:r>
          </w:p>
        </w:tc>
      </w:tr>
      <w:tr w14:paraId="698C299D">
        <w:tblPrEx>
          <w:tblCellMar>
            <w:top w:w="0" w:type="dxa"/>
            <w:left w:w="0" w:type="dxa"/>
            <w:bottom w:w="0" w:type="dxa"/>
            <w:right w:w="0" w:type="dxa"/>
          </w:tblCellMar>
        </w:tblPrEx>
        <w:trPr>
          <w:wBefore w:w="0" w:type="auto"/>
          <w:tblCellSpacing w:w="0" w:type="dxa"/>
        </w:trPr>
        <w:tc>
          <w:tcPr>
            <w:tcW w:w="0" w:type="auto"/>
            <w:noWrap w:val="0"/>
            <w:vAlign w:val="center"/>
          </w:tcPr>
          <w:p w14:paraId="057F2589">
            <w:r>
              <w:rPr>
                <w:rStyle w:val="10"/>
                <w:rFonts w:hint="eastAsia"/>
              </w:rPr>
              <w:t>质量保证期：</w:t>
            </w:r>
            <w:r>
              <w:rPr>
                <w:rStyle w:val="11"/>
                <w:rFonts w:hint="eastAsia"/>
              </w:rPr>
              <w:t>2年</w:t>
            </w:r>
          </w:p>
        </w:tc>
      </w:tr>
      <w:tr w14:paraId="25DB5AEE">
        <w:tblPrEx>
          <w:tblCellMar>
            <w:top w:w="0" w:type="dxa"/>
            <w:left w:w="0" w:type="dxa"/>
            <w:bottom w:w="0" w:type="dxa"/>
            <w:right w:w="0" w:type="dxa"/>
          </w:tblCellMar>
        </w:tblPrEx>
        <w:trPr>
          <w:wBefore w:w="0" w:type="auto"/>
          <w:tblCellSpacing w:w="0" w:type="dxa"/>
        </w:trPr>
        <w:tc>
          <w:tcPr>
            <w:tcW w:w="0" w:type="auto"/>
            <w:noWrap w:val="0"/>
            <w:vAlign w:val="center"/>
          </w:tcPr>
          <w:p w14:paraId="7A05A169">
            <w:r>
              <w:rPr>
                <w:rStyle w:val="10"/>
                <w:rFonts w:hint="eastAsia"/>
              </w:rPr>
              <w:t>备注：</w:t>
            </w:r>
          </w:p>
        </w:tc>
      </w:tr>
    </w:tbl>
    <w:p w14:paraId="3798C74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6CDA756">
        <w:tblPrEx>
          <w:tblCellMar>
            <w:top w:w="0" w:type="dxa"/>
            <w:left w:w="0" w:type="dxa"/>
            <w:bottom w:w="0" w:type="dxa"/>
            <w:right w:w="0" w:type="dxa"/>
          </w:tblCellMar>
        </w:tblPrEx>
        <w:trPr>
          <w:wBefore w:w="0" w:type="auto"/>
          <w:tblCellSpacing w:w="0" w:type="dxa"/>
        </w:trPr>
        <w:tc>
          <w:tcPr>
            <w:tcW w:w="0" w:type="auto"/>
            <w:noWrap w:val="0"/>
            <w:vAlign w:val="center"/>
          </w:tcPr>
          <w:p w14:paraId="19F91CEE">
            <w:r>
              <w:rPr>
                <w:rStyle w:val="10"/>
                <w:rFonts w:hint="eastAsia"/>
              </w:rPr>
              <w:t>登记证号：</w:t>
            </w:r>
            <w:r>
              <w:rPr>
                <w:rFonts w:hint="eastAsia"/>
              </w:rPr>
              <w:t>PD20212279</w:t>
            </w:r>
          </w:p>
        </w:tc>
      </w:tr>
      <w:tr w14:paraId="376FC0E6">
        <w:tblPrEx>
          <w:tblCellMar>
            <w:top w:w="0" w:type="dxa"/>
            <w:left w:w="0" w:type="dxa"/>
            <w:bottom w:w="0" w:type="dxa"/>
            <w:right w:w="0" w:type="dxa"/>
          </w:tblCellMar>
        </w:tblPrEx>
        <w:trPr>
          <w:wBefore w:w="0" w:type="auto"/>
          <w:tblCellSpacing w:w="0" w:type="dxa"/>
        </w:trPr>
        <w:tc>
          <w:tcPr>
            <w:tcW w:w="0" w:type="auto"/>
            <w:noWrap w:val="0"/>
            <w:vAlign w:val="center"/>
          </w:tcPr>
          <w:p w14:paraId="5133C808">
            <w:r>
              <w:rPr>
                <w:rStyle w:val="10"/>
                <w:rFonts w:hint="eastAsia"/>
              </w:rPr>
              <w:t>登记证持有人：</w:t>
            </w:r>
            <w:r>
              <w:rPr>
                <w:rFonts w:hint="eastAsia"/>
              </w:rPr>
              <w:t>山东万豪化工股份有限公司</w:t>
            </w:r>
          </w:p>
        </w:tc>
      </w:tr>
      <w:tr w14:paraId="3029ACEF">
        <w:tblPrEx>
          <w:tblCellMar>
            <w:top w:w="0" w:type="dxa"/>
            <w:left w:w="0" w:type="dxa"/>
            <w:bottom w:w="0" w:type="dxa"/>
            <w:right w:w="0" w:type="dxa"/>
          </w:tblCellMar>
        </w:tblPrEx>
        <w:trPr>
          <w:wBefore w:w="0" w:type="auto"/>
          <w:tblCellSpacing w:w="0" w:type="dxa"/>
        </w:trPr>
        <w:tc>
          <w:tcPr>
            <w:tcW w:w="0" w:type="auto"/>
            <w:noWrap w:val="0"/>
            <w:vAlign w:val="center"/>
          </w:tcPr>
          <w:p w14:paraId="27C77D56">
            <w:r>
              <w:rPr>
                <w:rStyle w:val="10"/>
                <w:rFonts w:hint="eastAsia"/>
              </w:rPr>
              <w:t>农药名称：</w:t>
            </w:r>
            <w:r>
              <w:rPr>
                <w:rFonts w:hint="eastAsia"/>
              </w:rPr>
              <w:t>五氟·丙·吡嘧</w:t>
            </w:r>
          </w:p>
        </w:tc>
      </w:tr>
      <w:tr w14:paraId="359924D7">
        <w:tblPrEx>
          <w:tblCellMar>
            <w:top w:w="0" w:type="dxa"/>
            <w:left w:w="0" w:type="dxa"/>
            <w:bottom w:w="0" w:type="dxa"/>
            <w:right w:w="0" w:type="dxa"/>
          </w:tblCellMar>
        </w:tblPrEx>
        <w:trPr>
          <w:wBefore w:w="0" w:type="auto"/>
          <w:tblCellSpacing w:w="0" w:type="dxa"/>
        </w:trPr>
        <w:tc>
          <w:tcPr>
            <w:tcW w:w="0" w:type="auto"/>
            <w:noWrap w:val="0"/>
            <w:vAlign w:val="center"/>
          </w:tcPr>
          <w:p w14:paraId="1E309FFB">
            <w:r>
              <w:rPr>
                <w:rStyle w:val="10"/>
                <w:rFonts w:hint="eastAsia"/>
              </w:rPr>
              <w:t>剂型：</w:t>
            </w:r>
            <w:r>
              <w:rPr>
                <w:rFonts w:hint="eastAsia"/>
              </w:rPr>
              <w:t>可分散油悬浮剂</w:t>
            </w:r>
          </w:p>
        </w:tc>
      </w:tr>
      <w:tr w14:paraId="52ACADC6">
        <w:tblPrEx>
          <w:tblCellMar>
            <w:top w:w="0" w:type="dxa"/>
            <w:left w:w="0" w:type="dxa"/>
            <w:bottom w:w="0" w:type="dxa"/>
            <w:right w:w="0" w:type="dxa"/>
          </w:tblCellMar>
        </w:tblPrEx>
        <w:trPr>
          <w:wBefore w:w="0" w:type="auto"/>
          <w:tblCellSpacing w:w="0" w:type="dxa"/>
        </w:trPr>
        <w:tc>
          <w:tcPr>
            <w:tcW w:w="0" w:type="auto"/>
            <w:noWrap w:val="0"/>
            <w:vAlign w:val="center"/>
          </w:tcPr>
          <w:p w14:paraId="63E45E95">
            <w:r>
              <w:rPr>
                <w:rStyle w:val="10"/>
                <w:rFonts w:hint="eastAsia"/>
              </w:rPr>
              <w:t>毒性及其标识：</w:t>
            </w:r>
            <w:r>
              <w:rPr>
                <w:rFonts w:hint="eastAsia"/>
              </w:rPr>
              <w:t xml:space="preserve"> </w:t>
            </w:r>
            <w:r>
              <w:rPr>
                <w:lang/>
              </w:rPr>
              <w:drawing>
                <wp:inline distT="0" distB="0" distL="114300" distR="114300">
                  <wp:extent cx="476250" cy="323850"/>
                  <wp:effectExtent l="0" t="0" r="0" b="0"/>
                  <wp:docPr id="570" name="图片 57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1BD73F">
        <w:tblPrEx>
          <w:tblCellMar>
            <w:top w:w="0" w:type="dxa"/>
            <w:left w:w="0" w:type="dxa"/>
            <w:bottom w:w="0" w:type="dxa"/>
            <w:right w:w="0" w:type="dxa"/>
          </w:tblCellMar>
        </w:tblPrEx>
        <w:trPr>
          <w:wBefore w:w="0" w:type="auto"/>
          <w:tblCellSpacing w:w="0" w:type="dxa"/>
        </w:trPr>
        <w:tc>
          <w:tcPr>
            <w:tcW w:w="0" w:type="auto"/>
            <w:noWrap w:val="0"/>
            <w:vAlign w:val="center"/>
          </w:tcPr>
          <w:p w14:paraId="1C97453F">
            <w:r>
              <w:rPr>
                <w:rStyle w:val="10"/>
                <w:rFonts w:hint="eastAsia"/>
              </w:rPr>
              <w:t>总有效成分含量：</w:t>
            </w:r>
            <w:r>
              <w:rPr>
                <w:rFonts w:hint="eastAsia"/>
              </w:rPr>
              <w:t>30%</w:t>
            </w:r>
          </w:p>
        </w:tc>
      </w:tr>
      <w:tr w14:paraId="35A086B7">
        <w:tblPrEx>
          <w:tblCellMar>
            <w:top w:w="0" w:type="dxa"/>
            <w:left w:w="0" w:type="dxa"/>
            <w:bottom w:w="0" w:type="dxa"/>
            <w:right w:w="0" w:type="dxa"/>
          </w:tblCellMar>
        </w:tblPrEx>
        <w:trPr>
          <w:wBefore w:w="0" w:type="auto"/>
          <w:tblCellSpacing w:w="0" w:type="dxa"/>
        </w:trPr>
        <w:tc>
          <w:tcPr>
            <w:tcW w:w="0" w:type="auto"/>
            <w:noWrap w:val="0"/>
            <w:vAlign w:val="center"/>
          </w:tcPr>
          <w:p w14:paraId="0281634E">
            <w:r>
              <w:rPr>
                <w:rFonts w:hint="eastAsia"/>
              </w:rPr>
              <w:t xml:space="preserve">有效成分及其含量： </w:t>
            </w:r>
          </w:p>
          <w:p w14:paraId="1DC9F45F">
            <w:r>
              <w:rPr>
                <w:rFonts w:hint="eastAsia"/>
              </w:rPr>
              <w:t xml:space="preserve">    吡嘧磺隆0.75%    五氟磺草胺1.5%    丙草胺27.75%%    </w:t>
            </w:r>
          </w:p>
        </w:tc>
      </w:tr>
      <w:tr w14:paraId="3FDE94D5">
        <w:tblPrEx>
          <w:tblCellMar>
            <w:top w:w="0" w:type="dxa"/>
            <w:left w:w="0" w:type="dxa"/>
            <w:bottom w:w="0" w:type="dxa"/>
            <w:right w:w="0" w:type="dxa"/>
          </w:tblCellMar>
        </w:tblPrEx>
        <w:trPr>
          <w:wBefore w:w="0" w:type="auto"/>
          <w:tblCellSpacing w:w="0" w:type="dxa"/>
        </w:trPr>
        <w:tc>
          <w:tcPr>
            <w:tcW w:w="0" w:type="auto"/>
            <w:noWrap w:val="0"/>
            <w:vAlign w:val="center"/>
          </w:tcPr>
          <w:p w14:paraId="55C786D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1DCE5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B01AE5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DDCD0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15EB4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48D7F0B">
                  <w:r>
                    <w:rPr>
                      <w:rStyle w:val="11"/>
                      <w:rFonts w:hint="eastAsia"/>
                    </w:rPr>
                    <w:t>施用方式</w:t>
                  </w:r>
                </w:p>
              </w:tc>
            </w:tr>
            <w:tr w14:paraId="7F3830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5BED782">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0E347C">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66C478">
                  <w:r>
                    <w:rPr>
                      <w:rStyle w:val="11"/>
                      <w:rFonts w:hint="eastAsia"/>
                    </w:rPr>
                    <w:t>100-125毫升/亩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9B9E63">
                  <w:r>
                    <w:rPr>
                      <w:rStyle w:val="11"/>
                      <w:rFonts w:hint="eastAsia"/>
                    </w:rPr>
                    <w:t>茎叶喷雾</w:t>
                  </w:r>
                </w:p>
              </w:tc>
            </w:tr>
          </w:tbl>
          <w:p w14:paraId="136C61E3">
            <w:pPr>
              <w:rPr>
                <w:rFonts w:ascii="Times New Roman" w:hAnsi="Times New Roman" w:cs="Times New Roman"/>
                <w:sz w:val="20"/>
                <w:szCs w:val="20"/>
              </w:rPr>
            </w:pPr>
          </w:p>
        </w:tc>
      </w:tr>
      <w:tr w14:paraId="298F46B7">
        <w:tblPrEx>
          <w:tblCellMar>
            <w:top w:w="0" w:type="dxa"/>
            <w:left w:w="0" w:type="dxa"/>
            <w:bottom w:w="0" w:type="dxa"/>
            <w:right w:w="0" w:type="dxa"/>
          </w:tblCellMar>
        </w:tblPrEx>
        <w:trPr>
          <w:wBefore w:w="0" w:type="auto"/>
          <w:tblCellSpacing w:w="0" w:type="dxa"/>
        </w:trPr>
        <w:tc>
          <w:tcPr>
            <w:tcW w:w="0" w:type="auto"/>
            <w:noWrap w:val="0"/>
            <w:vAlign w:val="center"/>
          </w:tcPr>
          <w:p w14:paraId="2FDA1932">
            <w:r>
              <w:rPr>
                <w:rStyle w:val="10"/>
                <w:rFonts w:hint="eastAsia"/>
              </w:rPr>
              <w:t>使用技术要求:</w:t>
            </w:r>
            <w:r>
              <w:rPr>
                <w:rFonts w:hint="eastAsia"/>
              </w:rPr>
              <w:br w:type="textWrapping"/>
            </w:r>
            <w:r>
              <w:rPr>
                <w:rStyle w:val="11"/>
                <w:rFonts w:hint="eastAsia"/>
              </w:rPr>
              <w:t>1、在水稻移栽后10～20天，杂草基本出齐后，喷雾处理。 2、大风天或预计一小时内降雨，请勿施药。 3、配药前务必充分摇匀本品。 4、每季最多使用1次。</w:t>
            </w:r>
          </w:p>
        </w:tc>
      </w:tr>
      <w:tr w14:paraId="7245153C">
        <w:tblPrEx>
          <w:tblCellMar>
            <w:top w:w="0" w:type="dxa"/>
            <w:left w:w="0" w:type="dxa"/>
            <w:bottom w:w="0" w:type="dxa"/>
            <w:right w:w="0" w:type="dxa"/>
          </w:tblCellMar>
        </w:tblPrEx>
        <w:trPr>
          <w:wBefore w:w="0" w:type="auto"/>
          <w:tblCellSpacing w:w="0" w:type="dxa"/>
        </w:trPr>
        <w:tc>
          <w:tcPr>
            <w:tcW w:w="0" w:type="auto"/>
            <w:noWrap w:val="0"/>
            <w:vAlign w:val="center"/>
          </w:tcPr>
          <w:p w14:paraId="1B8D5013">
            <w:r>
              <w:rPr>
                <w:rStyle w:val="10"/>
                <w:rFonts w:hint="eastAsia"/>
              </w:rPr>
              <w:t>产品性能:</w:t>
            </w:r>
            <w:r>
              <w:rPr>
                <w:rFonts w:hint="eastAsia"/>
              </w:rPr>
              <w:br w:type="textWrapping"/>
            </w:r>
            <w:r>
              <w:rPr>
                <w:rStyle w:val="11"/>
                <w:rFonts w:hint="eastAsia"/>
              </w:rPr>
              <w:t>本品由五氟磺草胺、吡嘧磺隆、丙草胺三个有效成分复配而成，可有效防治水稻移栽田里的稗草、矮慈姑、鸭舌草、异型莎草等一年生杂草。</w:t>
            </w:r>
          </w:p>
        </w:tc>
      </w:tr>
      <w:tr w14:paraId="1922004F">
        <w:tblPrEx>
          <w:tblCellMar>
            <w:top w:w="0" w:type="dxa"/>
            <w:left w:w="0" w:type="dxa"/>
            <w:bottom w:w="0" w:type="dxa"/>
            <w:right w:w="0" w:type="dxa"/>
          </w:tblCellMar>
        </w:tblPrEx>
        <w:trPr>
          <w:wBefore w:w="0" w:type="auto"/>
          <w:tblCellSpacing w:w="0" w:type="dxa"/>
        </w:trPr>
        <w:tc>
          <w:tcPr>
            <w:tcW w:w="0" w:type="auto"/>
            <w:noWrap w:val="0"/>
            <w:vAlign w:val="center"/>
          </w:tcPr>
          <w:p w14:paraId="4584B38F">
            <w:r>
              <w:rPr>
                <w:rStyle w:val="10"/>
                <w:rFonts w:hint="eastAsia"/>
              </w:rPr>
              <w:t>注意事项：</w:t>
            </w:r>
            <w:r>
              <w:rPr>
                <w:rFonts w:hint="eastAsia"/>
              </w:rPr>
              <w:br w:type="textWrapping"/>
            </w:r>
            <w:r>
              <w:rPr>
                <w:rStyle w:val="11"/>
                <w:rFonts w:hint="eastAsia"/>
              </w:rPr>
              <w:t>1、尽量在无风无雨时施药，避免雾滴漂移，危害周围作物。2、避免药液接触皮肤、眼睛和污染衣物，避免吸入雾滴。切勿在施药现场抽烟或饮食。3、施药时应穿长衣、长裤，佩戴口罩、护目镜、手套等防护用品，使用后应及时清洗皮肤及所穿衣物。4、本剂对鱼等水生生物有毒，远离水产养殖区、河塘等水体施药，特别是禁止在河塘清洗施药器械。鱼或虾蟹套养稻田禁用，施药后的田水不得直接排入水体。 5、避免孕妇和哺乳期的妇女接触本品。6、用过的容器应妥善处理，不可随意丢弃或作他用。</w:t>
            </w:r>
          </w:p>
        </w:tc>
      </w:tr>
      <w:tr w14:paraId="50FFE622">
        <w:tblPrEx>
          <w:tblCellMar>
            <w:top w:w="0" w:type="dxa"/>
            <w:left w:w="0" w:type="dxa"/>
            <w:bottom w:w="0" w:type="dxa"/>
            <w:right w:w="0" w:type="dxa"/>
          </w:tblCellMar>
        </w:tblPrEx>
        <w:trPr>
          <w:wBefore w:w="0" w:type="auto"/>
          <w:tblCellSpacing w:w="0" w:type="dxa"/>
        </w:trPr>
        <w:tc>
          <w:tcPr>
            <w:tcW w:w="0" w:type="auto"/>
            <w:noWrap w:val="0"/>
            <w:vAlign w:val="center"/>
          </w:tcPr>
          <w:p w14:paraId="4C22D9E6">
            <w:r>
              <w:rPr>
                <w:rStyle w:val="10"/>
                <w:rFonts w:hint="eastAsia"/>
              </w:rPr>
              <w:t>中毒急救措施：</w:t>
            </w:r>
            <w:r>
              <w:rPr>
                <w:rFonts w:hint="eastAsia"/>
              </w:rPr>
              <w:br w:type="textWrapping"/>
            </w:r>
            <w:r>
              <w:rPr>
                <w:rStyle w:val="11"/>
                <w:rFonts w:hint="eastAsia"/>
              </w:rPr>
              <w:t>1、若用药时如果感觉不适，立即停止工作，采取急救措施，并携此标签送医就诊。 2、若溅到皮肤上，应立即用大量清水冲洗，如皮肤疼痛感持续，请医生诊治，并单独清洗被污染的工作服。 3、若不慎溅入眼中，要立即用清水冲洗15分钟以上，并请医生诊治。 4、若误服，立即携此标签将病人送医院救治，可对症治疗。</w:t>
            </w:r>
          </w:p>
        </w:tc>
      </w:tr>
      <w:tr w14:paraId="71B493DA">
        <w:tblPrEx>
          <w:tblCellMar>
            <w:top w:w="0" w:type="dxa"/>
            <w:left w:w="0" w:type="dxa"/>
            <w:bottom w:w="0" w:type="dxa"/>
            <w:right w:w="0" w:type="dxa"/>
          </w:tblCellMar>
        </w:tblPrEx>
        <w:trPr>
          <w:wBefore w:w="0" w:type="auto"/>
          <w:tblCellSpacing w:w="0" w:type="dxa"/>
        </w:trPr>
        <w:tc>
          <w:tcPr>
            <w:tcW w:w="0" w:type="auto"/>
            <w:noWrap w:val="0"/>
            <w:vAlign w:val="center"/>
          </w:tcPr>
          <w:p w14:paraId="2D53C5F4">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本品应贮存在干燥、阴凉、通风、防雨处，远离火源或热源。置于儿童、无关人员触及不到之处，并加锁保存。勿与食品、饮料、粮食、饲料等物其他商品同贮同运。</w:t>
            </w:r>
          </w:p>
        </w:tc>
      </w:tr>
      <w:tr w14:paraId="5561D189">
        <w:tblPrEx>
          <w:tblCellMar>
            <w:top w:w="0" w:type="dxa"/>
            <w:left w:w="0" w:type="dxa"/>
            <w:bottom w:w="0" w:type="dxa"/>
            <w:right w:w="0" w:type="dxa"/>
          </w:tblCellMar>
        </w:tblPrEx>
        <w:trPr>
          <w:wBefore w:w="0" w:type="auto"/>
          <w:tblCellSpacing w:w="0" w:type="dxa"/>
        </w:trPr>
        <w:tc>
          <w:tcPr>
            <w:tcW w:w="0" w:type="auto"/>
            <w:noWrap w:val="0"/>
            <w:vAlign w:val="center"/>
          </w:tcPr>
          <w:p w14:paraId="08F78DC0">
            <w:r>
              <w:rPr>
                <w:rStyle w:val="10"/>
                <w:rFonts w:hint="eastAsia"/>
              </w:rPr>
              <w:t>质量保证期：</w:t>
            </w:r>
            <w:r>
              <w:rPr>
                <w:rStyle w:val="11"/>
                <w:rFonts w:hint="eastAsia"/>
              </w:rPr>
              <w:t>2年</w:t>
            </w:r>
          </w:p>
        </w:tc>
      </w:tr>
      <w:tr w14:paraId="3C2F866D">
        <w:tblPrEx>
          <w:tblCellMar>
            <w:top w:w="0" w:type="dxa"/>
            <w:left w:w="0" w:type="dxa"/>
            <w:bottom w:w="0" w:type="dxa"/>
            <w:right w:w="0" w:type="dxa"/>
          </w:tblCellMar>
        </w:tblPrEx>
        <w:trPr>
          <w:wBefore w:w="0" w:type="auto"/>
          <w:tblCellSpacing w:w="0" w:type="dxa"/>
        </w:trPr>
        <w:tc>
          <w:tcPr>
            <w:tcW w:w="0" w:type="auto"/>
            <w:noWrap w:val="0"/>
            <w:vAlign w:val="center"/>
          </w:tcPr>
          <w:p w14:paraId="2465428A">
            <w:r>
              <w:rPr>
                <w:rStyle w:val="10"/>
                <w:rFonts w:hint="eastAsia"/>
              </w:rPr>
              <w:t>备注：</w:t>
            </w:r>
          </w:p>
        </w:tc>
      </w:tr>
    </w:tbl>
    <w:p w14:paraId="5A7D344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8C5D7E1">
        <w:tblPrEx>
          <w:tblCellMar>
            <w:top w:w="0" w:type="dxa"/>
            <w:left w:w="0" w:type="dxa"/>
            <w:bottom w:w="0" w:type="dxa"/>
            <w:right w:w="0" w:type="dxa"/>
          </w:tblCellMar>
        </w:tblPrEx>
        <w:trPr>
          <w:wBefore w:w="0" w:type="auto"/>
          <w:tblCellSpacing w:w="0" w:type="dxa"/>
        </w:trPr>
        <w:tc>
          <w:tcPr>
            <w:tcW w:w="0" w:type="auto"/>
            <w:noWrap w:val="0"/>
            <w:vAlign w:val="center"/>
          </w:tcPr>
          <w:p w14:paraId="708FDF89">
            <w:r>
              <w:rPr>
                <w:rStyle w:val="10"/>
                <w:rFonts w:hint="eastAsia"/>
              </w:rPr>
              <w:t>登记证号：</w:t>
            </w:r>
            <w:r>
              <w:rPr>
                <w:rFonts w:hint="eastAsia"/>
              </w:rPr>
              <w:t>WP20210259</w:t>
            </w:r>
          </w:p>
        </w:tc>
      </w:tr>
      <w:tr w14:paraId="00750D8C">
        <w:tblPrEx>
          <w:tblCellMar>
            <w:top w:w="0" w:type="dxa"/>
            <w:left w:w="0" w:type="dxa"/>
            <w:bottom w:w="0" w:type="dxa"/>
            <w:right w:w="0" w:type="dxa"/>
          </w:tblCellMar>
        </w:tblPrEx>
        <w:trPr>
          <w:wBefore w:w="0" w:type="auto"/>
          <w:tblCellSpacing w:w="0" w:type="dxa"/>
        </w:trPr>
        <w:tc>
          <w:tcPr>
            <w:tcW w:w="0" w:type="auto"/>
            <w:noWrap w:val="0"/>
            <w:vAlign w:val="center"/>
          </w:tcPr>
          <w:p w14:paraId="2B251347">
            <w:r>
              <w:rPr>
                <w:rStyle w:val="10"/>
                <w:rFonts w:hint="eastAsia"/>
              </w:rPr>
              <w:t>登记证持有人：</w:t>
            </w:r>
            <w:r>
              <w:rPr>
                <w:rFonts w:hint="eastAsia"/>
              </w:rPr>
              <w:t>河南省周口市中科化工有限公司</w:t>
            </w:r>
          </w:p>
        </w:tc>
      </w:tr>
      <w:tr w14:paraId="799660A8">
        <w:tblPrEx>
          <w:tblCellMar>
            <w:top w:w="0" w:type="dxa"/>
            <w:left w:w="0" w:type="dxa"/>
            <w:bottom w:w="0" w:type="dxa"/>
            <w:right w:w="0" w:type="dxa"/>
          </w:tblCellMar>
        </w:tblPrEx>
        <w:trPr>
          <w:wBefore w:w="0" w:type="auto"/>
          <w:tblCellSpacing w:w="0" w:type="dxa"/>
        </w:trPr>
        <w:tc>
          <w:tcPr>
            <w:tcW w:w="0" w:type="auto"/>
            <w:noWrap w:val="0"/>
            <w:vAlign w:val="center"/>
          </w:tcPr>
          <w:p w14:paraId="3A18B52C">
            <w:r>
              <w:rPr>
                <w:rStyle w:val="10"/>
                <w:rFonts w:hint="eastAsia"/>
              </w:rPr>
              <w:t>农药名称：</w:t>
            </w:r>
            <w:r>
              <w:rPr>
                <w:rFonts w:hint="eastAsia"/>
              </w:rPr>
              <w:t>呋虫胺</w:t>
            </w:r>
          </w:p>
        </w:tc>
      </w:tr>
      <w:tr w14:paraId="5C38FA50">
        <w:tblPrEx>
          <w:tblCellMar>
            <w:top w:w="0" w:type="dxa"/>
            <w:left w:w="0" w:type="dxa"/>
            <w:bottom w:w="0" w:type="dxa"/>
            <w:right w:w="0" w:type="dxa"/>
          </w:tblCellMar>
        </w:tblPrEx>
        <w:trPr>
          <w:wBefore w:w="0" w:type="auto"/>
          <w:tblCellSpacing w:w="0" w:type="dxa"/>
        </w:trPr>
        <w:tc>
          <w:tcPr>
            <w:tcW w:w="0" w:type="auto"/>
            <w:noWrap w:val="0"/>
            <w:vAlign w:val="center"/>
          </w:tcPr>
          <w:p w14:paraId="14A8A783">
            <w:r>
              <w:rPr>
                <w:rStyle w:val="10"/>
                <w:rFonts w:hint="eastAsia"/>
              </w:rPr>
              <w:t>剂型：</w:t>
            </w:r>
            <w:r>
              <w:rPr>
                <w:rFonts w:hint="eastAsia"/>
              </w:rPr>
              <w:t>可溶液剂</w:t>
            </w:r>
          </w:p>
        </w:tc>
      </w:tr>
      <w:tr w14:paraId="4EF19592">
        <w:tblPrEx>
          <w:tblCellMar>
            <w:top w:w="0" w:type="dxa"/>
            <w:left w:w="0" w:type="dxa"/>
            <w:bottom w:w="0" w:type="dxa"/>
            <w:right w:w="0" w:type="dxa"/>
          </w:tblCellMar>
        </w:tblPrEx>
        <w:trPr>
          <w:wBefore w:w="0" w:type="auto"/>
          <w:tblCellSpacing w:w="0" w:type="dxa"/>
        </w:trPr>
        <w:tc>
          <w:tcPr>
            <w:tcW w:w="0" w:type="auto"/>
            <w:noWrap w:val="0"/>
            <w:vAlign w:val="center"/>
          </w:tcPr>
          <w:p w14:paraId="18C7C6B6">
            <w:r>
              <w:rPr>
                <w:rStyle w:val="10"/>
                <w:rFonts w:hint="eastAsia"/>
              </w:rPr>
              <w:t>毒性及其标识：</w:t>
            </w:r>
            <w:r>
              <w:rPr>
                <w:rFonts w:hint="eastAsia"/>
              </w:rPr>
              <w:t xml:space="preserve"> </w:t>
            </w:r>
            <w:r>
              <w:rPr>
                <w:lang/>
              </w:rPr>
              <w:drawing>
                <wp:inline distT="0" distB="0" distL="114300" distR="114300">
                  <wp:extent cx="476250" cy="323850"/>
                  <wp:effectExtent l="0" t="0" r="0" b="0"/>
                  <wp:docPr id="571" name="图片 57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12D0A21">
        <w:tblPrEx>
          <w:tblCellMar>
            <w:top w:w="0" w:type="dxa"/>
            <w:left w:w="0" w:type="dxa"/>
            <w:bottom w:w="0" w:type="dxa"/>
            <w:right w:w="0" w:type="dxa"/>
          </w:tblCellMar>
        </w:tblPrEx>
        <w:trPr>
          <w:wBefore w:w="0" w:type="auto"/>
          <w:tblCellSpacing w:w="0" w:type="dxa"/>
        </w:trPr>
        <w:tc>
          <w:tcPr>
            <w:tcW w:w="0" w:type="auto"/>
            <w:noWrap w:val="0"/>
            <w:vAlign w:val="center"/>
          </w:tcPr>
          <w:p w14:paraId="42841A7E">
            <w:r>
              <w:rPr>
                <w:rStyle w:val="10"/>
                <w:rFonts w:hint="eastAsia"/>
              </w:rPr>
              <w:t>总有效成分含量：</w:t>
            </w:r>
            <w:r>
              <w:rPr>
                <w:rFonts w:hint="eastAsia"/>
              </w:rPr>
              <w:t>0.5%</w:t>
            </w:r>
          </w:p>
        </w:tc>
      </w:tr>
      <w:tr w14:paraId="41895012">
        <w:tblPrEx>
          <w:tblCellMar>
            <w:top w:w="0" w:type="dxa"/>
            <w:left w:w="0" w:type="dxa"/>
            <w:bottom w:w="0" w:type="dxa"/>
            <w:right w:w="0" w:type="dxa"/>
          </w:tblCellMar>
        </w:tblPrEx>
        <w:trPr>
          <w:wBefore w:w="0" w:type="auto"/>
          <w:tblCellSpacing w:w="0" w:type="dxa"/>
        </w:trPr>
        <w:tc>
          <w:tcPr>
            <w:tcW w:w="0" w:type="auto"/>
            <w:noWrap w:val="0"/>
            <w:vAlign w:val="center"/>
          </w:tcPr>
          <w:p w14:paraId="452B5E2B">
            <w:r>
              <w:rPr>
                <w:rFonts w:hint="eastAsia"/>
              </w:rPr>
              <w:t xml:space="preserve">有效成分及其含量： </w:t>
            </w:r>
          </w:p>
          <w:p w14:paraId="6EF48400">
            <w:r>
              <w:rPr>
                <w:rFonts w:hint="eastAsia"/>
              </w:rPr>
              <w:t xml:space="preserve">    呋虫胺0.5%    </w:t>
            </w:r>
          </w:p>
        </w:tc>
      </w:tr>
      <w:tr w14:paraId="78C8F661">
        <w:tblPrEx>
          <w:tblCellMar>
            <w:top w:w="0" w:type="dxa"/>
            <w:left w:w="0" w:type="dxa"/>
            <w:bottom w:w="0" w:type="dxa"/>
            <w:right w:w="0" w:type="dxa"/>
          </w:tblCellMar>
        </w:tblPrEx>
        <w:trPr>
          <w:wBefore w:w="0" w:type="auto"/>
          <w:tblCellSpacing w:w="0" w:type="dxa"/>
        </w:trPr>
        <w:tc>
          <w:tcPr>
            <w:tcW w:w="0" w:type="auto"/>
            <w:noWrap w:val="0"/>
            <w:vAlign w:val="center"/>
          </w:tcPr>
          <w:p w14:paraId="65D447B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0E261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9F2886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7B4B3C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3D3E1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58A883D">
                  <w:r>
                    <w:rPr>
                      <w:rStyle w:val="11"/>
                      <w:rFonts w:hint="eastAsia"/>
                    </w:rPr>
                    <w:t>施用方式</w:t>
                  </w:r>
                </w:p>
              </w:tc>
            </w:tr>
            <w:tr w14:paraId="4B8108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6203A30">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6DD8B1">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03758B">
                  <w:r>
                    <w:rPr>
                      <w:rStyle w:val="11"/>
                      <w:rFonts w:hint="eastAsia"/>
                    </w:rPr>
                    <w:t>7毫升/立方米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997BE3">
                  <w:r>
                    <w:rPr>
                      <w:rStyle w:val="11"/>
                      <w:rFonts w:hint="eastAsia"/>
                    </w:rPr>
                    <w:t>喷雾</w:t>
                  </w:r>
                </w:p>
              </w:tc>
            </w:tr>
          </w:tbl>
          <w:p w14:paraId="0347A1A3">
            <w:pPr>
              <w:rPr>
                <w:rFonts w:ascii="Times New Roman" w:hAnsi="Times New Roman" w:cs="Times New Roman"/>
                <w:sz w:val="20"/>
                <w:szCs w:val="20"/>
              </w:rPr>
            </w:pPr>
          </w:p>
        </w:tc>
      </w:tr>
      <w:tr w14:paraId="599E9787">
        <w:tblPrEx>
          <w:tblCellMar>
            <w:top w:w="0" w:type="dxa"/>
            <w:left w:w="0" w:type="dxa"/>
            <w:bottom w:w="0" w:type="dxa"/>
            <w:right w:w="0" w:type="dxa"/>
          </w:tblCellMar>
        </w:tblPrEx>
        <w:trPr>
          <w:wBefore w:w="0" w:type="auto"/>
          <w:tblCellSpacing w:w="0" w:type="dxa"/>
        </w:trPr>
        <w:tc>
          <w:tcPr>
            <w:tcW w:w="0" w:type="auto"/>
            <w:noWrap w:val="0"/>
            <w:vAlign w:val="center"/>
          </w:tcPr>
          <w:p w14:paraId="5EC36CF8">
            <w:r>
              <w:rPr>
                <w:rStyle w:val="10"/>
                <w:rFonts w:hint="eastAsia"/>
              </w:rPr>
              <w:t>使用技术要求:</w:t>
            </w:r>
            <w:r>
              <w:rPr>
                <w:rFonts w:hint="eastAsia"/>
              </w:rPr>
              <w:br w:type="textWrapping"/>
            </w:r>
            <w:r>
              <w:rPr>
                <w:rStyle w:val="11"/>
                <w:rFonts w:hint="eastAsia"/>
              </w:rPr>
              <w:t>对蜚蠊滋扰的场所进行喷雾，使用后30分钟后打开门窗，经充分通风后再进入房间。</w:t>
            </w:r>
          </w:p>
        </w:tc>
      </w:tr>
      <w:tr w14:paraId="1D7D8688">
        <w:tblPrEx>
          <w:tblCellMar>
            <w:top w:w="0" w:type="dxa"/>
            <w:left w:w="0" w:type="dxa"/>
            <w:bottom w:w="0" w:type="dxa"/>
            <w:right w:w="0" w:type="dxa"/>
          </w:tblCellMar>
        </w:tblPrEx>
        <w:trPr>
          <w:wBefore w:w="0" w:type="auto"/>
          <w:tblCellSpacing w:w="0" w:type="dxa"/>
        </w:trPr>
        <w:tc>
          <w:tcPr>
            <w:tcW w:w="0" w:type="auto"/>
            <w:noWrap w:val="0"/>
            <w:vAlign w:val="center"/>
          </w:tcPr>
          <w:p w14:paraId="247A9DD4">
            <w:r>
              <w:rPr>
                <w:rStyle w:val="10"/>
                <w:rFonts w:hint="eastAsia"/>
              </w:rPr>
              <w:t>产品性能:</w:t>
            </w:r>
            <w:r>
              <w:rPr>
                <w:rFonts w:hint="eastAsia"/>
              </w:rPr>
              <w:br w:type="textWrapping"/>
            </w:r>
            <w:r>
              <w:rPr>
                <w:rStyle w:val="11"/>
                <w:rFonts w:hint="eastAsia"/>
              </w:rPr>
              <w:t>呋虫胺是通过脊柱神经传递和触杀胃毒作用的杀虫剂，适用于家庭、宾馆、办公室等室内场所使用。</w:t>
            </w:r>
          </w:p>
        </w:tc>
      </w:tr>
      <w:tr w14:paraId="1AA175D9">
        <w:tblPrEx>
          <w:tblCellMar>
            <w:top w:w="0" w:type="dxa"/>
            <w:left w:w="0" w:type="dxa"/>
            <w:bottom w:w="0" w:type="dxa"/>
            <w:right w:w="0" w:type="dxa"/>
          </w:tblCellMar>
        </w:tblPrEx>
        <w:trPr>
          <w:wBefore w:w="0" w:type="auto"/>
          <w:tblCellSpacing w:w="0" w:type="dxa"/>
        </w:trPr>
        <w:tc>
          <w:tcPr>
            <w:tcW w:w="0" w:type="auto"/>
            <w:noWrap w:val="0"/>
            <w:vAlign w:val="center"/>
          </w:tcPr>
          <w:p w14:paraId="2DCD084B">
            <w:r>
              <w:rPr>
                <w:rStyle w:val="10"/>
                <w:rFonts w:hint="eastAsia"/>
              </w:rPr>
              <w:t>注意事项：</w:t>
            </w:r>
            <w:r>
              <w:rPr>
                <w:rFonts w:hint="eastAsia"/>
              </w:rPr>
              <w:br w:type="textWrapping"/>
            </w:r>
            <w:r>
              <w:rPr>
                <w:rStyle w:val="11"/>
                <w:rFonts w:hint="eastAsia"/>
              </w:rPr>
              <w:t>1.本品仅限用于室内。2.不要将本品施放于水流通道处，以免影响本品的持效作用。避免与具有还原剂物质接触或混合。3. 施药后应清洗双手。 4.施用本品时不要让药剂沾染皮肤和眼睛；切勿污染食品及饮用水；应远离儿童、家畜及宠物，以防误食；蚕室及其附近禁用。 5.避免孕妇、哺乳期妇女及过敏者接触本品； 6. 用过的空包装应妥善处理，不可随意丢弃，也不可做他用。</w:t>
            </w:r>
          </w:p>
        </w:tc>
      </w:tr>
      <w:tr w14:paraId="7AA84479">
        <w:tblPrEx>
          <w:tblCellMar>
            <w:top w:w="0" w:type="dxa"/>
            <w:left w:w="0" w:type="dxa"/>
            <w:bottom w:w="0" w:type="dxa"/>
            <w:right w:w="0" w:type="dxa"/>
          </w:tblCellMar>
        </w:tblPrEx>
        <w:trPr>
          <w:wBefore w:w="0" w:type="auto"/>
          <w:tblCellSpacing w:w="0" w:type="dxa"/>
        </w:trPr>
        <w:tc>
          <w:tcPr>
            <w:tcW w:w="0" w:type="auto"/>
            <w:noWrap w:val="0"/>
            <w:vAlign w:val="center"/>
          </w:tcPr>
          <w:p w14:paraId="09692BBD">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吸入：立即离开施药现场，转移到空气清新处。误食：立即停止服用，用清水充分漱口后，携带农药标签到医院就诊。</w:t>
            </w:r>
          </w:p>
        </w:tc>
      </w:tr>
      <w:tr w14:paraId="1F24AC62">
        <w:tblPrEx>
          <w:tblCellMar>
            <w:top w:w="0" w:type="dxa"/>
            <w:left w:w="0" w:type="dxa"/>
            <w:bottom w:w="0" w:type="dxa"/>
            <w:right w:w="0" w:type="dxa"/>
          </w:tblCellMar>
        </w:tblPrEx>
        <w:trPr>
          <w:wBefore w:w="0" w:type="auto"/>
          <w:tblCellSpacing w:w="0" w:type="dxa"/>
        </w:trPr>
        <w:tc>
          <w:tcPr>
            <w:tcW w:w="0" w:type="auto"/>
            <w:noWrap w:val="0"/>
            <w:vAlign w:val="center"/>
          </w:tcPr>
          <w:p w14:paraId="6100E76C">
            <w:r>
              <w:rPr>
                <w:rStyle w:val="10"/>
                <w:rFonts w:hint="eastAsia"/>
              </w:rPr>
              <w:t>储存和运输方法：</w:t>
            </w:r>
            <w:r>
              <w:rPr>
                <w:rFonts w:hint="eastAsia"/>
              </w:rPr>
              <w:br w:type="textWrapping"/>
            </w:r>
            <w:r>
              <w:rPr>
                <w:rStyle w:val="11"/>
                <w:rFonts w:hint="eastAsia"/>
              </w:rPr>
              <w:t xml:space="preserve">本品应贮存在干燥、阴凉、通风、防雨处，远离火源和热源，置于儿童触及不到之处，并加锁；不能与食品、饮料、粮食、饲料等同贮同运。装卸运输时注意检查包装是否密封完整，轻拿轻放，不可倒置。 </w:t>
            </w:r>
          </w:p>
        </w:tc>
      </w:tr>
      <w:tr w14:paraId="76664310">
        <w:tblPrEx>
          <w:tblCellMar>
            <w:top w:w="0" w:type="dxa"/>
            <w:left w:w="0" w:type="dxa"/>
            <w:bottom w:w="0" w:type="dxa"/>
            <w:right w:w="0" w:type="dxa"/>
          </w:tblCellMar>
        </w:tblPrEx>
        <w:trPr>
          <w:wBefore w:w="0" w:type="auto"/>
          <w:tblCellSpacing w:w="0" w:type="dxa"/>
        </w:trPr>
        <w:tc>
          <w:tcPr>
            <w:tcW w:w="0" w:type="auto"/>
            <w:noWrap w:val="0"/>
            <w:vAlign w:val="center"/>
          </w:tcPr>
          <w:p w14:paraId="0C2FE0CB">
            <w:r>
              <w:rPr>
                <w:rStyle w:val="10"/>
                <w:rFonts w:hint="eastAsia"/>
              </w:rPr>
              <w:t>质量保证期：</w:t>
            </w:r>
            <w:r>
              <w:rPr>
                <w:rStyle w:val="11"/>
                <w:rFonts w:hint="eastAsia"/>
              </w:rPr>
              <w:t>2年</w:t>
            </w:r>
          </w:p>
        </w:tc>
      </w:tr>
      <w:tr w14:paraId="00AD7890">
        <w:tblPrEx>
          <w:tblCellMar>
            <w:top w:w="0" w:type="dxa"/>
            <w:left w:w="0" w:type="dxa"/>
            <w:bottom w:w="0" w:type="dxa"/>
            <w:right w:w="0" w:type="dxa"/>
          </w:tblCellMar>
        </w:tblPrEx>
        <w:trPr>
          <w:wBefore w:w="0" w:type="auto"/>
          <w:tblCellSpacing w:w="0" w:type="dxa"/>
        </w:trPr>
        <w:tc>
          <w:tcPr>
            <w:tcW w:w="0" w:type="auto"/>
            <w:noWrap w:val="0"/>
            <w:vAlign w:val="center"/>
          </w:tcPr>
          <w:p w14:paraId="6C4BE691">
            <w:r>
              <w:rPr>
                <w:rStyle w:val="10"/>
                <w:rFonts w:hint="eastAsia"/>
              </w:rPr>
              <w:t>备注：</w:t>
            </w:r>
          </w:p>
        </w:tc>
      </w:tr>
    </w:tbl>
    <w:p w14:paraId="6166078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210DFC8">
        <w:tblPrEx>
          <w:tblCellMar>
            <w:top w:w="0" w:type="dxa"/>
            <w:left w:w="0" w:type="dxa"/>
            <w:bottom w:w="0" w:type="dxa"/>
            <w:right w:w="0" w:type="dxa"/>
          </w:tblCellMar>
        </w:tblPrEx>
        <w:trPr>
          <w:wBefore w:w="0" w:type="auto"/>
          <w:tblCellSpacing w:w="0" w:type="dxa"/>
        </w:trPr>
        <w:tc>
          <w:tcPr>
            <w:tcW w:w="0" w:type="auto"/>
            <w:noWrap w:val="0"/>
            <w:vAlign w:val="center"/>
          </w:tcPr>
          <w:p w14:paraId="177060E6">
            <w:r>
              <w:rPr>
                <w:rStyle w:val="10"/>
                <w:rFonts w:hint="eastAsia"/>
              </w:rPr>
              <w:t>登记证号：</w:t>
            </w:r>
            <w:r>
              <w:rPr>
                <w:rFonts w:hint="eastAsia"/>
              </w:rPr>
              <w:t>PD20212181</w:t>
            </w:r>
          </w:p>
        </w:tc>
      </w:tr>
      <w:tr w14:paraId="3C7CCE82">
        <w:tblPrEx>
          <w:tblCellMar>
            <w:top w:w="0" w:type="dxa"/>
            <w:left w:w="0" w:type="dxa"/>
            <w:bottom w:w="0" w:type="dxa"/>
            <w:right w:w="0" w:type="dxa"/>
          </w:tblCellMar>
        </w:tblPrEx>
        <w:trPr>
          <w:wBefore w:w="0" w:type="auto"/>
          <w:tblCellSpacing w:w="0" w:type="dxa"/>
        </w:trPr>
        <w:tc>
          <w:tcPr>
            <w:tcW w:w="0" w:type="auto"/>
            <w:noWrap w:val="0"/>
            <w:vAlign w:val="center"/>
          </w:tcPr>
          <w:p w14:paraId="2930194B">
            <w:r>
              <w:rPr>
                <w:rStyle w:val="10"/>
                <w:rFonts w:hint="eastAsia"/>
              </w:rPr>
              <w:t>登记证持有人：</w:t>
            </w:r>
            <w:r>
              <w:rPr>
                <w:rFonts w:hint="eastAsia"/>
              </w:rPr>
              <w:t>江苏优嘉植物保护有限公司</w:t>
            </w:r>
          </w:p>
        </w:tc>
      </w:tr>
      <w:tr w14:paraId="737C5DC1">
        <w:tblPrEx>
          <w:tblCellMar>
            <w:top w:w="0" w:type="dxa"/>
            <w:left w:w="0" w:type="dxa"/>
            <w:bottom w:w="0" w:type="dxa"/>
            <w:right w:w="0" w:type="dxa"/>
          </w:tblCellMar>
        </w:tblPrEx>
        <w:trPr>
          <w:wBefore w:w="0" w:type="auto"/>
          <w:tblCellSpacing w:w="0" w:type="dxa"/>
        </w:trPr>
        <w:tc>
          <w:tcPr>
            <w:tcW w:w="0" w:type="auto"/>
            <w:noWrap w:val="0"/>
            <w:vAlign w:val="center"/>
          </w:tcPr>
          <w:p w14:paraId="7D20797A">
            <w:r>
              <w:rPr>
                <w:rStyle w:val="10"/>
                <w:rFonts w:hint="eastAsia"/>
              </w:rPr>
              <w:t>农药名称：</w:t>
            </w:r>
            <w:r>
              <w:rPr>
                <w:rFonts w:hint="eastAsia"/>
              </w:rPr>
              <w:t>滴酸·麦草畏</w:t>
            </w:r>
          </w:p>
        </w:tc>
      </w:tr>
      <w:tr w14:paraId="4D2E63AA">
        <w:tblPrEx>
          <w:tblCellMar>
            <w:top w:w="0" w:type="dxa"/>
            <w:left w:w="0" w:type="dxa"/>
            <w:bottom w:w="0" w:type="dxa"/>
            <w:right w:w="0" w:type="dxa"/>
          </w:tblCellMar>
        </w:tblPrEx>
        <w:trPr>
          <w:wBefore w:w="0" w:type="auto"/>
          <w:tblCellSpacing w:w="0" w:type="dxa"/>
        </w:trPr>
        <w:tc>
          <w:tcPr>
            <w:tcW w:w="0" w:type="auto"/>
            <w:noWrap w:val="0"/>
            <w:vAlign w:val="center"/>
          </w:tcPr>
          <w:p w14:paraId="2F0BC672">
            <w:r>
              <w:rPr>
                <w:rStyle w:val="10"/>
                <w:rFonts w:hint="eastAsia"/>
              </w:rPr>
              <w:t>剂型：</w:t>
            </w:r>
            <w:r>
              <w:rPr>
                <w:rFonts w:hint="eastAsia"/>
              </w:rPr>
              <w:t>可溶液剂</w:t>
            </w:r>
          </w:p>
        </w:tc>
      </w:tr>
      <w:tr w14:paraId="3BB22AB5">
        <w:tblPrEx>
          <w:tblCellMar>
            <w:top w:w="0" w:type="dxa"/>
            <w:left w:w="0" w:type="dxa"/>
            <w:bottom w:w="0" w:type="dxa"/>
            <w:right w:w="0" w:type="dxa"/>
          </w:tblCellMar>
        </w:tblPrEx>
        <w:trPr>
          <w:wBefore w:w="0" w:type="auto"/>
          <w:tblCellSpacing w:w="0" w:type="dxa"/>
        </w:trPr>
        <w:tc>
          <w:tcPr>
            <w:tcW w:w="0" w:type="auto"/>
            <w:noWrap w:val="0"/>
            <w:vAlign w:val="center"/>
          </w:tcPr>
          <w:p w14:paraId="358BC291">
            <w:r>
              <w:rPr>
                <w:rStyle w:val="10"/>
                <w:rFonts w:hint="eastAsia"/>
              </w:rPr>
              <w:t>毒性及其标识：</w:t>
            </w:r>
            <w:r>
              <w:rPr>
                <w:rFonts w:hint="eastAsia"/>
              </w:rPr>
              <w:t xml:space="preserve"> </w:t>
            </w:r>
            <w:r>
              <w:rPr>
                <w:lang/>
              </w:rPr>
              <w:drawing>
                <wp:inline distT="0" distB="0" distL="114300" distR="114300">
                  <wp:extent cx="476250" cy="323850"/>
                  <wp:effectExtent l="0" t="0" r="0" b="0"/>
                  <wp:docPr id="572" name="图片 57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7B03283">
        <w:tblPrEx>
          <w:tblCellMar>
            <w:top w:w="0" w:type="dxa"/>
            <w:left w:w="0" w:type="dxa"/>
            <w:bottom w:w="0" w:type="dxa"/>
            <w:right w:w="0" w:type="dxa"/>
          </w:tblCellMar>
        </w:tblPrEx>
        <w:trPr>
          <w:wBefore w:w="0" w:type="auto"/>
          <w:tblCellSpacing w:w="0" w:type="dxa"/>
        </w:trPr>
        <w:tc>
          <w:tcPr>
            <w:tcW w:w="0" w:type="auto"/>
            <w:noWrap w:val="0"/>
            <w:vAlign w:val="center"/>
          </w:tcPr>
          <w:p w14:paraId="74E50958">
            <w:r>
              <w:rPr>
                <w:rStyle w:val="10"/>
                <w:rFonts w:hint="eastAsia"/>
              </w:rPr>
              <w:t>总有效成分含量：</w:t>
            </w:r>
            <w:r>
              <w:rPr>
                <w:rFonts w:hint="eastAsia"/>
              </w:rPr>
              <w:t>36%</w:t>
            </w:r>
          </w:p>
        </w:tc>
      </w:tr>
      <w:tr w14:paraId="386DC77C">
        <w:tblPrEx>
          <w:tblCellMar>
            <w:top w:w="0" w:type="dxa"/>
            <w:left w:w="0" w:type="dxa"/>
            <w:bottom w:w="0" w:type="dxa"/>
            <w:right w:w="0" w:type="dxa"/>
          </w:tblCellMar>
        </w:tblPrEx>
        <w:trPr>
          <w:wBefore w:w="0" w:type="auto"/>
          <w:tblCellSpacing w:w="0" w:type="dxa"/>
        </w:trPr>
        <w:tc>
          <w:tcPr>
            <w:tcW w:w="0" w:type="auto"/>
            <w:noWrap w:val="0"/>
            <w:vAlign w:val="center"/>
          </w:tcPr>
          <w:p w14:paraId="2EF603B8">
            <w:r>
              <w:rPr>
                <w:rFonts w:hint="eastAsia"/>
              </w:rPr>
              <w:t xml:space="preserve">有效成分及其含量： </w:t>
            </w:r>
          </w:p>
          <w:p w14:paraId="0EFF2EE4">
            <w:r>
              <w:rPr>
                <w:rFonts w:hint="eastAsia"/>
              </w:rPr>
              <w:t xml:space="preserve">    麦草畏11%    2,4-滴25%    </w:t>
            </w:r>
          </w:p>
        </w:tc>
      </w:tr>
      <w:tr w14:paraId="204CF6CA">
        <w:tblPrEx>
          <w:tblCellMar>
            <w:top w:w="0" w:type="dxa"/>
            <w:left w:w="0" w:type="dxa"/>
            <w:bottom w:w="0" w:type="dxa"/>
            <w:right w:w="0" w:type="dxa"/>
          </w:tblCellMar>
        </w:tblPrEx>
        <w:trPr>
          <w:wBefore w:w="0" w:type="auto"/>
          <w:tblCellSpacing w:w="0" w:type="dxa"/>
        </w:trPr>
        <w:tc>
          <w:tcPr>
            <w:tcW w:w="0" w:type="auto"/>
            <w:noWrap w:val="0"/>
            <w:vAlign w:val="center"/>
          </w:tcPr>
          <w:p w14:paraId="2388A89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F1216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D7EC6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09503C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B47067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489C7E2">
                  <w:r>
                    <w:rPr>
                      <w:rStyle w:val="11"/>
                      <w:rFonts w:hint="eastAsia"/>
                    </w:rPr>
                    <w:t>施用方式</w:t>
                  </w:r>
                </w:p>
              </w:tc>
            </w:tr>
            <w:tr w14:paraId="640B82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D294AF5">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9A1350">
                  <w:r>
                    <w:rPr>
                      <w:rStyle w:val="11"/>
                      <w:rFonts w:hint="eastAsia"/>
                    </w:rPr>
                    <w:t>一年生阔叶杂草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F74573">
                  <w:r>
                    <w:rPr>
                      <w:rStyle w:val="11"/>
                      <w:rFonts w:hint="eastAsia"/>
                    </w:rPr>
                    <w:t>75-90毫升/亩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E925C4">
                  <w:r>
                    <w:rPr>
                      <w:rStyle w:val="11"/>
                      <w:rFonts w:hint="eastAsia"/>
                    </w:rPr>
                    <w:t>茎叶喷雾</w:t>
                  </w:r>
                </w:p>
              </w:tc>
            </w:tr>
          </w:tbl>
          <w:p w14:paraId="20A74FDC">
            <w:pPr>
              <w:rPr>
                <w:rFonts w:ascii="Times New Roman" w:hAnsi="Times New Roman" w:cs="Times New Roman"/>
                <w:sz w:val="20"/>
                <w:szCs w:val="20"/>
              </w:rPr>
            </w:pPr>
          </w:p>
        </w:tc>
      </w:tr>
      <w:tr w14:paraId="2989077B">
        <w:tblPrEx>
          <w:tblCellMar>
            <w:top w:w="0" w:type="dxa"/>
            <w:left w:w="0" w:type="dxa"/>
            <w:bottom w:w="0" w:type="dxa"/>
            <w:right w:w="0" w:type="dxa"/>
          </w:tblCellMar>
        </w:tblPrEx>
        <w:trPr>
          <w:wBefore w:w="0" w:type="auto"/>
          <w:tblCellSpacing w:w="0" w:type="dxa"/>
        </w:trPr>
        <w:tc>
          <w:tcPr>
            <w:tcW w:w="0" w:type="auto"/>
            <w:noWrap w:val="0"/>
            <w:vAlign w:val="center"/>
          </w:tcPr>
          <w:p w14:paraId="0724BB9C">
            <w:r>
              <w:rPr>
                <w:rStyle w:val="10"/>
                <w:rFonts w:hint="eastAsia"/>
              </w:rPr>
              <w:t>使用技术要求:</w:t>
            </w:r>
            <w:r>
              <w:rPr>
                <w:rFonts w:hint="eastAsia"/>
              </w:rPr>
              <w:br w:type="textWrapping"/>
            </w:r>
            <w:r>
              <w:rPr>
                <w:rStyle w:val="11"/>
                <w:rFonts w:hint="eastAsia"/>
              </w:rPr>
              <w:t>1. 冬小麦田返青至拔节前，阔叶杂草3-6叶期，茎叶喷雾一次。 2. 棉花、豆类、甜菜、蔬菜、果树等阔叶植物对本品敏感，喷药时要注意风向，以免药雾飘移到上述作物上，造成药害，应有隔离带，向日葵对本品尤其敏感，喷洒本品地块的周围不宜种植向日葵。 3. 大风天或预计1小时内降雨, 请勿施药。</w:t>
            </w:r>
          </w:p>
        </w:tc>
      </w:tr>
      <w:tr w14:paraId="34D72866">
        <w:tblPrEx>
          <w:tblCellMar>
            <w:top w:w="0" w:type="dxa"/>
            <w:left w:w="0" w:type="dxa"/>
            <w:bottom w:w="0" w:type="dxa"/>
            <w:right w:w="0" w:type="dxa"/>
          </w:tblCellMar>
        </w:tblPrEx>
        <w:trPr>
          <w:wBefore w:w="0" w:type="auto"/>
          <w:tblCellSpacing w:w="0" w:type="dxa"/>
        </w:trPr>
        <w:tc>
          <w:tcPr>
            <w:tcW w:w="0" w:type="auto"/>
            <w:noWrap w:val="0"/>
            <w:vAlign w:val="center"/>
          </w:tcPr>
          <w:p w14:paraId="11D5A7DC">
            <w:r>
              <w:rPr>
                <w:rStyle w:val="10"/>
                <w:rFonts w:hint="eastAsia"/>
              </w:rPr>
              <w:t>产品性能:</w:t>
            </w:r>
            <w:r>
              <w:rPr>
                <w:rFonts w:hint="eastAsia"/>
              </w:rPr>
              <w:br w:type="textWrapping"/>
            </w:r>
            <w:r>
              <w:rPr>
                <w:rStyle w:val="11"/>
                <w:rFonts w:hint="eastAsia"/>
              </w:rPr>
              <w:t>本品为苯氧羧酸类激素型除草剂和安息香酸类除草剂的混剂。是一种高效内吸传导型除草剂，可被植物根茎叶吸收并通过韧皮部向上、下传导，最终导致杂草死亡。对冬小麦田一年生阔叶杂草具有较好的防治效果。</w:t>
            </w:r>
          </w:p>
        </w:tc>
      </w:tr>
      <w:tr w14:paraId="17E2E2D5">
        <w:tblPrEx>
          <w:tblCellMar>
            <w:top w:w="0" w:type="dxa"/>
            <w:left w:w="0" w:type="dxa"/>
            <w:bottom w:w="0" w:type="dxa"/>
            <w:right w:w="0" w:type="dxa"/>
          </w:tblCellMar>
        </w:tblPrEx>
        <w:trPr>
          <w:wBefore w:w="0" w:type="auto"/>
          <w:tblCellSpacing w:w="0" w:type="dxa"/>
        </w:trPr>
        <w:tc>
          <w:tcPr>
            <w:tcW w:w="0" w:type="auto"/>
            <w:noWrap w:val="0"/>
            <w:vAlign w:val="center"/>
          </w:tcPr>
          <w:p w14:paraId="0613888C">
            <w:r>
              <w:rPr>
                <w:rStyle w:val="10"/>
                <w:rFonts w:hint="eastAsia"/>
              </w:rPr>
              <w:t>注意事项：</w:t>
            </w:r>
            <w:r>
              <w:rPr>
                <w:rFonts w:hint="eastAsia"/>
              </w:rPr>
              <w:br w:type="textWrapping"/>
            </w:r>
            <w:r>
              <w:rPr>
                <w:rStyle w:val="11"/>
                <w:rFonts w:hint="eastAsia"/>
              </w:rPr>
              <w:t>1. 避免与氧化剂接触。2. 喷雾要均匀，避免重喷或漏喷，也不得随意增加用药量。3. 使用本品时应穿长衣长裤、靴子、戴手套、眼镜、口罩等防护用具，避免吸入药液。施药期间不可吃东西、吸烟、饮水等。施药后应及时洗手、洗脸等。4. 小麦冬眠期间或气温低于5℃时，不宜施用本品。5. 使用过的施药器具，应清洗干净方可用于喷施其它农药。6. 本品对水生生物有毒，应远离水产养殖区、河塘等水体施药，禁止在河塘等水体中清洗施药器具。蚕室及桑园附近禁用. 7. 孕妇及哺乳期妇女禁止接触本品。8. 用过的容器应妥善处理，不可做他用，也不可随意丢弃。</w:t>
            </w:r>
          </w:p>
        </w:tc>
      </w:tr>
      <w:tr w14:paraId="2E1A5A08">
        <w:tblPrEx>
          <w:tblCellMar>
            <w:top w:w="0" w:type="dxa"/>
            <w:left w:w="0" w:type="dxa"/>
            <w:bottom w:w="0" w:type="dxa"/>
            <w:right w:w="0" w:type="dxa"/>
          </w:tblCellMar>
        </w:tblPrEx>
        <w:trPr>
          <w:wBefore w:w="0" w:type="auto"/>
          <w:tblCellSpacing w:w="0" w:type="dxa"/>
        </w:trPr>
        <w:tc>
          <w:tcPr>
            <w:tcW w:w="0" w:type="auto"/>
            <w:noWrap w:val="0"/>
            <w:vAlign w:val="center"/>
          </w:tcPr>
          <w:p w14:paraId="5E5AC568">
            <w:r>
              <w:rPr>
                <w:rStyle w:val="10"/>
                <w:rFonts w:hint="eastAsia"/>
              </w:rPr>
              <w:t>中毒急救措施：</w:t>
            </w:r>
            <w:r>
              <w:rPr>
                <w:rFonts w:hint="eastAsia"/>
              </w:rPr>
              <w:br w:type="textWrapping"/>
            </w:r>
            <w:r>
              <w:rPr>
                <w:rStyle w:val="11"/>
                <w:rFonts w:hint="eastAsia"/>
              </w:rPr>
              <w:t>1．皮肤接触：立即脱掉被污染的衣物，用大量清水冲洗被污染的皮肤，再用肥皂清洗干净。2.眼睛溅药：立即将眼睑翻开，用清水冲洗至少15分钟，再请医生诊治。3.发生吸入：立即将吸入者转移到空气清新处，请医生诊治。4.误服：立即携带标签送医就诊，无专用解毒剂，对症治疗。</w:t>
            </w:r>
          </w:p>
        </w:tc>
      </w:tr>
      <w:tr w14:paraId="35A95C0A">
        <w:tblPrEx>
          <w:tblCellMar>
            <w:top w:w="0" w:type="dxa"/>
            <w:left w:w="0" w:type="dxa"/>
            <w:bottom w:w="0" w:type="dxa"/>
            <w:right w:w="0" w:type="dxa"/>
          </w:tblCellMar>
        </w:tblPrEx>
        <w:trPr>
          <w:wBefore w:w="0" w:type="auto"/>
          <w:tblCellSpacing w:w="0" w:type="dxa"/>
        </w:trPr>
        <w:tc>
          <w:tcPr>
            <w:tcW w:w="0" w:type="auto"/>
            <w:noWrap w:val="0"/>
            <w:vAlign w:val="center"/>
          </w:tcPr>
          <w:p w14:paraId="41F92C00">
            <w:r>
              <w:rPr>
                <w:rStyle w:val="10"/>
                <w:rFonts w:hint="eastAsia"/>
              </w:rPr>
              <w:t>储存和运输方法：</w:t>
            </w:r>
            <w:r>
              <w:rPr>
                <w:rFonts w:hint="eastAsia"/>
              </w:rPr>
              <w:br w:type="textWrapping"/>
            </w:r>
            <w:r>
              <w:rPr>
                <w:rStyle w:val="11"/>
                <w:rFonts w:hint="eastAsia"/>
              </w:rPr>
              <w:t>1. 本品应密封贮存在干燥、阴凉、通风、防雨处，远离火源或热源。 2．存放于儿童触及不到之处，并加锁。3．勿与食品、饮料、粮食、饲料等其他商品同贮同运。贮存或运输时堆层不得超过规定，注意轻拿轻放，以免损坏包装，导致产品泄漏。</w:t>
            </w:r>
          </w:p>
        </w:tc>
      </w:tr>
      <w:tr w14:paraId="200260C4">
        <w:tblPrEx>
          <w:tblCellMar>
            <w:top w:w="0" w:type="dxa"/>
            <w:left w:w="0" w:type="dxa"/>
            <w:bottom w:w="0" w:type="dxa"/>
            <w:right w:w="0" w:type="dxa"/>
          </w:tblCellMar>
        </w:tblPrEx>
        <w:trPr>
          <w:wBefore w:w="0" w:type="auto"/>
          <w:tblCellSpacing w:w="0" w:type="dxa"/>
        </w:trPr>
        <w:tc>
          <w:tcPr>
            <w:tcW w:w="0" w:type="auto"/>
            <w:noWrap w:val="0"/>
            <w:vAlign w:val="center"/>
          </w:tcPr>
          <w:p w14:paraId="5ACA709C">
            <w:r>
              <w:rPr>
                <w:rStyle w:val="10"/>
                <w:rFonts w:hint="eastAsia"/>
              </w:rPr>
              <w:t>质量保证期：</w:t>
            </w:r>
            <w:r>
              <w:rPr>
                <w:rStyle w:val="11"/>
                <w:rFonts w:hint="eastAsia"/>
              </w:rPr>
              <w:t>2年</w:t>
            </w:r>
          </w:p>
        </w:tc>
      </w:tr>
      <w:tr w14:paraId="1AC07CD0">
        <w:tblPrEx>
          <w:tblCellMar>
            <w:top w:w="0" w:type="dxa"/>
            <w:left w:w="0" w:type="dxa"/>
            <w:bottom w:w="0" w:type="dxa"/>
            <w:right w:w="0" w:type="dxa"/>
          </w:tblCellMar>
        </w:tblPrEx>
        <w:trPr>
          <w:wBefore w:w="0" w:type="auto"/>
          <w:tblCellSpacing w:w="0" w:type="dxa"/>
        </w:trPr>
        <w:tc>
          <w:tcPr>
            <w:tcW w:w="0" w:type="auto"/>
            <w:noWrap w:val="0"/>
            <w:vAlign w:val="center"/>
          </w:tcPr>
          <w:p w14:paraId="5503AF8A">
            <w:r>
              <w:rPr>
                <w:rStyle w:val="10"/>
                <w:rFonts w:hint="eastAsia"/>
              </w:rPr>
              <w:t>备注：</w:t>
            </w:r>
            <w:r>
              <w:rPr>
                <w:rFonts w:hint="eastAsia"/>
              </w:rPr>
              <w:br w:type="textWrapping"/>
            </w:r>
            <w:r>
              <w:rPr>
                <w:rStyle w:val="11"/>
                <w:rFonts w:hint="eastAsia"/>
              </w:rPr>
              <w:t>麦草畏二甲胺盐13.2%，2,4-滴二甲胺盐30.1%。</w:t>
            </w:r>
          </w:p>
        </w:tc>
      </w:tr>
    </w:tbl>
    <w:p w14:paraId="7259E0F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46A7C7">
        <w:tblPrEx>
          <w:tblCellMar>
            <w:top w:w="0" w:type="dxa"/>
            <w:left w:w="0" w:type="dxa"/>
            <w:bottom w:w="0" w:type="dxa"/>
            <w:right w:w="0" w:type="dxa"/>
          </w:tblCellMar>
        </w:tblPrEx>
        <w:trPr>
          <w:wBefore w:w="0" w:type="auto"/>
          <w:tblCellSpacing w:w="0" w:type="dxa"/>
        </w:trPr>
        <w:tc>
          <w:tcPr>
            <w:tcW w:w="0" w:type="auto"/>
            <w:noWrap w:val="0"/>
            <w:vAlign w:val="center"/>
          </w:tcPr>
          <w:p w14:paraId="3A17FBE7">
            <w:r>
              <w:rPr>
                <w:rStyle w:val="10"/>
                <w:rFonts w:hint="eastAsia"/>
              </w:rPr>
              <w:t>登记证号：</w:t>
            </w:r>
            <w:r>
              <w:rPr>
                <w:rFonts w:hint="eastAsia"/>
              </w:rPr>
              <w:t>PD20212273</w:t>
            </w:r>
          </w:p>
        </w:tc>
      </w:tr>
      <w:tr w14:paraId="7CB82A8A">
        <w:tblPrEx>
          <w:tblCellMar>
            <w:top w:w="0" w:type="dxa"/>
            <w:left w:w="0" w:type="dxa"/>
            <w:bottom w:w="0" w:type="dxa"/>
            <w:right w:w="0" w:type="dxa"/>
          </w:tblCellMar>
        </w:tblPrEx>
        <w:trPr>
          <w:wBefore w:w="0" w:type="auto"/>
          <w:tblCellSpacing w:w="0" w:type="dxa"/>
        </w:trPr>
        <w:tc>
          <w:tcPr>
            <w:tcW w:w="0" w:type="auto"/>
            <w:noWrap w:val="0"/>
            <w:vAlign w:val="center"/>
          </w:tcPr>
          <w:p w14:paraId="0EB5AC70">
            <w:r>
              <w:rPr>
                <w:rStyle w:val="10"/>
                <w:rFonts w:hint="eastAsia"/>
              </w:rPr>
              <w:t>登记证持有人：</w:t>
            </w:r>
            <w:r>
              <w:rPr>
                <w:rFonts w:hint="eastAsia"/>
              </w:rPr>
              <w:t>河北荣威生物药业有限公司</w:t>
            </w:r>
          </w:p>
        </w:tc>
      </w:tr>
      <w:tr w14:paraId="25592FF0">
        <w:tblPrEx>
          <w:tblCellMar>
            <w:top w:w="0" w:type="dxa"/>
            <w:left w:w="0" w:type="dxa"/>
            <w:bottom w:w="0" w:type="dxa"/>
            <w:right w:w="0" w:type="dxa"/>
          </w:tblCellMar>
        </w:tblPrEx>
        <w:trPr>
          <w:wBefore w:w="0" w:type="auto"/>
          <w:tblCellSpacing w:w="0" w:type="dxa"/>
        </w:trPr>
        <w:tc>
          <w:tcPr>
            <w:tcW w:w="0" w:type="auto"/>
            <w:noWrap w:val="0"/>
            <w:vAlign w:val="center"/>
          </w:tcPr>
          <w:p w14:paraId="6CE7D36D">
            <w:r>
              <w:rPr>
                <w:rStyle w:val="10"/>
                <w:rFonts w:hint="eastAsia"/>
              </w:rPr>
              <w:t>农药名称：</w:t>
            </w:r>
            <w:r>
              <w:rPr>
                <w:rFonts w:hint="eastAsia"/>
              </w:rPr>
              <w:t>2甲·二磺·双氟</w:t>
            </w:r>
          </w:p>
        </w:tc>
      </w:tr>
      <w:tr w14:paraId="4546AD71">
        <w:tblPrEx>
          <w:tblCellMar>
            <w:top w:w="0" w:type="dxa"/>
            <w:left w:w="0" w:type="dxa"/>
            <w:bottom w:w="0" w:type="dxa"/>
            <w:right w:w="0" w:type="dxa"/>
          </w:tblCellMar>
        </w:tblPrEx>
        <w:trPr>
          <w:wBefore w:w="0" w:type="auto"/>
          <w:tblCellSpacing w:w="0" w:type="dxa"/>
        </w:trPr>
        <w:tc>
          <w:tcPr>
            <w:tcW w:w="0" w:type="auto"/>
            <w:noWrap w:val="0"/>
            <w:vAlign w:val="center"/>
          </w:tcPr>
          <w:p w14:paraId="17E9D3F0">
            <w:r>
              <w:rPr>
                <w:rStyle w:val="10"/>
                <w:rFonts w:hint="eastAsia"/>
              </w:rPr>
              <w:t>剂型：</w:t>
            </w:r>
            <w:r>
              <w:rPr>
                <w:rFonts w:hint="eastAsia"/>
              </w:rPr>
              <w:t>可分散油悬浮剂</w:t>
            </w:r>
          </w:p>
        </w:tc>
      </w:tr>
      <w:tr w14:paraId="41871156">
        <w:tblPrEx>
          <w:tblCellMar>
            <w:top w:w="0" w:type="dxa"/>
            <w:left w:w="0" w:type="dxa"/>
            <w:bottom w:w="0" w:type="dxa"/>
            <w:right w:w="0" w:type="dxa"/>
          </w:tblCellMar>
        </w:tblPrEx>
        <w:trPr>
          <w:wBefore w:w="0" w:type="auto"/>
          <w:tblCellSpacing w:w="0" w:type="dxa"/>
        </w:trPr>
        <w:tc>
          <w:tcPr>
            <w:tcW w:w="0" w:type="auto"/>
            <w:noWrap w:val="0"/>
            <w:vAlign w:val="center"/>
          </w:tcPr>
          <w:p w14:paraId="0077D167">
            <w:r>
              <w:rPr>
                <w:rStyle w:val="10"/>
                <w:rFonts w:hint="eastAsia"/>
              </w:rPr>
              <w:t>毒性及其标识：</w:t>
            </w:r>
            <w:r>
              <w:rPr>
                <w:rFonts w:hint="eastAsia"/>
              </w:rPr>
              <w:t xml:space="preserve"> </w:t>
            </w:r>
            <w:r>
              <w:rPr>
                <w:lang/>
              </w:rPr>
              <w:drawing>
                <wp:inline distT="0" distB="0" distL="114300" distR="114300">
                  <wp:extent cx="476250" cy="323850"/>
                  <wp:effectExtent l="0" t="0" r="0" b="0"/>
                  <wp:docPr id="573" name="图片 57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57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3E383FC">
        <w:tblPrEx>
          <w:tblCellMar>
            <w:top w:w="0" w:type="dxa"/>
            <w:left w:w="0" w:type="dxa"/>
            <w:bottom w:w="0" w:type="dxa"/>
            <w:right w:w="0" w:type="dxa"/>
          </w:tblCellMar>
        </w:tblPrEx>
        <w:trPr>
          <w:wBefore w:w="0" w:type="auto"/>
          <w:tblCellSpacing w:w="0" w:type="dxa"/>
        </w:trPr>
        <w:tc>
          <w:tcPr>
            <w:tcW w:w="0" w:type="auto"/>
            <w:noWrap w:val="0"/>
            <w:vAlign w:val="center"/>
          </w:tcPr>
          <w:p w14:paraId="4BCFA1D7">
            <w:r>
              <w:rPr>
                <w:rStyle w:val="10"/>
                <w:rFonts w:hint="eastAsia"/>
              </w:rPr>
              <w:t>总有效成分含量：</w:t>
            </w:r>
            <w:r>
              <w:rPr>
                <w:rFonts w:hint="eastAsia"/>
              </w:rPr>
              <w:t>25%</w:t>
            </w:r>
          </w:p>
        </w:tc>
      </w:tr>
      <w:tr w14:paraId="143B0829">
        <w:tblPrEx>
          <w:tblCellMar>
            <w:top w:w="0" w:type="dxa"/>
            <w:left w:w="0" w:type="dxa"/>
            <w:bottom w:w="0" w:type="dxa"/>
            <w:right w:w="0" w:type="dxa"/>
          </w:tblCellMar>
        </w:tblPrEx>
        <w:trPr>
          <w:wBefore w:w="0" w:type="auto"/>
          <w:tblCellSpacing w:w="0" w:type="dxa"/>
        </w:trPr>
        <w:tc>
          <w:tcPr>
            <w:tcW w:w="0" w:type="auto"/>
            <w:noWrap w:val="0"/>
            <w:vAlign w:val="center"/>
          </w:tcPr>
          <w:p w14:paraId="1967E794">
            <w:r>
              <w:rPr>
                <w:rFonts w:hint="eastAsia"/>
              </w:rPr>
              <w:t xml:space="preserve">有效成分及其含量： </w:t>
            </w:r>
          </w:p>
          <w:p w14:paraId="2FEDF363">
            <w:r>
              <w:rPr>
                <w:rFonts w:hint="eastAsia"/>
              </w:rPr>
              <w:t xml:space="preserve">    2甲4氯异辛酯23.5%    甲基二磺隆0.9%    双氟磺草胺0.6%    </w:t>
            </w:r>
          </w:p>
        </w:tc>
      </w:tr>
      <w:tr w14:paraId="0D73F3A6">
        <w:tblPrEx>
          <w:tblCellMar>
            <w:top w:w="0" w:type="dxa"/>
            <w:left w:w="0" w:type="dxa"/>
            <w:bottom w:w="0" w:type="dxa"/>
            <w:right w:w="0" w:type="dxa"/>
          </w:tblCellMar>
        </w:tblPrEx>
        <w:trPr>
          <w:wBefore w:w="0" w:type="auto"/>
          <w:tblCellSpacing w:w="0" w:type="dxa"/>
        </w:trPr>
        <w:tc>
          <w:tcPr>
            <w:tcW w:w="0" w:type="auto"/>
            <w:noWrap w:val="0"/>
            <w:vAlign w:val="center"/>
          </w:tcPr>
          <w:p w14:paraId="01C5EAC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8F5FC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CAE6CC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08B034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F19940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93697F2">
                  <w:r>
                    <w:rPr>
                      <w:rStyle w:val="11"/>
                      <w:rFonts w:hint="eastAsia"/>
                    </w:rPr>
                    <w:t>施用方式</w:t>
                  </w:r>
                </w:p>
              </w:tc>
            </w:tr>
            <w:tr w14:paraId="1AF3D0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67584F">
                  <w:r>
                    <w:rPr>
                      <w:rStyle w:val="11"/>
                      <w:rFonts w:hint="eastAsia"/>
                    </w:rPr>
                    <w:t>冬小麦田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E1CBCE">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5AB56C">
                  <w:r>
                    <w:rPr>
                      <w:rStyle w:val="11"/>
                      <w:rFonts w:hint="eastAsia"/>
                    </w:rPr>
                    <w:t>40-60毫升/亩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B913B5">
                  <w:r>
                    <w:rPr>
                      <w:rStyle w:val="11"/>
                      <w:rFonts w:hint="eastAsia"/>
                    </w:rPr>
                    <w:t>茎叶喷雾</w:t>
                  </w:r>
                </w:p>
              </w:tc>
            </w:tr>
          </w:tbl>
          <w:p w14:paraId="5C7E05B7">
            <w:pPr>
              <w:rPr>
                <w:rFonts w:ascii="Times New Roman" w:hAnsi="Times New Roman" w:cs="Times New Roman"/>
                <w:sz w:val="20"/>
                <w:szCs w:val="20"/>
              </w:rPr>
            </w:pPr>
          </w:p>
        </w:tc>
      </w:tr>
      <w:tr w14:paraId="36636967">
        <w:tblPrEx>
          <w:tblCellMar>
            <w:top w:w="0" w:type="dxa"/>
            <w:left w:w="0" w:type="dxa"/>
            <w:bottom w:w="0" w:type="dxa"/>
            <w:right w:w="0" w:type="dxa"/>
          </w:tblCellMar>
        </w:tblPrEx>
        <w:trPr>
          <w:wBefore w:w="0" w:type="auto"/>
          <w:tblCellSpacing w:w="0" w:type="dxa"/>
        </w:trPr>
        <w:tc>
          <w:tcPr>
            <w:tcW w:w="0" w:type="auto"/>
            <w:noWrap w:val="0"/>
            <w:vAlign w:val="center"/>
          </w:tcPr>
          <w:p w14:paraId="2175867D">
            <w:r>
              <w:rPr>
                <w:rStyle w:val="10"/>
                <w:rFonts w:hint="eastAsia"/>
              </w:rPr>
              <w:t>使用技术要求:</w:t>
            </w:r>
            <w:r>
              <w:rPr>
                <w:rFonts w:hint="eastAsia"/>
              </w:rPr>
              <w:br w:type="textWrapping"/>
            </w:r>
            <w:r>
              <w:rPr>
                <w:rStyle w:val="11"/>
                <w:rFonts w:hint="eastAsia"/>
              </w:rPr>
              <w:t>1.在冬小麦返青后到拔节前，杂草2-5叶期，以推荐剂量兑水均匀茎叶喷雾施药一次。 2.尽量选择无风的天气施药。大风天或预计1小时内有降雨，请勿使用。制剂用药量60-80毫升/亩，推荐有效剂量150-225克/公顷（制剂量40-60毫升/亩）。3.甲基二磺隆对不同小麦品种安全性存在差异，大面积推广使用前应先开展小范围试验。4.每季作物最多使用1次。</w:t>
            </w:r>
          </w:p>
        </w:tc>
      </w:tr>
      <w:tr w14:paraId="1D6B62A3">
        <w:tblPrEx>
          <w:tblCellMar>
            <w:top w:w="0" w:type="dxa"/>
            <w:left w:w="0" w:type="dxa"/>
            <w:bottom w:w="0" w:type="dxa"/>
            <w:right w:w="0" w:type="dxa"/>
          </w:tblCellMar>
        </w:tblPrEx>
        <w:trPr>
          <w:wBefore w:w="0" w:type="auto"/>
          <w:tblCellSpacing w:w="0" w:type="dxa"/>
        </w:trPr>
        <w:tc>
          <w:tcPr>
            <w:tcW w:w="0" w:type="auto"/>
            <w:noWrap w:val="0"/>
            <w:vAlign w:val="center"/>
          </w:tcPr>
          <w:p w14:paraId="5CDB7F63">
            <w:r>
              <w:rPr>
                <w:rStyle w:val="10"/>
                <w:rFonts w:hint="eastAsia"/>
              </w:rPr>
              <w:t>产品性能:</w:t>
            </w:r>
            <w:r>
              <w:rPr>
                <w:rFonts w:hint="eastAsia"/>
              </w:rPr>
              <w:br w:type="textWrapping"/>
            </w:r>
            <w:r>
              <w:rPr>
                <w:rStyle w:val="11"/>
                <w:rFonts w:hint="eastAsia"/>
              </w:rPr>
              <w:t>2甲4氯异辛酯为激素型除草剂，作用机理类似吲哚乙酸。甲基二磺隆属支链氨基酸合成（乙酰乳酸合成酶ALS或乙酰羟基酸合成酶AHAS）抑制剂。双氟磺草胺为选择内吸性苗后除草剂，可被植物根部和嫩芽吸收，通过木质部和韧皮部快速传导。可有效防除冬小麦田一年生杂草。</w:t>
            </w:r>
          </w:p>
        </w:tc>
      </w:tr>
      <w:tr w14:paraId="38699D6E">
        <w:tblPrEx>
          <w:tblCellMar>
            <w:top w:w="0" w:type="dxa"/>
            <w:left w:w="0" w:type="dxa"/>
            <w:bottom w:w="0" w:type="dxa"/>
            <w:right w:w="0" w:type="dxa"/>
          </w:tblCellMar>
        </w:tblPrEx>
        <w:trPr>
          <w:wBefore w:w="0" w:type="auto"/>
          <w:tblCellSpacing w:w="0" w:type="dxa"/>
        </w:trPr>
        <w:tc>
          <w:tcPr>
            <w:tcW w:w="0" w:type="auto"/>
            <w:noWrap w:val="0"/>
            <w:vAlign w:val="center"/>
          </w:tcPr>
          <w:p w14:paraId="735E1A9F">
            <w:r>
              <w:rPr>
                <w:rStyle w:val="10"/>
                <w:rFonts w:hint="eastAsia"/>
              </w:rPr>
              <w:t>注意事项：</w:t>
            </w:r>
            <w:r>
              <w:rPr>
                <w:rFonts w:hint="eastAsia"/>
              </w:rPr>
              <w:br w:type="textWrapping"/>
            </w:r>
            <w:r>
              <w:rPr>
                <w:rStyle w:val="11"/>
                <w:rFonts w:hint="eastAsia"/>
              </w:rPr>
              <w:t>1.使用时应穿长衣长裤、靴子，戴帽子、护目镜、口罩、手套等防护用具；施药期间不可吃东西、饮水、吸烟等；施药后应及时洗手、洗脸并洗涤施药时穿着的衣物。2.水产养殖区、河塘等水体附近禁用，禁止在河塘等水体中清洗施药器具；蚕室及桑园附近禁用。3.冬季低温霜冻期、大雨前、低洼积水或遭受涝害、冻害、盐碱害、病害等胁迫的小麦田不宜施用。4.不宜与2，4-滴混用，以免药害。5.用过的容器应妥善处理，不可做他用，也不可随意丢弃。6.禁止孕妇和哺乳期妇女接触本品。过敏者禁用，使用中有任何不良反应请及时就医。</w:t>
            </w:r>
          </w:p>
        </w:tc>
      </w:tr>
      <w:tr w14:paraId="35A0A8EC">
        <w:tblPrEx>
          <w:tblCellMar>
            <w:top w:w="0" w:type="dxa"/>
            <w:left w:w="0" w:type="dxa"/>
            <w:bottom w:w="0" w:type="dxa"/>
            <w:right w:w="0" w:type="dxa"/>
          </w:tblCellMar>
        </w:tblPrEx>
        <w:trPr>
          <w:wBefore w:w="0" w:type="auto"/>
          <w:tblCellSpacing w:w="0" w:type="dxa"/>
        </w:trPr>
        <w:tc>
          <w:tcPr>
            <w:tcW w:w="0" w:type="auto"/>
            <w:noWrap w:val="0"/>
            <w:vAlign w:val="center"/>
          </w:tcPr>
          <w:p w14:paraId="4B4670C4">
            <w:r>
              <w:rPr>
                <w:rStyle w:val="10"/>
                <w:rFonts w:hint="eastAsia"/>
              </w:rPr>
              <w:t>中毒急救措施：</w:t>
            </w:r>
            <w:r>
              <w:rPr>
                <w:rFonts w:hint="eastAsia"/>
              </w:rPr>
              <w:br w:type="textWrapping"/>
            </w:r>
            <w:r>
              <w:rPr>
                <w:rStyle w:val="11"/>
                <w:rFonts w:hint="eastAsia"/>
              </w:rPr>
              <w:t xml:space="preserve">中毒症状：对眼睛和皮肤有轻度刺激性。 急救措施：使用中或使用后如果感觉不适，应立即停止工作，采取急救措施，并携带标签送医院就诊。 皮肤接触：立即脱去被污染的衣物，用肥皂和大量清水冲洗皮肤暴露部位，如皮肤刺激感持续，请医生诊治。眼睛溅入：立即翻开眼睑，用清水冲洗至少15分钟，再请医生诊治。吸入：立即离开施药现场，将吸入者转移到空气清新处。误食：立即停止服用，用清水充分漱口后，立即携带农药标签到医院就诊。 </w:t>
            </w:r>
          </w:p>
        </w:tc>
      </w:tr>
      <w:tr w14:paraId="425B8227">
        <w:tblPrEx>
          <w:tblCellMar>
            <w:top w:w="0" w:type="dxa"/>
            <w:left w:w="0" w:type="dxa"/>
            <w:bottom w:w="0" w:type="dxa"/>
            <w:right w:w="0" w:type="dxa"/>
          </w:tblCellMar>
        </w:tblPrEx>
        <w:trPr>
          <w:wBefore w:w="0" w:type="auto"/>
          <w:tblCellSpacing w:w="0" w:type="dxa"/>
        </w:trPr>
        <w:tc>
          <w:tcPr>
            <w:tcW w:w="0" w:type="auto"/>
            <w:noWrap w:val="0"/>
            <w:vAlign w:val="center"/>
          </w:tcPr>
          <w:p w14:paraId="6D5B7335">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本品应贮存在干燥、阴凉、通风、防雨处，远离火源或热源。置于儿童、无关人员及动物接触不到的地方，并加锁。勿与食品、种子、粮食、饮料、饲料等同贮同运。</w:t>
            </w:r>
          </w:p>
        </w:tc>
      </w:tr>
      <w:tr w14:paraId="03D8914C">
        <w:tblPrEx>
          <w:tblCellMar>
            <w:top w:w="0" w:type="dxa"/>
            <w:left w:w="0" w:type="dxa"/>
            <w:bottom w:w="0" w:type="dxa"/>
            <w:right w:w="0" w:type="dxa"/>
          </w:tblCellMar>
        </w:tblPrEx>
        <w:trPr>
          <w:wBefore w:w="0" w:type="auto"/>
          <w:tblCellSpacing w:w="0" w:type="dxa"/>
        </w:trPr>
        <w:tc>
          <w:tcPr>
            <w:tcW w:w="0" w:type="auto"/>
            <w:noWrap w:val="0"/>
            <w:vAlign w:val="center"/>
          </w:tcPr>
          <w:p w14:paraId="4A667A15">
            <w:r>
              <w:rPr>
                <w:rStyle w:val="10"/>
                <w:rFonts w:hint="eastAsia"/>
              </w:rPr>
              <w:t>质量保证期：</w:t>
            </w:r>
            <w:r>
              <w:rPr>
                <w:rStyle w:val="11"/>
                <w:rFonts w:hint="eastAsia"/>
              </w:rPr>
              <w:t>2年</w:t>
            </w:r>
          </w:p>
        </w:tc>
      </w:tr>
      <w:tr w14:paraId="7339967F">
        <w:tblPrEx>
          <w:tblCellMar>
            <w:top w:w="0" w:type="dxa"/>
            <w:left w:w="0" w:type="dxa"/>
            <w:bottom w:w="0" w:type="dxa"/>
            <w:right w:w="0" w:type="dxa"/>
          </w:tblCellMar>
        </w:tblPrEx>
        <w:trPr>
          <w:wBefore w:w="0" w:type="auto"/>
          <w:tblCellSpacing w:w="0" w:type="dxa"/>
        </w:trPr>
        <w:tc>
          <w:tcPr>
            <w:tcW w:w="0" w:type="auto"/>
            <w:noWrap w:val="0"/>
            <w:vAlign w:val="center"/>
          </w:tcPr>
          <w:p w14:paraId="78F4EC91">
            <w:r>
              <w:rPr>
                <w:rStyle w:val="10"/>
                <w:rFonts w:hint="eastAsia"/>
              </w:rPr>
              <w:t>备注：</w:t>
            </w:r>
          </w:p>
        </w:tc>
      </w:tr>
    </w:tbl>
    <w:p w14:paraId="291CC33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29C4351">
        <w:tblPrEx>
          <w:tblCellMar>
            <w:top w:w="0" w:type="dxa"/>
            <w:left w:w="0" w:type="dxa"/>
            <w:bottom w:w="0" w:type="dxa"/>
            <w:right w:w="0" w:type="dxa"/>
          </w:tblCellMar>
        </w:tblPrEx>
        <w:trPr>
          <w:wBefore w:w="0" w:type="auto"/>
          <w:tblCellSpacing w:w="0" w:type="dxa"/>
        </w:trPr>
        <w:tc>
          <w:tcPr>
            <w:tcW w:w="0" w:type="auto"/>
            <w:noWrap w:val="0"/>
            <w:vAlign w:val="center"/>
          </w:tcPr>
          <w:p w14:paraId="3E518EAE">
            <w:r>
              <w:rPr>
                <w:rStyle w:val="10"/>
                <w:rFonts w:hint="eastAsia"/>
              </w:rPr>
              <w:t>登记证号：</w:t>
            </w:r>
            <w:r>
              <w:rPr>
                <w:rFonts w:hint="eastAsia"/>
              </w:rPr>
              <w:t>PD20211756</w:t>
            </w:r>
          </w:p>
        </w:tc>
      </w:tr>
      <w:tr w14:paraId="6D8E37D7">
        <w:tblPrEx>
          <w:tblCellMar>
            <w:top w:w="0" w:type="dxa"/>
            <w:left w:w="0" w:type="dxa"/>
            <w:bottom w:w="0" w:type="dxa"/>
            <w:right w:w="0" w:type="dxa"/>
          </w:tblCellMar>
        </w:tblPrEx>
        <w:trPr>
          <w:wBefore w:w="0" w:type="auto"/>
          <w:tblCellSpacing w:w="0" w:type="dxa"/>
        </w:trPr>
        <w:tc>
          <w:tcPr>
            <w:tcW w:w="0" w:type="auto"/>
            <w:noWrap w:val="0"/>
            <w:vAlign w:val="center"/>
          </w:tcPr>
          <w:p w14:paraId="5B8E0A4B">
            <w:r>
              <w:rPr>
                <w:rStyle w:val="10"/>
                <w:rFonts w:hint="eastAsia"/>
              </w:rPr>
              <w:t>登记证持有人：</w:t>
            </w:r>
            <w:r>
              <w:rPr>
                <w:rFonts w:hint="eastAsia"/>
              </w:rPr>
              <w:t>河南省孟州市华丰生化农药有限公司</w:t>
            </w:r>
          </w:p>
        </w:tc>
      </w:tr>
      <w:tr w14:paraId="3F22AF98">
        <w:tblPrEx>
          <w:tblCellMar>
            <w:top w:w="0" w:type="dxa"/>
            <w:left w:w="0" w:type="dxa"/>
            <w:bottom w:w="0" w:type="dxa"/>
            <w:right w:w="0" w:type="dxa"/>
          </w:tblCellMar>
        </w:tblPrEx>
        <w:trPr>
          <w:wBefore w:w="0" w:type="auto"/>
          <w:tblCellSpacing w:w="0" w:type="dxa"/>
        </w:trPr>
        <w:tc>
          <w:tcPr>
            <w:tcW w:w="0" w:type="auto"/>
            <w:noWrap w:val="0"/>
            <w:vAlign w:val="center"/>
          </w:tcPr>
          <w:p w14:paraId="0E537272">
            <w:r>
              <w:rPr>
                <w:rStyle w:val="10"/>
                <w:rFonts w:hint="eastAsia"/>
              </w:rPr>
              <w:t>农药名称：</w:t>
            </w:r>
            <w:r>
              <w:rPr>
                <w:rFonts w:hint="eastAsia"/>
              </w:rPr>
              <w:t>联苯·噻虫胺</w:t>
            </w:r>
          </w:p>
        </w:tc>
      </w:tr>
      <w:tr w14:paraId="77C32F27">
        <w:tblPrEx>
          <w:tblCellMar>
            <w:top w:w="0" w:type="dxa"/>
            <w:left w:w="0" w:type="dxa"/>
            <w:bottom w:w="0" w:type="dxa"/>
            <w:right w:w="0" w:type="dxa"/>
          </w:tblCellMar>
        </w:tblPrEx>
        <w:trPr>
          <w:wBefore w:w="0" w:type="auto"/>
          <w:tblCellSpacing w:w="0" w:type="dxa"/>
        </w:trPr>
        <w:tc>
          <w:tcPr>
            <w:tcW w:w="0" w:type="auto"/>
            <w:noWrap w:val="0"/>
            <w:vAlign w:val="center"/>
          </w:tcPr>
          <w:p w14:paraId="2EF9BE13">
            <w:r>
              <w:rPr>
                <w:rStyle w:val="10"/>
                <w:rFonts w:hint="eastAsia"/>
              </w:rPr>
              <w:t>剂型：</w:t>
            </w:r>
            <w:r>
              <w:rPr>
                <w:rFonts w:hint="eastAsia"/>
              </w:rPr>
              <w:t>悬浮剂</w:t>
            </w:r>
          </w:p>
        </w:tc>
      </w:tr>
      <w:tr w14:paraId="69A2AF84">
        <w:tblPrEx>
          <w:tblCellMar>
            <w:top w:w="0" w:type="dxa"/>
            <w:left w:w="0" w:type="dxa"/>
            <w:bottom w:w="0" w:type="dxa"/>
            <w:right w:w="0" w:type="dxa"/>
          </w:tblCellMar>
        </w:tblPrEx>
        <w:trPr>
          <w:wBefore w:w="0" w:type="auto"/>
          <w:tblCellSpacing w:w="0" w:type="dxa"/>
        </w:trPr>
        <w:tc>
          <w:tcPr>
            <w:tcW w:w="0" w:type="auto"/>
            <w:noWrap w:val="0"/>
            <w:vAlign w:val="center"/>
          </w:tcPr>
          <w:p w14:paraId="5261A147">
            <w:r>
              <w:rPr>
                <w:rStyle w:val="10"/>
                <w:rFonts w:hint="eastAsia"/>
              </w:rPr>
              <w:t>毒性及其标识：</w:t>
            </w:r>
            <w:r>
              <w:rPr>
                <w:rFonts w:hint="eastAsia"/>
              </w:rPr>
              <w:t xml:space="preserve"> </w:t>
            </w:r>
            <w:r>
              <w:rPr>
                <w:lang/>
              </w:rPr>
              <w:drawing>
                <wp:inline distT="0" distB="0" distL="114300" distR="114300">
                  <wp:extent cx="476250" cy="323850"/>
                  <wp:effectExtent l="0" t="0" r="0" b="0"/>
                  <wp:docPr id="574" name="图片 57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0F7EB00">
        <w:tblPrEx>
          <w:tblCellMar>
            <w:top w:w="0" w:type="dxa"/>
            <w:left w:w="0" w:type="dxa"/>
            <w:bottom w:w="0" w:type="dxa"/>
            <w:right w:w="0" w:type="dxa"/>
          </w:tblCellMar>
        </w:tblPrEx>
        <w:trPr>
          <w:wBefore w:w="0" w:type="auto"/>
          <w:tblCellSpacing w:w="0" w:type="dxa"/>
        </w:trPr>
        <w:tc>
          <w:tcPr>
            <w:tcW w:w="0" w:type="auto"/>
            <w:noWrap w:val="0"/>
            <w:vAlign w:val="center"/>
          </w:tcPr>
          <w:p w14:paraId="262DAD97">
            <w:r>
              <w:rPr>
                <w:rStyle w:val="10"/>
                <w:rFonts w:hint="eastAsia"/>
              </w:rPr>
              <w:t>总有效成分含量：</w:t>
            </w:r>
            <w:r>
              <w:rPr>
                <w:rFonts w:hint="eastAsia"/>
              </w:rPr>
              <w:t>10%</w:t>
            </w:r>
          </w:p>
        </w:tc>
      </w:tr>
      <w:tr w14:paraId="13455E1E">
        <w:tblPrEx>
          <w:tblCellMar>
            <w:top w:w="0" w:type="dxa"/>
            <w:left w:w="0" w:type="dxa"/>
            <w:bottom w:w="0" w:type="dxa"/>
            <w:right w:w="0" w:type="dxa"/>
          </w:tblCellMar>
        </w:tblPrEx>
        <w:trPr>
          <w:wBefore w:w="0" w:type="auto"/>
          <w:tblCellSpacing w:w="0" w:type="dxa"/>
        </w:trPr>
        <w:tc>
          <w:tcPr>
            <w:tcW w:w="0" w:type="auto"/>
            <w:noWrap w:val="0"/>
            <w:vAlign w:val="center"/>
          </w:tcPr>
          <w:p w14:paraId="5401A3F1">
            <w:r>
              <w:rPr>
                <w:rFonts w:hint="eastAsia"/>
              </w:rPr>
              <w:t xml:space="preserve">有效成分及其含量： </w:t>
            </w:r>
          </w:p>
          <w:p w14:paraId="1B397EA0">
            <w:r>
              <w:rPr>
                <w:rFonts w:hint="eastAsia"/>
              </w:rPr>
              <w:t xml:space="preserve">    联苯菊酯5%    噻虫胺5%    </w:t>
            </w:r>
          </w:p>
        </w:tc>
      </w:tr>
      <w:tr w14:paraId="7E6525D1">
        <w:tblPrEx>
          <w:tblCellMar>
            <w:top w:w="0" w:type="dxa"/>
            <w:left w:w="0" w:type="dxa"/>
            <w:bottom w:w="0" w:type="dxa"/>
            <w:right w:w="0" w:type="dxa"/>
          </w:tblCellMar>
        </w:tblPrEx>
        <w:trPr>
          <w:wBefore w:w="0" w:type="auto"/>
          <w:tblCellSpacing w:w="0" w:type="dxa"/>
        </w:trPr>
        <w:tc>
          <w:tcPr>
            <w:tcW w:w="0" w:type="auto"/>
            <w:noWrap w:val="0"/>
            <w:vAlign w:val="center"/>
          </w:tcPr>
          <w:p w14:paraId="46516DA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4834C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0EADA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4F86E2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DAB708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845403E">
                  <w:r>
                    <w:rPr>
                      <w:rStyle w:val="11"/>
                      <w:rFonts w:hint="eastAsia"/>
                    </w:rPr>
                    <w:t>施用方式</w:t>
                  </w:r>
                </w:p>
              </w:tc>
            </w:tr>
            <w:tr w14:paraId="7743C9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7705205">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1837A9">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172952">
                  <w:r>
                    <w:rPr>
                      <w:rStyle w:val="11"/>
                      <w:rFonts w:hint="eastAsia"/>
                    </w:rPr>
                    <w:t>15-25毫升/亩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627775">
                  <w:r>
                    <w:rPr>
                      <w:rStyle w:val="11"/>
                      <w:rFonts w:hint="eastAsia"/>
                    </w:rPr>
                    <w:t>喷雾</w:t>
                  </w:r>
                </w:p>
              </w:tc>
            </w:tr>
          </w:tbl>
          <w:p w14:paraId="496E95C0">
            <w:pPr>
              <w:rPr>
                <w:rFonts w:ascii="Times New Roman" w:hAnsi="Times New Roman" w:cs="Times New Roman"/>
                <w:sz w:val="20"/>
                <w:szCs w:val="20"/>
              </w:rPr>
            </w:pPr>
          </w:p>
        </w:tc>
      </w:tr>
      <w:tr w14:paraId="7A6D235D">
        <w:tblPrEx>
          <w:tblCellMar>
            <w:top w:w="0" w:type="dxa"/>
            <w:left w:w="0" w:type="dxa"/>
            <w:bottom w:w="0" w:type="dxa"/>
            <w:right w:w="0" w:type="dxa"/>
          </w:tblCellMar>
        </w:tblPrEx>
        <w:trPr>
          <w:wBefore w:w="0" w:type="auto"/>
          <w:tblCellSpacing w:w="0" w:type="dxa"/>
        </w:trPr>
        <w:tc>
          <w:tcPr>
            <w:tcW w:w="0" w:type="auto"/>
            <w:noWrap w:val="0"/>
            <w:vAlign w:val="center"/>
          </w:tcPr>
          <w:p w14:paraId="0934880A">
            <w:r>
              <w:rPr>
                <w:rStyle w:val="10"/>
                <w:rFonts w:hint="eastAsia"/>
              </w:rPr>
              <w:t>使用技术要求:</w:t>
            </w:r>
            <w:r>
              <w:rPr>
                <w:rFonts w:hint="eastAsia"/>
              </w:rPr>
              <w:br w:type="textWrapping"/>
            </w:r>
            <w:r>
              <w:rPr>
                <w:rStyle w:val="11"/>
                <w:rFonts w:hint="eastAsia"/>
              </w:rPr>
              <w:t>1.本品在小麦上使用的安全间隔期为14天，每个作物周期的最多使用1次。 2. 小麦蚜虫发生始盛期施药一次，注意喷雾均匀、周到。 3.大风天或预计1小时内降雨，请勿施药。</w:t>
            </w:r>
          </w:p>
        </w:tc>
      </w:tr>
      <w:tr w14:paraId="2BFE7B71">
        <w:tblPrEx>
          <w:tblCellMar>
            <w:top w:w="0" w:type="dxa"/>
            <w:left w:w="0" w:type="dxa"/>
            <w:bottom w:w="0" w:type="dxa"/>
            <w:right w:w="0" w:type="dxa"/>
          </w:tblCellMar>
        </w:tblPrEx>
        <w:trPr>
          <w:wBefore w:w="0" w:type="auto"/>
          <w:tblCellSpacing w:w="0" w:type="dxa"/>
        </w:trPr>
        <w:tc>
          <w:tcPr>
            <w:tcW w:w="0" w:type="auto"/>
            <w:noWrap w:val="0"/>
            <w:vAlign w:val="center"/>
          </w:tcPr>
          <w:p w14:paraId="146798A2">
            <w:r>
              <w:rPr>
                <w:rStyle w:val="10"/>
                <w:rFonts w:hint="eastAsia"/>
              </w:rPr>
              <w:t>产品性能:</w:t>
            </w:r>
            <w:r>
              <w:rPr>
                <w:rFonts w:hint="eastAsia"/>
              </w:rPr>
              <w:br w:type="textWrapping"/>
            </w:r>
            <w:r>
              <w:rPr>
                <w:rStyle w:val="11"/>
                <w:rFonts w:hint="eastAsia"/>
              </w:rPr>
              <w:t>本品为两种不同作用机理的有效成分联苯菊酯和噻虫胺的混配制剂。噻虫胺是新型氯代烟碱类杀虫剂，联苯菊酯是拟除虫菊酯类杀虫剂，二者混用具有内吸、触杀和胃毒的作用，对小麦蚜虫具有较好的防治效果。</w:t>
            </w:r>
          </w:p>
        </w:tc>
      </w:tr>
      <w:tr w14:paraId="3301D77B">
        <w:tblPrEx>
          <w:tblCellMar>
            <w:top w:w="0" w:type="dxa"/>
            <w:left w:w="0" w:type="dxa"/>
            <w:bottom w:w="0" w:type="dxa"/>
            <w:right w:w="0" w:type="dxa"/>
          </w:tblCellMar>
        </w:tblPrEx>
        <w:trPr>
          <w:wBefore w:w="0" w:type="auto"/>
          <w:tblCellSpacing w:w="0" w:type="dxa"/>
        </w:trPr>
        <w:tc>
          <w:tcPr>
            <w:tcW w:w="0" w:type="auto"/>
            <w:noWrap w:val="0"/>
            <w:vAlign w:val="center"/>
          </w:tcPr>
          <w:p w14:paraId="78166A41">
            <w:r>
              <w:rPr>
                <w:rStyle w:val="10"/>
                <w:rFonts w:hint="eastAsia"/>
              </w:rPr>
              <w:t>注意事项：</w:t>
            </w:r>
            <w:r>
              <w:rPr>
                <w:rFonts w:hint="eastAsia"/>
              </w:rPr>
              <w:br w:type="textWrapping"/>
            </w:r>
            <w:r>
              <w:rPr>
                <w:rStyle w:val="11"/>
                <w:rFonts w:hint="eastAsia"/>
              </w:rPr>
              <w:t>1.远离水产养殖区、河塘等水体施药，禁止在河塘等水体中清洗施药器具。2.（周围）开花植物花期禁用，使用期间应密切关注对附近蜂群的影响；蚕室及桑园附近禁用。瓢虫、赤眼蜂等天敌放飞区域禁用。 3.使用本品应采取相应的安全防护措施，穿防护服，戴防护手套、口罩和护目镜等，避免眼睛、皮肤接触及口鼻吸入。使用中不可吸烟、饮水及吃东西，使用后及时清洗手、脸等暴露部位皮肤并更换衣物。4.建议与其他作用机制不同的杀虫剂轮换使用，以延缓抗药性。5.用过的容器应妥善处理，不可做他用，也不可随意丢弃。6.避免孕妇及哺乳期妇女接触本品。</w:t>
            </w:r>
          </w:p>
        </w:tc>
      </w:tr>
      <w:tr w14:paraId="36406A07">
        <w:tblPrEx>
          <w:tblCellMar>
            <w:top w:w="0" w:type="dxa"/>
            <w:left w:w="0" w:type="dxa"/>
            <w:bottom w:w="0" w:type="dxa"/>
            <w:right w:w="0" w:type="dxa"/>
          </w:tblCellMar>
        </w:tblPrEx>
        <w:trPr>
          <w:wBefore w:w="0" w:type="auto"/>
          <w:tblCellSpacing w:w="0" w:type="dxa"/>
        </w:trPr>
        <w:tc>
          <w:tcPr>
            <w:tcW w:w="0" w:type="auto"/>
            <w:noWrap w:val="0"/>
            <w:vAlign w:val="center"/>
          </w:tcPr>
          <w:p w14:paraId="0DB87F02">
            <w:r>
              <w:rPr>
                <w:rStyle w:val="10"/>
                <w:rFonts w:hint="eastAsia"/>
              </w:rPr>
              <w:t>中毒急救措施：</w:t>
            </w:r>
            <w:r>
              <w:rPr>
                <w:rFonts w:hint="eastAsia"/>
              </w:rPr>
              <w:br w:type="textWrapping"/>
            </w:r>
            <w:r>
              <w:rPr>
                <w:rStyle w:val="11"/>
                <w:rFonts w:hint="eastAsia"/>
              </w:rPr>
              <w:t>中毒症状：本品对眼睛、皮肤有刺激性。急救措施：使用中或使用后如果感觉不适，应立即停止工作，采取急救措施，并携带标签送医院就诊。1.皮肤接触：脱去污染的衣物，用软布去除沾染农药，立即用大量清水和肥皂冲洗；2.眼睛接触：立即用流动的清水至少冲洗15分钟，仍有不适应立即就医；3.吸入：立即离开施药现场，转移到空气清新处。4.如误服，立即停止服用，用清水充分漱口后，立即携带标签到医院对症治疗。</w:t>
            </w:r>
          </w:p>
        </w:tc>
      </w:tr>
      <w:tr w14:paraId="2A2AC0D0">
        <w:tblPrEx>
          <w:tblCellMar>
            <w:top w:w="0" w:type="dxa"/>
            <w:left w:w="0" w:type="dxa"/>
            <w:bottom w:w="0" w:type="dxa"/>
            <w:right w:w="0" w:type="dxa"/>
          </w:tblCellMar>
        </w:tblPrEx>
        <w:trPr>
          <w:wBefore w:w="0" w:type="auto"/>
          <w:tblCellSpacing w:w="0" w:type="dxa"/>
        </w:trPr>
        <w:tc>
          <w:tcPr>
            <w:tcW w:w="0" w:type="auto"/>
            <w:noWrap w:val="0"/>
            <w:vAlign w:val="center"/>
          </w:tcPr>
          <w:p w14:paraId="03FA2100">
            <w:r>
              <w:rPr>
                <w:rStyle w:val="10"/>
                <w:rFonts w:hint="eastAsia"/>
              </w:rPr>
              <w:t>储存和运输方法：</w:t>
            </w:r>
            <w:r>
              <w:rPr>
                <w:rFonts w:hint="eastAsia"/>
              </w:rPr>
              <w:br w:type="textWrapping"/>
            </w:r>
            <w:r>
              <w:rPr>
                <w:rStyle w:val="11"/>
                <w:rFonts w:hint="eastAsia"/>
              </w:rPr>
              <w:t>本品应贮存在阴凉、干燥、通风、防雨处，远离火源或热源，置于儿童触及不到之处，并加锁；不能与食品、饮料、粮食、饲料等同贮同运。装卸运输时注意检查包装是否密封完整，轻拿轻放。</w:t>
            </w:r>
          </w:p>
        </w:tc>
      </w:tr>
      <w:tr w14:paraId="3063D18D">
        <w:tblPrEx>
          <w:tblCellMar>
            <w:top w:w="0" w:type="dxa"/>
            <w:left w:w="0" w:type="dxa"/>
            <w:bottom w:w="0" w:type="dxa"/>
            <w:right w:w="0" w:type="dxa"/>
          </w:tblCellMar>
        </w:tblPrEx>
        <w:trPr>
          <w:wBefore w:w="0" w:type="auto"/>
          <w:tblCellSpacing w:w="0" w:type="dxa"/>
        </w:trPr>
        <w:tc>
          <w:tcPr>
            <w:tcW w:w="0" w:type="auto"/>
            <w:noWrap w:val="0"/>
            <w:vAlign w:val="center"/>
          </w:tcPr>
          <w:p w14:paraId="00E4D3EF">
            <w:r>
              <w:rPr>
                <w:rStyle w:val="10"/>
                <w:rFonts w:hint="eastAsia"/>
              </w:rPr>
              <w:t>质量保证期：</w:t>
            </w:r>
            <w:r>
              <w:rPr>
                <w:rStyle w:val="11"/>
                <w:rFonts w:hint="eastAsia"/>
              </w:rPr>
              <w:t>2年</w:t>
            </w:r>
          </w:p>
        </w:tc>
      </w:tr>
      <w:tr w14:paraId="68EAE64F">
        <w:tblPrEx>
          <w:tblCellMar>
            <w:top w:w="0" w:type="dxa"/>
            <w:left w:w="0" w:type="dxa"/>
            <w:bottom w:w="0" w:type="dxa"/>
            <w:right w:w="0" w:type="dxa"/>
          </w:tblCellMar>
        </w:tblPrEx>
        <w:trPr>
          <w:wBefore w:w="0" w:type="auto"/>
          <w:tblCellSpacing w:w="0" w:type="dxa"/>
        </w:trPr>
        <w:tc>
          <w:tcPr>
            <w:tcW w:w="0" w:type="auto"/>
            <w:noWrap w:val="0"/>
            <w:vAlign w:val="center"/>
          </w:tcPr>
          <w:p w14:paraId="7DE9CAF4">
            <w:r>
              <w:rPr>
                <w:rStyle w:val="10"/>
                <w:rFonts w:hint="eastAsia"/>
              </w:rPr>
              <w:t>备注：</w:t>
            </w:r>
          </w:p>
        </w:tc>
      </w:tr>
    </w:tbl>
    <w:p w14:paraId="6E962F1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807D5E3">
        <w:tblPrEx>
          <w:tblCellMar>
            <w:top w:w="0" w:type="dxa"/>
            <w:left w:w="0" w:type="dxa"/>
            <w:bottom w:w="0" w:type="dxa"/>
            <w:right w:w="0" w:type="dxa"/>
          </w:tblCellMar>
        </w:tblPrEx>
        <w:trPr>
          <w:wBefore w:w="0" w:type="auto"/>
          <w:tblCellSpacing w:w="0" w:type="dxa"/>
        </w:trPr>
        <w:tc>
          <w:tcPr>
            <w:tcW w:w="0" w:type="auto"/>
            <w:noWrap w:val="0"/>
            <w:vAlign w:val="center"/>
          </w:tcPr>
          <w:p w14:paraId="4F68CA2A">
            <w:r>
              <w:rPr>
                <w:rStyle w:val="10"/>
                <w:rFonts w:hint="eastAsia"/>
              </w:rPr>
              <w:t>登记证号：</w:t>
            </w:r>
            <w:r>
              <w:rPr>
                <w:rFonts w:hint="eastAsia"/>
              </w:rPr>
              <w:t>WP20210273</w:t>
            </w:r>
          </w:p>
        </w:tc>
      </w:tr>
      <w:tr w14:paraId="450D5018">
        <w:tblPrEx>
          <w:tblCellMar>
            <w:top w:w="0" w:type="dxa"/>
            <w:left w:w="0" w:type="dxa"/>
            <w:bottom w:w="0" w:type="dxa"/>
            <w:right w:w="0" w:type="dxa"/>
          </w:tblCellMar>
        </w:tblPrEx>
        <w:trPr>
          <w:wBefore w:w="0" w:type="auto"/>
          <w:tblCellSpacing w:w="0" w:type="dxa"/>
        </w:trPr>
        <w:tc>
          <w:tcPr>
            <w:tcW w:w="0" w:type="auto"/>
            <w:noWrap w:val="0"/>
            <w:vAlign w:val="center"/>
          </w:tcPr>
          <w:p w14:paraId="5CCD599A">
            <w:r>
              <w:rPr>
                <w:rStyle w:val="10"/>
                <w:rFonts w:hint="eastAsia"/>
              </w:rPr>
              <w:t>登记证持有人：</w:t>
            </w:r>
            <w:r>
              <w:rPr>
                <w:rFonts w:hint="eastAsia"/>
              </w:rPr>
              <w:t>日本阿斯制药株式会社</w:t>
            </w:r>
          </w:p>
        </w:tc>
      </w:tr>
      <w:tr w14:paraId="1887391B">
        <w:tblPrEx>
          <w:tblCellMar>
            <w:top w:w="0" w:type="dxa"/>
            <w:left w:w="0" w:type="dxa"/>
            <w:bottom w:w="0" w:type="dxa"/>
            <w:right w:w="0" w:type="dxa"/>
          </w:tblCellMar>
        </w:tblPrEx>
        <w:trPr>
          <w:wBefore w:w="0" w:type="auto"/>
          <w:tblCellSpacing w:w="0" w:type="dxa"/>
        </w:trPr>
        <w:tc>
          <w:tcPr>
            <w:tcW w:w="0" w:type="auto"/>
            <w:noWrap w:val="0"/>
            <w:vAlign w:val="center"/>
          </w:tcPr>
          <w:p w14:paraId="71D15F4F">
            <w:r>
              <w:rPr>
                <w:rStyle w:val="10"/>
                <w:rFonts w:hint="eastAsia"/>
              </w:rPr>
              <w:t>农药名称：</w:t>
            </w:r>
            <w:r>
              <w:rPr>
                <w:rFonts w:hint="eastAsia"/>
              </w:rPr>
              <w:t>驱蚊气雾剂</w:t>
            </w:r>
          </w:p>
        </w:tc>
      </w:tr>
      <w:tr w14:paraId="044E380B">
        <w:tblPrEx>
          <w:tblCellMar>
            <w:top w:w="0" w:type="dxa"/>
            <w:left w:w="0" w:type="dxa"/>
            <w:bottom w:w="0" w:type="dxa"/>
            <w:right w:w="0" w:type="dxa"/>
          </w:tblCellMar>
        </w:tblPrEx>
        <w:trPr>
          <w:wBefore w:w="0" w:type="auto"/>
          <w:tblCellSpacing w:w="0" w:type="dxa"/>
        </w:trPr>
        <w:tc>
          <w:tcPr>
            <w:tcW w:w="0" w:type="auto"/>
            <w:noWrap w:val="0"/>
            <w:vAlign w:val="center"/>
          </w:tcPr>
          <w:p w14:paraId="02570D77">
            <w:r>
              <w:rPr>
                <w:rStyle w:val="10"/>
                <w:rFonts w:hint="eastAsia"/>
              </w:rPr>
              <w:t>剂型：</w:t>
            </w:r>
            <w:r>
              <w:rPr>
                <w:rFonts w:hint="eastAsia"/>
              </w:rPr>
              <w:t>气雾剂</w:t>
            </w:r>
          </w:p>
        </w:tc>
      </w:tr>
      <w:tr w14:paraId="7ABCA50B">
        <w:tblPrEx>
          <w:tblCellMar>
            <w:top w:w="0" w:type="dxa"/>
            <w:left w:w="0" w:type="dxa"/>
            <w:bottom w:w="0" w:type="dxa"/>
            <w:right w:w="0" w:type="dxa"/>
          </w:tblCellMar>
        </w:tblPrEx>
        <w:trPr>
          <w:wBefore w:w="0" w:type="auto"/>
          <w:tblCellSpacing w:w="0" w:type="dxa"/>
        </w:trPr>
        <w:tc>
          <w:tcPr>
            <w:tcW w:w="0" w:type="auto"/>
            <w:noWrap w:val="0"/>
            <w:vAlign w:val="center"/>
          </w:tcPr>
          <w:p w14:paraId="4ADB8CB9">
            <w:r>
              <w:rPr>
                <w:rStyle w:val="10"/>
                <w:rFonts w:hint="eastAsia"/>
              </w:rPr>
              <w:t>毒性及其标识：</w:t>
            </w:r>
            <w:r>
              <w:rPr>
                <w:rFonts w:hint="eastAsia"/>
              </w:rPr>
              <w:t xml:space="preserve"> </w:t>
            </w:r>
            <w:r>
              <w:rPr>
                <w:lang/>
              </w:rPr>
              <w:drawing>
                <wp:inline distT="0" distB="0" distL="114300" distR="114300">
                  <wp:extent cx="476250" cy="323850"/>
                  <wp:effectExtent l="0" t="0" r="0" b="0"/>
                  <wp:docPr id="575" name="图片 57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56F5737">
        <w:tblPrEx>
          <w:tblCellMar>
            <w:top w:w="0" w:type="dxa"/>
            <w:left w:w="0" w:type="dxa"/>
            <w:bottom w:w="0" w:type="dxa"/>
            <w:right w:w="0" w:type="dxa"/>
          </w:tblCellMar>
        </w:tblPrEx>
        <w:trPr>
          <w:wBefore w:w="0" w:type="auto"/>
          <w:tblCellSpacing w:w="0" w:type="dxa"/>
        </w:trPr>
        <w:tc>
          <w:tcPr>
            <w:tcW w:w="0" w:type="auto"/>
            <w:noWrap w:val="0"/>
            <w:vAlign w:val="center"/>
          </w:tcPr>
          <w:p w14:paraId="196927B8">
            <w:r>
              <w:rPr>
                <w:rStyle w:val="10"/>
                <w:rFonts w:hint="eastAsia"/>
              </w:rPr>
              <w:t>总有效成分含量：</w:t>
            </w:r>
            <w:r>
              <w:rPr>
                <w:rFonts w:hint="eastAsia"/>
              </w:rPr>
              <w:t>0.46%</w:t>
            </w:r>
          </w:p>
        </w:tc>
      </w:tr>
      <w:tr w14:paraId="70485D20">
        <w:tblPrEx>
          <w:tblCellMar>
            <w:top w:w="0" w:type="dxa"/>
            <w:left w:w="0" w:type="dxa"/>
            <w:bottom w:w="0" w:type="dxa"/>
            <w:right w:w="0" w:type="dxa"/>
          </w:tblCellMar>
        </w:tblPrEx>
        <w:trPr>
          <w:wBefore w:w="0" w:type="auto"/>
          <w:tblCellSpacing w:w="0" w:type="dxa"/>
        </w:trPr>
        <w:tc>
          <w:tcPr>
            <w:tcW w:w="0" w:type="auto"/>
            <w:noWrap w:val="0"/>
            <w:vAlign w:val="center"/>
          </w:tcPr>
          <w:p w14:paraId="30F111A9">
            <w:r>
              <w:rPr>
                <w:rFonts w:hint="eastAsia"/>
              </w:rPr>
              <w:t xml:space="preserve">有效成分及其含量： </w:t>
            </w:r>
          </w:p>
          <w:p w14:paraId="06FF5017">
            <w:r>
              <w:rPr>
                <w:rFonts w:hint="eastAsia"/>
              </w:rPr>
              <w:t xml:space="preserve">    四氟苯菊酯0.16%    氯氰菊酯0.3%    </w:t>
            </w:r>
          </w:p>
        </w:tc>
      </w:tr>
      <w:tr w14:paraId="55A4A5E3">
        <w:tblPrEx>
          <w:tblCellMar>
            <w:top w:w="0" w:type="dxa"/>
            <w:left w:w="0" w:type="dxa"/>
            <w:bottom w:w="0" w:type="dxa"/>
            <w:right w:w="0" w:type="dxa"/>
          </w:tblCellMar>
        </w:tblPrEx>
        <w:trPr>
          <w:wBefore w:w="0" w:type="auto"/>
          <w:tblCellSpacing w:w="0" w:type="dxa"/>
        </w:trPr>
        <w:tc>
          <w:tcPr>
            <w:tcW w:w="0" w:type="auto"/>
            <w:noWrap w:val="0"/>
            <w:vAlign w:val="center"/>
          </w:tcPr>
          <w:p w14:paraId="47D93C6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9C34A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2BB887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A38B6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F8FF4A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FDE86E7">
                  <w:r>
                    <w:rPr>
                      <w:rStyle w:val="11"/>
                      <w:rFonts w:hint="eastAsia"/>
                    </w:rPr>
                    <w:t>施用方式</w:t>
                  </w:r>
                </w:p>
              </w:tc>
            </w:tr>
            <w:tr w14:paraId="40BCF8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3723A5">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332B1D">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FA5395">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CDB4DF">
                  <w:r>
                    <w:rPr>
                      <w:rStyle w:val="11"/>
                      <w:rFonts w:hint="eastAsia"/>
                    </w:rPr>
                    <w:t>喷雾</w:t>
                  </w:r>
                </w:p>
              </w:tc>
            </w:tr>
          </w:tbl>
          <w:p w14:paraId="12CC072A">
            <w:pPr>
              <w:rPr>
                <w:rFonts w:ascii="Times New Roman" w:hAnsi="Times New Roman" w:cs="Times New Roman"/>
                <w:sz w:val="20"/>
                <w:szCs w:val="20"/>
              </w:rPr>
            </w:pPr>
          </w:p>
        </w:tc>
      </w:tr>
      <w:tr w14:paraId="500159F2">
        <w:tblPrEx>
          <w:tblCellMar>
            <w:top w:w="0" w:type="dxa"/>
            <w:left w:w="0" w:type="dxa"/>
            <w:bottom w:w="0" w:type="dxa"/>
            <w:right w:w="0" w:type="dxa"/>
          </w:tblCellMar>
        </w:tblPrEx>
        <w:trPr>
          <w:wBefore w:w="0" w:type="auto"/>
          <w:tblCellSpacing w:w="0" w:type="dxa"/>
        </w:trPr>
        <w:tc>
          <w:tcPr>
            <w:tcW w:w="0" w:type="auto"/>
            <w:noWrap w:val="0"/>
            <w:vAlign w:val="center"/>
          </w:tcPr>
          <w:p w14:paraId="4CA2BF90">
            <w:r>
              <w:rPr>
                <w:rStyle w:val="10"/>
                <w:rFonts w:hint="eastAsia"/>
              </w:rPr>
              <w:t>使用技术要求:</w:t>
            </w:r>
            <w:r>
              <w:rPr>
                <w:rFonts w:hint="eastAsia"/>
              </w:rPr>
              <w:br w:type="textWrapping"/>
            </w:r>
            <w:r>
              <w:rPr>
                <w:rStyle w:val="11"/>
                <w:rFonts w:hint="eastAsia"/>
              </w:rPr>
              <w:t>1.将瓶体竖直，朝门、窗或纱窗上喷雾（每90厘米×90厘米喷雾2次）。一般家庭中使用时，每扇窗户或纱窗约喷雾2次；门上约喷雾4次，尽量均匀喷雾。 2.喷雾在门、窗或纱窗上的药液具有持效性，有效驱蚊长达30天。 3.直接对准蚊子喷雾，也可驱杀蚊子。</w:t>
            </w:r>
          </w:p>
        </w:tc>
      </w:tr>
      <w:tr w14:paraId="6C78412F">
        <w:tblPrEx>
          <w:tblCellMar>
            <w:top w:w="0" w:type="dxa"/>
            <w:left w:w="0" w:type="dxa"/>
            <w:bottom w:w="0" w:type="dxa"/>
            <w:right w:w="0" w:type="dxa"/>
          </w:tblCellMar>
        </w:tblPrEx>
        <w:trPr>
          <w:wBefore w:w="0" w:type="auto"/>
          <w:tblCellSpacing w:w="0" w:type="dxa"/>
        </w:trPr>
        <w:tc>
          <w:tcPr>
            <w:tcW w:w="0" w:type="auto"/>
            <w:noWrap w:val="0"/>
            <w:vAlign w:val="center"/>
          </w:tcPr>
          <w:p w14:paraId="06ABC349">
            <w:r>
              <w:rPr>
                <w:rStyle w:val="10"/>
                <w:rFonts w:hint="eastAsia"/>
              </w:rPr>
              <w:t>产品性能:</w:t>
            </w:r>
            <w:r>
              <w:rPr>
                <w:rFonts w:hint="eastAsia"/>
              </w:rPr>
              <w:br w:type="textWrapping"/>
            </w:r>
            <w:r>
              <w:rPr>
                <w:rStyle w:val="11"/>
                <w:rFonts w:hint="eastAsia"/>
              </w:rPr>
              <w:t>1. 本品以四氟苯菊酯和氯氰菊酯为有效成分。 2. 本品可驱杀停靠于门窗及其缝隙的蚊子，防止蚊子进入室内。 3. 定量喷雾，避免过量施药。 4. 以易挥发的乙醇（酒精）为溶剂，残留少，不粘腻，气味温和不刺激。 5. 简单喷雾，长效驱蚊，省心省力。 6. 营造无蚊空间，减少室内用药。 7. 适用于家庭、酒店、办公室、公共设施的门、窗、纱窗等地方。</w:t>
            </w:r>
          </w:p>
        </w:tc>
      </w:tr>
      <w:tr w14:paraId="77E70F32">
        <w:tblPrEx>
          <w:tblCellMar>
            <w:top w:w="0" w:type="dxa"/>
            <w:left w:w="0" w:type="dxa"/>
            <w:bottom w:w="0" w:type="dxa"/>
            <w:right w:w="0" w:type="dxa"/>
          </w:tblCellMar>
        </w:tblPrEx>
        <w:trPr>
          <w:wBefore w:w="0" w:type="auto"/>
          <w:tblCellSpacing w:w="0" w:type="dxa"/>
        </w:trPr>
        <w:tc>
          <w:tcPr>
            <w:tcW w:w="0" w:type="auto"/>
            <w:noWrap w:val="0"/>
            <w:vAlign w:val="center"/>
          </w:tcPr>
          <w:p w14:paraId="5CEAD060">
            <w:r>
              <w:rPr>
                <w:rStyle w:val="10"/>
                <w:rFonts w:hint="eastAsia"/>
              </w:rPr>
              <w:t>注意事项：</w:t>
            </w:r>
            <w:r>
              <w:rPr>
                <w:rFonts w:hint="eastAsia"/>
              </w:rPr>
              <w:br w:type="textWrapping"/>
            </w:r>
            <w:r>
              <w:rPr>
                <w:rStyle w:val="11"/>
                <w:rFonts w:hint="eastAsia"/>
              </w:rPr>
              <w:t>1. 本品仅限室内使用。本品为定量气雾剂，非持续性喷雾产品，请不要连续喷雾，如需在多处使用，喷雾间隔请保持在5秒以上。不可用于空间喷雾。2. 勿向人体、食物或植物喷雾，避免接触皮肤和眼睛。用后请洗手，注意通风。3. 对鱼、蚕有毒，请勿在蚕室及其附近使用，勿将其扔入鱼缸或水塘。本品对丝织品并无腐蚀性。4. 避免儿童、孕妇及哺乳期妇女直接用身体触摸本品内容物。5. 本品易燃，属压力包装，切勿毁坏及焚烧。禁止近火喷雾，不可倒置使用，空罐勿投入火中。不得贮存在潮湿、高温或靠近火源的地方，不得倒置存放。6. 用过的容器应妥善处理，不可做他用，也不可随意丢弃。</w:t>
            </w:r>
          </w:p>
        </w:tc>
      </w:tr>
      <w:tr w14:paraId="5D21F89A">
        <w:tblPrEx>
          <w:tblCellMar>
            <w:top w:w="0" w:type="dxa"/>
            <w:left w:w="0" w:type="dxa"/>
            <w:bottom w:w="0" w:type="dxa"/>
            <w:right w:w="0" w:type="dxa"/>
          </w:tblCellMar>
        </w:tblPrEx>
        <w:trPr>
          <w:wBefore w:w="0" w:type="auto"/>
          <w:tblCellSpacing w:w="0" w:type="dxa"/>
        </w:trPr>
        <w:tc>
          <w:tcPr>
            <w:tcW w:w="0" w:type="auto"/>
            <w:noWrap w:val="0"/>
            <w:vAlign w:val="center"/>
          </w:tcPr>
          <w:p w14:paraId="41B94200">
            <w:r>
              <w:rPr>
                <w:rStyle w:val="10"/>
                <w:rFonts w:hint="eastAsia"/>
              </w:rPr>
              <w:t>中毒急救措施：</w:t>
            </w:r>
            <w:r>
              <w:rPr>
                <w:rFonts w:hint="eastAsia"/>
              </w:rPr>
              <w:br w:type="textWrapping"/>
            </w:r>
            <w:r>
              <w:rPr>
                <w:rStyle w:val="11"/>
                <w:rFonts w:hint="eastAsia"/>
              </w:rPr>
              <w:t xml:space="preserve">皮肤接触：请用肥皂和大量水冲洗洗净。 眼睛溅入：立即用流动清水冲洗至少15分钟。 吸入：如感到头晕或呼吸不适，立即离开至空气新鲜处。携带标签送医院就诊。 </w:t>
            </w:r>
          </w:p>
        </w:tc>
      </w:tr>
      <w:tr w14:paraId="51EC1BB4">
        <w:tblPrEx>
          <w:tblCellMar>
            <w:top w:w="0" w:type="dxa"/>
            <w:left w:w="0" w:type="dxa"/>
            <w:bottom w:w="0" w:type="dxa"/>
            <w:right w:w="0" w:type="dxa"/>
          </w:tblCellMar>
        </w:tblPrEx>
        <w:trPr>
          <w:wBefore w:w="0" w:type="auto"/>
          <w:tblCellSpacing w:w="0" w:type="dxa"/>
        </w:trPr>
        <w:tc>
          <w:tcPr>
            <w:tcW w:w="0" w:type="auto"/>
            <w:noWrap w:val="0"/>
            <w:vAlign w:val="center"/>
          </w:tcPr>
          <w:p w14:paraId="2325C60F">
            <w:r>
              <w:rPr>
                <w:rStyle w:val="10"/>
                <w:rFonts w:hint="eastAsia"/>
              </w:rPr>
              <w:t>储存和运输方法：</w:t>
            </w:r>
            <w:r>
              <w:rPr>
                <w:rFonts w:hint="eastAsia"/>
              </w:rPr>
              <w:br w:type="textWrapping"/>
            </w:r>
            <w:r>
              <w:rPr>
                <w:rStyle w:val="11"/>
                <w:rFonts w:hint="eastAsia"/>
              </w:rPr>
              <w:t>1. 本品属极易燃液体，存放于50℃以下通风、阴凉、干燥处，远离火源和热源。 2. 不能与食品、饮料、种子、粮食、饲料或易燃易爆品混合贮存。 3. 置于儿童及宠物触及不到的地方。</w:t>
            </w:r>
          </w:p>
        </w:tc>
      </w:tr>
      <w:tr w14:paraId="700C08F8">
        <w:tblPrEx>
          <w:tblCellMar>
            <w:top w:w="0" w:type="dxa"/>
            <w:left w:w="0" w:type="dxa"/>
            <w:bottom w:w="0" w:type="dxa"/>
            <w:right w:w="0" w:type="dxa"/>
          </w:tblCellMar>
        </w:tblPrEx>
        <w:trPr>
          <w:wBefore w:w="0" w:type="auto"/>
          <w:tblCellSpacing w:w="0" w:type="dxa"/>
        </w:trPr>
        <w:tc>
          <w:tcPr>
            <w:tcW w:w="0" w:type="auto"/>
            <w:noWrap w:val="0"/>
            <w:vAlign w:val="center"/>
          </w:tcPr>
          <w:p w14:paraId="45AD956D">
            <w:r>
              <w:rPr>
                <w:rStyle w:val="10"/>
                <w:rFonts w:hint="eastAsia"/>
              </w:rPr>
              <w:t>质量保证期：</w:t>
            </w:r>
            <w:r>
              <w:rPr>
                <w:rStyle w:val="11"/>
                <w:rFonts w:hint="eastAsia"/>
              </w:rPr>
              <w:t>2年</w:t>
            </w:r>
          </w:p>
        </w:tc>
      </w:tr>
      <w:tr w14:paraId="1630F564">
        <w:tblPrEx>
          <w:tblCellMar>
            <w:top w:w="0" w:type="dxa"/>
            <w:left w:w="0" w:type="dxa"/>
            <w:bottom w:w="0" w:type="dxa"/>
            <w:right w:w="0" w:type="dxa"/>
          </w:tblCellMar>
        </w:tblPrEx>
        <w:trPr>
          <w:wBefore w:w="0" w:type="auto"/>
          <w:tblCellSpacing w:w="0" w:type="dxa"/>
        </w:trPr>
        <w:tc>
          <w:tcPr>
            <w:tcW w:w="0" w:type="auto"/>
            <w:noWrap w:val="0"/>
            <w:vAlign w:val="center"/>
          </w:tcPr>
          <w:p w14:paraId="7E3D3241">
            <w:r>
              <w:rPr>
                <w:rStyle w:val="10"/>
                <w:rFonts w:hint="eastAsia"/>
              </w:rPr>
              <w:t>备注：</w:t>
            </w:r>
          </w:p>
        </w:tc>
      </w:tr>
    </w:tbl>
    <w:p w14:paraId="12B320B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7798976">
        <w:tblPrEx>
          <w:tblCellMar>
            <w:top w:w="0" w:type="dxa"/>
            <w:left w:w="0" w:type="dxa"/>
            <w:bottom w:w="0" w:type="dxa"/>
            <w:right w:w="0" w:type="dxa"/>
          </w:tblCellMar>
        </w:tblPrEx>
        <w:trPr>
          <w:wBefore w:w="0" w:type="auto"/>
          <w:tblCellSpacing w:w="0" w:type="dxa"/>
        </w:trPr>
        <w:tc>
          <w:tcPr>
            <w:tcW w:w="0" w:type="auto"/>
            <w:noWrap w:val="0"/>
            <w:vAlign w:val="center"/>
          </w:tcPr>
          <w:p w14:paraId="3255E2DF">
            <w:r>
              <w:rPr>
                <w:rStyle w:val="10"/>
                <w:rFonts w:hint="eastAsia"/>
              </w:rPr>
              <w:t>登记证号：</w:t>
            </w:r>
            <w:r>
              <w:rPr>
                <w:rFonts w:hint="eastAsia"/>
              </w:rPr>
              <w:t>WP20210213</w:t>
            </w:r>
          </w:p>
        </w:tc>
      </w:tr>
      <w:tr w14:paraId="2B6C5B6A">
        <w:tblPrEx>
          <w:tblCellMar>
            <w:top w:w="0" w:type="dxa"/>
            <w:left w:w="0" w:type="dxa"/>
            <w:bottom w:w="0" w:type="dxa"/>
            <w:right w:w="0" w:type="dxa"/>
          </w:tblCellMar>
        </w:tblPrEx>
        <w:trPr>
          <w:wBefore w:w="0" w:type="auto"/>
          <w:tblCellSpacing w:w="0" w:type="dxa"/>
        </w:trPr>
        <w:tc>
          <w:tcPr>
            <w:tcW w:w="0" w:type="auto"/>
            <w:noWrap w:val="0"/>
            <w:vAlign w:val="center"/>
          </w:tcPr>
          <w:p w14:paraId="578D42A1">
            <w:r>
              <w:rPr>
                <w:rStyle w:val="10"/>
                <w:rFonts w:hint="eastAsia"/>
              </w:rPr>
              <w:t>登记证持有人：</w:t>
            </w:r>
            <w:r>
              <w:rPr>
                <w:rFonts w:hint="eastAsia"/>
              </w:rPr>
              <w:t>广东乾佳乐生物科技有限公司</w:t>
            </w:r>
          </w:p>
        </w:tc>
      </w:tr>
      <w:tr w14:paraId="4FFBDD8E">
        <w:tblPrEx>
          <w:tblCellMar>
            <w:top w:w="0" w:type="dxa"/>
            <w:left w:w="0" w:type="dxa"/>
            <w:bottom w:w="0" w:type="dxa"/>
            <w:right w:w="0" w:type="dxa"/>
          </w:tblCellMar>
        </w:tblPrEx>
        <w:trPr>
          <w:wBefore w:w="0" w:type="auto"/>
          <w:tblCellSpacing w:w="0" w:type="dxa"/>
        </w:trPr>
        <w:tc>
          <w:tcPr>
            <w:tcW w:w="0" w:type="auto"/>
            <w:noWrap w:val="0"/>
            <w:vAlign w:val="center"/>
          </w:tcPr>
          <w:p w14:paraId="30988645">
            <w:r>
              <w:rPr>
                <w:rStyle w:val="10"/>
                <w:rFonts w:hint="eastAsia"/>
              </w:rPr>
              <w:t>农药名称：</w:t>
            </w:r>
            <w:r>
              <w:rPr>
                <w:rFonts w:hint="eastAsia"/>
              </w:rPr>
              <w:t>杀蚁粉剂</w:t>
            </w:r>
          </w:p>
        </w:tc>
      </w:tr>
      <w:tr w14:paraId="23370A44">
        <w:tblPrEx>
          <w:tblCellMar>
            <w:top w:w="0" w:type="dxa"/>
            <w:left w:w="0" w:type="dxa"/>
            <w:bottom w:w="0" w:type="dxa"/>
            <w:right w:w="0" w:type="dxa"/>
          </w:tblCellMar>
        </w:tblPrEx>
        <w:trPr>
          <w:wBefore w:w="0" w:type="auto"/>
          <w:tblCellSpacing w:w="0" w:type="dxa"/>
        </w:trPr>
        <w:tc>
          <w:tcPr>
            <w:tcW w:w="0" w:type="auto"/>
            <w:noWrap w:val="0"/>
            <w:vAlign w:val="center"/>
          </w:tcPr>
          <w:p w14:paraId="034FBF24">
            <w:r>
              <w:rPr>
                <w:rStyle w:val="10"/>
                <w:rFonts w:hint="eastAsia"/>
              </w:rPr>
              <w:t>剂型：</w:t>
            </w:r>
            <w:r>
              <w:rPr>
                <w:rFonts w:hint="eastAsia"/>
              </w:rPr>
              <w:t>粉剂</w:t>
            </w:r>
          </w:p>
        </w:tc>
      </w:tr>
      <w:tr w14:paraId="26FEAE61">
        <w:tblPrEx>
          <w:tblCellMar>
            <w:top w:w="0" w:type="dxa"/>
            <w:left w:w="0" w:type="dxa"/>
            <w:bottom w:w="0" w:type="dxa"/>
            <w:right w:w="0" w:type="dxa"/>
          </w:tblCellMar>
        </w:tblPrEx>
        <w:trPr>
          <w:wBefore w:w="0" w:type="auto"/>
          <w:tblCellSpacing w:w="0" w:type="dxa"/>
        </w:trPr>
        <w:tc>
          <w:tcPr>
            <w:tcW w:w="0" w:type="auto"/>
            <w:noWrap w:val="0"/>
            <w:vAlign w:val="center"/>
          </w:tcPr>
          <w:p w14:paraId="0ECDBAE3">
            <w:r>
              <w:rPr>
                <w:rStyle w:val="10"/>
                <w:rFonts w:hint="eastAsia"/>
              </w:rPr>
              <w:t>毒性及其标识：</w:t>
            </w:r>
            <w:r>
              <w:rPr>
                <w:rFonts w:hint="eastAsia"/>
              </w:rPr>
              <w:t xml:space="preserve"> </w:t>
            </w:r>
            <w:r>
              <w:rPr>
                <w:lang/>
              </w:rPr>
              <w:drawing>
                <wp:inline distT="0" distB="0" distL="114300" distR="114300">
                  <wp:extent cx="476250" cy="323850"/>
                  <wp:effectExtent l="0" t="0" r="0" b="0"/>
                  <wp:docPr id="576" name="图片 57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7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F0E7831">
        <w:tblPrEx>
          <w:tblCellMar>
            <w:top w:w="0" w:type="dxa"/>
            <w:left w:w="0" w:type="dxa"/>
            <w:bottom w:w="0" w:type="dxa"/>
            <w:right w:w="0" w:type="dxa"/>
          </w:tblCellMar>
        </w:tblPrEx>
        <w:trPr>
          <w:wBefore w:w="0" w:type="auto"/>
          <w:tblCellSpacing w:w="0" w:type="dxa"/>
        </w:trPr>
        <w:tc>
          <w:tcPr>
            <w:tcW w:w="0" w:type="auto"/>
            <w:noWrap w:val="0"/>
            <w:vAlign w:val="center"/>
          </w:tcPr>
          <w:p w14:paraId="3A4DD3EE">
            <w:r>
              <w:rPr>
                <w:rStyle w:val="10"/>
                <w:rFonts w:hint="eastAsia"/>
              </w:rPr>
              <w:t>总有效成分含量：</w:t>
            </w:r>
            <w:r>
              <w:rPr>
                <w:rFonts w:hint="eastAsia"/>
              </w:rPr>
              <w:t>0.6%</w:t>
            </w:r>
          </w:p>
        </w:tc>
      </w:tr>
      <w:tr w14:paraId="72F9F7FD">
        <w:tblPrEx>
          <w:tblCellMar>
            <w:top w:w="0" w:type="dxa"/>
            <w:left w:w="0" w:type="dxa"/>
            <w:bottom w:w="0" w:type="dxa"/>
            <w:right w:w="0" w:type="dxa"/>
          </w:tblCellMar>
        </w:tblPrEx>
        <w:trPr>
          <w:wBefore w:w="0" w:type="auto"/>
          <w:tblCellSpacing w:w="0" w:type="dxa"/>
        </w:trPr>
        <w:tc>
          <w:tcPr>
            <w:tcW w:w="0" w:type="auto"/>
            <w:noWrap w:val="0"/>
            <w:vAlign w:val="center"/>
          </w:tcPr>
          <w:p w14:paraId="6133138B">
            <w:r>
              <w:rPr>
                <w:rFonts w:hint="eastAsia"/>
              </w:rPr>
              <w:t xml:space="preserve">有效成分及其含量： </w:t>
            </w:r>
          </w:p>
          <w:p w14:paraId="0590A718">
            <w:r>
              <w:rPr>
                <w:rFonts w:hint="eastAsia"/>
              </w:rPr>
              <w:t xml:space="preserve">    高效氯氰菊酯0.5%    茚虫威0.1%    </w:t>
            </w:r>
          </w:p>
        </w:tc>
      </w:tr>
      <w:tr w14:paraId="2FAB51D4">
        <w:tblPrEx>
          <w:tblCellMar>
            <w:top w:w="0" w:type="dxa"/>
            <w:left w:w="0" w:type="dxa"/>
            <w:bottom w:w="0" w:type="dxa"/>
            <w:right w:w="0" w:type="dxa"/>
          </w:tblCellMar>
        </w:tblPrEx>
        <w:trPr>
          <w:wBefore w:w="0" w:type="auto"/>
          <w:tblCellSpacing w:w="0" w:type="dxa"/>
        </w:trPr>
        <w:tc>
          <w:tcPr>
            <w:tcW w:w="0" w:type="auto"/>
            <w:noWrap w:val="0"/>
            <w:vAlign w:val="center"/>
          </w:tcPr>
          <w:p w14:paraId="44DB663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8D724B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DC8250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6E122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9B1405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E8FF9F6">
                  <w:r>
                    <w:rPr>
                      <w:rStyle w:val="11"/>
                      <w:rFonts w:hint="eastAsia"/>
                    </w:rPr>
                    <w:t>施用方式</w:t>
                  </w:r>
                </w:p>
              </w:tc>
            </w:tr>
            <w:tr w14:paraId="474DC7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2658131">
                  <w:r>
                    <w:rPr>
                      <w:rStyle w:val="11"/>
                      <w:rFonts w:hint="eastAsia"/>
                    </w:rPr>
                    <w:t>室外</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8CCF39">
                  <w:r>
                    <w:rPr>
                      <w:rStyle w:val="11"/>
                      <w:rFonts w:hint="eastAsia"/>
                    </w:rPr>
                    <w:t>红火蚁</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12E014">
                  <w:r>
                    <w:rPr>
                      <w:rStyle w:val="11"/>
                      <w:rFonts w:hint="eastAsia"/>
                    </w:rPr>
                    <w:t>15-25克/巢</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79282D">
                  <w:r>
                    <w:rPr>
                      <w:rStyle w:val="11"/>
                      <w:rFonts w:hint="eastAsia"/>
                    </w:rPr>
                    <w:t>撒施</w:t>
                  </w:r>
                </w:p>
              </w:tc>
            </w:tr>
          </w:tbl>
          <w:p w14:paraId="75358743">
            <w:pPr>
              <w:rPr>
                <w:rFonts w:ascii="Times New Roman" w:hAnsi="Times New Roman" w:cs="Times New Roman"/>
                <w:sz w:val="20"/>
                <w:szCs w:val="20"/>
              </w:rPr>
            </w:pPr>
          </w:p>
        </w:tc>
      </w:tr>
      <w:tr w14:paraId="68B39282">
        <w:tblPrEx>
          <w:tblCellMar>
            <w:top w:w="0" w:type="dxa"/>
            <w:left w:w="0" w:type="dxa"/>
            <w:bottom w:w="0" w:type="dxa"/>
            <w:right w:w="0" w:type="dxa"/>
          </w:tblCellMar>
        </w:tblPrEx>
        <w:trPr>
          <w:wBefore w:w="0" w:type="auto"/>
          <w:tblCellSpacing w:w="0" w:type="dxa"/>
        </w:trPr>
        <w:tc>
          <w:tcPr>
            <w:tcW w:w="0" w:type="auto"/>
            <w:noWrap w:val="0"/>
            <w:vAlign w:val="center"/>
          </w:tcPr>
          <w:p w14:paraId="05129BE5">
            <w:r>
              <w:rPr>
                <w:rStyle w:val="10"/>
                <w:rFonts w:hint="eastAsia"/>
              </w:rPr>
              <w:t>使用技术要求:</w:t>
            </w:r>
            <w:r>
              <w:rPr>
                <w:rFonts w:hint="eastAsia"/>
              </w:rPr>
              <w:br w:type="textWrapping"/>
            </w:r>
            <w:r>
              <w:rPr>
                <w:rStyle w:val="11"/>
                <w:rFonts w:hint="eastAsia"/>
              </w:rPr>
              <w:t>1、在红火蚁正常活动期间环状撒布于蚁巢附近； 2、地表温度在20℃~30℃、地面较为干燥时施药，施药后2天内下雨需重新施药。</w:t>
            </w:r>
          </w:p>
        </w:tc>
      </w:tr>
      <w:tr w14:paraId="3299296D">
        <w:tblPrEx>
          <w:tblCellMar>
            <w:top w:w="0" w:type="dxa"/>
            <w:left w:w="0" w:type="dxa"/>
            <w:bottom w:w="0" w:type="dxa"/>
            <w:right w:w="0" w:type="dxa"/>
          </w:tblCellMar>
        </w:tblPrEx>
        <w:trPr>
          <w:wBefore w:w="0" w:type="auto"/>
          <w:tblCellSpacing w:w="0" w:type="dxa"/>
        </w:trPr>
        <w:tc>
          <w:tcPr>
            <w:tcW w:w="0" w:type="auto"/>
            <w:noWrap w:val="0"/>
            <w:vAlign w:val="center"/>
          </w:tcPr>
          <w:p w14:paraId="4A8DC7B2">
            <w:r>
              <w:rPr>
                <w:rStyle w:val="10"/>
                <w:rFonts w:hint="eastAsia"/>
              </w:rPr>
              <w:t>产品性能:</w:t>
            </w:r>
            <w:r>
              <w:rPr>
                <w:rFonts w:hint="eastAsia"/>
              </w:rPr>
              <w:br w:type="textWrapping"/>
            </w:r>
            <w:r>
              <w:rPr>
                <w:rStyle w:val="11"/>
                <w:rFonts w:hint="eastAsia"/>
              </w:rPr>
              <w:t xml:space="preserve">高效氯氰菊酯是一种杀虫活性较高的拟除虫菊酯类杀虫剂。具有触杀和胃毒作用，作用于昆虫神经系统，通过干扰钠离子通道而使神经元功能紊乱；茚虫威属噁二嗪类，通过干扰钠离子通道导致害虫中毒，随即麻痹直至僵死。以胃毒作用为主兼触杀活性，施药后害虫停止取食，达到保护作物的目的。二者混配，对红火蚁有较好防治效果。 </w:t>
            </w:r>
          </w:p>
        </w:tc>
      </w:tr>
      <w:tr w14:paraId="5310855F">
        <w:tblPrEx>
          <w:tblCellMar>
            <w:top w:w="0" w:type="dxa"/>
            <w:left w:w="0" w:type="dxa"/>
            <w:bottom w:w="0" w:type="dxa"/>
            <w:right w:w="0" w:type="dxa"/>
          </w:tblCellMar>
        </w:tblPrEx>
        <w:trPr>
          <w:wBefore w:w="0" w:type="auto"/>
          <w:tblCellSpacing w:w="0" w:type="dxa"/>
        </w:trPr>
        <w:tc>
          <w:tcPr>
            <w:tcW w:w="0" w:type="auto"/>
            <w:noWrap w:val="0"/>
            <w:vAlign w:val="center"/>
          </w:tcPr>
          <w:p w14:paraId="4FA1E69F">
            <w:r>
              <w:rPr>
                <w:rStyle w:val="10"/>
                <w:rFonts w:hint="eastAsia"/>
              </w:rPr>
              <w:t>注意事项：</w:t>
            </w:r>
            <w:r>
              <w:rPr>
                <w:rFonts w:hint="eastAsia"/>
              </w:rPr>
              <w:br w:type="textWrapping"/>
            </w:r>
            <w:r>
              <w:rPr>
                <w:rStyle w:val="11"/>
                <w:rFonts w:hint="eastAsia"/>
              </w:rPr>
              <w:t>1.24小时内施药区域请勿洒水，灌溉。24小时内如有降水，请勿用药。 2.使用本品穿戴防护服、护目镜，避免药剂直接接触，使用完毕后洗手。 3.请勿投入水中。水产养殖区、河塘等水体附近禁用，请勿在池塘，水沟中清洗施药器具；鸟类保护区附近禁用。 4.使用时切勿污染食品及饮水。用过的容器应妥善处理，不可随意丢弃或作他用。 5.孕妇及哺乳期妇女避免接触本品。</w:t>
            </w:r>
          </w:p>
        </w:tc>
      </w:tr>
      <w:tr w14:paraId="765BB09F">
        <w:tblPrEx>
          <w:tblCellMar>
            <w:top w:w="0" w:type="dxa"/>
            <w:left w:w="0" w:type="dxa"/>
            <w:bottom w:w="0" w:type="dxa"/>
            <w:right w:w="0" w:type="dxa"/>
          </w:tblCellMar>
        </w:tblPrEx>
        <w:trPr>
          <w:wBefore w:w="0" w:type="auto"/>
          <w:tblCellSpacing w:w="0" w:type="dxa"/>
        </w:trPr>
        <w:tc>
          <w:tcPr>
            <w:tcW w:w="0" w:type="auto"/>
            <w:noWrap w:val="0"/>
            <w:vAlign w:val="center"/>
          </w:tcPr>
          <w:p w14:paraId="3E10CDD7">
            <w:r>
              <w:rPr>
                <w:rStyle w:val="10"/>
                <w:rFonts w:hint="eastAsia"/>
              </w:rPr>
              <w:t>中毒急救措施：</w:t>
            </w:r>
            <w:r>
              <w:rPr>
                <w:rFonts w:hint="eastAsia"/>
              </w:rPr>
              <w:br w:type="textWrapping"/>
            </w:r>
            <w:r>
              <w:rPr>
                <w:rStyle w:val="11"/>
                <w:rFonts w:hint="eastAsia"/>
              </w:rPr>
              <w:t xml:space="preserve">中毒症状：对眼睛有刺激作用。 急救措施：使用中或使用后如果感觉不适，应立即停止工作，采取急救措施，并携带标签送医院就诊。 1、皮肤接触：脱去污染的衣物，用软布去除沾染农药，立即用大量清水和肥皂冲洗。 2、眼睛溅入：立即用流动清水冲洗不少于15分钟。 3、吸入：立即离开施药现场，转移到空气清新处。 4、误食：立即停止服用，用清水充分漱口后，请勿引吐，立即携带农药标签到医院就诊，紧急医疗措施：使用医用活性炭洗胃，注意防止胃容物进入呼吸道。 5、解毒剂：无专用解毒剂。 </w:t>
            </w:r>
          </w:p>
        </w:tc>
      </w:tr>
      <w:tr w14:paraId="56C80AF6">
        <w:tblPrEx>
          <w:tblCellMar>
            <w:top w:w="0" w:type="dxa"/>
            <w:left w:w="0" w:type="dxa"/>
            <w:bottom w:w="0" w:type="dxa"/>
            <w:right w:w="0" w:type="dxa"/>
          </w:tblCellMar>
        </w:tblPrEx>
        <w:trPr>
          <w:wBefore w:w="0" w:type="auto"/>
          <w:tblCellSpacing w:w="0" w:type="dxa"/>
        </w:trPr>
        <w:tc>
          <w:tcPr>
            <w:tcW w:w="0" w:type="auto"/>
            <w:noWrap w:val="0"/>
            <w:vAlign w:val="center"/>
          </w:tcPr>
          <w:p w14:paraId="51D516A1">
            <w:r>
              <w:rPr>
                <w:rStyle w:val="10"/>
                <w:rFonts w:hint="eastAsia"/>
              </w:rPr>
              <w:t>储存和运输方法：</w:t>
            </w:r>
            <w:r>
              <w:rPr>
                <w:rFonts w:hint="eastAsia"/>
              </w:rPr>
              <w:br w:type="textWrapping"/>
            </w:r>
            <w:r>
              <w:rPr>
                <w:rStyle w:val="11"/>
                <w:rFonts w:hint="eastAsia"/>
              </w:rPr>
              <w:t>.本品应贮存在阴凉、干燥、通风、防雨处，不可倒置。远离火源、热源。2.本品应当置于儿童、无关人员及动物接触不到的地方，并加锁保存。 3.勿与食品、饮料、粮食、种子、饲料等同贮同运。4.运输过程中要防晒、防雨淋；确保容器不泄露、不倒塌、不坠落、不损坏，并按规定路线行驶。专用车辆运输。</w:t>
            </w:r>
          </w:p>
        </w:tc>
      </w:tr>
      <w:tr w14:paraId="108292D9">
        <w:tblPrEx>
          <w:tblCellMar>
            <w:top w:w="0" w:type="dxa"/>
            <w:left w:w="0" w:type="dxa"/>
            <w:bottom w:w="0" w:type="dxa"/>
            <w:right w:w="0" w:type="dxa"/>
          </w:tblCellMar>
        </w:tblPrEx>
        <w:trPr>
          <w:wBefore w:w="0" w:type="auto"/>
          <w:tblCellSpacing w:w="0" w:type="dxa"/>
        </w:trPr>
        <w:tc>
          <w:tcPr>
            <w:tcW w:w="0" w:type="auto"/>
            <w:noWrap w:val="0"/>
            <w:vAlign w:val="center"/>
          </w:tcPr>
          <w:p w14:paraId="32096A3C">
            <w:r>
              <w:rPr>
                <w:rStyle w:val="10"/>
                <w:rFonts w:hint="eastAsia"/>
              </w:rPr>
              <w:t>质量保证期：</w:t>
            </w:r>
            <w:r>
              <w:rPr>
                <w:rStyle w:val="11"/>
                <w:rFonts w:hint="eastAsia"/>
              </w:rPr>
              <w:t>2年</w:t>
            </w:r>
          </w:p>
        </w:tc>
      </w:tr>
      <w:tr w14:paraId="410F8679">
        <w:tblPrEx>
          <w:tblCellMar>
            <w:top w:w="0" w:type="dxa"/>
            <w:left w:w="0" w:type="dxa"/>
            <w:bottom w:w="0" w:type="dxa"/>
            <w:right w:w="0" w:type="dxa"/>
          </w:tblCellMar>
        </w:tblPrEx>
        <w:trPr>
          <w:wBefore w:w="0" w:type="auto"/>
          <w:tblCellSpacing w:w="0" w:type="dxa"/>
        </w:trPr>
        <w:tc>
          <w:tcPr>
            <w:tcW w:w="0" w:type="auto"/>
            <w:noWrap w:val="0"/>
            <w:vAlign w:val="center"/>
          </w:tcPr>
          <w:p w14:paraId="6F98A867">
            <w:r>
              <w:rPr>
                <w:rStyle w:val="10"/>
                <w:rFonts w:hint="eastAsia"/>
              </w:rPr>
              <w:t>备注：</w:t>
            </w:r>
          </w:p>
        </w:tc>
      </w:tr>
    </w:tbl>
    <w:p w14:paraId="2C6E78E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CA400B1">
        <w:tblPrEx>
          <w:tblCellMar>
            <w:top w:w="0" w:type="dxa"/>
            <w:left w:w="0" w:type="dxa"/>
            <w:bottom w:w="0" w:type="dxa"/>
            <w:right w:w="0" w:type="dxa"/>
          </w:tblCellMar>
        </w:tblPrEx>
        <w:trPr>
          <w:wBefore w:w="0" w:type="auto"/>
          <w:tblCellSpacing w:w="0" w:type="dxa"/>
        </w:trPr>
        <w:tc>
          <w:tcPr>
            <w:tcW w:w="0" w:type="auto"/>
            <w:noWrap w:val="0"/>
            <w:vAlign w:val="center"/>
          </w:tcPr>
          <w:p w14:paraId="528845E9">
            <w:r>
              <w:rPr>
                <w:rStyle w:val="10"/>
                <w:rFonts w:hint="eastAsia"/>
              </w:rPr>
              <w:t>登记证号：</w:t>
            </w:r>
            <w:r>
              <w:rPr>
                <w:rFonts w:hint="eastAsia"/>
              </w:rPr>
              <w:t>PD20212283</w:t>
            </w:r>
          </w:p>
        </w:tc>
      </w:tr>
      <w:tr w14:paraId="75608E5B">
        <w:tblPrEx>
          <w:tblCellMar>
            <w:top w:w="0" w:type="dxa"/>
            <w:left w:w="0" w:type="dxa"/>
            <w:bottom w:w="0" w:type="dxa"/>
            <w:right w:w="0" w:type="dxa"/>
          </w:tblCellMar>
        </w:tblPrEx>
        <w:trPr>
          <w:wBefore w:w="0" w:type="auto"/>
          <w:tblCellSpacing w:w="0" w:type="dxa"/>
        </w:trPr>
        <w:tc>
          <w:tcPr>
            <w:tcW w:w="0" w:type="auto"/>
            <w:noWrap w:val="0"/>
            <w:vAlign w:val="center"/>
          </w:tcPr>
          <w:p w14:paraId="52269E3D">
            <w:r>
              <w:rPr>
                <w:rStyle w:val="10"/>
                <w:rFonts w:hint="eastAsia"/>
              </w:rPr>
              <w:t>登记证持有人：</w:t>
            </w:r>
            <w:r>
              <w:rPr>
                <w:rFonts w:hint="eastAsia"/>
              </w:rPr>
              <w:t>安徽美兰农业发展股份有限公司</w:t>
            </w:r>
          </w:p>
        </w:tc>
      </w:tr>
      <w:tr w14:paraId="10D5AABB">
        <w:tblPrEx>
          <w:tblCellMar>
            <w:top w:w="0" w:type="dxa"/>
            <w:left w:w="0" w:type="dxa"/>
            <w:bottom w:w="0" w:type="dxa"/>
            <w:right w:w="0" w:type="dxa"/>
          </w:tblCellMar>
        </w:tblPrEx>
        <w:trPr>
          <w:wBefore w:w="0" w:type="auto"/>
          <w:tblCellSpacing w:w="0" w:type="dxa"/>
        </w:trPr>
        <w:tc>
          <w:tcPr>
            <w:tcW w:w="0" w:type="auto"/>
            <w:noWrap w:val="0"/>
            <w:vAlign w:val="center"/>
          </w:tcPr>
          <w:p w14:paraId="0DDFDB06">
            <w:r>
              <w:rPr>
                <w:rStyle w:val="10"/>
                <w:rFonts w:hint="eastAsia"/>
              </w:rPr>
              <w:t>农药名称：</w:t>
            </w:r>
            <w:r>
              <w:rPr>
                <w:rFonts w:hint="eastAsia"/>
              </w:rPr>
              <w:t>噁唑·五氟磺</w:t>
            </w:r>
          </w:p>
        </w:tc>
      </w:tr>
      <w:tr w14:paraId="57BA25FC">
        <w:tblPrEx>
          <w:tblCellMar>
            <w:top w:w="0" w:type="dxa"/>
            <w:left w:w="0" w:type="dxa"/>
            <w:bottom w:w="0" w:type="dxa"/>
            <w:right w:w="0" w:type="dxa"/>
          </w:tblCellMar>
        </w:tblPrEx>
        <w:trPr>
          <w:wBefore w:w="0" w:type="auto"/>
          <w:tblCellSpacing w:w="0" w:type="dxa"/>
        </w:trPr>
        <w:tc>
          <w:tcPr>
            <w:tcW w:w="0" w:type="auto"/>
            <w:noWrap w:val="0"/>
            <w:vAlign w:val="center"/>
          </w:tcPr>
          <w:p w14:paraId="08001822">
            <w:r>
              <w:rPr>
                <w:rStyle w:val="10"/>
                <w:rFonts w:hint="eastAsia"/>
              </w:rPr>
              <w:t>剂型：</w:t>
            </w:r>
            <w:r>
              <w:rPr>
                <w:rFonts w:hint="eastAsia"/>
              </w:rPr>
              <w:t>可分散油悬浮剂</w:t>
            </w:r>
          </w:p>
        </w:tc>
      </w:tr>
      <w:tr w14:paraId="0695D05E">
        <w:tblPrEx>
          <w:tblCellMar>
            <w:top w:w="0" w:type="dxa"/>
            <w:left w:w="0" w:type="dxa"/>
            <w:bottom w:w="0" w:type="dxa"/>
            <w:right w:w="0" w:type="dxa"/>
          </w:tblCellMar>
        </w:tblPrEx>
        <w:trPr>
          <w:wBefore w:w="0" w:type="auto"/>
          <w:tblCellSpacing w:w="0" w:type="dxa"/>
        </w:trPr>
        <w:tc>
          <w:tcPr>
            <w:tcW w:w="0" w:type="auto"/>
            <w:noWrap w:val="0"/>
            <w:vAlign w:val="center"/>
          </w:tcPr>
          <w:p w14:paraId="2A32A07F">
            <w:r>
              <w:rPr>
                <w:rStyle w:val="10"/>
                <w:rFonts w:hint="eastAsia"/>
              </w:rPr>
              <w:t>毒性及其标识：</w:t>
            </w:r>
            <w:r>
              <w:rPr>
                <w:rFonts w:hint="eastAsia"/>
              </w:rPr>
              <w:t xml:space="preserve"> </w:t>
            </w:r>
            <w:r>
              <w:rPr>
                <w:lang/>
              </w:rPr>
              <w:drawing>
                <wp:inline distT="0" distB="0" distL="114300" distR="114300">
                  <wp:extent cx="476250" cy="323850"/>
                  <wp:effectExtent l="0" t="0" r="0" b="0"/>
                  <wp:docPr id="577" name="图片 57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57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5CD000D">
        <w:tblPrEx>
          <w:tblCellMar>
            <w:top w:w="0" w:type="dxa"/>
            <w:left w:w="0" w:type="dxa"/>
            <w:bottom w:w="0" w:type="dxa"/>
            <w:right w:w="0" w:type="dxa"/>
          </w:tblCellMar>
        </w:tblPrEx>
        <w:trPr>
          <w:wBefore w:w="0" w:type="auto"/>
          <w:tblCellSpacing w:w="0" w:type="dxa"/>
        </w:trPr>
        <w:tc>
          <w:tcPr>
            <w:tcW w:w="0" w:type="auto"/>
            <w:noWrap w:val="0"/>
            <w:vAlign w:val="center"/>
          </w:tcPr>
          <w:p w14:paraId="05A21D97">
            <w:r>
              <w:rPr>
                <w:rStyle w:val="10"/>
                <w:rFonts w:hint="eastAsia"/>
              </w:rPr>
              <w:t>总有效成分含量：</w:t>
            </w:r>
            <w:r>
              <w:rPr>
                <w:rFonts w:hint="eastAsia"/>
              </w:rPr>
              <w:t>12%</w:t>
            </w:r>
          </w:p>
        </w:tc>
      </w:tr>
      <w:tr w14:paraId="39FFB189">
        <w:tblPrEx>
          <w:tblCellMar>
            <w:top w:w="0" w:type="dxa"/>
            <w:left w:w="0" w:type="dxa"/>
            <w:bottom w:w="0" w:type="dxa"/>
            <w:right w:w="0" w:type="dxa"/>
          </w:tblCellMar>
        </w:tblPrEx>
        <w:trPr>
          <w:wBefore w:w="0" w:type="auto"/>
          <w:tblCellSpacing w:w="0" w:type="dxa"/>
        </w:trPr>
        <w:tc>
          <w:tcPr>
            <w:tcW w:w="0" w:type="auto"/>
            <w:noWrap w:val="0"/>
            <w:vAlign w:val="center"/>
          </w:tcPr>
          <w:p w14:paraId="1DB54CE5">
            <w:r>
              <w:rPr>
                <w:rFonts w:hint="eastAsia"/>
              </w:rPr>
              <w:t xml:space="preserve">有效成分及其含量： </w:t>
            </w:r>
          </w:p>
          <w:p w14:paraId="46C5D39C">
            <w:r>
              <w:rPr>
                <w:rFonts w:hint="eastAsia"/>
              </w:rPr>
              <w:t xml:space="preserve">    五氟磺草胺2%    噁唑酰草胺10%    </w:t>
            </w:r>
          </w:p>
        </w:tc>
      </w:tr>
      <w:tr w14:paraId="72A95D99">
        <w:tblPrEx>
          <w:tblCellMar>
            <w:top w:w="0" w:type="dxa"/>
            <w:left w:w="0" w:type="dxa"/>
            <w:bottom w:w="0" w:type="dxa"/>
            <w:right w:w="0" w:type="dxa"/>
          </w:tblCellMar>
        </w:tblPrEx>
        <w:trPr>
          <w:wBefore w:w="0" w:type="auto"/>
          <w:tblCellSpacing w:w="0" w:type="dxa"/>
        </w:trPr>
        <w:tc>
          <w:tcPr>
            <w:tcW w:w="0" w:type="auto"/>
            <w:noWrap w:val="0"/>
            <w:vAlign w:val="center"/>
          </w:tcPr>
          <w:p w14:paraId="6863C2D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BA983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3DC46C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760717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4722B7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031675A">
                  <w:r>
                    <w:rPr>
                      <w:rStyle w:val="11"/>
                      <w:rFonts w:hint="eastAsia"/>
                    </w:rPr>
                    <w:t>施用方式</w:t>
                  </w:r>
                </w:p>
              </w:tc>
            </w:tr>
            <w:tr w14:paraId="0625FF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40845F8">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05378C">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02CC91">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E79523">
                  <w:r>
                    <w:rPr>
                      <w:rStyle w:val="11"/>
                      <w:rFonts w:hint="eastAsia"/>
                    </w:rPr>
                    <w:t>茎叶喷雾</w:t>
                  </w:r>
                </w:p>
              </w:tc>
            </w:tr>
          </w:tbl>
          <w:p w14:paraId="07E6127D">
            <w:pPr>
              <w:rPr>
                <w:rFonts w:ascii="Times New Roman" w:hAnsi="Times New Roman" w:cs="Times New Roman"/>
                <w:sz w:val="20"/>
                <w:szCs w:val="20"/>
              </w:rPr>
            </w:pPr>
          </w:p>
        </w:tc>
      </w:tr>
      <w:tr w14:paraId="0A9F4F98">
        <w:tblPrEx>
          <w:tblCellMar>
            <w:top w:w="0" w:type="dxa"/>
            <w:left w:w="0" w:type="dxa"/>
            <w:bottom w:w="0" w:type="dxa"/>
            <w:right w:w="0" w:type="dxa"/>
          </w:tblCellMar>
        </w:tblPrEx>
        <w:trPr>
          <w:wBefore w:w="0" w:type="auto"/>
          <w:tblCellSpacing w:w="0" w:type="dxa"/>
        </w:trPr>
        <w:tc>
          <w:tcPr>
            <w:tcW w:w="0" w:type="auto"/>
            <w:noWrap w:val="0"/>
            <w:vAlign w:val="center"/>
          </w:tcPr>
          <w:p w14:paraId="08F940EB">
            <w:r>
              <w:rPr>
                <w:rStyle w:val="10"/>
                <w:rFonts w:hint="eastAsia"/>
              </w:rPr>
              <w:t>使用技术要求:</w:t>
            </w:r>
            <w:r>
              <w:rPr>
                <w:rFonts w:hint="eastAsia"/>
              </w:rPr>
              <w:br w:type="textWrapping"/>
            </w:r>
            <w:r>
              <w:rPr>
                <w:rStyle w:val="11"/>
                <w:rFonts w:hint="eastAsia"/>
              </w:rPr>
              <w:t>1. 于直播水稻2-5叶期，田间一年生杂草2-5叶期，茎叶喷雾施药，施药前排干田水，保持田间湿润，药后1-2天复水，田内保持3-5厘米水层，保水5-7天后恢复正常管理。2. 大风天或预计1小时内降雨，请勿施药。3. 每季作物最多使用1次。</w:t>
            </w:r>
          </w:p>
        </w:tc>
      </w:tr>
      <w:tr w14:paraId="556EED56">
        <w:tblPrEx>
          <w:tblCellMar>
            <w:top w:w="0" w:type="dxa"/>
            <w:left w:w="0" w:type="dxa"/>
            <w:bottom w:w="0" w:type="dxa"/>
            <w:right w:w="0" w:type="dxa"/>
          </w:tblCellMar>
        </w:tblPrEx>
        <w:trPr>
          <w:wBefore w:w="0" w:type="auto"/>
          <w:tblCellSpacing w:w="0" w:type="dxa"/>
        </w:trPr>
        <w:tc>
          <w:tcPr>
            <w:tcW w:w="0" w:type="auto"/>
            <w:noWrap w:val="0"/>
            <w:vAlign w:val="center"/>
          </w:tcPr>
          <w:p w14:paraId="0D2F6476">
            <w:r>
              <w:rPr>
                <w:rStyle w:val="10"/>
                <w:rFonts w:hint="eastAsia"/>
              </w:rPr>
              <w:t>产品性能:</w:t>
            </w:r>
            <w:r>
              <w:rPr>
                <w:rFonts w:hint="eastAsia"/>
              </w:rPr>
              <w:br w:type="textWrapping"/>
            </w:r>
            <w:r>
              <w:rPr>
                <w:rStyle w:val="11"/>
                <w:rFonts w:hint="eastAsia"/>
              </w:rPr>
              <w:t>本品由芳氧苯氧丙酸酯类除草剂噁唑酰草胺和三唑并嘧啶磺酰胺类除草剂五氟磺草胺混配而成，具有活性高、除草速度快、杀草谱广、持效期长等特点，可以防除稻田中的千金子、稗草、一年生阔叶杂草和莎草等一年生杂草。</w:t>
            </w:r>
          </w:p>
        </w:tc>
      </w:tr>
      <w:tr w14:paraId="428F3EBE">
        <w:tblPrEx>
          <w:tblCellMar>
            <w:top w:w="0" w:type="dxa"/>
            <w:left w:w="0" w:type="dxa"/>
            <w:bottom w:w="0" w:type="dxa"/>
            <w:right w:w="0" w:type="dxa"/>
          </w:tblCellMar>
        </w:tblPrEx>
        <w:trPr>
          <w:wBefore w:w="0" w:type="auto"/>
          <w:tblCellSpacing w:w="0" w:type="dxa"/>
        </w:trPr>
        <w:tc>
          <w:tcPr>
            <w:tcW w:w="0" w:type="auto"/>
            <w:noWrap w:val="0"/>
            <w:vAlign w:val="center"/>
          </w:tcPr>
          <w:p w14:paraId="4883886A">
            <w:r>
              <w:rPr>
                <w:rStyle w:val="10"/>
                <w:rFonts w:hint="eastAsia"/>
              </w:rPr>
              <w:t>注意事项：</w:t>
            </w:r>
            <w:r>
              <w:rPr>
                <w:rFonts w:hint="eastAsia"/>
              </w:rPr>
              <w:br w:type="textWrapping"/>
            </w:r>
            <w:r>
              <w:rPr>
                <w:rStyle w:val="11"/>
                <w:rFonts w:hint="eastAsia"/>
              </w:rPr>
              <w:t>1.本品对眼睛有刺激性，使用时避免接触眼睛，穿戴长衣、长裤、帽子、口罩、手套等防护措施。避免皮肤接触及口鼻吸入。使用中不可吸烟、饮水及吃东西，使用后及时清洗手、脸等暴露部位皮肤并更换衣物。 3.远离水产养殖区施药，禁止在河塘等水体内清洗施药器具。4.用过的容器应妥善处理，不可做他用，也不可随意丢弃。5.鱼或虾蟹套养稻田禁用，施药后的田水不得直接排入水体。蚕室及桑园附近禁用。若附近有桑园，应将最外围桑树设置成隔离带。6.孕妇及哺乳期妇女禁止接触。</w:t>
            </w:r>
          </w:p>
        </w:tc>
      </w:tr>
      <w:tr w14:paraId="2889144A">
        <w:tblPrEx>
          <w:tblCellMar>
            <w:top w:w="0" w:type="dxa"/>
            <w:left w:w="0" w:type="dxa"/>
            <w:bottom w:w="0" w:type="dxa"/>
            <w:right w:w="0" w:type="dxa"/>
          </w:tblCellMar>
        </w:tblPrEx>
        <w:trPr>
          <w:wBefore w:w="0" w:type="auto"/>
          <w:tblCellSpacing w:w="0" w:type="dxa"/>
        </w:trPr>
        <w:tc>
          <w:tcPr>
            <w:tcW w:w="0" w:type="auto"/>
            <w:noWrap w:val="0"/>
            <w:vAlign w:val="center"/>
          </w:tcPr>
          <w:p w14:paraId="56B3A89A">
            <w:r>
              <w:rPr>
                <w:rStyle w:val="10"/>
                <w:rFonts w:hint="eastAsia"/>
              </w:rPr>
              <w:t>中毒急救措施：</w:t>
            </w:r>
            <w:r>
              <w:rPr>
                <w:rFonts w:hint="eastAsia"/>
              </w:rPr>
              <w:br w:type="textWrapping"/>
            </w:r>
            <w:r>
              <w:rPr>
                <w:rStyle w:val="11"/>
                <w:rFonts w:hint="eastAsia"/>
              </w:rPr>
              <w:t>1.皮肤接触：立即脱掉被污染的衣物，用大量清水和肥皂冲洗皮肤。2.眼睛溅入：立即用流动清水冲洗不少于15分钟。如症状持续，携此标签去医院诊治。3.不慎吸入：立即将吸入者移至空气流通处，请医生诊治。4.误食：勿引吐，立即携此标签送医就诊，对症治疗，无特效解毒药。</w:t>
            </w:r>
          </w:p>
        </w:tc>
      </w:tr>
      <w:tr w14:paraId="6D24D4AF">
        <w:tblPrEx>
          <w:tblCellMar>
            <w:top w:w="0" w:type="dxa"/>
            <w:left w:w="0" w:type="dxa"/>
            <w:bottom w:w="0" w:type="dxa"/>
            <w:right w:w="0" w:type="dxa"/>
          </w:tblCellMar>
        </w:tblPrEx>
        <w:trPr>
          <w:wBefore w:w="0" w:type="auto"/>
          <w:tblCellSpacing w:w="0" w:type="dxa"/>
        </w:trPr>
        <w:tc>
          <w:tcPr>
            <w:tcW w:w="0" w:type="auto"/>
            <w:noWrap w:val="0"/>
            <w:vAlign w:val="center"/>
          </w:tcPr>
          <w:p w14:paraId="780B6569">
            <w:r>
              <w:rPr>
                <w:rStyle w:val="10"/>
                <w:rFonts w:hint="eastAsia"/>
              </w:rPr>
              <w:t>储存和运输方法：</w:t>
            </w:r>
            <w:r>
              <w:rPr>
                <w:rFonts w:hint="eastAsia"/>
              </w:rPr>
              <w:br w:type="textWrapping"/>
            </w:r>
            <w:r>
              <w:rPr>
                <w:rStyle w:val="11"/>
                <w:rFonts w:hint="eastAsia"/>
              </w:rPr>
              <w:t>本品应贮存在干燥、阴凉、通风处，远离火源或热源。置于儿童接触不到的地方，并加锁保存。不能与食品、饮料、粮食、饲料等其他商品同贮同运。</w:t>
            </w:r>
          </w:p>
        </w:tc>
      </w:tr>
      <w:tr w14:paraId="651A4242">
        <w:tblPrEx>
          <w:tblCellMar>
            <w:top w:w="0" w:type="dxa"/>
            <w:left w:w="0" w:type="dxa"/>
            <w:bottom w:w="0" w:type="dxa"/>
            <w:right w:w="0" w:type="dxa"/>
          </w:tblCellMar>
        </w:tblPrEx>
        <w:trPr>
          <w:wBefore w:w="0" w:type="auto"/>
          <w:tblCellSpacing w:w="0" w:type="dxa"/>
        </w:trPr>
        <w:tc>
          <w:tcPr>
            <w:tcW w:w="0" w:type="auto"/>
            <w:noWrap w:val="0"/>
            <w:vAlign w:val="center"/>
          </w:tcPr>
          <w:p w14:paraId="7E5C41C4">
            <w:r>
              <w:rPr>
                <w:rStyle w:val="10"/>
                <w:rFonts w:hint="eastAsia"/>
              </w:rPr>
              <w:t>质量保证期：</w:t>
            </w:r>
            <w:r>
              <w:rPr>
                <w:rStyle w:val="11"/>
                <w:rFonts w:hint="eastAsia"/>
              </w:rPr>
              <w:t>2年</w:t>
            </w:r>
          </w:p>
        </w:tc>
      </w:tr>
      <w:tr w14:paraId="4FD5BF9D">
        <w:tblPrEx>
          <w:tblCellMar>
            <w:top w:w="0" w:type="dxa"/>
            <w:left w:w="0" w:type="dxa"/>
            <w:bottom w:w="0" w:type="dxa"/>
            <w:right w:w="0" w:type="dxa"/>
          </w:tblCellMar>
        </w:tblPrEx>
        <w:trPr>
          <w:wBefore w:w="0" w:type="auto"/>
          <w:tblCellSpacing w:w="0" w:type="dxa"/>
        </w:trPr>
        <w:tc>
          <w:tcPr>
            <w:tcW w:w="0" w:type="auto"/>
            <w:noWrap w:val="0"/>
            <w:vAlign w:val="center"/>
          </w:tcPr>
          <w:p w14:paraId="51996EE1">
            <w:r>
              <w:rPr>
                <w:rStyle w:val="10"/>
                <w:rFonts w:hint="eastAsia"/>
              </w:rPr>
              <w:t>备注：</w:t>
            </w:r>
          </w:p>
        </w:tc>
      </w:tr>
    </w:tbl>
    <w:p w14:paraId="7CD036A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C191DB9">
        <w:tblPrEx>
          <w:tblCellMar>
            <w:top w:w="0" w:type="dxa"/>
            <w:left w:w="0" w:type="dxa"/>
            <w:bottom w:w="0" w:type="dxa"/>
            <w:right w:w="0" w:type="dxa"/>
          </w:tblCellMar>
        </w:tblPrEx>
        <w:trPr>
          <w:wBefore w:w="0" w:type="auto"/>
          <w:tblCellSpacing w:w="0" w:type="dxa"/>
        </w:trPr>
        <w:tc>
          <w:tcPr>
            <w:tcW w:w="0" w:type="auto"/>
            <w:noWrap w:val="0"/>
            <w:vAlign w:val="center"/>
          </w:tcPr>
          <w:p w14:paraId="1EEC4705">
            <w:r>
              <w:rPr>
                <w:rStyle w:val="10"/>
                <w:rFonts w:hint="eastAsia"/>
              </w:rPr>
              <w:t>登记证号：</w:t>
            </w:r>
            <w:r>
              <w:rPr>
                <w:rFonts w:hint="eastAsia"/>
              </w:rPr>
              <w:t>PD20212266</w:t>
            </w:r>
          </w:p>
        </w:tc>
      </w:tr>
      <w:tr w14:paraId="6472CE74">
        <w:tblPrEx>
          <w:tblCellMar>
            <w:top w:w="0" w:type="dxa"/>
            <w:left w:w="0" w:type="dxa"/>
            <w:bottom w:w="0" w:type="dxa"/>
            <w:right w:w="0" w:type="dxa"/>
          </w:tblCellMar>
        </w:tblPrEx>
        <w:trPr>
          <w:wBefore w:w="0" w:type="auto"/>
          <w:tblCellSpacing w:w="0" w:type="dxa"/>
        </w:trPr>
        <w:tc>
          <w:tcPr>
            <w:tcW w:w="0" w:type="auto"/>
            <w:noWrap w:val="0"/>
            <w:vAlign w:val="center"/>
          </w:tcPr>
          <w:p w14:paraId="172A45EB">
            <w:r>
              <w:rPr>
                <w:rStyle w:val="10"/>
                <w:rFonts w:hint="eastAsia"/>
              </w:rPr>
              <w:t>登记证持有人：</w:t>
            </w:r>
            <w:r>
              <w:rPr>
                <w:rFonts w:hint="eastAsia"/>
              </w:rPr>
              <w:t>河南锦绣之星作物保护有限公司</w:t>
            </w:r>
          </w:p>
        </w:tc>
      </w:tr>
      <w:tr w14:paraId="63541300">
        <w:tblPrEx>
          <w:tblCellMar>
            <w:top w:w="0" w:type="dxa"/>
            <w:left w:w="0" w:type="dxa"/>
            <w:bottom w:w="0" w:type="dxa"/>
            <w:right w:w="0" w:type="dxa"/>
          </w:tblCellMar>
        </w:tblPrEx>
        <w:trPr>
          <w:wBefore w:w="0" w:type="auto"/>
          <w:tblCellSpacing w:w="0" w:type="dxa"/>
        </w:trPr>
        <w:tc>
          <w:tcPr>
            <w:tcW w:w="0" w:type="auto"/>
            <w:noWrap w:val="0"/>
            <w:vAlign w:val="center"/>
          </w:tcPr>
          <w:p w14:paraId="6C3A533A">
            <w:r>
              <w:rPr>
                <w:rStyle w:val="10"/>
                <w:rFonts w:hint="eastAsia"/>
              </w:rPr>
              <w:t>农药名称：</w:t>
            </w:r>
            <w:r>
              <w:rPr>
                <w:rFonts w:hint="eastAsia"/>
              </w:rPr>
              <w:t>硝磺·异甲·莠</w:t>
            </w:r>
          </w:p>
        </w:tc>
      </w:tr>
      <w:tr w14:paraId="14D0C383">
        <w:tblPrEx>
          <w:tblCellMar>
            <w:top w:w="0" w:type="dxa"/>
            <w:left w:w="0" w:type="dxa"/>
            <w:bottom w:w="0" w:type="dxa"/>
            <w:right w:w="0" w:type="dxa"/>
          </w:tblCellMar>
        </w:tblPrEx>
        <w:trPr>
          <w:wBefore w:w="0" w:type="auto"/>
          <w:tblCellSpacing w:w="0" w:type="dxa"/>
        </w:trPr>
        <w:tc>
          <w:tcPr>
            <w:tcW w:w="0" w:type="auto"/>
            <w:noWrap w:val="0"/>
            <w:vAlign w:val="center"/>
          </w:tcPr>
          <w:p w14:paraId="26B4645D">
            <w:r>
              <w:rPr>
                <w:rStyle w:val="10"/>
                <w:rFonts w:hint="eastAsia"/>
              </w:rPr>
              <w:t>剂型：</w:t>
            </w:r>
            <w:r>
              <w:rPr>
                <w:rFonts w:hint="eastAsia"/>
              </w:rPr>
              <w:t>可分散油悬浮剂</w:t>
            </w:r>
          </w:p>
        </w:tc>
      </w:tr>
      <w:tr w14:paraId="2462AE1E">
        <w:tblPrEx>
          <w:tblCellMar>
            <w:top w:w="0" w:type="dxa"/>
            <w:left w:w="0" w:type="dxa"/>
            <w:bottom w:w="0" w:type="dxa"/>
            <w:right w:w="0" w:type="dxa"/>
          </w:tblCellMar>
        </w:tblPrEx>
        <w:trPr>
          <w:wBefore w:w="0" w:type="auto"/>
          <w:tblCellSpacing w:w="0" w:type="dxa"/>
        </w:trPr>
        <w:tc>
          <w:tcPr>
            <w:tcW w:w="0" w:type="auto"/>
            <w:noWrap w:val="0"/>
            <w:vAlign w:val="center"/>
          </w:tcPr>
          <w:p w14:paraId="05A67F5D">
            <w:r>
              <w:rPr>
                <w:rStyle w:val="10"/>
                <w:rFonts w:hint="eastAsia"/>
              </w:rPr>
              <w:t>毒性及其标识：</w:t>
            </w:r>
            <w:r>
              <w:rPr>
                <w:rFonts w:hint="eastAsia"/>
              </w:rPr>
              <w:t xml:space="preserve"> </w:t>
            </w:r>
            <w:r>
              <w:rPr>
                <w:lang/>
              </w:rPr>
              <w:drawing>
                <wp:inline distT="0" distB="0" distL="114300" distR="114300">
                  <wp:extent cx="476250" cy="323850"/>
                  <wp:effectExtent l="0" t="0" r="0" b="0"/>
                  <wp:docPr id="578" name="图片 57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6EC4D49">
        <w:tblPrEx>
          <w:tblCellMar>
            <w:top w:w="0" w:type="dxa"/>
            <w:left w:w="0" w:type="dxa"/>
            <w:bottom w:w="0" w:type="dxa"/>
            <w:right w:w="0" w:type="dxa"/>
          </w:tblCellMar>
        </w:tblPrEx>
        <w:trPr>
          <w:wBefore w:w="0" w:type="auto"/>
          <w:tblCellSpacing w:w="0" w:type="dxa"/>
        </w:trPr>
        <w:tc>
          <w:tcPr>
            <w:tcW w:w="0" w:type="auto"/>
            <w:noWrap w:val="0"/>
            <w:vAlign w:val="center"/>
          </w:tcPr>
          <w:p w14:paraId="2B7CA2D3">
            <w:r>
              <w:rPr>
                <w:rStyle w:val="10"/>
                <w:rFonts w:hint="eastAsia"/>
              </w:rPr>
              <w:t>总有效成分含量：</w:t>
            </w:r>
            <w:r>
              <w:rPr>
                <w:rFonts w:hint="eastAsia"/>
              </w:rPr>
              <w:t>45%</w:t>
            </w:r>
          </w:p>
        </w:tc>
      </w:tr>
      <w:tr w14:paraId="0CF0AB81">
        <w:tblPrEx>
          <w:tblCellMar>
            <w:top w:w="0" w:type="dxa"/>
            <w:left w:w="0" w:type="dxa"/>
            <w:bottom w:w="0" w:type="dxa"/>
            <w:right w:w="0" w:type="dxa"/>
          </w:tblCellMar>
        </w:tblPrEx>
        <w:trPr>
          <w:wBefore w:w="0" w:type="auto"/>
          <w:tblCellSpacing w:w="0" w:type="dxa"/>
        </w:trPr>
        <w:tc>
          <w:tcPr>
            <w:tcW w:w="0" w:type="auto"/>
            <w:noWrap w:val="0"/>
            <w:vAlign w:val="center"/>
          </w:tcPr>
          <w:p w14:paraId="0E33821D">
            <w:r>
              <w:rPr>
                <w:rFonts w:hint="eastAsia"/>
              </w:rPr>
              <w:t xml:space="preserve">有效成分及其含量： </w:t>
            </w:r>
          </w:p>
          <w:p w14:paraId="69539F29">
            <w:r>
              <w:rPr>
                <w:rFonts w:hint="eastAsia"/>
              </w:rPr>
              <w:t xml:space="preserve">    硝磺草酮5%    异丙甲草胺20%    莠去津20%    </w:t>
            </w:r>
          </w:p>
        </w:tc>
      </w:tr>
      <w:tr w14:paraId="08E969C2">
        <w:tblPrEx>
          <w:tblCellMar>
            <w:top w:w="0" w:type="dxa"/>
            <w:left w:w="0" w:type="dxa"/>
            <w:bottom w:w="0" w:type="dxa"/>
            <w:right w:w="0" w:type="dxa"/>
          </w:tblCellMar>
        </w:tblPrEx>
        <w:trPr>
          <w:wBefore w:w="0" w:type="auto"/>
          <w:tblCellSpacing w:w="0" w:type="dxa"/>
        </w:trPr>
        <w:tc>
          <w:tcPr>
            <w:tcW w:w="0" w:type="auto"/>
            <w:noWrap w:val="0"/>
            <w:vAlign w:val="center"/>
          </w:tcPr>
          <w:p w14:paraId="0D17649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9018B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D07BF9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67BFCF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D95513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56121FA">
                  <w:r>
                    <w:rPr>
                      <w:rStyle w:val="11"/>
                      <w:rFonts w:hint="eastAsia"/>
                    </w:rPr>
                    <w:t>施用方式</w:t>
                  </w:r>
                </w:p>
              </w:tc>
            </w:tr>
            <w:tr w14:paraId="7B2B86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036FC72">
                  <w:r>
                    <w:rPr>
                      <w:rStyle w:val="11"/>
                      <w:rFonts w:hint="eastAsia"/>
                    </w:rPr>
                    <w:t>玉米田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73A212">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70D08B">
                  <w:r>
                    <w:rPr>
                      <w:rStyle w:val="11"/>
                      <w:rFonts w:hint="eastAsia"/>
                    </w:rPr>
                    <w:t>90-150毫升/亩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411845">
                  <w:r>
                    <w:rPr>
                      <w:rStyle w:val="11"/>
                      <w:rFonts w:hint="eastAsia"/>
                    </w:rPr>
                    <w:t>茎叶喷雾</w:t>
                  </w:r>
                </w:p>
              </w:tc>
            </w:tr>
          </w:tbl>
          <w:p w14:paraId="0C115D29">
            <w:pPr>
              <w:rPr>
                <w:rFonts w:ascii="Times New Roman" w:hAnsi="Times New Roman" w:cs="Times New Roman"/>
                <w:sz w:val="20"/>
                <w:szCs w:val="20"/>
              </w:rPr>
            </w:pPr>
          </w:p>
        </w:tc>
      </w:tr>
      <w:tr w14:paraId="5D28F0B6">
        <w:tblPrEx>
          <w:tblCellMar>
            <w:top w:w="0" w:type="dxa"/>
            <w:left w:w="0" w:type="dxa"/>
            <w:bottom w:w="0" w:type="dxa"/>
            <w:right w:w="0" w:type="dxa"/>
          </w:tblCellMar>
        </w:tblPrEx>
        <w:trPr>
          <w:wBefore w:w="0" w:type="auto"/>
          <w:tblCellSpacing w:w="0" w:type="dxa"/>
        </w:trPr>
        <w:tc>
          <w:tcPr>
            <w:tcW w:w="0" w:type="auto"/>
            <w:noWrap w:val="0"/>
            <w:vAlign w:val="center"/>
          </w:tcPr>
          <w:p w14:paraId="3087B99E">
            <w:r>
              <w:rPr>
                <w:rStyle w:val="10"/>
                <w:rFonts w:hint="eastAsia"/>
              </w:rPr>
              <w:t>使用技术要求:</w:t>
            </w:r>
            <w:r>
              <w:rPr>
                <w:rFonts w:hint="eastAsia"/>
              </w:rPr>
              <w:br w:type="textWrapping"/>
            </w:r>
            <w:r>
              <w:rPr>
                <w:rStyle w:val="11"/>
                <w:rFonts w:hint="eastAsia"/>
              </w:rPr>
              <w:t>1. 本品适宜的施药时期为玉米3-5叶期，杂草2-4叶期，施药1次为宜，注意茎叶喷雾均匀、周到。 2. 大风天或预计1小时内降雨，请勿施药。 3. 本品在玉米田上使用，每季作物最多使用1次。</w:t>
            </w:r>
          </w:p>
        </w:tc>
      </w:tr>
      <w:tr w14:paraId="1CC01F94">
        <w:tblPrEx>
          <w:tblCellMar>
            <w:top w:w="0" w:type="dxa"/>
            <w:left w:w="0" w:type="dxa"/>
            <w:bottom w:w="0" w:type="dxa"/>
            <w:right w:w="0" w:type="dxa"/>
          </w:tblCellMar>
        </w:tblPrEx>
        <w:trPr>
          <w:wBefore w:w="0" w:type="auto"/>
          <w:tblCellSpacing w:w="0" w:type="dxa"/>
        </w:trPr>
        <w:tc>
          <w:tcPr>
            <w:tcW w:w="0" w:type="auto"/>
            <w:noWrap w:val="0"/>
            <w:vAlign w:val="center"/>
          </w:tcPr>
          <w:p w14:paraId="15801EE3">
            <w:r>
              <w:rPr>
                <w:rStyle w:val="10"/>
                <w:rFonts w:hint="eastAsia"/>
              </w:rPr>
              <w:t>产品性能:</w:t>
            </w:r>
            <w:r>
              <w:rPr>
                <w:rFonts w:hint="eastAsia"/>
              </w:rPr>
              <w:br w:type="textWrapping"/>
            </w:r>
            <w:r>
              <w:rPr>
                <w:rStyle w:val="11"/>
                <w:rFonts w:hint="eastAsia"/>
              </w:rPr>
              <w:t>本品是由异丙甲草胺、莠去津和硝磺草酮复配而成的玉米田除草剂，通过植物幼芽及根部吸收并向上传导，抑制幼芽与根的生长，使杂草死亡。三种高活性有效成分的复配，可有效防除恶性杂草如鸭趾草、藜、苘麻、苋菜和菊科、苋科、锦葵科、十字花科、蓼科的杂草，以及禾本科的马唐、牛筋草、稗草等。按登记剂量使用时，对玉米田一年生杂草有较好的防治效果。</w:t>
            </w:r>
          </w:p>
        </w:tc>
      </w:tr>
      <w:tr w14:paraId="2A5AD9D9">
        <w:tblPrEx>
          <w:tblCellMar>
            <w:top w:w="0" w:type="dxa"/>
            <w:left w:w="0" w:type="dxa"/>
            <w:bottom w:w="0" w:type="dxa"/>
            <w:right w:w="0" w:type="dxa"/>
          </w:tblCellMar>
        </w:tblPrEx>
        <w:trPr>
          <w:wBefore w:w="0" w:type="auto"/>
          <w:tblCellSpacing w:w="0" w:type="dxa"/>
        </w:trPr>
        <w:tc>
          <w:tcPr>
            <w:tcW w:w="0" w:type="auto"/>
            <w:noWrap w:val="0"/>
            <w:vAlign w:val="center"/>
          </w:tcPr>
          <w:p w14:paraId="17392E28">
            <w:r>
              <w:rPr>
                <w:rStyle w:val="10"/>
                <w:rFonts w:hint="eastAsia"/>
              </w:rPr>
              <w:t>注意事项：</w:t>
            </w:r>
            <w:r>
              <w:rPr>
                <w:rFonts w:hint="eastAsia"/>
              </w:rPr>
              <w:br w:type="textWrapping"/>
            </w:r>
            <w:r>
              <w:rPr>
                <w:rStyle w:val="11"/>
                <w:rFonts w:hint="eastAsia"/>
              </w:rPr>
              <w:t>1. 严格按照规定用药量和方法使用。 2. 如发现沉淀或分层现象，摇匀后可使用，不影响药效。 3. 使用本品时应穿防护服和戴手套，避免吸入药液。施药期间不可吃东西和饮水。施药后应及时洗手和洗脸。4. 勿将本品与任何有机磷类、氨基甲酸酯类、碱性农药等物质混用。 5. 本品对鱼类等水生生物有毒，应远离水产养殖区、河塘等水体施药，禁止在河塘等水体中清洗施药器具；蚕室附近禁用，桑园附近使用时以最外围一行桑树作为隔离带，从次外围一行桑树上开始采摘桑叶饲喂家蚕。 6. 使用过的容器应妥善处理，不可作他用，也不可随意丢弃。 7. 孕妇和哺乳期妇女应禁止接触本品。</w:t>
            </w:r>
          </w:p>
        </w:tc>
      </w:tr>
      <w:tr w14:paraId="65FCE5D1">
        <w:tblPrEx>
          <w:tblCellMar>
            <w:top w:w="0" w:type="dxa"/>
            <w:left w:w="0" w:type="dxa"/>
            <w:bottom w:w="0" w:type="dxa"/>
            <w:right w:w="0" w:type="dxa"/>
          </w:tblCellMar>
        </w:tblPrEx>
        <w:trPr>
          <w:wBefore w:w="0" w:type="auto"/>
          <w:tblCellSpacing w:w="0" w:type="dxa"/>
        </w:trPr>
        <w:tc>
          <w:tcPr>
            <w:tcW w:w="0" w:type="auto"/>
            <w:noWrap w:val="0"/>
            <w:vAlign w:val="center"/>
          </w:tcPr>
          <w:p w14:paraId="38306606">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用肥皂和清水彻底清洗受污的皮肤。眼睛溅入：用清水冲洗眼睛至少15分钟。误服：立即停止服用，催吐、洗胃，请医生对症用药。本品无特殊解毒剂，可对症治疗。</w:t>
            </w:r>
          </w:p>
        </w:tc>
      </w:tr>
      <w:tr w14:paraId="659DC4CF">
        <w:tblPrEx>
          <w:tblCellMar>
            <w:top w:w="0" w:type="dxa"/>
            <w:left w:w="0" w:type="dxa"/>
            <w:bottom w:w="0" w:type="dxa"/>
            <w:right w:w="0" w:type="dxa"/>
          </w:tblCellMar>
        </w:tblPrEx>
        <w:trPr>
          <w:wBefore w:w="0" w:type="auto"/>
          <w:tblCellSpacing w:w="0" w:type="dxa"/>
        </w:trPr>
        <w:tc>
          <w:tcPr>
            <w:tcW w:w="0" w:type="auto"/>
            <w:noWrap w:val="0"/>
            <w:vAlign w:val="center"/>
          </w:tcPr>
          <w:p w14:paraId="073F6CE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本品应贮存在干燥、阴凉、通风、防雨处，远离火源或热源。置于儿童、无关人员及动物接触不到的地方，并加锁保存。勿与食品、饮料、饲料、粮食等其他商品同贮同运。</w:t>
            </w:r>
          </w:p>
        </w:tc>
      </w:tr>
      <w:tr w14:paraId="36D33085">
        <w:tblPrEx>
          <w:tblCellMar>
            <w:top w:w="0" w:type="dxa"/>
            <w:left w:w="0" w:type="dxa"/>
            <w:bottom w:w="0" w:type="dxa"/>
            <w:right w:w="0" w:type="dxa"/>
          </w:tblCellMar>
        </w:tblPrEx>
        <w:trPr>
          <w:wBefore w:w="0" w:type="auto"/>
          <w:tblCellSpacing w:w="0" w:type="dxa"/>
        </w:trPr>
        <w:tc>
          <w:tcPr>
            <w:tcW w:w="0" w:type="auto"/>
            <w:noWrap w:val="0"/>
            <w:vAlign w:val="center"/>
          </w:tcPr>
          <w:p w14:paraId="4D41462D">
            <w:r>
              <w:rPr>
                <w:rStyle w:val="10"/>
                <w:rFonts w:hint="eastAsia"/>
              </w:rPr>
              <w:t>质量保证期：</w:t>
            </w:r>
            <w:r>
              <w:rPr>
                <w:rStyle w:val="11"/>
                <w:rFonts w:hint="eastAsia"/>
              </w:rPr>
              <w:t>2年</w:t>
            </w:r>
          </w:p>
        </w:tc>
      </w:tr>
      <w:tr w14:paraId="2ED784A4">
        <w:tblPrEx>
          <w:tblCellMar>
            <w:top w:w="0" w:type="dxa"/>
            <w:left w:w="0" w:type="dxa"/>
            <w:bottom w:w="0" w:type="dxa"/>
            <w:right w:w="0" w:type="dxa"/>
          </w:tblCellMar>
        </w:tblPrEx>
        <w:trPr>
          <w:wBefore w:w="0" w:type="auto"/>
          <w:tblCellSpacing w:w="0" w:type="dxa"/>
        </w:trPr>
        <w:tc>
          <w:tcPr>
            <w:tcW w:w="0" w:type="auto"/>
            <w:noWrap w:val="0"/>
            <w:vAlign w:val="center"/>
          </w:tcPr>
          <w:p w14:paraId="60DA635E">
            <w:r>
              <w:rPr>
                <w:rStyle w:val="10"/>
                <w:rFonts w:hint="eastAsia"/>
              </w:rPr>
              <w:t>备注：</w:t>
            </w:r>
          </w:p>
        </w:tc>
      </w:tr>
    </w:tbl>
    <w:p w14:paraId="1B5DA63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1626C62">
        <w:tblPrEx>
          <w:tblCellMar>
            <w:top w:w="0" w:type="dxa"/>
            <w:left w:w="0" w:type="dxa"/>
            <w:bottom w:w="0" w:type="dxa"/>
            <w:right w:w="0" w:type="dxa"/>
          </w:tblCellMar>
        </w:tblPrEx>
        <w:trPr>
          <w:wBefore w:w="0" w:type="auto"/>
          <w:tblCellSpacing w:w="0" w:type="dxa"/>
        </w:trPr>
        <w:tc>
          <w:tcPr>
            <w:tcW w:w="0" w:type="auto"/>
            <w:noWrap w:val="0"/>
            <w:vAlign w:val="center"/>
          </w:tcPr>
          <w:p w14:paraId="66C34AD9">
            <w:r>
              <w:rPr>
                <w:rStyle w:val="10"/>
                <w:rFonts w:hint="eastAsia"/>
              </w:rPr>
              <w:t>登记证号：</w:t>
            </w:r>
            <w:r>
              <w:rPr>
                <w:rFonts w:hint="eastAsia"/>
              </w:rPr>
              <w:t>PD20211907</w:t>
            </w:r>
          </w:p>
        </w:tc>
      </w:tr>
      <w:tr w14:paraId="24AF1412">
        <w:tblPrEx>
          <w:tblCellMar>
            <w:top w:w="0" w:type="dxa"/>
            <w:left w:w="0" w:type="dxa"/>
            <w:bottom w:w="0" w:type="dxa"/>
            <w:right w:w="0" w:type="dxa"/>
          </w:tblCellMar>
        </w:tblPrEx>
        <w:trPr>
          <w:wBefore w:w="0" w:type="auto"/>
          <w:tblCellSpacing w:w="0" w:type="dxa"/>
        </w:trPr>
        <w:tc>
          <w:tcPr>
            <w:tcW w:w="0" w:type="auto"/>
            <w:noWrap w:val="0"/>
            <w:vAlign w:val="center"/>
          </w:tcPr>
          <w:p w14:paraId="20EBE016">
            <w:r>
              <w:rPr>
                <w:rStyle w:val="10"/>
                <w:rFonts w:hint="eastAsia"/>
              </w:rPr>
              <w:t>登记证持有人：</w:t>
            </w:r>
            <w:r>
              <w:rPr>
                <w:rFonts w:hint="eastAsia"/>
              </w:rPr>
              <w:t>江苏龙灯化学有限公司</w:t>
            </w:r>
          </w:p>
        </w:tc>
      </w:tr>
      <w:tr w14:paraId="0B3CAB1E">
        <w:tblPrEx>
          <w:tblCellMar>
            <w:top w:w="0" w:type="dxa"/>
            <w:left w:w="0" w:type="dxa"/>
            <w:bottom w:w="0" w:type="dxa"/>
            <w:right w:w="0" w:type="dxa"/>
          </w:tblCellMar>
        </w:tblPrEx>
        <w:trPr>
          <w:wBefore w:w="0" w:type="auto"/>
          <w:tblCellSpacing w:w="0" w:type="dxa"/>
        </w:trPr>
        <w:tc>
          <w:tcPr>
            <w:tcW w:w="0" w:type="auto"/>
            <w:noWrap w:val="0"/>
            <w:vAlign w:val="center"/>
          </w:tcPr>
          <w:p w14:paraId="0B67E108">
            <w:r>
              <w:rPr>
                <w:rStyle w:val="10"/>
                <w:rFonts w:hint="eastAsia"/>
              </w:rPr>
              <w:t>农药名称：</w:t>
            </w:r>
            <w:r>
              <w:rPr>
                <w:rFonts w:hint="eastAsia"/>
              </w:rPr>
              <w:t>氟菌·霜霉威</w:t>
            </w:r>
          </w:p>
        </w:tc>
      </w:tr>
      <w:tr w14:paraId="6B646CED">
        <w:tblPrEx>
          <w:tblCellMar>
            <w:top w:w="0" w:type="dxa"/>
            <w:left w:w="0" w:type="dxa"/>
            <w:bottom w:w="0" w:type="dxa"/>
            <w:right w:w="0" w:type="dxa"/>
          </w:tblCellMar>
        </w:tblPrEx>
        <w:trPr>
          <w:wBefore w:w="0" w:type="auto"/>
          <w:tblCellSpacing w:w="0" w:type="dxa"/>
        </w:trPr>
        <w:tc>
          <w:tcPr>
            <w:tcW w:w="0" w:type="auto"/>
            <w:noWrap w:val="0"/>
            <w:vAlign w:val="center"/>
          </w:tcPr>
          <w:p w14:paraId="1B542EC6">
            <w:r>
              <w:rPr>
                <w:rStyle w:val="10"/>
                <w:rFonts w:hint="eastAsia"/>
              </w:rPr>
              <w:t>剂型：</w:t>
            </w:r>
            <w:r>
              <w:rPr>
                <w:rFonts w:hint="eastAsia"/>
              </w:rPr>
              <w:t>悬浮剂</w:t>
            </w:r>
          </w:p>
        </w:tc>
      </w:tr>
      <w:tr w14:paraId="0EA531C2">
        <w:tblPrEx>
          <w:tblCellMar>
            <w:top w:w="0" w:type="dxa"/>
            <w:left w:w="0" w:type="dxa"/>
            <w:bottom w:w="0" w:type="dxa"/>
            <w:right w:w="0" w:type="dxa"/>
          </w:tblCellMar>
        </w:tblPrEx>
        <w:trPr>
          <w:wBefore w:w="0" w:type="auto"/>
          <w:tblCellSpacing w:w="0" w:type="dxa"/>
        </w:trPr>
        <w:tc>
          <w:tcPr>
            <w:tcW w:w="0" w:type="auto"/>
            <w:noWrap w:val="0"/>
            <w:vAlign w:val="center"/>
          </w:tcPr>
          <w:p w14:paraId="68A550FE">
            <w:r>
              <w:rPr>
                <w:rStyle w:val="10"/>
                <w:rFonts w:hint="eastAsia"/>
              </w:rPr>
              <w:t>毒性及其标识：</w:t>
            </w:r>
            <w:r>
              <w:rPr>
                <w:rFonts w:hint="eastAsia"/>
              </w:rPr>
              <w:t xml:space="preserve"> </w:t>
            </w:r>
            <w:r>
              <w:rPr>
                <w:lang/>
              </w:rPr>
              <w:drawing>
                <wp:inline distT="0" distB="0" distL="114300" distR="114300">
                  <wp:extent cx="476250" cy="323850"/>
                  <wp:effectExtent l="0" t="0" r="0" b="0"/>
                  <wp:docPr id="579" name="图片 57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57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F0795DB">
        <w:tblPrEx>
          <w:tblCellMar>
            <w:top w:w="0" w:type="dxa"/>
            <w:left w:w="0" w:type="dxa"/>
            <w:bottom w:w="0" w:type="dxa"/>
            <w:right w:w="0" w:type="dxa"/>
          </w:tblCellMar>
        </w:tblPrEx>
        <w:trPr>
          <w:wBefore w:w="0" w:type="auto"/>
          <w:tblCellSpacing w:w="0" w:type="dxa"/>
        </w:trPr>
        <w:tc>
          <w:tcPr>
            <w:tcW w:w="0" w:type="auto"/>
            <w:noWrap w:val="0"/>
            <w:vAlign w:val="center"/>
          </w:tcPr>
          <w:p w14:paraId="586ED579">
            <w:r>
              <w:rPr>
                <w:rStyle w:val="10"/>
                <w:rFonts w:hint="eastAsia"/>
              </w:rPr>
              <w:t>总有效成分含量：</w:t>
            </w:r>
            <w:r>
              <w:rPr>
                <w:rFonts w:hint="eastAsia"/>
              </w:rPr>
              <w:t>687.5克/升</w:t>
            </w:r>
          </w:p>
        </w:tc>
      </w:tr>
      <w:tr w14:paraId="5FC56DF0">
        <w:tblPrEx>
          <w:tblCellMar>
            <w:top w:w="0" w:type="dxa"/>
            <w:left w:w="0" w:type="dxa"/>
            <w:bottom w:w="0" w:type="dxa"/>
            <w:right w:w="0" w:type="dxa"/>
          </w:tblCellMar>
        </w:tblPrEx>
        <w:trPr>
          <w:wBefore w:w="0" w:type="auto"/>
          <w:tblCellSpacing w:w="0" w:type="dxa"/>
        </w:trPr>
        <w:tc>
          <w:tcPr>
            <w:tcW w:w="0" w:type="auto"/>
            <w:noWrap w:val="0"/>
            <w:vAlign w:val="center"/>
          </w:tcPr>
          <w:p w14:paraId="1F4837D2">
            <w:r>
              <w:rPr>
                <w:rFonts w:hint="eastAsia"/>
              </w:rPr>
              <w:t xml:space="preserve">有效成分及其含量： </w:t>
            </w:r>
          </w:p>
          <w:p w14:paraId="048D8D09">
            <w:r>
              <w:rPr>
                <w:rFonts w:hint="eastAsia"/>
              </w:rPr>
              <w:t xml:space="preserve">    氟吡菌胺62.5克/升    霜霉威盐酸盐625克/升    </w:t>
            </w:r>
          </w:p>
        </w:tc>
      </w:tr>
      <w:tr w14:paraId="12FF8201">
        <w:tblPrEx>
          <w:tblCellMar>
            <w:top w:w="0" w:type="dxa"/>
            <w:left w:w="0" w:type="dxa"/>
            <w:bottom w:w="0" w:type="dxa"/>
            <w:right w:w="0" w:type="dxa"/>
          </w:tblCellMar>
        </w:tblPrEx>
        <w:trPr>
          <w:wBefore w:w="0" w:type="auto"/>
          <w:tblCellSpacing w:w="0" w:type="dxa"/>
        </w:trPr>
        <w:tc>
          <w:tcPr>
            <w:tcW w:w="0" w:type="auto"/>
            <w:noWrap w:val="0"/>
            <w:vAlign w:val="center"/>
          </w:tcPr>
          <w:p w14:paraId="1B2F0AB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873C4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37174D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CC7C3A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EBF3A7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ED9BE7D">
                  <w:r>
                    <w:rPr>
                      <w:rStyle w:val="11"/>
                      <w:rFonts w:hint="eastAsia"/>
                    </w:rPr>
                    <w:t>施用方式</w:t>
                  </w:r>
                </w:p>
              </w:tc>
            </w:tr>
            <w:tr w14:paraId="2EB9D9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659A3D">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F621877">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5D4D6C6">
                  <w:r>
                    <w:rPr>
                      <w:rStyle w:val="11"/>
                      <w:rFonts w:hint="eastAsia"/>
                    </w:rPr>
                    <w:t>65-80毫升/亩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3D7728">
                  <w:r>
                    <w:rPr>
                      <w:rStyle w:val="11"/>
                      <w:rFonts w:hint="eastAsia"/>
                    </w:rPr>
                    <w:t>喷雾</w:t>
                  </w:r>
                </w:p>
              </w:tc>
            </w:tr>
          </w:tbl>
          <w:p w14:paraId="4750FD85">
            <w:pPr>
              <w:rPr>
                <w:rFonts w:ascii="Times New Roman" w:hAnsi="Times New Roman" w:cs="Times New Roman"/>
                <w:sz w:val="20"/>
                <w:szCs w:val="20"/>
              </w:rPr>
            </w:pPr>
          </w:p>
        </w:tc>
      </w:tr>
      <w:tr w14:paraId="6E3698D3">
        <w:tblPrEx>
          <w:tblCellMar>
            <w:top w:w="0" w:type="dxa"/>
            <w:left w:w="0" w:type="dxa"/>
            <w:bottom w:w="0" w:type="dxa"/>
            <w:right w:w="0" w:type="dxa"/>
          </w:tblCellMar>
        </w:tblPrEx>
        <w:trPr>
          <w:wBefore w:w="0" w:type="auto"/>
          <w:tblCellSpacing w:w="0" w:type="dxa"/>
        </w:trPr>
        <w:tc>
          <w:tcPr>
            <w:tcW w:w="0" w:type="auto"/>
            <w:noWrap w:val="0"/>
            <w:vAlign w:val="center"/>
          </w:tcPr>
          <w:p w14:paraId="0F09EC2E">
            <w:r>
              <w:rPr>
                <w:rStyle w:val="10"/>
                <w:rFonts w:hint="eastAsia"/>
              </w:rPr>
              <w:t>使用技术要求:</w:t>
            </w:r>
            <w:r>
              <w:rPr>
                <w:rFonts w:hint="eastAsia"/>
              </w:rPr>
              <w:br w:type="textWrapping"/>
            </w:r>
            <w:r>
              <w:rPr>
                <w:rStyle w:val="11"/>
                <w:rFonts w:hint="eastAsia"/>
              </w:rPr>
              <w:t>1.采用“二次法”稀释配药，配制药液时，向喷雾器中注入少量水，然后加入推荐用量本品。充分搅拌药液使之完全溶解后，加入足量水。 2.根据作物大小，按每亩推荐用药量，兑水45-75升，进行叶面均匀喷雾处理。 3.在病害发病前或初期进行叶面喷雾处理效果最佳，并可以降低用药量。建议每隔7-10天施用一次。大风天或预计1小时内降雨，请勿施药。4.安全间隔期：黄瓜为2天，每季最多施用次数为3次。</w:t>
            </w:r>
          </w:p>
        </w:tc>
      </w:tr>
      <w:tr w14:paraId="011CC7D8">
        <w:tblPrEx>
          <w:tblCellMar>
            <w:top w:w="0" w:type="dxa"/>
            <w:left w:w="0" w:type="dxa"/>
            <w:bottom w:w="0" w:type="dxa"/>
            <w:right w:w="0" w:type="dxa"/>
          </w:tblCellMar>
        </w:tblPrEx>
        <w:trPr>
          <w:wBefore w:w="0" w:type="auto"/>
          <w:tblCellSpacing w:w="0" w:type="dxa"/>
        </w:trPr>
        <w:tc>
          <w:tcPr>
            <w:tcW w:w="0" w:type="auto"/>
            <w:noWrap w:val="0"/>
            <w:vAlign w:val="center"/>
          </w:tcPr>
          <w:p w14:paraId="3456AE46">
            <w:r>
              <w:rPr>
                <w:rStyle w:val="10"/>
                <w:rFonts w:hint="eastAsia"/>
              </w:rPr>
              <w:t>产品性能:</w:t>
            </w:r>
            <w:r>
              <w:rPr>
                <w:rFonts w:hint="eastAsia"/>
              </w:rPr>
              <w:br w:type="textWrapping"/>
            </w:r>
            <w:r>
              <w:rPr>
                <w:rStyle w:val="11"/>
                <w:rFonts w:hint="eastAsia"/>
              </w:rPr>
              <w:t>本品为低毒内吸性杀菌剂，由治疗性杀菌剂氟吡菌胺和内吸传导性杀菌剂霜霉威盐酸盐复配而成，既具有保护作用又具有治疗作用。对卵菌纲引起的蔬菜作物病害具有稳定和良好的防治效果，特别对霜霉属和疫霉属病菌导致的病害具有很好的防效。该产品具有活性高、持效期长、内吸性强、施药时间灵活的特点。按照推荐方法施用，对作物安全。</w:t>
            </w:r>
          </w:p>
        </w:tc>
      </w:tr>
      <w:tr w14:paraId="04764B7A">
        <w:tblPrEx>
          <w:tblCellMar>
            <w:top w:w="0" w:type="dxa"/>
            <w:left w:w="0" w:type="dxa"/>
            <w:bottom w:w="0" w:type="dxa"/>
            <w:right w:w="0" w:type="dxa"/>
          </w:tblCellMar>
        </w:tblPrEx>
        <w:trPr>
          <w:wBefore w:w="0" w:type="auto"/>
          <w:tblCellSpacing w:w="0" w:type="dxa"/>
        </w:trPr>
        <w:tc>
          <w:tcPr>
            <w:tcW w:w="0" w:type="auto"/>
            <w:noWrap w:val="0"/>
            <w:vAlign w:val="center"/>
          </w:tcPr>
          <w:p w14:paraId="293E7DC6">
            <w:r>
              <w:rPr>
                <w:rStyle w:val="10"/>
                <w:rFonts w:hint="eastAsia"/>
              </w:rPr>
              <w:t>注意事项：</w:t>
            </w:r>
            <w:r>
              <w:rPr>
                <w:rFonts w:hint="eastAsia"/>
              </w:rPr>
              <w:br w:type="textWrapping"/>
            </w:r>
            <w:r>
              <w:rPr>
                <w:rStyle w:val="11"/>
                <w:rFonts w:hint="eastAsia"/>
              </w:rPr>
              <w:t>1.使用时穿戴长衣、长裤、帽子、口罩、手套等防护措施。禁止吸烟、饮食。 2.施药后用肥皂和足量清水彻底清洗手和面部以及其它可能接触药液的身体部位。3.用药后的空包装应妥善安置于安全场所。 4.禁止在河塘等水体中清洗施药工具。 5.蚕室及桑园附近禁用。6.建议与不同作用机制杀菌剂轮换使用。 7.避免本品与高锰酸钾等氧化剂接触。8.孕妇及哺乳期妇女禁止接触本品。</w:t>
            </w:r>
          </w:p>
        </w:tc>
      </w:tr>
      <w:tr w14:paraId="1A82D7E4">
        <w:tblPrEx>
          <w:tblCellMar>
            <w:top w:w="0" w:type="dxa"/>
            <w:left w:w="0" w:type="dxa"/>
            <w:bottom w:w="0" w:type="dxa"/>
            <w:right w:w="0" w:type="dxa"/>
          </w:tblCellMar>
        </w:tblPrEx>
        <w:trPr>
          <w:wBefore w:w="0" w:type="auto"/>
          <w:tblCellSpacing w:w="0" w:type="dxa"/>
        </w:trPr>
        <w:tc>
          <w:tcPr>
            <w:tcW w:w="0" w:type="auto"/>
            <w:noWrap w:val="0"/>
            <w:vAlign w:val="center"/>
          </w:tcPr>
          <w:p w14:paraId="68BF44FE">
            <w:r>
              <w:rPr>
                <w:rStyle w:val="10"/>
                <w:rFonts w:hint="eastAsia"/>
              </w:rPr>
              <w:t>中毒急救措施：</w:t>
            </w:r>
            <w:r>
              <w:rPr>
                <w:rFonts w:hint="eastAsia"/>
              </w:rPr>
              <w:br w:type="textWrapping"/>
            </w:r>
            <w:r>
              <w:rPr>
                <w:rStyle w:val="11"/>
                <w:rFonts w:hint="eastAsia"/>
              </w:rPr>
              <w:t xml:space="preserve">中毒症状：毒性低，一般不会引起全身中毒。 急救措施：1.如药液溅到皮肤，请立即用肥皂和清水冲洗。 2.如药液溅到眼内，应用足量清水冲洗至少15分钟。 3.若不慎吸入药液，应立即将患者移至空气流通处。 4.经口误服：立即携带标签，送医就诊。无解毒剂，对症治疗。 </w:t>
            </w:r>
          </w:p>
        </w:tc>
      </w:tr>
      <w:tr w14:paraId="1F3F2162">
        <w:tblPrEx>
          <w:tblCellMar>
            <w:top w:w="0" w:type="dxa"/>
            <w:left w:w="0" w:type="dxa"/>
            <w:bottom w:w="0" w:type="dxa"/>
            <w:right w:w="0" w:type="dxa"/>
          </w:tblCellMar>
        </w:tblPrEx>
        <w:trPr>
          <w:wBefore w:w="0" w:type="auto"/>
          <w:tblCellSpacing w:w="0" w:type="dxa"/>
        </w:trPr>
        <w:tc>
          <w:tcPr>
            <w:tcW w:w="0" w:type="auto"/>
            <w:noWrap w:val="0"/>
            <w:vAlign w:val="center"/>
          </w:tcPr>
          <w:p w14:paraId="2E21603B">
            <w:r>
              <w:rPr>
                <w:rStyle w:val="10"/>
                <w:rFonts w:hint="eastAsia"/>
              </w:rPr>
              <w:t>储存和运输方法：</w:t>
            </w:r>
            <w:r>
              <w:rPr>
                <w:rFonts w:hint="eastAsia"/>
              </w:rPr>
              <w:br w:type="textWrapping"/>
            </w:r>
            <w:r>
              <w:rPr>
                <w:rStyle w:val="11"/>
                <w:rFonts w:hint="eastAsia"/>
              </w:rPr>
              <w:t>1.本品应以原包装贮存于阴凉、干燥和通风处； 2.勿与食物、饮料、饲料、种子和肥料等其它商品同贮同运； 3.加锁保管，避免儿童接触； 4.运输时应注意防水防潮，避免雨淋；搬运时轻搬轻放，不可倒置。</w:t>
            </w:r>
          </w:p>
        </w:tc>
      </w:tr>
      <w:tr w14:paraId="6E2D1CF0">
        <w:tblPrEx>
          <w:tblCellMar>
            <w:top w:w="0" w:type="dxa"/>
            <w:left w:w="0" w:type="dxa"/>
            <w:bottom w:w="0" w:type="dxa"/>
            <w:right w:w="0" w:type="dxa"/>
          </w:tblCellMar>
        </w:tblPrEx>
        <w:trPr>
          <w:wBefore w:w="0" w:type="auto"/>
          <w:tblCellSpacing w:w="0" w:type="dxa"/>
        </w:trPr>
        <w:tc>
          <w:tcPr>
            <w:tcW w:w="0" w:type="auto"/>
            <w:noWrap w:val="0"/>
            <w:vAlign w:val="center"/>
          </w:tcPr>
          <w:p w14:paraId="3DA00BB0">
            <w:r>
              <w:rPr>
                <w:rStyle w:val="10"/>
                <w:rFonts w:hint="eastAsia"/>
              </w:rPr>
              <w:t>质量保证期：</w:t>
            </w:r>
            <w:r>
              <w:rPr>
                <w:rStyle w:val="11"/>
                <w:rFonts w:hint="eastAsia"/>
              </w:rPr>
              <w:t>2年</w:t>
            </w:r>
          </w:p>
        </w:tc>
      </w:tr>
      <w:tr w14:paraId="5EC7CDDB">
        <w:tblPrEx>
          <w:tblCellMar>
            <w:top w:w="0" w:type="dxa"/>
            <w:left w:w="0" w:type="dxa"/>
            <w:bottom w:w="0" w:type="dxa"/>
            <w:right w:w="0" w:type="dxa"/>
          </w:tblCellMar>
        </w:tblPrEx>
        <w:trPr>
          <w:wBefore w:w="0" w:type="auto"/>
          <w:tblCellSpacing w:w="0" w:type="dxa"/>
        </w:trPr>
        <w:tc>
          <w:tcPr>
            <w:tcW w:w="0" w:type="auto"/>
            <w:noWrap w:val="0"/>
            <w:vAlign w:val="center"/>
          </w:tcPr>
          <w:p w14:paraId="6CB379FD">
            <w:r>
              <w:rPr>
                <w:rStyle w:val="10"/>
                <w:rFonts w:hint="eastAsia"/>
              </w:rPr>
              <w:t>备注：</w:t>
            </w:r>
            <w:r>
              <w:rPr>
                <w:rFonts w:hint="eastAsia"/>
              </w:rPr>
              <w:br w:type="textWrapping"/>
            </w:r>
            <w:r>
              <w:rPr>
                <w:rStyle w:val="11"/>
                <w:rFonts w:hint="eastAsia"/>
              </w:rPr>
              <w:t>氟吡菌胺5.6%； 霜霉威盐酸盐56.4%； 霜霉威47.3%。</w:t>
            </w:r>
          </w:p>
        </w:tc>
      </w:tr>
    </w:tbl>
    <w:p w14:paraId="2233033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C4F19D">
        <w:tblPrEx>
          <w:tblCellMar>
            <w:top w:w="0" w:type="dxa"/>
            <w:left w:w="0" w:type="dxa"/>
            <w:bottom w:w="0" w:type="dxa"/>
            <w:right w:w="0" w:type="dxa"/>
          </w:tblCellMar>
        </w:tblPrEx>
        <w:trPr>
          <w:wBefore w:w="0" w:type="auto"/>
          <w:tblCellSpacing w:w="0" w:type="dxa"/>
        </w:trPr>
        <w:tc>
          <w:tcPr>
            <w:tcW w:w="0" w:type="auto"/>
            <w:noWrap w:val="0"/>
            <w:vAlign w:val="center"/>
          </w:tcPr>
          <w:p w14:paraId="1D475365">
            <w:r>
              <w:rPr>
                <w:rStyle w:val="10"/>
                <w:rFonts w:hint="eastAsia"/>
              </w:rPr>
              <w:t>登记证号：</w:t>
            </w:r>
            <w:r>
              <w:rPr>
                <w:rFonts w:hint="eastAsia"/>
              </w:rPr>
              <w:t>PD20212291</w:t>
            </w:r>
          </w:p>
        </w:tc>
      </w:tr>
      <w:tr w14:paraId="141E9658">
        <w:tblPrEx>
          <w:tblCellMar>
            <w:top w:w="0" w:type="dxa"/>
            <w:left w:w="0" w:type="dxa"/>
            <w:bottom w:w="0" w:type="dxa"/>
            <w:right w:w="0" w:type="dxa"/>
          </w:tblCellMar>
        </w:tblPrEx>
        <w:trPr>
          <w:wBefore w:w="0" w:type="auto"/>
          <w:tblCellSpacing w:w="0" w:type="dxa"/>
        </w:trPr>
        <w:tc>
          <w:tcPr>
            <w:tcW w:w="0" w:type="auto"/>
            <w:noWrap w:val="0"/>
            <w:vAlign w:val="center"/>
          </w:tcPr>
          <w:p w14:paraId="11CA4B05">
            <w:r>
              <w:rPr>
                <w:rStyle w:val="10"/>
                <w:rFonts w:hint="eastAsia"/>
              </w:rPr>
              <w:t>登记证持有人：</w:t>
            </w:r>
            <w:r>
              <w:rPr>
                <w:rFonts w:hint="eastAsia"/>
              </w:rPr>
              <w:t>安徽佳田森农药化工有限公司</w:t>
            </w:r>
          </w:p>
        </w:tc>
      </w:tr>
      <w:tr w14:paraId="6E894C26">
        <w:tblPrEx>
          <w:tblCellMar>
            <w:top w:w="0" w:type="dxa"/>
            <w:left w:w="0" w:type="dxa"/>
            <w:bottom w:w="0" w:type="dxa"/>
            <w:right w:w="0" w:type="dxa"/>
          </w:tblCellMar>
        </w:tblPrEx>
        <w:trPr>
          <w:wBefore w:w="0" w:type="auto"/>
          <w:tblCellSpacing w:w="0" w:type="dxa"/>
        </w:trPr>
        <w:tc>
          <w:tcPr>
            <w:tcW w:w="0" w:type="auto"/>
            <w:noWrap w:val="0"/>
            <w:vAlign w:val="center"/>
          </w:tcPr>
          <w:p w14:paraId="63CB3514">
            <w:r>
              <w:rPr>
                <w:rStyle w:val="10"/>
                <w:rFonts w:hint="eastAsia"/>
              </w:rPr>
              <w:t>农药名称：</w:t>
            </w:r>
            <w:r>
              <w:rPr>
                <w:rFonts w:hint="eastAsia"/>
              </w:rPr>
              <w:t>二氯喹·氯吡酯·莠去津</w:t>
            </w:r>
          </w:p>
        </w:tc>
      </w:tr>
      <w:tr w14:paraId="79DEF068">
        <w:tblPrEx>
          <w:tblCellMar>
            <w:top w:w="0" w:type="dxa"/>
            <w:left w:w="0" w:type="dxa"/>
            <w:bottom w:w="0" w:type="dxa"/>
            <w:right w:w="0" w:type="dxa"/>
          </w:tblCellMar>
        </w:tblPrEx>
        <w:trPr>
          <w:wBefore w:w="0" w:type="auto"/>
          <w:tblCellSpacing w:w="0" w:type="dxa"/>
        </w:trPr>
        <w:tc>
          <w:tcPr>
            <w:tcW w:w="0" w:type="auto"/>
            <w:noWrap w:val="0"/>
            <w:vAlign w:val="center"/>
          </w:tcPr>
          <w:p w14:paraId="595C9E01">
            <w:r>
              <w:rPr>
                <w:rStyle w:val="10"/>
                <w:rFonts w:hint="eastAsia"/>
              </w:rPr>
              <w:t>剂型：</w:t>
            </w:r>
            <w:r>
              <w:rPr>
                <w:rFonts w:hint="eastAsia"/>
              </w:rPr>
              <w:t>可分散油悬浮剂</w:t>
            </w:r>
          </w:p>
        </w:tc>
      </w:tr>
      <w:tr w14:paraId="7F9E873D">
        <w:tblPrEx>
          <w:tblCellMar>
            <w:top w:w="0" w:type="dxa"/>
            <w:left w:w="0" w:type="dxa"/>
            <w:bottom w:w="0" w:type="dxa"/>
            <w:right w:w="0" w:type="dxa"/>
          </w:tblCellMar>
        </w:tblPrEx>
        <w:trPr>
          <w:wBefore w:w="0" w:type="auto"/>
          <w:tblCellSpacing w:w="0" w:type="dxa"/>
        </w:trPr>
        <w:tc>
          <w:tcPr>
            <w:tcW w:w="0" w:type="auto"/>
            <w:noWrap w:val="0"/>
            <w:vAlign w:val="center"/>
          </w:tcPr>
          <w:p w14:paraId="25E19C22">
            <w:r>
              <w:rPr>
                <w:rStyle w:val="10"/>
                <w:rFonts w:hint="eastAsia"/>
              </w:rPr>
              <w:t>毒性及其标识：</w:t>
            </w:r>
            <w:r>
              <w:rPr>
                <w:rFonts w:hint="eastAsia"/>
              </w:rPr>
              <w:t xml:space="preserve"> </w:t>
            </w:r>
            <w:r>
              <w:rPr>
                <w:lang/>
              </w:rPr>
              <w:drawing>
                <wp:inline distT="0" distB="0" distL="114300" distR="114300">
                  <wp:extent cx="476250" cy="323850"/>
                  <wp:effectExtent l="0" t="0" r="0" b="0"/>
                  <wp:docPr id="580" name="图片 58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CB0DD6B">
        <w:tblPrEx>
          <w:tblCellMar>
            <w:top w:w="0" w:type="dxa"/>
            <w:left w:w="0" w:type="dxa"/>
            <w:bottom w:w="0" w:type="dxa"/>
            <w:right w:w="0" w:type="dxa"/>
          </w:tblCellMar>
        </w:tblPrEx>
        <w:trPr>
          <w:wBefore w:w="0" w:type="auto"/>
          <w:tblCellSpacing w:w="0" w:type="dxa"/>
        </w:trPr>
        <w:tc>
          <w:tcPr>
            <w:tcW w:w="0" w:type="auto"/>
            <w:noWrap w:val="0"/>
            <w:vAlign w:val="center"/>
          </w:tcPr>
          <w:p w14:paraId="3F981F9C">
            <w:r>
              <w:rPr>
                <w:rStyle w:val="10"/>
                <w:rFonts w:hint="eastAsia"/>
              </w:rPr>
              <w:t>总有效成分含量：</w:t>
            </w:r>
            <w:r>
              <w:rPr>
                <w:rFonts w:hint="eastAsia"/>
              </w:rPr>
              <w:t>26%</w:t>
            </w:r>
          </w:p>
        </w:tc>
      </w:tr>
      <w:tr w14:paraId="430C6B50">
        <w:tblPrEx>
          <w:tblCellMar>
            <w:top w:w="0" w:type="dxa"/>
            <w:left w:w="0" w:type="dxa"/>
            <w:bottom w:w="0" w:type="dxa"/>
            <w:right w:w="0" w:type="dxa"/>
          </w:tblCellMar>
        </w:tblPrEx>
        <w:trPr>
          <w:wBefore w:w="0" w:type="auto"/>
          <w:tblCellSpacing w:w="0" w:type="dxa"/>
        </w:trPr>
        <w:tc>
          <w:tcPr>
            <w:tcW w:w="0" w:type="auto"/>
            <w:noWrap w:val="0"/>
            <w:vAlign w:val="center"/>
          </w:tcPr>
          <w:p w14:paraId="57A94DE4">
            <w:r>
              <w:rPr>
                <w:rFonts w:hint="eastAsia"/>
              </w:rPr>
              <w:t xml:space="preserve">有效成分及其含量： </w:t>
            </w:r>
          </w:p>
          <w:p w14:paraId="21C0AAA6">
            <w:r>
              <w:rPr>
                <w:rFonts w:hint="eastAsia"/>
              </w:rPr>
              <w:t xml:space="preserve">    二氯喹啉酸9%    莠去津15%    氯氟吡氧乙酸异辛酯2%    </w:t>
            </w:r>
          </w:p>
        </w:tc>
      </w:tr>
      <w:tr w14:paraId="724D4117">
        <w:tblPrEx>
          <w:tblCellMar>
            <w:top w:w="0" w:type="dxa"/>
            <w:left w:w="0" w:type="dxa"/>
            <w:bottom w:w="0" w:type="dxa"/>
            <w:right w:w="0" w:type="dxa"/>
          </w:tblCellMar>
        </w:tblPrEx>
        <w:trPr>
          <w:wBefore w:w="0" w:type="auto"/>
          <w:tblCellSpacing w:w="0" w:type="dxa"/>
        </w:trPr>
        <w:tc>
          <w:tcPr>
            <w:tcW w:w="0" w:type="auto"/>
            <w:noWrap w:val="0"/>
            <w:vAlign w:val="center"/>
          </w:tcPr>
          <w:p w14:paraId="4C9A108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523CA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07A019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75A635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EBC161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B544D65">
                  <w:r>
                    <w:rPr>
                      <w:rStyle w:val="11"/>
                      <w:rFonts w:hint="eastAsia"/>
                    </w:rPr>
                    <w:t>施用方式</w:t>
                  </w:r>
                </w:p>
              </w:tc>
            </w:tr>
            <w:tr w14:paraId="07E83B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F6B471B">
                  <w:r>
                    <w:rPr>
                      <w:rStyle w:val="11"/>
                      <w:rFonts w:hint="eastAsia"/>
                    </w:rPr>
                    <w:t>高粱田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EEF62CC">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6F69B7">
                  <w:r>
                    <w:rPr>
                      <w:rStyle w:val="11"/>
                      <w:rFonts w:hint="eastAsia"/>
                    </w:rPr>
                    <w:t>120-160毫升/亩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009D43">
                  <w:r>
                    <w:rPr>
                      <w:rStyle w:val="11"/>
                      <w:rFonts w:hint="eastAsia"/>
                    </w:rPr>
                    <w:t>定向茎叶喷雾</w:t>
                  </w:r>
                </w:p>
              </w:tc>
            </w:tr>
          </w:tbl>
          <w:p w14:paraId="0440404A">
            <w:pPr>
              <w:rPr>
                <w:rFonts w:ascii="Times New Roman" w:hAnsi="Times New Roman" w:cs="Times New Roman"/>
                <w:sz w:val="20"/>
                <w:szCs w:val="20"/>
              </w:rPr>
            </w:pPr>
          </w:p>
        </w:tc>
      </w:tr>
      <w:tr w14:paraId="606CBF22">
        <w:tblPrEx>
          <w:tblCellMar>
            <w:top w:w="0" w:type="dxa"/>
            <w:left w:w="0" w:type="dxa"/>
            <w:bottom w:w="0" w:type="dxa"/>
            <w:right w:w="0" w:type="dxa"/>
          </w:tblCellMar>
        </w:tblPrEx>
        <w:trPr>
          <w:wBefore w:w="0" w:type="auto"/>
          <w:tblCellSpacing w:w="0" w:type="dxa"/>
        </w:trPr>
        <w:tc>
          <w:tcPr>
            <w:tcW w:w="0" w:type="auto"/>
            <w:noWrap w:val="0"/>
            <w:vAlign w:val="center"/>
          </w:tcPr>
          <w:p w14:paraId="79BF0D77">
            <w:r>
              <w:rPr>
                <w:rStyle w:val="10"/>
                <w:rFonts w:hint="eastAsia"/>
              </w:rPr>
              <w:t>使用技术要求:</w:t>
            </w:r>
            <w:r>
              <w:rPr>
                <w:rFonts w:hint="eastAsia"/>
              </w:rPr>
              <w:br w:type="textWrapping"/>
            </w:r>
            <w:r>
              <w:rPr>
                <w:rStyle w:val="11"/>
                <w:rFonts w:hint="eastAsia"/>
              </w:rPr>
              <w:t>1、于高粱3-6叶期，田间杂草3-5叶期，茎叶喷雾施药1次。2、勿超剂量使用避免药害。3、大风天或预计1小时内降雨，请勿施药。4、每季最多使用1次。</w:t>
            </w:r>
          </w:p>
        </w:tc>
      </w:tr>
      <w:tr w14:paraId="1BAEE27B">
        <w:tblPrEx>
          <w:tblCellMar>
            <w:top w:w="0" w:type="dxa"/>
            <w:left w:w="0" w:type="dxa"/>
            <w:bottom w:w="0" w:type="dxa"/>
            <w:right w:w="0" w:type="dxa"/>
          </w:tblCellMar>
        </w:tblPrEx>
        <w:trPr>
          <w:wBefore w:w="0" w:type="auto"/>
          <w:tblCellSpacing w:w="0" w:type="dxa"/>
        </w:trPr>
        <w:tc>
          <w:tcPr>
            <w:tcW w:w="0" w:type="auto"/>
            <w:noWrap w:val="0"/>
            <w:vAlign w:val="center"/>
          </w:tcPr>
          <w:p w14:paraId="2D0DDCD2">
            <w:r>
              <w:rPr>
                <w:rStyle w:val="10"/>
                <w:rFonts w:hint="eastAsia"/>
              </w:rPr>
              <w:t>产品性能:</w:t>
            </w:r>
            <w:r>
              <w:rPr>
                <w:rFonts w:hint="eastAsia"/>
              </w:rPr>
              <w:br w:type="textWrapping"/>
            </w:r>
            <w:r>
              <w:rPr>
                <w:rStyle w:val="11"/>
                <w:rFonts w:hint="eastAsia"/>
              </w:rPr>
              <w:t>本品是三元复配的除草剂。二氯喹啉酸是一种激素型内吸传导型选择性杀稗剂，通过稗草根和叶片吸收，并在体内传导，从而使稗草死亡。莠去津作用机理为光合作用电子传递抑制剂，作用于光合作用系统Ⅱ位受体位点。氯氟吡氧乙酸异辛酯为激素类除草剂，作用机理类似吲哚乙酸，使敏感植物出现典型激素类除草剂的反应，植物畸形，扭曲。混配后可用于防除高粱田一年生杂草。</w:t>
            </w:r>
          </w:p>
        </w:tc>
      </w:tr>
      <w:tr w14:paraId="7C2711E2">
        <w:tblPrEx>
          <w:tblCellMar>
            <w:top w:w="0" w:type="dxa"/>
            <w:left w:w="0" w:type="dxa"/>
            <w:bottom w:w="0" w:type="dxa"/>
            <w:right w:w="0" w:type="dxa"/>
          </w:tblCellMar>
        </w:tblPrEx>
        <w:trPr>
          <w:wBefore w:w="0" w:type="auto"/>
          <w:tblCellSpacing w:w="0" w:type="dxa"/>
        </w:trPr>
        <w:tc>
          <w:tcPr>
            <w:tcW w:w="0" w:type="auto"/>
            <w:noWrap w:val="0"/>
            <w:vAlign w:val="center"/>
          </w:tcPr>
          <w:p w14:paraId="209299EF">
            <w:r>
              <w:rPr>
                <w:rStyle w:val="10"/>
                <w:rFonts w:hint="eastAsia"/>
              </w:rPr>
              <w:t>注意事项：</w:t>
            </w:r>
            <w:r>
              <w:rPr>
                <w:rFonts w:hint="eastAsia"/>
              </w:rPr>
              <w:br w:type="textWrapping"/>
            </w:r>
            <w:r>
              <w:rPr>
                <w:rStyle w:val="11"/>
                <w:rFonts w:hint="eastAsia"/>
              </w:rPr>
              <w:t>1.本品对藻类等水生生物有毒，远离水产养殖区、河塘等水体施药；禁止在河塘等水体中清洗施药器具。清洗施药器具的水也不能排入河塘等水体。蚕室及桑园附近禁用。鸟类保护区附近禁用；地下水、饮用水水源地附近禁用。 2.使用本品应采取相应的安全防护措施，穿戴长衣、长裤、帽子、口罩、手套等安全防护措施，避免皮肤接触及口鼻吸入。使用中不可吸烟、饮水及吃东西，使用后及时用大量清水和肥皂清洗手、脸等暴露部位皮肤并更换衣物。 3.用过的容器应妥善处理，不可做他用，也不可随意丢弃。4.禁止儿童、孕妇及哺乳期的妇女接触。过敏者禁用，使用中有任何不良反应请及时就医。</w:t>
            </w:r>
          </w:p>
        </w:tc>
      </w:tr>
      <w:tr w14:paraId="78ECDB75">
        <w:tblPrEx>
          <w:tblCellMar>
            <w:top w:w="0" w:type="dxa"/>
            <w:left w:w="0" w:type="dxa"/>
            <w:bottom w:w="0" w:type="dxa"/>
            <w:right w:w="0" w:type="dxa"/>
          </w:tblCellMar>
        </w:tblPrEx>
        <w:trPr>
          <w:wBefore w:w="0" w:type="auto"/>
          <w:tblCellSpacing w:w="0" w:type="dxa"/>
        </w:trPr>
        <w:tc>
          <w:tcPr>
            <w:tcW w:w="0" w:type="auto"/>
            <w:noWrap w:val="0"/>
            <w:vAlign w:val="center"/>
          </w:tcPr>
          <w:p w14:paraId="5078D991">
            <w:r>
              <w:rPr>
                <w:rStyle w:val="10"/>
                <w:rFonts w:hint="eastAsia"/>
              </w:rPr>
              <w:t>中毒急救措施：</w:t>
            </w:r>
            <w:r>
              <w:rPr>
                <w:rFonts w:hint="eastAsia"/>
              </w:rPr>
              <w:br w:type="textWrapping"/>
            </w:r>
            <w:r>
              <w:rPr>
                <w:rStyle w:val="11"/>
                <w:rFonts w:hint="eastAsia"/>
              </w:rPr>
              <w:t>对眼睛有刺激性，使用时避免接触眼睛。 急救措施：使用中或使用后如果感觉不适，应立即停止工作，采取急救措施，并携带标签送医院就诊。皮肤接触：脱去污染的衣物，用软布去除污染农药，立即用大量清水和肥皂冲洗。眼睛溅入：立即用流动清水冲洗不少于15分钟。 吸入：立即离开施药现场，转移到空气清新处。误食：立即停止服用，用清水充分漱口后，立即携带农药标签到医院就诊。无专用解毒剂，对症治疗。</w:t>
            </w:r>
          </w:p>
        </w:tc>
      </w:tr>
      <w:tr w14:paraId="1AD3EB8E">
        <w:tblPrEx>
          <w:tblCellMar>
            <w:top w:w="0" w:type="dxa"/>
            <w:left w:w="0" w:type="dxa"/>
            <w:bottom w:w="0" w:type="dxa"/>
            <w:right w:w="0" w:type="dxa"/>
          </w:tblCellMar>
        </w:tblPrEx>
        <w:trPr>
          <w:wBefore w:w="0" w:type="auto"/>
          <w:tblCellSpacing w:w="0" w:type="dxa"/>
        </w:trPr>
        <w:tc>
          <w:tcPr>
            <w:tcW w:w="0" w:type="auto"/>
            <w:noWrap w:val="0"/>
            <w:vAlign w:val="center"/>
          </w:tcPr>
          <w:p w14:paraId="3A14886C">
            <w:r>
              <w:rPr>
                <w:rStyle w:val="10"/>
                <w:rFonts w:hint="eastAsia"/>
              </w:rPr>
              <w:t>储存和运输方法：</w:t>
            </w:r>
            <w:r>
              <w:rPr>
                <w:rFonts w:hint="eastAsia"/>
              </w:rPr>
              <w:br w:type="textWrapping"/>
            </w:r>
            <w:r>
              <w:rPr>
                <w:rStyle w:val="11"/>
                <w:rFonts w:hint="eastAsia"/>
              </w:rPr>
              <w:t>1、本品应贮存在干燥、阴凉、通风、防雨处，远离火源或热源。2、本品应当置于儿童、无关人员触及不到之处，并加锁保存。3、勿与食品、饮料、饲料等其他商品同贮同运。</w:t>
            </w:r>
          </w:p>
        </w:tc>
      </w:tr>
      <w:tr w14:paraId="0D379F0D">
        <w:tblPrEx>
          <w:tblCellMar>
            <w:top w:w="0" w:type="dxa"/>
            <w:left w:w="0" w:type="dxa"/>
            <w:bottom w:w="0" w:type="dxa"/>
            <w:right w:w="0" w:type="dxa"/>
          </w:tblCellMar>
        </w:tblPrEx>
        <w:trPr>
          <w:wBefore w:w="0" w:type="auto"/>
          <w:tblCellSpacing w:w="0" w:type="dxa"/>
        </w:trPr>
        <w:tc>
          <w:tcPr>
            <w:tcW w:w="0" w:type="auto"/>
            <w:noWrap w:val="0"/>
            <w:vAlign w:val="center"/>
          </w:tcPr>
          <w:p w14:paraId="5BCA2F68">
            <w:r>
              <w:rPr>
                <w:rStyle w:val="10"/>
                <w:rFonts w:hint="eastAsia"/>
              </w:rPr>
              <w:t>质量保证期：</w:t>
            </w:r>
            <w:r>
              <w:rPr>
                <w:rStyle w:val="11"/>
                <w:rFonts w:hint="eastAsia"/>
              </w:rPr>
              <w:t>2年</w:t>
            </w:r>
          </w:p>
        </w:tc>
      </w:tr>
      <w:tr w14:paraId="71A823CB">
        <w:tblPrEx>
          <w:tblCellMar>
            <w:top w:w="0" w:type="dxa"/>
            <w:left w:w="0" w:type="dxa"/>
            <w:bottom w:w="0" w:type="dxa"/>
            <w:right w:w="0" w:type="dxa"/>
          </w:tblCellMar>
        </w:tblPrEx>
        <w:trPr>
          <w:wBefore w:w="0" w:type="auto"/>
          <w:tblCellSpacing w:w="0" w:type="dxa"/>
        </w:trPr>
        <w:tc>
          <w:tcPr>
            <w:tcW w:w="0" w:type="auto"/>
            <w:noWrap w:val="0"/>
            <w:vAlign w:val="center"/>
          </w:tcPr>
          <w:p w14:paraId="2A760D2D">
            <w:r>
              <w:rPr>
                <w:rStyle w:val="10"/>
                <w:rFonts w:hint="eastAsia"/>
              </w:rPr>
              <w:t>备注：</w:t>
            </w:r>
          </w:p>
        </w:tc>
      </w:tr>
    </w:tbl>
    <w:p w14:paraId="4E4EFE9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35E986A">
        <w:tblPrEx>
          <w:tblCellMar>
            <w:top w:w="0" w:type="dxa"/>
            <w:left w:w="0" w:type="dxa"/>
            <w:bottom w:w="0" w:type="dxa"/>
            <w:right w:w="0" w:type="dxa"/>
          </w:tblCellMar>
        </w:tblPrEx>
        <w:trPr>
          <w:wBefore w:w="0" w:type="auto"/>
          <w:tblCellSpacing w:w="0" w:type="dxa"/>
        </w:trPr>
        <w:tc>
          <w:tcPr>
            <w:tcW w:w="0" w:type="auto"/>
            <w:noWrap w:val="0"/>
            <w:vAlign w:val="center"/>
          </w:tcPr>
          <w:p w14:paraId="0B9283E4">
            <w:r>
              <w:rPr>
                <w:rStyle w:val="10"/>
                <w:rFonts w:hint="eastAsia"/>
              </w:rPr>
              <w:t>登记证号：</w:t>
            </w:r>
            <w:r>
              <w:rPr>
                <w:rFonts w:hint="eastAsia"/>
              </w:rPr>
              <w:t>PD20212034</w:t>
            </w:r>
          </w:p>
        </w:tc>
      </w:tr>
      <w:tr w14:paraId="29356927">
        <w:tblPrEx>
          <w:tblCellMar>
            <w:top w:w="0" w:type="dxa"/>
            <w:left w:w="0" w:type="dxa"/>
            <w:bottom w:w="0" w:type="dxa"/>
            <w:right w:w="0" w:type="dxa"/>
          </w:tblCellMar>
        </w:tblPrEx>
        <w:trPr>
          <w:wBefore w:w="0" w:type="auto"/>
          <w:tblCellSpacing w:w="0" w:type="dxa"/>
        </w:trPr>
        <w:tc>
          <w:tcPr>
            <w:tcW w:w="0" w:type="auto"/>
            <w:noWrap w:val="0"/>
            <w:vAlign w:val="center"/>
          </w:tcPr>
          <w:p w14:paraId="4056DC5D">
            <w:r>
              <w:rPr>
                <w:rStyle w:val="10"/>
                <w:rFonts w:hint="eastAsia"/>
              </w:rPr>
              <w:t>登记证持有人：</w:t>
            </w:r>
            <w:r>
              <w:rPr>
                <w:rFonts w:hint="eastAsia"/>
              </w:rPr>
              <w:t>陕西亿田丰作物科技有限公司</w:t>
            </w:r>
          </w:p>
        </w:tc>
      </w:tr>
      <w:tr w14:paraId="44EC830E">
        <w:tblPrEx>
          <w:tblCellMar>
            <w:top w:w="0" w:type="dxa"/>
            <w:left w:w="0" w:type="dxa"/>
            <w:bottom w:w="0" w:type="dxa"/>
            <w:right w:w="0" w:type="dxa"/>
          </w:tblCellMar>
        </w:tblPrEx>
        <w:trPr>
          <w:wBefore w:w="0" w:type="auto"/>
          <w:tblCellSpacing w:w="0" w:type="dxa"/>
        </w:trPr>
        <w:tc>
          <w:tcPr>
            <w:tcW w:w="0" w:type="auto"/>
            <w:noWrap w:val="0"/>
            <w:vAlign w:val="center"/>
          </w:tcPr>
          <w:p w14:paraId="67EE23B8">
            <w:r>
              <w:rPr>
                <w:rStyle w:val="10"/>
                <w:rFonts w:hint="eastAsia"/>
              </w:rPr>
              <w:t>农药名称：</w:t>
            </w:r>
            <w:r>
              <w:rPr>
                <w:rFonts w:hint="eastAsia"/>
              </w:rPr>
              <w:t>吲丁·诱抗素</w:t>
            </w:r>
          </w:p>
        </w:tc>
      </w:tr>
      <w:tr w14:paraId="39D201D6">
        <w:tblPrEx>
          <w:tblCellMar>
            <w:top w:w="0" w:type="dxa"/>
            <w:left w:w="0" w:type="dxa"/>
            <w:bottom w:w="0" w:type="dxa"/>
            <w:right w:w="0" w:type="dxa"/>
          </w:tblCellMar>
        </w:tblPrEx>
        <w:trPr>
          <w:wBefore w:w="0" w:type="auto"/>
          <w:tblCellSpacing w:w="0" w:type="dxa"/>
        </w:trPr>
        <w:tc>
          <w:tcPr>
            <w:tcW w:w="0" w:type="auto"/>
            <w:noWrap w:val="0"/>
            <w:vAlign w:val="center"/>
          </w:tcPr>
          <w:p w14:paraId="0EFA887B">
            <w:r>
              <w:rPr>
                <w:rStyle w:val="10"/>
                <w:rFonts w:hint="eastAsia"/>
              </w:rPr>
              <w:t>剂型：</w:t>
            </w:r>
            <w:r>
              <w:rPr>
                <w:rFonts w:hint="eastAsia"/>
              </w:rPr>
              <w:t>可溶液剂</w:t>
            </w:r>
          </w:p>
        </w:tc>
      </w:tr>
      <w:tr w14:paraId="22151ADD">
        <w:tblPrEx>
          <w:tblCellMar>
            <w:top w:w="0" w:type="dxa"/>
            <w:left w:w="0" w:type="dxa"/>
            <w:bottom w:w="0" w:type="dxa"/>
            <w:right w:w="0" w:type="dxa"/>
          </w:tblCellMar>
        </w:tblPrEx>
        <w:trPr>
          <w:wBefore w:w="0" w:type="auto"/>
          <w:tblCellSpacing w:w="0" w:type="dxa"/>
        </w:trPr>
        <w:tc>
          <w:tcPr>
            <w:tcW w:w="0" w:type="auto"/>
            <w:noWrap w:val="0"/>
            <w:vAlign w:val="center"/>
          </w:tcPr>
          <w:p w14:paraId="022ABDBA">
            <w:r>
              <w:rPr>
                <w:rStyle w:val="10"/>
                <w:rFonts w:hint="eastAsia"/>
              </w:rPr>
              <w:t>毒性及其标识：</w:t>
            </w:r>
            <w:r>
              <w:rPr>
                <w:rFonts w:hint="eastAsia"/>
              </w:rPr>
              <w:t xml:space="preserve"> </w:t>
            </w:r>
            <w:r>
              <w:rPr>
                <w:lang/>
              </w:rPr>
              <w:drawing>
                <wp:inline distT="0" distB="0" distL="114300" distR="114300">
                  <wp:extent cx="476250" cy="323850"/>
                  <wp:effectExtent l="0" t="0" r="0" b="0"/>
                  <wp:docPr id="581" name="图片 58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EE623A8">
        <w:tblPrEx>
          <w:tblCellMar>
            <w:top w:w="0" w:type="dxa"/>
            <w:left w:w="0" w:type="dxa"/>
            <w:bottom w:w="0" w:type="dxa"/>
            <w:right w:w="0" w:type="dxa"/>
          </w:tblCellMar>
        </w:tblPrEx>
        <w:trPr>
          <w:wBefore w:w="0" w:type="auto"/>
          <w:tblCellSpacing w:w="0" w:type="dxa"/>
        </w:trPr>
        <w:tc>
          <w:tcPr>
            <w:tcW w:w="0" w:type="auto"/>
            <w:noWrap w:val="0"/>
            <w:vAlign w:val="center"/>
          </w:tcPr>
          <w:p w14:paraId="18D68F72">
            <w:r>
              <w:rPr>
                <w:rStyle w:val="10"/>
                <w:rFonts w:hint="eastAsia"/>
              </w:rPr>
              <w:t>总有效成分含量：</w:t>
            </w:r>
            <w:r>
              <w:rPr>
                <w:rFonts w:hint="eastAsia"/>
              </w:rPr>
              <w:t>1%</w:t>
            </w:r>
          </w:p>
        </w:tc>
      </w:tr>
      <w:tr w14:paraId="385F9EE4">
        <w:tblPrEx>
          <w:tblCellMar>
            <w:top w:w="0" w:type="dxa"/>
            <w:left w:w="0" w:type="dxa"/>
            <w:bottom w:w="0" w:type="dxa"/>
            <w:right w:w="0" w:type="dxa"/>
          </w:tblCellMar>
        </w:tblPrEx>
        <w:trPr>
          <w:wBefore w:w="0" w:type="auto"/>
          <w:tblCellSpacing w:w="0" w:type="dxa"/>
        </w:trPr>
        <w:tc>
          <w:tcPr>
            <w:tcW w:w="0" w:type="auto"/>
            <w:noWrap w:val="0"/>
            <w:vAlign w:val="center"/>
          </w:tcPr>
          <w:p w14:paraId="56D5F913">
            <w:r>
              <w:rPr>
                <w:rFonts w:hint="eastAsia"/>
              </w:rPr>
              <w:t xml:space="preserve">有效成分及其含量： </w:t>
            </w:r>
          </w:p>
          <w:p w14:paraId="7ACC25E8">
            <w:r>
              <w:rPr>
                <w:rFonts w:hint="eastAsia"/>
              </w:rPr>
              <w:t xml:space="preserve">    S-诱抗素0.1%    吲哚丁酸0.9%    </w:t>
            </w:r>
          </w:p>
        </w:tc>
      </w:tr>
      <w:tr w14:paraId="7D35D206">
        <w:tblPrEx>
          <w:tblCellMar>
            <w:top w:w="0" w:type="dxa"/>
            <w:left w:w="0" w:type="dxa"/>
            <w:bottom w:w="0" w:type="dxa"/>
            <w:right w:w="0" w:type="dxa"/>
          </w:tblCellMar>
        </w:tblPrEx>
        <w:trPr>
          <w:wBefore w:w="0" w:type="auto"/>
          <w:tblCellSpacing w:w="0" w:type="dxa"/>
        </w:trPr>
        <w:tc>
          <w:tcPr>
            <w:tcW w:w="0" w:type="auto"/>
            <w:noWrap w:val="0"/>
            <w:vAlign w:val="center"/>
          </w:tcPr>
          <w:p w14:paraId="137ED12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AC1942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B7BA6E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435AF4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DFA309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5DC726E">
                  <w:r>
                    <w:rPr>
                      <w:rStyle w:val="11"/>
                      <w:rFonts w:hint="eastAsia"/>
                    </w:rPr>
                    <w:t>施用方式</w:t>
                  </w:r>
                </w:p>
              </w:tc>
            </w:tr>
            <w:tr w14:paraId="3B377D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9609A11">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C1F596">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E50295">
                  <w:r>
                    <w:rPr>
                      <w:rStyle w:val="11"/>
                      <w:rFonts w:hint="eastAsia"/>
                    </w:rPr>
                    <w:t>3000-4000倍液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FB2D98">
                  <w:r>
                    <w:rPr>
                      <w:rStyle w:val="11"/>
                      <w:rFonts w:hint="eastAsia"/>
                    </w:rPr>
                    <w:t>喷雾</w:t>
                  </w:r>
                </w:p>
              </w:tc>
            </w:tr>
          </w:tbl>
          <w:p w14:paraId="0B2F669E">
            <w:pPr>
              <w:rPr>
                <w:rFonts w:ascii="Times New Roman" w:hAnsi="Times New Roman" w:cs="Times New Roman"/>
                <w:sz w:val="20"/>
                <w:szCs w:val="20"/>
              </w:rPr>
            </w:pPr>
          </w:p>
        </w:tc>
      </w:tr>
      <w:tr w14:paraId="6FCAE3AB">
        <w:tblPrEx>
          <w:tblCellMar>
            <w:top w:w="0" w:type="dxa"/>
            <w:left w:w="0" w:type="dxa"/>
            <w:bottom w:w="0" w:type="dxa"/>
            <w:right w:w="0" w:type="dxa"/>
          </w:tblCellMar>
        </w:tblPrEx>
        <w:trPr>
          <w:wBefore w:w="0" w:type="auto"/>
          <w:tblCellSpacing w:w="0" w:type="dxa"/>
        </w:trPr>
        <w:tc>
          <w:tcPr>
            <w:tcW w:w="0" w:type="auto"/>
            <w:noWrap w:val="0"/>
            <w:vAlign w:val="center"/>
          </w:tcPr>
          <w:p w14:paraId="74B0E346">
            <w:r>
              <w:rPr>
                <w:rStyle w:val="10"/>
                <w:rFonts w:hint="eastAsia"/>
              </w:rPr>
              <w:t>使用技术要求:</w:t>
            </w:r>
            <w:r>
              <w:rPr>
                <w:rFonts w:hint="eastAsia"/>
              </w:rPr>
              <w:br w:type="textWrapping"/>
            </w:r>
            <w:r>
              <w:rPr>
                <w:rStyle w:val="11"/>
                <w:rFonts w:hint="eastAsia"/>
              </w:rPr>
              <w:t>1.本品应于小麦3叶1心到4叶1心期叶面喷施1次，返青期喷施第2次；注意喷雾均匀周到，以确保防效。2.大风天或预计1小时内降雨，请勿施药。3.本品在小麦上每季作物最多使用2次。</w:t>
            </w:r>
          </w:p>
        </w:tc>
      </w:tr>
      <w:tr w14:paraId="13B1174A">
        <w:tblPrEx>
          <w:tblCellMar>
            <w:top w:w="0" w:type="dxa"/>
            <w:left w:w="0" w:type="dxa"/>
            <w:bottom w:w="0" w:type="dxa"/>
            <w:right w:w="0" w:type="dxa"/>
          </w:tblCellMar>
        </w:tblPrEx>
        <w:trPr>
          <w:wBefore w:w="0" w:type="auto"/>
          <w:tblCellSpacing w:w="0" w:type="dxa"/>
        </w:trPr>
        <w:tc>
          <w:tcPr>
            <w:tcW w:w="0" w:type="auto"/>
            <w:noWrap w:val="0"/>
            <w:vAlign w:val="center"/>
          </w:tcPr>
          <w:p w14:paraId="6686F332">
            <w:r>
              <w:rPr>
                <w:rStyle w:val="10"/>
                <w:rFonts w:hint="eastAsia"/>
              </w:rPr>
              <w:t>产品性能:</w:t>
            </w:r>
            <w:r>
              <w:rPr>
                <w:rFonts w:hint="eastAsia"/>
              </w:rPr>
              <w:br w:type="textWrapping"/>
            </w:r>
            <w:r>
              <w:rPr>
                <w:rStyle w:val="11"/>
                <w:rFonts w:hint="eastAsia"/>
              </w:rPr>
              <w:t>本品是由S-诱抗素和吲哚丁酸复配而成的植物调节生长剂，可促进幼苗根的生长，增强水分和养分的吸收能力，增强抗逆性；同时还能促进分蘖和壮苗。对小麦增产和改善品质有良好效果。</w:t>
            </w:r>
          </w:p>
        </w:tc>
      </w:tr>
      <w:tr w14:paraId="2765E45F">
        <w:tblPrEx>
          <w:tblCellMar>
            <w:top w:w="0" w:type="dxa"/>
            <w:left w:w="0" w:type="dxa"/>
            <w:bottom w:w="0" w:type="dxa"/>
            <w:right w:w="0" w:type="dxa"/>
          </w:tblCellMar>
        </w:tblPrEx>
        <w:trPr>
          <w:wBefore w:w="0" w:type="auto"/>
          <w:tblCellSpacing w:w="0" w:type="dxa"/>
        </w:trPr>
        <w:tc>
          <w:tcPr>
            <w:tcW w:w="0" w:type="auto"/>
            <w:noWrap w:val="0"/>
            <w:vAlign w:val="center"/>
          </w:tcPr>
          <w:p w14:paraId="12A23139">
            <w:r>
              <w:rPr>
                <w:rStyle w:val="10"/>
                <w:rFonts w:hint="eastAsia"/>
              </w:rPr>
              <w:t>注意事项：</w:t>
            </w:r>
            <w:r>
              <w:rPr>
                <w:rFonts w:hint="eastAsia"/>
              </w:rPr>
              <w:br w:type="textWrapping"/>
            </w:r>
            <w:r>
              <w:rPr>
                <w:rStyle w:val="11"/>
                <w:rFonts w:hint="eastAsia"/>
              </w:rPr>
              <w:t>1. 严格按照规定用药量和方法使用。 2. 建议与其他不同作用机制的植物生长调节剂轮换使用，以延缓抗性产生。 3. 禁止在河塘等水体中清洗施药器具。 4. 使用本品时应穿戴长衣长裤、帽子、口罩、手套、鞋等安全防护措施。施药期间不可吃东西、饮水、吸烟等；施药后应及时洗手、洗脸并洗涤施药时穿着的衣物。 5. 用药后包装物及用过的容器应妥善处理，不可做他用，也不可随意丢弃。 6. 孕妇及哺乳期妇女禁止接触本品。</w:t>
            </w:r>
          </w:p>
        </w:tc>
      </w:tr>
      <w:tr w14:paraId="0F4D3D49">
        <w:tblPrEx>
          <w:tblCellMar>
            <w:top w:w="0" w:type="dxa"/>
            <w:left w:w="0" w:type="dxa"/>
            <w:bottom w:w="0" w:type="dxa"/>
            <w:right w:w="0" w:type="dxa"/>
          </w:tblCellMar>
        </w:tblPrEx>
        <w:trPr>
          <w:wBefore w:w="0" w:type="auto"/>
          <w:tblCellSpacing w:w="0" w:type="dxa"/>
        </w:trPr>
        <w:tc>
          <w:tcPr>
            <w:tcW w:w="0" w:type="auto"/>
            <w:noWrap w:val="0"/>
            <w:vAlign w:val="center"/>
          </w:tcPr>
          <w:p w14:paraId="5BA55278">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立即用大量清水和肥皂冲洗。眼睛溅入：立即用流动清水冲洗不少于15分钟。误服：立即停止服用，用清水充分漱口后，立即携带农药标签到医院就诊。</w:t>
            </w:r>
          </w:p>
        </w:tc>
      </w:tr>
      <w:tr w14:paraId="37031DAC">
        <w:tblPrEx>
          <w:tblCellMar>
            <w:top w:w="0" w:type="dxa"/>
            <w:left w:w="0" w:type="dxa"/>
            <w:bottom w:w="0" w:type="dxa"/>
            <w:right w:w="0" w:type="dxa"/>
          </w:tblCellMar>
        </w:tblPrEx>
        <w:trPr>
          <w:wBefore w:w="0" w:type="auto"/>
          <w:tblCellSpacing w:w="0" w:type="dxa"/>
        </w:trPr>
        <w:tc>
          <w:tcPr>
            <w:tcW w:w="0" w:type="auto"/>
            <w:noWrap w:val="0"/>
            <w:vAlign w:val="center"/>
          </w:tcPr>
          <w:p w14:paraId="2CE97968">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0B8EE718">
        <w:tblPrEx>
          <w:tblCellMar>
            <w:top w:w="0" w:type="dxa"/>
            <w:left w:w="0" w:type="dxa"/>
            <w:bottom w:w="0" w:type="dxa"/>
            <w:right w:w="0" w:type="dxa"/>
          </w:tblCellMar>
        </w:tblPrEx>
        <w:trPr>
          <w:wBefore w:w="0" w:type="auto"/>
          <w:tblCellSpacing w:w="0" w:type="dxa"/>
        </w:trPr>
        <w:tc>
          <w:tcPr>
            <w:tcW w:w="0" w:type="auto"/>
            <w:noWrap w:val="0"/>
            <w:vAlign w:val="center"/>
          </w:tcPr>
          <w:p w14:paraId="5317D244">
            <w:r>
              <w:rPr>
                <w:rStyle w:val="10"/>
                <w:rFonts w:hint="eastAsia"/>
              </w:rPr>
              <w:t>质量保证期：</w:t>
            </w:r>
            <w:r>
              <w:rPr>
                <w:rStyle w:val="11"/>
                <w:rFonts w:hint="eastAsia"/>
              </w:rPr>
              <w:t>2年</w:t>
            </w:r>
          </w:p>
        </w:tc>
      </w:tr>
      <w:tr w14:paraId="223AC872">
        <w:tblPrEx>
          <w:tblCellMar>
            <w:top w:w="0" w:type="dxa"/>
            <w:left w:w="0" w:type="dxa"/>
            <w:bottom w:w="0" w:type="dxa"/>
            <w:right w:w="0" w:type="dxa"/>
          </w:tblCellMar>
        </w:tblPrEx>
        <w:trPr>
          <w:wBefore w:w="0" w:type="auto"/>
          <w:tblCellSpacing w:w="0" w:type="dxa"/>
        </w:trPr>
        <w:tc>
          <w:tcPr>
            <w:tcW w:w="0" w:type="auto"/>
            <w:noWrap w:val="0"/>
            <w:vAlign w:val="center"/>
          </w:tcPr>
          <w:p w14:paraId="2128EADB">
            <w:r>
              <w:rPr>
                <w:rStyle w:val="10"/>
                <w:rFonts w:hint="eastAsia"/>
              </w:rPr>
              <w:t>备注：</w:t>
            </w:r>
          </w:p>
        </w:tc>
      </w:tr>
    </w:tbl>
    <w:p w14:paraId="042624D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D7D4A73">
        <w:tblPrEx>
          <w:tblCellMar>
            <w:top w:w="0" w:type="dxa"/>
            <w:left w:w="0" w:type="dxa"/>
            <w:bottom w:w="0" w:type="dxa"/>
            <w:right w:w="0" w:type="dxa"/>
          </w:tblCellMar>
        </w:tblPrEx>
        <w:trPr>
          <w:wBefore w:w="0" w:type="auto"/>
          <w:tblCellSpacing w:w="0" w:type="dxa"/>
        </w:trPr>
        <w:tc>
          <w:tcPr>
            <w:tcW w:w="0" w:type="auto"/>
            <w:noWrap w:val="0"/>
            <w:vAlign w:val="center"/>
          </w:tcPr>
          <w:p w14:paraId="06BEA98E">
            <w:r>
              <w:rPr>
                <w:rStyle w:val="10"/>
                <w:rFonts w:hint="eastAsia"/>
              </w:rPr>
              <w:t>登记证号：</w:t>
            </w:r>
            <w:r>
              <w:rPr>
                <w:rFonts w:hint="eastAsia"/>
              </w:rPr>
              <w:t>PD20211963</w:t>
            </w:r>
          </w:p>
        </w:tc>
      </w:tr>
      <w:tr w14:paraId="7FA1D115">
        <w:tblPrEx>
          <w:tblCellMar>
            <w:top w:w="0" w:type="dxa"/>
            <w:left w:w="0" w:type="dxa"/>
            <w:bottom w:w="0" w:type="dxa"/>
            <w:right w:w="0" w:type="dxa"/>
          </w:tblCellMar>
        </w:tblPrEx>
        <w:trPr>
          <w:wBefore w:w="0" w:type="auto"/>
          <w:tblCellSpacing w:w="0" w:type="dxa"/>
        </w:trPr>
        <w:tc>
          <w:tcPr>
            <w:tcW w:w="0" w:type="auto"/>
            <w:noWrap w:val="0"/>
            <w:vAlign w:val="center"/>
          </w:tcPr>
          <w:p w14:paraId="633AAEE7">
            <w:r>
              <w:rPr>
                <w:rStyle w:val="10"/>
                <w:rFonts w:hint="eastAsia"/>
              </w:rPr>
              <w:t>登记证持有人：</w:t>
            </w:r>
            <w:r>
              <w:rPr>
                <w:rFonts w:hint="eastAsia"/>
              </w:rPr>
              <w:t>河南喜夫农生物科技有限公司</w:t>
            </w:r>
          </w:p>
        </w:tc>
      </w:tr>
      <w:tr w14:paraId="1EEF1C7D">
        <w:tblPrEx>
          <w:tblCellMar>
            <w:top w:w="0" w:type="dxa"/>
            <w:left w:w="0" w:type="dxa"/>
            <w:bottom w:w="0" w:type="dxa"/>
            <w:right w:w="0" w:type="dxa"/>
          </w:tblCellMar>
        </w:tblPrEx>
        <w:trPr>
          <w:wBefore w:w="0" w:type="auto"/>
          <w:tblCellSpacing w:w="0" w:type="dxa"/>
        </w:trPr>
        <w:tc>
          <w:tcPr>
            <w:tcW w:w="0" w:type="auto"/>
            <w:noWrap w:val="0"/>
            <w:vAlign w:val="center"/>
          </w:tcPr>
          <w:p w14:paraId="32A56DD8">
            <w:r>
              <w:rPr>
                <w:rStyle w:val="10"/>
                <w:rFonts w:hint="eastAsia"/>
              </w:rPr>
              <w:t>农药名称：</w:t>
            </w:r>
            <w:r>
              <w:rPr>
                <w:rFonts w:hint="eastAsia"/>
              </w:rPr>
              <w:t>苯甲·吡唑酯</w:t>
            </w:r>
          </w:p>
        </w:tc>
      </w:tr>
      <w:tr w14:paraId="4EA44D07">
        <w:tblPrEx>
          <w:tblCellMar>
            <w:top w:w="0" w:type="dxa"/>
            <w:left w:w="0" w:type="dxa"/>
            <w:bottom w:w="0" w:type="dxa"/>
            <w:right w:w="0" w:type="dxa"/>
          </w:tblCellMar>
        </w:tblPrEx>
        <w:trPr>
          <w:wBefore w:w="0" w:type="auto"/>
          <w:tblCellSpacing w:w="0" w:type="dxa"/>
        </w:trPr>
        <w:tc>
          <w:tcPr>
            <w:tcW w:w="0" w:type="auto"/>
            <w:noWrap w:val="0"/>
            <w:vAlign w:val="center"/>
          </w:tcPr>
          <w:p w14:paraId="33D2F6DF">
            <w:r>
              <w:rPr>
                <w:rStyle w:val="10"/>
                <w:rFonts w:hint="eastAsia"/>
              </w:rPr>
              <w:t>剂型：</w:t>
            </w:r>
            <w:r>
              <w:rPr>
                <w:rFonts w:hint="eastAsia"/>
              </w:rPr>
              <w:t>种子处理悬浮剂</w:t>
            </w:r>
          </w:p>
        </w:tc>
      </w:tr>
      <w:tr w14:paraId="6C4CFA20">
        <w:tblPrEx>
          <w:tblCellMar>
            <w:top w:w="0" w:type="dxa"/>
            <w:left w:w="0" w:type="dxa"/>
            <w:bottom w:w="0" w:type="dxa"/>
            <w:right w:w="0" w:type="dxa"/>
          </w:tblCellMar>
        </w:tblPrEx>
        <w:trPr>
          <w:wBefore w:w="0" w:type="auto"/>
          <w:tblCellSpacing w:w="0" w:type="dxa"/>
        </w:trPr>
        <w:tc>
          <w:tcPr>
            <w:tcW w:w="0" w:type="auto"/>
            <w:noWrap w:val="0"/>
            <w:vAlign w:val="center"/>
          </w:tcPr>
          <w:p w14:paraId="3B2B49DD">
            <w:r>
              <w:rPr>
                <w:rStyle w:val="10"/>
                <w:rFonts w:hint="eastAsia"/>
              </w:rPr>
              <w:t>毒性及其标识：</w:t>
            </w:r>
            <w:r>
              <w:rPr>
                <w:rFonts w:hint="eastAsia"/>
              </w:rPr>
              <w:t xml:space="preserve"> </w:t>
            </w:r>
            <w:r>
              <w:rPr>
                <w:lang/>
              </w:rPr>
              <w:drawing>
                <wp:inline distT="0" distB="0" distL="114300" distR="114300">
                  <wp:extent cx="476250" cy="323850"/>
                  <wp:effectExtent l="0" t="0" r="0" b="0"/>
                  <wp:docPr id="582" name="图片 58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8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9273B4A">
        <w:tblPrEx>
          <w:tblCellMar>
            <w:top w:w="0" w:type="dxa"/>
            <w:left w:w="0" w:type="dxa"/>
            <w:bottom w:w="0" w:type="dxa"/>
            <w:right w:w="0" w:type="dxa"/>
          </w:tblCellMar>
        </w:tblPrEx>
        <w:trPr>
          <w:wBefore w:w="0" w:type="auto"/>
          <w:tblCellSpacing w:w="0" w:type="dxa"/>
        </w:trPr>
        <w:tc>
          <w:tcPr>
            <w:tcW w:w="0" w:type="auto"/>
            <w:noWrap w:val="0"/>
            <w:vAlign w:val="center"/>
          </w:tcPr>
          <w:p w14:paraId="28C3C061">
            <w:r>
              <w:rPr>
                <w:rStyle w:val="10"/>
                <w:rFonts w:hint="eastAsia"/>
              </w:rPr>
              <w:t>总有效成分含量：</w:t>
            </w:r>
            <w:r>
              <w:rPr>
                <w:rFonts w:hint="eastAsia"/>
              </w:rPr>
              <w:t>5%</w:t>
            </w:r>
          </w:p>
        </w:tc>
      </w:tr>
      <w:tr w14:paraId="30E93470">
        <w:tblPrEx>
          <w:tblCellMar>
            <w:top w:w="0" w:type="dxa"/>
            <w:left w:w="0" w:type="dxa"/>
            <w:bottom w:w="0" w:type="dxa"/>
            <w:right w:w="0" w:type="dxa"/>
          </w:tblCellMar>
        </w:tblPrEx>
        <w:trPr>
          <w:wBefore w:w="0" w:type="auto"/>
          <w:tblCellSpacing w:w="0" w:type="dxa"/>
        </w:trPr>
        <w:tc>
          <w:tcPr>
            <w:tcW w:w="0" w:type="auto"/>
            <w:noWrap w:val="0"/>
            <w:vAlign w:val="center"/>
          </w:tcPr>
          <w:p w14:paraId="24ED8140">
            <w:r>
              <w:rPr>
                <w:rFonts w:hint="eastAsia"/>
              </w:rPr>
              <w:t xml:space="preserve">有效成分及其含量： </w:t>
            </w:r>
          </w:p>
          <w:p w14:paraId="66039571">
            <w:r>
              <w:rPr>
                <w:rFonts w:hint="eastAsia"/>
              </w:rPr>
              <w:t xml:space="preserve">    苯醚甲环唑3%    吡唑醚菌酯2%    </w:t>
            </w:r>
          </w:p>
        </w:tc>
      </w:tr>
      <w:tr w14:paraId="16417CB0">
        <w:tblPrEx>
          <w:tblCellMar>
            <w:top w:w="0" w:type="dxa"/>
            <w:left w:w="0" w:type="dxa"/>
            <w:bottom w:w="0" w:type="dxa"/>
            <w:right w:w="0" w:type="dxa"/>
          </w:tblCellMar>
        </w:tblPrEx>
        <w:trPr>
          <w:wBefore w:w="0" w:type="auto"/>
          <w:tblCellSpacing w:w="0" w:type="dxa"/>
        </w:trPr>
        <w:tc>
          <w:tcPr>
            <w:tcW w:w="0" w:type="auto"/>
            <w:noWrap w:val="0"/>
            <w:vAlign w:val="center"/>
          </w:tcPr>
          <w:p w14:paraId="16A4583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CF52DE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3F5C64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28CC6C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BFFE40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AF597DC">
                  <w:r>
                    <w:rPr>
                      <w:rStyle w:val="11"/>
                      <w:rFonts w:hint="eastAsia"/>
                    </w:rPr>
                    <w:t>施用方式</w:t>
                  </w:r>
                </w:p>
              </w:tc>
            </w:tr>
            <w:tr w14:paraId="6537D7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C259009">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9C08B8">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A3940AD">
                  <w:r>
                    <w:rPr>
                      <w:rStyle w:val="11"/>
                      <w:rFonts w:hint="eastAsia"/>
                    </w:rPr>
                    <w:t>200-240毫升/100千克种子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931689">
                  <w:r>
                    <w:rPr>
                      <w:rStyle w:val="11"/>
                      <w:rFonts w:hint="eastAsia"/>
                    </w:rPr>
                    <w:t>种子包衣</w:t>
                  </w:r>
                </w:p>
              </w:tc>
            </w:tr>
          </w:tbl>
          <w:p w14:paraId="0D317DD5">
            <w:pPr>
              <w:rPr>
                <w:rFonts w:ascii="Times New Roman" w:hAnsi="Times New Roman" w:cs="Times New Roman"/>
                <w:sz w:val="20"/>
                <w:szCs w:val="20"/>
              </w:rPr>
            </w:pPr>
          </w:p>
        </w:tc>
      </w:tr>
      <w:tr w14:paraId="08D42FD5">
        <w:tblPrEx>
          <w:tblCellMar>
            <w:top w:w="0" w:type="dxa"/>
            <w:left w:w="0" w:type="dxa"/>
            <w:bottom w:w="0" w:type="dxa"/>
            <w:right w:w="0" w:type="dxa"/>
          </w:tblCellMar>
        </w:tblPrEx>
        <w:trPr>
          <w:wBefore w:w="0" w:type="auto"/>
          <w:tblCellSpacing w:w="0" w:type="dxa"/>
        </w:trPr>
        <w:tc>
          <w:tcPr>
            <w:tcW w:w="0" w:type="auto"/>
            <w:noWrap w:val="0"/>
            <w:vAlign w:val="center"/>
          </w:tcPr>
          <w:p w14:paraId="136BCBF4">
            <w:r>
              <w:rPr>
                <w:rStyle w:val="10"/>
                <w:rFonts w:hint="eastAsia"/>
              </w:rPr>
              <w:t>使用技术要求:</w:t>
            </w:r>
            <w:r>
              <w:rPr>
                <w:rFonts w:hint="eastAsia"/>
              </w:rPr>
              <w:br w:type="textWrapping"/>
            </w:r>
            <w:r>
              <w:rPr>
                <w:rStyle w:val="11"/>
                <w:rFonts w:hint="eastAsia"/>
              </w:rPr>
              <w:t>1.在花生播种前，种子包衣处理1次。以包衣100千克种子为例，按推荐用药量，用水将药液稀释至1-2升，再与种子充分搅拌，直至药液均匀分布于种子表面，晾干后即可播种。 2.配好的药液应在24小时内使用。</w:t>
            </w:r>
          </w:p>
        </w:tc>
      </w:tr>
      <w:tr w14:paraId="489477AC">
        <w:tblPrEx>
          <w:tblCellMar>
            <w:top w:w="0" w:type="dxa"/>
            <w:left w:w="0" w:type="dxa"/>
            <w:bottom w:w="0" w:type="dxa"/>
            <w:right w:w="0" w:type="dxa"/>
          </w:tblCellMar>
        </w:tblPrEx>
        <w:trPr>
          <w:wBefore w:w="0" w:type="auto"/>
          <w:tblCellSpacing w:w="0" w:type="dxa"/>
        </w:trPr>
        <w:tc>
          <w:tcPr>
            <w:tcW w:w="0" w:type="auto"/>
            <w:noWrap w:val="0"/>
            <w:vAlign w:val="center"/>
          </w:tcPr>
          <w:p w14:paraId="2FE7B307">
            <w:r>
              <w:rPr>
                <w:rStyle w:val="10"/>
                <w:rFonts w:hint="eastAsia"/>
              </w:rPr>
              <w:t>产品性能:</w:t>
            </w:r>
            <w:r>
              <w:rPr>
                <w:rFonts w:hint="eastAsia"/>
              </w:rPr>
              <w:br w:type="textWrapping"/>
            </w:r>
            <w:r>
              <w:rPr>
                <w:rStyle w:val="11"/>
                <w:rFonts w:hint="eastAsia"/>
              </w:rPr>
              <w:t>本品是由吡唑醚菌酯和苯醚甲环唑复配而成的杀菌剂，其作用机理是线粒体呼吸抑制剂，抑制细胞壁甾醇的生物合成，具有保护、治疗作用。按推荐剂量使用时，对花生根腐病有较好的防治效果。</w:t>
            </w:r>
          </w:p>
        </w:tc>
      </w:tr>
      <w:tr w14:paraId="41679ECC">
        <w:tblPrEx>
          <w:tblCellMar>
            <w:top w:w="0" w:type="dxa"/>
            <w:left w:w="0" w:type="dxa"/>
            <w:bottom w:w="0" w:type="dxa"/>
            <w:right w:w="0" w:type="dxa"/>
          </w:tblCellMar>
        </w:tblPrEx>
        <w:trPr>
          <w:wBefore w:w="0" w:type="auto"/>
          <w:tblCellSpacing w:w="0" w:type="dxa"/>
        </w:trPr>
        <w:tc>
          <w:tcPr>
            <w:tcW w:w="0" w:type="auto"/>
            <w:noWrap w:val="0"/>
            <w:vAlign w:val="center"/>
          </w:tcPr>
          <w:p w14:paraId="2F79B029">
            <w:r>
              <w:rPr>
                <w:rStyle w:val="10"/>
                <w:rFonts w:hint="eastAsia"/>
              </w:rPr>
              <w:t>注意事项：</w:t>
            </w:r>
            <w:r>
              <w:rPr>
                <w:rFonts w:hint="eastAsia"/>
              </w:rPr>
              <w:br w:type="textWrapping"/>
            </w:r>
            <w:r>
              <w:rPr>
                <w:rStyle w:val="11"/>
                <w:rFonts w:hint="eastAsia"/>
              </w:rPr>
              <w:t>1.请按照农药安全使用准则使用本品。本品对眼睛有刺激作用，使用是避免药液接触眼睛、皮肤和污染衣物，避免吸入药液。切勿在施药现场抽烟或饮食，施药后应洗手、洗脸等暴露皮肤。 2.配药和种子处理应在通风处进行，操作人员应穿（戴）长袖衣、长裤、帽子、口罩、手套等安全防护措施。 3.种子处理结束后，彻底清洗防护用具，洗澡并更换和清洗工作服。 4.处理过的种子必须放置在有明显标签的容器内。勿与食物、饲料放在一起，不得饲喂禽畜，更不得用来加工饲料或食品。 5.鸟类保护区附近禁用，播种施药后立即覆土，严禁畜禽进入。水产养殖区、河塘等水体附近禁用，禁止在河塘等水域清洗施药器具。 6.废弃物应妥善处理，不可做他用，也不可随意丢弃。 7.孕妇及哺乳期妇女禁止接触本品。</w:t>
            </w:r>
          </w:p>
        </w:tc>
      </w:tr>
      <w:tr w14:paraId="20CD97E9">
        <w:tblPrEx>
          <w:tblCellMar>
            <w:top w:w="0" w:type="dxa"/>
            <w:left w:w="0" w:type="dxa"/>
            <w:bottom w:w="0" w:type="dxa"/>
            <w:right w:w="0" w:type="dxa"/>
          </w:tblCellMar>
        </w:tblPrEx>
        <w:trPr>
          <w:wBefore w:w="0" w:type="auto"/>
          <w:tblCellSpacing w:w="0" w:type="dxa"/>
        </w:trPr>
        <w:tc>
          <w:tcPr>
            <w:tcW w:w="0" w:type="auto"/>
            <w:noWrap w:val="0"/>
            <w:vAlign w:val="center"/>
          </w:tcPr>
          <w:p w14:paraId="5CD67882">
            <w:r>
              <w:rPr>
                <w:rStyle w:val="10"/>
                <w:rFonts w:hint="eastAsia"/>
              </w:rPr>
              <w:t>中毒急救措施：</w:t>
            </w:r>
            <w:r>
              <w:rPr>
                <w:rFonts w:hint="eastAsia"/>
              </w:rPr>
              <w:br w:type="textWrapping"/>
            </w:r>
            <w:r>
              <w:rPr>
                <w:rStyle w:val="11"/>
                <w:rFonts w:hint="eastAsia"/>
              </w:rPr>
              <w:t xml:space="preserve">中毒症状：对眼睛有轻度刺激性。 急救措施：使用中或使用后如果感觉不适，应立即停止工作，采取急救措施，并携带标签到医院就诊。 1.皮肤接触：立即脱去污染衣物，用大量清水彻底清洗受污染的皮肤，如皮肤刺激持续，请医生诊治。2.眼睛溅入：立即用流动清水冲洗不少于15分钟，再请医生诊治。3.吸入：立即将吸入者转移到空气清新处。如果吸入者停止呼吸，需进行人工呼吸，并请医生诊治。4.不慎误服：立即携带标签送医院就诊。 </w:t>
            </w:r>
          </w:p>
        </w:tc>
      </w:tr>
      <w:tr w14:paraId="4A949A42">
        <w:tblPrEx>
          <w:tblCellMar>
            <w:top w:w="0" w:type="dxa"/>
            <w:left w:w="0" w:type="dxa"/>
            <w:bottom w:w="0" w:type="dxa"/>
            <w:right w:w="0" w:type="dxa"/>
          </w:tblCellMar>
        </w:tblPrEx>
        <w:trPr>
          <w:wBefore w:w="0" w:type="auto"/>
          <w:tblCellSpacing w:w="0" w:type="dxa"/>
        </w:trPr>
        <w:tc>
          <w:tcPr>
            <w:tcW w:w="0" w:type="auto"/>
            <w:noWrap w:val="0"/>
            <w:vAlign w:val="center"/>
          </w:tcPr>
          <w:p w14:paraId="6AC51E48">
            <w:r>
              <w:rPr>
                <w:rStyle w:val="10"/>
                <w:rFonts w:hint="eastAsia"/>
              </w:rPr>
              <w:t>储存和运输方法：</w:t>
            </w:r>
            <w:r>
              <w:rPr>
                <w:rFonts w:hint="eastAsia"/>
              </w:rPr>
              <w:br w:type="textWrapping"/>
            </w:r>
            <w:r>
              <w:rPr>
                <w:rStyle w:val="11"/>
                <w:rFonts w:hint="eastAsia"/>
              </w:rPr>
              <w:t>1．本品应密封贮存在干燥、阴凉、通风、防雨处，远离火源或热源。2．存放于儿童触及不到之处，并加锁。3．勿与食品、饮料、粮食、饲料等其他商品同贮同运。贮存或运输时堆层不得超过规定，注意轻拿轻放，以免损坏包装，导致产品泄漏。</w:t>
            </w:r>
          </w:p>
        </w:tc>
      </w:tr>
      <w:tr w14:paraId="56157DA7">
        <w:tblPrEx>
          <w:tblCellMar>
            <w:top w:w="0" w:type="dxa"/>
            <w:left w:w="0" w:type="dxa"/>
            <w:bottom w:w="0" w:type="dxa"/>
            <w:right w:w="0" w:type="dxa"/>
          </w:tblCellMar>
        </w:tblPrEx>
        <w:trPr>
          <w:wBefore w:w="0" w:type="auto"/>
          <w:tblCellSpacing w:w="0" w:type="dxa"/>
        </w:trPr>
        <w:tc>
          <w:tcPr>
            <w:tcW w:w="0" w:type="auto"/>
            <w:noWrap w:val="0"/>
            <w:vAlign w:val="center"/>
          </w:tcPr>
          <w:p w14:paraId="289CF6CD">
            <w:r>
              <w:rPr>
                <w:rStyle w:val="10"/>
                <w:rFonts w:hint="eastAsia"/>
              </w:rPr>
              <w:t>质量保证期：</w:t>
            </w:r>
            <w:r>
              <w:rPr>
                <w:rStyle w:val="11"/>
                <w:rFonts w:hint="eastAsia"/>
              </w:rPr>
              <w:t>2年</w:t>
            </w:r>
          </w:p>
        </w:tc>
      </w:tr>
      <w:tr w14:paraId="5FFD8233">
        <w:tblPrEx>
          <w:tblCellMar>
            <w:top w:w="0" w:type="dxa"/>
            <w:left w:w="0" w:type="dxa"/>
            <w:bottom w:w="0" w:type="dxa"/>
            <w:right w:w="0" w:type="dxa"/>
          </w:tblCellMar>
        </w:tblPrEx>
        <w:trPr>
          <w:wBefore w:w="0" w:type="auto"/>
          <w:tblCellSpacing w:w="0" w:type="dxa"/>
        </w:trPr>
        <w:tc>
          <w:tcPr>
            <w:tcW w:w="0" w:type="auto"/>
            <w:noWrap w:val="0"/>
            <w:vAlign w:val="center"/>
          </w:tcPr>
          <w:p w14:paraId="65E4BC7F">
            <w:r>
              <w:rPr>
                <w:rStyle w:val="10"/>
                <w:rFonts w:hint="eastAsia"/>
              </w:rPr>
              <w:t>备注：</w:t>
            </w:r>
          </w:p>
        </w:tc>
      </w:tr>
    </w:tbl>
    <w:p w14:paraId="4D48668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EEBE0CC">
        <w:tblPrEx>
          <w:tblCellMar>
            <w:top w:w="0" w:type="dxa"/>
            <w:left w:w="0" w:type="dxa"/>
            <w:bottom w:w="0" w:type="dxa"/>
            <w:right w:w="0" w:type="dxa"/>
          </w:tblCellMar>
        </w:tblPrEx>
        <w:trPr>
          <w:wBefore w:w="0" w:type="auto"/>
          <w:tblCellSpacing w:w="0" w:type="dxa"/>
        </w:trPr>
        <w:tc>
          <w:tcPr>
            <w:tcW w:w="0" w:type="auto"/>
            <w:noWrap w:val="0"/>
            <w:vAlign w:val="center"/>
          </w:tcPr>
          <w:p w14:paraId="610EBEB4">
            <w:r>
              <w:rPr>
                <w:rStyle w:val="10"/>
                <w:rFonts w:hint="eastAsia"/>
              </w:rPr>
              <w:t>登记证号：</w:t>
            </w:r>
            <w:r>
              <w:rPr>
                <w:rFonts w:hint="eastAsia"/>
              </w:rPr>
              <w:t>PD20211968</w:t>
            </w:r>
          </w:p>
        </w:tc>
      </w:tr>
      <w:tr w14:paraId="3449B334">
        <w:tblPrEx>
          <w:tblCellMar>
            <w:top w:w="0" w:type="dxa"/>
            <w:left w:w="0" w:type="dxa"/>
            <w:bottom w:w="0" w:type="dxa"/>
            <w:right w:w="0" w:type="dxa"/>
          </w:tblCellMar>
        </w:tblPrEx>
        <w:trPr>
          <w:wBefore w:w="0" w:type="auto"/>
          <w:tblCellSpacing w:w="0" w:type="dxa"/>
        </w:trPr>
        <w:tc>
          <w:tcPr>
            <w:tcW w:w="0" w:type="auto"/>
            <w:noWrap w:val="0"/>
            <w:vAlign w:val="center"/>
          </w:tcPr>
          <w:p w14:paraId="3ADBC024">
            <w:r>
              <w:rPr>
                <w:rStyle w:val="10"/>
                <w:rFonts w:hint="eastAsia"/>
              </w:rPr>
              <w:t>登记证持有人：</w:t>
            </w:r>
            <w:r>
              <w:rPr>
                <w:rFonts w:hint="eastAsia"/>
              </w:rPr>
              <w:t>陕西省西安嘉科农化有限公司</w:t>
            </w:r>
          </w:p>
        </w:tc>
      </w:tr>
      <w:tr w14:paraId="344025FA">
        <w:tblPrEx>
          <w:tblCellMar>
            <w:top w:w="0" w:type="dxa"/>
            <w:left w:w="0" w:type="dxa"/>
            <w:bottom w:w="0" w:type="dxa"/>
            <w:right w:w="0" w:type="dxa"/>
          </w:tblCellMar>
        </w:tblPrEx>
        <w:trPr>
          <w:wBefore w:w="0" w:type="auto"/>
          <w:tblCellSpacing w:w="0" w:type="dxa"/>
        </w:trPr>
        <w:tc>
          <w:tcPr>
            <w:tcW w:w="0" w:type="auto"/>
            <w:noWrap w:val="0"/>
            <w:vAlign w:val="center"/>
          </w:tcPr>
          <w:p w14:paraId="0371BBAD">
            <w:r>
              <w:rPr>
                <w:rStyle w:val="10"/>
                <w:rFonts w:hint="eastAsia"/>
              </w:rPr>
              <w:t>农药名称：</w:t>
            </w:r>
            <w:r>
              <w:rPr>
                <w:rFonts w:hint="eastAsia"/>
              </w:rPr>
              <w:t>苦参提取物</w:t>
            </w:r>
          </w:p>
        </w:tc>
      </w:tr>
      <w:tr w14:paraId="479F271B">
        <w:tblPrEx>
          <w:tblCellMar>
            <w:top w:w="0" w:type="dxa"/>
            <w:left w:w="0" w:type="dxa"/>
            <w:bottom w:w="0" w:type="dxa"/>
            <w:right w:w="0" w:type="dxa"/>
          </w:tblCellMar>
        </w:tblPrEx>
        <w:trPr>
          <w:wBefore w:w="0" w:type="auto"/>
          <w:tblCellSpacing w:w="0" w:type="dxa"/>
        </w:trPr>
        <w:tc>
          <w:tcPr>
            <w:tcW w:w="0" w:type="auto"/>
            <w:noWrap w:val="0"/>
            <w:vAlign w:val="center"/>
          </w:tcPr>
          <w:p w14:paraId="627D7C4A">
            <w:r>
              <w:rPr>
                <w:rStyle w:val="10"/>
                <w:rFonts w:hint="eastAsia"/>
              </w:rPr>
              <w:t>剂型：</w:t>
            </w:r>
            <w:r>
              <w:rPr>
                <w:rFonts w:hint="eastAsia"/>
              </w:rPr>
              <w:t>可溶液剂</w:t>
            </w:r>
          </w:p>
        </w:tc>
      </w:tr>
      <w:tr w14:paraId="4577697A">
        <w:tblPrEx>
          <w:tblCellMar>
            <w:top w:w="0" w:type="dxa"/>
            <w:left w:w="0" w:type="dxa"/>
            <w:bottom w:w="0" w:type="dxa"/>
            <w:right w:w="0" w:type="dxa"/>
          </w:tblCellMar>
        </w:tblPrEx>
        <w:trPr>
          <w:wBefore w:w="0" w:type="auto"/>
          <w:tblCellSpacing w:w="0" w:type="dxa"/>
        </w:trPr>
        <w:tc>
          <w:tcPr>
            <w:tcW w:w="0" w:type="auto"/>
            <w:noWrap w:val="0"/>
            <w:vAlign w:val="center"/>
          </w:tcPr>
          <w:p w14:paraId="59A6305D">
            <w:r>
              <w:rPr>
                <w:rStyle w:val="10"/>
                <w:rFonts w:hint="eastAsia"/>
              </w:rPr>
              <w:t>毒性及其标识：</w:t>
            </w:r>
            <w:r>
              <w:rPr>
                <w:rFonts w:hint="eastAsia"/>
              </w:rPr>
              <w:t xml:space="preserve"> </w:t>
            </w:r>
            <w:r>
              <w:rPr>
                <w:lang/>
              </w:rPr>
              <w:drawing>
                <wp:inline distT="0" distB="0" distL="114300" distR="114300">
                  <wp:extent cx="476250" cy="323850"/>
                  <wp:effectExtent l="0" t="0" r="0" b="0"/>
                  <wp:docPr id="583" name="图片 58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8C58D2F">
        <w:tblPrEx>
          <w:tblCellMar>
            <w:top w:w="0" w:type="dxa"/>
            <w:left w:w="0" w:type="dxa"/>
            <w:bottom w:w="0" w:type="dxa"/>
            <w:right w:w="0" w:type="dxa"/>
          </w:tblCellMar>
        </w:tblPrEx>
        <w:trPr>
          <w:wBefore w:w="0" w:type="auto"/>
          <w:tblCellSpacing w:w="0" w:type="dxa"/>
        </w:trPr>
        <w:tc>
          <w:tcPr>
            <w:tcW w:w="0" w:type="auto"/>
            <w:noWrap w:val="0"/>
            <w:vAlign w:val="center"/>
          </w:tcPr>
          <w:p w14:paraId="46C66E20">
            <w:r>
              <w:rPr>
                <w:rStyle w:val="10"/>
                <w:rFonts w:hint="eastAsia"/>
              </w:rPr>
              <w:t>总有效成分含量：</w:t>
            </w:r>
            <w:r>
              <w:rPr>
                <w:rFonts w:hint="eastAsia"/>
              </w:rPr>
              <w:t>0.5%</w:t>
            </w:r>
          </w:p>
        </w:tc>
      </w:tr>
      <w:tr w14:paraId="200751E5">
        <w:tblPrEx>
          <w:tblCellMar>
            <w:top w:w="0" w:type="dxa"/>
            <w:left w:w="0" w:type="dxa"/>
            <w:bottom w:w="0" w:type="dxa"/>
            <w:right w:w="0" w:type="dxa"/>
          </w:tblCellMar>
        </w:tblPrEx>
        <w:trPr>
          <w:wBefore w:w="0" w:type="auto"/>
          <w:tblCellSpacing w:w="0" w:type="dxa"/>
        </w:trPr>
        <w:tc>
          <w:tcPr>
            <w:tcW w:w="0" w:type="auto"/>
            <w:noWrap w:val="0"/>
            <w:vAlign w:val="center"/>
          </w:tcPr>
          <w:p w14:paraId="77EC85F6">
            <w:r>
              <w:rPr>
                <w:rFonts w:hint="eastAsia"/>
              </w:rPr>
              <w:t xml:space="preserve">有效成分及其含量： </w:t>
            </w:r>
          </w:p>
          <w:p w14:paraId="782A7955">
            <w:r>
              <w:rPr>
                <w:rFonts w:hint="eastAsia"/>
              </w:rPr>
              <w:t xml:space="preserve">    苦参碱0.5%    </w:t>
            </w:r>
          </w:p>
        </w:tc>
      </w:tr>
      <w:tr w14:paraId="523311AD">
        <w:tblPrEx>
          <w:tblCellMar>
            <w:top w:w="0" w:type="dxa"/>
            <w:left w:w="0" w:type="dxa"/>
            <w:bottom w:w="0" w:type="dxa"/>
            <w:right w:w="0" w:type="dxa"/>
          </w:tblCellMar>
        </w:tblPrEx>
        <w:trPr>
          <w:wBefore w:w="0" w:type="auto"/>
          <w:tblCellSpacing w:w="0" w:type="dxa"/>
        </w:trPr>
        <w:tc>
          <w:tcPr>
            <w:tcW w:w="0" w:type="auto"/>
            <w:noWrap w:val="0"/>
            <w:vAlign w:val="center"/>
          </w:tcPr>
          <w:p w14:paraId="6BB49E2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AE09E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8ED139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A3DCF2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528740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0BCB45F">
                  <w:r>
                    <w:rPr>
                      <w:rStyle w:val="11"/>
                      <w:rFonts w:hint="eastAsia"/>
                    </w:rPr>
                    <w:t>施用方式</w:t>
                  </w:r>
                </w:p>
              </w:tc>
            </w:tr>
            <w:tr w14:paraId="4A71C8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0BB8CF">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CB94CB">
                  <w:r>
                    <w:rPr>
                      <w:rStyle w:val="11"/>
                      <w:rFonts w:hint="eastAsia"/>
                    </w:rPr>
                    <w:t>灰霉病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8F63E5">
                  <w:r>
                    <w:rPr>
                      <w:rStyle w:val="11"/>
                      <w:rFonts w:hint="eastAsia"/>
                    </w:rPr>
                    <w:t>1500-2000倍液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4B32487">
                  <w:r>
                    <w:rPr>
                      <w:rStyle w:val="11"/>
                      <w:rFonts w:hint="eastAsia"/>
                    </w:rPr>
                    <w:t>喷雾</w:t>
                  </w:r>
                </w:p>
              </w:tc>
            </w:tr>
            <w:tr w14:paraId="583592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2CCE6E4">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5BFC74">
                  <w:r>
                    <w:rPr>
                      <w:rStyle w:val="11"/>
                      <w:rFonts w:hint="eastAsia"/>
                    </w:rPr>
                    <w:t>溃疡病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637EB4">
                  <w:r>
                    <w:rPr>
                      <w:rStyle w:val="11"/>
                      <w:rFonts w:hint="eastAsia"/>
                    </w:rPr>
                    <w:t>500-1000倍液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19A4CC">
                  <w:r>
                    <w:rPr>
                      <w:rStyle w:val="11"/>
                      <w:rFonts w:hint="eastAsia"/>
                    </w:rPr>
                    <w:t>喷雾</w:t>
                  </w:r>
                </w:p>
              </w:tc>
            </w:tr>
          </w:tbl>
          <w:p w14:paraId="4562DECE">
            <w:pPr>
              <w:rPr>
                <w:rFonts w:ascii="Times New Roman" w:hAnsi="Times New Roman" w:cs="Times New Roman"/>
                <w:sz w:val="20"/>
                <w:szCs w:val="20"/>
              </w:rPr>
            </w:pPr>
          </w:p>
        </w:tc>
      </w:tr>
      <w:tr w14:paraId="627E0074">
        <w:tblPrEx>
          <w:tblCellMar>
            <w:top w:w="0" w:type="dxa"/>
            <w:left w:w="0" w:type="dxa"/>
            <w:bottom w:w="0" w:type="dxa"/>
            <w:right w:w="0" w:type="dxa"/>
          </w:tblCellMar>
        </w:tblPrEx>
        <w:trPr>
          <w:wBefore w:w="0" w:type="auto"/>
          <w:tblCellSpacing w:w="0" w:type="dxa"/>
        </w:trPr>
        <w:tc>
          <w:tcPr>
            <w:tcW w:w="0" w:type="auto"/>
            <w:noWrap w:val="0"/>
            <w:vAlign w:val="center"/>
          </w:tcPr>
          <w:p w14:paraId="296EAE60">
            <w:r>
              <w:rPr>
                <w:rStyle w:val="10"/>
                <w:rFonts w:hint="eastAsia"/>
              </w:rPr>
              <w:t>使用技术要求:</w:t>
            </w:r>
            <w:r>
              <w:rPr>
                <w:rFonts w:hint="eastAsia"/>
              </w:rPr>
              <w:br w:type="textWrapping"/>
            </w:r>
            <w:r>
              <w:rPr>
                <w:rStyle w:val="11"/>
                <w:rFonts w:hint="eastAsia"/>
              </w:rPr>
              <w:t>1、在葡萄灰霉病、柑橘树溃疡病发病前或发病初期施药，可施药2~3次，间隔7~10天。2、注意喷雾均匀、周到。3、大风天或预计1小时内降雨，请勿施药。4、本品在葡萄、柑橘树上每季最多施药3次。</w:t>
            </w:r>
          </w:p>
        </w:tc>
      </w:tr>
      <w:tr w14:paraId="7268096D">
        <w:tblPrEx>
          <w:tblCellMar>
            <w:top w:w="0" w:type="dxa"/>
            <w:left w:w="0" w:type="dxa"/>
            <w:bottom w:w="0" w:type="dxa"/>
            <w:right w:w="0" w:type="dxa"/>
          </w:tblCellMar>
        </w:tblPrEx>
        <w:trPr>
          <w:wBefore w:w="0" w:type="auto"/>
          <w:tblCellSpacing w:w="0" w:type="dxa"/>
        </w:trPr>
        <w:tc>
          <w:tcPr>
            <w:tcW w:w="0" w:type="auto"/>
            <w:noWrap w:val="0"/>
            <w:vAlign w:val="center"/>
          </w:tcPr>
          <w:p w14:paraId="3C4879E1">
            <w:r>
              <w:rPr>
                <w:rStyle w:val="10"/>
                <w:rFonts w:hint="eastAsia"/>
              </w:rPr>
              <w:t>产品性能:</w:t>
            </w:r>
            <w:r>
              <w:rPr>
                <w:rFonts w:hint="eastAsia"/>
              </w:rPr>
              <w:br w:type="textWrapping"/>
            </w:r>
            <w:r>
              <w:rPr>
                <w:rStyle w:val="11"/>
                <w:rFonts w:hint="eastAsia"/>
              </w:rPr>
              <w:t>本品是由苦参中提取制成的生物碱类杀菌剂，具有双向免疫调节功能；诱导产生植物防卫素，杀死或有效抑制某些病原菌的生长发育；对葡萄灰霉病、柑橘树溃疡病有较好的防治效果。</w:t>
            </w:r>
          </w:p>
        </w:tc>
      </w:tr>
      <w:tr w14:paraId="50756F07">
        <w:tblPrEx>
          <w:tblCellMar>
            <w:top w:w="0" w:type="dxa"/>
            <w:left w:w="0" w:type="dxa"/>
            <w:bottom w:w="0" w:type="dxa"/>
            <w:right w:w="0" w:type="dxa"/>
          </w:tblCellMar>
        </w:tblPrEx>
        <w:trPr>
          <w:wBefore w:w="0" w:type="auto"/>
          <w:tblCellSpacing w:w="0" w:type="dxa"/>
        </w:trPr>
        <w:tc>
          <w:tcPr>
            <w:tcW w:w="0" w:type="auto"/>
            <w:noWrap w:val="0"/>
            <w:vAlign w:val="center"/>
          </w:tcPr>
          <w:p w14:paraId="19D7794D">
            <w:r>
              <w:rPr>
                <w:rStyle w:val="10"/>
                <w:rFonts w:hint="eastAsia"/>
              </w:rPr>
              <w:t>注意事项：</w:t>
            </w:r>
            <w:r>
              <w:rPr>
                <w:rFonts w:hint="eastAsia"/>
              </w:rPr>
              <w:br w:type="textWrapping"/>
            </w:r>
            <w:r>
              <w:rPr>
                <w:rStyle w:val="11"/>
                <w:rFonts w:hint="eastAsia"/>
              </w:rPr>
              <w:t>1、严格按照规定用药量和方法使用。2、建议与其他作用机制不同的杀菌剂轮换使用，以延缓抗性产生。3、（周围）开花植物花期禁用，使用时应密切关注对附近蜂群的影响；鸟类保护区禁用；蚕室及桑园附近禁用；赤眼蜂、瓢虫（或其他代表性天敌）等天敌放飞区禁用。远离水产养殖区、河塘等水体施药；禁止在河塘等水体中清洗施药器具。4、使用过的施药器械，应清洗干净方可用于其它的农药。5、本品对眼睛有刺激作用，使用时避免接触眼睛。施药时应戴防护镜、口罩和手套，穿长衣、长裤；施药中禁止饮食、吸烟、饮水等；施药后应用肥皂和清水彻底清洗暴露在外的皮肤。6、用药后包装物及用过的容器应妥善处理，不可做他用，也不可随意丢弃。7、孕妇、哺乳期的妇女禁止接触本产品。</w:t>
            </w:r>
          </w:p>
        </w:tc>
      </w:tr>
      <w:tr w14:paraId="36794D86">
        <w:tblPrEx>
          <w:tblCellMar>
            <w:top w:w="0" w:type="dxa"/>
            <w:left w:w="0" w:type="dxa"/>
            <w:bottom w:w="0" w:type="dxa"/>
            <w:right w:w="0" w:type="dxa"/>
          </w:tblCellMar>
        </w:tblPrEx>
        <w:trPr>
          <w:wBefore w:w="0" w:type="auto"/>
          <w:tblCellSpacing w:w="0" w:type="dxa"/>
        </w:trPr>
        <w:tc>
          <w:tcPr>
            <w:tcW w:w="0" w:type="auto"/>
            <w:noWrap w:val="0"/>
            <w:vAlign w:val="center"/>
          </w:tcPr>
          <w:p w14:paraId="268AF29C">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6F1EA667">
        <w:tblPrEx>
          <w:tblCellMar>
            <w:top w:w="0" w:type="dxa"/>
            <w:left w:w="0" w:type="dxa"/>
            <w:bottom w:w="0" w:type="dxa"/>
            <w:right w:w="0" w:type="dxa"/>
          </w:tblCellMar>
        </w:tblPrEx>
        <w:trPr>
          <w:wBefore w:w="0" w:type="auto"/>
          <w:tblCellSpacing w:w="0" w:type="dxa"/>
        </w:trPr>
        <w:tc>
          <w:tcPr>
            <w:tcW w:w="0" w:type="auto"/>
            <w:noWrap w:val="0"/>
            <w:vAlign w:val="center"/>
          </w:tcPr>
          <w:p w14:paraId="3EFE41A9">
            <w:r>
              <w:rPr>
                <w:rStyle w:val="10"/>
                <w:rFonts w:hint="eastAsia"/>
              </w:rPr>
              <w:t>储存和运输方法：</w:t>
            </w:r>
            <w:r>
              <w:rPr>
                <w:rFonts w:hint="eastAsia"/>
              </w:rPr>
              <w:br w:type="textWrapping"/>
            </w:r>
            <w:r>
              <w:rPr>
                <w:rStyle w:val="11"/>
                <w:rFonts w:hint="eastAsia"/>
              </w:rPr>
              <w:t>本品应储存在干燥、阴凉、通风、防雨处，远离火源或热源。置于儿童接触不到的地方，并加锁保存。不能与食品、饮料、粮食、饲料等同贮同运。在装卸、运输时应轻拿轻放。</w:t>
            </w:r>
          </w:p>
        </w:tc>
      </w:tr>
      <w:tr w14:paraId="7E3DB3A7">
        <w:tblPrEx>
          <w:tblCellMar>
            <w:top w:w="0" w:type="dxa"/>
            <w:left w:w="0" w:type="dxa"/>
            <w:bottom w:w="0" w:type="dxa"/>
            <w:right w:w="0" w:type="dxa"/>
          </w:tblCellMar>
        </w:tblPrEx>
        <w:trPr>
          <w:wBefore w:w="0" w:type="auto"/>
          <w:tblCellSpacing w:w="0" w:type="dxa"/>
        </w:trPr>
        <w:tc>
          <w:tcPr>
            <w:tcW w:w="0" w:type="auto"/>
            <w:noWrap w:val="0"/>
            <w:vAlign w:val="center"/>
          </w:tcPr>
          <w:p w14:paraId="470375B7">
            <w:r>
              <w:rPr>
                <w:rStyle w:val="10"/>
                <w:rFonts w:hint="eastAsia"/>
              </w:rPr>
              <w:t>质量保证期：</w:t>
            </w:r>
            <w:r>
              <w:rPr>
                <w:rStyle w:val="11"/>
                <w:rFonts w:hint="eastAsia"/>
              </w:rPr>
              <w:t>2年</w:t>
            </w:r>
          </w:p>
        </w:tc>
      </w:tr>
      <w:tr w14:paraId="478F5186">
        <w:tblPrEx>
          <w:tblCellMar>
            <w:top w:w="0" w:type="dxa"/>
            <w:left w:w="0" w:type="dxa"/>
            <w:bottom w:w="0" w:type="dxa"/>
            <w:right w:w="0" w:type="dxa"/>
          </w:tblCellMar>
        </w:tblPrEx>
        <w:trPr>
          <w:wBefore w:w="0" w:type="auto"/>
          <w:tblCellSpacing w:w="0" w:type="dxa"/>
        </w:trPr>
        <w:tc>
          <w:tcPr>
            <w:tcW w:w="0" w:type="auto"/>
            <w:noWrap w:val="0"/>
            <w:vAlign w:val="center"/>
          </w:tcPr>
          <w:p w14:paraId="0236E91C">
            <w:r>
              <w:rPr>
                <w:rStyle w:val="10"/>
                <w:rFonts w:hint="eastAsia"/>
              </w:rPr>
              <w:t>备注：</w:t>
            </w:r>
          </w:p>
        </w:tc>
      </w:tr>
    </w:tbl>
    <w:p w14:paraId="48FBDC6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F2F1DFD">
        <w:tblPrEx>
          <w:tblCellMar>
            <w:top w:w="0" w:type="dxa"/>
            <w:left w:w="0" w:type="dxa"/>
            <w:bottom w:w="0" w:type="dxa"/>
            <w:right w:w="0" w:type="dxa"/>
          </w:tblCellMar>
        </w:tblPrEx>
        <w:trPr>
          <w:wBefore w:w="0" w:type="auto"/>
          <w:tblCellSpacing w:w="0" w:type="dxa"/>
        </w:trPr>
        <w:tc>
          <w:tcPr>
            <w:tcW w:w="0" w:type="auto"/>
            <w:noWrap w:val="0"/>
            <w:vAlign w:val="center"/>
          </w:tcPr>
          <w:p w14:paraId="6EDB442C">
            <w:r>
              <w:rPr>
                <w:rStyle w:val="10"/>
                <w:rFonts w:hint="eastAsia"/>
              </w:rPr>
              <w:t>登记证号：</w:t>
            </w:r>
            <w:r>
              <w:rPr>
                <w:rFonts w:hint="eastAsia"/>
              </w:rPr>
              <w:t>PD20211995</w:t>
            </w:r>
          </w:p>
        </w:tc>
      </w:tr>
      <w:tr w14:paraId="0B9D9842">
        <w:tblPrEx>
          <w:tblCellMar>
            <w:top w:w="0" w:type="dxa"/>
            <w:left w:w="0" w:type="dxa"/>
            <w:bottom w:w="0" w:type="dxa"/>
            <w:right w:w="0" w:type="dxa"/>
          </w:tblCellMar>
        </w:tblPrEx>
        <w:trPr>
          <w:wBefore w:w="0" w:type="auto"/>
          <w:tblCellSpacing w:w="0" w:type="dxa"/>
        </w:trPr>
        <w:tc>
          <w:tcPr>
            <w:tcW w:w="0" w:type="auto"/>
            <w:noWrap w:val="0"/>
            <w:vAlign w:val="center"/>
          </w:tcPr>
          <w:p w14:paraId="665608C8">
            <w:r>
              <w:rPr>
                <w:rStyle w:val="10"/>
                <w:rFonts w:hint="eastAsia"/>
              </w:rPr>
              <w:t>登记证持有人：</w:t>
            </w:r>
            <w:r>
              <w:rPr>
                <w:rFonts w:hint="eastAsia"/>
              </w:rPr>
              <w:t>中诚国联（河南）生物科技有限公司</w:t>
            </w:r>
          </w:p>
        </w:tc>
      </w:tr>
      <w:tr w14:paraId="512E8419">
        <w:tblPrEx>
          <w:tblCellMar>
            <w:top w:w="0" w:type="dxa"/>
            <w:left w:w="0" w:type="dxa"/>
            <w:bottom w:w="0" w:type="dxa"/>
            <w:right w:w="0" w:type="dxa"/>
          </w:tblCellMar>
        </w:tblPrEx>
        <w:trPr>
          <w:wBefore w:w="0" w:type="auto"/>
          <w:tblCellSpacing w:w="0" w:type="dxa"/>
        </w:trPr>
        <w:tc>
          <w:tcPr>
            <w:tcW w:w="0" w:type="auto"/>
            <w:noWrap w:val="0"/>
            <w:vAlign w:val="center"/>
          </w:tcPr>
          <w:p w14:paraId="533E9C09">
            <w:r>
              <w:rPr>
                <w:rStyle w:val="10"/>
                <w:rFonts w:hint="eastAsia"/>
              </w:rPr>
              <w:t>农药名称：</w:t>
            </w:r>
            <w:r>
              <w:rPr>
                <w:rFonts w:hint="eastAsia"/>
              </w:rPr>
              <w:t>精甲·噁霉灵</w:t>
            </w:r>
          </w:p>
        </w:tc>
      </w:tr>
      <w:tr w14:paraId="132BF015">
        <w:tblPrEx>
          <w:tblCellMar>
            <w:top w:w="0" w:type="dxa"/>
            <w:left w:w="0" w:type="dxa"/>
            <w:bottom w:w="0" w:type="dxa"/>
            <w:right w:w="0" w:type="dxa"/>
          </w:tblCellMar>
        </w:tblPrEx>
        <w:trPr>
          <w:wBefore w:w="0" w:type="auto"/>
          <w:tblCellSpacing w:w="0" w:type="dxa"/>
        </w:trPr>
        <w:tc>
          <w:tcPr>
            <w:tcW w:w="0" w:type="auto"/>
            <w:noWrap w:val="0"/>
            <w:vAlign w:val="center"/>
          </w:tcPr>
          <w:p w14:paraId="2535AF09">
            <w:r>
              <w:rPr>
                <w:rStyle w:val="10"/>
                <w:rFonts w:hint="eastAsia"/>
              </w:rPr>
              <w:t>剂型：</w:t>
            </w:r>
            <w:r>
              <w:rPr>
                <w:rFonts w:hint="eastAsia"/>
              </w:rPr>
              <w:t>颗粒剂</w:t>
            </w:r>
          </w:p>
        </w:tc>
      </w:tr>
      <w:tr w14:paraId="360F0050">
        <w:tblPrEx>
          <w:tblCellMar>
            <w:top w:w="0" w:type="dxa"/>
            <w:left w:w="0" w:type="dxa"/>
            <w:bottom w:w="0" w:type="dxa"/>
            <w:right w:w="0" w:type="dxa"/>
          </w:tblCellMar>
        </w:tblPrEx>
        <w:trPr>
          <w:wBefore w:w="0" w:type="auto"/>
          <w:tblCellSpacing w:w="0" w:type="dxa"/>
        </w:trPr>
        <w:tc>
          <w:tcPr>
            <w:tcW w:w="0" w:type="auto"/>
            <w:noWrap w:val="0"/>
            <w:vAlign w:val="center"/>
          </w:tcPr>
          <w:p w14:paraId="40C08DCF">
            <w:r>
              <w:rPr>
                <w:rStyle w:val="10"/>
                <w:rFonts w:hint="eastAsia"/>
              </w:rPr>
              <w:t>毒性及其标识：</w:t>
            </w:r>
            <w:r>
              <w:rPr>
                <w:rFonts w:hint="eastAsia"/>
              </w:rPr>
              <w:t xml:space="preserve"> </w:t>
            </w:r>
            <w:r>
              <w:rPr>
                <w:lang/>
              </w:rPr>
              <w:drawing>
                <wp:inline distT="0" distB="0" distL="114300" distR="114300">
                  <wp:extent cx="476250" cy="323850"/>
                  <wp:effectExtent l="0" t="0" r="0" b="0"/>
                  <wp:docPr id="584" name="图片 58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879CC80">
        <w:tblPrEx>
          <w:tblCellMar>
            <w:top w:w="0" w:type="dxa"/>
            <w:left w:w="0" w:type="dxa"/>
            <w:bottom w:w="0" w:type="dxa"/>
            <w:right w:w="0" w:type="dxa"/>
          </w:tblCellMar>
        </w:tblPrEx>
        <w:trPr>
          <w:wBefore w:w="0" w:type="auto"/>
          <w:tblCellSpacing w:w="0" w:type="dxa"/>
        </w:trPr>
        <w:tc>
          <w:tcPr>
            <w:tcW w:w="0" w:type="auto"/>
            <w:noWrap w:val="0"/>
            <w:vAlign w:val="center"/>
          </w:tcPr>
          <w:p w14:paraId="00DC5B5F">
            <w:r>
              <w:rPr>
                <w:rStyle w:val="10"/>
                <w:rFonts w:hint="eastAsia"/>
              </w:rPr>
              <w:t>总有效成分含量：</w:t>
            </w:r>
            <w:r>
              <w:rPr>
                <w:rFonts w:hint="eastAsia"/>
              </w:rPr>
              <w:t>0.6%</w:t>
            </w:r>
          </w:p>
        </w:tc>
      </w:tr>
      <w:tr w14:paraId="463E1D9E">
        <w:tblPrEx>
          <w:tblCellMar>
            <w:top w:w="0" w:type="dxa"/>
            <w:left w:w="0" w:type="dxa"/>
            <w:bottom w:w="0" w:type="dxa"/>
            <w:right w:w="0" w:type="dxa"/>
          </w:tblCellMar>
        </w:tblPrEx>
        <w:trPr>
          <w:wBefore w:w="0" w:type="auto"/>
          <w:tblCellSpacing w:w="0" w:type="dxa"/>
        </w:trPr>
        <w:tc>
          <w:tcPr>
            <w:tcW w:w="0" w:type="auto"/>
            <w:noWrap w:val="0"/>
            <w:vAlign w:val="center"/>
          </w:tcPr>
          <w:p w14:paraId="4EF68885">
            <w:r>
              <w:rPr>
                <w:rFonts w:hint="eastAsia"/>
              </w:rPr>
              <w:t xml:space="preserve">有效成分及其含量： </w:t>
            </w:r>
          </w:p>
          <w:p w14:paraId="7343F0E6">
            <w:r>
              <w:rPr>
                <w:rFonts w:hint="eastAsia"/>
              </w:rPr>
              <w:t xml:space="preserve">    精甲霜灵0.1%    噁霉灵0.5%    </w:t>
            </w:r>
          </w:p>
        </w:tc>
      </w:tr>
      <w:tr w14:paraId="2E54B7DD">
        <w:tblPrEx>
          <w:tblCellMar>
            <w:top w:w="0" w:type="dxa"/>
            <w:left w:w="0" w:type="dxa"/>
            <w:bottom w:w="0" w:type="dxa"/>
            <w:right w:w="0" w:type="dxa"/>
          </w:tblCellMar>
        </w:tblPrEx>
        <w:trPr>
          <w:wBefore w:w="0" w:type="auto"/>
          <w:tblCellSpacing w:w="0" w:type="dxa"/>
        </w:trPr>
        <w:tc>
          <w:tcPr>
            <w:tcW w:w="0" w:type="auto"/>
            <w:noWrap w:val="0"/>
            <w:vAlign w:val="center"/>
          </w:tcPr>
          <w:p w14:paraId="4CE46E5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8185C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3683B7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33C008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A3119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7F0A31F">
                  <w:r>
                    <w:rPr>
                      <w:rStyle w:val="11"/>
                      <w:rFonts w:hint="eastAsia"/>
                    </w:rPr>
                    <w:t>施用方式</w:t>
                  </w:r>
                </w:p>
              </w:tc>
            </w:tr>
            <w:tr w14:paraId="7D49F06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DCAD8AC">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A91408">
                  <w:r>
                    <w:rPr>
                      <w:rStyle w:val="11"/>
                      <w:rFonts w:hint="eastAsia"/>
                    </w:rPr>
                    <w:t>立枯病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BAECDC9">
                  <w:r>
                    <w:rPr>
                      <w:rStyle w:val="11"/>
                      <w:rFonts w:hint="eastAsia"/>
                    </w:rPr>
                    <w:t>4000-5000</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AC1274">
                  <w:r>
                    <w:rPr>
                      <w:rStyle w:val="11"/>
                      <w:rFonts w:hint="eastAsia"/>
                    </w:rPr>
                    <w:t>撒施</w:t>
                  </w:r>
                </w:p>
              </w:tc>
            </w:tr>
            <w:tr w14:paraId="16BDC2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78D273E">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0C49BB">
                  <w:r>
                    <w:rPr>
                      <w:rStyle w:val="11"/>
                      <w:rFonts w:hint="eastAsia"/>
                    </w:rPr>
                    <w:t>猝倒病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C13E3B">
                  <w:r>
                    <w:rPr>
                      <w:rStyle w:val="11"/>
                      <w:rFonts w:hint="eastAsia"/>
                    </w:rPr>
                    <w:t>4000-5000</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7D5E27">
                  <w:r>
                    <w:rPr>
                      <w:rStyle w:val="11"/>
                      <w:rFonts w:hint="eastAsia"/>
                    </w:rPr>
                    <w:t>撒施</w:t>
                  </w:r>
                </w:p>
              </w:tc>
            </w:tr>
          </w:tbl>
          <w:p w14:paraId="02837018">
            <w:pPr>
              <w:rPr>
                <w:rFonts w:ascii="Times New Roman" w:hAnsi="Times New Roman" w:cs="Times New Roman"/>
                <w:sz w:val="20"/>
                <w:szCs w:val="20"/>
              </w:rPr>
            </w:pPr>
          </w:p>
        </w:tc>
      </w:tr>
      <w:tr w14:paraId="31FDAE1A">
        <w:tblPrEx>
          <w:tblCellMar>
            <w:top w:w="0" w:type="dxa"/>
            <w:left w:w="0" w:type="dxa"/>
            <w:bottom w:w="0" w:type="dxa"/>
            <w:right w:w="0" w:type="dxa"/>
          </w:tblCellMar>
        </w:tblPrEx>
        <w:trPr>
          <w:wBefore w:w="0" w:type="auto"/>
          <w:tblCellSpacing w:w="0" w:type="dxa"/>
        </w:trPr>
        <w:tc>
          <w:tcPr>
            <w:tcW w:w="0" w:type="auto"/>
            <w:noWrap w:val="0"/>
            <w:vAlign w:val="center"/>
          </w:tcPr>
          <w:p w14:paraId="4A5988D9">
            <w:r>
              <w:rPr>
                <w:rStyle w:val="10"/>
                <w:rFonts w:hint="eastAsia"/>
              </w:rPr>
              <w:t>使用技术要求:</w:t>
            </w:r>
            <w:r>
              <w:rPr>
                <w:rFonts w:hint="eastAsia"/>
              </w:rPr>
              <w:br w:type="textWrapping"/>
            </w:r>
            <w:r>
              <w:rPr>
                <w:rStyle w:val="11"/>
                <w:rFonts w:hint="eastAsia"/>
              </w:rPr>
              <w:t>1、本品于辣椒播种后撒施1次 。2、本品在辣椒上每季最多使用1次。 3、大风天或预计1小时内有雨，请勿施药。</w:t>
            </w:r>
          </w:p>
        </w:tc>
      </w:tr>
      <w:tr w14:paraId="7A1B90BD">
        <w:tblPrEx>
          <w:tblCellMar>
            <w:top w:w="0" w:type="dxa"/>
            <w:left w:w="0" w:type="dxa"/>
            <w:bottom w:w="0" w:type="dxa"/>
            <w:right w:w="0" w:type="dxa"/>
          </w:tblCellMar>
        </w:tblPrEx>
        <w:trPr>
          <w:wBefore w:w="0" w:type="auto"/>
          <w:tblCellSpacing w:w="0" w:type="dxa"/>
        </w:trPr>
        <w:tc>
          <w:tcPr>
            <w:tcW w:w="0" w:type="auto"/>
            <w:noWrap w:val="0"/>
            <w:vAlign w:val="center"/>
          </w:tcPr>
          <w:p w14:paraId="775ABED8">
            <w:r>
              <w:rPr>
                <w:rStyle w:val="10"/>
                <w:rFonts w:hint="eastAsia"/>
              </w:rPr>
              <w:t>产品性能:</w:t>
            </w:r>
            <w:r>
              <w:rPr>
                <w:rFonts w:hint="eastAsia"/>
              </w:rPr>
              <w:br w:type="textWrapping"/>
            </w:r>
            <w:r>
              <w:rPr>
                <w:rStyle w:val="11"/>
                <w:rFonts w:hint="eastAsia"/>
              </w:rPr>
              <w:t>本品是一种精甲霜灵和噁霉灵两种杀菌剂混配而成的，精甲霜灵是普通的甲霜灵的R异构体，是一种高效内吸杀菌剂。噁霉灵是广谱性杀菌剂，二者杀菌作用机制不同，复配可增加药效，降低使用剂量，减少抗性风险。</w:t>
            </w:r>
          </w:p>
        </w:tc>
      </w:tr>
      <w:tr w14:paraId="44817D0D">
        <w:tblPrEx>
          <w:tblCellMar>
            <w:top w:w="0" w:type="dxa"/>
            <w:left w:w="0" w:type="dxa"/>
            <w:bottom w:w="0" w:type="dxa"/>
            <w:right w:w="0" w:type="dxa"/>
          </w:tblCellMar>
        </w:tblPrEx>
        <w:trPr>
          <w:wBefore w:w="0" w:type="auto"/>
          <w:tblCellSpacing w:w="0" w:type="dxa"/>
        </w:trPr>
        <w:tc>
          <w:tcPr>
            <w:tcW w:w="0" w:type="auto"/>
            <w:noWrap w:val="0"/>
            <w:vAlign w:val="center"/>
          </w:tcPr>
          <w:p w14:paraId="44FF68B2">
            <w:r>
              <w:rPr>
                <w:rStyle w:val="10"/>
                <w:rFonts w:hint="eastAsia"/>
              </w:rPr>
              <w:t>注意事项：</w:t>
            </w:r>
            <w:r>
              <w:rPr>
                <w:rFonts w:hint="eastAsia"/>
              </w:rPr>
              <w:br w:type="textWrapping"/>
            </w:r>
            <w:r>
              <w:rPr>
                <w:rStyle w:val="11"/>
                <w:rFonts w:hint="eastAsia"/>
              </w:rPr>
              <w:t>1、本品对眼睛有刺激作用，使用时应避免接触眼睛和皮肤。2、配药和施药时，应穿戴长衣长裤、帽子、口罩、手套，鞋子等安全防护措施，不能用手直接接触药液。施药期间不可吃东西和饮水。施药后应及时洗手和洗脸等暴露皮肤。3、施药前、后要彻底清洗喷药器械，开启封口应小心药液溅出。4、用过的容器不可做他用，也不可随意丢弃。5、本品对鱼和水生生物有毒，远离水产养殖区、河塘等水体附近施药，禁止在河塘等水域清洗施药器具。未用完的药液应密封后妥善放置，勿将药剂及废液弃于池塘、河流、湖泊中污染水源和水系。6、孕妇及哺乳期妇女禁止接触本品。7、与不同机制的杀菌剂交替使用，以延缓抗性产生。</w:t>
            </w:r>
          </w:p>
        </w:tc>
      </w:tr>
      <w:tr w14:paraId="7317BEE3">
        <w:tblPrEx>
          <w:tblCellMar>
            <w:top w:w="0" w:type="dxa"/>
            <w:left w:w="0" w:type="dxa"/>
            <w:bottom w:w="0" w:type="dxa"/>
            <w:right w:w="0" w:type="dxa"/>
          </w:tblCellMar>
        </w:tblPrEx>
        <w:trPr>
          <w:wBefore w:w="0" w:type="auto"/>
          <w:tblCellSpacing w:w="0" w:type="dxa"/>
        </w:trPr>
        <w:tc>
          <w:tcPr>
            <w:tcW w:w="0" w:type="auto"/>
            <w:noWrap w:val="0"/>
            <w:vAlign w:val="center"/>
          </w:tcPr>
          <w:p w14:paraId="1F0807E5">
            <w:r>
              <w:rPr>
                <w:rStyle w:val="10"/>
                <w:rFonts w:hint="eastAsia"/>
              </w:rPr>
              <w:t>中毒急救措施：</w:t>
            </w:r>
            <w:r>
              <w:rPr>
                <w:rFonts w:hint="eastAsia"/>
              </w:rPr>
              <w:br w:type="textWrapping"/>
            </w:r>
            <w:r>
              <w:rPr>
                <w:rStyle w:val="11"/>
                <w:rFonts w:hint="eastAsia"/>
              </w:rPr>
              <w:t xml:space="preserve">中毒症状：表现为头晕、头痛、恶心、呕吐。1.用药时如果感觉不适，立即停止工作，采取急救措施，并携此标签送医就诊；2.皮肤接触：立即脱掉被污染的衣物，用肥皂和大量清水彻底清洗受污染的皮肤。必要时请医生诊治；3.眼睛溅药：立即将眼睑翻开，用清水冲洗至少15分钟，再请医生诊治；4.发生吸入：立即将吸入者转移到空气新鲜处，注意保暖和休息，请医生诊治；5.误服：请勿引吐。立即携带标签，送医就诊。紧急医疗措施：使用医用活性炭洗胃，洗胃时注意防止胃容物进入呼吸道。 </w:t>
            </w:r>
          </w:p>
        </w:tc>
      </w:tr>
      <w:tr w14:paraId="07B4DDD4">
        <w:tblPrEx>
          <w:tblCellMar>
            <w:top w:w="0" w:type="dxa"/>
            <w:left w:w="0" w:type="dxa"/>
            <w:bottom w:w="0" w:type="dxa"/>
            <w:right w:w="0" w:type="dxa"/>
          </w:tblCellMar>
        </w:tblPrEx>
        <w:trPr>
          <w:wBefore w:w="0" w:type="auto"/>
          <w:tblCellSpacing w:w="0" w:type="dxa"/>
        </w:trPr>
        <w:tc>
          <w:tcPr>
            <w:tcW w:w="0" w:type="auto"/>
            <w:noWrap w:val="0"/>
            <w:vAlign w:val="center"/>
          </w:tcPr>
          <w:p w14:paraId="5DCA38FC">
            <w:r>
              <w:rPr>
                <w:rStyle w:val="10"/>
                <w:rFonts w:hint="eastAsia"/>
              </w:rPr>
              <w:t>储存和运输方法：</w:t>
            </w:r>
            <w:r>
              <w:rPr>
                <w:rFonts w:hint="eastAsia"/>
              </w:rPr>
              <w:br w:type="textWrapping"/>
            </w:r>
            <w:r>
              <w:rPr>
                <w:rStyle w:val="11"/>
                <w:rFonts w:hint="eastAsia"/>
              </w:rPr>
              <w:t>1、本品应贮存在干燥、阴凉、通风、防雨的仓库里，远离火源或热源。 2、放置在儿童接触不到的地方，并加锁。 3、勿与食品、饮料、粮食、饲料等其他商品同贮同运。</w:t>
            </w:r>
          </w:p>
        </w:tc>
      </w:tr>
      <w:tr w14:paraId="55787570">
        <w:tblPrEx>
          <w:tblCellMar>
            <w:top w:w="0" w:type="dxa"/>
            <w:left w:w="0" w:type="dxa"/>
            <w:bottom w:w="0" w:type="dxa"/>
            <w:right w:w="0" w:type="dxa"/>
          </w:tblCellMar>
        </w:tblPrEx>
        <w:trPr>
          <w:wBefore w:w="0" w:type="auto"/>
          <w:tblCellSpacing w:w="0" w:type="dxa"/>
        </w:trPr>
        <w:tc>
          <w:tcPr>
            <w:tcW w:w="0" w:type="auto"/>
            <w:noWrap w:val="0"/>
            <w:vAlign w:val="center"/>
          </w:tcPr>
          <w:p w14:paraId="6AEAADFC">
            <w:r>
              <w:rPr>
                <w:rStyle w:val="10"/>
                <w:rFonts w:hint="eastAsia"/>
              </w:rPr>
              <w:t>质量保证期：</w:t>
            </w:r>
            <w:r>
              <w:rPr>
                <w:rStyle w:val="11"/>
                <w:rFonts w:hint="eastAsia"/>
              </w:rPr>
              <w:t>2年</w:t>
            </w:r>
          </w:p>
        </w:tc>
      </w:tr>
      <w:tr w14:paraId="0A46B749">
        <w:tblPrEx>
          <w:tblCellMar>
            <w:top w:w="0" w:type="dxa"/>
            <w:left w:w="0" w:type="dxa"/>
            <w:bottom w:w="0" w:type="dxa"/>
            <w:right w:w="0" w:type="dxa"/>
          </w:tblCellMar>
        </w:tblPrEx>
        <w:trPr>
          <w:wBefore w:w="0" w:type="auto"/>
          <w:tblCellSpacing w:w="0" w:type="dxa"/>
        </w:trPr>
        <w:tc>
          <w:tcPr>
            <w:tcW w:w="0" w:type="auto"/>
            <w:noWrap w:val="0"/>
            <w:vAlign w:val="center"/>
          </w:tcPr>
          <w:p w14:paraId="5E56F064">
            <w:r>
              <w:rPr>
                <w:rStyle w:val="10"/>
                <w:rFonts w:hint="eastAsia"/>
              </w:rPr>
              <w:t>备注：</w:t>
            </w:r>
          </w:p>
        </w:tc>
      </w:tr>
    </w:tbl>
    <w:p w14:paraId="703A346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62AAA9E">
        <w:tblPrEx>
          <w:tblCellMar>
            <w:top w:w="0" w:type="dxa"/>
            <w:left w:w="0" w:type="dxa"/>
            <w:bottom w:w="0" w:type="dxa"/>
            <w:right w:w="0" w:type="dxa"/>
          </w:tblCellMar>
        </w:tblPrEx>
        <w:trPr>
          <w:wBefore w:w="0" w:type="auto"/>
          <w:tblCellSpacing w:w="0" w:type="dxa"/>
        </w:trPr>
        <w:tc>
          <w:tcPr>
            <w:tcW w:w="0" w:type="auto"/>
            <w:noWrap w:val="0"/>
            <w:vAlign w:val="center"/>
          </w:tcPr>
          <w:p w14:paraId="04740140">
            <w:r>
              <w:rPr>
                <w:rStyle w:val="10"/>
                <w:rFonts w:hint="eastAsia"/>
              </w:rPr>
              <w:t>登记证号：</w:t>
            </w:r>
            <w:r>
              <w:rPr>
                <w:rFonts w:hint="eastAsia"/>
              </w:rPr>
              <w:t>PD20211787</w:t>
            </w:r>
          </w:p>
        </w:tc>
      </w:tr>
      <w:tr w14:paraId="3CDAD2B6">
        <w:tblPrEx>
          <w:tblCellMar>
            <w:top w:w="0" w:type="dxa"/>
            <w:left w:w="0" w:type="dxa"/>
            <w:bottom w:w="0" w:type="dxa"/>
            <w:right w:w="0" w:type="dxa"/>
          </w:tblCellMar>
        </w:tblPrEx>
        <w:trPr>
          <w:wBefore w:w="0" w:type="auto"/>
          <w:tblCellSpacing w:w="0" w:type="dxa"/>
        </w:trPr>
        <w:tc>
          <w:tcPr>
            <w:tcW w:w="0" w:type="auto"/>
            <w:noWrap w:val="0"/>
            <w:vAlign w:val="center"/>
          </w:tcPr>
          <w:p w14:paraId="25A9D54B">
            <w:r>
              <w:rPr>
                <w:rStyle w:val="10"/>
                <w:rFonts w:hint="eastAsia"/>
              </w:rPr>
              <w:t>登记证持有人：</w:t>
            </w:r>
            <w:r>
              <w:rPr>
                <w:rFonts w:hint="eastAsia"/>
              </w:rPr>
              <w:t>陕西美邦药业集团股份有限公司</w:t>
            </w:r>
          </w:p>
        </w:tc>
      </w:tr>
      <w:tr w14:paraId="4F2C4C41">
        <w:tblPrEx>
          <w:tblCellMar>
            <w:top w:w="0" w:type="dxa"/>
            <w:left w:w="0" w:type="dxa"/>
            <w:bottom w:w="0" w:type="dxa"/>
            <w:right w:w="0" w:type="dxa"/>
          </w:tblCellMar>
        </w:tblPrEx>
        <w:trPr>
          <w:wBefore w:w="0" w:type="auto"/>
          <w:tblCellSpacing w:w="0" w:type="dxa"/>
        </w:trPr>
        <w:tc>
          <w:tcPr>
            <w:tcW w:w="0" w:type="auto"/>
            <w:noWrap w:val="0"/>
            <w:vAlign w:val="center"/>
          </w:tcPr>
          <w:p w14:paraId="3E836874">
            <w:r>
              <w:rPr>
                <w:rStyle w:val="10"/>
                <w:rFonts w:hint="eastAsia"/>
              </w:rPr>
              <w:t>农药名称：</w:t>
            </w:r>
            <w:r>
              <w:rPr>
                <w:rFonts w:hint="eastAsia"/>
              </w:rPr>
              <w:t>虫腈·哒螨灵</w:t>
            </w:r>
          </w:p>
        </w:tc>
      </w:tr>
      <w:tr w14:paraId="0EFFA9A5">
        <w:tblPrEx>
          <w:tblCellMar>
            <w:top w:w="0" w:type="dxa"/>
            <w:left w:w="0" w:type="dxa"/>
            <w:bottom w:w="0" w:type="dxa"/>
            <w:right w:w="0" w:type="dxa"/>
          </w:tblCellMar>
        </w:tblPrEx>
        <w:trPr>
          <w:wBefore w:w="0" w:type="auto"/>
          <w:tblCellSpacing w:w="0" w:type="dxa"/>
        </w:trPr>
        <w:tc>
          <w:tcPr>
            <w:tcW w:w="0" w:type="auto"/>
            <w:noWrap w:val="0"/>
            <w:vAlign w:val="center"/>
          </w:tcPr>
          <w:p w14:paraId="79733DA6">
            <w:r>
              <w:rPr>
                <w:rStyle w:val="10"/>
                <w:rFonts w:hint="eastAsia"/>
              </w:rPr>
              <w:t>剂型：</w:t>
            </w:r>
            <w:r>
              <w:rPr>
                <w:rFonts w:hint="eastAsia"/>
              </w:rPr>
              <w:t>悬浮剂</w:t>
            </w:r>
          </w:p>
        </w:tc>
      </w:tr>
      <w:tr w14:paraId="7D7450A3">
        <w:tblPrEx>
          <w:tblCellMar>
            <w:top w:w="0" w:type="dxa"/>
            <w:left w:w="0" w:type="dxa"/>
            <w:bottom w:w="0" w:type="dxa"/>
            <w:right w:w="0" w:type="dxa"/>
          </w:tblCellMar>
        </w:tblPrEx>
        <w:trPr>
          <w:wBefore w:w="0" w:type="auto"/>
          <w:tblCellSpacing w:w="0" w:type="dxa"/>
        </w:trPr>
        <w:tc>
          <w:tcPr>
            <w:tcW w:w="0" w:type="auto"/>
            <w:noWrap w:val="0"/>
            <w:vAlign w:val="center"/>
          </w:tcPr>
          <w:p w14:paraId="3D60A7DD">
            <w:r>
              <w:rPr>
                <w:rStyle w:val="10"/>
                <w:rFonts w:hint="eastAsia"/>
              </w:rPr>
              <w:t>毒性及其标识：</w:t>
            </w:r>
            <w:r>
              <w:rPr>
                <w:rFonts w:hint="eastAsia"/>
              </w:rPr>
              <w:t xml:space="preserve"> </w:t>
            </w:r>
            <w:r>
              <w:rPr>
                <w:lang/>
              </w:rPr>
              <w:drawing>
                <wp:inline distT="0" distB="0" distL="114300" distR="114300">
                  <wp:extent cx="476250" cy="323850"/>
                  <wp:effectExtent l="0" t="0" r="0" b="0"/>
                  <wp:docPr id="585" name="图片 58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58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C1D2F0B">
        <w:tblPrEx>
          <w:tblCellMar>
            <w:top w:w="0" w:type="dxa"/>
            <w:left w:w="0" w:type="dxa"/>
            <w:bottom w:w="0" w:type="dxa"/>
            <w:right w:w="0" w:type="dxa"/>
          </w:tblCellMar>
        </w:tblPrEx>
        <w:trPr>
          <w:wBefore w:w="0" w:type="auto"/>
          <w:tblCellSpacing w:w="0" w:type="dxa"/>
        </w:trPr>
        <w:tc>
          <w:tcPr>
            <w:tcW w:w="0" w:type="auto"/>
            <w:noWrap w:val="0"/>
            <w:vAlign w:val="center"/>
          </w:tcPr>
          <w:p w14:paraId="2C07B49D">
            <w:r>
              <w:rPr>
                <w:rStyle w:val="10"/>
                <w:rFonts w:hint="eastAsia"/>
              </w:rPr>
              <w:t>总有效成分含量：</w:t>
            </w:r>
            <w:r>
              <w:rPr>
                <w:rFonts w:hint="eastAsia"/>
              </w:rPr>
              <w:t>40%</w:t>
            </w:r>
          </w:p>
        </w:tc>
      </w:tr>
      <w:tr w14:paraId="6FC8D47C">
        <w:tblPrEx>
          <w:tblCellMar>
            <w:top w:w="0" w:type="dxa"/>
            <w:left w:w="0" w:type="dxa"/>
            <w:bottom w:w="0" w:type="dxa"/>
            <w:right w:w="0" w:type="dxa"/>
          </w:tblCellMar>
        </w:tblPrEx>
        <w:trPr>
          <w:wBefore w:w="0" w:type="auto"/>
          <w:tblCellSpacing w:w="0" w:type="dxa"/>
        </w:trPr>
        <w:tc>
          <w:tcPr>
            <w:tcW w:w="0" w:type="auto"/>
            <w:noWrap w:val="0"/>
            <w:vAlign w:val="center"/>
          </w:tcPr>
          <w:p w14:paraId="756F1961">
            <w:r>
              <w:rPr>
                <w:rFonts w:hint="eastAsia"/>
              </w:rPr>
              <w:t xml:space="preserve">有效成分及其含量： </w:t>
            </w:r>
          </w:p>
          <w:p w14:paraId="0FC5E976">
            <w:r>
              <w:rPr>
                <w:rFonts w:hint="eastAsia"/>
              </w:rPr>
              <w:t xml:space="preserve">    虫螨腈15%    哒螨灵25%    </w:t>
            </w:r>
          </w:p>
        </w:tc>
      </w:tr>
      <w:tr w14:paraId="6F2320F1">
        <w:tblPrEx>
          <w:tblCellMar>
            <w:top w:w="0" w:type="dxa"/>
            <w:left w:w="0" w:type="dxa"/>
            <w:bottom w:w="0" w:type="dxa"/>
            <w:right w:w="0" w:type="dxa"/>
          </w:tblCellMar>
        </w:tblPrEx>
        <w:trPr>
          <w:wBefore w:w="0" w:type="auto"/>
          <w:tblCellSpacing w:w="0" w:type="dxa"/>
        </w:trPr>
        <w:tc>
          <w:tcPr>
            <w:tcW w:w="0" w:type="auto"/>
            <w:noWrap w:val="0"/>
            <w:vAlign w:val="center"/>
          </w:tcPr>
          <w:p w14:paraId="7782509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2CA22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924256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7F1CBD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644F58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C92D439">
                  <w:r>
                    <w:rPr>
                      <w:rStyle w:val="11"/>
                      <w:rFonts w:hint="eastAsia"/>
                    </w:rPr>
                    <w:t>施用方式</w:t>
                  </w:r>
                </w:p>
              </w:tc>
            </w:tr>
            <w:tr w14:paraId="3CC73C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EF2990F">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851788">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C352AC">
                  <w:r>
                    <w:rPr>
                      <w:rStyle w:val="11"/>
                      <w:rFonts w:hint="eastAsia"/>
                    </w:rPr>
                    <w:t>24-30毫升/亩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8E75C52">
                  <w:r>
                    <w:rPr>
                      <w:rStyle w:val="11"/>
                      <w:rFonts w:hint="eastAsia"/>
                    </w:rPr>
                    <w:t>喷雾</w:t>
                  </w:r>
                </w:p>
              </w:tc>
            </w:tr>
          </w:tbl>
          <w:p w14:paraId="7EF64200">
            <w:pPr>
              <w:rPr>
                <w:rFonts w:ascii="Times New Roman" w:hAnsi="Times New Roman" w:cs="Times New Roman"/>
                <w:sz w:val="20"/>
                <w:szCs w:val="20"/>
              </w:rPr>
            </w:pPr>
          </w:p>
        </w:tc>
      </w:tr>
      <w:tr w14:paraId="058E4670">
        <w:tblPrEx>
          <w:tblCellMar>
            <w:top w:w="0" w:type="dxa"/>
            <w:left w:w="0" w:type="dxa"/>
            <w:bottom w:w="0" w:type="dxa"/>
            <w:right w:w="0" w:type="dxa"/>
          </w:tblCellMar>
        </w:tblPrEx>
        <w:trPr>
          <w:wBefore w:w="0" w:type="auto"/>
          <w:tblCellSpacing w:w="0" w:type="dxa"/>
        </w:trPr>
        <w:tc>
          <w:tcPr>
            <w:tcW w:w="0" w:type="auto"/>
            <w:noWrap w:val="0"/>
            <w:vAlign w:val="center"/>
          </w:tcPr>
          <w:p w14:paraId="19237399">
            <w:r>
              <w:rPr>
                <w:rStyle w:val="10"/>
                <w:rFonts w:hint="eastAsia"/>
              </w:rPr>
              <w:t>使用技术要求:</w:t>
            </w:r>
            <w:r>
              <w:rPr>
                <w:rFonts w:hint="eastAsia"/>
              </w:rPr>
              <w:br w:type="textWrapping"/>
            </w:r>
            <w:r>
              <w:rPr>
                <w:rStyle w:val="11"/>
                <w:rFonts w:hint="eastAsia"/>
              </w:rPr>
              <w:t>1.本品适宜施药时期为甘蓝黄条跳甲成虫发生始盛期，施药一次，注意喷雾均匀、周到，以确保药效。2. 大风天或预计1小时内降雨，请勿施药。3.本品在甘蓝上使用的安全间隔期为7天，每季作物最多使用1次。</w:t>
            </w:r>
          </w:p>
        </w:tc>
      </w:tr>
      <w:tr w14:paraId="03A5805A">
        <w:tblPrEx>
          <w:tblCellMar>
            <w:top w:w="0" w:type="dxa"/>
            <w:left w:w="0" w:type="dxa"/>
            <w:bottom w:w="0" w:type="dxa"/>
            <w:right w:w="0" w:type="dxa"/>
          </w:tblCellMar>
        </w:tblPrEx>
        <w:trPr>
          <w:wBefore w:w="0" w:type="auto"/>
          <w:tblCellSpacing w:w="0" w:type="dxa"/>
        </w:trPr>
        <w:tc>
          <w:tcPr>
            <w:tcW w:w="0" w:type="auto"/>
            <w:noWrap w:val="0"/>
            <w:vAlign w:val="center"/>
          </w:tcPr>
          <w:p w14:paraId="67A42B53">
            <w:r>
              <w:rPr>
                <w:rStyle w:val="10"/>
                <w:rFonts w:hint="eastAsia"/>
              </w:rPr>
              <w:t>产品性能:</w:t>
            </w:r>
            <w:r>
              <w:rPr>
                <w:rFonts w:hint="eastAsia"/>
              </w:rPr>
              <w:br w:type="textWrapping"/>
            </w:r>
            <w:r>
              <w:rPr>
                <w:rStyle w:val="11"/>
                <w:rFonts w:hint="eastAsia"/>
              </w:rPr>
              <w:t>本品是由虫螨腈与哒螨灵复配而成的杀虫剂。虫螨腈通过胃毒及触杀作用于害虫，有一定的内吸作用；哒螨灵有较强的触杀作用，速杀性较好，持效期较长。两者混配，用于甘蓝黄条跳甲有较好的防治效果。</w:t>
            </w:r>
          </w:p>
        </w:tc>
      </w:tr>
      <w:tr w14:paraId="343C1C3D">
        <w:tblPrEx>
          <w:tblCellMar>
            <w:top w:w="0" w:type="dxa"/>
            <w:left w:w="0" w:type="dxa"/>
            <w:bottom w:w="0" w:type="dxa"/>
            <w:right w:w="0" w:type="dxa"/>
          </w:tblCellMar>
        </w:tblPrEx>
        <w:trPr>
          <w:wBefore w:w="0" w:type="auto"/>
          <w:tblCellSpacing w:w="0" w:type="dxa"/>
        </w:trPr>
        <w:tc>
          <w:tcPr>
            <w:tcW w:w="0" w:type="auto"/>
            <w:noWrap w:val="0"/>
            <w:vAlign w:val="center"/>
          </w:tcPr>
          <w:p w14:paraId="24199988">
            <w:r>
              <w:rPr>
                <w:rStyle w:val="10"/>
                <w:rFonts w:hint="eastAsia"/>
              </w:rPr>
              <w:t>注意事项：</w:t>
            </w:r>
            <w:r>
              <w:rPr>
                <w:rFonts w:hint="eastAsia"/>
              </w:rPr>
              <w:br w:type="textWrapping"/>
            </w:r>
            <w:r>
              <w:rPr>
                <w:rStyle w:val="11"/>
                <w:rFonts w:hint="eastAsia"/>
              </w:rPr>
              <w:t>1、严格按规定用药量和方法使用。 2、建议与其他作用机制不同的杀虫剂轮换使用，以延缓抗性产生。 3、本品对蜜蜂、鸟、鱼、家蚕、大型溞、藻有毒，施药期间应避免对周围蜂群的影响，（周围）开花植物花期、鸟类保护区附近、蚕室及桑园附近禁用；水产养殖区、河塘等水体附近禁用，禁止在河塘等水体中清洗施药器具；赤眼蜂等天敌放飞区域禁用。 4、对眼睛有中度刺激性，使用时穿戴长衣长裤、帽子、口罩、手套、鞋等安全防护措施。施药期间不可吃东西、饮水、吸烟等；施药后应及时洗手、洗脸并洗涤施药时穿着的衣物。？ 5、用药后包装物及用过的容器应妥善处理，不可做他用，也不可随意丢弃。 6、孕妇及哺乳期妇女禁止接触本品。</w:t>
            </w:r>
          </w:p>
        </w:tc>
      </w:tr>
      <w:tr w14:paraId="2D4C32E3">
        <w:tblPrEx>
          <w:tblCellMar>
            <w:top w:w="0" w:type="dxa"/>
            <w:left w:w="0" w:type="dxa"/>
            <w:bottom w:w="0" w:type="dxa"/>
            <w:right w:w="0" w:type="dxa"/>
          </w:tblCellMar>
        </w:tblPrEx>
        <w:trPr>
          <w:wBefore w:w="0" w:type="auto"/>
          <w:tblCellSpacing w:w="0" w:type="dxa"/>
        </w:trPr>
        <w:tc>
          <w:tcPr>
            <w:tcW w:w="0" w:type="auto"/>
            <w:noWrap w:val="0"/>
            <w:vAlign w:val="center"/>
          </w:tcPr>
          <w:p w14:paraId="57963780">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2A3F3EE2">
        <w:tblPrEx>
          <w:tblCellMar>
            <w:top w:w="0" w:type="dxa"/>
            <w:left w:w="0" w:type="dxa"/>
            <w:bottom w:w="0" w:type="dxa"/>
            <w:right w:w="0" w:type="dxa"/>
          </w:tblCellMar>
        </w:tblPrEx>
        <w:trPr>
          <w:wBefore w:w="0" w:type="auto"/>
          <w:tblCellSpacing w:w="0" w:type="dxa"/>
        </w:trPr>
        <w:tc>
          <w:tcPr>
            <w:tcW w:w="0" w:type="auto"/>
            <w:noWrap w:val="0"/>
            <w:vAlign w:val="center"/>
          </w:tcPr>
          <w:p w14:paraId="3B9C4875">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本品应贮存在干燥、阴凉、通风、防雨处，远离火源或热源。置于儿童、无关人员及动物触及不到之处，并加锁保存。勿与食品、饮料、粮食、饲料、种子等其他商品同贮同运。</w:t>
            </w:r>
          </w:p>
        </w:tc>
      </w:tr>
      <w:tr w14:paraId="423C5434">
        <w:tblPrEx>
          <w:tblCellMar>
            <w:top w:w="0" w:type="dxa"/>
            <w:left w:w="0" w:type="dxa"/>
            <w:bottom w:w="0" w:type="dxa"/>
            <w:right w:w="0" w:type="dxa"/>
          </w:tblCellMar>
        </w:tblPrEx>
        <w:trPr>
          <w:wBefore w:w="0" w:type="auto"/>
          <w:tblCellSpacing w:w="0" w:type="dxa"/>
        </w:trPr>
        <w:tc>
          <w:tcPr>
            <w:tcW w:w="0" w:type="auto"/>
            <w:noWrap w:val="0"/>
            <w:vAlign w:val="center"/>
          </w:tcPr>
          <w:p w14:paraId="4577C461">
            <w:r>
              <w:rPr>
                <w:rStyle w:val="10"/>
                <w:rFonts w:hint="eastAsia"/>
              </w:rPr>
              <w:t>质量保证期：</w:t>
            </w:r>
            <w:r>
              <w:rPr>
                <w:rStyle w:val="11"/>
                <w:rFonts w:hint="eastAsia"/>
              </w:rPr>
              <w:t>2年</w:t>
            </w:r>
          </w:p>
        </w:tc>
      </w:tr>
      <w:tr w14:paraId="0C171E76">
        <w:tblPrEx>
          <w:tblCellMar>
            <w:top w:w="0" w:type="dxa"/>
            <w:left w:w="0" w:type="dxa"/>
            <w:bottom w:w="0" w:type="dxa"/>
            <w:right w:w="0" w:type="dxa"/>
          </w:tblCellMar>
        </w:tblPrEx>
        <w:trPr>
          <w:wBefore w:w="0" w:type="auto"/>
          <w:tblCellSpacing w:w="0" w:type="dxa"/>
        </w:trPr>
        <w:tc>
          <w:tcPr>
            <w:tcW w:w="0" w:type="auto"/>
            <w:noWrap w:val="0"/>
            <w:vAlign w:val="center"/>
          </w:tcPr>
          <w:p w14:paraId="6A056BEC">
            <w:r>
              <w:rPr>
                <w:rStyle w:val="10"/>
                <w:rFonts w:hint="eastAsia"/>
              </w:rPr>
              <w:t>备注：</w:t>
            </w:r>
          </w:p>
        </w:tc>
      </w:tr>
    </w:tbl>
    <w:p w14:paraId="1A253CE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318EC0">
        <w:tblPrEx>
          <w:tblCellMar>
            <w:top w:w="0" w:type="dxa"/>
            <w:left w:w="0" w:type="dxa"/>
            <w:bottom w:w="0" w:type="dxa"/>
            <w:right w:w="0" w:type="dxa"/>
          </w:tblCellMar>
        </w:tblPrEx>
        <w:trPr>
          <w:wBefore w:w="0" w:type="auto"/>
          <w:tblCellSpacing w:w="0" w:type="dxa"/>
        </w:trPr>
        <w:tc>
          <w:tcPr>
            <w:tcW w:w="0" w:type="auto"/>
            <w:noWrap w:val="0"/>
            <w:vAlign w:val="center"/>
          </w:tcPr>
          <w:p w14:paraId="38CBD159">
            <w:r>
              <w:rPr>
                <w:rStyle w:val="10"/>
                <w:rFonts w:hint="eastAsia"/>
              </w:rPr>
              <w:t>登记证号：</w:t>
            </w:r>
            <w:r>
              <w:rPr>
                <w:rFonts w:hint="eastAsia"/>
              </w:rPr>
              <w:t>PD20212082</w:t>
            </w:r>
          </w:p>
        </w:tc>
      </w:tr>
      <w:tr w14:paraId="3E0A1958">
        <w:tblPrEx>
          <w:tblCellMar>
            <w:top w:w="0" w:type="dxa"/>
            <w:left w:w="0" w:type="dxa"/>
            <w:bottom w:w="0" w:type="dxa"/>
            <w:right w:w="0" w:type="dxa"/>
          </w:tblCellMar>
        </w:tblPrEx>
        <w:trPr>
          <w:wBefore w:w="0" w:type="auto"/>
          <w:tblCellSpacing w:w="0" w:type="dxa"/>
        </w:trPr>
        <w:tc>
          <w:tcPr>
            <w:tcW w:w="0" w:type="auto"/>
            <w:noWrap w:val="0"/>
            <w:vAlign w:val="center"/>
          </w:tcPr>
          <w:p w14:paraId="2FE41348">
            <w:r>
              <w:rPr>
                <w:rStyle w:val="10"/>
                <w:rFonts w:hint="eastAsia"/>
              </w:rPr>
              <w:t>登记证持有人：</w:t>
            </w:r>
            <w:r>
              <w:rPr>
                <w:rFonts w:hint="eastAsia"/>
              </w:rPr>
              <w:t>黑龙江谱农丰生物科技开发有限公司</w:t>
            </w:r>
          </w:p>
        </w:tc>
      </w:tr>
      <w:tr w14:paraId="411F23E8">
        <w:tblPrEx>
          <w:tblCellMar>
            <w:top w:w="0" w:type="dxa"/>
            <w:left w:w="0" w:type="dxa"/>
            <w:bottom w:w="0" w:type="dxa"/>
            <w:right w:w="0" w:type="dxa"/>
          </w:tblCellMar>
        </w:tblPrEx>
        <w:trPr>
          <w:wBefore w:w="0" w:type="auto"/>
          <w:tblCellSpacing w:w="0" w:type="dxa"/>
        </w:trPr>
        <w:tc>
          <w:tcPr>
            <w:tcW w:w="0" w:type="auto"/>
            <w:noWrap w:val="0"/>
            <w:vAlign w:val="center"/>
          </w:tcPr>
          <w:p w14:paraId="4F43E090">
            <w:r>
              <w:rPr>
                <w:rStyle w:val="10"/>
                <w:rFonts w:hint="eastAsia"/>
              </w:rPr>
              <w:t>农药名称：</w:t>
            </w:r>
            <w:r>
              <w:rPr>
                <w:rFonts w:hint="eastAsia"/>
              </w:rPr>
              <w:t>苯噻酰·五氟磺</w:t>
            </w:r>
          </w:p>
        </w:tc>
      </w:tr>
      <w:tr w14:paraId="4CA53AA4">
        <w:tblPrEx>
          <w:tblCellMar>
            <w:top w:w="0" w:type="dxa"/>
            <w:left w:w="0" w:type="dxa"/>
            <w:bottom w:w="0" w:type="dxa"/>
            <w:right w:w="0" w:type="dxa"/>
          </w:tblCellMar>
        </w:tblPrEx>
        <w:trPr>
          <w:wBefore w:w="0" w:type="auto"/>
          <w:tblCellSpacing w:w="0" w:type="dxa"/>
        </w:trPr>
        <w:tc>
          <w:tcPr>
            <w:tcW w:w="0" w:type="auto"/>
            <w:noWrap w:val="0"/>
            <w:vAlign w:val="center"/>
          </w:tcPr>
          <w:p w14:paraId="141E5E24">
            <w:r>
              <w:rPr>
                <w:rStyle w:val="10"/>
                <w:rFonts w:hint="eastAsia"/>
              </w:rPr>
              <w:t>剂型：</w:t>
            </w:r>
            <w:r>
              <w:rPr>
                <w:rFonts w:hint="eastAsia"/>
              </w:rPr>
              <w:t>水分散粒剂</w:t>
            </w:r>
          </w:p>
        </w:tc>
      </w:tr>
      <w:tr w14:paraId="23722F41">
        <w:tblPrEx>
          <w:tblCellMar>
            <w:top w:w="0" w:type="dxa"/>
            <w:left w:w="0" w:type="dxa"/>
            <w:bottom w:w="0" w:type="dxa"/>
            <w:right w:w="0" w:type="dxa"/>
          </w:tblCellMar>
        </w:tblPrEx>
        <w:trPr>
          <w:wBefore w:w="0" w:type="auto"/>
          <w:tblCellSpacing w:w="0" w:type="dxa"/>
        </w:trPr>
        <w:tc>
          <w:tcPr>
            <w:tcW w:w="0" w:type="auto"/>
            <w:noWrap w:val="0"/>
            <w:vAlign w:val="center"/>
          </w:tcPr>
          <w:p w14:paraId="50B5A6B7">
            <w:r>
              <w:rPr>
                <w:rStyle w:val="10"/>
                <w:rFonts w:hint="eastAsia"/>
              </w:rPr>
              <w:t>毒性及其标识：</w:t>
            </w:r>
            <w:r>
              <w:rPr>
                <w:rFonts w:hint="eastAsia"/>
              </w:rPr>
              <w:t xml:space="preserve"> </w:t>
            </w:r>
            <w:r>
              <w:rPr>
                <w:lang/>
              </w:rPr>
              <w:drawing>
                <wp:inline distT="0" distB="0" distL="114300" distR="114300">
                  <wp:extent cx="476250" cy="323850"/>
                  <wp:effectExtent l="0" t="0" r="0" b="0"/>
                  <wp:docPr id="586" name="图片 58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58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54B51A7">
        <w:tblPrEx>
          <w:tblCellMar>
            <w:top w:w="0" w:type="dxa"/>
            <w:left w:w="0" w:type="dxa"/>
            <w:bottom w:w="0" w:type="dxa"/>
            <w:right w:w="0" w:type="dxa"/>
          </w:tblCellMar>
        </w:tblPrEx>
        <w:trPr>
          <w:wBefore w:w="0" w:type="auto"/>
          <w:tblCellSpacing w:w="0" w:type="dxa"/>
        </w:trPr>
        <w:tc>
          <w:tcPr>
            <w:tcW w:w="0" w:type="auto"/>
            <w:noWrap w:val="0"/>
            <w:vAlign w:val="center"/>
          </w:tcPr>
          <w:p w14:paraId="4FB4FD6F">
            <w:r>
              <w:rPr>
                <w:rStyle w:val="10"/>
                <w:rFonts w:hint="eastAsia"/>
              </w:rPr>
              <w:t>总有效成分含量：</w:t>
            </w:r>
            <w:r>
              <w:rPr>
                <w:rFonts w:hint="eastAsia"/>
              </w:rPr>
              <w:t>70%</w:t>
            </w:r>
          </w:p>
        </w:tc>
      </w:tr>
      <w:tr w14:paraId="7019C9DD">
        <w:tblPrEx>
          <w:tblCellMar>
            <w:top w:w="0" w:type="dxa"/>
            <w:left w:w="0" w:type="dxa"/>
            <w:bottom w:w="0" w:type="dxa"/>
            <w:right w:w="0" w:type="dxa"/>
          </w:tblCellMar>
        </w:tblPrEx>
        <w:trPr>
          <w:wBefore w:w="0" w:type="auto"/>
          <w:tblCellSpacing w:w="0" w:type="dxa"/>
        </w:trPr>
        <w:tc>
          <w:tcPr>
            <w:tcW w:w="0" w:type="auto"/>
            <w:noWrap w:val="0"/>
            <w:vAlign w:val="center"/>
          </w:tcPr>
          <w:p w14:paraId="2AE0ED88">
            <w:r>
              <w:rPr>
                <w:rFonts w:hint="eastAsia"/>
              </w:rPr>
              <w:t xml:space="preserve">有效成分及其含量： </w:t>
            </w:r>
          </w:p>
          <w:p w14:paraId="7A24D244">
            <w:r>
              <w:rPr>
                <w:rFonts w:hint="eastAsia"/>
              </w:rPr>
              <w:t xml:space="preserve">    苯噻酰草胺66%    五氟磺草胺4%    </w:t>
            </w:r>
          </w:p>
        </w:tc>
      </w:tr>
      <w:tr w14:paraId="02556563">
        <w:tblPrEx>
          <w:tblCellMar>
            <w:top w:w="0" w:type="dxa"/>
            <w:left w:w="0" w:type="dxa"/>
            <w:bottom w:w="0" w:type="dxa"/>
            <w:right w:w="0" w:type="dxa"/>
          </w:tblCellMar>
        </w:tblPrEx>
        <w:trPr>
          <w:wBefore w:w="0" w:type="auto"/>
          <w:tblCellSpacing w:w="0" w:type="dxa"/>
        </w:trPr>
        <w:tc>
          <w:tcPr>
            <w:tcW w:w="0" w:type="auto"/>
            <w:noWrap w:val="0"/>
            <w:vAlign w:val="center"/>
          </w:tcPr>
          <w:p w14:paraId="6C685B9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D46F0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FDE25A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99AA32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CC3D44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615B313">
                  <w:r>
                    <w:rPr>
                      <w:rStyle w:val="11"/>
                      <w:rFonts w:hint="eastAsia"/>
                    </w:rPr>
                    <w:t>施用方式</w:t>
                  </w:r>
                </w:p>
              </w:tc>
            </w:tr>
            <w:tr w14:paraId="0642180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8B89A78">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3CB231F">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675C7F">
                  <w:r>
                    <w:rPr>
                      <w:rStyle w:val="11"/>
                      <w:rFonts w:hint="eastAsia"/>
                    </w:rPr>
                    <w:t>30-50克/亩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F603C48">
                  <w:r>
                    <w:rPr>
                      <w:rStyle w:val="11"/>
                      <w:rFonts w:hint="eastAsia"/>
                    </w:rPr>
                    <w:t>药土法</w:t>
                  </w:r>
                </w:p>
              </w:tc>
            </w:tr>
          </w:tbl>
          <w:p w14:paraId="3D2845B8">
            <w:pPr>
              <w:rPr>
                <w:rFonts w:ascii="Times New Roman" w:hAnsi="Times New Roman" w:cs="Times New Roman"/>
                <w:sz w:val="20"/>
                <w:szCs w:val="20"/>
              </w:rPr>
            </w:pPr>
          </w:p>
        </w:tc>
      </w:tr>
      <w:tr w14:paraId="75FEC5D6">
        <w:tblPrEx>
          <w:tblCellMar>
            <w:top w:w="0" w:type="dxa"/>
            <w:left w:w="0" w:type="dxa"/>
            <w:bottom w:w="0" w:type="dxa"/>
            <w:right w:w="0" w:type="dxa"/>
          </w:tblCellMar>
        </w:tblPrEx>
        <w:trPr>
          <w:wBefore w:w="0" w:type="auto"/>
          <w:tblCellSpacing w:w="0" w:type="dxa"/>
        </w:trPr>
        <w:tc>
          <w:tcPr>
            <w:tcW w:w="0" w:type="auto"/>
            <w:noWrap w:val="0"/>
            <w:vAlign w:val="center"/>
          </w:tcPr>
          <w:p w14:paraId="01BB104D">
            <w:r>
              <w:rPr>
                <w:rStyle w:val="10"/>
                <w:rFonts w:hint="eastAsia"/>
              </w:rPr>
              <w:t>使用技术要求:</w:t>
            </w:r>
            <w:r>
              <w:rPr>
                <w:rFonts w:hint="eastAsia"/>
              </w:rPr>
              <w:br w:type="textWrapping"/>
            </w:r>
            <w:r>
              <w:rPr>
                <w:rStyle w:val="11"/>
                <w:rFonts w:hint="eastAsia"/>
              </w:rPr>
              <w:t>1.在水稻移栽缓苗后药土撒施一次 2.水稻移栽后 5~10 天，秧苗扎根缓苗后，拌细土或拌肥撒施，用药时田间保持 3~5 厘米水层，保持 5~7 天，水层不应淹没稻苗心叶。3. 一年生杂草 2 叶期之前施药为宜。4.具体施药剂量应视田间杂草种类、基数、叶龄、株高、施药期间气象条件、水层管理条件等因素，在推荐剂量范围内酌情增减。5.注意水层勿淹没水稻心叶避免药害。</w:t>
            </w:r>
          </w:p>
        </w:tc>
      </w:tr>
      <w:tr w14:paraId="6A2F9B0D">
        <w:tblPrEx>
          <w:tblCellMar>
            <w:top w:w="0" w:type="dxa"/>
            <w:left w:w="0" w:type="dxa"/>
            <w:bottom w:w="0" w:type="dxa"/>
            <w:right w:w="0" w:type="dxa"/>
          </w:tblCellMar>
        </w:tblPrEx>
        <w:trPr>
          <w:wBefore w:w="0" w:type="auto"/>
          <w:tblCellSpacing w:w="0" w:type="dxa"/>
        </w:trPr>
        <w:tc>
          <w:tcPr>
            <w:tcW w:w="0" w:type="auto"/>
            <w:noWrap w:val="0"/>
            <w:vAlign w:val="center"/>
          </w:tcPr>
          <w:p w14:paraId="3EFEFBC2">
            <w:r>
              <w:rPr>
                <w:rStyle w:val="10"/>
                <w:rFonts w:hint="eastAsia"/>
              </w:rPr>
              <w:t>产品性能:</w:t>
            </w:r>
            <w:r>
              <w:rPr>
                <w:rFonts w:hint="eastAsia"/>
              </w:rPr>
              <w:br w:type="textWrapping"/>
            </w:r>
            <w:r>
              <w:rPr>
                <w:rStyle w:val="11"/>
                <w:rFonts w:hint="eastAsia"/>
              </w:rPr>
              <w:t>本品由苯噻酰草胺、五氟磺草胺混配而成。苯噻酰草胺是选择性内吸传导型酰苯胺类除草剂，阻止杂草生长点细胞分裂伸长，从而阻碍杂草的生长直至死亡。五氟磺草胺是三唑并嘧啶磺酰胺除草剂，通过抑制乙酰乳酸合成酶而起作用。二者混配后，可用于防除水稻移栽田一年生杂草。</w:t>
            </w:r>
          </w:p>
        </w:tc>
      </w:tr>
      <w:tr w14:paraId="1063E9DD">
        <w:tblPrEx>
          <w:tblCellMar>
            <w:top w:w="0" w:type="dxa"/>
            <w:left w:w="0" w:type="dxa"/>
            <w:bottom w:w="0" w:type="dxa"/>
            <w:right w:w="0" w:type="dxa"/>
          </w:tblCellMar>
        </w:tblPrEx>
        <w:trPr>
          <w:wBefore w:w="0" w:type="auto"/>
          <w:tblCellSpacing w:w="0" w:type="dxa"/>
        </w:trPr>
        <w:tc>
          <w:tcPr>
            <w:tcW w:w="0" w:type="auto"/>
            <w:noWrap w:val="0"/>
            <w:vAlign w:val="center"/>
          </w:tcPr>
          <w:p w14:paraId="1573E346">
            <w:r>
              <w:rPr>
                <w:rStyle w:val="10"/>
                <w:rFonts w:hint="eastAsia"/>
              </w:rPr>
              <w:t>注意事项：</w:t>
            </w:r>
            <w:r>
              <w:rPr>
                <w:rFonts w:hint="eastAsia"/>
              </w:rPr>
              <w:br w:type="textWrapping"/>
            </w:r>
            <w:r>
              <w:rPr>
                <w:rStyle w:val="11"/>
                <w:rFonts w:hint="eastAsia"/>
              </w:rPr>
              <w:t>1.本品对藻类等水生生物有毒，远离水产养殖区施药，禁止在河塘等水体中清洗施药器具。2.本品对鸟类、家蚕等有毒，禁止在鸟类保护区、蚕室和桑园附近使用。3.清洗施药器具的水也不能排入河塘等水体。鱼或虾蟹套养的稻田禁用，施药后的田水不得直接排入水体。4.使用本品应采取相应的安全防护措施，穿戴长衣、长裤、帽子、口罩、手套等安全防护措施，避免皮肤接触及口鼻吸入。5.使用中不可吸烟、饮水及吃东西，使用后及时用大量清水和肥皂清洗手、脸等暴露部位皮肤并更换衣物。6.用过的容器应妥善处理，不可做他用，也不可随意丢弃。7.禁止儿童、孕妇及哺乳期的妇女接触。8.过敏者禁用，使用中有任何不良反应请及时就医。</w:t>
            </w:r>
          </w:p>
        </w:tc>
      </w:tr>
      <w:tr w14:paraId="6EA88D04">
        <w:tblPrEx>
          <w:tblCellMar>
            <w:top w:w="0" w:type="dxa"/>
            <w:left w:w="0" w:type="dxa"/>
            <w:bottom w:w="0" w:type="dxa"/>
            <w:right w:w="0" w:type="dxa"/>
          </w:tblCellMar>
        </w:tblPrEx>
        <w:trPr>
          <w:wBefore w:w="0" w:type="auto"/>
          <w:tblCellSpacing w:w="0" w:type="dxa"/>
        </w:trPr>
        <w:tc>
          <w:tcPr>
            <w:tcW w:w="0" w:type="auto"/>
            <w:noWrap w:val="0"/>
            <w:vAlign w:val="center"/>
          </w:tcPr>
          <w:p w14:paraId="2A2BB669">
            <w:r>
              <w:rPr>
                <w:rStyle w:val="10"/>
                <w:rFonts w:hint="eastAsia"/>
              </w:rPr>
              <w:t>中毒急救措施：</w:t>
            </w:r>
            <w:r>
              <w:rPr>
                <w:rFonts w:hint="eastAsia"/>
              </w:rPr>
              <w:br w:type="textWrapping"/>
            </w:r>
            <w:r>
              <w:rPr>
                <w:rStyle w:val="11"/>
                <w:rFonts w:hint="eastAsia"/>
              </w:rPr>
              <w:t>对眼睛有刺激性，使用时避免接触眼睛。 急救措施：使用中或使用后如果感觉不适，应立即停止工作，采取急救措施，并携带标签送医院就诊。皮肤接触：脱去污染的衣物，用软布去除污染农药，立即用大量清水和肥皂冲洗。 眼睛溅入：立即用流动清水冲洗不少于15分钟。 吸入：立即离开施药现场，转移到空气清新处。误食：立即停止服用，用清水充分漱口后，立即携带农药标签到医院就诊。本品无专用解毒剂，对症治疗。</w:t>
            </w:r>
          </w:p>
        </w:tc>
      </w:tr>
      <w:tr w14:paraId="2BB5383F">
        <w:tblPrEx>
          <w:tblCellMar>
            <w:top w:w="0" w:type="dxa"/>
            <w:left w:w="0" w:type="dxa"/>
            <w:bottom w:w="0" w:type="dxa"/>
            <w:right w:w="0" w:type="dxa"/>
          </w:tblCellMar>
        </w:tblPrEx>
        <w:trPr>
          <w:wBefore w:w="0" w:type="auto"/>
          <w:tblCellSpacing w:w="0" w:type="dxa"/>
        </w:trPr>
        <w:tc>
          <w:tcPr>
            <w:tcW w:w="0" w:type="auto"/>
            <w:noWrap w:val="0"/>
            <w:vAlign w:val="center"/>
          </w:tcPr>
          <w:p w14:paraId="69646D13">
            <w:r>
              <w:rPr>
                <w:rStyle w:val="10"/>
                <w:rFonts w:hint="eastAsia"/>
              </w:rPr>
              <w:t>储存和运输方法：</w:t>
            </w:r>
            <w:r>
              <w:rPr>
                <w:rFonts w:hint="eastAsia"/>
              </w:rPr>
              <w:br w:type="textWrapping"/>
            </w:r>
            <w:r>
              <w:rPr>
                <w:rStyle w:val="11"/>
                <w:rFonts w:hint="eastAsia"/>
              </w:rPr>
              <w:t>本品应储存在干燥、阴凉、通风、防雨处，远离火源或热源。置于儿童触及不到的地方，并加锁。装卸、运输过程中，需专门车辆运输，轻拿轻放，确保包装不泄露、不损坏。不能与食品、饮料、粮食、饲料等混合储存。</w:t>
            </w:r>
          </w:p>
        </w:tc>
      </w:tr>
      <w:tr w14:paraId="6710BAC2">
        <w:tblPrEx>
          <w:tblCellMar>
            <w:top w:w="0" w:type="dxa"/>
            <w:left w:w="0" w:type="dxa"/>
            <w:bottom w:w="0" w:type="dxa"/>
            <w:right w:w="0" w:type="dxa"/>
          </w:tblCellMar>
        </w:tblPrEx>
        <w:trPr>
          <w:wBefore w:w="0" w:type="auto"/>
          <w:tblCellSpacing w:w="0" w:type="dxa"/>
        </w:trPr>
        <w:tc>
          <w:tcPr>
            <w:tcW w:w="0" w:type="auto"/>
            <w:noWrap w:val="0"/>
            <w:vAlign w:val="center"/>
          </w:tcPr>
          <w:p w14:paraId="367E14CD">
            <w:r>
              <w:rPr>
                <w:rStyle w:val="10"/>
                <w:rFonts w:hint="eastAsia"/>
              </w:rPr>
              <w:t>质量保证期：</w:t>
            </w:r>
            <w:r>
              <w:rPr>
                <w:rStyle w:val="11"/>
                <w:rFonts w:hint="eastAsia"/>
              </w:rPr>
              <w:t>2年</w:t>
            </w:r>
          </w:p>
        </w:tc>
      </w:tr>
      <w:tr w14:paraId="428DED6A">
        <w:tblPrEx>
          <w:tblCellMar>
            <w:top w:w="0" w:type="dxa"/>
            <w:left w:w="0" w:type="dxa"/>
            <w:bottom w:w="0" w:type="dxa"/>
            <w:right w:w="0" w:type="dxa"/>
          </w:tblCellMar>
        </w:tblPrEx>
        <w:trPr>
          <w:wBefore w:w="0" w:type="auto"/>
          <w:tblCellSpacing w:w="0" w:type="dxa"/>
        </w:trPr>
        <w:tc>
          <w:tcPr>
            <w:tcW w:w="0" w:type="auto"/>
            <w:noWrap w:val="0"/>
            <w:vAlign w:val="center"/>
          </w:tcPr>
          <w:p w14:paraId="0D22638F">
            <w:r>
              <w:rPr>
                <w:rStyle w:val="10"/>
                <w:rFonts w:hint="eastAsia"/>
              </w:rPr>
              <w:t>备注：</w:t>
            </w:r>
          </w:p>
        </w:tc>
      </w:tr>
    </w:tbl>
    <w:p w14:paraId="75E629D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4C8EEF1">
        <w:tblPrEx>
          <w:tblCellMar>
            <w:top w:w="0" w:type="dxa"/>
            <w:left w:w="0" w:type="dxa"/>
            <w:bottom w:w="0" w:type="dxa"/>
            <w:right w:w="0" w:type="dxa"/>
          </w:tblCellMar>
        </w:tblPrEx>
        <w:trPr>
          <w:wBefore w:w="0" w:type="auto"/>
          <w:tblCellSpacing w:w="0" w:type="dxa"/>
        </w:trPr>
        <w:tc>
          <w:tcPr>
            <w:tcW w:w="0" w:type="auto"/>
            <w:noWrap w:val="0"/>
            <w:vAlign w:val="center"/>
          </w:tcPr>
          <w:p w14:paraId="46E6E647">
            <w:r>
              <w:rPr>
                <w:rStyle w:val="10"/>
                <w:rFonts w:hint="eastAsia"/>
              </w:rPr>
              <w:t>登记证号：</w:t>
            </w:r>
            <w:r>
              <w:rPr>
                <w:rFonts w:hint="eastAsia"/>
              </w:rPr>
              <w:t>PD20211777</w:t>
            </w:r>
          </w:p>
        </w:tc>
      </w:tr>
      <w:tr w14:paraId="43DC4E46">
        <w:tblPrEx>
          <w:tblCellMar>
            <w:top w:w="0" w:type="dxa"/>
            <w:left w:w="0" w:type="dxa"/>
            <w:bottom w:w="0" w:type="dxa"/>
            <w:right w:w="0" w:type="dxa"/>
          </w:tblCellMar>
        </w:tblPrEx>
        <w:trPr>
          <w:wBefore w:w="0" w:type="auto"/>
          <w:tblCellSpacing w:w="0" w:type="dxa"/>
        </w:trPr>
        <w:tc>
          <w:tcPr>
            <w:tcW w:w="0" w:type="auto"/>
            <w:noWrap w:val="0"/>
            <w:vAlign w:val="center"/>
          </w:tcPr>
          <w:p w14:paraId="1A769FDA">
            <w:r>
              <w:rPr>
                <w:rStyle w:val="10"/>
                <w:rFonts w:hint="eastAsia"/>
              </w:rPr>
              <w:t>登记证持有人：</w:t>
            </w:r>
            <w:r>
              <w:rPr>
                <w:rFonts w:hint="eastAsia"/>
              </w:rPr>
              <w:t>陕西亿田丰作物科技有限公司</w:t>
            </w:r>
          </w:p>
        </w:tc>
      </w:tr>
      <w:tr w14:paraId="6D094931">
        <w:tblPrEx>
          <w:tblCellMar>
            <w:top w:w="0" w:type="dxa"/>
            <w:left w:w="0" w:type="dxa"/>
            <w:bottom w:w="0" w:type="dxa"/>
            <w:right w:w="0" w:type="dxa"/>
          </w:tblCellMar>
        </w:tblPrEx>
        <w:trPr>
          <w:wBefore w:w="0" w:type="auto"/>
          <w:tblCellSpacing w:w="0" w:type="dxa"/>
        </w:trPr>
        <w:tc>
          <w:tcPr>
            <w:tcW w:w="0" w:type="auto"/>
            <w:noWrap w:val="0"/>
            <w:vAlign w:val="center"/>
          </w:tcPr>
          <w:p w14:paraId="0B76409B">
            <w:r>
              <w:rPr>
                <w:rStyle w:val="10"/>
                <w:rFonts w:hint="eastAsia"/>
              </w:rPr>
              <w:t>农药名称：</w:t>
            </w:r>
            <w:r>
              <w:rPr>
                <w:rFonts w:hint="eastAsia"/>
              </w:rPr>
              <w:t>吡虫·虫螨腈</w:t>
            </w:r>
          </w:p>
        </w:tc>
      </w:tr>
      <w:tr w14:paraId="5295624E">
        <w:tblPrEx>
          <w:tblCellMar>
            <w:top w:w="0" w:type="dxa"/>
            <w:left w:w="0" w:type="dxa"/>
            <w:bottom w:w="0" w:type="dxa"/>
            <w:right w:w="0" w:type="dxa"/>
          </w:tblCellMar>
        </w:tblPrEx>
        <w:trPr>
          <w:wBefore w:w="0" w:type="auto"/>
          <w:tblCellSpacing w:w="0" w:type="dxa"/>
        </w:trPr>
        <w:tc>
          <w:tcPr>
            <w:tcW w:w="0" w:type="auto"/>
            <w:noWrap w:val="0"/>
            <w:vAlign w:val="center"/>
          </w:tcPr>
          <w:p w14:paraId="0B044723">
            <w:r>
              <w:rPr>
                <w:rStyle w:val="10"/>
                <w:rFonts w:hint="eastAsia"/>
              </w:rPr>
              <w:t>剂型：</w:t>
            </w:r>
            <w:r>
              <w:rPr>
                <w:rFonts w:hint="eastAsia"/>
              </w:rPr>
              <w:t>悬浮剂</w:t>
            </w:r>
          </w:p>
        </w:tc>
      </w:tr>
      <w:tr w14:paraId="19259CE3">
        <w:tblPrEx>
          <w:tblCellMar>
            <w:top w:w="0" w:type="dxa"/>
            <w:left w:w="0" w:type="dxa"/>
            <w:bottom w:w="0" w:type="dxa"/>
            <w:right w:w="0" w:type="dxa"/>
          </w:tblCellMar>
        </w:tblPrEx>
        <w:trPr>
          <w:wBefore w:w="0" w:type="auto"/>
          <w:tblCellSpacing w:w="0" w:type="dxa"/>
        </w:trPr>
        <w:tc>
          <w:tcPr>
            <w:tcW w:w="0" w:type="auto"/>
            <w:noWrap w:val="0"/>
            <w:vAlign w:val="center"/>
          </w:tcPr>
          <w:p w14:paraId="2869EADC">
            <w:r>
              <w:rPr>
                <w:rStyle w:val="10"/>
                <w:rFonts w:hint="eastAsia"/>
              </w:rPr>
              <w:t>毒性及其标识：</w:t>
            </w:r>
            <w:r>
              <w:rPr>
                <w:rFonts w:hint="eastAsia"/>
              </w:rPr>
              <w:t xml:space="preserve"> </w:t>
            </w:r>
            <w:r>
              <w:rPr>
                <w:lang/>
              </w:rPr>
              <w:drawing>
                <wp:inline distT="0" distB="0" distL="114300" distR="114300">
                  <wp:extent cx="476250" cy="323850"/>
                  <wp:effectExtent l="0" t="0" r="0" b="0"/>
                  <wp:docPr id="587" name="图片 58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58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293A66A">
        <w:tblPrEx>
          <w:tblCellMar>
            <w:top w:w="0" w:type="dxa"/>
            <w:left w:w="0" w:type="dxa"/>
            <w:bottom w:w="0" w:type="dxa"/>
            <w:right w:w="0" w:type="dxa"/>
          </w:tblCellMar>
        </w:tblPrEx>
        <w:trPr>
          <w:wBefore w:w="0" w:type="auto"/>
          <w:tblCellSpacing w:w="0" w:type="dxa"/>
        </w:trPr>
        <w:tc>
          <w:tcPr>
            <w:tcW w:w="0" w:type="auto"/>
            <w:noWrap w:val="0"/>
            <w:vAlign w:val="center"/>
          </w:tcPr>
          <w:p w14:paraId="52DD943D">
            <w:r>
              <w:rPr>
                <w:rStyle w:val="10"/>
                <w:rFonts w:hint="eastAsia"/>
              </w:rPr>
              <w:t>总有效成分含量：</w:t>
            </w:r>
            <w:r>
              <w:rPr>
                <w:rFonts w:hint="eastAsia"/>
              </w:rPr>
              <w:t>320克/升</w:t>
            </w:r>
          </w:p>
        </w:tc>
      </w:tr>
      <w:tr w14:paraId="23883148">
        <w:tblPrEx>
          <w:tblCellMar>
            <w:top w:w="0" w:type="dxa"/>
            <w:left w:w="0" w:type="dxa"/>
            <w:bottom w:w="0" w:type="dxa"/>
            <w:right w:w="0" w:type="dxa"/>
          </w:tblCellMar>
        </w:tblPrEx>
        <w:trPr>
          <w:wBefore w:w="0" w:type="auto"/>
          <w:tblCellSpacing w:w="0" w:type="dxa"/>
        </w:trPr>
        <w:tc>
          <w:tcPr>
            <w:tcW w:w="0" w:type="auto"/>
            <w:noWrap w:val="0"/>
            <w:vAlign w:val="center"/>
          </w:tcPr>
          <w:p w14:paraId="21FD1A39">
            <w:r>
              <w:rPr>
                <w:rFonts w:hint="eastAsia"/>
              </w:rPr>
              <w:t xml:space="preserve">有效成分及其含量： </w:t>
            </w:r>
          </w:p>
          <w:p w14:paraId="2674343B">
            <w:r>
              <w:rPr>
                <w:rFonts w:hint="eastAsia"/>
              </w:rPr>
              <w:t xml:space="preserve">    吡虫啉160克/升    虫螨腈160克/升    </w:t>
            </w:r>
          </w:p>
        </w:tc>
      </w:tr>
      <w:tr w14:paraId="4FAFA2E1">
        <w:tblPrEx>
          <w:tblCellMar>
            <w:top w:w="0" w:type="dxa"/>
            <w:left w:w="0" w:type="dxa"/>
            <w:bottom w:w="0" w:type="dxa"/>
            <w:right w:w="0" w:type="dxa"/>
          </w:tblCellMar>
        </w:tblPrEx>
        <w:trPr>
          <w:wBefore w:w="0" w:type="auto"/>
          <w:tblCellSpacing w:w="0" w:type="dxa"/>
        </w:trPr>
        <w:tc>
          <w:tcPr>
            <w:tcW w:w="0" w:type="auto"/>
            <w:noWrap w:val="0"/>
            <w:vAlign w:val="center"/>
          </w:tcPr>
          <w:p w14:paraId="0B78FE6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24EA7A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C3140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4FF050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154675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940ABB2">
                  <w:r>
                    <w:rPr>
                      <w:rStyle w:val="11"/>
                      <w:rFonts w:hint="eastAsia"/>
                    </w:rPr>
                    <w:t>施用方式</w:t>
                  </w:r>
                </w:p>
              </w:tc>
            </w:tr>
            <w:tr w14:paraId="06DCA4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3A8803F">
                  <w:r>
                    <w:rPr>
                      <w:rStyle w:val="11"/>
                      <w:rFonts w:hint="eastAsia"/>
                    </w:rPr>
                    <w:t>节瓜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6921D1">
                  <w:r>
                    <w:rPr>
                      <w:rStyle w:val="11"/>
                      <w:rFonts w:hint="eastAsia"/>
                    </w:rPr>
                    <w:t>蓟马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8100EF">
                  <w:r>
                    <w:rPr>
                      <w:rStyle w:val="11"/>
                      <w:rFonts w:hint="eastAsia"/>
                    </w:rPr>
                    <w:t>15-20毫升/亩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62552E">
                  <w:r>
                    <w:rPr>
                      <w:rStyle w:val="11"/>
                      <w:rFonts w:hint="eastAsia"/>
                    </w:rPr>
                    <w:t>喷雾</w:t>
                  </w:r>
                </w:p>
              </w:tc>
            </w:tr>
          </w:tbl>
          <w:p w14:paraId="0ECB4850">
            <w:pPr>
              <w:rPr>
                <w:rFonts w:ascii="Times New Roman" w:hAnsi="Times New Roman" w:cs="Times New Roman"/>
                <w:sz w:val="20"/>
                <w:szCs w:val="20"/>
              </w:rPr>
            </w:pPr>
          </w:p>
        </w:tc>
      </w:tr>
      <w:tr w14:paraId="6DA83BFE">
        <w:tblPrEx>
          <w:tblCellMar>
            <w:top w:w="0" w:type="dxa"/>
            <w:left w:w="0" w:type="dxa"/>
            <w:bottom w:w="0" w:type="dxa"/>
            <w:right w:w="0" w:type="dxa"/>
          </w:tblCellMar>
        </w:tblPrEx>
        <w:trPr>
          <w:wBefore w:w="0" w:type="auto"/>
          <w:tblCellSpacing w:w="0" w:type="dxa"/>
        </w:trPr>
        <w:tc>
          <w:tcPr>
            <w:tcW w:w="0" w:type="auto"/>
            <w:noWrap w:val="0"/>
            <w:vAlign w:val="center"/>
          </w:tcPr>
          <w:p w14:paraId="3DE7DE41">
            <w:r>
              <w:rPr>
                <w:rStyle w:val="10"/>
                <w:rFonts w:hint="eastAsia"/>
              </w:rPr>
              <w:t>使用技术要求:</w:t>
            </w:r>
            <w:r>
              <w:rPr>
                <w:rFonts w:hint="eastAsia"/>
              </w:rPr>
              <w:br w:type="textWrapping"/>
            </w:r>
            <w:r>
              <w:rPr>
                <w:rStyle w:val="11"/>
                <w:rFonts w:hint="eastAsia"/>
              </w:rPr>
              <w:t>1.本品适宜施药时期为节瓜蓟马始发期施药，施药一次，注意喷雾均匀、周到，以确保药效。2.大风天或预计1小时内降雨，请勿施药。3.本品在节瓜使用时的安全间隔期为5天，每季作物最多使用1次。</w:t>
            </w:r>
          </w:p>
        </w:tc>
      </w:tr>
      <w:tr w14:paraId="46B441A4">
        <w:tblPrEx>
          <w:tblCellMar>
            <w:top w:w="0" w:type="dxa"/>
            <w:left w:w="0" w:type="dxa"/>
            <w:bottom w:w="0" w:type="dxa"/>
            <w:right w:w="0" w:type="dxa"/>
          </w:tblCellMar>
        </w:tblPrEx>
        <w:trPr>
          <w:wBefore w:w="0" w:type="auto"/>
          <w:tblCellSpacing w:w="0" w:type="dxa"/>
        </w:trPr>
        <w:tc>
          <w:tcPr>
            <w:tcW w:w="0" w:type="auto"/>
            <w:noWrap w:val="0"/>
            <w:vAlign w:val="center"/>
          </w:tcPr>
          <w:p w14:paraId="6FA6541E">
            <w:r>
              <w:rPr>
                <w:rStyle w:val="10"/>
                <w:rFonts w:hint="eastAsia"/>
              </w:rPr>
              <w:t>产品性能:</w:t>
            </w:r>
            <w:r>
              <w:rPr>
                <w:rFonts w:hint="eastAsia"/>
              </w:rPr>
              <w:br w:type="textWrapping"/>
            </w:r>
            <w:r>
              <w:rPr>
                <w:rStyle w:val="11"/>
                <w:rFonts w:hint="eastAsia"/>
              </w:rPr>
              <w:t>本品是由吡虫啉与虫螨腈复配而成的杀虫剂。吡虫啉为烟碱类杀虫剂，具有触杀、胃毒和内吸多重药效；虫螨腈通过胃毒及触杀作用于害虫，有一定的内吸作用。两者混配，优势互补，用于节瓜蓟马有较好的防治效果。</w:t>
            </w:r>
          </w:p>
        </w:tc>
      </w:tr>
      <w:tr w14:paraId="6ADFE869">
        <w:tblPrEx>
          <w:tblCellMar>
            <w:top w:w="0" w:type="dxa"/>
            <w:left w:w="0" w:type="dxa"/>
            <w:bottom w:w="0" w:type="dxa"/>
            <w:right w:w="0" w:type="dxa"/>
          </w:tblCellMar>
        </w:tblPrEx>
        <w:trPr>
          <w:wBefore w:w="0" w:type="auto"/>
          <w:tblCellSpacing w:w="0" w:type="dxa"/>
        </w:trPr>
        <w:tc>
          <w:tcPr>
            <w:tcW w:w="0" w:type="auto"/>
            <w:noWrap w:val="0"/>
            <w:vAlign w:val="center"/>
          </w:tcPr>
          <w:p w14:paraId="057EAC84">
            <w:r>
              <w:rPr>
                <w:rStyle w:val="10"/>
                <w:rFonts w:hint="eastAsia"/>
              </w:rPr>
              <w:t>注意事项：</w:t>
            </w:r>
            <w:r>
              <w:rPr>
                <w:rFonts w:hint="eastAsia"/>
              </w:rPr>
              <w:br w:type="textWrapping"/>
            </w:r>
            <w:r>
              <w:rPr>
                <w:rStyle w:val="11"/>
                <w:rFonts w:hint="eastAsia"/>
              </w:rPr>
              <w:t>（1）严格按规定用药量和方法使用。 （2）建议与其他作用机制不同的杀虫剂轮换使用，以延缓抗性产生。 （3）本品对蜜蜂、鸟、鱼、家蚕、溞有毒，施药期间应避免对周围蜂群的影响，（周围）开花植物花期、鸟类保护区附近、蚕室及桑园附近禁用；水产养殖区、河塘等水体附近禁用，禁止在河塘等水体中清洗施药器具；赤眼蜂等天敌放飞区域禁用。 （4）使用本品时应穿防护服和戴手套，避免吸入药液。施药期间不可吃东西和饮水。施药后应及时洗手和洗脸。 （5）用药后包装物及用过的容器应妥善处理，不可做他用，也不可随意丢弃。 （6）孕妇及哺乳期妇女禁止接触本品。</w:t>
            </w:r>
          </w:p>
        </w:tc>
      </w:tr>
      <w:tr w14:paraId="31B13E01">
        <w:tblPrEx>
          <w:tblCellMar>
            <w:top w:w="0" w:type="dxa"/>
            <w:left w:w="0" w:type="dxa"/>
            <w:bottom w:w="0" w:type="dxa"/>
            <w:right w:w="0" w:type="dxa"/>
          </w:tblCellMar>
        </w:tblPrEx>
        <w:trPr>
          <w:wBefore w:w="0" w:type="auto"/>
          <w:tblCellSpacing w:w="0" w:type="dxa"/>
        </w:trPr>
        <w:tc>
          <w:tcPr>
            <w:tcW w:w="0" w:type="auto"/>
            <w:noWrap w:val="0"/>
            <w:vAlign w:val="center"/>
          </w:tcPr>
          <w:p w14:paraId="4014F3D4">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025ECD48">
        <w:tblPrEx>
          <w:tblCellMar>
            <w:top w:w="0" w:type="dxa"/>
            <w:left w:w="0" w:type="dxa"/>
            <w:bottom w:w="0" w:type="dxa"/>
            <w:right w:w="0" w:type="dxa"/>
          </w:tblCellMar>
        </w:tblPrEx>
        <w:trPr>
          <w:wBefore w:w="0" w:type="auto"/>
          <w:tblCellSpacing w:w="0" w:type="dxa"/>
        </w:trPr>
        <w:tc>
          <w:tcPr>
            <w:tcW w:w="0" w:type="auto"/>
            <w:noWrap w:val="0"/>
            <w:vAlign w:val="center"/>
          </w:tcPr>
          <w:p w14:paraId="198C28E7">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11319837">
        <w:tblPrEx>
          <w:tblCellMar>
            <w:top w:w="0" w:type="dxa"/>
            <w:left w:w="0" w:type="dxa"/>
            <w:bottom w:w="0" w:type="dxa"/>
            <w:right w:w="0" w:type="dxa"/>
          </w:tblCellMar>
        </w:tblPrEx>
        <w:trPr>
          <w:wBefore w:w="0" w:type="auto"/>
          <w:tblCellSpacing w:w="0" w:type="dxa"/>
        </w:trPr>
        <w:tc>
          <w:tcPr>
            <w:tcW w:w="0" w:type="auto"/>
            <w:noWrap w:val="0"/>
            <w:vAlign w:val="center"/>
          </w:tcPr>
          <w:p w14:paraId="34C9EB92">
            <w:r>
              <w:rPr>
                <w:rStyle w:val="10"/>
                <w:rFonts w:hint="eastAsia"/>
              </w:rPr>
              <w:t>质量保证期：</w:t>
            </w:r>
            <w:r>
              <w:rPr>
                <w:rStyle w:val="11"/>
                <w:rFonts w:hint="eastAsia"/>
              </w:rPr>
              <w:t>2年</w:t>
            </w:r>
          </w:p>
        </w:tc>
      </w:tr>
      <w:tr w14:paraId="57A6ED39">
        <w:tblPrEx>
          <w:tblCellMar>
            <w:top w:w="0" w:type="dxa"/>
            <w:left w:w="0" w:type="dxa"/>
            <w:bottom w:w="0" w:type="dxa"/>
            <w:right w:w="0" w:type="dxa"/>
          </w:tblCellMar>
        </w:tblPrEx>
        <w:trPr>
          <w:wBefore w:w="0" w:type="auto"/>
          <w:tblCellSpacing w:w="0" w:type="dxa"/>
        </w:trPr>
        <w:tc>
          <w:tcPr>
            <w:tcW w:w="0" w:type="auto"/>
            <w:noWrap w:val="0"/>
            <w:vAlign w:val="center"/>
          </w:tcPr>
          <w:p w14:paraId="6A953CC5">
            <w:r>
              <w:rPr>
                <w:rStyle w:val="10"/>
                <w:rFonts w:hint="eastAsia"/>
              </w:rPr>
              <w:t>备注：</w:t>
            </w:r>
          </w:p>
        </w:tc>
      </w:tr>
    </w:tbl>
    <w:p w14:paraId="3580D23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0C999BC">
        <w:tblPrEx>
          <w:tblCellMar>
            <w:top w:w="0" w:type="dxa"/>
            <w:left w:w="0" w:type="dxa"/>
            <w:bottom w:w="0" w:type="dxa"/>
            <w:right w:w="0" w:type="dxa"/>
          </w:tblCellMar>
        </w:tblPrEx>
        <w:trPr>
          <w:wBefore w:w="0" w:type="auto"/>
          <w:tblCellSpacing w:w="0" w:type="dxa"/>
        </w:trPr>
        <w:tc>
          <w:tcPr>
            <w:tcW w:w="0" w:type="auto"/>
            <w:noWrap w:val="0"/>
            <w:vAlign w:val="center"/>
          </w:tcPr>
          <w:p w14:paraId="405F9575">
            <w:r>
              <w:rPr>
                <w:rStyle w:val="10"/>
                <w:rFonts w:hint="eastAsia"/>
              </w:rPr>
              <w:t>登记证号：</w:t>
            </w:r>
            <w:r>
              <w:rPr>
                <w:rFonts w:hint="eastAsia"/>
              </w:rPr>
              <w:t>PD20212056</w:t>
            </w:r>
          </w:p>
        </w:tc>
      </w:tr>
      <w:tr w14:paraId="7AEFDAB8">
        <w:tblPrEx>
          <w:tblCellMar>
            <w:top w:w="0" w:type="dxa"/>
            <w:left w:w="0" w:type="dxa"/>
            <w:bottom w:w="0" w:type="dxa"/>
            <w:right w:w="0" w:type="dxa"/>
          </w:tblCellMar>
        </w:tblPrEx>
        <w:trPr>
          <w:wBefore w:w="0" w:type="auto"/>
          <w:tblCellSpacing w:w="0" w:type="dxa"/>
        </w:trPr>
        <w:tc>
          <w:tcPr>
            <w:tcW w:w="0" w:type="auto"/>
            <w:noWrap w:val="0"/>
            <w:vAlign w:val="center"/>
          </w:tcPr>
          <w:p w14:paraId="4959DE2F">
            <w:r>
              <w:rPr>
                <w:rStyle w:val="10"/>
                <w:rFonts w:hint="eastAsia"/>
              </w:rPr>
              <w:t>登记证持有人：</w:t>
            </w:r>
            <w:r>
              <w:rPr>
                <w:rFonts w:hint="eastAsia"/>
              </w:rPr>
              <w:t>张掖市大弓农化有限公司</w:t>
            </w:r>
          </w:p>
        </w:tc>
      </w:tr>
      <w:tr w14:paraId="71BF3FB9">
        <w:tblPrEx>
          <w:tblCellMar>
            <w:top w:w="0" w:type="dxa"/>
            <w:left w:w="0" w:type="dxa"/>
            <w:bottom w:w="0" w:type="dxa"/>
            <w:right w:w="0" w:type="dxa"/>
          </w:tblCellMar>
        </w:tblPrEx>
        <w:trPr>
          <w:wBefore w:w="0" w:type="auto"/>
          <w:tblCellSpacing w:w="0" w:type="dxa"/>
        </w:trPr>
        <w:tc>
          <w:tcPr>
            <w:tcW w:w="0" w:type="auto"/>
            <w:noWrap w:val="0"/>
            <w:vAlign w:val="center"/>
          </w:tcPr>
          <w:p w14:paraId="7E9DE101">
            <w:r>
              <w:rPr>
                <w:rStyle w:val="10"/>
                <w:rFonts w:hint="eastAsia"/>
              </w:rPr>
              <w:t>农药名称：</w:t>
            </w:r>
            <w:r>
              <w:rPr>
                <w:rFonts w:hint="eastAsia"/>
              </w:rPr>
              <w:t>氟节胺</w:t>
            </w:r>
          </w:p>
        </w:tc>
      </w:tr>
      <w:tr w14:paraId="45654E10">
        <w:tblPrEx>
          <w:tblCellMar>
            <w:top w:w="0" w:type="dxa"/>
            <w:left w:w="0" w:type="dxa"/>
            <w:bottom w:w="0" w:type="dxa"/>
            <w:right w:w="0" w:type="dxa"/>
          </w:tblCellMar>
        </w:tblPrEx>
        <w:trPr>
          <w:wBefore w:w="0" w:type="auto"/>
          <w:tblCellSpacing w:w="0" w:type="dxa"/>
        </w:trPr>
        <w:tc>
          <w:tcPr>
            <w:tcW w:w="0" w:type="auto"/>
            <w:noWrap w:val="0"/>
            <w:vAlign w:val="center"/>
          </w:tcPr>
          <w:p w14:paraId="0387EBF0">
            <w:r>
              <w:rPr>
                <w:rStyle w:val="10"/>
                <w:rFonts w:hint="eastAsia"/>
              </w:rPr>
              <w:t>剂型：</w:t>
            </w:r>
            <w:r>
              <w:rPr>
                <w:rFonts w:hint="eastAsia"/>
              </w:rPr>
              <w:t>乳油</w:t>
            </w:r>
          </w:p>
        </w:tc>
      </w:tr>
      <w:tr w14:paraId="3CB6075F">
        <w:tblPrEx>
          <w:tblCellMar>
            <w:top w:w="0" w:type="dxa"/>
            <w:left w:w="0" w:type="dxa"/>
            <w:bottom w:w="0" w:type="dxa"/>
            <w:right w:w="0" w:type="dxa"/>
          </w:tblCellMar>
        </w:tblPrEx>
        <w:trPr>
          <w:wBefore w:w="0" w:type="auto"/>
          <w:tblCellSpacing w:w="0" w:type="dxa"/>
        </w:trPr>
        <w:tc>
          <w:tcPr>
            <w:tcW w:w="0" w:type="auto"/>
            <w:noWrap w:val="0"/>
            <w:vAlign w:val="center"/>
          </w:tcPr>
          <w:p w14:paraId="1AB41D81">
            <w:r>
              <w:rPr>
                <w:rStyle w:val="10"/>
                <w:rFonts w:hint="eastAsia"/>
              </w:rPr>
              <w:t>毒性及其标识：</w:t>
            </w:r>
            <w:r>
              <w:rPr>
                <w:rFonts w:hint="eastAsia"/>
              </w:rPr>
              <w:t xml:space="preserve"> </w:t>
            </w:r>
            <w:r>
              <w:rPr>
                <w:lang/>
              </w:rPr>
              <w:drawing>
                <wp:inline distT="0" distB="0" distL="114300" distR="114300">
                  <wp:extent cx="476250" cy="323850"/>
                  <wp:effectExtent l="0" t="0" r="0" b="0"/>
                  <wp:docPr id="588" name="图片 58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58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98C346F">
        <w:tblPrEx>
          <w:tblCellMar>
            <w:top w:w="0" w:type="dxa"/>
            <w:left w:w="0" w:type="dxa"/>
            <w:bottom w:w="0" w:type="dxa"/>
            <w:right w:w="0" w:type="dxa"/>
          </w:tblCellMar>
        </w:tblPrEx>
        <w:trPr>
          <w:wBefore w:w="0" w:type="auto"/>
          <w:tblCellSpacing w:w="0" w:type="dxa"/>
        </w:trPr>
        <w:tc>
          <w:tcPr>
            <w:tcW w:w="0" w:type="auto"/>
            <w:noWrap w:val="0"/>
            <w:vAlign w:val="center"/>
          </w:tcPr>
          <w:p w14:paraId="702265A0">
            <w:r>
              <w:rPr>
                <w:rStyle w:val="10"/>
                <w:rFonts w:hint="eastAsia"/>
              </w:rPr>
              <w:t>总有效成分含量：</w:t>
            </w:r>
            <w:r>
              <w:rPr>
                <w:rFonts w:hint="eastAsia"/>
              </w:rPr>
              <w:t>25%</w:t>
            </w:r>
          </w:p>
        </w:tc>
      </w:tr>
      <w:tr w14:paraId="0676D2C4">
        <w:tblPrEx>
          <w:tblCellMar>
            <w:top w:w="0" w:type="dxa"/>
            <w:left w:w="0" w:type="dxa"/>
            <w:bottom w:w="0" w:type="dxa"/>
            <w:right w:w="0" w:type="dxa"/>
          </w:tblCellMar>
        </w:tblPrEx>
        <w:trPr>
          <w:wBefore w:w="0" w:type="auto"/>
          <w:tblCellSpacing w:w="0" w:type="dxa"/>
        </w:trPr>
        <w:tc>
          <w:tcPr>
            <w:tcW w:w="0" w:type="auto"/>
            <w:noWrap w:val="0"/>
            <w:vAlign w:val="center"/>
          </w:tcPr>
          <w:p w14:paraId="1D134940">
            <w:r>
              <w:rPr>
                <w:rFonts w:hint="eastAsia"/>
              </w:rPr>
              <w:t xml:space="preserve">有效成分及其含量： </w:t>
            </w:r>
          </w:p>
          <w:p w14:paraId="2E6920D8">
            <w:r>
              <w:rPr>
                <w:rFonts w:hint="eastAsia"/>
              </w:rPr>
              <w:t xml:space="preserve">    氟节胺25%    </w:t>
            </w:r>
          </w:p>
        </w:tc>
      </w:tr>
      <w:tr w14:paraId="3E2CF420">
        <w:tblPrEx>
          <w:tblCellMar>
            <w:top w:w="0" w:type="dxa"/>
            <w:left w:w="0" w:type="dxa"/>
            <w:bottom w:w="0" w:type="dxa"/>
            <w:right w:w="0" w:type="dxa"/>
          </w:tblCellMar>
        </w:tblPrEx>
        <w:trPr>
          <w:wBefore w:w="0" w:type="auto"/>
          <w:tblCellSpacing w:w="0" w:type="dxa"/>
        </w:trPr>
        <w:tc>
          <w:tcPr>
            <w:tcW w:w="0" w:type="auto"/>
            <w:noWrap w:val="0"/>
            <w:vAlign w:val="center"/>
          </w:tcPr>
          <w:p w14:paraId="791C45A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9D744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8F6A56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EA4D4E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0D296C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888C966">
                  <w:r>
                    <w:rPr>
                      <w:rStyle w:val="11"/>
                      <w:rFonts w:hint="eastAsia"/>
                    </w:rPr>
                    <w:t>施用方式</w:t>
                  </w:r>
                </w:p>
              </w:tc>
            </w:tr>
            <w:tr w14:paraId="64E3EC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9E712AD">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0B7669F">
                  <w:r>
                    <w:rPr>
                      <w:rStyle w:val="11"/>
                      <w:rFonts w:hint="eastAsia"/>
                    </w:rPr>
                    <w:t>抑制腋芽生长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5C09B6">
                  <w:r>
                    <w:rPr>
                      <w:rStyle w:val="11"/>
                      <w:rFonts w:hint="eastAsia"/>
                    </w:rPr>
                    <w:t>0.04-0.048毫升/株</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053158">
                  <w:r>
                    <w:rPr>
                      <w:rStyle w:val="11"/>
                      <w:rFonts w:hint="eastAsia"/>
                    </w:rPr>
                    <w:t>杯淋法</w:t>
                  </w:r>
                </w:p>
              </w:tc>
            </w:tr>
          </w:tbl>
          <w:p w14:paraId="6C379D1E">
            <w:pPr>
              <w:rPr>
                <w:rFonts w:ascii="Times New Roman" w:hAnsi="Times New Roman" w:cs="Times New Roman"/>
                <w:sz w:val="20"/>
                <w:szCs w:val="20"/>
              </w:rPr>
            </w:pPr>
          </w:p>
        </w:tc>
      </w:tr>
      <w:tr w14:paraId="04FCCFE5">
        <w:tblPrEx>
          <w:tblCellMar>
            <w:top w:w="0" w:type="dxa"/>
            <w:left w:w="0" w:type="dxa"/>
            <w:bottom w:w="0" w:type="dxa"/>
            <w:right w:w="0" w:type="dxa"/>
          </w:tblCellMar>
        </w:tblPrEx>
        <w:trPr>
          <w:wBefore w:w="0" w:type="auto"/>
          <w:tblCellSpacing w:w="0" w:type="dxa"/>
        </w:trPr>
        <w:tc>
          <w:tcPr>
            <w:tcW w:w="0" w:type="auto"/>
            <w:noWrap w:val="0"/>
            <w:vAlign w:val="center"/>
          </w:tcPr>
          <w:p w14:paraId="119FBA11">
            <w:r>
              <w:rPr>
                <w:rStyle w:val="10"/>
                <w:rFonts w:hint="eastAsia"/>
              </w:rPr>
              <w:t>使用技术要求:</w:t>
            </w:r>
            <w:r>
              <w:rPr>
                <w:rFonts w:hint="eastAsia"/>
              </w:rPr>
              <w:br w:type="textWrapping"/>
            </w:r>
            <w:r>
              <w:rPr>
                <w:rStyle w:val="11"/>
                <w:rFonts w:hint="eastAsia"/>
              </w:rPr>
              <w:t>1. 大风天或预计4小时内降雨，请勿施药。2. 在烟草打顶后杯淋法施药1次，在花蕾伸长期至始花期及时打顶，在打顶后24小时内施药，施药时药液必须接触每一个腋芽。3. 施药前，应该抹去超过2.5厘米长的腋芽。每季作物最多使用1次。</w:t>
            </w:r>
          </w:p>
        </w:tc>
      </w:tr>
      <w:tr w14:paraId="63DDC250">
        <w:tblPrEx>
          <w:tblCellMar>
            <w:top w:w="0" w:type="dxa"/>
            <w:left w:w="0" w:type="dxa"/>
            <w:bottom w:w="0" w:type="dxa"/>
            <w:right w:w="0" w:type="dxa"/>
          </w:tblCellMar>
        </w:tblPrEx>
        <w:trPr>
          <w:wBefore w:w="0" w:type="auto"/>
          <w:tblCellSpacing w:w="0" w:type="dxa"/>
        </w:trPr>
        <w:tc>
          <w:tcPr>
            <w:tcW w:w="0" w:type="auto"/>
            <w:noWrap w:val="0"/>
            <w:vAlign w:val="center"/>
          </w:tcPr>
          <w:p w14:paraId="3DC791F8">
            <w:r>
              <w:rPr>
                <w:rStyle w:val="10"/>
                <w:rFonts w:hint="eastAsia"/>
              </w:rPr>
              <w:t>产品性能:</w:t>
            </w:r>
            <w:r>
              <w:rPr>
                <w:rFonts w:hint="eastAsia"/>
              </w:rPr>
              <w:br w:type="textWrapping"/>
            </w:r>
            <w:r>
              <w:rPr>
                <w:rStyle w:val="11"/>
                <w:rFonts w:hint="eastAsia"/>
              </w:rPr>
              <w:t>本品为接触兼局部内吸型烟草专用抑芽剂，适用于各种烤烟及晾晒烟的抑芽。在烟草打顶时施药一次，可全季抑制腋芽生长，同时可明显提高烟草产量和质量。</w:t>
            </w:r>
          </w:p>
        </w:tc>
      </w:tr>
      <w:tr w14:paraId="2E350106">
        <w:tblPrEx>
          <w:tblCellMar>
            <w:top w:w="0" w:type="dxa"/>
            <w:left w:w="0" w:type="dxa"/>
            <w:bottom w:w="0" w:type="dxa"/>
            <w:right w:w="0" w:type="dxa"/>
          </w:tblCellMar>
        </w:tblPrEx>
        <w:trPr>
          <w:wBefore w:w="0" w:type="auto"/>
          <w:tblCellSpacing w:w="0" w:type="dxa"/>
        </w:trPr>
        <w:tc>
          <w:tcPr>
            <w:tcW w:w="0" w:type="auto"/>
            <w:noWrap w:val="0"/>
            <w:vAlign w:val="center"/>
          </w:tcPr>
          <w:p w14:paraId="235173DA">
            <w:r>
              <w:rPr>
                <w:rStyle w:val="10"/>
                <w:rFonts w:hint="eastAsia"/>
              </w:rPr>
              <w:t>注意事项：</w:t>
            </w:r>
            <w:r>
              <w:rPr>
                <w:rFonts w:hint="eastAsia"/>
              </w:rPr>
              <w:br w:type="textWrapping"/>
            </w:r>
            <w:r>
              <w:rPr>
                <w:rStyle w:val="11"/>
                <w:rFonts w:hint="eastAsia"/>
              </w:rPr>
              <w:t>1. 本品对眼睛、皮肤有刺激性，使用时穿戴长衣、长裤、帽子、口罩、手套等防护措施。避免药液接触皮肤、眼睛，避免吸入药雾，切勿在是要现场吸烟或饮食。2.避免药物漂移到邻近作物上。3. 用过的容器应妥善处理，不可做他用，也不可随意丢弃。4.本品对水生生物有毒，在水产养殖区，河塘等水体附近禁用，禁止在河塘等水体中清洗施药器具，避免药液流入湖泊、河流或鱼塘中污染水源。5.避免孕妇及哺乳期的妇女接触本品。</w:t>
            </w:r>
          </w:p>
        </w:tc>
      </w:tr>
      <w:tr w14:paraId="47949085">
        <w:tblPrEx>
          <w:tblCellMar>
            <w:top w:w="0" w:type="dxa"/>
            <w:left w:w="0" w:type="dxa"/>
            <w:bottom w:w="0" w:type="dxa"/>
            <w:right w:w="0" w:type="dxa"/>
          </w:tblCellMar>
        </w:tblPrEx>
        <w:trPr>
          <w:wBefore w:w="0" w:type="auto"/>
          <w:tblCellSpacing w:w="0" w:type="dxa"/>
        </w:trPr>
        <w:tc>
          <w:tcPr>
            <w:tcW w:w="0" w:type="auto"/>
            <w:noWrap w:val="0"/>
            <w:vAlign w:val="center"/>
          </w:tcPr>
          <w:p w14:paraId="15B039D7">
            <w:r>
              <w:rPr>
                <w:rStyle w:val="10"/>
                <w:rFonts w:hint="eastAsia"/>
              </w:rPr>
              <w:t>中毒急救措施：</w:t>
            </w:r>
            <w:r>
              <w:rPr>
                <w:rFonts w:hint="eastAsia"/>
              </w:rPr>
              <w:br w:type="textWrapping"/>
            </w:r>
            <w:r>
              <w:rPr>
                <w:rStyle w:val="11"/>
                <w:rFonts w:hint="eastAsia"/>
              </w:rPr>
              <w:t>中毒症状：本品对皮肤和眼睛有刺激性。1.皮肤接触：用大量清水或肥皂冲洗。2.眼睛溅药：立即将眼睑翻开，用清水冲洗至少15分钟。3.不慎吸入：应立即转移到空气新鲜处，严重时送医院诊治。4.若误服：请勿引吐，迅速喝下大量牛奶或清水，并送医院救治。5.无专用解毒剂，对症治疗。</w:t>
            </w:r>
          </w:p>
        </w:tc>
      </w:tr>
      <w:tr w14:paraId="7ED27FE1">
        <w:tblPrEx>
          <w:tblCellMar>
            <w:top w:w="0" w:type="dxa"/>
            <w:left w:w="0" w:type="dxa"/>
            <w:bottom w:w="0" w:type="dxa"/>
            <w:right w:w="0" w:type="dxa"/>
          </w:tblCellMar>
        </w:tblPrEx>
        <w:trPr>
          <w:wBefore w:w="0" w:type="auto"/>
          <w:tblCellSpacing w:w="0" w:type="dxa"/>
        </w:trPr>
        <w:tc>
          <w:tcPr>
            <w:tcW w:w="0" w:type="auto"/>
            <w:noWrap w:val="0"/>
            <w:vAlign w:val="center"/>
          </w:tcPr>
          <w:p w14:paraId="4E592EF5">
            <w:r>
              <w:rPr>
                <w:rStyle w:val="10"/>
                <w:rFonts w:hint="eastAsia"/>
              </w:rPr>
              <w:t>储存和运输方法：</w:t>
            </w:r>
            <w:r>
              <w:rPr>
                <w:rFonts w:hint="eastAsia"/>
              </w:rPr>
              <w:br w:type="textWrapping"/>
            </w:r>
            <w:r>
              <w:rPr>
                <w:rStyle w:val="11"/>
                <w:rFonts w:hint="eastAsia"/>
              </w:rPr>
              <w:t>本品应存放于阴凉、干燥、通风、防雨处，远离火源和热源。置于儿童、无关人员触及不到之处，并加锁。勿与食品、饮料、饲料、粮食等同贮同运。</w:t>
            </w:r>
          </w:p>
        </w:tc>
      </w:tr>
      <w:tr w14:paraId="2C236990">
        <w:tblPrEx>
          <w:tblCellMar>
            <w:top w:w="0" w:type="dxa"/>
            <w:left w:w="0" w:type="dxa"/>
            <w:bottom w:w="0" w:type="dxa"/>
            <w:right w:w="0" w:type="dxa"/>
          </w:tblCellMar>
        </w:tblPrEx>
        <w:trPr>
          <w:wBefore w:w="0" w:type="auto"/>
          <w:tblCellSpacing w:w="0" w:type="dxa"/>
        </w:trPr>
        <w:tc>
          <w:tcPr>
            <w:tcW w:w="0" w:type="auto"/>
            <w:noWrap w:val="0"/>
            <w:vAlign w:val="center"/>
          </w:tcPr>
          <w:p w14:paraId="5CE35D79">
            <w:r>
              <w:rPr>
                <w:rStyle w:val="10"/>
                <w:rFonts w:hint="eastAsia"/>
              </w:rPr>
              <w:t>质量保证期：</w:t>
            </w:r>
            <w:r>
              <w:rPr>
                <w:rStyle w:val="11"/>
                <w:rFonts w:hint="eastAsia"/>
              </w:rPr>
              <w:t>2年</w:t>
            </w:r>
          </w:p>
        </w:tc>
      </w:tr>
      <w:tr w14:paraId="6D29E704">
        <w:tblPrEx>
          <w:tblCellMar>
            <w:top w:w="0" w:type="dxa"/>
            <w:left w:w="0" w:type="dxa"/>
            <w:bottom w:w="0" w:type="dxa"/>
            <w:right w:w="0" w:type="dxa"/>
          </w:tblCellMar>
        </w:tblPrEx>
        <w:trPr>
          <w:wBefore w:w="0" w:type="auto"/>
          <w:tblCellSpacing w:w="0" w:type="dxa"/>
        </w:trPr>
        <w:tc>
          <w:tcPr>
            <w:tcW w:w="0" w:type="auto"/>
            <w:noWrap w:val="0"/>
            <w:vAlign w:val="center"/>
          </w:tcPr>
          <w:p w14:paraId="145738D6">
            <w:r>
              <w:rPr>
                <w:rStyle w:val="10"/>
                <w:rFonts w:hint="eastAsia"/>
              </w:rPr>
              <w:t>备注：</w:t>
            </w:r>
          </w:p>
        </w:tc>
      </w:tr>
    </w:tbl>
    <w:p w14:paraId="7E91C64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6D72DE">
        <w:tblPrEx>
          <w:tblCellMar>
            <w:top w:w="0" w:type="dxa"/>
            <w:left w:w="0" w:type="dxa"/>
            <w:bottom w:w="0" w:type="dxa"/>
            <w:right w:w="0" w:type="dxa"/>
          </w:tblCellMar>
        </w:tblPrEx>
        <w:trPr>
          <w:wBefore w:w="0" w:type="auto"/>
          <w:tblCellSpacing w:w="0" w:type="dxa"/>
        </w:trPr>
        <w:tc>
          <w:tcPr>
            <w:tcW w:w="0" w:type="auto"/>
            <w:noWrap w:val="0"/>
            <w:vAlign w:val="center"/>
          </w:tcPr>
          <w:p w14:paraId="65B121A6">
            <w:r>
              <w:rPr>
                <w:rStyle w:val="10"/>
                <w:rFonts w:hint="eastAsia"/>
              </w:rPr>
              <w:t>登记证号：</w:t>
            </w:r>
            <w:r>
              <w:rPr>
                <w:rFonts w:hint="eastAsia"/>
              </w:rPr>
              <w:t>PD20211830</w:t>
            </w:r>
          </w:p>
        </w:tc>
      </w:tr>
      <w:tr w14:paraId="615A5BEE">
        <w:tblPrEx>
          <w:tblCellMar>
            <w:top w:w="0" w:type="dxa"/>
            <w:left w:w="0" w:type="dxa"/>
            <w:bottom w:w="0" w:type="dxa"/>
            <w:right w:w="0" w:type="dxa"/>
          </w:tblCellMar>
        </w:tblPrEx>
        <w:trPr>
          <w:wBefore w:w="0" w:type="auto"/>
          <w:tblCellSpacing w:w="0" w:type="dxa"/>
        </w:trPr>
        <w:tc>
          <w:tcPr>
            <w:tcW w:w="0" w:type="auto"/>
            <w:noWrap w:val="0"/>
            <w:vAlign w:val="center"/>
          </w:tcPr>
          <w:p w14:paraId="0AC44975">
            <w:r>
              <w:rPr>
                <w:rStyle w:val="10"/>
                <w:rFonts w:hint="eastAsia"/>
              </w:rPr>
              <w:t>登记证持有人：</w:t>
            </w:r>
            <w:r>
              <w:rPr>
                <w:rFonts w:hint="eastAsia"/>
              </w:rPr>
              <w:t>陕西汤普森生物科技有限公司</w:t>
            </w:r>
          </w:p>
        </w:tc>
      </w:tr>
      <w:tr w14:paraId="261258B3">
        <w:tblPrEx>
          <w:tblCellMar>
            <w:top w:w="0" w:type="dxa"/>
            <w:left w:w="0" w:type="dxa"/>
            <w:bottom w:w="0" w:type="dxa"/>
            <w:right w:w="0" w:type="dxa"/>
          </w:tblCellMar>
        </w:tblPrEx>
        <w:trPr>
          <w:wBefore w:w="0" w:type="auto"/>
          <w:tblCellSpacing w:w="0" w:type="dxa"/>
        </w:trPr>
        <w:tc>
          <w:tcPr>
            <w:tcW w:w="0" w:type="auto"/>
            <w:noWrap w:val="0"/>
            <w:vAlign w:val="center"/>
          </w:tcPr>
          <w:p w14:paraId="03FEA33A">
            <w:r>
              <w:rPr>
                <w:rStyle w:val="10"/>
                <w:rFonts w:hint="eastAsia"/>
              </w:rPr>
              <w:t>农药名称：</w:t>
            </w:r>
            <w:r>
              <w:rPr>
                <w:rFonts w:hint="eastAsia"/>
              </w:rPr>
              <w:t>丁醚·茚虫威</w:t>
            </w:r>
          </w:p>
        </w:tc>
      </w:tr>
      <w:tr w14:paraId="51F0DBA7">
        <w:tblPrEx>
          <w:tblCellMar>
            <w:top w:w="0" w:type="dxa"/>
            <w:left w:w="0" w:type="dxa"/>
            <w:bottom w:w="0" w:type="dxa"/>
            <w:right w:w="0" w:type="dxa"/>
          </w:tblCellMar>
        </w:tblPrEx>
        <w:trPr>
          <w:wBefore w:w="0" w:type="auto"/>
          <w:tblCellSpacing w:w="0" w:type="dxa"/>
        </w:trPr>
        <w:tc>
          <w:tcPr>
            <w:tcW w:w="0" w:type="auto"/>
            <w:noWrap w:val="0"/>
            <w:vAlign w:val="center"/>
          </w:tcPr>
          <w:p w14:paraId="388E8652">
            <w:r>
              <w:rPr>
                <w:rStyle w:val="10"/>
                <w:rFonts w:hint="eastAsia"/>
              </w:rPr>
              <w:t>剂型：</w:t>
            </w:r>
            <w:r>
              <w:rPr>
                <w:rFonts w:hint="eastAsia"/>
              </w:rPr>
              <w:t>悬浮剂</w:t>
            </w:r>
          </w:p>
        </w:tc>
      </w:tr>
      <w:tr w14:paraId="656A6B46">
        <w:tblPrEx>
          <w:tblCellMar>
            <w:top w:w="0" w:type="dxa"/>
            <w:left w:w="0" w:type="dxa"/>
            <w:bottom w:w="0" w:type="dxa"/>
            <w:right w:w="0" w:type="dxa"/>
          </w:tblCellMar>
        </w:tblPrEx>
        <w:trPr>
          <w:wBefore w:w="0" w:type="auto"/>
          <w:tblCellSpacing w:w="0" w:type="dxa"/>
        </w:trPr>
        <w:tc>
          <w:tcPr>
            <w:tcW w:w="0" w:type="auto"/>
            <w:noWrap w:val="0"/>
            <w:vAlign w:val="center"/>
          </w:tcPr>
          <w:p w14:paraId="4CD3F6B7">
            <w:r>
              <w:rPr>
                <w:rStyle w:val="10"/>
                <w:rFonts w:hint="eastAsia"/>
              </w:rPr>
              <w:t>毒性及其标识：</w:t>
            </w:r>
            <w:r>
              <w:rPr>
                <w:rFonts w:hint="eastAsia"/>
              </w:rPr>
              <w:t xml:space="preserve"> </w:t>
            </w:r>
            <w:r>
              <w:rPr>
                <w:lang/>
              </w:rPr>
              <w:drawing>
                <wp:inline distT="0" distB="0" distL="114300" distR="114300">
                  <wp:extent cx="476250" cy="323850"/>
                  <wp:effectExtent l="0" t="0" r="0" b="0"/>
                  <wp:docPr id="589" name="图片 58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58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AC9E03A">
        <w:tblPrEx>
          <w:tblCellMar>
            <w:top w:w="0" w:type="dxa"/>
            <w:left w:w="0" w:type="dxa"/>
            <w:bottom w:w="0" w:type="dxa"/>
            <w:right w:w="0" w:type="dxa"/>
          </w:tblCellMar>
        </w:tblPrEx>
        <w:trPr>
          <w:wBefore w:w="0" w:type="auto"/>
          <w:tblCellSpacing w:w="0" w:type="dxa"/>
        </w:trPr>
        <w:tc>
          <w:tcPr>
            <w:tcW w:w="0" w:type="auto"/>
            <w:noWrap w:val="0"/>
            <w:vAlign w:val="center"/>
          </w:tcPr>
          <w:p w14:paraId="0CF04924">
            <w:r>
              <w:rPr>
                <w:rStyle w:val="10"/>
                <w:rFonts w:hint="eastAsia"/>
              </w:rPr>
              <w:t>总有效成分含量：</w:t>
            </w:r>
            <w:r>
              <w:rPr>
                <w:rFonts w:hint="eastAsia"/>
              </w:rPr>
              <w:t>42%</w:t>
            </w:r>
          </w:p>
        </w:tc>
      </w:tr>
      <w:tr w14:paraId="3CF4E185">
        <w:tblPrEx>
          <w:tblCellMar>
            <w:top w:w="0" w:type="dxa"/>
            <w:left w:w="0" w:type="dxa"/>
            <w:bottom w:w="0" w:type="dxa"/>
            <w:right w:w="0" w:type="dxa"/>
          </w:tblCellMar>
        </w:tblPrEx>
        <w:trPr>
          <w:wBefore w:w="0" w:type="auto"/>
          <w:tblCellSpacing w:w="0" w:type="dxa"/>
        </w:trPr>
        <w:tc>
          <w:tcPr>
            <w:tcW w:w="0" w:type="auto"/>
            <w:noWrap w:val="0"/>
            <w:vAlign w:val="center"/>
          </w:tcPr>
          <w:p w14:paraId="320F286E">
            <w:r>
              <w:rPr>
                <w:rFonts w:hint="eastAsia"/>
              </w:rPr>
              <w:t xml:space="preserve">有效成分及其含量： </w:t>
            </w:r>
          </w:p>
          <w:p w14:paraId="7D469B6D">
            <w:r>
              <w:rPr>
                <w:rFonts w:hint="eastAsia"/>
              </w:rPr>
              <w:t xml:space="preserve">    丁醚脲35%    茚虫威7%    </w:t>
            </w:r>
          </w:p>
        </w:tc>
      </w:tr>
      <w:tr w14:paraId="22830D14">
        <w:tblPrEx>
          <w:tblCellMar>
            <w:top w:w="0" w:type="dxa"/>
            <w:left w:w="0" w:type="dxa"/>
            <w:bottom w:w="0" w:type="dxa"/>
            <w:right w:w="0" w:type="dxa"/>
          </w:tblCellMar>
        </w:tblPrEx>
        <w:trPr>
          <w:wBefore w:w="0" w:type="auto"/>
          <w:tblCellSpacing w:w="0" w:type="dxa"/>
        </w:trPr>
        <w:tc>
          <w:tcPr>
            <w:tcW w:w="0" w:type="auto"/>
            <w:noWrap w:val="0"/>
            <w:vAlign w:val="center"/>
          </w:tcPr>
          <w:p w14:paraId="219CEAE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4B9D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5660A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80AAB6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F6471D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A33EEB3">
                  <w:r>
                    <w:rPr>
                      <w:rStyle w:val="11"/>
                      <w:rFonts w:hint="eastAsia"/>
                    </w:rPr>
                    <w:t>施用方式</w:t>
                  </w:r>
                </w:p>
              </w:tc>
            </w:tr>
            <w:tr w14:paraId="51A532E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5C7CFAF">
                  <w:r>
                    <w:rPr>
                      <w:rStyle w:val="11"/>
                      <w:rFonts w:hint="eastAsia"/>
                    </w:rPr>
                    <w:t>茶树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F3BA1D">
                  <w:r>
                    <w:rPr>
                      <w:rStyle w:val="11"/>
                      <w:rFonts w:hint="eastAsia"/>
                    </w:rPr>
                    <w:t>茶小绿叶蝉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EA1A9C8">
                  <w:r>
                    <w:rPr>
                      <w:rStyle w:val="11"/>
                      <w:rFonts w:hint="eastAsia"/>
                    </w:rPr>
                    <w:t>20-30毫升/亩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F725B6">
                  <w:r>
                    <w:rPr>
                      <w:rStyle w:val="11"/>
                      <w:rFonts w:hint="eastAsia"/>
                    </w:rPr>
                    <w:t>喷雾</w:t>
                  </w:r>
                </w:p>
              </w:tc>
            </w:tr>
          </w:tbl>
          <w:p w14:paraId="38721F32">
            <w:pPr>
              <w:rPr>
                <w:rFonts w:ascii="Times New Roman" w:hAnsi="Times New Roman" w:cs="Times New Roman"/>
                <w:sz w:val="20"/>
                <w:szCs w:val="20"/>
              </w:rPr>
            </w:pPr>
          </w:p>
        </w:tc>
      </w:tr>
      <w:tr w14:paraId="4928F678">
        <w:tblPrEx>
          <w:tblCellMar>
            <w:top w:w="0" w:type="dxa"/>
            <w:left w:w="0" w:type="dxa"/>
            <w:bottom w:w="0" w:type="dxa"/>
            <w:right w:w="0" w:type="dxa"/>
          </w:tblCellMar>
        </w:tblPrEx>
        <w:trPr>
          <w:wBefore w:w="0" w:type="auto"/>
          <w:tblCellSpacing w:w="0" w:type="dxa"/>
        </w:trPr>
        <w:tc>
          <w:tcPr>
            <w:tcW w:w="0" w:type="auto"/>
            <w:noWrap w:val="0"/>
            <w:vAlign w:val="center"/>
          </w:tcPr>
          <w:p w14:paraId="7D0581C9">
            <w:r>
              <w:rPr>
                <w:rStyle w:val="10"/>
                <w:rFonts w:hint="eastAsia"/>
              </w:rPr>
              <w:t>使用技术要求:</w:t>
            </w:r>
            <w:r>
              <w:rPr>
                <w:rFonts w:hint="eastAsia"/>
              </w:rPr>
              <w:br w:type="textWrapping"/>
            </w:r>
            <w:r>
              <w:rPr>
                <w:rStyle w:val="11"/>
                <w:rFonts w:hint="eastAsia"/>
              </w:rPr>
              <w:t>1.于茶树茶小绿叶蝉若虫始盛期喷雾施药1次，注意喷雾均匀、周到，以确保药效。2.大风天或预计1小时内降雨，请勿施药。3.本品在茶树使用时的安全间隔期为10天，每季作物最多使用1次。</w:t>
            </w:r>
          </w:p>
        </w:tc>
      </w:tr>
      <w:tr w14:paraId="1B4BD5BB">
        <w:tblPrEx>
          <w:tblCellMar>
            <w:top w:w="0" w:type="dxa"/>
            <w:left w:w="0" w:type="dxa"/>
            <w:bottom w:w="0" w:type="dxa"/>
            <w:right w:w="0" w:type="dxa"/>
          </w:tblCellMar>
        </w:tblPrEx>
        <w:trPr>
          <w:wBefore w:w="0" w:type="auto"/>
          <w:tblCellSpacing w:w="0" w:type="dxa"/>
        </w:trPr>
        <w:tc>
          <w:tcPr>
            <w:tcW w:w="0" w:type="auto"/>
            <w:noWrap w:val="0"/>
            <w:vAlign w:val="center"/>
          </w:tcPr>
          <w:p w14:paraId="10EB8052">
            <w:r>
              <w:rPr>
                <w:rStyle w:val="10"/>
                <w:rFonts w:hint="eastAsia"/>
              </w:rPr>
              <w:t>产品性能:</w:t>
            </w:r>
            <w:r>
              <w:rPr>
                <w:rFonts w:hint="eastAsia"/>
              </w:rPr>
              <w:br w:type="textWrapping"/>
            </w:r>
            <w:r>
              <w:rPr>
                <w:rStyle w:val="11"/>
                <w:rFonts w:hint="eastAsia"/>
              </w:rPr>
              <w:t>本品是由丁醚脲与茚虫威复配而成的杀虫剂。丁醚脲为硫脲类杀虫、杀螨剂，具有触杀、胃毒作用，且具有一定的杀卵效果。在光的作用下，丁醚脲在体内转化为碳二亚胺，该物质为线粒体呼吸抑制剂。茚虫威为钠通道抑制剂，主要是阻断害虫神经细胞中的钠离子通道，使神经细胞丧失功能，导致靶标害虫麻痹、协调差，最终死亡，具有触杀和胃毒作用。两者混配，优势互补，用于茶树茶小绿叶蝉有较好的防治效果。</w:t>
            </w:r>
          </w:p>
        </w:tc>
      </w:tr>
      <w:tr w14:paraId="0F717C77">
        <w:tblPrEx>
          <w:tblCellMar>
            <w:top w:w="0" w:type="dxa"/>
            <w:left w:w="0" w:type="dxa"/>
            <w:bottom w:w="0" w:type="dxa"/>
            <w:right w:w="0" w:type="dxa"/>
          </w:tblCellMar>
        </w:tblPrEx>
        <w:trPr>
          <w:wBefore w:w="0" w:type="auto"/>
          <w:tblCellSpacing w:w="0" w:type="dxa"/>
        </w:trPr>
        <w:tc>
          <w:tcPr>
            <w:tcW w:w="0" w:type="auto"/>
            <w:noWrap w:val="0"/>
            <w:vAlign w:val="center"/>
          </w:tcPr>
          <w:p w14:paraId="4ED4E929">
            <w:r>
              <w:rPr>
                <w:rStyle w:val="10"/>
                <w:rFonts w:hint="eastAsia"/>
              </w:rPr>
              <w:t>注意事项：</w:t>
            </w:r>
            <w:r>
              <w:rPr>
                <w:rFonts w:hint="eastAsia"/>
              </w:rPr>
              <w:br w:type="textWrapping"/>
            </w:r>
            <w:r>
              <w:rPr>
                <w:rStyle w:val="11"/>
                <w:rFonts w:hint="eastAsia"/>
              </w:rPr>
              <w:t>1. 严格按规定用药量和方法使用。 2. 建议与其他作用机制不同的杀虫剂轮换使用，以延缓抗性产生。 3. 本品对蜂、鱼、溞有毒，（周围）开花植物花期禁用；桑园及蚕室附近禁用；水产养殖区、河塘等水体附近禁用，禁止在河塘等水体中清洗施药器具。 4. 对眼睛有中度刺激性，使用时避免接触眼睛。使用时穿戴长衣长裤、帽子、口罩、手套、鞋等安全防护措施。施药期间不可吃东西、饮水、吸烟等；施药后应及时洗手、洗脸并洗涤施药时穿着的衣物。 5. 用药后包装物及用过的容器应妥善处理，不可做他用，也不可随意丢弃。 6. 孕妇及哺乳期妇女禁止接触本品。</w:t>
            </w:r>
          </w:p>
        </w:tc>
      </w:tr>
      <w:tr w14:paraId="30B988C2">
        <w:tblPrEx>
          <w:tblCellMar>
            <w:top w:w="0" w:type="dxa"/>
            <w:left w:w="0" w:type="dxa"/>
            <w:bottom w:w="0" w:type="dxa"/>
            <w:right w:w="0" w:type="dxa"/>
          </w:tblCellMar>
        </w:tblPrEx>
        <w:trPr>
          <w:wBefore w:w="0" w:type="auto"/>
          <w:tblCellSpacing w:w="0" w:type="dxa"/>
        </w:trPr>
        <w:tc>
          <w:tcPr>
            <w:tcW w:w="0" w:type="auto"/>
            <w:noWrap w:val="0"/>
            <w:vAlign w:val="center"/>
          </w:tcPr>
          <w:p w14:paraId="10E947C2">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4CE31218">
        <w:tblPrEx>
          <w:tblCellMar>
            <w:top w:w="0" w:type="dxa"/>
            <w:left w:w="0" w:type="dxa"/>
            <w:bottom w:w="0" w:type="dxa"/>
            <w:right w:w="0" w:type="dxa"/>
          </w:tblCellMar>
        </w:tblPrEx>
        <w:trPr>
          <w:wBefore w:w="0" w:type="auto"/>
          <w:tblCellSpacing w:w="0" w:type="dxa"/>
        </w:trPr>
        <w:tc>
          <w:tcPr>
            <w:tcW w:w="0" w:type="auto"/>
            <w:noWrap w:val="0"/>
            <w:vAlign w:val="center"/>
          </w:tcPr>
          <w:p w14:paraId="7A4FFC1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3194834F">
        <w:tblPrEx>
          <w:tblCellMar>
            <w:top w:w="0" w:type="dxa"/>
            <w:left w:w="0" w:type="dxa"/>
            <w:bottom w:w="0" w:type="dxa"/>
            <w:right w:w="0" w:type="dxa"/>
          </w:tblCellMar>
        </w:tblPrEx>
        <w:trPr>
          <w:wBefore w:w="0" w:type="auto"/>
          <w:tblCellSpacing w:w="0" w:type="dxa"/>
        </w:trPr>
        <w:tc>
          <w:tcPr>
            <w:tcW w:w="0" w:type="auto"/>
            <w:noWrap w:val="0"/>
            <w:vAlign w:val="center"/>
          </w:tcPr>
          <w:p w14:paraId="19A0D925">
            <w:r>
              <w:rPr>
                <w:rStyle w:val="10"/>
                <w:rFonts w:hint="eastAsia"/>
              </w:rPr>
              <w:t>质量保证期：</w:t>
            </w:r>
            <w:r>
              <w:rPr>
                <w:rStyle w:val="11"/>
                <w:rFonts w:hint="eastAsia"/>
              </w:rPr>
              <w:t>2年</w:t>
            </w:r>
          </w:p>
        </w:tc>
      </w:tr>
      <w:tr w14:paraId="3C027A4B">
        <w:tblPrEx>
          <w:tblCellMar>
            <w:top w:w="0" w:type="dxa"/>
            <w:left w:w="0" w:type="dxa"/>
            <w:bottom w:w="0" w:type="dxa"/>
            <w:right w:w="0" w:type="dxa"/>
          </w:tblCellMar>
        </w:tblPrEx>
        <w:trPr>
          <w:wBefore w:w="0" w:type="auto"/>
          <w:tblCellSpacing w:w="0" w:type="dxa"/>
        </w:trPr>
        <w:tc>
          <w:tcPr>
            <w:tcW w:w="0" w:type="auto"/>
            <w:noWrap w:val="0"/>
            <w:vAlign w:val="center"/>
          </w:tcPr>
          <w:p w14:paraId="2AC6F6BB">
            <w:r>
              <w:rPr>
                <w:rStyle w:val="10"/>
                <w:rFonts w:hint="eastAsia"/>
              </w:rPr>
              <w:t>备注：</w:t>
            </w:r>
          </w:p>
        </w:tc>
      </w:tr>
    </w:tbl>
    <w:p w14:paraId="449AA71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607DA2A">
        <w:tblPrEx>
          <w:tblCellMar>
            <w:top w:w="0" w:type="dxa"/>
            <w:left w:w="0" w:type="dxa"/>
            <w:bottom w:w="0" w:type="dxa"/>
            <w:right w:w="0" w:type="dxa"/>
          </w:tblCellMar>
        </w:tblPrEx>
        <w:trPr>
          <w:wBefore w:w="0" w:type="auto"/>
          <w:tblCellSpacing w:w="0" w:type="dxa"/>
        </w:trPr>
        <w:tc>
          <w:tcPr>
            <w:tcW w:w="0" w:type="auto"/>
            <w:noWrap w:val="0"/>
            <w:vAlign w:val="center"/>
          </w:tcPr>
          <w:p w14:paraId="571E02B3">
            <w:r>
              <w:rPr>
                <w:rStyle w:val="10"/>
                <w:rFonts w:hint="eastAsia"/>
              </w:rPr>
              <w:t>登记证号：</w:t>
            </w:r>
            <w:r>
              <w:rPr>
                <w:rFonts w:hint="eastAsia"/>
              </w:rPr>
              <w:t>PD20212079</w:t>
            </w:r>
          </w:p>
        </w:tc>
      </w:tr>
      <w:tr w14:paraId="1382885E">
        <w:tblPrEx>
          <w:tblCellMar>
            <w:top w:w="0" w:type="dxa"/>
            <w:left w:w="0" w:type="dxa"/>
            <w:bottom w:w="0" w:type="dxa"/>
            <w:right w:w="0" w:type="dxa"/>
          </w:tblCellMar>
        </w:tblPrEx>
        <w:trPr>
          <w:wBefore w:w="0" w:type="auto"/>
          <w:tblCellSpacing w:w="0" w:type="dxa"/>
        </w:trPr>
        <w:tc>
          <w:tcPr>
            <w:tcW w:w="0" w:type="auto"/>
            <w:noWrap w:val="0"/>
            <w:vAlign w:val="center"/>
          </w:tcPr>
          <w:p w14:paraId="3F067F01">
            <w:r>
              <w:rPr>
                <w:rStyle w:val="10"/>
                <w:rFonts w:hint="eastAsia"/>
              </w:rPr>
              <w:t>登记证持有人：</w:t>
            </w:r>
            <w:r>
              <w:rPr>
                <w:rFonts w:hint="eastAsia"/>
              </w:rPr>
              <w:t>陕西汤普森生物科技有限公司</w:t>
            </w:r>
          </w:p>
        </w:tc>
      </w:tr>
      <w:tr w14:paraId="2C4B0A7E">
        <w:tblPrEx>
          <w:tblCellMar>
            <w:top w:w="0" w:type="dxa"/>
            <w:left w:w="0" w:type="dxa"/>
            <w:bottom w:w="0" w:type="dxa"/>
            <w:right w:w="0" w:type="dxa"/>
          </w:tblCellMar>
        </w:tblPrEx>
        <w:trPr>
          <w:wBefore w:w="0" w:type="auto"/>
          <w:tblCellSpacing w:w="0" w:type="dxa"/>
        </w:trPr>
        <w:tc>
          <w:tcPr>
            <w:tcW w:w="0" w:type="auto"/>
            <w:noWrap w:val="0"/>
            <w:vAlign w:val="center"/>
          </w:tcPr>
          <w:p w14:paraId="796CEC43">
            <w:r>
              <w:rPr>
                <w:rStyle w:val="10"/>
                <w:rFonts w:hint="eastAsia"/>
              </w:rPr>
              <w:t>农药名称：</w:t>
            </w:r>
            <w:r>
              <w:rPr>
                <w:rFonts w:hint="eastAsia"/>
              </w:rPr>
              <w:t>阿维菌素·唑虫酰胺</w:t>
            </w:r>
          </w:p>
        </w:tc>
      </w:tr>
      <w:tr w14:paraId="369905EE">
        <w:tblPrEx>
          <w:tblCellMar>
            <w:top w:w="0" w:type="dxa"/>
            <w:left w:w="0" w:type="dxa"/>
            <w:bottom w:w="0" w:type="dxa"/>
            <w:right w:w="0" w:type="dxa"/>
          </w:tblCellMar>
        </w:tblPrEx>
        <w:trPr>
          <w:wBefore w:w="0" w:type="auto"/>
          <w:tblCellSpacing w:w="0" w:type="dxa"/>
        </w:trPr>
        <w:tc>
          <w:tcPr>
            <w:tcW w:w="0" w:type="auto"/>
            <w:noWrap w:val="0"/>
            <w:vAlign w:val="center"/>
          </w:tcPr>
          <w:p w14:paraId="5F1CEF50">
            <w:r>
              <w:rPr>
                <w:rStyle w:val="10"/>
                <w:rFonts w:hint="eastAsia"/>
              </w:rPr>
              <w:t>剂型：</w:t>
            </w:r>
            <w:r>
              <w:rPr>
                <w:rFonts w:hint="eastAsia"/>
              </w:rPr>
              <w:t>悬浮剂</w:t>
            </w:r>
          </w:p>
        </w:tc>
      </w:tr>
      <w:tr w14:paraId="4CC529CE">
        <w:tblPrEx>
          <w:tblCellMar>
            <w:top w:w="0" w:type="dxa"/>
            <w:left w:w="0" w:type="dxa"/>
            <w:bottom w:w="0" w:type="dxa"/>
            <w:right w:w="0" w:type="dxa"/>
          </w:tblCellMar>
        </w:tblPrEx>
        <w:trPr>
          <w:wBefore w:w="0" w:type="auto"/>
          <w:tblCellSpacing w:w="0" w:type="dxa"/>
        </w:trPr>
        <w:tc>
          <w:tcPr>
            <w:tcW w:w="0" w:type="auto"/>
            <w:noWrap w:val="0"/>
            <w:vAlign w:val="center"/>
          </w:tcPr>
          <w:p w14:paraId="44A64FC4">
            <w:r>
              <w:rPr>
                <w:rStyle w:val="10"/>
                <w:rFonts w:hint="eastAsia"/>
              </w:rPr>
              <w:t>毒性及其标识：</w:t>
            </w:r>
            <w:r>
              <w:rPr>
                <w:rFonts w:hint="eastAsia"/>
              </w:rPr>
              <w:t xml:space="preserve"> </w:t>
            </w:r>
            <w:r>
              <w:rPr>
                <w:lang/>
              </w:rPr>
              <w:drawing>
                <wp:inline distT="0" distB="0" distL="114300" distR="114300">
                  <wp:extent cx="476250" cy="323850"/>
                  <wp:effectExtent l="0" t="0" r="0" b="0"/>
                  <wp:docPr id="590" name="图片 590" descr="说明: http://172.16.1.30:8080/static/images/queryimg/dx/d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590" descr="说明: http://172.16.1.30:8080/static/images/queryimg/dx/dx2.JPG"/>
                          <pic:cNvPicPr>
                            <a:picLocks noChangeAspect="1"/>
                          </pic:cNvPicPr>
                        </pic:nvPicPr>
                        <pic:blipFill>
                          <a:blip r:embed="rId6"/>
                          <a:stretch>
                            <a:fillRect/>
                          </a:stretch>
                        </pic:blipFill>
                        <pic:spPr>
                          <a:xfrm>
                            <a:off x="0" y="0"/>
                            <a:ext cx="476250" cy="323850"/>
                          </a:xfrm>
                          <a:prstGeom prst="rect">
                            <a:avLst/>
                          </a:prstGeom>
                          <a:noFill/>
                          <a:ln>
                            <a:noFill/>
                          </a:ln>
                        </pic:spPr>
                      </pic:pic>
                    </a:graphicData>
                  </a:graphic>
                </wp:inline>
              </w:drawing>
            </w:r>
            <w:r>
              <w:rPr>
                <w:rFonts w:hint="eastAsia"/>
              </w:rPr>
              <w:br w:type="textWrapping"/>
            </w:r>
            <w:r>
              <w:rPr>
                <w:rFonts w:hint="eastAsia"/>
              </w:rPr>
              <w:t xml:space="preserve">中等毒 </w:t>
            </w:r>
            <w:r>
              <w:rPr>
                <w:rFonts w:hint="eastAsia"/>
              </w:rPr>
              <w:br w:type="textWrapping"/>
            </w:r>
            <w:r>
              <w:rPr>
                <w:rFonts w:hint="eastAsia"/>
              </w:rPr>
              <w:t xml:space="preserve">(原药高毒) </w:t>
            </w:r>
          </w:p>
        </w:tc>
      </w:tr>
      <w:tr w14:paraId="04543BFF">
        <w:tblPrEx>
          <w:tblCellMar>
            <w:top w:w="0" w:type="dxa"/>
            <w:left w:w="0" w:type="dxa"/>
            <w:bottom w:w="0" w:type="dxa"/>
            <w:right w:w="0" w:type="dxa"/>
          </w:tblCellMar>
        </w:tblPrEx>
        <w:trPr>
          <w:wBefore w:w="0" w:type="auto"/>
          <w:tblCellSpacing w:w="0" w:type="dxa"/>
        </w:trPr>
        <w:tc>
          <w:tcPr>
            <w:tcW w:w="0" w:type="auto"/>
            <w:noWrap w:val="0"/>
            <w:vAlign w:val="center"/>
          </w:tcPr>
          <w:p w14:paraId="1501039C">
            <w:r>
              <w:rPr>
                <w:rStyle w:val="10"/>
                <w:rFonts w:hint="eastAsia"/>
              </w:rPr>
              <w:t>总有效成分含量：</w:t>
            </w:r>
            <w:r>
              <w:rPr>
                <w:rFonts w:hint="eastAsia"/>
              </w:rPr>
              <w:t>18%</w:t>
            </w:r>
          </w:p>
        </w:tc>
      </w:tr>
      <w:tr w14:paraId="3A57850A">
        <w:tblPrEx>
          <w:tblCellMar>
            <w:top w:w="0" w:type="dxa"/>
            <w:left w:w="0" w:type="dxa"/>
            <w:bottom w:w="0" w:type="dxa"/>
            <w:right w:w="0" w:type="dxa"/>
          </w:tblCellMar>
        </w:tblPrEx>
        <w:trPr>
          <w:wBefore w:w="0" w:type="auto"/>
          <w:tblCellSpacing w:w="0" w:type="dxa"/>
        </w:trPr>
        <w:tc>
          <w:tcPr>
            <w:tcW w:w="0" w:type="auto"/>
            <w:noWrap w:val="0"/>
            <w:vAlign w:val="center"/>
          </w:tcPr>
          <w:p w14:paraId="0E2B9AC6">
            <w:r>
              <w:rPr>
                <w:rFonts w:hint="eastAsia"/>
              </w:rPr>
              <w:t xml:space="preserve">有效成分及其含量： </w:t>
            </w:r>
          </w:p>
          <w:p w14:paraId="76F7CC86">
            <w:r>
              <w:rPr>
                <w:rFonts w:hint="eastAsia"/>
              </w:rPr>
              <w:t xml:space="preserve">    阿维菌素3.6%    唑虫酰胺14.4%    </w:t>
            </w:r>
          </w:p>
        </w:tc>
      </w:tr>
      <w:tr w14:paraId="4CC09F06">
        <w:tblPrEx>
          <w:tblCellMar>
            <w:top w:w="0" w:type="dxa"/>
            <w:left w:w="0" w:type="dxa"/>
            <w:bottom w:w="0" w:type="dxa"/>
            <w:right w:w="0" w:type="dxa"/>
          </w:tblCellMar>
        </w:tblPrEx>
        <w:trPr>
          <w:wBefore w:w="0" w:type="auto"/>
          <w:tblCellSpacing w:w="0" w:type="dxa"/>
        </w:trPr>
        <w:tc>
          <w:tcPr>
            <w:tcW w:w="0" w:type="auto"/>
            <w:noWrap w:val="0"/>
            <w:vAlign w:val="center"/>
          </w:tcPr>
          <w:p w14:paraId="4D9F105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DF732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9A8443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D04B4C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5BFE90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6ADA3FA">
                  <w:r>
                    <w:rPr>
                      <w:rStyle w:val="11"/>
                      <w:rFonts w:hint="eastAsia"/>
                    </w:rPr>
                    <w:t>施用方式</w:t>
                  </w:r>
                </w:p>
              </w:tc>
            </w:tr>
            <w:tr w14:paraId="210F41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3071D98">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30E038">
                  <w:r>
                    <w:rPr>
                      <w:rStyle w:val="11"/>
                      <w:rFonts w:hint="eastAsia"/>
                    </w:rPr>
                    <w:t>锈壁虱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33DDCB9">
                  <w:r>
                    <w:rPr>
                      <w:rStyle w:val="11"/>
                      <w:rFonts w:hint="eastAsia"/>
                    </w:rPr>
                    <w:t>4000-6000倍液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340B524">
                  <w:r>
                    <w:rPr>
                      <w:rStyle w:val="11"/>
                      <w:rFonts w:hint="eastAsia"/>
                    </w:rPr>
                    <w:t>喷雾</w:t>
                  </w:r>
                </w:p>
              </w:tc>
            </w:tr>
          </w:tbl>
          <w:p w14:paraId="14BB319E">
            <w:pPr>
              <w:rPr>
                <w:rFonts w:ascii="Times New Roman" w:hAnsi="Times New Roman" w:cs="Times New Roman"/>
                <w:sz w:val="20"/>
                <w:szCs w:val="20"/>
              </w:rPr>
            </w:pPr>
          </w:p>
        </w:tc>
      </w:tr>
      <w:tr w14:paraId="0A377ABF">
        <w:tblPrEx>
          <w:tblCellMar>
            <w:top w:w="0" w:type="dxa"/>
            <w:left w:w="0" w:type="dxa"/>
            <w:bottom w:w="0" w:type="dxa"/>
            <w:right w:w="0" w:type="dxa"/>
          </w:tblCellMar>
        </w:tblPrEx>
        <w:trPr>
          <w:wBefore w:w="0" w:type="auto"/>
          <w:tblCellSpacing w:w="0" w:type="dxa"/>
        </w:trPr>
        <w:tc>
          <w:tcPr>
            <w:tcW w:w="0" w:type="auto"/>
            <w:noWrap w:val="0"/>
            <w:vAlign w:val="center"/>
          </w:tcPr>
          <w:p w14:paraId="76D45179">
            <w:r>
              <w:rPr>
                <w:rStyle w:val="10"/>
                <w:rFonts w:hint="eastAsia"/>
              </w:rPr>
              <w:t>使用技术要求:</w:t>
            </w:r>
            <w:r>
              <w:rPr>
                <w:rFonts w:hint="eastAsia"/>
              </w:rPr>
              <w:br w:type="textWrapping"/>
            </w:r>
            <w:r>
              <w:rPr>
                <w:rStyle w:val="11"/>
                <w:rFonts w:hint="eastAsia"/>
              </w:rPr>
              <w:t>1.本品适宜施药时期为柑橘树锈壁虱低龄若虫始盛期喷雾施药1次，注意喷雾均匀、周到，以确保药效。2.大风天或预计1小时内降雨，请勿施药。3.本品在柑橘树上使用时的安全间隔期为21天，每季作物最多使用1次。</w:t>
            </w:r>
          </w:p>
        </w:tc>
      </w:tr>
      <w:tr w14:paraId="1D57E5D4">
        <w:tblPrEx>
          <w:tblCellMar>
            <w:top w:w="0" w:type="dxa"/>
            <w:left w:w="0" w:type="dxa"/>
            <w:bottom w:w="0" w:type="dxa"/>
            <w:right w:w="0" w:type="dxa"/>
          </w:tblCellMar>
        </w:tblPrEx>
        <w:trPr>
          <w:wBefore w:w="0" w:type="auto"/>
          <w:tblCellSpacing w:w="0" w:type="dxa"/>
        </w:trPr>
        <w:tc>
          <w:tcPr>
            <w:tcW w:w="0" w:type="auto"/>
            <w:noWrap w:val="0"/>
            <w:vAlign w:val="center"/>
          </w:tcPr>
          <w:p w14:paraId="7D4AC7A4">
            <w:r>
              <w:rPr>
                <w:rStyle w:val="10"/>
                <w:rFonts w:hint="eastAsia"/>
              </w:rPr>
              <w:t>产品性能:</w:t>
            </w:r>
            <w:r>
              <w:rPr>
                <w:rFonts w:hint="eastAsia"/>
              </w:rPr>
              <w:br w:type="textWrapping"/>
            </w:r>
            <w:r>
              <w:rPr>
                <w:rStyle w:val="11"/>
                <w:rFonts w:hint="eastAsia"/>
              </w:rPr>
              <w:t>本品是由阿维菌素与唑虫酰胺复配而成的杀虫剂，阿维菌素对螨类和昆虫具有胃毒和触杀作用，不能杀卵，能干扰神经生理活动，对节肢动物的神经传导有抑制作用；唑虫酰胺具有杀卵、抑食、抑制产卵作用，其作用机制是阻止昆虫的氧化磷酸化作用。两者混配，优势互补，对柑橘树锈壁虱有较好的防治效果。</w:t>
            </w:r>
          </w:p>
        </w:tc>
      </w:tr>
      <w:tr w14:paraId="42486FDF">
        <w:tblPrEx>
          <w:tblCellMar>
            <w:top w:w="0" w:type="dxa"/>
            <w:left w:w="0" w:type="dxa"/>
            <w:bottom w:w="0" w:type="dxa"/>
            <w:right w:w="0" w:type="dxa"/>
          </w:tblCellMar>
        </w:tblPrEx>
        <w:trPr>
          <w:wBefore w:w="0" w:type="auto"/>
          <w:tblCellSpacing w:w="0" w:type="dxa"/>
        </w:trPr>
        <w:tc>
          <w:tcPr>
            <w:tcW w:w="0" w:type="auto"/>
            <w:noWrap w:val="0"/>
            <w:vAlign w:val="center"/>
          </w:tcPr>
          <w:p w14:paraId="32AE2AFF">
            <w:r>
              <w:rPr>
                <w:rStyle w:val="10"/>
                <w:rFonts w:hint="eastAsia"/>
              </w:rPr>
              <w:t>注意事项：</w:t>
            </w:r>
            <w:r>
              <w:rPr>
                <w:rFonts w:hint="eastAsia"/>
              </w:rPr>
              <w:br w:type="textWrapping"/>
            </w:r>
            <w:r>
              <w:rPr>
                <w:rStyle w:val="11"/>
                <w:rFonts w:hint="eastAsia"/>
              </w:rPr>
              <w:t>（1）严格按规定用药量和方法使用。 （2）建议与其他作用机制不同的杀虫剂轮换使用，以延缓抗性产生。 （3）本品对蜜蜂、鸟、鱼、家蚕、大型溞、藻、蚯蚓有毒，施药期间应避免对周围蜂群的影响，（周围）开花植物花期、鸟类保护区附近、蚕室及桑园附近禁用；水产养殖区、河塘等水体附近禁用，禁止在河塘等水体中清洗施药器具。 （4）施用时注意安全防护，穿（戴）长衣、长裤、帽子、口罩、手套、鞋子等。避免吸入药液。施药期间不可吃东西和饮水。施药后应及时洗手和洗脸。 （5）用药后包装物及用过的容器应妥善处理，不可做他用，也不可随意丢弃。 （6）孕妇及哺乳期妇女禁止接触本品。</w:t>
            </w:r>
          </w:p>
        </w:tc>
      </w:tr>
      <w:tr w14:paraId="1E4B47EC">
        <w:tblPrEx>
          <w:tblCellMar>
            <w:top w:w="0" w:type="dxa"/>
            <w:left w:w="0" w:type="dxa"/>
            <w:bottom w:w="0" w:type="dxa"/>
            <w:right w:w="0" w:type="dxa"/>
          </w:tblCellMar>
        </w:tblPrEx>
        <w:trPr>
          <w:wBefore w:w="0" w:type="auto"/>
          <w:tblCellSpacing w:w="0" w:type="dxa"/>
        </w:trPr>
        <w:tc>
          <w:tcPr>
            <w:tcW w:w="0" w:type="auto"/>
            <w:noWrap w:val="0"/>
            <w:vAlign w:val="center"/>
          </w:tcPr>
          <w:p w14:paraId="4B1C0D09">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04E3E4D0">
        <w:tblPrEx>
          <w:tblCellMar>
            <w:top w:w="0" w:type="dxa"/>
            <w:left w:w="0" w:type="dxa"/>
            <w:bottom w:w="0" w:type="dxa"/>
            <w:right w:w="0" w:type="dxa"/>
          </w:tblCellMar>
        </w:tblPrEx>
        <w:trPr>
          <w:wBefore w:w="0" w:type="auto"/>
          <w:tblCellSpacing w:w="0" w:type="dxa"/>
        </w:trPr>
        <w:tc>
          <w:tcPr>
            <w:tcW w:w="0" w:type="auto"/>
            <w:noWrap w:val="0"/>
            <w:vAlign w:val="center"/>
          </w:tcPr>
          <w:p w14:paraId="7F7A4798">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55CC2061">
        <w:tblPrEx>
          <w:tblCellMar>
            <w:top w:w="0" w:type="dxa"/>
            <w:left w:w="0" w:type="dxa"/>
            <w:bottom w:w="0" w:type="dxa"/>
            <w:right w:w="0" w:type="dxa"/>
          </w:tblCellMar>
        </w:tblPrEx>
        <w:trPr>
          <w:wBefore w:w="0" w:type="auto"/>
          <w:tblCellSpacing w:w="0" w:type="dxa"/>
        </w:trPr>
        <w:tc>
          <w:tcPr>
            <w:tcW w:w="0" w:type="auto"/>
            <w:noWrap w:val="0"/>
            <w:vAlign w:val="center"/>
          </w:tcPr>
          <w:p w14:paraId="58FF37BE">
            <w:r>
              <w:rPr>
                <w:rStyle w:val="10"/>
                <w:rFonts w:hint="eastAsia"/>
              </w:rPr>
              <w:t>质量保证期：</w:t>
            </w:r>
            <w:r>
              <w:rPr>
                <w:rStyle w:val="11"/>
                <w:rFonts w:hint="eastAsia"/>
              </w:rPr>
              <w:t>2年</w:t>
            </w:r>
          </w:p>
        </w:tc>
      </w:tr>
      <w:tr w14:paraId="0DAB9959">
        <w:tblPrEx>
          <w:tblCellMar>
            <w:top w:w="0" w:type="dxa"/>
            <w:left w:w="0" w:type="dxa"/>
            <w:bottom w:w="0" w:type="dxa"/>
            <w:right w:w="0" w:type="dxa"/>
          </w:tblCellMar>
        </w:tblPrEx>
        <w:trPr>
          <w:wBefore w:w="0" w:type="auto"/>
          <w:tblCellSpacing w:w="0" w:type="dxa"/>
        </w:trPr>
        <w:tc>
          <w:tcPr>
            <w:tcW w:w="0" w:type="auto"/>
            <w:noWrap w:val="0"/>
            <w:vAlign w:val="center"/>
          </w:tcPr>
          <w:p w14:paraId="5D759E9A">
            <w:r>
              <w:rPr>
                <w:rStyle w:val="10"/>
                <w:rFonts w:hint="eastAsia"/>
              </w:rPr>
              <w:t>备注：</w:t>
            </w:r>
          </w:p>
        </w:tc>
      </w:tr>
    </w:tbl>
    <w:p w14:paraId="57F209B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29CF272">
        <w:tblPrEx>
          <w:tblCellMar>
            <w:top w:w="0" w:type="dxa"/>
            <w:left w:w="0" w:type="dxa"/>
            <w:bottom w:w="0" w:type="dxa"/>
            <w:right w:w="0" w:type="dxa"/>
          </w:tblCellMar>
        </w:tblPrEx>
        <w:trPr>
          <w:wBefore w:w="0" w:type="auto"/>
          <w:tblCellSpacing w:w="0" w:type="dxa"/>
        </w:trPr>
        <w:tc>
          <w:tcPr>
            <w:tcW w:w="0" w:type="auto"/>
            <w:noWrap w:val="0"/>
            <w:vAlign w:val="center"/>
          </w:tcPr>
          <w:p w14:paraId="3251043A">
            <w:r>
              <w:rPr>
                <w:rStyle w:val="10"/>
                <w:rFonts w:hint="eastAsia"/>
              </w:rPr>
              <w:t>登记证号：</w:t>
            </w:r>
            <w:r>
              <w:rPr>
                <w:rFonts w:hint="eastAsia"/>
              </w:rPr>
              <w:t>PD20212236</w:t>
            </w:r>
          </w:p>
        </w:tc>
      </w:tr>
      <w:tr w14:paraId="772956AE">
        <w:tblPrEx>
          <w:tblCellMar>
            <w:top w:w="0" w:type="dxa"/>
            <w:left w:w="0" w:type="dxa"/>
            <w:bottom w:w="0" w:type="dxa"/>
            <w:right w:w="0" w:type="dxa"/>
          </w:tblCellMar>
        </w:tblPrEx>
        <w:trPr>
          <w:wBefore w:w="0" w:type="auto"/>
          <w:tblCellSpacing w:w="0" w:type="dxa"/>
        </w:trPr>
        <w:tc>
          <w:tcPr>
            <w:tcW w:w="0" w:type="auto"/>
            <w:noWrap w:val="0"/>
            <w:vAlign w:val="center"/>
          </w:tcPr>
          <w:p w14:paraId="6920302A">
            <w:r>
              <w:rPr>
                <w:rStyle w:val="10"/>
                <w:rFonts w:hint="eastAsia"/>
              </w:rPr>
              <w:t>登记证持有人：</w:t>
            </w:r>
            <w:r>
              <w:rPr>
                <w:rFonts w:hint="eastAsia"/>
              </w:rPr>
              <w:t>河南蕴农植保科技有限公司</w:t>
            </w:r>
          </w:p>
        </w:tc>
      </w:tr>
      <w:tr w14:paraId="2C5F4CCF">
        <w:tblPrEx>
          <w:tblCellMar>
            <w:top w:w="0" w:type="dxa"/>
            <w:left w:w="0" w:type="dxa"/>
            <w:bottom w:w="0" w:type="dxa"/>
            <w:right w:w="0" w:type="dxa"/>
          </w:tblCellMar>
        </w:tblPrEx>
        <w:trPr>
          <w:wBefore w:w="0" w:type="auto"/>
          <w:tblCellSpacing w:w="0" w:type="dxa"/>
        </w:trPr>
        <w:tc>
          <w:tcPr>
            <w:tcW w:w="0" w:type="auto"/>
            <w:noWrap w:val="0"/>
            <w:vAlign w:val="center"/>
          </w:tcPr>
          <w:p w14:paraId="468B1F9E">
            <w:r>
              <w:rPr>
                <w:rStyle w:val="10"/>
                <w:rFonts w:hint="eastAsia"/>
              </w:rPr>
              <w:t>农药名称：</w:t>
            </w:r>
            <w:r>
              <w:rPr>
                <w:rFonts w:hint="eastAsia"/>
              </w:rPr>
              <w:t>草甘膦铵盐</w:t>
            </w:r>
          </w:p>
        </w:tc>
      </w:tr>
      <w:tr w14:paraId="42523BDC">
        <w:tblPrEx>
          <w:tblCellMar>
            <w:top w:w="0" w:type="dxa"/>
            <w:left w:w="0" w:type="dxa"/>
            <w:bottom w:w="0" w:type="dxa"/>
            <w:right w:w="0" w:type="dxa"/>
          </w:tblCellMar>
        </w:tblPrEx>
        <w:trPr>
          <w:wBefore w:w="0" w:type="auto"/>
          <w:tblCellSpacing w:w="0" w:type="dxa"/>
        </w:trPr>
        <w:tc>
          <w:tcPr>
            <w:tcW w:w="0" w:type="auto"/>
            <w:noWrap w:val="0"/>
            <w:vAlign w:val="center"/>
          </w:tcPr>
          <w:p w14:paraId="000EA95D">
            <w:r>
              <w:rPr>
                <w:rStyle w:val="10"/>
                <w:rFonts w:hint="eastAsia"/>
              </w:rPr>
              <w:t>剂型：</w:t>
            </w:r>
            <w:r>
              <w:rPr>
                <w:rFonts w:hint="eastAsia"/>
              </w:rPr>
              <w:t>可溶液剂</w:t>
            </w:r>
          </w:p>
        </w:tc>
      </w:tr>
      <w:tr w14:paraId="58DC916E">
        <w:tblPrEx>
          <w:tblCellMar>
            <w:top w:w="0" w:type="dxa"/>
            <w:left w:w="0" w:type="dxa"/>
            <w:bottom w:w="0" w:type="dxa"/>
            <w:right w:w="0" w:type="dxa"/>
          </w:tblCellMar>
        </w:tblPrEx>
        <w:trPr>
          <w:wBefore w:w="0" w:type="auto"/>
          <w:tblCellSpacing w:w="0" w:type="dxa"/>
        </w:trPr>
        <w:tc>
          <w:tcPr>
            <w:tcW w:w="0" w:type="auto"/>
            <w:noWrap w:val="0"/>
            <w:vAlign w:val="center"/>
          </w:tcPr>
          <w:p w14:paraId="1B72AB44">
            <w:r>
              <w:rPr>
                <w:rStyle w:val="10"/>
                <w:rFonts w:hint="eastAsia"/>
              </w:rPr>
              <w:t>毒性及其标识：</w:t>
            </w:r>
            <w:r>
              <w:rPr>
                <w:rFonts w:hint="eastAsia"/>
              </w:rPr>
              <w:t xml:space="preserve"> </w:t>
            </w:r>
            <w:r>
              <w:rPr>
                <w:lang/>
              </w:rPr>
              <w:drawing>
                <wp:inline distT="0" distB="0" distL="114300" distR="114300">
                  <wp:extent cx="476250" cy="323850"/>
                  <wp:effectExtent l="0" t="0" r="0" b="0"/>
                  <wp:docPr id="591" name="图片 59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59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EC4309D">
        <w:tblPrEx>
          <w:tblCellMar>
            <w:top w:w="0" w:type="dxa"/>
            <w:left w:w="0" w:type="dxa"/>
            <w:bottom w:w="0" w:type="dxa"/>
            <w:right w:w="0" w:type="dxa"/>
          </w:tblCellMar>
        </w:tblPrEx>
        <w:trPr>
          <w:wBefore w:w="0" w:type="auto"/>
          <w:tblCellSpacing w:w="0" w:type="dxa"/>
        </w:trPr>
        <w:tc>
          <w:tcPr>
            <w:tcW w:w="0" w:type="auto"/>
            <w:noWrap w:val="0"/>
            <w:vAlign w:val="center"/>
          </w:tcPr>
          <w:p w14:paraId="5DFE1745">
            <w:r>
              <w:rPr>
                <w:rStyle w:val="10"/>
                <w:rFonts w:hint="eastAsia"/>
              </w:rPr>
              <w:t>总有效成分含量：</w:t>
            </w:r>
            <w:r>
              <w:rPr>
                <w:rFonts w:hint="eastAsia"/>
              </w:rPr>
              <w:t>30%</w:t>
            </w:r>
          </w:p>
        </w:tc>
      </w:tr>
      <w:tr w14:paraId="2B32F691">
        <w:tblPrEx>
          <w:tblCellMar>
            <w:top w:w="0" w:type="dxa"/>
            <w:left w:w="0" w:type="dxa"/>
            <w:bottom w:w="0" w:type="dxa"/>
            <w:right w:w="0" w:type="dxa"/>
          </w:tblCellMar>
        </w:tblPrEx>
        <w:trPr>
          <w:wBefore w:w="0" w:type="auto"/>
          <w:tblCellSpacing w:w="0" w:type="dxa"/>
        </w:trPr>
        <w:tc>
          <w:tcPr>
            <w:tcW w:w="0" w:type="auto"/>
            <w:noWrap w:val="0"/>
            <w:vAlign w:val="center"/>
          </w:tcPr>
          <w:p w14:paraId="32996F85">
            <w:r>
              <w:rPr>
                <w:rFonts w:hint="eastAsia"/>
              </w:rPr>
              <w:t xml:space="preserve">有效成分及其含量： </w:t>
            </w:r>
          </w:p>
          <w:p w14:paraId="1A7C040F">
            <w:r>
              <w:rPr>
                <w:rFonts w:hint="eastAsia"/>
              </w:rPr>
              <w:t xml:space="preserve">    草甘膦30%    </w:t>
            </w:r>
          </w:p>
        </w:tc>
      </w:tr>
      <w:tr w14:paraId="48617BB7">
        <w:tblPrEx>
          <w:tblCellMar>
            <w:top w:w="0" w:type="dxa"/>
            <w:left w:w="0" w:type="dxa"/>
            <w:bottom w:w="0" w:type="dxa"/>
            <w:right w:w="0" w:type="dxa"/>
          </w:tblCellMar>
        </w:tblPrEx>
        <w:trPr>
          <w:wBefore w:w="0" w:type="auto"/>
          <w:tblCellSpacing w:w="0" w:type="dxa"/>
        </w:trPr>
        <w:tc>
          <w:tcPr>
            <w:tcW w:w="0" w:type="auto"/>
            <w:noWrap w:val="0"/>
            <w:vAlign w:val="center"/>
          </w:tcPr>
          <w:p w14:paraId="7823BCD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D44080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65F53E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9EA65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45CEAB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E7E4D62">
                  <w:r>
                    <w:rPr>
                      <w:rStyle w:val="11"/>
                      <w:rFonts w:hint="eastAsia"/>
                    </w:rPr>
                    <w:t>施用方式</w:t>
                  </w:r>
                </w:p>
              </w:tc>
            </w:tr>
            <w:tr w14:paraId="5907C7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A82D491">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1EF380">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1832E2">
                  <w:r>
                    <w:rPr>
                      <w:rStyle w:val="11"/>
                      <w:rFonts w:hint="eastAsia"/>
                    </w:rPr>
                    <w:t>250-500毫升/亩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9AA8F0">
                  <w:r>
                    <w:rPr>
                      <w:rStyle w:val="11"/>
                      <w:rFonts w:hint="eastAsia"/>
                    </w:rPr>
                    <w:t>茎叶喷雾</w:t>
                  </w:r>
                </w:p>
              </w:tc>
            </w:tr>
          </w:tbl>
          <w:p w14:paraId="29B1B1B7">
            <w:pPr>
              <w:rPr>
                <w:rFonts w:ascii="Times New Roman" w:hAnsi="Times New Roman" w:cs="Times New Roman"/>
                <w:sz w:val="20"/>
                <w:szCs w:val="20"/>
              </w:rPr>
            </w:pPr>
          </w:p>
        </w:tc>
      </w:tr>
      <w:tr w14:paraId="317FF670">
        <w:tblPrEx>
          <w:tblCellMar>
            <w:top w:w="0" w:type="dxa"/>
            <w:left w:w="0" w:type="dxa"/>
            <w:bottom w:w="0" w:type="dxa"/>
            <w:right w:w="0" w:type="dxa"/>
          </w:tblCellMar>
        </w:tblPrEx>
        <w:trPr>
          <w:wBefore w:w="0" w:type="auto"/>
          <w:tblCellSpacing w:w="0" w:type="dxa"/>
        </w:trPr>
        <w:tc>
          <w:tcPr>
            <w:tcW w:w="0" w:type="auto"/>
            <w:noWrap w:val="0"/>
            <w:vAlign w:val="center"/>
          </w:tcPr>
          <w:p w14:paraId="4C3D23F4">
            <w:r>
              <w:rPr>
                <w:rStyle w:val="10"/>
                <w:rFonts w:hint="eastAsia"/>
              </w:rPr>
              <w:t>使用技术要求:</w:t>
            </w:r>
            <w:r>
              <w:rPr>
                <w:rFonts w:hint="eastAsia"/>
              </w:rPr>
              <w:br w:type="textWrapping"/>
            </w:r>
            <w:r>
              <w:rPr>
                <w:rStyle w:val="11"/>
                <w:rFonts w:hint="eastAsia"/>
              </w:rPr>
              <w:t>1.非耕地杂草旺盛生长期，以推荐剂量兑水均匀茎叶喷雾施药一次，本品宜在晴天露水干后喷药，用清水将本剂稀释后定向均匀喷雾在杂草叶面上，不得用污水、硬水，以免影响药效。2. 定向喷雾时不能接触作物的任何部位。使用时应注意避免漂移到邻近作物田及果树幼嫩茎叶上，以免产生药害。3. 如施药后4-8小时内降雨，会降低药效，应补喷。4. 避免漂移药害，禁止在田间道路、田埂、果树行间、休耕地、林场林地等农林业区域使用。</w:t>
            </w:r>
          </w:p>
        </w:tc>
      </w:tr>
      <w:tr w14:paraId="642364A4">
        <w:tblPrEx>
          <w:tblCellMar>
            <w:top w:w="0" w:type="dxa"/>
            <w:left w:w="0" w:type="dxa"/>
            <w:bottom w:w="0" w:type="dxa"/>
            <w:right w:w="0" w:type="dxa"/>
          </w:tblCellMar>
        </w:tblPrEx>
        <w:trPr>
          <w:wBefore w:w="0" w:type="auto"/>
          <w:tblCellSpacing w:w="0" w:type="dxa"/>
        </w:trPr>
        <w:tc>
          <w:tcPr>
            <w:tcW w:w="0" w:type="auto"/>
            <w:noWrap w:val="0"/>
            <w:vAlign w:val="center"/>
          </w:tcPr>
          <w:p w14:paraId="42973BAE">
            <w:r>
              <w:rPr>
                <w:rStyle w:val="10"/>
                <w:rFonts w:hint="eastAsia"/>
              </w:rPr>
              <w:t>产品性能:</w:t>
            </w:r>
            <w:r>
              <w:rPr>
                <w:rFonts w:hint="eastAsia"/>
              </w:rPr>
              <w:br w:type="textWrapping"/>
            </w:r>
            <w:r>
              <w:rPr>
                <w:rStyle w:val="11"/>
                <w:rFonts w:hint="eastAsia"/>
              </w:rPr>
              <w:t>本品是一种内吸、传导型、灭生性除草剂，适用于杂草生长旺盛期茎叶喷雾处理，能通过绿色组织吸收，并向茎叶根部传导，将杂草连根杀死。杀草谱广，对非耕地杂草有较好的防治作用。</w:t>
            </w:r>
          </w:p>
        </w:tc>
      </w:tr>
      <w:tr w14:paraId="6D972696">
        <w:tblPrEx>
          <w:tblCellMar>
            <w:top w:w="0" w:type="dxa"/>
            <w:left w:w="0" w:type="dxa"/>
            <w:bottom w:w="0" w:type="dxa"/>
            <w:right w:w="0" w:type="dxa"/>
          </w:tblCellMar>
        </w:tblPrEx>
        <w:trPr>
          <w:wBefore w:w="0" w:type="auto"/>
          <w:tblCellSpacing w:w="0" w:type="dxa"/>
        </w:trPr>
        <w:tc>
          <w:tcPr>
            <w:tcW w:w="0" w:type="auto"/>
            <w:noWrap w:val="0"/>
            <w:vAlign w:val="center"/>
          </w:tcPr>
          <w:p w14:paraId="22B85C13">
            <w:r>
              <w:rPr>
                <w:rStyle w:val="10"/>
                <w:rFonts w:hint="eastAsia"/>
              </w:rPr>
              <w:t>注意事项：</w:t>
            </w:r>
            <w:r>
              <w:rPr>
                <w:rFonts w:hint="eastAsia"/>
              </w:rPr>
              <w:br w:type="textWrapping"/>
            </w:r>
            <w:r>
              <w:rPr>
                <w:rStyle w:val="11"/>
                <w:rFonts w:hint="eastAsia"/>
              </w:rPr>
              <w:t>1.请按照农药安全使用准则使用本品、避免药液接触皮肤、眼睛和污染衣物，避免吸入雾滴。切勿在施药时抽烟或饮食等。施药后洗干净手脸等。 2.选择晴好天气，按防治作物、用药量、使用方法、根据杂草的株高，调节喷头高度，喷雾时勿接触作物绿色部分，以免产生药害。3.本品不和氧化物共存储。4.药液用清水稀释，不得使用污水、混浊水，以免降低药效。5.施用本品后5天内勿割草、放牧和翻地。 6. 本品对眼睛有刺激性，使用时避免接触眼睛，穿戴长衣、长裤、帽子、口罩、手套等防护措施。施药时不能吃东西、吸烟、饮水等；施药后及时洗手洗脸等。7.远离水产养殖区、河塘等水体施药，禁止在河塘等水体中清洗施药器具；鸟类保护区附近禁用；最外围桑树设置为隔离带，蚕室及桑园附近禁用；赤眼蜂等天敌放飞区域禁用。8.勿将本品及其废液弃于水中，以免污染水源。用过的容器应妥善处理，不可做他用，也不可随意丢弃。9.儿童、孕妇及哺乳期妇女禁止接触本品。</w:t>
            </w:r>
          </w:p>
        </w:tc>
      </w:tr>
      <w:tr w14:paraId="768BADF1">
        <w:tblPrEx>
          <w:tblCellMar>
            <w:top w:w="0" w:type="dxa"/>
            <w:left w:w="0" w:type="dxa"/>
            <w:bottom w:w="0" w:type="dxa"/>
            <w:right w:w="0" w:type="dxa"/>
          </w:tblCellMar>
        </w:tblPrEx>
        <w:trPr>
          <w:wBefore w:w="0" w:type="auto"/>
          <w:tblCellSpacing w:w="0" w:type="dxa"/>
        </w:trPr>
        <w:tc>
          <w:tcPr>
            <w:tcW w:w="0" w:type="auto"/>
            <w:noWrap w:val="0"/>
            <w:vAlign w:val="center"/>
          </w:tcPr>
          <w:p w14:paraId="4C225111">
            <w:r>
              <w:rPr>
                <w:rStyle w:val="10"/>
                <w:rFonts w:hint="eastAsia"/>
              </w:rPr>
              <w:t>中毒急救措施：</w:t>
            </w:r>
            <w:r>
              <w:rPr>
                <w:rFonts w:hint="eastAsia"/>
              </w:rPr>
              <w:br w:type="textWrapping"/>
            </w:r>
            <w:r>
              <w:rPr>
                <w:rStyle w:val="11"/>
                <w:rFonts w:hint="eastAsia"/>
              </w:rPr>
              <w:t>中毒症状：头昏、乏力、恶心、呕吐。对眼睛、皮肤和黏膜有刺激作用。急救措施：使用中或使用后如果感觉不适，应立即停止工作，采取急救措施，并携带标签送医院就诊。皮肤接触：脱去污染的衣物，用软布去处沾染农药，立即用大量清水和肥皂冲洗。眼睛溅入：立即用流动清水冲洗不少于15分钟。吸入：立即离开施药现场，转移到空气清新处。误食：立即停止服用，用清水充分漱口后，立即携带农药标签到医院就诊。</w:t>
            </w:r>
          </w:p>
        </w:tc>
      </w:tr>
      <w:tr w14:paraId="345A3FF6">
        <w:tblPrEx>
          <w:tblCellMar>
            <w:top w:w="0" w:type="dxa"/>
            <w:left w:w="0" w:type="dxa"/>
            <w:bottom w:w="0" w:type="dxa"/>
            <w:right w:w="0" w:type="dxa"/>
          </w:tblCellMar>
        </w:tblPrEx>
        <w:trPr>
          <w:wBefore w:w="0" w:type="auto"/>
          <w:tblCellSpacing w:w="0" w:type="dxa"/>
        </w:trPr>
        <w:tc>
          <w:tcPr>
            <w:tcW w:w="0" w:type="auto"/>
            <w:noWrap w:val="0"/>
            <w:vAlign w:val="center"/>
          </w:tcPr>
          <w:p w14:paraId="14FF5C3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本品应贮存在干燥、阴凉、通风、防雨处，远离火源或热源。置于儿童、无关人员及动物触及不到之处，并加锁保存。勿与食品、粮食、饮料、种子、饲料等同贮同运。</w:t>
            </w:r>
          </w:p>
        </w:tc>
      </w:tr>
      <w:tr w14:paraId="04695886">
        <w:tblPrEx>
          <w:tblCellMar>
            <w:top w:w="0" w:type="dxa"/>
            <w:left w:w="0" w:type="dxa"/>
            <w:bottom w:w="0" w:type="dxa"/>
            <w:right w:w="0" w:type="dxa"/>
          </w:tblCellMar>
        </w:tblPrEx>
        <w:trPr>
          <w:wBefore w:w="0" w:type="auto"/>
          <w:tblCellSpacing w:w="0" w:type="dxa"/>
        </w:trPr>
        <w:tc>
          <w:tcPr>
            <w:tcW w:w="0" w:type="auto"/>
            <w:noWrap w:val="0"/>
            <w:vAlign w:val="center"/>
          </w:tcPr>
          <w:p w14:paraId="6AD8CE82">
            <w:r>
              <w:rPr>
                <w:rStyle w:val="10"/>
                <w:rFonts w:hint="eastAsia"/>
              </w:rPr>
              <w:t>质量保证期：</w:t>
            </w:r>
            <w:r>
              <w:rPr>
                <w:rStyle w:val="11"/>
                <w:rFonts w:hint="eastAsia"/>
              </w:rPr>
              <w:t>2年</w:t>
            </w:r>
          </w:p>
        </w:tc>
      </w:tr>
      <w:tr w14:paraId="57601DC3">
        <w:tblPrEx>
          <w:tblCellMar>
            <w:top w:w="0" w:type="dxa"/>
            <w:left w:w="0" w:type="dxa"/>
            <w:bottom w:w="0" w:type="dxa"/>
            <w:right w:w="0" w:type="dxa"/>
          </w:tblCellMar>
        </w:tblPrEx>
        <w:trPr>
          <w:wBefore w:w="0" w:type="auto"/>
          <w:tblCellSpacing w:w="0" w:type="dxa"/>
        </w:trPr>
        <w:tc>
          <w:tcPr>
            <w:tcW w:w="0" w:type="auto"/>
            <w:noWrap w:val="0"/>
            <w:vAlign w:val="center"/>
          </w:tcPr>
          <w:p w14:paraId="4284C789">
            <w:r>
              <w:rPr>
                <w:rStyle w:val="10"/>
                <w:rFonts w:hint="eastAsia"/>
              </w:rPr>
              <w:t>备注：</w:t>
            </w:r>
            <w:r>
              <w:rPr>
                <w:rFonts w:hint="eastAsia"/>
              </w:rPr>
              <w:br w:type="textWrapping"/>
            </w:r>
            <w:r>
              <w:rPr>
                <w:rStyle w:val="11"/>
                <w:rFonts w:hint="eastAsia"/>
              </w:rPr>
              <w:t>草甘膦铵盐33%。</w:t>
            </w:r>
          </w:p>
        </w:tc>
      </w:tr>
    </w:tbl>
    <w:p w14:paraId="04706B2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C173923">
        <w:tblPrEx>
          <w:tblCellMar>
            <w:top w:w="0" w:type="dxa"/>
            <w:left w:w="0" w:type="dxa"/>
            <w:bottom w:w="0" w:type="dxa"/>
            <w:right w:w="0" w:type="dxa"/>
          </w:tblCellMar>
        </w:tblPrEx>
        <w:trPr>
          <w:wBefore w:w="0" w:type="auto"/>
          <w:tblCellSpacing w:w="0" w:type="dxa"/>
        </w:trPr>
        <w:tc>
          <w:tcPr>
            <w:tcW w:w="0" w:type="auto"/>
            <w:noWrap w:val="0"/>
            <w:vAlign w:val="center"/>
          </w:tcPr>
          <w:p w14:paraId="2D3FF2EF">
            <w:r>
              <w:rPr>
                <w:rStyle w:val="10"/>
                <w:rFonts w:hint="eastAsia"/>
              </w:rPr>
              <w:t>登记证号：</w:t>
            </w:r>
            <w:r>
              <w:rPr>
                <w:rFonts w:hint="eastAsia"/>
              </w:rPr>
              <w:t>PD20211806</w:t>
            </w:r>
          </w:p>
        </w:tc>
      </w:tr>
      <w:tr w14:paraId="30126C0B">
        <w:tblPrEx>
          <w:tblCellMar>
            <w:top w:w="0" w:type="dxa"/>
            <w:left w:w="0" w:type="dxa"/>
            <w:bottom w:w="0" w:type="dxa"/>
            <w:right w:w="0" w:type="dxa"/>
          </w:tblCellMar>
        </w:tblPrEx>
        <w:trPr>
          <w:wBefore w:w="0" w:type="auto"/>
          <w:tblCellSpacing w:w="0" w:type="dxa"/>
        </w:trPr>
        <w:tc>
          <w:tcPr>
            <w:tcW w:w="0" w:type="auto"/>
            <w:noWrap w:val="0"/>
            <w:vAlign w:val="center"/>
          </w:tcPr>
          <w:p w14:paraId="325244E9">
            <w:r>
              <w:rPr>
                <w:rStyle w:val="10"/>
                <w:rFonts w:hint="eastAsia"/>
              </w:rPr>
              <w:t>登记证持有人：</w:t>
            </w:r>
            <w:r>
              <w:rPr>
                <w:rFonts w:hint="eastAsia"/>
              </w:rPr>
              <w:t>陕西亿田丰作物科技有限公司</w:t>
            </w:r>
          </w:p>
        </w:tc>
      </w:tr>
      <w:tr w14:paraId="291A6408">
        <w:tblPrEx>
          <w:tblCellMar>
            <w:top w:w="0" w:type="dxa"/>
            <w:left w:w="0" w:type="dxa"/>
            <w:bottom w:w="0" w:type="dxa"/>
            <w:right w:w="0" w:type="dxa"/>
          </w:tblCellMar>
        </w:tblPrEx>
        <w:trPr>
          <w:wBefore w:w="0" w:type="auto"/>
          <w:tblCellSpacing w:w="0" w:type="dxa"/>
        </w:trPr>
        <w:tc>
          <w:tcPr>
            <w:tcW w:w="0" w:type="auto"/>
            <w:noWrap w:val="0"/>
            <w:vAlign w:val="center"/>
          </w:tcPr>
          <w:p w14:paraId="2A12D56C">
            <w:r>
              <w:rPr>
                <w:rStyle w:val="10"/>
                <w:rFonts w:hint="eastAsia"/>
              </w:rPr>
              <w:t>农药名称：</w:t>
            </w:r>
            <w:r>
              <w:rPr>
                <w:rFonts w:hint="eastAsia"/>
              </w:rPr>
              <w:t>氟啶虫酰胺·烯啶虫胺</w:t>
            </w:r>
          </w:p>
        </w:tc>
      </w:tr>
      <w:tr w14:paraId="78A113F0">
        <w:tblPrEx>
          <w:tblCellMar>
            <w:top w:w="0" w:type="dxa"/>
            <w:left w:w="0" w:type="dxa"/>
            <w:bottom w:w="0" w:type="dxa"/>
            <w:right w:w="0" w:type="dxa"/>
          </w:tblCellMar>
        </w:tblPrEx>
        <w:trPr>
          <w:wBefore w:w="0" w:type="auto"/>
          <w:tblCellSpacing w:w="0" w:type="dxa"/>
        </w:trPr>
        <w:tc>
          <w:tcPr>
            <w:tcW w:w="0" w:type="auto"/>
            <w:noWrap w:val="0"/>
            <w:vAlign w:val="center"/>
          </w:tcPr>
          <w:p w14:paraId="1B220056">
            <w:r>
              <w:rPr>
                <w:rStyle w:val="10"/>
                <w:rFonts w:hint="eastAsia"/>
              </w:rPr>
              <w:t>剂型：</w:t>
            </w:r>
            <w:r>
              <w:rPr>
                <w:rFonts w:hint="eastAsia"/>
              </w:rPr>
              <w:t>水分散粒剂</w:t>
            </w:r>
          </w:p>
        </w:tc>
      </w:tr>
      <w:tr w14:paraId="3AE148FF">
        <w:tblPrEx>
          <w:tblCellMar>
            <w:top w:w="0" w:type="dxa"/>
            <w:left w:w="0" w:type="dxa"/>
            <w:bottom w:w="0" w:type="dxa"/>
            <w:right w:w="0" w:type="dxa"/>
          </w:tblCellMar>
        </w:tblPrEx>
        <w:trPr>
          <w:wBefore w:w="0" w:type="auto"/>
          <w:tblCellSpacing w:w="0" w:type="dxa"/>
        </w:trPr>
        <w:tc>
          <w:tcPr>
            <w:tcW w:w="0" w:type="auto"/>
            <w:noWrap w:val="0"/>
            <w:vAlign w:val="center"/>
          </w:tcPr>
          <w:p w14:paraId="39FD53F6">
            <w:r>
              <w:rPr>
                <w:rStyle w:val="10"/>
                <w:rFonts w:hint="eastAsia"/>
              </w:rPr>
              <w:t>毒性及其标识：</w:t>
            </w:r>
            <w:r>
              <w:rPr>
                <w:rFonts w:hint="eastAsia"/>
              </w:rPr>
              <w:t xml:space="preserve"> </w:t>
            </w:r>
            <w:r>
              <w:rPr>
                <w:lang/>
              </w:rPr>
              <w:drawing>
                <wp:inline distT="0" distB="0" distL="114300" distR="114300">
                  <wp:extent cx="476250" cy="323850"/>
                  <wp:effectExtent l="0" t="0" r="0" b="0"/>
                  <wp:docPr id="592" name="图片 59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59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D9DDFF4">
        <w:tblPrEx>
          <w:tblCellMar>
            <w:top w:w="0" w:type="dxa"/>
            <w:left w:w="0" w:type="dxa"/>
            <w:bottom w:w="0" w:type="dxa"/>
            <w:right w:w="0" w:type="dxa"/>
          </w:tblCellMar>
        </w:tblPrEx>
        <w:trPr>
          <w:wBefore w:w="0" w:type="auto"/>
          <w:tblCellSpacing w:w="0" w:type="dxa"/>
        </w:trPr>
        <w:tc>
          <w:tcPr>
            <w:tcW w:w="0" w:type="auto"/>
            <w:noWrap w:val="0"/>
            <w:vAlign w:val="center"/>
          </w:tcPr>
          <w:p w14:paraId="0D98F95B">
            <w:r>
              <w:rPr>
                <w:rStyle w:val="10"/>
                <w:rFonts w:hint="eastAsia"/>
              </w:rPr>
              <w:t>总有效成分含量：</w:t>
            </w:r>
            <w:r>
              <w:rPr>
                <w:rFonts w:hint="eastAsia"/>
              </w:rPr>
              <w:t>60%</w:t>
            </w:r>
          </w:p>
        </w:tc>
      </w:tr>
      <w:tr w14:paraId="24A8207E">
        <w:tblPrEx>
          <w:tblCellMar>
            <w:top w:w="0" w:type="dxa"/>
            <w:left w:w="0" w:type="dxa"/>
            <w:bottom w:w="0" w:type="dxa"/>
            <w:right w:w="0" w:type="dxa"/>
          </w:tblCellMar>
        </w:tblPrEx>
        <w:trPr>
          <w:wBefore w:w="0" w:type="auto"/>
          <w:tblCellSpacing w:w="0" w:type="dxa"/>
        </w:trPr>
        <w:tc>
          <w:tcPr>
            <w:tcW w:w="0" w:type="auto"/>
            <w:noWrap w:val="0"/>
            <w:vAlign w:val="center"/>
          </w:tcPr>
          <w:p w14:paraId="6419E621">
            <w:r>
              <w:rPr>
                <w:rFonts w:hint="eastAsia"/>
              </w:rPr>
              <w:t xml:space="preserve">有效成分及其含量： </w:t>
            </w:r>
          </w:p>
          <w:p w14:paraId="0B272533">
            <w:r>
              <w:rPr>
                <w:rFonts w:hint="eastAsia"/>
              </w:rPr>
              <w:t xml:space="preserve">    烯啶虫胺40%    氟啶虫酰胺20%    </w:t>
            </w:r>
          </w:p>
        </w:tc>
      </w:tr>
      <w:tr w14:paraId="0EF8E09F">
        <w:tblPrEx>
          <w:tblCellMar>
            <w:top w:w="0" w:type="dxa"/>
            <w:left w:w="0" w:type="dxa"/>
            <w:bottom w:w="0" w:type="dxa"/>
            <w:right w:w="0" w:type="dxa"/>
          </w:tblCellMar>
        </w:tblPrEx>
        <w:trPr>
          <w:wBefore w:w="0" w:type="auto"/>
          <w:tblCellSpacing w:w="0" w:type="dxa"/>
        </w:trPr>
        <w:tc>
          <w:tcPr>
            <w:tcW w:w="0" w:type="auto"/>
            <w:noWrap w:val="0"/>
            <w:vAlign w:val="center"/>
          </w:tcPr>
          <w:p w14:paraId="4519C0C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49EEA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C6A8E5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F40099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C10391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84BF8EE">
                  <w:r>
                    <w:rPr>
                      <w:rStyle w:val="11"/>
                      <w:rFonts w:hint="eastAsia"/>
                    </w:rPr>
                    <w:t>施用方式</w:t>
                  </w:r>
                </w:p>
              </w:tc>
            </w:tr>
            <w:tr w14:paraId="4DD8387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BBE6F15">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D6A678B">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6A07958">
                  <w:r>
                    <w:rPr>
                      <w:rStyle w:val="11"/>
                      <w:rFonts w:hint="eastAsia"/>
                    </w:rPr>
                    <w:t>2-3克/亩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27AD15">
                  <w:r>
                    <w:rPr>
                      <w:rStyle w:val="11"/>
                      <w:rFonts w:hint="eastAsia"/>
                    </w:rPr>
                    <w:t>喷雾</w:t>
                  </w:r>
                </w:p>
              </w:tc>
            </w:tr>
          </w:tbl>
          <w:p w14:paraId="3EF9306F">
            <w:pPr>
              <w:rPr>
                <w:rFonts w:ascii="Times New Roman" w:hAnsi="Times New Roman" w:cs="Times New Roman"/>
                <w:sz w:val="20"/>
                <w:szCs w:val="20"/>
              </w:rPr>
            </w:pPr>
          </w:p>
        </w:tc>
      </w:tr>
      <w:tr w14:paraId="6CFCB739">
        <w:tblPrEx>
          <w:tblCellMar>
            <w:top w:w="0" w:type="dxa"/>
            <w:left w:w="0" w:type="dxa"/>
            <w:bottom w:w="0" w:type="dxa"/>
            <w:right w:w="0" w:type="dxa"/>
          </w:tblCellMar>
        </w:tblPrEx>
        <w:trPr>
          <w:wBefore w:w="0" w:type="auto"/>
          <w:tblCellSpacing w:w="0" w:type="dxa"/>
        </w:trPr>
        <w:tc>
          <w:tcPr>
            <w:tcW w:w="0" w:type="auto"/>
            <w:noWrap w:val="0"/>
            <w:vAlign w:val="center"/>
          </w:tcPr>
          <w:p w14:paraId="1D2CE103">
            <w:r>
              <w:rPr>
                <w:rStyle w:val="10"/>
                <w:rFonts w:hint="eastAsia"/>
              </w:rPr>
              <w:t>使用技术要求:</w:t>
            </w:r>
            <w:r>
              <w:rPr>
                <w:rFonts w:hint="eastAsia"/>
              </w:rPr>
              <w:br w:type="textWrapping"/>
            </w:r>
            <w:r>
              <w:rPr>
                <w:rStyle w:val="11"/>
                <w:rFonts w:hint="eastAsia"/>
              </w:rPr>
              <w:t>1. 本品适宜施药时期为棉花蚜虫发生始盛期施药，共施药1次，注意喷雾均匀、周到，以确保药效。2. 大风天或预计1小时内降雨，请勿施药。3.本品在棉花使用时的安全间隔期为14天，每季作物最多使用1次。</w:t>
            </w:r>
          </w:p>
        </w:tc>
      </w:tr>
      <w:tr w14:paraId="59EBC21E">
        <w:tblPrEx>
          <w:tblCellMar>
            <w:top w:w="0" w:type="dxa"/>
            <w:left w:w="0" w:type="dxa"/>
            <w:bottom w:w="0" w:type="dxa"/>
            <w:right w:w="0" w:type="dxa"/>
          </w:tblCellMar>
        </w:tblPrEx>
        <w:trPr>
          <w:wBefore w:w="0" w:type="auto"/>
          <w:tblCellSpacing w:w="0" w:type="dxa"/>
        </w:trPr>
        <w:tc>
          <w:tcPr>
            <w:tcW w:w="0" w:type="auto"/>
            <w:noWrap w:val="0"/>
            <w:vAlign w:val="center"/>
          </w:tcPr>
          <w:p w14:paraId="616F7D3D">
            <w:r>
              <w:rPr>
                <w:rStyle w:val="10"/>
                <w:rFonts w:hint="eastAsia"/>
              </w:rPr>
              <w:t>产品性能:</w:t>
            </w:r>
            <w:r>
              <w:rPr>
                <w:rFonts w:hint="eastAsia"/>
              </w:rPr>
              <w:br w:type="textWrapping"/>
            </w:r>
            <w:r>
              <w:rPr>
                <w:rStyle w:val="11"/>
                <w:rFonts w:hint="eastAsia"/>
              </w:rPr>
              <w:t>本品是由氟啶虫酰胺与烯啶虫胺复配而成的杀虫剂。氟啶虫酰胺是一种新型低毒吡啶酰胺类昆虫生长调节剂类杀虫剂，具有触杀和胃毒作用；烯啶虫胺主要作用于昆虫神经系统，对害虫的突触受体具有神经阻断作用，导致神经的轴突触隔膜电位通道刺激消失，致使害虫麻痹死亡。两者混配，优势互补，对棉花蚜虫有较好的防治效果。</w:t>
            </w:r>
          </w:p>
        </w:tc>
      </w:tr>
      <w:tr w14:paraId="3DCEB275">
        <w:tblPrEx>
          <w:tblCellMar>
            <w:top w:w="0" w:type="dxa"/>
            <w:left w:w="0" w:type="dxa"/>
            <w:bottom w:w="0" w:type="dxa"/>
            <w:right w:w="0" w:type="dxa"/>
          </w:tblCellMar>
        </w:tblPrEx>
        <w:trPr>
          <w:wBefore w:w="0" w:type="auto"/>
          <w:tblCellSpacing w:w="0" w:type="dxa"/>
        </w:trPr>
        <w:tc>
          <w:tcPr>
            <w:tcW w:w="0" w:type="auto"/>
            <w:noWrap w:val="0"/>
            <w:vAlign w:val="center"/>
          </w:tcPr>
          <w:p w14:paraId="4545797D">
            <w:r>
              <w:rPr>
                <w:rStyle w:val="10"/>
                <w:rFonts w:hint="eastAsia"/>
              </w:rPr>
              <w:t>注意事项：</w:t>
            </w:r>
            <w:r>
              <w:rPr>
                <w:rFonts w:hint="eastAsia"/>
              </w:rPr>
              <w:br w:type="textWrapping"/>
            </w:r>
            <w:r>
              <w:rPr>
                <w:rStyle w:val="11"/>
                <w:rFonts w:hint="eastAsia"/>
              </w:rPr>
              <w:t>1. 严格按规定用药量和方法使用。 2. 建议与其他作用机制不同的杀虫剂轮换使用，以延缓抗性产生。 3. 本品对蜂、蚕有毒，施药期间应避免对周围蜂群的影响，（周围）开花植物花期、蚕室及桑园附近禁用；禁止在河塘等水体中清洗施药器具；赤眼蜂（或其他代表性天敌）等天敌放飞区域禁用。 4. 对眼睛有中度刺激性，使用时避免接触眼睛，穿戴长衣、长裤、帽子、口罩、手套等防护措施。施药期间不可吃东西、饮水、吸烟等；施药后应及时洗手、洗脸并洗涤施药时穿着的衣物。 5. 用药后包装物及用过的容器应妥善处理，不可做他用，也不可随意丢弃。 6. 孕妇及哺乳期妇女禁止接触本品。</w:t>
            </w:r>
          </w:p>
        </w:tc>
      </w:tr>
      <w:tr w14:paraId="4BBE8CBB">
        <w:tblPrEx>
          <w:tblCellMar>
            <w:top w:w="0" w:type="dxa"/>
            <w:left w:w="0" w:type="dxa"/>
            <w:bottom w:w="0" w:type="dxa"/>
            <w:right w:w="0" w:type="dxa"/>
          </w:tblCellMar>
        </w:tblPrEx>
        <w:trPr>
          <w:wBefore w:w="0" w:type="auto"/>
          <w:tblCellSpacing w:w="0" w:type="dxa"/>
        </w:trPr>
        <w:tc>
          <w:tcPr>
            <w:tcW w:w="0" w:type="auto"/>
            <w:noWrap w:val="0"/>
            <w:vAlign w:val="center"/>
          </w:tcPr>
          <w:p w14:paraId="76E84B9D">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食：立即停止服用，用清水充分漱口后，携带农药标签到医院就诊，对症治疗。</w:t>
            </w:r>
          </w:p>
        </w:tc>
      </w:tr>
      <w:tr w14:paraId="662E7281">
        <w:tblPrEx>
          <w:tblCellMar>
            <w:top w:w="0" w:type="dxa"/>
            <w:left w:w="0" w:type="dxa"/>
            <w:bottom w:w="0" w:type="dxa"/>
            <w:right w:w="0" w:type="dxa"/>
          </w:tblCellMar>
        </w:tblPrEx>
        <w:trPr>
          <w:wBefore w:w="0" w:type="auto"/>
          <w:tblCellSpacing w:w="0" w:type="dxa"/>
        </w:trPr>
        <w:tc>
          <w:tcPr>
            <w:tcW w:w="0" w:type="auto"/>
            <w:noWrap w:val="0"/>
            <w:vAlign w:val="center"/>
          </w:tcPr>
          <w:p w14:paraId="4CF3EE75">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本品应贮存在干燥、阴凉、通风、防雨处，远离火源或热源。置于儿童、无关人员及动物接触不到的地方，并加锁保存。勿与食品、种子、饮料、饲料和粮食等其他商品同贮同运。</w:t>
            </w:r>
          </w:p>
        </w:tc>
      </w:tr>
      <w:tr w14:paraId="507CA5F6">
        <w:tblPrEx>
          <w:tblCellMar>
            <w:top w:w="0" w:type="dxa"/>
            <w:left w:w="0" w:type="dxa"/>
            <w:bottom w:w="0" w:type="dxa"/>
            <w:right w:w="0" w:type="dxa"/>
          </w:tblCellMar>
        </w:tblPrEx>
        <w:trPr>
          <w:wBefore w:w="0" w:type="auto"/>
          <w:tblCellSpacing w:w="0" w:type="dxa"/>
        </w:trPr>
        <w:tc>
          <w:tcPr>
            <w:tcW w:w="0" w:type="auto"/>
            <w:noWrap w:val="0"/>
            <w:vAlign w:val="center"/>
          </w:tcPr>
          <w:p w14:paraId="456A4458">
            <w:r>
              <w:rPr>
                <w:rStyle w:val="10"/>
                <w:rFonts w:hint="eastAsia"/>
              </w:rPr>
              <w:t>质量保证期：</w:t>
            </w:r>
            <w:r>
              <w:rPr>
                <w:rStyle w:val="11"/>
                <w:rFonts w:hint="eastAsia"/>
              </w:rPr>
              <w:t>2年</w:t>
            </w:r>
          </w:p>
        </w:tc>
      </w:tr>
      <w:tr w14:paraId="655F04EE">
        <w:tblPrEx>
          <w:tblCellMar>
            <w:top w:w="0" w:type="dxa"/>
            <w:left w:w="0" w:type="dxa"/>
            <w:bottom w:w="0" w:type="dxa"/>
            <w:right w:w="0" w:type="dxa"/>
          </w:tblCellMar>
        </w:tblPrEx>
        <w:trPr>
          <w:wBefore w:w="0" w:type="auto"/>
          <w:tblCellSpacing w:w="0" w:type="dxa"/>
        </w:trPr>
        <w:tc>
          <w:tcPr>
            <w:tcW w:w="0" w:type="auto"/>
            <w:noWrap w:val="0"/>
            <w:vAlign w:val="center"/>
          </w:tcPr>
          <w:p w14:paraId="41224BCF">
            <w:r>
              <w:rPr>
                <w:rStyle w:val="10"/>
                <w:rFonts w:hint="eastAsia"/>
              </w:rPr>
              <w:t>备注：</w:t>
            </w:r>
          </w:p>
        </w:tc>
      </w:tr>
    </w:tbl>
    <w:p w14:paraId="63F130B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A6EC22C">
        <w:tblPrEx>
          <w:tblCellMar>
            <w:top w:w="0" w:type="dxa"/>
            <w:left w:w="0" w:type="dxa"/>
            <w:bottom w:w="0" w:type="dxa"/>
            <w:right w:w="0" w:type="dxa"/>
          </w:tblCellMar>
        </w:tblPrEx>
        <w:trPr>
          <w:wBefore w:w="0" w:type="auto"/>
          <w:tblCellSpacing w:w="0" w:type="dxa"/>
        </w:trPr>
        <w:tc>
          <w:tcPr>
            <w:tcW w:w="0" w:type="auto"/>
            <w:noWrap w:val="0"/>
            <w:vAlign w:val="center"/>
          </w:tcPr>
          <w:p w14:paraId="04074B1D">
            <w:r>
              <w:rPr>
                <w:rStyle w:val="10"/>
                <w:rFonts w:hint="eastAsia"/>
              </w:rPr>
              <w:t>登记证号：</w:t>
            </w:r>
            <w:r>
              <w:rPr>
                <w:rFonts w:hint="eastAsia"/>
              </w:rPr>
              <w:t>PD20212136</w:t>
            </w:r>
          </w:p>
        </w:tc>
      </w:tr>
      <w:tr w14:paraId="4CE9DB0C">
        <w:tblPrEx>
          <w:tblCellMar>
            <w:top w:w="0" w:type="dxa"/>
            <w:left w:w="0" w:type="dxa"/>
            <w:bottom w:w="0" w:type="dxa"/>
            <w:right w:w="0" w:type="dxa"/>
          </w:tblCellMar>
        </w:tblPrEx>
        <w:trPr>
          <w:wBefore w:w="0" w:type="auto"/>
          <w:tblCellSpacing w:w="0" w:type="dxa"/>
        </w:trPr>
        <w:tc>
          <w:tcPr>
            <w:tcW w:w="0" w:type="auto"/>
            <w:noWrap w:val="0"/>
            <w:vAlign w:val="center"/>
          </w:tcPr>
          <w:p w14:paraId="1D515792">
            <w:r>
              <w:rPr>
                <w:rStyle w:val="10"/>
                <w:rFonts w:hint="eastAsia"/>
              </w:rPr>
              <w:t>登记证持有人：</w:t>
            </w:r>
            <w:r>
              <w:rPr>
                <w:rFonts w:hint="eastAsia"/>
              </w:rPr>
              <w:t>湖南新长山农业发展股份有限公司</w:t>
            </w:r>
          </w:p>
        </w:tc>
      </w:tr>
      <w:tr w14:paraId="0C1549B2">
        <w:tblPrEx>
          <w:tblCellMar>
            <w:top w:w="0" w:type="dxa"/>
            <w:left w:w="0" w:type="dxa"/>
            <w:bottom w:w="0" w:type="dxa"/>
            <w:right w:w="0" w:type="dxa"/>
          </w:tblCellMar>
        </w:tblPrEx>
        <w:trPr>
          <w:wBefore w:w="0" w:type="auto"/>
          <w:tblCellSpacing w:w="0" w:type="dxa"/>
        </w:trPr>
        <w:tc>
          <w:tcPr>
            <w:tcW w:w="0" w:type="auto"/>
            <w:noWrap w:val="0"/>
            <w:vAlign w:val="center"/>
          </w:tcPr>
          <w:p w14:paraId="48D8BC08">
            <w:r>
              <w:rPr>
                <w:rStyle w:val="10"/>
                <w:rFonts w:hint="eastAsia"/>
              </w:rPr>
              <w:t>农药名称：</w:t>
            </w:r>
            <w:r>
              <w:rPr>
                <w:rFonts w:hint="eastAsia"/>
              </w:rPr>
              <w:t>异甲·嗪草酮</w:t>
            </w:r>
          </w:p>
        </w:tc>
      </w:tr>
      <w:tr w14:paraId="713BEC6B">
        <w:tblPrEx>
          <w:tblCellMar>
            <w:top w:w="0" w:type="dxa"/>
            <w:left w:w="0" w:type="dxa"/>
            <w:bottom w:w="0" w:type="dxa"/>
            <w:right w:w="0" w:type="dxa"/>
          </w:tblCellMar>
        </w:tblPrEx>
        <w:trPr>
          <w:wBefore w:w="0" w:type="auto"/>
          <w:tblCellSpacing w:w="0" w:type="dxa"/>
        </w:trPr>
        <w:tc>
          <w:tcPr>
            <w:tcW w:w="0" w:type="auto"/>
            <w:noWrap w:val="0"/>
            <w:vAlign w:val="center"/>
          </w:tcPr>
          <w:p w14:paraId="15946FDA">
            <w:r>
              <w:rPr>
                <w:rStyle w:val="10"/>
                <w:rFonts w:hint="eastAsia"/>
              </w:rPr>
              <w:t>剂型：</w:t>
            </w:r>
            <w:r>
              <w:rPr>
                <w:rFonts w:hint="eastAsia"/>
              </w:rPr>
              <w:t>乳油</w:t>
            </w:r>
          </w:p>
        </w:tc>
      </w:tr>
      <w:tr w14:paraId="40C6BC68">
        <w:tblPrEx>
          <w:tblCellMar>
            <w:top w:w="0" w:type="dxa"/>
            <w:left w:w="0" w:type="dxa"/>
            <w:bottom w:w="0" w:type="dxa"/>
            <w:right w:w="0" w:type="dxa"/>
          </w:tblCellMar>
        </w:tblPrEx>
        <w:trPr>
          <w:wBefore w:w="0" w:type="auto"/>
          <w:tblCellSpacing w:w="0" w:type="dxa"/>
        </w:trPr>
        <w:tc>
          <w:tcPr>
            <w:tcW w:w="0" w:type="auto"/>
            <w:noWrap w:val="0"/>
            <w:vAlign w:val="center"/>
          </w:tcPr>
          <w:p w14:paraId="0B71D37D">
            <w:r>
              <w:rPr>
                <w:rStyle w:val="10"/>
                <w:rFonts w:hint="eastAsia"/>
              </w:rPr>
              <w:t>毒性及其标识：</w:t>
            </w:r>
            <w:r>
              <w:rPr>
                <w:rFonts w:hint="eastAsia"/>
              </w:rPr>
              <w:t xml:space="preserve"> </w:t>
            </w:r>
            <w:r>
              <w:rPr>
                <w:lang/>
              </w:rPr>
              <w:drawing>
                <wp:inline distT="0" distB="0" distL="114300" distR="114300">
                  <wp:extent cx="476250" cy="323850"/>
                  <wp:effectExtent l="0" t="0" r="0" b="0"/>
                  <wp:docPr id="593" name="图片 59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7A3F924">
        <w:tblPrEx>
          <w:tblCellMar>
            <w:top w:w="0" w:type="dxa"/>
            <w:left w:w="0" w:type="dxa"/>
            <w:bottom w:w="0" w:type="dxa"/>
            <w:right w:w="0" w:type="dxa"/>
          </w:tblCellMar>
        </w:tblPrEx>
        <w:trPr>
          <w:wBefore w:w="0" w:type="auto"/>
          <w:tblCellSpacing w:w="0" w:type="dxa"/>
        </w:trPr>
        <w:tc>
          <w:tcPr>
            <w:tcW w:w="0" w:type="auto"/>
            <w:noWrap w:val="0"/>
            <w:vAlign w:val="center"/>
          </w:tcPr>
          <w:p w14:paraId="555807B8">
            <w:r>
              <w:rPr>
                <w:rStyle w:val="10"/>
                <w:rFonts w:hint="eastAsia"/>
              </w:rPr>
              <w:t>总有效成分含量：</w:t>
            </w:r>
            <w:r>
              <w:rPr>
                <w:rFonts w:hint="eastAsia"/>
              </w:rPr>
              <w:t>42%</w:t>
            </w:r>
          </w:p>
        </w:tc>
      </w:tr>
      <w:tr w14:paraId="0CEC0C63">
        <w:tblPrEx>
          <w:tblCellMar>
            <w:top w:w="0" w:type="dxa"/>
            <w:left w:w="0" w:type="dxa"/>
            <w:bottom w:w="0" w:type="dxa"/>
            <w:right w:w="0" w:type="dxa"/>
          </w:tblCellMar>
        </w:tblPrEx>
        <w:trPr>
          <w:wBefore w:w="0" w:type="auto"/>
          <w:tblCellSpacing w:w="0" w:type="dxa"/>
        </w:trPr>
        <w:tc>
          <w:tcPr>
            <w:tcW w:w="0" w:type="auto"/>
            <w:noWrap w:val="0"/>
            <w:vAlign w:val="center"/>
          </w:tcPr>
          <w:p w14:paraId="4C6679FB">
            <w:r>
              <w:rPr>
                <w:rFonts w:hint="eastAsia"/>
              </w:rPr>
              <w:t xml:space="preserve">有效成分及其含量： </w:t>
            </w:r>
          </w:p>
          <w:p w14:paraId="61DDBDC0">
            <w:r>
              <w:rPr>
                <w:rFonts w:hint="eastAsia"/>
              </w:rPr>
              <w:t xml:space="preserve">    异丙甲草胺30%    嗪草酮12%    </w:t>
            </w:r>
          </w:p>
        </w:tc>
      </w:tr>
      <w:tr w14:paraId="78FA3B73">
        <w:tblPrEx>
          <w:tblCellMar>
            <w:top w:w="0" w:type="dxa"/>
            <w:left w:w="0" w:type="dxa"/>
            <w:bottom w:w="0" w:type="dxa"/>
            <w:right w:w="0" w:type="dxa"/>
          </w:tblCellMar>
        </w:tblPrEx>
        <w:trPr>
          <w:wBefore w:w="0" w:type="auto"/>
          <w:tblCellSpacing w:w="0" w:type="dxa"/>
        </w:trPr>
        <w:tc>
          <w:tcPr>
            <w:tcW w:w="0" w:type="auto"/>
            <w:noWrap w:val="0"/>
            <w:vAlign w:val="center"/>
          </w:tcPr>
          <w:p w14:paraId="5B12CF9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29EF7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335F16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6437F7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189647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647A71F">
                  <w:r>
                    <w:rPr>
                      <w:rStyle w:val="11"/>
                      <w:rFonts w:hint="eastAsia"/>
                    </w:rPr>
                    <w:t>施用方式</w:t>
                  </w:r>
                </w:p>
              </w:tc>
            </w:tr>
            <w:tr w14:paraId="09A25B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AF70893">
                  <w:r>
                    <w:rPr>
                      <w:rStyle w:val="11"/>
                      <w:rFonts w:hint="eastAsia"/>
                    </w:rPr>
                    <w:t>马铃薯田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4AC042A">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B658143">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732F59">
                  <w:r>
                    <w:rPr>
                      <w:rStyle w:val="11"/>
                      <w:rFonts w:hint="eastAsia"/>
                    </w:rPr>
                    <w:t>土壤喷雾</w:t>
                  </w:r>
                </w:p>
              </w:tc>
            </w:tr>
          </w:tbl>
          <w:p w14:paraId="3745AD97">
            <w:pPr>
              <w:rPr>
                <w:rFonts w:ascii="Times New Roman" w:hAnsi="Times New Roman" w:cs="Times New Roman"/>
                <w:sz w:val="20"/>
                <w:szCs w:val="20"/>
              </w:rPr>
            </w:pPr>
          </w:p>
        </w:tc>
      </w:tr>
      <w:tr w14:paraId="39A5AF83">
        <w:tblPrEx>
          <w:tblCellMar>
            <w:top w:w="0" w:type="dxa"/>
            <w:left w:w="0" w:type="dxa"/>
            <w:bottom w:w="0" w:type="dxa"/>
            <w:right w:w="0" w:type="dxa"/>
          </w:tblCellMar>
        </w:tblPrEx>
        <w:trPr>
          <w:wBefore w:w="0" w:type="auto"/>
          <w:tblCellSpacing w:w="0" w:type="dxa"/>
        </w:trPr>
        <w:tc>
          <w:tcPr>
            <w:tcW w:w="0" w:type="auto"/>
            <w:noWrap w:val="0"/>
            <w:vAlign w:val="center"/>
          </w:tcPr>
          <w:p w14:paraId="746F27A4">
            <w:r>
              <w:rPr>
                <w:rStyle w:val="10"/>
                <w:rFonts w:hint="eastAsia"/>
              </w:rPr>
              <w:t>使用技术要求:</w:t>
            </w:r>
            <w:r>
              <w:rPr>
                <w:rFonts w:hint="eastAsia"/>
              </w:rPr>
              <w:br w:type="textWrapping"/>
            </w:r>
            <w:r>
              <w:rPr>
                <w:rStyle w:val="11"/>
                <w:rFonts w:hint="eastAsia"/>
              </w:rPr>
              <w:t>1. 马铃薯播后苗前，以推荐剂量兑水均匀土壤喷雾施药一次。2. 施药时注意药量准确，做到均匀喷洒，尽量在无风时施药，避免雾滴漂移，危害周围作物。3. 每季作物最多使用1次。4. 施药时防止飘移到邻近作物田，以免产生药害；嗪草酮土壤残效期较长，注意合理安排后茬作物，保证安全间隔期。</w:t>
            </w:r>
          </w:p>
        </w:tc>
      </w:tr>
      <w:tr w14:paraId="78869D57">
        <w:tblPrEx>
          <w:tblCellMar>
            <w:top w:w="0" w:type="dxa"/>
            <w:left w:w="0" w:type="dxa"/>
            <w:bottom w:w="0" w:type="dxa"/>
            <w:right w:w="0" w:type="dxa"/>
          </w:tblCellMar>
        </w:tblPrEx>
        <w:trPr>
          <w:wBefore w:w="0" w:type="auto"/>
          <w:tblCellSpacing w:w="0" w:type="dxa"/>
        </w:trPr>
        <w:tc>
          <w:tcPr>
            <w:tcW w:w="0" w:type="auto"/>
            <w:noWrap w:val="0"/>
            <w:vAlign w:val="center"/>
          </w:tcPr>
          <w:p w14:paraId="2B74D610">
            <w:r>
              <w:rPr>
                <w:rStyle w:val="10"/>
                <w:rFonts w:hint="eastAsia"/>
              </w:rPr>
              <w:t>产品性能:</w:t>
            </w:r>
            <w:r>
              <w:rPr>
                <w:rFonts w:hint="eastAsia"/>
              </w:rPr>
              <w:br w:type="textWrapping"/>
            </w:r>
            <w:r>
              <w:rPr>
                <w:rStyle w:val="11"/>
                <w:rFonts w:hint="eastAsia"/>
              </w:rPr>
              <w:t>本品为复配的苗前土壤处理剂，主要通过植物的幼芽吸收并向上传导，抑制幼芽与根的生长，两者混配优势互补，对马铃薯田一年生杂草有良好的防治效果。</w:t>
            </w:r>
          </w:p>
        </w:tc>
      </w:tr>
      <w:tr w14:paraId="0A2E42ED">
        <w:tblPrEx>
          <w:tblCellMar>
            <w:top w:w="0" w:type="dxa"/>
            <w:left w:w="0" w:type="dxa"/>
            <w:bottom w:w="0" w:type="dxa"/>
            <w:right w:w="0" w:type="dxa"/>
          </w:tblCellMar>
        </w:tblPrEx>
        <w:trPr>
          <w:wBefore w:w="0" w:type="auto"/>
          <w:tblCellSpacing w:w="0" w:type="dxa"/>
        </w:trPr>
        <w:tc>
          <w:tcPr>
            <w:tcW w:w="0" w:type="auto"/>
            <w:noWrap w:val="0"/>
            <w:vAlign w:val="center"/>
          </w:tcPr>
          <w:p w14:paraId="4310A06D">
            <w:r>
              <w:rPr>
                <w:rStyle w:val="10"/>
                <w:rFonts w:hint="eastAsia"/>
              </w:rPr>
              <w:t>注意事项：</w:t>
            </w:r>
            <w:r>
              <w:rPr>
                <w:rFonts w:hint="eastAsia"/>
              </w:rPr>
              <w:br w:type="textWrapping"/>
            </w:r>
            <w:r>
              <w:rPr>
                <w:rStyle w:val="11"/>
                <w:rFonts w:hint="eastAsia"/>
              </w:rPr>
              <w:t>1.使用本品时应穿戴防护服、口罩和手套，避免吸入药液。施药期间不可吃东西、饮水和吸烟。施药后应及时洗手和洗脸。2.远离水产养殖区、河塘等水体施药，禁止在河塘等水域清洗施药器具。3. （周围）开花植物花期禁用；赤眼蜂等天敌放飞区域禁用。4.用过的容器应妥善处理，不可做他用，也不可随意丢弃。5. 避免孕妇及哺乳期的妇女接触本品。6. 避免与氧化剂接触。</w:t>
            </w:r>
          </w:p>
        </w:tc>
      </w:tr>
      <w:tr w14:paraId="233EF64A">
        <w:tblPrEx>
          <w:tblCellMar>
            <w:top w:w="0" w:type="dxa"/>
            <w:left w:w="0" w:type="dxa"/>
            <w:bottom w:w="0" w:type="dxa"/>
            <w:right w:w="0" w:type="dxa"/>
          </w:tblCellMar>
        </w:tblPrEx>
        <w:trPr>
          <w:wBefore w:w="0" w:type="auto"/>
          <w:tblCellSpacing w:w="0" w:type="dxa"/>
        </w:trPr>
        <w:tc>
          <w:tcPr>
            <w:tcW w:w="0" w:type="auto"/>
            <w:noWrap w:val="0"/>
            <w:vAlign w:val="center"/>
          </w:tcPr>
          <w:p w14:paraId="6D3E57FE">
            <w:r>
              <w:rPr>
                <w:rStyle w:val="10"/>
                <w:rFonts w:hint="eastAsia"/>
              </w:rPr>
              <w:t>中毒急救措施：</w:t>
            </w:r>
            <w:r>
              <w:rPr>
                <w:rFonts w:hint="eastAsia"/>
              </w:rPr>
              <w:br w:type="textWrapping"/>
            </w:r>
            <w:r>
              <w:rPr>
                <w:rStyle w:val="11"/>
                <w:rFonts w:hint="eastAsia"/>
              </w:rPr>
              <w:t>不慎吸入，应将病人移至空气流通处。不慎接触皮肤或溅入眼睛，应用大量清水冲洗至少15分钟。如误服，请用水充分漱口后，并立即携此标签将病人送医院诊治。</w:t>
            </w:r>
          </w:p>
        </w:tc>
      </w:tr>
      <w:tr w14:paraId="12112B78">
        <w:tblPrEx>
          <w:tblCellMar>
            <w:top w:w="0" w:type="dxa"/>
            <w:left w:w="0" w:type="dxa"/>
            <w:bottom w:w="0" w:type="dxa"/>
            <w:right w:w="0" w:type="dxa"/>
          </w:tblCellMar>
        </w:tblPrEx>
        <w:trPr>
          <w:wBefore w:w="0" w:type="auto"/>
          <w:tblCellSpacing w:w="0" w:type="dxa"/>
        </w:trPr>
        <w:tc>
          <w:tcPr>
            <w:tcW w:w="0" w:type="auto"/>
            <w:noWrap w:val="0"/>
            <w:vAlign w:val="center"/>
          </w:tcPr>
          <w:p w14:paraId="2F68DB9C">
            <w:r>
              <w:rPr>
                <w:rStyle w:val="10"/>
                <w:rFonts w:hint="eastAsia"/>
              </w:rPr>
              <w:t>储存和运输方法：</w:t>
            </w:r>
            <w:r>
              <w:rPr>
                <w:rFonts w:hint="eastAsia"/>
              </w:rPr>
              <w:br w:type="textWrapping"/>
            </w:r>
            <w:r>
              <w:rPr>
                <w:rStyle w:val="11"/>
                <w:rFonts w:hint="eastAsia"/>
              </w:rPr>
              <w:t>本品为易燃液体，应贮存在干燥、阴凉、通风、防雨处，远离火源或热源。置于儿童、无关人员触及不到之处，并加锁保存。勿与粮食、食品、饮料、饲料等其他商品同贮同运。</w:t>
            </w:r>
          </w:p>
        </w:tc>
      </w:tr>
      <w:tr w14:paraId="111EDF2C">
        <w:tblPrEx>
          <w:tblCellMar>
            <w:top w:w="0" w:type="dxa"/>
            <w:left w:w="0" w:type="dxa"/>
            <w:bottom w:w="0" w:type="dxa"/>
            <w:right w:w="0" w:type="dxa"/>
          </w:tblCellMar>
        </w:tblPrEx>
        <w:trPr>
          <w:wBefore w:w="0" w:type="auto"/>
          <w:tblCellSpacing w:w="0" w:type="dxa"/>
        </w:trPr>
        <w:tc>
          <w:tcPr>
            <w:tcW w:w="0" w:type="auto"/>
            <w:noWrap w:val="0"/>
            <w:vAlign w:val="center"/>
          </w:tcPr>
          <w:p w14:paraId="2288F26D">
            <w:r>
              <w:rPr>
                <w:rStyle w:val="10"/>
                <w:rFonts w:hint="eastAsia"/>
              </w:rPr>
              <w:t>质量保证期：</w:t>
            </w:r>
            <w:r>
              <w:rPr>
                <w:rStyle w:val="11"/>
                <w:rFonts w:hint="eastAsia"/>
              </w:rPr>
              <w:t>2年</w:t>
            </w:r>
          </w:p>
        </w:tc>
      </w:tr>
      <w:tr w14:paraId="0023119B">
        <w:tblPrEx>
          <w:tblCellMar>
            <w:top w:w="0" w:type="dxa"/>
            <w:left w:w="0" w:type="dxa"/>
            <w:bottom w:w="0" w:type="dxa"/>
            <w:right w:w="0" w:type="dxa"/>
          </w:tblCellMar>
        </w:tblPrEx>
        <w:trPr>
          <w:wBefore w:w="0" w:type="auto"/>
          <w:tblCellSpacing w:w="0" w:type="dxa"/>
        </w:trPr>
        <w:tc>
          <w:tcPr>
            <w:tcW w:w="0" w:type="auto"/>
            <w:noWrap w:val="0"/>
            <w:vAlign w:val="center"/>
          </w:tcPr>
          <w:p w14:paraId="67AE6845">
            <w:r>
              <w:rPr>
                <w:rStyle w:val="10"/>
                <w:rFonts w:hint="eastAsia"/>
              </w:rPr>
              <w:t>备注：</w:t>
            </w:r>
          </w:p>
        </w:tc>
      </w:tr>
    </w:tbl>
    <w:p w14:paraId="6966EA9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FB4558C">
        <w:tblPrEx>
          <w:tblCellMar>
            <w:top w:w="0" w:type="dxa"/>
            <w:left w:w="0" w:type="dxa"/>
            <w:bottom w:w="0" w:type="dxa"/>
            <w:right w:w="0" w:type="dxa"/>
          </w:tblCellMar>
        </w:tblPrEx>
        <w:trPr>
          <w:wBefore w:w="0" w:type="auto"/>
          <w:tblCellSpacing w:w="0" w:type="dxa"/>
        </w:trPr>
        <w:tc>
          <w:tcPr>
            <w:tcW w:w="0" w:type="auto"/>
            <w:noWrap w:val="0"/>
            <w:vAlign w:val="center"/>
          </w:tcPr>
          <w:p w14:paraId="3A5A1F50">
            <w:r>
              <w:rPr>
                <w:rStyle w:val="10"/>
                <w:rFonts w:hint="eastAsia"/>
              </w:rPr>
              <w:t>登记证号：</w:t>
            </w:r>
            <w:r>
              <w:rPr>
                <w:rFonts w:hint="eastAsia"/>
              </w:rPr>
              <w:t>PD20212038</w:t>
            </w:r>
          </w:p>
        </w:tc>
      </w:tr>
      <w:tr w14:paraId="0D6098A0">
        <w:tblPrEx>
          <w:tblCellMar>
            <w:top w:w="0" w:type="dxa"/>
            <w:left w:w="0" w:type="dxa"/>
            <w:bottom w:w="0" w:type="dxa"/>
            <w:right w:w="0" w:type="dxa"/>
          </w:tblCellMar>
        </w:tblPrEx>
        <w:trPr>
          <w:wBefore w:w="0" w:type="auto"/>
          <w:tblCellSpacing w:w="0" w:type="dxa"/>
        </w:trPr>
        <w:tc>
          <w:tcPr>
            <w:tcW w:w="0" w:type="auto"/>
            <w:noWrap w:val="0"/>
            <w:vAlign w:val="center"/>
          </w:tcPr>
          <w:p w14:paraId="32D51D89">
            <w:r>
              <w:rPr>
                <w:rStyle w:val="10"/>
                <w:rFonts w:hint="eastAsia"/>
              </w:rPr>
              <w:t>登记证持有人：</w:t>
            </w:r>
            <w:r>
              <w:rPr>
                <w:rFonts w:hint="eastAsia"/>
              </w:rPr>
              <w:t>安徽丰乐农化有限责任公司</w:t>
            </w:r>
          </w:p>
        </w:tc>
      </w:tr>
      <w:tr w14:paraId="3AC7172D">
        <w:tblPrEx>
          <w:tblCellMar>
            <w:top w:w="0" w:type="dxa"/>
            <w:left w:w="0" w:type="dxa"/>
            <w:bottom w:w="0" w:type="dxa"/>
            <w:right w:w="0" w:type="dxa"/>
          </w:tblCellMar>
        </w:tblPrEx>
        <w:trPr>
          <w:wBefore w:w="0" w:type="auto"/>
          <w:tblCellSpacing w:w="0" w:type="dxa"/>
        </w:trPr>
        <w:tc>
          <w:tcPr>
            <w:tcW w:w="0" w:type="auto"/>
            <w:noWrap w:val="0"/>
            <w:vAlign w:val="center"/>
          </w:tcPr>
          <w:p w14:paraId="23F7912E">
            <w:r>
              <w:rPr>
                <w:rStyle w:val="10"/>
                <w:rFonts w:hint="eastAsia"/>
              </w:rPr>
              <w:t>农药名称：</w:t>
            </w:r>
            <w:r>
              <w:rPr>
                <w:rFonts w:hint="eastAsia"/>
              </w:rPr>
              <w:t>28-高芸苔素内酯</w:t>
            </w:r>
          </w:p>
        </w:tc>
      </w:tr>
      <w:tr w14:paraId="5FB41E80">
        <w:tblPrEx>
          <w:tblCellMar>
            <w:top w:w="0" w:type="dxa"/>
            <w:left w:w="0" w:type="dxa"/>
            <w:bottom w:w="0" w:type="dxa"/>
            <w:right w:w="0" w:type="dxa"/>
          </w:tblCellMar>
        </w:tblPrEx>
        <w:trPr>
          <w:wBefore w:w="0" w:type="auto"/>
          <w:tblCellSpacing w:w="0" w:type="dxa"/>
        </w:trPr>
        <w:tc>
          <w:tcPr>
            <w:tcW w:w="0" w:type="auto"/>
            <w:noWrap w:val="0"/>
            <w:vAlign w:val="center"/>
          </w:tcPr>
          <w:p w14:paraId="38513036">
            <w:r>
              <w:rPr>
                <w:rStyle w:val="10"/>
                <w:rFonts w:hint="eastAsia"/>
              </w:rPr>
              <w:t>剂型：</w:t>
            </w:r>
            <w:r>
              <w:rPr>
                <w:rFonts w:hint="eastAsia"/>
              </w:rPr>
              <w:t>可溶液剂</w:t>
            </w:r>
          </w:p>
        </w:tc>
      </w:tr>
      <w:tr w14:paraId="54A37346">
        <w:tblPrEx>
          <w:tblCellMar>
            <w:top w:w="0" w:type="dxa"/>
            <w:left w:w="0" w:type="dxa"/>
            <w:bottom w:w="0" w:type="dxa"/>
            <w:right w:w="0" w:type="dxa"/>
          </w:tblCellMar>
        </w:tblPrEx>
        <w:trPr>
          <w:wBefore w:w="0" w:type="auto"/>
          <w:tblCellSpacing w:w="0" w:type="dxa"/>
        </w:trPr>
        <w:tc>
          <w:tcPr>
            <w:tcW w:w="0" w:type="auto"/>
            <w:noWrap w:val="0"/>
            <w:vAlign w:val="center"/>
          </w:tcPr>
          <w:p w14:paraId="5C2236F7">
            <w:r>
              <w:rPr>
                <w:rStyle w:val="10"/>
                <w:rFonts w:hint="eastAsia"/>
              </w:rPr>
              <w:t>毒性及其标识：</w:t>
            </w:r>
            <w:r>
              <w:rPr>
                <w:rFonts w:hint="eastAsia"/>
              </w:rPr>
              <w:t xml:space="preserve"> </w:t>
            </w:r>
            <w:r>
              <w:rPr>
                <w:lang/>
              </w:rPr>
              <w:drawing>
                <wp:inline distT="0" distB="0" distL="114300" distR="114300">
                  <wp:extent cx="476250" cy="323850"/>
                  <wp:effectExtent l="0" t="0" r="0" b="0"/>
                  <wp:docPr id="594" name="图片 59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0A9802D">
        <w:tblPrEx>
          <w:tblCellMar>
            <w:top w:w="0" w:type="dxa"/>
            <w:left w:w="0" w:type="dxa"/>
            <w:bottom w:w="0" w:type="dxa"/>
            <w:right w:w="0" w:type="dxa"/>
          </w:tblCellMar>
        </w:tblPrEx>
        <w:trPr>
          <w:wBefore w:w="0" w:type="auto"/>
          <w:tblCellSpacing w:w="0" w:type="dxa"/>
        </w:trPr>
        <w:tc>
          <w:tcPr>
            <w:tcW w:w="0" w:type="auto"/>
            <w:noWrap w:val="0"/>
            <w:vAlign w:val="center"/>
          </w:tcPr>
          <w:p w14:paraId="22018EDD">
            <w:r>
              <w:rPr>
                <w:rStyle w:val="10"/>
                <w:rFonts w:hint="eastAsia"/>
              </w:rPr>
              <w:t>总有效成分含量：</w:t>
            </w:r>
            <w:r>
              <w:rPr>
                <w:rFonts w:hint="eastAsia"/>
              </w:rPr>
              <w:t>0.01%</w:t>
            </w:r>
          </w:p>
        </w:tc>
      </w:tr>
      <w:tr w14:paraId="0FBA5914">
        <w:tblPrEx>
          <w:tblCellMar>
            <w:top w:w="0" w:type="dxa"/>
            <w:left w:w="0" w:type="dxa"/>
            <w:bottom w:w="0" w:type="dxa"/>
            <w:right w:w="0" w:type="dxa"/>
          </w:tblCellMar>
        </w:tblPrEx>
        <w:trPr>
          <w:wBefore w:w="0" w:type="auto"/>
          <w:tblCellSpacing w:w="0" w:type="dxa"/>
        </w:trPr>
        <w:tc>
          <w:tcPr>
            <w:tcW w:w="0" w:type="auto"/>
            <w:noWrap w:val="0"/>
            <w:vAlign w:val="center"/>
          </w:tcPr>
          <w:p w14:paraId="3BF39007">
            <w:r>
              <w:rPr>
                <w:rFonts w:hint="eastAsia"/>
              </w:rPr>
              <w:t xml:space="preserve">有效成分及其含量： </w:t>
            </w:r>
          </w:p>
          <w:p w14:paraId="7B2717DA">
            <w:r>
              <w:rPr>
                <w:rFonts w:hint="eastAsia"/>
              </w:rPr>
              <w:t xml:space="preserve">    28-高芸苔素内酯0.01%    </w:t>
            </w:r>
          </w:p>
        </w:tc>
      </w:tr>
      <w:tr w14:paraId="7D5B0DC0">
        <w:tblPrEx>
          <w:tblCellMar>
            <w:top w:w="0" w:type="dxa"/>
            <w:left w:w="0" w:type="dxa"/>
            <w:bottom w:w="0" w:type="dxa"/>
            <w:right w:w="0" w:type="dxa"/>
          </w:tblCellMar>
        </w:tblPrEx>
        <w:trPr>
          <w:wBefore w:w="0" w:type="auto"/>
          <w:tblCellSpacing w:w="0" w:type="dxa"/>
        </w:trPr>
        <w:tc>
          <w:tcPr>
            <w:tcW w:w="0" w:type="auto"/>
            <w:noWrap w:val="0"/>
            <w:vAlign w:val="center"/>
          </w:tcPr>
          <w:p w14:paraId="2ED68F6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D0ED7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590ED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2348C6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D6B77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4D31729">
                  <w:r>
                    <w:rPr>
                      <w:rStyle w:val="11"/>
                      <w:rFonts w:hint="eastAsia"/>
                    </w:rPr>
                    <w:t>施用方式</w:t>
                  </w:r>
                </w:p>
              </w:tc>
            </w:tr>
            <w:tr w14:paraId="3EAF45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A1FDC01">
                  <w:r>
                    <w:rPr>
                      <w:rStyle w:val="11"/>
                      <w:rFonts w:hint="eastAsia"/>
                    </w:rPr>
                    <w:t>小白菜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60B1FE">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87DD2CD">
                  <w:r>
                    <w:rPr>
                      <w:rStyle w:val="11"/>
                      <w:rFonts w:hint="eastAsia"/>
                    </w:rPr>
                    <w:t>2500-3500倍液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4AEDE5">
                  <w:r>
                    <w:rPr>
                      <w:rStyle w:val="11"/>
                      <w:rFonts w:hint="eastAsia"/>
                    </w:rPr>
                    <w:t>喷雾</w:t>
                  </w:r>
                </w:p>
              </w:tc>
            </w:tr>
          </w:tbl>
          <w:p w14:paraId="31C3BBC8">
            <w:pPr>
              <w:rPr>
                <w:rFonts w:ascii="Times New Roman" w:hAnsi="Times New Roman" w:cs="Times New Roman"/>
                <w:sz w:val="20"/>
                <w:szCs w:val="20"/>
              </w:rPr>
            </w:pPr>
          </w:p>
        </w:tc>
      </w:tr>
      <w:tr w14:paraId="0FC4E99E">
        <w:tblPrEx>
          <w:tblCellMar>
            <w:top w:w="0" w:type="dxa"/>
            <w:left w:w="0" w:type="dxa"/>
            <w:bottom w:w="0" w:type="dxa"/>
            <w:right w:w="0" w:type="dxa"/>
          </w:tblCellMar>
        </w:tblPrEx>
        <w:trPr>
          <w:wBefore w:w="0" w:type="auto"/>
          <w:tblCellSpacing w:w="0" w:type="dxa"/>
        </w:trPr>
        <w:tc>
          <w:tcPr>
            <w:tcW w:w="0" w:type="auto"/>
            <w:noWrap w:val="0"/>
            <w:vAlign w:val="center"/>
          </w:tcPr>
          <w:p w14:paraId="48C5616B">
            <w:r>
              <w:rPr>
                <w:rStyle w:val="10"/>
                <w:rFonts w:hint="eastAsia"/>
              </w:rPr>
              <w:t>使用技术要求:</w:t>
            </w:r>
            <w:r>
              <w:rPr>
                <w:rFonts w:hint="eastAsia"/>
              </w:rPr>
              <w:br w:type="textWrapping"/>
            </w:r>
            <w:r>
              <w:rPr>
                <w:rStyle w:val="11"/>
                <w:rFonts w:hint="eastAsia"/>
              </w:rPr>
              <w:t>1. 本品应于小白菜苗期第一次施药，间隔7天第二次施药。2. 在小白菜上每季最多使用2次。3. 大风或预计1小时内降雨天气，请勿施药。</w:t>
            </w:r>
          </w:p>
        </w:tc>
      </w:tr>
      <w:tr w14:paraId="1A22D8D4">
        <w:tblPrEx>
          <w:tblCellMar>
            <w:top w:w="0" w:type="dxa"/>
            <w:left w:w="0" w:type="dxa"/>
            <w:bottom w:w="0" w:type="dxa"/>
            <w:right w:w="0" w:type="dxa"/>
          </w:tblCellMar>
        </w:tblPrEx>
        <w:trPr>
          <w:wBefore w:w="0" w:type="auto"/>
          <w:tblCellSpacing w:w="0" w:type="dxa"/>
        </w:trPr>
        <w:tc>
          <w:tcPr>
            <w:tcW w:w="0" w:type="auto"/>
            <w:noWrap w:val="0"/>
            <w:vAlign w:val="center"/>
          </w:tcPr>
          <w:p w14:paraId="1264923F">
            <w:r>
              <w:rPr>
                <w:rStyle w:val="10"/>
                <w:rFonts w:hint="eastAsia"/>
              </w:rPr>
              <w:t>产品性能:</w:t>
            </w:r>
            <w:r>
              <w:rPr>
                <w:rFonts w:hint="eastAsia"/>
              </w:rPr>
              <w:br w:type="textWrapping"/>
            </w:r>
            <w:r>
              <w:rPr>
                <w:rStyle w:val="11"/>
                <w:rFonts w:hint="eastAsia"/>
              </w:rPr>
              <w:t>28-高芸苔素内酯属于甾醇类植物生长调节剂，能够促进植物细胞的伸长和分裂，促进光合作用，提高植物的抗逆性。本品用于小白菜的调节生长。</w:t>
            </w:r>
          </w:p>
        </w:tc>
      </w:tr>
      <w:tr w14:paraId="09E23B8A">
        <w:tblPrEx>
          <w:tblCellMar>
            <w:top w:w="0" w:type="dxa"/>
            <w:left w:w="0" w:type="dxa"/>
            <w:bottom w:w="0" w:type="dxa"/>
            <w:right w:w="0" w:type="dxa"/>
          </w:tblCellMar>
        </w:tblPrEx>
        <w:trPr>
          <w:wBefore w:w="0" w:type="auto"/>
          <w:tblCellSpacing w:w="0" w:type="dxa"/>
        </w:trPr>
        <w:tc>
          <w:tcPr>
            <w:tcW w:w="0" w:type="auto"/>
            <w:noWrap w:val="0"/>
            <w:vAlign w:val="center"/>
          </w:tcPr>
          <w:p w14:paraId="101C138E">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本品对眼睛有刺激性，使用时避免接触眼睛，穿戴长衣、长裤、帽子、口罩、手套等防护措施。施药期间不能吃东西和饮水，施药后应及时洗手和洗脸。2. 本品为植物生长调节剂，应严格控制用量和施药时期，应避免药液漂移到临近作物上，避免形成药害。3. 禁止在河塘等水体中清洗施药器具，使用过的容器应妥善处理，不可作为他用，也不可随意丢弃。4. 禁止儿童、孕妇和哺乳期妇女接触本品。</w:t>
            </w:r>
          </w:p>
        </w:tc>
      </w:tr>
      <w:tr w14:paraId="015971B4">
        <w:tblPrEx>
          <w:tblCellMar>
            <w:top w:w="0" w:type="dxa"/>
            <w:left w:w="0" w:type="dxa"/>
            <w:bottom w:w="0" w:type="dxa"/>
            <w:right w:w="0" w:type="dxa"/>
          </w:tblCellMar>
        </w:tblPrEx>
        <w:trPr>
          <w:wBefore w:w="0" w:type="auto"/>
          <w:tblCellSpacing w:w="0" w:type="dxa"/>
        </w:trPr>
        <w:tc>
          <w:tcPr>
            <w:tcW w:w="0" w:type="auto"/>
            <w:noWrap w:val="0"/>
            <w:vAlign w:val="center"/>
          </w:tcPr>
          <w:p w14:paraId="15C4EB26">
            <w:r>
              <w:rPr>
                <w:rStyle w:val="10"/>
                <w:rFonts w:hint="eastAsia"/>
              </w:rPr>
              <w:t>中毒急救措施：</w:t>
            </w:r>
            <w:r>
              <w:rPr>
                <w:rFonts w:hint="eastAsia"/>
              </w:rPr>
              <w:br w:type="textWrapping"/>
            </w:r>
            <w:r>
              <w:rPr>
                <w:rStyle w:val="11"/>
                <w:rFonts w:hint="eastAsia"/>
              </w:rPr>
              <w:t>皮肤接触：立即褪去被污染的衣物，用肥皂与大量清水至少冲洗15分钟，送医就诊；眼睛溅入：立即翻开眼睑，用流动的清水至少冲洗15分钟，送医就诊；吸入：不慎吸入，立即转移至空气清新处，送医就诊；误食：不慎误食，马上停止食用，携带标签送医就诊，无特效解毒剂，应对症治疗。</w:t>
            </w:r>
          </w:p>
        </w:tc>
      </w:tr>
      <w:tr w14:paraId="3B849EA7">
        <w:tblPrEx>
          <w:tblCellMar>
            <w:top w:w="0" w:type="dxa"/>
            <w:left w:w="0" w:type="dxa"/>
            <w:bottom w:w="0" w:type="dxa"/>
            <w:right w:w="0" w:type="dxa"/>
          </w:tblCellMar>
        </w:tblPrEx>
        <w:trPr>
          <w:wBefore w:w="0" w:type="auto"/>
          <w:tblCellSpacing w:w="0" w:type="dxa"/>
        </w:trPr>
        <w:tc>
          <w:tcPr>
            <w:tcW w:w="0" w:type="auto"/>
            <w:noWrap w:val="0"/>
            <w:vAlign w:val="center"/>
          </w:tcPr>
          <w:p w14:paraId="4D23A72D">
            <w:r>
              <w:rPr>
                <w:rStyle w:val="10"/>
                <w:rFonts w:hint="eastAsia"/>
              </w:rPr>
              <w:t>储存和运输方法：</w:t>
            </w:r>
            <w:r>
              <w:rPr>
                <w:rFonts w:hint="eastAsia"/>
              </w:rPr>
              <w:br w:type="textWrapping"/>
            </w:r>
            <w:r>
              <w:rPr>
                <w:rStyle w:val="11"/>
                <w:rFonts w:hint="eastAsia"/>
              </w:rPr>
              <w:t>1. 本品应贮存在干燥、阴凉、通风、防雨处，远离火源和热源。2. 本品与中等氧化剂不具有稳定的化学相容性，避免与氧化剂接触，严禁与中等氧化剂同储同运。3. 装卸时工人需要穿戴口罩、手套、胶靴，工作结束后用清水清洗裸露的皮肤。4. 置于儿童、无关人员接触不到的地方，并加锁。4. 不能与食品、饮料、粮食、饲料等混合储存、运输。</w:t>
            </w:r>
          </w:p>
        </w:tc>
      </w:tr>
      <w:tr w14:paraId="1C7747CF">
        <w:tblPrEx>
          <w:tblCellMar>
            <w:top w:w="0" w:type="dxa"/>
            <w:left w:w="0" w:type="dxa"/>
            <w:bottom w:w="0" w:type="dxa"/>
            <w:right w:w="0" w:type="dxa"/>
          </w:tblCellMar>
        </w:tblPrEx>
        <w:trPr>
          <w:wBefore w:w="0" w:type="auto"/>
          <w:tblCellSpacing w:w="0" w:type="dxa"/>
        </w:trPr>
        <w:tc>
          <w:tcPr>
            <w:tcW w:w="0" w:type="auto"/>
            <w:noWrap w:val="0"/>
            <w:vAlign w:val="center"/>
          </w:tcPr>
          <w:p w14:paraId="7A1111CF">
            <w:r>
              <w:rPr>
                <w:rStyle w:val="10"/>
                <w:rFonts w:hint="eastAsia"/>
              </w:rPr>
              <w:t>质量保证期：</w:t>
            </w:r>
            <w:r>
              <w:rPr>
                <w:rStyle w:val="11"/>
                <w:rFonts w:hint="eastAsia"/>
              </w:rPr>
              <w:t>2年</w:t>
            </w:r>
          </w:p>
        </w:tc>
      </w:tr>
      <w:tr w14:paraId="3FC51448">
        <w:tblPrEx>
          <w:tblCellMar>
            <w:top w:w="0" w:type="dxa"/>
            <w:left w:w="0" w:type="dxa"/>
            <w:bottom w:w="0" w:type="dxa"/>
            <w:right w:w="0" w:type="dxa"/>
          </w:tblCellMar>
        </w:tblPrEx>
        <w:trPr>
          <w:wBefore w:w="0" w:type="auto"/>
          <w:tblCellSpacing w:w="0" w:type="dxa"/>
        </w:trPr>
        <w:tc>
          <w:tcPr>
            <w:tcW w:w="0" w:type="auto"/>
            <w:noWrap w:val="0"/>
            <w:vAlign w:val="center"/>
          </w:tcPr>
          <w:p w14:paraId="6ADE2A23">
            <w:r>
              <w:rPr>
                <w:rStyle w:val="10"/>
                <w:rFonts w:hint="eastAsia"/>
              </w:rPr>
              <w:t>备注：</w:t>
            </w:r>
          </w:p>
        </w:tc>
      </w:tr>
    </w:tbl>
    <w:p w14:paraId="6D815B8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F9D2D89">
        <w:tblPrEx>
          <w:tblCellMar>
            <w:top w:w="0" w:type="dxa"/>
            <w:left w:w="0" w:type="dxa"/>
            <w:bottom w:w="0" w:type="dxa"/>
            <w:right w:w="0" w:type="dxa"/>
          </w:tblCellMar>
        </w:tblPrEx>
        <w:trPr>
          <w:wBefore w:w="0" w:type="auto"/>
          <w:tblCellSpacing w:w="0" w:type="dxa"/>
        </w:trPr>
        <w:tc>
          <w:tcPr>
            <w:tcW w:w="0" w:type="auto"/>
            <w:noWrap w:val="0"/>
            <w:vAlign w:val="center"/>
          </w:tcPr>
          <w:p w14:paraId="3970E546">
            <w:r>
              <w:rPr>
                <w:rStyle w:val="10"/>
                <w:rFonts w:hint="eastAsia"/>
              </w:rPr>
              <w:t>登记证号：</w:t>
            </w:r>
            <w:r>
              <w:rPr>
                <w:rFonts w:hint="eastAsia"/>
              </w:rPr>
              <w:t>PD20211753</w:t>
            </w:r>
          </w:p>
        </w:tc>
      </w:tr>
      <w:tr w14:paraId="45F5438F">
        <w:tblPrEx>
          <w:tblCellMar>
            <w:top w:w="0" w:type="dxa"/>
            <w:left w:w="0" w:type="dxa"/>
            <w:bottom w:w="0" w:type="dxa"/>
            <w:right w:w="0" w:type="dxa"/>
          </w:tblCellMar>
        </w:tblPrEx>
        <w:trPr>
          <w:wBefore w:w="0" w:type="auto"/>
          <w:tblCellSpacing w:w="0" w:type="dxa"/>
        </w:trPr>
        <w:tc>
          <w:tcPr>
            <w:tcW w:w="0" w:type="auto"/>
            <w:noWrap w:val="0"/>
            <w:vAlign w:val="center"/>
          </w:tcPr>
          <w:p w14:paraId="0298C740">
            <w:r>
              <w:rPr>
                <w:rStyle w:val="10"/>
                <w:rFonts w:hint="eastAsia"/>
              </w:rPr>
              <w:t>登记证持有人：</w:t>
            </w:r>
            <w:r>
              <w:rPr>
                <w:rFonts w:hint="eastAsia"/>
              </w:rPr>
              <w:t>山东曹达化工有限公司</w:t>
            </w:r>
          </w:p>
        </w:tc>
      </w:tr>
      <w:tr w14:paraId="71910382">
        <w:tblPrEx>
          <w:tblCellMar>
            <w:top w:w="0" w:type="dxa"/>
            <w:left w:w="0" w:type="dxa"/>
            <w:bottom w:w="0" w:type="dxa"/>
            <w:right w:w="0" w:type="dxa"/>
          </w:tblCellMar>
        </w:tblPrEx>
        <w:trPr>
          <w:wBefore w:w="0" w:type="auto"/>
          <w:tblCellSpacing w:w="0" w:type="dxa"/>
        </w:trPr>
        <w:tc>
          <w:tcPr>
            <w:tcW w:w="0" w:type="auto"/>
            <w:noWrap w:val="0"/>
            <w:vAlign w:val="center"/>
          </w:tcPr>
          <w:p w14:paraId="08672DA9">
            <w:r>
              <w:rPr>
                <w:rStyle w:val="10"/>
                <w:rFonts w:hint="eastAsia"/>
              </w:rPr>
              <w:t>农药名称：</w:t>
            </w:r>
            <w:r>
              <w:rPr>
                <w:rFonts w:hint="eastAsia"/>
              </w:rPr>
              <w:t>螺虫·噻虫嗪</w:t>
            </w:r>
          </w:p>
        </w:tc>
      </w:tr>
      <w:tr w14:paraId="11C78D7E">
        <w:tblPrEx>
          <w:tblCellMar>
            <w:top w:w="0" w:type="dxa"/>
            <w:left w:w="0" w:type="dxa"/>
            <w:bottom w:w="0" w:type="dxa"/>
            <w:right w:w="0" w:type="dxa"/>
          </w:tblCellMar>
        </w:tblPrEx>
        <w:trPr>
          <w:wBefore w:w="0" w:type="auto"/>
          <w:tblCellSpacing w:w="0" w:type="dxa"/>
        </w:trPr>
        <w:tc>
          <w:tcPr>
            <w:tcW w:w="0" w:type="auto"/>
            <w:noWrap w:val="0"/>
            <w:vAlign w:val="center"/>
          </w:tcPr>
          <w:p w14:paraId="34A5B586">
            <w:r>
              <w:rPr>
                <w:rStyle w:val="10"/>
                <w:rFonts w:hint="eastAsia"/>
              </w:rPr>
              <w:t>剂型：</w:t>
            </w:r>
            <w:r>
              <w:rPr>
                <w:rFonts w:hint="eastAsia"/>
              </w:rPr>
              <w:t>悬浮剂</w:t>
            </w:r>
          </w:p>
        </w:tc>
      </w:tr>
      <w:tr w14:paraId="6D588FBE">
        <w:tblPrEx>
          <w:tblCellMar>
            <w:top w:w="0" w:type="dxa"/>
            <w:left w:w="0" w:type="dxa"/>
            <w:bottom w:w="0" w:type="dxa"/>
            <w:right w:w="0" w:type="dxa"/>
          </w:tblCellMar>
        </w:tblPrEx>
        <w:trPr>
          <w:wBefore w:w="0" w:type="auto"/>
          <w:tblCellSpacing w:w="0" w:type="dxa"/>
        </w:trPr>
        <w:tc>
          <w:tcPr>
            <w:tcW w:w="0" w:type="auto"/>
            <w:noWrap w:val="0"/>
            <w:vAlign w:val="center"/>
          </w:tcPr>
          <w:p w14:paraId="59B7DF2F">
            <w:r>
              <w:rPr>
                <w:rStyle w:val="10"/>
                <w:rFonts w:hint="eastAsia"/>
              </w:rPr>
              <w:t>毒性及其标识：</w:t>
            </w:r>
            <w:r>
              <w:rPr>
                <w:rFonts w:hint="eastAsia"/>
              </w:rPr>
              <w:t xml:space="preserve"> </w:t>
            </w:r>
            <w:r>
              <w:rPr>
                <w:lang/>
              </w:rPr>
              <w:drawing>
                <wp:inline distT="0" distB="0" distL="114300" distR="114300">
                  <wp:extent cx="476250" cy="323850"/>
                  <wp:effectExtent l="0" t="0" r="0" b="0"/>
                  <wp:docPr id="595" name="图片 59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28D8F70">
        <w:tblPrEx>
          <w:tblCellMar>
            <w:top w:w="0" w:type="dxa"/>
            <w:left w:w="0" w:type="dxa"/>
            <w:bottom w:w="0" w:type="dxa"/>
            <w:right w:w="0" w:type="dxa"/>
          </w:tblCellMar>
        </w:tblPrEx>
        <w:trPr>
          <w:wBefore w:w="0" w:type="auto"/>
          <w:tblCellSpacing w:w="0" w:type="dxa"/>
        </w:trPr>
        <w:tc>
          <w:tcPr>
            <w:tcW w:w="0" w:type="auto"/>
            <w:noWrap w:val="0"/>
            <w:vAlign w:val="center"/>
          </w:tcPr>
          <w:p w14:paraId="27D32F8B">
            <w:r>
              <w:rPr>
                <w:rStyle w:val="10"/>
                <w:rFonts w:hint="eastAsia"/>
              </w:rPr>
              <w:t>总有效成分含量：</w:t>
            </w:r>
            <w:r>
              <w:rPr>
                <w:rFonts w:hint="eastAsia"/>
              </w:rPr>
              <w:t>30%</w:t>
            </w:r>
          </w:p>
        </w:tc>
      </w:tr>
      <w:tr w14:paraId="2AD9CDD9">
        <w:tblPrEx>
          <w:tblCellMar>
            <w:top w:w="0" w:type="dxa"/>
            <w:left w:w="0" w:type="dxa"/>
            <w:bottom w:w="0" w:type="dxa"/>
            <w:right w:w="0" w:type="dxa"/>
          </w:tblCellMar>
        </w:tblPrEx>
        <w:trPr>
          <w:wBefore w:w="0" w:type="auto"/>
          <w:tblCellSpacing w:w="0" w:type="dxa"/>
        </w:trPr>
        <w:tc>
          <w:tcPr>
            <w:tcW w:w="0" w:type="auto"/>
            <w:noWrap w:val="0"/>
            <w:vAlign w:val="center"/>
          </w:tcPr>
          <w:p w14:paraId="4323FD4C">
            <w:r>
              <w:rPr>
                <w:rFonts w:hint="eastAsia"/>
              </w:rPr>
              <w:t xml:space="preserve">有效成分及其含量： </w:t>
            </w:r>
          </w:p>
          <w:p w14:paraId="7AF52F18">
            <w:r>
              <w:rPr>
                <w:rFonts w:hint="eastAsia"/>
              </w:rPr>
              <w:t xml:space="preserve">    噻虫嗪15%    螺虫乙酯15%    </w:t>
            </w:r>
          </w:p>
        </w:tc>
      </w:tr>
      <w:tr w14:paraId="32A5BBA8">
        <w:tblPrEx>
          <w:tblCellMar>
            <w:top w:w="0" w:type="dxa"/>
            <w:left w:w="0" w:type="dxa"/>
            <w:bottom w:w="0" w:type="dxa"/>
            <w:right w:w="0" w:type="dxa"/>
          </w:tblCellMar>
        </w:tblPrEx>
        <w:trPr>
          <w:wBefore w:w="0" w:type="auto"/>
          <w:tblCellSpacing w:w="0" w:type="dxa"/>
        </w:trPr>
        <w:tc>
          <w:tcPr>
            <w:tcW w:w="0" w:type="auto"/>
            <w:noWrap w:val="0"/>
            <w:vAlign w:val="center"/>
          </w:tcPr>
          <w:p w14:paraId="4C176ED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5D73A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20E82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EDBE34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105438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1F83237">
                  <w:r>
                    <w:rPr>
                      <w:rStyle w:val="11"/>
                      <w:rFonts w:hint="eastAsia"/>
                    </w:rPr>
                    <w:t>施用方式</w:t>
                  </w:r>
                </w:p>
              </w:tc>
            </w:tr>
            <w:tr w14:paraId="5C2B7D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C05BA49">
                  <w:r>
                    <w:rPr>
                      <w:rStyle w:val="11"/>
                      <w:rFonts w:hint="eastAsia"/>
                    </w:rPr>
                    <w:t>番茄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293559">
                  <w:r>
                    <w:rPr>
                      <w:rStyle w:val="11"/>
                      <w:rFonts w:hint="eastAsia"/>
                    </w:rPr>
                    <w:t>烟粉虱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6C6B33">
                  <w:r>
                    <w:rPr>
                      <w:rStyle w:val="11"/>
                      <w:rFonts w:hint="eastAsia"/>
                    </w:rPr>
                    <w:t>5-10毫升/亩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5913F0C">
                  <w:r>
                    <w:rPr>
                      <w:rStyle w:val="11"/>
                      <w:rFonts w:hint="eastAsia"/>
                    </w:rPr>
                    <w:t>喷雾</w:t>
                  </w:r>
                </w:p>
              </w:tc>
            </w:tr>
          </w:tbl>
          <w:p w14:paraId="488A6E73">
            <w:pPr>
              <w:rPr>
                <w:rFonts w:ascii="Times New Roman" w:hAnsi="Times New Roman" w:cs="Times New Roman"/>
                <w:sz w:val="20"/>
                <w:szCs w:val="20"/>
              </w:rPr>
            </w:pPr>
          </w:p>
        </w:tc>
      </w:tr>
      <w:tr w14:paraId="42133D67">
        <w:tblPrEx>
          <w:tblCellMar>
            <w:top w:w="0" w:type="dxa"/>
            <w:left w:w="0" w:type="dxa"/>
            <w:bottom w:w="0" w:type="dxa"/>
            <w:right w:w="0" w:type="dxa"/>
          </w:tblCellMar>
        </w:tblPrEx>
        <w:trPr>
          <w:wBefore w:w="0" w:type="auto"/>
          <w:tblCellSpacing w:w="0" w:type="dxa"/>
        </w:trPr>
        <w:tc>
          <w:tcPr>
            <w:tcW w:w="0" w:type="auto"/>
            <w:noWrap w:val="0"/>
            <w:vAlign w:val="center"/>
          </w:tcPr>
          <w:p w14:paraId="7455C781">
            <w:r>
              <w:rPr>
                <w:rStyle w:val="10"/>
                <w:rFonts w:hint="eastAsia"/>
              </w:rPr>
              <w:t>使用技术要求:</w:t>
            </w:r>
            <w:r>
              <w:rPr>
                <w:rFonts w:hint="eastAsia"/>
              </w:rPr>
              <w:br w:type="textWrapping"/>
            </w:r>
            <w:r>
              <w:rPr>
                <w:rStyle w:val="11"/>
                <w:rFonts w:hint="eastAsia"/>
              </w:rPr>
              <w:t>应掌握在番茄烟粉虱若虫发生初期，采用喷雾方法对叶片正反面均匀喷雾。施药后6小时内遇雨，等天晴后应补喷一次。 安全间隔期为14天，每季最多使用次数1次。</w:t>
            </w:r>
          </w:p>
        </w:tc>
      </w:tr>
      <w:tr w14:paraId="4ADE703D">
        <w:tblPrEx>
          <w:tblCellMar>
            <w:top w:w="0" w:type="dxa"/>
            <w:left w:w="0" w:type="dxa"/>
            <w:bottom w:w="0" w:type="dxa"/>
            <w:right w:w="0" w:type="dxa"/>
          </w:tblCellMar>
        </w:tblPrEx>
        <w:trPr>
          <w:wBefore w:w="0" w:type="auto"/>
          <w:tblCellSpacing w:w="0" w:type="dxa"/>
        </w:trPr>
        <w:tc>
          <w:tcPr>
            <w:tcW w:w="0" w:type="auto"/>
            <w:noWrap w:val="0"/>
            <w:vAlign w:val="center"/>
          </w:tcPr>
          <w:p w14:paraId="43BDCD6E">
            <w:r>
              <w:rPr>
                <w:rStyle w:val="10"/>
                <w:rFonts w:hint="eastAsia"/>
              </w:rPr>
              <w:t>产品性能:</w:t>
            </w:r>
            <w:r>
              <w:rPr>
                <w:rFonts w:hint="eastAsia"/>
              </w:rPr>
              <w:br w:type="textWrapping"/>
            </w:r>
            <w:r>
              <w:rPr>
                <w:rStyle w:val="11"/>
                <w:rFonts w:hint="eastAsia"/>
              </w:rPr>
              <w:t>1、本品是一种杀虫剂，具有触杀、胃毒和内吸作用，且有较高的活性。速效性较快，持效期效长； 2、本品对番茄烟粉虱有较好的防效，可有效地防治对现有杀虫剂产生抗性的害虫。</w:t>
            </w:r>
          </w:p>
        </w:tc>
      </w:tr>
      <w:tr w14:paraId="2C137FA6">
        <w:tblPrEx>
          <w:tblCellMar>
            <w:top w:w="0" w:type="dxa"/>
            <w:left w:w="0" w:type="dxa"/>
            <w:bottom w:w="0" w:type="dxa"/>
            <w:right w:w="0" w:type="dxa"/>
          </w:tblCellMar>
        </w:tblPrEx>
        <w:trPr>
          <w:wBefore w:w="0" w:type="auto"/>
          <w:tblCellSpacing w:w="0" w:type="dxa"/>
        </w:trPr>
        <w:tc>
          <w:tcPr>
            <w:tcW w:w="0" w:type="auto"/>
            <w:noWrap w:val="0"/>
            <w:vAlign w:val="center"/>
          </w:tcPr>
          <w:p w14:paraId="34CC8D75">
            <w:r>
              <w:rPr>
                <w:rStyle w:val="10"/>
                <w:rFonts w:hint="eastAsia"/>
              </w:rPr>
              <w:t>注意事项：</w:t>
            </w:r>
            <w:r>
              <w:rPr>
                <w:rFonts w:hint="eastAsia"/>
              </w:rPr>
              <w:br w:type="textWrapping"/>
            </w:r>
            <w:r>
              <w:rPr>
                <w:rStyle w:val="11"/>
                <w:rFonts w:hint="eastAsia"/>
              </w:rPr>
              <w:t>1.施药时，应尽量避免与喷雾药液直接接触；使用时穿戴长衣、长裤、帽子、口罩、手套等安全防护措施。以防中毒；施药后应洗澡，更换及清洗工作服。2.对鱼类等水生生物、鸟类、蚯蚓有毒，对蜜蜂、家蚕毒性高。施药期间应避免对周围蜂群的影响、开花植物花期、蚕室和桑园附近禁用，水产养殖、河塘等水体附近禁用。避免污染水源和池塘等。禁止在河塘等水体中清洗施药器具。鸟类保护区禁用，赤眼蜂等天敌放飞区域禁用。3．不能与强酸、强碱性物质混用。4.开启封口应小心药液溅出，废弃包装物应冲洗压扁后深埋或由生产企业回收处理，不可再用。5.严格按产品说明使用，严格控制农药的使用浓度和用量，施药时要喷洒均匀。6.与作用机制不同的杀虫剂轮换使用，可减缓抗性产生。7.孕妇及哺乳期妇女避免接触本品。</w:t>
            </w:r>
          </w:p>
        </w:tc>
      </w:tr>
      <w:tr w14:paraId="5AD70973">
        <w:tblPrEx>
          <w:tblCellMar>
            <w:top w:w="0" w:type="dxa"/>
            <w:left w:w="0" w:type="dxa"/>
            <w:bottom w:w="0" w:type="dxa"/>
            <w:right w:w="0" w:type="dxa"/>
          </w:tblCellMar>
        </w:tblPrEx>
        <w:trPr>
          <w:wBefore w:w="0" w:type="auto"/>
          <w:tblCellSpacing w:w="0" w:type="dxa"/>
        </w:trPr>
        <w:tc>
          <w:tcPr>
            <w:tcW w:w="0" w:type="auto"/>
            <w:noWrap w:val="0"/>
            <w:vAlign w:val="center"/>
          </w:tcPr>
          <w:p w14:paraId="0758BA27">
            <w:r>
              <w:rPr>
                <w:rStyle w:val="10"/>
                <w:rFonts w:hint="eastAsia"/>
              </w:rPr>
              <w:t>中毒急救措施：</w:t>
            </w:r>
            <w:r>
              <w:rPr>
                <w:rFonts w:hint="eastAsia"/>
              </w:rPr>
              <w:br w:type="textWrapping"/>
            </w:r>
            <w:r>
              <w:rPr>
                <w:rStyle w:val="11"/>
                <w:rFonts w:hint="eastAsia"/>
              </w:rPr>
              <w:t>中毒症状：对人畜低毒。 急救措施：使用中或使用后如果感觉不适，应立即停止工作，并携带标签送医院就诊；若失去知觉，放置和运输时将其保持侧位。皮肤接触：脱去污染的衣物，皮肤接触可现用聚乙二醇400 mL清洗，再用大量清水和肥皂彻底清洗。眼睛溅入：立即用流动清水冲洗不少于15分钟。吸入：立即离开施药现场，转移到空气清新处。误服：不要引吐，清水漱口并携带标签或包装立即就医。无专用解毒剂，对症状治疗。</w:t>
            </w:r>
          </w:p>
        </w:tc>
      </w:tr>
      <w:tr w14:paraId="46D16F74">
        <w:tblPrEx>
          <w:tblCellMar>
            <w:top w:w="0" w:type="dxa"/>
            <w:left w:w="0" w:type="dxa"/>
            <w:bottom w:w="0" w:type="dxa"/>
            <w:right w:w="0" w:type="dxa"/>
          </w:tblCellMar>
        </w:tblPrEx>
        <w:trPr>
          <w:wBefore w:w="0" w:type="auto"/>
          <w:tblCellSpacing w:w="0" w:type="dxa"/>
        </w:trPr>
        <w:tc>
          <w:tcPr>
            <w:tcW w:w="0" w:type="auto"/>
            <w:noWrap w:val="0"/>
            <w:vAlign w:val="center"/>
          </w:tcPr>
          <w:p w14:paraId="1ED7F65E">
            <w:r>
              <w:rPr>
                <w:rStyle w:val="10"/>
                <w:rFonts w:hint="eastAsia"/>
              </w:rPr>
              <w:t>储存和运输方法：</w:t>
            </w:r>
            <w:r>
              <w:rPr>
                <w:rFonts w:hint="eastAsia"/>
              </w:rPr>
              <w:br w:type="textWrapping"/>
            </w:r>
            <w:r>
              <w:rPr>
                <w:rStyle w:val="11"/>
                <w:rFonts w:hint="eastAsia"/>
              </w:rPr>
              <w:t>贮运时严防日晒雨淋，存放于阴凉、干燥、避光处，保持良好通风，置于儿童、无关人员及动物接触不到的地方，并加锁保存。远离火源或热源，不得与食物、饮料、粮食、种子、饲料及易燃易爆品同贮同运。</w:t>
            </w:r>
          </w:p>
        </w:tc>
      </w:tr>
      <w:tr w14:paraId="0186D3B6">
        <w:tblPrEx>
          <w:tblCellMar>
            <w:top w:w="0" w:type="dxa"/>
            <w:left w:w="0" w:type="dxa"/>
            <w:bottom w:w="0" w:type="dxa"/>
            <w:right w:w="0" w:type="dxa"/>
          </w:tblCellMar>
        </w:tblPrEx>
        <w:trPr>
          <w:wBefore w:w="0" w:type="auto"/>
          <w:tblCellSpacing w:w="0" w:type="dxa"/>
        </w:trPr>
        <w:tc>
          <w:tcPr>
            <w:tcW w:w="0" w:type="auto"/>
            <w:noWrap w:val="0"/>
            <w:vAlign w:val="center"/>
          </w:tcPr>
          <w:p w14:paraId="5B4541A6">
            <w:r>
              <w:rPr>
                <w:rStyle w:val="10"/>
                <w:rFonts w:hint="eastAsia"/>
              </w:rPr>
              <w:t>质量保证期：</w:t>
            </w:r>
            <w:r>
              <w:rPr>
                <w:rStyle w:val="11"/>
                <w:rFonts w:hint="eastAsia"/>
              </w:rPr>
              <w:t>2年</w:t>
            </w:r>
          </w:p>
        </w:tc>
      </w:tr>
      <w:tr w14:paraId="2E228742">
        <w:tblPrEx>
          <w:tblCellMar>
            <w:top w:w="0" w:type="dxa"/>
            <w:left w:w="0" w:type="dxa"/>
            <w:bottom w:w="0" w:type="dxa"/>
            <w:right w:w="0" w:type="dxa"/>
          </w:tblCellMar>
        </w:tblPrEx>
        <w:trPr>
          <w:wBefore w:w="0" w:type="auto"/>
          <w:tblCellSpacing w:w="0" w:type="dxa"/>
        </w:trPr>
        <w:tc>
          <w:tcPr>
            <w:tcW w:w="0" w:type="auto"/>
            <w:noWrap w:val="0"/>
            <w:vAlign w:val="center"/>
          </w:tcPr>
          <w:p w14:paraId="5FAD6228">
            <w:r>
              <w:rPr>
                <w:rStyle w:val="10"/>
                <w:rFonts w:hint="eastAsia"/>
              </w:rPr>
              <w:t>备注：</w:t>
            </w:r>
          </w:p>
        </w:tc>
      </w:tr>
    </w:tbl>
    <w:p w14:paraId="6B48E2D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98CC005">
        <w:tblPrEx>
          <w:tblCellMar>
            <w:top w:w="0" w:type="dxa"/>
            <w:left w:w="0" w:type="dxa"/>
            <w:bottom w:w="0" w:type="dxa"/>
            <w:right w:w="0" w:type="dxa"/>
          </w:tblCellMar>
        </w:tblPrEx>
        <w:trPr>
          <w:wBefore w:w="0" w:type="auto"/>
          <w:tblCellSpacing w:w="0" w:type="dxa"/>
        </w:trPr>
        <w:tc>
          <w:tcPr>
            <w:tcW w:w="0" w:type="auto"/>
            <w:noWrap w:val="0"/>
            <w:vAlign w:val="center"/>
          </w:tcPr>
          <w:p w14:paraId="387C9BE8">
            <w:r>
              <w:rPr>
                <w:rStyle w:val="10"/>
                <w:rFonts w:hint="eastAsia"/>
              </w:rPr>
              <w:t>登记证号：</w:t>
            </w:r>
            <w:r>
              <w:rPr>
                <w:rFonts w:hint="eastAsia"/>
              </w:rPr>
              <w:t>PD20212218</w:t>
            </w:r>
          </w:p>
        </w:tc>
      </w:tr>
      <w:tr w14:paraId="3EF9F46E">
        <w:tblPrEx>
          <w:tblCellMar>
            <w:top w:w="0" w:type="dxa"/>
            <w:left w:w="0" w:type="dxa"/>
            <w:bottom w:w="0" w:type="dxa"/>
            <w:right w:w="0" w:type="dxa"/>
          </w:tblCellMar>
        </w:tblPrEx>
        <w:trPr>
          <w:wBefore w:w="0" w:type="auto"/>
          <w:tblCellSpacing w:w="0" w:type="dxa"/>
        </w:trPr>
        <w:tc>
          <w:tcPr>
            <w:tcW w:w="0" w:type="auto"/>
            <w:noWrap w:val="0"/>
            <w:vAlign w:val="center"/>
          </w:tcPr>
          <w:p w14:paraId="50570CAB">
            <w:r>
              <w:rPr>
                <w:rStyle w:val="10"/>
                <w:rFonts w:hint="eastAsia"/>
              </w:rPr>
              <w:t>登记证持有人：</w:t>
            </w:r>
            <w:r>
              <w:rPr>
                <w:rFonts w:hint="eastAsia"/>
              </w:rPr>
              <w:t>四川利尔作物科学有限公司</w:t>
            </w:r>
          </w:p>
        </w:tc>
      </w:tr>
      <w:tr w14:paraId="7BCB6F7D">
        <w:tblPrEx>
          <w:tblCellMar>
            <w:top w:w="0" w:type="dxa"/>
            <w:left w:w="0" w:type="dxa"/>
            <w:bottom w:w="0" w:type="dxa"/>
            <w:right w:w="0" w:type="dxa"/>
          </w:tblCellMar>
        </w:tblPrEx>
        <w:trPr>
          <w:wBefore w:w="0" w:type="auto"/>
          <w:tblCellSpacing w:w="0" w:type="dxa"/>
        </w:trPr>
        <w:tc>
          <w:tcPr>
            <w:tcW w:w="0" w:type="auto"/>
            <w:noWrap w:val="0"/>
            <w:vAlign w:val="center"/>
          </w:tcPr>
          <w:p w14:paraId="5849ABFD">
            <w:r>
              <w:rPr>
                <w:rStyle w:val="10"/>
                <w:rFonts w:hint="eastAsia"/>
              </w:rPr>
              <w:t>农药名称：</w:t>
            </w:r>
            <w:r>
              <w:rPr>
                <w:rFonts w:hint="eastAsia"/>
              </w:rPr>
              <w:t>氟草·草甘膦</w:t>
            </w:r>
          </w:p>
        </w:tc>
      </w:tr>
      <w:tr w14:paraId="39562037">
        <w:tblPrEx>
          <w:tblCellMar>
            <w:top w:w="0" w:type="dxa"/>
            <w:left w:w="0" w:type="dxa"/>
            <w:bottom w:w="0" w:type="dxa"/>
            <w:right w:w="0" w:type="dxa"/>
          </w:tblCellMar>
        </w:tblPrEx>
        <w:trPr>
          <w:wBefore w:w="0" w:type="auto"/>
          <w:tblCellSpacing w:w="0" w:type="dxa"/>
        </w:trPr>
        <w:tc>
          <w:tcPr>
            <w:tcW w:w="0" w:type="auto"/>
            <w:noWrap w:val="0"/>
            <w:vAlign w:val="center"/>
          </w:tcPr>
          <w:p w14:paraId="7F1EB6C2">
            <w:r>
              <w:rPr>
                <w:rStyle w:val="10"/>
                <w:rFonts w:hint="eastAsia"/>
              </w:rPr>
              <w:t>剂型：</w:t>
            </w:r>
            <w:r>
              <w:rPr>
                <w:rFonts w:hint="eastAsia"/>
              </w:rPr>
              <w:t>悬浮剂</w:t>
            </w:r>
          </w:p>
        </w:tc>
      </w:tr>
      <w:tr w14:paraId="32159885">
        <w:tblPrEx>
          <w:tblCellMar>
            <w:top w:w="0" w:type="dxa"/>
            <w:left w:w="0" w:type="dxa"/>
            <w:bottom w:w="0" w:type="dxa"/>
            <w:right w:w="0" w:type="dxa"/>
          </w:tblCellMar>
        </w:tblPrEx>
        <w:trPr>
          <w:wBefore w:w="0" w:type="auto"/>
          <w:tblCellSpacing w:w="0" w:type="dxa"/>
        </w:trPr>
        <w:tc>
          <w:tcPr>
            <w:tcW w:w="0" w:type="auto"/>
            <w:noWrap w:val="0"/>
            <w:vAlign w:val="center"/>
          </w:tcPr>
          <w:p w14:paraId="09CF268D">
            <w:r>
              <w:rPr>
                <w:rStyle w:val="10"/>
                <w:rFonts w:hint="eastAsia"/>
              </w:rPr>
              <w:t>毒性及其标识：</w:t>
            </w:r>
            <w:r>
              <w:rPr>
                <w:rFonts w:hint="eastAsia"/>
              </w:rPr>
              <w:t xml:space="preserve"> </w:t>
            </w:r>
            <w:r>
              <w:rPr>
                <w:lang/>
              </w:rPr>
              <w:drawing>
                <wp:inline distT="0" distB="0" distL="114300" distR="114300">
                  <wp:extent cx="476250" cy="323850"/>
                  <wp:effectExtent l="0" t="0" r="0" b="0"/>
                  <wp:docPr id="596" name="图片 59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1FEEA97">
        <w:tblPrEx>
          <w:tblCellMar>
            <w:top w:w="0" w:type="dxa"/>
            <w:left w:w="0" w:type="dxa"/>
            <w:bottom w:w="0" w:type="dxa"/>
            <w:right w:w="0" w:type="dxa"/>
          </w:tblCellMar>
        </w:tblPrEx>
        <w:trPr>
          <w:wBefore w:w="0" w:type="auto"/>
          <w:tblCellSpacing w:w="0" w:type="dxa"/>
        </w:trPr>
        <w:tc>
          <w:tcPr>
            <w:tcW w:w="0" w:type="auto"/>
            <w:noWrap w:val="0"/>
            <w:vAlign w:val="center"/>
          </w:tcPr>
          <w:p w14:paraId="7F89FDB7">
            <w:r>
              <w:rPr>
                <w:rStyle w:val="10"/>
                <w:rFonts w:hint="eastAsia"/>
              </w:rPr>
              <w:t>总有效成分含量：</w:t>
            </w:r>
            <w:r>
              <w:rPr>
                <w:rFonts w:hint="eastAsia"/>
              </w:rPr>
              <w:t>36%</w:t>
            </w:r>
          </w:p>
        </w:tc>
      </w:tr>
      <w:tr w14:paraId="746C75A0">
        <w:tblPrEx>
          <w:tblCellMar>
            <w:top w:w="0" w:type="dxa"/>
            <w:left w:w="0" w:type="dxa"/>
            <w:bottom w:w="0" w:type="dxa"/>
            <w:right w:w="0" w:type="dxa"/>
          </w:tblCellMar>
        </w:tblPrEx>
        <w:trPr>
          <w:wBefore w:w="0" w:type="auto"/>
          <w:tblCellSpacing w:w="0" w:type="dxa"/>
        </w:trPr>
        <w:tc>
          <w:tcPr>
            <w:tcW w:w="0" w:type="auto"/>
            <w:noWrap w:val="0"/>
            <w:vAlign w:val="center"/>
          </w:tcPr>
          <w:p w14:paraId="15113672">
            <w:r>
              <w:rPr>
                <w:rFonts w:hint="eastAsia"/>
              </w:rPr>
              <w:t xml:space="preserve">有效成分及其含量： </w:t>
            </w:r>
          </w:p>
          <w:p w14:paraId="4942C8BF">
            <w:r>
              <w:rPr>
                <w:rFonts w:hint="eastAsia"/>
              </w:rPr>
              <w:t xml:space="preserve">    草甘膦35.4%    丙炔氟草胺0.6%    </w:t>
            </w:r>
          </w:p>
        </w:tc>
      </w:tr>
      <w:tr w14:paraId="62DB3B5E">
        <w:tblPrEx>
          <w:tblCellMar>
            <w:top w:w="0" w:type="dxa"/>
            <w:left w:w="0" w:type="dxa"/>
            <w:bottom w:w="0" w:type="dxa"/>
            <w:right w:w="0" w:type="dxa"/>
          </w:tblCellMar>
        </w:tblPrEx>
        <w:trPr>
          <w:wBefore w:w="0" w:type="auto"/>
          <w:tblCellSpacing w:w="0" w:type="dxa"/>
        </w:trPr>
        <w:tc>
          <w:tcPr>
            <w:tcW w:w="0" w:type="auto"/>
            <w:noWrap w:val="0"/>
            <w:vAlign w:val="center"/>
          </w:tcPr>
          <w:p w14:paraId="76EC24A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99601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35CE1B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26D6CB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4172C3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F0F0ED5">
                  <w:r>
                    <w:rPr>
                      <w:rStyle w:val="11"/>
                      <w:rFonts w:hint="eastAsia"/>
                    </w:rPr>
                    <w:t>施用方式</w:t>
                  </w:r>
                </w:p>
              </w:tc>
            </w:tr>
            <w:tr w14:paraId="1C4A5B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8BF12E">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CCF19D">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B7DAA27">
                  <w:r>
                    <w:rPr>
                      <w:rStyle w:val="11"/>
                      <w:rFonts w:hint="eastAsia"/>
                    </w:rPr>
                    <w:t>150-300毫升/亩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255D64">
                  <w:r>
                    <w:rPr>
                      <w:rStyle w:val="11"/>
                      <w:rFonts w:hint="eastAsia"/>
                    </w:rPr>
                    <w:t>茎叶喷雾</w:t>
                  </w:r>
                </w:p>
              </w:tc>
            </w:tr>
          </w:tbl>
          <w:p w14:paraId="49BC4492">
            <w:pPr>
              <w:rPr>
                <w:rFonts w:ascii="Times New Roman" w:hAnsi="Times New Roman" w:cs="Times New Roman"/>
                <w:sz w:val="20"/>
                <w:szCs w:val="20"/>
              </w:rPr>
            </w:pPr>
          </w:p>
        </w:tc>
      </w:tr>
      <w:tr w14:paraId="53194A84">
        <w:tblPrEx>
          <w:tblCellMar>
            <w:top w:w="0" w:type="dxa"/>
            <w:left w:w="0" w:type="dxa"/>
            <w:bottom w:w="0" w:type="dxa"/>
            <w:right w:w="0" w:type="dxa"/>
          </w:tblCellMar>
        </w:tblPrEx>
        <w:trPr>
          <w:wBefore w:w="0" w:type="auto"/>
          <w:tblCellSpacing w:w="0" w:type="dxa"/>
        </w:trPr>
        <w:tc>
          <w:tcPr>
            <w:tcW w:w="0" w:type="auto"/>
            <w:noWrap w:val="0"/>
            <w:vAlign w:val="center"/>
          </w:tcPr>
          <w:p w14:paraId="66E07DD9">
            <w:r>
              <w:rPr>
                <w:rStyle w:val="10"/>
                <w:rFonts w:hint="eastAsia"/>
              </w:rPr>
              <w:t>使用技术要求:</w:t>
            </w:r>
            <w:r>
              <w:rPr>
                <w:rFonts w:hint="eastAsia"/>
              </w:rPr>
              <w:br w:type="textWrapping"/>
            </w:r>
            <w:r>
              <w:rPr>
                <w:rStyle w:val="11"/>
                <w:rFonts w:hint="eastAsia"/>
              </w:rPr>
              <w:t>在非耕地杂草生长旺盛期茎叶均匀喷雾，确保杂草喷湿喷透。若杂草草龄较大或杂草密度较大时应适当增加用药量。禁止在田间道路、田埂、果树行间、休耕地、林场地等农林区域使用。</w:t>
            </w:r>
          </w:p>
        </w:tc>
      </w:tr>
      <w:tr w14:paraId="619A74AD">
        <w:tblPrEx>
          <w:tblCellMar>
            <w:top w:w="0" w:type="dxa"/>
            <w:left w:w="0" w:type="dxa"/>
            <w:bottom w:w="0" w:type="dxa"/>
            <w:right w:w="0" w:type="dxa"/>
          </w:tblCellMar>
        </w:tblPrEx>
        <w:trPr>
          <w:wBefore w:w="0" w:type="auto"/>
          <w:tblCellSpacing w:w="0" w:type="dxa"/>
        </w:trPr>
        <w:tc>
          <w:tcPr>
            <w:tcW w:w="0" w:type="auto"/>
            <w:noWrap w:val="0"/>
            <w:vAlign w:val="center"/>
          </w:tcPr>
          <w:p w14:paraId="25A9AB52">
            <w:r>
              <w:rPr>
                <w:rStyle w:val="10"/>
                <w:rFonts w:hint="eastAsia"/>
              </w:rPr>
              <w:t>产品性能:</w:t>
            </w:r>
            <w:r>
              <w:rPr>
                <w:rFonts w:hint="eastAsia"/>
              </w:rPr>
              <w:br w:type="textWrapping"/>
            </w:r>
            <w:r>
              <w:rPr>
                <w:rStyle w:val="11"/>
                <w:rFonts w:hint="eastAsia"/>
              </w:rPr>
              <w:t>本品是茎叶处理的非选择性除草剂。</w:t>
            </w:r>
          </w:p>
        </w:tc>
      </w:tr>
      <w:tr w14:paraId="49A867F0">
        <w:tblPrEx>
          <w:tblCellMar>
            <w:top w:w="0" w:type="dxa"/>
            <w:left w:w="0" w:type="dxa"/>
            <w:bottom w:w="0" w:type="dxa"/>
            <w:right w:w="0" w:type="dxa"/>
          </w:tblCellMar>
        </w:tblPrEx>
        <w:trPr>
          <w:wBefore w:w="0" w:type="auto"/>
          <w:tblCellSpacing w:w="0" w:type="dxa"/>
        </w:trPr>
        <w:tc>
          <w:tcPr>
            <w:tcW w:w="0" w:type="auto"/>
            <w:noWrap w:val="0"/>
            <w:vAlign w:val="center"/>
          </w:tcPr>
          <w:p w14:paraId="6A5199A2">
            <w:r>
              <w:rPr>
                <w:rStyle w:val="10"/>
                <w:rFonts w:hint="eastAsia"/>
              </w:rPr>
              <w:t>注意事项：</w:t>
            </w:r>
            <w:r>
              <w:rPr>
                <w:rFonts w:hint="eastAsia"/>
              </w:rPr>
              <w:br w:type="textWrapping"/>
            </w:r>
            <w:r>
              <w:rPr>
                <w:rStyle w:val="11"/>
                <w:rFonts w:hint="eastAsia"/>
              </w:rPr>
              <w:t>1. 施药过程中若遇大风、大雨、积水等影响喷雾效果的情形时应停止施药，并防止雾滴飘移到其他地块。 2. 如需与其他助剂或药剂混用，请在当地农技人员指导下，先进行小面积试验确认有效性后，科学合理搭配使用。 3. 请在农技人员指导下，根据杂草发生基数、叶龄及种类、施药时天气条件、药械种类等因素科学合理的调整用药剂量、用水量。 4. 本品对眼睛有刺激性，使用时避免接触眼睛，穿戴长衣、长裤、帽子、口罩、手套等防护措施。施药时不能吸烟、饮水等；施药后清洗干净手脸等。 5. 远离水产养殖区、河塘等水体施药；禁止在河塘等水体中清洗施药器具； 蚕室及桑园附近禁用；.鸟类保护区附近禁用。用过的容器应妥善处理，不可做他用，也不可随意丢弃。 6. 避免孕妇和哺乳期妇女接触本品。 7. 使用前请仔细阅读此标签，并严格按照标签说明使用。未尽使用情形，请结合当地实际情况，在农业技术人员指导下使用。 8. 避免与氧化剂接触。</w:t>
            </w:r>
          </w:p>
        </w:tc>
      </w:tr>
      <w:tr w14:paraId="67507EAE">
        <w:tblPrEx>
          <w:tblCellMar>
            <w:top w:w="0" w:type="dxa"/>
            <w:left w:w="0" w:type="dxa"/>
            <w:bottom w:w="0" w:type="dxa"/>
            <w:right w:w="0" w:type="dxa"/>
          </w:tblCellMar>
        </w:tblPrEx>
        <w:trPr>
          <w:wBefore w:w="0" w:type="auto"/>
          <w:tblCellSpacing w:w="0" w:type="dxa"/>
        </w:trPr>
        <w:tc>
          <w:tcPr>
            <w:tcW w:w="0" w:type="auto"/>
            <w:noWrap w:val="0"/>
            <w:vAlign w:val="center"/>
          </w:tcPr>
          <w:p w14:paraId="057F6226">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02FEF6A5">
        <w:tblPrEx>
          <w:tblCellMar>
            <w:top w:w="0" w:type="dxa"/>
            <w:left w:w="0" w:type="dxa"/>
            <w:bottom w:w="0" w:type="dxa"/>
            <w:right w:w="0" w:type="dxa"/>
          </w:tblCellMar>
        </w:tblPrEx>
        <w:trPr>
          <w:wBefore w:w="0" w:type="auto"/>
          <w:tblCellSpacing w:w="0" w:type="dxa"/>
        </w:trPr>
        <w:tc>
          <w:tcPr>
            <w:tcW w:w="0" w:type="auto"/>
            <w:noWrap w:val="0"/>
            <w:vAlign w:val="center"/>
          </w:tcPr>
          <w:p w14:paraId="6D103572">
            <w:r>
              <w:rPr>
                <w:rStyle w:val="10"/>
                <w:rFonts w:hint="eastAsia"/>
              </w:rPr>
              <w:t>储存和运输方法：</w:t>
            </w:r>
            <w:r>
              <w:rPr>
                <w:rFonts w:hint="eastAsia"/>
              </w:rPr>
              <w:br w:type="textWrapping"/>
            </w:r>
            <w:r>
              <w:rPr>
                <w:rStyle w:val="11"/>
                <w:rFonts w:hint="eastAsia"/>
              </w:rPr>
              <w:t>本品应贮存于干燥、阴凉、通风、防雨处，远离火源或热源。置于儿童、无关人员触及不到之处，应加锁保存。不能与食品、饮料、种子、粮食、饲料等物品同贮同运。装卸时，注意轻拿轻放，禁止说笑打闹、吃、喝、抽烟；运输时要防潮防晒。</w:t>
            </w:r>
          </w:p>
        </w:tc>
      </w:tr>
      <w:tr w14:paraId="6B7D83D3">
        <w:tblPrEx>
          <w:tblCellMar>
            <w:top w:w="0" w:type="dxa"/>
            <w:left w:w="0" w:type="dxa"/>
            <w:bottom w:w="0" w:type="dxa"/>
            <w:right w:w="0" w:type="dxa"/>
          </w:tblCellMar>
        </w:tblPrEx>
        <w:trPr>
          <w:wBefore w:w="0" w:type="auto"/>
          <w:tblCellSpacing w:w="0" w:type="dxa"/>
        </w:trPr>
        <w:tc>
          <w:tcPr>
            <w:tcW w:w="0" w:type="auto"/>
            <w:noWrap w:val="0"/>
            <w:vAlign w:val="center"/>
          </w:tcPr>
          <w:p w14:paraId="4B3CE3ED">
            <w:r>
              <w:rPr>
                <w:rStyle w:val="10"/>
                <w:rFonts w:hint="eastAsia"/>
              </w:rPr>
              <w:t>质量保证期：</w:t>
            </w:r>
            <w:r>
              <w:rPr>
                <w:rStyle w:val="11"/>
                <w:rFonts w:hint="eastAsia"/>
              </w:rPr>
              <w:t>2年</w:t>
            </w:r>
          </w:p>
        </w:tc>
      </w:tr>
      <w:tr w14:paraId="0AF67818">
        <w:tblPrEx>
          <w:tblCellMar>
            <w:top w:w="0" w:type="dxa"/>
            <w:left w:w="0" w:type="dxa"/>
            <w:bottom w:w="0" w:type="dxa"/>
            <w:right w:w="0" w:type="dxa"/>
          </w:tblCellMar>
        </w:tblPrEx>
        <w:trPr>
          <w:wBefore w:w="0" w:type="auto"/>
          <w:tblCellSpacing w:w="0" w:type="dxa"/>
        </w:trPr>
        <w:tc>
          <w:tcPr>
            <w:tcW w:w="0" w:type="auto"/>
            <w:noWrap w:val="0"/>
            <w:vAlign w:val="center"/>
          </w:tcPr>
          <w:p w14:paraId="5CC18178">
            <w:r>
              <w:rPr>
                <w:rStyle w:val="10"/>
                <w:rFonts w:hint="eastAsia"/>
              </w:rPr>
              <w:t>备注：</w:t>
            </w:r>
            <w:r>
              <w:rPr>
                <w:rFonts w:hint="eastAsia"/>
              </w:rPr>
              <w:br w:type="textWrapping"/>
            </w:r>
            <w:r>
              <w:rPr>
                <w:rStyle w:val="11"/>
                <w:rFonts w:hint="eastAsia"/>
              </w:rPr>
              <w:t>草甘膦钾盐43.4%。</w:t>
            </w:r>
          </w:p>
        </w:tc>
      </w:tr>
    </w:tbl>
    <w:p w14:paraId="633B3FE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ABB2BE9">
        <w:tblPrEx>
          <w:tblCellMar>
            <w:top w:w="0" w:type="dxa"/>
            <w:left w:w="0" w:type="dxa"/>
            <w:bottom w:w="0" w:type="dxa"/>
            <w:right w:w="0" w:type="dxa"/>
          </w:tblCellMar>
        </w:tblPrEx>
        <w:trPr>
          <w:wBefore w:w="0" w:type="auto"/>
          <w:tblCellSpacing w:w="0" w:type="dxa"/>
        </w:trPr>
        <w:tc>
          <w:tcPr>
            <w:tcW w:w="0" w:type="auto"/>
            <w:noWrap w:val="0"/>
            <w:vAlign w:val="center"/>
          </w:tcPr>
          <w:p w14:paraId="492F51F8">
            <w:r>
              <w:rPr>
                <w:rStyle w:val="10"/>
                <w:rFonts w:hint="eastAsia"/>
              </w:rPr>
              <w:t>登记证号：</w:t>
            </w:r>
            <w:r>
              <w:rPr>
                <w:rFonts w:hint="eastAsia"/>
              </w:rPr>
              <w:t>PD20212153</w:t>
            </w:r>
          </w:p>
        </w:tc>
      </w:tr>
      <w:tr w14:paraId="4BFAA02B">
        <w:tblPrEx>
          <w:tblCellMar>
            <w:top w:w="0" w:type="dxa"/>
            <w:left w:w="0" w:type="dxa"/>
            <w:bottom w:w="0" w:type="dxa"/>
            <w:right w:w="0" w:type="dxa"/>
          </w:tblCellMar>
        </w:tblPrEx>
        <w:trPr>
          <w:wBefore w:w="0" w:type="auto"/>
          <w:tblCellSpacing w:w="0" w:type="dxa"/>
        </w:trPr>
        <w:tc>
          <w:tcPr>
            <w:tcW w:w="0" w:type="auto"/>
            <w:noWrap w:val="0"/>
            <w:vAlign w:val="center"/>
          </w:tcPr>
          <w:p w14:paraId="761AFD1B">
            <w:r>
              <w:rPr>
                <w:rStyle w:val="10"/>
                <w:rFonts w:hint="eastAsia"/>
              </w:rPr>
              <w:t>登记证持有人：</w:t>
            </w:r>
            <w:r>
              <w:rPr>
                <w:rFonts w:hint="eastAsia"/>
              </w:rPr>
              <w:t>吉林金秋农药有限公司</w:t>
            </w:r>
          </w:p>
        </w:tc>
      </w:tr>
      <w:tr w14:paraId="735570E8">
        <w:tblPrEx>
          <w:tblCellMar>
            <w:top w:w="0" w:type="dxa"/>
            <w:left w:w="0" w:type="dxa"/>
            <w:bottom w:w="0" w:type="dxa"/>
            <w:right w:w="0" w:type="dxa"/>
          </w:tblCellMar>
        </w:tblPrEx>
        <w:trPr>
          <w:wBefore w:w="0" w:type="auto"/>
          <w:tblCellSpacing w:w="0" w:type="dxa"/>
        </w:trPr>
        <w:tc>
          <w:tcPr>
            <w:tcW w:w="0" w:type="auto"/>
            <w:noWrap w:val="0"/>
            <w:vAlign w:val="center"/>
          </w:tcPr>
          <w:p w14:paraId="0C370602">
            <w:r>
              <w:rPr>
                <w:rStyle w:val="10"/>
                <w:rFonts w:hint="eastAsia"/>
              </w:rPr>
              <w:t>农药名称：</w:t>
            </w:r>
            <w:r>
              <w:rPr>
                <w:rFonts w:hint="eastAsia"/>
              </w:rPr>
              <w:t>丙炔噁草酮</w:t>
            </w:r>
          </w:p>
        </w:tc>
      </w:tr>
      <w:tr w14:paraId="0D45E64F">
        <w:tblPrEx>
          <w:tblCellMar>
            <w:top w:w="0" w:type="dxa"/>
            <w:left w:w="0" w:type="dxa"/>
            <w:bottom w:w="0" w:type="dxa"/>
            <w:right w:w="0" w:type="dxa"/>
          </w:tblCellMar>
        </w:tblPrEx>
        <w:trPr>
          <w:wBefore w:w="0" w:type="auto"/>
          <w:tblCellSpacing w:w="0" w:type="dxa"/>
        </w:trPr>
        <w:tc>
          <w:tcPr>
            <w:tcW w:w="0" w:type="auto"/>
            <w:noWrap w:val="0"/>
            <w:vAlign w:val="center"/>
          </w:tcPr>
          <w:p w14:paraId="08E223BD">
            <w:r>
              <w:rPr>
                <w:rStyle w:val="10"/>
                <w:rFonts w:hint="eastAsia"/>
              </w:rPr>
              <w:t>剂型：</w:t>
            </w:r>
            <w:r>
              <w:rPr>
                <w:rFonts w:hint="eastAsia"/>
              </w:rPr>
              <w:t>乳油</w:t>
            </w:r>
          </w:p>
        </w:tc>
      </w:tr>
      <w:tr w14:paraId="37148BC9">
        <w:tblPrEx>
          <w:tblCellMar>
            <w:top w:w="0" w:type="dxa"/>
            <w:left w:w="0" w:type="dxa"/>
            <w:bottom w:w="0" w:type="dxa"/>
            <w:right w:w="0" w:type="dxa"/>
          </w:tblCellMar>
        </w:tblPrEx>
        <w:trPr>
          <w:wBefore w:w="0" w:type="auto"/>
          <w:tblCellSpacing w:w="0" w:type="dxa"/>
        </w:trPr>
        <w:tc>
          <w:tcPr>
            <w:tcW w:w="0" w:type="auto"/>
            <w:noWrap w:val="0"/>
            <w:vAlign w:val="center"/>
          </w:tcPr>
          <w:p w14:paraId="35EC959C">
            <w:r>
              <w:rPr>
                <w:rStyle w:val="10"/>
                <w:rFonts w:hint="eastAsia"/>
              </w:rPr>
              <w:t>毒性及其标识：</w:t>
            </w:r>
            <w:r>
              <w:rPr>
                <w:rFonts w:hint="eastAsia"/>
              </w:rPr>
              <w:t xml:space="preserve"> </w:t>
            </w:r>
            <w:r>
              <w:rPr>
                <w:lang/>
              </w:rPr>
              <w:drawing>
                <wp:inline distT="0" distB="0" distL="114300" distR="114300">
                  <wp:extent cx="476250" cy="323850"/>
                  <wp:effectExtent l="0" t="0" r="0" b="0"/>
                  <wp:docPr id="597" name="图片 59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09E16B2">
        <w:tblPrEx>
          <w:tblCellMar>
            <w:top w:w="0" w:type="dxa"/>
            <w:left w:w="0" w:type="dxa"/>
            <w:bottom w:w="0" w:type="dxa"/>
            <w:right w:w="0" w:type="dxa"/>
          </w:tblCellMar>
        </w:tblPrEx>
        <w:trPr>
          <w:wBefore w:w="0" w:type="auto"/>
          <w:tblCellSpacing w:w="0" w:type="dxa"/>
        </w:trPr>
        <w:tc>
          <w:tcPr>
            <w:tcW w:w="0" w:type="auto"/>
            <w:noWrap w:val="0"/>
            <w:vAlign w:val="center"/>
          </w:tcPr>
          <w:p w14:paraId="541B9F10">
            <w:r>
              <w:rPr>
                <w:rStyle w:val="10"/>
                <w:rFonts w:hint="eastAsia"/>
              </w:rPr>
              <w:t>总有效成分含量：</w:t>
            </w:r>
            <w:r>
              <w:rPr>
                <w:rFonts w:hint="eastAsia"/>
              </w:rPr>
              <w:t>10%</w:t>
            </w:r>
          </w:p>
        </w:tc>
      </w:tr>
      <w:tr w14:paraId="0E905BFC">
        <w:tblPrEx>
          <w:tblCellMar>
            <w:top w:w="0" w:type="dxa"/>
            <w:left w:w="0" w:type="dxa"/>
            <w:bottom w:w="0" w:type="dxa"/>
            <w:right w:w="0" w:type="dxa"/>
          </w:tblCellMar>
        </w:tblPrEx>
        <w:trPr>
          <w:wBefore w:w="0" w:type="auto"/>
          <w:tblCellSpacing w:w="0" w:type="dxa"/>
        </w:trPr>
        <w:tc>
          <w:tcPr>
            <w:tcW w:w="0" w:type="auto"/>
            <w:noWrap w:val="0"/>
            <w:vAlign w:val="center"/>
          </w:tcPr>
          <w:p w14:paraId="4655374E">
            <w:r>
              <w:rPr>
                <w:rFonts w:hint="eastAsia"/>
              </w:rPr>
              <w:t xml:space="preserve">有效成分及其含量： </w:t>
            </w:r>
          </w:p>
          <w:p w14:paraId="2BE623B9">
            <w:r>
              <w:rPr>
                <w:rFonts w:hint="eastAsia"/>
              </w:rPr>
              <w:t xml:space="preserve">    丙炔噁草酮10%    </w:t>
            </w:r>
          </w:p>
        </w:tc>
      </w:tr>
      <w:tr w14:paraId="42800B24">
        <w:tblPrEx>
          <w:tblCellMar>
            <w:top w:w="0" w:type="dxa"/>
            <w:left w:w="0" w:type="dxa"/>
            <w:bottom w:w="0" w:type="dxa"/>
            <w:right w:w="0" w:type="dxa"/>
          </w:tblCellMar>
        </w:tblPrEx>
        <w:trPr>
          <w:wBefore w:w="0" w:type="auto"/>
          <w:tblCellSpacing w:w="0" w:type="dxa"/>
        </w:trPr>
        <w:tc>
          <w:tcPr>
            <w:tcW w:w="0" w:type="auto"/>
            <w:noWrap w:val="0"/>
            <w:vAlign w:val="center"/>
          </w:tcPr>
          <w:p w14:paraId="22B0A46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505428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E6F712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E7062C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6AEC38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5CB9FDE">
                  <w:r>
                    <w:rPr>
                      <w:rStyle w:val="11"/>
                      <w:rFonts w:hint="eastAsia"/>
                    </w:rPr>
                    <w:t>施用方式</w:t>
                  </w:r>
                </w:p>
              </w:tc>
            </w:tr>
            <w:tr w14:paraId="41F1D6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9DDC853">
                  <w:r>
                    <w:rPr>
                      <w:rStyle w:val="11"/>
                      <w:rFonts w:hint="eastAsia"/>
                    </w:rPr>
                    <w:t>水稻移栽田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4D002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EAC1A4A">
                  <w:r>
                    <w:rPr>
                      <w:rStyle w:val="11"/>
                      <w:rFonts w:hint="eastAsia"/>
                    </w:rPr>
                    <w:t>50-60毫升/亩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24435E">
                  <w:r>
                    <w:rPr>
                      <w:rStyle w:val="11"/>
                      <w:rFonts w:hint="eastAsia"/>
                    </w:rPr>
                    <w:t>土壤喷雾</w:t>
                  </w:r>
                </w:p>
              </w:tc>
            </w:tr>
          </w:tbl>
          <w:p w14:paraId="1599A87C">
            <w:pPr>
              <w:rPr>
                <w:rFonts w:ascii="Times New Roman" w:hAnsi="Times New Roman" w:cs="Times New Roman"/>
                <w:sz w:val="20"/>
                <w:szCs w:val="20"/>
              </w:rPr>
            </w:pPr>
          </w:p>
        </w:tc>
      </w:tr>
      <w:tr w14:paraId="3B7BED56">
        <w:tblPrEx>
          <w:tblCellMar>
            <w:top w:w="0" w:type="dxa"/>
            <w:left w:w="0" w:type="dxa"/>
            <w:bottom w:w="0" w:type="dxa"/>
            <w:right w:w="0" w:type="dxa"/>
          </w:tblCellMar>
        </w:tblPrEx>
        <w:trPr>
          <w:wBefore w:w="0" w:type="auto"/>
          <w:tblCellSpacing w:w="0" w:type="dxa"/>
        </w:trPr>
        <w:tc>
          <w:tcPr>
            <w:tcW w:w="0" w:type="auto"/>
            <w:noWrap w:val="0"/>
            <w:vAlign w:val="center"/>
          </w:tcPr>
          <w:p w14:paraId="26CD49C4">
            <w:r>
              <w:rPr>
                <w:rStyle w:val="10"/>
                <w:rFonts w:hint="eastAsia"/>
              </w:rPr>
              <w:t>使用技术要求:</w:t>
            </w:r>
            <w:r>
              <w:rPr>
                <w:rFonts w:hint="eastAsia"/>
              </w:rPr>
              <w:br w:type="textWrapping"/>
            </w:r>
            <w:r>
              <w:rPr>
                <w:rStyle w:val="11"/>
                <w:rFonts w:hint="eastAsia"/>
              </w:rPr>
              <w:t>（1）在水稻移栽前3-5天，稗草1叶期以前，稻田灌水整平后呈泥水状态时，以推荐剂量采用土壤喷雾法施药一次，移栽后保持田间3-5cm水层5-7天。（2）避免使用高剂量，以免因稻田高低不平、缺水或施用不均等造成作物药害。（3）水稻整个生育期最多使用1次。（4）施药时防止药液飘移到邻近作物，以免产生药害。（5）插秧后水层勿淹没水稻心叶避免药害。</w:t>
            </w:r>
          </w:p>
        </w:tc>
      </w:tr>
      <w:tr w14:paraId="6ED3A70A">
        <w:tblPrEx>
          <w:tblCellMar>
            <w:top w:w="0" w:type="dxa"/>
            <w:left w:w="0" w:type="dxa"/>
            <w:bottom w:w="0" w:type="dxa"/>
            <w:right w:w="0" w:type="dxa"/>
          </w:tblCellMar>
        </w:tblPrEx>
        <w:trPr>
          <w:wBefore w:w="0" w:type="auto"/>
          <w:tblCellSpacing w:w="0" w:type="dxa"/>
        </w:trPr>
        <w:tc>
          <w:tcPr>
            <w:tcW w:w="0" w:type="auto"/>
            <w:noWrap w:val="0"/>
            <w:vAlign w:val="center"/>
          </w:tcPr>
          <w:p w14:paraId="5AD11D31">
            <w:r>
              <w:rPr>
                <w:rStyle w:val="10"/>
                <w:rFonts w:hint="eastAsia"/>
              </w:rPr>
              <w:t>产品性能:</w:t>
            </w:r>
            <w:r>
              <w:rPr>
                <w:rFonts w:hint="eastAsia"/>
              </w:rPr>
              <w:br w:type="textWrapping"/>
            </w:r>
            <w:r>
              <w:rPr>
                <w:rStyle w:val="11"/>
                <w:rFonts w:hint="eastAsia"/>
              </w:rPr>
              <w:t>本剂为选择性触杀型芽期除草剂,系原叶琳原氧化酶抑制剂，主要在杂草出苗前后通过幼芽或幼苗接触吸收而起作用。施用后，其有效成分在水面迅速扩散后沉入土壤表层，形成封闭药膜，从而将靶标杂草消灭在萌芽状态，可防治稻田稗草、节节菜、雨久花、慈姑、异型莎草、扁秆藨草、萤蔺、野慈姑、狼把草、泽泻、丁香蓼、千金子、鸭舌草、陌上菜、鳢肠等一年生杂草。具有施用方便快捷、杀草谱广、持效期长等特点。</w:t>
            </w:r>
          </w:p>
        </w:tc>
      </w:tr>
      <w:tr w14:paraId="1EF7F474">
        <w:tblPrEx>
          <w:tblCellMar>
            <w:top w:w="0" w:type="dxa"/>
            <w:left w:w="0" w:type="dxa"/>
            <w:bottom w:w="0" w:type="dxa"/>
            <w:right w:w="0" w:type="dxa"/>
          </w:tblCellMar>
        </w:tblPrEx>
        <w:trPr>
          <w:wBefore w:w="0" w:type="auto"/>
          <w:tblCellSpacing w:w="0" w:type="dxa"/>
        </w:trPr>
        <w:tc>
          <w:tcPr>
            <w:tcW w:w="0" w:type="auto"/>
            <w:noWrap w:val="0"/>
            <w:vAlign w:val="center"/>
          </w:tcPr>
          <w:p w14:paraId="0A717BB8">
            <w:r>
              <w:rPr>
                <w:rStyle w:val="10"/>
                <w:rFonts w:hint="eastAsia"/>
              </w:rPr>
              <w:t>注意事项：</w:t>
            </w:r>
            <w:r>
              <w:rPr>
                <w:rFonts w:hint="eastAsia"/>
              </w:rPr>
              <w:br w:type="textWrapping"/>
            </w:r>
            <w:r>
              <w:rPr>
                <w:rStyle w:val="11"/>
                <w:rFonts w:hint="eastAsia"/>
              </w:rPr>
              <w:t>1.严格按推荐的使用技术均匀施用，不得超范围使用。 2.本剂对皮肤和眼睛有刺激作用，误用可损害健康，应避免眼睛和身体直接接触。施用时应戴防护镜、口罩和手套，穿防护服，并禁止饮食、吸烟、饮水等；施药后应用肥皂和清水彻底清洗暴露在外的皮肤。 3.本剂对水生鱼、藻、溞有毒，包装倒空洗净后应用清水对盛有药剂的包装瓶冲洗3次，并将冲洗液倒入喷雾器中；禁止在河塘等水体清洗施药器具；水产养殖区、河塘等水体附近禁用；鱼或虾蟹套养稻田禁用，施药后田水不得直接排入水体。 4.用过的空包装应压烂或划破后妥善处理，不可随意抛弃，不可用作它用，应依法作集中处理，避免其污染水源、沟渠和鱼塘。 5.避免孕妇及哺乳期妇女接触。</w:t>
            </w:r>
          </w:p>
        </w:tc>
      </w:tr>
      <w:tr w14:paraId="69A86620">
        <w:tblPrEx>
          <w:tblCellMar>
            <w:top w:w="0" w:type="dxa"/>
            <w:left w:w="0" w:type="dxa"/>
            <w:bottom w:w="0" w:type="dxa"/>
            <w:right w:w="0" w:type="dxa"/>
          </w:tblCellMar>
        </w:tblPrEx>
        <w:trPr>
          <w:wBefore w:w="0" w:type="auto"/>
          <w:tblCellSpacing w:w="0" w:type="dxa"/>
        </w:trPr>
        <w:tc>
          <w:tcPr>
            <w:tcW w:w="0" w:type="auto"/>
            <w:noWrap w:val="0"/>
            <w:vAlign w:val="center"/>
          </w:tcPr>
          <w:p w14:paraId="78EC2D2C">
            <w:r>
              <w:rPr>
                <w:rStyle w:val="10"/>
                <w:rFonts w:hint="eastAsia"/>
              </w:rPr>
              <w:t>中毒急救措施：</w:t>
            </w:r>
            <w:r>
              <w:rPr>
                <w:rFonts w:hint="eastAsia"/>
              </w:rPr>
              <w:br w:type="textWrapping"/>
            </w:r>
            <w:r>
              <w:rPr>
                <w:rStyle w:val="11"/>
                <w:rFonts w:hint="eastAsia"/>
              </w:rPr>
              <w:t>该产品对眼睛有刺激性，使用时避免接触眼睛。1、皮肤接触：立即脱掉被污染的衣物，用肥皂和大量清水彻底清洗受污染的皮肤。2、眼睛溅药：立即将眼睑翻开，用清水冲洗至少15分钟，再请医生诊治。3、不慎吸入：立即将吸入者转移到空气新鲜处，请医生诊治。4、若误服：切勿催吐或喂食任何东西，如不适症状持续，立即携此标签请医生诊治。对症治疗，无特殊解毒剂。</w:t>
            </w:r>
          </w:p>
        </w:tc>
      </w:tr>
      <w:tr w14:paraId="3C2A612E">
        <w:tblPrEx>
          <w:tblCellMar>
            <w:top w:w="0" w:type="dxa"/>
            <w:left w:w="0" w:type="dxa"/>
            <w:bottom w:w="0" w:type="dxa"/>
            <w:right w:w="0" w:type="dxa"/>
          </w:tblCellMar>
        </w:tblPrEx>
        <w:trPr>
          <w:wBefore w:w="0" w:type="auto"/>
          <w:tblCellSpacing w:w="0" w:type="dxa"/>
        </w:trPr>
        <w:tc>
          <w:tcPr>
            <w:tcW w:w="0" w:type="auto"/>
            <w:noWrap w:val="0"/>
            <w:vAlign w:val="center"/>
          </w:tcPr>
          <w:p w14:paraId="572F787A">
            <w:r>
              <w:rPr>
                <w:rStyle w:val="10"/>
                <w:rFonts w:hint="eastAsia"/>
              </w:rPr>
              <w:t>储存和运输方法：</w:t>
            </w:r>
            <w:r>
              <w:rPr>
                <w:rFonts w:hint="eastAsia"/>
              </w:rPr>
              <w:br w:type="textWrapping"/>
            </w:r>
            <w:r>
              <w:rPr>
                <w:rStyle w:val="11"/>
                <w:rFonts w:hint="eastAsia"/>
              </w:rPr>
              <w:t>1.本品应贮存在干燥、阴凉、通风、防雨处，远离火源或热源。2.置于儿童、无关人员触及不到之处，并加锁保存。3.勿与食品、饮料、饲料、粮食等同贮同运。储存温度宜在0～30℃，最高50℃。运输时轻搬轻放。</w:t>
            </w:r>
          </w:p>
        </w:tc>
      </w:tr>
      <w:tr w14:paraId="178DB3BF">
        <w:tblPrEx>
          <w:tblCellMar>
            <w:top w:w="0" w:type="dxa"/>
            <w:left w:w="0" w:type="dxa"/>
            <w:bottom w:w="0" w:type="dxa"/>
            <w:right w:w="0" w:type="dxa"/>
          </w:tblCellMar>
        </w:tblPrEx>
        <w:trPr>
          <w:wBefore w:w="0" w:type="auto"/>
          <w:tblCellSpacing w:w="0" w:type="dxa"/>
        </w:trPr>
        <w:tc>
          <w:tcPr>
            <w:tcW w:w="0" w:type="auto"/>
            <w:noWrap w:val="0"/>
            <w:vAlign w:val="center"/>
          </w:tcPr>
          <w:p w14:paraId="2EB59F6B">
            <w:r>
              <w:rPr>
                <w:rStyle w:val="10"/>
                <w:rFonts w:hint="eastAsia"/>
              </w:rPr>
              <w:t>质量保证期：</w:t>
            </w:r>
            <w:r>
              <w:rPr>
                <w:rStyle w:val="11"/>
                <w:rFonts w:hint="eastAsia"/>
              </w:rPr>
              <w:t>2年</w:t>
            </w:r>
          </w:p>
        </w:tc>
      </w:tr>
      <w:tr w14:paraId="13920CCE">
        <w:tblPrEx>
          <w:tblCellMar>
            <w:top w:w="0" w:type="dxa"/>
            <w:left w:w="0" w:type="dxa"/>
            <w:bottom w:w="0" w:type="dxa"/>
            <w:right w:w="0" w:type="dxa"/>
          </w:tblCellMar>
        </w:tblPrEx>
        <w:trPr>
          <w:wBefore w:w="0" w:type="auto"/>
          <w:tblCellSpacing w:w="0" w:type="dxa"/>
        </w:trPr>
        <w:tc>
          <w:tcPr>
            <w:tcW w:w="0" w:type="auto"/>
            <w:noWrap w:val="0"/>
            <w:vAlign w:val="center"/>
          </w:tcPr>
          <w:p w14:paraId="3B0B96D1">
            <w:r>
              <w:rPr>
                <w:rStyle w:val="10"/>
                <w:rFonts w:hint="eastAsia"/>
              </w:rPr>
              <w:t>备注：</w:t>
            </w:r>
          </w:p>
        </w:tc>
      </w:tr>
    </w:tbl>
    <w:p w14:paraId="512FA7F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42C826A">
        <w:tblPrEx>
          <w:tblCellMar>
            <w:top w:w="0" w:type="dxa"/>
            <w:left w:w="0" w:type="dxa"/>
            <w:bottom w:w="0" w:type="dxa"/>
            <w:right w:w="0" w:type="dxa"/>
          </w:tblCellMar>
        </w:tblPrEx>
        <w:trPr>
          <w:wBefore w:w="0" w:type="auto"/>
          <w:tblCellSpacing w:w="0" w:type="dxa"/>
        </w:trPr>
        <w:tc>
          <w:tcPr>
            <w:tcW w:w="0" w:type="auto"/>
            <w:noWrap w:val="0"/>
            <w:vAlign w:val="center"/>
          </w:tcPr>
          <w:p w14:paraId="59A80CE8">
            <w:r>
              <w:rPr>
                <w:rStyle w:val="10"/>
                <w:rFonts w:hint="eastAsia"/>
              </w:rPr>
              <w:t>登记证号：</w:t>
            </w:r>
            <w:r>
              <w:rPr>
                <w:rFonts w:hint="eastAsia"/>
              </w:rPr>
              <w:t>PD20212049</w:t>
            </w:r>
          </w:p>
        </w:tc>
      </w:tr>
      <w:tr w14:paraId="2642CA37">
        <w:tblPrEx>
          <w:tblCellMar>
            <w:top w:w="0" w:type="dxa"/>
            <w:left w:w="0" w:type="dxa"/>
            <w:bottom w:w="0" w:type="dxa"/>
            <w:right w:w="0" w:type="dxa"/>
          </w:tblCellMar>
        </w:tblPrEx>
        <w:trPr>
          <w:wBefore w:w="0" w:type="auto"/>
          <w:tblCellSpacing w:w="0" w:type="dxa"/>
        </w:trPr>
        <w:tc>
          <w:tcPr>
            <w:tcW w:w="0" w:type="auto"/>
            <w:noWrap w:val="0"/>
            <w:vAlign w:val="center"/>
          </w:tcPr>
          <w:p w14:paraId="7CE2771D">
            <w:r>
              <w:rPr>
                <w:rStyle w:val="10"/>
                <w:rFonts w:hint="eastAsia"/>
              </w:rPr>
              <w:t>登记证持有人：</w:t>
            </w:r>
            <w:r>
              <w:rPr>
                <w:rFonts w:hint="eastAsia"/>
              </w:rPr>
              <w:t>山东康乔生物科技有限公司</w:t>
            </w:r>
          </w:p>
        </w:tc>
      </w:tr>
      <w:tr w14:paraId="0E05E8BB">
        <w:tblPrEx>
          <w:tblCellMar>
            <w:top w:w="0" w:type="dxa"/>
            <w:left w:w="0" w:type="dxa"/>
            <w:bottom w:w="0" w:type="dxa"/>
            <w:right w:w="0" w:type="dxa"/>
          </w:tblCellMar>
        </w:tblPrEx>
        <w:trPr>
          <w:wBefore w:w="0" w:type="auto"/>
          <w:tblCellSpacing w:w="0" w:type="dxa"/>
        </w:trPr>
        <w:tc>
          <w:tcPr>
            <w:tcW w:w="0" w:type="auto"/>
            <w:noWrap w:val="0"/>
            <w:vAlign w:val="center"/>
          </w:tcPr>
          <w:p w14:paraId="2653D145">
            <w:r>
              <w:rPr>
                <w:rStyle w:val="10"/>
                <w:rFonts w:hint="eastAsia"/>
              </w:rPr>
              <w:t>农药名称：</w:t>
            </w:r>
            <w:r>
              <w:rPr>
                <w:rFonts w:hint="eastAsia"/>
              </w:rPr>
              <w:t>24-表芸·赤霉酸</w:t>
            </w:r>
          </w:p>
        </w:tc>
      </w:tr>
      <w:tr w14:paraId="1F61A1CE">
        <w:tblPrEx>
          <w:tblCellMar>
            <w:top w:w="0" w:type="dxa"/>
            <w:left w:w="0" w:type="dxa"/>
            <w:bottom w:w="0" w:type="dxa"/>
            <w:right w:w="0" w:type="dxa"/>
          </w:tblCellMar>
        </w:tblPrEx>
        <w:trPr>
          <w:wBefore w:w="0" w:type="auto"/>
          <w:tblCellSpacing w:w="0" w:type="dxa"/>
        </w:trPr>
        <w:tc>
          <w:tcPr>
            <w:tcW w:w="0" w:type="auto"/>
            <w:noWrap w:val="0"/>
            <w:vAlign w:val="center"/>
          </w:tcPr>
          <w:p w14:paraId="02DF1F87">
            <w:r>
              <w:rPr>
                <w:rStyle w:val="10"/>
                <w:rFonts w:hint="eastAsia"/>
              </w:rPr>
              <w:t>剂型：</w:t>
            </w:r>
            <w:r>
              <w:rPr>
                <w:rFonts w:hint="eastAsia"/>
              </w:rPr>
              <w:t>可溶液剂</w:t>
            </w:r>
          </w:p>
        </w:tc>
      </w:tr>
      <w:tr w14:paraId="60FE54AD">
        <w:tblPrEx>
          <w:tblCellMar>
            <w:top w:w="0" w:type="dxa"/>
            <w:left w:w="0" w:type="dxa"/>
            <w:bottom w:w="0" w:type="dxa"/>
            <w:right w:w="0" w:type="dxa"/>
          </w:tblCellMar>
        </w:tblPrEx>
        <w:trPr>
          <w:wBefore w:w="0" w:type="auto"/>
          <w:tblCellSpacing w:w="0" w:type="dxa"/>
        </w:trPr>
        <w:tc>
          <w:tcPr>
            <w:tcW w:w="0" w:type="auto"/>
            <w:noWrap w:val="0"/>
            <w:vAlign w:val="center"/>
          </w:tcPr>
          <w:p w14:paraId="032391E0">
            <w:r>
              <w:rPr>
                <w:rStyle w:val="10"/>
                <w:rFonts w:hint="eastAsia"/>
              </w:rPr>
              <w:t>毒性及其标识：</w:t>
            </w:r>
            <w:r>
              <w:rPr>
                <w:rFonts w:hint="eastAsia"/>
              </w:rPr>
              <w:t xml:space="preserve"> 微毒 </w:t>
            </w:r>
          </w:p>
        </w:tc>
      </w:tr>
      <w:tr w14:paraId="46B96DDA">
        <w:tblPrEx>
          <w:tblCellMar>
            <w:top w:w="0" w:type="dxa"/>
            <w:left w:w="0" w:type="dxa"/>
            <w:bottom w:w="0" w:type="dxa"/>
            <w:right w:w="0" w:type="dxa"/>
          </w:tblCellMar>
        </w:tblPrEx>
        <w:trPr>
          <w:wBefore w:w="0" w:type="auto"/>
          <w:tblCellSpacing w:w="0" w:type="dxa"/>
        </w:trPr>
        <w:tc>
          <w:tcPr>
            <w:tcW w:w="0" w:type="auto"/>
            <w:noWrap w:val="0"/>
            <w:vAlign w:val="center"/>
          </w:tcPr>
          <w:p w14:paraId="2C2B17AE">
            <w:r>
              <w:rPr>
                <w:rStyle w:val="10"/>
                <w:rFonts w:hint="eastAsia"/>
              </w:rPr>
              <w:t>总有效成分含量：</w:t>
            </w:r>
            <w:r>
              <w:rPr>
                <w:rFonts w:hint="eastAsia"/>
              </w:rPr>
              <w:t>0.4%</w:t>
            </w:r>
          </w:p>
        </w:tc>
      </w:tr>
      <w:tr w14:paraId="322D01B4">
        <w:tblPrEx>
          <w:tblCellMar>
            <w:top w:w="0" w:type="dxa"/>
            <w:left w:w="0" w:type="dxa"/>
            <w:bottom w:w="0" w:type="dxa"/>
            <w:right w:w="0" w:type="dxa"/>
          </w:tblCellMar>
        </w:tblPrEx>
        <w:trPr>
          <w:wBefore w:w="0" w:type="auto"/>
          <w:tblCellSpacing w:w="0" w:type="dxa"/>
        </w:trPr>
        <w:tc>
          <w:tcPr>
            <w:tcW w:w="0" w:type="auto"/>
            <w:noWrap w:val="0"/>
            <w:vAlign w:val="center"/>
          </w:tcPr>
          <w:p w14:paraId="5CEC4012">
            <w:r>
              <w:rPr>
                <w:rFonts w:hint="eastAsia"/>
              </w:rPr>
              <w:t xml:space="preserve">有效成分及其含量： </w:t>
            </w:r>
          </w:p>
          <w:p w14:paraId="6EACC47C">
            <w:r>
              <w:rPr>
                <w:rFonts w:hint="eastAsia"/>
              </w:rPr>
              <w:t xml:space="preserve">    赤霉酸A4+A70.398%    24-表芸苔素内酯0.002%    </w:t>
            </w:r>
          </w:p>
        </w:tc>
      </w:tr>
      <w:tr w14:paraId="325C83FF">
        <w:tblPrEx>
          <w:tblCellMar>
            <w:top w:w="0" w:type="dxa"/>
            <w:left w:w="0" w:type="dxa"/>
            <w:bottom w:w="0" w:type="dxa"/>
            <w:right w:w="0" w:type="dxa"/>
          </w:tblCellMar>
        </w:tblPrEx>
        <w:trPr>
          <w:wBefore w:w="0" w:type="auto"/>
          <w:tblCellSpacing w:w="0" w:type="dxa"/>
        </w:trPr>
        <w:tc>
          <w:tcPr>
            <w:tcW w:w="0" w:type="auto"/>
            <w:noWrap w:val="0"/>
            <w:vAlign w:val="center"/>
          </w:tcPr>
          <w:p w14:paraId="4CB4674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B16EE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F2413F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F2D047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3AC986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81974F1">
                  <w:r>
                    <w:rPr>
                      <w:rStyle w:val="11"/>
                      <w:rFonts w:hint="eastAsia"/>
                    </w:rPr>
                    <w:t>施用方式</w:t>
                  </w:r>
                </w:p>
              </w:tc>
            </w:tr>
            <w:tr w14:paraId="6778F9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EA6881A">
                  <w:r>
                    <w:rPr>
                      <w:rStyle w:val="11"/>
                      <w:rFonts w:hint="eastAsia"/>
                    </w:rPr>
                    <w:t>葡萄</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715E46A">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E71473">
                  <w:r>
                    <w:rPr>
                      <w:rStyle w:val="11"/>
                      <w:rFonts w:hint="eastAsia"/>
                    </w:rPr>
                    <w:t>800-1600倍液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5DC4940">
                  <w:r>
                    <w:rPr>
                      <w:rStyle w:val="11"/>
                      <w:rFonts w:hint="eastAsia"/>
                    </w:rPr>
                    <w:t>喷雾</w:t>
                  </w:r>
                </w:p>
              </w:tc>
            </w:tr>
          </w:tbl>
          <w:p w14:paraId="2C38512E">
            <w:pPr>
              <w:rPr>
                <w:rFonts w:ascii="Times New Roman" w:hAnsi="Times New Roman" w:cs="Times New Roman"/>
                <w:sz w:val="20"/>
                <w:szCs w:val="20"/>
              </w:rPr>
            </w:pPr>
          </w:p>
        </w:tc>
      </w:tr>
      <w:tr w14:paraId="4FB413D8">
        <w:tblPrEx>
          <w:tblCellMar>
            <w:top w:w="0" w:type="dxa"/>
            <w:left w:w="0" w:type="dxa"/>
            <w:bottom w:w="0" w:type="dxa"/>
            <w:right w:w="0" w:type="dxa"/>
          </w:tblCellMar>
        </w:tblPrEx>
        <w:trPr>
          <w:wBefore w:w="0" w:type="auto"/>
          <w:tblCellSpacing w:w="0" w:type="dxa"/>
        </w:trPr>
        <w:tc>
          <w:tcPr>
            <w:tcW w:w="0" w:type="auto"/>
            <w:noWrap w:val="0"/>
            <w:vAlign w:val="center"/>
          </w:tcPr>
          <w:p w14:paraId="7011579F">
            <w:r>
              <w:rPr>
                <w:rStyle w:val="10"/>
                <w:rFonts w:hint="eastAsia"/>
              </w:rPr>
              <w:t>使用技术要求:</w:t>
            </w:r>
            <w:r>
              <w:rPr>
                <w:rFonts w:hint="eastAsia"/>
              </w:rPr>
              <w:br w:type="textWrapping"/>
            </w:r>
            <w:r>
              <w:rPr>
                <w:rStyle w:val="11"/>
                <w:rFonts w:hint="eastAsia"/>
              </w:rPr>
              <w:t>1. 分别在葡萄谢花后生理落果初期和谢花后15天（果粒直径10-12毫米），针对葡萄果穗喷雾施药1次，共计施药2次。施药时应周到、均匀，勿重喷或漏喷。2. 大风天或预计1小时内降雨，请勿施药。2. 每季作物最多使用2次。</w:t>
            </w:r>
          </w:p>
        </w:tc>
      </w:tr>
      <w:tr w14:paraId="259DAF4C">
        <w:tblPrEx>
          <w:tblCellMar>
            <w:top w:w="0" w:type="dxa"/>
            <w:left w:w="0" w:type="dxa"/>
            <w:bottom w:w="0" w:type="dxa"/>
            <w:right w:w="0" w:type="dxa"/>
          </w:tblCellMar>
        </w:tblPrEx>
        <w:trPr>
          <w:wBefore w:w="0" w:type="auto"/>
          <w:tblCellSpacing w:w="0" w:type="dxa"/>
        </w:trPr>
        <w:tc>
          <w:tcPr>
            <w:tcW w:w="0" w:type="auto"/>
            <w:noWrap w:val="0"/>
            <w:vAlign w:val="center"/>
          </w:tcPr>
          <w:p w14:paraId="4456D7F2">
            <w:r>
              <w:rPr>
                <w:rStyle w:val="10"/>
                <w:rFonts w:hint="eastAsia"/>
              </w:rPr>
              <w:t>产品性能:</w:t>
            </w:r>
            <w:r>
              <w:rPr>
                <w:rFonts w:hint="eastAsia"/>
              </w:rPr>
              <w:br w:type="textWrapping"/>
            </w:r>
            <w:r>
              <w:rPr>
                <w:rStyle w:val="11"/>
                <w:rFonts w:hint="eastAsia"/>
              </w:rPr>
              <w:t>本品是一种由24表芸苔素内酯与赤霉酸A4+A7混配而成的植物生长调节剂，具有促进作物生长，增加营养体收获量；提高座瓜率，增大果实，促进果实快速生长发育改善果型，增产增收等作用。</w:t>
            </w:r>
          </w:p>
        </w:tc>
      </w:tr>
      <w:tr w14:paraId="2CFD734E">
        <w:tblPrEx>
          <w:tblCellMar>
            <w:top w:w="0" w:type="dxa"/>
            <w:left w:w="0" w:type="dxa"/>
            <w:bottom w:w="0" w:type="dxa"/>
            <w:right w:w="0" w:type="dxa"/>
          </w:tblCellMar>
        </w:tblPrEx>
        <w:trPr>
          <w:wBefore w:w="0" w:type="auto"/>
          <w:tblCellSpacing w:w="0" w:type="dxa"/>
        </w:trPr>
        <w:tc>
          <w:tcPr>
            <w:tcW w:w="0" w:type="auto"/>
            <w:noWrap w:val="0"/>
            <w:vAlign w:val="center"/>
          </w:tcPr>
          <w:p w14:paraId="32A62958">
            <w:r>
              <w:rPr>
                <w:rStyle w:val="10"/>
                <w:rFonts w:hint="eastAsia"/>
              </w:rPr>
              <w:t>注意事项：</w:t>
            </w:r>
            <w:r>
              <w:rPr>
                <w:rFonts w:hint="eastAsia"/>
              </w:rPr>
              <w:br w:type="textWrapping"/>
            </w:r>
            <w:r>
              <w:rPr>
                <w:rStyle w:val="11"/>
                <w:rFonts w:hint="eastAsia"/>
              </w:rPr>
              <w:t>1. 严格按规定用药量和方法使用。 2. 本品不可与碱性农药等物质混用，建议与其他作用机制不同的植物生长调节剂轮换使用，以延缓抗性的产生。3. 禁止在河塘等水体中清洗施药器具。药液及其废液不得污染各类水域、土壤等环境。用过的容器和废气包装应妥善处理，不可随意丢弃或做他用。 4. 施药期间（周围）开花植物花期禁用，使用时密切关注对附近蜂群的影响；鸟类保护区附近禁用；远离水产养殖区、河塘等水体施药。 5. 本品对眼睛有刺激性，使用时避免接触眼睛，穿戴长衣、长裤、帽子、口罩、手套等防护措施。避免皮肤接触及口鼻吸入。使用中不可吸烟、饮水及吃东西，使用后及时清洗手、脸等暴露部位皮肤并更换衣物。 6. 孕妇、哺乳期的妇女、过敏体质者、感冒和皮肤病患者禁止接触本产品。</w:t>
            </w:r>
          </w:p>
        </w:tc>
      </w:tr>
      <w:tr w14:paraId="28FFE905">
        <w:tblPrEx>
          <w:tblCellMar>
            <w:top w:w="0" w:type="dxa"/>
            <w:left w:w="0" w:type="dxa"/>
            <w:bottom w:w="0" w:type="dxa"/>
            <w:right w:w="0" w:type="dxa"/>
          </w:tblCellMar>
        </w:tblPrEx>
        <w:trPr>
          <w:wBefore w:w="0" w:type="auto"/>
          <w:tblCellSpacing w:w="0" w:type="dxa"/>
        </w:trPr>
        <w:tc>
          <w:tcPr>
            <w:tcW w:w="0" w:type="auto"/>
            <w:noWrap w:val="0"/>
            <w:vAlign w:val="center"/>
          </w:tcPr>
          <w:p w14:paraId="30B9853A">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用软布去除沾染农药，立即用大量清水和肥皂冲洗。眼睛溅入：立即用流动清水冲洗不少于15分钟。吸入：立即离开施药现场，转移到空气清新处。误食：立即停止服用，用清水充分漱口后，立即携带农药标签到医院就诊。</w:t>
            </w:r>
          </w:p>
        </w:tc>
      </w:tr>
      <w:tr w14:paraId="732E4224">
        <w:tblPrEx>
          <w:tblCellMar>
            <w:top w:w="0" w:type="dxa"/>
            <w:left w:w="0" w:type="dxa"/>
            <w:bottom w:w="0" w:type="dxa"/>
            <w:right w:w="0" w:type="dxa"/>
          </w:tblCellMar>
        </w:tblPrEx>
        <w:trPr>
          <w:wBefore w:w="0" w:type="auto"/>
          <w:tblCellSpacing w:w="0" w:type="dxa"/>
        </w:trPr>
        <w:tc>
          <w:tcPr>
            <w:tcW w:w="0" w:type="auto"/>
            <w:noWrap w:val="0"/>
            <w:vAlign w:val="center"/>
          </w:tcPr>
          <w:p w14:paraId="46E9D043">
            <w:r>
              <w:rPr>
                <w:rStyle w:val="10"/>
                <w:rFonts w:hint="eastAsia"/>
              </w:rPr>
              <w:t>储存和运输方法：</w:t>
            </w:r>
            <w:r>
              <w:rPr>
                <w:rFonts w:hint="eastAsia"/>
              </w:rPr>
              <w:br w:type="textWrapping"/>
            </w:r>
            <w:r>
              <w:rPr>
                <w:rStyle w:val="11"/>
                <w:rFonts w:hint="eastAsia"/>
              </w:rPr>
              <w:t>本品应贮存在干燥、阴凉、通风、防雨处，本品属易燃液体，远离火源或热源。置于儿童、无关人员触及不到之处，并加锁。勿与食品、饮料、粮食、饲料等其他商品同贮同运。</w:t>
            </w:r>
          </w:p>
        </w:tc>
      </w:tr>
      <w:tr w14:paraId="09598D8E">
        <w:tblPrEx>
          <w:tblCellMar>
            <w:top w:w="0" w:type="dxa"/>
            <w:left w:w="0" w:type="dxa"/>
            <w:bottom w:w="0" w:type="dxa"/>
            <w:right w:w="0" w:type="dxa"/>
          </w:tblCellMar>
        </w:tblPrEx>
        <w:trPr>
          <w:wBefore w:w="0" w:type="auto"/>
          <w:tblCellSpacing w:w="0" w:type="dxa"/>
        </w:trPr>
        <w:tc>
          <w:tcPr>
            <w:tcW w:w="0" w:type="auto"/>
            <w:noWrap w:val="0"/>
            <w:vAlign w:val="center"/>
          </w:tcPr>
          <w:p w14:paraId="1AA5CEA3">
            <w:r>
              <w:rPr>
                <w:rStyle w:val="10"/>
                <w:rFonts w:hint="eastAsia"/>
              </w:rPr>
              <w:t>质量保证期：</w:t>
            </w:r>
            <w:r>
              <w:rPr>
                <w:rStyle w:val="11"/>
                <w:rFonts w:hint="eastAsia"/>
              </w:rPr>
              <w:t>2年</w:t>
            </w:r>
          </w:p>
        </w:tc>
      </w:tr>
      <w:tr w14:paraId="0394D44A">
        <w:tblPrEx>
          <w:tblCellMar>
            <w:top w:w="0" w:type="dxa"/>
            <w:left w:w="0" w:type="dxa"/>
            <w:bottom w:w="0" w:type="dxa"/>
            <w:right w:w="0" w:type="dxa"/>
          </w:tblCellMar>
        </w:tblPrEx>
        <w:trPr>
          <w:wBefore w:w="0" w:type="auto"/>
          <w:tblCellSpacing w:w="0" w:type="dxa"/>
        </w:trPr>
        <w:tc>
          <w:tcPr>
            <w:tcW w:w="0" w:type="auto"/>
            <w:noWrap w:val="0"/>
            <w:vAlign w:val="center"/>
          </w:tcPr>
          <w:p w14:paraId="05A619A3">
            <w:r>
              <w:rPr>
                <w:rStyle w:val="10"/>
                <w:rFonts w:hint="eastAsia"/>
              </w:rPr>
              <w:t>备注：</w:t>
            </w:r>
          </w:p>
        </w:tc>
      </w:tr>
    </w:tbl>
    <w:p w14:paraId="1BD11482">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C84C7B9">
        <w:tblPrEx>
          <w:tblCellMar>
            <w:top w:w="0" w:type="dxa"/>
            <w:left w:w="0" w:type="dxa"/>
            <w:bottom w:w="0" w:type="dxa"/>
            <w:right w:w="0" w:type="dxa"/>
          </w:tblCellMar>
        </w:tblPrEx>
        <w:trPr>
          <w:wBefore w:w="0" w:type="auto"/>
          <w:tblCellSpacing w:w="0" w:type="dxa"/>
        </w:trPr>
        <w:tc>
          <w:tcPr>
            <w:tcW w:w="0" w:type="auto"/>
            <w:noWrap w:val="0"/>
            <w:vAlign w:val="center"/>
          </w:tcPr>
          <w:p w14:paraId="05352044">
            <w:r>
              <w:rPr>
                <w:rStyle w:val="10"/>
                <w:rFonts w:hint="eastAsia"/>
              </w:rPr>
              <w:t>登记证号：</w:t>
            </w:r>
            <w:r>
              <w:rPr>
                <w:rFonts w:hint="eastAsia"/>
              </w:rPr>
              <w:t>PD20212163</w:t>
            </w:r>
          </w:p>
        </w:tc>
      </w:tr>
      <w:tr w14:paraId="1A73D263">
        <w:tblPrEx>
          <w:tblCellMar>
            <w:top w:w="0" w:type="dxa"/>
            <w:left w:w="0" w:type="dxa"/>
            <w:bottom w:w="0" w:type="dxa"/>
            <w:right w:w="0" w:type="dxa"/>
          </w:tblCellMar>
        </w:tblPrEx>
        <w:trPr>
          <w:wBefore w:w="0" w:type="auto"/>
          <w:tblCellSpacing w:w="0" w:type="dxa"/>
        </w:trPr>
        <w:tc>
          <w:tcPr>
            <w:tcW w:w="0" w:type="auto"/>
            <w:noWrap w:val="0"/>
            <w:vAlign w:val="center"/>
          </w:tcPr>
          <w:p w14:paraId="4106348F">
            <w:r>
              <w:rPr>
                <w:rStyle w:val="10"/>
                <w:rFonts w:hint="eastAsia"/>
              </w:rPr>
              <w:t>登记证持有人：</w:t>
            </w:r>
            <w:r>
              <w:rPr>
                <w:rFonts w:hint="eastAsia"/>
              </w:rPr>
              <w:t>黑龙江绿丰源生物科技有限公司</w:t>
            </w:r>
          </w:p>
        </w:tc>
      </w:tr>
      <w:tr w14:paraId="6AA89514">
        <w:tblPrEx>
          <w:tblCellMar>
            <w:top w:w="0" w:type="dxa"/>
            <w:left w:w="0" w:type="dxa"/>
            <w:bottom w:w="0" w:type="dxa"/>
            <w:right w:w="0" w:type="dxa"/>
          </w:tblCellMar>
        </w:tblPrEx>
        <w:trPr>
          <w:wBefore w:w="0" w:type="auto"/>
          <w:tblCellSpacing w:w="0" w:type="dxa"/>
        </w:trPr>
        <w:tc>
          <w:tcPr>
            <w:tcW w:w="0" w:type="auto"/>
            <w:noWrap w:val="0"/>
            <w:vAlign w:val="center"/>
          </w:tcPr>
          <w:p w14:paraId="373B3258">
            <w:r>
              <w:rPr>
                <w:rStyle w:val="10"/>
                <w:rFonts w:hint="eastAsia"/>
              </w:rPr>
              <w:t>农药名称：</w:t>
            </w:r>
            <w:r>
              <w:rPr>
                <w:rFonts w:hint="eastAsia"/>
              </w:rPr>
              <w:t>扑·噻·乙草胺</w:t>
            </w:r>
          </w:p>
        </w:tc>
      </w:tr>
      <w:tr w14:paraId="7406162E">
        <w:tblPrEx>
          <w:tblCellMar>
            <w:top w:w="0" w:type="dxa"/>
            <w:left w:w="0" w:type="dxa"/>
            <w:bottom w:w="0" w:type="dxa"/>
            <w:right w:w="0" w:type="dxa"/>
          </w:tblCellMar>
        </w:tblPrEx>
        <w:trPr>
          <w:wBefore w:w="0" w:type="auto"/>
          <w:tblCellSpacing w:w="0" w:type="dxa"/>
        </w:trPr>
        <w:tc>
          <w:tcPr>
            <w:tcW w:w="0" w:type="auto"/>
            <w:noWrap w:val="0"/>
            <w:vAlign w:val="center"/>
          </w:tcPr>
          <w:p w14:paraId="27FCCEFF">
            <w:r>
              <w:rPr>
                <w:rStyle w:val="10"/>
                <w:rFonts w:hint="eastAsia"/>
              </w:rPr>
              <w:t>剂型：</w:t>
            </w:r>
            <w:r>
              <w:rPr>
                <w:rFonts w:hint="eastAsia"/>
              </w:rPr>
              <w:t>乳油</w:t>
            </w:r>
          </w:p>
        </w:tc>
      </w:tr>
      <w:tr w14:paraId="420F6F73">
        <w:tblPrEx>
          <w:tblCellMar>
            <w:top w:w="0" w:type="dxa"/>
            <w:left w:w="0" w:type="dxa"/>
            <w:bottom w:w="0" w:type="dxa"/>
            <w:right w:w="0" w:type="dxa"/>
          </w:tblCellMar>
        </w:tblPrEx>
        <w:trPr>
          <w:wBefore w:w="0" w:type="auto"/>
          <w:tblCellSpacing w:w="0" w:type="dxa"/>
        </w:trPr>
        <w:tc>
          <w:tcPr>
            <w:tcW w:w="0" w:type="auto"/>
            <w:noWrap w:val="0"/>
            <w:vAlign w:val="center"/>
          </w:tcPr>
          <w:p w14:paraId="7CEB8BCD">
            <w:r>
              <w:rPr>
                <w:rStyle w:val="10"/>
                <w:rFonts w:hint="eastAsia"/>
              </w:rPr>
              <w:t>毒性及其标识：</w:t>
            </w:r>
            <w:r>
              <w:rPr>
                <w:rFonts w:hint="eastAsia"/>
              </w:rPr>
              <w:t xml:space="preserve"> </w:t>
            </w:r>
            <w:r>
              <w:rPr>
                <w:lang/>
              </w:rPr>
              <w:drawing>
                <wp:inline distT="0" distB="0" distL="114300" distR="114300">
                  <wp:extent cx="476250" cy="323850"/>
                  <wp:effectExtent l="0" t="0" r="0" b="0"/>
                  <wp:docPr id="598" name="图片 59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B2A358D">
        <w:tblPrEx>
          <w:tblCellMar>
            <w:top w:w="0" w:type="dxa"/>
            <w:left w:w="0" w:type="dxa"/>
            <w:bottom w:w="0" w:type="dxa"/>
            <w:right w:w="0" w:type="dxa"/>
          </w:tblCellMar>
        </w:tblPrEx>
        <w:trPr>
          <w:wBefore w:w="0" w:type="auto"/>
          <w:tblCellSpacing w:w="0" w:type="dxa"/>
        </w:trPr>
        <w:tc>
          <w:tcPr>
            <w:tcW w:w="0" w:type="auto"/>
            <w:noWrap w:val="0"/>
            <w:vAlign w:val="center"/>
          </w:tcPr>
          <w:p w14:paraId="66DEC718">
            <w:r>
              <w:rPr>
                <w:rStyle w:val="10"/>
                <w:rFonts w:hint="eastAsia"/>
              </w:rPr>
              <w:t>总有效成分含量：</w:t>
            </w:r>
            <w:r>
              <w:rPr>
                <w:rFonts w:hint="eastAsia"/>
              </w:rPr>
              <w:t>76%</w:t>
            </w:r>
          </w:p>
        </w:tc>
      </w:tr>
      <w:tr w14:paraId="6FB3FAA8">
        <w:tblPrEx>
          <w:tblCellMar>
            <w:top w:w="0" w:type="dxa"/>
            <w:left w:w="0" w:type="dxa"/>
            <w:bottom w:w="0" w:type="dxa"/>
            <w:right w:w="0" w:type="dxa"/>
          </w:tblCellMar>
        </w:tblPrEx>
        <w:trPr>
          <w:wBefore w:w="0" w:type="auto"/>
          <w:tblCellSpacing w:w="0" w:type="dxa"/>
        </w:trPr>
        <w:tc>
          <w:tcPr>
            <w:tcW w:w="0" w:type="auto"/>
            <w:noWrap w:val="0"/>
            <w:vAlign w:val="center"/>
          </w:tcPr>
          <w:p w14:paraId="2B0C0340">
            <w:r>
              <w:rPr>
                <w:rFonts w:hint="eastAsia"/>
              </w:rPr>
              <w:t xml:space="preserve">有效成分及其含量： </w:t>
            </w:r>
          </w:p>
          <w:p w14:paraId="4F36597A">
            <w:r>
              <w:rPr>
                <w:rFonts w:hint="eastAsia"/>
              </w:rPr>
              <w:t xml:space="preserve">    扑草净14%    噻吩磺隆0.5%    乙草胺61.5%    </w:t>
            </w:r>
          </w:p>
        </w:tc>
      </w:tr>
      <w:tr w14:paraId="1400B003">
        <w:tblPrEx>
          <w:tblCellMar>
            <w:top w:w="0" w:type="dxa"/>
            <w:left w:w="0" w:type="dxa"/>
            <w:bottom w:w="0" w:type="dxa"/>
            <w:right w:w="0" w:type="dxa"/>
          </w:tblCellMar>
        </w:tblPrEx>
        <w:trPr>
          <w:wBefore w:w="0" w:type="auto"/>
          <w:tblCellSpacing w:w="0" w:type="dxa"/>
        </w:trPr>
        <w:tc>
          <w:tcPr>
            <w:tcW w:w="0" w:type="auto"/>
            <w:noWrap w:val="0"/>
            <w:vAlign w:val="center"/>
          </w:tcPr>
          <w:p w14:paraId="6F8803C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E20F62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E6D964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A52EF4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CEF149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DCE3C76">
                  <w:r>
                    <w:rPr>
                      <w:rStyle w:val="11"/>
                      <w:rFonts w:hint="eastAsia"/>
                    </w:rPr>
                    <w:t>施用方式</w:t>
                  </w:r>
                </w:p>
              </w:tc>
            </w:tr>
            <w:tr w14:paraId="2088EC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654077E">
                  <w:r>
                    <w:rPr>
                      <w:rStyle w:val="11"/>
                      <w:rFonts w:hint="eastAsia"/>
                    </w:rPr>
                    <w:t>马铃薯田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12E375F">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3B444DB">
                  <w:r>
                    <w:rPr>
                      <w:rStyle w:val="11"/>
                      <w:rFonts w:hint="eastAsia"/>
                    </w:rPr>
                    <w:t>100-130毫升/亩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F488C1">
                  <w:r>
                    <w:rPr>
                      <w:rStyle w:val="11"/>
                      <w:rFonts w:hint="eastAsia"/>
                    </w:rPr>
                    <w:t>土壤喷雾</w:t>
                  </w:r>
                </w:p>
              </w:tc>
            </w:tr>
          </w:tbl>
          <w:p w14:paraId="1CC1E8AB">
            <w:pPr>
              <w:rPr>
                <w:rFonts w:ascii="Times New Roman" w:hAnsi="Times New Roman" w:cs="Times New Roman"/>
                <w:sz w:val="20"/>
                <w:szCs w:val="20"/>
              </w:rPr>
            </w:pPr>
          </w:p>
        </w:tc>
      </w:tr>
      <w:tr w14:paraId="3E67C0C1">
        <w:tblPrEx>
          <w:tblCellMar>
            <w:top w:w="0" w:type="dxa"/>
            <w:left w:w="0" w:type="dxa"/>
            <w:bottom w:w="0" w:type="dxa"/>
            <w:right w:w="0" w:type="dxa"/>
          </w:tblCellMar>
        </w:tblPrEx>
        <w:trPr>
          <w:wBefore w:w="0" w:type="auto"/>
          <w:tblCellSpacing w:w="0" w:type="dxa"/>
        </w:trPr>
        <w:tc>
          <w:tcPr>
            <w:tcW w:w="0" w:type="auto"/>
            <w:noWrap w:val="0"/>
            <w:vAlign w:val="center"/>
          </w:tcPr>
          <w:p w14:paraId="29BF3617">
            <w:r>
              <w:rPr>
                <w:rStyle w:val="10"/>
                <w:rFonts w:hint="eastAsia"/>
              </w:rPr>
              <w:t>使用技术要求:</w:t>
            </w:r>
            <w:r>
              <w:rPr>
                <w:rFonts w:hint="eastAsia"/>
              </w:rPr>
              <w:br w:type="textWrapping"/>
            </w:r>
            <w:r>
              <w:rPr>
                <w:rStyle w:val="11"/>
                <w:rFonts w:hint="eastAsia"/>
              </w:rPr>
              <w:t>在马铃薯播后苗前土壤喷雾施药。每季最多使用1次。</w:t>
            </w:r>
          </w:p>
        </w:tc>
      </w:tr>
      <w:tr w14:paraId="3F5979EA">
        <w:tblPrEx>
          <w:tblCellMar>
            <w:top w:w="0" w:type="dxa"/>
            <w:left w:w="0" w:type="dxa"/>
            <w:bottom w:w="0" w:type="dxa"/>
            <w:right w:w="0" w:type="dxa"/>
          </w:tblCellMar>
        </w:tblPrEx>
        <w:trPr>
          <w:wBefore w:w="0" w:type="auto"/>
          <w:tblCellSpacing w:w="0" w:type="dxa"/>
        </w:trPr>
        <w:tc>
          <w:tcPr>
            <w:tcW w:w="0" w:type="auto"/>
            <w:noWrap w:val="0"/>
            <w:vAlign w:val="center"/>
          </w:tcPr>
          <w:p w14:paraId="6A8E46F6">
            <w:r>
              <w:rPr>
                <w:rStyle w:val="10"/>
                <w:rFonts w:hint="eastAsia"/>
              </w:rPr>
              <w:t>产品性能:</w:t>
            </w:r>
            <w:r>
              <w:rPr>
                <w:rFonts w:hint="eastAsia"/>
              </w:rPr>
              <w:br w:type="textWrapping"/>
            </w:r>
            <w:r>
              <w:rPr>
                <w:rStyle w:val="11"/>
                <w:rFonts w:hint="eastAsia"/>
              </w:rPr>
              <w:t>本品是通过扑草净、噻吩磺隆和乙草胺混配而成。能有效的防除马铃薯田中常见的一年生禾本科杂草、阔叶杂草和莎草科杂草。</w:t>
            </w:r>
          </w:p>
        </w:tc>
      </w:tr>
      <w:tr w14:paraId="29C51543">
        <w:tblPrEx>
          <w:tblCellMar>
            <w:top w:w="0" w:type="dxa"/>
            <w:left w:w="0" w:type="dxa"/>
            <w:bottom w:w="0" w:type="dxa"/>
            <w:right w:w="0" w:type="dxa"/>
          </w:tblCellMar>
        </w:tblPrEx>
        <w:trPr>
          <w:wBefore w:w="0" w:type="auto"/>
          <w:tblCellSpacing w:w="0" w:type="dxa"/>
        </w:trPr>
        <w:tc>
          <w:tcPr>
            <w:tcW w:w="0" w:type="auto"/>
            <w:noWrap w:val="0"/>
            <w:vAlign w:val="center"/>
          </w:tcPr>
          <w:p w14:paraId="486732BC">
            <w:r>
              <w:rPr>
                <w:rStyle w:val="10"/>
                <w:rFonts w:hint="eastAsia"/>
              </w:rPr>
              <w:t>注意事项：</w:t>
            </w:r>
            <w:r>
              <w:rPr>
                <w:rFonts w:hint="eastAsia"/>
              </w:rPr>
              <w:br w:type="textWrapping"/>
            </w:r>
            <w:r>
              <w:rPr>
                <w:rStyle w:val="11"/>
                <w:rFonts w:hint="eastAsia"/>
              </w:rPr>
              <w:t>1、施药时应穿戴长衣长裤、帽子、口罩、手套、鞋等；施药期间不能吃东西和饮水。施药后洗干净手脸等暴露部位皮肤。2、在蚕室及桑园附近禁用。3、在天敌放飞区域禁用。4、建议远离水产养殖区、河塘等水体施药，禁止在河塘等水体清洗施药器具，避免药液流入湖泊，河流或鱼塘中污染水源。5、孕妇及哺乳期妇女禁止接触本品。6、用过的容器应妥善处理，不可做他用，也不可随意丢弃。7.鸟类保护区附近禁用；赤眼蜂等天敌放飞区域禁用。</w:t>
            </w:r>
          </w:p>
        </w:tc>
      </w:tr>
      <w:tr w14:paraId="0CFFF967">
        <w:tblPrEx>
          <w:tblCellMar>
            <w:top w:w="0" w:type="dxa"/>
            <w:left w:w="0" w:type="dxa"/>
            <w:bottom w:w="0" w:type="dxa"/>
            <w:right w:w="0" w:type="dxa"/>
          </w:tblCellMar>
        </w:tblPrEx>
        <w:trPr>
          <w:wBefore w:w="0" w:type="auto"/>
          <w:tblCellSpacing w:w="0" w:type="dxa"/>
        </w:trPr>
        <w:tc>
          <w:tcPr>
            <w:tcW w:w="0" w:type="auto"/>
            <w:noWrap w:val="0"/>
            <w:vAlign w:val="center"/>
          </w:tcPr>
          <w:p w14:paraId="21996165">
            <w:r>
              <w:rPr>
                <w:rStyle w:val="10"/>
                <w:rFonts w:hint="eastAsia"/>
              </w:rPr>
              <w:t>中毒急救措施：</w:t>
            </w:r>
            <w:r>
              <w:rPr>
                <w:rFonts w:hint="eastAsia"/>
              </w:rPr>
              <w:br w:type="textWrapping"/>
            </w:r>
            <w:r>
              <w:rPr>
                <w:rStyle w:val="11"/>
                <w:rFonts w:hint="eastAsia"/>
              </w:rPr>
              <w:t>中毒症状：本品对皮肤和眼睛有刺激作用。溅入眼睛：用大量水清洗眼睛至少15分钟；接触皮肤：用水和肥皂彻底清洗； 误服：在病人清醒状态下，饮大量水催吐，保持安静，并携标签送往医院对症治疗。无解毒剂。</w:t>
            </w:r>
          </w:p>
        </w:tc>
      </w:tr>
      <w:tr w14:paraId="052ABD08">
        <w:tblPrEx>
          <w:tblCellMar>
            <w:top w:w="0" w:type="dxa"/>
            <w:left w:w="0" w:type="dxa"/>
            <w:bottom w:w="0" w:type="dxa"/>
            <w:right w:w="0" w:type="dxa"/>
          </w:tblCellMar>
        </w:tblPrEx>
        <w:trPr>
          <w:wBefore w:w="0" w:type="auto"/>
          <w:tblCellSpacing w:w="0" w:type="dxa"/>
        </w:trPr>
        <w:tc>
          <w:tcPr>
            <w:tcW w:w="0" w:type="auto"/>
            <w:noWrap w:val="0"/>
            <w:vAlign w:val="center"/>
          </w:tcPr>
          <w:p w14:paraId="180E0873">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本品应贮存在干燥、阴凉、通风、防雨处，远离火源或热源。置于儿童触及不到之处，并加锁。勿与食品、饮料、饲料、种子等其他商品同贮同运。</w:t>
            </w:r>
          </w:p>
        </w:tc>
      </w:tr>
      <w:tr w14:paraId="583832DA">
        <w:tblPrEx>
          <w:tblCellMar>
            <w:top w:w="0" w:type="dxa"/>
            <w:left w:w="0" w:type="dxa"/>
            <w:bottom w:w="0" w:type="dxa"/>
            <w:right w:w="0" w:type="dxa"/>
          </w:tblCellMar>
        </w:tblPrEx>
        <w:trPr>
          <w:wBefore w:w="0" w:type="auto"/>
          <w:tblCellSpacing w:w="0" w:type="dxa"/>
        </w:trPr>
        <w:tc>
          <w:tcPr>
            <w:tcW w:w="0" w:type="auto"/>
            <w:noWrap w:val="0"/>
            <w:vAlign w:val="center"/>
          </w:tcPr>
          <w:p w14:paraId="434607E7">
            <w:r>
              <w:rPr>
                <w:rStyle w:val="10"/>
                <w:rFonts w:hint="eastAsia"/>
              </w:rPr>
              <w:t>质量保证期：</w:t>
            </w:r>
            <w:r>
              <w:rPr>
                <w:rStyle w:val="11"/>
                <w:rFonts w:hint="eastAsia"/>
              </w:rPr>
              <w:t>2年</w:t>
            </w:r>
          </w:p>
        </w:tc>
      </w:tr>
      <w:tr w14:paraId="38916CA8">
        <w:tblPrEx>
          <w:tblCellMar>
            <w:top w:w="0" w:type="dxa"/>
            <w:left w:w="0" w:type="dxa"/>
            <w:bottom w:w="0" w:type="dxa"/>
            <w:right w:w="0" w:type="dxa"/>
          </w:tblCellMar>
        </w:tblPrEx>
        <w:trPr>
          <w:wBefore w:w="0" w:type="auto"/>
          <w:tblCellSpacing w:w="0" w:type="dxa"/>
        </w:trPr>
        <w:tc>
          <w:tcPr>
            <w:tcW w:w="0" w:type="auto"/>
            <w:noWrap w:val="0"/>
            <w:vAlign w:val="center"/>
          </w:tcPr>
          <w:p w14:paraId="1E8CB47A">
            <w:r>
              <w:rPr>
                <w:rStyle w:val="10"/>
                <w:rFonts w:hint="eastAsia"/>
              </w:rPr>
              <w:t>备注：</w:t>
            </w:r>
          </w:p>
        </w:tc>
      </w:tr>
    </w:tbl>
    <w:p w14:paraId="4D0D457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565A6AF">
        <w:tblPrEx>
          <w:tblCellMar>
            <w:top w:w="0" w:type="dxa"/>
            <w:left w:w="0" w:type="dxa"/>
            <w:bottom w:w="0" w:type="dxa"/>
            <w:right w:w="0" w:type="dxa"/>
          </w:tblCellMar>
        </w:tblPrEx>
        <w:trPr>
          <w:wBefore w:w="0" w:type="auto"/>
          <w:tblCellSpacing w:w="0" w:type="dxa"/>
        </w:trPr>
        <w:tc>
          <w:tcPr>
            <w:tcW w:w="0" w:type="auto"/>
            <w:noWrap w:val="0"/>
            <w:vAlign w:val="center"/>
          </w:tcPr>
          <w:p w14:paraId="5661042F">
            <w:r>
              <w:rPr>
                <w:rStyle w:val="10"/>
                <w:rFonts w:hint="eastAsia"/>
              </w:rPr>
              <w:t>登记证号：</w:t>
            </w:r>
            <w:r>
              <w:rPr>
                <w:rFonts w:hint="eastAsia"/>
              </w:rPr>
              <w:t>PD20211798</w:t>
            </w:r>
          </w:p>
        </w:tc>
      </w:tr>
      <w:tr w14:paraId="2C8AB51B">
        <w:tblPrEx>
          <w:tblCellMar>
            <w:top w:w="0" w:type="dxa"/>
            <w:left w:w="0" w:type="dxa"/>
            <w:bottom w:w="0" w:type="dxa"/>
            <w:right w:w="0" w:type="dxa"/>
          </w:tblCellMar>
        </w:tblPrEx>
        <w:trPr>
          <w:wBefore w:w="0" w:type="auto"/>
          <w:tblCellSpacing w:w="0" w:type="dxa"/>
        </w:trPr>
        <w:tc>
          <w:tcPr>
            <w:tcW w:w="0" w:type="auto"/>
            <w:noWrap w:val="0"/>
            <w:vAlign w:val="center"/>
          </w:tcPr>
          <w:p w14:paraId="216610A2">
            <w:r>
              <w:rPr>
                <w:rStyle w:val="10"/>
                <w:rFonts w:hint="eastAsia"/>
              </w:rPr>
              <w:t>登记证持有人：</w:t>
            </w:r>
            <w:r>
              <w:rPr>
                <w:rFonts w:hint="eastAsia"/>
              </w:rPr>
              <w:t>济南约克农化有限公司</w:t>
            </w:r>
          </w:p>
        </w:tc>
      </w:tr>
      <w:tr w14:paraId="16A1BFE3">
        <w:tblPrEx>
          <w:tblCellMar>
            <w:top w:w="0" w:type="dxa"/>
            <w:left w:w="0" w:type="dxa"/>
            <w:bottom w:w="0" w:type="dxa"/>
            <w:right w:w="0" w:type="dxa"/>
          </w:tblCellMar>
        </w:tblPrEx>
        <w:trPr>
          <w:wBefore w:w="0" w:type="auto"/>
          <w:tblCellSpacing w:w="0" w:type="dxa"/>
        </w:trPr>
        <w:tc>
          <w:tcPr>
            <w:tcW w:w="0" w:type="auto"/>
            <w:noWrap w:val="0"/>
            <w:vAlign w:val="center"/>
          </w:tcPr>
          <w:p w14:paraId="6935B594">
            <w:r>
              <w:rPr>
                <w:rStyle w:val="10"/>
                <w:rFonts w:hint="eastAsia"/>
              </w:rPr>
              <w:t>农药名称：</w:t>
            </w:r>
            <w:r>
              <w:rPr>
                <w:rFonts w:hint="eastAsia"/>
              </w:rPr>
              <w:t>噻虫·氟氯氰</w:t>
            </w:r>
          </w:p>
        </w:tc>
      </w:tr>
      <w:tr w14:paraId="0D9CA772">
        <w:tblPrEx>
          <w:tblCellMar>
            <w:top w:w="0" w:type="dxa"/>
            <w:left w:w="0" w:type="dxa"/>
            <w:bottom w:w="0" w:type="dxa"/>
            <w:right w:w="0" w:type="dxa"/>
          </w:tblCellMar>
        </w:tblPrEx>
        <w:trPr>
          <w:wBefore w:w="0" w:type="auto"/>
          <w:tblCellSpacing w:w="0" w:type="dxa"/>
        </w:trPr>
        <w:tc>
          <w:tcPr>
            <w:tcW w:w="0" w:type="auto"/>
            <w:noWrap w:val="0"/>
            <w:vAlign w:val="center"/>
          </w:tcPr>
          <w:p w14:paraId="4940184E">
            <w:r>
              <w:rPr>
                <w:rStyle w:val="10"/>
                <w:rFonts w:hint="eastAsia"/>
              </w:rPr>
              <w:t>剂型：</w:t>
            </w:r>
            <w:r>
              <w:rPr>
                <w:rFonts w:hint="eastAsia"/>
              </w:rPr>
              <w:t>颗粒剂</w:t>
            </w:r>
          </w:p>
        </w:tc>
      </w:tr>
      <w:tr w14:paraId="165127C9">
        <w:tblPrEx>
          <w:tblCellMar>
            <w:top w:w="0" w:type="dxa"/>
            <w:left w:w="0" w:type="dxa"/>
            <w:bottom w:w="0" w:type="dxa"/>
            <w:right w:w="0" w:type="dxa"/>
          </w:tblCellMar>
        </w:tblPrEx>
        <w:trPr>
          <w:wBefore w:w="0" w:type="auto"/>
          <w:tblCellSpacing w:w="0" w:type="dxa"/>
        </w:trPr>
        <w:tc>
          <w:tcPr>
            <w:tcW w:w="0" w:type="auto"/>
            <w:noWrap w:val="0"/>
            <w:vAlign w:val="center"/>
          </w:tcPr>
          <w:p w14:paraId="59DAD76A">
            <w:r>
              <w:rPr>
                <w:rStyle w:val="10"/>
                <w:rFonts w:hint="eastAsia"/>
              </w:rPr>
              <w:t>毒性及其标识：</w:t>
            </w:r>
            <w:r>
              <w:rPr>
                <w:rFonts w:hint="eastAsia"/>
              </w:rPr>
              <w:t xml:space="preserve"> 微毒 </w:t>
            </w:r>
          </w:p>
        </w:tc>
      </w:tr>
      <w:tr w14:paraId="63EB5993">
        <w:tblPrEx>
          <w:tblCellMar>
            <w:top w:w="0" w:type="dxa"/>
            <w:left w:w="0" w:type="dxa"/>
            <w:bottom w:w="0" w:type="dxa"/>
            <w:right w:w="0" w:type="dxa"/>
          </w:tblCellMar>
        </w:tblPrEx>
        <w:trPr>
          <w:wBefore w:w="0" w:type="auto"/>
          <w:tblCellSpacing w:w="0" w:type="dxa"/>
        </w:trPr>
        <w:tc>
          <w:tcPr>
            <w:tcW w:w="0" w:type="auto"/>
            <w:noWrap w:val="0"/>
            <w:vAlign w:val="center"/>
          </w:tcPr>
          <w:p w14:paraId="701C9E95">
            <w:r>
              <w:rPr>
                <w:rStyle w:val="10"/>
                <w:rFonts w:hint="eastAsia"/>
              </w:rPr>
              <w:t>总有效成分含量：</w:t>
            </w:r>
            <w:r>
              <w:rPr>
                <w:rFonts w:hint="eastAsia"/>
              </w:rPr>
              <w:t>1%</w:t>
            </w:r>
          </w:p>
        </w:tc>
      </w:tr>
      <w:tr w14:paraId="5B3032A1">
        <w:tblPrEx>
          <w:tblCellMar>
            <w:top w:w="0" w:type="dxa"/>
            <w:left w:w="0" w:type="dxa"/>
            <w:bottom w:w="0" w:type="dxa"/>
            <w:right w:w="0" w:type="dxa"/>
          </w:tblCellMar>
        </w:tblPrEx>
        <w:trPr>
          <w:wBefore w:w="0" w:type="auto"/>
          <w:tblCellSpacing w:w="0" w:type="dxa"/>
        </w:trPr>
        <w:tc>
          <w:tcPr>
            <w:tcW w:w="0" w:type="auto"/>
            <w:noWrap w:val="0"/>
            <w:vAlign w:val="center"/>
          </w:tcPr>
          <w:p w14:paraId="62698789">
            <w:r>
              <w:rPr>
                <w:rFonts w:hint="eastAsia"/>
              </w:rPr>
              <w:t xml:space="preserve">有效成分及其含量： </w:t>
            </w:r>
          </w:p>
          <w:p w14:paraId="0BE563DF">
            <w:r>
              <w:rPr>
                <w:rFonts w:hint="eastAsia"/>
              </w:rPr>
              <w:t xml:space="preserve">    氟氯氰菊酯0.4%    噻虫胺0.6%    </w:t>
            </w:r>
          </w:p>
        </w:tc>
      </w:tr>
      <w:tr w14:paraId="2978AB41">
        <w:tblPrEx>
          <w:tblCellMar>
            <w:top w:w="0" w:type="dxa"/>
            <w:left w:w="0" w:type="dxa"/>
            <w:bottom w:w="0" w:type="dxa"/>
            <w:right w:w="0" w:type="dxa"/>
          </w:tblCellMar>
        </w:tblPrEx>
        <w:trPr>
          <w:wBefore w:w="0" w:type="auto"/>
          <w:tblCellSpacing w:w="0" w:type="dxa"/>
        </w:trPr>
        <w:tc>
          <w:tcPr>
            <w:tcW w:w="0" w:type="auto"/>
            <w:noWrap w:val="0"/>
            <w:vAlign w:val="center"/>
          </w:tcPr>
          <w:p w14:paraId="4CDBD26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EDDCC6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CB1401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7F7B48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B26D25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251D588">
                  <w:r>
                    <w:rPr>
                      <w:rStyle w:val="11"/>
                      <w:rFonts w:hint="eastAsia"/>
                    </w:rPr>
                    <w:t>施用方式</w:t>
                  </w:r>
                </w:p>
              </w:tc>
            </w:tr>
            <w:tr w14:paraId="0E3B52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B75ED68">
                  <w:r>
                    <w:rPr>
                      <w:rStyle w:val="11"/>
                      <w:rFonts w:hint="eastAsia"/>
                    </w:rPr>
                    <w:t>甘蔗</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1AA68C">
                  <w:r>
                    <w:rPr>
                      <w:rStyle w:val="11"/>
                      <w:rFonts w:hint="eastAsia"/>
                    </w:rPr>
                    <w:t>蔗龟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588EE2">
                  <w:r>
                    <w:rPr>
                      <w:rStyle w:val="11"/>
                      <w:rFonts w:hint="eastAsia"/>
                    </w:rPr>
                    <w:t>3600-4400克/亩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7FAB250">
                  <w:r>
                    <w:rPr>
                      <w:rStyle w:val="11"/>
                      <w:rFonts w:hint="eastAsia"/>
                    </w:rPr>
                    <w:t>撒施</w:t>
                  </w:r>
                </w:p>
              </w:tc>
            </w:tr>
          </w:tbl>
          <w:p w14:paraId="29556BF9">
            <w:pPr>
              <w:rPr>
                <w:rFonts w:ascii="Times New Roman" w:hAnsi="Times New Roman" w:cs="Times New Roman"/>
                <w:sz w:val="20"/>
                <w:szCs w:val="20"/>
              </w:rPr>
            </w:pPr>
          </w:p>
        </w:tc>
      </w:tr>
      <w:tr w14:paraId="68E060D8">
        <w:tblPrEx>
          <w:tblCellMar>
            <w:top w:w="0" w:type="dxa"/>
            <w:left w:w="0" w:type="dxa"/>
            <w:bottom w:w="0" w:type="dxa"/>
            <w:right w:w="0" w:type="dxa"/>
          </w:tblCellMar>
        </w:tblPrEx>
        <w:trPr>
          <w:wBefore w:w="0" w:type="auto"/>
          <w:tblCellSpacing w:w="0" w:type="dxa"/>
        </w:trPr>
        <w:tc>
          <w:tcPr>
            <w:tcW w:w="0" w:type="auto"/>
            <w:noWrap w:val="0"/>
            <w:vAlign w:val="center"/>
          </w:tcPr>
          <w:p w14:paraId="6976032D">
            <w:r>
              <w:rPr>
                <w:rStyle w:val="10"/>
                <w:rFonts w:hint="eastAsia"/>
              </w:rPr>
              <w:t>使用技术要求:</w:t>
            </w:r>
            <w:r>
              <w:rPr>
                <w:rFonts w:hint="eastAsia"/>
              </w:rPr>
              <w:br w:type="textWrapping"/>
            </w:r>
            <w:r>
              <w:rPr>
                <w:rStyle w:val="11"/>
                <w:rFonts w:hint="eastAsia"/>
              </w:rPr>
              <w:t>1、本品在甘蔗上每季使用1次，施药后须保持一定的土壤湿润。 2、 播种期:将药剂均匀撒施于种植沟内，施药后覆土。 3、培土、施肥期：将药剂均匀撒施于作物根周边，施药后覆土。 4、施药后须保持一定的土壤湿润以有利于有效成分的释放和均匀分布。 5、大风天或预计1小时内有大雨，请勿施药。</w:t>
            </w:r>
          </w:p>
        </w:tc>
      </w:tr>
      <w:tr w14:paraId="7FD17B2C">
        <w:tblPrEx>
          <w:tblCellMar>
            <w:top w:w="0" w:type="dxa"/>
            <w:left w:w="0" w:type="dxa"/>
            <w:bottom w:w="0" w:type="dxa"/>
            <w:right w:w="0" w:type="dxa"/>
          </w:tblCellMar>
        </w:tblPrEx>
        <w:trPr>
          <w:wBefore w:w="0" w:type="auto"/>
          <w:tblCellSpacing w:w="0" w:type="dxa"/>
        </w:trPr>
        <w:tc>
          <w:tcPr>
            <w:tcW w:w="0" w:type="auto"/>
            <w:noWrap w:val="0"/>
            <w:vAlign w:val="center"/>
          </w:tcPr>
          <w:p w14:paraId="07D5C20F">
            <w:r>
              <w:rPr>
                <w:rStyle w:val="10"/>
                <w:rFonts w:hint="eastAsia"/>
              </w:rPr>
              <w:t>产品性能:</w:t>
            </w:r>
            <w:r>
              <w:rPr>
                <w:rFonts w:hint="eastAsia"/>
              </w:rPr>
              <w:br w:type="textWrapping"/>
            </w:r>
            <w:r>
              <w:rPr>
                <w:rStyle w:val="11"/>
                <w:rFonts w:hint="eastAsia"/>
              </w:rPr>
              <w:t>本品是由两种不同作用机理的有效成分噻虫胺和氟氯氰菊酯复配而成的杀虫颗粒剂，二者混用具有内吸、触杀和胃毒作用，可有效防治甘蔗蔗龟。</w:t>
            </w:r>
          </w:p>
        </w:tc>
      </w:tr>
      <w:tr w14:paraId="6CCAE549">
        <w:tblPrEx>
          <w:tblCellMar>
            <w:top w:w="0" w:type="dxa"/>
            <w:left w:w="0" w:type="dxa"/>
            <w:bottom w:w="0" w:type="dxa"/>
            <w:right w:w="0" w:type="dxa"/>
          </w:tblCellMar>
        </w:tblPrEx>
        <w:trPr>
          <w:wBefore w:w="0" w:type="auto"/>
          <w:tblCellSpacing w:w="0" w:type="dxa"/>
        </w:trPr>
        <w:tc>
          <w:tcPr>
            <w:tcW w:w="0" w:type="auto"/>
            <w:noWrap w:val="0"/>
            <w:vAlign w:val="center"/>
          </w:tcPr>
          <w:p w14:paraId="05F09F02">
            <w:r>
              <w:rPr>
                <w:rStyle w:val="10"/>
                <w:rFonts w:hint="eastAsia"/>
              </w:rPr>
              <w:t>注意事项：</w:t>
            </w:r>
            <w:r>
              <w:rPr>
                <w:rFonts w:hint="eastAsia"/>
              </w:rPr>
              <w:br w:type="textWrapping"/>
            </w:r>
            <w:r>
              <w:rPr>
                <w:rStyle w:val="11"/>
                <w:rFonts w:hint="eastAsia"/>
              </w:rPr>
              <w:t>1.施药时应注意个人防护，穿好工作服，戴好口罩和手套，药后及时用肥皂清洗干净。 2.本品对鱼高毒，施药时应避免污染水源和池塘，对蜜蜂有毒，开花植物花期禁用，施药时应密切关注对附近蜂群的影响，鸟类保护区附近禁用，施药后立即覆土，蚕室和桑园附近禁用，赤眼蜂等天敌放飞区域禁用，远离水产养殖区、河塘等水体施药，禁止在河塘等水体中清洗施药器具。 3.本品不可与碱性物质混用。 4.建议与其他作用机制不同的杀虫剂轮换使用，以延缓抗性产生。 5.用过的容器应妥善处理，不可以做他用，也不可随意丢弃。 6. 孕妇及哺乳期妇女禁止接触本品。</w:t>
            </w:r>
          </w:p>
        </w:tc>
      </w:tr>
      <w:tr w14:paraId="2B43CD84">
        <w:tblPrEx>
          <w:tblCellMar>
            <w:top w:w="0" w:type="dxa"/>
            <w:left w:w="0" w:type="dxa"/>
            <w:bottom w:w="0" w:type="dxa"/>
            <w:right w:w="0" w:type="dxa"/>
          </w:tblCellMar>
        </w:tblPrEx>
        <w:trPr>
          <w:wBefore w:w="0" w:type="auto"/>
          <w:tblCellSpacing w:w="0" w:type="dxa"/>
        </w:trPr>
        <w:tc>
          <w:tcPr>
            <w:tcW w:w="0" w:type="auto"/>
            <w:noWrap w:val="0"/>
            <w:vAlign w:val="center"/>
          </w:tcPr>
          <w:p w14:paraId="09AA0856">
            <w:r>
              <w:rPr>
                <w:rStyle w:val="10"/>
                <w:rFonts w:hint="eastAsia"/>
              </w:rPr>
              <w:t>中毒急救措施：</w:t>
            </w:r>
            <w:r>
              <w:rPr>
                <w:rFonts w:hint="eastAsia"/>
              </w:rPr>
              <w:br w:type="textWrapping"/>
            </w:r>
            <w:r>
              <w:rPr>
                <w:rStyle w:val="11"/>
                <w:rFonts w:hint="eastAsia"/>
              </w:rPr>
              <w:t>急救措施：1.用药时如果感觉不适，立即停止工作，采取急救措施，并携此标签送医就诊。 2.皮肤接触：立即脱掉被污染的衣物，用肥皂和大量清水彻底清洗受污染的皮肤。必要时请医生诊治。 3.眼睛溅药：用清水冲洗至少15分钟，再请医生诊治。 4.发生吸入：立即将吸入者转移到空气新鲜处。如果停止呼吸，需进行人工呼吸。 5.发生误服，立即停止服用，用清水充分漱口后，立即携带农药标签送医院就诊。本品无特殊解毒药剂，可按菊酯类农药中毒解救方法对症治疗。大量吞服时可洗胃，不能催吐。</w:t>
            </w:r>
          </w:p>
        </w:tc>
      </w:tr>
      <w:tr w14:paraId="70B5B881">
        <w:tblPrEx>
          <w:tblCellMar>
            <w:top w:w="0" w:type="dxa"/>
            <w:left w:w="0" w:type="dxa"/>
            <w:bottom w:w="0" w:type="dxa"/>
            <w:right w:w="0" w:type="dxa"/>
          </w:tblCellMar>
        </w:tblPrEx>
        <w:trPr>
          <w:wBefore w:w="0" w:type="auto"/>
          <w:tblCellSpacing w:w="0" w:type="dxa"/>
        </w:trPr>
        <w:tc>
          <w:tcPr>
            <w:tcW w:w="0" w:type="auto"/>
            <w:noWrap w:val="0"/>
            <w:vAlign w:val="center"/>
          </w:tcPr>
          <w:p w14:paraId="6E575027">
            <w:r>
              <w:rPr>
                <w:rStyle w:val="10"/>
                <w:rFonts w:hint="eastAsia"/>
              </w:rPr>
              <w:t>储存和运输方法：</w:t>
            </w:r>
            <w:r>
              <w:rPr>
                <w:rFonts w:hint="eastAsia"/>
              </w:rPr>
              <w:br w:type="textWrapping"/>
            </w:r>
            <w:r>
              <w:rPr>
                <w:rStyle w:val="11"/>
                <w:rFonts w:hint="eastAsia"/>
              </w:rPr>
              <w:t>本品应远离火源、热源，贮存于阴凉、通风、干燥防雨处，放置于小孩接触不到的地方，并加锁保存，不能与食品、粮食、饮料、饲料等混合储存。</w:t>
            </w:r>
          </w:p>
        </w:tc>
      </w:tr>
      <w:tr w14:paraId="7BEC6768">
        <w:tblPrEx>
          <w:tblCellMar>
            <w:top w:w="0" w:type="dxa"/>
            <w:left w:w="0" w:type="dxa"/>
            <w:bottom w:w="0" w:type="dxa"/>
            <w:right w:w="0" w:type="dxa"/>
          </w:tblCellMar>
        </w:tblPrEx>
        <w:trPr>
          <w:wBefore w:w="0" w:type="auto"/>
          <w:tblCellSpacing w:w="0" w:type="dxa"/>
        </w:trPr>
        <w:tc>
          <w:tcPr>
            <w:tcW w:w="0" w:type="auto"/>
            <w:noWrap w:val="0"/>
            <w:vAlign w:val="center"/>
          </w:tcPr>
          <w:p w14:paraId="1F74D3A4">
            <w:r>
              <w:rPr>
                <w:rStyle w:val="10"/>
                <w:rFonts w:hint="eastAsia"/>
              </w:rPr>
              <w:t>质量保证期：</w:t>
            </w:r>
            <w:r>
              <w:rPr>
                <w:rStyle w:val="11"/>
                <w:rFonts w:hint="eastAsia"/>
              </w:rPr>
              <w:t>2年</w:t>
            </w:r>
          </w:p>
        </w:tc>
      </w:tr>
      <w:tr w14:paraId="0F1896A0">
        <w:tblPrEx>
          <w:tblCellMar>
            <w:top w:w="0" w:type="dxa"/>
            <w:left w:w="0" w:type="dxa"/>
            <w:bottom w:w="0" w:type="dxa"/>
            <w:right w:w="0" w:type="dxa"/>
          </w:tblCellMar>
        </w:tblPrEx>
        <w:trPr>
          <w:wBefore w:w="0" w:type="auto"/>
          <w:tblCellSpacing w:w="0" w:type="dxa"/>
        </w:trPr>
        <w:tc>
          <w:tcPr>
            <w:tcW w:w="0" w:type="auto"/>
            <w:noWrap w:val="0"/>
            <w:vAlign w:val="center"/>
          </w:tcPr>
          <w:p w14:paraId="01941322">
            <w:r>
              <w:rPr>
                <w:rStyle w:val="10"/>
                <w:rFonts w:hint="eastAsia"/>
              </w:rPr>
              <w:t>备注：</w:t>
            </w:r>
          </w:p>
        </w:tc>
      </w:tr>
    </w:tbl>
    <w:p w14:paraId="4146B0E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840AC76">
        <w:tblPrEx>
          <w:tblCellMar>
            <w:top w:w="0" w:type="dxa"/>
            <w:left w:w="0" w:type="dxa"/>
            <w:bottom w:w="0" w:type="dxa"/>
            <w:right w:w="0" w:type="dxa"/>
          </w:tblCellMar>
        </w:tblPrEx>
        <w:trPr>
          <w:wBefore w:w="0" w:type="auto"/>
          <w:tblCellSpacing w:w="0" w:type="dxa"/>
        </w:trPr>
        <w:tc>
          <w:tcPr>
            <w:tcW w:w="0" w:type="auto"/>
            <w:noWrap w:val="0"/>
            <w:vAlign w:val="center"/>
          </w:tcPr>
          <w:p w14:paraId="4C9BC2D9">
            <w:r>
              <w:rPr>
                <w:rStyle w:val="10"/>
                <w:rFonts w:hint="eastAsia"/>
              </w:rPr>
              <w:t>登记证号：</w:t>
            </w:r>
            <w:r>
              <w:rPr>
                <w:rFonts w:hint="eastAsia"/>
              </w:rPr>
              <w:t>PD20211972</w:t>
            </w:r>
          </w:p>
        </w:tc>
      </w:tr>
      <w:tr w14:paraId="6ECA91F0">
        <w:tblPrEx>
          <w:tblCellMar>
            <w:top w:w="0" w:type="dxa"/>
            <w:left w:w="0" w:type="dxa"/>
            <w:bottom w:w="0" w:type="dxa"/>
            <w:right w:w="0" w:type="dxa"/>
          </w:tblCellMar>
        </w:tblPrEx>
        <w:trPr>
          <w:wBefore w:w="0" w:type="auto"/>
          <w:tblCellSpacing w:w="0" w:type="dxa"/>
        </w:trPr>
        <w:tc>
          <w:tcPr>
            <w:tcW w:w="0" w:type="auto"/>
            <w:noWrap w:val="0"/>
            <w:vAlign w:val="center"/>
          </w:tcPr>
          <w:p w14:paraId="0F166ABD">
            <w:r>
              <w:rPr>
                <w:rStyle w:val="10"/>
                <w:rFonts w:hint="eastAsia"/>
              </w:rPr>
              <w:t>登记证持有人：</w:t>
            </w:r>
            <w:r>
              <w:rPr>
                <w:rFonts w:hint="eastAsia"/>
              </w:rPr>
              <w:t>江苏优嘉植物保护有限公司</w:t>
            </w:r>
          </w:p>
        </w:tc>
      </w:tr>
      <w:tr w14:paraId="0CDDB628">
        <w:tblPrEx>
          <w:tblCellMar>
            <w:top w:w="0" w:type="dxa"/>
            <w:left w:w="0" w:type="dxa"/>
            <w:bottom w:w="0" w:type="dxa"/>
            <w:right w:w="0" w:type="dxa"/>
          </w:tblCellMar>
        </w:tblPrEx>
        <w:trPr>
          <w:wBefore w:w="0" w:type="auto"/>
          <w:tblCellSpacing w:w="0" w:type="dxa"/>
        </w:trPr>
        <w:tc>
          <w:tcPr>
            <w:tcW w:w="0" w:type="auto"/>
            <w:noWrap w:val="0"/>
            <w:vAlign w:val="center"/>
          </w:tcPr>
          <w:p w14:paraId="42CD4EB6">
            <w:r>
              <w:rPr>
                <w:rStyle w:val="10"/>
                <w:rFonts w:hint="eastAsia"/>
              </w:rPr>
              <w:t>农药名称：</w:t>
            </w:r>
            <w:r>
              <w:rPr>
                <w:rFonts w:hint="eastAsia"/>
              </w:rPr>
              <w:t>氟吡菌胺·氟啶胺</w:t>
            </w:r>
          </w:p>
        </w:tc>
      </w:tr>
      <w:tr w14:paraId="563A9421">
        <w:tblPrEx>
          <w:tblCellMar>
            <w:top w:w="0" w:type="dxa"/>
            <w:left w:w="0" w:type="dxa"/>
            <w:bottom w:w="0" w:type="dxa"/>
            <w:right w:w="0" w:type="dxa"/>
          </w:tblCellMar>
        </w:tblPrEx>
        <w:trPr>
          <w:wBefore w:w="0" w:type="auto"/>
          <w:tblCellSpacing w:w="0" w:type="dxa"/>
        </w:trPr>
        <w:tc>
          <w:tcPr>
            <w:tcW w:w="0" w:type="auto"/>
            <w:noWrap w:val="0"/>
            <w:vAlign w:val="center"/>
          </w:tcPr>
          <w:p w14:paraId="5D3CFDE4">
            <w:r>
              <w:rPr>
                <w:rStyle w:val="10"/>
                <w:rFonts w:hint="eastAsia"/>
              </w:rPr>
              <w:t>剂型：</w:t>
            </w:r>
            <w:r>
              <w:rPr>
                <w:rFonts w:hint="eastAsia"/>
              </w:rPr>
              <w:t>悬浮剂</w:t>
            </w:r>
          </w:p>
        </w:tc>
      </w:tr>
      <w:tr w14:paraId="666437CE">
        <w:tblPrEx>
          <w:tblCellMar>
            <w:top w:w="0" w:type="dxa"/>
            <w:left w:w="0" w:type="dxa"/>
            <w:bottom w:w="0" w:type="dxa"/>
            <w:right w:w="0" w:type="dxa"/>
          </w:tblCellMar>
        </w:tblPrEx>
        <w:trPr>
          <w:wBefore w:w="0" w:type="auto"/>
          <w:tblCellSpacing w:w="0" w:type="dxa"/>
        </w:trPr>
        <w:tc>
          <w:tcPr>
            <w:tcW w:w="0" w:type="auto"/>
            <w:noWrap w:val="0"/>
            <w:vAlign w:val="center"/>
          </w:tcPr>
          <w:p w14:paraId="5EAEA571">
            <w:r>
              <w:rPr>
                <w:rStyle w:val="10"/>
                <w:rFonts w:hint="eastAsia"/>
              </w:rPr>
              <w:t>毒性及其标识：</w:t>
            </w:r>
            <w:r>
              <w:rPr>
                <w:rFonts w:hint="eastAsia"/>
              </w:rPr>
              <w:t xml:space="preserve"> </w:t>
            </w:r>
            <w:r>
              <w:rPr>
                <w:lang/>
              </w:rPr>
              <w:drawing>
                <wp:inline distT="0" distB="0" distL="114300" distR="114300">
                  <wp:extent cx="476250" cy="323850"/>
                  <wp:effectExtent l="0" t="0" r="0" b="0"/>
                  <wp:docPr id="599" name="图片 59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B3A3198">
        <w:tblPrEx>
          <w:tblCellMar>
            <w:top w:w="0" w:type="dxa"/>
            <w:left w:w="0" w:type="dxa"/>
            <w:bottom w:w="0" w:type="dxa"/>
            <w:right w:w="0" w:type="dxa"/>
          </w:tblCellMar>
        </w:tblPrEx>
        <w:trPr>
          <w:wBefore w:w="0" w:type="auto"/>
          <w:tblCellSpacing w:w="0" w:type="dxa"/>
        </w:trPr>
        <w:tc>
          <w:tcPr>
            <w:tcW w:w="0" w:type="auto"/>
            <w:noWrap w:val="0"/>
            <w:vAlign w:val="center"/>
          </w:tcPr>
          <w:p w14:paraId="5867E54B">
            <w:r>
              <w:rPr>
                <w:rStyle w:val="10"/>
                <w:rFonts w:hint="eastAsia"/>
              </w:rPr>
              <w:t>总有效成分含量：</w:t>
            </w:r>
            <w:r>
              <w:rPr>
                <w:rFonts w:hint="eastAsia"/>
              </w:rPr>
              <w:t>40%</w:t>
            </w:r>
          </w:p>
        </w:tc>
      </w:tr>
      <w:tr w14:paraId="40B4F4B4">
        <w:tblPrEx>
          <w:tblCellMar>
            <w:top w:w="0" w:type="dxa"/>
            <w:left w:w="0" w:type="dxa"/>
            <w:bottom w:w="0" w:type="dxa"/>
            <w:right w:w="0" w:type="dxa"/>
          </w:tblCellMar>
        </w:tblPrEx>
        <w:trPr>
          <w:wBefore w:w="0" w:type="auto"/>
          <w:tblCellSpacing w:w="0" w:type="dxa"/>
        </w:trPr>
        <w:tc>
          <w:tcPr>
            <w:tcW w:w="0" w:type="auto"/>
            <w:noWrap w:val="0"/>
            <w:vAlign w:val="center"/>
          </w:tcPr>
          <w:p w14:paraId="44C4916A">
            <w:r>
              <w:rPr>
                <w:rFonts w:hint="eastAsia"/>
              </w:rPr>
              <w:t xml:space="preserve">有效成分及其含量： </w:t>
            </w:r>
          </w:p>
          <w:p w14:paraId="19D8D010">
            <w:r>
              <w:rPr>
                <w:rFonts w:hint="eastAsia"/>
              </w:rPr>
              <w:t xml:space="preserve">    氟吡菌胺10%    氟啶胺30%    </w:t>
            </w:r>
          </w:p>
        </w:tc>
      </w:tr>
      <w:tr w14:paraId="51A923F2">
        <w:tblPrEx>
          <w:tblCellMar>
            <w:top w:w="0" w:type="dxa"/>
            <w:left w:w="0" w:type="dxa"/>
            <w:bottom w:w="0" w:type="dxa"/>
            <w:right w:w="0" w:type="dxa"/>
          </w:tblCellMar>
        </w:tblPrEx>
        <w:trPr>
          <w:wBefore w:w="0" w:type="auto"/>
          <w:tblCellSpacing w:w="0" w:type="dxa"/>
        </w:trPr>
        <w:tc>
          <w:tcPr>
            <w:tcW w:w="0" w:type="auto"/>
            <w:noWrap w:val="0"/>
            <w:vAlign w:val="center"/>
          </w:tcPr>
          <w:p w14:paraId="6DDA784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15E21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3C73F4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B6038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F4D0F9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7E21C43">
                  <w:r>
                    <w:rPr>
                      <w:rStyle w:val="11"/>
                      <w:rFonts w:hint="eastAsia"/>
                    </w:rPr>
                    <w:t>施用方式</w:t>
                  </w:r>
                </w:p>
              </w:tc>
            </w:tr>
            <w:tr w14:paraId="0D848B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3BE909C">
                  <w:r>
                    <w:rPr>
                      <w:rStyle w:val="11"/>
                      <w:rFonts w:hint="eastAsia"/>
                    </w:rPr>
                    <w:t>马铃薯</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92013EA">
                  <w:r>
                    <w:rPr>
                      <w:rStyle w:val="11"/>
                      <w:rFonts w:hint="eastAsia"/>
                    </w:rPr>
                    <w:t>晚疫病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CC2350">
                  <w:r>
                    <w:rPr>
                      <w:rStyle w:val="11"/>
                      <w:rFonts w:hint="eastAsia"/>
                    </w:rPr>
                    <w:t>50-60毫升/亩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43FFC04">
                  <w:r>
                    <w:rPr>
                      <w:rStyle w:val="11"/>
                      <w:rFonts w:hint="eastAsia"/>
                    </w:rPr>
                    <w:t>喷雾</w:t>
                  </w:r>
                </w:p>
              </w:tc>
            </w:tr>
          </w:tbl>
          <w:p w14:paraId="3D8DD768">
            <w:pPr>
              <w:rPr>
                <w:rFonts w:ascii="Times New Roman" w:hAnsi="Times New Roman" w:cs="Times New Roman"/>
                <w:sz w:val="20"/>
                <w:szCs w:val="20"/>
              </w:rPr>
            </w:pPr>
          </w:p>
        </w:tc>
      </w:tr>
      <w:tr w14:paraId="379A429C">
        <w:tblPrEx>
          <w:tblCellMar>
            <w:top w:w="0" w:type="dxa"/>
            <w:left w:w="0" w:type="dxa"/>
            <w:bottom w:w="0" w:type="dxa"/>
            <w:right w:w="0" w:type="dxa"/>
          </w:tblCellMar>
        </w:tblPrEx>
        <w:trPr>
          <w:wBefore w:w="0" w:type="auto"/>
          <w:tblCellSpacing w:w="0" w:type="dxa"/>
        </w:trPr>
        <w:tc>
          <w:tcPr>
            <w:tcW w:w="0" w:type="auto"/>
            <w:noWrap w:val="0"/>
            <w:vAlign w:val="center"/>
          </w:tcPr>
          <w:p w14:paraId="01693829">
            <w:r>
              <w:rPr>
                <w:rStyle w:val="10"/>
                <w:rFonts w:hint="eastAsia"/>
              </w:rPr>
              <w:t>使用技术要求:</w:t>
            </w:r>
            <w:r>
              <w:rPr>
                <w:rFonts w:hint="eastAsia"/>
              </w:rPr>
              <w:br w:type="textWrapping"/>
            </w:r>
            <w:r>
              <w:rPr>
                <w:rStyle w:val="11"/>
                <w:rFonts w:hint="eastAsia"/>
              </w:rPr>
              <w:t>1.本品在马铃薯晚疫病发生初期施药，采用全株均匀喷雾，间隔7-10天左右进行第二次防治，注意喷雾均匀、周到。每季作物使用2-3次。安全间隔期14天。注意喷雾均匀。2.大风天、预计1小时内降雨或中午高温期间，请勿施药。</w:t>
            </w:r>
          </w:p>
        </w:tc>
      </w:tr>
      <w:tr w14:paraId="08E648FB">
        <w:tblPrEx>
          <w:tblCellMar>
            <w:top w:w="0" w:type="dxa"/>
            <w:left w:w="0" w:type="dxa"/>
            <w:bottom w:w="0" w:type="dxa"/>
            <w:right w:w="0" w:type="dxa"/>
          </w:tblCellMar>
        </w:tblPrEx>
        <w:trPr>
          <w:wBefore w:w="0" w:type="auto"/>
          <w:tblCellSpacing w:w="0" w:type="dxa"/>
        </w:trPr>
        <w:tc>
          <w:tcPr>
            <w:tcW w:w="0" w:type="auto"/>
            <w:noWrap w:val="0"/>
            <w:vAlign w:val="center"/>
          </w:tcPr>
          <w:p w14:paraId="031ED2C2">
            <w:r>
              <w:rPr>
                <w:rStyle w:val="10"/>
                <w:rFonts w:hint="eastAsia"/>
              </w:rPr>
              <w:t>产品性能:</w:t>
            </w:r>
            <w:r>
              <w:rPr>
                <w:rFonts w:hint="eastAsia"/>
              </w:rPr>
              <w:br w:type="textWrapping"/>
            </w:r>
            <w:r>
              <w:rPr>
                <w:rStyle w:val="11"/>
                <w:rFonts w:hint="eastAsia"/>
              </w:rPr>
              <w:t>本品有效成分是氟吡菌胺和氟啶胺。氟吡菌胺属苯甲酰胺类杀菌剂，具有保护和广谱治疗作用；氟啶胺氟啶胺是二硝基苯胺类广谱高效的保护性杀菌剂，有较强的渗透性；两种作用机理不同的有效成分复配，可以起到很好的防治茄科类蔬菜的疫病。对马铃薯晚疫病有特效。</w:t>
            </w:r>
          </w:p>
        </w:tc>
      </w:tr>
      <w:tr w14:paraId="04A31835">
        <w:tblPrEx>
          <w:tblCellMar>
            <w:top w:w="0" w:type="dxa"/>
            <w:left w:w="0" w:type="dxa"/>
            <w:bottom w:w="0" w:type="dxa"/>
            <w:right w:w="0" w:type="dxa"/>
          </w:tblCellMar>
        </w:tblPrEx>
        <w:trPr>
          <w:wBefore w:w="0" w:type="auto"/>
          <w:tblCellSpacing w:w="0" w:type="dxa"/>
        </w:trPr>
        <w:tc>
          <w:tcPr>
            <w:tcW w:w="0" w:type="auto"/>
            <w:noWrap w:val="0"/>
            <w:vAlign w:val="center"/>
          </w:tcPr>
          <w:p w14:paraId="56E6B86C">
            <w:r>
              <w:rPr>
                <w:rStyle w:val="10"/>
                <w:rFonts w:hint="eastAsia"/>
              </w:rPr>
              <w:t>注意事项：</w:t>
            </w:r>
            <w:r>
              <w:rPr>
                <w:rFonts w:hint="eastAsia"/>
              </w:rPr>
              <w:br w:type="textWrapping"/>
            </w:r>
            <w:r>
              <w:rPr>
                <w:rStyle w:val="11"/>
                <w:rFonts w:hint="eastAsia"/>
              </w:rPr>
              <w:t>（1）避免与中等氧化剂接触；（2）建议与不同作用机制杀菌剂轮换使用。（3）配药和施药时，应戴手套、口罩、穿防护服、雨靴等，操作本品时禁止饮食、吸烟和饮水。（4）农药空包装应3次清洗，并将冲洗液倒入喷雾器中；用过的空包装应压烂或划破后妥善处理，切勿重复使用或它用。（5）本品对鱼有毒，远离水产养殖区施药；使用后的施药器具应及时清洗，禁止在河塘等水体中清洗施药器具，使用本品时避免其污染地表水等生态环境。蚕室和桑园附近禁用。（6）施药后应及时用肥皂和足量清水冲洗手部、面部和其它身体裸露部位以及受药剂污染的衣物等。（7）药液及其废液不得污染各类水域、土壤等环境。（8）孕妇和哺乳期妇女禁止接触。</w:t>
            </w:r>
          </w:p>
        </w:tc>
      </w:tr>
      <w:tr w14:paraId="4CCD36EB">
        <w:tblPrEx>
          <w:tblCellMar>
            <w:top w:w="0" w:type="dxa"/>
            <w:left w:w="0" w:type="dxa"/>
            <w:bottom w:w="0" w:type="dxa"/>
            <w:right w:w="0" w:type="dxa"/>
          </w:tblCellMar>
        </w:tblPrEx>
        <w:trPr>
          <w:wBefore w:w="0" w:type="auto"/>
          <w:tblCellSpacing w:w="0" w:type="dxa"/>
        </w:trPr>
        <w:tc>
          <w:tcPr>
            <w:tcW w:w="0" w:type="auto"/>
            <w:noWrap w:val="0"/>
            <w:vAlign w:val="center"/>
          </w:tcPr>
          <w:p w14:paraId="6ED8B11D">
            <w:r>
              <w:rPr>
                <w:rStyle w:val="10"/>
                <w:rFonts w:hint="eastAsia"/>
              </w:rPr>
              <w:t>中毒急救措施：</w:t>
            </w:r>
            <w:r>
              <w:rPr>
                <w:rFonts w:hint="eastAsia"/>
              </w:rPr>
              <w:br w:type="textWrapping"/>
            </w:r>
            <w:r>
              <w:rPr>
                <w:rStyle w:val="11"/>
                <w:rFonts w:hint="eastAsia"/>
              </w:rPr>
              <w:t>中毒症状：无明显中毒症状。 眼睛溅入∶立刻用大量清水冲洗15-20分钟，如仍感觉不适，应当尽快携此标签去医院诊治。 皮肤接触∶用软布去除沾染农药，然后用肥皂水和清水冲洗；脱去污染的衣物；如仍感觉不适，应当尽快携带标签到医院就医。 误吸：转移至空气清新处，如仍感不适需请医生治疗。 误 食∶不要自行引吐，携标签送医诊治。 给医护人员的提示：无特殊解毒药，请医生根据症状治疗。</w:t>
            </w:r>
          </w:p>
        </w:tc>
      </w:tr>
      <w:tr w14:paraId="1E4CE6A8">
        <w:tblPrEx>
          <w:tblCellMar>
            <w:top w:w="0" w:type="dxa"/>
            <w:left w:w="0" w:type="dxa"/>
            <w:bottom w:w="0" w:type="dxa"/>
            <w:right w:w="0" w:type="dxa"/>
          </w:tblCellMar>
        </w:tblPrEx>
        <w:trPr>
          <w:wBefore w:w="0" w:type="auto"/>
          <w:tblCellSpacing w:w="0" w:type="dxa"/>
        </w:trPr>
        <w:tc>
          <w:tcPr>
            <w:tcW w:w="0" w:type="auto"/>
            <w:noWrap w:val="0"/>
            <w:vAlign w:val="center"/>
          </w:tcPr>
          <w:p w14:paraId="7C105493">
            <w:r>
              <w:rPr>
                <w:rStyle w:val="10"/>
                <w:rFonts w:hint="eastAsia"/>
              </w:rPr>
              <w:t>储存和运输方法：</w:t>
            </w:r>
            <w:r>
              <w:rPr>
                <w:rFonts w:hint="eastAsia"/>
              </w:rPr>
              <w:br w:type="textWrapping"/>
            </w:r>
            <w:r>
              <w:rPr>
                <w:rStyle w:val="11"/>
                <w:rFonts w:hint="eastAsia"/>
              </w:rPr>
              <w:t>本品应贮存于干燥、阴凉、通风、防雨处，远离火源或热源。置于儿童触及不到之处，应加锁保存。不能与食品、饮料、种子、粮食、饲料等同贮同运。装卸时，注意轻拿轻放，运输时要防潮防晒。</w:t>
            </w:r>
          </w:p>
        </w:tc>
      </w:tr>
      <w:tr w14:paraId="4E465E88">
        <w:tblPrEx>
          <w:tblCellMar>
            <w:top w:w="0" w:type="dxa"/>
            <w:left w:w="0" w:type="dxa"/>
            <w:bottom w:w="0" w:type="dxa"/>
            <w:right w:w="0" w:type="dxa"/>
          </w:tblCellMar>
        </w:tblPrEx>
        <w:trPr>
          <w:wBefore w:w="0" w:type="auto"/>
          <w:tblCellSpacing w:w="0" w:type="dxa"/>
        </w:trPr>
        <w:tc>
          <w:tcPr>
            <w:tcW w:w="0" w:type="auto"/>
            <w:noWrap w:val="0"/>
            <w:vAlign w:val="center"/>
          </w:tcPr>
          <w:p w14:paraId="61310031">
            <w:r>
              <w:rPr>
                <w:rStyle w:val="10"/>
                <w:rFonts w:hint="eastAsia"/>
              </w:rPr>
              <w:t>质量保证期：</w:t>
            </w:r>
            <w:r>
              <w:rPr>
                <w:rStyle w:val="11"/>
                <w:rFonts w:hint="eastAsia"/>
              </w:rPr>
              <w:t>2年</w:t>
            </w:r>
          </w:p>
        </w:tc>
      </w:tr>
      <w:tr w14:paraId="0BC4D383">
        <w:tblPrEx>
          <w:tblCellMar>
            <w:top w:w="0" w:type="dxa"/>
            <w:left w:w="0" w:type="dxa"/>
            <w:bottom w:w="0" w:type="dxa"/>
            <w:right w:w="0" w:type="dxa"/>
          </w:tblCellMar>
        </w:tblPrEx>
        <w:trPr>
          <w:wBefore w:w="0" w:type="auto"/>
          <w:tblCellSpacing w:w="0" w:type="dxa"/>
        </w:trPr>
        <w:tc>
          <w:tcPr>
            <w:tcW w:w="0" w:type="auto"/>
            <w:noWrap w:val="0"/>
            <w:vAlign w:val="center"/>
          </w:tcPr>
          <w:p w14:paraId="1C9CA276">
            <w:r>
              <w:rPr>
                <w:rStyle w:val="10"/>
                <w:rFonts w:hint="eastAsia"/>
              </w:rPr>
              <w:t>备注：</w:t>
            </w:r>
          </w:p>
        </w:tc>
      </w:tr>
    </w:tbl>
    <w:p w14:paraId="02FA3EE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8AEE19E">
        <w:tblPrEx>
          <w:tblCellMar>
            <w:top w:w="0" w:type="dxa"/>
            <w:left w:w="0" w:type="dxa"/>
            <w:bottom w:w="0" w:type="dxa"/>
            <w:right w:w="0" w:type="dxa"/>
          </w:tblCellMar>
        </w:tblPrEx>
        <w:trPr>
          <w:wBefore w:w="0" w:type="auto"/>
          <w:tblCellSpacing w:w="0" w:type="dxa"/>
        </w:trPr>
        <w:tc>
          <w:tcPr>
            <w:tcW w:w="0" w:type="auto"/>
            <w:noWrap w:val="0"/>
            <w:vAlign w:val="center"/>
          </w:tcPr>
          <w:p w14:paraId="72DD91FD">
            <w:r>
              <w:rPr>
                <w:rStyle w:val="10"/>
                <w:rFonts w:hint="eastAsia"/>
              </w:rPr>
              <w:t>登记证号：</w:t>
            </w:r>
            <w:r>
              <w:rPr>
                <w:rFonts w:hint="eastAsia"/>
              </w:rPr>
              <w:t>PD20211701</w:t>
            </w:r>
          </w:p>
        </w:tc>
      </w:tr>
      <w:tr w14:paraId="45AA06C8">
        <w:tblPrEx>
          <w:tblCellMar>
            <w:top w:w="0" w:type="dxa"/>
            <w:left w:w="0" w:type="dxa"/>
            <w:bottom w:w="0" w:type="dxa"/>
            <w:right w:w="0" w:type="dxa"/>
          </w:tblCellMar>
        </w:tblPrEx>
        <w:trPr>
          <w:wBefore w:w="0" w:type="auto"/>
          <w:tblCellSpacing w:w="0" w:type="dxa"/>
        </w:trPr>
        <w:tc>
          <w:tcPr>
            <w:tcW w:w="0" w:type="auto"/>
            <w:noWrap w:val="0"/>
            <w:vAlign w:val="center"/>
          </w:tcPr>
          <w:p w14:paraId="53606C71">
            <w:r>
              <w:rPr>
                <w:rStyle w:val="10"/>
                <w:rFonts w:hint="eastAsia"/>
              </w:rPr>
              <w:t>登记证持有人：</w:t>
            </w:r>
            <w:r>
              <w:rPr>
                <w:rFonts w:hint="eastAsia"/>
              </w:rPr>
              <w:t>河南省孟州市华丰生化农药有限公司</w:t>
            </w:r>
          </w:p>
        </w:tc>
      </w:tr>
      <w:tr w14:paraId="1784A0F2">
        <w:tblPrEx>
          <w:tblCellMar>
            <w:top w:w="0" w:type="dxa"/>
            <w:left w:w="0" w:type="dxa"/>
            <w:bottom w:w="0" w:type="dxa"/>
            <w:right w:w="0" w:type="dxa"/>
          </w:tblCellMar>
        </w:tblPrEx>
        <w:trPr>
          <w:wBefore w:w="0" w:type="auto"/>
          <w:tblCellSpacing w:w="0" w:type="dxa"/>
        </w:trPr>
        <w:tc>
          <w:tcPr>
            <w:tcW w:w="0" w:type="auto"/>
            <w:noWrap w:val="0"/>
            <w:vAlign w:val="center"/>
          </w:tcPr>
          <w:p w14:paraId="3E1FB90E">
            <w:r>
              <w:rPr>
                <w:rStyle w:val="10"/>
                <w:rFonts w:hint="eastAsia"/>
              </w:rPr>
              <w:t>农药名称：</w:t>
            </w:r>
            <w:r>
              <w:rPr>
                <w:rFonts w:hint="eastAsia"/>
              </w:rPr>
              <w:t>噻虫·咯·霜灵</w:t>
            </w:r>
          </w:p>
        </w:tc>
      </w:tr>
      <w:tr w14:paraId="23CB741F">
        <w:tblPrEx>
          <w:tblCellMar>
            <w:top w:w="0" w:type="dxa"/>
            <w:left w:w="0" w:type="dxa"/>
            <w:bottom w:w="0" w:type="dxa"/>
            <w:right w:w="0" w:type="dxa"/>
          </w:tblCellMar>
        </w:tblPrEx>
        <w:trPr>
          <w:wBefore w:w="0" w:type="auto"/>
          <w:tblCellSpacing w:w="0" w:type="dxa"/>
        </w:trPr>
        <w:tc>
          <w:tcPr>
            <w:tcW w:w="0" w:type="auto"/>
            <w:noWrap w:val="0"/>
            <w:vAlign w:val="center"/>
          </w:tcPr>
          <w:p w14:paraId="3331ED5B">
            <w:r>
              <w:rPr>
                <w:rStyle w:val="10"/>
                <w:rFonts w:hint="eastAsia"/>
              </w:rPr>
              <w:t>剂型：</w:t>
            </w:r>
            <w:r>
              <w:rPr>
                <w:rFonts w:hint="eastAsia"/>
              </w:rPr>
              <w:t>种子处理悬浮剂</w:t>
            </w:r>
          </w:p>
        </w:tc>
      </w:tr>
      <w:tr w14:paraId="6FD086D5">
        <w:tblPrEx>
          <w:tblCellMar>
            <w:top w:w="0" w:type="dxa"/>
            <w:left w:w="0" w:type="dxa"/>
            <w:bottom w:w="0" w:type="dxa"/>
            <w:right w:w="0" w:type="dxa"/>
          </w:tblCellMar>
        </w:tblPrEx>
        <w:trPr>
          <w:wBefore w:w="0" w:type="auto"/>
          <w:tblCellSpacing w:w="0" w:type="dxa"/>
        </w:trPr>
        <w:tc>
          <w:tcPr>
            <w:tcW w:w="0" w:type="auto"/>
            <w:noWrap w:val="0"/>
            <w:vAlign w:val="center"/>
          </w:tcPr>
          <w:p w14:paraId="71C4C34A">
            <w:r>
              <w:rPr>
                <w:rStyle w:val="10"/>
                <w:rFonts w:hint="eastAsia"/>
              </w:rPr>
              <w:t>毒性及其标识：</w:t>
            </w:r>
            <w:r>
              <w:rPr>
                <w:rFonts w:hint="eastAsia"/>
              </w:rPr>
              <w:t xml:space="preserve"> </w:t>
            </w:r>
            <w:r>
              <w:rPr>
                <w:lang/>
              </w:rPr>
              <w:drawing>
                <wp:inline distT="0" distB="0" distL="114300" distR="114300">
                  <wp:extent cx="476250" cy="323850"/>
                  <wp:effectExtent l="0" t="0" r="0" b="0"/>
                  <wp:docPr id="600" name="图片 60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0DEB780">
        <w:tblPrEx>
          <w:tblCellMar>
            <w:top w:w="0" w:type="dxa"/>
            <w:left w:w="0" w:type="dxa"/>
            <w:bottom w:w="0" w:type="dxa"/>
            <w:right w:w="0" w:type="dxa"/>
          </w:tblCellMar>
        </w:tblPrEx>
        <w:trPr>
          <w:wBefore w:w="0" w:type="auto"/>
          <w:tblCellSpacing w:w="0" w:type="dxa"/>
        </w:trPr>
        <w:tc>
          <w:tcPr>
            <w:tcW w:w="0" w:type="auto"/>
            <w:noWrap w:val="0"/>
            <w:vAlign w:val="center"/>
          </w:tcPr>
          <w:p w14:paraId="0F42FEAE">
            <w:r>
              <w:rPr>
                <w:rStyle w:val="10"/>
                <w:rFonts w:hint="eastAsia"/>
              </w:rPr>
              <w:t>总有效成分含量：</w:t>
            </w:r>
            <w:r>
              <w:rPr>
                <w:rFonts w:hint="eastAsia"/>
              </w:rPr>
              <w:t>25%</w:t>
            </w:r>
          </w:p>
        </w:tc>
      </w:tr>
      <w:tr w14:paraId="7F56860E">
        <w:tblPrEx>
          <w:tblCellMar>
            <w:top w:w="0" w:type="dxa"/>
            <w:left w:w="0" w:type="dxa"/>
            <w:bottom w:w="0" w:type="dxa"/>
            <w:right w:w="0" w:type="dxa"/>
          </w:tblCellMar>
        </w:tblPrEx>
        <w:trPr>
          <w:wBefore w:w="0" w:type="auto"/>
          <w:tblCellSpacing w:w="0" w:type="dxa"/>
        </w:trPr>
        <w:tc>
          <w:tcPr>
            <w:tcW w:w="0" w:type="auto"/>
            <w:noWrap w:val="0"/>
            <w:vAlign w:val="center"/>
          </w:tcPr>
          <w:p w14:paraId="3CBABDD8">
            <w:r>
              <w:rPr>
                <w:rFonts w:hint="eastAsia"/>
              </w:rPr>
              <w:t xml:space="preserve">有效成分及其含量： </w:t>
            </w:r>
          </w:p>
          <w:p w14:paraId="3C2BCC76">
            <w:r>
              <w:rPr>
                <w:rFonts w:hint="eastAsia"/>
              </w:rPr>
              <w:t xml:space="preserve">    咯菌腈1.1%    精甲霜灵1.7%    噻虫嗪22.2%    </w:t>
            </w:r>
          </w:p>
        </w:tc>
      </w:tr>
      <w:tr w14:paraId="217C1B82">
        <w:tblPrEx>
          <w:tblCellMar>
            <w:top w:w="0" w:type="dxa"/>
            <w:left w:w="0" w:type="dxa"/>
            <w:bottom w:w="0" w:type="dxa"/>
            <w:right w:w="0" w:type="dxa"/>
          </w:tblCellMar>
        </w:tblPrEx>
        <w:trPr>
          <w:wBefore w:w="0" w:type="auto"/>
          <w:tblCellSpacing w:w="0" w:type="dxa"/>
        </w:trPr>
        <w:tc>
          <w:tcPr>
            <w:tcW w:w="0" w:type="auto"/>
            <w:noWrap w:val="0"/>
            <w:vAlign w:val="center"/>
          </w:tcPr>
          <w:p w14:paraId="0DD0363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FB4E3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EB21B07">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D35D1F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0E60FD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8897B03">
                  <w:r>
                    <w:rPr>
                      <w:rStyle w:val="11"/>
                      <w:rFonts w:hint="eastAsia"/>
                    </w:rPr>
                    <w:t>施用方式</w:t>
                  </w:r>
                </w:p>
              </w:tc>
            </w:tr>
            <w:tr w14:paraId="4133B3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6D1C893">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E2D73E">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828788B">
                  <w:r>
                    <w:rPr>
                      <w:rStyle w:val="11"/>
                      <w:rFonts w:hint="eastAsia"/>
                    </w:rPr>
                    <w:t>500-700毫升/100千克种子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F4B46D">
                  <w:r>
                    <w:rPr>
                      <w:rStyle w:val="11"/>
                      <w:rFonts w:hint="eastAsia"/>
                    </w:rPr>
                    <w:t>种子包衣</w:t>
                  </w:r>
                </w:p>
              </w:tc>
            </w:tr>
            <w:tr w14:paraId="697BCB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D6D28F4">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F90ECBB">
                  <w:r>
                    <w:rPr>
                      <w:rStyle w:val="11"/>
                      <w:rFonts w:hint="eastAsia"/>
                    </w:rPr>
                    <w:t>根腐病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D7CCF6">
                  <w:r>
                    <w:rPr>
                      <w:rStyle w:val="11"/>
                      <w:rFonts w:hint="eastAsia"/>
                    </w:rPr>
                    <w:t>500-700毫升/100千克种子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A40E37">
                  <w:r>
                    <w:rPr>
                      <w:rStyle w:val="11"/>
                      <w:rFonts w:hint="eastAsia"/>
                    </w:rPr>
                    <w:t>种子包衣</w:t>
                  </w:r>
                </w:p>
              </w:tc>
            </w:tr>
          </w:tbl>
          <w:p w14:paraId="6E04205D">
            <w:pPr>
              <w:rPr>
                <w:rFonts w:ascii="Times New Roman" w:hAnsi="Times New Roman" w:cs="Times New Roman"/>
                <w:sz w:val="20"/>
                <w:szCs w:val="20"/>
              </w:rPr>
            </w:pPr>
          </w:p>
        </w:tc>
      </w:tr>
      <w:tr w14:paraId="6EABCEA8">
        <w:tblPrEx>
          <w:tblCellMar>
            <w:top w:w="0" w:type="dxa"/>
            <w:left w:w="0" w:type="dxa"/>
            <w:bottom w:w="0" w:type="dxa"/>
            <w:right w:w="0" w:type="dxa"/>
          </w:tblCellMar>
        </w:tblPrEx>
        <w:trPr>
          <w:wBefore w:w="0" w:type="auto"/>
          <w:tblCellSpacing w:w="0" w:type="dxa"/>
        </w:trPr>
        <w:tc>
          <w:tcPr>
            <w:tcW w:w="0" w:type="auto"/>
            <w:noWrap w:val="0"/>
            <w:vAlign w:val="center"/>
          </w:tcPr>
          <w:p w14:paraId="61B34524">
            <w:r>
              <w:rPr>
                <w:rStyle w:val="10"/>
                <w:rFonts w:hint="eastAsia"/>
              </w:rPr>
              <w:t>使用技术要求:</w:t>
            </w:r>
            <w:r>
              <w:rPr>
                <w:rFonts w:hint="eastAsia"/>
              </w:rPr>
              <w:br w:type="textWrapping"/>
            </w:r>
            <w:r>
              <w:rPr>
                <w:rStyle w:val="11"/>
                <w:rFonts w:hint="eastAsia"/>
              </w:rPr>
              <w:t>1. 于播种前种子包衣处理，施药1次。手工包衣：根据种子量确定制剂用药量，加适量清水，混合均匀调成浆状药液，倒在种子上充分搅拌，待均匀着药后，摊开晾于通风阴凉处。机械包衣：按推荐制剂用药量加适量清水，混合均匀后调成浆状药液；选用适宜的包衣机械，根据要求调整药种比进行包衣处理。 2. 播种时需考虑低温、大雨等不良环境影响，适时播种。</w:t>
            </w:r>
          </w:p>
        </w:tc>
      </w:tr>
      <w:tr w14:paraId="60ACE7CC">
        <w:tblPrEx>
          <w:tblCellMar>
            <w:top w:w="0" w:type="dxa"/>
            <w:left w:w="0" w:type="dxa"/>
            <w:bottom w:w="0" w:type="dxa"/>
            <w:right w:w="0" w:type="dxa"/>
          </w:tblCellMar>
        </w:tblPrEx>
        <w:trPr>
          <w:wBefore w:w="0" w:type="auto"/>
          <w:tblCellSpacing w:w="0" w:type="dxa"/>
        </w:trPr>
        <w:tc>
          <w:tcPr>
            <w:tcW w:w="0" w:type="auto"/>
            <w:noWrap w:val="0"/>
            <w:vAlign w:val="center"/>
          </w:tcPr>
          <w:p w14:paraId="657F45F0">
            <w:r>
              <w:rPr>
                <w:rStyle w:val="10"/>
                <w:rFonts w:hint="eastAsia"/>
              </w:rPr>
              <w:t>产品性能:</w:t>
            </w:r>
            <w:r>
              <w:rPr>
                <w:rFonts w:hint="eastAsia"/>
              </w:rPr>
              <w:br w:type="textWrapping"/>
            </w:r>
            <w:r>
              <w:rPr>
                <w:rStyle w:val="11"/>
                <w:rFonts w:hint="eastAsia"/>
              </w:rPr>
              <w:t>本品为三元复配杀虫杀菌剂。其中咯菌腈为非内吸苯吡咯类化合物，对子囊菌、担子菌、半知菌等许多病原菌引起的种传和土传病害有非常好的防效。噻虫嗪是一种结构全新的烟碱类杀虫剂。用于种子处理，可被作物根迅速内吸，并传导到植株各部位。精甲霜灵为内吸性苯胺类化合物，对卵菌纲真菌如腐霉、绵霉等低等真菌引起的多种种传和土传病害有非常好的防效。</w:t>
            </w:r>
          </w:p>
        </w:tc>
      </w:tr>
      <w:tr w14:paraId="18511BE7">
        <w:tblPrEx>
          <w:tblCellMar>
            <w:top w:w="0" w:type="dxa"/>
            <w:left w:w="0" w:type="dxa"/>
            <w:bottom w:w="0" w:type="dxa"/>
            <w:right w:w="0" w:type="dxa"/>
          </w:tblCellMar>
        </w:tblPrEx>
        <w:trPr>
          <w:wBefore w:w="0" w:type="auto"/>
          <w:tblCellSpacing w:w="0" w:type="dxa"/>
        </w:trPr>
        <w:tc>
          <w:tcPr>
            <w:tcW w:w="0" w:type="auto"/>
            <w:noWrap w:val="0"/>
            <w:vAlign w:val="center"/>
          </w:tcPr>
          <w:p w14:paraId="346B48E9">
            <w:r>
              <w:rPr>
                <w:rStyle w:val="10"/>
                <w:rFonts w:hint="eastAsia"/>
              </w:rPr>
              <w:t>注意事项：</w:t>
            </w:r>
            <w:r>
              <w:rPr>
                <w:rFonts w:hint="eastAsia"/>
              </w:rPr>
              <w:br w:type="textWrapping"/>
            </w:r>
            <w:r>
              <w:rPr>
                <w:rStyle w:val="11"/>
                <w:rFonts w:hint="eastAsia"/>
              </w:rPr>
              <w:t>1. 使用时穿戴长衣、长裤、帽子、口罩、手套等安全防护措施。皮肤接触及口鼻吸入，切勿吸烟或饮食。使用后及时洗手。 2. 本品对蜜蜂、鸟类有毒，使用时应密切关注对附近蜂群的影响，施药期间鸟类保护区附近禁用，播种、施药后立即覆土。远离水产养殖区、河塘等水体施药，禁止在河塘等水体中清洗施药器具。 3. 处理后的种子禁止供人畜食用，也不要与未处理种子混合或一起存放。4. 本品勿与碱性农药等物质混合使用。5. 用过的容器应妥善处理，不可做他用，也不可随意丢弃。6. 孕妇及哺乳期妇女禁止接触本品。</w:t>
            </w:r>
          </w:p>
        </w:tc>
      </w:tr>
      <w:tr w14:paraId="4B742E30">
        <w:tblPrEx>
          <w:tblCellMar>
            <w:top w:w="0" w:type="dxa"/>
            <w:left w:w="0" w:type="dxa"/>
            <w:bottom w:w="0" w:type="dxa"/>
            <w:right w:w="0" w:type="dxa"/>
          </w:tblCellMar>
        </w:tblPrEx>
        <w:trPr>
          <w:wBefore w:w="0" w:type="auto"/>
          <w:tblCellSpacing w:w="0" w:type="dxa"/>
        </w:trPr>
        <w:tc>
          <w:tcPr>
            <w:tcW w:w="0" w:type="auto"/>
            <w:noWrap w:val="0"/>
            <w:vAlign w:val="center"/>
          </w:tcPr>
          <w:p w14:paraId="05A9B4BC">
            <w:r>
              <w:rPr>
                <w:rStyle w:val="10"/>
                <w:rFonts w:hint="eastAsia"/>
              </w:rPr>
              <w:t>中毒急救措施：</w:t>
            </w:r>
            <w:r>
              <w:rPr>
                <w:rFonts w:hint="eastAsia"/>
              </w:rPr>
              <w:br w:type="textWrapping"/>
            </w:r>
            <w:r>
              <w:rPr>
                <w:rStyle w:val="11"/>
                <w:rFonts w:hint="eastAsia"/>
              </w:rPr>
              <w:t xml:space="preserve">急救措施：1.皮肤接触：立即脱掉被污染的衣物，用大量清水冲洗；眼睛溅药：立即将眼睑翻开，用清水冲洗至少15分钟，再请医生诊治。 3.不慎吸入：立即将吸入者转移到空气新鲜处，如果吸入者停止呼吸， 需进行人工呼吸。请医生诊治。 4.误服：请用清水充分漱口后，立即携带标签，送医就诊。无专用解毒剂，对症治疗。 </w:t>
            </w:r>
          </w:p>
        </w:tc>
      </w:tr>
      <w:tr w14:paraId="052B7C27">
        <w:tblPrEx>
          <w:tblCellMar>
            <w:top w:w="0" w:type="dxa"/>
            <w:left w:w="0" w:type="dxa"/>
            <w:bottom w:w="0" w:type="dxa"/>
            <w:right w:w="0" w:type="dxa"/>
          </w:tblCellMar>
        </w:tblPrEx>
        <w:trPr>
          <w:wBefore w:w="0" w:type="auto"/>
          <w:tblCellSpacing w:w="0" w:type="dxa"/>
        </w:trPr>
        <w:tc>
          <w:tcPr>
            <w:tcW w:w="0" w:type="auto"/>
            <w:noWrap w:val="0"/>
            <w:vAlign w:val="center"/>
          </w:tcPr>
          <w:p w14:paraId="586DC96C">
            <w:r>
              <w:rPr>
                <w:rStyle w:val="10"/>
                <w:rFonts w:hint="eastAsia"/>
              </w:rPr>
              <w:t>储存和运输方法：</w:t>
            </w:r>
            <w:r>
              <w:rPr>
                <w:rFonts w:hint="eastAsia"/>
              </w:rPr>
              <w:br w:type="textWrapping"/>
            </w:r>
            <w:r>
              <w:rPr>
                <w:rStyle w:val="11"/>
                <w:rFonts w:hint="eastAsia"/>
              </w:rPr>
              <w:t xml:space="preserve">本品贮存应注意阴凉、干燥、通风，远离火源、热源及儿童存放，并加锁；不能与食品、饮料、粮食、饲料等物品同贮同运。避免与皮肤、眼睛接触。装卸运输时注意检查包装是否密封完整，轻拿轻放，不可倒置。 </w:t>
            </w:r>
          </w:p>
        </w:tc>
      </w:tr>
      <w:tr w14:paraId="50A80D07">
        <w:tblPrEx>
          <w:tblCellMar>
            <w:top w:w="0" w:type="dxa"/>
            <w:left w:w="0" w:type="dxa"/>
            <w:bottom w:w="0" w:type="dxa"/>
            <w:right w:w="0" w:type="dxa"/>
          </w:tblCellMar>
        </w:tblPrEx>
        <w:trPr>
          <w:wBefore w:w="0" w:type="auto"/>
          <w:tblCellSpacing w:w="0" w:type="dxa"/>
        </w:trPr>
        <w:tc>
          <w:tcPr>
            <w:tcW w:w="0" w:type="auto"/>
            <w:noWrap w:val="0"/>
            <w:vAlign w:val="center"/>
          </w:tcPr>
          <w:p w14:paraId="60462E69">
            <w:r>
              <w:rPr>
                <w:rStyle w:val="10"/>
                <w:rFonts w:hint="eastAsia"/>
              </w:rPr>
              <w:t>质量保证期：</w:t>
            </w:r>
            <w:r>
              <w:rPr>
                <w:rStyle w:val="11"/>
                <w:rFonts w:hint="eastAsia"/>
              </w:rPr>
              <w:t>2年</w:t>
            </w:r>
          </w:p>
        </w:tc>
      </w:tr>
      <w:tr w14:paraId="65B34F94">
        <w:tblPrEx>
          <w:tblCellMar>
            <w:top w:w="0" w:type="dxa"/>
            <w:left w:w="0" w:type="dxa"/>
            <w:bottom w:w="0" w:type="dxa"/>
            <w:right w:w="0" w:type="dxa"/>
          </w:tblCellMar>
        </w:tblPrEx>
        <w:trPr>
          <w:wBefore w:w="0" w:type="auto"/>
          <w:tblCellSpacing w:w="0" w:type="dxa"/>
        </w:trPr>
        <w:tc>
          <w:tcPr>
            <w:tcW w:w="0" w:type="auto"/>
            <w:noWrap w:val="0"/>
            <w:vAlign w:val="center"/>
          </w:tcPr>
          <w:p w14:paraId="134F7C36">
            <w:r>
              <w:rPr>
                <w:rStyle w:val="10"/>
                <w:rFonts w:hint="eastAsia"/>
              </w:rPr>
              <w:t>备注：</w:t>
            </w:r>
          </w:p>
        </w:tc>
      </w:tr>
    </w:tbl>
    <w:p w14:paraId="1A3FE6E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8D73E04">
        <w:tblPrEx>
          <w:tblCellMar>
            <w:top w:w="0" w:type="dxa"/>
            <w:left w:w="0" w:type="dxa"/>
            <w:bottom w:w="0" w:type="dxa"/>
            <w:right w:w="0" w:type="dxa"/>
          </w:tblCellMar>
        </w:tblPrEx>
        <w:trPr>
          <w:wBefore w:w="0" w:type="auto"/>
          <w:tblCellSpacing w:w="0" w:type="dxa"/>
        </w:trPr>
        <w:tc>
          <w:tcPr>
            <w:tcW w:w="0" w:type="auto"/>
            <w:noWrap w:val="0"/>
            <w:vAlign w:val="center"/>
          </w:tcPr>
          <w:p w14:paraId="075164A6">
            <w:r>
              <w:rPr>
                <w:rStyle w:val="10"/>
                <w:rFonts w:hint="eastAsia"/>
              </w:rPr>
              <w:t>登记证号：</w:t>
            </w:r>
            <w:r>
              <w:rPr>
                <w:rFonts w:hint="eastAsia"/>
              </w:rPr>
              <w:t>WP20210257</w:t>
            </w:r>
          </w:p>
        </w:tc>
      </w:tr>
      <w:tr w14:paraId="6A0626BF">
        <w:tblPrEx>
          <w:tblCellMar>
            <w:top w:w="0" w:type="dxa"/>
            <w:left w:w="0" w:type="dxa"/>
            <w:bottom w:w="0" w:type="dxa"/>
            <w:right w:w="0" w:type="dxa"/>
          </w:tblCellMar>
        </w:tblPrEx>
        <w:trPr>
          <w:wBefore w:w="0" w:type="auto"/>
          <w:tblCellSpacing w:w="0" w:type="dxa"/>
        </w:trPr>
        <w:tc>
          <w:tcPr>
            <w:tcW w:w="0" w:type="auto"/>
            <w:noWrap w:val="0"/>
            <w:vAlign w:val="center"/>
          </w:tcPr>
          <w:p w14:paraId="4A41197B">
            <w:r>
              <w:rPr>
                <w:rStyle w:val="10"/>
                <w:rFonts w:hint="eastAsia"/>
              </w:rPr>
              <w:t>登记证持有人：</w:t>
            </w:r>
            <w:r>
              <w:rPr>
                <w:rFonts w:hint="eastAsia"/>
              </w:rPr>
              <w:t>中山市小榄镇野薰草蚊香厂</w:t>
            </w:r>
          </w:p>
        </w:tc>
      </w:tr>
      <w:tr w14:paraId="2FEE15EF">
        <w:tblPrEx>
          <w:tblCellMar>
            <w:top w:w="0" w:type="dxa"/>
            <w:left w:w="0" w:type="dxa"/>
            <w:bottom w:w="0" w:type="dxa"/>
            <w:right w:w="0" w:type="dxa"/>
          </w:tblCellMar>
        </w:tblPrEx>
        <w:trPr>
          <w:wBefore w:w="0" w:type="auto"/>
          <w:tblCellSpacing w:w="0" w:type="dxa"/>
        </w:trPr>
        <w:tc>
          <w:tcPr>
            <w:tcW w:w="0" w:type="auto"/>
            <w:noWrap w:val="0"/>
            <w:vAlign w:val="center"/>
          </w:tcPr>
          <w:p w14:paraId="060D6DAE">
            <w:r>
              <w:rPr>
                <w:rStyle w:val="10"/>
                <w:rFonts w:hint="eastAsia"/>
              </w:rPr>
              <w:t>农药名称：</w:t>
            </w:r>
            <w:r>
              <w:rPr>
                <w:rFonts w:hint="eastAsia"/>
              </w:rPr>
              <w:t>驱蚊液</w:t>
            </w:r>
          </w:p>
        </w:tc>
      </w:tr>
      <w:tr w14:paraId="4358407B">
        <w:tblPrEx>
          <w:tblCellMar>
            <w:top w:w="0" w:type="dxa"/>
            <w:left w:w="0" w:type="dxa"/>
            <w:bottom w:w="0" w:type="dxa"/>
            <w:right w:w="0" w:type="dxa"/>
          </w:tblCellMar>
        </w:tblPrEx>
        <w:trPr>
          <w:wBefore w:w="0" w:type="auto"/>
          <w:tblCellSpacing w:w="0" w:type="dxa"/>
        </w:trPr>
        <w:tc>
          <w:tcPr>
            <w:tcW w:w="0" w:type="auto"/>
            <w:noWrap w:val="0"/>
            <w:vAlign w:val="center"/>
          </w:tcPr>
          <w:p w14:paraId="4F9AA4EF">
            <w:r>
              <w:rPr>
                <w:rStyle w:val="10"/>
                <w:rFonts w:hint="eastAsia"/>
              </w:rPr>
              <w:t>剂型：</w:t>
            </w:r>
            <w:r>
              <w:rPr>
                <w:rFonts w:hint="eastAsia"/>
              </w:rPr>
              <w:t>驱蚊液</w:t>
            </w:r>
          </w:p>
        </w:tc>
      </w:tr>
      <w:tr w14:paraId="5E51B166">
        <w:tblPrEx>
          <w:tblCellMar>
            <w:top w:w="0" w:type="dxa"/>
            <w:left w:w="0" w:type="dxa"/>
            <w:bottom w:w="0" w:type="dxa"/>
            <w:right w:w="0" w:type="dxa"/>
          </w:tblCellMar>
        </w:tblPrEx>
        <w:trPr>
          <w:wBefore w:w="0" w:type="auto"/>
          <w:tblCellSpacing w:w="0" w:type="dxa"/>
        </w:trPr>
        <w:tc>
          <w:tcPr>
            <w:tcW w:w="0" w:type="auto"/>
            <w:noWrap w:val="0"/>
            <w:vAlign w:val="center"/>
          </w:tcPr>
          <w:p w14:paraId="724BB2DA">
            <w:r>
              <w:rPr>
                <w:rStyle w:val="10"/>
                <w:rFonts w:hint="eastAsia"/>
              </w:rPr>
              <w:t>毒性及其标识：</w:t>
            </w:r>
            <w:r>
              <w:rPr>
                <w:rFonts w:hint="eastAsia"/>
              </w:rPr>
              <w:t xml:space="preserve"> 微毒 </w:t>
            </w:r>
          </w:p>
        </w:tc>
      </w:tr>
      <w:tr w14:paraId="504E9E56">
        <w:tblPrEx>
          <w:tblCellMar>
            <w:top w:w="0" w:type="dxa"/>
            <w:left w:w="0" w:type="dxa"/>
            <w:bottom w:w="0" w:type="dxa"/>
            <w:right w:w="0" w:type="dxa"/>
          </w:tblCellMar>
        </w:tblPrEx>
        <w:trPr>
          <w:wBefore w:w="0" w:type="auto"/>
          <w:tblCellSpacing w:w="0" w:type="dxa"/>
        </w:trPr>
        <w:tc>
          <w:tcPr>
            <w:tcW w:w="0" w:type="auto"/>
            <w:noWrap w:val="0"/>
            <w:vAlign w:val="center"/>
          </w:tcPr>
          <w:p w14:paraId="3B7CBD70">
            <w:r>
              <w:rPr>
                <w:rStyle w:val="10"/>
                <w:rFonts w:hint="eastAsia"/>
              </w:rPr>
              <w:t>总有效成分含量：</w:t>
            </w:r>
            <w:r>
              <w:rPr>
                <w:rFonts w:hint="eastAsia"/>
              </w:rPr>
              <w:t>9.0%</w:t>
            </w:r>
          </w:p>
        </w:tc>
      </w:tr>
      <w:tr w14:paraId="458054E6">
        <w:tblPrEx>
          <w:tblCellMar>
            <w:top w:w="0" w:type="dxa"/>
            <w:left w:w="0" w:type="dxa"/>
            <w:bottom w:w="0" w:type="dxa"/>
            <w:right w:w="0" w:type="dxa"/>
          </w:tblCellMar>
        </w:tblPrEx>
        <w:trPr>
          <w:wBefore w:w="0" w:type="auto"/>
          <w:tblCellSpacing w:w="0" w:type="dxa"/>
        </w:trPr>
        <w:tc>
          <w:tcPr>
            <w:tcW w:w="0" w:type="auto"/>
            <w:noWrap w:val="0"/>
            <w:vAlign w:val="center"/>
          </w:tcPr>
          <w:p w14:paraId="4F7957AC">
            <w:r>
              <w:rPr>
                <w:rFonts w:hint="eastAsia"/>
              </w:rPr>
              <w:t xml:space="preserve">有效成分及其含量： </w:t>
            </w:r>
          </w:p>
          <w:p w14:paraId="28D4355D">
            <w:r>
              <w:rPr>
                <w:rFonts w:hint="eastAsia"/>
              </w:rPr>
              <w:t xml:space="preserve">    驱蚊酯9.0%    </w:t>
            </w:r>
          </w:p>
        </w:tc>
      </w:tr>
      <w:tr w14:paraId="2139BE15">
        <w:tblPrEx>
          <w:tblCellMar>
            <w:top w:w="0" w:type="dxa"/>
            <w:left w:w="0" w:type="dxa"/>
            <w:bottom w:w="0" w:type="dxa"/>
            <w:right w:w="0" w:type="dxa"/>
          </w:tblCellMar>
        </w:tblPrEx>
        <w:trPr>
          <w:wBefore w:w="0" w:type="auto"/>
          <w:tblCellSpacing w:w="0" w:type="dxa"/>
        </w:trPr>
        <w:tc>
          <w:tcPr>
            <w:tcW w:w="0" w:type="auto"/>
            <w:noWrap w:val="0"/>
            <w:vAlign w:val="center"/>
          </w:tcPr>
          <w:p w14:paraId="6776C8B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AB7DD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23B172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F61148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01273B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5B97169">
                  <w:r>
                    <w:rPr>
                      <w:rStyle w:val="11"/>
                      <w:rFonts w:hint="eastAsia"/>
                    </w:rPr>
                    <w:t>施用方式</w:t>
                  </w:r>
                </w:p>
              </w:tc>
            </w:tr>
            <w:tr w14:paraId="51AC0F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029B9C3">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4C003A">
                  <w:r>
                    <w:rPr>
                      <w:rStyle w:val="11"/>
                      <w:rFonts w:hint="eastAsia"/>
                    </w:rPr>
                    <w:t>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E100A40">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8B447C5">
                  <w:r>
                    <w:rPr>
                      <w:rStyle w:val="11"/>
                      <w:rFonts w:hint="eastAsia"/>
                    </w:rPr>
                    <w:t>涂抹</w:t>
                  </w:r>
                </w:p>
              </w:tc>
            </w:tr>
          </w:tbl>
          <w:p w14:paraId="165D377E">
            <w:pPr>
              <w:rPr>
                <w:rFonts w:ascii="Times New Roman" w:hAnsi="Times New Roman" w:cs="Times New Roman"/>
                <w:sz w:val="20"/>
                <w:szCs w:val="20"/>
              </w:rPr>
            </w:pPr>
          </w:p>
        </w:tc>
      </w:tr>
      <w:tr w14:paraId="5B3A397F">
        <w:tblPrEx>
          <w:tblCellMar>
            <w:top w:w="0" w:type="dxa"/>
            <w:left w:w="0" w:type="dxa"/>
            <w:bottom w:w="0" w:type="dxa"/>
            <w:right w:w="0" w:type="dxa"/>
          </w:tblCellMar>
        </w:tblPrEx>
        <w:trPr>
          <w:wBefore w:w="0" w:type="auto"/>
          <w:tblCellSpacing w:w="0" w:type="dxa"/>
        </w:trPr>
        <w:tc>
          <w:tcPr>
            <w:tcW w:w="0" w:type="auto"/>
            <w:noWrap w:val="0"/>
            <w:vAlign w:val="center"/>
          </w:tcPr>
          <w:p w14:paraId="00F21F8C">
            <w:r>
              <w:rPr>
                <w:rStyle w:val="10"/>
                <w:rFonts w:hint="eastAsia"/>
              </w:rPr>
              <w:t>使用技术要求:</w:t>
            </w:r>
            <w:r>
              <w:rPr>
                <w:rFonts w:hint="eastAsia"/>
              </w:rPr>
              <w:br w:type="textWrapping"/>
            </w:r>
            <w:r>
              <w:rPr>
                <w:rStyle w:val="11"/>
                <w:rFonts w:hint="eastAsia"/>
              </w:rPr>
              <w:t>★避蚊驱蚊：夏天直接抹于裸露肌肤（避开眼部周围），可起到避蚊驱蚊的作用。</w:t>
            </w:r>
          </w:p>
        </w:tc>
      </w:tr>
      <w:tr w14:paraId="4392C6BE">
        <w:tblPrEx>
          <w:tblCellMar>
            <w:top w:w="0" w:type="dxa"/>
            <w:left w:w="0" w:type="dxa"/>
            <w:bottom w:w="0" w:type="dxa"/>
            <w:right w:w="0" w:type="dxa"/>
          </w:tblCellMar>
        </w:tblPrEx>
        <w:trPr>
          <w:wBefore w:w="0" w:type="auto"/>
          <w:tblCellSpacing w:w="0" w:type="dxa"/>
        </w:trPr>
        <w:tc>
          <w:tcPr>
            <w:tcW w:w="0" w:type="auto"/>
            <w:noWrap w:val="0"/>
            <w:vAlign w:val="center"/>
          </w:tcPr>
          <w:p w14:paraId="44633C24">
            <w:r>
              <w:rPr>
                <w:rStyle w:val="10"/>
                <w:rFonts w:hint="eastAsia"/>
              </w:rPr>
              <w:t>产品性能:</w:t>
            </w:r>
            <w:r>
              <w:rPr>
                <w:rFonts w:hint="eastAsia"/>
              </w:rPr>
              <w:br w:type="textWrapping"/>
            </w:r>
            <w:r>
              <w:rPr>
                <w:rStyle w:val="11"/>
                <w:rFonts w:hint="eastAsia"/>
              </w:rPr>
              <w:t>★本驱蚊液以驱蚊酯为有效成份，有驱蚊防蚊之功效。</w:t>
            </w:r>
          </w:p>
        </w:tc>
      </w:tr>
      <w:tr w14:paraId="51276D86">
        <w:tblPrEx>
          <w:tblCellMar>
            <w:top w:w="0" w:type="dxa"/>
            <w:left w:w="0" w:type="dxa"/>
            <w:bottom w:w="0" w:type="dxa"/>
            <w:right w:w="0" w:type="dxa"/>
          </w:tblCellMar>
        </w:tblPrEx>
        <w:trPr>
          <w:wBefore w:w="0" w:type="auto"/>
          <w:tblCellSpacing w:w="0" w:type="dxa"/>
        </w:trPr>
        <w:tc>
          <w:tcPr>
            <w:tcW w:w="0" w:type="auto"/>
            <w:noWrap w:val="0"/>
            <w:vAlign w:val="center"/>
          </w:tcPr>
          <w:p w14:paraId="1381FF8B">
            <w:r>
              <w:rPr>
                <w:rStyle w:val="10"/>
                <w:rFonts w:hint="eastAsia"/>
              </w:rPr>
              <w:t>注意事项：</w:t>
            </w:r>
            <w:r>
              <w:rPr>
                <w:rFonts w:hint="eastAsia"/>
              </w:rPr>
              <w:br w:type="textWrapping"/>
            </w:r>
            <w:r>
              <w:rPr>
                <w:rStyle w:val="11"/>
                <w:rFonts w:hint="eastAsia"/>
              </w:rPr>
              <w:t>勿让儿童取玩。 ★存放于阴凉干燥处。 ★请勿在火源旁边使用。 ★如不慎入眼请用流动清水冲洗15分钟。 ★贮存在阴凉干燥处、避免高温日晒；不得与食物同贮存。 ★本品忌食。用后洗手。 ★使用时避开眼睛及其周围皮肤，勿用于皮肤破损处。 ★本品含酒精， ★对酒精过敏者禁用。 ★过敏者禁用。使用中有任何不良反应请及时就医。有严重皮肤炎症及皮肤破损者禁用。本品属于易燃液体</w:t>
            </w:r>
          </w:p>
        </w:tc>
      </w:tr>
      <w:tr w14:paraId="179E7886">
        <w:tblPrEx>
          <w:tblCellMar>
            <w:top w:w="0" w:type="dxa"/>
            <w:left w:w="0" w:type="dxa"/>
            <w:bottom w:w="0" w:type="dxa"/>
            <w:right w:w="0" w:type="dxa"/>
          </w:tblCellMar>
        </w:tblPrEx>
        <w:trPr>
          <w:wBefore w:w="0" w:type="auto"/>
          <w:tblCellSpacing w:w="0" w:type="dxa"/>
        </w:trPr>
        <w:tc>
          <w:tcPr>
            <w:tcW w:w="0" w:type="auto"/>
            <w:noWrap w:val="0"/>
            <w:vAlign w:val="center"/>
          </w:tcPr>
          <w:p w14:paraId="23007BC9">
            <w:r>
              <w:rPr>
                <w:rStyle w:val="10"/>
                <w:rFonts w:hint="eastAsia"/>
              </w:rPr>
              <w:t>中毒急救措施：</w:t>
            </w:r>
            <w:r>
              <w:rPr>
                <w:rFonts w:hint="eastAsia"/>
              </w:rPr>
              <w:br w:type="textWrapping"/>
            </w:r>
            <w:r>
              <w:rPr>
                <w:rStyle w:val="11"/>
                <w:rFonts w:hint="eastAsia"/>
              </w:rPr>
              <w:t>对眼睛有刺激性，使用时避免接触眼睛。★使用中戓使用后如果感觉不适，应立即停止工作，采取急救措施，并携带标签送医就诊。皮肤接触：洗去污染衣物，用软布去除沾染农药，立即用大量用清水冲洗；</w:t>
            </w:r>
          </w:p>
        </w:tc>
      </w:tr>
      <w:tr w14:paraId="2B55EDDD">
        <w:tblPrEx>
          <w:tblCellMar>
            <w:top w:w="0" w:type="dxa"/>
            <w:left w:w="0" w:type="dxa"/>
            <w:bottom w:w="0" w:type="dxa"/>
            <w:right w:w="0" w:type="dxa"/>
          </w:tblCellMar>
        </w:tblPrEx>
        <w:trPr>
          <w:wBefore w:w="0" w:type="auto"/>
          <w:tblCellSpacing w:w="0" w:type="dxa"/>
        </w:trPr>
        <w:tc>
          <w:tcPr>
            <w:tcW w:w="0" w:type="auto"/>
            <w:noWrap w:val="0"/>
            <w:vAlign w:val="center"/>
          </w:tcPr>
          <w:p w14:paraId="5CE4B353">
            <w:r>
              <w:rPr>
                <w:rStyle w:val="10"/>
                <w:rFonts w:hint="eastAsia"/>
              </w:rPr>
              <w:t>储存和运输方法：</w:t>
            </w:r>
            <w:r>
              <w:rPr>
                <w:rFonts w:hint="eastAsia"/>
              </w:rPr>
              <w:br w:type="textWrapping"/>
            </w:r>
            <w:r>
              <w:rPr>
                <w:rStyle w:val="11"/>
                <w:rFonts w:hint="eastAsia"/>
              </w:rPr>
              <w:t>★勿于食品、粮食、饲料、饮料及易燃易爆品混放。 ★勿将本品贮放在潮湿、日晒、火源、热源的地方。 ★应贮存在38℃以下阴凉干燥通风处。 ★防止跌落和撞击。 ★远离儿童。本品应置于儿童，无关人员动物接触不到的地方。</w:t>
            </w:r>
          </w:p>
        </w:tc>
      </w:tr>
      <w:tr w14:paraId="296DB94D">
        <w:tblPrEx>
          <w:tblCellMar>
            <w:top w:w="0" w:type="dxa"/>
            <w:left w:w="0" w:type="dxa"/>
            <w:bottom w:w="0" w:type="dxa"/>
            <w:right w:w="0" w:type="dxa"/>
          </w:tblCellMar>
        </w:tblPrEx>
        <w:trPr>
          <w:wBefore w:w="0" w:type="auto"/>
          <w:tblCellSpacing w:w="0" w:type="dxa"/>
        </w:trPr>
        <w:tc>
          <w:tcPr>
            <w:tcW w:w="0" w:type="auto"/>
            <w:noWrap w:val="0"/>
            <w:vAlign w:val="center"/>
          </w:tcPr>
          <w:p w14:paraId="27B720E9">
            <w:r>
              <w:rPr>
                <w:rStyle w:val="10"/>
                <w:rFonts w:hint="eastAsia"/>
              </w:rPr>
              <w:t>质量保证期：</w:t>
            </w:r>
            <w:r>
              <w:rPr>
                <w:rStyle w:val="11"/>
                <w:rFonts w:hint="eastAsia"/>
              </w:rPr>
              <w:t>2年</w:t>
            </w:r>
          </w:p>
        </w:tc>
      </w:tr>
      <w:tr w14:paraId="00335E91">
        <w:tblPrEx>
          <w:tblCellMar>
            <w:top w:w="0" w:type="dxa"/>
            <w:left w:w="0" w:type="dxa"/>
            <w:bottom w:w="0" w:type="dxa"/>
            <w:right w:w="0" w:type="dxa"/>
          </w:tblCellMar>
        </w:tblPrEx>
        <w:trPr>
          <w:wBefore w:w="0" w:type="auto"/>
          <w:tblCellSpacing w:w="0" w:type="dxa"/>
        </w:trPr>
        <w:tc>
          <w:tcPr>
            <w:tcW w:w="0" w:type="auto"/>
            <w:noWrap w:val="0"/>
            <w:vAlign w:val="center"/>
          </w:tcPr>
          <w:p w14:paraId="06EA2EA5">
            <w:r>
              <w:rPr>
                <w:rStyle w:val="10"/>
                <w:rFonts w:hint="eastAsia"/>
              </w:rPr>
              <w:t>备注：</w:t>
            </w:r>
          </w:p>
        </w:tc>
      </w:tr>
    </w:tbl>
    <w:p w14:paraId="649ABA1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DB23218">
        <w:tblPrEx>
          <w:tblCellMar>
            <w:top w:w="0" w:type="dxa"/>
            <w:left w:w="0" w:type="dxa"/>
            <w:bottom w:w="0" w:type="dxa"/>
            <w:right w:w="0" w:type="dxa"/>
          </w:tblCellMar>
        </w:tblPrEx>
        <w:trPr>
          <w:wBefore w:w="0" w:type="auto"/>
          <w:tblCellSpacing w:w="0" w:type="dxa"/>
        </w:trPr>
        <w:tc>
          <w:tcPr>
            <w:tcW w:w="0" w:type="auto"/>
            <w:noWrap w:val="0"/>
            <w:vAlign w:val="center"/>
          </w:tcPr>
          <w:p w14:paraId="3B9C9382">
            <w:r>
              <w:rPr>
                <w:rStyle w:val="10"/>
                <w:rFonts w:hint="eastAsia"/>
              </w:rPr>
              <w:t>登记证号：</w:t>
            </w:r>
            <w:r>
              <w:rPr>
                <w:rFonts w:hint="eastAsia"/>
              </w:rPr>
              <w:t>PD20182515</w:t>
            </w:r>
          </w:p>
        </w:tc>
      </w:tr>
      <w:tr w14:paraId="3BDABC2D">
        <w:tblPrEx>
          <w:tblCellMar>
            <w:top w:w="0" w:type="dxa"/>
            <w:left w:w="0" w:type="dxa"/>
            <w:bottom w:w="0" w:type="dxa"/>
            <w:right w:w="0" w:type="dxa"/>
          </w:tblCellMar>
        </w:tblPrEx>
        <w:trPr>
          <w:wBefore w:w="0" w:type="auto"/>
          <w:tblCellSpacing w:w="0" w:type="dxa"/>
        </w:trPr>
        <w:tc>
          <w:tcPr>
            <w:tcW w:w="0" w:type="auto"/>
            <w:noWrap w:val="0"/>
            <w:vAlign w:val="center"/>
          </w:tcPr>
          <w:p w14:paraId="3D923049">
            <w:r>
              <w:rPr>
                <w:rStyle w:val="10"/>
                <w:rFonts w:hint="eastAsia"/>
              </w:rPr>
              <w:t>登记证持有人：</w:t>
            </w:r>
            <w:r>
              <w:rPr>
                <w:rFonts w:hint="eastAsia"/>
              </w:rPr>
              <w:t>陕西恒田生物农业有限公司</w:t>
            </w:r>
          </w:p>
        </w:tc>
      </w:tr>
      <w:tr w14:paraId="2053EFEB">
        <w:tblPrEx>
          <w:tblCellMar>
            <w:top w:w="0" w:type="dxa"/>
            <w:left w:w="0" w:type="dxa"/>
            <w:bottom w:w="0" w:type="dxa"/>
            <w:right w:w="0" w:type="dxa"/>
          </w:tblCellMar>
        </w:tblPrEx>
        <w:trPr>
          <w:wBefore w:w="0" w:type="auto"/>
          <w:tblCellSpacing w:w="0" w:type="dxa"/>
        </w:trPr>
        <w:tc>
          <w:tcPr>
            <w:tcW w:w="0" w:type="auto"/>
            <w:noWrap w:val="0"/>
            <w:vAlign w:val="center"/>
          </w:tcPr>
          <w:p w14:paraId="67F8587B">
            <w:r>
              <w:rPr>
                <w:rStyle w:val="10"/>
                <w:rFonts w:hint="eastAsia"/>
              </w:rPr>
              <w:t>农药名称：</w:t>
            </w:r>
            <w:r>
              <w:rPr>
                <w:rFonts w:hint="eastAsia"/>
              </w:rPr>
              <w:t>唑醚·代森联</w:t>
            </w:r>
          </w:p>
        </w:tc>
      </w:tr>
      <w:tr w14:paraId="548E880D">
        <w:tblPrEx>
          <w:tblCellMar>
            <w:top w:w="0" w:type="dxa"/>
            <w:left w:w="0" w:type="dxa"/>
            <w:bottom w:w="0" w:type="dxa"/>
            <w:right w:w="0" w:type="dxa"/>
          </w:tblCellMar>
        </w:tblPrEx>
        <w:trPr>
          <w:wBefore w:w="0" w:type="auto"/>
          <w:tblCellSpacing w:w="0" w:type="dxa"/>
        </w:trPr>
        <w:tc>
          <w:tcPr>
            <w:tcW w:w="0" w:type="auto"/>
            <w:noWrap w:val="0"/>
            <w:vAlign w:val="center"/>
          </w:tcPr>
          <w:p w14:paraId="33611351">
            <w:r>
              <w:rPr>
                <w:rStyle w:val="10"/>
                <w:rFonts w:hint="eastAsia"/>
              </w:rPr>
              <w:t>剂型：</w:t>
            </w:r>
            <w:r>
              <w:rPr>
                <w:rFonts w:hint="eastAsia"/>
              </w:rPr>
              <w:t>水分散粒剂</w:t>
            </w:r>
          </w:p>
        </w:tc>
      </w:tr>
      <w:tr w14:paraId="280DDB6D">
        <w:tblPrEx>
          <w:tblCellMar>
            <w:top w:w="0" w:type="dxa"/>
            <w:left w:w="0" w:type="dxa"/>
            <w:bottom w:w="0" w:type="dxa"/>
            <w:right w:w="0" w:type="dxa"/>
          </w:tblCellMar>
        </w:tblPrEx>
        <w:trPr>
          <w:wBefore w:w="0" w:type="auto"/>
          <w:tblCellSpacing w:w="0" w:type="dxa"/>
        </w:trPr>
        <w:tc>
          <w:tcPr>
            <w:tcW w:w="0" w:type="auto"/>
            <w:noWrap w:val="0"/>
            <w:vAlign w:val="center"/>
          </w:tcPr>
          <w:p w14:paraId="4098AD3E">
            <w:r>
              <w:rPr>
                <w:rStyle w:val="10"/>
                <w:rFonts w:hint="eastAsia"/>
              </w:rPr>
              <w:t>毒性及其标识：</w:t>
            </w:r>
            <w:r>
              <w:rPr>
                <w:rFonts w:hint="eastAsia"/>
              </w:rPr>
              <w:t xml:space="preserve"> </w:t>
            </w:r>
            <w:r>
              <w:rPr>
                <w:lang/>
              </w:rPr>
              <w:drawing>
                <wp:inline distT="0" distB="0" distL="114300" distR="114300">
                  <wp:extent cx="476250" cy="323850"/>
                  <wp:effectExtent l="0" t="0" r="0" b="0"/>
                  <wp:docPr id="601" name="图片 60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68619C5">
        <w:tblPrEx>
          <w:tblCellMar>
            <w:top w:w="0" w:type="dxa"/>
            <w:left w:w="0" w:type="dxa"/>
            <w:bottom w:w="0" w:type="dxa"/>
            <w:right w:w="0" w:type="dxa"/>
          </w:tblCellMar>
        </w:tblPrEx>
        <w:trPr>
          <w:wBefore w:w="0" w:type="auto"/>
          <w:tblCellSpacing w:w="0" w:type="dxa"/>
        </w:trPr>
        <w:tc>
          <w:tcPr>
            <w:tcW w:w="0" w:type="auto"/>
            <w:noWrap w:val="0"/>
            <w:vAlign w:val="center"/>
          </w:tcPr>
          <w:p w14:paraId="5A67C41F">
            <w:r>
              <w:rPr>
                <w:rStyle w:val="10"/>
                <w:rFonts w:hint="eastAsia"/>
              </w:rPr>
              <w:t>总有效成分含量：</w:t>
            </w:r>
            <w:r>
              <w:rPr>
                <w:rFonts w:hint="eastAsia"/>
              </w:rPr>
              <w:t>60%</w:t>
            </w:r>
          </w:p>
        </w:tc>
      </w:tr>
      <w:tr w14:paraId="0EB08AC6">
        <w:tblPrEx>
          <w:tblCellMar>
            <w:top w:w="0" w:type="dxa"/>
            <w:left w:w="0" w:type="dxa"/>
            <w:bottom w:w="0" w:type="dxa"/>
            <w:right w:w="0" w:type="dxa"/>
          </w:tblCellMar>
        </w:tblPrEx>
        <w:trPr>
          <w:wBefore w:w="0" w:type="auto"/>
          <w:tblCellSpacing w:w="0" w:type="dxa"/>
        </w:trPr>
        <w:tc>
          <w:tcPr>
            <w:tcW w:w="0" w:type="auto"/>
            <w:noWrap w:val="0"/>
            <w:vAlign w:val="center"/>
          </w:tcPr>
          <w:p w14:paraId="77640F00">
            <w:r>
              <w:rPr>
                <w:rFonts w:hint="eastAsia"/>
              </w:rPr>
              <w:t xml:space="preserve">有效成分及其含量： </w:t>
            </w:r>
          </w:p>
          <w:p w14:paraId="1D371BC1">
            <w:r>
              <w:rPr>
                <w:rFonts w:hint="eastAsia"/>
              </w:rPr>
              <w:t xml:space="preserve">    吡唑醚菌酯5%    代森联55%    </w:t>
            </w:r>
          </w:p>
        </w:tc>
      </w:tr>
      <w:tr w14:paraId="04BDE122">
        <w:tblPrEx>
          <w:tblCellMar>
            <w:top w:w="0" w:type="dxa"/>
            <w:left w:w="0" w:type="dxa"/>
            <w:bottom w:w="0" w:type="dxa"/>
            <w:right w:w="0" w:type="dxa"/>
          </w:tblCellMar>
        </w:tblPrEx>
        <w:trPr>
          <w:wBefore w:w="0" w:type="auto"/>
          <w:tblCellSpacing w:w="0" w:type="dxa"/>
        </w:trPr>
        <w:tc>
          <w:tcPr>
            <w:tcW w:w="0" w:type="auto"/>
            <w:noWrap w:val="0"/>
            <w:vAlign w:val="center"/>
          </w:tcPr>
          <w:p w14:paraId="2DF87E2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0DDCD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738D6C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065B95F">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CD52CA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1511A7B">
                  <w:r>
                    <w:rPr>
                      <w:rStyle w:val="11"/>
                      <w:rFonts w:hint="eastAsia"/>
                    </w:rPr>
                    <w:t>施用方式</w:t>
                  </w:r>
                </w:p>
              </w:tc>
            </w:tr>
            <w:tr w14:paraId="43BD7F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AE20FDF">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B35B0E">
                  <w:r>
                    <w:rPr>
                      <w:rStyle w:val="11"/>
                      <w:rFonts w:hint="eastAsia"/>
                    </w:rPr>
                    <w:t>赤星病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EEA7C9">
                  <w:r>
                    <w:rPr>
                      <w:rStyle w:val="11"/>
                      <w:rFonts w:hint="eastAsia"/>
                    </w:rPr>
                    <w:t>60-100克/亩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94A3376">
                  <w:r>
                    <w:rPr>
                      <w:rStyle w:val="11"/>
                      <w:rFonts w:hint="eastAsia"/>
                    </w:rPr>
                    <w:t>喷雾</w:t>
                  </w:r>
                </w:p>
              </w:tc>
            </w:tr>
          </w:tbl>
          <w:p w14:paraId="18C8D8AD">
            <w:pPr>
              <w:rPr>
                <w:rFonts w:ascii="Times New Roman" w:hAnsi="Times New Roman" w:cs="Times New Roman"/>
                <w:sz w:val="20"/>
                <w:szCs w:val="20"/>
              </w:rPr>
            </w:pPr>
          </w:p>
        </w:tc>
      </w:tr>
      <w:tr w14:paraId="398E173B">
        <w:tblPrEx>
          <w:tblCellMar>
            <w:top w:w="0" w:type="dxa"/>
            <w:left w:w="0" w:type="dxa"/>
            <w:bottom w:w="0" w:type="dxa"/>
            <w:right w:w="0" w:type="dxa"/>
          </w:tblCellMar>
        </w:tblPrEx>
        <w:trPr>
          <w:wBefore w:w="0" w:type="auto"/>
          <w:tblCellSpacing w:w="0" w:type="dxa"/>
        </w:trPr>
        <w:tc>
          <w:tcPr>
            <w:tcW w:w="0" w:type="auto"/>
            <w:noWrap w:val="0"/>
            <w:vAlign w:val="center"/>
          </w:tcPr>
          <w:p w14:paraId="2AF4E355">
            <w:r>
              <w:rPr>
                <w:rStyle w:val="10"/>
                <w:rFonts w:hint="eastAsia"/>
              </w:rPr>
              <w:t>使用技术要求:</w:t>
            </w:r>
            <w:r>
              <w:rPr>
                <w:rFonts w:hint="eastAsia"/>
              </w:rPr>
              <w:br w:type="textWrapping"/>
            </w:r>
            <w:r>
              <w:rPr>
                <w:rStyle w:val="11"/>
                <w:rFonts w:hint="eastAsia"/>
              </w:rPr>
              <w:t>1. 在黄瓜霜霉病、烟草赤星病于病害发生前或发病初期喷雾施药，间隔7-10天，连续施药2-3次，喷雾时注意均匀、周到。2. 在黄瓜上的安全间隔期为2天，每季作物最多使用次数为3次。在烟草上安全间隔期为21天，每季作物最多使用3次。3. 大风天或预计1小时内下雨，请勿施药。</w:t>
            </w:r>
          </w:p>
        </w:tc>
      </w:tr>
      <w:tr w14:paraId="61F2EDBD">
        <w:tblPrEx>
          <w:tblCellMar>
            <w:top w:w="0" w:type="dxa"/>
            <w:left w:w="0" w:type="dxa"/>
            <w:bottom w:w="0" w:type="dxa"/>
            <w:right w:w="0" w:type="dxa"/>
          </w:tblCellMar>
        </w:tblPrEx>
        <w:trPr>
          <w:wBefore w:w="0" w:type="auto"/>
          <w:tblCellSpacing w:w="0" w:type="dxa"/>
        </w:trPr>
        <w:tc>
          <w:tcPr>
            <w:tcW w:w="0" w:type="auto"/>
            <w:noWrap w:val="0"/>
            <w:vAlign w:val="center"/>
          </w:tcPr>
          <w:p w14:paraId="33A0AE30">
            <w:r>
              <w:rPr>
                <w:rStyle w:val="10"/>
                <w:rFonts w:hint="eastAsia"/>
              </w:rPr>
              <w:t>产品性能:</w:t>
            </w:r>
            <w:r>
              <w:rPr>
                <w:rFonts w:hint="eastAsia"/>
              </w:rPr>
              <w:br w:type="textWrapping"/>
            </w:r>
            <w:r>
              <w:rPr>
                <w:rStyle w:val="11"/>
                <w:rFonts w:hint="eastAsia"/>
              </w:rPr>
              <w:t>吡唑醚菌酯和代森联的混配杀菌剂，早期使用可阻止病菌侵入并提高植物体免疫能力，减少植物发病次数和用药次数。具有阻止病菌侵入，防止病菌扩散和清除体内病菌等多种作用。对大多数真菌病害有效。</w:t>
            </w:r>
          </w:p>
        </w:tc>
      </w:tr>
      <w:tr w14:paraId="6055FC56">
        <w:tblPrEx>
          <w:tblCellMar>
            <w:top w:w="0" w:type="dxa"/>
            <w:left w:w="0" w:type="dxa"/>
            <w:bottom w:w="0" w:type="dxa"/>
            <w:right w:w="0" w:type="dxa"/>
          </w:tblCellMar>
        </w:tblPrEx>
        <w:trPr>
          <w:wBefore w:w="0" w:type="auto"/>
          <w:tblCellSpacing w:w="0" w:type="dxa"/>
        </w:trPr>
        <w:tc>
          <w:tcPr>
            <w:tcW w:w="0" w:type="auto"/>
            <w:noWrap w:val="0"/>
            <w:vAlign w:val="center"/>
          </w:tcPr>
          <w:p w14:paraId="6043A05E">
            <w:r>
              <w:rPr>
                <w:rStyle w:val="10"/>
                <w:rFonts w:hint="eastAsia"/>
              </w:rPr>
              <w:t>注意事项：</w:t>
            </w:r>
            <w:r>
              <w:rPr>
                <w:rFonts w:hint="eastAsia"/>
              </w:rPr>
              <w:br w:type="textWrapping"/>
            </w:r>
            <w:r>
              <w:rPr>
                <w:rStyle w:val="11"/>
                <w:rFonts w:hint="eastAsia"/>
              </w:rPr>
              <w:t>1.本品不可与碱性物质混合使用。2.本品对鱼类等水生生物有毒，水产养殖区、河塘等水体附近禁用；禁止在河塘等水体中清洗施药器具。药液及其废液不得污染各类水域、土壤等环境。桑园及蚕室附近禁用，鸟类保护区附近禁用。3.本品对眼睛有刺激性，使用时避免接触眼睛，穿戴长衣、长裤、帽子、口罩、手套等防护措施。施药期间不可吃东西和饮水，施药后应及时洗手和洗脸。4.建议与其他作用机制不同的杀菌剂轮换使用，以延缓抗性产生。5.用药后包装物及用过的容器应妥善处理，不可做他用，也不可随意丢弃。6.孕妇及哺乳期妇女禁止接触本品。</w:t>
            </w:r>
          </w:p>
        </w:tc>
      </w:tr>
      <w:tr w14:paraId="79CCA3FD">
        <w:tblPrEx>
          <w:tblCellMar>
            <w:top w:w="0" w:type="dxa"/>
            <w:left w:w="0" w:type="dxa"/>
            <w:bottom w:w="0" w:type="dxa"/>
            <w:right w:w="0" w:type="dxa"/>
          </w:tblCellMar>
        </w:tblPrEx>
        <w:trPr>
          <w:wBefore w:w="0" w:type="auto"/>
          <w:tblCellSpacing w:w="0" w:type="dxa"/>
        </w:trPr>
        <w:tc>
          <w:tcPr>
            <w:tcW w:w="0" w:type="auto"/>
            <w:noWrap w:val="0"/>
            <w:vAlign w:val="center"/>
          </w:tcPr>
          <w:p w14:paraId="0D581EBC">
            <w:r>
              <w:rPr>
                <w:rStyle w:val="10"/>
                <w:rFonts w:hint="eastAsia"/>
              </w:rPr>
              <w:t>中毒急救措施：</w:t>
            </w:r>
            <w:r>
              <w:rPr>
                <w:rFonts w:hint="eastAsia"/>
              </w:rPr>
              <w:br w:type="textWrapping"/>
            </w:r>
            <w:r>
              <w:rPr>
                <w:rStyle w:val="11"/>
                <w:rFonts w:hint="eastAsia"/>
              </w:rPr>
              <w:t>不慎吸入，应将病人移至空气流通处。对眼睛有刺激性，使用时避免药液接触眼睛。不慎接触皮肤或溅入眼睛，应用大量清水冲洗至少15分钟，仍不适就医。无特殊解毒剂，误服则应立即携此标签将病人送医院对症治疗。</w:t>
            </w:r>
          </w:p>
        </w:tc>
      </w:tr>
      <w:tr w14:paraId="2AFCACB2">
        <w:tblPrEx>
          <w:tblCellMar>
            <w:top w:w="0" w:type="dxa"/>
            <w:left w:w="0" w:type="dxa"/>
            <w:bottom w:w="0" w:type="dxa"/>
            <w:right w:w="0" w:type="dxa"/>
          </w:tblCellMar>
        </w:tblPrEx>
        <w:trPr>
          <w:wBefore w:w="0" w:type="auto"/>
          <w:tblCellSpacing w:w="0" w:type="dxa"/>
        </w:trPr>
        <w:tc>
          <w:tcPr>
            <w:tcW w:w="0" w:type="auto"/>
            <w:noWrap w:val="0"/>
            <w:vAlign w:val="center"/>
          </w:tcPr>
          <w:p w14:paraId="64E0FE58">
            <w:r>
              <w:rPr>
                <w:rStyle w:val="10"/>
                <w:rFonts w:hint="eastAsia"/>
              </w:rPr>
              <w:t>储存和运输方法：</w:t>
            </w:r>
            <w:r>
              <w:rPr>
                <w:rFonts w:hint="eastAsia"/>
              </w:rPr>
              <w:br w:type="textWrapping"/>
            </w:r>
            <w:r>
              <w:rPr>
                <w:rStyle w:val="11"/>
                <w:rFonts w:hint="eastAsia"/>
              </w:rPr>
              <w:t>本品应严防潮湿和日晒，药剂应贮存于阴凉、干燥、通风、避雨处，远离火源和热源，置于儿童、无关人员接触不到之处并加锁。运输时应注意避光、防高温、雨淋。勿与食品、饮料、饲料、粮食等其它商品同贮同运。</w:t>
            </w:r>
          </w:p>
        </w:tc>
      </w:tr>
      <w:tr w14:paraId="5D8386BD">
        <w:tblPrEx>
          <w:tblCellMar>
            <w:top w:w="0" w:type="dxa"/>
            <w:left w:w="0" w:type="dxa"/>
            <w:bottom w:w="0" w:type="dxa"/>
            <w:right w:w="0" w:type="dxa"/>
          </w:tblCellMar>
        </w:tblPrEx>
        <w:trPr>
          <w:wBefore w:w="0" w:type="auto"/>
          <w:tblCellSpacing w:w="0" w:type="dxa"/>
        </w:trPr>
        <w:tc>
          <w:tcPr>
            <w:tcW w:w="0" w:type="auto"/>
            <w:noWrap w:val="0"/>
            <w:vAlign w:val="center"/>
          </w:tcPr>
          <w:p w14:paraId="097AED73">
            <w:r>
              <w:rPr>
                <w:rStyle w:val="10"/>
                <w:rFonts w:hint="eastAsia"/>
              </w:rPr>
              <w:t>质量保证期：</w:t>
            </w:r>
            <w:r>
              <w:rPr>
                <w:rStyle w:val="11"/>
                <w:rFonts w:hint="eastAsia"/>
              </w:rPr>
              <w:t>2年</w:t>
            </w:r>
          </w:p>
        </w:tc>
      </w:tr>
      <w:tr w14:paraId="1A7F31A6">
        <w:tblPrEx>
          <w:tblCellMar>
            <w:top w:w="0" w:type="dxa"/>
            <w:left w:w="0" w:type="dxa"/>
            <w:bottom w:w="0" w:type="dxa"/>
            <w:right w:w="0" w:type="dxa"/>
          </w:tblCellMar>
        </w:tblPrEx>
        <w:trPr>
          <w:wBefore w:w="0" w:type="auto"/>
          <w:tblCellSpacing w:w="0" w:type="dxa"/>
        </w:trPr>
        <w:tc>
          <w:tcPr>
            <w:tcW w:w="0" w:type="auto"/>
            <w:noWrap w:val="0"/>
            <w:vAlign w:val="center"/>
          </w:tcPr>
          <w:p w14:paraId="2A15612B">
            <w:r>
              <w:rPr>
                <w:rStyle w:val="10"/>
                <w:rFonts w:hint="eastAsia"/>
              </w:rPr>
              <w:t>备注：</w:t>
            </w:r>
          </w:p>
        </w:tc>
      </w:tr>
    </w:tbl>
    <w:p w14:paraId="745B942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E0162DB">
        <w:tblPrEx>
          <w:tblCellMar>
            <w:top w:w="0" w:type="dxa"/>
            <w:left w:w="0" w:type="dxa"/>
            <w:bottom w:w="0" w:type="dxa"/>
            <w:right w:w="0" w:type="dxa"/>
          </w:tblCellMar>
        </w:tblPrEx>
        <w:trPr>
          <w:wBefore w:w="0" w:type="auto"/>
          <w:tblCellSpacing w:w="0" w:type="dxa"/>
        </w:trPr>
        <w:tc>
          <w:tcPr>
            <w:tcW w:w="0" w:type="auto"/>
            <w:noWrap w:val="0"/>
            <w:vAlign w:val="center"/>
          </w:tcPr>
          <w:p w14:paraId="3672503A">
            <w:r>
              <w:rPr>
                <w:rStyle w:val="10"/>
                <w:rFonts w:hint="eastAsia"/>
              </w:rPr>
              <w:t>登记证号：</w:t>
            </w:r>
            <w:r>
              <w:rPr>
                <w:rFonts w:hint="eastAsia"/>
              </w:rPr>
              <w:t>EX20200001</w:t>
            </w:r>
          </w:p>
        </w:tc>
      </w:tr>
      <w:tr w14:paraId="69CA55F7">
        <w:tblPrEx>
          <w:tblCellMar>
            <w:top w:w="0" w:type="dxa"/>
            <w:left w:w="0" w:type="dxa"/>
            <w:bottom w:w="0" w:type="dxa"/>
            <w:right w:w="0" w:type="dxa"/>
          </w:tblCellMar>
        </w:tblPrEx>
        <w:trPr>
          <w:wBefore w:w="0" w:type="auto"/>
          <w:tblCellSpacing w:w="0" w:type="dxa"/>
        </w:trPr>
        <w:tc>
          <w:tcPr>
            <w:tcW w:w="0" w:type="auto"/>
            <w:noWrap w:val="0"/>
            <w:vAlign w:val="center"/>
          </w:tcPr>
          <w:p w14:paraId="06E51FB4">
            <w:r>
              <w:rPr>
                <w:rStyle w:val="10"/>
                <w:rFonts w:hint="eastAsia"/>
              </w:rPr>
              <w:t>登记证持有人：</w:t>
            </w:r>
            <w:r>
              <w:rPr>
                <w:rFonts w:hint="eastAsia"/>
              </w:rPr>
              <w:t>江苏托球农化股份有限公司</w:t>
            </w:r>
          </w:p>
        </w:tc>
      </w:tr>
      <w:tr w14:paraId="1F1CBDC3">
        <w:tblPrEx>
          <w:tblCellMar>
            <w:top w:w="0" w:type="dxa"/>
            <w:left w:w="0" w:type="dxa"/>
            <w:bottom w:w="0" w:type="dxa"/>
            <w:right w:w="0" w:type="dxa"/>
          </w:tblCellMar>
        </w:tblPrEx>
        <w:trPr>
          <w:wBefore w:w="0" w:type="auto"/>
          <w:tblCellSpacing w:w="0" w:type="dxa"/>
        </w:trPr>
        <w:tc>
          <w:tcPr>
            <w:tcW w:w="0" w:type="auto"/>
            <w:noWrap w:val="0"/>
            <w:vAlign w:val="center"/>
          </w:tcPr>
          <w:p w14:paraId="7B884415">
            <w:r>
              <w:rPr>
                <w:rStyle w:val="10"/>
                <w:rFonts w:hint="eastAsia"/>
              </w:rPr>
              <w:t>农药名称：</w:t>
            </w:r>
            <w:r>
              <w:rPr>
                <w:rFonts w:hint="eastAsia"/>
              </w:rPr>
              <w:t>氟虫腈</w:t>
            </w:r>
          </w:p>
        </w:tc>
      </w:tr>
      <w:tr w14:paraId="2DAD2F81">
        <w:tblPrEx>
          <w:tblCellMar>
            <w:top w:w="0" w:type="dxa"/>
            <w:left w:w="0" w:type="dxa"/>
            <w:bottom w:w="0" w:type="dxa"/>
            <w:right w:w="0" w:type="dxa"/>
          </w:tblCellMar>
        </w:tblPrEx>
        <w:trPr>
          <w:wBefore w:w="0" w:type="auto"/>
          <w:tblCellSpacing w:w="0" w:type="dxa"/>
        </w:trPr>
        <w:tc>
          <w:tcPr>
            <w:tcW w:w="0" w:type="auto"/>
            <w:noWrap w:val="0"/>
            <w:vAlign w:val="center"/>
          </w:tcPr>
          <w:p w14:paraId="69B7C41F">
            <w:r>
              <w:rPr>
                <w:rStyle w:val="10"/>
                <w:rFonts w:hint="eastAsia"/>
              </w:rPr>
              <w:t>剂型：</w:t>
            </w:r>
            <w:r>
              <w:rPr>
                <w:rFonts w:hint="eastAsia"/>
              </w:rPr>
              <w:t>悬浮剂</w:t>
            </w:r>
          </w:p>
        </w:tc>
      </w:tr>
      <w:tr w14:paraId="38A04D2C">
        <w:tblPrEx>
          <w:tblCellMar>
            <w:top w:w="0" w:type="dxa"/>
            <w:left w:w="0" w:type="dxa"/>
            <w:bottom w:w="0" w:type="dxa"/>
            <w:right w:w="0" w:type="dxa"/>
          </w:tblCellMar>
        </w:tblPrEx>
        <w:trPr>
          <w:wBefore w:w="0" w:type="auto"/>
          <w:tblCellSpacing w:w="0" w:type="dxa"/>
        </w:trPr>
        <w:tc>
          <w:tcPr>
            <w:tcW w:w="0" w:type="auto"/>
            <w:noWrap w:val="0"/>
            <w:vAlign w:val="center"/>
          </w:tcPr>
          <w:p w14:paraId="6471C9AC">
            <w:r>
              <w:rPr>
                <w:rStyle w:val="10"/>
                <w:rFonts w:hint="eastAsia"/>
              </w:rPr>
              <w:t>毒性及其标识：</w:t>
            </w:r>
            <w:r>
              <w:rPr>
                <w:rFonts w:hint="eastAsia"/>
              </w:rPr>
              <w:t xml:space="preserve"> </w:t>
            </w:r>
            <w:r>
              <w:rPr>
                <w:lang/>
              </w:rPr>
              <w:drawing>
                <wp:inline distT="0" distB="0" distL="114300" distR="114300">
                  <wp:extent cx="476250" cy="323850"/>
                  <wp:effectExtent l="0" t="0" r="0" b="0"/>
                  <wp:docPr id="602" name="图片 60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44428EF">
        <w:tblPrEx>
          <w:tblCellMar>
            <w:top w:w="0" w:type="dxa"/>
            <w:left w:w="0" w:type="dxa"/>
            <w:bottom w:w="0" w:type="dxa"/>
            <w:right w:w="0" w:type="dxa"/>
          </w:tblCellMar>
        </w:tblPrEx>
        <w:trPr>
          <w:wBefore w:w="0" w:type="auto"/>
          <w:tblCellSpacing w:w="0" w:type="dxa"/>
        </w:trPr>
        <w:tc>
          <w:tcPr>
            <w:tcW w:w="0" w:type="auto"/>
            <w:noWrap w:val="0"/>
            <w:vAlign w:val="center"/>
          </w:tcPr>
          <w:p w14:paraId="0BCEEA83">
            <w:r>
              <w:rPr>
                <w:rStyle w:val="10"/>
                <w:rFonts w:hint="eastAsia"/>
              </w:rPr>
              <w:t>总有效成分含量：</w:t>
            </w:r>
            <w:r>
              <w:rPr>
                <w:rFonts w:hint="eastAsia"/>
              </w:rPr>
              <w:t>50克/升</w:t>
            </w:r>
          </w:p>
        </w:tc>
      </w:tr>
      <w:tr w14:paraId="6C70E1E9">
        <w:tblPrEx>
          <w:tblCellMar>
            <w:top w:w="0" w:type="dxa"/>
            <w:left w:w="0" w:type="dxa"/>
            <w:bottom w:w="0" w:type="dxa"/>
            <w:right w:w="0" w:type="dxa"/>
          </w:tblCellMar>
        </w:tblPrEx>
        <w:trPr>
          <w:wBefore w:w="0" w:type="auto"/>
          <w:tblCellSpacing w:w="0" w:type="dxa"/>
        </w:trPr>
        <w:tc>
          <w:tcPr>
            <w:tcW w:w="0" w:type="auto"/>
            <w:noWrap w:val="0"/>
            <w:vAlign w:val="center"/>
          </w:tcPr>
          <w:p w14:paraId="3EB3A6DC">
            <w:r>
              <w:rPr>
                <w:rFonts w:hint="eastAsia"/>
              </w:rPr>
              <w:t xml:space="preserve">有效成分及其含量： </w:t>
            </w:r>
          </w:p>
          <w:p w14:paraId="5B176DF8">
            <w:r>
              <w:rPr>
                <w:rFonts w:hint="eastAsia"/>
              </w:rPr>
              <w:t xml:space="preserve">    氟虫腈50克/升    </w:t>
            </w:r>
          </w:p>
        </w:tc>
      </w:tr>
      <w:tr w14:paraId="2A5FBAB4">
        <w:tblPrEx>
          <w:tblCellMar>
            <w:top w:w="0" w:type="dxa"/>
            <w:left w:w="0" w:type="dxa"/>
            <w:bottom w:w="0" w:type="dxa"/>
            <w:right w:w="0" w:type="dxa"/>
          </w:tblCellMar>
        </w:tblPrEx>
        <w:trPr>
          <w:wBefore w:w="0" w:type="auto"/>
          <w:tblCellSpacing w:w="0" w:type="dxa"/>
        </w:trPr>
        <w:tc>
          <w:tcPr>
            <w:tcW w:w="0" w:type="auto"/>
            <w:noWrap w:val="0"/>
            <w:vAlign w:val="center"/>
          </w:tcPr>
          <w:p w14:paraId="1F3877F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3BC19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44C70F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3AE9BC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B3DDE1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2DA3280">
                  <w:r>
                    <w:rPr>
                      <w:rStyle w:val="11"/>
                      <w:rFonts w:hint="eastAsia"/>
                    </w:rPr>
                    <w:t>施用方式</w:t>
                  </w:r>
                </w:p>
              </w:tc>
            </w:tr>
          </w:tbl>
          <w:p w14:paraId="19C3FF7D">
            <w:pPr>
              <w:rPr>
                <w:rFonts w:ascii="Times New Roman" w:hAnsi="Times New Roman" w:cs="Times New Roman"/>
                <w:sz w:val="20"/>
                <w:szCs w:val="20"/>
              </w:rPr>
            </w:pPr>
          </w:p>
        </w:tc>
      </w:tr>
      <w:tr w14:paraId="7BA91451">
        <w:tblPrEx>
          <w:tblCellMar>
            <w:top w:w="0" w:type="dxa"/>
            <w:left w:w="0" w:type="dxa"/>
            <w:bottom w:w="0" w:type="dxa"/>
            <w:right w:w="0" w:type="dxa"/>
          </w:tblCellMar>
        </w:tblPrEx>
        <w:trPr>
          <w:wBefore w:w="0" w:type="auto"/>
          <w:tblCellSpacing w:w="0" w:type="dxa"/>
        </w:trPr>
        <w:tc>
          <w:tcPr>
            <w:tcW w:w="0" w:type="auto"/>
            <w:noWrap w:val="0"/>
            <w:vAlign w:val="center"/>
          </w:tcPr>
          <w:p w14:paraId="66607222">
            <w:r>
              <w:rPr>
                <w:rStyle w:val="10"/>
                <w:rFonts w:hint="eastAsia"/>
              </w:rPr>
              <w:t>使用技术要求:</w:t>
            </w:r>
            <w:r>
              <w:rPr>
                <w:rFonts w:hint="eastAsia"/>
              </w:rPr>
              <w:br w:type="textWrapping"/>
            </w:r>
            <w:r>
              <w:rPr>
                <w:rStyle w:val="11"/>
                <w:rFonts w:hint="eastAsia"/>
              </w:rPr>
              <w:t>/</w:t>
            </w:r>
          </w:p>
        </w:tc>
      </w:tr>
      <w:tr w14:paraId="310634FF">
        <w:tblPrEx>
          <w:tblCellMar>
            <w:top w:w="0" w:type="dxa"/>
            <w:left w:w="0" w:type="dxa"/>
            <w:bottom w:w="0" w:type="dxa"/>
            <w:right w:w="0" w:type="dxa"/>
          </w:tblCellMar>
        </w:tblPrEx>
        <w:trPr>
          <w:wBefore w:w="0" w:type="auto"/>
          <w:tblCellSpacing w:w="0" w:type="dxa"/>
        </w:trPr>
        <w:tc>
          <w:tcPr>
            <w:tcW w:w="0" w:type="auto"/>
            <w:noWrap w:val="0"/>
            <w:vAlign w:val="center"/>
          </w:tcPr>
          <w:p w14:paraId="17E1E01E">
            <w:r>
              <w:rPr>
                <w:rStyle w:val="10"/>
                <w:rFonts w:hint="eastAsia"/>
              </w:rPr>
              <w:t>产品性能:</w:t>
            </w:r>
            <w:r>
              <w:rPr>
                <w:rFonts w:hint="eastAsia"/>
              </w:rPr>
              <w:br w:type="textWrapping"/>
            </w:r>
            <w:r>
              <w:rPr>
                <w:rStyle w:val="11"/>
                <w:rFonts w:hint="eastAsia"/>
              </w:rPr>
              <w:t>/</w:t>
            </w:r>
          </w:p>
        </w:tc>
      </w:tr>
      <w:tr w14:paraId="408701FB">
        <w:tblPrEx>
          <w:tblCellMar>
            <w:top w:w="0" w:type="dxa"/>
            <w:left w:w="0" w:type="dxa"/>
            <w:bottom w:w="0" w:type="dxa"/>
            <w:right w:w="0" w:type="dxa"/>
          </w:tblCellMar>
        </w:tblPrEx>
        <w:trPr>
          <w:wBefore w:w="0" w:type="auto"/>
          <w:tblCellSpacing w:w="0" w:type="dxa"/>
        </w:trPr>
        <w:tc>
          <w:tcPr>
            <w:tcW w:w="0" w:type="auto"/>
            <w:noWrap w:val="0"/>
            <w:vAlign w:val="center"/>
          </w:tcPr>
          <w:p w14:paraId="5F581457">
            <w:r>
              <w:rPr>
                <w:rStyle w:val="10"/>
                <w:rFonts w:hint="eastAsia"/>
              </w:rPr>
              <w:t>注意事项：</w:t>
            </w:r>
            <w:r>
              <w:rPr>
                <w:rFonts w:hint="eastAsia"/>
              </w:rPr>
              <w:br w:type="textWrapping"/>
            </w:r>
            <w:r>
              <w:rPr>
                <w:rStyle w:val="11"/>
                <w:rFonts w:hint="eastAsia"/>
              </w:rPr>
              <w:t>/</w:t>
            </w:r>
          </w:p>
        </w:tc>
      </w:tr>
      <w:tr w14:paraId="4C7353BB">
        <w:tblPrEx>
          <w:tblCellMar>
            <w:top w:w="0" w:type="dxa"/>
            <w:left w:w="0" w:type="dxa"/>
            <w:bottom w:w="0" w:type="dxa"/>
            <w:right w:w="0" w:type="dxa"/>
          </w:tblCellMar>
        </w:tblPrEx>
        <w:trPr>
          <w:wBefore w:w="0" w:type="auto"/>
          <w:tblCellSpacing w:w="0" w:type="dxa"/>
        </w:trPr>
        <w:tc>
          <w:tcPr>
            <w:tcW w:w="0" w:type="auto"/>
            <w:noWrap w:val="0"/>
            <w:vAlign w:val="center"/>
          </w:tcPr>
          <w:p w14:paraId="4AF0CAB0">
            <w:r>
              <w:rPr>
                <w:rStyle w:val="10"/>
                <w:rFonts w:hint="eastAsia"/>
              </w:rPr>
              <w:t>中毒急救措施：</w:t>
            </w:r>
            <w:r>
              <w:rPr>
                <w:rFonts w:hint="eastAsia"/>
              </w:rPr>
              <w:br w:type="textWrapping"/>
            </w:r>
            <w:r>
              <w:rPr>
                <w:rStyle w:val="11"/>
                <w:rFonts w:hint="eastAsia"/>
              </w:rPr>
              <w:t>/</w:t>
            </w:r>
          </w:p>
        </w:tc>
      </w:tr>
      <w:tr w14:paraId="370CEF43">
        <w:tblPrEx>
          <w:tblCellMar>
            <w:top w:w="0" w:type="dxa"/>
            <w:left w:w="0" w:type="dxa"/>
            <w:bottom w:w="0" w:type="dxa"/>
            <w:right w:w="0" w:type="dxa"/>
          </w:tblCellMar>
        </w:tblPrEx>
        <w:trPr>
          <w:wBefore w:w="0" w:type="auto"/>
          <w:tblCellSpacing w:w="0" w:type="dxa"/>
        </w:trPr>
        <w:tc>
          <w:tcPr>
            <w:tcW w:w="0" w:type="auto"/>
            <w:noWrap w:val="0"/>
            <w:vAlign w:val="center"/>
          </w:tcPr>
          <w:p w14:paraId="1DA510E4">
            <w:r>
              <w:rPr>
                <w:rStyle w:val="10"/>
                <w:rFonts w:hint="eastAsia"/>
              </w:rPr>
              <w:t>储存和运输方法：</w:t>
            </w:r>
            <w:r>
              <w:rPr>
                <w:rFonts w:hint="eastAsia"/>
              </w:rPr>
              <w:br w:type="textWrapping"/>
            </w:r>
            <w:r>
              <w:rPr>
                <w:rStyle w:val="11"/>
                <w:rFonts w:hint="eastAsia"/>
              </w:rPr>
              <w:t>/</w:t>
            </w:r>
          </w:p>
        </w:tc>
      </w:tr>
      <w:tr w14:paraId="4CA0DDC7">
        <w:tblPrEx>
          <w:tblCellMar>
            <w:top w:w="0" w:type="dxa"/>
            <w:left w:w="0" w:type="dxa"/>
            <w:bottom w:w="0" w:type="dxa"/>
            <w:right w:w="0" w:type="dxa"/>
          </w:tblCellMar>
        </w:tblPrEx>
        <w:trPr>
          <w:wBefore w:w="0" w:type="auto"/>
          <w:tblCellSpacing w:w="0" w:type="dxa"/>
        </w:trPr>
        <w:tc>
          <w:tcPr>
            <w:tcW w:w="0" w:type="auto"/>
            <w:noWrap w:val="0"/>
            <w:vAlign w:val="center"/>
          </w:tcPr>
          <w:p w14:paraId="598BDAD2">
            <w:r>
              <w:rPr>
                <w:rStyle w:val="10"/>
                <w:rFonts w:hint="eastAsia"/>
              </w:rPr>
              <w:t>质量保证期：</w:t>
            </w:r>
            <w:r>
              <w:rPr>
                <w:rStyle w:val="11"/>
                <w:rFonts w:hint="eastAsia"/>
              </w:rPr>
              <w:t>/</w:t>
            </w:r>
          </w:p>
        </w:tc>
      </w:tr>
      <w:tr w14:paraId="77556892">
        <w:tblPrEx>
          <w:tblCellMar>
            <w:top w:w="0" w:type="dxa"/>
            <w:left w:w="0" w:type="dxa"/>
            <w:bottom w:w="0" w:type="dxa"/>
            <w:right w:w="0" w:type="dxa"/>
          </w:tblCellMar>
        </w:tblPrEx>
        <w:trPr>
          <w:wBefore w:w="0" w:type="auto"/>
          <w:tblCellSpacing w:w="0" w:type="dxa"/>
        </w:trPr>
        <w:tc>
          <w:tcPr>
            <w:tcW w:w="0" w:type="auto"/>
            <w:noWrap w:val="0"/>
            <w:vAlign w:val="center"/>
          </w:tcPr>
          <w:p w14:paraId="6C436F10">
            <w:r>
              <w:rPr>
                <w:rStyle w:val="10"/>
                <w:rFonts w:hint="eastAsia"/>
              </w:rPr>
              <w:t>备注：</w:t>
            </w:r>
          </w:p>
        </w:tc>
      </w:tr>
    </w:tbl>
    <w:p w14:paraId="2F80666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DBE1188">
        <w:tblPrEx>
          <w:tblCellMar>
            <w:top w:w="0" w:type="dxa"/>
            <w:left w:w="0" w:type="dxa"/>
            <w:bottom w:w="0" w:type="dxa"/>
            <w:right w:w="0" w:type="dxa"/>
          </w:tblCellMar>
        </w:tblPrEx>
        <w:trPr>
          <w:wBefore w:w="0" w:type="auto"/>
          <w:tblCellSpacing w:w="0" w:type="dxa"/>
        </w:trPr>
        <w:tc>
          <w:tcPr>
            <w:tcW w:w="0" w:type="auto"/>
            <w:noWrap w:val="0"/>
            <w:vAlign w:val="center"/>
          </w:tcPr>
          <w:p w14:paraId="25936448">
            <w:r>
              <w:rPr>
                <w:rStyle w:val="10"/>
                <w:rFonts w:hint="eastAsia"/>
              </w:rPr>
              <w:t>登记证号：</w:t>
            </w:r>
            <w:r>
              <w:rPr>
                <w:rFonts w:hint="eastAsia"/>
              </w:rPr>
              <w:t>PD20211803</w:t>
            </w:r>
          </w:p>
        </w:tc>
      </w:tr>
      <w:tr w14:paraId="0677E063">
        <w:tblPrEx>
          <w:tblCellMar>
            <w:top w:w="0" w:type="dxa"/>
            <w:left w:w="0" w:type="dxa"/>
            <w:bottom w:w="0" w:type="dxa"/>
            <w:right w:w="0" w:type="dxa"/>
          </w:tblCellMar>
        </w:tblPrEx>
        <w:trPr>
          <w:wBefore w:w="0" w:type="auto"/>
          <w:tblCellSpacing w:w="0" w:type="dxa"/>
        </w:trPr>
        <w:tc>
          <w:tcPr>
            <w:tcW w:w="0" w:type="auto"/>
            <w:noWrap w:val="0"/>
            <w:vAlign w:val="center"/>
          </w:tcPr>
          <w:p w14:paraId="4E79B387">
            <w:r>
              <w:rPr>
                <w:rStyle w:val="10"/>
                <w:rFonts w:hint="eastAsia"/>
              </w:rPr>
              <w:t>登记证持有人：</w:t>
            </w:r>
            <w:r>
              <w:rPr>
                <w:rFonts w:hint="eastAsia"/>
              </w:rPr>
              <w:t>陕西美邦药业集团股份有限公司</w:t>
            </w:r>
          </w:p>
        </w:tc>
      </w:tr>
      <w:tr w14:paraId="14A16F17">
        <w:tblPrEx>
          <w:tblCellMar>
            <w:top w:w="0" w:type="dxa"/>
            <w:left w:w="0" w:type="dxa"/>
            <w:bottom w:w="0" w:type="dxa"/>
            <w:right w:w="0" w:type="dxa"/>
          </w:tblCellMar>
        </w:tblPrEx>
        <w:trPr>
          <w:wBefore w:w="0" w:type="auto"/>
          <w:tblCellSpacing w:w="0" w:type="dxa"/>
        </w:trPr>
        <w:tc>
          <w:tcPr>
            <w:tcW w:w="0" w:type="auto"/>
            <w:noWrap w:val="0"/>
            <w:vAlign w:val="center"/>
          </w:tcPr>
          <w:p w14:paraId="6EF5A9BA">
            <w:r>
              <w:rPr>
                <w:rStyle w:val="10"/>
                <w:rFonts w:hint="eastAsia"/>
              </w:rPr>
              <w:t>农药名称：</w:t>
            </w:r>
            <w:r>
              <w:rPr>
                <w:rFonts w:hint="eastAsia"/>
              </w:rPr>
              <w:t>虫螨腈·唑虫酰胺</w:t>
            </w:r>
          </w:p>
        </w:tc>
      </w:tr>
      <w:tr w14:paraId="13EF0BF2">
        <w:tblPrEx>
          <w:tblCellMar>
            <w:top w:w="0" w:type="dxa"/>
            <w:left w:w="0" w:type="dxa"/>
            <w:bottom w:w="0" w:type="dxa"/>
            <w:right w:w="0" w:type="dxa"/>
          </w:tblCellMar>
        </w:tblPrEx>
        <w:trPr>
          <w:wBefore w:w="0" w:type="auto"/>
          <w:tblCellSpacing w:w="0" w:type="dxa"/>
        </w:trPr>
        <w:tc>
          <w:tcPr>
            <w:tcW w:w="0" w:type="auto"/>
            <w:noWrap w:val="0"/>
            <w:vAlign w:val="center"/>
          </w:tcPr>
          <w:p w14:paraId="421D5CA7">
            <w:r>
              <w:rPr>
                <w:rStyle w:val="10"/>
                <w:rFonts w:hint="eastAsia"/>
              </w:rPr>
              <w:t>剂型：</w:t>
            </w:r>
            <w:r>
              <w:rPr>
                <w:rFonts w:hint="eastAsia"/>
              </w:rPr>
              <w:t>悬浮剂</w:t>
            </w:r>
          </w:p>
        </w:tc>
      </w:tr>
      <w:tr w14:paraId="667D47C3">
        <w:tblPrEx>
          <w:tblCellMar>
            <w:top w:w="0" w:type="dxa"/>
            <w:left w:w="0" w:type="dxa"/>
            <w:bottom w:w="0" w:type="dxa"/>
            <w:right w:w="0" w:type="dxa"/>
          </w:tblCellMar>
        </w:tblPrEx>
        <w:trPr>
          <w:wBefore w:w="0" w:type="auto"/>
          <w:tblCellSpacing w:w="0" w:type="dxa"/>
        </w:trPr>
        <w:tc>
          <w:tcPr>
            <w:tcW w:w="0" w:type="auto"/>
            <w:noWrap w:val="0"/>
            <w:vAlign w:val="center"/>
          </w:tcPr>
          <w:p w14:paraId="3D014ED0">
            <w:r>
              <w:rPr>
                <w:rStyle w:val="10"/>
                <w:rFonts w:hint="eastAsia"/>
              </w:rPr>
              <w:t>毒性及其标识：</w:t>
            </w:r>
            <w:r>
              <w:rPr>
                <w:rFonts w:hint="eastAsia"/>
              </w:rPr>
              <w:t xml:space="preserve"> </w:t>
            </w:r>
            <w:r>
              <w:rPr>
                <w:lang/>
              </w:rPr>
              <w:drawing>
                <wp:inline distT="0" distB="0" distL="114300" distR="114300">
                  <wp:extent cx="476250" cy="323850"/>
                  <wp:effectExtent l="0" t="0" r="0" b="0"/>
                  <wp:docPr id="603" name="图片 60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A1626EA">
        <w:tblPrEx>
          <w:tblCellMar>
            <w:top w:w="0" w:type="dxa"/>
            <w:left w:w="0" w:type="dxa"/>
            <w:bottom w:w="0" w:type="dxa"/>
            <w:right w:w="0" w:type="dxa"/>
          </w:tblCellMar>
        </w:tblPrEx>
        <w:trPr>
          <w:wBefore w:w="0" w:type="auto"/>
          <w:tblCellSpacing w:w="0" w:type="dxa"/>
        </w:trPr>
        <w:tc>
          <w:tcPr>
            <w:tcW w:w="0" w:type="auto"/>
            <w:noWrap w:val="0"/>
            <w:vAlign w:val="center"/>
          </w:tcPr>
          <w:p w14:paraId="48B972FA">
            <w:r>
              <w:rPr>
                <w:rStyle w:val="10"/>
                <w:rFonts w:hint="eastAsia"/>
              </w:rPr>
              <w:t>总有效成分含量：</w:t>
            </w:r>
            <w:r>
              <w:rPr>
                <w:rFonts w:hint="eastAsia"/>
              </w:rPr>
              <w:t>30%</w:t>
            </w:r>
          </w:p>
        </w:tc>
      </w:tr>
      <w:tr w14:paraId="12E1EDA2">
        <w:tblPrEx>
          <w:tblCellMar>
            <w:top w:w="0" w:type="dxa"/>
            <w:left w:w="0" w:type="dxa"/>
            <w:bottom w:w="0" w:type="dxa"/>
            <w:right w:w="0" w:type="dxa"/>
          </w:tblCellMar>
        </w:tblPrEx>
        <w:trPr>
          <w:wBefore w:w="0" w:type="auto"/>
          <w:tblCellSpacing w:w="0" w:type="dxa"/>
        </w:trPr>
        <w:tc>
          <w:tcPr>
            <w:tcW w:w="0" w:type="auto"/>
            <w:noWrap w:val="0"/>
            <w:vAlign w:val="center"/>
          </w:tcPr>
          <w:p w14:paraId="1A18F84A">
            <w:r>
              <w:rPr>
                <w:rFonts w:hint="eastAsia"/>
              </w:rPr>
              <w:t xml:space="preserve">有效成分及其含量： </w:t>
            </w:r>
          </w:p>
          <w:p w14:paraId="048ED663">
            <w:r>
              <w:rPr>
                <w:rFonts w:hint="eastAsia"/>
              </w:rPr>
              <w:t xml:space="preserve">    虫螨腈15%    唑虫酰胺15%    </w:t>
            </w:r>
          </w:p>
        </w:tc>
      </w:tr>
      <w:tr w14:paraId="6BE61724">
        <w:tblPrEx>
          <w:tblCellMar>
            <w:top w:w="0" w:type="dxa"/>
            <w:left w:w="0" w:type="dxa"/>
            <w:bottom w:w="0" w:type="dxa"/>
            <w:right w:w="0" w:type="dxa"/>
          </w:tblCellMar>
        </w:tblPrEx>
        <w:trPr>
          <w:wBefore w:w="0" w:type="auto"/>
          <w:tblCellSpacing w:w="0" w:type="dxa"/>
        </w:trPr>
        <w:tc>
          <w:tcPr>
            <w:tcW w:w="0" w:type="auto"/>
            <w:noWrap w:val="0"/>
            <w:vAlign w:val="center"/>
          </w:tcPr>
          <w:p w14:paraId="448D918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CEE27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9BA153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910D41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CD8AC9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A2033DC">
                  <w:r>
                    <w:rPr>
                      <w:rStyle w:val="11"/>
                      <w:rFonts w:hint="eastAsia"/>
                    </w:rPr>
                    <w:t>施用方式</w:t>
                  </w:r>
                </w:p>
              </w:tc>
            </w:tr>
            <w:tr w14:paraId="0861BD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D48E3D3">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37D793">
                  <w:r>
                    <w:rPr>
                      <w:rStyle w:val="11"/>
                      <w:rFonts w:hint="eastAsia"/>
                    </w:rPr>
                    <w:t>小菜蛾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510102A">
                  <w:r>
                    <w:rPr>
                      <w:rStyle w:val="11"/>
                      <w:rFonts w:hint="eastAsia"/>
                    </w:rPr>
                    <w:t>20-25克/亩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D735D4">
                  <w:r>
                    <w:rPr>
                      <w:rStyle w:val="11"/>
                      <w:rFonts w:hint="eastAsia"/>
                    </w:rPr>
                    <w:t>喷雾</w:t>
                  </w:r>
                </w:p>
              </w:tc>
            </w:tr>
          </w:tbl>
          <w:p w14:paraId="4E7D7775">
            <w:pPr>
              <w:rPr>
                <w:rFonts w:ascii="Times New Roman" w:hAnsi="Times New Roman" w:cs="Times New Roman"/>
                <w:sz w:val="20"/>
                <w:szCs w:val="20"/>
              </w:rPr>
            </w:pPr>
          </w:p>
        </w:tc>
      </w:tr>
      <w:tr w14:paraId="0943B80F">
        <w:tblPrEx>
          <w:tblCellMar>
            <w:top w:w="0" w:type="dxa"/>
            <w:left w:w="0" w:type="dxa"/>
            <w:bottom w:w="0" w:type="dxa"/>
            <w:right w:w="0" w:type="dxa"/>
          </w:tblCellMar>
        </w:tblPrEx>
        <w:trPr>
          <w:wBefore w:w="0" w:type="auto"/>
          <w:tblCellSpacing w:w="0" w:type="dxa"/>
        </w:trPr>
        <w:tc>
          <w:tcPr>
            <w:tcW w:w="0" w:type="auto"/>
            <w:noWrap w:val="0"/>
            <w:vAlign w:val="center"/>
          </w:tcPr>
          <w:p w14:paraId="1375A16F">
            <w:r>
              <w:rPr>
                <w:rStyle w:val="10"/>
                <w:rFonts w:hint="eastAsia"/>
              </w:rPr>
              <w:t>使用技术要求:</w:t>
            </w:r>
            <w:r>
              <w:rPr>
                <w:rFonts w:hint="eastAsia"/>
              </w:rPr>
              <w:br w:type="textWrapping"/>
            </w:r>
            <w:r>
              <w:rPr>
                <w:rStyle w:val="11"/>
                <w:rFonts w:hint="eastAsia"/>
              </w:rPr>
              <w:t>1.于甘蓝小菜蛾低龄幼虫始发期喷雾施药1次，注意喷雾均匀、周到，以确保药效。2. 大风天或预计1小时内降雨，请勿施药。3.本品在甘蓝上使用的安全间隔期为14天，每季作物最多使用1次。</w:t>
            </w:r>
          </w:p>
        </w:tc>
      </w:tr>
      <w:tr w14:paraId="542DDE73">
        <w:tblPrEx>
          <w:tblCellMar>
            <w:top w:w="0" w:type="dxa"/>
            <w:left w:w="0" w:type="dxa"/>
            <w:bottom w:w="0" w:type="dxa"/>
            <w:right w:w="0" w:type="dxa"/>
          </w:tblCellMar>
        </w:tblPrEx>
        <w:trPr>
          <w:wBefore w:w="0" w:type="auto"/>
          <w:tblCellSpacing w:w="0" w:type="dxa"/>
        </w:trPr>
        <w:tc>
          <w:tcPr>
            <w:tcW w:w="0" w:type="auto"/>
            <w:noWrap w:val="0"/>
            <w:vAlign w:val="center"/>
          </w:tcPr>
          <w:p w14:paraId="2FA89BF8">
            <w:r>
              <w:rPr>
                <w:rStyle w:val="10"/>
                <w:rFonts w:hint="eastAsia"/>
              </w:rPr>
              <w:t>产品性能:</w:t>
            </w:r>
            <w:r>
              <w:rPr>
                <w:rFonts w:hint="eastAsia"/>
              </w:rPr>
              <w:br w:type="textWrapping"/>
            </w:r>
            <w:r>
              <w:rPr>
                <w:rStyle w:val="11"/>
                <w:rFonts w:hint="eastAsia"/>
              </w:rPr>
              <w:t>本品是唑虫酰胺和虫螨腈复配的杀虫剂，具有抑食、抑制产卵和杀虫杀卵特性。对甘蓝小菜蛾具有较好的防治效果。</w:t>
            </w:r>
          </w:p>
        </w:tc>
      </w:tr>
      <w:tr w14:paraId="01E6D338">
        <w:tblPrEx>
          <w:tblCellMar>
            <w:top w:w="0" w:type="dxa"/>
            <w:left w:w="0" w:type="dxa"/>
            <w:bottom w:w="0" w:type="dxa"/>
            <w:right w:w="0" w:type="dxa"/>
          </w:tblCellMar>
        </w:tblPrEx>
        <w:trPr>
          <w:wBefore w:w="0" w:type="auto"/>
          <w:tblCellSpacing w:w="0" w:type="dxa"/>
        </w:trPr>
        <w:tc>
          <w:tcPr>
            <w:tcW w:w="0" w:type="auto"/>
            <w:noWrap w:val="0"/>
            <w:vAlign w:val="center"/>
          </w:tcPr>
          <w:p w14:paraId="09FE9849">
            <w:r>
              <w:rPr>
                <w:rStyle w:val="10"/>
                <w:rFonts w:hint="eastAsia"/>
              </w:rPr>
              <w:t>注意事项：</w:t>
            </w:r>
            <w:r>
              <w:rPr>
                <w:rFonts w:hint="eastAsia"/>
              </w:rPr>
              <w:br w:type="textWrapping"/>
            </w:r>
            <w:r>
              <w:rPr>
                <w:rStyle w:val="11"/>
                <w:rFonts w:hint="eastAsia"/>
              </w:rPr>
              <w:t>1、严格按规定用药量和方法使用。 2、建议与其他作用机制不同的杀虫剂轮换使用，以延缓抗性产生。 3、本品对蜜蜂、鸟、鱼、家蚕、大型溞、藻有毒，（周围）开花植物花期禁用，使用时应密切关注对附近蜂群的影响，鸟类保护区附近、蚕室及桑园附近禁用；水产养殖区、河塘等水体附近禁用，禁止在河塘等水体中清洗施药器具；赤眼蜂等天敌放飞区域禁用。 4、使用时穿戴长衣长裤、帽子、口罩、手套、鞋等安全防护措施。施药期间不可吃东西、饮水、吸烟等；施药后应及时洗手、洗脸并洗涤施药时穿着的衣物。 5、用药后包装物及用过的容器应妥善处理，不可做他用，也不可随意丢弃。 6、孕妇及哺乳期妇女禁止接触本品。</w:t>
            </w:r>
          </w:p>
        </w:tc>
      </w:tr>
      <w:tr w14:paraId="1C1B26C5">
        <w:tblPrEx>
          <w:tblCellMar>
            <w:top w:w="0" w:type="dxa"/>
            <w:left w:w="0" w:type="dxa"/>
            <w:bottom w:w="0" w:type="dxa"/>
            <w:right w:w="0" w:type="dxa"/>
          </w:tblCellMar>
        </w:tblPrEx>
        <w:trPr>
          <w:wBefore w:w="0" w:type="auto"/>
          <w:tblCellSpacing w:w="0" w:type="dxa"/>
        </w:trPr>
        <w:tc>
          <w:tcPr>
            <w:tcW w:w="0" w:type="auto"/>
            <w:noWrap w:val="0"/>
            <w:vAlign w:val="center"/>
          </w:tcPr>
          <w:p w14:paraId="59AA38B9">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吸入：将病人移至空气清新处。误服：立即停止服用，用清水充分漱口后，携带农药标签到医院就诊。</w:t>
            </w:r>
          </w:p>
        </w:tc>
      </w:tr>
      <w:tr w14:paraId="6700A0AF">
        <w:tblPrEx>
          <w:tblCellMar>
            <w:top w:w="0" w:type="dxa"/>
            <w:left w:w="0" w:type="dxa"/>
            <w:bottom w:w="0" w:type="dxa"/>
            <w:right w:w="0" w:type="dxa"/>
          </w:tblCellMar>
        </w:tblPrEx>
        <w:trPr>
          <w:wBefore w:w="0" w:type="auto"/>
          <w:tblCellSpacing w:w="0" w:type="dxa"/>
        </w:trPr>
        <w:tc>
          <w:tcPr>
            <w:tcW w:w="0" w:type="auto"/>
            <w:noWrap w:val="0"/>
            <w:vAlign w:val="center"/>
          </w:tcPr>
          <w:p w14:paraId="0DE8AAA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本品应贮存在干燥、阴凉、通风、防雨处，远离火源或热源。置于儿童、无关人员及动物触及不到之处，并加锁保存。勿与食品、饮料、粮食、饲料、种子等其他商品同贮同运。</w:t>
            </w:r>
          </w:p>
        </w:tc>
      </w:tr>
      <w:tr w14:paraId="372475FF">
        <w:tblPrEx>
          <w:tblCellMar>
            <w:top w:w="0" w:type="dxa"/>
            <w:left w:w="0" w:type="dxa"/>
            <w:bottom w:w="0" w:type="dxa"/>
            <w:right w:w="0" w:type="dxa"/>
          </w:tblCellMar>
        </w:tblPrEx>
        <w:trPr>
          <w:wBefore w:w="0" w:type="auto"/>
          <w:tblCellSpacing w:w="0" w:type="dxa"/>
        </w:trPr>
        <w:tc>
          <w:tcPr>
            <w:tcW w:w="0" w:type="auto"/>
            <w:noWrap w:val="0"/>
            <w:vAlign w:val="center"/>
          </w:tcPr>
          <w:p w14:paraId="4901CE59">
            <w:r>
              <w:rPr>
                <w:rStyle w:val="10"/>
                <w:rFonts w:hint="eastAsia"/>
              </w:rPr>
              <w:t>质量保证期：</w:t>
            </w:r>
            <w:r>
              <w:rPr>
                <w:rStyle w:val="11"/>
                <w:rFonts w:hint="eastAsia"/>
              </w:rPr>
              <w:t>2年</w:t>
            </w:r>
          </w:p>
        </w:tc>
      </w:tr>
      <w:tr w14:paraId="3A5EC98A">
        <w:tblPrEx>
          <w:tblCellMar>
            <w:top w:w="0" w:type="dxa"/>
            <w:left w:w="0" w:type="dxa"/>
            <w:bottom w:w="0" w:type="dxa"/>
            <w:right w:w="0" w:type="dxa"/>
          </w:tblCellMar>
        </w:tblPrEx>
        <w:trPr>
          <w:wBefore w:w="0" w:type="auto"/>
          <w:tblCellSpacing w:w="0" w:type="dxa"/>
        </w:trPr>
        <w:tc>
          <w:tcPr>
            <w:tcW w:w="0" w:type="auto"/>
            <w:noWrap w:val="0"/>
            <w:vAlign w:val="center"/>
          </w:tcPr>
          <w:p w14:paraId="07373FFA">
            <w:r>
              <w:rPr>
                <w:rStyle w:val="10"/>
                <w:rFonts w:hint="eastAsia"/>
              </w:rPr>
              <w:t>备注：</w:t>
            </w:r>
          </w:p>
        </w:tc>
      </w:tr>
    </w:tbl>
    <w:p w14:paraId="156B5FA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A7FCDD4">
        <w:tblPrEx>
          <w:tblCellMar>
            <w:top w:w="0" w:type="dxa"/>
            <w:left w:w="0" w:type="dxa"/>
            <w:bottom w:w="0" w:type="dxa"/>
            <w:right w:w="0" w:type="dxa"/>
          </w:tblCellMar>
        </w:tblPrEx>
        <w:trPr>
          <w:wBefore w:w="0" w:type="auto"/>
          <w:tblCellSpacing w:w="0" w:type="dxa"/>
        </w:trPr>
        <w:tc>
          <w:tcPr>
            <w:tcW w:w="0" w:type="auto"/>
            <w:noWrap w:val="0"/>
            <w:vAlign w:val="center"/>
          </w:tcPr>
          <w:p w14:paraId="2934E2BA">
            <w:r>
              <w:rPr>
                <w:rStyle w:val="10"/>
                <w:rFonts w:hint="eastAsia"/>
              </w:rPr>
              <w:t>登记证号：</w:t>
            </w:r>
            <w:r>
              <w:rPr>
                <w:rFonts w:hint="eastAsia"/>
              </w:rPr>
              <w:t>PD20212164</w:t>
            </w:r>
          </w:p>
        </w:tc>
      </w:tr>
      <w:tr w14:paraId="201C8C64">
        <w:tblPrEx>
          <w:tblCellMar>
            <w:top w:w="0" w:type="dxa"/>
            <w:left w:w="0" w:type="dxa"/>
            <w:bottom w:w="0" w:type="dxa"/>
            <w:right w:w="0" w:type="dxa"/>
          </w:tblCellMar>
        </w:tblPrEx>
        <w:trPr>
          <w:wBefore w:w="0" w:type="auto"/>
          <w:tblCellSpacing w:w="0" w:type="dxa"/>
        </w:trPr>
        <w:tc>
          <w:tcPr>
            <w:tcW w:w="0" w:type="auto"/>
            <w:noWrap w:val="0"/>
            <w:vAlign w:val="center"/>
          </w:tcPr>
          <w:p w14:paraId="3C640E77">
            <w:r>
              <w:rPr>
                <w:rStyle w:val="10"/>
                <w:rFonts w:hint="eastAsia"/>
              </w:rPr>
              <w:t>登记证持有人：</w:t>
            </w:r>
            <w:r>
              <w:rPr>
                <w:rFonts w:hint="eastAsia"/>
              </w:rPr>
              <w:t>首建科技有限公司</w:t>
            </w:r>
          </w:p>
        </w:tc>
      </w:tr>
      <w:tr w14:paraId="2BFE59BC">
        <w:tblPrEx>
          <w:tblCellMar>
            <w:top w:w="0" w:type="dxa"/>
            <w:left w:w="0" w:type="dxa"/>
            <w:bottom w:w="0" w:type="dxa"/>
            <w:right w:w="0" w:type="dxa"/>
          </w:tblCellMar>
        </w:tblPrEx>
        <w:trPr>
          <w:wBefore w:w="0" w:type="auto"/>
          <w:tblCellSpacing w:w="0" w:type="dxa"/>
        </w:trPr>
        <w:tc>
          <w:tcPr>
            <w:tcW w:w="0" w:type="auto"/>
            <w:noWrap w:val="0"/>
            <w:vAlign w:val="center"/>
          </w:tcPr>
          <w:p w14:paraId="29CBB79D">
            <w:r>
              <w:rPr>
                <w:rStyle w:val="10"/>
                <w:rFonts w:hint="eastAsia"/>
              </w:rPr>
              <w:t>农药名称：</w:t>
            </w:r>
            <w:r>
              <w:rPr>
                <w:rFonts w:hint="eastAsia"/>
              </w:rPr>
              <w:t>砜嘧·高氟吡</w:t>
            </w:r>
          </w:p>
        </w:tc>
      </w:tr>
      <w:tr w14:paraId="4A43F342">
        <w:tblPrEx>
          <w:tblCellMar>
            <w:top w:w="0" w:type="dxa"/>
            <w:left w:w="0" w:type="dxa"/>
            <w:bottom w:w="0" w:type="dxa"/>
            <w:right w:w="0" w:type="dxa"/>
          </w:tblCellMar>
        </w:tblPrEx>
        <w:trPr>
          <w:wBefore w:w="0" w:type="auto"/>
          <w:tblCellSpacing w:w="0" w:type="dxa"/>
        </w:trPr>
        <w:tc>
          <w:tcPr>
            <w:tcW w:w="0" w:type="auto"/>
            <w:noWrap w:val="0"/>
            <w:vAlign w:val="center"/>
          </w:tcPr>
          <w:p w14:paraId="112CD314">
            <w:r>
              <w:rPr>
                <w:rStyle w:val="10"/>
                <w:rFonts w:hint="eastAsia"/>
              </w:rPr>
              <w:t>剂型：</w:t>
            </w:r>
            <w:r>
              <w:rPr>
                <w:rFonts w:hint="eastAsia"/>
              </w:rPr>
              <w:t>可分散油悬浮剂</w:t>
            </w:r>
          </w:p>
        </w:tc>
      </w:tr>
      <w:tr w14:paraId="36F11511">
        <w:tblPrEx>
          <w:tblCellMar>
            <w:top w:w="0" w:type="dxa"/>
            <w:left w:w="0" w:type="dxa"/>
            <w:bottom w:w="0" w:type="dxa"/>
            <w:right w:w="0" w:type="dxa"/>
          </w:tblCellMar>
        </w:tblPrEx>
        <w:trPr>
          <w:wBefore w:w="0" w:type="auto"/>
          <w:tblCellSpacing w:w="0" w:type="dxa"/>
        </w:trPr>
        <w:tc>
          <w:tcPr>
            <w:tcW w:w="0" w:type="auto"/>
            <w:noWrap w:val="0"/>
            <w:vAlign w:val="center"/>
          </w:tcPr>
          <w:p w14:paraId="7CFB8128">
            <w:r>
              <w:rPr>
                <w:rStyle w:val="10"/>
                <w:rFonts w:hint="eastAsia"/>
              </w:rPr>
              <w:t>毒性及其标识：</w:t>
            </w:r>
            <w:r>
              <w:rPr>
                <w:rFonts w:hint="eastAsia"/>
              </w:rPr>
              <w:t xml:space="preserve"> </w:t>
            </w:r>
            <w:r>
              <w:rPr>
                <w:lang/>
              </w:rPr>
              <w:drawing>
                <wp:inline distT="0" distB="0" distL="114300" distR="114300">
                  <wp:extent cx="476250" cy="323850"/>
                  <wp:effectExtent l="0" t="0" r="0" b="0"/>
                  <wp:docPr id="604" name="图片 60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3B19B91">
        <w:tblPrEx>
          <w:tblCellMar>
            <w:top w:w="0" w:type="dxa"/>
            <w:left w:w="0" w:type="dxa"/>
            <w:bottom w:w="0" w:type="dxa"/>
            <w:right w:w="0" w:type="dxa"/>
          </w:tblCellMar>
        </w:tblPrEx>
        <w:trPr>
          <w:wBefore w:w="0" w:type="auto"/>
          <w:tblCellSpacing w:w="0" w:type="dxa"/>
        </w:trPr>
        <w:tc>
          <w:tcPr>
            <w:tcW w:w="0" w:type="auto"/>
            <w:noWrap w:val="0"/>
            <w:vAlign w:val="center"/>
          </w:tcPr>
          <w:p w14:paraId="7DFAB2E7">
            <w:r>
              <w:rPr>
                <w:rStyle w:val="10"/>
                <w:rFonts w:hint="eastAsia"/>
              </w:rPr>
              <w:t>总有效成分含量：</w:t>
            </w:r>
            <w:r>
              <w:rPr>
                <w:rFonts w:hint="eastAsia"/>
              </w:rPr>
              <w:t>11%</w:t>
            </w:r>
          </w:p>
        </w:tc>
      </w:tr>
      <w:tr w14:paraId="1BD03945">
        <w:tblPrEx>
          <w:tblCellMar>
            <w:top w:w="0" w:type="dxa"/>
            <w:left w:w="0" w:type="dxa"/>
            <w:bottom w:w="0" w:type="dxa"/>
            <w:right w:w="0" w:type="dxa"/>
          </w:tblCellMar>
        </w:tblPrEx>
        <w:trPr>
          <w:wBefore w:w="0" w:type="auto"/>
          <w:tblCellSpacing w:w="0" w:type="dxa"/>
        </w:trPr>
        <w:tc>
          <w:tcPr>
            <w:tcW w:w="0" w:type="auto"/>
            <w:noWrap w:val="0"/>
            <w:vAlign w:val="center"/>
          </w:tcPr>
          <w:p w14:paraId="7EA67748">
            <w:r>
              <w:rPr>
                <w:rFonts w:hint="eastAsia"/>
              </w:rPr>
              <w:t xml:space="preserve">有效成分及其含量： </w:t>
            </w:r>
          </w:p>
          <w:p w14:paraId="7B6F2C4F">
            <w:r>
              <w:rPr>
                <w:rFonts w:hint="eastAsia"/>
              </w:rPr>
              <w:t xml:space="preserve">    砜嘧磺隆2.5    高效氟吡甲禾灵8.5    </w:t>
            </w:r>
          </w:p>
        </w:tc>
      </w:tr>
      <w:tr w14:paraId="313325E3">
        <w:tblPrEx>
          <w:tblCellMar>
            <w:top w:w="0" w:type="dxa"/>
            <w:left w:w="0" w:type="dxa"/>
            <w:bottom w:w="0" w:type="dxa"/>
            <w:right w:w="0" w:type="dxa"/>
          </w:tblCellMar>
        </w:tblPrEx>
        <w:trPr>
          <w:wBefore w:w="0" w:type="auto"/>
          <w:tblCellSpacing w:w="0" w:type="dxa"/>
        </w:trPr>
        <w:tc>
          <w:tcPr>
            <w:tcW w:w="0" w:type="auto"/>
            <w:noWrap w:val="0"/>
            <w:vAlign w:val="center"/>
          </w:tcPr>
          <w:p w14:paraId="02E2FF1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BAB98D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4D7201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3E2FEB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D64D038">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EBF01D5">
                  <w:r>
                    <w:rPr>
                      <w:rStyle w:val="11"/>
                      <w:rFonts w:hint="eastAsia"/>
                    </w:rPr>
                    <w:t>施用方式</w:t>
                  </w:r>
                </w:p>
              </w:tc>
            </w:tr>
            <w:tr w14:paraId="66B37C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16F1899">
                  <w:r>
                    <w:rPr>
                      <w:rStyle w:val="11"/>
                      <w:rFonts w:hint="eastAsia"/>
                    </w:rPr>
                    <w:t>马铃薯田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0EDBE8">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37F995">
                  <w:r>
                    <w:rPr>
                      <w:rStyle w:val="11"/>
                      <w:rFonts w:hint="eastAsia"/>
                    </w:rPr>
                    <w:t>36-48毫升/亩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BC4B12">
                  <w:r>
                    <w:rPr>
                      <w:rStyle w:val="11"/>
                      <w:rFonts w:hint="eastAsia"/>
                    </w:rPr>
                    <w:t>茎叶喷雾</w:t>
                  </w:r>
                </w:p>
              </w:tc>
            </w:tr>
          </w:tbl>
          <w:p w14:paraId="0DEB7F06">
            <w:pPr>
              <w:rPr>
                <w:rFonts w:ascii="Times New Roman" w:hAnsi="Times New Roman" w:cs="Times New Roman"/>
                <w:sz w:val="20"/>
                <w:szCs w:val="20"/>
              </w:rPr>
            </w:pPr>
          </w:p>
        </w:tc>
      </w:tr>
      <w:tr w14:paraId="2294F568">
        <w:tblPrEx>
          <w:tblCellMar>
            <w:top w:w="0" w:type="dxa"/>
            <w:left w:w="0" w:type="dxa"/>
            <w:bottom w:w="0" w:type="dxa"/>
            <w:right w:w="0" w:type="dxa"/>
          </w:tblCellMar>
        </w:tblPrEx>
        <w:trPr>
          <w:wBefore w:w="0" w:type="auto"/>
          <w:tblCellSpacing w:w="0" w:type="dxa"/>
        </w:trPr>
        <w:tc>
          <w:tcPr>
            <w:tcW w:w="0" w:type="auto"/>
            <w:noWrap w:val="0"/>
            <w:vAlign w:val="center"/>
          </w:tcPr>
          <w:p w14:paraId="73344CB1">
            <w:r>
              <w:rPr>
                <w:rStyle w:val="10"/>
                <w:rFonts w:hint="eastAsia"/>
              </w:rPr>
              <w:t>使用技术要求:</w:t>
            </w:r>
            <w:r>
              <w:rPr>
                <w:rFonts w:hint="eastAsia"/>
              </w:rPr>
              <w:br w:type="textWrapping"/>
            </w:r>
            <w:r>
              <w:rPr>
                <w:rStyle w:val="11"/>
                <w:rFonts w:hint="eastAsia"/>
              </w:rPr>
              <w:t>1.于马铃薯苗后，田间一年生杂草2-5叶期，每亩兑水20-30公斤，针对田间杂草植株茎叶均匀喷雾施药。2.每季作物最多使用一次。后茬作物安全间隔期90天。3.使用本品前后7天内，禁止使用有机磷杀虫剂，避免产生药害。4.禾本科作物如玉米、水稻、小麦等对本品敏感，施药时应避免药雾飘移到上述之上，以防产生药害。</w:t>
            </w:r>
          </w:p>
        </w:tc>
      </w:tr>
      <w:tr w14:paraId="6C09A9C6">
        <w:tblPrEx>
          <w:tblCellMar>
            <w:top w:w="0" w:type="dxa"/>
            <w:left w:w="0" w:type="dxa"/>
            <w:bottom w:w="0" w:type="dxa"/>
            <w:right w:w="0" w:type="dxa"/>
          </w:tblCellMar>
        </w:tblPrEx>
        <w:trPr>
          <w:wBefore w:w="0" w:type="auto"/>
          <w:tblCellSpacing w:w="0" w:type="dxa"/>
        </w:trPr>
        <w:tc>
          <w:tcPr>
            <w:tcW w:w="0" w:type="auto"/>
            <w:noWrap w:val="0"/>
            <w:vAlign w:val="center"/>
          </w:tcPr>
          <w:p w14:paraId="55C04B56">
            <w:r>
              <w:rPr>
                <w:rStyle w:val="10"/>
                <w:rFonts w:hint="eastAsia"/>
              </w:rPr>
              <w:t>产品性能:</w:t>
            </w:r>
            <w:r>
              <w:rPr>
                <w:rFonts w:hint="eastAsia"/>
              </w:rPr>
              <w:br w:type="textWrapping"/>
            </w:r>
            <w:r>
              <w:rPr>
                <w:rStyle w:val="11"/>
                <w:rFonts w:hint="eastAsia"/>
              </w:rPr>
              <w:t>本品是可流动、易测量体积的悬浮液体，可有效防除马铃薯田一年生杂草。</w:t>
            </w:r>
          </w:p>
        </w:tc>
      </w:tr>
      <w:tr w14:paraId="6FA9CCCC">
        <w:tblPrEx>
          <w:tblCellMar>
            <w:top w:w="0" w:type="dxa"/>
            <w:left w:w="0" w:type="dxa"/>
            <w:bottom w:w="0" w:type="dxa"/>
            <w:right w:w="0" w:type="dxa"/>
          </w:tblCellMar>
        </w:tblPrEx>
        <w:trPr>
          <w:wBefore w:w="0" w:type="auto"/>
          <w:tblCellSpacing w:w="0" w:type="dxa"/>
        </w:trPr>
        <w:tc>
          <w:tcPr>
            <w:tcW w:w="0" w:type="auto"/>
            <w:noWrap w:val="0"/>
            <w:vAlign w:val="center"/>
          </w:tcPr>
          <w:p w14:paraId="40123DA1">
            <w:r>
              <w:rPr>
                <w:rStyle w:val="10"/>
                <w:rFonts w:hint="eastAsia"/>
              </w:rPr>
              <w:t>注意事项：</w:t>
            </w:r>
            <w:r>
              <w:rPr>
                <w:rFonts w:hint="eastAsia"/>
              </w:rPr>
              <w:br w:type="textWrapping"/>
            </w:r>
            <w:r>
              <w:rPr>
                <w:rStyle w:val="11"/>
                <w:rFonts w:hint="eastAsia"/>
              </w:rPr>
              <w:t>1.使用本品时应穿防护服、戴口罩、手套等防护用具，避免吸入药液；施药期间不可吃东西、喝水、吸烟等。施药后应及时洗手、洗脸等。2.远离水产养殖区、河塘等水域施药。禁止在河塘等水域内清洗施药器具或将清洗施药器具的废水倒入河流、池塘等水源。3.孕妇及哺乳期妇女避免接触本品。4.废弃物应妥善处理，不可做他用，也不可随意丢弃。</w:t>
            </w:r>
          </w:p>
        </w:tc>
      </w:tr>
      <w:tr w14:paraId="002A6C8E">
        <w:tblPrEx>
          <w:tblCellMar>
            <w:top w:w="0" w:type="dxa"/>
            <w:left w:w="0" w:type="dxa"/>
            <w:bottom w:w="0" w:type="dxa"/>
            <w:right w:w="0" w:type="dxa"/>
          </w:tblCellMar>
        </w:tblPrEx>
        <w:trPr>
          <w:wBefore w:w="0" w:type="auto"/>
          <w:tblCellSpacing w:w="0" w:type="dxa"/>
        </w:trPr>
        <w:tc>
          <w:tcPr>
            <w:tcW w:w="0" w:type="auto"/>
            <w:noWrap w:val="0"/>
            <w:vAlign w:val="center"/>
          </w:tcPr>
          <w:p w14:paraId="31BD41E7">
            <w:r>
              <w:rPr>
                <w:rStyle w:val="10"/>
                <w:rFonts w:hint="eastAsia"/>
              </w:rPr>
              <w:t>中毒急救措施：</w:t>
            </w:r>
            <w:r>
              <w:rPr>
                <w:rFonts w:hint="eastAsia"/>
              </w:rPr>
              <w:br w:type="textWrapping"/>
            </w:r>
            <w:r>
              <w:rPr>
                <w:rStyle w:val="11"/>
                <w:rFonts w:hint="eastAsia"/>
              </w:rPr>
              <w:t>本品对眼睛、皮肤和粘膜有刺激作用。如不慎吸入，将病人移至空气流通处；不慎接触皮肤，用大量清水和肥皂冲洗干净；若溅入眼睛，用大量清水冲洗至少15分钟，仍有不适，就医 ；如误服，立即带标签送医院，对症治疗。无特效解毒剂。</w:t>
            </w:r>
          </w:p>
        </w:tc>
      </w:tr>
      <w:tr w14:paraId="160E852A">
        <w:tblPrEx>
          <w:tblCellMar>
            <w:top w:w="0" w:type="dxa"/>
            <w:left w:w="0" w:type="dxa"/>
            <w:bottom w:w="0" w:type="dxa"/>
            <w:right w:w="0" w:type="dxa"/>
          </w:tblCellMar>
        </w:tblPrEx>
        <w:trPr>
          <w:wBefore w:w="0" w:type="auto"/>
          <w:tblCellSpacing w:w="0" w:type="dxa"/>
        </w:trPr>
        <w:tc>
          <w:tcPr>
            <w:tcW w:w="0" w:type="auto"/>
            <w:noWrap w:val="0"/>
            <w:vAlign w:val="center"/>
          </w:tcPr>
          <w:p w14:paraId="53F83167">
            <w:r>
              <w:rPr>
                <w:rStyle w:val="10"/>
                <w:rFonts w:hint="eastAsia"/>
              </w:rPr>
              <w:t>储存和运输方法：</w:t>
            </w:r>
            <w:r>
              <w:rPr>
                <w:rFonts w:hint="eastAsia"/>
              </w:rPr>
              <w:br w:type="textWrapping"/>
            </w:r>
            <w:r>
              <w:rPr>
                <w:rStyle w:val="11"/>
                <w:rFonts w:hint="eastAsia"/>
              </w:rPr>
              <w:t>本品应贮存于阴凉、干燥、通风、防雨处。远离火源和热源，置于儿童及无关人员接触不到之处，并加锁。不能与食品、饮料、粮食、饲料等同贮同运。</w:t>
            </w:r>
          </w:p>
        </w:tc>
      </w:tr>
      <w:tr w14:paraId="37431E2D">
        <w:tblPrEx>
          <w:tblCellMar>
            <w:top w:w="0" w:type="dxa"/>
            <w:left w:w="0" w:type="dxa"/>
            <w:bottom w:w="0" w:type="dxa"/>
            <w:right w:w="0" w:type="dxa"/>
          </w:tblCellMar>
        </w:tblPrEx>
        <w:trPr>
          <w:wBefore w:w="0" w:type="auto"/>
          <w:tblCellSpacing w:w="0" w:type="dxa"/>
        </w:trPr>
        <w:tc>
          <w:tcPr>
            <w:tcW w:w="0" w:type="auto"/>
            <w:noWrap w:val="0"/>
            <w:vAlign w:val="center"/>
          </w:tcPr>
          <w:p w14:paraId="135F78DE">
            <w:r>
              <w:rPr>
                <w:rStyle w:val="10"/>
                <w:rFonts w:hint="eastAsia"/>
              </w:rPr>
              <w:t>质量保证期：</w:t>
            </w:r>
            <w:r>
              <w:rPr>
                <w:rStyle w:val="11"/>
                <w:rFonts w:hint="eastAsia"/>
              </w:rPr>
              <w:t>2年</w:t>
            </w:r>
          </w:p>
        </w:tc>
      </w:tr>
      <w:tr w14:paraId="636F7886">
        <w:tblPrEx>
          <w:tblCellMar>
            <w:top w:w="0" w:type="dxa"/>
            <w:left w:w="0" w:type="dxa"/>
            <w:bottom w:w="0" w:type="dxa"/>
            <w:right w:w="0" w:type="dxa"/>
          </w:tblCellMar>
        </w:tblPrEx>
        <w:trPr>
          <w:wBefore w:w="0" w:type="auto"/>
          <w:tblCellSpacing w:w="0" w:type="dxa"/>
        </w:trPr>
        <w:tc>
          <w:tcPr>
            <w:tcW w:w="0" w:type="auto"/>
            <w:noWrap w:val="0"/>
            <w:vAlign w:val="center"/>
          </w:tcPr>
          <w:p w14:paraId="7937B3CF">
            <w:r>
              <w:rPr>
                <w:rStyle w:val="10"/>
                <w:rFonts w:hint="eastAsia"/>
              </w:rPr>
              <w:t>备注：</w:t>
            </w:r>
          </w:p>
        </w:tc>
      </w:tr>
    </w:tbl>
    <w:p w14:paraId="326E1CC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B916236">
        <w:tblPrEx>
          <w:tblCellMar>
            <w:top w:w="0" w:type="dxa"/>
            <w:left w:w="0" w:type="dxa"/>
            <w:bottom w:w="0" w:type="dxa"/>
            <w:right w:w="0" w:type="dxa"/>
          </w:tblCellMar>
        </w:tblPrEx>
        <w:trPr>
          <w:wBefore w:w="0" w:type="auto"/>
          <w:tblCellSpacing w:w="0" w:type="dxa"/>
        </w:trPr>
        <w:tc>
          <w:tcPr>
            <w:tcW w:w="0" w:type="auto"/>
            <w:noWrap w:val="0"/>
            <w:vAlign w:val="center"/>
          </w:tcPr>
          <w:p w14:paraId="60F52DDA">
            <w:r>
              <w:rPr>
                <w:rStyle w:val="10"/>
                <w:rFonts w:hint="eastAsia"/>
              </w:rPr>
              <w:t>登记证号：</w:t>
            </w:r>
            <w:r>
              <w:rPr>
                <w:rFonts w:hint="eastAsia"/>
              </w:rPr>
              <w:t>PD20212099</w:t>
            </w:r>
          </w:p>
        </w:tc>
      </w:tr>
      <w:tr w14:paraId="63DECF86">
        <w:tblPrEx>
          <w:tblCellMar>
            <w:top w:w="0" w:type="dxa"/>
            <w:left w:w="0" w:type="dxa"/>
            <w:bottom w:w="0" w:type="dxa"/>
            <w:right w:w="0" w:type="dxa"/>
          </w:tblCellMar>
        </w:tblPrEx>
        <w:trPr>
          <w:wBefore w:w="0" w:type="auto"/>
          <w:tblCellSpacing w:w="0" w:type="dxa"/>
        </w:trPr>
        <w:tc>
          <w:tcPr>
            <w:tcW w:w="0" w:type="auto"/>
            <w:noWrap w:val="0"/>
            <w:vAlign w:val="center"/>
          </w:tcPr>
          <w:p w14:paraId="321FDA09">
            <w:r>
              <w:rPr>
                <w:rStyle w:val="10"/>
                <w:rFonts w:hint="eastAsia"/>
              </w:rPr>
              <w:t>登记证持有人：</w:t>
            </w:r>
            <w:r>
              <w:rPr>
                <w:rFonts w:hint="eastAsia"/>
              </w:rPr>
              <w:t>兴农药业(中国)有限公司</w:t>
            </w:r>
          </w:p>
        </w:tc>
      </w:tr>
      <w:tr w14:paraId="49AD4A35">
        <w:tblPrEx>
          <w:tblCellMar>
            <w:top w:w="0" w:type="dxa"/>
            <w:left w:w="0" w:type="dxa"/>
            <w:bottom w:w="0" w:type="dxa"/>
            <w:right w:w="0" w:type="dxa"/>
          </w:tblCellMar>
        </w:tblPrEx>
        <w:trPr>
          <w:wBefore w:w="0" w:type="auto"/>
          <w:tblCellSpacing w:w="0" w:type="dxa"/>
        </w:trPr>
        <w:tc>
          <w:tcPr>
            <w:tcW w:w="0" w:type="auto"/>
            <w:noWrap w:val="0"/>
            <w:vAlign w:val="center"/>
          </w:tcPr>
          <w:p w14:paraId="453BF252">
            <w:r>
              <w:rPr>
                <w:rStyle w:val="10"/>
                <w:rFonts w:hint="eastAsia"/>
              </w:rPr>
              <w:t>农药名称：</w:t>
            </w:r>
            <w:r>
              <w:rPr>
                <w:rFonts w:hint="eastAsia"/>
              </w:rPr>
              <w:t>苄嘧·丙草胺</w:t>
            </w:r>
          </w:p>
        </w:tc>
      </w:tr>
      <w:tr w14:paraId="29186EF3">
        <w:tblPrEx>
          <w:tblCellMar>
            <w:top w:w="0" w:type="dxa"/>
            <w:left w:w="0" w:type="dxa"/>
            <w:bottom w:w="0" w:type="dxa"/>
            <w:right w:w="0" w:type="dxa"/>
          </w:tblCellMar>
        </w:tblPrEx>
        <w:trPr>
          <w:wBefore w:w="0" w:type="auto"/>
          <w:tblCellSpacing w:w="0" w:type="dxa"/>
        </w:trPr>
        <w:tc>
          <w:tcPr>
            <w:tcW w:w="0" w:type="auto"/>
            <w:noWrap w:val="0"/>
            <w:vAlign w:val="center"/>
          </w:tcPr>
          <w:p w14:paraId="062C04E2">
            <w:r>
              <w:rPr>
                <w:rStyle w:val="10"/>
                <w:rFonts w:hint="eastAsia"/>
              </w:rPr>
              <w:t>剂型：</w:t>
            </w:r>
            <w:r>
              <w:rPr>
                <w:rFonts w:hint="eastAsia"/>
              </w:rPr>
              <w:t>可分散油悬浮剂</w:t>
            </w:r>
          </w:p>
        </w:tc>
      </w:tr>
      <w:tr w14:paraId="44F009EA">
        <w:tblPrEx>
          <w:tblCellMar>
            <w:top w:w="0" w:type="dxa"/>
            <w:left w:w="0" w:type="dxa"/>
            <w:bottom w:w="0" w:type="dxa"/>
            <w:right w:w="0" w:type="dxa"/>
          </w:tblCellMar>
        </w:tblPrEx>
        <w:trPr>
          <w:wBefore w:w="0" w:type="auto"/>
          <w:tblCellSpacing w:w="0" w:type="dxa"/>
        </w:trPr>
        <w:tc>
          <w:tcPr>
            <w:tcW w:w="0" w:type="auto"/>
            <w:noWrap w:val="0"/>
            <w:vAlign w:val="center"/>
          </w:tcPr>
          <w:p w14:paraId="46E53B73">
            <w:r>
              <w:rPr>
                <w:rStyle w:val="10"/>
                <w:rFonts w:hint="eastAsia"/>
              </w:rPr>
              <w:t>毒性及其标识：</w:t>
            </w:r>
            <w:r>
              <w:rPr>
                <w:rFonts w:hint="eastAsia"/>
              </w:rPr>
              <w:t xml:space="preserve"> </w:t>
            </w:r>
            <w:r>
              <w:rPr>
                <w:lang/>
              </w:rPr>
              <w:drawing>
                <wp:inline distT="0" distB="0" distL="114300" distR="114300">
                  <wp:extent cx="476250" cy="323850"/>
                  <wp:effectExtent l="0" t="0" r="0" b="0"/>
                  <wp:docPr id="605" name="图片 60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15A49B5">
        <w:tblPrEx>
          <w:tblCellMar>
            <w:top w:w="0" w:type="dxa"/>
            <w:left w:w="0" w:type="dxa"/>
            <w:bottom w:w="0" w:type="dxa"/>
            <w:right w:w="0" w:type="dxa"/>
          </w:tblCellMar>
        </w:tblPrEx>
        <w:trPr>
          <w:wBefore w:w="0" w:type="auto"/>
          <w:tblCellSpacing w:w="0" w:type="dxa"/>
        </w:trPr>
        <w:tc>
          <w:tcPr>
            <w:tcW w:w="0" w:type="auto"/>
            <w:noWrap w:val="0"/>
            <w:vAlign w:val="center"/>
          </w:tcPr>
          <w:p w14:paraId="3CD8CA50">
            <w:r>
              <w:rPr>
                <w:rStyle w:val="10"/>
                <w:rFonts w:hint="eastAsia"/>
              </w:rPr>
              <w:t>总有效成分含量：</w:t>
            </w:r>
            <w:r>
              <w:rPr>
                <w:rFonts w:hint="eastAsia"/>
              </w:rPr>
              <w:t>40%</w:t>
            </w:r>
          </w:p>
        </w:tc>
      </w:tr>
      <w:tr w14:paraId="00EE8C26">
        <w:tblPrEx>
          <w:tblCellMar>
            <w:top w:w="0" w:type="dxa"/>
            <w:left w:w="0" w:type="dxa"/>
            <w:bottom w:w="0" w:type="dxa"/>
            <w:right w:w="0" w:type="dxa"/>
          </w:tblCellMar>
        </w:tblPrEx>
        <w:trPr>
          <w:wBefore w:w="0" w:type="auto"/>
          <w:tblCellSpacing w:w="0" w:type="dxa"/>
        </w:trPr>
        <w:tc>
          <w:tcPr>
            <w:tcW w:w="0" w:type="auto"/>
            <w:noWrap w:val="0"/>
            <w:vAlign w:val="center"/>
          </w:tcPr>
          <w:p w14:paraId="5E86DD63">
            <w:r>
              <w:rPr>
                <w:rFonts w:hint="eastAsia"/>
              </w:rPr>
              <w:t xml:space="preserve">有效成分及其含量： </w:t>
            </w:r>
          </w:p>
          <w:p w14:paraId="5FA3CAA5">
            <w:r>
              <w:rPr>
                <w:rFonts w:hint="eastAsia"/>
              </w:rPr>
              <w:t xml:space="preserve">    苄嘧磺隆4%    丙草胺36%    </w:t>
            </w:r>
          </w:p>
        </w:tc>
      </w:tr>
      <w:tr w14:paraId="55E3A44B">
        <w:tblPrEx>
          <w:tblCellMar>
            <w:top w:w="0" w:type="dxa"/>
            <w:left w:w="0" w:type="dxa"/>
            <w:bottom w:w="0" w:type="dxa"/>
            <w:right w:w="0" w:type="dxa"/>
          </w:tblCellMar>
        </w:tblPrEx>
        <w:trPr>
          <w:wBefore w:w="0" w:type="auto"/>
          <w:tblCellSpacing w:w="0" w:type="dxa"/>
        </w:trPr>
        <w:tc>
          <w:tcPr>
            <w:tcW w:w="0" w:type="auto"/>
            <w:noWrap w:val="0"/>
            <w:vAlign w:val="center"/>
          </w:tcPr>
          <w:p w14:paraId="193BA70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147B9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0076C7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A0C3A6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1D644A2">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A7EAEA6">
                  <w:r>
                    <w:rPr>
                      <w:rStyle w:val="11"/>
                      <w:rFonts w:hint="eastAsia"/>
                    </w:rPr>
                    <w:t>施用方式</w:t>
                  </w:r>
                </w:p>
              </w:tc>
            </w:tr>
            <w:tr w14:paraId="784B2E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E1570A">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F4B79E">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732C34F">
                  <w:r>
                    <w:rPr>
                      <w:rStyle w:val="11"/>
                      <w:rFonts w:hint="eastAsia"/>
                    </w:rPr>
                    <w:t>55-75毫升/亩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7EC896">
                  <w:r>
                    <w:rPr>
                      <w:rStyle w:val="11"/>
                      <w:rFonts w:hint="eastAsia"/>
                    </w:rPr>
                    <w:t>土壤喷雾</w:t>
                  </w:r>
                </w:p>
              </w:tc>
            </w:tr>
          </w:tbl>
          <w:p w14:paraId="0AD8EBAA">
            <w:pPr>
              <w:rPr>
                <w:rFonts w:ascii="Times New Roman" w:hAnsi="Times New Roman" w:cs="Times New Roman"/>
                <w:sz w:val="20"/>
                <w:szCs w:val="20"/>
              </w:rPr>
            </w:pPr>
          </w:p>
        </w:tc>
      </w:tr>
      <w:tr w14:paraId="1BD4EFD5">
        <w:tblPrEx>
          <w:tblCellMar>
            <w:top w:w="0" w:type="dxa"/>
            <w:left w:w="0" w:type="dxa"/>
            <w:bottom w:w="0" w:type="dxa"/>
            <w:right w:w="0" w:type="dxa"/>
          </w:tblCellMar>
        </w:tblPrEx>
        <w:trPr>
          <w:wBefore w:w="0" w:type="auto"/>
          <w:tblCellSpacing w:w="0" w:type="dxa"/>
        </w:trPr>
        <w:tc>
          <w:tcPr>
            <w:tcW w:w="0" w:type="auto"/>
            <w:noWrap w:val="0"/>
            <w:vAlign w:val="center"/>
          </w:tcPr>
          <w:p w14:paraId="77BD6651">
            <w:r>
              <w:rPr>
                <w:rStyle w:val="10"/>
                <w:rFonts w:hint="eastAsia"/>
              </w:rPr>
              <w:t>使用技术要求:</w:t>
            </w:r>
            <w:r>
              <w:rPr>
                <w:rFonts w:hint="eastAsia"/>
              </w:rPr>
              <w:br w:type="textWrapping"/>
            </w:r>
            <w:r>
              <w:rPr>
                <w:rStyle w:val="11"/>
                <w:rFonts w:hint="eastAsia"/>
              </w:rPr>
              <w:t>1. 水稻播种前应进行催芽，在直播稻播后苗前土壤喷雾施药一次，药后一周保持田间湿润。 2. 大风天或预计1小时内降雨，请勿施药。 3. 每季最多使用1次。</w:t>
            </w:r>
          </w:p>
        </w:tc>
      </w:tr>
      <w:tr w14:paraId="007C0D40">
        <w:tblPrEx>
          <w:tblCellMar>
            <w:top w:w="0" w:type="dxa"/>
            <w:left w:w="0" w:type="dxa"/>
            <w:bottom w:w="0" w:type="dxa"/>
            <w:right w:w="0" w:type="dxa"/>
          </w:tblCellMar>
        </w:tblPrEx>
        <w:trPr>
          <w:wBefore w:w="0" w:type="auto"/>
          <w:tblCellSpacing w:w="0" w:type="dxa"/>
        </w:trPr>
        <w:tc>
          <w:tcPr>
            <w:tcW w:w="0" w:type="auto"/>
            <w:noWrap w:val="0"/>
            <w:vAlign w:val="center"/>
          </w:tcPr>
          <w:p w14:paraId="0785E992">
            <w:r>
              <w:rPr>
                <w:rStyle w:val="10"/>
                <w:rFonts w:hint="eastAsia"/>
              </w:rPr>
              <w:t>产品性能:</w:t>
            </w:r>
            <w:r>
              <w:rPr>
                <w:rFonts w:hint="eastAsia"/>
              </w:rPr>
              <w:br w:type="textWrapping"/>
            </w:r>
            <w:r>
              <w:rPr>
                <w:rStyle w:val="11"/>
                <w:rFonts w:hint="eastAsia"/>
              </w:rPr>
              <w:t>本品是酰胺类选择性萌前处理剂，含安全剂解草啶，杂草可通过植物下胚轴，中胚轴和胚芽吸收，根部略有吸收，直接干扰杂草体内蛋白质合成，并对光合及呼吸作用有间接影响。受害杂草幼苗扭曲，初生叶难伸出，叶色变深绿，生长停止，直至死亡。可用于防除直播水稻田一年生杂草。</w:t>
            </w:r>
          </w:p>
        </w:tc>
      </w:tr>
      <w:tr w14:paraId="3106DE67">
        <w:tblPrEx>
          <w:tblCellMar>
            <w:top w:w="0" w:type="dxa"/>
            <w:left w:w="0" w:type="dxa"/>
            <w:bottom w:w="0" w:type="dxa"/>
            <w:right w:w="0" w:type="dxa"/>
          </w:tblCellMar>
        </w:tblPrEx>
        <w:trPr>
          <w:wBefore w:w="0" w:type="auto"/>
          <w:tblCellSpacing w:w="0" w:type="dxa"/>
        </w:trPr>
        <w:tc>
          <w:tcPr>
            <w:tcW w:w="0" w:type="auto"/>
            <w:noWrap w:val="0"/>
            <w:vAlign w:val="center"/>
          </w:tcPr>
          <w:p w14:paraId="2B82D6A3">
            <w:r>
              <w:rPr>
                <w:rStyle w:val="10"/>
                <w:rFonts w:hint="eastAsia"/>
              </w:rPr>
              <w:t>注意事项：</w:t>
            </w:r>
            <w:r>
              <w:rPr>
                <w:rFonts w:hint="eastAsia"/>
              </w:rPr>
              <w:br w:type="textWrapping"/>
            </w:r>
            <w:r>
              <w:rPr>
                <w:rStyle w:val="11"/>
                <w:rFonts w:hint="eastAsia"/>
              </w:rPr>
              <w:t>1. 本品对对眼睛和皮肤有刺激性，使用时避免接触，穿戴长衣、长裤、帽子、口罩、手套等安全防护措施。避免皮肤接触及口鼻吸入。使用中不可吸烟、饮水及吃东西，使用后及时清洗手、脸等暴露部位皮肤并更换衣物。 2. 本品不可与碱性农药等物质混用，建议与其他作用机制不同的除草剂轮换使用，以延缓抗性的产生。 3. 蚕室及桑园附近禁用。远离水产养殖区、河塘等水体施药；禁止在河塘等水体中清洗施药器具。药液及其废液不得污染各类水域、土壤等环境。鱼或虾蟹套养稻田禁用；施药后的田水不得直接排入水体。4. 用过的容器和废弃包装应妥善处理，不可随意丢弃或做他用。5. 孕妇及哺乳期妇女禁止接触。</w:t>
            </w:r>
          </w:p>
        </w:tc>
      </w:tr>
      <w:tr w14:paraId="61BF832A">
        <w:tblPrEx>
          <w:tblCellMar>
            <w:top w:w="0" w:type="dxa"/>
            <w:left w:w="0" w:type="dxa"/>
            <w:bottom w:w="0" w:type="dxa"/>
            <w:right w:w="0" w:type="dxa"/>
          </w:tblCellMar>
        </w:tblPrEx>
        <w:trPr>
          <w:wBefore w:w="0" w:type="auto"/>
          <w:tblCellSpacing w:w="0" w:type="dxa"/>
        </w:trPr>
        <w:tc>
          <w:tcPr>
            <w:tcW w:w="0" w:type="auto"/>
            <w:noWrap w:val="0"/>
            <w:vAlign w:val="center"/>
          </w:tcPr>
          <w:p w14:paraId="39B34A13">
            <w:r>
              <w:rPr>
                <w:rStyle w:val="10"/>
                <w:rFonts w:hint="eastAsia"/>
              </w:rPr>
              <w:t>中毒急救措施：</w:t>
            </w:r>
            <w:r>
              <w:rPr>
                <w:rFonts w:hint="eastAsia"/>
              </w:rPr>
              <w:br w:type="textWrapping"/>
            </w:r>
            <w:r>
              <w:rPr>
                <w:rStyle w:val="11"/>
                <w:rFonts w:hint="eastAsia"/>
              </w:rPr>
              <w:t>1.对眼睛和皮肤有轻度刺激，应注意对眼睛和皮肤的防护。2.如有药液溅到皮肤或眼睛上，应立即用流动清水冲洗至少15分钟，严重者请及时就医。若误服，请勿引吐，立即携标签请医生诊治。不慎吸入，立即将吸入者转移到空气流通处，严重者携标签就医。3.本品无特殊解毒剂，对症治疗。</w:t>
            </w:r>
          </w:p>
        </w:tc>
      </w:tr>
      <w:tr w14:paraId="72A80A68">
        <w:tblPrEx>
          <w:tblCellMar>
            <w:top w:w="0" w:type="dxa"/>
            <w:left w:w="0" w:type="dxa"/>
            <w:bottom w:w="0" w:type="dxa"/>
            <w:right w:w="0" w:type="dxa"/>
          </w:tblCellMar>
        </w:tblPrEx>
        <w:trPr>
          <w:wBefore w:w="0" w:type="auto"/>
          <w:tblCellSpacing w:w="0" w:type="dxa"/>
        </w:trPr>
        <w:tc>
          <w:tcPr>
            <w:tcW w:w="0" w:type="auto"/>
            <w:noWrap w:val="0"/>
            <w:vAlign w:val="center"/>
          </w:tcPr>
          <w:p w14:paraId="223371C9">
            <w:r>
              <w:rPr>
                <w:rStyle w:val="10"/>
                <w:rFonts w:hint="eastAsia"/>
              </w:rPr>
              <w:t>储存和运输方法：</w:t>
            </w:r>
            <w:r>
              <w:rPr>
                <w:rFonts w:hint="eastAsia"/>
              </w:rPr>
              <w:br w:type="textWrapping"/>
            </w:r>
            <w:r>
              <w:rPr>
                <w:rStyle w:val="11"/>
                <w:rFonts w:hint="eastAsia"/>
              </w:rPr>
              <w:t>1.本剂应贮藏于阴凉干燥、通风及儿童、无关人员不易接触之处，并加锁。远离火源或热源。2.勿与食品、饮料、饲料、粮食、种子等同贮同运。</w:t>
            </w:r>
          </w:p>
        </w:tc>
      </w:tr>
      <w:tr w14:paraId="70DAD3A7">
        <w:tblPrEx>
          <w:tblCellMar>
            <w:top w:w="0" w:type="dxa"/>
            <w:left w:w="0" w:type="dxa"/>
            <w:bottom w:w="0" w:type="dxa"/>
            <w:right w:w="0" w:type="dxa"/>
          </w:tblCellMar>
        </w:tblPrEx>
        <w:trPr>
          <w:wBefore w:w="0" w:type="auto"/>
          <w:tblCellSpacing w:w="0" w:type="dxa"/>
        </w:trPr>
        <w:tc>
          <w:tcPr>
            <w:tcW w:w="0" w:type="auto"/>
            <w:noWrap w:val="0"/>
            <w:vAlign w:val="center"/>
          </w:tcPr>
          <w:p w14:paraId="7F621ED2">
            <w:r>
              <w:rPr>
                <w:rStyle w:val="10"/>
                <w:rFonts w:hint="eastAsia"/>
              </w:rPr>
              <w:t>质量保证期：</w:t>
            </w:r>
            <w:r>
              <w:rPr>
                <w:rStyle w:val="11"/>
                <w:rFonts w:hint="eastAsia"/>
              </w:rPr>
              <w:t>2年</w:t>
            </w:r>
          </w:p>
        </w:tc>
      </w:tr>
      <w:tr w14:paraId="77DAB91C">
        <w:tblPrEx>
          <w:tblCellMar>
            <w:top w:w="0" w:type="dxa"/>
            <w:left w:w="0" w:type="dxa"/>
            <w:bottom w:w="0" w:type="dxa"/>
            <w:right w:w="0" w:type="dxa"/>
          </w:tblCellMar>
        </w:tblPrEx>
        <w:trPr>
          <w:wBefore w:w="0" w:type="auto"/>
          <w:tblCellSpacing w:w="0" w:type="dxa"/>
        </w:trPr>
        <w:tc>
          <w:tcPr>
            <w:tcW w:w="0" w:type="auto"/>
            <w:noWrap w:val="0"/>
            <w:vAlign w:val="center"/>
          </w:tcPr>
          <w:p w14:paraId="1428F77B">
            <w:r>
              <w:rPr>
                <w:rStyle w:val="10"/>
                <w:rFonts w:hint="eastAsia"/>
              </w:rPr>
              <w:t>备注：</w:t>
            </w:r>
          </w:p>
        </w:tc>
      </w:tr>
    </w:tbl>
    <w:p w14:paraId="0C3749B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DCB3CD0">
        <w:tblPrEx>
          <w:tblCellMar>
            <w:top w:w="0" w:type="dxa"/>
            <w:left w:w="0" w:type="dxa"/>
            <w:bottom w:w="0" w:type="dxa"/>
            <w:right w:w="0" w:type="dxa"/>
          </w:tblCellMar>
        </w:tblPrEx>
        <w:trPr>
          <w:wBefore w:w="0" w:type="auto"/>
          <w:tblCellSpacing w:w="0" w:type="dxa"/>
        </w:trPr>
        <w:tc>
          <w:tcPr>
            <w:tcW w:w="0" w:type="auto"/>
            <w:noWrap w:val="0"/>
            <w:vAlign w:val="center"/>
          </w:tcPr>
          <w:p w14:paraId="34BFE79A">
            <w:r>
              <w:rPr>
                <w:rStyle w:val="10"/>
                <w:rFonts w:hint="eastAsia"/>
              </w:rPr>
              <w:t>登记证号：</w:t>
            </w:r>
            <w:r>
              <w:rPr>
                <w:rFonts w:hint="eastAsia"/>
              </w:rPr>
              <w:t>PD20212138</w:t>
            </w:r>
          </w:p>
        </w:tc>
      </w:tr>
      <w:tr w14:paraId="507663F6">
        <w:tblPrEx>
          <w:tblCellMar>
            <w:top w:w="0" w:type="dxa"/>
            <w:left w:w="0" w:type="dxa"/>
            <w:bottom w:w="0" w:type="dxa"/>
            <w:right w:w="0" w:type="dxa"/>
          </w:tblCellMar>
        </w:tblPrEx>
        <w:trPr>
          <w:wBefore w:w="0" w:type="auto"/>
          <w:tblCellSpacing w:w="0" w:type="dxa"/>
        </w:trPr>
        <w:tc>
          <w:tcPr>
            <w:tcW w:w="0" w:type="auto"/>
            <w:noWrap w:val="0"/>
            <w:vAlign w:val="center"/>
          </w:tcPr>
          <w:p w14:paraId="25328CE6">
            <w:r>
              <w:rPr>
                <w:rStyle w:val="10"/>
                <w:rFonts w:hint="eastAsia"/>
              </w:rPr>
              <w:t>登记证持有人：</w:t>
            </w:r>
            <w:r>
              <w:rPr>
                <w:rFonts w:hint="eastAsia"/>
              </w:rPr>
              <w:t>齐齐哈尔华丰化工有限公司</w:t>
            </w:r>
          </w:p>
        </w:tc>
      </w:tr>
      <w:tr w14:paraId="36F53A2B">
        <w:tblPrEx>
          <w:tblCellMar>
            <w:top w:w="0" w:type="dxa"/>
            <w:left w:w="0" w:type="dxa"/>
            <w:bottom w:w="0" w:type="dxa"/>
            <w:right w:w="0" w:type="dxa"/>
          </w:tblCellMar>
        </w:tblPrEx>
        <w:trPr>
          <w:wBefore w:w="0" w:type="auto"/>
          <w:tblCellSpacing w:w="0" w:type="dxa"/>
        </w:trPr>
        <w:tc>
          <w:tcPr>
            <w:tcW w:w="0" w:type="auto"/>
            <w:noWrap w:val="0"/>
            <w:vAlign w:val="center"/>
          </w:tcPr>
          <w:p w14:paraId="359DCCC0">
            <w:r>
              <w:rPr>
                <w:rStyle w:val="10"/>
                <w:rFonts w:hint="eastAsia"/>
              </w:rPr>
              <w:t>农药名称：</w:t>
            </w:r>
            <w:r>
              <w:rPr>
                <w:rFonts w:hint="eastAsia"/>
              </w:rPr>
              <w:t>丙炔氟·乙草胺乳油</w:t>
            </w:r>
          </w:p>
        </w:tc>
      </w:tr>
      <w:tr w14:paraId="702E8CEF">
        <w:tblPrEx>
          <w:tblCellMar>
            <w:top w:w="0" w:type="dxa"/>
            <w:left w:w="0" w:type="dxa"/>
            <w:bottom w:w="0" w:type="dxa"/>
            <w:right w:w="0" w:type="dxa"/>
          </w:tblCellMar>
        </w:tblPrEx>
        <w:trPr>
          <w:wBefore w:w="0" w:type="auto"/>
          <w:tblCellSpacing w:w="0" w:type="dxa"/>
        </w:trPr>
        <w:tc>
          <w:tcPr>
            <w:tcW w:w="0" w:type="auto"/>
            <w:noWrap w:val="0"/>
            <w:vAlign w:val="center"/>
          </w:tcPr>
          <w:p w14:paraId="008B3B21">
            <w:r>
              <w:rPr>
                <w:rStyle w:val="10"/>
                <w:rFonts w:hint="eastAsia"/>
              </w:rPr>
              <w:t>剂型：</w:t>
            </w:r>
            <w:r>
              <w:rPr>
                <w:rFonts w:hint="eastAsia"/>
              </w:rPr>
              <w:t>乳油</w:t>
            </w:r>
          </w:p>
        </w:tc>
      </w:tr>
      <w:tr w14:paraId="4065B90D">
        <w:tblPrEx>
          <w:tblCellMar>
            <w:top w:w="0" w:type="dxa"/>
            <w:left w:w="0" w:type="dxa"/>
            <w:bottom w:w="0" w:type="dxa"/>
            <w:right w:w="0" w:type="dxa"/>
          </w:tblCellMar>
        </w:tblPrEx>
        <w:trPr>
          <w:wBefore w:w="0" w:type="auto"/>
          <w:tblCellSpacing w:w="0" w:type="dxa"/>
        </w:trPr>
        <w:tc>
          <w:tcPr>
            <w:tcW w:w="0" w:type="auto"/>
            <w:noWrap w:val="0"/>
            <w:vAlign w:val="center"/>
          </w:tcPr>
          <w:p w14:paraId="760A309F">
            <w:r>
              <w:rPr>
                <w:rStyle w:val="10"/>
                <w:rFonts w:hint="eastAsia"/>
              </w:rPr>
              <w:t>毒性及其标识：</w:t>
            </w:r>
            <w:r>
              <w:rPr>
                <w:rFonts w:hint="eastAsia"/>
              </w:rPr>
              <w:t xml:space="preserve"> </w:t>
            </w:r>
            <w:r>
              <w:rPr>
                <w:lang/>
              </w:rPr>
              <w:drawing>
                <wp:inline distT="0" distB="0" distL="114300" distR="114300">
                  <wp:extent cx="476250" cy="323850"/>
                  <wp:effectExtent l="0" t="0" r="0" b="0"/>
                  <wp:docPr id="606" name="图片 60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ACB4905">
        <w:tblPrEx>
          <w:tblCellMar>
            <w:top w:w="0" w:type="dxa"/>
            <w:left w:w="0" w:type="dxa"/>
            <w:bottom w:w="0" w:type="dxa"/>
            <w:right w:w="0" w:type="dxa"/>
          </w:tblCellMar>
        </w:tblPrEx>
        <w:trPr>
          <w:wBefore w:w="0" w:type="auto"/>
          <w:tblCellSpacing w:w="0" w:type="dxa"/>
        </w:trPr>
        <w:tc>
          <w:tcPr>
            <w:tcW w:w="0" w:type="auto"/>
            <w:noWrap w:val="0"/>
            <w:vAlign w:val="center"/>
          </w:tcPr>
          <w:p w14:paraId="4D4D11BA">
            <w:r>
              <w:rPr>
                <w:rStyle w:val="10"/>
                <w:rFonts w:hint="eastAsia"/>
              </w:rPr>
              <w:t>总有效成分含量：</w:t>
            </w:r>
            <w:r>
              <w:rPr>
                <w:rFonts w:hint="eastAsia"/>
              </w:rPr>
              <w:t>73%</w:t>
            </w:r>
          </w:p>
        </w:tc>
      </w:tr>
      <w:tr w14:paraId="660371E8">
        <w:tblPrEx>
          <w:tblCellMar>
            <w:top w:w="0" w:type="dxa"/>
            <w:left w:w="0" w:type="dxa"/>
            <w:bottom w:w="0" w:type="dxa"/>
            <w:right w:w="0" w:type="dxa"/>
          </w:tblCellMar>
        </w:tblPrEx>
        <w:trPr>
          <w:wBefore w:w="0" w:type="auto"/>
          <w:tblCellSpacing w:w="0" w:type="dxa"/>
        </w:trPr>
        <w:tc>
          <w:tcPr>
            <w:tcW w:w="0" w:type="auto"/>
            <w:noWrap w:val="0"/>
            <w:vAlign w:val="center"/>
          </w:tcPr>
          <w:p w14:paraId="1510B744">
            <w:r>
              <w:rPr>
                <w:rFonts w:hint="eastAsia"/>
              </w:rPr>
              <w:t xml:space="preserve">有效成分及其含量： </w:t>
            </w:r>
          </w:p>
          <w:p w14:paraId="334E43B8">
            <w:r>
              <w:rPr>
                <w:rFonts w:hint="eastAsia"/>
              </w:rPr>
              <w:t xml:space="preserve">    丙炔氟草胺2.5%    乙草胺70.5%    </w:t>
            </w:r>
          </w:p>
        </w:tc>
      </w:tr>
      <w:tr w14:paraId="3DE67B6A">
        <w:tblPrEx>
          <w:tblCellMar>
            <w:top w:w="0" w:type="dxa"/>
            <w:left w:w="0" w:type="dxa"/>
            <w:bottom w:w="0" w:type="dxa"/>
            <w:right w:w="0" w:type="dxa"/>
          </w:tblCellMar>
        </w:tblPrEx>
        <w:trPr>
          <w:wBefore w:w="0" w:type="auto"/>
          <w:tblCellSpacing w:w="0" w:type="dxa"/>
        </w:trPr>
        <w:tc>
          <w:tcPr>
            <w:tcW w:w="0" w:type="auto"/>
            <w:noWrap w:val="0"/>
            <w:vAlign w:val="center"/>
          </w:tcPr>
          <w:p w14:paraId="617D0FE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043BE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DCD42F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1958B9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6AB33A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B74710">
                  <w:r>
                    <w:rPr>
                      <w:rStyle w:val="11"/>
                      <w:rFonts w:hint="eastAsia"/>
                    </w:rPr>
                    <w:t>施用方式</w:t>
                  </w:r>
                </w:p>
              </w:tc>
            </w:tr>
            <w:tr w14:paraId="191DB0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A06DA15">
                  <w:r>
                    <w:rPr>
                      <w:rStyle w:val="11"/>
                      <w:rFonts w:hint="eastAsia"/>
                    </w:rPr>
                    <w:t>春大豆田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1A631DE">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B95E5AE">
                  <w:r>
                    <w:rPr>
                      <w:rStyle w:val="11"/>
                      <w:rFonts w:hint="eastAsia"/>
                    </w:rPr>
                    <w:t>140-170毫升/亩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3616E9">
                  <w:r>
                    <w:rPr>
                      <w:rStyle w:val="11"/>
                      <w:rFonts w:hint="eastAsia"/>
                    </w:rPr>
                    <w:t>土壤喷雾</w:t>
                  </w:r>
                </w:p>
              </w:tc>
            </w:tr>
          </w:tbl>
          <w:p w14:paraId="566208D4">
            <w:pPr>
              <w:rPr>
                <w:rFonts w:ascii="Times New Roman" w:hAnsi="Times New Roman" w:cs="Times New Roman"/>
                <w:sz w:val="20"/>
                <w:szCs w:val="20"/>
              </w:rPr>
            </w:pPr>
          </w:p>
        </w:tc>
      </w:tr>
      <w:tr w14:paraId="349278BD">
        <w:tblPrEx>
          <w:tblCellMar>
            <w:top w:w="0" w:type="dxa"/>
            <w:left w:w="0" w:type="dxa"/>
            <w:bottom w:w="0" w:type="dxa"/>
            <w:right w:w="0" w:type="dxa"/>
          </w:tblCellMar>
        </w:tblPrEx>
        <w:trPr>
          <w:wBefore w:w="0" w:type="auto"/>
          <w:tblCellSpacing w:w="0" w:type="dxa"/>
        </w:trPr>
        <w:tc>
          <w:tcPr>
            <w:tcW w:w="0" w:type="auto"/>
            <w:noWrap w:val="0"/>
            <w:vAlign w:val="center"/>
          </w:tcPr>
          <w:p w14:paraId="615F972C">
            <w:r>
              <w:rPr>
                <w:rStyle w:val="10"/>
                <w:rFonts w:hint="eastAsia"/>
              </w:rPr>
              <w:t>使用技术要求:</w:t>
            </w:r>
            <w:r>
              <w:rPr>
                <w:rFonts w:hint="eastAsia"/>
              </w:rPr>
              <w:br w:type="textWrapping"/>
            </w:r>
            <w:r>
              <w:rPr>
                <w:rStyle w:val="11"/>
                <w:rFonts w:hint="eastAsia"/>
              </w:rPr>
              <w:t>1. 春大豆播种后出苗前，按亩用量兑水30-50升水，均匀土壤喷雾，可以有效防除一年生杂草。2. 土壤有机质过低或沙质土慎用。3. 施药时应周到、均匀，勿重喷或漏喷。4. 大风天或下雨前后，请勿施药。 5. 每季最多使用1次。</w:t>
            </w:r>
          </w:p>
        </w:tc>
      </w:tr>
      <w:tr w14:paraId="10C383A1">
        <w:tblPrEx>
          <w:tblCellMar>
            <w:top w:w="0" w:type="dxa"/>
            <w:left w:w="0" w:type="dxa"/>
            <w:bottom w:w="0" w:type="dxa"/>
            <w:right w:w="0" w:type="dxa"/>
          </w:tblCellMar>
        </w:tblPrEx>
        <w:trPr>
          <w:wBefore w:w="0" w:type="auto"/>
          <w:tblCellSpacing w:w="0" w:type="dxa"/>
        </w:trPr>
        <w:tc>
          <w:tcPr>
            <w:tcW w:w="0" w:type="auto"/>
            <w:noWrap w:val="0"/>
            <w:vAlign w:val="center"/>
          </w:tcPr>
          <w:p w14:paraId="3F1EF57C">
            <w:r>
              <w:rPr>
                <w:rStyle w:val="10"/>
                <w:rFonts w:hint="eastAsia"/>
              </w:rPr>
              <w:t>产品性能:</w:t>
            </w:r>
            <w:r>
              <w:rPr>
                <w:rFonts w:hint="eastAsia"/>
              </w:rPr>
              <w:br w:type="textWrapping"/>
            </w:r>
            <w:r>
              <w:rPr>
                <w:rStyle w:val="11"/>
                <w:rFonts w:hint="eastAsia"/>
              </w:rPr>
              <w:t>本品是由乙草胺和丙炔氟草胺复配的土壤封闭处理除草剂，具有持效期长，除草效果明显的特点，能有效防除大豆田一年生禾本科杂草和阔叶杂草。如稗草、狗尾草、野黍、马唐、牛筋草、野燕麦、藜、蓼、苋、龙葵、苘麻、铁苋菜、马齿苋、苍耳等一年生杂草。</w:t>
            </w:r>
          </w:p>
        </w:tc>
      </w:tr>
      <w:tr w14:paraId="463ADD9E">
        <w:tblPrEx>
          <w:tblCellMar>
            <w:top w:w="0" w:type="dxa"/>
            <w:left w:w="0" w:type="dxa"/>
            <w:bottom w:w="0" w:type="dxa"/>
            <w:right w:w="0" w:type="dxa"/>
          </w:tblCellMar>
        </w:tblPrEx>
        <w:trPr>
          <w:wBefore w:w="0" w:type="auto"/>
          <w:tblCellSpacing w:w="0" w:type="dxa"/>
        </w:trPr>
        <w:tc>
          <w:tcPr>
            <w:tcW w:w="0" w:type="auto"/>
            <w:noWrap w:val="0"/>
            <w:vAlign w:val="center"/>
          </w:tcPr>
          <w:p w14:paraId="429CC1FD">
            <w:r>
              <w:rPr>
                <w:rStyle w:val="10"/>
                <w:rFonts w:hint="eastAsia"/>
              </w:rPr>
              <w:t>注意事项：</w:t>
            </w:r>
            <w:r>
              <w:rPr>
                <w:rFonts w:hint="eastAsia"/>
              </w:rPr>
              <w:br w:type="textWrapping"/>
            </w:r>
            <w:r>
              <w:rPr>
                <w:rStyle w:val="11"/>
                <w:rFonts w:hint="eastAsia"/>
              </w:rPr>
              <w:t>1. 本品对眼睛有刺激性，使用时避免接触眼睛，穿戴长衣、长裤、帽子、口罩、手套等防护措施。2. 在专业植保人员的指导下施药，不能随意增加施药量、施药次数或缩短施药间隔。3. 农药施用人员在脱去防护手套和防护鞋前先用清水冲洗，避免其污染面在脱下时与皮肤接触，并且防护用品必须和其他衣物分开清洗和存放。4. 禁止在施药期间进食、饮水、吸烟。5. 鸟类保护区附近禁用；赤眼蜂等天敌放飞区域禁用。6. 地下水、饮用水水源地附近禁用。禁止在河塘等水域清洗施药器具，用过的容器或包装物应妥善处理，不可做他用，也不可随意丢弃。7. 禁止儿童、孕妇和哺乳期妇女接触。过敏者禁用，使用中有任何不良反应请及时就医。8. 避免与氧化剂接触。</w:t>
            </w:r>
          </w:p>
        </w:tc>
      </w:tr>
      <w:tr w14:paraId="79BF3391">
        <w:tblPrEx>
          <w:tblCellMar>
            <w:top w:w="0" w:type="dxa"/>
            <w:left w:w="0" w:type="dxa"/>
            <w:bottom w:w="0" w:type="dxa"/>
            <w:right w:w="0" w:type="dxa"/>
          </w:tblCellMar>
        </w:tblPrEx>
        <w:trPr>
          <w:wBefore w:w="0" w:type="auto"/>
          <w:tblCellSpacing w:w="0" w:type="dxa"/>
        </w:trPr>
        <w:tc>
          <w:tcPr>
            <w:tcW w:w="0" w:type="auto"/>
            <w:noWrap w:val="0"/>
            <w:vAlign w:val="center"/>
          </w:tcPr>
          <w:p w14:paraId="2BC54C28">
            <w:r>
              <w:rPr>
                <w:rStyle w:val="10"/>
                <w:rFonts w:hint="eastAsia"/>
              </w:rPr>
              <w:t>中毒急救措施：</w:t>
            </w:r>
            <w:r>
              <w:rPr>
                <w:rFonts w:hint="eastAsia"/>
              </w:rPr>
              <w:br w:type="textWrapping"/>
            </w:r>
            <w:r>
              <w:rPr>
                <w:rStyle w:val="11"/>
                <w:rFonts w:hint="eastAsia"/>
              </w:rPr>
              <w:t>1.皮肤接触：立即脱掉被污染的衣物，用肥皂和大量清水彻底清洗受污染的皮肤。2.眼睛溅药：立即将眼睑翻开，用清水冲洗至少15分钟。3.发生吸入：立即将吸入者转移到空气新鲜处。注意保暖和休息，请医生诊治。 4.误服：请勿引吐，立即携带标签，送医就诊。</w:t>
            </w:r>
          </w:p>
        </w:tc>
      </w:tr>
      <w:tr w14:paraId="60FD695D">
        <w:tblPrEx>
          <w:tblCellMar>
            <w:top w:w="0" w:type="dxa"/>
            <w:left w:w="0" w:type="dxa"/>
            <w:bottom w:w="0" w:type="dxa"/>
            <w:right w:w="0" w:type="dxa"/>
          </w:tblCellMar>
        </w:tblPrEx>
        <w:trPr>
          <w:wBefore w:w="0" w:type="auto"/>
          <w:tblCellSpacing w:w="0" w:type="dxa"/>
        </w:trPr>
        <w:tc>
          <w:tcPr>
            <w:tcW w:w="0" w:type="auto"/>
            <w:noWrap w:val="0"/>
            <w:vAlign w:val="center"/>
          </w:tcPr>
          <w:p w14:paraId="760529E2">
            <w:r>
              <w:rPr>
                <w:rStyle w:val="10"/>
                <w:rFonts w:hint="eastAsia"/>
              </w:rPr>
              <w:t>储存和运输方法：</w:t>
            </w:r>
            <w:r>
              <w:rPr>
                <w:rFonts w:hint="eastAsia"/>
              </w:rPr>
              <w:br w:type="textWrapping"/>
            </w:r>
            <w:r>
              <w:rPr>
                <w:rStyle w:val="11"/>
                <w:rFonts w:hint="eastAsia"/>
              </w:rPr>
              <w:t>1. 本品应贮存在干燥、阴凉、通风、防雨处，远离火源或热源。 2. 置于儿童、无关人员触及不到之处，并加锁。勿与食品、饮料、饲料、粮食等同贮同运。</w:t>
            </w:r>
          </w:p>
        </w:tc>
      </w:tr>
      <w:tr w14:paraId="4F508BD2">
        <w:tblPrEx>
          <w:tblCellMar>
            <w:top w:w="0" w:type="dxa"/>
            <w:left w:w="0" w:type="dxa"/>
            <w:bottom w:w="0" w:type="dxa"/>
            <w:right w:w="0" w:type="dxa"/>
          </w:tblCellMar>
        </w:tblPrEx>
        <w:trPr>
          <w:wBefore w:w="0" w:type="auto"/>
          <w:tblCellSpacing w:w="0" w:type="dxa"/>
        </w:trPr>
        <w:tc>
          <w:tcPr>
            <w:tcW w:w="0" w:type="auto"/>
            <w:noWrap w:val="0"/>
            <w:vAlign w:val="center"/>
          </w:tcPr>
          <w:p w14:paraId="1FDC1862">
            <w:r>
              <w:rPr>
                <w:rStyle w:val="10"/>
                <w:rFonts w:hint="eastAsia"/>
              </w:rPr>
              <w:t>质量保证期：</w:t>
            </w:r>
            <w:r>
              <w:rPr>
                <w:rStyle w:val="11"/>
                <w:rFonts w:hint="eastAsia"/>
              </w:rPr>
              <w:t>2年</w:t>
            </w:r>
          </w:p>
        </w:tc>
      </w:tr>
      <w:tr w14:paraId="0EC59049">
        <w:tblPrEx>
          <w:tblCellMar>
            <w:top w:w="0" w:type="dxa"/>
            <w:left w:w="0" w:type="dxa"/>
            <w:bottom w:w="0" w:type="dxa"/>
            <w:right w:w="0" w:type="dxa"/>
          </w:tblCellMar>
        </w:tblPrEx>
        <w:trPr>
          <w:wBefore w:w="0" w:type="auto"/>
          <w:tblCellSpacing w:w="0" w:type="dxa"/>
        </w:trPr>
        <w:tc>
          <w:tcPr>
            <w:tcW w:w="0" w:type="auto"/>
            <w:noWrap w:val="0"/>
            <w:vAlign w:val="center"/>
          </w:tcPr>
          <w:p w14:paraId="734A5E93">
            <w:r>
              <w:rPr>
                <w:rStyle w:val="10"/>
                <w:rFonts w:hint="eastAsia"/>
              </w:rPr>
              <w:t>备注：</w:t>
            </w:r>
          </w:p>
        </w:tc>
      </w:tr>
    </w:tbl>
    <w:p w14:paraId="25D0591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83D0F1A">
        <w:tblPrEx>
          <w:tblCellMar>
            <w:top w:w="0" w:type="dxa"/>
            <w:left w:w="0" w:type="dxa"/>
            <w:bottom w:w="0" w:type="dxa"/>
            <w:right w:w="0" w:type="dxa"/>
          </w:tblCellMar>
        </w:tblPrEx>
        <w:trPr>
          <w:wBefore w:w="0" w:type="auto"/>
          <w:tblCellSpacing w:w="0" w:type="dxa"/>
        </w:trPr>
        <w:tc>
          <w:tcPr>
            <w:tcW w:w="0" w:type="auto"/>
            <w:noWrap w:val="0"/>
            <w:vAlign w:val="center"/>
          </w:tcPr>
          <w:p w14:paraId="44651D2F">
            <w:r>
              <w:rPr>
                <w:rStyle w:val="10"/>
                <w:rFonts w:hint="eastAsia"/>
              </w:rPr>
              <w:t>登记证号：</w:t>
            </w:r>
            <w:r>
              <w:rPr>
                <w:rFonts w:hint="eastAsia"/>
              </w:rPr>
              <w:t>PD20212001</w:t>
            </w:r>
          </w:p>
        </w:tc>
      </w:tr>
      <w:tr w14:paraId="65FCB7F7">
        <w:tblPrEx>
          <w:tblCellMar>
            <w:top w:w="0" w:type="dxa"/>
            <w:left w:w="0" w:type="dxa"/>
            <w:bottom w:w="0" w:type="dxa"/>
            <w:right w:w="0" w:type="dxa"/>
          </w:tblCellMar>
        </w:tblPrEx>
        <w:trPr>
          <w:wBefore w:w="0" w:type="auto"/>
          <w:tblCellSpacing w:w="0" w:type="dxa"/>
        </w:trPr>
        <w:tc>
          <w:tcPr>
            <w:tcW w:w="0" w:type="auto"/>
            <w:noWrap w:val="0"/>
            <w:vAlign w:val="center"/>
          </w:tcPr>
          <w:p w14:paraId="01E6AF81">
            <w:r>
              <w:rPr>
                <w:rStyle w:val="10"/>
                <w:rFonts w:hint="eastAsia"/>
              </w:rPr>
              <w:t>登记证持有人：</w:t>
            </w:r>
            <w:r>
              <w:rPr>
                <w:rFonts w:hint="eastAsia"/>
              </w:rPr>
              <w:t>广西田园生化股份有限公司</w:t>
            </w:r>
          </w:p>
        </w:tc>
      </w:tr>
      <w:tr w14:paraId="27DF1703">
        <w:tblPrEx>
          <w:tblCellMar>
            <w:top w:w="0" w:type="dxa"/>
            <w:left w:w="0" w:type="dxa"/>
            <w:bottom w:w="0" w:type="dxa"/>
            <w:right w:w="0" w:type="dxa"/>
          </w:tblCellMar>
        </w:tblPrEx>
        <w:trPr>
          <w:wBefore w:w="0" w:type="auto"/>
          <w:tblCellSpacing w:w="0" w:type="dxa"/>
        </w:trPr>
        <w:tc>
          <w:tcPr>
            <w:tcW w:w="0" w:type="auto"/>
            <w:noWrap w:val="0"/>
            <w:vAlign w:val="center"/>
          </w:tcPr>
          <w:p w14:paraId="21F8D810">
            <w:r>
              <w:rPr>
                <w:rStyle w:val="10"/>
                <w:rFonts w:hint="eastAsia"/>
              </w:rPr>
              <w:t>农药名称：</w:t>
            </w:r>
            <w:r>
              <w:rPr>
                <w:rFonts w:hint="eastAsia"/>
              </w:rPr>
              <w:t>吡唑醚菌酯·毒氟磷</w:t>
            </w:r>
          </w:p>
        </w:tc>
      </w:tr>
      <w:tr w14:paraId="4663ED75">
        <w:tblPrEx>
          <w:tblCellMar>
            <w:top w:w="0" w:type="dxa"/>
            <w:left w:w="0" w:type="dxa"/>
            <w:bottom w:w="0" w:type="dxa"/>
            <w:right w:w="0" w:type="dxa"/>
          </w:tblCellMar>
        </w:tblPrEx>
        <w:trPr>
          <w:wBefore w:w="0" w:type="auto"/>
          <w:tblCellSpacing w:w="0" w:type="dxa"/>
        </w:trPr>
        <w:tc>
          <w:tcPr>
            <w:tcW w:w="0" w:type="auto"/>
            <w:noWrap w:val="0"/>
            <w:vAlign w:val="center"/>
          </w:tcPr>
          <w:p w14:paraId="7E57F59A">
            <w:r>
              <w:rPr>
                <w:rStyle w:val="10"/>
                <w:rFonts w:hint="eastAsia"/>
              </w:rPr>
              <w:t>剂型：</w:t>
            </w:r>
            <w:r>
              <w:rPr>
                <w:rFonts w:hint="eastAsia"/>
              </w:rPr>
              <w:t>悬浮剂</w:t>
            </w:r>
          </w:p>
        </w:tc>
      </w:tr>
      <w:tr w14:paraId="10196CA1">
        <w:tblPrEx>
          <w:tblCellMar>
            <w:top w:w="0" w:type="dxa"/>
            <w:left w:w="0" w:type="dxa"/>
            <w:bottom w:w="0" w:type="dxa"/>
            <w:right w:w="0" w:type="dxa"/>
          </w:tblCellMar>
        </w:tblPrEx>
        <w:trPr>
          <w:wBefore w:w="0" w:type="auto"/>
          <w:tblCellSpacing w:w="0" w:type="dxa"/>
        </w:trPr>
        <w:tc>
          <w:tcPr>
            <w:tcW w:w="0" w:type="auto"/>
            <w:noWrap w:val="0"/>
            <w:vAlign w:val="center"/>
          </w:tcPr>
          <w:p w14:paraId="51EA18CC">
            <w:r>
              <w:rPr>
                <w:rStyle w:val="10"/>
                <w:rFonts w:hint="eastAsia"/>
              </w:rPr>
              <w:t>毒性及其标识：</w:t>
            </w:r>
            <w:r>
              <w:rPr>
                <w:rFonts w:hint="eastAsia"/>
              </w:rPr>
              <w:t xml:space="preserve"> </w:t>
            </w:r>
            <w:r>
              <w:rPr>
                <w:lang/>
              </w:rPr>
              <w:drawing>
                <wp:inline distT="0" distB="0" distL="114300" distR="114300">
                  <wp:extent cx="476250" cy="323850"/>
                  <wp:effectExtent l="0" t="0" r="0" b="0"/>
                  <wp:docPr id="607" name="图片 60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C6B2C7A">
        <w:tblPrEx>
          <w:tblCellMar>
            <w:top w:w="0" w:type="dxa"/>
            <w:left w:w="0" w:type="dxa"/>
            <w:bottom w:w="0" w:type="dxa"/>
            <w:right w:w="0" w:type="dxa"/>
          </w:tblCellMar>
        </w:tblPrEx>
        <w:trPr>
          <w:wBefore w:w="0" w:type="auto"/>
          <w:tblCellSpacing w:w="0" w:type="dxa"/>
        </w:trPr>
        <w:tc>
          <w:tcPr>
            <w:tcW w:w="0" w:type="auto"/>
            <w:noWrap w:val="0"/>
            <w:vAlign w:val="center"/>
          </w:tcPr>
          <w:p w14:paraId="01CC44A4">
            <w:r>
              <w:rPr>
                <w:rStyle w:val="10"/>
                <w:rFonts w:hint="eastAsia"/>
              </w:rPr>
              <w:t>总有效成分含量：</w:t>
            </w:r>
            <w:r>
              <w:rPr>
                <w:rFonts w:hint="eastAsia"/>
              </w:rPr>
              <w:t>25%</w:t>
            </w:r>
          </w:p>
        </w:tc>
      </w:tr>
      <w:tr w14:paraId="23BA43E5">
        <w:tblPrEx>
          <w:tblCellMar>
            <w:top w:w="0" w:type="dxa"/>
            <w:left w:w="0" w:type="dxa"/>
            <w:bottom w:w="0" w:type="dxa"/>
            <w:right w:w="0" w:type="dxa"/>
          </w:tblCellMar>
        </w:tblPrEx>
        <w:trPr>
          <w:wBefore w:w="0" w:type="auto"/>
          <w:tblCellSpacing w:w="0" w:type="dxa"/>
        </w:trPr>
        <w:tc>
          <w:tcPr>
            <w:tcW w:w="0" w:type="auto"/>
            <w:noWrap w:val="0"/>
            <w:vAlign w:val="center"/>
          </w:tcPr>
          <w:p w14:paraId="7CDF384E">
            <w:r>
              <w:rPr>
                <w:rFonts w:hint="eastAsia"/>
              </w:rPr>
              <w:t xml:space="preserve">有效成分及其含量： </w:t>
            </w:r>
          </w:p>
          <w:p w14:paraId="67FC975A">
            <w:r>
              <w:rPr>
                <w:rFonts w:hint="eastAsia"/>
              </w:rPr>
              <w:t xml:space="preserve">    吡唑醚菌酯5%    毒氟磷20%    </w:t>
            </w:r>
          </w:p>
        </w:tc>
      </w:tr>
      <w:tr w14:paraId="58084A46">
        <w:tblPrEx>
          <w:tblCellMar>
            <w:top w:w="0" w:type="dxa"/>
            <w:left w:w="0" w:type="dxa"/>
            <w:bottom w:w="0" w:type="dxa"/>
            <w:right w:w="0" w:type="dxa"/>
          </w:tblCellMar>
        </w:tblPrEx>
        <w:trPr>
          <w:wBefore w:w="0" w:type="auto"/>
          <w:tblCellSpacing w:w="0" w:type="dxa"/>
        </w:trPr>
        <w:tc>
          <w:tcPr>
            <w:tcW w:w="0" w:type="auto"/>
            <w:noWrap w:val="0"/>
            <w:vAlign w:val="center"/>
          </w:tcPr>
          <w:p w14:paraId="45C9341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295AF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32DE34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3C13A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6A0AA5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E09374E">
                  <w:r>
                    <w:rPr>
                      <w:rStyle w:val="11"/>
                      <w:rFonts w:hint="eastAsia"/>
                    </w:rPr>
                    <w:t>施用方式</w:t>
                  </w:r>
                </w:p>
              </w:tc>
            </w:tr>
            <w:tr w14:paraId="44484E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9800452">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6003AD2">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DA4F78">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0DF158">
                  <w:r>
                    <w:rPr>
                      <w:rStyle w:val="11"/>
                      <w:rFonts w:hint="eastAsia"/>
                    </w:rPr>
                    <w:t>喷雾</w:t>
                  </w:r>
                </w:p>
              </w:tc>
            </w:tr>
          </w:tbl>
          <w:p w14:paraId="468975F9">
            <w:pPr>
              <w:rPr>
                <w:rFonts w:ascii="Times New Roman" w:hAnsi="Times New Roman" w:cs="Times New Roman"/>
                <w:sz w:val="20"/>
                <w:szCs w:val="20"/>
              </w:rPr>
            </w:pPr>
          </w:p>
        </w:tc>
      </w:tr>
      <w:tr w14:paraId="1E3AA09D">
        <w:tblPrEx>
          <w:tblCellMar>
            <w:top w:w="0" w:type="dxa"/>
            <w:left w:w="0" w:type="dxa"/>
            <w:bottom w:w="0" w:type="dxa"/>
            <w:right w:w="0" w:type="dxa"/>
          </w:tblCellMar>
        </w:tblPrEx>
        <w:trPr>
          <w:wBefore w:w="0" w:type="auto"/>
          <w:tblCellSpacing w:w="0" w:type="dxa"/>
        </w:trPr>
        <w:tc>
          <w:tcPr>
            <w:tcW w:w="0" w:type="auto"/>
            <w:noWrap w:val="0"/>
            <w:vAlign w:val="center"/>
          </w:tcPr>
          <w:p w14:paraId="07557CED">
            <w:r>
              <w:rPr>
                <w:rStyle w:val="10"/>
                <w:rFonts w:hint="eastAsia"/>
              </w:rPr>
              <w:t>使用技术要求:</w:t>
            </w:r>
            <w:r>
              <w:rPr>
                <w:rFonts w:hint="eastAsia"/>
              </w:rPr>
              <w:br w:type="textWrapping"/>
            </w:r>
            <w:r>
              <w:rPr>
                <w:rStyle w:val="11"/>
                <w:rFonts w:hint="eastAsia"/>
              </w:rPr>
              <w:t>1.建议在黄瓜炭疽病发病前或发病初期施药，可施药2次，间隔7天左右。2.安全间隔期3天，每季作物最多使用2次。3.大风天或预计1小时内降雨，请勿施药。</w:t>
            </w:r>
          </w:p>
        </w:tc>
      </w:tr>
      <w:tr w14:paraId="23C83B80">
        <w:tblPrEx>
          <w:tblCellMar>
            <w:top w:w="0" w:type="dxa"/>
            <w:left w:w="0" w:type="dxa"/>
            <w:bottom w:w="0" w:type="dxa"/>
            <w:right w:w="0" w:type="dxa"/>
          </w:tblCellMar>
        </w:tblPrEx>
        <w:trPr>
          <w:wBefore w:w="0" w:type="auto"/>
          <w:tblCellSpacing w:w="0" w:type="dxa"/>
        </w:trPr>
        <w:tc>
          <w:tcPr>
            <w:tcW w:w="0" w:type="auto"/>
            <w:noWrap w:val="0"/>
            <w:vAlign w:val="center"/>
          </w:tcPr>
          <w:p w14:paraId="596F73F1">
            <w:r>
              <w:rPr>
                <w:rStyle w:val="10"/>
                <w:rFonts w:hint="eastAsia"/>
              </w:rPr>
              <w:t>产品性能:</w:t>
            </w:r>
            <w:r>
              <w:rPr>
                <w:rFonts w:hint="eastAsia"/>
              </w:rPr>
              <w:br w:type="textWrapping"/>
            </w:r>
            <w:r>
              <w:rPr>
                <w:rStyle w:val="11"/>
                <w:rFonts w:hint="eastAsia"/>
              </w:rPr>
              <w:t>本品是由吡唑醚菌酯和毒氟磷复配而成的杀菌剂，具有保护、治疗和根治作用，对黄瓜炭疽病有较好的防治效果。</w:t>
            </w:r>
          </w:p>
        </w:tc>
      </w:tr>
      <w:tr w14:paraId="71E66499">
        <w:tblPrEx>
          <w:tblCellMar>
            <w:top w:w="0" w:type="dxa"/>
            <w:left w:w="0" w:type="dxa"/>
            <w:bottom w:w="0" w:type="dxa"/>
            <w:right w:w="0" w:type="dxa"/>
          </w:tblCellMar>
        </w:tblPrEx>
        <w:trPr>
          <w:wBefore w:w="0" w:type="auto"/>
          <w:tblCellSpacing w:w="0" w:type="dxa"/>
        </w:trPr>
        <w:tc>
          <w:tcPr>
            <w:tcW w:w="0" w:type="auto"/>
            <w:noWrap w:val="0"/>
            <w:vAlign w:val="center"/>
          </w:tcPr>
          <w:p w14:paraId="3A2288EF">
            <w:r>
              <w:rPr>
                <w:rStyle w:val="10"/>
                <w:rFonts w:hint="eastAsia"/>
              </w:rPr>
              <w:t>注意事项：</w:t>
            </w:r>
            <w:r>
              <w:rPr>
                <w:rFonts w:hint="eastAsia"/>
              </w:rPr>
              <w:br w:type="textWrapping"/>
            </w:r>
            <w:r>
              <w:rPr>
                <w:rStyle w:val="11"/>
                <w:rFonts w:hint="eastAsia"/>
              </w:rPr>
              <w:t>1、该产品使用时穿戴长衣、长裤、帽子、口罩、手套等防护措施。避免吸入药液。施药期间不可吃东西和饮水，施药后应及时洗手和洗脸。2、本产品不能与碱性物质混用，建议与其他作用机制不同的杀菌剂轮换使用，以延缓抗性产生。3、本品对水生生物有毒，应远离水产养殖区、河塘等水体施药，禁止在河塘等水体中清洗施药器具。桑园及蚕室附近禁用。4、清洗喷药器械或废弃药液时，切忌污染水源。用过的容器应妥善处理，不可做他用，也不可随意丢弃。5、孕妇及哺乳期妇女禁止接触本产品。</w:t>
            </w:r>
          </w:p>
        </w:tc>
      </w:tr>
      <w:tr w14:paraId="094963E5">
        <w:tblPrEx>
          <w:tblCellMar>
            <w:top w:w="0" w:type="dxa"/>
            <w:left w:w="0" w:type="dxa"/>
            <w:bottom w:w="0" w:type="dxa"/>
            <w:right w:w="0" w:type="dxa"/>
          </w:tblCellMar>
        </w:tblPrEx>
        <w:trPr>
          <w:wBefore w:w="0" w:type="auto"/>
          <w:tblCellSpacing w:w="0" w:type="dxa"/>
        </w:trPr>
        <w:tc>
          <w:tcPr>
            <w:tcW w:w="0" w:type="auto"/>
            <w:noWrap w:val="0"/>
            <w:vAlign w:val="center"/>
          </w:tcPr>
          <w:p w14:paraId="32D1012E">
            <w:r>
              <w:rPr>
                <w:rStyle w:val="10"/>
                <w:rFonts w:hint="eastAsia"/>
              </w:rPr>
              <w:t>中毒急救措施：</w:t>
            </w:r>
            <w:r>
              <w:rPr>
                <w:rFonts w:hint="eastAsia"/>
              </w:rPr>
              <w:br w:type="textWrapping"/>
            </w:r>
            <w:r>
              <w:rPr>
                <w:rStyle w:val="11"/>
                <w:rFonts w:hint="eastAsia"/>
              </w:rPr>
              <w:t>使用中或使用后如果感觉不适，应立即停止工作。急救措施。1、皮肤接触，应用大量肥皂水和清水冲洗。2、溅入眼睛，立即用大量清水冲洗15分钟以上。3、吸入：立即将吸入者移到空气新鲜的地方处理，如有不适立即送医院治疗。4、误服，立即用清水漱口，请立即携此标签就医，无特殊解毒剂，对症治疗。</w:t>
            </w:r>
          </w:p>
        </w:tc>
      </w:tr>
      <w:tr w14:paraId="59FF1778">
        <w:tblPrEx>
          <w:tblCellMar>
            <w:top w:w="0" w:type="dxa"/>
            <w:left w:w="0" w:type="dxa"/>
            <w:bottom w:w="0" w:type="dxa"/>
            <w:right w:w="0" w:type="dxa"/>
          </w:tblCellMar>
        </w:tblPrEx>
        <w:trPr>
          <w:wBefore w:w="0" w:type="auto"/>
          <w:tblCellSpacing w:w="0" w:type="dxa"/>
        </w:trPr>
        <w:tc>
          <w:tcPr>
            <w:tcW w:w="0" w:type="auto"/>
            <w:noWrap w:val="0"/>
            <w:vAlign w:val="center"/>
          </w:tcPr>
          <w:p w14:paraId="1D7FB2E8">
            <w:r>
              <w:rPr>
                <w:rStyle w:val="10"/>
                <w:rFonts w:hint="eastAsia"/>
              </w:rPr>
              <w:t>储存和运输方法：</w:t>
            </w:r>
            <w:r>
              <w:rPr>
                <w:rFonts w:hint="eastAsia"/>
              </w:rPr>
              <w:br w:type="textWrapping"/>
            </w:r>
            <w:r>
              <w:rPr>
                <w:rStyle w:val="11"/>
                <w:rFonts w:hint="eastAsia"/>
              </w:rPr>
              <w:t>1.产品密封后存放在阴凉、干燥、通风、防雨处，远离火源或热源。2.远离儿童，贮存于儿童触及不到的地方并加锁。3.不能与食品、饮料、粮食、饲料和种子同贮同运。</w:t>
            </w:r>
          </w:p>
        </w:tc>
      </w:tr>
      <w:tr w14:paraId="1F238671">
        <w:tblPrEx>
          <w:tblCellMar>
            <w:top w:w="0" w:type="dxa"/>
            <w:left w:w="0" w:type="dxa"/>
            <w:bottom w:w="0" w:type="dxa"/>
            <w:right w:w="0" w:type="dxa"/>
          </w:tblCellMar>
        </w:tblPrEx>
        <w:trPr>
          <w:wBefore w:w="0" w:type="auto"/>
          <w:tblCellSpacing w:w="0" w:type="dxa"/>
        </w:trPr>
        <w:tc>
          <w:tcPr>
            <w:tcW w:w="0" w:type="auto"/>
            <w:noWrap w:val="0"/>
            <w:vAlign w:val="center"/>
          </w:tcPr>
          <w:p w14:paraId="09D6D312">
            <w:r>
              <w:rPr>
                <w:rStyle w:val="10"/>
                <w:rFonts w:hint="eastAsia"/>
              </w:rPr>
              <w:t>质量保证期：</w:t>
            </w:r>
            <w:r>
              <w:rPr>
                <w:rStyle w:val="11"/>
                <w:rFonts w:hint="eastAsia"/>
              </w:rPr>
              <w:t>2年</w:t>
            </w:r>
          </w:p>
        </w:tc>
      </w:tr>
      <w:tr w14:paraId="3F9D5ACF">
        <w:tblPrEx>
          <w:tblCellMar>
            <w:top w:w="0" w:type="dxa"/>
            <w:left w:w="0" w:type="dxa"/>
            <w:bottom w:w="0" w:type="dxa"/>
            <w:right w:w="0" w:type="dxa"/>
          </w:tblCellMar>
        </w:tblPrEx>
        <w:trPr>
          <w:wBefore w:w="0" w:type="auto"/>
          <w:tblCellSpacing w:w="0" w:type="dxa"/>
        </w:trPr>
        <w:tc>
          <w:tcPr>
            <w:tcW w:w="0" w:type="auto"/>
            <w:noWrap w:val="0"/>
            <w:vAlign w:val="center"/>
          </w:tcPr>
          <w:p w14:paraId="5D3778CF">
            <w:r>
              <w:rPr>
                <w:rStyle w:val="10"/>
                <w:rFonts w:hint="eastAsia"/>
              </w:rPr>
              <w:t>备注：</w:t>
            </w:r>
          </w:p>
        </w:tc>
      </w:tr>
    </w:tbl>
    <w:p w14:paraId="4F746014">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D8A79AE">
        <w:tblPrEx>
          <w:tblCellMar>
            <w:top w:w="0" w:type="dxa"/>
            <w:left w:w="0" w:type="dxa"/>
            <w:bottom w:w="0" w:type="dxa"/>
            <w:right w:w="0" w:type="dxa"/>
          </w:tblCellMar>
        </w:tblPrEx>
        <w:trPr>
          <w:wBefore w:w="0" w:type="auto"/>
          <w:tblCellSpacing w:w="0" w:type="dxa"/>
        </w:trPr>
        <w:tc>
          <w:tcPr>
            <w:tcW w:w="0" w:type="auto"/>
            <w:noWrap w:val="0"/>
            <w:vAlign w:val="center"/>
          </w:tcPr>
          <w:p w14:paraId="40188E46">
            <w:r>
              <w:rPr>
                <w:rStyle w:val="10"/>
                <w:rFonts w:hint="eastAsia"/>
              </w:rPr>
              <w:t>登记证号：</w:t>
            </w:r>
            <w:r>
              <w:rPr>
                <w:rFonts w:hint="eastAsia"/>
              </w:rPr>
              <w:t>WP20210222</w:t>
            </w:r>
          </w:p>
        </w:tc>
      </w:tr>
      <w:tr w14:paraId="47253061">
        <w:tblPrEx>
          <w:tblCellMar>
            <w:top w:w="0" w:type="dxa"/>
            <w:left w:w="0" w:type="dxa"/>
            <w:bottom w:w="0" w:type="dxa"/>
            <w:right w:w="0" w:type="dxa"/>
          </w:tblCellMar>
        </w:tblPrEx>
        <w:trPr>
          <w:wBefore w:w="0" w:type="auto"/>
          <w:tblCellSpacing w:w="0" w:type="dxa"/>
        </w:trPr>
        <w:tc>
          <w:tcPr>
            <w:tcW w:w="0" w:type="auto"/>
            <w:noWrap w:val="0"/>
            <w:vAlign w:val="center"/>
          </w:tcPr>
          <w:p w14:paraId="55691D2C">
            <w:r>
              <w:rPr>
                <w:rStyle w:val="10"/>
                <w:rFonts w:hint="eastAsia"/>
              </w:rPr>
              <w:t>登记证持有人：</w:t>
            </w:r>
            <w:r>
              <w:rPr>
                <w:rFonts w:hint="eastAsia"/>
              </w:rPr>
              <w:t>成都邦农化学有限公司</w:t>
            </w:r>
          </w:p>
        </w:tc>
      </w:tr>
      <w:tr w14:paraId="071CC694">
        <w:tblPrEx>
          <w:tblCellMar>
            <w:top w:w="0" w:type="dxa"/>
            <w:left w:w="0" w:type="dxa"/>
            <w:bottom w:w="0" w:type="dxa"/>
            <w:right w:w="0" w:type="dxa"/>
          </w:tblCellMar>
        </w:tblPrEx>
        <w:trPr>
          <w:wBefore w:w="0" w:type="auto"/>
          <w:tblCellSpacing w:w="0" w:type="dxa"/>
        </w:trPr>
        <w:tc>
          <w:tcPr>
            <w:tcW w:w="0" w:type="auto"/>
            <w:noWrap w:val="0"/>
            <w:vAlign w:val="center"/>
          </w:tcPr>
          <w:p w14:paraId="667FD9B5">
            <w:r>
              <w:rPr>
                <w:rStyle w:val="10"/>
                <w:rFonts w:hint="eastAsia"/>
              </w:rPr>
              <w:t>农药名称：</w:t>
            </w:r>
            <w:r>
              <w:rPr>
                <w:rFonts w:hint="eastAsia"/>
              </w:rPr>
              <w:t>吡丙醚</w:t>
            </w:r>
          </w:p>
        </w:tc>
      </w:tr>
      <w:tr w14:paraId="16984045">
        <w:tblPrEx>
          <w:tblCellMar>
            <w:top w:w="0" w:type="dxa"/>
            <w:left w:w="0" w:type="dxa"/>
            <w:bottom w:w="0" w:type="dxa"/>
            <w:right w:w="0" w:type="dxa"/>
          </w:tblCellMar>
        </w:tblPrEx>
        <w:trPr>
          <w:wBefore w:w="0" w:type="auto"/>
          <w:tblCellSpacing w:w="0" w:type="dxa"/>
        </w:trPr>
        <w:tc>
          <w:tcPr>
            <w:tcW w:w="0" w:type="auto"/>
            <w:noWrap w:val="0"/>
            <w:vAlign w:val="center"/>
          </w:tcPr>
          <w:p w14:paraId="46C25B07">
            <w:r>
              <w:rPr>
                <w:rStyle w:val="10"/>
                <w:rFonts w:hint="eastAsia"/>
              </w:rPr>
              <w:t>剂型：</w:t>
            </w:r>
            <w:r>
              <w:rPr>
                <w:rFonts w:hint="eastAsia"/>
              </w:rPr>
              <w:t>悬浮剂</w:t>
            </w:r>
          </w:p>
        </w:tc>
      </w:tr>
      <w:tr w14:paraId="18A6C146">
        <w:tblPrEx>
          <w:tblCellMar>
            <w:top w:w="0" w:type="dxa"/>
            <w:left w:w="0" w:type="dxa"/>
            <w:bottom w:w="0" w:type="dxa"/>
            <w:right w:w="0" w:type="dxa"/>
          </w:tblCellMar>
        </w:tblPrEx>
        <w:trPr>
          <w:wBefore w:w="0" w:type="auto"/>
          <w:tblCellSpacing w:w="0" w:type="dxa"/>
        </w:trPr>
        <w:tc>
          <w:tcPr>
            <w:tcW w:w="0" w:type="auto"/>
            <w:noWrap w:val="0"/>
            <w:vAlign w:val="center"/>
          </w:tcPr>
          <w:p w14:paraId="566943E4">
            <w:r>
              <w:rPr>
                <w:rStyle w:val="10"/>
                <w:rFonts w:hint="eastAsia"/>
              </w:rPr>
              <w:t>毒性及其标识：</w:t>
            </w:r>
            <w:r>
              <w:rPr>
                <w:rFonts w:hint="eastAsia"/>
              </w:rPr>
              <w:t xml:space="preserve"> </w:t>
            </w:r>
            <w:r>
              <w:rPr>
                <w:lang/>
              </w:rPr>
              <w:drawing>
                <wp:inline distT="0" distB="0" distL="114300" distR="114300">
                  <wp:extent cx="476250" cy="323850"/>
                  <wp:effectExtent l="0" t="0" r="0" b="0"/>
                  <wp:docPr id="608" name="图片 60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27C8FC6">
        <w:tblPrEx>
          <w:tblCellMar>
            <w:top w:w="0" w:type="dxa"/>
            <w:left w:w="0" w:type="dxa"/>
            <w:bottom w:w="0" w:type="dxa"/>
            <w:right w:w="0" w:type="dxa"/>
          </w:tblCellMar>
        </w:tblPrEx>
        <w:trPr>
          <w:wBefore w:w="0" w:type="auto"/>
          <w:tblCellSpacing w:w="0" w:type="dxa"/>
        </w:trPr>
        <w:tc>
          <w:tcPr>
            <w:tcW w:w="0" w:type="auto"/>
            <w:noWrap w:val="0"/>
            <w:vAlign w:val="center"/>
          </w:tcPr>
          <w:p w14:paraId="216797C4">
            <w:r>
              <w:rPr>
                <w:rStyle w:val="10"/>
                <w:rFonts w:hint="eastAsia"/>
              </w:rPr>
              <w:t>总有效成分含量：</w:t>
            </w:r>
            <w:r>
              <w:rPr>
                <w:rFonts w:hint="eastAsia"/>
              </w:rPr>
              <w:t>10%</w:t>
            </w:r>
          </w:p>
        </w:tc>
      </w:tr>
      <w:tr w14:paraId="71A464C6">
        <w:tblPrEx>
          <w:tblCellMar>
            <w:top w:w="0" w:type="dxa"/>
            <w:left w:w="0" w:type="dxa"/>
            <w:bottom w:w="0" w:type="dxa"/>
            <w:right w:w="0" w:type="dxa"/>
          </w:tblCellMar>
        </w:tblPrEx>
        <w:trPr>
          <w:wBefore w:w="0" w:type="auto"/>
          <w:tblCellSpacing w:w="0" w:type="dxa"/>
        </w:trPr>
        <w:tc>
          <w:tcPr>
            <w:tcW w:w="0" w:type="auto"/>
            <w:noWrap w:val="0"/>
            <w:vAlign w:val="center"/>
          </w:tcPr>
          <w:p w14:paraId="644582EF">
            <w:r>
              <w:rPr>
                <w:rFonts w:hint="eastAsia"/>
              </w:rPr>
              <w:t xml:space="preserve">有效成分及其含量： </w:t>
            </w:r>
          </w:p>
          <w:p w14:paraId="4419B260">
            <w:r>
              <w:rPr>
                <w:rFonts w:hint="eastAsia"/>
              </w:rPr>
              <w:t xml:space="preserve">    吡丙醚10%    </w:t>
            </w:r>
          </w:p>
        </w:tc>
      </w:tr>
      <w:tr w14:paraId="498EF175">
        <w:tblPrEx>
          <w:tblCellMar>
            <w:top w:w="0" w:type="dxa"/>
            <w:left w:w="0" w:type="dxa"/>
            <w:bottom w:w="0" w:type="dxa"/>
            <w:right w:w="0" w:type="dxa"/>
          </w:tblCellMar>
        </w:tblPrEx>
        <w:trPr>
          <w:wBefore w:w="0" w:type="auto"/>
          <w:tblCellSpacing w:w="0" w:type="dxa"/>
        </w:trPr>
        <w:tc>
          <w:tcPr>
            <w:tcW w:w="0" w:type="auto"/>
            <w:noWrap w:val="0"/>
            <w:vAlign w:val="center"/>
          </w:tcPr>
          <w:p w14:paraId="3E72D38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AC341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F739DCF">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E278D3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33FE1C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C29B083">
                  <w:r>
                    <w:rPr>
                      <w:rStyle w:val="11"/>
                      <w:rFonts w:hint="eastAsia"/>
                    </w:rPr>
                    <w:t>施用方式</w:t>
                  </w:r>
                </w:p>
              </w:tc>
            </w:tr>
            <w:tr w14:paraId="40A1B20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E3DB1FE">
                  <w:r>
                    <w:rPr>
                      <w:rStyle w:val="11"/>
                      <w:rFonts w:hint="eastAsia"/>
                    </w:rPr>
                    <w:t>室外（孳生地）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BD75119">
                  <w:r>
                    <w:rPr>
                      <w:rStyle w:val="11"/>
                      <w:rFonts w:hint="eastAsia"/>
                    </w:rPr>
                    <w:t>蝇(幼虫)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302EA8">
                  <w:r>
                    <w:rPr>
                      <w:rStyle w:val="11"/>
                      <w:rFonts w:hint="eastAsia"/>
                    </w:rPr>
                    <w:t>1毫升/平方米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09CC520">
                  <w:r>
                    <w:rPr>
                      <w:rStyle w:val="11"/>
                      <w:rFonts w:hint="eastAsia"/>
                    </w:rPr>
                    <w:t>喷洒</w:t>
                  </w:r>
                </w:p>
              </w:tc>
            </w:tr>
          </w:tbl>
          <w:p w14:paraId="6AF666D9">
            <w:pPr>
              <w:rPr>
                <w:rFonts w:ascii="Times New Roman" w:hAnsi="Times New Roman" w:cs="Times New Roman"/>
                <w:sz w:val="20"/>
                <w:szCs w:val="20"/>
              </w:rPr>
            </w:pPr>
          </w:p>
        </w:tc>
      </w:tr>
      <w:tr w14:paraId="6CFE8A93">
        <w:tblPrEx>
          <w:tblCellMar>
            <w:top w:w="0" w:type="dxa"/>
            <w:left w:w="0" w:type="dxa"/>
            <w:bottom w:w="0" w:type="dxa"/>
            <w:right w:w="0" w:type="dxa"/>
          </w:tblCellMar>
        </w:tblPrEx>
        <w:trPr>
          <w:wBefore w:w="0" w:type="auto"/>
          <w:tblCellSpacing w:w="0" w:type="dxa"/>
        </w:trPr>
        <w:tc>
          <w:tcPr>
            <w:tcW w:w="0" w:type="auto"/>
            <w:noWrap w:val="0"/>
            <w:vAlign w:val="center"/>
          </w:tcPr>
          <w:p w14:paraId="4E9CCB8D">
            <w:r>
              <w:rPr>
                <w:rStyle w:val="10"/>
                <w:rFonts w:hint="eastAsia"/>
              </w:rPr>
              <w:t>使用技术要求:</w:t>
            </w:r>
            <w:r>
              <w:rPr>
                <w:rFonts w:hint="eastAsia"/>
              </w:rPr>
              <w:br w:type="textWrapping"/>
            </w:r>
            <w:r>
              <w:rPr>
                <w:rStyle w:val="11"/>
                <w:rFonts w:hint="eastAsia"/>
              </w:rPr>
              <w:t>将本品按上述用药量，将药剂喷洒于蝇幼孳生地。</w:t>
            </w:r>
          </w:p>
        </w:tc>
      </w:tr>
      <w:tr w14:paraId="737506CE">
        <w:tblPrEx>
          <w:tblCellMar>
            <w:top w:w="0" w:type="dxa"/>
            <w:left w:w="0" w:type="dxa"/>
            <w:bottom w:w="0" w:type="dxa"/>
            <w:right w:w="0" w:type="dxa"/>
          </w:tblCellMar>
        </w:tblPrEx>
        <w:trPr>
          <w:wBefore w:w="0" w:type="auto"/>
          <w:tblCellSpacing w:w="0" w:type="dxa"/>
        </w:trPr>
        <w:tc>
          <w:tcPr>
            <w:tcW w:w="0" w:type="auto"/>
            <w:noWrap w:val="0"/>
            <w:vAlign w:val="center"/>
          </w:tcPr>
          <w:p w14:paraId="744BF707">
            <w:r>
              <w:rPr>
                <w:rStyle w:val="10"/>
                <w:rFonts w:hint="eastAsia"/>
              </w:rPr>
              <w:t>产品性能:</w:t>
            </w:r>
            <w:r>
              <w:rPr>
                <w:rFonts w:hint="eastAsia"/>
              </w:rPr>
              <w:br w:type="textWrapping"/>
            </w:r>
            <w:r>
              <w:rPr>
                <w:rStyle w:val="11"/>
                <w:rFonts w:hint="eastAsia"/>
              </w:rPr>
              <w:t>吡丙醚是昆虫几丁质合成抑制剂类杀虫剂，几丁质是昆虫外壳及甲壳的主要成分。因此其作用机理是通过影响昆虫的蜕变和繁殖来控制虫害的发生。</w:t>
            </w:r>
          </w:p>
        </w:tc>
      </w:tr>
      <w:tr w14:paraId="1C5C45C6">
        <w:tblPrEx>
          <w:tblCellMar>
            <w:top w:w="0" w:type="dxa"/>
            <w:left w:w="0" w:type="dxa"/>
            <w:bottom w:w="0" w:type="dxa"/>
            <w:right w:w="0" w:type="dxa"/>
          </w:tblCellMar>
        </w:tblPrEx>
        <w:trPr>
          <w:wBefore w:w="0" w:type="auto"/>
          <w:tblCellSpacing w:w="0" w:type="dxa"/>
        </w:trPr>
        <w:tc>
          <w:tcPr>
            <w:tcW w:w="0" w:type="auto"/>
            <w:noWrap w:val="0"/>
            <w:vAlign w:val="center"/>
          </w:tcPr>
          <w:p w14:paraId="400605FF">
            <w:r>
              <w:rPr>
                <w:rStyle w:val="10"/>
                <w:rFonts w:hint="eastAsia"/>
              </w:rPr>
              <w:t>注意事项：</w:t>
            </w:r>
            <w:r>
              <w:rPr>
                <w:rFonts w:hint="eastAsia"/>
              </w:rPr>
              <w:br w:type="textWrapping"/>
            </w:r>
            <w:r>
              <w:rPr>
                <w:rStyle w:val="11"/>
                <w:rFonts w:hint="eastAsia"/>
              </w:rPr>
              <w:t>1. 应现配现用，配好的药液不宜存放太久。2. 本品仅用于室外蝇幼孳生地。3. 本品不应与碱性物质混合使用。避免与氧化剂接触。4. 本品对眼睛有刺激性，使用时避免接触眼睛，穿戴长衣、长裤、帽子、口罩、手套等防护措施。严格按照“农药安全使用规定”要求操作。 5. 施药时严禁吸烟和饮食，不得迎风施药，避免直接接触药液，防止由口鼻吸入；施药后应清洗手、脸及身体被污染部分和衣服。6. 勿向人体、食物喷洒。7. 远离水产养殖区、河塘等水域施药，禁止在河塘等水体中清洗施药器具。用过的容器应妥善处理，不可做他用，也不可随意丢弃。8. 本品对家蚕风险性较高，蚕室及其附近禁用。9. 过敏者禁用，使用中有任何不良反应请及时就医。10. 避免孕妇及哺乳期妇女接触本品。</w:t>
            </w:r>
          </w:p>
        </w:tc>
      </w:tr>
      <w:tr w14:paraId="4E02B39C">
        <w:tblPrEx>
          <w:tblCellMar>
            <w:top w:w="0" w:type="dxa"/>
            <w:left w:w="0" w:type="dxa"/>
            <w:bottom w:w="0" w:type="dxa"/>
            <w:right w:w="0" w:type="dxa"/>
          </w:tblCellMar>
        </w:tblPrEx>
        <w:trPr>
          <w:wBefore w:w="0" w:type="auto"/>
          <w:tblCellSpacing w:w="0" w:type="dxa"/>
        </w:trPr>
        <w:tc>
          <w:tcPr>
            <w:tcW w:w="0" w:type="auto"/>
            <w:noWrap w:val="0"/>
            <w:vAlign w:val="center"/>
          </w:tcPr>
          <w:p w14:paraId="092B0EF3">
            <w:r>
              <w:rPr>
                <w:rStyle w:val="10"/>
                <w:rFonts w:hint="eastAsia"/>
              </w:rPr>
              <w:t>中毒急救措施：</w:t>
            </w:r>
            <w:r>
              <w:rPr>
                <w:rFonts w:hint="eastAsia"/>
              </w:rPr>
              <w:br w:type="textWrapping"/>
            </w:r>
            <w:r>
              <w:rPr>
                <w:rStyle w:val="11"/>
                <w:rFonts w:hint="eastAsia"/>
              </w:rPr>
              <w:t>皮肤接触：使用本品时，如果出现皮肤刺激，用清水冲洗，如持续不适，携此标签送医就诊。眼睛接触：如果不慎接触眼睛，引起不适，立即翻开眼睑，用流动的清水冲洗，如持续不适，携此标签送医就诊。吸入：如有不适，立即移至空气清新的地方，如呼吸困难或持续不适，携此标签送医就诊。误食：不慎误食，马上停止食用，携此标签送医就诊，应对症治疗。</w:t>
            </w:r>
          </w:p>
        </w:tc>
      </w:tr>
      <w:tr w14:paraId="655C4089">
        <w:tblPrEx>
          <w:tblCellMar>
            <w:top w:w="0" w:type="dxa"/>
            <w:left w:w="0" w:type="dxa"/>
            <w:bottom w:w="0" w:type="dxa"/>
            <w:right w:w="0" w:type="dxa"/>
          </w:tblCellMar>
        </w:tblPrEx>
        <w:trPr>
          <w:wBefore w:w="0" w:type="auto"/>
          <w:tblCellSpacing w:w="0" w:type="dxa"/>
        </w:trPr>
        <w:tc>
          <w:tcPr>
            <w:tcW w:w="0" w:type="auto"/>
            <w:noWrap w:val="0"/>
            <w:vAlign w:val="center"/>
          </w:tcPr>
          <w:p w14:paraId="0EE5C149">
            <w:r>
              <w:rPr>
                <w:rStyle w:val="10"/>
                <w:rFonts w:hint="eastAsia"/>
              </w:rPr>
              <w:t>储存和运输方法：</w:t>
            </w:r>
            <w:r>
              <w:rPr>
                <w:rFonts w:hint="eastAsia"/>
              </w:rPr>
              <w:br w:type="textWrapping"/>
            </w:r>
            <w:r>
              <w:rPr>
                <w:rStyle w:val="11"/>
                <w:rFonts w:hint="eastAsia"/>
              </w:rPr>
              <w:t>1. 本品应贮存在干燥、阴凉、通风、防雨处，远离火源、热源和氧化物。2. 装卸时工人需要穿戴口罩、手套、胶靴，工作结束后用清水清洗裸露的皮肤。3. 置于儿童、无关人员接触不到的地方，并加锁。4. 不能与食品、饮料、粮食、饲料等混合储存、运输。</w:t>
            </w:r>
          </w:p>
        </w:tc>
      </w:tr>
      <w:tr w14:paraId="3377FEC5">
        <w:tblPrEx>
          <w:tblCellMar>
            <w:top w:w="0" w:type="dxa"/>
            <w:left w:w="0" w:type="dxa"/>
            <w:bottom w:w="0" w:type="dxa"/>
            <w:right w:w="0" w:type="dxa"/>
          </w:tblCellMar>
        </w:tblPrEx>
        <w:trPr>
          <w:wBefore w:w="0" w:type="auto"/>
          <w:tblCellSpacing w:w="0" w:type="dxa"/>
        </w:trPr>
        <w:tc>
          <w:tcPr>
            <w:tcW w:w="0" w:type="auto"/>
            <w:noWrap w:val="0"/>
            <w:vAlign w:val="center"/>
          </w:tcPr>
          <w:p w14:paraId="30C622BB">
            <w:r>
              <w:rPr>
                <w:rStyle w:val="10"/>
                <w:rFonts w:hint="eastAsia"/>
              </w:rPr>
              <w:t>质量保证期：</w:t>
            </w:r>
            <w:r>
              <w:rPr>
                <w:rStyle w:val="11"/>
                <w:rFonts w:hint="eastAsia"/>
              </w:rPr>
              <w:t>2年</w:t>
            </w:r>
          </w:p>
        </w:tc>
      </w:tr>
      <w:tr w14:paraId="16D82329">
        <w:tblPrEx>
          <w:tblCellMar>
            <w:top w:w="0" w:type="dxa"/>
            <w:left w:w="0" w:type="dxa"/>
            <w:bottom w:w="0" w:type="dxa"/>
            <w:right w:w="0" w:type="dxa"/>
          </w:tblCellMar>
        </w:tblPrEx>
        <w:trPr>
          <w:wBefore w:w="0" w:type="auto"/>
          <w:tblCellSpacing w:w="0" w:type="dxa"/>
        </w:trPr>
        <w:tc>
          <w:tcPr>
            <w:tcW w:w="0" w:type="auto"/>
            <w:noWrap w:val="0"/>
            <w:vAlign w:val="center"/>
          </w:tcPr>
          <w:p w14:paraId="4B72F778">
            <w:r>
              <w:rPr>
                <w:rStyle w:val="10"/>
                <w:rFonts w:hint="eastAsia"/>
              </w:rPr>
              <w:t>备注：</w:t>
            </w:r>
          </w:p>
        </w:tc>
      </w:tr>
    </w:tbl>
    <w:p w14:paraId="167B4B6B">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E5171EE">
        <w:tblPrEx>
          <w:tblCellMar>
            <w:top w:w="0" w:type="dxa"/>
            <w:left w:w="0" w:type="dxa"/>
            <w:bottom w:w="0" w:type="dxa"/>
            <w:right w:w="0" w:type="dxa"/>
          </w:tblCellMar>
        </w:tblPrEx>
        <w:trPr>
          <w:wBefore w:w="0" w:type="auto"/>
          <w:tblCellSpacing w:w="0" w:type="dxa"/>
        </w:trPr>
        <w:tc>
          <w:tcPr>
            <w:tcW w:w="0" w:type="auto"/>
            <w:noWrap w:val="0"/>
            <w:vAlign w:val="center"/>
          </w:tcPr>
          <w:p w14:paraId="109B8682">
            <w:r>
              <w:rPr>
                <w:rStyle w:val="10"/>
                <w:rFonts w:hint="eastAsia"/>
              </w:rPr>
              <w:t>登记证号：</w:t>
            </w:r>
            <w:r>
              <w:rPr>
                <w:rFonts w:hint="eastAsia"/>
              </w:rPr>
              <w:t>PD20212077</w:t>
            </w:r>
          </w:p>
        </w:tc>
      </w:tr>
      <w:tr w14:paraId="0AE6D321">
        <w:tblPrEx>
          <w:tblCellMar>
            <w:top w:w="0" w:type="dxa"/>
            <w:left w:w="0" w:type="dxa"/>
            <w:bottom w:w="0" w:type="dxa"/>
            <w:right w:w="0" w:type="dxa"/>
          </w:tblCellMar>
        </w:tblPrEx>
        <w:trPr>
          <w:wBefore w:w="0" w:type="auto"/>
          <w:tblCellSpacing w:w="0" w:type="dxa"/>
        </w:trPr>
        <w:tc>
          <w:tcPr>
            <w:tcW w:w="0" w:type="auto"/>
            <w:noWrap w:val="0"/>
            <w:vAlign w:val="center"/>
          </w:tcPr>
          <w:p w14:paraId="242134B8">
            <w:r>
              <w:rPr>
                <w:rStyle w:val="10"/>
                <w:rFonts w:hint="eastAsia"/>
              </w:rPr>
              <w:t>登记证持有人：</w:t>
            </w:r>
            <w:r>
              <w:rPr>
                <w:rFonts w:hint="eastAsia"/>
              </w:rPr>
              <w:t>广西利民药业股份有限公司</w:t>
            </w:r>
          </w:p>
        </w:tc>
      </w:tr>
      <w:tr w14:paraId="1CC966E2">
        <w:tblPrEx>
          <w:tblCellMar>
            <w:top w:w="0" w:type="dxa"/>
            <w:left w:w="0" w:type="dxa"/>
            <w:bottom w:w="0" w:type="dxa"/>
            <w:right w:w="0" w:type="dxa"/>
          </w:tblCellMar>
        </w:tblPrEx>
        <w:trPr>
          <w:wBefore w:w="0" w:type="auto"/>
          <w:tblCellSpacing w:w="0" w:type="dxa"/>
        </w:trPr>
        <w:tc>
          <w:tcPr>
            <w:tcW w:w="0" w:type="auto"/>
            <w:noWrap w:val="0"/>
            <w:vAlign w:val="center"/>
          </w:tcPr>
          <w:p w14:paraId="6601262A">
            <w:r>
              <w:rPr>
                <w:rStyle w:val="10"/>
                <w:rFonts w:hint="eastAsia"/>
              </w:rPr>
              <w:t>农药名称：</w:t>
            </w:r>
            <w:r>
              <w:rPr>
                <w:rFonts w:hint="eastAsia"/>
              </w:rPr>
              <w:t>螺虫·呋虫胺</w:t>
            </w:r>
          </w:p>
        </w:tc>
      </w:tr>
      <w:tr w14:paraId="2E753EEA">
        <w:tblPrEx>
          <w:tblCellMar>
            <w:top w:w="0" w:type="dxa"/>
            <w:left w:w="0" w:type="dxa"/>
            <w:bottom w:w="0" w:type="dxa"/>
            <w:right w:w="0" w:type="dxa"/>
          </w:tblCellMar>
        </w:tblPrEx>
        <w:trPr>
          <w:wBefore w:w="0" w:type="auto"/>
          <w:tblCellSpacing w:w="0" w:type="dxa"/>
        </w:trPr>
        <w:tc>
          <w:tcPr>
            <w:tcW w:w="0" w:type="auto"/>
            <w:noWrap w:val="0"/>
            <w:vAlign w:val="center"/>
          </w:tcPr>
          <w:p w14:paraId="711CBB73">
            <w:r>
              <w:rPr>
                <w:rStyle w:val="10"/>
                <w:rFonts w:hint="eastAsia"/>
              </w:rPr>
              <w:t>剂型：</w:t>
            </w:r>
            <w:r>
              <w:rPr>
                <w:rFonts w:hint="eastAsia"/>
              </w:rPr>
              <w:t>悬浮剂</w:t>
            </w:r>
          </w:p>
        </w:tc>
      </w:tr>
      <w:tr w14:paraId="6482B259">
        <w:tblPrEx>
          <w:tblCellMar>
            <w:top w:w="0" w:type="dxa"/>
            <w:left w:w="0" w:type="dxa"/>
            <w:bottom w:w="0" w:type="dxa"/>
            <w:right w:w="0" w:type="dxa"/>
          </w:tblCellMar>
        </w:tblPrEx>
        <w:trPr>
          <w:wBefore w:w="0" w:type="auto"/>
          <w:tblCellSpacing w:w="0" w:type="dxa"/>
        </w:trPr>
        <w:tc>
          <w:tcPr>
            <w:tcW w:w="0" w:type="auto"/>
            <w:noWrap w:val="0"/>
            <w:vAlign w:val="center"/>
          </w:tcPr>
          <w:p w14:paraId="77B713EB">
            <w:r>
              <w:rPr>
                <w:rStyle w:val="10"/>
                <w:rFonts w:hint="eastAsia"/>
              </w:rPr>
              <w:t>毒性及其标识：</w:t>
            </w:r>
            <w:r>
              <w:rPr>
                <w:rFonts w:hint="eastAsia"/>
              </w:rPr>
              <w:t xml:space="preserve"> 微毒 </w:t>
            </w:r>
          </w:p>
        </w:tc>
      </w:tr>
      <w:tr w14:paraId="6E60D7AC">
        <w:tblPrEx>
          <w:tblCellMar>
            <w:top w:w="0" w:type="dxa"/>
            <w:left w:w="0" w:type="dxa"/>
            <w:bottom w:w="0" w:type="dxa"/>
            <w:right w:w="0" w:type="dxa"/>
          </w:tblCellMar>
        </w:tblPrEx>
        <w:trPr>
          <w:wBefore w:w="0" w:type="auto"/>
          <w:tblCellSpacing w:w="0" w:type="dxa"/>
        </w:trPr>
        <w:tc>
          <w:tcPr>
            <w:tcW w:w="0" w:type="auto"/>
            <w:noWrap w:val="0"/>
            <w:vAlign w:val="center"/>
          </w:tcPr>
          <w:p w14:paraId="2445C298">
            <w:r>
              <w:rPr>
                <w:rStyle w:val="10"/>
                <w:rFonts w:hint="eastAsia"/>
              </w:rPr>
              <w:t>总有效成分含量：</w:t>
            </w:r>
            <w:r>
              <w:rPr>
                <w:rFonts w:hint="eastAsia"/>
              </w:rPr>
              <w:t>20%</w:t>
            </w:r>
          </w:p>
        </w:tc>
      </w:tr>
      <w:tr w14:paraId="148B343D">
        <w:tblPrEx>
          <w:tblCellMar>
            <w:top w:w="0" w:type="dxa"/>
            <w:left w:w="0" w:type="dxa"/>
            <w:bottom w:w="0" w:type="dxa"/>
            <w:right w:w="0" w:type="dxa"/>
          </w:tblCellMar>
        </w:tblPrEx>
        <w:trPr>
          <w:wBefore w:w="0" w:type="auto"/>
          <w:tblCellSpacing w:w="0" w:type="dxa"/>
        </w:trPr>
        <w:tc>
          <w:tcPr>
            <w:tcW w:w="0" w:type="auto"/>
            <w:noWrap w:val="0"/>
            <w:vAlign w:val="center"/>
          </w:tcPr>
          <w:p w14:paraId="5D3DB878">
            <w:r>
              <w:rPr>
                <w:rFonts w:hint="eastAsia"/>
              </w:rPr>
              <w:t xml:space="preserve">有效成分及其含量： </w:t>
            </w:r>
          </w:p>
          <w:p w14:paraId="366457A5">
            <w:r>
              <w:rPr>
                <w:rFonts w:hint="eastAsia"/>
              </w:rPr>
              <w:t xml:space="preserve">    螺虫乙酯10%    呋虫胺10%    </w:t>
            </w:r>
          </w:p>
        </w:tc>
      </w:tr>
      <w:tr w14:paraId="289E7089">
        <w:tblPrEx>
          <w:tblCellMar>
            <w:top w:w="0" w:type="dxa"/>
            <w:left w:w="0" w:type="dxa"/>
            <w:bottom w:w="0" w:type="dxa"/>
            <w:right w:w="0" w:type="dxa"/>
          </w:tblCellMar>
        </w:tblPrEx>
        <w:trPr>
          <w:wBefore w:w="0" w:type="auto"/>
          <w:tblCellSpacing w:w="0" w:type="dxa"/>
        </w:trPr>
        <w:tc>
          <w:tcPr>
            <w:tcW w:w="0" w:type="auto"/>
            <w:noWrap w:val="0"/>
            <w:vAlign w:val="center"/>
          </w:tcPr>
          <w:p w14:paraId="12069DE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69966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796092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BD566E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4F7B89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CC442C1">
                  <w:r>
                    <w:rPr>
                      <w:rStyle w:val="11"/>
                      <w:rFonts w:hint="eastAsia"/>
                    </w:rPr>
                    <w:t>施用方式</w:t>
                  </w:r>
                </w:p>
              </w:tc>
            </w:tr>
            <w:tr w14:paraId="765D7C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7762ABA">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D101EF1">
                  <w:r>
                    <w:rPr>
                      <w:rStyle w:val="11"/>
                      <w:rFonts w:hint="eastAsia"/>
                    </w:rPr>
                    <w:t>介壳虫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FED8BC">
                  <w:r>
                    <w:rPr>
                      <w:rStyle w:val="11"/>
                      <w:rFonts w:hint="eastAsia"/>
                    </w:rPr>
                    <w:t>2000-3000倍液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CC730C">
                  <w:r>
                    <w:rPr>
                      <w:rStyle w:val="11"/>
                      <w:rFonts w:hint="eastAsia"/>
                    </w:rPr>
                    <w:t>喷雾</w:t>
                  </w:r>
                </w:p>
              </w:tc>
            </w:tr>
          </w:tbl>
          <w:p w14:paraId="6310D25F">
            <w:pPr>
              <w:rPr>
                <w:rFonts w:ascii="Times New Roman" w:hAnsi="Times New Roman" w:cs="Times New Roman"/>
                <w:sz w:val="20"/>
                <w:szCs w:val="20"/>
              </w:rPr>
            </w:pPr>
          </w:p>
        </w:tc>
      </w:tr>
      <w:tr w14:paraId="40452CB1">
        <w:tblPrEx>
          <w:tblCellMar>
            <w:top w:w="0" w:type="dxa"/>
            <w:left w:w="0" w:type="dxa"/>
            <w:bottom w:w="0" w:type="dxa"/>
            <w:right w:w="0" w:type="dxa"/>
          </w:tblCellMar>
        </w:tblPrEx>
        <w:trPr>
          <w:wBefore w:w="0" w:type="auto"/>
          <w:tblCellSpacing w:w="0" w:type="dxa"/>
        </w:trPr>
        <w:tc>
          <w:tcPr>
            <w:tcW w:w="0" w:type="auto"/>
            <w:noWrap w:val="0"/>
            <w:vAlign w:val="center"/>
          </w:tcPr>
          <w:p w14:paraId="16342602">
            <w:r>
              <w:rPr>
                <w:rStyle w:val="10"/>
                <w:rFonts w:hint="eastAsia"/>
              </w:rPr>
              <w:t>使用技术要求:</w:t>
            </w:r>
            <w:r>
              <w:rPr>
                <w:rFonts w:hint="eastAsia"/>
              </w:rPr>
              <w:br w:type="textWrapping"/>
            </w:r>
            <w:r>
              <w:rPr>
                <w:rStyle w:val="11"/>
                <w:rFonts w:hint="eastAsia"/>
              </w:rPr>
              <w:t>1. 本品应于柑橘树介壳虫低龄幼虫发生期、花期后喷雾施药，注意喷雾均匀周到，以确保防效。2. 大风天或预计1小时内有雨，请勿施药。3. 每季作物最多使用1次，安全间隔期为14天。</w:t>
            </w:r>
          </w:p>
        </w:tc>
      </w:tr>
      <w:tr w14:paraId="7D5EF7D6">
        <w:tblPrEx>
          <w:tblCellMar>
            <w:top w:w="0" w:type="dxa"/>
            <w:left w:w="0" w:type="dxa"/>
            <w:bottom w:w="0" w:type="dxa"/>
            <w:right w:w="0" w:type="dxa"/>
          </w:tblCellMar>
        </w:tblPrEx>
        <w:trPr>
          <w:wBefore w:w="0" w:type="auto"/>
          <w:tblCellSpacing w:w="0" w:type="dxa"/>
        </w:trPr>
        <w:tc>
          <w:tcPr>
            <w:tcW w:w="0" w:type="auto"/>
            <w:noWrap w:val="0"/>
            <w:vAlign w:val="center"/>
          </w:tcPr>
          <w:p w14:paraId="16AF01BE">
            <w:r>
              <w:rPr>
                <w:rStyle w:val="10"/>
                <w:rFonts w:hint="eastAsia"/>
              </w:rPr>
              <w:t>产品性能:</w:t>
            </w:r>
            <w:r>
              <w:rPr>
                <w:rFonts w:hint="eastAsia"/>
              </w:rPr>
              <w:br w:type="textWrapping"/>
            </w:r>
            <w:r>
              <w:rPr>
                <w:rStyle w:val="11"/>
                <w:rFonts w:hint="eastAsia"/>
              </w:rPr>
              <w:t>本品是由呋虫胺和螺虫乙酯复配而成的杀虫剂，螺虫乙酯通过干扰昆虫的脂肪生物合成导致幼虫死亡，降低成虫的繁殖能力，杀虫谱广，持效期长。呋虫胺是第三代烟碱类杀虫剂，具有触杀、胃毒作用的杀虫剂，通过作用于昆虫神经传递系统，快速被植物吸收并广泛分布于作物体内，影响昆虫中枢神经系统的突触。按登记剂量使用时，对柑橘树介壳虫具有良好的防治效果，且对柑橘树安全。</w:t>
            </w:r>
          </w:p>
        </w:tc>
      </w:tr>
      <w:tr w14:paraId="093051E7">
        <w:tblPrEx>
          <w:tblCellMar>
            <w:top w:w="0" w:type="dxa"/>
            <w:left w:w="0" w:type="dxa"/>
            <w:bottom w:w="0" w:type="dxa"/>
            <w:right w:w="0" w:type="dxa"/>
          </w:tblCellMar>
        </w:tblPrEx>
        <w:trPr>
          <w:wBefore w:w="0" w:type="auto"/>
          <w:tblCellSpacing w:w="0" w:type="dxa"/>
        </w:trPr>
        <w:tc>
          <w:tcPr>
            <w:tcW w:w="0" w:type="auto"/>
            <w:noWrap w:val="0"/>
            <w:vAlign w:val="center"/>
          </w:tcPr>
          <w:p w14:paraId="0F217B8B">
            <w:r>
              <w:rPr>
                <w:rStyle w:val="10"/>
                <w:rFonts w:hint="eastAsia"/>
              </w:rPr>
              <w:t>注意事项：</w:t>
            </w:r>
            <w:r>
              <w:rPr>
                <w:rFonts w:hint="eastAsia"/>
              </w:rPr>
              <w:br w:type="textWrapping"/>
            </w:r>
            <w:r>
              <w:rPr>
                <w:rStyle w:val="11"/>
                <w:rFonts w:hint="eastAsia"/>
              </w:rPr>
              <w:t>1.请按照农药安全使用准则使用本品，建议与其他作用机制不同的杀虫剂轮换使用，以延缓抗性产生。2.本品不可与氧化性物质混用。3.使用本品时应采取相应的安全防护措施，穿长衣长裤、靴子，戴手套、口罩等，避免药液接触皮肤、眼睛和污染衣物，避免吸入。4.使用中不可吸烟、饮水及吃东西，使用后彻底清洗防护用具，及时清洗手、脸等暴露部位的皮肤，并及时更换衣物、清洗工作服等。5.施药时避免对水源、鱼塘的影响，水产养殖区、河塘等水体附近禁用；药后及时清洗药械；禁止在河塘等水体中清洗施药器具；废弃物切勿污染水源或水体。6.鸟类保护区、天敌放飞区及其附近禁用本品。施药时注意对周围蜂群的影响。蚕室和桑园附近禁止施用本品，禁止采摘最外围和次外围桑叶饲喂家蚕。7.用过的容器要妥善处理，不可作他用，也不可随意丢弃。8.孕妇及哺乳期妇女禁止接触本品。</w:t>
            </w:r>
          </w:p>
        </w:tc>
      </w:tr>
      <w:tr w14:paraId="52844243">
        <w:tblPrEx>
          <w:tblCellMar>
            <w:top w:w="0" w:type="dxa"/>
            <w:left w:w="0" w:type="dxa"/>
            <w:bottom w:w="0" w:type="dxa"/>
            <w:right w:w="0" w:type="dxa"/>
          </w:tblCellMar>
        </w:tblPrEx>
        <w:trPr>
          <w:wBefore w:w="0" w:type="auto"/>
          <w:tblCellSpacing w:w="0" w:type="dxa"/>
        </w:trPr>
        <w:tc>
          <w:tcPr>
            <w:tcW w:w="0" w:type="auto"/>
            <w:noWrap w:val="0"/>
            <w:vAlign w:val="center"/>
          </w:tcPr>
          <w:p w14:paraId="50298F9C">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立即脱去被污染的衣物，用肥皂和大量清水冲洗皮肤暴露部位。眼睛溅入：立即翻开眼睑，用清水冲洗至少15分钟，再请医生诊治。吸入：立即将吸入者转移到空气清新处。误服：请勿自行引吐，立即携带农药标签到医院就诊。注意：对昏迷病人，切勿经口喂入任何东西。</w:t>
            </w:r>
          </w:p>
        </w:tc>
      </w:tr>
      <w:tr w14:paraId="4810D12C">
        <w:tblPrEx>
          <w:tblCellMar>
            <w:top w:w="0" w:type="dxa"/>
            <w:left w:w="0" w:type="dxa"/>
            <w:bottom w:w="0" w:type="dxa"/>
            <w:right w:w="0" w:type="dxa"/>
          </w:tblCellMar>
        </w:tblPrEx>
        <w:trPr>
          <w:wBefore w:w="0" w:type="auto"/>
          <w:tblCellSpacing w:w="0" w:type="dxa"/>
        </w:trPr>
        <w:tc>
          <w:tcPr>
            <w:tcW w:w="0" w:type="auto"/>
            <w:noWrap w:val="0"/>
            <w:vAlign w:val="center"/>
          </w:tcPr>
          <w:p w14:paraId="561B6F50">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接触不到的地方，并加锁保存。装卸、运输过程中，需专门车辆运输，轻拿轻放，确保包装不泄露、不损坏。勿与食品、饮料、饲料和粮食等其他商品同贮同运。</w:t>
            </w:r>
          </w:p>
        </w:tc>
      </w:tr>
      <w:tr w14:paraId="458BEB08">
        <w:tblPrEx>
          <w:tblCellMar>
            <w:top w:w="0" w:type="dxa"/>
            <w:left w:w="0" w:type="dxa"/>
            <w:bottom w:w="0" w:type="dxa"/>
            <w:right w:w="0" w:type="dxa"/>
          </w:tblCellMar>
        </w:tblPrEx>
        <w:trPr>
          <w:wBefore w:w="0" w:type="auto"/>
          <w:tblCellSpacing w:w="0" w:type="dxa"/>
        </w:trPr>
        <w:tc>
          <w:tcPr>
            <w:tcW w:w="0" w:type="auto"/>
            <w:noWrap w:val="0"/>
            <w:vAlign w:val="center"/>
          </w:tcPr>
          <w:p w14:paraId="67AB7BA0">
            <w:r>
              <w:rPr>
                <w:rStyle w:val="10"/>
                <w:rFonts w:hint="eastAsia"/>
              </w:rPr>
              <w:t>质量保证期：</w:t>
            </w:r>
            <w:r>
              <w:rPr>
                <w:rStyle w:val="11"/>
                <w:rFonts w:hint="eastAsia"/>
              </w:rPr>
              <w:t>2年</w:t>
            </w:r>
          </w:p>
        </w:tc>
      </w:tr>
      <w:tr w14:paraId="423E7ABC">
        <w:tblPrEx>
          <w:tblCellMar>
            <w:top w:w="0" w:type="dxa"/>
            <w:left w:w="0" w:type="dxa"/>
            <w:bottom w:w="0" w:type="dxa"/>
            <w:right w:w="0" w:type="dxa"/>
          </w:tblCellMar>
        </w:tblPrEx>
        <w:trPr>
          <w:wBefore w:w="0" w:type="auto"/>
          <w:tblCellSpacing w:w="0" w:type="dxa"/>
        </w:trPr>
        <w:tc>
          <w:tcPr>
            <w:tcW w:w="0" w:type="auto"/>
            <w:noWrap w:val="0"/>
            <w:vAlign w:val="center"/>
          </w:tcPr>
          <w:p w14:paraId="4601B09F">
            <w:r>
              <w:rPr>
                <w:rStyle w:val="10"/>
                <w:rFonts w:hint="eastAsia"/>
              </w:rPr>
              <w:t>备注：</w:t>
            </w:r>
          </w:p>
        </w:tc>
      </w:tr>
    </w:tbl>
    <w:p w14:paraId="34DA781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5F5FDD7">
        <w:tblPrEx>
          <w:tblCellMar>
            <w:top w:w="0" w:type="dxa"/>
            <w:left w:w="0" w:type="dxa"/>
            <w:bottom w:w="0" w:type="dxa"/>
            <w:right w:w="0" w:type="dxa"/>
          </w:tblCellMar>
        </w:tblPrEx>
        <w:trPr>
          <w:wBefore w:w="0" w:type="auto"/>
          <w:tblCellSpacing w:w="0" w:type="dxa"/>
        </w:trPr>
        <w:tc>
          <w:tcPr>
            <w:tcW w:w="0" w:type="auto"/>
            <w:noWrap w:val="0"/>
            <w:vAlign w:val="center"/>
          </w:tcPr>
          <w:p w14:paraId="6F736C15">
            <w:r>
              <w:rPr>
                <w:rStyle w:val="10"/>
                <w:rFonts w:hint="eastAsia"/>
              </w:rPr>
              <w:t>登记证号：</w:t>
            </w:r>
            <w:r>
              <w:rPr>
                <w:rFonts w:hint="eastAsia"/>
              </w:rPr>
              <w:t>PD20212271</w:t>
            </w:r>
          </w:p>
        </w:tc>
      </w:tr>
      <w:tr w14:paraId="213C6223">
        <w:tblPrEx>
          <w:tblCellMar>
            <w:top w:w="0" w:type="dxa"/>
            <w:left w:w="0" w:type="dxa"/>
            <w:bottom w:w="0" w:type="dxa"/>
            <w:right w:w="0" w:type="dxa"/>
          </w:tblCellMar>
        </w:tblPrEx>
        <w:trPr>
          <w:wBefore w:w="0" w:type="auto"/>
          <w:tblCellSpacing w:w="0" w:type="dxa"/>
        </w:trPr>
        <w:tc>
          <w:tcPr>
            <w:tcW w:w="0" w:type="auto"/>
            <w:noWrap w:val="0"/>
            <w:vAlign w:val="center"/>
          </w:tcPr>
          <w:p w14:paraId="72968214">
            <w:r>
              <w:rPr>
                <w:rStyle w:val="10"/>
                <w:rFonts w:hint="eastAsia"/>
              </w:rPr>
              <w:t>登记证持有人：</w:t>
            </w:r>
            <w:r>
              <w:rPr>
                <w:rFonts w:hint="eastAsia"/>
              </w:rPr>
              <w:t>江西正邦作物保护股份有限公司</w:t>
            </w:r>
          </w:p>
        </w:tc>
      </w:tr>
      <w:tr w14:paraId="2DBEC831">
        <w:tblPrEx>
          <w:tblCellMar>
            <w:top w:w="0" w:type="dxa"/>
            <w:left w:w="0" w:type="dxa"/>
            <w:bottom w:w="0" w:type="dxa"/>
            <w:right w:w="0" w:type="dxa"/>
          </w:tblCellMar>
        </w:tblPrEx>
        <w:trPr>
          <w:wBefore w:w="0" w:type="auto"/>
          <w:tblCellSpacing w:w="0" w:type="dxa"/>
        </w:trPr>
        <w:tc>
          <w:tcPr>
            <w:tcW w:w="0" w:type="auto"/>
            <w:noWrap w:val="0"/>
            <w:vAlign w:val="center"/>
          </w:tcPr>
          <w:p w14:paraId="56B677F3">
            <w:r>
              <w:rPr>
                <w:rStyle w:val="10"/>
                <w:rFonts w:hint="eastAsia"/>
              </w:rPr>
              <w:t>农药名称：</w:t>
            </w:r>
            <w:r>
              <w:rPr>
                <w:rFonts w:hint="eastAsia"/>
              </w:rPr>
              <w:t>噁唑草·二氯喹</w:t>
            </w:r>
          </w:p>
        </w:tc>
      </w:tr>
      <w:tr w14:paraId="65359CA5">
        <w:tblPrEx>
          <w:tblCellMar>
            <w:top w:w="0" w:type="dxa"/>
            <w:left w:w="0" w:type="dxa"/>
            <w:bottom w:w="0" w:type="dxa"/>
            <w:right w:w="0" w:type="dxa"/>
          </w:tblCellMar>
        </w:tblPrEx>
        <w:trPr>
          <w:wBefore w:w="0" w:type="auto"/>
          <w:tblCellSpacing w:w="0" w:type="dxa"/>
        </w:trPr>
        <w:tc>
          <w:tcPr>
            <w:tcW w:w="0" w:type="auto"/>
            <w:noWrap w:val="0"/>
            <w:vAlign w:val="center"/>
          </w:tcPr>
          <w:p w14:paraId="63FEF8F3">
            <w:r>
              <w:rPr>
                <w:rStyle w:val="10"/>
                <w:rFonts w:hint="eastAsia"/>
              </w:rPr>
              <w:t>剂型：</w:t>
            </w:r>
            <w:r>
              <w:rPr>
                <w:rFonts w:hint="eastAsia"/>
              </w:rPr>
              <w:t>可分散油悬浮剂</w:t>
            </w:r>
          </w:p>
        </w:tc>
      </w:tr>
      <w:tr w14:paraId="34C183C1">
        <w:tblPrEx>
          <w:tblCellMar>
            <w:top w:w="0" w:type="dxa"/>
            <w:left w:w="0" w:type="dxa"/>
            <w:bottom w:w="0" w:type="dxa"/>
            <w:right w:w="0" w:type="dxa"/>
          </w:tblCellMar>
        </w:tblPrEx>
        <w:trPr>
          <w:wBefore w:w="0" w:type="auto"/>
          <w:tblCellSpacing w:w="0" w:type="dxa"/>
        </w:trPr>
        <w:tc>
          <w:tcPr>
            <w:tcW w:w="0" w:type="auto"/>
            <w:noWrap w:val="0"/>
            <w:vAlign w:val="center"/>
          </w:tcPr>
          <w:p w14:paraId="3FB07B04">
            <w:r>
              <w:rPr>
                <w:rStyle w:val="10"/>
                <w:rFonts w:hint="eastAsia"/>
              </w:rPr>
              <w:t>毒性及其标识：</w:t>
            </w:r>
            <w:r>
              <w:rPr>
                <w:rFonts w:hint="eastAsia"/>
              </w:rPr>
              <w:t xml:space="preserve"> 微毒 </w:t>
            </w:r>
          </w:p>
        </w:tc>
      </w:tr>
      <w:tr w14:paraId="145A5109">
        <w:tblPrEx>
          <w:tblCellMar>
            <w:top w:w="0" w:type="dxa"/>
            <w:left w:w="0" w:type="dxa"/>
            <w:bottom w:w="0" w:type="dxa"/>
            <w:right w:w="0" w:type="dxa"/>
          </w:tblCellMar>
        </w:tblPrEx>
        <w:trPr>
          <w:wBefore w:w="0" w:type="auto"/>
          <w:tblCellSpacing w:w="0" w:type="dxa"/>
        </w:trPr>
        <w:tc>
          <w:tcPr>
            <w:tcW w:w="0" w:type="auto"/>
            <w:noWrap w:val="0"/>
            <w:vAlign w:val="center"/>
          </w:tcPr>
          <w:p w14:paraId="6436C00F">
            <w:r>
              <w:rPr>
                <w:rStyle w:val="10"/>
                <w:rFonts w:hint="eastAsia"/>
              </w:rPr>
              <w:t>总有效成分含量：</w:t>
            </w:r>
            <w:r>
              <w:rPr>
                <w:rFonts w:hint="eastAsia"/>
              </w:rPr>
              <w:t>25%</w:t>
            </w:r>
          </w:p>
        </w:tc>
      </w:tr>
      <w:tr w14:paraId="7C834E4E">
        <w:tblPrEx>
          <w:tblCellMar>
            <w:top w:w="0" w:type="dxa"/>
            <w:left w:w="0" w:type="dxa"/>
            <w:bottom w:w="0" w:type="dxa"/>
            <w:right w:w="0" w:type="dxa"/>
          </w:tblCellMar>
        </w:tblPrEx>
        <w:trPr>
          <w:wBefore w:w="0" w:type="auto"/>
          <w:tblCellSpacing w:w="0" w:type="dxa"/>
        </w:trPr>
        <w:tc>
          <w:tcPr>
            <w:tcW w:w="0" w:type="auto"/>
            <w:noWrap w:val="0"/>
            <w:vAlign w:val="center"/>
          </w:tcPr>
          <w:p w14:paraId="7902FE1A">
            <w:r>
              <w:rPr>
                <w:rFonts w:hint="eastAsia"/>
              </w:rPr>
              <w:t xml:space="preserve">有效成分及其含量： </w:t>
            </w:r>
          </w:p>
          <w:p w14:paraId="0100DCE3">
            <w:r>
              <w:rPr>
                <w:rFonts w:hint="eastAsia"/>
              </w:rPr>
              <w:t xml:space="preserve">    噁唑酰草胺10%    二氯喹啉酸15%    </w:t>
            </w:r>
          </w:p>
        </w:tc>
      </w:tr>
      <w:tr w14:paraId="5D043D41">
        <w:tblPrEx>
          <w:tblCellMar>
            <w:top w:w="0" w:type="dxa"/>
            <w:left w:w="0" w:type="dxa"/>
            <w:bottom w:w="0" w:type="dxa"/>
            <w:right w:w="0" w:type="dxa"/>
          </w:tblCellMar>
        </w:tblPrEx>
        <w:trPr>
          <w:wBefore w:w="0" w:type="auto"/>
          <w:tblCellSpacing w:w="0" w:type="dxa"/>
        </w:trPr>
        <w:tc>
          <w:tcPr>
            <w:tcW w:w="0" w:type="auto"/>
            <w:noWrap w:val="0"/>
            <w:vAlign w:val="center"/>
          </w:tcPr>
          <w:p w14:paraId="6E93048E">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C00A0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EEBCDA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ECFA3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4AFA5A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4033CCE">
                  <w:r>
                    <w:rPr>
                      <w:rStyle w:val="11"/>
                      <w:rFonts w:hint="eastAsia"/>
                    </w:rPr>
                    <w:t>施用方式</w:t>
                  </w:r>
                </w:p>
              </w:tc>
            </w:tr>
            <w:tr w14:paraId="260B5B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A67135F">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7E1927A">
                  <w:r>
                    <w:rPr>
                      <w:rStyle w:val="11"/>
                      <w:rFonts w:hint="eastAsia"/>
                    </w:rPr>
                    <w:t>稗草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51F605">
                  <w:r>
                    <w:rPr>
                      <w:rStyle w:val="11"/>
                      <w:rFonts w:hint="eastAsia"/>
                    </w:rPr>
                    <w:t>60-80毫升/亩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6016D4">
                  <w:r>
                    <w:rPr>
                      <w:rStyle w:val="11"/>
                      <w:rFonts w:hint="eastAsia"/>
                    </w:rPr>
                    <w:t>茎叶喷雾</w:t>
                  </w:r>
                </w:p>
              </w:tc>
            </w:tr>
          </w:tbl>
          <w:p w14:paraId="27BF05F8">
            <w:pPr>
              <w:rPr>
                <w:rFonts w:ascii="Times New Roman" w:hAnsi="Times New Roman" w:cs="Times New Roman"/>
                <w:sz w:val="20"/>
                <w:szCs w:val="20"/>
              </w:rPr>
            </w:pPr>
          </w:p>
        </w:tc>
      </w:tr>
      <w:tr w14:paraId="20D9DAC4">
        <w:tblPrEx>
          <w:tblCellMar>
            <w:top w:w="0" w:type="dxa"/>
            <w:left w:w="0" w:type="dxa"/>
            <w:bottom w:w="0" w:type="dxa"/>
            <w:right w:w="0" w:type="dxa"/>
          </w:tblCellMar>
        </w:tblPrEx>
        <w:trPr>
          <w:wBefore w:w="0" w:type="auto"/>
          <w:tblCellSpacing w:w="0" w:type="dxa"/>
        </w:trPr>
        <w:tc>
          <w:tcPr>
            <w:tcW w:w="0" w:type="auto"/>
            <w:noWrap w:val="0"/>
            <w:vAlign w:val="center"/>
          </w:tcPr>
          <w:p w14:paraId="6C02AF5F">
            <w:r>
              <w:rPr>
                <w:rStyle w:val="10"/>
                <w:rFonts w:hint="eastAsia"/>
              </w:rPr>
              <w:t>使用技术要求:</w:t>
            </w:r>
            <w:r>
              <w:rPr>
                <w:rFonts w:hint="eastAsia"/>
              </w:rPr>
              <w:br w:type="textWrapping"/>
            </w:r>
            <w:r>
              <w:rPr>
                <w:rStyle w:val="11"/>
                <w:rFonts w:hint="eastAsia"/>
              </w:rPr>
              <w:t>1.于水稻田应于稗草3-5叶期施药，茎叶喷雾，每亩用水30-40L，施药1次。 2.施药量按稗草密度和叶龄确定，稗草密度大、草龄大，使用上限用药量。水层勿淹没水稻心叶避免药害。 3.每季作物最多使用1次。</w:t>
            </w:r>
          </w:p>
        </w:tc>
      </w:tr>
      <w:tr w14:paraId="4A67506F">
        <w:tblPrEx>
          <w:tblCellMar>
            <w:top w:w="0" w:type="dxa"/>
            <w:left w:w="0" w:type="dxa"/>
            <w:bottom w:w="0" w:type="dxa"/>
            <w:right w:w="0" w:type="dxa"/>
          </w:tblCellMar>
        </w:tblPrEx>
        <w:trPr>
          <w:wBefore w:w="0" w:type="auto"/>
          <w:tblCellSpacing w:w="0" w:type="dxa"/>
        </w:trPr>
        <w:tc>
          <w:tcPr>
            <w:tcW w:w="0" w:type="auto"/>
            <w:noWrap w:val="0"/>
            <w:vAlign w:val="center"/>
          </w:tcPr>
          <w:p w14:paraId="5C9F987C">
            <w:r>
              <w:rPr>
                <w:rStyle w:val="10"/>
                <w:rFonts w:hint="eastAsia"/>
              </w:rPr>
              <w:t>产品性能:</w:t>
            </w:r>
            <w:r>
              <w:rPr>
                <w:rFonts w:hint="eastAsia"/>
              </w:rPr>
              <w:br w:type="textWrapping"/>
            </w:r>
            <w:r>
              <w:rPr>
                <w:rStyle w:val="11"/>
                <w:rFonts w:hint="eastAsia"/>
              </w:rPr>
              <w:t xml:space="preserve">本品是噁唑酰草胺和二氯喹啉酸的混配制剂，噁唑酰草胺为芳氧苯氧丙酸类除草剂，具内吸传导性，属乙酰辅酶A合成酶抑制剂。噁唑酰草胺对水稻具有较强选择性和高效茎叶处理除草活性。二氯喹啉酸属喹啉羧酸类除草剂，是选择性苗后除草剂。本品可用于水稻田,能够有效的防除直播水稻田稗草。 </w:t>
            </w:r>
          </w:p>
        </w:tc>
      </w:tr>
      <w:tr w14:paraId="2BF01220">
        <w:tblPrEx>
          <w:tblCellMar>
            <w:top w:w="0" w:type="dxa"/>
            <w:left w:w="0" w:type="dxa"/>
            <w:bottom w:w="0" w:type="dxa"/>
            <w:right w:w="0" w:type="dxa"/>
          </w:tblCellMar>
        </w:tblPrEx>
        <w:trPr>
          <w:wBefore w:w="0" w:type="auto"/>
          <w:tblCellSpacing w:w="0" w:type="dxa"/>
        </w:trPr>
        <w:tc>
          <w:tcPr>
            <w:tcW w:w="0" w:type="auto"/>
            <w:noWrap w:val="0"/>
            <w:vAlign w:val="center"/>
          </w:tcPr>
          <w:p w14:paraId="338B38DB">
            <w:r>
              <w:rPr>
                <w:rStyle w:val="10"/>
                <w:rFonts w:hint="eastAsia"/>
              </w:rPr>
              <w:t>注意事项：</w:t>
            </w:r>
            <w:r>
              <w:rPr>
                <w:rFonts w:hint="eastAsia"/>
              </w:rPr>
              <w:br w:type="textWrapping"/>
            </w:r>
            <w:r>
              <w:rPr>
                <w:rStyle w:val="11"/>
                <w:rFonts w:hint="eastAsia"/>
              </w:rPr>
              <w:t>1.应防止药剂与其它植物接触，更不可将有药田水排入荸荠田、鱼塘，以免产生药害。远离水产养殖区、河塘等水体施药，禁止在河塘等水体中清洗施药器具；鱼或虾蟹套养稻田禁用、施药后的田水不得直接排入水体。 2.使用本品时，应穿戴防护服、手套、口罩和护目镜等防护用品，避免农药与眼睛、皮肤接触或吸入。施药期间，不可饮食、吸烟，施药后应及时洗手、洗脸。避免药液接触眼睛。 3.用过的包装物应妥善处理，不可做他用，也不可随意丢弃。 4.施药后彻底清洗施药器械，废水妥善处理，以免污染水源与环境。禁止在河塘等水体中清洗施药器具。 远离水产养殖区、河塘等水体施药。5.孕妇及哺乳期妇女避免接触此药。</w:t>
            </w:r>
          </w:p>
        </w:tc>
      </w:tr>
      <w:tr w14:paraId="50788A1C">
        <w:tblPrEx>
          <w:tblCellMar>
            <w:top w:w="0" w:type="dxa"/>
            <w:left w:w="0" w:type="dxa"/>
            <w:bottom w:w="0" w:type="dxa"/>
            <w:right w:w="0" w:type="dxa"/>
          </w:tblCellMar>
        </w:tblPrEx>
        <w:trPr>
          <w:wBefore w:w="0" w:type="auto"/>
          <w:tblCellSpacing w:w="0" w:type="dxa"/>
        </w:trPr>
        <w:tc>
          <w:tcPr>
            <w:tcW w:w="0" w:type="auto"/>
            <w:noWrap w:val="0"/>
            <w:vAlign w:val="center"/>
          </w:tcPr>
          <w:p w14:paraId="0EB23F3D">
            <w:r>
              <w:rPr>
                <w:rStyle w:val="10"/>
                <w:rFonts w:hint="eastAsia"/>
              </w:rPr>
              <w:t>中毒急救措施：</w:t>
            </w:r>
            <w:r>
              <w:rPr>
                <w:rFonts w:hint="eastAsia"/>
              </w:rPr>
              <w:br w:type="textWrapping"/>
            </w:r>
            <w:r>
              <w:rPr>
                <w:rStyle w:val="11"/>
                <w:rFonts w:hint="eastAsia"/>
              </w:rPr>
              <w:t xml:space="preserve">对皮肤和眼睛有刺激性，注意安全防护。1.眼睛溅入：立刻用大量清水冲洗，如配戴隐形眼镜，冲洗1-2分钟后摘掉眼镜再冲洗数分钟。如症状持续，请就医。 2.误食：请勿自行引吐。请即就医。 3.皮肤接触：脱去被溅及衣物。立刻用大量清水冲洗皮肤。如症状持续，请就医。衣物彻底清洗后方可再穿。丢弃无法清洗的物件如皮革制品。 4.误吸：转移至空气清新处，并携此标签去医院诊治。 </w:t>
            </w:r>
          </w:p>
        </w:tc>
      </w:tr>
      <w:tr w14:paraId="53C808DC">
        <w:tblPrEx>
          <w:tblCellMar>
            <w:top w:w="0" w:type="dxa"/>
            <w:left w:w="0" w:type="dxa"/>
            <w:bottom w:w="0" w:type="dxa"/>
            <w:right w:w="0" w:type="dxa"/>
          </w:tblCellMar>
        </w:tblPrEx>
        <w:trPr>
          <w:wBefore w:w="0" w:type="auto"/>
          <w:tblCellSpacing w:w="0" w:type="dxa"/>
        </w:trPr>
        <w:tc>
          <w:tcPr>
            <w:tcW w:w="0" w:type="auto"/>
            <w:noWrap w:val="0"/>
            <w:vAlign w:val="center"/>
          </w:tcPr>
          <w:p w14:paraId="2041E2B6">
            <w:r>
              <w:rPr>
                <w:rStyle w:val="10"/>
                <w:rFonts w:hint="eastAsia"/>
              </w:rPr>
              <w:t>储存和运输方法：</w:t>
            </w:r>
            <w:r>
              <w:rPr>
                <w:rFonts w:hint="eastAsia"/>
              </w:rPr>
              <w:br w:type="textWrapping"/>
            </w:r>
            <w:r>
              <w:rPr>
                <w:rStyle w:val="11"/>
                <w:rFonts w:hint="eastAsia"/>
              </w:rPr>
              <w:t xml:space="preserve">本品应贮存在干燥、阴凉、通风、防雨处，远离火源或热源。置于儿童触及不到之处，并加锁。勿与食品、饮料、粮食、饲料等其他同贮同运。 </w:t>
            </w:r>
          </w:p>
        </w:tc>
      </w:tr>
      <w:tr w14:paraId="4C4CDD0A">
        <w:tblPrEx>
          <w:tblCellMar>
            <w:top w:w="0" w:type="dxa"/>
            <w:left w:w="0" w:type="dxa"/>
            <w:bottom w:w="0" w:type="dxa"/>
            <w:right w:w="0" w:type="dxa"/>
          </w:tblCellMar>
        </w:tblPrEx>
        <w:trPr>
          <w:wBefore w:w="0" w:type="auto"/>
          <w:tblCellSpacing w:w="0" w:type="dxa"/>
        </w:trPr>
        <w:tc>
          <w:tcPr>
            <w:tcW w:w="0" w:type="auto"/>
            <w:noWrap w:val="0"/>
            <w:vAlign w:val="center"/>
          </w:tcPr>
          <w:p w14:paraId="4CE2EB5F">
            <w:r>
              <w:rPr>
                <w:rStyle w:val="10"/>
                <w:rFonts w:hint="eastAsia"/>
              </w:rPr>
              <w:t>质量保证期：</w:t>
            </w:r>
            <w:r>
              <w:rPr>
                <w:rStyle w:val="11"/>
                <w:rFonts w:hint="eastAsia"/>
              </w:rPr>
              <w:t>2年</w:t>
            </w:r>
          </w:p>
        </w:tc>
      </w:tr>
      <w:tr w14:paraId="32EF9BB3">
        <w:tblPrEx>
          <w:tblCellMar>
            <w:top w:w="0" w:type="dxa"/>
            <w:left w:w="0" w:type="dxa"/>
            <w:bottom w:w="0" w:type="dxa"/>
            <w:right w:w="0" w:type="dxa"/>
          </w:tblCellMar>
        </w:tblPrEx>
        <w:trPr>
          <w:wBefore w:w="0" w:type="auto"/>
          <w:tblCellSpacing w:w="0" w:type="dxa"/>
        </w:trPr>
        <w:tc>
          <w:tcPr>
            <w:tcW w:w="0" w:type="auto"/>
            <w:noWrap w:val="0"/>
            <w:vAlign w:val="center"/>
          </w:tcPr>
          <w:p w14:paraId="324F8E4A">
            <w:r>
              <w:rPr>
                <w:rStyle w:val="10"/>
                <w:rFonts w:hint="eastAsia"/>
              </w:rPr>
              <w:t>备注：</w:t>
            </w:r>
          </w:p>
        </w:tc>
      </w:tr>
    </w:tbl>
    <w:p w14:paraId="5B72B76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0E6B035">
        <w:tblPrEx>
          <w:tblCellMar>
            <w:top w:w="0" w:type="dxa"/>
            <w:left w:w="0" w:type="dxa"/>
            <w:bottom w:w="0" w:type="dxa"/>
            <w:right w:w="0" w:type="dxa"/>
          </w:tblCellMar>
        </w:tblPrEx>
        <w:trPr>
          <w:wBefore w:w="0" w:type="auto"/>
          <w:tblCellSpacing w:w="0" w:type="dxa"/>
        </w:trPr>
        <w:tc>
          <w:tcPr>
            <w:tcW w:w="0" w:type="auto"/>
            <w:noWrap w:val="0"/>
            <w:vAlign w:val="center"/>
          </w:tcPr>
          <w:p w14:paraId="02A8CB71">
            <w:r>
              <w:rPr>
                <w:rStyle w:val="10"/>
                <w:rFonts w:hint="eastAsia"/>
              </w:rPr>
              <w:t>登记证号：</w:t>
            </w:r>
            <w:r>
              <w:rPr>
                <w:rFonts w:hint="eastAsia"/>
              </w:rPr>
              <w:t>PD20212069</w:t>
            </w:r>
          </w:p>
        </w:tc>
      </w:tr>
      <w:tr w14:paraId="39C753C3">
        <w:tblPrEx>
          <w:tblCellMar>
            <w:top w:w="0" w:type="dxa"/>
            <w:left w:w="0" w:type="dxa"/>
            <w:bottom w:w="0" w:type="dxa"/>
            <w:right w:w="0" w:type="dxa"/>
          </w:tblCellMar>
        </w:tblPrEx>
        <w:trPr>
          <w:wBefore w:w="0" w:type="auto"/>
          <w:tblCellSpacing w:w="0" w:type="dxa"/>
        </w:trPr>
        <w:tc>
          <w:tcPr>
            <w:tcW w:w="0" w:type="auto"/>
            <w:noWrap w:val="0"/>
            <w:vAlign w:val="center"/>
          </w:tcPr>
          <w:p w14:paraId="032A6695">
            <w:r>
              <w:rPr>
                <w:rStyle w:val="10"/>
                <w:rFonts w:hint="eastAsia"/>
              </w:rPr>
              <w:t>登记证持有人：</w:t>
            </w:r>
            <w:r>
              <w:rPr>
                <w:rFonts w:hint="eastAsia"/>
              </w:rPr>
              <w:t>上海同瑞生物科技有限公司</w:t>
            </w:r>
          </w:p>
        </w:tc>
      </w:tr>
      <w:tr w14:paraId="4E191C6C">
        <w:tblPrEx>
          <w:tblCellMar>
            <w:top w:w="0" w:type="dxa"/>
            <w:left w:w="0" w:type="dxa"/>
            <w:bottom w:w="0" w:type="dxa"/>
            <w:right w:w="0" w:type="dxa"/>
          </w:tblCellMar>
        </w:tblPrEx>
        <w:trPr>
          <w:wBefore w:w="0" w:type="auto"/>
          <w:tblCellSpacing w:w="0" w:type="dxa"/>
        </w:trPr>
        <w:tc>
          <w:tcPr>
            <w:tcW w:w="0" w:type="auto"/>
            <w:noWrap w:val="0"/>
            <w:vAlign w:val="center"/>
          </w:tcPr>
          <w:p w14:paraId="23240BB7">
            <w:r>
              <w:rPr>
                <w:rStyle w:val="10"/>
                <w:rFonts w:hint="eastAsia"/>
              </w:rPr>
              <w:t>农药名称：</w:t>
            </w:r>
            <w:r>
              <w:rPr>
                <w:rFonts w:hint="eastAsia"/>
              </w:rPr>
              <w:t>赤霉酸</w:t>
            </w:r>
          </w:p>
        </w:tc>
      </w:tr>
      <w:tr w14:paraId="39BC3915">
        <w:tblPrEx>
          <w:tblCellMar>
            <w:top w:w="0" w:type="dxa"/>
            <w:left w:w="0" w:type="dxa"/>
            <w:bottom w:w="0" w:type="dxa"/>
            <w:right w:w="0" w:type="dxa"/>
          </w:tblCellMar>
        </w:tblPrEx>
        <w:trPr>
          <w:wBefore w:w="0" w:type="auto"/>
          <w:tblCellSpacing w:w="0" w:type="dxa"/>
        </w:trPr>
        <w:tc>
          <w:tcPr>
            <w:tcW w:w="0" w:type="auto"/>
            <w:noWrap w:val="0"/>
            <w:vAlign w:val="center"/>
          </w:tcPr>
          <w:p w14:paraId="7A068EDB">
            <w:r>
              <w:rPr>
                <w:rStyle w:val="10"/>
                <w:rFonts w:hint="eastAsia"/>
              </w:rPr>
              <w:t>剂型：</w:t>
            </w:r>
            <w:r>
              <w:rPr>
                <w:rFonts w:hint="eastAsia"/>
              </w:rPr>
              <w:t>可溶液剂</w:t>
            </w:r>
          </w:p>
        </w:tc>
      </w:tr>
      <w:tr w14:paraId="76D90A00">
        <w:tblPrEx>
          <w:tblCellMar>
            <w:top w:w="0" w:type="dxa"/>
            <w:left w:w="0" w:type="dxa"/>
            <w:bottom w:w="0" w:type="dxa"/>
            <w:right w:w="0" w:type="dxa"/>
          </w:tblCellMar>
        </w:tblPrEx>
        <w:trPr>
          <w:wBefore w:w="0" w:type="auto"/>
          <w:tblCellSpacing w:w="0" w:type="dxa"/>
        </w:trPr>
        <w:tc>
          <w:tcPr>
            <w:tcW w:w="0" w:type="auto"/>
            <w:noWrap w:val="0"/>
            <w:vAlign w:val="center"/>
          </w:tcPr>
          <w:p w14:paraId="65F4C6C5">
            <w:r>
              <w:rPr>
                <w:rStyle w:val="10"/>
                <w:rFonts w:hint="eastAsia"/>
              </w:rPr>
              <w:t>毒性及其标识：</w:t>
            </w:r>
            <w:r>
              <w:rPr>
                <w:rFonts w:hint="eastAsia"/>
              </w:rPr>
              <w:t xml:space="preserve"> </w:t>
            </w:r>
            <w:r>
              <w:rPr>
                <w:lang/>
              </w:rPr>
              <w:drawing>
                <wp:inline distT="0" distB="0" distL="114300" distR="114300">
                  <wp:extent cx="476250" cy="323850"/>
                  <wp:effectExtent l="0" t="0" r="0" b="0"/>
                  <wp:docPr id="609" name="图片 60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A05E9A9">
        <w:tblPrEx>
          <w:tblCellMar>
            <w:top w:w="0" w:type="dxa"/>
            <w:left w:w="0" w:type="dxa"/>
            <w:bottom w:w="0" w:type="dxa"/>
            <w:right w:w="0" w:type="dxa"/>
          </w:tblCellMar>
        </w:tblPrEx>
        <w:trPr>
          <w:wBefore w:w="0" w:type="auto"/>
          <w:tblCellSpacing w:w="0" w:type="dxa"/>
        </w:trPr>
        <w:tc>
          <w:tcPr>
            <w:tcW w:w="0" w:type="auto"/>
            <w:noWrap w:val="0"/>
            <w:vAlign w:val="center"/>
          </w:tcPr>
          <w:p w14:paraId="0B6C3B79">
            <w:r>
              <w:rPr>
                <w:rStyle w:val="10"/>
                <w:rFonts w:hint="eastAsia"/>
              </w:rPr>
              <w:t>总有效成分含量：</w:t>
            </w:r>
            <w:r>
              <w:rPr>
                <w:rFonts w:hint="eastAsia"/>
              </w:rPr>
              <w:t>6%</w:t>
            </w:r>
          </w:p>
        </w:tc>
      </w:tr>
      <w:tr w14:paraId="356CBDAE">
        <w:tblPrEx>
          <w:tblCellMar>
            <w:top w:w="0" w:type="dxa"/>
            <w:left w:w="0" w:type="dxa"/>
            <w:bottom w:w="0" w:type="dxa"/>
            <w:right w:w="0" w:type="dxa"/>
          </w:tblCellMar>
        </w:tblPrEx>
        <w:trPr>
          <w:wBefore w:w="0" w:type="auto"/>
          <w:tblCellSpacing w:w="0" w:type="dxa"/>
        </w:trPr>
        <w:tc>
          <w:tcPr>
            <w:tcW w:w="0" w:type="auto"/>
            <w:noWrap w:val="0"/>
            <w:vAlign w:val="center"/>
          </w:tcPr>
          <w:p w14:paraId="567E4C54">
            <w:r>
              <w:rPr>
                <w:rFonts w:hint="eastAsia"/>
              </w:rPr>
              <w:t xml:space="preserve">有效成分及其含量： </w:t>
            </w:r>
          </w:p>
          <w:p w14:paraId="23D4A1DC">
            <w:r>
              <w:rPr>
                <w:rFonts w:hint="eastAsia"/>
              </w:rPr>
              <w:t xml:space="preserve">    赤霉酸6%    </w:t>
            </w:r>
          </w:p>
        </w:tc>
      </w:tr>
      <w:tr w14:paraId="0DCC2E76">
        <w:tblPrEx>
          <w:tblCellMar>
            <w:top w:w="0" w:type="dxa"/>
            <w:left w:w="0" w:type="dxa"/>
            <w:bottom w:w="0" w:type="dxa"/>
            <w:right w:w="0" w:type="dxa"/>
          </w:tblCellMar>
        </w:tblPrEx>
        <w:trPr>
          <w:wBefore w:w="0" w:type="auto"/>
          <w:tblCellSpacing w:w="0" w:type="dxa"/>
        </w:trPr>
        <w:tc>
          <w:tcPr>
            <w:tcW w:w="0" w:type="auto"/>
            <w:noWrap w:val="0"/>
            <w:vAlign w:val="center"/>
          </w:tcPr>
          <w:p w14:paraId="16F2F5D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4C6AF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543654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4DCB6F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842010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2EF1C6">
                  <w:r>
                    <w:rPr>
                      <w:rStyle w:val="11"/>
                      <w:rFonts w:hint="eastAsia"/>
                    </w:rPr>
                    <w:t>施用方式</w:t>
                  </w:r>
                </w:p>
              </w:tc>
            </w:tr>
            <w:tr w14:paraId="2729399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E5DC0ED">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AB7CD0">
                  <w:r>
                    <w:rPr>
                      <w:rStyle w:val="11"/>
                      <w:rFonts w:hint="eastAsia"/>
                    </w:rPr>
                    <w:t>调节生长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D33328">
                  <w:r>
                    <w:rPr>
                      <w:rStyle w:val="11"/>
                      <w:rFonts w:hint="eastAsia"/>
                    </w:rPr>
                    <w:t>1500-3000倍液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FCAE64">
                  <w:r>
                    <w:rPr>
                      <w:rStyle w:val="11"/>
                      <w:rFonts w:hint="eastAsia"/>
                    </w:rPr>
                    <w:t>喷雾</w:t>
                  </w:r>
                </w:p>
              </w:tc>
            </w:tr>
          </w:tbl>
          <w:p w14:paraId="44947869">
            <w:pPr>
              <w:rPr>
                <w:rFonts w:ascii="Times New Roman" w:hAnsi="Times New Roman" w:cs="Times New Roman"/>
                <w:sz w:val="20"/>
                <w:szCs w:val="20"/>
              </w:rPr>
            </w:pPr>
          </w:p>
        </w:tc>
      </w:tr>
      <w:tr w14:paraId="66843D8A">
        <w:tblPrEx>
          <w:tblCellMar>
            <w:top w:w="0" w:type="dxa"/>
            <w:left w:w="0" w:type="dxa"/>
            <w:bottom w:w="0" w:type="dxa"/>
            <w:right w:w="0" w:type="dxa"/>
          </w:tblCellMar>
        </w:tblPrEx>
        <w:trPr>
          <w:wBefore w:w="0" w:type="auto"/>
          <w:tblCellSpacing w:w="0" w:type="dxa"/>
        </w:trPr>
        <w:tc>
          <w:tcPr>
            <w:tcW w:w="0" w:type="auto"/>
            <w:noWrap w:val="0"/>
            <w:vAlign w:val="center"/>
          </w:tcPr>
          <w:p w14:paraId="6F0193C8">
            <w:r>
              <w:rPr>
                <w:rStyle w:val="10"/>
                <w:rFonts w:hint="eastAsia"/>
              </w:rPr>
              <w:t>使用技术要求:</w:t>
            </w:r>
            <w:r>
              <w:rPr>
                <w:rFonts w:hint="eastAsia"/>
              </w:rPr>
              <w:br w:type="textWrapping"/>
            </w:r>
            <w:r>
              <w:rPr>
                <w:rStyle w:val="11"/>
                <w:rFonts w:hint="eastAsia"/>
              </w:rPr>
              <w:t>在柑橘树谢花2/3左右、幼果期喷雾施药各一次，二次用药间隔10-15天。</w:t>
            </w:r>
          </w:p>
        </w:tc>
      </w:tr>
      <w:tr w14:paraId="73B01148">
        <w:tblPrEx>
          <w:tblCellMar>
            <w:top w:w="0" w:type="dxa"/>
            <w:left w:w="0" w:type="dxa"/>
            <w:bottom w:w="0" w:type="dxa"/>
            <w:right w:w="0" w:type="dxa"/>
          </w:tblCellMar>
        </w:tblPrEx>
        <w:trPr>
          <w:wBefore w:w="0" w:type="auto"/>
          <w:tblCellSpacing w:w="0" w:type="dxa"/>
        </w:trPr>
        <w:tc>
          <w:tcPr>
            <w:tcW w:w="0" w:type="auto"/>
            <w:noWrap w:val="0"/>
            <w:vAlign w:val="center"/>
          </w:tcPr>
          <w:p w14:paraId="05E6E19C">
            <w:r>
              <w:rPr>
                <w:rStyle w:val="10"/>
                <w:rFonts w:hint="eastAsia"/>
              </w:rPr>
              <w:t>产品性能:</w:t>
            </w:r>
            <w:r>
              <w:rPr>
                <w:rFonts w:hint="eastAsia"/>
              </w:rPr>
              <w:br w:type="textWrapping"/>
            </w:r>
            <w:r>
              <w:rPr>
                <w:rStyle w:val="11"/>
                <w:rFonts w:hint="eastAsia"/>
              </w:rPr>
              <w:t>本品为植物生长调节，能刺激植物细胞伸长，使植株长高，叶片增大；赤霉酸能打破种子，块茎、块根的休眠，促使其萌发；能刺激果实生长，提高结实率或形成无籽果实；促进一些需要低温才能通过生育期阶段的植物提早花芽分化；能诱导α淀粉酶形成，加速胚乳细胞中贮藏物质的水解。</w:t>
            </w:r>
          </w:p>
        </w:tc>
      </w:tr>
      <w:tr w14:paraId="4185B82F">
        <w:tblPrEx>
          <w:tblCellMar>
            <w:top w:w="0" w:type="dxa"/>
            <w:left w:w="0" w:type="dxa"/>
            <w:bottom w:w="0" w:type="dxa"/>
            <w:right w:w="0" w:type="dxa"/>
          </w:tblCellMar>
        </w:tblPrEx>
        <w:trPr>
          <w:wBefore w:w="0" w:type="auto"/>
          <w:tblCellSpacing w:w="0" w:type="dxa"/>
        </w:trPr>
        <w:tc>
          <w:tcPr>
            <w:tcW w:w="0" w:type="auto"/>
            <w:noWrap w:val="0"/>
            <w:vAlign w:val="center"/>
          </w:tcPr>
          <w:p w14:paraId="3ED20AFD">
            <w:r>
              <w:rPr>
                <w:rStyle w:val="10"/>
                <w:rFonts w:hint="eastAsia"/>
              </w:rPr>
              <w:t>注意事项：</w:t>
            </w:r>
            <w:r>
              <w:rPr>
                <w:rFonts w:hint="eastAsia"/>
              </w:rPr>
              <w:br w:type="textWrapping"/>
            </w:r>
            <w:r>
              <w:rPr>
                <w:rStyle w:val="11"/>
                <w:rFonts w:hint="eastAsia"/>
              </w:rPr>
              <w:t>1、喷药宜在相对温度高、无风的清晨及傍晚或阴天进行，勿在烈日或大风时喷药。喷药后6小时内下雨须补喷。2、本品在酸性环境中较稳定，勿与碱性物质混用。3、溶液配制要按需定量，一经配成水溶液不可久存，应随用随配，以免失去活性而影响效果。4、本品对眼睛有刺激性，使用本品时应穿戴防护服、护目镜、口罩和手套等防护用具，避免吸入、皮肤和眼睛接触农药。施药期间不可吃东西、饮水和吸烟。施药后应及时洗手和洗脸。5、禁止在河塘等水域内清洗施药器具或将清洗施药器具的废水倒入河流、池塘等水源。6、用过的容器应妥善处理，不可做它用，也不可随意丢弃。7、避免孕妇及哺乳期妇女接触。</w:t>
            </w:r>
          </w:p>
        </w:tc>
      </w:tr>
      <w:tr w14:paraId="46C479B4">
        <w:tblPrEx>
          <w:tblCellMar>
            <w:top w:w="0" w:type="dxa"/>
            <w:left w:w="0" w:type="dxa"/>
            <w:bottom w:w="0" w:type="dxa"/>
            <w:right w:w="0" w:type="dxa"/>
          </w:tblCellMar>
        </w:tblPrEx>
        <w:trPr>
          <w:wBefore w:w="0" w:type="auto"/>
          <w:tblCellSpacing w:w="0" w:type="dxa"/>
        </w:trPr>
        <w:tc>
          <w:tcPr>
            <w:tcW w:w="0" w:type="auto"/>
            <w:noWrap w:val="0"/>
            <w:vAlign w:val="center"/>
          </w:tcPr>
          <w:p w14:paraId="02CD4863">
            <w:r>
              <w:rPr>
                <w:rStyle w:val="10"/>
                <w:rFonts w:hint="eastAsia"/>
              </w:rPr>
              <w:t>中毒急救措施：</w:t>
            </w:r>
            <w:r>
              <w:rPr>
                <w:rFonts w:hint="eastAsia"/>
              </w:rPr>
              <w:br w:type="textWrapping"/>
            </w:r>
            <w:r>
              <w:rPr>
                <w:rStyle w:val="11"/>
                <w:rFonts w:hint="eastAsia"/>
              </w:rPr>
              <w:t>1、对眼睛与刺激。不慎接触皮肤或溅入眼睛，应用大量清水冲洗至少15分钟。2、不慎吸入，应将病人移至空气流通处。3、如出现误服少量立即多喝水，量多到医院进行洗胃处理。由于毒性不大无明显中毒症状。</w:t>
            </w:r>
          </w:p>
        </w:tc>
      </w:tr>
      <w:tr w14:paraId="34CC65D6">
        <w:tblPrEx>
          <w:tblCellMar>
            <w:top w:w="0" w:type="dxa"/>
            <w:left w:w="0" w:type="dxa"/>
            <w:bottom w:w="0" w:type="dxa"/>
            <w:right w:w="0" w:type="dxa"/>
          </w:tblCellMar>
        </w:tblPrEx>
        <w:trPr>
          <w:wBefore w:w="0" w:type="auto"/>
          <w:tblCellSpacing w:w="0" w:type="dxa"/>
        </w:trPr>
        <w:tc>
          <w:tcPr>
            <w:tcW w:w="0" w:type="auto"/>
            <w:noWrap w:val="0"/>
            <w:vAlign w:val="center"/>
          </w:tcPr>
          <w:p w14:paraId="5987EF21">
            <w:r>
              <w:rPr>
                <w:rStyle w:val="10"/>
                <w:rFonts w:hint="eastAsia"/>
              </w:rPr>
              <w:t>储存和运输方法：</w:t>
            </w:r>
            <w:r>
              <w:rPr>
                <w:rFonts w:hint="eastAsia"/>
              </w:rPr>
              <w:br w:type="textWrapping"/>
            </w:r>
            <w:r>
              <w:rPr>
                <w:rStyle w:val="11"/>
                <w:rFonts w:hint="eastAsia"/>
              </w:rPr>
              <w:t>本品应贮存在阴凉、干燥、通风处，远离火源，不能与食品、饮料、粮食、饲料等物品同贮同运。远离儿童及家畜，以免误服，并加锁保存。</w:t>
            </w:r>
          </w:p>
        </w:tc>
      </w:tr>
      <w:tr w14:paraId="7F782BB7">
        <w:tblPrEx>
          <w:tblCellMar>
            <w:top w:w="0" w:type="dxa"/>
            <w:left w:w="0" w:type="dxa"/>
            <w:bottom w:w="0" w:type="dxa"/>
            <w:right w:w="0" w:type="dxa"/>
          </w:tblCellMar>
        </w:tblPrEx>
        <w:trPr>
          <w:wBefore w:w="0" w:type="auto"/>
          <w:tblCellSpacing w:w="0" w:type="dxa"/>
        </w:trPr>
        <w:tc>
          <w:tcPr>
            <w:tcW w:w="0" w:type="auto"/>
            <w:noWrap w:val="0"/>
            <w:vAlign w:val="center"/>
          </w:tcPr>
          <w:p w14:paraId="10CE6D42">
            <w:r>
              <w:rPr>
                <w:rStyle w:val="10"/>
                <w:rFonts w:hint="eastAsia"/>
              </w:rPr>
              <w:t>质量保证期：</w:t>
            </w:r>
            <w:r>
              <w:rPr>
                <w:rStyle w:val="11"/>
                <w:rFonts w:hint="eastAsia"/>
              </w:rPr>
              <w:t>2年</w:t>
            </w:r>
          </w:p>
        </w:tc>
      </w:tr>
      <w:tr w14:paraId="1ED9FA2A">
        <w:tblPrEx>
          <w:tblCellMar>
            <w:top w:w="0" w:type="dxa"/>
            <w:left w:w="0" w:type="dxa"/>
            <w:bottom w:w="0" w:type="dxa"/>
            <w:right w:w="0" w:type="dxa"/>
          </w:tblCellMar>
        </w:tblPrEx>
        <w:trPr>
          <w:wBefore w:w="0" w:type="auto"/>
          <w:tblCellSpacing w:w="0" w:type="dxa"/>
        </w:trPr>
        <w:tc>
          <w:tcPr>
            <w:tcW w:w="0" w:type="auto"/>
            <w:noWrap w:val="0"/>
            <w:vAlign w:val="center"/>
          </w:tcPr>
          <w:p w14:paraId="3ED8FB40">
            <w:r>
              <w:rPr>
                <w:rStyle w:val="10"/>
                <w:rFonts w:hint="eastAsia"/>
              </w:rPr>
              <w:t>备注：</w:t>
            </w:r>
          </w:p>
        </w:tc>
      </w:tr>
    </w:tbl>
    <w:p w14:paraId="34180B4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816B3A8">
        <w:tblPrEx>
          <w:tblCellMar>
            <w:top w:w="0" w:type="dxa"/>
            <w:left w:w="0" w:type="dxa"/>
            <w:bottom w:w="0" w:type="dxa"/>
            <w:right w:w="0" w:type="dxa"/>
          </w:tblCellMar>
        </w:tblPrEx>
        <w:trPr>
          <w:wBefore w:w="0" w:type="auto"/>
          <w:tblCellSpacing w:w="0" w:type="dxa"/>
        </w:trPr>
        <w:tc>
          <w:tcPr>
            <w:tcW w:w="0" w:type="auto"/>
            <w:noWrap w:val="0"/>
            <w:vAlign w:val="center"/>
          </w:tcPr>
          <w:p w14:paraId="31418203">
            <w:r>
              <w:rPr>
                <w:rStyle w:val="10"/>
                <w:rFonts w:hint="eastAsia"/>
              </w:rPr>
              <w:t>登记证号：</w:t>
            </w:r>
            <w:r>
              <w:rPr>
                <w:rFonts w:hint="eastAsia"/>
              </w:rPr>
              <w:t>PD20212007</w:t>
            </w:r>
          </w:p>
        </w:tc>
      </w:tr>
      <w:tr w14:paraId="19605C89">
        <w:tblPrEx>
          <w:tblCellMar>
            <w:top w:w="0" w:type="dxa"/>
            <w:left w:w="0" w:type="dxa"/>
            <w:bottom w:w="0" w:type="dxa"/>
            <w:right w:w="0" w:type="dxa"/>
          </w:tblCellMar>
        </w:tblPrEx>
        <w:trPr>
          <w:wBefore w:w="0" w:type="auto"/>
          <w:tblCellSpacing w:w="0" w:type="dxa"/>
        </w:trPr>
        <w:tc>
          <w:tcPr>
            <w:tcW w:w="0" w:type="auto"/>
            <w:noWrap w:val="0"/>
            <w:vAlign w:val="center"/>
          </w:tcPr>
          <w:p w14:paraId="7002F943">
            <w:r>
              <w:rPr>
                <w:rStyle w:val="10"/>
                <w:rFonts w:hint="eastAsia"/>
              </w:rPr>
              <w:t>登记证持有人：</w:t>
            </w:r>
            <w:r>
              <w:rPr>
                <w:rFonts w:hint="eastAsia"/>
              </w:rPr>
              <w:t>陕西康禾立丰生物科技药业有限公司</w:t>
            </w:r>
          </w:p>
        </w:tc>
      </w:tr>
      <w:tr w14:paraId="185299BB">
        <w:tblPrEx>
          <w:tblCellMar>
            <w:top w:w="0" w:type="dxa"/>
            <w:left w:w="0" w:type="dxa"/>
            <w:bottom w:w="0" w:type="dxa"/>
            <w:right w:w="0" w:type="dxa"/>
          </w:tblCellMar>
        </w:tblPrEx>
        <w:trPr>
          <w:wBefore w:w="0" w:type="auto"/>
          <w:tblCellSpacing w:w="0" w:type="dxa"/>
        </w:trPr>
        <w:tc>
          <w:tcPr>
            <w:tcW w:w="0" w:type="auto"/>
            <w:noWrap w:val="0"/>
            <w:vAlign w:val="center"/>
          </w:tcPr>
          <w:p w14:paraId="4C7779B0">
            <w:r>
              <w:rPr>
                <w:rStyle w:val="10"/>
                <w:rFonts w:hint="eastAsia"/>
              </w:rPr>
              <w:t>农药名称：</w:t>
            </w:r>
            <w:r>
              <w:rPr>
                <w:rFonts w:hint="eastAsia"/>
              </w:rPr>
              <w:t>氟菌唑·乙嘧酚磺酸酯</w:t>
            </w:r>
          </w:p>
        </w:tc>
      </w:tr>
      <w:tr w14:paraId="20157FB5">
        <w:tblPrEx>
          <w:tblCellMar>
            <w:top w:w="0" w:type="dxa"/>
            <w:left w:w="0" w:type="dxa"/>
            <w:bottom w:w="0" w:type="dxa"/>
            <w:right w:w="0" w:type="dxa"/>
          </w:tblCellMar>
        </w:tblPrEx>
        <w:trPr>
          <w:wBefore w:w="0" w:type="auto"/>
          <w:tblCellSpacing w:w="0" w:type="dxa"/>
        </w:trPr>
        <w:tc>
          <w:tcPr>
            <w:tcW w:w="0" w:type="auto"/>
            <w:noWrap w:val="0"/>
            <w:vAlign w:val="center"/>
          </w:tcPr>
          <w:p w14:paraId="6D8FFF42">
            <w:r>
              <w:rPr>
                <w:rStyle w:val="10"/>
                <w:rFonts w:hint="eastAsia"/>
              </w:rPr>
              <w:t>剂型：</w:t>
            </w:r>
            <w:r>
              <w:rPr>
                <w:rFonts w:hint="eastAsia"/>
              </w:rPr>
              <w:t>微乳剂</w:t>
            </w:r>
          </w:p>
        </w:tc>
      </w:tr>
      <w:tr w14:paraId="5050578F">
        <w:tblPrEx>
          <w:tblCellMar>
            <w:top w:w="0" w:type="dxa"/>
            <w:left w:w="0" w:type="dxa"/>
            <w:bottom w:w="0" w:type="dxa"/>
            <w:right w:w="0" w:type="dxa"/>
          </w:tblCellMar>
        </w:tblPrEx>
        <w:trPr>
          <w:wBefore w:w="0" w:type="auto"/>
          <w:tblCellSpacing w:w="0" w:type="dxa"/>
        </w:trPr>
        <w:tc>
          <w:tcPr>
            <w:tcW w:w="0" w:type="auto"/>
            <w:noWrap w:val="0"/>
            <w:vAlign w:val="center"/>
          </w:tcPr>
          <w:p w14:paraId="068EAB21">
            <w:r>
              <w:rPr>
                <w:rStyle w:val="10"/>
                <w:rFonts w:hint="eastAsia"/>
              </w:rPr>
              <w:t>毒性及其标识：</w:t>
            </w:r>
            <w:r>
              <w:rPr>
                <w:rFonts w:hint="eastAsia"/>
              </w:rPr>
              <w:t xml:space="preserve"> </w:t>
            </w:r>
            <w:r>
              <w:rPr>
                <w:lang/>
              </w:rPr>
              <w:drawing>
                <wp:inline distT="0" distB="0" distL="114300" distR="114300">
                  <wp:extent cx="476250" cy="323850"/>
                  <wp:effectExtent l="0" t="0" r="0" b="0"/>
                  <wp:docPr id="610" name="图片 61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C8144D7">
        <w:tblPrEx>
          <w:tblCellMar>
            <w:top w:w="0" w:type="dxa"/>
            <w:left w:w="0" w:type="dxa"/>
            <w:bottom w:w="0" w:type="dxa"/>
            <w:right w:w="0" w:type="dxa"/>
          </w:tblCellMar>
        </w:tblPrEx>
        <w:trPr>
          <w:wBefore w:w="0" w:type="auto"/>
          <w:tblCellSpacing w:w="0" w:type="dxa"/>
        </w:trPr>
        <w:tc>
          <w:tcPr>
            <w:tcW w:w="0" w:type="auto"/>
            <w:noWrap w:val="0"/>
            <w:vAlign w:val="center"/>
          </w:tcPr>
          <w:p w14:paraId="1F3A5ACA">
            <w:r>
              <w:rPr>
                <w:rStyle w:val="10"/>
                <w:rFonts w:hint="eastAsia"/>
              </w:rPr>
              <w:t>总有效成分含量：</w:t>
            </w:r>
            <w:r>
              <w:rPr>
                <w:rFonts w:hint="eastAsia"/>
              </w:rPr>
              <w:t>35%</w:t>
            </w:r>
          </w:p>
        </w:tc>
      </w:tr>
      <w:tr w14:paraId="54FE302C">
        <w:tblPrEx>
          <w:tblCellMar>
            <w:top w:w="0" w:type="dxa"/>
            <w:left w:w="0" w:type="dxa"/>
            <w:bottom w:w="0" w:type="dxa"/>
            <w:right w:w="0" w:type="dxa"/>
          </w:tblCellMar>
        </w:tblPrEx>
        <w:trPr>
          <w:wBefore w:w="0" w:type="auto"/>
          <w:tblCellSpacing w:w="0" w:type="dxa"/>
        </w:trPr>
        <w:tc>
          <w:tcPr>
            <w:tcW w:w="0" w:type="auto"/>
            <w:noWrap w:val="0"/>
            <w:vAlign w:val="center"/>
          </w:tcPr>
          <w:p w14:paraId="40B90C21">
            <w:r>
              <w:rPr>
                <w:rFonts w:hint="eastAsia"/>
              </w:rPr>
              <w:t xml:space="preserve">有效成分及其含量： </w:t>
            </w:r>
          </w:p>
          <w:p w14:paraId="272C8131">
            <w:r>
              <w:rPr>
                <w:rFonts w:hint="eastAsia"/>
              </w:rPr>
              <w:t xml:space="preserve">    乙嘧酚磺酸酯20%    氟菌唑15%    </w:t>
            </w:r>
          </w:p>
        </w:tc>
      </w:tr>
      <w:tr w14:paraId="0D78DC5F">
        <w:tblPrEx>
          <w:tblCellMar>
            <w:top w:w="0" w:type="dxa"/>
            <w:left w:w="0" w:type="dxa"/>
            <w:bottom w:w="0" w:type="dxa"/>
            <w:right w:w="0" w:type="dxa"/>
          </w:tblCellMar>
        </w:tblPrEx>
        <w:trPr>
          <w:wBefore w:w="0" w:type="auto"/>
          <w:tblCellSpacing w:w="0" w:type="dxa"/>
        </w:trPr>
        <w:tc>
          <w:tcPr>
            <w:tcW w:w="0" w:type="auto"/>
            <w:noWrap w:val="0"/>
            <w:vAlign w:val="center"/>
          </w:tcPr>
          <w:p w14:paraId="134EF81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C9A32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E30A11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7E7FD7D">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9FB3700">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F2F9B7A">
                  <w:r>
                    <w:rPr>
                      <w:rStyle w:val="11"/>
                      <w:rFonts w:hint="eastAsia"/>
                    </w:rPr>
                    <w:t>施用方式</w:t>
                  </w:r>
                </w:p>
              </w:tc>
            </w:tr>
            <w:tr w14:paraId="1B428E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DC3B6C8">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86C151">
                  <w:r>
                    <w:rPr>
                      <w:rStyle w:val="11"/>
                      <w:rFonts w:hint="eastAsia"/>
                    </w:rPr>
                    <w:t>白粉病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65FC921">
                  <w:r>
                    <w:rPr>
                      <w:rStyle w:val="11"/>
                      <w:rFonts w:hint="eastAsia"/>
                    </w:rPr>
                    <w:t>16-32毫升/亩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19AF7D5">
                  <w:r>
                    <w:rPr>
                      <w:rStyle w:val="11"/>
                      <w:rFonts w:hint="eastAsia"/>
                    </w:rPr>
                    <w:t>喷雾</w:t>
                  </w:r>
                </w:p>
              </w:tc>
            </w:tr>
          </w:tbl>
          <w:p w14:paraId="07F92A68">
            <w:pPr>
              <w:rPr>
                <w:rFonts w:ascii="Times New Roman" w:hAnsi="Times New Roman" w:cs="Times New Roman"/>
                <w:sz w:val="20"/>
                <w:szCs w:val="20"/>
              </w:rPr>
            </w:pPr>
          </w:p>
        </w:tc>
      </w:tr>
      <w:tr w14:paraId="1A6B5A76">
        <w:tblPrEx>
          <w:tblCellMar>
            <w:top w:w="0" w:type="dxa"/>
            <w:left w:w="0" w:type="dxa"/>
            <w:bottom w:w="0" w:type="dxa"/>
            <w:right w:w="0" w:type="dxa"/>
          </w:tblCellMar>
        </w:tblPrEx>
        <w:trPr>
          <w:wBefore w:w="0" w:type="auto"/>
          <w:tblCellSpacing w:w="0" w:type="dxa"/>
        </w:trPr>
        <w:tc>
          <w:tcPr>
            <w:tcW w:w="0" w:type="auto"/>
            <w:noWrap w:val="0"/>
            <w:vAlign w:val="center"/>
          </w:tcPr>
          <w:p w14:paraId="6A0283FF">
            <w:r>
              <w:rPr>
                <w:rStyle w:val="10"/>
                <w:rFonts w:hint="eastAsia"/>
              </w:rPr>
              <w:t>使用技术要求:</w:t>
            </w:r>
            <w:r>
              <w:rPr>
                <w:rFonts w:hint="eastAsia"/>
              </w:rPr>
              <w:br w:type="textWrapping"/>
            </w:r>
            <w:r>
              <w:rPr>
                <w:rStyle w:val="11"/>
                <w:rFonts w:hint="eastAsia"/>
              </w:rPr>
              <w:t>1、本品在黄瓜上的使用安全间隔期为7天，每季作物使用3次。 2、在黄瓜白粉病发病前或发病初期施药，施药2-3次，间隔7-10天。施药时应均匀喷雾。 3、大风天或预计1小时内降雨，请勿施药。 4、施药时应避免药液漂移到其它作物上，以防产生药害。</w:t>
            </w:r>
          </w:p>
        </w:tc>
      </w:tr>
      <w:tr w14:paraId="0B794E25">
        <w:tblPrEx>
          <w:tblCellMar>
            <w:top w:w="0" w:type="dxa"/>
            <w:left w:w="0" w:type="dxa"/>
            <w:bottom w:w="0" w:type="dxa"/>
            <w:right w:w="0" w:type="dxa"/>
          </w:tblCellMar>
        </w:tblPrEx>
        <w:trPr>
          <w:wBefore w:w="0" w:type="auto"/>
          <w:tblCellSpacing w:w="0" w:type="dxa"/>
        </w:trPr>
        <w:tc>
          <w:tcPr>
            <w:tcW w:w="0" w:type="auto"/>
            <w:noWrap w:val="0"/>
            <w:vAlign w:val="center"/>
          </w:tcPr>
          <w:p w14:paraId="0F2851FC">
            <w:r>
              <w:rPr>
                <w:rStyle w:val="10"/>
                <w:rFonts w:hint="eastAsia"/>
              </w:rPr>
              <w:t>产品性能:</w:t>
            </w:r>
            <w:r>
              <w:rPr>
                <w:rFonts w:hint="eastAsia"/>
              </w:rPr>
              <w:br w:type="textWrapping"/>
            </w:r>
            <w:r>
              <w:rPr>
                <w:rStyle w:val="11"/>
                <w:rFonts w:hint="eastAsia"/>
              </w:rPr>
              <w:t>本品由乙嘧酚磺酸酯和氟菌唑科学复配而成，能有效杀死侵入植物体内的病原菌，对黄瓜白粉病有较好的防治效果。</w:t>
            </w:r>
          </w:p>
        </w:tc>
      </w:tr>
      <w:tr w14:paraId="1ED01697">
        <w:tblPrEx>
          <w:tblCellMar>
            <w:top w:w="0" w:type="dxa"/>
            <w:left w:w="0" w:type="dxa"/>
            <w:bottom w:w="0" w:type="dxa"/>
            <w:right w:w="0" w:type="dxa"/>
          </w:tblCellMar>
        </w:tblPrEx>
        <w:trPr>
          <w:wBefore w:w="0" w:type="auto"/>
          <w:tblCellSpacing w:w="0" w:type="dxa"/>
        </w:trPr>
        <w:tc>
          <w:tcPr>
            <w:tcW w:w="0" w:type="auto"/>
            <w:noWrap w:val="0"/>
            <w:vAlign w:val="center"/>
          </w:tcPr>
          <w:p w14:paraId="13A8002C">
            <w:r>
              <w:rPr>
                <w:rStyle w:val="10"/>
                <w:rFonts w:hint="eastAsia"/>
              </w:rPr>
              <w:t>注意事项：</w:t>
            </w:r>
            <w:r>
              <w:rPr>
                <w:rFonts w:hint="eastAsia"/>
              </w:rPr>
              <w:br w:type="textWrapping"/>
            </w:r>
            <w:r>
              <w:rPr>
                <w:rStyle w:val="11"/>
                <w:rFonts w:hint="eastAsia"/>
              </w:rPr>
              <w:t>1、使用本品时应戴防护服和手套，避免吸入药液；施药期间不可吃东西和饮水；施药后应及时洗手和洗脸。 2、建议与其他作用机制不同的杀菌剂轮换使用，以延缓抗性产生。 3、本品不能与碱性农药等物质混用。 4、本品不可使用最外围桑树上的桑叶饲喂家蚕。 5、使用本品时应采取必要的个人防护措施，穿戴长衣、长裤、帽子、口罩、手套等安全防护措施。 6、用过的容器应妥善处理，不可做他用，也不可随意丢弃。 7、避免孕妇及哺乳期的妇女接触。8.避免与氧化剂接触。9.该产品为易燃液体。 10.水产养殖区、河塘等水体附近禁用，禁止在河塘等水域清洗施药器具； 鸟类保护区附近禁用。</w:t>
            </w:r>
          </w:p>
        </w:tc>
      </w:tr>
      <w:tr w14:paraId="228C9003">
        <w:tblPrEx>
          <w:tblCellMar>
            <w:top w:w="0" w:type="dxa"/>
            <w:left w:w="0" w:type="dxa"/>
            <w:bottom w:w="0" w:type="dxa"/>
            <w:right w:w="0" w:type="dxa"/>
          </w:tblCellMar>
        </w:tblPrEx>
        <w:trPr>
          <w:wBefore w:w="0" w:type="auto"/>
          <w:tblCellSpacing w:w="0" w:type="dxa"/>
        </w:trPr>
        <w:tc>
          <w:tcPr>
            <w:tcW w:w="0" w:type="auto"/>
            <w:noWrap w:val="0"/>
            <w:vAlign w:val="center"/>
          </w:tcPr>
          <w:p w14:paraId="5CF99900">
            <w:r>
              <w:rPr>
                <w:rStyle w:val="10"/>
                <w:rFonts w:hint="eastAsia"/>
              </w:rPr>
              <w:t>中毒急救措施：</w:t>
            </w:r>
            <w:r>
              <w:rPr>
                <w:rFonts w:hint="eastAsia"/>
              </w:rPr>
              <w:br w:type="textWrapping"/>
            </w:r>
            <w:r>
              <w:rPr>
                <w:rStyle w:val="11"/>
                <w:rFonts w:hint="eastAsia"/>
              </w:rPr>
              <w:t>对眼睛刺激性，使用时避免接触眼睛。1、使用中或使用后如果感觉不适，应立即停止工作，采取急救措施，并携带标签送医院就诊。 2、本品如误入眼睛，立即用流动的清水至少冲洗15分钟，仍有不适应立即就医。 3、如接触皮肤，立即脱去被污染的衣物，用大量清水和肥皂冲洗。 4、发生吸入立即将吸入者转移到空气新鲜处，如果吸入者停止呼吸，需进行人工呼吸，就医诊治。 5、如误服，立即用大量清水漱口并立即携此标签将病人送医院对症治疗。</w:t>
            </w:r>
          </w:p>
        </w:tc>
      </w:tr>
      <w:tr w14:paraId="7E8DBA57">
        <w:tblPrEx>
          <w:tblCellMar>
            <w:top w:w="0" w:type="dxa"/>
            <w:left w:w="0" w:type="dxa"/>
            <w:bottom w:w="0" w:type="dxa"/>
            <w:right w:w="0" w:type="dxa"/>
          </w:tblCellMar>
        </w:tblPrEx>
        <w:trPr>
          <w:wBefore w:w="0" w:type="auto"/>
          <w:tblCellSpacing w:w="0" w:type="dxa"/>
        </w:trPr>
        <w:tc>
          <w:tcPr>
            <w:tcW w:w="0" w:type="auto"/>
            <w:noWrap w:val="0"/>
            <w:vAlign w:val="center"/>
          </w:tcPr>
          <w:p w14:paraId="16F69FE1">
            <w:r>
              <w:rPr>
                <w:rStyle w:val="10"/>
                <w:rFonts w:hint="eastAsia"/>
              </w:rPr>
              <w:t>储存和运输方法：</w:t>
            </w:r>
            <w:r>
              <w:rPr>
                <w:rFonts w:hint="eastAsia"/>
              </w:rPr>
              <w:br w:type="textWrapping"/>
            </w:r>
            <w:r>
              <w:rPr>
                <w:rStyle w:val="11"/>
                <w:rFonts w:hint="eastAsia"/>
              </w:rPr>
              <w:t>1、本品应以原包装贮存于阴凉、干燥和通风处。 远离热源或者火源。 2、本品勿与食物、饲料、饮料和种子等其他物品同贮同运，并放置于儿童接触不到的地方， 加锁保管。 3、运输时应注意防水防潮，避免雨淋；搬运时轻搬轻放，不可倒置。</w:t>
            </w:r>
          </w:p>
        </w:tc>
      </w:tr>
      <w:tr w14:paraId="7D654BD5">
        <w:tblPrEx>
          <w:tblCellMar>
            <w:top w:w="0" w:type="dxa"/>
            <w:left w:w="0" w:type="dxa"/>
            <w:bottom w:w="0" w:type="dxa"/>
            <w:right w:w="0" w:type="dxa"/>
          </w:tblCellMar>
        </w:tblPrEx>
        <w:trPr>
          <w:wBefore w:w="0" w:type="auto"/>
          <w:tblCellSpacing w:w="0" w:type="dxa"/>
        </w:trPr>
        <w:tc>
          <w:tcPr>
            <w:tcW w:w="0" w:type="auto"/>
            <w:noWrap w:val="0"/>
            <w:vAlign w:val="center"/>
          </w:tcPr>
          <w:p w14:paraId="7092F3B3">
            <w:r>
              <w:rPr>
                <w:rStyle w:val="10"/>
                <w:rFonts w:hint="eastAsia"/>
              </w:rPr>
              <w:t>质量保证期：</w:t>
            </w:r>
            <w:r>
              <w:rPr>
                <w:rStyle w:val="11"/>
                <w:rFonts w:hint="eastAsia"/>
              </w:rPr>
              <w:t>2年</w:t>
            </w:r>
          </w:p>
        </w:tc>
      </w:tr>
      <w:tr w14:paraId="40CA5C9D">
        <w:tblPrEx>
          <w:tblCellMar>
            <w:top w:w="0" w:type="dxa"/>
            <w:left w:w="0" w:type="dxa"/>
            <w:bottom w:w="0" w:type="dxa"/>
            <w:right w:w="0" w:type="dxa"/>
          </w:tblCellMar>
        </w:tblPrEx>
        <w:trPr>
          <w:wBefore w:w="0" w:type="auto"/>
          <w:tblCellSpacing w:w="0" w:type="dxa"/>
        </w:trPr>
        <w:tc>
          <w:tcPr>
            <w:tcW w:w="0" w:type="auto"/>
            <w:noWrap w:val="0"/>
            <w:vAlign w:val="center"/>
          </w:tcPr>
          <w:p w14:paraId="4B75C775">
            <w:r>
              <w:rPr>
                <w:rStyle w:val="10"/>
                <w:rFonts w:hint="eastAsia"/>
              </w:rPr>
              <w:t>备注：</w:t>
            </w:r>
          </w:p>
        </w:tc>
      </w:tr>
    </w:tbl>
    <w:p w14:paraId="00B26943">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3111FE2">
        <w:tblPrEx>
          <w:tblCellMar>
            <w:top w:w="0" w:type="dxa"/>
            <w:left w:w="0" w:type="dxa"/>
            <w:bottom w:w="0" w:type="dxa"/>
            <w:right w:w="0" w:type="dxa"/>
          </w:tblCellMar>
        </w:tblPrEx>
        <w:trPr>
          <w:wBefore w:w="0" w:type="auto"/>
          <w:tblCellSpacing w:w="0" w:type="dxa"/>
        </w:trPr>
        <w:tc>
          <w:tcPr>
            <w:tcW w:w="0" w:type="auto"/>
            <w:noWrap w:val="0"/>
            <w:vAlign w:val="center"/>
          </w:tcPr>
          <w:p w14:paraId="2F0F6AA3">
            <w:r>
              <w:rPr>
                <w:rStyle w:val="10"/>
                <w:rFonts w:hint="eastAsia"/>
              </w:rPr>
              <w:t>登记证号：</w:t>
            </w:r>
            <w:r>
              <w:rPr>
                <w:rFonts w:hint="eastAsia"/>
              </w:rPr>
              <w:t>WP20180178</w:t>
            </w:r>
          </w:p>
        </w:tc>
      </w:tr>
      <w:tr w14:paraId="0F7C474E">
        <w:tblPrEx>
          <w:tblCellMar>
            <w:top w:w="0" w:type="dxa"/>
            <w:left w:w="0" w:type="dxa"/>
            <w:bottom w:w="0" w:type="dxa"/>
            <w:right w:w="0" w:type="dxa"/>
          </w:tblCellMar>
        </w:tblPrEx>
        <w:trPr>
          <w:wBefore w:w="0" w:type="auto"/>
          <w:tblCellSpacing w:w="0" w:type="dxa"/>
        </w:trPr>
        <w:tc>
          <w:tcPr>
            <w:tcW w:w="0" w:type="auto"/>
            <w:noWrap w:val="0"/>
            <w:vAlign w:val="center"/>
          </w:tcPr>
          <w:p w14:paraId="4AED2C28">
            <w:r>
              <w:rPr>
                <w:rStyle w:val="10"/>
                <w:rFonts w:hint="eastAsia"/>
              </w:rPr>
              <w:t>登记证持有人：</w:t>
            </w:r>
            <w:r>
              <w:rPr>
                <w:rFonts w:hint="eastAsia"/>
              </w:rPr>
              <w:t>广西田园生化股份有限公司</w:t>
            </w:r>
          </w:p>
        </w:tc>
      </w:tr>
      <w:tr w14:paraId="3B5EFE69">
        <w:tblPrEx>
          <w:tblCellMar>
            <w:top w:w="0" w:type="dxa"/>
            <w:left w:w="0" w:type="dxa"/>
            <w:bottom w:w="0" w:type="dxa"/>
            <w:right w:w="0" w:type="dxa"/>
          </w:tblCellMar>
        </w:tblPrEx>
        <w:trPr>
          <w:wBefore w:w="0" w:type="auto"/>
          <w:tblCellSpacing w:w="0" w:type="dxa"/>
        </w:trPr>
        <w:tc>
          <w:tcPr>
            <w:tcW w:w="0" w:type="auto"/>
            <w:noWrap w:val="0"/>
            <w:vAlign w:val="center"/>
          </w:tcPr>
          <w:p w14:paraId="1BCB2940">
            <w:r>
              <w:rPr>
                <w:rStyle w:val="10"/>
                <w:rFonts w:hint="eastAsia"/>
              </w:rPr>
              <w:t>农药名称：</w:t>
            </w:r>
            <w:r>
              <w:rPr>
                <w:rFonts w:hint="eastAsia"/>
              </w:rPr>
              <w:t>杀虫饵剂</w:t>
            </w:r>
          </w:p>
        </w:tc>
      </w:tr>
      <w:tr w14:paraId="07244CD8">
        <w:tblPrEx>
          <w:tblCellMar>
            <w:top w:w="0" w:type="dxa"/>
            <w:left w:w="0" w:type="dxa"/>
            <w:bottom w:w="0" w:type="dxa"/>
            <w:right w:w="0" w:type="dxa"/>
          </w:tblCellMar>
        </w:tblPrEx>
        <w:trPr>
          <w:wBefore w:w="0" w:type="auto"/>
          <w:tblCellSpacing w:w="0" w:type="dxa"/>
        </w:trPr>
        <w:tc>
          <w:tcPr>
            <w:tcW w:w="0" w:type="auto"/>
            <w:noWrap w:val="0"/>
            <w:vAlign w:val="center"/>
          </w:tcPr>
          <w:p w14:paraId="2173E67F">
            <w:r>
              <w:rPr>
                <w:rStyle w:val="10"/>
                <w:rFonts w:hint="eastAsia"/>
              </w:rPr>
              <w:t>剂型：</w:t>
            </w:r>
            <w:r>
              <w:rPr>
                <w:rFonts w:hint="eastAsia"/>
              </w:rPr>
              <w:t>饵剂</w:t>
            </w:r>
          </w:p>
        </w:tc>
      </w:tr>
      <w:tr w14:paraId="18E3D1E4">
        <w:tblPrEx>
          <w:tblCellMar>
            <w:top w:w="0" w:type="dxa"/>
            <w:left w:w="0" w:type="dxa"/>
            <w:bottom w:w="0" w:type="dxa"/>
            <w:right w:w="0" w:type="dxa"/>
          </w:tblCellMar>
        </w:tblPrEx>
        <w:trPr>
          <w:wBefore w:w="0" w:type="auto"/>
          <w:tblCellSpacing w:w="0" w:type="dxa"/>
        </w:trPr>
        <w:tc>
          <w:tcPr>
            <w:tcW w:w="0" w:type="auto"/>
            <w:noWrap w:val="0"/>
            <w:vAlign w:val="center"/>
          </w:tcPr>
          <w:p w14:paraId="0DD8E4DF">
            <w:r>
              <w:rPr>
                <w:rStyle w:val="10"/>
                <w:rFonts w:hint="eastAsia"/>
              </w:rPr>
              <w:t>毒性及其标识：</w:t>
            </w:r>
            <w:r>
              <w:rPr>
                <w:rFonts w:hint="eastAsia"/>
              </w:rPr>
              <w:t xml:space="preserve"> 微毒 </w:t>
            </w:r>
          </w:p>
        </w:tc>
      </w:tr>
      <w:tr w14:paraId="3135E691">
        <w:tblPrEx>
          <w:tblCellMar>
            <w:top w:w="0" w:type="dxa"/>
            <w:left w:w="0" w:type="dxa"/>
            <w:bottom w:w="0" w:type="dxa"/>
            <w:right w:w="0" w:type="dxa"/>
          </w:tblCellMar>
        </w:tblPrEx>
        <w:trPr>
          <w:wBefore w:w="0" w:type="auto"/>
          <w:tblCellSpacing w:w="0" w:type="dxa"/>
        </w:trPr>
        <w:tc>
          <w:tcPr>
            <w:tcW w:w="0" w:type="auto"/>
            <w:noWrap w:val="0"/>
            <w:vAlign w:val="center"/>
          </w:tcPr>
          <w:p w14:paraId="4AF32261">
            <w:r>
              <w:rPr>
                <w:rStyle w:val="10"/>
                <w:rFonts w:hint="eastAsia"/>
              </w:rPr>
              <w:t>总有效成分含量：</w:t>
            </w:r>
            <w:r>
              <w:rPr>
                <w:rFonts w:hint="eastAsia"/>
              </w:rPr>
              <w:t>0.1%</w:t>
            </w:r>
          </w:p>
        </w:tc>
      </w:tr>
      <w:tr w14:paraId="26425A84">
        <w:tblPrEx>
          <w:tblCellMar>
            <w:top w:w="0" w:type="dxa"/>
            <w:left w:w="0" w:type="dxa"/>
            <w:bottom w:w="0" w:type="dxa"/>
            <w:right w:w="0" w:type="dxa"/>
          </w:tblCellMar>
        </w:tblPrEx>
        <w:trPr>
          <w:wBefore w:w="0" w:type="auto"/>
          <w:tblCellSpacing w:w="0" w:type="dxa"/>
        </w:trPr>
        <w:tc>
          <w:tcPr>
            <w:tcW w:w="0" w:type="auto"/>
            <w:noWrap w:val="0"/>
            <w:vAlign w:val="center"/>
          </w:tcPr>
          <w:p w14:paraId="57FC2A5E">
            <w:r>
              <w:rPr>
                <w:rFonts w:hint="eastAsia"/>
              </w:rPr>
              <w:t xml:space="preserve">有效成分及其含量： </w:t>
            </w:r>
          </w:p>
          <w:p w14:paraId="0217D040">
            <w:r>
              <w:rPr>
                <w:rFonts w:hint="eastAsia"/>
              </w:rPr>
              <w:t xml:space="preserve">    呋虫胺0.1%    </w:t>
            </w:r>
          </w:p>
        </w:tc>
      </w:tr>
      <w:tr w14:paraId="6359D33E">
        <w:tblPrEx>
          <w:tblCellMar>
            <w:top w:w="0" w:type="dxa"/>
            <w:left w:w="0" w:type="dxa"/>
            <w:bottom w:w="0" w:type="dxa"/>
            <w:right w:w="0" w:type="dxa"/>
          </w:tblCellMar>
        </w:tblPrEx>
        <w:trPr>
          <w:wBefore w:w="0" w:type="auto"/>
          <w:tblCellSpacing w:w="0" w:type="dxa"/>
        </w:trPr>
        <w:tc>
          <w:tcPr>
            <w:tcW w:w="0" w:type="auto"/>
            <w:noWrap w:val="0"/>
            <w:vAlign w:val="center"/>
          </w:tcPr>
          <w:p w14:paraId="0639918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64ED3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045DA0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A154E2B">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4155A9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13412AC">
                  <w:r>
                    <w:rPr>
                      <w:rStyle w:val="11"/>
                      <w:rFonts w:hint="eastAsia"/>
                    </w:rPr>
                    <w:t>施用方式</w:t>
                  </w:r>
                </w:p>
              </w:tc>
            </w:tr>
            <w:tr w14:paraId="5FD084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F917C8C">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963DE22">
                  <w:r>
                    <w:rPr>
                      <w:rStyle w:val="11"/>
                      <w:rFonts w:hint="eastAsia"/>
                    </w:rPr>
                    <w:t>蜚蠊</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1DCB048">
                  <w:r>
                    <w:rPr>
                      <w:rStyle w:val="11"/>
                      <w:rFonts w:hint="eastAsia"/>
                    </w:rPr>
                    <w:t>/</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E0C0F3">
                  <w:r>
                    <w:rPr>
                      <w:rStyle w:val="11"/>
                      <w:rFonts w:hint="eastAsia"/>
                    </w:rPr>
                    <w:t>投饵</w:t>
                  </w:r>
                </w:p>
              </w:tc>
            </w:tr>
            <w:tr w14:paraId="6113CDA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490A57D">
                  <w:r>
                    <w:rPr>
                      <w:rStyle w:val="11"/>
                      <w:rFonts w:hint="eastAsia"/>
                    </w:rPr>
                    <w:t>室内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3DC599">
                  <w:r>
                    <w:rPr>
                      <w:rStyle w:val="11"/>
                      <w:rFonts w:hint="eastAsia"/>
                    </w:rPr>
                    <w:t>蝇</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94F2BC2">
                  <w:r>
                    <w:rPr>
                      <w:rStyle w:val="11"/>
                      <w:rFonts w:hint="eastAsia"/>
                    </w:rPr>
                    <w:t>1克/平方米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B9697D">
                  <w:r>
                    <w:rPr>
                      <w:rStyle w:val="11"/>
                      <w:rFonts w:hint="eastAsia"/>
                    </w:rPr>
                    <w:t>投放</w:t>
                  </w:r>
                </w:p>
              </w:tc>
            </w:tr>
          </w:tbl>
          <w:p w14:paraId="4C764AD7">
            <w:pPr>
              <w:rPr>
                <w:rFonts w:ascii="Times New Roman" w:hAnsi="Times New Roman" w:cs="Times New Roman"/>
                <w:sz w:val="20"/>
                <w:szCs w:val="20"/>
              </w:rPr>
            </w:pPr>
          </w:p>
        </w:tc>
      </w:tr>
      <w:tr w14:paraId="1015A31F">
        <w:tblPrEx>
          <w:tblCellMar>
            <w:top w:w="0" w:type="dxa"/>
            <w:left w:w="0" w:type="dxa"/>
            <w:bottom w:w="0" w:type="dxa"/>
            <w:right w:w="0" w:type="dxa"/>
          </w:tblCellMar>
        </w:tblPrEx>
        <w:trPr>
          <w:wBefore w:w="0" w:type="auto"/>
          <w:tblCellSpacing w:w="0" w:type="dxa"/>
        </w:trPr>
        <w:tc>
          <w:tcPr>
            <w:tcW w:w="0" w:type="auto"/>
            <w:noWrap w:val="0"/>
            <w:vAlign w:val="center"/>
          </w:tcPr>
          <w:p w14:paraId="47B47894">
            <w:r>
              <w:rPr>
                <w:rStyle w:val="10"/>
                <w:rFonts w:hint="eastAsia"/>
              </w:rPr>
              <w:t>使用技术要求:</w:t>
            </w:r>
            <w:r>
              <w:rPr>
                <w:rFonts w:hint="eastAsia"/>
              </w:rPr>
              <w:br w:type="textWrapping"/>
            </w:r>
            <w:r>
              <w:rPr>
                <w:rStyle w:val="11"/>
                <w:rFonts w:hint="eastAsia"/>
              </w:rPr>
              <w:t>防治苍蝇：将本品直接投放在苍蝇喜欢活动或栖息的干燥场所，如走道、窗台、食物存放处、垃圾堆等处。也可使用浅口器皿盛放本品。本品被取食完或覆盖灰尘时需重新施药。仅用于室内。防治蜚蠊（蟑螂）：将本品施用于蜚蠊经常出没及繁殖的区域，如缝隙、边角、孔洞等。点状投药，点间隔5-10厘米，每点大小直径约为5毫米。可增加使用量，采用点多、面广的方法。</w:t>
            </w:r>
          </w:p>
        </w:tc>
      </w:tr>
      <w:tr w14:paraId="304A0CC2">
        <w:tblPrEx>
          <w:tblCellMar>
            <w:top w:w="0" w:type="dxa"/>
            <w:left w:w="0" w:type="dxa"/>
            <w:bottom w:w="0" w:type="dxa"/>
            <w:right w:w="0" w:type="dxa"/>
          </w:tblCellMar>
        </w:tblPrEx>
        <w:trPr>
          <w:wBefore w:w="0" w:type="auto"/>
          <w:tblCellSpacing w:w="0" w:type="dxa"/>
        </w:trPr>
        <w:tc>
          <w:tcPr>
            <w:tcW w:w="0" w:type="auto"/>
            <w:noWrap w:val="0"/>
            <w:vAlign w:val="center"/>
          </w:tcPr>
          <w:p w14:paraId="134DFDF6">
            <w:r>
              <w:rPr>
                <w:rStyle w:val="10"/>
                <w:rFonts w:hint="eastAsia"/>
              </w:rPr>
              <w:t>产品性能:</w:t>
            </w:r>
            <w:r>
              <w:rPr>
                <w:rFonts w:hint="eastAsia"/>
              </w:rPr>
              <w:br w:type="textWrapping"/>
            </w:r>
            <w:r>
              <w:rPr>
                <w:rStyle w:val="11"/>
                <w:rFonts w:hint="eastAsia"/>
              </w:rPr>
              <w:t>本品为呋虫胺加工而成的饵剂，用于防治蝇类、蜚蠊等，在苍蝇和蜚蠊喜欢活动或栖息的干燥场所投放。</w:t>
            </w:r>
          </w:p>
        </w:tc>
      </w:tr>
      <w:tr w14:paraId="5BB516FD">
        <w:tblPrEx>
          <w:tblCellMar>
            <w:top w:w="0" w:type="dxa"/>
            <w:left w:w="0" w:type="dxa"/>
            <w:bottom w:w="0" w:type="dxa"/>
            <w:right w:w="0" w:type="dxa"/>
          </w:tblCellMar>
        </w:tblPrEx>
        <w:trPr>
          <w:wBefore w:w="0" w:type="auto"/>
          <w:tblCellSpacing w:w="0" w:type="dxa"/>
        </w:trPr>
        <w:tc>
          <w:tcPr>
            <w:tcW w:w="0" w:type="auto"/>
            <w:noWrap w:val="0"/>
            <w:vAlign w:val="center"/>
          </w:tcPr>
          <w:p w14:paraId="70B4F4DA">
            <w:r>
              <w:rPr>
                <w:rStyle w:val="10"/>
                <w:rFonts w:hint="eastAsia"/>
              </w:rPr>
              <w:t>注意事项：</w:t>
            </w:r>
            <w:r>
              <w:rPr>
                <w:rFonts w:hint="eastAsia"/>
              </w:rPr>
              <w:br w:type="textWrapping"/>
            </w:r>
            <w:r>
              <w:rPr>
                <w:rStyle w:val="11"/>
                <w:rFonts w:hint="eastAsia"/>
              </w:rPr>
              <w:t>1.本品对家蚕有毒，在桑园、蚕室附近禁用。2.本品禁止在河塘等水体中清洗施药器具，切勿将本品包装及其剩余药剂弃于池塘、河溪、湖泊等，以免污染水源。3.仅用于室内。</w:t>
            </w:r>
          </w:p>
        </w:tc>
      </w:tr>
      <w:tr w14:paraId="3F9DBA02">
        <w:tblPrEx>
          <w:tblCellMar>
            <w:top w:w="0" w:type="dxa"/>
            <w:left w:w="0" w:type="dxa"/>
            <w:bottom w:w="0" w:type="dxa"/>
            <w:right w:w="0" w:type="dxa"/>
          </w:tblCellMar>
        </w:tblPrEx>
        <w:trPr>
          <w:wBefore w:w="0" w:type="auto"/>
          <w:tblCellSpacing w:w="0" w:type="dxa"/>
        </w:trPr>
        <w:tc>
          <w:tcPr>
            <w:tcW w:w="0" w:type="auto"/>
            <w:noWrap w:val="0"/>
            <w:vAlign w:val="center"/>
          </w:tcPr>
          <w:p w14:paraId="6275B31D">
            <w:r>
              <w:rPr>
                <w:rStyle w:val="10"/>
                <w:rFonts w:hint="eastAsia"/>
              </w:rPr>
              <w:t>中毒急救措施：</w:t>
            </w:r>
            <w:r>
              <w:rPr>
                <w:rFonts w:hint="eastAsia"/>
              </w:rPr>
              <w:br w:type="textWrapping"/>
            </w:r>
            <w:r>
              <w:rPr>
                <w:rStyle w:val="11"/>
                <w:rFonts w:hint="eastAsia"/>
              </w:rPr>
              <w:t>中毒急救措施：使用中或使用后如果感觉不适，应立即停止工作，采取急救措施，并携带标签送医院就诊。皮肤接触：脱去污染的衣物，立即用软布去除沾染农药，用大量清水和肥皂冲洗。眼睛溅入：立即用流动清水冲洗不少于15分钟。吸入：立即离开施药现场，转移到空气清新处。误食：立即停止服用，用清水充分漱口后，携带农药标签到医院就诊。</w:t>
            </w:r>
          </w:p>
        </w:tc>
      </w:tr>
      <w:tr w14:paraId="13245C3C">
        <w:tblPrEx>
          <w:tblCellMar>
            <w:top w:w="0" w:type="dxa"/>
            <w:left w:w="0" w:type="dxa"/>
            <w:bottom w:w="0" w:type="dxa"/>
            <w:right w:w="0" w:type="dxa"/>
          </w:tblCellMar>
        </w:tblPrEx>
        <w:trPr>
          <w:wBefore w:w="0" w:type="auto"/>
          <w:tblCellSpacing w:w="0" w:type="dxa"/>
        </w:trPr>
        <w:tc>
          <w:tcPr>
            <w:tcW w:w="0" w:type="auto"/>
            <w:noWrap w:val="0"/>
            <w:vAlign w:val="center"/>
          </w:tcPr>
          <w:p w14:paraId="09E6BEF7">
            <w:r>
              <w:rPr>
                <w:rStyle w:val="10"/>
                <w:rFonts w:hint="eastAsia"/>
              </w:rPr>
              <w:t>储存和运输方法：</w:t>
            </w:r>
            <w:r>
              <w:rPr>
                <w:rFonts w:hint="eastAsia"/>
              </w:rPr>
              <w:br w:type="textWrapping"/>
            </w:r>
            <w:r>
              <w:rPr>
                <w:rStyle w:val="11"/>
                <w:rFonts w:hint="eastAsia"/>
              </w:rPr>
              <w:t>本品应贮存在干燥、阴凉、通风、防雨处，远离火源或热源。运输时防雨防潮；装卸时轻卸轻放。本品应当置于儿童、无关人员及动物接触不到的地方，并加锁保存。不能与食品、饮料、粮食、饲料等混合储运。</w:t>
            </w:r>
          </w:p>
        </w:tc>
      </w:tr>
      <w:tr w14:paraId="6715792F">
        <w:tblPrEx>
          <w:tblCellMar>
            <w:top w:w="0" w:type="dxa"/>
            <w:left w:w="0" w:type="dxa"/>
            <w:bottom w:w="0" w:type="dxa"/>
            <w:right w:w="0" w:type="dxa"/>
          </w:tblCellMar>
        </w:tblPrEx>
        <w:trPr>
          <w:wBefore w:w="0" w:type="auto"/>
          <w:tblCellSpacing w:w="0" w:type="dxa"/>
        </w:trPr>
        <w:tc>
          <w:tcPr>
            <w:tcW w:w="0" w:type="auto"/>
            <w:noWrap w:val="0"/>
            <w:vAlign w:val="center"/>
          </w:tcPr>
          <w:p w14:paraId="66C84966">
            <w:r>
              <w:rPr>
                <w:rStyle w:val="10"/>
                <w:rFonts w:hint="eastAsia"/>
              </w:rPr>
              <w:t>质量保证期：</w:t>
            </w:r>
            <w:r>
              <w:rPr>
                <w:rStyle w:val="11"/>
                <w:rFonts w:hint="eastAsia"/>
              </w:rPr>
              <w:t>2年</w:t>
            </w:r>
          </w:p>
        </w:tc>
      </w:tr>
      <w:tr w14:paraId="4AE0747F">
        <w:tblPrEx>
          <w:tblCellMar>
            <w:top w:w="0" w:type="dxa"/>
            <w:left w:w="0" w:type="dxa"/>
            <w:bottom w:w="0" w:type="dxa"/>
            <w:right w:w="0" w:type="dxa"/>
          </w:tblCellMar>
        </w:tblPrEx>
        <w:trPr>
          <w:wBefore w:w="0" w:type="auto"/>
          <w:tblCellSpacing w:w="0" w:type="dxa"/>
        </w:trPr>
        <w:tc>
          <w:tcPr>
            <w:tcW w:w="0" w:type="auto"/>
            <w:noWrap w:val="0"/>
            <w:vAlign w:val="center"/>
          </w:tcPr>
          <w:p w14:paraId="578D0922">
            <w:r>
              <w:rPr>
                <w:rStyle w:val="10"/>
                <w:rFonts w:hint="eastAsia"/>
              </w:rPr>
              <w:t>备注：</w:t>
            </w:r>
          </w:p>
        </w:tc>
      </w:tr>
    </w:tbl>
    <w:p w14:paraId="5EC1E1A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5B94416">
        <w:tblPrEx>
          <w:tblCellMar>
            <w:top w:w="0" w:type="dxa"/>
            <w:left w:w="0" w:type="dxa"/>
            <w:bottom w:w="0" w:type="dxa"/>
            <w:right w:w="0" w:type="dxa"/>
          </w:tblCellMar>
        </w:tblPrEx>
        <w:trPr>
          <w:wBefore w:w="0" w:type="auto"/>
          <w:tblCellSpacing w:w="0" w:type="dxa"/>
        </w:trPr>
        <w:tc>
          <w:tcPr>
            <w:tcW w:w="0" w:type="auto"/>
            <w:noWrap w:val="0"/>
            <w:vAlign w:val="center"/>
          </w:tcPr>
          <w:p w14:paraId="74FC8217">
            <w:r>
              <w:rPr>
                <w:rStyle w:val="10"/>
                <w:rFonts w:hint="eastAsia"/>
              </w:rPr>
              <w:t>登记证号：</w:t>
            </w:r>
            <w:r>
              <w:rPr>
                <w:rFonts w:hint="eastAsia"/>
              </w:rPr>
              <w:t>EX20210072</w:t>
            </w:r>
          </w:p>
        </w:tc>
      </w:tr>
      <w:tr w14:paraId="2B31267A">
        <w:tblPrEx>
          <w:tblCellMar>
            <w:top w:w="0" w:type="dxa"/>
            <w:left w:w="0" w:type="dxa"/>
            <w:bottom w:w="0" w:type="dxa"/>
            <w:right w:w="0" w:type="dxa"/>
          </w:tblCellMar>
        </w:tblPrEx>
        <w:trPr>
          <w:wBefore w:w="0" w:type="auto"/>
          <w:tblCellSpacing w:w="0" w:type="dxa"/>
        </w:trPr>
        <w:tc>
          <w:tcPr>
            <w:tcW w:w="0" w:type="auto"/>
            <w:noWrap w:val="0"/>
            <w:vAlign w:val="center"/>
          </w:tcPr>
          <w:p w14:paraId="002D7EE5">
            <w:r>
              <w:rPr>
                <w:rStyle w:val="10"/>
                <w:rFonts w:hint="eastAsia"/>
              </w:rPr>
              <w:t>登记证持有人：</w:t>
            </w:r>
            <w:r>
              <w:rPr>
                <w:rFonts w:hint="eastAsia"/>
              </w:rPr>
              <w:t>浙江新安化工集团股份有限公司</w:t>
            </w:r>
          </w:p>
        </w:tc>
      </w:tr>
      <w:tr w14:paraId="638CFFF1">
        <w:tblPrEx>
          <w:tblCellMar>
            <w:top w:w="0" w:type="dxa"/>
            <w:left w:w="0" w:type="dxa"/>
            <w:bottom w:w="0" w:type="dxa"/>
            <w:right w:w="0" w:type="dxa"/>
          </w:tblCellMar>
        </w:tblPrEx>
        <w:trPr>
          <w:wBefore w:w="0" w:type="auto"/>
          <w:tblCellSpacing w:w="0" w:type="dxa"/>
        </w:trPr>
        <w:tc>
          <w:tcPr>
            <w:tcW w:w="0" w:type="auto"/>
            <w:noWrap w:val="0"/>
            <w:vAlign w:val="center"/>
          </w:tcPr>
          <w:p w14:paraId="4179E932">
            <w:r>
              <w:rPr>
                <w:rStyle w:val="10"/>
                <w:rFonts w:hint="eastAsia"/>
              </w:rPr>
              <w:t>农药名称：</w:t>
            </w:r>
            <w:r>
              <w:rPr>
                <w:rFonts w:hint="eastAsia"/>
              </w:rPr>
              <w:t>草甘膦钾盐</w:t>
            </w:r>
          </w:p>
        </w:tc>
      </w:tr>
      <w:tr w14:paraId="2B79D49F">
        <w:tblPrEx>
          <w:tblCellMar>
            <w:top w:w="0" w:type="dxa"/>
            <w:left w:w="0" w:type="dxa"/>
            <w:bottom w:w="0" w:type="dxa"/>
            <w:right w:w="0" w:type="dxa"/>
          </w:tblCellMar>
        </w:tblPrEx>
        <w:trPr>
          <w:wBefore w:w="0" w:type="auto"/>
          <w:tblCellSpacing w:w="0" w:type="dxa"/>
        </w:trPr>
        <w:tc>
          <w:tcPr>
            <w:tcW w:w="0" w:type="auto"/>
            <w:noWrap w:val="0"/>
            <w:vAlign w:val="center"/>
          </w:tcPr>
          <w:p w14:paraId="2540266C">
            <w:r>
              <w:rPr>
                <w:rStyle w:val="10"/>
                <w:rFonts w:hint="eastAsia"/>
              </w:rPr>
              <w:t>剂型：</w:t>
            </w:r>
            <w:r>
              <w:rPr>
                <w:rFonts w:hint="eastAsia"/>
              </w:rPr>
              <w:t>可溶液剂</w:t>
            </w:r>
          </w:p>
        </w:tc>
      </w:tr>
      <w:tr w14:paraId="07FC7802">
        <w:tblPrEx>
          <w:tblCellMar>
            <w:top w:w="0" w:type="dxa"/>
            <w:left w:w="0" w:type="dxa"/>
            <w:bottom w:w="0" w:type="dxa"/>
            <w:right w:w="0" w:type="dxa"/>
          </w:tblCellMar>
        </w:tblPrEx>
        <w:trPr>
          <w:wBefore w:w="0" w:type="auto"/>
          <w:tblCellSpacing w:w="0" w:type="dxa"/>
        </w:trPr>
        <w:tc>
          <w:tcPr>
            <w:tcW w:w="0" w:type="auto"/>
            <w:noWrap w:val="0"/>
            <w:vAlign w:val="center"/>
          </w:tcPr>
          <w:p w14:paraId="54C1644A">
            <w:r>
              <w:rPr>
                <w:rStyle w:val="10"/>
                <w:rFonts w:hint="eastAsia"/>
              </w:rPr>
              <w:t>毒性及其标识：</w:t>
            </w:r>
            <w:r>
              <w:rPr>
                <w:rFonts w:hint="eastAsia"/>
              </w:rPr>
              <w:t xml:space="preserve"> 微毒 </w:t>
            </w:r>
          </w:p>
        </w:tc>
      </w:tr>
      <w:tr w14:paraId="5A7EBDC5">
        <w:tblPrEx>
          <w:tblCellMar>
            <w:top w:w="0" w:type="dxa"/>
            <w:left w:w="0" w:type="dxa"/>
            <w:bottom w:w="0" w:type="dxa"/>
            <w:right w:w="0" w:type="dxa"/>
          </w:tblCellMar>
        </w:tblPrEx>
        <w:trPr>
          <w:wBefore w:w="0" w:type="auto"/>
          <w:tblCellSpacing w:w="0" w:type="dxa"/>
        </w:trPr>
        <w:tc>
          <w:tcPr>
            <w:tcW w:w="0" w:type="auto"/>
            <w:noWrap w:val="0"/>
            <w:vAlign w:val="center"/>
          </w:tcPr>
          <w:p w14:paraId="750F71FE">
            <w:r>
              <w:rPr>
                <w:rStyle w:val="10"/>
                <w:rFonts w:hint="eastAsia"/>
              </w:rPr>
              <w:t>总有效成分含量：</w:t>
            </w:r>
            <w:r>
              <w:rPr>
                <w:rFonts w:hint="eastAsia"/>
              </w:rPr>
              <w:t>540克/升</w:t>
            </w:r>
          </w:p>
        </w:tc>
      </w:tr>
      <w:tr w14:paraId="45FF05A8">
        <w:tblPrEx>
          <w:tblCellMar>
            <w:top w:w="0" w:type="dxa"/>
            <w:left w:w="0" w:type="dxa"/>
            <w:bottom w:w="0" w:type="dxa"/>
            <w:right w:w="0" w:type="dxa"/>
          </w:tblCellMar>
        </w:tblPrEx>
        <w:trPr>
          <w:wBefore w:w="0" w:type="auto"/>
          <w:tblCellSpacing w:w="0" w:type="dxa"/>
        </w:trPr>
        <w:tc>
          <w:tcPr>
            <w:tcW w:w="0" w:type="auto"/>
            <w:noWrap w:val="0"/>
            <w:vAlign w:val="center"/>
          </w:tcPr>
          <w:p w14:paraId="7B05E317">
            <w:r>
              <w:rPr>
                <w:rFonts w:hint="eastAsia"/>
              </w:rPr>
              <w:t xml:space="preserve">有效成分及其含量： </w:t>
            </w:r>
          </w:p>
          <w:p w14:paraId="6E3DC433">
            <w:r>
              <w:rPr>
                <w:rFonts w:hint="eastAsia"/>
              </w:rPr>
              <w:t xml:space="preserve">    草甘膦540克/升    </w:t>
            </w:r>
          </w:p>
        </w:tc>
      </w:tr>
      <w:tr w14:paraId="4DFD8A07">
        <w:tblPrEx>
          <w:tblCellMar>
            <w:top w:w="0" w:type="dxa"/>
            <w:left w:w="0" w:type="dxa"/>
            <w:bottom w:w="0" w:type="dxa"/>
            <w:right w:w="0" w:type="dxa"/>
          </w:tblCellMar>
        </w:tblPrEx>
        <w:trPr>
          <w:wBefore w:w="0" w:type="auto"/>
          <w:tblCellSpacing w:w="0" w:type="dxa"/>
        </w:trPr>
        <w:tc>
          <w:tcPr>
            <w:tcW w:w="0" w:type="auto"/>
            <w:noWrap w:val="0"/>
            <w:vAlign w:val="center"/>
          </w:tcPr>
          <w:p w14:paraId="467359F9">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03B23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77C07A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105E8A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A0FFE3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BAF6310">
                  <w:r>
                    <w:rPr>
                      <w:rStyle w:val="11"/>
                      <w:rFonts w:hint="eastAsia"/>
                    </w:rPr>
                    <w:t>施用方式</w:t>
                  </w:r>
                </w:p>
              </w:tc>
            </w:tr>
          </w:tbl>
          <w:p w14:paraId="33193A05">
            <w:pPr>
              <w:rPr>
                <w:rFonts w:ascii="Times New Roman" w:hAnsi="Times New Roman" w:cs="Times New Roman"/>
                <w:sz w:val="20"/>
                <w:szCs w:val="20"/>
              </w:rPr>
            </w:pPr>
          </w:p>
        </w:tc>
      </w:tr>
      <w:tr w14:paraId="37EFE502">
        <w:tblPrEx>
          <w:tblCellMar>
            <w:top w:w="0" w:type="dxa"/>
            <w:left w:w="0" w:type="dxa"/>
            <w:bottom w:w="0" w:type="dxa"/>
            <w:right w:w="0" w:type="dxa"/>
          </w:tblCellMar>
        </w:tblPrEx>
        <w:trPr>
          <w:wBefore w:w="0" w:type="auto"/>
          <w:tblCellSpacing w:w="0" w:type="dxa"/>
        </w:trPr>
        <w:tc>
          <w:tcPr>
            <w:tcW w:w="0" w:type="auto"/>
            <w:noWrap w:val="0"/>
            <w:vAlign w:val="center"/>
          </w:tcPr>
          <w:p w14:paraId="41518796">
            <w:r>
              <w:rPr>
                <w:rStyle w:val="10"/>
                <w:rFonts w:hint="eastAsia"/>
              </w:rPr>
              <w:t>使用技术要求:</w:t>
            </w:r>
            <w:r>
              <w:rPr>
                <w:rFonts w:hint="eastAsia"/>
              </w:rPr>
              <w:br w:type="textWrapping"/>
            </w:r>
            <w:r>
              <w:rPr>
                <w:rStyle w:val="11"/>
                <w:rFonts w:hint="eastAsia"/>
              </w:rPr>
              <w:t>不必提供</w:t>
            </w:r>
          </w:p>
        </w:tc>
      </w:tr>
      <w:tr w14:paraId="54970A97">
        <w:tblPrEx>
          <w:tblCellMar>
            <w:top w:w="0" w:type="dxa"/>
            <w:left w:w="0" w:type="dxa"/>
            <w:bottom w:w="0" w:type="dxa"/>
            <w:right w:w="0" w:type="dxa"/>
          </w:tblCellMar>
        </w:tblPrEx>
        <w:trPr>
          <w:wBefore w:w="0" w:type="auto"/>
          <w:tblCellSpacing w:w="0" w:type="dxa"/>
        </w:trPr>
        <w:tc>
          <w:tcPr>
            <w:tcW w:w="0" w:type="auto"/>
            <w:noWrap w:val="0"/>
            <w:vAlign w:val="center"/>
          </w:tcPr>
          <w:p w14:paraId="6755668B">
            <w:r>
              <w:rPr>
                <w:rStyle w:val="10"/>
                <w:rFonts w:hint="eastAsia"/>
              </w:rPr>
              <w:t>产品性能:</w:t>
            </w:r>
            <w:r>
              <w:rPr>
                <w:rFonts w:hint="eastAsia"/>
              </w:rPr>
              <w:br w:type="textWrapping"/>
            </w:r>
            <w:r>
              <w:rPr>
                <w:rStyle w:val="11"/>
                <w:rFonts w:hint="eastAsia"/>
              </w:rPr>
              <w:t>不必提供</w:t>
            </w:r>
          </w:p>
        </w:tc>
      </w:tr>
      <w:tr w14:paraId="14E03982">
        <w:tblPrEx>
          <w:tblCellMar>
            <w:top w:w="0" w:type="dxa"/>
            <w:left w:w="0" w:type="dxa"/>
            <w:bottom w:w="0" w:type="dxa"/>
            <w:right w:w="0" w:type="dxa"/>
          </w:tblCellMar>
        </w:tblPrEx>
        <w:trPr>
          <w:wBefore w:w="0" w:type="auto"/>
          <w:tblCellSpacing w:w="0" w:type="dxa"/>
        </w:trPr>
        <w:tc>
          <w:tcPr>
            <w:tcW w:w="0" w:type="auto"/>
            <w:noWrap w:val="0"/>
            <w:vAlign w:val="center"/>
          </w:tcPr>
          <w:p w14:paraId="433687CF">
            <w:r>
              <w:rPr>
                <w:rStyle w:val="10"/>
                <w:rFonts w:hint="eastAsia"/>
              </w:rPr>
              <w:t>注意事项：</w:t>
            </w:r>
            <w:r>
              <w:rPr>
                <w:rFonts w:hint="eastAsia"/>
              </w:rPr>
              <w:br w:type="textWrapping"/>
            </w:r>
            <w:r>
              <w:rPr>
                <w:rStyle w:val="11"/>
                <w:rFonts w:hint="eastAsia"/>
              </w:rPr>
              <w:t>不必提供</w:t>
            </w:r>
          </w:p>
        </w:tc>
      </w:tr>
      <w:tr w14:paraId="11203784">
        <w:tblPrEx>
          <w:tblCellMar>
            <w:top w:w="0" w:type="dxa"/>
            <w:left w:w="0" w:type="dxa"/>
            <w:bottom w:w="0" w:type="dxa"/>
            <w:right w:w="0" w:type="dxa"/>
          </w:tblCellMar>
        </w:tblPrEx>
        <w:trPr>
          <w:wBefore w:w="0" w:type="auto"/>
          <w:tblCellSpacing w:w="0" w:type="dxa"/>
        </w:trPr>
        <w:tc>
          <w:tcPr>
            <w:tcW w:w="0" w:type="auto"/>
            <w:noWrap w:val="0"/>
            <w:vAlign w:val="center"/>
          </w:tcPr>
          <w:p w14:paraId="6CB2A59B">
            <w:r>
              <w:rPr>
                <w:rStyle w:val="10"/>
                <w:rFonts w:hint="eastAsia"/>
              </w:rPr>
              <w:t>中毒急救措施：</w:t>
            </w:r>
            <w:r>
              <w:rPr>
                <w:rFonts w:hint="eastAsia"/>
              </w:rPr>
              <w:br w:type="textWrapping"/>
            </w:r>
            <w:r>
              <w:rPr>
                <w:rStyle w:val="11"/>
                <w:rFonts w:hint="eastAsia"/>
              </w:rPr>
              <w:t>不必提供</w:t>
            </w:r>
          </w:p>
        </w:tc>
      </w:tr>
      <w:tr w14:paraId="73386563">
        <w:tblPrEx>
          <w:tblCellMar>
            <w:top w:w="0" w:type="dxa"/>
            <w:left w:w="0" w:type="dxa"/>
            <w:bottom w:w="0" w:type="dxa"/>
            <w:right w:w="0" w:type="dxa"/>
          </w:tblCellMar>
        </w:tblPrEx>
        <w:trPr>
          <w:wBefore w:w="0" w:type="auto"/>
          <w:tblCellSpacing w:w="0" w:type="dxa"/>
        </w:trPr>
        <w:tc>
          <w:tcPr>
            <w:tcW w:w="0" w:type="auto"/>
            <w:noWrap w:val="0"/>
            <w:vAlign w:val="center"/>
          </w:tcPr>
          <w:p w14:paraId="7A540165">
            <w:r>
              <w:rPr>
                <w:rStyle w:val="10"/>
                <w:rFonts w:hint="eastAsia"/>
              </w:rPr>
              <w:t>储存和运输方法：</w:t>
            </w:r>
            <w:r>
              <w:rPr>
                <w:rFonts w:hint="eastAsia"/>
              </w:rPr>
              <w:br w:type="textWrapping"/>
            </w:r>
            <w:r>
              <w:rPr>
                <w:rStyle w:val="11"/>
                <w:rFonts w:hint="eastAsia"/>
              </w:rPr>
              <w:t>不必提供</w:t>
            </w:r>
          </w:p>
        </w:tc>
      </w:tr>
      <w:tr w14:paraId="7AFF8789">
        <w:tblPrEx>
          <w:tblCellMar>
            <w:top w:w="0" w:type="dxa"/>
            <w:left w:w="0" w:type="dxa"/>
            <w:bottom w:w="0" w:type="dxa"/>
            <w:right w:w="0" w:type="dxa"/>
          </w:tblCellMar>
        </w:tblPrEx>
        <w:trPr>
          <w:wBefore w:w="0" w:type="auto"/>
          <w:tblCellSpacing w:w="0" w:type="dxa"/>
        </w:trPr>
        <w:tc>
          <w:tcPr>
            <w:tcW w:w="0" w:type="auto"/>
            <w:noWrap w:val="0"/>
            <w:vAlign w:val="center"/>
          </w:tcPr>
          <w:p w14:paraId="0CD95E12">
            <w:r>
              <w:rPr>
                <w:rStyle w:val="10"/>
                <w:rFonts w:hint="eastAsia"/>
              </w:rPr>
              <w:t>质量保证期：</w:t>
            </w:r>
            <w:r>
              <w:rPr>
                <w:rStyle w:val="11"/>
                <w:rFonts w:hint="eastAsia"/>
              </w:rPr>
              <w:t>不必提供</w:t>
            </w:r>
          </w:p>
        </w:tc>
      </w:tr>
      <w:tr w14:paraId="62F60C82">
        <w:tblPrEx>
          <w:tblCellMar>
            <w:top w:w="0" w:type="dxa"/>
            <w:left w:w="0" w:type="dxa"/>
            <w:bottom w:w="0" w:type="dxa"/>
            <w:right w:w="0" w:type="dxa"/>
          </w:tblCellMar>
        </w:tblPrEx>
        <w:trPr>
          <w:wBefore w:w="0" w:type="auto"/>
          <w:tblCellSpacing w:w="0" w:type="dxa"/>
        </w:trPr>
        <w:tc>
          <w:tcPr>
            <w:tcW w:w="0" w:type="auto"/>
            <w:noWrap w:val="0"/>
            <w:vAlign w:val="center"/>
          </w:tcPr>
          <w:p w14:paraId="1DEF6032">
            <w:r>
              <w:rPr>
                <w:rStyle w:val="10"/>
                <w:rFonts w:hint="eastAsia"/>
              </w:rPr>
              <w:t>备注：</w:t>
            </w:r>
          </w:p>
        </w:tc>
      </w:tr>
    </w:tbl>
    <w:p w14:paraId="4DE0F69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613A5CA">
        <w:tblPrEx>
          <w:tblCellMar>
            <w:top w:w="0" w:type="dxa"/>
            <w:left w:w="0" w:type="dxa"/>
            <w:bottom w:w="0" w:type="dxa"/>
            <w:right w:w="0" w:type="dxa"/>
          </w:tblCellMar>
        </w:tblPrEx>
        <w:trPr>
          <w:wBefore w:w="0" w:type="auto"/>
          <w:tblCellSpacing w:w="0" w:type="dxa"/>
        </w:trPr>
        <w:tc>
          <w:tcPr>
            <w:tcW w:w="0" w:type="auto"/>
            <w:noWrap w:val="0"/>
            <w:vAlign w:val="center"/>
          </w:tcPr>
          <w:p w14:paraId="267444BE">
            <w:r>
              <w:rPr>
                <w:rStyle w:val="10"/>
                <w:rFonts w:hint="eastAsia"/>
              </w:rPr>
              <w:t>登记证号：</w:t>
            </w:r>
            <w:r>
              <w:rPr>
                <w:rFonts w:hint="eastAsia"/>
              </w:rPr>
              <w:t>PD20212289</w:t>
            </w:r>
          </w:p>
        </w:tc>
      </w:tr>
      <w:tr w14:paraId="49A058C3">
        <w:tblPrEx>
          <w:tblCellMar>
            <w:top w:w="0" w:type="dxa"/>
            <w:left w:w="0" w:type="dxa"/>
            <w:bottom w:w="0" w:type="dxa"/>
            <w:right w:w="0" w:type="dxa"/>
          </w:tblCellMar>
        </w:tblPrEx>
        <w:trPr>
          <w:wBefore w:w="0" w:type="auto"/>
          <w:tblCellSpacing w:w="0" w:type="dxa"/>
        </w:trPr>
        <w:tc>
          <w:tcPr>
            <w:tcW w:w="0" w:type="auto"/>
            <w:noWrap w:val="0"/>
            <w:vAlign w:val="center"/>
          </w:tcPr>
          <w:p w14:paraId="7029B0DB">
            <w:r>
              <w:rPr>
                <w:rStyle w:val="10"/>
                <w:rFonts w:hint="eastAsia"/>
              </w:rPr>
              <w:t>登记证持有人：</w:t>
            </w:r>
            <w:r>
              <w:rPr>
                <w:rFonts w:hint="eastAsia"/>
              </w:rPr>
              <w:t>安道麦安邦（江苏）有限公司</w:t>
            </w:r>
          </w:p>
        </w:tc>
      </w:tr>
      <w:tr w14:paraId="271C3908">
        <w:tblPrEx>
          <w:tblCellMar>
            <w:top w:w="0" w:type="dxa"/>
            <w:left w:w="0" w:type="dxa"/>
            <w:bottom w:w="0" w:type="dxa"/>
            <w:right w:w="0" w:type="dxa"/>
          </w:tblCellMar>
        </w:tblPrEx>
        <w:trPr>
          <w:wBefore w:w="0" w:type="auto"/>
          <w:tblCellSpacing w:w="0" w:type="dxa"/>
        </w:trPr>
        <w:tc>
          <w:tcPr>
            <w:tcW w:w="0" w:type="auto"/>
            <w:noWrap w:val="0"/>
            <w:vAlign w:val="center"/>
          </w:tcPr>
          <w:p w14:paraId="366CD7EB">
            <w:r>
              <w:rPr>
                <w:rStyle w:val="10"/>
                <w:rFonts w:hint="eastAsia"/>
              </w:rPr>
              <w:t>农药名称：</w:t>
            </w:r>
            <w:r>
              <w:rPr>
                <w:rFonts w:hint="eastAsia"/>
              </w:rPr>
              <w:t>烯草酮</w:t>
            </w:r>
          </w:p>
        </w:tc>
      </w:tr>
      <w:tr w14:paraId="315F02B4">
        <w:tblPrEx>
          <w:tblCellMar>
            <w:top w:w="0" w:type="dxa"/>
            <w:left w:w="0" w:type="dxa"/>
            <w:bottom w:w="0" w:type="dxa"/>
            <w:right w:w="0" w:type="dxa"/>
          </w:tblCellMar>
        </w:tblPrEx>
        <w:trPr>
          <w:wBefore w:w="0" w:type="auto"/>
          <w:tblCellSpacing w:w="0" w:type="dxa"/>
        </w:trPr>
        <w:tc>
          <w:tcPr>
            <w:tcW w:w="0" w:type="auto"/>
            <w:noWrap w:val="0"/>
            <w:vAlign w:val="center"/>
          </w:tcPr>
          <w:p w14:paraId="787E0B75">
            <w:r>
              <w:rPr>
                <w:rStyle w:val="10"/>
                <w:rFonts w:hint="eastAsia"/>
              </w:rPr>
              <w:t>剂型：</w:t>
            </w:r>
            <w:r>
              <w:rPr>
                <w:rFonts w:hint="eastAsia"/>
              </w:rPr>
              <w:t>乳油</w:t>
            </w:r>
          </w:p>
        </w:tc>
      </w:tr>
      <w:tr w14:paraId="0AC79CE5">
        <w:tblPrEx>
          <w:tblCellMar>
            <w:top w:w="0" w:type="dxa"/>
            <w:left w:w="0" w:type="dxa"/>
            <w:bottom w:w="0" w:type="dxa"/>
            <w:right w:w="0" w:type="dxa"/>
          </w:tblCellMar>
        </w:tblPrEx>
        <w:trPr>
          <w:wBefore w:w="0" w:type="auto"/>
          <w:tblCellSpacing w:w="0" w:type="dxa"/>
        </w:trPr>
        <w:tc>
          <w:tcPr>
            <w:tcW w:w="0" w:type="auto"/>
            <w:noWrap w:val="0"/>
            <w:vAlign w:val="center"/>
          </w:tcPr>
          <w:p w14:paraId="43AB1F3B">
            <w:r>
              <w:rPr>
                <w:rStyle w:val="10"/>
                <w:rFonts w:hint="eastAsia"/>
              </w:rPr>
              <w:t>毒性及其标识：</w:t>
            </w:r>
            <w:r>
              <w:rPr>
                <w:rFonts w:hint="eastAsia"/>
              </w:rPr>
              <w:t xml:space="preserve"> </w:t>
            </w:r>
            <w:r>
              <w:rPr>
                <w:lang/>
              </w:rPr>
              <w:drawing>
                <wp:inline distT="0" distB="0" distL="114300" distR="114300">
                  <wp:extent cx="476250" cy="323850"/>
                  <wp:effectExtent l="0" t="0" r="0" b="0"/>
                  <wp:docPr id="611" name="图片 61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1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9323415">
        <w:tblPrEx>
          <w:tblCellMar>
            <w:top w:w="0" w:type="dxa"/>
            <w:left w:w="0" w:type="dxa"/>
            <w:bottom w:w="0" w:type="dxa"/>
            <w:right w:w="0" w:type="dxa"/>
          </w:tblCellMar>
        </w:tblPrEx>
        <w:trPr>
          <w:wBefore w:w="0" w:type="auto"/>
          <w:tblCellSpacing w:w="0" w:type="dxa"/>
        </w:trPr>
        <w:tc>
          <w:tcPr>
            <w:tcW w:w="0" w:type="auto"/>
            <w:noWrap w:val="0"/>
            <w:vAlign w:val="center"/>
          </w:tcPr>
          <w:p w14:paraId="7EE8A699">
            <w:r>
              <w:rPr>
                <w:rStyle w:val="10"/>
                <w:rFonts w:hint="eastAsia"/>
              </w:rPr>
              <w:t>总有效成分含量：</w:t>
            </w:r>
            <w:r>
              <w:rPr>
                <w:rFonts w:hint="eastAsia"/>
              </w:rPr>
              <w:t>120克/升</w:t>
            </w:r>
          </w:p>
        </w:tc>
      </w:tr>
      <w:tr w14:paraId="41E5A48B">
        <w:tblPrEx>
          <w:tblCellMar>
            <w:top w:w="0" w:type="dxa"/>
            <w:left w:w="0" w:type="dxa"/>
            <w:bottom w:w="0" w:type="dxa"/>
            <w:right w:w="0" w:type="dxa"/>
          </w:tblCellMar>
        </w:tblPrEx>
        <w:trPr>
          <w:wBefore w:w="0" w:type="auto"/>
          <w:tblCellSpacing w:w="0" w:type="dxa"/>
        </w:trPr>
        <w:tc>
          <w:tcPr>
            <w:tcW w:w="0" w:type="auto"/>
            <w:noWrap w:val="0"/>
            <w:vAlign w:val="center"/>
          </w:tcPr>
          <w:p w14:paraId="39BB7D81">
            <w:r>
              <w:rPr>
                <w:rFonts w:hint="eastAsia"/>
              </w:rPr>
              <w:t xml:space="preserve">有效成分及其含量： </w:t>
            </w:r>
          </w:p>
          <w:p w14:paraId="4566FEAB">
            <w:r>
              <w:rPr>
                <w:rFonts w:hint="eastAsia"/>
              </w:rPr>
              <w:t xml:space="preserve">    烯草酮120克/升    </w:t>
            </w:r>
          </w:p>
        </w:tc>
      </w:tr>
      <w:tr w14:paraId="06ED9863">
        <w:tblPrEx>
          <w:tblCellMar>
            <w:top w:w="0" w:type="dxa"/>
            <w:left w:w="0" w:type="dxa"/>
            <w:bottom w:w="0" w:type="dxa"/>
            <w:right w:w="0" w:type="dxa"/>
          </w:tblCellMar>
        </w:tblPrEx>
        <w:trPr>
          <w:wBefore w:w="0" w:type="auto"/>
          <w:tblCellSpacing w:w="0" w:type="dxa"/>
        </w:trPr>
        <w:tc>
          <w:tcPr>
            <w:tcW w:w="0" w:type="auto"/>
            <w:noWrap w:val="0"/>
            <w:vAlign w:val="center"/>
          </w:tcPr>
          <w:p w14:paraId="3BC3A38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6986E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CABFB9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FC09E95">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691E83F">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0F5ABDA">
                  <w:r>
                    <w:rPr>
                      <w:rStyle w:val="11"/>
                      <w:rFonts w:hint="eastAsia"/>
                    </w:rPr>
                    <w:t>施用方式</w:t>
                  </w:r>
                </w:p>
              </w:tc>
            </w:tr>
            <w:tr w14:paraId="3B6BE4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A1BACF9">
                  <w:r>
                    <w:rPr>
                      <w:rStyle w:val="11"/>
                      <w:rFonts w:hint="eastAsia"/>
                    </w:rPr>
                    <w:t>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FD615E">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A35BF0E">
                  <w:r>
                    <w:rPr>
                      <w:rStyle w:val="11"/>
                      <w:rFonts w:hint="eastAsia"/>
                    </w:rPr>
                    <w:t>40-50毫升/亩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ECB8D2">
                  <w:r>
                    <w:rPr>
                      <w:rStyle w:val="11"/>
                      <w:rFonts w:hint="eastAsia"/>
                    </w:rPr>
                    <w:t>喷雾</w:t>
                  </w:r>
                </w:p>
              </w:tc>
            </w:tr>
          </w:tbl>
          <w:p w14:paraId="71557E66">
            <w:pPr>
              <w:rPr>
                <w:rFonts w:ascii="Times New Roman" w:hAnsi="Times New Roman" w:cs="Times New Roman"/>
                <w:sz w:val="20"/>
                <w:szCs w:val="20"/>
              </w:rPr>
            </w:pPr>
          </w:p>
        </w:tc>
      </w:tr>
      <w:tr w14:paraId="295CC0CB">
        <w:tblPrEx>
          <w:tblCellMar>
            <w:top w:w="0" w:type="dxa"/>
            <w:left w:w="0" w:type="dxa"/>
            <w:bottom w:w="0" w:type="dxa"/>
            <w:right w:w="0" w:type="dxa"/>
          </w:tblCellMar>
        </w:tblPrEx>
        <w:trPr>
          <w:wBefore w:w="0" w:type="auto"/>
          <w:tblCellSpacing w:w="0" w:type="dxa"/>
        </w:trPr>
        <w:tc>
          <w:tcPr>
            <w:tcW w:w="0" w:type="auto"/>
            <w:noWrap w:val="0"/>
            <w:vAlign w:val="center"/>
          </w:tcPr>
          <w:p w14:paraId="6E19156D">
            <w:r>
              <w:rPr>
                <w:rStyle w:val="10"/>
                <w:rFonts w:hint="eastAsia"/>
              </w:rPr>
              <w:t>使用技术要求:</w:t>
            </w:r>
            <w:r>
              <w:rPr>
                <w:rFonts w:hint="eastAsia"/>
              </w:rPr>
              <w:br w:type="textWrapping"/>
            </w:r>
            <w:r>
              <w:rPr>
                <w:rStyle w:val="11"/>
                <w:rFonts w:hint="eastAsia"/>
              </w:rPr>
              <w:t>1.本品于大豆田杂草3-5叶期，兑水均匀茎叶喷雾施药一次，每亩兑水20-30千克均匀茎叶喷雾。 2.大风天或预计1小时内降雨，请勿施药。 3.本品每季作物最多使用1次。</w:t>
            </w:r>
          </w:p>
        </w:tc>
      </w:tr>
      <w:tr w14:paraId="71B15DBC">
        <w:tblPrEx>
          <w:tblCellMar>
            <w:top w:w="0" w:type="dxa"/>
            <w:left w:w="0" w:type="dxa"/>
            <w:bottom w:w="0" w:type="dxa"/>
            <w:right w:w="0" w:type="dxa"/>
          </w:tblCellMar>
        </w:tblPrEx>
        <w:trPr>
          <w:wBefore w:w="0" w:type="auto"/>
          <w:tblCellSpacing w:w="0" w:type="dxa"/>
        </w:trPr>
        <w:tc>
          <w:tcPr>
            <w:tcW w:w="0" w:type="auto"/>
            <w:noWrap w:val="0"/>
            <w:vAlign w:val="center"/>
          </w:tcPr>
          <w:p w14:paraId="1D2CFAC3">
            <w:r>
              <w:rPr>
                <w:rStyle w:val="10"/>
                <w:rFonts w:hint="eastAsia"/>
              </w:rPr>
              <w:t>产品性能:</w:t>
            </w:r>
            <w:r>
              <w:rPr>
                <w:rFonts w:hint="eastAsia"/>
              </w:rPr>
              <w:br w:type="textWrapping"/>
            </w:r>
            <w:r>
              <w:rPr>
                <w:rStyle w:val="11"/>
                <w:rFonts w:hint="eastAsia"/>
              </w:rPr>
              <w:t xml:space="preserve">本品为环已烯酮类除草剂，具有很好的选择性和良好的内吸传导性，是理想的苗后茎叶处理剂；活性高，用量少，对当茬及后茬作物安全，能有效防除狗尾草、马唐、稗草等多种一年生禾本科杂草。 </w:t>
            </w:r>
          </w:p>
        </w:tc>
      </w:tr>
      <w:tr w14:paraId="21886570">
        <w:tblPrEx>
          <w:tblCellMar>
            <w:top w:w="0" w:type="dxa"/>
            <w:left w:w="0" w:type="dxa"/>
            <w:bottom w:w="0" w:type="dxa"/>
            <w:right w:w="0" w:type="dxa"/>
          </w:tblCellMar>
        </w:tblPrEx>
        <w:trPr>
          <w:wBefore w:w="0" w:type="auto"/>
          <w:tblCellSpacing w:w="0" w:type="dxa"/>
        </w:trPr>
        <w:tc>
          <w:tcPr>
            <w:tcW w:w="0" w:type="auto"/>
            <w:noWrap w:val="0"/>
            <w:vAlign w:val="center"/>
          </w:tcPr>
          <w:p w14:paraId="5AA872AB">
            <w:r>
              <w:rPr>
                <w:rStyle w:val="10"/>
                <w:rFonts w:hint="eastAsia"/>
              </w:rPr>
              <w:t>注意事项：</w:t>
            </w:r>
            <w:r>
              <w:rPr>
                <w:rFonts w:hint="eastAsia"/>
              </w:rPr>
              <w:br w:type="textWrapping"/>
            </w:r>
            <w:r>
              <w:rPr>
                <w:rStyle w:val="11"/>
                <w:rFonts w:hint="eastAsia"/>
              </w:rPr>
              <w:t>1.请按照农药安全使用准则使用本品。避免药液接触皮肤、眼睛和污染衣物，避免吸入雾滴。切勿在施药现场抽烟或饮食。2. 对皮肤、眼睛有刺激性，施用时注意安全防护，穿（戴）长衣、长裤、帽子、口罩、手套、鞋子等。 3.施药后用肥皂和足量清水彻底清洗手和面部以及其它可能接触药液的身体部位。4.本品对玉米、小麦、高粱、谷子、水稻等禾本科作物敏感，施药时应避免药液漂移到上述作物上，以防产生药害。5.本品对鱼类等水生生物有毒，远离水产养殖区、河塘等水体附近施药，禁止在河塘等水域清洗施药器具。6.用过的容器应妥善处理，不可做他用，也不可随意丢弃。 7.孕妇及哺乳期妇女禁止接触本品。</w:t>
            </w:r>
          </w:p>
        </w:tc>
      </w:tr>
      <w:tr w14:paraId="0C552DAD">
        <w:tblPrEx>
          <w:tblCellMar>
            <w:top w:w="0" w:type="dxa"/>
            <w:left w:w="0" w:type="dxa"/>
            <w:bottom w:w="0" w:type="dxa"/>
            <w:right w:w="0" w:type="dxa"/>
          </w:tblCellMar>
        </w:tblPrEx>
        <w:trPr>
          <w:wBefore w:w="0" w:type="auto"/>
          <w:tblCellSpacing w:w="0" w:type="dxa"/>
        </w:trPr>
        <w:tc>
          <w:tcPr>
            <w:tcW w:w="0" w:type="auto"/>
            <w:noWrap w:val="0"/>
            <w:vAlign w:val="center"/>
          </w:tcPr>
          <w:p w14:paraId="67A76296">
            <w:r>
              <w:rPr>
                <w:rStyle w:val="10"/>
                <w:rFonts w:hint="eastAsia"/>
              </w:rPr>
              <w:t>中毒急救措施：</w:t>
            </w:r>
            <w:r>
              <w:rPr>
                <w:rFonts w:hint="eastAsia"/>
              </w:rPr>
              <w:br w:type="textWrapping"/>
            </w:r>
            <w:r>
              <w:rPr>
                <w:rStyle w:val="11"/>
                <w:rFonts w:hint="eastAsia"/>
              </w:rPr>
              <w:t xml:space="preserve">中毒症状：对眼睛、皮肤和粘膜有刺激作用。 中毒急救：1.皮肤接触：立即脱去污染的衣物，用软布去除沾染农药，用大量清水冲洗被污染的皮肤。2.眼睛溅药：立即将眼睑翻开，用清水冲洗10-15分钟，再请医生诊治。3.发生吸入：立即将吸入者转移到空气新鲜处，请医生诊治。 4.误服：立即携标签送医治疗。 </w:t>
            </w:r>
          </w:p>
        </w:tc>
      </w:tr>
      <w:tr w14:paraId="3E867C6A">
        <w:tblPrEx>
          <w:tblCellMar>
            <w:top w:w="0" w:type="dxa"/>
            <w:left w:w="0" w:type="dxa"/>
            <w:bottom w:w="0" w:type="dxa"/>
            <w:right w:w="0" w:type="dxa"/>
          </w:tblCellMar>
        </w:tblPrEx>
        <w:trPr>
          <w:wBefore w:w="0" w:type="auto"/>
          <w:tblCellSpacing w:w="0" w:type="dxa"/>
        </w:trPr>
        <w:tc>
          <w:tcPr>
            <w:tcW w:w="0" w:type="auto"/>
            <w:noWrap w:val="0"/>
            <w:vAlign w:val="center"/>
          </w:tcPr>
          <w:p w14:paraId="3BB44A49">
            <w:r>
              <w:rPr>
                <w:rStyle w:val="10"/>
                <w:rFonts w:hint="eastAsia"/>
              </w:rPr>
              <w:t>储存和运输方法：</w:t>
            </w:r>
            <w:r>
              <w:rPr>
                <w:rFonts w:hint="eastAsia"/>
              </w:rPr>
              <w:br w:type="textWrapping"/>
            </w:r>
            <w:r>
              <w:rPr>
                <w:rStyle w:val="11"/>
                <w:rFonts w:hint="eastAsia"/>
              </w:rPr>
              <w:t>1.本品应加锁保存，勿让儿童、无关人员和动物接触。勿与食物、饮料、动物饲料、粮食、种子等在一起存放或运输。 2.本品应贮藏在避光、干燥、通风处。运输时应注意避光、防高温、雨淋。 3.贮藏温度应避免低于-10℃或高于35℃。 4.产品码放高度不宜超过2米，以免损坏包装。</w:t>
            </w:r>
          </w:p>
        </w:tc>
      </w:tr>
      <w:tr w14:paraId="5F670DB5">
        <w:tblPrEx>
          <w:tblCellMar>
            <w:top w:w="0" w:type="dxa"/>
            <w:left w:w="0" w:type="dxa"/>
            <w:bottom w:w="0" w:type="dxa"/>
            <w:right w:w="0" w:type="dxa"/>
          </w:tblCellMar>
        </w:tblPrEx>
        <w:trPr>
          <w:wBefore w:w="0" w:type="auto"/>
          <w:tblCellSpacing w:w="0" w:type="dxa"/>
        </w:trPr>
        <w:tc>
          <w:tcPr>
            <w:tcW w:w="0" w:type="auto"/>
            <w:noWrap w:val="0"/>
            <w:vAlign w:val="center"/>
          </w:tcPr>
          <w:p w14:paraId="5E93689C">
            <w:r>
              <w:rPr>
                <w:rStyle w:val="10"/>
                <w:rFonts w:hint="eastAsia"/>
              </w:rPr>
              <w:t>质量保证期：</w:t>
            </w:r>
            <w:r>
              <w:rPr>
                <w:rStyle w:val="11"/>
                <w:rFonts w:hint="eastAsia"/>
              </w:rPr>
              <w:t>2年</w:t>
            </w:r>
          </w:p>
        </w:tc>
      </w:tr>
      <w:tr w14:paraId="4D7E485F">
        <w:tblPrEx>
          <w:tblCellMar>
            <w:top w:w="0" w:type="dxa"/>
            <w:left w:w="0" w:type="dxa"/>
            <w:bottom w:w="0" w:type="dxa"/>
            <w:right w:w="0" w:type="dxa"/>
          </w:tblCellMar>
        </w:tblPrEx>
        <w:trPr>
          <w:wBefore w:w="0" w:type="auto"/>
          <w:tblCellSpacing w:w="0" w:type="dxa"/>
        </w:trPr>
        <w:tc>
          <w:tcPr>
            <w:tcW w:w="0" w:type="auto"/>
            <w:noWrap w:val="0"/>
            <w:vAlign w:val="center"/>
          </w:tcPr>
          <w:p w14:paraId="62A01FEE">
            <w:r>
              <w:rPr>
                <w:rStyle w:val="10"/>
                <w:rFonts w:hint="eastAsia"/>
              </w:rPr>
              <w:t>备注：</w:t>
            </w:r>
            <w:r>
              <w:rPr>
                <w:rFonts w:hint="eastAsia"/>
              </w:rPr>
              <w:br w:type="textWrapping"/>
            </w:r>
            <w:r>
              <w:rPr>
                <w:rStyle w:val="11"/>
                <w:rFonts w:hint="eastAsia"/>
              </w:rPr>
              <w:t>烯草酮13%。</w:t>
            </w:r>
          </w:p>
        </w:tc>
      </w:tr>
    </w:tbl>
    <w:p w14:paraId="7A917D9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41217AF">
        <w:tblPrEx>
          <w:tblCellMar>
            <w:top w:w="0" w:type="dxa"/>
            <w:left w:w="0" w:type="dxa"/>
            <w:bottom w:w="0" w:type="dxa"/>
            <w:right w:w="0" w:type="dxa"/>
          </w:tblCellMar>
        </w:tblPrEx>
        <w:trPr>
          <w:wBefore w:w="0" w:type="auto"/>
          <w:tblCellSpacing w:w="0" w:type="dxa"/>
        </w:trPr>
        <w:tc>
          <w:tcPr>
            <w:tcW w:w="0" w:type="auto"/>
            <w:noWrap w:val="0"/>
            <w:vAlign w:val="center"/>
          </w:tcPr>
          <w:p w14:paraId="33469639">
            <w:r>
              <w:rPr>
                <w:rStyle w:val="10"/>
                <w:rFonts w:hint="eastAsia"/>
              </w:rPr>
              <w:t>登记证号：</w:t>
            </w:r>
            <w:r>
              <w:rPr>
                <w:rFonts w:hint="eastAsia"/>
              </w:rPr>
              <w:t>PD20212081</w:t>
            </w:r>
          </w:p>
        </w:tc>
      </w:tr>
      <w:tr w14:paraId="5FF9A70E">
        <w:tblPrEx>
          <w:tblCellMar>
            <w:top w:w="0" w:type="dxa"/>
            <w:left w:w="0" w:type="dxa"/>
            <w:bottom w:w="0" w:type="dxa"/>
            <w:right w:w="0" w:type="dxa"/>
          </w:tblCellMar>
        </w:tblPrEx>
        <w:trPr>
          <w:wBefore w:w="0" w:type="auto"/>
          <w:tblCellSpacing w:w="0" w:type="dxa"/>
        </w:trPr>
        <w:tc>
          <w:tcPr>
            <w:tcW w:w="0" w:type="auto"/>
            <w:noWrap w:val="0"/>
            <w:vAlign w:val="center"/>
          </w:tcPr>
          <w:p w14:paraId="68BCCFB6">
            <w:r>
              <w:rPr>
                <w:rStyle w:val="10"/>
                <w:rFonts w:hint="eastAsia"/>
              </w:rPr>
              <w:t>登记证持有人：</w:t>
            </w:r>
            <w:r>
              <w:rPr>
                <w:rFonts w:hint="eastAsia"/>
              </w:rPr>
              <w:t>杭州颖泰生物科技有限公司</w:t>
            </w:r>
          </w:p>
        </w:tc>
      </w:tr>
      <w:tr w14:paraId="083BC18E">
        <w:tblPrEx>
          <w:tblCellMar>
            <w:top w:w="0" w:type="dxa"/>
            <w:left w:w="0" w:type="dxa"/>
            <w:bottom w:w="0" w:type="dxa"/>
            <w:right w:w="0" w:type="dxa"/>
          </w:tblCellMar>
        </w:tblPrEx>
        <w:trPr>
          <w:wBefore w:w="0" w:type="auto"/>
          <w:tblCellSpacing w:w="0" w:type="dxa"/>
        </w:trPr>
        <w:tc>
          <w:tcPr>
            <w:tcW w:w="0" w:type="auto"/>
            <w:noWrap w:val="0"/>
            <w:vAlign w:val="center"/>
          </w:tcPr>
          <w:p w14:paraId="10B6B6E3">
            <w:r>
              <w:rPr>
                <w:rStyle w:val="10"/>
                <w:rFonts w:hint="eastAsia"/>
              </w:rPr>
              <w:t>农药名称：</w:t>
            </w:r>
            <w:r>
              <w:rPr>
                <w:rFonts w:hint="eastAsia"/>
              </w:rPr>
              <w:t>异丙草胺</w:t>
            </w:r>
          </w:p>
        </w:tc>
      </w:tr>
      <w:tr w14:paraId="769448C8">
        <w:tblPrEx>
          <w:tblCellMar>
            <w:top w:w="0" w:type="dxa"/>
            <w:left w:w="0" w:type="dxa"/>
            <w:bottom w:w="0" w:type="dxa"/>
            <w:right w:w="0" w:type="dxa"/>
          </w:tblCellMar>
        </w:tblPrEx>
        <w:trPr>
          <w:wBefore w:w="0" w:type="auto"/>
          <w:tblCellSpacing w:w="0" w:type="dxa"/>
        </w:trPr>
        <w:tc>
          <w:tcPr>
            <w:tcW w:w="0" w:type="auto"/>
            <w:noWrap w:val="0"/>
            <w:vAlign w:val="center"/>
          </w:tcPr>
          <w:p w14:paraId="253E6199">
            <w:r>
              <w:rPr>
                <w:rStyle w:val="10"/>
                <w:rFonts w:hint="eastAsia"/>
              </w:rPr>
              <w:t>剂型：</w:t>
            </w:r>
            <w:r>
              <w:rPr>
                <w:rFonts w:hint="eastAsia"/>
              </w:rPr>
              <w:t>乳油</w:t>
            </w:r>
          </w:p>
        </w:tc>
      </w:tr>
      <w:tr w14:paraId="16F92AFD">
        <w:tblPrEx>
          <w:tblCellMar>
            <w:top w:w="0" w:type="dxa"/>
            <w:left w:w="0" w:type="dxa"/>
            <w:bottom w:w="0" w:type="dxa"/>
            <w:right w:w="0" w:type="dxa"/>
          </w:tblCellMar>
        </w:tblPrEx>
        <w:trPr>
          <w:wBefore w:w="0" w:type="auto"/>
          <w:tblCellSpacing w:w="0" w:type="dxa"/>
        </w:trPr>
        <w:tc>
          <w:tcPr>
            <w:tcW w:w="0" w:type="auto"/>
            <w:noWrap w:val="0"/>
            <w:vAlign w:val="center"/>
          </w:tcPr>
          <w:p w14:paraId="67C9E3A4">
            <w:r>
              <w:rPr>
                <w:rStyle w:val="10"/>
                <w:rFonts w:hint="eastAsia"/>
              </w:rPr>
              <w:t>毒性及其标识：</w:t>
            </w:r>
            <w:r>
              <w:rPr>
                <w:rFonts w:hint="eastAsia"/>
              </w:rPr>
              <w:t xml:space="preserve"> </w:t>
            </w:r>
            <w:r>
              <w:rPr>
                <w:lang/>
              </w:rPr>
              <w:drawing>
                <wp:inline distT="0" distB="0" distL="114300" distR="114300">
                  <wp:extent cx="476250" cy="323850"/>
                  <wp:effectExtent l="0" t="0" r="0" b="0"/>
                  <wp:docPr id="612" name="图片 61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998E61A">
        <w:tblPrEx>
          <w:tblCellMar>
            <w:top w:w="0" w:type="dxa"/>
            <w:left w:w="0" w:type="dxa"/>
            <w:bottom w:w="0" w:type="dxa"/>
            <w:right w:w="0" w:type="dxa"/>
          </w:tblCellMar>
        </w:tblPrEx>
        <w:trPr>
          <w:wBefore w:w="0" w:type="auto"/>
          <w:tblCellSpacing w:w="0" w:type="dxa"/>
        </w:trPr>
        <w:tc>
          <w:tcPr>
            <w:tcW w:w="0" w:type="auto"/>
            <w:noWrap w:val="0"/>
            <w:vAlign w:val="center"/>
          </w:tcPr>
          <w:p w14:paraId="403EE306">
            <w:r>
              <w:rPr>
                <w:rStyle w:val="10"/>
                <w:rFonts w:hint="eastAsia"/>
              </w:rPr>
              <w:t>总有效成分含量：</w:t>
            </w:r>
            <w:r>
              <w:rPr>
                <w:rFonts w:hint="eastAsia"/>
              </w:rPr>
              <w:t>720克/升</w:t>
            </w:r>
          </w:p>
        </w:tc>
      </w:tr>
      <w:tr w14:paraId="76BE2D59">
        <w:tblPrEx>
          <w:tblCellMar>
            <w:top w:w="0" w:type="dxa"/>
            <w:left w:w="0" w:type="dxa"/>
            <w:bottom w:w="0" w:type="dxa"/>
            <w:right w:w="0" w:type="dxa"/>
          </w:tblCellMar>
        </w:tblPrEx>
        <w:trPr>
          <w:wBefore w:w="0" w:type="auto"/>
          <w:tblCellSpacing w:w="0" w:type="dxa"/>
        </w:trPr>
        <w:tc>
          <w:tcPr>
            <w:tcW w:w="0" w:type="auto"/>
            <w:noWrap w:val="0"/>
            <w:vAlign w:val="center"/>
          </w:tcPr>
          <w:p w14:paraId="7E7B0C46">
            <w:r>
              <w:rPr>
                <w:rFonts w:hint="eastAsia"/>
              </w:rPr>
              <w:t xml:space="preserve">有效成分及其含量： </w:t>
            </w:r>
          </w:p>
          <w:p w14:paraId="7D600DB7">
            <w:r>
              <w:rPr>
                <w:rFonts w:hint="eastAsia"/>
              </w:rPr>
              <w:t xml:space="preserve">    异丙草胺720克/升    </w:t>
            </w:r>
          </w:p>
        </w:tc>
      </w:tr>
      <w:tr w14:paraId="56A32728">
        <w:tblPrEx>
          <w:tblCellMar>
            <w:top w:w="0" w:type="dxa"/>
            <w:left w:w="0" w:type="dxa"/>
            <w:bottom w:w="0" w:type="dxa"/>
            <w:right w:w="0" w:type="dxa"/>
          </w:tblCellMar>
        </w:tblPrEx>
        <w:trPr>
          <w:wBefore w:w="0" w:type="auto"/>
          <w:tblCellSpacing w:w="0" w:type="dxa"/>
        </w:trPr>
        <w:tc>
          <w:tcPr>
            <w:tcW w:w="0" w:type="auto"/>
            <w:noWrap w:val="0"/>
            <w:vAlign w:val="center"/>
          </w:tcPr>
          <w:p w14:paraId="4415F5B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64D30E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E29FFB5">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D9E031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B7E8E7E">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FC28D47">
                  <w:r>
                    <w:rPr>
                      <w:rStyle w:val="11"/>
                      <w:rFonts w:hint="eastAsia"/>
                    </w:rPr>
                    <w:t>施用方式</w:t>
                  </w:r>
                </w:p>
              </w:tc>
            </w:tr>
            <w:tr w14:paraId="4E0500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F6E55E5">
                  <w:r>
                    <w:rPr>
                      <w:rStyle w:val="11"/>
                      <w:rFonts w:hint="eastAsia"/>
                    </w:rPr>
                    <w:t>春大豆田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D7529B">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28DBB25">
                  <w:r>
                    <w:rPr>
                      <w:rStyle w:val="11"/>
                      <w:rFonts w:hint="eastAsia"/>
                    </w:rPr>
                    <w:t>150-200毫升/亩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ABC66F">
                  <w:r>
                    <w:rPr>
                      <w:rStyle w:val="11"/>
                      <w:rFonts w:hint="eastAsia"/>
                    </w:rPr>
                    <w:t>土壤喷雾</w:t>
                  </w:r>
                </w:p>
              </w:tc>
            </w:tr>
          </w:tbl>
          <w:p w14:paraId="0EF996A7">
            <w:pPr>
              <w:rPr>
                <w:rFonts w:ascii="Times New Roman" w:hAnsi="Times New Roman" w:cs="Times New Roman"/>
                <w:sz w:val="20"/>
                <w:szCs w:val="20"/>
              </w:rPr>
            </w:pPr>
          </w:p>
        </w:tc>
      </w:tr>
      <w:tr w14:paraId="1E6E8969">
        <w:tblPrEx>
          <w:tblCellMar>
            <w:top w:w="0" w:type="dxa"/>
            <w:left w:w="0" w:type="dxa"/>
            <w:bottom w:w="0" w:type="dxa"/>
            <w:right w:w="0" w:type="dxa"/>
          </w:tblCellMar>
        </w:tblPrEx>
        <w:trPr>
          <w:wBefore w:w="0" w:type="auto"/>
          <w:tblCellSpacing w:w="0" w:type="dxa"/>
        </w:trPr>
        <w:tc>
          <w:tcPr>
            <w:tcW w:w="0" w:type="auto"/>
            <w:noWrap w:val="0"/>
            <w:vAlign w:val="center"/>
          </w:tcPr>
          <w:p w14:paraId="324AD0C2">
            <w:r>
              <w:rPr>
                <w:rStyle w:val="10"/>
                <w:rFonts w:hint="eastAsia"/>
              </w:rPr>
              <w:t>使用技术要求:</w:t>
            </w:r>
            <w:r>
              <w:rPr>
                <w:rFonts w:hint="eastAsia"/>
              </w:rPr>
              <w:br w:type="textWrapping"/>
            </w:r>
            <w:r>
              <w:rPr>
                <w:rStyle w:val="11"/>
                <w:rFonts w:hint="eastAsia"/>
              </w:rPr>
              <w:t>于春大豆播后苗前，以推荐剂量对水均匀土壤喷雾施药一次。施药时防止药液飘移到邻近作物，以免产生药害。</w:t>
            </w:r>
          </w:p>
        </w:tc>
      </w:tr>
      <w:tr w14:paraId="79B05D7E">
        <w:tblPrEx>
          <w:tblCellMar>
            <w:top w:w="0" w:type="dxa"/>
            <w:left w:w="0" w:type="dxa"/>
            <w:bottom w:w="0" w:type="dxa"/>
            <w:right w:w="0" w:type="dxa"/>
          </w:tblCellMar>
        </w:tblPrEx>
        <w:trPr>
          <w:wBefore w:w="0" w:type="auto"/>
          <w:tblCellSpacing w:w="0" w:type="dxa"/>
        </w:trPr>
        <w:tc>
          <w:tcPr>
            <w:tcW w:w="0" w:type="auto"/>
            <w:noWrap w:val="0"/>
            <w:vAlign w:val="center"/>
          </w:tcPr>
          <w:p w14:paraId="1F35E871">
            <w:r>
              <w:rPr>
                <w:rStyle w:val="10"/>
                <w:rFonts w:hint="eastAsia"/>
              </w:rPr>
              <w:t>产品性能:</w:t>
            </w:r>
            <w:r>
              <w:rPr>
                <w:rFonts w:hint="eastAsia"/>
              </w:rPr>
              <w:br w:type="textWrapping"/>
            </w:r>
            <w:r>
              <w:rPr>
                <w:rStyle w:val="11"/>
                <w:rFonts w:hint="eastAsia"/>
              </w:rPr>
              <w:t xml:space="preserve">本品为酰胺类选择性芽前除草剂，被植物幼根或幼叶吸收后，在植物体内干扰核酸代谢及蛋白质合成，使幼芽、幼根停止生长。可用于春大豆田防除一年生禾本科杂草及部分阔叶杂草。 </w:t>
            </w:r>
          </w:p>
        </w:tc>
      </w:tr>
      <w:tr w14:paraId="7498A8E3">
        <w:tblPrEx>
          <w:tblCellMar>
            <w:top w:w="0" w:type="dxa"/>
            <w:left w:w="0" w:type="dxa"/>
            <w:bottom w:w="0" w:type="dxa"/>
            <w:right w:w="0" w:type="dxa"/>
          </w:tblCellMar>
        </w:tblPrEx>
        <w:trPr>
          <w:wBefore w:w="0" w:type="auto"/>
          <w:tblCellSpacing w:w="0" w:type="dxa"/>
        </w:trPr>
        <w:tc>
          <w:tcPr>
            <w:tcW w:w="0" w:type="auto"/>
            <w:noWrap w:val="0"/>
            <w:vAlign w:val="center"/>
          </w:tcPr>
          <w:p w14:paraId="227C2EA2">
            <w:r>
              <w:rPr>
                <w:rStyle w:val="10"/>
                <w:rFonts w:hint="eastAsia"/>
              </w:rPr>
              <w:t>注意事项：</w:t>
            </w:r>
            <w:r>
              <w:rPr>
                <w:rFonts w:hint="eastAsia"/>
              </w:rPr>
              <w:br w:type="textWrapping"/>
            </w:r>
            <w:r>
              <w:rPr>
                <w:rStyle w:val="11"/>
                <w:rFonts w:hint="eastAsia"/>
              </w:rPr>
              <w:t>1. 请按照标签使用本品，应根据田间杂草草相及抗性等具体情况，科学合理用药。2. 本品对皮肤和眼睛有刺激性，使用本品时应穿防护服和戴手套、佩戴护目镜或面罩等，避免眼睛和皮肤接触到本产品。施药期间不可吃东西和饮水。施药后及时洗手、洗脸。3. 喷雾器使用后要彻底清洗干净，以免喷桶内残留药液在其它作物上使用而产生药害。4. 禁止在河塘等水域内清洗施药器具或将清洗施药器具的废水倒入河流、池塘等水源。用过的容器应妥善处理，不可做他用，也不可随意丢弃。5. 蚕室及桑园附近禁用。6. 避免孕妇及哺乳期妇女接触。</w:t>
            </w:r>
          </w:p>
        </w:tc>
      </w:tr>
      <w:tr w14:paraId="19DBD5F5">
        <w:tblPrEx>
          <w:tblCellMar>
            <w:top w:w="0" w:type="dxa"/>
            <w:left w:w="0" w:type="dxa"/>
            <w:bottom w:w="0" w:type="dxa"/>
            <w:right w:w="0" w:type="dxa"/>
          </w:tblCellMar>
        </w:tblPrEx>
        <w:trPr>
          <w:wBefore w:w="0" w:type="auto"/>
          <w:tblCellSpacing w:w="0" w:type="dxa"/>
        </w:trPr>
        <w:tc>
          <w:tcPr>
            <w:tcW w:w="0" w:type="auto"/>
            <w:noWrap w:val="0"/>
            <w:vAlign w:val="center"/>
          </w:tcPr>
          <w:p w14:paraId="7D5C4E13">
            <w:r>
              <w:rPr>
                <w:rStyle w:val="10"/>
                <w:rFonts w:hint="eastAsia"/>
              </w:rPr>
              <w:t>中毒急救措施：</w:t>
            </w:r>
            <w:r>
              <w:rPr>
                <w:rFonts w:hint="eastAsia"/>
              </w:rPr>
              <w:br w:type="textWrapping"/>
            </w:r>
            <w:r>
              <w:rPr>
                <w:rStyle w:val="11"/>
                <w:rFonts w:hint="eastAsia"/>
              </w:rPr>
              <w:t>皮肤接触：立即用大量清水冲洗被污染的皮肤，再用肥皂清洗，然后用清水冲净。诺眼睛溅药：立即将眼睑翻开，用大量流动的清水冲洗至少15分钟，再请医生诊治。发生吸入：立即将吸入者转移到空气新鲜处。误服：因立即携带标签，送医就诊。本品无特殊解毒剂，请医生对症治疗。</w:t>
            </w:r>
          </w:p>
        </w:tc>
      </w:tr>
      <w:tr w14:paraId="215965D8">
        <w:tblPrEx>
          <w:tblCellMar>
            <w:top w:w="0" w:type="dxa"/>
            <w:left w:w="0" w:type="dxa"/>
            <w:bottom w:w="0" w:type="dxa"/>
            <w:right w:w="0" w:type="dxa"/>
          </w:tblCellMar>
        </w:tblPrEx>
        <w:trPr>
          <w:wBefore w:w="0" w:type="auto"/>
          <w:tblCellSpacing w:w="0" w:type="dxa"/>
        </w:trPr>
        <w:tc>
          <w:tcPr>
            <w:tcW w:w="0" w:type="auto"/>
            <w:noWrap w:val="0"/>
            <w:vAlign w:val="center"/>
          </w:tcPr>
          <w:p w14:paraId="3300E1DF">
            <w:r>
              <w:rPr>
                <w:rStyle w:val="10"/>
                <w:rFonts w:hint="eastAsia"/>
              </w:rPr>
              <w:t>储存和运输方法：</w:t>
            </w:r>
            <w:r>
              <w:rPr>
                <w:rFonts w:hint="eastAsia"/>
              </w:rPr>
              <w:br w:type="textWrapping"/>
            </w:r>
            <w:r>
              <w:rPr>
                <w:rStyle w:val="11"/>
                <w:rFonts w:hint="eastAsia"/>
              </w:rPr>
              <w:t>本品应贮存在干燥、阴凉、通风、防雨处，远离火源或热源。置于儿童及无关人员触及不到地方。不能与食品、饮料、粮食、饲料等同贮同运。运输时应注意避光、防高温、防雨淋。装卸时轻搬轻放，不可倒置。</w:t>
            </w:r>
          </w:p>
        </w:tc>
      </w:tr>
      <w:tr w14:paraId="61C85ACB">
        <w:tblPrEx>
          <w:tblCellMar>
            <w:top w:w="0" w:type="dxa"/>
            <w:left w:w="0" w:type="dxa"/>
            <w:bottom w:w="0" w:type="dxa"/>
            <w:right w:w="0" w:type="dxa"/>
          </w:tblCellMar>
        </w:tblPrEx>
        <w:trPr>
          <w:wBefore w:w="0" w:type="auto"/>
          <w:tblCellSpacing w:w="0" w:type="dxa"/>
        </w:trPr>
        <w:tc>
          <w:tcPr>
            <w:tcW w:w="0" w:type="auto"/>
            <w:noWrap w:val="0"/>
            <w:vAlign w:val="center"/>
          </w:tcPr>
          <w:p w14:paraId="7FF9FCB8">
            <w:r>
              <w:rPr>
                <w:rStyle w:val="10"/>
                <w:rFonts w:hint="eastAsia"/>
              </w:rPr>
              <w:t>质量保证期：</w:t>
            </w:r>
            <w:r>
              <w:rPr>
                <w:rStyle w:val="11"/>
                <w:rFonts w:hint="eastAsia"/>
              </w:rPr>
              <w:t>2年</w:t>
            </w:r>
          </w:p>
        </w:tc>
      </w:tr>
      <w:tr w14:paraId="05DE4429">
        <w:tblPrEx>
          <w:tblCellMar>
            <w:top w:w="0" w:type="dxa"/>
            <w:left w:w="0" w:type="dxa"/>
            <w:bottom w:w="0" w:type="dxa"/>
            <w:right w:w="0" w:type="dxa"/>
          </w:tblCellMar>
        </w:tblPrEx>
        <w:trPr>
          <w:wBefore w:w="0" w:type="auto"/>
          <w:tblCellSpacing w:w="0" w:type="dxa"/>
        </w:trPr>
        <w:tc>
          <w:tcPr>
            <w:tcW w:w="0" w:type="auto"/>
            <w:noWrap w:val="0"/>
            <w:vAlign w:val="center"/>
          </w:tcPr>
          <w:p w14:paraId="3FC1EC8B">
            <w:r>
              <w:rPr>
                <w:rStyle w:val="10"/>
                <w:rFonts w:hint="eastAsia"/>
              </w:rPr>
              <w:t>备注：</w:t>
            </w:r>
            <w:r>
              <w:rPr>
                <w:rFonts w:hint="eastAsia"/>
              </w:rPr>
              <w:br w:type="textWrapping"/>
            </w:r>
            <w:r>
              <w:rPr>
                <w:rStyle w:val="11"/>
                <w:rFonts w:hint="eastAsia"/>
              </w:rPr>
              <w:t>异丙草胺68.3%。</w:t>
            </w:r>
          </w:p>
        </w:tc>
      </w:tr>
    </w:tbl>
    <w:p w14:paraId="0DBB0A36">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983F597">
        <w:tblPrEx>
          <w:tblCellMar>
            <w:top w:w="0" w:type="dxa"/>
            <w:left w:w="0" w:type="dxa"/>
            <w:bottom w:w="0" w:type="dxa"/>
            <w:right w:w="0" w:type="dxa"/>
          </w:tblCellMar>
        </w:tblPrEx>
        <w:trPr>
          <w:wBefore w:w="0" w:type="auto"/>
          <w:tblCellSpacing w:w="0" w:type="dxa"/>
        </w:trPr>
        <w:tc>
          <w:tcPr>
            <w:tcW w:w="0" w:type="auto"/>
            <w:noWrap w:val="0"/>
            <w:vAlign w:val="center"/>
          </w:tcPr>
          <w:p w14:paraId="6AC366F7">
            <w:r>
              <w:rPr>
                <w:rStyle w:val="10"/>
                <w:rFonts w:hint="eastAsia"/>
              </w:rPr>
              <w:t>登记证号：</w:t>
            </w:r>
            <w:r>
              <w:rPr>
                <w:rFonts w:hint="eastAsia"/>
              </w:rPr>
              <w:t>PD20211771</w:t>
            </w:r>
          </w:p>
        </w:tc>
      </w:tr>
      <w:tr w14:paraId="769FF50E">
        <w:tblPrEx>
          <w:tblCellMar>
            <w:top w:w="0" w:type="dxa"/>
            <w:left w:w="0" w:type="dxa"/>
            <w:bottom w:w="0" w:type="dxa"/>
            <w:right w:w="0" w:type="dxa"/>
          </w:tblCellMar>
        </w:tblPrEx>
        <w:trPr>
          <w:wBefore w:w="0" w:type="auto"/>
          <w:tblCellSpacing w:w="0" w:type="dxa"/>
        </w:trPr>
        <w:tc>
          <w:tcPr>
            <w:tcW w:w="0" w:type="auto"/>
            <w:noWrap w:val="0"/>
            <w:vAlign w:val="center"/>
          </w:tcPr>
          <w:p w14:paraId="29ACD4D8">
            <w:r>
              <w:rPr>
                <w:rStyle w:val="10"/>
                <w:rFonts w:hint="eastAsia"/>
              </w:rPr>
              <w:t>登记证持有人：</w:t>
            </w:r>
            <w:r>
              <w:rPr>
                <w:rFonts w:hint="eastAsia"/>
              </w:rPr>
              <w:t>青岛中达农业科技有限公司</w:t>
            </w:r>
          </w:p>
        </w:tc>
      </w:tr>
      <w:tr w14:paraId="154B10B2">
        <w:tblPrEx>
          <w:tblCellMar>
            <w:top w:w="0" w:type="dxa"/>
            <w:left w:w="0" w:type="dxa"/>
            <w:bottom w:w="0" w:type="dxa"/>
            <w:right w:w="0" w:type="dxa"/>
          </w:tblCellMar>
        </w:tblPrEx>
        <w:trPr>
          <w:wBefore w:w="0" w:type="auto"/>
          <w:tblCellSpacing w:w="0" w:type="dxa"/>
        </w:trPr>
        <w:tc>
          <w:tcPr>
            <w:tcW w:w="0" w:type="auto"/>
            <w:noWrap w:val="0"/>
            <w:vAlign w:val="center"/>
          </w:tcPr>
          <w:p w14:paraId="1C75A538">
            <w:r>
              <w:rPr>
                <w:rStyle w:val="10"/>
                <w:rFonts w:hint="eastAsia"/>
              </w:rPr>
              <w:t>农药名称：</w:t>
            </w:r>
            <w:r>
              <w:rPr>
                <w:rFonts w:hint="eastAsia"/>
              </w:rPr>
              <w:t>虱螨脲</w:t>
            </w:r>
          </w:p>
        </w:tc>
      </w:tr>
      <w:tr w14:paraId="2976A614">
        <w:tblPrEx>
          <w:tblCellMar>
            <w:top w:w="0" w:type="dxa"/>
            <w:left w:w="0" w:type="dxa"/>
            <w:bottom w:w="0" w:type="dxa"/>
            <w:right w:w="0" w:type="dxa"/>
          </w:tblCellMar>
        </w:tblPrEx>
        <w:trPr>
          <w:wBefore w:w="0" w:type="auto"/>
          <w:tblCellSpacing w:w="0" w:type="dxa"/>
        </w:trPr>
        <w:tc>
          <w:tcPr>
            <w:tcW w:w="0" w:type="auto"/>
            <w:noWrap w:val="0"/>
            <w:vAlign w:val="center"/>
          </w:tcPr>
          <w:p w14:paraId="532BB41C">
            <w:r>
              <w:rPr>
                <w:rStyle w:val="10"/>
                <w:rFonts w:hint="eastAsia"/>
              </w:rPr>
              <w:t>剂型：</w:t>
            </w:r>
            <w:r>
              <w:rPr>
                <w:rFonts w:hint="eastAsia"/>
              </w:rPr>
              <w:t>悬浮剂</w:t>
            </w:r>
          </w:p>
        </w:tc>
      </w:tr>
      <w:tr w14:paraId="3E32F7D3">
        <w:tblPrEx>
          <w:tblCellMar>
            <w:top w:w="0" w:type="dxa"/>
            <w:left w:w="0" w:type="dxa"/>
            <w:bottom w:w="0" w:type="dxa"/>
            <w:right w:w="0" w:type="dxa"/>
          </w:tblCellMar>
        </w:tblPrEx>
        <w:trPr>
          <w:wBefore w:w="0" w:type="auto"/>
          <w:tblCellSpacing w:w="0" w:type="dxa"/>
        </w:trPr>
        <w:tc>
          <w:tcPr>
            <w:tcW w:w="0" w:type="auto"/>
            <w:noWrap w:val="0"/>
            <w:vAlign w:val="center"/>
          </w:tcPr>
          <w:p w14:paraId="408E9ADB">
            <w:r>
              <w:rPr>
                <w:rStyle w:val="10"/>
                <w:rFonts w:hint="eastAsia"/>
              </w:rPr>
              <w:t>毒性及其标识：</w:t>
            </w:r>
            <w:r>
              <w:rPr>
                <w:rFonts w:hint="eastAsia"/>
              </w:rPr>
              <w:t xml:space="preserve"> 微毒 </w:t>
            </w:r>
          </w:p>
        </w:tc>
      </w:tr>
      <w:tr w14:paraId="1BDFE97B">
        <w:tblPrEx>
          <w:tblCellMar>
            <w:top w:w="0" w:type="dxa"/>
            <w:left w:w="0" w:type="dxa"/>
            <w:bottom w:w="0" w:type="dxa"/>
            <w:right w:w="0" w:type="dxa"/>
          </w:tblCellMar>
        </w:tblPrEx>
        <w:trPr>
          <w:wBefore w:w="0" w:type="auto"/>
          <w:tblCellSpacing w:w="0" w:type="dxa"/>
        </w:trPr>
        <w:tc>
          <w:tcPr>
            <w:tcW w:w="0" w:type="auto"/>
            <w:noWrap w:val="0"/>
            <w:vAlign w:val="center"/>
          </w:tcPr>
          <w:p w14:paraId="35018C98">
            <w:r>
              <w:rPr>
                <w:rStyle w:val="10"/>
                <w:rFonts w:hint="eastAsia"/>
              </w:rPr>
              <w:t>总有效成分含量：</w:t>
            </w:r>
            <w:r>
              <w:rPr>
                <w:rFonts w:hint="eastAsia"/>
              </w:rPr>
              <w:t>15%</w:t>
            </w:r>
          </w:p>
        </w:tc>
      </w:tr>
      <w:tr w14:paraId="077C6EFB">
        <w:tblPrEx>
          <w:tblCellMar>
            <w:top w:w="0" w:type="dxa"/>
            <w:left w:w="0" w:type="dxa"/>
            <w:bottom w:w="0" w:type="dxa"/>
            <w:right w:w="0" w:type="dxa"/>
          </w:tblCellMar>
        </w:tblPrEx>
        <w:trPr>
          <w:wBefore w:w="0" w:type="auto"/>
          <w:tblCellSpacing w:w="0" w:type="dxa"/>
        </w:trPr>
        <w:tc>
          <w:tcPr>
            <w:tcW w:w="0" w:type="auto"/>
            <w:noWrap w:val="0"/>
            <w:vAlign w:val="center"/>
          </w:tcPr>
          <w:p w14:paraId="514F103D">
            <w:r>
              <w:rPr>
                <w:rFonts w:hint="eastAsia"/>
              </w:rPr>
              <w:t xml:space="preserve">有效成分及其含量： </w:t>
            </w:r>
          </w:p>
          <w:p w14:paraId="6B147E90">
            <w:r>
              <w:rPr>
                <w:rFonts w:hint="eastAsia"/>
              </w:rPr>
              <w:t xml:space="preserve">    虱螨脲20%    </w:t>
            </w:r>
          </w:p>
        </w:tc>
      </w:tr>
      <w:tr w14:paraId="258E2B7C">
        <w:tblPrEx>
          <w:tblCellMar>
            <w:top w:w="0" w:type="dxa"/>
            <w:left w:w="0" w:type="dxa"/>
            <w:bottom w:w="0" w:type="dxa"/>
            <w:right w:w="0" w:type="dxa"/>
          </w:tblCellMar>
        </w:tblPrEx>
        <w:trPr>
          <w:wBefore w:w="0" w:type="auto"/>
          <w:tblCellSpacing w:w="0" w:type="dxa"/>
        </w:trPr>
        <w:tc>
          <w:tcPr>
            <w:tcW w:w="0" w:type="auto"/>
            <w:noWrap w:val="0"/>
            <w:vAlign w:val="center"/>
          </w:tcPr>
          <w:p w14:paraId="32EC524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1FBA7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C3EFAB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5313B6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3B1EB2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FD6E8FD">
                  <w:r>
                    <w:rPr>
                      <w:rStyle w:val="11"/>
                      <w:rFonts w:hint="eastAsia"/>
                    </w:rPr>
                    <w:t>施用方式</w:t>
                  </w:r>
                </w:p>
              </w:tc>
            </w:tr>
            <w:tr w14:paraId="4E3715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6FFB866">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5A31EE">
                  <w:r>
                    <w:rPr>
                      <w:rStyle w:val="11"/>
                      <w:rFonts w:hint="eastAsia"/>
                    </w:rPr>
                    <w:t>甜菜夜蛾</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258B147">
                  <w:r>
                    <w:rPr>
                      <w:rStyle w:val="11"/>
                      <w:rFonts w:hint="eastAsia"/>
                    </w:rPr>
                    <w:t>7-13毫升/亩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398D211">
                  <w:r>
                    <w:rPr>
                      <w:rStyle w:val="11"/>
                      <w:rFonts w:hint="eastAsia"/>
                    </w:rPr>
                    <w:t>喷雾</w:t>
                  </w:r>
                </w:p>
              </w:tc>
            </w:tr>
          </w:tbl>
          <w:p w14:paraId="4F3BB76A">
            <w:pPr>
              <w:rPr>
                <w:rFonts w:ascii="Times New Roman" w:hAnsi="Times New Roman" w:cs="Times New Roman"/>
                <w:sz w:val="20"/>
                <w:szCs w:val="20"/>
              </w:rPr>
            </w:pPr>
          </w:p>
        </w:tc>
      </w:tr>
      <w:tr w14:paraId="08CDEA50">
        <w:tblPrEx>
          <w:tblCellMar>
            <w:top w:w="0" w:type="dxa"/>
            <w:left w:w="0" w:type="dxa"/>
            <w:bottom w:w="0" w:type="dxa"/>
            <w:right w:w="0" w:type="dxa"/>
          </w:tblCellMar>
        </w:tblPrEx>
        <w:trPr>
          <w:wBefore w:w="0" w:type="auto"/>
          <w:tblCellSpacing w:w="0" w:type="dxa"/>
        </w:trPr>
        <w:tc>
          <w:tcPr>
            <w:tcW w:w="0" w:type="auto"/>
            <w:noWrap w:val="0"/>
            <w:vAlign w:val="center"/>
          </w:tcPr>
          <w:p w14:paraId="733D26E9">
            <w:r>
              <w:rPr>
                <w:rStyle w:val="10"/>
                <w:rFonts w:hint="eastAsia"/>
              </w:rPr>
              <w:t>使用技术要求:</w:t>
            </w:r>
            <w:r>
              <w:rPr>
                <w:rFonts w:hint="eastAsia"/>
              </w:rPr>
              <w:br w:type="textWrapping"/>
            </w:r>
            <w:r>
              <w:rPr>
                <w:rStyle w:val="11"/>
                <w:rFonts w:hint="eastAsia"/>
              </w:rPr>
              <w:t>1. 甘蓝甜菜夜蛾低龄幼虫始盛期喷雾施药1次，喷药应注意均匀喷雾，须使用足量药液。 2. 大风天或预计1小时内有雨，请勿施药。 3. 安全间隔期：7天，每季作物最多使用1次</w:t>
            </w:r>
          </w:p>
        </w:tc>
      </w:tr>
      <w:tr w14:paraId="0E913152">
        <w:tblPrEx>
          <w:tblCellMar>
            <w:top w:w="0" w:type="dxa"/>
            <w:left w:w="0" w:type="dxa"/>
            <w:bottom w:w="0" w:type="dxa"/>
            <w:right w:w="0" w:type="dxa"/>
          </w:tblCellMar>
        </w:tblPrEx>
        <w:trPr>
          <w:wBefore w:w="0" w:type="auto"/>
          <w:tblCellSpacing w:w="0" w:type="dxa"/>
        </w:trPr>
        <w:tc>
          <w:tcPr>
            <w:tcW w:w="0" w:type="auto"/>
            <w:noWrap w:val="0"/>
            <w:vAlign w:val="center"/>
          </w:tcPr>
          <w:p w14:paraId="53628C68">
            <w:r>
              <w:rPr>
                <w:rStyle w:val="10"/>
                <w:rFonts w:hint="eastAsia"/>
              </w:rPr>
              <w:t>产品性能:</w:t>
            </w:r>
            <w:r>
              <w:rPr>
                <w:rFonts w:hint="eastAsia"/>
              </w:rPr>
              <w:br w:type="textWrapping"/>
            </w:r>
            <w:r>
              <w:rPr>
                <w:rStyle w:val="11"/>
                <w:rFonts w:hint="eastAsia"/>
              </w:rPr>
              <w:t>本产品为取代脲类杀虫剂，主要通过作用于鳞翅目昆虫幼虫、阻止幼虫蜕皮从而杀死害虫。持效期长，同时具有较强的杀卵功能，对甘蓝甜菜夜蛾有较好的防效。</w:t>
            </w:r>
          </w:p>
        </w:tc>
      </w:tr>
      <w:tr w14:paraId="7C963D22">
        <w:tblPrEx>
          <w:tblCellMar>
            <w:top w:w="0" w:type="dxa"/>
            <w:left w:w="0" w:type="dxa"/>
            <w:bottom w:w="0" w:type="dxa"/>
            <w:right w:w="0" w:type="dxa"/>
          </w:tblCellMar>
        </w:tblPrEx>
        <w:trPr>
          <w:wBefore w:w="0" w:type="auto"/>
          <w:tblCellSpacing w:w="0" w:type="dxa"/>
        </w:trPr>
        <w:tc>
          <w:tcPr>
            <w:tcW w:w="0" w:type="auto"/>
            <w:noWrap w:val="0"/>
            <w:vAlign w:val="center"/>
          </w:tcPr>
          <w:p w14:paraId="5A0E1F2E">
            <w:r>
              <w:rPr>
                <w:rStyle w:val="10"/>
                <w:rFonts w:hint="eastAsia"/>
              </w:rPr>
              <w:t>注意事项：</w:t>
            </w:r>
            <w:r>
              <w:rPr>
                <w:rFonts w:hint="eastAsia"/>
              </w:rPr>
              <w:br w:type="textWrapping"/>
            </w:r>
            <w:r>
              <w:rPr>
                <w:rStyle w:val="11"/>
                <w:rFonts w:hint="eastAsia"/>
              </w:rPr>
              <w:t>1. 本品应与其他作用机制不同的杀虫剂轮换使用，以延缓抗性产生。2. 使用本品时应穿戴防护服和手套，避免吸入药液，施药期间不可吃东西和饮水，施药后应及时洗手和洗脸。3. 本品对蜜蜂、鱼类等水生生物、家蚕有毒，施药期间应密切关注对周围蜂群的影响，禁止在开花植物花期、蚕室和桑园附近使用；远离水产养殖区、河塘等水体施药；赤眼蜂等天敌放飞区域禁用。4. 禁止在河塘等水体中清洗施药器具，药液及其废液不得污染各类水域、土壤等环境。5. 用过的容器应妥善处理，不可做他用，也不可随意丢弃。6. 孕妇和哺乳期妇女禁止接触本品。7. 不得与呈碱性的农药等物质混用。</w:t>
            </w:r>
          </w:p>
        </w:tc>
      </w:tr>
      <w:tr w14:paraId="4F949E2D">
        <w:tblPrEx>
          <w:tblCellMar>
            <w:top w:w="0" w:type="dxa"/>
            <w:left w:w="0" w:type="dxa"/>
            <w:bottom w:w="0" w:type="dxa"/>
            <w:right w:w="0" w:type="dxa"/>
          </w:tblCellMar>
        </w:tblPrEx>
        <w:trPr>
          <w:wBefore w:w="0" w:type="auto"/>
          <w:tblCellSpacing w:w="0" w:type="dxa"/>
        </w:trPr>
        <w:tc>
          <w:tcPr>
            <w:tcW w:w="0" w:type="auto"/>
            <w:noWrap w:val="0"/>
            <w:vAlign w:val="center"/>
          </w:tcPr>
          <w:p w14:paraId="64455EBB">
            <w:r>
              <w:rPr>
                <w:rStyle w:val="10"/>
                <w:rFonts w:hint="eastAsia"/>
              </w:rPr>
              <w:t>中毒急救措施：</w:t>
            </w:r>
            <w:r>
              <w:rPr>
                <w:rFonts w:hint="eastAsia"/>
              </w:rPr>
              <w:br w:type="textWrapping"/>
            </w:r>
            <w:r>
              <w:rPr>
                <w:rStyle w:val="11"/>
                <w:rFonts w:hint="eastAsia"/>
              </w:rPr>
              <w:t>急救措施：不慎接触皮肤，应脱去污染的衣物，用软布去除沾染农药，立即用肥皂水彻底清洗；不慎溅入眼睛，应用大量清水冲洗至少15分钟；不慎吸入，立即离开施药现场，转移到空气清新处；误服而发生中毒现象时，禁止引吐，请速携标签就医，并依据中毒情况对症治疗。无特效解毒剂。</w:t>
            </w:r>
          </w:p>
        </w:tc>
      </w:tr>
      <w:tr w14:paraId="590B25F8">
        <w:tblPrEx>
          <w:tblCellMar>
            <w:top w:w="0" w:type="dxa"/>
            <w:left w:w="0" w:type="dxa"/>
            <w:bottom w:w="0" w:type="dxa"/>
            <w:right w:w="0" w:type="dxa"/>
          </w:tblCellMar>
        </w:tblPrEx>
        <w:trPr>
          <w:wBefore w:w="0" w:type="auto"/>
          <w:tblCellSpacing w:w="0" w:type="dxa"/>
        </w:trPr>
        <w:tc>
          <w:tcPr>
            <w:tcW w:w="0" w:type="auto"/>
            <w:noWrap w:val="0"/>
            <w:vAlign w:val="center"/>
          </w:tcPr>
          <w:p w14:paraId="6E085525">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29A54AEF">
        <w:tblPrEx>
          <w:tblCellMar>
            <w:top w:w="0" w:type="dxa"/>
            <w:left w:w="0" w:type="dxa"/>
            <w:bottom w:w="0" w:type="dxa"/>
            <w:right w:w="0" w:type="dxa"/>
          </w:tblCellMar>
        </w:tblPrEx>
        <w:trPr>
          <w:wBefore w:w="0" w:type="auto"/>
          <w:tblCellSpacing w:w="0" w:type="dxa"/>
        </w:trPr>
        <w:tc>
          <w:tcPr>
            <w:tcW w:w="0" w:type="auto"/>
            <w:noWrap w:val="0"/>
            <w:vAlign w:val="center"/>
          </w:tcPr>
          <w:p w14:paraId="14A8F127">
            <w:r>
              <w:rPr>
                <w:rStyle w:val="10"/>
                <w:rFonts w:hint="eastAsia"/>
              </w:rPr>
              <w:t>质量保证期：</w:t>
            </w:r>
            <w:r>
              <w:rPr>
                <w:rStyle w:val="11"/>
                <w:rFonts w:hint="eastAsia"/>
              </w:rPr>
              <w:t>2年</w:t>
            </w:r>
          </w:p>
        </w:tc>
      </w:tr>
      <w:tr w14:paraId="53B35F34">
        <w:tblPrEx>
          <w:tblCellMar>
            <w:top w:w="0" w:type="dxa"/>
            <w:left w:w="0" w:type="dxa"/>
            <w:bottom w:w="0" w:type="dxa"/>
            <w:right w:w="0" w:type="dxa"/>
          </w:tblCellMar>
        </w:tblPrEx>
        <w:trPr>
          <w:wBefore w:w="0" w:type="auto"/>
          <w:tblCellSpacing w:w="0" w:type="dxa"/>
        </w:trPr>
        <w:tc>
          <w:tcPr>
            <w:tcW w:w="0" w:type="auto"/>
            <w:noWrap w:val="0"/>
            <w:vAlign w:val="center"/>
          </w:tcPr>
          <w:p w14:paraId="4757756E">
            <w:r>
              <w:rPr>
                <w:rStyle w:val="10"/>
                <w:rFonts w:hint="eastAsia"/>
              </w:rPr>
              <w:t>备注：</w:t>
            </w:r>
          </w:p>
        </w:tc>
      </w:tr>
    </w:tbl>
    <w:p w14:paraId="1F2D240C">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5443DA4">
        <w:tblPrEx>
          <w:tblCellMar>
            <w:top w:w="0" w:type="dxa"/>
            <w:left w:w="0" w:type="dxa"/>
            <w:bottom w:w="0" w:type="dxa"/>
            <w:right w:w="0" w:type="dxa"/>
          </w:tblCellMar>
        </w:tblPrEx>
        <w:trPr>
          <w:wBefore w:w="0" w:type="auto"/>
          <w:tblCellSpacing w:w="0" w:type="dxa"/>
        </w:trPr>
        <w:tc>
          <w:tcPr>
            <w:tcW w:w="0" w:type="auto"/>
            <w:noWrap w:val="0"/>
            <w:vAlign w:val="center"/>
          </w:tcPr>
          <w:p w14:paraId="396DFA63">
            <w:r>
              <w:rPr>
                <w:rStyle w:val="10"/>
                <w:rFonts w:hint="eastAsia"/>
              </w:rPr>
              <w:t>登记证号：</w:t>
            </w:r>
            <w:r>
              <w:rPr>
                <w:rFonts w:hint="eastAsia"/>
              </w:rPr>
              <w:t>PD20211985</w:t>
            </w:r>
          </w:p>
        </w:tc>
      </w:tr>
      <w:tr w14:paraId="0C87335A">
        <w:tblPrEx>
          <w:tblCellMar>
            <w:top w:w="0" w:type="dxa"/>
            <w:left w:w="0" w:type="dxa"/>
            <w:bottom w:w="0" w:type="dxa"/>
            <w:right w:w="0" w:type="dxa"/>
          </w:tblCellMar>
        </w:tblPrEx>
        <w:trPr>
          <w:wBefore w:w="0" w:type="auto"/>
          <w:tblCellSpacing w:w="0" w:type="dxa"/>
        </w:trPr>
        <w:tc>
          <w:tcPr>
            <w:tcW w:w="0" w:type="auto"/>
            <w:noWrap w:val="0"/>
            <w:vAlign w:val="center"/>
          </w:tcPr>
          <w:p w14:paraId="3D63B935">
            <w:r>
              <w:rPr>
                <w:rStyle w:val="10"/>
                <w:rFonts w:hint="eastAsia"/>
              </w:rPr>
              <w:t>登记证持有人：</w:t>
            </w:r>
            <w:r>
              <w:rPr>
                <w:rFonts w:hint="eastAsia"/>
              </w:rPr>
              <w:t>开封市汴梁种衣剂有限公司</w:t>
            </w:r>
          </w:p>
        </w:tc>
      </w:tr>
      <w:tr w14:paraId="461AC54D">
        <w:tblPrEx>
          <w:tblCellMar>
            <w:top w:w="0" w:type="dxa"/>
            <w:left w:w="0" w:type="dxa"/>
            <w:bottom w:w="0" w:type="dxa"/>
            <w:right w:w="0" w:type="dxa"/>
          </w:tblCellMar>
        </w:tblPrEx>
        <w:trPr>
          <w:wBefore w:w="0" w:type="auto"/>
          <w:tblCellSpacing w:w="0" w:type="dxa"/>
        </w:trPr>
        <w:tc>
          <w:tcPr>
            <w:tcW w:w="0" w:type="auto"/>
            <w:noWrap w:val="0"/>
            <w:vAlign w:val="center"/>
          </w:tcPr>
          <w:p w14:paraId="3C907C3F">
            <w:r>
              <w:rPr>
                <w:rStyle w:val="10"/>
                <w:rFonts w:hint="eastAsia"/>
              </w:rPr>
              <w:t>农药名称：</w:t>
            </w:r>
            <w:r>
              <w:rPr>
                <w:rFonts w:hint="eastAsia"/>
              </w:rPr>
              <w:t>多·福</w:t>
            </w:r>
          </w:p>
        </w:tc>
      </w:tr>
      <w:tr w14:paraId="2432EA08">
        <w:tblPrEx>
          <w:tblCellMar>
            <w:top w:w="0" w:type="dxa"/>
            <w:left w:w="0" w:type="dxa"/>
            <w:bottom w:w="0" w:type="dxa"/>
            <w:right w:w="0" w:type="dxa"/>
          </w:tblCellMar>
        </w:tblPrEx>
        <w:trPr>
          <w:wBefore w:w="0" w:type="auto"/>
          <w:tblCellSpacing w:w="0" w:type="dxa"/>
        </w:trPr>
        <w:tc>
          <w:tcPr>
            <w:tcW w:w="0" w:type="auto"/>
            <w:noWrap w:val="0"/>
            <w:vAlign w:val="center"/>
          </w:tcPr>
          <w:p w14:paraId="312006D9">
            <w:r>
              <w:rPr>
                <w:rStyle w:val="10"/>
                <w:rFonts w:hint="eastAsia"/>
              </w:rPr>
              <w:t>剂型：</w:t>
            </w:r>
            <w:r>
              <w:rPr>
                <w:rFonts w:hint="eastAsia"/>
              </w:rPr>
              <w:t>种子处理悬浮剂</w:t>
            </w:r>
          </w:p>
        </w:tc>
      </w:tr>
      <w:tr w14:paraId="16616753">
        <w:tblPrEx>
          <w:tblCellMar>
            <w:top w:w="0" w:type="dxa"/>
            <w:left w:w="0" w:type="dxa"/>
            <w:bottom w:w="0" w:type="dxa"/>
            <w:right w:w="0" w:type="dxa"/>
          </w:tblCellMar>
        </w:tblPrEx>
        <w:trPr>
          <w:wBefore w:w="0" w:type="auto"/>
          <w:tblCellSpacing w:w="0" w:type="dxa"/>
        </w:trPr>
        <w:tc>
          <w:tcPr>
            <w:tcW w:w="0" w:type="auto"/>
            <w:noWrap w:val="0"/>
            <w:vAlign w:val="center"/>
          </w:tcPr>
          <w:p w14:paraId="7A2F4A1E">
            <w:r>
              <w:rPr>
                <w:rStyle w:val="10"/>
                <w:rFonts w:hint="eastAsia"/>
              </w:rPr>
              <w:t>毒性及其标识：</w:t>
            </w:r>
            <w:r>
              <w:rPr>
                <w:rFonts w:hint="eastAsia"/>
              </w:rPr>
              <w:t xml:space="preserve"> </w:t>
            </w:r>
            <w:r>
              <w:rPr>
                <w:lang/>
              </w:rPr>
              <w:drawing>
                <wp:inline distT="0" distB="0" distL="114300" distR="114300">
                  <wp:extent cx="476250" cy="323850"/>
                  <wp:effectExtent l="0" t="0" r="0" b="0"/>
                  <wp:docPr id="613" name="图片 61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B788135">
        <w:tblPrEx>
          <w:tblCellMar>
            <w:top w:w="0" w:type="dxa"/>
            <w:left w:w="0" w:type="dxa"/>
            <w:bottom w:w="0" w:type="dxa"/>
            <w:right w:w="0" w:type="dxa"/>
          </w:tblCellMar>
        </w:tblPrEx>
        <w:trPr>
          <w:wBefore w:w="0" w:type="auto"/>
          <w:tblCellSpacing w:w="0" w:type="dxa"/>
        </w:trPr>
        <w:tc>
          <w:tcPr>
            <w:tcW w:w="0" w:type="auto"/>
            <w:noWrap w:val="0"/>
            <w:vAlign w:val="center"/>
          </w:tcPr>
          <w:p w14:paraId="5CC615A2">
            <w:r>
              <w:rPr>
                <w:rStyle w:val="10"/>
                <w:rFonts w:hint="eastAsia"/>
              </w:rPr>
              <w:t>总有效成分含量：</w:t>
            </w:r>
            <w:r>
              <w:rPr>
                <w:rFonts w:hint="eastAsia"/>
              </w:rPr>
              <w:t>17%</w:t>
            </w:r>
          </w:p>
        </w:tc>
      </w:tr>
      <w:tr w14:paraId="72D010DD">
        <w:tblPrEx>
          <w:tblCellMar>
            <w:top w:w="0" w:type="dxa"/>
            <w:left w:w="0" w:type="dxa"/>
            <w:bottom w:w="0" w:type="dxa"/>
            <w:right w:w="0" w:type="dxa"/>
          </w:tblCellMar>
        </w:tblPrEx>
        <w:trPr>
          <w:wBefore w:w="0" w:type="auto"/>
          <w:tblCellSpacing w:w="0" w:type="dxa"/>
        </w:trPr>
        <w:tc>
          <w:tcPr>
            <w:tcW w:w="0" w:type="auto"/>
            <w:noWrap w:val="0"/>
            <w:vAlign w:val="center"/>
          </w:tcPr>
          <w:p w14:paraId="1BA6AA49">
            <w:r>
              <w:rPr>
                <w:rFonts w:hint="eastAsia"/>
              </w:rPr>
              <w:t xml:space="preserve">有效成分及其含量： </w:t>
            </w:r>
          </w:p>
          <w:p w14:paraId="20D75D18">
            <w:r>
              <w:rPr>
                <w:rFonts w:hint="eastAsia"/>
              </w:rPr>
              <w:t xml:space="preserve">    多菌灵5%%    福美双12%%    </w:t>
            </w:r>
          </w:p>
        </w:tc>
      </w:tr>
      <w:tr w14:paraId="69BEE255">
        <w:tblPrEx>
          <w:tblCellMar>
            <w:top w:w="0" w:type="dxa"/>
            <w:left w:w="0" w:type="dxa"/>
            <w:bottom w:w="0" w:type="dxa"/>
            <w:right w:w="0" w:type="dxa"/>
          </w:tblCellMar>
        </w:tblPrEx>
        <w:trPr>
          <w:wBefore w:w="0" w:type="auto"/>
          <w:tblCellSpacing w:w="0" w:type="dxa"/>
        </w:trPr>
        <w:tc>
          <w:tcPr>
            <w:tcW w:w="0" w:type="auto"/>
            <w:noWrap w:val="0"/>
            <w:vAlign w:val="center"/>
          </w:tcPr>
          <w:p w14:paraId="7E176A7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CBA66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1811FD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7EC5DA1">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3E87AD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4CBC353">
                  <w:r>
                    <w:rPr>
                      <w:rStyle w:val="11"/>
                      <w:rFonts w:hint="eastAsia"/>
                    </w:rPr>
                    <w:t>施用方式</w:t>
                  </w:r>
                </w:p>
              </w:tc>
            </w:tr>
            <w:tr w14:paraId="0375B5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DAAA7A">
                  <w:r>
                    <w:rPr>
                      <w:rStyle w:val="11"/>
                      <w:rFonts w:hint="eastAsia"/>
                    </w:rPr>
                    <w:t>棉花</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42FF40">
                  <w:r>
                    <w:rPr>
                      <w:rStyle w:val="11"/>
                      <w:rFonts w:hint="eastAsia"/>
                    </w:rPr>
                    <w:t>立枯病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5EA89C7">
                  <w:r>
                    <w:rPr>
                      <w:rStyle w:val="11"/>
                      <w:rFonts w:hint="eastAsia"/>
                    </w:rPr>
                    <w:t>2860-3335毫升/100千克种子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0402811">
                  <w:r>
                    <w:rPr>
                      <w:rStyle w:val="11"/>
                      <w:rFonts w:hint="eastAsia"/>
                    </w:rPr>
                    <w:t>种子包衣</w:t>
                  </w:r>
                </w:p>
              </w:tc>
            </w:tr>
          </w:tbl>
          <w:p w14:paraId="50BE0C96">
            <w:pPr>
              <w:rPr>
                <w:rFonts w:ascii="Times New Roman" w:hAnsi="Times New Roman" w:cs="Times New Roman"/>
                <w:sz w:val="20"/>
                <w:szCs w:val="20"/>
              </w:rPr>
            </w:pPr>
          </w:p>
        </w:tc>
      </w:tr>
      <w:tr w14:paraId="79CED0E9">
        <w:tblPrEx>
          <w:tblCellMar>
            <w:top w:w="0" w:type="dxa"/>
            <w:left w:w="0" w:type="dxa"/>
            <w:bottom w:w="0" w:type="dxa"/>
            <w:right w:w="0" w:type="dxa"/>
          </w:tblCellMar>
        </w:tblPrEx>
        <w:trPr>
          <w:wBefore w:w="0" w:type="auto"/>
          <w:tblCellSpacing w:w="0" w:type="dxa"/>
        </w:trPr>
        <w:tc>
          <w:tcPr>
            <w:tcW w:w="0" w:type="auto"/>
            <w:noWrap w:val="0"/>
            <w:vAlign w:val="center"/>
          </w:tcPr>
          <w:p w14:paraId="701E213C">
            <w:r>
              <w:rPr>
                <w:rStyle w:val="10"/>
                <w:rFonts w:hint="eastAsia"/>
              </w:rPr>
              <w:t>使用技术要求:</w:t>
            </w:r>
            <w:r>
              <w:rPr>
                <w:rFonts w:hint="eastAsia"/>
              </w:rPr>
              <w:br w:type="textWrapping"/>
            </w:r>
            <w:r>
              <w:rPr>
                <w:rStyle w:val="11"/>
                <w:rFonts w:hint="eastAsia"/>
              </w:rPr>
              <w:t>1. 手工包衣：根据种子量确定制剂用药量，加适量清水，混合均匀调成浆状药液，倒在种子上充分搅拌，待均匀着药后，摊开晾于通风阴凉处。机械包衣：按推荐制剂用药量加适量清水，混合均匀后调成浆状药液；选用适宜的包衣机械，根据要求调整药种比进行包衣处理。 2. 播种时需考虑低温、大雨等不良环境影响，适时播种。</w:t>
            </w:r>
          </w:p>
        </w:tc>
      </w:tr>
      <w:tr w14:paraId="50B1DA5D">
        <w:tblPrEx>
          <w:tblCellMar>
            <w:top w:w="0" w:type="dxa"/>
            <w:left w:w="0" w:type="dxa"/>
            <w:bottom w:w="0" w:type="dxa"/>
            <w:right w:w="0" w:type="dxa"/>
          </w:tblCellMar>
        </w:tblPrEx>
        <w:trPr>
          <w:wBefore w:w="0" w:type="auto"/>
          <w:tblCellSpacing w:w="0" w:type="dxa"/>
        </w:trPr>
        <w:tc>
          <w:tcPr>
            <w:tcW w:w="0" w:type="auto"/>
            <w:noWrap w:val="0"/>
            <w:vAlign w:val="center"/>
          </w:tcPr>
          <w:p w14:paraId="080DB1B9">
            <w:r>
              <w:rPr>
                <w:rStyle w:val="10"/>
                <w:rFonts w:hint="eastAsia"/>
              </w:rPr>
              <w:t>产品性能:</w:t>
            </w:r>
            <w:r>
              <w:rPr>
                <w:rFonts w:hint="eastAsia"/>
              </w:rPr>
              <w:br w:type="textWrapping"/>
            </w:r>
            <w:r>
              <w:rPr>
                <w:rStyle w:val="11"/>
                <w:rFonts w:hint="eastAsia"/>
              </w:rPr>
              <w:t xml:space="preserve">本产品是由多菌灵、福美双及相关助剂加工而成的混配制剂，可有效防治棉花立枯病。 </w:t>
            </w:r>
          </w:p>
        </w:tc>
      </w:tr>
      <w:tr w14:paraId="19CA3382">
        <w:tblPrEx>
          <w:tblCellMar>
            <w:top w:w="0" w:type="dxa"/>
            <w:left w:w="0" w:type="dxa"/>
            <w:bottom w:w="0" w:type="dxa"/>
            <w:right w:w="0" w:type="dxa"/>
          </w:tblCellMar>
        </w:tblPrEx>
        <w:trPr>
          <w:wBefore w:w="0" w:type="auto"/>
          <w:tblCellSpacing w:w="0" w:type="dxa"/>
        </w:trPr>
        <w:tc>
          <w:tcPr>
            <w:tcW w:w="0" w:type="auto"/>
            <w:noWrap w:val="0"/>
            <w:vAlign w:val="center"/>
          </w:tcPr>
          <w:p w14:paraId="1752900C">
            <w:r>
              <w:rPr>
                <w:rStyle w:val="10"/>
                <w:rFonts w:hint="eastAsia"/>
              </w:rPr>
              <w:t>注意事项：</w:t>
            </w:r>
            <w:r>
              <w:rPr>
                <w:rFonts w:hint="eastAsia"/>
              </w:rPr>
              <w:br w:type="textWrapping"/>
            </w:r>
            <w:r>
              <w:rPr>
                <w:rStyle w:val="11"/>
                <w:rFonts w:hint="eastAsia"/>
              </w:rPr>
              <w:t>1、使用本品时应采取安全防护措施，穿防护服，戴口罩、手套，避免刺激眼睛、皮肤接触及口鼻吸入，切勿吸烟或饮食。使用后及时洗手。 2.本品对蜜蜂、鸟类有毒，使用时应密切关注对附近蜂群的影响，鸟类保护区附近禁用，播种后立即覆土。远离水产养殖区、河塘等水体施药，禁止在河塘等水体中清洗施药器具。 3. 处理后的种子禁止供人畜食用，也不要与未处理种子混合或一起存放。4.本品勿与碱性农药等物质混合使用。5.用过的容器应妥善处理，不可做他用，也不可随意丢弃。6.孕妇及哺乳期妇女禁止接触本品。</w:t>
            </w:r>
          </w:p>
        </w:tc>
      </w:tr>
      <w:tr w14:paraId="5935D864">
        <w:tblPrEx>
          <w:tblCellMar>
            <w:top w:w="0" w:type="dxa"/>
            <w:left w:w="0" w:type="dxa"/>
            <w:bottom w:w="0" w:type="dxa"/>
            <w:right w:w="0" w:type="dxa"/>
          </w:tblCellMar>
        </w:tblPrEx>
        <w:trPr>
          <w:wBefore w:w="0" w:type="auto"/>
          <w:tblCellSpacing w:w="0" w:type="dxa"/>
        </w:trPr>
        <w:tc>
          <w:tcPr>
            <w:tcW w:w="0" w:type="auto"/>
            <w:noWrap w:val="0"/>
            <w:vAlign w:val="center"/>
          </w:tcPr>
          <w:p w14:paraId="22E80E03">
            <w:r>
              <w:rPr>
                <w:rStyle w:val="10"/>
                <w:rFonts w:hint="eastAsia"/>
              </w:rPr>
              <w:t>中毒急救措施：</w:t>
            </w:r>
            <w:r>
              <w:rPr>
                <w:rFonts w:hint="eastAsia"/>
              </w:rPr>
              <w:br w:type="textWrapping"/>
            </w:r>
            <w:r>
              <w:rPr>
                <w:rStyle w:val="11"/>
                <w:rFonts w:hint="eastAsia"/>
              </w:rPr>
              <w:t xml:space="preserve">急救措施：1.皮肤接触：立即脱掉被污染的衣物，用大量清水冲洗；眼睛溅药：立即将眼睑翻开，用清水冲洗至少15分钟，再请医生诊治。 3.不慎吸入：立即将吸入者转移到空气新鲜处，如果吸入者停止呼吸， 需进行人工呼吸。请医生诊治。 4.误服：请用清水充分漱口后，立即携带标签，送医就诊。无专用解毒剂，对症治疗。 </w:t>
            </w:r>
          </w:p>
        </w:tc>
      </w:tr>
      <w:tr w14:paraId="73A8A8F0">
        <w:tblPrEx>
          <w:tblCellMar>
            <w:top w:w="0" w:type="dxa"/>
            <w:left w:w="0" w:type="dxa"/>
            <w:bottom w:w="0" w:type="dxa"/>
            <w:right w:w="0" w:type="dxa"/>
          </w:tblCellMar>
        </w:tblPrEx>
        <w:trPr>
          <w:wBefore w:w="0" w:type="auto"/>
          <w:tblCellSpacing w:w="0" w:type="dxa"/>
        </w:trPr>
        <w:tc>
          <w:tcPr>
            <w:tcW w:w="0" w:type="auto"/>
            <w:noWrap w:val="0"/>
            <w:vAlign w:val="center"/>
          </w:tcPr>
          <w:p w14:paraId="13BAF858">
            <w:r>
              <w:rPr>
                <w:rStyle w:val="10"/>
                <w:rFonts w:hint="eastAsia"/>
              </w:rPr>
              <w:t>储存和运输方法：</w:t>
            </w:r>
            <w:r>
              <w:rPr>
                <w:rFonts w:hint="eastAsia"/>
              </w:rPr>
              <w:br w:type="textWrapping"/>
            </w:r>
            <w:r>
              <w:rPr>
                <w:rStyle w:val="11"/>
                <w:rFonts w:hint="eastAsia"/>
              </w:rPr>
              <w:t xml:space="preserve">本品应贮存在干燥、阴凉、通风、防雨处，远离火源和热源，置于儿童触及不到之处，并加锁；不能与食品、饮料、粮食、饲料等物品同贮同运。装卸运输时注意检查包装是否密封完整，轻拿轻放，不可倒置。 </w:t>
            </w:r>
          </w:p>
        </w:tc>
      </w:tr>
      <w:tr w14:paraId="59F9876A">
        <w:tblPrEx>
          <w:tblCellMar>
            <w:top w:w="0" w:type="dxa"/>
            <w:left w:w="0" w:type="dxa"/>
            <w:bottom w:w="0" w:type="dxa"/>
            <w:right w:w="0" w:type="dxa"/>
          </w:tblCellMar>
        </w:tblPrEx>
        <w:trPr>
          <w:wBefore w:w="0" w:type="auto"/>
          <w:tblCellSpacing w:w="0" w:type="dxa"/>
        </w:trPr>
        <w:tc>
          <w:tcPr>
            <w:tcW w:w="0" w:type="auto"/>
            <w:noWrap w:val="0"/>
            <w:vAlign w:val="center"/>
          </w:tcPr>
          <w:p w14:paraId="1BC89DFD">
            <w:r>
              <w:rPr>
                <w:rStyle w:val="10"/>
                <w:rFonts w:hint="eastAsia"/>
              </w:rPr>
              <w:t>质量保证期：</w:t>
            </w:r>
            <w:r>
              <w:rPr>
                <w:rStyle w:val="11"/>
                <w:rFonts w:hint="eastAsia"/>
              </w:rPr>
              <w:t>2年</w:t>
            </w:r>
          </w:p>
        </w:tc>
      </w:tr>
      <w:tr w14:paraId="78276591">
        <w:tblPrEx>
          <w:tblCellMar>
            <w:top w:w="0" w:type="dxa"/>
            <w:left w:w="0" w:type="dxa"/>
            <w:bottom w:w="0" w:type="dxa"/>
            <w:right w:w="0" w:type="dxa"/>
          </w:tblCellMar>
        </w:tblPrEx>
        <w:trPr>
          <w:wBefore w:w="0" w:type="auto"/>
          <w:tblCellSpacing w:w="0" w:type="dxa"/>
        </w:trPr>
        <w:tc>
          <w:tcPr>
            <w:tcW w:w="0" w:type="auto"/>
            <w:noWrap w:val="0"/>
            <w:vAlign w:val="center"/>
          </w:tcPr>
          <w:p w14:paraId="5607D8D1">
            <w:r>
              <w:rPr>
                <w:rStyle w:val="10"/>
                <w:rFonts w:hint="eastAsia"/>
              </w:rPr>
              <w:t>备注：</w:t>
            </w:r>
          </w:p>
        </w:tc>
      </w:tr>
    </w:tbl>
    <w:p w14:paraId="15D726D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34477EA">
        <w:tblPrEx>
          <w:tblCellMar>
            <w:top w:w="0" w:type="dxa"/>
            <w:left w:w="0" w:type="dxa"/>
            <w:bottom w:w="0" w:type="dxa"/>
            <w:right w:w="0" w:type="dxa"/>
          </w:tblCellMar>
        </w:tblPrEx>
        <w:trPr>
          <w:wBefore w:w="0" w:type="auto"/>
          <w:tblCellSpacing w:w="0" w:type="dxa"/>
        </w:trPr>
        <w:tc>
          <w:tcPr>
            <w:tcW w:w="0" w:type="auto"/>
            <w:noWrap w:val="0"/>
            <w:vAlign w:val="center"/>
          </w:tcPr>
          <w:p w14:paraId="1DA2D51F">
            <w:r>
              <w:rPr>
                <w:rStyle w:val="10"/>
                <w:rFonts w:hint="eastAsia"/>
              </w:rPr>
              <w:t>登记证号：</w:t>
            </w:r>
            <w:r>
              <w:rPr>
                <w:rFonts w:hint="eastAsia"/>
              </w:rPr>
              <w:t>PD20211696</w:t>
            </w:r>
          </w:p>
        </w:tc>
      </w:tr>
      <w:tr w14:paraId="17B34E6B">
        <w:tblPrEx>
          <w:tblCellMar>
            <w:top w:w="0" w:type="dxa"/>
            <w:left w:w="0" w:type="dxa"/>
            <w:bottom w:w="0" w:type="dxa"/>
            <w:right w:w="0" w:type="dxa"/>
          </w:tblCellMar>
        </w:tblPrEx>
        <w:trPr>
          <w:wBefore w:w="0" w:type="auto"/>
          <w:tblCellSpacing w:w="0" w:type="dxa"/>
        </w:trPr>
        <w:tc>
          <w:tcPr>
            <w:tcW w:w="0" w:type="auto"/>
            <w:noWrap w:val="0"/>
            <w:vAlign w:val="center"/>
          </w:tcPr>
          <w:p w14:paraId="451DEC12">
            <w:r>
              <w:rPr>
                <w:rStyle w:val="10"/>
                <w:rFonts w:hint="eastAsia"/>
              </w:rPr>
              <w:t>登记证持有人：</w:t>
            </w:r>
            <w:r>
              <w:rPr>
                <w:rFonts w:hint="eastAsia"/>
              </w:rPr>
              <w:t>天津市华宇农药有限公司</w:t>
            </w:r>
          </w:p>
        </w:tc>
      </w:tr>
      <w:tr w14:paraId="6FB548E7">
        <w:tblPrEx>
          <w:tblCellMar>
            <w:top w:w="0" w:type="dxa"/>
            <w:left w:w="0" w:type="dxa"/>
            <w:bottom w:w="0" w:type="dxa"/>
            <w:right w:w="0" w:type="dxa"/>
          </w:tblCellMar>
        </w:tblPrEx>
        <w:trPr>
          <w:wBefore w:w="0" w:type="auto"/>
          <w:tblCellSpacing w:w="0" w:type="dxa"/>
        </w:trPr>
        <w:tc>
          <w:tcPr>
            <w:tcW w:w="0" w:type="auto"/>
            <w:noWrap w:val="0"/>
            <w:vAlign w:val="center"/>
          </w:tcPr>
          <w:p w14:paraId="590469F0">
            <w:r>
              <w:rPr>
                <w:rStyle w:val="10"/>
                <w:rFonts w:hint="eastAsia"/>
              </w:rPr>
              <w:t>农药名称：</w:t>
            </w:r>
            <w:r>
              <w:rPr>
                <w:rFonts w:hint="eastAsia"/>
              </w:rPr>
              <w:t>嘧菌酯·噻虫嗪·噻呋</w:t>
            </w:r>
          </w:p>
        </w:tc>
      </w:tr>
      <w:tr w14:paraId="2DBAD39F">
        <w:tblPrEx>
          <w:tblCellMar>
            <w:top w:w="0" w:type="dxa"/>
            <w:left w:w="0" w:type="dxa"/>
            <w:bottom w:w="0" w:type="dxa"/>
            <w:right w:w="0" w:type="dxa"/>
          </w:tblCellMar>
        </w:tblPrEx>
        <w:trPr>
          <w:wBefore w:w="0" w:type="auto"/>
          <w:tblCellSpacing w:w="0" w:type="dxa"/>
        </w:trPr>
        <w:tc>
          <w:tcPr>
            <w:tcW w:w="0" w:type="auto"/>
            <w:noWrap w:val="0"/>
            <w:vAlign w:val="center"/>
          </w:tcPr>
          <w:p w14:paraId="58D5E9DA">
            <w:r>
              <w:rPr>
                <w:rStyle w:val="10"/>
                <w:rFonts w:hint="eastAsia"/>
              </w:rPr>
              <w:t>剂型：</w:t>
            </w:r>
            <w:r>
              <w:rPr>
                <w:rFonts w:hint="eastAsia"/>
              </w:rPr>
              <w:t>种子处理悬浮剂</w:t>
            </w:r>
          </w:p>
        </w:tc>
      </w:tr>
      <w:tr w14:paraId="68C0F758">
        <w:tblPrEx>
          <w:tblCellMar>
            <w:top w:w="0" w:type="dxa"/>
            <w:left w:w="0" w:type="dxa"/>
            <w:bottom w:w="0" w:type="dxa"/>
            <w:right w:w="0" w:type="dxa"/>
          </w:tblCellMar>
        </w:tblPrEx>
        <w:trPr>
          <w:wBefore w:w="0" w:type="auto"/>
          <w:tblCellSpacing w:w="0" w:type="dxa"/>
        </w:trPr>
        <w:tc>
          <w:tcPr>
            <w:tcW w:w="0" w:type="auto"/>
            <w:noWrap w:val="0"/>
            <w:vAlign w:val="center"/>
          </w:tcPr>
          <w:p w14:paraId="3A03FDC0">
            <w:r>
              <w:rPr>
                <w:rStyle w:val="10"/>
                <w:rFonts w:hint="eastAsia"/>
              </w:rPr>
              <w:t>毒性及其标识：</w:t>
            </w:r>
            <w:r>
              <w:rPr>
                <w:rFonts w:hint="eastAsia"/>
              </w:rPr>
              <w:t xml:space="preserve"> 微毒 </w:t>
            </w:r>
          </w:p>
        </w:tc>
      </w:tr>
      <w:tr w14:paraId="198522F1">
        <w:tblPrEx>
          <w:tblCellMar>
            <w:top w:w="0" w:type="dxa"/>
            <w:left w:w="0" w:type="dxa"/>
            <w:bottom w:w="0" w:type="dxa"/>
            <w:right w:w="0" w:type="dxa"/>
          </w:tblCellMar>
        </w:tblPrEx>
        <w:trPr>
          <w:wBefore w:w="0" w:type="auto"/>
          <w:tblCellSpacing w:w="0" w:type="dxa"/>
        </w:trPr>
        <w:tc>
          <w:tcPr>
            <w:tcW w:w="0" w:type="auto"/>
            <w:noWrap w:val="0"/>
            <w:vAlign w:val="center"/>
          </w:tcPr>
          <w:p w14:paraId="70EB0C29">
            <w:r>
              <w:rPr>
                <w:rStyle w:val="10"/>
                <w:rFonts w:hint="eastAsia"/>
              </w:rPr>
              <w:t>总有效成分含量：</w:t>
            </w:r>
            <w:r>
              <w:rPr>
                <w:rFonts w:hint="eastAsia"/>
              </w:rPr>
              <w:t>6%</w:t>
            </w:r>
          </w:p>
        </w:tc>
      </w:tr>
      <w:tr w14:paraId="2BE35FAE">
        <w:tblPrEx>
          <w:tblCellMar>
            <w:top w:w="0" w:type="dxa"/>
            <w:left w:w="0" w:type="dxa"/>
            <w:bottom w:w="0" w:type="dxa"/>
            <w:right w:w="0" w:type="dxa"/>
          </w:tblCellMar>
        </w:tblPrEx>
        <w:trPr>
          <w:wBefore w:w="0" w:type="auto"/>
          <w:tblCellSpacing w:w="0" w:type="dxa"/>
        </w:trPr>
        <w:tc>
          <w:tcPr>
            <w:tcW w:w="0" w:type="auto"/>
            <w:noWrap w:val="0"/>
            <w:vAlign w:val="center"/>
          </w:tcPr>
          <w:p w14:paraId="11F1FBB8">
            <w:r>
              <w:rPr>
                <w:rFonts w:hint="eastAsia"/>
              </w:rPr>
              <w:t xml:space="preserve">有效成分及其含量： </w:t>
            </w:r>
          </w:p>
          <w:p w14:paraId="7685BF53">
            <w:r>
              <w:rPr>
                <w:rFonts w:hint="eastAsia"/>
              </w:rPr>
              <w:t xml:space="preserve">    嘧菌酯1%    噻虫嗪3%    噻呋酰胺2%    </w:t>
            </w:r>
          </w:p>
        </w:tc>
      </w:tr>
      <w:tr w14:paraId="74BC1B6B">
        <w:tblPrEx>
          <w:tblCellMar>
            <w:top w:w="0" w:type="dxa"/>
            <w:left w:w="0" w:type="dxa"/>
            <w:bottom w:w="0" w:type="dxa"/>
            <w:right w:w="0" w:type="dxa"/>
          </w:tblCellMar>
        </w:tblPrEx>
        <w:trPr>
          <w:wBefore w:w="0" w:type="auto"/>
          <w:tblCellSpacing w:w="0" w:type="dxa"/>
        </w:trPr>
        <w:tc>
          <w:tcPr>
            <w:tcW w:w="0" w:type="auto"/>
            <w:noWrap w:val="0"/>
            <w:vAlign w:val="center"/>
          </w:tcPr>
          <w:p w14:paraId="0E30E9E1">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1E1600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BC93CF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3FBE14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2543F8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50D6459">
                  <w:r>
                    <w:rPr>
                      <w:rStyle w:val="11"/>
                      <w:rFonts w:hint="eastAsia"/>
                    </w:rPr>
                    <w:t>施用方式</w:t>
                  </w:r>
                </w:p>
              </w:tc>
            </w:tr>
            <w:tr w14:paraId="60B802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158C1ED4">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6486501">
                  <w:r>
                    <w:rPr>
                      <w:rStyle w:val="11"/>
                      <w:rFonts w:hint="eastAsia"/>
                    </w:rPr>
                    <w:t>白绢病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5B448E">
                  <w:r>
                    <w:rPr>
                      <w:rStyle w:val="11"/>
                      <w:rFonts w:hint="eastAsia"/>
                    </w:rPr>
                    <w:t>4000-5000毫升/100千克种子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4A3711">
                  <w:r>
                    <w:rPr>
                      <w:rStyle w:val="11"/>
                      <w:rFonts w:hint="eastAsia"/>
                    </w:rPr>
                    <w:t>种子包衣</w:t>
                  </w:r>
                </w:p>
              </w:tc>
            </w:tr>
            <w:tr w14:paraId="613FC6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1EC28C9">
                  <w:r>
                    <w:rPr>
                      <w:rStyle w:val="11"/>
                      <w:rFonts w:hint="eastAsia"/>
                    </w:rPr>
                    <w:t>花生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CBFCDC3">
                  <w:r>
                    <w:rPr>
                      <w:rStyle w:val="11"/>
                      <w:rFonts w:hint="eastAsia"/>
                    </w:rPr>
                    <w:t>蛴螬</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006290">
                  <w:r>
                    <w:rPr>
                      <w:rStyle w:val="11"/>
                      <w:rFonts w:hint="eastAsia"/>
                    </w:rPr>
                    <w:t>4000-5000毫升/100千克种子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EDE78FF">
                  <w:r>
                    <w:rPr>
                      <w:rStyle w:val="11"/>
                      <w:rFonts w:hint="eastAsia"/>
                    </w:rPr>
                    <w:t>种子包衣</w:t>
                  </w:r>
                </w:p>
              </w:tc>
            </w:tr>
          </w:tbl>
          <w:p w14:paraId="31DE304C">
            <w:pPr>
              <w:rPr>
                <w:rFonts w:ascii="Times New Roman" w:hAnsi="Times New Roman" w:cs="Times New Roman"/>
                <w:sz w:val="20"/>
                <w:szCs w:val="20"/>
              </w:rPr>
            </w:pPr>
          </w:p>
        </w:tc>
      </w:tr>
      <w:tr w14:paraId="2E11FA42">
        <w:tblPrEx>
          <w:tblCellMar>
            <w:top w:w="0" w:type="dxa"/>
            <w:left w:w="0" w:type="dxa"/>
            <w:bottom w:w="0" w:type="dxa"/>
            <w:right w:w="0" w:type="dxa"/>
          </w:tblCellMar>
        </w:tblPrEx>
        <w:trPr>
          <w:wBefore w:w="0" w:type="auto"/>
          <w:tblCellSpacing w:w="0" w:type="dxa"/>
        </w:trPr>
        <w:tc>
          <w:tcPr>
            <w:tcW w:w="0" w:type="auto"/>
            <w:noWrap w:val="0"/>
            <w:vAlign w:val="center"/>
          </w:tcPr>
          <w:p w14:paraId="33113FAE">
            <w:r>
              <w:rPr>
                <w:rStyle w:val="10"/>
                <w:rFonts w:hint="eastAsia"/>
              </w:rPr>
              <w:t>使用技术要求:</w:t>
            </w:r>
            <w:r>
              <w:rPr>
                <w:rFonts w:hint="eastAsia"/>
              </w:rPr>
              <w:br w:type="textWrapping"/>
            </w:r>
            <w:r>
              <w:rPr>
                <w:rStyle w:val="11"/>
                <w:rFonts w:hint="eastAsia"/>
              </w:rPr>
              <w:t>1. 于花生播种前种子包衣施药1次。使用方法：将药液与种子按1:20~1:33.3 的比例充分拌匀，即按制剂用药量3~5升/100千克种子包衣，既可机械包衣亦可人工包衣。2.每季作物最多使用1次。</w:t>
            </w:r>
          </w:p>
        </w:tc>
      </w:tr>
      <w:tr w14:paraId="7AF24B6A">
        <w:tblPrEx>
          <w:tblCellMar>
            <w:top w:w="0" w:type="dxa"/>
            <w:left w:w="0" w:type="dxa"/>
            <w:bottom w:w="0" w:type="dxa"/>
            <w:right w:w="0" w:type="dxa"/>
          </w:tblCellMar>
        </w:tblPrEx>
        <w:trPr>
          <w:wBefore w:w="0" w:type="auto"/>
          <w:tblCellSpacing w:w="0" w:type="dxa"/>
        </w:trPr>
        <w:tc>
          <w:tcPr>
            <w:tcW w:w="0" w:type="auto"/>
            <w:noWrap w:val="0"/>
            <w:vAlign w:val="center"/>
          </w:tcPr>
          <w:p w14:paraId="776625E3">
            <w:r>
              <w:rPr>
                <w:rStyle w:val="10"/>
                <w:rFonts w:hint="eastAsia"/>
              </w:rPr>
              <w:t>产品性能:</w:t>
            </w:r>
            <w:r>
              <w:rPr>
                <w:rFonts w:hint="eastAsia"/>
              </w:rPr>
              <w:br w:type="textWrapping"/>
            </w:r>
            <w:r>
              <w:rPr>
                <w:rStyle w:val="11"/>
                <w:rFonts w:hint="eastAsia"/>
              </w:rPr>
              <w:t>本品是一种广谱性杀虫杀菌剂。噻虫嗪对害虫具内吸、触杀和胃毒作用；嘧菌酯通过抑制病原菌线粒体呼吸而起到保护和治疗作用；噻呋酰胺是琥珀酸酯脱氢酶抑制剂，由于含氟，在生化过程中其竞争力很强，一旦与底物或酶结合就不易恢复。三者混配可防治花生蛴螬、花生白绢病。</w:t>
            </w:r>
          </w:p>
        </w:tc>
      </w:tr>
      <w:tr w14:paraId="1CC24811">
        <w:tblPrEx>
          <w:tblCellMar>
            <w:top w:w="0" w:type="dxa"/>
            <w:left w:w="0" w:type="dxa"/>
            <w:bottom w:w="0" w:type="dxa"/>
            <w:right w:w="0" w:type="dxa"/>
          </w:tblCellMar>
        </w:tblPrEx>
        <w:trPr>
          <w:wBefore w:w="0" w:type="auto"/>
          <w:tblCellSpacing w:w="0" w:type="dxa"/>
        </w:trPr>
        <w:tc>
          <w:tcPr>
            <w:tcW w:w="0" w:type="auto"/>
            <w:noWrap w:val="0"/>
            <w:vAlign w:val="center"/>
          </w:tcPr>
          <w:p w14:paraId="7C3DB7D7">
            <w:r>
              <w:rPr>
                <w:rStyle w:val="10"/>
                <w:rFonts w:hint="eastAsia"/>
              </w:rPr>
              <w:t>注意事项：</w:t>
            </w:r>
            <w:r>
              <w:rPr>
                <w:rFonts w:hint="eastAsia"/>
              </w:rPr>
              <w:br w:type="textWrapping"/>
            </w:r>
            <w:r>
              <w:rPr>
                <w:rStyle w:val="11"/>
                <w:rFonts w:hint="eastAsia"/>
              </w:rPr>
              <w:t>1.在配制和使用本品时，使用时穿戴长衣、长裤、帽子、口罩、手套等安全防护措施，避免皮肤接触及口鼻吸入，严禁吸烟和饮食。2.使用后应用肥皂和足量清水冲洗手部、面部和其他裸露的身体部位以及药剂污染的衣物等。3.远离水产养殖区施药，禁止在河塘等水域清洗施药器具。4.本品对蜜蜂、家蚕有毒，开花植物花期、蚕室及桑园附近禁用。5.赤眼蜂等天敌放飞区禁用。6.鸟类保护期禁用，播种后必须覆土，严禁畜禽进入。7.处理过的种子必须放置在有明显标签的容器内，勿与食物、饲料放在一起，不得饲喂禽畜，更不得用来加工饲料或食品。8.用过的容器应妥善处理，不可做他用，也不可随意丢弃。9.禁止儿童、孕妇及哺乳期妇女接触本品。10.避免与氧化剂接触。</w:t>
            </w:r>
          </w:p>
        </w:tc>
      </w:tr>
      <w:tr w14:paraId="30FDFEC2">
        <w:tblPrEx>
          <w:tblCellMar>
            <w:top w:w="0" w:type="dxa"/>
            <w:left w:w="0" w:type="dxa"/>
            <w:bottom w:w="0" w:type="dxa"/>
            <w:right w:w="0" w:type="dxa"/>
          </w:tblCellMar>
        </w:tblPrEx>
        <w:trPr>
          <w:wBefore w:w="0" w:type="auto"/>
          <w:tblCellSpacing w:w="0" w:type="dxa"/>
        </w:trPr>
        <w:tc>
          <w:tcPr>
            <w:tcW w:w="0" w:type="auto"/>
            <w:noWrap w:val="0"/>
            <w:vAlign w:val="center"/>
          </w:tcPr>
          <w:p w14:paraId="0ADBB3D4">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不慎溅入眼睛或接触皮肤：用大量清水冲洗至少15分钟。误吸：转移至空气清新处，注意保暖和休息，并携带标签去医院诊治。不慎误服：请勿引吐，立即携标签就医。</w:t>
            </w:r>
          </w:p>
        </w:tc>
      </w:tr>
      <w:tr w14:paraId="1CE993DF">
        <w:tblPrEx>
          <w:tblCellMar>
            <w:top w:w="0" w:type="dxa"/>
            <w:left w:w="0" w:type="dxa"/>
            <w:bottom w:w="0" w:type="dxa"/>
            <w:right w:w="0" w:type="dxa"/>
          </w:tblCellMar>
        </w:tblPrEx>
        <w:trPr>
          <w:wBefore w:w="0" w:type="auto"/>
          <w:tblCellSpacing w:w="0" w:type="dxa"/>
        </w:trPr>
        <w:tc>
          <w:tcPr>
            <w:tcW w:w="0" w:type="auto"/>
            <w:noWrap w:val="0"/>
            <w:vAlign w:val="center"/>
          </w:tcPr>
          <w:p w14:paraId="1F5F532E">
            <w:r>
              <w:rPr>
                <w:rStyle w:val="10"/>
                <w:rFonts w:hint="eastAsia"/>
              </w:rPr>
              <w:t>储存和运输方法：</w:t>
            </w:r>
            <w:r>
              <w:rPr>
                <w:rFonts w:hint="eastAsia"/>
              </w:rPr>
              <w:br w:type="textWrapping"/>
            </w:r>
            <w:r>
              <w:rPr>
                <w:rStyle w:val="11"/>
                <w:rFonts w:hint="eastAsia"/>
              </w:rPr>
              <w:t>1. 本品应贮存在阴凉、干燥、通风、防雨处，远离火源或热源； 2. 置于儿童、无关人员及动物接触不到的地方，并加锁；3. 避免与氧化剂接触，不得与氧化剂、食物、饮料、种子、饲料等物品同贮同运，运输时要防潮防晒；4. 装卸时，注意检查包装是否密封完整，轻拿轻放。</w:t>
            </w:r>
          </w:p>
        </w:tc>
      </w:tr>
      <w:tr w14:paraId="25218B1A">
        <w:tblPrEx>
          <w:tblCellMar>
            <w:top w:w="0" w:type="dxa"/>
            <w:left w:w="0" w:type="dxa"/>
            <w:bottom w:w="0" w:type="dxa"/>
            <w:right w:w="0" w:type="dxa"/>
          </w:tblCellMar>
        </w:tblPrEx>
        <w:trPr>
          <w:wBefore w:w="0" w:type="auto"/>
          <w:tblCellSpacing w:w="0" w:type="dxa"/>
        </w:trPr>
        <w:tc>
          <w:tcPr>
            <w:tcW w:w="0" w:type="auto"/>
            <w:noWrap w:val="0"/>
            <w:vAlign w:val="center"/>
          </w:tcPr>
          <w:p w14:paraId="331171BE">
            <w:r>
              <w:rPr>
                <w:rStyle w:val="10"/>
                <w:rFonts w:hint="eastAsia"/>
              </w:rPr>
              <w:t>质量保证期：</w:t>
            </w:r>
            <w:r>
              <w:rPr>
                <w:rStyle w:val="11"/>
                <w:rFonts w:hint="eastAsia"/>
              </w:rPr>
              <w:t>2年</w:t>
            </w:r>
          </w:p>
        </w:tc>
      </w:tr>
      <w:tr w14:paraId="31D82244">
        <w:tblPrEx>
          <w:tblCellMar>
            <w:top w:w="0" w:type="dxa"/>
            <w:left w:w="0" w:type="dxa"/>
            <w:bottom w:w="0" w:type="dxa"/>
            <w:right w:w="0" w:type="dxa"/>
          </w:tblCellMar>
        </w:tblPrEx>
        <w:trPr>
          <w:wBefore w:w="0" w:type="auto"/>
          <w:tblCellSpacing w:w="0" w:type="dxa"/>
        </w:trPr>
        <w:tc>
          <w:tcPr>
            <w:tcW w:w="0" w:type="auto"/>
            <w:noWrap w:val="0"/>
            <w:vAlign w:val="center"/>
          </w:tcPr>
          <w:p w14:paraId="5F8E0FC8">
            <w:r>
              <w:rPr>
                <w:rStyle w:val="10"/>
                <w:rFonts w:hint="eastAsia"/>
              </w:rPr>
              <w:t>备注：</w:t>
            </w:r>
          </w:p>
        </w:tc>
      </w:tr>
    </w:tbl>
    <w:p w14:paraId="0EA9C78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38F98DA">
        <w:tblPrEx>
          <w:tblCellMar>
            <w:top w:w="0" w:type="dxa"/>
            <w:left w:w="0" w:type="dxa"/>
            <w:bottom w:w="0" w:type="dxa"/>
            <w:right w:w="0" w:type="dxa"/>
          </w:tblCellMar>
        </w:tblPrEx>
        <w:trPr>
          <w:wBefore w:w="0" w:type="auto"/>
          <w:tblCellSpacing w:w="0" w:type="dxa"/>
        </w:trPr>
        <w:tc>
          <w:tcPr>
            <w:tcW w:w="0" w:type="auto"/>
            <w:noWrap w:val="0"/>
            <w:vAlign w:val="center"/>
          </w:tcPr>
          <w:p w14:paraId="2EA352C3">
            <w:r>
              <w:rPr>
                <w:rStyle w:val="10"/>
                <w:rFonts w:hint="eastAsia"/>
              </w:rPr>
              <w:t>登记证号：</w:t>
            </w:r>
            <w:r>
              <w:rPr>
                <w:rFonts w:hint="eastAsia"/>
              </w:rPr>
              <w:t>PD20211723</w:t>
            </w:r>
          </w:p>
        </w:tc>
      </w:tr>
      <w:tr w14:paraId="4C826336">
        <w:tblPrEx>
          <w:tblCellMar>
            <w:top w:w="0" w:type="dxa"/>
            <w:left w:w="0" w:type="dxa"/>
            <w:bottom w:w="0" w:type="dxa"/>
            <w:right w:w="0" w:type="dxa"/>
          </w:tblCellMar>
        </w:tblPrEx>
        <w:trPr>
          <w:wBefore w:w="0" w:type="auto"/>
          <w:tblCellSpacing w:w="0" w:type="dxa"/>
        </w:trPr>
        <w:tc>
          <w:tcPr>
            <w:tcW w:w="0" w:type="auto"/>
            <w:noWrap w:val="0"/>
            <w:vAlign w:val="center"/>
          </w:tcPr>
          <w:p w14:paraId="14B57665">
            <w:r>
              <w:rPr>
                <w:rStyle w:val="10"/>
                <w:rFonts w:hint="eastAsia"/>
              </w:rPr>
              <w:t>登记证持有人：</w:t>
            </w:r>
            <w:r>
              <w:rPr>
                <w:rFonts w:hint="eastAsia"/>
              </w:rPr>
              <w:t>广西金裕隆农药化工有限公司</w:t>
            </w:r>
          </w:p>
        </w:tc>
      </w:tr>
      <w:tr w14:paraId="216F1154">
        <w:tblPrEx>
          <w:tblCellMar>
            <w:top w:w="0" w:type="dxa"/>
            <w:left w:w="0" w:type="dxa"/>
            <w:bottom w:w="0" w:type="dxa"/>
            <w:right w:w="0" w:type="dxa"/>
          </w:tblCellMar>
        </w:tblPrEx>
        <w:trPr>
          <w:wBefore w:w="0" w:type="auto"/>
          <w:tblCellSpacing w:w="0" w:type="dxa"/>
        </w:trPr>
        <w:tc>
          <w:tcPr>
            <w:tcW w:w="0" w:type="auto"/>
            <w:noWrap w:val="0"/>
            <w:vAlign w:val="center"/>
          </w:tcPr>
          <w:p w14:paraId="4FF72D23">
            <w:r>
              <w:rPr>
                <w:rStyle w:val="10"/>
                <w:rFonts w:hint="eastAsia"/>
              </w:rPr>
              <w:t>农药名称：</w:t>
            </w:r>
            <w:r>
              <w:rPr>
                <w:rFonts w:hint="eastAsia"/>
              </w:rPr>
              <w:t>联苯·噻虫胺</w:t>
            </w:r>
          </w:p>
        </w:tc>
      </w:tr>
      <w:tr w14:paraId="00C36A58">
        <w:tblPrEx>
          <w:tblCellMar>
            <w:top w:w="0" w:type="dxa"/>
            <w:left w:w="0" w:type="dxa"/>
            <w:bottom w:w="0" w:type="dxa"/>
            <w:right w:w="0" w:type="dxa"/>
          </w:tblCellMar>
        </w:tblPrEx>
        <w:trPr>
          <w:wBefore w:w="0" w:type="auto"/>
          <w:tblCellSpacing w:w="0" w:type="dxa"/>
        </w:trPr>
        <w:tc>
          <w:tcPr>
            <w:tcW w:w="0" w:type="auto"/>
            <w:noWrap w:val="0"/>
            <w:vAlign w:val="center"/>
          </w:tcPr>
          <w:p w14:paraId="52F38384">
            <w:r>
              <w:rPr>
                <w:rStyle w:val="10"/>
                <w:rFonts w:hint="eastAsia"/>
              </w:rPr>
              <w:t>剂型：</w:t>
            </w:r>
            <w:r>
              <w:rPr>
                <w:rFonts w:hint="eastAsia"/>
              </w:rPr>
              <w:t>颗粒剂</w:t>
            </w:r>
          </w:p>
        </w:tc>
      </w:tr>
      <w:tr w14:paraId="08E4A6D4">
        <w:tblPrEx>
          <w:tblCellMar>
            <w:top w:w="0" w:type="dxa"/>
            <w:left w:w="0" w:type="dxa"/>
            <w:bottom w:w="0" w:type="dxa"/>
            <w:right w:w="0" w:type="dxa"/>
          </w:tblCellMar>
        </w:tblPrEx>
        <w:trPr>
          <w:wBefore w:w="0" w:type="auto"/>
          <w:tblCellSpacing w:w="0" w:type="dxa"/>
        </w:trPr>
        <w:tc>
          <w:tcPr>
            <w:tcW w:w="0" w:type="auto"/>
            <w:noWrap w:val="0"/>
            <w:vAlign w:val="center"/>
          </w:tcPr>
          <w:p w14:paraId="04027DE2">
            <w:r>
              <w:rPr>
                <w:rStyle w:val="10"/>
                <w:rFonts w:hint="eastAsia"/>
              </w:rPr>
              <w:t>毒性及其标识：</w:t>
            </w:r>
            <w:r>
              <w:rPr>
                <w:rFonts w:hint="eastAsia"/>
              </w:rPr>
              <w:t xml:space="preserve"> </w:t>
            </w:r>
            <w:r>
              <w:rPr>
                <w:lang/>
              </w:rPr>
              <w:drawing>
                <wp:inline distT="0" distB="0" distL="114300" distR="114300">
                  <wp:extent cx="476250" cy="323850"/>
                  <wp:effectExtent l="0" t="0" r="0" b="0"/>
                  <wp:docPr id="614" name="图片 61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61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524A687">
        <w:tblPrEx>
          <w:tblCellMar>
            <w:top w:w="0" w:type="dxa"/>
            <w:left w:w="0" w:type="dxa"/>
            <w:bottom w:w="0" w:type="dxa"/>
            <w:right w:w="0" w:type="dxa"/>
          </w:tblCellMar>
        </w:tblPrEx>
        <w:trPr>
          <w:wBefore w:w="0" w:type="auto"/>
          <w:tblCellSpacing w:w="0" w:type="dxa"/>
        </w:trPr>
        <w:tc>
          <w:tcPr>
            <w:tcW w:w="0" w:type="auto"/>
            <w:noWrap w:val="0"/>
            <w:vAlign w:val="center"/>
          </w:tcPr>
          <w:p w14:paraId="45382750">
            <w:r>
              <w:rPr>
                <w:rStyle w:val="10"/>
                <w:rFonts w:hint="eastAsia"/>
              </w:rPr>
              <w:t>总有效成分含量：</w:t>
            </w:r>
            <w:r>
              <w:rPr>
                <w:rFonts w:hint="eastAsia"/>
              </w:rPr>
              <w:t>1%</w:t>
            </w:r>
          </w:p>
        </w:tc>
      </w:tr>
      <w:tr w14:paraId="456DFD0F">
        <w:tblPrEx>
          <w:tblCellMar>
            <w:top w:w="0" w:type="dxa"/>
            <w:left w:w="0" w:type="dxa"/>
            <w:bottom w:w="0" w:type="dxa"/>
            <w:right w:w="0" w:type="dxa"/>
          </w:tblCellMar>
        </w:tblPrEx>
        <w:trPr>
          <w:wBefore w:w="0" w:type="auto"/>
          <w:tblCellSpacing w:w="0" w:type="dxa"/>
        </w:trPr>
        <w:tc>
          <w:tcPr>
            <w:tcW w:w="0" w:type="auto"/>
            <w:noWrap w:val="0"/>
            <w:vAlign w:val="center"/>
          </w:tcPr>
          <w:p w14:paraId="69D8163A">
            <w:r>
              <w:rPr>
                <w:rFonts w:hint="eastAsia"/>
              </w:rPr>
              <w:t xml:space="preserve">有效成分及其含量： </w:t>
            </w:r>
          </w:p>
          <w:p w14:paraId="2257EFF0">
            <w:r>
              <w:rPr>
                <w:rFonts w:hint="eastAsia"/>
              </w:rPr>
              <w:t xml:space="preserve">    联苯菊酯0.5%    噻虫胺0.5%    </w:t>
            </w:r>
          </w:p>
        </w:tc>
      </w:tr>
      <w:tr w14:paraId="0D239BAB">
        <w:tblPrEx>
          <w:tblCellMar>
            <w:top w:w="0" w:type="dxa"/>
            <w:left w:w="0" w:type="dxa"/>
            <w:bottom w:w="0" w:type="dxa"/>
            <w:right w:w="0" w:type="dxa"/>
          </w:tblCellMar>
        </w:tblPrEx>
        <w:trPr>
          <w:wBefore w:w="0" w:type="auto"/>
          <w:tblCellSpacing w:w="0" w:type="dxa"/>
        </w:trPr>
        <w:tc>
          <w:tcPr>
            <w:tcW w:w="0" w:type="auto"/>
            <w:noWrap w:val="0"/>
            <w:vAlign w:val="center"/>
          </w:tcPr>
          <w:p w14:paraId="07359655">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1C55763">
              <w:tblPrEx>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F32576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0E84A0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03DF855">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B6B32E8">
                  <w:r>
                    <w:rPr>
                      <w:rStyle w:val="11"/>
                      <w:rFonts w:hint="eastAsia"/>
                    </w:rPr>
                    <w:t>施用方式</w:t>
                  </w:r>
                </w:p>
              </w:tc>
            </w:tr>
            <w:tr w14:paraId="1E3B5E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4727C9E">
                  <w:r>
                    <w:rPr>
                      <w:rStyle w:val="11"/>
                      <w:rFonts w:hint="eastAsia"/>
                    </w:rPr>
                    <w:t>甘蓝</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C9E6C15">
                  <w:r>
                    <w:rPr>
                      <w:rStyle w:val="11"/>
                      <w:rFonts w:hint="eastAsia"/>
                    </w:rPr>
                    <w:t>黄条跳甲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D7FF9A">
                  <w:r>
                    <w:rPr>
                      <w:rStyle w:val="11"/>
                      <w:rFonts w:hint="eastAsia"/>
                    </w:rPr>
                    <w:t>2000-4000克/亩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E7354B">
                  <w:r>
                    <w:rPr>
                      <w:rStyle w:val="11"/>
                      <w:rFonts w:hint="eastAsia"/>
                    </w:rPr>
                    <w:t>撒施</w:t>
                  </w:r>
                </w:p>
              </w:tc>
            </w:tr>
          </w:tbl>
          <w:p w14:paraId="58D4E408">
            <w:pPr>
              <w:rPr>
                <w:rFonts w:ascii="Times New Roman" w:hAnsi="Times New Roman" w:cs="Times New Roman"/>
                <w:sz w:val="20"/>
                <w:szCs w:val="20"/>
              </w:rPr>
            </w:pPr>
          </w:p>
        </w:tc>
      </w:tr>
      <w:tr w14:paraId="483D39B8">
        <w:tblPrEx>
          <w:tblCellMar>
            <w:top w:w="0" w:type="dxa"/>
            <w:left w:w="0" w:type="dxa"/>
            <w:bottom w:w="0" w:type="dxa"/>
            <w:right w:w="0" w:type="dxa"/>
          </w:tblCellMar>
        </w:tblPrEx>
        <w:trPr>
          <w:wBefore w:w="0" w:type="auto"/>
          <w:tblCellSpacing w:w="0" w:type="dxa"/>
        </w:trPr>
        <w:tc>
          <w:tcPr>
            <w:tcW w:w="0" w:type="auto"/>
            <w:noWrap w:val="0"/>
            <w:vAlign w:val="center"/>
          </w:tcPr>
          <w:p w14:paraId="48717FC3">
            <w:r>
              <w:rPr>
                <w:rStyle w:val="10"/>
                <w:rFonts w:hint="eastAsia"/>
              </w:rPr>
              <w:t>使用技术要求:</w:t>
            </w:r>
            <w:r>
              <w:rPr>
                <w:rFonts w:hint="eastAsia"/>
              </w:rPr>
              <w:br w:type="textWrapping"/>
            </w:r>
            <w:r>
              <w:rPr>
                <w:rStyle w:val="11"/>
                <w:rFonts w:hint="eastAsia"/>
              </w:rPr>
              <w:t>1.本品于甘蓝移栽前均匀撒施1次，然后移栽甘蓝。2. 在大风天或预计1小时内降雨，请勿施药。3. 本品在甘蓝上每季作物最多施药1次。</w:t>
            </w:r>
          </w:p>
        </w:tc>
      </w:tr>
      <w:tr w14:paraId="277F9075">
        <w:tblPrEx>
          <w:tblCellMar>
            <w:top w:w="0" w:type="dxa"/>
            <w:left w:w="0" w:type="dxa"/>
            <w:bottom w:w="0" w:type="dxa"/>
            <w:right w:w="0" w:type="dxa"/>
          </w:tblCellMar>
        </w:tblPrEx>
        <w:trPr>
          <w:wBefore w:w="0" w:type="auto"/>
          <w:tblCellSpacing w:w="0" w:type="dxa"/>
        </w:trPr>
        <w:tc>
          <w:tcPr>
            <w:tcW w:w="0" w:type="auto"/>
            <w:noWrap w:val="0"/>
            <w:vAlign w:val="center"/>
          </w:tcPr>
          <w:p w14:paraId="6160B150">
            <w:r>
              <w:rPr>
                <w:rStyle w:val="10"/>
                <w:rFonts w:hint="eastAsia"/>
              </w:rPr>
              <w:t>产品性能:</w:t>
            </w:r>
            <w:r>
              <w:rPr>
                <w:rFonts w:hint="eastAsia"/>
              </w:rPr>
              <w:br w:type="textWrapping"/>
            </w:r>
            <w:r>
              <w:rPr>
                <w:rStyle w:val="11"/>
                <w:rFonts w:hint="eastAsia"/>
              </w:rPr>
              <w:t>本品为联苯菊酯和噻虫胺的混配制剂，具有内吸、触杀和胃毒的作用，可有效防治甘蓝黄条跳甲。</w:t>
            </w:r>
          </w:p>
        </w:tc>
      </w:tr>
      <w:tr w14:paraId="53D623D4">
        <w:tblPrEx>
          <w:tblCellMar>
            <w:top w:w="0" w:type="dxa"/>
            <w:left w:w="0" w:type="dxa"/>
            <w:bottom w:w="0" w:type="dxa"/>
            <w:right w:w="0" w:type="dxa"/>
          </w:tblCellMar>
        </w:tblPrEx>
        <w:trPr>
          <w:wBefore w:w="0" w:type="auto"/>
          <w:tblCellSpacing w:w="0" w:type="dxa"/>
        </w:trPr>
        <w:tc>
          <w:tcPr>
            <w:tcW w:w="0" w:type="auto"/>
            <w:noWrap w:val="0"/>
            <w:vAlign w:val="center"/>
          </w:tcPr>
          <w:p w14:paraId="435A631D">
            <w:r>
              <w:rPr>
                <w:rStyle w:val="10"/>
                <w:rFonts w:hint="eastAsia"/>
              </w:rPr>
              <w:t>注意事项：</w:t>
            </w:r>
            <w:r>
              <w:rPr>
                <w:rFonts w:hint="eastAsia"/>
              </w:rPr>
              <w:br w:type="textWrapping"/>
            </w:r>
            <w:r>
              <w:rPr>
                <w:rStyle w:val="11"/>
                <w:rFonts w:hint="eastAsia"/>
              </w:rPr>
              <w:t>1.严格按照规定用药量和方法使用。 2.本品不可与碱性农药等物质混用。建议与其他作用机制不同的杀虫剂轮换使用，以延缓抗性产生。 3.水产养殖区、河塘等水体附近禁用；禁止在河塘等水体中清洗施药器具；养蜂场所和周围开花植物花期禁用，使用时应密切关注对附近蜂群的影响。鸟类保护区附近禁用，播种、施药后立即覆土。 4.使用本品时应穿戴长衣、长裤、帽子、口罩、手套等安全防护措施，避免吸入药液。施药期间不可吃东西和饮水。施药后应及时洗手和洗脸。 5.用药后包装物及用过的容器应妥善处理，不可做他用，也不可随意丢弃。 6.孕妇及哺乳期妇女禁止接触本品。7、本品避免与氧化物接触。</w:t>
            </w:r>
          </w:p>
        </w:tc>
      </w:tr>
      <w:tr w14:paraId="448BDE4A">
        <w:tblPrEx>
          <w:tblCellMar>
            <w:top w:w="0" w:type="dxa"/>
            <w:left w:w="0" w:type="dxa"/>
            <w:bottom w:w="0" w:type="dxa"/>
            <w:right w:w="0" w:type="dxa"/>
          </w:tblCellMar>
        </w:tblPrEx>
        <w:trPr>
          <w:wBefore w:w="0" w:type="auto"/>
          <w:tblCellSpacing w:w="0" w:type="dxa"/>
        </w:trPr>
        <w:tc>
          <w:tcPr>
            <w:tcW w:w="0" w:type="auto"/>
            <w:noWrap w:val="0"/>
            <w:vAlign w:val="center"/>
          </w:tcPr>
          <w:p w14:paraId="69A5A1F9">
            <w:r>
              <w:rPr>
                <w:rStyle w:val="10"/>
                <w:rFonts w:hint="eastAsia"/>
              </w:rPr>
              <w:t>中毒急救措施：</w:t>
            </w:r>
            <w:r>
              <w:rPr>
                <w:rFonts w:hint="eastAsia"/>
              </w:rPr>
              <w:br w:type="textWrapping"/>
            </w:r>
            <w:r>
              <w:rPr>
                <w:rStyle w:val="11"/>
                <w:rFonts w:hint="eastAsia"/>
              </w:rPr>
              <w:t>对眼睛有刺激性，使用时避免接触眼睛。 使用中或使用后如果感觉不适，应立即停止工作，采取急救措施，并携带标签送医院就诊。 本品如接触皮肤，用肥皂和清水彻底清洗受污的皮肤； 如溅及眼睛，用清水冲洗眼睛至少15分钟；送医就诊； 如误服，反复使用医用炭和大量水，并即携带标签，送医就诊。</w:t>
            </w:r>
          </w:p>
        </w:tc>
      </w:tr>
      <w:tr w14:paraId="59533D03">
        <w:tblPrEx>
          <w:tblCellMar>
            <w:top w:w="0" w:type="dxa"/>
            <w:left w:w="0" w:type="dxa"/>
            <w:bottom w:w="0" w:type="dxa"/>
            <w:right w:w="0" w:type="dxa"/>
          </w:tblCellMar>
        </w:tblPrEx>
        <w:trPr>
          <w:wBefore w:w="0" w:type="auto"/>
          <w:tblCellSpacing w:w="0" w:type="dxa"/>
        </w:trPr>
        <w:tc>
          <w:tcPr>
            <w:tcW w:w="0" w:type="auto"/>
            <w:noWrap w:val="0"/>
            <w:vAlign w:val="center"/>
          </w:tcPr>
          <w:p w14:paraId="50D0331A">
            <w:r>
              <w:rPr>
                <w:rStyle w:val="10"/>
                <w:rFonts w:hint="eastAsia"/>
              </w:rPr>
              <w:t>储存和运输方法：</w:t>
            </w:r>
            <w:r>
              <w:rPr>
                <w:rFonts w:hint="eastAsia"/>
              </w:rPr>
              <w:br w:type="textWrapping"/>
            </w:r>
            <w:r>
              <w:rPr>
                <w:rStyle w:val="11"/>
                <w:rFonts w:hint="eastAsia"/>
              </w:rPr>
              <w:t>本品应贮存在干燥、阴凉、通风、防雨处，远离火源或热源。置于儿童触及不到之处，并加锁。勿与食品、饮料、粮食、饲料等其它商品同贮同运。贮存或运输时堆层不得超过规定，注意轻拿轻放，以免损坏包装，导致产品泄露。</w:t>
            </w:r>
          </w:p>
        </w:tc>
      </w:tr>
      <w:tr w14:paraId="4D2454F9">
        <w:tblPrEx>
          <w:tblCellMar>
            <w:top w:w="0" w:type="dxa"/>
            <w:left w:w="0" w:type="dxa"/>
            <w:bottom w:w="0" w:type="dxa"/>
            <w:right w:w="0" w:type="dxa"/>
          </w:tblCellMar>
        </w:tblPrEx>
        <w:trPr>
          <w:wBefore w:w="0" w:type="auto"/>
          <w:tblCellSpacing w:w="0" w:type="dxa"/>
        </w:trPr>
        <w:tc>
          <w:tcPr>
            <w:tcW w:w="0" w:type="auto"/>
            <w:noWrap w:val="0"/>
            <w:vAlign w:val="center"/>
          </w:tcPr>
          <w:p w14:paraId="334CAD05">
            <w:r>
              <w:rPr>
                <w:rStyle w:val="10"/>
                <w:rFonts w:hint="eastAsia"/>
              </w:rPr>
              <w:t>质量保证期：</w:t>
            </w:r>
            <w:r>
              <w:rPr>
                <w:rStyle w:val="11"/>
                <w:rFonts w:hint="eastAsia"/>
              </w:rPr>
              <w:t>2年</w:t>
            </w:r>
          </w:p>
        </w:tc>
      </w:tr>
      <w:tr w14:paraId="4D037AA0">
        <w:tblPrEx>
          <w:tblCellMar>
            <w:top w:w="0" w:type="dxa"/>
            <w:left w:w="0" w:type="dxa"/>
            <w:bottom w:w="0" w:type="dxa"/>
            <w:right w:w="0" w:type="dxa"/>
          </w:tblCellMar>
        </w:tblPrEx>
        <w:trPr>
          <w:wBefore w:w="0" w:type="auto"/>
          <w:tblCellSpacing w:w="0" w:type="dxa"/>
        </w:trPr>
        <w:tc>
          <w:tcPr>
            <w:tcW w:w="0" w:type="auto"/>
            <w:noWrap w:val="0"/>
            <w:vAlign w:val="center"/>
          </w:tcPr>
          <w:p w14:paraId="434CC3D3">
            <w:r>
              <w:rPr>
                <w:rStyle w:val="10"/>
                <w:rFonts w:hint="eastAsia"/>
              </w:rPr>
              <w:t>备注：</w:t>
            </w:r>
          </w:p>
        </w:tc>
      </w:tr>
    </w:tbl>
    <w:p w14:paraId="164C5CE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2BAF9C1">
        <w:tblPrEx>
          <w:tblCellMar>
            <w:top w:w="0" w:type="dxa"/>
            <w:left w:w="0" w:type="dxa"/>
            <w:bottom w:w="0" w:type="dxa"/>
            <w:right w:w="0" w:type="dxa"/>
          </w:tblCellMar>
        </w:tblPrEx>
        <w:trPr>
          <w:wBefore w:w="0" w:type="auto"/>
          <w:tblCellSpacing w:w="0" w:type="dxa"/>
        </w:trPr>
        <w:tc>
          <w:tcPr>
            <w:tcW w:w="0" w:type="auto"/>
            <w:noWrap w:val="0"/>
            <w:vAlign w:val="center"/>
          </w:tcPr>
          <w:p w14:paraId="651BAEB9">
            <w:r>
              <w:rPr>
                <w:rStyle w:val="10"/>
                <w:rFonts w:hint="eastAsia"/>
              </w:rPr>
              <w:t>登记证号：</w:t>
            </w:r>
            <w:r>
              <w:rPr>
                <w:rFonts w:hint="eastAsia"/>
              </w:rPr>
              <w:t>PD20212230</w:t>
            </w:r>
          </w:p>
        </w:tc>
      </w:tr>
      <w:tr w14:paraId="1A737407">
        <w:tblPrEx>
          <w:tblCellMar>
            <w:top w:w="0" w:type="dxa"/>
            <w:left w:w="0" w:type="dxa"/>
            <w:bottom w:w="0" w:type="dxa"/>
            <w:right w:w="0" w:type="dxa"/>
          </w:tblCellMar>
        </w:tblPrEx>
        <w:trPr>
          <w:wBefore w:w="0" w:type="auto"/>
          <w:tblCellSpacing w:w="0" w:type="dxa"/>
        </w:trPr>
        <w:tc>
          <w:tcPr>
            <w:tcW w:w="0" w:type="auto"/>
            <w:noWrap w:val="0"/>
            <w:vAlign w:val="center"/>
          </w:tcPr>
          <w:p w14:paraId="5BAE8BFA">
            <w:r>
              <w:rPr>
                <w:rStyle w:val="10"/>
                <w:rFonts w:hint="eastAsia"/>
              </w:rPr>
              <w:t>登记证持有人：</w:t>
            </w:r>
            <w:r>
              <w:rPr>
                <w:rFonts w:hint="eastAsia"/>
              </w:rPr>
              <w:t>利尔化学股份有限公司</w:t>
            </w:r>
          </w:p>
        </w:tc>
      </w:tr>
      <w:tr w14:paraId="2247564D">
        <w:tblPrEx>
          <w:tblCellMar>
            <w:top w:w="0" w:type="dxa"/>
            <w:left w:w="0" w:type="dxa"/>
            <w:bottom w:w="0" w:type="dxa"/>
            <w:right w:w="0" w:type="dxa"/>
          </w:tblCellMar>
        </w:tblPrEx>
        <w:trPr>
          <w:wBefore w:w="0" w:type="auto"/>
          <w:tblCellSpacing w:w="0" w:type="dxa"/>
        </w:trPr>
        <w:tc>
          <w:tcPr>
            <w:tcW w:w="0" w:type="auto"/>
            <w:noWrap w:val="0"/>
            <w:vAlign w:val="center"/>
          </w:tcPr>
          <w:p w14:paraId="03379DAA">
            <w:r>
              <w:rPr>
                <w:rStyle w:val="10"/>
                <w:rFonts w:hint="eastAsia"/>
              </w:rPr>
              <w:t>农药名称：</w:t>
            </w:r>
            <w:r>
              <w:rPr>
                <w:rFonts w:hint="eastAsia"/>
              </w:rPr>
              <w:t>精草铵膦铵盐</w:t>
            </w:r>
          </w:p>
        </w:tc>
      </w:tr>
      <w:tr w14:paraId="2E7D9BC0">
        <w:tblPrEx>
          <w:tblCellMar>
            <w:top w:w="0" w:type="dxa"/>
            <w:left w:w="0" w:type="dxa"/>
            <w:bottom w:w="0" w:type="dxa"/>
            <w:right w:w="0" w:type="dxa"/>
          </w:tblCellMar>
        </w:tblPrEx>
        <w:trPr>
          <w:wBefore w:w="0" w:type="auto"/>
          <w:tblCellSpacing w:w="0" w:type="dxa"/>
        </w:trPr>
        <w:tc>
          <w:tcPr>
            <w:tcW w:w="0" w:type="auto"/>
            <w:noWrap w:val="0"/>
            <w:vAlign w:val="center"/>
          </w:tcPr>
          <w:p w14:paraId="73D1F9B6">
            <w:r>
              <w:rPr>
                <w:rStyle w:val="10"/>
                <w:rFonts w:hint="eastAsia"/>
              </w:rPr>
              <w:t>剂型：</w:t>
            </w:r>
            <w:r>
              <w:rPr>
                <w:rFonts w:hint="eastAsia"/>
              </w:rPr>
              <w:t>可溶液剂</w:t>
            </w:r>
          </w:p>
        </w:tc>
      </w:tr>
      <w:tr w14:paraId="498CA4D8">
        <w:tblPrEx>
          <w:tblCellMar>
            <w:top w:w="0" w:type="dxa"/>
            <w:left w:w="0" w:type="dxa"/>
            <w:bottom w:w="0" w:type="dxa"/>
            <w:right w:w="0" w:type="dxa"/>
          </w:tblCellMar>
        </w:tblPrEx>
        <w:trPr>
          <w:wBefore w:w="0" w:type="auto"/>
          <w:tblCellSpacing w:w="0" w:type="dxa"/>
        </w:trPr>
        <w:tc>
          <w:tcPr>
            <w:tcW w:w="0" w:type="auto"/>
            <w:noWrap w:val="0"/>
            <w:vAlign w:val="center"/>
          </w:tcPr>
          <w:p w14:paraId="13106878">
            <w:r>
              <w:rPr>
                <w:rStyle w:val="10"/>
                <w:rFonts w:hint="eastAsia"/>
              </w:rPr>
              <w:t>毒性及其标识：</w:t>
            </w:r>
            <w:r>
              <w:rPr>
                <w:rFonts w:hint="eastAsia"/>
              </w:rPr>
              <w:t xml:space="preserve"> </w:t>
            </w:r>
            <w:r>
              <w:rPr>
                <w:lang/>
              </w:rPr>
              <w:drawing>
                <wp:inline distT="0" distB="0" distL="114300" distR="114300">
                  <wp:extent cx="476250" cy="323850"/>
                  <wp:effectExtent l="0" t="0" r="0" b="0"/>
                  <wp:docPr id="615" name="图片 61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7962A71">
        <w:tblPrEx>
          <w:tblCellMar>
            <w:top w:w="0" w:type="dxa"/>
            <w:left w:w="0" w:type="dxa"/>
            <w:bottom w:w="0" w:type="dxa"/>
            <w:right w:w="0" w:type="dxa"/>
          </w:tblCellMar>
        </w:tblPrEx>
        <w:trPr>
          <w:wBefore w:w="0" w:type="auto"/>
          <w:tblCellSpacing w:w="0" w:type="dxa"/>
        </w:trPr>
        <w:tc>
          <w:tcPr>
            <w:tcW w:w="0" w:type="auto"/>
            <w:noWrap w:val="0"/>
            <w:vAlign w:val="center"/>
          </w:tcPr>
          <w:p w14:paraId="438EBDF1">
            <w:r>
              <w:rPr>
                <w:rStyle w:val="10"/>
                <w:rFonts w:hint="eastAsia"/>
              </w:rPr>
              <w:t>总有效成分含量：</w:t>
            </w:r>
            <w:r>
              <w:rPr>
                <w:rFonts w:hint="eastAsia"/>
              </w:rPr>
              <w:t>20%</w:t>
            </w:r>
          </w:p>
        </w:tc>
      </w:tr>
      <w:tr w14:paraId="79C68D9E">
        <w:tblPrEx>
          <w:tblCellMar>
            <w:top w:w="0" w:type="dxa"/>
            <w:left w:w="0" w:type="dxa"/>
            <w:bottom w:w="0" w:type="dxa"/>
            <w:right w:w="0" w:type="dxa"/>
          </w:tblCellMar>
        </w:tblPrEx>
        <w:trPr>
          <w:wBefore w:w="0" w:type="auto"/>
          <w:tblCellSpacing w:w="0" w:type="dxa"/>
        </w:trPr>
        <w:tc>
          <w:tcPr>
            <w:tcW w:w="0" w:type="auto"/>
            <w:noWrap w:val="0"/>
            <w:vAlign w:val="center"/>
          </w:tcPr>
          <w:p w14:paraId="12BBEED8">
            <w:r>
              <w:rPr>
                <w:rFonts w:hint="eastAsia"/>
              </w:rPr>
              <w:t xml:space="preserve">有效成分及其含量： </w:t>
            </w:r>
          </w:p>
          <w:p w14:paraId="6C154C78">
            <w:r>
              <w:rPr>
                <w:rFonts w:hint="eastAsia"/>
              </w:rPr>
              <w:t xml:space="preserve">    精草铵膦20%    </w:t>
            </w:r>
          </w:p>
        </w:tc>
      </w:tr>
      <w:tr w14:paraId="7FDA624E">
        <w:tblPrEx>
          <w:tblCellMar>
            <w:top w:w="0" w:type="dxa"/>
            <w:left w:w="0" w:type="dxa"/>
            <w:bottom w:w="0" w:type="dxa"/>
            <w:right w:w="0" w:type="dxa"/>
          </w:tblCellMar>
        </w:tblPrEx>
        <w:trPr>
          <w:wBefore w:w="0" w:type="auto"/>
          <w:tblCellSpacing w:w="0" w:type="dxa"/>
        </w:trPr>
        <w:tc>
          <w:tcPr>
            <w:tcW w:w="0" w:type="auto"/>
            <w:noWrap w:val="0"/>
            <w:vAlign w:val="center"/>
          </w:tcPr>
          <w:p w14:paraId="0D5EFB6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FAC06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4BE58A2">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6D8360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4B0588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740DBDA">
                  <w:r>
                    <w:rPr>
                      <w:rStyle w:val="11"/>
                      <w:rFonts w:hint="eastAsia"/>
                    </w:rPr>
                    <w:t>施用方式</w:t>
                  </w:r>
                </w:p>
              </w:tc>
            </w:tr>
            <w:tr w14:paraId="7C5DF43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F58C09A">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C7D56AD">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43E7A28">
                  <w:r>
                    <w:rPr>
                      <w:rStyle w:val="11"/>
                      <w:rFonts w:hint="eastAsia"/>
                    </w:rPr>
                    <w:t>100-150毫升/亩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AA474E1">
                  <w:r>
                    <w:rPr>
                      <w:rStyle w:val="11"/>
                      <w:rFonts w:hint="eastAsia"/>
                    </w:rPr>
                    <w:t>茎叶喷雾</w:t>
                  </w:r>
                </w:p>
              </w:tc>
            </w:tr>
          </w:tbl>
          <w:p w14:paraId="315C19AF">
            <w:pPr>
              <w:rPr>
                <w:rFonts w:ascii="Times New Roman" w:hAnsi="Times New Roman" w:cs="Times New Roman"/>
                <w:sz w:val="20"/>
                <w:szCs w:val="20"/>
              </w:rPr>
            </w:pPr>
          </w:p>
        </w:tc>
      </w:tr>
      <w:tr w14:paraId="251795DC">
        <w:tblPrEx>
          <w:tblCellMar>
            <w:top w:w="0" w:type="dxa"/>
            <w:left w:w="0" w:type="dxa"/>
            <w:bottom w:w="0" w:type="dxa"/>
            <w:right w:w="0" w:type="dxa"/>
          </w:tblCellMar>
        </w:tblPrEx>
        <w:trPr>
          <w:wBefore w:w="0" w:type="auto"/>
          <w:tblCellSpacing w:w="0" w:type="dxa"/>
        </w:trPr>
        <w:tc>
          <w:tcPr>
            <w:tcW w:w="0" w:type="auto"/>
            <w:noWrap w:val="0"/>
            <w:vAlign w:val="center"/>
          </w:tcPr>
          <w:p w14:paraId="3E9ECE26">
            <w:r>
              <w:rPr>
                <w:rStyle w:val="10"/>
                <w:rFonts w:hint="eastAsia"/>
              </w:rPr>
              <w:t>使用技术要求:</w:t>
            </w:r>
            <w:r>
              <w:rPr>
                <w:rFonts w:hint="eastAsia"/>
              </w:rPr>
              <w:br w:type="textWrapping"/>
            </w:r>
            <w:r>
              <w:rPr>
                <w:rStyle w:val="11"/>
                <w:rFonts w:hint="eastAsia"/>
              </w:rPr>
              <w:t>1. 在非耕地杂草旺盛生长期，以推荐剂量兑水均匀茎叶喷雾施药1次，确保杂草喷湿喷透。若杂草草龄较大或杂草密度较大时应增加用药量。2. 避免飘移药害；禁止在田间道路、田埂、果树行间、休耕地、林场林地等农林业区域使用。</w:t>
            </w:r>
          </w:p>
        </w:tc>
      </w:tr>
      <w:tr w14:paraId="70D9DD0B">
        <w:tblPrEx>
          <w:tblCellMar>
            <w:top w:w="0" w:type="dxa"/>
            <w:left w:w="0" w:type="dxa"/>
            <w:bottom w:w="0" w:type="dxa"/>
            <w:right w:w="0" w:type="dxa"/>
          </w:tblCellMar>
        </w:tblPrEx>
        <w:trPr>
          <w:wBefore w:w="0" w:type="auto"/>
          <w:tblCellSpacing w:w="0" w:type="dxa"/>
        </w:trPr>
        <w:tc>
          <w:tcPr>
            <w:tcW w:w="0" w:type="auto"/>
            <w:noWrap w:val="0"/>
            <w:vAlign w:val="center"/>
          </w:tcPr>
          <w:p w14:paraId="079F8780">
            <w:r>
              <w:rPr>
                <w:rStyle w:val="10"/>
                <w:rFonts w:hint="eastAsia"/>
              </w:rPr>
              <w:t>产品性能:</w:t>
            </w:r>
            <w:r>
              <w:rPr>
                <w:rFonts w:hint="eastAsia"/>
              </w:rPr>
              <w:br w:type="textWrapping"/>
            </w:r>
            <w:r>
              <w:rPr>
                <w:rStyle w:val="11"/>
                <w:rFonts w:hint="eastAsia"/>
              </w:rPr>
              <w:t>本品是一种非选择性触杀型除草剂。</w:t>
            </w:r>
          </w:p>
        </w:tc>
      </w:tr>
      <w:tr w14:paraId="1E6F4AE0">
        <w:tblPrEx>
          <w:tblCellMar>
            <w:top w:w="0" w:type="dxa"/>
            <w:left w:w="0" w:type="dxa"/>
            <w:bottom w:w="0" w:type="dxa"/>
            <w:right w:w="0" w:type="dxa"/>
          </w:tblCellMar>
        </w:tblPrEx>
        <w:trPr>
          <w:wBefore w:w="0" w:type="auto"/>
          <w:tblCellSpacing w:w="0" w:type="dxa"/>
        </w:trPr>
        <w:tc>
          <w:tcPr>
            <w:tcW w:w="0" w:type="auto"/>
            <w:noWrap w:val="0"/>
            <w:vAlign w:val="center"/>
          </w:tcPr>
          <w:p w14:paraId="4BC49918">
            <w:r>
              <w:rPr>
                <w:rStyle w:val="10"/>
                <w:rFonts w:hint="eastAsia"/>
              </w:rPr>
              <w:t>注意事项：</w:t>
            </w:r>
            <w:r>
              <w:rPr>
                <w:rFonts w:hint="eastAsia"/>
              </w:rPr>
              <w:br w:type="textWrapping"/>
            </w:r>
            <w:r>
              <w:rPr>
                <w:rStyle w:val="11"/>
                <w:rFonts w:hint="eastAsia"/>
              </w:rPr>
              <w:t>1. 本品为非选择性除草剂，施药过程中若遇大风、大雨、积水等影响喷雾效果的情形应停止施药，并防止雾滴飘移到其他地块。 2. 如需与其他助剂或药剂混用，请在当地农技人员指导下，先进行小面积试验确认有效性后，科学合理搭配使用。 3. 请在农技人员指导下，根据杂草发生基数、叶龄及种类、施药时天气条件、药械种类等因素科学合理的调整用药剂量、用水量。 4. 施用时尽量做好身体各部位科学合理的防护，采取正确的施药方式。注意个人防护，使用时穿戴长衣、长裤、帽子、口罩、手套等防护措施。穿长衣长裤、戴手套、眼镜、戴口罩等；施药时不能吸烟、饮水等；施药后清洗干净手脸等。 5. 蚕室、桑园附近禁用，鸟类保护区禁用。禁止在河塘等水体中清洗施药器具。施药后及时、细致清洗施药器具，废弃物、用过的容器要妥善处理，不能随意丢弃，也不能做他用。 6. 避免孕妇和哺乳期妇女接触本品。 7. 使用前请仔细阅读此标签，并严格按照标签说明使用。未尽使用情形，请结合当地实际情况，在农业技术人员指导下使用。</w:t>
            </w:r>
          </w:p>
        </w:tc>
      </w:tr>
      <w:tr w14:paraId="7762651F">
        <w:tblPrEx>
          <w:tblCellMar>
            <w:top w:w="0" w:type="dxa"/>
            <w:left w:w="0" w:type="dxa"/>
            <w:bottom w:w="0" w:type="dxa"/>
            <w:right w:w="0" w:type="dxa"/>
          </w:tblCellMar>
        </w:tblPrEx>
        <w:trPr>
          <w:wBefore w:w="0" w:type="auto"/>
          <w:tblCellSpacing w:w="0" w:type="dxa"/>
        </w:trPr>
        <w:tc>
          <w:tcPr>
            <w:tcW w:w="0" w:type="auto"/>
            <w:noWrap w:val="0"/>
            <w:vAlign w:val="center"/>
          </w:tcPr>
          <w:p w14:paraId="5C1F0A56">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6FF0231A">
        <w:tblPrEx>
          <w:tblCellMar>
            <w:top w:w="0" w:type="dxa"/>
            <w:left w:w="0" w:type="dxa"/>
            <w:bottom w:w="0" w:type="dxa"/>
            <w:right w:w="0" w:type="dxa"/>
          </w:tblCellMar>
        </w:tblPrEx>
        <w:trPr>
          <w:wBefore w:w="0" w:type="auto"/>
          <w:tblCellSpacing w:w="0" w:type="dxa"/>
        </w:trPr>
        <w:tc>
          <w:tcPr>
            <w:tcW w:w="0" w:type="auto"/>
            <w:noWrap w:val="0"/>
            <w:vAlign w:val="center"/>
          </w:tcPr>
          <w:p w14:paraId="2B8B5256">
            <w:r>
              <w:rPr>
                <w:rStyle w:val="10"/>
                <w:rFonts w:hint="eastAsia"/>
              </w:rPr>
              <w:t>储存和运输方法：</w:t>
            </w:r>
            <w:r>
              <w:rPr>
                <w:rFonts w:hint="eastAsia"/>
              </w:rPr>
              <w:br w:type="textWrapping"/>
            </w:r>
            <w:r>
              <w:rPr>
                <w:rStyle w:val="11"/>
                <w:rFonts w:hint="eastAsia"/>
              </w:rPr>
              <w:t>本品应贮存于干燥、阴凉、通风、防雨处，远离火源或热源。置于儿童、无关人员触及不到之处，并加锁。勿与食品、饮料、饲料、粮食等同贮同运。装卸时，注意轻拿轻放，禁止说笑打闹、吃、喝、抽烟；运输时要防潮防晒。</w:t>
            </w:r>
          </w:p>
        </w:tc>
      </w:tr>
      <w:tr w14:paraId="56C8D778">
        <w:tblPrEx>
          <w:tblCellMar>
            <w:top w:w="0" w:type="dxa"/>
            <w:left w:w="0" w:type="dxa"/>
            <w:bottom w:w="0" w:type="dxa"/>
            <w:right w:w="0" w:type="dxa"/>
          </w:tblCellMar>
        </w:tblPrEx>
        <w:trPr>
          <w:wBefore w:w="0" w:type="auto"/>
          <w:tblCellSpacing w:w="0" w:type="dxa"/>
        </w:trPr>
        <w:tc>
          <w:tcPr>
            <w:tcW w:w="0" w:type="auto"/>
            <w:noWrap w:val="0"/>
            <w:vAlign w:val="center"/>
          </w:tcPr>
          <w:p w14:paraId="18AA8FD7">
            <w:r>
              <w:rPr>
                <w:rStyle w:val="10"/>
                <w:rFonts w:hint="eastAsia"/>
              </w:rPr>
              <w:t>质量保证期：</w:t>
            </w:r>
            <w:r>
              <w:rPr>
                <w:rStyle w:val="11"/>
                <w:rFonts w:hint="eastAsia"/>
              </w:rPr>
              <w:t>2年</w:t>
            </w:r>
          </w:p>
        </w:tc>
      </w:tr>
      <w:tr w14:paraId="60BB3342">
        <w:tblPrEx>
          <w:tblCellMar>
            <w:top w:w="0" w:type="dxa"/>
            <w:left w:w="0" w:type="dxa"/>
            <w:bottom w:w="0" w:type="dxa"/>
            <w:right w:w="0" w:type="dxa"/>
          </w:tblCellMar>
        </w:tblPrEx>
        <w:trPr>
          <w:wBefore w:w="0" w:type="auto"/>
          <w:tblCellSpacing w:w="0" w:type="dxa"/>
        </w:trPr>
        <w:tc>
          <w:tcPr>
            <w:tcW w:w="0" w:type="auto"/>
            <w:noWrap w:val="0"/>
            <w:vAlign w:val="center"/>
          </w:tcPr>
          <w:p w14:paraId="2D6E7CB8">
            <w:r>
              <w:rPr>
                <w:rStyle w:val="10"/>
                <w:rFonts w:hint="eastAsia"/>
              </w:rPr>
              <w:t>备注：</w:t>
            </w:r>
            <w:r>
              <w:rPr>
                <w:rFonts w:hint="eastAsia"/>
              </w:rPr>
              <w:br w:type="textWrapping"/>
            </w:r>
            <w:r>
              <w:rPr>
                <w:rStyle w:val="11"/>
                <w:rFonts w:hint="eastAsia"/>
              </w:rPr>
              <w:t>精草铵膦铵盐21.9%。</w:t>
            </w:r>
          </w:p>
        </w:tc>
      </w:tr>
    </w:tbl>
    <w:p w14:paraId="75E6E598">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0D77B7">
        <w:tblPrEx>
          <w:tblCellMar>
            <w:top w:w="0" w:type="dxa"/>
            <w:left w:w="0" w:type="dxa"/>
            <w:bottom w:w="0" w:type="dxa"/>
            <w:right w:w="0" w:type="dxa"/>
          </w:tblCellMar>
        </w:tblPrEx>
        <w:trPr>
          <w:wBefore w:w="0" w:type="auto"/>
          <w:tblCellSpacing w:w="0" w:type="dxa"/>
        </w:trPr>
        <w:tc>
          <w:tcPr>
            <w:tcW w:w="0" w:type="auto"/>
            <w:noWrap w:val="0"/>
            <w:vAlign w:val="center"/>
          </w:tcPr>
          <w:p w14:paraId="4E0823B3">
            <w:r>
              <w:rPr>
                <w:rStyle w:val="10"/>
                <w:rFonts w:hint="eastAsia"/>
              </w:rPr>
              <w:t>登记证号：</w:t>
            </w:r>
            <w:r>
              <w:rPr>
                <w:rFonts w:hint="eastAsia"/>
              </w:rPr>
              <w:t>PD20211932</w:t>
            </w:r>
          </w:p>
        </w:tc>
      </w:tr>
      <w:tr w14:paraId="492E4A2C">
        <w:tblPrEx>
          <w:tblCellMar>
            <w:top w:w="0" w:type="dxa"/>
            <w:left w:w="0" w:type="dxa"/>
            <w:bottom w:w="0" w:type="dxa"/>
            <w:right w:w="0" w:type="dxa"/>
          </w:tblCellMar>
        </w:tblPrEx>
        <w:trPr>
          <w:wBefore w:w="0" w:type="auto"/>
          <w:tblCellSpacing w:w="0" w:type="dxa"/>
        </w:trPr>
        <w:tc>
          <w:tcPr>
            <w:tcW w:w="0" w:type="auto"/>
            <w:noWrap w:val="0"/>
            <w:vAlign w:val="center"/>
          </w:tcPr>
          <w:p w14:paraId="34BC4212">
            <w:r>
              <w:rPr>
                <w:rStyle w:val="10"/>
                <w:rFonts w:hint="eastAsia"/>
              </w:rPr>
              <w:t>登记证持有人：</w:t>
            </w:r>
            <w:r>
              <w:rPr>
                <w:rFonts w:hint="eastAsia"/>
              </w:rPr>
              <w:t>永农生物科学有限公司</w:t>
            </w:r>
          </w:p>
        </w:tc>
      </w:tr>
      <w:tr w14:paraId="0CDB734A">
        <w:tblPrEx>
          <w:tblCellMar>
            <w:top w:w="0" w:type="dxa"/>
            <w:left w:w="0" w:type="dxa"/>
            <w:bottom w:w="0" w:type="dxa"/>
            <w:right w:w="0" w:type="dxa"/>
          </w:tblCellMar>
        </w:tblPrEx>
        <w:trPr>
          <w:wBefore w:w="0" w:type="auto"/>
          <w:tblCellSpacing w:w="0" w:type="dxa"/>
        </w:trPr>
        <w:tc>
          <w:tcPr>
            <w:tcW w:w="0" w:type="auto"/>
            <w:noWrap w:val="0"/>
            <w:vAlign w:val="center"/>
          </w:tcPr>
          <w:p w14:paraId="46C7746D">
            <w:r>
              <w:rPr>
                <w:rStyle w:val="10"/>
                <w:rFonts w:hint="eastAsia"/>
              </w:rPr>
              <w:t>农药名称：</w:t>
            </w:r>
            <w:r>
              <w:rPr>
                <w:rFonts w:hint="eastAsia"/>
              </w:rPr>
              <w:t>咪鲜胺</w:t>
            </w:r>
          </w:p>
        </w:tc>
      </w:tr>
      <w:tr w14:paraId="56F0C314">
        <w:tblPrEx>
          <w:tblCellMar>
            <w:top w:w="0" w:type="dxa"/>
            <w:left w:w="0" w:type="dxa"/>
            <w:bottom w:w="0" w:type="dxa"/>
            <w:right w:w="0" w:type="dxa"/>
          </w:tblCellMar>
        </w:tblPrEx>
        <w:trPr>
          <w:wBefore w:w="0" w:type="auto"/>
          <w:tblCellSpacing w:w="0" w:type="dxa"/>
        </w:trPr>
        <w:tc>
          <w:tcPr>
            <w:tcW w:w="0" w:type="auto"/>
            <w:noWrap w:val="0"/>
            <w:vAlign w:val="center"/>
          </w:tcPr>
          <w:p w14:paraId="5FE1E7DD">
            <w:r>
              <w:rPr>
                <w:rStyle w:val="10"/>
                <w:rFonts w:hint="eastAsia"/>
              </w:rPr>
              <w:t>剂型：</w:t>
            </w:r>
            <w:r>
              <w:rPr>
                <w:rFonts w:hint="eastAsia"/>
              </w:rPr>
              <w:t>水乳剂</w:t>
            </w:r>
          </w:p>
        </w:tc>
      </w:tr>
      <w:tr w14:paraId="662F9A40">
        <w:tblPrEx>
          <w:tblCellMar>
            <w:top w:w="0" w:type="dxa"/>
            <w:left w:w="0" w:type="dxa"/>
            <w:bottom w:w="0" w:type="dxa"/>
            <w:right w:w="0" w:type="dxa"/>
          </w:tblCellMar>
        </w:tblPrEx>
        <w:trPr>
          <w:wBefore w:w="0" w:type="auto"/>
          <w:tblCellSpacing w:w="0" w:type="dxa"/>
        </w:trPr>
        <w:tc>
          <w:tcPr>
            <w:tcW w:w="0" w:type="auto"/>
            <w:noWrap w:val="0"/>
            <w:vAlign w:val="center"/>
          </w:tcPr>
          <w:p w14:paraId="48BB98A4">
            <w:r>
              <w:rPr>
                <w:rStyle w:val="10"/>
                <w:rFonts w:hint="eastAsia"/>
              </w:rPr>
              <w:t>毒性及其标识：</w:t>
            </w:r>
            <w:r>
              <w:rPr>
                <w:rFonts w:hint="eastAsia"/>
              </w:rPr>
              <w:t xml:space="preserve"> </w:t>
            </w:r>
            <w:r>
              <w:rPr>
                <w:lang/>
              </w:rPr>
              <w:drawing>
                <wp:inline distT="0" distB="0" distL="114300" distR="114300">
                  <wp:extent cx="476250" cy="323850"/>
                  <wp:effectExtent l="0" t="0" r="0" b="0"/>
                  <wp:docPr id="616" name="图片 61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61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7E0EA26">
        <w:tblPrEx>
          <w:tblCellMar>
            <w:top w:w="0" w:type="dxa"/>
            <w:left w:w="0" w:type="dxa"/>
            <w:bottom w:w="0" w:type="dxa"/>
            <w:right w:w="0" w:type="dxa"/>
          </w:tblCellMar>
        </w:tblPrEx>
        <w:trPr>
          <w:wBefore w:w="0" w:type="auto"/>
          <w:tblCellSpacing w:w="0" w:type="dxa"/>
        </w:trPr>
        <w:tc>
          <w:tcPr>
            <w:tcW w:w="0" w:type="auto"/>
            <w:noWrap w:val="0"/>
            <w:vAlign w:val="center"/>
          </w:tcPr>
          <w:p w14:paraId="3B61C6DE">
            <w:r>
              <w:rPr>
                <w:rStyle w:val="10"/>
                <w:rFonts w:hint="eastAsia"/>
              </w:rPr>
              <w:t>总有效成分含量：</w:t>
            </w:r>
            <w:r>
              <w:rPr>
                <w:rFonts w:hint="eastAsia"/>
              </w:rPr>
              <w:t>450克/升</w:t>
            </w:r>
          </w:p>
        </w:tc>
      </w:tr>
      <w:tr w14:paraId="18801FED">
        <w:tblPrEx>
          <w:tblCellMar>
            <w:top w:w="0" w:type="dxa"/>
            <w:left w:w="0" w:type="dxa"/>
            <w:bottom w:w="0" w:type="dxa"/>
            <w:right w:w="0" w:type="dxa"/>
          </w:tblCellMar>
        </w:tblPrEx>
        <w:trPr>
          <w:wBefore w:w="0" w:type="auto"/>
          <w:tblCellSpacing w:w="0" w:type="dxa"/>
        </w:trPr>
        <w:tc>
          <w:tcPr>
            <w:tcW w:w="0" w:type="auto"/>
            <w:noWrap w:val="0"/>
            <w:vAlign w:val="center"/>
          </w:tcPr>
          <w:p w14:paraId="0C32BBD9">
            <w:r>
              <w:rPr>
                <w:rFonts w:hint="eastAsia"/>
              </w:rPr>
              <w:t xml:space="preserve">有效成分及其含量： </w:t>
            </w:r>
          </w:p>
          <w:p w14:paraId="0C2B3B8E">
            <w:r>
              <w:rPr>
                <w:rFonts w:hint="eastAsia"/>
              </w:rPr>
              <w:t xml:space="preserve">    咪鲜胺450克/升    </w:t>
            </w:r>
          </w:p>
        </w:tc>
      </w:tr>
      <w:tr w14:paraId="438F4C89">
        <w:tblPrEx>
          <w:tblCellMar>
            <w:top w:w="0" w:type="dxa"/>
            <w:left w:w="0" w:type="dxa"/>
            <w:bottom w:w="0" w:type="dxa"/>
            <w:right w:w="0" w:type="dxa"/>
          </w:tblCellMar>
        </w:tblPrEx>
        <w:trPr>
          <w:wBefore w:w="0" w:type="auto"/>
          <w:tblCellSpacing w:w="0" w:type="dxa"/>
        </w:trPr>
        <w:tc>
          <w:tcPr>
            <w:tcW w:w="0" w:type="auto"/>
            <w:noWrap w:val="0"/>
            <w:vAlign w:val="center"/>
          </w:tcPr>
          <w:p w14:paraId="77A2F53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A4FD7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10374A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0C2911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F8A56EB">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8339B23">
                  <w:r>
                    <w:rPr>
                      <w:rStyle w:val="11"/>
                      <w:rFonts w:hint="eastAsia"/>
                    </w:rPr>
                    <w:t>施用方式</w:t>
                  </w:r>
                </w:p>
              </w:tc>
            </w:tr>
            <w:tr w14:paraId="4547F4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8FA6FC6">
                  <w:r>
                    <w:rPr>
                      <w:rStyle w:val="11"/>
                      <w:rFonts w:hint="eastAsia"/>
                    </w:rPr>
                    <w:t>香蕉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317BC6">
                  <w:r>
                    <w:rPr>
                      <w:rStyle w:val="11"/>
                      <w:rFonts w:hint="eastAsia"/>
                    </w:rPr>
                    <w:t>炭疽病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CD4FF7">
                  <w:r>
                    <w:rPr>
                      <w:rStyle w:val="11"/>
                      <w:rFonts w:hint="eastAsia"/>
                    </w:rPr>
                    <w:t>900-1800倍液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BDED916">
                  <w:r>
                    <w:rPr>
                      <w:rStyle w:val="11"/>
                      <w:rFonts w:hint="eastAsia"/>
                    </w:rPr>
                    <w:t>浸果</w:t>
                  </w:r>
                </w:p>
              </w:tc>
            </w:tr>
          </w:tbl>
          <w:p w14:paraId="3DB35288">
            <w:pPr>
              <w:rPr>
                <w:rFonts w:ascii="Times New Roman" w:hAnsi="Times New Roman" w:cs="Times New Roman"/>
                <w:sz w:val="20"/>
                <w:szCs w:val="20"/>
              </w:rPr>
            </w:pPr>
          </w:p>
        </w:tc>
      </w:tr>
      <w:tr w14:paraId="359DF96C">
        <w:tblPrEx>
          <w:tblCellMar>
            <w:top w:w="0" w:type="dxa"/>
            <w:left w:w="0" w:type="dxa"/>
            <w:bottom w:w="0" w:type="dxa"/>
            <w:right w:w="0" w:type="dxa"/>
          </w:tblCellMar>
        </w:tblPrEx>
        <w:trPr>
          <w:wBefore w:w="0" w:type="auto"/>
          <w:tblCellSpacing w:w="0" w:type="dxa"/>
        </w:trPr>
        <w:tc>
          <w:tcPr>
            <w:tcW w:w="0" w:type="auto"/>
            <w:noWrap w:val="0"/>
            <w:vAlign w:val="center"/>
          </w:tcPr>
          <w:p w14:paraId="785BECA8">
            <w:r>
              <w:rPr>
                <w:rStyle w:val="10"/>
                <w:rFonts w:hint="eastAsia"/>
              </w:rPr>
              <w:t>使用技术要求:</w:t>
            </w:r>
            <w:r>
              <w:rPr>
                <w:rFonts w:hint="eastAsia"/>
              </w:rPr>
              <w:br w:type="textWrapping"/>
            </w:r>
            <w:r>
              <w:rPr>
                <w:rStyle w:val="11"/>
                <w:rFonts w:hint="eastAsia"/>
              </w:rPr>
              <w:t>1.本品应于香蕉采摘后浸果使用。采收八成熟的香蕉，当天常温药液浸果1～2分钟，捞出晾干后，每小果梳用0.04mm聚乙烯膜（保鲜袋）密封单独包装，放入贮存室内进行常温存放。贮存场所干净整洁、阴凉通风。2. 浸果过程中，要不断搅拌药液，使药液均匀分布并与香蕉果实充分接触。3. 安全间隔期为7天，最多使用1次。</w:t>
            </w:r>
          </w:p>
        </w:tc>
      </w:tr>
      <w:tr w14:paraId="17FF7B1F">
        <w:tblPrEx>
          <w:tblCellMar>
            <w:top w:w="0" w:type="dxa"/>
            <w:left w:w="0" w:type="dxa"/>
            <w:bottom w:w="0" w:type="dxa"/>
            <w:right w:w="0" w:type="dxa"/>
          </w:tblCellMar>
        </w:tblPrEx>
        <w:trPr>
          <w:wBefore w:w="0" w:type="auto"/>
          <w:tblCellSpacing w:w="0" w:type="dxa"/>
        </w:trPr>
        <w:tc>
          <w:tcPr>
            <w:tcW w:w="0" w:type="auto"/>
            <w:noWrap w:val="0"/>
            <w:vAlign w:val="center"/>
          </w:tcPr>
          <w:p w14:paraId="409E345C">
            <w:r>
              <w:rPr>
                <w:rStyle w:val="10"/>
                <w:rFonts w:hint="eastAsia"/>
              </w:rPr>
              <w:t>产品性能:</w:t>
            </w:r>
            <w:r>
              <w:rPr>
                <w:rFonts w:hint="eastAsia"/>
              </w:rPr>
              <w:br w:type="textWrapping"/>
            </w:r>
            <w:r>
              <w:rPr>
                <w:rStyle w:val="11"/>
                <w:rFonts w:hint="eastAsia"/>
              </w:rPr>
              <w:t>本品是咪唑类杀菌剂。对于子囊菌及半知菌引起的多种作物病害有特效。通过抑制甾醇的生物合成而起作用。按登记剂量使用时，对香蕉（果实）炭疽病有较好的防治效果，且对供试香蕉（果实）安全。</w:t>
            </w:r>
          </w:p>
        </w:tc>
      </w:tr>
      <w:tr w14:paraId="5C440B9B">
        <w:tblPrEx>
          <w:tblCellMar>
            <w:top w:w="0" w:type="dxa"/>
            <w:left w:w="0" w:type="dxa"/>
            <w:bottom w:w="0" w:type="dxa"/>
            <w:right w:w="0" w:type="dxa"/>
          </w:tblCellMar>
        </w:tblPrEx>
        <w:trPr>
          <w:wBefore w:w="0" w:type="auto"/>
          <w:tblCellSpacing w:w="0" w:type="dxa"/>
        </w:trPr>
        <w:tc>
          <w:tcPr>
            <w:tcW w:w="0" w:type="auto"/>
            <w:noWrap w:val="0"/>
            <w:vAlign w:val="center"/>
          </w:tcPr>
          <w:p w14:paraId="2809159C">
            <w:r>
              <w:rPr>
                <w:rStyle w:val="10"/>
                <w:rFonts w:hint="eastAsia"/>
              </w:rPr>
              <w:t>注意事项：</w:t>
            </w:r>
            <w:r>
              <w:rPr>
                <w:rFonts w:hint="eastAsia"/>
              </w:rPr>
              <w:br w:type="textWrapping"/>
            </w:r>
            <w:r>
              <w:rPr>
                <w:rStyle w:val="11"/>
                <w:rFonts w:hint="eastAsia"/>
              </w:rPr>
              <w:t>1.本品对鱼类等水生生物有毒，故严禁将浸果后的残余药液倒入江河、湖泊、水渠及水产养殖区域。2.配药和用药时，应戴防护镜、口罩和手套，穿防护服，操作本品时禁止饮食、吸烟和饮水；3.配药时，用清水对盛有药剂的包装瓶至少冲洗3次，并将冲洗液倒入容器中。用过的空包装应压烂或划破后妥善处理，切勿重复使用或它用。禁止将废弃药液倾倒于水产养殖区/河塘等水体;禁止在河塘等水体中清洗配药器具。4.使用药剂后应及时用肥皂和足量清水冲洗手部、面部和其它身体裸露部位，及时清洗受药剂污染的衣物等。5.避免孕妇及哺乳期的妇女接触本品。6.该产品避免与氧化剂接触，属于易燃液体。</w:t>
            </w:r>
          </w:p>
        </w:tc>
      </w:tr>
      <w:tr w14:paraId="4D25848B">
        <w:tblPrEx>
          <w:tblCellMar>
            <w:top w:w="0" w:type="dxa"/>
            <w:left w:w="0" w:type="dxa"/>
            <w:bottom w:w="0" w:type="dxa"/>
            <w:right w:w="0" w:type="dxa"/>
          </w:tblCellMar>
        </w:tblPrEx>
        <w:trPr>
          <w:wBefore w:w="0" w:type="auto"/>
          <w:tblCellSpacing w:w="0" w:type="dxa"/>
        </w:trPr>
        <w:tc>
          <w:tcPr>
            <w:tcW w:w="0" w:type="auto"/>
            <w:noWrap w:val="0"/>
            <w:vAlign w:val="center"/>
          </w:tcPr>
          <w:p w14:paraId="4505C6AA">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立即用大量清水和肥皂冲洗。眼睛溅入：立即用流动清水冲洗不少于15分钟。误食：立即停止服用，用清水充分漱口后，立即携带农药标签到医院就诊。</w:t>
            </w:r>
          </w:p>
        </w:tc>
      </w:tr>
      <w:tr w14:paraId="5FBE7F1E">
        <w:tblPrEx>
          <w:tblCellMar>
            <w:top w:w="0" w:type="dxa"/>
            <w:left w:w="0" w:type="dxa"/>
            <w:bottom w:w="0" w:type="dxa"/>
            <w:right w:w="0" w:type="dxa"/>
          </w:tblCellMar>
        </w:tblPrEx>
        <w:trPr>
          <w:wBefore w:w="0" w:type="auto"/>
          <w:tblCellSpacing w:w="0" w:type="dxa"/>
        </w:trPr>
        <w:tc>
          <w:tcPr>
            <w:tcW w:w="0" w:type="auto"/>
            <w:noWrap w:val="0"/>
            <w:vAlign w:val="center"/>
          </w:tcPr>
          <w:p w14:paraId="2D0361D9">
            <w:r>
              <w:rPr>
                <w:rStyle w:val="10"/>
                <w:rFonts w:hint="eastAsia"/>
              </w:rPr>
              <w:t>储存和运输方法：</w:t>
            </w:r>
            <w:r>
              <w:rPr>
                <w:rFonts w:hint="eastAsia"/>
              </w:rPr>
              <w:br w:type="textWrapping"/>
            </w:r>
            <w:r>
              <w:rPr>
                <w:rStyle w:val="11"/>
                <w:rFonts w:hint="eastAsia"/>
              </w:rPr>
              <w:t>本品应贮存在阴凉、干燥、通风、防雨处，远离火源和热源。置于儿童、无关人员或动物触及不到之处，并加锁保存。勿与食品、饮料、粮食、饲料等物品同贮同运。</w:t>
            </w:r>
          </w:p>
        </w:tc>
      </w:tr>
      <w:tr w14:paraId="03739CA4">
        <w:tblPrEx>
          <w:tblCellMar>
            <w:top w:w="0" w:type="dxa"/>
            <w:left w:w="0" w:type="dxa"/>
            <w:bottom w:w="0" w:type="dxa"/>
            <w:right w:w="0" w:type="dxa"/>
          </w:tblCellMar>
        </w:tblPrEx>
        <w:trPr>
          <w:wBefore w:w="0" w:type="auto"/>
          <w:tblCellSpacing w:w="0" w:type="dxa"/>
        </w:trPr>
        <w:tc>
          <w:tcPr>
            <w:tcW w:w="0" w:type="auto"/>
            <w:noWrap w:val="0"/>
            <w:vAlign w:val="center"/>
          </w:tcPr>
          <w:p w14:paraId="7029EB35">
            <w:r>
              <w:rPr>
                <w:rStyle w:val="10"/>
                <w:rFonts w:hint="eastAsia"/>
              </w:rPr>
              <w:t>质量保证期：</w:t>
            </w:r>
            <w:r>
              <w:rPr>
                <w:rStyle w:val="11"/>
                <w:rFonts w:hint="eastAsia"/>
              </w:rPr>
              <w:t>2年</w:t>
            </w:r>
          </w:p>
        </w:tc>
      </w:tr>
      <w:tr w14:paraId="4C7D6693">
        <w:tblPrEx>
          <w:tblCellMar>
            <w:top w:w="0" w:type="dxa"/>
            <w:left w:w="0" w:type="dxa"/>
            <w:bottom w:w="0" w:type="dxa"/>
            <w:right w:w="0" w:type="dxa"/>
          </w:tblCellMar>
        </w:tblPrEx>
        <w:trPr>
          <w:wBefore w:w="0" w:type="auto"/>
          <w:tblCellSpacing w:w="0" w:type="dxa"/>
        </w:trPr>
        <w:tc>
          <w:tcPr>
            <w:tcW w:w="0" w:type="auto"/>
            <w:noWrap w:val="0"/>
            <w:vAlign w:val="center"/>
          </w:tcPr>
          <w:p w14:paraId="79DF97EF">
            <w:r>
              <w:rPr>
                <w:rStyle w:val="10"/>
                <w:rFonts w:hint="eastAsia"/>
              </w:rPr>
              <w:t>备注：</w:t>
            </w:r>
            <w:r>
              <w:rPr>
                <w:rFonts w:hint="eastAsia"/>
              </w:rPr>
              <w:br w:type="textWrapping"/>
            </w:r>
            <w:r>
              <w:rPr>
                <w:rStyle w:val="11"/>
                <w:rFonts w:hint="eastAsia"/>
              </w:rPr>
              <w:t>质量分数40%。</w:t>
            </w:r>
          </w:p>
        </w:tc>
      </w:tr>
    </w:tbl>
    <w:p w14:paraId="2C01E99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3DC86AF">
        <w:tblPrEx>
          <w:tblCellMar>
            <w:top w:w="0" w:type="dxa"/>
            <w:left w:w="0" w:type="dxa"/>
            <w:bottom w:w="0" w:type="dxa"/>
            <w:right w:w="0" w:type="dxa"/>
          </w:tblCellMar>
        </w:tblPrEx>
        <w:trPr>
          <w:wBefore w:w="0" w:type="auto"/>
          <w:tblCellSpacing w:w="0" w:type="dxa"/>
        </w:trPr>
        <w:tc>
          <w:tcPr>
            <w:tcW w:w="0" w:type="auto"/>
            <w:noWrap w:val="0"/>
            <w:vAlign w:val="center"/>
          </w:tcPr>
          <w:p w14:paraId="46DF8F0B">
            <w:r>
              <w:rPr>
                <w:rStyle w:val="10"/>
                <w:rFonts w:hint="eastAsia"/>
              </w:rPr>
              <w:t>登记证号：</w:t>
            </w:r>
            <w:r>
              <w:rPr>
                <w:rFonts w:hint="eastAsia"/>
              </w:rPr>
              <w:t>PD20211743</w:t>
            </w:r>
          </w:p>
        </w:tc>
      </w:tr>
      <w:tr w14:paraId="4E8598C0">
        <w:tblPrEx>
          <w:tblCellMar>
            <w:top w:w="0" w:type="dxa"/>
            <w:left w:w="0" w:type="dxa"/>
            <w:bottom w:w="0" w:type="dxa"/>
            <w:right w:w="0" w:type="dxa"/>
          </w:tblCellMar>
        </w:tblPrEx>
        <w:trPr>
          <w:wBefore w:w="0" w:type="auto"/>
          <w:tblCellSpacing w:w="0" w:type="dxa"/>
        </w:trPr>
        <w:tc>
          <w:tcPr>
            <w:tcW w:w="0" w:type="auto"/>
            <w:noWrap w:val="0"/>
            <w:vAlign w:val="center"/>
          </w:tcPr>
          <w:p w14:paraId="0BF4DC54">
            <w:r>
              <w:rPr>
                <w:rStyle w:val="10"/>
                <w:rFonts w:hint="eastAsia"/>
              </w:rPr>
              <w:t>登记证持有人：</w:t>
            </w:r>
            <w:r>
              <w:rPr>
                <w:rFonts w:hint="eastAsia"/>
              </w:rPr>
              <w:t>顺毅股份有限公司</w:t>
            </w:r>
          </w:p>
        </w:tc>
      </w:tr>
      <w:tr w14:paraId="4CD174E1">
        <w:tblPrEx>
          <w:tblCellMar>
            <w:top w:w="0" w:type="dxa"/>
            <w:left w:w="0" w:type="dxa"/>
            <w:bottom w:w="0" w:type="dxa"/>
            <w:right w:w="0" w:type="dxa"/>
          </w:tblCellMar>
        </w:tblPrEx>
        <w:trPr>
          <w:wBefore w:w="0" w:type="auto"/>
          <w:tblCellSpacing w:w="0" w:type="dxa"/>
        </w:trPr>
        <w:tc>
          <w:tcPr>
            <w:tcW w:w="0" w:type="auto"/>
            <w:noWrap w:val="0"/>
            <w:vAlign w:val="center"/>
          </w:tcPr>
          <w:p w14:paraId="4DA74BD8">
            <w:r>
              <w:rPr>
                <w:rStyle w:val="10"/>
                <w:rFonts w:hint="eastAsia"/>
              </w:rPr>
              <w:t>农药名称：</w:t>
            </w:r>
            <w:r>
              <w:rPr>
                <w:rFonts w:hint="eastAsia"/>
              </w:rPr>
              <w:t>甲氨基阿维菌素苯甲酸盐</w:t>
            </w:r>
          </w:p>
        </w:tc>
      </w:tr>
      <w:tr w14:paraId="63B43162">
        <w:tblPrEx>
          <w:tblCellMar>
            <w:top w:w="0" w:type="dxa"/>
            <w:left w:w="0" w:type="dxa"/>
            <w:bottom w:w="0" w:type="dxa"/>
            <w:right w:w="0" w:type="dxa"/>
          </w:tblCellMar>
        </w:tblPrEx>
        <w:trPr>
          <w:wBefore w:w="0" w:type="auto"/>
          <w:tblCellSpacing w:w="0" w:type="dxa"/>
        </w:trPr>
        <w:tc>
          <w:tcPr>
            <w:tcW w:w="0" w:type="auto"/>
            <w:noWrap w:val="0"/>
            <w:vAlign w:val="center"/>
          </w:tcPr>
          <w:p w14:paraId="5E5DADF8">
            <w:r>
              <w:rPr>
                <w:rStyle w:val="10"/>
                <w:rFonts w:hint="eastAsia"/>
              </w:rPr>
              <w:t>剂型：</w:t>
            </w:r>
            <w:r>
              <w:rPr>
                <w:rFonts w:hint="eastAsia"/>
              </w:rPr>
              <w:t>可溶粒剂</w:t>
            </w:r>
          </w:p>
        </w:tc>
      </w:tr>
      <w:tr w14:paraId="34DA06E8">
        <w:tblPrEx>
          <w:tblCellMar>
            <w:top w:w="0" w:type="dxa"/>
            <w:left w:w="0" w:type="dxa"/>
            <w:bottom w:w="0" w:type="dxa"/>
            <w:right w:w="0" w:type="dxa"/>
          </w:tblCellMar>
        </w:tblPrEx>
        <w:trPr>
          <w:wBefore w:w="0" w:type="auto"/>
          <w:tblCellSpacing w:w="0" w:type="dxa"/>
        </w:trPr>
        <w:tc>
          <w:tcPr>
            <w:tcW w:w="0" w:type="auto"/>
            <w:noWrap w:val="0"/>
            <w:vAlign w:val="center"/>
          </w:tcPr>
          <w:p w14:paraId="4DF11428">
            <w:r>
              <w:rPr>
                <w:rStyle w:val="10"/>
                <w:rFonts w:hint="eastAsia"/>
              </w:rPr>
              <w:t>毒性及其标识：</w:t>
            </w:r>
            <w:r>
              <w:rPr>
                <w:rFonts w:hint="eastAsia"/>
              </w:rPr>
              <w:t xml:space="preserve"> </w:t>
            </w:r>
            <w:r>
              <w:rPr>
                <w:lang/>
              </w:rPr>
              <w:drawing>
                <wp:inline distT="0" distB="0" distL="114300" distR="114300">
                  <wp:extent cx="476250" cy="323850"/>
                  <wp:effectExtent l="0" t="0" r="0" b="0"/>
                  <wp:docPr id="617" name="图片 61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AB2A4C6">
        <w:tblPrEx>
          <w:tblCellMar>
            <w:top w:w="0" w:type="dxa"/>
            <w:left w:w="0" w:type="dxa"/>
            <w:bottom w:w="0" w:type="dxa"/>
            <w:right w:w="0" w:type="dxa"/>
          </w:tblCellMar>
        </w:tblPrEx>
        <w:trPr>
          <w:wBefore w:w="0" w:type="auto"/>
          <w:tblCellSpacing w:w="0" w:type="dxa"/>
        </w:trPr>
        <w:tc>
          <w:tcPr>
            <w:tcW w:w="0" w:type="auto"/>
            <w:noWrap w:val="0"/>
            <w:vAlign w:val="center"/>
          </w:tcPr>
          <w:p w14:paraId="335DA81C">
            <w:r>
              <w:rPr>
                <w:rStyle w:val="10"/>
                <w:rFonts w:hint="eastAsia"/>
              </w:rPr>
              <w:t>总有效成分含量：</w:t>
            </w:r>
            <w:r>
              <w:rPr>
                <w:rFonts w:hint="eastAsia"/>
              </w:rPr>
              <w:t>5%</w:t>
            </w:r>
          </w:p>
        </w:tc>
      </w:tr>
      <w:tr w14:paraId="5AE397FA">
        <w:tblPrEx>
          <w:tblCellMar>
            <w:top w:w="0" w:type="dxa"/>
            <w:left w:w="0" w:type="dxa"/>
            <w:bottom w:w="0" w:type="dxa"/>
            <w:right w:w="0" w:type="dxa"/>
          </w:tblCellMar>
        </w:tblPrEx>
        <w:trPr>
          <w:wBefore w:w="0" w:type="auto"/>
          <w:tblCellSpacing w:w="0" w:type="dxa"/>
        </w:trPr>
        <w:tc>
          <w:tcPr>
            <w:tcW w:w="0" w:type="auto"/>
            <w:noWrap w:val="0"/>
            <w:vAlign w:val="center"/>
          </w:tcPr>
          <w:p w14:paraId="3345D126">
            <w:r>
              <w:rPr>
                <w:rFonts w:hint="eastAsia"/>
              </w:rPr>
              <w:t xml:space="preserve">有效成分及其含量： </w:t>
            </w:r>
          </w:p>
          <w:p w14:paraId="1E45892E">
            <w:r>
              <w:rPr>
                <w:rFonts w:hint="eastAsia"/>
              </w:rPr>
              <w:t xml:space="preserve">    甲氨基阿维菌素5%    </w:t>
            </w:r>
          </w:p>
        </w:tc>
      </w:tr>
      <w:tr w14:paraId="0FB65DA6">
        <w:tblPrEx>
          <w:tblCellMar>
            <w:top w:w="0" w:type="dxa"/>
            <w:left w:w="0" w:type="dxa"/>
            <w:bottom w:w="0" w:type="dxa"/>
            <w:right w:w="0" w:type="dxa"/>
          </w:tblCellMar>
        </w:tblPrEx>
        <w:trPr>
          <w:wBefore w:w="0" w:type="auto"/>
          <w:tblCellSpacing w:w="0" w:type="dxa"/>
        </w:trPr>
        <w:tc>
          <w:tcPr>
            <w:tcW w:w="0" w:type="auto"/>
            <w:noWrap w:val="0"/>
            <w:vAlign w:val="center"/>
          </w:tcPr>
          <w:p w14:paraId="4F70CC7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8C454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62875926">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63223AC">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2C7393A7">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0450F447">
                  <w:r>
                    <w:rPr>
                      <w:rStyle w:val="11"/>
                      <w:rFonts w:hint="eastAsia"/>
                    </w:rPr>
                    <w:t>施用方式</w:t>
                  </w:r>
                </w:p>
              </w:tc>
            </w:tr>
            <w:tr w14:paraId="359691D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75900E3">
                  <w:r>
                    <w:rPr>
                      <w:rStyle w:val="11"/>
                      <w:rFonts w:hint="eastAsia"/>
                    </w:rPr>
                    <w:t>玉米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22A275C">
                  <w:r>
                    <w:rPr>
                      <w:rStyle w:val="11"/>
                      <w:rFonts w:hint="eastAsia"/>
                    </w:rPr>
                    <w:t>玉米螟</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2137ED">
                  <w:r>
                    <w:rPr>
                      <w:rStyle w:val="11"/>
                      <w:rFonts w:hint="eastAsia"/>
                    </w:rPr>
                    <w:t>10-15克/亩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2B43D8">
                  <w:r>
                    <w:rPr>
                      <w:rStyle w:val="11"/>
                      <w:rFonts w:hint="eastAsia"/>
                    </w:rPr>
                    <w:t>喷雾</w:t>
                  </w:r>
                </w:p>
              </w:tc>
            </w:tr>
          </w:tbl>
          <w:p w14:paraId="30CC43C0">
            <w:pPr>
              <w:rPr>
                <w:rFonts w:ascii="Times New Roman" w:hAnsi="Times New Roman" w:cs="Times New Roman"/>
                <w:sz w:val="20"/>
                <w:szCs w:val="20"/>
              </w:rPr>
            </w:pPr>
          </w:p>
        </w:tc>
      </w:tr>
      <w:tr w14:paraId="37AD7EBB">
        <w:tblPrEx>
          <w:tblCellMar>
            <w:top w:w="0" w:type="dxa"/>
            <w:left w:w="0" w:type="dxa"/>
            <w:bottom w:w="0" w:type="dxa"/>
            <w:right w:w="0" w:type="dxa"/>
          </w:tblCellMar>
        </w:tblPrEx>
        <w:trPr>
          <w:wBefore w:w="0" w:type="auto"/>
          <w:tblCellSpacing w:w="0" w:type="dxa"/>
        </w:trPr>
        <w:tc>
          <w:tcPr>
            <w:tcW w:w="0" w:type="auto"/>
            <w:noWrap w:val="0"/>
            <w:vAlign w:val="center"/>
          </w:tcPr>
          <w:p w14:paraId="4C1A7216">
            <w:r>
              <w:rPr>
                <w:rStyle w:val="10"/>
                <w:rFonts w:hint="eastAsia"/>
              </w:rPr>
              <w:t>使用技术要求:</w:t>
            </w:r>
            <w:r>
              <w:rPr>
                <w:rFonts w:hint="eastAsia"/>
              </w:rPr>
              <w:br w:type="textWrapping"/>
            </w:r>
            <w:r>
              <w:rPr>
                <w:rStyle w:val="11"/>
                <w:rFonts w:hint="eastAsia"/>
              </w:rPr>
              <w:t>1. 于玉米螟卵孵盛期至低龄幼虫发生初期喷雾施药1次；2.本产品在玉米上使用的安全间隔期为14天，每季最多使用1次；3.对当茬作物以及后茬作物无不良影响；4.大风天或者预计1小时内降雨，请勿施药。</w:t>
            </w:r>
          </w:p>
        </w:tc>
      </w:tr>
      <w:tr w14:paraId="2D7113A0">
        <w:tblPrEx>
          <w:tblCellMar>
            <w:top w:w="0" w:type="dxa"/>
            <w:left w:w="0" w:type="dxa"/>
            <w:bottom w:w="0" w:type="dxa"/>
            <w:right w:w="0" w:type="dxa"/>
          </w:tblCellMar>
        </w:tblPrEx>
        <w:trPr>
          <w:wBefore w:w="0" w:type="auto"/>
          <w:tblCellSpacing w:w="0" w:type="dxa"/>
        </w:trPr>
        <w:tc>
          <w:tcPr>
            <w:tcW w:w="0" w:type="auto"/>
            <w:noWrap w:val="0"/>
            <w:vAlign w:val="center"/>
          </w:tcPr>
          <w:p w14:paraId="1A932BBE">
            <w:r>
              <w:rPr>
                <w:rStyle w:val="10"/>
                <w:rFonts w:hint="eastAsia"/>
              </w:rPr>
              <w:t>产品性能:</w:t>
            </w:r>
            <w:r>
              <w:rPr>
                <w:rFonts w:hint="eastAsia"/>
              </w:rPr>
              <w:br w:type="textWrapping"/>
            </w:r>
            <w:r>
              <w:rPr>
                <w:rStyle w:val="11"/>
                <w:rFonts w:hint="eastAsia"/>
              </w:rPr>
              <w:t>本品是大环内酯类杀虫剂，具有胃毒、触杀作用，并能有效地渗入作物表皮组织，具有较长持效期。作用机理是增强神经递质如谷氨酸盐和γ-氨基丁酸的作用，从而使大量的氯离子进入神经细胞，使细胞功能丧失，扰乱神经传导，幼虫在接触药剂后很快停止取食，发生不可逆转的麻痹击倒，对防治玉米螟虫有较好效果。</w:t>
            </w:r>
          </w:p>
        </w:tc>
      </w:tr>
      <w:tr w14:paraId="1EE48ACD">
        <w:tblPrEx>
          <w:tblCellMar>
            <w:top w:w="0" w:type="dxa"/>
            <w:left w:w="0" w:type="dxa"/>
            <w:bottom w:w="0" w:type="dxa"/>
            <w:right w:w="0" w:type="dxa"/>
          </w:tblCellMar>
        </w:tblPrEx>
        <w:trPr>
          <w:wBefore w:w="0" w:type="auto"/>
          <w:tblCellSpacing w:w="0" w:type="dxa"/>
        </w:trPr>
        <w:tc>
          <w:tcPr>
            <w:tcW w:w="0" w:type="auto"/>
            <w:noWrap w:val="0"/>
            <w:vAlign w:val="center"/>
          </w:tcPr>
          <w:p w14:paraId="2AE252BC">
            <w:r>
              <w:rPr>
                <w:rStyle w:val="10"/>
                <w:rFonts w:hint="eastAsia"/>
              </w:rPr>
              <w:t>注意事项：</w:t>
            </w:r>
            <w:r>
              <w:rPr>
                <w:rFonts w:hint="eastAsia"/>
              </w:rPr>
              <w:br w:type="textWrapping"/>
            </w:r>
            <w:r>
              <w:rPr>
                <w:rStyle w:val="11"/>
                <w:rFonts w:hint="eastAsia"/>
              </w:rPr>
              <w:t>1.本产品对蜜蜂、鱼等水生生物高毒，对家蚕剧毒，（周围）开花植物花期禁用，使用时应密切关注对附近蜂群的影响；开花植物花期、赤眼蜂等天敌放飞区域禁用；蚕室和桑园附近禁用，远离水产养殖区施药，禁止在河塘等水体中清洗施药器械；2.剩余的药剂用专用容器回收处理，用过的包装物应妥善处理，不可挪做他用，也不可随意丢弃；3. 本品对眼睛有刺激性，使用时避免接触眼睛，穿戴长衣、长裤、帽子、口罩、手套等防护措施。施药期间不可吃东西和饮水；施药后应及时洗手和洗脸。4.本产品不可与呈碱性的农药等物质混合使用，为延缓抗性的发生，建议与其它作用机制不同的杀虫剂轮换使用；5.避免在高温下施药，傍晚使用效果更佳；6.孕妇及哺乳期妇女禁止接触。</w:t>
            </w:r>
          </w:p>
        </w:tc>
      </w:tr>
      <w:tr w14:paraId="18D34CD2">
        <w:tblPrEx>
          <w:tblCellMar>
            <w:top w:w="0" w:type="dxa"/>
            <w:left w:w="0" w:type="dxa"/>
            <w:bottom w:w="0" w:type="dxa"/>
            <w:right w:w="0" w:type="dxa"/>
          </w:tblCellMar>
        </w:tblPrEx>
        <w:trPr>
          <w:wBefore w:w="0" w:type="auto"/>
          <w:tblCellSpacing w:w="0" w:type="dxa"/>
        </w:trPr>
        <w:tc>
          <w:tcPr>
            <w:tcW w:w="0" w:type="auto"/>
            <w:noWrap w:val="0"/>
            <w:vAlign w:val="center"/>
          </w:tcPr>
          <w:p w14:paraId="4D88D7CE">
            <w:r>
              <w:rPr>
                <w:rStyle w:val="10"/>
                <w:rFonts w:hint="eastAsia"/>
              </w:rPr>
              <w:t>中毒急救措施：</w:t>
            </w:r>
            <w:r>
              <w:rPr>
                <w:rFonts w:hint="eastAsia"/>
              </w:rPr>
              <w:br w:type="textWrapping"/>
            </w:r>
            <w:r>
              <w:rPr>
                <w:rStyle w:val="11"/>
                <w:rFonts w:hint="eastAsia"/>
              </w:rPr>
              <w:t>1.中毒症状：早期症状为瞳孔放大，行动失调，肌肉颤抖，严重时导致呕吐；2.如误服，立即携标签送医院引吐并给患者服用吐根糖浆或麻黄素，并迅速就医，但切勿给已昏迷的患者喂任何东西或催吐。抢救时避免给患者使用增强γ-氨基丁酸活性的药物（如巴比妥、丙戊酸等）；3.如吸入，请及时转移到清新空气流通处；4.如眼睛溅入，用大量流动清水冲洗至少15分钟；5.如皮肤粘附，立即肥皂水和清水彻底清洗。</w:t>
            </w:r>
          </w:p>
        </w:tc>
      </w:tr>
      <w:tr w14:paraId="0EF9D5D9">
        <w:tblPrEx>
          <w:tblCellMar>
            <w:top w:w="0" w:type="dxa"/>
            <w:left w:w="0" w:type="dxa"/>
            <w:bottom w:w="0" w:type="dxa"/>
            <w:right w:w="0" w:type="dxa"/>
          </w:tblCellMar>
        </w:tblPrEx>
        <w:trPr>
          <w:wBefore w:w="0" w:type="auto"/>
          <w:tblCellSpacing w:w="0" w:type="dxa"/>
        </w:trPr>
        <w:tc>
          <w:tcPr>
            <w:tcW w:w="0" w:type="auto"/>
            <w:noWrap w:val="0"/>
            <w:vAlign w:val="center"/>
          </w:tcPr>
          <w:p w14:paraId="7CBD1818">
            <w:r>
              <w:rPr>
                <w:rStyle w:val="10"/>
                <w:rFonts w:hint="eastAsia"/>
              </w:rPr>
              <w:t>储存和运输方法：</w:t>
            </w:r>
            <w:r>
              <w:rPr>
                <w:rFonts w:hint="eastAsia"/>
              </w:rPr>
              <w:br w:type="textWrapping"/>
            </w:r>
            <w:r>
              <w:rPr>
                <w:rStyle w:val="11"/>
                <w:rFonts w:hint="eastAsia"/>
              </w:rPr>
              <w:t>1.本产品应储存在阴凉、干燥、通风、防雨处，远离火源和热源，装卸轻拿轻放，切勿倒置，置于儿童接触不到的地方，并加锁保存；2.不能与食品、饮料、粮食、饲料等混合储存；3.运输时，要确保不倾倒、不泄漏、不损坏，防止高温、雨淋。</w:t>
            </w:r>
          </w:p>
        </w:tc>
      </w:tr>
      <w:tr w14:paraId="1AFDFF8F">
        <w:tblPrEx>
          <w:tblCellMar>
            <w:top w:w="0" w:type="dxa"/>
            <w:left w:w="0" w:type="dxa"/>
            <w:bottom w:w="0" w:type="dxa"/>
            <w:right w:w="0" w:type="dxa"/>
          </w:tblCellMar>
        </w:tblPrEx>
        <w:trPr>
          <w:wBefore w:w="0" w:type="auto"/>
          <w:tblCellSpacing w:w="0" w:type="dxa"/>
        </w:trPr>
        <w:tc>
          <w:tcPr>
            <w:tcW w:w="0" w:type="auto"/>
            <w:noWrap w:val="0"/>
            <w:vAlign w:val="center"/>
          </w:tcPr>
          <w:p w14:paraId="17D7D163">
            <w:r>
              <w:rPr>
                <w:rStyle w:val="10"/>
                <w:rFonts w:hint="eastAsia"/>
              </w:rPr>
              <w:t>质量保证期：</w:t>
            </w:r>
            <w:r>
              <w:rPr>
                <w:rStyle w:val="11"/>
                <w:rFonts w:hint="eastAsia"/>
              </w:rPr>
              <w:t>2年</w:t>
            </w:r>
          </w:p>
        </w:tc>
      </w:tr>
      <w:tr w14:paraId="5E8070B0">
        <w:tblPrEx>
          <w:tblCellMar>
            <w:top w:w="0" w:type="dxa"/>
            <w:left w:w="0" w:type="dxa"/>
            <w:bottom w:w="0" w:type="dxa"/>
            <w:right w:w="0" w:type="dxa"/>
          </w:tblCellMar>
        </w:tblPrEx>
        <w:trPr>
          <w:wBefore w:w="0" w:type="auto"/>
          <w:tblCellSpacing w:w="0" w:type="dxa"/>
        </w:trPr>
        <w:tc>
          <w:tcPr>
            <w:tcW w:w="0" w:type="auto"/>
            <w:noWrap w:val="0"/>
            <w:vAlign w:val="center"/>
          </w:tcPr>
          <w:p w14:paraId="5BE11579">
            <w:r>
              <w:rPr>
                <w:rStyle w:val="10"/>
                <w:rFonts w:hint="eastAsia"/>
              </w:rPr>
              <w:t>备注：</w:t>
            </w:r>
            <w:r>
              <w:rPr>
                <w:rFonts w:hint="eastAsia"/>
              </w:rPr>
              <w:br w:type="textWrapping"/>
            </w:r>
            <w:r>
              <w:rPr>
                <w:rStyle w:val="11"/>
                <w:rFonts w:hint="eastAsia"/>
              </w:rPr>
              <w:t>甲氨基阿维菌素苯甲酸盐5.7%。</w:t>
            </w:r>
          </w:p>
        </w:tc>
      </w:tr>
    </w:tbl>
    <w:p w14:paraId="0620004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A72A49B">
        <w:tblPrEx>
          <w:tblCellMar>
            <w:top w:w="0" w:type="dxa"/>
            <w:left w:w="0" w:type="dxa"/>
            <w:bottom w:w="0" w:type="dxa"/>
            <w:right w:w="0" w:type="dxa"/>
          </w:tblCellMar>
        </w:tblPrEx>
        <w:trPr>
          <w:wBefore w:w="0" w:type="auto"/>
          <w:tblCellSpacing w:w="0" w:type="dxa"/>
        </w:trPr>
        <w:tc>
          <w:tcPr>
            <w:tcW w:w="0" w:type="auto"/>
            <w:noWrap w:val="0"/>
            <w:vAlign w:val="center"/>
          </w:tcPr>
          <w:p w14:paraId="4E7E10E5">
            <w:r>
              <w:rPr>
                <w:rStyle w:val="10"/>
                <w:rFonts w:hint="eastAsia"/>
              </w:rPr>
              <w:t>登记证号：</w:t>
            </w:r>
            <w:r>
              <w:rPr>
                <w:rFonts w:hint="eastAsia"/>
              </w:rPr>
              <w:t>PD20211742</w:t>
            </w:r>
          </w:p>
        </w:tc>
      </w:tr>
      <w:tr w14:paraId="3BF1114F">
        <w:tblPrEx>
          <w:tblCellMar>
            <w:top w:w="0" w:type="dxa"/>
            <w:left w:w="0" w:type="dxa"/>
            <w:bottom w:w="0" w:type="dxa"/>
            <w:right w:w="0" w:type="dxa"/>
          </w:tblCellMar>
        </w:tblPrEx>
        <w:trPr>
          <w:wBefore w:w="0" w:type="auto"/>
          <w:tblCellSpacing w:w="0" w:type="dxa"/>
        </w:trPr>
        <w:tc>
          <w:tcPr>
            <w:tcW w:w="0" w:type="auto"/>
            <w:noWrap w:val="0"/>
            <w:vAlign w:val="center"/>
          </w:tcPr>
          <w:p w14:paraId="63FF6BF6">
            <w:r>
              <w:rPr>
                <w:rStyle w:val="10"/>
                <w:rFonts w:hint="eastAsia"/>
              </w:rPr>
              <w:t>登记证持有人：</w:t>
            </w:r>
            <w:r>
              <w:rPr>
                <w:rFonts w:hint="eastAsia"/>
              </w:rPr>
              <w:t>山东大农药业有限公司</w:t>
            </w:r>
          </w:p>
        </w:tc>
      </w:tr>
      <w:tr w14:paraId="0D7BF182">
        <w:tblPrEx>
          <w:tblCellMar>
            <w:top w:w="0" w:type="dxa"/>
            <w:left w:w="0" w:type="dxa"/>
            <w:bottom w:w="0" w:type="dxa"/>
            <w:right w:w="0" w:type="dxa"/>
          </w:tblCellMar>
        </w:tblPrEx>
        <w:trPr>
          <w:wBefore w:w="0" w:type="auto"/>
          <w:tblCellSpacing w:w="0" w:type="dxa"/>
        </w:trPr>
        <w:tc>
          <w:tcPr>
            <w:tcW w:w="0" w:type="auto"/>
            <w:noWrap w:val="0"/>
            <w:vAlign w:val="center"/>
          </w:tcPr>
          <w:p w14:paraId="2660F6EE">
            <w:r>
              <w:rPr>
                <w:rStyle w:val="10"/>
                <w:rFonts w:hint="eastAsia"/>
              </w:rPr>
              <w:t>农药名称：</w:t>
            </w:r>
            <w:r>
              <w:rPr>
                <w:rFonts w:hint="eastAsia"/>
              </w:rPr>
              <w:t>联苯·噻虫胺</w:t>
            </w:r>
          </w:p>
        </w:tc>
      </w:tr>
      <w:tr w14:paraId="77E54E2C">
        <w:tblPrEx>
          <w:tblCellMar>
            <w:top w:w="0" w:type="dxa"/>
            <w:left w:w="0" w:type="dxa"/>
            <w:bottom w:w="0" w:type="dxa"/>
            <w:right w:w="0" w:type="dxa"/>
          </w:tblCellMar>
        </w:tblPrEx>
        <w:trPr>
          <w:wBefore w:w="0" w:type="auto"/>
          <w:tblCellSpacing w:w="0" w:type="dxa"/>
        </w:trPr>
        <w:tc>
          <w:tcPr>
            <w:tcW w:w="0" w:type="auto"/>
            <w:noWrap w:val="0"/>
            <w:vAlign w:val="center"/>
          </w:tcPr>
          <w:p w14:paraId="6740BD38">
            <w:r>
              <w:rPr>
                <w:rStyle w:val="10"/>
                <w:rFonts w:hint="eastAsia"/>
              </w:rPr>
              <w:t>剂型：</w:t>
            </w:r>
            <w:r>
              <w:rPr>
                <w:rFonts w:hint="eastAsia"/>
              </w:rPr>
              <w:t>颗粒剂</w:t>
            </w:r>
          </w:p>
        </w:tc>
      </w:tr>
      <w:tr w14:paraId="3FC3B890">
        <w:tblPrEx>
          <w:tblCellMar>
            <w:top w:w="0" w:type="dxa"/>
            <w:left w:w="0" w:type="dxa"/>
            <w:bottom w:w="0" w:type="dxa"/>
            <w:right w:w="0" w:type="dxa"/>
          </w:tblCellMar>
        </w:tblPrEx>
        <w:trPr>
          <w:wBefore w:w="0" w:type="auto"/>
          <w:tblCellSpacing w:w="0" w:type="dxa"/>
        </w:trPr>
        <w:tc>
          <w:tcPr>
            <w:tcW w:w="0" w:type="auto"/>
            <w:noWrap w:val="0"/>
            <w:vAlign w:val="center"/>
          </w:tcPr>
          <w:p w14:paraId="42AFFCAC">
            <w:r>
              <w:rPr>
                <w:rStyle w:val="10"/>
                <w:rFonts w:hint="eastAsia"/>
              </w:rPr>
              <w:t>毒性及其标识：</w:t>
            </w:r>
            <w:r>
              <w:rPr>
                <w:rFonts w:hint="eastAsia"/>
              </w:rPr>
              <w:t xml:space="preserve"> 微毒 </w:t>
            </w:r>
          </w:p>
        </w:tc>
      </w:tr>
      <w:tr w14:paraId="55E322BB">
        <w:tblPrEx>
          <w:tblCellMar>
            <w:top w:w="0" w:type="dxa"/>
            <w:left w:w="0" w:type="dxa"/>
            <w:bottom w:w="0" w:type="dxa"/>
            <w:right w:w="0" w:type="dxa"/>
          </w:tblCellMar>
        </w:tblPrEx>
        <w:trPr>
          <w:wBefore w:w="0" w:type="auto"/>
          <w:tblCellSpacing w:w="0" w:type="dxa"/>
        </w:trPr>
        <w:tc>
          <w:tcPr>
            <w:tcW w:w="0" w:type="auto"/>
            <w:noWrap w:val="0"/>
            <w:vAlign w:val="center"/>
          </w:tcPr>
          <w:p w14:paraId="61032465">
            <w:r>
              <w:rPr>
                <w:rStyle w:val="10"/>
                <w:rFonts w:hint="eastAsia"/>
              </w:rPr>
              <w:t>总有效成分含量：</w:t>
            </w:r>
            <w:r>
              <w:rPr>
                <w:rFonts w:hint="eastAsia"/>
              </w:rPr>
              <w:t>2%</w:t>
            </w:r>
          </w:p>
        </w:tc>
      </w:tr>
      <w:tr w14:paraId="3F1BE05F">
        <w:tblPrEx>
          <w:tblCellMar>
            <w:top w:w="0" w:type="dxa"/>
            <w:left w:w="0" w:type="dxa"/>
            <w:bottom w:w="0" w:type="dxa"/>
            <w:right w:w="0" w:type="dxa"/>
          </w:tblCellMar>
        </w:tblPrEx>
        <w:trPr>
          <w:wBefore w:w="0" w:type="auto"/>
          <w:tblCellSpacing w:w="0" w:type="dxa"/>
        </w:trPr>
        <w:tc>
          <w:tcPr>
            <w:tcW w:w="0" w:type="auto"/>
            <w:noWrap w:val="0"/>
            <w:vAlign w:val="center"/>
          </w:tcPr>
          <w:p w14:paraId="5A558AFB">
            <w:r>
              <w:rPr>
                <w:rFonts w:hint="eastAsia"/>
              </w:rPr>
              <w:t xml:space="preserve">有效成分及其含量： </w:t>
            </w:r>
          </w:p>
          <w:p w14:paraId="7015088F">
            <w:r>
              <w:rPr>
                <w:rFonts w:hint="eastAsia"/>
              </w:rPr>
              <w:t xml:space="preserve">    联苯菊酯1%    噻虫胺1%    </w:t>
            </w:r>
          </w:p>
        </w:tc>
      </w:tr>
      <w:tr w14:paraId="135BC794">
        <w:tblPrEx>
          <w:tblCellMar>
            <w:top w:w="0" w:type="dxa"/>
            <w:left w:w="0" w:type="dxa"/>
            <w:bottom w:w="0" w:type="dxa"/>
            <w:right w:w="0" w:type="dxa"/>
          </w:tblCellMar>
        </w:tblPrEx>
        <w:trPr>
          <w:wBefore w:w="0" w:type="auto"/>
          <w:tblCellSpacing w:w="0" w:type="dxa"/>
        </w:trPr>
        <w:tc>
          <w:tcPr>
            <w:tcW w:w="0" w:type="auto"/>
            <w:noWrap w:val="0"/>
            <w:vAlign w:val="center"/>
          </w:tcPr>
          <w:p w14:paraId="01AB6DA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6C2C7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76B255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0B89B1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3F9E9A7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65146EFF">
                  <w:r>
                    <w:rPr>
                      <w:rStyle w:val="11"/>
                      <w:rFonts w:hint="eastAsia"/>
                    </w:rPr>
                    <w:t>施用方式</w:t>
                  </w:r>
                </w:p>
              </w:tc>
            </w:tr>
            <w:tr w14:paraId="7E328A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1DDBC65">
                  <w:r>
                    <w:rPr>
                      <w:rStyle w:val="11"/>
                      <w:rFonts w:hint="eastAsia"/>
                    </w:rPr>
                    <w:t>韭菜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4B685F1">
                  <w:r>
                    <w:rPr>
                      <w:rStyle w:val="11"/>
                      <w:rFonts w:hint="eastAsia"/>
                    </w:rPr>
                    <w:t>韭蛆</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B3EA89">
                  <w:r>
                    <w:rPr>
                      <w:rStyle w:val="11"/>
                      <w:rFonts w:hint="eastAsia"/>
                    </w:rPr>
                    <w:t>1500-2000克/亩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C06D59E">
                  <w:r>
                    <w:rPr>
                      <w:rStyle w:val="11"/>
                      <w:rFonts w:hint="eastAsia"/>
                    </w:rPr>
                    <w:t>撒施</w:t>
                  </w:r>
                </w:p>
              </w:tc>
            </w:tr>
          </w:tbl>
          <w:p w14:paraId="4D57B450">
            <w:pPr>
              <w:rPr>
                <w:rFonts w:ascii="Times New Roman" w:hAnsi="Times New Roman" w:cs="Times New Roman"/>
                <w:sz w:val="20"/>
                <w:szCs w:val="20"/>
              </w:rPr>
            </w:pPr>
          </w:p>
        </w:tc>
      </w:tr>
      <w:tr w14:paraId="5CD5B6C8">
        <w:tblPrEx>
          <w:tblCellMar>
            <w:top w:w="0" w:type="dxa"/>
            <w:left w:w="0" w:type="dxa"/>
            <w:bottom w:w="0" w:type="dxa"/>
            <w:right w:w="0" w:type="dxa"/>
          </w:tblCellMar>
        </w:tblPrEx>
        <w:trPr>
          <w:wBefore w:w="0" w:type="auto"/>
          <w:tblCellSpacing w:w="0" w:type="dxa"/>
        </w:trPr>
        <w:tc>
          <w:tcPr>
            <w:tcW w:w="0" w:type="auto"/>
            <w:noWrap w:val="0"/>
            <w:vAlign w:val="center"/>
          </w:tcPr>
          <w:p w14:paraId="580B9391">
            <w:r>
              <w:rPr>
                <w:rStyle w:val="10"/>
                <w:rFonts w:hint="eastAsia"/>
              </w:rPr>
              <w:t>使用技术要求:</w:t>
            </w:r>
            <w:r>
              <w:rPr>
                <w:rFonts w:hint="eastAsia"/>
              </w:rPr>
              <w:br w:type="textWrapping"/>
            </w:r>
            <w:r>
              <w:rPr>
                <w:rStyle w:val="11"/>
                <w:rFonts w:hint="eastAsia"/>
              </w:rPr>
              <w:t>1.于前茬韭菜收割后，拌细沙或细土，混合均匀后撒施。 2.在大风天或预计1小时内降雨，请勿施药。 3.在韭菜上每季作物最多使用1次。</w:t>
            </w:r>
          </w:p>
        </w:tc>
      </w:tr>
      <w:tr w14:paraId="177DBF78">
        <w:tblPrEx>
          <w:tblCellMar>
            <w:top w:w="0" w:type="dxa"/>
            <w:left w:w="0" w:type="dxa"/>
            <w:bottom w:w="0" w:type="dxa"/>
            <w:right w:w="0" w:type="dxa"/>
          </w:tblCellMar>
        </w:tblPrEx>
        <w:trPr>
          <w:wBefore w:w="0" w:type="auto"/>
          <w:tblCellSpacing w:w="0" w:type="dxa"/>
        </w:trPr>
        <w:tc>
          <w:tcPr>
            <w:tcW w:w="0" w:type="auto"/>
            <w:noWrap w:val="0"/>
            <w:vAlign w:val="center"/>
          </w:tcPr>
          <w:p w14:paraId="0F6A0776">
            <w:r>
              <w:rPr>
                <w:rStyle w:val="10"/>
                <w:rFonts w:hint="eastAsia"/>
              </w:rPr>
              <w:t>产品性能:</w:t>
            </w:r>
            <w:r>
              <w:rPr>
                <w:rFonts w:hint="eastAsia"/>
              </w:rPr>
              <w:br w:type="textWrapping"/>
            </w:r>
            <w:r>
              <w:rPr>
                <w:rStyle w:val="11"/>
                <w:rFonts w:hint="eastAsia"/>
              </w:rPr>
              <w:t>本品是联苯菊酯和噻虫胺二元复配的杀虫剂。联苯菊酯是一种拟除虫菊酯类杀虫剂。具有触杀、胃毒等作用。噻虫胺是第二代新烟碱类杀虫剂，二者复配对韭菜根蛆防治效果较好。</w:t>
            </w:r>
          </w:p>
        </w:tc>
      </w:tr>
      <w:tr w14:paraId="4E24033C">
        <w:tblPrEx>
          <w:tblCellMar>
            <w:top w:w="0" w:type="dxa"/>
            <w:left w:w="0" w:type="dxa"/>
            <w:bottom w:w="0" w:type="dxa"/>
            <w:right w:w="0" w:type="dxa"/>
          </w:tblCellMar>
        </w:tblPrEx>
        <w:trPr>
          <w:wBefore w:w="0" w:type="auto"/>
          <w:tblCellSpacing w:w="0" w:type="dxa"/>
        </w:trPr>
        <w:tc>
          <w:tcPr>
            <w:tcW w:w="0" w:type="auto"/>
            <w:noWrap w:val="0"/>
            <w:vAlign w:val="center"/>
          </w:tcPr>
          <w:p w14:paraId="5C1D8DEE">
            <w:r>
              <w:rPr>
                <w:rStyle w:val="10"/>
                <w:rFonts w:hint="eastAsia"/>
              </w:rPr>
              <w:t>注意事项：</w:t>
            </w:r>
            <w:r>
              <w:rPr>
                <w:rFonts w:hint="eastAsia"/>
              </w:rPr>
              <w:br w:type="textWrapping"/>
            </w:r>
            <w:r>
              <w:rPr>
                <w:rStyle w:val="11"/>
                <w:rFonts w:hint="eastAsia"/>
              </w:rPr>
              <w:t>1.建议与其他作用机制不同的杀虫剂轮换使用，以延缓抗性产生。2.不可与碱性农药等物质混合使用。3.操作人员需建议使用时穿戴长衣长裤、帽子、口罩、手套、鞋等，严禁抽烟或饮食；在施药过程中，避免药剂接触皮肤、眼睛和污染衣物，避免吸入药液；施药后应用肥皂和清水彻底清洗暴露在外的皮肤，并及时更换衣物。4.水产养殖区、河塘等水体附近禁用，禁止在河塘等水体中清洗施药器具。药液及其废液不得污染各类水域、土壤等环境。5.（周围）开花植物花期禁用，使用时应密切关注对附近蜂群的影响。</w:t>
            </w:r>
            <w:r>
              <w:rPr>
                <w:rStyle w:val="11"/>
                <w:rFonts w:hint="eastAsia"/>
              </w:rPr>
              <w:t> </w:t>
            </w:r>
            <w:r>
              <w:rPr>
                <w:rStyle w:val="11"/>
                <w:rFonts w:hint="eastAsia"/>
              </w:rPr>
              <w:t>6.用药后包装物及用过的容器应妥善处理，不可做他用，也不可随意丢弃。7.孕妇及哺乳期妇女禁止接触本品。</w:t>
            </w:r>
          </w:p>
        </w:tc>
      </w:tr>
      <w:tr w14:paraId="751EBF74">
        <w:tblPrEx>
          <w:tblCellMar>
            <w:top w:w="0" w:type="dxa"/>
            <w:left w:w="0" w:type="dxa"/>
            <w:bottom w:w="0" w:type="dxa"/>
            <w:right w:w="0" w:type="dxa"/>
          </w:tblCellMar>
        </w:tblPrEx>
        <w:trPr>
          <w:wBefore w:w="0" w:type="auto"/>
          <w:tblCellSpacing w:w="0" w:type="dxa"/>
        </w:trPr>
        <w:tc>
          <w:tcPr>
            <w:tcW w:w="0" w:type="auto"/>
            <w:noWrap w:val="0"/>
            <w:vAlign w:val="center"/>
          </w:tcPr>
          <w:p w14:paraId="5F55A731">
            <w:r>
              <w:rPr>
                <w:rStyle w:val="10"/>
                <w:rFonts w:hint="eastAsia"/>
              </w:rPr>
              <w:t>中毒急救措施：</w:t>
            </w:r>
            <w:r>
              <w:rPr>
                <w:rFonts w:hint="eastAsia"/>
              </w:rPr>
              <w:br w:type="textWrapping"/>
            </w:r>
            <w:r>
              <w:rPr>
                <w:rStyle w:val="11"/>
                <w:rFonts w:hint="eastAsia"/>
              </w:rPr>
              <w:t>本品对眼睛有刺激性。1.用药时或用药后如果感觉不适，立即停止工作，采取急救措施，并携此标签送医就诊；2.皮肤接触：立即脱掉被污染的衣物，用肥皂和大量清水彻底清洗受污染的皮肤。必要时请医生诊治；3.眼睛溅药：立即将眼睑翻开，用清水冲洗至少15分钟，请医生诊治；4.发生吸入：立即将吸入者转移到空气新鲜处，请医生诊治；5.误服：请勿引吐，立即携带标签送医就诊，无专用解毒剂，对症治疗。</w:t>
            </w:r>
          </w:p>
        </w:tc>
      </w:tr>
      <w:tr w14:paraId="041435D9">
        <w:tblPrEx>
          <w:tblCellMar>
            <w:top w:w="0" w:type="dxa"/>
            <w:left w:w="0" w:type="dxa"/>
            <w:bottom w:w="0" w:type="dxa"/>
            <w:right w:w="0" w:type="dxa"/>
          </w:tblCellMar>
        </w:tblPrEx>
        <w:trPr>
          <w:wBefore w:w="0" w:type="auto"/>
          <w:tblCellSpacing w:w="0" w:type="dxa"/>
        </w:trPr>
        <w:tc>
          <w:tcPr>
            <w:tcW w:w="0" w:type="auto"/>
            <w:noWrap w:val="0"/>
            <w:vAlign w:val="center"/>
          </w:tcPr>
          <w:p w14:paraId="12566EAC">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本品应贮存在干燥、阴凉、通风、防雨处，远离火源或热源。置于儿童、无关人员触及不到之处，并加锁。勿与食品、饮料、粮食、饲料等同贮同运。</w:t>
            </w:r>
          </w:p>
        </w:tc>
      </w:tr>
      <w:tr w14:paraId="3D58DF05">
        <w:tblPrEx>
          <w:tblCellMar>
            <w:top w:w="0" w:type="dxa"/>
            <w:left w:w="0" w:type="dxa"/>
            <w:bottom w:w="0" w:type="dxa"/>
            <w:right w:w="0" w:type="dxa"/>
          </w:tblCellMar>
        </w:tblPrEx>
        <w:trPr>
          <w:wBefore w:w="0" w:type="auto"/>
          <w:tblCellSpacing w:w="0" w:type="dxa"/>
        </w:trPr>
        <w:tc>
          <w:tcPr>
            <w:tcW w:w="0" w:type="auto"/>
            <w:noWrap w:val="0"/>
            <w:vAlign w:val="center"/>
          </w:tcPr>
          <w:p w14:paraId="46BF563F">
            <w:r>
              <w:rPr>
                <w:rStyle w:val="10"/>
                <w:rFonts w:hint="eastAsia"/>
              </w:rPr>
              <w:t>质量保证期：</w:t>
            </w:r>
            <w:r>
              <w:rPr>
                <w:rStyle w:val="11"/>
                <w:rFonts w:hint="eastAsia"/>
              </w:rPr>
              <w:t>2年</w:t>
            </w:r>
          </w:p>
        </w:tc>
      </w:tr>
      <w:tr w14:paraId="2F54D430">
        <w:tblPrEx>
          <w:tblCellMar>
            <w:top w:w="0" w:type="dxa"/>
            <w:left w:w="0" w:type="dxa"/>
            <w:bottom w:w="0" w:type="dxa"/>
            <w:right w:w="0" w:type="dxa"/>
          </w:tblCellMar>
        </w:tblPrEx>
        <w:trPr>
          <w:wBefore w:w="0" w:type="auto"/>
          <w:tblCellSpacing w:w="0" w:type="dxa"/>
        </w:trPr>
        <w:tc>
          <w:tcPr>
            <w:tcW w:w="0" w:type="auto"/>
            <w:noWrap w:val="0"/>
            <w:vAlign w:val="center"/>
          </w:tcPr>
          <w:p w14:paraId="2B19E460">
            <w:r>
              <w:rPr>
                <w:rStyle w:val="10"/>
                <w:rFonts w:hint="eastAsia"/>
              </w:rPr>
              <w:t>备注：</w:t>
            </w:r>
          </w:p>
        </w:tc>
      </w:tr>
    </w:tbl>
    <w:p w14:paraId="7693E1A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062D8F0B">
        <w:tblPrEx>
          <w:tblCellMar>
            <w:top w:w="0" w:type="dxa"/>
            <w:left w:w="0" w:type="dxa"/>
            <w:bottom w:w="0" w:type="dxa"/>
            <w:right w:w="0" w:type="dxa"/>
          </w:tblCellMar>
        </w:tblPrEx>
        <w:trPr>
          <w:wBefore w:w="0" w:type="auto"/>
          <w:tblCellSpacing w:w="0" w:type="dxa"/>
        </w:trPr>
        <w:tc>
          <w:tcPr>
            <w:tcW w:w="0" w:type="auto"/>
            <w:noWrap w:val="0"/>
            <w:vAlign w:val="center"/>
          </w:tcPr>
          <w:p w14:paraId="45306816">
            <w:r>
              <w:rPr>
                <w:rStyle w:val="10"/>
                <w:rFonts w:hint="eastAsia"/>
              </w:rPr>
              <w:t>登记证号：</w:t>
            </w:r>
            <w:r>
              <w:rPr>
                <w:rFonts w:hint="eastAsia"/>
              </w:rPr>
              <w:t>PD20212157</w:t>
            </w:r>
          </w:p>
        </w:tc>
      </w:tr>
      <w:tr w14:paraId="0E456D12">
        <w:tblPrEx>
          <w:tblCellMar>
            <w:top w:w="0" w:type="dxa"/>
            <w:left w:w="0" w:type="dxa"/>
            <w:bottom w:w="0" w:type="dxa"/>
            <w:right w:w="0" w:type="dxa"/>
          </w:tblCellMar>
        </w:tblPrEx>
        <w:trPr>
          <w:wBefore w:w="0" w:type="auto"/>
          <w:tblCellSpacing w:w="0" w:type="dxa"/>
        </w:trPr>
        <w:tc>
          <w:tcPr>
            <w:tcW w:w="0" w:type="auto"/>
            <w:noWrap w:val="0"/>
            <w:vAlign w:val="center"/>
          </w:tcPr>
          <w:p w14:paraId="37483256">
            <w:r>
              <w:rPr>
                <w:rStyle w:val="10"/>
                <w:rFonts w:hint="eastAsia"/>
              </w:rPr>
              <w:t>登记证持有人：</w:t>
            </w:r>
            <w:r>
              <w:rPr>
                <w:rFonts w:hint="eastAsia"/>
              </w:rPr>
              <w:t>利尔化学股份有限公司</w:t>
            </w:r>
          </w:p>
        </w:tc>
      </w:tr>
      <w:tr w14:paraId="261B2620">
        <w:tblPrEx>
          <w:tblCellMar>
            <w:top w:w="0" w:type="dxa"/>
            <w:left w:w="0" w:type="dxa"/>
            <w:bottom w:w="0" w:type="dxa"/>
            <w:right w:w="0" w:type="dxa"/>
          </w:tblCellMar>
        </w:tblPrEx>
        <w:trPr>
          <w:wBefore w:w="0" w:type="auto"/>
          <w:tblCellSpacing w:w="0" w:type="dxa"/>
        </w:trPr>
        <w:tc>
          <w:tcPr>
            <w:tcW w:w="0" w:type="auto"/>
            <w:noWrap w:val="0"/>
            <w:vAlign w:val="center"/>
          </w:tcPr>
          <w:p w14:paraId="1111F307">
            <w:r>
              <w:rPr>
                <w:rStyle w:val="10"/>
                <w:rFonts w:hint="eastAsia"/>
              </w:rPr>
              <w:t>农药名称：</w:t>
            </w:r>
            <w:r>
              <w:rPr>
                <w:rFonts w:hint="eastAsia"/>
              </w:rPr>
              <w:t>唑啉·炔草酯</w:t>
            </w:r>
          </w:p>
        </w:tc>
      </w:tr>
      <w:tr w14:paraId="604ECE6F">
        <w:tblPrEx>
          <w:tblCellMar>
            <w:top w:w="0" w:type="dxa"/>
            <w:left w:w="0" w:type="dxa"/>
            <w:bottom w:w="0" w:type="dxa"/>
            <w:right w:w="0" w:type="dxa"/>
          </w:tblCellMar>
        </w:tblPrEx>
        <w:trPr>
          <w:wBefore w:w="0" w:type="auto"/>
          <w:tblCellSpacing w:w="0" w:type="dxa"/>
        </w:trPr>
        <w:tc>
          <w:tcPr>
            <w:tcW w:w="0" w:type="auto"/>
            <w:noWrap w:val="0"/>
            <w:vAlign w:val="center"/>
          </w:tcPr>
          <w:p w14:paraId="18AE2CA4">
            <w:r>
              <w:rPr>
                <w:rStyle w:val="10"/>
                <w:rFonts w:hint="eastAsia"/>
              </w:rPr>
              <w:t>剂型：</w:t>
            </w:r>
            <w:r>
              <w:rPr>
                <w:rFonts w:hint="eastAsia"/>
              </w:rPr>
              <w:t>乳油</w:t>
            </w:r>
          </w:p>
        </w:tc>
      </w:tr>
      <w:tr w14:paraId="548659CE">
        <w:tblPrEx>
          <w:tblCellMar>
            <w:top w:w="0" w:type="dxa"/>
            <w:left w:w="0" w:type="dxa"/>
            <w:bottom w:w="0" w:type="dxa"/>
            <w:right w:w="0" w:type="dxa"/>
          </w:tblCellMar>
        </w:tblPrEx>
        <w:trPr>
          <w:wBefore w:w="0" w:type="auto"/>
          <w:tblCellSpacing w:w="0" w:type="dxa"/>
        </w:trPr>
        <w:tc>
          <w:tcPr>
            <w:tcW w:w="0" w:type="auto"/>
            <w:noWrap w:val="0"/>
            <w:vAlign w:val="center"/>
          </w:tcPr>
          <w:p w14:paraId="7F116722">
            <w:r>
              <w:rPr>
                <w:rStyle w:val="10"/>
                <w:rFonts w:hint="eastAsia"/>
              </w:rPr>
              <w:t>毒性及其标识：</w:t>
            </w:r>
            <w:r>
              <w:rPr>
                <w:rFonts w:hint="eastAsia"/>
              </w:rPr>
              <w:t xml:space="preserve"> </w:t>
            </w:r>
            <w:r>
              <w:rPr>
                <w:lang/>
              </w:rPr>
              <w:drawing>
                <wp:inline distT="0" distB="0" distL="114300" distR="114300">
                  <wp:extent cx="476250" cy="323850"/>
                  <wp:effectExtent l="0" t="0" r="0" b="0"/>
                  <wp:docPr id="618" name="图片 61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1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7871B8F">
        <w:tblPrEx>
          <w:tblCellMar>
            <w:top w:w="0" w:type="dxa"/>
            <w:left w:w="0" w:type="dxa"/>
            <w:bottom w:w="0" w:type="dxa"/>
            <w:right w:w="0" w:type="dxa"/>
          </w:tblCellMar>
        </w:tblPrEx>
        <w:trPr>
          <w:wBefore w:w="0" w:type="auto"/>
          <w:tblCellSpacing w:w="0" w:type="dxa"/>
        </w:trPr>
        <w:tc>
          <w:tcPr>
            <w:tcW w:w="0" w:type="auto"/>
            <w:noWrap w:val="0"/>
            <w:vAlign w:val="center"/>
          </w:tcPr>
          <w:p w14:paraId="5DF08CBB">
            <w:r>
              <w:rPr>
                <w:rStyle w:val="10"/>
                <w:rFonts w:hint="eastAsia"/>
              </w:rPr>
              <w:t>总有效成分含量：</w:t>
            </w:r>
            <w:r>
              <w:rPr>
                <w:rFonts w:hint="eastAsia"/>
              </w:rPr>
              <w:t>5%</w:t>
            </w:r>
          </w:p>
        </w:tc>
      </w:tr>
      <w:tr w14:paraId="2D8454E5">
        <w:tblPrEx>
          <w:tblCellMar>
            <w:top w:w="0" w:type="dxa"/>
            <w:left w:w="0" w:type="dxa"/>
            <w:bottom w:w="0" w:type="dxa"/>
            <w:right w:w="0" w:type="dxa"/>
          </w:tblCellMar>
        </w:tblPrEx>
        <w:trPr>
          <w:wBefore w:w="0" w:type="auto"/>
          <w:tblCellSpacing w:w="0" w:type="dxa"/>
        </w:trPr>
        <w:tc>
          <w:tcPr>
            <w:tcW w:w="0" w:type="auto"/>
            <w:noWrap w:val="0"/>
            <w:vAlign w:val="center"/>
          </w:tcPr>
          <w:p w14:paraId="2A6CA5FF">
            <w:r>
              <w:rPr>
                <w:rFonts w:hint="eastAsia"/>
              </w:rPr>
              <w:t xml:space="preserve">有效成分及其含量： </w:t>
            </w:r>
          </w:p>
          <w:p w14:paraId="7F5666B9">
            <w:r>
              <w:rPr>
                <w:rFonts w:hint="eastAsia"/>
              </w:rPr>
              <w:t xml:space="preserve">    唑啉草酯2.5%    炔草酯2.5%    </w:t>
            </w:r>
          </w:p>
        </w:tc>
      </w:tr>
      <w:tr w14:paraId="631D37FF">
        <w:tblPrEx>
          <w:tblCellMar>
            <w:top w:w="0" w:type="dxa"/>
            <w:left w:w="0" w:type="dxa"/>
            <w:bottom w:w="0" w:type="dxa"/>
            <w:right w:w="0" w:type="dxa"/>
          </w:tblCellMar>
        </w:tblPrEx>
        <w:trPr>
          <w:wBefore w:w="0" w:type="auto"/>
          <w:tblCellSpacing w:w="0" w:type="dxa"/>
        </w:trPr>
        <w:tc>
          <w:tcPr>
            <w:tcW w:w="0" w:type="auto"/>
            <w:noWrap w:val="0"/>
            <w:vAlign w:val="center"/>
          </w:tcPr>
          <w:p w14:paraId="20652F6C">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4450E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49953A1">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1E4A5AB0">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359E84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6738428">
                  <w:r>
                    <w:rPr>
                      <w:rStyle w:val="11"/>
                      <w:rFonts w:hint="eastAsia"/>
                    </w:rPr>
                    <w:t>施用方式</w:t>
                  </w:r>
                </w:p>
              </w:tc>
            </w:tr>
            <w:tr w14:paraId="0A173D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049A45D8">
                  <w:r>
                    <w:rPr>
                      <w:rStyle w:val="11"/>
                      <w:rFonts w:hint="eastAsia"/>
                    </w:rPr>
                    <w:t>冬小麦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F86E625">
                  <w:r>
                    <w:rPr>
                      <w:rStyle w:val="11"/>
                      <w:rFonts w:hint="eastAsia"/>
                    </w:rPr>
                    <w:t>一年生禾本科杂草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130787">
                  <w:r>
                    <w:rPr>
                      <w:rStyle w:val="11"/>
                      <w:rFonts w:hint="eastAsia"/>
                    </w:rPr>
                    <w:t>60-100毫升/亩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4F4EF59">
                  <w:r>
                    <w:rPr>
                      <w:rStyle w:val="11"/>
                      <w:rFonts w:hint="eastAsia"/>
                    </w:rPr>
                    <w:t>茎叶喷雾</w:t>
                  </w:r>
                </w:p>
              </w:tc>
            </w:tr>
          </w:tbl>
          <w:p w14:paraId="19136C02">
            <w:pPr>
              <w:rPr>
                <w:rFonts w:ascii="Times New Roman" w:hAnsi="Times New Roman" w:cs="Times New Roman"/>
                <w:sz w:val="20"/>
                <w:szCs w:val="20"/>
              </w:rPr>
            </w:pPr>
          </w:p>
        </w:tc>
      </w:tr>
      <w:tr w14:paraId="3ACF55DD">
        <w:tblPrEx>
          <w:tblCellMar>
            <w:top w:w="0" w:type="dxa"/>
            <w:left w:w="0" w:type="dxa"/>
            <w:bottom w:w="0" w:type="dxa"/>
            <w:right w:w="0" w:type="dxa"/>
          </w:tblCellMar>
        </w:tblPrEx>
        <w:trPr>
          <w:wBefore w:w="0" w:type="auto"/>
          <w:tblCellSpacing w:w="0" w:type="dxa"/>
        </w:trPr>
        <w:tc>
          <w:tcPr>
            <w:tcW w:w="0" w:type="auto"/>
            <w:noWrap w:val="0"/>
            <w:vAlign w:val="center"/>
          </w:tcPr>
          <w:p w14:paraId="2CB0507A">
            <w:r>
              <w:rPr>
                <w:rStyle w:val="10"/>
                <w:rFonts w:hint="eastAsia"/>
              </w:rPr>
              <w:t>使用技术要求:</w:t>
            </w:r>
            <w:r>
              <w:rPr>
                <w:rFonts w:hint="eastAsia"/>
              </w:rPr>
              <w:br w:type="textWrapping"/>
            </w:r>
            <w:r>
              <w:rPr>
                <w:rStyle w:val="11"/>
                <w:rFonts w:hint="eastAsia"/>
              </w:rPr>
              <w:t>1、在冬小麦返青至拔节前，杂草3-5叶期茎叶喷雾施药1次。 2、每季最多使用1次。</w:t>
            </w:r>
          </w:p>
        </w:tc>
      </w:tr>
      <w:tr w14:paraId="239EA1DC">
        <w:tblPrEx>
          <w:tblCellMar>
            <w:top w:w="0" w:type="dxa"/>
            <w:left w:w="0" w:type="dxa"/>
            <w:bottom w:w="0" w:type="dxa"/>
            <w:right w:w="0" w:type="dxa"/>
          </w:tblCellMar>
        </w:tblPrEx>
        <w:trPr>
          <w:wBefore w:w="0" w:type="auto"/>
          <w:tblCellSpacing w:w="0" w:type="dxa"/>
        </w:trPr>
        <w:tc>
          <w:tcPr>
            <w:tcW w:w="0" w:type="auto"/>
            <w:noWrap w:val="0"/>
            <w:vAlign w:val="center"/>
          </w:tcPr>
          <w:p w14:paraId="755D24D9">
            <w:r>
              <w:rPr>
                <w:rStyle w:val="10"/>
                <w:rFonts w:hint="eastAsia"/>
              </w:rPr>
              <w:t>产品性能:</w:t>
            </w:r>
            <w:r>
              <w:rPr>
                <w:rFonts w:hint="eastAsia"/>
              </w:rPr>
              <w:br w:type="textWrapping"/>
            </w:r>
            <w:r>
              <w:rPr>
                <w:rStyle w:val="11"/>
                <w:rFonts w:hint="eastAsia"/>
              </w:rPr>
              <w:t>本品是一种内吸选择性除草剂。</w:t>
            </w:r>
          </w:p>
        </w:tc>
      </w:tr>
      <w:tr w14:paraId="596E37FF">
        <w:tblPrEx>
          <w:tblCellMar>
            <w:top w:w="0" w:type="dxa"/>
            <w:left w:w="0" w:type="dxa"/>
            <w:bottom w:w="0" w:type="dxa"/>
            <w:right w:w="0" w:type="dxa"/>
          </w:tblCellMar>
        </w:tblPrEx>
        <w:trPr>
          <w:wBefore w:w="0" w:type="auto"/>
          <w:tblCellSpacing w:w="0" w:type="dxa"/>
        </w:trPr>
        <w:tc>
          <w:tcPr>
            <w:tcW w:w="0" w:type="auto"/>
            <w:noWrap w:val="0"/>
            <w:vAlign w:val="center"/>
          </w:tcPr>
          <w:p w14:paraId="67F7DAB1">
            <w:r>
              <w:rPr>
                <w:rStyle w:val="10"/>
                <w:rFonts w:hint="eastAsia"/>
              </w:rPr>
              <w:t>注意事项：</w:t>
            </w:r>
            <w:r>
              <w:rPr>
                <w:rFonts w:hint="eastAsia"/>
              </w:rPr>
              <w:br w:type="textWrapping"/>
            </w:r>
            <w:r>
              <w:rPr>
                <w:rStyle w:val="11"/>
                <w:rFonts w:hint="eastAsia"/>
              </w:rPr>
              <w:t>1、本品应进行二次稀释后现配现用。施药过程中若遇大风、下雨、降雪等影响喷雾效果的情形应停止施药。严禁重喷或漏喷，并防止雾滴飘移到其他田块。 2、避免在极端气候如气温大幅度波动前后3天内，干旱、低温（霜冻期）、田间积水、小麦生长不良或遭受涝害、冻害、旱害、盐碱害、病害等胁迫条件下使用。 3、请勿在大麦和燕麦田使用；避免药液飘移到邻近作物田；施药后仔细清洗喷雾器避免药物残留造成玉米、高粱及其他敏感作物药害。 4、如需与其他助剂或药剂混用，请在当地农技人员指导下，先进行小面积试验确认有效性后，科学合理搭配使用。 5、请在农技人员指导下，根据杂草发生基数、叶龄及种类、小麦生长状况、施药时天气条件、药械种类等因素科学合理的调整用药剂量、用水量。 6、严格按照推荐方法使用、操作和贮藏本品，配置药液时使用清水，禁止使用浑浊的河水或沟渠水配药。 7、本品对眼睛有刺激性，使用时避免接触眼睛，穿戴长衣、长裤、帽子、口罩、手套等安全防护措施。 8、桑园和蚕室附近禁用。远离水产养殖区、河塘等附近施药，禁止在河塘等水体中清洗施药器具。施药后及时、细致清洗施药器具，废弃物要妥善处理，不能随意丢弃，也不能做他用。 9、避免孕妇及哺乳期的妇女接触本品。 10、使用前请仔细阅读此标签，并严格按照标签说明使用。未尽使用情形，请结合当地实际情况，在农业技术人员指导下使用。</w:t>
            </w:r>
          </w:p>
        </w:tc>
      </w:tr>
      <w:tr w14:paraId="667E60C2">
        <w:tblPrEx>
          <w:tblCellMar>
            <w:top w:w="0" w:type="dxa"/>
            <w:left w:w="0" w:type="dxa"/>
            <w:bottom w:w="0" w:type="dxa"/>
            <w:right w:w="0" w:type="dxa"/>
          </w:tblCellMar>
        </w:tblPrEx>
        <w:trPr>
          <w:wBefore w:w="0" w:type="auto"/>
          <w:tblCellSpacing w:w="0" w:type="dxa"/>
        </w:trPr>
        <w:tc>
          <w:tcPr>
            <w:tcW w:w="0" w:type="auto"/>
            <w:noWrap w:val="0"/>
            <w:vAlign w:val="center"/>
          </w:tcPr>
          <w:p w14:paraId="12B58A22">
            <w:r>
              <w:rPr>
                <w:rStyle w:val="10"/>
                <w:rFonts w:hint="eastAsia"/>
              </w:rPr>
              <w:t>中毒急救措施：</w:t>
            </w:r>
            <w:r>
              <w:rPr>
                <w:rFonts w:hint="eastAsia"/>
              </w:rPr>
              <w:br w:type="textWrapping"/>
            </w:r>
            <w:r>
              <w:rPr>
                <w:rStyle w:val="11"/>
                <w:rFonts w:hint="eastAsia"/>
              </w:rPr>
              <w:t>不慎误服：用清水将嘴清洗干净，不要自行引吐，携此标签送医诊治。医生洗胃时，应注意保护气管和食管；不慎吸入，应将病人移至空气流通处；不慎眼睛溅入或接触皮肤，应用大量清水冲洗至少15分钟。</w:t>
            </w:r>
          </w:p>
        </w:tc>
      </w:tr>
      <w:tr w14:paraId="62395B37">
        <w:tblPrEx>
          <w:tblCellMar>
            <w:top w:w="0" w:type="dxa"/>
            <w:left w:w="0" w:type="dxa"/>
            <w:bottom w:w="0" w:type="dxa"/>
            <w:right w:w="0" w:type="dxa"/>
          </w:tblCellMar>
        </w:tblPrEx>
        <w:trPr>
          <w:wBefore w:w="0" w:type="auto"/>
          <w:tblCellSpacing w:w="0" w:type="dxa"/>
        </w:trPr>
        <w:tc>
          <w:tcPr>
            <w:tcW w:w="0" w:type="auto"/>
            <w:noWrap w:val="0"/>
            <w:vAlign w:val="center"/>
          </w:tcPr>
          <w:p w14:paraId="423761DA">
            <w:r>
              <w:rPr>
                <w:rStyle w:val="10"/>
                <w:rFonts w:hint="eastAsia"/>
              </w:rPr>
              <w:t>储存和运输方法：</w:t>
            </w:r>
            <w:r>
              <w:rPr>
                <w:rFonts w:hint="eastAsia"/>
              </w:rPr>
              <w:br w:type="textWrapping"/>
            </w:r>
            <w:r>
              <w:rPr>
                <w:rStyle w:val="11"/>
                <w:rFonts w:hint="eastAsia"/>
              </w:rPr>
              <w:t>本品应贮存于干燥、阴凉、通风、防雨处，远离火源或热源。置于儿童、无关人员触及不到之处，应加锁保存。不能与食品、饮料、种子、粮食、饲料等物品同贮同运。装卸时，注意轻拿轻放，禁止说笑打闹、吃、喝、抽烟；运输时要防潮防晒。</w:t>
            </w:r>
          </w:p>
        </w:tc>
      </w:tr>
      <w:tr w14:paraId="281D9381">
        <w:tblPrEx>
          <w:tblCellMar>
            <w:top w:w="0" w:type="dxa"/>
            <w:left w:w="0" w:type="dxa"/>
            <w:bottom w:w="0" w:type="dxa"/>
            <w:right w:w="0" w:type="dxa"/>
          </w:tblCellMar>
        </w:tblPrEx>
        <w:trPr>
          <w:wBefore w:w="0" w:type="auto"/>
          <w:tblCellSpacing w:w="0" w:type="dxa"/>
        </w:trPr>
        <w:tc>
          <w:tcPr>
            <w:tcW w:w="0" w:type="auto"/>
            <w:noWrap w:val="0"/>
            <w:vAlign w:val="center"/>
          </w:tcPr>
          <w:p w14:paraId="5849AD6E">
            <w:r>
              <w:rPr>
                <w:rStyle w:val="10"/>
                <w:rFonts w:hint="eastAsia"/>
              </w:rPr>
              <w:t>质量保证期：</w:t>
            </w:r>
            <w:r>
              <w:rPr>
                <w:rStyle w:val="11"/>
                <w:rFonts w:hint="eastAsia"/>
              </w:rPr>
              <w:t>2年</w:t>
            </w:r>
          </w:p>
        </w:tc>
      </w:tr>
      <w:tr w14:paraId="1807A821">
        <w:tblPrEx>
          <w:tblCellMar>
            <w:top w:w="0" w:type="dxa"/>
            <w:left w:w="0" w:type="dxa"/>
            <w:bottom w:w="0" w:type="dxa"/>
            <w:right w:w="0" w:type="dxa"/>
          </w:tblCellMar>
        </w:tblPrEx>
        <w:trPr>
          <w:wBefore w:w="0" w:type="auto"/>
          <w:tblCellSpacing w:w="0" w:type="dxa"/>
        </w:trPr>
        <w:tc>
          <w:tcPr>
            <w:tcW w:w="0" w:type="auto"/>
            <w:noWrap w:val="0"/>
            <w:vAlign w:val="center"/>
          </w:tcPr>
          <w:p w14:paraId="45E0FDCD">
            <w:r>
              <w:rPr>
                <w:rStyle w:val="10"/>
                <w:rFonts w:hint="eastAsia"/>
              </w:rPr>
              <w:t>备注：</w:t>
            </w:r>
          </w:p>
        </w:tc>
      </w:tr>
    </w:tbl>
    <w:p w14:paraId="65D2E7B9">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AA0E48B">
        <w:tblPrEx>
          <w:tblCellMar>
            <w:top w:w="0" w:type="dxa"/>
            <w:left w:w="0" w:type="dxa"/>
            <w:bottom w:w="0" w:type="dxa"/>
            <w:right w:w="0" w:type="dxa"/>
          </w:tblCellMar>
        </w:tblPrEx>
        <w:trPr>
          <w:wBefore w:w="0" w:type="auto"/>
          <w:tblCellSpacing w:w="0" w:type="dxa"/>
        </w:trPr>
        <w:tc>
          <w:tcPr>
            <w:tcW w:w="0" w:type="auto"/>
            <w:noWrap w:val="0"/>
            <w:vAlign w:val="center"/>
          </w:tcPr>
          <w:p w14:paraId="02D4EF9A">
            <w:r>
              <w:rPr>
                <w:rStyle w:val="10"/>
                <w:rFonts w:hint="eastAsia"/>
              </w:rPr>
              <w:t>登记证号：</w:t>
            </w:r>
            <w:r>
              <w:rPr>
                <w:rFonts w:hint="eastAsia"/>
              </w:rPr>
              <w:t>PD20212027</w:t>
            </w:r>
          </w:p>
        </w:tc>
      </w:tr>
      <w:tr w14:paraId="326EBA77">
        <w:tblPrEx>
          <w:tblCellMar>
            <w:top w:w="0" w:type="dxa"/>
            <w:left w:w="0" w:type="dxa"/>
            <w:bottom w:w="0" w:type="dxa"/>
            <w:right w:w="0" w:type="dxa"/>
          </w:tblCellMar>
        </w:tblPrEx>
        <w:trPr>
          <w:wBefore w:w="0" w:type="auto"/>
          <w:tblCellSpacing w:w="0" w:type="dxa"/>
        </w:trPr>
        <w:tc>
          <w:tcPr>
            <w:tcW w:w="0" w:type="auto"/>
            <w:noWrap w:val="0"/>
            <w:vAlign w:val="center"/>
          </w:tcPr>
          <w:p w14:paraId="0149CB31">
            <w:r>
              <w:rPr>
                <w:rStyle w:val="10"/>
                <w:rFonts w:hint="eastAsia"/>
              </w:rPr>
              <w:t>登记证持有人：</w:t>
            </w:r>
            <w:r>
              <w:rPr>
                <w:rFonts w:hint="eastAsia"/>
              </w:rPr>
              <w:t>山东海而三利生物化工有限公司</w:t>
            </w:r>
          </w:p>
        </w:tc>
      </w:tr>
      <w:tr w14:paraId="2B9A44D8">
        <w:tblPrEx>
          <w:tblCellMar>
            <w:top w:w="0" w:type="dxa"/>
            <w:left w:w="0" w:type="dxa"/>
            <w:bottom w:w="0" w:type="dxa"/>
            <w:right w:w="0" w:type="dxa"/>
          </w:tblCellMar>
        </w:tblPrEx>
        <w:trPr>
          <w:wBefore w:w="0" w:type="auto"/>
          <w:tblCellSpacing w:w="0" w:type="dxa"/>
        </w:trPr>
        <w:tc>
          <w:tcPr>
            <w:tcW w:w="0" w:type="auto"/>
            <w:noWrap w:val="0"/>
            <w:vAlign w:val="center"/>
          </w:tcPr>
          <w:p w14:paraId="3367F763">
            <w:r>
              <w:rPr>
                <w:rStyle w:val="10"/>
                <w:rFonts w:hint="eastAsia"/>
              </w:rPr>
              <w:t>农药名称：</w:t>
            </w:r>
            <w:r>
              <w:rPr>
                <w:rFonts w:hint="eastAsia"/>
              </w:rPr>
              <w:t>抑芽丹</w:t>
            </w:r>
          </w:p>
        </w:tc>
      </w:tr>
      <w:tr w14:paraId="4A647CBF">
        <w:tblPrEx>
          <w:tblCellMar>
            <w:top w:w="0" w:type="dxa"/>
            <w:left w:w="0" w:type="dxa"/>
            <w:bottom w:w="0" w:type="dxa"/>
            <w:right w:w="0" w:type="dxa"/>
          </w:tblCellMar>
        </w:tblPrEx>
        <w:trPr>
          <w:wBefore w:w="0" w:type="auto"/>
          <w:tblCellSpacing w:w="0" w:type="dxa"/>
        </w:trPr>
        <w:tc>
          <w:tcPr>
            <w:tcW w:w="0" w:type="auto"/>
            <w:noWrap w:val="0"/>
            <w:vAlign w:val="center"/>
          </w:tcPr>
          <w:p w14:paraId="4A72AB5A">
            <w:r>
              <w:rPr>
                <w:rStyle w:val="10"/>
                <w:rFonts w:hint="eastAsia"/>
              </w:rPr>
              <w:t>剂型：</w:t>
            </w:r>
            <w:r>
              <w:rPr>
                <w:rFonts w:hint="eastAsia"/>
              </w:rPr>
              <w:t>可溶液剂</w:t>
            </w:r>
          </w:p>
        </w:tc>
      </w:tr>
      <w:tr w14:paraId="1F1CEFE2">
        <w:tblPrEx>
          <w:tblCellMar>
            <w:top w:w="0" w:type="dxa"/>
            <w:left w:w="0" w:type="dxa"/>
            <w:bottom w:w="0" w:type="dxa"/>
            <w:right w:w="0" w:type="dxa"/>
          </w:tblCellMar>
        </w:tblPrEx>
        <w:trPr>
          <w:wBefore w:w="0" w:type="auto"/>
          <w:tblCellSpacing w:w="0" w:type="dxa"/>
        </w:trPr>
        <w:tc>
          <w:tcPr>
            <w:tcW w:w="0" w:type="auto"/>
            <w:noWrap w:val="0"/>
            <w:vAlign w:val="center"/>
          </w:tcPr>
          <w:p w14:paraId="5872F6C9">
            <w:r>
              <w:rPr>
                <w:rStyle w:val="10"/>
                <w:rFonts w:hint="eastAsia"/>
              </w:rPr>
              <w:t>毒性及其标识：</w:t>
            </w:r>
            <w:r>
              <w:rPr>
                <w:rFonts w:hint="eastAsia"/>
              </w:rPr>
              <w:t xml:space="preserve"> </w:t>
            </w:r>
            <w:r>
              <w:rPr>
                <w:lang/>
              </w:rPr>
              <w:drawing>
                <wp:inline distT="0" distB="0" distL="114300" distR="114300">
                  <wp:extent cx="476250" cy="323850"/>
                  <wp:effectExtent l="0" t="0" r="0" b="0"/>
                  <wp:docPr id="619" name="图片 61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1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36AEA837">
        <w:tblPrEx>
          <w:tblCellMar>
            <w:top w:w="0" w:type="dxa"/>
            <w:left w:w="0" w:type="dxa"/>
            <w:bottom w:w="0" w:type="dxa"/>
            <w:right w:w="0" w:type="dxa"/>
          </w:tblCellMar>
        </w:tblPrEx>
        <w:trPr>
          <w:wBefore w:w="0" w:type="auto"/>
          <w:tblCellSpacing w:w="0" w:type="dxa"/>
        </w:trPr>
        <w:tc>
          <w:tcPr>
            <w:tcW w:w="0" w:type="auto"/>
            <w:noWrap w:val="0"/>
            <w:vAlign w:val="center"/>
          </w:tcPr>
          <w:p w14:paraId="5BE8788D">
            <w:r>
              <w:rPr>
                <w:rStyle w:val="10"/>
                <w:rFonts w:hint="eastAsia"/>
              </w:rPr>
              <w:t>总有效成分含量：</w:t>
            </w:r>
            <w:r>
              <w:rPr>
                <w:rFonts w:hint="eastAsia"/>
              </w:rPr>
              <w:t>30.2%</w:t>
            </w:r>
          </w:p>
        </w:tc>
      </w:tr>
      <w:tr w14:paraId="7609133D">
        <w:tblPrEx>
          <w:tblCellMar>
            <w:top w:w="0" w:type="dxa"/>
            <w:left w:w="0" w:type="dxa"/>
            <w:bottom w:w="0" w:type="dxa"/>
            <w:right w:w="0" w:type="dxa"/>
          </w:tblCellMar>
        </w:tblPrEx>
        <w:trPr>
          <w:wBefore w:w="0" w:type="auto"/>
          <w:tblCellSpacing w:w="0" w:type="dxa"/>
        </w:trPr>
        <w:tc>
          <w:tcPr>
            <w:tcW w:w="0" w:type="auto"/>
            <w:noWrap w:val="0"/>
            <w:vAlign w:val="center"/>
          </w:tcPr>
          <w:p w14:paraId="62DFCB21">
            <w:r>
              <w:rPr>
                <w:rFonts w:hint="eastAsia"/>
              </w:rPr>
              <w:t xml:space="preserve">有效成分及其含量： </w:t>
            </w:r>
          </w:p>
          <w:p w14:paraId="6407294B">
            <w:r>
              <w:rPr>
                <w:rFonts w:hint="eastAsia"/>
              </w:rPr>
              <w:t xml:space="preserve">    抑芽丹30.2%    </w:t>
            </w:r>
          </w:p>
        </w:tc>
      </w:tr>
      <w:tr w14:paraId="640E9439">
        <w:tblPrEx>
          <w:tblCellMar>
            <w:top w:w="0" w:type="dxa"/>
            <w:left w:w="0" w:type="dxa"/>
            <w:bottom w:w="0" w:type="dxa"/>
            <w:right w:w="0" w:type="dxa"/>
          </w:tblCellMar>
        </w:tblPrEx>
        <w:trPr>
          <w:wBefore w:w="0" w:type="auto"/>
          <w:tblCellSpacing w:w="0" w:type="dxa"/>
        </w:trPr>
        <w:tc>
          <w:tcPr>
            <w:tcW w:w="0" w:type="auto"/>
            <w:noWrap w:val="0"/>
            <w:vAlign w:val="center"/>
          </w:tcPr>
          <w:p w14:paraId="3AA1DB60">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75C24D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7B8730C">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FD9989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CE3981C">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5080947">
                  <w:r>
                    <w:rPr>
                      <w:rStyle w:val="11"/>
                      <w:rFonts w:hint="eastAsia"/>
                    </w:rPr>
                    <w:t>施用方式</w:t>
                  </w:r>
                </w:p>
              </w:tc>
            </w:tr>
            <w:tr w14:paraId="7390E2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110103B">
                  <w:r>
                    <w:rPr>
                      <w:rStyle w:val="11"/>
                      <w:rFonts w:hint="eastAsia"/>
                    </w:rPr>
                    <w:t>烟草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CC4AE43">
                  <w:r>
                    <w:rPr>
                      <w:rStyle w:val="11"/>
                      <w:rFonts w:hint="eastAsia"/>
                    </w:rPr>
                    <w:t>抑制腋芽生长</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D6477D3">
                  <w:r>
                    <w:rPr>
                      <w:rStyle w:val="11"/>
                      <w:rFonts w:hint="eastAsia"/>
                    </w:rPr>
                    <w:t>40-50倍液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F7838F">
                  <w:r>
                    <w:rPr>
                      <w:rStyle w:val="11"/>
                      <w:rFonts w:hint="eastAsia"/>
                    </w:rPr>
                    <w:t>杯淋法</w:t>
                  </w:r>
                </w:p>
              </w:tc>
            </w:tr>
          </w:tbl>
          <w:p w14:paraId="12970E98">
            <w:pPr>
              <w:rPr>
                <w:rFonts w:ascii="Times New Roman" w:hAnsi="Times New Roman" w:cs="Times New Roman"/>
                <w:sz w:val="20"/>
                <w:szCs w:val="20"/>
              </w:rPr>
            </w:pPr>
          </w:p>
        </w:tc>
      </w:tr>
      <w:tr w14:paraId="68AF29C3">
        <w:tblPrEx>
          <w:tblCellMar>
            <w:top w:w="0" w:type="dxa"/>
            <w:left w:w="0" w:type="dxa"/>
            <w:bottom w:w="0" w:type="dxa"/>
            <w:right w:w="0" w:type="dxa"/>
          </w:tblCellMar>
        </w:tblPrEx>
        <w:trPr>
          <w:wBefore w:w="0" w:type="auto"/>
          <w:tblCellSpacing w:w="0" w:type="dxa"/>
        </w:trPr>
        <w:tc>
          <w:tcPr>
            <w:tcW w:w="0" w:type="auto"/>
            <w:noWrap w:val="0"/>
            <w:vAlign w:val="center"/>
          </w:tcPr>
          <w:p w14:paraId="0B386D58">
            <w:r>
              <w:rPr>
                <w:rStyle w:val="10"/>
                <w:rFonts w:hint="eastAsia"/>
              </w:rPr>
              <w:t>使用技术要求:</w:t>
            </w:r>
            <w:r>
              <w:rPr>
                <w:rFonts w:hint="eastAsia"/>
              </w:rPr>
              <w:br w:type="textWrapping"/>
            </w:r>
            <w:r>
              <w:rPr>
                <w:rStyle w:val="11"/>
                <w:rFonts w:hint="eastAsia"/>
              </w:rPr>
              <w:t>施药时间：烟株生长营养正常、发育良好的烟田在现蕾至10%中心花开放时,选择晴天一次性打顶,留有效叶18－20片，并将大于2厘米的腋芽打掉，打顶当天用抑芽丹40-50倍稀释药液用塑料杯淋植株顶端叶柄两侧腋芽处每株烟施药量为20-25毫升。本品在烟草整个生长期只能使用1次，安全间隔期14天。</w:t>
            </w:r>
          </w:p>
        </w:tc>
      </w:tr>
      <w:tr w14:paraId="499A1737">
        <w:tblPrEx>
          <w:tblCellMar>
            <w:top w:w="0" w:type="dxa"/>
            <w:left w:w="0" w:type="dxa"/>
            <w:bottom w:w="0" w:type="dxa"/>
            <w:right w:w="0" w:type="dxa"/>
          </w:tblCellMar>
        </w:tblPrEx>
        <w:trPr>
          <w:wBefore w:w="0" w:type="auto"/>
          <w:tblCellSpacing w:w="0" w:type="dxa"/>
        </w:trPr>
        <w:tc>
          <w:tcPr>
            <w:tcW w:w="0" w:type="auto"/>
            <w:noWrap w:val="0"/>
            <w:vAlign w:val="center"/>
          </w:tcPr>
          <w:p w14:paraId="002779FF">
            <w:r>
              <w:rPr>
                <w:rStyle w:val="10"/>
                <w:rFonts w:hint="eastAsia"/>
              </w:rPr>
              <w:t>产品性能:</w:t>
            </w:r>
            <w:r>
              <w:rPr>
                <w:rFonts w:hint="eastAsia"/>
              </w:rPr>
              <w:br w:type="textWrapping"/>
            </w:r>
            <w:r>
              <w:rPr>
                <w:rStyle w:val="11"/>
                <w:rFonts w:hint="eastAsia"/>
              </w:rPr>
              <w:t>抑芽丹是内吸性抑芽剂。从植物的叶面或根部吸入，由木质部和韧皮部传导至植株体内，通过阻止细胞分裂，从而抑制植物生长。抑制程度依剂量和作物生长阶段而不同。</w:t>
            </w:r>
          </w:p>
        </w:tc>
      </w:tr>
      <w:tr w14:paraId="60039B19">
        <w:tblPrEx>
          <w:tblCellMar>
            <w:top w:w="0" w:type="dxa"/>
            <w:left w:w="0" w:type="dxa"/>
            <w:bottom w:w="0" w:type="dxa"/>
            <w:right w:w="0" w:type="dxa"/>
          </w:tblCellMar>
        </w:tblPrEx>
        <w:trPr>
          <w:wBefore w:w="0" w:type="auto"/>
          <w:tblCellSpacing w:w="0" w:type="dxa"/>
        </w:trPr>
        <w:tc>
          <w:tcPr>
            <w:tcW w:w="0" w:type="auto"/>
            <w:noWrap w:val="0"/>
            <w:vAlign w:val="center"/>
          </w:tcPr>
          <w:p w14:paraId="55A4E9D6">
            <w:r>
              <w:rPr>
                <w:rStyle w:val="10"/>
                <w:rFonts w:hint="eastAsia"/>
              </w:rPr>
              <w:t>注意事项：</w:t>
            </w:r>
            <w:r>
              <w:rPr>
                <w:rFonts w:hint="eastAsia"/>
              </w:rPr>
              <w:br w:type="textWrapping"/>
            </w:r>
            <w:r>
              <w:rPr>
                <w:rStyle w:val="11"/>
                <w:rFonts w:hint="eastAsia"/>
              </w:rPr>
              <w:t>1.本品属内吸剂，在雨前、大露、气温高于37℃或低于-10℃不宜施药，最好在晴天无风且不下雨的中午施药，如果药后6小时内下雨，需重新喷施。2.喷洒本品时需单独使用，不可加入任何其他叶面肥、植物生长调节剂。3.请按推荐的稀释倍数使用，不可随意增加或减少用水量，过高或过低的浓度，均会影响使用效果。4.本品对鱼类等水生物有毒，远离水产养殖区施药，禁止在河塘等水体中清洗施药器具。洗涤水不可随意乱倒，以免污染环境。 5.使用时注意防护。施药期间应穿长衣裤、戴口罩和手套等防护用具，避免吸入药液；施药期间不可吃东西、喝水和吸烟等；施药后应及时洗手和洗脸等。 6.孕妇及哺乳期妇女避免接触本品。7.用过的容器应妥善处理，不可做他用，也不可随意丢弃。</w:t>
            </w:r>
          </w:p>
        </w:tc>
      </w:tr>
      <w:tr w14:paraId="7A6CDCC4">
        <w:tblPrEx>
          <w:tblCellMar>
            <w:top w:w="0" w:type="dxa"/>
            <w:left w:w="0" w:type="dxa"/>
            <w:bottom w:w="0" w:type="dxa"/>
            <w:right w:w="0" w:type="dxa"/>
          </w:tblCellMar>
        </w:tblPrEx>
        <w:trPr>
          <w:wBefore w:w="0" w:type="auto"/>
          <w:tblCellSpacing w:w="0" w:type="dxa"/>
        </w:trPr>
        <w:tc>
          <w:tcPr>
            <w:tcW w:w="0" w:type="auto"/>
            <w:noWrap w:val="0"/>
            <w:vAlign w:val="center"/>
          </w:tcPr>
          <w:p w14:paraId="49889F5D">
            <w:r>
              <w:rPr>
                <w:rStyle w:val="10"/>
                <w:rFonts w:hint="eastAsia"/>
              </w:rPr>
              <w:t>中毒急救措施：</w:t>
            </w:r>
            <w:r>
              <w:rPr>
                <w:rFonts w:hint="eastAsia"/>
              </w:rPr>
              <w:br w:type="textWrapping"/>
            </w:r>
            <w:r>
              <w:rPr>
                <w:rStyle w:val="11"/>
                <w:rFonts w:hint="eastAsia"/>
              </w:rPr>
              <w:t>急救措施：使用中或使用后如果感觉不适，应立即停止工作，采取急救措施，并携带标签送医院就诊。1、皮肤接触：脱去污染的衣物，用软布去除沾染农药，立即用大量清水和肥皂冲洗。2、眼睛溅入：立即用流动清水冲洗不少于15分钟。3、吸入：立即离开施药现场，转移到空气清新处。4、误食：立即停止服用，用清水充分漱口后，立即携带农药标签到医院就诊。在医生的指导下需作催吐处理，无专一的解毒药剂，进行对症治疗。</w:t>
            </w:r>
          </w:p>
        </w:tc>
      </w:tr>
      <w:tr w14:paraId="517A365C">
        <w:tblPrEx>
          <w:tblCellMar>
            <w:top w:w="0" w:type="dxa"/>
            <w:left w:w="0" w:type="dxa"/>
            <w:bottom w:w="0" w:type="dxa"/>
            <w:right w:w="0" w:type="dxa"/>
          </w:tblCellMar>
        </w:tblPrEx>
        <w:trPr>
          <w:wBefore w:w="0" w:type="auto"/>
          <w:tblCellSpacing w:w="0" w:type="dxa"/>
        </w:trPr>
        <w:tc>
          <w:tcPr>
            <w:tcW w:w="0" w:type="auto"/>
            <w:noWrap w:val="0"/>
            <w:vAlign w:val="center"/>
          </w:tcPr>
          <w:p w14:paraId="5C7B5B98">
            <w:r>
              <w:rPr>
                <w:rStyle w:val="10"/>
                <w:rFonts w:hint="eastAsia"/>
              </w:rPr>
              <w:t>储存和运输方法：</w:t>
            </w:r>
            <w:r>
              <w:rPr>
                <w:rFonts w:hint="eastAsia"/>
              </w:rPr>
              <w:br w:type="textWrapping"/>
            </w:r>
            <w:r>
              <w:rPr>
                <w:rStyle w:val="11"/>
                <w:rFonts w:hint="eastAsia"/>
              </w:rPr>
              <w:t>本品应远离火源、热源，贮存于阴凉、通风、干燥防雨处，放置于小孩接触不到的地方，并加锁保存，不能与食品、粮食、饮料、饲料等混合储存。</w:t>
            </w:r>
          </w:p>
        </w:tc>
      </w:tr>
      <w:tr w14:paraId="4FF42B9B">
        <w:tblPrEx>
          <w:tblCellMar>
            <w:top w:w="0" w:type="dxa"/>
            <w:left w:w="0" w:type="dxa"/>
            <w:bottom w:w="0" w:type="dxa"/>
            <w:right w:w="0" w:type="dxa"/>
          </w:tblCellMar>
        </w:tblPrEx>
        <w:trPr>
          <w:wBefore w:w="0" w:type="auto"/>
          <w:tblCellSpacing w:w="0" w:type="dxa"/>
        </w:trPr>
        <w:tc>
          <w:tcPr>
            <w:tcW w:w="0" w:type="auto"/>
            <w:noWrap w:val="0"/>
            <w:vAlign w:val="center"/>
          </w:tcPr>
          <w:p w14:paraId="14D49787">
            <w:r>
              <w:rPr>
                <w:rStyle w:val="10"/>
                <w:rFonts w:hint="eastAsia"/>
              </w:rPr>
              <w:t>质量保证期：</w:t>
            </w:r>
            <w:r>
              <w:rPr>
                <w:rStyle w:val="11"/>
                <w:rFonts w:hint="eastAsia"/>
              </w:rPr>
              <w:t>2年</w:t>
            </w:r>
          </w:p>
        </w:tc>
      </w:tr>
      <w:tr w14:paraId="52AFDC4D">
        <w:tblPrEx>
          <w:tblCellMar>
            <w:top w:w="0" w:type="dxa"/>
            <w:left w:w="0" w:type="dxa"/>
            <w:bottom w:w="0" w:type="dxa"/>
            <w:right w:w="0" w:type="dxa"/>
          </w:tblCellMar>
        </w:tblPrEx>
        <w:trPr>
          <w:wBefore w:w="0" w:type="auto"/>
          <w:tblCellSpacing w:w="0" w:type="dxa"/>
        </w:trPr>
        <w:tc>
          <w:tcPr>
            <w:tcW w:w="0" w:type="auto"/>
            <w:noWrap w:val="0"/>
            <w:vAlign w:val="center"/>
          </w:tcPr>
          <w:p w14:paraId="593380B0">
            <w:r>
              <w:rPr>
                <w:rStyle w:val="10"/>
                <w:rFonts w:hint="eastAsia"/>
              </w:rPr>
              <w:t>备注：</w:t>
            </w:r>
            <w:r>
              <w:rPr>
                <w:rFonts w:hint="eastAsia"/>
              </w:rPr>
              <w:br w:type="textWrapping"/>
            </w:r>
            <w:r>
              <w:rPr>
                <w:rStyle w:val="11"/>
                <w:rFonts w:hint="eastAsia"/>
              </w:rPr>
              <w:t>抑芽丹铵盐34.8%。</w:t>
            </w:r>
          </w:p>
        </w:tc>
      </w:tr>
    </w:tbl>
    <w:p w14:paraId="56F08D27">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73E7C16">
        <w:tblPrEx>
          <w:tblCellMar>
            <w:top w:w="0" w:type="dxa"/>
            <w:left w:w="0" w:type="dxa"/>
            <w:bottom w:w="0" w:type="dxa"/>
            <w:right w:w="0" w:type="dxa"/>
          </w:tblCellMar>
        </w:tblPrEx>
        <w:trPr>
          <w:wBefore w:w="0" w:type="auto"/>
          <w:tblCellSpacing w:w="0" w:type="dxa"/>
        </w:trPr>
        <w:tc>
          <w:tcPr>
            <w:tcW w:w="0" w:type="auto"/>
            <w:noWrap w:val="0"/>
            <w:vAlign w:val="center"/>
          </w:tcPr>
          <w:p w14:paraId="06CDF5B0">
            <w:r>
              <w:rPr>
                <w:rStyle w:val="10"/>
                <w:rFonts w:hint="eastAsia"/>
              </w:rPr>
              <w:t>登记证号：</w:t>
            </w:r>
            <w:r>
              <w:rPr>
                <w:rFonts w:hint="eastAsia"/>
              </w:rPr>
              <w:t>PD20211692</w:t>
            </w:r>
          </w:p>
        </w:tc>
      </w:tr>
      <w:tr w14:paraId="699673D7">
        <w:tblPrEx>
          <w:tblCellMar>
            <w:top w:w="0" w:type="dxa"/>
            <w:left w:w="0" w:type="dxa"/>
            <w:bottom w:w="0" w:type="dxa"/>
            <w:right w:w="0" w:type="dxa"/>
          </w:tblCellMar>
        </w:tblPrEx>
        <w:trPr>
          <w:wBefore w:w="0" w:type="auto"/>
          <w:tblCellSpacing w:w="0" w:type="dxa"/>
        </w:trPr>
        <w:tc>
          <w:tcPr>
            <w:tcW w:w="0" w:type="auto"/>
            <w:noWrap w:val="0"/>
            <w:vAlign w:val="center"/>
          </w:tcPr>
          <w:p w14:paraId="39FAD463">
            <w:r>
              <w:rPr>
                <w:rStyle w:val="10"/>
                <w:rFonts w:hint="eastAsia"/>
              </w:rPr>
              <w:t>登记证持有人：</w:t>
            </w:r>
            <w:r>
              <w:rPr>
                <w:rFonts w:hint="eastAsia"/>
              </w:rPr>
              <w:t>河南省周口市中科化工有限公司</w:t>
            </w:r>
          </w:p>
        </w:tc>
      </w:tr>
      <w:tr w14:paraId="6565FFFD">
        <w:tblPrEx>
          <w:tblCellMar>
            <w:top w:w="0" w:type="dxa"/>
            <w:left w:w="0" w:type="dxa"/>
            <w:bottom w:w="0" w:type="dxa"/>
            <w:right w:w="0" w:type="dxa"/>
          </w:tblCellMar>
        </w:tblPrEx>
        <w:trPr>
          <w:wBefore w:w="0" w:type="auto"/>
          <w:tblCellSpacing w:w="0" w:type="dxa"/>
        </w:trPr>
        <w:tc>
          <w:tcPr>
            <w:tcW w:w="0" w:type="auto"/>
            <w:noWrap w:val="0"/>
            <w:vAlign w:val="center"/>
          </w:tcPr>
          <w:p w14:paraId="034CF3D1">
            <w:r>
              <w:rPr>
                <w:rStyle w:val="10"/>
                <w:rFonts w:hint="eastAsia"/>
              </w:rPr>
              <w:t>农药名称：</w:t>
            </w:r>
            <w:r>
              <w:rPr>
                <w:rFonts w:hint="eastAsia"/>
              </w:rPr>
              <w:t>戊唑·吡虫啉</w:t>
            </w:r>
          </w:p>
        </w:tc>
      </w:tr>
      <w:tr w14:paraId="43BFF5F1">
        <w:tblPrEx>
          <w:tblCellMar>
            <w:top w:w="0" w:type="dxa"/>
            <w:left w:w="0" w:type="dxa"/>
            <w:bottom w:w="0" w:type="dxa"/>
            <w:right w:w="0" w:type="dxa"/>
          </w:tblCellMar>
        </w:tblPrEx>
        <w:trPr>
          <w:wBefore w:w="0" w:type="auto"/>
          <w:tblCellSpacing w:w="0" w:type="dxa"/>
        </w:trPr>
        <w:tc>
          <w:tcPr>
            <w:tcW w:w="0" w:type="auto"/>
            <w:noWrap w:val="0"/>
            <w:vAlign w:val="center"/>
          </w:tcPr>
          <w:p w14:paraId="20722005">
            <w:r>
              <w:rPr>
                <w:rStyle w:val="10"/>
                <w:rFonts w:hint="eastAsia"/>
              </w:rPr>
              <w:t>剂型：</w:t>
            </w:r>
            <w:r>
              <w:rPr>
                <w:rFonts w:hint="eastAsia"/>
              </w:rPr>
              <w:t>种子处理悬浮剂</w:t>
            </w:r>
          </w:p>
        </w:tc>
      </w:tr>
      <w:tr w14:paraId="129DF173">
        <w:tblPrEx>
          <w:tblCellMar>
            <w:top w:w="0" w:type="dxa"/>
            <w:left w:w="0" w:type="dxa"/>
            <w:bottom w:w="0" w:type="dxa"/>
            <w:right w:w="0" w:type="dxa"/>
          </w:tblCellMar>
        </w:tblPrEx>
        <w:trPr>
          <w:wBefore w:w="0" w:type="auto"/>
          <w:tblCellSpacing w:w="0" w:type="dxa"/>
        </w:trPr>
        <w:tc>
          <w:tcPr>
            <w:tcW w:w="0" w:type="auto"/>
            <w:noWrap w:val="0"/>
            <w:vAlign w:val="center"/>
          </w:tcPr>
          <w:p w14:paraId="65044119">
            <w:r>
              <w:rPr>
                <w:rStyle w:val="10"/>
                <w:rFonts w:hint="eastAsia"/>
              </w:rPr>
              <w:t>毒性及其标识：</w:t>
            </w:r>
            <w:r>
              <w:rPr>
                <w:rFonts w:hint="eastAsia"/>
              </w:rPr>
              <w:t xml:space="preserve"> </w:t>
            </w:r>
            <w:r>
              <w:rPr>
                <w:lang/>
              </w:rPr>
              <w:drawing>
                <wp:inline distT="0" distB="0" distL="114300" distR="114300">
                  <wp:extent cx="476250" cy="323850"/>
                  <wp:effectExtent l="0" t="0" r="0" b="0"/>
                  <wp:docPr id="620" name="图片 62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3116625">
        <w:tblPrEx>
          <w:tblCellMar>
            <w:top w:w="0" w:type="dxa"/>
            <w:left w:w="0" w:type="dxa"/>
            <w:bottom w:w="0" w:type="dxa"/>
            <w:right w:w="0" w:type="dxa"/>
          </w:tblCellMar>
        </w:tblPrEx>
        <w:trPr>
          <w:wBefore w:w="0" w:type="auto"/>
          <w:tblCellSpacing w:w="0" w:type="dxa"/>
        </w:trPr>
        <w:tc>
          <w:tcPr>
            <w:tcW w:w="0" w:type="auto"/>
            <w:noWrap w:val="0"/>
            <w:vAlign w:val="center"/>
          </w:tcPr>
          <w:p w14:paraId="57EF38C6">
            <w:r>
              <w:rPr>
                <w:rStyle w:val="10"/>
                <w:rFonts w:hint="eastAsia"/>
              </w:rPr>
              <w:t>总有效成分含量：</w:t>
            </w:r>
            <w:r>
              <w:rPr>
                <w:rFonts w:hint="eastAsia"/>
              </w:rPr>
              <w:t>3%</w:t>
            </w:r>
          </w:p>
        </w:tc>
      </w:tr>
      <w:tr w14:paraId="11BE4B04">
        <w:tblPrEx>
          <w:tblCellMar>
            <w:top w:w="0" w:type="dxa"/>
            <w:left w:w="0" w:type="dxa"/>
            <w:bottom w:w="0" w:type="dxa"/>
            <w:right w:w="0" w:type="dxa"/>
          </w:tblCellMar>
        </w:tblPrEx>
        <w:trPr>
          <w:wBefore w:w="0" w:type="auto"/>
          <w:tblCellSpacing w:w="0" w:type="dxa"/>
        </w:trPr>
        <w:tc>
          <w:tcPr>
            <w:tcW w:w="0" w:type="auto"/>
            <w:noWrap w:val="0"/>
            <w:vAlign w:val="center"/>
          </w:tcPr>
          <w:p w14:paraId="3EA75706">
            <w:r>
              <w:rPr>
                <w:rFonts w:hint="eastAsia"/>
              </w:rPr>
              <w:t xml:space="preserve">有效成分及其含量： </w:t>
            </w:r>
          </w:p>
          <w:p w14:paraId="6866BB73">
            <w:r>
              <w:rPr>
                <w:rFonts w:hint="eastAsia"/>
              </w:rPr>
              <w:t xml:space="preserve">    戊唑醇0.3%    吡虫啉2.7%    </w:t>
            </w:r>
          </w:p>
        </w:tc>
      </w:tr>
      <w:tr w14:paraId="774DDCB8">
        <w:tblPrEx>
          <w:tblCellMar>
            <w:top w:w="0" w:type="dxa"/>
            <w:left w:w="0" w:type="dxa"/>
            <w:bottom w:w="0" w:type="dxa"/>
            <w:right w:w="0" w:type="dxa"/>
          </w:tblCellMar>
        </w:tblPrEx>
        <w:trPr>
          <w:wBefore w:w="0" w:type="auto"/>
          <w:tblCellSpacing w:w="0" w:type="dxa"/>
        </w:trPr>
        <w:tc>
          <w:tcPr>
            <w:tcW w:w="0" w:type="auto"/>
            <w:noWrap w:val="0"/>
            <w:vAlign w:val="center"/>
          </w:tcPr>
          <w:p w14:paraId="68AB42DD">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20A6F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3D62A2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42DBACC3">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DF2068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50419A90">
                  <w:r>
                    <w:rPr>
                      <w:rStyle w:val="11"/>
                      <w:rFonts w:hint="eastAsia"/>
                    </w:rPr>
                    <w:t>施用方式</w:t>
                  </w:r>
                </w:p>
              </w:tc>
            </w:tr>
            <w:tr w14:paraId="5646BF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9FEC16C">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7891C6E">
                  <w:r>
                    <w:rPr>
                      <w:rStyle w:val="11"/>
                      <w:rFonts w:hint="eastAsia"/>
                    </w:rPr>
                    <w:t>蚜虫</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F69A5E2">
                  <w:r>
                    <w:rPr>
                      <w:rStyle w:val="11"/>
                      <w:rFonts w:hint="eastAsia"/>
                    </w:rPr>
                    <w:t>6000-8000毫升/100千克种子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F366B49">
                  <w:r>
                    <w:rPr>
                      <w:rStyle w:val="11"/>
                      <w:rFonts w:hint="eastAsia"/>
                    </w:rPr>
                    <w:t>种子包衣</w:t>
                  </w:r>
                </w:p>
              </w:tc>
            </w:tr>
            <w:tr w14:paraId="7E97B6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DFB6F3A">
                  <w:r>
                    <w:rPr>
                      <w:rStyle w:val="11"/>
                      <w:rFonts w:hint="eastAsia"/>
                    </w:rPr>
                    <w:t>小麦</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53874DA">
                  <w:r>
                    <w:rPr>
                      <w:rStyle w:val="11"/>
                      <w:rFonts w:hint="eastAsia"/>
                    </w:rPr>
                    <w:t>全蚀病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83249B4">
                  <w:r>
                    <w:rPr>
                      <w:rStyle w:val="11"/>
                      <w:rFonts w:hint="eastAsia"/>
                    </w:rPr>
                    <w:t>6000-8000毫升/100千克种子</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6CB32B6">
                  <w:r>
                    <w:rPr>
                      <w:rStyle w:val="11"/>
                      <w:rFonts w:hint="eastAsia"/>
                    </w:rPr>
                    <w:t>种子包衣</w:t>
                  </w:r>
                </w:p>
              </w:tc>
            </w:tr>
          </w:tbl>
          <w:p w14:paraId="7E2E3214">
            <w:pPr>
              <w:rPr>
                <w:rFonts w:ascii="Times New Roman" w:hAnsi="Times New Roman" w:cs="Times New Roman"/>
                <w:sz w:val="20"/>
                <w:szCs w:val="20"/>
              </w:rPr>
            </w:pPr>
          </w:p>
        </w:tc>
      </w:tr>
      <w:tr w14:paraId="1B42082B">
        <w:tblPrEx>
          <w:tblCellMar>
            <w:top w:w="0" w:type="dxa"/>
            <w:left w:w="0" w:type="dxa"/>
            <w:bottom w:w="0" w:type="dxa"/>
            <w:right w:w="0" w:type="dxa"/>
          </w:tblCellMar>
        </w:tblPrEx>
        <w:trPr>
          <w:wBefore w:w="0" w:type="auto"/>
          <w:tblCellSpacing w:w="0" w:type="dxa"/>
        </w:trPr>
        <w:tc>
          <w:tcPr>
            <w:tcW w:w="0" w:type="auto"/>
            <w:noWrap w:val="0"/>
            <w:vAlign w:val="center"/>
          </w:tcPr>
          <w:p w14:paraId="08392EA2">
            <w:r>
              <w:rPr>
                <w:rStyle w:val="10"/>
                <w:rFonts w:hint="eastAsia"/>
              </w:rPr>
              <w:t>使用技术要求:</w:t>
            </w:r>
            <w:r>
              <w:rPr>
                <w:rFonts w:hint="eastAsia"/>
              </w:rPr>
              <w:br w:type="textWrapping"/>
            </w:r>
            <w:r>
              <w:rPr>
                <w:rStyle w:val="11"/>
                <w:rFonts w:hint="eastAsia"/>
              </w:rPr>
              <w:t>1. 小麦播种前种子包衣施药1次。手工包衣：根据种子量确定制剂用药量，加适量清水，混合均匀调成浆状药液，倒在种子上充分搅拌，待均匀着药后，摊开晾于通风阴凉处。机械包衣：按推荐制剂用药量加适量清水，混合均匀后调成浆状药液；选用适宜的包衣机械，根据要求调整药种比进行包衣处理。 播种时需考虑低温、大雨等不良环境影响，适时播种。</w:t>
            </w:r>
          </w:p>
        </w:tc>
      </w:tr>
      <w:tr w14:paraId="75104F99">
        <w:tblPrEx>
          <w:tblCellMar>
            <w:top w:w="0" w:type="dxa"/>
            <w:left w:w="0" w:type="dxa"/>
            <w:bottom w:w="0" w:type="dxa"/>
            <w:right w:w="0" w:type="dxa"/>
          </w:tblCellMar>
        </w:tblPrEx>
        <w:trPr>
          <w:wBefore w:w="0" w:type="auto"/>
          <w:tblCellSpacing w:w="0" w:type="dxa"/>
        </w:trPr>
        <w:tc>
          <w:tcPr>
            <w:tcW w:w="0" w:type="auto"/>
            <w:noWrap w:val="0"/>
            <w:vAlign w:val="center"/>
          </w:tcPr>
          <w:p w14:paraId="7B007108">
            <w:r>
              <w:rPr>
                <w:rStyle w:val="10"/>
                <w:rFonts w:hint="eastAsia"/>
              </w:rPr>
              <w:t>产品性能:</w:t>
            </w:r>
            <w:r>
              <w:rPr>
                <w:rFonts w:hint="eastAsia"/>
              </w:rPr>
              <w:br w:type="textWrapping"/>
            </w:r>
            <w:r>
              <w:rPr>
                <w:rStyle w:val="11"/>
                <w:rFonts w:hint="eastAsia"/>
              </w:rPr>
              <w:t>本产品是烟碱类杀虫剂吡虫啉与三唑类杀菌剂戊唑醇复配而成，既可防治小麦害虫，又可防治小麦种传和土传病害。吡虫啉内吸性较强，具备胃毒和触杀作用，对蚜虫具有较高的防效和较长的持效期；戊唑醇为内吸性杀菌剂，防治全蚀病，用量低，持效期较长。</w:t>
            </w:r>
          </w:p>
        </w:tc>
      </w:tr>
      <w:tr w14:paraId="4FAD1DF9">
        <w:tblPrEx>
          <w:tblCellMar>
            <w:top w:w="0" w:type="dxa"/>
            <w:left w:w="0" w:type="dxa"/>
            <w:bottom w:w="0" w:type="dxa"/>
            <w:right w:w="0" w:type="dxa"/>
          </w:tblCellMar>
        </w:tblPrEx>
        <w:trPr>
          <w:wBefore w:w="0" w:type="auto"/>
          <w:tblCellSpacing w:w="0" w:type="dxa"/>
        </w:trPr>
        <w:tc>
          <w:tcPr>
            <w:tcW w:w="0" w:type="auto"/>
            <w:noWrap w:val="0"/>
            <w:vAlign w:val="center"/>
          </w:tcPr>
          <w:p w14:paraId="42BD08F6">
            <w:r>
              <w:rPr>
                <w:rStyle w:val="10"/>
                <w:rFonts w:hint="eastAsia"/>
              </w:rPr>
              <w:t>注意事项：</w:t>
            </w:r>
            <w:r>
              <w:rPr>
                <w:rFonts w:hint="eastAsia"/>
              </w:rPr>
              <w:br w:type="textWrapping"/>
            </w:r>
            <w:r>
              <w:rPr>
                <w:rStyle w:val="11"/>
                <w:rFonts w:hint="eastAsia"/>
              </w:rPr>
              <w:t>1. 本品对皮肤、眼睛有刺激性，施用时注意安全防护，穿（戴）长衣、长裤、帽子、口罩、手套、鞋子等，避免刺激眼睛、皮肤接触及口鼻吸入，切勿吸烟或饮食。使用后及时洗手。 2.本品对鸟类有毒，鸟类保护区附近禁用，播种后立即覆土；远离水产养殖区、河塘等水体施药，禁止在河塘等水体中清洗施药器具。 3. 处理后的种子禁止供人畜食用，也不要与未处理种子混合或一起存放。4.本品勿与碱性农药等物质混合使用。5.用过的容器应妥善处理，不可做他用，也不可随意丢弃。6.孕妇及哺乳期妇女禁止接触本品。</w:t>
            </w:r>
          </w:p>
        </w:tc>
      </w:tr>
      <w:tr w14:paraId="16849681">
        <w:tblPrEx>
          <w:tblCellMar>
            <w:top w:w="0" w:type="dxa"/>
            <w:left w:w="0" w:type="dxa"/>
            <w:bottom w:w="0" w:type="dxa"/>
            <w:right w:w="0" w:type="dxa"/>
          </w:tblCellMar>
        </w:tblPrEx>
        <w:trPr>
          <w:wBefore w:w="0" w:type="auto"/>
          <w:tblCellSpacing w:w="0" w:type="dxa"/>
        </w:trPr>
        <w:tc>
          <w:tcPr>
            <w:tcW w:w="0" w:type="auto"/>
            <w:noWrap w:val="0"/>
            <w:vAlign w:val="center"/>
          </w:tcPr>
          <w:p w14:paraId="7B1613A5">
            <w:r>
              <w:rPr>
                <w:rStyle w:val="10"/>
                <w:rFonts w:hint="eastAsia"/>
              </w:rPr>
              <w:t>中毒急救措施：</w:t>
            </w:r>
            <w:r>
              <w:rPr>
                <w:rFonts w:hint="eastAsia"/>
              </w:rPr>
              <w:br w:type="textWrapping"/>
            </w:r>
            <w:r>
              <w:rPr>
                <w:rStyle w:val="11"/>
                <w:rFonts w:hint="eastAsia"/>
              </w:rPr>
              <w:t>中毒症状：一般只对皮肤和眼有刺激作用，无人体中毒的报道。 急救措施：1.皮肤接触：立即脱掉被污染的衣物，用大量清水冲洗；眼睛溅药：立即将眼睑翻开，用清水冲洗至少15分钟，再请医生诊治。 3.不慎吸入：立即将吸入者转移到空气新鲜处，如果吸入者停止呼吸， 需进行人工呼吸。请医生诊治。 4.误服：请用清水充分漱口后，立即携带标签，送医就诊。无专用解毒剂，对症治疗。</w:t>
            </w:r>
          </w:p>
        </w:tc>
      </w:tr>
      <w:tr w14:paraId="15962AFA">
        <w:tblPrEx>
          <w:tblCellMar>
            <w:top w:w="0" w:type="dxa"/>
            <w:left w:w="0" w:type="dxa"/>
            <w:bottom w:w="0" w:type="dxa"/>
            <w:right w:w="0" w:type="dxa"/>
          </w:tblCellMar>
        </w:tblPrEx>
        <w:trPr>
          <w:wBefore w:w="0" w:type="auto"/>
          <w:tblCellSpacing w:w="0" w:type="dxa"/>
        </w:trPr>
        <w:tc>
          <w:tcPr>
            <w:tcW w:w="0" w:type="auto"/>
            <w:noWrap w:val="0"/>
            <w:vAlign w:val="center"/>
          </w:tcPr>
          <w:p w14:paraId="7F5B3B0D">
            <w:r>
              <w:rPr>
                <w:rStyle w:val="10"/>
                <w:rFonts w:hint="eastAsia"/>
              </w:rPr>
              <w:t>储存和运输方法：</w:t>
            </w:r>
            <w:r>
              <w:rPr>
                <w:rFonts w:hint="eastAsia"/>
              </w:rPr>
              <w:br w:type="textWrapping"/>
            </w:r>
            <w:r>
              <w:rPr>
                <w:rStyle w:val="11"/>
                <w:rFonts w:hint="eastAsia"/>
              </w:rPr>
              <w:t xml:space="preserve">本品贮存应注意阴凉、干燥、通风，远离火源、热源存放；置于儿童、无关人员触及不到之处，并加锁。勿与食品、饮料、饲料、粮食等同贮同运。装卸运输时注意检查包装是否密封完整，轻拿轻放，不可倒置。 </w:t>
            </w:r>
          </w:p>
        </w:tc>
      </w:tr>
      <w:tr w14:paraId="7B8AA516">
        <w:tblPrEx>
          <w:tblCellMar>
            <w:top w:w="0" w:type="dxa"/>
            <w:left w:w="0" w:type="dxa"/>
            <w:bottom w:w="0" w:type="dxa"/>
            <w:right w:w="0" w:type="dxa"/>
          </w:tblCellMar>
        </w:tblPrEx>
        <w:trPr>
          <w:wBefore w:w="0" w:type="auto"/>
          <w:tblCellSpacing w:w="0" w:type="dxa"/>
        </w:trPr>
        <w:tc>
          <w:tcPr>
            <w:tcW w:w="0" w:type="auto"/>
            <w:noWrap w:val="0"/>
            <w:vAlign w:val="center"/>
          </w:tcPr>
          <w:p w14:paraId="66E27405">
            <w:r>
              <w:rPr>
                <w:rStyle w:val="10"/>
                <w:rFonts w:hint="eastAsia"/>
              </w:rPr>
              <w:t>质量保证期：</w:t>
            </w:r>
            <w:r>
              <w:rPr>
                <w:rStyle w:val="11"/>
                <w:rFonts w:hint="eastAsia"/>
              </w:rPr>
              <w:t>2年</w:t>
            </w:r>
          </w:p>
        </w:tc>
      </w:tr>
      <w:tr w14:paraId="076079B1">
        <w:tblPrEx>
          <w:tblCellMar>
            <w:top w:w="0" w:type="dxa"/>
            <w:left w:w="0" w:type="dxa"/>
            <w:bottom w:w="0" w:type="dxa"/>
            <w:right w:w="0" w:type="dxa"/>
          </w:tblCellMar>
        </w:tblPrEx>
        <w:trPr>
          <w:wBefore w:w="0" w:type="auto"/>
          <w:tblCellSpacing w:w="0" w:type="dxa"/>
        </w:trPr>
        <w:tc>
          <w:tcPr>
            <w:tcW w:w="0" w:type="auto"/>
            <w:noWrap w:val="0"/>
            <w:vAlign w:val="center"/>
          </w:tcPr>
          <w:p w14:paraId="23EEB00E">
            <w:r>
              <w:rPr>
                <w:rStyle w:val="10"/>
                <w:rFonts w:hint="eastAsia"/>
              </w:rPr>
              <w:t>备注：</w:t>
            </w:r>
          </w:p>
        </w:tc>
      </w:tr>
    </w:tbl>
    <w:p w14:paraId="176C4DAA">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42545AA">
        <w:trPr>
          <w:wBefore w:w="0" w:type="auto"/>
          <w:tblCellSpacing w:w="0" w:type="dxa"/>
        </w:trPr>
        <w:tc>
          <w:tcPr>
            <w:tcW w:w="0" w:type="auto"/>
            <w:noWrap w:val="0"/>
            <w:vAlign w:val="center"/>
          </w:tcPr>
          <w:p w14:paraId="4B3B4FFF">
            <w:r>
              <w:rPr>
                <w:rStyle w:val="10"/>
                <w:rFonts w:hint="eastAsia"/>
              </w:rPr>
              <w:t>登记证号：</w:t>
            </w:r>
            <w:r>
              <w:rPr>
                <w:rFonts w:hint="eastAsia"/>
              </w:rPr>
              <w:t>PD20211989</w:t>
            </w:r>
          </w:p>
        </w:tc>
      </w:tr>
      <w:tr w14:paraId="385368C0">
        <w:tblPrEx>
          <w:tblCellMar>
            <w:top w:w="0" w:type="dxa"/>
            <w:left w:w="0" w:type="dxa"/>
            <w:bottom w:w="0" w:type="dxa"/>
            <w:right w:w="0" w:type="dxa"/>
          </w:tblCellMar>
        </w:tblPrEx>
        <w:trPr>
          <w:wBefore w:w="0" w:type="auto"/>
          <w:tblCellSpacing w:w="0" w:type="dxa"/>
        </w:trPr>
        <w:tc>
          <w:tcPr>
            <w:tcW w:w="0" w:type="auto"/>
            <w:noWrap w:val="0"/>
            <w:vAlign w:val="center"/>
          </w:tcPr>
          <w:p w14:paraId="14A54460">
            <w:r>
              <w:rPr>
                <w:rStyle w:val="10"/>
                <w:rFonts w:hint="eastAsia"/>
              </w:rPr>
              <w:t>登记证持有人：</w:t>
            </w:r>
            <w:r>
              <w:rPr>
                <w:rFonts w:hint="eastAsia"/>
              </w:rPr>
              <w:t>陕西美邦药业集团股份有限公司</w:t>
            </w:r>
          </w:p>
        </w:tc>
      </w:tr>
      <w:tr w14:paraId="7D00BACB">
        <w:tblPrEx>
          <w:tblCellMar>
            <w:top w:w="0" w:type="dxa"/>
            <w:left w:w="0" w:type="dxa"/>
            <w:bottom w:w="0" w:type="dxa"/>
            <w:right w:w="0" w:type="dxa"/>
          </w:tblCellMar>
        </w:tblPrEx>
        <w:trPr>
          <w:wBefore w:w="0" w:type="auto"/>
          <w:tblCellSpacing w:w="0" w:type="dxa"/>
        </w:trPr>
        <w:tc>
          <w:tcPr>
            <w:tcW w:w="0" w:type="auto"/>
            <w:noWrap w:val="0"/>
            <w:vAlign w:val="center"/>
          </w:tcPr>
          <w:p w14:paraId="2F1767C2">
            <w:r>
              <w:rPr>
                <w:rStyle w:val="10"/>
                <w:rFonts w:hint="eastAsia"/>
              </w:rPr>
              <w:t>农药名称：</w:t>
            </w:r>
            <w:r>
              <w:rPr>
                <w:rFonts w:hint="eastAsia"/>
              </w:rPr>
              <w:t>氟吡菌胺·霜脲氰</w:t>
            </w:r>
          </w:p>
        </w:tc>
      </w:tr>
      <w:tr w14:paraId="7FB9B214">
        <w:tblPrEx>
          <w:tblCellMar>
            <w:top w:w="0" w:type="dxa"/>
            <w:left w:w="0" w:type="dxa"/>
            <w:bottom w:w="0" w:type="dxa"/>
            <w:right w:w="0" w:type="dxa"/>
          </w:tblCellMar>
        </w:tblPrEx>
        <w:trPr>
          <w:wBefore w:w="0" w:type="auto"/>
          <w:tblCellSpacing w:w="0" w:type="dxa"/>
        </w:trPr>
        <w:tc>
          <w:tcPr>
            <w:tcW w:w="0" w:type="auto"/>
            <w:noWrap w:val="0"/>
            <w:vAlign w:val="center"/>
          </w:tcPr>
          <w:p w14:paraId="34A8CBAC">
            <w:r>
              <w:rPr>
                <w:rStyle w:val="10"/>
                <w:rFonts w:hint="eastAsia"/>
              </w:rPr>
              <w:t>剂型：</w:t>
            </w:r>
            <w:r>
              <w:rPr>
                <w:rFonts w:hint="eastAsia"/>
              </w:rPr>
              <w:t>水分散粒剂</w:t>
            </w:r>
          </w:p>
        </w:tc>
      </w:tr>
      <w:tr w14:paraId="0DA644C5">
        <w:tblPrEx>
          <w:tblCellMar>
            <w:top w:w="0" w:type="dxa"/>
            <w:left w:w="0" w:type="dxa"/>
            <w:bottom w:w="0" w:type="dxa"/>
            <w:right w:w="0" w:type="dxa"/>
          </w:tblCellMar>
        </w:tblPrEx>
        <w:trPr>
          <w:wBefore w:w="0" w:type="auto"/>
          <w:tblCellSpacing w:w="0" w:type="dxa"/>
        </w:trPr>
        <w:tc>
          <w:tcPr>
            <w:tcW w:w="0" w:type="auto"/>
            <w:noWrap w:val="0"/>
            <w:vAlign w:val="center"/>
          </w:tcPr>
          <w:p w14:paraId="503D08FF">
            <w:r>
              <w:rPr>
                <w:rStyle w:val="10"/>
                <w:rFonts w:hint="eastAsia"/>
              </w:rPr>
              <w:t>毒性及其标识：</w:t>
            </w:r>
            <w:r>
              <w:rPr>
                <w:rFonts w:hint="eastAsia"/>
              </w:rPr>
              <w:t xml:space="preserve"> </w:t>
            </w:r>
            <w:r>
              <w:rPr>
                <w:lang/>
              </w:rPr>
              <w:drawing>
                <wp:inline distT="0" distB="0" distL="114300" distR="114300">
                  <wp:extent cx="476250" cy="323850"/>
                  <wp:effectExtent l="0" t="0" r="0" b="0"/>
                  <wp:docPr id="621" name="图片 621"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1C222ECD">
        <w:tblPrEx>
          <w:tblCellMar>
            <w:top w:w="0" w:type="dxa"/>
            <w:left w:w="0" w:type="dxa"/>
            <w:bottom w:w="0" w:type="dxa"/>
            <w:right w:w="0" w:type="dxa"/>
          </w:tblCellMar>
        </w:tblPrEx>
        <w:trPr>
          <w:wBefore w:w="0" w:type="auto"/>
          <w:tblCellSpacing w:w="0" w:type="dxa"/>
        </w:trPr>
        <w:tc>
          <w:tcPr>
            <w:tcW w:w="0" w:type="auto"/>
            <w:noWrap w:val="0"/>
            <w:vAlign w:val="center"/>
          </w:tcPr>
          <w:p w14:paraId="07AC5B15">
            <w:r>
              <w:rPr>
                <w:rStyle w:val="10"/>
                <w:rFonts w:hint="eastAsia"/>
              </w:rPr>
              <w:t>总有效成分含量：</w:t>
            </w:r>
            <w:r>
              <w:rPr>
                <w:rFonts w:hint="eastAsia"/>
              </w:rPr>
              <w:t>70%</w:t>
            </w:r>
          </w:p>
        </w:tc>
      </w:tr>
      <w:tr w14:paraId="2410BAEB">
        <w:tblPrEx>
          <w:tblCellMar>
            <w:top w:w="0" w:type="dxa"/>
            <w:left w:w="0" w:type="dxa"/>
            <w:bottom w:w="0" w:type="dxa"/>
            <w:right w:w="0" w:type="dxa"/>
          </w:tblCellMar>
        </w:tblPrEx>
        <w:trPr>
          <w:wBefore w:w="0" w:type="auto"/>
          <w:tblCellSpacing w:w="0" w:type="dxa"/>
        </w:trPr>
        <w:tc>
          <w:tcPr>
            <w:tcW w:w="0" w:type="auto"/>
            <w:noWrap w:val="0"/>
            <w:vAlign w:val="center"/>
          </w:tcPr>
          <w:p w14:paraId="20B00353">
            <w:r>
              <w:rPr>
                <w:rFonts w:hint="eastAsia"/>
              </w:rPr>
              <w:t xml:space="preserve">有效成分及其含量： </w:t>
            </w:r>
          </w:p>
          <w:p w14:paraId="0CF0BCF8">
            <w:r>
              <w:rPr>
                <w:rFonts w:hint="eastAsia"/>
              </w:rPr>
              <w:t xml:space="preserve">    氟吡菌胺20%    霜脲氰50%    </w:t>
            </w:r>
          </w:p>
        </w:tc>
      </w:tr>
      <w:tr w14:paraId="25606353">
        <w:tblPrEx>
          <w:tblCellMar>
            <w:top w:w="0" w:type="dxa"/>
            <w:left w:w="0" w:type="dxa"/>
            <w:bottom w:w="0" w:type="dxa"/>
            <w:right w:w="0" w:type="dxa"/>
          </w:tblCellMar>
        </w:tblPrEx>
        <w:trPr>
          <w:wBefore w:w="0" w:type="auto"/>
          <w:tblCellSpacing w:w="0" w:type="dxa"/>
        </w:trPr>
        <w:tc>
          <w:tcPr>
            <w:tcW w:w="0" w:type="auto"/>
            <w:noWrap w:val="0"/>
            <w:vAlign w:val="center"/>
          </w:tcPr>
          <w:p w14:paraId="297A845B">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296EFF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7B0F025A">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4CC534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86B894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0649DCC">
                  <w:r>
                    <w:rPr>
                      <w:rStyle w:val="11"/>
                      <w:rFonts w:hint="eastAsia"/>
                    </w:rPr>
                    <w:t>施用方式</w:t>
                  </w:r>
                </w:p>
              </w:tc>
            </w:tr>
            <w:tr w14:paraId="022D59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41F6661">
                  <w:r>
                    <w:rPr>
                      <w:rStyle w:val="11"/>
                      <w:rFonts w:hint="eastAsia"/>
                    </w:rPr>
                    <w:t>黄瓜</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10EC465">
                  <w:r>
                    <w:rPr>
                      <w:rStyle w:val="11"/>
                      <w:rFonts w:hint="eastAsia"/>
                    </w:rPr>
                    <w:t>霜霉病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81E82B5">
                  <w:r>
                    <w:rPr>
                      <w:rStyle w:val="11"/>
                      <w:rFonts w:hint="eastAsia"/>
                    </w:rPr>
                    <w:t>12-18克/亩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AD0A330">
                  <w:r>
                    <w:rPr>
                      <w:rStyle w:val="11"/>
                      <w:rFonts w:hint="eastAsia"/>
                    </w:rPr>
                    <w:t>喷雾</w:t>
                  </w:r>
                </w:p>
              </w:tc>
            </w:tr>
          </w:tbl>
          <w:p w14:paraId="0CD4E8AE">
            <w:pPr>
              <w:rPr>
                <w:rFonts w:ascii="Times New Roman" w:hAnsi="Times New Roman" w:cs="Times New Roman"/>
                <w:sz w:val="20"/>
                <w:szCs w:val="20"/>
              </w:rPr>
            </w:pPr>
          </w:p>
        </w:tc>
      </w:tr>
      <w:tr w14:paraId="2919126A">
        <w:tblPrEx>
          <w:tblCellMar>
            <w:top w:w="0" w:type="dxa"/>
            <w:left w:w="0" w:type="dxa"/>
            <w:bottom w:w="0" w:type="dxa"/>
            <w:right w:w="0" w:type="dxa"/>
          </w:tblCellMar>
        </w:tblPrEx>
        <w:trPr>
          <w:wBefore w:w="0" w:type="auto"/>
          <w:tblCellSpacing w:w="0" w:type="dxa"/>
        </w:trPr>
        <w:tc>
          <w:tcPr>
            <w:tcW w:w="0" w:type="auto"/>
            <w:noWrap w:val="0"/>
            <w:vAlign w:val="center"/>
          </w:tcPr>
          <w:p w14:paraId="622B2DD5">
            <w:r>
              <w:rPr>
                <w:rStyle w:val="10"/>
                <w:rFonts w:hint="eastAsia"/>
              </w:rPr>
              <w:t>使用技术要求:</w:t>
            </w:r>
            <w:r>
              <w:rPr>
                <w:rFonts w:hint="eastAsia"/>
              </w:rPr>
              <w:br w:type="textWrapping"/>
            </w:r>
            <w:r>
              <w:rPr>
                <w:rStyle w:val="11"/>
                <w:rFonts w:hint="eastAsia"/>
              </w:rPr>
              <w:t>1.本品适宜施药时期为黄瓜霜霉病发病前或发病初期施药，连续施药3次，每次间隔7-10天，注意喷雾均匀、周到，以确保药效。2. 大风天或预计1小时内降雨，请勿施药。3.本品在黄瓜使用时的安全间隔期为3天，每季作物最多使用2次。</w:t>
            </w:r>
          </w:p>
        </w:tc>
      </w:tr>
      <w:tr w14:paraId="11D77A57">
        <w:tblPrEx>
          <w:tblCellMar>
            <w:top w:w="0" w:type="dxa"/>
            <w:left w:w="0" w:type="dxa"/>
            <w:bottom w:w="0" w:type="dxa"/>
            <w:right w:w="0" w:type="dxa"/>
          </w:tblCellMar>
        </w:tblPrEx>
        <w:trPr>
          <w:wBefore w:w="0" w:type="auto"/>
          <w:tblCellSpacing w:w="0" w:type="dxa"/>
        </w:trPr>
        <w:tc>
          <w:tcPr>
            <w:tcW w:w="0" w:type="auto"/>
            <w:noWrap w:val="0"/>
            <w:vAlign w:val="center"/>
          </w:tcPr>
          <w:p w14:paraId="00396ABB">
            <w:r>
              <w:rPr>
                <w:rStyle w:val="10"/>
                <w:rFonts w:hint="eastAsia"/>
              </w:rPr>
              <w:t>产品性能:</w:t>
            </w:r>
            <w:r>
              <w:rPr>
                <w:rFonts w:hint="eastAsia"/>
              </w:rPr>
              <w:br w:type="textWrapping"/>
            </w:r>
            <w:r>
              <w:rPr>
                <w:rStyle w:val="11"/>
                <w:rFonts w:hint="eastAsia"/>
              </w:rPr>
              <w:t>本品是由氟吡菌胺和霜脲氰复配而成的杀菌剂，氟吡菌胺为酰胺类杀菌剂，对卵菌纲病菌有很高的生物活性，具有保护和治疗作用，有较强的渗透性；霜脲氰是一种低毒杀菌剂，主要是组织病菌孢子萌发及菌丝生长，二者复配对黄瓜霜霉病具有较好的防治效果。</w:t>
            </w:r>
          </w:p>
        </w:tc>
      </w:tr>
      <w:tr w14:paraId="26F344C7">
        <w:tblPrEx>
          <w:tblCellMar>
            <w:top w:w="0" w:type="dxa"/>
            <w:left w:w="0" w:type="dxa"/>
            <w:bottom w:w="0" w:type="dxa"/>
            <w:right w:w="0" w:type="dxa"/>
          </w:tblCellMar>
        </w:tblPrEx>
        <w:trPr>
          <w:wBefore w:w="0" w:type="auto"/>
          <w:tblCellSpacing w:w="0" w:type="dxa"/>
        </w:trPr>
        <w:tc>
          <w:tcPr>
            <w:tcW w:w="0" w:type="auto"/>
            <w:noWrap w:val="0"/>
            <w:vAlign w:val="center"/>
          </w:tcPr>
          <w:p w14:paraId="3C4DFF60">
            <w:r>
              <w:rPr>
                <w:rStyle w:val="10"/>
                <w:rFonts w:hint="eastAsia"/>
              </w:rPr>
              <w:t>注意事项：</w:t>
            </w:r>
            <w:r>
              <w:rPr>
                <w:rFonts w:hint="eastAsia"/>
              </w:rPr>
              <w:br w:type="textWrapping"/>
            </w:r>
            <w:r>
              <w:rPr>
                <w:rStyle w:val="11"/>
                <w:rFonts w:hint="eastAsia"/>
              </w:rPr>
              <w:t>1、严格按照规定用药量和方法使用。 2、建议与其他作用机制不同的杀菌剂轮换使用，以延缓抗性产生。 3、本品对鱼、蚕、溞、藻有毒，蚕室及桑园附近禁用；水产养殖区、河塘等水体附近禁用，禁止在河塘等水体中清洗施药器具。 4、对眼睛有中度刺激性，使用时穿戴长衣长裤、帽子、口罩、手套、鞋等安全防护措施。施药期间不可吃东西、饮水、吸烟等；施药后应及时洗手、洗脸并洗涤施药时穿着的衣物。 5、用药后包装物及用过的容器应妥善处理，不可做他用，也不可随意丢弃。 6、孕妇及哺乳期妇女禁止接触本产品。</w:t>
            </w:r>
          </w:p>
        </w:tc>
      </w:tr>
      <w:tr w14:paraId="0580F2C0">
        <w:tblPrEx>
          <w:tblCellMar>
            <w:top w:w="0" w:type="dxa"/>
            <w:left w:w="0" w:type="dxa"/>
            <w:bottom w:w="0" w:type="dxa"/>
            <w:right w:w="0" w:type="dxa"/>
          </w:tblCellMar>
        </w:tblPrEx>
        <w:trPr>
          <w:wBefore w:w="0" w:type="auto"/>
          <w:tblCellSpacing w:w="0" w:type="dxa"/>
        </w:trPr>
        <w:tc>
          <w:tcPr>
            <w:tcW w:w="0" w:type="auto"/>
            <w:noWrap w:val="0"/>
            <w:vAlign w:val="center"/>
          </w:tcPr>
          <w:p w14:paraId="4BE64F51">
            <w:r>
              <w:rPr>
                <w:rStyle w:val="10"/>
                <w:rFonts w:hint="eastAsia"/>
              </w:rPr>
              <w:t>中毒急救措施：</w:t>
            </w:r>
            <w:r>
              <w:rPr>
                <w:rFonts w:hint="eastAsia"/>
              </w:rPr>
              <w:br w:type="textWrapping"/>
            </w:r>
            <w:r>
              <w:rPr>
                <w:rStyle w:val="11"/>
                <w:rFonts w:hint="eastAsia"/>
              </w:rPr>
              <w:t>使用中或使用后如果感觉不适，应立即停止工作，采取急救措施，并携带标签送医院就诊。皮肤接触：脱去污染的衣物，立即用软布去除沾染农药，用大量清水和肥皂冲洗。眼睛溅入：立即用流动清水冲洗不少于15分钟。误服：立即停止服用，用清水充分漱口后，携带农药标签到医院就诊。</w:t>
            </w:r>
          </w:p>
        </w:tc>
      </w:tr>
      <w:tr w14:paraId="06D866F4">
        <w:tblPrEx>
          <w:tblCellMar>
            <w:top w:w="0" w:type="dxa"/>
            <w:left w:w="0" w:type="dxa"/>
            <w:bottom w:w="0" w:type="dxa"/>
            <w:right w:w="0" w:type="dxa"/>
          </w:tblCellMar>
        </w:tblPrEx>
        <w:trPr>
          <w:wBefore w:w="0" w:type="auto"/>
          <w:tblCellSpacing w:w="0" w:type="dxa"/>
        </w:trPr>
        <w:tc>
          <w:tcPr>
            <w:tcW w:w="0" w:type="auto"/>
            <w:noWrap w:val="0"/>
            <w:vAlign w:val="center"/>
          </w:tcPr>
          <w:p w14:paraId="77295413">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本品应贮存在干燥、阴凉、通风、防雨处，远离火源或热源。置于儿童、无关人员及动物触及不到之处，并加锁保存。勿与食品、饮料、粮食、饲料、种子等其他商品同贮同运。</w:t>
            </w:r>
          </w:p>
        </w:tc>
      </w:tr>
      <w:tr w14:paraId="66EB56B2">
        <w:tblPrEx>
          <w:tblCellMar>
            <w:top w:w="0" w:type="dxa"/>
            <w:left w:w="0" w:type="dxa"/>
            <w:bottom w:w="0" w:type="dxa"/>
            <w:right w:w="0" w:type="dxa"/>
          </w:tblCellMar>
        </w:tblPrEx>
        <w:trPr>
          <w:wBefore w:w="0" w:type="auto"/>
          <w:tblCellSpacing w:w="0" w:type="dxa"/>
        </w:trPr>
        <w:tc>
          <w:tcPr>
            <w:tcW w:w="0" w:type="auto"/>
            <w:noWrap w:val="0"/>
            <w:vAlign w:val="center"/>
          </w:tcPr>
          <w:p w14:paraId="042C7107">
            <w:r>
              <w:rPr>
                <w:rStyle w:val="10"/>
                <w:rFonts w:hint="eastAsia"/>
              </w:rPr>
              <w:t>质量保证期：</w:t>
            </w:r>
            <w:r>
              <w:rPr>
                <w:rStyle w:val="11"/>
                <w:rFonts w:hint="eastAsia"/>
              </w:rPr>
              <w:t>2年</w:t>
            </w:r>
          </w:p>
        </w:tc>
      </w:tr>
      <w:tr w14:paraId="1660DC84">
        <w:tblPrEx>
          <w:tblCellMar>
            <w:top w:w="0" w:type="dxa"/>
            <w:left w:w="0" w:type="dxa"/>
            <w:bottom w:w="0" w:type="dxa"/>
            <w:right w:w="0" w:type="dxa"/>
          </w:tblCellMar>
        </w:tblPrEx>
        <w:trPr>
          <w:wBefore w:w="0" w:type="auto"/>
          <w:tblCellSpacing w:w="0" w:type="dxa"/>
        </w:trPr>
        <w:tc>
          <w:tcPr>
            <w:tcW w:w="0" w:type="auto"/>
            <w:noWrap w:val="0"/>
            <w:vAlign w:val="center"/>
          </w:tcPr>
          <w:p w14:paraId="1A2781EE">
            <w:r>
              <w:rPr>
                <w:rStyle w:val="10"/>
                <w:rFonts w:hint="eastAsia"/>
              </w:rPr>
              <w:t>备注：</w:t>
            </w:r>
          </w:p>
        </w:tc>
      </w:tr>
    </w:tbl>
    <w:p w14:paraId="0A109DC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06B42F3">
        <w:tblPrEx>
          <w:tblCellMar>
            <w:top w:w="0" w:type="dxa"/>
            <w:left w:w="0" w:type="dxa"/>
            <w:bottom w:w="0" w:type="dxa"/>
            <w:right w:w="0" w:type="dxa"/>
          </w:tblCellMar>
        </w:tblPrEx>
        <w:trPr>
          <w:wBefore w:w="0" w:type="auto"/>
          <w:tblCellSpacing w:w="0" w:type="dxa"/>
        </w:trPr>
        <w:tc>
          <w:tcPr>
            <w:tcW w:w="0" w:type="auto"/>
            <w:noWrap w:val="0"/>
            <w:vAlign w:val="center"/>
          </w:tcPr>
          <w:p w14:paraId="596C5B8E">
            <w:r>
              <w:rPr>
                <w:rStyle w:val="10"/>
                <w:rFonts w:hint="eastAsia"/>
              </w:rPr>
              <w:t>登记证号：</w:t>
            </w:r>
            <w:r>
              <w:rPr>
                <w:rFonts w:hint="eastAsia"/>
              </w:rPr>
              <w:t>PD20212147</w:t>
            </w:r>
          </w:p>
        </w:tc>
      </w:tr>
      <w:tr w14:paraId="01B66C66">
        <w:tblPrEx>
          <w:tblCellMar>
            <w:top w:w="0" w:type="dxa"/>
            <w:left w:w="0" w:type="dxa"/>
            <w:bottom w:w="0" w:type="dxa"/>
            <w:right w:w="0" w:type="dxa"/>
          </w:tblCellMar>
        </w:tblPrEx>
        <w:trPr>
          <w:wBefore w:w="0" w:type="auto"/>
          <w:tblCellSpacing w:w="0" w:type="dxa"/>
        </w:trPr>
        <w:tc>
          <w:tcPr>
            <w:tcW w:w="0" w:type="auto"/>
            <w:noWrap w:val="0"/>
            <w:vAlign w:val="center"/>
          </w:tcPr>
          <w:p w14:paraId="2BAEA331">
            <w:r>
              <w:rPr>
                <w:rStyle w:val="10"/>
                <w:rFonts w:hint="eastAsia"/>
              </w:rPr>
              <w:t>登记证持有人：</w:t>
            </w:r>
            <w:r>
              <w:rPr>
                <w:rFonts w:hint="eastAsia"/>
              </w:rPr>
              <w:t>成都科利隆生化有限公司</w:t>
            </w:r>
          </w:p>
        </w:tc>
      </w:tr>
      <w:tr w14:paraId="01DCAE8C">
        <w:tblPrEx>
          <w:tblCellMar>
            <w:top w:w="0" w:type="dxa"/>
            <w:left w:w="0" w:type="dxa"/>
            <w:bottom w:w="0" w:type="dxa"/>
            <w:right w:w="0" w:type="dxa"/>
          </w:tblCellMar>
        </w:tblPrEx>
        <w:trPr>
          <w:wBefore w:w="0" w:type="auto"/>
          <w:tblCellSpacing w:w="0" w:type="dxa"/>
        </w:trPr>
        <w:tc>
          <w:tcPr>
            <w:tcW w:w="0" w:type="auto"/>
            <w:noWrap w:val="0"/>
            <w:vAlign w:val="center"/>
          </w:tcPr>
          <w:p w14:paraId="122B16F1">
            <w:r>
              <w:rPr>
                <w:rStyle w:val="10"/>
                <w:rFonts w:hint="eastAsia"/>
              </w:rPr>
              <w:t>农药名称：</w:t>
            </w:r>
            <w:r>
              <w:rPr>
                <w:rFonts w:hint="eastAsia"/>
              </w:rPr>
              <w:t>苄嘧·嘧草醚</w:t>
            </w:r>
          </w:p>
        </w:tc>
      </w:tr>
      <w:tr w14:paraId="13A6FAAF">
        <w:tblPrEx>
          <w:tblCellMar>
            <w:top w:w="0" w:type="dxa"/>
            <w:left w:w="0" w:type="dxa"/>
            <w:bottom w:w="0" w:type="dxa"/>
            <w:right w:w="0" w:type="dxa"/>
          </w:tblCellMar>
        </w:tblPrEx>
        <w:trPr>
          <w:wBefore w:w="0" w:type="auto"/>
          <w:tblCellSpacing w:w="0" w:type="dxa"/>
        </w:trPr>
        <w:tc>
          <w:tcPr>
            <w:tcW w:w="0" w:type="auto"/>
            <w:noWrap w:val="0"/>
            <w:vAlign w:val="center"/>
          </w:tcPr>
          <w:p w14:paraId="29F1D517">
            <w:r>
              <w:rPr>
                <w:rStyle w:val="10"/>
                <w:rFonts w:hint="eastAsia"/>
              </w:rPr>
              <w:t>剂型：</w:t>
            </w:r>
            <w:r>
              <w:rPr>
                <w:rFonts w:hint="eastAsia"/>
              </w:rPr>
              <w:t>颗粒剂</w:t>
            </w:r>
          </w:p>
        </w:tc>
      </w:tr>
      <w:tr w14:paraId="2097CE5A">
        <w:tblPrEx>
          <w:tblCellMar>
            <w:top w:w="0" w:type="dxa"/>
            <w:left w:w="0" w:type="dxa"/>
            <w:bottom w:w="0" w:type="dxa"/>
            <w:right w:w="0" w:type="dxa"/>
          </w:tblCellMar>
        </w:tblPrEx>
        <w:trPr>
          <w:wBefore w:w="0" w:type="auto"/>
          <w:tblCellSpacing w:w="0" w:type="dxa"/>
        </w:trPr>
        <w:tc>
          <w:tcPr>
            <w:tcW w:w="0" w:type="auto"/>
            <w:noWrap w:val="0"/>
            <w:vAlign w:val="center"/>
          </w:tcPr>
          <w:p w14:paraId="45158835">
            <w:r>
              <w:rPr>
                <w:rStyle w:val="10"/>
                <w:rFonts w:hint="eastAsia"/>
              </w:rPr>
              <w:t>毒性及其标识：</w:t>
            </w:r>
            <w:r>
              <w:rPr>
                <w:rFonts w:hint="eastAsia"/>
              </w:rPr>
              <w:t xml:space="preserve"> </w:t>
            </w:r>
            <w:r>
              <w:rPr>
                <w:lang/>
              </w:rPr>
              <w:drawing>
                <wp:inline distT="0" distB="0" distL="114300" distR="114300">
                  <wp:extent cx="476250" cy="323850"/>
                  <wp:effectExtent l="0" t="0" r="0" b="0"/>
                  <wp:docPr id="622" name="图片 622"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22"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B99D642">
        <w:tblPrEx>
          <w:tblCellMar>
            <w:top w:w="0" w:type="dxa"/>
            <w:left w:w="0" w:type="dxa"/>
            <w:bottom w:w="0" w:type="dxa"/>
            <w:right w:w="0" w:type="dxa"/>
          </w:tblCellMar>
        </w:tblPrEx>
        <w:trPr>
          <w:wBefore w:w="0" w:type="auto"/>
          <w:tblCellSpacing w:w="0" w:type="dxa"/>
        </w:trPr>
        <w:tc>
          <w:tcPr>
            <w:tcW w:w="0" w:type="auto"/>
            <w:noWrap w:val="0"/>
            <w:vAlign w:val="center"/>
          </w:tcPr>
          <w:p w14:paraId="00300B3E">
            <w:r>
              <w:rPr>
                <w:rStyle w:val="10"/>
                <w:rFonts w:hint="eastAsia"/>
              </w:rPr>
              <w:t>总有效成分含量：</w:t>
            </w:r>
            <w:r>
              <w:rPr>
                <w:rFonts w:hint="eastAsia"/>
              </w:rPr>
              <w:t>1.4%</w:t>
            </w:r>
          </w:p>
        </w:tc>
      </w:tr>
      <w:tr w14:paraId="7FA583D6">
        <w:tblPrEx>
          <w:tblCellMar>
            <w:top w:w="0" w:type="dxa"/>
            <w:left w:w="0" w:type="dxa"/>
            <w:bottom w:w="0" w:type="dxa"/>
            <w:right w:w="0" w:type="dxa"/>
          </w:tblCellMar>
        </w:tblPrEx>
        <w:trPr>
          <w:wBefore w:w="0" w:type="auto"/>
          <w:tblCellSpacing w:w="0" w:type="dxa"/>
        </w:trPr>
        <w:tc>
          <w:tcPr>
            <w:tcW w:w="0" w:type="auto"/>
            <w:noWrap w:val="0"/>
            <w:vAlign w:val="center"/>
          </w:tcPr>
          <w:p w14:paraId="16C9A4E6">
            <w:r>
              <w:rPr>
                <w:rFonts w:hint="eastAsia"/>
              </w:rPr>
              <w:t xml:space="preserve">有效成分及其含量： </w:t>
            </w:r>
          </w:p>
          <w:p w14:paraId="61A9BDFF">
            <w:r>
              <w:rPr>
                <w:rFonts w:hint="eastAsia"/>
              </w:rPr>
              <w:t xml:space="preserve">    苄嘧磺隆0.6%    嘧草醚0.8%    </w:t>
            </w:r>
          </w:p>
        </w:tc>
      </w:tr>
      <w:tr w14:paraId="54C2CAFB">
        <w:tblPrEx>
          <w:tblCellMar>
            <w:top w:w="0" w:type="dxa"/>
            <w:left w:w="0" w:type="dxa"/>
            <w:bottom w:w="0" w:type="dxa"/>
            <w:right w:w="0" w:type="dxa"/>
          </w:tblCellMar>
        </w:tblPrEx>
        <w:trPr>
          <w:wBefore w:w="0" w:type="auto"/>
          <w:tblCellSpacing w:w="0" w:type="dxa"/>
        </w:trPr>
        <w:tc>
          <w:tcPr>
            <w:tcW w:w="0" w:type="auto"/>
            <w:noWrap w:val="0"/>
            <w:vAlign w:val="center"/>
          </w:tcPr>
          <w:p w14:paraId="5E0D066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2C22A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20CE2098">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32216BA">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9AD3823">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1B9D56BB">
                  <w:r>
                    <w:rPr>
                      <w:rStyle w:val="11"/>
                      <w:rFonts w:hint="eastAsia"/>
                    </w:rPr>
                    <w:t>施用方式</w:t>
                  </w:r>
                </w:p>
              </w:tc>
            </w:tr>
            <w:tr w14:paraId="2E5942A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4D5A207">
                  <w:r>
                    <w:rPr>
                      <w:rStyle w:val="11"/>
                      <w:rFonts w:hint="eastAsia"/>
                    </w:rPr>
                    <w:t>水稻田(直播)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8F070FF">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9AAD02F">
                  <w:r>
                    <w:rPr>
                      <w:rStyle w:val="11"/>
                      <w:rFonts w:hint="eastAsia"/>
                    </w:rPr>
                    <w:t>400-500克/亩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17BD439">
                  <w:r>
                    <w:rPr>
                      <w:rStyle w:val="11"/>
                      <w:rFonts w:hint="eastAsia"/>
                    </w:rPr>
                    <w:t>撒施</w:t>
                  </w:r>
                </w:p>
              </w:tc>
            </w:tr>
          </w:tbl>
          <w:p w14:paraId="321A79A7">
            <w:pPr>
              <w:rPr>
                <w:rFonts w:ascii="Times New Roman" w:hAnsi="Times New Roman" w:cs="Times New Roman"/>
                <w:sz w:val="20"/>
                <w:szCs w:val="20"/>
              </w:rPr>
            </w:pPr>
          </w:p>
        </w:tc>
      </w:tr>
      <w:tr w14:paraId="10E89719">
        <w:tblPrEx>
          <w:tblCellMar>
            <w:top w:w="0" w:type="dxa"/>
            <w:left w:w="0" w:type="dxa"/>
            <w:bottom w:w="0" w:type="dxa"/>
            <w:right w:w="0" w:type="dxa"/>
          </w:tblCellMar>
        </w:tblPrEx>
        <w:trPr>
          <w:wBefore w:w="0" w:type="auto"/>
          <w:tblCellSpacing w:w="0" w:type="dxa"/>
        </w:trPr>
        <w:tc>
          <w:tcPr>
            <w:tcW w:w="0" w:type="auto"/>
            <w:noWrap w:val="0"/>
            <w:vAlign w:val="center"/>
          </w:tcPr>
          <w:p w14:paraId="5D1383CE">
            <w:r>
              <w:rPr>
                <w:rStyle w:val="10"/>
                <w:rFonts w:hint="eastAsia"/>
              </w:rPr>
              <w:t>使用技术要求:</w:t>
            </w:r>
            <w:r>
              <w:rPr>
                <w:rFonts w:hint="eastAsia"/>
              </w:rPr>
              <w:br w:type="textWrapping"/>
            </w:r>
            <w:r>
              <w:rPr>
                <w:rStyle w:val="11"/>
                <w:rFonts w:hint="eastAsia"/>
              </w:rPr>
              <w:t>1. 应于水稻播种前2天将药剂与适量细沙土混匀后进行撒施1次，。 2. 大风天或者预计1小时内下雨请勿施药； 3. 每个作物周期最多使用1次。</w:t>
            </w:r>
          </w:p>
        </w:tc>
      </w:tr>
      <w:tr w14:paraId="1B35E7B4">
        <w:tblPrEx>
          <w:tblCellMar>
            <w:top w:w="0" w:type="dxa"/>
            <w:left w:w="0" w:type="dxa"/>
            <w:bottom w:w="0" w:type="dxa"/>
            <w:right w:w="0" w:type="dxa"/>
          </w:tblCellMar>
        </w:tblPrEx>
        <w:trPr>
          <w:wBefore w:w="0" w:type="auto"/>
          <w:tblCellSpacing w:w="0" w:type="dxa"/>
        </w:trPr>
        <w:tc>
          <w:tcPr>
            <w:tcW w:w="0" w:type="auto"/>
            <w:noWrap w:val="0"/>
            <w:vAlign w:val="center"/>
          </w:tcPr>
          <w:p w14:paraId="1059D27D">
            <w:r>
              <w:rPr>
                <w:rStyle w:val="10"/>
                <w:rFonts w:hint="eastAsia"/>
              </w:rPr>
              <w:t>产品性能:</w:t>
            </w:r>
            <w:r>
              <w:rPr>
                <w:rFonts w:hint="eastAsia"/>
              </w:rPr>
              <w:br w:type="textWrapping"/>
            </w:r>
            <w:r>
              <w:rPr>
                <w:rStyle w:val="11"/>
                <w:rFonts w:hint="eastAsia"/>
              </w:rPr>
              <w:t>苄嘧磺隆是选择性内吸传导型除草剂，根和叶片吸收后转移到各部位，阻止细胞的分裂和生长，适用于防除水稻田一年生及多年生阔叶杂草。嘧草醚嘧啶嘧啶类内吸传导选择性除草剂，通过抑制乙酰乳酸合成酶的合成，阻碍氨基酸的生物合成，使植物细胞停止分裂、死亡，用于水稻田防除稗草。两个有效成分科学混配后可以有效防治水稻直播田稗草及一年生阔叶杂草。</w:t>
            </w:r>
          </w:p>
        </w:tc>
      </w:tr>
      <w:tr w14:paraId="130F6124">
        <w:tblPrEx>
          <w:tblCellMar>
            <w:top w:w="0" w:type="dxa"/>
            <w:left w:w="0" w:type="dxa"/>
            <w:bottom w:w="0" w:type="dxa"/>
            <w:right w:w="0" w:type="dxa"/>
          </w:tblCellMar>
        </w:tblPrEx>
        <w:trPr>
          <w:wBefore w:w="0" w:type="auto"/>
          <w:tblCellSpacing w:w="0" w:type="dxa"/>
        </w:trPr>
        <w:tc>
          <w:tcPr>
            <w:tcW w:w="0" w:type="auto"/>
            <w:noWrap w:val="0"/>
            <w:vAlign w:val="center"/>
          </w:tcPr>
          <w:p w14:paraId="1107A373">
            <w:r>
              <w:rPr>
                <w:rStyle w:val="10"/>
                <w:rFonts w:hint="eastAsia"/>
              </w:rPr>
              <w:t>注意事项：</w:t>
            </w:r>
            <w:r>
              <w:rPr>
                <w:rFonts w:hint="eastAsia"/>
              </w:rPr>
              <w:br w:type="textWrapping"/>
            </w:r>
            <w:r>
              <w:rPr>
                <w:rStyle w:val="11"/>
                <w:rFonts w:hint="eastAsia"/>
              </w:rPr>
              <w:t>1. 建议与其他不同作用机理的除草剂轮换使用。 2. 水产养殖区、河塘附近禁用；禁止在河塘等水体中清洗施药器具；鱼或虾蟹套养稻田禁用、施药后的田水不得直接排入水体。 3.本品对眼睛有刺激性，使用时避免接触眼睛，穿戴长衣、长裤、帽子、口罩、手套等防护措施。施药期间不可吃东西、饮水和吸烟，施药后应及时洗手和洗脸。 4.用过的容器应妥善处理，不可做他用，也不可随意丢弃。 5.孕妇及哺乳期妇女禁止接触。</w:t>
            </w:r>
          </w:p>
        </w:tc>
      </w:tr>
      <w:tr w14:paraId="0F9F0BF0">
        <w:tblPrEx>
          <w:tblCellMar>
            <w:top w:w="0" w:type="dxa"/>
            <w:left w:w="0" w:type="dxa"/>
            <w:bottom w:w="0" w:type="dxa"/>
            <w:right w:w="0" w:type="dxa"/>
          </w:tblCellMar>
        </w:tblPrEx>
        <w:trPr>
          <w:wBefore w:w="0" w:type="auto"/>
          <w:tblCellSpacing w:w="0" w:type="dxa"/>
        </w:trPr>
        <w:tc>
          <w:tcPr>
            <w:tcW w:w="0" w:type="auto"/>
            <w:noWrap w:val="0"/>
            <w:vAlign w:val="center"/>
          </w:tcPr>
          <w:p w14:paraId="2D2AA794">
            <w:r>
              <w:rPr>
                <w:rStyle w:val="10"/>
                <w:rFonts w:hint="eastAsia"/>
              </w:rPr>
              <w:t>中毒急救措施：</w:t>
            </w:r>
            <w:r>
              <w:rPr>
                <w:rFonts w:hint="eastAsia"/>
              </w:rPr>
              <w:br w:type="textWrapping"/>
            </w:r>
            <w:r>
              <w:rPr>
                <w:rStyle w:val="11"/>
                <w:rFonts w:hint="eastAsia"/>
              </w:rPr>
              <w:t xml:space="preserve">使用中或使用后如果感觉不适，应立即停止工作，采取急救措施；如接触皮肤，用肥皂和清水彻底清洗；若溅入眼睛，用清水冲洗眼睛至少15分钟，仍不适，送医就诊；若误服，立即携标签送医就诊，对症治疗。 </w:t>
            </w:r>
          </w:p>
        </w:tc>
      </w:tr>
      <w:tr w14:paraId="0EEEF490">
        <w:tblPrEx>
          <w:tblCellMar>
            <w:top w:w="0" w:type="dxa"/>
            <w:left w:w="0" w:type="dxa"/>
            <w:bottom w:w="0" w:type="dxa"/>
            <w:right w:w="0" w:type="dxa"/>
          </w:tblCellMar>
        </w:tblPrEx>
        <w:trPr>
          <w:wBefore w:w="0" w:type="auto"/>
          <w:tblCellSpacing w:w="0" w:type="dxa"/>
        </w:trPr>
        <w:tc>
          <w:tcPr>
            <w:tcW w:w="0" w:type="auto"/>
            <w:noWrap w:val="0"/>
            <w:vAlign w:val="center"/>
          </w:tcPr>
          <w:p w14:paraId="5F7FD62D">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本品应贮存在干燥、阴凉、通风、防雨处，远离火源或热源。置于儿童、无关人员触及不到之处，并加锁。勿与食品、饮料、饲料等其他商品同贮同运。</w:t>
            </w:r>
          </w:p>
        </w:tc>
      </w:tr>
      <w:tr w14:paraId="1FF732BE">
        <w:tblPrEx>
          <w:tblCellMar>
            <w:top w:w="0" w:type="dxa"/>
            <w:left w:w="0" w:type="dxa"/>
            <w:bottom w:w="0" w:type="dxa"/>
            <w:right w:w="0" w:type="dxa"/>
          </w:tblCellMar>
        </w:tblPrEx>
        <w:trPr>
          <w:wBefore w:w="0" w:type="auto"/>
          <w:tblCellSpacing w:w="0" w:type="dxa"/>
        </w:trPr>
        <w:tc>
          <w:tcPr>
            <w:tcW w:w="0" w:type="auto"/>
            <w:noWrap w:val="0"/>
            <w:vAlign w:val="center"/>
          </w:tcPr>
          <w:p w14:paraId="07D12CA0">
            <w:r>
              <w:rPr>
                <w:rStyle w:val="10"/>
                <w:rFonts w:hint="eastAsia"/>
              </w:rPr>
              <w:t>质量保证期：</w:t>
            </w:r>
            <w:r>
              <w:rPr>
                <w:rStyle w:val="11"/>
                <w:rFonts w:hint="eastAsia"/>
              </w:rPr>
              <w:t>2年</w:t>
            </w:r>
          </w:p>
        </w:tc>
      </w:tr>
      <w:tr w14:paraId="6FE9348C">
        <w:tblPrEx>
          <w:tblCellMar>
            <w:top w:w="0" w:type="dxa"/>
            <w:left w:w="0" w:type="dxa"/>
            <w:bottom w:w="0" w:type="dxa"/>
            <w:right w:w="0" w:type="dxa"/>
          </w:tblCellMar>
        </w:tblPrEx>
        <w:trPr>
          <w:wBefore w:w="0" w:type="auto"/>
          <w:tblCellSpacing w:w="0" w:type="dxa"/>
        </w:trPr>
        <w:tc>
          <w:tcPr>
            <w:tcW w:w="0" w:type="auto"/>
            <w:noWrap w:val="0"/>
            <w:vAlign w:val="center"/>
          </w:tcPr>
          <w:p w14:paraId="1D4D37B1">
            <w:r>
              <w:rPr>
                <w:rStyle w:val="10"/>
                <w:rFonts w:hint="eastAsia"/>
              </w:rPr>
              <w:t>备注：</w:t>
            </w:r>
          </w:p>
        </w:tc>
      </w:tr>
    </w:tbl>
    <w:p w14:paraId="6C342C3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7C49B104">
        <w:tblPrEx>
          <w:tblCellMar>
            <w:top w:w="0" w:type="dxa"/>
            <w:left w:w="0" w:type="dxa"/>
            <w:bottom w:w="0" w:type="dxa"/>
            <w:right w:w="0" w:type="dxa"/>
          </w:tblCellMar>
        </w:tblPrEx>
        <w:trPr>
          <w:wBefore w:w="0" w:type="auto"/>
          <w:tblCellSpacing w:w="0" w:type="dxa"/>
        </w:trPr>
        <w:tc>
          <w:tcPr>
            <w:tcW w:w="0" w:type="auto"/>
            <w:noWrap w:val="0"/>
            <w:vAlign w:val="center"/>
          </w:tcPr>
          <w:p w14:paraId="2A1699CE">
            <w:r>
              <w:rPr>
                <w:rStyle w:val="10"/>
                <w:rFonts w:hint="eastAsia"/>
              </w:rPr>
              <w:t>登记证号：</w:t>
            </w:r>
            <w:r>
              <w:rPr>
                <w:rFonts w:hint="eastAsia"/>
              </w:rPr>
              <w:t>PD20212201</w:t>
            </w:r>
          </w:p>
        </w:tc>
      </w:tr>
      <w:tr w14:paraId="50ED31C3">
        <w:tblPrEx>
          <w:tblCellMar>
            <w:top w:w="0" w:type="dxa"/>
            <w:left w:w="0" w:type="dxa"/>
            <w:bottom w:w="0" w:type="dxa"/>
            <w:right w:w="0" w:type="dxa"/>
          </w:tblCellMar>
        </w:tblPrEx>
        <w:trPr>
          <w:wBefore w:w="0" w:type="auto"/>
          <w:tblCellSpacing w:w="0" w:type="dxa"/>
        </w:trPr>
        <w:tc>
          <w:tcPr>
            <w:tcW w:w="0" w:type="auto"/>
            <w:noWrap w:val="0"/>
            <w:vAlign w:val="center"/>
          </w:tcPr>
          <w:p w14:paraId="1055077D">
            <w:r>
              <w:rPr>
                <w:rStyle w:val="10"/>
                <w:rFonts w:hint="eastAsia"/>
              </w:rPr>
              <w:t>登记证持有人：</w:t>
            </w:r>
            <w:r>
              <w:rPr>
                <w:rFonts w:hint="eastAsia"/>
              </w:rPr>
              <w:t>山东三农生物科技有限公司</w:t>
            </w:r>
          </w:p>
        </w:tc>
      </w:tr>
      <w:tr w14:paraId="7ED9D069">
        <w:tblPrEx>
          <w:tblCellMar>
            <w:top w:w="0" w:type="dxa"/>
            <w:left w:w="0" w:type="dxa"/>
            <w:bottom w:w="0" w:type="dxa"/>
            <w:right w:w="0" w:type="dxa"/>
          </w:tblCellMar>
        </w:tblPrEx>
        <w:trPr>
          <w:wBefore w:w="0" w:type="auto"/>
          <w:tblCellSpacing w:w="0" w:type="dxa"/>
        </w:trPr>
        <w:tc>
          <w:tcPr>
            <w:tcW w:w="0" w:type="auto"/>
            <w:noWrap w:val="0"/>
            <w:vAlign w:val="center"/>
          </w:tcPr>
          <w:p w14:paraId="22F505F6">
            <w:r>
              <w:rPr>
                <w:rStyle w:val="10"/>
                <w:rFonts w:hint="eastAsia"/>
              </w:rPr>
              <w:t>农药名称：</w:t>
            </w:r>
            <w:r>
              <w:rPr>
                <w:rFonts w:hint="eastAsia"/>
              </w:rPr>
              <w:t>敌草快二氯盐</w:t>
            </w:r>
          </w:p>
        </w:tc>
      </w:tr>
      <w:tr w14:paraId="2EBA2D28">
        <w:tblPrEx>
          <w:tblCellMar>
            <w:top w:w="0" w:type="dxa"/>
            <w:left w:w="0" w:type="dxa"/>
            <w:bottom w:w="0" w:type="dxa"/>
            <w:right w:w="0" w:type="dxa"/>
          </w:tblCellMar>
        </w:tblPrEx>
        <w:trPr>
          <w:wBefore w:w="0" w:type="auto"/>
          <w:tblCellSpacing w:w="0" w:type="dxa"/>
        </w:trPr>
        <w:tc>
          <w:tcPr>
            <w:tcW w:w="0" w:type="auto"/>
            <w:noWrap w:val="0"/>
            <w:vAlign w:val="center"/>
          </w:tcPr>
          <w:p w14:paraId="6BC45E6B">
            <w:r>
              <w:rPr>
                <w:rStyle w:val="10"/>
                <w:rFonts w:hint="eastAsia"/>
              </w:rPr>
              <w:t>剂型：</w:t>
            </w:r>
            <w:r>
              <w:rPr>
                <w:rFonts w:hint="eastAsia"/>
              </w:rPr>
              <w:t>可溶液剂</w:t>
            </w:r>
          </w:p>
        </w:tc>
      </w:tr>
      <w:tr w14:paraId="0EEB999A">
        <w:tblPrEx>
          <w:tblCellMar>
            <w:top w:w="0" w:type="dxa"/>
            <w:left w:w="0" w:type="dxa"/>
            <w:bottom w:w="0" w:type="dxa"/>
            <w:right w:w="0" w:type="dxa"/>
          </w:tblCellMar>
        </w:tblPrEx>
        <w:trPr>
          <w:wBefore w:w="0" w:type="auto"/>
          <w:tblCellSpacing w:w="0" w:type="dxa"/>
        </w:trPr>
        <w:tc>
          <w:tcPr>
            <w:tcW w:w="0" w:type="auto"/>
            <w:noWrap w:val="0"/>
            <w:vAlign w:val="center"/>
          </w:tcPr>
          <w:p w14:paraId="545794F5">
            <w:r>
              <w:rPr>
                <w:rStyle w:val="10"/>
                <w:rFonts w:hint="eastAsia"/>
              </w:rPr>
              <w:t>毒性及其标识：</w:t>
            </w:r>
            <w:r>
              <w:rPr>
                <w:rFonts w:hint="eastAsia"/>
              </w:rPr>
              <w:t xml:space="preserve"> </w:t>
            </w:r>
            <w:r>
              <w:rPr>
                <w:lang/>
              </w:rPr>
              <w:drawing>
                <wp:inline distT="0" distB="0" distL="114300" distR="114300">
                  <wp:extent cx="476250" cy="323850"/>
                  <wp:effectExtent l="0" t="0" r="0" b="0"/>
                  <wp:docPr id="623" name="图片 623"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623"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5513F379">
        <w:tblPrEx>
          <w:tblCellMar>
            <w:top w:w="0" w:type="dxa"/>
            <w:left w:w="0" w:type="dxa"/>
            <w:bottom w:w="0" w:type="dxa"/>
            <w:right w:w="0" w:type="dxa"/>
          </w:tblCellMar>
        </w:tblPrEx>
        <w:trPr>
          <w:wBefore w:w="0" w:type="auto"/>
          <w:tblCellSpacing w:w="0" w:type="dxa"/>
        </w:trPr>
        <w:tc>
          <w:tcPr>
            <w:tcW w:w="0" w:type="auto"/>
            <w:noWrap w:val="0"/>
            <w:vAlign w:val="center"/>
          </w:tcPr>
          <w:p w14:paraId="6CADC3D5">
            <w:r>
              <w:rPr>
                <w:rStyle w:val="10"/>
                <w:rFonts w:hint="eastAsia"/>
              </w:rPr>
              <w:t>总有效成分含量：</w:t>
            </w:r>
            <w:r>
              <w:rPr>
                <w:rFonts w:hint="eastAsia"/>
              </w:rPr>
              <w:t>20%</w:t>
            </w:r>
          </w:p>
        </w:tc>
      </w:tr>
      <w:tr w14:paraId="663CC5FA">
        <w:tblPrEx>
          <w:tblCellMar>
            <w:top w:w="0" w:type="dxa"/>
            <w:left w:w="0" w:type="dxa"/>
            <w:bottom w:w="0" w:type="dxa"/>
            <w:right w:w="0" w:type="dxa"/>
          </w:tblCellMar>
        </w:tblPrEx>
        <w:trPr>
          <w:wBefore w:w="0" w:type="auto"/>
          <w:tblCellSpacing w:w="0" w:type="dxa"/>
        </w:trPr>
        <w:tc>
          <w:tcPr>
            <w:tcW w:w="0" w:type="auto"/>
            <w:noWrap w:val="0"/>
            <w:vAlign w:val="center"/>
          </w:tcPr>
          <w:p w14:paraId="53B4D7F9">
            <w:r>
              <w:rPr>
                <w:rFonts w:hint="eastAsia"/>
              </w:rPr>
              <w:t xml:space="preserve">有效成分及其含量： </w:t>
            </w:r>
          </w:p>
          <w:p w14:paraId="72107372">
            <w:r>
              <w:rPr>
                <w:rFonts w:hint="eastAsia"/>
              </w:rPr>
              <w:t xml:space="preserve">    敌草快二氯盐20%    </w:t>
            </w:r>
          </w:p>
        </w:tc>
      </w:tr>
      <w:tr w14:paraId="20044720">
        <w:tblPrEx>
          <w:tblCellMar>
            <w:top w:w="0" w:type="dxa"/>
            <w:left w:w="0" w:type="dxa"/>
            <w:bottom w:w="0" w:type="dxa"/>
            <w:right w:w="0" w:type="dxa"/>
          </w:tblCellMar>
        </w:tblPrEx>
        <w:trPr>
          <w:wBefore w:w="0" w:type="auto"/>
          <w:tblCellSpacing w:w="0" w:type="dxa"/>
        </w:trPr>
        <w:tc>
          <w:tcPr>
            <w:tcW w:w="0" w:type="auto"/>
            <w:noWrap w:val="0"/>
            <w:vAlign w:val="center"/>
          </w:tcPr>
          <w:p w14:paraId="7637FC0F">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3E606D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DC697D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7E9550D2">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C25BD8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1C407F9">
                  <w:r>
                    <w:rPr>
                      <w:rStyle w:val="11"/>
                      <w:rFonts w:hint="eastAsia"/>
                    </w:rPr>
                    <w:t>施用方式</w:t>
                  </w:r>
                </w:p>
              </w:tc>
            </w:tr>
            <w:tr w14:paraId="40875D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DE9266A">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FCB4E6">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3C9710C">
                  <w:r>
                    <w:rPr>
                      <w:rStyle w:val="11"/>
                      <w:rFonts w:hint="eastAsia"/>
                    </w:rPr>
                    <w:t>250-350毫升/亩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D8D6CB0">
                  <w:r>
                    <w:rPr>
                      <w:rStyle w:val="11"/>
                      <w:rFonts w:hint="eastAsia"/>
                    </w:rPr>
                    <w:t>茎叶喷雾</w:t>
                  </w:r>
                </w:p>
              </w:tc>
            </w:tr>
          </w:tbl>
          <w:p w14:paraId="175428DE">
            <w:pPr>
              <w:rPr>
                <w:rFonts w:ascii="Times New Roman" w:hAnsi="Times New Roman" w:cs="Times New Roman"/>
                <w:sz w:val="20"/>
                <w:szCs w:val="20"/>
              </w:rPr>
            </w:pPr>
          </w:p>
        </w:tc>
      </w:tr>
      <w:tr w14:paraId="4A97F388">
        <w:tblPrEx>
          <w:tblCellMar>
            <w:top w:w="0" w:type="dxa"/>
            <w:left w:w="0" w:type="dxa"/>
            <w:bottom w:w="0" w:type="dxa"/>
            <w:right w:w="0" w:type="dxa"/>
          </w:tblCellMar>
        </w:tblPrEx>
        <w:trPr>
          <w:wBefore w:w="0" w:type="auto"/>
          <w:tblCellSpacing w:w="0" w:type="dxa"/>
        </w:trPr>
        <w:tc>
          <w:tcPr>
            <w:tcW w:w="0" w:type="auto"/>
            <w:noWrap w:val="0"/>
            <w:vAlign w:val="center"/>
          </w:tcPr>
          <w:p w14:paraId="4AE2077C">
            <w:r>
              <w:rPr>
                <w:rStyle w:val="10"/>
                <w:rFonts w:hint="eastAsia"/>
              </w:rPr>
              <w:t>使用技术要求:</w:t>
            </w:r>
            <w:r>
              <w:rPr>
                <w:rFonts w:hint="eastAsia"/>
              </w:rPr>
              <w:br w:type="textWrapping"/>
            </w:r>
            <w:r>
              <w:rPr>
                <w:rStyle w:val="11"/>
                <w:rFonts w:hint="eastAsia"/>
              </w:rPr>
              <w:t>1.在杂草生长盛期施药，每亩兑水40-50公斤，对杂草茎叶均匀喷雾1次。2.配药时应用清水，污水和混浊水会降低药效。路边杂草叶面灰尘较多，可使用核准用药量的高量。3.选择晴天施药，大风天或预计短时间内下雨请勿施药。</w:t>
            </w:r>
          </w:p>
        </w:tc>
      </w:tr>
      <w:tr w14:paraId="5FD92A10">
        <w:tblPrEx>
          <w:tblCellMar>
            <w:top w:w="0" w:type="dxa"/>
            <w:left w:w="0" w:type="dxa"/>
            <w:bottom w:w="0" w:type="dxa"/>
            <w:right w:w="0" w:type="dxa"/>
          </w:tblCellMar>
        </w:tblPrEx>
        <w:trPr>
          <w:wBefore w:w="0" w:type="auto"/>
          <w:tblCellSpacing w:w="0" w:type="dxa"/>
        </w:trPr>
        <w:tc>
          <w:tcPr>
            <w:tcW w:w="0" w:type="auto"/>
            <w:noWrap w:val="0"/>
            <w:vAlign w:val="center"/>
          </w:tcPr>
          <w:p w14:paraId="59C3D4F1">
            <w:r>
              <w:rPr>
                <w:rStyle w:val="10"/>
                <w:rFonts w:hint="eastAsia"/>
              </w:rPr>
              <w:t>产品性能:</w:t>
            </w:r>
            <w:r>
              <w:rPr>
                <w:rFonts w:hint="eastAsia"/>
              </w:rPr>
              <w:br w:type="textWrapping"/>
            </w:r>
            <w:r>
              <w:rPr>
                <w:rStyle w:val="11"/>
                <w:rFonts w:hint="eastAsia"/>
              </w:rPr>
              <w:t xml:space="preserve">本品为吡啶阳离子非选择性触杀型除草剂，可被植物绿色组织迅速吸收，与土壤接触后很快失去活性，能防除多种禾本科和阔叶杂草，不影响作物根部及作物种子。 </w:t>
            </w:r>
          </w:p>
        </w:tc>
      </w:tr>
      <w:tr w14:paraId="0B7A2981">
        <w:tblPrEx>
          <w:tblCellMar>
            <w:top w:w="0" w:type="dxa"/>
            <w:left w:w="0" w:type="dxa"/>
            <w:bottom w:w="0" w:type="dxa"/>
            <w:right w:w="0" w:type="dxa"/>
          </w:tblCellMar>
        </w:tblPrEx>
        <w:trPr>
          <w:wBefore w:w="0" w:type="auto"/>
          <w:tblCellSpacing w:w="0" w:type="dxa"/>
        </w:trPr>
        <w:tc>
          <w:tcPr>
            <w:tcW w:w="0" w:type="auto"/>
            <w:noWrap w:val="0"/>
            <w:vAlign w:val="center"/>
          </w:tcPr>
          <w:p w14:paraId="3CB9B654">
            <w:r>
              <w:rPr>
                <w:rStyle w:val="10"/>
                <w:rFonts w:hint="eastAsia"/>
              </w:rPr>
              <w:t>注意事项：</w:t>
            </w:r>
            <w:r>
              <w:rPr>
                <w:rFonts w:hint="eastAsia"/>
              </w:rPr>
              <w:br w:type="textWrapping"/>
            </w:r>
            <w:r>
              <w:rPr>
                <w:rStyle w:val="11"/>
                <w:rFonts w:hint="eastAsia"/>
              </w:rPr>
              <w:t>1.不能与呈碱性的农药等物质混用。2.按《农药安全使用规定》操作，使用时应穿长衣长裤、靴子，戴帽子、护目镜、口罩、手套等防护用具；施药期间不可吃东西、饮水、吸烟等；施药后应及时洗手、洗脸并洗涤施药时穿着的衣物。3.勿使药液漂移或接触到其它作物上，以免产生药害。4.包装物及清洗后的污水和废药液应妥善处理，不得作他用或随地丢弃。5.本品对蜜蜂有毒，施药期间应避免对周围蜂群的影响，周围开花植物、蜜源作物花期禁用。6.鸟类保护区附近、桑园及蚕室附近、水产养殖区、河塘等水体附近、赤眼蜂及瓢虫等天敌放飞区域禁用。7.孕妇及哺乳期妇女避免接触本品。8.禁止在田间道路、田埂、果树行间、休耕地、林场林地等农林业区域使用。施药7天内不能在施药区放牧、割草。</w:t>
            </w:r>
          </w:p>
        </w:tc>
      </w:tr>
      <w:tr w14:paraId="0E7C68D2">
        <w:tblPrEx>
          <w:tblCellMar>
            <w:top w:w="0" w:type="dxa"/>
            <w:left w:w="0" w:type="dxa"/>
            <w:bottom w:w="0" w:type="dxa"/>
            <w:right w:w="0" w:type="dxa"/>
          </w:tblCellMar>
        </w:tblPrEx>
        <w:trPr>
          <w:wBefore w:w="0" w:type="auto"/>
          <w:tblCellSpacing w:w="0" w:type="dxa"/>
        </w:trPr>
        <w:tc>
          <w:tcPr>
            <w:tcW w:w="0" w:type="auto"/>
            <w:noWrap w:val="0"/>
            <w:vAlign w:val="center"/>
          </w:tcPr>
          <w:p w14:paraId="28E702B6">
            <w:r>
              <w:rPr>
                <w:rStyle w:val="10"/>
                <w:rFonts w:hint="eastAsia"/>
              </w:rPr>
              <w:t>中毒急救措施：</w:t>
            </w:r>
            <w:r>
              <w:rPr>
                <w:rFonts w:hint="eastAsia"/>
              </w:rPr>
              <w:br w:type="textWrapping"/>
            </w:r>
            <w:r>
              <w:rPr>
                <w:rStyle w:val="11"/>
                <w:rFonts w:hint="eastAsia"/>
              </w:rPr>
              <w:t xml:space="preserve">本品对眼睛有刺激性。1.用药时如感觉不适，应停止工作，携此标签送医就诊。2.中毒症状：恶心、呕吐、腹疼、胸闷，呼吸时伴有泡沫。3.不慎吸入，将病人移至空气流通处并就医。4.不慎接触皮肤，立即脱去污染的衣物，用大量肥皂水和清水冲洗至少15分钟，并就医。5.不慎溅入眼睛，立即翻开眼睑，用大量清水冲洗至少15分钟，并就医。6. 误服立即用活性炭调水让病人喝下，引吐，并持标签送医院对症治疗，无特效解毒剂。 </w:t>
            </w:r>
          </w:p>
        </w:tc>
      </w:tr>
      <w:tr w14:paraId="12655E56">
        <w:tblPrEx>
          <w:tblCellMar>
            <w:top w:w="0" w:type="dxa"/>
            <w:left w:w="0" w:type="dxa"/>
            <w:bottom w:w="0" w:type="dxa"/>
            <w:right w:w="0" w:type="dxa"/>
          </w:tblCellMar>
        </w:tblPrEx>
        <w:trPr>
          <w:wBefore w:w="0" w:type="auto"/>
          <w:tblCellSpacing w:w="0" w:type="dxa"/>
        </w:trPr>
        <w:tc>
          <w:tcPr>
            <w:tcW w:w="0" w:type="auto"/>
            <w:noWrap w:val="0"/>
            <w:vAlign w:val="center"/>
          </w:tcPr>
          <w:p w14:paraId="341635E9">
            <w:r>
              <w:rPr>
                <w:rStyle w:val="10"/>
                <w:rFonts w:hint="eastAsia"/>
              </w:rPr>
              <w:t>储存和运输方法：</w:t>
            </w:r>
            <w:r>
              <w:rPr>
                <w:rFonts w:hint="eastAsia"/>
              </w:rPr>
              <w:br w:type="textWrapping"/>
            </w:r>
            <w:r>
              <w:rPr>
                <w:rStyle w:val="11"/>
                <w:rFonts w:hint="eastAsia"/>
              </w:rPr>
              <w:t>1.应贮存于干燥、阴凉、通风、防雨处，远离火源或热源，置于儿童及无关人员接触不到之处，并加锁。 2.勿与食品、饮料、饲料、粮食、日用品等混合储运。 3.搬运时应注意轻拿轻放，以免破损和污染环境。</w:t>
            </w:r>
          </w:p>
        </w:tc>
      </w:tr>
      <w:tr w14:paraId="70857A66">
        <w:tblPrEx>
          <w:tblCellMar>
            <w:top w:w="0" w:type="dxa"/>
            <w:left w:w="0" w:type="dxa"/>
            <w:bottom w:w="0" w:type="dxa"/>
            <w:right w:w="0" w:type="dxa"/>
          </w:tblCellMar>
        </w:tblPrEx>
        <w:trPr>
          <w:wBefore w:w="0" w:type="auto"/>
          <w:tblCellSpacing w:w="0" w:type="dxa"/>
        </w:trPr>
        <w:tc>
          <w:tcPr>
            <w:tcW w:w="0" w:type="auto"/>
            <w:noWrap w:val="0"/>
            <w:vAlign w:val="center"/>
          </w:tcPr>
          <w:p w14:paraId="6D520D6F">
            <w:r>
              <w:rPr>
                <w:rStyle w:val="10"/>
                <w:rFonts w:hint="eastAsia"/>
              </w:rPr>
              <w:t>质量保证期：</w:t>
            </w:r>
            <w:r>
              <w:rPr>
                <w:rStyle w:val="11"/>
                <w:rFonts w:hint="eastAsia"/>
              </w:rPr>
              <w:t>2年</w:t>
            </w:r>
          </w:p>
        </w:tc>
      </w:tr>
      <w:tr w14:paraId="71F982EF">
        <w:tblPrEx>
          <w:tblCellMar>
            <w:top w:w="0" w:type="dxa"/>
            <w:left w:w="0" w:type="dxa"/>
            <w:bottom w:w="0" w:type="dxa"/>
            <w:right w:w="0" w:type="dxa"/>
          </w:tblCellMar>
        </w:tblPrEx>
        <w:trPr>
          <w:wBefore w:w="0" w:type="auto"/>
          <w:tblCellSpacing w:w="0" w:type="dxa"/>
        </w:trPr>
        <w:tc>
          <w:tcPr>
            <w:tcW w:w="0" w:type="auto"/>
            <w:noWrap w:val="0"/>
            <w:vAlign w:val="center"/>
          </w:tcPr>
          <w:p w14:paraId="7A7D07B2">
            <w:r>
              <w:rPr>
                <w:rStyle w:val="10"/>
                <w:rFonts w:hint="eastAsia"/>
              </w:rPr>
              <w:t>备注：</w:t>
            </w:r>
          </w:p>
        </w:tc>
      </w:tr>
    </w:tbl>
    <w:p w14:paraId="45226B1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2C489BE3">
        <w:tblPrEx>
          <w:tblCellMar>
            <w:top w:w="0" w:type="dxa"/>
            <w:left w:w="0" w:type="dxa"/>
            <w:bottom w:w="0" w:type="dxa"/>
            <w:right w:w="0" w:type="dxa"/>
          </w:tblCellMar>
        </w:tblPrEx>
        <w:trPr>
          <w:wBefore w:w="0" w:type="auto"/>
          <w:tblCellSpacing w:w="0" w:type="dxa"/>
        </w:trPr>
        <w:tc>
          <w:tcPr>
            <w:tcW w:w="0" w:type="auto"/>
            <w:noWrap w:val="0"/>
            <w:vAlign w:val="center"/>
          </w:tcPr>
          <w:p w14:paraId="17F79EC4">
            <w:r>
              <w:rPr>
                <w:rStyle w:val="10"/>
                <w:rFonts w:hint="eastAsia"/>
              </w:rPr>
              <w:t>登记证号：</w:t>
            </w:r>
            <w:r>
              <w:rPr>
                <w:rFonts w:hint="eastAsia"/>
              </w:rPr>
              <w:t>PD20212199</w:t>
            </w:r>
          </w:p>
        </w:tc>
      </w:tr>
      <w:tr w14:paraId="730C2347">
        <w:tblPrEx>
          <w:tblCellMar>
            <w:top w:w="0" w:type="dxa"/>
            <w:left w:w="0" w:type="dxa"/>
            <w:bottom w:w="0" w:type="dxa"/>
            <w:right w:w="0" w:type="dxa"/>
          </w:tblCellMar>
        </w:tblPrEx>
        <w:trPr>
          <w:wBefore w:w="0" w:type="auto"/>
          <w:tblCellSpacing w:w="0" w:type="dxa"/>
        </w:trPr>
        <w:tc>
          <w:tcPr>
            <w:tcW w:w="0" w:type="auto"/>
            <w:noWrap w:val="0"/>
            <w:vAlign w:val="center"/>
          </w:tcPr>
          <w:p w14:paraId="5FB612AC">
            <w:r>
              <w:rPr>
                <w:rStyle w:val="10"/>
                <w:rFonts w:hint="eastAsia"/>
              </w:rPr>
              <w:t>登记证持有人：</w:t>
            </w:r>
            <w:r>
              <w:rPr>
                <w:rFonts w:hint="eastAsia"/>
              </w:rPr>
              <w:t>四川利尔作物科学有限公司</w:t>
            </w:r>
          </w:p>
        </w:tc>
      </w:tr>
      <w:tr w14:paraId="3E6B21C7">
        <w:tblPrEx>
          <w:tblCellMar>
            <w:top w:w="0" w:type="dxa"/>
            <w:left w:w="0" w:type="dxa"/>
            <w:bottom w:w="0" w:type="dxa"/>
            <w:right w:w="0" w:type="dxa"/>
          </w:tblCellMar>
        </w:tblPrEx>
        <w:trPr>
          <w:wBefore w:w="0" w:type="auto"/>
          <w:tblCellSpacing w:w="0" w:type="dxa"/>
        </w:trPr>
        <w:tc>
          <w:tcPr>
            <w:tcW w:w="0" w:type="auto"/>
            <w:noWrap w:val="0"/>
            <w:vAlign w:val="center"/>
          </w:tcPr>
          <w:p w14:paraId="69148AAD">
            <w:r>
              <w:rPr>
                <w:rStyle w:val="10"/>
                <w:rFonts w:hint="eastAsia"/>
              </w:rPr>
              <w:t>农药名称：</w:t>
            </w:r>
            <w:r>
              <w:rPr>
                <w:rFonts w:hint="eastAsia"/>
              </w:rPr>
              <w:t>三氯吡氧乙酸丁氧基乙酯</w:t>
            </w:r>
          </w:p>
        </w:tc>
      </w:tr>
      <w:tr w14:paraId="5AF4965B">
        <w:tblPrEx>
          <w:tblCellMar>
            <w:top w:w="0" w:type="dxa"/>
            <w:left w:w="0" w:type="dxa"/>
            <w:bottom w:w="0" w:type="dxa"/>
            <w:right w:w="0" w:type="dxa"/>
          </w:tblCellMar>
        </w:tblPrEx>
        <w:trPr>
          <w:wBefore w:w="0" w:type="auto"/>
          <w:tblCellSpacing w:w="0" w:type="dxa"/>
        </w:trPr>
        <w:tc>
          <w:tcPr>
            <w:tcW w:w="0" w:type="auto"/>
            <w:noWrap w:val="0"/>
            <w:vAlign w:val="center"/>
          </w:tcPr>
          <w:p w14:paraId="5C01ABDD">
            <w:r>
              <w:rPr>
                <w:rStyle w:val="10"/>
                <w:rFonts w:hint="eastAsia"/>
              </w:rPr>
              <w:t>剂型：</w:t>
            </w:r>
            <w:r>
              <w:rPr>
                <w:rFonts w:hint="eastAsia"/>
              </w:rPr>
              <w:t>乳油</w:t>
            </w:r>
          </w:p>
        </w:tc>
      </w:tr>
      <w:tr w14:paraId="2F2B340D">
        <w:tblPrEx>
          <w:tblCellMar>
            <w:top w:w="0" w:type="dxa"/>
            <w:left w:w="0" w:type="dxa"/>
            <w:bottom w:w="0" w:type="dxa"/>
            <w:right w:w="0" w:type="dxa"/>
          </w:tblCellMar>
        </w:tblPrEx>
        <w:trPr>
          <w:wBefore w:w="0" w:type="auto"/>
          <w:tblCellSpacing w:w="0" w:type="dxa"/>
        </w:trPr>
        <w:tc>
          <w:tcPr>
            <w:tcW w:w="0" w:type="auto"/>
            <w:noWrap w:val="0"/>
            <w:vAlign w:val="center"/>
          </w:tcPr>
          <w:p w14:paraId="4448882A">
            <w:r>
              <w:rPr>
                <w:rStyle w:val="10"/>
                <w:rFonts w:hint="eastAsia"/>
              </w:rPr>
              <w:t>毒性及其标识：</w:t>
            </w:r>
            <w:r>
              <w:rPr>
                <w:rFonts w:hint="eastAsia"/>
              </w:rPr>
              <w:t xml:space="preserve"> </w:t>
            </w:r>
            <w:r>
              <w:rPr>
                <w:lang/>
              </w:rPr>
              <w:drawing>
                <wp:inline distT="0" distB="0" distL="114300" distR="114300">
                  <wp:extent cx="476250" cy="323850"/>
                  <wp:effectExtent l="0" t="0" r="0" b="0"/>
                  <wp:docPr id="624" name="图片 624"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624"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602B2B7E">
        <w:tblPrEx>
          <w:tblCellMar>
            <w:top w:w="0" w:type="dxa"/>
            <w:left w:w="0" w:type="dxa"/>
            <w:bottom w:w="0" w:type="dxa"/>
            <w:right w:w="0" w:type="dxa"/>
          </w:tblCellMar>
        </w:tblPrEx>
        <w:trPr>
          <w:wBefore w:w="0" w:type="auto"/>
          <w:tblCellSpacing w:w="0" w:type="dxa"/>
        </w:trPr>
        <w:tc>
          <w:tcPr>
            <w:tcW w:w="0" w:type="auto"/>
            <w:noWrap w:val="0"/>
            <w:vAlign w:val="center"/>
          </w:tcPr>
          <w:p w14:paraId="07BE9FDE">
            <w:r>
              <w:rPr>
                <w:rStyle w:val="10"/>
                <w:rFonts w:hint="eastAsia"/>
              </w:rPr>
              <w:t>总有效成分含量：</w:t>
            </w:r>
            <w:r>
              <w:rPr>
                <w:rFonts w:hint="eastAsia"/>
              </w:rPr>
              <w:t>45%</w:t>
            </w:r>
          </w:p>
        </w:tc>
      </w:tr>
      <w:tr w14:paraId="27A228A8">
        <w:tblPrEx>
          <w:tblCellMar>
            <w:top w:w="0" w:type="dxa"/>
            <w:left w:w="0" w:type="dxa"/>
            <w:bottom w:w="0" w:type="dxa"/>
            <w:right w:w="0" w:type="dxa"/>
          </w:tblCellMar>
        </w:tblPrEx>
        <w:trPr>
          <w:wBefore w:w="0" w:type="auto"/>
          <w:tblCellSpacing w:w="0" w:type="dxa"/>
        </w:trPr>
        <w:tc>
          <w:tcPr>
            <w:tcW w:w="0" w:type="auto"/>
            <w:noWrap w:val="0"/>
            <w:vAlign w:val="center"/>
          </w:tcPr>
          <w:p w14:paraId="6FB95043">
            <w:r>
              <w:rPr>
                <w:rFonts w:hint="eastAsia"/>
              </w:rPr>
              <w:t xml:space="preserve">有效成分及其含量： </w:t>
            </w:r>
          </w:p>
          <w:p w14:paraId="1E56488E">
            <w:r>
              <w:rPr>
                <w:rFonts w:hint="eastAsia"/>
              </w:rPr>
              <w:t xml:space="preserve">    三氯吡氧乙酸丁氧基乙酯45%    </w:t>
            </w:r>
          </w:p>
        </w:tc>
      </w:tr>
      <w:tr w14:paraId="15B23F6C">
        <w:tblPrEx>
          <w:tblCellMar>
            <w:top w:w="0" w:type="dxa"/>
            <w:left w:w="0" w:type="dxa"/>
            <w:bottom w:w="0" w:type="dxa"/>
            <w:right w:w="0" w:type="dxa"/>
          </w:tblCellMar>
        </w:tblPrEx>
        <w:trPr>
          <w:wBefore w:w="0" w:type="auto"/>
          <w:tblCellSpacing w:w="0" w:type="dxa"/>
        </w:trPr>
        <w:tc>
          <w:tcPr>
            <w:tcW w:w="0" w:type="auto"/>
            <w:noWrap w:val="0"/>
            <w:vAlign w:val="center"/>
          </w:tcPr>
          <w:p w14:paraId="3F411E86">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51372B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38CC1C79">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0A0D3BF6">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EED3886">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CCBD007">
                  <w:r>
                    <w:rPr>
                      <w:rStyle w:val="11"/>
                      <w:rFonts w:hint="eastAsia"/>
                    </w:rPr>
                    <w:t>施用方式</w:t>
                  </w:r>
                </w:p>
              </w:tc>
            </w:tr>
            <w:tr w14:paraId="1D2B71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07F5A7D">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BED12BC">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A2C67E">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CDD6A00">
                  <w:r>
                    <w:rPr>
                      <w:rStyle w:val="11"/>
                      <w:rFonts w:hint="eastAsia"/>
                    </w:rPr>
                    <w:t>茎叶喷雾</w:t>
                  </w:r>
                </w:p>
              </w:tc>
            </w:tr>
          </w:tbl>
          <w:p w14:paraId="04064A93">
            <w:pPr>
              <w:rPr>
                <w:rFonts w:ascii="Times New Roman" w:hAnsi="Times New Roman" w:cs="Times New Roman"/>
                <w:sz w:val="20"/>
                <w:szCs w:val="20"/>
              </w:rPr>
            </w:pPr>
          </w:p>
        </w:tc>
      </w:tr>
      <w:tr w14:paraId="794EFBE9">
        <w:tblPrEx>
          <w:tblCellMar>
            <w:top w:w="0" w:type="dxa"/>
            <w:left w:w="0" w:type="dxa"/>
            <w:bottom w:w="0" w:type="dxa"/>
            <w:right w:w="0" w:type="dxa"/>
          </w:tblCellMar>
        </w:tblPrEx>
        <w:trPr>
          <w:wBefore w:w="0" w:type="auto"/>
          <w:tblCellSpacing w:w="0" w:type="dxa"/>
        </w:trPr>
        <w:tc>
          <w:tcPr>
            <w:tcW w:w="0" w:type="auto"/>
            <w:noWrap w:val="0"/>
            <w:vAlign w:val="center"/>
          </w:tcPr>
          <w:p w14:paraId="61FC6E3D">
            <w:r>
              <w:rPr>
                <w:rStyle w:val="10"/>
                <w:rFonts w:hint="eastAsia"/>
              </w:rPr>
              <w:t>使用技术要求:</w:t>
            </w:r>
            <w:r>
              <w:rPr>
                <w:rFonts w:hint="eastAsia"/>
              </w:rPr>
              <w:br w:type="textWrapping"/>
            </w:r>
            <w:r>
              <w:rPr>
                <w:rStyle w:val="11"/>
                <w:rFonts w:hint="eastAsia"/>
              </w:rPr>
              <w:t>于非耕地杂草生长旺盛期，茎叶喷雾施药。当非耕地中以禾本科杂草占优势时，应考虑配合使用其他药剂以提高防治效果。使用注意事项：禁止在田间道路、田埂、果树行间、休耕地、林场林地等农林业区域使用。  </w:t>
            </w:r>
          </w:p>
        </w:tc>
      </w:tr>
      <w:tr w14:paraId="2EB8841A">
        <w:tblPrEx>
          <w:tblCellMar>
            <w:top w:w="0" w:type="dxa"/>
            <w:left w:w="0" w:type="dxa"/>
            <w:bottom w:w="0" w:type="dxa"/>
            <w:right w:w="0" w:type="dxa"/>
          </w:tblCellMar>
        </w:tblPrEx>
        <w:trPr>
          <w:wBefore w:w="0" w:type="auto"/>
          <w:tblCellSpacing w:w="0" w:type="dxa"/>
        </w:trPr>
        <w:tc>
          <w:tcPr>
            <w:tcW w:w="0" w:type="auto"/>
            <w:noWrap w:val="0"/>
            <w:vAlign w:val="center"/>
          </w:tcPr>
          <w:p w14:paraId="0AF5394F">
            <w:r>
              <w:rPr>
                <w:rStyle w:val="10"/>
                <w:rFonts w:hint="eastAsia"/>
              </w:rPr>
              <w:t>产品性能:</w:t>
            </w:r>
            <w:r>
              <w:rPr>
                <w:rFonts w:hint="eastAsia"/>
              </w:rPr>
              <w:br w:type="textWrapping"/>
            </w:r>
            <w:r>
              <w:rPr>
                <w:rStyle w:val="11"/>
                <w:rFonts w:hint="eastAsia"/>
              </w:rPr>
              <w:t>本品是一种茎叶处理的内吸传导型除草剂。</w:t>
            </w:r>
          </w:p>
        </w:tc>
      </w:tr>
      <w:tr w14:paraId="7425C447">
        <w:tblPrEx>
          <w:tblCellMar>
            <w:top w:w="0" w:type="dxa"/>
            <w:left w:w="0" w:type="dxa"/>
            <w:bottom w:w="0" w:type="dxa"/>
            <w:right w:w="0" w:type="dxa"/>
          </w:tblCellMar>
        </w:tblPrEx>
        <w:trPr>
          <w:wBefore w:w="0" w:type="auto"/>
          <w:tblCellSpacing w:w="0" w:type="dxa"/>
        </w:trPr>
        <w:tc>
          <w:tcPr>
            <w:tcW w:w="0" w:type="auto"/>
            <w:noWrap w:val="0"/>
            <w:vAlign w:val="center"/>
          </w:tcPr>
          <w:p w14:paraId="1AE4732B">
            <w:r>
              <w:rPr>
                <w:rStyle w:val="10"/>
                <w:rFonts w:hint="eastAsia"/>
              </w:rPr>
              <w:t>注意事项：</w:t>
            </w:r>
            <w:r>
              <w:rPr>
                <w:rFonts w:hint="eastAsia"/>
              </w:rPr>
              <w:br w:type="textWrapping"/>
            </w:r>
            <w:r>
              <w:rPr>
                <w:rStyle w:val="11"/>
                <w:rFonts w:hint="eastAsia"/>
              </w:rPr>
              <w:t>1. 施药过程中若遇大风、大雨、积水等影响喷雾效果的情形时应停止施药，并防止雾滴飘移到其他地块。 2. 如需与其他助剂或药剂混用，请在当地农技人员指导下，先进行小面积试验确认有效性后，科学合理搭配使用。 3. 请在农技人员指导下，根据杂草发生基数、叶龄及种类、施药时天气条件、药械种类等因素科学合理的调整用药剂量、用水量。 4. 本品对眼睛有刺激性，使用时避免接触眼睛，穿戴长衣、长裤、帽子、口罩、手套等防护措施。；施药时不能吸烟、饮水等；施药后应清洗手、脸，并更换干净的衣服等。 5. 蚕室、桑园附近禁用。鸟类保护区附近禁用。远离水产养殖区、河塘等施药。禁止在河塘等水体中清洗施药器具。施药后应及时、细致清洗施药器具，用过的容器要妥善处理，不能随意丢弃，也不能做他用。 6. 避免孕妇和哺乳期妇女接触本品。 7. 使用前请仔细阅读此标签，并严格按照标签说明使用。未尽使用情形，请结合当地实际情况，在农业技术人员指导下使用。</w:t>
            </w:r>
          </w:p>
        </w:tc>
      </w:tr>
      <w:tr w14:paraId="1644910B">
        <w:tblPrEx>
          <w:tblCellMar>
            <w:top w:w="0" w:type="dxa"/>
            <w:left w:w="0" w:type="dxa"/>
            <w:bottom w:w="0" w:type="dxa"/>
            <w:right w:w="0" w:type="dxa"/>
          </w:tblCellMar>
        </w:tblPrEx>
        <w:trPr>
          <w:wBefore w:w="0" w:type="auto"/>
          <w:tblCellSpacing w:w="0" w:type="dxa"/>
        </w:trPr>
        <w:tc>
          <w:tcPr>
            <w:tcW w:w="0" w:type="auto"/>
            <w:noWrap w:val="0"/>
            <w:vAlign w:val="center"/>
          </w:tcPr>
          <w:p w14:paraId="4798A1D2">
            <w:r>
              <w:rPr>
                <w:rStyle w:val="10"/>
                <w:rFonts w:hint="eastAsia"/>
              </w:rPr>
              <w:t>中毒急救措施：</w:t>
            </w:r>
            <w:r>
              <w:rPr>
                <w:rFonts w:hint="eastAsia"/>
              </w:rPr>
              <w:br w:type="textWrapping"/>
            </w:r>
            <w:r>
              <w:rPr>
                <w:rStyle w:val="11"/>
                <w:rFonts w:hint="eastAsia"/>
              </w:rPr>
              <w:t>本品对眼睛有刺激性。不慎误服：用清水将嘴清洗干净，不要自行引吐，携此标签送医诊治。医生洗胃时，应注意保护气管和食管；不慎吸入，应将病人移至空气流通处；不慎眼睛溅入或接触皮肤，应用大量清水冲洗至少15分钟。</w:t>
            </w:r>
          </w:p>
        </w:tc>
      </w:tr>
      <w:tr w14:paraId="63566716">
        <w:tblPrEx>
          <w:tblCellMar>
            <w:top w:w="0" w:type="dxa"/>
            <w:left w:w="0" w:type="dxa"/>
            <w:bottom w:w="0" w:type="dxa"/>
            <w:right w:w="0" w:type="dxa"/>
          </w:tblCellMar>
        </w:tblPrEx>
        <w:trPr>
          <w:wBefore w:w="0" w:type="auto"/>
          <w:tblCellSpacing w:w="0" w:type="dxa"/>
        </w:trPr>
        <w:tc>
          <w:tcPr>
            <w:tcW w:w="0" w:type="auto"/>
            <w:noWrap w:val="0"/>
            <w:vAlign w:val="center"/>
          </w:tcPr>
          <w:p w14:paraId="4D16AC0C">
            <w:r>
              <w:rPr>
                <w:rStyle w:val="10"/>
                <w:rFonts w:hint="eastAsia"/>
              </w:rPr>
              <w:t>储存和运输方法：</w:t>
            </w:r>
            <w:r>
              <w:rPr>
                <w:rFonts w:hint="eastAsia"/>
              </w:rPr>
              <w:br w:type="textWrapping"/>
            </w:r>
            <w:r>
              <w:rPr>
                <w:rStyle w:val="11"/>
                <w:rFonts w:hint="eastAsia"/>
              </w:rPr>
              <w:t>1、本品应贮存在干燥、阴凉、通风、防雨处，远离火源或热源。远离儿童存放，并加锁。不能与食品、饮料、粮食、饲料等物品同贮同运。 2、运输前应先检查包装容器是否完好、密封，运输过程中要确保容器不泄漏、不倒塌、不坠落、不损坏。运输时运输车辆应配备相应品种和数量的消防器材及泄露应急处理设备。运输途中应防暴晒、雨淋、高温。公路运输时要按规定路线行驶，勿在居民区和人口稠密区停留。</w:t>
            </w:r>
          </w:p>
        </w:tc>
      </w:tr>
      <w:tr w14:paraId="5027E5A9">
        <w:tblPrEx>
          <w:tblCellMar>
            <w:top w:w="0" w:type="dxa"/>
            <w:left w:w="0" w:type="dxa"/>
            <w:bottom w:w="0" w:type="dxa"/>
            <w:right w:w="0" w:type="dxa"/>
          </w:tblCellMar>
        </w:tblPrEx>
        <w:trPr>
          <w:wBefore w:w="0" w:type="auto"/>
          <w:tblCellSpacing w:w="0" w:type="dxa"/>
        </w:trPr>
        <w:tc>
          <w:tcPr>
            <w:tcW w:w="0" w:type="auto"/>
            <w:noWrap w:val="0"/>
            <w:vAlign w:val="center"/>
          </w:tcPr>
          <w:p w14:paraId="2F7501F3">
            <w:r>
              <w:rPr>
                <w:rStyle w:val="10"/>
                <w:rFonts w:hint="eastAsia"/>
              </w:rPr>
              <w:t>质量保证期：</w:t>
            </w:r>
            <w:r>
              <w:rPr>
                <w:rStyle w:val="11"/>
                <w:rFonts w:hint="eastAsia"/>
              </w:rPr>
              <w:t>2年</w:t>
            </w:r>
          </w:p>
        </w:tc>
      </w:tr>
      <w:tr w14:paraId="4DB3894C">
        <w:tblPrEx>
          <w:tblCellMar>
            <w:top w:w="0" w:type="dxa"/>
            <w:left w:w="0" w:type="dxa"/>
            <w:bottom w:w="0" w:type="dxa"/>
            <w:right w:w="0" w:type="dxa"/>
          </w:tblCellMar>
        </w:tblPrEx>
        <w:trPr>
          <w:wBefore w:w="0" w:type="auto"/>
          <w:tblCellSpacing w:w="0" w:type="dxa"/>
        </w:trPr>
        <w:tc>
          <w:tcPr>
            <w:tcW w:w="0" w:type="auto"/>
            <w:noWrap w:val="0"/>
            <w:vAlign w:val="center"/>
          </w:tcPr>
          <w:p w14:paraId="52F550A5">
            <w:r>
              <w:rPr>
                <w:rStyle w:val="10"/>
                <w:rFonts w:hint="eastAsia"/>
              </w:rPr>
              <w:t>备注：</w:t>
            </w:r>
          </w:p>
        </w:tc>
      </w:tr>
    </w:tbl>
    <w:p w14:paraId="35450455">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079A552">
        <w:tblPrEx>
          <w:tblCellMar>
            <w:top w:w="0" w:type="dxa"/>
            <w:left w:w="0" w:type="dxa"/>
            <w:bottom w:w="0" w:type="dxa"/>
            <w:right w:w="0" w:type="dxa"/>
          </w:tblCellMar>
        </w:tblPrEx>
        <w:trPr>
          <w:wBefore w:w="0" w:type="auto"/>
          <w:tblCellSpacing w:w="0" w:type="dxa"/>
        </w:trPr>
        <w:tc>
          <w:tcPr>
            <w:tcW w:w="0" w:type="auto"/>
            <w:noWrap w:val="0"/>
            <w:vAlign w:val="center"/>
          </w:tcPr>
          <w:p w14:paraId="6A3A0596">
            <w:r>
              <w:rPr>
                <w:rStyle w:val="10"/>
                <w:rFonts w:hint="eastAsia"/>
              </w:rPr>
              <w:t>登记证号：</w:t>
            </w:r>
            <w:r>
              <w:rPr>
                <w:rFonts w:hint="eastAsia"/>
              </w:rPr>
              <w:t>PD20212216</w:t>
            </w:r>
          </w:p>
        </w:tc>
      </w:tr>
      <w:tr w14:paraId="796C10A1">
        <w:tblPrEx>
          <w:tblCellMar>
            <w:top w:w="0" w:type="dxa"/>
            <w:left w:w="0" w:type="dxa"/>
            <w:bottom w:w="0" w:type="dxa"/>
            <w:right w:w="0" w:type="dxa"/>
          </w:tblCellMar>
        </w:tblPrEx>
        <w:trPr>
          <w:wBefore w:w="0" w:type="auto"/>
          <w:tblCellSpacing w:w="0" w:type="dxa"/>
        </w:trPr>
        <w:tc>
          <w:tcPr>
            <w:tcW w:w="0" w:type="auto"/>
            <w:noWrap w:val="0"/>
            <w:vAlign w:val="center"/>
          </w:tcPr>
          <w:p w14:paraId="3F1611B5">
            <w:r>
              <w:rPr>
                <w:rStyle w:val="10"/>
                <w:rFonts w:hint="eastAsia"/>
              </w:rPr>
              <w:t>登记证持有人：</w:t>
            </w:r>
            <w:r>
              <w:rPr>
                <w:rFonts w:hint="eastAsia"/>
              </w:rPr>
              <w:t>四川省乐山市福华通达农药科技有限公司</w:t>
            </w:r>
          </w:p>
        </w:tc>
      </w:tr>
      <w:tr w14:paraId="06F10711">
        <w:tblPrEx>
          <w:tblCellMar>
            <w:top w:w="0" w:type="dxa"/>
            <w:left w:w="0" w:type="dxa"/>
            <w:bottom w:w="0" w:type="dxa"/>
            <w:right w:w="0" w:type="dxa"/>
          </w:tblCellMar>
        </w:tblPrEx>
        <w:trPr>
          <w:wBefore w:w="0" w:type="auto"/>
          <w:tblCellSpacing w:w="0" w:type="dxa"/>
        </w:trPr>
        <w:tc>
          <w:tcPr>
            <w:tcW w:w="0" w:type="auto"/>
            <w:noWrap w:val="0"/>
            <w:vAlign w:val="center"/>
          </w:tcPr>
          <w:p w14:paraId="343CB582">
            <w:r>
              <w:rPr>
                <w:rStyle w:val="10"/>
                <w:rFonts w:hint="eastAsia"/>
              </w:rPr>
              <w:t>农药名称：</w:t>
            </w:r>
            <w:r>
              <w:rPr>
                <w:rFonts w:hint="eastAsia"/>
              </w:rPr>
              <w:t>滴酸·草甘膦</w:t>
            </w:r>
          </w:p>
        </w:tc>
      </w:tr>
      <w:tr w14:paraId="2FA617DF">
        <w:tblPrEx>
          <w:tblCellMar>
            <w:top w:w="0" w:type="dxa"/>
            <w:left w:w="0" w:type="dxa"/>
            <w:bottom w:w="0" w:type="dxa"/>
            <w:right w:w="0" w:type="dxa"/>
          </w:tblCellMar>
        </w:tblPrEx>
        <w:trPr>
          <w:wBefore w:w="0" w:type="auto"/>
          <w:tblCellSpacing w:w="0" w:type="dxa"/>
        </w:trPr>
        <w:tc>
          <w:tcPr>
            <w:tcW w:w="0" w:type="auto"/>
            <w:noWrap w:val="0"/>
            <w:vAlign w:val="center"/>
          </w:tcPr>
          <w:p w14:paraId="60081CAF">
            <w:r>
              <w:rPr>
                <w:rStyle w:val="10"/>
                <w:rFonts w:hint="eastAsia"/>
              </w:rPr>
              <w:t>剂型：</w:t>
            </w:r>
            <w:r>
              <w:rPr>
                <w:rFonts w:hint="eastAsia"/>
              </w:rPr>
              <w:t>可溶液剂</w:t>
            </w:r>
          </w:p>
        </w:tc>
      </w:tr>
      <w:tr w14:paraId="75CFA58D">
        <w:tblPrEx>
          <w:tblCellMar>
            <w:top w:w="0" w:type="dxa"/>
            <w:left w:w="0" w:type="dxa"/>
            <w:bottom w:w="0" w:type="dxa"/>
            <w:right w:w="0" w:type="dxa"/>
          </w:tblCellMar>
        </w:tblPrEx>
        <w:trPr>
          <w:wBefore w:w="0" w:type="auto"/>
          <w:tblCellSpacing w:w="0" w:type="dxa"/>
        </w:trPr>
        <w:tc>
          <w:tcPr>
            <w:tcW w:w="0" w:type="auto"/>
            <w:noWrap w:val="0"/>
            <w:vAlign w:val="center"/>
          </w:tcPr>
          <w:p w14:paraId="12F1A65F">
            <w:r>
              <w:rPr>
                <w:rStyle w:val="10"/>
                <w:rFonts w:hint="eastAsia"/>
              </w:rPr>
              <w:t>毒性及其标识：</w:t>
            </w:r>
            <w:r>
              <w:rPr>
                <w:rFonts w:hint="eastAsia"/>
              </w:rPr>
              <w:t xml:space="preserve"> </w:t>
            </w:r>
            <w:r>
              <w:rPr>
                <w:lang/>
              </w:rPr>
              <w:drawing>
                <wp:inline distT="0" distB="0" distL="114300" distR="114300">
                  <wp:extent cx="476250" cy="323850"/>
                  <wp:effectExtent l="0" t="0" r="0" b="0"/>
                  <wp:docPr id="625" name="图片 625"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25"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7885238">
        <w:tblPrEx>
          <w:tblCellMar>
            <w:top w:w="0" w:type="dxa"/>
            <w:left w:w="0" w:type="dxa"/>
            <w:bottom w:w="0" w:type="dxa"/>
            <w:right w:w="0" w:type="dxa"/>
          </w:tblCellMar>
        </w:tblPrEx>
        <w:trPr>
          <w:wBefore w:w="0" w:type="auto"/>
          <w:tblCellSpacing w:w="0" w:type="dxa"/>
        </w:trPr>
        <w:tc>
          <w:tcPr>
            <w:tcW w:w="0" w:type="auto"/>
            <w:noWrap w:val="0"/>
            <w:vAlign w:val="center"/>
          </w:tcPr>
          <w:p w14:paraId="333FA6F8">
            <w:r>
              <w:rPr>
                <w:rStyle w:val="10"/>
                <w:rFonts w:hint="eastAsia"/>
              </w:rPr>
              <w:t>总有效成分含量：</w:t>
            </w:r>
            <w:r>
              <w:rPr>
                <w:rFonts w:hint="eastAsia"/>
              </w:rPr>
              <w:t>32.4%</w:t>
            </w:r>
          </w:p>
        </w:tc>
      </w:tr>
      <w:tr w14:paraId="3DFCF17C">
        <w:tblPrEx>
          <w:tblCellMar>
            <w:top w:w="0" w:type="dxa"/>
            <w:left w:w="0" w:type="dxa"/>
            <w:bottom w:w="0" w:type="dxa"/>
            <w:right w:w="0" w:type="dxa"/>
          </w:tblCellMar>
        </w:tblPrEx>
        <w:trPr>
          <w:wBefore w:w="0" w:type="auto"/>
          <w:tblCellSpacing w:w="0" w:type="dxa"/>
        </w:trPr>
        <w:tc>
          <w:tcPr>
            <w:tcW w:w="0" w:type="auto"/>
            <w:noWrap w:val="0"/>
            <w:vAlign w:val="center"/>
          </w:tcPr>
          <w:p w14:paraId="416A6C3A">
            <w:r>
              <w:rPr>
                <w:rFonts w:hint="eastAsia"/>
              </w:rPr>
              <w:t xml:space="preserve">有效成分及其含量： </w:t>
            </w:r>
          </w:p>
          <w:p w14:paraId="6E2048AD">
            <w:r>
              <w:rPr>
                <w:rFonts w:hint="eastAsia"/>
              </w:rPr>
              <w:t xml:space="preserve">    草甘膦30%    2,4-滴2.4%    </w:t>
            </w:r>
          </w:p>
        </w:tc>
      </w:tr>
      <w:tr w14:paraId="1CAFC9C0">
        <w:tblPrEx>
          <w:tblCellMar>
            <w:top w:w="0" w:type="dxa"/>
            <w:left w:w="0" w:type="dxa"/>
            <w:bottom w:w="0" w:type="dxa"/>
            <w:right w:w="0" w:type="dxa"/>
          </w:tblCellMar>
        </w:tblPrEx>
        <w:trPr>
          <w:wBefore w:w="0" w:type="auto"/>
          <w:tblCellSpacing w:w="0" w:type="dxa"/>
        </w:trPr>
        <w:tc>
          <w:tcPr>
            <w:tcW w:w="0" w:type="auto"/>
            <w:noWrap w:val="0"/>
            <w:vAlign w:val="center"/>
          </w:tcPr>
          <w:p w14:paraId="15385C78">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68ECD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78595EE">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23BB311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1C274811">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B14D242">
                  <w:r>
                    <w:rPr>
                      <w:rStyle w:val="11"/>
                      <w:rFonts w:hint="eastAsia"/>
                    </w:rPr>
                    <w:t>施用方式</w:t>
                  </w:r>
                </w:p>
              </w:tc>
            </w:tr>
            <w:tr w14:paraId="1EFE9A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61244013">
                  <w:r>
                    <w:rPr>
                      <w:rStyle w:val="11"/>
                      <w:rFonts w:hint="eastAsia"/>
                    </w:rPr>
                    <w:t>非耕地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0B69645">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28DBCD9">
                  <w:r>
                    <w:rPr>
                      <w:rStyle w:val="11"/>
                      <w:rFonts w:hint="eastAsia"/>
                    </w:rPr>
                    <w:t>250-400毫升/亩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AD5885">
                  <w:r>
                    <w:rPr>
                      <w:rStyle w:val="11"/>
                      <w:rFonts w:hint="eastAsia"/>
                    </w:rPr>
                    <w:t>茎叶喷雾</w:t>
                  </w:r>
                </w:p>
              </w:tc>
            </w:tr>
          </w:tbl>
          <w:p w14:paraId="1543F6C6">
            <w:pPr>
              <w:rPr>
                <w:rFonts w:ascii="Times New Roman" w:hAnsi="Times New Roman" w:cs="Times New Roman"/>
                <w:sz w:val="20"/>
                <w:szCs w:val="20"/>
              </w:rPr>
            </w:pPr>
          </w:p>
        </w:tc>
      </w:tr>
      <w:tr w14:paraId="4152A6CC">
        <w:tblPrEx>
          <w:tblCellMar>
            <w:top w:w="0" w:type="dxa"/>
            <w:left w:w="0" w:type="dxa"/>
            <w:bottom w:w="0" w:type="dxa"/>
            <w:right w:w="0" w:type="dxa"/>
          </w:tblCellMar>
        </w:tblPrEx>
        <w:trPr>
          <w:wBefore w:w="0" w:type="auto"/>
          <w:tblCellSpacing w:w="0" w:type="dxa"/>
        </w:trPr>
        <w:tc>
          <w:tcPr>
            <w:tcW w:w="0" w:type="auto"/>
            <w:noWrap w:val="0"/>
            <w:vAlign w:val="center"/>
          </w:tcPr>
          <w:p w14:paraId="401EBF28">
            <w:r>
              <w:rPr>
                <w:rStyle w:val="10"/>
                <w:rFonts w:hint="eastAsia"/>
              </w:rPr>
              <w:t>使用技术要求:</w:t>
            </w:r>
            <w:r>
              <w:rPr>
                <w:rFonts w:hint="eastAsia"/>
              </w:rPr>
              <w:br w:type="textWrapping"/>
            </w:r>
            <w:r>
              <w:rPr>
                <w:rStyle w:val="11"/>
                <w:rFonts w:hint="eastAsia"/>
              </w:rPr>
              <w:t>1.于杂草生长旺盛期，每亩兑水30-60公斤，均匀喷施于杂草茎叶上。 2.本品每季最多使用1次；对恶性、草龄大的杂草使用推荐剂量的高剂量，施用时需均匀全面喷雾，不漏喷。 3.使用本品后5天勿割草、放牧、翻地等。 4.禁止在田间道路、田埂、果树行间、休耕地、林场林地等农林业区域使用。</w:t>
            </w:r>
          </w:p>
        </w:tc>
      </w:tr>
      <w:tr w14:paraId="2B440331">
        <w:tblPrEx>
          <w:tblCellMar>
            <w:top w:w="0" w:type="dxa"/>
            <w:left w:w="0" w:type="dxa"/>
            <w:bottom w:w="0" w:type="dxa"/>
            <w:right w:w="0" w:type="dxa"/>
          </w:tblCellMar>
        </w:tblPrEx>
        <w:trPr>
          <w:wBefore w:w="0" w:type="auto"/>
          <w:tblCellSpacing w:w="0" w:type="dxa"/>
        </w:trPr>
        <w:tc>
          <w:tcPr>
            <w:tcW w:w="0" w:type="auto"/>
            <w:noWrap w:val="0"/>
            <w:vAlign w:val="center"/>
          </w:tcPr>
          <w:p w14:paraId="7C180D3A">
            <w:r>
              <w:rPr>
                <w:rStyle w:val="10"/>
                <w:rFonts w:hint="eastAsia"/>
              </w:rPr>
              <w:t>产品性能:</w:t>
            </w:r>
            <w:r>
              <w:rPr>
                <w:rFonts w:hint="eastAsia"/>
              </w:rPr>
              <w:br w:type="textWrapping"/>
            </w:r>
            <w:r>
              <w:rPr>
                <w:rStyle w:val="11"/>
                <w:rFonts w:hint="eastAsia"/>
              </w:rPr>
              <w:t>本品是灭生性内吸传导型茎叶处理除草剂草甘膦与选择性激素型内吸除草剂2,4-滴复配的柱状颗粒制剂，通过植物根部和叶部吸收传导，可以快速除草和长效封闭杂草，适用于非耕地一年生或多年生恶性杂草的防除。</w:t>
            </w:r>
          </w:p>
        </w:tc>
      </w:tr>
      <w:tr w14:paraId="1FB8CBF3">
        <w:tblPrEx>
          <w:tblCellMar>
            <w:top w:w="0" w:type="dxa"/>
            <w:left w:w="0" w:type="dxa"/>
            <w:bottom w:w="0" w:type="dxa"/>
            <w:right w:w="0" w:type="dxa"/>
          </w:tblCellMar>
        </w:tblPrEx>
        <w:trPr>
          <w:wBefore w:w="0" w:type="auto"/>
          <w:tblCellSpacing w:w="0" w:type="dxa"/>
        </w:trPr>
        <w:tc>
          <w:tcPr>
            <w:tcW w:w="0" w:type="auto"/>
            <w:noWrap w:val="0"/>
            <w:vAlign w:val="center"/>
          </w:tcPr>
          <w:p w14:paraId="2DD49005">
            <w:r>
              <w:rPr>
                <w:rStyle w:val="10"/>
                <w:rFonts w:hint="eastAsia"/>
              </w:rPr>
              <w:t>注意事项：</w:t>
            </w:r>
            <w:r>
              <w:rPr>
                <w:rFonts w:hint="eastAsia"/>
              </w:rPr>
              <w:br w:type="textWrapping"/>
            </w:r>
            <w:r>
              <w:rPr>
                <w:rStyle w:val="11"/>
                <w:rFonts w:hint="eastAsia"/>
              </w:rPr>
              <w:t>1.施药时应防止药液飘移到作物茎叶上，以免产生药害。2.草甘膦与土壤接触立即失去活性，请使用硬度较低的清水稀配，使用田间浑水等高硬度的水会使药效降低。3. 大风天或预计1小时内有雨，请勿施药；温暖晴天用药效果优于低温天气，喷药后3-4小时下雨会影响药效，可酌情补施。4.严禁与食物、饲料、种子等混放，对金属容器有腐蚀作用。5.使用本品时穿戴帽子、口罩、长衣、长裤、手套、鞋等，避免吸入药液，此时不能吸烟、饮水、吃东西，施药后要及时洗干净手脸等。6.本品对家蚕低毒，对家蚕的风险评估次外围桑叶经评估风险可接受，但最外围桑树的风险不可接受，可能会产生不良影响。故最外围桑树需作为隔离带，而次外围桑树可作为食物用于家蚕饲喂。本品对七星瓢虫有一定风险性，禁止在天敌放飞区域使用。7.远离水产养殖区施药，禁止在河塘等水体中清洗施药器具。禁止药品及其废品接触水源、土壤等环境。器具用肥皂或洗涤剂刷洗，清洗器具的废水不能排入河流、池塘等水源。8.孕妇及哺乳期妇女禁止接触。9.废弃物要妥善处理，不可做他用，也不可随意丢弃。</w:t>
            </w:r>
          </w:p>
        </w:tc>
      </w:tr>
      <w:tr w14:paraId="101FB25C">
        <w:tblPrEx>
          <w:tblCellMar>
            <w:top w:w="0" w:type="dxa"/>
            <w:left w:w="0" w:type="dxa"/>
            <w:bottom w:w="0" w:type="dxa"/>
            <w:right w:w="0" w:type="dxa"/>
          </w:tblCellMar>
        </w:tblPrEx>
        <w:trPr>
          <w:wBefore w:w="0" w:type="auto"/>
          <w:tblCellSpacing w:w="0" w:type="dxa"/>
        </w:trPr>
        <w:tc>
          <w:tcPr>
            <w:tcW w:w="0" w:type="auto"/>
            <w:noWrap w:val="0"/>
            <w:vAlign w:val="center"/>
          </w:tcPr>
          <w:p w14:paraId="1BD9AB42">
            <w:r>
              <w:rPr>
                <w:rStyle w:val="10"/>
                <w:rFonts w:hint="eastAsia"/>
              </w:rPr>
              <w:t>中毒急救措施：</w:t>
            </w:r>
            <w:r>
              <w:rPr>
                <w:rFonts w:hint="eastAsia"/>
              </w:rPr>
              <w:br w:type="textWrapping"/>
            </w:r>
            <w:r>
              <w:rPr>
                <w:rStyle w:val="11"/>
                <w:rFonts w:hint="eastAsia"/>
              </w:rPr>
              <w:t>1.对眼睛、皮肤和上呼吸道有刺激作用；施药人员应穿戴好防护用品。2.不慎吸入，应将病人移至空气流通处；若不慎接触或药液滴入眼睛，用清水冲洗15分钟以上。3.尚无特效解毒剂，误吞本品，用清水将嘴清洗干净，不要自行引吐，并携标签送医院诊治，对症治疗。</w:t>
            </w:r>
          </w:p>
        </w:tc>
      </w:tr>
      <w:tr w14:paraId="49AD6E7E">
        <w:tblPrEx>
          <w:tblCellMar>
            <w:top w:w="0" w:type="dxa"/>
            <w:left w:w="0" w:type="dxa"/>
            <w:bottom w:w="0" w:type="dxa"/>
            <w:right w:w="0" w:type="dxa"/>
          </w:tblCellMar>
        </w:tblPrEx>
        <w:trPr>
          <w:wBefore w:w="0" w:type="auto"/>
          <w:tblCellSpacing w:w="0" w:type="dxa"/>
        </w:trPr>
        <w:tc>
          <w:tcPr>
            <w:tcW w:w="0" w:type="auto"/>
            <w:noWrap w:val="0"/>
            <w:vAlign w:val="center"/>
          </w:tcPr>
          <w:p w14:paraId="72877611">
            <w:r>
              <w:rPr>
                <w:rStyle w:val="10"/>
                <w:rFonts w:hint="eastAsia"/>
              </w:rPr>
              <w:t>储存和运输方法：</w:t>
            </w:r>
            <w:r>
              <w:rPr>
                <w:rFonts w:hint="eastAsia"/>
              </w:rPr>
              <w:br w:type="textWrapping"/>
            </w:r>
            <w:r>
              <w:rPr>
                <w:rStyle w:val="11"/>
                <w:rFonts w:hint="eastAsia"/>
              </w:rPr>
              <w:t>1.不能与食品、饮料、粮食、饲料等混合储存和运输；装卸时，注意轻拿轻放，禁止说笑打闹、吃、喝、抽烟。2.储存时防止潮湿和日光直晒，远离火源或热源。3.置于儿童接触不到的地方，加锁保存。</w:t>
            </w:r>
          </w:p>
        </w:tc>
      </w:tr>
      <w:tr w14:paraId="7F1F0B6A">
        <w:tblPrEx>
          <w:tblCellMar>
            <w:top w:w="0" w:type="dxa"/>
            <w:left w:w="0" w:type="dxa"/>
            <w:bottom w:w="0" w:type="dxa"/>
            <w:right w:w="0" w:type="dxa"/>
          </w:tblCellMar>
        </w:tblPrEx>
        <w:trPr>
          <w:wBefore w:w="0" w:type="auto"/>
          <w:tblCellSpacing w:w="0" w:type="dxa"/>
        </w:trPr>
        <w:tc>
          <w:tcPr>
            <w:tcW w:w="0" w:type="auto"/>
            <w:noWrap w:val="0"/>
            <w:vAlign w:val="center"/>
          </w:tcPr>
          <w:p w14:paraId="15FA9255">
            <w:r>
              <w:rPr>
                <w:rStyle w:val="10"/>
                <w:rFonts w:hint="eastAsia"/>
              </w:rPr>
              <w:t>质量保证期：</w:t>
            </w:r>
            <w:r>
              <w:rPr>
                <w:rStyle w:val="11"/>
                <w:rFonts w:hint="eastAsia"/>
              </w:rPr>
              <w:t>2年</w:t>
            </w:r>
          </w:p>
        </w:tc>
      </w:tr>
      <w:tr w14:paraId="12288DE2">
        <w:tblPrEx>
          <w:tblCellMar>
            <w:top w:w="0" w:type="dxa"/>
            <w:left w:w="0" w:type="dxa"/>
            <w:bottom w:w="0" w:type="dxa"/>
            <w:right w:w="0" w:type="dxa"/>
          </w:tblCellMar>
        </w:tblPrEx>
        <w:trPr>
          <w:wBefore w:w="0" w:type="auto"/>
          <w:tblCellSpacing w:w="0" w:type="dxa"/>
        </w:trPr>
        <w:tc>
          <w:tcPr>
            <w:tcW w:w="0" w:type="auto"/>
            <w:noWrap w:val="0"/>
            <w:vAlign w:val="center"/>
          </w:tcPr>
          <w:p w14:paraId="3E986AA6">
            <w:r>
              <w:rPr>
                <w:rStyle w:val="10"/>
                <w:rFonts w:hint="eastAsia"/>
              </w:rPr>
              <w:t>备注：</w:t>
            </w:r>
            <w:r>
              <w:rPr>
                <w:rFonts w:hint="eastAsia"/>
              </w:rPr>
              <w:br w:type="textWrapping"/>
            </w:r>
            <w:r>
              <w:rPr>
                <w:rStyle w:val="11"/>
                <w:rFonts w:hint="eastAsia"/>
              </w:rPr>
              <w:t>草甘膦异丙胺盐41%，2,4-滴钠盐2.6%。</w:t>
            </w:r>
          </w:p>
        </w:tc>
      </w:tr>
    </w:tbl>
    <w:p w14:paraId="4FEE42CF">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5D2E9C57">
        <w:tblPrEx>
          <w:tblCellMar>
            <w:top w:w="0" w:type="dxa"/>
            <w:left w:w="0" w:type="dxa"/>
            <w:bottom w:w="0" w:type="dxa"/>
            <w:right w:w="0" w:type="dxa"/>
          </w:tblCellMar>
        </w:tblPrEx>
        <w:trPr>
          <w:wBefore w:w="0" w:type="auto"/>
          <w:tblCellSpacing w:w="0" w:type="dxa"/>
        </w:trPr>
        <w:tc>
          <w:tcPr>
            <w:tcW w:w="0" w:type="auto"/>
            <w:noWrap w:val="0"/>
            <w:vAlign w:val="center"/>
          </w:tcPr>
          <w:p w14:paraId="1472AEDD">
            <w:r>
              <w:rPr>
                <w:rStyle w:val="10"/>
                <w:rFonts w:hint="eastAsia"/>
              </w:rPr>
              <w:t>登记证号：</w:t>
            </w:r>
            <w:r>
              <w:rPr>
                <w:rFonts w:hint="eastAsia"/>
              </w:rPr>
              <w:t>PD20211933</w:t>
            </w:r>
          </w:p>
        </w:tc>
      </w:tr>
      <w:tr w14:paraId="54DBA6B6">
        <w:tblPrEx>
          <w:tblCellMar>
            <w:top w:w="0" w:type="dxa"/>
            <w:left w:w="0" w:type="dxa"/>
            <w:bottom w:w="0" w:type="dxa"/>
            <w:right w:w="0" w:type="dxa"/>
          </w:tblCellMar>
        </w:tblPrEx>
        <w:trPr>
          <w:wBefore w:w="0" w:type="auto"/>
          <w:tblCellSpacing w:w="0" w:type="dxa"/>
        </w:trPr>
        <w:tc>
          <w:tcPr>
            <w:tcW w:w="0" w:type="auto"/>
            <w:noWrap w:val="0"/>
            <w:vAlign w:val="center"/>
          </w:tcPr>
          <w:p w14:paraId="47C9CFC4">
            <w:r>
              <w:rPr>
                <w:rStyle w:val="10"/>
                <w:rFonts w:hint="eastAsia"/>
              </w:rPr>
              <w:t>登记证持有人：</w:t>
            </w:r>
            <w:r>
              <w:rPr>
                <w:rFonts w:hint="eastAsia"/>
              </w:rPr>
              <w:t>汝阳自强生物科技有限公司</w:t>
            </w:r>
          </w:p>
        </w:tc>
      </w:tr>
      <w:tr w14:paraId="2D7C42DE">
        <w:tblPrEx>
          <w:tblCellMar>
            <w:top w:w="0" w:type="dxa"/>
            <w:left w:w="0" w:type="dxa"/>
            <w:bottom w:w="0" w:type="dxa"/>
            <w:right w:w="0" w:type="dxa"/>
          </w:tblCellMar>
        </w:tblPrEx>
        <w:trPr>
          <w:wBefore w:w="0" w:type="auto"/>
          <w:tblCellSpacing w:w="0" w:type="dxa"/>
        </w:trPr>
        <w:tc>
          <w:tcPr>
            <w:tcW w:w="0" w:type="auto"/>
            <w:noWrap w:val="0"/>
            <w:vAlign w:val="center"/>
          </w:tcPr>
          <w:p w14:paraId="724ACF1F">
            <w:r>
              <w:rPr>
                <w:rStyle w:val="10"/>
                <w:rFonts w:hint="eastAsia"/>
              </w:rPr>
              <w:t>农药名称：</w:t>
            </w:r>
            <w:r>
              <w:rPr>
                <w:rFonts w:hint="eastAsia"/>
              </w:rPr>
              <w:t>丙环·嘧菌酯</w:t>
            </w:r>
          </w:p>
        </w:tc>
      </w:tr>
      <w:tr w14:paraId="4800804E">
        <w:tblPrEx>
          <w:tblCellMar>
            <w:top w:w="0" w:type="dxa"/>
            <w:left w:w="0" w:type="dxa"/>
            <w:bottom w:w="0" w:type="dxa"/>
            <w:right w:w="0" w:type="dxa"/>
          </w:tblCellMar>
        </w:tblPrEx>
        <w:trPr>
          <w:wBefore w:w="0" w:type="auto"/>
          <w:tblCellSpacing w:w="0" w:type="dxa"/>
        </w:trPr>
        <w:tc>
          <w:tcPr>
            <w:tcW w:w="0" w:type="auto"/>
            <w:noWrap w:val="0"/>
            <w:vAlign w:val="center"/>
          </w:tcPr>
          <w:p w14:paraId="72518D50">
            <w:r>
              <w:rPr>
                <w:rStyle w:val="10"/>
                <w:rFonts w:hint="eastAsia"/>
              </w:rPr>
              <w:t>剂型：</w:t>
            </w:r>
            <w:r>
              <w:rPr>
                <w:rFonts w:hint="eastAsia"/>
              </w:rPr>
              <w:t>颗粒剂</w:t>
            </w:r>
          </w:p>
        </w:tc>
      </w:tr>
      <w:tr w14:paraId="5604A4B2">
        <w:tblPrEx>
          <w:tblCellMar>
            <w:top w:w="0" w:type="dxa"/>
            <w:left w:w="0" w:type="dxa"/>
            <w:bottom w:w="0" w:type="dxa"/>
            <w:right w:w="0" w:type="dxa"/>
          </w:tblCellMar>
        </w:tblPrEx>
        <w:trPr>
          <w:wBefore w:w="0" w:type="auto"/>
          <w:tblCellSpacing w:w="0" w:type="dxa"/>
        </w:trPr>
        <w:tc>
          <w:tcPr>
            <w:tcW w:w="0" w:type="auto"/>
            <w:noWrap w:val="0"/>
            <w:vAlign w:val="center"/>
          </w:tcPr>
          <w:p w14:paraId="2DB012EF">
            <w:r>
              <w:rPr>
                <w:rStyle w:val="10"/>
                <w:rFonts w:hint="eastAsia"/>
              </w:rPr>
              <w:t>毒性及其标识：</w:t>
            </w:r>
            <w:r>
              <w:rPr>
                <w:rFonts w:hint="eastAsia"/>
              </w:rPr>
              <w:t xml:space="preserve"> </w:t>
            </w:r>
            <w:r>
              <w:rPr>
                <w:lang/>
              </w:rPr>
              <w:drawing>
                <wp:inline distT="0" distB="0" distL="114300" distR="114300">
                  <wp:extent cx="476250" cy="323850"/>
                  <wp:effectExtent l="0" t="0" r="0" b="0"/>
                  <wp:docPr id="626" name="图片 626"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752117A8">
        <w:tblPrEx>
          <w:tblCellMar>
            <w:top w:w="0" w:type="dxa"/>
            <w:left w:w="0" w:type="dxa"/>
            <w:bottom w:w="0" w:type="dxa"/>
            <w:right w:w="0" w:type="dxa"/>
          </w:tblCellMar>
        </w:tblPrEx>
        <w:trPr>
          <w:wBefore w:w="0" w:type="auto"/>
          <w:tblCellSpacing w:w="0" w:type="dxa"/>
        </w:trPr>
        <w:tc>
          <w:tcPr>
            <w:tcW w:w="0" w:type="auto"/>
            <w:noWrap w:val="0"/>
            <w:vAlign w:val="center"/>
          </w:tcPr>
          <w:p w14:paraId="67679FF5">
            <w:r>
              <w:rPr>
                <w:rStyle w:val="10"/>
                <w:rFonts w:hint="eastAsia"/>
              </w:rPr>
              <w:t>总有效成分含量：</w:t>
            </w:r>
            <w:r>
              <w:rPr>
                <w:rFonts w:hint="eastAsia"/>
              </w:rPr>
              <w:t>1%</w:t>
            </w:r>
          </w:p>
        </w:tc>
      </w:tr>
      <w:tr w14:paraId="7088C55D">
        <w:tblPrEx>
          <w:tblCellMar>
            <w:top w:w="0" w:type="dxa"/>
            <w:left w:w="0" w:type="dxa"/>
            <w:bottom w:w="0" w:type="dxa"/>
            <w:right w:w="0" w:type="dxa"/>
          </w:tblCellMar>
        </w:tblPrEx>
        <w:trPr>
          <w:wBefore w:w="0" w:type="auto"/>
          <w:tblCellSpacing w:w="0" w:type="dxa"/>
        </w:trPr>
        <w:tc>
          <w:tcPr>
            <w:tcW w:w="0" w:type="auto"/>
            <w:noWrap w:val="0"/>
            <w:vAlign w:val="center"/>
          </w:tcPr>
          <w:p w14:paraId="68C376B9">
            <w:r>
              <w:rPr>
                <w:rFonts w:hint="eastAsia"/>
              </w:rPr>
              <w:t xml:space="preserve">有效成分及其含量： </w:t>
            </w:r>
          </w:p>
          <w:p w14:paraId="0D5B5941">
            <w:r>
              <w:rPr>
                <w:rFonts w:hint="eastAsia"/>
              </w:rPr>
              <w:t xml:space="preserve">    丙环唑0.7%    嘧菌酯0.3%    </w:t>
            </w:r>
          </w:p>
        </w:tc>
      </w:tr>
      <w:tr w14:paraId="0ADE3FEB">
        <w:tblPrEx>
          <w:tblCellMar>
            <w:top w:w="0" w:type="dxa"/>
            <w:left w:w="0" w:type="dxa"/>
            <w:bottom w:w="0" w:type="dxa"/>
            <w:right w:w="0" w:type="dxa"/>
          </w:tblCellMar>
        </w:tblPrEx>
        <w:trPr>
          <w:wBefore w:w="0" w:type="auto"/>
          <w:tblCellSpacing w:w="0" w:type="dxa"/>
        </w:trPr>
        <w:tc>
          <w:tcPr>
            <w:tcW w:w="0" w:type="auto"/>
            <w:noWrap w:val="0"/>
            <w:vAlign w:val="center"/>
          </w:tcPr>
          <w:p w14:paraId="3A20DC47">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614351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034763F3">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BD1FA7">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4891F09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952A22F">
                  <w:r>
                    <w:rPr>
                      <w:rStyle w:val="11"/>
                      <w:rFonts w:hint="eastAsia"/>
                    </w:rPr>
                    <w:t>施用方式</w:t>
                  </w:r>
                </w:p>
              </w:tc>
            </w:tr>
            <w:tr w14:paraId="3949A0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59AB66A">
                  <w:r>
                    <w:rPr>
                      <w:rStyle w:val="11"/>
                      <w:rFonts w:hint="eastAsia"/>
                    </w:rPr>
                    <w:t>辣椒</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A2B6B2E">
                  <w:r>
                    <w:rPr>
                      <w:rStyle w:val="11"/>
                      <w:rFonts w:hint="eastAsia"/>
                    </w:rPr>
                    <w:t>立枯病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4B280DD">
                  <w:r>
                    <w:rPr>
                      <w:rStyle w:val="11"/>
                      <w:rFonts w:hint="eastAsia"/>
                    </w:rPr>
                    <w:t>600-1000克/立方米</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D27D61F">
                  <w:r>
                    <w:rPr>
                      <w:rStyle w:val="11"/>
                      <w:rFonts w:hint="eastAsia"/>
                    </w:rPr>
                    <w:t>基质拌药</w:t>
                  </w:r>
                </w:p>
              </w:tc>
            </w:tr>
          </w:tbl>
          <w:p w14:paraId="04C15D05">
            <w:pPr>
              <w:rPr>
                <w:rFonts w:ascii="Times New Roman" w:hAnsi="Times New Roman" w:cs="Times New Roman"/>
                <w:sz w:val="20"/>
                <w:szCs w:val="20"/>
              </w:rPr>
            </w:pPr>
          </w:p>
        </w:tc>
      </w:tr>
      <w:tr w14:paraId="413999DA">
        <w:tblPrEx>
          <w:tblCellMar>
            <w:top w:w="0" w:type="dxa"/>
            <w:left w:w="0" w:type="dxa"/>
            <w:bottom w:w="0" w:type="dxa"/>
            <w:right w:w="0" w:type="dxa"/>
          </w:tblCellMar>
        </w:tblPrEx>
        <w:trPr>
          <w:wBefore w:w="0" w:type="auto"/>
          <w:tblCellSpacing w:w="0" w:type="dxa"/>
        </w:trPr>
        <w:tc>
          <w:tcPr>
            <w:tcW w:w="0" w:type="auto"/>
            <w:noWrap w:val="0"/>
            <w:vAlign w:val="center"/>
          </w:tcPr>
          <w:p w14:paraId="7687EAA7">
            <w:r>
              <w:rPr>
                <w:rStyle w:val="10"/>
                <w:rFonts w:hint="eastAsia"/>
              </w:rPr>
              <w:t>使用技术要求:</w:t>
            </w:r>
            <w:r>
              <w:rPr>
                <w:rFonts w:hint="eastAsia"/>
              </w:rPr>
              <w:br w:type="textWrapping"/>
            </w:r>
            <w:r>
              <w:rPr>
                <w:rStyle w:val="11"/>
                <w:rFonts w:hint="eastAsia"/>
              </w:rPr>
              <w:t>1.本品不得用于苹果树、山楂树、樱桃、李树和女贞等作物。 2. 防治辣椒立枯病，于辣椒播种前混拌基质，每季作物使用1次。</w:t>
            </w:r>
          </w:p>
        </w:tc>
      </w:tr>
      <w:tr w14:paraId="53349E3B">
        <w:tblPrEx>
          <w:tblCellMar>
            <w:top w:w="0" w:type="dxa"/>
            <w:left w:w="0" w:type="dxa"/>
            <w:bottom w:w="0" w:type="dxa"/>
            <w:right w:w="0" w:type="dxa"/>
          </w:tblCellMar>
        </w:tblPrEx>
        <w:trPr>
          <w:wBefore w:w="0" w:type="auto"/>
          <w:tblCellSpacing w:w="0" w:type="dxa"/>
        </w:trPr>
        <w:tc>
          <w:tcPr>
            <w:tcW w:w="0" w:type="auto"/>
            <w:noWrap w:val="0"/>
            <w:vAlign w:val="center"/>
          </w:tcPr>
          <w:p w14:paraId="7B4862BA">
            <w:r>
              <w:rPr>
                <w:rStyle w:val="10"/>
                <w:rFonts w:hint="eastAsia"/>
              </w:rPr>
              <w:t>产品性能:</w:t>
            </w:r>
            <w:r>
              <w:rPr>
                <w:rFonts w:hint="eastAsia"/>
              </w:rPr>
              <w:br w:type="textWrapping"/>
            </w:r>
            <w:r>
              <w:rPr>
                <w:rStyle w:val="11"/>
                <w:rFonts w:hint="eastAsia"/>
              </w:rPr>
              <w:t>本品是丙环唑和嘧菌酯的混剂，可被茎、叶吸收，并迅速向植株上部传导，其中丙环唑为三唑类杀菌剂，可通过抑制病原菌麦角甾醇合成而导致其细胞死亡。而嘧菌酯作用于病原菌的线粒体呼吸，破坏能量的形成从而抑制病原菌的生长或杀死病原菌。对辣椒立枯病具有较好的防效。</w:t>
            </w:r>
          </w:p>
        </w:tc>
      </w:tr>
      <w:tr w14:paraId="1D45A461">
        <w:tblPrEx>
          <w:tblCellMar>
            <w:top w:w="0" w:type="dxa"/>
            <w:left w:w="0" w:type="dxa"/>
            <w:bottom w:w="0" w:type="dxa"/>
            <w:right w:w="0" w:type="dxa"/>
          </w:tblCellMar>
        </w:tblPrEx>
        <w:trPr>
          <w:wBefore w:w="0" w:type="auto"/>
          <w:tblCellSpacing w:w="0" w:type="dxa"/>
        </w:trPr>
        <w:tc>
          <w:tcPr>
            <w:tcW w:w="0" w:type="auto"/>
            <w:noWrap w:val="0"/>
            <w:vAlign w:val="center"/>
          </w:tcPr>
          <w:p w14:paraId="338424DA">
            <w:r>
              <w:rPr>
                <w:rStyle w:val="10"/>
                <w:rFonts w:hint="eastAsia"/>
              </w:rPr>
              <w:t>注意事项：</w:t>
            </w:r>
            <w:r>
              <w:rPr>
                <w:rFonts w:hint="eastAsia"/>
              </w:rPr>
              <w:br w:type="textWrapping"/>
            </w:r>
            <w:r>
              <w:rPr>
                <w:rStyle w:val="11"/>
                <w:rFonts w:hint="eastAsia"/>
              </w:rPr>
              <w:t>1.请按照农药安全使用准则使用本品。避免药液接触皮肤、眼睛和污染衣物，避免吸入药液或雾滴。切勿在施药期间饮水、进食、抽烟。2.施药时应穿戴长衣长裤、帽子、口罩、手套、鞋等。3.施药后，及时洗澡，并更换和清洗工作服。4.用过的包装物应妥善处理，不可作他用，也不可随意丢弃。所有施药器具，用后应立即用清水或适当的洗涤剂清洗干净。5.本品对鱼类等水生生物有毒，远离水产养殖区、河塘等水域施药，禁止在河塘等水域中清洗施药器具。鸟类保护区附近禁用，施药后立即覆土。6.未用完的制剂应放在原包装内密封保存，切勿将本品置于饮、食容器内。7.避免孕妇及哺乳期妇女接触本品。</w:t>
            </w:r>
          </w:p>
        </w:tc>
      </w:tr>
      <w:tr w14:paraId="327D2A27">
        <w:tblPrEx>
          <w:tblCellMar>
            <w:top w:w="0" w:type="dxa"/>
            <w:left w:w="0" w:type="dxa"/>
            <w:bottom w:w="0" w:type="dxa"/>
            <w:right w:w="0" w:type="dxa"/>
          </w:tblCellMar>
        </w:tblPrEx>
        <w:trPr>
          <w:wBefore w:w="0" w:type="auto"/>
          <w:tblCellSpacing w:w="0" w:type="dxa"/>
        </w:trPr>
        <w:tc>
          <w:tcPr>
            <w:tcW w:w="0" w:type="auto"/>
            <w:noWrap w:val="0"/>
            <w:vAlign w:val="center"/>
          </w:tcPr>
          <w:p w14:paraId="0156ADAC">
            <w:r>
              <w:rPr>
                <w:rStyle w:val="10"/>
                <w:rFonts w:hint="eastAsia"/>
              </w:rPr>
              <w:t>中毒急救措施：</w:t>
            </w:r>
            <w:r>
              <w:rPr>
                <w:rFonts w:hint="eastAsia"/>
              </w:rPr>
              <w:br w:type="textWrapping"/>
            </w:r>
            <w:r>
              <w:rPr>
                <w:rStyle w:val="11"/>
                <w:rFonts w:hint="eastAsia"/>
              </w:rPr>
              <w:t>本品对眼睛有刺激性。中毒急救：使用中或使用后如果感觉不适，应立即停止工作，采取急救措施，并携带标签送医院就诊。皮肤接触：脱去污染的衣物，立即用软布去除沾染农药，用大量清水和肥皂冲洗。眼睛溅入：立即将眼睑翻开，用流动清水轻缓冲洗不少于15-20分钟。如果佩戴隐形眼镜，摘掉隐形眼镜后再冲洗5分钟，迅速请医生诊治。吸入：迅速转移至空气新鲜处。保持呼吸道通畅。如呼吸困难，给输氧。如呼吸停止，立即进行人工呼吸。注意保暖和休息。速请医生诊治。误服：让误服者用清水充分漱口后，携带农药标签到医院就诊。无专用解毒剂。</w:t>
            </w:r>
          </w:p>
        </w:tc>
      </w:tr>
      <w:tr w14:paraId="79CABCFF">
        <w:tblPrEx>
          <w:tblCellMar>
            <w:top w:w="0" w:type="dxa"/>
            <w:left w:w="0" w:type="dxa"/>
            <w:bottom w:w="0" w:type="dxa"/>
            <w:right w:w="0" w:type="dxa"/>
          </w:tblCellMar>
        </w:tblPrEx>
        <w:trPr>
          <w:wBefore w:w="0" w:type="auto"/>
          <w:tblCellSpacing w:w="0" w:type="dxa"/>
        </w:trPr>
        <w:tc>
          <w:tcPr>
            <w:tcW w:w="0" w:type="auto"/>
            <w:noWrap w:val="0"/>
            <w:vAlign w:val="center"/>
          </w:tcPr>
          <w:p w14:paraId="2648EFD8">
            <w:r>
              <w:rPr>
                <w:rStyle w:val="10"/>
                <w:rFonts w:hint="eastAsia"/>
              </w:rPr>
              <w:t>储存和运输方法：</w:t>
            </w:r>
            <w:r>
              <w:rPr>
                <w:rFonts w:hint="eastAsia"/>
              </w:rPr>
              <w:br w:type="textWrapping"/>
            </w:r>
            <w:r>
              <w:rPr>
                <w:rStyle w:val="11"/>
                <w:rFonts w:hint="eastAsia"/>
              </w:rPr>
              <w:t>1.本品应加锁保存，勿让儿童、无关人员和动物接触。勿与食物、饮料、粮食和动物饲料等混合储运。2.本品应贮藏在避光、干燥、通风处，远离热源或火源。运输时应注意避光、防高温、雨淋。3.产品码放高度不宜超过2米，以免损坏包装。</w:t>
            </w:r>
          </w:p>
        </w:tc>
      </w:tr>
      <w:tr w14:paraId="3C40AEFB">
        <w:tblPrEx>
          <w:tblCellMar>
            <w:top w:w="0" w:type="dxa"/>
            <w:left w:w="0" w:type="dxa"/>
            <w:bottom w:w="0" w:type="dxa"/>
            <w:right w:w="0" w:type="dxa"/>
          </w:tblCellMar>
        </w:tblPrEx>
        <w:trPr>
          <w:wBefore w:w="0" w:type="auto"/>
          <w:tblCellSpacing w:w="0" w:type="dxa"/>
        </w:trPr>
        <w:tc>
          <w:tcPr>
            <w:tcW w:w="0" w:type="auto"/>
            <w:noWrap w:val="0"/>
            <w:vAlign w:val="center"/>
          </w:tcPr>
          <w:p w14:paraId="7F321F51">
            <w:r>
              <w:rPr>
                <w:rStyle w:val="10"/>
                <w:rFonts w:hint="eastAsia"/>
              </w:rPr>
              <w:t>质量保证期：</w:t>
            </w:r>
            <w:r>
              <w:rPr>
                <w:rStyle w:val="11"/>
                <w:rFonts w:hint="eastAsia"/>
              </w:rPr>
              <w:t>2年</w:t>
            </w:r>
          </w:p>
        </w:tc>
      </w:tr>
      <w:tr w14:paraId="271CD718">
        <w:tblPrEx>
          <w:tblCellMar>
            <w:top w:w="0" w:type="dxa"/>
            <w:left w:w="0" w:type="dxa"/>
            <w:bottom w:w="0" w:type="dxa"/>
            <w:right w:w="0" w:type="dxa"/>
          </w:tblCellMar>
        </w:tblPrEx>
        <w:trPr>
          <w:wBefore w:w="0" w:type="auto"/>
          <w:tblCellSpacing w:w="0" w:type="dxa"/>
        </w:trPr>
        <w:tc>
          <w:tcPr>
            <w:tcW w:w="0" w:type="auto"/>
            <w:noWrap w:val="0"/>
            <w:vAlign w:val="center"/>
          </w:tcPr>
          <w:p w14:paraId="7C414B58">
            <w:r>
              <w:rPr>
                <w:rStyle w:val="10"/>
                <w:rFonts w:hint="eastAsia"/>
              </w:rPr>
              <w:t>备注：</w:t>
            </w:r>
          </w:p>
        </w:tc>
      </w:tr>
    </w:tbl>
    <w:p w14:paraId="062DD5A1">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6ABF17EA">
        <w:tblPrEx>
          <w:tblCellMar>
            <w:top w:w="0" w:type="dxa"/>
            <w:left w:w="0" w:type="dxa"/>
            <w:bottom w:w="0" w:type="dxa"/>
            <w:right w:w="0" w:type="dxa"/>
          </w:tblCellMar>
        </w:tblPrEx>
        <w:trPr>
          <w:wBefore w:w="0" w:type="auto"/>
          <w:tblCellSpacing w:w="0" w:type="dxa"/>
        </w:trPr>
        <w:tc>
          <w:tcPr>
            <w:tcW w:w="0" w:type="auto"/>
            <w:noWrap w:val="0"/>
            <w:vAlign w:val="center"/>
          </w:tcPr>
          <w:p w14:paraId="66DDE3AE">
            <w:r>
              <w:rPr>
                <w:rStyle w:val="10"/>
                <w:rFonts w:hint="eastAsia"/>
              </w:rPr>
              <w:t>登记证号：</w:t>
            </w:r>
            <w:r>
              <w:rPr>
                <w:rFonts w:hint="eastAsia"/>
              </w:rPr>
              <w:t>PD20212167</w:t>
            </w:r>
          </w:p>
        </w:tc>
      </w:tr>
      <w:tr w14:paraId="4A038550">
        <w:tblPrEx>
          <w:tblCellMar>
            <w:top w:w="0" w:type="dxa"/>
            <w:left w:w="0" w:type="dxa"/>
            <w:bottom w:w="0" w:type="dxa"/>
            <w:right w:w="0" w:type="dxa"/>
          </w:tblCellMar>
        </w:tblPrEx>
        <w:trPr>
          <w:wBefore w:w="0" w:type="auto"/>
          <w:tblCellSpacing w:w="0" w:type="dxa"/>
        </w:trPr>
        <w:tc>
          <w:tcPr>
            <w:tcW w:w="0" w:type="auto"/>
            <w:noWrap w:val="0"/>
            <w:vAlign w:val="center"/>
          </w:tcPr>
          <w:p w14:paraId="032979FA">
            <w:r>
              <w:rPr>
                <w:rStyle w:val="10"/>
                <w:rFonts w:hint="eastAsia"/>
              </w:rPr>
              <w:t>登记证持有人：</w:t>
            </w:r>
            <w:r>
              <w:rPr>
                <w:rFonts w:hint="eastAsia"/>
              </w:rPr>
              <w:t>张掖市大弓农化有限公司</w:t>
            </w:r>
          </w:p>
        </w:tc>
      </w:tr>
      <w:tr w14:paraId="5C75C736">
        <w:tblPrEx>
          <w:tblCellMar>
            <w:top w:w="0" w:type="dxa"/>
            <w:left w:w="0" w:type="dxa"/>
            <w:bottom w:w="0" w:type="dxa"/>
            <w:right w:w="0" w:type="dxa"/>
          </w:tblCellMar>
        </w:tblPrEx>
        <w:trPr>
          <w:wBefore w:w="0" w:type="auto"/>
          <w:tblCellSpacing w:w="0" w:type="dxa"/>
        </w:trPr>
        <w:tc>
          <w:tcPr>
            <w:tcW w:w="0" w:type="auto"/>
            <w:noWrap w:val="0"/>
            <w:vAlign w:val="center"/>
          </w:tcPr>
          <w:p w14:paraId="0112CFFF">
            <w:r>
              <w:rPr>
                <w:rStyle w:val="10"/>
                <w:rFonts w:hint="eastAsia"/>
              </w:rPr>
              <w:t>农药名称：</w:t>
            </w:r>
            <w:r>
              <w:rPr>
                <w:rFonts w:hint="eastAsia"/>
              </w:rPr>
              <w:t>丙炔氟草胺</w:t>
            </w:r>
          </w:p>
        </w:tc>
      </w:tr>
      <w:tr w14:paraId="5A5B13A8">
        <w:tblPrEx>
          <w:tblCellMar>
            <w:top w:w="0" w:type="dxa"/>
            <w:left w:w="0" w:type="dxa"/>
            <w:bottom w:w="0" w:type="dxa"/>
            <w:right w:w="0" w:type="dxa"/>
          </w:tblCellMar>
        </w:tblPrEx>
        <w:trPr>
          <w:wBefore w:w="0" w:type="auto"/>
          <w:tblCellSpacing w:w="0" w:type="dxa"/>
        </w:trPr>
        <w:tc>
          <w:tcPr>
            <w:tcW w:w="0" w:type="auto"/>
            <w:noWrap w:val="0"/>
            <w:vAlign w:val="center"/>
          </w:tcPr>
          <w:p w14:paraId="44A9FC03">
            <w:r>
              <w:rPr>
                <w:rStyle w:val="10"/>
                <w:rFonts w:hint="eastAsia"/>
              </w:rPr>
              <w:t>剂型：</w:t>
            </w:r>
            <w:r>
              <w:rPr>
                <w:rFonts w:hint="eastAsia"/>
              </w:rPr>
              <w:t>可湿性粉剂</w:t>
            </w:r>
          </w:p>
        </w:tc>
      </w:tr>
      <w:tr w14:paraId="4432629D">
        <w:tblPrEx>
          <w:tblCellMar>
            <w:top w:w="0" w:type="dxa"/>
            <w:left w:w="0" w:type="dxa"/>
            <w:bottom w:w="0" w:type="dxa"/>
            <w:right w:w="0" w:type="dxa"/>
          </w:tblCellMar>
        </w:tblPrEx>
        <w:trPr>
          <w:wBefore w:w="0" w:type="auto"/>
          <w:tblCellSpacing w:w="0" w:type="dxa"/>
        </w:trPr>
        <w:tc>
          <w:tcPr>
            <w:tcW w:w="0" w:type="auto"/>
            <w:noWrap w:val="0"/>
            <w:vAlign w:val="center"/>
          </w:tcPr>
          <w:p w14:paraId="703BDD00">
            <w:r>
              <w:rPr>
                <w:rStyle w:val="10"/>
                <w:rFonts w:hint="eastAsia"/>
              </w:rPr>
              <w:t>毒性及其标识：</w:t>
            </w:r>
            <w:r>
              <w:rPr>
                <w:rFonts w:hint="eastAsia"/>
              </w:rPr>
              <w:t xml:space="preserve"> </w:t>
            </w:r>
            <w:r>
              <w:rPr>
                <w:lang/>
              </w:rPr>
              <w:drawing>
                <wp:inline distT="0" distB="0" distL="114300" distR="114300">
                  <wp:extent cx="476250" cy="323850"/>
                  <wp:effectExtent l="0" t="0" r="0" b="0"/>
                  <wp:docPr id="627" name="图片 627"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0333BAA9">
        <w:tblPrEx>
          <w:tblCellMar>
            <w:top w:w="0" w:type="dxa"/>
            <w:left w:w="0" w:type="dxa"/>
            <w:bottom w:w="0" w:type="dxa"/>
            <w:right w:w="0" w:type="dxa"/>
          </w:tblCellMar>
        </w:tblPrEx>
        <w:trPr>
          <w:wBefore w:w="0" w:type="auto"/>
          <w:tblCellSpacing w:w="0" w:type="dxa"/>
        </w:trPr>
        <w:tc>
          <w:tcPr>
            <w:tcW w:w="0" w:type="auto"/>
            <w:noWrap w:val="0"/>
            <w:vAlign w:val="center"/>
          </w:tcPr>
          <w:p w14:paraId="770F682E">
            <w:r>
              <w:rPr>
                <w:rStyle w:val="10"/>
                <w:rFonts w:hint="eastAsia"/>
              </w:rPr>
              <w:t>总有效成分含量：</w:t>
            </w:r>
            <w:r>
              <w:rPr>
                <w:rFonts w:hint="eastAsia"/>
              </w:rPr>
              <w:t>50%</w:t>
            </w:r>
          </w:p>
        </w:tc>
      </w:tr>
      <w:tr w14:paraId="14C40BA3">
        <w:tblPrEx>
          <w:tblCellMar>
            <w:top w:w="0" w:type="dxa"/>
            <w:left w:w="0" w:type="dxa"/>
            <w:bottom w:w="0" w:type="dxa"/>
            <w:right w:w="0" w:type="dxa"/>
          </w:tblCellMar>
        </w:tblPrEx>
        <w:trPr>
          <w:wBefore w:w="0" w:type="auto"/>
          <w:tblCellSpacing w:w="0" w:type="dxa"/>
        </w:trPr>
        <w:tc>
          <w:tcPr>
            <w:tcW w:w="0" w:type="auto"/>
            <w:noWrap w:val="0"/>
            <w:vAlign w:val="center"/>
          </w:tcPr>
          <w:p w14:paraId="24FDD9C3">
            <w:r>
              <w:rPr>
                <w:rFonts w:hint="eastAsia"/>
              </w:rPr>
              <w:t xml:space="preserve">有效成分及其含量： </w:t>
            </w:r>
          </w:p>
          <w:p w14:paraId="63FA1E1E">
            <w:r>
              <w:rPr>
                <w:rFonts w:hint="eastAsia"/>
              </w:rPr>
              <w:t xml:space="preserve">    丙炔氟草胺50%    </w:t>
            </w:r>
          </w:p>
        </w:tc>
      </w:tr>
      <w:tr w14:paraId="65DC16F6">
        <w:tblPrEx>
          <w:tblCellMar>
            <w:top w:w="0" w:type="dxa"/>
            <w:left w:w="0" w:type="dxa"/>
            <w:bottom w:w="0" w:type="dxa"/>
            <w:right w:w="0" w:type="dxa"/>
          </w:tblCellMar>
        </w:tblPrEx>
        <w:trPr>
          <w:wBefore w:w="0" w:type="auto"/>
          <w:tblCellSpacing w:w="0" w:type="dxa"/>
        </w:trPr>
        <w:tc>
          <w:tcPr>
            <w:tcW w:w="0" w:type="auto"/>
            <w:noWrap w:val="0"/>
            <w:vAlign w:val="center"/>
          </w:tcPr>
          <w:p w14:paraId="62D5BFFA">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17F752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459E932B">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6F61E918">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5CD75484">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7B6F2E8B">
                  <w:r>
                    <w:rPr>
                      <w:rStyle w:val="11"/>
                      <w:rFonts w:hint="eastAsia"/>
                    </w:rPr>
                    <w:t>施用方式</w:t>
                  </w:r>
                </w:p>
              </w:tc>
            </w:tr>
            <w:tr w14:paraId="6D185D9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35347C32">
                  <w:r>
                    <w:rPr>
                      <w:rStyle w:val="11"/>
                      <w:rFonts w:hint="eastAsia"/>
                    </w:rPr>
                    <w:t>花生田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FF0D2ED">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273D198">
                  <w:r>
                    <w:rPr>
                      <w:rStyle w:val="11"/>
                      <w:rFonts w:hint="eastAsia"/>
                    </w:rPr>
                    <w:t>5.3-8克/亩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3398E07">
                  <w:r>
                    <w:rPr>
                      <w:rStyle w:val="11"/>
                      <w:rFonts w:hint="eastAsia"/>
                    </w:rPr>
                    <w:t>土壤喷雾</w:t>
                  </w:r>
                </w:p>
              </w:tc>
            </w:tr>
            <w:tr w14:paraId="6B573C0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8B49372">
                  <w:r>
                    <w:rPr>
                      <w:rStyle w:val="11"/>
                      <w:rFonts w:hint="eastAsia"/>
                    </w:rPr>
                    <w:t>棉花田</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2593664">
                  <w:r>
                    <w:rPr>
                      <w:rStyle w:val="11"/>
                      <w:rFonts w:hint="eastAsia"/>
                    </w:rPr>
                    <w:t>一年生杂草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2AF16BF">
                  <w:r>
                    <w:rPr>
                      <w:rStyle w:val="11"/>
                      <w:rFonts w:hint="eastAsia"/>
                    </w:rPr>
                    <w:t>5.3-8克/亩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5A207FA4">
                  <w:r>
                    <w:rPr>
                      <w:rStyle w:val="11"/>
                      <w:rFonts w:hint="eastAsia"/>
                    </w:rPr>
                    <w:t>土壤喷雾</w:t>
                  </w:r>
                </w:p>
              </w:tc>
            </w:tr>
          </w:tbl>
          <w:p w14:paraId="2159F37D">
            <w:pPr>
              <w:rPr>
                <w:rFonts w:ascii="Times New Roman" w:hAnsi="Times New Roman" w:cs="Times New Roman"/>
                <w:sz w:val="20"/>
                <w:szCs w:val="20"/>
              </w:rPr>
            </w:pPr>
          </w:p>
        </w:tc>
      </w:tr>
      <w:tr w14:paraId="3005C01F">
        <w:tblPrEx>
          <w:tblCellMar>
            <w:top w:w="0" w:type="dxa"/>
            <w:left w:w="0" w:type="dxa"/>
            <w:bottom w:w="0" w:type="dxa"/>
            <w:right w:w="0" w:type="dxa"/>
          </w:tblCellMar>
        </w:tblPrEx>
        <w:trPr>
          <w:wBefore w:w="0" w:type="auto"/>
          <w:tblCellSpacing w:w="0" w:type="dxa"/>
        </w:trPr>
        <w:tc>
          <w:tcPr>
            <w:tcW w:w="0" w:type="auto"/>
            <w:noWrap w:val="0"/>
            <w:vAlign w:val="center"/>
          </w:tcPr>
          <w:p w14:paraId="0FCF1725">
            <w:r>
              <w:rPr>
                <w:rStyle w:val="10"/>
                <w:rFonts w:hint="eastAsia"/>
              </w:rPr>
              <w:t>使用技术要求:</w:t>
            </w:r>
            <w:r>
              <w:rPr>
                <w:rFonts w:hint="eastAsia"/>
              </w:rPr>
              <w:br w:type="textWrapping"/>
            </w:r>
            <w:r>
              <w:rPr>
                <w:rStyle w:val="11"/>
                <w:rFonts w:hint="eastAsia"/>
              </w:rPr>
              <w:t>1、花生播后苗前施药，一般播后不超过三天施药。为保证药效，可在施药后趟蒙头土或浅混土。每季最多施药1次。2、在棉花播种前或播后苗前土壤喷雾施药一次，每季最多施药1次。3、注意勿超剂量使用避免药害。</w:t>
            </w:r>
          </w:p>
        </w:tc>
      </w:tr>
      <w:tr w14:paraId="332977FE">
        <w:tblPrEx>
          <w:tblCellMar>
            <w:top w:w="0" w:type="dxa"/>
            <w:left w:w="0" w:type="dxa"/>
            <w:bottom w:w="0" w:type="dxa"/>
            <w:right w:w="0" w:type="dxa"/>
          </w:tblCellMar>
        </w:tblPrEx>
        <w:trPr>
          <w:wBefore w:w="0" w:type="auto"/>
          <w:tblCellSpacing w:w="0" w:type="dxa"/>
        </w:trPr>
        <w:tc>
          <w:tcPr>
            <w:tcW w:w="0" w:type="auto"/>
            <w:noWrap w:val="0"/>
            <w:vAlign w:val="center"/>
          </w:tcPr>
          <w:p w14:paraId="76BEB37D">
            <w:r>
              <w:rPr>
                <w:rStyle w:val="10"/>
                <w:rFonts w:hint="eastAsia"/>
              </w:rPr>
              <w:t>产品性能:</w:t>
            </w:r>
            <w:r>
              <w:rPr>
                <w:rFonts w:hint="eastAsia"/>
              </w:rPr>
              <w:br w:type="textWrapping"/>
            </w:r>
            <w:r>
              <w:rPr>
                <w:rStyle w:val="11"/>
                <w:rFonts w:hint="eastAsia"/>
              </w:rPr>
              <w:t>丙炔氟草胺是由幼芽和叶片吸收的触杀型选择性除草剂，杀草谱广、用量少、为接触褐变型土壤处理剂，可有效防除花生田及棉花田一年生阔叶杂草及禾本科杂草，在环境中易降解。</w:t>
            </w:r>
          </w:p>
        </w:tc>
      </w:tr>
      <w:tr w14:paraId="0E6CDF4A">
        <w:tblPrEx>
          <w:tblCellMar>
            <w:top w:w="0" w:type="dxa"/>
            <w:left w:w="0" w:type="dxa"/>
            <w:bottom w:w="0" w:type="dxa"/>
            <w:right w:w="0" w:type="dxa"/>
          </w:tblCellMar>
        </w:tblPrEx>
        <w:trPr>
          <w:wBefore w:w="0" w:type="auto"/>
          <w:tblCellSpacing w:w="0" w:type="dxa"/>
        </w:trPr>
        <w:tc>
          <w:tcPr>
            <w:tcW w:w="0" w:type="auto"/>
            <w:noWrap w:val="0"/>
            <w:vAlign w:val="center"/>
          </w:tcPr>
          <w:p w14:paraId="05D51577">
            <w:r>
              <w:rPr>
                <w:rStyle w:val="10"/>
                <w:rFonts w:hint="eastAsia"/>
              </w:rPr>
              <w:t>注意事项：</w:t>
            </w:r>
            <w:r>
              <w:rPr>
                <w:rFonts w:hint="eastAsia"/>
              </w:rPr>
              <w:br w:type="textWrapping"/>
            </w:r>
            <w:r>
              <w:rPr>
                <w:rStyle w:val="11"/>
                <w:rFonts w:hint="eastAsia"/>
              </w:rPr>
              <w:t>1. 本品为花生田、棉花田苗前土壤喷雾，最好现配现用，不宜长时间搁置，使用时严格按照推荐剂量施药，严禁过量使用，喷雾要均匀、勿重喷漏喷。2. 花生、棉花拱土或出苗期不能施药。3. 禾本科杂草较多的田块，推荐和防禾本科杂草的除草剂混用。避免药液飘移到敏感作物田。4. 春季低温多雨天气，或遇温度高于30度，部分棉苗可能出现药害，最佳施药温度13-25度。5.施药后，花生出苗期遇大雨，可能会发生溅射型触杀药害，但不影响花生的正常生长与后期产量。6. 本品对眼睛有刺激性，使用时避免接触眼睛，穿戴长衣、长裤、帽子、口罩、手套等防护措施。7.施药后及时彻底清洗施药器具，废水不能排入河流、池塘等水体。8. 本品对蜜蜂、鱼类等水生生物、家蚕有毒，施药期间应避免对周围蜂群的影响，禁止在开花植物花期、蚕室和桑园附近使用。赤眼蜂等天敌放飞区域禁用。9. 水产养殖区、河塘等水体附近禁用，禁止在河塘等水域清洗施药器具。10. 用过的容器应妥善处理，不可作他用，也不可随意丢弃。11. 孕妇及哺乳期的妇女避免接触本品。</w:t>
            </w:r>
          </w:p>
        </w:tc>
      </w:tr>
      <w:tr w14:paraId="136D0D55">
        <w:tblPrEx>
          <w:tblCellMar>
            <w:top w:w="0" w:type="dxa"/>
            <w:left w:w="0" w:type="dxa"/>
            <w:bottom w:w="0" w:type="dxa"/>
            <w:right w:w="0" w:type="dxa"/>
          </w:tblCellMar>
        </w:tblPrEx>
        <w:trPr>
          <w:wBefore w:w="0" w:type="auto"/>
          <w:tblCellSpacing w:w="0" w:type="dxa"/>
        </w:trPr>
        <w:tc>
          <w:tcPr>
            <w:tcW w:w="0" w:type="auto"/>
            <w:noWrap w:val="0"/>
            <w:vAlign w:val="center"/>
          </w:tcPr>
          <w:p w14:paraId="6E1291E0">
            <w:r>
              <w:rPr>
                <w:rStyle w:val="10"/>
                <w:rFonts w:hint="eastAsia"/>
              </w:rPr>
              <w:t>中毒急救措施：</w:t>
            </w:r>
            <w:r>
              <w:rPr>
                <w:rFonts w:hint="eastAsia"/>
              </w:rPr>
              <w:br w:type="textWrapping"/>
            </w:r>
            <w:r>
              <w:rPr>
                <w:rStyle w:val="11"/>
                <w:rFonts w:hint="eastAsia"/>
              </w:rPr>
              <w:t xml:space="preserve">急救措施：不慎吸入：呼吸新鲜空气。皮肤接触：立即用肥皂和清水洗涤。眼睛接触：立即用流水洗涤，如果有刺激现象持续发生，立即请医生处理。误食：如果感到不适，立即请医生处理。无特效解毒药，对症治疗。 </w:t>
            </w:r>
          </w:p>
        </w:tc>
      </w:tr>
      <w:tr w14:paraId="184FDD2D">
        <w:tblPrEx>
          <w:tblCellMar>
            <w:top w:w="0" w:type="dxa"/>
            <w:left w:w="0" w:type="dxa"/>
            <w:bottom w:w="0" w:type="dxa"/>
            <w:right w:w="0" w:type="dxa"/>
          </w:tblCellMar>
        </w:tblPrEx>
        <w:trPr>
          <w:wBefore w:w="0" w:type="auto"/>
          <w:tblCellSpacing w:w="0" w:type="dxa"/>
        </w:trPr>
        <w:tc>
          <w:tcPr>
            <w:tcW w:w="0" w:type="auto"/>
            <w:noWrap w:val="0"/>
            <w:vAlign w:val="center"/>
          </w:tcPr>
          <w:p w14:paraId="2C29A38F">
            <w:r>
              <w:rPr>
                <w:rStyle w:val="10"/>
                <w:rFonts w:hint="eastAsia"/>
              </w:rPr>
              <w:t>储存和运输方法：</w:t>
            </w:r>
            <w:r>
              <w:rPr>
                <w:rFonts w:hint="eastAsia"/>
              </w:rPr>
              <w:br w:type="textWrapping"/>
            </w:r>
            <w:r>
              <w:rPr>
                <w:rStyle w:val="11"/>
                <w:rFonts w:hint="eastAsia"/>
              </w:rPr>
              <w:t>包装件应贮存于通风、干燥、防雨、阴凉的库房中，远离火源和热源。最低贮存温度不宜低于零下5度。置于儿童触及不到之处，并加锁，勿与食品、种子、饲料等其他商品同贮同运同放。</w:t>
            </w:r>
          </w:p>
        </w:tc>
      </w:tr>
      <w:tr w14:paraId="01A4F4F9">
        <w:tblPrEx>
          <w:tblCellMar>
            <w:top w:w="0" w:type="dxa"/>
            <w:left w:w="0" w:type="dxa"/>
            <w:bottom w:w="0" w:type="dxa"/>
            <w:right w:w="0" w:type="dxa"/>
          </w:tblCellMar>
        </w:tblPrEx>
        <w:trPr>
          <w:wBefore w:w="0" w:type="auto"/>
          <w:tblCellSpacing w:w="0" w:type="dxa"/>
        </w:trPr>
        <w:tc>
          <w:tcPr>
            <w:tcW w:w="0" w:type="auto"/>
            <w:noWrap w:val="0"/>
            <w:vAlign w:val="center"/>
          </w:tcPr>
          <w:p w14:paraId="23D88C16">
            <w:r>
              <w:rPr>
                <w:rStyle w:val="10"/>
                <w:rFonts w:hint="eastAsia"/>
              </w:rPr>
              <w:t>质量保证期：</w:t>
            </w:r>
            <w:r>
              <w:rPr>
                <w:rStyle w:val="11"/>
                <w:rFonts w:hint="eastAsia"/>
              </w:rPr>
              <w:t>2年</w:t>
            </w:r>
          </w:p>
        </w:tc>
      </w:tr>
      <w:tr w14:paraId="6C509E20">
        <w:tblPrEx>
          <w:tblCellMar>
            <w:top w:w="0" w:type="dxa"/>
            <w:left w:w="0" w:type="dxa"/>
            <w:bottom w:w="0" w:type="dxa"/>
            <w:right w:w="0" w:type="dxa"/>
          </w:tblCellMar>
        </w:tblPrEx>
        <w:trPr>
          <w:wBefore w:w="0" w:type="auto"/>
          <w:tblCellSpacing w:w="0" w:type="dxa"/>
        </w:trPr>
        <w:tc>
          <w:tcPr>
            <w:tcW w:w="0" w:type="auto"/>
            <w:noWrap w:val="0"/>
            <w:vAlign w:val="center"/>
          </w:tcPr>
          <w:p w14:paraId="01A5BB0C">
            <w:r>
              <w:rPr>
                <w:rStyle w:val="10"/>
                <w:rFonts w:hint="eastAsia"/>
              </w:rPr>
              <w:t>备注：</w:t>
            </w:r>
          </w:p>
        </w:tc>
      </w:tr>
    </w:tbl>
    <w:p w14:paraId="154D20FE">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3DD88239">
        <w:tblPrEx>
          <w:tblCellMar>
            <w:top w:w="0" w:type="dxa"/>
            <w:left w:w="0" w:type="dxa"/>
            <w:bottom w:w="0" w:type="dxa"/>
            <w:right w:w="0" w:type="dxa"/>
          </w:tblCellMar>
        </w:tblPrEx>
        <w:trPr>
          <w:wBefore w:w="0" w:type="auto"/>
          <w:tblCellSpacing w:w="0" w:type="dxa"/>
        </w:trPr>
        <w:tc>
          <w:tcPr>
            <w:tcW w:w="0" w:type="auto"/>
            <w:noWrap w:val="0"/>
            <w:vAlign w:val="center"/>
          </w:tcPr>
          <w:p w14:paraId="76997CCF">
            <w:r>
              <w:rPr>
                <w:rStyle w:val="10"/>
                <w:rFonts w:hint="eastAsia"/>
              </w:rPr>
              <w:t>登记证号：</w:t>
            </w:r>
            <w:r>
              <w:rPr>
                <w:rFonts w:hint="eastAsia"/>
              </w:rPr>
              <w:t>PD20142468</w:t>
            </w:r>
          </w:p>
        </w:tc>
      </w:tr>
      <w:tr w14:paraId="5294B6D9">
        <w:tblPrEx>
          <w:tblCellMar>
            <w:top w:w="0" w:type="dxa"/>
            <w:left w:w="0" w:type="dxa"/>
            <w:bottom w:w="0" w:type="dxa"/>
            <w:right w:w="0" w:type="dxa"/>
          </w:tblCellMar>
        </w:tblPrEx>
        <w:trPr>
          <w:wBefore w:w="0" w:type="auto"/>
          <w:tblCellSpacing w:w="0" w:type="dxa"/>
        </w:trPr>
        <w:tc>
          <w:tcPr>
            <w:tcW w:w="0" w:type="auto"/>
            <w:noWrap w:val="0"/>
            <w:vAlign w:val="center"/>
          </w:tcPr>
          <w:p w14:paraId="30510A9F">
            <w:r>
              <w:rPr>
                <w:rStyle w:val="10"/>
                <w:rFonts w:hint="eastAsia"/>
              </w:rPr>
              <w:t>登记证持有人：</w:t>
            </w:r>
            <w:r>
              <w:rPr>
                <w:rFonts w:hint="eastAsia"/>
              </w:rPr>
              <w:t>江阴苏利化学股份有限公司</w:t>
            </w:r>
          </w:p>
        </w:tc>
      </w:tr>
      <w:tr w14:paraId="36E299EB">
        <w:tblPrEx>
          <w:tblCellMar>
            <w:top w:w="0" w:type="dxa"/>
            <w:left w:w="0" w:type="dxa"/>
            <w:bottom w:w="0" w:type="dxa"/>
            <w:right w:w="0" w:type="dxa"/>
          </w:tblCellMar>
        </w:tblPrEx>
        <w:trPr>
          <w:wBefore w:w="0" w:type="auto"/>
          <w:tblCellSpacing w:w="0" w:type="dxa"/>
        </w:trPr>
        <w:tc>
          <w:tcPr>
            <w:tcW w:w="0" w:type="auto"/>
            <w:noWrap w:val="0"/>
            <w:vAlign w:val="center"/>
          </w:tcPr>
          <w:p w14:paraId="72D31C6D">
            <w:r>
              <w:rPr>
                <w:rStyle w:val="10"/>
                <w:rFonts w:hint="eastAsia"/>
              </w:rPr>
              <w:t>农药名称：</w:t>
            </w:r>
            <w:r>
              <w:rPr>
                <w:rFonts w:hint="eastAsia"/>
              </w:rPr>
              <w:t>氟啶胺</w:t>
            </w:r>
          </w:p>
        </w:tc>
      </w:tr>
      <w:tr w14:paraId="6E0CA031">
        <w:tblPrEx>
          <w:tblCellMar>
            <w:top w:w="0" w:type="dxa"/>
            <w:left w:w="0" w:type="dxa"/>
            <w:bottom w:w="0" w:type="dxa"/>
            <w:right w:w="0" w:type="dxa"/>
          </w:tblCellMar>
        </w:tblPrEx>
        <w:trPr>
          <w:wBefore w:w="0" w:type="auto"/>
          <w:tblCellSpacing w:w="0" w:type="dxa"/>
        </w:trPr>
        <w:tc>
          <w:tcPr>
            <w:tcW w:w="0" w:type="auto"/>
            <w:noWrap w:val="0"/>
            <w:vAlign w:val="center"/>
          </w:tcPr>
          <w:p w14:paraId="0153B65D">
            <w:r>
              <w:rPr>
                <w:rStyle w:val="10"/>
                <w:rFonts w:hint="eastAsia"/>
              </w:rPr>
              <w:t>剂型：</w:t>
            </w:r>
            <w:r>
              <w:rPr>
                <w:rFonts w:hint="eastAsia"/>
              </w:rPr>
              <w:t>水分散粒剂</w:t>
            </w:r>
          </w:p>
        </w:tc>
      </w:tr>
      <w:tr w14:paraId="41EB3630">
        <w:tblPrEx>
          <w:tblCellMar>
            <w:top w:w="0" w:type="dxa"/>
            <w:left w:w="0" w:type="dxa"/>
            <w:bottom w:w="0" w:type="dxa"/>
            <w:right w:w="0" w:type="dxa"/>
          </w:tblCellMar>
        </w:tblPrEx>
        <w:trPr>
          <w:wBefore w:w="0" w:type="auto"/>
          <w:tblCellSpacing w:w="0" w:type="dxa"/>
        </w:trPr>
        <w:tc>
          <w:tcPr>
            <w:tcW w:w="0" w:type="auto"/>
            <w:noWrap w:val="0"/>
            <w:vAlign w:val="center"/>
          </w:tcPr>
          <w:p w14:paraId="4D9E48DB">
            <w:r>
              <w:rPr>
                <w:rStyle w:val="10"/>
                <w:rFonts w:hint="eastAsia"/>
              </w:rPr>
              <w:t>毒性及其标识：</w:t>
            </w:r>
            <w:r>
              <w:rPr>
                <w:rFonts w:hint="eastAsia"/>
              </w:rPr>
              <w:t xml:space="preserve"> </w:t>
            </w:r>
            <w:r>
              <w:rPr>
                <w:lang/>
              </w:rPr>
              <w:drawing>
                <wp:inline distT="0" distB="0" distL="114300" distR="114300">
                  <wp:extent cx="476250" cy="323850"/>
                  <wp:effectExtent l="0" t="0" r="0" b="0"/>
                  <wp:docPr id="628" name="图片 628"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173318F">
        <w:tblPrEx>
          <w:tblCellMar>
            <w:top w:w="0" w:type="dxa"/>
            <w:left w:w="0" w:type="dxa"/>
            <w:bottom w:w="0" w:type="dxa"/>
            <w:right w:w="0" w:type="dxa"/>
          </w:tblCellMar>
        </w:tblPrEx>
        <w:trPr>
          <w:wBefore w:w="0" w:type="auto"/>
          <w:tblCellSpacing w:w="0" w:type="dxa"/>
        </w:trPr>
        <w:tc>
          <w:tcPr>
            <w:tcW w:w="0" w:type="auto"/>
            <w:noWrap w:val="0"/>
            <w:vAlign w:val="center"/>
          </w:tcPr>
          <w:p w14:paraId="79A7FB7E">
            <w:r>
              <w:rPr>
                <w:rStyle w:val="10"/>
                <w:rFonts w:hint="eastAsia"/>
              </w:rPr>
              <w:t>总有效成分含量：</w:t>
            </w:r>
            <w:r>
              <w:rPr>
                <w:rFonts w:hint="eastAsia"/>
              </w:rPr>
              <w:t>50%</w:t>
            </w:r>
          </w:p>
        </w:tc>
      </w:tr>
      <w:tr w14:paraId="24FA1B81">
        <w:tblPrEx>
          <w:tblCellMar>
            <w:top w:w="0" w:type="dxa"/>
            <w:left w:w="0" w:type="dxa"/>
            <w:bottom w:w="0" w:type="dxa"/>
            <w:right w:w="0" w:type="dxa"/>
          </w:tblCellMar>
        </w:tblPrEx>
        <w:trPr>
          <w:wBefore w:w="0" w:type="auto"/>
          <w:tblCellSpacing w:w="0" w:type="dxa"/>
        </w:trPr>
        <w:tc>
          <w:tcPr>
            <w:tcW w:w="0" w:type="auto"/>
            <w:noWrap w:val="0"/>
            <w:vAlign w:val="center"/>
          </w:tcPr>
          <w:p w14:paraId="6D1A4D07">
            <w:r>
              <w:rPr>
                <w:rFonts w:hint="eastAsia"/>
              </w:rPr>
              <w:t xml:space="preserve">有效成分及其含量： </w:t>
            </w:r>
          </w:p>
          <w:p w14:paraId="4F7B8381">
            <w:r>
              <w:rPr>
                <w:rFonts w:hint="eastAsia"/>
              </w:rPr>
              <w:t xml:space="preserve">    氟啶胺50%    </w:t>
            </w:r>
          </w:p>
        </w:tc>
      </w:tr>
      <w:tr w14:paraId="57102A1A">
        <w:tblPrEx>
          <w:tblCellMar>
            <w:top w:w="0" w:type="dxa"/>
            <w:left w:w="0" w:type="dxa"/>
            <w:bottom w:w="0" w:type="dxa"/>
            <w:right w:w="0" w:type="dxa"/>
          </w:tblCellMar>
        </w:tblPrEx>
        <w:trPr>
          <w:wBefore w:w="0" w:type="auto"/>
          <w:tblCellSpacing w:w="0" w:type="dxa"/>
        </w:trPr>
        <w:tc>
          <w:tcPr>
            <w:tcW w:w="0" w:type="auto"/>
            <w:noWrap w:val="0"/>
            <w:vAlign w:val="center"/>
          </w:tcPr>
          <w:p w14:paraId="6174CFB3">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7ED199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18C85234">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A7BE509">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7E7B6A89">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3D6BDDAA">
                  <w:r>
                    <w:rPr>
                      <w:rStyle w:val="11"/>
                      <w:rFonts w:hint="eastAsia"/>
                    </w:rPr>
                    <w:t>施用方式</w:t>
                  </w:r>
                </w:p>
              </w:tc>
            </w:tr>
            <w:tr w14:paraId="152056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21843F32">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74965712">
                  <w:r>
                    <w:rPr>
                      <w:rStyle w:val="11"/>
                      <w:rFonts w:hint="eastAsia"/>
                    </w:rPr>
                    <w:t>红蜘蛛</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2EBF7C3">
                  <w:r>
                    <w:rPr>
                      <w:rStyle w:val="11"/>
                      <w:rFonts w:hint="eastAsia"/>
                    </w:rPr>
                    <w:t>1000-2000倍液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53FE82C">
                  <w:r>
                    <w:rPr>
                      <w:rStyle w:val="11"/>
                      <w:rFonts w:hint="eastAsia"/>
                    </w:rPr>
                    <w:t>喷雾</w:t>
                  </w:r>
                </w:p>
              </w:tc>
            </w:tr>
            <w:tr w14:paraId="01B36F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77ADF2FA">
                  <w:r>
                    <w:rPr>
                      <w:rStyle w:val="11"/>
                      <w:rFonts w:hint="eastAsia"/>
                    </w:rPr>
                    <w:t>柑橘树</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1EDC863D">
                  <w:r>
                    <w:rPr>
                      <w:rStyle w:val="11"/>
                      <w:rFonts w:hint="eastAsia"/>
                    </w:rPr>
                    <w:t>树脂病(砂皮病)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DF55F89">
                  <w:r>
                    <w:rPr>
                      <w:rStyle w:val="11"/>
                      <w:rFonts w:hint="eastAsia"/>
                    </w:rPr>
                    <w:t>1000-2000倍液</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3C9BFAE0">
                  <w:r>
                    <w:rPr>
                      <w:rStyle w:val="11"/>
                      <w:rFonts w:hint="eastAsia"/>
                    </w:rPr>
                    <w:t>喷雾</w:t>
                  </w:r>
                </w:p>
              </w:tc>
            </w:tr>
          </w:tbl>
          <w:p w14:paraId="2920321A">
            <w:pPr>
              <w:rPr>
                <w:rFonts w:ascii="Times New Roman" w:hAnsi="Times New Roman" w:cs="Times New Roman"/>
                <w:sz w:val="20"/>
                <w:szCs w:val="20"/>
              </w:rPr>
            </w:pPr>
          </w:p>
        </w:tc>
      </w:tr>
      <w:tr w14:paraId="6F70727C">
        <w:tblPrEx>
          <w:tblCellMar>
            <w:top w:w="0" w:type="dxa"/>
            <w:left w:w="0" w:type="dxa"/>
            <w:bottom w:w="0" w:type="dxa"/>
            <w:right w:w="0" w:type="dxa"/>
          </w:tblCellMar>
        </w:tblPrEx>
        <w:trPr>
          <w:wBefore w:w="0" w:type="auto"/>
          <w:tblCellSpacing w:w="0" w:type="dxa"/>
        </w:trPr>
        <w:tc>
          <w:tcPr>
            <w:tcW w:w="0" w:type="auto"/>
            <w:noWrap w:val="0"/>
            <w:vAlign w:val="center"/>
          </w:tcPr>
          <w:p w14:paraId="4BEC47F9">
            <w:r>
              <w:rPr>
                <w:rStyle w:val="10"/>
                <w:rFonts w:hint="eastAsia"/>
              </w:rPr>
              <w:t>使用技术要求:</w:t>
            </w:r>
            <w:r>
              <w:rPr>
                <w:rFonts w:hint="eastAsia"/>
              </w:rPr>
              <w:br w:type="textWrapping"/>
            </w:r>
            <w:r>
              <w:rPr>
                <w:rStyle w:val="11"/>
                <w:rFonts w:hint="eastAsia"/>
              </w:rPr>
              <w:t>1.本品防治番茄晚疫病、番茄灰霉病于发病初期开始喷雾，视病情可连续2-3次，施药间隔7-10天，番茄上的安全间隔期为14天，每季最多使用3次。2.本品防治马铃薯晚疫病于发病初期或初见零星病斑时开始喷雾，视病情可连续2-3次，施药间隔期7-10天，马铃薯上的安全间隔期为7天，每季最多使用3次。3 .防治柑橘树红蜘蛛，于害螨发生始盛期，施药2次，每次间隔10天左右，于病害发生前或发病初期喷雾施药，施药2次，每次间隔10天，每季最多使用2次，柑橘树上安全间隔期为28天。4.为了延缓抗性的产生，建议与其他作用机理的药剂轮换使用。5.大风或预计1小时内下雨天气，请勿施药。</w:t>
            </w:r>
          </w:p>
        </w:tc>
      </w:tr>
      <w:tr w14:paraId="3B9723F8">
        <w:tblPrEx>
          <w:tblCellMar>
            <w:top w:w="0" w:type="dxa"/>
            <w:left w:w="0" w:type="dxa"/>
            <w:bottom w:w="0" w:type="dxa"/>
            <w:right w:w="0" w:type="dxa"/>
          </w:tblCellMar>
        </w:tblPrEx>
        <w:trPr>
          <w:wBefore w:w="0" w:type="auto"/>
          <w:tblCellSpacing w:w="0" w:type="dxa"/>
        </w:trPr>
        <w:tc>
          <w:tcPr>
            <w:tcW w:w="0" w:type="auto"/>
            <w:noWrap w:val="0"/>
            <w:vAlign w:val="center"/>
          </w:tcPr>
          <w:p w14:paraId="6D9DAFAD">
            <w:r>
              <w:rPr>
                <w:rStyle w:val="10"/>
                <w:rFonts w:hint="eastAsia"/>
              </w:rPr>
              <w:t>产品性能:</w:t>
            </w:r>
            <w:r>
              <w:rPr>
                <w:rFonts w:hint="eastAsia"/>
              </w:rPr>
              <w:br w:type="textWrapping"/>
            </w:r>
            <w:r>
              <w:rPr>
                <w:rStyle w:val="11"/>
                <w:rFonts w:hint="eastAsia"/>
              </w:rPr>
              <w:t>本品为二甲基苯胺类杀螨剂和杀菌剂，是一种强有力的解偶联剂，破坏氧化磷酸化，通过抑制孢子萌发、菌丝突破、生长和孢子形成而抑制所有阶段的感染过程。</w:t>
            </w:r>
          </w:p>
        </w:tc>
      </w:tr>
      <w:tr w14:paraId="6AB8F5DF">
        <w:tblPrEx>
          <w:tblCellMar>
            <w:top w:w="0" w:type="dxa"/>
            <w:left w:w="0" w:type="dxa"/>
            <w:bottom w:w="0" w:type="dxa"/>
            <w:right w:w="0" w:type="dxa"/>
          </w:tblCellMar>
        </w:tblPrEx>
        <w:trPr>
          <w:wBefore w:w="0" w:type="auto"/>
          <w:tblCellSpacing w:w="0" w:type="dxa"/>
        </w:trPr>
        <w:tc>
          <w:tcPr>
            <w:tcW w:w="0" w:type="auto"/>
            <w:noWrap w:val="0"/>
            <w:vAlign w:val="center"/>
          </w:tcPr>
          <w:p w14:paraId="5A81BD62">
            <w:r>
              <w:rPr>
                <w:rStyle w:val="10"/>
                <w:rFonts w:hint="eastAsia"/>
              </w:rPr>
              <w:t>注意事项：</w:t>
            </w:r>
            <w:r>
              <w:rPr>
                <w:rFonts w:hint="eastAsia"/>
              </w:rPr>
              <w:br w:type="textWrapping"/>
            </w:r>
            <w:r>
              <w:rPr>
                <w:rStyle w:val="11"/>
                <w:rFonts w:hint="eastAsia"/>
              </w:rPr>
              <w:t>1. 请按照农药安全使用准则使用本品，切勿在施药现场抽烟、饮水或饮食。在饮水、进食和抽烟前，应先洗手、洗脸。2. 配药时，应带手套、面罩、穿长袖衣、长裤和靴子。3. 使用时穿戴长衣、长裤、帽子、口罩、手套等安全防护措施。4. 施药后，彻底清洗防护用具，洗澡，并更换和清洗工作服。5. 使用过的空包装，用清水冲洗三次后妥善处理，切勿重复使用或改作其它用途。所有施药器具，用后应立即用清水或适当的洗涤剂清洗。用过的容器应妥善处理，不可做他用，也不可随意丢弃。6. 本品对鱼等水生生物有毒，水产养殖区、河塘等水体附近禁用，禁止在河塘等水域清洗施药器具。 7. 禁止孕妇或哺乳期妇女接触本品。</w:t>
            </w:r>
          </w:p>
        </w:tc>
      </w:tr>
      <w:tr w14:paraId="0DC47BA7">
        <w:tblPrEx>
          <w:tblCellMar>
            <w:top w:w="0" w:type="dxa"/>
            <w:left w:w="0" w:type="dxa"/>
            <w:bottom w:w="0" w:type="dxa"/>
            <w:right w:w="0" w:type="dxa"/>
          </w:tblCellMar>
        </w:tblPrEx>
        <w:trPr>
          <w:wBefore w:w="0" w:type="auto"/>
          <w:tblCellSpacing w:w="0" w:type="dxa"/>
        </w:trPr>
        <w:tc>
          <w:tcPr>
            <w:tcW w:w="0" w:type="auto"/>
            <w:noWrap w:val="0"/>
            <w:vAlign w:val="center"/>
          </w:tcPr>
          <w:p w14:paraId="693F0441">
            <w:r>
              <w:rPr>
                <w:rStyle w:val="10"/>
                <w:rFonts w:hint="eastAsia"/>
              </w:rPr>
              <w:t>中毒急救措施：</w:t>
            </w:r>
            <w:r>
              <w:rPr>
                <w:rFonts w:hint="eastAsia"/>
              </w:rPr>
              <w:br w:type="textWrapping"/>
            </w:r>
            <w:r>
              <w:rPr>
                <w:rStyle w:val="11"/>
                <w:rFonts w:hint="eastAsia"/>
              </w:rPr>
              <w:t>接触该药剂后请更换衣服，如果药剂进入眼睛，用大量水冲洗至少15分钟；如果接触皮肤，用水和肥皂冲洗；如误服，请用水充分漱口后，并立即到医院就诊。</w:t>
            </w:r>
          </w:p>
        </w:tc>
      </w:tr>
      <w:tr w14:paraId="69FBA304">
        <w:tblPrEx>
          <w:tblCellMar>
            <w:top w:w="0" w:type="dxa"/>
            <w:left w:w="0" w:type="dxa"/>
            <w:bottom w:w="0" w:type="dxa"/>
            <w:right w:w="0" w:type="dxa"/>
          </w:tblCellMar>
        </w:tblPrEx>
        <w:trPr>
          <w:wBefore w:w="0" w:type="auto"/>
          <w:tblCellSpacing w:w="0" w:type="dxa"/>
        </w:trPr>
        <w:tc>
          <w:tcPr>
            <w:tcW w:w="0" w:type="auto"/>
            <w:noWrap w:val="0"/>
            <w:vAlign w:val="center"/>
          </w:tcPr>
          <w:p w14:paraId="23FB3B2D">
            <w:r>
              <w:rPr>
                <w:rStyle w:val="10"/>
                <w:rFonts w:hint="eastAsia"/>
              </w:rPr>
              <w:t>储存和运输方法：</w:t>
            </w:r>
            <w:r>
              <w:rPr>
                <w:rFonts w:hint="eastAsia"/>
              </w:rPr>
              <w:br w:type="textWrapping"/>
            </w:r>
            <w:r>
              <w:rPr>
                <w:rStyle w:val="11"/>
                <w:rFonts w:hint="eastAsia"/>
              </w:rPr>
              <w:t>1.本品应加锁保存，勿让儿童、无关人员和动物接触。勿与食物、饮料、粮食和动物饲料在一起存放或运输。2.本品应贮藏在避光、干燥、通风处。运输时应注意避光、防高温、雨淋。3.贮藏温度应避免低于-10℃或高于35℃。</w:t>
            </w:r>
          </w:p>
        </w:tc>
      </w:tr>
      <w:tr w14:paraId="43CF01CA">
        <w:tblPrEx>
          <w:tblCellMar>
            <w:top w:w="0" w:type="dxa"/>
            <w:left w:w="0" w:type="dxa"/>
            <w:bottom w:w="0" w:type="dxa"/>
            <w:right w:w="0" w:type="dxa"/>
          </w:tblCellMar>
        </w:tblPrEx>
        <w:trPr>
          <w:wBefore w:w="0" w:type="auto"/>
          <w:tblCellSpacing w:w="0" w:type="dxa"/>
        </w:trPr>
        <w:tc>
          <w:tcPr>
            <w:tcW w:w="0" w:type="auto"/>
            <w:noWrap w:val="0"/>
            <w:vAlign w:val="center"/>
          </w:tcPr>
          <w:p w14:paraId="5160050A">
            <w:r>
              <w:rPr>
                <w:rStyle w:val="10"/>
                <w:rFonts w:hint="eastAsia"/>
              </w:rPr>
              <w:t>质量保证期：</w:t>
            </w:r>
            <w:r>
              <w:rPr>
                <w:rStyle w:val="11"/>
                <w:rFonts w:hint="eastAsia"/>
              </w:rPr>
              <w:t>2年</w:t>
            </w:r>
          </w:p>
        </w:tc>
      </w:tr>
      <w:tr w14:paraId="122FF6EB">
        <w:tblPrEx>
          <w:tblCellMar>
            <w:top w:w="0" w:type="dxa"/>
            <w:left w:w="0" w:type="dxa"/>
            <w:bottom w:w="0" w:type="dxa"/>
            <w:right w:w="0" w:type="dxa"/>
          </w:tblCellMar>
        </w:tblPrEx>
        <w:trPr>
          <w:wBefore w:w="0" w:type="auto"/>
          <w:tblCellSpacing w:w="0" w:type="dxa"/>
        </w:trPr>
        <w:tc>
          <w:tcPr>
            <w:tcW w:w="0" w:type="auto"/>
            <w:noWrap w:val="0"/>
            <w:vAlign w:val="center"/>
          </w:tcPr>
          <w:p w14:paraId="05657B87">
            <w:r>
              <w:rPr>
                <w:rStyle w:val="10"/>
                <w:rFonts w:hint="eastAsia"/>
              </w:rPr>
              <w:t>备注：</w:t>
            </w:r>
          </w:p>
        </w:tc>
      </w:tr>
    </w:tbl>
    <w:p w14:paraId="1CD1392D">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1C97C05D">
        <w:tblPrEx>
          <w:tblCellMar>
            <w:top w:w="0" w:type="dxa"/>
            <w:left w:w="0" w:type="dxa"/>
            <w:bottom w:w="0" w:type="dxa"/>
            <w:right w:w="0" w:type="dxa"/>
          </w:tblCellMar>
        </w:tblPrEx>
        <w:trPr>
          <w:wBefore w:w="0" w:type="auto"/>
          <w:tblCellSpacing w:w="0" w:type="dxa"/>
        </w:trPr>
        <w:tc>
          <w:tcPr>
            <w:tcW w:w="0" w:type="auto"/>
            <w:noWrap w:val="0"/>
            <w:vAlign w:val="center"/>
          </w:tcPr>
          <w:p w14:paraId="6B1FF74F">
            <w:r>
              <w:rPr>
                <w:rStyle w:val="10"/>
                <w:rFonts w:hint="eastAsia"/>
              </w:rPr>
              <w:t>登记证号：</w:t>
            </w:r>
            <w:r>
              <w:rPr>
                <w:rFonts w:hint="eastAsia"/>
              </w:rPr>
              <w:t>PD20200026</w:t>
            </w:r>
          </w:p>
        </w:tc>
      </w:tr>
      <w:tr w14:paraId="0DFF8B4C">
        <w:tblPrEx>
          <w:tblCellMar>
            <w:top w:w="0" w:type="dxa"/>
            <w:left w:w="0" w:type="dxa"/>
            <w:bottom w:w="0" w:type="dxa"/>
            <w:right w:w="0" w:type="dxa"/>
          </w:tblCellMar>
        </w:tblPrEx>
        <w:trPr>
          <w:wBefore w:w="0" w:type="auto"/>
          <w:tblCellSpacing w:w="0" w:type="dxa"/>
        </w:trPr>
        <w:tc>
          <w:tcPr>
            <w:tcW w:w="0" w:type="auto"/>
            <w:noWrap w:val="0"/>
            <w:vAlign w:val="center"/>
          </w:tcPr>
          <w:p w14:paraId="4C9833D5">
            <w:r>
              <w:rPr>
                <w:rStyle w:val="10"/>
                <w:rFonts w:hint="eastAsia"/>
              </w:rPr>
              <w:t>登记证持有人：</w:t>
            </w:r>
            <w:r>
              <w:rPr>
                <w:rFonts w:hint="eastAsia"/>
              </w:rPr>
              <w:t>青岛中达农业科技有限公司</w:t>
            </w:r>
          </w:p>
        </w:tc>
      </w:tr>
      <w:tr w14:paraId="374CBD1E">
        <w:tblPrEx>
          <w:tblCellMar>
            <w:top w:w="0" w:type="dxa"/>
            <w:left w:w="0" w:type="dxa"/>
            <w:bottom w:w="0" w:type="dxa"/>
            <w:right w:w="0" w:type="dxa"/>
          </w:tblCellMar>
        </w:tblPrEx>
        <w:trPr>
          <w:wBefore w:w="0" w:type="auto"/>
          <w:tblCellSpacing w:w="0" w:type="dxa"/>
        </w:trPr>
        <w:tc>
          <w:tcPr>
            <w:tcW w:w="0" w:type="auto"/>
            <w:noWrap w:val="0"/>
            <w:vAlign w:val="center"/>
          </w:tcPr>
          <w:p w14:paraId="7E68593D">
            <w:r>
              <w:rPr>
                <w:rStyle w:val="10"/>
                <w:rFonts w:hint="eastAsia"/>
              </w:rPr>
              <w:t>农药名称：</w:t>
            </w:r>
            <w:r>
              <w:rPr>
                <w:rFonts w:hint="eastAsia"/>
              </w:rPr>
              <w:t>春雷霉素</w:t>
            </w:r>
          </w:p>
        </w:tc>
      </w:tr>
      <w:tr w14:paraId="58B7CC4D">
        <w:tblPrEx>
          <w:tblCellMar>
            <w:top w:w="0" w:type="dxa"/>
            <w:left w:w="0" w:type="dxa"/>
            <w:bottom w:w="0" w:type="dxa"/>
            <w:right w:w="0" w:type="dxa"/>
          </w:tblCellMar>
        </w:tblPrEx>
        <w:trPr>
          <w:wBefore w:w="0" w:type="auto"/>
          <w:tblCellSpacing w:w="0" w:type="dxa"/>
        </w:trPr>
        <w:tc>
          <w:tcPr>
            <w:tcW w:w="0" w:type="auto"/>
            <w:noWrap w:val="0"/>
            <w:vAlign w:val="center"/>
          </w:tcPr>
          <w:p w14:paraId="77E0DC92">
            <w:r>
              <w:rPr>
                <w:rStyle w:val="10"/>
                <w:rFonts w:hint="eastAsia"/>
              </w:rPr>
              <w:t>剂型：</w:t>
            </w:r>
            <w:r>
              <w:rPr>
                <w:rFonts w:hint="eastAsia"/>
              </w:rPr>
              <w:t>可溶液剂</w:t>
            </w:r>
          </w:p>
        </w:tc>
      </w:tr>
      <w:tr w14:paraId="4488A1BC">
        <w:tblPrEx>
          <w:tblCellMar>
            <w:top w:w="0" w:type="dxa"/>
            <w:left w:w="0" w:type="dxa"/>
            <w:bottom w:w="0" w:type="dxa"/>
            <w:right w:w="0" w:type="dxa"/>
          </w:tblCellMar>
        </w:tblPrEx>
        <w:trPr>
          <w:wBefore w:w="0" w:type="auto"/>
          <w:tblCellSpacing w:w="0" w:type="dxa"/>
        </w:trPr>
        <w:tc>
          <w:tcPr>
            <w:tcW w:w="0" w:type="auto"/>
            <w:noWrap w:val="0"/>
            <w:vAlign w:val="center"/>
          </w:tcPr>
          <w:p w14:paraId="3FEA8BF2">
            <w:r>
              <w:rPr>
                <w:rStyle w:val="10"/>
                <w:rFonts w:hint="eastAsia"/>
              </w:rPr>
              <w:t>毒性及其标识：</w:t>
            </w:r>
            <w:r>
              <w:rPr>
                <w:rFonts w:hint="eastAsia"/>
              </w:rPr>
              <w:t xml:space="preserve"> </w:t>
            </w:r>
            <w:r>
              <w:rPr>
                <w:lang/>
              </w:rPr>
              <w:drawing>
                <wp:inline distT="0" distB="0" distL="114300" distR="114300">
                  <wp:extent cx="476250" cy="323850"/>
                  <wp:effectExtent l="0" t="0" r="0" b="0"/>
                  <wp:docPr id="629" name="图片 629"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270E9C17">
        <w:tblPrEx>
          <w:tblCellMar>
            <w:top w:w="0" w:type="dxa"/>
            <w:left w:w="0" w:type="dxa"/>
            <w:bottom w:w="0" w:type="dxa"/>
            <w:right w:w="0" w:type="dxa"/>
          </w:tblCellMar>
        </w:tblPrEx>
        <w:trPr>
          <w:wBefore w:w="0" w:type="auto"/>
          <w:tblCellSpacing w:w="0" w:type="dxa"/>
        </w:trPr>
        <w:tc>
          <w:tcPr>
            <w:tcW w:w="0" w:type="auto"/>
            <w:noWrap w:val="0"/>
            <w:vAlign w:val="center"/>
          </w:tcPr>
          <w:p w14:paraId="04554086">
            <w:r>
              <w:rPr>
                <w:rStyle w:val="10"/>
                <w:rFonts w:hint="eastAsia"/>
              </w:rPr>
              <w:t>总有效成分含量：</w:t>
            </w:r>
            <w:r>
              <w:rPr>
                <w:rFonts w:hint="eastAsia"/>
              </w:rPr>
              <w:t>6%</w:t>
            </w:r>
          </w:p>
        </w:tc>
      </w:tr>
      <w:tr w14:paraId="44C0DEAE">
        <w:tblPrEx>
          <w:tblCellMar>
            <w:top w:w="0" w:type="dxa"/>
            <w:left w:w="0" w:type="dxa"/>
            <w:bottom w:w="0" w:type="dxa"/>
            <w:right w:w="0" w:type="dxa"/>
          </w:tblCellMar>
        </w:tblPrEx>
        <w:trPr>
          <w:wBefore w:w="0" w:type="auto"/>
          <w:tblCellSpacing w:w="0" w:type="dxa"/>
        </w:trPr>
        <w:tc>
          <w:tcPr>
            <w:tcW w:w="0" w:type="auto"/>
            <w:noWrap w:val="0"/>
            <w:vAlign w:val="center"/>
          </w:tcPr>
          <w:p w14:paraId="55385DC4">
            <w:r>
              <w:rPr>
                <w:rFonts w:hint="eastAsia"/>
              </w:rPr>
              <w:t xml:space="preserve">有效成分及其含量： </w:t>
            </w:r>
          </w:p>
          <w:p w14:paraId="2F0B9C91">
            <w:r>
              <w:rPr>
                <w:rFonts w:hint="eastAsia"/>
              </w:rPr>
              <w:t xml:space="preserve">    春雷霉素6%    </w:t>
            </w:r>
          </w:p>
        </w:tc>
      </w:tr>
      <w:tr w14:paraId="7399CE36">
        <w:tblPrEx>
          <w:tblCellMar>
            <w:top w:w="0" w:type="dxa"/>
            <w:left w:w="0" w:type="dxa"/>
            <w:bottom w:w="0" w:type="dxa"/>
            <w:right w:w="0" w:type="dxa"/>
          </w:tblCellMar>
        </w:tblPrEx>
        <w:trPr>
          <w:wBefore w:w="0" w:type="auto"/>
          <w:tblCellSpacing w:w="0" w:type="dxa"/>
        </w:trPr>
        <w:tc>
          <w:tcPr>
            <w:tcW w:w="0" w:type="auto"/>
            <w:noWrap w:val="0"/>
            <w:vAlign w:val="center"/>
          </w:tcPr>
          <w:p w14:paraId="616873B2">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03D280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D355360">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593BDA0E">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61A2B7ED">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47052FE7">
                  <w:r>
                    <w:rPr>
                      <w:rStyle w:val="11"/>
                      <w:rFonts w:hint="eastAsia"/>
                    </w:rPr>
                    <w:t>施用方式</w:t>
                  </w:r>
                </w:p>
              </w:tc>
            </w:tr>
            <w:tr w14:paraId="32E8CE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5644A6DF">
                  <w:r>
                    <w:rPr>
                      <w:rStyle w:val="11"/>
                      <w:rFonts w:hint="eastAsia"/>
                    </w:rPr>
                    <w:t>水稻</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7E61166">
                  <w:r>
                    <w:rPr>
                      <w:rStyle w:val="11"/>
                      <w:rFonts w:hint="eastAsia"/>
                    </w:rPr>
                    <w:t>稻瘟病</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94DF4F3">
                  <w:r>
                    <w:rPr>
                      <w:rStyle w:val="11"/>
                      <w:rFonts w:hint="eastAsia"/>
                    </w:rPr>
                    <w:t>33-40毫升/亩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6E24D9B3">
                  <w:r>
                    <w:rPr>
                      <w:rStyle w:val="11"/>
                      <w:rFonts w:hint="eastAsia"/>
                    </w:rPr>
                    <w:t>喷雾</w:t>
                  </w:r>
                </w:p>
              </w:tc>
            </w:tr>
          </w:tbl>
          <w:p w14:paraId="70D32DBE">
            <w:pPr>
              <w:rPr>
                <w:rFonts w:ascii="Times New Roman" w:hAnsi="Times New Roman" w:cs="Times New Roman"/>
                <w:sz w:val="20"/>
                <w:szCs w:val="20"/>
              </w:rPr>
            </w:pPr>
          </w:p>
        </w:tc>
      </w:tr>
      <w:tr w14:paraId="12900F2F">
        <w:tblPrEx>
          <w:tblCellMar>
            <w:top w:w="0" w:type="dxa"/>
            <w:left w:w="0" w:type="dxa"/>
            <w:bottom w:w="0" w:type="dxa"/>
            <w:right w:w="0" w:type="dxa"/>
          </w:tblCellMar>
        </w:tblPrEx>
        <w:trPr>
          <w:wBefore w:w="0" w:type="auto"/>
          <w:tblCellSpacing w:w="0" w:type="dxa"/>
        </w:trPr>
        <w:tc>
          <w:tcPr>
            <w:tcW w:w="0" w:type="auto"/>
            <w:noWrap w:val="0"/>
            <w:vAlign w:val="center"/>
          </w:tcPr>
          <w:p w14:paraId="0926E22C">
            <w:r>
              <w:rPr>
                <w:rStyle w:val="10"/>
                <w:rFonts w:hint="eastAsia"/>
              </w:rPr>
              <w:t>使用技术要求:</w:t>
            </w:r>
            <w:r>
              <w:rPr>
                <w:rFonts w:hint="eastAsia"/>
              </w:rPr>
              <w:br w:type="textWrapping"/>
            </w:r>
            <w:r>
              <w:rPr>
                <w:rStyle w:val="11"/>
                <w:rFonts w:hint="eastAsia"/>
              </w:rPr>
              <w:t>1.本品适宜在黄瓜细菌性角斑病和水稻稻瘟病发病前或发病初期施药，间隔7天左右，对植株均匀喷雾，注意喷及叶片正反面。2.大风天或预计1小时内有雨，请勿施药。3.本品在黄瓜上使用的安全间隔期为3天，每季作物最多使用次数为3次。水稻上使用的安全间隔期为21天，每季作物最多使用次数为2次。</w:t>
            </w:r>
          </w:p>
        </w:tc>
      </w:tr>
      <w:tr w14:paraId="76B3EDF9">
        <w:tblPrEx>
          <w:tblCellMar>
            <w:top w:w="0" w:type="dxa"/>
            <w:left w:w="0" w:type="dxa"/>
            <w:bottom w:w="0" w:type="dxa"/>
            <w:right w:w="0" w:type="dxa"/>
          </w:tblCellMar>
        </w:tblPrEx>
        <w:trPr>
          <w:wBefore w:w="0" w:type="auto"/>
          <w:tblCellSpacing w:w="0" w:type="dxa"/>
        </w:trPr>
        <w:tc>
          <w:tcPr>
            <w:tcW w:w="0" w:type="auto"/>
            <w:noWrap w:val="0"/>
            <w:vAlign w:val="center"/>
          </w:tcPr>
          <w:p w14:paraId="6E6B2C0E">
            <w:r>
              <w:rPr>
                <w:rStyle w:val="10"/>
                <w:rFonts w:hint="eastAsia"/>
              </w:rPr>
              <w:t>产品性能:</w:t>
            </w:r>
            <w:r>
              <w:rPr>
                <w:rFonts w:hint="eastAsia"/>
              </w:rPr>
              <w:br w:type="textWrapping"/>
            </w:r>
            <w:r>
              <w:rPr>
                <w:rStyle w:val="11"/>
                <w:rFonts w:hint="eastAsia"/>
              </w:rPr>
              <w:t>本品属于农用抗菌类杀菌剂，具有较强的内吸性，该药主要干扰氨基酸的代谢酯酶系统，从而影响蛋白质的合成，抑制菌丝伸长和造成细胞颗粒化，而达到杀死病菌的作用。</w:t>
            </w:r>
          </w:p>
        </w:tc>
      </w:tr>
      <w:tr w14:paraId="6B5BF642">
        <w:tblPrEx>
          <w:tblCellMar>
            <w:top w:w="0" w:type="dxa"/>
            <w:left w:w="0" w:type="dxa"/>
            <w:bottom w:w="0" w:type="dxa"/>
            <w:right w:w="0" w:type="dxa"/>
          </w:tblCellMar>
        </w:tblPrEx>
        <w:trPr>
          <w:wBefore w:w="0" w:type="auto"/>
          <w:tblCellSpacing w:w="0" w:type="dxa"/>
        </w:trPr>
        <w:tc>
          <w:tcPr>
            <w:tcW w:w="0" w:type="auto"/>
            <w:noWrap w:val="0"/>
            <w:vAlign w:val="center"/>
          </w:tcPr>
          <w:p w14:paraId="718FA4D7">
            <w:r>
              <w:rPr>
                <w:rStyle w:val="10"/>
                <w:rFonts w:hint="eastAsia"/>
              </w:rPr>
              <w:t>注意事项：</w:t>
            </w:r>
            <w:r>
              <w:rPr>
                <w:rFonts w:hint="eastAsia"/>
              </w:rPr>
              <w:br w:type="textWrapping"/>
            </w:r>
            <w:r>
              <w:rPr>
                <w:rStyle w:val="11"/>
                <w:rFonts w:hint="eastAsia"/>
              </w:rPr>
              <w:t>1.本品不可与呈碱性的农药等物质混合使用。2.施药时应做好安全防护，穿戴长衣、长裤、帽子、口罩、手套等。 ，避免皮肤接触及口鼻吸入药液。施药期间不可吃东西和饮水。施药后应及时洗手和洗脸。3. 本品对蜂鸟鱼蚕等生物有毒，施药期间应避免对周围蜂群的影响，蜜源作物花期、蚕室和桑园附近禁用，远离水产养殖区施药，禁止在河塘等水体中清洗施药器具。4.用过的容器应妥善处理，不可做他用，也不可随意丢弃。5.孕妇和哺乳期妇女避免接触本品。6.建议与其他作用机制不同的杀菌剂轮换使用。</w:t>
            </w:r>
          </w:p>
        </w:tc>
      </w:tr>
      <w:tr w14:paraId="5A915B44">
        <w:tblPrEx>
          <w:tblCellMar>
            <w:top w:w="0" w:type="dxa"/>
            <w:left w:w="0" w:type="dxa"/>
            <w:bottom w:w="0" w:type="dxa"/>
            <w:right w:w="0" w:type="dxa"/>
          </w:tblCellMar>
        </w:tblPrEx>
        <w:trPr>
          <w:wBefore w:w="0" w:type="auto"/>
          <w:tblCellSpacing w:w="0" w:type="dxa"/>
        </w:trPr>
        <w:tc>
          <w:tcPr>
            <w:tcW w:w="0" w:type="auto"/>
            <w:noWrap w:val="0"/>
            <w:vAlign w:val="center"/>
          </w:tcPr>
          <w:p w14:paraId="77C25AD9">
            <w:r>
              <w:rPr>
                <w:rStyle w:val="10"/>
                <w:rFonts w:hint="eastAsia"/>
              </w:rPr>
              <w:t>中毒急救措施：</w:t>
            </w:r>
            <w:r>
              <w:rPr>
                <w:rFonts w:hint="eastAsia"/>
              </w:rPr>
              <w:br w:type="textWrapping"/>
            </w:r>
            <w:r>
              <w:rPr>
                <w:rStyle w:val="11"/>
                <w:rFonts w:hint="eastAsia"/>
              </w:rPr>
              <w:t>急救措施：使用中或使用后如果感到不适，应立即停止工作，采取急救措施，并携带标签送医院就诊。1.皮肤接触：若本产品溅到皮肤上，应以大量清水冲洗；2.本品对眼睛有刺激性，眼睛溅入：立即用清水冲洗至少15分钟；3.吸入：应移至空气新鲜处；4.误食：经口误服者应立即催吐，并送医院诊治，进行对症治疗。</w:t>
            </w:r>
          </w:p>
        </w:tc>
      </w:tr>
      <w:tr w14:paraId="6D4609D3">
        <w:tblPrEx>
          <w:tblCellMar>
            <w:top w:w="0" w:type="dxa"/>
            <w:left w:w="0" w:type="dxa"/>
            <w:bottom w:w="0" w:type="dxa"/>
            <w:right w:w="0" w:type="dxa"/>
          </w:tblCellMar>
        </w:tblPrEx>
        <w:trPr>
          <w:wBefore w:w="0" w:type="auto"/>
          <w:tblCellSpacing w:w="0" w:type="dxa"/>
        </w:trPr>
        <w:tc>
          <w:tcPr>
            <w:tcW w:w="0" w:type="auto"/>
            <w:noWrap w:val="0"/>
            <w:vAlign w:val="center"/>
          </w:tcPr>
          <w:p w14:paraId="003916F3">
            <w:r>
              <w:rPr>
                <w:rStyle w:val="10"/>
                <w:rFonts w:hint="eastAsia"/>
              </w:rPr>
              <w:t>储存和运输方法：</w:t>
            </w:r>
            <w:r>
              <w:rPr>
                <w:rFonts w:hint="eastAsia"/>
              </w:rPr>
              <w:br w:type="textWrapping"/>
            </w:r>
            <w:r>
              <w:rPr>
                <w:rStyle w:val="11"/>
                <w:rFonts w:hint="eastAsia"/>
              </w:rPr>
              <w:t>本品应贮存在干燥、阴凉、通风、防雨处，远离火源或热源。置于儿童、无关人员触及不到之处，并加锁。勿与食品、饮料、粮食、饲料等其他商品同贮同运。</w:t>
            </w:r>
          </w:p>
        </w:tc>
      </w:tr>
      <w:tr w14:paraId="74F99FC9">
        <w:tblPrEx>
          <w:tblCellMar>
            <w:top w:w="0" w:type="dxa"/>
            <w:left w:w="0" w:type="dxa"/>
            <w:bottom w:w="0" w:type="dxa"/>
            <w:right w:w="0" w:type="dxa"/>
          </w:tblCellMar>
        </w:tblPrEx>
        <w:trPr>
          <w:wBefore w:w="0" w:type="auto"/>
          <w:tblCellSpacing w:w="0" w:type="dxa"/>
        </w:trPr>
        <w:tc>
          <w:tcPr>
            <w:tcW w:w="0" w:type="auto"/>
            <w:noWrap w:val="0"/>
            <w:vAlign w:val="center"/>
          </w:tcPr>
          <w:p w14:paraId="5990465F">
            <w:r>
              <w:rPr>
                <w:rStyle w:val="10"/>
                <w:rFonts w:hint="eastAsia"/>
              </w:rPr>
              <w:t>质量保证期：</w:t>
            </w:r>
            <w:r>
              <w:rPr>
                <w:rStyle w:val="11"/>
                <w:rFonts w:hint="eastAsia"/>
              </w:rPr>
              <w:t>2年</w:t>
            </w:r>
          </w:p>
        </w:tc>
      </w:tr>
      <w:tr w14:paraId="30EC2BE7">
        <w:tblPrEx>
          <w:tblCellMar>
            <w:top w:w="0" w:type="dxa"/>
            <w:left w:w="0" w:type="dxa"/>
            <w:bottom w:w="0" w:type="dxa"/>
            <w:right w:w="0" w:type="dxa"/>
          </w:tblCellMar>
        </w:tblPrEx>
        <w:trPr>
          <w:wBefore w:w="0" w:type="auto"/>
          <w:tblCellSpacing w:w="0" w:type="dxa"/>
        </w:trPr>
        <w:tc>
          <w:tcPr>
            <w:tcW w:w="0" w:type="auto"/>
            <w:noWrap w:val="0"/>
            <w:vAlign w:val="center"/>
          </w:tcPr>
          <w:p w14:paraId="112AC6E1">
            <w:r>
              <w:rPr>
                <w:rStyle w:val="10"/>
                <w:rFonts w:hint="eastAsia"/>
              </w:rPr>
              <w:t>备注：</w:t>
            </w:r>
          </w:p>
        </w:tc>
      </w:tr>
    </w:tbl>
    <w:p w14:paraId="03741B80">
      <w:pPr>
        <w:rPr>
          <w:rFonts w:hint="eastAsia"/>
        </w:rPr>
      </w:pPr>
    </w:p>
    <w:tbl>
      <w:tblPr>
        <w:tblStyle w:val="5"/>
        <w:tblW w:w="5000" w:type="pct"/>
        <w:tblCellSpacing w:w="0" w:type="dxa"/>
        <w:tblInd w:w="0" w:type="dxa"/>
        <w:tblLayout w:type="autofit"/>
        <w:tblCellMar>
          <w:top w:w="0" w:type="dxa"/>
          <w:left w:w="0" w:type="dxa"/>
          <w:bottom w:w="0" w:type="dxa"/>
          <w:right w:w="0" w:type="dxa"/>
        </w:tblCellMar>
      </w:tblPr>
      <w:tblGrid>
        <w:gridCol w:w="8306"/>
      </w:tblGrid>
      <w:tr w14:paraId="481302F6">
        <w:tblPrEx>
          <w:tblCellMar>
            <w:top w:w="0" w:type="dxa"/>
            <w:left w:w="0" w:type="dxa"/>
            <w:bottom w:w="0" w:type="dxa"/>
            <w:right w:w="0" w:type="dxa"/>
          </w:tblCellMar>
        </w:tblPrEx>
        <w:trPr>
          <w:wBefore w:w="0" w:type="auto"/>
          <w:tblCellSpacing w:w="0" w:type="dxa"/>
        </w:trPr>
        <w:tc>
          <w:tcPr>
            <w:tcW w:w="0" w:type="auto"/>
            <w:noWrap w:val="0"/>
            <w:vAlign w:val="center"/>
          </w:tcPr>
          <w:p w14:paraId="7F1380FC">
            <w:r>
              <w:rPr>
                <w:rStyle w:val="10"/>
                <w:rFonts w:hint="eastAsia"/>
              </w:rPr>
              <w:t>登记证号：</w:t>
            </w:r>
            <w:r>
              <w:rPr>
                <w:rFonts w:hint="eastAsia"/>
              </w:rPr>
              <w:t>PD20170463</w:t>
            </w:r>
          </w:p>
        </w:tc>
      </w:tr>
      <w:tr w14:paraId="2DC9ACFD">
        <w:tblPrEx>
          <w:tblCellMar>
            <w:top w:w="0" w:type="dxa"/>
            <w:left w:w="0" w:type="dxa"/>
            <w:bottom w:w="0" w:type="dxa"/>
            <w:right w:w="0" w:type="dxa"/>
          </w:tblCellMar>
        </w:tblPrEx>
        <w:trPr>
          <w:wBefore w:w="0" w:type="auto"/>
          <w:tblCellSpacing w:w="0" w:type="dxa"/>
        </w:trPr>
        <w:tc>
          <w:tcPr>
            <w:tcW w:w="0" w:type="auto"/>
            <w:noWrap w:val="0"/>
            <w:vAlign w:val="center"/>
          </w:tcPr>
          <w:p w14:paraId="53059AE7">
            <w:r>
              <w:rPr>
                <w:rStyle w:val="10"/>
                <w:rFonts w:hint="eastAsia"/>
              </w:rPr>
              <w:t>登记证持有人：</w:t>
            </w:r>
            <w:r>
              <w:rPr>
                <w:rFonts w:hint="eastAsia"/>
              </w:rPr>
              <w:t>先正达南通作物保护有限公司</w:t>
            </w:r>
          </w:p>
        </w:tc>
      </w:tr>
      <w:tr w14:paraId="65AD0E5E">
        <w:tblPrEx>
          <w:tblCellMar>
            <w:top w:w="0" w:type="dxa"/>
            <w:left w:w="0" w:type="dxa"/>
            <w:bottom w:w="0" w:type="dxa"/>
            <w:right w:w="0" w:type="dxa"/>
          </w:tblCellMar>
        </w:tblPrEx>
        <w:trPr>
          <w:wBefore w:w="0" w:type="auto"/>
          <w:tblCellSpacing w:w="0" w:type="dxa"/>
        </w:trPr>
        <w:tc>
          <w:tcPr>
            <w:tcW w:w="0" w:type="auto"/>
            <w:noWrap w:val="0"/>
            <w:vAlign w:val="center"/>
          </w:tcPr>
          <w:p w14:paraId="48D7DEFC">
            <w:r>
              <w:rPr>
                <w:rStyle w:val="10"/>
                <w:rFonts w:hint="eastAsia"/>
              </w:rPr>
              <w:t>农药名称：</w:t>
            </w:r>
            <w:r>
              <w:rPr>
                <w:rFonts w:hint="eastAsia"/>
              </w:rPr>
              <w:t>草铵膦</w:t>
            </w:r>
          </w:p>
        </w:tc>
      </w:tr>
      <w:tr w14:paraId="52FB1AFB">
        <w:tblPrEx>
          <w:tblCellMar>
            <w:top w:w="0" w:type="dxa"/>
            <w:left w:w="0" w:type="dxa"/>
            <w:bottom w:w="0" w:type="dxa"/>
            <w:right w:w="0" w:type="dxa"/>
          </w:tblCellMar>
        </w:tblPrEx>
        <w:trPr>
          <w:wBefore w:w="0" w:type="auto"/>
          <w:tblCellSpacing w:w="0" w:type="dxa"/>
        </w:trPr>
        <w:tc>
          <w:tcPr>
            <w:tcW w:w="0" w:type="auto"/>
            <w:noWrap w:val="0"/>
            <w:vAlign w:val="center"/>
          </w:tcPr>
          <w:p w14:paraId="6E64BB77">
            <w:r>
              <w:rPr>
                <w:rStyle w:val="10"/>
                <w:rFonts w:hint="eastAsia"/>
              </w:rPr>
              <w:t>剂型：</w:t>
            </w:r>
            <w:r>
              <w:rPr>
                <w:rFonts w:hint="eastAsia"/>
              </w:rPr>
              <w:t>可溶液剂</w:t>
            </w:r>
          </w:p>
        </w:tc>
      </w:tr>
      <w:tr w14:paraId="02330D28">
        <w:tblPrEx>
          <w:tblCellMar>
            <w:top w:w="0" w:type="dxa"/>
            <w:left w:w="0" w:type="dxa"/>
            <w:bottom w:w="0" w:type="dxa"/>
            <w:right w:w="0" w:type="dxa"/>
          </w:tblCellMar>
        </w:tblPrEx>
        <w:trPr>
          <w:wBefore w:w="0" w:type="auto"/>
          <w:tblCellSpacing w:w="0" w:type="dxa"/>
        </w:trPr>
        <w:tc>
          <w:tcPr>
            <w:tcW w:w="0" w:type="auto"/>
            <w:noWrap w:val="0"/>
            <w:vAlign w:val="center"/>
          </w:tcPr>
          <w:p w14:paraId="5F577F7B">
            <w:r>
              <w:rPr>
                <w:rStyle w:val="10"/>
                <w:rFonts w:hint="eastAsia"/>
              </w:rPr>
              <w:t>毒性及其标识：</w:t>
            </w:r>
            <w:r>
              <w:rPr>
                <w:rFonts w:hint="eastAsia"/>
              </w:rPr>
              <w:t xml:space="preserve"> </w:t>
            </w:r>
            <w:r>
              <w:rPr>
                <w:lang/>
              </w:rPr>
              <w:drawing>
                <wp:inline distT="0" distB="0" distL="114300" distR="114300">
                  <wp:extent cx="476250" cy="323850"/>
                  <wp:effectExtent l="0" t="0" r="0" b="0"/>
                  <wp:docPr id="630" name="图片 630" descr="说明: http://172.16.1.30:8080/static/images/queryimg/dx/d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descr="说明: http://172.16.1.30:8080/static/images/queryimg/dx/dx3.JPG"/>
                          <pic:cNvPicPr>
                            <a:picLocks noChangeAspect="1"/>
                          </pic:cNvPicPr>
                        </pic:nvPicPr>
                        <pic:blipFill>
                          <a:blip r:embed="rId5"/>
                          <a:stretch>
                            <a:fillRect/>
                          </a:stretch>
                        </pic:blipFill>
                        <pic:spPr>
                          <a:xfrm>
                            <a:off x="0" y="0"/>
                            <a:ext cx="476250" cy="323850"/>
                          </a:xfrm>
                          <a:prstGeom prst="rect">
                            <a:avLst/>
                          </a:prstGeom>
                          <a:noFill/>
                          <a:ln>
                            <a:noFill/>
                          </a:ln>
                        </pic:spPr>
                      </pic:pic>
                    </a:graphicData>
                  </a:graphic>
                </wp:inline>
              </w:drawing>
            </w:r>
          </w:p>
        </w:tc>
      </w:tr>
      <w:tr w14:paraId="40F49829">
        <w:tblPrEx>
          <w:tblCellMar>
            <w:top w:w="0" w:type="dxa"/>
            <w:left w:w="0" w:type="dxa"/>
            <w:bottom w:w="0" w:type="dxa"/>
            <w:right w:w="0" w:type="dxa"/>
          </w:tblCellMar>
        </w:tblPrEx>
        <w:trPr>
          <w:wBefore w:w="0" w:type="auto"/>
          <w:tblCellSpacing w:w="0" w:type="dxa"/>
        </w:trPr>
        <w:tc>
          <w:tcPr>
            <w:tcW w:w="0" w:type="auto"/>
            <w:noWrap w:val="0"/>
            <w:vAlign w:val="center"/>
          </w:tcPr>
          <w:p w14:paraId="09D12BF8">
            <w:r>
              <w:rPr>
                <w:rStyle w:val="10"/>
                <w:rFonts w:hint="eastAsia"/>
              </w:rPr>
              <w:t>总有效成分含量：</w:t>
            </w:r>
            <w:r>
              <w:rPr>
                <w:rFonts w:hint="eastAsia"/>
              </w:rPr>
              <w:t>200克/升</w:t>
            </w:r>
          </w:p>
        </w:tc>
      </w:tr>
      <w:tr w14:paraId="450171EC">
        <w:tblPrEx>
          <w:tblCellMar>
            <w:top w:w="0" w:type="dxa"/>
            <w:left w:w="0" w:type="dxa"/>
            <w:bottom w:w="0" w:type="dxa"/>
            <w:right w:w="0" w:type="dxa"/>
          </w:tblCellMar>
        </w:tblPrEx>
        <w:trPr>
          <w:wBefore w:w="0" w:type="auto"/>
          <w:tblCellSpacing w:w="0" w:type="dxa"/>
        </w:trPr>
        <w:tc>
          <w:tcPr>
            <w:tcW w:w="0" w:type="auto"/>
            <w:noWrap w:val="0"/>
            <w:vAlign w:val="center"/>
          </w:tcPr>
          <w:p w14:paraId="2A44B845">
            <w:r>
              <w:rPr>
                <w:rFonts w:hint="eastAsia"/>
              </w:rPr>
              <w:t xml:space="preserve">有效成分及其含量： </w:t>
            </w:r>
          </w:p>
          <w:p w14:paraId="593109BF">
            <w:r>
              <w:rPr>
                <w:rFonts w:hint="eastAsia"/>
              </w:rPr>
              <w:t xml:space="preserve">    草铵膦200克/升    </w:t>
            </w:r>
          </w:p>
        </w:tc>
      </w:tr>
      <w:tr w14:paraId="09805430">
        <w:tblPrEx>
          <w:tblCellMar>
            <w:top w:w="0" w:type="dxa"/>
            <w:left w:w="0" w:type="dxa"/>
            <w:bottom w:w="0" w:type="dxa"/>
            <w:right w:w="0" w:type="dxa"/>
          </w:tblCellMar>
        </w:tblPrEx>
        <w:trPr>
          <w:wBefore w:w="0" w:type="auto"/>
          <w:tblCellSpacing w:w="0" w:type="dxa"/>
        </w:trPr>
        <w:tc>
          <w:tcPr>
            <w:tcW w:w="0" w:type="auto"/>
            <w:noWrap w:val="0"/>
            <w:vAlign w:val="center"/>
          </w:tcPr>
          <w:p w14:paraId="00311A44">
            <w:r>
              <w:rPr>
                <w:rFonts w:hint="eastAsia"/>
              </w:rPr>
              <w:t>使用范围和使用方法：</w:t>
            </w:r>
          </w:p>
          <w:tbl>
            <w:tblPr>
              <w:tblStyle w:val="5"/>
              <w:tblW w:w="5000" w:type="pct"/>
              <w:tblCellSpacing w:w="0" w:type="dxa"/>
              <w:tblInd w:w="1"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21"/>
              <w:gridCol w:w="2321"/>
              <w:gridCol w:w="1990"/>
              <w:gridCol w:w="1658"/>
            </w:tblGrid>
            <w:tr w14:paraId="4C318C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1400" w:type="pct"/>
                  <w:tcBorders>
                    <w:top w:val="outset" w:color="auto" w:sz="6" w:space="0"/>
                    <w:left w:val="outset" w:color="auto" w:sz="6" w:space="0"/>
                    <w:bottom w:val="outset" w:color="auto" w:sz="6" w:space="0"/>
                    <w:right w:val="outset" w:color="auto" w:sz="6" w:space="0"/>
                  </w:tcBorders>
                  <w:noWrap w:val="0"/>
                  <w:vAlign w:val="center"/>
                </w:tcPr>
                <w:p w14:paraId="5C216A9D">
                  <w:r>
                    <w:rPr>
                      <w:rStyle w:val="11"/>
                      <w:rFonts w:hint="eastAsia"/>
                    </w:rPr>
                    <w:t>作物/场所</w:t>
                  </w:r>
                </w:p>
              </w:tc>
              <w:tc>
                <w:tcPr>
                  <w:tcW w:w="1400" w:type="pct"/>
                  <w:tcBorders>
                    <w:top w:val="outset" w:color="auto" w:sz="6" w:space="0"/>
                    <w:left w:val="outset" w:color="auto" w:sz="6" w:space="0"/>
                    <w:bottom w:val="outset" w:color="auto" w:sz="6" w:space="0"/>
                    <w:right w:val="outset" w:color="auto" w:sz="6" w:space="0"/>
                  </w:tcBorders>
                  <w:noWrap w:val="0"/>
                  <w:vAlign w:val="center"/>
                </w:tcPr>
                <w:p w14:paraId="3350D054">
                  <w:r>
                    <w:rPr>
                      <w:rStyle w:val="11"/>
                      <w:rFonts w:hint="eastAsia"/>
                    </w:rPr>
                    <w:t>防治对象</w:t>
                  </w:r>
                </w:p>
              </w:tc>
              <w:tc>
                <w:tcPr>
                  <w:tcW w:w="1200" w:type="pct"/>
                  <w:tcBorders>
                    <w:top w:val="outset" w:color="auto" w:sz="6" w:space="0"/>
                    <w:left w:val="outset" w:color="auto" w:sz="6" w:space="0"/>
                    <w:bottom w:val="outset" w:color="auto" w:sz="6" w:space="0"/>
                    <w:right w:val="outset" w:color="auto" w:sz="6" w:space="0"/>
                  </w:tcBorders>
                  <w:noWrap w:val="0"/>
                  <w:vAlign w:val="center"/>
                </w:tcPr>
                <w:p w14:paraId="09DBF9AA">
                  <w:r>
                    <w:rPr>
                      <w:rStyle w:val="11"/>
                      <w:rFonts w:hint="eastAsia"/>
                    </w:rPr>
                    <w:t>用药量（制剂量/亩）</w:t>
                  </w:r>
                </w:p>
              </w:tc>
              <w:tc>
                <w:tcPr>
                  <w:tcW w:w="1000" w:type="pct"/>
                  <w:tcBorders>
                    <w:top w:val="outset" w:color="auto" w:sz="6" w:space="0"/>
                    <w:left w:val="outset" w:color="auto" w:sz="6" w:space="0"/>
                    <w:bottom w:val="outset" w:color="auto" w:sz="6" w:space="0"/>
                    <w:right w:val="outset" w:color="auto" w:sz="6" w:space="0"/>
                  </w:tcBorders>
                  <w:noWrap w:val="0"/>
                  <w:vAlign w:val="center"/>
                </w:tcPr>
                <w:p w14:paraId="2DA4CE11">
                  <w:r>
                    <w:rPr>
                      <w:rStyle w:val="11"/>
                      <w:rFonts w:hint="eastAsia"/>
                    </w:rPr>
                    <w:t>施用方式</w:t>
                  </w:r>
                </w:p>
              </w:tc>
            </w:tr>
            <w:tr w14:paraId="2176D2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wBefore w:w="0" w:type="auto"/>
                <w:tblCellSpacing w:w="0" w:type="dxa"/>
              </w:trPr>
              <w:tc>
                <w:tcPr>
                  <w:tcW w:w="0" w:type="auto"/>
                  <w:tcBorders>
                    <w:top w:val="outset" w:color="auto" w:sz="6" w:space="0"/>
                    <w:left w:val="outset" w:color="auto" w:sz="6" w:space="0"/>
                    <w:bottom w:val="outset" w:color="auto" w:sz="6" w:space="0"/>
                    <w:right w:val="outset" w:color="auto" w:sz="6" w:space="0"/>
                  </w:tcBorders>
                  <w:noWrap w:val="0"/>
                  <w:vAlign w:val="center"/>
                </w:tcPr>
                <w:p w14:paraId="4AB10771">
                  <w:r>
                    <w:rPr>
                      <w:rStyle w:val="11"/>
                      <w:rFonts w:hint="eastAsia"/>
                    </w:rPr>
                    <w:t>香蕉园</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4D4BCC0A">
                  <w:r>
                    <w:rPr>
                      <w:rStyle w:val="11"/>
                      <w:rFonts w:hint="eastAsia"/>
                    </w:rPr>
                    <w:t>杂草</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00A720ED">
                  <w:r>
                    <w:rPr>
                      <w:rStyle w:val="11"/>
                      <w:rFonts w:hint="eastAsia"/>
                    </w:rPr>
                    <w:t>200-400毫升/亩</w:t>
                  </w:r>
                </w:p>
              </w:tc>
              <w:tc>
                <w:tcPr>
                  <w:tcW w:w="0" w:type="auto"/>
                  <w:tcBorders>
                    <w:top w:val="outset" w:color="auto" w:sz="6" w:space="0"/>
                    <w:left w:val="outset" w:color="auto" w:sz="6" w:space="0"/>
                    <w:bottom w:val="outset" w:color="auto" w:sz="6" w:space="0"/>
                    <w:right w:val="outset" w:color="auto" w:sz="6" w:space="0"/>
                  </w:tcBorders>
                  <w:noWrap w:val="0"/>
                  <w:vAlign w:val="center"/>
                </w:tcPr>
                <w:p w14:paraId="26DAF3E0">
                  <w:r>
                    <w:rPr>
                      <w:rStyle w:val="11"/>
                      <w:rFonts w:hint="eastAsia"/>
                    </w:rPr>
                    <w:t>定向茎叶喷雾</w:t>
                  </w:r>
                </w:p>
              </w:tc>
            </w:tr>
          </w:tbl>
          <w:p w14:paraId="1D698AA0">
            <w:pPr>
              <w:rPr>
                <w:rFonts w:ascii="Times New Roman" w:hAnsi="Times New Roman" w:cs="Times New Roman"/>
                <w:sz w:val="20"/>
                <w:szCs w:val="20"/>
              </w:rPr>
            </w:pPr>
          </w:p>
        </w:tc>
      </w:tr>
      <w:tr w14:paraId="62372386">
        <w:tblPrEx>
          <w:tblCellMar>
            <w:top w:w="0" w:type="dxa"/>
            <w:left w:w="0" w:type="dxa"/>
            <w:bottom w:w="0" w:type="dxa"/>
            <w:right w:w="0" w:type="dxa"/>
          </w:tblCellMar>
        </w:tblPrEx>
        <w:trPr>
          <w:wBefore w:w="0" w:type="auto"/>
          <w:tblCellSpacing w:w="0" w:type="dxa"/>
        </w:trPr>
        <w:tc>
          <w:tcPr>
            <w:tcW w:w="0" w:type="auto"/>
            <w:noWrap w:val="0"/>
            <w:vAlign w:val="center"/>
          </w:tcPr>
          <w:p w14:paraId="6B802428">
            <w:r>
              <w:rPr>
                <w:rStyle w:val="10"/>
                <w:rFonts w:hint="eastAsia"/>
              </w:rPr>
              <w:t>使用技术要求:</w:t>
            </w:r>
            <w:r>
              <w:rPr>
                <w:rFonts w:hint="eastAsia"/>
              </w:rPr>
              <w:br w:type="textWrapping"/>
            </w:r>
            <w:r>
              <w:rPr>
                <w:rStyle w:val="11"/>
                <w:rFonts w:hint="eastAsia"/>
              </w:rPr>
              <w:t xml:space="preserve">注: (1) 公顷用制剂量=亩用制剂量×15。 (2) 总有效成分量浓度值(毫克/千克)=(制剂含量×1000000)÷制剂稀释倍数。 1. 每季作物最多使用1次 2. 施药时需保证足够的用水量，以达到全面的雾滴覆盖。背负式喷雾器推荐用水量30-60升/亩，机械牵引式喷雾器推荐用水量20-40升/亩，可根据杂草大小及密度确定合理的用水量。 3. 在杂草出齐苗后，杂草生长旺盛期、高度10-20厘米时施药效果最佳。 4. 不能使用飞机喷雾。 5. 施药时注意天气和施药器械情况，避免漂移至临近作物造成药害。柑橘园和香蕉园施药，避免药液喷至或漂移至柑橘、香蕉树体绿色部位。 6. 在香蕉园杂草基本出齐后行间定向喷雾，田间应进行保护性喷雾，视田间杂草草龄、密度等情况在推荐范围内适度增减剂量。 </w:t>
            </w:r>
          </w:p>
        </w:tc>
      </w:tr>
      <w:tr w14:paraId="39D73855">
        <w:tblPrEx>
          <w:tblCellMar>
            <w:top w:w="0" w:type="dxa"/>
            <w:left w:w="0" w:type="dxa"/>
            <w:bottom w:w="0" w:type="dxa"/>
            <w:right w:w="0" w:type="dxa"/>
          </w:tblCellMar>
        </w:tblPrEx>
        <w:trPr>
          <w:wBefore w:w="0" w:type="auto"/>
          <w:tblCellSpacing w:w="0" w:type="dxa"/>
        </w:trPr>
        <w:tc>
          <w:tcPr>
            <w:tcW w:w="0" w:type="auto"/>
            <w:noWrap w:val="0"/>
            <w:vAlign w:val="center"/>
          </w:tcPr>
          <w:p w14:paraId="57B1A50F">
            <w:r>
              <w:rPr>
                <w:rStyle w:val="10"/>
                <w:rFonts w:hint="eastAsia"/>
              </w:rPr>
              <w:t>产品性能:</w:t>
            </w:r>
            <w:r>
              <w:rPr>
                <w:rFonts w:hint="eastAsia"/>
              </w:rPr>
              <w:br w:type="textWrapping"/>
            </w:r>
            <w:r>
              <w:rPr>
                <w:rStyle w:val="11"/>
                <w:rFonts w:hint="eastAsia"/>
              </w:rPr>
              <w:t>本品是一种具有部分内吸作用的触杀灭生性除草剂，可防除多种一年生和多年生杂草。结构上属于膦酸类除草剂，作用机理是谷氨酰胺合成抑制剂。施药后短时间内，植物体内铵代谢陷于紊乱，细胞毒剂铵离子在植物体内累积，与此同时，光合作用被严重抑制而达到除草目的。药液接触土壤后快速分解，无土壤活性。</w:t>
            </w:r>
          </w:p>
        </w:tc>
      </w:tr>
      <w:tr w14:paraId="15E0DC3F">
        <w:tblPrEx>
          <w:tblCellMar>
            <w:top w:w="0" w:type="dxa"/>
            <w:left w:w="0" w:type="dxa"/>
            <w:bottom w:w="0" w:type="dxa"/>
            <w:right w:w="0" w:type="dxa"/>
          </w:tblCellMar>
        </w:tblPrEx>
        <w:trPr>
          <w:wBefore w:w="0" w:type="auto"/>
          <w:tblCellSpacing w:w="0" w:type="dxa"/>
        </w:trPr>
        <w:tc>
          <w:tcPr>
            <w:tcW w:w="0" w:type="auto"/>
            <w:noWrap w:val="0"/>
            <w:vAlign w:val="center"/>
          </w:tcPr>
          <w:p w14:paraId="6AF43213">
            <w:r>
              <w:rPr>
                <w:rStyle w:val="10"/>
                <w:rFonts w:hint="eastAsia"/>
              </w:rPr>
              <w:t>注意事项：</w:t>
            </w:r>
            <w:r>
              <w:rPr>
                <w:rFonts w:hint="eastAsia"/>
              </w:rPr>
              <w:br w:type="textWrapping"/>
            </w:r>
            <w:r>
              <w:rPr>
                <w:rStyle w:val="11"/>
                <w:rFonts w:hint="eastAsia"/>
              </w:rPr>
              <w:t>1.在开启容器前，请仔细阅读安全使用说明。并严格按照标签说明使用。预计6小时内降雨，请勿施药。 2.本品对水生生物有毒。药液及其废液不得污染各类水域，土壤等环境；切勿将药液及其包装弃于池塘、沟渠、河溪和湖泊等水源；勿将药液或空包装弃于水中；严禁在生活用水、水源地等洗涤喷雾器械。蚕室和桑园附近禁用。赤眼蜂（或其他代表性天敌）等天敌放飞区域禁用。 3.请按照农药安全使用守则用药。避免药液接触皮肤、眼睛和污染衣物。配药和施药时，应穿长袖衣、长裤和防护靴，戴防护面罩，化学防渗手套（如丁腈橡胶手套）等防护用具。施药期间不得饮食和吸烟，在饮水、进食和抽烟前，应先洗手、洗脸。施药后应及时洗手和洗脸或洗澡，并更换和清洗工作服，确保施药衣物同普通衣物分开清洗；彻底清洗防护用具。施药后一天内进入处理田块，请穿戴适当的防护用品。 4请依照当地法律法规妥善处理农药包装废弃物。配药时应当通过清洗等方式充分利用包装物中的农药，减少残留；农药包装废弃物不得随意丢弃，应收集起来，交回农药经营者或农药包装废弃物回收站（点）处理；空塑料瓶包装废弃物等，可资源化再利用为非餐饮用具、非儿童玩具等的产品，防止危害人体健康；资源化利用外的包装废弃物，应当依法依规进行填埋、焚烧等无害化处置。可咨询县级以上地方人民政府农业农村主管部门、生态环境主管部门的指导处理，减少残留；农药包装废弃物不得随意丢弃，应收集起来，交回农药经营者或农药包装废弃物回收站（点）处理；空塑料瓶包装废弃物等，可资源化再利用为非餐饮用具、非儿童玩具等的产品，防止危害人体健康；资源化利用外的包装废弃物，应当依法依规进行填埋、焚烧等无害化处置。可咨询县级以上地方人民政府农业农村主管部门、生态环境主管部门的指导处理。 5.喷雾前须检查喷雾器，确保喷雾系统无渗漏。应在喷头上加装保护罩，避免将雾滴喷到或飘移到作物植株的绿色部位上，以免药害。采用扇形喷头均匀喷施，最高效、经济。被污染的草料，禁止用于喂养所有牲畜。 6.本品按除草剂抗性行动委员会（HRAC）分类属于第H组谷氨酰胺合成抑制剂，为防止或延缓可能的抗性产生，应注意与其他作用机理的除草剂合理轮用。 7. 孕妇、及哺乳期妇女、儿童、患者、身体有伤口及过敏者应避免接触本品。 制造厂敬告用户：用药前请先阅读标签上的安全使用说明，误用产品会导致危险，严格按照推荐方法使用、操作和贮藏本品。使用时应接受当地农业技术部门的指导。</w:t>
            </w:r>
          </w:p>
        </w:tc>
      </w:tr>
      <w:tr w14:paraId="4894EAAD">
        <w:tblPrEx>
          <w:tblCellMar>
            <w:top w:w="0" w:type="dxa"/>
            <w:left w:w="0" w:type="dxa"/>
            <w:bottom w:w="0" w:type="dxa"/>
            <w:right w:w="0" w:type="dxa"/>
          </w:tblCellMar>
        </w:tblPrEx>
        <w:trPr>
          <w:wBefore w:w="0" w:type="auto"/>
          <w:tblCellSpacing w:w="0" w:type="dxa"/>
        </w:trPr>
        <w:tc>
          <w:tcPr>
            <w:tcW w:w="0" w:type="auto"/>
            <w:noWrap w:val="0"/>
            <w:vAlign w:val="center"/>
          </w:tcPr>
          <w:p w14:paraId="6805C4B2">
            <w:r>
              <w:rPr>
                <w:rStyle w:val="10"/>
                <w:rFonts w:hint="eastAsia"/>
              </w:rPr>
              <w:t>中毒急救措施：</w:t>
            </w:r>
            <w:r>
              <w:rPr>
                <w:rFonts w:hint="eastAsia"/>
              </w:rPr>
              <w:br w:type="textWrapping"/>
            </w:r>
            <w:r>
              <w:rPr>
                <w:rStyle w:val="11"/>
                <w:rFonts w:hint="eastAsia"/>
              </w:rPr>
              <w:t xml:space="preserve">中毒症状：按照标签推荐方法使用，无中毒症状 ； 中毒急救： 1. 用药时如果感觉不适，立即停止工作，拨打急救电话，采取急救措施，并携此标签送医就诊。 2. 皮肤接触：立即脱掉被污染的衣物，用大量清水冲洗被污染的皮肤，如皮肤刺激感持续，请医生诊治。被污染的衣物再次使用前需同普通衣服分开彻底清洗被污染的衣物再次使用前需同普通衣服分开彻底清洗。 3. 眼睛溅药：立即用清水冲洗至少15－20分钟，如果戴有隐形眼镜，将其摘掉后再继续冲洗15-20分钟，再请医生诊治。 4. 发生吸入：立即将吸入者转移到空气新鲜处，请医生诊治。 5. 误服：请勿引吐，立即携带标签，送医就诊。如果自口服2小时内，且口服剂量为致死剂量，使用医用活性炭洗胃，注意防止胃容物进入呼吸道。如果病人可以吞咽，可以给病人喝水。注意：如果患者无意识，不要给患者喂食任何食物和水。6. 解毒剂：无专用解毒剂，对症治疗。 中毒时，请拨打中国疾控中心中毒控制中心咨询热线： 400-650-5726 </w:t>
            </w:r>
          </w:p>
        </w:tc>
      </w:tr>
      <w:tr w14:paraId="4E5C5DC1">
        <w:tblPrEx>
          <w:tblCellMar>
            <w:top w:w="0" w:type="dxa"/>
            <w:left w:w="0" w:type="dxa"/>
            <w:bottom w:w="0" w:type="dxa"/>
            <w:right w:w="0" w:type="dxa"/>
          </w:tblCellMar>
        </w:tblPrEx>
        <w:trPr>
          <w:wBefore w:w="0" w:type="auto"/>
          <w:tblCellSpacing w:w="0" w:type="dxa"/>
        </w:trPr>
        <w:tc>
          <w:tcPr>
            <w:tcW w:w="0" w:type="auto"/>
            <w:noWrap w:val="0"/>
            <w:vAlign w:val="center"/>
          </w:tcPr>
          <w:p w14:paraId="763E1F2C">
            <w:r>
              <w:rPr>
                <w:rStyle w:val="10"/>
                <w:rFonts w:hint="eastAsia"/>
              </w:rPr>
              <w:t>储存和运输方法：</w:t>
            </w:r>
            <w:r>
              <w:rPr>
                <w:rFonts w:hint="eastAsia"/>
              </w:rPr>
              <w:br w:type="textWrapping"/>
            </w:r>
            <w:r>
              <w:rPr>
                <w:rStyle w:val="11"/>
                <w:rFonts w:hint="eastAsia"/>
              </w:rPr>
              <w:t>1. 本品应加锁保存，勿让儿童、无关人员和动物接触；未用完的制剂应放在原包装内密封保存，稀释后的制剂应放入塑料、钢衬塑料、不锈钢和玻璃纤维容器的容器中储存，并清晰标注；勿与食物、饮料、动物饲料、粮食和种子在一起存放或运输。 2. 本品应贮藏在避光、干燥、通风处。运输时应注意避光、防高温、雨淋。 3. 贮藏温度应避免低于-10℃高于35℃，以免产品变质。 4. 产品码放高度不宜超过2米，勿将产品倒置，以免损坏包装。</w:t>
            </w:r>
          </w:p>
        </w:tc>
      </w:tr>
      <w:tr w14:paraId="62507C2E">
        <w:tblPrEx>
          <w:tblCellMar>
            <w:top w:w="0" w:type="dxa"/>
            <w:left w:w="0" w:type="dxa"/>
            <w:bottom w:w="0" w:type="dxa"/>
            <w:right w:w="0" w:type="dxa"/>
          </w:tblCellMar>
        </w:tblPrEx>
        <w:trPr>
          <w:wBefore w:w="0" w:type="auto"/>
          <w:tblCellSpacing w:w="0" w:type="dxa"/>
        </w:trPr>
        <w:tc>
          <w:tcPr>
            <w:tcW w:w="0" w:type="auto"/>
            <w:noWrap w:val="0"/>
            <w:vAlign w:val="center"/>
          </w:tcPr>
          <w:p w14:paraId="5069C198">
            <w:r>
              <w:rPr>
                <w:rStyle w:val="10"/>
                <w:rFonts w:hint="eastAsia"/>
              </w:rPr>
              <w:t>质量保证期：</w:t>
            </w:r>
            <w:r>
              <w:rPr>
                <w:rStyle w:val="11"/>
                <w:rFonts w:hint="eastAsia"/>
              </w:rPr>
              <w:t>2年</w:t>
            </w:r>
          </w:p>
        </w:tc>
      </w:tr>
      <w:tr w14:paraId="49E88945">
        <w:tblPrEx>
          <w:tblCellMar>
            <w:top w:w="0" w:type="dxa"/>
            <w:left w:w="0" w:type="dxa"/>
            <w:bottom w:w="0" w:type="dxa"/>
            <w:right w:w="0" w:type="dxa"/>
          </w:tblCellMar>
        </w:tblPrEx>
        <w:trPr>
          <w:wBefore w:w="0" w:type="auto"/>
          <w:tblCellSpacing w:w="0" w:type="dxa"/>
        </w:trPr>
        <w:tc>
          <w:tcPr>
            <w:tcW w:w="0" w:type="auto"/>
            <w:noWrap w:val="0"/>
            <w:vAlign w:val="center"/>
          </w:tcPr>
          <w:p w14:paraId="25E3FBFE">
            <w:r>
              <w:rPr>
                <w:rStyle w:val="10"/>
                <w:rFonts w:hint="eastAsia"/>
              </w:rPr>
              <w:t>备注：</w:t>
            </w:r>
          </w:p>
        </w:tc>
      </w:tr>
    </w:tbl>
    <w:p w14:paraId="197BD212">
      <w:pPr>
        <w:rPr>
          <w:rFonts w:hint="eastAsia"/>
        </w:rPr>
      </w:pPr>
    </w:p>
    <w:sectPr>
      <w:footerReference r:id="rId3" w:type="default"/>
      <w:pgSz w:w="11906" w:h="16838"/>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C6E10">
    <w:pPr>
      <w:pStyle w:val="3"/>
      <w:jc w:val="center"/>
      <w:rPr>
        <w:rFonts w:hint="eastAsia"/>
      </w:rPr>
    </w:pPr>
    <w:r>
      <w:rPr>
        <w:rFonts w:hint="eastAsia"/>
      </w:rPr>
      <w:fldChar w:fldCharType="begin"/>
    </w:r>
    <w:r>
      <w:rPr>
        <w:rFonts w:hint="eastAsia"/>
      </w:rPr>
      <w:instrText xml:space="preserve">PAGE   \* MERGEFORMAT</w:instrText>
    </w:r>
    <w:r>
      <w:fldChar w:fldCharType="separate"/>
    </w:r>
    <w:r>
      <w:rPr>
        <w:lang w:val="zh-CN"/>
      </w:rPr>
      <w:t>1</w:t>
    </w:r>
    <w:r>
      <w:rPr>
        <w:rFonts w:hint="eastAsia"/>
      </w:rPr>
      <w:fldChar w:fldCharType="end"/>
    </w:r>
  </w:p>
  <w:p w14:paraId="70905F08">
    <w:pPr>
      <w:pStyle w:val="3"/>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isplayHorizontalDrawingGridEvery w:val="1"/>
  <w:displayVerticalDrawingGridEvery w:val="1"/>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8A2"/>
    <w:rsid w:val="00096D85"/>
    <w:rsid w:val="00135AC4"/>
    <w:rsid w:val="00262816"/>
    <w:rsid w:val="002818A2"/>
    <w:rsid w:val="002D7033"/>
    <w:rsid w:val="004B75C7"/>
    <w:rsid w:val="005A1293"/>
    <w:rsid w:val="005B6070"/>
    <w:rsid w:val="006B4709"/>
    <w:rsid w:val="006C1390"/>
    <w:rsid w:val="00C25369"/>
    <w:rsid w:val="00D527CF"/>
    <w:rsid w:val="00E41BCD"/>
    <w:rsid w:val="00FE2D72"/>
    <w:rsid w:val="3BB4793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cs="宋体"/>
      <w:sz w:val="24"/>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Style w:val="5"/>
      <w:tblCellMar>
        <w:top w:w="0" w:type="dxa"/>
        <w:left w:w="108" w:type="dxa"/>
        <w:bottom w:w="0" w:type="dxa"/>
        <w:right w:w="108" w:type="dxa"/>
      </w:tblCellMar>
    </w:tblPr>
    <w:trPr>
      <w:wBefore w:w="0" w:type="dxa"/>
    </w:trPr>
  </w:style>
  <w:style w:type="paragraph" w:styleId="2">
    <w:name w:val="Balloon Text"/>
    <w:basedOn w:val="1"/>
    <w:link w:val="9"/>
    <w:semiHidden/>
    <w:unhideWhenUsed/>
    <w:uiPriority w:val="99"/>
    <w:rPr>
      <w:sz w:val="18"/>
      <w:szCs w:val="18"/>
    </w:rPr>
  </w:style>
  <w:style w:type="paragraph" w:styleId="3">
    <w:name w:val="footer"/>
    <w:basedOn w:val="1"/>
    <w:link w:val="8"/>
    <w:unhideWhenUsed/>
    <w:uiPriority w:val="99"/>
    <w:pPr>
      <w:tabs>
        <w:tab w:val="center" w:pos="4153"/>
        <w:tab w:val="right" w:pos="8306"/>
      </w:tabs>
      <w:snapToGrid w:val="0"/>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link w:val="4"/>
    <w:locked/>
    <w:uiPriority w:val="99"/>
    <w:rPr>
      <w:rFonts w:hint="eastAsia" w:ascii="宋体" w:hAnsi="宋体" w:eastAsia="宋体" w:cs="宋体"/>
      <w:sz w:val="18"/>
      <w:szCs w:val="18"/>
    </w:rPr>
  </w:style>
  <w:style w:type="character" w:customStyle="1" w:styleId="8">
    <w:name w:val="页脚 Char"/>
    <w:link w:val="3"/>
    <w:locked/>
    <w:uiPriority w:val="99"/>
    <w:rPr>
      <w:rFonts w:hint="eastAsia" w:ascii="宋体" w:hAnsi="宋体" w:eastAsia="宋体" w:cs="宋体"/>
      <w:sz w:val="18"/>
      <w:szCs w:val="18"/>
    </w:rPr>
  </w:style>
  <w:style w:type="character" w:customStyle="1" w:styleId="9">
    <w:name w:val="批注框文本 Char"/>
    <w:link w:val="2"/>
    <w:semiHidden/>
    <w:locked/>
    <w:uiPriority w:val="99"/>
    <w:rPr>
      <w:rFonts w:hint="eastAsia" w:ascii="宋体" w:hAnsi="宋体" w:eastAsia="宋体" w:cs="宋体"/>
      <w:sz w:val="18"/>
      <w:szCs w:val="18"/>
    </w:rPr>
  </w:style>
  <w:style w:type="character" w:customStyle="1" w:styleId="10">
    <w:name w:val="style4"/>
    <w:basedOn w:val="6"/>
    <w:uiPriority w:val="0"/>
  </w:style>
  <w:style w:type="character" w:customStyle="1" w:styleId="11">
    <w:name w:val="style7"/>
    <w:basedOn w:val="6"/>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745</Pages>
  <Words>3113</Words>
  <Characters>3256</Characters>
  <Lines>5085</Lines>
  <Paragraphs>1431</Paragraphs>
  <TotalTime>2</TotalTime>
  <ScaleCrop>false</ScaleCrop>
  <LinksUpToDate>false</LinksUpToDate>
  <CharactersWithSpaces>3344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2024-09-05T09:48:00Z</dcterms:created>
  <dc:creator>fgp</dc:creator>
  <cp:lastModifiedBy>zys</cp:lastModifiedBy>
  <cp:lastPrinted>2021-09-10T04:11:00Z</cp:lastPrinted>
  <dcterms:modified xsi:type="dcterms:W3CDTF">2025-05-13T08:25:48Z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eyJoZGlkIjoiZDliZTgxZjExNTU0ZmQ4YWNmOTU4N2RkNTAxYWJiYzUiLCJ1c2VySWQiOiIxMTg1NDE4MTY3In0=</vt:lpwstr>
  </property>
  <property fmtid="{D5CDD505-2E9C-101B-9397-08002B2CF9AE}" pid="3" name="KSOProductBuildVer">
    <vt:lpwstr>2052-12.1.0.20784</vt:lpwstr>
  </property>
  <property fmtid="{D5CDD505-2E9C-101B-9397-08002B2CF9AE}" pid="4" name="ICV">
    <vt:lpwstr>5A96358D0B4D458A856BCD32E091E325_13</vt:lpwstr>
  </property>
</Properties>
</file>